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Default Extension="jpeg" ContentType="image/jpe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Default Extension="png" ContentType="image/png"/>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56"/>
        <w:ind w:left="2057" w:right="1776" w:firstLine="0"/>
        <w:jc w:val="center"/>
        <w:rPr>
          <w:sz w:val="18"/>
        </w:rPr>
      </w:pPr>
      <w:r>
        <w:rPr/>
        <w:pict>
          <v:rect style="position:absolute;margin-left:88.463997pt;margin-top:15.520012pt;width:443.59pt;height:.72pt;mso-position-horizontal-relative:page;mso-position-vertical-relative:paragraph;z-index:-15728640;mso-wrap-distance-left:0;mso-wrap-distance-right:0" filled="true" fillcolor="#000000" stroked="false">
            <v:fill type="solid"/>
            <w10:wrap type="topAndBottom"/>
          </v:rect>
        </w:pict>
      </w:r>
      <w:r>
        <w:rPr>
          <w:rFonts w:ascii="Calibri" w:eastAsia="Calibri"/>
          <w:sz w:val="18"/>
        </w:rPr>
        <w:t>2022</w:t>
      </w:r>
      <w:r>
        <w:rPr>
          <w:rFonts w:ascii="Calibri" w:eastAsia="Calibri"/>
          <w:spacing w:val="5"/>
          <w:sz w:val="18"/>
        </w:rPr>
        <w:t> </w:t>
      </w:r>
      <w:r>
        <w:rPr>
          <w:sz w:val="18"/>
        </w:rPr>
        <w:t>年年度报告</w:t>
      </w:r>
    </w:p>
    <w:p>
      <w:pPr>
        <w:pStyle w:val="BodyText"/>
        <w:ind w:left="0"/>
        <w:rPr>
          <w:sz w:val="20"/>
        </w:rPr>
      </w:pPr>
    </w:p>
    <w:p>
      <w:pPr>
        <w:pStyle w:val="BodyText"/>
        <w:spacing w:before="6"/>
        <w:ind w:left="0"/>
        <w:rPr>
          <w:sz w:val="18"/>
        </w:rPr>
      </w:pPr>
    </w:p>
    <w:p>
      <w:pPr>
        <w:pStyle w:val="BodyText"/>
        <w:ind w:left="638"/>
      </w:pPr>
      <w:r>
        <w:rPr>
          <w:spacing w:val="-1"/>
        </w:rPr>
        <w:t>公司代码：</w:t>
      </w:r>
      <w:r>
        <w:rPr/>
        <w:t>601138</w:t>
      </w:r>
      <w:r>
        <w:rPr>
          <w:spacing w:val="-1"/>
        </w:rPr>
        <w:t>                                          公司简称：工业富联</w:t>
      </w:r>
      <w:r>
        <w:rPr/>
        <w:t> </w:t>
      </w:r>
    </w:p>
    <w:p>
      <w:pPr>
        <w:pStyle w:val="BodyText"/>
        <w:spacing w:before="125"/>
        <w:ind w:left="638"/>
      </w:pPr>
      <w:r>
        <w:rPr>
          <w:w w:val="100"/>
        </w:rPr>
        <w:t> </w:t>
      </w:r>
    </w:p>
    <w:p>
      <w:pPr>
        <w:pStyle w:val="BodyText"/>
        <w:spacing w:before="2"/>
        <w:ind w:left="638"/>
      </w:pPr>
      <w:r>
        <w:rPr>
          <w:w w:val="100"/>
        </w:rPr>
        <w:t> </w:t>
      </w:r>
    </w:p>
    <w:p>
      <w:pPr>
        <w:pStyle w:val="BodyText"/>
        <w:spacing w:before="4"/>
        <w:ind w:left="638"/>
      </w:pPr>
      <w:r>
        <w:rPr>
          <w:w w:val="100"/>
        </w:rPr>
        <w:t> </w:t>
      </w:r>
    </w:p>
    <w:p>
      <w:pPr>
        <w:pStyle w:val="BodyText"/>
        <w:spacing w:before="3"/>
        <w:ind w:left="638"/>
      </w:pPr>
      <w:r>
        <w:rPr>
          <w:w w:val="100"/>
        </w:rPr>
        <w:t> </w:t>
      </w:r>
    </w:p>
    <w:p>
      <w:pPr>
        <w:pStyle w:val="BodyText"/>
        <w:spacing w:before="4"/>
        <w:ind w:left="638"/>
      </w:pPr>
      <w:r>
        <w:rPr>
          <w:w w:val="100"/>
        </w:rPr>
        <w:t> </w:t>
      </w:r>
    </w:p>
    <w:p>
      <w:pPr>
        <w:pStyle w:val="BodyText"/>
        <w:spacing w:before="2"/>
        <w:ind w:left="638"/>
      </w:pPr>
      <w:r>
        <w:rPr>
          <w:w w:val="100"/>
        </w:rPr>
        <w:t> </w:t>
      </w:r>
    </w:p>
    <w:p>
      <w:pPr>
        <w:pStyle w:val="BodyText"/>
        <w:spacing w:before="5"/>
        <w:ind w:left="638"/>
      </w:pPr>
      <w:r>
        <w:rPr>
          <w:w w:val="100"/>
        </w:rPr>
        <w:t> </w:t>
      </w:r>
    </w:p>
    <w:p>
      <w:pPr>
        <w:pStyle w:val="BodyText"/>
        <w:spacing w:before="2"/>
        <w:ind w:left="638"/>
      </w:pPr>
      <w:r>
        <w:rPr>
          <w:w w:val="100"/>
        </w:rPr>
        <w:t> </w:t>
      </w:r>
    </w:p>
    <w:p>
      <w:pPr>
        <w:pStyle w:val="Title"/>
        <w:spacing w:line="168" w:lineRule="auto"/>
      </w:pPr>
      <w:r>
        <w:rPr>
          <w:color w:val="FF0000"/>
        </w:rPr>
        <w:t>富士康工业互联网股份有限公司2022</w:t>
      </w:r>
      <w:r>
        <w:rPr>
          <w:color w:val="FF0000"/>
          <w:spacing w:val="-3"/>
        </w:rPr>
        <w:t> 年年度报告</w:t>
      </w: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spacing w:before="13"/>
        <w:ind w:left="0"/>
        <w:rPr>
          <w:rFonts w:ascii="Microsoft JhengHei"/>
          <w:b/>
        </w:rPr>
      </w:pPr>
    </w:p>
    <w:p>
      <w:pPr>
        <w:spacing w:before="64"/>
        <w:ind w:left="2057" w:right="1757" w:firstLine="0"/>
        <w:jc w:val="center"/>
        <w:rPr>
          <w:rFonts w:ascii="Calibri"/>
          <w:b/>
          <w:sz w:val="18"/>
        </w:rPr>
      </w:pPr>
      <w:r>
        <w:rPr>
          <w:rFonts w:ascii="Calibri"/>
          <w:b/>
          <w:sz w:val="18"/>
        </w:rPr>
        <w:t>1</w:t>
      </w:r>
      <w:r>
        <w:rPr>
          <w:rFonts w:ascii="Calibri"/>
          <w:b/>
          <w:spacing w:val="-1"/>
          <w:sz w:val="18"/>
        </w:rPr>
        <w:t> </w:t>
      </w:r>
      <w:r>
        <w:rPr>
          <w:rFonts w:ascii="Calibri"/>
          <w:sz w:val="18"/>
        </w:rPr>
        <w:t>/</w:t>
      </w:r>
      <w:r>
        <w:rPr>
          <w:rFonts w:ascii="Calibri"/>
          <w:spacing w:val="-1"/>
          <w:sz w:val="18"/>
        </w:rPr>
        <w:t> </w:t>
      </w:r>
      <w:r>
        <w:rPr>
          <w:rFonts w:ascii="Calibri"/>
          <w:b/>
          <w:sz w:val="18"/>
        </w:rPr>
        <w:t>265</w:t>
      </w:r>
    </w:p>
    <w:p>
      <w:pPr>
        <w:spacing w:after="0"/>
        <w:jc w:val="center"/>
        <w:rPr>
          <w:rFonts w:ascii="Calibri"/>
          <w:sz w:val="18"/>
        </w:rPr>
        <w:sectPr>
          <w:type w:val="continuous"/>
          <w:pgSz w:w="11910" w:h="16840"/>
          <w:pgMar w:top="780" w:bottom="280" w:left="1160" w:right="940"/>
        </w:sectPr>
      </w:pPr>
    </w:p>
    <w:p>
      <w:pPr>
        <w:pStyle w:val="BodyText"/>
        <w:spacing w:before="7"/>
        <w:ind w:left="0"/>
        <w:rPr>
          <w:rFonts w:ascii="Calibri"/>
          <w:b/>
        </w:rPr>
      </w:pPr>
    </w:p>
    <w:p>
      <w:pPr>
        <w:spacing w:line="538" w:lineRule="exact" w:before="0"/>
        <w:ind w:left="1822" w:right="2565" w:firstLine="0"/>
        <w:jc w:val="center"/>
        <w:rPr>
          <w:rFonts w:ascii="Microsoft JhengHei" w:eastAsia="Microsoft JhengHei" w:hint="eastAsia"/>
          <w:b/>
          <w:sz w:val="32"/>
        </w:rPr>
      </w:pPr>
      <w:r>
        <w:rPr>
          <w:rFonts w:ascii="Microsoft JhengHei" w:eastAsia="Microsoft JhengHei" w:hint="eastAsia"/>
          <w:b/>
          <w:spacing w:val="2"/>
          <w:sz w:val="32"/>
        </w:rPr>
        <w:t>助力高质量发展 加速数字经济变革</w:t>
      </w:r>
    </w:p>
    <w:p>
      <w:pPr>
        <w:spacing w:before="38"/>
        <w:ind w:left="1825" w:right="2565" w:firstLine="0"/>
        <w:jc w:val="center"/>
        <w:rPr>
          <w:rFonts w:ascii="Microsoft JhengHei" w:hAnsi="Microsoft JhengHei" w:eastAsia="Microsoft JhengHei" w:hint="eastAsia"/>
          <w:b/>
          <w:sz w:val="30"/>
        </w:rPr>
      </w:pPr>
      <w:r>
        <w:rPr>
          <w:rFonts w:ascii="Microsoft JhengHei" w:hAnsi="Microsoft JhengHei" w:eastAsia="Microsoft JhengHei" w:hint="eastAsia"/>
          <w:b/>
          <w:sz w:val="30"/>
        </w:rPr>
        <w:t>——致股东的一封信</w:t>
      </w:r>
    </w:p>
    <w:p>
      <w:pPr>
        <w:pStyle w:val="Heading4"/>
      </w:pPr>
      <w:r>
        <w:rPr>
          <w:w w:val="100"/>
        </w:rPr>
        <w:t> </w:t>
      </w:r>
    </w:p>
    <w:p>
      <w:pPr>
        <w:pStyle w:val="Heading3"/>
        <w:spacing w:before="145"/>
        <w:jc w:val="left"/>
      </w:pPr>
      <w:r>
        <w:rPr/>
        <w:t>各位股东：</w:t>
      </w:r>
    </w:p>
    <w:p>
      <w:pPr>
        <w:pStyle w:val="Heading3"/>
        <w:spacing w:line="364" w:lineRule="auto" w:before="158"/>
        <w:ind w:right="863" w:firstLine="480"/>
      </w:pPr>
      <w:r>
        <w:rPr>
          <w:rFonts w:ascii="Times New Roman" w:eastAsia="Times New Roman"/>
        </w:rPr>
        <w:t>2022</w:t>
      </w:r>
      <w:r>
        <w:rPr>
          <w:rFonts w:ascii="Times New Roman" w:eastAsia="Times New Roman"/>
          <w:spacing w:val="42"/>
        </w:rPr>
        <w:t> </w:t>
      </w:r>
      <w:r>
        <w:rPr/>
        <w:t>年刚刚过去，工业富联克服了地缘冲突、消费电子行业收缩、全球经济周期下行等宏观因素不利影响，全体员工同心协力，战胜困难，用实际行动践行了公司的使命与愿景，持续为股东和社会创造价值。</w:t>
      </w:r>
    </w:p>
    <w:p>
      <w:pPr>
        <w:pStyle w:val="Heading3"/>
        <w:spacing w:line="364" w:lineRule="auto"/>
        <w:ind w:right="851" w:firstLine="480"/>
      </w:pPr>
      <w:r>
        <w:rPr>
          <w:spacing w:val="-8"/>
        </w:rPr>
        <w:t>工业富联 </w:t>
      </w:r>
      <w:r>
        <w:rPr>
          <w:rFonts w:ascii="Times New Roman" w:eastAsia="Times New Roman"/>
          <w:spacing w:val="-1"/>
        </w:rPr>
        <w:t>2022</w:t>
      </w:r>
      <w:r>
        <w:rPr>
          <w:rFonts w:ascii="Times New Roman" w:eastAsia="Times New Roman"/>
          <w:spacing w:val="9"/>
        </w:rPr>
        <w:t> </w:t>
      </w:r>
      <w:r>
        <w:rPr>
          <w:spacing w:val="-3"/>
        </w:rPr>
        <w:t>年经营业绩良好，整体符合预期，全年营收达 </w:t>
      </w:r>
      <w:r>
        <w:rPr>
          <w:rFonts w:ascii="Times New Roman" w:eastAsia="Times New Roman"/>
        </w:rPr>
        <w:t>5,118.50</w:t>
      </w:r>
      <w:r>
        <w:rPr>
          <w:rFonts w:ascii="Times New Roman" w:eastAsia="Times New Roman"/>
          <w:spacing w:val="10"/>
        </w:rPr>
        <w:t> </w:t>
      </w:r>
      <w:r>
        <w:rPr/>
        <w:t>亿元人民</w:t>
      </w:r>
      <w:r>
        <w:rPr>
          <w:spacing w:val="-6"/>
        </w:rPr>
        <w:t>币，同比增长 </w:t>
      </w:r>
      <w:r>
        <w:rPr>
          <w:rFonts w:ascii="Times New Roman" w:eastAsia="Times New Roman"/>
          <w:spacing w:val="-1"/>
        </w:rPr>
        <w:t>16.40%</w:t>
      </w:r>
      <w:r>
        <w:rPr>
          <w:spacing w:val="-6"/>
        </w:rPr>
        <w:t>，归母净利润 </w:t>
      </w:r>
      <w:r>
        <w:rPr>
          <w:rFonts w:ascii="Times New Roman" w:eastAsia="Times New Roman"/>
        </w:rPr>
        <w:t>200.73</w:t>
      </w:r>
      <w:r>
        <w:rPr>
          <w:rFonts w:ascii="Times New Roman" w:eastAsia="Times New Roman"/>
          <w:spacing w:val="9"/>
        </w:rPr>
        <w:t> </w:t>
      </w:r>
      <w:r>
        <w:rPr>
          <w:spacing w:val="-4"/>
        </w:rPr>
        <w:t>亿元，同比增长 </w:t>
      </w:r>
      <w:r>
        <w:rPr>
          <w:rFonts w:ascii="Times New Roman" w:eastAsia="Times New Roman"/>
        </w:rPr>
        <w:t>0.30%</w:t>
      </w:r>
      <w:r>
        <w:rPr/>
        <w:t>，双双创下历史新高。在此，我谨代表董事会向公司员工、投资机构及个人投资者等广大股东致以诚挚的感谢。</w:t>
      </w:r>
    </w:p>
    <w:p>
      <w:pPr>
        <w:pStyle w:val="Heading3"/>
        <w:spacing w:line="364" w:lineRule="auto"/>
        <w:ind w:right="848" w:firstLine="480"/>
        <w:rPr>
          <w:rFonts w:ascii="Times New Roman" w:hAnsi="Times New Roman" w:eastAsia="Times New Roman"/>
        </w:rPr>
      </w:pPr>
      <w:r>
        <w:rPr/>
        <w:t>近年来，我国高度重视数字经济。党的二十大报告指出：要加快构建新发展格局，着力推动高质量发展。加快发展数字经济，促进数实深度融合，加快建设“制造强国、网络强国、数字中国”。近日，中共中央、国务院印发了《数字中国整体建设布局规划》，指出要打通数字基础设施大动脉、做强做优做大数字经济。随着数字化的深度推进，数据资源、数据基础设施建设等的重要性进一步凸显，</w:t>
      </w:r>
      <w:r>
        <w:rPr>
          <w:rFonts w:ascii="Times New Roman" w:hAnsi="Times New Roman" w:eastAsia="Times New Roman"/>
        </w:rPr>
        <w:t>2023</w:t>
      </w:r>
      <w:r>
        <w:rPr>
          <w:rFonts w:ascii="Times New Roman" w:hAnsi="Times New Roman" w:eastAsia="Times New Roman"/>
          <w:spacing w:val="-27"/>
        </w:rPr>
        <w:t> </w:t>
      </w:r>
      <w:r>
        <w:rPr>
          <w:spacing w:val="28"/>
        </w:rPr>
        <w:t>年</w:t>
      </w:r>
      <w:r>
        <w:rPr>
          <w:rFonts w:ascii="Times New Roman" w:hAnsi="Times New Roman" w:eastAsia="Times New Roman"/>
        </w:rPr>
        <w:t>3</w:t>
      </w:r>
    </w:p>
    <w:p>
      <w:pPr>
        <w:pStyle w:val="Heading3"/>
        <w:spacing w:line="362" w:lineRule="auto"/>
        <w:ind w:right="855"/>
      </w:pPr>
      <w:r>
        <w:rPr>
          <w:spacing w:val="-11"/>
        </w:rPr>
        <w:t>月 </w:t>
      </w:r>
      <w:r>
        <w:rPr>
          <w:rFonts w:ascii="Times New Roman" w:eastAsia="Times New Roman"/>
        </w:rPr>
        <w:t>10</w:t>
      </w:r>
      <w:r>
        <w:rPr>
          <w:rFonts w:ascii="Times New Roman" w:eastAsia="Times New Roman"/>
          <w:spacing w:val="18"/>
        </w:rPr>
        <w:t> </w:t>
      </w:r>
      <w:r>
        <w:rPr/>
        <w:t>日，国务院机构改革方案提出组建国家数据局，负责统筹推进数字中国、数字经济、数字社会规划和建设等。</w:t>
      </w:r>
    </w:p>
    <w:p>
      <w:pPr>
        <w:pStyle w:val="Heading3"/>
        <w:spacing w:line="364" w:lineRule="auto" w:before="1"/>
        <w:ind w:right="626" w:firstLine="480"/>
        <w:jc w:val="left"/>
      </w:pPr>
      <w:r>
        <w:rPr/>
        <w:t>工业富联作为数字经济的领军企业，在数字产业化及产业数字化相关领域深耕</w:t>
      </w:r>
      <w:r>
        <w:rPr>
          <w:spacing w:val="68"/>
        </w:rPr>
        <w:t> </w:t>
      </w:r>
      <w:r>
        <w:rPr/>
        <w:t>多年，技术和产品已实现对数字经济产业五大类的全覆盖，未来，工业富联将通过</w:t>
      </w:r>
      <w:r>
        <w:rPr>
          <w:spacing w:val="68"/>
        </w:rPr>
        <w:t> </w:t>
      </w:r>
      <w:r>
        <w:rPr/>
        <w:t>深挖技术细节、保持产业规模、内外循环共同发力等方式，在云服务器、网络通讯、智能终端产品的智能制造及工业互联网等核心业务保持领先优势，为制造业稳定发</w:t>
      </w:r>
      <w:r>
        <w:rPr>
          <w:spacing w:val="68"/>
        </w:rPr>
        <w:t> </w:t>
      </w:r>
      <w:r>
        <w:rPr/>
        <w:t>展做出应有的贡献。</w:t>
      </w:r>
    </w:p>
    <w:p>
      <w:pPr>
        <w:pStyle w:val="Heading3"/>
        <w:spacing w:line="364" w:lineRule="auto"/>
        <w:ind w:right="854" w:firstLine="480"/>
      </w:pPr>
      <w:r>
        <w:rPr/>
        <w:t>在“数据驱动、绿色发展”战略指引下，工业富联紧抓时代发展脉搏，积极拥抱机遇，多项业务领先市场的增长。未来，我们将以“灯塔工厂”为基础赋能千行百业，助力制造业数字化转型、高质量发展。同时，我们结合自身特色及优势，在“绿色产品、绿色制造、绿色能源及绿色供应链”方面不断强化自主创新能力，致力于成为践行“双碳战略”的行业标杆，为社会及客户创造更多的价值。</w:t>
      </w:r>
    </w:p>
    <w:p>
      <w:pPr>
        <w:spacing w:after="0" w:line="364" w:lineRule="auto"/>
        <w:sectPr>
          <w:headerReference w:type="default" r:id="rId5"/>
          <w:footerReference w:type="default" r:id="rId6"/>
          <w:pgSz w:w="11910" w:h="16840"/>
          <w:pgMar w:header="880" w:footer="1195" w:top="1120" w:bottom="1380" w:left="1160" w:right="940"/>
          <w:pgNumType w:start="2"/>
        </w:sectPr>
      </w:pPr>
    </w:p>
    <w:p>
      <w:pPr>
        <w:pStyle w:val="BodyText"/>
        <w:spacing w:before="7"/>
        <w:ind w:left="0"/>
        <w:rPr>
          <w:sz w:val="19"/>
        </w:rPr>
      </w:pPr>
    </w:p>
    <w:p>
      <w:pPr>
        <w:pStyle w:val="Heading3"/>
        <w:spacing w:line="364" w:lineRule="auto" w:before="66"/>
        <w:ind w:right="625" w:firstLine="480"/>
        <w:jc w:val="left"/>
      </w:pPr>
      <w:r>
        <w:rPr/>
        <w:t>近期，人工智能技术迭代引发全球关注，新一轮科技革命和产业变革快速发展，</w:t>
      </w:r>
      <w:r>
        <w:rPr>
          <w:spacing w:val="1"/>
        </w:rPr>
        <w:t> </w:t>
      </w:r>
      <w:r>
        <w:rPr/>
        <w:t>给人类的生产生活带来广泛而深刻的影响。工业富联持续推动“智能制造</w:t>
      </w:r>
      <w:r>
        <w:rPr>
          <w:rFonts w:ascii="Times New Roman" w:hAnsi="Times New Roman" w:eastAsia="Times New Roman"/>
        </w:rPr>
        <w:t>+</w:t>
      </w:r>
      <w:r>
        <w:rPr/>
        <w:t>工业互联</w:t>
      </w:r>
      <w:r>
        <w:rPr>
          <w:spacing w:val="1"/>
        </w:rPr>
        <w:t> </w:t>
      </w:r>
      <w:r>
        <w:rPr/>
        <w:t>网”双轮驱动技术策略，围绕科技创新积极布局新事业，逐渐聚焦“半导体生态、</w:t>
      </w:r>
      <w:r>
        <w:rPr>
          <w:spacing w:val="58"/>
        </w:rPr>
        <w:t> </w:t>
      </w:r>
      <w:r>
        <w:rPr/>
        <w:t>新能源车零部件、大数据，机器人”等新的产业方向，在巩固原有业务的前提下，</w:t>
      </w:r>
      <w:r>
        <w:rPr>
          <w:spacing w:val="69"/>
        </w:rPr>
        <w:t> </w:t>
      </w:r>
      <w:r>
        <w:rPr/>
        <w:t>积极开拓公司的第二成长曲线。在未来的发展中，这些新的事业将会不断发挥重要</w:t>
      </w:r>
      <w:r>
        <w:rPr>
          <w:spacing w:val="69"/>
        </w:rPr>
        <w:t> </w:t>
      </w:r>
      <w:r>
        <w:rPr/>
        <w:t>作用，成为公司业绩成长的助推器。</w:t>
      </w:r>
    </w:p>
    <w:p>
      <w:pPr>
        <w:pStyle w:val="Heading3"/>
        <w:spacing w:line="364" w:lineRule="auto"/>
        <w:ind w:right="863" w:firstLine="480"/>
      </w:pPr>
      <w:r>
        <w:rPr/>
        <w:t>科技变革和新事业发展需要源源不断的人才，工业富联一直重视并持续推动人才升级，“海纳百川，有容乃大”，我们将持续培养并引进各类人才，不断激发组织活力，为公司的永续经营奠定人才基础。</w:t>
      </w:r>
    </w:p>
    <w:p>
      <w:pPr>
        <w:pStyle w:val="Heading3"/>
        <w:spacing w:line="364" w:lineRule="auto"/>
        <w:ind w:right="863" w:firstLine="480"/>
      </w:pPr>
      <w:r>
        <w:rPr>
          <w:rFonts w:ascii="Times New Roman" w:hAnsi="Times New Roman" w:eastAsia="Times New Roman"/>
        </w:rPr>
        <w:t>2023</w:t>
      </w:r>
      <w:r>
        <w:rPr>
          <w:rFonts w:ascii="Times New Roman" w:hAnsi="Times New Roman" w:eastAsia="Times New Roman"/>
          <w:spacing w:val="42"/>
        </w:rPr>
        <w:t> </w:t>
      </w:r>
      <w:r>
        <w:rPr/>
        <w:t>年，工业富联将继续以“服务全球智造、兼善天下实业”为己任，韧劲致远，继往开来。展望未来，新征程、新机遇带来新的挑战，我们将踔厉奋发，赓续前行，与合作伙伴一起共同开创数字经济的新未来。</w:t>
      </w:r>
    </w:p>
    <w:p>
      <w:pPr>
        <w:pStyle w:val="BodyText"/>
        <w:ind w:left="0"/>
        <w:rPr>
          <w:sz w:val="24"/>
        </w:rPr>
      </w:pPr>
    </w:p>
    <w:p>
      <w:pPr>
        <w:pStyle w:val="BodyText"/>
        <w:ind w:left="0"/>
        <w:rPr>
          <w:sz w:val="24"/>
        </w:rPr>
      </w:pPr>
    </w:p>
    <w:p>
      <w:pPr>
        <w:pStyle w:val="Heading3"/>
        <w:spacing w:before="207"/>
        <w:ind w:left="0" w:right="854"/>
        <w:jc w:val="right"/>
      </w:pPr>
      <w:r>
        <w:rPr/>
        <w:t>富士康工业互联网股份有限公司董事长</w:t>
      </w:r>
    </w:p>
    <w:p>
      <w:pPr>
        <w:pStyle w:val="Heading3"/>
        <w:spacing w:before="160"/>
        <w:ind w:left="0" w:right="853"/>
        <w:jc w:val="right"/>
      </w:pPr>
      <w:r>
        <w:rPr/>
        <w:t>李军旗</w:t>
      </w:r>
    </w:p>
    <w:p>
      <w:pPr>
        <w:pStyle w:val="BodyText"/>
        <w:spacing w:before="160"/>
        <w:ind w:left="117"/>
      </w:pPr>
      <w:r>
        <w:rPr>
          <w:w w:val="100"/>
        </w:rPr>
        <w:t> </w:t>
      </w:r>
    </w:p>
    <w:p>
      <w:pPr>
        <w:pStyle w:val="BodyText"/>
        <w:spacing w:before="5"/>
        <w:ind w:left="117"/>
      </w:pPr>
      <w:r>
        <w:rPr>
          <w:w w:val="100"/>
        </w:rPr>
        <w:t> </w:t>
      </w:r>
    </w:p>
    <w:p>
      <w:pPr>
        <w:pStyle w:val="BodyText"/>
        <w:spacing w:before="2"/>
        <w:ind w:left="117"/>
      </w:pPr>
      <w:r>
        <w:rPr>
          <w:w w:val="100"/>
        </w:rPr>
        <w:t> </w:t>
      </w:r>
    </w:p>
    <w:p>
      <w:pPr>
        <w:pStyle w:val="BodyText"/>
        <w:spacing w:before="4"/>
        <w:ind w:left="117"/>
      </w:pPr>
      <w:r>
        <w:rPr>
          <w:w w:val="100"/>
        </w:rPr>
        <w:t> </w:t>
      </w:r>
    </w:p>
    <w:p>
      <w:pPr>
        <w:pStyle w:val="BodyText"/>
        <w:spacing w:before="2"/>
        <w:ind w:left="117"/>
      </w:pPr>
      <w:r>
        <w:rPr>
          <w:w w:val="100"/>
        </w:rPr>
        <w:t> </w:t>
      </w:r>
    </w:p>
    <w:p>
      <w:pPr>
        <w:pStyle w:val="BodyText"/>
        <w:spacing w:before="5"/>
        <w:ind w:left="117"/>
      </w:pPr>
      <w:r>
        <w:rPr>
          <w:w w:val="100"/>
        </w:rPr>
        <w:t> </w:t>
      </w:r>
    </w:p>
    <w:p>
      <w:pPr>
        <w:pStyle w:val="BodyText"/>
        <w:spacing w:before="2"/>
        <w:ind w:left="117"/>
      </w:pPr>
      <w:r>
        <w:rPr>
          <w:w w:val="100"/>
        </w:rPr>
        <w:t> </w:t>
      </w:r>
    </w:p>
    <w:p>
      <w:pPr>
        <w:pStyle w:val="BodyText"/>
        <w:spacing w:before="5"/>
        <w:ind w:left="117"/>
      </w:pPr>
      <w:r>
        <w:rPr>
          <w:w w:val="100"/>
        </w:rPr>
        <w:t> </w:t>
      </w:r>
    </w:p>
    <w:p>
      <w:pPr>
        <w:pStyle w:val="BodyText"/>
        <w:spacing w:before="2"/>
        <w:ind w:left="117"/>
      </w:pPr>
      <w:r>
        <w:rPr>
          <w:w w:val="100"/>
        </w:rPr>
        <w:t> </w:t>
      </w:r>
    </w:p>
    <w:p>
      <w:pPr>
        <w:pStyle w:val="BodyText"/>
        <w:spacing w:before="4"/>
        <w:ind w:left="117"/>
      </w:pPr>
      <w:r>
        <w:rPr>
          <w:w w:val="100"/>
        </w:rPr>
        <w:t> </w:t>
      </w:r>
    </w:p>
    <w:p>
      <w:pPr>
        <w:pStyle w:val="BodyText"/>
        <w:spacing w:before="2"/>
        <w:ind w:left="117"/>
      </w:pPr>
      <w:r>
        <w:rPr>
          <w:w w:val="100"/>
        </w:rPr>
        <w:t> </w:t>
      </w:r>
    </w:p>
    <w:p>
      <w:pPr>
        <w:pStyle w:val="BodyText"/>
        <w:spacing w:before="5"/>
        <w:ind w:left="117"/>
      </w:pPr>
      <w:r>
        <w:rPr>
          <w:w w:val="100"/>
        </w:rPr>
        <w:t> </w:t>
      </w:r>
    </w:p>
    <w:p>
      <w:pPr>
        <w:pStyle w:val="BodyText"/>
        <w:spacing w:before="2"/>
        <w:ind w:left="117"/>
      </w:pPr>
      <w:r>
        <w:rPr>
          <w:w w:val="100"/>
        </w:rPr>
        <w:t> </w:t>
      </w:r>
    </w:p>
    <w:p>
      <w:pPr>
        <w:pStyle w:val="BodyText"/>
        <w:spacing w:before="5"/>
        <w:ind w:left="117"/>
      </w:pPr>
      <w:r>
        <w:rPr>
          <w:w w:val="100"/>
        </w:rPr>
        <w:t> </w:t>
      </w:r>
    </w:p>
    <w:p>
      <w:pPr>
        <w:pStyle w:val="BodyText"/>
        <w:spacing w:before="2"/>
        <w:ind w:left="117"/>
      </w:pPr>
      <w:r>
        <w:rPr>
          <w:w w:val="100"/>
        </w:rPr>
        <w:t> </w:t>
      </w:r>
    </w:p>
    <w:p>
      <w:pPr>
        <w:pStyle w:val="BodyText"/>
        <w:spacing w:before="5"/>
        <w:ind w:left="117"/>
      </w:pPr>
      <w:r>
        <w:rPr>
          <w:w w:val="100"/>
        </w:rPr>
        <w:t> </w:t>
      </w:r>
    </w:p>
    <w:p>
      <w:pPr>
        <w:pStyle w:val="BodyText"/>
        <w:spacing w:before="2"/>
        <w:ind w:left="117"/>
      </w:pPr>
      <w:r>
        <w:rPr>
          <w:w w:val="100"/>
        </w:rPr>
        <w:t> </w:t>
      </w:r>
    </w:p>
    <w:p>
      <w:pPr>
        <w:pStyle w:val="BodyText"/>
        <w:spacing w:before="5"/>
        <w:ind w:left="117"/>
      </w:pPr>
      <w:r>
        <w:rPr>
          <w:w w:val="100"/>
        </w:rPr>
        <w:t> </w:t>
      </w:r>
    </w:p>
    <w:p>
      <w:pPr>
        <w:pStyle w:val="BodyText"/>
        <w:spacing w:before="2"/>
        <w:ind w:left="117"/>
      </w:pPr>
      <w:r>
        <w:rPr>
          <w:w w:val="100"/>
        </w:rPr>
        <w:t> </w:t>
      </w:r>
    </w:p>
    <w:p>
      <w:pPr>
        <w:pStyle w:val="BodyText"/>
        <w:spacing w:before="2"/>
        <w:ind w:left="117"/>
      </w:pPr>
      <w:r>
        <w:rPr>
          <w:w w:val="100"/>
        </w:rPr>
        <w:t> </w:t>
      </w:r>
    </w:p>
    <w:p>
      <w:pPr>
        <w:pStyle w:val="BodyText"/>
        <w:spacing w:before="4"/>
        <w:ind w:left="117"/>
      </w:pPr>
      <w:r>
        <w:rPr>
          <w:w w:val="100"/>
        </w:rPr>
        <w:t> </w:t>
      </w:r>
    </w:p>
    <w:p>
      <w:pPr>
        <w:pStyle w:val="BodyText"/>
        <w:spacing w:before="3"/>
        <w:ind w:left="117"/>
      </w:pPr>
      <w:r>
        <w:rPr>
          <w:w w:val="100"/>
        </w:rPr>
        <w:t> </w:t>
      </w:r>
    </w:p>
    <w:p>
      <w:pPr>
        <w:pStyle w:val="BodyText"/>
        <w:spacing w:before="4"/>
        <w:ind w:left="117"/>
      </w:pPr>
      <w:r>
        <w:rPr>
          <w:w w:val="100"/>
        </w:rPr>
        <w:t> </w:t>
      </w:r>
    </w:p>
    <w:p>
      <w:pPr>
        <w:spacing w:after="0"/>
        <w:sectPr>
          <w:pgSz w:w="11910" w:h="16840"/>
          <w:pgMar w:header="880" w:footer="1195" w:top="1120" w:bottom="1380" w:left="1160" w:right="940"/>
        </w:sectPr>
      </w:pPr>
    </w:p>
    <w:p>
      <w:pPr>
        <w:pStyle w:val="BodyText"/>
        <w:spacing w:before="10"/>
        <w:ind w:left="0"/>
        <w:rPr>
          <w:sz w:val="19"/>
        </w:rPr>
      </w:pPr>
    </w:p>
    <w:p>
      <w:pPr>
        <w:spacing w:line="484" w:lineRule="exact" w:before="0"/>
        <w:ind w:left="1826" w:right="2565" w:firstLine="0"/>
        <w:jc w:val="center"/>
        <w:rPr>
          <w:rFonts w:ascii="Microsoft JhengHei" w:eastAsia="Microsoft JhengHei" w:hint="eastAsia"/>
          <w:b/>
          <w:sz w:val="28"/>
        </w:rPr>
      </w:pPr>
      <w:r>
        <w:rPr>
          <w:rFonts w:ascii="Microsoft JhengHei" w:eastAsia="Microsoft JhengHei" w:hint="eastAsia"/>
          <w:b/>
          <w:sz w:val="28"/>
        </w:rPr>
        <w:t>重要提示</w:t>
      </w:r>
    </w:p>
    <w:p>
      <w:pPr>
        <w:pStyle w:val="BodyText"/>
        <w:spacing w:line="364" w:lineRule="auto" w:before="224"/>
        <w:ind w:left="484" w:right="640" w:hanging="368"/>
      </w:pPr>
      <w:r>
        <w:rPr>
          <w:spacing w:val="-7"/>
        </w:rPr>
        <w:t>一、 本公司董事会、监事会及董事、监事、高级管理人员保证年度报告内容的真实性、准确性、</w:t>
      </w:r>
      <w:r>
        <w:rPr/>
        <w:t>完整性，不存在虚假记载、误导性陈述或重大遗漏，并承担个别和连带的法律责任。</w:t>
      </w:r>
    </w:p>
    <w:p>
      <w:pPr>
        <w:pStyle w:val="BodyText"/>
        <w:spacing w:line="267" w:lineRule="exact"/>
        <w:ind w:left="117"/>
      </w:pPr>
      <w:r>
        <w:rPr>
          <w:w w:val="100"/>
        </w:rPr>
        <w:t> </w:t>
      </w:r>
    </w:p>
    <w:p>
      <w:pPr>
        <w:pStyle w:val="BodyText"/>
        <w:spacing w:before="4"/>
        <w:ind w:left="117"/>
      </w:pPr>
      <w:r>
        <w:rPr>
          <w:spacing w:val="-9"/>
        </w:rPr>
        <w:t>二、 公司全体董事出席董事会会议。</w:t>
      </w:r>
    </w:p>
    <w:p>
      <w:pPr>
        <w:pStyle w:val="BodyText"/>
        <w:spacing w:before="139"/>
        <w:ind w:left="117"/>
      </w:pPr>
      <w:r>
        <w:rPr>
          <w:w w:val="100"/>
        </w:rPr>
        <w:t> </w:t>
      </w:r>
    </w:p>
    <w:p>
      <w:pPr>
        <w:pStyle w:val="BodyText"/>
        <w:spacing w:line="364" w:lineRule="auto" w:before="5"/>
        <w:ind w:left="537" w:right="1156" w:hanging="420"/>
      </w:pPr>
      <w:r>
        <w:rPr/>
        <w:t>三、 普华永道中天会计师事务所（特殊普通合伙）为本公司出具了标准无保留意见的审计报告。 </w:t>
      </w:r>
    </w:p>
    <w:p>
      <w:pPr>
        <w:pStyle w:val="BodyText"/>
        <w:spacing w:line="267" w:lineRule="exact"/>
        <w:ind w:left="117"/>
      </w:pPr>
      <w:r>
        <w:rPr>
          <w:w w:val="100"/>
        </w:rPr>
        <w:t> </w:t>
      </w:r>
    </w:p>
    <w:p>
      <w:pPr>
        <w:pStyle w:val="BodyText"/>
        <w:spacing w:line="367" w:lineRule="auto" w:before="2"/>
        <w:ind w:left="537" w:right="846" w:hanging="420"/>
      </w:pPr>
      <w:r>
        <w:rPr>
          <w:spacing w:val="-6"/>
        </w:rPr>
        <w:t>四、 公司负责人李军旗、主管会计工作负责人郭俊宏及会计机构负责人</w:t>
      </w:r>
      <w:r>
        <w:rPr/>
        <w:t>（会计主管人员）黄昭期声明：保证年度报告中财务报告的真实、准确、完整。 </w:t>
      </w:r>
    </w:p>
    <w:p>
      <w:pPr>
        <w:pStyle w:val="BodyText"/>
        <w:spacing w:line="265" w:lineRule="exact"/>
        <w:ind w:left="117"/>
      </w:pPr>
      <w:r>
        <w:rPr>
          <w:w w:val="100"/>
        </w:rPr>
        <w:t> </w:t>
      </w:r>
    </w:p>
    <w:p>
      <w:pPr>
        <w:pStyle w:val="BodyText"/>
        <w:spacing w:before="2"/>
        <w:ind w:left="117"/>
      </w:pPr>
      <w:r>
        <w:rPr>
          <w:spacing w:val="-4"/>
        </w:rPr>
        <w:t>五、 董事会决议通过的本报告期利润分配预案或公积金转增股本预案</w:t>
      </w:r>
      <w:r>
        <w:rPr/>
        <w:t> </w:t>
      </w:r>
    </w:p>
    <w:p>
      <w:pPr>
        <w:pStyle w:val="BodyText"/>
        <w:ind w:left="0"/>
        <w:rPr>
          <w:sz w:val="17"/>
        </w:rPr>
      </w:pPr>
    </w:p>
    <w:p>
      <w:pPr>
        <w:pStyle w:val="BodyText"/>
        <w:spacing w:line="321" w:lineRule="auto"/>
        <w:ind w:left="117" w:right="858" w:firstLine="420"/>
      </w:pPr>
      <w:r>
        <w:rPr/>
        <w:t>公司</w:t>
      </w:r>
      <w:r>
        <w:rPr>
          <w:rFonts w:ascii="Times New Roman" w:eastAsia="Times New Roman"/>
        </w:rPr>
        <w:t>2022</w:t>
      </w:r>
      <w:r>
        <w:rPr/>
        <w:t>年度利润分配预案为：以实施</w:t>
      </w:r>
      <w:r>
        <w:rPr>
          <w:rFonts w:ascii="Times New Roman" w:eastAsia="Times New Roman"/>
        </w:rPr>
        <w:t>2022</w:t>
      </w:r>
      <w:r>
        <w:rPr/>
        <w:t>年度利润分配股权登记日的总股本（扣除拟回购注销的限制性股票）为基数，向全体股东每</w:t>
      </w:r>
      <w:r>
        <w:rPr>
          <w:rFonts w:ascii="Times New Roman" w:eastAsia="Times New Roman"/>
        </w:rPr>
        <w:t>10</w:t>
      </w:r>
      <w:r>
        <w:rPr/>
        <w:t>股派发现金红利人民币</w:t>
      </w:r>
      <w:r>
        <w:rPr>
          <w:rFonts w:ascii="Times New Roman" w:eastAsia="Times New Roman"/>
        </w:rPr>
        <w:t>5.5</w:t>
      </w:r>
      <w:r>
        <w:rPr/>
        <w:t>元（含税）。本预案尚需提交公司股东大会审议。</w:t>
      </w:r>
    </w:p>
    <w:p>
      <w:pPr>
        <w:pStyle w:val="BodyText"/>
        <w:spacing w:line="267" w:lineRule="exact"/>
        <w:ind w:left="117"/>
      </w:pPr>
      <w:r>
        <w:rPr>
          <w:w w:val="100"/>
        </w:rPr>
        <w:t> </w:t>
      </w:r>
    </w:p>
    <w:p>
      <w:pPr>
        <w:pStyle w:val="BodyText"/>
        <w:spacing w:before="14"/>
        <w:ind w:left="117"/>
      </w:pPr>
      <w:r>
        <w:rPr>
          <w:spacing w:val="-4"/>
        </w:rPr>
        <w:t>六、 前瞻性陈述的风险声明</w:t>
      </w:r>
    </w:p>
    <w:p>
      <w:pPr>
        <w:pStyle w:val="BodyText"/>
        <w:spacing w:before="139"/>
        <w:ind w:left="117"/>
      </w:pPr>
      <w:r>
        <w:rPr>
          <w:spacing w:val="-1"/>
        </w:rPr>
        <w:t>√适用 □不适用</w:t>
      </w:r>
      <w:r>
        <w:rPr>
          <w:spacing w:val="-3"/>
        </w:rPr>
        <w:t> </w:t>
      </w:r>
      <w:r>
        <w:rPr/>
        <w:t> </w:t>
      </w:r>
    </w:p>
    <w:p>
      <w:pPr>
        <w:pStyle w:val="BodyText"/>
        <w:spacing w:line="321" w:lineRule="auto" w:before="79"/>
        <w:ind w:left="117" w:right="858"/>
      </w:pPr>
      <w:r>
        <w:rPr/>
        <w:t>本报告中所涉及的未来计划、发展战略等前瞻性陈述不构成公司对投资者的实质承诺，敬请投资者注意投资风险。 </w:t>
      </w:r>
    </w:p>
    <w:p>
      <w:pPr>
        <w:pStyle w:val="BodyText"/>
        <w:spacing w:line="268" w:lineRule="exact"/>
        <w:ind w:left="117"/>
      </w:pPr>
      <w:r>
        <w:rPr>
          <w:w w:val="100"/>
        </w:rPr>
        <w:t> </w:t>
      </w:r>
    </w:p>
    <w:p>
      <w:pPr>
        <w:pStyle w:val="BodyText"/>
        <w:spacing w:line="434" w:lineRule="auto" w:before="14"/>
        <w:ind w:left="117" w:right="3981"/>
      </w:pPr>
      <w:r>
        <w:rPr>
          <w:spacing w:val="-11"/>
        </w:rPr>
        <w:t>七、 是否存在被控股股东及其他关联方非经营性占用资金情况</w:t>
      </w:r>
      <w:r>
        <w:rPr/>
        <w:t>否</w:t>
      </w:r>
    </w:p>
    <w:p>
      <w:pPr>
        <w:pStyle w:val="BodyText"/>
        <w:spacing w:line="410" w:lineRule="atLeast" w:before="16"/>
        <w:ind w:left="117" w:right="4615"/>
      </w:pPr>
      <w:r>
        <w:rPr/>
        <w:t>八、 是否存在违反规定决策程序对外提供担保的情况否 </w:t>
      </w:r>
    </w:p>
    <w:p>
      <w:pPr>
        <w:pStyle w:val="BodyText"/>
        <w:ind w:left="117"/>
      </w:pPr>
      <w:r>
        <w:rPr>
          <w:w w:val="100"/>
        </w:rPr>
        <w:t> </w:t>
      </w:r>
    </w:p>
    <w:p>
      <w:pPr>
        <w:pStyle w:val="BodyText"/>
        <w:spacing w:before="4"/>
        <w:ind w:left="117"/>
      </w:pPr>
      <w:r>
        <w:rPr/>
        <w:t>九、 是否存在半数以上董事无法保证公司所披露年度报告的真实性、准确性和完整性</w:t>
      </w:r>
    </w:p>
    <w:p>
      <w:pPr>
        <w:pStyle w:val="BodyText"/>
        <w:spacing w:before="139"/>
        <w:ind w:left="117"/>
      </w:pPr>
      <w:r>
        <w:rPr/>
        <w:t>否 </w:t>
      </w:r>
    </w:p>
    <w:p>
      <w:pPr>
        <w:pStyle w:val="BodyText"/>
        <w:spacing w:before="3"/>
        <w:ind w:left="117"/>
      </w:pPr>
      <w:r>
        <w:rPr>
          <w:spacing w:val="12"/>
        </w:rPr>
        <w:t>十、 重大风险提示</w:t>
      </w:r>
    </w:p>
    <w:p>
      <w:pPr>
        <w:pStyle w:val="BodyText"/>
        <w:spacing w:before="141"/>
        <w:ind w:left="117"/>
      </w:pPr>
      <w:r>
        <w:rPr>
          <w:spacing w:val="-1"/>
        </w:rPr>
        <w:t>关于本公司所面临主要风险见“第三节管理层讨论与分析”中“可能面对的风险”部分的描述。</w:t>
      </w:r>
      <w:r>
        <w:rPr/>
        <w:t> </w:t>
      </w:r>
    </w:p>
    <w:p>
      <w:pPr>
        <w:pStyle w:val="BodyText"/>
        <w:spacing w:before="3"/>
        <w:ind w:left="117"/>
      </w:pPr>
      <w:r>
        <w:rPr>
          <w:w w:val="100"/>
        </w:rPr>
        <w:t> </w:t>
      </w:r>
    </w:p>
    <w:p>
      <w:pPr>
        <w:pStyle w:val="BodyText"/>
        <w:spacing w:before="4"/>
        <w:ind w:left="117"/>
      </w:pPr>
      <w:r>
        <w:rPr>
          <w:spacing w:val="-16"/>
        </w:rPr>
        <w:t>十一、 其他</w:t>
      </w:r>
    </w:p>
    <w:p>
      <w:pPr>
        <w:pStyle w:val="BodyText"/>
        <w:spacing w:before="139"/>
        <w:ind w:left="117"/>
      </w:pPr>
      <w:r>
        <w:rPr>
          <w:spacing w:val="-1"/>
        </w:rPr>
        <w:t>□适用 √不适用</w:t>
      </w:r>
      <w:r>
        <w:rPr>
          <w:spacing w:val="-3"/>
        </w:rPr>
        <w:t> </w:t>
      </w:r>
      <w:r>
        <w:rPr/>
        <w:t> </w:t>
      </w:r>
    </w:p>
    <w:p>
      <w:pPr>
        <w:pStyle w:val="BodyText"/>
        <w:spacing w:before="2"/>
        <w:ind w:left="117"/>
      </w:pPr>
      <w:r>
        <w:rPr>
          <w:w w:val="100"/>
        </w:rPr>
        <w:t> </w:t>
      </w:r>
    </w:p>
    <w:p>
      <w:pPr>
        <w:pStyle w:val="BodyText"/>
        <w:tabs>
          <w:tab w:pos="2997" w:val="left" w:leader="none"/>
        </w:tabs>
        <w:spacing w:before="5"/>
        <w:ind w:left="117"/>
      </w:pPr>
      <w:r>
        <w:rPr>
          <w:w w:val="100"/>
        </w:rPr>
        <w:t> </w:t>
      </w:r>
      <w:r>
        <w:rPr/>
        <w:tab/>
      </w:r>
      <w:r>
        <w:rPr>
          <w:w w:val="100"/>
        </w:rPr>
        <w:t> </w:t>
      </w:r>
    </w:p>
    <w:p>
      <w:pPr>
        <w:spacing w:after="0"/>
        <w:sectPr>
          <w:pgSz w:w="11910" w:h="16840"/>
          <w:pgMar w:header="880" w:footer="1195" w:top="1120" w:bottom="1380" w:left="1160" w:right="940"/>
        </w:sectPr>
      </w:pPr>
    </w:p>
    <w:p>
      <w:pPr>
        <w:pStyle w:val="BodyText"/>
        <w:ind w:left="0"/>
        <w:rPr>
          <w:sz w:val="20"/>
        </w:rPr>
      </w:pPr>
    </w:p>
    <w:p>
      <w:pPr>
        <w:pStyle w:val="Heading2"/>
      </w:pPr>
      <w:r>
        <w:rPr/>
        <w:t>目录 </w:t>
      </w:r>
    </w:p>
    <w:sdt>
      <w:sdtPr>
        <w:docPartObj>
          <w:docPartGallery w:val="Table of Contents"/>
          <w:docPartUnique/>
        </w:docPartObj>
      </w:sdtPr>
      <w:sdtEndPr/>
      <w:sdtContent>
        <w:p>
          <w:pPr>
            <w:pStyle w:val="TOC1"/>
            <w:tabs>
              <w:tab w:pos="1377" w:val="left" w:leader="none"/>
              <w:tab w:pos="8941" w:val="right" w:leader="dot"/>
            </w:tabs>
            <w:spacing w:before="369"/>
            <w:rPr>
              <w:rFonts w:ascii="Times New Roman" w:eastAsia="Times New Roman"/>
            </w:rPr>
          </w:pPr>
          <w:r>
            <w:fldChar w:fldCharType="begin"/>
          </w:r>
          <w:r>
            <w:instrText>TOC \o "1-1" \h \z \u </w:instrText>
          </w:r>
          <w:r>
            <w:fldChar w:fldCharType="separate"/>
          </w:r>
          <w:hyperlink w:history="true" w:anchor="_bookmark0">
            <w:r>
              <w:rPr/>
              <w:t>第一节</w:t>
              <w:tab/>
              <w:t>释义</w:t>
            </w:r>
            <w:r>
              <w:rPr>
                <w:rFonts w:ascii="Times New Roman" w:eastAsia="Times New Roman"/>
              </w:rPr>
              <w:tab/>
              <w:t>6</w:t>
            </w:r>
          </w:hyperlink>
        </w:p>
        <w:p>
          <w:pPr>
            <w:pStyle w:val="TOC1"/>
            <w:tabs>
              <w:tab w:pos="1377" w:val="left" w:leader="none"/>
              <w:tab w:pos="8941" w:val="right" w:leader="dot"/>
            </w:tabs>
            <w:rPr>
              <w:rFonts w:ascii="Times New Roman" w:eastAsia="Times New Roman"/>
            </w:rPr>
          </w:pPr>
          <w:hyperlink w:history="true" w:anchor="_bookmark1">
            <w:r>
              <w:rPr/>
              <w:t>第二节</w:t>
              <w:tab/>
              <w:t>公司简介和主要财务指标</w:t>
            </w:r>
            <w:r>
              <w:rPr>
                <w:rFonts w:ascii="Times New Roman" w:eastAsia="Times New Roman"/>
              </w:rPr>
              <w:tab/>
              <w:t>8</w:t>
            </w:r>
          </w:hyperlink>
        </w:p>
        <w:p>
          <w:pPr>
            <w:pStyle w:val="TOC1"/>
            <w:tabs>
              <w:tab w:pos="1377" w:val="left" w:leader="none"/>
              <w:tab w:pos="8941" w:val="right" w:leader="dot"/>
            </w:tabs>
            <w:rPr>
              <w:rFonts w:ascii="Times New Roman" w:eastAsia="Times New Roman"/>
            </w:rPr>
          </w:pPr>
          <w:hyperlink w:history="true" w:anchor="_bookmark2">
            <w:r>
              <w:rPr/>
              <w:t>第三节</w:t>
              <w:tab/>
              <w:t>管理层讨论与分析</w:t>
            </w:r>
            <w:r>
              <w:rPr>
                <w:rFonts w:ascii="Times New Roman" w:eastAsia="Times New Roman"/>
              </w:rPr>
              <w:tab/>
              <w:t>12</w:t>
            </w:r>
          </w:hyperlink>
        </w:p>
        <w:p>
          <w:pPr>
            <w:pStyle w:val="TOC1"/>
            <w:tabs>
              <w:tab w:pos="1377" w:val="left" w:leader="none"/>
              <w:tab w:pos="8941" w:val="right" w:leader="dot"/>
            </w:tabs>
            <w:rPr>
              <w:rFonts w:ascii="Times New Roman" w:eastAsia="Times New Roman"/>
            </w:rPr>
          </w:pPr>
          <w:hyperlink w:history="true" w:anchor="_bookmark3">
            <w:r>
              <w:rPr/>
              <w:t>第四节</w:t>
              <w:tab/>
              <w:t>公司治理</w:t>
            </w:r>
            <w:r>
              <w:rPr>
                <w:rFonts w:ascii="Times New Roman" w:eastAsia="Times New Roman"/>
              </w:rPr>
              <w:tab/>
              <w:t>28</w:t>
            </w:r>
          </w:hyperlink>
        </w:p>
        <w:p>
          <w:pPr>
            <w:pStyle w:val="TOC1"/>
            <w:tabs>
              <w:tab w:pos="1377" w:val="left" w:leader="none"/>
              <w:tab w:pos="8941" w:val="right" w:leader="dot"/>
            </w:tabs>
            <w:rPr>
              <w:rFonts w:ascii="Times New Roman" w:eastAsia="Times New Roman"/>
            </w:rPr>
          </w:pPr>
          <w:hyperlink w:history="true" w:anchor="_bookmark4">
            <w:r>
              <w:rPr/>
              <w:t>第五节</w:t>
              <w:tab/>
              <w:t>环境与社会责任</w:t>
            </w:r>
            <w:r>
              <w:rPr>
                <w:rFonts w:ascii="Times New Roman" w:eastAsia="Times New Roman"/>
              </w:rPr>
              <w:tab/>
              <w:t>57</w:t>
            </w:r>
          </w:hyperlink>
        </w:p>
        <w:p>
          <w:pPr>
            <w:pStyle w:val="TOC1"/>
            <w:tabs>
              <w:tab w:pos="1377" w:val="left" w:leader="none"/>
              <w:tab w:pos="8941" w:val="right" w:leader="dot"/>
            </w:tabs>
            <w:spacing w:before="141"/>
            <w:rPr>
              <w:rFonts w:ascii="Times New Roman" w:eastAsia="Times New Roman"/>
            </w:rPr>
          </w:pPr>
          <w:hyperlink w:history="true" w:anchor="_bookmark5">
            <w:r>
              <w:rPr/>
              <w:t>第六节</w:t>
              <w:tab/>
              <w:t>重要事项</w:t>
            </w:r>
            <w:r>
              <w:rPr>
                <w:rFonts w:ascii="Times New Roman" w:eastAsia="Times New Roman"/>
              </w:rPr>
              <w:tab/>
              <w:t>73</w:t>
            </w:r>
          </w:hyperlink>
        </w:p>
        <w:p>
          <w:pPr>
            <w:pStyle w:val="TOC1"/>
            <w:tabs>
              <w:tab w:pos="1377" w:val="left" w:leader="none"/>
              <w:tab w:pos="8941" w:val="right" w:leader="dot"/>
            </w:tabs>
            <w:rPr>
              <w:rFonts w:ascii="Times New Roman" w:eastAsia="Times New Roman"/>
            </w:rPr>
          </w:pPr>
          <w:hyperlink w:history="true" w:anchor="_bookmark6">
            <w:r>
              <w:rPr/>
              <w:t>第七节</w:t>
              <w:tab/>
              <w:t>股份变动及股东情况</w:t>
            </w:r>
            <w:r>
              <w:rPr>
                <w:rFonts w:ascii="Times New Roman" w:eastAsia="Times New Roman"/>
              </w:rPr>
              <w:tab/>
              <w:t>97</w:t>
            </w:r>
          </w:hyperlink>
        </w:p>
        <w:p>
          <w:pPr>
            <w:pStyle w:val="TOC1"/>
            <w:tabs>
              <w:tab w:pos="1377" w:val="left" w:leader="none"/>
              <w:tab w:pos="8943" w:val="right" w:leader="dot"/>
            </w:tabs>
            <w:rPr>
              <w:rFonts w:ascii="Times New Roman" w:eastAsia="Times New Roman"/>
            </w:rPr>
          </w:pPr>
          <w:hyperlink w:history="true" w:anchor="_bookmark7">
            <w:r>
              <w:rPr/>
              <w:t>第八节</w:t>
              <w:tab/>
              <w:t>优先股相关情况</w:t>
            </w:r>
            <w:r>
              <w:rPr>
                <w:rFonts w:ascii="Times New Roman" w:eastAsia="Times New Roman"/>
              </w:rPr>
              <w:tab/>
              <w:t>104</w:t>
            </w:r>
          </w:hyperlink>
        </w:p>
        <w:p>
          <w:pPr>
            <w:pStyle w:val="TOC1"/>
            <w:tabs>
              <w:tab w:pos="1377" w:val="left" w:leader="none"/>
              <w:tab w:pos="8943" w:val="right" w:leader="dot"/>
            </w:tabs>
            <w:spacing w:before="140"/>
            <w:rPr>
              <w:rFonts w:ascii="Times New Roman" w:eastAsia="Times New Roman"/>
            </w:rPr>
          </w:pPr>
          <w:hyperlink w:history="true" w:anchor="_bookmark8">
            <w:r>
              <w:rPr/>
              <w:t>第九节</w:t>
              <w:tab/>
              <w:t>债券相关情况</w:t>
            </w:r>
            <w:r>
              <w:rPr>
                <w:rFonts w:ascii="Times New Roman" w:eastAsia="Times New Roman"/>
              </w:rPr>
              <w:tab/>
              <w:t>104</w:t>
            </w:r>
          </w:hyperlink>
        </w:p>
        <w:p>
          <w:pPr>
            <w:pStyle w:val="TOC1"/>
            <w:tabs>
              <w:tab w:pos="1377" w:val="left" w:leader="none"/>
              <w:tab w:pos="8943" w:val="right" w:leader="dot"/>
            </w:tabs>
            <w:spacing w:before="141"/>
            <w:rPr>
              <w:rFonts w:ascii="Times New Roman" w:eastAsia="Times New Roman"/>
            </w:rPr>
          </w:pPr>
          <w:hyperlink w:history="true" w:anchor="_bookmark9">
            <w:r>
              <w:rPr/>
              <w:t>第十节</w:t>
              <w:tab/>
              <w:t>财务报告</w:t>
            </w:r>
            <w:r>
              <w:rPr>
                <w:rFonts w:ascii="Times New Roman" w:eastAsia="Times New Roman"/>
              </w:rPr>
              <w:tab/>
              <w:t>105</w:t>
            </w:r>
          </w:hyperlink>
        </w:p>
        <w:p>
          <w:pPr>
            <w:spacing w:line="139" w:lineRule="exact"/>
            <w:rPr>
              <w:sz w:val="14"/>
            </w:rPr>
          </w:pPr>
          <w:r>
            <w:fldChar w:fldCharType="end"/>
          </w:r>
        </w:p>
      </w:sdtContent>
    </w:sdt>
    <w:p>
      <w:pPr>
        <w:pStyle w:val="BodyText"/>
        <w:ind w:left="117"/>
      </w:pPr>
      <w:r>
        <w:rPr>
          <w:w w:val="100"/>
        </w:rPr>
        <w:t> </w:t>
      </w:r>
    </w:p>
    <w:p>
      <w:pPr>
        <w:pStyle w:val="Heading3"/>
        <w:spacing w:before="49" w:after="5"/>
        <w:jc w:val="left"/>
      </w:pPr>
      <w:r>
        <w:rPr/>
        <w:t> </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5"/>
        <w:gridCol w:w="6549"/>
      </w:tblGrid>
      <w:tr>
        <w:trPr>
          <w:trHeight w:val="544" w:hRule="atLeast"/>
        </w:trPr>
        <w:tc>
          <w:tcPr>
            <w:tcW w:w="2275" w:type="dxa"/>
            <w:vMerge w:val="restart"/>
          </w:tcPr>
          <w:p>
            <w:pPr>
              <w:pStyle w:val="TableParagraph"/>
              <w:spacing w:before="421"/>
              <w:ind w:left="506"/>
              <w:rPr>
                <w:sz w:val="21"/>
              </w:rPr>
            </w:pPr>
            <w:r>
              <w:rPr>
                <w:spacing w:val="-1"/>
                <w:sz w:val="21"/>
              </w:rPr>
              <w:t>备查文件目录</w:t>
            </w:r>
            <w:r>
              <w:rPr>
                <w:sz w:val="21"/>
              </w:rPr>
              <w:t> </w:t>
            </w:r>
          </w:p>
        </w:tc>
        <w:tc>
          <w:tcPr>
            <w:tcW w:w="6549" w:type="dxa"/>
          </w:tcPr>
          <w:p>
            <w:pPr>
              <w:pStyle w:val="TableParagraph"/>
              <w:spacing w:before="1"/>
              <w:ind w:left="31"/>
              <w:rPr>
                <w:sz w:val="21"/>
              </w:rPr>
            </w:pPr>
            <w:r>
              <w:rPr>
                <w:sz w:val="21"/>
              </w:rPr>
              <w:t>1、载有公司负责人、主管会计工作负责人、会计机构负责人（会计主</w:t>
            </w:r>
          </w:p>
          <w:p>
            <w:pPr>
              <w:pStyle w:val="TableParagraph"/>
              <w:spacing w:line="250" w:lineRule="exact" w:before="4"/>
              <w:ind w:left="31"/>
              <w:rPr>
                <w:sz w:val="21"/>
              </w:rPr>
            </w:pPr>
            <w:r>
              <w:rPr>
                <w:spacing w:val="-1"/>
                <w:sz w:val="21"/>
              </w:rPr>
              <w:t>管人员</w:t>
            </w:r>
            <w:r>
              <w:rPr>
                <w:sz w:val="21"/>
              </w:rPr>
              <w:t>）签名并盖章的财务报表。 </w:t>
            </w:r>
          </w:p>
        </w:tc>
      </w:tr>
      <w:tr>
        <w:trPr>
          <w:trHeight w:val="273" w:hRule="atLeast"/>
        </w:trPr>
        <w:tc>
          <w:tcPr>
            <w:tcW w:w="2275" w:type="dxa"/>
            <w:vMerge/>
            <w:tcBorders>
              <w:top w:val="nil"/>
            </w:tcBorders>
          </w:tcPr>
          <w:p>
            <w:pPr>
              <w:rPr>
                <w:sz w:val="2"/>
                <w:szCs w:val="2"/>
              </w:rPr>
            </w:pPr>
          </w:p>
        </w:tc>
        <w:tc>
          <w:tcPr>
            <w:tcW w:w="6549" w:type="dxa"/>
          </w:tcPr>
          <w:p>
            <w:pPr>
              <w:pStyle w:val="TableParagraph"/>
              <w:spacing w:line="250" w:lineRule="exact" w:before="3"/>
              <w:ind w:left="31" w:right="-15"/>
              <w:rPr>
                <w:sz w:val="21"/>
              </w:rPr>
            </w:pPr>
            <w:r>
              <w:rPr>
                <w:sz w:val="21"/>
              </w:rPr>
              <w:t>2、载有会计师事务所盖章、注册会计师签名并盖章的审计报告原件。 </w:t>
            </w:r>
          </w:p>
        </w:tc>
      </w:tr>
      <w:tr>
        <w:trPr>
          <w:trHeight w:val="273" w:hRule="atLeast"/>
        </w:trPr>
        <w:tc>
          <w:tcPr>
            <w:tcW w:w="2275" w:type="dxa"/>
            <w:vMerge/>
            <w:tcBorders>
              <w:top w:val="nil"/>
            </w:tcBorders>
          </w:tcPr>
          <w:p>
            <w:pPr>
              <w:rPr>
                <w:sz w:val="2"/>
                <w:szCs w:val="2"/>
              </w:rPr>
            </w:pPr>
          </w:p>
        </w:tc>
        <w:tc>
          <w:tcPr>
            <w:tcW w:w="6549" w:type="dxa"/>
          </w:tcPr>
          <w:p>
            <w:pPr>
              <w:pStyle w:val="TableParagraph"/>
              <w:spacing w:line="252" w:lineRule="exact" w:before="1"/>
              <w:ind w:left="31"/>
              <w:rPr>
                <w:sz w:val="21"/>
              </w:rPr>
            </w:pPr>
            <w:r>
              <w:rPr>
                <w:sz w:val="21"/>
              </w:rPr>
              <w:t>3、报告期内公开披露过的所有公司文件的正本及公告的原稿。 </w:t>
            </w:r>
          </w:p>
        </w:tc>
      </w:tr>
    </w:tbl>
    <w:p>
      <w:pPr>
        <w:spacing w:after="0" w:line="252" w:lineRule="exact"/>
        <w:rPr>
          <w:sz w:val="21"/>
        </w:rPr>
        <w:sectPr>
          <w:pgSz w:w="11910" w:h="16840"/>
          <w:pgMar w:header="880" w:footer="1195" w:top="1120" w:bottom="1380" w:left="1160" w:right="940"/>
        </w:sectPr>
      </w:pPr>
    </w:p>
    <w:p>
      <w:pPr>
        <w:pStyle w:val="BodyText"/>
        <w:ind w:left="0"/>
        <w:rPr>
          <w:sz w:val="20"/>
        </w:rPr>
      </w:pPr>
    </w:p>
    <w:p>
      <w:pPr>
        <w:pStyle w:val="Heading1"/>
        <w:spacing w:line="240" w:lineRule="auto" w:before="111"/>
        <w:ind w:right="1757"/>
      </w:pPr>
      <w:bookmarkStart w:name="_bookmark0" w:id="1"/>
      <w:bookmarkEnd w:id="1"/>
      <w:r>
        <w:rPr>
          <w:b w:val="0"/>
        </w:rPr>
      </w:r>
      <w:r>
        <w:rPr/>
        <w:t>第一节      释义</w:t>
      </w:r>
    </w:p>
    <w:p>
      <w:pPr>
        <w:pStyle w:val="BodyText"/>
        <w:spacing w:before="185"/>
        <w:ind w:left="638"/>
      </w:pPr>
      <w:r>
        <w:rPr>
          <w:spacing w:val="12"/>
        </w:rPr>
        <w:t>一、 释义</w:t>
      </w:r>
    </w:p>
    <w:p>
      <w:pPr>
        <w:pStyle w:val="BodyText"/>
        <w:spacing w:before="64"/>
        <w:ind w:left="638"/>
      </w:pPr>
      <w:r>
        <w:rPr>
          <w:spacing w:val="-1"/>
        </w:rPr>
        <w:t>在本报告书中，除非文义另有所指，下列词语具有如下含义：</w:t>
      </w:r>
      <w:r>
        <w:rPr/>
        <w:t> </w:t>
      </w: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7"/>
        <w:gridCol w:w="1135"/>
        <w:gridCol w:w="5142"/>
      </w:tblGrid>
      <w:tr>
        <w:trPr>
          <w:trHeight w:val="273" w:hRule="atLeast"/>
        </w:trPr>
        <w:tc>
          <w:tcPr>
            <w:tcW w:w="8824" w:type="dxa"/>
            <w:gridSpan w:val="3"/>
          </w:tcPr>
          <w:p>
            <w:pPr>
              <w:pStyle w:val="TableParagraph"/>
              <w:spacing w:line="252" w:lineRule="exact" w:before="1"/>
              <w:ind w:left="107"/>
              <w:rPr>
                <w:sz w:val="21"/>
              </w:rPr>
            </w:pPr>
            <w:r>
              <w:rPr>
                <w:spacing w:val="-1"/>
                <w:sz w:val="21"/>
              </w:rPr>
              <w:t>常用词语释义</w:t>
            </w:r>
            <w:r>
              <w:rPr>
                <w:sz w:val="21"/>
              </w:rPr>
              <w:t> </w:t>
            </w:r>
          </w:p>
        </w:tc>
      </w:tr>
      <w:tr>
        <w:trPr>
          <w:trHeight w:val="273" w:hRule="atLeast"/>
        </w:trPr>
        <w:tc>
          <w:tcPr>
            <w:tcW w:w="2547" w:type="dxa"/>
          </w:tcPr>
          <w:p>
            <w:pPr>
              <w:pStyle w:val="TableParagraph"/>
              <w:spacing w:line="252" w:lineRule="exact" w:before="1"/>
              <w:ind w:left="107"/>
              <w:rPr>
                <w:sz w:val="21"/>
              </w:rPr>
            </w:pPr>
            <w:r>
              <w:rPr>
                <w:sz w:val="21"/>
              </w:rPr>
              <w:t>报告期 </w:t>
            </w:r>
          </w:p>
        </w:tc>
        <w:tc>
          <w:tcPr>
            <w:tcW w:w="1135" w:type="dxa"/>
          </w:tcPr>
          <w:p>
            <w:pPr>
              <w:pStyle w:val="TableParagraph"/>
              <w:spacing w:line="252" w:lineRule="exact" w:before="1"/>
              <w:ind w:right="345"/>
              <w:jc w:val="right"/>
              <w:rPr>
                <w:sz w:val="21"/>
              </w:rPr>
            </w:pPr>
            <w:r>
              <w:rPr>
                <w:sz w:val="21"/>
              </w:rPr>
              <w:t>指 </w:t>
            </w:r>
          </w:p>
        </w:tc>
        <w:tc>
          <w:tcPr>
            <w:tcW w:w="5142" w:type="dxa"/>
          </w:tcPr>
          <w:p>
            <w:pPr>
              <w:pStyle w:val="TableParagraph"/>
              <w:spacing w:line="252" w:lineRule="exact" w:before="1"/>
              <w:ind w:left="107"/>
              <w:rPr>
                <w:sz w:val="21"/>
              </w:rPr>
            </w:pPr>
            <w:r>
              <w:rPr>
                <w:sz w:val="21"/>
              </w:rPr>
              <w:t>2022</w:t>
            </w:r>
            <w:r>
              <w:rPr>
                <w:spacing w:val="-36"/>
                <w:sz w:val="21"/>
              </w:rPr>
              <w:t> 年 </w:t>
            </w:r>
            <w:r>
              <w:rPr>
                <w:sz w:val="21"/>
              </w:rPr>
              <w:t>1</w:t>
            </w:r>
            <w:r>
              <w:rPr>
                <w:spacing w:val="-36"/>
                <w:sz w:val="21"/>
              </w:rPr>
              <w:t> 月 </w:t>
            </w:r>
            <w:r>
              <w:rPr>
                <w:sz w:val="21"/>
              </w:rPr>
              <w:t>1</w:t>
            </w:r>
            <w:r>
              <w:rPr>
                <w:spacing w:val="-27"/>
                <w:sz w:val="21"/>
              </w:rPr>
              <w:t> 日至 </w:t>
            </w:r>
            <w:r>
              <w:rPr>
                <w:sz w:val="21"/>
              </w:rPr>
              <w:t>2022</w:t>
            </w:r>
            <w:r>
              <w:rPr>
                <w:spacing w:val="-36"/>
                <w:sz w:val="21"/>
              </w:rPr>
              <w:t> 年 </w:t>
            </w:r>
            <w:r>
              <w:rPr>
                <w:sz w:val="21"/>
              </w:rPr>
              <w:t>12</w:t>
            </w:r>
            <w:r>
              <w:rPr>
                <w:spacing w:val="-36"/>
                <w:sz w:val="21"/>
              </w:rPr>
              <w:t> 月 </w:t>
            </w:r>
            <w:r>
              <w:rPr>
                <w:sz w:val="21"/>
              </w:rPr>
              <w:t>31</w:t>
            </w:r>
            <w:r>
              <w:rPr>
                <w:spacing w:val="-27"/>
                <w:sz w:val="21"/>
              </w:rPr>
              <w:t> 日</w:t>
            </w:r>
            <w:r>
              <w:rPr>
                <w:sz w:val="21"/>
              </w:rPr>
              <w:t> </w:t>
            </w:r>
          </w:p>
        </w:tc>
      </w:tr>
      <w:tr>
        <w:trPr>
          <w:trHeight w:val="544" w:hRule="atLeast"/>
        </w:trPr>
        <w:tc>
          <w:tcPr>
            <w:tcW w:w="2547" w:type="dxa"/>
          </w:tcPr>
          <w:p>
            <w:pPr>
              <w:pStyle w:val="TableParagraph"/>
              <w:spacing w:before="1"/>
              <w:ind w:left="107"/>
              <w:rPr>
                <w:sz w:val="21"/>
              </w:rPr>
            </w:pPr>
            <w:r>
              <w:rPr>
                <w:sz w:val="21"/>
              </w:rPr>
              <w:t>工业富联、公司、本公</w:t>
            </w:r>
          </w:p>
          <w:p>
            <w:pPr>
              <w:pStyle w:val="TableParagraph"/>
              <w:spacing w:line="252" w:lineRule="exact" w:before="2"/>
              <w:ind w:left="107"/>
              <w:rPr>
                <w:sz w:val="21"/>
              </w:rPr>
            </w:pPr>
            <w:r>
              <w:rPr>
                <w:sz w:val="21"/>
              </w:rPr>
              <w:t>司、本集团 </w:t>
            </w:r>
          </w:p>
        </w:tc>
        <w:tc>
          <w:tcPr>
            <w:tcW w:w="1135" w:type="dxa"/>
          </w:tcPr>
          <w:p>
            <w:pPr>
              <w:pStyle w:val="TableParagraph"/>
              <w:spacing w:before="137"/>
              <w:ind w:right="345"/>
              <w:jc w:val="right"/>
              <w:rPr>
                <w:sz w:val="21"/>
              </w:rPr>
            </w:pPr>
            <w:r>
              <w:rPr>
                <w:sz w:val="21"/>
              </w:rPr>
              <w:t>指 </w:t>
            </w:r>
          </w:p>
        </w:tc>
        <w:tc>
          <w:tcPr>
            <w:tcW w:w="5142" w:type="dxa"/>
          </w:tcPr>
          <w:p>
            <w:pPr>
              <w:pStyle w:val="TableParagraph"/>
              <w:spacing w:before="1"/>
              <w:ind w:left="107"/>
              <w:rPr>
                <w:sz w:val="21"/>
              </w:rPr>
            </w:pPr>
            <w:r>
              <w:rPr>
                <w:spacing w:val="-1"/>
                <w:sz w:val="21"/>
              </w:rPr>
              <w:t>富士康工业互联网股份有限公司</w:t>
            </w:r>
            <w:r>
              <w:rPr>
                <w:sz w:val="21"/>
              </w:rPr>
              <w:t> </w:t>
            </w:r>
          </w:p>
        </w:tc>
      </w:tr>
      <w:tr>
        <w:trPr>
          <w:trHeight w:val="1089" w:hRule="atLeast"/>
        </w:trPr>
        <w:tc>
          <w:tcPr>
            <w:tcW w:w="2547" w:type="dxa"/>
          </w:tcPr>
          <w:p>
            <w:pPr>
              <w:pStyle w:val="TableParagraph"/>
              <w:rPr>
                <w:sz w:val="20"/>
              </w:rPr>
            </w:pPr>
          </w:p>
          <w:p>
            <w:pPr>
              <w:pStyle w:val="TableParagraph"/>
              <w:spacing w:before="152"/>
              <w:ind w:left="107"/>
              <w:rPr>
                <w:sz w:val="21"/>
              </w:rPr>
            </w:pPr>
            <w:r>
              <w:rPr>
                <w:spacing w:val="-1"/>
                <w:sz w:val="21"/>
              </w:rPr>
              <w:t>会计准则</w:t>
            </w:r>
            <w:r>
              <w:rPr>
                <w:sz w:val="21"/>
              </w:rPr>
              <w:t> </w:t>
            </w:r>
          </w:p>
        </w:tc>
        <w:tc>
          <w:tcPr>
            <w:tcW w:w="1135" w:type="dxa"/>
          </w:tcPr>
          <w:p>
            <w:pPr>
              <w:pStyle w:val="TableParagraph"/>
              <w:rPr>
                <w:sz w:val="20"/>
              </w:rPr>
            </w:pPr>
          </w:p>
          <w:p>
            <w:pPr>
              <w:pStyle w:val="TableParagraph"/>
              <w:spacing w:before="152"/>
              <w:ind w:right="345"/>
              <w:jc w:val="right"/>
              <w:rPr>
                <w:sz w:val="21"/>
              </w:rPr>
            </w:pPr>
            <w:r>
              <w:rPr>
                <w:sz w:val="21"/>
              </w:rPr>
              <w:t>指 </w:t>
            </w:r>
          </w:p>
        </w:tc>
        <w:tc>
          <w:tcPr>
            <w:tcW w:w="5142" w:type="dxa"/>
          </w:tcPr>
          <w:p>
            <w:pPr>
              <w:pStyle w:val="TableParagraph"/>
              <w:spacing w:line="242" w:lineRule="auto" w:before="1"/>
              <w:ind w:left="107" w:right="93"/>
              <w:jc w:val="both"/>
              <w:rPr>
                <w:sz w:val="21"/>
              </w:rPr>
            </w:pPr>
            <w:r>
              <w:rPr>
                <w:spacing w:val="-11"/>
                <w:sz w:val="21"/>
              </w:rPr>
              <w:t>财政部于 </w:t>
            </w:r>
            <w:r>
              <w:rPr>
                <w:sz w:val="21"/>
              </w:rPr>
              <w:t>2006</w:t>
            </w:r>
            <w:r>
              <w:rPr>
                <w:spacing w:val="-36"/>
                <w:sz w:val="21"/>
              </w:rPr>
              <w:t> 年 </w:t>
            </w:r>
            <w:r>
              <w:rPr>
                <w:sz w:val="21"/>
              </w:rPr>
              <w:t>2</w:t>
            </w:r>
            <w:r>
              <w:rPr>
                <w:spacing w:val="-36"/>
                <w:sz w:val="21"/>
              </w:rPr>
              <w:t> 月 </w:t>
            </w:r>
            <w:r>
              <w:rPr>
                <w:sz w:val="21"/>
              </w:rPr>
              <w:t>15</w:t>
            </w:r>
            <w:r>
              <w:rPr>
                <w:spacing w:val="-17"/>
                <w:sz w:val="21"/>
              </w:rPr>
              <w:t> 日颁布并于 </w:t>
            </w:r>
            <w:r>
              <w:rPr>
                <w:sz w:val="21"/>
              </w:rPr>
              <w:t>2014</w:t>
            </w:r>
            <w:r>
              <w:rPr>
                <w:spacing w:val="-10"/>
                <w:sz w:val="21"/>
              </w:rPr>
              <w:t> 年最新修订</w:t>
            </w:r>
            <w:r>
              <w:rPr>
                <w:sz w:val="21"/>
              </w:rPr>
              <w:t>的《企业会计准则——基本准则》和具体会计准则，</w:t>
            </w:r>
            <w:r>
              <w:rPr>
                <w:spacing w:val="-103"/>
                <w:sz w:val="21"/>
              </w:rPr>
              <w:t> </w:t>
            </w:r>
            <w:r>
              <w:rPr>
                <w:sz w:val="21"/>
              </w:rPr>
              <w:t>财政部颁布的企业会计准则应用指南、企业会计准则</w:t>
            </w:r>
          </w:p>
          <w:p>
            <w:pPr>
              <w:pStyle w:val="TableParagraph"/>
              <w:spacing w:line="252" w:lineRule="exact"/>
              <w:ind w:left="107"/>
              <w:rPr>
                <w:sz w:val="21"/>
              </w:rPr>
            </w:pPr>
            <w:r>
              <w:rPr>
                <w:spacing w:val="-1"/>
                <w:sz w:val="21"/>
              </w:rPr>
              <w:t>解释及其他相关规定</w:t>
            </w:r>
            <w:r>
              <w:rPr>
                <w:sz w:val="21"/>
              </w:rPr>
              <w:t> </w:t>
            </w:r>
          </w:p>
        </w:tc>
      </w:tr>
      <w:tr>
        <w:trPr>
          <w:trHeight w:val="1905" w:hRule="atLeast"/>
        </w:trPr>
        <w:tc>
          <w:tcPr>
            <w:tcW w:w="2547" w:type="dxa"/>
          </w:tcPr>
          <w:p>
            <w:pPr>
              <w:pStyle w:val="TableParagraph"/>
              <w:rPr>
                <w:sz w:val="20"/>
              </w:rPr>
            </w:pPr>
          </w:p>
          <w:p>
            <w:pPr>
              <w:pStyle w:val="TableParagraph"/>
              <w:rPr>
                <w:sz w:val="20"/>
              </w:rPr>
            </w:pPr>
          </w:p>
          <w:p>
            <w:pPr>
              <w:pStyle w:val="TableParagraph"/>
              <w:spacing w:before="10"/>
              <w:rPr>
                <w:sz w:val="23"/>
              </w:rPr>
            </w:pPr>
          </w:p>
          <w:p>
            <w:pPr>
              <w:pStyle w:val="TableParagraph"/>
              <w:ind w:left="107"/>
              <w:rPr>
                <w:sz w:val="21"/>
              </w:rPr>
            </w:pPr>
            <w:r>
              <w:rPr>
                <w:sz w:val="21"/>
              </w:rPr>
              <w:t>云计算 </w:t>
            </w:r>
          </w:p>
        </w:tc>
        <w:tc>
          <w:tcPr>
            <w:tcW w:w="1135" w:type="dxa"/>
          </w:tcPr>
          <w:p>
            <w:pPr>
              <w:pStyle w:val="TableParagraph"/>
              <w:rPr>
                <w:sz w:val="20"/>
              </w:rPr>
            </w:pPr>
          </w:p>
          <w:p>
            <w:pPr>
              <w:pStyle w:val="TableParagraph"/>
              <w:rPr>
                <w:sz w:val="20"/>
              </w:rPr>
            </w:pPr>
          </w:p>
          <w:p>
            <w:pPr>
              <w:pStyle w:val="TableParagraph"/>
              <w:spacing w:before="10"/>
              <w:rPr>
                <w:sz w:val="23"/>
              </w:rPr>
            </w:pPr>
          </w:p>
          <w:p>
            <w:pPr>
              <w:pStyle w:val="TableParagraph"/>
              <w:ind w:right="345"/>
              <w:jc w:val="right"/>
              <w:rPr>
                <w:sz w:val="21"/>
              </w:rPr>
            </w:pPr>
            <w:r>
              <w:rPr>
                <w:sz w:val="21"/>
              </w:rPr>
              <w:t>指 </w:t>
            </w:r>
          </w:p>
        </w:tc>
        <w:tc>
          <w:tcPr>
            <w:tcW w:w="5142" w:type="dxa"/>
          </w:tcPr>
          <w:p>
            <w:pPr>
              <w:pStyle w:val="TableParagraph"/>
              <w:spacing w:line="242" w:lineRule="auto" w:before="1"/>
              <w:ind w:left="107" w:right="91"/>
              <w:jc w:val="both"/>
              <w:rPr>
                <w:sz w:val="21"/>
              </w:rPr>
            </w:pPr>
            <w:r>
              <w:rPr>
                <w:spacing w:val="10"/>
                <w:sz w:val="21"/>
              </w:rPr>
              <w:t>云计算产品及解决方案业务主要为企业及品牌服务</w:t>
            </w:r>
            <w:r>
              <w:rPr>
                <w:sz w:val="21"/>
              </w:rPr>
              <w:t>商、云服务提供商（Cloud</w:t>
            </w:r>
            <w:r>
              <w:rPr>
                <w:spacing w:val="-8"/>
                <w:sz w:val="21"/>
              </w:rPr>
              <w:t> </w:t>
            </w:r>
            <w:r>
              <w:rPr>
                <w:sz w:val="21"/>
              </w:rPr>
              <w:t>Service</w:t>
            </w:r>
            <w:r>
              <w:rPr>
                <w:spacing w:val="-7"/>
                <w:sz w:val="21"/>
              </w:rPr>
              <w:t> </w:t>
            </w:r>
            <w:r>
              <w:rPr>
                <w:sz w:val="21"/>
              </w:rPr>
              <w:t>Providers）、互联网服务商、电信运营商、有线电视运营商等不同类型客户提供涵盖云与边缘计算及存储所需的算力及软硬结合解决方案，包括但不限于服务器、存储、8k</w:t>
            </w:r>
            <w:r>
              <w:rPr>
                <w:spacing w:val="-6"/>
                <w:sz w:val="21"/>
              </w:rPr>
              <w:t> 工</w:t>
            </w:r>
            <w:r>
              <w:rPr>
                <w:spacing w:val="-1"/>
                <w:sz w:val="21"/>
              </w:rPr>
              <w:t>作站</w:t>
            </w:r>
            <w:r>
              <w:rPr>
                <w:sz w:val="21"/>
              </w:rPr>
              <w:t>（8K</w:t>
            </w:r>
            <w:r>
              <w:rPr>
                <w:spacing w:val="43"/>
                <w:sz w:val="21"/>
              </w:rPr>
              <w:t> </w:t>
            </w:r>
            <w:r>
              <w:rPr>
                <w:sz w:val="21"/>
              </w:rPr>
              <w:t>Workstation）</w:t>
            </w:r>
            <w:r>
              <w:rPr>
                <w:spacing w:val="-9"/>
                <w:sz w:val="21"/>
              </w:rPr>
              <w:t>等设备，及 </w:t>
            </w:r>
            <w:r>
              <w:rPr>
                <w:sz w:val="21"/>
              </w:rPr>
              <w:t>HPC</w:t>
            </w:r>
            <w:r>
              <w:rPr>
                <w:spacing w:val="-19"/>
                <w:sz w:val="21"/>
              </w:rPr>
              <w:t> 技术</w:t>
            </w:r>
            <w:r>
              <w:rPr>
                <w:sz w:val="21"/>
              </w:rPr>
              <w:t>/HCI</w:t>
            </w:r>
            <w:r>
              <w:rPr>
                <w:spacing w:val="-28"/>
                <w:sz w:val="21"/>
              </w:rPr>
              <w:t> 架</w:t>
            </w:r>
          </w:p>
          <w:p>
            <w:pPr>
              <w:pStyle w:val="TableParagraph"/>
              <w:spacing w:line="250" w:lineRule="exact" w:before="4"/>
              <w:ind w:left="107"/>
              <w:jc w:val="both"/>
              <w:rPr>
                <w:sz w:val="21"/>
              </w:rPr>
            </w:pPr>
            <w:r>
              <w:rPr>
                <w:spacing w:val="-1"/>
                <w:sz w:val="21"/>
              </w:rPr>
              <w:t>构、浸没式液冷、</w:t>
            </w:r>
            <w:r>
              <w:rPr>
                <w:sz w:val="21"/>
              </w:rPr>
              <w:t>FoxMoD</w:t>
            </w:r>
            <w:r>
              <w:rPr>
                <w:spacing w:val="-15"/>
                <w:sz w:val="21"/>
              </w:rPr>
              <w:t> 等技术</w:t>
            </w:r>
            <w:r>
              <w:rPr>
                <w:sz w:val="21"/>
              </w:rPr>
              <w:t> </w:t>
            </w:r>
          </w:p>
        </w:tc>
      </w:tr>
      <w:tr>
        <w:trPr>
          <w:trHeight w:val="817" w:hRule="atLeast"/>
        </w:trPr>
        <w:tc>
          <w:tcPr>
            <w:tcW w:w="2547" w:type="dxa"/>
          </w:tcPr>
          <w:p>
            <w:pPr>
              <w:pStyle w:val="TableParagraph"/>
              <w:spacing w:before="5"/>
              <w:rPr>
                <w:sz w:val="21"/>
              </w:rPr>
            </w:pPr>
          </w:p>
          <w:p>
            <w:pPr>
              <w:pStyle w:val="TableParagraph"/>
              <w:ind w:left="107"/>
              <w:rPr>
                <w:sz w:val="21"/>
              </w:rPr>
            </w:pPr>
            <w:r>
              <w:rPr>
                <w:spacing w:val="-1"/>
                <w:sz w:val="21"/>
              </w:rPr>
              <w:t>边缘计算</w:t>
            </w:r>
            <w:r>
              <w:rPr>
                <w:sz w:val="21"/>
              </w:rPr>
              <w:t> </w:t>
            </w:r>
          </w:p>
        </w:tc>
        <w:tc>
          <w:tcPr>
            <w:tcW w:w="1135" w:type="dxa"/>
          </w:tcPr>
          <w:p>
            <w:pPr>
              <w:pStyle w:val="TableParagraph"/>
              <w:spacing w:before="5"/>
              <w:rPr>
                <w:sz w:val="21"/>
              </w:rPr>
            </w:pPr>
          </w:p>
          <w:p>
            <w:pPr>
              <w:pStyle w:val="TableParagraph"/>
              <w:ind w:right="345"/>
              <w:jc w:val="right"/>
              <w:rPr>
                <w:sz w:val="21"/>
              </w:rPr>
            </w:pPr>
            <w:r>
              <w:rPr>
                <w:sz w:val="21"/>
              </w:rPr>
              <w:t>指 </w:t>
            </w:r>
          </w:p>
        </w:tc>
        <w:tc>
          <w:tcPr>
            <w:tcW w:w="5142" w:type="dxa"/>
          </w:tcPr>
          <w:p>
            <w:pPr>
              <w:pStyle w:val="TableParagraph"/>
              <w:spacing w:before="1"/>
              <w:ind w:left="107"/>
              <w:rPr>
                <w:sz w:val="21"/>
              </w:rPr>
            </w:pPr>
            <w:r>
              <w:rPr>
                <w:sz w:val="21"/>
              </w:rPr>
              <w:t>是指靠近物或数据源头的一侧，采用网络、计算、存</w:t>
            </w:r>
          </w:p>
          <w:p>
            <w:pPr>
              <w:pStyle w:val="TableParagraph"/>
              <w:spacing w:line="270" w:lineRule="atLeast"/>
              <w:ind w:left="107" w:right="97"/>
              <w:rPr>
                <w:sz w:val="21"/>
              </w:rPr>
            </w:pPr>
            <w:r>
              <w:rPr>
                <w:sz w:val="21"/>
              </w:rPr>
              <w:t>储、应用核心能力为一体的开发平台，就近提供最近段服务 </w:t>
            </w:r>
          </w:p>
        </w:tc>
      </w:tr>
      <w:tr>
        <w:trPr>
          <w:trHeight w:val="273" w:hRule="atLeast"/>
        </w:trPr>
        <w:tc>
          <w:tcPr>
            <w:tcW w:w="2547" w:type="dxa"/>
          </w:tcPr>
          <w:p>
            <w:pPr>
              <w:pStyle w:val="TableParagraph"/>
              <w:spacing w:line="252" w:lineRule="exact" w:before="1"/>
              <w:ind w:left="107"/>
              <w:rPr>
                <w:sz w:val="21"/>
              </w:rPr>
            </w:pPr>
            <w:r>
              <w:rPr>
                <w:sz w:val="21"/>
              </w:rPr>
              <w:t>AR </w:t>
            </w:r>
          </w:p>
        </w:tc>
        <w:tc>
          <w:tcPr>
            <w:tcW w:w="1135" w:type="dxa"/>
          </w:tcPr>
          <w:p>
            <w:pPr>
              <w:pStyle w:val="TableParagraph"/>
              <w:spacing w:line="252" w:lineRule="exact" w:before="1"/>
              <w:ind w:right="345"/>
              <w:jc w:val="right"/>
              <w:rPr>
                <w:sz w:val="21"/>
              </w:rPr>
            </w:pPr>
            <w:r>
              <w:rPr>
                <w:sz w:val="21"/>
              </w:rPr>
              <w:t>指 </w:t>
            </w:r>
          </w:p>
        </w:tc>
        <w:tc>
          <w:tcPr>
            <w:tcW w:w="5142" w:type="dxa"/>
          </w:tcPr>
          <w:p>
            <w:pPr>
              <w:pStyle w:val="TableParagraph"/>
              <w:spacing w:line="252" w:lineRule="exact" w:before="1"/>
              <w:ind w:left="107"/>
              <w:rPr>
                <w:sz w:val="21"/>
              </w:rPr>
            </w:pPr>
            <w:r>
              <w:rPr>
                <w:sz w:val="21"/>
              </w:rPr>
              <w:t>Augmented</w:t>
            </w:r>
            <w:r>
              <w:rPr>
                <w:spacing w:val="-4"/>
                <w:sz w:val="21"/>
              </w:rPr>
              <w:t> </w:t>
            </w:r>
            <w:r>
              <w:rPr>
                <w:sz w:val="21"/>
              </w:rPr>
              <w:t>Reality，即增强现实 </w:t>
            </w:r>
          </w:p>
        </w:tc>
      </w:tr>
      <w:tr>
        <w:trPr>
          <w:trHeight w:val="270" w:hRule="atLeast"/>
        </w:trPr>
        <w:tc>
          <w:tcPr>
            <w:tcW w:w="2547" w:type="dxa"/>
          </w:tcPr>
          <w:p>
            <w:pPr>
              <w:pStyle w:val="TableParagraph"/>
              <w:spacing w:line="250" w:lineRule="exact" w:before="1"/>
              <w:ind w:left="107"/>
              <w:rPr>
                <w:sz w:val="21"/>
              </w:rPr>
            </w:pPr>
            <w:r>
              <w:rPr>
                <w:sz w:val="21"/>
              </w:rPr>
              <w:t>VR </w:t>
            </w:r>
          </w:p>
        </w:tc>
        <w:tc>
          <w:tcPr>
            <w:tcW w:w="1135" w:type="dxa"/>
          </w:tcPr>
          <w:p>
            <w:pPr>
              <w:pStyle w:val="TableParagraph"/>
              <w:spacing w:line="250" w:lineRule="exact" w:before="1"/>
              <w:ind w:right="345"/>
              <w:jc w:val="right"/>
              <w:rPr>
                <w:sz w:val="21"/>
              </w:rPr>
            </w:pPr>
            <w:r>
              <w:rPr>
                <w:sz w:val="21"/>
              </w:rPr>
              <w:t>指 </w:t>
            </w:r>
          </w:p>
        </w:tc>
        <w:tc>
          <w:tcPr>
            <w:tcW w:w="5142" w:type="dxa"/>
          </w:tcPr>
          <w:p>
            <w:pPr>
              <w:pStyle w:val="TableParagraph"/>
              <w:spacing w:line="250" w:lineRule="exact" w:before="1"/>
              <w:ind w:left="107"/>
              <w:rPr>
                <w:sz w:val="21"/>
              </w:rPr>
            </w:pPr>
            <w:r>
              <w:rPr>
                <w:sz w:val="21"/>
              </w:rPr>
              <w:t>Virtual</w:t>
            </w:r>
            <w:r>
              <w:rPr>
                <w:spacing w:val="-4"/>
                <w:sz w:val="21"/>
              </w:rPr>
              <w:t> </w:t>
            </w:r>
            <w:r>
              <w:rPr>
                <w:sz w:val="21"/>
              </w:rPr>
              <w:t>Reality，即虚拟现实 </w:t>
            </w:r>
          </w:p>
        </w:tc>
      </w:tr>
      <w:tr>
        <w:trPr>
          <w:trHeight w:val="273" w:hRule="atLeast"/>
        </w:trPr>
        <w:tc>
          <w:tcPr>
            <w:tcW w:w="2547" w:type="dxa"/>
          </w:tcPr>
          <w:p>
            <w:pPr>
              <w:pStyle w:val="TableParagraph"/>
              <w:spacing w:line="252" w:lineRule="exact" w:before="1"/>
              <w:ind w:left="107"/>
              <w:rPr>
                <w:sz w:val="21"/>
              </w:rPr>
            </w:pPr>
            <w:r>
              <w:rPr>
                <w:sz w:val="21"/>
              </w:rPr>
              <w:t>GPU </w:t>
            </w:r>
          </w:p>
        </w:tc>
        <w:tc>
          <w:tcPr>
            <w:tcW w:w="1135" w:type="dxa"/>
          </w:tcPr>
          <w:p>
            <w:pPr>
              <w:pStyle w:val="TableParagraph"/>
              <w:spacing w:line="252" w:lineRule="exact" w:before="1"/>
              <w:ind w:right="345"/>
              <w:jc w:val="right"/>
              <w:rPr>
                <w:sz w:val="21"/>
              </w:rPr>
            </w:pPr>
            <w:r>
              <w:rPr>
                <w:sz w:val="21"/>
              </w:rPr>
              <w:t>指 </w:t>
            </w:r>
          </w:p>
        </w:tc>
        <w:tc>
          <w:tcPr>
            <w:tcW w:w="5142" w:type="dxa"/>
          </w:tcPr>
          <w:p>
            <w:pPr>
              <w:pStyle w:val="TableParagraph"/>
              <w:spacing w:line="252" w:lineRule="exact" w:before="1"/>
              <w:ind w:left="107"/>
              <w:rPr>
                <w:sz w:val="21"/>
              </w:rPr>
            </w:pPr>
            <w:r>
              <w:rPr>
                <w:sz w:val="21"/>
              </w:rPr>
              <w:t>Graphics</w:t>
            </w:r>
            <w:r>
              <w:rPr>
                <w:spacing w:val="-4"/>
                <w:sz w:val="21"/>
              </w:rPr>
              <w:t> </w:t>
            </w:r>
            <w:r>
              <w:rPr>
                <w:sz w:val="21"/>
              </w:rPr>
              <w:t>processing</w:t>
            </w:r>
            <w:r>
              <w:rPr>
                <w:spacing w:val="-3"/>
                <w:sz w:val="21"/>
              </w:rPr>
              <w:t> </w:t>
            </w:r>
            <w:r>
              <w:rPr>
                <w:sz w:val="21"/>
              </w:rPr>
              <w:t>unit，即图形处理器 </w:t>
            </w:r>
          </w:p>
        </w:tc>
      </w:tr>
      <w:tr>
        <w:trPr>
          <w:trHeight w:val="815" w:hRule="atLeast"/>
        </w:trPr>
        <w:tc>
          <w:tcPr>
            <w:tcW w:w="2547" w:type="dxa"/>
          </w:tcPr>
          <w:p>
            <w:pPr>
              <w:pStyle w:val="TableParagraph"/>
              <w:spacing w:before="3"/>
              <w:rPr>
                <w:sz w:val="21"/>
              </w:rPr>
            </w:pPr>
          </w:p>
          <w:p>
            <w:pPr>
              <w:pStyle w:val="TableParagraph"/>
              <w:ind w:left="107"/>
              <w:rPr>
                <w:sz w:val="21"/>
              </w:rPr>
            </w:pPr>
            <w:r>
              <w:rPr>
                <w:sz w:val="21"/>
              </w:rPr>
              <w:t>IDC </w:t>
            </w:r>
          </w:p>
        </w:tc>
        <w:tc>
          <w:tcPr>
            <w:tcW w:w="1135" w:type="dxa"/>
          </w:tcPr>
          <w:p>
            <w:pPr>
              <w:pStyle w:val="TableParagraph"/>
              <w:spacing w:before="3"/>
              <w:rPr>
                <w:sz w:val="21"/>
              </w:rPr>
            </w:pPr>
          </w:p>
          <w:p>
            <w:pPr>
              <w:pStyle w:val="TableParagraph"/>
              <w:ind w:right="345"/>
              <w:jc w:val="right"/>
              <w:rPr>
                <w:sz w:val="21"/>
              </w:rPr>
            </w:pPr>
            <w:r>
              <w:rPr>
                <w:sz w:val="21"/>
              </w:rPr>
              <w:t>指 </w:t>
            </w:r>
          </w:p>
        </w:tc>
        <w:tc>
          <w:tcPr>
            <w:tcW w:w="5142" w:type="dxa"/>
          </w:tcPr>
          <w:p>
            <w:pPr>
              <w:pStyle w:val="TableParagraph"/>
              <w:spacing w:line="242" w:lineRule="auto" w:before="1"/>
              <w:ind w:left="107" w:right="72"/>
              <w:rPr>
                <w:sz w:val="21"/>
              </w:rPr>
            </w:pPr>
            <w:r>
              <w:rPr>
                <w:sz w:val="21"/>
              </w:rPr>
              <w:t>International</w:t>
            </w:r>
            <w:r>
              <w:rPr>
                <w:spacing w:val="75"/>
                <w:sz w:val="21"/>
              </w:rPr>
              <w:t> </w:t>
            </w:r>
            <w:r>
              <w:rPr>
                <w:sz w:val="21"/>
              </w:rPr>
              <w:t>Data</w:t>
            </w:r>
            <w:r>
              <w:rPr>
                <w:spacing w:val="76"/>
                <w:sz w:val="21"/>
              </w:rPr>
              <w:t> </w:t>
            </w:r>
            <w:r>
              <w:rPr>
                <w:sz w:val="21"/>
              </w:rPr>
              <w:t>Corporation</w:t>
            </w:r>
            <w:r>
              <w:rPr>
                <w:spacing w:val="6"/>
                <w:sz w:val="21"/>
              </w:rPr>
              <w:t> ，即国际数据公</w:t>
            </w:r>
            <w:r>
              <w:rPr>
                <w:sz w:val="21"/>
              </w:rPr>
              <w:t>司，全球著名的信息技术、电信行业和消费科技市场</w:t>
            </w:r>
          </w:p>
          <w:p>
            <w:pPr>
              <w:pStyle w:val="TableParagraph"/>
              <w:spacing w:line="250" w:lineRule="exact" w:before="1"/>
              <w:ind w:left="107"/>
              <w:rPr>
                <w:sz w:val="21"/>
              </w:rPr>
            </w:pPr>
            <w:r>
              <w:rPr>
                <w:spacing w:val="-1"/>
                <w:sz w:val="21"/>
              </w:rPr>
              <w:t>咨询、顾问和活动服务专业提供商</w:t>
            </w:r>
            <w:r>
              <w:rPr>
                <w:sz w:val="21"/>
              </w:rPr>
              <w:t> </w:t>
            </w:r>
          </w:p>
        </w:tc>
      </w:tr>
      <w:tr>
        <w:trPr>
          <w:trHeight w:val="273" w:hRule="atLeast"/>
        </w:trPr>
        <w:tc>
          <w:tcPr>
            <w:tcW w:w="2547" w:type="dxa"/>
          </w:tcPr>
          <w:p>
            <w:pPr>
              <w:pStyle w:val="TableParagraph"/>
              <w:spacing w:line="250" w:lineRule="exact" w:before="3"/>
              <w:ind w:left="107"/>
              <w:rPr>
                <w:sz w:val="21"/>
              </w:rPr>
            </w:pPr>
            <w:r>
              <w:rPr>
                <w:sz w:val="21"/>
              </w:rPr>
              <w:t>3C </w:t>
            </w:r>
          </w:p>
        </w:tc>
        <w:tc>
          <w:tcPr>
            <w:tcW w:w="1135" w:type="dxa"/>
          </w:tcPr>
          <w:p>
            <w:pPr>
              <w:pStyle w:val="TableParagraph"/>
              <w:spacing w:line="250" w:lineRule="exact" w:before="3"/>
              <w:ind w:right="345"/>
              <w:jc w:val="right"/>
              <w:rPr>
                <w:sz w:val="21"/>
              </w:rPr>
            </w:pPr>
            <w:r>
              <w:rPr>
                <w:sz w:val="21"/>
              </w:rPr>
              <w:t>指 </w:t>
            </w:r>
          </w:p>
        </w:tc>
        <w:tc>
          <w:tcPr>
            <w:tcW w:w="5142" w:type="dxa"/>
          </w:tcPr>
          <w:p>
            <w:pPr>
              <w:pStyle w:val="TableParagraph"/>
              <w:spacing w:line="250" w:lineRule="exact" w:before="3"/>
              <w:ind w:left="107"/>
              <w:rPr>
                <w:sz w:val="21"/>
              </w:rPr>
            </w:pPr>
            <w:r>
              <w:rPr>
                <w:spacing w:val="-1"/>
                <w:sz w:val="21"/>
              </w:rPr>
              <w:t>计算机、通讯、消费电子产品</w:t>
            </w:r>
            <w:r>
              <w:rPr>
                <w:sz w:val="21"/>
              </w:rPr>
              <w:t> </w:t>
            </w:r>
          </w:p>
        </w:tc>
      </w:tr>
      <w:tr>
        <w:trPr>
          <w:trHeight w:val="544" w:hRule="atLeast"/>
        </w:trPr>
        <w:tc>
          <w:tcPr>
            <w:tcW w:w="2547" w:type="dxa"/>
          </w:tcPr>
          <w:p>
            <w:pPr>
              <w:pStyle w:val="TableParagraph"/>
              <w:spacing w:before="138"/>
              <w:ind w:left="107"/>
              <w:rPr>
                <w:sz w:val="21"/>
              </w:rPr>
            </w:pPr>
            <w:r>
              <w:rPr>
                <w:sz w:val="21"/>
              </w:rPr>
              <w:t>5G </w:t>
            </w:r>
          </w:p>
        </w:tc>
        <w:tc>
          <w:tcPr>
            <w:tcW w:w="1135" w:type="dxa"/>
          </w:tcPr>
          <w:p>
            <w:pPr>
              <w:pStyle w:val="TableParagraph"/>
              <w:spacing w:before="138"/>
              <w:ind w:right="345"/>
              <w:jc w:val="right"/>
              <w:rPr>
                <w:sz w:val="21"/>
              </w:rPr>
            </w:pPr>
            <w:r>
              <w:rPr>
                <w:sz w:val="21"/>
              </w:rPr>
              <w:t>指 </w:t>
            </w:r>
          </w:p>
        </w:tc>
        <w:tc>
          <w:tcPr>
            <w:tcW w:w="5142" w:type="dxa"/>
          </w:tcPr>
          <w:p>
            <w:pPr>
              <w:pStyle w:val="TableParagraph"/>
              <w:spacing w:before="1"/>
              <w:ind w:left="107"/>
              <w:rPr>
                <w:sz w:val="21"/>
              </w:rPr>
            </w:pPr>
            <w:r>
              <w:rPr>
                <w:sz w:val="21"/>
              </w:rPr>
              <w:t>5th-Generation，第五代移动电话行动标准，也称第</w:t>
            </w:r>
          </w:p>
          <w:p>
            <w:pPr>
              <w:pStyle w:val="TableParagraph"/>
              <w:spacing w:line="250" w:lineRule="exact" w:before="4"/>
              <w:ind w:left="107"/>
              <w:rPr>
                <w:sz w:val="21"/>
              </w:rPr>
            </w:pPr>
            <w:r>
              <w:rPr>
                <w:spacing w:val="-1"/>
                <w:sz w:val="21"/>
              </w:rPr>
              <w:t>五代移动通信技术</w:t>
            </w:r>
            <w:r>
              <w:rPr>
                <w:sz w:val="21"/>
              </w:rPr>
              <w:t> </w:t>
            </w:r>
          </w:p>
        </w:tc>
      </w:tr>
      <w:tr>
        <w:trPr>
          <w:trHeight w:val="544" w:hRule="atLeast"/>
        </w:trPr>
        <w:tc>
          <w:tcPr>
            <w:tcW w:w="2547" w:type="dxa"/>
          </w:tcPr>
          <w:p>
            <w:pPr>
              <w:pStyle w:val="TableParagraph"/>
              <w:spacing w:before="138"/>
              <w:ind w:left="107"/>
              <w:rPr>
                <w:sz w:val="21"/>
              </w:rPr>
            </w:pPr>
            <w:r>
              <w:rPr>
                <w:sz w:val="21"/>
              </w:rPr>
              <w:t>Wi-Fi</w:t>
            </w:r>
            <w:r>
              <w:rPr>
                <w:spacing w:val="-3"/>
                <w:sz w:val="21"/>
              </w:rPr>
              <w:t> </w:t>
            </w:r>
            <w:r>
              <w:rPr>
                <w:sz w:val="21"/>
              </w:rPr>
              <w:t>6 </w:t>
            </w:r>
          </w:p>
        </w:tc>
        <w:tc>
          <w:tcPr>
            <w:tcW w:w="1135" w:type="dxa"/>
          </w:tcPr>
          <w:p>
            <w:pPr>
              <w:pStyle w:val="TableParagraph"/>
              <w:spacing w:before="138"/>
              <w:ind w:right="345"/>
              <w:jc w:val="right"/>
              <w:rPr>
                <w:sz w:val="21"/>
              </w:rPr>
            </w:pPr>
            <w:r>
              <w:rPr>
                <w:sz w:val="21"/>
              </w:rPr>
              <w:t>指 </w:t>
            </w:r>
          </w:p>
        </w:tc>
        <w:tc>
          <w:tcPr>
            <w:tcW w:w="5142" w:type="dxa"/>
          </w:tcPr>
          <w:p>
            <w:pPr>
              <w:pStyle w:val="TableParagraph"/>
              <w:spacing w:before="1"/>
              <w:ind w:left="107"/>
              <w:rPr>
                <w:sz w:val="21"/>
              </w:rPr>
            </w:pPr>
            <w:r>
              <w:rPr>
                <w:spacing w:val="-23"/>
                <w:sz w:val="21"/>
              </w:rPr>
              <w:t>原名 </w:t>
            </w:r>
            <w:r>
              <w:rPr>
                <w:sz w:val="21"/>
              </w:rPr>
              <w:t>IEEE</w:t>
            </w:r>
            <w:r>
              <w:rPr>
                <w:spacing w:val="-26"/>
                <w:sz w:val="21"/>
              </w:rPr>
              <w:t> </w:t>
            </w:r>
            <w:r>
              <w:rPr>
                <w:sz w:val="21"/>
              </w:rPr>
              <w:t>802.11ax</w:t>
            </w:r>
            <w:r>
              <w:rPr>
                <w:spacing w:val="-22"/>
                <w:sz w:val="21"/>
              </w:rPr>
              <w:t>，为 </w:t>
            </w:r>
            <w:r>
              <w:rPr>
                <w:sz w:val="21"/>
              </w:rPr>
              <w:t>Wi-Fi</w:t>
            </w:r>
            <w:r>
              <w:rPr>
                <w:spacing w:val="-9"/>
                <w:sz w:val="21"/>
              </w:rPr>
              <w:t> 联盟所推出的新一代无</w:t>
            </w:r>
          </w:p>
          <w:p>
            <w:pPr>
              <w:pStyle w:val="TableParagraph"/>
              <w:spacing w:line="250" w:lineRule="exact" w:before="4"/>
              <w:ind w:left="107"/>
              <w:rPr>
                <w:sz w:val="21"/>
              </w:rPr>
            </w:pPr>
            <w:r>
              <w:rPr>
                <w:spacing w:val="-1"/>
                <w:sz w:val="21"/>
              </w:rPr>
              <w:t>线区域网络标准</w:t>
            </w:r>
            <w:r>
              <w:rPr>
                <w:sz w:val="21"/>
              </w:rPr>
              <w:t> </w:t>
            </w:r>
          </w:p>
        </w:tc>
      </w:tr>
      <w:tr>
        <w:trPr>
          <w:trHeight w:val="273" w:hRule="atLeast"/>
        </w:trPr>
        <w:tc>
          <w:tcPr>
            <w:tcW w:w="2547" w:type="dxa"/>
          </w:tcPr>
          <w:p>
            <w:pPr>
              <w:pStyle w:val="TableParagraph"/>
              <w:spacing w:line="252" w:lineRule="exact" w:before="1"/>
              <w:ind w:left="107"/>
              <w:rPr>
                <w:sz w:val="21"/>
              </w:rPr>
            </w:pPr>
            <w:r>
              <w:rPr>
                <w:sz w:val="21"/>
              </w:rPr>
              <w:t>AI </w:t>
            </w:r>
          </w:p>
        </w:tc>
        <w:tc>
          <w:tcPr>
            <w:tcW w:w="1135" w:type="dxa"/>
          </w:tcPr>
          <w:p>
            <w:pPr>
              <w:pStyle w:val="TableParagraph"/>
              <w:spacing w:line="252" w:lineRule="exact" w:before="1"/>
              <w:ind w:right="345"/>
              <w:jc w:val="right"/>
              <w:rPr>
                <w:sz w:val="21"/>
              </w:rPr>
            </w:pPr>
            <w:r>
              <w:rPr>
                <w:sz w:val="21"/>
              </w:rPr>
              <w:t>指 </w:t>
            </w:r>
          </w:p>
        </w:tc>
        <w:tc>
          <w:tcPr>
            <w:tcW w:w="5142" w:type="dxa"/>
          </w:tcPr>
          <w:p>
            <w:pPr>
              <w:pStyle w:val="TableParagraph"/>
              <w:spacing w:line="252" w:lineRule="exact" w:before="1"/>
              <w:ind w:left="107"/>
              <w:rPr>
                <w:sz w:val="21"/>
              </w:rPr>
            </w:pPr>
            <w:r>
              <w:rPr>
                <w:sz w:val="21"/>
              </w:rPr>
              <w:t>Artificial</w:t>
            </w:r>
            <w:r>
              <w:rPr>
                <w:spacing w:val="-3"/>
                <w:sz w:val="21"/>
              </w:rPr>
              <w:t> </w:t>
            </w:r>
            <w:r>
              <w:rPr>
                <w:sz w:val="21"/>
              </w:rPr>
              <w:t>Intelligence，即人工智能 </w:t>
            </w:r>
          </w:p>
        </w:tc>
      </w:tr>
      <w:tr>
        <w:trPr>
          <w:trHeight w:val="273" w:hRule="atLeast"/>
        </w:trPr>
        <w:tc>
          <w:tcPr>
            <w:tcW w:w="2547" w:type="dxa"/>
          </w:tcPr>
          <w:p>
            <w:pPr>
              <w:pStyle w:val="TableParagraph"/>
              <w:spacing w:line="252" w:lineRule="exact" w:before="1"/>
              <w:ind w:left="107"/>
              <w:rPr>
                <w:sz w:val="21"/>
              </w:rPr>
            </w:pPr>
            <w:r>
              <w:rPr>
                <w:sz w:val="21"/>
              </w:rPr>
              <w:t>IHS </w:t>
            </w:r>
          </w:p>
        </w:tc>
        <w:tc>
          <w:tcPr>
            <w:tcW w:w="1135" w:type="dxa"/>
          </w:tcPr>
          <w:p>
            <w:pPr>
              <w:pStyle w:val="TableParagraph"/>
              <w:spacing w:line="252" w:lineRule="exact" w:before="1"/>
              <w:ind w:right="345"/>
              <w:jc w:val="right"/>
              <w:rPr>
                <w:sz w:val="21"/>
              </w:rPr>
            </w:pPr>
            <w:r>
              <w:rPr>
                <w:sz w:val="21"/>
              </w:rPr>
              <w:t>指 </w:t>
            </w:r>
          </w:p>
        </w:tc>
        <w:tc>
          <w:tcPr>
            <w:tcW w:w="5142" w:type="dxa"/>
          </w:tcPr>
          <w:p>
            <w:pPr>
              <w:pStyle w:val="TableParagraph"/>
              <w:spacing w:line="252" w:lineRule="exact" w:before="1"/>
              <w:ind w:left="107"/>
              <w:rPr>
                <w:sz w:val="21"/>
              </w:rPr>
            </w:pPr>
            <w:r>
              <w:rPr>
                <w:sz w:val="21"/>
              </w:rPr>
              <w:t>IHS</w:t>
            </w:r>
            <w:r>
              <w:rPr>
                <w:spacing w:val="-3"/>
                <w:sz w:val="21"/>
              </w:rPr>
              <w:t> </w:t>
            </w:r>
            <w:r>
              <w:rPr>
                <w:sz w:val="21"/>
              </w:rPr>
              <w:t>Markit</w:t>
            </w:r>
            <w:r>
              <w:rPr>
                <w:spacing w:val="-2"/>
                <w:sz w:val="21"/>
              </w:rPr>
              <w:t> </w:t>
            </w:r>
            <w:r>
              <w:rPr>
                <w:sz w:val="21"/>
              </w:rPr>
              <w:t>Ltd.，一家市场研究咨询公司 </w:t>
            </w:r>
          </w:p>
        </w:tc>
      </w:tr>
      <w:tr>
        <w:trPr>
          <w:trHeight w:val="270" w:hRule="atLeast"/>
        </w:trPr>
        <w:tc>
          <w:tcPr>
            <w:tcW w:w="2547" w:type="dxa"/>
          </w:tcPr>
          <w:p>
            <w:pPr>
              <w:pStyle w:val="TableParagraph"/>
              <w:spacing w:line="250" w:lineRule="exact" w:before="1"/>
              <w:ind w:left="107"/>
              <w:rPr>
                <w:sz w:val="21"/>
              </w:rPr>
            </w:pPr>
            <w:r>
              <w:rPr>
                <w:sz w:val="21"/>
              </w:rPr>
              <w:t>MIMO </w:t>
            </w:r>
          </w:p>
        </w:tc>
        <w:tc>
          <w:tcPr>
            <w:tcW w:w="1135" w:type="dxa"/>
          </w:tcPr>
          <w:p>
            <w:pPr>
              <w:pStyle w:val="TableParagraph"/>
              <w:spacing w:line="250" w:lineRule="exact" w:before="1"/>
              <w:ind w:right="345"/>
              <w:jc w:val="right"/>
              <w:rPr>
                <w:sz w:val="21"/>
              </w:rPr>
            </w:pPr>
            <w:r>
              <w:rPr>
                <w:sz w:val="21"/>
              </w:rPr>
              <w:t>指 </w:t>
            </w:r>
          </w:p>
        </w:tc>
        <w:tc>
          <w:tcPr>
            <w:tcW w:w="5142" w:type="dxa"/>
          </w:tcPr>
          <w:p>
            <w:pPr>
              <w:pStyle w:val="TableParagraph"/>
              <w:spacing w:line="250" w:lineRule="exact" w:before="1"/>
              <w:ind w:left="107"/>
              <w:rPr>
                <w:sz w:val="21"/>
              </w:rPr>
            </w:pPr>
            <w:r>
              <w:rPr>
                <w:sz w:val="21"/>
              </w:rPr>
              <w:t>Multi-input</w:t>
            </w:r>
            <w:r>
              <w:rPr>
                <w:spacing w:val="-4"/>
                <w:sz w:val="21"/>
              </w:rPr>
              <w:t> </w:t>
            </w:r>
            <w:r>
              <w:rPr>
                <w:sz w:val="21"/>
              </w:rPr>
              <w:t>Multi-output，即多进多出 </w:t>
            </w:r>
          </w:p>
        </w:tc>
      </w:tr>
      <w:tr>
        <w:trPr>
          <w:trHeight w:val="273" w:hRule="atLeast"/>
        </w:trPr>
        <w:tc>
          <w:tcPr>
            <w:tcW w:w="2547" w:type="dxa"/>
          </w:tcPr>
          <w:p>
            <w:pPr>
              <w:pStyle w:val="TableParagraph"/>
              <w:spacing w:line="252" w:lineRule="exact" w:before="1"/>
              <w:ind w:left="107"/>
              <w:rPr>
                <w:sz w:val="21"/>
              </w:rPr>
            </w:pPr>
            <w:r>
              <w:rPr>
                <w:sz w:val="21"/>
              </w:rPr>
              <w:t>CSP </w:t>
            </w:r>
          </w:p>
        </w:tc>
        <w:tc>
          <w:tcPr>
            <w:tcW w:w="1135" w:type="dxa"/>
          </w:tcPr>
          <w:p>
            <w:pPr>
              <w:pStyle w:val="TableParagraph"/>
              <w:spacing w:line="252" w:lineRule="exact" w:before="1"/>
              <w:ind w:right="345"/>
              <w:jc w:val="right"/>
              <w:rPr>
                <w:sz w:val="21"/>
              </w:rPr>
            </w:pPr>
            <w:r>
              <w:rPr>
                <w:sz w:val="21"/>
              </w:rPr>
              <w:t>指 </w:t>
            </w:r>
          </w:p>
        </w:tc>
        <w:tc>
          <w:tcPr>
            <w:tcW w:w="5142" w:type="dxa"/>
          </w:tcPr>
          <w:p>
            <w:pPr>
              <w:pStyle w:val="TableParagraph"/>
              <w:spacing w:line="252" w:lineRule="exact" w:before="1"/>
              <w:ind w:left="107"/>
              <w:rPr>
                <w:sz w:val="21"/>
              </w:rPr>
            </w:pPr>
            <w:r>
              <w:rPr>
                <w:sz w:val="21"/>
              </w:rPr>
              <w:t>Cloud</w:t>
            </w:r>
            <w:r>
              <w:rPr>
                <w:spacing w:val="-5"/>
                <w:sz w:val="21"/>
              </w:rPr>
              <w:t> </w:t>
            </w:r>
            <w:r>
              <w:rPr>
                <w:sz w:val="21"/>
              </w:rPr>
              <w:t>Solution</w:t>
            </w:r>
            <w:r>
              <w:rPr>
                <w:spacing w:val="-1"/>
                <w:sz w:val="21"/>
              </w:rPr>
              <w:t> </w:t>
            </w:r>
            <w:r>
              <w:rPr>
                <w:sz w:val="21"/>
              </w:rPr>
              <w:t>Provider，即云解决方案提供商 </w:t>
            </w:r>
          </w:p>
        </w:tc>
      </w:tr>
      <w:tr>
        <w:trPr>
          <w:trHeight w:val="816" w:hRule="atLeast"/>
        </w:trPr>
        <w:tc>
          <w:tcPr>
            <w:tcW w:w="2547" w:type="dxa"/>
          </w:tcPr>
          <w:p>
            <w:pPr>
              <w:pStyle w:val="TableParagraph"/>
              <w:spacing w:before="5"/>
              <w:rPr>
                <w:sz w:val="21"/>
              </w:rPr>
            </w:pPr>
          </w:p>
          <w:p>
            <w:pPr>
              <w:pStyle w:val="TableParagraph"/>
              <w:ind w:left="107"/>
              <w:rPr>
                <w:sz w:val="21"/>
              </w:rPr>
            </w:pPr>
            <w:r>
              <w:rPr>
                <w:sz w:val="21"/>
              </w:rPr>
              <w:t>物联网 </w:t>
            </w:r>
          </w:p>
        </w:tc>
        <w:tc>
          <w:tcPr>
            <w:tcW w:w="1135" w:type="dxa"/>
          </w:tcPr>
          <w:p>
            <w:pPr>
              <w:pStyle w:val="TableParagraph"/>
              <w:spacing w:before="5"/>
              <w:rPr>
                <w:sz w:val="21"/>
              </w:rPr>
            </w:pPr>
          </w:p>
          <w:p>
            <w:pPr>
              <w:pStyle w:val="TableParagraph"/>
              <w:ind w:right="345"/>
              <w:jc w:val="right"/>
              <w:rPr>
                <w:sz w:val="21"/>
              </w:rPr>
            </w:pPr>
            <w:r>
              <w:rPr>
                <w:sz w:val="21"/>
              </w:rPr>
              <w:t>指 </w:t>
            </w:r>
          </w:p>
        </w:tc>
        <w:tc>
          <w:tcPr>
            <w:tcW w:w="5142" w:type="dxa"/>
          </w:tcPr>
          <w:p>
            <w:pPr>
              <w:pStyle w:val="TableParagraph"/>
              <w:spacing w:before="1"/>
              <w:ind w:left="107"/>
              <w:rPr>
                <w:sz w:val="21"/>
              </w:rPr>
            </w:pPr>
            <w:r>
              <w:rPr>
                <w:sz w:val="21"/>
              </w:rPr>
              <w:t>通过多种信息传感设备，按约定的协议，把任何物品</w:t>
            </w:r>
          </w:p>
          <w:p>
            <w:pPr>
              <w:pStyle w:val="TableParagraph"/>
              <w:spacing w:line="270" w:lineRule="atLeast"/>
              <w:ind w:left="107" w:right="97"/>
              <w:rPr>
                <w:sz w:val="21"/>
              </w:rPr>
            </w:pPr>
            <w:r>
              <w:rPr>
                <w:sz w:val="21"/>
              </w:rPr>
              <w:t>与互联网相连接，进行信息交换和通信，以实现智能化识别、定位、跟踪、监控 和管理的一种网络 </w:t>
            </w:r>
          </w:p>
        </w:tc>
      </w:tr>
      <w:tr>
        <w:trPr>
          <w:trHeight w:val="273" w:hRule="atLeast"/>
        </w:trPr>
        <w:tc>
          <w:tcPr>
            <w:tcW w:w="2547" w:type="dxa"/>
          </w:tcPr>
          <w:p>
            <w:pPr>
              <w:pStyle w:val="TableParagraph"/>
              <w:spacing w:line="250" w:lineRule="exact" w:before="3"/>
              <w:ind w:left="107"/>
              <w:rPr>
                <w:sz w:val="21"/>
              </w:rPr>
            </w:pPr>
            <w:r>
              <w:rPr>
                <w:sz w:val="21"/>
              </w:rPr>
              <w:t>Apple </w:t>
            </w:r>
          </w:p>
        </w:tc>
        <w:tc>
          <w:tcPr>
            <w:tcW w:w="1135" w:type="dxa"/>
          </w:tcPr>
          <w:p>
            <w:pPr>
              <w:pStyle w:val="TableParagraph"/>
              <w:spacing w:line="250" w:lineRule="exact" w:before="3"/>
              <w:ind w:right="345"/>
              <w:jc w:val="right"/>
              <w:rPr>
                <w:sz w:val="21"/>
              </w:rPr>
            </w:pPr>
            <w:r>
              <w:rPr>
                <w:sz w:val="21"/>
              </w:rPr>
              <w:t>指 </w:t>
            </w:r>
          </w:p>
        </w:tc>
        <w:tc>
          <w:tcPr>
            <w:tcW w:w="5142" w:type="dxa"/>
          </w:tcPr>
          <w:p>
            <w:pPr>
              <w:pStyle w:val="TableParagraph"/>
              <w:spacing w:line="250" w:lineRule="exact" w:before="3"/>
              <w:ind w:left="107"/>
              <w:rPr>
                <w:sz w:val="21"/>
              </w:rPr>
            </w:pPr>
            <w:r>
              <w:rPr>
                <w:sz w:val="21"/>
              </w:rPr>
              <w:t>Apple</w:t>
            </w:r>
            <w:r>
              <w:rPr>
                <w:spacing w:val="-3"/>
                <w:sz w:val="21"/>
              </w:rPr>
              <w:t> </w:t>
            </w:r>
            <w:r>
              <w:rPr>
                <w:sz w:val="21"/>
              </w:rPr>
              <w:t>Inc.及其关联方 </w:t>
            </w:r>
          </w:p>
        </w:tc>
      </w:tr>
      <w:tr>
        <w:trPr>
          <w:trHeight w:val="273" w:hRule="atLeast"/>
        </w:trPr>
        <w:tc>
          <w:tcPr>
            <w:tcW w:w="2547" w:type="dxa"/>
          </w:tcPr>
          <w:p>
            <w:pPr>
              <w:pStyle w:val="TableParagraph"/>
              <w:spacing w:line="252" w:lineRule="exact" w:before="1"/>
              <w:ind w:left="107"/>
              <w:rPr>
                <w:sz w:val="21"/>
              </w:rPr>
            </w:pPr>
            <w:r>
              <w:rPr>
                <w:sz w:val="21"/>
              </w:rPr>
              <w:t>腾讯 </w:t>
            </w:r>
          </w:p>
        </w:tc>
        <w:tc>
          <w:tcPr>
            <w:tcW w:w="1135" w:type="dxa"/>
          </w:tcPr>
          <w:p>
            <w:pPr>
              <w:pStyle w:val="TableParagraph"/>
              <w:spacing w:line="252" w:lineRule="exact" w:before="1"/>
              <w:ind w:right="345"/>
              <w:jc w:val="right"/>
              <w:rPr>
                <w:sz w:val="21"/>
              </w:rPr>
            </w:pPr>
            <w:r>
              <w:rPr>
                <w:sz w:val="21"/>
              </w:rPr>
              <w:t>指 </w:t>
            </w:r>
          </w:p>
        </w:tc>
        <w:tc>
          <w:tcPr>
            <w:tcW w:w="5142" w:type="dxa"/>
          </w:tcPr>
          <w:p>
            <w:pPr>
              <w:pStyle w:val="TableParagraph"/>
              <w:spacing w:line="252" w:lineRule="exact" w:before="1"/>
              <w:ind w:left="107"/>
              <w:rPr>
                <w:sz w:val="21"/>
              </w:rPr>
            </w:pPr>
            <w:r>
              <w:rPr>
                <w:spacing w:val="-1"/>
                <w:sz w:val="21"/>
              </w:rPr>
              <w:t>深圳市腾讯计算机系统有限公司及其关联方</w:t>
            </w:r>
            <w:r>
              <w:rPr>
                <w:sz w:val="21"/>
              </w:rPr>
              <w:t> </w:t>
            </w:r>
          </w:p>
        </w:tc>
      </w:tr>
      <w:tr>
        <w:trPr>
          <w:trHeight w:val="270" w:hRule="atLeast"/>
        </w:trPr>
        <w:tc>
          <w:tcPr>
            <w:tcW w:w="2547" w:type="dxa"/>
          </w:tcPr>
          <w:p>
            <w:pPr>
              <w:pStyle w:val="TableParagraph"/>
              <w:spacing w:line="250" w:lineRule="exact" w:before="1"/>
              <w:ind w:left="107"/>
              <w:rPr>
                <w:sz w:val="21"/>
              </w:rPr>
            </w:pPr>
            <w:r>
              <w:rPr>
                <w:spacing w:val="-1"/>
                <w:sz w:val="21"/>
              </w:rPr>
              <w:t>字节跳动</w:t>
            </w:r>
            <w:r>
              <w:rPr>
                <w:sz w:val="21"/>
              </w:rPr>
              <w:t> </w:t>
            </w:r>
          </w:p>
        </w:tc>
        <w:tc>
          <w:tcPr>
            <w:tcW w:w="1135" w:type="dxa"/>
          </w:tcPr>
          <w:p>
            <w:pPr>
              <w:pStyle w:val="TableParagraph"/>
              <w:spacing w:line="250" w:lineRule="exact" w:before="1"/>
              <w:ind w:right="345"/>
              <w:jc w:val="right"/>
              <w:rPr>
                <w:sz w:val="21"/>
              </w:rPr>
            </w:pPr>
            <w:r>
              <w:rPr>
                <w:sz w:val="21"/>
              </w:rPr>
              <w:t>指 </w:t>
            </w:r>
          </w:p>
        </w:tc>
        <w:tc>
          <w:tcPr>
            <w:tcW w:w="5142" w:type="dxa"/>
          </w:tcPr>
          <w:p>
            <w:pPr>
              <w:pStyle w:val="TableParagraph"/>
              <w:spacing w:line="250" w:lineRule="exact" w:before="1"/>
              <w:ind w:left="107"/>
              <w:rPr>
                <w:sz w:val="21"/>
              </w:rPr>
            </w:pPr>
            <w:r>
              <w:rPr>
                <w:spacing w:val="-1"/>
                <w:sz w:val="21"/>
              </w:rPr>
              <w:t>北京字节跳动科技有限公司及其关联方</w:t>
            </w:r>
            <w:r>
              <w:rPr>
                <w:sz w:val="21"/>
              </w:rPr>
              <w:t> </w:t>
            </w:r>
          </w:p>
        </w:tc>
      </w:tr>
      <w:tr>
        <w:trPr>
          <w:trHeight w:val="273" w:hRule="atLeast"/>
        </w:trPr>
        <w:tc>
          <w:tcPr>
            <w:tcW w:w="2547" w:type="dxa"/>
          </w:tcPr>
          <w:p>
            <w:pPr>
              <w:pStyle w:val="TableParagraph"/>
              <w:spacing w:line="250" w:lineRule="exact" w:before="3"/>
              <w:ind w:left="107"/>
              <w:rPr>
                <w:sz w:val="21"/>
              </w:rPr>
            </w:pPr>
            <w:r>
              <w:rPr>
                <w:spacing w:val="-1"/>
                <w:sz w:val="21"/>
              </w:rPr>
              <w:t>恒驱电机</w:t>
            </w:r>
            <w:r>
              <w:rPr>
                <w:sz w:val="21"/>
              </w:rPr>
              <w:t> </w:t>
            </w:r>
          </w:p>
        </w:tc>
        <w:tc>
          <w:tcPr>
            <w:tcW w:w="1135" w:type="dxa"/>
          </w:tcPr>
          <w:p>
            <w:pPr>
              <w:pStyle w:val="TableParagraph"/>
              <w:spacing w:line="250" w:lineRule="exact" w:before="3"/>
              <w:ind w:right="345"/>
              <w:jc w:val="right"/>
              <w:rPr>
                <w:sz w:val="21"/>
              </w:rPr>
            </w:pPr>
            <w:r>
              <w:rPr>
                <w:sz w:val="21"/>
              </w:rPr>
              <w:t>指 </w:t>
            </w:r>
          </w:p>
        </w:tc>
        <w:tc>
          <w:tcPr>
            <w:tcW w:w="5142" w:type="dxa"/>
          </w:tcPr>
          <w:p>
            <w:pPr>
              <w:pStyle w:val="TableParagraph"/>
              <w:spacing w:line="250" w:lineRule="exact" w:before="3"/>
              <w:ind w:left="107"/>
              <w:rPr>
                <w:sz w:val="21"/>
              </w:rPr>
            </w:pPr>
            <w:r>
              <w:rPr>
                <w:spacing w:val="-1"/>
                <w:sz w:val="21"/>
              </w:rPr>
              <w:t>深圳市恒驱电机股份有限公司</w:t>
            </w:r>
            <w:r>
              <w:rPr>
                <w:sz w:val="21"/>
              </w:rPr>
              <w:t> </w:t>
            </w:r>
          </w:p>
        </w:tc>
      </w:tr>
      <w:tr>
        <w:trPr>
          <w:trHeight w:val="273" w:hRule="atLeast"/>
        </w:trPr>
        <w:tc>
          <w:tcPr>
            <w:tcW w:w="2547" w:type="dxa"/>
          </w:tcPr>
          <w:p>
            <w:pPr>
              <w:pStyle w:val="TableParagraph"/>
              <w:spacing w:line="252" w:lineRule="exact" w:before="1"/>
              <w:ind w:left="107"/>
              <w:rPr>
                <w:sz w:val="21"/>
              </w:rPr>
            </w:pPr>
            <w:r>
              <w:rPr>
                <w:sz w:val="21"/>
              </w:rPr>
              <w:t>思灵机器人 </w:t>
            </w:r>
          </w:p>
        </w:tc>
        <w:tc>
          <w:tcPr>
            <w:tcW w:w="1135" w:type="dxa"/>
          </w:tcPr>
          <w:p>
            <w:pPr>
              <w:pStyle w:val="TableParagraph"/>
              <w:spacing w:line="252" w:lineRule="exact" w:before="1"/>
              <w:ind w:right="345"/>
              <w:jc w:val="right"/>
              <w:rPr>
                <w:sz w:val="21"/>
              </w:rPr>
            </w:pPr>
            <w:r>
              <w:rPr>
                <w:sz w:val="21"/>
              </w:rPr>
              <w:t>指 </w:t>
            </w:r>
          </w:p>
        </w:tc>
        <w:tc>
          <w:tcPr>
            <w:tcW w:w="5142" w:type="dxa"/>
          </w:tcPr>
          <w:p>
            <w:pPr>
              <w:pStyle w:val="TableParagraph"/>
              <w:spacing w:line="252" w:lineRule="exact" w:before="1"/>
              <w:ind w:left="107"/>
              <w:rPr>
                <w:sz w:val="21"/>
              </w:rPr>
            </w:pPr>
            <w:r>
              <w:rPr>
                <w:spacing w:val="-1"/>
                <w:sz w:val="21"/>
              </w:rPr>
              <w:t>北京思灵机器人科技有限责任公司</w:t>
            </w:r>
            <w:r>
              <w:rPr>
                <w:sz w:val="21"/>
              </w:rPr>
              <w:t> </w:t>
            </w:r>
          </w:p>
        </w:tc>
      </w:tr>
      <w:tr>
        <w:trPr>
          <w:trHeight w:val="270" w:hRule="atLeast"/>
        </w:trPr>
        <w:tc>
          <w:tcPr>
            <w:tcW w:w="2547" w:type="dxa"/>
          </w:tcPr>
          <w:p>
            <w:pPr>
              <w:pStyle w:val="TableParagraph"/>
              <w:spacing w:line="250" w:lineRule="exact" w:before="1"/>
              <w:ind w:left="107"/>
              <w:rPr>
                <w:sz w:val="21"/>
              </w:rPr>
            </w:pPr>
            <w:r>
              <w:rPr>
                <w:spacing w:val="-1"/>
                <w:sz w:val="21"/>
              </w:rPr>
              <w:t>深圳裕展</w:t>
            </w:r>
            <w:r>
              <w:rPr>
                <w:sz w:val="21"/>
              </w:rPr>
              <w:t> </w:t>
            </w:r>
          </w:p>
        </w:tc>
        <w:tc>
          <w:tcPr>
            <w:tcW w:w="1135" w:type="dxa"/>
          </w:tcPr>
          <w:p>
            <w:pPr>
              <w:pStyle w:val="TableParagraph"/>
              <w:spacing w:line="250" w:lineRule="exact" w:before="1"/>
              <w:ind w:right="345"/>
              <w:jc w:val="right"/>
              <w:rPr>
                <w:sz w:val="21"/>
              </w:rPr>
            </w:pPr>
            <w:r>
              <w:rPr>
                <w:sz w:val="21"/>
              </w:rPr>
              <w:t>指 </w:t>
            </w:r>
          </w:p>
        </w:tc>
        <w:tc>
          <w:tcPr>
            <w:tcW w:w="5142" w:type="dxa"/>
          </w:tcPr>
          <w:p>
            <w:pPr>
              <w:pStyle w:val="TableParagraph"/>
              <w:spacing w:line="250" w:lineRule="exact" w:before="1"/>
              <w:ind w:left="107"/>
              <w:rPr>
                <w:sz w:val="21"/>
              </w:rPr>
            </w:pPr>
            <w:r>
              <w:rPr>
                <w:spacing w:val="-1"/>
                <w:sz w:val="21"/>
              </w:rPr>
              <w:t>富联裕展科技</w:t>
            </w:r>
            <w:r>
              <w:rPr>
                <w:sz w:val="21"/>
              </w:rPr>
              <w:t>（深圳）有限公司，本公司境内子公司 </w:t>
            </w:r>
          </w:p>
        </w:tc>
      </w:tr>
      <w:tr>
        <w:trPr>
          <w:trHeight w:val="273" w:hRule="atLeast"/>
        </w:trPr>
        <w:tc>
          <w:tcPr>
            <w:tcW w:w="2547" w:type="dxa"/>
          </w:tcPr>
          <w:p>
            <w:pPr>
              <w:pStyle w:val="TableParagraph"/>
              <w:spacing w:line="250" w:lineRule="exact" w:before="3"/>
              <w:ind w:left="107"/>
              <w:rPr>
                <w:sz w:val="21"/>
              </w:rPr>
            </w:pPr>
            <w:r>
              <w:rPr>
                <w:spacing w:val="-1"/>
                <w:sz w:val="21"/>
              </w:rPr>
              <w:t>河南裕展</w:t>
            </w:r>
            <w:r>
              <w:rPr>
                <w:sz w:val="21"/>
              </w:rPr>
              <w:t> </w:t>
            </w:r>
          </w:p>
        </w:tc>
        <w:tc>
          <w:tcPr>
            <w:tcW w:w="1135" w:type="dxa"/>
          </w:tcPr>
          <w:p>
            <w:pPr>
              <w:pStyle w:val="TableParagraph"/>
              <w:spacing w:line="250" w:lineRule="exact" w:before="3"/>
              <w:ind w:right="345"/>
              <w:jc w:val="right"/>
              <w:rPr>
                <w:sz w:val="21"/>
              </w:rPr>
            </w:pPr>
            <w:r>
              <w:rPr>
                <w:sz w:val="21"/>
              </w:rPr>
              <w:t>指 </w:t>
            </w:r>
          </w:p>
        </w:tc>
        <w:tc>
          <w:tcPr>
            <w:tcW w:w="5142" w:type="dxa"/>
          </w:tcPr>
          <w:p>
            <w:pPr>
              <w:pStyle w:val="TableParagraph"/>
              <w:spacing w:line="250" w:lineRule="exact" w:before="3"/>
              <w:ind w:left="107"/>
              <w:rPr>
                <w:sz w:val="21"/>
              </w:rPr>
            </w:pPr>
            <w:r>
              <w:rPr>
                <w:spacing w:val="-1"/>
                <w:sz w:val="21"/>
              </w:rPr>
              <w:t>富联裕展科技</w:t>
            </w:r>
            <w:r>
              <w:rPr>
                <w:sz w:val="21"/>
              </w:rPr>
              <w:t>（河南）有限公司，本公司境内子公司 </w:t>
            </w:r>
          </w:p>
        </w:tc>
      </w:tr>
      <w:tr>
        <w:trPr>
          <w:trHeight w:val="273" w:hRule="atLeast"/>
        </w:trPr>
        <w:tc>
          <w:tcPr>
            <w:tcW w:w="2547" w:type="dxa"/>
          </w:tcPr>
          <w:p>
            <w:pPr>
              <w:pStyle w:val="TableParagraph"/>
              <w:spacing w:line="252" w:lineRule="exact" w:before="1"/>
              <w:ind w:left="107"/>
              <w:rPr>
                <w:sz w:val="21"/>
              </w:rPr>
            </w:pPr>
            <w:r>
              <w:rPr>
                <w:sz w:val="21"/>
              </w:rPr>
              <w:t>郑州富泰华 </w:t>
            </w:r>
          </w:p>
        </w:tc>
        <w:tc>
          <w:tcPr>
            <w:tcW w:w="1135" w:type="dxa"/>
          </w:tcPr>
          <w:p>
            <w:pPr>
              <w:pStyle w:val="TableParagraph"/>
              <w:spacing w:line="252" w:lineRule="exact" w:before="1"/>
              <w:ind w:right="345"/>
              <w:jc w:val="right"/>
              <w:rPr>
                <w:sz w:val="21"/>
              </w:rPr>
            </w:pPr>
            <w:r>
              <w:rPr>
                <w:sz w:val="21"/>
              </w:rPr>
              <w:t>指 </w:t>
            </w:r>
          </w:p>
        </w:tc>
        <w:tc>
          <w:tcPr>
            <w:tcW w:w="5142" w:type="dxa"/>
          </w:tcPr>
          <w:p>
            <w:pPr>
              <w:pStyle w:val="TableParagraph"/>
              <w:spacing w:line="252" w:lineRule="exact" w:before="1"/>
              <w:ind w:left="107"/>
              <w:rPr>
                <w:sz w:val="21"/>
              </w:rPr>
            </w:pPr>
            <w:r>
              <w:rPr>
                <w:spacing w:val="-1"/>
                <w:sz w:val="21"/>
              </w:rPr>
              <w:t>富联精密电子</w:t>
            </w:r>
            <w:r>
              <w:rPr>
                <w:sz w:val="21"/>
              </w:rPr>
              <w:t>（郑州）有限公司，本公司境内子公司 </w:t>
            </w:r>
          </w:p>
        </w:tc>
      </w:tr>
      <w:tr>
        <w:trPr>
          <w:trHeight w:val="270" w:hRule="atLeast"/>
        </w:trPr>
        <w:tc>
          <w:tcPr>
            <w:tcW w:w="2547" w:type="dxa"/>
          </w:tcPr>
          <w:p>
            <w:pPr>
              <w:pStyle w:val="TableParagraph"/>
              <w:spacing w:line="250" w:lineRule="exact" w:before="1"/>
              <w:ind w:left="107"/>
              <w:rPr>
                <w:sz w:val="21"/>
              </w:rPr>
            </w:pPr>
            <w:r>
              <w:rPr>
                <w:sz w:val="21"/>
              </w:rPr>
              <w:t>PCB </w:t>
            </w:r>
          </w:p>
        </w:tc>
        <w:tc>
          <w:tcPr>
            <w:tcW w:w="1135" w:type="dxa"/>
          </w:tcPr>
          <w:p>
            <w:pPr>
              <w:pStyle w:val="TableParagraph"/>
              <w:spacing w:line="250" w:lineRule="exact" w:before="1"/>
              <w:ind w:right="345"/>
              <w:jc w:val="right"/>
              <w:rPr>
                <w:sz w:val="21"/>
              </w:rPr>
            </w:pPr>
            <w:r>
              <w:rPr>
                <w:sz w:val="21"/>
              </w:rPr>
              <w:t>指 </w:t>
            </w:r>
          </w:p>
        </w:tc>
        <w:tc>
          <w:tcPr>
            <w:tcW w:w="5142" w:type="dxa"/>
          </w:tcPr>
          <w:p>
            <w:pPr>
              <w:pStyle w:val="TableParagraph"/>
              <w:spacing w:line="250" w:lineRule="exact" w:before="1"/>
              <w:ind w:left="107"/>
              <w:rPr>
                <w:sz w:val="21"/>
              </w:rPr>
            </w:pPr>
            <w:r>
              <w:rPr>
                <w:sz w:val="21"/>
              </w:rPr>
              <w:t>Printed</w:t>
            </w:r>
            <w:r>
              <w:rPr>
                <w:spacing w:val="-7"/>
                <w:sz w:val="21"/>
              </w:rPr>
              <w:t> </w:t>
            </w:r>
            <w:r>
              <w:rPr>
                <w:sz w:val="21"/>
              </w:rPr>
              <w:t>Circuit</w:t>
            </w:r>
            <w:r>
              <w:rPr>
                <w:spacing w:val="-6"/>
                <w:sz w:val="21"/>
              </w:rPr>
              <w:t> </w:t>
            </w:r>
            <w:r>
              <w:rPr>
                <w:sz w:val="21"/>
              </w:rPr>
              <w:t>Board，又称印制线路板、印刷电路</w:t>
            </w:r>
          </w:p>
        </w:tc>
      </w:tr>
    </w:tbl>
    <w:p>
      <w:pPr>
        <w:spacing w:after="0" w:line="250" w:lineRule="exact"/>
        <w:rPr>
          <w:sz w:val="21"/>
        </w:rPr>
        <w:sectPr>
          <w:headerReference w:type="default" r:id="rId7"/>
          <w:footerReference w:type="default" r:id="rId8"/>
          <w:pgSz w:w="11910" w:h="16840"/>
          <w:pgMar w:header="880" w:footer="1195" w:top="1120" w:bottom="1380" w:left="1160" w:right="940"/>
        </w:sectPr>
      </w:pPr>
    </w:p>
    <w:p>
      <w:pPr>
        <w:pStyle w:val="BodyText"/>
        <w:ind w:left="0"/>
        <w:rPr>
          <w:sz w:val="20"/>
        </w:rPr>
      </w:pPr>
    </w:p>
    <w:p>
      <w:pPr>
        <w:pStyle w:val="BodyText"/>
        <w:spacing w:before="3"/>
        <w:ind w:left="0"/>
        <w:rPr>
          <w:sz w:val="11"/>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7"/>
        <w:gridCol w:w="1135"/>
        <w:gridCol w:w="5142"/>
      </w:tblGrid>
      <w:tr>
        <w:trPr>
          <w:trHeight w:val="547" w:hRule="atLeast"/>
        </w:trPr>
        <w:tc>
          <w:tcPr>
            <w:tcW w:w="2547" w:type="dxa"/>
          </w:tcPr>
          <w:p>
            <w:pPr>
              <w:pStyle w:val="TableParagraph"/>
              <w:rPr>
                <w:rFonts w:ascii="Times New Roman"/>
                <w:sz w:val="20"/>
              </w:rPr>
            </w:pPr>
          </w:p>
        </w:tc>
        <w:tc>
          <w:tcPr>
            <w:tcW w:w="1135" w:type="dxa"/>
          </w:tcPr>
          <w:p>
            <w:pPr>
              <w:pStyle w:val="TableParagraph"/>
              <w:rPr>
                <w:rFonts w:ascii="Times New Roman"/>
                <w:sz w:val="20"/>
              </w:rPr>
            </w:pPr>
          </w:p>
        </w:tc>
        <w:tc>
          <w:tcPr>
            <w:tcW w:w="5142" w:type="dxa"/>
          </w:tcPr>
          <w:p>
            <w:pPr>
              <w:pStyle w:val="TableParagraph"/>
              <w:spacing w:line="270" w:lineRule="atLeast"/>
              <w:ind w:left="107" w:right="97"/>
              <w:rPr>
                <w:sz w:val="21"/>
              </w:rPr>
            </w:pPr>
            <w:r>
              <w:rPr>
                <w:sz w:val="21"/>
              </w:rPr>
              <w:t>板、印制线路板，是指在绝缘基材上按预定设计形成点间连接及印刷元件的印制板 </w:t>
            </w:r>
          </w:p>
        </w:tc>
      </w:tr>
      <w:tr>
        <w:trPr>
          <w:trHeight w:val="1089" w:hRule="atLeast"/>
        </w:trPr>
        <w:tc>
          <w:tcPr>
            <w:tcW w:w="2547" w:type="dxa"/>
          </w:tcPr>
          <w:p>
            <w:pPr>
              <w:pStyle w:val="TableParagraph"/>
              <w:rPr>
                <w:sz w:val="20"/>
              </w:rPr>
            </w:pPr>
          </w:p>
          <w:p>
            <w:pPr>
              <w:pStyle w:val="TableParagraph"/>
              <w:spacing w:before="152"/>
              <w:ind w:left="107"/>
              <w:rPr>
                <w:sz w:val="21"/>
              </w:rPr>
            </w:pPr>
            <w:r>
              <w:rPr>
                <w:sz w:val="21"/>
              </w:rPr>
              <w:t>IC </w:t>
            </w:r>
          </w:p>
        </w:tc>
        <w:tc>
          <w:tcPr>
            <w:tcW w:w="1135" w:type="dxa"/>
          </w:tcPr>
          <w:p>
            <w:pPr>
              <w:pStyle w:val="TableParagraph"/>
              <w:rPr>
                <w:sz w:val="20"/>
              </w:rPr>
            </w:pPr>
          </w:p>
          <w:p>
            <w:pPr>
              <w:pStyle w:val="TableParagraph"/>
              <w:spacing w:before="152"/>
              <w:ind w:right="345"/>
              <w:jc w:val="right"/>
              <w:rPr>
                <w:sz w:val="21"/>
              </w:rPr>
            </w:pPr>
            <w:r>
              <w:rPr>
                <w:sz w:val="21"/>
              </w:rPr>
              <w:t>指 </w:t>
            </w:r>
          </w:p>
        </w:tc>
        <w:tc>
          <w:tcPr>
            <w:tcW w:w="5142" w:type="dxa"/>
          </w:tcPr>
          <w:p>
            <w:pPr>
              <w:pStyle w:val="TableParagraph"/>
              <w:spacing w:line="242" w:lineRule="auto" w:before="1"/>
              <w:ind w:left="107" w:right="93"/>
              <w:jc w:val="both"/>
              <w:rPr>
                <w:sz w:val="21"/>
              </w:rPr>
            </w:pPr>
            <w:r>
              <w:rPr>
                <w:sz w:val="21"/>
              </w:rPr>
              <w:t>Integrated</w:t>
            </w:r>
            <w:r>
              <w:rPr>
                <w:spacing w:val="88"/>
                <w:sz w:val="21"/>
              </w:rPr>
              <w:t> </w:t>
            </w:r>
            <w:r>
              <w:rPr>
                <w:sz w:val="21"/>
              </w:rPr>
              <w:t>Circuit，是指采用半导体制作工艺，在单晶硅片上制作晶体管、电阻器、电容器等元器件，</w:t>
            </w:r>
            <w:r>
              <w:rPr>
                <w:spacing w:val="-103"/>
                <w:sz w:val="21"/>
              </w:rPr>
              <w:t> </w:t>
            </w:r>
            <w:r>
              <w:rPr>
                <w:sz w:val="21"/>
              </w:rPr>
              <w:t>并按照多层布线或遂道布线的方 法将元器件组合成</w:t>
            </w:r>
          </w:p>
          <w:p>
            <w:pPr>
              <w:pStyle w:val="TableParagraph"/>
              <w:spacing w:line="252" w:lineRule="exact"/>
              <w:ind w:left="107"/>
              <w:rPr>
                <w:sz w:val="21"/>
              </w:rPr>
            </w:pPr>
            <w:r>
              <w:rPr>
                <w:spacing w:val="-1"/>
                <w:sz w:val="21"/>
              </w:rPr>
              <w:t>完整的电子电路</w:t>
            </w:r>
            <w:r>
              <w:rPr>
                <w:sz w:val="21"/>
              </w:rPr>
              <w:t> </w:t>
            </w:r>
          </w:p>
        </w:tc>
      </w:tr>
      <w:tr>
        <w:trPr>
          <w:trHeight w:val="1905" w:hRule="atLeast"/>
        </w:trPr>
        <w:tc>
          <w:tcPr>
            <w:tcW w:w="2547" w:type="dxa"/>
          </w:tcPr>
          <w:p>
            <w:pPr>
              <w:pStyle w:val="TableParagraph"/>
              <w:rPr>
                <w:sz w:val="20"/>
              </w:rPr>
            </w:pPr>
          </w:p>
          <w:p>
            <w:pPr>
              <w:pStyle w:val="TableParagraph"/>
              <w:rPr>
                <w:sz w:val="20"/>
              </w:rPr>
            </w:pPr>
          </w:p>
          <w:p>
            <w:pPr>
              <w:pStyle w:val="TableParagraph"/>
              <w:spacing w:before="9"/>
              <w:rPr>
                <w:sz w:val="23"/>
              </w:rPr>
            </w:pPr>
          </w:p>
          <w:p>
            <w:pPr>
              <w:pStyle w:val="TableParagraph"/>
              <w:spacing w:before="1"/>
              <w:ind w:left="107"/>
              <w:rPr>
                <w:sz w:val="21"/>
              </w:rPr>
            </w:pPr>
            <w:r>
              <w:rPr>
                <w:sz w:val="21"/>
              </w:rPr>
              <w:t>CNC </w:t>
            </w:r>
          </w:p>
        </w:tc>
        <w:tc>
          <w:tcPr>
            <w:tcW w:w="1135" w:type="dxa"/>
          </w:tcPr>
          <w:p>
            <w:pPr>
              <w:pStyle w:val="TableParagraph"/>
              <w:rPr>
                <w:sz w:val="20"/>
              </w:rPr>
            </w:pPr>
          </w:p>
          <w:p>
            <w:pPr>
              <w:pStyle w:val="TableParagraph"/>
              <w:rPr>
                <w:sz w:val="20"/>
              </w:rPr>
            </w:pPr>
          </w:p>
          <w:p>
            <w:pPr>
              <w:pStyle w:val="TableParagraph"/>
              <w:spacing w:before="9"/>
              <w:rPr>
                <w:sz w:val="23"/>
              </w:rPr>
            </w:pPr>
          </w:p>
          <w:p>
            <w:pPr>
              <w:pStyle w:val="TableParagraph"/>
              <w:spacing w:before="1"/>
              <w:ind w:right="345"/>
              <w:jc w:val="right"/>
              <w:rPr>
                <w:sz w:val="21"/>
              </w:rPr>
            </w:pPr>
            <w:r>
              <w:rPr>
                <w:sz w:val="21"/>
              </w:rPr>
              <w:t>指 </w:t>
            </w:r>
          </w:p>
        </w:tc>
        <w:tc>
          <w:tcPr>
            <w:tcW w:w="5142" w:type="dxa"/>
          </w:tcPr>
          <w:p>
            <w:pPr>
              <w:pStyle w:val="TableParagraph"/>
              <w:spacing w:line="242" w:lineRule="auto" w:before="1"/>
              <w:ind w:left="107" w:right="91"/>
              <w:jc w:val="both"/>
              <w:rPr>
                <w:sz w:val="21"/>
              </w:rPr>
            </w:pPr>
            <w:r>
              <w:rPr>
                <w:sz w:val="21"/>
              </w:rPr>
              <w:t>Computer</w:t>
            </w:r>
            <w:r>
              <w:rPr>
                <w:spacing w:val="46"/>
                <w:sz w:val="21"/>
              </w:rPr>
              <w:t> </w:t>
            </w:r>
            <w:r>
              <w:rPr>
                <w:sz w:val="21"/>
              </w:rPr>
              <w:t>Numerical</w:t>
            </w:r>
            <w:r>
              <w:rPr>
                <w:spacing w:val="46"/>
                <w:sz w:val="21"/>
              </w:rPr>
              <w:t> </w:t>
            </w:r>
            <w:r>
              <w:rPr>
                <w:sz w:val="21"/>
              </w:rPr>
              <w:t>Control，即计算机数字控制机</w:t>
            </w:r>
            <w:r>
              <w:rPr>
                <w:spacing w:val="10"/>
                <w:sz w:val="21"/>
              </w:rPr>
              <w:t>床，简称数控机床，是一种由程序控制的自动化机</w:t>
            </w:r>
            <w:r>
              <w:rPr>
                <w:sz w:val="21"/>
              </w:rPr>
              <w:t>床。该控制系统能够逻辑地处理具有控制编码或其他符号指令规定的程序，并将其译码，用代码化的数字表示，通过信息载体输入数控装置。经运算处理由数控装置发出各种控制信号，控制机床的动作，按图纸</w:t>
            </w:r>
          </w:p>
          <w:p>
            <w:pPr>
              <w:pStyle w:val="TableParagraph"/>
              <w:spacing w:line="250" w:lineRule="exact" w:before="4"/>
              <w:ind w:left="107"/>
              <w:rPr>
                <w:sz w:val="21"/>
              </w:rPr>
            </w:pPr>
            <w:r>
              <w:rPr>
                <w:spacing w:val="-1"/>
                <w:sz w:val="21"/>
              </w:rPr>
              <w:t>要求的形状和尺寸，自动将零件加工出来</w:t>
            </w:r>
            <w:r>
              <w:rPr>
                <w:sz w:val="21"/>
              </w:rPr>
              <w:t> </w:t>
            </w:r>
          </w:p>
        </w:tc>
      </w:tr>
      <w:tr>
        <w:trPr>
          <w:trHeight w:val="273" w:hRule="atLeast"/>
        </w:trPr>
        <w:tc>
          <w:tcPr>
            <w:tcW w:w="2547" w:type="dxa"/>
          </w:tcPr>
          <w:p>
            <w:pPr>
              <w:pStyle w:val="TableParagraph"/>
              <w:spacing w:line="253" w:lineRule="exact" w:before="1"/>
              <w:ind w:left="107"/>
              <w:rPr>
                <w:sz w:val="21"/>
              </w:rPr>
            </w:pPr>
            <w:r>
              <w:rPr>
                <w:spacing w:val="-1"/>
                <w:sz w:val="21"/>
              </w:rPr>
              <w:t>富联科技</w:t>
            </w:r>
            <w:r>
              <w:rPr>
                <w:sz w:val="21"/>
              </w:rPr>
              <w:t>（鹤壁） </w:t>
            </w:r>
          </w:p>
        </w:tc>
        <w:tc>
          <w:tcPr>
            <w:tcW w:w="1135" w:type="dxa"/>
          </w:tcPr>
          <w:p>
            <w:pPr>
              <w:pStyle w:val="TableParagraph"/>
              <w:spacing w:line="253" w:lineRule="exact" w:before="1"/>
              <w:ind w:right="345"/>
              <w:jc w:val="right"/>
              <w:rPr>
                <w:sz w:val="21"/>
              </w:rPr>
            </w:pPr>
            <w:r>
              <w:rPr>
                <w:sz w:val="21"/>
              </w:rPr>
              <w:t>指 </w:t>
            </w:r>
          </w:p>
        </w:tc>
        <w:tc>
          <w:tcPr>
            <w:tcW w:w="5142" w:type="dxa"/>
          </w:tcPr>
          <w:p>
            <w:pPr>
              <w:pStyle w:val="TableParagraph"/>
              <w:spacing w:line="253" w:lineRule="exact" w:before="1"/>
              <w:ind w:left="107"/>
              <w:rPr>
                <w:sz w:val="21"/>
              </w:rPr>
            </w:pPr>
            <w:r>
              <w:rPr>
                <w:spacing w:val="-1"/>
                <w:sz w:val="21"/>
              </w:rPr>
              <w:t>富联科技（</w:t>
            </w:r>
            <w:r>
              <w:rPr>
                <w:sz w:val="21"/>
              </w:rPr>
              <w:t>鹤壁）有限公司，本公司境内子公司 </w:t>
            </w:r>
          </w:p>
        </w:tc>
      </w:tr>
      <w:tr>
        <w:trPr>
          <w:trHeight w:val="270" w:hRule="atLeast"/>
        </w:trPr>
        <w:tc>
          <w:tcPr>
            <w:tcW w:w="2547" w:type="dxa"/>
          </w:tcPr>
          <w:p>
            <w:pPr>
              <w:pStyle w:val="TableParagraph"/>
              <w:spacing w:line="250" w:lineRule="exact" w:before="1"/>
              <w:ind w:left="107"/>
              <w:rPr>
                <w:sz w:val="21"/>
              </w:rPr>
            </w:pPr>
            <w:r>
              <w:rPr>
                <w:spacing w:val="-1"/>
                <w:sz w:val="21"/>
              </w:rPr>
              <w:t>富联科技</w:t>
            </w:r>
            <w:r>
              <w:rPr>
                <w:sz w:val="21"/>
              </w:rPr>
              <w:t>（济源） </w:t>
            </w:r>
          </w:p>
        </w:tc>
        <w:tc>
          <w:tcPr>
            <w:tcW w:w="1135" w:type="dxa"/>
          </w:tcPr>
          <w:p>
            <w:pPr>
              <w:pStyle w:val="TableParagraph"/>
              <w:spacing w:line="250" w:lineRule="exact" w:before="1"/>
              <w:ind w:right="345"/>
              <w:jc w:val="right"/>
              <w:rPr>
                <w:sz w:val="21"/>
              </w:rPr>
            </w:pPr>
            <w:r>
              <w:rPr>
                <w:sz w:val="21"/>
              </w:rPr>
              <w:t>指 </w:t>
            </w:r>
          </w:p>
        </w:tc>
        <w:tc>
          <w:tcPr>
            <w:tcW w:w="5142" w:type="dxa"/>
          </w:tcPr>
          <w:p>
            <w:pPr>
              <w:pStyle w:val="TableParagraph"/>
              <w:spacing w:line="250" w:lineRule="exact" w:before="1"/>
              <w:ind w:left="107"/>
              <w:rPr>
                <w:sz w:val="21"/>
              </w:rPr>
            </w:pPr>
            <w:r>
              <w:rPr>
                <w:spacing w:val="-1"/>
                <w:sz w:val="21"/>
              </w:rPr>
              <w:t>富联科技（</w:t>
            </w:r>
            <w:r>
              <w:rPr>
                <w:sz w:val="21"/>
              </w:rPr>
              <w:t>济源）有限公司，本公司境内子公司 </w:t>
            </w:r>
          </w:p>
        </w:tc>
      </w:tr>
      <w:tr>
        <w:trPr>
          <w:trHeight w:val="273" w:hRule="atLeast"/>
        </w:trPr>
        <w:tc>
          <w:tcPr>
            <w:tcW w:w="2547" w:type="dxa"/>
          </w:tcPr>
          <w:p>
            <w:pPr>
              <w:pStyle w:val="TableParagraph"/>
              <w:spacing w:line="250" w:lineRule="exact" w:before="3"/>
              <w:ind w:left="107"/>
              <w:rPr>
                <w:sz w:val="21"/>
              </w:rPr>
            </w:pPr>
            <w:r>
              <w:rPr>
                <w:spacing w:val="-1"/>
                <w:sz w:val="21"/>
              </w:rPr>
              <w:t>南宁富联富桂</w:t>
            </w:r>
            <w:r>
              <w:rPr>
                <w:sz w:val="21"/>
              </w:rPr>
              <w:t> </w:t>
            </w:r>
          </w:p>
        </w:tc>
        <w:tc>
          <w:tcPr>
            <w:tcW w:w="1135" w:type="dxa"/>
          </w:tcPr>
          <w:p>
            <w:pPr>
              <w:pStyle w:val="TableParagraph"/>
              <w:spacing w:line="250" w:lineRule="exact" w:before="3"/>
              <w:ind w:right="345"/>
              <w:jc w:val="right"/>
              <w:rPr>
                <w:sz w:val="21"/>
              </w:rPr>
            </w:pPr>
            <w:r>
              <w:rPr>
                <w:sz w:val="21"/>
              </w:rPr>
              <w:t>指 </w:t>
            </w:r>
          </w:p>
        </w:tc>
        <w:tc>
          <w:tcPr>
            <w:tcW w:w="5142" w:type="dxa"/>
          </w:tcPr>
          <w:p>
            <w:pPr>
              <w:pStyle w:val="TableParagraph"/>
              <w:spacing w:line="250" w:lineRule="exact" w:before="3"/>
              <w:ind w:left="107"/>
              <w:rPr>
                <w:sz w:val="21"/>
              </w:rPr>
            </w:pPr>
            <w:r>
              <w:rPr>
                <w:spacing w:val="-1"/>
                <w:sz w:val="21"/>
              </w:rPr>
              <w:t>南宁富联富桂精密工业有限公司，本公司境内子公司 </w:t>
            </w:r>
          </w:p>
        </w:tc>
      </w:tr>
      <w:tr>
        <w:trPr>
          <w:trHeight w:val="273" w:hRule="atLeast"/>
        </w:trPr>
        <w:tc>
          <w:tcPr>
            <w:tcW w:w="2547" w:type="dxa"/>
          </w:tcPr>
          <w:p>
            <w:pPr>
              <w:pStyle w:val="TableParagraph"/>
              <w:spacing w:line="252" w:lineRule="exact" w:before="1"/>
              <w:ind w:left="107"/>
              <w:rPr>
                <w:sz w:val="21"/>
              </w:rPr>
            </w:pPr>
            <w:r>
              <w:rPr>
                <w:sz w:val="21"/>
              </w:rPr>
              <w:t>天津鸿富锦 </w:t>
            </w:r>
          </w:p>
        </w:tc>
        <w:tc>
          <w:tcPr>
            <w:tcW w:w="1135" w:type="dxa"/>
          </w:tcPr>
          <w:p>
            <w:pPr>
              <w:pStyle w:val="TableParagraph"/>
              <w:spacing w:line="252" w:lineRule="exact" w:before="1"/>
              <w:ind w:right="345"/>
              <w:jc w:val="right"/>
              <w:rPr>
                <w:sz w:val="21"/>
              </w:rPr>
            </w:pPr>
            <w:r>
              <w:rPr>
                <w:sz w:val="21"/>
              </w:rPr>
              <w:t>指 </w:t>
            </w:r>
          </w:p>
        </w:tc>
        <w:tc>
          <w:tcPr>
            <w:tcW w:w="5142" w:type="dxa"/>
          </w:tcPr>
          <w:p>
            <w:pPr>
              <w:pStyle w:val="TableParagraph"/>
              <w:spacing w:line="252" w:lineRule="exact" w:before="1"/>
              <w:ind w:left="107"/>
              <w:rPr>
                <w:sz w:val="21"/>
              </w:rPr>
            </w:pPr>
            <w:r>
              <w:rPr>
                <w:spacing w:val="-1"/>
                <w:sz w:val="21"/>
              </w:rPr>
              <w:t>富联精密电子</w:t>
            </w:r>
            <w:r>
              <w:rPr>
                <w:sz w:val="21"/>
              </w:rPr>
              <w:t>（天津）有限公司，本公司境内子公司 </w:t>
            </w:r>
          </w:p>
        </w:tc>
      </w:tr>
      <w:tr>
        <w:trPr>
          <w:trHeight w:val="544" w:hRule="atLeast"/>
        </w:trPr>
        <w:tc>
          <w:tcPr>
            <w:tcW w:w="2547" w:type="dxa"/>
          </w:tcPr>
          <w:p>
            <w:pPr>
              <w:pStyle w:val="TableParagraph"/>
              <w:spacing w:before="137"/>
              <w:ind w:left="107"/>
              <w:rPr>
                <w:sz w:val="21"/>
              </w:rPr>
            </w:pPr>
            <w:r>
              <w:rPr>
                <w:spacing w:val="-1"/>
                <w:sz w:val="21"/>
              </w:rPr>
              <w:t>中坚公司</w:t>
            </w:r>
            <w:r>
              <w:rPr>
                <w:sz w:val="21"/>
              </w:rPr>
              <w:t> </w:t>
            </w:r>
          </w:p>
        </w:tc>
        <w:tc>
          <w:tcPr>
            <w:tcW w:w="1135" w:type="dxa"/>
          </w:tcPr>
          <w:p>
            <w:pPr>
              <w:pStyle w:val="TableParagraph"/>
              <w:spacing w:before="137"/>
              <w:ind w:right="345"/>
              <w:jc w:val="right"/>
              <w:rPr>
                <w:sz w:val="21"/>
              </w:rPr>
            </w:pPr>
            <w:r>
              <w:rPr>
                <w:sz w:val="21"/>
              </w:rPr>
              <w:t>指 </w:t>
            </w:r>
          </w:p>
        </w:tc>
        <w:tc>
          <w:tcPr>
            <w:tcW w:w="5142" w:type="dxa"/>
          </w:tcPr>
          <w:p>
            <w:pPr>
              <w:pStyle w:val="TableParagraph"/>
              <w:spacing w:before="1"/>
              <w:ind w:left="107"/>
              <w:rPr>
                <w:sz w:val="21"/>
              </w:rPr>
            </w:pPr>
            <w:r>
              <w:rPr>
                <w:sz w:val="21"/>
              </w:rPr>
              <w:t>China</w:t>
            </w:r>
            <w:r>
              <w:rPr>
                <w:spacing w:val="30"/>
                <w:sz w:val="21"/>
              </w:rPr>
              <w:t> </w:t>
            </w:r>
            <w:r>
              <w:rPr>
                <w:sz w:val="21"/>
              </w:rPr>
              <w:t>Galaxy</w:t>
            </w:r>
            <w:r>
              <w:rPr>
                <w:spacing w:val="30"/>
                <w:sz w:val="21"/>
              </w:rPr>
              <w:t> </w:t>
            </w:r>
            <w:r>
              <w:rPr>
                <w:sz w:val="21"/>
              </w:rPr>
              <w:t>Enterprises</w:t>
            </w:r>
            <w:r>
              <w:rPr>
                <w:spacing w:val="31"/>
                <w:sz w:val="21"/>
              </w:rPr>
              <w:t> </w:t>
            </w:r>
            <w:r>
              <w:rPr>
                <w:sz w:val="21"/>
              </w:rPr>
              <w:t>Limited（中坚企业有限</w:t>
            </w:r>
          </w:p>
          <w:p>
            <w:pPr>
              <w:pStyle w:val="TableParagraph"/>
              <w:spacing w:line="252" w:lineRule="exact" w:before="2"/>
              <w:ind w:left="107"/>
              <w:rPr>
                <w:sz w:val="21"/>
              </w:rPr>
            </w:pPr>
            <w:r>
              <w:rPr>
                <w:spacing w:val="-1"/>
                <w:sz w:val="21"/>
              </w:rPr>
              <w:t>公司），注册于中国香港之本公司控股股东</w:t>
            </w:r>
            <w:r>
              <w:rPr>
                <w:sz w:val="21"/>
              </w:rPr>
              <w:t> </w:t>
            </w:r>
          </w:p>
        </w:tc>
      </w:tr>
      <w:tr>
        <w:trPr>
          <w:trHeight w:val="544" w:hRule="atLeast"/>
        </w:trPr>
        <w:tc>
          <w:tcPr>
            <w:tcW w:w="2547" w:type="dxa"/>
          </w:tcPr>
          <w:p>
            <w:pPr>
              <w:pStyle w:val="TableParagraph"/>
              <w:spacing w:before="138"/>
              <w:ind w:left="107"/>
              <w:rPr>
                <w:sz w:val="21"/>
              </w:rPr>
            </w:pPr>
            <w:r>
              <w:rPr>
                <w:spacing w:val="-1"/>
                <w:sz w:val="21"/>
              </w:rPr>
              <w:t>鸿海精密</w:t>
            </w:r>
            <w:r>
              <w:rPr>
                <w:sz w:val="21"/>
              </w:rPr>
              <w:t> </w:t>
            </w:r>
          </w:p>
        </w:tc>
        <w:tc>
          <w:tcPr>
            <w:tcW w:w="1135" w:type="dxa"/>
          </w:tcPr>
          <w:p>
            <w:pPr>
              <w:pStyle w:val="TableParagraph"/>
              <w:spacing w:before="138"/>
              <w:ind w:right="345"/>
              <w:jc w:val="right"/>
              <w:rPr>
                <w:sz w:val="21"/>
              </w:rPr>
            </w:pPr>
            <w:r>
              <w:rPr>
                <w:sz w:val="21"/>
              </w:rPr>
              <w:t>指 </w:t>
            </w:r>
          </w:p>
        </w:tc>
        <w:tc>
          <w:tcPr>
            <w:tcW w:w="5142" w:type="dxa"/>
          </w:tcPr>
          <w:p>
            <w:pPr>
              <w:pStyle w:val="TableParagraph"/>
              <w:spacing w:before="1"/>
              <w:ind w:left="107"/>
              <w:rPr>
                <w:sz w:val="21"/>
              </w:rPr>
            </w:pPr>
            <w:r>
              <w:rPr>
                <w:sz w:val="21"/>
              </w:rPr>
              <w:t>鸿海精密工业股份有限公司，间接持有本公司控股股</w:t>
            </w:r>
          </w:p>
          <w:p>
            <w:pPr>
              <w:pStyle w:val="TableParagraph"/>
              <w:spacing w:line="252" w:lineRule="exact" w:before="2"/>
              <w:ind w:left="107"/>
              <w:rPr>
                <w:sz w:val="21"/>
              </w:rPr>
            </w:pPr>
            <w:r>
              <w:rPr>
                <w:spacing w:val="-9"/>
                <w:sz w:val="21"/>
              </w:rPr>
              <w:t>东中坚公司 </w:t>
            </w:r>
            <w:r>
              <w:rPr>
                <w:spacing w:val="-1"/>
                <w:sz w:val="21"/>
              </w:rPr>
              <w:t>100%权益</w:t>
            </w:r>
            <w:r>
              <w:rPr>
                <w:sz w:val="21"/>
              </w:rPr>
              <w:t> </w:t>
            </w:r>
          </w:p>
        </w:tc>
      </w:tr>
      <w:tr>
        <w:trPr>
          <w:trHeight w:val="273" w:hRule="atLeast"/>
        </w:trPr>
        <w:tc>
          <w:tcPr>
            <w:tcW w:w="2547" w:type="dxa"/>
          </w:tcPr>
          <w:p>
            <w:pPr>
              <w:pStyle w:val="TableParagraph"/>
              <w:spacing w:line="252" w:lineRule="exact" w:before="1"/>
              <w:ind w:left="107"/>
              <w:rPr>
                <w:sz w:val="21"/>
              </w:rPr>
            </w:pPr>
            <w:r>
              <w:rPr>
                <w:sz w:val="21"/>
              </w:rPr>
              <w:t>深圳富泰华 </w:t>
            </w:r>
          </w:p>
        </w:tc>
        <w:tc>
          <w:tcPr>
            <w:tcW w:w="1135" w:type="dxa"/>
          </w:tcPr>
          <w:p>
            <w:pPr>
              <w:pStyle w:val="TableParagraph"/>
              <w:spacing w:line="252" w:lineRule="exact" w:before="1"/>
              <w:ind w:right="345"/>
              <w:jc w:val="right"/>
              <w:rPr>
                <w:sz w:val="21"/>
              </w:rPr>
            </w:pPr>
            <w:r>
              <w:rPr>
                <w:sz w:val="21"/>
              </w:rPr>
              <w:t>指 </w:t>
            </w:r>
          </w:p>
        </w:tc>
        <w:tc>
          <w:tcPr>
            <w:tcW w:w="5142" w:type="dxa"/>
          </w:tcPr>
          <w:p>
            <w:pPr>
              <w:pStyle w:val="TableParagraph"/>
              <w:spacing w:line="252" w:lineRule="exact" w:before="1"/>
              <w:ind w:left="107"/>
              <w:rPr>
                <w:sz w:val="21"/>
              </w:rPr>
            </w:pPr>
            <w:r>
              <w:rPr>
                <w:spacing w:val="-1"/>
                <w:sz w:val="21"/>
              </w:rPr>
              <w:t>富泰华工业</w:t>
            </w:r>
            <w:r>
              <w:rPr>
                <w:sz w:val="21"/>
              </w:rPr>
              <w:t>（深圳）有限公司，本公司股东 </w:t>
            </w:r>
          </w:p>
        </w:tc>
      </w:tr>
      <w:tr>
        <w:trPr>
          <w:trHeight w:val="544" w:hRule="atLeast"/>
        </w:trPr>
        <w:tc>
          <w:tcPr>
            <w:tcW w:w="2547" w:type="dxa"/>
          </w:tcPr>
          <w:p>
            <w:pPr>
              <w:pStyle w:val="TableParagraph"/>
              <w:spacing w:before="135"/>
              <w:ind w:left="107"/>
              <w:rPr>
                <w:sz w:val="21"/>
              </w:rPr>
            </w:pPr>
            <w:r>
              <w:rPr>
                <w:sz w:val="21"/>
              </w:rPr>
              <w:t>Ambit</w:t>
            </w:r>
            <w:r>
              <w:rPr>
                <w:spacing w:val="-3"/>
                <w:sz w:val="21"/>
              </w:rPr>
              <w:t> </w:t>
            </w:r>
            <w:r>
              <w:rPr>
                <w:sz w:val="21"/>
              </w:rPr>
              <w:t>Cayman </w:t>
            </w:r>
          </w:p>
        </w:tc>
        <w:tc>
          <w:tcPr>
            <w:tcW w:w="1135" w:type="dxa"/>
          </w:tcPr>
          <w:p>
            <w:pPr>
              <w:pStyle w:val="TableParagraph"/>
              <w:spacing w:before="135"/>
              <w:ind w:right="345"/>
              <w:jc w:val="right"/>
              <w:rPr>
                <w:sz w:val="21"/>
              </w:rPr>
            </w:pPr>
            <w:r>
              <w:rPr>
                <w:sz w:val="21"/>
              </w:rPr>
              <w:t>指 </w:t>
            </w:r>
          </w:p>
        </w:tc>
        <w:tc>
          <w:tcPr>
            <w:tcW w:w="5142" w:type="dxa"/>
          </w:tcPr>
          <w:p>
            <w:pPr>
              <w:pStyle w:val="TableParagraph"/>
              <w:spacing w:before="1"/>
              <w:ind w:left="107"/>
              <w:rPr>
                <w:sz w:val="21"/>
              </w:rPr>
            </w:pPr>
            <w:r>
              <w:rPr>
                <w:sz w:val="21"/>
              </w:rPr>
              <w:t>Ambit</w:t>
            </w:r>
            <w:r>
              <w:rPr>
                <w:spacing w:val="30"/>
                <w:sz w:val="21"/>
              </w:rPr>
              <w:t> </w:t>
            </w:r>
            <w:r>
              <w:rPr>
                <w:sz w:val="21"/>
              </w:rPr>
              <w:t>Microsystems</w:t>
            </w:r>
            <w:r>
              <w:rPr>
                <w:spacing w:val="15"/>
                <w:sz w:val="21"/>
              </w:rPr>
              <w:t> (</w:t>
            </w:r>
            <w:r>
              <w:rPr>
                <w:sz w:val="21"/>
              </w:rPr>
              <w:t>Cayman)</w:t>
            </w:r>
            <w:r>
              <w:rPr>
                <w:spacing w:val="31"/>
                <w:sz w:val="21"/>
              </w:rPr>
              <w:t> </w:t>
            </w:r>
            <w:r>
              <w:rPr>
                <w:sz w:val="21"/>
              </w:rPr>
              <w:t>Ltd.，注册于开曼群</w:t>
            </w:r>
          </w:p>
          <w:p>
            <w:pPr>
              <w:pStyle w:val="TableParagraph"/>
              <w:spacing w:line="252" w:lineRule="exact" w:before="2"/>
              <w:ind w:left="107"/>
              <w:rPr>
                <w:sz w:val="21"/>
              </w:rPr>
            </w:pPr>
            <w:r>
              <w:rPr>
                <w:spacing w:val="-1"/>
                <w:sz w:val="21"/>
              </w:rPr>
              <w:t>岛之本公司股东</w:t>
            </w:r>
            <w:r>
              <w:rPr>
                <w:sz w:val="21"/>
              </w:rPr>
              <w:t> </w:t>
            </w:r>
          </w:p>
        </w:tc>
      </w:tr>
      <w:tr>
        <w:trPr>
          <w:trHeight w:val="270" w:hRule="atLeast"/>
        </w:trPr>
        <w:tc>
          <w:tcPr>
            <w:tcW w:w="2547" w:type="dxa"/>
          </w:tcPr>
          <w:p>
            <w:pPr>
              <w:pStyle w:val="TableParagraph"/>
              <w:spacing w:line="250" w:lineRule="exact" w:before="1"/>
              <w:ind w:left="107"/>
              <w:rPr>
                <w:sz w:val="21"/>
              </w:rPr>
            </w:pPr>
            <w:r>
              <w:rPr>
                <w:sz w:val="21"/>
              </w:rPr>
              <w:t>深圳鸿富锦 </w:t>
            </w:r>
          </w:p>
        </w:tc>
        <w:tc>
          <w:tcPr>
            <w:tcW w:w="1135" w:type="dxa"/>
          </w:tcPr>
          <w:p>
            <w:pPr>
              <w:pStyle w:val="TableParagraph"/>
              <w:spacing w:line="250" w:lineRule="exact" w:before="1"/>
              <w:ind w:right="345"/>
              <w:jc w:val="right"/>
              <w:rPr>
                <w:sz w:val="21"/>
              </w:rPr>
            </w:pPr>
            <w:r>
              <w:rPr>
                <w:sz w:val="21"/>
              </w:rPr>
              <w:t>指 </w:t>
            </w:r>
          </w:p>
        </w:tc>
        <w:tc>
          <w:tcPr>
            <w:tcW w:w="5142" w:type="dxa"/>
          </w:tcPr>
          <w:p>
            <w:pPr>
              <w:pStyle w:val="TableParagraph"/>
              <w:spacing w:line="250" w:lineRule="exact" w:before="1"/>
              <w:ind w:left="107"/>
              <w:rPr>
                <w:sz w:val="21"/>
              </w:rPr>
            </w:pPr>
            <w:r>
              <w:rPr>
                <w:spacing w:val="-1"/>
                <w:sz w:val="21"/>
              </w:rPr>
              <w:t>富士康科技集团有限公司，本公司股东</w:t>
            </w:r>
            <w:r>
              <w:rPr>
                <w:sz w:val="21"/>
              </w:rPr>
              <w:t> </w:t>
            </w:r>
          </w:p>
        </w:tc>
      </w:tr>
      <w:tr>
        <w:trPr>
          <w:trHeight w:val="273" w:hRule="atLeast"/>
        </w:trPr>
        <w:tc>
          <w:tcPr>
            <w:tcW w:w="2547" w:type="dxa"/>
          </w:tcPr>
          <w:p>
            <w:pPr>
              <w:pStyle w:val="TableParagraph"/>
              <w:spacing w:line="252" w:lineRule="exact" w:before="1"/>
              <w:ind w:left="107"/>
              <w:rPr>
                <w:sz w:val="21"/>
              </w:rPr>
            </w:pPr>
            <w:r>
              <w:rPr>
                <w:sz w:val="21"/>
              </w:rPr>
              <w:t>郑州鸿富锦 </w:t>
            </w:r>
          </w:p>
        </w:tc>
        <w:tc>
          <w:tcPr>
            <w:tcW w:w="1135" w:type="dxa"/>
          </w:tcPr>
          <w:p>
            <w:pPr>
              <w:pStyle w:val="TableParagraph"/>
              <w:spacing w:line="252" w:lineRule="exact" w:before="1"/>
              <w:ind w:right="345"/>
              <w:jc w:val="right"/>
              <w:rPr>
                <w:sz w:val="21"/>
              </w:rPr>
            </w:pPr>
            <w:r>
              <w:rPr>
                <w:sz w:val="21"/>
              </w:rPr>
              <w:t>指 </w:t>
            </w:r>
          </w:p>
        </w:tc>
        <w:tc>
          <w:tcPr>
            <w:tcW w:w="5142" w:type="dxa"/>
          </w:tcPr>
          <w:p>
            <w:pPr>
              <w:pStyle w:val="TableParagraph"/>
              <w:spacing w:line="252" w:lineRule="exact" w:before="1"/>
              <w:ind w:left="107"/>
              <w:rPr>
                <w:sz w:val="21"/>
              </w:rPr>
            </w:pPr>
            <w:r>
              <w:rPr>
                <w:spacing w:val="-1"/>
                <w:sz w:val="21"/>
              </w:rPr>
              <w:t>鸿富锦精密电子</w:t>
            </w:r>
            <w:r>
              <w:rPr>
                <w:sz w:val="21"/>
              </w:rPr>
              <w:t>（郑州）有限公司，本公司股东 </w:t>
            </w:r>
          </w:p>
        </w:tc>
      </w:tr>
      <w:tr>
        <w:trPr>
          <w:trHeight w:val="544" w:hRule="atLeast"/>
        </w:trPr>
        <w:tc>
          <w:tcPr>
            <w:tcW w:w="2547" w:type="dxa"/>
          </w:tcPr>
          <w:p>
            <w:pPr>
              <w:pStyle w:val="TableParagraph"/>
              <w:spacing w:before="138"/>
              <w:ind w:left="107"/>
              <w:rPr>
                <w:sz w:val="21"/>
              </w:rPr>
            </w:pPr>
            <w:r>
              <w:rPr>
                <w:sz w:val="21"/>
              </w:rPr>
              <w:t>Star</w:t>
            </w:r>
            <w:r>
              <w:rPr>
                <w:spacing w:val="-2"/>
                <w:sz w:val="21"/>
              </w:rPr>
              <w:t> </w:t>
            </w:r>
            <w:r>
              <w:rPr>
                <w:sz w:val="21"/>
              </w:rPr>
              <w:t>Vision </w:t>
            </w:r>
          </w:p>
        </w:tc>
        <w:tc>
          <w:tcPr>
            <w:tcW w:w="1135" w:type="dxa"/>
          </w:tcPr>
          <w:p>
            <w:pPr>
              <w:pStyle w:val="TableParagraph"/>
              <w:spacing w:before="138"/>
              <w:ind w:right="345"/>
              <w:jc w:val="right"/>
              <w:rPr>
                <w:sz w:val="21"/>
              </w:rPr>
            </w:pPr>
            <w:r>
              <w:rPr>
                <w:sz w:val="21"/>
              </w:rPr>
              <w:t>指 </w:t>
            </w:r>
          </w:p>
        </w:tc>
        <w:tc>
          <w:tcPr>
            <w:tcW w:w="5142" w:type="dxa"/>
          </w:tcPr>
          <w:p>
            <w:pPr>
              <w:pStyle w:val="TableParagraph"/>
              <w:spacing w:before="1"/>
              <w:ind w:left="107"/>
              <w:rPr>
                <w:sz w:val="21"/>
              </w:rPr>
            </w:pPr>
            <w:r>
              <w:rPr>
                <w:sz w:val="21"/>
              </w:rPr>
              <w:t>Star</w:t>
            </w:r>
            <w:r>
              <w:rPr>
                <w:spacing w:val="31"/>
                <w:sz w:val="21"/>
              </w:rPr>
              <w:t> </w:t>
            </w:r>
            <w:r>
              <w:rPr>
                <w:sz w:val="21"/>
              </w:rPr>
              <w:t>Vision</w:t>
            </w:r>
            <w:r>
              <w:rPr>
                <w:spacing w:val="28"/>
                <w:sz w:val="21"/>
              </w:rPr>
              <w:t> </w:t>
            </w:r>
            <w:r>
              <w:rPr>
                <w:sz w:val="21"/>
              </w:rPr>
              <w:t>Technology</w:t>
            </w:r>
            <w:r>
              <w:rPr>
                <w:spacing w:val="31"/>
                <w:sz w:val="21"/>
              </w:rPr>
              <w:t> </w:t>
            </w:r>
            <w:r>
              <w:rPr>
                <w:sz w:val="21"/>
              </w:rPr>
              <w:t>Limited，注册于中国香港</w:t>
            </w:r>
          </w:p>
          <w:p>
            <w:pPr>
              <w:pStyle w:val="TableParagraph"/>
              <w:spacing w:line="250" w:lineRule="exact" w:before="5"/>
              <w:ind w:left="107"/>
              <w:rPr>
                <w:sz w:val="21"/>
              </w:rPr>
            </w:pPr>
            <w:r>
              <w:rPr>
                <w:spacing w:val="-1"/>
                <w:sz w:val="21"/>
              </w:rPr>
              <w:t>之本公司股东</w:t>
            </w:r>
            <w:r>
              <w:rPr>
                <w:sz w:val="21"/>
              </w:rPr>
              <w:t> </w:t>
            </w:r>
          </w:p>
        </w:tc>
      </w:tr>
      <w:tr>
        <w:trPr>
          <w:trHeight w:val="273" w:hRule="atLeast"/>
        </w:trPr>
        <w:tc>
          <w:tcPr>
            <w:tcW w:w="2547" w:type="dxa"/>
          </w:tcPr>
          <w:p>
            <w:pPr>
              <w:pStyle w:val="TableParagraph"/>
              <w:spacing w:line="252" w:lineRule="exact" w:before="1"/>
              <w:ind w:left="107"/>
              <w:rPr>
                <w:sz w:val="21"/>
              </w:rPr>
            </w:pPr>
            <w:r>
              <w:rPr>
                <w:sz w:val="21"/>
              </w:rPr>
              <w:t>富智康 </w:t>
            </w:r>
          </w:p>
        </w:tc>
        <w:tc>
          <w:tcPr>
            <w:tcW w:w="1135" w:type="dxa"/>
          </w:tcPr>
          <w:p>
            <w:pPr>
              <w:pStyle w:val="TableParagraph"/>
              <w:spacing w:line="252" w:lineRule="exact" w:before="1"/>
              <w:ind w:right="345"/>
              <w:jc w:val="right"/>
              <w:rPr>
                <w:sz w:val="21"/>
              </w:rPr>
            </w:pPr>
            <w:r>
              <w:rPr>
                <w:sz w:val="21"/>
              </w:rPr>
              <w:t>指 </w:t>
            </w:r>
          </w:p>
        </w:tc>
        <w:tc>
          <w:tcPr>
            <w:tcW w:w="5142" w:type="dxa"/>
          </w:tcPr>
          <w:p>
            <w:pPr>
              <w:pStyle w:val="TableParagraph"/>
              <w:spacing w:line="252" w:lineRule="exact" w:before="1"/>
              <w:ind w:left="107"/>
              <w:rPr>
                <w:sz w:val="21"/>
              </w:rPr>
            </w:pPr>
            <w:r>
              <w:rPr>
                <w:sz w:val="21"/>
              </w:rPr>
              <w:t>FIH</w:t>
            </w:r>
            <w:r>
              <w:rPr>
                <w:spacing w:val="-3"/>
                <w:sz w:val="21"/>
              </w:rPr>
              <w:t> </w:t>
            </w:r>
            <w:r>
              <w:rPr>
                <w:sz w:val="21"/>
              </w:rPr>
              <w:t>Mobile</w:t>
            </w:r>
            <w:r>
              <w:rPr>
                <w:spacing w:val="-2"/>
                <w:sz w:val="21"/>
              </w:rPr>
              <w:t> </w:t>
            </w:r>
            <w:r>
              <w:rPr>
                <w:sz w:val="21"/>
              </w:rPr>
              <w:t>Ltd.（富智康集团有限公司） </w:t>
            </w:r>
          </w:p>
        </w:tc>
      </w:tr>
      <w:tr>
        <w:trPr>
          <w:trHeight w:val="270" w:hRule="atLeast"/>
        </w:trPr>
        <w:tc>
          <w:tcPr>
            <w:tcW w:w="2547" w:type="dxa"/>
          </w:tcPr>
          <w:p>
            <w:pPr>
              <w:pStyle w:val="TableParagraph"/>
              <w:spacing w:line="250" w:lineRule="exact" w:before="1"/>
              <w:ind w:left="107"/>
              <w:rPr>
                <w:sz w:val="21"/>
              </w:rPr>
            </w:pPr>
            <w:r>
              <w:rPr>
                <w:spacing w:val="-1"/>
                <w:sz w:val="21"/>
              </w:rPr>
              <w:t>国基电子</w:t>
            </w:r>
            <w:r>
              <w:rPr>
                <w:sz w:val="21"/>
              </w:rPr>
              <w:t> </w:t>
            </w:r>
          </w:p>
        </w:tc>
        <w:tc>
          <w:tcPr>
            <w:tcW w:w="1135" w:type="dxa"/>
          </w:tcPr>
          <w:p>
            <w:pPr>
              <w:pStyle w:val="TableParagraph"/>
              <w:spacing w:line="250" w:lineRule="exact" w:before="1"/>
              <w:ind w:right="345"/>
              <w:jc w:val="right"/>
              <w:rPr>
                <w:sz w:val="21"/>
              </w:rPr>
            </w:pPr>
            <w:r>
              <w:rPr>
                <w:sz w:val="21"/>
              </w:rPr>
              <w:t>指 </w:t>
            </w:r>
          </w:p>
        </w:tc>
        <w:tc>
          <w:tcPr>
            <w:tcW w:w="5142" w:type="dxa"/>
          </w:tcPr>
          <w:p>
            <w:pPr>
              <w:pStyle w:val="TableParagraph"/>
              <w:spacing w:line="250" w:lineRule="exact" w:before="1"/>
              <w:ind w:left="107"/>
              <w:rPr>
                <w:sz w:val="21"/>
              </w:rPr>
            </w:pPr>
            <w:r>
              <w:rPr>
                <w:spacing w:val="-1"/>
                <w:sz w:val="21"/>
              </w:rPr>
              <w:t>富联国基</w:t>
            </w:r>
            <w:r>
              <w:rPr>
                <w:sz w:val="21"/>
              </w:rPr>
              <w:t>（上海）电子有限公司，本公司境内子公司 </w:t>
            </w:r>
          </w:p>
        </w:tc>
      </w:tr>
      <w:tr>
        <w:trPr>
          <w:trHeight w:val="273" w:hRule="atLeast"/>
        </w:trPr>
        <w:tc>
          <w:tcPr>
            <w:tcW w:w="2547" w:type="dxa"/>
          </w:tcPr>
          <w:p>
            <w:pPr>
              <w:pStyle w:val="TableParagraph"/>
              <w:spacing w:line="250" w:lineRule="exact" w:before="3"/>
              <w:ind w:left="107"/>
              <w:rPr>
                <w:sz w:val="21"/>
              </w:rPr>
            </w:pPr>
            <w:r>
              <w:rPr>
                <w:spacing w:val="-1"/>
                <w:sz w:val="21"/>
              </w:rPr>
              <w:t>国宙电子</w:t>
            </w:r>
            <w:r>
              <w:rPr>
                <w:sz w:val="21"/>
              </w:rPr>
              <w:t> </w:t>
            </w:r>
          </w:p>
        </w:tc>
        <w:tc>
          <w:tcPr>
            <w:tcW w:w="1135" w:type="dxa"/>
          </w:tcPr>
          <w:p>
            <w:pPr>
              <w:pStyle w:val="TableParagraph"/>
              <w:spacing w:line="250" w:lineRule="exact" w:before="3"/>
              <w:ind w:right="345"/>
              <w:jc w:val="right"/>
              <w:rPr>
                <w:sz w:val="21"/>
              </w:rPr>
            </w:pPr>
            <w:r>
              <w:rPr>
                <w:sz w:val="21"/>
              </w:rPr>
              <w:t>指 </w:t>
            </w:r>
          </w:p>
        </w:tc>
        <w:tc>
          <w:tcPr>
            <w:tcW w:w="5142" w:type="dxa"/>
          </w:tcPr>
          <w:p>
            <w:pPr>
              <w:pStyle w:val="TableParagraph"/>
              <w:spacing w:line="250" w:lineRule="exact" w:before="3"/>
              <w:ind w:left="107"/>
              <w:rPr>
                <w:sz w:val="21"/>
              </w:rPr>
            </w:pPr>
            <w:r>
              <w:rPr>
                <w:spacing w:val="-1"/>
                <w:sz w:val="21"/>
              </w:rPr>
              <w:t>富联国宙电子</w:t>
            </w:r>
            <w:r>
              <w:rPr>
                <w:sz w:val="21"/>
              </w:rPr>
              <w:t>（上海）有限公司，本公司境内子公司 </w:t>
            </w:r>
          </w:p>
        </w:tc>
      </w:tr>
      <w:tr>
        <w:trPr>
          <w:trHeight w:val="273" w:hRule="atLeast"/>
        </w:trPr>
        <w:tc>
          <w:tcPr>
            <w:tcW w:w="2547" w:type="dxa"/>
          </w:tcPr>
          <w:p>
            <w:pPr>
              <w:pStyle w:val="TableParagraph"/>
              <w:spacing w:line="252" w:lineRule="exact" w:before="1"/>
              <w:ind w:left="107"/>
              <w:rPr>
                <w:sz w:val="21"/>
              </w:rPr>
            </w:pPr>
            <w:r>
              <w:rPr>
                <w:spacing w:val="-1"/>
                <w:sz w:val="21"/>
              </w:rPr>
              <w:t>日本裕展</w:t>
            </w:r>
            <w:r>
              <w:rPr>
                <w:sz w:val="21"/>
              </w:rPr>
              <w:t> </w:t>
            </w:r>
          </w:p>
        </w:tc>
        <w:tc>
          <w:tcPr>
            <w:tcW w:w="1135" w:type="dxa"/>
          </w:tcPr>
          <w:p>
            <w:pPr>
              <w:pStyle w:val="TableParagraph"/>
              <w:spacing w:line="252" w:lineRule="exact" w:before="1"/>
              <w:ind w:right="345"/>
              <w:jc w:val="right"/>
              <w:rPr>
                <w:sz w:val="21"/>
              </w:rPr>
            </w:pPr>
            <w:r>
              <w:rPr>
                <w:sz w:val="21"/>
              </w:rPr>
              <w:t>指 </w:t>
            </w:r>
          </w:p>
        </w:tc>
        <w:tc>
          <w:tcPr>
            <w:tcW w:w="5142" w:type="dxa"/>
          </w:tcPr>
          <w:p>
            <w:pPr>
              <w:pStyle w:val="TableParagraph"/>
              <w:spacing w:line="252" w:lineRule="exact" w:before="1"/>
              <w:ind w:left="107"/>
              <w:rPr>
                <w:sz w:val="21"/>
              </w:rPr>
            </w:pPr>
            <w:r>
              <w:rPr>
                <w:spacing w:val="-1"/>
                <w:sz w:val="21"/>
              </w:rPr>
              <w:t>日本裕展贸易株式会社，注册于日本之本公司子公司 </w:t>
            </w:r>
          </w:p>
        </w:tc>
      </w:tr>
      <w:tr>
        <w:trPr>
          <w:trHeight w:val="270" w:hRule="atLeast"/>
        </w:trPr>
        <w:tc>
          <w:tcPr>
            <w:tcW w:w="2547" w:type="dxa"/>
          </w:tcPr>
          <w:p>
            <w:pPr>
              <w:pStyle w:val="TableParagraph"/>
              <w:spacing w:line="250" w:lineRule="exact" w:before="1"/>
              <w:ind w:left="107"/>
              <w:rPr>
                <w:sz w:val="21"/>
              </w:rPr>
            </w:pPr>
            <w:r>
              <w:rPr>
                <w:sz w:val="21"/>
              </w:rPr>
              <w:t>DC-MHS </w:t>
            </w:r>
          </w:p>
        </w:tc>
        <w:tc>
          <w:tcPr>
            <w:tcW w:w="1135" w:type="dxa"/>
          </w:tcPr>
          <w:p>
            <w:pPr>
              <w:pStyle w:val="TableParagraph"/>
              <w:spacing w:line="250" w:lineRule="exact" w:before="1"/>
              <w:ind w:right="345"/>
              <w:jc w:val="right"/>
              <w:rPr>
                <w:sz w:val="21"/>
              </w:rPr>
            </w:pPr>
            <w:r>
              <w:rPr>
                <w:sz w:val="21"/>
              </w:rPr>
              <w:t>指 </w:t>
            </w:r>
          </w:p>
        </w:tc>
        <w:tc>
          <w:tcPr>
            <w:tcW w:w="5142" w:type="dxa"/>
          </w:tcPr>
          <w:p>
            <w:pPr>
              <w:pStyle w:val="TableParagraph"/>
              <w:spacing w:line="250" w:lineRule="exact" w:before="1"/>
              <w:ind w:left="107"/>
              <w:rPr>
                <w:sz w:val="21"/>
              </w:rPr>
            </w:pPr>
            <w:r>
              <w:rPr>
                <w:spacing w:val="-1"/>
                <w:sz w:val="21"/>
              </w:rPr>
              <w:t>数据中心模块化硬件系统</w:t>
            </w:r>
            <w:r>
              <w:rPr>
                <w:sz w:val="21"/>
              </w:rPr>
              <w:t> </w:t>
            </w:r>
          </w:p>
        </w:tc>
      </w:tr>
      <w:tr>
        <w:trPr>
          <w:trHeight w:val="544" w:hRule="atLeast"/>
        </w:trPr>
        <w:tc>
          <w:tcPr>
            <w:tcW w:w="2547" w:type="dxa"/>
          </w:tcPr>
          <w:p>
            <w:pPr>
              <w:pStyle w:val="TableParagraph"/>
              <w:spacing w:before="138"/>
              <w:ind w:left="107"/>
              <w:rPr>
                <w:sz w:val="21"/>
              </w:rPr>
            </w:pPr>
            <w:r>
              <w:rPr>
                <w:sz w:val="21"/>
              </w:rPr>
              <w:t>AIGC</w:t>
            </w:r>
            <w:r>
              <w:rPr>
                <w:spacing w:val="-19"/>
                <w:sz w:val="21"/>
              </w:rPr>
              <w:t> 算力</w:t>
            </w:r>
            <w:r>
              <w:rPr>
                <w:sz w:val="21"/>
              </w:rPr>
              <w:t> </w:t>
            </w:r>
          </w:p>
        </w:tc>
        <w:tc>
          <w:tcPr>
            <w:tcW w:w="1135" w:type="dxa"/>
          </w:tcPr>
          <w:p>
            <w:pPr>
              <w:pStyle w:val="TableParagraph"/>
              <w:spacing w:before="138"/>
              <w:ind w:right="345"/>
              <w:jc w:val="right"/>
              <w:rPr>
                <w:sz w:val="21"/>
              </w:rPr>
            </w:pPr>
            <w:r>
              <w:rPr>
                <w:sz w:val="21"/>
              </w:rPr>
              <w:t>指 </w:t>
            </w:r>
          </w:p>
        </w:tc>
        <w:tc>
          <w:tcPr>
            <w:tcW w:w="5142" w:type="dxa"/>
          </w:tcPr>
          <w:p>
            <w:pPr>
              <w:pStyle w:val="TableParagraph"/>
              <w:spacing w:before="1"/>
              <w:ind w:left="107"/>
              <w:rPr>
                <w:sz w:val="21"/>
              </w:rPr>
            </w:pPr>
            <w:r>
              <w:rPr>
                <w:sz w:val="21"/>
              </w:rPr>
              <w:t>Adaptive</w:t>
            </w:r>
            <w:r>
              <w:rPr>
                <w:spacing w:val="-8"/>
                <w:sz w:val="21"/>
              </w:rPr>
              <w:t> </w:t>
            </w:r>
            <w:r>
              <w:rPr>
                <w:sz w:val="21"/>
              </w:rPr>
              <w:t>Interval-based</w:t>
            </w:r>
            <w:r>
              <w:rPr>
                <w:spacing w:val="-5"/>
                <w:sz w:val="21"/>
              </w:rPr>
              <w:t> </w:t>
            </w:r>
            <w:r>
              <w:rPr>
                <w:sz w:val="21"/>
              </w:rPr>
              <w:t>Genetic</w:t>
            </w:r>
            <w:r>
              <w:rPr>
                <w:spacing w:val="-5"/>
                <w:sz w:val="21"/>
              </w:rPr>
              <w:t> </w:t>
            </w:r>
            <w:r>
              <w:rPr>
                <w:sz w:val="21"/>
              </w:rPr>
              <w:t>Algorithm，一种</w:t>
            </w:r>
          </w:p>
          <w:p>
            <w:pPr>
              <w:pStyle w:val="TableParagraph"/>
              <w:spacing w:line="250" w:lineRule="exact" w:before="4"/>
              <w:ind w:left="107"/>
              <w:rPr>
                <w:sz w:val="21"/>
              </w:rPr>
            </w:pPr>
            <w:r>
              <w:rPr>
                <w:sz w:val="21"/>
              </w:rPr>
              <w:t>自适应的遗传算法 </w:t>
            </w:r>
            <w:r>
              <w:rPr>
                <w:spacing w:val="-2"/>
                <w:sz w:val="21"/>
              </w:rPr>
              <w:t> </w:t>
            </w:r>
            <w:r>
              <w:rPr>
                <w:w w:val="100"/>
                <w:sz w:val="21"/>
              </w:rPr>
              <w:t> </w:t>
            </w:r>
            <w:r>
              <w:rPr>
                <w:sz w:val="21"/>
              </w:rPr>
              <w:t> </w:t>
            </w:r>
            <w:r>
              <w:rPr>
                <w:w w:val="100"/>
                <w:sz w:val="21"/>
              </w:rPr>
              <w:t> </w:t>
            </w:r>
            <w:r>
              <w:rPr>
                <w:spacing w:val="-2"/>
                <w:sz w:val="21"/>
              </w:rPr>
              <w:t> </w:t>
            </w:r>
            <w:r>
              <w:rPr>
                <w:w w:val="100"/>
                <w:sz w:val="21"/>
              </w:rPr>
              <w:t> </w:t>
            </w:r>
          </w:p>
        </w:tc>
      </w:tr>
      <w:tr>
        <w:trPr>
          <w:trHeight w:val="546" w:hRule="atLeast"/>
        </w:trPr>
        <w:tc>
          <w:tcPr>
            <w:tcW w:w="2547" w:type="dxa"/>
          </w:tcPr>
          <w:p>
            <w:pPr>
              <w:pStyle w:val="TableParagraph"/>
              <w:spacing w:before="137"/>
              <w:ind w:left="107"/>
              <w:rPr>
                <w:sz w:val="21"/>
              </w:rPr>
            </w:pPr>
            <w:r>
              <w:rPr>
                <w:sz w:val="21"/>
              </w:rPr>
              <w:t>Strategy</w:t>
            </w:r>
            <w:r>
              <w:rPr>
                <w:spacing w:val="-1"/>
                <w:sz w:val="21"/>
              </w:rPr>
              <w:t> </w:t>
            </w:r>
            <w:r>
              <w:rPr>
                <w:sz w:val="21"/>
              </w:rPr>
              <w:t>Analytics </w:t>
            </w:r>
          </w:p>
        </w:tc>
        <w:tc>
          <w:tcPr>
            <w:tcW w:w="1135" w:type="dxa"/>
          </w:tcPr>
          <w:p>
            <w:pPr>
              <w:pStyle w:val="TableParagraph"/>
              <w:spacing w:before="137"/>
              <w:ind w:right="345"/>
              <w:jc w:val="right"/>
              <w:rPr>
                <w:sz w:val="21"/>
              </w:rPr>
            </w:pPr>
            <w:r>
              <w:rPr>
                <w:sz w:val="21"/>
              </w:rPr>
              <w:t>指 </w:t>
            </w:r>
          </w:p>
        </w:tc>
        <w:tc>
          <w:tcPr>
            <w:tcW w:w="5142" w:type="dxa"/>
          </w:tcPr>
          <w:p>
            <w:pPr>
              <w:pStyle w:val="TableParagraph"/>
              <w:spacing w:line="270" w:lineRule="atLeast"/>
              <w:ind w:left="107" w:right="137"/>
              <w:rPr>
                <w:sz w:val="21"/>
              </w:rPr>
            </w:pPr>
            <w:r>
              <w:rPr>
                <w:spacing w:val="-1"/>
                <w:sz w:val="21"/>
              </w:rPr>
              <w:t>Strategy</w:t>
            </w:r>
            <w:r>
              <w:rPr>
                <w:spacing w:val="1"/>
                <w:sz w:val="21"/>
              </w:rPr>
              <w:t> </w:t>
            </w:r>
            <w:r>
              <w:rPr>
                <w:sz w:val="21"/>
              </w:rPr>
              <w:t>Analytics</w:t>
            </w:r>
            <w:r>
              <w:rPr>
                <w:spacing w:val="-8"/>
                <w:sz w:val="21"/>
              </w:rPr>
              <w:t> 是全球著名的信息技术，通信行</w:t>
            </w:r>
            <w:r>
              <w:rPr>
                <w:sz w:val="21"/>
              </w:rPr>
              <w:t>业和消费科技市场研究机构 </w:t>
            </w:r>
          </w:p>
        </w:tc>
      </w:tr>
      <w:tr>
        <w:trPr>
          <w:trHeight w:val="1089" w:hRule="atLeast"/>
        </w:trPr>
        <w:tc>
          <w:tcPr>
            <w:tcW w:w="2547" w:type="dxa"/>
          </w:tcPr>
          <w:p>
            <w:pPr>
              <w:pStyle w:val="TableParagraph"/>
              <w:rPr>
                <w:sz w:val="20"/>
              </w:rPr>
            </w:pPr>
          </w:p>
          <w:p>
            <w:pPr>
              <w:pStyle w:val="TableParagraph"/>
              <w:spacing w:before="152"/>
              <w:ind w:left="107"/>
              <w:rPr>
                <w:sz w:val="21"/>
              </w:rPr>
            </w:pPr>
            <w:r>
              <w:rPr>
                <w:spacing w:val="-1"/>
                <w:sz w:val="21"/>
              </w:rPr>
              <w:t>数字孪生</w:t>
            </w:r>
            <w:r>
              <w:rPr>
                <w:sz w:val="21"/>
              </w:rPr>
              <w:t> </w:t>
            </w:r>
          </w:p>
        </w:tc>
        <w:tc>
          <w:tcPr>
            <w:tcW w:w="1135" w:type="dxa"/>
          </w:tcPr>
          <w:p>
            <w:pPr>
              <w:pStyle w:val="TableParagraph"/>
              <w:rPr>
                <w:sz w:val="20"/>
              </w:rPr>
            </w:pPr>
          </w:p>
          <w:p>
            <w:pPr>
              <w:pStyle w:val="TableParagraph"/>
              <w:spacing w:before="152"/>
              <w:ind w:right="345"/>
              <w:jc w:val="right"/>
              <w:rPr>
                <w:sz w:val="21"/>
              </w:rPr>
            </w:pPr>
            <w:r>
              <w:rPr>
                <w:sz w:val="21"/>
              </w:rPr>
              <w:t>指 </w:t>
            </w:r>
          </w:p>
        </w:tc>
        <w:tc>
          <w:tcPr>
            <w:tcW w:w="5142" w:type="dxa"/>
          </w:tcPr>
          <w:p>
            <w:pPr>
              <w:pStyle w:val="TableParagraph"/>
              <w:spacing w:line="242" w:lineRule="auto" w:before="1"/>
              <w:ind w:left="107" w:right="97"/>
              <w:jc w:val="both"/>
              <w:rPr>
                <w:sz w:val="21"/>
              </w:rPr>
            </w:pPr>
            <w:r>
              <w:rPr>
                <w:sz w:val="21"/>
              </w:rPr>
              <w:t>是指充分利用物理模型、传感器更新、运行历史等数据，集成多学科、多物理量、多尺度、多概率的仿真过程，在虚拟空间中完成映射，从而反映相对应的实</w:t>
            </w:r>
          </w:p>
          <w:p>
            <w:pPr>
              <w:pStyle w:val="TableParagraph"/>
              <w:spacing w:line="252" w:lineRule="exact" w:before="1"/>
              <w:ind w:left="107"/>
              <w:rPr>
                <w:sz w:val="21"/>
              </w:rPr>
            </w:pPr>
            <w:r>
              <w:rPr>
                <w:spacing w:val="-1"/>
                <w:sz w:val="21"/>
              </w:rPr>
              <w:t>体装备的全生命周期过程</w:t>
            </w:r>
            <w:r>
              <w:rPr>
                <w:sz w:val="21"/>
              </w:rPr>
              <w:t> </w:t>
            </w:r>
          </w:p>
        </w:tc>
      </w:tr>
      <w:tr>
        <w:trPr>
          <w:trHeight w:val="270" w:hRule="atLeast"/>
        </w:trPr>
        <w:tc>
          <w:tcPr>
            <w:tcW w:w="2547" w:type="dxa"/>
          </w:tcPr>
          <w:p>
            <w:pPr>
              <w:pStyle w:val="TableParagraph"/>
              <w:spacing w:line="250" w:lineRule="exact" w:before="1"/>
              <w:ind w:left="107"/>
              <w:rPr>
                <w:sz w:val="21"/>
              </w:rPr>
            </w:pPr>
            <w:r>
              <w:rPr>
                <w:sz w:val="21"/>
              </w:rPr>
              <w:t>凌云光 </w:t>
            </w:r>
          </w:p>
        </w:tc>
        <w:tc>
          <w:tcPr>
            <w:tcW w:w="1135" w:type="dxa"/>
          </w:tcPr>
          <w:p>
            <w:pPr>
              <w:pStyle w:val="TableParagraph"/>
              <w:spacing w:line="250" w:lineRule="exact" w:before="1"/>
              <w:ind w:right="345"/>
              <w:jc w:val="right"/>
              <w:rPr>
                <w:sz w:val="21"/>
              </w:rPr>
            </w:pPr>
            <w:r>
              <w:rPr>
                <w:sz w:val="21"/>
              </w:rPr>
              <w:t>指 </w:t>
            </w:r>
          </w:p>
        </w:tc>
        <w:tc>
          <w:tcPr>
            <w:tcW w:w="5142" w:type="dxa"/>
          </w:tcPr>
          <w:p>
            <w:pPr>
              <w:pStyle w:val="TableParagraph"/>
              <w:spacing w:line="250" w:lineRule="exact" w:before="1"/>
              <w:ind w:left="107"/>
              <w:rPr>
                <w:sz w:val="21"/>
              </w:rPr>
            </w:pPr>
            <w:r>
              <w:rPr>
                <w:spacing w:val="-1"/>
                <w:sz w:val="21"/>
              </w:rPr>
              <w:t>凌云光技术股份有限公司</w:t>
            </w:r>
            <w:r>
              <w:rPr>
                <w:sz w:val="21"/>
              </w:rPr>
              <w:t> </w:t>
            </w:r>
          </w:p>
        </w:tc>
      </w:tr>
      <w:tr>
        <w:trPr>
          <w:trHeight w:val="817" w:hRule="atLeast"/>
        </w:trPr>
        <w:tc>
          <w:tcPr>
            <w:tcW w:w="2547" w:type="dxa"/>
          </w:tcPr>
          <w:p>
            <w:pPr>
              <w:pStyle w:val="TableParagraph"/>
              <w:spacing w:before="5"/>
              <w:rPr>
                <w:sz w:val="21"/>
              </w:rPr>
            </w:pPr>
          </w:p>
          <w:p>
            <w:pPr>
              <w:pStyle w:val="TableParagraph"/>
              <w:ind w:left="107"/>
              <w:rPr>
                <w:sz w:val="21"/>
              </w:rPr>
            </w:pPr>
            <w:r>
              <w:rPr>
                <w:sz w:val="21"/>
              </w:rPr>
              <w:t>新大陆精密 </w:t>
            </w:r>
          </w:p>
        </w:tc>
        <w:tc>
          <w:tcPr>
            <w:tcW w:w="1135" w:type="dxa"/>
          </w:tcPr>
          <w:p>
            <w:pPr>
              <w:pStyle w:val="TableParagraph"/>
              <w:spacing w:before="5"/>
              <w:rPr>
                <w:sz w:val="21"/>
              </w:rPr>
            </w:pPr>
          </w:p>
          <w:p>
            <w:pPr>
              <w:pStyle w:val="TableParagraph"/>
              <w:ind w:right="345"/>
              <w:jc w:val="right"/>
              <w:rPr>
                <w:sz w:val="21"/>
              </w:rPr>
            </w:pPr>
            <w:r>
              <w:rPr>
                <w:sz w:val="21"/>
              </w:rPr>
              <w:t>指 </w:t>
            </w:r>
          </w:p>
        </w:tc>
        <w:tc>
          <w:tcPr>
            <w:tcW w:w="5142" w:type="dxa"/>
          </w:tcPr>
          <w:p>
            <w:pPr>
              <w:pStyle w:val="TableParagraph"/>
              <w:spacing w:before="1"/>
              <w:ind w:left="107"/>
              <w:rPr>
                <w:sz w:val="21"/>
              </w:rPr>
            </w:pPr>
            <w:r>
              <w:rPr>
                <w:spacing w:val="-4"/>
                <w:sz w:val="21"/>
              </w:rPr>
              <w:t>苏州新大陆精密科技股份有限公司，成立于 </w:t>
            </w:r>
            <w:r>
              <w:rPr>
                <w:sz w:val="21"/>
              </w:rPr>
              <w:t>2003</w:t>
            </w:r>
            <w:r>
              <w:rPr>
                <w:spacing w:val="-20"/>
                <w:sz w:val="21"/>
              </w:rPr>
              <w:t> 年，</w:t>
            </w:r>
          </w:p>
          <w:p>
            <w:pPr>
              <w:pStyle w:val="TableParagraph"/>
              <w:spacing w:line="270" w:lineRule="atLeast"/>
              <w:ind w:left="107" w:right="97"/>
              <w:rPr>
                <w:sz w:val="21"/>
              </w:rPr>
            </w:pPr>
            <w:r>
              <w:rPr>
                <w:sz w:val="21"/>
              </w:rPr>
              <w:t>位于江苏省苏州市，是一家以从事通用设备制造业为</w:t>
            </w:r>
            <w:r>
              <w:rPr>
                <w:spacing w:val="-9"/>
                <w:sz w:val="21"/>
              </w:rPr>
              <w:t>主的企业，于 </w:t>
            </w:r>
            <w:r>
              <w:rPr>
                <w:sz w:val="21"/>
              </w:rPr>
              <w:t>2022</w:t>
            </w:r>
            <w:r>
              <w:rPr>
                <w:spacing w:val="-13"/>
                <w:sz w:val="21"/>
              </w:rPr>
              <w:t> 年向上交所提交 </w:t>
            </w:r>
            <w:r>
              <w:rPr>
                <w:sz w:val="21"/>
              </w:rPr>
              <w:t>IPO</w:t>
            </w:r>
            <w:r>
              <w:rPr>
                <w:spacing w:val="-18"/>
                <w:sz w:val="21"/>
              </w:rPr>
              <w:t> 申请</w:t>
            </w:r>
            <w:r>
              <w:rPr>
                <w:sz w:val="21"/>
              </w:rPr>
              <w:t> </w:t>
            </w:r>
          </w:p>
        </w:tc>
      </w:tr>
      <w:tr>
        <w:trPr>
          <w:trHeight w:val="544" w:hRule="atLeast"/>
        </w:trPr>
        <w:tc>
          <w:tcPr>
            <w:tcW w:w="2547" w:type="dxa"/>
          </w:tcPr>
          <w:p>
            <w:pPr>
              <w:pStyle w:val="TableParagraph"/>
              <w:spacing w:before="138"/>
              <w:ind w:left="107"/>
              <w:rPr>
                <w:sz w:val="21"/>
              </w:rPr>
            </w:pPr>
            <w:r>
              <w:rPr>
                <w:spacing w:val="-1"/>
                <w:sz w:val="21"/>
              </w:rPr>
              <w:t>开元通信</w:t>
            </w:r>
            <w:r>
              <w:rPr>
                <w:sz w:val="21"/>
              </w:rPr>
              <w:t> </w:t>
            </w:r>
          </w:p>
        </w:tc>
        <w:tc>
          <w:tcPr>
            <w:tcW w:w="1135" w:type="dxa"/>
          </w:tcPr>
          <w:p>
            <w:pPr>
              <w:pStyle w:val="TableParagraph"/>
              <w:spacing w:before="138"/>
              <w:ind w:right="345"/>
              <w:jc w:val="right"/>
              <w:rPr>
                <w:sz w:val="21"/>
              </w:rPr>
            </w:pPr>
            <w:r>
              <w:rPr>
                <w:sz w:val="21"/>
              </w:rPr>
              <w:t>指 </w:t>
            </w:r>
          </w:p>
        </w:tc>
        <w:tc>
          <w:tcPr>
            <w:tcW w:w="5142" w:type="dxa"/>
          </w:tcPr>
          <w:p>
            <w:pPr>
              <w:pStyle w:val="TableParagraph"/>
              <w:spacing w:before="1"/>
              <w:ind w:left="107"/>
              <w:rPr>
                <w:sz w:val="21"/>
              </w:rPr>
            </w:pPr>
            <w:r>
              <w:rPr>
                <w:spacing w:val="-1"/>
                <w:sz w:val="21"/>
              </w:rPr>
              <w:t>开元通信技术</w:t>
            </w:r>
            <w:r>
              <w:rPr>
                <w:sz w:val="21"/>
              </w:rPr>
              <w:t>（厦门）有限公司，是一家新兴的、专</w:t>
            </w:r>
          </w:p>
          <w:p>
            <w:pPr>
              <w:pStyle w:val="TableParagraph"/>
              <w:spacing w:line="250" w:lineRule="exact" w:before="4"/>
              <w:ind w:left="107"/>
              <w:rPr>
                <w:sz w:val="21"/>
              </w:rPr>
            </w:pPr>
            <w:r>
              <w:rPr>
                <w:spacing w:val="-1"/>
                <w:sz w:val="21"/>
              </w:rPr>
              <w:t>注于射频前端解决方案的本土芯片公司</w:t>
            </w:r>
            <w:r>
              <w:rPr>
                <w:sz w:val="21"/>
              </w:rPr>
              <w:t> </w:t>
            </w:r>
          </w:p>
        </w:tc>
      </w:tr>
      <w:tr>
        <w:trPr>
          <w:trHeight w:val="273" w:hRule="atLeast"/>
        </w:trPr>
        <w:tc>
          <w:tcPr>
            <w:tcW w:w="2547" w:type="dxa"/>
          </w:tcPr>
          <w:p>
            <w:pPr>
              <w:pStyle w:val="TableParagraph"/>
              <w:spacing w:line="252" w:lineRule="exact" w:before="1"/>
              <w:ind w:left="107"/>
              <w:rPr>
                <w:sz w:val="21"/>
              </w:rPr>
            </w:pPr>
            <w:r>
              <w:rPr>
                <w:spacing w:val="-1"/>
                <w:sz w:val="21"/>
              </w:rPr>
              <w:t>元、千元、万元、亿元</w:t>
            </w:r>
            <w:r>
              <w:rPr>
                <w:sz w:val="21"/>
              </w:rPr>
              <w:t> </w:t>
            </w:r>
          </w:p>
        </w:tc>
        <w:tc>
          <w:tcPr>
            <w:tcW w:w="1135" w:type="dxa"/>
          </w:tcPr>
          <w:p>
            <w:pPr>
              <w:pStyle w:val="TableParagraph"/>
              <w:spacing w:line="252" w:lineRule="exact" w:before="1"/>
              <w:ind w:right="345"/>
              <w:jc w:val="right"/>
              <w:rPr>
                <w:sz w:val="21"/>
              </w:rPr>
            </w:pPr>
            <w:r>
              <w:rPr>
                <w:sz w:val="21"/>
              </w:rPr>
              <w:t>指 </w:t>
            </w:r>
          </w:p>
        </w:tc>
        <w:tc>
          <w:tcPr>
            <w:tcW w:w="5142" w:type="dxa"/>
          </w:tcPr>
          <w:p>
            <w:pPr>
              <w:pStyle w:val="TableParagraph"/>
              <w:spacing w:line="252" w:lineRule="exact" w:before="1"/>
              <w:ind w:left="107"/>
              <w:rPr>
                <w:sz w:val="21"/>
              </w:rPr>
            </w:pPr>
            <w:r>
              <w:rPr>
                <w:spacing w:val="-1"/>
                <w:sz w:val="21"/>
              </w:rPr>
              <w:t>人民币元、千元、万元、亿元</w:t>
            </w:r>
            <w:r>
              <w:rPr>
                <w:sz w:val="21"/>
              </w:rPr>
              <w:t> </w:t>
            </w:r>
          </w:p>
        </w:tc>
      </w:tr>
    </w:tbl>
    <w:p>
      <w:pPr>
        <w:pStyle w:val="BodyText"/>
        <w:spacing w:before="1"/>
        <w:ind w:left="638"/>
      </w:pPr>
      <w:r>
        <w:rPr>
          <w:w w:val="100"/>
        </w:rPr>
        <w:t> </w:t>
      </w:r>
    </w:p>
    <w:p>
      <w:pPr>
        <w:spacing w:after="0"/>
        <w:sectPr>
          <w:pgSz w:w="11910" w:h="16840"/>
          <w:pgMar w:header="880" w:footer="1195" w:top="1120" w:bottom="1380" w:left="1160" w:right="940"/>
        </w:sectPr>
      </w:pPr>
    </w:p>
    <w:p>
      <w:pPr>
        <w:pStyle w:val="BodyText"/>
        <w:spacing w:before="5"/>
        <w:ind w:left="0"/>
        <w:rPr>
          <w:sz w:val="26"/>
        </w:rPr>
      </w:pPr>
    </w:p>
    <w:p>
      <w:pPr>
        <w:pStyle w:val="Heading1"/>
        <w:ind w:right="1757"/>
      </w:pPr>
      <w:bookmarkStart w:name="_bookmark1" w:id="2"/>
      <w:bookmarkEnd w:id="2"/>
      <w:r>
        <w:rPr>
          <w:b w:val="0"/>
        </w:rPr>
      </w:r>
      <w:r>
        <w:rPr/>
        <w:t>第二节      公司简介和主要财务指标</w:t>
      </w:r>
    </w:p>
    <w:p>
      <w:pPr>
        <w:pStyle w:val="BodyText"/>
        <w:spacing w:before="3"/>
        <w:ind w:left="0"/>
        <w:rPr>
          <w:rFonts w:ascii="Microsoft JhengHei"/>
          <w:b/>
          <w:sz w:val="6"/>
        </w:rPr>
      </w:pPr>
    </w:p>
    <w:p>
      <w:pPr>
        <w:pStyle w:val="BodyText"/>
        <w:spacing w:before="72"/>
        <w:ind w:left="638"/>
      </w:pPr>
      <w:r>
        <w:rPr>
          <w:spacing w:val="5"/>
        </w:rPr>
        <w:t>一、 公司信息</w:t>
      </w:r>
    </w:p>
    <w:p>
      <w:pPr>
        <w:pStyle w:val="BodyText"/>
        <w:spacing w:before="11"/>
        <w:ind w:left="0"/>
        <w:rPr>
          <w:sz w:val="4"/>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9"/>
        <w:gridCol w:w="4996"/>
      </w:tblGrid>
      <w:tr>
        <w:trPr>
          <w:trHeight w:val="292" w:hRule="atLeast"/>
        </w:trPr>
        <w:tc>
          <w:tcPr>
            <w:tcW w:w="3829" w:type="dxa"/>
          </w:tcPr>
          <w:p>
            <w:pPr>
              <w:pStyle w:val="TableParagraph"/>
              <w:spacing w:before="1"/>
              <w:ind w:left="28"/>
              <w:rPr>
                <w:sz w:val="21"/>
              </w:rPr>
            </w:pPr>
            <w:r>
              <w:rPr>
                <w:spacing w:val="-1"/>
                <w:sz w:val="21"/>
              </w:rPr>
              <w:t>公司的中文名称</w:t>
            </w:r>
            <w:r>
              <w:rPr>
                <w:sz w:val="21"/>
              </w:rPr>
              <w:t> </w:t>
            </w:r>
          </w:p>
        </w:tc>
        <w:tc>
          <w:tcPr>
            <w:tcW w:w="4996" w:type="dxa"/>
          </w:tcPr>
          <w:p>
            <w:pPr>
              <w:pStyle w:val="TableParagraph"/>
              <w:spacing w:before="1"/>
              <w:ind w:left="28"/>
              <w:rPr>
                <w:sz w:val="21"/>
              </w:rPr>
            </w:pPr>
            <w:r>
              <w:rPr>
                <w:sz w:val="21"/>
              </w:rPr>
              <w:t>富士康工业互联网股份有限公司</w:t>
            </w:r>
          </w:p>
        </w:tc>
      </w:tr>
      <w:tr>
        <w:trPr>
          <w:trHeight w:val="292" w:hRule="atLeast"/>
        </w:trPr>
        <w:tc>
          <w:tcPr>
            <w:tcW w:w="3829" w:type="dxa"/>
          </w:tcPr>
          <w:p>
            <w:pPr>
              <w:pStyle w:val="TableParagraph"/>
              <w:spacing w:before="1"/>
              <w:ind w:left="28"/>
              <w:rPr>
                <w:sz w:val="21"/>
              </w:rPr>
            </w:pPr>
            <w:r>
              <w:rPr>
                <w:spacing w:val="-1"/>
                <w:sz w:val="21"/>
              </w:rPr>
              <w:t>公司的中文简称</w:t>
            </w:r>
            <w:r>
              <w:rPr>
                <w:sz w:val="21"/>
              </w:rPr>
              <w:t> </w:t>
            </w:r>
          </w:p>
        </w:tc>
        <w:tc>
          <w:tcPr>
            <w:tcW w:w="4996" w:type="dxa"/>
          </w:tcPr>
          <w:p>
            <w:pPr>
              <w:pStyle w:val="TableParagraph"/>
              <w:spacing w:before="1"/>
              <w:ind w:left="28"/>
              <w:rPr>
                <w:sz w:val="21"/>
              </w:rPr>
            </w:pPr>
            <w:r>
              <w:rPr>
                <w:sz w:val="21"/>
              </w:rPr>
              <w:t>工业富联</w:t>
            </w:r>
          </w:p>
        </w:tc>
      </w:tr>
      <w:tr>
        <w:trPr>
          <w:trHeight w:val="294" w:hRule="atLeast"/>
        </w:trPr>
        <w:tc>
          <w:tcPr>
            <w:tcW w:w="3829" w:type="dxa"/>
          </w:tcPr>
          <w:p>
            <w:pPr>
              <w:pStyle w:val="TableParagraph"/>
              <w:spacing w:before="3"/>
              <w:ind w:left="28"/>
              <w:rPr>
                <w:sz w:val="21"/>
              </w:rPr>
            </w:pPr>
            <w:r>
              <w:rPr>
                <w:spacing w:val="-1"/>
                <w:sz w:val="21"/>
              </w:rPr>
              <w:t>公司的外文名称</w:t>
            </w:r>
            <w:r>
              <w:rPr>
                <w:sz w:val="21"/>
              </w:rPr>
              <w:t> </w:t>
            </w:r>
          </w:p>
        </w:tc>
        <w:tc>
          <w:tcPr>
            <w:tcW w:w="4996" w:type="dxa"/>
          </w:tcPr>
          <w:p>
            <w:pPr>
              <w:pStyle w:val="TableParagraph"/>
              <w:spacing w:line="237" w:lineRule="exact"/>
              <w:ind w:left="28"/>
              <w:rPr>
                <w:rFonts w:ascii="Times New Roman"/>
                <w:sz w:val="21"/>
              </w:rPr>
            </w:pPr>
            <w:r>
              <w:rPr>
                <w:rFonts w:ascii="Times New Roman"/>
                <w:sz w:val="21"/>
              </w:rPr>
              <w:t>Foxconn</w:t>
            </w:r>
            <w:r>
              <w:rPr>
                <w:rFonts w:ascii="Times New Roman"/>
                <w:spacing w:val="-2"/>
                <w:sz w:val="21"/>
              </w:rPr>
              <w:t> </w:t>
            </w:r>
            <w:r>
              <w:rPr>
                <w:rFonts w:ascii="Times New Roman"/>
                <w:sz w:val="21"/>
              </w:rPr>
              <w:t>Industrial Internet</w:t>
            </w:r>
            <w:r>
              <w:rPr>
                <w:rFonts w:ascii="Times New Roman"/>
                <w:spacing w:val="-3"/>
                <w:sz w:val="21"/>
              </w:rPr>
              <w:t> </w:t>
            </w:r>
            <w:r>
              <w:rPr>
                <w:rFonts w:ascii="Times New Roman"/>
                <w:sz w:val="21"/>
              </w:rPr>
              <w:t>Co.,</w:t>
            </w:r>
            <w:r>
              <w:rPr>
                <w:rFonts w:ascii="Times New Roman"/>
                <w:spacing w:val="-2"/>
                <w:sz w:val="21"/>
              </w:rPr>
              <w:t> </w:t>
            </w:r>
            <w:r>
              <w:rPr>
                <w:rFonts w:ascii="Times New Roman"/>
                <w:sz w:val="21"/>
              </w:rPr>
              <w:t>Ltd.</w:t>
            </w:r>
          </w:p>
        </w:tc>
      </w:tr>
      <w:tr>
        <w:trPr>
          <w:trHeight w:val="292" w:hRule="atLeast"/>
        </w:trPr>
        <w:tc>
          <w:tcPr>
            <w:tcW w:w="3829" w:type="dxa"/>
          </w:tcPr>
          <w:p>
            <w:pPr>
              <w:pStyle w:val="TableParagraph"/>
              <w:spacing w:before="1"/>
              <w:ind w:left="28"/>
              <w:rPr>
                <w:sz w:val="21"/>
              </w:rPr>
            </w:pPr>
            <w:r>
              <w:rPr>
                <w:spacing w:val="-1"/>
                <w:sz w:val="21"/>
              </w:rPr>
              <w:t>公司的外文名称缩写</w:t>
            </w:r>
            <w:r>
              <w:rPr>
                <w:sz w:val="21"/>
              </w:rPr>
              <w:t> </w:t>
            </w:r>
          </w:p>
        </w:tc>
        <w:tc>
          <w:tcPr>
            <w:tcW w:w="4996" w:type="dxa"/>
          </w:tcPr>
          <w:p>
            <w:pPr>
              <w:pStyle w:val="TableParagraph"/>
              <w:spacing w:line="235" w:lineRule="exact"/>
              <w:ind w:left="28"/>
              <w:rPr>
                <w:rFonts w:ascii="Times New Roman"/>
                <w:sz w:val="21"/>
              </w:rPr>
            </w:pPr>
            <w:r>
              <w:rPr>
                <w:rFonts w:ascii="Times New Roman"/>
                <w:sz w:val="21"/>
              </w:rPr>
              <w:t>FII</w:t>
            </w:r>
          </w:p>
        </w:tc>
      </w:tr>
      <w:tr>
        <w:trPr>
          <w:trHeight w:val="292" w:hRule="atLeast"/>
        </w:trPr>
        <w:tc>
          <w:tcPr>
            <w:tcW w:w="3829" w:type="dxa"/>
          </w:tcPr>
          <w:p>
            <w:pPr>
              <w:pStyle w:val="TableParagraph"/>
              <w:spacing w:before="1"/>
              <w:ind w:left="28"/>
              <w:rPr>
                <w:sz w:val="21"/>
              </w:rPr>
            </w:pPr>
            <w:r>
              <w:rPr>
                <w:spacing w:val="-1"/>
                <w:sz w:val="21"/>
              </w:rPr>
              <w:t>公司的法定代表人</w:t>
            </w:r>
            <w:r>
              <w:rPr>
                <w:sz w:val="21"/>
              </w:rPr>
              <w:t> </w:t>
            </w:r>
          </w:p>
        </w:tc>
        <w:tc>
          <w:tcPr>
            <w:tcW w:w="4996" w:type="dxa"/>
          </w:tcPr>
          <w:p>
            <w:pPr>
              <w:pStyle w:val="TableParagraph"/>
              <w:spacing w:before="1"/>
              <w:ind w:left="28"/>
              <w:rPr>
                <w:sz w:val="21"/>
              </w:rPr>
            </w:pPr>
            <w:r>
              <w:rPr>
                <w:sz w:val="21"/>
              </w:rPr>
              <w:t>李军旗</w:t>
            </w:r>
          </w:p>
        </w:tc>
      </w:tr>
    </w:tbl>
    <w:p>
      <w:pPr>
        <w:pStyle w:val="BodyText"/>
        <w:spacing w:before="2"/>
        <w:ind w:left="638"/>
      </w:pPr>
      <w:r>
        <w:rPr>
          <w:w w:val="100"/>
        </w:rPr>
        <w:t> </w:t>
      </w:r>
    </w:p>
    <w:p>
      <w:pPr>
        <w:pStyle w:val="BodyText"/>
        <w:spacing w:before="64"/>
        <w:ind w:left="638"/>
      </w:pPr>
      <w:r>
        <w:rPr>
          <w:spacing w:val="1"/>
        </w:rPr>
        <w:t>二、 联系人和联系方式</w:t>
      </w:r>
    </w:p>
    <w:p>
      <w:pPr>
        <w:pStyle w:val="BodyText"/>
        <w:spacing w:before="10"/>
        <w:ind w:left="0"/>
        <w:rPr>
          <w:sz w:val="4"/>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77"/>
        <w:gridCol w:w="4948"/>
      </w:tblGrid>
      <w:tr>
        <w:trPr>
          <w:trHeight w:val="273" w:hRule="atLeast"/>
        </w:trPr>
        <w:tc>
          <w:tcPr>
            <w:tcW w:w="3877" w:type="dxa"/>
          </w:tcPr>
          <w:p>
            <w:pPr>
              <w:pStyle w:val="TableParagraph"/>
              <w:spacing w:line="252" w:lineRule="exact" w:before="1"/>
              <w:ind w:left="28"/>
              <w:rPr>
                <w:sz w:val="21"/>
              </w:rPr>
            </w:pPr>
            <w:r>
              <w:rPr>
                <w:w w:val="100"/>
                <w:sz w:val="21"/>
              </w:rPr>
              <w:t> </w:t>
            </w:r>
          </w:p>
        </w:tc>
        <w:tc>
          <w:tcPr>
            <w:tcW w:w="4948" w:type="dxa"/>
          </w:tcPr>
          <w:p>
            <w:pPr>
              <w:pStyle w:val="TableParagraph"/>
              <w:spacing w:line="252" w:lineRule="exact" w:before="1"/>
              <w:ind w:left="1979" w:right="1868"/>
              <w:jc w:val="center"/>
              <w:rPr>
                <w:sz w:val="21"/>
              </w:rPr>
            </w:pPr>
            <w:r>
              <w:rPr>
                <w:sz w:val="21"/>
              </w:rPr>
              <w:t>董事会秘书</w:t>
            </w:r>
            <w:r>
              <w:rPr>
                <w:color w:val="008000"/>
                <w:sz w:val="21"/>
              </w:rPr>
              <w:t> </w:t>
            </w:r>
          </w:p>
        </w:tc>
      </w:tr>
      <w:tr>
        <w:trPr>
          <w:trHeight w:val="270" w:hRule="atLeast"/>
        </w:trPr>
        <w:tc>
          <w:tcPr>
            <w:tcW w:w="3877" w:type="dxa"/>
          </w:tcPr>
          <w:p>
            <w:pPr>
              <w:pStyle w:val="TableParagraph"/>
              <w:spacing w:line="250" w:lineRule="exact" w:before="1"/>
              <w:ind w:left="28"/>
              <w:rPr>
                <w:sz w:val="21"/>
              </w:rPr>
            </w:pPr>
            <w:r>
              <w:rPr>
                <w:sz w:val="21"/>
              </w:rPr>
              <w:t>姓名 </w:t>
            </w:r>
          </w:p>
        </w:tc>
        <w:tc>
          <w:tcPr>
            <w:tcW w:w="4948" w:type="dxa"/>
          </w:tcPr>
          <w:p>
            <w:pPr>
              <w:pStyle w:val="TableParagraph"/>
              <w:spacing w:line="250" w:lineRule="exact" w:before="1"/>
              <w:ind w:left="28"/>
              <w:rPr>
                <w:sz w:val="21"/>
              </w:rPr>
            </w:pPr>
            <w:r>
              <w:rPr>
                <w:sz w:val="21"/>
              </w:rPr>
              <w:t>郭俊宏</w:t>
            </w:r>
          </w:p>
        </w:tc>
      </w:tr>
      <w:tr>
        <w:trPr>
          <w:trHeight w:val="273" w:hRule="atLeast"/>
        </w:trPr>
        <w:tc>
          <w:tcPr>
            <w:tcW w:w="3877" w:type="dxa"/>
          </w:tcPr>
          <w:p>
            <w:pPr>
              <w:pStyle w:val="TableParagraph"/>
              <w:spacing w:line="250" w:lineRule="exact" w:before="4"/>
              <w:ind w:left="28"/>
              <w:rPr>
                <w:sz w:val="21"/>
              </w:rPr>
            </w:pPr>
            <w:r>
              <w:rPr>
                <w:spacing w:val="-1"/>
                <w:sz w:val="21"/>
              </w:rPr>
              <w:t>联系地址</w:t>
            </w:r>
            <w:r>
              <w:rPr>
                <w:sz w:val="21"/>
              </w:rPr>
              <w:t> </w:t>
            </w:r>
          </w:p>
        </w:tc>
        <w:tc>
          <w:tcPr>
            <w:tcW w:w="4948" w:type="dxa"/>
          </w:tcPr>
          <w:p>
            <w:pPr>
              <w:pStyle w:val="TableParagraph"/>
              <w:spacing w:line="250" w:lineRule="exact" w:before="4"/>
              <w:ind w:left="28"/>
              <w:rPr>
                <w:sz w:val="21"/>
              </w:rPr>
            </w:pPr>
            <w:r>
              <w:rPr>
                <w:spacing w:val="-1"/>
                <w:sz w:val="21"/>
              </w:rPr>
              <w:t>深圳市龙华区龙华街道东环二路二号富士康科技园</w:t>
            </w:r>
          </w:p>
        </w:tc>
      </w:tr>
      <w:tr>
        <w:trPr>
          <w:trHeight w:val="273" w:hRule="atLeast"/>
        </w:trPr>
        <w:tc>
          <w:tcPr>
            <w:tcW w:w="3877" w:type="dxa"/>
          </w:tcPr>
          <w:p>
            <w:pPr>
              <w:pStyle w:val="TableParagraph"/>
              <w:spacing w:line="252" w:lineRule="exact" w:before="1"/>
              <w:ind w:left="28"/>
              <w:rPr>
                <w:sz w:val="21"/>
              </w:rPr>
            </w:pPr>
            <w:r>
              <w:rPr>
                <w:sz w:val="21"/>
              </w:rPr>
              <w:t>电话 </w:t>
            </w:r>
          </w:p>
        </w:tc>
        <w:tc>
          <w:tcPr>
            <w:tcW w:w="4948" w:type="dxa"/>
          </w:tcPr>
          <w:p>
            <w:pPr>
              <w:pStyle w:val="TableParagraph"/>
              <w:spacing w:line="235" w:lineRule="exact"/>
              <w:ind w:left="28"/>
              <w:rPr>
                <w:rFonts w:ascii="Times New Roman"/>
                <w:sz w:val="21"/>
              </w:rPr>
            </w:pPr>
            <w:r>
              <w:rPr>
                <w:rFonts w:ascii="Times New Roman"/>
                <w:sz w:val="21"/>
              </w:rPr>
              <w:t>0755-3385 5777</w:t>
            </w:r>
          </w:p>
        </w:tc>
      </w:tr>
      <w:tr>
        <w:trPr>
          <w:trHeight w:val="270" w:hRule="atLeast"/>
        </w:trPr>
        <w:tc>
          <w:tcPr>
            <w:tcW w:w="3877" w:type="dxa"/>
          </w:tcPr>
          <w:p>
            <w:pPr>
              <w:pStyle w:val="TableParagraph"/>
              <w:spacing w:line="250" w:lineRule="exact" w:before="1"/>
              <w:ind w:left="28"/>
              <w:rPr>
                <w:sz w:val="21"/>
              </w:rPr>
            </w:pPr>
            <w:r>
              <w:rPr>
                <w:sz w:val="21"/>
              </w:rPr>
              <w:t>传真 </w:t>
            </w:r>
          </w:p>
        </w:tc>
        <w:tc>
          <w:tcPr>
            <w:tcW w:w="4948" w:type="dxa"/>
          </w:tcPr>
          <w:p>
            <w:pPr>
              <w:pStyle w:val="TableParagraph"/>
              <w:spacing w:line="235" w:lineRule="exact"/>
              <w:ind w:left="28"/>
              <w:rPr>
                <w:rFonts w:ascii="Times New Roman"/>
                <w:sz w:val="21"/>
              </w:rPr>
            </w:pPr>
            <w:r>
              <w:rPr>
                <w:rFonts w:ascii="Times New Roman"/>
                <w:sz w:val="21"/>
              </w:rPr>
              <w:t>0755-3385 5778</w:t>
            </w:r>
          </w:p>
        </w:tc>
      </w:tr>
      <w:tr>
        <w:trPr>
          <w:trHeight w:val="273" w:hRule="atLeast"/>
        </w:trPr>
        <w:tc>
          <w:tcPr>
            <w:tcW w:w="3877" w:type="dxa"/>
          </w:tcPr>
          <w:p>
            <w:pPr>
              <w:pStyle w:val="TableParagraph"/>
              <w:spacing w:line="250" w:lineRule="exact" w:before="3"/>
              <w:ind w:left="28"/>
              <w:rPr>
                <w:sz w:val="21"/>
              </w:rPr>
            </w:pPr>
            <w:r>
              <w:rPr>
                <w:spacing w:val="-1"/>
                <w:sz w:val="21"/>
              </w:rPr>
              <w:t>电子信箱</w:t>
            </w:r>
            <w:r>
              <w:rPr>
                <w:sz w:val="21"/>
              </w:rPr>
              <w:t> </w:t>
            </w:r>
          </w:p>
        </w:tc>
        <w:tc>
          <w:tcPr>
            <w:tcW w:w="4948" w:type="dxa"/>
          </w:tcPr>
          <w:p>
            <w:pPr>
              <w:pStyle w:val="TableParagraph"/>
              <w:spacing w:line="237" w:lineRule="exact"/>
              <w:ind w:left="28"/>
              <w:rPr>
                <w:rFonts w:ascii="Times New Roman"/>
                <w:sz w:val="21"/>
              </w:rPr>
            </w:pPr>
            <w:hyperlink r:id="rId9">
              <w:r>
                <w:rPr>
                  <w:rFonts w:ascii="Times New Roman"/>
                  <w:sz w:val="21"/>
                </w:rPr>
                <w:t>ir@fii-foxconn.com</w:t>
              </w:r>
            </w:hyperlink>
          </w:p>
        </w:tc>
      </w:tr>
    </w:tbl>
    <w:p>
      <w:pPr>
        <w:pStyle w:val="BodyText"/>
        <w:spacing w:before="1"/>
        <w:ind w:left="638"/>
      </w:pPr>
      <w:r>
        <w:rPr>
          <w:w w:val="100"/>
        </w:rPr>
        <w:t> </w:t>
      </w:r>
    </w:p>
    <w:p>
      <w:pPr>
        <w:pStyle w:val="BodyText"/>
        <w:spacing w:before="5"/>
        <w:ind w:left="638"/>
      </w:pPr>
      <w:r>
        <w:rPr>
          <w:w w:val="100"/>
        </w:rPr>
        <w:t> </w:t>
      </w:r>
    </w:p>
    <w:p>
      <w:pPr>
        <w:pStyle w:val="BodyText"/>
        <w:spacing w:before="62"/>
        <w:ind w:left="638"/>
      </w:pPr>
      <w:r>
        <w:rPr>
          <w:spacing w:val="-6"/>
        </w:rPr>
        <w:t>三、 基本情况简介</w:t>
      </w:r>
      <w:r>
        <w:rPr/>
        <w:t> </w:t>
      </w:r>
    </w:p>
    <w:p>
      <w:pPr>
        <w:pStyle w:val="BodyText"/>
        <w:spacing w:before="12"/>
        <w:ind w:left="0"/>
        <w:rPr>
          <w:sz w:val="4"/>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9"/>
        <w:gridCol w:w="4996"/>
      </w:tblGrid>
      <w:tr>
        <w:trPr>
          <w:trHeight w:val="544" w:hRule="atLeast"/>
        </w:trPr>
        <w:tc>
          <w:tcPr>
            <w:tcW w:w="3829" w:type="dxa"/>
          </w:tcPr>
          <w:p>
            <w:pPr>
              <w:pStyle w:val="TableParagraph"/>
              <w:spacing w:before="1"/>
              <w:ind w:left="28"/>
              <w:rPr>
                <w:sz w:val="21"/>
              </w:rPr>
            </w:pPr>
            <w:r>
              <w:rPr>
                <w:spacing w:val="-1"/>
                <w:sz w:val="21"/>
              </w:rPr>
              <w:t>公司注册地址</w:t>
            </w:r>
            <w:r>
              <w:rPr>
                <w:sz w:val="21"/>
              </w:rPr>
              <w:t> </w:t>
            </w:r>
          </w:p>
        </w:tc>
        <w:tc>
          <w:tcPr>
            <w:tcW w:w="4996" w:type="dxa"/>
          </w:tcPr>
          <w:p>
            <w:pPr>
              <w:pStyle w:val="TableParagraph"/>
              <w:spacing w:before="1"/>
              <w:ind w:left="28"/>
              <w:rPr>
                <w:rFonts w:ascii="Times New Roman" w:eastAsia="Times New Roman"/>
                <w:sz w:val="21"/>
              </w:rPr>
            </w:pPr>
            <w:r>
              <w:rPr>
                <w:spacing w:val="-1"/>
                <w:sz w:val="21"/>
              </w:rPr>
              <w:t>深圳市龙华区龙华街道东环二路二号富士康科技园</w:t>
            </w:r>
            <w:r>
              <w:rPr>
                <w:rFonts w:ascii="Times New Roman" w:eastAsia="Times New Roman"/>
                <w:sz w:val="21"/>
              </w:rPr>
              <w:t>C1</w:t>
            </w:r>
          </w:p>
          <w:p>
            <w:pPr>
              <w:pStyle w:val="TableParagraph"/>
              <w:spacing w:line="252" w:lineRule="exact" w:before="2"/>
              <w:ind w:left="28"/>
              <w:rPr>
                <w:sz w:val="21"/>
              </w:rPr>
            </w:pPr>
            <w:r>
              <w:rPr>
                <w:sz w:val="21"/>
              </w:rPr>
              <w:t>栋二层</w:t>
            </w:r>
          </w:p>
        </w:tc>
      </w:tr>
      <w:tr>
        <w:trPr>
          <w:trHeight w:val="292" w:hRule="atLeast"/>
        </w:trPr>
        <w:tc>
          <w:tcPr>
            <w:tcW w:w="3829" w:type="dxa"/>
          </w:tcPr>
          <w:p>
            <w:pPr>
              <w:pStyle w:val="TableParagraph"/>
              <w:spacing w:before="1"/>
              <w:ind w:left="28"/>
              <w:rPr>
                <w:sz w:val="21"/>
              </w:rPr>
            </w:pPr>
            <w:r>
              <w:rPr>
                <w:spacing w:val="-1"/>
                <w:sz w:val="21"/>
              </w:rPr>
              <w:t>公司注册地址的历史变更情况</w:t>
            </w:r>
            <w:r>
              <w:rPr>
                <w:sz w:val="21"/>
              </w:rPr>
              <w:t> </w:t>
            </w:r>
          </w:p>
        </w:tc>
        <w:tc>
          <w:tcPr>
            <w:tcW w:w="4996" w:type="dxa"/>
          </w:tcPr>
          <w:p>
            <w:pPr>
              <w:pStyle w:val="TableParagraph"/>
              <w:spacing w:before="1"/>
              <w:ind w:left="28"/>
              <w:rPr>
                <w:sz w:val="21"/>
              </w:rPr>
            </w:pPr>
            <w:r>
              <w:rPr>
                <w:sz w:val="21"/>
              </w:rPr>
              <w:t>不适用</w:t>
            </w:r>
          </w:p>
        </w:tc>
      </w:tr>
      <w:tr>
        <w:trPr>
          <w:trHeight w:val="544" w:hRule="atLeast"/>
        </w:trPr>
        <w:tc>
          <w:tcPr>
            <w:tcW w:w="3829" w:type="dxa"/>
          </w:tcPr>
          <w:p>
            <w:pPr>
              <w:pStyle w:val="TableParagraph"/>
              <w:spacing w:before="1"/>
              <w:ind w:left="28"/>
              <w:rPr>
                <w:sz w:val="21"/>
              </w:rPr>
            </w:pPr>
            <w:r>
              <w:rPr>
                <w:spacing w:val="-1"/>
                <w:sz w:val="21"/>
              </w:rPr>
              <w:t>公司办公地址</w:t>
            </w:r>
            <w:r>
              <w:rPr>
                <w:sz w:val="21"/>
              </w:rPr>
              <w:t> </w:t>
            </w:r>
          </w:p>
        </w:tc>
        <w:tc>
          <w:tcPr>
            <w:tcW w:w="4996" w:type="dxa"/>
          </w:tcPr>
          <w:p>
            <w:pPr>
              <w:pStyle w:val="TableParagraph"/>
              <w:spacing w:before="1"/>
              <w:ind w:left="28"/>
              <w:rPr>
                <w:rFonts w:ascii="Times New Roman" w:eastAsia="Times New Roman"/>
                <w:sz w:val="21"/>
              </w:rPr>
            </w:pPr>
            <w:r>
              <w:rPr>
                <w:spacing w:val="-1"/>
                <w:sz w:val="21"/>
              </w:rPr>
              <w:t>深圳市龙华区龙华街道东环二路二号富士康科技园</w:t>
            </w:r>
            <w:r>
              <w:rPr>
                <w:rFonts w:ascii="Times New Roman" w:eastAsia="Times New Roman"/>
                <w:sz w:val="21"/>
              </w:rPr>
              <w:t>C1</w:t>
            </w:r>
          </w:p>
          <w:p>
            <w:pPr>
              <w:pStyle w:val="TableParagraph"/>
              <w:spacing w:line="250" w:lineRule="exact" w:before="4"/>
              <w:ind w:left="28"/>
              <w:rPr>
                <w:sz w:val="21"/>
              </w:rPr>
            </w:pPr>
            <w:r>
              <w:rPr>
                <w:sz w:val="21"/>
              </w:rPr>
              <w:t>栋二层</w:t>
            </w:r>
          </w:p>
        </w:tc>
      </w:tr>
      <w:tr>
        <w:trPr>
          <w:trHeight w:val="292" w:hRule="atLeast"/>
        </w:trPr>
        <w:tc>
          <w:tcPr>
            <w:tcW w:w="3829" w:type="dxa"/>
          </w:tcPr>
          <w:p>
            <w:pPr>
              <w:pStyle w:val="TableParagraph"/>
              <w:spacing w:before="1"/>
              <w:ind w:left="28"/>
              <w:rPr>
                <w:sz w:val="21"/>
              </w:rPr>
            </w:pPr>
            <w:r>
              <w:rPr>
                <w:spacing w:val="-1"/>
                <w:sz w:val="21"/>
              </w:rPr>
              <w:t>公司办公地址的邮政编码</w:t>
            </w:r>
            <w:r>
              <w:rPr>
                <w:sz w:val="21"/>
              </w:rPr>
              <w:t> </w:t>
            </w:r>
          </w:p>
        </w:tc>
        <w:tc>
          <w:tcPr>
            <w:tcW w:w="4996" w:type="dxa"/>
          </w:tcPr>
          <w:p>
            <w:pPr>
              <w:pStyle w:val="TableParagraph"/>
              <w:spacing w:line="235" w:lineRule="exact"/>
              <w:ind w:left="28"/>
              <w:rPr>
                <w:rFonts w:ascii="Times New Roman"/>
                <w:sz w:val="21"/>
              </w:rPr>
            </w:pPr>
            <w:r>
              <w:rPr>
                <w:rFonts w:ascii="Times New Roman"/>
                <w:sz w:val="21"/>
              </w:rPr>
              <w:t>518109</w:t>
            </w:r>
          </w:p>
        </w:tc>
      </w:tr>
      <w:tr>
        <w:trPr>
          <w:trHeight w:val="294" w:hRule="atLeast"/>
        </w:trPr>
        <w:tc>
          <w:tcPr>
            <w:tcW w:w="3829" w:type="dxa"/>
          </w:tcPr>
          <w:p>
            <w:pPr>
              <w:pStyle w:val="TableParagraph"/>
              <w:spacing w:before="3"/>
              <w:ind w:left="28"/>
              <w:rPr>
                <w:sz w:val="21"/>
              </w:rPr>
            </w:pPr>
            <w:r>
              <w:rPr>
                <w:spacing w:val="-1"/>
                <w:sz w:val="21"/>
              </w:rPr>
              <w:t>公司网址</w:t>
            </w:r>
            <w:r>
              <w:rPr>
                <w:sz w:val="21"/>
              </w:rPr>
              <w:t> </w:t>
            </w:r>
          </w:p>
        </w:tc>
        <w:tc>
          <w:tcPr>
            <w:tcW w:w="4996" w:type="dxa"/>
          </w:tcPr>
          <w:p>
            <w:pPr>
              <w:pStyle w:val="TableParagraph"/>
              <w:spacing w:line="237" w:lineRule="exact"/>
              <w:ind w:left="28"/>
              <w:rPr>
                <w:rFonts w:ascii="Times New Roman"/>
                <w:sz w:val="21"/>
              </w:rPr>
            </w:pPr>
            <w:hyperlink r:id="rId10">
              <w:r>
                <w:rPr>
                  <w:rFonts w:ascii="Times New Roman"/>
                  <w:sz w:val="21"/>
                </w:rPr>
                <w:t>http://www.fii-foxconn.com</w:t>
              </w:r>
            </w:hyperlink>
          </w:p>
        </w:tc>
      </w:tr>
      <w:tr>
        <w:trPr>
          <w:trHeight w:val="292" w:hRule="atLeast"/>
        </w:trPr>
        <w:tc>
          <w:tcPr>
            <w:tcW w:w="3829" w:type="dxa"/>
          </w:tcPr>
          <w:p>
            <w:pPr>
              <w:pStyle w:val="TableParagraph"/>
              <w:spacing w:before="1"/>
              <w:ind w:left="28"/>
              <w:rPr>
                <w:sz w:val="21"/>
              </w:rPr>
            </w:pPr>
            <w:r>
              <w:rPr>
                <w:spacing w:val="-1"/>
                <w:sz w:val="21"/>
              </w:rPr>
              <w:t>电子信箱</w:t>
            </w:r>
            <w:r>
              <w:rPr>
                <w:sz w:val="21"/>
              </w:rPr>
              <w:t> </w:t>
            </w:r>
          </w:p>
        </w:tc>
        <w:tc>
          <w:tcPr>
            <w:tcW w:w="4996" w:type="dxa"/>
          </w:tcPr>
          <w:p>
            <w:pPr>
              <w:pStyle w:val="TableParagraph"/>
              <w:spacing w:line="235" w:lineRule="exact"/>
              <w:ind w:left="28"/>
              <w:rPr>
                <w:rFonts w:ascii="Times New Roman"/>
                <w:sz w:val="21"/>
              </w:rPr>
            </w:pPr>
            <w:hyperlink r:id="rId9">
              <w:r>
                <w:rPr>
                  <w:rFonts w:ascii="Times New Roman"/>
                  <w:sz w:val="21"/>
                </w:rPr>
                <w:t>ir@fii-foxconn.com</w:t>
              </w:r>
            </w:hyperlink>
          </w:p>
        </w:tc>
      </w:tr>
    </w:tbl>
    <w:p>
      <w:pPr>
        <w:pStyle w:val="BodyText"/>
        <w:spacing w:before="1"/>
        <w:ind w:left="638"/>
      </w:pPr>
      <w:r>
        <w:rPr>
          <w:w w:val="100"/>
        </w:rPr>
        <w:t> </w:t>
      </w:r>
    </w:p>
    <w:p>
      <w:pPr>
        <w:pStyle w:val="BodyText"/>
        <w:spacing w:before="65"/>
        <w:ind w:left="638"/>
      </w:pPr>
      <w:r>
        <w:rPr>
          <w:spacing w:val="-5"/>
        </w:rPr>
        <w:t>四、 信息披露及备置地点</w:t>
      </w:r>
      <w:r>
        <w:rPr/>
        <w:t> </w:t>
      </w:r>
    </w:p>
    <w:p>
      <w:pPr>
        <w:pStyle w:val="BodyText"/>
        <w:spacing w:before="9"/>
        <w:ind w:left="0"/>
        <w:rPr>
          <w:sz w:val="4"/>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4"/>
        <w:gridCol w:w="5000"/>
      </w:tblGrid>
      <w:tr>
        <w:trPr>
          <w:trHeight w:val="1089" w:hRule="atLeast"/>
        </w:trPr>
        <w:tc>
          <w:tcPr>
            <w:tcW w:w="3824" w:type="dxa"/>
          </w:tcPr>
          <w:p>
            <w:pPr>
              <w:pStyle w:val="TableParagraph"/>
              <w:spacing w:before="1"/>
              <w:ind w:left="28"/>
              <w:rPr>
                <w:sz w:val="21"/>
              </w:rPr>
            </w:pPr>
            <w:r>
              <w:rPr>
                <w:sz w:val="21"/>
              </w:rPr>
              <w:t>公司披露年度报告的媒体名称及网址 </w:t>
            </w:r>
          </w:p>
        </w:tc>
        <w:tc>
          <w:tcPr>
            <w:tcW w:w="5000" w:type="dxa"/>
          </w:tcPr>
          <w:p>
            <w:pPr>
              <w:pStyle w:val="TableParagraph"/>
              <w:spacing w:before="1"/>
              <w:ind w:left="28"/>
              <w:rPr>
                <w:sz w:val="21"/>
              </w:rPr>
            </w:pPr>
            <w:r>
              <w:rPr>
                <w:spacing w:val="-1"/>
                <w:sz w:val="21"/>
              </w:rPr>
              <w:t>《中国证券报》</w:t>
            </w:r>
            <w:r>
              <w:rPr>
                <w:sz w:val="21"/>
              </w:rPr>
              <w:t>（网址</w:t>
            </w:r>
            <w:hyperlink r:id="rId11">
              <w:r>
                <w:rPr>
                  <w:rFonts w:ascii="Times New Roman" w:eastAsia="Times New Roman"/>
                  <w:sz w:val="21"/>
                </w:rPr>
                <w:t>www.cs.com.cn</w:t>
              </w:r>
            </w:hyperlink>
            <w:r>
              <w:rPr>
                <w:sz w:val="21"/>
              </w:rPr>
              <w:t>）</w:t>
            </w:r>
          </w:p>
          <w:p>
            <w:pPr>
              <w:pStyle w:val="TableParagraph"/>
              <w:spacing w:before="4"/>
              <w:ind w:left="28"/>
              <w:rPr>
                <w:sz w:val="21"/>
              </w:rPr>
            </w:pPr>
            <w:r>
              <w:rPr>
                <w:spacing w:val="-1"/>
                <w:sz w:val="21"/>
              </w:rPr>
              <w:t>《上海证券报》</w:t>
            </w:r>
            <w:r>
              <w:rPr>
                <w:sz w:val="21"/>
              </w:rPr>
              <w:t>（网址</w:t>
            </w:r>
            <w:hyperlink r:id="rId12">
              <w:r>
                <w:rPr>
                  <w:rFonts w:ascii="Times New Roman" w:eastAsia="Times New Roman"/>
                  <w:sz w:val="21"/>
                </w:rPr>
                <w:t>www.cnstock.com</w:t>
              </w:r>
            </w:hyperlink>
            <w:r>
              <w:rPr>
                <w:sz w:val="21"/>
              </w:rPr>
              <w:t>）</w:t>
            </w:r>
          </w:p>
          <w:p>
            <w:pPr>
              <w:pStyle w:val="TableParagraph"/>
              <w:spacing w:before="2"/>
              <w:ind w:left="28"/>
              <w:rPr>
                <w:sz w:val="21"/>
              </w:rPr>
            </w:pPr>
            <w:r>
              <w:rPr>
                <w:spacing w:val="-1"/>
                <w:sz w:val="21"/>
              </w:rPr>
              <w:t>《证券时报》</w:t>
            </w:r>
            <w:r>
              <w:rPr>
                <w:sz w:val="21"/>
              </w:rPr>
              <w:t>（网址</w:t>
            </w:r>
            <w:hyperlink r:id="rId13">
              <w:r>
                <w:rPr>
                  <w:rFonts w:ascii="Times New Roman" w:eastAsia="Times New Roman"/>
                  <w:sz w:val="21"/>
                </w:rPr>
                <w:t>www.stcn.com</w:t>
              </w:r>
            </w:hyperlink>
            <w:r>
              <w:rPr>
                <w:sz w:val="21"/>
              </w:rPr>
              <w:t>）</w:t>
            </w:r>
          </w:p>
          <w:p>
            <w:pPr>
              <w:pStyle w:val="TableParagraph"/>
              <w:spacing w:line="250" w:lineRule="exact" w:before="5"/>
              <w:ind w:left="28"/>
              <w:rPr>
                <w:sz w:val="21"/>
              </w:rPr>
            </w:pPr>
            <w:r>
              <w:rPr>
                <w:spacing w:val="-1"/>
                <w:sz w:val="21"/>
              </w:rPr>
              <w:t>《证券日报》</w:t>
            </w:r>
            <w:r>
              <w:rPr>
                <w:sz w:val="21"/>
              </w:rPr>
              <w:t>（网址</w:t>
            </w:r>
            <w:hyperlink r:id="rId14">
              <w:r>
                <w:rPr>
                  <w:rFonts w:ascii="Times New Roman" w:eastAsia="Times New Roman"/>
                  <w:sz w:val="21"/>
                </w:rPr>
                <w:t>www.zqrb.cn</w:t>
              </w:r>
            </w:hyperlink>
            <w:r>
              <w:rPr>
                <w:sz w:val="21"/>
              </w:rPr>
              <w:t>）</w:t>
            </w:r>
          </w:p>
        </w:tc>
      </w:tr>
      <w:tr>
        <w:trPr>
          <w:trHeight w:val="292" w:hRule="atLeast"/>
        </w:trPr>
        <w:tc>
          <w:tcPr>
            <w:tcW w:w="3824" w:type="dxa"/>
          </w:tcPr>
          <w:p>
            <w:pPr>
              <w:pStyle w:val="TableParagraph"/>
              <w:spacing w:before="1"/>
              <w:ind w:left="28"/>
              <w:rPr>
                <w:sz w:val="21"/>
              </w:rPr>
            </w:pPr>
            <w:r>
              <w:rPr>
                <w:spacing w:val="-1"/>
                <w:sz w:val="21"/>
              </w:rPr>
              <w:t>公司披露年度报告的证券交易所网址</w:t>
            </w:r>
            <w:r>
              <w:rPr>
                <w:sz w:val="21"/>
              </w:rPr>
              <w:t> </w:t>
            </w:r>
          </w:p>
        </w:tc>
        <w:tc>
          <w:tcPr>
            <w:tcW w:w="5000" w:type="dxa"/>
          </w:tcPr>
          <w:p>
            <w:pPr>
              <w:pStyle w:val="TableParagraph"/>
              <w:spacing w:line="235" w:lineRule="exact"/>
              <w:ind w:left="28"/>
              <w:rPr>
                <w:rFonts w:ascii="Times New Roman"/>
                <w:sz w:val="21"/>
              </w:rPr>
            </w:pPr>
            <w:hyperlink r:id="rId15">
              <w:r>
                <w:rPr>
                  <w:rFonts w:ascii="Times New Roman"/>
                  <w:sz w:val="21"/>
                </w:rPr>
                <w:t>www.sse.com.cn</w:t>
              </w:r>
            </w:hyperlink>
          </w:p>
        </w:tc>
      </w:tr>
      <w:tr>
        <w:trPr>
          <w:trHeight w:val="546" w:hRule="atLeast"/>
        </w:trPr>
        <w:tc>
          <w:tcPr>
            <w:tcW w:w="3824" w:type="dxa"/>
          </w:tcPr>
          <w:p>
            <w:pPr>
              <w:pStyle w:val="TableParagraph"/>
              <w:spacing w:before="3"/>
              <w:ind w:left="28"/>
              <w:rPr>
                <w:sz w:val="21"/>
              </w:rPr>
            </w:pPr>
            <w:r>
              <w:rPr>
                <w:spacing w:val="-1"/>
                <w:sz w:val="21"/>
              </w:rPr>
              <w:t>公司年度报告备置地点</w:t>
            </w:r>
            <w:r>
              <w:rPr>
                <w:sz w:val="21"/>
              </w:rPr>
              <w:t> </w:t>
            </w:r>
          </w:p>
        </w:tc>
        <w:tc>
          <w:tcPr>
            <w:tcW w:w="5000" w:type="dxa"/>
          </w:tcPr>
          <w:p>
            <w:pPr>
              <w:pStyle w:val="TableParagraph"/>
              <w:spacing w:line="270" w:lineRule="atLeast"/>
              <w:ind w:left="28" w:right="93"/>
              <w:rPr>
                <w:sz w:val="21"/>
              </w:rPr>
            </w:pPr>
            <w:r>
              <w:rPr>
                <w:sz w:val="21"/>
              </w:rPr>
              <w:t>深圳市龙华区龙华街道东环二路二号富士康科技园</w:t>
            </w:r>
            <w:r>
              <w:rPr>
                <w:rFonts w:ascii="Times New Roman" w:eastAsia="Times New Roman"/>
                <w:sz w:val="21"/>
              </w:rPr>
              <w:t>C1</w:t>
            </w:r>
            <w:r>
              <w:rPr>
                <w:rFonts w:ascii="Times New Roman" w:eastAsia="Times New Roman"/>
                <w:spacing w:val="-50"/>
                <w:sz w:val="21"/>
              </w:rPr>
              <w:t> </w:t>
            </w:r>
            <w:r>
              <w:rPr>
                <w:sz w:val="21"/>
              </w:rPr>
              <w:t>栋二层（公司董事会办公室）</w:t>
            </w:r>
          </w:p>
        </w:tc>
      </w:tr>
    </w:tbl>
    <w:p>
      <w:pPr>
        <w:pStyle w:val="BodyText"/>
        <w:spacing w:before="2"/>
        <w:ind w:left="638"/>
      </w:pPr>
      <w:r>
        <w:rPr>
          <w:w w:val="100"/>
        </w:rPr>
        <w:t> </w:t>
      </w:r>
    </w:p>
    <w:p>
      <w:pPr>
        <w:pStyle w:val="BodyText"/>
        <w:spacing w:before="62"/>
        <w:ind w:left="638"/>
      </w:pPr>
      <w:r>
        <w:rPr>
          <w:spacing w:val="3"/>
        </w:rPr>
        <w:t>五、 公司股票简况</w:t>
      </w:r>
    </w:p>
    <w:p>
      <w:pPr>
        <w:pStyle w:val="BodyText"/>
        <w:spacing w:before="12"/>
        <w:ind w:left="0"/>
        <w:rPr>
          <w:sz w:val="4"/>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4"/>
        <w:gridCol w:w="1765"/>
        <w:gridCol w:w="1767"/>
        <w:gridCol w:w="1765"/>
        <w:gridCol w:w="1764"/>
      </w:tblGrid>
      <w:tr>
        <w:trPr>
          <w:trHeight w:val="292" w:hRule="atLeast"/>
        </w:trPr>
        <w:tc>
          <w:tcPr>
            <w:tcW w:w="8825" w:type="dxa"/>
            <w:gridSpan w:val="5"/>
          </w:tcPr>
          <w:p>
            <w:pPr>
              <w:pStyle w:val="TableParagraph"/>
              <w:spacing w:before="1"/>
              <w:ind w:left="3816" w:right="3705"/>
              <w:jc w:val="center"/>
              <w:rPr>
                <w:sz w:val="21"/>
              </w:rPr>
            </w:pPr>
            <w:r>
              <w:rPr>
                <w:spacing w:val="-1"/>
                <w:sz w:val="21"/>
              </w:rPr>
              <w:t>公司股票简况</w:t>
            </w:r>
            <w:r>
              <w:rPr>
                <w:sz w:val="21"/>
              </w:rPr>
              <w:t> </w:t>
            </w:r>
          </w:p>
        </w:tc>
      </w:tr>
      <w:tr>
        <w:trPr>
          <w:trHeight w:val="292" w:hRule="atLeast"/>
        </w:trPr>
        <w:tc>
          <w:tcPr>
            <w:tcW w:w="1764" w:type="dxa"/>
          </w:tcPr>
          <w:p>
            <w:pPr>
              <w:pStyle w:val="TableParagraph"/>
              <w:spacing w:before="1"/>
              <w:ind w:left="179" w:right="67"/>
              <w:jc w:val="center"/>
              <w:rPr>
                <w:sz w:val="21"/>
              </w:rPr>
            </w:pPr>
            <w:r>
              <w:rPr>
                <w:spacing w:val="-1"/>
                <w:sz w:val="21"/>
              </w:rPr>
              <w:t>股票种类</w:t>
            </w:r>
            <w:r>
              <w:rPr>
                <w:sz w:val="21"/>
              </w:rPr>
              <w:t> </w:t>
            </w:r>
          </w:p>
        </w:tc>
        <w:tc>
          <w:tcPr>
            <w:tcW w:w="1765" w:type="dxa"/>
          </w:tcPr>
          <w:p>
            <w:pPr>
              <w:pStyle w:val="TableParagraph"/>
              <w:spacing w:before="1"/>
              <w:ind w:left="125" w:right="16"/>
              <w:jc w:val="center"/>
              <w:rPr>
                <w:sz w:val="21"/>
              </w:rPr>
            </w:pPr>
            <w:r>
              <w:rPr>
                <w:sz w:val="21"/>
              </w:rPr>
              <w:t>股票上市交易所 </w:t>
            </w:r>
          </w:p>
        </w:tc>
        <w:tc>
          <w:tcPr>
            <w:tcW w:w="1767" w:type="dxa"/>
          </w:tcPr>
          <w:p>
            <w:pPr>
              <w:pStyle w:val="TableParagraph"/>
              <w:spacing w:before="1"/>
              <w:ind w:left="441" w:right="332"/>
              <w:jc w:val="center"/>
              <w:rPr>
                <w:sz w:val="21"/>
              </w:rPr>
            </w:pPr>
            <w:r>
              <w:rPr>
                <w:spacing w:val="-1"/>
                <w:sz w:val="21"/>
              </w:rPr>
              <w:t>股票简称</w:t>
            </w:r>
            <w:r>
              <w:rPr>
                <w:sz w:val="21"/>
              </w:rPr>
              <w:t> </w:t>
            </w:r>
          </w:p>
        </w:tc>
        <w:tc>
          <w:tcPr>
            <w:tcW w:w="1765" w:type="dxa"/>
          </w:tcPr>
          <w:p>
            <w:pPr>
              <w:pStyle w:val="TableParagraph"/>
              <w:spacing w:before="1"/>
              <w:ind w:left="125" w:right="15"/>
              <w:jc w:val="center"/>
              <w:rPr>
                <w:sz w:val="21"/>
              </w:rPr>
            </w:pPr>
            <w:r>
              <w:rPr>
                <w:spacing w:val="-1"/>
                <w:sz w:val="21"/>
              </w:rPr>
              <w:t>股票代码</w:t>
            </w:r>
            <w:r>
              <w:rPr>
                <w:sz w:val="21"/>
              </w:rPr>
              <w:t> </w:t>
            </w:r>
          </w:p>
        </w:tc>
        <w:tc>
          <w:tcPr>
            <w:tcW w:w="1764" w:type="dxa"/>
          </w:tcPr>
          <w:p>
            <w:pPr>
              <w:pStyle w:val="TableParagraph"/>
              <w:spacing w:before="1"/>
              <w:ind w:left="179" w:right="71"/>
              <w:jc w:val="center"/>
              <w:rPr>
                <w:sz w:val="21"/>
              </w:rPr>
            </w:pPr>
            <w:r>
              <w:rPr>
                <w:spacing w:val="-1"/>
                <w:sz w:val="21"/>
              </w:rPr>
              <w:t>变更前股票简称</w:t>
            </w:r>
            <w:r>
              <w:rPr>
                <w:sz w:val="21"/>
              </w:rPr>
              <w:t> </w:t>
            </w:r>
          </w:p>
        </w:tc>
      </w:tr>
      <w:tr>
        <w:trPr>
          <w:trHeight w:val="292" w:hRule="atLeast"/>
        </w:trPr>
        <w:tc>
          <w:tcPr>
            <w:tcW w:w="1764" w:type="dxa"/>
          </w:tcPr>
          <w:p>
            <w:pPr>
              <w:pStyle w:val="TableParagraph"/>
              <w:spacing w:before="1"/>
              <w:ind w:left="78" w:right="71"/>
              <w:jc w:val="center"/>
              <w:rPr>
                <w:sz w:val="21"/>
              </w:rPr>
            </w:pPr>
            <w:r>
              <w:rPr>
                <w:rFonts w:ascii="Times New Roman" w:eastAsia="Times New Roman"/>
                <w:sz w:val="21"/>
              </w:rPr>
              <w:t>A</w:t>
            </w:r>
            <w:r>
              <w:rPr>
                <w:sz w:val="21"/>
              </w:rPr>
              <w:t>股</w:t>
            </w:r>
          </w:p>
        </w:tc>
        <w:tc>
          <w:tcPr>
            <w:tcW w:w="1765" w:type="dxa"/>
          </w:tcPr>
          <w:p>
            <w:pPr>
              <w:pStyle w:val="TableParagraph"/>
              <w:spacing w:before="1"/>
              <w:ind w:left="74" w:right="68"/>
              <w:jc w:val="center"/>
              <w:rPr>
                <w:sz w:val="21"/>
              </w:rPr>
            </w:pPr>
            <w:r>
              <w:rPr>
                <w:sz w:val="21"/>
              </w:rPr>
              <w:t>上海证券交易所</w:t>
            </w:r>
          </w:p>
        </w:tc>
        <w:tc>
          <w:tcPr>
            <w:tcW w:w="1767" w:type="dxa"/>
          </w:tcPr>
          <w:p>
            <w:pPr>
              <w:pStyle w:val="TableParagraph"/>
              <w:spacing w:before="1"/>
              <w:ind w:left="391" w:right="386"/>
              <w:jc w:val="center"/>
              <w:rPr>
                <w:sz w:val="21"/>
              </w:rPr>
            </w:pPr>
            <w:r>
              <w:rPr>
                <w:sz w:val="21"/>
              </w:rPr>
              <w:t>工业富联</w:t>
            </w:r>
          </w:p>
        </w:tc>
        <w:tc>
          <w:tcPr>
            <w:tcW w:w="1765" w:type="dxa"/>
          </w:tcPr>
          <w:p>
            <w:pPr>
              <w:pStyle w:val="TableParagraph"/>
              <w:spacing w:line="235" w:lineRule="exact"/>
              <w:ind w:left="72" w:right="68"/>
              <w:jc w:val="center"/>
              <w:rPr>
                <w:rFonts w:ascii="Times New Roman"/>
                <w:sz w:val="21"/>
              </w:rPr>
            </w:pPr>
            <w:r>
              <w:rPr>
                <w:rFonts w:ascii="Times New Roman"/>
                <w:sz w:val="21"/>
              </w:rPr>
              <w:t>601138</w:t>
            </w:r>
          </w:p>
        </w:tc>
        <w:tc>
          <w:tcPr>
            <w:tcW w:w="1764" w:type="dxa"/>
          </w:tcPr>
          <w:p>
            <w:pPr>
              <w:pStyle w:val="TableParagraph"/>
              <w:spacing w:before="1"/>
              <w:ind w:left="5"/>
              <w:jc w:val="center"/>
              <w:rPr>
                <w:sz w:val="21"/>
              </w:rPr>
            </w:pPr>
            <w:r>
              <w:rPr>
                <w:w w:val="100"/>
                <w:sz w:val="21"/>
              </w:rPr>
              <w:t>无</w:t>
            </w:r>
          </w:p>
        </w:tc>
      </w:tr>
    </w:tbl>
    <w:p>
      <w:pPr>
        <w:pStyle w:val="BodyText"/>
        <w:spacing w:before="2"/>
        <w:ind w:left="638"/>
      </w:pPr>
      <w:r>
        <w:rPr>
          <w:color w:val="006FC0"/>
          <w:w w:val="100"/>
        </w:rPr>
        <w:t> </w:t>
      </w:r>
    </w:p>
    <w:p>
      <w:pPr>
        <w:pStyle w:val="BodyText"/>
        <w:spacing w:before="64"/>
        <w:ind w:left="638"/>
      </w:pPr>
      <w:r>
        <w:rPr>
          <w:spacing w:val="-5"/>
        </w:rPr>
        <w:t>六、 其他相关资料</w:t>
      </w:r>
    </w:p>
    <w:p>
      <w:pPr>
        <w:pStyle w:val="BodyText"/>
        <w:spacing w:before="10"/>
        <w:ind w:left="0"/>
        <w:rPr>
          <w:sz w:val="4"/>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19"/>
        <w:gridCol w:w="1750"/>
        <w:gridCol w:w="4155"/>
      </w:tblGrid>
      <w:tr>
        <w:trPr>
          <w:trHeight w:val="546" w:hRule="atLeast"/>
        </w:trPr>
        <w:tc>
          <w:tcPr>
            <w:tcW w:w="2919" w:type="dxa"/>
            <w:vMerge w:val="restart"/>
          </w:tcPr>
          <w:p>
            <w:pPr>
              <w:pStyle w:val="TableParagraph"/>
              <w:spacing w:before="142"/>
              <w:ind w:left="107"/>
              <w:rPr>
                <w:sz w:val="21"/>
              </w:rPr>
            </w:pPr>
            <w:r>
              <w:rPr>
                <w:spacing w:val="33"/>
                <w:sz w:val="21"/>
              </w:rPr>
              <w:t>公司聘请的会计师事务所</w:t>
            </w:r>
            <w:r>
              <w:rPr>
                <w:spacing w:val="-67"/>
                <w:sz w:val="21"/>
              </w:rPr>
              <w:t> </w:t>
            </w:r>
          </w:p>
          <w:p>
            <w:pPr>
              <w:pStyle w:val="TableParagraph"/>
              <w:spacing w:before="5"/>
              <w:ind w:left="107"/>
              <w:rPr>
                <w:sz w:val="21"/>
              </w:rPr>
            </w:pPr>
            <w:r>
              <w:rPr>
                <w:sz w:val="21"/>
              </w:rPr>
              <w:t>（境内）</w:t>
            </w:r>
          </w:p>
        </w:tc>
        <w:tc>
          <w:tcPr>
            <w:tcW w:w="1750" w:type="dxa"/>
          </w:tcPr>
          <w:p>
            <w:pPr>
              <w:pStyle w:val="TableParagraph"/>
              <w:spacing w:before="3"/>
              <w:ind w:left="107"/>
              <w:rPr>
                <w:sz w:val="21"/>
              </w:rPr>
            </w:pPr>
            <w:r>
              <w:rPr>
                <w:sz w:val="21"/>
              </w:rPr>
              <w:t>名称</w:t>
            </w:r>
          </w:p>
        </w:tc>
        <w:tc>
          <w:tcPr>
            <w:tcW w:w="4155" w:type="dxa"/>
          </w:tcPr>
          <w:p>
            <w:pPr>
              <w:pStyle w:val="TableParagraph"/>
              <w:spacing w:line="270" w:lineRule="atLeast"/>
              <w:ind w:left="105" w:right="99"/>
              <w:rPr>
                <w:sz w:val="21"/>
              </w:rPr>
            </w:pPr>
            <w:r>
              <w:rPr>
                <w:sz w:val="21"/>
              </w:rPr>
              <w:t>普华永道中天会计师事务所（特殊普通合伙）</w:t>
            </w:r>
          </w:p>
        </w:tc>
      </w:tr>
      <w:tr>
        <w:trPr>
          <w:trHeight w:val="270" w:hRule="atLeast"/>
        </w:trPr>
        <w:tc>
          <w:tcPr>
            <w:tcW w:w="2919" w:type="dxa"/>
            <w:vMerge/>
            <w:tcBorders>
              <w:top w:val="nil"/>
            </w:tcBorders>
          </w:tcPr>
          <w:p>
            <w:pPr>
              <w:rPr>
                <w:sz w:val="2"/>
                <w:szCs w:val="2"/>
              </w:rPr>
            </w:pPr>
          </w:p>
        </w:tc>
        <w:tc>
          <w:tcPr>
            <w:tcW w:w="1750" w:type="dxa"/>
          </w:tcPr>
          <w:p>
            <w:pPr>
              <w:pStyle w:val="TableParagraph"/>
              <w:spacing w:line="250" w:lineRule="exact" w:before="1"/>
              <w:ind w:left="107"/>
              <w:rPr>
                <w:sz w:val="21"/>
              </w:rPr>
            </w:pPr>
            <w:r>
              <w:rPr>
                <w:sz w:val="21"/>
              </w:rPr>
              <w:t>办公地址</w:t>
            </w:r>
          </w:p>
        </w:tc>
        <w:tc>
          <w:tcPr>
            <w:tcW w:w="4155" w:type="dxa"/>
          </w:tcPr>
          <w:p>
            <w:pPr>
              <w:pStyle w:val="TableParagraph"/>
              <w:spacing w:line="250" w:lineRule="exact" w:before="1"/>
              <w:ind w:left="105"/>
              <w:rPr>
                <w:sz w:val="21"/>
              </w:rPr>
            </w:pPr>
            <w:r>
              <w:rPr>
                <w:spacing w:val="2"/>
                <w:sz w:val="21"/>
              </w:rPr>
              <w:t>中国上海市黄浦区湖滨路</w:t>
            </w:r>
            <w:r>
              <w:rPr>
                <w:rFonts w:ascii="Times New Roman" w:eastAsia="Times New Roman"/>
                <w:sz w:val="21"/>
              </w:rPr>
              <w:t>202</w:t>
            </w:r>
            <w:r>
              <w:rPr>
                <w:rFonts w:ascii="Times New Roman" w:eastAsia="Times New Roman"/>
                <w:spacing w:val="-29"/>
                <w:sz w:val="21"/>
              </w:rPr>
              <w:t> </w:t>
            </w:r>
            <w:r>
              <w:rPr>
                <w:sz w:val="21"/>
              </w:rPr>
              <w:t>号领展企业广</w:t>
            </w:r>
          </w:p>
        </w:tc>
      </w:tr>
    </w:tbl>
    <w:p>
      <w:pPr>
        <w:spacing w:after="0" w:line="250" w:lineRule="exact"/>
        <w:rPr>
          <w:sz w:val="21"/>
        </w:rPr>
        <w:sectPr>
          <w:pgSz w:w="11910" w:h="16840"/>
          <w:pgMar w:header="880" w:footer="1195" w:top="1120" w:bottom="1380" w:left="1160" w:right="940"/>
        </w:sectPr>
      </w:pPr>
    </w:p>
    <w:p>
      <w:pPr>
        <w:pStyle w:val="BodyText"/>
        <w:ind w:left="0"/>
        <w:rPr>
          <w:sz w:val="20"/>
        </w:rPr>
      </w:pPr>
    </w:p>
    <w:p>
      <w:pPr>
        <w:pStyle w:val="BodyText"/>
        <w:spacing w:before="3"/>
        <w:ind w:left="0"/>
        <w:rPr>
          <w:sz w:val="11"/>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19"/>
        <w:gridCol w:w="1750"/>
        <w:gridCol w:w="4155"/>
      </w:tblGrid>
      <w:tr>
        <w:trPr>
          <w:trHeight w:val="273" w:hRule="atLeast"/>
        </w:trPr>
        <w:tc>
          <w:tcPr>
            <w:tcW w:w="2919" w:type="dxa"/>
            <w:vMerge w:val="restart"/>
          </w:tcPr>
          <w:p>
            <w:pPr>
              <w:pStyle w:val="TableParagraph"/>
              <w:rPr>
                <w:rFonts w:ascii="Times New Roman"/>
                <w:sz w:val="20"/>
              </w:rPr>
            </w:pPr>
          </w:p>
        </w:tc>
        <w:tc>
          <w:tcPr>
            <w:tcW w:w="1750" w:type="dxa"/>
          </w:tcPr>
          <w:p>
            <w:pPr>
              <w:pStyle w:val="TableParagraph"/>
              <w:rPr>
                <w:rFonts w:ascii="Times New Roman"/>
                <w:sz w:val="20"/>
              </w:rPr>
            </w:pPr>
          </w:p>
        </w:tc>
        <w:tc>
          <w:tcPr>
            <w:tcW w:w="4155" w:type="dxa"/>
          </w:tcPr>
          <w:p>
            <w:pPr>
              <w:pStyle w:val="TableParagraph"/>
              <w:spacing w:line="250" w:lineRule="exact" w:before="3"/>
              <w:ind w:left="105"/>
              <w:rPr>
                <w:sz w:val="21"/>
              </w:rPr>
            </w:pPr>
            <w:r>
              <w:rPr>
                <w:spacing w:val="-27"/>
                <w:sz w:val="21"/>
              </w:rPr>
              <w:t>场 </w:t>
            </w:r>
            <w:r>
              <w:rPr>
                <w:rFonts w:ascii="Times New Roman" w:eastAsia="Times New Roman"/>
                <w:sz w:val="21"/>
              </w:rPr>
              <w:t>2</w:t>
            </w:r>
            <w:r>
              <w:rPr>
                <w:rFonts w:ascii="Times New Roman" w:eastAsia="Times New Roman"/>
                <w:spacing w:val="-12"/>
                <w:sz w:val="21"/>
              </w:rPr>
              <w:t> </w:t>
            </w:r>
            <w:r>
              <w:rPr>
                <w:spacing w:val="-7"/>
                <w:sz w:val="21"/>
              </w:rPr>
              <w:t>座普华永道中心 </w:t>
            </w:r>
            <w:r>
              <w:rPr>
                <w:rFonts w:ascii="Times New Roman" w:eastAsia="Times New Roman"/>
                <w:sz w:val="21"/>
              </w:rPr>
              <w:t>11</w:t>
            </w:r>
            <w:r>
              <w:rPr>
                <w:rFonts w:ascii="Times New Roman" w:eastAsia="Times New Roman"/>
                <w:spacing w:val="-10"/>
                <w:sz w:val="21"/>
              </w:rPr>
              <w:t> </w:t>
            </w:r>
            <w:r>
              <w:rPr>
                <w:sz w:val="21"/>
              </w:rPr>
              <w:t>楼</w:t>
            </w:r>
          </w:p>
        </w:tc>
      </w:tr>
      <w:tr>
        <w:trPr>
          <w:trHeight w:val="273" w:hRule="atLeast"/>
        </w:trPr>
        <w:tc>
          <w:tcPr>
            <w:tcW w:w="2919" w:type="dxa"/>
            <w:vMerge/>
            <w:tcBorders>
              <w:top w:val="nil"/>
            </w:tcBorders>
          </w:tcPr>
          <w:p>
            <w:pPr>
              <w:rPr>
                <w:sz w:val="2"/>
                <w:szCs w:val="2"/>
              </w:rPr>
            </w:pPr>
          </w:p>
        </w:tc>
        <w:tc>
          <w:tcPr>
            <w:tcW w:w="1750" w:type="dxa"/>
          </w:tcPr>
          <w:p>
            <w:pPr>
              <w:pStyle w:val="TableParagraph"/>
              <w:spacing w:line="252" w:lineRule="exact" w:before="1"/>
              <w:ind w:left="107"/>
              <w:rPr>
                <w:sz w:val="21"/>
              </w:rPr>
            </w:pPr>
            <w:r>
              <w:rPr>
                <w:sz w:val="21"/>
              </w:rPr>
              <w:t>签字会计师姓名</w:t>
            </w:r>
          </w:p>
        </w:tc>
        <w:tc>
          <w:tcPr>
            <w:tcW w:w="4155" w:type="dxa"/>
          </w:tcPr>
          <w:p>
            <w:pPr>
              <w:pStyle w:val="TableParagraph"/>
              <w:spacing w:line="252" w:lineRule="exact" w:before="1"/>
              <w:ind w:left="105"/>
              <w:rPr>
                <w:sz w:val="21"/>
              </w:rPr>
            </w:pPr>
            <w:r>
              <w:rPr>
                <w:sz w:val="21"/>
              </w:rPr>
              <w:t>张津、周唯</w:t>
            </w:r>
          </w:p>
        </w:tc>
      </w:tr>
      <w:tr>
        <w:trPr>
          <w:trHeight w:val="270" w:hRule="atLeast"/>
        </w:trPr>
        <w:tc>
          <w:tcPr>
            <w:tcW w:w="2919" w:type="dxa"/>
            <w:vMerge w:val="restart"/>
          </w:tcPr>
          <w:p>
            <w:pPr>
              <w:pStyle w:val="TableParagraph"/>
              <w:rPr>
                <w:sz w:val="20"/>
              </w:rPr>
            </w:pPr>
          </w:p>
          <w:p>
            <w:pPr>
              <w:pStyle w:val="TableParagraph"/>
              <w:spacing w:before="9"/>
              <w:rPr>
                <w:sz w:val="23"/>
              </w:rPr>
            </w:pPr>
          </w:p>
          <w:p>
            <w:pPr>
              <w:pStyle w:val="TableParagraph"/>
              <w:spacing w:line="244" w:lineRule="auto"/>
              <w:ind w:left="107" w:right="96"/>
              <w:rPr>
                <w:sz w:val="21"/>
              </w:rPr>
            </w:pPr>
            <w:r>
              <w:rPr>
                <w:spacing w:val="12"/>
                <w:sz w:val="21"/>
              </w:rPr>
              <w:t>报告期内履行持续督导职责</w:t>
            </w:r>
            <w:r>
              <w:rPr>
                <w:sz w:val="21"/>
              </w:rPr>
              <w:t>的保荐机构</w:t>
            </w:r>
          </w:p>
        </w:tc>
        <w:tc>
          <w:tcPr>
            <w:tcW w:w="1750" w:type="dxa"/>
          </w:tcPr>
          <w:p>
            <w:pPr>
              <w:pStyle w:val="TableParagraph"/>
              <w:spacing w:line="250" w:lineRule="exact" w:before="1"/>
              <w:ind w:left="107"/>
              <w:rPr>
                <w:sz w:val="21"/>
              </w:rPr>
            </w:pPr>
            <w:r>
              <w:rPr>
                <w:sz w:val="21"/>
              </w:rPr>
              <w:t>名称</w:t>
            </w:r>
          </w:p>
        </w:tc>
        <w:tc>
          <w:tcPr>
            <w:tcW w:w="4155" w:type="dxa"/>
          </w:tcPr>
          <w:p>
            <w:pPr>
              <w:pStyle w:val="TableParagraph"/>
              <w:spacing w:line="250" w:lineRule="exact" w:before="1"/>
              <w:ind w:left="105"/>
              <w:rPr>
                <w:sz w:val="21"/>
              </w:rPr>
            </w:pPr>
            <w:r>
              <w:rPr>
                <w:spacing w:val="-1"/>
                <w:sz w:val="21"/>
              </w:rPr>
              <w:t>中国国际金融股份有限公司</w:t>
            </w:r>
          </w:p>
        </w:tc>
      </w:tr>
      <w:tr>
        <w:trPr>
          <w:trHeight w:val="544" w:hRule="atLeast"/>
        </w:trPr>
        <w:tc>
          <w:tcPr>
            <w:tcW w:w="2919" w:type="dxa"/>
            <w:vMerge/>
            <w:tcBorders>
              <w:top w:val="nil"/>
            </w:tcBorders>
          </w:tcPr>
          <w:p>
            <w:pPr>
              <w:rPr>
                <w:sz w:val="2"/>
                <w:szCs w:val="2"/>
              </w:rPr>
            </w:pPr>
          </w:p>
        </w:tc>
        <w:tc>
          <w:tcPr>
            <w:tcW w:w="1750" w:type="dxa"/>
          </w:tcPr>
          <w:p>
            <w:pPr>
              <w:pStyle w:val="TableParagraph"/>
              <w:spacing w:before="3"/>
              <w:ind w:left="107"/>
              <w:rPr>
                <w:sz w:val="21"/>
              </w:rPr>
            </w:pPr>
            <w:r>
              <w:rPr>
                <w:sz w:val="21"/>
              </w:rPr>
              <w:t>办公地址</w:t>
            </w:r>
          </w:p>
        </w:tc>
        <w:tc>
          <w:tcPr>
            <w:tcW w:w="4155" w:type="dxa"/>
          </w:tcPr>
          <w:p>
            <w:pPr>
              <w:pStyle w:val="TableParagraph"/>
              <w:spacing w:before="3"/>
              <w:ind w:left="105"/>
              <w:rPr>
                <w:rFonts w:ascii="Times New Roman" w:eastAsia="Times New Roman"/>
                <w:sz w:val="21"/>
              </w:rPr>
            </w:pPr>
            <w:r>
              <w:rPr>
                <w:spacing w:val="-5"/>
                <w:sz w:val="21"/>
              </w:rPr>
              <w:t>北京市朝阳区建国门外大街 </w:t>
            </w:r>
            <w:r>
              <w:rPr>
                <w:rFonts w:ascii="Times New Roman" w:eastAsia="Times New Roman"/>
                <w:sz w:val="21"/>
              </w:rPr>
              <w:t>1</w:t>
            </w:r>
            <w:r>
              <w:rPr>
                <w:rFonts w:ascii="Times New Roman" w:eastAsia="Times New Roman"/>
                <w:spacing w:val="-7"/>
                <w:sz w:val="21"/>
              </w:rPr>
              <w:t> </w:t>
            </w:r>
            <w:r>
              <w:rPr>
                <w:spacing w:val="-8"/>
                <w:sz w:val="21"/>
              </w:rPr>
              <w:t>号国贸大厦 </w:t>
            </w:r>
            <w:r>
              <w:rPr>
                <w:rFonts w:ascii="Times New Roman" w:eastAsia="Times New Roman"/>
                <w:sz w:val="21"/>
              </w:rPr>
              <w:t>2</w:t>
            </w:r>
          </w:p>
          <w:p>
            <w:pPr>
              <w:pStyle w:val="TableParagraph"/>
              <w:spacing w:line="250" w:lineRule="exact" w:before="2"/>
              <w:ind w:left="105"/>
              <w:rPr>
                <w:sz w:val="21"/>
              </w:rPr>
            </w:pPr>
            <w:r>
              <w:rPr>
                <w:spacing w:val="-27"/>
                <w:sz w:val="21"/>
              </w:rPr>
              <w:t>座 </w:t>
            </w:r>
            <w:r>
              <w:rPr>
                <w:rFonts w:ascii="Times New Roman" w:eastAsia="Times New Roman"/>
                <w:spacing w:val="-1"/>
                <w:sz w:val="21"/>
              </w:rPr>
              <w:t>27</w:t>
            </w:r>
            <w:r>
              <w:rPr>
                <w:rFonts w:ascii="Times New Roman" w:eastAsia="Times New Roman"/>
                <w:spacing w:val="-10"/>
                <w:sz w:val="21"/>
              </w:rPr>
              <w:t> </w:t>
            </w:r>
            <w:r>
              <w:rPr>
                <w:spacing w:val="-18"/>
                <w:sz w:val="21"/>
              </w:rPr>
              <w:t>层及 </w:t>
            </w:r>
            <w:r>
              <w:rPr>
                <w:rFonts w:ascii="Times New Roman" w:eastAsia="Times New Roman"/>
                <w:sz w:val="21"/>
              </w:rPr>
              <w:t>28</w:t>
            </w:r>
            <w:r>
              <w:rPr>
                <w:rFonts w:ascii="Times New Roman" w:eastAsia="Times New Roman"/>
                <w:spacing w:val="-10"/>
                <w:sz w:val="21"/>
              </w:rPr>
              <w:t> </w:t>
            </w:r>
            <w:r>
              <w:rPr>
                <w:sz w:val="21"/>
              </w:rPr>
              <w:t>层</w:t>
            </w:r>
          </w:p>
        </w:tc>
      </w:tr>
      <w:tr>
        <w:trPr>
          <w:trHeight w:val="546" w:hRule="atLeast"/>
        </w:trPr>
        <w:tc>
          <w:tcPr>
            <w:tcW w:w="2919" w:type="dxa"/>
            <w:vMerge/>
            <w:tcBorders>
              <w:top w:val="nil"/>
            </w:tcBorders>
          </w:tcPr>
          <w:p>
            <w:pPr>
              <w:rPr>
                <w:sz w:val="2"/>
                <w:szCs w:val="2"/>
              </w:rPr>
            </w:pPr>
          </w:p>
        </w:tc>
        <w:tc>
          <w:tcPr>
            <w:tcW w:w="1750" w:type="dxa"/>
          </w:tcPr>
          <w:p>
            <w:pPr>
              <w:pStyle w:val="TableParagraph"/>
              <w:spacing w:line="270" w:lineRule="atLeast"/>
              <w:ind w:left="107" w:right="84"/>
              <w:rPr>
                <w:sz w:val="21"/>
              </w:rPr>
            </w:pPr>
            <w:r>
              <w:rPr>
                <w:sz w:val="21"/>
              </w:rPr>
              <w:t>签字的保荐代表人姓名</w:t>
            </w:r>
          </w:p>
        </w:tc>
        <w:tc>
          <w:tcPr>
            <w:tcW w:w="4155" w:type="dxa"/>
          </w:tcPr>
          <w:p>
            <w:pPr>
              <w:pStyle w:val="TableParagraph"/>
              <w:spacing w:before="3"/>
              <w:ind w:left="105"/>
              <w:rPr>
                <w:sz w:val="21"/>
              </w:rPr>
            </w:pPr>
            <w:r>
              <w:rPr>
                <w:sz w:val="21"/>
              </w:rPr>
              <w:t>方磊、王昭</w:t>
            </w:r>
          </w:p>
        </w:tc>
      </w:tr>
      <w:tr>
        <w:trPr>
          <w:trHeight w:val="270" w:hRule="atLeast"/>
        </w:trPr>
        <w:tc>
          <w:tcPr>
            <w:tcW w:w="2919" w:type="dxa"/>
            <w:vMerge/>
            <w:tcBorders>
              <w:top w:val="nil"/>
            </w:tcBorders>
          </w:tcPr>
          <w:p>
            <w:pPr>
              <w:rPr>
                <w:sz w:val="2"/>
                <w:szCs w:val="2"/>
              </w:rPr>
            </w:pPr>
          </w:p>
        </w:tc>
        <w:tc>
          <w:tcPr>
            <w:tcW w:w="1750" w:type="dxa"/>
          </w:tcPr>
          <w:p>
            <w:pPr>
              <w:pStyle w:val="TableParagraph"/>
              <w:spacing w:line="250" w:lineRule="exact" w:before="1"/>
              <w:ind w:left="107"/>
              <w:rPr>
                <w:sz w:val="21"/>
              </w:rPr>
            </w:pPr>
            <w:r>
              <w:rPr>
                <w:sz w:val="21"/>
              </w:rPr>
              <w:t>持续督导的期间</w:t>
            </w:r>
          </w:p>
        </w:tc>
        <w:tc>
          <w:tcPr>
            <w:tcW w:w="4155" w:type="dxa"/>
          </w:tcPr>
          <w:p>
            <w:pPr>
              <w:pStyle w:val="TableParagraph"/>
              <w:spacing w:line="250" w:lineRule="exact" w:before="1"/>
              <w:ind w:left="105"/>
              <w:rPr>
                <w:rFonts w:ascii="Times New Roman" w:eastAsia="Times New Roman"/>
                <w:sz w:val="21"/>
              </w:rPr>
            </w:pPr>
            <w:r>
              <w:rPr>
                <w:rFonts w:ascii="Times New Roman" w:eastAsia="Times New Roman"/>
                <w:sz w:val="21"/>
              </w:rPr>
              <w:t>2018</w:t>
            </w:r>
            <w:r>
              <w:rPr>
                <w:rFonts w:ascii="Times New Roman" w:eastAsia="Times New Roman"/>
                <w:spacing w:val="-11"/>
                <w:sz w:val="21"/>
              </w:rPr>
              <w:t> </w:t>
            </w:r>
            <w:r>
              <w:rPr>
                <w:spacing w:val="-27"/>
                <w:sz w:val="21"/>
              </w:rPr>
              <w:t>年 </w:t>
            </w:r>
            <w:r>
              <w:rPr>
                <w:rFonts w:ascii="Times New Roman" w:eastAsia="Times New Roman"/>
                <w:sz w:val="21"/>
              </w:rPr>
              <w:t>6</w:t>
            </w:r>
            <w:r>
              <w:rPr>
                <w:rFonts w:ascii="Times New Roman" w:eastAsia="Times New Roman"/>
                <w:spacing w:val="-11"/>
                <w:sz w:val="21"/>
              </w:rPr>
              <w:t> </w:t>
            </w:r>
            <w:r>
              <w:rPr>
                <w:spacing w:val="-27"/>
                <w:sz w:val="21"/>
              </w:rPr>
              <w:t>月 </w:t>
            </w:r>
            <w:r>
              <w:rPr>
                <w:rFonts w:ascii="Times New Roman" w:eastAsia="Times New Roman"/>
                <w:sz w:val="21"/>
              </w:rPr>
              <w:t>8</w:t>
            </w:r>
            <w:r>
              <w:rPr>
                <w:rFonts w:ascii="Times New Roman" w:eastAsia="Times New Roman"/>
                <w:spacing w:val="-11"/>
                <w:sz w:val="21"/>
              </w:rPr>
              <w:t> </w:t>
            </w:r>
            <w:r>
              <w:rPr>
                <w:spacing w:val="-19"/>
                <w:sz w:val="21"/>
              </w:rPr>
              <w:t>日至 </w:t>
            </w:r>
            <w:r>
              <w:rPr>
                <w:rFonts w:ascii="Times New Roman" w:eastAsia="Times New Roman"/>
                <w:sz w:val="21"/>
              </w:rPr>
              <w:t>2021</w:t>
            </w:r>
            <w:r>
              <w:rPr>
                <w:rFonts w:ascii="Times New Roman" w:eastAsia="Times New Roman"/>
                <w:spacing w:val="-13"/>
                <w:sz w:val="21"/>
              </w:rPr>
              <w:t> </w:t>
            </w:r>
            <w:r>
              <w:rPr>
                <w:spacing w:val="-27"/>
                <w:sz w:val="21"/>
              </w:rPr>
              <w:t>年 </w:t>
            </w:r>
            <w:r>
              <w:rPr>
                <w:rFonts w:ascii="Times New Roman" w:eastAsia="Times New Roman"/>
                <w:sz w:val="21"/>
              </w:rPr>
              <w:t>12</w:t>
            </w:r>
            <w:r>
              <w:rPr>
                <w:rFonts w:ascii="Times New Roman" w:eastAsia="Times New Roman"/>
                <w:spacing w:val="-11"/>
                <w:sz w:val="21"/>
              </w:rPr>
              <w:t> </w:t>
            </w:r>
            <w:r>
              <w:rPr>
                <w:spacing w:val="-27"/>
                <w:sz w:val="21"/>
              </w:rPr>
              <w:t>月 </w:t>
            </w:r>
            <w:r>
              <w:rPr>
                <w:rFonts w:ascii="Times New Roman" w:eastAsia="Times New Roman"/>
                <w:sz w:val="21"/>
              </w:rPr>
              <w:t>31</w:t>
            </w:r>
            <w:r>
              <w:rPr>
                <w:rFonts w:ascii="Times New Roman" w:eastAsia="Times New Roman"/>
                <w:spacing w:val="-11"/>
                <w:sz w:val="21"/>
              </w:rPr>
              <w:t> </w:t>
            </w:r>
            <w:r>
              <w:rPr>
                <w:spacing w:val="38"/>
                <w:sz w:val="21"/>
              </w:rPr>
              <w:t>日</w:t>
            </w:r>
            <w:r>
              <w:rPr>
                <w:rFonts w:ascii="Times New Roman" w:eastAsia="Times New Roman"/>
                <w:sz w:val="21"/>
              </w:rPr>
              <w:t>[</w:t>
            </w:r>
            <w:r>
              <w:rPr>
                <w:sz w:val="21"/>
              </w:rPr>
              <w:t>注</w:t>
            </w:r>
            <w:r>
              <w:rPr>
                <w:rFonts w:ascii="Times New Roman" w:eastAsia="Times New Roman"/>
                <w:sz w:val="21"/>
              </w:rPr>
              <w:t>]1</w:t>
            </w:r>
          </w:p>
        </w:tc>
      </w:tr>
    </w:tbl>
    <w:p>
      <w:pPr>
        <w:pStyle w:val="BodyText"/>
        <w:spacing w:line="242" w:lineRule="auto" w:before="1"/>
        <w:ind w:left="638" w:right="508"/>
        <w:jc w:val="both"/>
      </w:pPr>
      <w:r>
        <w:rPr>
          <w:rFonts w:ascii="Times New Roman" w:eastAsia="Times New Roman"/>
        </w:rPr>
        <w:t>[</w:t>
      </w:r>
      <w:r>
        <w:rPr/>
        <w:t>注</w:t>
      </w:r>
      <w:r>
        <w:rPr>
          <w:rFonts w:ascii="Times New Roman" w:eastAsia="Times New Roman"/>
        </w:rPr>
        <w:t>]1</w:t>
      </w:r>
      <w:r>
        <w:rPr/>
        <w:t>：中国国际金融股份有限公司为公司首次公开发行股票履行持续督导职责的保荐机构，鉴</w:t>
      </w:r>
      <w:r>
        <w:rPr>
          <w:spacing w:val="-1"/>
        </w:rPr>
        <w:t>于公司募投项目尚处于建设期，募集资金尚未使用完毕，</w:t>
      </w:r>
      <w:r>
        <w:rPr>
          <w:rFonts w:ascii="Times New Roman" w:eastAsia="Times New Roman"/>
        </w:rPr>
        <w:t>2022</w:t>
      </w:r>
      <w:r>
        <w:rPr>
          <w:rFonts w:ascii="Times New Roman" w:eastAsia="Times New Roman"/>
          <w:spacing w:val="-13"/>
        </w:rPr>
        <w:t> </w:t>
      </w:r>
      <w:r>
        <w:rPr/>
        <w:t>年中国国际金融股份有限公司继续对公司募集资金存放和使用事项履行持续督导义务。</w:t>
      </w:r>
    </w:p>
    <w:p>
      <w:pPr>
        <w:pStyle w:val="BodyText"/>
        <w:spacing w:line="295" w:lineRule="auto" w:before="63"/>
        <w:ind w:left="638" w:right="5717"/>
        <w:jc w:val="both"/>
      </w:pPr>
      <w:r>
        <w:rPr>
          <w:spacing w:val="-6"/>
        </w:rPr>
        <w:t>七、 近三年主要会计数据和财务指标</w:t>
      </w:r>
      <w:r>
        <w:rPr>
          <w:spacing w:val="-7"/>
        </w:rPr>
        <w:t>(一) 主要会计数据</w:t>
      </w:r>
    </w:p>
    <w:p>
      <w:pPr>
        <w:pStyle w:val="BodyText"/>
        <w:spacing w:before="4"/>
        <w:ind w:left="0" w:right="227"/>
        <w:jc w:val="right"/>
      </w:pPr>
      <w:r>
        <w:rPr>
          <w:spacing w:val="7"/>
        </w:rPr>
        <w:t>单位：千元 币种：人民币</w:t>
      </w:r>
      <w:r>
        <w:rPr/>
        <w:t> </w:t>
      </w: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90"/>
        <w:gridCol w:w="1419"/>
        <w:gridCol w:w="1407"/>
        <w:gridCol w:w="1405"/>
        <w:gridCol w:w="1404"/>
      </w:tblGrid>
      <w:tr>
        <w:trPr>
          <w:trHeight w:val="597" w:hRule="atLeast"/>
        </w:trPr>
        <w:tc>
          <w:tcPr>
            <w:tcW w:w="3190" w:type="dxa"/>
          </w:tcPr>
          <w:p>
            <w:pPr>
              <w:pStyle w:val="TableParagraph"/>
              <w:spacing w:before="164"/>
              <w:ind w:left="964"/>
              <w:rPr>
                <w:sz w:val="21"/>
              </w:rPr>
            </w:pPr>
            <w:r>
              <w:rPr>
                <w:spacing w:val="-1"/>
                <w:sz w:val="21"/>
              </w:rPr>
              <w:t>主要会计数据</w:t>
            </w:r>
            <w:r>
              <w:rPr>
                <w:sz w:val="21"/>
              </w:rPr>
              <w:t> </w:t>
            </w:r>
          </w:p>
        </w:tc>
        <w:tc>
          <w:tcPr>
            <w:tcW w:w="1419" w:type="dxa"/>
          </w:tcPr>
          <w:p>
            <w:pPr>
              <w:pStyle w:val="TableParagraph"/>
              <w:spacing w:before="164"/>
              <w:ind w:left="391"/>
              <w:rPr>
                <w:sz w:val="21"/>
              </w:rPr>
            </w:pPr>
            <w:r>
              <w:rPr>
                <w:rFonts w:ascii="Times New Roman" w:eastAsia="Times New Roman"/>
                <w:sz w:val="21"/>
              </w:rPr>
              <w:t>2022</w:t>
            </w:r>
            <w:r>
              <w:rPr>
                <w:sz w:val="21"/>
              </w:rPr>
              <w:t>年</w:t>
            </w:r>
          </w:p>
        </w:tc>
        <w:tc>
          <w:tcPr>
            <w:tcW w:w="1407" w:type="dxa"/>
          </w:tcPr>
          <w:p>
            <w:pPr>
              <w:pStyle w:val="TableParagraph"/>
              <w:spacing w:before="164"/>
              <w:ind w:left="383"/>
              <w:rPr>
                <w:sz w:val="21"/>
              </w:rPr>
            </w:pPr>
            <w:r>
              <w:rPr>
                <w:rFonts w:ascii="Times New Roman" w:eastAsia="Times New Roman"/>
                <w:sz w:val="21"/>
              </w:rPr>
              <w:t>2021</w:t>
            </w:r>
            <w:r>
              <w:rPr>
                <w:sz w:val="21"/>
              </w:rPr>
              <w:t>年</w:t>
            </w:r>
          </w:p>
        </w:tc>
        <w:tc>
          <w:tcPr>
            <w:tcW w:w="1405" w:type="dxa"/>
          </w:tcPr>
          <w:p>
            <w:pPr>
              <w:pStyle w:val="TableParagraph"/>
              <w:spacing w:line="244" w:lineRule="auto" w:before="27"/>
              <w:ind w:left="121" w:right="114" w:firstLine="50"/>
              <w:rPr>
                <w:rFonts w:ascii="Times New Roman" w:eastAsia="Times New Roman"/>
                <w:sz w:val="21"/>
              </w:rPr>
            </w:pPr>
            <w:r>
              <w:rPr>
                <w:sz w:val="21"/>
              </w:rPr>
              <w:t>本期比上年</w:t>
            </w:r>
            <w:r>
              <w:rPr>
                <w:spacing w:val="-1"/>
                <w:sz w:val="21"/>
              </w:rPr>
              <w:t>同期增减</w:t>
            </w:r>
            <w:r>
              <w:rPr>
                <w:rFonts w:ascii="Times New Roman" w:eastAsia="Times New Roman"/>
                <w:sz w:val="21"/>
              </w:rPr>
              <w:t>(%)</w:t>
            </w:r>
          </w:p>
        </w:tc>
        <w:tc>
          <w:tcPr>
            <w:tcW w:w="1404" w:type="dxa"/>
          </w:tcPr>
          <w:p>
            <w:pPr>
              <w:pStyle w:val="TableParagraph"/>
              <w:spacing w:before="164"/>
              <w:ind w:left="385"/>
              <w:rPr>
                <w:sz w:val="21"/>
              </w:rPr>
            </w:pPr>
            <w:r>
              <w:rPr>
                <w:rFonts w:ascii="Times New Roman" w:eastAsia="Times New Roman"/>
                <w:sz w:val="21"/>
              </w:rPr>
              <w:t>2020</w:t>
            </w:r>
            <w:r>
              <w:rPr>
                <w:sz w:val="21"/>
              </w:rPr>
              <w:t>年</w:t>
            </w:r>
          </w:p>
        </w:tc>
      </w:tr>
      <w:tr>
        <w:trPr>
          <w:trHeight w:val="285" w:hRule="atLeast"/>
        </w:trPr>
        <w:tc>
          <w:tcPr>
            <w:tcW w:w="3190" w:type="dxa"/>
          </w:tcPr>
          <w:p>
            <w:pPr>
              <w:pStyle w:val="TableParagraph"/>
              <w:spacing w:line="264" w:lineRule="exact" w:before="1"/>
              <w:ind w:left="107"/>
              <w:rPr>
                <w:sz w:val="21"/>
              </w:rPr>
            </w:pPr>
            <w:r>
              <w:rPr>
                <w:spacing w:val="-1"/>
                <w:sz w:val="21"/>
              </w:rPr>
              <w:t>营业收入</w:t>
            </w:r>
            <w:r>
              <w:rPr>
                <w:sz w:val="21"/>
              </w:rPr>
              <w:t> </w:t>
            </w:r>
          </w:p>
        </w:tc>
        <w:tc>
          <w:tcPr>
            <w:tcW w:w="1419" w:type="dxa"/>
          </w:tcPr>
          <w:p>
            <w:pPr>
              <w:pStyle w:val="TableParagraph"/>
              <w:spacing w:before="15"/>
              <w:ind w:right="96"/>
              <w:jc w:val="right"/>
              <w:rPr>
                <w:rFonts w:ascii="Times New Roman"/>
                <w:sz w:val="21"/>
              </w:rPr>
            </w:pPr>
            <w:r>
              <w:rPr>
                <w:rFonts w:ascii="Times New Roman"/>
                <w:sz w:val="21"/>
              </w:rPr>
              <w:t>511,849,579</w:t>
            </w:r>
          </w:p>
        </w:tc>
        <w:tc>
          <w:tcPr>
            <w:tcW w:w="1407" w:type="dxa"/>
          </w:tcPr>
          <w:p>
            <w:pPr>
              <w:pStyle w:val="TableParagraph"/>
              <w:spacing w:before="15"/>
              <w:ind w:right="96"/>
              <w:jc w:val="right"/>
              <w:rPr>
                <w:rFonts w:ascii="Times New Roman"/>
                <w:sz w:val="21"/>
              </w:rPr>
            </w:pPr>
            <w:r>
              <w:rPr>
                <w:rFonts w:ascii="Times New Roman"/>
                <w:sz w:val="21"/>
              </w:rPr>
              <w:t>439,557,195</w:t>
            </w:r>
          </w:p>
        </w:tc>
        <w:tc>
          <w:tcPr>
            <w:tcW w:w="1405" w:type="dxa"/>
          </w:tcPr>
          <w:p>
            <w:pPr>
              <w:pStyle w:val="TableParagraph"/>
              <w:spacing w:before="15"/>
              <w:ind w:right="97"/>
              <w:jc w:val="right"/>
              <w:rPr>
                <w:rFonts w:ascii="Times New Roman"/>
                <w:sz w:val="21"/>
              </w:rPr>
            </w:pPr>
            <w:r>
              <w:rPr>
                <w:rFonts w:ascii="Times New Roman"/>
                <w:sz w:val="21"/>
              </w:rPr>
              <w:t>16.4</w:t>
            </w:r>
          </w:p>
        </w:tc>
        <w:tc>
          <w:tcPr>
            <w:tcW w:w="1404" w:type="dxa"/>
          </w:tcPr>
          <w:p>
            <w:pPr>
              <w:pStyle w:val="TableParagraph"/>
              <w:spacing w:before="15"/>
              <w:ind w:right="94"/>
              <w:jc w:val="right"/>
              <w:rPr>
                <w:rFonts w:ascii="Times New Roman"/>
                <w:sz w:val="21"/>
              </w:rPr>
            </w:pPr>
            <w:r>
              <w:rPr>
                <w:rFonts w:ascii="Times New Roman"/>
                <w:sz w:val="21"/>
              </w:rPr>
              <w:t>431,785,888</w:t>
            </w:r>
          </w:p>
        </w:tc>
      </w:tr>
      <w:tr>
        <w:trPr>
          <w:trHeight w:val="285" w:hRule="atLeast"/>
        </w:trPr>
        <w:tc>
          <w:tcPr>
            <w:tcW w:w="3190" w:type="dxa"/>
          </w:tcPr>
          <w:p>
            <w:pPr>
              <w:pStyle w:val="TableParagraph"/>
              <w:spacing w:line="264" w:lineRule="exact" w:before="1"/>
              <w:ind w:left="107"/>
              <w:rPr>
                <w:sz w:val="21"/>
              </w:rPr>
            </w:pPr>
            <w:r>
              <w:rPr>
                <w:spacing w:val="-1"/>
                <w:sz w:val="21"/>
              </w:rPr>
              <w:t>归属于上市公司股东的净利润</w:t>
            </w:r>
            <w:r>
              <w:rPr>
                <w:sz w:val="21"/>
              </w:rPr>
              <w:t> </w:t>
            </w:r>
          </w:p>
        </w:tc>
        <w:tc>
          <w:tcPr>
            <w:tcW w:w="1419" w:type="dxa"/>
          </w:tcPr>
          <w:p>
            <w:pPr>
              <w:pStyle w:val="TableParagraph"/>
              <w:spacing w:before="15"/>
              <w:ind w:right="96"/>
              <w:jc w:val="right"/>
              <w:rPr>
                <w:rFonts w:ascii="Times New Roman"/>
                <w:sz w:val="21"/>
              </w:rPr>
            </w:pPr>
            <w:r>
              <w:rPr>
                <w:rFonts w:ascii="Times New Roman"/>
                <w:sz w:val="21"/>
              </w:rPr>
              <w:t>20,073,072</w:t>
            </w:r>
          </w:p>
        </w:tc>
        <w:tc>
          <w:tcPr>
            <w:tcW w:w="1407" w:type="dxa"/>
          </w:tcPr>
          <w:p>
            <w:pPr>
              <w:pStyle w:val="TableParagraph"/>
              <w:spacing w:before="15"/>
              <w:ind w:right="96"/>
              <w:jc w:val="right"/>
              <w:rPr>
                <w:rFonts w:ascii="Times New Roman"/>
                <w:sz w:val="21"/>
              </w:rPr>
            </w:pPr>
            <w:r>
              <w:rPr>
                <w:rFonts w:ascii="Times New Roman"/>
                <w:sz w:val="21"/>
              </w:rPr>
              <w:t>20,009,751</w:t>
            </w:r>
          </w:p>
        </w:tc>
        <w:tc>
          <w:tcPr>
            <w:tcW w:w="1405" w:type="dxa"/>
          </w:tcPr>
          <w:p>
            <w:pPr>
              <w:pStyle w:val="TableParagraph"/>
              <w:spacing w:before="15"/>
              <w:ind w:right="97"/>
              <w:jc w:val="right"/>
              <w:rPr>
                <w:rFonts w:ascii="Times New Roman"/>
                <w:sz w:val="21"/>
              </w:rPr>
            </w:pPr>
            <w:r>
              <w:rPr>
                <w:rFonts w:ascii="Times New Roman"/>
                <w:sz w:val="21"/>
              </w:rPr>
              <w:t>0.3</w:t>
            </w:r>
          </w:p>
        </w:tc>
        <w:tc>
          <w:tcPr>
            <w:tcW w:w="1404" w:type="dxa"/>
          </w:tcPr>
          <w:p>
            <w:pPr>
              <w:pStyle w:val="TableParagraph"/>
              <w:spacing w:before="15"/>
              <w:ind w:right="94"/>
              <w:jc w:val="right"/>
              <w:rPr>
                <w:rFonts w:ascii="Times New Roman"/>
                <w:sz w:val="21"/>
              </w:rPr>
            </w:pPr>
            <w:r>
              <w:rPr>
                <w:rFonts w:ascii="Times New Roman"/>
                <w:sz w:val="21"/>
              </w:rPr>
              <w:t>17,430,783</w:t>
            </w:r>
          </w:p>
        </w:tc>
      </w:tr>
      <w:tr>
        <w:trPr>
          <w:trHeight w:val="544" w:hRule="atLeast"/>
        </w:trPr>
        <w:tc>
          <w:tcPr>
            <w:tcW w:w="3190" w:type="dxa"/>
          </w:tcPr>
          <w:p>
            <w:pPr>
              <w:pStyle w:val="TableParagraph"/>
              <w:spacing w:before="1"/>
              <w:ind w:left="107"/>
              <w:rPr>
                <w:sz w:val="21"/>
              </w:rPr>
            </w:pPr>
            <w:r>
              <w:rPr>
                <w:sz w:val="21"/>
              </w:rPr>
              <w:t>归属于上市公司股东的扣除非经</w:t>
            </w:r>
          </w:p>
          <w:p>
            <w:pPr>
              <w:pStyle w:val="TableParagraph"/>
              <w:spacing w:line="252" w:lineRule="exact" w:before="2"/>
              <w:ind w:left="107"/>
              <w:rPr>
                <w:sz w:val="21"/>
              </w:rPr>
            </w:pPr>
            <w:r>
              <w:rPr>
                <w:spacing w:val="-1"/>
                <w:sz w:val="21"/>
              </w:rPr>
              <w:t>常性损益的净利润</w:t>
            </w:r>
            <w:r>
              <w:rPr>
                <w:sz w:val="21"/>
              </w:rPr>
              <w:t> </w:t>
            </w:r>
          </w:p>
        </w:tc>
        <w:tc>
          <w:tcPr>
            <w:tcW w:w="1419" w:type="dxa"/>
          </w:tcPr>
          <w:p>
            <w:pPr>
              <w:pStyle w:val="TableParagraph"/>
              <w:spacing w:before="144"/>
              <w:ind w:right="96"/>
              <w:jc w:val="right"/>
              <w:rPr>
                <w:rFonts w:ascii="Times New Roman"/>
                <w:sz w:val="21"/>
              </w:rPr>
            </w:pPr>
            <w:r>
              <w:rPr>
                <w:rFonts w:ascii="Times New Roman"/>
                <w:sz w:val="21"/>
              </w:rPr>
              <w:t>18,410,394</w:t>
            </w:r>
          </w:p>
        </w:tc>
        <w:tc>
          <w:tcPr>
            <w:tcW w:w="1407" w:type="dxa"/>
          </w:tcPr>
          <w:p>
            <w:pPr>
              <w:pStyle w:val="TableParagraph"/>
              <w:spacing w:before="144"/>
              <w:ind w:right="96"/>
              <w:jc w:val="right"/>
              <w:rPr>
                <w:rFonts w:ascii="Times New Roman"/>
                <w:sz w:val="21"/>
              </w:rPr>
            </w:pPr>
            <w:r>
              <w:rPr>
                <w:rFonts w:ascii="Times New Roman"/>
                <w:sz w:val="21"/>
              </w:rPr>
              <w:t>18,581,026</w:t>
            </w:r>
          </w:p>
        </w:tc>
        <w:tc>
          <w:tcPr>
            <w:tcW w:w="1405" w:type="dxa"/>
          </w:tcPr>
          <w:p>
            <w:pPr>
              <w:pStyle w:val="TableParagraph"/>
              <w:spacing w:before="144"/>
              <w:ind w:right="102"/>
              <w:jc w:val="right"/>
              <w:rPr>
                <w:rFonts w:ascii="Times New Roman"/>
                <w:sz w:val="21"/>
              </w:rPr>
            </w:pPr>
            <w:r>
              <w:rPr>
                <w:rFonts w:ascii="Times New Roman"/>
                <w:sz w:val="21"/>
              </w:rPr>
              <w:t>-0.9</w:t>
            </w:r>
          </w:p>
        </w:tc>
        <w:tc>
          <w:tcPr>
            <w:tcW w:w="1404" w:type="dxa"/>
          </w:tcPr>
          <w:p>
            <w:pPr>
              <w:pStyle w:val="TableParagraph"/>
              <w:spacing w:before="144"/>
              <w:ind w:right="94"/>
              <w:jc w:val="right"/>
              <w:rPr>
                <w:rFonts w:ascii="Times New Roman"/>
                <w:sz w:val="21"/>
              </w:rPr>
            </w:pPr>
            <w:r>
              <w:rPr>
                <w:rFonts w:ascii="Times New Roman"/>
                <w:sz w:val="21"/>
              </w:rPr>
              <w:t>16,386,190</w:t>
            </w:r>
          </w:p>
        </w:tc>
      </w:tr>
      <w:tr>
        <w:trPr>
          <w:trHeight w:val="285" w:hRule="atLeast"/>
        </w:trPr>
        <w:tc>
          <w:tcPr>
            <w:tcW w:w="3190" w:type="dxa"/>
          </w:tcPr>
          <w:p>
            <w:pPr>
              <w:pStyle w:val="TableParagraph"/>
              <w:spacing w:line="264" w:lineRule="exact" w:before="1"/>
              <w:ind w:left="107"/>
              <w:rPr>
                <w:sz w:val="21"/>
              </w:rPr>
            </w:pPr>
            <w:r>
              <w:rPr>
                <w:spacing w:val="-1"/>
                <w:sz w:val="21"/>
              </w:rPr>
              <w:t>经营活动产生的现金流量净额</w:t>
            </w:r>
            <w:r>
              <w:rPr>
                <w:sz w:val="21"/>
              </w:rPr>
              <w:t> </w:t>
            </w:r>
          </w:p>
        </w:tc>
        <w:tc>
          <w:tcPr>
            <w:tcW w:w="1419" w:type="dxa"/>
          </w:tcPr>
          <w:p>
            <w:pPr>
              <w:pStyle w:val="TableParagraph"/>
              <w:spacing w:before="15"/>
              <w:ind w:right="96"/>
              <w:jc w:val="right"/>
              <w:rPr>
                <w:rFonts w:ascii="Times New Roman"/>
                <w:sz w:val="21"/>
              </w:rPr>
            </w:pPr>
            <w:r>
              <w:rPr>
                <w:rFonts w:ascii="Times New Roman"/>
                <w:sz w:val="21"/>
              </w:rPr>
              <w:t>15,365,627</w:t>
            </w:r>
          </w:p>
        </w:tc>
        <w:tc>
          <w:tcPr>
            <w:tcW w:w="1407" w:type="dxa"/>
          </w:tcPr>
          <w:p>
            <w:pPr>
              <w:pStyle w:val="TableParagraph"/>
              <w:spacing w:before="15"/>
              <w:ind w:right="96"/>
              <w:jc w:val="right"/>
              <w:rPr>
                <w:rFonts w:ascii="Times New Roman"/>
                <w:sz w:val="21"/>
              </w:rPr>
            </w:pPr>
            <w:r>
              <w:rPr>
                <w:rFonts w:ascii="Times New Roman"/>
                <w:sz w:val="21"/>
              </w:rPr>
              <w:t>8,724,585</w:t>
            </w:r>
          </w:p>
        </w:tc>
        <w:tc>
          <w:tcPr>
            <w:tcW w:w="1405" w:type="dxa"/>
          </w:tcPr>
          <w:p>
            <w:pPr>
              <w:pStyle w:val="TableParagraph"/>
              <w:spacing w:before="15"/>
              <w:ind w:right="97"/>
              <w:jc w:val="right"/>
              <w:rPr>
                <w:rFonts w:ascii="Times New Roman"/>
                <w:sz w:val="21"/>
              </w:rPr>
            </w:pPr>
            <w:r>
              <w:rPr>
                <w:rFonts w:ascii="Times New Roman"/>
                <w:sz w:val="21"/>
              </w:rPr>
              <w:t>76.1</w:t>
            </w:r>
          </w:p>
        </w:tc>
        <w:tc>
          <w:tcPr>
            <w:tcW w:w="1404" w:type="dxa"/>
          </w:tcPr>
          <w:p>
            <w:pPr>
              <w:pStyle w:val="TableParagraph"/>
              <w:spacing w:before="15"/>
              <w:ind w:right="94"/>
              <w:jc w:val="right"/>
              <w:rPr>
                <w:rFonts w:ascii="Times New Roman"/>
                <w:sz w:val="21"/>
              </w:rPr>
            </w:pPr>
            <w:r>
              <w:rPr>
                <w:rFonts w:ascii="Times New Roman"/>
                <w:sz w:val="21"/>
              </w:rPr>
              <w:t>7,693,738</w:t>
            </w:r>
          </w:p>
        </w:tc>
      </w:tr>
      <w:tr>
        <w:trPr>
          <w:trHeight w:val="815" w:hRule="atLeast"/>
        </w:trPr>
        <w:tc>
          <w:tcPr>
            <w:tcW w:w="3190" w:type="dxa"/>
          </w:tcPr>
          <w:p>
            <w:pPr>
              <w:pStyle w:val="TableParagraph"/>
              <w:spacing w:before="1"/>
              <w:ind w:left="107"/>
              <w:rPr>
                <w:sz w:val="21"/>
              </w:rPr>
            </w:pPr>
            <w:r>
              <w:rPr>
                <w:w w:val="100"/>
                <w:sz w:val="21"/>
              </w:rPr>
              <w:t> </w:t>
            </w:r>
          </w:p>
        </w:tc>
        <w:tc>
          <w:tcPr>
            <w:tcW w:w="1419" w:type="dxa"/>
          </w:tcPr>
          <w:p>
            <w:pPr>
              <w:pStyle w:val="TableParagraph"/>
              <w:spacing w:before="3"/>
              <w:rPr>
                <w:sz w:val="21"/>
              </w:rPr>
            </w:pPr>
          </w:p>
          <w:p>
            <w:pPr>
              <w:pStyle w:val="TableParagraph"/>
              <w:ind w:left="287"/>
              <w:rPr>
                <w:sz w:val="21"/>
              </w:rPr>
            </w:pPr>
            <w:r>
              <w:rPr>
                <w:rFonts w:ascii="Times New Roman" w:eastAsia="Times New Roman"/>
                <w:sz w:val="21"/>
              </w:rPr>
              <w:t>2022</w:t>
            </w:r>
            <w:r>
              <w:rPr>
                <w:sz w:val="21"/>
              </w:rPr>
              <w:t>年末</w:t>
            </w:r>
          </w:p>
        </w:tc>
        <w:tc>
          <w:tcPr>
            <w:tcW w:w="1407" w:type="dxa"/>
          </w:tcPr>
          <w:p>
            <w:pPr>
              <w:pStyle w:val="TableParagraph"/>
              <w:spacing w:before="3"/>
              <w:rPr>
                <w:sz w:val="21"/>
              </w:rPr>
            </w:pPr>
          </w:p>
          <w:p>
            <w:pPr>
              <w:pStyle w:val="TableParagraph"/>
              <w:ind w:left="280"/>
              <w:rPr>
                <w:sz w:val="21"/>
              </w:rPr>
            </w:pPr>
            <w:r>
              <w:rPr>
                <w:rFonts w:ascii="Times New Roman" w:eastAsia="Times New Roman"/>
                <w:sz w:val="21"/>
              </w:rPr>
              <w:t>2021</w:t>
            </w:r>
            <w:r>
              <w:rPr>
                <w:sz w:val="21"/>
              </w:rPr>
              <w:t>年末</w:t>
            </w:r>
          </w:p>
        </w:tc>
        <w:tc>
          <w:tcPr>
            <w:tcW w:w="1405" w:type="dxa"/>
          </w:tcPr>
          <w:p>
            <w:pPr>
              <w:pStyle w:val="TableParagraph"/>
              <w:spacing w:line="242" w:lineRule="auto" w:before="1"/>
              <w:ind w:left="171" w:right="167"/>
              <w:jc w:val="center"/>
              <w:rPr>
                <w:sz w:val="21"/>
              </w:rPr>
            </w:pPr>
            <w:r>
              <w:rPr>
                <w:sz w:val="21"/>
              </w:rPr>
              <w:t>本期末比上年同期末增</w:t>
            </w:r>
          </w:p>
          <w:p>
            <w:pPr>
              <w:pStyle w:val="TableParagraph"/>
              <w:spacing w:line="250" w:lineRule="exact" w:before="1"/>
              <w:ind w:left="277" w:right="273"/>
              <w:jc w:val="center"/>
              <w:rPr>
                <w:sz w:val="21"/>
              </w:rPr>
            </w:pPr>
            <w:r>
              <w:rPr>
                <w:sz w:val="21"/>
              </w:rPr>
              <w:t>减（</w:t>
            </w:r>
            <w:r>
              <w:rPr>
                <w:rFonts w:ascii="Times New Roman" w:eastAsia="Times New Roman"/>
                <w:sz w:val="21"/>
              </w:rPr>
              <w:t>%</w:t>
            </w:r>
            <w:r>
              <w:rPr>
                <w:sz w:val="21"/>
              </w:rPr>
              <w:t>）</w:t>
            </w:r>
          </w:p>
        </w:tc>
        <w:tc>
          <w:tcPr>
            <w:tcW w:w="1404" w:type="dxa"/>
          </w:tcPr>
          <w:p>
            <w:pPr>
              <w:pStyle w:val="TableParagraph"/>
              <w:spacing w:before="3"/>
              <w:rPr>
                <w:sz w:val="21"/>
              </w:rPr>
            </w:pPr>
          </w:p>
          <w:p>
            <w:pPr>
              <w:pStyle w:val="TableParagraph"/>
              <w:ind w:left="279"/>
              <w:rPr>
                <w:sz w:val="21"/>
              </w:rPr>
            </w:pPr>
            <w:r>
              <w:rPr>
                <w:rFonts w:ascii="Times New Roman" w:eastAsia="Times New Roman"/>
                <w:sz w:val="21"/>
              </w:rPr>
              <w:t>2020</w:t>
            </w:r>
            <w:r>
              <w:rPr>
                <w:sz w:val="21"/>
              </w:rPr>
              <w:t>年末</w:t>
            </w:r>
          </w:p>
        </w:tc>
      </w:tr>
      <w:tr>
        <w:trPr>
          <w:trHeight w:val="285" w:hRule="atLeast"/>
        </w:trPr>
        <w:tc>
          <w:tcPr>
            <w:tcW w:w="3190" w:type="dxa"/>
          </w:tcPr>
          <w:p>
            <w:pPr>
              <w:pStyle w:val="TableParagraph"/>
              <w:spacing w:line="264" w:lineRule="exact" w:before="1"/>
              <w:ind w:left="107"/>
              <w:rPr>
                <w:sz w:val="21"/>
              </w:rPr>
            </w:pPr>
            <w:r>
              <w:rPr>
                <w:spacing w:val="-1"/>
                <w:sz w:val="21"/>
              </w:rPr>
              <w:t>归属于上市公司股东的净资产</w:t>
            </w:r>
            <w:r>
              <w:rPr>
                <w:sz w:val="21"/>
              </w:rPr>
              <w:t> </w:t>
            </w:r>
          </w:p>
        </w:tc>
        <w:tc>
          <w:tcPr>
            <w:tcW w:w="1419" w:type="dxa"/>
          </w:tcPr>
          <w:p>
            <w:pPr>
              <w:pStyle w:val="TableParagraph"/>
              <w:spacing w:before="15"/>
              <w:ind w:right="96"/>
              <w:jc w:val="right"/>
              <w:rPr>
                <w:rFonts w:ascii="Times New Roman"/>
                <w:sz w:val="21"/>
              </w:rPr>
            </w:pPr>
            <w:r>
              <w:rPr>
                <w:rFonts w:ascii="Times New Roman"/>
                <w:sz w:val="21"/>
              </w:rPr>
              <w:t>128,975,192</w:t>
            </w:r>
          </w:p>
        </w:tc>
        <w:tc>
          <w:tcPr>
            <w:tcW w:w="1407" w:type="dxa"/>
          </w:tcPr>
          <w:p>
            <w:pPr>
              <w:pStyle w:val="TableParagraph"/>
              <w:spacing w:before="15"/>
              <w:ind w:right="96"/>
              <w:jc w:val="right"/>
              <w:rPr>
                <w:rFonts w:ascii="Times New Roman"/>
                <w:sz w:val="21"/>
              </w:rPr>
            </w:pPr>
            <w:r>
              <w:rPr>
                <w:rFonts w:ascii="Times New Roman"/>
                <w:sz w:val="21"/>
              </w:rPr>
              <w:t>119,180,602</w:t>
            </w:r>
          </w:p>
        </w:tc>
        <w:tc>
          <w:tcPr>
            <w:tcW w:w="1405" w:type="dxa"/>
          </w:tcPr>
          <w:p>
            <w:pPr>
              <w:pStyle w:val="TableParagraph"/>
              <w:spacing w:before="15"/>
              <w:ind w:right="97"/>
              <w:jc w:val="right"/>
              <w:rPr>
                <w:rFonts w:ascii="Times New Roman"/>
                <w:sz w:val="21"/>
              </w:rPr>
            </w:pPr>
            <w:r>
              <w:rPr>
                <w:rFonts w:ascii="Times New Roman"/>
                <w:sz w:val="21"/>
              </w:rPr>
              <w:t>8.2</w:t>
            </w:r>
          </w:p>
        </w:tc>
        <w:tc>
          <w:tcPr>
            <w:tcW w:w="1404" w:type="dxa"/>
          </w:tcPr>
          <w:p>
            <w:pPr>
              <w:pStyle w:val="TableParagraph"/>
              <w:spacing w:before="15"/>
              <w:ind w:right="94"/>
              <w:jc w:val="right"/>
              <w:rPr>
                <w:rFonts w:ascii="Times New Roman"/>
                <w:sz w:val="21"/>
              </w:rPr>
            </w:pPr>
            <w:r>
              <w:rPr>
                <w:rFonts w:ascii="Times New Roman"/>
                <w:sz w:val="21"/>
              </w:rPr>
              <w:t>103,752,549</w:t>
            </w:r>
          </w:p>
        </w:tc>
      </w:tr>
      <w:tr>
        <w:trPr>
          <w:trHeight w:val="285" w:hRule="atLeast"/>
        </w:trPr>
        <w:tc>
          <w:tcPr>
            <w:tcW w:w="3190" w:type="dxa"/>
          </w:tcPr>
          <w:p>
            <w:pPr>
              <w:pStyle w:val="TableParagraph"/>
              <w:spacing w:line="264" w:lineRule="exact" w:before="1"/>
              <w:ind w:left="107"/>
              <w:rPr>
                <w:sz w:val="21"/>
              </w:rPr>
            </w:pPr>
            <w:r>
              <w:rPr>
                <w:sz w:val="21"/>
              </w:rPr>
              <w:t>总资产 </w:t>
            </w:r>
          </w:p>
        </w:tc>
        <w:tc>
          <w:tcPr>
            <w:tcW w:w="1419" w:type="dxa"/>
          </w:tcPr>
          <w:p>
            <w:pPr>
              <w:pStyle w:val="TableParagraph"/>
              <w:spacing w:before="15"/>
              <w:ind w:right="96"/>
              <w:jc w:val="right"/>
              <w:rPr>
                <w:rFonts w:ascii="Times New Roman"/>
                <w:sz w:val="21"/>
              </w:rPr>
            </w:pPr>
            <w:r>
              <w:rPr>
                <w:rFonts w:ascii="Times New Roman"/>
                <w:sz w:val="21"/>
              </w:rPr>
              <w:t>284,187,662</w:t>
            </w:r>
          </w:p>
        </w:tc>
        <w:tc>
          <w:tcPr>
            <w:tcW w:w="1407" w:type="dxa"/>
          </w:tcPr>
          <w:p>
            <w:pPr>
              <w:pStyle w:val="TableParagraph"/>
              <w:spacing w:before="15"/>
              <w:ind w:right="96"/>
              <w:jc w:val="right"/>
              <w:rPr>
                <w:rFonts w:ascii="Times New Roman"/>
                <w:sz w:val="21"/>
              </w:rPr>
            </w:pPr>
            <w:r>
              <w:rPr>
                <w:rFonts w:ascii="Times New Roman"/>
                <w:sz w:val="21"/>
              </w:rPr>
              <w:t>266,608,775</w:t>
            </w:r>
          </w:p>
        </w:tc>
        <w:tc>
          <w:tcPr>
            <w:tcW w:w="1405" w:type="dxa"/>
          </w:tcPr>
          <w:p>
            <w:pPr>
              <w:pStyle w:val="TableParagraph"/>
              <w:spacing w:before="15"/>
              <w:ind w:right="97"/>
              <w:jc w:val="right"/>
              <w:rPr>
                <w:rFonts w:ascii="Times New Roman"/>
                <w:sz w:val="21"/>
              </w:rPr>
            </w:pPr>
            <w:r>
              <w:rPr>
                <w:rFonts w:ascii="Times New Roman"/>
                <w:sz w:val="21"/>
              </w:rPr>
              <w:t>6.6</w:t>
            </w:r>
          </w:p>
        </w:tc>
        <w:tc>
          <w:tcPr>
            <w:tcW w:w="1404" w:type="dxa"/>
          </w:tcPr>
          <w:p>
            <w:pPr>
              <w:pStyle w:val="TableParagraph"/>
              <w:spacing w:before="15"/>
              <w:ind w:right="94"/>
              <w:jc w:val="right"/>
              <w:rPr>
                <w:rFonts w:ascii="Times New Roman"/>
                <w:sz w:val="21"/>
              </w:rPr>
            </w:pPr>
            <w:r>
              <w:rPr>
                <w:rFonts w:ascii="Times New Roman"/>
                <w:sz w:val="21"/>
              </w:rPr>
              <w:t>225,513,944</w:t>
            </w:r>
          </w:p>
        </w:tc>
      </w:tr>
    </w:tbl>
    <w:p>
      <w:pPr>
        <w:pStyle w:val="BodyText"/>
        <w:spacing w:before="1"/>
        <w:ind w:left="638"/>
      </w:pPr>
      <w:r>
        <w:rPr>
          <w:w w:val="100"/>
        </w:rPr>
        <w:t> </w:t>
      </w:r>
    </w:p>
    <w:p>
      <w:pPr>
        <w:pStyle w:val="BodyText"/>
        <w:spacing w:before="64"/>
        <w:ind w:left="638"/>
      </w:pPr>
      <w:r>
        <w:rPr>
          <w:spacing w:val="-7"/>
        </w:rPr>
        <w:t>(二) 主要财务指标</w:t>
      </w:r>
      <w:r>
        <w:rPr/>
        <w:t> </w:t>
      </w:r>
    </w:p>
    <w:p>
      <w:pPr>
        <w:pStyle w:val="BodyText"/>
        <w:spacing w:before="10"/>
        <w:ind w:left="0"/>
        <w:rPr>
          <w:sz w:val="4"/>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6"/>
        <w:gridCol w:w="1417"/>
        <w:gridCol w:w="1292"/>
        <w:gridCol w:w="1501"/>
        <w:gridCol w:w="1500"/>
      </w:tblGrid>
      <w:tr>
        <w:trPr>
          <w:trHeight w:val="544" w:hRule="atLeast"/>
        </w:trPr>
        <w:tc>
          <w:tcPr>
            <w:tcW w:w="3116" w:type="dxa"/>
          </w:tcPr>
          <w:p>
            <w:pPr>
              <w:pStyle w:val="TableParagraph"/>
              <w:spacing w:before="137"/>
              <w:ind w:left="926"/>
              <w:rPr>
                <w:sz w:val="21"/>
              </w:rPr>
            </w:pPr>
            <w:r>
              <w:rPr>
                <w:sz w:val="21"/>
              </w:rPr>
              <w:t>主要财务指标</w:t>
            </w:r>
          </w:p>
        </w:tc>
        <w:tc>
          <w:tcPr>
            <w:tcW w:w="1417" w:type="dxa"/>
          </w:tcPr>
          <w:p>
            <w:pPr>
              <w:pStyle w:val="TableParagraph"/>
              <w:spacing w:before="137"/>
              <w:ind w:left="388"/>
              <w:rPr>
                <w:sz w:val="21"/>
              </w:rPr>
            </w:pPr>
            <w:r>
              <w:rPr>
                <w:rFonts w:ascii="Times New Roman" w:eastAsia="Times New Roman"/>
                <w:sz w:val="21"/>
              </w:rPr>
              <w:t>2022</w:t>
            </w:r>
            <w:r>
              <w:rPr>
                <w:sz w:val="21"/>
              </w:rPr>
              <w:t>年</w:t>
            </w:r>
          </w:p>
        </w:tc>
        <w:tc>
          <w:tcPr>
            <w:tcW w:w="1292" w:type="dxa"/>
          </w:tcPr>
          <w:p>
            <w:pPr>
              <w:pStyle w:val="TableParagraph"/>
              <w:spacing w:before="137"/>
              <w:ind w:left="327"/>
              <w:rPr>
                <w:sz w:val="21"/>
              </w:rPr>
            </w:pPr>
            <w:r>
              <w:rPr>
                <w:rFonts w:ascii="Times New Roman" w:eastAsia="Times New Roman"/>
                <w:sz w:val="21"/>
              </w:rPr>
              <w:t>2021</w:t>
            </w:r>
            <w:r>
              <w:rPr>
                <w:sz w:val="21"/>
              </w:rPr>
              <w:t>年</w:t>
            </w:r>
          </w:p>
        </w:tc>
        <w:tc>
          <w:tcPr>
            <w:tcW w:w="1501" w:type="dxa"/>
          </w:tcPr>
          <w:p>
            <w:pPr>
              <w:pStyle w:val="TableParagraph"/>
              <w:spacing w:before="1"/>
              <w:ind w:left="99" w:right="92"/>
              <w:jc w:val="center"/>
              <w:rPr>
                <w:sz w:val="21"/>
              </w:rPr>
            </w:pPr>
            <w:r>
              <w:rPr>
                <w:sz w:val="21"/>
              </w:rPr>
              <w:t>本期比上年同</w:t>
            </w:r>
          </w:p>
          <w:p>
            <w:pPr>
              <w:pStyle w:val="TableParagraph"/>
              <w:spacing w:line="250" w:lineRule="exact" w:before="4"/>
              <w:ind w:left="97" w:right="92"/>
              <w:jc w:val="center"/>
              <w:rPr>
                <w:rFonts w:ascii="Times New Roman" w:eastAsia="Times New Roman"/>
                <w:sz w:val="21"/>
              </w:rPr>
            </w:pPr>
            <w:r>
              <w:rPr>
                <w:sz w:val="21"/>
              </w:rPr>
              <w:t>期增减</w:t>
            </w:r>
            <w:r>
              <w:rPr>
                <w:rFonts w:ascii="Times New Roman" w:eastAsia="Times New Roman"/>
                <w:sz w:val="21"/>
              </w:rPr>
              <w:t>(%)</w:t>
            </w:r>
          </w:p>
        </w:tc>
        <w:tc>
          <w:tcPr>
            <w:tcW w:w="1500" w:type="dxa"/>
          </w:tcPr>
          <w:p>
            <w:pPr>
              <w:pStyle w:val="TableParagraph"/>
              <w:spacing w:before="137"/>
              <w:ind w:left="432"/>
              <w:rPr>
                <w:sz w:val="21"/>
              </w:rPr>
            </w:pPr>
            <w:r>
              <w:rPr>
                <w:rFonts w:ascii="Times New Roman" w:eastAsia="Times New Roman"/>
                <w:sz w:val="21"/>
              </w:rPr>
              <w:t>2020</w:t>
            </w:r>
            <w:r>
              <w:rPr>
                <w:sz w:val="21"/>
              </w:rPr>
              <w:t>年</w:t>
            </w:r>
          </w:p>
        </w:tc>
      </w:tr>
      <w:tr>
        <w:trPr>
          <w:trHeight w:val="273" w:hRule="atLeast"/>
        </w:trPr>
        <w:tc>
          <w:tcPr>
            <w:tcW w:w="3116" w:type="dxa"/>
          </w:tcPr>
          <w:p>
            <w:pPr>
              <w:pStyle w:val="TableParagraph"/>
              <w:spacing w:line="252" w:lineRule="exact" w:before="1"/>
              <w:ind w:left="107"/>
              <w:rPr>
                <w:sz w:val="21"/>
              </w:rPr>
            </w:pPr>
            <w:r>
              <w:rPr>
                <w:sz w:val="21"/>
              </w:rPr>
              <w:t>基本每股收益（元／股）</w:t>
            </w:r>
          </w:p>
        </w:tc>
        <w:tc>
          <w:tcPr>
            <w:tcW w:w="1417" w:type="dxa"/>
          </w:tcPr>
          <w:p>
            <w:pPr>
              <w:pStyle w:val="TableParagraph"/>
              <w:spacing w:before="10"/>
              <w:ind w:right="97"/>
              <w:jc w:val="right"/>
              <w:rPr>
                <w:rFonts w:ascii="Times New Roman"/>
                <w:sz w:val="21"/>
              </w:rPr>
            </w:pPr>
            <w:r>
              <w:rPr>
                <w:rFonts w:ascii="Times New Roman"/>
                <w:sz w:val="21"/>
              </w:rPr>
              <w:t>1.02</w:t>
            </w:r>
          </w:p>
        </w:tc>
        <w:tc>
          <w:tcPr>
            <w:tcW w:w="1292" w:type="dxa"/>
          </w:tcPr>
          <w:p>
            <w:pPr>
              <w:pStyle w:val="TableParagraph"/>
              <w:spacing w:before="10"/>
              <w:ind w:right="95"/>
              <w:jc w:val="right"/>
              <w:rPr>
                <w:rFonts w:ascii="Times New Roman"/>
                <w:sz w:val="21"/>
              </w:rPr>
            </w:pPr>
            <w:r>
              <w:rPr>
                <w:rFonts w:ascii="Times New Roman"/>
                <w:sz w:val="21"/>
              </w:rPr>
              <w:t>1.01</w:t>
            </w:r>
          </w:p>
        </w:tc>
        <w:tc>
          <w:tcPr>
            <w:tcW w:w="1501" w:type="dxa"/>
          </w:tcPr>
          <w:p>
            <w:pPr>
              <w:pStyle w:val="TableParagraph"/>
              <w:spacing w:before="10"/>
              <w:ind w:right="96"/>
              <w:jc w:val="right"/>
              <w:rPr>
                <w:rFonts w:ascii="Times New Roman"/>
                <w:sz w:val="21"/>
              </w:rPr>
            </w:pPr>
            <w:r>
              <w:rPr>
                <w:rFonts w:ascii="Times New Roman"/>
                <w:sz w:val="21"/>
              </w:rPr>
              <w:t>0.99</w:t>
            </w:r>
          </w:p>
        </w:tc>
        <w:tc>
          <w:tcPr>
            <w:tcW w:w="1500" w:type="dxa"/>
          </w:tcPr>
          <w:p>
            <w:pPr>
              <w:pStyle w:val="TableParagraph"/>
              <w:spacing w:before="10"/>
              <w:ind w:right="95"/>
              <w:jc w:val="right"/>
              <w:rPr>
                <w:rFonts w:ascii="Times New Roman"/>
                <w:sz w:val="21"/>
              </w:rPr>
            </w:pPr>
            <w:r>
              <w:rPr>
                <w:rFonts w:ascii="Times New Roman"/>
                <w:sz w:val="21"/>
              </w:rPr>
              <w:t>0.88</w:t>
            </w:r>
          </w:p>
        </w:tc>
      </w:tr>
      <w:tr>
        <w:trPr>
          <w:trHeight w:val="273" w:hRule="atLeast"/>
        </w:trPr>
        <w:tc>
          <w:tcPr>
            <w:tcW w:w="3116" w:type="dxa"/>
          </w:tcPr>
          <w:p>
            <w:pPr>
              <w:pStyle w:val="TableParagraph"/>
              <w:spacing w:line="252" w:lineRule="exact" w:before="1"/>
              <w:ind w:left="107"/>
              <w:rPr>
                <w:sz w:val="21"/>
              </w:rPr>
            </w:pPr>
            <w:r>
              <w:rPr>
                <w:sz w:val="21"/>
              </w:rPr>
              <w:t>稀释每股收益（元／股）</w:t>
            </w:r>
          </w:p>
        </w:tc>
        <w:tc>
          <w:tcPr>
            <w:tcW w:w="1417" w:type="dxa"/>
          </w:tcPr>
          <w:p>
            <w:pPr>
              <w:pStyle w:val="TableParagraph"/>
              <w:spacing w:before="10"/>
              <w:ind w:right="97"/>
              <w:jc w:val="right"/>
              <w:rPr>
                <w:rFonts w:ascii="Times New Roman"/>
                <w:sz w:val="21"/>
              </w:rPr>
            </w:pPr>
            <w:r>
              <w:rPr>
                <w:rFonts w:ascii="Times New Roman"/>
                <w:sz w:val="21"/>
              </w:rPr>
              <w:t>1.02</w:t>
            </w:r>
          </w:p>
        </w:tc>
        <w:tc>
          <w:tcPr>
            <w:tcW w:w="1292" w:type="dxa"/>
          </w:tcPr>
          <w:p>
            <w:pPr>
              <w:pStyle w:val="TableParagraph"/>
              <w:spacing w:before="10"/>
              <w:ind w:right="95"/>
              <w:jc w:val="right"/>
              <w:rPr>
                <w:rFonts w:ascii="Times New Roman"/>
                <w:sz w:val="21"/>
              </w:rPr>
            </w:pPr>
            <w:r>
              <w:rPr>
                <w:rFonts w:ascii="Times New Roman"/>
                <w:sz w:val="21"/>
              </w:rPr>
              <w:t>1.01</w:t>
            </w:r>
          </w:p>
        </w:tc>
        <w:tc>
          <w:tcPr>
            <w:tcW w:w="1501" w:type="dxa"/>
          </w:tcPr>
          <w:p>
            <w:pPr>
              <w:pStyle w:val="TableParagraph"/>
              <w:spacing w:before="10"/>
              <w:ind w:right="96"/>
              <w:jc w:val="right"/>
              <w:rPr>
                <w:rFonts w:ascii="Times New Roman"/>
                <w:sz w:val="21"/>
              </w:rPr>
            </w:pPr>
            <w:r>
              <w:rPr>
                <w:rFonts w:ascii="Times New Roman"/>
                <w:sz w:val="21"/>
              </w:rPr>
              <w:t>0.99</w:t>
            </w:r>
          </w:p>
        </w:tc>
        <w:tc>
          <w:tcPr>
            <w:tcW w:w="1500" w:type="dxa"/>
          </w:tcPr>
          <w:p>
            <w:pPr>
              <w:pStyle w:val="TableParagraph"/>
              <w:spacing w:before="10"/>
              <w:ind w:right="95"/>
              <w:jc w:val="right"/>
              <w:rPr>
                <w:rFonts w:ascii="Times New Roman"/>
                <w:sz w:val="21"/>
              </w:rPr>
            </w:pPr>
            <w:r>
              <w:rPr>
                <w:rFonts w:ascii="Times New Roman"/>
                <w:sz w:val="21"/>
              </w:rPr>
              <w:t>0.88</w:t>
            </w:r>
          </w:p>
        </w:tc>
      </w:tr>
      <w:tr>
        <w:trPr>
          <w:trHeight w:val="544" w:hRule="atLeast"/>
        </w:trPr>
        <w:tc>
          <w:tcPr>
            <w:tcW w:w="3116" w:type="dxa"/>
          </w:tcPr>
          <w:p>
            <w:pPr>
              <w:pStyle w:val="TableParagraph"/>
              <w:spacing w:before="1"/>
              <w:ind w:left="107"/>
              <w:rPr>
                <w:sz w:val="21"/>
              </w:rPr>
            </w:pPr>
            <w:r>
              <w:rPr>
                <w:spacing w:val="10"/>
                <w:sz w:val="21"/>
              </w:rPr>
              <w:t>扣除非经常性损益后的基本每</w:t>
            </w:r>
          </w:p>
          <w:p>
            <w:pPr>
              <w:pStyle w:val="TableParagraph"/>
              <w:spacing w:line="252" w:lineRule="exact" w:before="2"/>
              <w:ind w:left="107"/>
              <w:rPr>
                <w:sz w:val="21"/>
              </w:rPr>
            </w:pPr>
            <w:r>
              <w:rPr>
                <w:sz w:val="21"/>
              </w:rPr>
              <w:t>股收益（元／股）</w:t>
            </w:r>
          </w:p>
        </w:tc>
        <w:tc>
          <w:tcPr>
            <w:tcW w:w="1417" w:type="dxa"/>
          </w:tcPr>
          <w:p>
            <w:pPr>
              <w:pStyle w:val="TableParagraph"/>
              <w:spacing w:before="144"/>
              <w:ind w:right="97"/>
              <w:jc w:val="right"/>
              <w:rPr>
                <w:rFonts w:ascii="Times New Roman"/>
                <w:sz w:val="21"/>
              </w:rPr>
            </w:pPr>
            <w:r>
              <w:rPr>
                <w:rFonts w:ascii="Times New Roman"/>
                <w:sz w:val="21"/>
              </w:rPr>
              <w:t>0.93</w:t>
            </w:r>
          </w:p>
        </w:tc>
        <w:tc>
          <w:tcPr>
            <w:tcW w:w="1292" w:type="dxa"/>
          </w:tcPr>
          <w:p>
            <w:pPr>
              <w:pStyle w:val="TableParagraph"/>
              <w:spacing w:before="144"/>
              <w:ind w:right="95"/>
              <w:jc w:val="right"/>
              <w:rPr>
                <w:rFonts w:ascii="Times New Roman"/>
                <w:sz w:val="21"/>
              </w:rPr>
            </w:pPr>
            <w:r>
              <w:rPr>
                <w:rFonts w:ascii="Times New Roman"/>
                <w:sz w:val="21"/>
              </w:rPr>
              <w:t>0.94</w:t>
            </w:r>
          </w:p>
        </w:tc>
        <w:tc>
          <w:tcPr>
            <w:tcW w:w="1501" w:type="dxa"/>
          </w:tcPr>
          <w:p>
            <w:pPr>
              <w:pStyle w:val="TableParagraph"/>
              <w:spacing w:before="144"/>
              <w:ind w:right="101"/>
              <w:jc w:val="right"/>
              <w:rPr>
                <w:rFonts w:ascii="Times New Roman"/>
                <w:sz w:val="21"/>
              </w:rPr>
            </w:pPr>
            <w:r>
              <w:rPr>
                <w:rFonts w:ascii="Times New Roman"/>
                <w:sz w:val="21"/>
              </w:rPr>
              <w:t>-1.1</w:t>
            </w:r>
          </w:p>
        </w:tc>
        <w:tc>
          <w:tcPr>
            <w:tcW w:w="1500" w:type="dxa"/>
          </w:tcPr>
          <w:p>
            <w:pPr>
              <w:pStyle w:val="TableParagraph"/>
              <w:spacing w:before="144"/>
              <w:ind w:right="95"/>
              <w:jc w:val="right"/>
              <w:rPr>
                <w:rFonts w:ascii="Times New Roman"/>
                <w:sz w:val="21"/>
              </w:rPr>
            </w:pPr>
            <w:r>
              <w:rPr>
                <w:rFonts w:ascii="Times New Roman"/>
                <w:sz w:val="21"/>
              </w:rPr>
              <w:t>0.83</w:t>
            </w:r>
          </w:p>
        </w:tc>
      </w:tr>
      <w:tr>
        <w:trPr>
          <w:trHeight w:val="544" w:hRule="atLeast"/>
        </w:trPr>
        <w:tc>
          <w:tcPr>
            <w:tcW w:w="3116" w:type="dxa"/>
          </w:tcPr>
          <w:p>
            <w:pPr>
              <w:pStyle w:val="TableParagraph"/>
              <w:spacing w:before="1"/>
              <w:ind w:left="107"/>
              <w:rPr>
                <w:sz w:val="21"/>
              </w:rPr>
            </w:pPr>
            <w:r>
              <w:rPr>
                <w:spacing w:val="-1"/>
                <w:sz w:val="21"/>
              </w:rPr>
              <w:t>加权平均净资产收益率</w:t>
            </w:r>
            <w:r>
              <w:rPr>
                <w:sz w:val="21"/>
              </w:rPr>
              <w:t>（</w:t>
            </w:r>
            <w:r>
              <w:rPr>
                <w:rFonts w:ascii="Times New Roman" w:eastAsia="Times New Roman"/>
                <w:sz w:val="21"/>
              </w:rPr>
              <w:t>%</w:t>
            </w:r>
            <w:r>
              <w:rPr>
                <w:sz w:val="21"/>
              </w:rPr>
              <w:t>）</w:t>
            </w:r>
          </w:p>
        </w:tc>
        <w:tc>
          <w:tcPr>
            <w:tcW w:w="1417" w:type="dxa"/>
          </w:tcPr>
          <w:p>
            <w:pPr>
              <w:pStyle w:val="TableParagraph"/>
              <w:spacing w:before="144"/>
              <w:ind w:right="97"/>
              <w:jc w:val="right"/>
              <w:rPr>
                <w:rFonts w:ascii="Times New Roman"/>
                <w:sz w:val="21"/>
              </w:rPr>
            </w:pPr>
            <w:r>
              <w:rPr>
                <w:rFonts w:ascii="Times New Roman"/>
                <w:sz w:val="21"/>
              </w:rPr>
              <w:t>16.17</w:t>
            </w:r>
          </w:p>
        </w:tc>
        <w:tc>
          <w:tcPr>
            <w:tcW w:w="1292" w:type="dxa"/>
          </w:tcPr>
          <w:p>
            <w:pPr>
              <w:pStyle w:val="TableParagraph"/>
              <w:spacing w:before="144"/>
              <w:ind w:right="95"/>
              <w:jc w:val="right"/>
              <w:rPr>
                <w:rFonts w:ascii="Times New Roman"/>
                <w:sz w:val="21"/>
              </w:rPr>
            </w:pPr>
            <w:r>
              <w:rPr>
                <w:rFonts w:ascii="Times New Roman"/>
                <w:sz w:val="21"/>
              </w:rPr>
              <w:t>18.02</w:t>
            </w:r>
          </w:p>
        </w:tc>
        <w:tc>
          <w:tcPr>
            <w:tcW w:w="1501" w:type="dxa"/>
          </w:tcPr>
          <w:p>
            <w:pPr>
              <w:pStyle w:val="TableParagraph"/>
              <w:spacing w:before="1"/>
              <w:ind w:right="98"/>
              <w:jc w:val="right"/>
              <w:rPr>
                <w:sz w:val="21"/>
              </w:rPr>
            </w:pPr>
            <w:r>
              <w:rPr>
                <w:spacing w:val="-1"/>
                <w:sz w:val="21"/>
              </w:rPr>
              <w:t>减少</w:t>
            </w:r>
            <w:r>
              <w:rPr>
                <w:rFonts w:ascii="Times New Roman" w:eastAsia="Times New Roman"/>
                <w:spacing w:val="-1"/>
                <w:sz w:val="21"/>
              </w:rPr>
              <w:t>1.85</w:t>
            </w:r>
            <w:r>
              <w:rPr>
                <w:sz w:val="21"/>
              </w:rPr>
              <w:t>个百</w:t>
            </w:r>
          </w:p>
          <w:p>
            <w:pPr>
              <w:pStyle w:val="TableParagraph"/>
              <w:spacing w:line="252" w:lineRule="exact" w:before="2"/>
              <w:ind w:right="96"/>
              <w:jc w:val="right"/>
              <w:rPr>
                <w:sz w:val="21"/>
              </w:rPr>
            </w:pPr>
            <w:r>
              <w:rPr>
                <w:sz w:val="21"/>
              </w:rPr>
              <w:t>分点</w:t>
            </w:r>
          </w:p>
        </w:tc>
        <w:tc>
          <w:tcPr>
            <w:tcW w:w="1500" w:type="dxa"/>
          </w:tcPr>
          <w:p>
            <w:pPr>
              <w:pStyle w:val="TableParagraph"/>
              <w:spacing w:before="144"/>
              <w:ind w:right="95"/>
              <w:jc w:val="right"/>
              <w:rPr>
                <w:rFonts w:ascii="Times New Roman"/>
                <w:sz w:val="21"/>
              </w:rPr>
            </w:pPr>
            <w:r>
              <w:rPr>
                <w:rFonts w:ascii="Times New Roman"/>
                <w:sz w:val="21"/>
              </w:rPr>
              <w:t>18.13</w:t>
            </w:r>
          </w:p>
        </w:tc>
      </w:tr>
      <w:tr>
        <w:trPr>
          <w:trHeight w:val="545" w:hRule="atLeast"/>
        </w:trPr>
        <w:tc>
          <w:tcPr>
            <w:tcW w:w="3116" w:type="dxa"/>
          </w:tcPr>
          <w:p>
            <w:pPr>
              <w:pStyle w:val="TableParagraph"/>
              <w:spacing w:before="1"/>
              <w:ind w:left="107"/>
              <w:rPr>
                <w:sz w:val="21"/>
              </w:rPr>
            </w:pPr>
            <w:r>
              <w:rPr>
                <w:spacing w:val="10"/>
                <w:sz w:val="21"/>
              </w:rPr>
              <w:t>扣除非经常性损益后的加权平</w:t>
            </w:r>
          </w:p>
          <w:p>
            <w:pPr>
              <w:pStyle w:val="TableParagraph"/>
              <w:spacing w:line="253" w:lineRule="exact" w:before="2"/>
              <w:ind w:left="107"/>
              <w:rPr>
                <w:sz w:val="21"/>
              </w:rPr>
            </w:pPr>
            <w:r>
              <w:rPr>
                <w:spacing w:val="-1"/>
                <w:sz w:val="21"/>
              </w:rPr>
              <w:t>均净资产收益率</w:t>
            </w:r>
            <w:r>
              <w:rPr>
                <w:sz w:val="21"/>
              </w:rPr>
              <w:t>（</w:t>
            </w:r>
            <w:r>
              <w:rPr>
                <w:rFonts w:ascii="Times New Roman" w:eastAsia="Times New Roman"/>
                <w:sz w:val="21"/>
              </w:rPr>
              <w:t>%</w:t>
            </w:r>
            <w:r>
              <w:rPr>
                <w:sz w:val="21"/>
              </w:rPr>
              <w:t>）</w:t>
            </w:r>
          </w:p>
        </w:tc>
        <w:tc>
          <w:tcPr>
            <w:tcW w:w="1417" w:type="dxa"/>
          </w:tcPr>
          <w:p>
            <w:pPr>
              <w:pStyle w:val="TableParagraph"/>
              <w:spacing w:before="144"/>
              <w:ind w:right="97"/>
              <w:jc w:val="right"/>
              <w:rPr>
                <w:rFonts w:ascii="Times New Roman"/>
                <w:sz w:val="21"/>
              </w:rPr>
            </w:pPr>
            <w:r>
              <w:rPr>
                <w:rFonts w:ascii="Times New Roman"/>
                <w:sz w:val="21"/>
              </w:rPr>
              <w:t>14.83</w:t>
            </w:r>
          </w:p>
        </w:tc>
        <w:tc>
          <w:tcPr>
            <w:tcW w:w="1292" w:type="dxa"/>
          </w:tcPr>
          <w:p>
            <w:pPr>
              <w:pStyle w:val="TableParagraph"/>
              <w:spacing w:before="144"/>
              <w:ind w:right="95"/>
              <w:jc w:val="right"/>
              <w:rPr>
                <w:rFonts w:ascii="Times New Roman"/>
                <w:sz w:val="21"/>
              </w:rPr>
            </w:pPr>
            <w:r>
              <w:rPr>
                <w:rFonts w:ascii="Times New Roman"/>
                <w:sz w:val="21"/>
              </w:rPr>
              <w:t>16.73</w:t>
            </w:r>
          </w:p>
        </w:tc>
        <w:tc>
          <w:tcPr>
            <w:tcW w:w="1501" w:type="dxa"/>
          </w:tcPr>
          <w:p>
            <w:pPr>
              <w:pStyle w:val="TableParagraph"/>
              <w:spacing w:before="1"/>
              <w:ind w:right="98"/>
              <w:jc w:val="right"/>
              <w:rPr>
                <w:sz w:val="21"/>
              </w:rPr>
            </w:pPr>
            <w:r>
              <w:rPr>
                <w:spacing w:val="-1"/>
                <w:sz w:val="21"/>
              </w:rPr>
              <w:t>减少</w:t>
            </w:r>
            <w:r>
              <w:rPr>
                <w:rFonts w:ascii="Times New Roman" w:eastAsia="Times New Roman"/>
                <w:spacing w:val="-1"/>
                <w:sz w:val="21"/>
              </w:rPr>
              <w:t>1.90</w:t>
            </w:r>
            <w:r>
              <w:rPr>
                <w:sz w:val="21"/>
              </w:rPr>
              <w:t>个百</w:t>
            </w:r>
          </w:p>
          <w:p>
            <w:pPr>
              <w:pStyle w:val="TableParagraph"/>
              <w:spacing w:line="253" w:lineRule="exact" w:before="2"/>
              <w:ind w:right="96"/>
              <w:jc w:val="right"/>
              <w:rPr>
                <w:sz w:val="21"/>
              </w:rPr>
            </w:pPr>
            <w:r>
              <w:rPr>
                <w:sz w:val="21"/>
              </w:rPr>
              <w:t>分点</w:t>
            </w:r>
          </w:p>
        </w:tc>
        <w:tc>
          <w:tcPr>
            <w:tcW w:w="1500" w:type="dxa"/>
          </w:tcPr>
          <w:p>
            <w:pPr>
              <w:pStyle w:val="TableParagraph"/>
              <w:spacing w:before="144"/>
              <w:ind w:right="95"/>
              <w:jc w:val="right"/>
              <w:rPr>
                <w:rFonts w:ascii="Times New Roman"/>
                <w:sz w:val="21"/>
              </w:rPr>
            </w:pPr>
            <w:r>
              <w:rPr>
                <w:rFonts w:ascii="Times New Roman"/>
                <w:sz w:val="21"/>
              </w:rPr>
              <w:t>17.04</w:t>
            </w:r>
          </w:p>
        </w:tc>
      </w:tr>
    </w:tbl>
    <w:p>
      <w:pPr>
        <w:pStyle w:val="BodyText"/>
        <w:spacing w:before="1"/>
        <w:ind w:left="638"/>
      </w:pPr>
      <w:r>
        <w:rPr>
          <w:w w:val="100"/>
        </w:rPr>
        <w:t> </w:t>
      </w:r>
    </w:p>
    <w:p>
      <w:pPr>
        <w:pStyle w:val="BodyText"/>
        <w:spacing w:before="5"/>
        <w:ind w:left="638"/>
      </w:pPr>
      <w:r>
        <w:rPr>
          <w:spacing w:val="-1"/>
        </w:rPr>
        <w:t>报告期末公司前三年主要会计数据和财务指标的说明 </w:t>
      </w:r>
    </w:p>
    <w:p>
      <w:pPr>
        <w:pStyle w:val="BodyText"/>
        <w:spacing w:before="2"/>
        <w:ind w:left="638"/>
      </w:pPr>
      <w:r>
        <w:rPr>
          <w:spacing w:val="-1"/>
        </w:rPr>
        <w:t>□适用 √不适用</w:t>
      </w:r>
      <w:r>
        <w:rPr>
          <w:spacing w:val="-3"/>
        </w:rPr>
        <w:t> </w:t>
      </w:r>
      <w:r>
        <w:rPr/>
        <w:t> </w:t>
      </w:r>
    </w:p>
    <w:p>
      <w:pPr>
        <w:pStyle w:val="BodyText"/>
        <w:spacing w:before="5"/>
        <w:ind w:left="638"/>
      </w:pPr>
      <w:r>
        <w:rPr>
          <w:w w:val="100"/>
        </w:rPr>
        <w:t> </w:t>
      </w:r>
    </w:p>
    <w:p>
      <w:pPr>
        <w:pStyle w:val="BodyText"/>
        <w:spacing w:before="62"/>
        <w:ind w:left="638"/>
      </w:pPr>
      <w:r>
        <w:rPr>
          <w:spacing w:val="-5"/>
        </w:rPr>
        <w:t>八、 境内外会计准则下会计数据差异</w:t>
      </w:r>
    </w:p>
    <w:p>
      <w:pPr>
        <w:pStyle w:val="BodyText"/>
        <w:spacing w:line="244" w:lineRule="auto" w:before="62"/>
        <w:ind w:left="1058" w:right="329" w:hanging="420"/>
      </w:pPr>
      <w:r>
        <w:rPr>
          <w:rFonts w:ascii="Calibri" w:eastAsia="Calibri"/>
          <w:b/>
        </w:rPr>
        <w:t>(</w:t>
      </w:r>
      <w:r>
        <w:rPr/>
        <w:t>一</w:t>
      </w:r>
      <w:r>
        <w:rPr>
          <w:rFonts w:ascii="Calibri" w:eastAsia="Calibri"/>
          <w:b/>
          <w:spacing w:val="33"/>
        </w:rPr>
        <w:t>) </w:t>
      </w:r>
      <w:r>
        <w:rPr/>
        <w:t>同时按照国际会计准则与按中国会计准则披露的财务报告中净利润和归属于上市公司股东的净资产差异情况</w:t>
      </w:r>
    </w:p>
    <w:p>
      <w:pPr>
        <w:pStyle w:val="BodyText"/>
        <w:spacing w:before="56"/>
        <w:ind w:left="638"/>
      </w:pPr>
      <w:r>
        <w:rPr>
          <w:spacing w:val="-1"/>
        </w:rPr>
        <w:t>□适用 √不适用</w:t>
      </w:r>
      <w:r>
        <w:rPr>
          <w:spacing w:val="-3"/>
        </w:rPr>
        <w:t> </w:t>
      </w:r>
      <w:r>
        <w:rPr/>
        <w:t> </w:t>
      </w:r>
    </w:p>
    <w:p>
      <w:pPr>
        <w:spacing w:after="0"/>
        <w:sectPr>
          <w:pgSz w:w="11910" w:h="16840"/>
          <w:pgMar w:header="880" w:footer="1195" w:top="1120" w:bottom="1380" w:left="1160" w:right="940"/>
        </w:sectPr>
      </w:pPr>
    </w:p>
    <w:p>
      <w:pPr>
        <w:pStyle w:val="BodyText"/>
        <w:spacing w:before="10"/>
        <w:ind w:left="0"/>
        <w:rPr>
          <w:sz w:val="25"/>
        </w:rPr>
      </w:pPr>
    </w:p>
    <w:p>
      <w:pPr>
        <w:pStyle w:val="BodyText"/>
        <w:spacing w:line="244" w:lineRule="auto" w:before="71"/>
        <w:ind w:left="1005" w:right="333" w:hanging="368"/>
      </w:pPr>
      <w:r>
        <w:rPr>
          <w:rFonts w:ascii="Calibri" w:eastAsia="Calibri"/>
          <w:b/>
        </w:rPr>
        <w:t>(</w:t>
      </w:r>
      <w:r>
        <w:rPr/>
        <w:t>二</w:t>
      </w:r>
      <w:r>
        <w:rPr>
          <w:rFonts w:ascii="Calibri" w:eastAsia="Calibri"/>
          <w:b/>
        </w:rPr>
        <w:t>) </w:t>
      </w:r>
      <w:r>
        <w:rPr/>
        <w:t>同时按照境外会计准则与按中国会计准则披露的财务报告中净利润和归属于上市公司股东的净资产差异情况</w:t>
      </w:r>
    </w:p>
    <w:p>
      <w:pPr>
        <w:pStyle w:val="BodyText"/>
        <w:spacing w:before="57"/>
        <w:ind w:left="638"/>
      </w:pPr>
      <w:r>
        <w:rPr>
          <w:spacing w:val="-1"/>
        </w:rPr>
        <w:t>□适用 √不适用</w:t>
      </w:r>
      <w:r>
        <w:rPr>
          <w:spacing w:val="-3"/>
        </w:rPr>
        <w:t> </w:t>
      </w:r>
      <w:r>
        <w:rPr/>
        <w:t> </w:t>
      </w:r>
    </w:p>
    <w:p>
      <w:pPr>
        <w:pStyle w:val="BodyText"/>
        <w:spacing w:before="64"/>
        <w:ind w:left="638"/>
      </w:pPr>
      <w:r>
        <w:rPr>
          <w:rFonts w:ascii="Calibri" w:eastAsia="Calibri"/>
          <w:b/>
        </w:rPr>
        <w:t>(</w:t>
      </w:r>
      <w:r>
        <w:rPr/>
        <w:t>三</w:t>
      </w:r>
      <w:r>
        <w:rPr>
          <w:rFonts w:ascii="Calibri" w:eastAsia="Calibri"/>
          <w:b/>
          <w:spacing w:val="16"/>
        </w:rPr>
        <w:t>) </w:t>
      </w:r>
      <w:r>
        <w:rPr/>
        <w:t>境内外会计准则差异的说明：</w:t>
      </w:r>
    </w:p>
    <w:p>
      <w:pPr>
        <w:pStyle w:val="BodyText"/>
        <w:spacing w:before="62"/>
        <w:ind w:left="638"/>
      </w:pPr>
      <w:r>
        <w:rPr>
          <w:spacing w:val="-1"/>
        </w:rPr>
        <w:t>□适用 √不适用</w:t>
      </w:r>
      <w:r>
        <w:rPr>
          <w:spacing w:val="-3"/>
        </w:rPr>
        <w:t> </w:t>
      </w:r>
      <w:r>
        <w:rPr/>
        <w:t> </w:t>
      </w:r>
    </w:p>
    <w:p>
      <w:pPr>
        <w:pStyle w:val="BodyText"/>
        <w:spacing w:before="5"/>
        <w:ind w:left="638"/>
      </w:pPr>
      <w:r>
        <w:rPr>
          <w:w w:val="100"/>
        </w:rPr>
        <w:t> </w:t>
      </w:r>
    </w:p>
    <w:p>
      <w:pPr>
        <w:spacing w:before="62"/>
        <w:ind w:left="638" w:right="0" w:firstLine="0"/>
        <w:jc w:val="left"/>
        <w:rPr>
          <w:sz w:val="21"/>
        </w:rPr>
      </w:pPr>
      <w:r>
        <w:rPr>
          <w:spacing w:val="-10"/>
          <w:sz w:val="21"/>
        </w:rPr>
        <w:t>九、 </w:t>
      </w:r>
      <w:r>
        <w:rPr>
          <w:rFonts w:ascii="Arial" w:eastAsia="Arial"/>
          <w:b/>
          <w:sz w:val="21"/>
        </w:rPr>
        <w:t>2022</w:t>
      </w:r>
      <w:r>
        <w:rPr>
          <w:rFonts w:ascii="Arial" w:eastAsia="Arial"/>
          <w:b/>
          <w:spacing w:val="-9"/>
          <w:sz w:val="21"/>
        </w:rPr>
        <w:t> </w:t>
      </w:r>
      <w:r>
        <w:rPr>
          <w:sz w:val="21"/>
        </w:rPr>
        <w:t>年分季度主要财务数据</w:t>
      </w:r>
    </w:p>
    <w:p>
      <w:pPr>
        <w:pStyle w:val="BodyText"/>
        <w:spacing w:before="65"/>
        <w:ind w:left="0" w:right="227"/>
        <w:jc w:val="right"/>
      </w:pPr>
      <w:r>
        <w:rPr>
          <w:spacing w:val="7"/>
        </w:rPr>
        <w:t>单位：千元 币种：人民币</w:t>
      </w:r>
      <w:r>
        <w:rPr/>
        <w:t> </w:t>
      </w: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1843"/>
        <w:gridCol w:w="1560"/>
        <w:gridCol w:w="1558"/>
        <w:gridCol w:w="1685"/>
      </w:tblGrid>
      <w:tr>
        <w:trPr>
          <w:trHeight w:val="544" w:hRule="atLeast"/>
        </w:trPr>
        <w:tc>
          <w:tcPr>
            <w:tcW w:w="2405" w:type="dxa"/>
          </w:tcPr>
          <w:p>
            <w:pPr>
              <w:pStyle w:val="TableParagraph"/>
              <w:rPr>
                <w:rFonts w:ascii="Times New Roman"/>
                <w:sz w:val="20"/>
              </w:rPr>
            </w:pPr>
          </w:p>
        </w:tc>
        <w:tc>
          <w:tcPr>
            <w:tcW w:w="1843" w:type="dxa"/>
          </w:tcPr>
          <w:p>
            <w:pPr>
              <w:pStyle w:val="TableParagraph"/>
              <w:spacing w:before="1"/>
              <w:ind w:left="321" w:right="309"/>
              <w:jc w:val="center"/>
              <w:rPr>
                <w:sz w:val="21"/>
              </w:rPr>
            </w:pPr>
            <w:r>
              <w:rPr>
                <w:sz w:val="21"/>
              </w:rPr>
              <w:t>第一季度</w:t>
            </w:r>
          </w:p>
          <w:p>
            <w:pPr>
              <w:pStyle w:val="TableParagraph"/>
              <w:spacing w:line="250" w:lineRule="exact" w:before="4"/>
              <w:ind w:left="321" w:right="309"/>
              <w:jc w:val="center"/>
              <w:rPr>
                <w:sz w:val="21"/>
              </w:rPr>
            </w:pPr>
            <w:r>
              <w:rPr>
                <w:sz w:val="21"/>
              </w:rPr>
              <w:t>（</w:t>
            </w:r>
            <w:r>
              <w:rPr>
                <w:rFonts w:ascii="Times New Roman" w:eastAsia="Times New Roman"/>
                <w:sz w:val="21"/>
              </w:rPr>
              <w:t>1-3</w:t>
            </w:r>
            <w:r>
              <w:rPr>
                <w:rFonts w:ascii="Times New Roman" w:eastAsia="Times New Roman"/>
                <w:spacing w:val="-11"/>
                <w:sz w:val="21"/>
              </w:rPr>
              <w:t> </w:t>
            </w:r>
            <w:r>
              <w:rPr>
                <w:sz w:val="21"/>
              </w:rPr>
              <w:t>月份）</w:t>
            </w:r>
          </w:p>
        </w:tc>
        <w:tc>
          <w:tcPr>
            <w:tcW w:w="1560" w:type="dxa"/>
          </w:tcPr>
          <w:p>
            <w:pPr>
              <w:pStyle w:val="TableParagraph"/>
              <w:spacing w:before="1"/>
              <w:ind w:left="180" w:right="167"/>
              <w:jc w:val="center"/>
              <w:rPr>
                <w:sz w:val="21"/>
              </w:rPr>
            </w:pPr>
            <w:r>
              <w:rPr>
                <w:sz w:val="21"/>
              </w:rPr>
              <w:t>第二季度</w:t>
            </w:r>
          </w:p>
          <w:p>
            <w:pPr>
              <w:pStyle w:val="TableParagraph"/>
              <w:spacing w:line="250" w:lineRule="exact" w:before="4"/>
              <w:ind w:left="180" w:right="167"/>
              <w:jc w:val="center"/>
              <w:rPr>
                <w:sz w:val="21"/>
              </w:rPr>
            </w:pPr>
            <w:r>
              <w:rPr>
                <w:sz w:val="21"/>
              </w:rPr>
              <w:t>（</w:t>
            </w:r>
            <w:r>
              <w:rPr>
                <w:rFonts w:ascii="Times New Roman" w:eastAsia="Times New Roman"/>
                <w:sz w:val="21"/>
              </w:rPr>
              <w:t>4-6</w:t>
            </w:r>
            <w:r>
              <w:rPr>
                <w:rFonts w:ascii="Times New Roman" w:eastAsia="Times New Roman"/>
                <w:spacing w:val="-11"/>
                <w:sz w:val="21"/>
              </w:rPr>
              <w:t> </w:t>
            </w:r>
            <w:r>
              <w:rPr>
                <w:sz w:val="21"/>
              </w:rPr>
              <w:t>月份）</w:t>
            </w:r>
          </w:p>
        </w:tc>
        <w:tc>
          <w:tcPr>
            <w:tcW w:w="1558" w:type="dxa"/>
          </w:tcPr>
          <w:p>
            <w:pPr>
              <w:pStyle w:val="TableParagraph"/>
              <w:spacing w:before="1"/>
              <w:ind w:left="178" w:right="167"/>
              <w:jc w:val="center"/>
              <w:rPr>
                <w:sz w:val="21"/>
              </w:rPr>
            </w:pPr>
            <w:r>
              <w:rPr>
                <w:sz w:val="21"/>
              </w:rPr>
              <w:t>第三季度</w:t>
            </w:r>
          </w:p>
          <w:p>
            <w:pPr>
              <w:pStyle w:val="TableParagraph"/>
              <w:spacing w:line="250" w:lineRule="exact" w:before="4"/>
              <w:ind w:left="178" w:right="167"/>
              <w:jc w:val="center"/>
              <w:rPr>
                <w:sz w:val="21"/>
              </w:rPr>
            </w:pPr>
            <w:r>
              <w:rPr>
                <w:sz w:val="21"/>
              </w:rPr>
              <w:t>（</w:t>
            </w:r>
            <w:r>
              <w:rPr>
                <w:rFonts w:ascii="Times New Roman" w:eastAsia="Times New Roman"/>
                <w:sz w:val="21"/>
              </w:rPr>
              <w:t>7-9</w:t>
            </w:r>
            <w:r>
              <w:rPr>
                <w:rFonts w:ascii="Times New Roman" w:eastAsia="Times New Roman"/>
                <w:spacing w:val="-11"/>
                <w:sz w:val="21"/>
              </w:rPr>
              <w:t> </w:t>
            </w:r>
            <w:r>
              <w:rPr>
                <w:sz w:val="21"/>
              </w:rPr>
              <w:t>月份）</w:t>
            </w:r>
          </w:p>
        </w:tc>
        <w:tc>
          <w:tcPr>
            <w:tcW w:w="1685" w:type="dxa"/>
          </w:tcPr>
          <w:p>
            <w:pPr>
              <w:pStyle w:val="TableParagraph"/>
              <w:spacing w:before="1"/>
              <w:ind w:left="135" w:right="126"/>
              <w:jc w:val="center"/>
              <w:rPr>
                <w:sz w:val="21"/>
              </w:rPr>
            </w:pPr>
            <w:r>
              <w:rPr>
                <w:sz w:val="21"/>
              </w:rPr>
              <w:t>第四季度</w:t>
            </w:r>
          </w:p>
          <w:p>
            <w:pPr>
              <w:pStyle w:val="TableParagraph"/>
              <w:spacing w:line="250" w:lineRule="exact" w:before="4"/>
              <w:ind w:left="135" w:right="126"/>
              <w:jc w:val="center"/>
              <w:rPr>
                <w:sz w:val="21"/>
              </w:rPr>
            </w:pPr>
            <w:r>
              <w:rPr>
                <w:sz w:val="21"/>
              </w:rPr>
              <w:t>（</w:t>
            </w:r>
            <w:r>
              <w:rPr>
                <w:rFonts w:ascii="Times New Roman" w:eastAsia="Times New Roman"/>
                <w:sz w:val="21"/>
              </w:rPr>
              <w:t>10-12</w:t>
            </w:r>
            <w:r>
              <w:rPr>
                <w:rFonts w:ascii="Times New Roman" w:eastAsia="Times New Roman"/>
                <w:spacing w:val="-10"/>
                <w:sz w:val="21"/>
              </w:rPr>
              <w:t> </w:t>
            </w:r>
            <w:r>
              <w:rPr>
                <w:sz w:val="21"/>
              </w:rPr>
              <w:t>月份）</w:t>
            </w:r>
          </w:p>
        </w:tc>
      </w:tr>
      <w:tr>
        <w:trPr>
          <w:trHeight w:val="273" w:hRule="atLeast"/>
        </w:trPr>
        <w:tc>
          <w:tcPr>
            <w:tcW w:w="2405" w:type="dxa"/>
          </w:tcPr>
          <w:p>
            <w:pPr>
              <w:pStyle w:val="TableParagraph"/>
              <w:spacing w:line="250" w:lineRule="exact" w:before="3"/>
              <w:ind w:left="107"/>
              <w:rPr>
                <w:sz w:val="21"/>
              </w:rPr>
            </w:pPr>
            <w:r>
              <w:rPr>
                <w:sz w:val="21"/>
              </w:rPr>
              <w:t>营业收入</w:t>
            </w:r>
          </w:p>
        </w:tc>
        <w:tc>
          <w:tcPr>
            <w:tcW w:w="1843" w:type="dxa"/>
          </w:tcPr>
          <w:p>
            <w:pPr>
              <w:pStyle w:val="TableParagraph"/>
              <w:spacing w:before="10"/>
              <w:ind w:right="93"/>
              <w:jc w:val="right"/>
              <w:rPr>
                <w:rFonts w:ascii="Times New Roman"/>
                <w:sz w:val="21"/>
              </w:rPr>
            </w:pPr>
            <w:r>
              <w:rPr>
                <w:rFonts w:ascii="Times New Roman"/>
                <w:sz w:val="21"/>
              </w:rPr>
              <w:t>105,062,471</w:t>
            </w:r>
          </w:p>
        </w:tc>
        <w:tc>
          <w:tcPr>
            <w:tcW w:w="1560" w:type="dxa"/>
          </w:tcPr>
          <w:p>
            <w:pPr>
              <w:pStyle w:val="TableParagraph"/>
              <w:spacing w:before="10"/>
              <w:ind w:right="92"/>
              <w:jc w:val="right"/>
              <w:rPr>
                <w:rFonts w:ascii="Times New Roman"/>
                <w:sz w:val="21"/>
              </w:rPr>
            </w:pPr>
            <w:r>
              <w:rPr>
                <w:rFonts w:ascii="Times New Roman"/>
                <w:sz w:val="21"/>
              </w:rPr>
              <w:t>120,197,907</w:t>
            </w:r>
          </w:p>
        </w:tc>
        <w:tc>
          <w:tcPr>
            <w:tcW w:w="1558" w:type="dxa"/>
          </w:tcPr>
          <w:p>
            <w:pPr>
              <w:pStyle w:val="TableParagraph"/>
              <w:spacing w:before="10"/>
              <w:ind w:right="93"/>
              <w:jc w:val="right"/>
              <w:rPr>
                <w:rFonts w:ascii="Times New Roman"/>
                <w:sz w:val="21"/>
              </w:rPr>
            </w:pPr>
            <w:r>
              <w:rPr>
                <w:rFonts w:ascii="Times New Roman"/>
                <w:sz w:val="21"/>
              </w:rPr>
              <w:t>135,823,728</w:t>
            </w:r>
          </w:p>
        </w:tc>
        <w:tc>
          <w:tcPr>
            <w:tcW w:w="1685" w:type="dxa"/>
          </w:tcPr>
          <w:p>
            <w:pPr>
              <w:pStyle w:val="TableParagraph"/>
              <w:spacing w:before="10"/>
              <w:ind w:right="95"/>
              <w:jc w:val="right"/>
              <w:rPr>
                <w:rFonts w:ascii="Times New Roman"/>
                <w:sz w:val="21"/>
              </w:rPr>
            </w:pPr>
            <w:r>
              <w:rPr>
                <w:rFonts w:ascii="Times New Roman"/>
                <w:sz w:val="21"/>
              </w:rPr>
              <w:t>150,765,473</w:t>
            </w:r>
          </w:p>
        </w:tc>
      </w:tr>
      <w:tr>
        <w:trPr>
          <w:trHeight w:val="545" w:hRule="atLeast"/>
        </w:trPr>
        <w:tc>
          <w:tcPr>
            <w:tcW w:w="2405" w:type="dxa"/>
          </w:tcPr>
          <w:p>
            <w:pPr>
              <w:pStyle w:val="TableParagraph"/>
              <w:spacing w:before="1"/>
              <w:ind w:left="107"/>
              <w:rPr>
                <w:sz w:val="21"/>
              </w:rPr>
            </w:pPr>
            <w:r>
              <w:rPr>
                <w:sz w:val="21"/>
              </w:rPr>
              <w:t>归属于上市公司股东的</w:t>
            </w:r>
          </w:p>
          <w:p>
            <w:pPr>
              <w:pStyle w:val="TableParagraph"/>
              <w:spacing w:line="250" w:lineRule="exact" w:before="4"/>
              <w:ind w:left="107"/>
              <w:rPr>
                <w:sz w:val="21"/>
              </w:rPr>
            </w:pPr>
            <w:r>
              <w:rPr>
                <w:sz w:val="21"/>
              </w:rPr>
              <w:t>净利润</w:t>
            </w:r>
          </w:p>
        </w:tc>
        <w:tc>
          <w:tcPr>
            <w:tcW w:w="1843" w:type="dxa"/>
          </w:tcPr>
          <w:p>
            <w:pPr>
              <w:pStyle w:val="TableParagraph"/>
              <w:spacing w:before="144"/>
              <w:ind w:right="93"/>
              <w:jc w:val="right"/>
              <w:rPr>
                <w:rFonts w:ascii="Times New Roman"/>
                <w:sz w:val="21"/>
              </w:rPr>
            </w:pPr>
            <w:r>
              <w:rPr>
                <w:rFonts w:ascii="Times New Roman"/>
                <w:sz w:val="21"/>
              </w:rPr>
              <w:t>3,255,787</w:t>
            </w:r>
          </w:p>
        </w:tc>
        <w:tc>
          <w:tcPr>
            <w:tcW w:w="1560" w:type="dxa"/>
          </w:tcPr>
          <w:p>
            <w:pPr>
              <w:pStyle w:val="TableParagraph"/>
              <w:spacing w:before="144"/>
              <w:ind w:right="92"/>
              <w:jc w:val="right"/>
              <w:rPr>
                <w:rFonts w:ascii="Times New Roman"/>
                <w:sz w:val="21"/>
              </w:rPr>
            </w:pPr>
            <w:r>
              <w:rPr>
                <w:rFonts w:ascii="Times New Roman"/>
                <w:sz w:val="21"/>
              </w:rPr>
              <w:t>3,615,836</w:t>
            </w:r>
          </w:p>
        </w:tc>
        <w:tc>
          <w:tcPr>
            <w:tcW w:w="1558" w:type="dxa"/>
          </w:tcPr>
          <w:p>
            <w:pPr>
              <w:pStyle w:val="TableParagraph"/>
              <w:spacing w:before="144"/>
              <w:ind w:right="93"/>
              <w:jc w:val="right"/>
              <w:rPr>
                <w:rFonts w:ascii="Times New Roman"/>
                <w:sz w:val="21"/>
              </w:rPr>
            </w:pPr>
            <w:r>
              <w:rPr>
                <w:rFonts w:ascii="Times New Roman"/>
                <w:sz w:val="21"/>
              </w:rPr>
              <w:t>4,924,274</w:t>
            </w:r>
          </w:p>
        </w:tc>
        <w:tc>
          <w:tcPr>
            <w:tcW w:w="1685" w:type="dxa"/>
          </w:tcPr>
          <w:p>
            <w:pPr>
              <w:pStyle w:val="TableParagraph"/>
              <w:spacing w:before="144"/>
              <w:ind w:right="95"/>
              <w:jc w:val="right"/>
              <w:rPr>
                <w:rFonts w:ascii="Times New Roman"/>
                <w:sz w:val="21"/>
              </w:rPr>
            </w:pPr>
            <w:r>
              <w:rPr>
                <w:rFonts w:ascii="Times New Roman"/>
                <w:sz w:val="21"/>
              </w:rPr>
              <w:t>8,277,175</w:t>
            </w:r>
          </w:p>
        </w:tc>
      </w:tr>
      <w:tr>
        <w:trPr>
          <w:trHeight w:val="817" w:hRule="atLeast"/>
        </w:trPr>
        <w:tc>
          <w:tcPr>
            <w:tcW w:w="2405" w:type="dxa"/>
          </w:tcPr>
          <w:p>
            <w:pPr>
              <w:pStyle w:val="TableParagraph"/>
              <w:spacing w:before="1"/>
              <w:ind w:left="107"/>
              <w:rPr>
                <w:sz w:val="21"/>
              </w:rPr>
            </w:pPr>
            <w:r>
              <w:rPr>
                <w:sz w:val="21"/>
              </w:rPr>
              <w:t>归属于上市公司股东的</w:t>
            </w:r>
          </w:p>
          <w:p>
            <w:pPr>
              <w:pStyle w:val="TableParagraph"/>
              <w:spacing w:line="270" w:lineRule="atLeast"/>
              <w:ind w:left="107" w:right="96"/>
              <w:rPr>
                <w:sz w:val="21"/>
              </w:rPr>
            </w:pPr>
            <w:r>
              <w:rPr>
                <w:sz w:val="21"/>
              </w:rPr>
              <w:t>扣除非经常性损益后的净利润</w:t>
            </w:r>
          </w:p>
        </w:tc>
        <w:tc>
          <w:tcPr>
            <w:tcW w:w="1843" w:type="dxa"/>
          </w:tcPr>
          <w:p>
            <w:pPr>
              <w:pStyle w:val="TableParagraph"/>
              <w:spacing w:before="12"/>
              <w:rPr>
                <w:sz w:val="21"/>
              </w:rPr>
            </w:pPr>
          </w:p>
          <w:p>
            <w:pPr>
              <w:pStyle w:val="TableParagraph"/>
              <w:ind w:right="93"/>
              <w:jc w:val="right"/>
              <w:rPr>
                <w:rFonts w:ascii="Times New Roman"/>
                <w:sz w:val="21"/>
              </w:rPr>
            </w:pPr>
            <w:r>
              <w:rPr>
                <w:rFonts w:ascii="Times New Roman"/>
                <w:sz w:val="21"/>
              </w:rPr>
              <w:t>3,099,994</w:t>
            </w:r>
          </w:p>
        </w:tc>
        <w:tc>
          <w:tcPr>
            <w:tcW w:w="1560" w:type="dxa"/>
          </w:tcPr>
          <w:p>
            <w:pPr>
              <w:pStyle w:val="TableParagraph"/>
              <w:spacing w:before="12"/>
              <w:rPr>
                <w:sz w:val="21"/>
              </w:rPr>
            </w:pPr>
          </w:p>
          <w:p>
            <w:pPr>
              <w:pStyle w:val="TableParagraph"/>
              <w:ind w:right="92"/>
              <w:jc w:val="right"/>
              <w:rPr>
                <w:rFonts w:ascii="Times New Roman"/>
                <w:sz w:val="21"/>
              </w:rPr>
            </w:pPr>
            <w:r>
              <w:rPr>
                <w:rFonts w:ascii="Times New Roman"/>
                <w:sz w:val="21"/>
              </w:rPr>
              <w:t>3,272,311</w:t>
            </w:r>
          </w:p>
        </w:tc>
        <w:tc>
          <w:tcPr>
            <w:tcW w:w="1558" w:type="dxa"/>
          </w:tcPr>
          <w:p>
            <w:pPr>
              <w:pStyle w:val="TableParagraph"/>
              <w:spacing w:before="12"/>
              <w:rPr>
                <w:sz w:val="21"/>
              </w:rPr>
            </w:pPr>
          </w:p>
          <w:p>
            <w:pPr>
              <w:pStyle w:val="TableParagraph"/>
              <w:ind w:right="93"/>
              <w:jc w:val="right"/>
              <w:rPr>
                <w:rFonts w:ascii="Times New Roman"/>
                <w:sz w:val="21"/>
              </w:rPr>
            </w:pPr>
            <w:r>
              <w:rPr>
                <w:rFonts w:ascii="Times New Roman"/>
                <w:sz w:val="21"/>
              </w:rPr>
              <w:t>4,974,626</w:t>
            </w:r>
          </w:p>
        </w:tc>
        <w:tc>
          <w:tcPr>
            <w:tcW w:w="1685" w:type="dxa"/>
          </w:tcPr>
          <w:p>
            <w:pPr>
              <w:pStyle w:val="TableParagraph"/>
              <w:spacing w:before="12"/>
              <w:rPr>
                <w:sz w:val="21"/>
              </w:rPr>
            </w:pPr>
          </w:p>
          <w:p>
            <w:pPr>
              <w:pStyle w:val="TableParagraph"/>
              <w:ind w:right="95"/>
              <w:jc w:val="right"/>
              <w:rPr>
                <w:rFonts w:ascii="Times New Roman"/>
                <w:sz w:val="21"/>
              </w:rPr>
            </w:pPr>
            <w:r>
              <w:rPr>
                <w:rFonts w:ascii="Times New Roman"/>
                <w:sz w:val="21"/>
              </w:rPr>
              <w:t>7,063,463</w:t>
            </w:r>
          </w:p>
        </w:tc>
      </w:tr>
      <w:tr>
        <w:trPr>
          <w:trHeight w:val="544" w:hRule="atLeast"/>
        </w:trPr>
        <w:tc>
          <w:tcPr>
            <w:tcW w:w="2405" w:type="dxa"/>
          </w:tcPr>
          <w:p>
            <w:pPr>
              <w:pStyle w:val="TableParagraph"/>
              <w:spacing w:before="1"/>
              <w:ind w:left="107"/>
              <w:rPr>
                <w:sz w:val="21"/>
              </w:rPr>
            </w:pPr>
            <w:r>
              <w:rPr>
                <w:sz w:val="21"/>
              </w:rPr>
              <w:t>经营活动产生的现金流</w:t>
            </w:r>
          </w:p>
          <w:p>
            <w:pPr>
              <w:pStyle w:val="TableParagraph"/>
              <w:spacing w:line="252" w:lineRule="exact" w:before="2"/>
              <w:ind w:left="107"/>
              <w:rPr>
                <w:sz w:val="21"/>
              </w:rPr>
            </w:pPr>
            <w:r>
              <w:rPr>
                <w:sz w:val="21"/>
              </w:rPr>
              <w:t>量净额</w:t>
            </w:r>
          </w:p>
        </w:tc>
        <w:tc>
          <w:tcPr>
            <w:tcW w:w="1843" w:type="dxa"/>
          </w:tcPr>
          <w:p>
            <w:pPr>
              <w:pStyle w:val="TableParagraph"/>
              <w:spacing w:before="144"/>
              <w:ind w:right="93"/>
              <w:jc w:val="right"/>
              <w:rPr>
                <w:rFonts w:ascii="Times New Roman"/>
                <w:sz w:val="21"/>
              </w:rPr>
            </w:pPr>
            <w:r>
              <w:rPr>
                <w:rFonts w:ascii="Times New Roman"/>
                <w:sz w:val="21"/>
              </w:rPr>
              <w:t>1,756,798</w:t>
            </w:r>
          </w:p>
        </w:tc>
        <w:tc>
          <w:tcPr>
            <w:tcW w:w="1560" w:type="dxa"/>
          </w:tcPr>
          <w:p>
            <w:pPr>
              <w:pStyle w:val="TableParagraph"/>
              <w:spacing w:before="144"/>
              <w:ind w:right="92"/>
              <w:jc w:val="right"/>
              <w:rPr>
                <w:rFonts w:ascii="Times New Roman"/>
                <w:sz w:val="21"/>
              </w:rPr>
            </w:pPr>
            <w:r>
              <w:rPr>
                <w:rFonts w:ascii="Times New Roman"/>
                <w:sz w:val="21"/>
              </w:rPr>
              <w:t>-7,157,560</w:t>
            </w:r>
          </w:p>
        </w:tc>
        <w:tc>
          <w:tcPr>
            <w:tcW w:w="1558" w:type="dxa"/>
          </w:tcPr>
          <w:p>
            <w:pPr>
              <w:pStyle w:val="TableParagraph"/>
              <w:spacing w:before="144"/>
              <w:ind w:right="93"/>
              <w:jc w:val="right"/>
              <w:rPr>
                <w:rFonts w:ascii="Times New Roman"/>
                <w:sz w:val="21"/>
              </w:rPr>
            </w:pPr>
            <w:r>
              <w:rPr>
                <w:rFonts w:ascii="Times New Roman"/>
                <w:sz w:val="21"/>
              </w:rPr>
              <w:t>3,486,004</w:t>
            </w:r>
          </w:p>
        </w:tc>
        <w:tc>
          <w:tcPr>
            <w:tcW w:w="1685" w:type="dxa"/>
          </w:tcPr>
          <w:p>
            <w:pPr>
              <w:pStyle w:val="TableParagraph"/>
              <w:spacing w:before="144"/>
              <w:ind w:right="95"/>
              <w:jc w:val="right"/>
              <w:rPr>
                <w:rFonts w:ascii="Times New Roman"/>
                <w:sz w:val="21"/>
              </w:rPr>
            </w:pPr>
            <w:r>
              <w:rPr>
                <w:rFonts w:ascii="Times New Roman"/>
                <w:sz w:val="21"/>
              </w:rPr>
              <w:t>17,280,385</w:t>
            </w:r>
          </w:p>
        </w:tc>
      </w:tr>
    </w:tbl>
    <w:p>
      <w:pPr>
        <w:pStyle w:val="BodyText"/>
        <w:spacing w:before="1"/>
        <w:ind w:left="638"/>
      </w:pPr>
      <w:r>
        <w:rPr>
          <w:w w:val="100"/>
        </w:rPr>
        <w:t> </w:t>
      </w:r>
    </w:p>
    <w:p>
      <w:pPr>
        <w:pStyle w:val="BodyText"/>
        <w:spacing w:before="2"/>
        <w:ind w:left="638"/>
      </w:pPr>
      <w:r>
        <w:rPr/>
        <w:t>季度数据与已披露定期报告数据差异说明</w:t>
      </w:r>
    </w:p>
    <w:p>
      <w:pPr>
        <w:pStyle w:val="BodyText"/>
        <w:spacing w:before="5"/>
        <w:ind w:left="638"/>
      </w:pPr>
      <w:r>
        <w:rPr>
          <w:spacing w:val="11"/>
        </w:rPr>
        <w:t>□适用 √不适用</w:t>
      </w:r>
      <w:r>
        <w:rPr>
          <w:spacing w:val="-3"/>
        </w:rPr>
        <w:t> </w:t>
      </w:r>
      <w:r>
        <w:rPr/>
        <w:t> </w:t>
      </w:r>
    </w:p>
    <w:p>
      <w:pPr>
        <w:pStyle w:val="BodyText"/>
        <w:spacing w:before="2"/>
        <w:ind w:left="638"/>
      </w:pPr>
      <w:r>
        <w:rPr>
          <w:w w:val="100"/>
        </w:rPr>
        <w:t> </w:t>
      </w:r>
    </w:p>
    <w:p>
      <w:pPr>
        <w:pStyle w:val="BodyText"/>
        <w:spacing w:before="64"/>
        <w:ind w:left="638"/>
      </w:pPr>
      <w:r>
        <w:rPr>
          <w:spacing w:val="-5"/>
        </w:rPr>
        <w:t>十、 非经常性损益项目和金额</w:t>
      </w:r>
    </w:p>
    <w:p>
      <w:pPr>
        <w:pStyle w:val="BodyText"/>
        <w:spacing w:before="62"/>
        <w:ind w:left="638"/>
      </w:pPr>
      <w:r>
        <w:rPr>
          <w:spacing w:val="-1"/>
        </w:rPr>
        <w:t>√适用 □不适用</w:t>
      </w:r>
      <w:r>
        <w:rPr>
          <w:spacing w:val="-3"/>
        </w:rPr>
        <w:t> </w:t>
      </w:r>
      <w:r>
        <w:rPr/>
        <w:t> </w:t>
      </w:r>
    </w:p>
    <w:p>
      <w:pPr>
        <w:pStyle w:val="BodyText"/>
        <w:spacing w:before="5"/>
        <w:ind w:left="7159"/>
      </w:pPr>
      <w:r>
        <w:rPr>
          <w:spacing w:val="7"/>
        </w:rPr>
        <w:t>单位:千元 币种:人民币</w:t>
      </w:r>
      <w:r>
        <w:rPr/>
        <w:t> </w:t>
      </w: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9"/>
        <w:gridCol w:w="1287"/>
        <w:gridCol w:w="1471"/>
        <w:gridCol w:w="1282"/>
        <w:gridCol w:w="1265"/>
      </w:tblGrid>
      <w:tr>
        <w:trPr>
          <w:trHeight w:val="544" w:hRule="atLeast"/>
        </w:trPr>
        <w:tc>
          <w:tcPr>
            <w:tcW w:w="3519" w:type="dxa"/>
          </w:tcPr>
          <w:p>
            <w:pPr>
              <w:pStyle w:val="TableParagraph"/>
              <w:spacing w:before="138"/>
              <w:ind w:left="918"/>
              <w:rPr>
                <w:sz w:val="21"/>
              </w:rPr>
            </w:pPr>
            <w:r>
              <w:rPr>
                <w:sz w:val="21"/>
              </w:rPr>
              <w:t>非经常性损益项目</w:t>
            </w:r>
          </w:p>
        </w:tc>
        <w:tc>
          <w:tcPr>
            <w:tcW w:w="1287" w:type="dxa"/>
          </w:tcPr>
          <w:p>
            <w:pPr>
              <w:pStyle w:val="TableParagraph"/>
              <w:spacing w:before="1"/>
              <w:ind w:left="183" w:right="172"/>
              <w:jc w:val="center"/>
              <w:rPr>
                <w:sz w:val="21"/>
              </w:rPr>
            </w:pPr>
            <w:r>
              <w:rPr>
                <w:rFonts w:ascii="Times New Roman" w:eastAsia="Times New Roman"/>
                <w:sz w:val="21"/>
              </w:rPr>
              <w:t>2022</w:t>
            </w:r>
            <w:r>
              <w:rPr>
                <w:rFonts w:ascii="Times New Roman" w:eastAsia="Times New Roman"/>
                <w:spacing w:val="-11"/>
                <w:sz w:val="21"/>
              </w:rPr>
              <w:t> </w:t>
            </w:r>
            <w:r>
              <w:rPr>
                <w:sz w:val="21"/>
              </w:rPr>
              <w:t>年金</w:t>
            </w:r>
          </w:p>
          <w:p>
            <w:pPr>
              <w:pStyle w:val="TableParagraph"/>
              <w:spacing w:line="250" w:lineRule="exact" w:before="5"/>
              <w:ind w:left="8"/>
              <w:jc w:val="center"/>
              <w:rPr>
                <w:sz w:val="21"/>
              </w:rPr>
            </w:pPr>
            <w:r>
              <w:rPr>
                <w:w w:val="100"/>
                <w:sz w:val="21"/>
              </w:rPr>
              <w:t>额</w:t>
            </w:r>
          </w:p>
        </w:tc>
        <w:tc>
          <w:tcPr>
            <w:tcW w:w="1471" w:type="dxa"/>
          </w:tcPr>
          <w:p>
            <w:pPr>
              <w:pStyle w:val="TableParagraph"/>
              <w:spacing w:before="1"/>
              <w:ind w:left="190" w:right="181"/>
              <w:jc w:val="center"/>
              <w:rPr>
                <w:sz w:val="21"/>
              </w:rPr>
            </w:pPr>
            <w:r>
              <w:rPr>
                <w:sz w:val="21"/>
              </w:rPr>
              <w:t>附注（如适</w:t>
            </w:r>
          </w:p>
          <w:p>
            <w:pPr>
              <w:pStyle w:val="TableParagraph"/>
              <w:spacing w:line="250" w:lineRule="exact" w:before="5"/>
              <w:ind w:left="187" w:right="181"/>
              <w:jc w:val="center"/>
              <w:rPr>
                <w:sz w:val="21"/>
              </w:rPr>
            </w:pPr>
            <w:r>
              <w:rPr>
                <w:sz w:val="21"/>
              </w:rPr>
              <w:t>用）</w:t>
            </w:r>
          </w:p>
        </w:tc>
        <w:tc>
          <w:tcPr>
            <w:tcW w:w="1282" w:type="dxa"/>
          </w:tcPr>
          <w:p>
            <w:pPr>
              <w:pStyle w:val="TableParagraph"/>
              <w:spacing w:before="1"/>
              <w:ind w:left="178" w:right="172"/>
              <w:jc w:val="center"/>
              <w:rPr>
                <w:sz w:val="21"/>
              </w:rPr>
            </w:pPr>
            <w:r>
              <w:rPr>
                <w:rFonts w:ascii="Times New Roman" w:eastAsia="Times New Roman"/>
                <w:sz w:val="21"/>
              </w:rPr>
              <w:t>2021</w:t>
            </w:r>
            <w:r>
              <w:rPr>
                <w:rFonts w:ascii="Times New Roman" w:eastAsia="Times New Roman"/>
                <w:spacing w:val="-11"/>
                <w:sz w:val="21"/>
              </w:rPr>
              <w:t> </w:t>
            </w:r>
            <w:r>
              <w:rPr>
                <w:sz w:val="21"/>
              </w:rPr>
              <w:t>年金</w:t>
            </w:r>
          </w:p>
          <w:p>
            <w:pPr>
              <w:pStyle w:val="TableParagraph"/>
              <w:spacing w:line="250" w:lineRule="exact" w:before="5"/>
              <w:ind w:left="4"/>
              <w:jc w:val="center"/>
              <w:rPr>
                <w:sz w:val="21"/>
              </w:rPr>
            </w:pPr>
            <w:r>
              <w:rPr>
                <w:w w:val="100"/>
                <w:sz w:val="21"/>
              </w:rPr>
              <w:t>额</w:t>
            </w:r>
          </w:p>
        </w:tc>
        <w:tc>
          <w:tcPr>
            <w:tcW w:w="1265" w:type="dxa"/>
          </w:tcPr>
          <w:p>
            <w:pPr>
              <w:pStyle w:val="TableParagraph"/>
              <w:spacing w:before="1"/>
              <w:ind w:left="30" w:right="21"/>
              <w:jc w:val="center"/>
              <w:rPr>
                <w:sz w:val="21"/>
              </w:rPr>
            </w:pPr>
            <w:r>
              <w:rPr>
                <w:rFonts w:ascii="Times New Roman" w:eastAsia="Times New Roman"/>
                <w:sz w:val="21"/>
              </w:rPr>
              <w:t>2020</w:t>
            </w:r>
            <w:r>
              <w:rPr>
                <w:rFonts w:ascii="Times New Roman" w:eastAsia="Times New Roman"/>
                <w:spacing w:val="-11"/>
                <w:sz w:val="21"/>
              </w:rPr>
              <w:t> </w:t>
            </w:r>
            <w:r>
              <w:rPr>
                <w:sz w:val="21"/>
              </w:rPr>
              <w:t>年金</w:t>
            </w:r>
          </w:p>
          <w:p>
            <w:pPr>
              <w:pStyle w:val="TableParagraph"/>
              <w:spacing w:line="250" w:lineRule="exact" w:before="5"/>
              <w:ind w:left="7"/>
              <w:jc w:val="center"/>
              <w:rPr>
                <w:sz w:val="21"/>
              </w:rPr>
            </w:pPr>
            <w:r>
              <w:rPr>
                <w:w w:val="100"/>
                <w:sz w:val="21"/>
              </w:rPr>
              <w:t>额</w:t>
            </w:r>
          </w:p>
        </w:tc>
      </w:tr>
      <w:tr>
        <w:trPr>
          <w:trHeight w:val="273" w:hRule="atLeast"/>
        </w:trPr>
        <w:tc>
          <w:tcPr>
            <w:tcW w:w="3519" w:type="dxa"/>
          </w:tcPr>
          <w:p>
            <w:pPr>
              <w:pStyle w:val="TableParagraph"/>
              <w:spacing w:line="250" w:lineRule="exact" w:before="3"/>
              <w:ind w:left="107"/>
              <w:rPr>
                <w:sz w:val="21"/>
              </w:rPr>
            </w:pPr>
            <w:r>
              <w:rPr>
                <w:sz w:val="21"/>
              </w:rPr>
              <w:t>非流动资产处置损益</w:t>
            </w:r>
          </w:p>
        </w:tc>
        <w:tc>
          <w:tcPr>
            <w:tcW w:w="1287" w:type="dxa"/>
          </w:tcPr>
          <w:p>
            <w:pPr>
              <w:pStyle w:val="TableParagraph"/>
              <w:spacing w:before="10"/>
              <w:ind w:left="705"/>
              <w:rPr>
                <w:rFonts w:ascii="Times New Roman"/>
                <w:sz w:val="21"/>
              </w:rPr>
            </w:pPr>
            <w:r>
              <w:rPr>
                <w:rFonts w:ascii="Times New Roman"/>
                <w:sz w:val="21"/>
              </w:rPr>
              <w:t>8,825</w:t>
            </w:r>
          </w:p>
        </w:tc>
        <w:tc>
          <w:tcPr>
            <w:tcW w:w="1471" w:type="dxa"/>
          </w:tcPr>
          <w:p>
            <w:pPr>
              <w:pStyle w:val="TableParagraph"/>
              <w:rPr>
                <w:rFonts w:ascii="Times New Roman"/>
                <w:sz w:val="20"/>
              </w:rPr>
            </w:pPr>
          </w:p>
        </w:tc>
        <w:tc>
          <w:tcPr>
            <w:tcW w:w="1282" w:type="dxa"/>
          </w:tcPr>
          <w:p>
            <w:pPr>
              <w:pStyle w:val="TableParagraph"/>
              <w:spacing w:before="10"/>
              <w:ind w:right="94"/>
              <w:jc w:val="right"/>
              <w:rPr>
                <w:rFonts w:ascii="Times New Roman"/>
                <w:sz w:val="21"/>
              </w:rPr>
            </w:pPr>
            <w:r>
              <w:rPr>
                <w:rFonts w:ascii="Times New Roman"/>
                <w:sz w:val="21"/>
              </w:rPr>
              <w:t>13,590</w:t>
            </w:r>
          </w:p>
        </w:tc>
        <w:tc>
          <w:tcPr>
            <w:tcW w:w="1265" w:type="dxa"/>
          </w:tcPr>
          <w:p>
            <w:pPr>
              <w:pStyle w:val="TableParagraph"/>
              <w:spacing w:before="10"/>
              <w:ind w:right="93"/>
              <w:jc w:val="right"/>
              <w:rPr>
                <w:rFonts w:ascii="Times New Roman"/>
                <w:sz w:val="21"/>
              </w:rPr>
            </w:pPr>
            <w:r>
              <w:rPr>
                <w:rFonts w:ascii="Times New Roman"/>
                <w:sz w:val="21"/>
              </w:rPr>
              <w:t>34,091</w:t>
            </w:r>
          </w:p>
        </w:tc>
      </w:tr>
      <w:tr>
        <w:trPr>
          <w:trHeight w:val="544" w:hRule="atLeast"/>
        </w:trPr>
        <w:tc>
          <w:tcPr>
            <w:tcW w:w="3519" w:type="dxa"/>
          </w:tcPr>
          <w:p>
            <w:pPr>
              <w:pStyle w:val="TableParagraph"/>
              <w:spacing w:before="1"/>
              <w:ind w:left="107"/>
              <w:rPr>
                <w:sz w:val="21"/>
              </w:rPr>
            </w:pPr>
            <w:r>
              <w:rPr>
                <w:sz w:val="21"/>
              </w:rPr>
              <w:t>越权审批，或无正式批准文件，或</w:t>
            </w:r>
          </w:p>
          <w:p>
            <w:pPr>
              <w:pStyle w:val="TableParagraph"/>
              <w:spacing w:line="250" w:lineRule="exact" w:before="4"/>
              <w:ind w:left="107"/>
              <w:rPr>
                <w:sz w:val="21"/>
              </w:rPr>
            </w:pPr>
            <w:r>
              <w:rPr>
                <w:sz w:val="21"/>
              </w:rPr>
              <w:t>偶发性的税收返还、减免</w:t>
            </w:r>
          </w:p>
        </w:tc>
        <w:tc>
          <w:tcPr>
            <w:tcW w:w="1287" w:type="dxa"/>
          </w:tcPr>
          <w:p>
            <w:pPr>
              <w:pStyle w:val="TableParagraph"/>
              <w:spacing w:before="130"/>
              <w:ind w:right="-15"/>
              <w:jc w:val="right"/>
              <w:rPr>
                <w:sz w:val="21"/>
              </w:rPr>
            </w:pPr>
            <w:r>
              <w:rPr>
                <w:w w:val="100"/>
                <w:sz w:val="21"/>
              </w:rPr>
              <w:t> </w:t>
            </w:r>
          </w:p>
        </w:tc>
        <w:tc>
          <w:tcPr>
            <w:tcW w:w="1471" w:type="dxa"/>
          </w:tcPr>
          <w:p>
            <w:pPr>
              <w:pStyle w:val="TableParagraph"/>
              <w:spacing w:before="130"/>
              <w:ind w:left="107"/>
              <w:rPr>
                <w:sz w:val="21"/>
              </w:rPr>
            </w:pPr>
            <w:r>
              <w:rPr>
                <w:w w:val="100"/>
                <w:sz w:val="21"/>
              </w:rPr>
              <w:t> </w:t>
            </w:r>
          </w:p>
        </w:tc>
        <w:tc>
          <w:tcPr>
            <w:tcW w:w="1282" w:type="dxa"/>
          </w:tcPr>
          <w:p>
            <w:pPr>
              <w:pStyle w:val="TableParagraph"/>
              <w:rPr>
                <w:rFonts w:ascii="Times New Roman"/>
                <w:sz w:val="20"/>
              </w:rPr>
            </w:pPr>
          </w:p>
        </w:tc>
        <w:tc>
          <w:tcPr>
            <w:tcW w:w="1265" w:type="dxa"/>
          </w:tcPr>
          <w:p>
            <w:pPr>
              <w:pStyle w:val="TableParagraph"/>
              <w:rPr>
                <w:rFonts w:ascii="Times New Roman"/>
                <w:sz w:val="20"/>
              </w:rPr>
            </w:pPr>
          </w:p>
        </w:tc>
      </w:tr>
      <w:tr>
        <w:trPr>
          <w:trHeight w:val="1634" w:hRule="atLeast"/>
        </w:trPr>
        <w:tc>
          <w:tcPr>
            <w:tcW w:w="3519" w:type="dxa"/>
          </w:tcPr>
          <w:p>
            <w:pPr>
              <w:pStyle w:val="TableParagraph"/>
              <w:spacing w:line="242" w:lineRule="auto" w:before="1"/>
              <w:ind w:left="107" w:right="245"/>
              <w:jc w:val="both"/>
              <w:rPr>
                <w:sz w:val="21"/>
              </w:rPr>
            </w:pPr>
            <w:r>
              <w:rPr>
                <w:sz w:val="21"/>
              </w:rPr>
              <w:t>计入当期损益的政府补助，但与公司正常经营业务密切相关，符合国家政策规定、按照一定标准定额或定量持续享受的政府补助除外</w:t>
            </w:r>
          </w:p>
        </w:tc>
        <w:tc>
          <w:tcPr>
            <w:tcW w:w="1287" w:type="dxa"/>
          </w:tcPr>
          <w:p>
            <w:pPr>
              <w:pStyle w:val="TableParagraph"/>
              <w:rPr>
                <w:sz w:val="22"/>
              </w:rPr>
            </w:pPr>
          </w:p>
          <w:p>
            <w:pPr>
              <w:pStyle w:val="TableParagraph"/>
              <w:spacing w:before="12"/>
              <w:rPr>
                <w:sz w:val="31"/>
              </w:rPr>
            </w:pPr>
          </w:p>
          <w:p>
            <w:pPr>
              <w:pStyle w:val="TableParagraph"/>
              <w:ind w:left="338"/>
              <w:rPr>
                <w:rFonts w:ascii="Times New Roman"/>
                <w:sz w:val="21"/>
              </w:rPr>
            </w:pPr>
            <w:r>
              <w:rPr>
                <w:rFonts w:ascii="Times New Roman"/>
                <w:sz w:val="21"/>
              </w:rPr>
              <w:t>1,876,971</w:t>
            </w:r>
          </w:p>
        </w:tc>
        <w:tc>
          <w:tcPr>
            <w:tcW w:w="1471" w:type="dxa"/>
          </w:tcPr>
          <w:p>
            <w:pPr>
              <w:pStyle w:val="TableParagraph"/>
              <w:spacing w:line="242" w:lineRule="auto" w:before="1"/>
              <w:ind w:left="107" w:right="43"/>
              <w:jc w:val="both"/>
              <w:rPr>
                <w:sz w:val="21"/>
              </w:rPr>
            </w:pPr>
            <w:r>
              <w:rPr>
                <w:spacing w:val="40"/>
                <w:sz w:val="21"/>
              </w:rPr>
              <w:t>参见第十节</w:t>
            </w:r>
            <w:r>
              <w:rPr>
                <w:spacing w:val="12"/>
                <w:sz w:val="21"/>
              </w:rPr>
              <w:t>财 务 报 告</w:t>
            </w:r>
            <w:r>
              <w:rPr>
                <w:spacing w:val="40"/>
                <w:sz w:val="21"/>
              </w:rPr>
              <w:t>七、合并财务报表项目</w:t>
            </w:r>
            <w:r>
              <w:rPr>
                <w:spacing w:val="17"/>
                <w:sz w:val="21"/>
              </w:rPr>
              <w:t>注释 </w:t>
            </w:r>
            <w:r>
              <w:rPr>
                <w:rFonts w:ascii="Times New Roman" w:eastAsia="Times New Roman"/>
                <w:sz w:val="21"/>
              </w:rPr>
              <w:t>67</w:t>
            </w:r>
            <w:r>
              <w:rPr>
                <w:rFonts w:ascii="Times New Roman" w:eastAsia="Times New Roman"/>
                <w:spacing w:val="-30"/>
                <w:sz w:val="21"/>
              </w:rPr>
              <w:t> </w:t>
            </w:r>
            <w:r>
              <w:rPr>
                <w:spacing w:val="26"/>
                <w:sz w:val="21"/>
              </w:rPr>
              <w:t>、其</w:t>
            </w:r>
          </w:p>
          <w:p>
            <w:pPr>
              <w:pStyle w:val="TableParagraph"/>
              <w:spacing w:line="250" w:lineRule="exact" w:before="4"/>
              <w:ind w:left="107"/>
              <w:rPr>
                <w:sz w:val="21"/>
              </w:rPr>
            </w:pPr>
            <w:r>
              <w:rPr>
                <w:sz w:val="21"/>
              </w:rPr>
              <w:t>他收益</w:t>
            </w:r>
          </w:p>
        </w:tc>
        <w:tc>
          <w:tcPr>
            <w:tcW w:w="1282" w:type="dxa"/>
          </w:tcPr>
          <w:p>
            <w:pPr>
              <w:pStyle w:val="TableParagraph"/>
              <w:rPr>
                <w:sz w:val="22"/>
              </w:rPr>
            </w:pPr>
          </w:p>
          <w:p>
            <w:pPr>
              <w:pStyle w:val="TableParagraph"/>
              <w:spacing w:before="12"/>
              <w:rPr>
                <w:sz w:val="31"/>
              </w:rPr>
            </w:pPr>
          </w:p>
          <w:p>
            <w:pPr>
              <w:pStyle w:val="TableParagraph"/>
              <w:ind w:right="94"/>
              <w:jc w:val="right"/>
              <w:rPr>
                <w:rFonts w:ascii="Times New Roman"/>
                <w:sz w:val="21"/>
              </w:rPr>
            </w:pPr>
            <w:r>
              <w:rPr>
                <w:rFonts w:ascii="Times New Roman"/>
                <w:sz w:val="21"/>
              </w:rPr>
              <w:t>1,371,300</w:t>
            </w:r>
          </w:p>
        </w:tc>
        <w:tc>
          <w:tcPr>
            <w:tcW w:w="1265" w:type="dxa"/>
          </w:tcPr>
          <w:p>
            <w:pPr>
              <w:pStyle w:val="TableParagraph"/>
              <w:rPr>
                <w:sz w:val="22"/>
              </w:rPr>
            </w:pPr>
          </w:p>
          <w:p>
            <w:pPr>
              <w:pStyle w:val="TableParagraph"/>
              <w:spacing w:before="12"/>
              <w:rPr>
                <w:sz w:val="31"/>
              </w:rPr>
            </w:pPr>
          </w:p>
          <w:p>
            <w:pPr>
              <w:pStyle w:val="TableParagraph"/>
              <w:ind w:right="93"/>
              <w:jc w:val="right"/>
              <w:rPr>
                <w:rFonts w:ascii="Times New Roman"/>
                <w:sz w:val="21"/>
              </w:rPr>
            </w:pPr>
            <w:r>
              <w:rPr>
                <w:rFonts w:ascii="Times New Roman"/>
                <w:sz w:val="21"/>
              </w:rPr>
              <w:t>1,577,340</w:t>
            </w:r>
          </w:p>
        </w:tc>
      </w:tr>
      <w:tr>
        <w:trPr>
          <w:trHeight w:val="544" w:hRule="atLeast"/>
        </w:trPr>
        <w:tc>
          <w:tcPr>
            <w:tcW w:w="3519" w:type="dxa"/>
          </w:tcPr>
          <w:p>
            <w:pPr>
              <w:pStyle w:val="TableParagraph"/>
              <w:spacing w:before="1"/>
              <w:ind w:left="107"/>
              <w:rPr>
                <w:sz w:val="21"/>
              </w:rPr>
            </w:pPr>
            <w:r>
              <w:rPr>
                <w:sz w:val="21"/>
              </w:rPr>
              <w:t>计入当期损益的对非金融企业收取</w:t>
            </w:r>
          </w:p>
          <w:p>
            <w:pPr>
              <w:pStyle w:val="TableParagraph"/>
              <w:spacing w:line="250" w:lineRule="exact" w:before="4"/>
              <w:ind w:left="107"/>
              <w:rPr>
                <w:sz w:val="21"/>
              </w:rPr>
            </w:pPr>
            <w:r>
              <w:rPr>
                <w:sz w:val="21"/>
              </w:rPr>
              <w:t>的资金占用费</w:t>
            </w:r>
          </w:p>
        </w:tc>
        <w:tc>
          <w:tcPr>
            <w:tcW w:w="1287" w:type="dxa"/>
          </w:tcPr>
          <w:p>
            <w:pPr>
              <w:pStyle w:val="TableParagraph"/>
              <w:spacing w:before="133"/>
              <w:ind w:right="-15"/>
              <w:jc w:val="right"/>
              <w:rPr>
                <w:sz w:val="21"/>
              </w:rPr>
            </w:pPr>
            <w:r>
              <w:rPr>
                <w:w w:val="100"/>
                <w:sz w:val="21"/>
              </w:rPr>
              <w:t> </w:t>
            </w:r>
          </w:p>
        </w:tc>
        <w:tc>
          <w:tcPr>
            <w:tcW w:w="1471" w:type="dxa"/>
          </w:tcPr>
          <w:p>
            <w:pPr>
              <w:pStyle w:val="TableParagraph"/>
              <w:spacing w:before="133"/>
              <w:ind w:left="107"/>
              <w:rPr>
                <w:sz w:val="21"/>
              </w:rPr>
            </w:pPr>
            <w:r>
              <w:rPr>
                <w:w w:val="100"/>
                <w:sz w:val="21"/>
              </w:rPr>
              <w:t> </w:t>
            </w:r>
          </w:p>
        </w:tc>
        <w:tc>
          <w:tcPr>
            <w:tcW w:w="1282" w:type="dxa"/>
          </w:tcPr>
          <w:p>
            <w:pPr>
              <w:pStyle w:val="TableParagraph"/>
              <w:rPr>
                <w:rFonts w:ascii="Times New Roman"/>
                <w:sz w:val="20"/>
              </w:rPr>
            </w:pPr>
          </w:p>
        </w:tc>
        <w:tc>
          <w:tcPr>
            <w:tcW w:w="1265" w:type="dxa"/>
          </w:tcPr>
          <w:p>
            <w:pPr>
              <w:pStyle w:val="TableParagraph"/>
              <w:rPr>
                <w:rFonts w:ascii="Times New Roman"/>
                <w:sz w:val="20"/>
              </w:rPr>
            </w:pPr>
          </w:p>
        </w:tc>
      </w:tr>
      <w:tr>
        <w:trPr>
          <w:trHeight w:val="1089" w:hRule="atLeast"/>
        </w:trPr>
        <w:tc>
          <w:tcPr>
            <w:tcW w:w="3519" w:type="dxa"/>
          </w:tcPr>
          <w:p>
            <w:pPr>
              <w:pStyle w:val="TableParagraph"/>
              <w:spacing w:line="242" w:lineRule="auto" w:before="4"/>
              <w:ind w:left="107" w:right="245"/>
              <w:jc w:val="both"/>
              <w:rPr>
                <w:sz w:val="21"/>
              </w:rPr>
            </w:pPr>
            <w:r>
              <w:rPr>
                <w:sz w:val="21"/>
              </w:rPr>
              <w:t>企业取得子公司、联营企业及合营企业的投资成本小于取得投资时应享有被投资单位可辨认净资产公允</w:t>
            </w:r>
          </w:p>
          <w:p>
            <w:pPr>
              <w:pStyle w:val="TableParagraph"/>
              <w:spacing w:line="250" w:lineRule="exact"/>
              <w:ind w:left="107"/>
              <w:rPr>
                <w:sz w:val="21"/>
              </w:rPr>
            </w:pPr>
            <w:r>
              <w:rPr>
                <w:sz w:val="21"/>
              </w:rPr>
              <w:t>价值产生的收益</w:t>
            </w:r>
          </w:p>
        </w:tc>
        <w:tc>
          <w:tcPr>
            <w:tcW w:w="1287" w:type="dxa"/>
          </w:tcPr>
          <w:p>
            <w:pPr>
              <w:pStyle w:val="TableParagraph"/>
              <w:rPr>
                <w:sz w:val="20"/>
              </w:rPr>
            </w:pPr>
          </w:p>
          <w:p>
            <w:pPr>
              <w:pStyle w:val="TableParagraph"/>
              <w:spacing w:before="148"/>
              <w:ind w:right="-15"/>
              <w:jc w:val="right"/>
              <w:rPr>
                <w:sz w:val="21"/>
              </w:rPr>
            </w:pPr>
            <w:r>
              <w:rPr>
                <w:w w:val="100"/>
                <w:sz w:val="21"/>
              </w:rPr>
              <w:t> </w:t>
            </w:r>
          </w:p>
        </w:tc>
        <w:tc>
          <w:tcPr>
            <w:tcW w:w="1471" w:type="dxa"/>
          </w:tcPr>
          <w:p>
            <w:pPr>
              <w:pStyle w:val="TableParagraph"/>
              <w:rPr>
                <w:sz w:val="20"/>
              </w:rPr>
            </w:pPr>
          </w:p>
          <w:p>
            <w:pPr>
              <w:pStyle w:val="TableParagraph"/>
              <w:spacing w:before="148"/>
              <w:ind w:left="107"/>
              <w:rPr>
                <w:sz w:val="21"/>
              </w:rPr>
            </w:pPr>
            <w:r>
              <w:rPr>
                <w:w w:val="100"/>
                <w:sz w:val="21"/>
              </w:rPr>
              <w:t> </w:t>
            </w:r>
          </w:p>
        </w:tc>
        <w:tc>
          <w:tcPr>
            <w:tcW w:w="1282" w:type="dxa"/>
          </w:tcPr>
          <w:p>
            <w:pPr>
              <w:pStyle w:val="TableParagraph"/>
              <w:rPr>
                <w:rFonts w:ascii="Times New Roman"/>
                <w:sz w:val="20"/>
              </w:rPr>
            </w:pPr>
          </w:p>
        </w:tc>
        <w:tc>
          <w:tcPr>
            <w:tcW w:w="1265" w:type="dxa"/>
          </w:tcPr>
          <w:p>
            <w:pPr>
              <w:pStyle w:val="TableParagraph"/>
              <w:rPr>
                <w:rFonts w:ascii="Times New Roman"/>
                <w:sz w:val="20"/>
              </w:rPr>
            </w:pPr>
          </w:p>
        </w:tc>
      </w:tr>
      <w:tr>
        <w:trPr>
          <w:trHeight w:val="273" w:hRule="atLeast"/>
        </w:trPr>
        <w:tc>
          <w:tcPr>
            <w:tcW w:w="3519" w:type="dxa"/>
          </w:tcPr>
          <w:p>
            <w:pPr>
              <w:pStyle w:val="TableParagraph"/>
              <w:spacing w:line="250" w:lineRule="exact" w:before="3"/>
              <w:ind w:left="107"/>
              <w:rPr>
                <w:sz w:val="21"/>
              </w:rPr>
            </w:pPr>
            <w:r>
              <w:rPr>
                <w:sz w:val="21"/>
              </w:rPr>
              <w:t>非货币性资产交换损益</w:t>
            </w:r>
          </w:p>
        </w:tc>
        <w:tc>
          <w:tcPr>
            <w:tcW w:w="1287" w:type="dxa"/>
          </w:tcPr>
          <w:p>
            <w:pPr>
              <w:pStyle w:val="TableParagraph"/>
              <w:spacing w:line="253" w:lineRule="exact"/>
              <w:ind w:right="-15"/>
              <w:jc w:val="right"/>
              <w:rPr>
                <w:sz w:val="21"/>
              </w:rPr>
            </w:pPr>
            <w:r>
              <w:rPr>
                <w:w w:val="100"/>
                <w:sz w:val="21"/>
              </w:rPr>
              <w:t> </w:t>
            </w:r>
          </w:p>
        </w:tc>
        <w:tc>
          <w:tcPr>
            <w:tcW w:w="1471" w:type="dxa"/>
          </w:tcPr>
          <w:p>
            <w:pPr>
              <w:pStyle w:val="TableParagraph"/>
              <w:spacing w:line="253" w:lineRule="exact"/>
              <w:ind w:left="107"/>
              <w:rPr>
                <w:sz w:val="21"/>
              </w:rPr>
            </w:pPr>
            <w:r>
              <w:rPr>
                <w:w w:val="100"/>
                <w:sz w:val="21"/>
              </w:rPr>
              <w:t> </w:t>
            </w:r>
          </w:p>
        </w:tc>
        <w:tc>
          <w:tcPr>
            <w:tcW w:w="1282" w:type="dxa"/>
          </w:tcPr>
          <w:p>
            <w:pPr>
              <w:pStyle w:val="TableParagraph"/>
              <w:rPr>
                <w:rFonts w:ascii="Times New Roman"/>
                <w:sz w:val="20"/>
              </w:rPr>
            </w:pPr>
          </w:p>
        </w:tc>
        <w:tc>
          <w:tcPr>
            <w:tcW w:w="1265" w:type="dxa"/>
          </w:tcPr>
          <w:p>
            <w:pPr>
              <w:pStyle w:val="TableParagraph"/>
              <w:rPr>
                <w:rFonts w:ascii="Times New Roman"/>
                <w:sz w:val="20"/>
              </w:rPr>
            </w:pPr>
          </w:p>
        </w:tc>
      </w:tr>
      <w:tr>
        <w:trPr>
          <w:trHeight w:val="273" w:hRule="atLeast"/>
        </w:trPr>
        <w:tc>
          <w:tcPr>
            <w:tcW w:w="3519" w:type="dxa"/>
          </w:tcPr>
          <w:p>
            <w:pPr>
              <w:pStyle w:val="TableParagraph"/>
              <w:spacing w:line="252" w:lineRule="exact" w:before="1"/>
              <w:ind w:left="107"/>
              <w:rPr>
                <w:sz w:val="21"/>
              </w:rPr>
            </w:pPr>
            <w:r>
              <w:rPr>
                <w:sz w:val="21"/>
              </w:rPr>
              <w:t>委托他人投资或管理资产的损益</w:t>
            </w:r>
          </w:p>
        </w:tc>
        <w:tc>
          <w:tcPr>
            <w:tcW w:w="1287" w:type="dxa"/>
          </w:tcPr>
          <w:p>
            <w:pPr>
              <w:pStyle w:val="TableParagraph"/>
              <w:spacing w:line="253" w:lineRule="exact"/>
              <w:ind w:right="-15"/>
              <w:jc w:val="right"/>
              <w:rPr>
                <w:sz w:val="21"/>
              </w:rPr>
            </w:pPr>
            <w:r>
              <w:rPr>
                <w:w w:val="100"/>
                <w:sz w:val="21"/>
              </w:rPr>
              <w:t> </w:t>
            </w:r>
          </w:p>
        </w:tc>
        <w:tc>
          <w:tcPr>
            <w:tcW w:w="1471" w:type="dxa"/>
          </w:tcPr>
          <w:p>
            <w:pPr>
              <w:pStyle w:val="TableParagraph"/>
              <w:spacing w:line="253" w:lineRule="exact"/>
              <w:ind w:left="107"/>
              <w:rPr>
                <w:sz w:val="21"/>
              </w:rPr>
            </w:pPr>
            <w:r>
              <w:rPr>
                <w:w w:val="100"/>
                <w:sz w:val="21"/>
              </w:rPr>
              <w:t> </w:t>
            </w:r>
          </w:p>
        </w:tc>
        <w:tc>
          <w:tcPr>
            <w:tcW w:w="1282" w:type="dxa"/>
          </w:tcPr>
          <w:p>
            <w:pPr>
              <w:pStyle w:val="TableParagraph"/>
              <w:rPr>
                <w:rFonts w:ascii="Times New Roman"/>
                <w:sz w:val="20"/>
              </w:rPr>
            </w:pPr>
          </w:p>
        </w:tc>
        <w:tc>
          <w:tcPr>
            <w:tcW w:w="1265" w:type="dxa"/>
          </w:tcPr>
          <w:p>
            <w:pPr>
              <w:pStyle w:val="TableParagraph"/>
              <w:rPr>
                <w:rFonts w:ascii="Times New Roman"/>
                <w:sz w:val="20"/>
              </w:rPr>
            </w:pPr>
          </w:p>
        </w:tc>
      </w:tr>
      <w:tr>
        <w:trPr>
          <w:trHeight w:val="544" w:hRule="atLeast"/>
        </w:trPr>
        <w:tc>
          <w:tcPr>
            <w:tcW w:w="3519" w:type="dxa"/>
          </w:tcPr>
          <w:p>
            <w:pPr>
              <w:pStyle w:val="TableParagraph"/>
              <w:spacing w:before="1"/>
              <w:ind w:left="107"/>
              <w:rPr>
                <w:sz w:val="21"/>
              </w:rPr>
            </w:pPr>
            <w:r>
              <w:rPr>
                <w:sz w:val="21"/>
              </w:rPr>
              <w:t>因不可抗力因素，如遭受自然灾害</w:t>
            </w:r>
          </w:p>
          <w:p>
            <w:pPr>
              <w:pStyle w:val="TableParagraph"/>
              <w:spacing w:line="252" w:lineRule="exact" w:before="2"/>
              <w:ind w:left="107"/>
              <w:rPr>
                <w:sz w:val="21"/>
              </w:rPr>
            </w:pPr>
            <w:r>
              <w:rPr>
                <w:spacing w:val="-1"/>
                <w:sz w:val="21"/>
              </w:rPr>
              <w:t>而计提的各项资产减值准备</w:t>
            </w:r>
          </w:p>
        </w:tc>
        <w:tc>
          <w:tcPr>
            <w:tcW w:w="1287" w:type="dxa"/>
          </w:tcPr>
          <w:p>
            <w:pPr>
              <w:pStyle w:val="TableParagraph"/>
              <w:spacing w:before="130"/>
              <w:ind w:right="-15"/>
              <w:jc w:val="right"/>
              <w:rPr>
                <w:sz w:val="21"/>
              </w:rPr>
            </w:pPr>
            <w:r>
              <w:rPr>
                <w:w w:val="100"/>
                <w:sz w:val="21"/>
              </w:rPr>
              <w:t> </w:t>
            </w:r>
          </w:p>
        </w:tc>
        <w:tc>
          <w:tcPr>
            <w:tcW w:w="1471" w:type="dxa"/>
          </w:tcPr>
          <w:p>
            <w:pPr>
              <w:pStyle w:val="TableParagraph"/>
              <w:spacing w:before="130"/>
              <w:ind w:left="107"/>
              <w:rPr>
                <w:sz w:val="21"/>
              </w:rPr>
            </w:pPr>
            <w:r>
              <w:rPr>
                <w:w w:val="100"/>
                <w:sz w:val="21"/>
              </w:rPr>
              <w:t> </w:t>
            </w:r>
          </w:p>
        </w:tc>
        <w:tc>
          <w:tcPr>
            <w:tcW w:w="1282" w:type="dxa"/>
          </w:tcPr>
          <w:p>
            <w:pPr>
              <w:pStyle w:val="TableParagraph"/>
              <w:rPr>
                <w:rFonts w:ascii="Times New Roman"/>
                <w:sz w:val="20"/>
              </w:rPr>
            </w:pPr>
          </w:p>
        </w:tc>
        <w:tc>
          <w:tcPr>
            <w:tcW w:w="1265" w:type="dxa"/>
          </w:tcPr>
          <w:p>
            <w:pPr>
              <w:pStyle w:val="TableParagraph"/>
              <w:rPr>
                <w:rFonts w:ascii="Times New Roman"/>
                <w:sz w:val="20"/>
              </w:rPr>
            </w:pPr>
          </w:p>
        </w:tc>
      </w:tr>
      <w:tr>
        <w:trPr>
          <w:trHeight w:val="270" w:hRule="atLeast"/>
        </w:trPr>
        <w:tc>
          <w:tcPr>
            <w:tcW w:w="3519" w:type="dxa"/>
          </w:tcPr>
          <w:p>
            <w:pPr>
              <w:pStyle w:val="TableParagraph"/>
              <w:spacing w:line="250" w:lineRule="exact" w:before="1"/>
              <w:ind w:left="107"/>
              <w:rPr>
                <w:sz w:val="21"/>
              </w:rPr>
            </w:pPr>
            <w:r>
              <w:rPr>
                <w:sz w:val="21"/>
              </w:rPr>
              <w:t>债务重组损益</w:t>
            </w:r>
          </w:p>
        </w:tc>
        <w:tc>
          <w:tcPr>
            <w:tcW w:w="1287" w:type="dxa"/>
          </w:tcPr>
          <w:p>
            <w:pPr>
              <w:pStyle w:val="TableParagraph"/>
              <w:spacing w:line="251" w:lineRule="exact"/>
              <w:ind w:right="-15"/>
              <w:jc w:val="right"/>
              <w:rPr>
                <w:sz w:val="21"/>
              </w:rPr>
            </w:pPr>
            <w:r>
              <w:rPr>
                <w:w w:val="100"/>
                <w:sz w:val="21"/>
              </w:rPr>
              <w:t> </w:t>
            </w:r>
          </w:p>
        </w:tc>
        <w:tc>
          <w:tcPr>
            <w:tcW w:w="1471" w:type="dxa"/>
          </w:tcPr>
          <w:p>
            <w:pPr>
              <w:pStyle w:val="TableParagraph"/>
              <w:spacing w:line="251" w:lineRule="exact"/>
              <w:ind w:left="107"/>
              <w:rPr>
                <w:sz w:val="21"/>
              </w:rPr>
            </w:pPr>
            <w:r>
              <w:rPr>
                <w:w w:val="100"/>
                <w:sz w:val="21"/>
              </w:rPr>
              <w:t> </w:t>
            </w:r>
          </w:p>
        </w:tc>
        <w:tc>
          <w:tcPr>
            <w:tcW w:w="1282" w:type="dxa"/>
          </w:tcPr>
          <w:p>
            <w:pPr>
              <w:pStyle w:val="TableParagraph"/>
              <w:rPr>
                <w:rFonts w:ascii="Times New Roman"/>
                <w:sz w:val="20"/>
              </w:rPr>
            </w:pPr>
          </w:p>
        </w:tc>
        <w:tc>
          <w:tcPr>
            <w:tcW w:w="1265" w:type="dxa"/>
          </w:tcPr>
          <w:p>
            <w:pPr>
              <w:pStyle w:val="TableParagraph"/>
              <w:rPr>
                <w:rFonts w:ascii="Times New Roman"/>
                <w:sz w:val="20"/>
              </w:rPr>
            </w:pPr>
          </w:p>
        </w:tc>
      </w:tr>
      <w:tr>
        <w:trPr>
          <w:trHeight w:val="273" w:hRule="atLeast"/>
        </w:trPr>
        <w:tc>
          <w:tcPr>
            <w:tcW w:w="3519" w:type="dxa"/>
          </w:tcPr>
          <w:p>
            <w:pPr>
              <w:pStyle w:val="TableParagraph"/>
              <w:spacing w:line="250" w:lineRule="exact" w:before="3"/>
              <w:ind w:left="107"/>
              <w:rPr>
                <w:sz w:val="21"/>
              </w:rPr>
            </w:pPr>
            <w:r>
              <w:rPr>
                <w:sz w:val="21"/>
              </w:rPr>
              <w:t>企业重组费用，如安置职工的支</w:t>
            </w:r>
          </w:p>
        </w:tc>
        <w:tc>
          <w:tcPr>
            <w:tcW w:w="1287" w:type="dxa"/>
          </w:tcPr>
          <w:p>
            <w:pPr>
              <w:pStyle w:val="TableParagraph"/>
              <w:spacing w:line="253" w:lineRule="exact"/>
              <w:ind w:right="-15"/>
              <w:jc w:val="right"/>
              <w:rPr>
                <w:sz w:val="21"/>
              </w:rPr>
            </w:pPr>
            <w:r>
              <w:rPr>
                <w:w w:val="100"/>
                <w:sz w:val="21"/>
              </w:rPr>
              <w:t> </w:t>
            </w:r>
          </w:p>
        </w:tc>
        <w:tc>
          <w:tcPr>
            <w:tcW w:w="1471" w:type="dxa"/>
          </w:tcPr>
          <w:p>
            <w:pPr>
              <w:pStyle w:val="TableParagraph"/>
              <w:spacing w:line="253" w:lineRule="exact"/>
              <w:ind w:left="107"/>
              <w:rPr>
                <w:sz w:val="21"/>
              </w:rPr>
            </w:pPr>
            <w:r>
              <w:rPr>
                <w:w w:val="100"/>
                <w:sz w:val="21"/>
              </w:rPr>
              <w:t> </w:t>
            </w:r>
          </w:p>
        </w:tc>
        <w:tc>
          <w:tcPr>
            <w:tcW w:w="1282" w:type="dxa"/>
          </w:tcPr>
          <w:p>
            <w:pPr>
              <w:pStyle w:val="TableParagraph"/>
              <w:rPr>
                <w:rFonts w:ascii="Times New Roman"/>
                <w:sz w:val="20"/>
              </w:rPr>
            </w:pPr>
          </w:p>
        </w:tc>
        <w:tc>
          <w:tcPr>
            <w:tcW w:w="1265" w:type="dxa"/>
          </w:tcPr>
          <w:p>
            <w:pPr>
              <w:pStyle w:val="TableParagraph"/>
              <w:rPr>
                <w:rFonts w:ascii="Times New Roman"/>
                <w:sz w:val="20"/>
              </w:rPr>
            </w:pPr>
          </w:p>
        </w:tc>
      </w:tr>
    </w:tbl>
    <w:p>
      <w:pPr>
        <w:spacing w:after="0"/>
        <w:rPr>
          <w:rFonts w:ascii="Times New Roman"/>
          <w:sz w:val="20"/>
        </w:rPr>
        <w:sectPr>
          <w:pgSz w:w="11910" w:h="16840"/>
          <w:pgMar w:header="880" w:footer="1195" w:top="1120" w:bottom="1380" w:left="1160" w:right="940"/>
        </w:sectPr>
      </w:pPr>
    </w:p>
    <w:p>
      <w:pPr>
        <w:pStyle w:val="BodyText"/>
        <w:ind w:left="0"/>
        <w:rPr>
          <w:sz w:val="20"/>
        </w:rPr>
      </w:pPr>
    </w:p>
    <w:p>
      <w:pPr>
        <w:pStyle w:val="BodyText"/>
        <w:spacing w:before="3"/>
        <w:ind w:left="0"/>
        <w:rPr>
          <w:sz w:val="11"/>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9"/>
        <w:gridCol w:w="1287"/>
        <w:gridCol w:w="1471"/>
        <w:gridCol w:w="1282"/>
        <w:gridCol w:w="1265"/>
      </w:tblGrid>
      <w:tr>
        <w:trPr>
          <w:trHeight w:val="273" w:hRule="atLeast"/>
        </w:trPr>
        <w:tc>
          <w:tcPr>
            <w:tcW w:w="3519" w:type="dxa"/>
          </w:tcPr>
          <w:p>
            <w:pPr>
              <w:pStyle w:val="TableParagraph"/>
              <w:spacing w:line="250" w:lineRule="exact" w:before="3"/>
              <w:ind w:left="107"/>
              <w:rPr>
                <w:sz w:val="21"/>
              </w:rPr>
            </w:pPr>
            <w:r>
              <w:rPr>
                <w:sz w:val="21"/>
              </w:rPr>
              <w:t>出、整合费用等</w:t>
            </w:r>
          </w:p>
        </w:tc>
        <w:tc>
          <w:tcPr>
            <w:tcW w:w="1287" w:type="dxa"/>
          </w:tcPr>
          <w:p>
            <w:pPr>
              <w:pStyle w:val="TableParagraph"/>
              <w:rPr>
                <w:rFonts w:ascii="Times New Roman"/>
                <w:sz w:val="20"/>
              </w:rPr>
            </w:pPr>
          </w:p>
        </w:tc>
        <w:tc>
          <w:tcPr>
            <w:tcW w:w="1471" w:type="dxa"/>
          </w:tcPr>
          <w:p>
            <w:pPr>
              <w:pStyle w:val="TableParagraph"/>
              <w:rPr>
                <w:rFonts w:ascii="Times New Roman"/>
                <w:sz w:val="20"/>
              </w:rPr>
            </w:pPr>
          </w:p>
        </w:tc>
        <w:tc>
          <w:tcPr>
            <w:tcW w:w="1282" w:type="dxa"/>
          </w:tcPr>
          <w:p>
            <w:pPr>
              <w:pStyle w:val="TableParagraph"/>
              <w:rPr>
                <w:rFonts w:ascii="Times New Roman"/>
                <w:sz w:val="20"/>
              </w:rPr>
            </w:pPr>
          </w:p>
        </w:tc>
        <w:tc>
          <w:tcPr>
            <w:tcW w:w="1265" w:type="dxa"/>
          </w:tcPr>
          <w:p>
            <w:pPr>
              <w:pStyle w:val="TableParagraph"/>
              <w:rPr>
                <w:rFonts w:ascii="Times New Roman"/>
                <w:sz w:val="20"/>
              </w:rPr>
            </w:pPr>
          </w:p>
        </w:tc>
      </w:tr>
      <w:tr>
        <w:trPr>
          <w:trHeight w:val="544" w:hRule="atLeast"/>
        </w:trPr>
        <w:tc>
          <w:tcPr>
            <w:tcW w:w="3519" w:type="dxa"/>
          </w:tcPr>
          <w:p>
            <w:pPr>
              <w:pStyle w:val="TableParagraph"/>
              <w:spacing w:before="1"/>
              <w:ind w:left="107"/>
              <w:rPr>
                <w:sz w:val="21"/>
              </w:rPr>
            </w:pPr>
            <w:r>
              <w:rPr>
                <w:sz w:val="21"/>
              </w:rPr>
              <w:t>交易价格显失公允的交易产生的超</w:t>
            </w:r>
          </w:p>
          <w:p>
            <w:pPr>
              <w:pStyle w:val="TableParagraph"/>
              <w:spacing w:line="250" w:lineRule="exact" w:before="4"/>
              <w:ind w:left="107"/>
              <w:rPr>
                <w:sz w:val="21"/>
              </w:rPr>
            </w:pPr>
            <w:r>
              <w:rPr>
                <w:sz w:val="21"/>
              </w:rPr>
              <w:t>过公允价值部分的损益</w:t>
            </w:r>
          </w:p>
        </w:tc>
        <w:tc>
          <w:tcPr>
            <w:tcW w:w="1287" w:type="dxa"/>
          </w:tcPr>
          <w:p>
            <w:pPr>
              <w:pStyle w:val="TableParagraph"/>
              <w:spacing w:before="130"/>
              <w:ind w:right="-15"/>
              <w:jc w:val="right"/>
              <w:rPr>
                <w:sz w:val="21"/>
              </w:rPr>
            </w:pPr>
            <w:r>
              <w:rPr>
                <w:w w:val="100"/>
                <w:sz w:val="21"/>
              </w:rPr>
              <w:t> </w:t>
            </w:r>
          </w:p>
        </w:tc>
        <w:tc>
          <w:tcPr>
            <w:tcW w:w="1471" w:type="dxa"/>
          </w:tcPr>
          <w:p>
            <w:pPr>
              <w:pStyle w:val="TableParagraph"/>
              <w:spacing w:before="130"/>
              <w:ind w:left="107"/>
              <w:rPr>
                <w:sz w:val="21"/>
              </w:rPr>
            </w:pPr>
            <w:r>
              <w:rPr>
                <w:w w:val="100"/>
                <w:sz w:val="21"/>
              </w:rPr>
              <w:t> </w:t>
            </w:r>
          </w:p>
        </w:tc>
        <w:tc>
          <w:tcPr>
            <w:tcW w:w="1282" w:type="dxa"/>
          </w:tcPr>
          <w:p>
            <w:pPr>
              <w:pStyle w:val="TableParagraph"/>
              <w:rPr>
                <w:rFonts w:ascii="Times New Roman"/>
                <w:sz w:val="20"/>
              </w:rPr>
            </w:pPr>
          </w:p>
        </w:tc>
        <w:tc>
          <w:tcPr>
            <w:tcW w:w="1265" w:type="dxa"/>
          </w:tcPr>
          <w:p>
            <w:pPr>
              <w:pStyle w:val="TableParagraph"/>
              <w:rPr>
                <w:rFonts w:ascii="Times New Roman"/>
                <w:sz w:val="20"/>
              </w:rPr>
            </w:pPr>
          </w:p>
        </w:tc>
      </w:tr>
      <w:tr>
        <w:trPr>
          <w:trHeight w:val="544" w:hRule="atLeast"/>
        </w:trPr>
        <w:tc>
          <w:tcPr>
            <w:tcW w:w="3519" w:type="dxa"/>
          </w:tcPr>
          <w:p>
            <w:pPr>
              <w:pStyle w:val="TableParagraph"/>
              <w:spacing w:before="1"/>
              <w:ind w:left="107"/>
              <w:rPr>
                <w:sz w:val="21"/>
              </w:rPr>
            </w:pPr>
            <w:r>
              <w:rPr>
                <w:sz w:val="21"/>
              </w:rPr>
              <w:t>同一控制下企业合并产生的子公司</w:t>
            </w:r>
          </w:p>
          <w:p>
            <w:pPr>
              <w:pStyle w:val="TableParagraph"/>
              <w:spacing w:line="250" w:lineRule="exact" w:before="4"/>
              <w:ind w:left="107"/>
              <w:rPr>
                <w:sz w:val="21"/>
              </w:rPr>
            </w:pPr>
            <w:r>
              <w:rPr>
                <w:spacing w:val="-1"/>
                <w:sz w:val="21"/>
              </w:rPr>
              <w:t>期初至合并日的当期净损益</w:t>
            </w:r>
          </w:p>
        </w:tc>
        <w:tc>
          <w:tcPr>
            <w:tcW w:w="1287" w:type="dxa"/>
          </w:tcPr>
          <w:p>
            <w:pPr>
              <w:pStyle w:val="TableParagraph"/>
              <w:spacing w:before="133"/>
              <w:ind w:right="-15"/>
              <w:jc w:val="right"/>
              <w:rPr>
                <w:sz w:val="21"/>
              </w:rPr>
            </w:pPr>
            <w:r>
              <w:rPr>
                <w:w w:val="100"/>
                <w:sz w:val="21"/>
              </w:rPr>
              <w:t> </w:t>
            </w:r>
          </w:p>
        </w:tc>
        <w:tc>
          <w:tcPr>
            <w:tcW w:w="1471" w:type="dxa"/>
          </w:tcPr>
          <w:p>
            <w:pPr>
              <w:pStyle w:val="TableParagraph"/>
              <w:spacing w:before="133"/>
              <w:ind w:left="107"/>
              <w:rPr>
                <w:sz w:val="21"/>
              </w:rPr>
            </w:pPr>
            <w:r>
              <w:rPr>
                <w:w w:val="100"/>
                <w:sz w:val="21"/>
              </w:rPr>
              <w:t> </w:t>
            </w:r>
          </w:p>
        </w:tc>
        <w:tc>
          <w:tcPr>
            <w:tcW w:w="1282" w:type="dxa"/>
          </w:tcPr>
          <w:p>
            <w:pPr>
              <w:pStyle w:val="TableParagraph"/>
              <w:rPr>
                <w:rFonts w:ascii="Times New Roman"/>
                <w:sz w:val="20"/>
              </w:rPr>
            </w:pPr>
          </w:p>
        </w:tc>
        <w:tc>
          <w:tcPr>
            <w:tcW w:w="1265" w:type="dxa"/>
          </w:tcPr>
          <w:p>
            <w:pPr>
              <w:pStyle w:val="TableParagraph"/>
              <w:rPr>
                <w:rFonts w:ascii="Times New Roman"/>
                <w:sz w:val="20"/>
              </w:rPr>
            </w:pPr>
          </w:p>
        </w:tc>
      </w:tr>
      <w:tr>
        <w:trPr>
          <w:trHeight w:val="544" w:hRule="atLeast"/>
        </w:trPr>
        <w:tc>
          <w:tcPr>
            <w:tcW w:w="3519" w:type="dxa"/>
          </w:tcPr>
          <w:p>
            <w:pPr>
              <w:pStyle w:val="TableParagraph"/>
              <w:spacing w:before="1"/>
              <w:ind w:left="107"/>
              <w:rPr>
                <w:sz w:val="21"/>
              </w:rPr>
            </w:pPr>
            <w:r>
              <w:rPr>
                <w:sz w:val="21"/>
              </w:rPr>
              <w:t>与公司正常经营业务无关的或有事</w:t>
            </w:r>
          </w:p>
          <w:p>
            <w:pPr>
              <w:pStyle w:val="TableParagraph"/>
              <w:spacing w:line="250" w:lineRule="exact" w:before="4"/>
              <w:ind w:left="107"/>
              <w:rPr>
                <w:sz w:val="21"/>
              </w:rPr>
            </w:pPr>
            <w:r>
              <w:rPr>
                <w:sz w:val="21"/>
              </w:rPr>
              <w:t>项产生的损益</w:t>
            </w:r>
          </w:p>
        </w:tc>
        <w:tc>
          <w:tcPr>
            <w:tcW w:w="1287" w:type="dxa"/>
          </w:tcPr>
          <w:p>
            <w:pPr>
              <w:pStyle w:val="TableParagraph"/>
              <w:spacing w:before="133"/>
              <w:ind w:right="-15"/>
              <w:jc w:val="right"/>
              <w:rPr>
                <w:sz w:val="21"/>
              </w:rPr>
            </w:pPr>
            <w:r>
              <w:rPr>
                <w:w w:val="100"/>
                <w:sz w:val="21"/>
              </w:rPr>
              <w:t> </w:t>
            </w:r>
          </w:p>
        </w:tc>
        <w:tc>
          <w:tcPr>
            <w:tcW w:w="1471" w:type="dxa"/>
          </w:tcPr>
          <w:p>
            <w:pPr>
              <w:pStyle w:val="TableParagraph"/>
              <w:spacing w:before="133"/>
              <w:ind w:left="107"/>
              <w:rPr>
                <w:sz w:val="21"/>
              </w:rPr>
            </w:pPr>
            <w:r>
              <w:rPr>
                <w:w w:val="100"/>
                <w:sz w:val="21"/>
              </w:rPr>
              <w:t> </w:t>
            </w:r>
          </w:p>
        </w:tc>
        <w:tc>
          <w:tcPr>
            <w:tcW w:w="1282" w:type="dxa"/>
          </w:tcPr>
          <w:p>
            <w:pPr>
              <w:pStyle w:val="TableParagraph"/>
              <w:rPr>
                <w:rFonts w:ascii="Times New Roman"/>
                <w:sz w:val="20"/>
              </w:rPr>
            </w:pPr>
          </w:p>
        </w:tc>
        <w:tc>
          <w:tcPr>
            <w:tcW w:w="1265" w:type="dxa"/>
          </w:tcPr>
          <w:p>
            <w:pPr>
              <w:pStyle w:val="TableParagraph"/>
              <w:rPr>
                <w:rFonts w:ascii="Times New Roman"/>
                <w:sz w:val="20"/>
              </w:rPr>
            </w:pPr>
          </w:p>
        </w:tc>
      </w:tr>
      <w:tr>
        <w:trPr>
          <w:trHeight w:val="3542" w:hRule="atLeast"/>
        </w:trPr>
        <w:tc>
          <w:tcPr>
            <w:tcW w:w="3519" w:type="dxa"/>
          </w:tcPr>
          <w:p>
            <w:pPr>
              <w:pStyle w:val="TableParagraph"/>
              <w:spacing w:line="242" w:lineRule="auto" w:before="3"/>
              <w:ind w:left="107" w:right="245"/>
              <w:jc w:val="both"/>
              <w:rPr>
                <w:sz w:val="21"/>
              </w:rPr>
            </w:pPr>
            <w:r>
              <w:rPr>
                <w:sz w:val="21"/>
              </w:rPr>
              <w:t>除同公司正常经营业务相关的有效套期保值业务外，持有交易性金融资产、衍生金融资产、交易性金融负债、衍生金融负债产生的公允价值变动损益，以及处置交易性金融资产、衍生金融资产、交易性金融负债、衍生金融负债和其他债权投资取得的投资收益</w:t>
            </w:r>
          </w:p>
        </w:tc>
        <w:tc>
          <w:tcPr>
            <w:tcW w:w="1287"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4"/>
              <w:rPr>
                <w:sz w:val="18"/>
              </w:rPr>
            </w:pPr>
          </w:p>
          <w:p>
            <w:pPr>
              <w:pStyle w:val="TableParagraph"/>
              <w:ind w:left="530"/>
              <w:rPr>
                <w:rFonts w:ascii="Times New Roman"/>
                <w:sz w:val="21"/>
              </w:rPr>
            </w:pPr>
            <w:r>
              <w:rPr>
                <w:rFonts w:ascii="Times New Roman"/>
                <w:sz w:val="21"/>
              </w:rPr>
              <w:t>-42,486</w:t>
            </w:r>
          </w:p>
        </w:tc>
        <w:tc>
          <w:tcPr>
            <w:tcW w:w="1471" w:type="dxa"/>
          </w:tcPr>
          <w:p>
            <w:pPr>
              <w:pStyle w:val="TableParagraph"/>
              <w:spacing w:line="242" w:lineRule="auto" w:before="3"/>
              <w:ind w:left="107" w:right="43"/>
              <w:jc w:val="both"/>
              <w:rPr>
                <w:sz w:val="21"/>
              </w:rPr>
            </w:pPr>
            <w:r>
              <w:rPr>
                <w:spacing w:val="40"/>
                <w:sz w:val="21"/>
              </w:rPr>
              <w:t>为降低与经营相关的人民币汇率风险，公司通过外汇远期合约及货币互换合约进</w:t>
            </w:r>
            <w:r>
              <w:rPr>
                <w:spacing w:val="12"/>
                <w:sz w:val="21"/>
              </w:rPr>
              <w:t>行 风 险 管</w:t>
            </w:r>
            <w:r>
              <w:rPr>
                <w:spacing w:val="40"/>
                <w:sz w:val="21"/>
              </w:rPr>
              <w:t>理；报告期内相关合约的公允价值变动产生净</w:t>
            </w:r>
            <w:r>
              <w:rPr>
                <w:spacing w:val="-55"/>
                <w:sz w:val="21"/>
              </w:rPr>
              <w:t> </w:t>
            </w:r>
          </w:p>
          <w:p>
            <w:pPr>
              <w:pStyle w:val="TableParagraph"/>
              <w:spacing w:line="252" w:lineRule="exact" w:before="6"/>
              <w:ind w:left="107"/>
              <w:rPr>
                <w:sz w:val="21"/>
              </w:rPr>
            </w:pPr>
            <w:r>
              <w:rPr>
                <w:sz w:val="21"/>
              </w:rPr>
              <w:t>收益。</w:t>
            </w:r>
          </w:p>
        </w:tc>
        <w:tc>
          <w:tcPr>
            <w:tcW w:w="1282"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4"/>
              <w:rPr>
                <w:sz w:val="18"/>
              </w:rPr>
            </w:pPr>
          </w:p>
          <w:p>
            <w:pPr>
              <w:pStyle w:val="TableParagraph"/>
              <w:ind w:right="94"/>
              <w:jc w:val="right"/>
              <w:rPr>
                <w:rFonts w:ascii="Times New Roman"/>
                <w:sz w:val="21"/>
              </w:rPr>
            </w:pPr>
            <w:r>
              <w:rPr>
                <w:rFonts w:ascii="Times New Roman"/>
                <w:sz w:val="21"/>
              </w:rPr>
              <w:t>482,818</w:t>
            </w:r>
          </w:p>
        </w:tc>
        <w:tc>
          <w:tcPr>
            <w:tcW w:w="1265"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4"/>
              <w:rPr>
                <w:sz w:val="18"/>
              </w:rPr>
            </w:pPr>
          </w:p>
          <w:p>
            <w:pPr>
              <w:pStyle w:val="TableParagraph"/>
              <w:ind w:right="93"/>
              <w:jc w:val="right"/>
              <w:rPr>
                <w:rFonts w:ascii="Times New Roman"/>
                <w:sz w:val="21"/>
              </w:rPr>
            </w:pPr>
            <w:r>
              <w:rPr>
                <w:rFonts w:ascii="Times New Roman"/>
                <w:sz w:val="21"/>
              </w:rPr>
              <w:t>638,220</w:t>
            </w:r>
          </w:p>
        </w:tc>
      </w:tr>
      <w:tr>
        <w:trPr>
          <w:trHeight w:val="544" w:hRule="atLeast"/>
        </w:trPr>
        <w:tc>
          <w:tcPr>
            <w:tcW w:w="3519" w:type="dxa"/>
          </w:tcPr>
          <w:p>
            <w:pPr>
              <w:pStyle w:val="TableParagraph"/>
              <w:spacing w:before="1"/>
              <w:ind w:left="107"/>
              <w:rPr>
                <w:sz w:val="21"/>
              </w:rPr>
            </w:pPr>
            <w:r>
              <w:rPr>
                <w:sz w:val="21"/>
              </w:rPr>
              <w:t>单独进行减值测试的应收款项、合</w:t>
            </w:r>
          </w:p>
          <w:p>
            <w:pPr>
              <w:pStyle w:val="TableParagraph"/>
              <w:spacing w:line="252" w:lineRule="exact" w:before="2"/>
              <w:ind w:left="107"/>
              <w:rPr>
                <w:sz w:val="21"/>
              </w:rPr>
            </w:pPr>
            <w:r>
              <w:rPr>
                <w:sz w:val="21"/>
              </w:rPr>
              <w:t>同资产减值准备转回</w:t>
            </w:r>
          </w:p>
        </w:tc>
        <w:tc>
          <w:tcPr>
            <w:tcW w:w="1287" w:type="dxa"/>
          </w:tcPr>
          <w:p>
            <w:pPr>
              <w:pStyle w:val="TableParagraph"/>
              <w:spacing w:before="144"/>
              <w:ind w:left="599"/>
              <w:rPr>
                <w:rFonts w:ascii="Times New Roman"/>
                <w:sz w:val="21"/>
              </w:rPr>
            </w:pPr>
            <w:r>
              <w:rPr>
                <w:rFonts w:ascii="Times New Roman"/>
                <w:sz w:val="21"/>
              </w:rPr>
              <w:t>57,844</w:t>
            </w:r>
          </w:p>
        </w:tc>
        <w:tc>
          <w:tcPr>
            <w:tcW w:w="1471" w:type="dxa"/>
          </w:tcPr>
          <w:p>
            <w:pPr>
              <w:pStyle w:val="TableParagraph"/>
              <w:rPr>
                <w:rFonts w:ascii="Times New Roman"/>
                <w:sz w:val="20"/>
              </w:rPr>
            </w:pPr>
          </w:p>
        </w:tc>
        <w:tc>
          <w:tcPr>
            <w:tcW w:w="1282" w:type="dxa"/>
          </w:tcPr>
          <w:p>
            <w:pPr>
              <w:pStyle w:val="TableParagraph"/>
              <w:spacing w:before="144"/>
              <w:ind w:right="94"/>
              <w:jc w:val="right"/>
              <w:rPr>
                <w:rFonts w:ascii="Times New Roman"/>
                <w:sz w:val="21"/>
              </w:rPr>
            </w:pPr>
            <w:r>
              <w:rPr>
                <w:rFonts w:ascii="Times New Roman"/>
                <w:sz w:val="21"/>
              </w:rPr>
              <w:t>4,768</w:t>
            </w:r>
          </w:p>
        </w:tc>
        <w:tc>
          <w:tcPr>
            <w:tcW w:w="1265" w:type="dxa"/>
          </w:tcPr>
          <w:p>
            <w:pPr>
              <w:pStyle w:val="TableParagraph"/>
              <w:spacing w:before="144"/>
              <w:ind w:right="93"/>
              <w:jc w:val="right"/>
              <w:rPr>
                <w:rFonts w:ascii="Times New Roman"/>
                <w:sz w:val="21"/>
              </w:rPr>
            </w:pPr>
            <w:r>
              <w:rPr>
                <w:rFonts w:ascii="Times New Roman"/>
                <w:sz w:val="21"/>
              </w:rPr>
              <w:t>317</w:t>
            </w:r>
          </w:p>
        </w:tc>
      </w:tr>
      <w:tr>
        <w:trPr>
          <w:trHeight w:val="273" w:hRule="atLeast"/>
        </w:trPr>
        <w:tc>
          <w:tcPr>
            <w:tcW w:w="3519" w:type="dxa"/>
          </w:tcPr>
          <w:p>
            <w:pPr>
              <w:pStyle w:val="TableParagraph"/>
              <w:spacing w:line="252" w:lineRule="exact" w:before="1"/>
              <w:ind w:left="107"/>
              <w:rPr>
                <w:sz w:val="21"/>
              </w:rPr>
            </w:pPr>
            <w:r>
              <w:rPr>
                <w:sz w:val="21"/>
              </w:rPr>
              <w:t>对外委托贷款取得的损益</w:t>
            </w:r>
          </w:p>
        </w:tc>
        <w:tc>
          <w:tcPr>
            <w:tcW w:w="1287" w:type="dxa"/>
          </w:tcPr>
          <w:p>
            <w:pPr>
              <w:pStyle w:val="TableParagraph"/>
              <w:spacing w:line="253" w:lineRule="exact"/>
              <w:ind w:right="-15"/>
              <w:jc w:val="right"/>
              <w:rPr>
                <w:sz w:val="21"/>
              </w:rPr>
            </w:pPr>
            <w:r>
              <w:rPr>
                <w:w w:val="100"/>
                <w:sz w:val="21"/>
              </w:rPr>
              <w:t> </w:t>
            </w:r>
          </w:p>
        </w:tc>
        <w:tc>
          <w:tcPr>
            <w:tcW w:w="1471" w:type="dxa"/>
          </w:tcPr>
          <w:p>
            <w:pPr>
              <w:pStyle w:val="TableParagraph"/>
              <w:spacing w:line="253" w:lineRule="exact"/>
              <w:ind w:left="107"/>
              <w:rPr>
                <w:sz w:val="21"/>
              </w:rPr>
            </w:pPr>
            <w:r>
              <w:rPr>
                <w:w w:val="100"/>
                <w:sz w:val="21"/>
              </w:rPr>
              <w:t> </w:t>
            </w:r>
          </w:p>
        </w:tc>
        <w:tc>
          <w:tcPr>
            <w:tcW w:w="1282" w:type="dxa"/>
          </w:tcPr>
          <w:p>
            <w:pPr>
              <w:pStyle w:val="TableParagraph"/>
              <w:rPr>
                <w:rFonts w:ascii="Times New Roman"/>
                <w:sz w:val="20"/>
              </w:rPr>
            </w:pPr>
          </w:p>
        </w:tc>
        <w:tc>
          <w:tcPr>
            <w:tcW w:w="1265" w:type="dxa"/>
          </w:tcPr>
          <w:p>
            <w:pPr>
              <w:pStyle w:val="TableParagraph"/>
              <w:rPr>
                <w:rFonts w:ascii="Times New Roman"/>
                <w:sz w:val="20"/>
              </w:rPr>
            </w:pPr>
          </w:p>
        </w:tc>
      </w:tr>
      <w:tr>
        <w:trPr>
          <w:trHeight w:val="815" w:hRule="atLeast"/>
        </w:trPr>
        <w:tc>
          <w:tcPr>
            <w:tcW w:w="3519" w:type="dxa"/>
          </w:tcPr>
          <w:p>
            <w:pPr>
              <w:pStyle w:val="TableParagraph"/>
              <w:spacing w:line="242" w:lineRule="auto" w:before="1"/>
              <w:ind w:left="107" w:right="245"/>
              <w:rPr>
                <w:sz w:val="21"/>
              </w:rPr>
            </w:pPr>
            <w:r>
              <w:rPr>
                <w:sz w:val="21"/>
              </w:rPr>
              <w:t>采用公允价值模式进行后续计量的投资性房地产公允价值变动产生的</w:t>
            </w:r>
          </w:p>
          <w:p>
            <w:pPr>
              <w:pStyle w:val="TableParagraph"/>
              <w:spacing w:line="250" w:lineRule="exact" w:before="1"/>
              <w:ind w:left="107"/>
              <w:rPr>
                <w:sz w:val="21"/>
              </w:rPr>
            </w:pPr>
            <w:r>
              <w:rPr>
                <w:sz w:val="21"/>
              </w:rPr>
              <w:t>损益</w:t>
            </w:r>
          </w:p>
        </w:tc>
        <w:tc>
          <w:tcPr>
            <w:tcW w:w="1287" w:type="dxa"/>
          </w:tcPr>
          <w:p>
            <w:pPr>
              <w:pStyle w:val="TableParagraph"/>
              <w:spacing w:before="11"/>
              <w:rPr>
                <w:sz w:val="20"/>
              </w:rPr>
            </w:pPr>
          </w:p>
          <w:p>
            <w:pPr>
              <w:pStyle w:val="TableParagraph"/>
              <w:ind w:right="-15"/>
              <w:jc w:val="right"/>
              <w:rPr>
                <w:sz w:val="21"/>
              </w:rPr>
            </w:pPr>
            <w:r>
              <w:rPr>
                <w:w w:val="100"/>
                <w:sz w:val="21"/>
              </w:rPr>
              <w:t> </w:t>
            </w:r>
          </w:p>
        </w:tc>
        <w:tc>
          <w:tcPr>
            <w:tcW w:w="1471" w:type="dxa"/>
          </w:tcPr>
          <w:p>
            <w:pPr>
              <w:pStyle w:val="TableParagraph"/>
              <w:spacing w:before="11"/>
              <w:rPr>
                <w:sz w:val="20"/>
              </w:rPr>
            </w:pPr>
          </w:p>
          <w:p>
            <w:pPr>
              <w:pStyle w:val="TableParagraph"/>
              <w:ind w:left="107"/>
              <w:rPr>
                <w:sz w:val="21"/>
              </w:rPr>
            </w:pPr>
            <w:r>
              <w:rPr>
                <w:w w:val="100"/>
                <w:sz w:val="21"/>
              </w:rPr>
              <w:t> </w:t>
            </w:r>
          </w:p>
        </w:tc>
        <w:tc>
          <w:tcPr>
            <w:tcW w:w="1282" w:type="dxa"/>
          </w:tcPr>
          <w:p>
            <w:pPr>
              <w:pStyle w:val="TableParagraph"/>
              <w:rPr>
                <w:rFonts w:ascii="Times New Roman"/>
                <w:sz w:val="20"/>
              </w:rPr>
            </w:pPr>
          </w:p>
        </w:tc>
        <w:tc>
          <w:tcPr>
            <w:tcW w:w="1265" w:type="dxa"/>
          </w:tcPr>
          <w:p>
            <w:pPr>
              <w:pStyle w:val="TableParagraph"/>
              <w:rPr>
                <w:rFonts w:ascii="Times New Roman"/>
                <w:sz w:val="20"/>
              </w:rPr>
            </w:pPr>
          </w:p>
        </w:tc>
      </w:tr>
      <w:tr>
        <w:trPr>
          <w:trHeight w:val="818" w:hRule="atLeast"/>
        </w:trPr>
        <w:tc>
          <w:tcPr>
            <w:tcW w:w="3519" w:type="dxa"/>
          </w:tcPr>
          <w:p>
            <w:pPr>
              <w:pStyle w:val="TableParagraph"/>
              <w:spacing w:before="1"/>
              <w:ind w:left="107"/>
              <w:rPr>
                <w:sz w:val="21"/>
              </w:rPr>
            </w:pPr>
            <w:r>
              <w:rPr>
                <w:sz w:val="21"/>
              </w:rPr>
              <w:t>根据税收、会计等法律、法规的要</w:t>
            </w:r>
          </w:p>
          <w:p>
            <w:pPr>
              <w:pStyle w:val="TableParagraph"/>
              <w:spacing w:line="270" w:lineRule="atLeast"/>
              <w:ind w:left="107" w:right="245"/>
              <w:rPr>
                <w:sz w:val="21"/>
              </w:rPr>
            </w:pPr>
            <w:r>
              <w:rPr>
                <w:sz w:val="21"/>
              </w:rPr>
              <w:t>求对当期损益进行一次性调整对当期损益的影响</w:t>
            </w:r>
          </w:p>
        </w:tc>
        <w:tc>
          <w:tcPr>
            <w:tcW w:w="1287" w:type="dxa"/>
          </w:tcPr>
          <w:p>
            <w:pPr>
              <w:pStyle w:val="TableParagraph"/>
              <w:spacing w:before="11"/>
              <w:rPr>
                <w:sz w:val="20"/>
              </w:rPr>
            </w:pPr>
          </w:p>
          <w:p>
            <w:pPr>
              <w:pStyle w:val="TableParagraph"/>
              <w:ind w:right="-15"/>
              <w:jc w:val="right"/>
              <w:rPr>
                <w:sz w:val="21"/>
              </w:rPr>
            </w:pPr>
            <w:r>
              <w:rPr>
                <w:w w:val="100"/>
                <w:sz w:val="21"/>
              </w:rPr>
              <w:t> </w:t>
            </w:r>
          </w:p>
        </w:tc>
        <w:tc>
          <w:tcPr>
            <w:tcW w:w="1471" w:type="dxa"/>
          </w:tcPr>
          <w:p>
            <w:pPr>
              <w:pStyle w:val="TableParagraph"/>
              <w:spacing w:before="11"/>
              <w:rPr>
                <w:sz w:val="20"/>
              </w:rPr>
            </w:pPr>
          </w:p>
          <w:p>
            <w:pPr>
              <w:pStyle w:val="TableParagraph"/>
              <w:ind w:left="107"/>
              <w:rPr>
                <w:sz w:val="21"/>
              </w:rPr>
            </w:pPr>
            <w:r>
              <w:rPr>
                <w:w w:val="100"/>
                <w:sz w:val="21"/>
              </w:rPr>
              <w:t> </w:t>
            </w:r>
          </w:p>
        </w:tc>
        <w:tc>
          <w:tcPr>
            <w:tcW w:w="1282" w:type="dxa"/>
          </w:tcPr>
          <w:p>
            <w:pPr>
              <w:pStyle w:val="TableParagraph"/>
              <w:rPr>
                <w:rFonts w:ascii="Times New Roman"/>
                <w:sz w:val="20"/>
              </w:rPr>
            </w:pPr>
          </w:p>
        </w:tc>
        <w:tc>
          <w:tcPr>
            <w:tcW w:w="1265" w:type="dxa"/>
          </w:tcPr>
          <w:p>
            <w:pPr>
              <w:pStyle w:val="TableParagraph"/>
              <w:rPr>
                <w:rFonts w:ascii="Times New Roman"/>
                <w:sz w:val="20"/>
              </w:rPr>
            </w:pPr>
          </w:p>
        </w:tc>
      </w:tr>
      <w:tr>
        <w:trPr>
          <w:trHeight w:val="270" w:hRule="atLeast"/>
        </w:trPr>
        <w:tc>
          <w:tcPr>
            <w:tcW w:w="3519" w:type="dxa"/>
          </w:tcPr>
          <w:p>
            <w:pPr>
              <w:pStyle w:val="TableParagraph"/>
              <w:spacing w:line="250" w:lineRule="exact" w:before="1"/>
              <w:ind w:left="107"/>
              <w:rPr>
                <w:sz w:val="21"/>
              </w:rPr>
            </w:pPr>
            <w:r>
              <w:rPr>
                <w:spacing w:val="-1"/>
                <w:sz w:val="21"/>
              </w:rPr>
              <w:t>受托经营取得的托管费收入</w:t>
            </w:r>
          </w:p>
        </w:tc>
        <w:tc>
          <w:tcPr>
            <w:tcW w:w="1287" w:type="dxa"/>
          </w:tcPr>
          <w:p>
            <w:pPr>
              <w:pStyle w:val="TableParagraph"/>
              <w:spacing w:line="251" w:lineRule="exact"/>
              <w:ind w:right="-15"/>
              <w:jc w:val="right"/>
              <w:rPr>
                <w:sz w:val="21"/>
              </w:rPr>
            </w:pPr>
            <w:r>
              <w:rPr>
                <w:w w:val="100"/>
                <w:sz w:val="21"/>
              </w:rPr>
              <w:t> </w:t>
            </w:r>
          </w:p>
        </w:tc>
        <w:tc>
          <w:tcPr>
            <w:tcW w:w="1471" w:type="dxa"/>
          </w:tcPr>
          <w:p>
            <w:pPr>
              <w:pStyle w:val="TableParagraph"/>
              <w:spacing w:line="251" w:lineRule="exact"/>
              <w:ind w:left="107"/>
              <w:rPr>
                <w:sz w:val="21"/>
              </w:rPr>
            </w:pPr>
            <w:r>
              <w:rPr>
                <w:w w:val="100"/>
                <w:sz w:val="21"/>
              </w:rPr>
              <w:t> </w:t>
            </w:r>
          </w:p>
        </w:tc>
        <w:tc>
          <w:tcPr>
            <w:tcW w:w="1282" w:type="dxa"/>
          </w:tcPr>
          <w:p>
            <w:pPr>
              <w:pStyle w:val="TableParagraph"/>
              <w:rPr>
                <w:rFonts w:ascii="Times New Roman"/>
                <w:sz w:val="20"/>
              </w:rPr>
            </w:pPr>
          </w:p>
        </w:tc>
        <w:tc>
          <w:tcPr>
            <w:tcW w:w="1265" w:type="dxa"/>
          </w:tcPr>
          <w:p>
            <w:pPr>
              <w:pStyle w:val="TableParagraph"/>
              <w:rPr>
                <w:rFonts w:ascii="Times New Roman"/>
                <w:sz w:val="20"/>
              </w:rPr>
            </w:pPr>
          </w:p>
        </w:tc>
      </w:tr>
      <w:tr>
        <w:trPr>
          <w:trHeight w:val="546" w:hRule="atLeast"/>
        </w:trPr>
        <w:tc>
          <w:tcPr>
            <w:tcW w:w="3519" w:type="dxa"/>
          </w:tcPr>
          <w:p>
            <w:pPr>
              <w:pStyle w:val="TableParagraph"/>
              <w:spacing w:line="270" w:lineRule="atLeast"/>
              <w:ind w:left="107" w:right="245"/>
              <w:rPr>
                <w:sz w:val="21"/>
              </w:rPr>
            </w:pPr>
            <w:r>
              <w:rPr>
                <w:sz w:val="21"/>
              </w:rPr>
              <w:t>除上述各项之外的其他营业外收入和支出</w:t>
            </w:r>
          </w:p>
        </w:tc>
        <w:tc>
          <w:tcPr>
            <w:tcW w:w="1287" w:type="dxa"/>
          </w:tcPr>
          <w:p>
            <w:pPr>
              <w:pStyle w:val="TableParagraph"/>
              <w:spacing w:before="147"/>
              <w:ind w:left="599"/>
              <w:rPr>
                <w:rFonts w:ascii="Times New Roman"/>
                <w:sz w:val="21"/>
              </w:rPr>
            </w:pPr>
            <w:r>
              <w:rPr>
                <w:rFonts w:ascii="Times New Roman"/>
                <w:sz w:val="21"/>
              </w:rPr>
              <w:t>90,651</w:t>
            </w:r>
          </w:p>
        </w:tc>
        <w:tc>
          <w:tcPr>
            <w:tcW w:w="1471" w:type="dxa"/>
          </w:tcPr>
          <w:p>
            <w:pPr>
              <w:pStyle w:val="TableParagraph"/>
              <w:rPr>
                <w:rFonts w:ascii="Times New Roman"/>
                <w:sz w:val="20"/>
              </w:rPr>
            </w:pPr>
          </w:p>
        </w:tc>
        <w:tc>
          <w:tcPr>
            <w:tcW w:w="1282" w:type="dxa"/>
          </w:tcPr>
          <w:p>
            <w:pPr>
              <w:pStyle w:val="TableParagraph"/>
              <w:spacing w:before="147"/>
              <w:ind w:right="96"/>
              <w:jc w:val="right"/>
              <w:rPr>
                <w:rFonts w:ascii="Times New Roman"/>
                <w:sz w:val="21"/>
              </w:rPr>
            </w:pPr>
            <w:r>
              <w:rPr>
                <w:rFonts w:ascii="Times New Roman"/>
                <w:sz w:val="21"/>
              </w:rPr>
              <w:t>-79,854</w:t>
            </w:r>
          </w:p>
        </w:tc>
        <w:tc>
          <w:tcPr>
            <w:tcW w:w="1265" w:type="dxa"/>
          </w:tcPr>
          <w:p>
            <w:pPr>
              <w:pStyle w:val="TableParagraph"/>
              <w:spacing w:before="147"/>
              <w:ind w:right="93"/>
              <w:jc w:val="right"/>
              <w:rPr>
                <w:rFonts w:ascii="Times New Roman"/>
                <w:sz w:val="21"/>
              </w:rPr>
            </w:pPr>
            <w:r>
              <w:rPr>
                <w:rFonts w:ascii="Times New Roman"/>
                <w:sz w:val="21"/>
              </w:rPr>
              <w:t>30,231</w:t>
            </w:r>
          </w:p>
        </w:tc>
      </w:tr>
      <w:tr>
        <w:trPr>
          <w:trHeight w:val="544" w:hRule="atLeast"/>
        </w:trPr>
        <w:tc>
          <w:tcPr>
            <w:tcW w:w="3519" w:type="dxa"/>
          </w:tcPr>
          <w:p>
            <w:pPr>
              <w:pStyle w:val="TableParagraph"/>
              <w:spacing w:before="1"/>
              <w:ind w:left="107"/>
              <w:rPr>
                <w:sz w:val="21"/>
              </w:rPr>
            </w:pPr>
            <w:r>
              <w:rPr>
                <w:sz w:val="21"/>
              </w:rPr>
              <w:t>其他符合非经常性损益定义的损益</w:t>
            </w:r>
          </w:p>
          <w:p>
            <w:pPr>
              <w:pStyle w:val="TableParagraph"/>
              <w:spacing w:line="252" w:lineRule="exact" w:before="2"/>
              <w:ind w:left="107"/>
              <w:rPr>
                <w:sz w:val="21"/>
              </w:rPr>
            </w:pPr>
            <w:r>
              <w:rPr>
                <w:sz w:val="21"/>
              </w:rPr>
              <w:t>项目</w:t>
            </w:r>
          </w:p>
        </w:tc>
        <w:tc>
          <w:tcPr>
            <w:tcW w:w="1287" w:type="dxa"/>
          </w:tcPr>
          <w:p>
            <w:pPr>
              <w:pStyle w:val="TableParagraph"/>
              <w:spacing w:before="144"/>
              <w:ind w:right="95"/>
              <w:jc w:val="right"/>
              <w:rPr>
                <w:rFonts w:ascii="Times New Roman"/>
                <w:sz w:val="21"/>
              </w:rPr>
            </w:pPr>
            <w:r>
              <w:rPr>
                <w:rFonts w:ascii="Times New Roman"/>
                <w:w w:val="100"/>
                <w:sz w:val="21"/>
              </w:rPr>
              <w:t>-</w:t>
            </w:r>
          </w:p>
        </w:tc>
        <w:tc>
          <w:tcPr>
            <w:tcW w:w="1471" w:type="dxa"/>
          </w:tcPr>
          <w:p>
            <w:pPr>
              <w:pStyle w:val="TableParagraph"/>
              <w:spacing w:before="130"/>
              <w:ind w:left="107"/>
              <w:rPr>
                <w:sz w:val="21"/>
              </w:rPr>
            </w:pPr>
            <w:r>
              <w:rPr>
                <w:w w:val="100"/>
                <w:sz w:val="21"/>
              </w:rPr>
              <w:t> </w:t>
            </w:r>
          </w:p>
        </w:tc>
        <w:tc>
          <w:tcPr>
            <w:tcW w:w="1282" w:type="dxa"/>
          </w:tcPr>
          <w:p>
            <w:pPr>
              <w:pStyle w:val="TableParagraph"/>
              <w:spacing w:before="144"/>
              <w:ind w:right="96"/>
              <w:jc w:val="right"/>
              <w:rPr>
                <w:rFonts w:ascii="Times New Roman"/>
                <w:sz w:val="21"/>
              </w:rPr>
            </w:pPr>
            <w:r>
              <w:rPr>
                <w:rFonts w:ascii="Times New Roman"/>
                <w:sz w:val="21"/>
              </w:rPr>
              <w:t>-72,508</w:t>
            </w:r>
          </w:p>
        </w:tc>
        <w:tc>
          <w:tcPr>
            <w:tcW w:w="1265" w:type="dxa"/>
          </w:tcPr>
          <w:p>
            <w:pPr>
              <w:pStyle w:val="TableParagraph"/>
              <w:spacing w:before="144"/>
              <w:ind w:right="93"/>
              <w:jc w:val="right"/>
              <w:rPr>
                <w:rFonts w:ascii="Times New Roman"/>
                <w:sz w:val="21"/>
              </w:rPr>
            </w:pPr>
            <w:r>
              <w:rPr>
                <w:rFonts w:ascii="Times New Roman"/>
                <w:sz w:val="21"/>
              </w:rPr>
              <w:t>-1,080,163</w:t>
            </w:r>
          </w:p>
        </w:tc>
      </w:tr>
      <w:tr>
        <w:trPr>
          <w:trHeight w:val="270" w:hRule="atLeast"/>
        </w:trPr>
        <w:tc>
          <w:tcPr>
            <w:tcW w:w="3519" w:type="dxa"/>
          </w:tcPr>
          <w:p>
            <w:pPr>
              <w:pStyle w:val="TableParagraph"/>
              <w:spacing w:line="250" w:lineRule="exact" w:before="1"/>
              <w:ind w:left="107"/>
              <w:rPr>
                <w:sz w:val="21"/>
              </w:rPr>
            </w:pPr>
            <w:r>
              <w:rPr>
                <w:sz w:val="21"/>
              </w:rPr>
              <w:t>减：所得税影响额</w:t>
            </w:r>
          </w:p>
        </w:tc>
        <w:tc>
          <w:tcPr>
            <w:tcW w:w="1287" w:type="dxa"/>
          </w:tcPr>
          <w:p>
            <w:pPr>
              <w:pStyle w:val="TableParagraph"/>
              <w:spacing w:before="7"/>
              <w:ind w:left="424"/>
              <w:rPr>
                <w:rFonts w:ascii="Times New Roman"/>
                <w:sz w:val="21"/>
              </w:rPr>
            </w:pPr>
            <w:r>
              <w:rPr>
                <w:rFonts w:ascii="Times New Roman"/>
                <w:sz w:val="21"/>
              </w:rPr>
              <w:t>-320,148</w:t>
            </w:r>
          </w:p>
        </w:tc>
        <w:tc>
          <w:tcPr>
            <w:tcW w:w="1471" w:type="dxa"/>
          </w:tcPr>
          <w:p>
            <w:pPr>
              <w:pStyle w:val="TableParagraph"/>
              <w:rPr>
                <w:rFonts w:ascii="Times New Roman"/>
                <w:sz w:val="20"/>
              </w:rPr>
            </w:pPr>
          </w:p>
        </w:tc>
        <w:tc>
          <w:tcPr>
            <w:tcW w:w="1282" w:type="dxa"/>
          </w:tcPr>
          <w:p>
            <w:pPr>
              <w:pStyle w:val="TableParagraph"/>
              <w:spacing w:before="7"/>
              <w:ind w:right="94"/>
              <w:jc w:val="right"/>
              <w:rPr>
                <w:rFonts w:ascii="Times New Roman"/>
                <w:sz w:val="21"/>
              </w:rPr>
            </w:pPr>
            <w:r>
              <w:rPr>
                <w:rFonts w:ascii="Times New Roman"/>
                <w:sz w:val="21"/>
              </w:rPr>
              <w:t>273,329</w:t>
            </w:r>
          </w:p>
        </w:tc>
        <w:tc>
          <w:tcPr>
            <w:tcW w:w="1265" w:type="dxa"/>
          </w:tcPr>
          <w:p>
            <w:pPr>
              <w:pStyle w:val="TableParagraph"/>
              <w:spacing w:before="7"/>
              <w:ind w:right="93"/>
              <w:jc w:val="right"/>
              <w:rPr>
                <w:rFonts w:ascii="Times New Roman"/>
                <w:sz w:val="21"/>
              </w:rPr>
            </w:pPr>
            <w:r>
              <w:rPr>
                <w:rFonts w:ascii="Times New Roman"/>
                <w:sz w:val="21"/>
              </w:rPr>
              <w:t>152,103</w:t>
            </w:r>
          </w:p>
        </w:tc>
      </w:tr>
      <w:tr>
        <w:trPr>
          <w:trHeight w:val="273" w:hRule="atLeast"/>
        </w:trPr>
        <w:tc>
          <w:tcPr>
            <w:tcW w:w="3519" w:type="dxa"/>
          </w:tcPr>
          <w:p>
            <w:pPr>
              <w:pStyle w:val="TableParagraph"/>
              <w:spacing w:line="252" w:lineRule="exact" w:before="1"/>
              <w:ind w:left="527"/>
              <w:rPr>
                <w:sz w:val="21"/>
              </w:rPr>
            </w:pPr>
            <w:r>
              <w:rPr>
                <w:sz w:val="21"/>
              </w:rPr>
              <w:t>少数股东权益影响额（税后）</w:t>
            </w:r>
          </w:p>
        </w:tc>
        <w:tc>
          <w:tcPr>
            <w:tcW w:w="1287" w:type="dxa"/>
          </w:tcPr>
          <w:p>
            <w:pPr>
              <w:pStyle w:val="TableParagraph"/>
              <w:spacing w:before="10"/>
              <w:ind w:left="635"/>
              <w:rPr>
                <w:rFonts w:ascii="Times New Roman"/>
                <w:sz w:val="21"/>
              </w:rPr>
            </w:pPr>
            <w:r>
              <w:rPr>
                <w:rFonts w:ascii="Times New Roman"/>
                <w:sz w:val="21"/>
              </w:rPr>
              <w:t>-8,979</w:t>
            </w:r>
          </w:p>
        </w:tc>
        <w:tc>
          <w:tcPr>
            <w:tcW w:w="1471" w:type="dxa"/>
          </w:tcPr>
          <w:p>
            <w:pPr>
              <w:pStyle w:val="TableParagraph"/>
              <w:rPr>
                <w:rFonts w:ascii="Times New Roman"/>
                <w:sz w:val="20"/>
              </w:rPr>
            </w:pPr>
          </w:p>
        </w:tc>
        <w:tc>
          <w:tcPr>
            <w:tcW w:w="1282" w:type="dxa"/>
          </w:tcPr>
          <w:p>
            <w:pPr>
              <w:pStyle w:val="TableParagraph"/>
              <w:spacing w:before="10"/>
              <w:ind w:left="489"/>
              <w:rPr>
                <w:rFonts w:ascii="Times New Roman"/>
                <w:sz w:val="21"/>
              </w:rPr>
            </w:pPr>
            <w:r>
              <w:rPr>
                <w:rFonts w:ascii="Times New Roman"/>
                <w:sz w:val="21"/>
              </w:rPr>
              <w:t>18,060</w:t>
            </w:r>
          </w:p>
        </w:tc>
        <w:tc>
          <w:tcPr>
            <w:tcW w:w="1265" w:type="dxa"/>
          </w:tcPr>
          <w:p>
            <w:pPr>
              <w:pStyle w:val="TableParagraph"/>
              <w:spacing w:before="10"/>
              <w:ind w:right="93"/>
              <w:jc w:val="right"/>
              <w:rPr>
                <w:rFonts w:ascii="Times New Roman"/>
                <w:sz w:val="21"/>
              </w:rPr>
            </w:pPr>
            <w:r>
              <w:rPr>
                <w:rFonts w:ascii="Times New Roman"/>
                <w:sz w:val="21"/>
              </w:rPr>
              <w:t>3,340</w:t>
            </w:r>
          </w:p>
        </w:tc>
      </w:tr>
      <w:tr>
        <w:trPr>
          <w:trHeight w:val="273" w:hRule="atLeast"/>
        </w:trPr>
        <w:tc>
          <w:tcPr>
            <w:tcW w:w="3519" w:type="dxa"/>
          </w:tcPr>
          <w:p>
            <w:pPr>
              <w:pStyle w:val="TableParagraph"/>
              <w:spacing w:line="252" w:lineRule="exact" w:before="1"/>
              <w:ind w:left="1528" w:right="1520"/>
              <w:jc w:val="center"/>
              <w:rPr>
                <w:sz w:val="21"/>
              </w:rPr>
            </w:pPr>
            <w:r>
              <w:rPr>
                <w:sz w:val="21"/>
              </w:rPr>
              <w:t>合计</w:t>
            </w:r>
          </w:p>
        </w:tc>
        <w:tc>
          <w:tcPr>
            <w:tcW w:w="1287" w:type="dxa"/>
          </w:tcPr>
          <w:p>
            <w:pPr>
              <w:pStyle w:val="TableParagraph"/>
              <w:spacing w:before="10"/>
              <w:ind w:left="338"/>
              <w:rPr>
                <w:rFonts w:ascii="Times New Roman"/>
                <w:sz w:val="21"/>
              </w:rPr>
            </w:pPr>
            <w:r>
              <w:rPr>
                <w:rFonts w:ascii="Times New Roman"/>
                <w:sz w:val="21"/>
              </w:rPr>
              <w:t>1,662,678</w:t>
            </w:r>
          </w:p>
        </w:tc>
        <w:tc>
          <w:tcPr>
            <w:tcW w:w="1471" w:type="dxa"/>
          </w:tcPr>
          <w:p>
            <w:pPr>
              <w:pStyle w:val="TableParagraph"/>
              <w:rPr>
                <w:rFonts w:ascii="Times New Roman"/>
                <w:sz w:val="20"/>
              </w:rPr>
            </w:pPr>
          </w:p>
        </w:tc>
        <w:tc>
          <w:tcPr>
            <w:tcW w:w="1282" w:type="dxa"/>
          </w:tcPr>
          <w:p>
            <w:pPr>
              <w:pStyle w:val="TableParagraph"/>
              <w:spacing w:before="10"/>
              <w:ind w:right="94"/>
              <w:jc w:val="right"/>
              <w:rPr>
                <w:rFonts w:ascii="Times New Roman"/>
                <w:sz w:val="21"/>
              </w:rPr>
            </w:pPr>
            <w:r>
              <w:rPr>
                <w:rFonts w:ascii="Times New Roman"/>
                <w:sz w:val="21"/>
              </w:rPr>
              <w:t>1,428,725</w:t>
            </w:r>
          </w:p>
        </w:tc>
        <w:tc>
          <w:tcPr>
            <w:tcW w:w="1265" w:type="dxa"/>
          </w:tcPr>
          <w:p>
            <w:pPr>
              <w:pStyle w:val="TableParagraph"/>
              <w:spacing w:before="10"/>
              <w:ind w:right="93"/>
              <w:jc w:val="right"/>
              <w:rPr>
                <w:rFonts w:ascii="Times New Roman"/>
                <w:sz w:val="21"/>
              </w:rPr>
            </w:pPr>
            <w:r>
              <w:rPr>
                <w:rFonts w:ascii="Times New Roman"/>
                <w:sz w:val="21"/>
              </w:rPr>
              <w:t>1,044,593</w:t>
            </w:r>
          </w:p>
        </w:tc>
      </w:tr>
    </w:tbl>
    <w:p>
      <w:pPr>
        <w:pStyle w:val="BodyText"/>
        <w:spacing w:before="1"/>
        <w:ind w:left="638"/>
      </w:pPr>
      <w:r>
        <w:rPr>
          <w:w w:val="100"/>
        </w:rPr>
        <w:t> </w:t>
      </w:r>
    </w:p>
    <w:p>
      <w:pPr>
        <w:pStyle w:val="BodyText"/>
        <w:spacing w:before="2"/>
        <w:ind w:left="638"/>
      </w:pPr>
      <w:r>
        <w:rPr>
          <w:w w:val="100"/>
        </w:rPr>
        <w:t> </w:t>
      </w:r>
    </w:p>
    <w:p>
      <w:pPr>
        <w:pStyle w:val="BodyText"/>
        <w:spacing w:before="5"/>
        <w:ind w:left="638"/>
      </w:pPr>
      <w:r>
        <w:rPr>
          <w:spacing w:val="-3"/>
        </w:rPr>
        <w:t>对公司根据《公开发行证券的公司信息披露解释性公告第 </w:t>
      </w:r>
      <w:r>
        <w:rPr/>
        <w:t>1</w:t>
      </w:r>
      <w:r>
        <w:rPr>
          <w:spacing w:val="-7"/>
        </w:rPr>
        <w:t> 号——非经常性损益》定义界定的非</w:t>
      </w:r>
    </w:p>
    <w:p>
      <w:pPr>
        <w:pStyle w:val="BodyText"/>
        <w:spacing w:line="244" w:lineRule="auto" w:before="2"/>
        <w:ind w:left="638" w:right="327"/>
      </w:pPr>
      <w:r>
        <w:rPr>
          <w:spacing w:val="-3"/>
        </w:rPr>
        <w:t>经常性损益项目，以及把《公开发行证券的公司信息披露解释性公告第 </w:t>
      </w:r>
      <w:r>
        <w:rPr/>
        <w:t>1</w:t>
      </w:r>
      <w:r>
        <w:rPr>
          <w:spacing w:val="-7"/>
        </w:rPr>
        <w:t> 号——非经常性损益》</w:t>
      </w:r>
      <w:r>
        <w:rPr/>
        <w:t>中列举的非经常性损益项目界定为经常性损益的项目，应说明原因。 </w:t>
      </w:r>
    </w:p>
    <w:p>
      <w:pPr>
        <w:pStyle w:val="BodyText"/>
        <w:spacing w:line="265" w:lineRule="exact"/>
        <w:ind w:left="638"/>
      </w:pPr>
      <w:r>
        <w:rPr>
          <w:spacing w:val="-1"/>
        </w:rPr>
        <w:t>□适用 √不适用</w:t>
      </w:r>
      <w:r>
        <w:rPr>
          <w:spacing w:val="-3"/>
        </w:rPr>
        <w:t> </w:t>
      </w:r>
      <w:r>
        <w:rPr/>
        <w:t> </w:t>
      </w:r>
    </w:p>
    <w:p>
      <w:pPr>
        <w:pStyle w:val="BodyText"/>
        <w:spacing w:before="65"/>
        <w:ind w:left="638"/>
      </w:pPr>
      <w:r>
        <w:rPr>
          <w:spacing w:val="4"/>
        </w:rPr>
        <w:t>十一、 采用公允价值计量的项目</w:t>
      </w:r>
    </w:p>
    <w:p>
      <w:pPr>
        <w:pStyle w:val="BodyText"/>
        <w:spacing w:before="62"/>
        <w:ind w:left="638"/>
      </w:pPr>
      <w:r>
        <w:rPr>
          <w:spacing w:val="-1"/>
        </w:rPr>
        <w:t>√适用 □不适用</w:t>
      </w:r>
      <w:r>
        <w:rPr>
          <w:spacing w:val="-3"/>
        </w:rPr>
        <w:t> </w:t>
      </w:r>
      <w:r>
        <w:rPr/>
        <w:t> </w:t>
      </w:r>
    </w:p>
    <w:p>
      <w:pPr>
        <w:pStyle w:val="BodyText"/>
        <w:spacing w:before="5"/>
        <w:ind w:left="0" w:right="227"/>
        <w:jc w:val="right"/>
      </w:pPr>
      <w:r>
        <w:rPr>
          <w:spacing w:val="7"/>
        </w:rPr>
        <w:t>单位：千元 币种：人民币</w:t>
      </w:r>
      <w:r>
        <w:rPr/>
        <w:t> </w:t>
      </w: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4"/>
        <w:gridCol w:w="1664"/>
        <w:gridCol w:w="1671"/>
        <w:gridCol w:w="1659"/>
        <w:gridCol w:w="1948"/>
      </w:tblGrid>
      <w:tr>
        <w:trPr>
          <w:trHeight w:val="544" w:hRule="atLeast"/>
        </w:trPr>
        <w:tc>
          <w:tcPr>
            <w:tcW w:w="1884" w:type="dxa"/>
          </w:tcPr>
          <w:p>
            <w:pPr>
              <w:pStyle w:val="TableParagraph"/>
              <w:spacing w:before="137"/>
              <w:ind w:right="405"/>
              <w:jc w:val="right"/>
              <w:rPr>
                <w:sz w:val="21"/>
              </w:rPr>
            </w:pPr>
            <w:r>
              <w:rPr>
                <w:spacing w:val="-1"/>
                <w:sz w:val="21"/>
              </w:rPr>
              <w:t>项目名称</w:t>
            </w:r>
            <w:r>
              <w:rPr>
                <w:sz w:val="21"/>
              </w:rPr>
              <w:t> </w:t>
            </w:r>
          </w:p>
        </w:tc>
        <w:tc>
          <w:tcPr>
            <w:tcW w:w="1664" w:type="dxa"/>
          </w:tcPr>
          <w:p>
            <w:pPr>
              <w:pStyle w:val="TableParagraph"/>
              <w:spacing w:before="137"/>
              <w:ind w:left="408"/>
              <w:rPr>
                <w:sz w:val="21"/>
              </w:rPr>
            </w:pPr>
            <w:r>
              <w:rPr>
                <w:spacing w:val="-1"/>
                <w:sz w:val="21"/>
              </w:rPr>
              <w:t>期初余额</w:t>
            </w:r>
            <w:r>
              <w:rPr>
                <w:sz w:val="21"/>
              </w:rPr>
              <w:t> </w:t>
            </w:r>
          </w:p>
        </w:tc>
        <w:tc>
          <w:tcPr>
            <w:tcW w:w="1671" w:type="dxa"/>
          </w:tcPr>
          <w:p>
            <w:pPr>
              <w:pStyle w:val="TableParagraph"/>
              <w:spacing w:before="137"/>
              <w:ind w:left="412"/>
              <w:rPr>
                <w:sz w:val="21"/>
              </w:rPr>
            </w:pPr>
            <w:r>
              <w:rPr>
                <w:spacing w:val="-1"/>
                <w:sz w:val="21"/>
              </w:rPr>
              <w:t>期末余额</w:t>
            </w:r>
            <w:r>
              <w:rPr>
                <w:sz w:val="21"/>
              </w:rPr>
              <w:t> </w:t>
            </w:r>
          </w:p>
        </w:tc>
        <w:tc>
          <w:tcPr>
            <w:tcW w:w="1659" w:type="dxa"/>
          </w:tcPr>
          <w:p>
            <w:pPr>
              <w:pStyle w:val="TableParagraph"/>
              <w:spacing w:before="137"/>
              <w:ind w:left="407"/>
              <w:rPr>
                <w:sz w:val="21"/>
              </w:rPr>
            </w:pPr>
            <w:r>
              <w:rPr>
                <w:spacing w:val="-1"/>
                <w:sz w:val="21"/>
              </w:rPr>
              <w:t>当期变动</w:t>
            </w:r>
            <w:r>
              <w:rPr>
                <w:sz w:val="21"/>
              </w:rPr>
              <w:t> </w:t>
            </w:r>
          </w:p>
        </w:tc>
        <w:tc>
          <w:tcPr>
            <w:tcW w:w="1948" w:type="dxa"/>
          </w:tcPr>
          <w:p>
            <w:pPr>
              <w:pStyle w:val="TableParagraph"/>
              <w:spacing w:before="1"/>
              <w:ind w:left="112" w:right="106"/>
              <w:jc w:val="center"/>
              <w:rPr>
                <w:sz w:val="21"/>
              </w:rPr>
            </w:pPr>
            <w:r>
              <w:rPr>
                <w:sz w:val="21"/>
              </w:rPr>
              <w:t>对当期利润的影响</w:t>
            </w:r>
          </w:p>
          <w:p>
            <w:pPr>
              <w:pStyle w:val="TableParagraph"/>
              <w:spacing w:line="250" w:lineRule="exact" w:before="4"/>
              <w:ind w:left="112" w:right="5"/>
              <w:jc w:val="center"/>
              <w:rPr>
                <w:sz w:val="21"/>
              </w:rPr>
            </w:pPr>
            <w:r>
              <w:rPr>
                <w:sz w:val="21"/>
              </w:rPr>
              <w:t>金额 </w:t>
            </w:r>
          </w:p>
        </w:tc>
      </w:tr>
      <w:tr>
        <w:trPr>
          <w:trHeight w:val="273" w:hRule="atLeast"/>
        </w:trPr>
        <w:tc>
          <w:tcPr>
            <w:tcW w:w="1884" w:type="dxa"/>
          </w:tcPr>
          <w:p>
            <w:pPr>
              <w:pStyle w:val="TableParagraph"/>
              <w:spacing w:line="252" w:lineRule="exact" w:before="1"/>
              <w:ind w:right="398"/>
              <w:jc w:val="right"/>
              <w:rPr>
                <w:sz w:val="21"/>
              </w:rPr>
            </w:pPr>
            <w:r>
              <w:rPr>
                <w:spacing w:val="-1"/>
                <w:sz w:val="21"/>
              </w:rPr>
              <w:t>衍生金融资产</w:t>
            </w:r>
            <w:r>
              <w:rPr>
                <w:sz w:val="21"/>
              </w:rPr>
              <w:t> </w:t>
            </w:r>
          </w:p>
        </w:tc>
        <w:tc>
          <w:tcPr>
            <w:tcW w:w="1664" w:type="dxa"/>
          </w:tcPr>
          <w:p>
            <w:pPr>
              <w:pStyle w:val="TableParagraph"/>
              <w:spacing w:line="235" w:lineRule="exact"/>
              <w:ind w:left="871"/>
              <w:rPr>
                <w:rFonts w:ascii="Times New Roman"/>
                <w:sz w:val="21"/>
              </w:rPr>
            </w:pPr>
            <w:r>
              <w:rPr>
                <w:rFonts w:ascii="Times New Roman"/>
                <w:sz w:val="21"/>
              </w:rPr>
              <w:t>246,014</w:t>
            </w:r>
          </w:p>
        </w:tc>
        <w:tc>
          <w:tcPr>
            <w:tcW w:w="1671" w:type="dxa"/>
          </w:tcPr>
          <w:p>
            <w:pPr>
              <w:pStyle w:val="TableParagraph"/>
              <w:spacing w:line="235" w:lineRule="exact"/>
              <w:ind w:left="983"/>
              <w:rPr>
                <w:rFonts w:ascii="Times New Roman"/>
                <w:sz w:val="21"/>
              </w:rPr>
            </w:pPr>
            <w:r>
              <w:rPr>
                <w:rFonts w:ascii="Times New Roman"/>
                <w:sz w:val="21"/>
              </w:rPr>
              <w:t>15,621</w:t>
            </w:r>
          </w:p>
        </w:tc>
        <w:tc>
          <w:tcPr>
            <w:tcW w:w="1659" w:type="dxa"/>
          </w:tcPr>
          <w:p>
            <w:pPr>
              <w:pStyle w:val="TableParagraph"/>
              <w:spacing w:line="235" w:lineRule="exact"/>
              <w:ind w:left="793"/>
              <w:rPr>
                <w:rFonts w:ascii="Times New Roman"/>
                <w:sz w:val="21"/>
              </w:rPr>
            </w:pPr>
            <w:r>
              <w:rPr>
                <w:rFonts w:ascii="Times New Roman"/>
                <w:sz w:val="21"/>
              </w:rPr>
              <w:t>-230,393</w:t>
            </w:r>
          </w:p>
        </w:tc>
        <w:tc>
          <w:tcPr>
            <w:tcW w:w="1948" w:type="dxa"/>
          </w:tcPr>
          <w:p>
            <w:pPr>
              <w:pStyle w:val="TableParagraph"/>
              <w:spacing w:line="235" w:lineRule="exact"/>
              <w:ind w:left="1156"/>
              <w:rPr>
                <w:rFonts w:ascii="Times New Roman"/>
                <w:sz w:val="21"/>
              </w:rPr>
            </w:pPr>
            <w:r>
              <w:rPr>
                <w:rFonts w:ascii="Times New Roman"/>
                <w:sz w:val="21"/>
              </w:rPr>
              <w:t>283,634</w:t>
            </w:r>
          </w:p>
        </w:tc>
      </w:tr>
    </w:tbl>
    <w:p>
      <w:pPr>
        <w:spacing w:after="0" w:line="235" w:lineRule="exact"/>
        <w:rPr>
          <w:rFonts w:ascii="Times New Roman"/>
          <w:sz w:val="21"/>
        </w:rPr>
        <w:sectPr>
          <w:pgSz w:w="11910" w:h="16840"/>
          <w:pgMar w:header="880" w:footer="1195" w:top="1120" w:bottom="1380" w:left="1160" w:right="940"/>
        </w:sectPr>
      </w:pPr>
    </w:p>
    <w:p>
      <w:pPr>
        <w:pStyle w:val="BodyText"/>
        <w:ind w:left="0"/>
        <w:rPr>
          <w:sz w:val="20"/>
        </w:rPr>
      </w:pPr>
    </w:p>
    <w:p>
      <w:pPr>
        <w:pStyle w:val="BodyText"/>
        <w:spacing w:before="3"/>
        <w:ind w:left="0"/>
        <w:rPr>
          <w:sz w:val="11"/>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4"/>
        <w:gridCol w:w="1664"/>
        <w:gridCol w:w="1671"/>
        <w:gridCol w:w="1659"/>
        <w:gridCol w:w="1948"/>
      </w:tblGrid>
      <w:tr>
        <w:trPr>
          <w:trHeight w:val="273" w:hRule="atLeast"/>
        </w:trPr>
        <w:tc>
          <w:tcPr>
            <w:tcW w:w="1884" w:type="dxa"/>
          </w:tcPr>
          <w:p>
            <w:pPr>
              <w:pStyle w:val="TableParagraph"/>
              <w:spacing w:line="250" w:lineRule="exact" w:before="3"/>
              <w:ind w:left="107"/>
              <w:rPr>
                <w:sz w:val="21"/>
              </w:rPr>
            </w:pPr>
            <w:r>
              <w:rPr>
                <w:spacing w:val="-1"/>
                <w:sz w:val="21"/>
              </w:rPr>
              <w:t>其他债权投资</w:t>
            </w:r>
            <w:r>
              <w:rPr>
                <w:sz w:val="21"/>
              </w:rPr>
              <w:t> </w:t>
            </w:r>
          </w:p>
        </w:tc>
        <w:tc>
          <w:tcPr>
            <w:tcW w:w="1664" w:type="dxa"/>
          </w:tcPr>
          <w:p>
            <w:pPr>
              <w:pStyle w:val="TableParagraph"/>
              <w:spacing w:line="237" w:lineRule="exact"/>
              <w:ind w:right="96"/>
              <w:jc w:val="right"/>
              <w:rPr>
                <w:rFonts w:ascii="Times New Roman"/>
                <w:sz w:val="21"/>
              </w:rPr>
            </w:pPr>
            <w:r>
              <w:rPr>
                <w:rFonts w:ascii="Times New Roman"/>
                <w:sz w:val="21"/>
              </w:rPr>
              <w:t>10,000</w:t>
            </w:r>
          </w:p>
        </w:tc>
        <w:tc>
          <w:tcPr>
            <w:tcW w:w="1671" w:type="dxa"/>
          </w:tcPr>
          <w:p>
            <w:pPr>
              <w:pStyle w:val="TableParagraph"/>
              <w:spacing w:line="237" w:lineRule="exact"/>
              <w:ind w:right="95"/>
              <w:jc w:val="right"/>
              <w:rPr>
                <w:rFonts w:ascii="Times New Roman"/>
                <w:sz w:val="21"/>
              </w:rPr>
            </w:pPr>
            <w:r>
              <w:rPr>
                <w:rFonts w:ascii="Times New Roman"/>
                <w:w w:val="100"/>
                <w:sz w:val="21"/>
              </w:rPr>
              <w:t>-</w:t>
            </w:r>
          </w:p>
        </w:tc>
        <w:tc>
          <w:tcPr>
            <w:tcW w:w="1659" w:type="dxa"/>
          </w:tcPr>
          <w:p>
            <w:pPr>
              <w:pStyle w:val="TableParagraph"/>
              <w:spacing w:line="237" w:lineRule="exact"/>
              <w:ind w:right="99"/>
              <w:jc w:val="right"/>
              <w:rPr>
                <w:rFonts w:ascii="Times New Roman"/>
                <w:sz w:val="21"/>
              </w:rPr>
            </w:pPr>
            <w:r>
              <w:rPr>
                <w:rFonts w:ascii="Times New Roman"/>
                <w:sz w:val="21"/>
              </w:rPr>
              <w:t>-10,000</w:t>
            </w:r>
          </w:p>
        </w:tc>
        <w:tc>
          <w:tcPr>
            <w:tcW w:w="1948" w:type="dxa"/>
          </w:tcPr>
          <w:p>
            <w:pPr>
              <w:pStyle w:val="TableParagraph"/>
              <w:rPr>
                <w:rFonts w:ascii="Times New Roman"/>
                <w:sz w:val="20"/>
              </w:rPr>
            </w:pPr>
          </w:p>
        </w:tc>
      </w:tr>
      <w:tr>
        <w:trPr>
          <w:trHeight w:val="544" w:hRule="atLeast"/>
        </w:trPr>
        <w:tc>
          <w:tcPr>
            <w:tcW w:w="1884" w:type="dxa"/>
          </w:tcPr>
          <w:p>
            <w:pPr>
              <w:pStyle w:val="TableParagraph"/>
              <w:spacing w:before="1"/>
              <w:ind w:left="107"/>
              <w:rPr>
                <w:sz w:val="21"/>
              </w:rPr>
            </w:pPr>
            <w:r>
              <w:rPr>
                <w:spacing w:val="26"/>
                <w:sz w:val="21"/>
              </w:rPr>
              <w:t>其他权益工具投</w:t>
            </w:r>
          </w:p>
          <w:p>
            <w:pPr>
              <w:pStyle w:val="TableParagraph"/>
              <w:spacing w:line="250" w:lineRule="exact" w:before="4"/>
              <w:ind w:left="107"/>
              <w:rPr>
                <w:sz w:val="21"/>
              </w:rPr>
            </w:pPr>
            <w:r>
              <w:rPr>
                <w:sz w:val="21"/>
              </w:rPr>
              <w:t>资 </w:t>
            </w:r>
          </w:p>
        </w:tc>
        <w:tc>
          <w:tcPr>
            <w:tcW w:w="1664" w:type="dxa"/>
          </w:tcPr>
          <w:p>
            <w:pPr>
              <w:pStyle w:val="TableParagraph"/>
              <w:spacing w:line="235" w:lineRule="exact"/>
              <w:ind w:right="96"/>
              <w:jc w:val="right"/>
              <w:rPr>
                <w:rFonts w:ascii="Times New Roman"/>
                <w:sz w:val="21"/>
              </w:rPr>
            </w:pPr>
            <w:r>
              <w:rPr>
                <w:rFonts w:ascii="Times New Roman"/>
                <w:sz w:val="21"/>
              </w:rPr>
              <w:t>128,747</w:t>
            </w:r>
          </w:p>
        </w:tc>
        <w:tc>
          <w:tcPr>
            <w:tcW w:w="1671" w:type="dxa"/>
          </w:tcPr>
          <w:p>
            <w:pPr>
              <w:pStyle w:val="TableParagraph"/>
              <w:spacing w:line="235" w:lineRule="exact"/>
              <w:ind w:right="94"/>
              <w:jc w:val="right"/>
              <w:rPr>
                <w:rFonts w:ascii="Times New Roman"/>
                <w:sz w:val="21"/>
              </w:rPr>
            </w:pPr>
            <w:r>
              <w:rPr>
                <w:rFonts w:ascii="Times New Roman"/>
                <w:sz w:val="21"/>
              </w:rPr>
              <w:t>388,257</w:t>
            </w:r>
          </w:p>
        </w:tc>
        <w:tc>
          <w:tcPr>
            <w:tcW w:w="1659" w:type="dxa"/>
          </w:tcPr>
          <w:p>
            <w:pPr>
              <w:pStyle w:val="TableParagraph"/>
              <w:spacing w:line="235" w:lineRule="exact"/>
              <w:ind w:right="97"/>
              <w:jc w:val="right"/>
              <w:rPr>
                <w:rFonts w:ascii="Times New Roman"/>
                <w:sz w:val="21"/>
              </w:rPr>
            </w:pPr>
            <w:r>
              <w:rPr>
                <w:rFonts w:ascii="Times New Roman"/>
                <w:sz w:val="21"/>
              </w:rPr>
              <w:t>259,510</w:t>
            </w:r>
          </w:p>
        </w:tc>
        <w:tc>
          <w:tcPr>
            <w:tcW w:w="1948" w:type="dxa"/>
          </w:tcPr>
          <w:p>
            <w:pPr>
              <w:pStyle w:val="TableParagraph"/>
              <w:rPr>
                <w:rFonts w:ascii="Times New Roman"/>
                <w:sz w:val="20"/>
              </w:rPr>
            </w:pPr>
          </w:p>
        </w:tc>
      </w:tr>
      <w:tr>
        <w:trPr>
          <w:trHeight w:val="544" w:hRule="atLeast"/>
        </w:trPr>
        <w:tc>
          <w:tcPr>
            <w:tcW w:w="1884" w:type="dxa"/>
          </w:tcPr>
          <w:p>
            <w:pPr>
              <w:pStyle w:val="TableParagraph"/>
              <w:spacing w:before="1"/>
              <w:ind w:left="107"/>
              <w:rPr>
                <w:sz w:val="21"/>
              </w:rPr>
            </w:pPr>
            <w:r>
              <w:rPr>
                <w:spacing w:val="8"/>
                <w:sz w:val="21"/>
              </w:rPr>
              <w:t>— 年内到期的非</w:t>
            </w:r>
          </w:p>
          <w:p>
            <w:pPr>
              <w:pStyle w:val="TableParagraph"/>
              <w:spacing w:line="250" w:lineRule="exact" w:before="4"/>
              <w:ind w:left="107"/>
              <w:rPr>
                <w:sz w:val="21"/>
              </w:rPr>
            </w:pPr>
            <w:r>
              <w:rPr>
                <w:spacing w:val="-1"/>
                <w:sz w:val="21"/>
              </w:rPr>
              <w:t>流动资产</w:t>
            </w:r>
            <w:r>
              <w:rPr>
                <w:sz w:val="21"/>
              </w:rPr>
              <w:t> </w:t>
            </w:r>
          </w:p>
        </w:tc>
        <w:tc>
          <w:tcPr>
            <w:tcW w:w="1664" w:type="dxa"/>
          </w:tcPr>
          <w:p>
            <w:pPr>
              <w:pStyle w:val="TableParagraph"/>
              <w:spacing w:line="235" w:lineRule="exact"/>
              <w:ind w:right="98"/>
              <w:jc w:val="right"/>
              <w:rPr>
                <w:rFonts w:ascii="Times New Roman"/>
                <w:sz w:val="21"/>
              </w:rPr>
            </w:pPr>
            <w:r>
              <w:rPr>
                <w:rFonts w:ascii="Times New Roman"/>
                <w:w w:val="100"/>
                <w:sz w:val="21"/>
              </w:rPr>
              <w:t>-</w:t>
            </w:r>
          </w:p>
        </w:tc>
        <w:tc>
          <w:tcPr>
            <w:tcW w:w="1671" w:type="dxa"/>
          </w:tcPr>
          <w:p>
            <w:pPr>
              <w:pStyle w:val="TableParagraph"/>
              <w:spacing w:line="235" w:lineRule="exact"/>
              <w:ind w:right="94"/>
              <w:jc w:val="right"/>
              <w:rPr>
                <w:rFonts w:ascii="Times New Roman"/>
                <w:sz w:val="21"/>
              </w:rPr>
            </w:pPr>
            <w:r>
              <w:rPr>
                <w:rFonts w:ascii="Times New Roman"/>
                <w:sz w:val="21"/>
              </w:rPr>
              <w:t>10,000</w:t>
            </w:r>
          </w:p>
        </w:tc>
        <w:tc>
          <w:tcPr>
            <w:tcW w:w="1659" w:type="dxa"/>
          </w:tcPr>
          <w:p>
            <w:pPr>
              <w:pStyle w:val="TableParagraph"/>
              <w:spacing w:line="235" w:lineRule="exact"/>
              <w:ind w:right="97"/>
              <w:jc w:val="right"/>
              <w:rPr>
                <w:rFonts w:ascii="Times New Roman"/>
                <w:sz w:val="21"/>
              </w:rPr>
            </w:pPr>
            <w:r>
              <w:rPr>
                <w:rFonts w:ascii="Times New Roman"/>
                <w:sz w:val="21"/>
              </w:rPr>
              <w:t>10,000</w:t>
            </w:r>
          </w:p>
        </w:tc>
        <w:tc>
          <w:tcPr>
            <w:tcW w:w="1948" w:type="dxa"/>
          </w:tcPr>
          <w:p>
            <w:pPr>
              <w:pStyle w:val="TableParagraph"/>
              <w:rPr>
                <w:rFonts w:ascii="Times New Roman"/>
                <w:sz w:val="20"/>
              </w:rPr>
            </w:pPr>
          </w:p>
        </w:tc>
      </w:tr>
      <w:tr>
        <w:trPr>
          <w:trHeight w:val="544" w:hRule="atLeast"/>
        </w:trPr>
        <w:tc>
          <w:tcPr>
            <w:tcW w:w="1884" w:type="dxa"/>
          </w:tcPr>
          <w:p>
            <w:pPr>
              <w:pStyle w:val="TableParagraph"/>
              <w:spacing w:before="1"/>
              <w:ind w:left="107"/>
              <w:rPr>
                <w:sz w:val="21"/>
              </w:rPr>
            </w:pPr>
            <w:r>
              <w:rPr>
                <w:spacing w:val="26"/>
                <w:sz w:val="21"/>
              </w:rPr>
              <w:t>其他非流动金融</w:t>
            </w:r>
          </w:p>
          <w:p>
            <w:pPr>
              <w:pStyle w:val="TableParagraph"/>
              <w:spacing w:line="250" w:lineRule="exact" w:before="4"/>
              <w:ind w:left="107"/>
              <w:rPr>
                <w:sz w:val="21"/>
              </w:rPr>
            </w:pPr>
            <w:r>
              <w:rPr>
                <w:sz w:val="21"/>
              </w:rPr>
              <w:t>资产 </w:t>
            </w:r>
          </w:p>
        </w:tc>
        <w:tc>
          <w:tcPr>
            <w:tcW w:w="1664" w:type="dxa"/>
          </w:tcPr>
          <w:p>
            <w:pPr>
              <w:pStyle w:val="TableParagraph"/>
              <w:spacing w:line="235" w:lineRule="exact"/>
              <w:ind w:right="96"/>
              <w:jc w:val="right"/>
              <w:rPr>
                <w:rFonts w:ascii="Times New Roman"/>
                <w:sz w:val="21"/>
              </w:rPr>
            </w:pPr>
            <w:r>
              <w:rPr>
                <w:rFonts w:ascii="Times New Roman"/>
                <w:sz w:val="21"/>
              </w:rPr>
              <w:t>31,518</w:t>
            </w:r>
          </w:p>
        </w:tc>
        <w:tc>
          <w:tcPr>
            <w:tcW w:w="1671" w:type="dxa"/>
          </w:tcPr>
          <w:p>
            <w:pPr>
              <w:pStyle w:val="TableParagraph"/>
              <w:spacing w:line="235" w:lineRule="exact"/>
              <w:ind w:right="95"/>
              <w:jc w:val="right"/>
              <w:rPr>
                <w:rFonts w:ascii="Times New Roman"/>
                <w:sz w:val="21"/>
              </w:rPr>
            </w:pPr>
            <w:r>
              <w:rPr>
                <w:rFonts w:ascii="Times New Roman"/>
                <w:w w:val="100"/>
                <w:sz w:val="21"/>
              </w:rPr>
              <w:t>-</w:t>
            </w:r>
          </w:p>
        </w:tc>
        <w:tc>
          <w:tcPr>
            <w:tcW w:w="1659" w:type="dxa"/>
          </w:tcPr>
          <w:p>
            <w:pPr>
              <w:pStyle w:val="TableParagraph"/>
              <w:spacing w:line="235" w:lineRule="exact"/>
              <w:ind w:right="99"/>
              <w:jc w:val="right"/>
              <w:rPr>
                <w:rFonts w:ascii="Times New Roman"/>
                <w:sz w:val="21"/>
              </w:rPr>
            </w:pPr>
            <w:r>
              <w:rPr>
                <w:rFonts w:ascii="Times New Roman"/>
                <w:sz w:val="21"/>
              </w:rPr>
              <w:t>-31,518</w:t>
            </w:r>
          </w:p>
        </w:tc>
        <w:tc>
          <w:tcPr>
            <w:tcW w:w="1948" w:type="dxa"/>
          </w:tcPr>
          <w:p>
            <w:pPr>
              <w:pStyle w:val="TableParagraph"/>
              <w:spacing w:line="235" w:lineRule="exact"/>
              <w:ind w:right="97"/>
              <w:jc w:val="right"/>
              <w:rPr>
                <w:rFonts w:ascii="Times New Roman"/>
                <w:sz w:val="21"/>
              </w:rPr>
            </w:pPr>
            <w:r>
              <w:rPr>
                <w:rFonts w:ascii="Times New Roman"/>
                <w:w w:val="100"/>
                <w:sz w:val="21"/>
              </w:rPr>
              <w:t>-</w:t>
            </w:r>
          </w:p>
        </w:tc>
      </w:tr>
      <w:tr>
        <w:trPr>
          <w:trHeight w:val="273" w:hRule="atLeast"/>
        </w:trPr>
        <w:tc>
          <w:tcPr>
            <w:tcW w:w="1884" w:type="dxa"/>
          </w:tcPr>
          <w:p>
            <w:pPr>
              <w:pStyle w:val="TableParagraph"/>
              <w:spacing w:line="250" w:lineRule="exact" w:before="3"/>
              <w:ind w:left="107"/>
              <w:rPr>
                <w:sz w:val="21"/>
              </w:rPr>
            </w:pPr>
            <w:r>
              <w:rPr>
                <w:sz w:val="21"/>
              </w:rPr>
              <w:t>合计 </w:t>
            </w:r>
          </w:p>
        </w:tc>
        <w:tc>
          <w:tcPr>
            <w:tcW w:w="1664" w:type="dxa"/>
          </w:tcPr>
          <w:p>
            <w:pPr>
              <w:pStyle w:val="TableParagraph"/>
              <w:spacing w:line="237" w:lineRule="exact"/>
              <w:ind w:right="96"/>
              <w:jc w:val="right"/>
              <w:rPr>
                <w:rFonts w:ascii="Times New Roman"/>
                <w:sz w:val="21"/>
              </w:rPr>
            </w:pPr>
            <w:r>
              <w:rPr>
                <w:rFonts w:ascii="Times New Roman"/>
                <w:sz w:val="21"/>
              </w:rPr>
              <w:t>416,279</w:t>
            </w:r>
          </w:p>
        </w:tc>
        <w:tc>
          <w:tcPr>
            <w:tcW w:w="1671" w:type="dxa"/>
          </w:tcPr>
          <w:p>
            <w:pPr>
              <w:pStyle w:val="TableParagraph"/>
              <w:spacing w:line="237" w:lineRule="exact"/>
              <w:ind w:right="94"/>
              <w:jc w:val="right"/>
              <w:rPr>
                <w:rFonts w:ascii="Times New Roman"/>
                <w:sz w:val="21"/>
              </w:rPr>
            </w:pPr>
            <w:r>
              <w:rPr>
                <w:rFonts w:ascii="Times New Roman"/>
                <w:sz w:val="21"/>
              </w:rPr>
              <w:t>413,878</w:t>
            </w:r>
          </w:p>
        </w:tc>
        <w:tc>
          <w:tcPr>
            <w:tcW w:w="1659" w:type="dxa"/>
          </w:tcPr>
          <w:p>
            <w:pPr>
              <w:pStyle w:val="TableParagraph"/>
              <w:spacing w:line="237" w:lineRule="exact"/>
              <w:ind w:right="99"/>
              <w:jc w:val="right"/>
              <w:rPr>
                <w:rFonts w:ascii="Times New Roman"/>
                <w:sz w:val="21"/>
              </w:rPr>
            </w:pPr>
            <w:r>
              <w:rPr>
                <w:rFonts w:ascii="Times New Roman"/>
                <w:sz w:val="21"/>
              </w:rPr>
              <w:t>-2,401</w:t>
            </w:r>
          </w:p>
        </w:tc>
        <w:tc>
          <w:tcPr>
            <w:tcW w:w="1948" w:type="dxa"/>
          </w:tcPr>
          <w:p>
            <w:pPr>
              <w:pStyle w:val="TableParagraph"/>
              <w:spacing w:line="237" w:lineRule="exact"/>
              <w:ind w:right="95"/>
              <w:jc w:val="right"/>
              <w:rPr>
                <w:rFonts w:ascii="Times New Roman"/>
                <w:sz w:val="21"/>
              </w:rPr>
            </w:pPr>
            <w:r>
              <w:rPr>
                <w:rFonts w:ascii="Times New Roman"/>
                <w:sz w:val="21"/>
              </w:rPr>
              <w:t>283,634</w:t>
            </w:r>
          </w:p>
        </w:tc>
      </w:tr>
    </w:tbl>
    <w:p>
      <w:pPr>
        <w:pStyle w:val="BodyText"/>
        <w:spacing w:before="1"/>
        <w:ind w:left="638"/>
      </w:pPr>
      <w:r>
        <w:rPr>
          <w:w w:val="100"/>
        </w:rPr>
        <w:t> </w:t>
      </w:r>
    </w:p>
    <w:p>
      <w:pPr>
        <w:pStyle w:val="BodyText"/>
        <w:spacing w:before="4"/>
        <w:ind w:left="638"/>
      </w:pPr>
      <w:r>
        <w:rPr>
          <w:w w:val="100"/>
        </w:rPr>
        <w:t> </w:t>
      </w:r>
    </w:p>
    <w:p>
      <w:pPr>
        <w:pStyle w:val="BodyText"/>
        <w:spacing w:before="63"/>
        <w:ind w:left="638"/>
      </w:pPr>
      <w:r>
        <w:rPr>
          <w:spacing w:val="16"/>
        </w:rPr>
        <w:t>十二、 其他</w:t>
      </w:r>
    </w:p>
    <w:p>
      <w:pPr>
        <w:pStyle w:val="BodyText"/>
        <w:spacing w:line="253" w:lineRule="exact" w:before="64"/>
        <w:ind w:left="638"/>
      </w:pPr>
      <w:r>
        <w:rPr>
          <w:spacing w:val="-1"/>
        </w:rPr>
        <w:t>□适用 √不适用</w:t>
      </w:r>
      <w:r>
        <w:rPr>
          <w:spacing w:val="-3"/>
        </w:rPr>
        <w:t> </w:t>
      </w:r>
      <w:r>
        <w:rPr/>
        <w:t> </w:t>
      </w:r>
    </w:p>
    <w:p>
      <w:pPr>
        <w:pStyle w:val="Heading1"/>
        <w:spacing w:line="498" w:lineRule="exact"/>
        <w:ind w:right="1755"/>
      </w:pPr>
      <w:bookmarkStart w:name="_bookmark2" w:id="3"/>
      <w:bookmarkEnd w:id="3"/>
      <w:r>
        <w:rPr>
          <w:b w:val="0"/>
        </w:rPr>
      </w:r>
      <w:r>
        <w:rPr/>
        <w:t>第三节      管理层讨论与分析</w:t>
      </w:r>
    </w:p>
    <w:p>
      <w:pPr>
        <w:pStyle w:val="BodyText"/>
        <w:spacing w:before="4"/>
        <w:ind w:left="0"/>
        <w:rPr>
          <w:rFonts w:ascii="Microsoft JhengHei"/>
          <w:b/>
          <w:sz w:val="6"/>
        </w:rPr>
      </w:pPr>
    </w:p>
    <w:p>
      <w:pPr>
        <w:pStyle w:val="BodyText"/>
        <w:spacing w:before="72"/>
        <w:ind w:left="638"/>
      </w:pPr>
      <w:r>
        <w:rPr>
          <w:w w:val="100"/>
        </w:rPr>
        <w:t> </w:t>
      </w:r>
    </w:p>
    <w:p>
      <w:pPr>
        <w:pStyle w:val="BodyText"/>
        <w:spacing w:before="64"/>
        <w:ind w:left="638"/>
      </w:pPr>
      <w:r>
        <w:rPr/>
        <w:t>一、经营情况讨论与分析</w:t>
      </w:r>
    </w:p>
    <w:p>
      <w:pPr>
        <w:pStyle w:val="BodyText"/>
        <w:spacing w:before="62"/>
        <w:ind w:left="1058"/>
      </w:pPr>
      <w:r>
        <w:rPr>
          <w:rFonts w:ascii="Times New Roman" w:eastAsia="Times New Roman"/>
        </w:rPr>
        <w:t>2022</w:t>
      </w:r>
      <w:r>
        <w:rPr>
          <w:rFonts w:ascii="Times New Roman" w:eastAsia="Times New Roman"/>
          <w:spacing w:val="16"/>
        </w:rPr>
        <w:t>   </w:t>
      </w:r>
      <w:r>
        <w:rPr/>
        <w:t>年，国际政治、经济形势复杂多变。在前述大背景下，公司聚焦主业、锐意进取，经</w:t>
      </w:r>
    </w:p>
    <w:p>
      <w:pPr>
        <w:pStyle w:val="BodyText"/>
        <w:spacing w:before="139"/>
        <w:ind w:left="638"/>
        <w:jc w:val="both"/>
      </w:pPr>
      <w:r>
        <w:rPr>
          <w:spacing w:val="5"/>
        </w:rPr>
        <w:t>过不懈努力，营收、利润均创历史新高。其中，全年实现营业收入 </w:t>
      </w:r>
      <w:r>
        <w:rPr>
          <w:rFonts w:ascii="Times New Roman" w:eastAsia="Times New Roman"/>
        </w:rPr>
        <w:t>5118.50</w:t>
      </w:r>
      <w:r>
        <w:rPr>
          <w:rFonts w:ascii="Times New Roman" w:eastAsia="Times New Roman"/>
          <w:spacing w:val="11"/>
        </w:rPr>
        <w:t>   </w:t>
      </w:r>
      <w:r>
        <w:rPr>
          <w:spacing w:val="1"/>
        </w:rPr>
        <w:t>亿元，同比上升</w:t>
      </w:r>
    </w:p>
    <w:p>
      <w:pPr>
        <w:pStyle w:val="BodyText"/>
        <w:spacing w:line="364" w:lineRule="auto" w:before="139"/>
        <w:ind w:left="638" w:right="327"/>
        <w:jc w:val="both"/>
      </w:pPr>
      <w:r>
        <w:rPr>
          <w:rFonts w:ascii="Times New Roman" w:eastAsia="Times New Roman"/>
          <w:spacing w:val="-1"/>
        </w:rPr>
        <w:t>16.4%</w:t>
      </w:r>
      <w:r>
        <w:rPr>
          <w:spacing w:val="-6"/>
        </w:rPr>
        <w:t>；归属于上市公司股东的净利润 </w:t>
      </w:r>
      <w:r>
        <w:rPr>
          <w:rFonts w:ascii="Times New Roman" w:eastAsia="Times New Roman"/>
        </w:rPr>
        <w:t>200.73</w:t>
      </w:r>
      <w:r>
        <w:rPr>
          <w:rFonts w:ascii="Times New Roman" w:eastAsia="Times New Roman"/>
          <w:spacing w:val="-22"/>
        </w:rPr>
        <w:t> </w:t>
      </w:r>
      <w:r>
        <w:rPr>
          <w:spacing w:val="-8"/>
        </w:rPr>
        <w:t>亿元，同比上升 </w:t>
      </w:r>
      <w:r>
        <w:rPr>
          <w:rFonts w:ascii="Times New Roman" w:eastAsia="Times New Roman"/>
        </w:rPr>
        <w:t>0.3%</w:t>
      </w:r>
      <w:r>
        <w:rPr>
          <w:spacing w:val="-8"/>
        </w:rPr>
        <w:t>。扣非后净利润 </w:t>
      </w:r>
      <w:r>
        <w:rPr>
          <w:rFonts w:ascii="Times New Roman" w:eastAsia="Times New Roman"/>
        </w:rPr>
        <w:t>184.10</w:t>
      </w:r>
      <w:r>
        <w:rPr>
          <w:rFonts w:ascii="Times New Roman" w:eastAsia="Times New Roman"/>
          <w:spacing w:val="-19"/>
        </w:rPr>
        <w:t> </w:t>
      </w:r>
      <w:r>
        <w:rPr/>
        <w:t>亿元，</w:t>
      </w:r>
      <w:r>
        <w:rPr>
          <w:spacing w:val="-103"/>
        </w:rPr>
        <w:t> </w:t>
      </w:r>
      <w:r>
        <w:rPr>
          <w:spacing w:val="-3"/>
        </w:rPr>
        <w:t>与去年基本持平。经营性现金流状况持续改善，净额达 </w:t>
      </w:r>
      <w:r>
        <w:rPr>
          <w:rFonts w:ascii="Times New Roman" w:eastAsia="Times New Roman"/>
        </w:rPr>
        <w:t>153.66</w:t>
      </w:r>
      <w:r>
        <w:rPr>
          <w:rFonts w:ascii="Times New Roman" w:eastAsia="Times New Roman"/>
          <w:spacing w:val="-12"/>
        </w:rPr>
        <w:t> </w:t>
      </w:r>
      <w:r>
        <w:rPr>
          <w:spacing w:val="-7"/>
        </w:rPr>
        <w:t>亿元，同比增长 </w:t>
      </w:r>
      <w:r>
        <w:rPr>
          <w:rFonts w:ascii="Times New Roman" w:eastAsia="Times New Roman"/>
        </w:rPr>
        <w:t>76.1%</w:t>
      </w:r>
      <w:r>
        <w:rPr/>
        <w:t>。资产状况</w:t>
      </w:r>
      <w:r>
        <w:rPr>
          <w:spacing w:val="-5"/>
        </w:rPr>
        <w:t>良好，净资产和总资产不断增长，达 </w:t>
      </w:r>
      <w:r>
        <w:rPr>
          <w:rFonts w:ascii="Times New Roman" w:eastAsia="Times New Roman"/>
        </w:rPr>
        <w:t>1289.75</w:t>
      </w:r>
      <w:r>
        <w:rPr>
          <w:rFonts w:ascii="Times New Roman" w:eastAsia="Times New Roman"/>
          <w:spacing w:val="-10"/>
        </w:rPr>
        <w:t> </w:t>
      </w:r>
      <w:r>
        <w:rPr>
          <w:spacing w:val="-13"/>
        </w:rPr>
        <w:t>亿元及 </w:t>
      </w:r>
      <w:r>
        <w:rPr>
          <w:rFonts w:ascii="Times New Roman" w:eastAsia="Times New Roman"/>
        </w:rPr>
        <w:t>2841.88</w:t>
      </w:r>
      <w:r>
        <w:rPr>
          <w:rFonts w:ascii="Times New Roman" w:eastAsia="Times New Roman"/>
          <w:spacing w:val="-10"/>
        </w:rPr>
        <w:t> </w:t>
      </w:r>
      <w:r>
        <w:rPr/>
        <w:t>亿元。</w:t>
      </w:r>
    </w:p>
    <w:p>
      <w:pPr>
        <w:pStyle w:val="BodyText"/>
        <w:spacing w:line="269" w:lineRule="exact"/>
        <w:ind w:left="638"/>
      </w:pPr>
      <w:r>
        <w:rPr>
          <w:w w:val="100"/>
        </w:rPr>
        <w:t> </w:t>
      </w:r>
    </w:p>
    <w:p>
      <w:pPr>
        <w:pStyle w:val="BodyText"/>
        <w:spacing w:before="65"/>
        <w:ind w:left="638"/>
      </w:pPr>
      <w:r>
        <w:rPr/>
        <w:t>二、报告期内公司所处行业情况</w:t>
      </w:r>
    </w:p>
    <w:p>
      <w:pPr>
        <w:pStyle w:val="ListParagraph"/>
        <w:numPr>
          <w:ilvl w:val="0"/>
          <w:numId w:val="1"/>
        </w:numPr>
        <w:tabs>
          <w:tab w:pos="1478" w:val="left" w:leader="none"/>
        </w:tabs>
        <w:spacing w:line="240" w:lineRule="auto" w:before="62" w:after="0"/>
        <w:ind w:left="1478" w:right="0" w:hanging="418"/>
        <w:jc w:val="both"/>
        <w:rPr>
          <w:sz w:val="21"/>
        </w:rPr>
      </w:pPr>
      <w:r>
        <w:rPr>
          <w:sz w:val="21"/>
        </w:rPr>
        <w:t>数字经济迈向高质量发展，加速数实融合</w:t>
      </w:r>
    </w:p>
    <w:p>
      <w:pPr>
        <w:pStyle w:val="BodyText"/>
        <w:spacing w:line="364" w:lineRule="auto" w:before="139"/>
        <w:ind w:left="638" w:right="327" w:firstLine="419"/>
        <w:jc w:val="both"/>
      </w:pPr>
      <w:r>
        <w:rPr>
          <w:rFonts w:ascii="Times New Roman" w:eastAsia="Times New Roman"/>
          <w:color w:val="212121"/>
        </w:rPr>
        <w:t>2022</w:t>
      </w:r>
      <w:r>
        <w:rPr>
          <w:rFonts w:ascii="Times New Roman" w:eastAsia="Times New Roman"/>
          <w:color w:val="212121"/>
          <w:spacing w:val="13"/>
        </w:rPr>
        <w:t> </w:t>
      </w:r>
      <w:r>
        <w:rPr>
          <w:color w:val="212121"/>
          <w:spacing w:val="-1"/>
        </w:rPr>
        <w:t>年，我国数字经济新十年的发展大幕开启，数字经济规模提升至 </w:t>
      </w:r>
      <w:r>
        <w:rPr>
          <w:rFonts w:ascii="Times New Roman" w:eastAsia="Times New Roman"/>
          <w:color w:val="212121"/>
        </w:rPr>
        <w:t>50</w:t>
      </w:r>
      <w:r>
        <w:rPr>
          <w:rFonts w:ascii="Times New Roman" w:eastAsia="Times New Roman"/>
          <w:color w:val="212121"/>
          <w:spacing w:val="14"/>
        </w:rPr>
        <w:t> </w:t>
      </w:r>
      <w:r>
        <w:rPr>
          <w:color w:val="212121"/>
        </w:rPr>
        <w:t>万亿元左右，同比</w:t>
      </w:r>
      <w:r>
        <w:rPr>
          <w:color w:val="212121"/>
          <w:spacing w:val="-18"/>
        </w:rPr>
        <w:t>增长 </w:t>
      </w:r>
      <w:r>
        <w:rPr>
          <w:rFonts w:ascii="Times New Roman" w:eastAsia="Times New Roman"/>
          <w:color w:val="212121"/>
        </w:rPr>
        <w:t>10%</w:t>
      </w:r>
      <w:r>
        <w:rPr>
          <w:color w:val="212121"/>
          <w:spacing w:val="11"/>
        </w:rPr>
        <w:t>左右，占</w:t>
      </w:r>
      <w:r>
        <w:rPr>
          <w:rFonts w:ascii="Times New Roman" w:eastAsia="Times New Roman"/>
          <w:color w:val="212121"/>
        </w:rPr>
        <w:t>GDP</w:t>
      </w:r>
      <w:r>
        <w:rPr>
          <w:rFonts w:ascii="Times New Roman" w:eastAsia="Times New Roman"/>
          <w:color w:val="212121"/>
          <w:spacing w:val="-9"/>
        </w:rPr>
        <w:t> </w:t>
      </w:r>
      <w:r>
        <w:rPr>
          <w:color w:val="212121"/>
          <w:spacing w:val="-11"/>
        </w:rPr>
        <w:t>比重超过 </w:t>
      </w:r>
      <w:r>
        <w:rPr>
          <w:rFonts w:ascii="Times New Roman" w:eastAsia="Times New Roman"/>
          <w:color w:val="212121"/>
        </w:rPr>
        <w:t>41%</w:t>
      </w:r>
      <w:r>
        <w:rPr>
          <w:color w:val="212121"/>
        </w:rPr>
        <w:t>，转向深化应用、规范发展、普惠共享的新阶段。</w:t>
      </w:r>
    </w:p>
    <w:p>
      <w:pPr>
        <w:pStyle w:val="BodyText"/>
        <w:spacing w:line="364" w:lineRule="auto" w:before="1"/>
        <w:ind w:left="638" w:right="328" w:firstLine="419"/>
        <w:jc w:val="both"/>
      </w:pPr>
      <w:r>
        <w:rPr>
          <w:color w:val="212121"/>
          <w:spacing w:val="-3"/>
          <w:w w:val="100"/>
        </w:rPr>
        <w:t>党的二十大报告强调，要“加快发展数字经济，促进数字经济和实体经济深度融合”，进一</w:t>
      </w:r>
      <w:r>
        <w:rPr>
          <w:color w:val="212121"/>
          <w:spacing w:val="-7"/>
        </w:rPr>
        <w:t>步阐明数字经济转向高质量发展，以及与战略支撑性实体经济融合的广阔空间。《“十四五”数字</w:t>
      </w:r>
      <w:r>
        <w:rPr>
          <w:color w:val="212121"/>
          <w:spacing w:val="-4"/>
        </w:rPr>
        <w:t>经济发展规划》指出，到 </w:t>
      </w:r>
      <w:r>
        <w:rPr>
          <w:rFonts w:ascii="Times New Roman" w:hAnsi="Times New Roman" w:eastAsia="Times New Roman"/>
          <w:color w:val="212121"/>
        </w:rPr>
        <w:t>2025</w:t>
      </w:r>
      <w:r>
        <w:rPr>
          <w:rFonts w:ascii="Times New Roman" w:hAnsi="Times New Roman" w:eastAsia="Times New Roman"/>
          <w:color w:val="212121"/>
          <w:spacing w:val="9"/>
        </w:rPr>
        <w:t> </w:t>
      </w:r>
      <w:r>
        <w:rPr>
          <w:color w:val="212121"/>
          <w:spacing w:val="-2"/>
        </w:rPr>
        <w:t>年，数字经济迈向全面扩展期，数字经济核心产业增加值占 </w:t>
      </w:r>
      <w:r>
        <w:rPr>
          <w:rFonts w:ascii="Times New Roman" w:hAnsi="Times New Roman" w:eastAsia="Times New Roman"/>
          <w:color w:val="212121"/>
        </w:rPr>
        <w:t>GDP</w:t>
      </w:r>
      <w:r>
        <w:rPr>
          <w:rFonts w:ascii="Times New Roman" w:hAnsi="Times New Roman" w:eastAsia="Times New Roman"/>
          <w:color w:val="212121"/>
          <w:spacing w:val="-50"/>
        </w:rPr>
        <w:t> </w:t>
      </w:r>
      <w:r>
        <w:rPr>
          <w:color w:val="212121"/>
          <w:spacing w:val="-11"/>
        </w:rPr>
        <w:t>比重达到 </w:t>
      </w:r>
      <w:r>
        <w:rPr>
          <w:rFonts w:ascii="Times New Roman" w:hAnsi="Times New Roman" w:eastAsia="Times New Roman"/>
          <w:color w:val="212121"/>
        </w:rPr>
        <w:t>10%</w:t>
      </w:r>
      <w:r>
        <w:rPr>
          <w:color w:val="212121"/>
        </w:rPr>
        <w:t>。</w:t>
      </w:r>
    </w:p>
    <w:p>
      <w:pPr>
        <w:pStyle w:val="BodyText"/>
        <w:spacing w:line="364" w:lineRule="auto"/>
        <w:ind w:left="638" w:right="119" w:firstLine="419"/>
      </w:pPr>
      <w:r>
        <w:rPr>
          <w:color w:val="212121"/>
        </w:rPr>
        <w:t>行业地位方面，工业富联作为全球领先的数字经济领军企业，业务覆盖数字经济产业全品类，</w:t>
      </w:r>
      <w:r>
        <w:rPr>
          <w:color w:val="212121"/>
          <w:spacing w:val="-102"/>
        </w:rPr>
        <w:t> </w:t>
      </w:r>
      <w:r>
        <w:rPr>
          <w:color w:val="212121"/>
          <w:spacing w:val="-1"/>
        </w:rPr>
        <w:t>在产品、技术以及全球市占率方面极具优势，</w:t>
      </w:r>
      <w:r>
        <w:rPr>
          <w:rFonts w:ascii="Times New Roman" w:hAnsi="Times New Roman" w:eastAsia="Times New Roman"/>
          <w:color w:val="212121"/>
        </w:rPr>
        <w:t>2022</w:t>
      </w:r>
      <w:r>
        <w:rPr>
          <w:rFonts w:ascii="Times New Roman" w:hAnsi="Times New Roman" w:eastAsia="Times New Roman"/>
          <w:color w:val="212121"/>
          <w:spacing w:val="-19"/>
        </w:rPr>
        <w:t> </w:t>
      </w:r>
      <w:r>
        <w:rPr>
          <w:color w:val="212121"/>
          <w:spacing w:val="-4"/>
        </w:rPr>
        <w:t>年获《福布斯》评定为“中国数字经济 </w:t>
      </w:r>
      <w:r>
        <w:rPr>
          <w:rFonts w:ascii="Times New Roman" w:hAnsi="Times New Roman" w:eastAsia="Times New Roman"/>
          <w:color w:val="212121"/>
        </w:rPr>
        <w:t>100</w:t>
      </w:r>
      <w:r>
        <w:rPr>
          <w:rFonts w:ascii="Times New Roman" w:hAnsi="Times New Roman" w:eastAsia="Times New Roman"/>
          <w:color w:val="212121"/>
          <w:spacing w:val="-17"/>
        </w:rPr>
        <w:t> </w:t>
      </w:r>
      <w:r>
        <w:rPr>
          <w:color w:val="212121"/>
        </w:rPr>
        <w:t>强”</w:t>
      </w:r>
      <w:r>
        <w:rPr>
          <w:color w:val="212121"/>
          <w:spacing w:val="-102"/>
        </w:rPr>
        <w:t> </w:t>
      </w:r>
      <w:r>
        <w:rPr>
          <w:color w:val="212121"/>
        </w:rPr>
        <w:t>总榜第七、电子行业第一。为应对全球经济不确定性，工业富联在核心业务稳健发展的基础上，</w:t>
      </w:r>
      <w:r>
        <w:rPr>
          <w:color w:val="212121"/>
          <w:spacing w:val="1"/>
        </w:rPr>
        <w:t> </w:t>
      </w:r>
      <w:r>
        <w:rPr>
          <w:color w:val="212121"/>
        </w:rPr>
        <w:t>加速高端精密制造（包括半导体、新能源车零部件</w:t>
      </w:r>
      <w:r>
        <w:rPr>
          <w:color w:val="212121"/>
          <w:spacing w:val="-108"/>
        </w:rPr>
        <w:t>）</w:t>
      </w:r>
      <w:r>
        <w:rPr>
          <w:color w:val="212121"/>
        </w:rPr>
        <w:t>、大数据（包括元宇宙及储能</w:t>
      </w:r>
      <w:r>
        <w:rPr>
          <w:color w:val="212121"/>
          <w:spacing w:val="-106"/>
        </w:rPr>
        <w:t>）</w:t>
      </w:r>
      <w:r>
        <w:rPr>
          <w:color w:val="212121"/>
        </w:rPr>
        <w:t>、机器人等新</w:t>
      </w:r>
      <w:r>
        <w:rPr>
          <w:color w:val="212121"/>
          <w:spacing w:val="1"/>
        </w:rPr>
        <w:t> </w:t>
      </w:r>
      <w:r>
        <w:rPr>
          <w:color w:val="212121"/>
        </w:rPr>
        <w:t>事业布局，致力于掌握深层核心技术，维护供应链的安全稳定，积极建设制造业产业生态。</w:t>
      </w:r>
    </w:p>
    <w:p>
      <w:pPr>
        <w:pStyle w:val="ListParagraph"/>
        <w:numPr>
          <w:ilvl w:val="0"/>
          <w:numId w:val="1"/>
        </w:numPr>
        <w:tabs>
          <w:tab w:pos="1289" w:val="left" w:leader="none"/>
        </w:tabs>
        <w:spacing w:line="267" w:lineRule="exact" w:before="0" w:after="0"/>
        <w:ind w:left="1288" w:right="0" w:hanging="229"/>
        <w:jc w:val="left"/>
        <w:rPr>
          <w:sz w:val="21"/>
        </w:rPr>
      </w:pPr>
      <w:r>
        <w:rPr>
          <w:sz w:val="21"/>
        </w:rPr>
        <w:t>“千兆城市”建设跨越式提速，</w:t>
      </w:r>
      <w:r>
        <w:rPr>
          <w:rFonts w:ascii="Times New Roman" w:hAnsi="Times New Roman" w:eastAsia="Times New Roman"/>
          <w:b/>
          <w:sz w:val="21"/>
        </w:rPr>
        <w:t>5G+</w:t>
      </w:r>
      <w:r>
        <w:rPr>
          <w:sz w:val="21"/>
        </w:rPr>
        <w:t>需求扩张</w:t>
      </w:r>
    </w:p>
    <w:p>
      <w:pPr>
        <w:pStyle w:val="BodyText"/>
        <w:spacing w:line="364" w:lineRule="auto" w:before="137"/>
        <w:ind w:left="638" w:right="328" w:firstLine="419"/>
      </w:pPr>
      <w:r>
        <w:rPr>
          <w:color w:val="212121"/>
          <w:spacing w:val="-4"/>
        </w:rPr>
        <w:t>“千兆城市”建设全力加速，截至 </w:t>
      </w:r>
      <w:r>
        <w:rPr>
          <w:rFonts w:ascii="Times New Roman" w:hAnsi="Times New Roman" w:eastAsia="Times New Roman"/>
          <w:color w:val="212121"/>
          <w:spacing w:val="-1"/>
        </w:rPr>
        <w:t>2022</w:t>
      </w:r>
      <w:r>
        <w:rPr>
          <w:rFonts w:ascii="Times New Roman" w:hAnsi="Times New Roman" w:eastAsia="Times New Roman"/>
          <w:color w:val="212121"/>
          <w:spacing w:val="-5"/>
        </w:rPr>
        <w:t> </w:t>
      </w:r>
      <w:r>
        <w:rPr>
          <w:color w:val="212121"/>
          <w:spacing w:val="-21"/>
        </w:rPr>
        <w:t>年 </w:t>
      </w:r>
      <w:r>
        <w:rPr>
          <w:rFonts w:ascii="Times New Roman" w:hAnsi="Times New Roman" w:eastAsia="Times New Roman"/>
          <w:color w:val="212121"/>
        </w:rPr>
        <w:t>10</w:t>
      </w:r>
      <w:r>
        <w:rPr>
          <w:rFonts w:ascii="Times New Roman" w:hAnsi="Times New Roman" w:eastAsia="Times New Roman"/>
          <w:color w:val="212121"/>
          <w:spacing w:val="-2"/>
        </w:rPr>
        <w:t> </w:t>
      </w:r>
      <w:r>
        <w:rPr>
          <w:color w:val="212121"/>
          <w:spacing w:val="-6"/>
        </w:rPr>
        <w:t>月底，全国共有 </w:t>
      </w:r>
      <w:r>
        <w:rPr>
          <w:rFonts w:ascii="Times New Roman" w:hAnsi="Times New Roman" w:eastAsia="Times New Roman"/>
          <w:color w:val="212121"/>
        </w:rPr>
        <w:t>110</w:t>
      </w:r>
      <w:r>
        <w:rPr>
          <w:rFonts w:ascii="Times New Roman" w:hAnsi="Times New Roman" w:eastAsia="Times New Roman"/>
          <w:color w:val="212121"/>
          <w:spacing w:val="-3"/>
        </w:rPr>
        <w:t> </w:t>
      </w:r>
      <w:r>
        <w:rPr>
          <w:color w:val="212121"/>
        </w:rPr>
        <w:t>座城市达到千兆城市建设</w:t>
      </w:r>
      <w:r>
        <w:rPr>
          <w:color w:val="212121"/>
          <w:spacing w:val="-2"/>
        </w:rPr>
        <w:t>标准。中国工信部 </w:t>
      </w:r>
      <w:r>
        <w:rPr>
          <w:rFonts w:ascii="Times New Roman" w:hAnsi="Times New Roman" w:eastAsia="Times New Roman"/>
          <w:color w:val="212121"/>
        </w:rPr>
        <w:t>2022</w:t>
      </w:r>
      <w:r>
        <w:rPr>
          <w:rFonts w:ascii="Times New Roman" w:hAnsi="Times New Roman" w:eastAsia="Times New Roman"/>
          <w:color w:val="212121"/>
          <w:spacing w:val="17"/>
        </w:rPr>
        <w:t> </w:t>
      </w:r>
      <w:r>
        <w:rPr>
          <w:color w:val="212121"/>
          <w:spacing w:val="-2"/>
        </w:rPr>
        <w:t>年统计公报亦显示，我国 </w:t>
      </w:r>
      <w:r>
        <w:rPr>
          <w:rFonts w:ascii="Times New Roman" w:hAnsi="Times New Roman" w:eastAsia="Times New Roman"/>
          <w:color w:val="212121"/>
        </w:rPr>
        <w:t>1,000Mbps</w:t>
      </w:r>
      <w:r>
        <w:rPr>
          <w:rFonts w:ascii="Times New Roman" w:hAnsi="Times New Roman" w:eastAsia="Times New Roman"/>
          <w:color w:val="212121"/>
          <w:spacing w:val="18"/>
        </w:rPr>
        <w:t> </w:t>
      </w:r>
      <w:r>
        <w:rPr>
          <w:color w:val="212121"/>
        </w:rPr>
        <w:t>及以上接入速率的固定宽带用户达</w:t>
      </w:r>
    </w:p>
    <w:p>
      <w:pPr>
        <w:spacing w:after="0" w:line="364" w:lineRule="auto"/>
        <w:sectPr>
          <w:pgSz w:w="11910" w:h="16840"/>
          <w:pgMar w:header="880" w:footer="1195" w:top="1120" w:bottom="1380" w:left="1160" w:right="940"/>
        </w:sectPr>
      </w:pPr>
    </w:p>
    <w:p>
      <w:pPr>
        <w:pStyle w:val="BodyText"/>
        <w:spacing w:before="3"/>
        <w:ind w:left="0"/>
        <w:rPr>
          <w:sz w:val="25"/>
        </w:rPr>
      </w:pPr>
    </w:p>
    <w:p>
      <w:pPr>
        <w:pStyle w:val="BodyText"/>
        <w:spacing w:before="78"/>
        <w:ind w:left="638"/>
        <w:jc w:val="both"/>
      </w:pPr>
      <w:r>
        <w:rPr>
          <w:rFonts w:ascii="Times New Roman" w:eastAsia="Times New Roman"/>
          <w:color w:val="212121"/>
          <w:spacing w:val="-1"/>
        </w:rPr>
        <w:t>9,175</w:t>
      </w:r>
      <w:r>
        <w:rPr>
          <w:rFonts w:ascii="Times New Roman" w:eastAsia="Times New Roman"/>
          <w:color w:val="212121"/>
          <w:spacing w:val="-10"/>
        </w:rPr>
        <w:t> </w:t>
      </w:r>
      <w:r>
        <w:rPr>
          <w:color w:val="212121"/>
          <w:spacing w:val="-6"/>
        </w:rPr>
        <w:t>万户，规模是上年末的 </w:t>
      </w:r>
      <w:r>
        <w:rPr>
          <w:rFonts w:ascii="Times New Roman" w:eastAsia="Times New Roman"/>
          <w:color w:val="212121"/>
        </w:rPr>
        <w:t>2.7</w:t>
      </w:r>
      <w:r>
        <w:rPr>
          <w:rFonts w:ascii="Times New Roman" w:eastAsia="Times New Roman"/>
          <w:color w:val="212121"/>
          <w:spacing w:val="-10"/>
        </w:rPr>
        <w:t> </w:t>
      </w:r>
      <w:r>
        <w:rPr>
          <w:color w:val="212121"/>
        </w:rPr>
        <w:t>倍，取得跨越式发展。</w:t>
      </w:r>
    </w:p>
    <w:p>
      <w:pPr>
        <w:pStyle w:val="BodyText"/>
        <w:spacing w:line="364" w:lineRule="auto" w:before="142"/>
        <w:ind w:left="638" w:right="327" w:firstLine="419"/>
        <w:jc w:val="both"/>
      </w:pPr>
      <w:r>
        <w:rPr>
          <w:color w:val="212121"/>
        </w:rPr>
        <w:t>随之而来，</w:t>
      </w:r>
      <w:r>
        <w:rPr>
          <w:rFonts w:ascii="Times New Roman" w:eastAsia="Times New Roman"/>
          <w:color w:val="212121"/>
        </w:rPr>
        <w:t>5G</w:t>
      </w:r>
      <w:r>
        <w:rPr>
          <w:color w:val="212121"/>
        </w:rPr>
        <w:t>、千兆光网等新技术在娱乐消费、社会民生、数字政府等垂直行业也涌现了</w:t>
      </w:r>
      <w:r>
        <w:rPr>
          <w:color w:val="212121"/>
          <w:spacing w:val="-5"/>
        </w:rPr>
        <w:t>融合创新应用。根据 </w:t>
      </w:r>
      <w:r>
        <w:rPr>
          <w:rFonts w:ascii="Times New Roman" w:eastAsia="Times New Roman"/>
          <w:color w:val="212121"/>
        </w:rPr>
        <w:t>IHS</w:t>
      </w:r>
      <w:r>
        <w:rPr>
          <w:rFonts w:ascii="Times New Roman" w:eastAsia="Times New Roman"/>
          <w:color w:val="212121"/>
          <w:spacing w:val="1"/>
        </w:rPr>
        <w:t> </w:t>
      </w:r>
      <w:r>
        <w:rPr>
          <w:color w:val="212121"/>
        </w:rPr>
        <w:t>数据显示，</w:t>
      </w:r>
      <w:r>
        <w:rPr>
          <w:rFonts w:ascii="Times New Roman" w:eastAsia="Times New Roman"/>
          <w:color w:val="212121"/>
        </w:rPr>
        <w:t>2022</w:t>
      </w:r>
      <w:r>
        <w:rPr>
          <w:rFonts w:ascii="Times New Roman" w:eastAsia="Times New Roman"/>
          <w:color w:val="212121"/>
          <w:spacing w:val="-3"/>
        </w:rPr>
        <w:t> </w:t>
      </w:r>
      <w:r>
        <w:rPr>
          <w:color w:val="212121"/>
          <w:spacing w:val="-10"/>
        </w:rPr>
        <w:t>年全球 </w:t>
      </w:r>
      <w:r>
        <w:rPr>
          <w:rFonts w:ascii="Times New Roman" w:eastAsia="Times New Roman"/>
          <w:color w:val="212121"/>
        </w:rPr>
        <w:t>5G</w:t>
      </w:r>
      <w:r>
        <w:rPr>
          <w:rFonts w:ascii="Times New Roman" w:eastAsia="Times New Roman"/>
          <w:color w:val="212121"/>
          <w:spacing w:val="1"/>
        </w:rPr>
        <w:t> </w:t>
      </w:r>
      <w:r>
        <w:rPr>
          <w:color w:val="212121"/>
          <w:spacing w:val="-4"/>
        </w:rPr>
        <w:t>基础设施市场产值达 </w:t>
      </w:r>
      <w:r>
        <w:rPr>
          <w:rFonts w:ascii="Times New Roman" w:eastAsia="Times New Roman"/>
          <w:color w:val="212121"/>
        </w:rPr>
        <w:t>307.4 </w:t>
      </w:r>
      <w:r>
        <w:rPr>
          <w:color w:val="212121"/>
        </w:rPr>
        <w:t>亿美元，同比增</w:t>
      </w:r>
      <w:r>
        <w:rPr>
          <w:color w:val="212121"/>
          <w:spacing w:val="-27"/>
        </w:rPr>
        <w:t>长 </w:t>
      </w:r>
      <w:r>
        <w:rPr>
          <w:rFonts w:ascii="Times New Roman" w:eastAsia="Times New Roman"/>
        </w:rPr>
        <w:t>4.53%</w:t>
      </w:r>
      <w:r>
        <w:rPr/>
        <w:t>，未来几年将继续呈增长趋势。</w:t>
      </w:r>
    </w:p>
    <w:p>
      <w:pPr>
        <w:pStyle w:val="BodyText"/>
        <w:ind w:left="1109"/>
        <w:rPr>
          <w:sz w:val="20"/>
        </w:rPr>
      </w:pPr>
      <w:r>
        <w:rPr>
          <w:sz w:val="20"/>
        </w:rPr>
        <w:pict>
          <v:group style="width:368.9pt;height:100.6pt;mso-position-horizontal-relative:char;mso-position-vertical-relative:line" coordorigin="0,0" coordsize="7378,2012">
            <v:shape style="position:absolute;left:172;top:14;width:3459;height:1983" type="#_x0000_t75" stroked="false">
              <v:imagedata r:id="rId16" o:title=""/>
            </v:shape>
            <v:rect style="position:absolute;left:7;top:7;width:3632;height:1997" filled="false" stroked="true" strokeweight=".72pt" strokecolor="#d9d9d9">
              <v:stroke dashstyle="solid"/>
            </v:rect>
            <v:shape style="position:absolute;left:3813;top:165;width:3478;height:1725" type="#_x0000_t75" stroked="false">
              <v:imagedata r:id="rId17" o:title=""/>
            </v:shape>
            <v:rect style="position:absolute;left:3720;top:7;width:3651;height:1985" filled="false" stroked="true" strokeweight=".72pt" strokecolor="#d9d9d9">
              <v:stroke dashstyle="solid"/>
            </v:rect>
          </v:group>
        </w:pict>
      </w:r>
      <w:r>
        <w:rPr>
          <w:sz w:val="20"/>
        </w:rPr>
      </w:r>
    </w:p>
    <w:p>
      <w:pPr>
        <w:pStyle w:val="BodyText"/>
        <w:spacing w:line="364" w:lineRule="auto" w:before="19"/>
        <w:ind w:left="638" w:right="327" w:firstLine="419"/>
        <w:jc w:val="both"/>
      </w:pPr>
      <w:r>
        <w:rPr/>
        <w:t>行业地位方面，工业富联聚焦企业数字化、</w:t>
      </w:r>
      <w:r>
        <w:rPr>
          <w:rFonts w:ascii="Times New Roman" w:eastAsia="Times New Roman"/>
        </w:rPr>
        <w:t>5G</w:t>
      </w:r>
      <w:r>
        <w:rPr>
          <w:rFonts w:ascii="Times New Roman" w:eastAsia="Times New Roman"/>
          <w:spacing w:val="1"/>
        </w:rPr>
        <w:t> </w:t>
      </w:r>
      <w:r>
        <w:rPr/>
        <w:t>基建、智慧家庭三大场景，提供全面的网通产品系统解决方案，持续深化核心网云化、</w:t>
      </w:r>
      <w:r>
        <w:rPr>
          <w:rFonts w:ascii="Times New Roman" w:eastAsia="Times New Roman"/>
        </w:rPr>
        <w:t>Massive</w:t>
      </w:r>
      <w:r>
        <w:rPr>
          <w:rFonts w:ascii="Times New Roman" w:eastAsia="Times New Roman"/>
          <w:spacing w:val="22"/>
        </w:rPr>
        <w:t> </w:t>
      </w:r>
      <w:r>
        <w:rPr>
          <w:rFonts w:ascii="Times New Roman" w:eastAsia="Times New Roman"/>
        </w:rPr>
        <w:t>MIMO</w:t>
      </w:r>
      <w:r>
        <w:rPr/>
        <w:t>、</w:t>
      </w:r>
      <w:r>
        <w:rPr>
          <w:rFonts w:ascii="Times New Roman" w:eastAsia="Times New Roman"/>
        </w:rPr>
        <w:t>5G+</w:t>
      </w:r>
      <w:r>
        <w:rPr>
          <w:rFonts w:ascii="Times New Roman" w:eastAsia="Times New Roman"/>
          <w:spacing w:val="22"/>
        </w:rPr>
        <w:t> </w:t>
      </w:r>
      <w:r>
        <w:rPr/>
        <w:t>垂直应用等布局。</w:t>
      </w:r>
      <w:r>
        <w:rPr>
          <w:rFonts w:ascii="Times New Roman" w:eastAsia="Times New Roman"/>
        </w:rPr>
        <w:t>2022</w:t>
      </w:r>
      <w:r>
        <w:rPr>
          <w:rFonts w:ascii="Times New Roman" w:eastAsia="Times New Roman"/>
          <w:spacing w:val="16"/>
        </w:rPr>
        <w:t> </w:t>
      </w:r>
      <w:r>
        <w:rPr/>
        <w:t>年发布</w:t>
      </w:r>
      <w:r>
        <w:rPr>
          <w:spacing w:val="-9"/>
        </w:rPr>
        <w:t>全球最小尺寸 </w:t>
      </w:r>
      <w:r>
        <w:rPr>
          <w:rFonts w:ascii="Times New Roman" w:eastAsia="Times New Roman"/>
          <w:spacing w:val="-1"/>
        </w:rPr>
        <w:t>5G</w:t>
      </w:r>
      <w:r>
        <w:rPr>
          <w:rFonts w:ascii="Times New Roman" w:eastAsia="Times New Roman"/>
          <w:spacing w:val="24"/>
        </w:rPr>
        <w:t> </w:t>
      </w:r>
      <w:r>
        <w:rPr>
          <w:rFonts w:ascii="Times New Roman" w:eastAsia="Times New Roman"/>
          <w:spacing w:val="-1"/>
        </w:rPr>
        <w:t>R16</w:t>
      </w:r>
      <w:r>
        <w:rPr>
          <w:rFonts w:ascii="Times New Roman" w:eastAsia="Times New Roman"/>
          <w:spacing w:val="-9"/>
        </w:rPr>
        <w:t> </w:t>
      </w:r>
      <w:r>
        <w:rPr>
          <w:spacing w:val="-6"/>
        </w:rPr>
        <w:t>系列模组产品和市场首创的 </w:t>
      </w:r>
      <w:r>
        <w:rPr>
          <w:rFonts w:ascii="Times New Roman" w:eastAsia="Times New Roman"/>
        </w:rPr>
        <w:t>Wi-Fi</w:t>
      </w:r>
      <w:r>
        <w:rPr>
          <w:rFonts w:ascii="Times New Roman" w:eastAsia="Times New Roman"/>
          <w:spacing w:val="25"/>
        </w:rPr>
        <w:t> </w:t>
      </w:r>
      <w:r>
        <w:rPr>
          <w:rFonts w:ascii="Times New Roman" w:eastAsia="Times New Roman"/>
        </w:rPr>
        <w:t>6</w:t>
      </w:r>
      <w:r>
        <w:rPr>
          <w:rFonts w:ascii="Times New Roman" w:eastAsia="Times New Roman"/>
          <w:spacing w:val="-10"/>
        </w:rPr>
        <w:t> </w:t>
      </w:r>
      <w:r>
        <w:rPr>
          <w:spacing w:val="-4"/>
        </w:rPr>
        <w:t>融合路由器等产品，覆盖端对端 </w:t>
      </w:r>
      <w:r>
        <w:rPr>
          <w:rFonts w:ascii="Times New Roman" w:eastAsia="Times New Roman"/>
        </w:rPr>
        <w:t>5G</w:t>
      </w:r>
      <w:r>
        <w:rPr>
          <w:rFonts w:ascii="Times New Roman" w:eastAsia="Times New Roman"/>
          <w:spacing w:val="-11"/>
        </w:rPr>
        <w:t> </w:t>
      </w:r>
      <w:r>
        <w:rPr/>
        <w:t>解决方案、</w:t>
      </w:r>
      <w:r>
        <w:rPr>
          <w:rFonts w:ascii="Times New Roman" w:eastAsia="Times New Roman"/>
        </w:rPr>
        <w:t>5G+</w:t>
      </w:r>
      <w:r>
        <w:rPr/>
        <w:t>智慧出行、</w:t>
      </w:r>
      <w:r>
        <w:rPr>
          <w:rFonts w:ascii="Times New Roman" w:eastAsia="Times New Roman"/>
        </w:rPr>
        <w:t>5G+</w:t>
      </w:r>
      <w:r>
        <w:rPr/>
        <w:t>智慧办公、</w:t>
      </w:r>
      <w:r>
        <w:rPr>
          <w:rFonts w:ascii="Times New Roman" w:eastAsia="Times New Roman"/>
        </w:rPr>
        <w:t>5G+</w:t>
      </w:r>
      <w:r>
        <w:rPr/>
        <w:t>智能家居等市场，进一步拓展新能源产品、储能装备、车联网装置等新蓝海。</w:t>
      </w:r>
    </w:p>
    <w:p>
      <w:pPr>
        <w:pStyle w:val="ListParagraph"/>
        <w:numPr>
          <w:ilvl w:val="0"/>
          <w:numId w:val="1"/>
        </w:numPr>
        <w:tabs>
          <w:tab w:pos="1238" w:val="left" w:leader="none"/>
        </w:tabs>
        <w:spacing w:line="267" w:lineRule="exact" w:before="0" w:after="0"/>
        <w:ind w:left="1237" w:right="0" w:hanging="178"/>
        <w:jc w:val="left"/>
        <w:rPr>
          <w:sz w:val="21"/>
        </w:rPr>
      </w:pPr>
      <w:r>
        <w:rPr>
          <w:sz w:val="21"/>
        </w:rPr>
        <w:t>“算力经济”时代起飞，绿色计算强势领跑</w:t>
      </w:r>
    </w:p>
    <w:p>
      <w:pPr>
        <w:pStyle w:val="BodyText"/>
        <w:spacing w:line="364" w:lineRule="auto" w:before="141"/>
        <w:ind w:left="638" w:right="327" w:firstLine="419"/>
        <w:jc w:val="both"/>
      </w:pPr>
      <w:r>
        <w:rPr>
          <w:rFonts w:ascii="Times New Roman" w:eastAsia="Times New Roman"/>
        </w:rPr>
        <w:t>2022</w:t>
      </w:r>
      <w:r>
        <w:rPr>
          <w:rFonts w:ascii="Times New Roman" w:eastAsia="Times New Roman"/>
          <w:spacing w:val="18"/>
        </w:rPr>
        <w:t> </w:t>
      </w:r>
      <w:r>
        <w:rPr/>
        <w:t>年，随着元宇宙、数字孪生、东数西算等热度暴涨，算力需求持续释放带动算力基础</w:t>
      </w:r>
      <w:r>
        <w:rPr>
          <w:spacing w:val="-5"/>
        </w:rPr>
        <w:t>设施产业迎来增长新周期。根据 </w:t>
      </w:r>
      <w:r>
        <w:rPr>
          <w:rFonts w:ascii="Times New Roman" w:eastAsia="Times New Roman"/>
        </w:rPr>
        <w:t>IDC</w:t>
      </w:r>
      <w:r>
        <w:rPr>
          <w:rFonts w:ascii="Times New Roman" w:eastAsia="Times New Roman"/>
          <w:spacing w:val="-11"/>
        </w:rPr>
        <w:t> </w:t>
      </w:r>
      <w:r>
        <w:rPr/>
        <w:t>数据，</w:t>
      </w:r>
      <w:r>
        <w:rPr>
          <w:rFonts w:ascii="Times New Roman" w:eastAsia="Times New Roman"/>
        </w:rPr>
        <w:t>2022</w:t>
      </w:r>
      <w:r>
        <w:rPr>
          <w:rFonts w:ascii="Times New Roman" w:eastAsia="Times New Roman"/>
          <w:spacing w:val="-12"/>
        </w:rPr>
        <w:t> </w:t>
      </w:r>
      <w:r>
        <w:rPr>
          <w:spacing w:val="-5"/>
        </w:rPr>
        <w:t>年全球服务器出货量突破 </w:t>
      </w:r>
      <w:r>
        <w:rPr>
          <w:rFonts w:ascii="Times New Roman" w:eastAsia="Times New Roman"/>
        </w:rPr>
        <w:t>1,516</w:t>
      </w:r>
      <w:r>
        <w:rPr>
          <w:rFonts w:ascii="Times New Roman" w:eastAsia="Times New Roman"/>
          <w:spacing w:val="-12"/>
        </w:rPr>
        <w:t> </w:t>
      </w:r>
      <w:r>
        <w:rPr/>
        <w:t>万台，同比增长</w:t>
      </w:r>
      <w:r>
        <w:rPr>
          <w:rFonts w:ascii="Times New Roman" w:eastAsia="Times New Roman"/>
        </w:rPr>
        <w:t>12%</w:t>
      </w:r>
      <w:r>
        <w:rPr>
          <w:spacing w:val="-3"/>
        </w:rPr>
        <w:t>，产值达 </w:t>
      </w:r>
      <w:r>
        <w:rPr>
          <w:rFonts w:ascii="Times New Roman" w:eastAsia="Times New Roman"/>
        </w:rPr>
        <w:t>1,215.8</w:t>
      </w:r>
      <w:r>
        <w:rPr>
          <w:rFonts w:ascii="Times New Roman" w:eastAsia="Times New Roman"/>
          <w:spacing w:val="25"/>
        </w:rPr>
        <w:t> </w:t>
      </w:r>
      <w:r>
        <w:rPr/>
        <w:t>亿美金。另外，随着人工智能应用的普及，</w:t>
      </w:r>
      <w:r>
        <w:rPr>
          <w:rFonts w:ascii="Times New Roman" w:eastAsia="Times New Roman"/>
        </w:rPr>
        <w:t>2022</w:t>
      </w:r>
      <w:r>
        <w:rPr>
          <w:rFonts w:ascii="Times New Roman" w:eastAsia="Times New Roman"/>
          <w:spacing w:val="26"/>
        </w:rPr>
        <w:t> </w:t>
      </w:r>
      <w:r>
        <w:rPr/>
        <w:t>年我国智能算力规模近乎翻倍，达到 </w:t>
      </w:r>
      <w:r>
        <w:rPr>
          <w:rFonts w:ascii="Times New Roman" w:eastAsia="Times New Roman"/>
        </w:rPr>
        <w:t>268EFLOPS</w:t>
      </w:r>
      <w:r>
        <w:rPr/>
        <w:t>，超过通用算力规模；未来 </w:t>
      </w:r>
      <w:r>
        <w:rPr>
          <w:rFonts w:ascii="Times New Roman" w:eastAsia="Times New Roman"/>
        </w:rPr>
        <w:t>5</w:t>
      </w:r>
      <w:r>
        <w:rPr>
          <w:rFonts w:ascii="Times New Roman" w:eastAsia="Times New Roman"/>
          <w:spacing w:val="33"/>
        </w:rPr>
        <w:t> </w:t>
      </w:r>
      <w:r>
        <w:rPr/>
        <w:t>年我国智能算力规模的年复合增长率预计</w:t>
      </w:r>
      <w:r>
        <w:rPr>
          <w:spacing w:val="-27"/>
        </w:rPr>
        <w:t>达 </w:t>
      </w:r>
      <w:r>
        <w:rPr>
          <w:rFonts w:ascii="Times New Roman" w:eastAsia="Times New Roman"/>
        </w:rPr>
        <w:t>52.3%</w:t>
      </w:r>
      <w:r>
        <w:rPr/>
        <w:t>。</w:t>
      </w:r>
    </w:p>
    <w:p>
      <w:pPr>
        <w:pStyle w:val="BodyText"/>
        <w:ind w:left="2734"/>
        <w:rPr>
          <w:sz w:val="20"/>
        </w:rPr>
      </w:pPr>
      <w:r>
        <w:rPr>
          <w:sz w:val="20"/>
        </w:rPr>
        <w:pict>
          <v:group style="width:231.5pt;height:131.0500pt;mso-position-horizontal-relative:char;mso-position-vertical-relative:line" coordorigin="0,0" coordsize="4630,2621">
            <v:shape style="position:absolute;left:259;top:245;width:4082;height:2210" type="#_x0000_t75" stroked="false">
              <v:imagedata r:id="rId18" o:title=""/>
            </v:shape>
            <v:rect style="position:absolute;left:7;top:7;width:4616;height:2607" filled="false" stroked="true" strokeweight=".72pt" strokecolor="#d9d9d9">
              <v:stroke dashstyle="solid"/>
            </v:rect>
          </v:group>
        </w:pict>
      </w:r>
      <w:r>
        <w:rPr>
          <w:sz w:val="20"/>
        </w:rPr>
      </w:r>
    </w:p>
    <w:p>
      <w:pPr>
        <w:pStyle w:val="BodyText"/>
        <w:spacing w:line="364" w:lineRule="auto" w:before="38"/>
        <w:ind w:left="638" w:right="328" w:firstLine="419"/>
      </w:pPr>
      <w:r>
        <w:rPr/>
        <w:t>行业地位方面，工业富联在云计算服务器出货量持续全球第一，与全球主要服务器品牌商、</w:t>
      </w:r>
      <w:r>
        <w:rPr>
          <w:spacing w:val="7"/>
        </w:rPr>
        <w:t>国内外</w:t>
      </w:r>
      <w:r>
        <w:rPr>
          <w:rFonts w:ascii="Times New Roman" w:eastAsia="Times New Roman"/>
        </w:rPr>
        <w:t>CSP</w:t>
      </w:r>
      <w:r>
        <w:rPr>
          <w:rFonts w:ascii="Times New Roman" w:eastAsia="Times New Roman"/>
          <w:spacing w:val="-26"/>
        </w:rPr>
        <w:t> </w:t>
      </w:r>
      <w:r>
        <w:rPr/>
        <w:t>客戶深化合作，推出新一代云计算基础设施解决方案，包括模块化服务器、高效运算</w:t>
      </w:r>
    </w:p>
    <w:p>
      <w:pPr>
        <w:pStyle w:val="BodyText"/>
        <w:spacing w:line="364" w:lineRule="auto" w:before="1"/>
        <w:ind w:left="638" w:right="327"/>
      </w:pPr>
      <w:r>
        <w:rPr/>
        <w:t>（</w:t>
      </w:r>
      <w:r>
        <w:rPr>
          <w:rFonts w:ascii="Times New Roman" w:eastAsia="Times New Roman"/>
        </w:rPr>
        <w:t>HPC</w:t>
      </w:r>
      <w:r>
        <w:rPr/>
        <w:t>）</w:t>
      </w:r>
      <w:r>
        <w:rPr>
          <w:spacing w:val="-7"/>
        </w:rPr>
        <w:t>等，重点解决因 </w:t>
      </w:r>
      <w:r>
        <w:rPr>
          <w:rFonts w:ascii="Times New Roman" w:eastAsia="Times New Roman"/>
        </w:rPr>
        <w:t>ChatGPT</w:t>
      </w:r>
      <w:r>
        <w:rPr>
          <w:rFonts w:ascii="Times New Roman" w:eastAsia="Times New Roman"/>
          <w:spacing w:val="-11"/>
        </w:rPr>
        <w:t> </w:t>
      </w:r>
      <w:r>
        <w:rPr>
          <w:spacing w:val="5"/>
        </w:rPr>
        <w:t>持续升温而引发</w:t>
      </w:r>
      <w:r>
        <w:rPr>
          <w:rFonts w:ascii="Times New Roman" w:eastAsia="Times New Roman"/>
        </w:rPr>
        <w:t>AIGC</w:t>
      </w:r>
      <w:r>
        <w:rPr>
          <w:rFonts w:ascii="Times New Roman" w:eastAsia="Times New Roman"/>
          <w:spacing w:val="-11"/>
        </w:rPr>
        <w:t> </w:t>
      </w:r>
      <w:r>
        <w:rPr/>
        <w:t>算力井喷需求；同时，持续投入绿色计算研发，推出数据中心先进冷却、低碳技能等解决方案。</w:t>
      </w:r>
    </w:p>
    <w:p>
      <w:pPr>
        <w:pStyle w:val="ListParagraph"/>
        <w:numPr>
          <w:ilvl w:val="0"/>
          <w:numId w:val="1"/>
        </w:numPr>
        <w:tabs>
          <w:tab w:pos="1289" w:val="left" w:leader="none"/>
        </w:tabs>
        <w:spacing w:line="267" w:lineRule="exact" w:before="0" w:after="0"/>
        <w:ind w:left="1288" w:right="0" w:hanging="229"/>
        <w:jc w:val="left"/>
        <w:rPr>
          <w:sz w:val="21"/>
        </w:rPr>
      </w:pPr>
      <w:r>
        <w:rPr>
          <w:sz w:val="21"/>
        </w:rPr>
        <w:t>“数字社区”活跃，智能终端韧性发力</w:t>
      </w:r>
    </w:p>
    <w:p>
      <w:pPr>
        <w:pStyle w:val="BodyText"/>
        <w:spacing w:line="364" w:lineRule="auto" w:before="139"/>
        <w:ind w:left="638" w:right="339" w:firstLine="419"/>
      </w:pPr>
      <w:r>
        <w:rPr>
          <w:rFonts w:ascii="Times New Roman" w:hAnsi="Times New Roman" w:eastAsia="Times New Roman"/>
          <w:w w:val="100"/>
        </w:rPr>
        <w:t>2022</w:t>
      </w:r>
      <w:r>
        <w:rPr>
          <w:rFonts w:ascii="Times New Roman" w:hAnsi="Times New Roman" w:eastAsia="Times New Roman"/>
          <w:spacing w:val="-12"/>
        </w:rPr>
        <w:t>  </w:t>
      </w:r>
      <w:r>
        <w:rPr>
          <w:spacing w:val="-13"/>
          <w:w w:val="100"/>
        </w:rPr>
        <w:t>年，“数字社区”成为智慧生活的“新入口”和数字经济的又一载体。“数字社区”依</w:t>
      </w:r>
      <w:r>
        <w:rPr/>
        <w:t>托新一代信息技术基础，对智能终端的迭代提出新一轮市场需求。</w:t>
      </w:r>
    </w:p>
    <w:p>
      <w:pPr>
        <w:spacing w:after="0" w:line="364" w:lineRule="auto"/>
        <w:sectPr>
          <w:pgSz w:w="11910" w:h="16840"/>
          <w:pgMar w:header="880" w:footer="1195" w:top="1120" w:bottom="1380" w:left="1160" w:right="940"/>
        </w:sectPr>
      </w:pPr>
    </w:p>
    <w:p>
      <w:pPr>
        <w:pStyle w:val="BodyText"/>
        <w:spacing w:before="3"/>
        <w:ind w:left="0"/>
        <w:rPr>
          <w:sz w:val="25"/>
        </w:rPr>
      </w:pPr>
    </w:p>
    <w:p>
      <w:pPr>
        <w:pStyle w:val="BodyText"/>
        <w:spacing w:before="78"/>
        <w:ind w:left="1058"/>
      </w:pPr>
      <w:r>
        <w:rPr>
          <w:rFonts w:ascii="Times New Roman" w:eastAsia="Times New Roman"/>
        </w:rPr>
        <w:t>Strategy</w:t>
      </w:r>
      <w:r>
        <w:rPr>
          <w:rFonts w:ascii="Times New Roman" w:eastAsia="Times New Roman"/>
          <w:spacing w:val="11"/>
        </w:rPr>
        <w:t> </w:t>
      </w:r>
      <w:r>
        <w:rPr>
          <w:rFonts w:ascii="Times New Roman" w:eastAsia="Times New Roman"/>
        </w:rPr>
        <w:t>Analytics</w:t>
      </w:r>
      <w:r>
        <w:rPr>
          <w:rFonts w:ascii="Times New Roman" w:eastAsia="Times New Roman"/>
          <w:spacing w:val="43"/>
        </w:rPr>
        <w:t> </w:t>
      </w:r>
      <w:r>
        <w:rPr/>
        <w:t>数据显示，</w:t>
      </w:r>
      <w:r>
        <w:rPr>
          <w:rFonts w:ascii="Times New Roman" w:eastAsia="Times New Roman"/>
        </w:rPr>
        <w:t>2022</w:t>
      </w:r>
      <w:r>
        <w:rPr>
          <w:rFonts w:ascii="Times New Roman" w:eastAsia="Times New Roman"/>
          <w:spacing w:val="43"/>
        </w:rPr>
        <w:t> </w:t>
      </w:r>
      <w:r>
        <w:rPr>
          <w:spacing w:val="1"/>
        </w:rPr>
        <w:t>年全球智能手表销售量预计增长 </w:t>
      </w:r>
      <w:r>
        <w:rPr>
          <w:rFonts w:ascii="Times New Roman" w:eastAsia="Times New Roman"/>
        </w:rPr>
        <w:t>17%</w:t>
      </w:r>
      <w:r>
        <w:rPr/>
        <w:t>；</w:t>
      </w:r>
      <w:r>
        <w:rPr>
          <w:rFonts w:ascii="Times New Roman" w:eastAsia="Times New Roman"/>
        </w:rPr>
        <w:t>IDC</w:t>
      </w:r>
      <w:r>
        <w:rPr>
          <w:rFonts w:ascii="Times New Roman" w:eastAsia="Times New Roman"/>
          <w:spacing w:val="43"/>
        </w:rPr>
        <w:t> </w:t>
      </w:r>
      <w:r>
        <w:rPr/>
        <w:t>数据预测，</w:t>
      </w:r>
    </w:p>
    <w:p>
      <w:pPr>
        <w:pStyle w:val="BodyText"/>
        <w:spacing w:before="142"/>
        <w:ind w:left="638"/>
        <w:jc w:val="both"/>
      </w:pPr>
      <w:r>
        <w:rPr>
          <w:rFonts w:ascii="Times New Roman" w:eastAsia="Times New Roman"/>
          <w:spacing w:val="-1"/>
        </w:rPr>
        <w:t>AR/VR</w:t>
      </w:r>
      <w:r>
        <w:rPr>
          <w:rFonts w:ascii="Times New Roman" w:eastAsia="Times New Roman"/>
          <w:spacing w:val="-11"/>
        </w:rPr>
        <w:t> </w:t>
      </w:r>
      <w:r>
        <w:rPr>
          <w:spacing w:val="-4"/>
        </w:rPr>
        <w:t>头显全球出货量预计几年内增长 </w:t>
      </w:r>
      <w:r>
        <w:rPr>
          <w:rFonts w:ascii="Times New Roman" w:eastAsia="Times New Roman"/>
        </w:rPr>
        <w:t>30%</w:t>
      </w:r>
      <w:r>
        <w:rPr/>
        <w:t>以上。</w:t>
      </w:r>
    </w:p>
    <w:p>
      <w:pPr>
        <w:pStyle w:val="BodyText"/>
        <w:spacing w:line="364" w:lineRule="auto" w:before="139"/>
        <w:ind w:left="638" w:right="328" w:firstLine="419"/>
        <w:jc w:val="both"/>
      </w:pPr>
      <w:r>
        <w:rPr/>
        <w:t>行业地位方面，工业富联在智能终端及移动穿戴装置的高端精密机构件出货量始终占据市场</w:t>
      </w:r>
      <w:r>
        <w:rPr>
          <w:spacing w:val="-7"/>
          <w:w w:val="100"/>
        </w:rPr>
        <w:t>主导地位，并成功打造世界首座精密金属加工“灯塔工厂”，通过</w:t>
      </w:r>
      <w:r>
        <w:rPr>
          <w:spacing w:val="-45"/>
        </w:rPr>
        <w:t> </w:t>
      </w:r>
      <w:r>
        <w:rPr>
          <w:rFonts w:ascii="Times New Roman" w:hAnsi="Times New Roman" w:eastAsia="Times New Roman"/>
          <w:w w:val="100"/>
        </w:rPr>
        <w:t>37</w:t>
      </w:r>
      <w:r>
        <w:rPr>
          <w:rFonts w:ascii="Times New Roman" w:hAnsi="Times New Roman" w:eastAsia="Times New Roman"/>
          <w:spacing w:val="-5"/>
        </w:rPr>
        <w:t> </w:t>
      </w:r>
      <w:r>
        <w:rPr>
          <w:w w:val="100"/>
        </w:rPr>
        <w:t>个</w:t>
      </w:r>
      <w:r>
        <w:rPr>
          <w:spacing w:val="-43"/>
        </w:rPr>
        <w:t> </w:t>
      </w:r>
      <w:r>
        <w:rPr>
          <w:rFonts w:ascii="Times New Roman" w:hAnsi="Times New Roman" w:eastAsia="Times New Roman"/>
          <w:w w:val="100"/>
        </w:rPr>
        <w:t>4</w:t>
      </w:r>
      <w:r>
        <w:rPr>
          <w:rFonts w:ascii="Times New Roman" w:hAnsi="Times New Roman" w:eastAsia="Times New Roman"/>
          <w:spacing w:val="-4"/>
          <w:w w:val="100"/>
        </w:rPr>
        <w:t>I</w:t>
      </w:r>
      <w:r>
        <w:rPr>
          <w:rFonts w:ascii="Times New Roman" w:hAnsi="Times New Roman" w:eastAsia="Times New Roman"/>
          <w:w w:val="100"/>
        </w:rPr>
        <w:t>R</w:t>
      </w:r>
      <w:r>
        <w:rPr>
          <w:rFonts w:ascii="Times New Roman" w:hAnsi="Times New Roman" w:eastAsia="Times New Roman"/>
          <w:spacing w:val="-4"/>
        </w:rPr>
        <w:t> </w:t>
      </w:r>
      <w:r>
        <w:rPr>
          <w:spacing w:val="-3"/>
          <w:w w:val="100"/>
        </w:rPr>
        <w:t>用例的规模化部署，</w:t>
      </w:r>
      <w:r>
        <w:rPr>
          <w:spacing w:val="-13"/>
        </w:rPr>
        <w:t>通过 </w:t>
      </w:r>
      <w:r>
        <w:rPr>
          <w:rFonts w:ascii="Times New Roman" w:hAnsi="Times New Roman" w:eastAsia="Times New Roman"/>
          <w:spacing w:val="-1"/>
        </w:rPr>
        <w:t>5T</w:t>
      </w:r>
      <w:r>
        <w:rPr>
          <w:rFonts w:ascii="Times New Roman" w:hAnsi="Times New Roman" w:eastAsia="Times New Roman"/>
          <w:spacing w:val="3"/>
        </w:rPr>
        <w:t> </w:t>
      </w:r>
      <w:r>
        <w:rPr>
          <w:spacing w:val="-4"/>
        </w:rPr>
        <w:t>融合，实现新产品导入速度加快 </w:t>
      </w:r>
      <w:r>
        <w:rPr>
          <w:rFonts w:ascii="Times New Roman" w:hAnsi="Times New Roman" w:eastAsia="Times New Roman"/>
        </w:rPr>
        <w:t>29%</w:t>
      </w:r>
      <w:r>
        <w:rPr>
          <w:spacing w:val="-4"/>
        </w:rPr>
        <w:t>、量产爬坡速度提升 </w:t>
      </w:r>
      <w:r>
        <w:rPr>
          <w:rFonts w:ascii="Times New Roman" w:hAnsi="Times New Roman" w:eastAsia="Times New Roman"/>
        </w:rPr>
        <w:t>50%</w:t>
      </w:r>
      <w:r>
        <w:rPr/>
        <w:t>等智能化生产。另外，通过战略投资巩固高端精密制造生态建设，包括思灵机器人以及科创板上市的凌云光等。</w:t>
      </w:r>
    </w:p>
    <w:p>
      <w:pPr>
        <w:pStyle w:val="BodyText"/>
        <w:ind w:left="3424"/>
        <w:rPr>
          <w:sz w:val="20"/>
        </w:rPr>
      </w:pPr>
      <w:r>
        <w:rPr>
          <w:sz w:val="20"/>
        </w:rPr>
        <w:drawing>
          <wp:inline distT="0" distB="0" distL="0" distR="0">
            <wp:extent cx="2367057" cy="1778507"/>
            <wp:effectExtent l="0" t="0" r="0" b="0"/>
            <wp:docPr id="1" name="image4.jpeg"/>
            <wp:cNvGraphicFramePr>
              <a:graphicFrameLocks noChangeAspect="1"/>
            </wp:cNvGraphicFramePr>
            <a:graphic>
              <a:graphicData uri="http://schemas.openxmlformats.org/drawingml/2006/picture">
                <pic:pic>
                  <pic:nvPicPr>
                    <pic:cNvPr id="2" name="image4.jpeg"/>
                    <pic:cNvPicPr/>
                  </pic:nvPicPr>
                  <pic:blipFill>
                    <a:blip r:embed="rId19" cstate="print"/>
                    <a:stretch>
                      <a:fillRect/>
                    </a:stretch>
                  </pic:blipFill>
                  <pic:spPr>
                    <a:xfrm>
                      <a:off x="0" y="0"/>
                      <a:ext cx="2367057" cy="1778507"/>
                    </a:xfrm>
                    <a:prstGeom prst="rect">
                      <a:avLst/>
                    </a:prstGeom>
                  </pic:spPr>
                </pic:pic>
              </a:graphicData>
            </a:graphic>
          </wp:inline>
        </w:drawing>
      </w:r>
      <w:r>
        <w:rPr>
          <w:sz w:val="20"/>
        </w:rPr>
      </w:r>
    </w:p>
    <w:p>
      <w:pPr>
        <w:pStyle w:val="BodyText"/>
        <w:spacing w:before="9"/>
        <w:ind w:left="0"/>
        <w:rPr>
          <w:sz w:val="26"/>
        </w:rPr>
      </w:pPr>
    </w:p>
    <w:p>
      <w:pPr>
        <w:pStyle w:val="ListParagraph"/>
        <w:numPr>
          <w:ilvl w:val="0"/>
          <w:numId w:val="1"/>
        </w:numPr>
        <w:tabs>
          <w:tab w:pos="1238" w:val="left" w:leader="none"/>
        </w:tabs>
        <w:spacing w:line="240" w:lineRule="auto" w:before="0" w:after="0"/>
        <w:ind w:left="1237" w:right="0" w:hanging="178"/>
        <w:jc w:val="left"/>
        <w:rPr>
          <w:sz w:val="21"/>
        </w:rPr>
      </w:pPr>
      <w:r>
        <w:rPr>
          <w:sz w:val="21"/>
        </w:rPr>
        <w:t>工业互联网步入快车道，灯塔效应加速释放</w:t>
      </w:r>
    </w:p>
    <w:p>
      <w:pPr>
        <w:pStyle w:val="BodyText"/>
        <w:spacing w:before="139"/>
        <w:ind w:left="1058"/>
      </w:pPr>
      <w:r>
        <w:rPr>
          <w:rFonts w:ascii="Times New Roman" w:hAnsi="Times New Roman" w:eastAsia="Times New Roman"/>
          <w:w w:val="100"/>
        </w:rPr>
        <w:t>2022</w:t>
      </w:r>
      <w:r>
        <w:rPr>
          <w:rFonts w:ascii="Times New Roman" w:hAnsi="Times New Roman" w:eastAsia="Times New Roman"/>
          <w:spacing w:val="5"/>
        </w:rPr>
        <w:t> </w:t>
      </w:r>
      <w:r>
        <w:rPr>
          <w:spacing w:val="-8"/>
          <w:w w:val="100"/>
        </w:rPr>
        <w:t>年为我国工业互联网第二个五年的“开端之年”，工信部数据显示，</w:t>
      </w:r>
      <w:r>
        <w:rPr>
          <w:rFonts w:ascii="Times New Roman" w:hAnsi="Times New Roman" w:eastAsia="Times New Roman"/>
          <w:w w:val="100"/>
        </w:rPr>
        <w:t>20</w:t>
      </w:r>
      <w:r>
        <w:rPr>
          <w:rFonts w:ascii="Times New Roman" w:hAnsi="Times New Roman" w:eastAsia="Times New Roman"/>
          <w:spacing w:val="-3"/>
          <w:w w:val="100"/>
        </w:rPr>
        <w:t>2</w:t>
      </w:r>
      <w:r>
        <w:rPr>
          <w:rFonts w:ascii="Times New Roman" w:hAnsi="Times New Roman" w:eastAsia="Times New Roman"/>
          <w:w w:val="100"/>
        </w:rPr>
        <w:t>2</w:t>
      </w:r>
      <w:r>
        <w:rPr>
          <w:rFonts w:ascii="Times New Roman" w:hAnsi="Times New Roman" w:eastAsia="Times New Roman"/>
          <w:spacing w:val="5"/>
        </w:rPr>
        <w:t> </w:t>
      </w:r>
      <w:r>
        <w:rPr>
          <w:spacing w:val="-2"/>
          <w:w w:val="100"/>
        </w:rPr>
        <w:t>年我国工业互</w:t>
      </w:r>
    </w:p>
    <w:p>
      <w:pPr>
        <w:pStyle w:val="BodyText"/>
        <w:spacing w:before="139"/>
        <w:ind w:left="638"/>
        <w:jc w:val="both"/>
      </w:pPr>
      <w:r>
        <w:rPr>
          <w:spacing w:val="-7"/>
        </w:rPr>
        <w:t>联网产业规模约达 </w:t>
      </w:r>
      <w:r>
        <w:rPr>
          <w:rFonts w:ascii="Times New Roman" w:eastAsia="Times New Roman"/>
        </w:rPr>
        <w:t>1.2</w:t>
      </w:r>
      <w:r>
        <w:rPr>
          <w:rFonts w:ascii="Times New Roman" w:eastAsia="Times New Roman"/>
          <w:spacing w:val="-12"/>
        </w:rPr>
        <w:t> </w:t>
      </w:r>
      <w:r>
        <w:rPr/>
        <w:t>万亿元，为经济社会高质量发展提供有力支撑。</w:t>
      </w:r>
    </w:p>
    <w:p>
      <w:pPr>
        <w:pStyle w:val="BodyText"/>
        <w:spacing w:line="364" w:lineRule="auto" w:before="141"/>
        <w:ind w:left="638" w:right="328" w:firstLine="419"/>
        <w:jc w:val="both"/>
      </w:pPr>
      <w:r>
        <w:rPr>
          <w:spacing w:val="-13"/>
        </w:rPr>
        <w:t>国务院印发的《“十四五”数字经济发展规划》提出，到 </w:t>
      </w:r>
      <w:r>
        <w:rPr>
          <w:rFonts w:ascii="Times New Roman" w:hAnsi="Times New Roman" w:eastAsia="Times New Roman"/>
        </w:rPr>
        <w:t>2025 </w:t>
      </w:r>
      <w:r>
        <w:rPr/>
        <w:t>年，我国工业互联网平台普及</w:t>
      </w:r>
      <w:r>
        <w:rPr>
          <w:spacing w:val="-13"/>
        </w:rPr>
        <w:t>率达 </w:t>
      </w:r>
      <w:r>
        <w:rPr>
          <w:rFonts w:ascii="Times New Roman" w:hAnsi="Times New Roman" w:eastAsia="Times New Roman"/>
          <w:spacing w:val="-1"/>
        </w:rPr>
        <w:t>45%</w:t>
      </w:r>
      <w:r>
        <w:rPr>
          <w:spacing w:val="-3"/>
        </w:rPr>
        <w:t>。工业互联网产业已延伸至 </w:t>
      </w:r>
      <w:r>
        <w:rPr>
          <w:rFonts w:ascii="Times New Roman" w:hAnsi="Times New Roman" w:eastAsia="Times New Roman"/>
        </w:rPr>
        <w:t>45</w:t>
      </w:r>
      <w:r>
        <w:rPr>
          <w:rFonts w:ascii="Times New Roman" w:hAnsi="Times New Roman" w:eastAsia="Times New Roman"/>
          <w:spacing w:val="2"/>
        </w:rPr>
        <w:t> </w:t>
      </w:r>
      <w:r>
        <w:rPr/>
        <w:t>个国民经济大类，</w:t>
      </w:r>
      <w:r>
        <w:rPr>
          <w:rFonts w:ascii="Times New Roman" w:hAnsi="Times New Roman" w:eastAsia="Times New Roman"/>
        </w:rPr>
        <w:t>21</w:t>
      </w:r>
      <w:r>
        <w:rPr>
          <w:rFonts w:ascii="Times New Roman" w:hAnsi="Times New Roman" w:eastAsia="Times New Roman"/>
          <w:spacing w:val="2"/>
        </w:rPr>
        <w:t> </w:t>
      </w:r>
      <w:r>
        <w:rPr/>
        <w:t>个省区市将其列入政府工作报告，</w:t>
      </w:r>
      <w:r>
        <w:rPr>
          <w:spacing w:val="-102"/>
        </w:rPr>
        <w:t> </w:t>
      </w:r>
      <w:r>
        <w:rPr/>
        <w:t>由此预见工业互联网发展活力强劲。</w:t>
      </w:r>
    </w:p>
    <w:p>
      <w:pPr>
        <w:pStyle w:val="BodyText"/>
        <w:spacing w:line="364" w:lineRule="auto"/>
        <w:ind w:left="638" w:right="327" w:firstLine="419"/>
        <w:jc w:val="both"/>
      </w:pPr>
      <w:r>
        <w:rPr>
          <w:spacing w:val="-6"/>
          <w:w w:val="100"/>
        </w:rPr>
        <w:t>行业地位方面，工业富联已连续四年入选工信部的“双跨平台”，并入选工信部“</w:t>
      </w:r>
      <w:r>
        <w:rPr>
          <w:rFonts w:ascii="Times New Roman" w:hAnsi="Times New Roman" w:eastAsia="Times New Roman"/>
          <w:w w:val="100"/>
        </w:rPr>
        <w:t>20</w:t>
      </w:r>
      <w:r>
        <w:rPr>
          <w:rFonts w:ascii="Times New Roman" w:hAnsi="Times New Roman" w:eastAsia="Times New Roman"/>
          <w:spacing w:val="-3"/>
          <w:w w:val="100"/>
        </w:rPr>
        <w:t>2</w:t>
      </w:r>
      <w:r>
        <w:rPr>
          <w:rFonts w:ascii="Times New Roman" w:hAnsi="Times New Roman" w:eastAsia="Times New Roman"/>
          <w:w w:val="100"/>
        </w:rPr>
        <w:t>2</w:t>
      </w:r>
      <w:r>
        <w:rPr>
          <w:rFonts w:ascii="Times New Roman" w:hAnsi="Times New Roman" w:eastAsia="Times New Roman"/>
          <w:spacing w:val="-11"/>
        </w:rPr>
        <w:t>  </w:t>
      </w:r>
      <w:r>
        <w:rPr>
          <w:spacing w:val="-6"/>
          <w:w w:val="100"/>
        </w:rPr>
        <w:t>年度</w:t>
      </w:r>
      <w:r>
        <w:rPr>
          <w:spacing w:val="-8"/>
          <w:w w:val="100"/>
        </w:rPr>
        <w:t>智能制造优秀场景”，持续发挥龙头效应辐射广大中小企业，以“灯塔领航者计划”服务十大行</w:t>
      </w:r>
      <w:r>
        <w:rPr>
          <w:spacing w:val="-15"/>
        </w:rPr>
        <w:t>业 </w:t>
      </w:r>
      <w:r>
        <w:rPr>
          <w:rFonts w:ascii="Times New Roman" w:hAnsi="Times New Roman" w:eastAsia="Times New Roman"/>
          <w:spacing w:val="-1"/>
        </w:rPr>
        <w:t>1,500</w:t>
      </w:r>
      <w:r>
        <w:rPr>
          <w:rFonts w:ascii="Times New Roman" w:hAnsi="Times New Roman" w:eastAsia="Times New Roman"/>
          <w:spacing w:val="7"/>
        </w:rPr>
        <w:t> </w:t>
      </w:r>
      <w:r>
        <w:rPr>
          <w:spacing w:val="-4"/>
        </w:rPr>
        <w:t>多家企业。基于 </w:t>
      </w:r>
      <w:r>
        <w:rPr>
          <w:rFonts w:ascii="Times New Roman" w:hAnsi="Times New Roman" w:eastAsia="Times New Roman"/>
        </w:rPr>
        <w:t>6</w:t>
      </w:r>
      <w:r>
        <w:rPr>
          <w:rFonts w:ascii="Times New Roman" w:hAnsi="Times New Roman" w:eastAsia="Times New Roman"/>
          <w:spacing w:val="9"/>
        </w:rPr>
        <w:t> </w:t>
      </w:r>
      <w:r>
        <w:rPr/>
        <w:t>座世界级“灯塔工厂”的成功经验，工业富联提供一站式的数字化转型服务体系，发展可持续的工业互联网业务模式；成功助力打造整车制造行业的国家级智能制造示范工厂，将继续完善赋能新能源车上、中、下游全产业链数字化转型的能力，加速灯塔效应释放。</w:t>
      </w:r>
    </w:p>
    <w:p>
      <w:pPr>
        <w:pStyle w:val="BodyText"/>
        <w:spacing w:line="266" w:lineRule="exact"/>
        <w:ind w:left="638"/>
      </w:pPr>
      <w:r>
        <w:rPr>
          <w:w w:val="100"/>
        </w:rPr>
        <w:t> </w:t>
      </w:r>
    </w:p>
    <w:p>
      <w:pPr>
        <w:pStyle w:val="BodyText"/>
        <w:spacing w:before="63"/>
        <w:ind w:left="638"/>
      </w:pPr>
      <w:r>
        <w:rPr/>
        <w:t>三、报告期内公司从事的业务情况</w:t>
      </w:r>
    </w:p>
    <w:p>
      <w:pPr>
        <w:pStyle w:val="BodyText"/>
        <w:spacing w:line="367" w:lineRule="auto" w:before="62"/>
        <w:ind w:left="638" w:right="330" w:firstLine="419"/>
      </w:pPr>
      <w:r>
        <w:rPr/>
        <w:t>公司是全球领先的高端智能制造及工业互联网解决方案服务商，主要业务包含云计算、通信及移动网络设备、工业互联网。现将公司主要业务说明如下：</w:t>
      </w:r>
    </w:p>
    <w:p>
      <w:pPr>
        <w:pStyle w:val="ListParagraph"/>
        <w:numPr>
          <w:ilvl w:val="0"/>
          <w:numId w:val="2"/>
        </w:numPr>
        <w:tabs>
          <w:tab w:pos="1057" w:val="left" w:leader="none"/>
          <w:tab w:pos="1058" w:val="left" w:leader="none"/>
        </w:tabs>
        <w:spacing w:line="264" w:lineRule="exact" w:before="0" w:after="0"/>
        <w:ind w:left="1058" w:right="0" w:hanging="420"/>
        <w:jc w:val="left"/>
        <w:rPr>
          <w:sz w:val="21"/>
        </w:rPr>
      </w:pPr>
      <w:r>
        <w:rPr>
          <w:sz w:val="21"/>
        </w:rPr>
        <w:t>云计算</w:t>
      </w:r>
    </w:p>
    <w:p>
      <w:pPr>
        <w:pStyle w:val="BodyText"/>
        <w:spacing w:line="364" w:lineRule="auto" w:before="139"/>
        <w:ind w:left="638" w:right="328" w:firstLine="419"/>
      </w:pPr>
      <w:r>
        <w:rPr>
          <w:rFonts w:ascii="Times New Roman" w:eastAsia="Times New Roman"/>
          <w:spacing w:val="-1"/>
        </w:rPr>
        <w:t>2022</w:t>
      </w:r>
      <w:r>
        <w:rPr>
          <w:rFonts w:ascii="Times New Roman" w:eastAsia="Times New Roman"/>
          <w:spacing w:val="-24"/>
        </w:rPr>
        <w:t> </w:t>
      </w:r>
      <w:r>
        <w:rPr>
          <w:spacing w:val="-7"/>
        </w:rPr>
        <w:t>年公司云计算业务收入 </w:t>
      </w:r>
      <w:r>
        <w:rPr>
          <w:rFonts w:ascii="Times New Roman" w:eastAsia="Times New Roman"/>
        </w:rPr>
        <w:t>2,124.44</w:t>
      </w:r>
      <w:r>
        <w:rPr>
          <w:rFonts w:ascii="Times New Roman" w:eastAsia="Times New Roman"/>
          <w:spacing w:val="-22"/>
        </w:rPr>
        <w:t> </w:t>
      </w:r>
      <w:r>
        <w:rPr>
          <w:spacing w:val="-10"/>
        </w:rPr>
        <w:t>亿元，同比增 </w:t>
      </w:r>
      <w:r>
        <w:rPr>
          <w:rFonts w:ascii="Times New Roman" w:eastAsia="Times New Roman"/>
        </w:rPr>
        <w:t>19.56%</w:t>
      </w:r>
      <w:r>
        <w:rPr>
          <w:spacing w:val="-17"/>
        </w:rPr>
        <w:t>，连续 </w:t>
      </w:r>
      <w:r>
        <w:rPr>
          <w:rFonts w:ascii="Times New Roman" w:eastAsia="Times New Roman"/>
        </w:rPr>
        <w:t>5</w:t>
      </w:r>
      <w:r>
        <w:rPr>
          <w:rFonts w:ascii="Times New Roman" w:eastAsia="Times New Roman"/>
          <w:spacing w:val="-24"/>
        </w:rPr>
        <w:t> </w:t>
      </w:r>
      <w:r>
        <w:rPr/>
        <w:t>年保持成长趋势。当前，</w:t>
      </w:r>
      <w:r>
        <w:rPr>
          <w:spacing w:val="-102"/>
        </w:rPr>
        <w:t> </w:t>
      </w:r>
      <w:r>
        <w:rPr/>
        <w:t>全球服务器市场加速扩容，公司云计算及企业服务器、存储器等产品销量稳居全球领先地位。公</w:t>
      </w:r>
    </w:p>
    <w:p>
      <w:pPr>
        <w:spacing w:after="0" w:line="364" w:lineRule="auto"/>
        <w:sectPr>
          <w:pgSz w:w="11910" w:h="16840"/>
          <w:pgMar w:header="880" w:footer="1195" w:top="1120" w:bottom="1380" w:left="1160" w:right="940"/>
        </w:sectPr>
      </w:pPr>
    </w:p>
    <w:p>
      <w:pPr>
        <w:pStyle w:val="BodyText"/>
        <w:spacing w:before="3"/>
        <w:ind w:left="0"/>
        <w:rPr>
          <w:sz w:val="25"/>
        </w:rPr>
      </w:pPr>
    </w:p>
    <w:p>
      <w:pPr>
        <w:pStyle w:val="BodyText"/>
        <w:spacing w:before="78"/>
        <w:ind w:left="638"/>
        <w:jc w:val="both"/>
      </w:pPr>
      <w:r>
        <w:rPr/>
        <w:t>司云服务商产品在云计算收入中占比快速提升，</w:t>
      </w:r>
      <w:r>
        <w:rPr>
          <w:rFonts w:ascii="Times New Roman" w:eastAsia="Times New Roman"/>
        </w:rPr>
        <w:t>2022</w:t>
      </w:r>
      <w:r>
        <w:rPr>
          <w:rFonts w:ascii="Times New Roman" w:eastAsia="Times New Roman"/>
          <w:spacing w:val="52"/>
        </w:rPr>
        <w:t> </w:t>
      </w:r>
      <w:r>
        <w:rPr>
          <w:spacing w:val="8"/>
        </w:rPr>
        <w:t>年超 </w:t>
      </w:r>
      <w:r>
        <w:rPr>
          <w:rFonts w:ascii="Times New Roman" w:eastAsia="Times New Roman"/>
        </w:rPr>
        <w:t>40%</w:t>
      </w:r>
      <w:r>
        <w:rPr/>
        <w:t>。此外，新市场方面，云端游戏</w:t>
      </w:r>
    </w:p>
    <w:p>
      <w:pPr>
        <w:pStyle w:val="BodyText"/>
        <w:spacing w:before="142"/>
        <w:ind w:left="638"/>
        <w:jc w:val="both"/>
      </w:pPr>
      <w:r>
        <w:rPr/>
        <w:t>（</w:t>
      </w:r>
      <w:r>
        <w:rPr>
          <w:rFonts w:ascii="Times New Roman" w:eastAsia="Times New Roman"/>
        </w:rPr>
        <w:t>Cloud</w:t>
      </w:r>
      <w:r>
        <w:rPr>
          <w:rFonts w:ascii="Times New Roman" w:eastAsia="Times New Roman"/>
          <w:spacing w:val="-3"/>
        </w:rPr>
        <w:t> </w:t>
      </w:r>
      <w:r>
        <w:rPr>
          <w:rFonts w:ascii="Times New Roman" w:eastAsia="Times New Roman"/>
        </w:rPr>
        <w:t>Gaming</w:t>
      </w:r>
      <w:r>
        <w:rPr/>
        <w:t>）机柜系统产品亦开始出货。</w:t>
      </w:r>
    </w:p>
    <w:p>
      <w:pPr>
        <w:pStyle w:val="BodyText"/>
        <w:spacing w:line="364" w:lineRule="auto" w:before="139"/>
        <w:ind w:left="638" w:right="327" w:firstLine="419"/>
        <w:jc w:val="both"/>
      </w:pPr>
      <w:r>
        <w:rPr/>
        <w:t>产品创新方面，公司进一步夯实研发实力，在模块化产品与新一代先进冷却技术及解决方案方向，不断取得突破。模块化方面，</w:t>
      </w:r>
      <w:r>
        <w:rPr>
          <w:rFonts w:ascii="Times New Roman" w:eastAsia="Times New Roman"/>
        </w:rPr>
        <w:t>2022</w:t>
      </w:r>
      <w:r>
        <w:rPr>
          <w:rFonts w:ascii="Times New Roman" w:eastAsia="Times New Roman"/>
          <w:spacing w:val="-17"/>
        </w:rPr>
        <w:t> </w:t>
      </w:r>
      <w:r>
        <w:rPr>
          <w:spacing w:val="-28"/>
        </w:rPr>
        <w:t>年 </w:t>
      </w:r>
      <w:r>
        <w:rPr>
          <w:rFonts w:ascii="Times New Roman" w:eastAsia="Times New Roman"/>
        </w:rPr>
        <w:t>10</w:t>
      </w:r>
      <w:r>
        <w:rPr>
          <w:rFonts w:ascii="Times New Roman" w:eastAsia="Times New Roman"/>
          <w:spacing w:val="-17"/>
        </w:rPr>
        <w:t> </w:t>
      </w:r>
      <w:r>
        <w:rPr>
          <w:spacing w:val="4"/>
        </w:rPr>
        <w:t>月，公司推出全球第一台</w:t>
      </w:r>
      <w:r>
        <w:rPr>
          <w:rFonts w:ascii="Times New Roman" w:eastAsia="Times New Roman"/>
        </w:rPr>
        <w:t>DC_MHS</w:t>
      </w:r>
      <w:r>
        <w:rPr>
          <w:rFonts w:ascii="Times New Roman" w:eastAsia="Times New Roman"/>
          <w:spacing w:val="-15"/>
        </w:rPr>
        <w:t> </w:t>
      </w:r>
      <w:r>
        <w:rPr/>
        <w:t>服务器；公司</w:t>
      </w:r>
      <w:r>
        <w:rPr>
          <w:spacing w:val="-24"/>
        </w:rPr>
        <w:t>的 </w:t>
      </w:r>
      <w:r>
        <w:rPr>
          <w:rFonts w:ascii="Times New Roman" w:eastAsia="Times New Roman"/>
          <w:spacing w:val="-1"/>
        </w:rPr>
        <w:t>EBOF</w:t>
      </w:r>
      <w:r>
        <w:rPr>
          <w:rFonts w:ascii="Times New Roman" w:eastAsia="Times New Roman"/>
          <w:spacing w:val="-9"/>
        </w:rPr>
        <w:t> </w:t>
      </w:r>
      <w:r>
        <w:rPr>
          <w:spacing w:val="-1"/>
        </w:rPr>
        <w:t>存储器可支持分布式数据中心架构，在通风散热与效能利用方面更具优势；公司新一代</w:t>
      </w:r>
      <w:r>
        <w:rPr>
          <w:spacing w:val="-5"/>
        </w:rPr>
        <w:t>液冷技术也应用在客户最新 </w:t>
      </w:r>
      <w:r>
        <w:rPr>
          <w:rFonts w:ascii="Times New Roman" w:eastAsia="Times New Roman"/>
        </w:rPr>
        <w:t>HPC</w:t>
      </w:r>
      <w:r>
        <w:rPr>
          <w:rFonts w:ascii="Times New Roman" w:eastAsia="Times New Roman"/>
          <w:spacing w:val="-11"/>
        </w:rPr>
        <w:t> </w:t>
      </w:r>
      <w:r>
        <w:rPr/>
        <w:t>加速器中。</w:t>
      </w:r>
    </w:p>
    <w:p>
      <w:pPr>
        <w:pStyle w:val="BodyText"/>
        <w:spacing w:line="364" w:lineRule="auto"/>
        <w:ind w:left="638" w:right="122" w:firstLine="419"/>
      </w:pPr>
      <w:r>
        <w:rPr/>
        <w:t>技术创新方面，公司与客户携手不断实现技术突破。高效率电源产品方面，公司紧跟数据中</w:t>
      </w:r>
      <w:r>
        <w:rPr>
          <w:spacing w:val="1"/>
        </w:rPr>
        <w:t> </w:t>
      </w:r>
      <w:r>
        <w:rPr>
          <w:spacing w:val="10"/>
        </w:rPr>
        <w:t>心 </w:t>
      </w:r>
      <w:r>
        <w:rPr>
          <w:rFonts w:ascii="Times New Roman" w:eastAsia="Times New Roman"/>
        </w:rPr>
        <w:t>2023</w:t>
      </w:r>
      <w:r>
        <w:rPr>
          <w:rFonts w:ascii="Times New Roman" w:eastAsia="Times New Roman"/>
          <w:spacing w:val="51"/>
        </w:rPr>
        <w:t> </w:t>
      </w:r>
      <w:r>
        <w:rPr/>
        <w:t>年全球新规范，开发适用于超大型数据中心的电源产品；模块化设计方面，公司研发基于</w:t>
      </w:r>
      <w:r>
        <w:rPr>
          <w:spacing w:val="1"/>
        </w:rPr>
        <w:t>开放平台联盟架构的 </w:t>
      </w:r>
      <w:r>
        <w:rPr>
          <w:rFonts w:ascii="Times New Roman" w:eastAsia="Times New Roman"/>
        </w:rPr>
        <w:t>DC_MHS</w:t>
      </w:r>
      <w:r>
        <w:rPr>
          <w:rFonts w:ascii="Times New Roman" w:eastAsia="Times New Roman"/>
          <w:spacing w:val="47"/>
        </w:rPr>
        <w:t> </w:t>
      </w:r>
      <w:r>
        <w:rPr/>
        <w:t>数据中心模块化硬件系统，推出全球第一台模块化服务器，同时产</w:t>
      </w:r>
      <w:r>
        <w:rPr>
          <w:spacing w:val="2"/>
        </w:rPr>
        <w:t>品应用于客户最新一代 </w:t>
      </w:r>
      <w:r>
        <w:rPr>
          <w:rFonts w:ascii="Times New Roman" w:eastAsia="Times New Roman"/>
        </w:rPr>
        <w:t>HPC</w:t>
      </w:r>
      <w:r>
        <w:rPr>
          <w:rFonts w:ascii="Times New Roman" w:eastAsia="Times New Roman"/>
          <w:spacing w:val="56"/>
        </w:rPr>
        <w:t> </w:t>
      </w:r>
      <w:r>
        <w:rPr/>
        <w:t>加速器中；液冷技术方面，公司持续加大数据中心节能技术研发，通过沉浸式与机柜式液冷散热系统，实现成本节约及效率提升。</w:t>
      </w:r>
      <w:r>
        <w:rPr>
          <w:rFonts w:ascii="Times New Roman" w:eastAsia="Times New Roman"/>
        </w:rPr>
        <w:t>2023</w:t>
      </w:r>
      <w:r>
        <w:rPr>
          <w:rFonts w:ascii="Times New Roman" w:eastAsia="Times New Roman"/>
          <w:spacing w:val="31"/>
        </w:rPr>
        <w:t> </w:t>
      </w:r>
      <w:r>
        <w:rPr/>
        <w:t>年将有更多产品出货。</w:t>
      </w:r>
    </w:p>
    <w:p>
      <w:pPr>
        <w:pStyle w:val="BodyText"/>
        <w:spacing w:line="364" w:lineRule="auto"/>
        <w:ind w:left="638" w:right="327" w:firstLine="419"/>
        <w:jc w:val="both"/>
      </w:pPr>
      <w:r>
        <w:rPr/>
        <w:t>目前全球算力需求增长正进入爆发阶段，而人工智能（</w:t>
      </w:r>
      <w:r>
        <w:rPr>
          <w:rFonts w:ascii="Times New Roman" w:eastAsia="Times New Roman"/>
        </w:rPr>
        <w:t>AI</w:t>
      </w:r>
      <w:r>
        <w:rPr/>
        <w:t>）等新科技应用的突破，离不开强大算力支持。</w:t>
      </w:r>
      <w:r>
        <w:rPr>
          <w:rFonts w:ascii="Times New Roman" w:eastAsia="Times New Roman"/>
        </w:rPr>
        <w:t>ChatGPT</w:t>
      </w:r>
      <w:r>
        <w:rPr>
          <w:rFonts w:ascii="Times New Roman" w:eastAsia="Times New Roman"/>
          <w:spacing w:val="25"/>
        </w:rPr>
        <w:t> </w:t>
      </w:r>
      <w:r>
        <w:rPr>
          <w:spacing w:val="-3"/>
        </w:rPr>
        <w:t>等新兴 </w:t>
      </w:r>
      <w:r>
        <w:rPr>
          <w:rFonts w:ascii="Times New Roman" w:eastAsia="Times New Roman"/>
        </w:rPr>
        <w:t>AI</w:t>
      </w:r>
      <w:r>
        <w:rPr>
          <w:rFonts w:ascii="Times New Roman" w:eastAsia="Times New Roman"/>
          <w:spacing w:val="23"/>
        </w:rPr>
        <w:t> </w:t>
      </w:r>
      <w:r>
        <w:rPr/>
        <w:t>产品对算力、带宽、</w:t>
      </w:r>
      <w:r>
        <w:rPr>
          <w:rFonts w:ascii="Times New Roman" w:eastAsia="Times New Roman"/>
        </w:rPr>
        <w:t>GPU</w:t>
      </w:r>
      <w:r>
        <w:rPr/>
        <w:t>、高容量储存、先进散热与节能需求激增，云计算基础设施作为算力 </w:t>
      </w:r>
      <w:r>
        <w:rPr>
          <w:rFonts w:ascii="Times New Roman" w:eastAsia="Times New Roman"/>
        </w:rPr>
        <w:t>AI</w:t>
      </w:r>
      <w:r>
        <w:rPr>
          <w:rFonts w:ascii="Times New Roman" w:eastAsia="Times New Roman"/>
          <w:spacing w:val="38"/>
        </w:rPr>
        <w:t> </w:t>
      </w:r>
      <w:r>
        <w:rPr/>
        <w:t>服务资源，其重要性日益突显。公司多年来为数家第一梯队</w:t>
      </w:r>
      <w:r>
        <w:rPr>
          <w:spacing w:val="-7"/>
        </w:rPr>
        <w:t>云服务商 </w:t>
      </w:r>
      <w:r>
        <w:rPr>
          <w:rFonts w:ascii="Times New Roman" w:eastAsia="Times New Roman"/>
        </w:rPr>
        <w:t>AI</w:t>
      </w:r>
      <w:r>
        <w:rPr>
          <w:rFonts w:ascii="Times New Roman" w:eastAsia="Times New Roman"/>
          <w:spacing w:val="4"/>
        </w:rPr>
        <w:t> </w:t>
      </w:r>
      <w:r>
        <w:rPr/>
        <w:t>服务器（加速器）</w:t>
      </w:r>
      <w:r>
        <w:rPr>
          <w:spacing w:val="-16"/>
        </w:rPr>
        <w:t>与 </w:t>
      </w:r>
      <w:r>
        <w:rPr>
          <w:rFonts w:ascii="Times New Roman" w:eastAsia="Times New Roman"/>
        </w:rPr>
        <w:t>AI</w:t>
      </w:r>
      <w:r>
        <w:rPr>
          <w:rFonts w:ascii="Times New Roman" w:eastAsia="Times New Roman"/>
          <w:spacing w:val="5"/>
        </w:rPr>
        <w:t> </w:t>
      </w:r>
      <w:r>
        <w:rPr>
          <w:spacing w:val="-2"/>
        </w:rPr>
        <w:t>存储器供应商，产品已经开发至第四代。伴随着 </w:t>
      </w:r>
      <w:r>
        <w:rPr>
          <w:rFonts w:ascii="Times New Roman" w:eastAsia="Times New Roman"/>
        </w:rPr>
        <w:t>AI</w:t>
      </w:r>
      <w:r>
        <w:rPr>
          <w:rFonts w:ascii="Times New Roman" w:eastAsia="Times New Roman"/>
          <w:spacing w:val="5"/>
        </w:rPr>
        <w:t> </w:t>
      </w:r>
      <w:r>
        <w:rPr/>
        <w:t>硬件市</w:t>
      </w:r>
      <w:r>
        <w:rPr>
          <w:spacing w:val="-3"/>
        </w:rPr>
        <w:t>场迅速成长，公司相关产品 </w:t>
      </w:r>
      <w:r>
        <w:rPr>
          <w:rFonts w:ascii="Times New Roman" w:eastAsia="Times New Roman"/>
        </w:rPr>
        <w:t>2022</w:t>
      </w:r>
      <w:r>
        <w:rPr>
          <w:rFonts w:ascii="Times New Roman" w:eastAsia="Times New Roman"/>
          <w:spacing w:val="1"/>
        </w:rPr>
        <w:t> </w:t>
      </w:r>
      <w:r>
        <w:rPr/>
        <w:t>年出货加倍，</w:t>
      </w:r>
      <w:r>
        <w:rPr>
          <w:rFonts w:ascii="Times New Roman" w:eastAsia="Times New Roman"/>
        </w:rPr>
        <w:t>AI</w:t>
      </w:r>
      <w:r>
        <w:rPr>
          <w:rFonts w:ascii="Times New Roman" w:eastAsia="Times New Roman"/>
          <w:spacing w:val="4"/>
        </w:rPr>
        <w:t> </w:t>
      </w:r>
      <w:r>
        <w:rPr>
          <w:spacing w:val="-8"/>
        </w:rPr>
        <w:t>服务器及 </w:t>
      </w:r>
      <w:r>
        <w:rPr>
          <w:rFonts w:ascii="Times New Roman" w:eastAsia="Times New Roman"/>
        </w:rPr>
        <w:t>HPC</w:t>
      </w:r>
      <w:r>
        <w:rPr>
          <w:rFonts w:ascii="Times New Roman" w:eastAsia="Times New Roman"/>
          <w:spacing w:val="2"/>
        </w:rPr>
        <w:t> </w:t>
      </w:r>
      <w:r>
        <w:rPr>
          <w:spacing w:val="-4"/>
        </w:rPr>
        <w:t>出货增长迅速，在 </w:t>
      </w:r>
      <w:r>
        <w:rPr>
          <w:rFonts w:ascii="Times New Roman" w:eastAsia="Times New Roman"/>
        </w:rPr>
        <w:t>2022</w:t>
      </w:r>
      <w:r>
        <w:rPr>
          <w:rFonts w:ascii="Times New Roman" w:eastAsia="Times New Roman"/>
          <w:spacing w:val="1"/>
        </w:rPr>
        <w:t> </w:t>
      </w:r>
      <w:r>
        <w:rPr/>
        <w:t>年云服</w:t>
      </w:r>
      <w:r>
        <w:rPr>
          <w:spacing w:val="-2"/>
        </w:rPr>
        <w:t>务商产品中，占比增至约 </w:t>
      </w:r>
      <w:r>
        <w:rPr>
          <w:rFonts w:ascii="Times New Roman" w:eastAsia="Times New Roman"/>
        </w:rPr>
        <w:t>20%</w:t>
      </w:r>
      <w:r>
        <w:rPr>
          <w:spacing w:val="-1"/>
        </w:rPr>
        <w:t>，持续维持增长态势。算力时代的开启为高效 </w:t>
      </w:r>
      <w:r>
        <w:rPr>
          <w:rFonts w:ascii="Times New Roman" w:eastAsia="Times New Roman"/>
        </w:rPr>
        <w:t>AI</w:t>
      </w:r>
      <w:r>
        <w:rPr>
          <w:rFonts w:ascii="Times New Roman" w:eastAsia="Times New Roman"/>
          <w:spacing w:val="13"/>
        </w:rPr>
        <w:t> </w:t>
      </w:r>
      <w:r>
        <w:rPr/>
        <w:t>服务器提供了更</w:t>
      </w:r>
      <w:r>
        <w:rPr>
          <w:spacing w:val="-5"/>
        </w:rPr>
        <w:t>广阔的发展空间，新产品将在 </w:t>
      </w:r>
      <w:r>
        <w:rPr>
          <w:rFonts w:ascii="Times New Roman" w:eastAsia="Times New Roman"/>
        </w:rPr>
        <w:t>2023</w:t>
      </w:r>
      <w:r>
        <w:rPr>
          <w:rFonts w:ascii="Times New Roman" w:eastAsia="Times New Roman"/>
          <w:spacing w:val="-10"/>
        </w:rPr>
        <w:t> </w:t>
      </w:r>
      <w:r>
        <w:rPr/>
        <w:t>年陆续研发推出。</w:t>
      </w:r>
    </w:p>
    <w:p>
      <w:pPr>
        <w:pStyle w:val="BodyText"/>
        <w:spacing w:line="364" w:lineRule="auto"/>
        <w:ind w:left="638" w:right="330" w:firstLine="419"/>
      </w:pPr>
      <w:r>
        <w:rPr/>
        <w:t>此外，公司不断完善全球布局，建立中国、北美、东南亚三大制造中心，在前沿技术合作与厂域布局等方面，全面满足全球顶尖客户需求。</w:t>
      </w:r>
    </w:p>
    <w:p>
      <w:pPr>
        <w:pStyle w:val="ListParagraph"/>
        <w:numPr>
          <w:ilvl w:val="0"/>
          <w:numId w:val="2"/>
        </w:numPr>
        <w:tabs>
          <w:tab w:pos="1057" w:val="left" w:leader="none"/>
          <w:tab w:pos="1058" w:val="left" w:leader="none"/>
        </w:tabs>
        <w:spacing w:line="240" w:lineRule="auto" w:before="0" w:after="0"/>
        <w:ind w:left="1058" w:right="0" w:hanging="420"/>
        <w:jc w:val="left"/>
        <w:rPr>
          <w:sz w:val="21"/>
        </w:rPr>
      </w:pPr>
      <w:r>
        <w:rPr>
          <w:sz w:val="21"/>
        </w:rPr>
        <w:t>通信及移动网络设备</w:t>
      </w:r>
    </w:p>
    <w:p>
      <w:pPr>
        <w:pStyle w:val="BodyText"/>
        <w:spacing w:before="132"/>
        <w:ind w:left="1058"/>
      </w:pPr>
      <w:r>
        <w:rPr>
          <w:rFonts w:ascii="Times New Roman" w:eastAsia="Times New Roman"/>
        </w:rPr>
        <w:t>2022</w:t>
      </w:r>
      <w:r>
        <w:rPr>
          <w:rFonts w:ascii="Times New Roman" w:eastAsia="Times New Roman"/>
          <w:spacing w:val="-31"/>
        </w:rPr>
        <w:t> </w:t>
      </w:r>
      <w:r>
        <w:rPr>
          <w:spacing w:val="1"/>
        </w:rPr>
        <w:t>年公司通信及移动网络设备收入</w:t>
      </w:r>
      <w:r>
        <w:rPr>
          <w:rFonts w:ascii="Times New Roman" w:eastAsia="Times New Roman"/>
        </w:rPr>
        <w:t>2,961.78</w:t>
      </w:r>
      <w:r>
        <w:rPr>
          <w:rFonts w:ascii="Times New Roman" w:eastAsia="Times New Roman"/>
          <w:spacing w:val="-33"/>
        </w:rPr>
        <w:t> </w:t>
      </w:r>
      <w:r>
        <w:rPr>
          <w:spacing w:val="4"/>
        </w:rPr>
        <w:t>亿元，同比增</w:t>
      </w:r>
      <w:r>
        <w:rPr>
          <w:rFonts w:ascii="Times New Roman" w:eastAsia="Times New Roman"/>
        </w:rPr>
        <w:t>14.37%</w:t>
      </w:r>
      <w:r>
        <w:rPr/>
        <w:t>。随着全球企业数字化、</w:t>
      </w:r>
    </w:p>
    <w:p>
      <w:pPr>
        <w:pStyle w:val="BodyText"/>
        <w:spacing w:line="364" w:lineRule="auto" w:before="139"/>
        <w:ind w:left="638" w:right="119"/>
      </w:pPr>
      <w:r>
        <w:rPr>
          <w:rFonts w:ascii="Times New Roman" w:eastAsia="Times New Roman"/>
          <w:spacing w:val="-1"/>
        </w:rPr>
        <w:t>5G</w:t>
      </w:r>
      <w:r>
        <w:rPr>
          <w:rFonts w:ascii="Times New Roman" w:eastAsia="Times New Roman"/>
          <w:spacing w:val="-11"/>
        </w:rPr>
        <w:t> </w:t>
      </w:r>
      <w:r>
        <w:rPr>
          <w:spacing w:val="-1"/>
        </w:rPr>
        <w:t>基建和智能家居需求提升，工业互联网、元宇宙、</w:t>
      </w:r>
      <w:r>
        <w:rPr>
          <w:rFonts w:ascii="Times New Roman" w:eastAsia="Times New Roman"/>
        </w:rPr>
        <w:t>AIGC</w:t>
      </w:r>
      <w:r>
        <w:rPr>
          <w:rFonts w:ascii="Times New Roman" w:eastAsia="Times New Roman"/>
          <w:spacing w:val="-13"/>
        </w:rPr>
        <w:t> </w:t>
      </w:r>
      <w:r>
        <w:rPr/>
        <w:t>等增量需求增长，上层流量持续增加，</w:t>
      </w:r>
      <w:r>
        <w:rPr>
          <w:spacing w:val="-102"/>
        </w:rPr>
        <w:t> </w:t>
      </w:r>
      <w:r>
        <w:rPr/>
        <w:t>网络扩容需求显现。企业数字转型及云基础设施建设服务需求扩张，网络设备稳步增长，公司布</w:t>
      </w:r>
      <w:r>
        <w:rPr>
          <w:spacing w:val="1"/>
        </w:rPr>
        <w:t> </w:t>
      </w:r>
      <w:r>
        <w:rPr>
          <w:spacing w:val="-1"/>
        </w:rPr>
        <w:t>局包含企业网络设备、无线网络设备与 </w:t>
      </w:r>
      <w:r>
        <w:rPr>
          <w:rFonts w:ascii="Times New Roman" w:eastAsia="Times New Roman"/>
        </w:rPr>
        <w:t>5G</w:t>
      </w:r>
      <w:r>
        <w:rPr>
          <w:rFonts w:ascii="Times New Roman" w:eastAsia="Times New Roman"/>
          <w:spacing w:val="21"/>
        </w:rPr>
        <w:t> </w:t>
      </w:r>
      <w:r>
        <w:rPr/>
        <w:t>相关产品、智能家居产品及工业相关产品，报告期内，</w:t>
      </w:r>
      <w:r>
        <w:rPr>
          <w:spacing w:val="-102"/>
        </w:rPr>
        <w:t> </w:t>
      </w:r>
      <w:r>
        <w:rPr>
          <w:rFonts w:ascii="Times New Roman" w:eastAsia="Times New Roman"/>
          <w:spacing w:val="-1"/>
        </w:rPr>
        <w:t>5G</w:t>
      </w:r>
      <w:r>
        <w:rPr>
          <w:rFonts w:ascii="Times New Roman" w:eastAsia="Times New Roman"/>
          <w:spacing w:val="-9"/>
        </w:rPr>
        <w:t> </w:t>
      </w:r>
      <w:r>
        <w:rPr>
          <w:spacing w:val="-5"/>
        </w:rPr>
        <w:t>设备营收、网络设备营收增长均超过 </w:t>
      </w:r>
      <w:r>
        <w:rPr>
          <w:rFonts w:ascii="Times New Roman" w:eastAsia="Times New Roman"/>
        </w:rPr>
        <w:t>20%</w:t>
      </w:r>
      <w:r>
        <w:rPr/>
        <w:t>。</w:t>
      </w:r>
    </w:p>
    <w:p>
      <w:pPr>
        <w:pStyle w:val="BodyText"/>
        <w:spacing w:line="364" w:lineRule="auto"/>
        <w:ind w:left="638" w:right="125" w:firstLine="419"/>
      </w:pPr>
      <w:r>
        <w:rPr>
          <w:spacing w:val="-3"/>
        </w:rPr>
        <w:t>企业网络设备方面，公司拥有占全球市场份额超 </w:t>
      </w:r>
      <w:r>
        <w:rPr>
          <w:rFonts w:ascii="Times New Roman" w:eastAsia="Times New Roman"/>
        </w:rPr>
        <w:t>50%</w:t>
      </w:r>
      <w:r>
        <w:rPr/>
        <w:t>以上的领先客户群体，随着企业数字化基础设施建设升级和云端应用快速增长，</w:t>
      </w:r>
      <w:r>
        <w:rPr>
          <w:rFonts w:ascii="Times New Roman" w:eastAsia="Times New Roman"/>
        </w:rPr>
        <w:t>2022</w:t>
      </w:r>
      <w:r>
        <w:rPr>
          <w:rFonts w:ascii="Times New Roman" w:eastAsia="Times New Roman"/>
          <w:spacing w:val="32"/>
        </w:rPr>
        <w:t> </w:t>
      </w:r>
      <w:r>
        <w:rPr/>
        <w:t>年该业务收入实现快速增长。更高的以太网速度、高效云端计算、物联网及数据中心的兴起，使得运营商须持续扩容、增加频宽以满足用户端更多 要</w:t>
      </w:r>
      <w:r>
        <w:rPr>
          <w:spacing w:val="2"/>
        </w:rPr>
        <w:t>求，带动交换机、路由器等 </w:t>
      </w:r>
      <w:r>
        <w:rPr>
          <w:rFonts w:ascii="Times New Roman" w:eastAsia="Times New Roman"/>
        </w:rPr>
        <w:t>IP</w:t>
      </w:r>
      <w:r>
        <w:rPr>
          <w:rFonts w:ascii="Times New Roman" w:eastAsia="Times New Roman"/>
          <w:spacing w:val="60"/>
        </w:rPr>
        <w:t> </w:t>
      </w:r>
      <w:r>
        <w:rPr/>
        <w:t>网路产品规模持续升级。基于此，公司企业交换机业务保持快速成长，并在新一代产品竞争中确保优势地位。随着云端型服务增加，企业对安全性需求日益增 长，网络安全产品也将为公司带来新的成长动能。</w:t>
      </w:r>
    </w:p>
    <w:p>
      <w:pPr>
        <w:pStyle w:val="BodyText"/>
        <w:spacing w:line="364" w:lineRule="auto"/>
        <w:ind w:left="638" w:right="119" w:firstLine="419"/>
      </w:pPr>
      <w:r>
        <w:rPr>
          <w:spacing w:val="-5"/>
        </w:rPr>
        <w:t>无线网络设备方面，公司拥有 </w:t>
      </w:r>
      <w:r>
        <w:rPr>
          <w:rFonts w:ascii="Times New Roman" w:hAnsi="Times New Roman" w:eastAsia="Times New Roman"/>
        </w:rPr>
        <w:t>5G</w:t>
      </w:r>
      <w:r>
        <w:rPr>
          <w:rFonts w:ascii="Times New Roman" w:hAnsi="Times New Roman" w:eastAsia="Times New Roman"/>
          <w:spacing w:val="-11"/>
        </w:rPr>
        <w:t> </w:t>
      </w:r>
      <w:r>
        <w:rPr>
          <w:spacing w:val="-28"/>
        </w:rPr>
        <w:t>和 </w:t>
      </w:r>
      <w:r>
        <w:rPr>
          <w:rFonts w:ascii="Times New Roman" w:hAnsi="Times New Roman" w:eastAsia="Times New Roman"/>
        </w:rPr>
        <w:t>Wi-Fi6/6E</w:t>
      </w:r>
      <w:r>
        <w:rPr>
          <w:rFonts w:ascii="Times New Roman" w:hAnsi="Times New Roman" w:eastAsia="Times New Roman"/>
          <w:spacing w:val="-9"/>
        </w:rPr>
        <w:t> </w:t>
      </w:r>
      <w:r>
        <w:rPr>
          <w:spacing w:val="-4"/>
        </w:rPr>
        <w:t>核心技术，目前正深化企业 </w:t>
      </w:r>
      <w:r>
        <w:rPr>
          <w:rFonts w:ascii="Times New Roman" w:hAnsi="Times New Roman" w:eastAsia="Times New Roman"/>
        </w:rPr>
        <w:t>Wi-Fi</w:t>
      </w:r>
      <w:r>
        <w:rPr>
          <w:rFonts w:ascii="Times New Roman" w:hAnsi="Times New Roman" w:eastAsia="Times New Roman"/>
          <w:spacing w:val="13"/>
        </w:rPr>
        <w:t> </w:t>
      </w:r>
      <w:r>
        <w:rPr>
          <w:rFonts w:ascii="Times New Roman" w:hAnsi="Times New Roman" w:eastAsia="Times New Roman"/>
        </w:rPr>
        <w:t>7</w:t>
      </w:r>
      <w:r>
        <w:rPr>
          <w:rFonts w:ascii="Times New Roman" w:hAnsi="Times New Roman" w:eastAsia="Times New Roman"/>
          <w:spacing w:val="-9"/>
        </w:rPr>
        <w:t> </w:t>
      </w:r>
      <w:r>
        <w:rPr/>
        <w:t>产品布局。公司不断加大</w:t>
      </w:r>
      <w:r>
        <w:rPr>
          <w:rFonts w:ascii="Times New Roman" w:hAnsi="Times New Roman" w:eastAsia="Times New Roman"/>
        </w:rPr>
        <w:t>“</w:t>
      </w:r>
      <w:r>
        <w:rPr/>
        <w:t>工业元宇宙</w:t>
      </w:r>
      <w:r>
        <w:rPr>
          <w:rFonts w:ascii="Times New Roman" w:hAnsi="Times New Roman" w:eastAsia="Times New Roman"/>
        </w:rPr>
        <w:t>”</w:t>
      </w:r>
      <w:r>
        <w:rPr/>
        <w:t>领域布局，以自身实力与对外投资相结合方式，注重工业领域端应用</w:t>
      </w:r>
    </w:p>
    <w:p>
      <w:pPr>
        <w:spacing w:after="0" w:line="364" w:lineRule="auto"/>
        <w:sectPr>
          <w:pgSz w:w="11910" w:h="16840"/>
          <w:pgMar w:header="880" w:footer="1195" w:top="1120" w:bottom="1380" w:left="1160" w:right="940"/>
        </w:sectPr>
      </w:pPr>
    </w:p>
    <w:p>
      <w:pPr>
        <w:pStyle w:val="BodyText"/>
        <w:spacing w:before="3"/>
        <w:ind w:left="0"/>
        <w:rPr>
          <w:sz w:val="25"/>
        </w:rPr>
      </w:pPr>
    </w:p>
    <w:p>
      <w:pPr>
        <w:pStyle w:val="BodyText"/>
        <w:spacing w:line="364" w:lineRule="auto" w:before="78"/>
        <w:ind w:left="638" w:right="119"/>
      </w:pPr>
      <w:r>
        <w:rPr>
          <w:spacing w:val="-1"/>
        </w:rPr>
        <w:t>的可视化、准确性和调优性，解决工业场景具体问题。在 </w:t>
      </w:r>
      <w:r>
        <w:rPr>
          <w:rFonts w:ascii="Times New Roman" w:hAnsi="Times New Roman" w:eastAsia="Times New Roman"/>
        </w:rPr>
        <w:t>5G</w:t>
      </w:r>
      <w:r>
        <w:rPr>
          <w:rFonts w:ascii="Times New Roman" w:hAnsi="Times New Roman" w:eastAsia="Times New Roman"/>
          <w:spacing w:val="30"/>
        </w:rPr>
        <w:t> </w:t>
      </w:r>
      <w:r>
        <w:rPr/>
        <w:t>技术和机器视觉能力支持下，可实现远程故障排除、远程指导、工业场景安全作业。公司不断推进数字化工业进程，通过</w:t>
      </w:r>
      <w:r>
        <w:rPr>
          <w:rFonts w:ascii="Times New Roman" w:hAnsi="Times New Roman" w:eastAsia="Times New Roman"/>
        </w:rPr>
        <w:t>“</w:t>
      </w:r>
      <w:r>
        <w:rPr>
          <w:spacing w:val="6"/>
        </w:rPr>
        <w:t>工业元 宇</w:t>
      </w:r>
      <w:r>
        <w:rPr/>
        <w:t>宙</w:t>
      </w:r>
      <w:r>
        <w:rPr>
          <w:rFonts w:ascii="Times New Roman" w:hAnsi="Times New Roman" w:eastAsia="Times New Roman"/>
        </w:rPr>
        <w:t>”</w:t>
      </w:r>
      <w:r>
        <w:rPr/>
        <w:t>将实体工业与信息技术有机融合，达成高端智能制造。公司通过发挥全球供应链与厂域布 局</w:t>
      </w:r>
      <w:r>
        <w:rPr>
          <w:spacing w:val="-3"/>
        </w:rPr>
        <w:t>优势，为客户提供更完善的解决方案，进一步提升全球交付能力。在新技术与新产品开发方面， 公</w:t>
      </w:r>
      <w:r>
        <w:rPr>
          <w:spacing w:val="-10"/>
        </w:rPr>
        <w:t>司持续投入 </w:t>
      </w:r>
      <w:r>
        <w:rPr>
          <w:rFonts w:ascii="Times New Roman" w:hAnsi="Times New Roman" w:eastAsia="Times New Roman"/>
        </w:rPr>
        <w:t>5G</w:t>
      </w:r>
      <w:r>
        <w:rPr>
          <w:rFonts w:ascii="Times New Roman" w:hAnsi="Times New Roman" w:eastAsia="Times New Roman"/>
          <w:spacing w:val="-11"/>
        </w:rPr>
        <w:t> </w:t>
      </w:r>
      <w:r>
        <w:rPr/>
        <w:t>相关前沿技术及产品研发。</w:t>
      </w:r>
    </w:p>
    <w:p>
      <w:pPr>
        <w:pStyle w:val="BodyText"/>
        <w:spacing w:line="364" w:lineRule="auto"/>
        <w:ind w:left="638" w:right="328" w:firstLine="419"/>
        <w:jc w:val="both"/>
      </w:pPr>
      <w:r>
        <w:rPr/>
        <w:t>智能家居及工业相关产品方面，顺应智能家居普及度提升，消费者追求更舒适的智能家居生活，公司智能家居相关产品收入及出货量均实现快速增长。公司协同客户共同开发家庭监控、娱乐影音、智能音响等产品，打造更完整的智能家庭解决方案。此外，公司工业相关产品包含能源效率、能源管理等类别，将与客户携手扩大工业应用客户产品线，助力企业实现低碳环保目标。</w:t>
      </w:r>
    </w:p>
    <w:p>
      <w:pPr>
        <w:pStyle w:val="BodyText"/>
        <w:spacing w:line="364" w:lineRule="auto"/>
        <w:ind w:left="638" w:right="119" w:firstLine="419"/>
      </w:pPr>
      <w:r>
        <w:rPr/>
        <w:t>公司深入布局智能手机及穿戴装置高精密机构件产线，基于制造技术、平台技术、信息技术、</w:t>
      </w:r>
      <w:r>
        <w:rPr>
          <w:spacing w:val="1"/>
        </w:rPr>
        <w:t>数据技术和分析技术，通过 </w:t>
      </w:r>
      <w:r>
        <w:rPr>
          <w:rFonts w:ascii="Times New Roman" w:eastAsia="Times New Roman"/>
        </w:rPr>
        <w:t>AI</w:t>
      </w:r>
      <w:r>
        <w:rPr>
          <w:rFonts w:ascii="Times New Roman" w:eastAsia="Times New Roman"/>
          <w:spacing w:val="46"/>
        </w:rPr>
        <w:t> </w:t>
      </w:r>
      <w:r>
        <w:rPr/>
        <w:t>赋能实现全流程分析，通过多厂域数字绩效管理实现判断推论，</w:t>
      </w:r>
      <w:r>
        <w:rPr>
          <w:spacing w:val="1"/>
        </w:rPr>
        <w:t> </w:t>
      </w:r>
      <w:r>
        <w:rPr>
          <w:spacing w:val="-2"/>
        </w:rPr>
        <w:t>通过智能厂务系统与 </w:t>
      </w:r>
      <w:r>
        <w:rPr>
          <w:rFonts w:ascii="Times New Roman" w:eastAsia="Times New Roman"/>
        </w:rPr>
        <w:t>AI</w:t>
      </w:r>
      <w:r>
        <w:rPr>
          <w:rFonts w:ascii="Times New Roman" w:eastAsia="Times New Roman"/>
          <w:spacing w:val="14"/>
        </w:rPr>
        <w:t> </w:t>
      </w:r>
      <w:r>
        <w:rPr/>
        <w:t>检测实现提前预测。</w:t>
      </w:r>
      <w:r>
        <w:rPr>
          <w:rFonts w:ascii="Times New Roman" w:eastAsia="Times New Roman"/>
        </w:rPr>
        <w:t>2022</w:t>
      </w:r>
      <w:r>
        <w:rPr>
          <w:rFonts w:ascii="Times New Roman" w:eastAsia="Times New Roman"/>
          <w:spacing w:val="16"/>
        </w:rPr>
        <w:t> </w:t>
      </w:r>
      <w:r>
        <w:rPr/>
        <w:t>年，公司依托智能手机及穿戴装置高精密机构件核心竞争力，荣获世界经济论坛评选的灯塔工厂殊荣，也是全球首座精密机构件加工灯塔工厂。未来公司将持续扩大客户产品线，巩固并拓展高端智能手机市场，开拓模具与自动化、机器人市 场，同时探索电动车、新材料、半导体、医疗设备与器材等新领域。</w:t>
      </w:r>
    </w:p>
    <w:p>
      <w:pPr>
        <w:pStyle w:val="ListParagraph"/>
        <w:numPr>
          <w:ilvl w:val="0"/>
          <w:numId w:val="2"/>
        </w:numPr>
        <w:tabs>
          <w:tab w:pos="1057" w:val="left" w:leader="none"/>
          <w:tab w:pos="1058" w:val="left" w:leader="none"/>
        </w:tabs>
        <w:spacing w:line="268" w:lineRule="exact" w:before="0" w:after="0"/>
        <w:ind w:left="1058" w:right="0" w:hanging="420"/>
        <w:jc w:val="left"/>
        <w:rPr>
          <w:sz w:val="21"/>
        </w:rPr>
      </w:pPr>
      <w:r>
        <w:rPr>
          <w:sz w:val="21"/>
        </w:rPr>
        <w:t>工业互联网</w:t>
      </w:r>
    </w:p>
    <w:p>
      <w:pPr>
        <w:pStyle w:val="BodyText"/>
        <w:spacing w:line="364" w:lineRule="auto" w:before="136"/>
        <w:ind w:left="638" w:right="326" w:firstLine="419"/>
        <w:jc w:val="both"/>
      </w:pPr>
      <w:r>
        <w:rPr>
          <w:rFonts w:ascii="Times New Roman" w:eastAsia="Times New Roman"/>
          <w:spacing w:val="-1"/>
        </w:rPr>
        <w:t>2022</w:t>
      </w:r>
      <w:r>
        <w:rPr>
          <w:rFonts w:ascii="Times New Roman" w:eastAsia="Times New Roman"/>
          <w:spacing w:val="-19"/>
        </w:rPr>
        <w:t> </w:t>
      </w:r>
      <w:r>
        <w:rPr>
          <w:spacing w:val="-5"/>
        </w:rPr>
        <w:t>年，公司工业互联网业务收入规模达 </w:t>
      </w:r>
      <w:r>
        <w:rPr>
          <w:rFonts w:ascii="Times New Roman" w:eastAsia="Times New Roman"/>
        </w:rPr>
        <w:t>19.12</w:t>
      </w:r>
      <w:r>
        <w:rPr>
          <w:rFonts w:ascii="Times New Roman" w:eastAsia="Times New Roman"/>
          <w:spacing w:val="-19"/>
        </w:rPr>
        <w:t> </w:t>
      </w:r>
      <w:r>
        <w:rPr>
          <w:spacing w:val="-8"/>
        </w:rPr>
        <w:t>亿元，同比增长 </w:t>
      </w:r>
      <w:r>
        <w:rPr>
          <w:rFonts w:ascii="Times New Roman" w:eastAsia="Times New Roman"/>
        </w:rPr>
        <w:t>13.46%</w:t>
      </w:r>
      <w:r>
        <w:rPr/>
        <w:t>。其中，公司工业互联网平台（灯塔工厂</w:t>
      </w:r>
      <w:r>
        <w:rPr>
          <w:rFonts w:ascii="Times New Roman" w:eastAsia="Times New Roman"/>
        </w:rPr>
        <w:t>/</w:t>
      </w:r>
      <w:r>
        <w:rPr/>
        <w:t>标准软件</w:t>
      </w:r>
      <w:r>
        <w:rPr>
          <w:rFonts w:ascii="Times New Roman" w:eastAsia="Times New Roman"/>
        </w:rPr>
        <w:t>/Fii</w:t>
      </w:r>
      <w:r>
        <w:rPr>
          <w:rFonts w:ascii="Times New Roman" w:eastAsia="Times New Roman"/>
          <w:spacing w:val="52"/>
        </w:rPr>
        <w:t> </w:t>
      </w:r>
      <w:r>
        <w:rPr>
          <w:rFonts w:ascii="Times New Roman" w:eastAsia="Times New Roman"/>
        </w:rPr>
        <w:t>Cloud</w:t>
      </w:r>
      <w:r>
        <w:rPr/>
        <w:t>）业务三大核心板块均实现快速增长：卓越制造咨询与</w:t>
      </w:r>
      <w:r>
        <w:rPr>
          <w:spacing w:val="4"/>
        </w:rPr>
        <w:t>灯塔工厂解决方案业务，收入增长 </w:t>
      </w:r>
      <w:r>
        <w:rPr>
          <w:rFonts w:ascii="Times New Roman" w:eastAsia="Times New Roman"/>
        </w:rPr>
        <w:t>113%</w:t>
      </w:r>
      <w:r>
        <w:rPr>
          <w:spacing w:val="12"/>
        </w:rPr>
        <w:t>，客户增长 </w:t>
      </w:r>
      <w:r>
        <w:rPr>
          <w:rFonts w:ascii="Times New Roman" w:eastAsia="Times New Roman"/>
        </w:rPr>
        <w:t>60%</w:t>
      </w:r>
      <w:r>
        <w:rPr/>
        <w:t>；一站式数字制造运营业务收入增长</w:t>
      </w:r>
      <w:r>
        <w:rPr>
          <w:rFonts w:ascii="Times New Roman" w:eastAsia="Times New Roman"/>
          <w:spacing w:val="-1"/>
        </w:rPr>
        <w:t>283%</w:t>
      </w:r>
      <w:r>
        <w:rPr>
          <w:spacing w:val="-10"/>
        </w:rPr>
        <w:t>，客户增长 </w:t>
      </w:r>
      <w:r>
        <w:rPr>
          <w:rFonts w:ascii="Times New Roman" w:eastAsia="Times New Roman"/>
        </w:rPr>
        <w:t>63%</w:t>
      </w:r>
      <w:r>
        <w:rPr>
          <w:spacing w:val="-5"/>
        </w:rPr>
        <w:t>；云与平台服务业务收入增长 </w:t>
      </w:r>
      <w:r>
        <w:rPr>
          <w:rFonts w:ascii="Times New Roman" w:eastAsia="Times New Roman"/>
        </w:rPr>
        <w:t>140%</w:t>
      </w:r>
      <w:r>
        <w:rPr>
          <w:spacing w:val="-7"/>
        </w:rPr>
        <w:t>，资源规模增长 </w:t>
      </w:r>
      <w:r>
        <w:rPr>
          <w:rFonts w:ascii="Times New Roman" w:eastAsia="Times New Roman"/>
        </w:rPr>
        <w:t>53%</w:t>
      </w:r>
      <w:r>
        <w:rPr/>
        <w:t>。公司可为大型企业、中小型企业、园区及产业集群等不同类型客户提供专业场景应用、数字制造管理、双碳战略服务、智能硬件设备、数字化人才组织培养等全场景数字化转型服务。</w:t>
      </w:r>
    </w:p>
    <w:p>
      <w:pPr>
        <w:pStyle w:val="BodyText"/>
        <w:spacing w:line="364" w:lineRule="auto"/>
        <w:ind w:left="638" w:right="330" w:firstLine="419"/>
        <w:jc w:val="both"/>
      </w:pPr>
      <w:r>
        <w:rPr/>
        <w:t>公司沉淀了一站式数字化转型服务能力及全场景产品体系，服务对象覆盖电子制造、新能源</w:t>
      </w:r>
      <w:r>
        <w:rPr>
          <w:spacing w:val="-3"/>
        </w:rPr>
        <w:t>车、医疗器械、金属冶金、化工材料、机械加工、电力装备等 </w:t>
      </w:r>
      <w:r>
        <w:rPr>
          <w:rFonts w:ascii="Times New Roman" w:eastAsia="Times New Roman"/>
        </w:rPr>
        <w:t>10</w:t>
      </w:r>
      <w:r>
        <w:rPr>
          <w:rFonts w:ascii="Times New Roman" w:eastAsia="Times New Roman"/>
          <w:spacing w:val="-17"/>
        </w:rPr>
        <w:t> </w:t>
      </w:r>
      <w:r>
        <w:rPr>
          <w:spacing w:val="-6"/>
        </w:rPr>
        <w:t>大行业，服务企业超 </w:t>
      </w:r>
      <w:r>
        <w:rPr>
          <w:rFonts w:ascii="Times New Roman" w:eastAsia="Times New Roman"/>
        </w:rPr>
        <w:t>1,500</w:t>
      </w:r>
      <w:r>
        <w:rPr>
          <w:rFonts w:ascii="Times New Roman" w:eastAsia="Times New Roman"/>
          <w:spacing w:val="-15"/>
        </w:rPr>
        <w:t> </w:t>
      </w:r>
      <w:r>
        <w:rPr/>
        <w:t>家。</w:t>
      </w:r>
    </w:p>
    <w:p>
      <w:pPr>
        <w:pStyle w:val="BodyText"/>
        <w:spacing w:line="364" w:lineRule="auto"/>
        <w:ind w:left="638" w:right="328" w:firstLine="419"/>
        <w:jc w:val="both"/>
      </w:pPr>
      <w:r>
        <w:rPr>
          <w:spacing w:val="-3"/>
        </w:rPr>
        <w:t>在灯塔工厂布局方面，公司基于自身智造实力与数据基础，赋能 </w:t>
      </w:r>
      <w:r>
        <w:rPr>
          <w:rFonts w:ascii="Times New Roman" w:hAnsi="Times New Roman" w:eastAsia="Times New Roman"/>
        </w:rPr>
        <w:t>6</w:t>
      </w:r>
      <w:r>
        <w:rPr>
          <w:rFonts w:ascii="Times New Roman" w:hAnsi="Times New Roman" w:eastAsia="Times New Roman"/>
          <w:spacing w:val="-3"/>
        </w:rPr>
        <w:t> </w:t>
      </w:r>
      <w:r>
        <w:rPr/>
        <w:t>座灯塔工厂，并打造世界首座精密机构件加工灯塔工厂。未来，公司将继续推进</w:t>
      </w:r>
      <w:r>
        <w:rPr>
          <w:rFonts w:ascii="Times New Roman" w:hAnsi="Times New Roman" w:eastAsia="Times New Roman"/>
        </w:rPr>
        <w:t>“</w:t>
      </w:r>
      <w:r>
        <w:rPr/>
        <w:t>灯塔领航者计划</w:t>
      </w:r>
      <w:r>
        <w:rPr>
          <w:rFonts w:ascii="Times New Roman" w:hAnsi="Times New Roman" w:eastAsia="Times New Roman"/>
        </w:rPr>
        <w:t>”</w:t>
      </w:r>
      <w:r>
        <w:rPr/>
        <w:t>，助力工业互联网业务走深向实，助力数字经济发展。</w:t>
      </w:r>
    </w:p>
    <w:p>
      <w:pPr>
        <w:pStyle w:val="BodyText"/>
        <w:spacing w:line="267" w:lineRule="exact"/>
        <w:ind w:left="638"/>
      </w:pPr>
      <w:r>
        <w:rPr>
          <w:w w:val="100"/>
        </w:rPr>
        <w:t> </w:t>
      </w:r>
    </w:p>
    <w:p>
      <w:pPr>
        <w:pStyle w:val="BodyText"/>
        <w:spacing w:before="62"/>
        <w:ind w:left="638"/>
      </w:pPr>
      <w:r>
        <w:rPr/>
        <w:t>四、报告期内核心竞争力分析</w:t>
      </w:r>
    </w:p>
    <w:p>
      <w:pPr>
        <w:pStyle w:val="BodyText"/>
        <w:spacing w:before="62"/>
        <w:ind w:left="638"/>
      </w:pPr>
      <w:r>
        <w:rPr>
          <w:spacing w:val="-1"/>
        </w:rPr>
        <w:t>√适用 □不适用</w:t>
      </w:r>
      <w:r>
        <w:rPr>
          <w:spacing w:val="-3"/>
        </w:rPr>
        <w:t> </w:t>
      </w:r>
      <w:r>
        <w:rPr/>
        <w:t> </w:t>
      </w:r>
    </w:p>
    <w:p>
      <w:pPr>
        <w:pStyle w:val="BodyText"/>
        <w:spacing w:before="5"/>
        <w:ind w:left="1058"/>
      </w:pPr>
      <w:r>
        <w:rPr/>
        <w:t>1、前瞻的全球化布局及供应链能力 </w:t>
      </w:r>
    </w:p>
    <w:p>
      <w:pPr>
        <w:pStyle w:val="BodyText"/>
        <w:spacing w:line="364" w:lineRule="auto" w:before="139"/>
        <w:ind w:left="638" w:right="119" w:firstLine="419"/>
      </w:pPr>
      <w:r>
        <w:rPr/>
        <w:t>公司在智能制造及供应链管理方面，已实现全球化布局，在中国大陆、中国香港、中国台湾、匈牙利、捷克、越南、墨西哥、美国、新加坡、匈牙利、印度、日本等多个国家及地区，建立高</w:t>
      </w:r>
      <w:r>
        <w:rPr>
          <w:spacing w:val="1"/>
        </w:rPr>
        <w:t> </w:t>
      </w:r>
      <w:r>
        <w:rPr/>
        <w:t>端智能制造基地及开展经营业务，并不断拓展产能。公司的全球数字化管理系统，可实现柔性调</w:t>
      </w:r>
    </w:p>
    <w:p>
      <w:pPr>
        <w:spacing w:after="0" w:line="364" w:lineRule="auto"/>
        <w:sectPr>
          <w:pgSz w:w="11910" w:h="16840"/>
          <w:pgMar w:header="880" w:footer="1195" w:top="1120" w:bottom="1380" w:left="1160" w:right="940"/>
        </w:sectPr>
      </w:pPr>
    </w:p>
    <w:p>
      <w:pPr>
        <w:pStyle w:val="BodyText"/>
        <w:spacing w:before="10"/>
        <w:ind w:left="0"/>
        <w:rPr>
          <w:sz w:val="25"/>
        </w:rPr>
      </w:pPr>
    </w:p>
    <w:p>
      <w:pPr>
        <w:pStyle w:val="BodyText"/>
        <w:spacing w:line="364" w:lineRule="auto" w:before="71"/>
        <w:ind w:left="638" w:right="328"/>
        <w:jc w:val="both"/>
      </w:pPr>
      <w:r>
        <w:rPr/>
        <w:t>配生产与供应链资源，高效、迅速地满足客户全球交付需求，通过对半导体、工业软件、机器人等领域的投资布局，为客户提供更优的一站式供应链服务，有效服务全球顶尖客户，为业务持续增长保驾护航。</w:t>
      </w:r>
    </w:p>
    <w:p>
      <w:pPr>
        <w:pStyle w:val="BodyText"/>
        <w:ind w:left="1065"/>
        <w:jc w:val="both"/>
      </w:pPr>
      <w:r>
        <w:rPr/>
        <w:t>2</w:t>
      </w:r>
      <w:r>
        <w:rPr>
          <w:spacing w:val="-1"/>
        </w:rPr>
        <w:t>、 强大的技术创新及研发资源投入 </w:t>
      </w:r>
    </w:p>
    <w:p>
      <w:pPr>
        <w:pStyle w:val="BodyText"/>
        <w:spacing w:line="364" w:lineRule="auto" w:before="139"/>
        <w:ind w:left="638" w:right="328" w:firstLine="419"/>
        <w:jc w:val="both"/>
      </w:pPr>
      <w:r>
        <w:rPr/>
        <w:t>公司深入布局数字经济核心技术，在创新实力方面，截至报告期末，公司拥有有效申请及授</w:t>
      </w:r>
      <w:r>
        <w:rPr>
          <w:spacing w:val="-4"/>
        </w:rPr>
        <w:t>权专利 </w:t>
      </w:r>
      <w:r>
        <w:rPr>
          <w:rFonts w:ascii="Times New Roman" w:eastAsia="Times New Roman"/>
        </w:rPr>
        <w:t>6,078</w:t>
      </w:r>
      <w:r>
        <w:rPr>
          <w:rFonts w:ascii="Times New Roman" w:eastAsia="Times New Roman"/>
          <w:spacing w:val="19"/>
        </w:rPr>
        <w:t> </w:t>
      </w:r>
      <w:r>
        <w:rPr>
          <w:spacing w:val="-2"/>
        </w:rPr>
        <w:t>项，较上年同期增加 </w:t>
      </w:r>
      <w:r>
        <w:rPr>
          <w:rFonts w:ascii="Times New Roman" w:eastAsia="Times New Roman"/>
        </w:rPr>
        <w:t>10.4%</w:t>
      </w:r>
      <w:r>
        <w:rPr/>
        <w:t>。其中，在高端精密机构件、自动化暨机器人、工业元</w:t>
      </w:r>
      <w:r>
        <w:rPr>
          <w:spacing w:val="1"/>
        </w:rPr>
        <w:t>宇宙、数字化智造等技术领域广泛布局，授权专利增长迅猛，占比达 </w:t>
      </w:r>
      <w:r>
        <w:rPr>
          <w:rFonts w:ascii="Times New Roman" w:eastAsia="Times New Roman"/>
        </w:rPr>
        <w:t>73.8%</w:t>
      </w:r>
      <w:r>
        <w:rPr/>
        <w:t>。研发投入方面，</w:t>
      </w:r>
      <w:r>
        <w:rPr>
          <w:spacing w:val="-103"/>
        </w:rPr>
        <w:t> </w:t>
      </w:r>
      <w:r>
        <w:rPr>
          <w:rFonts w:ascii="Times New Roman" w:eastAsia="Times New Roman"/>
          <w:spacing w:val="-1"/>
        </w:rPr>
        <w:t>2022</w:t>
      </w:r>
      <w:r>
        <w:rPr>
          <w:rFonts w:ascii="Times New Roman" w:eastAsia="Times New Roman"/>
          <w:spacing w:val="-7"/>
        </w:rPr>
        <w:t> </w:t>
      </w:r>
      <w:r>
        <w:rPr>
          <w:spacing w:val="-6"/>
        </w:rPr>
        <w:t>年公司研发成本为 </w:t>
      </w:r>
      <w:r>
        <w:rPr>
          <w:rFonts w:ascii="Times New Roman" w:eastAsia="Times New Roman"/>
        </w:rPr>
        <w:t>115.88</w:t>
      </w:r>
      <w:r>
        <w:rPr>
          <w:rFonts w:ascii="Times New Roman" w:eastAsia="Times New Roman"/>
          <w:spacing w:val="-6"/>
        </w:rPr>
        <w:t> </w:t>
      </w:r>
      <w:r>
        <w:rPr>
          <w:spacing w:val="-6"/>
        </w:rPr>
        <w:t>亿元，同比提升 </w:t>
      </w:r>
      <w:r>
        <w:rPr>
          <w:rFonts w:ascii="Times New Roman" w:eastAsia="Times New Roman"/>
        </w:rPr>
        <w:t>6.95%</w:t>
      </w:r>
      <w:r>
        <w:rPr>
          <w:spacing w:val="-6"/>
        </w:rPr>
        <w:t>，研发技术人员超 </w:t>
      </w:r>
      <w:r>
        <w:rPr>
          <w:rFonts w:ascii="Times New Roman" w:eastAsia="Times New Roman"/>
        </w:rPr>
        <w:t>3</w:t>
      </w:r>
      <w:r>
        <w:rPr>
          <w:rFonts w:ascii="Times New Roman" w:eastAsia="Times New Roman"/>
          <w:spacing w:val="-6"/>
        </w:rPr>
        <w:t> </w:t>
      </w:r>
      <w:r>
        <w:rPr>
          <w:spacing w:val="-6"/>
        </w:rPr>
        <w:t>万人，同比增加 </w:t>
      </w:r>
      <w:r>
        <w:rPr>
          <w:rFonts w:ascii="Times New Roman" w:eastAsia="Times New Roman"/>
        </w:rPr>
        <w:t>0.5</w:t>
      </w:r>
      <w:r>
        <w:rPr>
          <w:rFonts w:ascii="Times New Roman" w:eastAsia="Times New Roman"/>
          <w:spacing w:val="-10"/>
        </w:rPr>
        <w:t> </w:t>
      </w:r>
      <w:r>
        <w:rPr/>
        <w:t>万人。公司不断强化大数据、机器人等新事业方向技术实力，结合强大的数字化基础，促进公司在云、网、端、工业互联网等核心业务方面稳居全球领先地位。</w:t>
      </w:r>
    </w:p>
    <w:p>
      <w:pPr>
        <w:pStyle w:val="BodyText"/>
        <w:spacing w:line="269" w:lineRule="exact"/>
        <w:ind w:left="1060"/>
      </w:pPr>
      <w:r>
        <w:rPr>
          <w:rFonts w:ascii="Times New Roman" w:eastAsia="Times New Roman"/>
          <w:b/>
        </w:rPr>
        <w:t>3</w:t>
      </w:r>
      <w:r>
        <w:rPr/>
        <w:t>、强大的智能制造及数字化实力</w:t>
      </w:r>
    </w:p>
    <w:p>
      <w:pPr>
        <w:pStyle w:val="BodyText"/>
        <w:spacing w:line="364" w:lineRule="auto" w:before="139"/>
        <w:ind w:left="638" w:right="327" w:firstLine="419"/>
        <w:jc w:val="both"/>
      </w:pPr>
      <w:r>
        <w:rPr/>
        <w:t>公司在自身海量工业大数据与众多应用场景的基础上，不断通过数字化技术驱动高效制造，</w:t>
      </w:r>
      <w:r>
        <w:rPr>
          <w:spacing w:val="-103"/>
        </w:rPr>
        <w:t> </w:t>
      </w:r>
      <w:r>
        <w:rPr/>
        <w:t>构建一体化产品设计和智能制造能力。</w:t>
      </w:r>
      <w:r>
        <w:rPr>
          <w:rFonts w:ascii="Times New Roman" w:eastAsia="Times New Roman"/>
        </w:rPr>
        <w:t>2022</w:t>
      </w:r>
      <w:r>
        <w:rPr>
          <w:rFonts w:ascii="Times New Roman" w:eastAsia="Times New Roman"/>
          <w:spacing w:val="20"/>
        </w:rPr>
        <w:t> </w:t>
      </w:r>
      <w:r>
        <w:rPr/>
        <w:t>年，公司获评世界经济论坛全球首座精密结构件金</w:t>
      </w:r>
      <w:r>
        <w:rPr>
          <w:spacing w:val="-1"/>
        </w:rPr>
        <w:t>属加工灯塔工厂，通过智造研发协同系统，达成缩短 </w:t>
      </w:r>
      <w:r>
        <w:rPr>
          <w:rFonts w:ascii="Times New Roman" w:eastAsia="Times New Roman"/>
        </w:rPr>
        <w:t>29%</w:t>
      </w:r>
      <w:r>
        <w:rPr>
          <w:spacing w:val="-2"/>
        </w:rPr>
        <w:t>新品导入时间，提升 </w:t>
      </w:r>
      <w:r>
        <w:rPr>
          <w:rFonts w:ascii="Times New Roman" w:eastAsia="Times New Roman"/>
        </w:rPr>
        <w:t>330%</w:t>
      </w:r>
      <w:r>
        <w:rPr/>
        <w:t>人均产出，</w:t>
      </w:r>
      <w:r>
        <w:rPr>
          <w:spacing w:val="-103"/>
        </w:rPr>
        <w:t> </w:t>
      </w:r>
      <w:r>
        <w:rPr>
          <w:spacing w:val="-23"/>
        </w:rPr>
        <w:t>缩短 </w:t>
      </w:r>
      <w:r>
        <w:rPr>
          <w:rFonts w:ascii="Times New Roman" w:eastAsia="Times New Roman"/>
        </w:rPr>
        <w:t>99%</w:t>
      </w:r>
      <w:r>
        <w:rPr>
          <w:spacing w:val="4"/>
        </w:rPr>
        <w:t>检测时间，提升</w:t>
      </w:r>
      <w:r>
        <w:rPr>
          <w:rFonts w:ascii="Times New Roman" w:eastAsia="Times New Roman"/>
        </w:rPr>
        <w:t>36%</w:t>
      </w:r>
      <w:r>
        <w:rPr>
          <w:spacing w:val="-7"/>
        </w:rPr>
        <w:t>量产爬坡速度，提升 </w:t>
      </w:r>
      <w:r>
        <w:rPr>
          <w:rFonts w:ascii="Times New Roman" w:eastAsia="Times New Roman"/>
        </w:rPr>
        <w:t>20%</w:t>
      </w:r>
      <w:r>
        <w:rPr/>
        <w:t>以上能源效率的效果，持续引领数字化管理变革。</w:t>
      </w:r>
    </w:p>
    <w:p>
      <w:pPr>
        <w:pStyle w:val="BodyText"/>
        <w:spacing w:line="267" w:lineRule="exact"/>
        <w:ind w:left="1060"/>
        <w:jc w:val="both"/>
      </w:pPr>
      <w:r>
        <w:rPr>
          <w:rFonts w:ascii="Times New Roman" w:eastAsia="Times New Roman"/>
          <w:b/>
        </w:rPr>
        <w:t>4</w:t>
      </w:r>
      <w:r>
        <w:rPr/>
        <w:t>、 卓越的管理团队及人才培养机制</w:t>
      </w:r>
    </w:p>
    <w:p>
      <w:pPr>
        <w:pStyle w:val="BodyText"/>
        <w:spacing w:line="364" w:lineRule="auto" w:before="139"/>
        <w:ind w:left="638" w:right="328" w:firstLine="419"/>
        <w:jc w:val="both"/>
      </w:pPr>
      <w:r>
        <w:rPr/>
        <w:t>公司核心管理团队具备很强的综合实力，对智能制造和工业互联网核心业务有深刻理解，对大数据和机器人新创业务有超前布局。公司具备优秀的技术研发团队、经验丰富的生产管理人员和熟练的技术队伍，围绕市场需求不断提升工艺技术，垂直整合设计制造，持续优化经营模式。公司汇聚全球人才，具备完善的人才梯队培养机制。人才是公司布局新事业，发展新方向，实现</w:t>
      </w:r>
      <w:r>
        <w:rPr>
          <w:spacing w:val="-1"/>
        </w:rPr>
        <w:t>智能制造、工业互联网</w:t>
      </w:r>
      <w:r>
        <w:rPr>
          <w:rFonts w:ascii="Times New Roman" w:eastAsia="Times New Roman"/>
        </w:rPr>
        <w:t>+</w:t>
      </w:r>
      <w:r>
        <w:rPr>
          <w:spacing w:val="-6"/>
        </w:rPr>
        <w:t>大数据、机器人的 </w:t>
      </w:r>
      <w:r>
        <w:rPr>
          <w:rFonts w:ascii="Times New Roman" w:eastAsia="Times New Roman"/>
        </w:rPr>
        <w:t>2+2</w:t>
      </w:r>
      <w:r>
        <w:rPr>
          <w:rFonts w:ascii="Times New Roman" w:eastAsia="Times New Roman"/>
          <w:spacing w:val="-12"/>
        </w:rPr>
        <w:t> </w:t>
      </w:r>
      <w:r>
        <w:rPr/>
        <w:t>发展策略重要构成。</w:t>
      </w:r>
    </w:p>
    <w:p>
      <w:pPr>
        <w:pStyle w:val="BodyText"/>
        <w:spacing w:line="267" w:lineRule="exact"/>
        <w:ind w:left="1060"/>
      </w:pPr>
      <w:r>
        <w:rPr>
          <w:rFonts w:ascii="Times New Roman" w:eastAsia="Times New Roman"/>
          <w:b/>
        </w:rPr>
        <w:t>5</w:t>
      </w:r>
      <w:r>
        <w:rPr/>
        <w:t>、优质的客户资源及生态关系</w:t>
      </w:r>
    </w:p>
    <w:p>
      <w:pPr>
        <w:pStyle w:val="BodyText"/>
        <w:spacing w:line="364" w:lineRule="auto" w:before="139"/>
        <w:ind w:left="638" w:right="234" w:firstLine="419"/>
        <w:jc w:val="both"/>
      </w:pPr>
      <w:r>
        <w:rPr/>
        <w:t>公司长期耕耘电子设计开发及制造领域，核心客户均为全球领先品牌，具备强大客户资源优势。公司的全球布局和供应链整合能力，可为客户提供高水平个性化服务；公司在技术革新方面不断探索，在新品研发方面与客户紧密配合，和客户不断深化合作关系。此外，优质且多样的客户基础与不断优化的产品结构，也使公司具备海量工业应用场景和工业大数据处理能力，进一步夯实高效、卓越的智能制造实力。公司多年来与客户共同成长，追求与实现更高的客户认可度。 </w:t>
      </w:r>
    </w:p>
    <w:p>
      <w:pPr>
        <w:pStyle w:val="BodyText"/>
        <w:spacing w:line="267" w:lineRule="exact"/>
        <w:ind w:left="638"/>
      </w:pPr>
      <w:r>
        <w:rPr>
          <w:w w:val="100"/>
        </w:rPr>
        <w:t> </w:t>
      </w:r>
    </w:p>
    <w:p>
      <w:pPr>
        <w:pStyle w:val="BodyText"/>
        <w:spacing w:before="65"/>
        <w:ind w:left="638"/>
      </w:pPr>
      <w:r>
        <w:rPr/>
        <w:t>五、报告期内主要经营情况</w:t>
      </w:r>
    </w:p>
    <w:p>
      <w:pPr>
        <w:pStyle w:val="BodyText"/>
        <w:spacing w:line="367" w:lineRule="auto" w:before="62"/>
        <w:ind w:left="638" w:right="426" w:firstLine="419"/>
      </w:pPr>
      <w:r>
        <w:rPr>
          <w:spacing w:val="-5"/>
        </w:rPr>
        <w:t>报告期内，公司实现营业收入 </w:t>
      </w:r>
      <w:r>
        <w:rPr>
          <w:rFonts w:ascii="Times New Roman" w:eastAsia="Times New Roman"/>
        </w:rPr>
        <w:t>5118.50 </w:t>
      </w:r>
      <w:r>
        <w:rPr>
          <w:spacing w:val="-7"/>
        </w:rPr>
        <w:t>亿元，同比上升 </w:t>
      </w:r>
      <w:r>
        <w:rPr>
          <w:rFonts w:ascii="Times New Roman" w:eastAsia="Times New Roman"/>
        </w:rPr>
        <w:t>16.4%</w:t>
      </w:r>
      <w:r>
        <w:rPr/>
        <w:t>；归属于上市公司股东的净利</w:t>
      </w:r>
      <w:r>
        <w:rPr>
          <w:spacing w:val="-27"/>
        </w:rPr>
        <w:t>润 </w:t>
      </w:r>
      <w:r>
        <w:rPr>
          <w:rFonts w:ascii="Times New Roman" w:eastAsia="Times New Roman"/>
          <w:spacing w:val="-1"/>
        </w:rPr>
        <w:t>200.73</w:t>
      </w:r>
      <w:r>
        <w:rPr>
          <w:rFonts w:ascii="Times New Roman" w:eastAsia="Times New Roman"/>
          <w:spacing w:val="-12"/>
        </w:rPr>
        <w:t> </w:t>
      </w:r>
      <w:r>
        <w:rPr>
          <w:spacing w:val="-7"/>
        </w:rPr>
        <w:t>亿元，同比上升 </w:t>
      </w:r>
      <w:r>
        <w:rPr>
          <w:rFonts w:ascii="Times New Roman" w:eastAsia="Times New Roman"/>
        </w:rPr>
        <w:t>0.3%</w:t>
      </w:r>
      <w:r>
        <w:rPr>
          <w:spacing w:val="-7"/>
        </w:rPr>
        <w:t>。扣非后净利润 </w:t>
      </w:r>
      <w:r>
        <w:rPr>
          <w:rFonts w:ascii="Times New Roman" w:eastAsia="Times New Roman"/>
        </w:rPr>
        <w:t>184.10</w:t>
      </w:r>
      <w:r>
        <w:rPr>
          <w:rFonts w:ascii="Times New Roman" w:eastAsia="Times New Roman"/>
          <w:spacing w:val="-9"/>
        </w:rPr>
        <w:t> </w:t>
      </w:r>
      <w:r>
        <w:rPr/>
        <w:t>亿元，与去年基本持平。 </w:t>
      </w:r>
    </w:p>
    <w:p>
      <w:pPr>
        <w:spacing w:after="0" w:line="367" w:lineRule="auto"/>
        <w:sectPr>
          <w:pgSz w:w="11910" w:h="16840"/>
          <w:pgMar w:header="880" w:footer="1195" w:top="1120" w:bottom="1380" w:left="1160" w:right="940"/>
        </w:sectPr>
      </w:pPr>
    </w:p>
    <w:p>
      <w:pPr>
        <w:pStyle w:val="BodyText"/>
        <w:spacing w:before="10"/>
        <w:ind w:left="0"/>
        <w:rPr>
          <w:sz w:val="25"/>
        </w:rPr>
      </w:pPr>
    </w:p>
    <w:p>
      <w:pPr>
        <w:pStyle w:val="BodyText"/>
        <w:spacing w:before="71"/>
        <w:ind w:left="638"/>
      </w:pPr>
      <w:r>
        <w:rPr>
          <w:spacing w:val="-7"/>
        </w:rPr>
        <w:t>(一) 主营业务分析</w:t>
      </w:r>
    </w:p>
    <w:p>
      <w:pPr>
        <w:pStyle w:val="ListParagraph"/>
        <w:numPr>
          <w:ilvl w:val="0"/>
          <w:numId w:val="3"/>
        </w:numPr>
        <w:tabs>
          <w:tab w:pos="1058" w:val="left" w:leader="none"/>
        </w:tabs>
        <w:spacing w:line="240" w:lineRule="auto" w:before="65" w:after="0"/>
        <w:ind w:left="1058" w:right="0" w:hanging="420"/>
        <w:jc w:val="left"/>
        <w:rPr>
          <w:sz w:val="21"/>
        </w:rPr>
      </w:pPr>
      <w:r>
        <w:rPr>
          <w:sz w:val="21"/>
        </w:rPr>
        <w:t>利润表及现金流量表相关科目变动分析表 </w:t>
      </w:r>
    </w:p>
    <w:p>
      <w:pPr>
        <w:pStyle w:val="BodyText"/>
        <w:spacing w:before="62" w:after="4"/>
        <w:ind w:left="6948"/>
      </w:pPr>
      <w:r>
        <w:rPr>
          <w:spacing w:val="7"/>
        </w:rPr>
        <w:t>单位：千元 币种：人民币</w:t>
      </w:r>
      <w:r>
        <w:rPr/>
        <w:t> </w:t>
      </w: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8"/>
        <w:gridCol w:w="2074"/>
        <w:gridCol w:w="1935"/>
        <w:gridCol w:w="1798"/>
      </w:tblGrid>
      <w:tr>
        <w:trPr>
          <w:trHeight w:val="270" w:hRule="atLeast"/>
        </w:trPr>
        <w:tc>
          <w:tcPr>
            <w:tcW w:w="3008" w:type="dxa"/>
          </w:tcPr>
          <w:p>
            <w:pPr>
              <w:pStyle w:val="TableParagraph"/>
              <w:spacing w:line="250" w:lineRule="exact" w:before="1"/>
              <w:ind w:left="107"/>
              <w:rPr>
                <w:sz w:val="21"/>
              </w:rPr>
            </w:pPr>
            <w:r>
              <w:rPr>
                <w:sz w:val="21"/>
              </w:rPr>
              <w:t>科目 </w:t>
            </w:r>
          </w:p>
        </w:tc>
        <w:tc>
          <w:tcPr>
            <w:tcW w:w="2074" w:type="dxa"/>
          </w:tcPr>
          <w:p>
            <w:pPr>
              <w:pStyle w:val="TableParagraph"/>
              <w:spacing w:line="250" w:lineRule="exact" w:before="1"/>
              <w:ind w:left="719"/>
              <w:rPr>
                <w:sz w:val="21"/>
              </w:rPr>
            </w:pPr>
            <w:r>
              <w:rPr>
                <w:sz w:val="21"/>
              </w:rPr>
              <w:t>本期数 </w:t>
            </w:r>
          </w:p>
        </w:tc>
        <w:tc>
          <w:tcPr>
            <w:tcW w:w="1935" w:type="dxa"/>
            <w:tcBorders>
              <w:right w:val="single" w:sz="6" w:space="0" w:color="000000"/>
            </w:tcBorders>
          </w:tcPr>
          <w:p>
            <w:pPr>
              <w:pStyle w:val="TableParagraph"/>
              <w:spacing w:line="250" w:lineRule="exact" w:before="1"/>
              <w:ind w:left="441"/>
              <w:rPr>
                <w:sz w:val="21"/>
              </w:rPr>
            </w:pPr>
            <w:r>
              <w:rPr>
                <w:sz w:val="21"/>
              </w:rPr>
              <w:t>上年同期数 </w:t>
            </w:r>
          </w:p>
        </w:tc>
        <w:tc>
          <w:tcPr>
            <w:tcW w:w="1798" w:type="dxa"/>
            <w:tcBorders>
              <w:left w:val="single" w:sz="6" w:space="0" w:color="000000"/>
            </w:tcBorders>
          </w:tcPr>
          <w:p>
            <w:pPr>
              <w:pStyle w:val="TableParagraph"/>
              <w:spacing w:line="250" w:lineRule="exact" w:before="1"/>
              <w:ind w:right="101"/>
              <w:jc w:val="right"/>
              <w:rPr>
                <w:sz w:val="21"/>
              </w:rPr>
            </w:pPr>
            <w:r>
              <w:rPr>
                <w:spacing w:val="-1"/>
                <w:sz w:val="21"/>
              </w:rPr>
              <w:t>变动比例</w:t>
            </w:r>
            <w:r>
              <w:rPr>
                <w:sz w:val="21"/>
              </w:rPr>
              <w:t>（%） </w:t>
            </w:r>
          </w:p>
        </w:tc>
      </w:tr>
      <w:tr>
        <w:trPr>
          <w:trHeight w:val="273" w:hRule="atLeast"/>
        </w:trPr>
        <w:tc>
          <w:tcPr>
            <w:tcW w:w="3008" w:type="dxa"/>
          </w:tcPr>
          <w:p>
            <w:pPr>
              <w:pStyle w:val="TableParagraph"/>
              <w:spacing w:line="250" w:lineRule="exact" w:before="3"/>
              <w:ind w:left="107"/>
              <w:rPr>
                <w:sz w:val="21"/>
              </w:rPr>
            </w:pPr>
            <w:r>
              <w:rPr>
                <w:spacing w:val="-1"/>
                <w:sz w:val="21"/>
              </w:rPr>
              <w:t>营业收入</w:t>
            </w:r>
            <w:r>
              <w:rPr>
                <w:sz w:val="21"/>
              </w:rPr>
              <w:t> </w:t>
            </w:r>
          </w:p>
        </w:tc>
        <w:tc>
          <w:tcPr>
            <w:tcW w:w="2074" w:type="dxa"/>
          </w:tcPr>
          <w:p>
            <w:pPr>
              <w:pStyle w:val="TableParagraph"/>
              <w:spacing w:before="10"/>
              <w:ind w:right="94"/>
              <w:jc w:val="right"/>
              <w:rPr>
                <w:rFonts w:ascii="Times New Roman"/>
                <w:sz w:val="21"/>
              </w:rPr>
            </w:pPr>
            <w:r>
              <w:rPr>
                <w:rFonts w:ascii="Times New Roman"/>
                <w:sz w:val="21"/>
              </w:rPr>
              <w:t>511,849,579</w:t>
            </w:r>
          </w:p>
        </w:tc>
        <w:tc>
          <w:tcPr>
            <w:tcW w:w="1935" w:type="dxa"/>
            <w:tcBorders>
              <w:right w:val="single" w:sz="6" w:space="0" w:color="000000"/>
            </w:tcBorders>
          </w:tcPr>
          <w:p>
            <w:pPr>
              <w:pStyle w:val="TableParagraph"/>
              <w:spacing w:before="10"/>
              <w:ind w:right="92"/>
              <w:jc w:val="right"/>
              <w:rPr>
                <w:rFonts w:ascii="Times New Roman"/>
                <w:sz w:val="21"/>
              </w:rPr>
            </w:pPr>
            <w:r>
              <w:rPr>
                <w:rFonts w:ascii="Times New Roman"/>
                <w:sz w:val="21"/>
              </w:rPr>
              <w:t>439,557,195</w:t>
            </w:r>
          </w:p>
        </w:tc>
        <w:tc>
          <w:tcPr>
            <w:tcW w:w="1798" w:type="dxa"/>
            <w:tcBorders>
              <w:left w:val="single" w:sz="6" w:space="0" w:color="000000"/>
            </w:tcBorders>
          </w:tcPr>
          <w:p>
            <w:pPr>
              <w:pStyle w:val="TableParagraph"/>
              <w:spacing w:before="10"/>
              <w:ind w:right="96"/>
              <w:jc w:val="right"/>
              <w:rPr>
                <w:rFonts w:ascii="Times New Roman"/>
                <w:sz w:val="21"/>
              </w:rPr>
            </w:pPr>
            <w:r>
              <w:rPr>
                <w:rFonts w:ascii="Times New Roman"/>
                <w:sz w:val="21"/>
              </w:rPr>
              <w:t>16.4%</w:t>
            </w:r>
          </w:p>
        </w:tc>
      </w:tr>
      <w:tr>
        <w:trPr>
          <w:trHeight w:val="273" w:hRule="atLeast"/>
        </w:trPr>
        <w:tc>
          <w:tcPr>
            <w:tcW w:w="3008" w:type="dxa"/>
          </w:tcPr>
          <w:p>
            <w:pPr>
              <w:pStyle w:val="TableParagraph"/>
              <w:spacing w:line="252" w:lineRule="exact" w:before="1"/>
              <w:ind w:left="107"/>
              <w:rPr>
                <w:sz w:val="21"/>
              </w:rPr>
            </w:pPr>
            <w:r>
              <w:rPr>
                <w:spacing w:val="-1"/>
                <w:sz w:val="21"/>
              </w:rPr>
              <w:t>营业成本</w:t>
            </w:r>
            <w:r>
              <w:rPr>
                <w:sz w:val="21"/>
              </w:rPr>
              <w:t> </w:t>
            </w:r>
          </w:p>
        </w:tc>
        <w:tc>
          <w:tcPr>
            <w:tcW w:w="2074" w:type="dxa"/>
          </w:tcPr>
          <w:p>
            <w:pPr>
              <w:pStyle w:val="TableParagraph"/>
              <w:spacing w:before="10"/>
              <w:ind w:right="94"/>
              <w:jc w:val="right"/>
              <w:rPr>
                <w:rFonts w:ascii="Times New Roman"/>
                <w:sz w:val="21"/>
              </w:rPr>
            </w:pPr>
            <w:r>
              <w:rPr>
                <w:rFonts w:ascii="Times New Roman"/>
                <w:sz w:val="21"/>
              </w:rPr>
              <w:t>474,677,783</w:t>
            </w:r>
          </w:p>
        </w:tc>
        <w:tc>
          <w:tcPr>
            <w:tcW w:w="1935" w:type="dxa"/>
            <w:tcBorders>
              <w:right w:val="single" w:sz="6" w:space="0" w:color="000000"/>
            </w:tcBorders>
          </w:tcPr>
          <w:p>
            <w:pPr>
              <w:pStyle w:val="TableParagraph"/>
              <w:spacing w:before="10"/>
              <w:ind w:right="92"/>
              <w:jc w:val="right"/>
              <w:rPr>
                <w:rFonts w:ascii="Times New Roman"/>
                <w:sz w:val="21"/>
              </w:rPr>
            </w:pPr>
            <w:r>
              <w:rPr>
                <w:rFonts w:ascii="Times New Roman"/>
                <w:sz w:val="21"/>
              </w:rPr>
              <w:t>403,041,967</w:t>
            </w:r>
          </w:p>
        </w:tc>
        <w:tc>
          <w:tcPr>
            <w:tcW w:w="1798" w:type="dxa"/>
            <w:tcBorders>
              <w:left w:val="single" w:sz="6" w:space="0" w:color="000000"/>
            </w:tcBorders>
          </w:tcPr>
          <w:p>
            <w:pPr>
              <w:pStyle w:val="TableParagraph"/>
              <w:spacing w:before="10"/>
              <w:ind w:right="96"/>
              <w:jc w:val="right"/>
              <w:rPr>
                <w:rFonts w:ascii="Times New Roman"/>
                <w:sz w:val="21"/>
              </w:rPr>
            </w:pPr>
            <w:r>
              <w:rPr>
                <w:rFonts w:ascii="Times New Roman"/>
                <w:sz w:val="21"/>
              </w:rPr>
              <w:t>17.8%</w:t>
            </w:r>
          </w:p>
        </w:tc>
      </w:tr>
      <w:tr>
        <w:trPr>
          <w:trHeight w:val="270" w:hRule="atLeast"/>
        </w:trPr>
        <w:tc>
          <w:tcPr>
            <w:tcW w:w="3008" w:type="dxa"/>
          </w:tcPr>
          <w:p>
            <w:pPr>
              <w:pStyle w:val="TableParagraph"/>
              <w:spacing w:line="250" w:lineRule="exact" w:before="1"/>
              <w:ind w:left="107"/>
              <w:rPr>
                <w:sz w:val="21"/>
              </w:rPr>
            </w:pPr>
            <w:r>
              <w:rPr>
                <w:spacing w:val="-1"/>
                <w:sz w:val="21"/>
              </w:rPr>
              <w:t>销售费用</w:t>
            </w:r>
            <w:r>
              <w:rPr>
                <w:sz w:val="21"/>
              </w:rPr>
              <w:t> </w:t>
            </w:r>
          </w:p>
        </w:tc>
        <w:tc>
          <w:tcPr>
            <w:tcW w:w="2074" w:type="dxa"/>
          </w:tcPr>
          <w:p>
            <w:pPr>
              <w:pStyle w:val="TableParagraph"/>
              <w:spacing w:before="7"/>
              <w:ind w:right="94"/>
              <w:jc w:val="right"/>
              <w:rPr>
                <w:rFonts w:ascii="Times New Roman"/>
                <w:sz w:val="21"/>
              </w:rPr>
            </w:pPr>
            <w:r>
              <w:rPr>
                <w:rFonts w:ascii="Times New Roman"/>
                <w:sz w:val="21"/>
              </w:rPr>
              <w:t>1,057,828</w:t>
            </w:r>
          </w:p>
        </w:tc>
        <w:tc>
          <w:tcPr>
            <w:tcW w:w="1935" w:type="dxa"/>
            <w:tcBorders>
              <w:right w:val="single" w:sz="6" w:space="0" w:color="000000"/>
            </w:tcBorders>
          </w:tcPr>
          <w:p>
            <w:pPr>
              <w:pStyle w:val="TableParagraph"/>
              <w:spacing w:before="7"/>
              <w:ind w:right="92"/>
              <w:jc w:val="right"/>
              <w:rPr>
                <w:rFonts w:ascii="Times New Roman"/>
                <w:sz w:val="21"/>
              </w:rPr>
            </w:pPr>
            <w:r>
              <w:rPr>
                <w:rFonts w:ascii="Times New Roman"/>
                <w:sz w:val="21"/>
              </w:rPr>
              <w:t>896,045</w:t>
            </w:r>
          </w:p>
        </w:tc>
        <w:tc>
          <w:tcPr>
            <w:tcW w:w="1798" w:type="dxa"/>
            <w:tcBorders>
              <w:left w:val="single" w:sz="6" w:space="0" w:color="000000"/>
            </w:tcBorders>
          </w:tcPr>
          <w:p>
            <w:pPr>
              <w:pStyle w:val="TableParagraph"/>
              <w:spacing w:before="7"/>
              <w:ind w:right="96"/>
              <w:jc w:val="right"/>
              <w:rPr>
                <w:rFonts w:ascii="Times New Roman"/>
                <w:sz w:val="21"/>
              </w:rPr>
            </w:pPr>
            <w:r>
              <w:rPr>
                <w:rFonts w:ascii="Times New Roman"/>
                <w:sz w:val="21"/>
              </w:rPr>
              <w:t>18.1%</w:t>
            </w:r>
          </w:p>
        </w:tc>
      </w:tr>
      <w:tr>
        <w:trPr>
          <w:trHeight w:val="273" w:hRule="atLeast"/>
        </w:trPr>
        <w:tc>
          <w:tcPr>
            <w:tcW w:w="3008" w:type="dxa"/>
          </w:tcPr>
          <w:p>
            <w:pPr>
              <w:pStyle w:val="TableParagraph"/>
              <w:spacing w:line="250" w:lineRule="exact" w:before="3"/>
              <w:ind w:left="107"/>
              <w:rPr>
                <w:sz w:val="21"/>
              </w:rPr>
            </w:pPr>
            <w:r>
              <w:rPr>
                <w:spacing w:val="-1"/>
                <w:sz w:val="21"/>
              </w:rPr>
              <w:t>管理费用</w:t>
            </w:r>
            <w:r>
              <w:rPr>
                <w:sz w:val="21"/>
              </w:rPr>
              <w:t> </w:t>
            </w:r>
          </w:p>
        </w:tc>
        <w:tc>
          <w:tcPr>
            <w:tcW w:w="2074" w:type="dxa"/>
          </w:tcPr>
          <w:p>
            <w:pPr>
              <w:pStyle w:val="TableParagraph"/>
              <w:spacing w:before="10"/>
              <w:ind w:right="94"/>
              <w:jc w:val="right"/>
              <w:rPr>
                <w:rFonts w:ascii="Times New Roman"/>
                <w:sz w:val="21"/>
              </w:rPr>
            </w:pPr>
            <w:r>
              <w:rPr>
                <w:rFonts w:ascii="Times New Roman"/>
                <w:sz w:val="21"/>
              </w:rPr>
              <w:t>3,828,399</w:t>
            </w:r>
          </w:p>
        </w:tc>
        <w:tc>
          <w:tcPr>
            <w:tcW w:w="1935" w:type="dxa"/>
            <w:tcBorders>
              <w:right w:val="single" w:sz="6" w:space="0" w:color="000000"/>
            </w:tcBorders>
          </w:tcPr>
          <w:p>
            <w:pPr>
              <w:pStyle w:val="TableParagraph"/>
              <w:spacing w:before="10"/>
              <w:ind w:right="92"/>
              <w:jc w:val="right"/>
              <w:rPr>
                <w:rFonts w:ascii="Times New Roman"/>
                <w:sz w:val="21"/>
              </w:rPr>
            </w:pPr>
            <w:r>
              <w:rPr>
                <w:rFonts w:ascii="Times New Roman"/>
                <w:sz w:val="21"/>
              </w:rPr>
              <w:t>4,157,148</w:t>
            </w:r>
          </w:p>
        </w:tc>
        <w:tc>
          <w:tcPr>
            <w:tcW w:w="1798" w:type="dxa"/>
            <w:tcBorders>
              <w:left w:val="single" w:sz="6" w:space="0" w:color="000000"/>
            </w:tcBorders>
          </w:tcPr>
          <w:p>
            <w:pPr>
              <w:pStyle w:val="TableParagraph"/>
              <w:spacing w:before="10"/>
              <w:ind w:right="98"/>
              <w:jc w:val="right"/>
              <w:rPr>
                <w:rFonts w:ascii="Times New Roman"/>
                <w:sz w:val="21"/>
              </w:rPr>
            </w:pPr>
            <w:r>
              <w:rPr>
                <w:rFonts w:ascii="Times New Roman"/>
                <w:sz w:val="21"/>
              </w:rPr>
              <w:t>-7.9%</w:t>
            </w:r>
          </w:p>
        </w:tc>
      </w:tr>
      <w:tr>
        <w:trPr>
          <w:trHeight w:val="273" w:hRule="atLeast"/>
        </w:trPr>
        <w:tc>
          <w:tcPr>
            <w:tcW w:w="3008" w:type="dxa"/>
          </w:tcPr>
          <w:p>
            <w:pPr>
              <w:pStyle w:val="TableParagraph"/>
              <w:spacing w:line="252" w:lineRule="exact" w:before="1"/>
              <w:ind w:left="107"/>
              <w:rPr>
                <w:sz w:val="21"/>
              </w:rPr>
            </w:pPr>
            <w:r>
              <w:rPr>
                <w:spacing w:val="-1"/>
                <w:sz w:val="21"/>
              </w:rPr>
              <w:t>财务费用</w:t>
            </w:r>
            <w:r>
              <w:rPr>
                <w:sz w:val="21"/>
              </w:rPr>
              <w:t> </w:t>
            </w:r>
          </w:p>
        </w:tc>
        <w:tc>
          <w:tcPr>
            <w:tcW w:w="2074" w:type="dxa"/>
          </w:tcPr>
          <w:p>
            <w:pPr>
              <w:pStyle w:val="TableParagraph"/>
              <w:spacing w:before="10"/>
              <w:ind w:right="96"/>
              <w:jc w:val="right"/>
              <w:rPr>
                <w:rFonts w:ascii="Times New Roman"/>
                <w:sz w:val="21"/>
              </w:rPr>
            </w:pPr>
            <w:r>
              <w:rPr>
                <w:rFonts w:ascii="Times New Roman"/>
                <w:sz w:val="21"/>
              </w:rPr>
              <w:t>-703,542</w:t>
            </w:r>
          </w:p>
        </w:tc>
        <w:tc>
          <w:tcPr>
            <w:tcW w:w="1935" w:type="dxa"/>
            <w:tcBorders>
              <w:right w:val="single" w:sz="6" w:space="0" w:color="000000"/>
            </w:tcBorders>
          </w:tcPr>
          <w:p>
            <w:pPr>
              <w:pStyle w:val="TableParagraph"/>
              <w:spacing w:before="10"/>
              <w:ind w:right="94"/>
              <w:jc w:val="right"/>
              <w:rPr>
                <w:rFonts w:ascii="Times New Roman"/>
                <w:sz w:val="21"/>
              </w:rPr>
            </w:pPr>
            <w:r>
              <w:rPr>
                <w:rFonts w:ascii="Times New Roman"/>
                <w:sz w:val="21"/>
              </w:rPr>
              <w:t>-826,389</w:t>
            </w:r>
          </w:p>
        </w:tc>
        <w:tc>
          <w:tcPr>
            <w:tcW w:w="1798" w:type="dxa"/>
            <w:tcBorders>
              <w:left w:val="single" w:sz="6" w:space="0" w:color="000000"/>
            </w:tcBorders>
          </w:tcPr>
          <w:p>
            <w:pPr>
              <w:pStyle w:val="TableParagraph"/>
              <w:spacing w:before="10"/>
              <w:ind w:right="98"/>
              <w:jc w:val="right"/>
              <w:rPr>
                <w:rFonts w:ascii="Times New Roman"/>
                <w:sz w:val="21"/>
              </w:rPr>
            </w:pPr>
            <w:r>
              <w:rPr>
                <w:rFonts w:ascii="Times New Roman"/>
                <w:sz w:val="21"/>
              </w:rPr>
              <w:t>-14.9%</w:t>
            </w:r>
          </w:p>
        </w:tc>
      </w:tr>
      <w:tr>
        <w:trPr>
          <w:trHeight w:val="270" w:hRule="atLeast"/>
        </w:trPr>
        <w:tc>
          <w:tcPr>
            <w:tcW w:w="3008" w:type="dxa"/>
          </w:tcPr>
          <w:p>
            <w:pPr>
              <w:pStyle w:val="TableParagraph"/>
              <w:spacing w:line="250" w:lineRule="exact" w:before="1"/>
              <w:ind w:left="107"/>
              <w:rPr>
                <w:sz w:val="21"/>
              </w:rPr>
            </w:pPr>
            <w:r>
              <w:rPr>
                <w:spacing w:val="-1"/>
                <w:sz w:val="21"/>
              </w:rPr>
              <w:t>研发费用</w:t>
            </w:r>
            <w:r>
              <w:rPr>
                <w:sz w:val="21"/>
              </w:rPr>
              <w:t> </w:t>
            </w:r>
          </w:p>
        </w:tc>
        <w:tc>
          <w:tcPr>
            <w:tcW w:w="2074" w:type="dxa"/>
          </w:tcPr>
          <w:p>
            <w:pPr>
              <w:pStyle w:val="TableParagraph"/>
              <w:spacing w:before="7"/>
              <w:ind w:right="94"/>
              <w:jc w:val="right"/>
              <w:rPr>
                <w:rFonts w:ascii="Times New Roman"/>
                <w:sz w:val="21"/>
              </w:rPr>
            </w:pPr>
            <w:r>
              <w:rPr>
                <w:rFonts w:ascii="Times New Roman"/>
                <w:sz w:val="21"/>
              </w:rPr>
              <w:t>11,588,014</w:t>
            </w:r>
          </w:p>
        </w:tc>
        <w:tc>
          <w:tcPr>
            <w:tcW w:w="1935" w:type="dxa"/>
            <w:tcBorders>
              <w:right w:val="single" w:sz="6" w:space="0" w:color="000000"/>
            </w:tcBorders>
          </w:tcPr>
          <w:p>
            <w:pPr>
              <w:pStyle w:val="TableParagraph"/>
              <w:spacing w:before="7"/>
              <w:ind w:right="92"/>
              <w:jc w:val="right"/>
              <w:rPr>
                <w:rFonts w:ascii="Times New Roman"/>
                <w:sz w:val="21"/>
              </w:rPr>
            </w:pPr>
            <w:r>
              <w:rPr>
                <w:rFonts w:ascii="Times New Roman"/>
                <w:sz w:val="21"/>
              </w:rPr>
              <w:t>10,835,032</w:t>
            </w:r>
          </w:p>
        </w:tc>
        <w:tc>
          <w:tcPr>
            <w:tcW w:w="1798" w:type="dxa"/>
            <w:tcBorders>
              <w:left w:val="single" w:sz="6" w:space="0" w:color="000000"/>
            </w:tcBorders>
          </w:tcPr>
          <w:p>
            <w:pPr>
              <w:pStyle w:val="TableParagraph"/>
              <w:spacing w:before="7"/>
              <w:ind w:right="96"/>
              <w:jc w:val="right"/>
              <w:rPr>
                <w:rFonts w:ascii="Times New Roman"/>
                <w:sz w:val="21"/>
              </w:rPr>
            </w:pPr>
            <w:r>
              <w:rPr>
                <w:rFonts w:ascii="Times New Roman"/>
                <w:sz w:val="21"/>
              </w:rPr>
              <w:t>7.0%</w:t>
            </w:r>
          </w:p>
        </w:tc>
      </w:tr>
      <w:tr>
        <w:trPr>
          <w:trHeight w:val="273" w:hRule="atLeast"/>
        </w:trPr>
        <w:tc>
          <w:tcPr>
            <w:tcW w:w="3008" w:type="dxa"/>
          </w:tcPr>
          <w:p>
            <w:pPr>
              <w:pStyle w:val="TableParagraph"/>
              <w:spacing w:line="250" w:lineRule="exact" w:before="3"/>
              <w:ind w:left="107"/>
              <w:rPr>
                <w:sz w:val="21"/>
              </w:rPr>
            </w:pPr>
            <w:r>
              <w:rPr>
                <w:spacing w:val="-1"/>
                <w:sz w:val="21"/>
              </w:rPr>
              <w:t>经营活动产生的现金流量净额</w:t>
            </w:r>
            <w:r>
              <w:rPr>
                <w:sz w:val="21"/>
              </w:rPr>
              <w:t> </w:t>
            </w:r>
          </w:p>
        </w:tc>
        <w:tc>
          <w:tcPr>
            <w:tcW w:w="2074" w:type="dxa"/>
          </w:tcPr>
          <w:p>
            <w:pPr>
              <w:pStyle w:val="TableParagraph"/>
              <w:spacing w:before="10"/>
              <w:ind w:right="94"/>
              <w:jc w:val="right"/>
              <w:rPr>
                <w:rFonts w:ascii="Times New Roman"/>
                <w:sz w:val="21"/>
              </w:rPr>
            </w:pPr>
            <w:r>
              <w:rPr>
                <w:rFonts w:ascii="Times New Roman"/>
                <w:sz w:val="21"/>
              </w:rPr>
              <w:t>15,365,627</w:t>
            </w:r>
          </w:p>
        </w:tc>
        <w:tc>
          <w:tcPr>
            <w:tcW w:w="1935" w:type="dxa"/>
            <w:tcBorders>
              <w:right w:val="single" w:sz="6" w:space="0" w:color="000000"/>
            </w:tcBorders>
          </w:tcPr>
          <w:p>
            <w:pPr>
              <w:pStyle w:val="TableParagraph"/>
              <w:spacing w:before="10"/>
              <w:ind w:right="92"/>
              <w:jc w:val="right"/>
              <w:rPr>
                <w:rFonts w:ascii="Times New Roman"/>
                <w:sz w:val="21"/>
              </w:rPr>
            </w:pPr>
            <w:r>
              <w:rPr>
                <w:rFonts w:ascii="Times New Roman"/>
                <w:sz w:val="21"/>
              </w:rPr>
              <w:t>8,724,585</w:t>
            </w:r>
          </w:p>
        </w:tc>
        <w:tc>
          <w:tcPr>
            <w:tcW w:w="1798" w:type="dxa"/>
            <w:tcBorders>
              <w:left w:val="single" w:sz="6" w:space="0" w:color="000000"/>
            </w:tcBorders>
          </w:tcPr>
          <w:p>
            <w:pPr>
              <w:pStyle w:val="TableParagraph"/>
              <w:spacing w:before="10"/>
              <w:ind w:right="96"/>
              <w:jc w:val="right"/>
              <w:rPr>
                <w:rFonts w:ascii="Times New Roman"/>
                <w:sz w:val="21"/>
              </w:rPr>
            </w:pPr>
            <w:r>
              <w:rPr>
                <w:rFonts w:ascii="Times New Roman"/>
                <w:sz w:val="21"/>
              </w:rPr>
              <w:t>76.1%</w:t>
            </w:r>
          </w:p>
        </w:tc>
      </w:tr>
      <w:tr>
        <w:trPr>
          <w:trHeight w:val="273" w:hRule="atLeast"/>
        </w:trPr>
        <w:tc>
          <w:tcPr>
            <w:tcW w:w="3008" w:type="dxa"/>
          </w:tcPr>
          <w:p>
            <w:pPr>
              <w:pStyle w:val="TableParagraph"/>
              <w:spacing w:line="252" w:lineRule="exact" w:before="1"/>
              <w:ind w:left="107"/>
              <w:rPr>
                <w:sz w:val="21"/>
              </w:rPr>
            </w:pPr>
            <w:r>
              <w:rPr>
                <w:spacing w:val="-1"/>
                <w:sz w:val="21"/>
              </w:rPr>
              <w:t>投资活动产生的现金流量净额</w:t>
            </w:r>
            <w:r>
              <w:rPr>
                <w:sz w:val="21"/>
              </w:rPr>
              <w:t> </w:t>
            </w:r>
          </w:p>
        </w:tc>
        <w:tc>
          <w:tcPr>
            <w:tcW w:w="2074" w:type="dxa"/>
          </w:tcPr>
          <w:p>
            <w:pPr>
              <w:pStyle w:val="TableParagraph"/>
              <w:spacing w:before="10"/>
              <w:ind w:right="94"/>
              <w:jc w:val="right"/>
              <w:rPr>
                <w:rFonts w:ascii="Times New Roman"/>
                <w:sz w:val="21"/>
              </w:rPr>
            </w:pPr>
            <w:r>
              <w:rPr>
                <w:rFonts w:ascii="Times New Roman"/>
                <w:sz w:val="21"/>
              </w:rPr>
              <w:t>-15,307,502</w:t>
            </w:r>
          </w:p>
        </w:tc>
        <w:tc>
          <w:tcPr>
            <w:tcW w:w="1935" w:type="dxa"/>
            <w:tcBorders>
              <w:right w:val="single" w:sz="6" w:space="0" w:color="000000"/>
            </w:tcBorders>
          </w:tcPr>
          <w:p>
            <w:pPr>
              <w:pStyle w:val="TableParagraph"/>
              <w:spacing w:before="10"/>
              <w:ind w:right="92"/>
              <w:jc w:val="right"/>
              <w:rPr>
                <w:rFonts w:ascii="Times New Roman"/>
                <w:sz w:val="21"/>
              </w:rPr>
            </w:pPr>
            <w:r>
              <w:rPr>
                <w:rFonts w:ascii="Times New Roman"/>
                <w:sz w:val="21"/>
              </w:rPr>
              <w:t>-7,099,800</w:t>
            </w:r>
          </w:p>
        </w:tc>
        <w:tc>
          <w:tcPr>
            <w:tcW w:w="1798" w:type="dxa"/>
            <w:tcBorders>
              <w:left w:val="single" w:sz="6" w:space="0" w:color="000000"/>
            </w:tcBorders>
          </w:tcPr>
          <w:p>
            <w:pPr>
              <w:pStyle w:val="TableParagraph"/>
              <w:spacing w:before="10"/>
              <w:ind w:right="96"/>
              <w:jc w:val="right"/>
              <w:rPr>
                <w:rFonts w:ascii="Times New Roman"/>
                <w:sz w:val="21"/>
              </w:rPr>
            </w:pPr>
            <w:r>
              <w:rPr>
                <w:rFonts w:ascii="Times New Roman"/>
                <w:sz w:val="21"/>
              </w:rPr>
              <w:t>115.6%</w:t>
            </w:r>
          </w:p>
        </w:tc>
      </w:tr>
      <w:tr>
        <w:trPr>
          <w:trHeight w:val="270" w:hRule="atLeast"/>
        </w:trPr>
        <w:tc>
          <w:tcPr>
            <w:tcW w:w="3008" w:type="dxa"/>
          </w:tcPr>
          <w:p>
            <w:pPr>
              <w:pStyle w:val="TableParagraph"/>
              <w:spacing w:line="250" w:lineRule="exact" w:before="1"/>
              <w:ind w:left="107"/>
              <w:rPr>
                <w:sz w:val="21"/>
              </w:rPr>
            </w:pPr>
            <w:r>
              <w:rPr>
                <w:spacing w:val="-1"/>
                <w:sz w:val="21"/>
              </w:rPr>
              <w:t>筹资活动产生的现金流量净额</w:t>
            </w:r>
            <w:r>
              <w:rPr>
                <w:sz w:val="21"/>
              </w:rPr>
              <w:t> </w:t>
            </w:r>
          </w:p>
        </w:tc>
        <w:tc>
          <w:tcPr>
            <w:tcW w:w="2074" w:type="dxa"/>
          </w:tcPr>
          <w:p>
            <w:pPr>
              <w:pStyle w:val="TableParagraph"/>
              <w:spacing w:before="7"/>
              <w:ind w:right="94"/>
              <w:jc w:val="right"/>
              <w:rPr>
                <w:rFonts w:ascii="Times New Roman"/>
                <w:sz w:val="21"/>
              </w:rPr>
            </w:pPr>
            <w:r>
              <w:rPr>
                <w:rFonts w:ascii="Times New Roman"/>
                <w:sz w:val="21"/>
              </w:rPr>
              <w:t>-14,068,456</w:t>
            </w:r>
          </w:p>
        </w:tc>
        <w:tc>
          <w:tcPr>
            <w:tcW w:w="1935" w:type="dxa"/>
            <w:tcBorders>
              <w:right w:val="single" w:sz="6" w:space="0" w:color="000000"/>
            </w:tcBorders>
          </w:tcPr>
          <w:p>
            <w:pPr>
              <w:pStyle w:val="TableParagraph"/>
              <w:spacing w:before="7"/>
              <w:ind w:right="92"/>
              <w:jc w:val="right"/>
              <w:rPr>
                <w:rFonts w:ascii="Times New Roman"/>
                <w:sz w:val="21"/>
              </w:rPr>
            </w:pPr>
            <w:r>
              <w:rPr>
                <w:rFonts w:ascii="Times New Roman"/>
                <w:sz w:val="21"/>
              </w:rPr>
              <w:t>4,766,196</w:t>
            </w:r>
          </w:p>
        </w:tc>
        <w:tc>
          <w:tcPr>
            <w:tcW w:w="1798" w:type="dxa"/>
            <w:tcBorders>
              <w:left w:val="single" w:sz="6" w:space="0" w:color="000000"/>
            </w:tcBorders>
          </w:tcPr>
          <w:p>
            <w:pPr>
              <w:pStyle w:val="TableParagraph"/>
              <w:spacing w:line="250" w:lineRule="exact" w:before="1"/>
              <w:ind w:right="96"/>
              <w:jc w:val="right"/>
              <w:rPr>
                <w:sz w:val="21"/>
              </w:rPr>
            </w:pPr>
            <w:r>
              <w:rPr>
                <w:sz w:val="21"/>
              </w:rPr>
              <w:t>不适用</w:t>
            </w:r>
          </w:p>
        </w:tc>
      </w:tr>
    </w:tbl>
    <w:p>
      <w:pPr>
        <w:pStyle w:val="BodyText"/>
        <w:spacing w:line="242" w:lineRule="auto" w:before="1"/>
        <w:ind w:left="638" w:right="234"/>
      </w:pPr>
      <w:r>
        <w:rPr/>
        <w:t>经营活动产生的现金流量净额变动原因说明：主要系公司销售商品，提供劳务收到的现流增加。投资活动产生的现金流量净额变动原因说明：投资活动净流出增加，主要是由于本年对外投资增加。 </w:t>
      </w:r>
    </w:p>
    <w:p>
      <w:pPr>
        <w:pStyle w:val="BodyText"/>
        <w:spacing w:before="4"/>
        <w:ind w:left="638"/>
      </w:pPr>
      <w:r>
        <w:rPr>
          <w:w w:val="100"/>
        </w:rPr>
        <w:t> </w:t>
      </w:r>
    </w:p>
    <w:p>
      <w:pPr>
        <w:pStyle w:val="BodyText"/>
        <w:spacing w:before="2"/>
        <w:ind w:left="638"/>
      </w:pPr>
      <w:r>
        <w:rPr/>
        <w:t>本期公司业务类型、利润构成或利润来源发生重大变动的详细说明 </w:t>
      </w:r>
    </w:p>
    <w:p>
      <w:pPr>
        <w:pStyle w:val="BodyText"/>
        <w:spacing w:before="4"/>
        <w:ind w:left="638"/>
      </w:pPr>
      <w:r>
        <w:rPr>
          <w:spacing w:val="-1"/>
        </w:rPr>
        <w:t>□适用 √不适用</w:t>
      </w:r>
      <w:r>
        <w:rPr>
          <w:spacing w:val="-3"/>
        </w:rPr>
        <w:t> </w:t>
      </w:r>
      <w:r>
        <w:rPr/>
        <w:t> </w:t>
      </w:r>
    </w:p>
    <w:p>
      <w:pPr>
        <w:pStyle w:val="BodyText"/>
        <w:spacing w:before="2"/>
        <w:ind w:left="638"/>
      </w:pPr>
      <w:r>
        <w:rPr>
          <w:w w:val="100"/>
        </w:rPr>
        <w:t> </w:t>
      </w:r>
    </w:p>
    <w:p>
      <w:pPr>
        <w:pStyle w:val="ListParagraph"/>
        <w:numPr>
          <w:ilvl w:val="0"/>
          <w:numId w:val="3"/>
        </w:numPr>
        <w:tabs>
          <w:tab w:pos="1058" w:val="left" w:leader="none"/>
        </w:tabs>
        <w:spacing w:line="240" w:lineRule="auto" w:before="65" w:after="0"/>
        <w:ind w:left="1058" w:right="0" w:hanging="420"/>
        <w:jc w:val="left"/>
        <w:rPr>
          <w:sz w:val="21"/>
        </w:rPr>
      </w:pPr>
      <w:r>
        <w:rPr>
          <w:sz w:val="21"/>
        </w:rPr>
        <w:t>收入和成本分析 </w:t>
      </w:r>
    </w:p>
    <w:p>
      <w:pPr>
        <w:pStyle w:val="BodyText"/>
        <w:spacing w:line="244" w:lineRule="auto" w:before="62"/>
        <w:ind w:left="638" w:right="7380"/>
      </w:pPr>
      <w:r>
        <w:rPr/>
        <w:t>√适用 □不适用详见下表 </w:t>
      </w:r>
    </w:p>
    <w:p>
      <w:pPr>
        <w:pStyle w:val="BodyText"/>
        <w:spacing w:line="265" w:lineRule="exact"/>
        <w:ind w:left="638"/>
      </w:pPr>
      <w:r>
        <w:rPr>
          <w:w w:val="100"/>
        </w:rPr>
        <w:t> </w:t>
      </w:r>
    </w:p>
    <w:p>
      <w:pPr>
        <w:pStyle w:val="ListParagraph"/>
        <w:numPr>
          <w:ilvl w:val="0"/>
          <w:numId w:val="4"/>
        </w:numPr>
        <w:tabs>
          <w:tab w:pos="1205" w:val="left" w:leader="none"/>
        </w:tabs>
        <w:spacing w:line="240" w:lineRule="auto" w:before="65" w:after="0"/>
        <w:ind w:left="1204" w:right="0" w:hanging="567"/>
        <w:jc w:val="left"/>
        <w:rPr>
          <w:sz w:val="21"/>
        </w:rPr>
      </w:pPr>
      <w:r>
        <w:rPr>
          <w:sz w:val="21"/>
        </w:rPr>
        <w:t>主营业务分行业、分产品、分地区、分销售模式情况</w:t>
      </w:r>
    </w:p>
    <w:p>
      <w:pPr>
        <w:pStyle w:val="BodyText"/>
        <w:spacing w:before="62" w:after="4"/>
        <w:ind w:left="0" w:right="227"/>
        <w:jc w:val="right"/>
      </w:pPr>
      <w:r>
        <w:rPr>
          <w:spacing w:val="7"/>
        </w:rPr>
        <w:t>单位:千元 币种:人民币</w:t>
      </w:r>
      <w:r>
        <w:rPr/>
        <w:t> </w:t>
      </w: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1"/>
        <w:gridCol w:w="1277"/>
        <w:gridCol w:w="1276"/>
        <w:gridCol w:w="991"/>
        <w:gridCol w:w="1276"/>
        <w:gridCol w:w="1274"/>
        <w:gridCol w:w="1314"/>
      </w:tblGrid>
      <w:tr>
        <w:trPr>
          <w:trHeight w:val="270" w:hRule="atLeast"/>
        </w:trPr>
        <w:tc>
          <w:tcPr>
            <w:tcW w:w="8819" w:type="dxa"/>
            <w:gridSpan w:val="7"/>
          </w:tcPr>
          <w:p>
            <w:pPr>
              <w:pStyle w:val="TableParagraph"/>
              <w:spacing w:line="250" w:lineRule="exact" w:before="1"/>
              <w:ind w:left="3447" w:right="3431"/>
              <w:jc w:val="center"/>
              <w:rPr>
                <w:sz w:val="21"/>
              </w:rPr>
            </w:pPr>
            <w:r>
              <w:rPr>
                <w:sz w:val="21"/>
              </w:rPr>
              <w:t>主营业务分行业情况</w:t>
            </w:r>
          </w:p>
        </w:tc>
      </w:tr>
      <w:tr>
        <w:trPr>
          <w:trHeight w:val="818" w:hRule="atLeast"/>
        </w:trPr>
        <w:tc>
          <w:tcPr>
            <w:tcW w:w="1411" w:type="dxa"/>
          </w:tcPr>
          <w:p>
            <w:pPr>
              <w:pStyle w:val="TableParagraph"/>
              <w:spacing w:before="5"/>
              <w:rPr>
                <w:sz w:val="21"/>
              </w:rPr>
            </w:pPr>
          </w:p>
          <w:p>
            <w:pPr>
              <w:pStyle w:val="TableParagraph"/>
              <w:ind w:left="68" w:right="59"/>
              <w:jc w:val="center"/>
              <w:rPr>
                <w:sz w:val="21"/>
              </w:rPr>
            </w:pPr>
            <w:r>
              <w:rPr>
                <w:sz w:val="21"/>
              </w:rPr>
              <w:t>分行业</w:t>
            </w:r>
          </w:p>
        </w:tc>
        <w:tc>
          <w:tcPr>
            <w:tcW w:w="1277" w:type="dxa"/>
          </w:tcPr>
          <w:p>
            <w:pPr>
              <w:pStyle w:val="TableParagraph"/>
              <w:spacing w:before="5"/>
              <w:rPr>
                <w:sz w:val="21"/>
              </w:rPr>
            </w:pPr>
          </w:p>
          <w:p>
            <w:pPr>
              <w:pStyle w:val="TableParagraph"/>
              <w:ind w:left="218"/>
              <w:rPr>
                <w:sz w:val="21"/>
              </w:rPr>
            </w:pPr>
            <w:r>
              <w:rPr>
                <w:sz w:val="21"/>
              </w:rPr>
              <w:t>营业收入</w:t>
            </w:r>
          </w:p>
        </w:tc>
        <w:tc>
          <w:tcPr>
            <w:tcW w:w="1276" w:type="dxa"/>
          </w:tcPr>
          <w:p>
            <w:pPr>
              <w:pStyle w:val="TableParagraph"/>
              <w:spacing w:before="5"/>
              <w:rPr>
                <w:sz w:val="21"/>
              </w:rPr>
            </w:pPr>
          </w:p>
          <w:p>
            <w:pPr>
              <w:pStyle w:val="TableParagraph"/>
              <w:ind w:left="218"/>
              <w:rPr>
                <w:sz w:val="21"/>
              </w:rPr>
            </w:pPr>
            <w:r>
              <w:rPr>
                <w:sz w:val="21"/>
              </w:rPr>
              <w:t>营业成本</w:t>
            </w:r>
          </w:p>
        </w:tc>
        <w:tc>
          <w:tcPr>
            <w:tcW w:w="991" w:type="dxa"/>
          </w:tcPr>
          <w:p>
            <w:pPr>
              <w:pStyle w:val="TableParagraph"/>
              <w:spacing w:before="138"/>
              <w:ind w:left="178"/>
              <w:rPr>
                <w:sz w:val="21"/>
              </w:rPr>
            </w:pPr>
            <w:r>
              <w:rPr>
                <w:sz w:val="21"/>
              </w:rPr>
              <w:t>毛利率</w:t>
            </w:r>
          </w:p>
          <w:p>
            <w:pPr>
              <w:pStyle w:val="TableParagraph"/>
              <w:spacing w:before="4"/>
              <w:ind w:left="195"/>
              <w:rPr>
                <w:sz w:val="21"/>
              </w:rPr>
            </w:pPr>
            <w:r>
              <w:rPr>
                <w:sz w:val="21"/>
              </w:rPr>
              <w:t>（</w:t>
            </w:r>
            <w:r>
              <w:rPr>
                <w:rFonts w:ascii="Times New Roman" w:eastAsia="Times New Roman"/>
                <w:sz w:val="21"/>
              </w:rPr>
              <w:t>%</w:t>
            </w:r>
            <w:r>
              <w:rPr>
                <w:sz w:val="21"/>
              </w:rPr>
              <w:t>）</w:t>
            </w:r>
          </w:p>
        </w:tc>
        <w:tc>
          <w:tcPr>
            <w:tcW w:w="1276" w:type="dxa"/>
          </w:tcPr>
          <w:p>
            <w:pPr>
              <w:pStyle w:val="TableParagraph"/>
              <w:spacing w:line="244" w:lineRule="auto" w:before="1"/>
              <w:ind w:left="114" w:right="95"/>
              <w:jc w:val="center"/>
              <w:rPr>
                <w:sz w:val="21"/>
              </w:rPr>
            </w:pPr>
            <w:r>
              <w:rPr>
                <w:sz w:val="21"/>
              </w:rPr>
              <w:t>营业收入比上年增减</w:t>
            </w:r>
          </w:p>
          <w:p>
            <w:pPr>
              <w:pStyle w:val="TableParagraph"/>
              <w:spacing w:line="248" w:lineRule="exact"/>
              <w:ind w:left="111" w:right="95"/>
              <w:jc w:val="center"/>
              <w:rPr>
                <w:sz w:val="21"/>
              </w:rPr>
            </w:pPr>
            <w:r>
              <w:rPr>
                <w:sz w:val="21"/>
              </w:rPr>
              <w:t>（</w:t>
            </w:r>
            <w:r>
              <w:rPr>
                <w:rFonts w:ascii="Times New Roman" w:eastAsia="Times New Roman"/>
                <w:sz w:val="21"/>
              </w:rPr>
              <w:t>%</w:t>
            </w:r>
            <w:r>
              <w:rPr>
                <w:sz w:val="21"/>
              </w:rPr>
              <w:t>）</w:t>
            </w:r>
          </w:p>
        </w:tc>
        <w:tc>
          <w:tcPr>
            <w:tcW w:w="1274" w:type="dxa"/>
          </w:tcPr>
          <w:p>
            <w:pPr>
              <w:pStyle w:val="TableParagraph"/>
              <w:spacing w:line="244" w:lineRule="auto" w:before="1"/>
              <w:ind w:left="115" w:right="93"/>
              <w:jc w:val="center"/>
              <w:rPr>
                <w:sz w:val="21"/>
              </w:rPr>
            </w:pPr>
            <w:r>
              <w:rPr>
                <w:spacing w:val="-1"/>
                <w:sz w:val="21"/>
              </w:rPr>
              <w:t>营业成本比</w:t>
            </w:r>
            <w:r>
              <w:rPr>
                <w:sz w:val="21"/>
              </w:rPr>
              <w:t>上年增减</w:t>
            </w:r>
          </w:p>
          <w:p>
            <w:pPr>
              <w:pStyle w:val="TableParagraph"/>
              <w:spacing w:line="248" w:lineRule="exact"/>
              <w:ind w:left="113" w:right="93"/>
              <w:jc w:val="center"/>
              <w:rPr>
                <w:sz w:val="21"/>
              </w:rPr>
            </w:pPr>
            <w:r>
              <w:rPr>
                <w:sz w:val="21"/>
              </w:rPr>
              <w:t>（</w:t>
            </w:r>
            <w:r>
              <w:rPr>
                <w:rFonts w:ascii="Times New Roman" w:eastAsia="Times New Roman"/>
                <w:sz w:val="21"/>
              </w:rPr>
              <w:t>%</w:t>
            </w:r>
            <w:r>
              <w:rPr>
                <w:sz w:val="21"/>
              </w:rPr>
              <w:t>）</w:t>
            </w:r>
          </w:p>
        </w:tc>
        <w:tc>
          <w:tcPr>
            <w:tcW w:w="1314" w:type="dxa"/>
          </w:tcPr>
          <w:p>
            <w:pPr>
              <w:pStyle w:val="TableParagraph"/>
              <w:spacing w:line="244" w:lineRule="auto" w:before="1"/>
              <w:ind w:left="135" w:right="112"/>
              <w:jc w:val="center"/>
              <w:rPr>
                <w:sz w:val="21"/>
              </w:rPr>
            </w:pPr>
            <w:r>
              <w:rPr>
                <w:sz w:val="21"/>
              </w:rPr>
              <w:t>毛利率比上年增减</w:t>
            </w:r>
          </w:p>
          <w:p>
            <w:pPr>
              <w:pStyle w:val="TableParagraph"/>
              <w:spacing w:line="248" w:lineRule="exact"/>
              <w:ind w:left="132" w:right="112"/>
              <w:jc w:val="center"/>
              <w:rPr>
                <w:sz w:val="21"/>
              </w:rPr>
            </w:pPr>
            <w:r>
              <w:rPr>
                <w:sz w:val="21"/>
              </w:rPr>
              <w:t>（</w:t>
            </w:r>
            <w:r>
              <w:rPr>
                <w:rFonts w:ascii="Times New Roman" w:eastAsia="Times New Roman"/>
                <w:sz w:val="21"/>
              </w:rPr>
              <w:t>%</w:t>
            </w:r>
            <w:r>
              <w:rPr>
                <w:sz w:val="21"/>
              </w:rPr>
              <w:t>）</w:t>
            </w:r>
          </w:p>
        </w:tc>
      </w:tr>
      <w:tr>
        <w:trPr>
          <w:trHeight w:val="544" w:hRule="atLeast"/>
        </w:trPr>
        <w:tc>
          <w:tcPr>
            <w:tcW w:w="1411" w:type="dxa"/>
          </w:tcPr>
          <w:p>
            <w:pPr>
              <w:pStyle w:val="TableParagraph"/>
              <w:spacing w:before="1"/>
              <w:ind w:left="179"/>
              <w:rPr>
                <w:sz w:val="21"/>
              </w:rPr>
            </w:pPr>
            <w:r>
              <w:rPr>
                <w:sz w:val="21"/>
              </w:rPr>
              <w:t>通信及移动</w:t>
            </w:r>
          </w:p>
          <w:p>
            <w:pPr>
              <w:pStyle w:val="TableParagraph"/>
              <w:spacing w:line="250" w:lineRule="exact" w:before="4"/>
              <w:ind w:left="285"/>
              <w:rPr>
                <w:sz w:val="21"/>
              </w:rPr>
            </w:pPr>
            <w:r>
              <w:rPr>
                <w:sz w:val="21"/>
              </w:rPr>
              <w:t>网络设备</w:t>
            </w:r>
          </w:p>
        </w:tc>
        <w:tc>
          <w:tcPr>
            <w:tcW w:w="1277" w:type="dxa"/>
          </w:tcPr>
          <w:p>
            <w:pPr>
              <w:pStyle w:val="TableParagraph"/>
              <w:spacing w:before="144"/>
              <w:ind w:right="93"/>
              <w:jc w:val="right"/>
              <w:rPr>
                <w:rFonts w:ascii="Times New Roman"/>
                <w:sz w:val="21"/>
              </w:rPr>
            </w:pPr>
            <w:r>
              <w:rPr>
                <w:rFonts w:ascii="Times New Roman"/>
                <w:sz w:val="21"/>
              </w:rPr>
              <w:t>296,178,150</w:t>
            </w:r>
          </w:p>
        </w:tc>
        <w:tc>
          <w:tcPr>
            <w:tcW w:w="1276" w:type="dxa"/>
          </w:tcPr>
          <w:p>
            <w:pPr>
              <w:pStyle w:val="TableParagraph"/>
              <w:spacing w:before="144"/>
              <w:ind w:right="92"/>
              <w:jc w:val="right"/>
              <w:rPr>
                <w:rFonts w:ascii="Times New Roman"/>
                <w:sz w:val="21"/>
              </w:rPr>
            </w:pPr>
            <w:r>
              <w:rPr>
                <w:rFonts w:ascii="Times New Roman"/>
                <w:sz w:val="21"/>
              </w:rPr>
              <w:t>268,773,038</w:t>
            </w:r>
          </w:p>
        </w:tc>
        <w:tc>
          <w:tcPr>
            <w:tcW w:w="991" w:type="dxa"/>
          </w:tcPr>
          <w:p>
            <w:pPr>
              <w:pStyle w:val="TableParagraph"/>
              <w:spacing w:before="144"/>
              <w:ind w:right="94"/>
              <w:jc w:val="right"/>
              <w:rPr>
                <w:rFonts w:ascii="Times New Roman"/>
                <w:sz w:val="21"/>
              </w:rPr>
            </w:pPr>
            <w:r>
              <w:rPr>
                <w:rFonts w:ascii="Times New Roman"/>
                <w:sz w:val="21"/>
              </w:rPr>
              <w:t>9.25</w:t>
            </w:r>
          </w:p>
        </w:tc>
        <w:tc>
          <w:tcPr>
            <w:tcW w:w="1276" w:type="dxa"/>
          </w:tcPr>
          <w:p>
            <w:pPr>
              <w:pStyle w:val="TableParagraph"/>
              <w:spacing w:before="144"/>
              <w:ind w:right="91"/>
              <w:jc w:val="right"/>
              <w:rPr>
                <w:rFonts w:ascii="Times New Roman"/>
                <w:sz w:val="21"/>
              </w:rPr>
            </w:pPr>
            <w:r>
              <w:rPr>
                <w:rFonts w:ascii="Times New Roman"/>
                <w:sz w:val="21"/>
              </w:rPr>
              <w:t>14.37</w:t>
            </w:r>
          </w:p>
        </w:tc>
        <w:tc>
          <w:tcPr>
            <w:tcW w:w="1274" w:type="dxa"/>
          </w:tcPr>
          <w:p>
            <w:pPr>
              <w:pStyle w:val="TableParagraph"/>
              <w:spacing w:before="144"/>
              <w:ind w:right="88"/>
              <w:jc w:val="right"/>
              <w:rPr>
                <w:rFonts w:ascii="Times New Roman"/>
                <w:sz w:val="21"/>
              </w:rPr>
            </w:pPr>
            <w:r>
              <w:rPr>
                <w:rFonts w:ascii="Times New Roman"/>
                <w:sz w:val="21"/>
              </w:rPr>
              <w:t>16.39</w:t>
            </w:r>
          </w:p>
        </w:tc>
        <w:tc>
          <w:tcPr>
            <w:tcW w:w="1314" w:type="dxa"/>
          </w:tcPr>
          <w:p>
            <w:pPr>
              <w:pStyle w:val="TableParagraph"/>
              <w:spacing w:before="1"/>
              <w:ind w:left="96" w:right="78"/>
              <w:jc w:val="center"/>
              <w:rPr>
                <w:sz w:val="21"/>
              </w:rPr>
            </w:pPr>
            <w:r>
              <w:rPr>
                <w:spacing w:val="-18"/>
                <w:sz w:val="21"/>
              </w:rPr>
              <w:t>减少 </w:t>
            </w:r>
            <w:r>
              <w:rPr>
                <w:rFonts w:ascii="Times New Roman" w:eastAsia="Times New Roman"/>
                <w:sz w:val="21"/>
              </w:rPr>
              <w:t>1.58</w:t>
            </w:r>
            <w:r>
              <w:rPr>
                <w:rFonts w:ascii="Times New Roman" w:eastAsia="Times New Roman"/>
                <w:spacing w:val="-11"/>
                <w:sz w:val="21"/>
              </w:rPr>
              <w:t> </w:t>
            </w:r>
            <w:r>
              <w:rPr>
                <w:sz w:val="21"/>
              </w:rPr>
              <w:t>个</w:t>
            </w:r>
          </w:p>
          <w:p>
            <w:pPr>
              <w:pStyle w:val="TableParagraph"/>
              <w:spacing w:line="250" w:lineRule="exact" w:before="4"/>
              <w:ind w:left="130" w:right="112"/>
              <w:jc w:val="center"/>
              <w:rPr>
                <w:sz w:val="21"/>
              </w:rPr>
            </w:pPr>
            <w:r>
              <w:rPr>
                <w:sz w:val="21"/>
              </w:rPr>
              <w:t>百分点</w:t>
            </w:r>
          </w:p>
        </w:tc>
      </w:tr>
      <w:tr>
        <w:trPr>
          <w:trHeight w:val="544" w:hRule="atLeast"/>
        </w:trPr>
        <w:tc>
          <w:tcPr>
            <w:tcW w:w="1411" w:type="dxa"/>
          </w:tcPr>
          <w:p>
            <w:pPr>
              <w:pStyle w:val="TableParagraph"/>
              <w:spacing w:before="137"/>
              <w:ind w:left="68" w:right="59"/>
              <w:jc w:val="center"/>
              <w:rPr>
                <w:sz w:val="21"/>
              </w:rPr>
            </w:pPr>
            <w:r>
              <w:rPr>
                <w:sz w:val="21"/>
              </w:rPr>
              <w:t>云计算</w:t>
            </w:r>
          </w:p>
        </w:tc>
        <w:tc>
          <w:tcPr>
            <w:tcW w:w="1277" w:type="dxa"/>
          </w:tcPr>
          <w:p>
            <w:pPr>
              <w:pStyle w:val="TableParagraph"/>
              <w:spacing w:before="144"/>
              <w:ind w:right="93"/>
              <w:jc w:val="right"/>
              <w:rPr>
                <w:rFonts w:ascii="Times New Roman"/>
                <w:sz w:val="21"/>
              </w:rPr>
            </w:pPr>
            <w:r>
              <w:rPr>
                <w:rFonts w:ascii="Times New Roman"/>
                <w:sz w:val="21"/>
              </w:rPr>
              <w:t>212,444,087</w:t>
            </w:r>
          </w:p>
        </w:tc>
        <w:tc>
          <w:tcPr>
            <w:tcW w:w="1276" w:type="dxa"/>
          </w:tcPr>
          <w:p>
            <w:pPr>
              <w:pStyle w:val="TableParagraph"/>
              <w:spacing w:before="144"/>
              <w:ind w:right="92"/>
              <w:jc w:val="right"/>
              <w:rPr>
                <w:rFonts w:ascii="Times New Roman"/>
                <w:sz w:val="21"/>
              </w:rPr>
            </w:pPr>
            <w:r>
              <w:rPr>
                <w:rFonts w:ascii="Times New Roman"/>
                <w:sz w:val="21"/>
              </w:rPr>
              <w:t>204,022,424</w:t>
            </w:r>
          </w:p>
        </w:tc>
        <w:tc>
          <w:tcPr>
            <w:tcW w:w="991" w:type="dxa"/>
          </w:tcPr>
          <w:p>
            <w:pPr>
              <w:pStyle w:val="TableParagraph"/>
              <w:spacing w:before="144"/>
              <w:ind w:right="94"/>
              <w:jc w:val="right"/>
              <w:rPr>
                <w:rFonts w:ascii="Times New Roman"/>
                <w:sz w:val="21"/>
              </w:rPr>
            </w:pPr>
            <w:r>
              <w:rPr>
                <w:rFonts w:ascii="Times New Roman"/>
                <w:sz w:val="21"/>
              </w:rPr>
              <w:t>3.96</w:t>
            </w:r>
          </w:p>
        </w:tc>
        <w:tc>
          <w:tcPr>
            <w:tcW w:w="1276" w:type="dxa"/>
          </w:tcPr>
          <w:p>
            <w:pPr>
              <w:pStyle w:val="TableParagraph"/>
              <w:spacing w:before="144"/>
              <w:ind w:right="91"/>
              <w:jc w:val="right"/>
              <w:rPr>
                <w:rFonts w:ascii="Times New Roman"/>
                <w:sz w:val="21"/>
              </w:rPr>
            </w:pPr>
            <w:r>
              <w:rPr>
                <w:rFonts w:ascii="Times New Roman"/>
                <w:sz w:val="21"/>
              </w:rPr>
              <w:t>19.56</w:t>
            </w:r>
          </w:p>
        </w:tc>
        <w:tc>
          <w:tcPr>
            <w:tcW w:w="1274" w:type="dxa"/>
          </w:tcPr>
          <w:p>
            <w:pPr>
              <w:pStyle w:val="TableParagraph"/>
              <w:spacing w:before="144"/>
              <w:ind w:right="88"/>
              <w:jc w:val="right"/>
              <w:rPr>
                <w:rFonts w:ascii="Times New Roman"/>
                <w:sz w:val="21"/>
              </w:rPr>
            </w:pPr>
            <w:r>
              <w:rPr>
                <w:rFonts w:ascii="Times New Roman"/>
                <w:sz w:val="21"/>
              </w:rPr>
              <w:t>19.78</w:t>
            </w:r>
          </w:p>
        </w:tc>
        <w:tc>
          <w:tcPr>
            <w:tcW w:w="1314" w:type="dxa"/>
          </w:tcPr>
          <w:p>
            <w:pPr>
              <w:pStyle w:val="TableParagraph"/>
              <w:spacing w:before="1"/>
              <w:ind w:left="96" w:right="78"/>
              <w:jc w:val="center"/>
              <w:rPr>
                <w:sz w:val="21"/>
              </w:rPr>
            </w:pPr>
            <w:r>
              <w:rPr>
                <w:spacing w:val="-18"/>
                <w:sz w:val="21"/>
              </w:rPr>
              <w:t>减少 </w:t>
            </w:r>
            <w:r>
              <w:rPr>
                <w:rFonts w:ascii="Times New Roman" w:eastAsia="Times New Roman"/>
                <w:sz w:val="21"/>
              </w:rPr>
              <w:t>0.18</w:t>
            </w:r>
            <w:r>
              <w:rPr>
                <w:rFonts w:ascii="Times New Roman" w:eastAsia="Times New Roman"/>
                <w:spacing w:val="-11"/>
                <w:sz w:val="21"/>
              </w:rPr>
              <w:t> </w:t>
            </w:r>
            <w:r>
              <w:rPr>
                <w:sz w:val="21"/>
              </w:rPr>
              <w:t>个</w:t>
            </w:r>
          </w:p>
          <w:p>
            <w:pPr>
              <w:pStyle w:val="TableParagraph"/>
              <w:spacing w:line="250" w:lineRule="exact" w:before="4"/>
              <w:ind w:left="130" w:right="112"/>
              <w:jc w:val="center"/>
              <w:rPr>
                <w:sz w:val="21"/>
              </w:rPr>
            </w:pPr>
            <w:r>
              <w:rPr>
                <w:sz w:val="21"/>
              </w:rPr>
              <w:t>百分点</w:t>
            </w:r>
          </w:p>
        </w:tc>
      </w:tr>
      <w:tr>
        <w:trPr>
          <w:trHeight w:val="544" w:hRule="atLeast"/>
        </w:trPr>
        <w:tc>
          <w:tcPr>
            <w:tcW w:w="1411" w:type="dxa"/>
          </w:tcPr>
          <w:p>
            <w:pPr>
              <w:pStyle w:val="TableParagraph"/>
              <w:spacing w:before="138"/>
              <w:ind w:left="68" w:right="56"/>
              <w:jc w:val="center"/>
              <w:rPr>
                <w:sz w:val="21"/>
              </w:rPr>
            </w:pPr>
            <w:r>
              <w:rPr>
                <w:sz w:val="21"/>
              </w:rPr>
              <w:t>工业互联网</w:t>
            </w:r>
          </w:p>
        </w:tc>
        <w:tc>
          <w:tcPr>
            <w:tcW w:w="1277" w:type="dxa"/>
          </w:tcPr>
          <w:p>
            <w:pPr>
              <w:pStyle w:val="TableParagraph"/>
              <w:spacing w:before="144"/>
              <w:ind w:right="93"/>
              <w:jc w:val="right"/>
              <w:rPr>
                <w:rFonts w:ascii="Times New Roman"/>
                <w:sz w:val="21"/>
              </w:rPr>
            </w:pPr>
            <w:r>
              <w:rPr>
                <w:rFonts w:ascii="Times New Roman"/>
                <w:sz w:val="21"/>
              </w:rPr>
              <w:t>1,911,788</w:t>
            </w:r>
          </w:p>
        </w:tc>
        <w:tc>
          <w:tcPr>
            <w:tcW w:w="1276" w:type="dxa"/>
          </w:tcPr>
          <w:p>
            <w:pPr>
              <w:pStyle w:val="TableParagraph"/>
              <w:spacing w:before="144"/>
              <w:ind w:right="92"/>
              <w:jc w:val="right"/>
              <w:rPr>
                <w:rFonts w:ascii="Times New Roman"/>
                <w:sz w:val="21"/>
              </w:rPr>
            </w:pPr>
            <w:r>
              <w:rPr>
                <w:rFonts w:ascii="Times New Roman"/>
                <w:sz w:val="21"/>
              </w:rPr>
              <w:t>996,609</w:t>
            </w:r>
          </w:p>
        </w:tc>
        <w:tc>
          <w:tcPr>
            <w:tcW w:w="991" w:type="dxa"/>
          </w:tcPr>
          <w:p>
            <w:pPr>
              <w:pStyle w:val="TableParagraph"/>
              <w:spacing w:before="144"/>
              <w:ind w:right="94"/>
              <w:jc w:val="right"/>
              <w:rPr>
                <w:rFonts w:ascii="Times New Roman"/>
                <w:sz w:val="21"/>
              </w:rPr>
            </w:pPr>
            <w:r>
              <w:rPr>
                <w:rFonts w:ascii="Times New Roman"/>
                <w:sz w:val="21"/>
              </w:rPr>
              <w:t>47.87</w:t>
            </w:r>
          </w:p>
        </w:tc>
        <w:tc>
          <w:tcPr>
            <w:tcW w:w="1276" w:type="dxa"/>
          </w:tcPr>
          <w:p>
            <w:pPr>
              <w:pStyle w:val="TableParagraph"/>
              <w:spacing w:before="144"/>
              <w:ind w:right="91"/>
              <w:jc w:val="right"/>
              <w:rPr>
                <w:rFonts w:ascii="Times New Roman"/>
                <w:sz w:val="21"/>
              </w:rPr>
            </w:pPr>
            <w:r>
              <w:rPr>
                <w:rFonts w:ascii="Times New Roman"/>
                <w:sz w:val="21"/>
              </w:rPr>
              <w:t>13.45</w:t>
            </w:r>
          </w:p>
        </w:tc>
        <w:tc>
          <w:tcPr>
            <w:tcW w:w="1274" w:type="dxa"/>
          </w:tcPr>
          <w:p>
            <w:pPr>
              <w:pStyle w:val="TableParagraph"/>
              <w:spacing w:before="144"/>
              <w:ind w:right="87"/>
              <w:jc w:val="right"/>
              <w:rPr>
                <w:rFonts w:ascii="Times New Roman"/>
                <w:sz w:val="21"/>
              </w:rPr>
            </w:pPr>
            <w:r>
              <w:rPr>
                <w:rFonts w:ascii="Times New Roman"/>
                <w:sz w:val="21"/>
              </w:rPr>
              <w:t>5.36</w:t>
            </w:r>
          </w:p>
        </w:tc>
        <w:tc>
          <w:tcPr>
            <w:tcW w:w="1314" w:type="dxa"/>
          </w:tcPr>
          <w:p>
            <w:pPr>
              <w:pStyle w:val="TableParagraph"/>
              <w:spacing w:before="1"/>
              <w:ind w:left="96" w:right="78"/>
              <w:jc w:val="center"/>
              <w:rPr>
                <w:sz w:val="21"/>
              </w:rPr>
            </w:pPr>
            <w:r>
              <w:rPr>
                <w:spacing w:val="-18"/>
                <w:sz w:val="21"/>
              </w:rPr>
              <w:t>增加 </w:t>
            </w:r>
            <w:r>
              <w:rPr>
                <w:rFonts w:ascii="Times New Roman" w:eastAsia="Times New Roman"/>
                <w:sz w:val="21"/>
              </w:rPr>
              <w:t>4.00</w:t>
            </w:r>
            <w:r>
              <w:rPr>
                <w:rFonts w:ascii="Times New Roman" w:eastAsia="Times New Roman"/>
                <w:spacing w:val="-11"/>
                <w:sz w:val="21"/>
              </w:rPr>
              <w:t> </w:t>
            </w:r>
            <w:r>
              <w:rPr>
                <w:sz w:val="21"/>
              </w:rPr>
              <w:t>个</w:t>
            </w:r>
          </w:p>
          <w:p>
            <w:pPr>
              <w:pStyle w:val="TableParagraph"/>
              <w:spacing w:line="250" w:lineRule="exact" w:before="4"/>
              <w:ind w:left="130" w:right="112"/>
              <w:jc w:val="center"/>
              <w:rPr>
                <w:sz w:val="21"/>
              </w:rPr>
            </w:pPr>
            <w:r>
              <w:rPr>
                <w:sz w:val="21"/>
              </w:rPr>
              <w:t>百分点</w:t>
            </w:r>
          </w:p>
        </w:tc>
      </w:tr>
      <w:tr>
        <w:trPr>
          <w:trHeight w:val="273" w:hRule="atLeast"/>
        </w:trPr>
        <w:tc>
          <w:tcPr>
            <w:tcW w:w="8819" w:type="dxa"/>
            <w:gridSpan w:val="7"/>
          </w:tcPr>
          <w:p>
            <w:pPr>
              <w:pStyle w:val="TableParagraph"/>
              <w:spacing w:line="252" w:lineRule="exact" w:before="1"/>
              <w:ind w:left="3447" w:right="3431"/>
              <w:jc w:val="center"/>
              <w:rPr>
                <w:sz w:val="21"/>
              </w:rPr>
            </w:pPr>
            <w:r>
              <w:rPr>
                <w:sz w:val="21"/>
              </w:rPr>
              <w:t>主营业务分产品情况</w:t>
            </w:r>
          </w:p>
        </w:tc>
      </w:tr>
      <w:tr>
        <w:trPr>
          <w:trHeight w:val="816" w:hRule="atLeast"/>
        </w:trPr>
        <w:tc>
          <w:tcPr>
            <w:tcW w:w="1411" w:type="dxa"/>
          </w:tcPr>
          <w:p>
            <w:pPr>
              <w:pStyle w:val="TableParagraph"/>
              <w:spacing w:before="6"/>
              <w:rPr>
                <w:sz w:val="21"/>
              </w:rPr>
            </w:pPr>
          </w:p>
          <w:p>
            <w:pPr>
              <w:pStyle w:val="TableParagraph"/>
              <w:ind w:left="68" w:right="59"/>
              <w:jc w:val="center"/>
              <w:rPr>
                <w:sz w:val="21"/>
              </w:rPr>
            </w:pPr>
            <w:r>
              <w:rPr>
                <w:sz w:val="21"/>
              </w:rPr>
              <w:t>分产品</w:t>
            </w:r>
          </w:p>
        </w:tc>
        <w:tc>
          <w:tcPr>
            <w:tcW w:w="1277" w:type="dxa"/>
          </w:tcPr>
          <w:p>
            <w:pPr>
              <w:pStyle w:val="TableParagraph"/>
              <w:spacing w:before="6"/>
              <w:rPr>
                <w:sz w:val="21"/>
              </w:rPr>
            </w:pPr>
          </w:p>
          <w:p>
            <w:pPr>
              <w:pStyle w:val="TableParagraph"/>
              <w:ind w:left="218"/>
              <w:rPr>
                <w:sz w:val="21"/>
              </w:rPr>
            </w:pPr>
            <w:r>
              <w:rPr>
                <w:sz w:val="21"/>
              </w:rPr>
              <w:t>营业收入</w:t>
            </w:r>
          </w:p>
        </w:tc>
        <w:tc>
          <w:tcPr>
            <w:tcW w:w="1276" w:type="dxa"/>
          </w:tcPr>
          <w:p>
            <w:pPr>
              <w:pStyle w:val="TableParagraph"/>
              <w:spacing w:before="6"/>
              <w:rPr>
                <w:sz w:val="21"/>
              </w:rPr>
            </w:pPr>
          </w:p>
          <w:p>
            <w:pPr>
              <w:pStyle w:val="TableParagraph"/>
              <w:ind w:left="218"/>
              <w:rPr>
                <w:sz w:val="21"/>
              </w:rPr>
            </w:pPr>
            <w:r>
              <w:rPr>
                <w:sz w:val="21"/>
              </w:rPr>
              <w:t>营业成本</w:t>
            </w:r>
          </w:p>
        </w:tc>
        <w:tc>
          <w:tcPr>
            <w:tcW w:w="991" w:type="dxa"/>
          </w:tcPr>
          <w:p>
            <w:pPr>
              <w:pStyle w:val="TableParagraph"/>
              <w:spacing w:before="138"/>
              <w:ind w:left="178"/>
              <w:rPr>
                <w:sz w:val="21"/>
              </w:rPr>
            </w:pPr>
            <w:r>
              <w:rPr>
                <w:sz w:val="21"/>
              </w:rPr>
              <w:t>毛利率</w:t>
            </w:r>
          </w:p>
          <w:p>
            <w:pPr>
              <w:pStyle w:val="TableParagraph"/>
              <w:spacing w:before="2"/>
              <w:ind w:left="195"/>
              <w:rPr>
                <w:sz w:val="21"/>
              </w:rPr>
            </w:pPr>
            <w:r>
              <w:rPr>
                <w:sz w:val="21"/>
              </w:rPr>
              <w:t>（</w:t>
            </w:r>
            <w:r>
              <w:rPr>
                <w:rFonts w:ascii="Times New Roman" w:eastAsia="Times New Roman"/>
                <w:sz w:val="21"/>
              </w:rPr>
              <w:t>%</w:t>
            </w:r>
            <w:r>
              <w:rPr>
                <w:sz w:val="21"/>
              </w:rPr>
              <w:t>）</w:t>
            </w:r>
          </w:p>
        </w:tc>
        <w:tc>
          <w:tcPr>
            <w:tcW w:w="1276" w:type="dxa"/>
          </w:tcPr>
          <w:p>
            <w:pPr>
              <w:pStyle w:val="TableParagraph"/>
              <w:spacing w:line="244" w:lineRule="auto" w:before="1"/>
              <w:ind w:left="114" w:right="95"/>
              <w:jc w:val="center"/>
              <w:rPr>
                <w:sz w:val="21"/>
              </w:rPr>
            </w:pPr>
            <w:r>
              <w:rPr>
                <w:sz w:val="21"/>
              </w:rPr>
              <w:t>营业收入比上年增减</w:t>
            </w:r>
          </w:p>
          <w:p>
            <w:pPr>
              <w:pStyle w:val="TableParagraph"/>
              <w:spacing w:line="246" w:lineRule="exact"/>
              <w:ind w:left="111" w:right="95"/>
              <w:jc w:val="center"/>
              <w:rPr>
                <w:sz w:val="21"/>
              </w:rPr>
            </w:pPr>
            <w:r>
              <w:rPr>
                <w:sz w:val="21"/>
              </w:rPr>
              <w:t>（</w:t>
            </w:r>
            <w:r>
              <w:rPr>
                <w:rFonts w:ascii="Times New Roman" w:eastAsia="Times New Roman"/>
                <w:sz w:val="21"/>
              </w:rPr>
              <w:t>%</w:t>
            </w:r>
            <w:r>
              <w:rPr>
                <w:sz w:val="21"/>
              </w:rPr>
              <w:t>）</w:t>
            </w:r>
          </w:p>
        </w:tc>
        <w:tc>
          <w:tcPr>
            <w:tcW w:w="1274" w:type="dxa"/>
          </w:tcPr>
          <w:p>
            <w:pPr>
              <w:pStyle w:val="TableParagraph"/>
              <w:spacing w:line="244" w:lineRule="auto" w:before="1"/>
              <w:ind w:left="115" w:right="93"/>
              <w:jc w:val="center"/>
              <w:rPr>
                <w:sz w:val="21"/>
              </w:rPr>
            </w:pPr>
            <w:r>
              <w:rPr>
                <w:spacing w:val="-1"/>
                <w:sz w:val="21"/>
              </w:rPr>
              <w:t>营业成本比</w:t>
            </w:r>
            <w:r>
              <w:rPr>
                <w:sz w:val="21"/>
              </w:rPr>
              <w:t>上年增减</w:t>
            </w:r>
          </w:p>
          <w:p>
            <w:pPr>
              <w:pStyle w:val="TableParagraph"/>
              <w:spacing w:line="246" w:lineRule="exact"/>
              <w:ind w:left="113" w:right="93"/>
              <w:jc w:val="center"/>
              <w:rPr>
                <w:sz w:val="21"/>
              </w:rPr>
            </w:pPr>
            <w:r>
              <w:rPr>
                <w:sz w:val="21"/>
              </w:rPr>
              <w:t>（</w:t>
            </w:r>
            <w:r>
              <w:rPr>
                <w:rFonts w:ascii="Times New Roman" w:eastAsia="Times New Roman"/>
                <w:sz w:val="21"/>
              </w:rPr>
              <w:t>%</w:t>
            </w:r>
            <w:r>
              <w:rPr>
                <w:sz w:val="21"/>
              </w:rPr>
              <w:t>）</w:t>
            </w:r>
          </w:p>
        </w:tc>
        <w:tc>
          <w:tcPr>
            <w:tcW w:w="1314" w:type="dxa"/>
          </w:tcPr>
          <w:p>
            <w:pPr>
              <w:pStyle w:val="TableParagraph"/>
              <w:spacing w:line="244" w:lineRule="auto" w:before="1"/>
              <w:ind w:left="135" w:right="112"/>
              <w:jc w:val="center"/>
              <w:rPr>
                <w:sz w:val="21"/>
              </w:rPr>
            </w:pPr>
            <w:r>
              <w:rPr>
                <w:sz w:val="21"/>
              </w:rPr>
              <w:t>毛利率比上年增减</w:t>
            </w:r>
          </w:p>
          <w:p>
            <w:pPr>
              <w:pStyle w:val="TableParagraph"/>
              <w:spacing w:line="246" w:lineRule="exact"/>
              <w:ind w:left="132" w:right="112"/>
              <w:jc w:val="center"/>
              <w:rPr>
                <w:sz w:val="21"/>
              </w:rPr>
            </w:pPr>
            <w:r>
              <w:rPr>
                <w:sz w:val="21"/>
              </w:rPr>
              <w:t>（</w:t>
            </w:r>
            <w:r>
              <w:rPr>
                <w:rFonts w:ascii="Times New Roman" w:eastAsia="Times New Roman"/>
                <w:sz w:val="21"/>
              </w:rPr>
              <w:t>%</w:t>
            </w:r>
            <w:r>
              <w:rPr>
                <w:sz w:val="21"/>
              </w:rPr>
              <w:t>）</w:t>
            </w:r>
          </w:p>
        </w:tc>
      </w:tr>
      <w:tr>
        <w:trPr>
          <w:trHeight w:val="546" w:hRule="atLeast"/>
        </w:trPr>
        <w:tc>
          <w:tcPr>
            <w:tcW w:w="1411" w:type="dxa"/>
          </w:tcPr>
          <w:p>
            <w:pPr>
              <w:pStyle w:val="TableParagraph"/>
              <w:spacing w:before="137"/>
              <w:ind w:left="68" w:right="56"/>
              <w:jc w:val="center"/>
              <w:rPr>
                <w:sz w:val="21"/>
              </w:rPr>
            </w:pPr>
            <w:r>
              <w:rPr>
                <w:rFonts w:ascii="Times New Roman" w:eastAsia="Times New Roman"/>
                <w:sz w:val="21"/>
              </w:rPr>
              <w:t>3C</w:t>
            </w:r>
            <w:r>
              <w:rPr>
                <w:rFonts w:ascii="Times New Roman" w:eastAsia="Times New Roman"/>
                <w:spacing w:val="-11"/>
                <w:sz w:val="21"/>
              </w:rPr>
              <w:t> </w:t>
            </w:r>
            <w:r>
              <w:rPr>
                <w:sz w:val="21"/>
              </w:rPr>
              <w:t>电子产品</w:t>
            </w:r>
          </w:p>
        </w:tc>
        <w:tc>
          <w:tcPr>
            <w:tcW w:w="1277" w:type="dxa"/>
          </w:tcPr>
          <w:p>
            <w:pPr>
              <w:pStyle w:val="TableParagraph"/>
              <w:spacing w:before="147"/>
              <w:ind w:right="93"/>
              <w:jc w:val="right"/>
              <w:rPr>
                <w:rFonts w:ascii="Times New Roman"/>
                <w:sz w:val="21"/>
              </w:rPr>
            </w:pPr>
            <w:r>
              <w:rPr>
                <w:rFonts w:ascii="Times New Roman"/>
                <w:sz w:val="21"/>
              </w:rPr>
              <w:t>510,534,025</w:t>
            </w:r>
          </w:p>
        </w:tc>
        <w:tc>
          <w:tcPr>
            <w:tcW w:w="1276" w:type="dxa"/>
          </w:tcPr>
          <w:p>
            <w:pPr>
              <w:pStyle w:val="TableParagraph"/>
              <w:spacing w:before="147"/>
              <w:ind w:right="92"/>
              <w:jc w:val="right"/>
              <w:rPr>
                <w:rFonts w:ascii="Times New Roman"/>
                <w:sz w:val="21"/>
              </w:rPr>
            </w:pPr>
            <w:r>
              <w:rPr>
                <w:rFonts w:ascii="Times New Roman"/>
                <w:sz w:val="21"/>
              </w:rPr>
              <w:t>473,792,071</w:t>
            </w:r>
          </w:p>
        </w:tc>
        <w:tc>
          <w:tcPr>
            <w:tcW w:w="991" w:type="dxa"/>
          </w:tcPr>
          <w:p>
            <w:pPr>
              <w:pStyle w:val="TableParagraph"/>
              <w:spacing w:before="147"/>
              <w:ind w:right="94"/>
              <w:jc w:val="right"/>
              <w:rPr>
                <w:rFonts w:ascii="Times New Roman"/>
                <w:sz w:val="21"/>
              </w:rPr>
            </w:pPr>
            <w:r>
              <w:rPr>
                <w:rFonts w:ascii="Times New Roman"/>
                <w:sz w:val="21"/>
              </w:rPr>
              <w:t>7.20</w:t>
            </w:r>
          </w:p>
        </w:tc>
        <w:tc>
          <w:tcPr>
            <w:tcW w:w="1276" w:type="dxa"/>
          </w:tcPr>
          <w:p>
            <w:pPr>
              <w:pStyle w:val="TableParagraph"/>
              <w:spacing w:before="147"/>
              <w:ind w:right="91"/>
              <w:jc w:val="right"/>
              <w:rPr>
                <w:rFonts w:ascii="Times New Roman"/>
                <w:sz w:val="21"/>
              </w:rPr>
            </w:pPr>
            <w:r>
              <w:rPr>
                <w:rFonts w:ascii="Times New Roman"/>
                <w:sz w:val="21"/>
              </w:rPr>
              <w:t>16.47</w:t>
            </w:r>
          </w:p>
        </w:tc>
        <w:tc>
          <w:tcPr>
            <w:tcW w:w="1274" w:type="dxa"/>
          </w:tcPr>
          <w:p>
            <w:pPr>
              <w:pStyle w:val="TableParagraph"/>
              <w:spacing w:before="147"/>
              <w:ind w:right="88"/>
              <w:jc w:val="right"/>
              <w:rPr>
                <w:rFonts w:ascii="Times New Roman"/>
                <w:sz w:val="21"/>
              </w:rPr>
            </w:pPr>
            <w:r>
              <w:rPr>
                <w:rFonts w:ascii="Times New Roman"/>
                <w:sz w:val="21"/>
              </w:rPr>
              <w:t>17.80</w:t>
            </w:r>
          </w:p>
        </w:tc>
        <w:tc>
          <w:tcPr>
            <w:tcW w:w="1314" w:type="dxa"/>
          </w:tcPr>
          <w:p>
            <w:pPr>
              <w:pStyle w:val="TableParagraph"/>
              <w:spacing w:line="270" w:lineRule="atLeast"/>
              <w:ind w:left="344" w:right="93" w:hanging="231"/>
              <w:rPr>
                <w:sz w:val="21"/>
              </w:rPr>
            </w:pPr>
            <w:r>
              <w:rPr>
                <w:spacing w:val="-20"/>
                <w:sz w:val="21"/>
              </w:rPr>
              <w:t>减少 </w:t>
            </w:r>
            <w:r>
              <w:rPr>
                <w:rFonts w:ascii="Times New Roman" w:eastAsia="Times New Roman"/>
                <w:spacing w:val="-2"/>
                <w:sz w:val="21"/>
              </w:rPr>
              <w:t>1.05</w:t>
            </w:r>
            <w:r>
              <w:rPr>
                <w:rFonts w:ascii="Times New Roman" w:eastAsia="Times New Roman"/>
                <w:spacing w:val="-12"/>
                <w:sz w:val="21"/>
              </w:rPr>
              <w:t> </w:t>
            </w:r>
            <w:r>
              <w:rPr>
                <w:spacing w:val="-1"/>
                <w:sz w:val="21"/>
              </w:rPr>
              <w:t>个</w:t>
            </w:r>
            <w:r>
              <w:rPr>
                <w:sz w:val="21"/>
              </w:rPr>
              <w:t>百分点</w:t>
            </w:r>
          </w:p>
        </w:tc>
      </w:tr>
    </w:tbl>
    <w:p>
      <w:pPr>
        <w:pStyle w:val="BodyText"/>
        <w:spacing w:before="1"/>
        <w:ind w:left="638"/>
      </w:pPr>
      <w:r>
        <w:rPr>
          <w:w w:val="100"/>
        </w:rPr>
        <w:t> </w:t>
      </w:r>
    </w:p>
    <w:p>
      <w:pPr>
        <w:pStyle w:val="BodyText"/>
        <w:spacing w:line="244" w:lineRule="auto" w:before="2"/>
        <w:ind w:left="638" w:right="3597"/>
      </w:pPr>
      <w:r>
        <w:rPr/>
        <w:t>主营业务分行业、分产品、分地区、分销售模式情况的说明无 </w:t>
      </w:r>
    </w:p>
    <w:p>
      <w:pPr>
        <w:pStyle w:val="BodyText"/>
        <w:spacing w:line="265" w:lineRule="exact"/>
        <w:ind w:left="638"/>
      </w:pPr>
      <w:r>
        <w:rPr>
          <w:w w:val="100"/>
        </w:rPr>
        <w:t> </w:t>
      </w:r>
    </w:p>
    <w:p>
      <w:pPr>
        <w:pStyle w:val="ListParagraph"/>
        <w:numPr>
          <w:ilvl w:val="0"/>
          <w:numId w:val="4"/>
        </w:numPr>
        <w:tabs>
          <w:tab w:pos="1205" w:val="left" w:leader="none"/>
        </w:tabs>
        <w:spacing w:line="240" w:lineRule="auto" w:before="64" w:after="0"/>
        <w:ind w:left="1204" w:right="0" w:hanging="567"/>
        <w:jc w:val="left"/>
        <w:rPr>
          <w:sz w:val="21"/>
        </w:rPr>
      </w:pPr>
      <w:r>
        <w:rPr>
          <w:sz w:val="21"/>
        </w:rPr>
        <w:t>产销量情况分析表</w:t>
      </w:r>
    </w:p>
    <w:p>
      <w:pPr>
        <w:pStyle w:val="BodyText"/>
        <w:spacing w:before="63"/>
        <w:ind w:left="638"/>
      </w:pPr>
      <w:r>
        <w:rPr>
          <w:spacing w:val="-1"/>
        </w:rPr>
        <w:t>√适用 □不适用</w:t>
      </w:r>
      <w:r>
        <w:rPr>
          <w:spacing w:val="-3"/>
        </w:rPr>
        <w:t> </w:t>
      </w:r>
      <w:r>
        <w:rPr/>
        <w:t> </w:t>
      </w:r>
    </w:p>
    <w:p>
      <w:pPr>
        <w:spacing w:after="0"/>
        <w:sectPr>
          <w:pgSz w:w="11910" w:h="16840"/>
          <w:pgMar w:header="880" w:footer="1195" w:top="1120" w:bottom="1380" w:left="1160" w:right="940"/>
        </w:sectPr>
      </w:pPr>
    </w:p>
    <w:p>
      <w:pPr>
        <w:pStyle w:val="BodyText"/>
        <w:ind w:left="0"/>
        <w:rPr>
          <w:sz w:val="20"/>
        </w:rPr>
      </w:pPr>
    </w:p>
    <w:p>
      <w:pPr>
        <w:pStyle w:val="BodyText"/>
        <w:spacing w:before="3"/>
        <w:ind w:left="0"/>
        <w:rPr>
          <w:sz w:val="11"/>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2"/>
        <w:gridCol w:w="1105"/>
        <w:gridCol w:w="1102"/>
        <w:gridCol w:w="1107"/>
        <w:gridCol w:w="1105"/>
        <w:gridCol w:w="1105"/>
        <w:gridCol w:w="1103"/>
        <w:gridCol w:w="1100"/>
      </w:tblGrid>
      <w:tr>
        <w:trPr>
          <w:trHeight w:val="818" w:hRule="atLeast"/>
        </w:trPr>
        <w:tc>
          <w:tcPr>
            <w:tcW w:w="1102" w:type="dxa"/>
          </w:tcPr>
          <w:p>
            <w:pPr>
              <w:pStyle w:val="TableParagraph"/>
              <w:spacing w:before="5"/>
              <w:rPr>
                <w:sz w:val="21"/>
              </w:rPr>
            </w:pPr>
          </w:p>
          <w:p>
            <w:pPr>
              <w:pStyle w:val="TableParagraph"/>
              <w:spacing w:before="1"/>
              <w:ind w:left="129"/>
              <w:rPr>
                <w:sz w:val="21"/>
              </w:rPr>
            </w:pPr>
            <w:r>
              <w:rPr>
                <w:sz w:val="21"/>
              </w:rPr>
              <w:t>主要产品</w:t>
            </w:r>
          </w:p>
        </w:tc>
        <w:tc>
          <w:tcPr>
            <w:tcW w:w="1105" w:type="dxa"/>
          </w:tcPr>
          <w:p>
            <w:pPr>
              <w:pStyle w:val="TableParagraph"/>
              <w:spacing w:before="5"/>
              <w:rPr>
                <w:sz w:val="21"/>
              </w:rPr>
            </w:pPr>
          </w:p>
          <w:p>
            <w:pPr>
              <w:pStyle w:val="TableParagraph"/>
              <w:spacing w:before="1"/>
              <w:ind w:right="330"/>
              <w:jc w:val="right"/>
              <w:rPr>
                <w:sz w:val="21"/>
              </w:rPr>
            </w:pPr>
            <w:r>
              <w:rPr>
                <w:sz w:val="21"/>
              </w:rPr>
              <w:t>单位</w:t>
            </w:r>
          </w:p>
        </w:tc>
        <w:tc>
          <w:tcPr>
            <w:tcW w:w="1102" w:type="dxa"/>
          </w:tcPr>
          <w:p>
            <w:pPr>
              <w:pStyle w:val="TableParagraph"/>
              <w:spacing w:before="5"/>
              <w:rPr>
                <w:sz w:val="21"/>
              </w:rPr>
            </w:pPr>
          </w:p>
          <w:p>
            <w:pPr>
              <w:pStyle w:val="TableParagraph"/>
              <w:spacing w:before="1"/>
              <w:ind w:left="234"/>
              <w:rPr>
                <w:sz w:val="21"/>
              </w:rPr>
            </w:pPr>
            <w:r>
              <w:rPr>
                <w:sz w:val="21"/>
              </w:rPr>
              <w:t>生产量</w:t>
            </w:r>
          </w:p>
        </w:tc>
        <w:tc>
          <w:tcPr>
            <w:tcW w:w="1107" w:type="dxa"/>
          </w:tcPr>
          <w:p>
            <w:pPr>
              <w:pStyle w:val="TableParagraph"/>
              <w:spacing w:before="5"/>
              <w:rPr>
                <w:sz w:val="21"/>
              </w:rPr>
            </w:pPr>
          </w:p>
          <w:p>
            <w:pPr>
              <w:pStyle w:val="TableParagraph"/>
              <w:spacing w:before="1"/>
              <w:ind w:left="233"/>
              <w:rPr>
                <w:sz w:val="21"/>
              </w:rPr>
            </w:pPr>
            <w:r>
              <w:rPr>
                <w:sz w:val="21"/>
              </w:rPr>
              <w:t>销售量</w:t>
            </w:r>
          </w:p>
        </w:tc>
        <w:tc>
          <w:tcPr>
            <w:tcW w:w="1105" w:type="dxa"/>
          </w:tcPr>
          <w:p>
            <w:pPr>
              <w:pStyle w:val="TableParagraph"/>
              <w:spacing w:before="5"/>
              <w:rPr>
                <w:sz w:val="21"/>
              </w:rPr>
            </w:pPr>
          </w:p>
          <w:p>
            <w:pPr>
              <w:pStyle w:val="TableParagraph"/>
              <w:spacing w:before="1"/>
              <w:ind w:left="233"/>
              <w:rPr>
                <w:sz w:val="21"/>
              </w:rPr>
            </w:pPr>
            <w:r>
              <w:rPr>
                <w:sz w:val="21"/>
              </w:rPr>
              <w:t>库存量</w:t>
            </w:r>
          </w:p>
        </w:tc>
        <w:tc>
          <w:tcPr>
            <w:tcW w:w="1105" w:type="dxa"/>
          </w:tcPr>
          <w:p>
            <w:pPr>
              <w:pStyle w:val="TableParagraph"/>
              <w:spacing w:line="242" w:lineRule="auto" w:before="3"/>
              <w:ind w:left="129" w:right="121"/>
              <w:jc w:val="center"/>
              <w:rPr>
                <w:sz w:val="21"/>
              </w:rPr>
            </w:pPr>
            <w:r>
              <w:rPr>
                <w:spacing w:val="-1"/>
                <w:sz w:val="21"/>
              </w:rPr>
              <w:t>生产量比上年增减</w:t>
            </w:r>
          </w:p>
          <w:p>
            <w:pPr>
              <w:pStyle w:val="TableParagraph"/>
              <w:spacing w:line="250" w:lineRule="exact" w:before="2"/>
              <w:ind w:left="127" w:right="121"/>
              <w:jc w:val="center"/>
              <w:rPr>
                <w:sz w:val="21"/>
              </w:rPr>
            </w:pPr>
            <w:r>
              <w:rPr>
                <w:sz w:val="21"/>
              </w:rPr>
              <w:t>（</w:t>
            </w:r>
            <w:r>
              <w:rPr>
                <w:rFonts w:ascii="Times New Roman" w:eastAsia="Times New Roman"/>
                <w:sz w:val="21"/>
              </w:rPr>
              <w:t>%</w:t>
            </w:r>
            <w:r>
              <w:rPr>
                <w:sz w:val="21"/>
              </w:rPr>
              <w:t>）</w:t>
            </w:r>
          </w:p>
        </w:tc>
        <w:tc>
          <w:tcPr>
            <w:tcW w:w="1103" w:type="dxa"/>
          </w:tcPr>
          <w:p>
            <w:pPr>
              <w:pStyle w:val="TableParagraph"/>
              <w:spacing w:line="242" w:lineRule="auto" w:before="3"/>
              <w:ind w:left="128" w:right="120"/>
              <w:jc w:val="center"/>
              <w:rPr>
                <w:sz w:val="21"/>
              </w:rPr>
            </w:pPr>
            <w:r>
              <w:rPr>
                <w:spacing w:val="-1"/>
                <w:sz w:val="21"/>
              </w:rPr>
              <w:t>销售量比上年增减</w:t>
            </w:r>
          </w:p>
          <w:p>
            <w:pPr>
              <w:pStyle w:val="TableParagraph"/>
              <w:spacing w:line="250" w:lineRule="exact" w:before="2"/>
              <w:ind w:left="126" w:right="120"/>
              <w:jc w:val="center"/>
              <w:rPr>
                <w:sz w:val="21"/>
              </w:rPr>
            </w:pPr>
            <w:r>
              <w:rPr>
                <w:sz w:val="21"/>
              </w:rPr>
              <w:t>（</w:t>
            </w:r>
            <w:r>
              <w:rPr>
                <w:rFonts w:ascii="Times New Roman" w:eastAsia="Times New Roman"/>
                <w:sz w:val="21"/>
              </w:rPr>
              <w:t>%</w:t>
            </w:r>
            <w:r>
              <w:rPr>
                <w:sz w:val="21"/>
              </w:rPr>
              <w:t>）</w:t>
            </w:r>
          </w:p>
        </w:tc>
        <w:tc>
          <w:tcPr>
            <w:tcW w:w="1100" w:type="dxa"/>
          </w:tcPr>
          <w:p>
            <w:pPr>
              <w:pStyle w:val="TableParagraph"/>
              <w:spacing w:line="242" w:lineRule="auto" w:before="3"/>
              <w:ind w:left="125" w:right="120"/>
              <w:jc w:val="center"/>
              <w:rPr>
                <w:sz w:val="21"/>
              </w:rPr>
            </w:pPr>
            <w:r>
              <w:rPr>
                <w:spacing w:val="-1"/>
                <w:sz w:val="21"/>
              </w:rPr>
              <w:t>库存量比上年增减</w:t>
            </w:r>
          </w:p>
          <w:p>
            <w:pPr>
              <w:pStyle w:val="TableParagraph"/>
              <w:spacing w:line="250" w:lineRule="exact" w:before="2"/>
              <w:ind w:left="122" w:right="120"/>
              <w:jc w:val="center"/>
              <w:rPr>
                <w:sz w:val="21"/>
              </w:rPr>
            </w:pPr>
            <w:r>
              <w:rPr>
                <w:sz w:val="21"/>
              </w:rPr>
              <w:t>（</w:t>
            </w:r>
            <w:r>
              <w:rPr>
                <w:rFonts w:ascii="Times New Roman" w:eastAsia="Times New Roman"/>
                <w:sz w:val="21"/>
              </w:rPr>
              <w:t>%</w:t>
            </w:r>
            <w:r>
              <w:rPr>
                <w:sz w:val="21"/>
              </w:rPr>
              <w:t>）</w:t>
            </w:r>
          </w:p>
        </w:tc>
      </w:tr>
      <w:tr>
        <w:trPr>
          <w:trHeight w:val="273" w:hRule="atLeast"/>
        </w:trPr>
        <w:tc>
          <w:tcPr>
            <w:tcW w:w="1102" w:type="dxa"/>
          </w:tcPr>
          <w:p>
            <w:pPr>
              <w:pStyle w:val="TableParagraph"/>
              <w:spacing w:line="252" w:lineRule="exact" w:before="1"/>
              <w:ind w:left="107"/>
              <w:rPr>
                <w:sz w:val="21"/>
              </w:rPr>
            </w:pPr>
            <w:r>
              <w:rPr>
                <w:sz w:val="21"/>
              </w:rPr>
              <w:t>网络设备</w:t>
            </w:r>
          </w:p>
        </w:tc>
        <w:tc>
          <w:tcPr>
            <w:tcW w:w="1105" w:type="dxa"/>
          </w:tcPr>
          <w:p>
            <w:pPr>
              <w:pStyle w:val="TableParagraph"/>
              <w:spacing w:line="252" w:lineRule="exact" w:before="1"/>
              <w:ind w:right="330"/>
              <w:jc w:val="right"/>
              <w:rPr>
                <w:sz w:val="21"/>
              </w:rPr>
            </w:pPr>
            <w:r>
              <w:rPr>
                <w:sz w:val="21"/>
              </w:rPr>
              <w:t>万台</w:t>
            </w:r>
          </w:p>
        </w:tc>
        <w:tc>
          <w:tcPr>
            <w:tcW w:w="1102" w:type="dxa"/>
          </w:tcPr>
          <w:p>
            <w:pPr>
              <w:pStyle w:val="TableParagraph"/>
              <w:spacing w:before="10"/>
              <w:ind w:right="92"/>
              <w:jc w:val="right"/>
              <w:rPr>
                <w:rFonts w:ascii="Times New Roman"/>
                <w:sz w:val="21"/>
              </w:rPr>
            </w:pPr>
            <w:r>
              <w:rPr>
                <w:rFonts w:ascii="Times New Roman"/>
                <w:sz w:val="21"/>
              </w:rPr>
              <w:t>26,198</w:t>
            </w:r>
          </w:p>
        </w:tc>
        <w:tc>
          <w:tcPr>
            <w:tcW w:w="1107" w:type="dxa"/>
          </w:tcPr>
          <w:p>
            <w:pPr>
              <w:pStyle w:val="TableParagraph"/>
              <w:spacing w:before="10"/>
              <w:ind w:right="98"/>
              <w:jc w:val="right"/>
              <w:rPr>
                <w:rFonts w:ascii="Times New Roman"/>
                <w:sz w:val="21"/>
              </w:rPr>
            </w:pPr>
            <w:r>
              <w:rPr>
                <w:rFonts w:ascii="Times New Roman"/>
                <w:sz w:val="21"/>
              </w:rPr>
              <w:t>26,198</w:t>
            </w:r>
          </w:p>
        </w:tc>
        <w:tc>
          <w:tcPr>
            <w:tcW w:w="1105" w:type="dxa"/>
          </w:tcPr>
          <w:p>
            <w:pPr>
              <w:pStyle w:val="TableParagraph"/>
              <w:spacing w:before="10"/>
              <w:ind w:right="98"/>
              <w:jc w:val="right"/>
              <w:rPr>
                <w:rFonts w:ascii="Times New Roman"/>
                <w:sz w:val="21"/>
              </w:rPr>
            </w:pPr>
            <w:r>
              <w:rPr>
                <w:rFonts w:ascii="Times New Roman"/>
                <w:w w:val="100"/>
                <w:sz w:val="21"/>
              </w:rPr>
              <w:t>0</w:t>
            </w:r>
          </w:p>
        </w:tc>
        <w:tc>
          <w:tcPr>
            <w:tcW w:w="1105" w:type="dxa"/>
          </w:tcPr>
          <w:p>
            <w:pPr>
              <w:pStyle w:val="TableParagraph"/>
              <w:spacing w:before="10"/>
              <w:ind w:right="97"/>
              <w:jc w:val="right"/>
              <w:rPr>
                <w:rFonts w:ascii="Times New Roman"/>
                <w:sz w:val="21"/>
              </w:rPr>
            </w:pPr>
            <w:r>
              <w:rPr>
                <w:rFonts w:ascii="Times New Roman"/>
                <w:sz w:val="21"/>
              </w:rPr>
              <w:t>18.30</w:t>
            </w:r>
          </w:p>
        </w:tc>
        <w:tc>
          <w:tcPr>
            <w:tcW w:w="1103" w:type="dxa"/>
          </w:tcPr>
          <w:p>
            <w:pPr>
              <w:pStyle w:val="TableParagraph"/>
              <w:spacing w:before="10"/>
              <w:ind w:right="95"/>
              <w:jc w:val="right"/>
              <w:rPr>
                <w:rFonts w:ascii="Times New Roman"/>
                <w:sz w:val="21"/>
              </w:rPr>
            </w:pPr>
            <w:r>
              <w:rPr>
                <w:rFonts w:ascii="Times New Roman"/>
                <w:sz w:val="21"/>
              </w:rPr>
              <w:t>18.30</w:t>
            </w:r>
          </w:p>
        </w:tc>
        <w:tc>
          <w:tcPr>
            <w:tcW w:w="1100" w:type="dxa"/>
          </w:tcPr>
          <w:p>
            <w:pPr>
              <w:pStyle w:val="TableParagraph"/>
              <w:spacing w:before="10"/>
              <w:ind w:right="1"/>
              <w:jc w:val="center"/>
              <w:rPr>
                <w:rFonts w:ascii="Times New Roman"/>
                <w:sz w:val="21"/>
              </w:rPr>
            </w:pPr>
            <w:r>
              <w:rPr>
                <w:rFonts w:ascii="Times New Roman"/>
                <w:w w:val="100"/>
                <w:sz w:val="21"/>
              </w:rPr>
              <w:t>-</w:t>
            </w:r>
          </w:p>
        </w:tc>
      </w:tr>
      <w:tr>
        <w:trPr>
          <w:trHeight w:val="270" w:hRule="atLeast"/>
        </w:trPr>
        <w:tc>
          <w:tcPr>
            <w:tcW w:w="1102" w:type="dxa"/>
          </w:tcPr>
          <w:p>
            <w:pPr>
              <w:pStyle w:val="TableParagraph"/>
              <w:spacing w:line="250" w:lineRule="exact" w:before="1"/>
              <w:ind w:left="107"/>
              <w:rPr>
                <w:sz w:val="21"/>
              </w:rPr>
            </w:pPr>
            <w:r>
              <w:rPr>
                <w:sz w:val="21"/>
              </w:rPr>
              <w:t>电信设备</w:t>
            </w:r>
          </w:p>
        </w:tc>
        <w:tc>
          <w:tcPr>
            <w:tcW w:w="1105" w:type="dxa"/>
          </w:tcPr>
          <w:p>
            <w:pPr>
              <w:pStyle w:val="TableParagraph"/>
              <w:spacing w:line="250" w:lineRule="exact" w:before="1"/>
              <w:ind w:right="330"/>
              <w:jc w:val="right"/>
              <w:rPr>
                <w:sz w:val="21"/>
              </w:rPr>
            </w:pPr>
            <w:r>
              <w:rPr>
                <w:sz w:val="21"/>
              </w:rPr>
              <w:t>万台</w:t>
            </w:r>
          </w:p>
        </w:tc>
        <w:tc>
          <w:tcPr>
            <w:tcW w:w="1102" w:type="dxa"/>
          </w:tcPr>
          <w:p>
            <w:pPr>
              <w:pStyle w:val="TableParagraph"/>
              <w:spacing w:before="7"/>
              <w:ind w:right="92"/>
              <w:jc w:val="right"/>
              <w:rPr>
                <w:rFonts w:ascii="Times New Roman"/>
                <w:sz w:val="21"/>
              </w:rPr>
            </w:pPr>
            <w:r>
              <w:rPr>
                <w:rFonts w:ascii="Times New Roman"/>
                <w:sz w:val="21"/>
              </w:rPr>
              <w:t>498</w:t>
            </w:r>
          </w:p>
        </w:tc>
        <w:tc>
          <w:tcPr>
            <w:tcW w:w="1107" w:type="dxa"/>
          </w:tcPr>
          <w:p>
            <w:pPr>
              <w:pStyle w:val="TableParagraph"/>
              <w:spacing w:before="7"/>
              <w:ind w:right="98"/>
              <w:jc w:val="right"/>
              <w:rPr>
                <w:rFonts w:ascii="Times New Roman"/>
                <w:sz w:val="21"/>
              </w:rPr>
            </w:pPr>
            <w:r>
              <w:rPr>
                <w:rFonts w:ascii="Times New Roman"/>
                <w:sz w:val="21"/>
              </w:rPr>
              <w:t>498</w:t>
            </w:r>
          </w:p>
        </w:tc>
        <w:tc>
          <w:tcPr>
            <w:tcW w:w="1105" w:type="dxa"/>
          </w:tcPr>
          <w:p>
            <w:pPr>
              <w:pStyle w:val="TableParagraph"/>
              <w:spacing w:before="7"/>
              <w:ind w:right="98"/>
              <w:jc w:val="right"/>
              <w:rPr>
                <w:rFonts w:ascii="Times New Roman"/>
                <w:sz w:val="21"/>
              </w:rPr>
            </w:pPr>
            <w:r>
              <w:rPr>
                <w:rFonts w:ascii="Times New Roman"/>
                <w:w w:val="100"/>
                <w:sz w:val="21"/>
              </w:rPr>
              <w:t>0</w:t>
            </w:r>
          </w:p>
        </w:tc>
        <w:tc>
          <w:tcPr>
            <w:tcW w:w="1105" w:type="dxa"/>
          </w:tcPr>
          <w:p>
            <w:pPr>
              <w:pStyle w:val="TableParagraph"/>
              <w:spacing w:before="7"/>
              <w:ind w:right="97"/>
              <w:jc w:val="right"/>
              <w:rPr>
                <w:rFonts w:ascii="Times New Roman"/>
                <w:sz w:val="21"/>
              </w:rPr>
            </w:pPr>
            <w:r>
              <w:rPr>
                <w:rFonts w:ascii="Times New Roman"/>
                <w:sz w:val="21"/>
              </w:rPr>
              <w:t>21.76</w:t>
            </w:r>
          </w:p>
        </w:tc>
        <w:tc>
          <w:tcPr>
            <w:tcW w:w="1103" w:type="dxa"/>
          </w:tcPr>
          <w:p>
            <w:pPr>
              <w:pStyle w:val="TableParagraph"/>
              <w:spacing w:before="7"/>
              <w:ind w:right="95"/>
              <w:jc w:val="right"/>
              <w:rPr>
                <w:rFonts w:ascii="Times New Roman"/>
                <w:sz w:val="21"/>
              </w:rPr>
            </w:pPr>
            <w:r>
              <w:rPr>
                <w:rFonts w:ascii="Times New Roman"/>
                <w:sz w:val="21"/>
              </w:rPr>
              <w:t>21.76</w:t>
            </w:r>
          </w:p>
        </w:tc>
        <w:tc>
          <w:tcPr>
            <w:tcW w:w="1100" w:type="dxa"/>
          </w:tcPr>
          <w:p>
            <w:pPr>
              <w:pStyle w:val="TableParagraph"/>
              <w:spacing w:before="7"/>
              <w:ind w:right="1"/>
              <w:jc w:val="center"/>
              <w:rPr>
                <w:rFonts w:ascii="Times New Roman"/>
                <w:sz w:val="21"/>
              </w:rPr>
            </w:pPr>
            <w:r>
              <w:rPr>
                <w:rFonts w:ascii="Times New Roman"/>
                <w:w w:val="100"/>
                <w:sz w:val="21"/>
              </w:rPr>
              <w:t>-</w:t>
            </w:r>
          </w:p>
        </w:tc>
      </w:tr>
      <w:tr>
        <w:trPr>
          <w:trHeight w:val="817" w:hRule="atLeast"/>
        </w:trPr>
        <w:tc>
          <w:tcPr>
            <w:tcW w:w="1102" w:type="dxa"/>
          </w:tcPr>
          <w:p>
            <w:pPr>
              <w:pStyle w:val="TableParagraph"/>
              <w:spacing w:before="1"/>
              <w:ind w:left="107"/>
              <w:rPr>
                <w:sz w:val="21"/>
              </w:rPr>
            </w:pPr>
            <w:r>
              <w:rPr>
                <w:spacing w:val="14"/>
                <w:sz w:val="21"/>
              </w:rPr>
              <w:t>通信网络</w:t>
            </w:r>
          </w:p>
          <w:p>
            <w:pPr>
              <w:pStyle w:val="TableParagraph"/>
              <w:spacing w:line="270" w:lineRule="atLeast"/>
              <w:ind w:left="107" w:right="79"/>
              <w:rPr>
                <w:sz w:val="21"/>
              </w:rPr>
            </w:pPr>
            <w:r>
              <w:rPr>
                <w:spacing w:val="10"/>
                <w:sz w:val="21"/>
              </w:rPr>
              <w:t>设备高精</w:t>
            </w:r>
            <w:r>
              <w:rPr>
                <w:sz w:val="21"/>
              </w:rPr>
              <w:t>密机构件</w:t>
            </w:r>
          </w:p>
        </w:tc>
        <w:tc>
          <w:tcPr>
            <w:tcW w:w="1105" w:type="dxa"/>
          </w:tcPr>
          <w:p>
            <w:pPr>
              <w:pStyle w:val="TableParagraph"/>
              <w:spacing w:before="5"/>
              <w:rPr>
                <w:sz w:val="21"/>
              </w:rPr>
            </w:pPr>
          </w:p>
          <w:p>
            <w:pPr>
              <w:pStyle w:val="TableParagraph"/>
              <w:ind w:right="330"/>
              <w:jc w:val="right"/>
              <w:rPr>
                <w:sz w:val="21"/>
              </w:rPr>
            </w:pPr>
            <w:r>
              <w:rPr>
                <w:sz w:val="21"/>
              </w:rPr>
              <w:t>万件</w:t>
            </w:r>
          </w:p>
        </w:tc>
        <w:tc>
          <w:tcPr>
            <w:tcW w:w="1102" w:type="dxa"/>
          </w:tcPr>
          <w:p>
            <w:pPr>
              <w:pStyle w:val="TableParagraph"/>
              <w:spacing w:before="12"/>
              <w:rPr>
                <w:sz w:val="21"/>
              </w:rPr>
            </w:pPr>
          </w:p>
          <w:p>
            <w:pPr>
              <w:pStyle w:val="TableParagraph"/>
              <w:ind w:right="92"/>
              <w:jc w:val="right"/>
              <w:rPr>
                <w:rFonts w:ascii="Times New Roman"/>
                <w:sz w:val="21"/>
              </w:rPr>
            </w:pPr>
            <w:r>
              <w:rPr>
                <w:rFonts w:ascii="Times New Roman"/>
                <w:sz w:val="21"/>
              </w:rPr>
              <w:t>110,269</w:t>
            </w:r>
          </w:p>
        </w:tc>
        <w:tc>
          <w:tcPr>
            <w:tcW w:w="1107" w:type="dxa"/>
          </w:tcPr>
          <w:p>
            <w:pPr>
              <w:pStyle w:val="TableParagraph"/>
              <w:spacing w:before="12"/>
              <w:rPr>
                <w:sz w:val="21"/>
              </w:rPr>
            </w:pPr>
          </w:p>
          <w:p>
            <w:pPr>
              <w:pStyle w:val="TableParagraph"/>
              <w:ind w:right="98"/>
              <w:jc w:val="right"/>
              <w:rPr>
                <w:rFonts w:ascii="Times New Roman"/>
                <w:sz w:val="21"/>
              </w:rPr>
            </w:pPr>
            <w:r>
              <w:rPr>
                <w:rFonts w:ascii="Times New Roman"/>
                <w:sz w:val="21"/>
              </w:rPr>
              <w:t>109,984</w:t>
            </w:r>
          </w:p>
        </w:tc>
        <w:tc>
          <w:tcPr>
            <w:tcW w:w="1105" w:type="dxa"/>
          </w:tcPr>
          <w:p>
            <w:pPr>
              <w:pStyle w:val="TableParagraph"/>
              <w:spacing w:before="12"/>
              <w:rPr>
                <w:sz w:val="21"/>
              </w:rPr>
            </w:pPr>
          </w:p>
          <w:p>
            <w:pPr>
              <w:pStyle w:val="TableParagraph"/>
              <w:ind w:right="96"/>
              <w:jc w:val="right"/>
              <w:rPr>
                <w:rFonts w:ascii="Times New Roman"/>
                <w:sz w:val="21"/>
              </w:rPr>
            </w:pPr>
            <w:r>
              <w:rPr>
                <w:rFonts w:ascii="Times New Roman"/>
                <w:sz w:val="21"/>
              </w:rPr>
              <w:t>2,309</w:t>
            </w:r>
          </w:p>
        </w:tc>
        <w:tc>
          <w:tcPr>
            <w:tcW w:w="1105" w:type="dxa"/>
          </w:tcPr>
          <w:p>
            <w:pPr>
              <w:pStyle w:val="TableParagraph"/>
              <w:spacing w:before="12"/>
              <w:rPr>
                <w:sz w:val="21"/>
              </w:rPr>
            </w:pPr>
          </w:p>
          <w:p>
            <w:pPr>
              <w:pStyle w:val="TableParagraph"/>
              <w:ind w:right="97"/>
              <w:jc w:val="right"/>
              <w:rPr>
                <w:rFonts w:ascii="Times New Roman"/>
                <w:sz w:val="21"/>
              </w:rPr>
            </w:pPr>
            <w:r>
              <w:rPr>
                <w:rFonts w:ascii="Times New Roman"/>
                <w:sz w:val="21"/>
              </w:rPr>
              <w:t>7.44</w:t>
            </w:r>
          </w:p>
        </w:tc>
        <w:tc>
          <w:tcPr>
            <w:tcW w:w="1103" w:type="dxa"/>
          </w:tcPr>
          <w:p>
            <w:pPr>
              <w:pStyle w:val="TableParagraph"/>
              <w:spacing w:before="12"/>
              <w:rPr>
                <w:sz w:val="21"/>
              </w:rPr>
            </w:pPr>
          </w:p>
          <w:p>
            <w:pPr>
              <w:pStyle w:val="TableParagraph"/>
              <w:ind w:right="95"/>
              <w:jc w:val="right"/>
              <w:rPr>
                <w:rFonts w:ascii="Times New Roman"/>
                <w:sz w:val="21"/>
              </w:rPr>
            </w:pPr>
            <w:r>
              <w:rPr>
                <w:rFonts w:ascii="Times New Roman"/>
                <w:sz w:val="21"/>
              </w:rPr>
              <w:t>8.79</w:t>
            </w:r>
          </w:p>
        </w:tc>
        <w:tc>
          <w:tcPr>
            <w:tcW w:w="1100" w:type="dxa"/>
          </w:tcPr>
          <w:p>
            <w:pPr>
              <w:pStyle w:val="TableParagraph"/>
              <w:spacing w:before="12"/>
              <w:rPr>
                <w:sz w:val="21"/>
              </w:rPr>
            </w:pPr>
          </w:p>
          <w:p>
            <w:pPr>
              <w:pStyle w:val="TableParagraph"/>
              <w:ind w:right="98"/>
              <w:jc w:val="right"/>
              <w:rPr>
                <w:rFonts w:ascii="Times New Roman"/>
                <w:sz w:val="21"/>
              </w:rPr>
            </w:pPr>
            <w:r>
              <w:rPr>
                <w:rFonts w:ascii="Times New Roman"/>
                <w:sz w:val="21"/>
              </w:rPr>
              <w:t>8.89</w:t>
            </w:r>
          </w:p>
        </w:tc>
      </w:tr>
      <w:tr>
        <w:trPr>
          <w:trHeight w:val="544" w:hRule="atLeast"/>
        </w:trPr>
        <w:tc>
          <w:tcPr>
            <w:tcW w:w="1102" w:type="dxa"/>
          </w:tcPr>
          <w:p>
            <w:pPr>
              <w:pStyle w:val="TableParagraph"/>
              <w:spacing w:before="1"/>
              <w:ind w:left="107"/>
              <w:rPr>
                <w:sz w:val="21"/>
              </w:rPr>
            </w:pPr>
            <w:r>
              <w:rPr>
                <w:spacing w:val="14"/>
                <w:sz w:val="21"/>
              </w:rPr>
              <w:t>服务器及</w:t>
            </w:r>
          </w:p>
          <w:p>
            <w:pPr>
              <w:pStyle w:val="TableParagraph"/>
              <w:spacing w:line="250" w:lineRule="exact" w:before="4"/>
              <w:ind w:left="107"/>
              <w:rPr>
                <w:sz w:val="21"/>
              </w:rPr>
            </w:pPr>
            <w:r>
              <w:rPr>
                <w:sz w:val="21"/>
              </w:rPr>
              <w:t>零组件</w:t>
            </w:r>
          </w:p>
        </w:tc>
        <w:tc>
          <w:tcPr>
            <w:tcW w:w="1105" w:type="dxa"/>
          </w:tcPr>
          <w:p>
            <w:pPr>
              <w:pStyle w:val="TableParagraph"/>
              <w:spacing w:before="137"/>
              <w:ind w:right="330"/>
              <w:jc w:val="right"/>
              <w:rPr>
                <w:sz w:val="21"/>
              </w:rPr>
            </w:pPr>
            <w:r>
              <w:rPr>
                <w:sz w:val="21"/>
              </w:rPr>
              <w:t>万台</w:t>
            </w:r>
          </w:p>
        </w:tc>
        <w:tc>
          <w:tcPr>
            <w:tcW w:w="1102" w:type="dxa"/>
          </w:tcPr>
          <w:p>
            <w:pPr>
              <w:pStyle w:val="TableParagraph"/>
              <w:spacing w:before="144"/>
              <w:ind w:right="92"/>
              <w:jc w:val="right"/>
              <w:rPr>
                <w:rFonts w:ascii="Times New Roman"/>
                <w:sz w:val="21"/>
              </w:rPr>
            </w:pPr>
            <w:r>
              <w:rPr>
                <w:rFonts w:ascii="Times New Roman"/>
                <w:sz w:val="21"/>
              </w:rPr>
              <w:t>1,506</w:t>
            </w:r>
          </w:p>
        </w:tc>
        <w:tc>
          <w:tcPr>
            <w:tcW w:w="1107" w:type="dxa"/>
          </w:tcPr>
          <w:p>
            <w:pPr>
              <w:pStyle w:val="TableParagraph"/>
              <w:spacing w:before="144"/>
              <w:ind w:right="98"/>
              <w:jc w:val="right"/>
              <w:rPr>
                <w:rFonts w:ascii="Times New Roman"/>
                <w:sz w:val="21"/>
              </w:rPr>
            </w:pPr>
            <w:r>
              <w:rPr>
                <w:rFonts w:ascii="Times New Roman"/>
                <w:sz w:val="21"/>
              </w:rPr>
              <w:t>1,454</w:t>
            </w:r>
          </w:p>
        </w:tc>
        <w:tc>
          <w:tcPr>
            <w:tcW w:w="1105" w:type="dxa"/>
          </w:tcPr>
          <w:p>
            <w:pPr>
              <w:pStyle w:val="TableParagraph"/>
              <w:spacing w:before="144"/>
              <w:ind w:right="96"/>
              <w:jc w:val="right"/>
              <w:rPr>
                <w:rFonts w:ascii="Times New Roman"/>
                <w:sz w:val="21"/>
              </w:rPr>
            </w:pPr>
            <w:r>
              <w:rPr>
                <w:rFonts w:ascii="Times New Roman"/>
                <w:sz w:val="21"/>
              </w:rPr>
              <w:t>400</w:t>
            </w:r>
          </w:p>
        </w:tc>
        <w:tc>
          <w:tcPr>
            <w:tcW w:w="1105" w:type="dxa"/>
          </w:tcPr>
          <w:p>
            <w:pPr>
              <w:pStyle w:val="TableParagraph"/>
              <w:spacing w:before="144"/>
              <w:ind w:right="99"/>
              <w:jc w:val="right"/>
              <w:rPr>
                <w:rFonts w:ascii="Times New Roman"/>
                <w:sz w:val="21"/>
              </w:rPr>
            </w:pPr>
            <w:r>
              <w:rPr>
                <w:rFonts w:ascii="Times New Roman"/>
                <w:sz w:val="21"/>
              </w:rPr>
              <w:t>-1.82</w:t>
            </w:r>
          </w:p>
        </w:tc>
        <w:tc>
          <w:tcPr>
            <w:tcW w:w="1103" w:type="dxa"/>
          </w:tcPr>
          <w:p>
            <w:pPr>
              <w:pStyle w:val="TableParagraph"/>
              <w:spacing w:before="144"/>
              <w:ind w:right="95"/>
              <w:jc w:val="right"/>
              <w:rPr>
                <w:rFonts w:ascii="Times New Roman"/>
                <w:sz w:val="21"/>
              </w:rPr>
            </w:pPr>
            <w:r>
              <w:rPr>
                <w:rFonts w:ascii="Times New Roman"/>
                <w:sz w:val="21"/>
              </w:rPr>
              <w:t>9.49</w:t>
            </w:r>
          </w:p>
        </w:tc>
        <w:tc>
          <w:tcPr>
            <w:tcW w:w="1100" w:type="dxa"/>
          </w:tcPr>
          <w:p>
            <w:pPr>
              <w:pStyle w:val="TableParagraph"/>
              <w:spacing w:before="144"/>
              <w:ind w:right="98"/>
              <w:jc w:val="right"/>
              <w:rPr>
                <w:rFonts w:ascii="Times New Roman"/>
                <w:sz w:val="21"/>
              </w:rPr>
            </w:pPr>
            <w:r>
              <w:rPr>
                <w:rFonts w:ascii="Times New Roman"/>
                <w:sz w:val="21"/>
              </w:rPr>
              <w:t>12.68</w:t>
            </w:r>
          </w:p>
        </w:tc>
      </w:tr>
      <w:tr>
        <w:trPr>
          <w:trHeight w:val="544" w:hRule="atLeast"/>
        </w:trPr>
        <w:tc>
          <w:tcPr>
            <w:tcW w:w="1102" w:type="dxa"/>
          </w:tcPr>
          <w:p>
            <w:pPr>
              <w:pStyle w:val="TableParagraph"/>
              <w:spacing w:before="1"/>
              <w:ind w:left="107"/>
              <w:rPr>
                <w:sz w:val="21"/>
              </w:rPr>
            </w:pPr>
            <w:r>
              <w:rPr>
                <w:spacing w:val="14"/>
                <w:sz w:val="21"/>
              </w:rPr>
              <w:t>存储设备</w:t>
            </w:r>
          </w:p>
          <w:p>
            <w:pPr>
              <w:pStyle w:val="TableParagraph"/>
              <w:spacing w:line="250" w:lineRule="exact" w:before="4"/>
              <w:ind w:left="107"/>
              <w:rPr>
                <w:sz w:val="21"/>
              </w:rPr>
            </w:pPr>
            <w:r>
              <w:rPr>
                <w:sz w:val="21"/>
              </w:rPr>
              <w:t>及零组件</w:t>
            </w:r>
          </w:p>
        </w:tc>
        <w:tc>
          <w:tcPr>
            <w:tcW w:w="1105" w:type="dxa"/>
          </w:tcPr>
          <w:p>
            <w:pPr>
              <w:pStyle w:val="TableParagraph"/>
              <w:spacing w:before="138"/>
              <w:ind w:right="330"/>
              <w:jc w:val="right"/>
              <w:rPr>
                <w:sz w:val="21"/>
              </w:rPr>
            </w:pPr>
            <w:r>
              <w:rPr>
                <w:sz w:val="21"/>
              </w:rPr>
              <w:t>万台</w:t>
            </w:r>
          </w:p>
        </w:tc>
        <w:tc>
          <w:tcPr>
            <w:tcW w:w="1102" w:type="dxa"/>
          </w:tcPr>
          <w:p>
            <w:pPr>
              <w:pStyle w:val="TableParagraph"/>
              <w:spacing w:before="144"/>
              <w:ind w:right="92"/>
              <w:jc w:val="right"/>
              <w:rPr>
                <w:rFonts w:ascii="Times New Roman"/>
                <w:sz w:val="21"/>
              </w:rPr>
            </w:pPr>
            <w:r>
              <w:rPr>
                <w:rFonts w:ascii="Times New Roman"/>
                <w:sz w:val="21"/>
              </w:rPr>
              <w:t>182</w:t>
            </w:r>
          </w:p>
        </w:tc>
        <w:tc>
          <w:tcPr>
            <w:tcW w:w="1107" w:type="dxa"/>
          </w:tcPr>
          <w:p>
            <w:pPr>
              <w:pStyle w:val="TableParagraph"/>
              <w:spacing w:before="144"/>
              <w:ind w:right="98"/>
              <w:jc w:val="right"/>
              <w:rPr>
                <w:rFonts w:ascii="Times New Roman"/>
                <w:sz w:val="21"/>
              </w:rPr>
            </w:pPr>
            <w:r>
              <w:rPr>
                <w:rFonts w:ascii="Times New Roman"/>
                <w:sz w:val="21"/>
              </w:rPr>
              <w:t>181</w:t>
            </w:r>
          </w:p>
        </w:tc>
        <w:tc>
          <w:tcPr>
            <w:tcW w:w="1105" w:type="dxa"/>
          </w:tcPr>
          <w:p>
            <w:pPr>
              <w:pStyle w:val="TableParagraph"/>
              <w:spacing w:before="144"/>
              <w:ind w:right="98"/>
              <w:jc w:val="right"/>
              <w:rPr>
                <w:rFonts w:ascii="Times New Roman"/>
                <w:sz w:val="21"/>
              </w:rPr>
            </w:pPr>
            <w:r>
              <w:rPr>
                <w:rFonts w:ascii="Times New Roman"/>
                <w:sz w:val="21"/>
              </w:rPr>
              <w:t>40</w:t>
            </w:r>
          </w:p>
        </w:tc>
        <w:tc>
          <w:tcPr>
            <w:tcW w:w="1105" w:type="dxa"/>
          </w:tcPr>
          <w:p>
            <w:pPr>
              <w:pStyle w:val="TableParagraph"/>
              <w:spacing w:before="144"/>
              <w:ind w:right="99"/>
              <w:jc w:val="right"/>
              <w:rPr>
                <w:rFonts w:ascii="Times New Roman"/>
                <w:sz w:val="21"/>
              </w:rPr>
            </w:pPr>
            <w:r>
              <w:rPr>
                <w:rFonts w:ascii="Times New Roman"/>
                <w:sz w:val="21"/>
              </w:rPr>
              <w:t>-35.23</w:t>
            </w:r>
          </w:p>
        </w:tc>
        <w:tc>
          <w:tcPr>
            <w:tcW w:w="1103" w:type="dxa"/>
          </w:tcPr>
          <w:p>
            <w:pPr>
              <w:pStyle w:val="TableParagraph"/>
              <w:spacing w:before="144"/>
              <w:ind w:right="98"/>
              <w:jc w:val="right"/>
              <w:rPr>
                <w:rFonts w:ascii="Times New Roman"/>
                <w:sz w:val="21"/>
              </w:rPr>
            </w:pPr>
            <w:r>
              <w:rPr>
                <w:rFonts w:ascii="Times New Roman"/>
                <w:sz w:val="21"/>
              </w:rPr>
              <w:t>-34.66</w:t>
            </w:r>
          </w:p>
        </w:tc>
        <w:tc>
          <w:tcPr>
            <w:tcW w:w="1100" w:type="dxa"/>
          </w:tcPr>
          <w:p>
            <w:pPr>
              <w:pStyle w:val="TableParagraph"/>
              <w:spacing w:before="144"/>
              <w:ind w:right="98"/>
              <w:jc w:val="right"/>
              <w:rPr>
                <w:rFonts w:ascii="Times New Roman"/>
                <w:sz w:val="21"/>
              </w:rPr>
            </w:pPr>
            <w:r>
              <w:rPr>
                <w:rFonts w:ascii="Times New Roman"/>
                <w:sz w:val="21"/>
              </w:rPr>
              <w:t>2.56</w:t>
            </w:r>
          </w:p>
        </w:tc>
      </w:tr>
      <w:tr>
        <w:trPr>
          <w:trHeight w:val="818" w:hRule="atLeast"/>
        </w:trPr>
        <w:tc>
          <w:tcPr>
            <w:tcW w:w="1102" w:type="dxa"/>
          </w:tcPr>
          <w:p>
            <w:pPr>
              <w:pStyle w:val="TableParagraph"/>
              <w:spacing w:before="1"/>
              <w:ind w:left="107"/>
              <w:rPr>
                <w:sz w:val="21"/>
              </w:rPr>
            </w:pPr>
            <w:r>
              <w:rPr>
                <w:spacing w:val="14"/>
                <w:sz w:val="21"/>
              </w:rPr>
              <w:t>云服务设</w:t>
            </w:r>
          </w:p>
          <w:p>
            <w:pPr>
              <w:pStyle w:val="TableParagraph"/>
              <w:spacing w:line="270" w:lineRule="atLeast"/>
              <w:ind w:left="107" w:right="79"/>
              <w:rPr>
                <w:sz w:val="21"/>
              </w:rPr>
            </w:pPr>
            <w:r>
              <w:rPr>
                <w:spacing w:val="10"/>
                <w:sz w:val="21"/>
              </w:rPr>
              <w:t>备高精密</w:t>
            </w:r>
            <w:r>
              <w:rPr>
                <w:sz w:val="21"/>
              </w:rPr>
              <w:t>机构件</w:t>
            </w:r>
          </w:p>
        </w:tc>
        <w:tc>
          <w:tcPr>
            <w:tcW w:w="1105" w:type="dxa"/>
          </w:tcPr>
          <w:p>
            <w:pPr>
              <w:pStyle w:val="TableParagraph"/>
              <w:spacing w:before="6"/>
              <w:rPr>
                <w:sz w:val="21"/>
              </w:rPr>
            </w:pPr>
          </w:p>
          <w:p>
            <w:pPr>
              <w:pStyle w:val="TableParagraph"/>
              <w:ind w:right="330"/>
              <w:jc w:val="right"/>
              <w:rPr>
                <w:sz w:val="21"/>
              </w:rPr>
            </w:pPr>
            <w:r>
              <w:rPr>
                <w:sz w:val="21"/>
              </w:rPr>
              <w:t>万件</w:t>
            </w:r>
          </w:p>
        </w:tc>
        <w:tc>
          <w:tcPr>
            <w:tcW w:w="1102" w:type="dxa"/>
          </w:tcPr>
          <w:p>
            <w:pPr>
              <w:pStyle w:val="TableParagraph"/>
              <w:spacing w:before="12"/>
              <w:rPr>
                <w:sz w:val="21"/>
              </w:rPr>
            </w:pPr>
          </w:p>
          <w:p>
            <w:pPr>
              <w:pStyle w:val="TableParagraph"/>
              <w:ind w:right="92"/>
              <w:jc w:val="right"/>
              <w:rPr>
                <w:rFonts w:ascii="Times New Roman"/>
                <w:sz w:val="21"/>
              </w:rPr>
            </w:pPr>
            <w:r>
              <w:rPr>
                <w:rFonts w:ascii="Times New Roman"/>
                <w:sz w:val="21"/>
              </w:rPr>
              <w:t>3,134</w:t>
            </w:r>
          </w:p>
        </w:tc>
        <w:tc>
          <w:tcPr>
            <w:tcW w:w="1107" w:type="dxa"/>
          </w:tcPr>
          <w:p>
            <w:pPr>
              <w:pStyle w:val="TableParagraph"/>
              <w:spacing w:before="12"/>
              <w:rPr>
                <w:sz w:val="21"/>
              </w:rPr>
            </w:pPr>
          </w:p>
          <w:p>
            <w:pPr>
              <w:pStyle w:val="TableParagraph"/>
              <w:ind w:right="98"/>
              <w:jc w:val="right"/>
              <w:rPr>
                <w:rFonts w:ascii="Times New Roman"/>
                <w:sz w:val="21"/>
              </w:rPr>
            </w:pPr>
            <w:r>
              <w:rPr>
                <w:rFonts w:ascii="Times New Roman"/>
                <w:sz w:val="21"/>
              </w:rPr>
              <w:t>3,210</w:t>
            </w:r>
          </w:p>
        </w:tc>
        <w:tc>
          <w:tcPr>
            <w:tcW w:w="1105" w:type="dxa"/>
          </w:tcPr>
          <w:p>
            <w:pPr>
              <w:pStyle w:val="TableParagraph"/>
              <w:spacing w:before="12"/>
              <w:rPr>
                <w:sz w:val="21"/>
              </w:rPr>
            </w:pPr>
          </w:p>
          <w:p>
            <w:pPr>
              <w:pStyle w:val="TableParagraph"/>
              <w:ind w:right="96"/>
              <w:jc w:val="right"/>
              <w:rPr>
                <w:rFonts w:ascii="Times New Roman"/>
                <w:sz w:val="21"/>
              </w:rPr>
            </w:pPr>
            <w:r>
              <w:rPr>
                <w:rFonts w:ascii="Times New Roman"/>
                <w:sz w:val="21"/>
              </w:rPr>
              <w:t>566</w:t>
            </w:r>
          </w:p>
        </w:tc>
        <w:tc>
          <w:tcPr>
            <w:tcW w:w="1105" w:type="dxa"/>
          </w:tcPr>
          <w:p>
            <w:pPr>
              <w:pStyle w:val="TableParagraph"/>
              <w:spacing w:before="12"/>
              <w:rPr>
                <w:sz w:val="21"/>
              </w:rPr>
            </w:pPr>
          </w:p>
          <w:p>
            <w:pPr>
              <w:pStyle w:val="TableParagraph"/>
              <w:ind w:right="97"/>
              <w:jc w:val="right"/>
              <w:rPr>
                <w:rFonts w:ascii="Times New Roman"/>
                <w:sz w:val="21"/>
              </w:rPr>
            </w:pPr>
            <w:r>
              <w:rPr>
                <w:rFonts w:ascii="Times New Roman"/>
                <w:sz w:val="21"/>
              </w:rPr>
              <w:t>0.77</w:t>
            </w:r>
          </w:p>
        </w:tc>
        <w:tc>
          <w:tcPr>
            <w:tcW w:w="1103" w:type="dxa"/>
          </w:tcPr>
          <w:p>
            <w:pPr>
              <w:pStyle w:val="TableParagraph"/>
              <w:spacing w:before="12"/>
              <w:rPr>
                <w:sz w:val="21"/>
              </w:rPr>
            </w:pPr>
          </w:p>
          <w:p>
            <w:pPr>
              <w:pStyle w:val="TableParagraph"/>
              <w:ind w:right="95"/>
              <w:jc w:val="right"/>
              <w:rPr>
                <w:rFonts w:ascii="Times New Roman"/>
                <w:sz w:val="21"/>
              </w:rPr>
            </w:pPr>
            <w:r>
              <w:rPr>
                <w:rFonts w:ascii="Times New Roman"/>
                <w:sz w:val="21"/>
              </w:rPr>
              <w:t>9.33</w:t>
            </w:r>
          </w:p>
        </w:tc>
        <w:tc>
          <w:tcPr>
            <w:tcW w:w="1100" w:type="dxa"/>
          </w:tcPr>
          <w:p>
            <w:pPr>
              <w:pStyle w:val="TableParagraph"/>
              <w:spacing w:before="12"/>
              <w:rPr>
                <w:sz w:val="21"/>
              </w:rPr>
            </w:pPr>
          </w:p>
          <w:p>
            <w:pPr>
              <w:pStyle w:val="TableParagraph"/>
              <w:ind w:right="101"/>
              <w:jc w:val="right"/>
              <w:rPr>
                <w:rFonts w:ascii="Times New Roman"/>
                <w:sz w:val="21"/>
              </w:rPr>
            </w:pPr>
            <w:r>
              <w:rPr>
                <w:rFonts w:ascii="Times New Roman"/>
                <w:sz w:val="21"/>
              </w:rPr>
              <w:t>-11.84</w:t>
            </w:r>
          </w:p>
        </w:tc>
      </w:tr>
      <w:tr>
        <w:trPr>
          <w:trHeight w:val="270" w:hRule="atLeast"/>
        </w:trPr>
        <w:tc>
          <w:tcPr>
            <w:tcW w:w="1102" w:type="dxa"/>
          </w:tcPr>
          <w:p>
            <w:pPr>
              <w:pStyle w:val="TableParagraph"/>
              <w:spacing w:line="250" w:lineRule="exact" w:before="1"/>
              <w:ind w:left="107"/>
              <w:rPr>
                <w:sz w:val="21"/>
              </w:rPr>
            </w:pPr>
            <w:r>
              <w:rPr>
                <w:sz w:val="21"/>
              </w:rPr>
              <w:t>精密工具</w:t>
            </w:r>
          </w:p>
        </w:tc>
        <w:tc>
          <w:tcPr>
            <w:tcW w:w="1105" w:type="dxa"/>
          </w:tcPr>
          <w:p>
            <w:pPr>
              <w:pStyle w:val="TableParagraph"/>
              <w:spacing w:line="250" w:lineRule="exact" w:before="1"/>
              <w:ind w:right="330"/>
              <w:jc w:val="right"/>
              <w:rPr>
                <w:sz w:val="21"/>
              </w:rPr>
            </w:pPr>
            <w:r>
              <w:rPr>
                <w:sz w:val="21"/>
              </w:rPr>
              <w:t>万件</w:t>
            </w:r>
          </w:p>
        </w:tc>
        <w:tc>
          <w:tcPr>
            <w:tcW w:w="1102" w:type="dxa"/>
          </w:tcPr>
          <w:p>
            <w:pPr>
              <w:pStyle w:val="TableParagraph"/>
              <w:spacing w:before="7"/>
              <w:ind w:right="92"/>
              <w:jc w:val="right"/>
              <w:rPr>
                <w:rFonts w:ascii="Times New Roman"/>
                <w:sz w:val="21"/>
              </w:rPr>
            </w:pPr>
            <w:r>
              <w:rPr>
                <w:rFonts w:ascii="Times New Roman"/>
                <w:sz w:val="21"/>
              </w:rPr>
              <w:t>278</w:t>
            </w:r>
          </w:p>
        </w:tc>
        <w:tc>
          <w:tcPr>
            <w:tcW w:w="1107" w:type="dxa"/>
          </w:tcPr>
          <w:p>
            <w:pPr>
              <w:pStyle w:val="TableParagraph"/>
              <w:spacing w:before="7"/>
              <w:ind w:right="98"/>
              <w:jc w:val="right"/>
              <w:rPr>
                <w:rFonts w:ascii="Times New Roman"/>
                <w:sz w:val="21"/>
              </w:rPr>
            </w:pPr>
            <w:r>
              <w:rPr>
                <w:rFonts w:ascii="Times New Roman"/>
                <w:sz w:val="21"/>
              </w:rPr>
              <w:t>261</w:t>
            </w:r>
          </w:p>
        </w:tc>
        <w:tc>
          <w:tcPr>
            <w:tcW w:w="1105" w:type="dxa"/>
          </w:tcPr>
          <w:p>
            <w:pPr>
              <w:pStyle w:val="TableParagraph"/>
              <w:spacing w:before="7"/>
              <w:ind w:right="98"/>
              <w:jc w:val="right"/>
              <w:rPr>
                <w:rFonts w:ascii="Times New Roman"/>
                <w:sz w:val="21"/>
              </w:rPr>
            </w:pPr>
            <w:r>
              <w:rPr>
                <w:rFonts w:ascii="Times New Roman"/>
                <w:sz w:val="21"/>
              </w:rPr>
              <w:t>16</w:t>
            </w:r>
          </w:p>
        </w:tc>
        <w:tc>
          <w:tcPr>
            <w:tcW w:w="1105" w:type="dxa"/>
          </w:tcPr>
          <w:p>
            <w:pPr>
              <w:pStyle w:val="TableParagraph"/>
              <w:spacing w:before="7"/>
              <w:ind w:right="99"/>
              <w:jc w:val="right"/>
              <w:rPr>
                <w:rFonts w:ascii="Times New Roman"/>
                <w:sz w:val="21"/>
              </w:rPr>
            </w:pPr>
            <w:r>
              <w:rPr>
                <w:rFonts w:ascii="Times New Roman"/>
                <w:sz w:val="21"/>
              </w:rPr>
              <w:t>-50.23</w:t>
            </w:r>
          </w:p>
        </w:tc>
        <w:tc>
          <w:tcPr>
            <w:tcW w:w="1103" w:type="dxa"/>
          </w:tcPr>
          <w:p>
            <w:pPr>
              <w:pStyle w:val="TableParagraph"/>
              <w:spacing w:before="7"/>
              <w:ind w:right="98"/>
              <w:jc w:val="right"/>
              <w:rPr>
                <w:rFonts w:ascii="Times New Roman"/>
                <w:sz w:val="21"/>
              </w:rPr>
            </w:pPr>
            <w:r>
              <w:rPr>
                <w:rFonts w:ascii="Times New Roman"/>
                <w:sz w:val="21"/>
              </w:rPr>
              <w:t>-50.82</w:t>
            </w:r>
          </w:p>
        </w:tc>
        <w:tc>
          <w:tcPr>
            <w:tcW w:w="1100" w:type="dxa"/>
          </w:tcPr>
          <w:p>
            <w:pPr>
              <w:pStyle w:val="TableParagraph"/>
              <w:spacing w:before="7"/>
              <w:ind w:right="101"/>
              <w:jc w:val="right"/>
              <w:rPr>
                <w:rFonts w:ascii="Times New Roman"/>
                <w:sz w:val="21"/>
              </w:rPr>
            </w:pPr>
            <w:r>
              <w:rPr>
                <w:rFonts w:ascii="Times New Roman"/>
                <w:sz w:val="21"/>
              </w:rPr>
              <w:t>-42.71</w:t>
            </w:r>
          </w:p>
        </w:tc>
      </w:tr>
      <w:tr>
        <w:trPr>
          <w:trHeight w:val="1091" w:hRule="atLeast"/>
        </w:trPr>
        <w:tc>
          <w:tcPr>
            <w:tcW w:w="1102" w:type="dxa"/>
          </w:tcPr>
          <w:p>
            <w:pPr>
              <w:pStyle w:val="TableParagraph"/>
              <w:spacing w:line="242" w:lineRule="auto" w:before="3"/>
              <w:ind w:left="107" w:right="79"/>
              <w:jc w:val="both"/>
              <w:rPr>
                <w:sz w:val="21"/>
              </w:rPr>
            </w:pPr>
            <w:r>
              <w:rPr>
                <w:spacing w:val="10"/>
                <w:sz w:val="21"/>
              </w:rPr>
              <w:t>工业机器</w:t>
            </w:r>
            <w:r>
              <w:rPr>
                <w:spacing w:val="14"/>
                <w:sz w:val="21"/>
              </w:rPr>
              <w:t>人（</w:t>
            </w:r>
            <w:r>
              <w:rPr>
                <w:spacing w:val="7"/>
                <w:sz w:val="21"/>
              </w:rPr>
              <w:t>含周</w:t>
            </w:r>
            <w:r>
              <w:rPr>
                <w:spacing w:val="10"/>
                <w:sz w:val="21"/>
              </w:rPr>
              <w:t>边设备、</w:t>
            </w:r>
          </w:p>
          <w:p>
            <w:pPr>
              <w:pStyle w:val="TableParagraph"/>
              <w:spacing w:line="252" w:lineRule="exact" w:before="1"/>
              <w:ind w:left="107"/>
              <w:rPr>
                <w:sz w:val="21"/>
              </w:rPr>
            </w:pPr>
            <w:r>
              <w:rPr>
                <w:sz w:val="21"/>
              </w:rPr>
              <w:t>结构件）</w:t>
            </w:r>
          </w:p>
        </w:tc>
        <w:tc>
          <w:tcPr>
            <w:tcW w:w="1105" w:type="dxa"/>
          </w:tcPr>
          <w:p>
            <w:pPr>
              <w:pStyle w:val="TableParagraph"/>
              <w:rPr>
                <w:sz w:val="20"/>
              </w:rPr>
            </w:pPr>
          </w:p>
          <w:p>
            <w:pPr>
              <w:pStyle w:val="TableParagraph"/>
              <w:spacing w:before="155"/>
              <w:ind w:right="330"/>
              <w:jc w:val="right"/>
              <w:rPr>
                <w:sz w:val="21"/>
              </w:rPr>
            </w:pPr>
            <w:r>
              <w:rPr>
                <w:sz w:val="21"/>
              </w:rPr>
              <w:t>万台</w:t>
            </w:r>
          </w:p>
        </w:tc>
        <w:tc>
          <w:tcPr>
            <w:tcW w:w="1102" w:type="dxa"/>
          </w:tcPr>
          <w:p>
            <w:pPr>
              <w:pStyle w:val="TableParagraph"/>
              <w:spacing w:before="8"/>
              <w:rPr>
                <w:sz w:val="32"/>
              </w:rPr>
            </w:pPr>
          </w:p>
          <w:p>
            <w:pPr>
              <w:pStyle w:val="TableParagraph"/>
              <w:ind w:right="92"/>
              <w:jc w:val="right"/>
              <w:rPr>
                <w:rFonts w:ascii="Times New Roman"/>
                <w:sz w:val="21"/>
              </w:rPr>
            </w:pPr>
            <w:r>
              <w:rPr>
                <w:rFonts w:ascii="Times New Roman"/>
                <w:sz w:val="21"/>
              </w:rPr>
              <w:t>0.5996</w:t>
            </w:r>
          </w:p>
        </w:tc>
        <w:tc>
          <w:tcPr>
            <w:tcW w:w="1107" w:type="dxa"/>
          </w:tcPr>
          <w:p>
            <w:pPr>
              <w:pStyle w:val="TableParagraph"/>
              <w:spacing w:before="8"/>
              <w:rPr>
                <w:sz w:val="32"/>
              </w:rPr>
            </w:pPr>
          </w:p>
          <w:p>
            <w:pPr>
              <w:pStyle w:val="TableParagraph"/>
              <w:ind w:right="98"/>
              <w:jc w:val="right"/>
              <w:rPr>
                <w:rFonts w:ascii="Times New Roman"/>
                <w:sz w:val="21"/>
              </w:rPr>
            </w:pPr>
            <w:r>
              <w:rPr>
                <w:rFonts w:ascii="Times New Roman"/>
                <w:sz w:val="21"/>
              </w:rPr>
              <w:t>0.6311</w:t>
            </w:r>
          </w:p>
        </w:tc>
        <w:tc>
          <w:tcPr>
            <w:tcW w:w="1105" w:type="dxa"/>
          </w:tcPr>
          <w:p>
            <w:pPr>
              <w:pStyle w:val="TableParagraph"/>
              <w:spacing w:before="8"/>
              <w:rPr>
                <w:sz w:val="32"/>
              </w:rPr>
            </w:pPr>
          </w:p>
          <w:p>
            <w:pPr>
              <w:pStyle w:val="TableParagraph"/>
              <w:ind w:right="96"/>
              <w:jc w:val="right"/>
              <w:rPr>
                <w:rFonts w:ascii="Times New Roman"/>
                <w:sz w:val="21"/>
              </w:rPr>
            </w:pPr>
            <w:r>
              <w:rPr>
                <w:rFonts w:ascii="Times New Roman"/>
                <w:sz w:val="21"/>
              </w:rPr>
              <w:t>0.0433</w:t>
            </w:r>
          </w:p>
        </w:tc>
        <w:tc>
          <w:tcPr>
            <w:tcW w:w="1105" w:type="dxa"/>
          </w:tcPr>
          <w:p>
            <w:pPr>
              <w:pStyle w:val="TableParagraph"/>
              <w:spacing w:before="8"/>
              <w:rPr>
                <w:sz w:val="32"/>
              </w:rPr>
            </w:pPr>
          </w:p>
          <w:p>
            <w:pPr>
              <w:pStyle w:val="TableParagraph"/>
              <w:ind w:right="97"/>
              <w:jc w:val="right"/>
              <w:rPr>
                <w:rFonts w:ascii="Times New Roman"/>
                <w:sz w:val="21"/>
              </w:rPr>
            </w:pPr>
            <w:r>
              <w:rPr>
                <w:rFonts w:ascii="Times New Roman"/>
                <w:sz w:val="21"/>
              </w:rPr>
              <w:t>6.54</w:t>
            </w:r>
          </w:p>
        </w:tc>
        <w:tc>
          <w:tcPr>
            <w:tcW w:w="1103" w:type="dxa"/>
          </w:tcPr>
          <w:p>
            <w:pPr>
              <w:pStyle w:val="TableParagraph"/>
              <w:spacing w:before="8"/>
              <w:rPr>
                <w:sz w:val="32"/>
              </w:rPr>
            </w:pPr>
          </w:p>
          <w:p>
            <w:pPr>
              <w:pStyle w:val="TableParagraph"/>
              <w:ind w:right="95"/>
              <w:jc w:val="right"/>
              <w:rPr>
                <w:rFonts w:ascii="Times New Roman"/>
                <w:sz w:val="21"/>
              </w:rPr>
            </w:pPr>
            <w:r>
              <w:rPr>
                <w:rFonts w:ascii="Times New Roman"/>
                <w:sz w:val="21"/>
              </w:rPr>
              <w:t>16.05</w:t>
            </w:r>
          </w:p>
        </w:tc>
        <w:tc>
          <w:tcPr>
            <w:tcW w:w="1100" w:type="dxa"/>
          </w:tcPr>
          <w:p>
            <w:pPr>
              <w:pStyle w:val="TableParagraph"/>
              <w:spacing w:before="8"/>
              <w:rPr>
                <w:sz w:val="32"/>
              </w:rPr>
            </w:pPr>
          </w:p>
          <w:p>
            <w:pPr>
              <w:pStyle w:val="TableParagraph"/>
              <w:ind w:right="101"/>
              <w:jc w:val="right"/>
              <w:rPr>
                <w:rFonts w:ascii="Times New Roman"/>
                <w:sz w:val="21"/>
              </w:rPr>
            </w:pPr>
            <w:r>
              <w:rPr>
                <w:rFonts w:ascii="Times New Roman"/>
                <w:sz w:val="21"/>
              </w:rPr>
              <w:t>-42.11</w:t>
            </w:r>
          </w:p>
        </w:tc>
      </w:tr>
    </w:tbl>
    <w:p>
      <w:pPr>
        <w:pStyle w:val="BodyText"/>
        <w:spacing w:before="1"/>
        <w:ind w:left="638"/>
      </w:pPr>
      <w:r>
        <w:rPr>
          <w:spacing w:val="-1"/>
        </w:rPr>
        <w:t>产销量情况说明</w:t>
      </w:r>
      <w:r>
        <w:rPr/>
        <w:t> </w:t>
      </w:r>
    </w:p>
    <w:p>
      <w:pPr>
        <w:pStyle w:val="BodyText"/>
        <w:spacing w:line="244" w:lineRule="auto" w:before="2"/>
        <w:ind w:left="638" w:right="234"/>
      </w:pPr>
      <w:r>
        <w:rPr/>
        <w:t>公司各类型的主要产品包括不同整机及其零组件，产品单价差异较大，各年度产品数量受产品结构变化影响较大。 </w:t>
      </w:r>
    </w:p>
    <w:p>
      <w:pPr>
        <w:pStyle w:val="BodyText"/>
        <w:spacing w:line="265" w:lineRule="exact"/>
        <w:ind w:left="638"/>
      </w:pPr>
      <w:r>
        <w:rPr>
          <w:w w:val="100"/>
        </w:rPr>
        <w:t> </w:t>
      </w:r>
    </w:p>
    <w:p>
      <w:pPr>
        <w:pStyle w:val="ListParagraph"/>
        <w:numPr>
          <w:ilvl w:val="0"/>
          <w:numId w:val="4"/>
        </w:numPr>
        <w:tabs>
          <w:tab w:pos="1205" w:val="left" w:leader="none"/>
        </w:tabs>
        <w:spacing w:line="240" w:lineRule="auto" w:before="65" w:after="0"/>
        <w:ind w:left="1204" w:right="0" w:hanging="567"/>
        <w:jc w:val="left"/>
        <w:rPr>
          <w:sz w:val="21"/>
        </w:rPr>
      </w:pPr>
      <w:r>
        <w:rPr>
          <w:sz w:val="21"/>
        </w:rPr>
        <w:t>重大采购合同、重大销售合同的履行情况</w:t>
      </w:r>
    </w:p>
    <w:p>
      <w:pPr>
        <w:pStyle w:val="BodyText"/>
        <w:spacing w:before="62"/>
        <w:ind w:left="638"/>
      </w:pPr>
      <w:r>
        <w:rPr>
          <w:spacing w:val="-1"/>
        </w:rPr>
        <w:t>□适用 √不适用</w:t>
      </w:r>
      <w:r>
        <w:rPr>
          <w:spacing w:val="-3"/>
        </w:rPr>
        <w:t> </w:t>
      </w:r>
      <w:r>
        <w:rPr/>
        <w:t> </w:t>
      </w:r>
    </w:p>
    <w:p>
      <w:pPr>
        <w:pStyle w:val="BodyText"/>
        <w:spacing w:before="2"/>
        <w:ind w:left="638"/>
      </w:pPr>
      <w:r>
        <w:rPr>
          <w:w w:val="100"/>
        </w:rPr>
        <w:t> </w:t>
      </w:r>
    </w:p>
    <w:p>
      <w:pPr>
        <w:pStyle w:val="ListParagraph"/>
        <w:numPr>
          <w:ilvl w:val="0"/>
          <w:numId w:val="4"/>
        </w:numPr>
        <w:tabs>
          <w:tab w:pos="1205" w:val="left" w:leader="none"/>
        </w:tabs>
        <w:spacing w:line="240" w:lineRule="auto" w:before="65" w:after="0"/>
        <w:ind w:left="1204" w:right="0" w:hanging="567"/>
        <w:jc w:val="left"/>
        <w:rPr>
          <w:sz w:val="21"/>
        </w:rPr>
      </w:pPr>
      <w:r>
        <w:rPr>
          <w:sz w:val="21"/>
        </w:rPr>
        <w:t>成本分析表</w:t>
      </w:r>
    </w:p>
    <w:p>
      <w:pPr>
        <w:pStyle w:val="BodyText"/>
        <w:spacing w:before="62" w:after="4"/>
        <w:ind w:left="0" w:right="330"/>
        <w:jc w:val="right"/>
      </w:pPr>
      <w:r>
        <w:rPr/>
        <w:t>单位：千元</w:t>
      </w: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2"/>
        <w:gridCol w:w="1086"/>
        <w:gridCol w:w="1340"/>
        <w:gridCol w:w="1060"/>
        <w:gridCol w:w="1340"/>
        <w:gridCol w:w="990"/>
        <w:gridCol w:w="964"/>
        <w:gridCol w:w="889"/>
      </w:tblGrid>
      <w:tr>
        <w:trPr>
          <w:trHeight w:val="273" w:hRule="atLeast"/>
        </w:trPr>
        <w:tc>
          <w:tcPr>
            <w:tcW w:w="8831" w:type="dxa"/>
            <w:gridSpan w:val="8"/>
          </w:tcPr>
          <w:p>
            <w:pPr>
              <w:pStyle w:val="TableParagraph"/>
              <w:spacing w:line="252" w:lineRule="exact" w:before="1"/>
              <w:ind w:left="3867" w:right="3863"/>
              <w:jc w:val="center"/>
              <w:rPr>
                <w:sz w:val="21"/>
              </w:rPr>
            </w:pPr>
            <w:r>
              <w:rPr>
                <w:sz w:val="21"/>
              </w:rPr>
              <w:t>分产品情况</w:t>
            </w:r>
          </w:p>
        </w:tc>
      </w:tr>
      <w:tr>
        <w:trPr>
          <w:trHeight w:val="1360" w:hRule="atLeast"/>
        </w:trPr>
        <w:tc>
          <w:tcPr>
            <w:tcW w:w="1162" w:type="dxa"/>
          </w:tcPr>
          <w:p>
            <w:pPr>
              <w:pStyle w:val="TableParagraph"/>
              <w:rPr>
                <w:sz w:val="20"/>
              </w:rPr>
            </w:pPr>
          </w:p>
          <w:p>
            <w:pPr>
              <w:pStyle w:val="TableParagraph"/>
              <w:spacing w:before="7"/>
              <w:rPr>
                <w:sz w:val="22"/>
              </w:rPr>
            </w:pPr>
          </w:p>
          <w:p>
            <w:pPr>
              <w:pStyle w:val="TableParagraph"/>
              <w:ind w:left="263"/>
              <w:rPr>
                <w:sz w:val="21"/>
              </w:rPr>
            </w:pPr>
            <w:r>
              <w:rPr>
                <w:sz w:val="21"/>
              </w:rPr>
              <w:t>分产品</w:t>
            </w:r>
          </w:p>
        </w:tc>
        <w:tc>
          <w:tcPr>
            <w:tcW w:w="1086" w:type="dxa"/>
          </w:tcPr>
          <w:p>
            <w:pPr>
              <w:pStyle w:val="TableParagraph"/>
              <w:rPr>
                <w:sz w:val="20"/>
              </w:rPr>
            </w:pPr>
          </w:p>
          <w:p>
            <w:pPr>
              <w:pStyle w:val="TableParagraph"/>
              <w:spacing w:line="242" w:lineRule="auto" w:before="152"/>
              <w:ind w:left="330" w:right="109" w:hanging="209"/>
              <w:rPr>
                <w:sz w:val="21"/>
              </w:rPr>
            </w:pPr>
            <w:r>
              <w:rPr>
                <w:spacing w:val="-1"/>
                <w:sz w:val="21"/>
              </w:rPr>
              <w:t>成本构成</w:t>
            </w:r>
            <w:r>
              <w:rPr>
                <w:sz w:val="21"/>
              </w:rPr>
              <w:t>项目</w:t>
            </w:r>
          </w:p>
        </w:tc>
        <w:tc>
          <w:tcPr>
            <w:tcW w:w="1340" w:type="dxa"/>
          </w:tcPr>
          <w:p>
            <w:pPr>
              <w:pStyle w:val="TableParagraph"/>
              <w:rPr>
                <w:sz w:val="20"/>
              </w:rPr>
            </w:pPr>
          </w:p>
          <w:p>
            <w:pPr>
              <w:pStyle w:val="TableParagraph"/>
              <w:spacing w:before="7"/>
              <w:rPr>
                <w:sz w:val="22"/>
              </w:rPr>
            </w:pPr>
          </w:p>
          <w:p>
            <w:pPr>
              <w:pStyle w:val="TableParagraph"/>
              <w:ind w:left="248"/>
              <w:rPr>
                <w:sz w:val="21"/>
              </w:rPr>
            </w:pPr>
            <w:r>
              <w:rPr>
                <w:sz w:val="21"/>
              </w:rPr>
              <w:t>本期金额</w:t>
            </w:r>
          </w:p>
        </w:tc>
        <w:tc>
          <w:tcPr>
            <w:tcW w:w="1060" w:type="dxa"/>
          </w:tcPr>
          <w:p>
            <w:pPr>
              <w:pStyle w:val="TableParagraph"/>
              <w:spacing w:before="7"/>
              <w:rPr>
                <w:sz w:val="22"/>
              </w:rPr>
            </w:pPr>
          </w:p>
          <w:p>
            <w:pPr>
              <w:pStyle w:val="TableParagraph"/>
              <w:ind w:left="105" w:right="99"/>
              <w:jc w:val="center"/>
              <w:rPr>
                <w:rFonts w:ascii="Times New Roman" w:eastAsia="Times New Roman"/>
                <w:sz w:val="21"/>
              </w:rPr>
            </w:pPr>
            <w:r>
              <w:rPr>
                <w:spacing w:val="-1"/>
                <w:sz w:val="21"/>
              </w:rPr>
              <w:t>本期占总成本比例</w:t>
            </w:r>
            <w:r>
              <w:rPr>
                <w:rFonts w:ascii="Times New Roman" w:eastAsia="Times New Roman"/>
                <w:sz w:val="21"/>
              </w:rPr>
              <w:t>(%)</w:t>
            </w:r>
          </w:p>
        </w:tc>
        <w:tc>
          <w:tcPr>
            <w:tcW w:w="1340" w:type="dxa"/>
          </w:tcPr>
          <w:p>
            <w:pPr>
              <w:pStyle w:val="TableParagraph"/>
              <w:rPr>
                <w:sz w:val="20"/>
              </w:rPr>
            </w:pPr>
          </w:p>
          <w:p>
            <w:pPr>
              <w:pStyle w:val="TableParagraph"/>
              <w:spacing w:line="242" w:lineRule="auto" w:before="152"/>
              <w:ind w:left="560" w:right="133" w:hanging="420"/>
              <w:rPr>
                <w:sz w:val="21"/>
              </w:rPr>
            </w:pPr>
            <w:r>
              <w:rPr>
                <w:sz w:val="21"/>
              </w:rPr>
              <w:t>上年同期金额</w:t>
            </w:r>
          </w:p>
        </w:tc>
        <w:tc>
          <w:tcPr>
            <w:tcW w:w="990" w:type="dxa"/>
          </w:tcPr>
          <w:p>
            <w:pPr>
              <w:pStyle w:val="TableParagraph"/>
              <w:spacing w:line="242" w:lineRule="auto" w:before="135"/>
              <w:ind w:left="171" w:right="173"/>
              <w:jc w:val="both"/>
              <w:rPr>
                <w:rFonts w:ascii="Times New Roman" w:eastAsia="Times New Roman"/>
                <w:sz w:val="21"/>
              </w:rPr>
            </w:pPr>
            <w:r>
              <w:rPr>
                <w:spacing w:val="-1"/>
                <w:sz w:val="21"/>
              </w:rPr>
              <w:t>上年同期占总成本比</w:t>
            </w:r>
            <w:r>
              <w:rPr>
                <w:sz w:val="21"/>
              </w:rPr>
              <w:t>例</w:t>
            </w:r>
            <w:r>
              <w:rPr>
                <w:rFonts w:ascii="Times New Roman" w:eastAsia="Times New Roman"/>
                <w:sz w:val="21"/>
              </w:rPr>
              <w:t>(%)</w:t>
            </w:r>
          </w:p>
        </w:tc>
        <w:tc>
          <w:tcPr>
            <w:tcW w:w="964" w:type="dxa"/>
          </w:tcPr>
          <w:p>
            <w:pPr>
              <w:pStyle w:val="TableParagraph"/>
              <w:spacing w:line="242" w:lineRule="auto" w:before="1"/>
              <w:ind w:left="160" w:right="157"/>
              <w:jc w:val="both"/>
              <w:rPr>
                <w:sz w:val="21"/>
              </w:rPr>
            </w:pPr>
            <w:r>
              <w:rPr>
                <w:sz w:val="21"/>
              </w:rPr>
              <w:t>本期金额较上年同期</w:t>
            </w:r>
            <w:r>
              <w:rPr>
                <w:spacing w:val="-5"/>
                <w:sz w:val="21"/>
              </w:rPr>
              <w:t>变动比</w:t>
            </w:r>
          </w:p>
          <w:p>
            <w:pPr>
              <w:pStyle w:val="TableParagraph"/>
              <w:spacing w:line="250" w:lineRule="exact" w:before="2"/>
              <w:ind w:left="213"/>
              <w:rPr>
                <w:rFonts w:ascii="Times New Roman" w:eastAsia="Times New Roman"/>
                <w:sz w:val="21"/>
              </w:rPr>
            </w:pPr>
            <w:r>
              <w:rPr>
                <w:sz w:val="21"/>
              </w:rPr>
              <w:t>例</w:t>
            </w:r>
            <w:r>
              <w:rPr>
                <w:rFonts w:ascii="Times New Roman" w:eastAsia="Times New Roman"/>
                <w:sz w:val="21"/>
              </w:rPr>
              <w:t>(%)</w:t>
            </w:r>
          </w:p>
        </w:tc>
        <w:tc>
          <w:tcPr>
            <w:tcW w:w="889" w:type="dxa"/>
          </w:tcPr>
          <w:p>
            <w:pPr>
              <w:pStyle w:val="TableParagraph"/>
              <w:rPr>
                <w:sz w:val="20"/>
              </w:rPr>
            </w:pPr>
          </w:p>
          <w:p>
            <w:pPr>
              <w:pStyle w:val="TableParagraph"/>
              <w:spacing w:line="242" w:lineRule="auto" w:before="152"/>
              <w:ind w:left="226" w:right="228"/>
              <w:rPr>
                <w:sz w:val="21"/>
              </w:rPr>
            </w:pPr>
            <w:r>
              <w:rPr>
                <w:spacing w:val="-1"/>
                <w:sz w:val="21"/>
              </w:rPr>
              <w:t>情况说明</w:t>
            </w:r>
          </w:p>
        </w:tc>
      </w:tr>
      <w:tr>
        <w:trPr>
          <w:trHeight w:val="544" w:hRule="atLeast"/>
        </w:trPr>
        <w:tc>
          <w:tcPr>
            <w:tcW w:w="1162" w:type="dxa"/>
            <w:vMerge w:val="restart"/>
          </w:tcPr>
          <w:p>
            <w:pPr>
              <w:pStyle w:val="TableParagraph"/>
              <w:spacing w:line="244" w:lineRule="auto" w:before="1"/>
              <w:ind w:left="107" w:right="94"/>
              <w:rPr>
                <w:sz w:val="21"/>
              </w:rPr>
            </w:pPr>
            <w:r>
              <w:rPr>
                <w:rFonts w:ascii="Times New Roman" w:eastAsia="Times New Roman"/>
                <w:sz w:val="21"/>
              </w:rPr>
              <w:t>3C</w:t>
            </w:r>
            <w:r>
              <w:rPr>
                <w:rFonts w:ascii="Times New Roman" w:eastAsia="Times New Roman"/>
                <w:spacing w:val="6"/>
                <w:sz w:val="21"/>
              </w:rPr>
              <w:t> </w:t>
            </w:r>
            <w:r>
              <w:rPr>
                <w:sz w:val="21"/>
              </w:rPr>
              <w:t>电子产品</w:t>
            </w:r>
          </w:p>
        </w:tc>
        <w:tc>
          <w:tcPr>
            <w:tcW w:w="1086" w:type="dxa"/>
          </w:tcPr>
          <w:p>
            <w:pPr>
              <w:pStyle w:val="TableParagraph"/>
              <w:spacing w:before="1"/>
              <w:ind w:left="107"/>
              <w:rPr>
                <w:sz w:val="21"/>
              </w:rPr>
            </w:pPr>
            <w:r>
              <w:rPr>
                <w:sz w:val="21"/>
              </w:rPr>
              <w:t>直接材料</w:t>
            </w:r>
          </w:p>
          <w:p>
            <w:pPr>
              <w:pStyle w:val="TableParagraph"/>
              <w:spacing w:line="250" w:lineRule="exact" w:before="4"/>
              <w:ind w:left="107"/>
              <w:rPr>
                <w:sz w:val="21"/>
              </w:rPr>
            </w:pPr>
            <w:r>
              <w:rPr>
                <w:sz w:val="21"/>
              </w:rPr>
              <w:t>成本</w:t>
            </w:r>
          </w:p>
        </w:tc>
        <w:tc>
          <w:tcPr>
            <w:tcW w:w="1340" w:type="dxa"/>
          </w:tcPr>
          <w:p>
            <w:pPr>
              <w:pStyle w:val="TableParagraph"/>
              <w:spacing w:line="235" w:lineRule="exact"/>
              <w:ind w:right="95"/>
              <w:jc w:val="right"/>
              <w:rPr>
                <w:rFonts w:ascii="Times New Roman"/>
                <w:sz w:val="21"/>
              </w:rPr>
            </w:pPr>
            <w:r>
              <w:rPr>
                <w:rFonts w:ascii="Times New Roman"/>
                <w:sz w:val="21"/>
              </w:rPr>
              <w:t>428,690,879</w:t>
            </w:r>
          </w:p>
        </w:tc>
        <w:tc>
          <w:tcPr>
            <w:tcW w:w="1060" w:type="dxa"/>
          </w:tcPr>
          <w:p>
            <w:pPr>
              <w:pStyle w:val="TableParagraph"/>
              <w:spacing w:line="235" w:lineRule="exact"/>
              <w:ind w:right="97"/>
              <w:jc w:val="right"/>
              <w:rPr>
                <w:rFonts w:ascii="Times New Roman"/>
                <w:sz w:val="21"/>
              </w:rPr>
            </w:pPr>
            <w:r>
              <w:rPr>
                <w:rFonts w:ascii="Times New Roman"/>
                <w:sz w:val="21"/>
              </w:rPr>
              <w:t>90.48</w:t>
            </w:r>
          </w:p>
        </w:tc>
        <w:tc>
          <w:tcPr>
            <w:tcW w:w="1340" w:type="dxa"/>
          </w:tcPr>
          <w:p>
            <w:pPr>
              <w:pStyle w:val="TableParagraph"/>
              <w:spacing w:line="235" w:lineRule="exact"/>
              <w:ind w:right="97"/>
              <w:jc w:val="right"/>
              <w:rPr>
                <w:rFonts w:ascii="Times New Roman"/>
                <w:sz w:val="21"/>
              </w:rPr>
            </w:pPr>
            <w:r>
              <w:rPr>
                <w:rFonts w:ascii="Times New Roman"/>
                <w:sz w:val="21"/>
              </w:rPr>
              <w:t>362,969,581</w:t>
            </w:r>
          </w:p>
        </w:tc>
        <w:tc>
          <w:tcPr>
            <w:tcW w:w="990" w:type="dxa"/>
          </w:tcPr>
          <w:p>
            <w:pPr>
              <w:pStyle w:val="TableParagraph"/>
              <w:spacing w:line="235" w:lineRule="exact"/>
              <w:ind w:right="101"/>
              <w:jc w:val="right"/>
              <w:rPr>
                <w:rFonts w:ascii="Times New Roman"/>
                <w:sz w:val="21"/>
              </w:rPr>
            </w:pPr>
            <w:r>
              <w:rPr>
                <w:rFonts w:ascii="Times New Roman"/>
                <w:sz w:val="21"/>
              </w:rPr>
              <w:t>90.25</w:t>
            </w:r>
          </w:p>
        </w:tc>
        <w:tc>
          <w:tcPr>
            <w:tcW w:w="964" w:type="dxa"/>
          </w:tcPr>
          <w:p>
            <w:pPr>
              <w:pStyle w:val="TableParagraph"/>
              <w:spacing w:line="235" w:lineRule="exact"/>
              <w:ind w:right="99"/>
              <w:jc w:val="right"/>
              <w:rPr>
                <w:rFonts w:ascii="Times New Roman"/>
                <w:sz w:val="21"/>
              </w:rPr>
            </w:pPr>
            <w:r>
              <w:rPr>
                <w:rFonts w:ascii="Times New Roman"/>
                <w:sz w:val="21"/>
              </w:rPr>
              <w:t>18.11</w:t>
            </w:r>
          </w:p>
        </w:tc>
        <w:tc>
          <w:tcPr>
            <w:tcW w:w="889" w:type="dxa"/>
          </w:tcPr>
          <w:p>
            <w:pPr>
              <w:pStyle w:val="TableParagraph"/>
              <w:rPr>
                <w:rFonts w:ascii="Times New Roman"/>
                <w:sz w:val="20"/>
              </w:rPr>
            </w:pPr>
          </w:p>
        </w:tc>
      </w:tr>
      <w:tr>
        <w:trPr>
          <w:trHeight w:val="544" w:hRule="atLeast"/>
        </w:trPr>
        <w:tc>
          <w:tcPr>
            <w:tcW w:w="1162" w:type="dxa"/>
            <w:vMerge/>
            <w:tcBorders>
              <w:top w:val="nil"/>
            </w:tcBorders>
          </w:tcPr>
          <w:p>
            <w:pPr>
              <w:rPr>
                <w:sz w:val="2"/>
                <w:szCs w:val="2"/>
              </w:rPr>
            </w:pPr>
          </w:p>
        </w:tc>
        <w:tc>
          <w:tcPr>
            <w:tcW w:w="1086" w:type="dxa"/>
          </w:tcPr>
          <w:p>
            <w:pPr>
              <w:pStyle w:val="TableParagraph"/>
              <w:spacing w:before="1"/>
              <w:ind w:left="107"/>
              <w:rPr>
                <w:sz w:val="21"/>
              </w:rPr>
            </w:pPr>
            <w:r>
              <w:rPr>
                <w:sz w:val="21"/>
              </w:rPr>
              <w:t>直接人工</w:t>
            </w:r>
          </w:p>
          <w:p>
            <w:pPr>
              <w:pStyle w:val="TableParagraph"/>
              <w:spacing w:line="250" w:lineRule="exact" w:before="4"/>
              <w:ind w:left="107"/>
              <w:rPr>
                <w:sz w:val="21"/>
              </w:rPr>
            </w:pPr>
            <w:r>
              <w:rPr>
                <w:sz w:val="21"/>
              </w:rPr>
              <w:t>成本</w:t>
            </w:r>
          </w:p>
        </w:tc>
        <w:tc>
          <w:tcPr>
            <w:tcW w:w="1340" w:type="dxa"/>
          </w:tcPr>
          <w:p>
            <w:pPr>
              <w:pStyle w:val="TableParagraph"/>
              <w:spacing w:line="235" w:lineRule="exact"/>
              <w:ind w:right="95"/>
              <w:jc w:val="right"/>
              <w:rPr>
                <w:rFonts w:ascii="Times New Roman"/>
                <w:sz w:val="21"/>
              </w:rPr>
            </w:pPr>
            <w:r>
              <w:rPr>
                <w:rFonts w:ascii="Times New Roman"/>
                <w:sz w:val="21"/>
              </w:rPr>
              <w:t>16,478,317</w:t>
            </w:r>
          </w:p>
        </w:tc>
        <w:tc>
          <w:tcPr>
            <w:tcW w:w="1060" w:type="dxa"/>
          </w:tcPr>
          <w:p>
            <w:pPr>
              <w:pStyle w:val="TableParagraph"/>
              <w:spacing w:line="235" w:lineRule="exact"/>
              <w:ind w:right="97"/>
              <w:jc w:val="right"/>
              <w:rPr>
                <w:rFonts w:ascii="Times New Roman"/>
                <w:sz w:val="21"/>
              </w:rPr>
            </w:pPr>
            <w:r>
              <w:rPr>
                <w:rFonts w:ascii="Times New Roman"/>
                <w:sz w:val="21"/>
              </w:rPr>
              <w:t>3.48</w:t>
            </w:r>
          </w:p>
        </w:tc>
        <w:tc>
          <w:tcPr>
            <w:tcW w:w="1340" w:type="dxa"/>
          </w:tcPr>
          <w:p>
            <w:pPr>
              <w:pStyle w:val="TableParagraph"/>
              <w:spacing w:line="235" w:lineRule="exact"/>
              <w:ind w:right="97"/>
              <w:jc w:val="right"/>
              <w:rPr>
                <w:rFonts w:ascii="Times New Roman"/>
                <w:sz w:val="21"/>
              </w:rPr>
            </w:pPr>
            <w:r>
              <w:rPr>
                <w:rFonts w:ascii="Times New Roman"/>
                <w:sz w:val="21"/>
              </w:rPr>
              <w:t>16,103,729</w:t>
            </w:r>
          </w:p>
        </w:tc>
        <w:tc>
          <w:tcPr>
            <w:tcW w:w="990" w:type="dxa"/>
          </w:tcPr>
          <w:p>
            <w:pPr>
              <w:pStyle w:val="TableParagraph"/>
              <w:spacing w:line="235" w:lineRule="exact"/>
              <w:ind w:right="101"/>
              <w:jc w:val="right"/>
              <w:rPr>
                <w:rFonts w:ascii="Times New Roman"/>
                <w:sz w:val="21"/>
              </w:rPr>
            </w:pPr>
            <w:r>
              <w:rPr>
                <w:rFonts w:ascii="Times New Roman"/>
                <w:sz w:val="21"/>
              </w:rPr>
              <w:t>4.00</w:t>
            </w:r>
          </w:p>
        </w:tc>
        <w:tc>
          <w:tcPr>
            <w:tcW w:w="964" w:type="dxa"/>
          </w:tcPr>
          <w:p>
            <w:pPr>
              <w:pStyle w:val="TableParagraph"/>
              <w:spacing w:line="235" w:lineRule="exact"/>
              <w:ind w:right="99"/>
              <w:jc w:val="right"/>
              <w:rPr>
                <w:rFonts w:ascii="Times New Roman"/>
                <w:sz w:val="21"/>
              </w:rPr>
            </w:pPr>
            <w:r>
              <w:rPr>
                <w:rFonts w:ascii="Times New Roman"/>
                <w:sz w:val="21"/>
              </w:rPr>
              <w:t>2.33</w:t>
            </w:r>
          </w:p>
        </w:tc>
        <w:tc>
          <w:tcPr>
            <w:tcW w:w="889" w:type="dxa"/>
          </w:tcPr>
          <w:p>
            <w:pPr>
              <w:pStyle w:val="TableParagraph"/>
              <w:rPr>
                <w:rFonts w:ascii="Times New Roman"/>
                <w:sz w:val="20"/>
              </w:rPr>
            </w:pPr>
          </w:p>
        </w:tc>
      </w:tr>
      <w:tr>
        <w:trPr>
          <w:trHeight w:val="1089" w:hRule="atLeast"/>
        </w:trPr>
        <w:tc>
          <w:tcPr>
            <w:tcW w:w="1162" w:type="dxa"/>
            <w:vMerge/>
            <w:tcBorders>
              <w:top w:val="nil"/>
            </w:tcBorders>
          </w:tcPr>
          <w:p>
            <w:pPr>
              <w:rPr>
                <w:sz w:val="2"/>
                <w:szCs w:val="2"/>
              </w:rPr>
            </w:pPr>
          </w:p>
        </w:tc>
        <w:tc>
          <w:tcPr>
            <w:tcW w:w="1086" w:type="dxa"/>
          </w:tcPr>
          <w:p>
            <w:pPr>
              <w:pStyle w:val="TableParagraph"/>
              <w:spacing w:before="3"/>
              <w:ind w:left="107"/>
              <w:rPr>
                <w:sz w:val="21"/>
              </w:rPr>
            </w:pPr>
            <w:r>
              <w:rPr>
                <w:sz w:val="21"/>
              </w:rPr>
              <w:t>辅料成本</w:t>
            </w:r>
          </w:p>
        </w:tc>
        <w:tc>
          <w:tcPr>
            <w:tcW w:w="1340" w:type="dxa"/>
          </w:tcPr>
          <w:p>
            <w:pPr>
              <w:pStyle w:val="TableParagraph"/>
              <w:spacing w:line="237" w:lineRule="exact"/>
              <w:ind w:right="95"/>
              <w:jc w:val="right"/>
              <w:rPr>
                <w:rFonts w:ascii="Times New Roman"/>
                <w:sz w:val="21"/>
              </w:rPr>
            </w:pPr>
            <w:r>
              <w:rPr>
                <w:rFonts w:ascii="Times New Roman"/>
                <w:sz w:val="21"/>
              </w:rPr>
              <w:t>9,715,734</w:t>
            </w:r>
          </w:p>
        </w:tc>
        <w:tc>
          <w:tcPr>
            <w:tcW w:w="1060" w:type="dxa"/>
          </w:tcPr>
          <w:p>
            <w:pPr>
              <w:pStyle w:val="TableParagraph"/>
              <w:spacing w:line="237" w:lineRule="exact"/>
              <w:ind w:right="97"/>
              <w:jc w:val="right"/>
              <w:rPr>
                <w:rFonts w:ascii="Times New Roman"/>
                <w:sz w:val="21"/>
              </w:rPr>
            </w:pPr>
            <w:r>
              <w:rPr>
                <w:rFonts w:ascii="Times New Roman"/>
                <w:sz w:val="21"/>
              </w:rPr>
              <w:t>2.05</w:t>
            </w:r>
          </w:p>
        </w:tc>
        <w:tc>
          <w:tcPr>
            <w:tcW w:w="1340" w:type="dxa"/>
          </w:tcPr>
          <w:p>
            <w:pPr>
              <w:pStyle w:val="TableParagraph"/>
              <w:spacing w:line="237" w:lineRule="exact"/>
              <w:ind w:right="97"/>
              <w:jc w:val="right"/>
              <w:rPr>
                <w:rFonts w:ascii="Times New Roman"/>
                <w:sz w:val="21"/>
              </w:rPr>
            </w:pPr>
            <w:r>
              <w:rPr>
                <w:rFonts w:ascii="Times New Roman"/>
                <w:sz w:val="21"/>
              </w:rPr>
              <w:t>6,717,180</w:t>
            </w:r>
          </w:p>
        </w:tc>
        <w:tc>
          <w:tcPr>
            <w:tcW w:w="990" w:type="dxa"/>
          </w:tcPr>
          <w:p>
            <w:pPr>
              <w:pStyle w:val="TableParagraph"/>
              <w:spacing w:line="237" w:lineRule="exact"/>
              <w:ind w:right="101"/>
              <w:jc w:val="right"/>
              <w:rPr>
                <w:rFonts w:ascii="Times New Roman"/>
                <w:sz w:val="21"/>
              </w:rPr>
            </w:pPr>
            <w:r>
              <w:rPr>
                <w:rFonts w:ascii="Times New Roman"/>
                <w:sz w:val="21"/>
              </w:rPr>
              <w:t>1.67</w:t>
            </w:r>
          </w:p>
        </w:tc>
        <w:tc>
          <w:tcPr>
            <w:tcW w:w="964" w:type="dxa"/>
          </w:tcPr>
          <w:p>
            <w:pPr>
              <w:pStyle w:val="TableParagraph"/>
              <w:spacing w:line="237" w:lineRule="exact"/>
              <w:ind w:right="99"/>
              <w:jc w:val="right"/>
              <w:rPr>
                <w:rFonts w:ascii="Times New Roman"/>
                <w:sz w:val="21"/>
              </w:rPr>
            </w:pPr>
            <w:r>
              <w:rPr>
                <w:rFonts w:ascii="Times New Roman"/>
                <w:sz w:val="21"/>
              </w:rPr>
              <w:t>44.64</w:t>
            </w:r>
          </w:p>
        </w:tc>
        <w:tc>
          <w:tcPr>
            <w:tcW w:w="889" w:type="dxa"/>
          </w:tcPr>
          <w:p>
            <w:pPr>
              <w:pStyle w:val="TableParagraph"/>
              <w:spacing w:line="242" w:lineRule="auto" w:before="3"/>
              <w:ind w:left="101" w:right="101"/>
              <w:jc w:val="both"/>
              <w:rPr>
                <w:sz w:val="21"/>
              </w:rPr>
            </w:pPr>
            <w:r>
              <w:rPr>
                <w:spacing w:val="13"/>
                <w:sz w:val="21"/>
              </w:rPr>
              <w:t>主要系物料消耗费增</w:t>
            </w:r>
          </w:p>
          <w:p>
            <w:pPr>
              <w:pStyle w:val="TableParagraph"/>
              <w:spacing w:line="250" w:lineRule="exact" w:before="1"/>
              <w:ind w:left="101"/>
              <w:rPr>
                <w:sz w:val="21"/>
              </w:rPr>
            </w:pPr>
            <w:r>
              <w:rPr>
                <w:w w:val="100"/>
                <w:sz w:val="21"/>
              </w:rPr>
              <w:t>加</w:t>
            </w:r>
          </w:p>
        </w:tc>
      </w:tr>
      <w:tr>
        <w:trPr>
          <w:trHeight w:val="818" w:hRule="atLeast"/>
        </w:trPr>
        <w:tc>
          <w:tcPr>
            <w:tcW w:w="1162" w:type="dxa"/>
            <w:vMerge/>
            <w:tcBorders>
              <w:top w:val="nil"/>
            </w:tcBorders>
          </w:tcPr>
          <w:p>
            <w:pPr>
              <w:rPr>
                <w:sz w:val="2"/>
                <w:szCs w:val="2"/>
              </w:rPr>
            </w:pPr>
          </w:p>
        </w:tc>
        <w:tc>
          <w:tcPr>
            <w:tcW w:w="1086" w:type="dxa"/>
          </w:tcPr>
          <w:p>
            <w:pPr>
              <w:pStyle w:val="TableParagraph"/>
              <w:spacing w:line="242" w:lineRule="auto" w:before="3"/>
              <w:ind w:left="107" w:right="96"/>
              <w:rPr>
                <w:sz w:val="21"/>
              </w:rPr>
            </w:pPr>
            <w:r>
              <w:rPr>
                <w:sz w:val="21"/>
              </w:rPr>
              <w:t>折旧及摊销费用成</w:t>
            </w:r>
          </w:p>
          <w:p>
            <w:pPr>
              <w:pStyle w:val="TableParagraph"/>
              <w:spacing w:line="250" w:lineRule="exact" w:before="1"/>
              <w:ind w:left="107"/>
              <w:rPr>
                <w:sz w:val="21"/>
              </w:rPr>
            </w:pPr>
            <w:r>
              <w:rPr>
                <w:w w:val="100"/>
                <w:sz w:val="21"/>
              </w:rPr>
              <w:t>本</w:t>
            </w:r>
          </w:p>
        </w:tc>
        <w:tc>
          <w:tcPr>
            <w:tcW w:w="1340" w:type="dxa"/>
          </w:tcPr>
          <w:p>
            <w:pPr>
              <w:pStyle w:val="TableParagraph"/>
              <w:spacing w:line="237" w:lineRule="exact"/>
              <w:ind w:right="95"/>
              <w:jc w:val="right"/>
              <w:rPr>
                <w:rFonts w:ascii="Times New Roman"/>
                <w:sz w:val="21"/>
              </w:rPr>
            </w:pPr>
            <w:r>
              <w:rPr>
                <w:rFonts w:ascii="Times New Roman"/>
                <w:sz w:val="21"/>
              </w:rPr>
              <w:t>2,553,317</w:t>
            </w:r>
          </w:p>
        </w:tc>
        <w:tc>
          <w:tcPr>
            <w:tcW w:w="1060" w:type="dxa"/>
          </w:tcPr>
          <w:p>
            <w:pPr>
              <w:pStyle w:val="TableParagraph"/>
              <w:spacing w:line="237" w:lineRule="exact"/>
              <w:ind w:right="97"/>
              <w:jc w:val="right"/>
              <w:rPr>
                <w:rFonts w:ascii="Times New Roman"/>
                <w:sz w:val="21"/>
              </w:rPr>
            </w:pPr>
            <w:r>
              <w:rPr>
                <w:rFonts w:ascii="Times New Roman"/>
                <w:sz w:val="21"/>
              </w:rPr>
              <w:t>0.54</w:t>
            </w:r>
          </w:p>
        </w:tc>
        <w:tc>
          <w:tcPr>
            <w:tcW w:w="1340" w:type="dxa"/>
          </w:tcPr>
          <w:p>
            <w:pPr>
              <w:pStyle w:val="TableParagraph"/>
              <w:spacing w:line="237" w:lineRule="exact"/>
              <w:ind w:right="97"/>
              <w:jc w:val="right"/>
              <w:rPr>
                <w:rFonts w:ascii="Times New Roman"/>
                <w:sz w:val="21"/>
              </w:rPr>
            </w:pPr>
            <w:r>
              <w:rPr>
                <w:rFonts w:ascii="Times New Roman"/>
                <w:sz w:val="21"/>
              </w:rPr>
              <w:t>1,898,223</w:t>
            </w:r>
          </w:p>
        </w:tc>
        <w:tc>
          <w:tcPr>
            <w:tcW w:w="990" w:type="dxa"/>
          </w:tcPr>
          <w:p>
            <w:pPr>
              <w:pStyle w:val="TableParagraph"/>
              <w:spacing w:line="237" w:lineRule="exact"/>
              <w:ind w:right="101"/>
              <w:jc w:val="right"/>
              <w:rPr>
                <w:rFonts w:ascii="Times New Roman"/>
                <w:sz w:val="21"/>
              </w:rPr>
            </w:pPr>
            <w:r>
              <w:rPr>
                <w:rFonts w:ascii="Times New Roman"/>
                <w:sz w:val="21"/>
              </w:rPr>
              <w:t>0.47</w:t>
            </w:r>
          </w:p>
        </w:tc>
        <w:tc>
          <w:tcPr>
            <w:tcW w:w="964" w:type="dxa"/>
          </w:tcPr>
          <w:p>
            <w:pPr>
              <w:pStyle w:val="TableParagraph"/>
              <w:spacing w:line="237" w:lineRule="exact"/>
              <w:ind w:right="99"/>
              <w:jc w:val="right"/>
              <w:rPr>
                <w:rFonts w:ascii="Times New Roman"/>
                <w:sz w:val="21"/>
              </w:rPr>
            </w:pPr>
            <w:r>
              <w:rPr>
                <w:rFonts w:ascii="Times New Roman"/>
                <w:sz w:val="21"/>
              </w:rPr>
              <w:t>34.51</w:t>
            </w:r>
          </w:p>
        </w:tc>
        <w:tc>
          <w:tcPr>
            <w:tcW w:w="889" w:type="dxa"/>
          </w:tcPr>
          <w:p>
            <w:pPr>
              <w:pStyle w:val="TableParagraph"/>
              <w:rPr>
                <w:rFonts w:ascii="Times New Roman"/>
                <w:sz w:val="20"/>
              </w:rPr>
            </w:pPr>
          </w:p>
        </w:tc>
      </w:tr>
      <w:tr>
        <w:trPr>
          <w:trHeight w:val="544" w:hRule="atLeast"/>
        </w:trPr>
        <w:tc>
          <w:tcPr>
            <w:tcW w:w="1162" w:type="dxa"/>
            <w:vMerge/>
            <w:tcBorders>
              <w:top w:val="nil"/>
            </w:tcBorders>
          </w:tcPr>
          <w:p>
            <w:pPr>
              <w:rPr>
                <w:sz w:val="2"/>
                <w:szCs w:val="2"/>
              </w:rPr>
            </w:pPr>
          </w:p>
        </w:tc>
        <w:tc>
          <w:tcPr>
            <w:tcW w:w="1086" w:type="dxa"/>
          </w:tcPr>
          <w:p>
            <w:pPr>
              <w:pStyle w:val="TableParagraph"/>
              <w:spacing w:before="1"/>
              <w:ind w:left="107"/>
              <w:rPr>
                <w:sz w:val="21"/>
              </w:rPr>
            </w:pPr>
            <w:r>
              <w:rPr>
                <w:sz w:val="21"/>
              </w:rPr>
              <w:t>水电费用</w:t>
            </w:r>
          </w:p>
          <w:p>
            <w:pPr>
              <w:pStyle w:val="TableParagraph"/>
              <w:spacing w:line="250" w:lineRule="exact" w:before="4"/>
              <w:ind w:left="107"/>
              <w:rPr>
                <w:sz w:val="21"/>
              </w:rPr>
            </w:pPr>
            <w:r>
              <w:rPr>
                <w:sz w:val="21"/>
              </w:rPr>
              <w:t>成本</w:t>
            </w:r>
          </w:p>
        </w:tc>
        <w:tc>
          <w:tcPr>
            <w:tcW w:w="1340" w:type="dxa"/>
          </w:tcPr>
          <w:p>
            <w:pPr>
              <w:pStyle w:val="TableParagraph"/>
              <w:spacing w:line="235" w:lineRule="exact"/>
              <w:ind w:right="95"/>
              <w:jc w:val="right"/>
              <w:rPr>
                <w:rFonts w:ascii="Times New Roman"/>
                <w:sz w:val="21"/>
              </w:rPr>
            </w:pPr>
            <w:r>
              <w:rPr>
                <w:rFonts w:ascii="Times New Roman"/>
                <w:sz w:val="21"/>
              </w:rPr>
              <w:t>2,324,478</w:t>
            </w:r>
          </w:p>
        </w:tc>
        <w:tc>
          <w:tcPr>
            <w:tcW w:w="1060" w:type="dxa"/>
          </w:tcPr>
          <w:p>
            <w:pPr>
              <w:pStyle w:val="TableParagraph"/>
              <w:spacing w:line="235" w:lineRule="exact"/>
              <w:ind w:right="97"/>
              <w:jc w:val="right"/>
              <w:rPr>
                <w:rFonts w:ascii="Times New Roman"/>
                <w:sz w:val="21"/>
              </w:rPr>
            </w:pPr>
            <w:r>
              <w:rPr>
                <w:rFonts w:ascii="Times New Roman"/>
                <w:sz w:val="21"/>
              </w:rPr>
              <w:t>0.49</w:t>
            </w:r>
          </w:p>
        </w:tc>
        <w:tc>
          <w:tcPr>
            <w:tcW w:w="1340" w:type="dxa"/>
          </w:tcPr>
          <w:p>
            <w:pPr>
              <w:pStyle w:val="TableParagraph"/>
              <w:spacing w:line="235" w:lineRule="exact"/>
              <w:ind w:right="97"/>
              <w:jc w:val="right"/>
              <w:rPr>
                <w:rFonts w:ascii="Times New Roman"/>
                <w:sz w:val="21"/>
              </w:rPr>
            </w:pPr>
            <w:r>
              <w:rPr>
                <w:rFonts w:ascii="Times New Roman"/>
                <w:sz w:val="21"/>
              </w:rPr>
              <w:t>1,995,064</w:t>
            </w:r>
          </w:p>
        </w:tc>
        <w:tc>
          <w:tcPr>
            <w:tcW w:w="990" w:type="dxa"/>
          </w:tcPr>
          <w:p>
            <w:pPr>
              <w:pStyle w:val="TableParagraph"/>
              <w:spacing w:line="235" w:lineRule="exact"/>
              <w:ind w:right="101"/>
              <w:jc w:val="right"/>
              <w:rPr>
                <w:rFonts w:ascii="Times New Roman"/>
                <w:sz w:val="21"/>
              </w:rPr>
            </w:pPr>
            <w:r>
              <w:rPr>
                <w:rFonts w:ascii="Times New Roman"/>
                <w:sz w:val="21"/>
              </w:rPr>
              <w:t>0.50</w:t>
            </w:r>
          </w:p>
        </w:tc>
        <w:tc>
          <w:tcPr>
            <w:tcW w:w="964" w:type="dxa"/>
          </w:tcPr>
          <w:p>
            <w:pPr>
              <w:pStyle w:val="TableParagraph"/>
              <w:spacing w:line="235" w:lineRule="exact"/>
              <w:ind w:right="99"/>
              <w:jc w:val="right"/>
              <w:rPr>
                <w:rFonts w:ascii="Times New Roman"/>
                <w:sz w:val="21"/>
              </w:rPr>
            </w:pPr>
            <w:r>
              <w:rPr>
                <w:rFonts w:ascii="Times New Roman"/>
                <w:sz w:val="21"/>
              </w:rPr>
              <w:t>16.51</w:t>
            </w:r>
          </w:p>
        </w:tc>
        <w:tc>
          <w:tcPr>
            <w:tcW w:w="889" w:type="dxa"/>
          </w:tcPr>
          <w:p>
            <w:pPr>
              <w:pStyle w:val="TableParagraph"/>
              <w:rPr>
                <w:rFonts w:ascii="Times New Roman"/>
                <w:sz w:val="20"/>
              </w:rPr>
            </w:pPr>
          </w:p>
        </w:tc>
      </w:tr>
      <w:tr>
        <w:trPr>
          <w:trHeight w:val="273" w:hRule="atLeast"/>
        </w:trPr>
        <w:tc>
          <w:tcPr>
            <w:tcW w:w="1162" w:type="dxa"/>
            <w:vMerge/>
            <w:tcBorders>
              <w:top w:val="nil"/>
            </w:tcBorders>
          </w:tcPr>
          <w:p>
            <w:pPr>
              <w:rPr>
                <w:sz w:val="2"/>
                <w:szCs w:val="2"/>
              </w:rPr>
            </w:pPr>
          </w:p>
        </w:tc>
        <w:tc>
          <w:tcPr>
            <w:tcW w:w="1086" w:type="dxa"/>
          </w:tcPr>
          <w:p>
            <w:pPr>
              <w:pStyle w:val="TableParagraph"/>
              <w:spacing w:line="252" w:lineRule="exact" w:before="1"/>
              <w:ind w:left="107"/>
              <w:rPr>
                <w:sz w:val="21"/>
              </w:rPr>
            </w:pPr>
            <w:r>
              <w:rPr>
                <w:sz w:val="21"/>
              </w:rPr>
              <w:t>其他制造</w:t>
            </w:r>
          </w:p>
        </w:tc>
        <w:tc>
          <w:tcPr>
            <w:tcW w:w="1340" w:type="dxa"/>
          </w:tcPr>
          <w:p>
            <w:pPr>
              <w:pStyle w:val="TableParagraph"/>
              <w:spacing w:line="235" w:lineRule="exact"/>
              <w:ind w:right="95"/>
              <w:jc w:val="right"/>
              <w:rPr>
                <w:rFonts w:ascii="Times New Roman"/>
                <w:sz w:val="21"/>
              </w:rPr>
            </w:pPr>
            <w:r>
              <w:rPr>
                <w:rFonts w:ascii="Times New Roman"/>
                <w:sz w:val="21"/>
              </w:rPr>
              <w:t>14,029,344</w:t>
            </w:r>
          </w:p>
        </w:tc>
        <w:tc>
          <w:tcPr>
            <w:tcW w:w="1060" w:type="dxa"/>
          </w:tcPr>
          <w:p>
            <w:pPr>
              <w:pStyle w:val="TableParagraph"/>
              <w:spacing w:line="235" w:lineRule="exact"/>
              <w:ind w:right="97"/>
              <w:jc w:val="right"/>
              <w:rPr>
                <w:rFonts w:ascii="Times New Roman"/>
                <w:sz w:val="21"/>
              </w:rPr>
            </w:pPr>
            <w:r>
              <w:rPr>
                <w:rFonts w:ascii="Times New Roman"/>
                <w:sz w:val="21"/>
              </w:rPr>
              <w:t>2.96</w:t>
            </w:r>
          </w:p>
        </w:tc>
        <w:tc>
          <w:tcPr>
            <w:tcW w:w="1340" w:type="dxa"/>
          </w:tcPr>
          <w:p>
            <w:pPr>
              <w:pStyle w:val="TableParagraph"/>
              <w:spacing w:line="235" w:lineRule="exact"/>
              <w:ind w:right="97"/>
              <w:jc w:val="right"/>
              <w:rPr>
                <w:rFonts w:ascii="Times New Roman"/>
                <w:sz w:val="21"/>
              </w:rPr>
            </w:pPr>
            <w:r>
              <w:rPr>
                <w:rFonts w:ascii="Times New Roman"/>
                <w:sz w:val="21"/>
              </w:rPr>
              <w:t>12,520,918</w:t>
            </w:r>
          </w:p>
        </w:tc>
        <w:tc>
          <w:tcPr>
            <w:tcW w:w="990" w:type="dxa"/>
          </w:tcPr>
          <w:p>
            <w:pPr>
              <w:pStyle w:val="TableParagraph"/>
              <w:spacing w:line="235" w:lineRule="exact"/>
              <w:ind w:right="101"/>
              <w:jc w:val="right"/>
              <w:rPr>
                <w:rFonts w:ascii="Times New Roman"/>
                <w:sz w:val="21"/>
              </w:rPr>
            </w:pPr>
            <w:r>
              <w:rPr>
                <w:rFonts w:ascii="Times New Roman"/>
                <w:sz w:val="21"/>
              </w:rPr>
              <w:t>3.11</w:t>
            </w:r>
          </w:p>
        </w:tc>
        <w:tc>
          <w:tcPr>
            <w:tcW w:w="964" w:type="dxa"/>
          </w:tcPr>
          <w:p>
            <w:pPr>
              <w:pStyle w:val="TableParagraph"/>
              <w:spacing w:line="235" w:lineRule="exact"/>
              <w:ind w:right="99"/>
              <w:jc w:val="right"/>
              <w:rPr>
                <w:rFonts w:ascii="Times New Roman"/>
                <w:sz w:val="21"/>
              </w:rPr>
            </w:pPr>
            <w:r>
              <w:rPr>
                <w:rFonts w:ascii="Times New Roman"/>
                <w:sz w:val="21"/>
              </w:rPr>
              <w:t>12.05</w:t>
            </w:r>
          </w:p>
        </w:tc>
        <w:tc>
          <w:tcPr>
            <w:tcW w:w="889" w:type="dxa"/>
          </w:tcPr>
          <w:p>
            <w:pPr>
              <w:pStyle w:val="TableParagraph"/>
              <w:rPr>
                <w:rFonts w:ascii="Times New Roman"/>
                <w:sz w:val="20"/>
              </w:rPr>
            </w:pPr>
          </w:p>
        </w:tc>
      </w:tr>
    </w:tbl>
    <w:p>
      <w:pPr>
        <w:spacing w:after="0"/>
        <w:rPr>
          <w:rFonts w:ascii="Times New Roman"/>
          <w:sz w:val="20"/>
        </w:rPr>
        <w:sectPr>
          <w:pgSz w:w="11910" w:h="16840"/>
          <w:pgMar w:header="880" w:footer="1195" w:top="1120" w:bottom="1380" w:left="1160" w:right="940"/>
        </w:sectPr>
      </w:pPr>
    </w:p>
    <w:p>
      <w:pPr>
        <w:pStyle w:val="BodyText"/>
        <w:ind w:left="0"/>
        <w:rPr>
          <w:sz w:val="20"/>
        </w:rPr>
      </w:pPr>
    </w:p>
    <w:p>
      <w:pPr>
        <w:pStyle w:val="BodyText"/>
        <w:spacing w:before="3"/>
        <w:ind w:left="0"/>
        <w:rPr>
          <w:sz w:val="11"/>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2"/>
        <w:gridCol w:w="1086"/>
        <w:gridCol w:w="1340"/>
        <w:gridCol w:w="1060"/>
        <w:gridCol w:w="1340"/>
        <w:gridCol w:w="990"/>
        <w:gridCol w:w="964"/>
        <w:gridCol w:w="889"/>
      </w:tblGrid>
      <w:tr>
        <w:trPr>
          <w:trHeight w:val="273" w:hRule="atLeast"/>
        </w:trPr>
        <w:tc>
          <w:tcPr>
            <w:tcW w:w="1162" w:type="dxa"/>
          </w:tcPr>
          <w:p>
            <w:pPr>
              <w:pStyle w:val="TableParagraph"/>
              <w:rPr>
                <w:rFonts w:ascii="Times New Roman"/>
                <w:sz w:val="20"/>
              </w:rPr>
            </w:pPr>
          </w:p>
        </w:tc>
        <w:tc>
          <w:tcPr>
            <w:tcW w:w="1086" w:type="dxa"/>
          </w:tcPr>
          <w:p>
            <w:pPr>
              <w:pStyle w:val="TableParagraph"/>
              <w:spacing w:line="250" w:lineRule="exact" w:before="3"/>
              <w:ind w:left="107"/>
              <w:rPr>
                <w:sz w:val="21"/>
              </w:rPr>
            </w:pPr>
            <w:r>
              <w:rPr>
                <w:sz w:val="21"/>
              </w:rPr>
              <w:t>费用成本</w:t>
            </w:r>
          </w:p>
        </w:tc>
        <w:tc>
          <w:tcPr>
            <w:tcW w:w="1340" w:type="dxa"/>
          </w:tcPr>
          <w:p>
            <w:pPr>
              <w:pStyle w:val="TableParagraph"/>
              <w:rPr>
                <w:rFonts w:ascii="Times New Roman"/>
                <w:sz w:val="20"/>
              </w:rPr>
            </w:pPr>
          </w:p>
        </w:tc>
        <w:tc>
          <w:tcPr>
            <w:tcW w:w="1060" w:type="dxa"/>
          </w:tcPr>
          <w:p>
            <w:pPr>
              <w:pStyle w:val="TableParagraph"/>
              <w:rPr>
                <w:rFonts w:ascii="Times New Roman"/>
                <w:sz w:val="20"/>
              </w:rPr>
            </w:pPr>
          </w:p>
        </w:tc>
        <w:tc>
          <w:tcPr>
            <w:tcW w:w="1340" w:type="dxa"/>
          </w:tcPr>
          <w:p>
            <w:pPr>
              <w:pStyle w:val="TableParagraph"/>
              <w:rPr>
                <w:rFonts w:ascii="Times New Roman"/>
                <w:sz w:val="20"/>
              </w:rPr>
            </w:pPr>
          </w:p>
        </w:tc>
        <w:tc>
          <w:tcPr>
            <w:tcW w:w="990" w:type="dxa"/>
          </w:tcPr>
          <w:p>
            <w:pPr>
              <w:pStyle w:val="TableParagraph"/>
              <w:rPr>
                <w:rFonts w:ascii="Times New Roman"/>
                <w:sz w:val="20"/>
              </w:rPr>
            </w:pPr>
          </w:p>
        </w:tc>
        <w:tc>
          <w:tcPr>
            <w:tcW w:w="964" w:type="dxa"/>
          </w:tcPr>
          <w:p>
            <w:pPr>
              <w:pStyle w:val="TableParagraph"/>
              <w:rPr>
                <w:rFonts w:ascii="Times New Roman"/>
                <w:sz w:val="20"/>
              </w:rPr>
            </w:pPr>
          </w:p>
        </w:tc>
        <w:tc>
          <w:tcPr>
            <w:tcW w:w="889" w:type="dxa"/>
          </w:tcPr>
          <w:p>
            <w:pPr>
              <w:pStyle w:val="TableParagraph"/>
              <w:rPr>
                <w:rFonts w:ascii="Times New Roman"/>
                <w:sz w:val="20"/>
              </w:rPr>
            </w:pPr>
          </w:p>
        </w:tc>
      </w:tr>
    </w:tbl>
    <w:p>
      <w:pPr>
        <w:pStyle w:val="BodyText"/>
        <w:spacing w:before="5"/>
        <w:ind w:left="0"/>
        <w:rPr>
          <w:sz w:val="13"/>
        </w:rPr>
      </w:pPr>
    </w:p>
    <w:p>
      <w:pPr>
        <w:pStyle w:val="BodyText"/>
        <w:spacing w:line="242" w:lineRule="auto" w:before="72"/>
        <w:ind w:left="638" w:right="6960"/>
      </w:pPr>
      <w:r>
        <w:rPr/>
        <w:t>成本分析其他情况说明无。 </w:t>
      </w:r>
    </w:p>
    <w:p>
      <w:pPr>
        <w:pStyle w:val="BodyText"/>
        <w:spacing w:before="6"/>
        <w:ind w:left="0"/>
        <w:rPr>
          <w:sz w:val="29"/>
        </w:rPr>
      </w:pPr>
    </w:p>
    <w:p>
      <w:pPr>
        <w:pStyle w:val="ListParagraph"/>
        <w:numPr>
          <w:ilvl w:val="0"/>
          <w:numId w:val="4"/>
        </w:numPr>
        <w:tabs>
          <w:tab w:pos="1205" w:val="left" w:leader="none"/>
        </w:tabs>
        <w:spacing w:line="240" w:lineRule="auto" w:before="0" w:after="0"/>
        <w:ind w:left="1204" w:right="0" w:hanging="567"/>
        <w:jc w:val="left"/>
        <w:rPr>
          <w:sz w:val="21"/>
        </w:rPr>
      </w:pPr>
      <w:r>
        <w:rPr>
          <w:sz w:val="21"/>
        </w:rPr>
        <w:t>报告期主要子公司股权变动导致合并范围变化</w:t>
      </w:r>
    </w:p>
    <w:p>
      <w:pPr>
        <w:pStyle w:val="BodyText"/>
        <w:spacing w:before="62"/>
        <w:ind w:left="638"/>
      </w:pPr>
      <w:r>
        <w:rPr>
          <w:spacing w:val="-1"/>
        </w:rPr>
        <w:t>□适用 √不适用</w:t>
      </w:r>
      <w:r>
        <w:rPr>
          <w:spacing w:val="-3"/>
        </w:rPr>
        <w:t> </w:t>
      </w:r>
      <w:r>
        <w:rPr>
          <w:color w:val="333399"/>
        </w:rPr>
        <w:t> </w:t>
      </w:r>
    </w:p>
    <w:p>
      <w:pPr>
        <w:pStyle w:val="BodyText"/>
        <w:spacing w:before="5"/>
        <w:ind w:left="638"/>
      </w:pPr>
      <w:r>
        <w:rPr>
          <w:w w:val="100"/>
        </w:rPr>
        <w:t> </w:t>
      </w:r>
    </w:p>
    <w:p>
      <w:pPr>
        <w:pStyle w:val="ListParagraph"/>
        <w:numPr>
          <w:ilvl w:val="0"/>
          <w:numId w:val="4"/>
        </w:numPr>
        <w:tabs>
          <w:tab w:pos="1205" w:val="left" w:leader="none"/>
        </w:tabs>
        <w:spacing w:line="240" w:lineRule="auto" w:before="62" w:after="0"/>
        <w:ind w:left="1204" w:right="0" w:hanging="567"/>
        <w:jc w:val="left"/>
        <w:rPr>
          <w:sz w:val="21"/>
        </w:rPr>
      </w:pPr>
      <w:r>
        <w:rPr>
          <w:sz w:val="21"/>
        </w:rPr>
        <w:t>公司报告期内业务、产品或服务发生重大变化或调整有关情况</w:t>
      </w:r>
    </w:p>
    <w:p>
      <w:pPr>
        <w:pStyle w:val="BodyText"/>
        <w:spacing w:before="65"/>
        <w:ind w:left="638"/>
      </w:pPr>
      <w:r>
        <w:rPr>
          <w:spacing w:val="-1"/>
        </w:rPr>
        <w:t>□适用 √不适用</w:t>
      </w:r>
      <w:r>
        <w:rPr>
          <w:spacing w:val="-3"/>
        </w:rPr>
        <w:t> </w:t>
      </w:r>
      <w:r>
        <w:rPr>
          <w:color w:val="333399"/>
        </w:rPr>
        <w:t> </w:t>
      </w:r>
    </w:p>
    <w:p>
      <w:pPr>
        <w:pStyle w:val="BodyText"/>
        <w:spacing w:before="2"/>
        <w:ind w:left="638"/>
      </w:pPr>
      <w:r>
        <w:rPr>
          <w:w w:val="100"/>
        </w:rPr>
        <w:t> </w:t>
      </w:r>
    </w:p>
    <w:p>
      <w:pPr>
        <w:pStyle w:val="ListParagraph"/>
        <w:numPr>
          <w:ilvl w:val="0"/>
          <w:numId w:val="4"/>
        </w:numPr>
        <w:tabs>
          <w:tab w:pos="1205" w:val="left" w:leader="none"/>
        </w:tabs>
        <w:spacing w:line="297" w:lineRule="auto" w:before="62" w:after="0"/>
        <w:ind w:left="638" w:right="5647" w:firstLine="0"/>
        <w:jc w:val="left"/>
        <w:rPr>
          <w:sz w:val="21"/>
        </w:rPr>
      </w:pPr>
      <w:r>
        <w:rPr>
          <w:sz w:val="21"/>
        </w:rPr>
        <w:t>主要销售客户及主要供应商情况A.公司主要销售客户情况 </w:t>
      </w:r>
    </w:p>
    <w:p>
      <w:pPr>
        <w:pStyle w:val="BodyText"/>
        <w:spacing w:line="207" w:lineRule="exact"/>
        <w:ind w:left="638"/>
      </w:pPr>
      <w:r>
        <w:rPr>
          <w:spacing w:val="-1"/>
        </w:rPr>
        <w:t>√适用 □不适用</w:t>
      </w:r>
      <w:r>
        <w:rPr>
          <w:spacing w:val="-3"/>
        </w:rPr>
        <w:t> </w:t>
      </w:r>
      <w:r>
        <w:rPr/>
        <w:t> </w:t>
      </w:r>
    </w:p>
    <w:p>
      <w:pPr>
        <w:pStyle w:val="BodyText"/>
        <w:spacing w:line="242" w:lineRule="auto" w:before="4"/>
        <w:ind w:left="638" w:right="493"/>
      </w:pPr>
      <w:r>
        <w:rPr>
          <w:spacing w:val="-7"/>
        </w:rPr>
        <w:t>前五名客户销售额 </w:t>
      </w:r>
      <w:r>
        <w:rPr>
          <w:rFonts w:ascii="Times New Roman" w:eastAsia="Times New Roman"/>
          <w:spacing w:val="-1"/>
        </w:rPr>
        <w:t>32,483,300</w:t>
      </w:r>
      <w:r>
        <w:rPr>
          <w:rFonts w:ascii="Times New Roman" w:eastAsia="Times New Roman"/>
          <w:spacing w:val="-10"/>
        </w:rPr>
        <w:t> </w:t>
      </w:r>
      <w:r>
        <w:rPr>
          <w:spacing w:val="-5"/>
        </w:rPr>
        <w:t>万元，占年度销售总额 </w:t>
      </w:r>
      <w:r>
        <w:rPr>
          <w:rFonts w:ascii="Times New Roman" w:eastAsia="Times New Roman"/>
        </w:rPr>
        <w:t>63.46%</w:t>
      </w:r>
      <w:r>
        <w:rPr/>
        <w:t>；其中前五名客户销售额中关联方</w:t>
      </w:r>
      <w:r>
        <w:rPr>
          <w:spacing w:val="-14"/>
        </w:rPr>
        <w:t>销售额 </w:t>
      </w:r>
      <w:r>
        <w:rPr>
          <w:rFonts w:ascii="Times New Roman" w:eastAsia="Times New Roman"/>
        </w:rPr>
        <w:t>0</w:t>
      </w:r>
      <w:r>
        <w:rPr>
          <w:rFonts w:ascii="Times New Roman" w:eastAsia="Times New Roman"/>
          <w:spacing w:val="-12"/>
        </w:rPr>
        <w:t> </w:t>
      </w:r>
      <w:r>
        <w:rPr>
          <w:spacing w:val="-5"/>
        </w:rPr>
        <w:t>万元，占年度销售总额 </w:t>
      </w:r>
      <w:r>
        <w:rPr>
          <w:rFonts w:ascii="Times New Roman" w:eastAsia="Times New Roman"/>
        </w:rPr>
        <w:t>0 %</w:t>
      </w:r>
      <w:r>
        <w:rPr/>
        <w:t>。</w:t>
      </w:r>
    </w:p>
    <w:p>
      <w:pPr>
        <w:pStyle w:val="BodyText"/>
        <w:spacing w:before="11"/>
        <w:ind w:left="0"/>
        <w:rPr>
          <w:sz w:val="18"/>
        </w:rPr>
      </w:pPr>
    </w:p>
    <w:p>
      <w:pPr>
        <w:pStyle w:val="BodyText"/>
        <w:spacing w:line="244" w:lineRule="auto"/>
        <w:ind w:left="638" w:right="332"/>
      </w:pPr>
      <w:r>
        <w:rPr>
          <w:spacing w:val="-4"/>
        </w:rPr>
        <w:t>报告期内向单个客户的销售比例超过总额的 </w:t>
      </w:r>
      <w:r>
        <w:rPr>
          <w:rFonts w:ascii="Times New Roman" w:eastAsia="Times New Roman"/>
        </w:rPr>
        <w:t>50%</w:t>
      </w:r>
      <w:r>
        <w:rPr>
          <w:spacing w:val="-18"/>
        </w:rPr>
        <w:t>、前 </w:t>
      </w:r>
      <w:r>
        <w:rPr>
          <w:rFonts w:ascii="Times New Roman" w:eastAsia="Times New Roman"/>
        </w:rPr>
        <w:t>5</w:t>
      </w:r>
      <w:r>
        <w:rPr>
          <w:rFonts w:ascii="Times New Roman" w:eastAsia="Times New Roman"/>
          <w:spacing w:val="-12"/>
        </w:rPr>
        <w:t> </w:t>
      </w:r>
      <w:r>
        <w:rPr/>
        <w:t>名客户中存在新增客户的或严重依赖于少数客户的情形</w:t>
      </w:r>
    </w:p>
    <w:p>
      <w:pPr>
        <w:pStyle w:val="BodyText"/>
        <w:spacing w:line="265" w:lineRule="exact"/>
        <w:ind w:left="638"/>
      </w:pPr>
      <w:r>
        <w:rPr>
          <w:rFonts w:ascii="Times New Roman" w:hAnsi="Times New Roman" w:eastAsia="Times New Roman"/>
          <w:spacing w:val="-1"/>
        </w:rPr>
        <w:t>□</w:t>
      </w:r>
      <w:r>
        <w:rPr>
          <w:spacing w:val="-18"/>
        </w:rPr>
        <w:t>适用 </w:t>
      </w:r>
      <w:r>
        <w:rPr>
          <w:rFonts w:ascii="Times New Roman" w:hAnsi="Times New Roman" w:eastAsia="Times New Roman"/>
        </w:rPr>
        <w:t>√</w:t>
      </w:r>
      <w:r>
        <w:rPr/>
        <w:t>不适用</w:t>
      </w:r>
    </w:p>
    <w:p>
      <w:pPr>
        <w:pStyle w:val="BodyText"/>
        <w:spacing w:before="5"/>
        <w:ind w:left="638"/>
      </w:pPr>
      <w:r>
        <w:rPr>
          <w:rFonts w:ascii="Times New Roman" w:eastAsia="Times New Roman"/>
          <w:b/>
        </w:rPr>
        <w:t>B.</w:t>
      </w:r>
      <w:r>
        <w:rPr/>
        <w:t>公司主要供应商情况</w:t>
      </w:r>
    </w:p>
    <w:p>
      <w:pPr>
        <w:pStyle w:val="BodyText"/>
        <w:spacing w:before="2"/>
        <w:ind w:left="638"/>
      </w:pPr>
      <w:r>
        <w:rPr>
          <w:rFonts w:ascii="Times New Roman" w:hAnsi="Times New Roman" w:eastAsia="Times New Roman"/>
        </w:rPr>
        <w:t>√</w:t>
      </w:r>
      <w:r>
        <w:rPr>
          <w:spacing w:val="-18"/>
        </w:rPr>
        <w:t>适用 </w:t>
      </w:r>
      <w:r>
        <w:rPr>
          <w:rFonts w:ascii="Times New Roman" w:hAnsi="Times New Roman" w:eastAsia="Times New Roman"/>
        </w:rPr>
        <w:t>□</w:t>
      </w:r>
      <w:r>
        <w:rPr/>
        <w:t>不适用</w:t>
      </w:r>
    </w:p>
    <w:p>
      <w:pPr>
        <w:pStyle w:val="BodyText"/>
        <w:spacing w:line="242" w:lineRule="auto" w:before="4"/>
        <w:ind w:left="638" w:right="388"/>
      </w:pPr>
      <w:r>
        <w:rPr>
          <w:spacing w:val="-6"/>
        </w:rPr>
        <w:t>前五名供应商采购额 </w:t>
      </w:r>
      <w:r>
        <w:rPr>
          <w:rFonts w:ascii="Times New Roman" w:eastAsia="Times New Roman"/>
          <w:spacing w:val="-1"/>
        </w:rPr>
        <w:t>18,995,104</w:t>
      </w:r>
      <w:r>
        <w:rPr>
          <w:rFonts w:ascii="Times New Roman" w:eastAsia="Times New Roman"/>
          <w:spacing w:val="-8"/>
        </w:rPr>
        <w:t> </w:t>
      </w:r>
      <w:r>
        <w:rPr>
          <w:spacing w:val="-5"/>
        </w:rPr>
        <w:t>万元，占年度采购总额 </w:t>
      </w:r>
      <w:r>
        <w:rPr>
          <w:rFonts w:ascii="Times New Roman" w:eastAsia="Times New Roman"/>
        </w:rPr>
        <w:t>42.9%</w:t>
      </w:r>
      <w:r>
        <w:rPr/>
        <w:t>；其中前五名供应商采购额中关联</w:t>
      </w:r>
      <w:r>
        <w:rPr>
          <w:spacing w:val="-12"/>
        </w:rPr>
        <w:t>方采购额 </w:t>
      </w:r>
      <w:r>
        <w:rPr>
          <w:rFonts w:ascii="Times New Roman" w:eastAsia="Times New Roman"/>
        </w:rPr>
        <w:t>0</w:t>
      </w:r>
      <w:r>
        <w:rPr>
          <w:rFonts w:ascii="Times New Roman" w:eastAsia="Times New Roman"/>
          <w:spacing w:val="-10"/>
        </w:rPr>
        <w:t> </w:t>
      </w:r>
      <w:r>
        <w:rPr>
          <w:spacing w:val="-5"/>
        </w:rPr>
        <w:t>万元，占年度采购总额 </w:t>
      </w:r>
      <w:r>
        <w:rPr>
          <w:rFonts w:ascii="Times New Roman" w:eastAsia="Times New Roman"/>
        </w:rPr>
        <w:t>0%</w:t>
      </w:r>
      <w:r>
        <w:rPr/>
        <w:t>。</w:t>
      </w:r>
    </w:p>
    <w:p>
      <w:pPr>
        <w:pStyle w:val="BodyText"/>
        <w:spacing w:before="11"/>
        <w:ind w:left="0"/>
        <w:rPr>
          <w:sz w:val="18"/>
        </w:rPr>
      </w:pPr>
    </w:p>
    <w:p>
      <w:pPr>
        <w:pStyle w:val="BodyText"/>
        <w:spacing w:line="244" w:lineRule="auto"/>
        <w:ind w:left="638" w:right="332"/>
      </w:pPr>
      <w:r>
        <w:rPr>
          <w:spacing w:val="-4"/>
        </w:rPr>
        <w:t>报告期内向单个供应商的采购比例超过总额的 </w:t>
      </w:r>
      <w:r>
        <w:rPr>
          <w:rFonts w:ascii="Times New Roman" w:eastAsia="Times New Roman"/>
        </w:rPr>
        <w:t>50%</w:t>
      </w:r>
      <w:r>
        <w:rPr>
          <w:spacing w:val="-19"/>
        </w:rPr>
        <w:t>、前 </w:t>
      </w:r>
      <w:r>
        <w:rPr>
          <w:rFonts w:ascii="Times New Roman" w:eastAsia="Times New Roman"/>
        </w:rPr>
        <w:t>5</w:t>
      </w:r>
      <w:r>
        <w:rPr>
          <w:rFonts w:ascii="Times New Roman" w:eastAsia="Times New Roman"/>
          <w:spacing w:val="-10"/>
        </w:rPr>
        <w:t> </w:t>
      </w:r>
      <w:r>
        <w:rPr/>
        <w:t>名供应商中存在新增供应商的或严重依赖于少数供应商的情形</w:t>
      </w:r>
    </w:p>
    <w:p>
      <w:pPr>
        <w:pStyle w:val="BodyText"/>
        <w:spacing w:line="244" w:lineRule="auto"/>
        <w:ind w:left="638" w:right="7819"/>
      </w:pPr>
      <w:r>
        <w:rPr>
          <w:rFonts w:ascii="Times New Roman" w:hAnsi="Times New Roman" w:eastAsia="Times New Roman"/>
          <w:spacing w:val="-3"/>
        </w:rPr>
        <w:t>□</w:t>
      </w:r>
      <w:r>
        <w:rPr>
          <w:spacing w:val="-20"/>
        </w:rPr>
        <w:t>适用 </w:t>
      </w:r>
      <w:r>
        <w:rPr>
          <w:rFonts w:ascii="Times New Roman" w:hAnsi="Times New Roman" w:eastAsia="Times New Roman"/>
          <w:spacing w:val="-2"/>
        </w:rPr>
        <w:t>√</w:t>
      </w:r>
      <w:r>
        <w:rPr>
          <w:spacing w:val="-2"/>
        </w:rPr>
        <w:t>不适用</w:t>
      </w:r>
      <w:r>
        <w:rPr/>
        <w:t>其他说明 </w:t>
      </w:r>
    </w:p>
    <w:p>
      <w:pPr>
        <w:pStyle w:val="BodyText"/>
        <w:spacing w:line="265" w:lineRule="exact"/>
        <w:ind w:left="638"/>
      </w:pPr>
      <w:r>
        <w:rPr>
          <w:w w:val="100"/>
        </w:rPr>
        <w:t> </w:t>
      </w:r>
    </w:p>
    <w:p>
      <w:pPr>
        <w:pStyle w:val="ListParagraph"/>
        <w:numPr>
          <w:ilvl w:val="0"/>
          <w:numId w:val="3"/>
        </w:numPr>
        <w:tabs>
          <w:tab w:pos="1058" w:val="left" w:leader="none"/>
        </w:tabs>
        <w:spacing w:line="240" w:lineRule="auto" w:before="61" w:after="0"/>
        <w:ind w:left="1058" w:right="0" w:hanging="420"/>
        <w:jc w:val="left"/>
        <w:rPr>
          <w:sz w:val="21"/>
        </w:rPr>
      </w:pPr>
      <w:r>
        <w:rPr>
          <w:sz w:val="21"/>
        </w:rPr>
        <w:t>费用 </w:t>
      </w:r>
    </w:p>
    <w:p>
      <w:pPr>
        <w:pStyle w:val="BodyText"/>
        <w:spacing w:before="62"/>
        <w:ind w:left="638"/>
      </w:pPr>
      <w:r>
        <w:rPr>
          <w:spacing w:val="-1"/>
        </w:rPr>
        <w:t>√适用 □不适用</w:t>
      </w:r>
      <w:r>
        <w:rPr>
          <w:spacing w:val="-3"/>
        </w:rPr>
        <w:t> </w:t>
      </w:r>
      <w:r>
        <w:rPr/>
        <w:t> </w:t>
      </w:r>
    </w:p>
    <w:p>
      <w:pPr>
        <w:pStyle w:val="BodyText"/>
        <w:spacing w:before="5"/>
        <w:ind w:left="0" w:right="448"/>
        <w:jc w:val="right"/>
      </w:pPr>
      <w:r>
        <w:rPr/>
        <w:t>单位：亿元 </w:t>
      </w: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6"/>
        <w:gridCol w:w="2205"/>
        <w:gridCol w:w="2205"/>
        <w:gridCol w:w="2205"/>
      </w:tblGrid>
      <w:tr>
        <w:trPr>
          <w:trHeight w:val="273" w:hRule="atLeast"/>
        </w:trPr>
        <w:tc>
          <w:tcPr>
            <w:tcW w:w="2206" w:type="dxa"/>
          </w:tcPr>
          <w:p>
            <w:pPr>
              <w:pStyle w:val="TableParagraph"/>
              <w:spacing w:line="252" w:lineRule="exact" w:before="1"/>
              <w:ind w:left="662" w:right="651"/>
              <w:jc w:val="center"/>
              <w:rPr>
                <w:sz w:val="21"/>
              </w:rPr>
            </w:pPr>
            <w:r>
              <w:rPr>
                <w:sz w:val="21"/>
              </w:rPr>
              <w:t>项目</w:t>
            </w:r>
          </w:p>
        </w:tc>
        <w:tc>
          <w:tcPr>
            <w:tcW w:w="2205" w:type="dxa"/>
          </w:tcPr>
          <w:p>
            <w:pPr>
              <w:pStyle w:val="TableParagraph"/>
              <w:spacing w:line="252" w:lineRule="exact" w:before="1"/>
              <w:ind w:left="745" w:right="735"/>
              <w:jc w:val="center"/>
              <w:rPr>
                <w:sz w:val="21"/>
              </w:rPr>
            </w:pPr>
            <w:r>
              <w:rPr>
                <w:rFonts w:ascii="Times New Roman" w:eastAsia="Times New Roman"/>
                <w:sz w:val="21"/>
              </w:rPr>
              <w:t>2022</w:t>
            </w:r>
            <w:r>
              <w:rPr>
                <w:rFonts w:ascii="Times New Roman" w:eastAsia="Times New Roman"/>
                <w:spacing w:val="-11"/>
                <w:sz w:val="21"/>
              </w:rPr>
              <w:t> </w:t>
            </w:r>
            <w:r>
              <w:rPr>
                <w:sz w:val="21"/>
              </w:rPr>
              <w:t>年</w:t>
            </w:r>
          </w:p>
        </w:tc>
        <w:tc>
          <w:tcPr>
            <w:tcW w:w="2205" w:type="dxa"/>
          </w:tcPr>
          <w:p>
            <w:pPr>
              <w:pStyle w:val="TableParagraph"/>
              <w:spacing w:line="252" w:lineRule="exact" w:before="1"/>
              <w:ind w:left="746" w:right="734"/>
              <w:jc w:val="center"/>
              <w:rPr>
                <w:sz w:val="21"/>
              </w:rPr>
            </w:pPr>
            <w:r>
              <w:rPr>
                <w:rFonts w:ascii="Times New Roman" w:eastAsia="Times New Roman"/>
                <w:sz w:val="21"/>
              </w:rPr>
              <w:t>2021</w:t>
            </w:r>
            <w:r>
              <w:rPr>
                <w:rFonts w:ascii="Times New Roman" w:eastAsia="Times New Roman"/>
                <w:spacing w:val="-11"/>
                <w:sz w:val="21"/>
              </w:rPr>
              <w:t> </w:t>
            </w:r>
            <w:r>
              <w:rPr>
                <w:sz w:val="21"/>
              </w:rPr>
              <w:t>年</w:t>
            </w:r>
          </w:p>
        </w:tc>
        <w:tc>
          <w:tcPr>
            <w:tcW w:w="2205" w:type="dxa"/>
          </w:tcPr>
          <w:p>
            <w:pPr>
              <w:pStyle w:val="TableParagraph"/>
              <w:spacing w:line="252" w:lineRule="exact" w:before="1"/>
              <w:ind w:left="474"/>
              <w:rPr>
                <w:sz w:val="21"/>
              </w:rPr>
            </w:pPr>
            <w:r>
              <w:rPr>
                <w:sz w:val="21"/>
              </w:rPr>
              <w:t>增减变动幅度</w:t>
            </w:r>
          </w:p>
        </w:tc>
      </w:tr>
      <w:tr>
        <w:trPr>
          <w:trHeight w:val="273" w:hRule="atLeast"/>
        </w:trPr>
        <w:tc>
          <w:tcPr>
            <w:tcW w:w="2206" w:type="dxa"/>
          </w:tcPr>
          <w:p>
            <w:pPr>
              <w:pStyle w:val="TableParagraph"/>
              <w:spacing w:line="252" w:lineRule="exact" w:before="1"/>
              <w:ind w:left="662" w:right="653"/>
              <w:jc w:val="center"/>
              <w:rPr>
                <w:sz w:val="21"/>
              </w:rPr>
            </w:pPr>
            <w:r>
              <w:rPr>
                <w:sz w:val="21"/>
              </w:rPr>
              <w:t>销售费用</w:t>
            </w:r>
          </w:p>
        </w:tc>
        <w:tc>
          <w:tcPr>
            <w:tcW w:w="2205" w:type="dxa"/>
          </w:tcPr>
          <w:p>
            <w:pPr>
              <w:pStyle w:val="TableParagraph"/>
              <w:spacing w:line="235" w:lineRule="exact"/>
              <w:ind w:right="93"/>
              <w:jc w:val="right"/>
              <w:rPr>
                <w:rFonts w:ascii="Times New Roman"/>
                <w:sz w:val="21"/>
              </w:rPr>
            </w:pPr>
            <w:r>
              <w:rPr>
                <w:rFonts w:ascii="Times New Roman"/>
                <w:sz w:val="21"/>
              </w:rPr>
              <w:t>10.58</w:t>
            </w:r>
          </w:p>
        </w:tc>
        <w:tc>
          <w:tcPr>
            <w:tcW w:w="2205" w:type="dxa"/>
          </w:tcPr>
          <w:p>
            <w:pPr>
              <w:pStyle w:val="TableParagraph"/>
              <w:spacing w:line="235" w:lineRule="exact"/>
              <w:ind w:right="92"/>
              <w:jc w:val="right"/>
              <w:rPr>
                <w:rFonts w:ascii="Times New Roman"/>
                <w:sz w:val="21"/>
              </w:rPr>
            </w:pPr>
            <w:r>
              <w:rPr>
                <w:rFonts w:ascii="Times New Roman"/>
                <w:sz w:val="21"/>
              </w:rPr>
              <w:t>8.96</w:t>
            </w:r>
          </w:p>
        </w:tc>
        <w:tc>
          <w:tcPr>
            <w:tcW w:w="2205" w:type="dxa"/>
          </w:tcPr>
          <w:p>
            <w:pPr>
              <w:pStyle w:val="TableParagraph"/>
              <w:spacing w:line="235" w:lineRule="exact"/>
              <w:ind w:right="90"/>
              <w:jc w:val="right"/>
              <w:rPr>
                <w:rFonts w:ascii="Times New Roman"/>
                <w:sz w:val="21"/>
              </w:rPr>
            </w:pPr>
            <w:r>
              <w:rPr>
                <w:rFonts w:ascii="Times New Roman"/>
                <w:sz w:val="21"/>
              </w:rPr>
              <w:t>18.08%</w:t>
            </w:r>
          </w:p>
        </w:tc>
      </w:tr>
      <w:tr>
        <w:trPr>
          <w:trHeight w:val="270" w:hRule="atLeast"/>
        </w:trPr>
        <w:tc>
          <w:tcPr>
            <w:tcW w:w="2206" w:type="dxa"/>
          </w:tcPr>
          <w:p>
            <w:pPr>
              <w:pStyle w:val="TableParagraph"/>
              <w:spacing w:line="250" w:lineRule="exact" w:before="1"/>
              <w:ind w:left="662" w:right="653"/>
              <w:jc w:val="center"/>
              <w:rPr>
                <w:sz w:val="21"/>
              </w:rPr>
            </w:pPr>
            <w:r>
              <w:rPr>
                <w:sz w:val="21"/>
              </w:rPr>
              <w:t>管理费用</w:t>
            </w:r>
          </w:p>
        </w:tc>
        <w:tc>
          <w:tcPr>
            <w:tcW w:w="2205" w:type="dxa"/>
          </w:tcPr>
          <w:p>
            <w:pPr>
              <w:pStyle w:val="TableParagraph"/>
              <w:spacing w:line="235" w:lineRule="exact"/>
              <w:ind w:right="93"/>
              <w:jc w:val="right"/>
              <w:rPr>
                <w:rFonts w:ascii="Times New Roman"/>
                <w:sz w:val="21"/>
              </w:rPr>
            </w:pPr>
            <w:r>
              <w:rPr>
                <w:rFonts w:ascii="Times New Roman"/>
                <w:sz w:val="21"/>
              </w:rPr>
              <w:t>38.28</w:t>
            </w:r>
          </w:p>
        </w:tc>
        <w:tc>
          <w:tcPr>
            <w:tcW w:w="2205" w:type="dxa"/>
          </w:tcPr>
          <w:p>
            <w:pPr>
              <w:pStyle w:val="TableParagraph"/>
              <w:spacing w:line="235" w:lineRule="exact"/>
              <w:ind w:right="92"/>
              <w:jc w:val="right"/>
              <w:rPr>
                <w:rFonts w:ascii="Times New Roman"/>
                <w:sz w:val="21"/>
              </w:rPr>
            </w:pPr>
            <w:r>
              <w:rPr>
                <w:rFonts w:ascii="Times New Roman"/>
                <w:sz w:val="21"/>
              </w:rPr>
              <w:t>41.57</w:t>
            </w:r>
          </w:p>
        </w:tc>
        <w:tc>
          <w:tcPr>
            <w:tcW w:w="2205" w:type="dxa"/>
          </w:tcPr>
          <w:p>
            <w:pPr>
              <w:pStyle w:val="TableParagraph"/>
              <w:spacing w:line="235" w:lineRule="exact"/>
              <w:ind w:right="92"/>
              <w:jc w:val="right"/>
              <w:rPr>
                <w:rFonts w:ascii="Times New Roman"/>
                <w:sz w:val="21"/>
              </w:rPr>
            </w:pPr>
            <w:r>
              <w:rPr>
                <w:rFonts w:ascii="Times New Roman"/>
                <w:sz w:val="21"/>
              </w:rPr>
              <w:t>-7.91%</w:t>
            </w:r>
          </w:p>
        </w:tc>
      </w:tr>
      <w:tr>
        <w:trPr>
          <w:trHeight w:val="273" w:hRule="atLeast"/>
        </w:trPr>
        <w:tc>
          <w:tcPr>
            <w:tcW w:w="2206" w:type="dxa"/>
          </w:tcPr>
          <w:p>
            <w:pPr>
              <w:pStyle w:val="TableParagraph"/>
              <w:spacing w:line="252" w:lineRule="exact" w:before="1"/>
              <w:ind w:left="662" w:right="653"/>
              <w:jc w:val="center"/>
              <w:rPr>
                <w:sz w:val="21"/>
              </w:rPr>
            </w:pPr>
            <w:r>
              <w:rPr>
                <w:sz w:val="21"/>
              </w:rPr>
              <w:t>研发费用</w:t>
            </w:r>
          </w:p>
        </w:tc>
        <w:tc>
          <w:tcPr>
            <w:tcW w:w="2205" w:type="dxa"/>
          </w:tcPr>
          <w:p>
            <w:pPr>
              <w:pStyle w:val="TableParagraph"/>
              <w:spacing w:line="235" w:lineRule="exact"/>
              <w:ind w:right="93"/>
              <w:jc w:val="right"/>
              <w:rPr>
                <w:rFonts w:ascii="Times New Roman"/>
                <w:sz w:val="21"/>
              </w:rPr>
            </w:pPr>
            <w:r>
              <w:rPr>
                <w:rFonts w:ascii="Times New Roman"/>
                <w:sz w:val="21"/>
              </w:rPr>
              <w:t>115.88</w:t>
            </w:r>
          </w:p>
        </w:tc>
        <w:tc>
          <w:tcPr>
            <w:tcW w:w="2205" w:type="dxa"/>
          </w:tcPr>
          <w:p>
            <w:pPr>
              <w:pStyle w:val="TableParagraph"/>
              <w:spacing w:line="235" w:lineRule="exact"/>
              <w:ind w:right="92"/>
              <w:jc w:val="right"/>
              <w:rPr>
                <w:rFonts w:ascii="Times New Roman"/>
                <w:sz w:val="21"/>
              </w:rPr>
            </w:pPr>
            <w:r>
              <w:rPr>
                <w:rFonts w:ascii="Times New Roman"/>
                <w:sz w:val="21"/>
              </w:rPr>
              <w:t>108.35</w:t>
            </w:r>
          </w:p>
        </w:tc>
        <w:tc>
          <w:tcPr>
            <w:tcW w:w="2205" w:type="dxa"/>
          </w:tcPr>
          <w:p>
            <w:pPr>
              <w:pStyle w:val="TableParagraph"/>
              <w:spacing w:line="235" w:lineRule="exact"/>
              <w:ind w:right="90"/>
              <w:jc w:val="right"/>
              <w:rPr>
                <w:rFonts w:ascii="Times New Roman"/>
                <w:sz w:val="21"/>
              </w:rPr>
            </w:pPr>
            <w:r>
              <w:rPr>
                <w:rFonts w:ascii="Times New Roman"/>
                <w:sz w:val="21"/>
              </w:rPr>
              <w:t>6.95%</w:t>
            </w:r>
          </w:p>
        </w:tc>
      </w:tr>
      <w:tr>
        <w:trPr>
          <w:trHeight w:val="270" w:hRule="atLeast"/>
        </w:trPr>
        <w:tc>
          <w:tcPr>
            <w:tcW w:w="2206" w:type="dxa"/>
          </w:tcPr>
          <w:p>
            <w:pPr>
              <w:pStyle w:val="TableParagraph"/>
              <w:spacing w:line="250" w:lineRule="exact" w:before="1"/>
              <w:ind w:left="662" w:right="653"/>
              <w:jc w:val="center"/>
              <w:rPr>
                <w:sz w:val="21"/>
              </w:rPr>
            </w:pPr>
            <w:r>
              <w:rPr>
                <w:sz w:val="21"/>
              </w:rPr>
              <w:t>财务收入</w:t>
            </w:r>
          </w:p>
        </w:tc>
        <w:tc>
          <w:tcPr>
            <w:tcW w:w="2205" w:type="dxa"/>
          </w:tcPr>
          <w:p>
            <w:pPr>
              <w:pStyle w:val="TableParagraph"/>
              <w:spacing w:line="235" w:lineRule="exact"/>
              <w:ind w:right="95"/>
              <w:jc w:val="right"/>
              <w:rPr>
                <w:rFonts w:ascii="Times New Roman"/>
                <w:sz w:val="21"/>
              </w:rPr>
            </w:pPr>
            <w:r>
              <w:rPr>
                <w:rFonts w:ascii="Times New Roman"/>
                <w:sz w:val="21"/>
              </w:rPr>
              <w:t>-7.04</w:t>
            </w:r>
          </w:p>
        </w:tc>
        <w:tc>
          <w:tcPr>
            <w:tcW w:w="2205" w:type="dxa"/>
          </w:tcPr>
          <w:p>
            <w:pPr>
              <w:pStyle w:val="TableParagraph"/>
              <w:spacing w:line="235" w:lineRule="exact"/>
              <w:ind w:right="94"/>
              <w:jc w:val="right"/>
              <w:rPr>
                <w:rFonts w:ascii="Times New Roman"/>
                <w:sz w:val="21"/>
              </w:rPr>
            </w:pPr>
            <w:r>
              <w:rPr>
                <w:rFonts w:ascii="Times New Roman"/>
                <w:sz w:val="21"/>
              </w:rPr>
              <w:t>-8.26</w:t>
            </w:r>
          </w:p>
        </w:tc>
        <w:tc>
          <w:tcPr>
            <w:tcW w:w="2205" w:type="dxa"/>
          </w:tcPr>
          <w:p>
            <w:pPr>
              <w:pStyle w:val="TableParagraph"/>
              <w:spacing w:line="235" w:lineRule="exact"/>
              <w:ind w:right="92"/>
              <w:jc w:val="right"/>
              <w:rPr>
                <w:rFonts w:ascii="Times New Roman"/>
                <w:sz w:val="21"/>
              </w:rPr>
            </w:pPr>
            <w:r>
              <w:rPr>
                <w:rFonts w:ascii="Times New Roman"/>
                <w:sz w:val="21"/>
              </w:rPr>
              <w:t>-14.77%</w:t>
            </w:r>
          </w:p>
        </w:tc>
      </w:tr>
      <w:tr>
        <w:trPr>
          <w:trHeight w:val="273" w:hRule="atLeast"/>
        </w:trPr>
        <w:tc>
          <w:tcPr>
            <w:tcW w:w="2206" w:type="dxa"/>
          </w:tcPr>
          <w:p>
            <w:pPr>
              <w:pStyle w:val="TableParagraph"/>
              <w:spacing w:line="250" w:lineRule="exact" w:before="4"/>
              <w:ind w:left="662" w:right="653"/>
              <w:jc w:val="center"/>
              <w:rPr>
                <w:sz w:val="21"/>
              </w:rPr>
            </w:pPr>
            <w:r>
              <w:rPr>
                <w:sz w:val="21"/>
              </w:rPr>
              <w:t>期间费用</w:t>
            </w:r>
          </w:p>
        </w:tc>
        <w:tc>
          <w:tcPr>
            <w:tcW w:w="2205" w:type="dxa"/>
          </w:tcPr>
          <w:p>
            <w:pPr>
              <w:pStyle w:val="TableParagraph"/>
              <w:spacing w:line="238" w:lineRule="exact"/>
              <w:ind w:right="93"/>
              <w:jc w:val="right"/>
              <w:rPr>
                <w:rFonts w:ascii="Times New Roman"/>
                <w:sz w:val="21"/>
              </w:rPr>
            </w:pPr>
            <w:r>
              <w:rPr>
                <w:rFonts w:ascii="Times New Roman"/>
                <w:sz w:val="21"/>
              </w:rPr>
              <w:t>157.70</w:t>
            </w:r>
          </w:p>
        </w:tc>
        <w:tc>
          <w:tcPr>
            <w:tcW w:w="2205" w:type="dxa"/>
          </w:tcPr>
          <w:p>
            <w:pPr>
              <w:pStyle w:val="TableParagraph"/>
              <w:spacing w:line="238" w:lineRule="exact"/>
              <w:ind w:right="92"/>
              <w:jc w:val="right"/>
              <w:rPr>
                <w:rFonts w:ascii="Times New Roman"/>
                <w:sz w:val="21"/>
              </w:rPr>
            </w:pPr>
            <w:r>
              <w:rPr>
                <w:rFonts w:ascii="Times New Roman"/>
                <w:sz w:val="21"/>
              </w:rPr>
              <w:t>150.62</w:t>
            </w:r>
          </w:p>
        </w:tc>
        <w:tc>
          <w:tcPr>
            <w:tcW w:w="2205" w:type="dxa"/>
          </w:tcPr>
          <w:p>
            <w:pPr>
              <w:pStyle w:val="TableParagraph"/>
              <w:spacing w:line="238" w:lineRule="exact"/>
              <w:ind w:right="90"/>
              <w:jc w:val="right"/>
              <w:rPr>
                <w:rFonts w:ascii="Times New Roman"/>
                <w:sz w:val="21"/>
              </w:rPr>
            </w:pPr>
            <w:r>
              <w:rPr>
                <w:rFonts w:ascii="Times New Roman"/>
                <w:sz w:val="21"/>
              </w:rPr>
              <w:t>4.71%</w:t>
            </w:r>
          </w:p>
        </w:tc>
      </w:tr>
    </w:tbl>
    <w:p>
      <w:pPr>
        <w:pStyle w:val="BodyText"/>
        <w:spacing w:before="1"/>
        <w:ind w:left="0"/>
        <w:rPr>
          <w:sz w:val="18"/>
        </w:rPr>
      </w:pPr>
    </w:p>
    <w:p>
      <w:pPr>
        <w:pStyle w:val="ListParagraph"/>
        <w:numPr>
          <w:ilvl w:val="0"/>
          <w:numId w:val="3"/>
        </w:numPr>
        <w:tabs>
          <w:tab w:pos="1058" w:val="left" w:leader="none"/>
        </w:tabs>
        <w:spacing w:line="240" w:lineRule="auto" w:before="72" w:after="0"/>
        <w:ind w:left="1058" w:right="0" w:hanging="420"/>
        <w:jc w:val="left"/>
        <w:rPr>
          <w:sz w:val="21"/>
        </w:rPr>
      </w:pPr>
      <w:r>
        <w:rPr>
          <w:sz w:val="21"/>
        </w:rPr>
        <w:t>研发投入 </w:t>
      </w:r>
    </w:p>
    <w:p>
      <w:pPr>
        <w:pStyle w:val="ListParagraph"/>
        <w:numPr>
          <w:ilvl w:val="0"/>
          <w:numId w:val="5"/>
        </w:numPr>
        <w:tabs>
          <w:tab w:pos="1062" w:val="left" w:leader="none"/>
        </w:tabs>
        <w:spacing w:line="240" w:lineRule="auto" w:before="62" w:after="0"/>
        <w:ind w:left="1061" w:right="0" w:hanging="424"/>
        <w:jc w:val="left"/>
        <w:rPr>
          <w:sz w:val="21"/>
        </w:rPr>
      </w:pPr>
      <w:r>
        <w:rPr>
          <w:sz w:val="21"/>
        </w:rPr>
        <w:t>研发投入情况表</w:t>
      </w:r>
    </w:p>
    <w:p>
      <w:pPr>
        <w:pStyle w:val="BodyText"/>
        <w:spacing w:before="64"/>
        <w:ind w:left="638"/>
      </w:pPr>
      <w:r>
        <w:rPr>
          <w:spacing w:val="11"/>
        </w:rPr>
        <w:t>√适用 □不适用</w:t>
      </w:r>
      <w:r>
        <w:rPr>
          <w:spacing w:val="-3"/>
        </w:rPr>
        <w:t> </w:t>
      </w:r>
      <w:r>
        <w:rPr/>
        <w:t> </w:t>
      </w:r>
    </w:p>
    <w:p>
      <w:pPr>
        <w:pStyle w:val="BodyText"/>
        <w:spacing w:before="2" w:after="4"/>
        <w:ind w:left="8420"/>
      </w:pPr>
      <w:r>
        <w:rPr/>
        <w:t>单位：千元 </w:t>
      </w: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01"/>
        <w:gridCol w:w="5122"/>
      </w:tblGrid>
      <w:tr>
        <w:trPr>
          <w:trHeight w:val="270" w:hRule="atLeast"/>
        </w:trPr>
        <w:tc>
          <w:tcPr>
            <w:tcW w:w="3701" w:type="dxa"/>
          </w:tcPr>
          <w:p>
            <w:pPr>
              <w:pStyle w:val="TableParagraph"/>
              <w:spacing w:line="250" w:lineRule="exact" w:before="1"/>
              <w:ind w:left="107"/>
              <w:rPr>
                <w:sz w:val="21"/>
              </w:rPr>
            </w:pPr>
            <w:r>
              <w:rPr>
                <w:sz w:val="21"/>
              </w:rPr>
              <w:t>本期费用化研发投入</w:t>
            </w:r>
          </w:p>
        </w:tc>
        <w:tc>
          <w:tcPr>
            <w:tcW w:w="5122" w:type="dxa"/>
          </w:tcPr>
          <w:p>
            <w:pPr>
              <w:pStyle w:val="TableParagraph"/>
              <w:spacing w:line="235" w:lineRule="exact"/>
              <w:ind w:right="90"/>
              <w:jc w:val="right"/>
              <w:rPr>
                <w:rFonts w:ascii="Times New Roman"/>
                <w:sz w:val="21"/>
              </w:rPr>
            </w:pPr>
            <w:r>
              <w:rPr>
                <w:rFonts w:ascii="Times New Roman"/>
                <w:sz w:val="21"/>
              </w:rPr>
              <w:t>11,588,014</w:t>
            </w:r>
          </w:p>
        </w:tc>
      </w:tr>
      <w:tr>
        <w:trPr>
          <w:trHeight w:val="273" w:hRule="atLeast"/>
        </w:trPr>
        <w:tc>
          <w:tcPr>
            <w:tcW w:w="3701" w:type="dxa"/>
          </w:tcPr>
          <w:p>
            <w:pPr>
              <w:pStyle w:val="TableParagraph"/>
              <w:spacing w:line="250" w:lineRule="exact" w:before="3"/>
              <w:ind w:left="107"/>
              <w:rPr>
                <w:sz w:val="21"/>
              </w:rPr>
            </w:pPr>
            <w:r>
              <w:rPr>
                <w:sz w:val="21"/>
              </w:rPr>
              <w:t>本期资本化研发投入</w:t>
            </w:r>
          </w:p>
        </w:tc>
        <w:tc>
          <w:tcPr>
            <w:tcW w:w="5122" w:type="dxa"/>
          </w:tcPr>
          <w:p>
            <w:pPr>
              <w:pStyle w:val="TableParagraph"/>
              <w:spacing w:line="237" w:lineRule="exact"/>
              <w:ind w:right="92"/>
              <w:jc w:val="right"/>
              <w:rPr>
                <w:rFonts w:ascii="Times New Roman"/>
                <w:sz w:val="21"/>
              </w:rPr>
            </w:pPr>
            <w:r>
              <w:rPr>
                <w:rFonts w:ascii="Times New Roman"/>
                <w:w w:val="100"/>
                <w:sz w:val="21"/>
              </w:rPr>
              <w:t>0</w:t>
            </w:r>
          </w:p>
        </w:tc>
      </w:tr>
      <w:tr>
        <w:trPr>
          <w:trHeight w:val="273" w:hRule="atLeast"/>
        </w:trPr>
        <w:tc>
          <w:tcPr>
            <w:tcW w:w="3701" w:type="dxa"/>
          </w:tcPr>
          <w:p>
            <w:pPr>
              <w:pStyle w:val="TableParagraph"/>
              <w:spacing w:line="252" w:lineRule="exact" w:before="1"/>
              <w:ind w:left="107"/>
              <w:rPr>
                <w:sz w:val="21"/>
              </w:rPr>
            </w:pPr>
            <w:r>
              <w:rPr>
                <w:sz w:val="21"/>
              </w:rPr>
              <w:t>研发投入合计</w:t>
            </w:r>
          </w:p>
        </w:tc>
        <w:tc>
          <w:tcPr>
            <w:tcW w:w="5122" w:type="dxa"/>
          </w:tcPr>
          <w:p>
            <w:pPr>
              <w:pStyle w:val="TableParagraph"/>
              <w:spacing w:line="235" w:lineRule="exact"/>
              <w:ind w:right="90"/>
              <w:jc w:val="right"/>
              <w:rPr>
                <w:rFonts w:ascii="Times New Roman"/>
                <w:sz w:val="21"/>
              </w:rPr>
            </w:pPr>
            <w:r>
              <w:rPr>
                <w:rFonts w:ascii="Times New Roman"/>
                <w:sz w:val="21"/>
              </w:rPr>
              <w:t>11,588,014</w:t>
            </w:r>
          </w:p>
        </w:tc>
      </w:tr>
      <w:tr>
        <w:trPr>
          <w:trHeight w:val="273" w:hRule="atLeast"/>
        </w:trPr>
        <w:tc>
          <w:tcPr>
            <w:tcW w:w="3701" w:type="dxa"/>
          </w:tcPr>
          <w:p>
            <w:pPr>
              <w:pStyle w:val="TableParagraph"/>
              <w:spacing w:line="252" w:lineRule="exact" w:before="1"/>
              <w:ind w:left="107"/>
              <w:rPr>
                <w:sz w:val="21"/>
              </w:rPr>
            </w:pPr>
            <w:r>
              <w:rPr>
                <w:sz w:val="21"/>
              </w:rPr>
              <w:t>研发投入总额占营业收入比例（</w:t>
            </w:r>
            <w:r>
              <w:rPr>
                <w:rFonts w:ascii="Times New Roman" w:eastAsia="Times New Roman"/>
                <w:sz w:val="21"/>
              </w:rPr>
              <w:t>%</w:t>
            </w:r>
            <w:r>
              <w:rPr>
                <w:sz w:val="21"/>
              </w:rPr>
              <w:t>）</w:t>
            </w:r>
          </w:p>
        </w:tc>
        <w:tc>
          <w:tcPr>
            <w:tcW w:w="5122" w:type="dxa"/>
          </w:tcPr>
          <w:p>
            <w:pPr>
              <w:pStyle w:val="TableParagraph"/>
              <w:spacing w:line="235" w:lineRule="exact"/>
              <w:ind w:right="90"/>
              <w:jc w:val="right"/>
              <w:rPr>
                <w:rFonts w:ascii="Times New Roman"/>
                <w:sz w:val="21"/>
              </w:rPr>
            </w:pPr>
            <w:r>
              <w:rPr>
                <w:rFonts w:ascii="Times New Roman"/>
                <w:sz w:val="21"/>
              </w:rPr>
              <w:t>2.26</w:t>
            </w:r>
          </w:p>
        </w:tc>
      </w:tr>
    </w:tbl>
    <w:p>
      <w:pPr>
        <w:spacing w:after="0" w:line="235" w:lineRule="exact"/>
        <w:jc w:val="right"/>
        <w:rPr>
          <w:rFonts w:ascii="Times New Roman"/>
          <w:sz w:val="21"/>
        </w:rPr>
        <w:sectPr>
          <w:pgSz w:w="11910" w:h="16840"/>
          <w:pgMar w:header="880" w:footer="1195" w:top="1120" w:bottom="1380" w:left="1160" w:right="940"/>
        </w:sectPr>
      </w:pPr>
    </w:p>
    <w:p>
      <w:pPr>
        <w:pStyle w:val="BodyText"/>
        <w:ind w:left="0"/>
        <w:rPr>
          <w:sz w:val="20"/>
        </w:rPr>
      </w:pPr>
    </w:p>
    <w:p>
      <w:pPr>
        <w:pStyle w:val="BodyText"/>
        <w:spacing w:before="3"/>
        <w:ind w:left="0"/>
        <w:rPr>
          <w:sz w:val="11"/>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01"/>
        <w:gridCol w:w="5122"/>
      </w:tblGrid>
      <w:tr>
        <w:trPr>
          <w:trHeight w:val="273" w:hRule="atLeast"/>
        </w:trPr>
        <w:tc>
          <w:tcPr>
            <w:tcW w:w="3701" w:type="dxa"/>
          </w:tcPr>
          <w:p>
            <w:pPr>
              <w:pStyle w:val="TableParagraph"/>
              <w:spacing w:line="250" w:lineRule="exact" w:before="3"/>
              <w:ind w:left="107"/>
              <w:rPr>
                <w:sz w:val="21"/>
              </w:rPr>
            </w:pPr>
            <w:r>
              <w:rPr>
                <w:spacing w:val="-1"/>
                <w:sz w:val="21"/>
              </w:rPr>
              <w:t>研发投入资本化的比重</w:t>
            </w:r>
            <w:r>
              <w:rPr>
                <w:sz w:val="21"/>
              </w:rPr>
              <w:t>（</w:t>
            </w:r>
            <w:r>
              <w:rPr>
                <w:rFonts w:ascii="Times New Roman" w:eastAsia="Times New Roman"/>
                <w:sz w:val="21"/>
              </w:rPr>
              <w:t>%</w:t>
            </w:r>
            <w:r>
              <w:rPr>
                <w:sz w:val="21"/>
              </w:rPr>
              <w:t>）</w:t>
            </w:r>
          </w:p>
        </w:tc>
        <w:tc>
          <w:tcPr>
            <w:tcW w:w="5122" w:type="dxa"/>
          </w:tcPr>
          <w:p>
            <w:pPr>
              <w:pStyle w:val="TableParagraph"/>
              <w:spacing w:line="237" w:lineRule="exact"/>
              <w:ind w:right="92"/>
              <w:jc w:val="right"/>
              <w:rPr>
                <w:rFonts w:ascii="Times New Roman"/>
                <w:sz w:val="21"/>
              </w:rPr>
            </w:pPr>
            <w:r>
              <w:rPr>
                <w:rFonts w:ascii="Times New Roman"/>
                <w:w w:val="100"/>
                <w:sz w:val="21"/>
              </w:rPr>
              <w:t>0</w:t>
            </w:r>
          </w:p>
        </w:tc>
      </w:tr>
    </w:tbl>
    <w:p>
      <w:pPr>
        <w:pStyle w:val="BodyText"/>
        <w:spacing w:before="1"/>
        <w:ind w:left="638"/>
      </w:pPr>
      <w:r>
        <w:rPr>
          <w:w w:val="100"/>
        </w:rPr>
        <w:t> </w:t>
      </w:r>
    </w:p>
    <w:p>
      <w:pPr>
        <w:pStyle w:val="BodyText"/>
        <w:spacing w:before="4"/>
        <w:ind w:left="638"/>
      </w:pPr>
      <w:r>
        <w:rPr>
          <w:w w:val="100"/>
        </w:rPr>
        <w:t> </w:t>
      </w:r>
    </w:p>
    <w:p>
      <w:pPr>
        <w:pStyle w:val="ListParagraph"/>
        <w:numPr>
          <w:ilvl w:val="0"/>
          <w:numId w:val="5"/>
        </w:numPr>
        <w:tabs>
          <w:tab w:pos="1062" w:val="left" w:leader="none"/>
        </w:tabs>
        <w:spacing w:line="240" w:lineRule="auto" w:before="63" w:after="0"/>
        <w:ind w:left="1061" w:right="0" w:hanging="424"/>
        <w:jc w:val="left"/>
        <w:rPr>
          <w:sz w:val="21"/>
        </w:rPr>
      </w:pPr>
      <w:r>
        <w:rPr>
          <w:sz w:val="21"/>
        </w:rPr>
        <w:t>研发人员情况表</w:t>
      </w:r>
    </w:p>
    <w:p>
      <w:pPr>
        <w:pStyle w:val="BodyText"/>
        <w:spacing w:before="64"/>
        <w:ind w:left="638"/>
      </w:pPr>
      <w:r>
        <w:rPr>
          <w:spacing w:val="-1"/>
        </w:rPr>
        <w:t>√适用 □不适用</w:t>
      </w:r>
      <w:r>
        <w:rPr>
          <w:spacing w:val="-3"/>
        </w:rPr>
        <w:t> </w:t>
      </w:r>
      <w:r>
        <w:rPr/>
        <w:t> </w:t>
      </w:r>
    </w:p>
    <w:p>
      <w:pPr>
        <w:pStyle w:val="BodyText"/>
        <w:spacing w:before="2" w:after="4"/>
        <w:ind w:left="638"/>
      </w:pPr>
      <w:r>
        <w:rPr>
          <w:w w:val="100"/>
        </w:rPr>
        <w:t> </w:t>
      </w:r>
    </w:p>
    <w:tbl>
      <w:tblPr>
        <w:tblW w:w="0" w:type="auto"/>
        <w:jc w:val="left"/>
        <w:tblInd w:w="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809"/>
        <w:gridCol w:w="3344"/>
      </w:tblGrid>
      <w:tr>
        <w:trPr>
          <w:trHeight w:val="270" w:hRule="atLeast"/>
        </w:trPr>
        <w:tc>
          <w:tcPr>
            <w:tcW w:w="5809" w:type="dxa"/>
          </w:tcPr>
          <w:p>
            <w:pPr>
              <w:pStyle w:val="TableParagraph"/>
              <w:spacing w:line="250" w:lineRule="exact" w:before="1"/>
              <w:ind w:left="107"/>
              <w:rPr>
                <w:sz w:val="21"/>
              </w:rPr>
            </w:pPr>
            <w:r>
              <w:rPr>
                <w:sz w:val="21"/>
              </w:rPr>
              <w:t>公司研发人员的数量</w:t>
            </w:r>
          </w:p>
        </w:tc>
        <w:tc>
          <w:tcPr>
            <w:tcW w:w="3344" w:type="dxa"/>
          </w:tcPr>
          <w:p>
            <w:pPr>
              <w:pStyle w:val="TableParagraph"/>
              <w:spacing w:before="7"/>
              <w:ind w:right="94"/>
              <w:jc w:val="right"/>
              <w:rPr>
                <w:rFonts w:ascii="Times New Roman"/>
                <w:sz w:val="21"/>
              </w:rPr>
            </w:pPr>
            <w:r>
              <w:rPr>
                <w:rFonts w:ascii="Times New Roman"/>
                <w:sz w:val="21"/>
              </w:rPr>
              <w:t>31,603</w:t>
            </w:r>
          </w:p>
        </w:tc>
      </w:tr>
      <w:tr>
        <w:trPr>
          <w:trHeight w:val="273" w:hRule="atLeast"/>
        </w:trPr>
        <w:tc>
          <w:tcPr>
            <w:tcW w:w="5809" w:type="dxa"/>
          </w:tcPr>
          <w:p>
            <w:pPr>
              <w:pStyle w:val="TableParagraph"/>
              <w:spacing w:line="252" w:lineRule="exact" w:before="1"/>
              <w:ind w:left="107"/>
              <w:rPr>
                <w:sz w:val="21"/>
              </w:rPr>
            </w:pPr>
            <w:r>
              <w:rPr>
                <w:spacing w:val="-1"/>
                <w:sz w:val="21"/>
              </w:rPr>
              <w:t>研发人员数量占公司总人数的比例</w:t>
            </w:r>
            <w:r>
              <w:rPr>
                <w:sz w:val="21"/>
              </w:rPr>
              <w:t>（</w:t>
            </w:r>
            <w:r>
              <w:rPr>
                <w:rFonts w:ascii="Times New Roman" w:eastAsia="Times New Roman"/>
                <w:sz w:val="21"/>
              </w:rPr>
              <w:t>%</w:t>
            </w:r>
            <w:r>
              <w:rPr>
                <w:sz w:val="21"/>
              </w:rPr>
              <w:t>）</w:t>
            </w:r>
          </w:p>
        </w:tc>
        <w:tc>
          <w:tcPr>
            <w:tcW w:w="3344" w:type="dxa"/>
          </w:tcPr>
          <w:p>
            <w:pPr>
              <w:pStyle w:val="TableParagraph"/>
              <w:spacing w:before="10"/>
              <w:ind w:right="94"/>
              <w:jc w:val="right"/>
              <w:rPr>
                <w:rFonts w:ascii="Times New Roman"/>
                <w:sz w:val="21"/>
              </w:rPr>
            </w:pPr>
            <w:r>
              <w:rPr>
                <w:rFonts w:ascii="Times New Roman"/>
                <w:sz w:val="21"/>
              </w:rPr>
              <w:t>15.90</w:t>
            </w:r>
          </w:p>
        </w:tc>
      </w:tr>
      <w:tr>
        <w:trPr>
          <w:trHeight w:val="273" w:hRule="atLeast"/>
        </w:trPr>
        <w:tc>
          <w:tcPr>
            <w:tcW w:w="9153" w:type="dxa"/>
            <w:gridSpan w:val="2"/>
          </w:tcPr>
          <w:p>
            <w:pPr>
              <w:pStyle w:val="TableParagraph"/>
              <w:spacing w:line="252" w:lineRule="exact" w:before="1"/>
              <w:ind w:left="3716" w:right="3707"/>
              <w:jc w:val="center"/>
              <w:rPr>
                <w:sz w:val="21"/>
              </w:rPr>
            </w:pPr>
            <w:r>
              <w:rPr>
                <w:sz w:val="21"/>
              </w:rPr>
              <w:t>研发人员学历结构</w:t>
            </w:r>
          </w:p>
        </w:tc>
      </w:tr>
      <w:tr>
        <w:trPr>
          <w:trHeight w:val="270" w:hRule="atLeast"/>
        </w:trPr>
        <w:tc>
          <w:tcPr>
            <w:tcW w:w="5809" w:type="dxa"/>
          </w:tcPr>
          <w:p>
            <w:pPr>
              <w:pStyle w:val="TableParagraph"/>
              <w:spacing w:line="250" w:lineRule="exact" w:before="1"/>
              <w:ind w:left="107"/>
              <w:rPr>
                <w:sz w:val="21"/>
              </w:rPr>
            </w:pPr>
            <w:r>
              <w:rPr>
                <w:sz w:val="21"/>
              </w:rPr>
              <w:t>学历结构类别</w:t>
            </w:r>
          </w:p>
        </w:tc>
        <w:tc>
          <w:tcPr>
            <w:tcW w:w="3344" w:type="dxa"/>
          </w:tcPr>
          <w:p>
            <w:pPr>
              <w:pStyle w:val="TableParagraph"/>
              <w:spacing w:line="250" w:lineRule="exact" w:before="1"/>
              <w:ind w:left="1041"/>
              <w:rPr>
                <w:sz w:val="21"/>
              </w:rPr>
            </w:pPr>
            <w:r>
              <w:rPr>
                <w:sz w:val="21"/>
              </w:rPr>
              <w:t>学历结构人数</w:t>
            </w:r>
          </w:p>
        </w:tc>
      </w:tr>
      <w:tr>
        <w:trPr>
          <w:trHeight w:val="273" w:hRule="atLeast"/>
        </w:trPr>
        <w:tc>
          <w:tcPr>
            <w:tcW w:w="5809" w:type="dxa"/>
          </w:tcPr>
          <w:p>
            <w:pPr>
              <w:pStyle w:val="TableParagraph"/>
              <w:spacing w:line="252" w:lineRule="exact" w:before="1"/>
              <w:ind w:left="107"/>
              <w:rPr>
                <w:sz w:val="21"/>
              </w:rPr>
            </w:pPr>
            <w:r>
              <w:rPr>
                <w:sz w:val="21"/>
              </w:rPr>
              <w:t>博士研究生</w:t>
            </w:r>
          </w:p>
        </w:tc>
        <w:tc>
          <w:tcPr>
            <w:tcW w:w="3344" w:type="dxa"/>
          </w:tcPr>
          <w:p>
            <w:pPr>
              <w:pStyle w:val="TableParagraph"/>
              <w:spacing w:before="10"/>
              <w:ind w:right="96"/>
              <w:jc w:val="right"/>
              <w:rPr>
                <w:rFonts w:ascii="Times New Roman"/>
                <w:sz w:val="21"/>
              </w:rPr>
            </w:pPr>
            <w:r>
              <w:rPr>
                <w:rFonts w:ascii="Times New Roman"/>
                <w:sz w:val="21"/>
              </w:rPr>
              <w:t>49</w:t>
            </w:r>
          </w:p>
        </w:tc>
      </w:tr>
      <w:tr>
        <w:trPr>
          <w:trHeight w:val="270" w:hRule="atLeast"/>
        </w:trPr>
        <w:tc>
          <w:tcPr>
            <w:tcW w:w="5809" w:type="dxa"/>
          </w:tcPr>
          <w:p>
            <w:pPr>
              <w:pStyle w:val="TableParagraph"/>
              <w:spacing w:line="250" w:lineRule="exact" w:before="1"/>
              <w:ind w:left="107"/>
              <w:rPr>
                <w:sz w:val="21"/>
              </w:rPr>
            </w:pPr>
            <w:r>
              <w:rPr>
                <w:sz w:val="21"/>
              </w:rPr>
              <w:t>硕士研究生</w:t>
            </w:r>
          </w:p>
        </w:tc>
        <w:tc>
          <w:tcPr>
            <w:tcW w:w="3344" w:type="dxa"/>
          </w:tcPr>
          <w:p>
            <w:pPr>
              <w:pStyle w:val="TableParagraph"/>
              <w:spacing w:before="7"/>
              <w:ind w:right="94"/>
              <w:jc w:val="right"/>
              <w:rPr>
                <w:rFonts w:ascii="Times New Roman"/>
                <w:sz w:val="21"/>
              </w:rPr>
            </w:pPr>
            <w:r>
              <w:rPr>
                <w:rFonts w:ascii="Times New Roman"/>
                <w:sz w:val="21"/>
              </w:rPr>
              <w:t>2,424</w:t>
            </w:r>
          </w:p>
        </w:tc>
      </w:tr>
      <w:tr>
        <w:trPr>
          <w:trHeight w:val="273" w:hRule="atLeast"/>
        </w:trPr>
        <w:tc>
          <w:tcPr>
            <w:tcW w:w="5809" w:type="dxa"/>
          </w:tcPr>
          <w:p>
            <w:pPr>
              <w:pStyle w:val="TableParagraph"/>
              <w:spacing w:line="250" w:lineRule="exact" w:before="3"/>
              <w:ind w:left="107"/>
              <w:rPr>
                <w:sz w:val="21"/>
              </w:rPr>
            </w:pPr>
            <w:r>
              <w:rPr>
                <w:sz w:val="21"/>
              </w:rPr>
              <w:t>本科</w:t>
            </w:r>
          </w:p>
        </w:tc>
        <w:tc>
          <w:tcPr>
            <w:tcW w:w="3344" w:type="dxa"/>
          </w:tcPr>
          <w:p>
            <w:pPr>
              <w:pStyle w:val="TableParagraph"/>
              <w:spacing w:before="10"/>
              <w:ind w:right="94"/>
              <w:jc w:val="right"/>
              <w:rPr>
                <w:rFonts w:ascii="Times New Roman"/>
                <w:sz w:val="21"/>
              </w:rPr>
            </w:pPr>
            <w:r>
              <w:rPr>
                <w:rFonts w:ascii="Times New Roman"/>
                <w:sz w:val="21"/>
              </w:rPr>
              <w:t>13,259</w:t>
            </w:r>
          </w:p>
        </w:tc>
      </w:tr>
      <w:tr>
        <w:trPr>
          <w:trHeight w:val="273" w:hRule="atLeast"/>
        </w:trPr>
        <w:tc>
          <w:tcPr>
            <w:tcW w:w="5809" w:type="dxa"/>
          </w:tcPr>
          <w:p>
            <w:pPr>
              <w:pStyle w:val="TableParagraph"/>
              <w:spacing w:line="252" w:lineRule="exact" w:before="1"/>
              <w:ind w:left="107"/>
              <w:rPr>
                <w:sz w:val="21"/>
              </w:rPr>
            </w:pPr>
            <w:r>
              <w:rPr>
                <w:sz w:val="21"/>
              </w:rPr>
              <w:t>专科</w:t>
            </w:r>
          </w:p>
        </w:tc>
        <w:tc>
          <w:tcPr>
            <w:tcW w:w="3344" w:type="dxa"/>
          </w:tcPr>
          <w:p>
            <w:pPr>
              <w:pStyle w:val="TableParagraph"/>
              <w:spacing w:before="10"/>
              <w:ind w:right="94"/>
              <w:jc w:val="right"/>
              <w:rPr>
                <w:rFonts w:ascii="Times New Roman"/>
                <w:sz w:val="21"/>
              </w:rPr>
            </w:pPr>
            <w:r>
              <w:rPr>
                <w:rFonts w:ascii="Times New Roman"/>
                <w:sz w:val="21"/>
              </w:rPr>
              <w:t>12,713</w:t>
            </w:r>
          </w:p>
        </w:tc>
      </w:tr>
      <w:tr>
        <w:trPr>
          <w:trHeight w:val="270" w:hRule="atLeast"/>
        </w:trPr>
        <w:tc>
          <w:tcPr>
            <w:tcW w:w="5809" w:type="dxa"/>
          </w:tcPr>
          <w:p>
            <w:pPr>
              <w:pStyle w:val="TableParagraph"/>
              <w:spacing w:line="250" w:lineRule="exact" w:before="1"/>
              <w:ind w:left="107"/>
              <w:rPr>
                <w:sz w:val="21"/>
              </w:rPr>
            </w:pPr>
            <w:r>
              <w:rPr>
                <w:sz w:val="21"/>
              </w:rPr>
              <w:t>高中及以下</w:t>
            </w:r>
          </w:p>
        </w:tc>
        <w:tc>
          <w:tcPr>
            <w:tcW w:w="3344" w:type="dxa"/>
          </w:tcPr>
          <w:p>
            <w:pPr>
              <w:pStyle w:val="TableParagraph"/>
              <w:spacing w:before="7"/>
              <w:ind w:right="94"/>
              <w:jc w:val="right"/>
              <w:rPr>
                <w:rFonts w:ascii="Times New Roman"/>
                <w:sz w:val="21"/>
              </w:rPr>
            </w:pPr>
            <w:r>
              <w:rPr>
                <w:rFonts w:ascii="Times New Roman"/>
                <w:sz w:val="21"/>
              </w:rPr>
              <w:t>3,158</w:t>
            </w:r>
          </w:p>
        </w:tc>
      </w:tr>
      <w:tr>
        <w:trPr>
          <w:trHeight w:val="273" w:hRule="atLeast"/>
        </w:trPr>
        <w:tc>
          <w:tcPr>
            <w:tcW w:w="9153" w:type="dxa"/>
            <w:gridSpan w:val="2"/>
          </w:tcPr>
          <w:p>
            <w:pPr>
              <w:pStyle w:val="TableParagraph"/>
              <w:spacing w:line="250" w:lineRule="exact" w:before="3"/>
              <w:ind w:left="3716" w:right="3707"/>
              <w:jc w:val="center"/>
              <w:rPr>
                <w:sz w:val="21"/>
              </w:rPr>
            </w:pPr>
            <w:r>
              <w:rPr>
                <w:sz w:val="21"/>
              </w:rPr>
              <w:t>研发人员年龄结构</w:t>
            </w:r>
          </w:p>
        </w:tc>
      </w:tr>
      <w:tr>
        <w:trPr>
          <w:trHeight w:val="273" w:hRule="atLeast"/>
        </w:trPr>
        <w:tc>
          <w:tcPr>
            <w:tcW w:w="5809" w:type="dxa"/>
          </w:tcPr>
          <w:p>
            <w:pPr>
              <w:pStyle w:val="TableParagraph"/>
              <w:spacing w:line="252" w:lineRule="exact" w:before="1"/>
              <w:ind w:left="107"/>
              <w:rPr>
                <w:sz w:val="21"/>
              </w:rPr>
            </w:pPr>
            <w:r>
              <w:rPr>
                <w:sz w:val="21"/>
              </w:rPr>
              <w:t>年龄结构类别</w:t>
            </w:r>
          </w:p>
        </w:tc>
        <w:tc>
          <w:tcPr>
            <w:tcW w:w="3344" w:type="dxa"/>
          </w:tcPr>
          <w:p>
            <w:pPr>
              <w:pStyle w:val="TableParagraph"/>
              <w:spacing w:line="252" w:lineRule="exact" w:before="1"/>
              <w:ind w:left="1041"/>
              <w:rPr>
                <w:sz w:val="21"/>
              </w:rPr>
            </w:pPr>
            <w:r>
              <w:rPr>
                <w:sz w:val="21"/>
              </w:rPr>
              <w:t>年龄结构人数</w:t>
            </w:r>
          </w:p>
        </w:tc>
      </w:tr>
      <w:tr>
        <w:trPr>
          <w:trHeight w:val="270" w:hRule="atLeast"/>
        </w:trPr>
        <w:tc>
          <w:tcPr>
            <w:tcW w:w="5809" w:type="dxa"/>
          </w:tcPr>
          <w:p>
            <w:pPr>
              <w:pStyle w:val="TableParagraph"/>
              <w:spacing w:line="250" w:lineRule="exact" w:before="1"/>
              <w:ind w:left="107"/>
              <w:rPr>
                <w:sz w:val="21"/>
              </w:rPr>
            </w:pPr>
            <w:r>
              <w:rPr>
                <w:rFonts w:ascii="Times New Roman" w:eastAsia="Times New Roman"/>
                <w:spacing w:val="-1"/>
                <w:sz w:val="21"/>
              </w:rPr>
              <w:t>30</w:t>
            </w:r>
            <w:r>
              <w:rPr>
                <w:rFonts w:ascii="Times New Roman" w:eastAsia="Times New Roman"/>
                <w:spacing w:val="-10"/>
                <w:sz w:val="21"/>
              </w:rPr>
              <w:t> </w:t>
            </w:r>
            <w:r>
              <w:rPr>
                <w:spacing w:val="-1"/>
                <w:sz w:val="21"/>
              </w:rPr>
              <w:t>岁以下（</w:t>
            </w:r>
            <w:r>
              <w:rPr>
                <w:spacing w:val="-19"/>
                <w:sz w:val="21"/>
              </w:rPr>
              <w:t>不含 </w:t>
            </w:r>
            <w:r>
              <w:rPr>
                <w:rFonts w:ascii="Times New Roman" w:eastAsia="Times New Roman"/>
                <w:sz w:val="21"/>
              </w:rPr>
              <w:t>30</w:t>
            </w:r>
            <w:r>
              <w:rPr>
                <w:rFonts w:ascii="Times New Roman" w:eastAsia="Times New Roman"/>
                <w:spacing w:val="-10"/>
                <w:sz w:val="21"/>
              </w:rPr>
              <w:t> </w:t>
            </w:r>
            <w:r>
              <w:rPr>
                <w:sz w:val="21"/>
              </w:rPr>
              <w:t>岁）</w:t>
            </w:r>
          </w:p>
        </w:tc>
        <w:tc>
          <w:tcPr>
            <w:tcW w:w="3344" w:type="dxa"/>
          </w:tcPr>
          <w:p>
            <w:pPr>
              <w:pStyle w:val="TableParagraph"/>
              <w:spacing w:before="7"/>
              <w:ind w:right="94"/>
              <w:jc w:val="right"/>
              <w:rPr>
                <w:rFonts w:ascii="Times New Roman"/>
                <w:sz w:val="21"/>
              </w:rPr>
            </w:pPr>
            <w:r>
              <w:rPr>
                <w:rFonts w:ascii="Times New Roman"/>
                <w:sz w:val="21"/>
              </w:rPr>
              <w:t>11,397</w:t>
            </w:r>
          </w:p>
        </w:tc>
      </w:tr>
      <w:tr>
        <w:trPr>
          <w:trHeight w:val="273" w:hRule="atLeast"/>
        </w:trPr>
        <w:tc>
          <w:tcPr>
            <w:tcW w:w="5809" w:type="dxa"/>
          </w:tcPr>
          <w:p>
            <w:pPr>
              <w:pStyle w:val="TableParagraph"/>
              <w:spacing w:line="252" w:lineRule="exact" w:before="1"/>
              <w:ind w:left="107"/>
              <w:rPr>
                <w:sz w:val="21"/>
              </w:rPr>
            </w:pPr>
            <w:r>
              <w:rPr>
                <w:rFonts w:ascii="Times New Roman" w:eastAsia="Times New Roman"/>
                <w:spacing w:val="-1"/>
                <w:sz w:val="21"/>
              </w:rPr>
              <w:t>30-40</w:t>
            </w:r>
            <w:r>
              <w:rPr>
                <w:rFonts w:ascii="Times New Roman" w:eastAsia="Times New Roman"/>
                <w:spacing w:val="-10"/>
                <w:sz w:val="21"/>
              </w:rPr>
              <w:t> </w:t>
            </w:r>
            <w:r>
              <w:rPr>
                <w:spacing w:val="-1"/>
                <w:sz w:val="21"/>
              </w:rPr>
              <w:t>岁（</w:t>
            </w:r>
            <w:r>
              <w:rPr>
                <w:spacing w:val="-27"/>
                <w:sz w:val="21"/>
              </w:rPr>
              <w:t>含 </w:t>
            </w:r>
            <w:r>
              <w:rPr>
                <w:rFonts w:ascii="Times New Roman" w:eastAsia="Times New Roman"/>
                <w:sz w:val="21"/>
              </w:rPr>
              <w:t>30</w:t>
            </w:r>
            <w:r>
              <w:rPr>
                <w:rFonts w:ascii="Times New Roman" w:eastAsia="Times New Roman"/>
                <w:spacing w:val="-10"/>
                <w:sz w:val="21"/>
              </w:rPr>
              <w:t> </w:t>
            </w:r>
            <w:r>
              <w:rPr>
                <w:spacing w:val="-11"/>
                <w:sz w:val="21"/>
              </w:rPr>
              <w:t>岁，不含 </w:t>
            </w:r>
            <w:r>
              <w:rPr>
                <w:rFonts w:ascii="Times New Roman" w:eastAsia="Times New Roman"/>
                <w:sz w:val="21"/>
              </w:rPr>
              <w:t>40</w:t>
            </w:r>
            <w:r>
              <w:rPr>
                <w:rFonts w:ascii="Times New Roman" w:eastAsia="Times New Roman"/>
                <w:spacing w:val="-10"/>
                <w:sz w:val="21"/>
              </w:rPr>
              <w:t> </w:t>
            </w:r>
            <w:r>
              <w:rPr>
                <w:sz w:val="21"/>
              </w:rPr>
              <w:t>岁）</w:t>
            </w:r>
          </w:p>
        </w:tc>
        <w:tc>
          <w:tcPr>
            <w:tcW w:w="3344" w:type="dxa"/>
          </w:tcPr>
          <w:p>
            <w:pPr>
              <w:pStyle w:val="TableParagraph"/>
              <w:spacing w:before="10"/>
              <w:ind w:right="94"/>
              <w:jc w:val="right"/>
              <w:rPr>
                <w:rFonts w:ascii="Times New Roman"/>
                <w:sz w:val="21"/>
              </w:rPr>
            </w:pPr>
            <w:r>
              <w:rPr>
                <w:rFonts w:ascii="Times New Roman"/>
                <w:sz w:val="21"/>
              </w:rPr>
              <w:t>13,365</w:t>
            </w:r>
          </w:p>
        </w:tc>
      </w:tr>
      <w:tr>
        <w:trPr>
          <w:trHeight w:val="273" w:hRule="atLeast"/>
        </w:trPr>
        <w:tc>
          <w:tcPr>
            <w:tcW w:w="5809" w:type="dxa"/>
          </w:tcPr>
          <w:p>
            <w:pPr>
              <w:pStyle w:val="TableParagraph"/>
              <w:spacing w:line="252" w:lineRule="exact" w:before="1"/>
              <w:ind w:left="107"/>
              <w:rPr>
                <w:sz w:val="21"/>
              </w:rPr>
            </w:pPr>
            <w:r>
              <w:rPr>
                <w:rFonts w:ascii="Times New Roman" w:eastAsia="Times New Roman"/>
                <w:spacing w:val="-1"/>
                <w:sz w:val="21"/>
              </w:rPr>
              <w:t>40-50</w:t>
            </w:r>
            <w:r>
              <w:rPr>
                <w:rFonts w:ascii="Times New Roman" w:eastAsia="Times New Roman"/>
                <w:spacing w:val="-10"/>
                <w:sz w:val="21"/>
              </w:rPr>
              <w:t> </w:t>
            </w:r>
            <w:r>
              <w:rPr>
                <w:spacing w:val="-1"/>
                <w:sz w:val="21"/>
              </w:rPr>
              <w:t>岁（</w:t>
            </w:r>
            <w:r>
              <w:rPr>
                <w:spacing w:val="-27"/>
                <w:sz w:val="21"/>
              </w:rPr>
              <w:t>含 </w:t>
            </w:r>
            <w:r>
              <w:rPr>
                <w:rFonts w:ascii="Times New Roman" w:eastAsia="Times New Roman"/>
                <w:sz w:val="21"/>
              </w:rPr>
              <w:t>40</w:t>
            </w:r>
            <w:r>
              <w:rPr>
                <w:rFonts w:ascii="Times New Roman" w:eastAsia="Times New Roman"/>
                <w:spacing w:val="-10"/>
                <w:sz w:val="21"/>
              </w:rPr>
              <w:t> </w:t>
            </w:r>
            <w:r>
              <w:rPr>
                <w:spacing w:val="-11"/>
                <w:sz w:val="21"/>
              </w:rPr>
              <w:t>岁，不含 </w:t>
            </w:r>
            <w:r>
              <w:rPr>
                <w:rFonts w:ascii="Times New Roman" w:eastAsia="Times New Roman"/>
                <w:sz w:val="21"/>
              </w:rPr>
              <w:t>50</w:t>
            </w:r>
            <w:r>
              <w:rPr>
                <w:rFonts w:ascii="Times New Roman" w:eastAsia="Times New Roman"/>
                <w:spacing w:val="-10"/>
                <w:sz w:val="21"/>
              </w:rPr>
              <w:t> </w:t>
            </w:r>
            <w:r>
              <w:rPr>
                <w:sz w:val="21"/>
              </w:rPr>
              <w:t>岁）</w:t>
            </w:r>
          </w:p>
        </w:tc>
        <w:tc>
          <w:tcPr>
            <w:tcW w:w="3344" w:type="dxa"/>
          </w:tcPr>
          <w:p>
            <w:pPr>
              <w:pStyle w:val="TableParagraph"/>
              <w:spacing w:before="10"/>
              <w:ind w:right="94"/>
              <w:jc w:val="right"/>
              <w:rPr>
                <w:rFonts w:ascii="Times New Roman"/>
                <w:sz w:val="21"/>
              </w:rPr>
            </w:pPr>
            <w:r>
              <w:rPr>
                <w:rFonts w:ascii="Times New Roman"/>
                <w:sz w:val="21"/>
              </w:rPr>
              <w:t>5,911</w:t>
            </w:r>
          </w:p>
        </w:tc>
      </w:tr>
      <w:tr>
        <w:trPr>
          <w:trHeight w:val="270" w:hRule="atLeast"/>
        </w:trPr>
        <w:tc>
          <w:tcPr>
            <w:tcW w:w="5809" w:type="dxa"/>
          </w:tcPr>
          <w:p>
            <w:pPr>
              <w:pStyle w:val="TableParagraph"/>
              <w:spacing w:line="250" w:lineRule="exact" w:before="1"/>
              <w:ind w:left="107"/>
              <w:rPr>
                <w:sz w:val="21"/>
              </w:rPr>
            </w:pPr>
            <w:r>
              <w:rPr>
                <w:rFonts w:ascii="Times New Roman" w:eastAsia="Times New Roman"/>
                <w:spacing w:val="-1"/>
                <w:sz w:val="21"/>
              </w:rPr>
              <w:t>50-60</w:t>
            </w:r>
            <w:r>
              <w:rPr>
                <w:rFonts w:ascii="Times New Roman" w:eastAsia="Times New Roman"/>
                <w:spacing w:val="-10"/>
                <w:sz w:val="21"/>
              </w:rPr>
              <w:t> </w:t>
            </w:r>
            <w:r>
              <w:rPr>
                <w:spacing w:val="-1"/>
                <w:sz w:val="21"/>
              </w:rPr>
              <w:t>岁（</w:t>
            </w:r>
            <w:r>
              <w:rPr>
                <w:spacing w:val="-27"/>
                <w:sz w:val="21"/>
              </w:rPr>
              <w:t>含 </w:t>
            </w:r>
            <w:r>
              <w:rPr>
                <w:rFonts w:ascii="Times New Roman" w:eastAsia="Times New Roman"/>
                <w:sz w:val="21"/>
              </w:rPr>
              <w:t>50</w:t>
            </w:r>
            <w:r>
              <w:rPr>
                <w:rFonts w:ascii="Times New Roman" w:eastAsia="Times New Roman"/>
                <w:spacing w:val="-10"/>
                <w:sz w:val="21"/>
              </w:rPr>
              <w:t> </w:t>
            </w:r>
            <w:r>
              <w:rPr>
                <w:spacing w:val="-11"/>
                <w:sz w:val="21"/>
              </w:rPr>
              <w:t>岁，不含 </w:t>
            </w:r>
            <w:r>
              <w:rPr>
                <w:rFonts w:ascii="Times New Roman" w:eastAsia="Times New Roman"/>
                <w:sz w:val="21"/>
              </w:rPr>
              <w:t>60</w:t>
            </w:r>
            <w:r>
              <w:rPr>
                <w:rFonts w:ascii="Times New Roman" w:eastAsia="Times New Roman"/>
                <w:spacing w:val="-10"/>
                <w:sz w:val="21"/>
              </w:rPr>
              <w:t> </w:t>
            </w:r>
            <w:r>
              <w:rPr>
                <w:sz w:val="21"/>
              </w:rPr>
              <w:t>岁）</w:t>
            </w:r>
          </w:p>
        </w:tc>
        <w:tc>
          <w:tcPr>
            <w:tcW w:w="3344" w:type="dxa"/>
          </w:tcPr>
          <w:p>
            <w:pPr>
              <w:pStyle w:val="TableParagraph"/>
              <w:spacing w:before="7"/>
              <w:ind w:right="94"/>
              <w:jc w:val="right"/>
              <w:rPr>
                <w:rFonts w:ascii="Times New Roman"/>
                <w:sz w:val="21"/>
              </w:rPr>
            </w:pPr>
            <w:r>
              <w:rPr>
                <w:rFonts w:ascii="Times New Roman"/>
                <w:sz w:val="21"/>
              </w:rPr>
              <w:t>911</w:t>
            </w:r>
          </w:p>
        </w:tc>
      </w:tr>
      <w:tr>
        <w:trPr>
          <w:trHeight w:val="273" w:hRule="atLeast"/>
        </w:trPr>
        <w:tc>
          <w:tcPr>
            <w:tcW w:w="5809" w:type="dxa"/>
          </w:tcPr>
          <w:p>
            <w:pPr>
              <w:pStyle w:val="TableParagraph"/>
              <w:spacing w:line="252" w:lineRule="exact" w:before="1"/>
              <w:ind w:left="107"/>
              <w:rPr>
                <w:sz w:val="21"/>
              </w:rPr>
            </w:pPr>
            <w:r>
              <w:rPr>
                <w:rFonts w:ascii="Times New Roman" w:eastAsia="Times New Roman"/>
                <w:sz w:val="21"/>
              </w:rPr>
              <w:t>60</w:t>
            </w:r>
            <w:r>
              <w:rPr>
                <w:rFonts w:ascii="Times New Roman" w:eastAsia="Times New Roman"/>
                <w:spacing w:val="-10"/>
                <w:sz w:val="21"/>
              </w:rPr>
              <w:t> </w:t>
            </w:r>
            <w:r>
              <w:rPr>
                <w:sz w:val="21"/>
              </w:rPr>
              <w:t>岁及以上</w:t>
            </w:r>
          </w:p>
        </w:tc>
        <w:tc>
          <w:tcPr>
            <w:tcW w:w="3344" w:type="dxa"/>
          </w:tcPr>
          <w:p>
            <w:pPr>
              <w:pStyle w:val="TableParagraph"/>
              <w:spacing w:before="10"/>
              <w:ind w:right="96"/>
              <w:jc w:val="right"/>
              <w:rPr>
                <w:rFonts w:ascii="Times New Roman"/>
                <w:sz w:val="21"/>
              </w:rPr>
            </w:pPr>
            <w:r>
              <w:rPr>
                <w:rFonts w:ascii="Times New Roman"/>
                <w:sz w:val="21"/>
              </w:rPr>
              <w:t>19</w:t>
            </w:r>
          </w:p>
        </w:tc>
      </w:tr>
    </w:tbl>
    <w:p>
      <w:pPr>
        <w:pStyle w:val="BodyText"/>
        <w:spacing w:before="1"/>
        <w:ind w:left="638"/>
      </w:pPr>
      <w:r>
        <w:rPr>
          <w:w w:val="100"/>
        </w:rPr>
        <w:t> </w:t>
      </w:r>
    </w:p>
    <w:p>
      <w:pPr>
        <w:pStyle w:val="ListParagraph"/>
        <w:numPr>
          <w:ilvl w:val="0"/>
          <w:numId w:val="5"/>
        </w:numPr>
        <w:tabs>
          <w:tab w:pos="1062" w:val="left" w:leader="none"/>
        </w:tabs>
        <w:spacing w:line="240" w:lineRule="auto" w:before="64" w:after="0"/>
        <w:ind w:left="1061" w:right="0" w:hanging="424"/>
        <w:jc w:val="left"/>
        <w:rPr>
          <w:sz w:val="21"/>
        </w:rPr>
      </w:pPr>
      <w:r>
        <w:rPr>
          <w:sz w:val="21"/>
        </w:rPr>
        <w:t>情况说明</w:t>
      </w:r>
    </w:p>
    <w:p>
      <w:pPr>
        <w:pStyle w:val="BodyText"/>
        <w:spacing w:before="63"/>
        <w:ind w:left="638"/>
      </w:pPr>
      <w:r>
        <w:rPr>
          <w:spacing w:val="-1"/>
        </w:rPr>
        <w:t>□适用 √不适用</w:t>
      </w:r>
      <w:r>
        <w:rPr>
          <w:spacing w:val="-3"/>
        </w:rPr>
        <w:t> </w:t>
      </w:r>
      <w:r>
        <w:rPr/>
        <w:t> </w:t>
      </w:r>
    </w:p>
    <w:p>
      <w:pPr>
        <w:pStyle w:val="ListParagraph"/>
        <w:numPr>
          <w:ilvl w:val="0"/>
          <w:numId w:val="5"/>
        </w:numPr>
        <w:tabs>
          <w:tab w:pos="1062" w:val="left" w:leader="none"/>
        </w:tabs>
        <w:spacing w:line="240" w:lineRule="auto" w:before="62" w:after="0"/>
        <w:ind w:left="1061" w:right="0" w:hanging="424"/>
        <w:jc w:val="left"/>
        <w:rPr>
          <w:sz w:val="21"/>
        </w:rPr>
      </w:pPr>
      <w:r>
        <w:rPr>
          <w:sz w:val="21"/>
        </w:rPr>
        <w:t>研发人员构成发生重大变化的原因及对公司未来发展的影响</w:t>
      </w:r>
    </w:p>
    <w:p>
      <w:pPr>
        <w:pStyle w:val="BodyText"/>
        <w:spacing w:before="65"/>
        <w:ind w:left="638"/>
      </w:pPr>
      <w:r>
        <w:rPr>
          <w:spacing w:val="-1"/>
        </w:rPr>
        <w:t>□适用 √不适用</w:t>
      </w:r>
      <w:r>
        <w:rPr>
          <w:spacing w:val="-3"/>
        </w:rPr>
        <w:t> </w:t>
      </w:r>
      <w:r>
        <w:rPr/>
        <w:t> </w:t>
      </w:r>
    </w:p>
    <w:p>
      <w:pPr>
        <w:pStyle w:val="BodyText"/>
        <w:spacing w:before="62"/>
        <w:ind w:left="638"/>
      </w:pPr>
      <w:r>
        <w:rPr>
          <w:w w:val="100"/>
        </w:rPr>
        <w:t> </w:t>
      </w:r>
    </w:p>
    <w:p>
      <w:pPr>
        <w:pStyle w:val="ListParagraph"/>
        <w:numPr>
          <w:ilvl w:val="0"/>
          <w:numId w:val="3"/>
        </w:numPr>
        <w:tabs>
          <w:tab w:pos="1058" w:val="left" w:leader="none"/>
        </w:tabs>
        <w:spacing w:line="240" w:lineRule="auto" w:before="64" w:after="0"/>
        <w:ind w:left="1058" w:right="0" w:hanging="420"/>
        <w:jc w:val="left"/>
        <w:rPr>
          <w:sz w:val="21"/>
        </w:rPr>
      </w:pPr>
      <w:r>
        <w:rPr>
          <w:sz w:val="21"/>
        </w:rPr>
        <w:t>现金流 </w:t>
      </w:r>
    </w:p>
    <w:p>
      <w:pPr>
        <w:pStyle w:val="BodyText"/>
        <w:spacing w:before="62"/>
        <w:ind w:left="638"/>
      </w:pPr>
      <w:r>
        <w:rPr>
          <w:spacing w:val="-1"/>
        </w:rPr>
        <w:t>√适用 □不适用</w:t>
      </w:r>
      <w:r>
        <w:rPr>
          <w:spacing w:val="-3"/>
        </w:rPr>
        <w:t> </w:t>
      </w:r>
      <w:r>
        <w:rPr/>
        <w:t> </w:t>
      </w:r>
    </w:p>
    <w:p>
      <w:pPr>
        <w:pStyle w:val="BodyText"/>
        <w:spacing w:before="5"/>
        <w:ind w:left="7779"/>
      </w:pPr>
      <w:r>
        <w:rPr/>
        <w:t>单位：千元 </w:t>
      </w: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78"/>
        <w:gridCol w:w="1555"/>
        <w:gridCol w:w="1558"/>
        <w:gridCol w:w="1632"/>
      </w:tblGrid>
      <w:tr>
        <w:trPr>
          <w:trHeight w:val="273" w:hRule="atLeast"/>
        </w:trPr>
        <w:tc>
          <w:tcPr>
            <w:tcW w:w="4078" w:type="dxa"/>
          </w:tcPr>
          <w:p>
            <w:pPr>
              <w:pStyle w:val="TableParagraph"/>
              <w:spacing w:line="250" w:lineRule="exact" w:before="3"/>
              <w:ind w:left="107"/>
              <w:rPr>
                <w:sz w:val="21"/>
              </w:rPr>
            </w:pPr>
            <w:r>
              <w:rPr>
                <w:sz w:val="21"/>
              </w:rPr>
              <w:t>项目 </w:t>
            </w:r>
          </w:p>
        </w:tc>
        <w:tc>
          <w:tcPr>
            <w:tcW w:w="1555" w:type="dxa"/>
          </w:tcPr>
          <w:p>
            <w:pPr>
              <w:pStyle w:val="TableParagraph"/>
              <w:spacing w:line="250" w:lineRule="exact" w:before="3"/>
              <w:ind w:left="107"/>
              <w:rPr>
                <w:sz w:val="21"/>
              </w:rPr>
            </w:pPr>
            <w:r>
              <w:rPr>
                <w:rFonts w:ascii="Times New Roman" w:eastAsia="Times New Roman"/>
                <w:sz w:val="21"/>
              </w:rPr>
              <w:t>2022</w:t>
            </w:r>
            <w:r>
              <w:rPr>
                <w:rFonts w:ascii="Times New Roman" w:eastAsia="Times New Roman"/>
                <w:spacing w:val="-11"/>
                <w:sz w:val="21"/>
              </w:rPr>
              <w:t> </w:t>
            </w:r>
            <w:r>
              <w:rPr>
                <w:sz w:val="21"/>
              </w:rPr>
              <w:t>年度</w:t>
            </w:r>
          </w:p>
        </w:tc>
        <w:tc>
          <w:tcPr>
            <w:tcW w:w="1558" w:type="dxa"/>
          </w:tcPr>
          <w:p>
            <w:pPr>
              <w:pStyle w:val="TableParagraph"/>
              <w:spacing w:line="250" w:lineRule="exact" w:before="3"/>
              <w:ind w:left="108"/>
              <w:rPr>
                <w:sz w:val="21"/>
              </w:rPr>
            </w:pPr>
            <w:r>
              <w:rPr>
                <w:rFonts w:ascii="Times New Roman" w:eastAsia="Times New Roman"/>
                <w:sz w:val="21"/>
              </w:rPr>
              <w:t>2021</w:t>
            </w:r>
            <w:r>
              <w:rPr>
                <w:rFonts w:ascii="Times New Roman" w:eastAsia="Times New Roman"/>
                <w:spacing w:val="-11"/>
                <w:sz w:val="21"/>
              </w:rPr>
              <w:t> </w:t>
            </w:r>
            <w:r>
              <w:rPr>
                <w:sz w:val="21"/>
              </w:rPr>
              <w:t>年度</w:t>
            </w:r>
          </w:p>
        </w:tc>
        <w:tc>
          <w:tcPr>
            <w:tcW w:w="1632" w:type="dxa"/>
          </w:tcPr>
          <w:p>
            <w:pPr>
              <w:pStyle w:val="TableParagraph"/>
              <w:spacing w:line="250" w:lineRule="exact" w:before="3"/>
              <w:ind w:left="106"/>
              <w:rPr>
                <w:sz w:val="21"/>
              </w:rPr>
            </w:pPr>
            <w:r>
              <w:rPr>
                <w:sz w:val="21"/>
              </w:rPr>
              <w:t>增减变动幅度</w:t>
            </w:r>
          </w:p>
        </w:tc>
      </w:tr>
      <w:tr>
        <w:trPr>
          <w:trHeight w:val="273" w:hRule="atLeast"/>
        </w:trPr>
        <w:tc>
          <w:tcPr>
            <w:tcW w:w="4078" w:type="dxa"/>
          </w:tcPr>
          <w:p>
            <w:pPr>
              <w:pStyle w:val="TableParagraph"/>
              <w:spacing w:line="252" w:lineRule="exact" w:before="1"/>
              <w:ind w:left="107"/>
              <w:rPr>
                <w:sz w:val="21"/>
              </w:rPr>
            </w:pPr>
            <w:r>
              <w:rPr>
                <w:spacing w:val="-1"/>
                <w:sz w:val="21"/>
              </w:rPr>
              <w:t>经营活动现金流入小计</w:t>
            </w:r>
            <w:r>
              <w:rPr>
                <w:sz w:val="21"/>
              </w:rPr>
              <w:t> </w:t>
            </w:r>
          </w:p>
        </w:tc>
        <w:tc>
          <w:tcPr>
            <w:tcW w:w="1555" w:type="dxa"/>
          </w:tcPr>
          <w:p>
            <w:pPr>
              <w:pStyle w:val="TableParagraph"/>
              <w:spacing w:line="235" w:lineRule="exact"/>
              <w:ind w:right="93"/>
              <w:jc w:val="right"/>
              <w:rPr>
                <w:rFonts w:ascii="Times New Roman"/>
                <w:sz w:val="21"/>
              </w:rPr>
            </w:pPr>
            <w:r>
              <w:rPr>
                <w:rFonts w:ascii="Times New Roman"/>
                <w:sz w:val="21"/>
              </w:rPr>
              <w:t>529,543,442</w:t>
            </w:r>
          </w:p>
        </w:tc>
        <w:tc>
          <w:tcPr>
            <w:tcW w:w="1558" w:type="dxa"/>
          </w:tcPr>
          <w:p>
            <w:pPr>
              <w:pStyle w:val="TableParagraph"/>
              <w:spacing w:line="235" w:lineRule="exact"/>
              <w:ind w:right="95"/>
              <w:jc w:val="right"/>
              <w:rPr>
                <w:rFonts w:ascii="Times New Roman"/>
                <w:sz w:val="21"/>
              </w:rPr>
            </w:pPr>
            <w:r>
              <w:rPr>
                <w:rFonts w:ascii="Times New Roman"/>
                <w:sz w:val="21"/>
              </w:rPr>
              <w:t>462,447,924</w:t>
            </w:r>
          </w:p>
        </w:tc>
        <w:tc>
          <w:tcPr>
            <w:tcW w:w="1632" w:type="dxa"/>
          </w:tcPr>
          <w:p>
            <w:pPr>
              <w:pStyle w:val="TableParagraph"/>
              <w:spacing w:line="235" w:lineRule="exact"/>
              <w:ind w:right="92"/>
              <w:jc w:val="right"/>
              <w:rPr>
                <w:rFonts w:ascii="Times New Roman"/>
                <w:sz w:val="21"/>
              </w:rPr>
            </w:pPr>
            <w:r>
              <w:rPr>
                <w:rFonts w:ascii="Times New Roman"/>
                <w:sz w:val="21"/>
              </w:rPr>
              <w:t>14.51%</w:t>
            </w:r>
          </w:p>
        </w:tc>
      </w:tr>
      <w:tr>
        <w:trPr>
          <w:trHeight w:val="270" w:hRule="atLeast"/>
        </w:trPr>
        <w:tc>
          <w:tcPr>
            <w:tcW w:w="4078" w:type="dxa"/>
          </w:tcPr>
          <w:p>
            <w:pPr>
              <w:pStyle w:val="TableParagraph"/>
              <w:spacing w:line="250" w:lineRule="exact" w:before="1"/>
              <w:ind w:left="107"/>
              <w:rPr>
                <w:sz w:val="21"/>
              </w:rPr>
            </w:pPr>
            <w:r>
              <w:rPr>
                <w:spacing w:val="-1"/>
                <w:sz w:val="21"/>
              </w:rPr>
              <w:t>经营活动现金流出小计</w:t>
            </w:r>
            <w:r>
              <w:rPr>
                <w:sz w:val="21"/>
              </w:rPr>
              <w:t> </w:t>
            </w:r>
          </w:p>
        </w:tc>
        <w:tc>
          <w:tcPr>
            <w:tcW w:w="1555" w:type="dxa"/>
          </w:tcPr>
          <w:p>
            <w:pPr>
              <w:pStyle w:val="TableParagraph"/>
              <w:spacing w:line="235" w:lineRule="exact"/>
              <w:ind w:right="93"/>
              <w:jc w:val="right"/>
              <w:rPr>
                <w:rFonts w:ascii="Times New Roman"/>
                <w:sz w:val="21"/>
              </w:rPr>
            </w:pPr>
            <w:r>
              <w:rPr>
                <w:rFonts w:ascii="Times New Roman"/>
                <w:sz w:val="21"/>
              </w:rPr>
              <w:t>-514,177,815</w:t>
            </w:r>
          </w:p>
        </w:tc>
        <w:tc>
          <w:tcPr>
            <w:tcW w:w="1558" w:type="dxa"/>
          </w:tcPr>
          <w:p>
            <w:pPr>
              <w:pStyle w:val="TableParagraph"/>
              <w:spacing w:line="235" w:lineRule="exact"/>
              <w:ind w:right="95"/>
              <w:jc w:val="right"/>
              <w:rPr>
                <w:rFonts w:ascii="Times New Roman"/>
                <w:sz w:val="21"/>
              </w:rPr>
            </w:pPr>
            <w:r>
              <w:rPr>
                <w:rFonts w:ascii="Times New Roman"/>
                <w:sz w:val="21"/>
              </w:rPr>
              <w:t>-453,723,339</w:t>
            </w:r>
          </w:p>
        </w:tc>
        <w:tc>
          <w:tcPr>
            <w:tcW w:w="1632" w:type="dxa"/>
          </w:tcPr>
          <w:p>
            <w:pPr>
              <w:pStyle w:val="TableParagraph"/>
              <w:spacing w:line="235" w:lineRule="exact"/>
              <w:ind w:right="92"/>
              <w:jc w:val="right"/>
              <w:rPr>
                <w:rFonts w:ascii="Times New Roman"/>
                <w:sz w:val="21"/>
              </w:rPr>
            </w:pPr>
            <w:r>
              <w:rPr>
                <w:rFonts w:ascii="Times New Roman"/>
                <w:sz w:val="21"/>
              </w:rPr>
              <w:t>13.32%</w:t>
            </w:r>
          </w:p>
        </w:tc>
      </w:tr>
      <w:tr>
        <w:trPr>
          <w:trHeight w:val="273" w:hRule="atLeast"/>
        </w:trPr>
        <w:tc>
          <w:tcPr>
            <w:tcW w:w="4078" w:type="dxa"/>
          </w:tcPr>
          <w:p>
            <w:pPr>
              <w:pStyle w:val="TableParagraph"/>
              <w:spacing w:line="252" w:lineRule="exact" w:before="1"/>
              <w:ind w:left="107"/>
              <w:rPr>
                <w:sz w:val="21"/>
              </w:rPr>
            </w:pPr>
            <w:r>
              <w:rPr>
                <w:spacing w:val="-1"/>
                <w:sz w:val="21"/>
              </w:rPr>
              <w:t>经营活动产生的现金流量净额</w:t>
            </w:r>
            <w:r>
              <w:rPr>
                <w:sz w:val="21"/>
              </w:rPr>
              <w:t> </w:t>
            </w:r>
          </w:p>
        </w:tc>
        <w:tc>
          <w:tcPr>
            <w:tcW w:w="1555" w:type="dxa"/>
          </w:tcPr>
          <w:p>
            <w:pPr>
              <w:pStyle w:val="TableParagraph"/>
              <w:spacing w:line="235" w:lineRule="exact"/>
              <w:ind w:right="93"/>
              <w:jc w:val="right"/>
              <w:rPr>
                <w:rFonts w:ascii="Times New Roman"/>
                <w:sz w:val="21"/>
              </w:rPr>
            </w:pPr>
            <w:r>
              <w:rPr>
                <w:rFonts w:ascii="Times New Roman"/>
                <w:sz w:val="21"/>
              </w:rPr>
              <w:t>15,365,627</w:t>
            </w:r>
          </w:p>
        </w:tc>
        <w:tc>
          <w:tcPr>
            <w:tcW w:w="1558" w:type="dxa"/>
          </w:tcPr>
          <w:p>
            <w:pPr>
              <w:pStyle w:val="TableParagraph"/>
              <w:spacing w:line="235" w:lineRule="exact"/>
              <w:ind w:right="95"/>
              <w:jc w:val="right"/>
              <w:rPr>
                <w:rFonts w:ascii="Times New Roman"/>
                <w:sz w:val="21"/>
              </w:rPr>
            </w:pPr>
            <w:r>
              <w:rPr>
                <w:rFonts w:ascii="Times New Roman"/>
                <w:sz w:val="21"/>
              </w:rPr>
              <w:t>8,724,585</w:t>
            </w:r>
          </w:p>
        </w:tc>
        <w:tc>
          <w:tcPr>
            <w:tcW w:w="1632" w:type="dxa"/>
          </w:tcPr>
          <w:p>
            <w:pPr>
              <w:pStyle w:val="TableParagraph"/>
              <w:spacing w:line="235" w:lineRule="exact"/>
              <w:ind w:right="92"/>
              <w:jc w:val="right"/>
              <w:rPr>
                <w:rFonts w:ascii="Times New Roman"/>
                <w:sz w:val="21"/>
              </w:rPr>
            </w:pPr>
            <w:r>
              <w:rPr>
                <w:rFonts w:ascii="Times New Roman"/>
                <w:sz w:val="21"/>
              </w:rPr>
              <w:t>76.12%</w:t>
            </w:r>
          </w:p>
        </w:tc>
      </w:tr>
      <w:tr>
        <w:trPr>
          <w:trHeight w:val="273" w:hRule="atLeast"/>
        </w:trPr>
        <w:tc>
          <w:tcPr>
            <w:tcW w:w="4078" w:type="dxa"/>
          </w:tcPr>
          <w:p>
            <w:pPr>
              <w:pStyle w:val="TableParagraph"/>
              <w:spacing w:line="252" w:lineRule="exact" w:before="1"/>
              <w:ind w:left="107"/>
              <w:rPr>
                <w:sz w:val="21"/>
              </w:rPr>
            </w:pPr>
            <w:r>
              <w:rPr>
                <w:spacing w:val="-1"/>
                <w:sz w:val="21"/>
              </w:rPr>
              <w:t>投资活动现金流入小计</w:t>
            </w:r>
            <w:r>
              <w:rPr>
                <w:sz w:val="21"/>
              </w:rPr>
              <w:t> </w:t>
            </w:r>
          </w:p>
        </w:tc>
        <w:tc>
          <w:tcPr>
            <w:tcW w:w="1555" w:type="dxa"/>
          </w:tcPr>
          <w:p>
            <w:pPr>
              <w:pStyle w:val="TableParagraph"/>
              <w:spacing w:line="235" w:lineRule="exact"/>
              <w:ind w:right="93"/>
              <w:jc w:val="right"/>
              <w:rPr>
                <w:rFonts w:ascii="Times New Roman"/>
                <w:sz w:val="21"/>
              </w:rPr>
            </w:pPr>
            <w:r>
              <w:rPr>
                <w:rFonts w:ascii="Times New Roman"/>
                <w:sz w:val="21"/>
              </w:rPr>
              <w:t>3,051,808</w:t>
            </w:r>
          </w:p>
        </w:tc>
        <w:tc>
          <w:tcPr>
            <w:tcW w:w="1558" w:type="dxa"/>
          </w:tcPr>
          <w:p>
            <w:pPr>
              <w:pStyle w:val="TableParagraph"/>
              <w:spacing w:line="235" w:lineRule="exact"/>
              <w:ind w:right="95"/>
              <w:jc w:val="right"/>
              <w:rPr>
                <w:rFonts w:ascii="Times New Roman"/>
                <w:sz w:val="21"/>
              </w:rPr>
            </w:pPr>
            <w:r>
              <w:rPr>
                <w:rFonts w:ascii="Times New Roman"/>
                <w:sz w:val="21"/>
              </w:rPr>
              <w:t>3,325,416</w:t>
            </w:r>
          </w:p>
        </w:tc>
        <w:tc>
          <w:tcPr>
            <w:tcW w:w="1632" w:type="dxa"/>
          </w:tcPr>
          <w:p>
            <w:pPr>
              <w:pStyle w:val="TableParagraph"/>
              <w:spacing w:line="235" w:lineRule="exact"/>
              <w:ind w:right="94"/>
              <w:jc w:val="right"/>
              <w:rPr>
                <w:rFonts w:ascii="Times New Roman"/>
                <w:sz w:val="21"/>
              </w:rPr>
            </w:pPr>
            <w:r>
              <w:rPr>
                <w:rFonts w:ascii="Times New Roman"/>
                <w:sz w:val="21"/>
              </w:rPr>
              <w:t>-8.23%</w:t>
            </w:r>
          </w:p>
        </w:tc>
      </w:tr>
      <w:tr>
        <w:trPr>
          <w:trHeight w:val="270" w:hRule="atLeast"/>
        </w:trPr>
        <w:tc>
          <w:tcPr>
            <w:tcW w:w="4078" w:type="dxa"/>
          </w:tcPr>
          <w:p>
            <w:pPr>
              <w:pStyle w:val="TableParagraph"/>
              <w:spacing w:line="250" w:lineRule="exact" w:before="1"/>
              <w:ind w:left="107"/>
              <w:rPr>
                <w:sz w:val="21"/>
              </w:rPr>
            </w:pPr>
            <w:r>
              <w:rPr>
                <w:spacing w:val="-1"/>
                <w:sz w:val="21"/>
              </w:rPr>
              <w:t>投资活动现金流出小计</w:t>
            </w:r>
            <w:r>
              <w:rPr>
                <w:sz w:val="21"/>
              </w:rPr>
              <w:t> </w:t>
            </w:r>
          </w:p>
        </w:tc>
        <w:tc>
          <w:tcPr>
            <w:tcW w:w="1555" w:type="dxa"/>
          </w:tcPr>
          <w:p>
            <w:pPr>
              <w:pStyle w:val="TableParagraph"/>
              <w:spacing w:line="235" w:lineRule="exact"/>
              <w:ind w:right="93"/>
              <w:jc w:val="right"/>
              <w:rPr>
                <w:rFonts w:ascii="Times New Roman"/>
                <w:sz w:val="21"/>
              </w:rPr>
            </w:pPr>
            <w:r>
              <w:rPr>
                <w:rFonts w:ascii="Times New Roman"/>
                <w:sz w:val="21"/>
              </w:rPr>
              <w:t>-18,359,310</w:t>
            </w:r>
          </w:p>
        </w:tc>
        <w:tc>
          <w:tcPr>
            <w:tcW w:w="1558" w:type="dxa"/>
          </w:tcPr>
          <w:p>
            <w:pPr>
              <w:pStyle w:val="TableParagraph"/>
              <w:spacing w:line="235" w:lineRule="exact"/>
              <w:ind w:right="95"/>
              <w:jc w:val="right"/>
              <w:rPr>
                <w:rFonts w:ascii="Times New Roman"/>
                <w:sz w:val="21"/>
              </w:rPr>
            </w:pPr>
            <w:r>
              <w:rPr>
                <w:rFonts w:ascii="Times New Roman"/>
                <w:sz w:val="21"/>
              </w:rPr>
              <w:t>-10,425,216</w:t>
            </w:r>
          </w:p>
        </w:tc>
        <w:tc>
          <w:tcPr>
            <w:tcW w:w="1632" w:type="dxa"/>
          </w:tcPr>
          <w:p>
            <w:pPr>
              <w:pStyle w:val="TableParagraph"/>
              <w:spacing w:line="235" w:lineRule="exact"/>
              <w:ind w:right="92"/>
              <w:jc w:val="right"/>
              <w:rPr>
                <w:rFonts w:ascii="Times New Roman"/>
                <w:sz w:val="21"/>
              </w:rPr>
            </w:pPr>
            <w:r>
              <w:rPr>
                <w:rFonts w:ascii="Times New Roman"/>
                <w:sz w:val="21"/>
              </w:rPr>
              <w:t>76.10%</w:t>
            </w:r>
          </w:p>
        </w:tc>
      </w:tr>
      <w:tr>
        <w:trPr>
          <w:trHeight w:val="273" w:hRule="atLeast"/>
        </w:trPr>
        <w:tc>
          <w:tcPr>
            <w:tcW w:w="4078" w:type="dxa"/>
          </w:tcPr>
          <w:p>
            <w:pPr>
              <w:pStyle w:val="TableParagraph"/>
              <w:spacing w:line="252" w:lineRule="exact" w:before="1"/>
              <w:ind w:left="107"/>
              <w:rPr>
                <w:sz w:val="21"/>
              </w:rPr>
            </w:pPr>
            <w:r>
              <w:rPr>
                <w:spacing w:val="-1"/>
                <w:sz w:val="21"/>
              </w:rPr>
              <w:t>投资活动(使用)/产生的现金流量净额</w:t>
            </w:r>
            <w:r>
              <w:rPr>
                <w:sz w:val="21"/>
              </w:rPr>
              <w:t> </w:t>
            </w:r>
          </w:p>
        </w:tc>
        <w:tc>
          <w:tcPr>
            <w:tcW w:w="1555" w:type="dxa"/>
          </w:tcPr>
          <w:p>
            <w:pPr>
              <w:pStyle w:val="TableParagraph"/>
              <w:spacing w:line="235" w:lineRule="exact"/>
              <w:ind w:right="93"/>
              <w:jc w:val="right"/>
              <w:rPr>
                <w:rFonts w:ascii="Times New Roman"/>
                <w:sz w:val="21"/>
              </w:rPr>
            </w:pPr>
            <w:r>
              <w:rPr>
                <w:rFonts w:ascii="Times New Roman"/>
                <w:sz w:val="21"/>
              </w:rPr>
              <w:t>-15,307,502</w:t>
            </w:r>
          </w:p>
        </w:tc>
        <w:tc>
          <w:tcPr>
            <w:tcW w:w="1558" w:type="dxa"/>
          </w:tcPr>
          <w:p>
            <w:pPr>
              <w:pStyle w:val="TableParagraph"/>
              <w:spacing w:line="235" w:lineRule="exact"/>
              <w:ind w:right="95"/>
              <w:jc w:val="right"/>
              <w:rPr>
                <w:rFonts w:ascii="Times New Roman"/>
                <w:sz w:val="21"/>
              </w:rPr>
            </w:pPr>
            <w:r>
              <w:rPr>
                <w:rFonts w:ascii="Times New Roman"/>
                <w:sz w:val="21"/>
              </w:rPr>
              <w:t>-7,099,800</w:t>
            </w:r>
          </w:p>
        </w:tc>
        <w:tc>
          <w:tcPr>
            <w:tcW w:w="1632" w:type="dxa"/>
          </w:tcPr>
          <w:p>
            <w:pPr>
              <w:pStyle w:val="TableParagraph"/>
              <w:spacing w:line="235" w:lineRule="exact"/>
              <w:ind w:right="92"/>
              <w:jc w:val="right"/>
              <w:rPr>
                <w:rFonts w:ascii="Times New Roman"/>
                <w:sz w:val="21"/>
              </w:rPr>
            </w:pPr>
            <w:r>
              <w:rPr>
                <w:rFonts w:ascii="Times New Roman"/>
                <w:sz w:val="21"/>
              </w:rPr>
              <w:t>115.60%</w:t>
            </w:r>
          </w:p>
        </w:tc>
      </w:tr>
      <w:tr>
        <w:trPr>
          <w:trHeight w:val="273" w:hRule="atLeast"/>
        </w:trPr>
        <w:tc>
          <w:tcPr>
            <w:tcW w:w="4078" w:type="dxa"/>
          </w:tcPr>
          <w:p>
            <w:pPr>
              <w:pStyle w:val="TableParagraph"/>
              <w:spacing w:line="252" w:lineRule="exact" w:before="1"/>
              <w:ind w:left="107"/>
              <w:rPr>
                <w:sz w:val="21"/>
              </w:rPr>
            </w:pPr>
            <w:r>
              <w:rPr>
                <w:spacing w:val="-1"/>
                <w:sz w:val="21"/>
              </w:rPr>
              <w:t>筹资活动现金流入小计</w:t>
            </w:r>
            <w:r>
              <w:rPr>
                <w:sz w:val="21"/>
              </w:rPr>
              <w:t> </w:t>
            </w:r>
          </w:p>
        </w:tc>
        <w:tc>
          <w:tcPr>
            <w:tcW w:w="1555" w:type="dxa"/>
          </w:tcPr>
          <w:p>
            <w:pPr>
              <w:pStyle w:val="TableParagraph"/>
              <w:spacing w:line="235" w:lineRule="exact"/>
              <w:ind w:right="93"/>
              <w:jc w:val="right"/>
              <w:rPr>
                <w:rFonts w:ascii="Times New Roman"/>
                <w:sz w:val="21"/>
              </w:rPr>
            </w:pPr>
            <w:r>
              <w:rPr>
                <w:rFonts w:ascii="Times New Roman"/>
                <w:sz w:val="21"/>
              </w:rPr>
              <w:t>149,082,169</w:t>
            </w:r>
          </w:p>
        </w:tc>
        <w:tc>
          <w:tcPr>
            <w:tcW w:w="1558" w:type="dxa"/>
          </w:tcPr>
          <w:p>
            <w:pPr>
              <w:pStyle w:val="TableParagraph"/>
              <w:spacing w:line="235" w:lineRule="exact"/>
              <w:ind w:right="95"/>
              <w:jc w:val="right"/>
              <w:rPr>
                <w:rFonts w:ascii="Times New Roman"/>
                <w:sz w:val="21"/>
              </w:rPr>
            </w:pPr>
            <w:r>
              <w:rPr>
                <w:rFonts w:ascii="Times New Roman"/>
                <w:sz w:val="21"/>
              </w:rPr>
              <w:t>157,310,917</w:t>
            </w:r>
          </w:p>
        </w:tc>
        <w:tc>
          <w:tcPr>
            <w:tcW w:w="1632" w:type="dxa"/>
          </w:tcPr>
          <w:p>
            <w:pPr>
              <w:pStyle w:val="TableParagraph"/>
              <w:spacing w:line="235" w:lineRule="exact"/>
              <w:ind w:right="94"/>
              <w:jc w:val="right"/>
              <w:rPr>
                <w:rFonts w:ascii="Times New Roman"/>
                <w:sz w:val="21"/>
              </w:rPr>
            </w:pPr>
            <w:r>
              <w:rPr>
                <w:rFonts w:ascii="Times New Roman"/>
                <w:sz w:val="21"/>
              </w:rPr>
              <w:t>-5.23%</w:t>
            </w:r>
          </w:p>
        </w:tc>
      </w:tr>
      <w:tr>
        <w:trPr>
          <w:trHeight w:val="270" w:hRule="atLeast"/>
        </w:trPr>
        <w:tc>
          <w:tcPr>
            <w:tcW w:w="4078" w:type="dxa"/>
          </w:tcPr>
          <w:p>
            <w:pPr>
              <w:pStyle w:val="TableParagraph"/>
              <w:spacing w:line="250" w:lineRule="exact" w:before="1"/>
              <w:ind w:left="107"/>
              <w:rPr>
                <w:sz w:val="21"/>
              </w:rPr>
            </w:pPr>
            <w:r>
              <w:rPr>
                <w:spacing w:val="-1"/>
                <w:sz w:val="21"/>
              </w:rPr>
              <w:t>筹资活动现金流出小计</w:t>
            </w:r>
            <w:r>
              <w:rPr>
                <w:sz w:val="21"/>
              </w:rPr>
              <w:t> </w:t>
            </w:r>
          </w:p>
        </w:tc>
        <w:tc>
          <w:tcPr>
            <w:tcW w:w="1555" w:type="dxa"/>
          </w:tcPr>
          <w:p>
            <w:pPr>
              <w:pStyle w:val="TableParagraph"/>
              <w:spacing w:line="235" w:lineRule="exact"/>
              <w:ind w:right="93"/>
              <w:jc w:val="right"/>
              <w:rPr>
                <w:rFonts w:ascii="Times New Roman"/>
                <w:sz w:val="21"/>
              </w:rPr>
            </w:pPr>
            <w:r>
              <w:rPr>
                <w:rFonts w:ascii="Times New Roman"/>
                <w:sz w:val="21"/>
              </w:rPr>
              <w:t>-163,150,625</w:t>
            </w:r>
          </w:p>
        </w:tc>
        <w:tc>
          <w:tcPr>
            <w:tcW w:w="1558" w:type="dxa"/>
          </w:tcPr>
          <w:p>
            <w:pPr>
              <w:pStyle w:val="TableParagraph"/>
              <w:spacing w:line="235" w:lineRule="exact"/>
              <w:ind w:right="95"/>
              <w:jc w:val="right"/>
              <w:rPr>
                <w:rFonts w:ascii="Times New Roman"/>
                <w:sz w:val="21"/>
              </w:rPr>
            </w:pPr>
            <w:r>
              <w:rPr>
                <w:rFonts w:ascii="Times New Roman"/>
                <w:sz w:val="21"/>
              </w:rPr>
              <w:t>-152,544,721</w:t>
            </w:r>
          </w:p>
        </w:tc>
        <w:tc>
          <w:tcPr>
            <w:tcW w:w="1632" w:type="dxa"/>
          </w:tcPr>
          <w:p>
            <w:pPr>
              <w:pStyle w:val="TableParagraph"/>
              <w:spacing w:line="235" w:lineRule="exact"/>
              <w:ind w:right="92"/>
              <w:jc w:val="right"/>
              <w:rPr>
                <w:rFonts w:ascii="Times New Roman"/>
                <w:sz w:val="21"/>
              </w:rPr>
            </w:pPr>
            <w:r>
              <w:rPr>
                <w:rFonts w:ascii="Times New Roman"/>
                <w:sz w:val="21"/>
              </w:rPr>
              <w:t>6.95%</w:t>
            </w:r>
          </w:p>
        </w:tc>
      </w:tr>
      <w:tr>
        <w:trPr>
          <w:trHeight w:val="273" w:hRule="atLeast"/>
        </w:trPr>
        <w:tc>
          <w:tcPr>
            <w:tcW w:w="4078" w:type="dxa"/>
          </w:tcPr>
          <w:p>
            <w:pPr>
              <w:pStyle w:val="TableParagraph"/>
              <w:spacing w:line="252" w:lineRule="exact" w:before="1"/>
              <w:ind w:left="107"/>
              <w:rPr>
                <w:sz w:val="21"/>
              </w:rPr>
            </w:pPr>
            <w:r>
              <w:rPr>
                <w:spacing w:val="-1"/>
                <w:sz w:val="21"/>
              </w:rPr>
              <w:t>筹资活动(使用)/产生的现金流量净额</w:t>
            </w:r>
            <w:r>
              <w:rPr>
                <w:sz w:val="21"/>
              </w:rPr>
              <w:t> </w:t>
            </w:r>
          </w:p>
        </w:tc>
        <w:tc>
          <w:tcPr>
            <w:tcW w:w="1555" w:type="dxa"/>
          </w:tcPr>
          <w:p>
            <w:pPr>
              <w:pStyle w:val="TableParagraph"/>
              <w:spacing w:line="235" w:lineRule="exact"/>
              <w:ind w:right="93"/>
              <w:jc w:val="right"/>
              <w:rPr>
                <w:rFonts w:ascii="Times New Roman"/>
                <w:sz w:val="21"/>
              </w:rPr>
            </w:pPr>
            <w:r>
              <w:rPr>
                <w:rFonts w:ascii="Times New Roman"/>
                <w:sz w:val="21"/>
              </w:rPr>
              <w:t>-14,068,456</w:t>
            </w:r>
          </w:p>
        </w:tc>
        <w:tc>
          <w:tcPr>
            <w:tcW w:w="1558" w:type="dxa"/>
          </w:tcPr>
          <w:p>
            <w:pPr>
              <w:pStyle w:val="TableParagraph"/>
              <w:spacing w:line="235" w:lineRule="exact"/>
              <w:ind w:right="95"/>
              <w:jc w:val="right"/>
              <w:rPr>
                <w:rFonts w:ascii="Times New Roman"/>
                <w:sz w:val="21"/>
              </w:rPr>
            </w:pPr>
            <w:r>
              <w:rPr>
                <w:rFonts w:ascii="Times New Roman"/>
                <w:sz w:val="21"/>
              </w:rPr>
              <w:t>4,766,196</w:t>
            </w:r>
          </w:p>
        </w:tc>
        <w:tc>
          <w:tcPr>
            <w:tcW w:w="1632" w:type="dxa"/>
          </w:tcPr>
          <w:p>
            <w:pPr>
              <w:pStyle w:val="TableParagraph"/>
              <w:spacing w:line="252" w:lineRule="exact" w:before="1"/>
              <w:ind w:right="92"/>
              <w:jc w:val="right"/>
              <w:rPr>
                <w:sz w:val="21"/>
              </w:rPr>
            </w:pPr>
            <w:r>
              <w:rPr>
                <w:sz w:val="21"/>
              </w:rPr>
              <w:t>不适用</w:t>
            </w:r>
          </w:p>
        </w:tc>
      </w:tr>
      <w:tr>
        <w:trPr>
          <w:trHeight w:val="270" w:hRule="atLeast"/>
        </w:trPr>
        <w:tc>
          <w:tcPr>
            <w:tcW w:w="4078" w:type="dxa"/>
          </w:tcPr>
          <w:p>
            <w:pPr>
              <w:pStyle w:val="TableParagraph"/>
              <w:spacing w:line="250" w:lineRule="exact" w:before="1"/>
              <w:ind w:left="107"/>
              <w:rPr>
                <w:sz w:val="21"/>
              </w:rPr>
            </w:pPr>
            <w:r>
              <w:rPr>
                <w:spacing w:val="-1"/>
                <w:sz w:val="21"/>
              </w:rPr>
              <w:t>汇率变动对现金的影响</w:t>
            </w:r>
            <w:r>
              <w:rPr>
                <w:sz w:val="21"/>
              </w:rPr>
              <w:t> </w:t>
            </w:r>
          </w:p>
        </w:tc>
        <w:tc>
          <w:tcPr>
            <w:tcW w:w="1555" w:type="dxa"/>
          </w:tcPr>
          <w:p>
            <w:pPr>
              <w:pStyle w:val="TableParagraph"/>
              <w:spacing w:line="235" w:lineRule="exact"/>
              <w:ind w:right="93"/>
              <w:jc w:val="right"/>
              <w:rPr>
                <w:rFonts w:ascii="Times New Roman"/>
                <w:sz w:val="21"/>
              </w:rPr>
            </w:pPr>
            <w:r>
              <w:rPr>
                <w:rFonts w:ascii="Times New Roman"/>
                <w:sz w:val="21"/>
              </w:rPr>
              <w:t>2,105,696</w:t>
            </w:r>
          </w:p>
        </w:tc>
        <w:tc>
          <w:tcPr>
            <w:tcW w:w="1558" w:type="dxa"/>
          </w:tcPr>
          <w:p>
            <w:pPr>
              <w:pStyle w:val="TableParagraph"/>
              <w:spacing w:line="235" w:lineRule="exact"/>
              <w:ind w:right="98"/>
              <w:jc w:val="right"/>
              <w:rPr>
                <w:rFonts w:ascii="Times New Roman"/>
                <w:sz w:val="21"/>
              </w:rPr>
            </w:pPr>
            <w:r>
              <w:rPr>
                <w:rFonts w:ascii="Times New Roman"/>
                <w:sz w:val="21"/>
              </w:rPr>
              <w:t>-613,101</w:t>
            </w:r>
          </w:p>
        </w:tc>
        <w:tc>
          <w:tcPr>
            <w:tcW w:w="1632" w:type="dxa"/>
          </w:tcPr>
          <w:p>
            <w:pPr>
              <w:pStyle w:val="TableParagraph"/>
              <w:spacing w:line="250" w:lineRule="exact" w:before="1"/>
              <w:ind w:right="92"/>
              <w:jc w:val="right"/>
              <w:rPr>
                <w:sz w:val="21"/>
              </w:rPr>
            </w:pPr>
            <w:r>
              <w:rPr>
                <w:sz w:val="21"/>
              </w:rPr>
              <w:t>不适用</w:t>
            </w:r>
          </w:p>
        </w:tc>
      </w:tr>
      <w:tr>
        <w:trPr>
          <w:trHeight w:val="273" w:hRule="atLeast"/>
        </w:trPr>
        <w:tc>
          <w:tcPr>
            <w:tcW w:w="4078" w:type="dxa"/>
          </w:tcPr>
          <w:p>
            <w:pPr>
              <w:pStyle w:val="TableParagraph"/>
              <w:spacing w:line="250" w:lineRule="exact" w:before="3"/>
              <w:ind w:left="107"/>
              <w:rPr>
                <w:sz w:val="21"/>
              </w:rPr>
            </w:pPr>
            <w:r>
              <w:rPr>
                <w:spacing w:val="-1"/>
                <w:sz w:val="21"/>
              </w:rPr>
              <w:t>现金净(减少)/增加额</w:t>
            </w:r>
            <w:r>
              <w:rPr>
                <w:sz w:val="21"/>
              </w:rPr>
              <w:t> </w:t>
            </w:r>
          </w:p>
        </w:tc>
        <w:tc>
          <w:tcPr>
            <w:tcW w:w="1555" w:type="dxa"/>
          </w:tcPr>
          <w:p>
            <w:pPr>
              <w:pStyle w:val="TableParagraph"/>
              <w:spacing w:line="237" w:lineRule="exact"/>
              <w:ind w:right="93"/>
              <w:jc w:val="right"/>
              <w:rPr>
                <w:rFonts w:ascii="Times New Roman"/>
                <w:sz w:val="21"/>
              </w:rPr>
            </w:pPr>
            <w:r>
              <w:rPr>
                <w:rFonts w:ascii="Times New Roman"/>
                <w:sz w:val="21"/>
              </w:rPr>
              <w:t>-11,904,635</w:t>
            </w:r>
          </w:p>
        </w:tc>
        <w:tc>
          <w:tcPr>
            <w:tcW w:w="1558" w:type="dxa"/>
          </w:tcPr>
          <w:p>
            <w:pPr>
              <w:pStyle w:val="TableParagraph"/>
              <w:spacing w:line="237" w:lineRule="exact"/>
              <w:ind w:right="95"/>
              <w:jc w:val="right"/>
              <w:rPr>
                <w:rFonts w:ascii="Times New Roman"/>
                <w:sz w:val="21"/>
              </w:rPr>
            </w:pPr>
            <w:r>
              <w:rPr>
                <w:rFonts w:ascii="Times New Roman"/>
                <w:sz w:val="21"/>
              </w:rPr>
              <w:t>5,777,880</w:t>
            </w:r>
          </w:p>
        </w:tc>
        <w:tc>
          <w:tcPr>
            <w:tcW w:w="1632" w:type="dxa"/>
          </w:tcPr>
          <w:p>
            <w:pPr>
              <w:pStyle w:val="TableParagraph"/>
              <w:spacing w:line="250" w:lineRule="exact" w:before="3"/>
              <w:ind w:right="92"/>
              <w:jc w:val="right"/>
              <w:rPr>
                <w:sz w:val="21"/>
              </w:rPr>
            </w:pPr>
            <w:r>
              <w:rPr>
                <w:sz w:val="21"/>
              </w:rPr>
              <w:t>不适用</w:t>
            </w:r>
          </w:p>
        </w:tc>
      </w:tr>
    </w:tbl>
    <w:p>
      <w:pPr>
        <w:pStyle w:val="BodyText"/>
        <w:spacing w:before="1"/>
        <w:ind w:left="638"/>
      </w:pPr>
      <w:r>
        <w:rPr>
          <w:spacing w:val="-4"/>
        </w:rPr>
        <w:t>参见附注第十节财务报告七、合并财务报表项目注释 </w:t>
      </w:r>
      <w:r>
        <w:rPr/>
        <w:t>78</w:t>
      </w:r>
      <w:r>
        <w:rPr>
          <w:spacing w:val="-8"/>
        </w:rPr>
        <w:t> 现金流量表项目。</w:t>
      </w:r>
      <w:r>
        <w:rPr/>
        <w:t> </w:t>
      </w:r>
    </w:p>
    <w:p>
      <w:pPr>
        <w:pStyle w:val="BodyText"/>
        <w:spacing w:before="4"/>
        <w:ind w:left="638"/>
      </w:pPr>
      <w:r>
        <w:rPr>
          <w:w w:val="100"/>
        </w:rPr>
        <w:t> </w:t>
      </w:r>
    </w:p>
    <w:p>
      <w:pPr>
        <w:pStyle w:val="BodyText"/>
        <w:spacing w:before="62"/>
        <w:ind w:left="638"/>
      </w:pPr>
      <w:r>
        <w:rPr>
          <w:spacing w:val="-7"/>
        </w:rPr>
        <w:t>(二) 非主营业务导致利润重大变化的说明</w:t>
      </w:r>
    </w:p>
    <w:p>
      <w:pPr>
        <w:pStyle w:val="BodyText"/>
        <w:spacing w:before="65"/>
        <w:ind w:left="638"/>
      </w:pPr>
      <w:r>
        <w:rPr>
          <w:spacing w:val="-1"/>
        </w:rPr>
        <w:t>□适用 √不适用</w:t>
      </w:r>
      <w:r>
        <w:rPr>
          <w:spacing w:val="-3"/>
        </w:rPr>
        <w:t> </w:t>
      </w:r>
      <w:r>
        <w:rPr/>
        <w:t> </w:t>
      </w:r>
    </w:p>
    <w:p>
      <w:pPr>
        <w:spacing w:after="0"/>
        <w:sectPr>
          <w:pgSz w:w="11910" w:h="16840"/>
          <w:pgMar w:header="880" w:footer="1195" w:top="1120" w:bottom="1380" w:left="1160" w:right="940"/>
        </w:sectPr>
      </w:pPr>
    </w:p>
    <w:p>
      <w:pPr>
        <w:pStyle w:val="BodyText"/>
        <w:spacing w:before="10"/>
        <w:ind w:left="0"/>
        <w:rPr>
          <w:sz w:val="25"/>
        </w:rPr>
      </w:pPr>
    </w:p>
    <w:p>
      <w:pPr>
        <w:pStyle w:val="BodyText"/>
        <w:spacing w:before="71"/>
        <w:ind w:left="638"/>
      </w:pPr>
      <w:r>
        <w:rPr>
          <w:w w:val="100"/>
        </w:rPr>
        <w:t> </w:t>
      </w:r>
    </w:p>
    <w:p>
      <w:pPr>
        <w:pStyle w:val="BodyText"/>
        <w:spacing w:before="65"/>
        <w:ind w:left="638"/>
      </w:pPr>
      <w:r>
        <w:rPr>
          <w:spacing w:val="-7"/>
        </w:rPr>
        <w:t>(三) 资产、负债情况分析</w:t>
      </w:r>
    </w:p>
    <w:p>
      <w:pPr>
        <w:pStyle w:val="BodyText"/>
        <w:spacing w:before="62"/>
        <w:ind w:left="638"/>
      </w:pPr>
      <w:r>
        <w:rPr>
          <w:spacing w:val="11"/>
        </w:rPr>
        <w:t>√适用 □不适用</w:t>
      </w:r>
      <w:r>
        <w:rPr>
          <w:spacing w:val="-3"/>
        </w:rPr>
        <w:t> </w:t>
      </w:r>
      <w:r>
        <w:rPr/>
        <w:t> </w:t>
      </w:r>
    </w:p>
    <w:p>
      <w:pPr>
        <w:pStyle w:val="ListParagraph"/>
        <w:numPr>
          <w:ilvl w:val="0"/>
          <w:numId w:val="6"/>
        </w:numPr>
        <w:tabs>
          <w:tab w:pos="1063" w:val="left" w:leader="none"/>
        </w:tabs>
        <w:spacing w:line="240" w:lineRule="auto" w:before="65" w:after="0"/>
        <w:ind w:left="1062" w:right="0" w:hanging="425"/>
        <w:jc w:val="left"/>
        <w:rPr>
          <w:sz w:val="21"/>
        </w:rPr>
      </w:pPr>
      <w:r>
        <w:rPr>
          <w:sz w:val="21"/>
        </w:rPr>
        <w:t>资产及负债状况 </w:t>
      </w:r>
    </w:p>
    <w:p>
      <w:pPr>
        <w:pStyle w:val="BodyText"/>
        <w:spacing w:before="62" w:after="4"/>
        <w:ind w:left="8420"/>
      </w:pPr>
      <w:r>
        <w:rPr/>
        <w:t>单位：千元 </w:t>
      </w: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8"/>
        <w:gridCol w:w="1160"/>
        <w:gridCol w:w="1366"/>
        <w:gridCol w:w="1174"/>
        <w:gridCol w:w="1322"/>
        <w:gridCol w:w="1282"/>
        <w:gridCol w:w="1032"/>
      </w:tblGrid>
      <w:tr>
        <w:trPr>
          <w:trHeight w:val="1089" w:hRule="atLeast"/>
        </w:trPr>
        <w:tc>
          <w:tcPr>
            <w:tcW w:w="1488" w:type="dxa"/>
          </w:tcPr>
          <w:p>
            <w:pPr>
              <w:pStyle w:val="TableParagraph"/>
              <w:rPr>
                <w:sz w:val="20"/>
              </w:rPr>
            </w:pPr>
          </w:p>
          <w:p>
            <w:pPr>
              <w:pStyle w:val="TableParagraph"/>
              <w:spacing w:before="152"/>
              <w:ind w:left="323"/>
              <w:rPr>
                <w:sz w:val="21"/>
              </w:rPr>
            </w:pPr>
            <w:r>
              <w:rPr>
                <w:sz w:val="21"/>
              </w:rPr>
              <w:t>项目名称</w:t>
            </w:r>
          </w:p>
        </w:tc>
        <w:tc>
          <w:tcPr>
            <w:tcW w:w="1160" w:type="dxa"/>
          </w:tcPr>
          <w:p>
            <w:pPr>
              <w:pStyle w:val="TableParagraph"/>
              <w:spacing w:before="3"/>
              <w:rPr>
                <w:sz w:val="21"/>
              </w:rPr>
            </w:pPr>
          </w:p>
          <w:p>
            <w:pPr>
              <w:pStyle w:val="TableParagraph"/>
              <w:spacing w:line="244" w:lineRule="auto"/>
              <w:ind w:left="472" w:right="147" w:hanging="315"/>
              <w:rPr>
                <w:sz w:val="21"/>
              </w:rPr>
            </w:pPr>
            <w:r>
              <w:rPr>
                <w:spacing w:val="-1"/>
                <w:sz w:val="21"/>
              </w:rPr>
              <w:t>本期期末</w:t>
            </w:r>
            <w:r>
              <w:rPr>
                <w:sz w:val="21"/>
              </w:rPr>
              <w:t>数</w:t>
            </w:r>
          </w:p>
        </w:tc>
        <w:tc>
          <w:tcPr>
            <w:tcW w:w="1366" w:type="dxa"/>
          </w:tcPr>
          <w:p>
            <w:pPr>
              <w:pStyle w:val="TableParagraph"/>
              <w:spacing w:line="242" w:lineRule="auto" w:before="138"/>
              <w:ind w:left="155" w:right="144"/>
              <w:jc w:val="both"/>
              <w:rPr>
                <w:sz w:val="21"/>
              </w:rPr>
            </w:pPr>
            <w:r>
              <w:rPr>
                <w:sz w:val="21"/>
              </w:rPr>
              <w:t>本期期末数占总资产的比例（</w:t>
            </w:r>
            <w:r>
              <w:rPr>
                <w:rFonts w:ascii="Times New Roman" w:eastAsia="Times New Roman"/>
                <w:sz w:val="21"/>
              </w:rPr>
              <w:t>%</w:t>
            </w:r>
            <w:r>
              <w:rPr>
                <w:sz w:val="21"/>
              </w:rPr>
              <w:t>）</w:t>
            </w:r>
          </w:p>
        </w:tc>
        <w:tc>
          <w:tcPr>
            <w:tcW w:w="1174" w:type="dxa"/>
          </w:tcPr>
          <w:p>
            <w:pPr>
              <w:pStyle w:val="TableParagraph"/>
              <w:spacing w:before="3"/>
              <w:rPr>
                <w:sz w:val="21"/>
              </w:rPr>
            </w:pPr>
          </w:p>
          <w:p>
            <w:pPr>
              <w:pStyle w:val="TableParagraph"/>
              <w:spacing w:line="244" w:lineRule="auto"/>
              <w:ind w:left="479" w:right="154" w:hanging="315"/>
              <w:rPr>
                <w:sz w:val="21"/>
              </w:rPr>
            </w:pPr>
            <w:r>
              <w:rPr>
                <w:spacing w:val="-1"/>
                <w:sz w:val="21"/>
              </w:rPr>
              <w:t>上期期末</w:t>
            </w:r>
            <w:r>
              <w:rPr>
                <w:sz w:val="21"/>
              </w:rPr>
              <w:t>数</w:t>
            </w:r>
          </w:p>
        </w:tc>
        <w:tc>
          <w:tcPr>
            <w:tcW w:w="1322" w:type="dxa"/>
          </w:tcPr>
          <w:p>
            <w:pPr>
              <w:pStyle w:val="TableParagraph"/>
              <w:spacing w:line="242" w:lineRule="auto" w:before="138"/>
              <w:ind w:left="131" w:right="125"/>
              <w:jc w:val="both"/>
              <w:rPr>
                <w:sz w:val="21"/>
              </w:rPr>
            </w:pPr>
            <w:r>
              <w:rPr>
                <w:spacing w:val="-1"/>
                <w:sz w:val="21"/>
              </w:rPr>
              <w:t>上期期末数占总资产的</w:t>
            </w:r>
            <w:r>
              <w:rPr>
                <w:sz w:val="21"/>
              </w:rPr>
              <w:t>比例（</w:t>
            </w:r>
            <w:r>
              <w:rPr>
                <w:rFonts w:ascii="Times New Roman" w:eastAsia="Times New Roman"/>
                <w:sz w:val="21"/>
              </w:rPr>
              <w:t>%</w:t>
            </w:r>
            <w:r>
              <w:rPr>
                <w:sz w:val="21"/>
              </w:rPr>
              <w:t>）</w:t>
            </w:r>
          </w:p>
        </w:tc>
        <w:tc>
          <w:tcPr>
            <w:tcW w:w="1282" w:type="dxa"/>
          </w:tcPr>
          <w:p>
            <w:pPr>
              <w:pStyle w:val="TableParagraph"/>
              <w:spacing w:line="242" w:lineRule="auto" w:before="1"/>
              <w:ind w:left="112" w:right="104"/>
              <w:jc w:val="both"/>
              <w:rPr>
                <w:sz w:val="21"/>
              </w:rPr>
            </w:pPr>
            <w:r>
              <w:rPr>
                <w:spacing w:val="-1"/>
                <w:sz w:val="21"/>
              </w:rPr>
              <w:t>本期期末金额较上期期末变动比例</w:t>
            </w:r>
          </w:p>
          <w:p>
            <w:pPr>
              <w:pStyle w:val="TableParagraph"/>
              <w:spacing w:line="252" w:lineRule="exact"/>
              <w:ind w:left="340"/>
              <w:rPr>
                <w:sz w:val="21"/>
              </w:rPr>
            </w:pPr>
            <w:r>
              <w:rPr>
                <w:sz w:val="21"/>
              </w:rPr>
              <w:t>（</w:t>
            </w:r>
            <w:r>
              <w:rPr>
                <w:rFonts w:ascii="Times New Roman" w:eastAsia="Times New Roman"/>
                <w:sz w:val="21"/>
              </w:rPr>
              <w:t>%</w:t>
            </w:r>
            <w:r>
              <w:rPr>
                <w:sz w:val="21"/>
              </w:rPr>
              <w:t>）</w:t>
            </w:r>
          </w:p>
        </w:tc>
        <w:tc>
          <w:tcPr>
            <w:tcW w:w="1032" w:type="dxa"/>
          </w:tcPr>
          <w:p>
            <w:pPr>
              <w:pStyle w:val="TableParagraph"/>
              <w:spacing w:before="3"/>
              <w:rPr>
                <w:sz w:val="21"/>
              </w:rPr>
            </w:pPr>
          </w:p>
          <w:p>
            <w:pPr>
              <w:pStyle w:val="TableParagraph"/>
              <w:spacing w:line="244" w:lineRule="auto"/>
              <w:ind w:left="410" w:right="187" w:hanging="212"/>
              <w:rPr>
                <w:sz w:val="21"/>
              </w:rPr>
            </w:pPr>
            <w:r>
              <w:rPr>
                <w:sz w:val="21"/>
              </w:rPr>
              <w:t>情况说明</w:t>
            </w:r>
          </w:p>
        </w:tc>
      </w:tr>
      <w:tr>
        <w:trPr>
          <w:trHeight w:val="273" w:hRule="atLeast"/>
        </w:trPr>
        <w:tc>
          <w:tcPr>
            <w:tcW w:w="1488" w:type="dxa"/>
          </w:tcPr>
          <w:p>
            <w:pPr>
              <w:pStyle w:val="TableParagraph"/>
              <w:spacing w:line="252" w:lineRule="exact" w:before="1"/>
              <w:ind w:left="107"/>
              <w:rPr>
                <w:sz w:val="21"/>
              </w:rPr>
            </w:pPr>
            <w:r>
              <w:rPr>
                <w:sz w:val="21"/>
              </w:rPr>
              <w:t>货币资金</w:t>
            </w:r>
          </w:p>
        </w:tc>
        <w:tc>
          <w:tcPr>
            <w:tcW w:w="1160" w:type="dxa"/>
          </w:tcPr>
          <w:p>
            <w:pPr>
              <w:pStyle w:val="TableParagraph"/>
              <w:spacing w:line="235" w:lineRule="exact"/>
              <w:ind w:left="105"/>
              <w:rPr>
                <w:rFonts w:ascii="Times New Roman"/>
                <w:sz w:val="21"/>
              </w:rPr>
            </w:pPr>
            <w:r>
              <w:rPr>
                <w:rFonts w:ascii="Times New Roman"/>
                <w:sz w:val="21"/>
              </w:rPr>
              <w:t>69,429,837</w:t>
            </w:r>
          </w:p>
        </w:tc>
        <w:tc>
          <w:tcPr>
            <w:tcW w:w="1366" w:type="dxa"/>
          </w:tcPr>
          <w:p>
            <w:pPr>
              <w:pStyle w:val="TableParagraph"/>
              <w:spacing w:line="235" w:lineRule="exact"/>
              <w:ind w:right="96"/>
              <w:jc w:val="right"/>
              <w:rPr>
                <w:rFonts w:ascii="Times New Roman"/>
                <w:sz w:val="21"/>
              </w:rPr>
            </w:pPr>
            <w:r>
              <w:rPr>
                <w:rFonts w:ascii="Times New Roman"/>
                <w:sz w:val="21"/>
              </w:rPr>
              <w:t>24</w:t>
            </w:r>
          </w:p>
        </w:tc>
        <w:tc>
          <w:tcPr>
            <w:tcW w:w="1174" w:type="dxa"/>
          </w:tcPr>
          <w:p>
            <w:pPr>
              <w:pStyle w:val="TableParagraph"/>
              <w:spacing w:line="235" w:lineRule="exact"/>
              <w:ind w:left="97" w:right="80"/>
              <w:jc w:val="center"/>
              <w:rPr>
                <w:rFonts w:ascii="Times New Roman"/>
                <w:sz w:val="21"/>
              </w:rPr>
            </w:pPr>
            <w:r>
              <w:rPr>
                <w:rFonts w:ascii="Times New Roman"/>
                <w:sz w:val="21"/>
              </w:rPr>
              <w:t>82,877,051</w:t>
            </w:r>
          </w:p>
        </w:tc>
        <w:tc>
          <w:tcPr>
            <w:tcW w:w="1322" w:type="dxa"/>
          </w:tcPr>
          <w:p>
            <w:pPr>
              <w:pStyle w:val="TableParagraph"/>
              <w:spacing w:line="235" w:lineRule="exact"/>
              <w:ind w:right="98"/>
              <w:jc w:val="right"/>
              <w:rPr>
                <w:rFonts w:ascii="Times New Roman"/>
                <w:sz w:val="21"/>
              </w:rPr>
            </w:pPr>
            <w:r>
              <w:rPr>
                <w:rFonts w:ascii="Times New Roman"/>
                <w:sz w:val="21"/>
              </w:rPr>
              <w:t>31</w:t>
            </w:r>
          </w:p>
        </w:tc>
        <w:tc>
          <w:tcPr>
            <w:tcW w:w="1282" w:type="dxa"/>
          </w:tcPr>
          <w:p>
            <w:pPr>
              <w:pStyle w:val="TableParagraph"/>
              <w:spacing w:line="235" w:lineRule="exact"/>
              <w:ind w:right="98"/>
              <w:jc w:val="right"/>
              <w:rPr>
                <w:rFonts w:ascii="Times New Roman"/>
                <w:sz w:val="21"/>
              </w:rPr>
            </w:pPr>
            <w:r>
              <w:rPr>
                <w:rFonts w:ascii="Times New Roman"/>
                <w:sz w:val="21"/>
              </w:rPr>
              <w:t>-16</w:t>
            </w:r>
          </w:p>
        </w:tc>
        <w:tc>
          <w:tcPr>
            <w:tcW w:w="1032" w:type="dxa"/>
          </w:tcPr>
          <w:p>
            <w:pPr>
              <w:pStyle w:val="TableParagraph"/>
              <w:rPr>
                <w:rFonts w:ascii="Times New Roman"/>
                <w:sz w:val="20"/>
              </w:rPr>
            </w:pPr>
          </w:p>
        </w:tc>
      </w:tr>
      <w:tr>
        <w:trPr>
          <w:trHeight w:val="270" w:hRule="atLeast"/>
        </w:trPr>
        <w:tc>
          <w:tcPr>
            <w:tcW w:w="1488" w:type="dxa"/>
          </w:tcPr>
          <w:p>
            <w:pPr>
              <w:pStyle w:val="TableParagraph"/>
              <w:spacing w:line="250" w:lineRule="exact" w:before="1"/>
              <w:ind w:left="107"/>
              <w:rPr>
                <w:sz w:val="21"/>
              </w:rPr>
            </w:pPr>
            <w:r>
              <w:rPr>
                <w:sz w:val="21"/>
              </w:rPr>
              <w:t>应收账款</w:t>
            </w:r>
          </w:p>
        </w:tc>
        <w:tc>
          <w:tcPr>
            <w:tcW w:w="1160" w:type="dxa"/>
          </w:tcPr>
          <w:p>
            <w:pPr>
              <w:pStyle w:val="TableParagraph"/>
              <w:spacing w:line="235" w:lineRule="exact"/>
              <w:ind w:left="105"/>
              <w:rPr>
                <w:rFonts w:ascii="Times New Roman"/>
                <w:sz w:val="21"/>
              </w:rPr>
            </w:pPr>
            <w:r>
              <w:rPr>
                <w:rFonts w:ascii="Times New Roman"/>
                <w:sz w:val="21"/>
              </w:rPr>
              <w:t>97,672,920</w:t>
            </w:r>
          </w:p>
        </w:tc>
        <w:tc>
          <w:tcPr>
            <w:tcW w:w="1366" w:type="dxa"/>
          </w:tcPr>
          <w:p>
            <w:pPr>
              <w:pStyle w:val="TableParagraph"/>
              <w:spacing w:line="235" w:lineRule="exact"/>
              <w:ind w:right="96"/>
              <w:jc w:val="right"/>
              <w:rPr>
                <w:rFonts w:ascii="Times New Roman"/>
                <w:sz w:val="21"/>
              </w:rPr>
            </w:pPr>
            <w:r>
              <w:rPr>
                <w:rFonts w:ascii="Times New Roman"/>
                <w:sz w:val="21"/>
              </w:rPr>
              <w:t>34</w:t>
            </w:r>
          </w:p>
        </w:tc>
        <w:tc>
          <w:tcPr>
            <w:tcW w:w="1174" w:type="dxa"/>
          </w:tcPr>
          <w:p>
            <w:pPr>
              <w:pStyle w:val="TableParagraph"/>
              <w:spacing w:line="235" w:lineRule="exact"/>
              <w:ind w:left="97" w:right="80"/>
              <w:jc w:val="center"/>
              <w:rPr>
                <w:rFonts w:ascii="Times New Roman"/>
                <w:sz w:val="21"/>
              </w:rPr>
            </w:pPr>
            <w:r>
              <w:rPr>
                <w:rFonts w:ascii="Times New Roman"/>
                <w:sz w:val="21"/>
              </w:rPr>
              <w:t>87,029,697</w:t>
            </w:r>
          </w:p>
        </w:tc>
        <w:tc>
          <w:tcPr>
            <w:tcW w:w="1322" w:type="dxa"/>
          </w:tcPr>
          <w:p>
            <w:pPr>
              <w:pStyle w:val="TableParagraph"/>
              <w:spacing w:line="235" w:lineRule="exact"/>
              <w:ind w:right="98"/>
              <w:jc w:val="right"/>
              <w:rPr>
                <w:rFonts w:ascii="Times New Roman"/>
                <w:sz w:val="21"/>
              </w:rPr>
            </w:pPr>
            <w:r>
              <w:rPr>
                <w:rFonts w:ascii="Times New Roman"/>
                <w:sz w:val="21"/>
              </w:rPr>
              <w:t>33</w:t>
            </w:r>
          </w:p>
        </w:tc>
        <w:tc>
          <w:tcPr>
            <w:tcW w:w="1282" w:type="dxa"/>
          </w:tcPr>
          <w:p>
            <w:pPr>
              <w:pStyle w:val="TableParagraph"/>
              <w:spacing w:line="235" w:lineRule="exact"/>
              <w:ind w:right="96"/>
              <w:jc w:val="right"/>
              <w:rPr>
                <w:rFonts w:ascii="Times New Roman"/>
                <w:sz w:val="21"/>
              </w:rPr>
            </w:pPr>
            <w:r>
              <w:rPr>
                <w:rFonts w:ascii="Times New Roman"/>
                <w:sz w:val="21"/>
              </w:rPr>
              <w:t>12</w:t>
            </w:r>
          </w:p>
        </w:tc>
        <w:tc>
          <w:tcPr>
            <w:tcW w:w="1032" w:type="dxa"/>
          </w:tcPr>
          <w:p>
            <w:pPr>
              <w:pStyle w:val="TableParagraph"/>
              <w:rPr>
                <w:rFonts w:ascii="Times New Roman"/>
                <w:sz w:val="20"/>
              </w:rPr>
            </w:pPr>
          </w:p>
        </w:tc>
      </w:tr>
      <w:tr>
        <w:trPr>
          <w:trHeight w:val="273" w:hRule="atLeast"/>
        </w:trPr>
        <w:tc>
          <w:tcPr>
            <w:tcW w:w="1488" w:type="dxa"/>
          </w:tcPr>
          <w:p>
            <w:pPr>
              <w:pStyle w:val="TableParagraph"/>
              <w:spacing w:line="252" w:lineRule="exact" w:before="1"/>
              <w:ind w:left="107"/>
              <w:rPr>
                <w:sz w:val="21"/>
              </w:rPr>
            </w:pPr>
            <w:r>
              <w:rPr>
                <w:sz w:val="21"/>
              </w:rPr>
              <w:t>存货</w:t>
            </w:r>
          </w:p>
        </w:tc>
        <w:tc>
          <w:tcPr>
            <w:tcW w:w="1160" w:type="dxa"/>
          </w:tcPr>
          <w:p>
            <w:pPr>
              <w:pStyle w:val="TableParagraph"/>
              <w:spacing w:line="235" w:lineRule="exact"/>
              <w:ind w:left="105"/>
              <w:rPr>
                <w:rFonts w:ascii="Times New Roman"/>
                <w:sz w:val="21"/>
              </w:rPr>
            </w:pPr>
            <w:r>
              <w:rPr>
                <w:rFonts w:ascii="Times New Roman"/>
                <w:sz w:val="21"/>
              </w:rPr>
              <w:t>77,321,754</w:t>
            </w:r>
          </w:p>
        </w:tc>
        <w:tc>
          <w:tcPr>
            <w:tcW w:w="1366" w:type="dxa"/>
          </w:tcPr>
          <w:p>
            <w:pPr>
              <w:pStyle w:val="TableParagraph"/>
              <w:spacing w:line="235" w:lineRule="exact"/>
              <w:ind w:right="96"/>
              <w:jc w:val="right"/>
              <w:rPr>
                <w:rFonts w:ascii="Times New Roman"/>
                <w:sz w:val="21"/>
              </w:rPr>
            </w:pPr>
            <w:r>
              <w:rPr>
                <w:rFonts w:ascii="Times New Roman"/>
                <w:sz w:val="21"/>
              </w:rPr>
              <w:t>27</w:t>
            </w:r>
          </w:p>
        </w:tc>
        <w:tc>
          <w:tcPr>
            <w:tcW w:w="1174" w:type="dxa"/>
          </w:tcPr>
          <w:p>
            <w:pPr>
              <w:pStyle w:val="TableParagraph"/>
              <w:spacing w:line="235" w:lineRule="exact"/>
              <w:ind w:left="97" w:right="80"/>
              <w:jc w:val="center"/>
              <w:rPr>
                <w:rFonts w:ascii="Times New Roman"/>
                <w:sz w:val="21"/>
              </w:rPr>
            </w:pPr>
            <w:r>
              <w:rPr>
                <w:rFonts w:ascii="Times New Roman"/>
                <w:sz w:val="21"/>
              </w:rPr>
              <w:t>71,927,837</w:t>
            </w:r>
          </w:p>
        </w:tc>
        <w:tc>
          <w:tcPr>
            <w:tcW w:w="1322" w:type="dxa"/>
          </w:tcPr>
          <w:p>
            <w:pPr>
              <w:pStyle w:val="TableParagraph"/>
              <w:spacing w:line="235" w:lineRule="exact"/>
              <w:ind w:right="98"/>
              <w:jc w:val="right"/>
              <w:rPr>
                <w:rFonts w:ascii="Times New Roman"/>
                <w:sz w:val="21"/>
              </w:rPr>
            </w:pPr>
            <w:r>
              <w:rPr>
                <w:rFonts w:ascii="Times New Roman"/>
                <w:sz w:val="21"/>
              </w:rPr>
              <w:t>27</w:t>
            </w:r>
          </w:p>
        </w:tc>
        <w:tc>
          <w:tcPr>
            <w:tcW w:w="1282" w:type="dxa"/>
          </w:tcPr>
          <w:p>
            <w:pPr>
              <w:pStyle w:val="TableParagraph"/>
              <w:spacing w:line="252" w:lineRule="exact" w:before="1"/>
              <w:ind w:right="96"/>
              <w:jc w:val="right"/>
              <w:rPr>
                <w:sz w:val="21"/>
              </w:rPr>
            </w:pPr>
            <w:r>
              <w:rPr>
                <w:w w:val="100"/>
                <w:sz w:val="21"/>
              </w:rPr>
              <w:t>8</w:t>
            </w:r>
          </w:p>
        </w:tc>
        <w:tc>
          <w:tcPr>
            <w:tcW w:w="1032" w:type="dxa"/>
          </w:tcPr>
          <w:p>
            <w:pPr>
              <w:pStyle w:val="TableParagraph"/>
              <w:rPr>
                <w:rFonts w:ascii="Times New Roman"/>
                <w:sz w:val="20"/>
              </w:rPr>
            </w:pPr>
          </w:p>
        </w:tc>
      </w:tr>
      <w:tr>
        <w:trPr>
          <w:trHeight w:val="271" w:hRule="atLeast"/>
        </w:trPr>
        <w:tc>
          <w:tcPr>
            <w:tcW w:w="1488" w:type="dxa"/>
          </w:tcPr>
          <w:p>
            <w:pPr>
              <w:pStyle w:val="TableParagraph"/>
              <w:spacing w:line="250" w:lineRule="exact" w:before="1"/>
              <w:ind w:left="107"/>
              <w:rPr>
                <w:sz w:val="21"/>
              </w:rPr>
            </w:pPr>
            <w:r>
              <w:rPr>
                <w:sz w:val="21"/>
              </w:rPr>
              <w:t>短期借款</w:t>
            </w:r>
          </w:p>
        </w:tc>
        <w:tc>
          <w:tcPr>
            <w:tcW w:w="1160" w:type="dxa"/>
          </w:tcPr>
          <w:p>
            <w:pPr>
              <w:pStyle w:val="TableParagraph"/>
              <w:spacing w:line="235" w:lineRule="exact"/>
              <w:ind w:left="105"/>
              <w:rPr>
                <w:rFonts w:ascii="Times New Roman"/>
                <w:sz w:val="21"/>
              </w:rPr>
            </w:pPr>
            <w:r>
              <w:rPr>
                <w:rFonts w:ascii="Times New Roman"/>
                <w:sz w:val="21"/>
              </w:rPr>
              <w:t>50,497,692</w:t>
            </w:r>
          </w:p>
        </w:tc>
        <w:tc>
          <w:tcPr>
            <w:tcW w:w="1366" w:type="dxa"/>
          </w:tcPr>
          <w:p>
            <w:pPr>
              <w:pStyle w:val="TableParagraph"/>
              <w:spacing w:line="235" w:lineRule="exact"/>
              <w:ind w:right="96"/>
              <w:jc w:val="right"/>
              <w:rPr>
                <w:rFonts w:ascii="Times New Roman"/>
                <w:sz w:val="21"/>
              </w:rPr>
            </w:pPr>
            <w:r>
              <w:rPr>
                <w:rFonts w:ascii="Times New Roman"/>
                <w:sz w:val="21"/>
              </w:rPr>
              <w:t>18</w:t>
            </w:r>
          </w:p>
        </w:tc>
        <w:tc>
          <w:tcPr>
            <w:tcW w:w="1174" w:type="dxa"/>
          </w:tcPr>
          <w:p>
            <w:pPr>
              <w:pStyle w:val="TableParagraph"/>
              <w:spacing w:line="235" w:lineRule="exact"/>
              <w:ind w:left="97" w:right="80"/>
              <w:jc w:val="center"/>
              <w:rPr>
                <w:rFonts w:ascii="Times New Roman"/>
                <w:sz w:val="21"/>
              </w:rPr>
            </w:pPr>
            <w:r>
              <w:rPr>
                <w:rFonts w:ascii="Times New Roman"/>
                <w:sz w:val="21"/>
              </w:rPr>
              <w:t>52,136,654</w:t>
            </w:r>
          </w:p>
        </w:tc>
        <w:tc>
          <w:tcPr>
            <w:tcW w:w="1322" w:type="dxa"/>
          </w:tcPr>
          <w:p>
            <w:pPr>
              <w:pStyle w:val="TableParagraph"/>
              <w:spacing w:line="235" w:lineRule="exact"/>
              <w:ind w:right="98"/>
              <w:jc w:val="right"/>
              <w:rPr>
                <w:rFonts w:ascii="Times New Roman"/>
                <w:sz w:val="21"/>
              </w:rPr>
            </w:pPr>
            <w:r>
              <w:rPr>
                <w:rFonts w:ascii="Times New Roman"/>
                <w:sz w:val="21"/>
              </w:rPr>
              <w:t>20</w:t>
            </w:r>
          </w:p>
        </w:tc>
        <w:tc>
          <w:tcPr>
            <w:tcW w:w="1282" w:type="dxa"/>
          </w:tcPr>
          <w:p>
            <w:pPr>
              <w:pStyle w:val="TableParagraph"/>
              <w:spacing w:line="235" w:lineRule="exact"/>
              <w:ind w:right="98"/>
              <w:jc w:val="right"/>
              <w:rPr>
                <w:rFonts w:ascii="Times New Roman"/>
                <w:sz w:val="21"/>
              </w:rPr>
            </w:pPr>
            <w:r>
              <w:rPr>
                <w:rFonts w:ascii="Times New Roman"/>
                <w:sz w:val="21"/>
              </w:rPr>
              <w:t>-3</w:t>
            </w:r>
          </w:p>
        </w:tc>
        <w:tc>
          <w:tcPr>
            <w:tcW w:w="1032" w:type="dxa"/>
          </w:tcPr>
          <w:p>
            <w:pPr>
              <w:pStyle w:val="TableParagraph"/>
              <w:rPr>
                <w:rFonts w:ascii="Times New Roman"/>
                <w:sz w:val="20"/>
              </w:rPr>
            </w:pPr>
          </w:p>
        </w:tc>
      </w:tr>
      <w:tr>
        <w:trPr>
          <w:trHeight w:val="273" w:hRule="atLeast"/>
        </w:trPr>
        <w:tc>
          <w:tcPr>
            <w:tcW w:w="1488" w:type="dxa"/>
          </w:tcPr>
          <w:p>
            <w:pPr>
              <w:pStyle w:val="TableParagraph"/>
              <w:spacing w:line="250" w:lineRule="exact" w:before="3"/>
              <w:ind w:left="107"/>
              <w:rPr>
                <w:sz w:val="21"/>
              </w:rPr>
            </w:pPr>
            <w:r>
              <w:rPr>
                <w:sz w:val="21"/>
              </w:rPr>
              <w:t>应付账款</w:t>
            </w:r>
          </w:p>
        </w:tc>
        <w:tc>
          <w:tcPr>
            <w:tcW w:w="1160" w:type="dxa"/>
          </w:tcPr>
          <w:p>
            <w:pPr>
              <w:pStyle w:val="TableParagraph"/>
              <w:spacing w:line="237" w:lineRule="exact"/>
              <w:ind w:left="105"/>
              <w:rPr>
                <w:rFonts w:ascii="Times New Roman"/>
                <w:sz w:val="21"/>
              </w:rPr>
            </w:pPr>
            <w:r>
              <w:rPr>
                <w:rFonts w:ascii="Times New Roman"/>
                <w:sz w:val="21"/>
              </w:rPr>
              <w:t>69,278,939</w:t>
            </w:r>
          </w:p>
        </w:tc>
        <w:tc>
          <w:tcPr>
            <w:tcW w:w="1366" w:type="dxa"/>
          </w:tcPr>
          <w:p>
            <w:pPr>
              <w:pStyle w:val="TableParagraph"/>
              <w:spacing w:line="237" w:lineRule="exact"/>
              <w:ind w:right="96"/>
              <w:jc w:val="right"/>
              <w:rPr>
                <w:rFonts w:ascii="Times New Roman"/>
                <w:sz w:val="21"/>
              </w:rPr>
            </w:pPr>
            <w:r>
              <w:rPr>
                <w:rFonts w:ascii="Times New Roman"/>
                <w:sz w:val="21"/>
              </w:rPr>
              <w:t>24</w:t>
            </w:r>
          </w:p>
        </w:tc>
        <w:tc>
          <w:tcPr>
            <w:tcW w:w="1174" w:type="dxa"/>
          </w:tcPr>
          <w:p>
            <w:pPr>
              <w:pStyle w:val="TableParagraph"/>
              <w:spacing w:line="237" w:lineRule="exact"/>
              <w:ind w:left="97" w:right="80"/>
              <w:jc w:val="center"/>
              <w:rPr>
                <w:rFonts w:ascii="Times New Roman"/>
                <w:sz w:val="21"/>
              </w:rPr>
            </w:pPr>
            <w:r>
              <w:rPr>
                <w:rFonts w:ascii="Times New Roman"/>
                <w:sz w:val="21"/>
              </w:rPr>
              <w:t>71,736,730</w:t>
            </w:r>
          </w:p>
        </w:tc>
        <w:tc>
          <w:tcPr>
            <w:tcW w:w="1322" w:type="dxa"/>
          </w:tcPr>
          <w:p>
            <w:pPr>
              <w:pStyle w:val="TableParagraph"/>
              <w:spacing w:line="237" w:lineRule="exact"/>
              <w:ind w:right="98"/>
              <w:jc w:val="right"/>
              <w:rPr>
                <w:rFonts w:ascii="Times New Roman"/>
                <w:sz w:val="21"/>
              </w:rPr>
            </w:pPr>
            <w:r>
              <w:rPr>
                <w:rFonts w:ascii="Times New Roman"/>
                <w:sz w:val="21"/>
              </w:rPr>
              <w:t>27</w:t>
            </w:r>
          </w:p>
        </w:tc>
        <w:tc>
          <w:tcPr>
            <w:tcW w:w="1282" w:type="dxa"/>
          </w:tcPr>
          <w:p>
            <w:pPr>
              <w:pStyle w:val="TableParagraph"/>
              <w:spacing w:line="237" w:lineRule="exact"/>
              <w:ind w:right="98"/>
              <w:jc w:val="right"/>
              <w:rPr>
                <w:rFonts w:ascii="Times New Roman"/>
                <w:sz w:val="21"/>
              </w:rPr>
            </w:pPr>
            <w:r>
              <w:rPr>
                <w:rFonts w:ascii="Times New Roman"/>
                <w:sz w:val="21"/>
              </w:rPr>
              <w:t>-3</w:t>
            </w:r>
          </w:p>
        </w:tc>
        <w:tc>
          <w:tcPr>
            <w:tcW w:w="1032" w:type="dxa"/>
          </w:tcPr>
          <w:p>
            <w:pPr>
              <w:pStyle w:val="TableParagraph"/>
              <w:rPr>
                <w:rFonts w:ascii="Times New Roman"/>
                <w:sz w:val="20"/>
              </w:rPr>
            </w:pPr>
          </w:p>
        </w:tc>
      </w:tr>
      <w:tr>
        <w:trPr>
          <w:trHeight w:val="1362" w:hRule="atLeast"/>
        </w:trPr>
        <w:tc>
          <w:tcPr>
            <w:tcW w:w="1488" w:type="dxa"/>
          </w:tcPr>
          <w:p>
            <w:pPr>
              <w:pStyle w:val="TableParagraph"/>
              <w:rPr>
                <w:sz w:val="20"/>
              </w:rPr>
            </w:pPr>
          </w:p>
          <w:p>
            <w:pPr>
              <w:pStyle w:val="TableParagraph"/>
              <w:spacing w:before="7"/>
              <w:rPr>
                <w:sz w:val="22"/>
              </w:rPr>
            </w:pPr>
          </w:p>
          <w:p>
            <w:pPr>
              <w:pStyle w:val="TableParagraph"/>
              <w:ind w:left="107"/>
              <w:rPr>
                <w:sz w:val="21"/>
              </w:rPr>
            </w:pPr>
            <w:r>
              <w:rPr>
                <w:sz w:val="21"/>
              </w:rPr>
              <w:t>其他应付款</w:t>
            </w:r>
          </w:p>
        </w:tc>
        <w:tc>
          <w:tcPr>
            <w:tcW w:w="1160" w:type="dxa"/>
          </w:tcPr>
          <w:p>
            <w:pPr>
              <w:pStyle w:val="TableParagraph"/>
              <w:rPr>
                <w:sz w:val="22"/>
              </w:rPr>
            </w:pPr>
          </w:p>
          <w:p>
            <w:pPr>
              <w:pStyle w:val="TableParagraph"/>
              <w:spacing w:before="4"/>
              <w:rPr>
                <w:sz w:val="21"/>
              </w:rPr>
            </w:pPr>
          </w:p>
          <w:p>
            <w:pPr>
              <w:pStyle w:val="TableParagraph"/>
              <w:ind w:left="105"/>
              <w:rPr>
                <w:rFonts w:ascii="Times New Roman"/>
                <w:sz w:val="21"/>
              </w:rPr>
            </w:pPr>
            <w:r>
              <w:rPr>
                <w:rFonts w:ascii="Times New Roman"/>
                <w:sz w:val="21"/>
              </w:rPr>
              <w:t>16,901,025</w:t>
            </w:r>
          </w:p>
        </w:tc>
        <w:tc>
          <w:tcPr>
            <w:tcW w:w="1366" w:type="dxa"/>
          </w:tcPr>
          <w:p>
            <w:pPr>
              <w:pStyle w:val="TableParagraph"/>
              <w:rPr>
                <w:sz w:val="22"/>
              </w:rPr>
            </w:pPr>
          </w:p>
          <w:p>
            <w:pPr>
              <w:pStyle w:val="TableParagraph"/>
              <w:spacing w:before="4"/>
              <w:rPr>
                <w:sz w:val="21"/>
              </w:rPr>
            </w:pPr>
          </w:p>
          <w:p>
            <w:pPr>
              <w:pStyle w:val="TableParagraph"/>
              <w:ind w:right="96"/>
              <w:jc w:val="right"/>
              <w:rPr>
                <w:rFonts w:ascii="Times New Roman"/>
                <w:sz w:val="21"/>
              </w:rPr>
            </w:pPr>
            <w:r>
              <w:rPr>
                <w:rFonts w:ascii="Times New Roman"/>
                <w:w w:val="100"/>
                <w:sz w:val="21"/>
              </w:rPr>
              <w:t>6</w:t>
            </w:r>
          </w:p>
        </w:tc>
        <w:tc>
          <w:tcPr>
            <w:tcW w:w="1174" w:type="dxa"/>
          </w:tcPr>
          <w:p>
            <w:pPr>
              <w:pStyle w:val="TableParagraph"/>
              <w:rPr>
                <w:sz w:val="22"/>
              </w:rPr>
            </w:pPr>
          </w:p>
          <w:p>
            <w:pPr>
              <w:pStyle w:val="TableParagraph"/>
              <w:spacing w:before="4"/>
              <w:rPr>
                <w:sz w:val="21"/>
              </w:rPr>
            </w:pPr>
          </w:p>
          <w:p>
            <w:pPr>
              <w:pStyle w:val="TableParagraph"/>
              <w:ind w:left="203" w:right="80"/>
              <w:jc w:val="center"/>
              <w:rPr>
                <w:rFonts w:ascii="Times New Roman"/>
                <w:sz w:val="21"/>
              </w:rPr>
            </w:pPr>
            <w:r>
              <w:rPr>
                <w:rFonts w:ascii="Times New Roman"/>
                <w:sz w:val="21"/>
              </w:rPr>
              <w:t>8,808,538</w:t>
            </w:r>
          </w:p>
        </w:tc>
        <w:tc>
          <w:tcPr>
            <w:tcW w:w="1322" w:type="dxa"/>
          </w:tcPr>
          <w:p>
            <w:pPr>
              <w:pStyle w:val="TableParagraph"/>
              <w:rPr>
                <w:sz w:val="22"/>
              </w:rPr>
            </w:pPr>
          </w:p>
          <w:p>
            <w:pPr>
              <w:pStyle w:val="TableParagraph"/>
              <w:spacing w:before="4"/>
              <w:rPr>
                <w:sz w:val="21"/>
              </w:rPr>
            </w:pPr>
          </w:p>
          <w:p>
            <w:pPr>
              <w:pStyle w:val="TableParagraph"/>
              <w:ind w:right="98"/>
              <w:jc w:val="right"/>
              <w:rPr>
                <w:rFonts w:ascii="Times New Roman"/>
                <w:sz w:val="21"/>
              </w:rPr>
            </w:pPr>
            <w:r>
              <w:rPr>
                <w:rFonts w:ascii="Times New Roman"/>
                <w:w w:val="100"/>
                <w:sz w:val="21"/>
              </w:rPr>
              <w:t>3</w:t>
            </w:r>
          </w:p>
        </w:tc>
        <w:tc>
          <w:tcPr>
            <w:tcW w:w="1282" w:type="dxa"/>
          </w:tcPr>
          <w:p>
            <w:pPr>
              <w:pStyle w:val="TableParagraph"/>
              <w:rPr>
                <w:sz w:val="22"/>
              </w:rPr>
            </w:pPr>
          </w:p>
          <w:p>
            <w:pPr>
              <w:pStyle w:val="TableParagraph"/>
              <w:spacing w:before="4"/>
              <w:rPr>
                <w:sz w:val="21"/>
              </w:rPr>
            </w:pPr>
          </w:p>
          <w:p>
            <w:pPr>
              <w:pStyle w:val="TableParagraph"/>
              <w:ind w:right="96"/>
              <w:jc w:val="right"/>
              <w:rPr>
                <w:rFonts w:ascii="Times New Roman"/>
                <w:sz w:val="21"/>
              </w:rPr>
            </w:pPr>
            <w:r>
              <w:rPr>
                <w:rFonts w:ascii="Times New Roman"/>
                <w:sz w:val="21"/>
              </w:rPr>
              <w:t>92</w:t>
            </w:r>
          </w:p>
        </w:tc>
        <w:tc>
          <w:tcPr>
            <w:tcW w:w="1032" w:type="dxa"/>
          </w:tcPr>
          <w:p>
            <w:pPr>
              <w:pStyle w:val="TableParagraph"/>
              <w:spacing w:line="242" w:lineRule="auto" w:before="1"/>
              <w:ind w:left="198" w:right="187"/>
              <w:jc w:val="both"/>
              <w:rPr>
                <w:sz w:val="21"/>
              </w:rPr>
            </w:pPr>
            <w:r>
              <w:rPr>
                <w:sz w:val="21"/>
              </w:rPr>
              <w:t>主要系客户的</w:t>
            </w:r>
            <w:r>
              <w:rPr>
                <w:spacing w:val="-5"/>
                <w:sz w:val="21"/>
              </w:rPr>
              <w:t>存货保</w:t>
            </w:r>
          </w:p>
          <w:p>
            <w:pPr>
              <w:pStyle w:val="TableParagraph"/>
              <w:spacing w:line="270" w:lineRule="atLeast"/>
              <w:ind w:left="198" w:right="187"/>
              <w:rPr>
                <w:sz w:val="21"/>
              </w:rPr>
            </w:pPr>
            <w:r>
              <w:rPr>
                <w:sz w:val="21"/>
              </w:rPr>
              <w:t>证金增</w:t>
            </w:r>
            <w:r>
              <w:rPr>
                <w:spacing w:val="-5"/>
                <w:sz w:val="21"/>
              </w:rPr>
              <w:t>加所致</w:t>
            </w:r>
          </w:p>
        </w:tc>
      </w:tr>
    </w:tbl>
    <w:p>
      <w:pPr>
        <w:pStyle w:val="BodyText"/>
        <w:spacing w:before="1"/>
        <w:ind w:left="638"/>
      </w:pPr>
      <w:r>
        <w:rPr>
          <w:w w:val="100"/>
        </w:rPr>
        <w:t> </w:t>
      </w:r>
    </w:p>
    <w:p>
      <w:pPr>
        <w:pStyle w:val="BodyText"/>
        <w:spacing w:line="244" w:lineRule="auto" w:before="2"/>
        <w:ind w:left="638" w:right="8220"/>
      </w:pPr>
      <w:r>
        <w:rPr/>
        <w:t>其他说明无。 </w:t>
      </w:r>
    </w:p>
    <w:p>
      <w:pPr>
        <w:pStyle w:val="ListParagraph"/>
        <w:numPr>
          <w:ilvl w:val="0"/>
          <w:numId w:val="6"/>
        </w:numPr>
        <w:tabs>
          <w:tab w:pos="1063" w:val="left" w:leader="none"/>
        </w:tabs>
        <w:spacing w:line="240" w:lineRule="auto" w:before="56" w:after="0"/>
        <w:ind w:left="1062" w:right="0" w:hanging="425"/>
        <w:jc w:val="left"/>
        <w:rPr>
          <w:sz w:val="21"/>
        </w:rPr>
      </w:pPr>
      <w:r>
        <w:rPr>
          <w:sz w:val="21"/>
        </w:rPr>
        <w:t>境外资产情况 </w:t>
      </w:r>
    </w:p>
    <w:p>
      <w:pPr>
        <w:pStyle w:val="BodyText"/>
        <w:spacing w:before="64"/>
        <w:ind w:left="638"/>
      </w:pPr>
      <w:r>
        <w:rPr>
          <w:spacing w:val="-1"/>
        </w:rPr>
        <w:t>√适用 □不适用</w:t>
      </w:r>
      <w:r>
        <w:rPr>
          <w:spacing w:val="-3"/>
        </w:rPr>
        <w:t> </w:t>
      </w:r>
      <w:r>
        <w:rPr/>
        <w:t> </w:t>
      </w:r>
    </w:p>
    <w:p>
      <w:pPr>
        <w:pStyle w:val="ListParagraph"/>
        <w:numPr>
          <w:ilvl w:val="0"/>
          <w:numId w:val="7"/>
        </w:numPr>
        <w:tabs>
          <w:tab w:pos="1090" w:val="left" w:leader="none"/>
        </w:tabs>
        <w:spacing w:line="240" w:lineRule="auto" w:before="63" w:after="0"/>
        <w:ind w:left="1089" w:right="0" w:hanging="452"/>
        <w:jc w:val="left"/>
        <w:rPr>
          <w:sz w:val="21"/>
        </w:rPr>
      </w:pPr>
      <w:r>
        <w:rPr>
          <w:sz w:val="21"/>
        </w:rPr>
        <w:t>资产规模 </w:t>
      </w:r>
    </w:p>
    <w:p>
      <w:pPr>
        <w:pStyle w:val="BodyText"/>
        <w:spacing w:before="65"/>
        <w:ind w:left="638"/>
      </w:pPr>
      <w:r>
        <w:rPr>
          <w:spacing w:val="-8"/>
        </w:rPr>
        <w:t>其中：境外资产 </w:t>
      </w:r>
      <w:r>
        <w:rPr>
          <w:spacing w:val="-1"/>
        </w:rPr>
        <w:t>160,582,205（</w:t>
      </w:r>
      <w:r>
        <w:rPr>
          <w:spacing w:val="7"/>
        </w:rPr>
        <w:t>单位：千元 币种：人民币</w:t>
      </w:r>
      <w:r>
        <w:rPr/>
        <w:t>）</w:t>
      </w:r>
      <w:r>
        <w:rPr>
          <w:spacing w:val="-6"/>
        </w:rPr>
        <w:t>，占总资产的比例为 </w:t>
      </w:r>
      <w:r>
        <w:rPr/>
        <w:t>56.51%。 </w:t>
      </w:r>
    </w:p>
    <w:p>
      <w:pPr>
        <w:pStyle w:val="BodyText"/>
        <w:spacing w:before="2"/>
        <w:ind w:left="638"/>
      </w:pPr>
      <w:r>
        <w:rPr>
          <w:w w:val="100"/>
        </w:rPr>
        <w:t> </w:t>
      </w:r>
    </w:p>
    <w:p>
      <w:pPr>
        <w:pStyle w:val="ListParagraph"/>
        <w:numPr>
          <w:ilvl w:val="0"/>
          <w:numId w:val="7"/>
        </w:numPr>
        <w:tabs>
          <w:tab w:pos="1090" w:val="left" w:leader="none"/>
        </w:tabs>
        <w:spacing w:line="240" w:lineRule="auto" w:before="64" w:after="0"/>
        <w:ind w:left="1089" w:right="0" w:hanging="452"/>
        <w:jc w:val="left"/>
        <w:rPr>
          <w:sz w:val="21"/>
        </w:rPr>
      </w:pPr>
      <w:r>
        <w:rPr>
          <w:sz w:val="21"/>
        </w:rPr>
        <w:t>境外资产占比较高的相关说明</w:t>
      </w:r>
    </w:p>
    <w:p>
      <w:pPr>
        <w:pStyle w:val="BodyText"/>
        <w:spacing w:before="62"/>
        <w:ind w:left="638"/>
      </w:pPr>
      <w:r>
        <w:rPr>
          <w:spacing w:val="-1"/>
        </w:rPr>
        <w:t>√适用 □不适用</w:t>
      </w:r>
      <w:r>
        <w:rPr>
          <w:spacing w:val="-3"/>
        </w:rPr>
        <w:t> </w:t>
      </w:r>
      <w:r>
        <w:rPr/>
        <w:t> </w:t>
      </w:r>
    </w:p>
    <w:p>
      <w:pPr>
        <w:pStyle w:val="BodyText"/>
        <w:spacing w:before="5"/>
        <w:ind w:left="0" w:right="227"/>
        <w:jc w:val="right"/>
      </w:pPr>
      <w:r>
        <w:rPr>
          <w:spacing w:val="7"/>
        </w:rPr>
        <w:t>单位:千元 币种:人民币</w:t>
      </w:r>
      <w:r>
        <w:rPr/>
        <w:t> </w:t>
      </w:r>
    </w:p>
    <w:tbl>
      <w:tblPr>
        <w:tblW w:w="0" w:type="auto"/>
        <w:jc w:val="left"/>
        <w:tblInd w:w="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74"/>
        <w:gridCol w:w="2004"/>
        <w:gridCol w:w="2107"/>
        <w:gridCol w:w="1699"/>
        <w:gridCol w:w="1559"/>
      </w:tblGrid>
      <w:tr>
        <w:trPr>
          <w:trHeight w:val="544" w:hRule="atLeast"/>
        </w:trPr>
        <w:tc>
          <w:tcPr>
            <w:tcW w:w="1574" w:type="dxa"/>
          </w:tcPr>
          <w:p>
            <w:pPr>
              <w:pStyle w:val="TableParagraph"/>
              <w:spacing w:before="137"/>
              <w:ind w:left="155"/>
              <w:rPr>
                <w:sz w:val="21"/>
              </w:rPr>
            </w:pPr>
            <w:r>
              <w:rPr>
                <w:spacing w:val="-1"/>
                <w:sz w:val="21"/>
              </w:rPr>
              <w:t>境外资产名称</w:t>
            </w:r>
            <w:r>
              <w:rPr>
                <w:sz w:val="21"/>
              </w:rPr>
              <w:t> </w:t>
            </w:r>
          </w:p>
        </w:tc>
        <w:tc>
          <w:tcPr>
            <w:tcW w:w="2004" w:type="dxa"/>
          </w:tcPr>
          <w:p>
            <w:pPr>
              <w:pStyle w:val="TableParagraph"/>
              <w:spacing w:before="137"/>
              <w:ind w:left="581"/>
              <w:rPr>
                <w:sz w:val="21"/>
              </w:rPr>
            </w:pPr>
            <w:r>
              <w:rPr>
                <w:spacing w:val="-1"/>
                <w:sz w:val="21"/>
              </w:rPr>
              <w:t>形成原因</w:t>
            </w:r>
            <w:r>
              <w:rPr>
                <w:sz w:val="21"/>
              </w:rPr>
              <w:t> </w:t>
            </w:r>
          </w:p>
        </w:tc>
        <w:tc>
          <w:tcPr>
            <w:tcW w:w="2107" w:type="dxa"/>
          </w:tcPr>
          <w:p>
            <w:pPr>
              <w:pStyle w:val="TableParagraph"/>
              <w:spacing w:before="137"/>
              <w:ind w:left="631"/>
              <w:rPr>
                <w:sz w:val="21"/>
              </w:rPr>
            </w:pPr>
            <w:r>
              <w:rPr>
                <w:spacing w:val="-1"/>
                <w:sz w:val="21"/>
              </w:rPr>
              <w:t>运营模式</w:t>
            </w:r>
            <w:r>
              <w:rPr>
                <w:sz w:val="21"/>
              </w:rPr>
              <w:t> </w:t>
            </w:r>
          </w:p>
        </w:tc>
        <w:tc>
          <w:tcPr>
            <w:tcW w:w="1699" w:type="dxa"/>
          </w:tcPr>
          <w:p>
            <w:pPr>
              <w:pStyle w:val="TableParagraph"/>
              <w:spacing w:before="1"/>
              <w:ind w:left="428"/>
              <w:rPr>
                <w:sz w:val="21"/>
              </w:rPr>
            </w:pPr>
            <w:r>
              <w:rPr>
                <w:spacing w:val="-1"/>
                <w:sz w:val="21"/>
              </w:rPr>
              <w:t>本报告期</w:t>
            </w:r>
            <w:r>
              <w:rPr>
                <w:sz w:val="21"/>
              </w:rPr>
              <w:t> </w:t>
            </w:r>
          </w:p>
          <w:p>
            <w:pPr>
              <w:pStyle w:val="TableParagraph"/>
              <w:spacing w:line="250" w:lineRule="exact" w:before="4"/>
              <w:ind w:left="428"/>
              <w:rPr>
                <w:sz w:val="21"/>
              </w:rPr>
            </w:pPr>
            <w:r>
              <w:rPr>
                <w:spacing w:val="-1"/>
                <w:sz w:val="21"/>
              </w:rPr>
              <w:t>营业收入</w:t>
            </w:r>
            <w:r>
              <w:rPr>
                <w:sz w:val="21"/>
              </w:rPr>
              <w:t> </w:t>
            </w:r>
          </w:p>
        </w:tc>
        <w:tc>
          <w:tcPr>
            <w:tcW w:w="1559" w:type="dxa"/>
          </w:tcPr>
          <w:p>
            <w:pPr>
              <w:pStyle w:val="TableParagraph"/>
              <w:spacing w:before="1"/>
              <w:ind w:left="362"/>
              <w:rPr>
                <w:sz w:val="21"/>
              </w:rPr>
            </w:pPr>
            <w:r>
              <w:rPr>
                <w:spacing w:val="-1"/>
                <w:sz w:val="21"/>
              </w:rPr>
              <w:t>本报告期</w:t>
            </w:r>
            <w:r>
              <w:rPr>
                <w:sz w:val="21"/>
              </w:rPr>
              <w:t> </w:t>
            </w:r>
          </w:p>
          <w:p>
            <w:pPr>
              <w:pStyle w:val="TableParagraph"/>
              <w:spacing w:line="250" w:lineRule="exact" w:before="4"/>
              <w:ind w:left="465"/>
              <w:rPr>
                <w:sz w:val="21"/>
              </w:rPr>
            </w:pPr>
            <w:r>
              <w:rPr>
                <w:sz w:val="21"/>
              </w:rPr>
              <w:t>净利润 </w:t>
            </w:r>
          </w:p>
        </w:tc>
      </w:tr>
      <w:tr>
        <w:trPr>
          <w:trHeight w:val="544" w:hRule="atLeast"/>
        </w:trPr>
        <w:tc>
          <w:tcPr>
            <w:tcW w:w="1574" w:type="dxa"/>
          </w:tcPr>
          <w:p>
            <w:pPr>
              <w:pStyle w:val="TableParagraph"/>
              <w:spacing w:before="147"/>
              <w:ind w:left="107"/>
              <w:rPr>
                <w:rFonts w:ascii="Times New Roman"/>
                <w:sz w:val="21"/>
              </w:rPr>
            </w:pPr>
            <w:r>
              <w:rPr>
                <w:rFonts w:ascii="Times New Roman"/>
                <w:sz w:val="21"/>
              </w:rPr>
              <w:t>CNT-SG</w:t>
            </w:r>
          </w:p>
        </w:tc>
        <w:tc>
          <w:tcPr>
            <w:tcW w:w="2004" w:type="dxa"/>
          </w:tcPr>
          <w:p>
            <w:pPr>
              <w:pStyle w:val="TableParagraph"/>
              <w:spacing w:before="1"/>
              <w:ind w:left="108"/>
              <w:rPr>
                <w:sz w:val="21"/>
              </w:rPr>
            </w:pPr>
            <w:r>
              <w:rPr>
                <w:sz w:val="21"/>
              </w:rPr>
              <w:t>同一控制下企业合</w:t>
            </w:r>
          </w:p>
          <w:p>
            <w:pPr>
              <w:pStyle w:val="TableParagraph"/>
              <w:spacing w:line="250" w:lineRule="exact" w:before="4"/>
              <w:ind w:left="108"/>
              <w:rPr>
                <w:sz w:val="21"/>
              </w:rPr>
            </w:pPr>
            <w:r>
              <w:rPr>
                <w:w w:val="100"/>
                <w:sz w:val="21"/>
              </w:rPr>
              <w:t>并</w:t>
            </w:r>
          </w:p>
        </w:tc>
        <w:tc>
          <w:tcPr>
            <w:tcW w:w="2107" w:type="dxa"/>
          </w:tcPr>
          <w:p>
            <w:pPr>
              <w:pStyle w:val="TableParagraph"/>
              <w:spacing w:before="1"/>
              <w:ind w:left="106"/>
              <w:rPr>
                <w:sz w:val="21"/>
              </w:rPr>
            </w:pPr>
            <w:r>
              <w:rPr>
                <w:sz w:val="21"/>
              </w:rPr>
              <w:t>境外接单法人，全资</w:t>
            </w:r>
          </w:p>
          <w:p>
            <w:pPr>
              <w:pStyle w:val="TableParagraph"/>
              <w:spacing w:line="250" w:lineRule="exact" w:before="4"/>
              <w:ind w:left="106"/>
              <w:rPr>
                <w:sz w:val="21"/>
              </w:rPr>
            </w:pPr>
            <w:r>
              <w:rPr>
                <w:sz w:val="21"/>
              </w:rPr>
              <w:t>控股，独立核算</w:t>
            </w:r>
          </w:p>
        </w:tc>
        <w:tc>
          <w:tcPr>
            <w:tcW w:w="1699" w:type="dxa"/>
          </w:tcPr>
          <w:p>
            <w:pPr>
              <w:pStyle w:val="TableParagraph"/>
              <w:spacing w:before="147"/>
              <w:ind w:right="92"/>
              <w:jc w:val="right"/>
              <w:rPr>
                <w:rFonts w:ascii="Times New Roman"/>
                <w:sz w:val="21"/>
              </w:rPr>
            </w:pPr>
            <w:r>
              <w:rPr>
                <w:rFonts w:ascii="Times New Roman"/>
                <w:sz w:val="21"/>
              </w:rPr>
              <w:t>293,116,762</w:t>
            </w:r>
          </w:p>
        </w:tc>
        <w:tc>
          <w:tcPr>
            <w:tcW w:w="1559" w:type="dxa"/>
          </w:tcPr>
          <w:p>
            <w:pPr>
              <w:pStyle w:val="TableParagraph"/>
              <w:spacing w:before="147"/>
              <w:ind w:right="90"/>
              <w:jc w:val="right"/>
              <w:rPr>
                <w:rFonts w:ascii="Times New Roman"/>
                <w:sz w:val="21"/>
              </w:rPr>
            </w:pPr>
            <w:r>
              <w:rPr>
                <w:rFonts w:ascii="Times New Roman"/>
                <w:sz w:val="21"/>
              </w:rPr>
              <w:t>689,085</w:t>
            </w:r>
          </w:p>
        </w:tc>
      </w:tr>
      <w:tr>
        <w:trPr>
          <w:trHeight w:val="546" w:hRule="atLeast"/>
        </w:trPr>
        <w:tc>
          <w:tcPr>
            <w:tcW w:w="1574" w:type="dxa"/>
          </w:tcPr>
          <w:p>
            <w:pPr>
              <w:pStyle w:val="TableParagraph"/>
              <w:spacing w:before="147"/>
              <w:ind w:left="107"/>
              <w:rPr>
                <w:rFonts w:ascii="Times New Roman"/>
                <w:sz w:val="21"/>
              </w:rPr>
            </w:pPr>
            <w:r>
              <w:rPr>
                <w:rFonts w:ascii="Times New Roman"/>
                <w:sz w:val="21"/>
              </w:rPr>
              <w:t>FPILtd.</w:t>
            </w:r>
          </w:p>
        </w:tc>
        <w:tc>
          <w:tcPr>
            <w:tcW w:w="2004" w:type="dxa"/>
          </w:tcPr>
          <w:p>
            <w:pPr>
              <w:pStyle w:val="TableParagraph"/>
              <w:spacing w:before="1"/>
              <w:ind w:left="108"/>
              <w:rPr>
                <w:sz w:val="21"/>
              </w:rPr>
            </w:pPr>
            <w:r>
              <w:rPr>
                <w:sz w:val="21"/>
              </w:rPr>
              <w:t>同一控制下企业合</w:t>
            </w:r>
          </w:p>
          <w:p>
            <w:pPr>
              <w:pStyle w:val="TableParagraph"/>
              <w:spacing w:line="252" w:lineRule="exact" w:before="4"/>
              <w:ind w:left="108"/>
              <w:rPr>
                <w:sz w:val="21"/>
              </w:rPr>
            </w:pPr>
            <w:r>
              <w:rPr>
                <w:w w:val="100"/>
                <w:sz w:val="21"/>
              </w:rPr>
              <w:t>并</w:t>
            </w:r>
          </w:p>
        </w:tc>
        <w:tc>
          <w:tcPr>
            <w:tcW w:w="2107" w:type="dxa"/>
          </w:tcPr>
          <w:p>
            <w:pPr>
              <w:pStyle w:val="TableParagraph"/>
              <w:spacing w:before="1"/>
              <w:ind w:left="106"/>
              <w:rPr>
                <w:sz w:val="21"/>
              </w:rPr>
            </w:pPr>
            <w:r>
              <w:rPr>
                <w:sz w:val="21"/>
              </w:rPr>
              <w:t>境外接单法人，全资</w:t>
            </w:r>
          </w:p>
          <w:p>
            <w:pPr>
              <w:pStyle w:val="TableParagraph"/>
              <w:spacing w:line="252" w:lineRule="exact" w:before="4"/>
              <w:ind w:left="106"/>
              <w:rPr>
                <w:sz w:val="21"/>
              </w:rPr>
            </w:pPr>
            <w:r>
              <w:rPr>
                <w:sz w:val="21"/>
              </w:rPr>
              <w:t>控股，独立核算</w:t>
            </w:r>
          </w:p>
        </w:tc>
        <w:tc>
          <w:tcPr>
            <w:tcW w:w="1699" w:type="dxa"/>
          </w:tcPr>
          <w:p>
            <w:pPr>
              <w:pStyle w:val="TableParagraph"/>
              <w:spacing w:before="147"/>
              <w:ind w:right="92"/>
              <w:jc w:val="right"/>
              <w:rPr>
                <w:rFonts w:ascii="Times New Roman"/>
                <w:sz w:val="21"/>
              </w:rPr>
            </w:pPr>
            <w:r>
              <w:rPr>
                <w:rFonts w:ascii="Times New Roman"/>
                <w:sz w:val="21"/>
              </w:rPr>
              <w:t>128,532,996</w:t>
            </w:r>
          </w:p>
        </w:tc>
        <w:tc>
          <w:tcPr>
            <w:tcW w:w="1559" w:type="dxa"/>
          </w:tcPr>
          <w:p>
            <w:pPr>
              <w:pStyle w:val="TableParagraph"/>
              <w:spacing w:before="147"/>
              <w:ind w:right="90"/>
              <w:jc w:val="right"/>
              <w:rPr>
                <w:rFonts w:ascii="Times New Roman"/>
                <w:sz w:val="21"/>
              </w:rPr>
            </w:pPr>
            <w:r>
              <w:rPr>
                <w:rFonts w:ascii="Times New Roman"/>
                <w:sz w:val="21"/>
              </w:rPr>
              <w:t>121,291</w:t>
            </w:r>
          </w:p>
        </w:tc>
      </w:tr>
    </w:tbl>
    <w:p>
      <w:pPr>
        <w:pStyle w:val="BodyText"/>
        <w:spacing w:before="1"/>
        <w:ind w:left="638"/>
      </w:pPr>
      <w:r>
        <w:rPr>
          <w:w w:val="100"/>
        </w:rPr>
        <w:t> </w:t>
      </w:r>
    </w:p>
    <w:p>
      <w:pPr>
        <w:pStyle w:val="BodyText"/>
        <w:spacing w:before="3"/>
        <w:ind w:left="638"/>
      </w:pPr>
      <w:r>
        <w:rPr>
          <w:w w:val="100"/>
        </w:rPr>
        <w:t> </w:t>
      </w:r>
    </w:p>
    <w:p>
      <w:pPr>
        <w:pStyle w:val="ListParagraph"/>
        <w:numPr>
          <w:ilvl w:val="0"/>
          <w:numId w:val="6"/>
        </w:numPr>
        <w:tabs>
          <w:tab w:pos="1063" w:val="left" w:leader="none"/>
        </w:tabs>
        <w:spacing w:line="240" w:lineRule="auto" w:before="64" w:after="0"/>
        <w:ind w:left="1062" w:right="0" w:hanging="425"/>
        <w:jc w:val="left"/>
        <w:rPr>
          <w:sz w:val="21"/>
        </w:rPr>
      </w:pPr>
      <w:r>
        <w:rPr>
          <w:sz w:val="21"/>
        </w:rPr>
        <w:t>截至报告期末主要资产受限情况 </w:t>
      </w:r>
    </w:p>
    <w:p>
      <w:pPr>
        <w:pStyle w:val="BodyText"/>
        <w:spacing w:before="62"/>
        <w:ind w:left="638"/>
      </w:pPr>
      <w:r>
        <w:rPr>
          <w:spacing w:val="11"/>
        </w:rPr>
        <w:t>□适用 √不适用</w:t>
      </w:r>
      <w:r>
        <w:rPr>
          <w:spacing w:val="-3"/>
        </w:rPr>
        <w:t> </w:t>
      </w:r>
      <w:r>
        <w:rPr/>
        <w:t> </w:t>
      </w:r>
    </w:p>
    <w:p>
      <w:pPr>
        <w:pStyle w:val="BodyText"/>
        <w:spacing w:before="2"/>
        <w:ind w:left="638"/>
      </w:pPr>
      <w:r>
        <w:rPr>
          <w:w w:val="100"/>
        </w:rPr>
        <w:t> </w:t>
      </w:r>
    </w:p>
    <w:p>
      <w:pPr>
        <w:pStyle w:val="ListParagraph"/>
        <w:numPr>
          <w:ilvl w:val="0"/>
          <w:numId w:val="6"/>
        </w:numPr>
        <w:tabs>
          <w:tab w:pos="1063" w:val="left" w:leader="none"/>
        </w:tabs>
        <w:spacing w:line="240" w:lineRule="auto" w:before="65" w:after="0"/>
        <w:ind w:left="1062" w:right="0" w:hanging="425"/>
        <w:jc w:val="left"/>
        <w:rPr>
          <w:sz w:val="21"/>
        </w:rPr>
      </w:pPr>
      <w:r>
        <w:rPr>
          <w:sz w:val="21"/>
        </w:rPr>
        <w:t>其他说明 </w:t>
      </w:r>
    </w:p>
    <w:p>
      <w:pPr>
        <w:pStyle w:val="BodyText"/>
        <w:spacing w:before="62"/>
        <w:ind w:left="638"/>
      </w:pPr>
      <w:r>
        <w:rPr>
          <w:spacing w:val="11"/>
        </w:rPr>
        <w:t>□适用 √不适用</w:t>
      </w:r>
      <w:r>
        <w:rPr>
          <w:spacing w:val="-3"/>
        </w:rPr>
        <w:t> </w:t>
      </w:r>
      <w:r>
        <w:rPr/>
        <w:t> </w:t>
      </w:r>
    </w:p>
    <w:p>
      <w:pPr>
        <w:pStyle w:val="BodyText"/>
        <w:spacing w:before="5"/>
        <w:ind w:left="638"/>
      </w:pPr>
      <w:r>
        <w:rPr>
          <w:w w:val="100"/>
        </w:rPr>
        <w:t> </w:t>
      </w:r>
    </w:p>
    <w:p>
      <w:pPr>
        <w:pStyle w:val="BodyText"/>
        <w:spacing w:before="62"/>
        <w:ind w:left="638"/>
      </w:pPr>
      <w:r>
        <w:rPr>
          <w:spacing w:val="-7"/>
        </w:rPr>
        <w:t>(四) 行业经营性信息分析</w:t>
      </w:r>
    </w:p>
    <w:p>
      <w:pPr>
        <w:pStyle w:val="BodyText"/>
        <w:spacing w:before="64"/>
        <w:ind w:left="638"/>
      </w:pPr>
      <w:r>
        <w:rPr>
          <w:spacing w:val="11"/>
        </w:rPr>
        <w:t>□适用 √不适用</w:t>
      </w:r>
      <w:r>
        <w:rPr>
          <w:spacing w:val="-3"/>
        </w:rPr>
        <w:t> </w:t>
      </w:r>
      <w:r>
        <w:rPr/>
        <w:t> </w:t>
      </w:r>
    </w:p>
    <w:p>
      <w:pPr>
        <w:spacing w:after="0"/>
        <w:sectPr>
          <w:pgSz w:w="11910" w:h="16840"/>
          <w:pgMar w:header="880" w:footer="1195" w:top="1120" w:bottom="1380" w:left="1160" w:right="940"/>
        </w:sectPr>
      </w:pPr>
    </w:p>
    <w:p>
      <w:pPr>
        <w:pStyle w:val="BodyText"/>
        <w:ind w:left="0"/>
        <w:rPr>
          <w:sz w:val="20"/>
        </w:rPr>
      </w:pPr>
    </w:p>
    <w:p>
      <w:pPr>
        <w:pStyle w:val="BodyText"/>
        <w:spacing w:before="1"/>
        <w:ind w:left="0"/>
        <w:rPr>
          <w:sz w:val="16"/>
        </w:rPr>
      </w:pPr>
    </w:p>
    <w:p>
      <w:pPr>
        <w:pStyle w:val="BodyText"/>
        <w:ind w:left="638"/>
      </w:pPr>
      <w:r>
        <w:rPr>
          <w:spacing w:val="-7"/>
        </w:rPr>
        <w:t>(五) 投资状况分析</w:t>
      </w:r>
    </w:p>
    <w:p>
      <w:pPr>
        <w:pStyle w:val="BodyText"/>
        <w:spacing w:before="64"/>
        <w:ind w:left="638"/>
      </w:pPr>
      <w:r>
        <w:rPr/>
        <w:t>对外股权投资总体分析 </w:t>
      </w:r>
    </w:p>
    <w:p>
      <w:pPr>
        <w:pStyle w:val="BodyText"/>
        <w:spacing w:before="63"/>
        <w:ind w:left="638"/>
      </w:pPr>
      <w:r>
        <w:rPr>
          <w:spacing w:val="-1"/>
        </w:rPr>
        <w:t>√适用 □不适用</w:t>
      </w:r>
      <w:r>
        <w:rPr>
          <w:spacing w:val="-3"/>
        </w:rPr>
        <w:t> </w:t>
      </w:r>
      <w:r>
        <w:rPr/>
        <w:t> </w:t>
      </w:r>
    </w:p>
    <w:p>
      <w:pPr>
        <w:pStyle w:val="BodyText"/>
        <w:spacing w:line="364" w:lineRule="auto" w:before="4"/>
        <w:ind w:left="638" w:right="328" w:firstLine="419"/>
        <w:jc w:val="both"/>
      </w:pPr>
      <w:r>
        <w:rPr>
          <w:rFonts w:ascii="Times New Roman" w:hAnsi="Times New Roman" w:eastAsia="Times New Roman"/>
        </w:rPr>
        <w:t>2022</w:t>
      </w:r>
      <w:r>
        <w:rPr>
          <w:rFonts w:ascii="Times New Roman" w:hAnsi="Times New Roman" w:eastAsia="Times New Roman"/>
          <w:spacing w:val="5"/>
        </w:rPr>
        <w:t> </w:t>
      </w:r>
      <w:r>
        <w:rPr/>
        <w:t>年，工业富联秉持产业投资策略，围绕主营业务在在智能制造</w:t>
      </w:r>
      <w:r>
        <w:rPr>
          <w:rFonts w:ascii="Times New Roman" w:hAnsi="Times New Roman" w:eastAsia="Times New Roman"/>
        </w:rPr>
        <w:t>+</w:t>
      </w:r>
      <w:r>
        <w:rPr/>
        <w:t>工业互联网、大数据</w:t>
      </w:r>
      <w:r>
        <w:rPr>
          <w:rFonts w:ascii="Times New Roman" w:hAnsi="Times New Roman" w:eastAsia="Times New Roman"/>
        </w:rPr>
        <w:t>+</w:t>
      </w:r>
      <w:r>
        <w:rPr>
          <w:rFonts w:ascii="Times New Roman" w:hAnsi="Times New Roman" w:eastAsia="Times New Roman"/>
          <w:spacing w:val="-51"/>
        </w:rPr>
        <w:t> </w:t>
      </w:r>
      <w:r>
        <w:rPr/>
        <w:t>机器人等创新业务核心赛道“</w:t>
      </w:r>
      <w:r>
        <w:rPr>
          <w:rFonts w:ascii="Times New Roman" w:hAnsi="Times New Roman" w:eastAsia="Times New Roman"/>
        </w:rPr>
        <w:t>2+2</w:t>
      </w:r>
      <w:r>
        <w:rPr/>
        <w:t>”领域积极布局，与上下游、业务生态圈里的龙头深化合作，</w:t>
      </w:r>
      <w:r>
        <w:rPr>
          <w:spacing w:val="1"/>
        </w:rPr>
        <w:t> </w:t>
      </w:r>
      <w:r>
        <w:rPr/>
        <w:t>在人工智能、智能制造等领域重点发力。</w:t>
      </w:r>
    </w:p>
    <w:p>
      <w:pPr>
        <w:pStyle w:val="BodyText"/>
        <w:spacing w:line="266" w:lineRule="exact"/>
        <w:ind w:left="1058"/>
        <w:jc w:val="both"/>
        <w:rPr>
          <w:rFonts w:ascii="Times New Roman" w:eastAsia="Times New Roman"/>
        </w:rPr>
      </w:pPr>
      <w:r>
        <w:rPr>
          <w:spacing w:val="2"/>
        </w:rPr>
        <w:t>在智能制造领域，公司投资取得重大里程碑进展。其中，工业视觉龙头企业凌云光于 </w:t>
      </w:r>
      <w:r>
        <w:rPr>
          <w:rFonts w:ascii="Times New Roman" w:eastAsia="Times New Roman"/>
        </w:rPr>
        <w:t>2022</w:t>
      </w:r>
    </w:p>
    <w:p>
      <w:pPr>
        <w:pStyle w:val="BodyText"/>
        <w:spacing w:before="141"/>
        <w:ind w:left="638"/>
        <w:jc w:val="both"/>
      </w:pPr>
      <w:r>
        <w:rPr>
          <w:spacing w:val="-27"/>
        </w:rPr>
        <w:t>年 </w:t>
      </w:r>
      <w:r>
        <w:rPr>
          <w:rFonts w:ascii="Times New Roman" w:eastAsia="Times New Roman"/>
          <w:spacing w:val="-1"/>
        </w:rPr>
        <w:t>7</w:t>
      </w:r>
      <w:r>
        <w:rPr>
          <w:rFonts w:ascii="Times New Roman" w:eastAsia="Times New Roman"/>
          <w:spacing w:val="-12"/>
        </w:rPr>
        <w:t> </w:t>
      </w:r>
      <w:r>
        <w:rPr>
          <w:spacing w:val="-3"/>
        </w:rPr>
        <w:t>月实现科创板上市。精密机加工龙头企业新大陆精密已向上交所主板提交 </w:t>
      </w:r>
      <w:r>
        <w:rPr>
          <w:rFonts w:ascii="Times New Roman" w:eastAsia="Times New Roman"/>
        </w:rPr>
        <w:t>IPO</w:t>
      </w:r>
      <w:r>
        <w:rPr>
          <w:rFonts w:ascii="Times New Roman" w:eastAsia="Times New Roman"/>
          <w:spacing w:val="-11"/>
        </w:rPr>
        <w:t> </w:t>
      </w:r>
      <w:r>
        <w:rPr/>
        <w:t>申请。</w:t>
      </w:r>
    </w:p>
    <w:p>
      <w:pPr>
        <w:pStyle w:val="BodyText"/>
        <w:spacing w:line="364" w:lineRule="auto" w:before="139"/>
        <w:ind w:left="638" w:right="327" w:firstLine="419"/>
        <w:jc w:val="both"/>
      </w:pPr>
      <w:r>
        <w:rPr>
          <w:spacing w:val="-1"/>
        </w:rPr>
        <w:t>在机器人领域，公司对全球协作机器人独角兽思灵机器人持续下注，在 </w:t>
      </w:r>
      <w:r>
        <w:rPr>
          <w:rFonts w:ascii="Times New Roman" w:eastAsia="Times New Roman"/>
        </w:rPr>
        <w:t>C+</w:t>
      </w:r>
      <w:r>
        <w:rPr>
          <w:spacing w:val="-4"/>
        </w:rPr>
        <w:t>轮追加投资 </w:t>
      </w:r>
      <w:r>
        <w:rPr>
          <w:rFonts w:ascii="Times New Roman" w:eastAsia="Times New Roman"/>
        </w:rPr>
        <w:t>3000</w:t>
      </w:r>
      <w:r>
        <w:rPr>
          <w:rFonts w:ascii="Times New Roman" w:eastAsia="Times New Roman"/>
          <w:spacing w:val="-50"/>
        </w:rPr>
        <w:t> </w:t>
      </w:r>
      <w:r>
        <w:rPr/>
        <w:t>万美元。</w:t>
      </w:r>
      <w:r>
        <w:rPr>
          <w:rFonts w:ascii="Times New Roman" w:eastAsia="Times New Roman"/>
        </w:rPr>
        <w:t>2023</w:t>
      </w:r>
      <w:r>
        <w:rPr>
          <w:rFonts w:ascii="Times New Roman" w:eastAsia="Times New Roman"/>
          <w:spacing w:val="-31"/>
        </w:rPr>
        <w:t> </w:t>
      </w:r>
      <w:r>
        <w:rPr>
          <w:spacing w:val="25"/>
        </w:rPr>
        <w:t>年</w:t>
      </w:r>
      <w:r>
        <w:rPr>
          <w:rFonts w:ascii="Times New Roman" w:eastAsia="Times New Roman"/>
        </w:rPr>
        <w:t>1</w:t>
      </w:r>
      <w:r>
        <w:rPr>
          <w:rFonts w:ascii="Times New Roman" w:eastAsia="Times New Roman"/>
          <w:spacing w:val="-31"/>
        </w:rPr>
        <w:t> </w:t>
      </w:r>
      <w:r>
        <w:rPr>
          <w:spacing w:val="1"/>
        </w:rPr>
        <w:t>月，思灵机器人获得软银愿景基金领投</w:t>
      </w:r>
      <w:r>
        <w:rPr>
          <w:rFonts w:ascii="Times New Roman" w:eastAsia="Times New Roman"/>
        </w:rPr>
        <w:t>2.12</w:t>
      </w:r>
      <w:r>
        <w:rPr>
          <w:rFonts w:ascii="Times New Roman" w:eastAsia="Times New Roman"/>
          <w:spacing w:val="-31"/>
        </w:rPr>
        <w:t> </w:t>
      </w:r>
      <w:r>
        <w:rPr>
          <w:spacing w:val="2"/>
        </w:rPr>
        <w:t>亿美元融资，投后估值</w:t>
      </w:r>
      <w:r>
        <w:rPr>
          <w:rFonts w:ascii="Times New Roman" w:eastAsia="Times New Roman"/>
        </w:rPr>
        <w:t>20</w:t>
      </w:r>
      <w:r>
        <w:rPr>
          <w:rFonts w:ascii="Times New Roman" w:eastAsia="Times New Roman"/>
          <w:spacing w:val="-31"/>
        </w:rPr>
        <w:t> </w:t>
      </w:r>
      <w:r>
        <w:rPr/>
        <w:t>亿美元，</w:t>
      </w:r>
      <w:r>
        <w:rPr>
          <w:spacing w:val="-103"/>
        </w:rPr>
        <w:t> </w:t>
      </w:r>
      <w:r>
        <w:rPr>
          <w:spacing w:val="-27"/>
        </w:rPr>
        <w:t>较 </w:t>
      </w:r>
      <w:r>
        <w:rPr>
          <w:rFonts w:ascii="Times New Roman" w:eastAsia="Times New Roman"/>
        </w:rPr>
        <w:t>C+</w:t>
      </w:r>
      <w:r>
        <w:rPr>
          <w:spacing w:val="-14"/>
        </w:rPr>
        <w:t>轮升值 </w:t>
      </w:r>
      <w:r>
        <w:rPr>
          <w:rFonts w:ascii="Times New Roman" w:eastAsia="Times New Roman"/>
        </w:rPr>
        <w:t>33%</w:t>
      </w:r>
      <w:r>
        <w:rPr/>
        <w:t>。</w:t>
      </w:r>
    </w:p>
    <w:p>
      <w:pPr>
        <w:pStyle w:val="BodyText"/>
        <w:spacing w:line="364" w:lineRule="auto"/>
        <w:ind w:left="638" w:right="327" w:firstLine="419"/>
        <w:jc w:val="both"/>
      </w:pPr>
      <w:r>
        <w:rPr>
          <w:spacing w:val="-1"/>
        </w:rPr>
        <w:t>在工业互联网领域，公司投资大陆领先射频技术公司开元通信，投资金额 </w:t>
      </w:r>
      <w:r>
        <w:rPr>
          <w:rFonts w:ascii="Times New Roman" w:eastAsia="Times New Roman"/>
        </w:rPr>
        <w:t>1,600</w:t>
      </w:r>
      <w:r>
        <w:rPr>
          <w:rFonts w:ascii="Times New Roman" w:eastAsia="Times New Roman"/>
          <w:spacing w:val="21"/>
        </w:rPr>
        <w:t> </w:t>
      </w:r>
      <w:r>
        <w:rPr/>
        <w:t>万元，进一步强化公司在万物互联领域的布局。</w:t>
      </w:r>
    </w:p>
    <w:p>
      <w:pPr>
        <w:pStyle w:val="BodyText"/>
        <w:spacing w:line="364" w:lineRule="auto"/>
        <w:ind w:left="638" w:right="328" w:firstLine="419"/>
        <w:jc w:val="both"/>
      </w:pPr>
      <w:r>
        <w:rPr/>
        <w:t>新的一年里，工业富联将充分利用自身在“端、网、云</w:t>
      </w:r>
      <w:r>
        <w:rPr>
          <w:rFonts w:ascii="Times New Roman" w:hAnsi="Times New Roman" w:eastAsia="Times New Roman"/>
        </w:rPr>
        <w:t>+</w:t>
      </w:r>
      <w:r>
        <w:rPr/>
        <w:t>工业互联网</w:t>
      </w:r>
      <w:r>
        <w:rPr>
          <w:rFonts w:ascii="Times New Roman" w:hAnsi="Times New Roman" w:eastAsia="Times New Roman"/>
        </w:rPr>
        <w:t>”</w:t>
      </w:r>
      <w:r>
        <w:rPr/>
        <w:t>主营业务领域积累的优势、产业链上下游的影响力、先进的创新及技术能力，领域保持积极投入，牢抓数字经济黄金机遇期，实现战略布局与业务经营的双向提升。</w:t>
      </w:r>
    </w:p>
    <w:p>
      <w:pPr>
        <w:pStyle w:val="ListParagraph"/>
        <w:numPr>
          <w:ilvl w:val="0"/>
          <w:numId w:val="8"/>
        </w:numPr>
        <w:tabs>
          <w:tab w:pos="1057" w:val="left" w:leader="none"/>
          <w:tab w:pos="1058" w:val="left" w:leader="none"/>
        </w:tabs>
        <w:spacing w:line="240" w:lineRule="auto" w:before="58" w:after="0"/>
        <w:ind w:left="1058" w:right="0" w:hanging="420"/>
        <w:jc w:val="left"/>
        <w:rPr>
          <w:rFonts w:ascii="Calibri" w:eastAsia="Calibri"/>
          <w:sz w:val="21"/>
        </w:rPr>
      </w:pPr>
      <w:r>
        <w:rPr>
          <w:sz w:val="21"/>
        </w:rPr>
        <w:t>重大的股权投资</w:t>
      </w:r>
    </w:p>
    <w:p>
      <w:pPr>
        <w:pStyle w:val="BodyText"/>
        <w:spacing w:before="62"/>
        <w:ind w:left="638"/>
      </w:pPr>
      <w:r>
        <w:rPr>
          <w:spacing w:val="11"/>
        </w:rPr>
        <w:t>□适用 √不适用</w:t>
      </w:r>
      <w:r>
        <w:rPr>
          <w:spacing w:val="-3"/>
        </w:rPr>
        <w:t> </w:t>
      </w:r>
      <w:r>
        <w:rPr/>
        <w:t> </w:t>
      </w:r>
    </w:p>
    <w:p>
      <w:pPr>
        <w:pStyle w:val="ListParagraph"/>
        <w:numPr>
          <w:ilvl w:val="0"/>
          <w:numId w:val="8"/>
        </w:numPr>
        <w:tabs>
          <w:tab w:pos="1058" w:val="left" w:leader="none"/>
        </w:tabs>
        <w:spacing w:line="240" w:lineRule="auto" w:before="65" w:after="0"/>
        <w:ind w:left="1058" w:right="0" w:hanging="420"/>
        <w:jc w:val="left"/>
        <w:rPr>
          <w:sz w:val="21"/>
        </w:rPr>
      </w:pPr>
      <w:r>
        <w:rPr>
          <w:sz w:val="21"/>
        </w:rPr>
        <w:t>重大的非股权投资 </w:t>
      </w:r>
    </w:p>
    <w:p>
      <w:pPr>
        <w:pStyle w:val="BodyText"/>
        <w:spacing w:before="62"/>
        <w:ind w:left="638"/>
      </w:pPr>
      <w:r>
        <w:rPr>
          <w:spacing w:val="11"/>
        </w:rPr>
        <w:t>□适用 √不适用</w:t>
      </w:r>
      <w:r>
        <w:rPr>
          <w:spacing w:val="-3"/>
        </w:rPr>
        <w:t> </w:t>
      </w:r>
      <w:r>
        <w:rPr/>
        <w:t> </w:t>
      </w:r>
    </w:p>
    <w:p>
      <w:pPr>
        <w:pStyle w:val="BodyText"/>
        <w:spacing w:before="5"/>
        <w:ind w:left="638"/>
      </w:pPr>
      <w:r>
        <w:rPr>
          <w:w w:val="100"/>
        </w:rPr>
        <w:t> </w:t>
      </w:r>
    </w:p>
    <w:p>
      <w:pPr>
        <w:pStyle w:val="ListParagraph"/>
        <w:numPr>
          <w:ilvl w:val="0"/>
          <w:numId w:val="8"/>
        </w:numPr>
        <w:tabs>
          <w:tab w:pos="1058" w:val="left" w:leader="none"/>
        </w:tabs>
        <w:spacing w:line="240" w:lineRule="auto" w:before="62" w:after="0"/>
        <w:ind w:left="1058" w:right="0" w:hanging="420"/>
        <w:jc w:val="left"/>
        <w:rPr>
          <w:sz w:val="21"/>
        </w:rPr>
      </w:pPr>
      <w:r>
        <w:rPr>
          <w:sz w:val="21"/>
        </w:rPr>
        <w:t>以公允价值计量的金融资产 </w:t>
      </w:r>
    </w:p>
    <w:p>
      <w:pPr>
        <w:pStyle w:val="BodyText"/>
        <w:spacing w:before="62"/>
        <w:ind w:left="638"/>
      </w:pPr>
      <w:r>
        <w:rPr>
          <w:spacing w:val="11"/>
        </w:rPr>
        <w:t>√适用 □不适用</w:t>
      </w:r>
      <w:r>
        <w:rPr>
          <w:spacing w:val="-3"/>
        </w:rPr>
        <w:t> </w:t>
      </w:r>
      <w:r>
        <w:rPr/>
        <w:t> </w:t>
      </w:r>
    </w:p>
    <w:p>
      <w:pPr>
        <w:pStyle w:val="BodyText"/>
        <w:spacing w:line="242" w:lineRule="auto" w:before="5"/>
        <w:ind w:left="638" w:right="337"/>
      </w:pPr>
      <w:r>
        <w:rPr/>
        <w:t>公司当期以公允价值计量的金融资产及金融负债主要为远期结汇产品以及部分股权投资和债权投</w:t>
      </w:r>
      <w:r>
        <w:rPr>
          <w:spacing w:val="-1"/>
        </w:rPr>
        <w:t>资。根据会计准则要求，公司将上述金融产品按照公允价值进行计量。详见第二节 十、采用公</w:t>
      </w:r>
      <w:r>
        <w:rPr/>
        <w:t>允价值计量的项目。 </w:t>
      </w:r>
    </w:p>
    <w:p>
      <w:pPr>
        <w:pStyle w:val="BodyText"/>
        <w:ind w:left="638"/>
      </w:pPr>
      <w:r>
        <w:rPr>
          <w:w w:val="100"/>
        </w:rPr>
        <w:t> </w:t>
      </w:r>
    </w:p>
    <w:p>
      <w:pPr>
        <w:pStyle w:val="BodyText"/>
        <w:spacing w:before="5"/>
        <w:ind w:left="638"/>
      </w:pPr>
      <w:r>
        <w:rPr>
          <w:spacing w:val="-1"/>
        </w:rPr>
        <w:t>证券投资情况</w:t>
      </w:r>
      <w:r>
        <w:rPr/>
        <w:t> </w:t>
      </w:r>
    </w:p>
    <w:p>
      <w:pPr>
        <w:pStyle w:val="BodyText"/>
        <w:spacing w:before="2"/>
        <w:ind w:left="638"/>
      </w:pPr>
      <w:r>
        <w:rPr>
          <w:spacing w:val="-1"/>
        </w:rPr>
        <w:t>□适用 √不适用</w:t>
      </w:r>
      <w:r>
        <w:rPr>
          <w:spacing w:val="-3"/>
        </w:rPr>
        <w:t> </w:t>
      </w:r>
      <w:r>
        <w:rPr/>
        <w:t> </w:t>
      </w:r>
    </w:p>
    <w:p>
      <w:pPr>
        <w:pStyle w:val="BodyText"/>
        <w:spacing w:before="4"/>
        <w:ind w:left="638"/>
      </w:pPr>
      <w:r>
        <w:rPr>
          <w:w w:val="100"/>
        </w:rPr>
        <w:t> </w:t>
      </w:r>
    </w:p>
    <w:p>
      <w:pPr>
        <w:pStyle w:val="BodyText"/>
        <w:spacing w:before="3"/>
        <w:ind w:left="638"/>
      </w:pPr>
      <w:r>
        <w:rPr>
          <w:spacing w:val="-1"/>
        </w:rPr>
        <w:t>私募基金投资情况</w:t>
      </w:r>
      <w:r>
        <w:rPr/>
        <w:t> </w:t>
      </w:r>
    </w:p>
    <w:p>
      <w:pPr>
        <w:pStyle w:val="BodyText"/>
        <w:spacing w:before="5"/>
        <w:ind w:left="638"/>
      </w:pPr>
      <w:r>
        <w:rPr>
          <w:spacing w:val="-1"/>
        </w:rPr>
        <w:t>□适用 √不适用</w:t>
      </w:r>
      <w:r>
        <w:rPr>
          <w:spacing w:val="-3"/>
        </w:rPr>
        <w:t> </w:t>
      </w:r>
      <w:r>
        <w:rPr/>
        <w:t> </w:t>
      </w:r>
    </w:p>
    <w:p>
      <w:pPr>
        <w:pStyle w:val="BodyText"/>
        <w:spacing w:before="2"/>
        <w:ind w:left="638"/>
      </w:pPr>
      <w:r>
        <w:rPr>
          <w:w w:val="100"/>
        </w:rPr>
        <w:t> </w:t>
      </w:r>
    </w:p>
    <w:p>
      <w:pPr>
        <w:pStyle w:val="BodyText"/>
        <w:spacing w:before="4"/>
        <w:ind w:left="638"/>
      </w:pPr>
      <w:r>
        <w:rPr>
          <w:spacing w:val="-1"/>
        </w:rPr>
        <w:t>衍生品投资情况</w:t>
      </w:r>
      <w:r>
        <w:rPr/>
        <w:t> </w:t>
      </w:r>
    </w:p>
    <w:p>
      <w:pPr>
        <w:pStyle w:val="BodyText"/>
        <w:spacing w:before="3"/>
        <w:ind w:left="638"/>
      </w:pPr>
      <w:r>
        <w:rPr>
          <w:spacing w:val="-1"/>
        </w:rPr>
        <w:t>□适用 √不适用</w:t>
      </w:r>
      <w:r>
        <w:rPr>
          <w:spacing w:val="-3"/>
        </w:rPr>
        <w:t> </w:t>
      </w:r>
      <w:r>
        <w:rPr/>
        <w:t> </w:t>
      </w:r>
    </w:p>
    <w:p>
      <w:pPr>
        <w:spacing w:after="0"/>
        <w:sectPr>
          <w:pgSz w:w="11910" w:h="16840"/>
          <w:pgMar w:header="880" w:footer="1195" w:top="1120" w:bottom="1380" w:left="1160" w:right="940"/>
        </w:sectPr>
      </w:pPr>
    </w:p>
    <w:p>
      <w:pPr>
        <w:spacing w:before="48"/>
        <w:ind w:left="5147" w:right="5252" w:firstLine="0"/>
        <w:jc w:val="center"/>
        <w:rPr>
          <w:sz w:val="18"/>
        </w:rPr>
      </w:pPr>
      <w:r>
        <w:rPr/>
        <w:pict>
          <v:rect style="position:absolute;margin-left:70.559998pt;margin-top:15.119976pt;width:695.62pt;height:.72pt;mso-position-horizontal-relative:page;mso-position-vertical-relative:paragraph;z-index:-15727104;mso-wrap-distance-left:0;mso-wrap-distance-right:0" filled="true" fillcolor="#000000" stroked="false">
            <v:fill type="solid"/>
            <w10:wrap type="topAndBottom"/>
          </v:rect>
        </w:pict>
      </w:r>
      <w:r>
        <w:rPr>
          <w:rFonts w:ascii="Calibri" w:eastAsia="Calibri"/>
          <w:sz w:val="18"/>
        </w:rPr>
        <w:t>2022</w:t>
      </w:r>
      <w:r>
        <w:rPr>
          <w:rFonts w:ascii="Calibri" w:eastAsia="Calibri"/>
          <w:spacing w:val="5"/>
          <w:sz w:val="18"/>
        </w:rPr>
        <w:t> </w:t>
      </w:r>
      <w:r>
        <w:rPr>
          <w:sz w:val="18"/>
        </w:rPr>
        <w:t>年年度报告</w:t>
      </w:r>
    </w:p>
    <w:p>
      <w:pPr>
        <w:pStyle w:val="BodyText"/>
        <w:ind w:left="0"/>
        <w:rPr>
          <w:sz w:val="20"/>
        </w:rPr>
      </w:pPr>
    </w:p>
    <w:p>
      <w:pPr>
        <w:pStyle w:val="BodyText"/>
        <w:spacing w:before="11"/>
        <w:ind w:left="0"/>
        <w:rPr>
          <w:sz w:val="24"/>
        </w:rPr>
      </w:pPr>
    </w:p>
    <w:p>
      <w:pPr>
        <w:pStyle w:val="BodyText"/>
        <w:spacing w:before="72"/>
        <w:ind w:left="140"/>
      </w:pPr>
      <w:r>
        <w:rPr>
          <w:w w:val="100"/>
        </w:rPr>
        <w:t> </w:t>
      </w:r>
    </w:p>
    <w:p>
      <w:pPr>
        <w:pStyle w:val="ListParagraph"/>
        <w:numPr>
          <w:ilvl w:val="0"/>
          <w:numId w:val="8"/>
        </w:numPr>
        <w:tabs>
          <w:tab w:pos="501" w:val="left" w:leader="none"/>
        </w:tabs>
        <w:spacing w:line="240" w:lineRule="auto" w:before="62" w:after="0"/>
        <w:ind w:left="500" w:right="0" w:hanging="361"/>
        <w:jc w:val="left"/>
        <w:rPr>
          <w:sz w:val="21"/>
        </w:rPr>
      </w:pPr>
      <w:r>
        <w:rPr>
          <w:sz w:val="21"/>
        </w:rPr>
        <w:t>报告期内重大资产重组整合的具体进展情况 </w:t>
      </w:r>
    </w:p>
    <w:p>
      <w:pPr>
        <w:pStyle w:val="BodyText"/>
        <w:spacing w:before="65"/>
        <w:ind w:left="140"/>
      </w:pPr>
      <w:r>
        <w:rPr/>
        <w:t>□适用 √不适用</w:t>
      </w:r>
      <w:r>
        <w:rPr>
          <w:spacing w:val="-3"/>
        </w:rPr>
        <w:t> </w:t>
      </w:r>
      <w:r>
        <w:rPr/>
        <w:t> </w:t>
      </w:r>
    </w:p>
    <w:p>
      <w:pPr>
        <w:pStyle w:val="BodyText"/>
        <w:spacing w:before="2"/>
        <w:ind w:left="140"/>
      </w:pPr>
      <w:r>
        <w:rPr>
          <w:w w:val="100"/>
        </w:rPr>
        <w:t> </w:t>
      </w:r>
    </w:p>
    <w:p>
      <w:pPr>
        <w:pStyle w:val="BodyText"/>
        <w:spacing w:before="4"/>
        <w:ind w:left="140"/>
      </w:pPr>
      <w:r>
        <w:rPr>
          <w:w w:val="100"/>
        </w:rPr>
        <w:t> </w:t>
      </w:r>
    </w:p>
    <w:p>
      <w:pPr>
        <w:pStyle w:val="BodyText"/>
        <w:spacing w:before="62"/>
        <w:ind w:left="140"/>
      </w:pPr>
      <w:r>
        <w:rPr>
          <w:spacing w:val="-7"/>
        </w:rPr>
        <w:t>(六) 重大资产和股权出售</w:t>
      </w:r>
    </w:p>
    <w:p>
      <w:pPr>
        <w:pStyle w:val="BodyText"/>
        <w:spacing w:before="66"/>
        <w:ind w:left="140"/>
      </w:pPr>
      <w:r>
        <w:rPr>
          <w:spacing w:val="11"/>
        </w:rPr>
        <w:t>□适用 √不适用</w:t>
      </w:r>
      <w:r>
        <w:rPr>
          <w:spacing w:val="-3"/>
        </w:rPr>
        <w:t> </w:t>
      </w:r>
      <w:r>
        <w:rPr/>
        <w:t> </w:t>
      </w:r>
    </w:p>
    <w:p>
      <w:pPr>
        <w:pStyle w:val="BodyText"/>
        <w:spacing w:before="2"/>
        <w:ind w:left="140"/>
      </w:pPr>
      <w:r>
        <w:rPr>
          <w:w w:val="100"/>
        </w:rPr>
        <w:t> </w:t>
      </w:r>
    </w:p>
    <w:p>
      <w:pPr>
        <w:pStyle w:val="BodyText"/>
        <w:spacing w:before="64"/>
        <w:ind w:left="140"/>
      </w:pPr>
      <w:r>
        <w:rPr>
          <w:spacing w:val="-7"/>
        </w:rPr>
        <w:t>(七) 主要控股参股公司分析</w:t>
      </w:r>
    </w:p>
    <w:p>
      <w:pPr>
        <w:pStyle w:val="BodyText"/>
        <w:spacing w:before="62"/>
        <w:ind w:left="140"/>
      </w:pPr>
      <w:r>
        <w:rPr>
          <w:spacing w:val="11"/>
        </w:rPr>
        <w:t>√适用 □不适用</w:t>
      </w:r>
      <w:r>
        <w:rPr>
          <w:spacing w:val="-3"/>
        </w:rPr>
        <w:t> </w:t>
      </w:r>
      <w:r>
        <w:rPr/>
        <w:t> </w:t>
      </w:r>
    </w:p>
    <w:p>
      <w:pPr>
        <w:pStyle w:val="BodyText"/>
        <w:spacing w:before="5"/>
        <w:ind w:left="11702"/>
      </w:pPr>
      <w:r>
        <w:rPr>
          <w:spacing w:val="7"/>
        </w:rPr>
        <w:t>单位:千元 币种:人民币</w:t>
      </w:r>
      <w:r>
        <w:rPr/>
        <w:t> </w:t>
      </w: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4"/>
        <w:gridCol w:w="1783"/>
        <w:gridCol w:w="2230"/>
        <w:gridCol w:w="1781"/>
        <w:gridCol w:w="2006"/>
        <w:gridCol w:w="1479"/>
        <w:gridCol w:w="1416"/>
        <w:gridCol w:w="1394"/>
      </w:tblGrid>
      <w:tr>
        <w:trPr>
          <w:trHeight w:val="544" w:hRule="atLeast"/>
        </w:trPr>
        <w:tc>
          <w:tcPr>
            <w:tcW w:w="1774" w:type="dxa"/>
          </w:tcPr>
          <w:p>
            <w:pPr>
              <w:pStyle w:val="TableParagraph"/>
              <w:spacing w:before="138"/>
              <w:ind w:left="465"/>
              <w:rPr>
                <w:sz w:val="21"/>
              </w:rPr>
            </w:pPr>
            <w:r>
              <w:rPr>
                <w:sz w:val="21"/>
              </w:rPr>
              <w:t>公司名称</w:t>
            </w:r>
          </w:p>
        </w:tc>
        <w:tc>
          <w:tcPr>
            <w:tcW w:w="1783" w:type="dxa"/>
          </w:tcPr>
          <w:p>
            <w:pPr>
              <w:pStyle w:val="TableParagraph"/>
              <w:spacing w:before="138"/>
              <w:ind w:left="575"/>
              <w:rPr>
                <w:sz w:val="21"/>
              </w:rPr>
            </w:pPr>
            <w:r>
              <w:rPr>
                <w:sz w:val="21"/>
              </w:rPr>
              <w:t>总资产</w:t>
            </w:r>
          </w:p>
        </w:tc>
        <w:tc>
          <w:tcPr>
            <w:tcW w:w="2230" w:type="dxa"/>
          </w:tcPr>
          <w:p>
            <w:pPr>
              <w:pStyle w:val="TableParagraph"/>
              <w:spacing w:before="138"/>
              <w:ind w:left="781" w:right="768"/>
              <w:jc w:val="center"/>
              <w:rPr>
                <w:sz w:val="21"/>
              </w:rPr>
            </w:pPr>
            <w:r>
              <w:rPr>
                <w:sz w:val="21"/>
              </w:rPr>
              <w:t>净资产</w:t>
            </w:r>
          </w:p>
        </w:tc>
        <w:tc>
          <w:tcPr>
            <w:tcW w:w="1781" w:type="dxa"/>
          </w:tcPr>
          <w:p>
            <w:pPr>
              <w:pStyle w:val="TableParagraph"/>
              <w:spacing w:before="138"/>
              <w:ind w:left="573"/>
              <w:rPr>
                <w:sz w:val="21"/>
              </w:rPr>
            </w:pPr>
            <w:r>
              <w:rPr>
                <w:sz w:val="21"/>
              </w:rPr>
              <w:t>净利润</w:t>
            </w:r>
          </w:p>
        </w:tc>
        <w:tc>
          <w:tcPr>
            <w:tcW w:w="2006" w:type="dxa"/>
          </w:tcPr>
          <w:p>
            <w:pPr>
              <w:pStyle w:val="TableParagraph"/>
              <w:spacing w:before="138"/>
              <w:ind w:left="372"/>
              <w:rPr>
                <w:sz w:val="21"/>
              </w:rPr>
            </w:pPr>
            <w:r>
              <w:rPr>
                <w:sz w:val="21"/>
              </w:rPr>
              <w:t>主营业务收入</w:t>
            </w:r>
          </w:p>
        </w:tc>
        <w:tc>
          <w:tcPr>
            <w:tcW w:w="1479" w:type="dxa"/>
          </w:tcPr>
          <w:p>
            <w:pPr>
              <w:pStyle w:val="TableParagraph"/>
              <w:spacing w:before="1"/>
              <w:ind w:left="90" w:right="79"/>
              <w:jc w:val="center"/>
              <w:rPr>
                <w:sz w:val="21"/>
              </w:rPr>
            </w:pPr>
            <w:r>
              <w:rPr>
                <w:sz w:val="21"/>
              </w:rPr>
              <w:t>主营业务毛利</w:t>
            </w:r>
          </w:p>
          <w:p>
            <w:pPr>
              <w:pStyle w:val="TableParagraph"/>
              <w:spacing w:line="250" w:lineRule="exact" w:before="4"/>
              <w:ind w:left="90" w:right="77"/>
              <w:jc w:val="center"/>
              <w:rPr>
                <w:sz w:val="21"/>
              </w:rPr>
            </w:pPr>
            <w:r>
              <w:rPr>
                <w:sz w:val="21"/>
              </w:rPr>
              <w:t>（</w:t>
            </w:r>
            <w:r>
              <w:rPr>
                <w:rFonts w:ascii="Times New Roman" w:eastAsia="Times New Roman"/>
                <w:sz w:val="21"/>
              </w:rPr>
              <w:t>%</w:t>
            </w:r>
            <w:r>
              <w:rPr>
                <w:sz w:val="21"/>
              </w:rPr>
              <w:t>）</w:t>
            </w:r>
          </w:p>
        </w:tc>
        <w:tc>
          <w:tcPr>
            <w:tcW w:w="1416" w:type="dxa"/>
          </w:tcPr>
          <w:p>
            <w:pPr>
              <w:pStyle w:val="TableParagraph"/>
              <w:spacing w:before="138"/>
              <w:ind w:left="288"/>
              <w:rPr>
                <w:sz w:val="21"/>
              </w:rPr>
            </w:pPr>
            <w:r>
              <w:rPr>
                <w:sz w:val="21"/>
              </w:rPr>
              <w:t>营业收入</w:t>
            </w:r>
          </w:p>
        </w:tc>
        <w:tc>
          <w:tcPr>
            <w:tcW w:w="1394" w:type="dxa"/>
          </w:tcPr>
          <w:p>
            <w:pPr>
              <w:pStyle w:val="TableParagraph"/>
              <w:spacing w:before="1"/>
              <w:ind w:left="153" w:right="141"/>
              <w:jc w:val="center"/>
              <w:rPr>
                <w:sz w:val="21"/>
              </w:rPr>
            </w:pPr>
            <w:r>
              <w:rPr>
                <w:sz w:val="21"/>
              </w:rPr>
              <w:t>营业毛利率</w:t>
            </w:r>
          </w:p>
          <w:p>
            <w:pPr>
              <w:pStyle w:val="TableParagraph"/>
              <w:spacing w:line="250" w:lineRule="exact" w:before="4"/>
              <w:ind w:left="153" w:right="141"/>
              <w:jc w:val="center"/>
              <w:rPr>
                <w:sz w:val="21"/>
              </w:rPr>
            </w:pPr>
            <w:r>
              <w:rPr>
                <w:sz w:val="21"/>
              </w:rPr>
              <w:t>（</w:t>
            </w:r>
            <w:r>
              <w:rPr>
                <w:rFonts w:ascii="Times New Roman" w:eastAsia="Times New Roman"/>
                <w:sz w:val="21"/>
              </w:rPr>
              <w:t>%</w:t>
            </w:r>
            <w:r>
              <w:rPr>
                <w:sz w:val="21"/>
              </w:rPr>
              <w:t>）</w:t>
            </w:r>
          </w:p>
        </w:tc>
      </w:tr>
      <w:tr>
        <w:trPr>
          <w:trHeight w:val="544" w:hRule="atLeast"/>
        </w:trPr>
        <w:tc>
          <w:tcPr>
            <w:tcW w:w="1774" w:type="dxa"/>
          </w:tcPr>
          <w:p>
            <w:pPr>
              <w:pStyle w:val="TableParagraph"/>
              <w:spacing w:before="1"/>
              <w:ind w:left="107"/>
              <w:rPr>
                <w:sz w:val="21"/>
              </w:rPr>
            </w:pPr>
            <w:r>
              <w:rPr>
                <w:spacing w:val="-25"/>
                <w:sz w:val="21"/>
              </w:rPr>
              <w:t>富 联 裕 展 科 技</w:t>
            </w:r>
          </w:p>
          <w:p>
            <w:pPr>
              <w:pStyle w:val="TableParagraph"/>
              <w:spacing w:line="250" w:lineRule="exact" w:before="4"/>
              <w:ind w:left="107"/>
              <w:rPr>
                <w:sz w:val="21"/>
              </w:rPr>
            </w:pPr>
            <w:r>
              <w:rPr>
                <w:sz w:val="21"/>
              </w:rPr>
              <w:t>(深圳)有限公司</w:t>
            </w:r>
          </w:p>
        </w:tc>
        <w:tc>
          <w:tcPr>
            <w:tcW w:w="1783" w:type="dxa"/>
          </w:tcPr>
          <w:p>
            <w:pPr>
              <w:pStyle w:val="TableParagraph"/>
              <w:spacing w:before="144"/>
              <w:ind w:right="93"/>
              <w:jc w:val="right"/>
              <w:rPr>
                <w:rFonts w:ascii="Times New Roman"/>
                <w:sz w:val="21"/>
              </w:rPr>
            </w:pPr>
            <w:r>
              <w:rPr>
                <w:rFonts w:ascii="Times New Roman"/>
                <w:sz w:val="21"/>
              </w:rPr>
              <w:t>58,843,014</w:t>
            </w:r>
          </w:p>
        </w:tc>
        <w:tc>
          <w:tcPr>
            <w:tcW w:w="2230" w:type="dxa"/>
          </w:tcPr>
          <w:p>
            <w:pPr>
              <w:pStyle w:val="TableParagraph"/>
              <w:spacing w:before="144"/>
              <w:ind w:right="93"/>
              <w:jc w:val="right"/>
              <w:rPr>
                <w:rFonts w:ascii="Times New Roman"/>
                <w:sz w:val="21"/>
              </w:rPr>
            </w:pPr>
            <w:r>
              <w:rPr>
                <w:rFonts w:ascii="Times New Roman"/>
                <w:sz w:val="21"/>
              </w:rPr>
              <w:t>23,639,482</w:t>
            </w:r>
          </w:p>
        </w:tc>
        <w:tc>
          <w:tcPr>
            <w:tcW w:w="1781" w:type="dxa"/>
          </w:tcPr>
          <w:p>
            <w:pPr>
              <w:pStyle w:val="TableParagraph"/>
              <w:spacing w:before="144"/>
              <w:ind w:right="93"/>
              <w:jc w:val="right"/>
              <w:rPr>
                <w:rFonts w:ascii="Times New Roman"/>
                <w:sz w:val="21"/>
              </w:rPr>
            </w:pPr>
            <w:r>
              <w:rPr>
                <w:rFonts w:ascii="Times New Roman"/>
                <w:sz w:val="21"/>
              </w:rPr>
              <w:t>4,088,528</w:t>
            </w:r>
          </w:p>
        </w:tc>
        <w:tc>
          <w:tcPr>
            <w:tcW w:w="2006" w:type="dxa"/>
          </w:tcPr>
          <w:p>
            <w:pPr>
              <w:pStyle w:val="TableParagraph"/>
              <w:spacing w:before="144"/>
              <w:ind w:right="95"/>
              <w:jc w:val="right"/>
              <w:rPr>
                <w:rFonts w:ascii="Times New Roman"/>
                <w:sz w:val="21"/>
              </w:rPr>
            </w:pPr>
            <w:r>
              <w:rPr>
                <w:rFonts w:ascii="Times New Roman"/>
                <w:sz w:val="21"/>
              </w:rPr>
              <w:t>69,556,631</w:t>
            </w:r>
          </w:p>
        </w:tc>
        <w:tc>
          <w:tcPr>
            <w:tcW w:w="1479" w:type="dxa"/>
          </w:tcPr>
          <w:p>
            <w:pPr>
              <w:pStyle w:val="TableParagraph"/>
              <w:spacing w:before="144"/>
              <w:ind w:right="93"/>
              <w:jc w:val="right"/>
              <w:rPr>
                <w:rFonts w:ascii="Times New Roman"/>
                <w:sz w:val="21"/>
              </w:rPr>
            </w:pPr>
            <w:r>
              <w:rPr>
                <w:rFonts w:ascii="Times New Roman"/>
                <w:sz w:val="21"/>
              </w:rPr>
              <w:t>11.50</w:t>
            </w:r>
          </w:p>
        </w:tc>
        <w:tc>
          <w:tcPr>
            <w:tcW w:w="1416" w:type="dxa"/>
          </w:tcPr>
          <w:p>
            <w:pPr>
              <w:pStyle w:val="TableParagraph"/>
              <w:spacing w:before="144"/>
              <w:ind w:right="92"/>
              <w:jc w:val="right"/>
              <w:rPr>
                <w:rFonts w:ascii="Times New Roman"/>
                <w:sz w:val="21"/>
              </w:rPr>
            </w:pPr>
            <w:r>
              <w:rPr>
                <w:rFonts w:ascii="Times New Roman"/>
                <w:sz w:val="21"/>
              </w:rPr>
              <w:t>69,748,757</w:t>
            </w:r>
          </w:p>
        </w:tc>
        <w:tc>
          <w:tcPr>
            <w:tcW w:w="1394" w:type="dxa"/>
          </w:tcPr>
          <w:p>
            <w:pPr>
              <w:pStyle w:val="TableParagraph"/>
              <w:spacing w:before="144"/>
              <w:ind w:right="92"/>
              <w:jc w:val="right"/>
              <w:rPr>
                <w:rFonts w:ascii="Times New Roman"/>
                <w:sz w:val="21"/>
              </w:rPr>
            </w:pPr>
            <w:r>
              <w:rPr>
                <w:rFonts w:ascii="Times New Roman"/>
                <w:sz w:val="21"/>
              </w:rPr>
              <w:t>11.49</w:t>
            </w:r>
          </w:p>
        </w:tc>
      </w:tr>
      <w:tr>
        <w:trPr>
          <w:trHeight w:val="544" w:hRule="atLeast"/>
        </w:trPr>
        <w:tc>
          <w:tcPr>
            <w:tcW w:w="1774" w:type="dxa"/>
          </w:tcPr>
          <w:p>
            <w:pPr>
              <w:pStyle w:val="TableParagraph"/>
              <w:spacing w:before="1"/>
              <w:ind w:left="107"/>
              <w:rPr>
                <w:sz w:val="21"/>
              </w:rPr>
            </w:pPr>
            <w:r>
              <w:rPr>
                <w:spacing w:val="-25"/>
                <w:sz w:val="21"/>
              </w:rPr>
              <w:t>富 联 精 密 电 子</w:t>
            </w:r>
          </w:p>
          <w:p>
            <w:pPr>
              <w:pStyle w:val="TableParagraph"/>
              <w:spacing w:line="250" w:lineRule="exact" w:before="5"/>
              <w:ind w:left="107"/>
              <w:rPr>
                <w:sz w:val="21"/>
              </w:rPr>
            </w:pPr>
            <w:r>
              <w:rPr>
                <w:sz w:val="21"/>
              </w:rPr>
              <w:t>(郑州)有限公司</w:t>
            </w:r>
          </w:p>
        </w:tc>
        <w:tc>
          <w:tcPr>
            <w:tcW w:w="1783" w:type="dxa"/>
          </w:tcPr>
          <w:p>
            <w:pPr>
              <w:pStyle w:val="TableParagraph"/>
              <w:spacing w:before="147"/>
              <w:ind w:right="93"/>
              <w:jc w:val="right"/>
              <w:rPr>
                <w:rFonts w:ascii="Times New Roman"/>
                <w:sz w:val="21"/>
              </w:rPr>
            </w:pPr>
            <w:r>
              <w:rPr>
                <w:rFonts w:ascii="Times New Roman"/>
                <w:sz w:val="21"/>
              </w:rPr>
              <w:t>16,030,792</w:t>
            </w:r>
          </w:p>
        </w:tc>
        <w:tc>
          <w:tcPr>
            <w:tcW w:w="2230" w:type="dxa"/>
          </w:tcPr>
          <w:p>
            <w:pPr>
              <w:pStyle w:val="TableParagraph"/>
              <w:spacing w:before="147"/>
              <w:ind w:right="93"/>
              <w:jc w:val="right"/>
              <w:rPr>
                <w:rFonts w:ascii="Times New Roman"/>
                <w:sz w:val="21"/>
              </w:rPr>
            </w:pPr>
            <w:r>
              <w:rPr>
                <w:rFonts w:ascii="Times New Roman"/>
                <w:sz w:val="21"/>
              </w:rPr>
              <w:t>11,406,919</w:t>
            </w:r>
          </w:p>
        </w:tc>
        <w:tc>
          <w:tcPr>
            <w:tcW w:w="1781" w:type="dxa"/>
          </w:tcPr>
          <w:p>
            <w:pPr>
              <w:pStyle w:val="TableParagraph"/>
              <w:spacing w:before="147"/>
              <w:ind w:right="93"/>
              <w:jc w:val="right"/>
              <w:rPr>
                <w:rFonts w:ascii="Times New Roman"/>
                <w:sz w:val="21"/>
              </w:rPr>
            </w:pPr>
            <w:r>
              <w:rPr>
                <w:rFonts w:ascii="Times New Roman"/>
                <w:sz w:val="21"/>
              </w:rPr>
              <w:t>1,902,448</w:t>
            </w:r>
          </w:p>
        </w:tc>
        <w:tc>
          <w:tcPr>
            <w:tcW w:w="2006" w:type="dxa"/>
          </w:tcPr>
          <w:p>
            <w:pPr>
              <w:pStyle w:val="TableParagraph"/>
              <w:spacing w:before="147"/>
              <w:ind w:right="95"/>
              <w:jc w:val="right"/>
              <w:rPr>
                <w:rFonts w:ascii="Times New Roman"/>
                <w:sz w:val="21"/>
              </w:rPr>
            </w:pPr>
            <w:r>
              <w:rPr>
                <w:rFonts w:ascii="Times New Roman"/>
                <w:sz w:val="21"/>
              </w:rPr>
              <w:t>16,864,008</w:t>
            </w:r>
          </w:p>
        </w:tc>
        <w:tc>
          <w:tcPr>
            <w:tcW w:w="1479" w:type="dxa"/>
          </w:tcPr>
          <w:p>
            <w:pPr>
              <w:pStyle w:val="TableParagraph"/>
              <w:spacing w:before="147"/>
              <w:ind w:right="93"/>
              <w:jc w:val="right"/>
              <w:rPr>
                <w:rFonts w:ascii="Times New Roman"/>
                <w:sz w:val="21"/>
              </w:rPr>
            </w:pPr>
            <w:r>
              <w:rPr>
                <w:rFonts w:ascii="Times New Roman"/>
                <w:sz w:val="21"/>
              </w:rPr>
              <w:t>14.75</w:t>
            </w:r>
          </w:p>
        </w:tc>
        <w:tc>
          <w:tcPr>
            <w:tcW w:w="1416" w:type="dxa"/>
          </w:tcPr>
          <w:p>
            <w:pPr>
              <w:pStyle w:val="TableParagraph"/>
              <w:spacing w:before="147"/>
              <w:ind w:right="92"/>
              <w:jc w:val="right"/>
              <w:rPr>
                <w:rFonts w:ascii="Times New Roman"/>
                <w:sz w:val="21"/>
              </w:rPr>
            </w:pPr>
            <w:r>
              <w:rPr>
                <w:rFonts w:ascii="Times New Roman"/>
                <w:sz w:val="21"/>
              </w:rPr>
              <w:t>16,921,622</w:t>
            </w:r>
          </w:p>
        </w:tc>
        <w:tc>
          <w:tcPr>
            <w:tcW w:w="1394" w:type="dxa"/>
          </w:tcPr>
          <w:p>
            <w:pPr>
              <w:pStyle w:val="TableParagraph"/>
              <w:spacing w:before="147"/>
              <w:ind w:right="92"/>
              <w:jc w:val="right"/>
              <w:rPr>
                <w:rFonts w:ascii="Times New Roman"/>
                <w:sz w:val="21"/>
              </w:rPr>
            </w:pPr>
            <w:r>
              <w:rPr>
                <w:rFonts w:ascii="Times New Roman"/>
                <w:sz w:val="21"/>
              </w:rPr>
              <w:t>15.04</w:t>
            </w:r>
          </w:p>
        </w:tc>
      </w:tr>
      <w:tr>
        <w:trPr>
          <w:trHeight w:val="546" w:hRule="atLeast"/>
        </w:trPr>
        <w:tc>
          <w:tcPr>
            <w:tcW w:w="1774" w:type="dxa"/>
          </w:tcPr>
          <w:p>
            <w:pPr>
              <w:pStyle w:val="TableParagraph"/>
              <w:spacing w:line="270" w:lineRule="atLeast"/>
              <w:ind w:left="107" w:right="95"/>
              <w:rPr>
                <w:sz w:val="21"/>
              </w:rPr>
            </w:pPr>
            <w:r>
              <w:rPr>
                <w:spacing w:val="-26"/>
                <w:sz w:val="21"/>
              </w:rPr>
              <w:t>富 联 裕 展 科 技</w:t>
            </w:r>
            <w:r>
              <w:rPr>
                <w:sz w:val="21"/>
              </w:rPr>
              <w:t>(河南)有限公司</w:t>
            </w:r>
          </w:p>
        </w:tc>
        <w:tc>
          <w:tcPr>
            <w:tcW w:w="1783" w:type="dxa"/>
          </w:tcPr>
          <w:p>
            <w:pPr>
              <w:pStyle w:val="TableParagraph"/>
              <w:spacing w:before="147"/>
              <w:ind w:right="93"/>
              <w:jc w:val="right"/>
              <w:rPr>
                <w:rFonts w:ascii="Times New Roman"/>
                <w:sz w:val="21"/>
              </w:rPr>
            </w:pPr>
            <w:r>
              <w:rPr>
                <w:rFonts w:ascii="Times New Roman"/>
                <w:sz w:val="21"/>
              </w:rPr>
              <w:t>24,970,097</w:t>
            </w:r>
          </w:p>
        </w:tc>
        <w:tc>
          <w:tcPr>
            <w:tcW w:w="2230" w:type="dxa"/>
          </w:tcPr>
          <w:p>
            <w:pPr>
              <w:pStyle w:val="TableParagraph"/>
              <w:spacing w:before="147"/>
              <w:ind w:right="93"/>
              <w:jc w:val="right"/>
              <w:rPr>
                <w:rFonts w:ascii="Times New Roman"/>
                <w:sz w:val="21"/>
              </w:rPr>
            </w:pPr>
            <w:r>
              <w:rPr>
                <w:rFonts w:ascii="Times New Roman"/>
                <w:sz w:val="21"/>
              </w:rPr>
              <w:t>19,967,367</w:t>
            </w:r>
          </w:p>
        </w:tc>
        <w:tc>
          <w:tcPr>
            <w:tcW w:w="1781" w:type="dxa"/>
          </w:tcPr>
          <w:p>
            <w:pPr>
              <w:pStyle w:val="TableParagraph"/>
              <w:spacing w:before="147"/>
              <w:ind w:right="93"/>
              <w:jc w:val="right"/>
              <w:rPr>
                <w:rFonts w:ascii="Times New Roman"/>
                <w:sz w:val="21"/>
              </w:rPr>
            </w:pPr>
            <w:r>
              <w:rPr>
                <w:rFonts w:ascii="Times New Roman"/>
                <w:sz w:val="21"/>
              </w:rPr>
              <w:t>4,315,261</w:t>
            </w:r>
          </w:p>
        </w:tc>
        <w:tc>
          <w:tcPr>
            <w:tcW w:w="2006" w:type="dxa"/>
          </w:tcPr>
          <w:p>
            <w:pPr>
              <w:pStyle w:val="TableParagraph"/>
              <w:spacing w:before="147"/>
              <w:ind w:right="95"/>
              <w:jc w:val="right"/>
              <w:rPr>
                <w:rFonts w:ascii="Times New Roman"/>
                <w:sz w:val="21"/>
              </w:rPr>
            </w:pPr>
            <w:r>
              <w:rPr>
                <w:rFonts w:ascii="Times New Roman"/>
                <w:sz w:val="21"/>
              </w:rPr>
              <w:t>24,200,811</w:t>
            </w:r>
          </w:p>
        </w:tc>
        <w:tc>
          <w:tcPr>
            <w:tcW w:w="1479" w:type="dxa"/>
          </w:tcPr>
          <w:p>
            <w:pPr>
              <w:pStyle w:val="TableParagraph"/>
              <w:spacing w:before="147"/>
              <w:ind w:right="93"/>
              <w:jc w:val="right"/>
              <w:rPr>
                <w:rFonts w:ascii="Times New Roman"/>
                <w:sz w:val="21"/>
              </w:rPr>
            </w:pPr>
            <w:r>
              <w:rPr>
                <w:rFonts w:ascii="Times New Roman"/>
                <w:sz w:val="21"/>
              </w:rPr>
              <w:t>13.71</w:t>
            </w:r>
          </w:p>
        </w:tc>
        <w:tc>
          <w:tcPr>
            <w:tcW w:w="1416" w:type="dxa"/>
          </w:tcPr>
          <w:p>
            <w:pPr>
              <w:pStyle w:val="TableParagraph"/>
              <w:spacing w:before="147"/>
              <w:ind w:right="92"/>
              <w:jc w:val="right"/>
              <w:rPr>
                <w:rFonts w:ascii="Times New Roman"/>
                <w:sz w:val="21"/>
              </w:rPr>
            </w:pPr>
            <w:r>
              <w:rPr>
                <w:rFonts w:ascii="Times New Roman"/>
                <w:sz w:val="21"/>
              </w:rPr>
              <w:t>24,338,284</w:t>
            </w:r>
          </w:p>
        </w:tc>
        <w:tc>
          <w:tcPr>
            <w:tcW w:w="1394" w:type="dxa"/>
          </w:tcPr>
          <w:p>
            <w:pPr>
              <w:pStyle w:val="TableParagraph"/>
              <w:spacing w:before="147"/>
              <w:ind w:right="92"/>
              <w:jc w:val="right"/>
              <w:rPr>
                <w:rFonts w:ascii="Times New Roman"/>
                <w:sz w:val="21"/>
              </w:rPr>
            </w:pPr>
            <w:r>
              <w:rPr>
                <w:rFonts w:ascii="Times New Roman"/>
                <w:sz w:val="21"/>
              </w:rPr>
              <w:t>14.14</w:t>
            </w:r>
          </w:p>
        </w:tc>
      </w:tr>
    </w:tbl>
    <w:p>
      <w:pPr>
        <w:pStyle w:val="BodyText"/>
        <w:spacing w:before="1"/>
        <w:ind w:left="140"/>
      </w:pPr>
      <w:r>
        <w:rPr>
          <w:w w:val="100"/>
        </w:rPr>
        <w:t> </w:t>
      </w:r>
    </w:p>
    <w:p>
      <w:pPr>
        <w:pStyle w:val="BodyText"/>
        <w:spacing w:before="2"/>
        <w:ind w:left="140"/>
      </w:pPr>
      <w:r>
        <w:rPr>
          <w:w w:val="100"/>
        </w:rPr>
        <w:t> </w:t>
      </w:r>
    </w:p>
    <w:p>
      <w:pPr>
        <w:pStyle w:val="BodyText"/>
        <w:spacing w:before="65"/>
        <w:ind w:left="140"/>
      </w:pPr>
      <w:r>
        <w:rPr>
          <w:spacing w:val="-7"/>
        </w:rPr>
        <w:t>(八) 公司控制的结构化主体情况</w:t>
      </w:r>
    </w:p>
    <w:p>
      <w:pPr>
        <w:pStyle w:val="BodyText"/>
        <w:spacing w:before="62"/>
        <w:ind w:left="140"/>
      </w:pPr>
      <w:r>
        <w:rPr>
          <w:spacing w:val="11"/>
        </w:rPr>
        <w:t>□适用 √不适用</w:t>
      </w:r>
      <w:r>
        <w:rPr>
          <w:spacing w:val="-3"/>
        </w:rPr>
        <w:t> </w:t>
      </w:r>
      <w:r>
        <w:rPr/>
        <w:t> </w:t>
      </w:r>
    </w:p>
    <w:p>
      <w:pPr>
        <w:pStyle w:val="BodyText"/>
        <w:spacing w:before="4"/>
        <w:ind w:left="140"/>
      </w:pPr>
      <w:r>
        <w:rPr>
          <w:w w:val="100"/>
        </w:rPr>
        <w:t> </w:t>
      </w:r>
    </w:p>
    <w:p>
      <w:pPr>
        <w:pStyle w:val="BodyText"/>
        <w:spacing w:line="295" w:lineRule="auto" w:before="63"/>
        <w:ind w:left="140" w:right="10299"/>
      </w:pPr>
      <w:r>
        <w:rPr/>
        <w:t>六、公司关于公司未来发展的讨论与分析(一)行业格局和趋势</w:t>
      </w:r>
    </w:p>
    <w:p>
      <w:pPr>
        <w:pStyle w:val="BodyText"/>
        <w:spacing w:before="3"/>
        <w:ind w:left="140"/>
      </w:pPr>
      <w:r>
        <w:rPr>
          <w:spacing w:val="11"/>
        </w:rPr>
        <w:t>√适用 □不适用</w:t>
      </w:r>
      <w:r>
        <w:rPr>
          <w:spacing w:val="-3"/>
        </w:rPr>
        <w:t> </w:t>
      </w:r>
      <w:r>
        <w:rPr/>
        <w:t> </w:t>
      </w:r>
    </w:p>
    <w:p>
      <w:pPr>
        <w:spacing w:after="0"/>
        <w:sectPr>
          <w:headerReference w:type="default" r:id="rId20"/>
          <w:footerReference w:type="default" r:id="rId21"/>
          <w:pgSz w:w="16840" w:h="11910" w:orient="landscape"/>
          <w:pgMar w:header="0" w:footer="1195" w:top="800" w:bottom="1380" w:left="1300" w:right="1300"/>
        </w:sectPr>
      </w:pPr>
    </w:p>
    <w:p>
      <w:pPr>
        <w:pStyle w:val="BodyText"/>
        <w:spacing w:line="364" w:lineRule="auto" w:before="61"/>
        <w:ind w:left="118" w:right="308" w:firstLine="419"/>
        <w:jc w:val="both"/>
      </w:pPr>
      <w:r>
        <w:rPr/>
        <w:t>制造业是实体经济基础，是立国之本、强国之基。党的二十大报告指出，要建设现代化产业体系，坚持把发展经济的着力点放在实体经济上，推进新型工业化，加快建设制造强国、质量强国、航天强国、交通强国、网络强国、数字中国。</w:t>
      </w:r>
    </w:p>
    <w:p>
      <w:pPr>
        <w:pStyle w:val="BodyText"/>
        <w:spacing w:line="364" w:lineRule="auto"/>
        <w:ind w:left="118" w:right="308" w:firstLine="419"/>
        <w:jc w:val="both"/>
      </w:pPr>
      <w:r>
        <w:rPr/>
        <w:t>在这一目标指引下，一系列支持制造业实现高质量发展的政策举措陆续出台。</w:t>
      </w:r>
      <w:r>
        <w:rPr>
          <w:rFonts w:ascii="Times New Roman" w:eastAsia="Times New Roman"/>
        </w:rPr>
        <w:t>2022</w:t>
      </w:r>
      <w:r>
        <w:rPr>
          <w:rFonts w:ascii="Times New Roman" w:eastAsia="Times New Roman"/>
          <w:spacing w:val="29"/>
        </w:rPr>
        <w:t> </w:t>
      </w:r>
      <w:r>
        <w:rPr/>
        <w:t>年底，</w:t>
      </w:r>
      <w:r>
        <w:rPr>
          <w:spacing w:val="-103"/>
        </w:rPr>
        <w:t> </w:t>
      </w:r>
      <w:r>
        <w:rPr/>
        <w:t>中共中央、国务院印发《扩大内需战略规划纲要（</w:t>
      </w:r>
      <w:r>
        <w:rPr>
          <w:rFonts w:ascii="Times New Roman" w:eastAsia="Times New Roman"/>
        </w:rPr>
        <w:t>2022-2035</w:t>
      </w:r>
      <w:r>
        <w:rPr>
          <w:rFonts w:ascii="Times New Roman" w:eastAsia="Times New Roman"/>
          <w:spacing w:val="24"/>
        </w:rPr>
        <w:t> </w:t>
      </w:r>
      <w:r>
        <w:rPr/>
        <w:t>年）》，围绕推动制造业高质量发展、建设制造强国，引导各类优质核心资源要素向制造业集聚。</w:t>
      </w:r>
      <w:r>
        <w:rPr>
          <w:rFonts w:ascii="Times New Roman" w:eastAsia="Times New Roman"/>
        </w:rPr>
        <w:t>2023</w:t>
      </w:r>
      <w:r>
        <w:rPr>
          <w:rFonts w:ascii="Times New Roman" w:eastAsia="Times New Roman"/>
          <w:spacing w:val="20"/>
        </w:rPr>
        <w:t> </w:t>
      </w:r>
      <w:r>
        <w:rPr/>
        <w:t>年政府工作报告也提出，</w:t>
      </w:r>
      <w:r>
        <w:rPr>
          <w:spacing w:val="-103"/>
        </w:rPr>
        <w:t> </w:t>
      </w:r>
      <w:r>
        <w:rPr/>
        <w:t>要围绕制造业重点产业链，集中优质资源合力推进关键核心技术攻关。</w:t>
      </w:r>
    </w:p>
    <w:p>
      <w:pPr>
        <w:pStyle w:val="BodyText"/>
        <w:spacing w:line="364" w:lineRule="auto"/>
        <w:ind w:left="118" w:right="310" w:firstLine="419"/>
      </w:pPr>
      <w:r>
        <w:rPr/>
        <w:t>加快建设制造强国，企业是主体，是推动创新创造的生力军。随着国内经济快速复苏以及不断释放的政策利好，将为制造企业，尤其是头部企业实现更高质量发展带来全新的发展契机。</w:t>
      </w:r>
    </w:p>
    <w:p>
      <w:pPr>
        <w:pStyle w:val="BodyText"/>
        <w:spacing w:line="364" w:lineRule="auto"/>
        <w:ind w:left="118" w:right="308" w:firstLine="419"/>
        <w:jc w:val="both"/>
      </w:pPr>
      <w:r>
        <w:rPr>
          <w:spacing w:val="1"/>
        </w:rPr>
        <w:t>全球数字经济蓬勃发展也为行业发展注入了强劲动能。据</w:t>
      </w:r>
      <w:r>
        <w:rPr>
          <w:rFonts w:ascii="Times New Roman" w:eastAsia="Times New Roman"/>
        </w:rPr>
        <w:t>IDC</w:t>
      </w:r>
      <w:r>
        <w:rPr>
          <w:rFonts w:ascii="Times New Roman" w:eastAsia="Times New Roman"/>
          <w:spacing w:val="-23"/>
        </w:rPr>
        <w:t> </w:t>
      </w:r>
      <w:r>
        <w:rPr/>
        <w:t>预测，全球对数字转型的投资</w:t>
      </w:r>
      <w:r>
        <w:rPr>
          <w:spacing w:val="-8"/>
        </w:rPr>
        <w:t>将以每年 </w:t>
      </w:r>
      <w:r>
        <w:rPr>
          <w:rFonts w:ascii="Times New Roman" w:eastAsia="Times New Roman"/>
        </w:rPr>
        <w:t>17.1%</w:t>
      </w:r>
      <w:r>
        <w:rPr/>
        <w:t>的复合速度增长，</w:t>
      </w:r>
      <w:r>
        <w:rPr>
          <w:rFonts w:ascii="Times New Roman" w:eastAsia="Times New Roman"/>
        </w:rPr>
        <w:t>2023</w:t>
      </w:r>
      <w:r>
        <w:rPr>
          <w:rFonts w:ascii="Times New Roman" w:eastAsia="Times New Roman"/>
          <w:spacing w:val="2"/>
        </w:rPr>
        <w:t> </w:t>
      </w:r>
      <w:r>
        <w:rPr>
          <w:spacing w:val="-3"/>
        </w:rPr>
        <w:t>年这类投资预计将达到 </w:t>
      </w:r>
      <w:r>
        <w:rPr>
          <w:rFonts w:ascii="Times New Roman" w:eastAsia="Times New Roman"/>
        </w:rPr>
        <w:t>2.3</w:t>
      </w:r>
      <w:r>
        <w:rPr>
          <w:rFonts w:ascii="Times New Roman" w:eastAsia="Times New Roman"/>
          <w:spacing w:val="2"/>
        </w:rPr>
        <w:t> </w:t>
      </w:r>
      <w:r>
        <w:rPr/>
        <w:t>万亿美元。数字经济依然是一片尚待开发的蓝海，越来越多的企业正在将拥抱数字经济作为强化未来竞争力的战略支撑。</w:t>
      </w:r>
    </w:p>
    <w:p>
      <w:pPr>
        <w:pStyle w:val="BodyText"/>
        <w:spacing w:line="364" w:lineRule="auto"/>
        <w:ind w:left="118" w:right="307" w:firstLine="419"/>
        <w:jc w:val="both"/>
      </w:pPr>
      <w:r>
        <w:rPr>
          <w:spacing w:val="-4"/>
        </w:rPr>
        <w:t>在中国，自 </w:t>
      </w:r>
      <w:r>
        <w:rPr>
          <w:rFonts w:ascii="Times New Roman" w:hAnsi="Times New Roman" w:eastAsia="Times New Roman"/>
        </w:rPr>
        <w:t>2022</w:t>
      </w:r>
      <w:r>
        <w:rPr>
          <w:rFonts w:ascii="Times New Roman" w:hAnsi="Times New Roman" w:eastAsia="Times New Roman"/>
          <w:spacing w:val="24"/>
        </w:rPr>
        <w:t> </w:t>
      </w:r>
      <w:r>
        <w:rPr>
          <w:spacing w:val="-10"/>
        </w:rPr>
        <w:t>年 </w:t>
      </w:r>
      <w:r>
        <w:rPr>
          <w:rFonts w:ascii="Times New Roman" w:hAnsi="Times New Roman" w:eastAsia="Times New Roman"/>
        </w:rPr>
        <w:t>1</w:t>
      </w:r>
      <w:r>
        <w:rPr>
          <w:rFonts w:ascii="Times New Roman" w:hAnsi="Times New Roman" w:eastAsia="Times New Roman"/>
          <w:spacing w:val="20"/>
        </w:rPr>
        <w:t> </w:t>
      </w:r>
      <w:r>
        <w:rPr/>
        <w:t>月国务院印发《“十四五”数字经济发展规划》以来，数字经济发展驶入快车道。党的二十大报告也提出建设数字中国</w:t>
      </w:r>
      <w:r>
        <w:rPr>
          <w:rFonts w:ascii="Times New Roman" w:hAnsi="Times New Roman" w:eastAsia="Times New Roman"/>
        </w:rPr>
        <w:t>,</w:t>
      </w:r>
      <w:r>
        <w:rPr/>
        <w:t>加快发展数字经济</w:t>
      </w:r>
      <w:r>
        <w:rPr>
          <w:rFonts w:ascii="Times New Roman" w:hAnsi="Times New Roman" w:eastAsia="Times New Roman"/>
        </w:rPr>
        <w:t>,</w:t>
      </w:r>
      <w:r>
        <w:rPr/>
        <w:t>促进数字经济和实体经济深度融合</w:t>
      </w:r>
      <w:r>
        <w:rPr>
          <w:rFonts w:ascii="Times New Roman" w:hAnsi="Times New Roman" w:eastAsia="Times New Roman"/>
        </w:rPr>
        <w:t>,</w:t>
      </w:r>
      <w:r>
        <w:rPr>
          <w:spacing w:val="-1"/>
        </w:rPr>
        <w:t>打造具有国际竞争力的数字产业集群；进入 </w:t>
      </w:r>
      <w:r>
        <w:rPr>
          <w:rFonts w:ascii="Times New Roman" w:hAnsi="Times New Roman" w:eastAsia="Times New Roman"/>
        </w:rPr>
        <w:t>2023</w:t>
      </w:r>
      <w:r>
        <w:rPr>
          <w:rFonts w:ascii="Times New Roman" w:hAnsi="Times New Roman" w:eastAsia="Times New Roman"/>
          <w:spacing w:val="19"/>
        </w:rPr>
        <w:t> </w:t>
      </w:r>
      <w:r>
        <w:rPr/>
        <w:t>年，《数字中国建设整体布局规划》重磅发布，以及政府工作报告再次提出“大力发展数字经济”“加快传统产业和中小企业数字化转型”，也均进一步明确了未来数字经济的潜力和方向所在，数字浪潮正加速奔涌而来。</w:t>
      </w:r>
    </w:p>
    <w:p>
      <w:pPr>
        <w:pStyle w:val="BodyText"/>
        <w:spacing w:line="267" w:lineRule="exact"/>
        <w:ind w:left="538"/>
        <w:jc w:val="both"/>
      </w:pPr>
      <w:r>
        <w:rPr>
          <w:spacing w:val="1"/>
        </w:rPr>
        <w:t>根据中国信通院最新预测，自 </w:t>
      </w:r>
      <w:r>
        <w:rPr>
          <w:rFonts w:ascii="Times New Roman" w:eastAsia="Times New Roman"/>
        </w:rPr>
        <w:t>2022</w:t>
      </w:r>
      <w:r>
        <w:rPr>
          <w:rFonts w:ascii="Times New Roman" w:eastAsia="Times New Roman"/>
          <w:spacing w:val="46"/>
        </w:rPr>
        <w:t> </w:t>
      </w:r>
      <w:r>
        <w:rPr/>
        <w:t>年开始，我国数字经济新十年的发展大幕开启，将进入</w:t>
      </w:r>
    </w:p>
    <w:p>
      <w:pPr>
        <w:pStyle w:val="BodyText"/>
        <w:spacing w:before="136"/>
        <w:ind w:left="118"/>
      </w:pPr>
      <w:r>
        <w:rPr>
          <w:spacing w:val="-2"/>
        </w:rPr>
        <w:t>新一轮快速发展阶段，预计到 </w:t>
      </w:r>
      <w:r>
        <w:rPr>
          <w:rFonts w:ascii="Times New Roman" w:eastAsia="Times New Roman"/>
        </w:rPr>
        <w:t>2025</w:t>
      </w:r>
      <w:r>
        <w:rPr>
          <w:rFonts w:ascii="Times New Roman" w:eastAsia="Times New Roman"/>
          <w:spacing w:val="11"/>
        </w:rPr>
        <w:t> </w:t>
      </w:r>
      <w:r>
        <w:rPr>
          <w:spacing w:val="-2"/>
        </w:rPr>
        <w:t>年，我国数字经济规模将超过 </w:t>
      </w:r>
      <w:r>
        <w:rPr>
          <w:rFonts w:ascii="Times New Roman" w:eastAsia="Times New Roman"/>
        </w:rPr>
        <w:t>60</w:t>
      </w:r>
      <w:r>
        <w:rPr>
          <w:rFonts w:ascii="Times New Roman" w:eastAsia="Times New Roman"/>
          <w:spacing w:val="9"/>
        </w:rPr>
        <w:t> </w:t>
      </w:r>
      <w:r>
        <w:rPr>
          <w:spacing w:val="-5"/>
        </w:rPr>
        <w:t>万亿元，到 </w:t>
      </w:r>
      <w:r>
        <w:rPr>
          <w:rFonts w:ascii="Times New Roman" w:eastAsia="Times New Roman"/>
        </w:rPr>
        <w:t>2032</w:t>
      </w:r>
      <w:r>
        <w:rPr>
          <w:rFonts w:ascii="Times New Roman" w:eastAsia="Times New Roman"/>
          <w:spacing w:val="9"/>
        </w:rPr>
        <w:t> </w:t>
      </w:r>
      <w:r>
        <w:rPr/>
        <w:t>年，将超</w:t>
      </w:r>
    </w:p>
    <w:p>
      <w:pPr>
        <w:pStyle w:val="BodyText"/>
        <w:spacing w:before="139"/>
        <w:ind w:left="118"/>
      </w:pPr>
      <w:r>
        <w:rPr>
          <w:spacing w:val="-27"/>
        </w:rPr>
        <w:t>过 </w:t>
      </w:r>
      <w:r>
        <w:rPr>
          <w:rFonts w:ascii="Times New Roman" w:eastAsia="Times New Roman"/>
          <w:spacing w:val="-1"/>
        </w:rPr>
        <w:t>100</w:t>
      </w:r>
      <w:r>
        <w:rPr>
          <w:rFonts w:ascii="Times New Roman" w:eastAsia="Times New Roman"/>
          <w:spacing w:val="-10"/>
        </w:rPr>
        <w:t> </w:t>
      </w:r>
      <w:r>
        <w:rPr>
          <w:spacing w:val="-5"/>
        </w:rPr>
        <w:t>万亿元，十年间增长将超过 </w:t>
      </w:r>
      <w:r>
        <w:rPr>
          <w:rFonts w:ascii="Times New Roman" w:eastAsia="Times New Roman"/>
        </w:rPr>
        <w:t>50</w:t>
      </w:r>
      <w:r>
        <w:rPr>
          <w:rFonts w:ascii="Times New Roman" w:eastAsia="Times New Roman"/>
          <w:spacing w:val="-12"/>
        </w:rPr>
        <w:t> </w:t>
      </w:r>
      <w:r>
        <w:rPr/>
        <w:t>万亿元。</w:t>
      </w:r>
    </w:p>
    <w:p>
      <w:pPr>
        <w:pStyle w:val="BodyText"/>
        <w:spacing w:before="141"/>
        <w:ind w:left="118"/>
      </w:pPr>
      <w:r>
        <w:rPr>
          <w:w w:val="100"/>
        </w:rPr>
        <w:t> </w:t>
      </w:r>
    </w:p>
    <w:p>
      <w:pPr>
        <w:pStyle w:val="BodyText"/>
        <w:spacing w:before="62"/>
        <w:ind w:left="118"/>
      </w:pPr>
      <w:r>
        <w:rPr/>
        <w:t>(二)公司发展战略</w:t>
      </w:r>
    </w:p>
    <w:p>
      <w:pPr>
        <w:pStyle w:val="BodyText"/>
        <w:spacing w:before="65"/>
        <w:ind w:left="118"/>
      </w:pPr>
      <w:r>
        <w:rPr>
          <w:spacing w:val="11"/>
        </w:rPr>
        <w:t>√适用 □不适用</w:t>
      </w:r>
      <w:r>
        <w:rPr>
          <w:spacing w:val="-3"/>
        </w:rPr>
        <w:t> </w:t>
      </w:r>
      <w:r>
        <w:rPr/>
        <w:t> </w:t>
      </w:r>
    </w:p>
    <w:p>
      <w:pPr>
        <w:pStyle w:val="BodyText"/>
        <w:spacing w:line="364" w:lineRule="auto" w:before="2"/>
        <w:ind w:left="118" w:right="308" w:firstLine="419"/>
        <w:jc w:val="both"/>
      </w:pPr>
      <w:r>
        <w:rPr/>
        <w:t>公司自上市以来，始终坚持“深耕中国、布局全球</w:t>
      </w:r>
      <w:r>
        <w:rPr>
          <w:rFonts w:ascii="Times New Roman" w:hAnsi="Times New Roman" w:eastAsia="Times New Roman"/>
        </w:rPr>
        <w:t>”</w:t>
      </w:r>
      <w:r>
        <w:rPr/>
        <w:t>的生产经营策略，公司经营实现了持续健康稳定发展。当前，虽然全球产业竞争格局日趋复杂，但公司坚定看好中国制造业，尤其是高端制造业的发展前景，同时对中国经济的快速复苏带来的产业发展机遇充满期待。基于此，公司将继续在国内强化产业布局，包括持续推进赣州、绍兴、杭州等项目的落地。</w:t>
      </w:r>
    </w:p>
    <w:p>
      <w:pPr>
        <w:pStyle w:val="BodyText"/>
        <w:spacing w:line="364" w:lineRule="auto"/>
        <w:ind w:left="118" w:right="308" w:firstLine="419"/>
        <w:jc w:val="both"/>
      </w:pPr>
      <w:r>
        <w:rPr/>
        <w:t>作为数字经济蓬勃发展的重要受益者，近年来，公司在“数据驱动、绿色发展”的战略指引下，将数字经济领域作为研发创新的核心方向，在云计算、大数据、人工智能、</w:t>
      </w:r>
      <w:r>
        <w:rPr>
          <w:rFonts w:ascii="Times New Roman" w:hAnsi="Times New Roman" w:eastAsia="Times New Roman"/>
        </w:rPr>
        <w:t>5G</w:t>
      </w:r>
      <w:r>
        <w:rPr>
          <w:rFonts w:ascii="Times New Roman" w:hAnsi="Times New Roman" w:eastAsia="Times New Roman"/>
          <w:spacing w:val="2"/>
        </w:rPr>
        <w:t> </w:t>
      </w:r>
      <w:r>
        <w:rPr/>
        <w:t>通讯等新兴技术方面的专利积累持续增长，同时以自身拥有的海量生产数据以及领先的工业互联网技术为依托，积极开展数字经济与实体经济的深度融合。目前，公司已实现对数字经济产业五大类范围的全覆盖，特别是在云及边缘计算、工业互联网、智能家居、</w:t>
      </w:r>
      <w:r>
        <w:rPr>
          <w:rFonts w:ascii="Times New Roman" w:hAnsi="Times New Roman" w:eastAsia="Times New Roman"/>
        </w:rPr>
        <w:t>5G</w:t>
      </w:r>
      <w:r>
        <w:rPr>
          <w:rFonts w:ascii="Times New Roman" w:hAnsi="Times New Roman" w:eastAsia="Times New Roman"/>
          <w:spacing w:val="51"/>
        </w:rPr>
        <w:t> </w:t>
      </w:r>
      <w:r>
        <w:rPr/>
        <w:t>及网络通讯设备、智能手机及智能穿戴设备领域，产品、技术以及全球市占率方面均具有较大优势，公司入选“</w:t>
      </w:r>
      <w:r>
        <w:rPr>
          <w:rFonts w:ascii="Times New Roman" w:hAnsi="Times New Roman" w:eastAsia="Times New Roman"/>
        </w:rPr>
        <w:t>2022</w:t>
      </w:r>
      <w:r>
        <w:rPr>
          <w:rFonts w:ascii="Times New Roman" w:hAnsi="Times New Roman" w:eastAsia="Times New Roman"/>
          <w:spacing w:val="22"/>
        </w:rPr>
        <w:t> </w:t>
      </w:r>
      <w:r>
        <w:rPr/>
        <w:t>福布斯中</w:t>
      </w:r>
      <w:r>
        <w:rPr>
          <w:spacing w:val="-10"/>
        </w:rPr>
        <w:t>国数字经济 </w:t>
      </w:r>
      <w:r>
        <w:rPr>
          <w:rFonts w:ascii="Times New Roman" w:hAnsi="Times New Roman" w:eastAsia="Times New Roman"/>
        </w:rPr>
        <w:t>100</w:t>
      </w:r>
      <w:r>
        <w:rPr>
          <w:rFonts w:ascii="Times New Roman" w:hAnsi="Times New Roman" w:eastAsia="Times New Roman"/>
          <w:spacing w:val="-10"/>
        </w:rPr>
        <w:t> </w:t>
      </w:r>
      <w:r>
        <w:rPr/>
        <w:t>强”，位列第七，电子行业第一。</w:t>
      </w:r>
    </w:p>
    <w:p>
      <w:pPr>
        <w:spacing w:after="0" w:line="364" w:lineRule="auto"/>
        <w:jc w:val="both"/>
        <w:sectPr>
          <w:headerReference w:type="default" r:id="rId22"/>
          <w:footerReference w:type="default" r:id="rId23"/>
          <w:pgSz w:w="11910" w:h="16840"/>
          <w:pgMar w:header="880" w:footer="1195" w:top="1460" w:bottom="1380" w:left="1680" w:right="960"/>
          <w:pgNumType w:start="25"/>
        </w:sectPr>
      </w:pPr>
    </w:p>
    <w:p>
      <w:pPr>
        <w:pStyle w:val="BodyText"/>
        <w:spacing w:line="364" w:lineRule="auto" w:before="61"/>
        <w:ind w:left="118" w:right="308" w:firstLine="419"/>
        <w:jc w:val="both"/>
      </w:pPr>
      <w:r>
        <w:rPr/>
        <w:t>未来，深耕数字经济依然将是工业富联经营发展的主线，公司管理层也基于对市场趋势、业务布局经验成果以及自身核心能力等进行全面梳理分析，进一步就公司未来业务布局进行了优化设计，提出了“</w:t>
      </w:r>
      <w:r>
        <w:rPr>
          <w:rFonts w:ascii="Times New Roman" w:hAnsi="Times New Roman" w:eastAsia="Times New Roman"/>
        </w:rPr>
        <w:t>2+2</w:t>
      </w:r>
      <w:r>
        <w:rPr/>
        <w:t>”的经营策略，即在持续强化“智能制造</w:t>
      </w:r>
      <w:r>
        <w:rPr>
          <w:rFonts w:ascii="Times New Roman" w:hAnsi="Times New Roman" w:eastAsia="Times New Roman"/>
        </w:rPr>
        <w:t>+</w:t>
      </w:r>
      <w:r>
        <w:rPr/>
        <w:t>工业互联网”这一核心竞争力的基础上，围绕“大数据”和“机器人”进一步拓宽业务版图。整体业务领域涵盖网络与通讯、云计算、工业互联网、半导体封测、汽车零部件、元宇宙算力、储能、机器人、装备自动化等。公司希望通过对业务板块的进一步整合梳理，使得战略方向更为聚焦，凝聚更加强大的发展合力，</w:t>
      </w:r>
      <w:r>
        <w:rPr>
          <w:spacing w:val="-103"/>
        </w:rPr>
        <w:t> </w:t>
      </w:r>
      <w:r>
        <w:rPr/>
        <w:t>为更深度挖掘数字经济潜力注入更为强劲动能。</w:t>
      </w:r>
    </w:p>
    <w:p>
      <w:pPr>
        <w:pStyle w:val="BodyText"/>
        <w:spacing w:line="364" w:lineRule="auto"/>
        <w:ind w:left="118" w:right="307" w:firstLine="419"/>
        <w:jc w:val="both"/>
      </w:pPr>
      <w:r>
        <w:rPr>
          <w:spacing w:val="-1"/>
        </w:rPr>
        <w:t>在</w:t>
      </w:r>
      <w:r>
        <w:rPr>
          <w:rFonts w:ascii="Times New Roman" w:hAnsi="Times New Roman" w:eastAsia="Times New Roman"/>
          <w:spacing w:val="-1"/>
        </w:rPr>
        <w:t>“</w:t>
      </w:r>
      <w:r>
        <w:rPr>
          <w:spacing w:val="-1"/>
        </w:rPr>
        <w:t>绿色发展</w:t>
      </w:r>
      <w:r>
        <w:rPr>
          <w:rFonts w:ascii="Times New Roman" w:hAnsi="Times New Roman" w:eastAsia="Times New Roman"/>
          <w:spacing w:val="-1"/>
        </w:rPr>
        <w:t>”</w:t>
      </w:r>
      <w:r>
        <w:rPr>
          <w:spacing w:val="-2"/>
        </w:rPr>
        <w:t>方面，工业富联持续践行可持续发展理念，已累计建成 </w:t>
      </w:r>
      <w:r>
        <w:rPr>
          <w:rFonts w:ascii="Times New Roman" w:hAnsi="Times New Roman" w:eastAsia="Times New Roman"/>
        </w:rPr>
        <w:t>6</w:t>
      </w:r>
      <w:r>
        <w:rPr>
          <w:rFonts w:ascii="Times New Roman" w:hAnsi="Times New Roman" w:eastAsia="Times New Roman"/>
          <w:spacing w:val="7"/>
        </w:rPr>
        <w:t> </w:t>
      </w:r>
      <w:r>
        <w:rPr/>
        <w:t>座“灯塔工厂”、</w:t>
      </w:r>
      <w:r>
        <w:rPr>
          <w:rFonts w:ascii="Times New Roman" w:hAnsi="Times New Roman" w:eastAsia="Times New Roman"/>
        </w:rPr>
        <w:t>10</w:t>
      </w:r>
      <w:r>
        <w:rPr>
          <w:rFonts w:ascii="Times New Roman" w:hAnsi="Times New Roman" w:eastAsia="Times New Roman"/>
          <w:spacing w:val="-50"/>
        </w:rPr>
        <w:t> </w:t>
      </w:r>
      <w:r>
        <w:rPr>
          <w:spacing w:val="-3"/>
        </w:rPr>
        <w:t>座“绿色工厂”、超 </w:t>
      </w:r>
      <w:r>
        <w:rPr>
          <w:rFonts w:ascii="Times New Roman" w:hAnsi="Times New Roman" w:eastAsia="Times New Roman"/>
        </w:rPr>
        <w:t>10</w:t>
      </w:r>
      <w:r>
        <w:rPr>
          <w:rFonts w:ascii="Times New Roman" w:hAnsi="Times New Roman" w:eastAsia="Times New Roman"/>
          <w:spacing w:val="14"/>
        </w:rPr>
        <w:t> </w:t>
      </w:r>
      <w:r>
        <w:rPr/>
        <w:t>座“智慧工厂”，</w:t>
      </w:r>
      <w:r>
        <w:rPr>
          <w:rFonts w:ascii="Times New Roman" w:hAnsi="Times New Roman" w:eastAsia="Times New Roman"/>
        </w:rPr>
        <w:t>2022</w:t>
      </w:r>
      <w:r>
        <w:rPr>
          <w:rFonts w:ascii="Times New Roman" w:hAnsi="Times New Roman" w:eastAsia="Times New Roman"/>
          <w:spacing w:val="12"/>
        </w:rPr>
        <w:t> </w:t>
      </w:r>
      <w:r>
        <w:rPr/>
        <w:t>年，公司迈出多个关键步伐：发布首份《工业富</w:t>
      </w:r>
      <w:r>
        <w:rPr>
          <w:spacing w:val="-1"/>
        </w:rPr>
        <w:t>联碳中和白皮书》；连续第四年披露 </w:t>
      </w:r>
      <w:r>
        <w:rPr>
          <w:rFonts w:ascii="Times New Roman" w:hAnsi="Times New Roman" w:eastAsia="Times New Roman"/>
        </w:rPr>
        <w:t>CSR</w:t>
      </w:r>
      <w:r>
        <w:rPr>
          <w:rFonts w:ascii="Times New Roman" w:hAnsi="Times New Roman" w:eastAsia="Times New Roman"/>
          <w:spacing w:val="33"/>
        </w:rPr>
        <w:t> </w:t>
      </w:r>
      <w:r>
        <w:rPr>
          <w:spacing w:val="-1"/>
        </w:rPr>
        <w:t>报告；南宁园区取得 </w:t>
      </w:r>
      <w:r>
        <w:rPr>
          <w:rFonts w:ascii="Times New Roman" w:hAnsi="Times New Roman" w:eastAsia="Times New Roman"/>
        </w:rPr>
        <w:t>UL2799</w:t>
      </w:r>
      <w:r>
        <w:rPr>
          <w:rFonts w:ascii="Times New Roman" w:hAnsi="Times New Roman" w:eastAsia="Times New Roman"/>
          <w:spacing w:val="32"/>
        </w:rPr>
        <w:t> </w:t>
      </w:r>
      <w:r>
        <w:rPr/>
        <w:t>废弃物零填埋铂金级认</w:t>
      </w:r>
      <w:r>
        <w:rPr>
          <w:spacing w:val="3"/>
        </w:rPr>
        <w:t>证，成为广西首家取得废弃物零填埋认证的企业；连续两年入选《上市公司 </w:t>
      </w:r>
      <w:r>
        <w:rPr>
          <w:rFonts w:ascii="Times New Roman" w:hAnsi="Times New Roman" w:eastAsia="Times New Roman"/>
        </w:rPr>
        <w:t>ESG</w:t>
      </w:r>
      <w:r>
        <w:rPr>
          <w:rFonts w:ascii="Times New Roman" w:hAnsi="Times New Roman" w:eastAsia="Times New Roman"/>
          <w:spacing w:val="66"/>
        </w:rPr>
        <w:t> </w:t>
      </w:r>
      <w:r>
        <w:rPr/>
        <w:t>优秀实践案例》；收获“</w:t>
      </w:r>
      <w:r>
        <w:rPr>
          <w:rFonts w:ascii="Times New Roman" w:hAnsi="Times New Roman" w:eastAsia="Times New Roman"/>
        </w:rPr>
        <w:t>2021</w:t>
      </w:r>
      <w:r>
        <w:rPr>
          <w:rFonts w:ascii="Times New Roman" w:hAnsi="Times New Roman" w:eastAsia="Times New Roman"/>
          <w:spacing w:val="19"/>
        </w:rPr>
        <w:t> </w:t>
      </w:r>
      <w:r>
        <w:rPr>
          <w:spacing w:val="-1"/>
        </w:rPr>
        <w:t>年度杰出责任企业”大奖、新财富“最佳上市公司”和“最佳 </w:t>
      </w:r>
      <w:r>
        <w:rPr>
          <w:rFonts w:ascii="Times New Roman" w:hAnsi="Times New Roman" w:eastAsia="Times New Roman"/>
        </w:rPr>
        <w:t>ESG</w:t>
      </w:r>
      <w:r>
        <w:rPr>
          <w:rFonts w:ascii="Times New Roman" w:hAnsi="Times New Roman" w:eastAsia="Times New Roman"/>
          <w:spacing w:val="22"/>
        </w:rPr>
        <w:t> </w:t>
      </w:r>
      <w:r>
        <w:rPr/>
        <w:t>实践奖”</w:t>
      </w:r>
      <w:r>
        <w:rPr>
          <w:spacing w:val="-103"/>
        </w:rPr>
        <w:t> </w:t>
      </w:r>
      <w:r>
        <w:rPr/>
        <w:t>等多项荣誉。公司已明确提出碳中和的行动目标和具体计划，承诺到 </w:t>
      </w:r>
      <w:r>
        <w:rPr>
          <w:rFonts w:ascii="Times New Roman" w:hAnsi="Times New Roman" w:eastAsia="Times New Roman"/>
        </w:rPr>
        <w:t>2030</w:t>
      </w:r>
      <w:r>
        <w:rPr>
          <w:rFonts w:ascii="Times New Roman" w:hAnsi="Times New Roman" w:eastAsia="Times New Roman"/>
          <w:spacing w:val="6"/>
        </w:rPr>
        <w:t> </w:t>
      </w:r>
      <w:r>
        <w:rPr/>
        <w:t>年运营碳排放量较</w:t>
      </w:r>
    </w:p>
    <w:p>
      <w:pPr>
        <w:pStyle w:val="BodyText"/>
        <w:spacing w:line="364" w:lineRule="auto"/>
        <w:ind w:left="118" w:right="307"/>
        <w:jc w:val="both"/>
      </w:pPr>
      <w:r>
        <w:rPr>
          <w:rFonts w:ascii="Times New Roman" w:hAnsi="Times New Roman" w:eastAsia="Times New Roman"/>
          <w:spacing w:val="-1"/>
        </w:rPr>
        <w:t>2020</w:t>
      </w:r>
      <w:r>
        <w:rPr>
          <w:rFonts w:ascii="Times New Roman" w:hAnsi="Times New Roman" w:eastAsia="Times New Roman"/>
          <w:spacing w:val="-7"/>
        </w:rPr>
        <w:t> </w:t>
      </w:r>
      <w:r>
        <w:rPr>
          <w:spacing w:val="-7"/>
        </w:rPr>
        <w:t>年基准年下降 </w:t>
      </w:r>
      <w:r>
        <w:rPr>
          <w:rFonts w:ascii="Times New Roman" w:hAnsi="Times New Roman" w:eastAsia="Times New Roman"/>
        </w:rPr>
        <w:t>80%</w:t>
      </w:r>
      <w:r>
        <w:rPr>
          <w:spacing w:val="-16"/>
        </w:rPr>
        <w:t>，到 </w:t>
      </w:r>
      <w:r>
        <w:rPr>
          <w:rFonts w:ascii="Times New Roman" w:hAnsi="Times New Roman" w:eastAsia="Times New Roman"/>
        </w:rPr>
        <w:t>2035</w:t>
      </w:r>
      <w:r>
        <w:rPr>
          <w:rFonts w:ascii="Times New Roman" w:hAnsi="Times New Roman" w:eastAsia="Times New Roman"/>
          <w:spacing w:val="-7"/>
        </w:rPr>
        <w:t> </w:t>
      </w:r>
      <w:r>
        <w:rPr/>
        <w:t>年实现运营碳中和，</w:t>
      </w:r>
      <w:r>
        <w:rPr>
          <w:rFonts w:ascii="Times New Roman" w:hAnsi="Times New Roman" w:eastAsia="Times New Roman"/>
        </w:rPr>
        <w:t>2050</w:t>
      </w:r>
      <w:r>
        <w:rPr>
          <w:rFonts w:ascii="Times New Roman" w:hAnsi="Times New Roman" w:eastAsia="Times New Roman"/>
          <w:spacing w:val="-5"/>
        </w:rPr>
        <w:t> </w:t>
      </w:r>
      <w:r>
        <w:rPr/>
        <w:t>年实现价值链净零排放。为实现这一</w:t>
      </w:r>
      <w:r>
        <w:rPr>
          <w:spacing w:val="-1"/>
        </w:rPr>
        <w:t>目标，工业富联制定 </w:t>
      </w:r>
      <w:r>
        <w:rPr>
          <w:rFonts w:ascii="Times New Roman" w:hAnsi="Times New Roman" w:eastAsia="Times New Roman"/>
        </w:rPr>
        <w:t>3R</w:t>
      </w:r>
      <w:r>
        <w:rPr>
          <w:rFonts w:ascii="Times New Roman" w:hAnsi="Times New Roman" w:eastAsia="Times New Roman"/>
          <w:spacing w:val="25"/>
        </w:rPr>
        <w:t> </w:t>
      </w:r>
      <w:r>
        <w:rPr/>
        <w:t>策略，在逐步实现自身运营及全价值链碳中和的同时，通过技术创新为社会提供可复制推广的碳中和解决方案。工业富联将致力于成为践行“双碳战略”的行业标杆，</w:t>
      </w:r>
      <w:r>
        <w:rPr>
          <w:spacing w:val="-103"/>
        </w:rPr>
        <w:t> </w:t>
      </w:r>
      <w:r>
        <w:rPr/>
        <w:t>为社会及客户创造更多的价值。 </w:t>
      </w:r>
    </w:p>
    <w:p>
      <w:pPr>
        <w:pStyle w:val="BodyText"/>
        <w:spacing w:line="268" w:lineRule="exact"/>
        <w:ind w:left="118"/>
      </w:pPr>
      <w:r>
        <w:rPr>
          <w:w w:val="100"/>
        </w:rPr>
        <w:t> </w:t>
      </w:r>
    </w:p>
    <w:p>
      <w:pPr>
        <w:pStyle w:val="BodyText"/>
        <w:spacing w:before="61"/>
        <w:ind w:left="118"/>
      </w:pPr>
      <w:r>
        <w:rPr/>
        <w:t>(三)经营计划</w:t>
      </w:r>
    </w:p>
    <w:p>
      <w:pPr>
        <w:pStyle w:val="BodyText"/>
        <w:spacing w:before="62"/>
        <w:ind w:left="118"/>
      </w:pPr>
      <w:r>
        <w:rPr>
          <w:spacing w:val="11"/>
        </w:rPr>
        <w:t>√适用 □不适用</w:t>
      </w:r>
      <w:r>
        <w:rPr>
          <w:spacing w:val="-3"/>
        </w:rPr>
        <w:t> </w:t>
      </w:r>
      <w:r>
        <w:rPr/>
        <w:t> </w:t>
      </w:r>
    </w:p>
    <w:p>
      <w:pPr>
        <w:pStyle w:val="BodyText"/>
        <w:spacing w:before="2"/>
        <w:ind w:left="538"/>
        <w:jc w:val="both"/>
      </w:pPr>
      <w:r>
        <w:rPr>
          <w:rFonts w:ascii="Times New Roman" w:eastAsia="Times New Roman"/>
          <w:b/>
        </w:rPr>
        <w:t>1</w:t>
      </w:r>
      <w:r>
        <w:rPr>
          <w:spacing w:val="-8"/>
        </w:rPr>
        <w:t>、 巩固现有核心业务全球领先优势</w:t>
      </w:r>
    </w:p>
    <w:p>
      <w:pPr>
        <w:pStyle w:val="BodyText"/>
        <w:spacing w:line="364" w:lineRule="auto" w:before="141"/>
        <w:ind w:left="118" w:right="308" w:firstLine="419"/>
        <w:jc w:val="both"/>
      </w:pPr>
      <w:r>
        <w:rPr/>
        <w:t>“智能制造</w:t>
      </w:r>
      <w:r>
        <w:rPr>
          <w:rFonts w:ascii="Times New Roman" w:hAnsi="Times New Roman" w:eastAsia="Times New Roman"/>
        </w:rPr>
        <w:t>+</w:t>
      </w:r>
      <w:r>
        <w:rPr/>
        <w:t>工业互联网”是工业富联上市之初便提出的发展战略，一直被公司视为经营发展的基本盘，是助推公司持续实现价值提升的核心战略。未来，工业富联将继续保持战略定力，</w:t>
      </w:r>
      <w:r>
        <w:rPr>
          <w:spacing w:val="-103"/>
        </w:rPr>
        <w:t> </w:t>
      </w:r>
      <w:r>
        <w:rPr/>
        <w:t>通过加快技术及产品创新、人才引进、数字化转型以及打造更加高效、绿色、安全的供应链体系等方式，进一步实现降本增效，进一步布局高端制造及高毛利产品。</w:t>
      </w:r>
    </w:p>
    <w:p>
      <w:pPr>
        <w:pStyle w:val="BodyText"/>
        <w:spacing w:line="364" w:lineRule="auto"/>
        <w:ind w:left="118" w:right="308" w:firstLine="419"/>
        <w:jc w:val="both"/>
      </w:pPr>
      <w:r>
        <w:rPr/>
        <w:t>在全球生产和生活方式大变革的背景下，公司将强化市场调研，深化客户交流与合作，不断顺应市场变化，持续巩固高端精密机构件、智能穿戴产品、智能家居、云及边缘计算、</w:t>
      </w:r>
      <w:r>
        <w:rPr>
          <w:rFonts w:ascii="Times New Roman" w:eastAsia="Times New Roman"/>
        </w:rPr>
        <w:t>5G+</w:t>
      </w:r>
      <w:r>
        <w:rPr/>
        <w:t>等现有核心业务的全球领先优势。</w:t>
      </w:r>
    </w:p>
    <w:p>
      <w:pPr>
        <w:pStyle w:val="BodyText"/>
        <w:spacing w:line="267" w:lineRule="exact"/>
        <w:ind w:left="540"/>
      </w:pPr>
      <w:r>
        <w:rPr>
          <w:rFonts w:ascii="Times New Roman" w:eastAsia="Times New Roman"/>
          <w:b/>
        </w:rPr>
        <w:t>2</w:t>
      </w:r>
      <w:r>
        <w:rPr/>
        <w:t>、深挖数字经济前沿机遇</w:t>
      </w:r>
    </w:p>
    <w:p>
      <w:pPr>
        <w:pStyle w:val="BodyText"/>
        <w:spacing w:line="364" w:lineRule="auto" w:before="138"/>
        <w:ind w:left="118" w:right="308" w:firstLine="419"/>
        <w:jc w:val="both"/>
      </w:pPr>
      <w:r>
        <w:rPr/>
        <w:t>作为一家数字经济领军企业，工业富联将持续深耕数字产业化和产业数字化，尤其是随着全球新一轮“算力革命”的加速爆发，公司将依托在云服务器、高性能服务器、</w:t>
      </w:r>
      <w:r>
        <w:rPr>
          <w:rFonts w:ascii="Times New Roman" w:hAnsi="Times New Roman" w:eastAsia="Times New Roman"/>
        </w:rPr>
        <w:t>AI</w:t>
      </w:r>
      <w:r>
        <w:rPr>
          <w:rFonts w:ascii="Times New Roman" w:hAnsi="Times New Roman" w:eastAsia="Times New Roman"/>
          <w:spacing w:val="17"/>
        </w:rPr>
        <w:t> </w:t>
      </w:r>
      <w:r>
        <w:rPr/>
        <w:t>服务器、边缘服务器及云储存设备等领域的技术和产品积累，以及所拥有的全球顶尖客户群和海量生产数据，</w:t>
      </w:r>
      <w:r>
        <w:rPr>
          <w:spacing w:val="-103"/>
        </w:rPr>
        <w:t> </w:t>
      </w:r>
      <w:r>
        <w:rPr/>
        <w:t>深化在算力市场的布局。同时，公司也将充分挖掘在自动化装备研发方面的经验，加速实现价值释放。基于以上，“大数据</w:t>
      </w:r>
      <w:r>
        <w:rPr>
          <w:rFonts w:ascii="Times New Roman" w:hAnsi="Times New Roman" w:eastAsia="Times New Roman"/>
        </w:rPr>
        <w:t>+</w:t>
      </w:r>
      <w:r>
        <w:rPr/>
        <w:t>机器人”将成为公司未来强化投资、布局新增长动能的重要方向。</w:t>
      </w:r>
    </w:p>
    <w:p>
      <w:pPr>
        <w:spacing w:after="0" w:line="364" w:lineRule="auto"/>
        <w:jc w:val="both"/>
        <w:sectPr>
          <w:pgSz w:w="11910" w:h="16840"/>
          <w:pgMar w:header="880" w:footer="1195" w:top="1460" w:bottom="1380" w:left="1680" w:right="960"/>
        </w:sectPr>
      </w:pPr>
    </w:p>
    <w:p>
      <w:pPr>
        <w:pStyle w:val="BodyText"/>
        <w:spacing w:line="364" w:lineRule="auto" w:before="61"/>
        <w:ind w:left="118" w:right="308" w:firstLine="419"/>
        <w:jc w:val="both"/>
      </w:pPr>
      <w:r>
        <w:rPr/>
        <w:t>此外，公司也将加速推动在智能制造与工业互联网方面的优势能力，向半导体封测、汽车零部件、储能、能源与碳管理等领域延伸，从而实现公司核心竞争力的持续外溢，拓展更为广阔的价值空间。</w:t>
      </w:r>
    </w:p>
    <w:p>
      <w:pPr>
        <w:pStyle w:val="BodyText"/>
        <w:ind w:left="540"/>
      </w:pPr>
      <w:r>
        <w:rPr>
          <w:rFonts w:ascii="Times New Roman" w:hAnsi="Times New Roman" w:eastAsia="Times New Roman"/>
          <w:b/>
        </w:rPr>
        <w:t>3</w:t>
      </w:r>
      <w:r>
        <w:rPr/>
        <w:t>、加速“灯塔能力”价值释放，助力制造强国战略</w:t>
      </w:r>
    </w:p>
    <w:p>
      <w:pPr>
        <w:pStyle w:val="BodyText"/>
        <w:spacing w:line="364" w:lineRule="auto" w:before="139"/>
        <w:ind w:left="118" w:right="307" w:firstLine="419"/>
        <w:jc w:val="both"/>
      </w:pPr>
      <w:r>
        <w:rPr/>
        <w:t>以“灯塔工厂”为样板的数字化智能化解决方案，已经成为工业富联在数实融合领域的核心竞争力之一。</w:t>
      </w:r>
      <w:r>
        <w:rPr>
          <w:rFonts w:ascii="Times New Roman" w:hAnsi="Times New Roman" w:eastAsia="Times New Roman"/>
        </w:rPr>
        <w:t>2023 </w:t>
      </w:r>
      <w:r>
        <w:rPr>
          <w:spacing w:val="-17"/>
        </w:rPr>
        <w:t>年 </w:t>
      </w:r>
      <w:r>
        <w:rPr>
          <w:rFonts w:ascii="Times New Roman" w:hAnsi="Times New Roman" w:eastAsia="Times New Roman"/>
        </w:rPr>
        <w:t>1</w:t>
      </w:r>
      <w:r>
        <w:rPr>
          <w:rFonts w:ascii="Times New Roman" w:hAnsi="Times New Roman" w:eastAsia="Times New Roman"/>
          <w:spacing w:val="2"/>
        </w:rPr>
        <w:t> </w:t>
      </w:r>
      <w:r>
        <w:rPr>
          <w:spacing w:val="-3"/>
        </w:rPr>
        <w:t>月，工业富联深圳观澜工厂成功入选 </w:t>
      </w:r>
      <w:r>
        <w:rPr>
          <w:rFonts w:ascii="Times New Roman" w:hAnsi="Times New Roman" w:eastAsia="Times New Roman"/>
        </w:rPr>
        <w:t>WEF</w:t>
      </w:r>
      <w:r>
        <w:rPr>
          <w:rFonts w:ascii="Times New Roman" w:hAnsi="Times New Roman" w:eastAsia="Times New Roman"/>
          <w:spacing w:val="-2"/>
        </w:rPr>
        <w:t> </w:t>
      </w:r>
      <w:r>
        <w:rPr/>
        <w:t>世界灯塔工厂，成为世界首座</w:t>
      </w:r>
      <w:r>
        <w:rPr>
          <w:spacing w:val="-3"/>
        </w:rPr>
        <w:t>精密金属加工“灯塔工厂”。至此，工业富联 </w:t>
      </w:r>
      <w:r>
        <w:rPr>
          <w:rFonts w:ascii="Times New Roman" w:hAnsi="Times New Roman" w:eastAsia="Times New Roman"/>
        </w:rPr>
        <w:t>4</w:t>
      </w:r>
      <w:r>
        <w:rPr>
          <w:rFonts w:ascii="Times New Roman" w:hAnsi="Times New Roman" w:eastAsia="Times New Roman"/>
          <w:spacing w:val="-5"/>
        </w:rPr>
        <w:t> </w:t>
      </w:r>
      <w:r>
        <w:rPr>
          <w:spacing w:val="-3"/>
        </w:rPr>
        <w:t>年来参与打造的“灯塔工厂”增至 </w:t>
      </w:r>
      <w:r>
        <w:rPr>
          <w:rFonts w:ascii="Times New Roman" w:hAnsi="Times New Roman" w:eastAsia="Times New Roman"/>
        </w:rPr>
        <w:t>6</w:t>
      </w:r>
      <w:r>
        <w:rPr>
          <w:rFonts w:ascii="Times New Roman" w:hAnsi="Times New Roman" w:eastAsia="Times New Roman"/>
          <w:spacing w:val="-5"/>
        </w:rPr>
        <w:t> </w:t>
      </w:r>
      <w:r>
        <w:rPr/>
        <w:t>座，继续成为中国制造业数字化转型的引领者。</w:t>
      </w:r>
    </w:p>
    <w:p>
      <w:pPr>
        <w:pStyle w:val="BodyText"/>
        <w:spacing w:line="364" w:lineRule="auto"/>
        <w:ind w:left="118" w:right="308" w:firstLine="419"/>
        <w:jc w:val="both"/>
      </w:pPr>
      <w:r>
        <w:rPr/>
        <w:t>作为连续四年入选国家工业互联网“双跨平台”的龙头企业，工业富联在确保自身实现稳定发展的同时，为国家推进制造业高质量发展、建设新型工业化体系贡献力量。公司将以灯塔工厂解决方案为依托，通过“灯塔领航者计划”的持续推进，加速推动自身“灯塔”能力价值释放，</w:t>
      </w:r>
      <w:r>
        <w:rPr>
          <w:spacing w:val="-103"/>
        </w:rPr>
        <w:t> </w:t>
      </w:r>
      <w:r>
        <w:rPr/>
        <w:t>帮助在更多细分领域打造更多的灯塔工厂，做大做强发展成为灯塔工业，助力国家制造业转型升级。 </w:t>
      </w:r>
    </w:p>
    <w:p>
      <w:pPr>
        <w:pStyle w:val="BodyText"/>
        <w:spacing w:line="267" w:lineRule="exact"/>
        <w:ind w:left="118"/>
      </w:pPr>
      <w:r>
        <w:rPr>
          <w:w w:val="100"/>
        </w:rPr>
        <w:t> </w:t>
      </w:r>
    </w:p>
    <w:p>
      <w:pPr>
        <w:pStyle w:val="BodyText"/>
        <w:spacing w:before="63"/>
        <w:ind w:left="118"/>
      </w:pPr>
      <w:r>
        <w:rPr/>
        <w:t>(四)可能面对的风险</w:t>
      </w:r>
    </w:p>
    <w:p>
      <w:pPr>
        <w:pStyle w:val="BodyText"/>
        <w:spacing w:before="62"/>
        <w:ind w:left="118"/>
      </w:pPr>
      <w:r>
        <w:rPr>
          <w:spacing w:val="11"/>
        </w:rPr>
        <w:t>√适用 □不适用</w:t>
      </w:r>
      <w:r>
        <w:rPr>
          <w:spacing w:val="-3"/>
        </w:rPr>
        <w:t> </w:t>
      </w:r>
      <w:r>
        <w:rPr/>
        <w:t> </w:t>
      </w:r>
    </w:p>
    <w:p>
      <w:pPr>
        <w:pStyle w:val="BodyText"/>
        <w:spacing w:before="1"/>
        <w:ind w:left="0"/>
        <w:rPr>
          <w:sz w:val="19"/>
        </w:rPr>
      </w:pPr>
    </w:p>
    <w:p>
      <w:pPr>
        <w:pStyle w:val="BodyText"/>
        <w:ind w:left="545"/>
        <w:jc w:val="both"/>
      </w:pPr>
      <w:r>
        <w:rPr>
          <w:rFonts w:ascii="Times New Roman" w:eastAsia="Times New Roman"/>
          <w:b/>
        </w:rPr>
        <w:t>1</w:t>
      </w:r>
      <w:r>
        <w:rPr>
          <w:spacing w:val="-8"/>
        </w:rPr>
        <w:t>、 宏观经济波动带来的风险</w:t>
      </w:r>
    </w:p>
    <w:p>
      <w:pPr>
        <w:pStyle w:val="BodyText"/>
        <w:spacing w:line="364" w:lineRule="auto" w:before="139"/>
        <w:ind w:left="118" w:right="308" w:firstLine="419"/>
        <w:jc w:val="both"/>
      </w:pPr>
      <w:r>
        <w:rPr/>
        <w:t>电子产品行业与宏观经济息息相关，易受到国际贸易和区域贸易波动的影响。如果公司业务覆盖范围内的国家及地区经济发生衰退或宏观环境发生变化，将直接影响该国家及地区的终端消费水平，进而影响客户端的需求，导致公司的营业收入等降低。</w:t>
      </w:r>
    </w:p>
    <w:p>
      <w:pPr>
        <w:pStyle w:val="BodyText"/>
        <w:spacing w:line="367" w:lineRule="auto"/>
        <w:ind w:left="118" w:right="99" w:firstLine="419"/>
      </w:pPr>
      <w:r>
        <w:rPr/>
        <w:t>公司将发挥完善的全球生产布局及产业链优势，基于多年的智能制造经验及工业大数据基础，</w:t>
      </w:r>
      <w:r>
        <w:rPr>
          <w:spacing w:val="-102"/>
        </w:rPr>
        <w:t> </w:t>
      </w:r>
      <w:r>
        <w:rPr>
          <w:spacing w:val="25"/>
        </w:rPr>
        <w:t>善用</w:t>
      </w:r>
      <w:r>
        <w:rPr>
          <w:rFonts w:ascii="Times New Roman" w:eastAsia="Times New Roman"/>
        </w:rPr>
        <w:t>AI</w:t>
      </w:r>
      <w:r>
        <w:rPr>
          <w:rFonts w:ascii="Times New Roman" w:eastAsia="Times New Roman"/>
          <w:spacing w:val="-13"/>
        </w:rPr>
        <w:t> </w:t>
      </w:r>
      <w:r>
        <w:rPr/>
        <w:t>等新兴技术，稳妥应对可能的宏观经济波动风险。</w:t>
      </w:r>
    </w:p>
    <w:p>
      <w:pPr>
        <w:pStyle w:val="BodyText"/>
        <w:spacing w:line="264" w:lineRule="exact"/>
        <w:ind w:left="545"/>
      </w:pPr>
      <w:r>
        <w:rPr>
          <w:rFonts w:ascii="Calibri" w:eastAsia="Calibri"/>
          <w:b/>
        </w:rPr>
        <w:t>2</w:t>
      </w:r>
      <w:r>
        <w:rPr>
          <w:spacing w:val="-8"/>
        </w:rPr>
        <w:t>、 行业波动带来的风险</w:t>
      </w:r>
    </w:p>
    <w:p>
      <w:pPr>
        <w:pStyle w:val="BodyText"/>
        <w:spacing w:line="364" w:lineRule="auto" w:before="137"/>
        <w:ind w:left="118" w:right="99" w:firstLine="419"/>
      </w:pPr>
      <w:r>
        <w:rPr/>
        <w:t>电子产品行业的技术及产品存在更新迭代速度快的特征。为适应电子产品行业的波动性特征，</w:t>
      </w:r>
      <w:r>
        <w:rPr>
          <w:spacing w:val="-102"/>
        </w:rPr>
        <w:t> </w:t>
      </w:r>
      <w:r>
        <w:rPr/>
        <w:t>行业内主要参与者必须加大研发力度，保持持续创新的能力，不断推出新产品以满足市场需求。</w:t>
      </w:r>
      <w:r>
        <w:rPr>
          <w:spacing w:val="1"/>
        </w:rPr>
        <w:t> </w:t>
      </w:r>
      <w:r>
        <w:rPr/>
        <w:t>如果公司的技术和产品升级更新及生产经营未能及时适应行业的新需求，公司的经营业绩将可能</w:t>
      </w:r>
      <w:r>
        <w:rPr>
          <w:spacing w:val="1"/>
        </w:rPr>
        <w:t> </w:t>
      </w:r>
      <w:r>
        <w:rPr/>
        <w:t>受到不利影响。</w:t>
      </w:r>
    </w:p>
    <w:p>
      <w:pPr>
        <w:pStyle w:val="BodyText"/>
        <w:spacing w:line="364" w:lineRule="auto"/>
        <w:ind w:left="118" w:right="308" w:firstLine="419"/>
        <w:jc w:val="both"/>
      </w:pPr>
      <w:r>
        <w:rPr/>
        <w:t>公司将持续加强研发投入，强化核心人才梯队的培养，同时继续贯彻实施全球化战略布局，</w:t>
      </w:r>
      <w:r>
        <w:rPr>
          <w:spacing w:val="-103"/>
        </w:rPr>
        <w:t> </w:t>
      </w:r>
      <w:r>
        <w:rPr/>
        <w:t>凭借先进的技术、优质的产品和专业的服务满足客户不同需要，充分抵御行业波动可能带来的风险。</w:t>
      </w:r>
    </w:p>
    <w:p>
      <w:pPr>
        <w:pStyle w:val="BodyText"/>
        <w:spacing w:line="268" w:lineRule="exact"/>
        <w:ind w:left="545"/>
        <w:jc w:val="both"/>
      </w:pPr>
      <w:r>
        <w:rPr>
          <w:rFonts w:ascii="Calibri" w:eastAsia="Calibri"/>
          <w:b/>
        </w:rPr>
        <w:t>3</w:t>
      </w:r>
      <w:r>
        <w:rPr>
          <w:spacing w:val="-8"/>
        </w:rPr>
        <w:t>、 汇率波动风险</w:t>
      </w:r>
    </w:p>
    <w:p>
      <w:pPr>
        <w:pStyle w:val="BodyText"/>
        <w:spacing w:line="364" w:lineRule="auto" w:before="139"/>
        <w:ind w:left="118" w:right="308" w:firstLine="419"/>
        <w:jc w:val="both"/>
      </w:pPr>
      <w:r>
        <w:rPr/>
        <w:t>公司在海外市场多个不同货币的国家和地区开展经营，报告期内，公司营业收入中主要以非人民币（美元为主）结算，汇率风险主要来自于以该部分销售、采购以及融资产生的外币敞口及其汇率波动。由汇率波动产生的风险将影响公司盈利水平。</w:t>
      </w:r>
    </w:p>
    <w:p>
      <w:pPr>
        <w:spacing w:after="0" w:line="364" w:lineRule="auto"/>
        <w:jc w:val="both"/>
        <w:sectPr>
          <w:pgSz w:w="11910" w:h="16840"/>
          <w:pgMar w:header="880" w:footer="1195" w:top="1460" w:bottom="1380" w:left="1680" w:right="960"/>
        </w:sectPr>
      </w:pPr>
    </w:p>
    <w:p>
      <w:pPr>
        <w:pStyle w:val="BodyText"/>
        <w:spacing w:line="367" w:lineRule="auto" w:before="61"/>
        <w:ind w:left="118" w:right="310" w:firstLine="419"/>
      </w:pPr>
      <w:r>
        <w:rPr/>
        <w:t>公司将根据自身的业务发展需要，紧密关注国际外汇行情变动，合理开展外汇避险工作，并在必要时积极对冲重大汇率风险，尽可能减小汇率风险。</w:t>
      </w:r>
    </w:p>
    <w:p>
      <w:pPr>
        <w:pStyle w:val="BodyText"/>
        <w:spacing w:line="265" w:lineRule="exact"/>
        <w:ind w:left="545"/>
      </w:pPr>
      <w:r>
        <w:rPr>
          <w:rFonts w:ascii="Calibri" w:eastAsia="Calibri"/>
          <w:b/>
        </w:rPr>
        <w:t>4</w:t>
      </w:r>
      <w:r>
        <w:rPr>
          <w:spacing w:val="-8"/>
        </w:rPr>
        <w:t>、 客户相对集中的风险</w:t>
      </w:r>
    </w:p>
    <w:p>
      <w:pPr>
        <w:pStyle w:val="BodyText"/>
        <w:spacing w:line="364" w:lineRule="auto" w:before="139"/>
        <w:ind w:left="118" w:right="308" w:firstLine="419"/>
        <w:jc w:val="both"/>
      </w:pPr>
      <w:r>
        <w:rPr/>
        <w:t>本报告期内，公司对前五名客户的营业收入合计数占当期营业收入的比例相对较高，客户相对集中。若未来主要客户的需求下降、主要客户的市场份额降低或是竞争地位发生重大变动，或公司与主要客户的合作关系发生变化，公司将面临主要客户订单减少或流失等风险，进而直接影响公司生产经营，对公司的经营业绩造成不利影响。</w:t>
      </w:r>
    </w:p>
    <w:p>
      <w:pPr>
        <w:pStyle w:val="BodyText"/>
        <w:spacing w:line="364" w:lineRule="auto"/>
        <w:ind w:left="118" w:right="308" w:firstLine="419"/>
        <w:jc w:val="both"/>
      </w:pPr>
      <w:r>
        <w:rPr/>
        <w:t>公司客户多为全球知名电子设备品牌厂商，这类厂商对产品生产制造的工艺技术要求高，产量规模大，这要求上游供应商需要有丰富的生产工艺经验及较大的产能，公司在这方面的优势较强。公司与客户合作多年，已经深入了解客户需求，其粘性较强。公司将在稳固现有主要客户合作关系的前提下，不断提高产品质量和服务水平，同时加大全球市场开拓力度，拓宽客户群体，</w:t>
      </w:r>
      <w:r>
        <w:rPr>
          <w:spacing w:val="-103"/>
        </w:rPr>
        <w:t> </w:t>
      </w:r>
      <w:r>
        <w:rPr/>
        <w:t>优化客户结构。</w:t>
      </w:r>
    </w:p>
    <w:p>
      <w:pPr>
        <w:pStyle w:val="BodyText"/>
        <w:spacing w:line="267" w:lineRule="exact"/>
        <w:ind w:left="545"/>
        <w:jc w:val="both"/>
      </w:pPr>
      <w:r>
        <w:rPr>
          <w:rFonts w:ascii="Calibri" w:eastAsia="Calibri"/>
          <w:b/>
        </w:rPr>
        <w:t>5</w:t>
      </w:r>
      <w:r>
        <w:rPr>
          <w:spacing w:val="-8"/>
        </w:rPr>
        <w:t>、 主要原材料价格波动风险</w:t>
      </w:r>
    </w:p>
    <w:p>
      <w:pPr>
        <w:pStyle w:val="BodyText"/>
        <w:spacing w:before="138"/>
        <w:ind w:left="538"/>
        <w:jc w:val="both"/>
      </w:pPr>
      <w:r>
        <w:rPr>
          <w:spacing w:val="6"/>
        </w:rPr>
        <w:t>公司电子产品制造生产所需的主要原材料为印制电路板</w:t>
      </w:r>
      <w:r>
        <w:rPr/>
        <w:t>（</w:t>
      </w:r>
      <w:r>
        <w:rPr>
          <w:rFonts w:ascii="Times New Roman" w:eastAsia="Times New Roman"/>
        </w:rPr>
        <w:t>PCB</w:t>
      </w:r>
      <w:r>
        <w:rPr/>
        <w:t>）</w:t>
      </w:r>
      <w:r>
        <w:rPr>
          <w:spacing w:val="6"/>
        </w:rPr>
        <w:t>、零组件、集成电路板</w:t>
      </w:r>
    </w:p>
    <w:p>
      <w:pPr>
        <w:pStyle w:val="BodyText"/>
        <w:spacing w:line="364" w:lineRule="auto" w:before="139"/>
        <w:ind w:left="118" w:right="308"/>
        <w:jc w:val="both"/>
      </w:pPr>
      <w:r>
        <w:rPr/>
        <w:t>（</w:t>
      </w:r>
      <w:r>
        <w:rPr>
          <w:rFonts w:ascii="Times New Roman" w:eastAsia="Times New Roman"/>
        </w:rPr>
        <w:t>IC</w:t>
      </w:r>
      <w:r>
        <w:rPr/>
        <w:t>）、玻璃、金属材料、塑料等。报告期内，该等主要原材料采购额占公司主营业务成本的比例较高，如果未来主要原材料价格持续出现大幅上涨，而公司无法将增加的采购成本及时向下游传递，则公司的成本控制和生产预算安排将受到较大影响，公司将面临营业成本上升、毛利率水平下降的风险，进而可能对公司的盈利能力造成不利影响。</w:t>
      </w:r>
    </w:p>
    <w:p>
      <w:pPr>
        <w:pStyle w:val="BodyText"/>
        <w:spacing w:line="364" w:lineRule="auto"/>
        <w:ind w:left="118" w:right="310" w:firstLine="419"/>
      </w:pPr>
      <w:r>
        <w:rPr/>
        <w:t>公司将持续关注主要原材料价格的波动，建立供应商战略合作机制，优化升级供应链管理体系。 </w:t>
      </w:r>
    </w:p>
    <w:p>
      <w:pPr>
        <w:pStyle w:val="BodyText"/>
        <w:ind w:left="118"/>
      </w:pPr>
      <w:r>
        <w:rPr>
          <w:w w:val="100"/>
        </w:rPr>
        <w:t> </w:t>
      </w:r>
    </w:p>
    <w:p>
      <w:pPr>
        <w:pStyle w:val="BodyText"/>
        <w:spacing w:before="61"/>
        <w:ind w:left="118"/>
      </w:pPr>
      <w:r>
        <w:rPr/>
        <w:t>(五)其他</w:t>
      </w:r>
    </w:p>
    <w:p>
      <w:pPr>
        <w:pStyle w:val="BodyText"/>
        <w:spacing w:before="65"/>
        <w:ind w:left="118"/>
      </w:pPr>
      <w:r>
        <w:rPr>
          <w:spacing w:val="11"/>
        </w:rPr>
        <w:t>□适用 √不适用</w:t>
      </w:r>
      <w:r>
        <w:rPr>
          <w:spacing w:val="-3"/>
        </w:rPr>
        <w:t> </w:t>
      </w:r>
      <w:r>
        <w:rPr/>
        <w:t> </w:t>
      </w:r>
    </w:p>
    <w:p>
      <w:pPr>
        <w:pStyle w:val="BodyText"/>
        <w:spacing w:before="2"/>
        <w:ind w:left="118"/>
      </w:pPr>
      <w:r>
        <w:rPr>
          <w:w w:val="100"/>
        </w:rPr>
        <w:t> </w:t>
      </w:r>
    </w:p>
    <w:p>
      <w:pPr>
        <w:pStyle w:val="BodyText"/>
        <w:spacing w:line="242" w:lineRule="auto" w:before="64"/>
        <w:ind w:left="538" w:right="306" w:hanging="420"/>
      </w:pPr>
      <w:r>
        <w:rPr/>
        <w:t>七、公司因不适用准则规定或国家秘密、商业秘密等特殊原因，未按准则披露的情况和原因说</w:t>
      </w:r>
      <w:r>
        <w:rPr>
          <w:spacing w:val="1"/>
        </w:rPr>
        <w:t> </w:t>
      </w:r>
      <w:r>
        <w:rPr/>
        <w:t>明</w:t>
      </w:r>
    </w:p>
    <w:p>
      <w:pPr>
        <w:pStyle w:val="BodyText"/>
        <w:spacing w:before="62"/>
        <w:ind w:left="118"/>
      </w:pPr>
      <w:r>
        <w:rPr>
          <w:spacing w:val="11"/>
        </w:rPr>
        <w:t>□适用 √不适用</w:t>
      </w:r>
      <w:r>
        <w:rPr>
          <w:spacing w:val="-3"/>
        </w:rPr>
        <w:t> </w:t>
      </w:r>
      <w:r>
        <w:rPr/>
        <w:t> </w:t>
      </w:r>
    </w:p>
    <w:p>
      <w:pPr>
        <w:pStyle w:val="BodyText"/>
        <w:spacing w:before="2"/>
        <w:ind w:left="118"/>
      </w:pPr>
      <w:r>
        <w:rPr>
          <w:w w:val="100"/>
        </w:rPr>
        <w:t> </w:t>
      </w:r>
    </w:p>
    <w:p>
      <w:pPr>
        <w:pStyle w:val="Heading1"/>
        <w:spacing w:line="424" w:lineRule="exact"/>
        <w:ind w:left="3327" w:right="3522"/>
      </w:pPr>
      <w:bookmarkStart w:name="_bookmark3" w:id="4"/>
      <w:bookmarkEnd w:id="4"/>
      <w:r>
        <w:rPr>
          <w:b w:val="0"/>
        </w:rPr>
      </w:r>
      <w:r>
        <w:rPr/>
        <w:t>第四节      公司治理</w:t>
      </w:r>
    </w:p>
    <w:p>
      <w:pPr>
        <w:pStyle w:val="BodyText"/>
        <w:spacing w:before="183"/>
        <w:ind w:left="118"/>
      </w:pPr>
      <w:r>
        <w:rPr>
          <w:spacing w:val="-11"/>
        </w:rPr>
        <w:t>一、 公司治理相关情况说明</w:t>
      </w:r>
    </w:p>
    <w:p>
      <w:pPr>
        <w:pStyle w:val="BodyText"/>
        <w:spacing w:before="65"/>
        <w:ind w:left="118"/>
      </w:pPr>
      <w:r>
        <w:rPr>
          <w:spacing w:val="11"/>
        </w:rPr>
        <w:t>√适用 □不适用</w:t>
      </w:r>
      <w:r>
        <w:rPr>
          <w:spacing w:val="-3"/>
        </w:rPr>
        <w:t> </w:t>
      </w:r>
      <w:r>
        <w:rPr/>
        <w:t> </w:t>
      </w:r>
    </w:p>
    <w:p>
      <w:pPr>
        <w:pStyle w:val="BodyText"/>
        <w:spacing w:line="364" w:lineRule="auto" w:before="2"/>
        <w:ind w:left="118" w:right="308" w:firstLine="419"/>
        <w:jc w:val="both"/>
      </w:pPr>
      <w:r>
        <w:rPr/>
        <w:t>公司按照《公司法》《证券法》等相关法律法规的要求，建立了由股东大会、董事会、监事会和高级管理层组成的治理架构，形成了权力机构、决策机构、监督机构和管理层之间的相互协调和相互制衡机制。根据有关法律、法规及《公司章程》，公司制定了《股东大会议事规则》</w:t>
      </w:r>
    </w:p>
    <w:p>
      <w:pPr>
        <w:pStyle w:val="BodyText"/>
        <w:spacing w:line="269" w:lineRule="exact"/>
        <w:ind w:left="118"/>
      </w:pPr>
      <w:r>
        <w:rPr/>
        <w:t>《董事会议事规则》《监事会议事规则》及《独立董事工作制度》《董事会秘书工作制度》《关</w:t>
      </w:r>
    </w:p>
    <w:p>
      <w:pPr>
        <w:spacing w:after="0" w:line="269" w:lineRule="exact"/>
        <w:sectPr>
          <w:pgSz w:w="11910" w:h="16840"/>
          <w:pgMar w:header="880" w:footer="1195" w:top="1460" w:bottom="1380" w:left="1680" w:right="960"/>
        </w:sectPr>
      </w:pPr>
    </w:p>
    <w:p>
      <w:pPr>
        <w:pStyle w:val="BodyText"/>
        <w:spacing w:line="367" w:lineRule="auto" w:before="61"/>
        <w:ind w:left="118" w:right="99"/>
      </w:pPr>
      <w:r>
        <w:rPr/>
        <w:t>联交易管理制度》《对外投资管理制度》《财务资助管理制度》《衍生性商品交易业务管理制度》等规章制度，以提升公司管理水平。</w:t>
      </w:r>
    </w:p>
    <w:p>
      <w:pPr>
        <w:pStyle w:val="BodyText"/>
        <w:spacing w:line="364" w:lineRule="auto"/>
        <w:ind w:left="118" w:right="308" w:firstLine="419"/>
        <w:jc w:val="both"/>
      </w:pPr>
      <w:r>
        <w:rPr/>
        <w:t>公司已建立了完善的公司治理制度，并能有效地保护投资者利益。董事会下设四个专门委员会，分别在战略决策、提名、薪酬与考核、审计方面协助董事会履行决策和监控职能。为了增强董事会决策的客观性、科学性，公司聘任了独立董事参与决策和监督。</w:t>
      </w:r>
    </w:p>
    <w:p>
      <w:pPr>
        <w:pStyle w:val="BodyText"/>
        <w:spacing w:line="364" w:lineRule="auto"/>
        <w:ind w:left="118" w:right="308" w:firstLine="419"/>
        <w:jc w:val="both"/>
      </w:pPr>
      <w:r>
        <w:rPr/>
        <w:t>公司已经建立起较为完善的内部管理和控制体系，在技术开发、安全生产、销售管理、质量控制、财务会计等方面制定了相关管理制度，并通过《富士康工业互联网股份有限公司子公司管理制度》等制度，对子公司建立了完善的财务管理制度，包括对各子公司的资金管理制度的具体情况和操作流程进行了明确；对各子公司建立了完善的投资管理制度，明确各公司的权限和责任追究机制，确保控制有效；并对各子公司已建立采购及销售制度并有效实施，能够对下属全资及控股子公司的组织管理、生产经营、内部控制、财务会计、投资管理、利润分配等方面进行有效管理。</w:t>
      </w:r>
    </w:p>
    <w:p>
      <w:pPr>
        <w:pStyle w:val="BodyText"/>
        <w:spacing w:line="364" w:lineRule="auto"/>
        <w:ind w:left="118" w:right="99" w:firstLine="419"/>
      </w:pPr>
      <w:r>
        <w:rPr/>
        <w:t>公司严格依照《上市公司信息披露管理办法》等相关规定，真实、准确、完整、及时、公平、合规地履行信息披露义务，通过指定披露媒体《中国证券报》《上海证券报》《证券时报》《证</w:t>
      </w:r>
      <w:r>
        <w:rPr>
          <w:spacing w:val="1"/>
        </w:rPr>
        <w:t> </w:t>
      </w:r>
      <w:r>
        <w:rPr/>
        <w:t>券日报》以及上交所网站披露有关信息。 </w:t>
      </w:r>
    </w:p>
    <w:p>
      <w:pPr>
        <w:pStyle w:val="BodyText"/>
        <w:spacing w:line="269" w:lineRule="exact"/>
        <w:ind w:left="118"/>
      </w:pPr>
      <w:r>
        <w:rPr>
          <w:w w:val="100"/>
        </w:rPr>
        <w:t> </w:t>
      </w:r>
    </w:p>
    <w:p>
      <w:pPr>
        <w:pStyle w:val="BodyText"/>
        <w:spacing w:line="244" w:lineRule="auto"/>
        <w:ind w:left="118" w:right="317"/>
      </w:pPr>
      <w:r>
        <w:rPr/>
        <w:t>公司治理与法律、行政法规和中国证监会关于上市公司治理的规定是否存在重大差异；如有重大差异，应当说明原因 </w:t>
      </w:r>
    </w:p>
    <w:p>
      <w:pPr>
        <w:pStyle w:val="BodyText"/>
        <w:spacing w:line="265" w:lineRule="exact"/>
        <w:ind w:left="118"/>
      </w:pPr>
      <w:r>
        <w:rPr>
          <w:spacing w:val="-1"/>
        </w:rPr>
        <w:t>□适用 √不适用</w:t>
      </w:r>
      <w:r>
        <w:rPr>
          <w:spacing w:val="-3"/>
        </w:rPr>
        <w:t> </w:t>
      </w:r>
      <w:r>
        <w:rPr/>
        <w:t> </w:t>
      </w:r>
    </w:p>
    <w:p>
      <w:pPr>
        <w:pStyle w:val="BodyText"/>
        <w:ind w:left="118"/>
      </w:pPr>
      <w:r>
        <w:rPr>
          <w:w w:val="100"/>
        </w:rPr>
        <w:t> </w:t>
      </w:r>
    </w:p>
    <w:p>
      <w:pPr>
        <w:pStyle w:val="BodyText"/>
        <w:spacing w:line="242" w:lineRule="auto" w:before="61"/>
        <w:ind w:left="569" w:right="313" w:hanging="452"/>
      </w:pPr>
      <w:r>
        <w:rPr/>
        <w:t>二、 公司控股股东、实际控制人在保证公司资产、人员、财务、机构、业务等方面独立性的具体措施，以及影响公司独立性而采取的解决方案、工作进度及后续工作计划</w:t>
      </w:r>
    </w:p>
    <w:p>
      <w:pPr>
        <w:pStyle w:val="BodyText"/>
        <w:spacing w:before="61"/>
        <w:ind w:left="118"/>
      </w:pPr>
      <w:r>
        <w:rPr>
          <w:spacing w:val="11"/>
        </w:rPr>
        <w:t>□适用 √不适用</w:t>
      </w:r>
      <w:r>
        <w:rPr>
          <w:spacing w:val="-3"/>
        </w:rPr>
        <w:t> </w:t>
      </w:r>
      <w:r>
        <w:rPr/>
        <w:t> </w:t>
      </w:r>
    </w:p>
    <w:p>
      <w:pPr>
        <w:pStyle w:val="BodyText"/>
        <w:spacing w:before="2"/>
        <w:ind w:left="118"/>
      </w:pPr>
      <w:r>
        <w:rPr>
          <w:w w:val="100"/>
        </w:rPr>
        <w:t> </w:t>
      </w:r>
    </w:p>
    <w:p>
      <w:pPr>
        <w:pStyle w:val="BodyText"/>
        <w:spacing w:line="242" w:lineRule="auto" w:before="4"/>
        <w:ind w:left="118" w:right="214"/>
      </w:pPr>
      <w:r>
        <w:rPr/>
        <w:t>控股股东、实际控制人及其控制的其他单位从事与公司相同或者相近业务的情况，以及同业竞争或者同业竞争情况发生较大变化对公司的影响、已采取的解决措施、解决进展以及后续解决计划 </w:t>
      </w:r>
    </w:p>
    <w:p>
      <w:pPr>
        <w:pStyle w:val="BodyText"/>
        <w:spacing w:before="2"/>
        <w:ind w:left="118"/>
      </w:pPr>
      <w:r>
        <w:rPr>
          <w:spacing w:val="11"/>
        </w:rPr>
        <w:t>□适用 √不适用</w:t>
      </w:r>
      <w:r>
        <w:rPr>
          <w:spacing w:val="-3"/>
        </w:rPr>
        <w:t> </w:t>
      </w:r>
      <w:r>
        <w:rPr/>
        <w:t> </w:t>
      </w:r>
    </w:p>
    <w:p>
      <w:pPr>
        <w:pStyle w:val="BodyText"/>
        <w:spacing w:before="2"/>
        <w:ind w:left="118"/>
      </w:pPr>
      <w:r>
        <w:rPr>
          <w:w w:val="100"/>
        </w:rPr>
        <w:t> </w:t>
      </w:r>
    </w:p>
    <w:p>
      <w:pPr>
        <w:pStyle w:val="BodyText"/>
        <w:spacing w:before="64"/>
        <w:ind w:left="118"/>
      </w:pPr>
      <w:r>
        <w:rPr>
          <w:spacing w:val="-12"/>
        </w:rPr>
        <w:t>三、 股东大会情况简介</w:t>
      </w:r>
    </w:p>
    <w:p>
      <w:pPr>
        <w:pStyle w:val="BodyText"/>
        <w:spacing w:before="10"/>
        <w:ind w:left="0"/>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4"/>
        <w:gridCol w:w="1664"/>
        <w:gridCol w:w="2065"/>
        <w:gridCol w:w="1664"/>
        <w:gridCol w:w="1659"/>
      </w:tblGrid>
      <w:tr>
        <w:trPr>
          <w:trHeight w:val="544" w:hRule="atLeast"/>
        </w:trPr>
        <w:tc>
          <w:tcPr>
            <w:tcW w:w="1774" w:type="dxa"/>
          </w:tcPr>
          <w:p>
            <w:pPr>
              <w:pStyle w:val="TableParagraph"/>
              <w:spacing w:before="137"/>
              <w:ind w:left="465"/>
              <w:rPr>
                <w:sz w:val="21"/>
              </w:rPr>
            </w:pPr>
            <w:r>
              <w:rPr>
                <w:spacing w:val="-1"/>
                <w:sz w:val="21"/>
              </w:rPr>
              <w:t>会议届次</w:t>
            </w:r>
            <w:r>
              <w:rPr>
                <w:sz w:val="21"/>
              </w:rPr>
              <w:t> </w:t>
            </w:r>
          </w:p>
        </w:tc>
        <w:tc>
          <w:tcPr>
            <w:tcW w:w="1664" w:type="dxa"/>
          </w:tcPr>
          <w:p>
            <w:pPr>
              <w:pStyle w:val="TableParagraph"/>
              <w:spacing w:before="137"/>
              <w:ind w:left="410"/>
              <w:rPr>
                <w:sz w:val="21"/>
              </w:rPr>
            </w:pPr>
            <w:r>
              <w:rPr>
                <w:spacing w:val="-1"/>
                <w:sz w:val="21"/>
              </w:rPr>
              <w:t>召开日期</w:t>
            </w:r>
            <w:r>
              <w:rPr>
                <w:sz w:val="21"/>
              </w:rPr>
              <w:t> </w:t>
            </w:r>
          </w:p>
        </w:tc>
        <w:tc>
          <w:tcPr>
            <w:tcW w:w="2065" w:type="dxa"/>
          </w:tcPr>
          <w:p>
            <w:pPr>
              <w:pStyle w:val="TableParagraph"/>
              <w:spacing w:before="1"/>
              <w:ind w:left="191"/>
              <w:rPr>
                <w:sz w:val="21"/>
              </w:rPr>
            </w:pPr>
            <w:r>
              <w:rPr>
                <w:sz w:val="21"/>
              </w:rPr>
              <w:t>决议刊登的指定网</w:t>
            </w:r>
          </w:p>
          <w:p>
            <w:pPr>
              <w:pStyle w:val="TableParagraph"/>
              <w:spacing w:line="250" w:lineRule="exact" w:before="4"/>
              <w:ind w:left="399"/>
              <w:rPr>
                <w:sz w:val="21"/>
              </w:rPr>
            </w:pPr>
            <w:r>
              <w:rPr>
                <w:spacing w:val="-1"/>
                <w:sz w:val="21"/>
              </w:rPr>
              <w:t>站的查询索引</w:t>
            </w:r>
            <w:r>
              <w:rPr>
                <w:sz w:val="21"/>
              </w:rPr>
              <w:t> </w:t>
            </w:r>
          </w:p>
        </w:tc>
        <w:tc>
          <w:tcPr>
            <w:tcW w:w="1664" w:type="dxa"/>
          </w:tcPr>
          <w:p>
            <w:pPr>
              <w:pStyle w:val="TableParagraph"/>
              <w:spacing w:before="1"/>
              <w:ind w:left="200"/>
              <w:rPr>
                <w:sz w:val="21"/>
              </w:rPr>
            </w:pPr>
            <w:r>
              <w:rPr>
                <w:sz w:val="21"/>
              </w:rPr>
              <w:t>决议刊登的披</w:t>
            </w:r>
          </w:p>
          <w:p>
            <w:pPr>
              <w:pStyle w:val="TableParagraph"/>
              <w:spacing w:line="250" w:lineRule="exact" w:before="4"/>
              <w:ind w:left="514"/>
              <w:rPr>
                <w:sz w:val="21"/>
              </w:rPr>
            </w:pPr>
            <w:r>
              <w:rPr>
                <w:sz w:val="21"/>
              </w:rPr>
              <w:t>露日期 </w:t>
            </w:r>
          </w:p>
        </w:tc>
        <w:tc>
          <w:tcPr>
            <w:tcW w:w="1659" w:type="dxa"/>
          </w:tcPr>
          <w:p>
            <w:pPr>
              <w:pStyle w:val="TableParagraph"/>
              <w:spacing w:before="137"/>
              <w:ind w:left="406"/>
              <w:rPr>
                <w:sz w:val="21"/>
              </w:rPr>
            </w:pPr>
            <w:r>
              <w:rPr>
                <w:spacing w:val="-1"/>
                <w:sz w:val="21"/>
              </w:rPr>
              <w:t>会议决议</w:t>
            </w:r>
            <w:r>
              <w:rPr>
                <w:sz w:val="21"/>
              </w:rPr>
              <w:t> </w:t>
            </w:r>
          </w:p>
        </w:tc>
      </w:tr>
      <w:tr>
        <w:trPr>
          <w:trHeight w:val="2997" w:hRule="atLeast"/>
        </w:trPr>
        <w:tc>
          <w:tcPr>
            <w:tcW w:w="1774"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spacing w:line="244" w:lineRule="auto" w:before="1"/>
              <w:ind w:left="107" w:right="94"/>
              <w:rPr>
                <w:sz w:val="21"/>
              </w:rPr>
            </w:pPr>
            <w:r>
              <w:rPr>
                <w:rFonts w:ascii="Times New Roman" w:eastAsia="Times New Roman"/>
                <w:sz w:val="21"/>
              </w:rPr>
              <w:t>2021</w:t>
            </w:r>
            <w:r>
              <w:rPr>
                <w:rFonts w:ascii="Times New Roman" w:eastAsia="Times New Roman"/>
                <w:spacing w:val="22"/>
                <w:sz w:val="21"/>
              </w:rPr>
              <w:t> </w:t>
            </w:r>
            <w:r>
              <w:rPr>
                <w:sz w:val="21"/>
              </w:rPr>
              <w:t>年年度股东大会</w:t>
            </w:r>
          </w:p>
        </w:tc>
        <w:tc>
          <w:tcPr>
            <w:tcW w:w="1664" w:type="dxa"/>
          </w:tcPr>
          <w:p>
            <w:pPr>
              <w:pStyle w:val="TableParagraph"/>
              <w:rPr>
                <w:sz w:val="22"/>
              </w:rPr>
            </w:pPr>
          </w:p>
          <w:p>
            <w:pPr>
              <w:pStyle w:val="TableParagraph"/>
              <w:rPr>
                <w:sz w:val="22"/>
              </w:rPr>
            </w:pPr>
          </w:p>
          <w:p>
            <w:pPr>
              <w:pStyle w:val="TableParagraph"/>
              <w:rPr>
                <w:sz w:val="22"/>
              </w:rPr>
            </w:pPr>
          </w:p>
          <w:p>
            <w:pPr>
              <w:pStyle w:val="TableParagraph"/>
              <w:spacing w:before="10"/>
              <w:rPr>
                <w:sz w:val="29"/>
              </w:rPr>
            </w:pPr>
          </w:p>
          <w:p>
            <w:pPr>
              <w:pStyle w:val="TableParagraph"/>
              <w:spacing w:before="1"/>
              <w:ind w:left="107"/>
              <w:rPr>
                <w:rFonts w:ascii="Times New Roman" w:eastAsia="Times New Roman"/>
                <w:sz w:val="21"/>
              </w:rPr>
            </w:pPr>
            <w:r>
              <w:rPr>
                <w:rFonts w:ascii="Times New Roman" w:eastAsia="Times New Roman"/>
                <w:sz w:val="21"/>
              </w:rPr>
              <w:t>2022</w:t>
            </w:r>
            <w:r>
              <w:rPr>
                <w:rFonts w:ascii="Times New Roman" w:eastAsia="Times New Roman"/>
                <w:spacing w:val="11"/>
                <w:sz w:val="21"/>
              </w:rPr>
              <w:t> </w:t>
            </w:r>
            <w:r>
              <w:rPr>
                <w:spacing w:val="-12"/>
                <w:sz w:val="21"/>
              </w:rPr>
              <w:t>年 </w:t>
            </w:r>
            <w:r>
              <w:rPr>
                <w:rFonts w:ascii="Times New Roman" w:eastAsia="Times New Roman"/>
                <w:sz w:val="21"/>
              </w:rPr>
              <w:t>6</w:t>
            </w:r>
            <w:r>
              <w:rPr>
                <w:rFonts w:ascii="Times New Roman" w:eastAsia="Times New Roman"/>
                <w:spacing w:val="10"/>
                <w:sz w:val="21"/>
              </w:rPr>
              <w:t> </w:t>
            </w:r>
            <w:r>
              <w:rPr>
                <w:spacing w:val="-11"/>
                <w:sz w:val="21"/>
              </w:rPr>
              <w:t>月 </w:t>
            </w:r>
            <w:r>
              <w:rPr>
                <w:rFonts w:ascii="Times New Roman" w:eastAsia="Times New Roman"/>
                <w:sz w:val="21"/>
              </w:rPr>
              <w:t>23</w:t>
            </w:r>
          </w:p>
          <w:p>
            <w:pPr>
              <w:pStyle w:val="TableParagraph"/>
              <w:spacing w:before="4"/>
              <w:ind w:left="107"/>
              <w:rPr>
                <w:sz w:val="21"/>
              </w:rPr>
            </w:pPr>
            <w:r>
              <w:rPr>
                <w:w w:val="100"/>
                <w:sz w:val="21"/>
              </w:rPr>
              <w:t>日</w:t>
            </w:r>
          </w:p>
        </w:tc>
        <w:tc>
          <w:tcPr>
            <w:tcW w:w="2065" w:type="dxa"/>
          </w:tcPr>
          <w:p>
            <w:pPr>
              <w:pStyle w:val="TableParagraph"/>
              <w:rPr>
                <w:sz w:val="20"/>
              </w:rPr>
            </w:pPr>
          </w:p>
          <w:p>
            <w:pPr>
              <w:pStyle w:val="TableParagraph"/>
              <w:rPr>
                <w:sz w:val="20"/>
              </w:rPr>
            </w:pPr>
          </w:p>
          <w:p>
            <w:pPr>
              <w:pStyle w:val="TableParagraph"/>
              <w:spacing w:line="244" w:lineRule="auto" w:before="170"/>
              <w:ind w:left="191" w:right="179"/>
              <w:jc w:val="center"/>
              <w:rPr>
                <w:sz w:val="21"/>
              </w:rPr>
            </w:pPr>
            <w:r>
              <w:rPr>
                <w:spacing w:val="-1"/>
                <w:sz w:val="21"/>
              </w:rPr>
              <w:t>详见上海证券交易</w:t>
            </w:r>
            <w:r>
              <w:rPr>
                <w:sz w:val="21"/>
              </w:rPr>
              <w:t>所网站</w:t>
            </w:r>
          </w:p>
          <w:p>
            <w:pPr>
              <w:pStyle w:val="TableParagraph"/>
              <w:spacing w:line="242" w:lineRule="auto"/>
              <w:ind w:left="107" w:right="95"/>
              <w:jc w:val="center"/>
              <w:rPr>
                <w:sz w:val="21"/>
              </w:rPr>
            </w:pPr>
            <w:r>
              <w:rPr>
                <w:sz w:val="21"/>
              </w:rPr>
              <w:t>（</w:t>
            </w:r>
            <w:hyperlink r:id="rId15">
              <w:r>
                <w:rPr>
                  <w:rFonts w:ascii="Times New Roman" w:eastAsia="Times New Roman"/>
                  <w:sz w:val="21"/>
                </w:rPr>
                <w:t>www.sse.com.cn</w:t>
              </w:r>
            </w:hyperlink>
            <w:r>
              <w:rPr>
                <w:sz w:val="21"/>
              </w:rPr>
              <w:t>）</w:t>
            </w:r>
            <w:r>
              <w:rPr>
                <w:spacing w:val="-102"/>
                <w:sz w:val="21"/>
              </w:rPr>
              <w:t> </w:t>
            </w:r>
            <w:r>
              <w:rPr>
                <w:sz w:val="21"/>
              </w:rPr>
              <w:t>及指定媒体披露的公告（公告编号：</w:t>
            </w:r>
            <w:r>
              <w:rPr>
                <w:spacing w:val="1"/>
                <w:sz w:val="21"/>
              </w:rPr>
              <w:t> </w:t>
            </w:r>
            <w:r>
              <w:rPr>
                <w:spacing w:val="-27"/>
                <w:sz w:val="21"/>
              </w:rPr>
              <w:t>临 </w:t>
            </w:r>
            <w:r>
              <w:rPr>
                <w:rFonts w:ascii="Times New Roman" w:eastAsia="Times New Roman"/>
                <w:spacing w:val="-1"/>
                <w:sz w:val="21"/>
              </w:rPr>
              <w:t>2022-056</w:t>
            </w:r>
            <w:r>
              <w:rPr>
                <w:rFonts w:ascii="Times New Roman" w:eastAsia="Times New Roman"/>
                <w:spacing w:val="-9"/>
                <w:sz w:val="21"/>
              </w:rPr>
              <w:t> </w:t>
            </w:r>
            <w:r>
              <w:rPr>
                <w:sz w:val="21"/>
              </w:rPr>
              <w:t>号）</w:t>
            </w:r>
          </w:p>
        </w:tc>
        <w:tc>
          <w:tcPr>
            <w:tcW w:w="1664" w:type="dxa"/>
          </w:tcPr>
          <w:p>
            <w:pPr>
              <w:pStyle w:val="TableParagraph"/>
              <w:rPr>
                <w:sz w:val="22"/>
              </w:rPr>
            </w:pPr>
          </w:p>
          <w:p>
            <w:pPr>
              <w:pStyle w:val="TableParagraph"/>
              <w:rPr>
                <w:sz w:val="22"/>
              </w:rPr>
            </w:pPr>
          </w:p>
          <w:p>
            <w:pPr>
              <w:pStyle w:val="TableParagraph"/>
              <w:rPr>
                <w:sz w:val="22"/>
              </w:rPr>
            </w:pPr>
          </w:p>
          <w:p>
            <w:pPr>
              <w:pStyle w:val="TableParagraph"/>
              <w:spacing w:before="10"/>
              <w:rPr>
                <w:sz w:val="29"/>
              </w:rPr>
            </w:pPr>
          </w:p>
          <w:p>
            <w:pPr>
              <w:pStyle w:val="TableParagraph"/>
              <w:spacing w:before="1"/>
              <w:ind w:left="106"/>
              <w:rPr>
                <w:rFonts w:ascii="Times New Roman" w:eastAsia="Times New Roman"/>
                <w:sz w:val="21"/>
              </w:rPr>
            </w:pPr>
            <w:r>
              <w:rPr>
                <w:rFonts w:ascii="Times New Roman" w:eastAsia="Times New Roman"/>
                <w:sz w:val="21"/>
              </w:rPr>
              <w:t>2022</w:t>
            </w:r>
            <w:r>
              <w:rPr>
                <w:rFonts w:ascii="Times New Roman" w:eastAsia="Times New Roman"/>
                <w:spacing w:val="10"/>
                <w:sz w:val="21"/>
              </w:rPr>
              <w:t> </w:t>
            </w:r>
            <w:r>
              <w:rPr>
                <w:spacing w:val="-12"/>
                <w:sz w:val="21"/>
              </w:rPr>
              <w:t>年 </w:t>
            </w:r>
            <w:r>
              <w:rPr>
                <w:rFonts w:ascii="Times New Roman" w:eastAsia="Times New Roman"/>
                <w:sz w:val="21"/>
              </w:rPr>
              <w:t>6</w:t>
            </w:r>
            <w:r>
              <w:rPr>
                <w:rFonts w:ascii="Times New Roman" w:eastAsia="Times New Roman"/>
                <w:spacing w:val="10"/>
                <w:sz w:val="21"/>
              </w:rPr>
              <w:t> </w:t>
            </w:r>
            <w:r>
              <w:rPr>
                <w:spacing w:val="-11"/>
                <w:sz w:val="21"/>
              </w:rPr>
              <w:t>月 </w:t>
            </w:r>
            <w:r>
              <w:rPr>
                <w:rFonts w:ascii="Times New Roman" w:eastAsia="Times New Roman"/>
                <w:sz w:val="21"/>
              </w:rPr>
              <w:t>24</w:t>
            </w:r>
          </w:p>
          <w:p>
            <w:pPr>
              <w:pStyle w:val="TableParagraph"/>
              <w:spacing w:before="4"/>
              <w:ind w:left="106"/>
              <w:rPr>
                <w:sz w:val="21"/>
              </w:rPr>
            </w:pPr>
            <w:r>
              <w:rPr>
                <w:w w:val="100"/>
                <w:sz w:val="21"/>
              </w:rPr>
              <w:t>日</w:t>
            </w:r>
          </w:p>
        </w:tc>
        <w:tc>
          <w:tcPr>
            <w:tcW w:w="1659" w:type="dxa"/>
          </w:tcPr>
          <w:p>
            <w:pPr>
              <w:pStyle w:val="TableParagraph"/>
              <w:spacing w:line="242" w:lineRule="auto" w:before="4"/>
              <w:ind w:left="103" w:right="59"/>
              <w:jc w:val="both"/>
              <w:rPr>
                <w:sz w:val="21"/>
              </w:rPr>
            </w:pPr>
            <w:r>
              <w:rPr>
                <w:rFonts w:ascii="Times New Roman" w:eastAsia="Times New Roman"/>
                <w:sz w:val="21"/>
              </w:rPr>
              <w:t>2021</w:t>
            </w:r>
            <w:r>
              <w:rPr>
                <w:rFonts w:ascii="Times New Roman" w:eastAsia="Times New Roman"/>
                <w:spacing w:val="6"/>
                <w:sz w:val="21"/>
              </w:rPr>
              <w:t> </w:t>
            </w:r>
            <w:r>
              <w:rPr>
                <w:spacing w:val="17"/>
                <w:sz w:val="21"/>
              </w:rPr>
              <w:t>年度股东</w:t>
            </w:r>
            <w:r>
              <w:rPr>
                <w:spacing w:val="33"/>
                <w:sz w:val="21"/>
              </w:rPr>
              <w:t>大会审议通过</w:t>
            </w:r>
          </w:p>
          <w:p>
            <w:pPr>
              <w:pStyle w:val="TableParagraph"/>
              <w:spacing w:line="242" w:lineRule="auto" w:before="1"/>
              <w:ind w:left="103" w:right="59"/>
              <w:jc w:val="both"/>
              <w:rPr>
                <w:sz w:val="21"/>
              </w:rPr>
            </w:pPr>
            <w:r>
              <w:rPr>
                <w:spacing w:val="3"/>
                <w:sz w:val="21"/>
              </w:rPr>
              <w:t>《关于</w:t>
            </w:r>
            <w:r>
              <w:rPr>
                <w:rFonts w:ascii="Times New Roman" w:eastAsia="Times New Roman"/>
                <w:sz w:val="21"/>
              </w:rPr>
              <w:t>&lt;</w:t>
            </w:r>
            <w:r>
              <w:rPr>
                <w:spacing w:val="3"/>
                <w:sz w:val="21"/>
              </w:rPr>
              <w:t>富士康</w:t>
            </w:r>
            <w:r>
              <w:rPr>
                <w:spacing w:val="33"/>
                <w:sz w:val="21"/>
              </w:rPr>
              <w:t>工业互联网股</w:t>
            </w:r>
            <w:r>
              <w:rPr>
                <w:spacing w:val="-5"/>
                <w:sz w:val="21"/>
              </w:rPr>
              <w:t>份 有 限 公 司</w:t>
            </w:r>
            <w:r>
              <w:rPr>
                <w:rFonts w:ascii="Times New Roman" w:eastAsia="Times New Roman"/>
                <w:sz w:val="21"/>
              </w:rPr>
              <w:t>2021</w:t>
            </w:r>
            <w:r>
              <w:rPr>
                <w:rFonts w:ascii="Times New Roman" w:eastAsia="Times New Roman"/>
                <w:spacing w:val="6"/>
                <w:sz w:val="21"/>
              </w:rPr>
              <w:t> </w:t>
            </w:r>
            <w:r>
              <w:rPr>
                <w:spacing w:val="17"/>
                <w:sz w:val="21"/>
              </w:rPr>
              <w:t>年度董事</w:t>
            </w:r>
            <w:r>
              <w:rPr>
                <w:spacing w:val="3"/>
                <w:sz w:val="21"/>
              </w:rPr>
              <w:t>会工作报告</w:t>
            </w:r>
            <w:r>
              <w:rPr>
                <w:rFonts w:ascii="Times New Roman" w:eastAsia="Times New Roman"/>
                <w:spacing w:val="10"/>
                <w:sz w:val="21"/>
              </w:rPr>
              <w:t>&gt;</w:t>
            </w:r>
            <w:r>
              <w:rPr>
                <w:sz w:val="21"/>
              </w:rPr>
              <w:t>的</w:t>
            </w:r>
            <w:r>
              <w:rPr>
                <w:spacing w:val="33"/>
                <w:sz w:val="21"/>
              </w:rPr>
              <w:t>议案》、《关</w:t>
            </w:r>
            <w:r>
              <w:rPr>
                <w:spacing w:val="12"/>
                <w:sz w:val="21"/>
              </w:rPr>
              <w:t>于</w:t>
            </w:r>
            <w:r>
              <w:rPr>
                <w:rFonts w:ascii="Times New Roman" w:eastAsia="Times New Roman"/>
                <w:sz w:val="21"/>
              </w:rPr>
              <w:t>&lt;</w:t>
            </w:r>
            <w:r>
              <w:rPr>
                <w:spacing w:val="1"/>
                <w:sz w:val="21"/>
              </w:rPr>
              <w:t>富士康工业</w:t>
            </w:r>
          </w:p>
          <w:p>
            <w:pPr>
              <w:pStyle w:val="TableParagraph"/>
              <w:spacing w:line="270" w:lineRule="atLeast"/>
              <w:ind w:left="103" w:right="59"/>
              <w:jc w:val="both"/>
              <w:rPr>
                <w:sz w:val="21"/>
              </w:rPr>
            </w:pPr>
            <w:r>
              <w:rPr>
                <w:spacing w:val="33"/>
                <w:sz w:val="21"/>
              </w:rPr>
              <w:t>互联网股份有</w:t>
            </w:r>
            <w:r>
              <w:rPr>
                <w:spacing w:val="-1"/>
                <w:sz w:val="21"/>
              </w:rPr>
              <w:t>限公司 </w:t>
            </w:r>
            <w:r>
              <w:rPr>
                <w:rFonts w:ascii="Times New Roman" w:eastAsia="Times New Roman"/>
                <w:sz w:val="21"/>
              </w:rPr>
              <w:t>2021</w:t>
            </w:r>
            <w:r>
              <w:rPr>
                <w:rFonts w:ascii="Times New Roman" w:eastAsia="Times New Roman"/>
                <w:spacing w:val="29"/>
                <w:sz w:val="21"/>
              </w:rPr>
              <w:t> </w:t>
            </w:r>
            <w:r>
              <w:rPr>
                <w:sz w:val="21"/>
              </w:rPr>
              <w:t>年</w:t>
            </w:r>
          </w:p>
        </w:tc>
      </w:tr>
    </w:tbl>
    <w:p>
      <w:pPr>
        <w:spacing w:after="0" w:line="270" w:lineRule="atLeast"/>
        <w:jc w:val="both"/>
        <w:rPr>
          <w:sz w:val="21"/>
        </w:rPr>
        <w:sectPr>
          <w:pgSz w:w="11910" w:h="16840"/>
          <w:pgMar w:header="880" w:footer="1195" w:top="1460" w:bottom="1380" w:left="1680" w:right="960"/>
        </w:sectPr>
      </w:pPr>
    </w:p>
    <w:p>
      <w:pPr>
        <w:pStyle w:val="BodyText"/>
        <w:spacing w:before="9"/>
        <w:ind w:left="0"/>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4"/>
        <w:gridCol w:w="1664"/>
        <w:gridCol w:w="2065"/>
        <w:gridCol w:w="1664"/>
        <w:gridCol w:w="1659"/>
      </w:tblGrid>
      <w:tr>
        <w:trPr>
          <w:trHeight w:val="818" w:hRule="atLeast"/>
        </w:trPr>
        <w:tc>
          <w:tcPr>
            <w:tcW w:w="1774" w:type="dxa"/>
          </w:tcPr>
          <w:p>
            <w:pPr>
              <w:pStyle w:val="TableParagraph"/>
              <w:rPr>
                <w:rFonts w:ascii="Times New Roman"/>
                <w:sz w:val="20"/>
              </w:rPr>
            </w:pPr>
          </w:p>
        </w:tc>
        <w:tc>
          <w:tcPr>
            <w:tcW w:w="1664" w:type="dxa"/>
          </w:tcPr>
          <w:p>
            <w:pPr>
              <w:pStyle w:val="TableParagraph"/>
              <w:rPr>
                <w:rFonts w:ascii="Times New Roman"/>
                <w:sz w:val="20"/>
              </w:rPr>
            </w:pPr>
          </w:p>
        </w:tc>
        <w:tc>
          <w:tcPr>
            <w:tcW w:w="2065" w:type="dxa"/>
          </w:tcPr>
          <w:p>
            <w:pPr>
              <w:pStyle w:val="TableParagraph"/>
              <w:rPr>
                <w:rFonts w:ascii="Times New Roman"/>
                <w:sz w:val="20"/>
              </w:rPr>
            </w:pPr>
          </w:p>
        </w:tc>
        <w:tc>
          <w:tcPr>
            <w:tcW w:w="1664" w:type="dxa"/>
          </w:tcPr>
          <w:p>
            <w:pPr>
              <w:pStyle w:val="TableParagraph"/>
              <w:rPr>
                <w:rFonts w:ascii="Times New Roman"/>
                <w:sz w:val="20"/>
              </w:rPr>
            </w:pPr>
          </w:p>
        </w:tc>
        <w:tc>
          <w:tcPr>
            <w:tcW w:w="1659" w:type="dxa"/>
          </w:tcPr>
          <w:p>
            <w:pPr>
              <w:pStyle w:val="TableParagraph"/>
              <w:spacing w:line="242" w:lineRule="auto" w:before="3"/>
              <w:ind w:left="103" w:right="59"/>
              <w:rPr>
                <w:sz w:val="21"/>
              </w:rPr>
            </w:pPr>
            <w:r>
              <w:rPr>
                <w:spacing w:val="33"/>
                <w:sz w:val="21"/>
              </w:rPr>
              <w:t>度监事会工作</w:t>
            </w:r>
            <w:r>
              <w:rPr>
                <w:spacing w:val="6"/>
                <w:sz w:val="21"/>
              </w:rPr>
              <w:t>报告</w:t>
            </w:r>
            <w:r>
              <w:rPr>
                <w:rFonts w:ascii="Times New Roman" w:eastAsia="Times New Roman"/>
                <w:sz w:val="21"/>
              </w:rPr>
              <w:t>&gt;</w:t>
            </w:r>
            <w:r>
              <w:rPr>
                <w:spacing w:val="2"/>
                <w:sz w:val="21"/>
              </w:rPr>
              <w:t>的议案》</w:t>
            </w:r>
          </w:p>
          <w:p>
            <w:pPr>
              <w:pStyle w:val="TableParagraph"/>
              <w:spacing w:line="250" w:lineRule="exact" w:before="2"/>
              <w:ind w:left="103"/>
              <w:rPr>
                <w:sz w:val="21"/>
              </w:rPr>
            </w:pPr>
            <w:r>
              <w:rPr>
                <w:spacing w:val="-27"/>
                <w:sz w:val="21"/>
              </w:rPr>
              <w:t>等 </w:t>
            </w:r>
            <w:r>
              <w:rPr>
                <w:rFonts w:ascii="Times New Roman" w:eastAsia="Times New Roman"/>
                <w:sz w:val="21"/>
              </w:rPr>
              <w:t>16</w:t>
            </w:r>
            <w:r>
              <w:rPr>
                <w:rFonts w:ascii="Times New Roman" w:eastAsia="Times New Roman"/>
                <w:spacing w:val="-10"/>
                <w:sz w:val="21"/>
              </w:rPr>
              <w:t> </w:t>
            </w:r>
            <w:r>
              <w:rPr>
                <w:sz w:val="21"/>
              </w:rPr>
              <w:t>项议案</w:t>
            </w:r>
          </w:p>
        </w:tc>
      </w:tr>
    </w:tbl>
    <w:p>
      <w:pPr>
        <w:pStyle w:val="BodyText"/>
        <w:spacing w:before="1"/>
        <w:ind w:left="118"/>
      </w:pPr>
      <w:r>
        <w:rPr>
          <w:w w:val="100"/>
        </w:rPr>
        <w:t> </w:t>
      </w:r>
    </w:p>
    <w:p>
      <w:pPr>
        <w:pStyle w:val="BodyText"/>
        <w:spacing w:before="4"/>
        <w:ind w:left="118"/>
      </w:pPr>
      <w:r>
        <w:rPr>
          <w:spacing w:val="-1"/>
        </w:rPr>
        <w:t>表决权恢复的优先股股东请求召开临时股东大会</w:t>
      </w:r>
      <w:r>
        <w:rPr/>
        <w:t> </w:t>
      </w:r>
    </w:p>
    <w:p>
      <w:pPr>
        <w:pStyle w:val="BodyText"/>
        <w:spacing w:before="3"/>
        <w:ind w:left="118"/>
      </w:pPr>
      <w:r>
        <w:rPr>
          <w:spacing w:val="-1"/>
        </w:rPr>
        <w:t>□适用 √不适用</w:t>
      </w:r>
      <w:r>
        <w:rPr>
          <w:spacing w:val="-3"/>
        </w:rPr>
        <w:t> </w:t>
      </w:r>
      <w:r>
        <w:rPr>
          <w:color w:val="333399"/>
        </w:rPr>
        <w:t> </w:t>
      </w:r>
    </w:p>
    <w:p>
      <w:pPr>
        <w:pStyle w:val="BodyText"/>
        <w:spacing w:before="4"/>
        <w:ind w:left="118"/>
      </w:pPr>
      <w:r>
        <w:rPr>
          <w:w w:val="100"/>
        </w:rPr>
        <w:t> </w:t>
      </w:r>
    </w:p>
    <w:p>
      <w:pPr>
        <w:pStyle w:val="BodyText"/>
        <w:spacing w:before="2"/>
        <w:ind w:left="118"/>
      </w:pPr>
      <w:r>
        <w:rPr>
          <w:spacing w:val="-1"/>
        </w:rPr>
        <w:t>股东大会情况说明</w:t>
      </w:r>
      <w:r>
        <w:rPr/>
        <w:t> </w:t>
      </w:r>
    </w:p>
    <w:p>
      <w:pPr>
        <w:pStyle w:val="BodyText"/>
        <w:spacing w:before="5"/>
        <w:ind w:left="118"/>
      </w:pPr>
      <w:r>
        <w:rPr>
          <w:spacing w:val="-1"/>
        </w:rPr>
        <w:t>√适用 □不适用</w:t>
      </w:r>
      <w:r>
        <w:rPr>
          <w:spacing w:val="-3"/>
        </w:rPr>
        <w:t> </w:t>
      </w:r>
      <w:r>
        <w:rPr/>
        <w:t> </w:t>
      </w:r>
    </w:p>
    <w:p>
      <w:pPr>
        <w:pStyle w:val="BodyText"/>
        <w:spacing w:line="242" w:lineRule="auto" w:before="2"/>
        <w:ind w:left="118" w:right="308" w:firstLine="419"/>
        <w:jc w:val="both"/>
      </w:pPr>
      <w:r>
        <w:rPr>
          <w:spacing w:val="-20"/>
        </w:rPr>
        <w:t>公司 </w:t>
      </w:r>
      <w:r>
        <w:rPr>
          <w:rFonts w:ascii="Times New Roman" w:eastAsia="Times New Roman"/>
        </w:rPr>
        <w:t>2021</w:t>
      </w:r>
      <w:r>
        <w:rPr>
          <w:rFonts w:ascii="Times New Roman" w:eastAsia="Times New Roman"/>
          <w:spacing w:val="-17"/>
        </w:rPr>
        <w:t> </w:t>
      </w:r>
      <w:r>
        <w:rPr>
          <w:spacing w:val="-7"/>
        </w:rPr>
        <w:t>年年度股东大会于 </w:t>
      </w:r>
      <w:r>
        <w:rPr>
          <w:rFonts w:ascii="Times New Roman" w:eastAsia="Times New Roman"/>
        </w:rPr>
        <w:t>2022</w:t>
      </w:r>
      <w:r>
        <w:rPr>
          <w:rFonts w:ascii="Times New Roman" w:eastAsia="Times New Roman"/>
          <w:spacing w:val="-19"/>
        </w:rPr>
        <w:t> </w:t>
      </w:r>
      <w:r>
        <w:rPr>
          <w:spacing w:val="-30"/>
        </w:rPr>
        <w:t>年 </w:t>
      </w:r>
      <w:r>
        <w:rPr>
          <w:rFonts w:ascii="Times New Roman" w:eastAsia="Times New Roman"/>
        </w:rPr>
        <w:t>6</w:t>
      </w:r>
      <w:r>
        <w:rPr>
          <w:rFonts w:ascii="Times New Roman" w:eastAsia="Times New Roman"/>
          <w:spacing w:val="-17"/>
        </w:rPr>
        <w:t> </w:t>
      </w:r>
      <w:r>
        <w:rPr>
          <w:spacing w:val="-31"/>
        </w:rPr>
        <w:t>月 </w:t>
      </w:r>
      <w:r>
        <w:rPr>
          <w:rFonts w:ascii="Times New Roman" w:eastAsia="Times New Roman"/>
        </w:rPr>
        <w:t>23</w:t>
      </w:r>
      <w:r>
        <w:rPr>
          <w:rFonts w:ascii="Times New Roman" w:eastAsia="Times New Roman"/>
          <w:spacing w:val="-16"/>
        </w:rPr>
        <w:t> </w:t>
      </w:r>
      <w:r>
        <w:rPr/>
        <w:t>日召开，会议的召集和召开程序、召集人资格、出席会议人员资格、表决程序等均符合《公司法》《上市公司股东大会规则》等法律法规及《公司章程》的规定，会议决议合法有效。</w:t>
      </w:r>
    </w:p>
    <w:p>
      <w:pPr>
        <w:pStyle w:val="BodyText"/>
        <w:spacing w:before="1"/>
        <w:ind w:left="118"/>
      </w:pPr>
      <w:r>
        <w:rPr>
          <w:w w:val="100"/>
        </w:rPr>
        <w:t> </w:t>
      </w:r>
    </w:p>
    <w:p>
      <w:pPr>
        <w:spacing w:after="0"/>
        <w:sectPr>
          <w:pgSz w:w="11910" w:h="16840"/>
          <w:pgMar w:header="880" w:footer="1195" w:top="1460" w:bottom="1380" w:left="1680" w:right="960"/>
        </w:sectPr>
      </w:pPr>
    </w:p>
    <w:p>
      <w:pPr>
        <w:pStyle w:val="BodyText"/>
        <w:ind w:left="0"/>
        <w:rPr>
          <w:sz w:val="20"/>
        </w:rPr>
      </w:pPr>
    </w:p>
    <w:p>
      <w:pPr>
        <w:pStyle w:val="BodyText"/>
        <w:spacing w:before="4"/>
        <w:ind w:left="0"/>
        <w:rPr>
          <w:sz w:val="27"/>
        </w:rPr>
      </w:pPr>
    </w:p>
    <w:p>
      <w:pPr>
        <w:pStyle w:val="BodyText"/>
        <w:spacing w:before="72"/>
        <w:ind w:left="100"/>
      </w:pPr>
      <w:r>
        <w:rPr>
          <w:spacing w:val="-8"/>
        </w:rPr>
        <w:t>四、 董事、监事和高级管理人员的情况</w:t>
      </w:r>
    </w:p>
    <w:p>
      <w:pPr>
        <w:pStyle w:val="BodyText"/>
        <w:spacing w:before="62"/>
        <w:ind w:left="100"/>
      </w:pPr>
      <w:r>
        <w:rPr>
          <w:rFonts w:ascii="Calibri" w:eastAsia="Calibri"/>
          <w:b/>
        </w:rPr>
        <w:t>(</w:t>
      </w:r>
      <w:r>
        <w:rPr/>
        <w:t>一</w:t>
      </w:r>
      <w:r>
        <w:rPr>
          <w:rFonts w:ascii="Calibri" w:eastAsia="Calibri"/>
          <w:b/>
          <w:spacing w:val="23"/>
        </w:rPr>
        <w:t>) </w:t>
      </w:r>
      <w:r>
        <w:rPr/>
        <w:t>现任及报告期内离任董事、监事和高级管理人员持股变动及报酬情况</w:t>
      </w:r>
    </w:p>
    <w:p>
      <w:pPr>
        <w:pStyle w:val="BodyText"/>
        <w:spacing w:before="65"/>
        <w:ind w:left="100"/>
      </w:pPr>
      <w:r>
        <w:rPr/>
        <w:t>√适用 □不适用</w:t>
      </w:r>
      <w:r>
        <w:rPr>
          <w:spacing w:val="-3"/>
        </w:rPr>
        <w:t> </w:t>
      </w:r>
      <w:r>
        <w:rPr/>
        <w:t> </w:t>
      </w:r>
    </w:p>
    <w:p>
      <w:pPr>
        <w:pStyle w:val="BodyText"/>
        <w:spacing w:before="2" w:after="4"/>
        <w:ind w:left="13134"/>
      </w:pPr>
      <w:r>
        <w:rPr>
          <w:spacing w:val="-1"/>
        </w:rPr>
        <w:t>单位：股</w:t>
      </w:r>
      <w:r>
        <w:rPr/>
        <w:t> </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4"/>
        <w:gridCol w:w="1342"/>
        <w:gridCol w:w="684"/>
        <w:gridCol w:w="857"/>
        <w:gridCol w:w="1224"/>
        <w:gridCol w:w="1222"/>
        <w:gridCol w:w="1153"/>
        <w:gridCol w:w="1138"/>
        <w:gridCol w:w="1364"/>
        <w:gridCol w:w="1182"/>
        <w:gridCol w:w="1419"/>
        <w:gridCol w:w="1453"/>
      </w:tblGrid>
      <w:tr>
        <w:trPr>
          <w:trHeight w:val="1089" w:hRule="atLeast"/>
        </w:trPr>
        <w:tc>
          <w:tcPr>
            <w:tcW w:w="1064" w:type="dxa"/>
          </w:tcPr>
          <w:p>
            <w:pPr>
              <w:pStyle w:val="TableParagraph"/>
              <w:rPr>
                <w:sz w:val="20"/>
              </w:rPr>
            </w:pPr>
          </w:p>
          <w:p>
            <w:pPr>
              <w:pStyle w:val="TableParagraph"/>
              <w:spacing w:before="152"/>
              <w:ind w:right="204"/>
              <w:jc w:val="right"/>
              <w:rPr>
                <w:sz w:val="21"/>
              </w:rPr>
            </w:pPr>
            <w:r>
              <w:rPr>
                <w:sz w:val="21"/>
              </w:rPr>
              <w:t>姓名 </w:t>
            </w:r>
          </w:p>
        </w:tc>
        <w:tc>
          <w:tcPr>
            <w:tcW w:w="1342" w:type="dxa"/>
          </w:tcPr>
          <w:p>
            <w:pPr>
              <w:pStyle w:val="TableParagraph"/>
              <w:rPr>
                <w:sz w:val="20"/>
              </w:rPr>
            </w:pPr>
          </w:p>
          <w:p>
            <w:pPr>
              <w:pStyle w:val="TableParagraph"/>
              <w:spacing w:before="152"/>
              <w:ind w:left="125" w:right="14"/>
              <w:jc w:val="center"/>
              <w:rPr>
                <w:sz w:val="21"/>
              </w:rPr>
            </w:pPr>
            <w:r>
              <w:rPr>
                <w:spacing w:val="-1"/>
                <w:sz w:val="21"/>
              </w:rPr>
              <w:t>职务(注)</w:t>
            </w:r>
            <w:r>
              <w:rPr>
                <w:sz w:val="21"/>
              </w:rPr>
              <w:t> </w:t>
            </w:r>
          </w:p>
        </w:tc>
        <w:tc>
          <w:tcPr>
            <w:tcW w:w="684" w:type="dxa"/>
          </w:tcPr>
          <w:p>
            <w:pPr>
              <w:pStyle w:val="TableParagraph"/>
              <w:rPr>
                <w:sz w:val="20"/>
              </w:rPr>
            </w:pPr>
          </w:p>
          <w:p>
            <w:pPr>
              <w:pStyle w:val="TableParagraph"/>
              <w:spacing w:before="152"/>
              <w:ind w:left="130"/>
              <w:rPr>
                <w:sz w:val="21"/>
              </w:rPr>
            </w:pPr>
            <w:r>
              <w:rPr>
                <w:sz w:val="21"/>
              </w:rPr>
              <w:t>性别 </w:t>
            </w:r>
          </w:p>
        </w:tc>
        <w:tc>
          <w:tcPr>
            <w:tcW w:w="857" w:type="dxa"/>
          </w:tcPr>
          <w:p>
            <w:pPr>
              <w:pStyle w:val="TableParagraph"/>
              <w:rPr>
                <w:sz w:val="20"/>
              </w:rPr>
            </w:pPr>
          </w:p>
          <w:p>
            <w:pPr>
              <w:pStyle w:val="TableParagraph"/>
              <w:spacing w:before="152"/>
              <w:ind w:left="250" w:right="137"/>
              <w:jc w:val="center"/>
              <w:rPr>
                <w:sz w:val="21"/>
              </w:rPr>
            </w:pPr>
            <w:r>
              <w:rPr>
                <w:sz w:val="21"/>
              </w:rPr>
              <w:t>年龄 </w:t>
            </w:r>
          </w:p>
        </w:tc>
        <w:tc>
          <w:tcPr>
            <w:tcW w:w="1224" w:type="dxa"/>
          </w:tcPr>
          <w:p>
            <w:pPr>
              <w:pStyle w:val="TableParagraph"/>
              <w:spacing w:before="3"/>
              <w:rPr>
                <w:sz w:val="21"/>
              </w:rPr>
            </w:pPr>
          </w:p>
          <w:p>
            <w:pPr>
              <w:pStyle w:val="TableParagraph"/>
              <w:spacing w:line="244" w:lineRule="auto"/>
              <w:ind w:left="400" w:right="178" w:hanging="209"/>
              <w:rPr>
                <w:sz w:val="21"/>
              </w:rPr>
            </w:pPr>
            <w:r>
              <w:rPr>
                <w:spacing w:val="-1"/>
                <w:sz w:val="21"/>
              </w:rPr>
              <w:t>任期起始</w:t>
            </w:r>
            <w:r>
              <w:rPr>
                <w:sz w:val="21"/>
              </w:rPr>
              <w:t>日期 </w:t>
            </w:r>
          </w:p>
        </w:tc>
        <w:tc>
          <w:tcPr>
            <w:tcW w:w="1222" w:type="dxa"/>
          </w:tcPr>
          <w:p>
            <w:pPr>
              <w:pStyle w:val="TableParagraph"/>
              <w:spacing w:before="3"/>
              <w:rPr>
                <w:sz w:val="21"/>
              </w:rPr>
            </w:pPr>
          </w:p>
          <w:p>
            <w:pPr>
              <w:pStyle w:val="TableParagraph"/>
              <w:spacing w:line="244" w:lineRule="auto"/>
              <w:ind w:left="400" w:right="178" w:hanging="212"/>
              <w:rPr>
                <w:sz w:val="21"/>
              </w:rPr>
            </w:pPr>
            <w:r>
              <w:rPr>
                <w:spacing w:val="-1"/>
                <w:sz w:val="21"/>
              </w:rPr>
              <w:t>任期终止</w:t>
            </w:r>
            <w:r>
              <w:rPr>
                <w:sz w:val="21"/>
              </w:rPr>
              <w:t>日期 </w:t>
            </w:r>
          </w:p>
        </w:tc>
        <w:tc>
          <w:tcPr>
            <w:tcW w:w="1153" w:type="dxa"/>
          </w:tcPr>
          <w:p>
            <w:pPr>
              <w:pStyle w:val="TableParagraph"/>
              <w:spacing w:before="3"/>
              <w:rPr>
                <w:sz w:val="21"/>
              </w:rPr>
            </w:pPr>
          </w:p>
          <w:p>
            <w:pPr>
              <w:pStyle w:val="TableParagraph"/>
              <w:spacing w:line="244" w:lineRule="auto"/>
              <w:ind w:left="469" w:right="143" w:hanging="315"/>
              <w:rPr>
                <w:sz w:val="21"/>
              </w:rPr>
            </w:pPr>
            <w:r>
              <w:rPr>
                <w:spacing w:val="-1"/>
                <w:sz w:val="21"/>
              </w:rPr>
              <w:t>年初持股</w:t>
            </w:r>
            <w:r>
              <w:rPr>
                <w:sz w:val="21"/>
              </w:rPr>
              <w:t>数 </w:t>
            </w:r>
          </w:p>
        </w:tc>
        <w:tc>
          <w:tcPr>
            <w:tcW w:w="1138" w:type="dxa"/>
          </w:tcPr>
          <w:p>
            <w:pPr>
              <w:pStyle w:val="TableParagraph"/>
              <w:spacing w:before="3"/>
              <w:rPr>
                <w:sz w:val="21"/>
              </w:rPr>
            </w:pPr>
          </w:p>
          <w:p>
            <w:pPr>
              <w:pStyle w:val="TableParagraph"/>
              <w:spacing w:line="244" w:lineRule="auto"/>
              <w:ind w:left="461" w:right="136" w:hanging="315"/>
              <w:rPr>
                <w:sz w:val="21"/>
              </w:rPr>
            </w:pPr>
            <w:r>
              <w:rPr>
                <w:spacing w:val="-1"/>
                <w:sz w:val="21"/>
              </w:rPr>
              <w:t>年末持股</w:t>
            </w:r>
            <w:r>
              <w:rPr>
                <w:sz w:val="21"/>
              </w:rPr>
              <w:t>数 </w:t>
            </w:r>
          </w:p>
        </w:tc>
        <w:tc>
          <w:tcPr>
            <w:tcW w:w="1364" w:type="dxa"/>
          </w:tcPr>
          <w:p>
            <w:pPr>
              <w:pStyle w:val="TableParagraph"/>
              <w:spacing w:before="3"/>
              <w:rPr>
                <w:sz w:val="21"/>
              </w:rPr>
            </w:pPr>
          </w:p>
          <w:p>
            <w:pPr>
              <w:pStyle w:val="TableParagraph"/>
              <w:spacing w:line="244" w:lineRule="auto"/>
              <w:ind w:left="153" w:right="41"/>
              <w:rPr>
                <w:sz w:val="21"/>
              </w:rPr>
            </w:pPr>
            <w:r>
              <w:rPr>
                <w:sz w:val="21"/>
              </w:rPr>
              <w:t>年度内股份增减变动量 </w:t>
            </w:r>
          </w:p>
        </w:tc>
        <w:tc>
          <w:tcPr>
            <w:tcW w:w="1182" w:type="dxa"/>
          </w:tcPr>
          <w:p>
            <w:pPr>
              <w:pStyle w:val="TableParagraph"/>
              <w:spacing w:before="3"/>
              <w:rPr>
                <w:sz w:val="21"/>
              </w:rPr>
            </w:pPr>
          </w:p>
          <w:p>
            <w:pPr>
              <w:pStyle w:val="TableParagraph"/>
              <w:spacing w:line="244" w:lineRule="auto"/>
              <w:ind w:left="376" w:right="159" w:hanging="209"/>
              <w:rPr>
                <w:sz w:val="21"/>
              </w:rPr>
            </w:pPr>
            <w:r>
              <w:rPr>
                <w:spacing w:val="-1"/>
                <w:sz w:val="21"/>
              </w:rPr>
              <w:t>增减变动</w:t>
            </w:r>
            <w:r>
              <w:rPr>
                <w:sz w:val="21"/>
              </w:rPr>
              <w:t>原因 </w:t>
            </w:r>
          </w:p>
        </w:tc>
        <w:tc>
          <w:tcPr>
            <w:tcW w:w="1419" w:type="dxa"/>
          </w:tcPr>
          <w:p>
            <w:pPr>
              <w:pStyle w:val="TableParagraph"/>
              <w:spacing w:line="242" w:lineRule="auto" w:before="1"/>
              <w:ind w:left="179" w:right="174"/>
              <w:jc w:val="both"/>
              <w:rPr>
                <w:sz w:val="21"/>
              </w:rPr>
            </w:pPr>
            <w:r>
              <w:rPr>
                <w:spacing w:val="-1"/>
                <w:sz w:val="21"/>
              </w:rPr>
              <w:t>报告期内从公司获得的</w:t>
            </w:r>
            <w:r>
              <w:rPr>
                <w:spacing w:val="-3"/>
                <w:sz w:val="21"/>
              </w:rPr>
              <w:t>税前报酬总</w:t>
            </w:r>
          </w:p>
          <w:p>
            <w:pPr>
              <w:pStyle w:val="TableParagraph"/>
              <w:spacing w:line="252" w:lineRule="exact" w:before="1"/>
              <w:ind w:left="179"/>
              <w:rPr>
                <w:sz w:val="21"/>
              </w:rPr>
            </w:pPr>
            <w:r>
              <w:rPr>
                <w:sz w:val="21"/>
              </w:rPr>
              <w:t>额（万元） </w:t>
            </w:r>
          </w:p>
        </w:tc>
        <w:tc>
          <w:tcPr>
            <w:tcW w:w="1453" w:type="dxa"/>
          </w:tcPr>
          <w:p>
            <w:pPr>
              <w:pStyle w:val="TableParagraph"/>
              <w:spacing w:line="242" w:lineRule="auto" w:before="138"/>
              <w:ind w:left="195" w:right="192"/>
              <w:jc w:val="center"/>
              <w:rPr>
                <w:sz w:val="21"/>
              </w:rPr>
            </w:pPr>
            <w:r>
              <w:rPr>
                <w:spacing w:val="-1"/>
                <w:sz w:val="21"/>
              </w:rPr>
              <w:t>是否在公司关联方获取</w:t>
            </w:r>
            <w:r>
              <w:rPr>
                <w:sz w:val="21"/>
              </w:rPr>
              <w:t>报酬 </w:t>
            </w:r>
          </w:p>
        </w:tc>
      </w:tr>
      <w:tr>
        <w:trPr>
          <w:trHeight w:val="270" w:hRule="atLeast"/>
        </w:trPr>
        <w:tc>
          <w:tcPr>
            <w:tcW w:w="1064" w:type="dxa"/>
          </w:tcPr>
          <w:p>
            <w:pPr>
              <w:pStyle w:val="TableParagraph"/>
              <w:spacing w:line="250" w:lineRule="exact" w:before="1"/>
              <w:ind w:right="202"/>
              <w:jc w:val="right"/>
              <w:rPr>
                <w:sz w:val="21"/>
              </w:rPr>
            </w:pPr>
            <w:r>
              <w:rPr>
                <w:sz w:val="21"/>
              </w:rPr>
              <w:t>李军旗</w:t>
            </w:r>
          </w:p>
        </w:tc>
        <w:tc>
          <w:tcPr>
            <w:tcW w:w="1342" w:type="dxa"/>
          </w:tcPr>
          <w:p>
            <w:pPr>
              <w:pStyle w:val="TableParagraph"/>
              <w:spacing w:line="250" w:lineRule="exact" w:before="1"/>
              <w:ind w:left="125" w:right="115"/>
              <w:jc w:val="center"/>
              <w:rPr>
                <w:sz w:val="21"/>
              </w:rPr>
            </w:pPr>
            <w:r>
              <w:rPr>
                <w:sz w:val="21"/>
              </w:rPr>
              <w:t>董事长</w:t>
            </w:r>
          </w:p>
        </w:tc>
        <w:tc>
          <w:tcPr>
            <w:tcW w:w="684" w:type="dxa"/>
          </w:tcPr>
          <w:p>
            <w:pPr>
              <w:pStyle w:val="TableParagraph"/>
              <w:spacing w:line="250" w:lineRule="exact" w:before="1"/>
              <w:ind w:left="5"/>
              <w:jc w:val="center"/>
              <w:rPr>
                <w:sz w:val="21"/>
              </w:rPr>
            </w:pPr>
            <w:r>
              <w:rPr>
                <w:w w:val="100"/>
                <w:sz w:val="21"/>
              </w:rPr>
              <w:t>男</w:t>
            </w:r>
          </w:p>
        </w:tc>
        <w:tc>
          <w:tcPr>
            <w:tcW w:w="857" w:type="dxa"/>
          </w:tcPr>
          <w:p>
            <w:pPr>
              <w:pStyle w:val="TableParagraph"/>
              <w:spacing w:before="7"/>
              <w:ind w:left="147" w:right="137"/>
              <w:jc w:val="center"/>
              <w:rPr>
                <w:rFonts w:ascii="Times New Roman"/>
                <w:sz w:val="21"/>
              </w:rPr>
            </w:pPr>
            <w:r>
              <w:rPr>
                <w:rFonts w:ascii="Times New Roman"/>
                <w:sz w:val="21"/>
              </w:rPr>
              <w:t>54</w:t>
            </w:r>
          </w:p>
        </w:tc>
        <w:tc>
          <w:tcPr>
            <w:tcW w:w="1224" w:type="dxa"/>
          </w:tcPr>
          <w:p>
            <w:pPr>
              <w:pStyle w:val="TableParagraph"/>
              <w:spacing w:before="7"/>
              <w:ind w:left="87" w:right="106"/>
              <w:jc w:val="center"/>
              <w:rPr>
                <w:rFonts w:ascii="Times New Roman"/>
                <w:sz w:val="21"/>
              </w:rPr>
            </w:pPr>
            <w:r>
              <w:rPr>
                <w:rFonts w:ascii="Times New Roman"/>
                <w:sz w:val="21"/>
              </w:rPr>
              <w:t>2017-07-10</w:t>
            </w:r>
          </w:p>
        </w:tc>
        <w:tc>
          <w:tcPr>
            <w:tcW w:w="1222" w:type="dxa"/>
          </w:tcPr>
          <w:p>
            <w:pPr>
              <w:pStyle w:val="TableParagraph"/>
              <w:spacing w:before="7"/>
              <w:ind w:left="87" w:right="104"/>
              <w:jc w:val="center"/>
              <w:rPr>
                <w:rFonts w:ascii="Times New Roman"/>
                <w:sz w:val="21"/>
              </w:rPr>
            </w:pPr>
            <w:r>
              <w:rPr>
                <w:rFonts w:ascii="Times New Roman"/>
                <w:sz w:val="21"/>
              </w:rPr>
              <w:t>2023-07-09</w:t>
            </w:r>
          </w:p>
        </w:tc>
        <w:tc>
          <w:tcPr>
            <w:tcW w:w="1153" w:type="dxa"/>
          </w:tcPr>
          <w:p>
            <w:pPr>
              <w:pStyle w:val="TableParagraph"/>
              <w:spacing w:before="7"/>
              <w:ind w:right="99"/>
              <w:jc w:val="right"/>
              <w:rPr>
                <w:rFonts w:ascii="Times New Roman"/>
                <w:sz w:val="21"/>
              </w:rPr>
            </w:pPr>
            <w:r>
              <w:rPr>
                <w:rFonts w:ascii="Times New Roman"/>
                <w:sz w:val="21"/>
              </w:rPr>
              <w:t>60</w:t>
            </w:r>
          </w:p>
        </w:tc>
        <w:tc>
          <w:tcPr>
            <w:tcW w:w="1138" w:type="dxa"/>
          </w:tcPr>
          <w:p>
            <w:pPr>
              <w:pStyle w:val="TableParagraph"/>
              <w:spacing w:before="7"/>
              <w:ind w:right="99"/>
              <w:jc w:val="right"/>
              <w:rPr>
                <w:rFonts w:ascii="Times New Roman"/>
                <w:sz w:val="21"/>
              </w:rPr>
            </w:pPr>
            <w:r>
              <w:rPr>
                <w:rFonts w:ascii="Times New Roman"/>
                <w:sz w:val="21"/>
              </w:rPr>
              <w:t>60</w:t>
            </w:r>
          </w:p>
        </w:tc>
        <w:tc>
          <w:tcPr>
            <w:tcW w:w="1364" w:type="dxa"/>
          </w:tcPr>
          <w:p>
            <w:pPr>
              <w:pStyle w:val="TableParagraph"/>
              <w:spacing w:before="7"/>
              <w:ind w:right="98"/>
              <w:jc w:val="right"/>
              <w:rPr>
                <w:rFonts w:ascii="Times New Roman"/>
                <w:sz w:val="21"/>
              </w:rPr>
            </w:pPr>
            <w:r>
              <w:rPr>
                <w:rFonts w:ascii="Times New Roman"/>
                <w:w w:val="100"/>
                <w:sz w:val="21"/>
              </w:rPr>
              <w:t>0</w:t>
            </w:r>
          </w:p>
        </w:tc>
        <w:tc>
          <w:tcPr>
            <w:tcW w:w="1182" w:type="dxa"/>
          </w:tcPr>
          <w:p>
            <w:pPr>
              <w:pStyle w:val="TableParagraph"/>
              <w:spacing w:line="250" w:lineRule="exact" w:before="1"/>
              <w:ind w:left="252" w:right="249"/>
              <w:jc w:val="center"/>
              <w:rPr>
                <w:sz w:val="21"/>
              </w:rPr>
            </w:pPr>
            <w:r>
              <w:rPr>
                <w:sz w:val="21"/>
              </w:rPr>
              <w:t>不适用</w:t>
            </w:r>
          </w:p>
        </w:tc>
        <w:tc>
          <w:tcPr>
            <w:tcW w:w="1419" w:type="dxa"/>
          </w:tcPr>
          <w:p>
            <w:pPr>
              <w:pStyle w:val="TableParagraph"/>
              <w:spacing w:before="7"/>
              <w:ind w:right="97"/>
              <w:jc w:val="right"/>
              <w:rPr>
                <w:rFonts w:ascii="Times New Roman"/>
                <w:sz w:val="21"/>
              </w:rPr>
            </w:pPr>
            <w:r>
              <w:rPr>
                <w:rFonts w:ascii="Times New Roman"/>
                <w:sz w:val="21"/>
              </w:rPr>
              <w:t>655.46</w:t>
            </w:r>
          </w:p>
        </w:tc>
        <w:tc>
          <w:tcPr>
            <w:tcW w:w="1453" w:type="dxa"/>
          </w:tcPr>
          <w:p>
            <w:pPr>
              <w:pStyle w:val="TableParagraph"/>
              <w:spacing w:line="250" w:lineRule="exact" w:before="1"/>
              <w:ind w:right="1"/>
              <w:jc w:val="center"/>
              <w:rPr>
                <w:sz w:val="21"/>
              </w:rPr>
            </w:pPr>
            <w:r>
              <w:rPr>
                <w:w w:val="100"/>
                <w:sz w:val="21"/>
              </w:rPr>
              <w:t>否</w:t>
            </w:r>
          </w:p>
        </w:tc>
      </w:tr>
      <w:tr>
        <w:trPr>
          <w:trHeight w:val="544" w:hRule="atLeast"/>
        </w:trPr>
        <w:tc>
          <w:tcPr>
            <w:tcW w:w="1064" w:type="dxa"/>
          </w:tcPr>
          <w:p>
            <w:pPr>
              <w:pStyle w:val="TableParagraph"/>
              <w:spacing w:before="138"/>
              <w:ind w:right="202"/>
              <w:jc w:val="right"/>
              <w:rPr>
                <w:sz w:val="21"/>
              </w:rPr>
            </w:pPr>
            <w:r>
              <w:rPr>
                <w:sz w:val="21"/>
              </w:rPr>
              <w:t>郑弘孟</w:t>
            </w:r>
          </w:p>
        </w:tc>
        <w:tc>
          <w:tcPr>
            <w:tcW w:w="1342" w:type="dxa"/>
          </w:tcPr>
          <w:p>
            <w:pPr>
              <w:pStyle w:val="TableParagraph"/>
              <w:spacing w:line="270" w:lineRule="atLeast"/>
              <w:ind w:left="354" w:right="132" w:hanging="212"/>
              <w:rPr>
                <w:sz w:val="21"/>
              </w:rPr>
            </w:pPr>
            <w:r>
              <w:rPr>
                <w:sz w:val="21"/>
              </w:rPr>
              <w:t>副董事长、总经理</w:t>
            </w:r>
          </w:p>
        </w:tc>
        <w:tc>
          <w:tcPr>
            <w:tcW w:w="684" w:type="dxa"/>
          </w:tcPr>
          <w:p>
            <w:pPr>
              <w:pStyle w:val="TableParagraph"/>
              <w:spacing w:before="138"/>
              <w:ind w:left="5"/>
              <w:jc w:val="center"/>
              <w:rPr>
                <w:sz w:val="21"/>
              </w:rPr>
            </w:pPr>
            <w:r>
              <w:rPr>
                <w:w w:val="100"/>
                <w:sz w:val="21"/>
              </w:rPr>
              <w:t>男</w:t>
            </w:r>
          </w:p>
        </w:tc>
        <w:tc>
          <w:tcPr>
            <w:tcW w:w="857" w:type="dxa"/>
          </w:tcPr>
          <w:p>
            <w:pPr>
              <w:pStyle w:val="TableParagraph"/>
              <w:spacing w:before="147"/>
              <w:ind w:left="147" w:right="137"/>
              <w:jc w:val="center"/>
              <w:rPr>
                <w:rFonts w:ascii="Times New Roman"/>
                <w:sz w:val="21"/>
              </w:rPr>
            </w:pPr>
            <w:r>
              <w:rPr>
                <w:rFonts w:ascii="Times New Roman"/>
                <w:sz w:val="21"/>
              </w:rPr>
              <w:t>57</w:t>
            </w:r>
          </w:p>
        </w:tc>
        <w:tc>
          <w:tcPr>
            <w:tcW w:w="1224" w:type="dxa"/>
          </w:tcPr>
          <w:p>
            <w:pPr>
              <w:pStyle w:val="TableParagraph"/>
              <w:spacing w:before="147"/>
              <w:ind w:left="87" w:right="106"/>
              <w:jc w:val="center"/>
              <w:rPr>
                <w:rFonts w:ascii="Times New Roman"/>
                <w:sz w:val="21"/>
              </w:rPr>
            </w:pPr>
            <w:r>
              <w:rPr>
                <w:rFonts w:ascii="Times New Roman"/>
                <w:sz w:val="21"/>
              </w:rPr>
              <w:t>2017-07-10</w:t>
            </w:r>
          </w:p>
        </w:tc>
        <w:tc>
          <w:tcPr>
            <w:tcW w:w="1222" w:type="dxa"/>
          </w:tcPr>
          <w:p>
            <w:pPr>
              <w:pStyle w:val="TableParagraph"/>
              <w:spacing w:before="147"/>
              <w:ind w:left="87" w:right="104"/>
              <w:jc w:val="center"/>
              <w:rPr>
                <w:rFonts w:ascii="Times New Roman"/>
                <w:sz w:val="21"/>
              </w:rPr>
            </w:pPr>
            <w:r>
              <w:rPr>
                <w:rFonts w:ascii="Times New Roman"/>
                <w:sz w:val="21"/>
              </w:rPr>
              <w:t>2023-07-09</w:t>
            </w:r>
          </w:p>
        </w:tc>
        <w:tc>
          <w:tcPr>
            <w:tcW w:w="1153" w:type="dxa"/>
          </w:tcPr>
          <w:p>
            <w:pPr>
              <w:pStyle w:val="TableParagraph"/>
              <w:spacing w:before="147"/>
              <w:ind w:right="99"/>
              <w:jc w:val="right"/>
              <w:rPr>
                <w:rFonts w:ascii="Times New Roman"/>
                <w:sz w:val="21"/>
              </w:rPr>
            </w:pPr>
            <w:r>
              <w:rPr>
                <w:rFonts w:ascii="Times New Roman"/>
                <w:sz w:val="21"/>
              </w:rPr>
              <w:t>50</w:t>
            </w:r>
          </w:p>
        </w:tc>
        <w:tc>
          <w:tcPr>
            <w:tcW w:w="1138" w:type="dxa"/>
          </w:tcPr>
          <w:p>
            <w:pPr>
              <w:pStyle w:val="TableParagraph"/>
              <w:spacing w:before="147"/>
              <w:ind w:right="99"/>
              <w:jc w:val="right"/>
              <w:rPr>
                <w:rFonts w:ascii="Times New Roman"/>
                <w:sz w:val="21"/>
              </w:rPr>
            </w:pPr>
            <w:r>
              <w:rPr>
                <w:rFonts w:ascii="Times New Roman"/>
                <w:sz w:val="21"/>
              </w:rPr>
              <w:t>50</w:t>
            </w:r>
          </w:p>
        </w:tc>
        <w:tc>
          <w:tcPr>
            <w:tcW w:w="1364" w:type="dxa"/>
          </w:tcPr>
          <w:p>
            <w:pPr>
              <w:pStyle w:val="TableParagraph"/>
              <w:spacing w:before="147"/>
              <w:ind w:right="98"/>
              <w:jc w:val="right"/>
              <w:rPr>
                <w:rFonts w:ascii="Times New Roman"/>
                <w:sz w:val="21"/>
              </w:rPr>
            </w:pPr>
            <w:r>
              <w:rPr>
                <w:rFonts w:ascii="Times New Roman"/>
                <w:w w:val="100"/>
                <w:sz w:val="21"/>
              </w:rPr>
              <w:t>0</w:t>
            </w:r>
          </w:p>
        </w:tc>
        <w:tc>
          <w:tcPr>
            <w:tcW w:w="1182" w:type="dxa"/>
          </w:tcPr>
          <w:p>
            <w:pPr>
              <w:pStyle w:val="TableParagraph"/>
              <w:spacing w:before="138"/>
              <w:ind w:left="252" w:right="249"/>
              <w:jc w:val="center"/>
              <w:rPr>
                <w:sz w:val="21"/>
              </w:rPr>
            </w:pPr>
            <w:r>
              <w:rPr>
                <w:sz w:val="21"/>
              </w:rPr>
              <w:t>不适用</w:t>
            </w:r>
          </w:p>
        </w:tc>
        <w:tc>
          <w:tcPr>
            <w:tcW w:w="1419" w:type="dxa"/>
          </w:tcPr>
          <w:p>
            <w:pPr>
              <w:pStyle w:val="TableParagraph"/>
              <w:spacing w:before="147"/>
              <w:ind w:right="97"/>
              <w:jc w:val="right"/>
              <w:rPr>
                <w:rFonts w:ascii="Times New Roman"/>
                <w:sz w:val="21"/>
              </w:rPr>
            </w:pPr>
            <w:r>
              <w:rPr>
                <w:rFonts w:ascii="Times New Roman"/>
                <w:sz w:val="21"/>
              </w:rPr>
              <w:t>664.80</w:t>
            </w:r>
          </w:p>
        </w:tc>
        <w:tc>
          <w:tcPr>
            <w:tcW w:w="1453" w:type="dxa"/>
          </w:tcPr>
          <w:p>
            <w:pPr>
              <w:pStyle w:val="TableParagraph"/>
              <w:spacing w:before="138"/>
              <w:ind w:right="1"/>
              <w:jc w:val="center"/>
              <w:rPr>
                <w:sz w:val="21"/>
              </w:rPr>
            </w:pPr>
            <w:r>
              <w:rPr>
                <w:w w:val="100"/>
                <w:sz w:val="21"/>
              </w:rPr>
              <w:t>否</w:t>
            </w:r>
          </w:p>
        </w:tc>
      </w:tr>
      <w:tr>
        <w:trPr>
          <w:trHeight w:val="273" w:hRule="atLeast"/>
        </w:trPr>
        <w:tc>
          <w:tcPr>
            <w:tcW w:w="1064" w:type="dxa"/>
          </w:tcPr>
          <w:p>
            <w:pPr>
              <w:pStyle w:val="TableParagraph"/>
              <w:spacing w:line="250" w:lineRule="exact" w:before="3"/>
              <w:ind w:right="202"/>
              <w:jc w:val="right"/>
              <w:rPr>
                <w:sz w:val="21"/>
              </w:rPr>
            </w:pPr>
            <w:r>
              <w:rPr>
                <w:sz w:val="21"/>
              </w:rPr>
              <w:t>周泰裕</w:t>
            </w:r>
          </w:p>
        </w:tc>
        <w:tc>
          <w:tcPr>
            <w:tcW w:w="1342" w:type="dxa"/>
          </w:tcPr>
          <w:p>
            <w:pPr>
              <w:pStyle w:val="TableParagraph"/>
              <w:spacing w:line="250" w:lineRule="exact" w:before="3"/>
              <w:ind w:left="125" w:right="115"/>
              <w:jc w:val="center"/>
              <w:rPr>
                <w:sz w:val="21"/>
              </w:rPr>
            </w:pPr>
            <w:r>
              <w:rPr>
                <w:sz w:val="21"/>
              </w:rPr>
              <w:t>董事</w:t>
            </w:r>
          </w:p>
        </w:tc>
        <w:tc>
          <w:tcPr>
            <w:tcW w:w="684" w:type="dxa"/>
          </w:tcPr>
          <w:p>
            <w:pPr>
              <w:pStyle w:val="TableParagraph"/>
              <w:spacing w:line="250" w:lineRule="exact" w:before="3"/>
              <w:ind w:left="5"/>
              <w:jc w:val="center"/>
              <w:rPr>
                <w:sz w:val="21"/>
              </w:rPr>
            </w:pPr>
            <w:r>
              <w:rPr>
                <w:w w:val="100"/>
                <w:sz w:val="21"/>
              </w:rPr>
              <w:t>男</w:t>
            </w:r>
          </w:p>
        </w:tc>
        <w:tc>
          <w:tcPr>
            <w:tcW w:w="857" w:type="dxa"/>
          </w:tcPr>
          <w:p>
            <w:pPr>
              <w:pStyle w:val="TableParagraph"/>
              <w:spacing w:before="10"/>
              <w:ind w:left="147" w:right="137"/>
              <w:jc w:val="center"/>
              <w:rPr>
                <w:rFonts w:ascii="Times New Roman"/>
                <w:sz w:val="21"/>
              </w:rPr>
            </w:pPr>
            <w:r>
              <w:rPr>
                <w:rFonts w:ascii="Times New Roman"/>
                <w:sz w:val="21"/>
              </w:rPr>
              <w:t>64</w:t>
            </w:r>
          </w:p>
        </w:tc>
        <w:tc>
          <w:tcPr>
            <w:tcW w:w="1224" w:type="dxa"/>
          </w:tcPr>
          <w:p>
            <w:pPr>
              <w:pStyle w:val="TableParagraph"/>
              <w:spacing w:before="10"/>
              <w:ind w:left="87" w:right="106"/>
              <w:jc w:val="center"/>
              <w:rPr>
                <w:rFonts w:ascii="Times New Roman"/>
                <w:sz w:val="21"/>
              </w:rPr>
            </w:pPr>
            <w:r>
              <w:rPr>
                <w:rFonts w:ascii="Times New Roman"/>
                <w:sz w:val="21"/>
              </w:rPr>
              <w:t>2019-11-08</w:t>
            </w:r>
          </w:p>
        </w:tc>
        <w:tc>
          <w:tcPr>
            <w:tcW w:w="1222" w:type="dxa"/>
          </w:tcPr>
          <w:p>
            <w:pPr>
              <w:pStyle w:val="TableParagraph"/>
              <w:spacing w:before="10"/>
              <w:ind w:left="87" w:right="104"/>
              <w:jc w:val="center"/>
              <w:rPr>
                <w:rFonts w:ascii="Times New Roman"/>
                <w:sz w:val="21"/>
              </w:rPr>
            </w:pPr>
            <w:r>
              <w:rPr>
                <w:rFonts w:ascii="Times New Roman"/>
                <w:sz w:val="21"/>
              </w:rPr>
              <w:t>2023-07-09</w:t>
            </w:r>
          </w:p>
        </w:tc>
        <w:tc>
          <w:tcPr>
            <w:tcW w:w="1153" w:type="dxa"/>
          </w:tcPr>
          <w:p>
            <w:pPr>
              <w:pStyle w:val="TableParagraph"/>
              <w:spacing w:before="10"/>
              <w:ind w:right="99"/>
              <w:jc w:val="right"/>
              <w:rPr>
                <w:rFonts w:ascii="Times New Roman"/>
                <w:sz w:val="21"/>
              </w:rPr>
            </w:pPr>
            <w:r>
              <w:rPr>
                <w:rFonts w:ascii="Times New Roman"/>
                <w:w w:val="100"/>
                <w:sz w:val="21"/>
              </w:rPr>
              <w:t>0</w:t>
            </w:r>
          </w:p>
        </w:tc>
        <w:tc>
          <w:tcPr>
            <w:tcW w:w="1138" w:type="dxa"/>
          </w:tcPr>
          <w:p>
            <w:pPr>
              <w:pStyle w:val="TableParagraph"/>
              <w:spacing w:before="10"/>
              <w:ind w:right="99"/>
              <w:jc w:val="right"/>
              <w:rPr>
                <w:rFonts w:ascii="Times New Roman"/>
                <w:sz w:val="21"/>
              </w:rPr>
            </w:pPr>
            <w:r>
              <w:rPr>
                <w:rFonts w:ascii="Times New Roman"/>
                <w:w w:val="100"/>
                <w:sz w:val="21"/>
              </w:rPr>
              <w:t>0</w:t>
            </w:r>
          </w:p>
        </w:tc>
        <w:tc>
          <w:tcPr>
            <w:tcW w:w="1364" w:type="dxa"/>
          </w:tcPr>
          <w:p>
            <w:pPr>
              <w:pStyle w:val="TableParagraph"/>
              <w:spacing w:before="10"/>
              <w:ind w:right="98"/>
              <w:jc w:val="right"/>
              <w:rPr>
                <w:rFonts w:ascii="Times New Roman"/>
                <w:sz w:val="21"/>
              </w:rPr>
            </w:pPr>
            <w:r>
              <w:rPr>
                <w:rFonts w:ascii="Times New Roman"/>
                <w:w w:val="100"/>
                <w:sz w:val="21"/>
              </w:rPr>
              <w:t>0</w:t>
            </w:r>
          </w:p>
        </w:tc>
        <w:tc>
          <w:tcPr>
            <w:tcW w:w="1182" w:type="dxa"/>
          </w:tcPr>
          <w:p>
            <w:pPr>
              <w:pStyle w:val="TableParagraph"/>
              <w:spacing w:line="250" w:lineRule="exact" w:before="3"/>
              <w:ind w:left="252" w:right="249"/>
              <w:jc w:val="center"/>
              <w:rPr>
                <w:sz w:val="21"/>
              </w:rPr>
            </w:pPr>
            <w:r>
              <w:rPr>
                <w:sz w:val="21"/>
              </w:rPr>
              <w:t>不适用</w:t>
            </w:r>
          </w:p>
        </w:tc>
        <w:tc>
          <w:tcPr>
            <w:tcW w:w="1419" w:type="dxa"/>
          </w:tcPr>
          <w:p>
            <w:pPr>
              <w:pStyle w:val="TableParagraph"/>
              <w:spacing w:before="10"/>
              <w:ind w:right="97"/>
              <w:jc w:val="right"/>
              <w:rPr>
                <w:rFonts w:ascii="Times New Roman"/>
                <w:sz w:val="21"/>
              </w:rPr>
            </w:pPr>
            <w:r>
              <w:rPr>
                <w:rFonts w:ascii="Times New Roman"/>
                <w:sz w:val="21"/>
              </w:rPr>
              <w:t>419.24</w:t>
            </w:r>
          </w:p>
        </w:tc>
        <w:tc>
          <w:tcPr>
            <w:tcW w:w="1453" w:type="dxa"/>
          </w:tcPr>
          <w:p>
            <w:pPr>
              <w:pStyle w:val="TableParagraph"/>
              <w:spacing w:line="250" w:lineRule="exact" w:before="3"/>
              <w:ind w:right="1"/>
              <w:jc w:val="center"/>
              <w:rPr>
                <w:sz w:val="21"/>
              </w:rPr>
            </w:pPr>
            <w:r>
              <w:rPr>
                <w:w w:val="100"/>
                <w:sz w:val="21"/>
              </w:rPr>
              <w:t>否</w:t>
            </w:r>
          </w:p>
        </w:tc>
      </w:tr>
      <w:tr>
        <w:trPr>
          <w:trHeight w:val="273" w:hRule="atLeast"/>
        </w:trPr>
        <w:tc>
          <w:tcPr>
            <w:tcW w:w="1064" w:type="dxa"/>
          </w:tcPr>
          <w:p>
            <w:pPr>
              <w:pStyle w:val="TableParagraph"/>
              <w:spacing w:line="252" w:lineRule="exact" w:before="1"/>
              <w:ind w:right="202"/>
              <w:jc w:val="right"/>
              <w:rPr>
                <w:sz w:val="21"/>
              </w:rPr>
            </w:pPr>
            <w:r>
              <w:rPr>
                <w:sz w:val="21"/>
              </w:rPr>
              <w:t>刘俊杰</w:t>
            </w:r>
          </w:p>
        </w:tc>
        <w:tc>
          <w:tcPr>
            <w:tcW w:w="1342" w:type="dxa"/>
          </w:tcPr>
          <w:p>
            <w:pPr>
              <w:pStyle w:val="TableParagraph"/>
              <w:spacing w:line="252" w:lineRule="exact" w:before="1"/>
              <w:ind w:left="125" w:right="115"/>
              <w:jc w:val="center"/>
              <w:rPr>
                <w:sz w:val="21"/>
              </w:rPr>
            </w:pPr>
            <w:r>
              <w:rPr>
                <w:sz w:val="21"/>
              </w:rPr>
              <w:t>董事</w:t>
            </w:r>
          </w:p>
        </w:tc>
        <w:tc>
          <w:tcPr>
            <w:tcW w:w="684" w:type="dxa"/>
          </w:tcPr>
          <w:p>
            <w:pPr>
              <w:pStyle w:val="TableParagraph"/>
              <w:spacing w:line="252" w:lineRule="exact" w:before="1"/>
              <w:ind w:left="5"/>
              <w:jc w:val="center"/>
              <w:rPr>
                <w:sz w:val="21"/>
              </w:rPr>
            </w:pPr>
            <w:r>
              <w:rPr>
                <w:w w:val="100"/>
                <w:sz w:val="21"/>
              </w:rPr>
              <w:t>男</w:t>
            </w:r>
          </w:p>
        </w:tc>
        <w:tc>
          <w:tcPr>
            <w:tcW w:w="857" w:type="dxa"/>
          </w:tcPr>
          <w:p>
            <w:pPr>
              <w:pStyle w:val="TableParagraph"/>
              <w:spacing w:before="10"/>
              <w:ind w:left="147" w:right="137"/>
              <w:jc w:val="center"/>
              <w:rPr>
                <w:rFonts w:ascii="Times New Roman"/>
                <w:sz w:val="21"/>
              </w:rPr>
            </w:pPr>
            <w:r>
              <w:rPr>
                <w:rFonts w:ascii="Times New Roman"/>
                <w:sz w:val="21"/>
              </w:rPr>
              <w:t>56</w:t>
            </w:r>
          </w:p>
        </w:tc>
        <w:tc>
          <w:tcPr>
            <w:tcW w:w="1224" w:type="dxa"/>
          </w:tcPr>
          <w:p>
            <w:pPr>
              <w:pStyle w:val="TableParagraph"/>
              <w:spacing w:before="10"/>
              <w:ind w:left="87" w:right="106"/>
              <w:jc w:val="center"/>
              <w:rPr>
                <w:rFonts w:ascii="Times New Roman"/>
                <w:sz w:val="21"/>
              </w:rPr>
            </w:pPr>
            <w:r>
              <w:rPr>
                <w:rFonts w:ascii="Times New Roman"/>
                <w:sz w:val="21"/>
              </w:rPr>
              <w:t>2022-06-23</w:t>
            </w:r>
          </w:p>
        </w:tc>
        <w:tc>
          <w:tcPr>
            <w:tcW w:w="1222" w:type="dxa"/>
          </w:tcPr>
          <w:p>
            <w:pPr>
              <w:pStyle w:val="TableParagraph"/>
              <w:spacing w:before="10"/>
              <w:ind w:left="87" w:right="104"/>
              <w:jc w:val="center"/>
              <w:rPr>
                <w:rFonts w:ascii="Times New Roman"/>
                <w:sz w:val="21"/>
              </w:rPr>
            </w:pPr>
            <w:r>
              <w:rPr>
                <w:rFonts w:ascii="Times New Roman"/>
                <w:sz w:val="21"/>
              </w:rPr>
              <w:t>2023-07-09</w:t>
            </w:r>
          </w:p>
        </w:tc>
        <w:tc>
          <w:tcPr>
            <w:tcW w:w="1153" w:type="dxa"/>
          </w:tcPr>
          <w:p>
            <w:pPr>
              <w:pStyle w:val="TableParagraph"/>
              <w:spacing w:before="10"/>
              <w:ind w:right="99"/>
              <w:jc w:val="right"/>
              <w:rPr>
                <w:rFonts w:ascii="Times New Roman"/>
                <w:sz w:val="21"/>
              </w:rPr>
            </w:pPr>
            <w:r>
              <w:rPr>
                <w:rFonts w:ascii="Times New Roman"/>
                <w:w w:val="100"/>
                <w:sz w:val="21"/>
              </w:rPr>
              <w:t>0</w:t>
            </w:r>
          </w:p>
        </w:tc>
        <w:tc>
          <w:tcPr>
            <w:tcW w:w="1138" w:type="dxa"/>
          </w:tcPr>
          <w:p>
            <w:pPr>
              <w:pStyle w:val="TableParagraph"/>
              <w:spacing w:before="10"/>
              <w:ind w:right="99"/>
              <w:jc w:val="right"/>
              <w:rPr>
                <w:rFonts w:ascii="Times New Roman"/>
                <w:sz w:val="21"/>
              </w:rPr>
            </w:pPr>
            <w:r>
              <w:rPr>
                <w:rFonts w:ascii="Times New Roman"/>
                <w:w w:val="100"/>
                <w:sz w:val="21"/>
              </w:rPr>
              <w:t>0</w:t>
            </w:r>
          </w:p>
        </w:tc>
        <w:tc>
          <w:tcPr>
            <w:tcW w:w="1364" w:type="dxa"/>
          </w:tcPr>
          <w:p>
            <w:pPr>
              <w:pStyle w:val="TableParagraph"/>
              <w:spacing w:before="10"/>
              <w:ind w:right="98"/>
              <w:jc w:val="right"/>
              <w:rPr>
                <w:rFonts w:ascii="Times New Roman"/>
                <w:sz w:val="21"/>
              </w:rPr>
            </w:pPr>
            <w:r>
              <w:rPr>
                <w:rFonts w:ascii="Times New Roman"/>
                <w:w w:val="100"/>
                <w:sz w:val="21"/>
              </w:rPr>
              <w:t>0</w:t>
            </w:r>
          </w:p>
        </w:tc>
        <w:tc>
          <w:tcPr>
            <w:tcW w:w="1182" w:type="dxa"/>
          </w:tcPr>
          <w:p>
            <w:pPr>
              <w:pStyle w:val="TableParagraph"/>
              <w:spacing w:line="252" w:lineRule="exact" w:before="1"/>
              <w:ind w:left="252" w:right="249"/>
              <w:jc w:val="center"/>
              <w:rPr>
                <w:sz w:val="21"/>
              </w:rPr>
            </w:pPr>
            <w:r>
              <w:rPr>
                <w:sz w:val="21"/>
              </w:rPr>
              <w:t>不适用</w:t>
            </w:r>
          </w:p>
        </w:tc>
        <w:tc>
          <w:tcPr>
            <w:tcW w:w="1419" w:type="dxa"/>
          </w:tcPr>
          <w:p>
            <w:pPr>
              <w:pStyle w:val="TableParagraph"/>
              <w:spacing w:before="10"/>
              <w:ind w:right="97"/>
              <w:jc w:val="right"/>
              <w:rPr>
                <w:rFonts w:ascii="Times New Roman"/>
                <w:sz w:val="21"/>
              </w:rPr>
            </w:pPr>
            <w:r>
              <w:rPr>
                <w:rFonts w:ascii="Times New Roman"/>
                <w:sz w:val="21"/>
              </w:rPr>
              <w:t>46.72</w:t>
            </w:r>
          </w:p>
        </w:tc>
        <w:tc>
          <w:tcPr>
            <w:tcW w:w="1453" w:type="dxa"/>
          </w:tcPr>
          <w:p>
            <w:pPr>
              <w:pStyle w:val="TableParagraph"/>
              <w:spacing w:line="252" w:lineRule="exact" w:before="1"/>
              <w:ind w:right="1"/>
              <w:jc w:val="center"/>
              <w:rPr>
                <w:sz w:val="21"/>
              </w:rPr>
            </w:pPr>
            <w:r>
              <w:rPr>
                <w:w w:val="100"/>
                <w:sz w:val="21"/>
              </w:rPr>
              <w:t>否</w:t>
            </w:r>
          </w:p>
        </w:tc>
      </w:tr>
      <w:tr>
        <w:trPr>
          <w:trHeight w:val="270" w:hRule="atLeast"/>
        </w:trPr>
        <w:tc>
          <w:tcPr>
            <w:tcW w:w="1064" w:type="dxa"/>
          </w:tcPr>
          <w:p>
            <w:pPr>
              <w:pStyle w:val="TableParagraph"/>
              <w:spacing w:line="250" w:lineRule="exact" w:before="1"/>
              <w:ind w:right="202"/>
              <w:jc w:val="right"/>
              <w:rPr>
                <w:sz w:val="21"/>
              </w:rPr>
            </w:pPr>
            <w:r>
              <w:rPr>
                <w:spacing w:val="35"/>
                <w:sz w:val="21"/>
              </w:rPr>
              <w:t>薛 健</w:t>
            </w:r>
          </w:p>
        </w:tc>
        <w:tc>
          <w:tcPr>
            <w:tcW w:w="1342" w:type="dxa"/>
          </w:tcPr>
          <w:p>
            <w:pPr>
              <w:pStyle w:val="TableParagraph"/>
              <w:spacing w:line="250" w:lineRule="exact" w:before="1"/>
              <w:ind w:left="125" w:right="117"/>
              <w:jc w:val="center"/>
              <w:rPr>
                <w:sz w:val="21"/>
              </w:rPr>
            </w:pPr>
            <w:r>
              <w:rPr>
                <w:sz w:val="21"/>
              </w:rPr>
              <w:t>独立董事</w:t>
            </w:r>
          </w:p>
        </w:tc>
        <w:tc>
          <w:tcPr>
            <w:tcW w:w="684" w:type="dxa"/>
          </w:tcPr>
          <w:p>
            <w:pPr>
              <w:pStyle w:val="TableParagraph"/>
              <w:spacing w:line="250" w:lineRule="exact" w:before="1"/>
              <w:ind w:left="5"/>
              <w:jc w:val="center"/>
              <w:rPr>
                <w:sz w:val="21"/>
              </w:rPr>
            </w:pPr>
            <w:r>
              <w:rPr>
                <w:w w:val="100"/>
                <w:sz w:val="21"/>
              </w:rPr>
              <w:t>女</w:t>
            </w:r>
          </w:p>
        </w:tc>
        <w:tc>
          <w:tcPr>
            <w:tcW w:w="857" w:type="dxa"/>
          </w:tcPr>
          <w:p>
            <w:pPr>
              <w:pStyle w:val="TableParagraph"/>
              <w:spacing w:before="7"/>
              <w:ind w:left="147" w:right="137"/>
              <w:jc w:val="center"/>
              <w:rPr>
                <w:rFonts w:ascii="Times New Roman"/>
                <w:sz w:val="21"/>
              </w:rPr>
            </w:pPr>
            <w:r>
              <w:rPr>
                <w:rFonts w:ascii="Times New Roman"/>
                <w:sz w:val="21"/>
              </w:rPr>
              <w:t>47</w:t>
            </w:r>
          </w:p>
        </w:tc>
        <w:tc>
          <w:tcPr>
            <w:tcW w:w="1224" w:type="dxa"/>
          </w:tcPr>
          <w:p>
            <w:pPr>
              <w:pStyle w:val="TableParagraph"/>
              <w:spacing w:before="7"/>
              <w:ind w:left="87" w:right="106"/>
              <w:jc w:val="center"/>
              <w:rPr>
                <w:rFonts w:ascii="Times New Roman"/>
                <w:sz w:val="21"/>
              </w:rPr>
            </w:pPr>
            <w:r>
              <w:rPr>
                <w:rFonts w:ascii="Times New Roman"/>
                <w:sz w:val="21"/>
              </w:rPr>
              <w:t>2017-07-10</w:t>
            </w:r>
          </w:p>
        </w:tc>
        <w:tc>
          <w:tcPr>
            <w:tcW w:w="1222" w:type="dxa"/>
          </w:tcPr>
          <w:p>
            <w:pPr>
              <w:pStyle w:val="TableParagraph"/>
              <w:spacing w:before="7"/>
              <w:ind w:left="87" w:right="104"/>
              <w:jc w:val="center"/>
              <w:rPr>
                <w:rFonts w:ascii="Times New Roman"/>
                <w:sz w:val="21"/>
              </w:rPr>
            </w:pPr>
            <w:r>
              <w:rPr>
                <w:rFonts w:ascii="Times New Roman"/>
                <w:sz w:val="21"/>
              </w:rPr>
              <w:t>2023-07-09</w:t>
            </w:r>
          </w:p>
        </w:tc>
        <w:tc>
          <w:tcPr>
            <w:tcW w:w="1153" w:type="dxa"/>
          </w:tcPr>
          <w:p>
            <w:pPr>
              <w:pStyle w:val="TableParagraph"/>
              <w:spacing w:before="7"/>
              <w:ind w:right="99"/>
              <w:jc w:val="right"/>
              <w:rPr>
                <w:rFonts w:ascii="Times New Roman"/>
                <w:sz w:val="21"/>
              </w:rPr>
            </w:pPr>
            <w:r>
              <w:rPr>
                <w:rFonts w:ascii="Times New Roman"/>
                <w:w w:val="100"/>
                <w:sz w:val="21"/>
              </w:rPr>
              <w:t>0</w:t>
            </w:r>
          </w:p>
        </w:tc>
        <w:tc>
          <w:tcPr>
            <w:tcW w:w="1138" w:type="dxa"/>
          </w:tcPr>
          <w:p>
            <w:pPr>
              <w:pStyle w:val="TableParagraph"/>
              <w:spacing w:before="7"/>
              <w:ind w:right="99"/>
              <w:jc w:val="right"/>
              <w:rPr>
                <w:rFonts w:ascii="Times New Roman"/>
                <w:sz w:val="21"/>
              </w:rPr>
            </w:pPr>
            <w:r>
              <w:rPr>
                <w:rFonts w:ascii="Times New Roman"/>
                <w:w w:val="100"/>
                <w:sz w:val="21"/>
              </w:rPr>
              <w:t>0</w:t>
            </w:r>
          </w:p>
        </w:tc>
        <w:tc>
          <w:tcPr>
            <w:tcW w:w="1364" w:type="dxa"/>
          </w:tcPr>
          <w:p>
            <w:pPr>
              <w:pStyle w:val="TableParagraph"/>
              <w:spacing w:before="7"/>
              <w:ind w:right="98"/>
              <w:jc w:val="right"/>
              <w:rPr>
                <w:rFonts w:ascii="Times New Roman"/>
                <w:sz w:val="21"/>
              </w:rPr>
            </w:pPr>
            <w:r>
              <w:rPr>
                <w:rFonts w:ascii="Times New Roman"/>
                <w:w w:val="100"/>
                <w:sz w:val="21"/>
              </w:rPr>
              <w:t>0</w:t>
            </w:r>
          </w:p>
        </w:tc>
        <w:tc>
          <w:tcPr>
            <w:tcW w:w="1182" w:type="dxa"/>
          </w:tcPr>
          <w:p>
            <w:pPr>
              <w:pStyle w:val="TableParagraph"/>
              <w:spacing w:line="250" w:lineRule="exact" w:before="1"/>
              <w:ind w:left="252" w:right="249"/>
              <w:jc w:val="center"/>
              <w:rPr>
                <w:sz w:val="21"/>
              </w:rPr>
            </w:pPr>
            <w:r>
              <w:rPr>
                <w:sz w:val="21"/>
              </w:rPr>
              <w:t>不适用</w:t>
            </w:r>
          </w:p>
        </w:tc>
        <w:tc>
          <w:tcPr>
            <w:tcW w:w="1419" w:type="dxa"/>
          </w:tcPr>
          <w:p>
            <w:pPr>
              <w:pStyle w:val="TableParagraph"/>
              <w:spacing w:before="7"/>
              <w:ind w:right="101"/>
              <w:jc w:val="right"/>
              <w:rPr>
                <w:rFonts w:ascii="Times New Roman"/>
                <w:sz w:val="21"/>
              </w:rPr>
            </w:pPr>
            <w:r>
              <w:rPr>
                <w:rFonts w:ascii="Times New Roman"/>
                <w:w w:val="100"/>
                <w:sz w:val="21"/>
              </w:rPr>
              <w:t>0</w:t>
            </w:r>
          </w:p>
        </w:tc>
        <w:tc>
          <w:tcPr>
            <w:tcW w:w="1453" w:type="dxa"/>
          </w:tcPr>
          <w:p>
            <w:pPr>
              <w:pStyle w:val="TableParagraph"/>
              <w:spacing w:line="250" w:lineRule="exact" w:before="1"/>
              <w:ind w:right="1"/>
              <w:jc w:val="center"/>
              <w:rPr>
                <w:sz w:val="21"/>
              </w:rPr>
            </w:pPr>
            <w:r>
              <w:rPr>
                <w:w w:val="100"/>
                <w:sz w:val="21"/>
              </w:rPr>
              <w:t>否</w:t>
            </w:r>
          </w:p>
        </w:tc>
      </w:tr>
      <w:tr>
        <w:trPr>
          <w:trHeight w:val="273" w:hRule="atLeast"/>
        </w:trPr>
        <w:tc>
          <w:tcPr>
            <w:tcW w:w="1064" w:type="dxa"/>
          </w:tcPr>
          <w:p>
            <w:pPr>
              <w:pStyle w:val="TableParagraph"/>
              <w:spacing w:line="250" w:lineRule="exact" w:before="3"/>
              <w:ind w:right="202"/>
              <w:jc w:val="right"/>
              <w:rPr>
                <w:sz w:val="21"/>
              </w:rPr>
            </w:pPr>
            <w:r>
              <w:rPr>
                <w:sz w:val="21"/>
              </w:rPr>
              <w:t>孙中亮</w:t>
            </w:r>
          </w:p>
        </w:tc>
        <w:tc>
          <w:tcPr>
            <w:tcW w:w="1342" w:type="dxa"/>
          </w:tcPr>
          <w:p>
            <w:pPr>
              <w:pStyle w:val="TableParagraph"/>
              <w:spacing w:line="250" w:lineRule="exact" w:before="3"/>
              <w:ind w:left="125" w:right="117"/>
              <w:jc w:val="center"/>
              <w:rPr>
                <w:sz w:val="21"/>
              </w:rPr>
            </w:pPr>
            <w:r>
              <w:rPr>
                <w:sz w:val="21"/>
              </w:rPr>
              <w:t>独立董事</w:t>
            </w:r>
          </w:p>
        </w:tc>
        <w:tc>
          <w:tcPr>
            <w:tcW w:w="684" w:type="dxa"/>
          </w:tcPr>
          <w:p>
            <w:pPr>
              <w:pStyle w:val="TableParagraph"/>
              <w:spacing w:line="250" w:lineRule="exact" w:before="3"/>
              <w:ind w:left="5"/>
              <w:jc w:val="center"/>
              <w:rPr>
                <w:sz w:val="21"/>
              </w:rPr>
            </w:pPr>
            <w:r>
              <w:rPr>
                <w:w w:val="100"/>
                <w:sz w:val="21"/>
              </w:rPr>
              <w:t>男</w:t>
            </w:r>
          </w:p>
        </w:tc>
        <w:tc>
          <w:tcPr>
            <w:tcW w:w="857" w:type="dxa"/>
          </w:tcPr>
          <w:p>
            <w:pPr>
              <w:pStyle w:val="TableParagraph"/>
              <w:spacing w:before="10"/>
              <w:ind w:left="147" w:right="137"/>
              <w:jc w:val="center"/>
              <w:rPr>
                <w:rFonts w:ascii="Times New Roman"/>
                <w:sz w:val="21"/>
              </w:rPr>
            </w:pPr>
            <w:r>
              <w:rPr>
                <w:rFonts w:ascii="Times New Roman"/>
                <w:sz w:val="21"/>
              </w:rPr>
              <w:t>61</w:t>
            </w:r>
          </w:p>
        </w:tc>
        <w:tc>
          <w:tcPr>
            <w:tcW w:w="1224" w:type="dxa"/>
          </w:tcPr>
          <w:p>
            <w:pPr>
              <w:pStyle w:val="TableParagraph"/>
              <w:spacing w:before="10"/>
              <w:ind w:left="87" w:right="106"/>
              <w:jc w:val="center"/>
              <w:rPr>
                <w:rFonts w:ascii="Times New Roman"/>
                <w:sz w:val="21"/>
              </w:rPr>
            </w:pPr>
            <w:r>
              <w:rPr>
                <w:rFonts w:ascii="Times New Roman"/>
                <w:sz w:val="21"/>
              </w:rPr>
              <w:t>2017-12-06</w:t>
            </w:r>
          </w:p>
        </w:tc>
        <w:tc>
          <w:tcPr>
            <w:tcW w:w="1222" w:type="dxa"/>
          </w:tcPr>
          <w:p>
            <w:pPr>
              <w:pStyle w:val="TableParagraph"/>
              <w:spacing w:before="10"/>
              <w:ind w:left="87" w:right="104"/>
              <w:jc w:val="center"/>
              <w:rPr>
                <w:rFonts w:ascii="Times New Roman"/>
                <w:sz w:val="21"/>
              </w:rPr>
            </w:pPr>
            <w:r>
              <w:rPr>
                <w:rFonts w:ascii="Times New Roman"/>
                <w:sz w:val="21"/>
              </w:rPr>
              <w:t>2023-07-09</w:t>
            </w:r>
          </w:p>
        </w:tc>
        <w:tc>
          <w:tcPr>
            <w:tcW w:w="1153" w:type="dxa"/>
          </w:tcPr>
          <w:p>
            <w:pPr>
              <w:pStyle w:val="TableParagraph"/>
              <w:spacing w:before="10"/>
              <w:ind w:right="99"/>
              <w:jc w:val="right"/>
              <w:rPr>
                <w:rFonts w:ascii="Times New Roman"/>
                <w:sz w:val="21"/>
              </w:rPr>
            </w:pPr>
            <w:r>
              <w:rPr>
                <w:rFonts w:ascii="Times New Roman"/>
                <w:w w:val="100"/>
                <w:sz w:val="21"/>
              </w:rPr>
              <w:t>0</w:t>
            </w:r>
          </w:p>
        </w:tc>
        <w:tc>
          <w:tcPr>
            <w:tcW w:w="1138" w:type="dxa"/>
          </w:tcPr>
          <w:p>
            <w:pPr>
              <w:pStyle w:val="TableParagraph"/>
              <w:spacing w:before="10"/>
              <w:ind w:right="99"/>
              <w:jc w:val="right"/>
              <w:rPr>
                <w:rFonts w:ascii="Times New Roman"/>
                <w:sz w:val="21"/>
              </w:rPr>
            </w:pPr>
            <w:r>
              <w:rPr>
                <w:rFonts w:ascii="Times New Roman"/>
                <w:w w:val="100"/>
                <w:sz w:val="21"/>
              </w:rPr>
              <w:t>0</w:t>
            </w:r>
          </w:p>
        </w:tc>
        <w:tc>
          <w:tcPr>
            <w:tcW w:w="1364" w:type="dxa"/>
          </w:tcPr>
          <w:p>
            <w:pPr>
              <w:pStyle w:val="TableParagraph"/>
              <w:spacing w:before="10"/>
              <w:ind w:right="98"/>
              <w:jc w:val="right"/>
              <w:rPr>
                <w:rFonts w:ascii="Times New Roman"/>
                <w:sz w:val="21"/>
              </w:rPr>
            </w:pPr>
            <w:r>
              <w:rPr>
                <w:rFonts w:ascii="Times New Roman"/>
                <w:w w:val="100"/>
                <w:sz w:val="21"/>
              </w:rPr>
              <w:t>0</w:t>
            </w:r>
          </w:p>
        </w:tc>
        <w:tc>
          <w:tcPr>
            <w:tcW w:w="1182" w:type="dxa"/>
          </w:tcPr>
          <w:p>
            <w:pPr>
              <w:pStyle w:val="TableParagraph"/>
              <w:spacing w:line="250" w:lineRule="exact" w:before="3"/>
              <w:ind w:left="252" w:right="249"/>
              <w:jc w:val="center"/>
              <w:rPr>
                <w:sz w:val="21"/>
              </w:rPr>
            </w:pPr>
            <w:r>
              <w:rPr>
                <w:sz w:val="21"/>
              </w:rPr>
              <w:t>不适用</w:t>
            </w:r>
          </w:p>
        </w:tc>
        <w:tc>
          <w:tcPr>
            <w:tcW w:w="1419" w:type="dxa"/>
          </w:tcPr>
          <w:p>
            <w:pPr>
              <w:pStyle w:val="TableParagraph"/>
              <w:spacing w:before="10"/>
              <w:ind w:right="97"/>
              <w:jc w:val="right"/>
              <w:rPr>
                <w:rFonts w:ascii="Times New Roman"/>
                <w:sz w:val="21"/>
              </w:rPr>
            </w:pPr>
            <w:r>
              <w:rPr>
                <w:rFonts w:ascii="Times New Roman"/>
                <w:sz w:val="21"/>
              </w:rPr>
              <w:t>45.50</w:t>
            </w:r>
          </w:p>
        </w:tc>
        <w:tc>
          <w:tcPr>
            <w:tcW w:w="1453" w:type="dxa"/>
          </w:tcPr>
          <w:p>
            <w:pPr>
              <w:pStyle w:val="TableParagraph"/>
              <w:spacing w:line="250" w:lineRule="exact" w:before="3"/>
              <w:ind w:right="1"/>
              <w:jc w:val="center"/>
              <w:rPr>
                <w:sz w:val="21"/>
              </w:rPr>
            </w:pPr>
            <w:r>
              <w:rPr>
                <w:w w:val="100"/>
                <w:sz w:val="21"/>
              </w:rPr>
              <w:t>否</w:t>
            </w:r>
          </w:p>
        </w:tc>
      </w:tr>
      <w:tr>
        <w:trPr>
          <w:trHeight w:val="273" w:hRule="atLeast"/>
        </w:trPr>
        <w:tc>
          <w:tcPr>
            <w:tcW w:w="1064" w:type="dxa"/>
          </w:tcPr>
          <w:p>
            <w:pPr>
              <w:pStyle w:val="TableParagraph"/>
              <w:spacing w:line="252" w:lineRule="exact" w:before="1"/>
              <w:ind w:right="202"/>
              <w:jc w:val="right"/>
              <w:rPr>
                <w:sz w:val="21"/>
              </w:rPr>
            </w:pPr>
            <w:r>
              <w:rPr>
                <w:sz w:val="21"/>
              </w:rPr>
              <w:t>胡国辉</w:t>
            </w:r>
          </w:p>
        </w:tc>
        <w:tc>
          <w:tcPr>
            <w:tcW w:w="1342" w:type="dxa"/>
          </w:tcPr>
          <w:p>
            <w:pPr>
              <w:pStyle w:val="TableParagraph"/>
              <w:spacing w:line="252" w:lineRule="exact" w:before="1"/>
              <w:ind w:left="125" w:right="117"/>
              <w:jc w:val="center"/>
              <w:rPr>
                <w:sz w:val="21"/>
              </w:rPr>
            </w:pPr>
            <w:r>
              <w:rPr>
                <w:sz w:val="21"/>
              </w:rPr>
              <w:t>监事会主席</w:t>
            </w:r>
          </w:p>
        </w:tc>
        <w:tc>
          <w:tcPr>
            <w:tcW w:w="684" w:type="dxa"/>
          </w:tcPr>
          <w:p>
            <w:pPr>
              <w:pStyle w:val="TableParagraph"/>
              <w:spacing w:line="252" w:lineRule="exact" w:before="1"/>
              <w:ind w:left="5"/>
              <w:jc w:val="center"/>
              <w:rPr>
                <w:sz w:val="21"/>
              </w:rPr>
            </w:pPr>
            <w:r>
              <w:rPr>
                <w:w w:val="100"/>
                <w:sz w:val="21"/>
              </w:rPr>
              <w:t>男</w:t>
            </w:r>
          </w:p>
        </w:tc>
        <w:tc>
          <w:tcPr>
            <w:tcW w:w="857" w:type="dxa"/>
          </w:tcPr>
          <w:p>
            <w:pPr>
              <w:pStyle w:val="TableParagraph"/>
              <w:spacing w:before="10"/>
              <w:ind w:left="147" w:right="137"/>
              <w:jc w:val="center"/>
              <w:rPr>
                <w:rFonts w:ascii="Times New Roman"/>
                <w:sz w:val="21"/>
              </w:rPr>
            </w:pPr>
            <w:r>
              <w:rPr>
                <w:rFonts w:ascii="Times New Roman"/>
                <w:sz w:val="21"/>
              </w:rPr>
              <w:t>76</w:t>
            </w:r>
          </w:p>
        </w:tc>
        <w:tc>
          <w:tcPr>
            <w:tcW w:w="1224" w:type="dxa"/>
          </w:tcPr>
          <w:p>
            <w:pPr>
              <w:pStyle w:val="TableParagraph"/>
              <w:spacing w:before="10"/>
              <w:ind w:left="87" w:right="106"/>
              <w:jc w:val="center"/>
              <w:rPr>
                <w:rFonts w:ascii="Times New Roman"/>
                <w:sz w:val="21"/>
              </w:rPr>
            </w:pPr>
            <w:r>
              <w:rPr>
                <w:rFonts w:ascii="Times New Roman"/>
                <w:sz w:val="21"/>
              </w:rPr>
              <w:t>2017-07-10</w:t>
            </w:r>
          </w:p>
        </w:tc>
        <w:tc>
          <w:tcPr>
            <w:tcW w:w="1222" w:type="dxa"/>
          </w:tcPr>
          <w:p>
            <w:pPr>
              <w:pStyle w:val="TableParagraph"/>
              <w:spacing w:before="10"/>
              <w:ind w:left="87" w:right="104"/>
              <w:jc w:val="center"/>
              <w:rPr>
                <w:rFonts w:ascii="Times New Roman"/>
                <w:sz w:val="21"/>
              </w:rPr>
            </w:pPr>
            <w:r>
              <w:rPr>
                <w:rFonts w:ascii="Times New Roman"/>
                <w:sz w:val="21"/>
              </w:rPr>
              <w:t>2023-07-09</w:t>
            </w:r>
          </w:p>
        </w:tc>
        <w:tc>
          <w:tcPr>
            <w:tcW w:w="1153" w:type="dxa"/>
          </w:tcPr>
          <w:p>
            <w:pPr>
              <w:pStyle w:val="TableParagraph"/>
              <w:spacing w:before="10"/>
              <w:ind w:right="99"/>
              <w:jc w:val="right"/>
              <w:rPr>
                <w:rFonts w:ascii="Times New Roman"/>
                <w:sz w:val="21"/>
              </w:rPr>
            </w:pPr>
            <w:r>
              <w:rPr>
                <w:rFonts w:ascii="Times New Roman"/>
                <w:w w:val="100"/>
                <w:sz w:val="21"/>
              </w:rPr>
              <w:t>0</w:t>
            </w:r>
          </w:p>
        </w:tc>
        <w:tc>
          <w:tcPr>
            <w:tcW w:w="1138" w:type="dxa"/>
          </w:tcPr>
          <w:p>
            <w:pPr>
              <w:pStyle w:val="TableParagraph"/>
              <w:spacing w:before="10"/>
              <w:ind w:right="99"/>
              <w:jc w:val="right"/>
              <w:rPr>
                <w:rFonts w:ascii="Times New Roman"/>
                <w:sz w:val="21"/>
              </w:rPr>
            </w:pPr>
            <w:r>
              <w:rPr>
                <w:rFonts w:ascii="Times New Roman"/>
                <w:w w:val="100"/>
                <w:sz w:val="21"/>
              </w:rPr>
              <w:t>0</w:t>
            </w:r>
          </w:p>
        </w:tc>
        <w:tc>
          <w:tcPr>
            <w:tcW w:w="1364" w:type="dxa"/>
          </w:tcPr>
          <w:p>
            <w:pPr>
              <w:pStyle w:val="TableParagraph"/>
              <w:spacing w:before="10"/>
              <w:ind w:right="98"/>
              <w:jc w:val="right"/>
              <w:rPr>
                <w:rFonts w:ascii="Times New Roman"/>
                <w:sz w:val="21"/>
              </w:rPr>
            </w:pPr>
            <w:r>
              <w:rPr>
                <w:rFonts w:ascii="Times New Roman"/>
                <w:w w:val="100"/>
                <w:sz w:val="21"/>
              </w:rPr>
              <w:t>0</w:t>
            </w:r>
          </w:p>
        </w:tc>
        <w:tc>
          <w:tcPr>
            <w:tcW w:w="1182" w:type="dxa"/>
          </w:tcPr>
          <w:p>
            <w:pPr>
              <w:pStyle w:val="TableParagraph"/>
              <w:spacing w:line="252" w:lineRule="exact" w:before="1"/>
              <w:ind w:left="252" w:right="249"/>
              <w:jc w:val="center"/>
              <w:rPr>
                <w:sz w:val="21"/>
              </w:rPr>
            </w:pPr>
            <w:r>
              <w:rPr>
                <w:sz w:val="21"/>
              </w:rPr>
              <w:t>不适用</w:t>
            </w:r>
          </w:p>
        </w:tc>
        <w:tc>
          <w:tcPr>
            <w:tcW w:w="1419" w:type="dxa"/>
          </w:tcPr>
          <w:p>
            <w:pPr>
              <w:pStyle w:val="TableParagraph"/>
              <w:spacing w:before="10"/>
              <w:ind w:right="101"/>
              <w:jc w:val="right"/>
              <w:rPr>
                <w:rFonts w:ascii="Times New Roman"/>
                <w:sz w:val="21"/>
              </w:rPr>
            </w:pPr>
            <w:r>
              <w:rPr>
                <w:rFonts w:ascii="Times New Roman"/>
                <w:w w:val="100"/>
                <w:sz w:val="21"/>
              </w:rPr>
              <w:t>0</w:t>
            </w:r>
          </w:p>
        </w:tc>
        <w:tc>
          <w:tcPr>
            <w:tcW w:w="1453" w:type="dxa"/>
          </w:tcPr>
          <w:p>
            <w:pPr>
              <w:pStyle w:val="TableParagraph"/>
              <w:spacing w:line="252" w:lineRule="exact" w:before="1"/>
              <w:ind w:right="1"/>
              <w:jc w:val="center"/>
              <w:rPr>
                <w:sz w:val="21"/>
              </w:rPr>
            </w:pPr>
            <w:r>
              <w:rPr>
                <w:w w:val="100"/>
                <w:sz w:val="21"/>
              </w:rPr>
              <w:t>是</w:t>
            </w:r>
          </w:p>
        </w:tc>
      </w:tr>
      <w:tr>
        <w:trPr>
          <w:trHeight w:val="270" w:hRule="atLeast"/>
        </w:trPr>
        <w:tc>
          <w:tcPr>
            <w:tcW w:w="1064" w:type="dxa"/>
          </w:tcPr>
          <w:p>
            <w:pPr>
              <w:pStyle w:val="TableParagraph"/>
              <w:spacing w:line="250" w:lineRule="exact" w:before="1"/>
              <w:ind w:right="202"/>
              <w:jc w:val="right"/>
              <w:rPr>
                <w:sz w:val="21"/>
              </w:rPr>
            </w:pPr>
            <w:r>
              <w:rPr>
                <w:sz w:val="21"/>
              </w:rPr>
              <w:t>杨飞飞</w:t>
            </w:r>
          </w:p>
        </w:tc>
        <w:tc>
          <w:tcPr>
            <w:tcW w:w="1342" w:type="dxa"/>
          </w:tcPr>
          <w:p>
            <w:pPr>
              <w:pStyle w:val="TableParagraph"/>
              <w:spacing w:line="250" w:lineRule="exact" w:before="1"/>
              <w:ind w:left="125" w:right="115"/>
              <w:jc w:val="center"/>
              <w:rPr>
                <w:sz w:val="21"/>
              </w:rPr>
            </w:pPr>
            <w:r>
              <w:rPr>
                <w:sz w:val="21"/>
              </w:rPr>
              <w:t>监事</w:t>
            </w:r>
          </w:p>
        </w:tc>
        <w:tc>
          <w:tcPr>
            <w:tcW w:w="684" w:type="dxa"/>
          </w:tcPr>
          <w:p>
            <w:pPr>
              <w:pStyle w:val="TableParagraph"/>
              <w:spacing w:line="250" w:lineRule="exact" w:before="1"/>
              <w:ind w:left="5"/>
              <w:jc w:val="center"/>
              <w:rPr>
                <w:sz w:val="21"/>
              </w:rPr>
            </w:pPr>
            <w:r>
              <w:rPr>
                <w:w w:val="100"/>
                <w:sz w:val="21"/>
              </w:rPr>
              <w:t>男</w:t>
            </w:r>
          </w:p>
        </w:tc>
        <w:tc>
          <w:tcPr>
            <w:tcW w:w="857" w:type="dxa"/>
          </w:tcPr>
          <w:p>
            <w:pPr>
              <w:pStyle w:val="TableParagraph"/>
              <w:spacing w:before="7"/>
              <w:ind w:left="147" w:right="137"/>
              <w:jc w:val="center"/>
              <w:rPr>
                <w:rFonts w:ascii="Times New Roman"/>
                <w:sz w:val="21"/>
              </w:rPr>
            </w:pPr>
            <w:r>
              <w:rPr>
                <w:rFonts w:ascii="Times New Roman"/>
                <w:sz w:val="21"/>
              </w:rPr>
              <w:t>38</w:t>
            </w:r>
          </w:p>
        </w:tc>
        <w:tc>
          <w:tcPr>
            <w:tcW w:w="1224" w:type="dxa"/>
          </w:tcPr>
          <w:p>
            <w:pPr>
              <w:pStyle w:val="TableParagraph"/>
              <w:spacing w:before="7"/>
              <w:ind w:left="87" w:right="106"/>
              <w:jc w:val="center"/>
              <w:rPr>
                <w:rFonts w:ascii="Times New Roman"/>
                <w:sz w:val="21"/>
              </w:rPr>
            </w:pPr>
            <w:r>
              <w:rPr>
                <w:rFonts w:ascii="Times New Roman"/>
                <w:sz w:val="21"/>
              </w:rPr>
              <w:t>2021-06-08</w:t>
            </w:r>
          </w:p>
        </w:tc>
        <w:tc>
          <w:tcPr>
            <w:tcW w:w="1222" w:type="dxa"/>
          </w:tcPr>
          <w:p>
            <w:pPr>
              <w:pStyle w:val="TableParagraph"/>
              <w:spacing w:before="7"/>
              <w:ind w:left="87" w:right="104"/>
              <w:jc w:val="center"/>
              <w:rPr>
                <w:rFonts w:ascii="Times New Roman"/>
                <w:sz w:val="21"/>
              </w:rPr>
            </w:pPr>
            <w:r>
              <w:rPr>
                <w:rFonts w:ascii="Times New Roman"/>
                <w:sz w:val="21"/>
              </w:rPr>
              <w:t>2023-07-09</w:t>
            </w:r>
          </w:p>
        </w:tc>
        <w:tc>
          <w:tcPr>
            <w:tcW w:w="1153" w:type="dxa"/>
          </w:tcPr>
          <w:p>
            <w:pPr>
              <w:pStyle w:val="TableParagraph"/>
              <w:spacing w:before="7"/>
              <w:ind w:right="99"/>
              <w:jc w:val="right"/>
              <w:rPr>
                <w:rFonts w:ascii="Times New Roman"/>
                <w:sz w:val="21"/>
              </w:rPr>
            </w:pPr>
            <w:r>
              <w:rPr>
                <w:rFonts w:ascii="Times New Roman"/>
                <w:w w:val="100"/>
                <w:sz w:val="21"/>
              </w:rPr>
              <w:t>0</w:t>
            </w:r>
          </w:p>
        </w:tc>
        <w:tc>
          <w:tcPr>
            <w:tcW w:w="1138" w:type="dxa"/>
          </w:tcPr>
          <w:p>
            <w:pPr>
              <w:pStyle w:val="TableParagraph"/>
              <w:spacing w:before="7"/>
              <w:ind w:right="99"/>
              <w:jc w:val="right"/>
              <w:rPr>
                <w:rFonts w:ascii="Times New Roman"/>
                <w:sz w:val="21"/>
              </w:rPr>
            </w:pPr>
            <w:r>
              <w:rPr>
                <w:rFonts w:ascii="Times New Roman"/>
                <w:w w:val="100"/>
                <w:sz w:val="21"/>
              </w:rPr>
              <w:t>0</w:t>
            </w:r>
          </w:p>
        </w:tc>
        <w:tc>
          <w:tcPr>
            <w:tcW w:w="1364" w:type="dxa"/>
          </w:tcPr>
          <w:p>
            <w:pPr>
              <w:pStyle w:val="TableParagraph"/>
              <w:spacing w:before="7"/>
              <w:ind w:right="98"/>
              <w:jc w:val="right"/>
              <w:rPr>
                <w:rFonts w:ascii="Times New Roman"/>
                <w:sz w:val="21"/>
              </w:rPr>
            </w:pPr>
            <w:r>
              <w:rPr>
                <w:rFonts w:ascii="Times New Roman"/>
                <w:w w:val="100"/>
                <w:sz w:val="21"/>
              </w:rPr>
              <w:t>0</w:t>
            </w:r>
          </w:p>
        </w:tc>
        <w:tc>
          <w:tcPr>
            <w:tcW w:w="1182" w:type="dxa"/>
          </w:tcPr>
          <w:p>
            <w:pPr>
              <w:pStyle w:val="TableParagraph"/>
              <w:spacing w:line="250" w:lineRule="exact" w:before="1"/>
              <w:ind w:left="252" w:right="249"/>
              <w:jc w:val="center"/>
              <w:rPr>
                <w:sz w:val="21"/>
              </w:rPr>
            </w:pPr>
            <w:r>
              <w:rPr>
                <w:sz w:val="21"/>
              </w:rPr>
              <w:t>不适用</w:t>
            </w:r>
          </w:p>
        </w:tc>
        <w:tc>
          <w:tcPr>
            <w:tcW w:w="1419" w:type="dxa"/>
          </w:tcPr>
          <w:p>
            <w:pPr>
              <w:pStyle w:val="TableParagraph"/>
              <w:spacing w:before="7"/>
              <w:ind w:right="101"/>
              <w:jc w:val="right"/>
              <w:rPr>
                <w:rFonts w:ascii="Times New Roman"/>
                <w:sz w:val="21"/>
              </w:rPr>
            </w:pPr>
            <w:r>
              <w:rPr>
                <w:rFonts w:ascii="Times New Roman"/>
                <w:w w:val="100"/>
                <w:sz w:val="21"/>
              </w:rPr>
              <w:t>0</w:t>
            </w:r>
          </w:p>
        </w:tc>
        <w:tc>
          <w:tcPr>
            <w:tcW w:w="1453" w:type="dxa"/>
          </w:tcPr>
          <w:p>
            <w:pPr>
              <w:pStyle w:val="TableParagraph"/>
              <w:spacing w:line="250" w:lineRule="exact" w:before="1"/>
              <w:ind w:right="1"/>
              <w:jc w:val="center"/>
              <w:rPr>
                <w:sz w:val="21"/>
              </w:rPr>
            </w:pPr>
            <w:r>
              <w:rPr>
                <w:w w:val="100"/>
                <w:sz w:val="21"/>
              </w:rPr>
              <w:t>是</w:t>
            </w:r>
          </w:p>
        </w:tc>
      </w:tr>
      <w:tr>
        <w:trPr>
          <w:trHeight w:val="273" w:hRule="atLeast"/>
        </w:trPr>
        <w:tc>
          <w:tcPr>
            <w:tcW w:w="1064" w:type="dxa"/>
          </w:tcPr>
          <w:p>
            <w:pPr>
              <w:pStyle w:val="TableParagraph"/>
              <w:spacing w:line="250" w:lineRule="exact" w:before="3"/>
              <w:ind w:right="202"/>
              <w:jc w:val="right"/>
              <w:rPr>
                <w:sz w:val="21"/>
              </w:rPr>
            </w:pPr>
            <w:r>
              <w:rPr>
                <w:sz w:val="21"/>
              </w:rPr>
              <w:t>张占武</w:t>
            </w:r>
          </w:p>
        </w:tc>
        <w:tc>
          <w:tcPr>
            <w:tcW w:w="1342" w:type="dxa"/>
          </w:tcPr>
          <w:p>
            <w:pPr>
              <w:pStyle w:val="TableParagraph"/>
              <w:spacing w:line="250" w:lineRule="exact" w:before="3"/>
              <w:ind w:left="125" w:right="115"/>
              <w:jc w:val="center"/>
              <w:rPr>
                <w:sz w:val="21"/>
              </w:rPr>
            </w:pPr>
            <w:r>
              <w:rPr>
                <w:sz w:val="21"/>
              </w:rPr>
              <w:t>监事</w:t>
            </w:r>
          </w:p>
        </w:tc>
        <w:tc>
          <w:tcPr>
            <w:tcW w:w="684" w:type="dxa"/>
          </w:tcPr>
          <w:p>
            <w:pPr>
              <w:pStyle w:val="TableParagraph"/>
              <w:spacing w:line="250" w:lineRule="exact" w:before="3"/>
              <w:ind w:left="5"/>
              <w:jc w:val="center"/>
              <w:rPr>
                <w:sz w:val="21"/>
              </w:rPr>
            </w:pPr>
            <w:r>
              <w:rPr>
                <w:w w:val="100"/>
                <w:sz w:val="21"/>
              </w:rPr>
              <w:t>男</w:t>
            </w:r>
          </w:p>
        </w:tc>
        <w:tc>
          <w:tcPr>
            <w:tcW w:w="857" w:type="dxa"/>
          </w:tcPr>
          <w:p>
            <w:pPr>
              <w:pStyle w:val="TableParagraph"/>
              <w:spacing w:before="10"/>
              <w:ind w:left="147" w:right="137"/>
              <w:jc w:val="center"/>
              <w:rPr>
                <w:rFonts w:ascii="Times New Roman"/>
                <w:sz w:val="21"/>
              </w:rPr>
            </w:pPr>
            <w:r>
              <w:rPr>
                <w:rFonts w:ascii="Times New Roman"/>
                <w:sz w:val="21"/>
              </w:rPr>
              <w:t>52</w:t>
            </w:r>
          </w:p>
        </w:tc>
        <w:tc>
          <w:tcPr>
            <w:tcW w:w="1224" w:type="dxa"/>
          </w:tcPr>
          <w:p>
            <w:pPr>
              <w:pStyle w:val="TableParagraph"/>
              <w:spacing w:before="10"/>
              <w:ind w:left="87" w:right="106"/>
              <w:jc w:val="center"/>
              <w:rPr>
                <w:rFonts w:ascii="Times New Roman"/>
                <w:sz w:val="21"/>
              </w:rPr>
            </w:pPr>
            <w:r>
              <w:rPr>
                <w:rFonts w:ascii="Times New Roman"/>
                <w:sz w:val="21"/>
              </w:rPr>
              <w:t>2017-07-10</w:t>
            </w:r>
          </w:p>
        </w:tc>
        <w:tc>
          <w:tcPr>
            <w:tcW w:w="1222" w:type="dxa"/>
          </w:tcPr>
          <w:p>
            <w:pPr>
              <w:pStyle w:val="TableParagraph"/>
              <w:spacing w:before="10"/>
              <w:ind w:left="87" w:right="104"/>
              <w:jc w:val="center"/>
              <w:rPr>
                <w:rFonts w:ascii="Times New Roman"/>
                <w:sz w:val="21"/>
              </w:rPr>
            </w:pPr>
            <w:r>
              <w:rPr>
                <w:rFonts w:ascii="Times New Roman"/>
                <w:sz w:val="21"/>
              </w:rPr>
              <w:t>2023-07-09</w:t>
            </w:r>
          </w:p>
        </w:tc>
        <w:tc>
          <w:tcPr>
            <w:tcW w:w="1153" w:type="dxa"/>
          </w:tcPr>
          <w:p>
            <w:pPr>
              <w:pStyle w:val="TableParagraph"/>
              <w:spacing w:before="10"/>
              <w:ind w:right="99"/>
              <w:jc w:val="right"/>
              <w:rPr>
                <w:rFonts w:ascii="Times New Roman"/>
                <w:sz w:val="21"/>
              </w:rPr>
            </w:pPr>
            <w:r>
              <w:rPr>
                <w:rFonts w:ascii="Times New Roman"/>
                <w:w w:val="100"/>
                <w:sz w:val="21"/>
              </w:rPr>
              <w:t>0</w:t>
            </w:r>
          </w:p>
        </w:tc>
        <w:tc>
          <w:tcPr>
            <w:tcW w:w="1138" w:type="dxa"/>
          </w:tcPr>
          <w:p>
            <w:pPr>
              <w:pStyle w:val="TableParagraph"/>
              <w:spacing w:before="10"/>
              <w:ind w:right="99"/>
              <w:jc w:val="right"/>
              <w:rPr>
                <w:rFonts w:ascii="Times New Roman"/>
                <w:sz w:val="21"/>
              </w:rPr>
            </w:pPr>
            <w:r>
              <w:rPr>
                <w:rFonts w:ascii="Times New Roman"/>
                <w:w w:val="100"/>
                <w:sz w:val="21"/>
              </w:rPr>
              <w:t>0</w:t>
            </w:r>
          </w:p>
        </w:tc>
        <w:tc>
          <w:tcPr>
            <w:tcW w:w="1364" w:type="dxa"/>
          </w:tcPr>
          <w:p>
            <w:pPr>
              <w:pStyle w:val="TableParagraph"/>
              <w:spacing w:before="10"/>
              <w:ind w:right="98"/>
              <w:jc w:val="right"/>
              <w:rPr>
                <w:rFonts w:ascii="Times New Roman"/>
                <w:sz w:val="21"/>
              </w:rPr>
            </w:pPr>
            <w:r>
              <w:rPr>
                <w:rFonts w:ascii="Times New Roman"/>
                <w:w w:val="100"/>
                <w:sz w:val="21"/>
              </w:rPr>
              <w:t>0</w:t>
            </w:r>
          </w:p>
        </w:tc>
        <w:tc>
          <w:tcPr>
            <w:tcW w:w="1182" w:type="dxa"/>
          </w:tcPr>
          <w:p>
            <w:pPr>
              <w:pStyle w:val="TableParagraph"/>
              <w:spacing w:line="250" w:lineRule="exact" w:before="3"/>
              <w:ind w:left="252" w:right="249"/>
              <w:jc w:val="center"/>
              <w:rPr>
                <w:sz w:val="21"/>
              </w:rPr>
            </w:pPr>
            <w:r>
              <w:rPr>
                <w:sz w:val="21"/>
              </w:rPr>
              <w:t>不适用</w:t>
            </w:r>
          </w:p>
        </w:tc>
        <w:tc>
          <w:tcPr>
            <w:tcW w:w="1419" w:type="dxa"/>
          </w:tcPr>
          <w:p>
            <w:pPr>
              <w:pStyle w:val="TableParagraph"/>
              <w:spacing w:before="10"/>
              <w:ind w:right="97"/>
              <w:jc w:val="right"/>
              <w:rPr>
                <w:rFonts w:ascii="Times New Roman"/>
                <w:sz w:val="21"/>
              </w:rPr>
            </w:pPr>
            <w:r>
              <w:rPr>
                <w:rFonts w:ascii="Times New Roman"/>
                <w:sz w:val="21"/>
              </w:rPr>
              <w:t>199.16</w:t>
            </w:r>
          </w:p>
        </w:tc>
        <w:tc>
          <w:tcPr>
            <w:tcW w:w="1453" w:type="dxa"/>
          </w:tcPr>
          <w:p>
            <w:pPr>
              <w:pStyle w:val="TableParagraph"/>
              <w:spacing w:line="250" w:lineRule="exact" w:before="3"/>
              <w:ind w:right="1"/>
              <w:jc w:val="center"/>
              <w:rPr>
                <w:sz w:val="21"/>
              </w:rPr>
            </w:pPr>
            <w:r>
              <w:rPr>
                <w:w w:val="100"/>
                <w:sz w:val="21"/>
              </w:rPr>
              <w:t>否</w:t>
            </w:r>
          </w:p>
        </w:tc>
      </w:tr>
      <w:tr>
        <w:trPr>
          <w:trHeight w:val="817" w:hRule="atLeast"/>
        </w:trPr>
        <w:tc>
          <w:tcPr>
            <w:tcW w:w="1064" w:type="dxa"/>
          </w:tcPr>
          <w:p>
            <w:pPr>
              <w:pStyle w:val="TableParagraph"/>
              <w:spacing w:before="5"/>
              <w:rPr>
                <w:sz w:val="21"/>
              </w:rPr>
            </w:pPr>
          </w:p>
          <w:p>
            <w:pPr>
              <w:pStyle w:val="TableParagraph"/>
              <w:ind w:right="202"/>
              <w:jc w:val="right"/>
              <w:rPr>
                <w:sz w:val="21"/>
              </w:rPr>
            </w:pPr>
            <w:r>
              <w:rPr>
                <w:sz w:val="21"/>
              </w:rPr>
              <w:t>郭俊宏</w:t>
            </w:r>
          </w:p>
        </w:tc>
        <w:tc>
          <w:tcPr>
            <w:tcW w:w="1342" w:type="dxa"/>
          </w:tcPr>
          <w:p>
            <w:pPr>
              <w:pStyle w:val="TableParagraph"/>
              <w:spacing w:before="1"/>
              <w:ind w:left="125" w:right="117"/>
              <w:jc w:val="center"/>
              <w:rPr>
                <w:sz w:val="21"/>
              </w:rPr>
            </w:pPr>
            <w:r>
              <w:rPr>
                <w:sz w:val="21"/>
              </w:rPr>
              <w:t>董事会秘</w:t>
            </w:r>
          </w:p>
          <w:p>
            <w:pPr>
              <w:pStyle w:val="TableParagraph"/>
              <w:spacing w:line="270" w:lineRule="atLeast"/>
              <w:ind w:left="143" w:right="132"/>
              <w:jc w:val="center"/>
              <w:rPr>
                <w:sz w:val="21"/>
              </w:rPr>
            </w:pPr>
            <w:r>
              <w:rPr>
                <w:sz w:val="21"/>
              </w:rPr>
              <w:t>书、财务总监</w:t>
            </w:r>
          </w:p>
        </w:tc>
        <w:tc>
          <w:tcPr>
            <w:tcW w:w="684" w:type="dxa"/>
          </w:tcPr>
          <w:p>
            <w:pPr>
              <w:pStyle w:val="TableParagraph"/>
              <w:spacing w:before="5"/>
              <w:rPr>
                <w:sz w:val="21"/>
              </w:rPr>
            </w:pPr>
          </w:p>
          <w:p>
            <w:pPr>
              <w:pStyle w:val="TableParagraph"/>
              <w:ind w:left="5"/>
              <w:jc w:val="center"/>
              <w:rPr>
                <w:sz w:val="21"/>
              </w:rPr>
            </w:pPr>
            <w:r>
              <w:rPr>
                <w:w w:val="100"/>
                <w:sz w:val="21"/>
              </w:rPr>
              <w:t>男</w:t>
            </w:r>
          </w:p>
        </w:tc>
        <w:tc>
          <w:tcPr>
            <w:tcW w:w="857" w:type="dxa"/>
          </w:tcPr>
          <w:p>
            <w:pPr>
              <w:pStyle w:val="TableParagraph"/>
              <w:spacing w:before="12"/>
              <w:rPr>
                <w:sz w:val="21"/>
              </w:rPr>
            </w:pPr>
          </w:p>
          <w:p>
            <w:pPr>
              <w:pStyle w:val="TableParagraph"/>
              <w:ind w:left="147" w:right="137"/>
              <w:jc w:val="center"/>
              <w:rPr>
                <w:rFonts w:ascii="Times New Roman"/>
                <w:sz w:val="21"/>
              </w:rPr>
            </w:pPr>
            <w:r>
              <w:rPr>
                <w:rFonts w:ascii="Times New Roman"/>
                <w:sz w:val="21"/>
              </w:rPr>
              <w:t>57</w:t>
            </w:r>
          </w:p>
        </w:tc>
        <w:tc>
          <w:tcPr>
            <w:tcW w:w="1224" w:type="dxa"/>
          </w:tcPr>
          <w:p>
            <w:pPr>
              <w:pStyle w:val="TableParagraph"/>
              <w:spacing w:before="12"/>
              <w:rPr>
                <w:sz w:val="21"/>
              </w:rPr>
            </w:pPr>
          </w:p>
          <w:p>
            <w:pPr>
              <w:pStyle w:val="TableParagraph"/>
              <w:ind w:left="87" w:right="106"/>
              <w:jc w:val="center"/>
              <w:rPr>
                <w:rFonts w:ascii="Times New Roman"/>
                <w:sz w:val="21"/>
              </w:rPr>
            </w:pPr>
            <w:r>
              <w:rPr>
                <w:rFonts w:ascii="Times New Roman"/>
                <w:sz w:val="21"/>
              </w:rPr>
              <w:t>2017-07-10</w:t>
            </w:r>
          </w:p>
        </w:tc>
        <w:tc>
          <w:tcPr>
            <w:tcW w:w="1222" w:type="dxa"/>
          </w:tcPr>
          <w:p>
            <w:pPr>
              <w:pStyle w:val="TableParagraph"/>
              <w:spacing w:before="12"/>
              <w:rPr>
                <w:sz w:val="21"/>
              </w:rPr>
            </w:pPr>
          </w:p>
          <w:p>
            <w:pPr>
              <w:pStyle w:val="TableParagraph"/>
              <w:ind w:left="87" w:right="104"/>
              <w:jc w:val="center"/>
              <w:rPr>
                <w:rFonts w:ascii="Times New Roman"/>
                <w:sz w:val="21"/>
              </w:rPr>
            </w:pPr>
            <w:r>
              <w:rPr>
                <w:rFonts w:ascii="Times New Roman"/>
                <w:sz w:val="21"/>
              </w:rPr>
              <w:t>2023-07-09</w:t>
            </w:r>
          </w:p>
        </w:tc>
        <w:tc>
          <w:tcPr>
            <w:tcW w:w="1153" w:type="dxa"/>
          </w:tcPr>
          <w:p>
            <w:pPr>
              <w:pStyle w:val="TableParagraph"/>
              <w:spacing w:before="12"/>
              <w:rPr>
                <w:sz w:val="21"/>
              </w:rPr>
            </w:pPr>
          </w:p>
          <w:p>
            <w:pPr>
              <w:pStyle w:val="TableParagraph"/>
              <w:ind w:right="99"/>
              <w:jc w:val="right"/>
              <w:rPr>
                <w:rFonts w:ascii="Times New Roman"/>
                <w:sz w:val="21"/>
              </w:rPr>
            </w:pPr>
            <w:r>
              <w:rPr>
                <w:rFonts w:ascii="Times New Roman"/>
                <w:sz w:val="21"/>
              </w:rPr>
              <w:t>85</w:t>
            </w:r>
          </w:p>
        </w:tc>
        <w:tc>
          <w:tcPr>
            <w:tcW w:w="1138" w:type="dxa"/>
          </w:tcPr>
          <w:p>
            <w:pPr>
              <w:pStyle w:val="TableParagraph"/>
              <w:spacing w:before="12"/>
              <w:rPr>
                <w:sz w:val="21"/>
              </w:rPr>
            </w:pPr>
          </w:p>
          <w:p>
            <w:pPr>
              <w:pStyle w:val="TableParagraph"/>
              <w:ind w:right="99"/>
              <w:jc w:val="right"/>
              <w:rPr>
                <w:rFonts w:ascii="Times New Roman"/>
                <w:sz w:val="21"/>
              </w:rPr>
            </w:pPr>
            <w:r>
              <w:rPr>
                <w:rFonts w:ascii="Times New Roman"/>
                <w:sz w:val="21"/>
              </w:rPr>
              <w:t>85</w:t>
            </w:r>
          </w:p>
        </w:tc>
        <w:tc>
          <w:tcPr>
            <w:tcW w:w="1364" w:type="dxa"/>
          </w:tcPr>
          <w:p>
            <w:pPr>
              <w:pStyle w:val="TableParagraph"/>
              <w:spacing w:before="12"/>
              <w:rPr>
                <w:sz w:val="21"/>
              </w:rPr>
            </w:pPr>
          </w:p>
          <w:p>
            <w:pPr>
              <w:pStyle w:val="TableParagraph"/>
              <w:ind w:right="98"/>
              <w:jc w:val="right"/>
              <w:rPr>
                <w:rFonts w:ascii="Times New Roman"/>
                <w:sz w:val="21"/>
              </w:rPr>
            </w:pPr>
            <w:r>
              <w:rPr>
                <w:rFonts w:ascii="Times New Roman"/>
                <w:w w:val="100"/>
                <w:sz w:val="21"/>
              </w:rPr>
              <w:t>0</w:t>
            </w:r>
          </w:p>
        </w:tc>
        <w:tc>
          <w:tcPr>
            <w:tcW w:w="1182" w:type="dxa"/>
          </w:tcPr>
          <w:p>
            <w:pPr>
              <w:pStyle w:val="TableParagraph"/>
              <w:spacing w:before="5"/>
              <w:rPr>
                <w:sz w:val="21"/>
              </w:rPr>
            </w:pPr>
          </w:p>
          <w:p>
            <w:pPr>
              <w:pStyle w:val="TableParagraph"/>
              <w:ind w:left="252" w:right="249"/>
              <w:jc w:val="center"/>
              <w:rPr>
                <w:sz w:val="21"/>
              </w:rPr>
            </w:pPr>
            <w:r>
              <w:rPr>
                <w:sz w:val="21"/>
              </w:rPr>
              <w:t>不适用</w:t>
            </w:r>
          </w:p>
        </w:tc>
        <w:tc>
          <w:tcPr>
            <w:tcW w:w="1419" w:type="dxa"/>
          </w:tcPr>
          <w:p>
            <w:pPr>
              <w:pStyle w:val="TableParagraph"/>
              <w:spacing w:before="12"/>
              <w:rPr>
                <w:sz w:val="21"/>
              </w:rPr>
            </w:pPr>
          </w:p>
          <w:p>
            <w:pPr>
              <w:pStyle w:val="TableParagraph"/>
              <w:ind w:right="97"/>
              <w:jc w:val="right"/>
              <w:rPr>
                <w:rFonts w:ascii="Times New Roman"/>
                <w:sz w:val="21"/>
              </w:rPr>
            </w:pPr>
            <w:r>
              <w:rPr>
                <w:rFonts w:ascii="Times New Roman"/>
                <w:sz w:val="21"/>
              </w:rPr>
              <w:t>485.05</w:t>
            </w:r>
          </w:p>
        </w:tc>
        <w:tc>
          <w:tcPr>
            <w:tcW w:w="1453" w:type="dxa"/>
          </w:tcPr>
          <w:p>
            <w:pPr>
              <w:pStyle w:val="TableParagraph"/>
              <w:spacing w:before="5"/>
              <w:rPr>
                <w:sz w:val="21"/>
              </w:rPr>
            </w:pPr>
          </w:p>
          <w:p>
            <w:pPr>
              <w:pStyle w:val="TableParagraph"/>
              <w:ind w:right="1"/>
              <w:jc w:val="center"/>
              <w:rPr>
                <w:sz w:val="21"/>
              </w:rPr>
            </w:pPr>
            <w:r>
              <w:rPr>
                <w:w w:val="100"/>
                <w:sz w:val="21"/>
              </w:rPr>
              <w:t>否</w:t>
            </w:r>
          </w:p>
        </w:tc>
      </w:tr>
      <w:tr>
        <w:trPr>
          <w:trHeight w:val="270" w:hRule="atLeast"/>
        </w:trPr>
        <w:tc>
          <w:tcPr>
            <w:tcW w:w="1064" w:type="dxa"/>
          </w:tcPr>
          <w:p>
            <w:pPr>
              <w:pStyle w:val="TableParagraph"/>
              <w:spacing w:line="250" w:lineRule="exact" w:before="1"/>
              <w:ind w:right="202"/>
              <w:jc w:val="right"/>
              <w:rPr>
                <w:sz w:val="21"/>
              </w:rPr>
            </w:pPr>
            <w:r>
              <w:rPr>
                <w:sz w:val="21"/>
              </w:rPr>
              <w:t>王自强</w:t>
            </w:r>
          </w:p>
        </w:tc>
        <w:tc>
          <w:tcPr>
            <w:tcW w:w="1342" w:type="dxa"/>
          </w:tcPr>
          <w:p>
            <w:pPr>
              <w:pStyle w:val="TableParagraph"/>
              <w:spacing w:line="250" w:lineRule="exact" w:before="1"/>
              <w:ind w:left="125" w:right="117"/>
              <w:jc w:val="center"/>
              <w:rPr>
                <w:sz w:val="21"/>
              </w:rPr>
            </w:pPr>
            <w:r>
              <w:rPr>
                <w:sz w:val="21"/>
              </w:rPr>
              <w:t>副总经理</w:t>
            </w:r>
          </w:p>
        </w:tc>
        <w:tc>
          <w:tcPr>
            <w:tcW w:w="684" w:type="dxa"/>
          </w:tcPr>
          <w:p>
            <w:pPr>
              <w:pStyle w:val="TableParagraph"/>
              <w:spacing w:line="250" w:lineRule="exact" w:before="1"/>
              <w:ind w:left="5"/>
              <w:jc w:val="center"/>
              <w:rPr>
                <w:sz w:val="21"/>
              </w:rPr>
            </w:pPr>
            <w:r>
              <w:rPr>
                <w:w w:val="100"/>
                <w:sz w:val="21"/>
              </w:rPr>
              <w:t>男</w:t>
            </w:r>
          </w:p>
        </w:tc>
        <w:tc>
          <w:tcPr>
            <w:tcW w:w="857" w:type="dxa"/>
          </w:tcPr>
          <w:p>
            <w:pPr>
              <w:pStyle w:val="TableParagraph"/>
              <w:spacing w:before="7"/>
              <w:ind w:left="147" w:right="137"/>
              <w:jc w:val="center"/>
              <w:rPr>
                <w:rFonts w:ascii="Times New Roman"/>
                <w:sz w:val="21"/>
              </w:rPr>
            </w:pPr>
            <w:r>
              <w:rPr>
                <w:rFonts w:ascii="Times New Roman"/>
                <w:sz w:val="21"/>
              </w:rPr>
              <w:t>65</w:t>
            </w:r>
          </w:p>
        </w:tc>
        <w:tc>
          <w:tcPr>
            <w:tcW w:w="1224" w:type="dxa"/>
          </w:tcPr>
          <w:p>
            <w:pPr>
              <w:pStyle w:val="TableParagraph"/>
              <w:spacing w:before="7"/>
              <w:ind w:left="87" w:right="106"/>
              <w:jc w:val="center"/>
              <w:rPr>
                <w:rFonts w:ascii="Times New Roman"/>
                <w:sz w:val="21"/>
              </w:rPr>
            </w:pPr>
            <w:r>
              <w:rPr>
                <w:rFonts w:ascii="Times New Roman"/>
                <w:sz w:val="21"/>
              </w:rPr>
              <w:t>2018-01-10</w:t>
            </w:r>
          </w:p>
        </w:tc>
        <w:tc>
          <w:tcPr>
            <w:tcW w:w="1222" w:type="dxa"/>
          </w:tcPr>
          <w:p>
            <w:pPr>
              <w:pStyle w:val="TableParagraph"/>
              <w:spacing w:before="7"/>
              <w:ind w:left="87" w:right="104"/>
              <w:jc w:val="center"/>
              <w:rPr>
                <w:rFonts w:ascii="Times New Roman"/>
                <w:sz w:val="21"/>
              </w:rPr>
            </w:pPr>
            <w:r>
              <w:rPr>
                <w:rFonts w:ascii="Times New Roman"/>
                <w:sz w:val="21"/>
              </w:rPr>
              <w:t>2023-07-09</w:t>
            </w:r>
          </w:p>
        </w:tc>
        <w:tc>
          <w:tcPr>
            <w:tcW w:w="1153" w:type="dxa"/>
          </w:tcPr>
          <w:p>
            <w:pPr>
              <w:pStyle w:val="TableParagraph"/>
              <w:spacing w:before="7"/>
              <w:ind w:right="99"/>
              <w:jc w:val="right"/>
              <w:rPr>
                <w:rFonts w:ascii="Times New Roman"/>
                <w:sz w:val="21"/>
              </w:rPr>
            </w:pPr>
            <w:r>
              <w:rPr>
                <w:rFonts w:ascii="Times New Roman"/>
                <w:w w:val="100"/>
                <w:sz w:val="21"/>
              </w:rPr>
              <w:t>0</w:t>
            </w:r>
          </w:p>
        </w:tc>
        <w:tc>
          <w:tcPr>
            <w:tcW w:w="1138" w:type="dxa"/>
          </w:tcPr>
          <w:p>
            <w:pPr>
              <w:pStyle w:val="TableParagraph"/>
              <w:spacing w:before="7"/>
              <w:ind w:right="99"/>
              <w:jc w:val="right"/>
              <w:rPr>
                <w:rFonts w:ascii="Times New Roman"/>
                <w:sz w:val="21"/>
              </w:rPr>
            </w:pPr>
            <w:r>
              <w:rPr>
                <w:rFonts w:ascii="Times New Roman"/>
                <w:w w:val="100"/>
                <w:sz w:val="21"/>
              </w:rPr>
              <w:t>0</w:t>
            </w:r>
          </w:p>
        </w:tc>
        <w:tc>
          <w:tcPr>
            <w:tcW w:w="1364" w:type="dxa"/>
          </w:tcPr>
          <w:p>
            <w:pPr>
              <w:pStyle w:val="TableParagraph"/>
              <w:spacing w:before="7"/>
              <w:ind w:right="98"/>
              <w:jc w:val="right"/>
              <w:rPr>
                <w:rFonts w:ascii="Times New Roman"/>
                <w:sz w:val="21"/>
              </w:rPr>
            </w:pPr>
            <w:r>
              <w:rPr>
                <w:rFonts w:ascii="Times New Roman"/>
                <w:w w:val="100"/>
                <w:sz w:val="21"/>
              </w:rPr>
              <w:t>0</w:t>
            </w:r>
          </w:p>
        </w:tc>
        <w:tc>
          <w:tcPr>
            <w:tcW w:w="1182" w:type="dxa"/>
          </w:tcPr>
          <w:p>
            <w:pPr>
              <w:pStyle w:val="TableParagraph"/>
              <w:spacing w:line="250" w:lineRule="exact" w:before="1"/>
              <w:ind w:left="252" w:right="249"/>
              <w:jc w:val="center"/>
              <w:rPr>
                <w:sz w:val="21"/>
              </w:rPr>
            </w:pPr>
            <w:r>
              <w:rPr>
                <w:sz w:val="21"/>
              </w:rPr>
              <w:t>不适用</w:t>
            </w:r>
          </w:p>
        </w:tc>
        <w:tc>
          <w:tcPr>
            <w:tcW w:w="1419" w:type="dxa"/>
          </w:tcPr>
          <w:p>
            <w:pPr>
              <w:pStyle w:val="TableParagraph"/>
              <w:spacing w:before="7"/>
              <w:ind w:right="97"/>
              <w:jc w:val="right"/>
              <w:rPr>
                <w:rFonts w:ascii="Times New Roman"/>
                <w:sz w:val="21"/>
              </w:rPr>
            </w:pPr>
            <w:r>
              <w:rPr>
                <w:rFonts w:ascii="Times New Roman"/>
                <w:sz w:val="21"/>
              </w:rPr>
              <w:t>318.45</w:t>
            </w:r>
          </w:p>
        </w:tc>
        <w:tc>
          <w:tcPr>
            <w:tcW w:w="1453" w:type="dxa"/>
          </w:tcPr>
          <w:p>
            <w:pPr>
              <w:pStyle w:val="TableParagraph"/>
              <w:spacing w:line="250" w:lineRule="exact" w:before="1"/>
              <w:ind w:right="1"/>
              <w:jc w:val="center"/>
              <w:rPr>
                <w:sz w:val="21"/>
              </w:rPr>
            </w:pPr>
            <w:r>
              <w:rPr>
                <w:w w:val="100"/>
                <w:sz w:val="21"/>
              </w:rPr>
              <w:t>否</w:t>
            </w:r>
          </w:p>
        </w:tc>
      </w:tr>
      <w:tr>
        <w:trPr>
          <w:trHeight w:val="273" w:hRule="atLeast"/>
        </w:trPr>
        <w:tc>
          <w:tcPr>
            <w:tcW w:w="1064" w:type="dxa"/>
          </w:tcPr>
          <w:p>
            <w:pPr>
              <w:pStyle w:val="TableParagraph"/>
              <w:spacing w:line="252" w:lineRule="exact" w:before="1"/>
              <w:ind w:right="202"/>
              <w:jc w:val="right"/>
              <w:rPr>
                <w:sz w:val="21"/>
              </w:rPr>
            </w:pPr>
            <w:r>
              <w:rPr>
                <w:sz w:val="21"/>
              </w:rPr>
              <w:t>丁肇邦</w:t>
            </w:r>
          </w:p>
        </w:tc>
        <w:tc>
          <w:tcPr>
            <w:tcW w:w="1342" w:type="dxa"/>
          </w:tcPr>
          <w:p>
            <w:pPr>
              <w:pStyle w:val="TableParagraph"/>
              <w:spacing w:line="252" w:lineRule="exact" w:before="1"/>
              <w:ind w:left="125" w:right="117"/>
              <w:jc w:val="center"/>
              <w:rPr>
                <w:sz w:val="21"/>
              </w:rPr>
            </w:pPr>
            <w:r>
              <w:rPr>
                <w:sz w:val="21"/>
              </w:rPr>
              <w:t>副总经理</w:t>
            </w:r>
          </w:p>
        </w:tc>
        <w:tc>
          <w:tcPr>
            <w:tcW w:w="684" w:type="dxa"/>
          </w:tcPr>
          <w:p>
            <w:pPr>
              <w:pStyle w:val="TableParagraph"/>
              <w:spacing w:line="252" w:lineRule="exact" w:before="1"/>
              <w:ind w:left="5"/>
              <w:jc w:val="center"/>
              <w:rPr>
                <w:sz w:val="21"/>
              </w:rPr>
            </w:pPr>
            <w:r>
              <w:rPr>
                <w:w w:val="100"/>
                <w:sz w:val="21"/>
              </w:rPr>
              <w:t>男</w:t>
            </w:r>
          </w:p>
        </w:tc>
        <w:tc>
          <w:tcPr>
            <w:tcW w:w="857" w:type="dxa"/>
          </w:tcPr>
          <w:p>
            <w:pPr>
              <w:pStyle w:val="TableParagraph"/>
              <w:spacing w:before="10"/>
              <w:ind w:left="147" w:right="137"/>
              <w:jc w:val="center"/>
              <w:rPr>
                <w:rFonts w:ascii="Times New Roman"/>
                <w:sz w:val="21"/>
              </w:rPr>
            </w:pPr>
            <w:r>
              <w:rPr>
                <w:rFonts w:ascii="Times New Roman"/>
                <w:sz w:val="21"/>
              </w:rPr>
              <w:t>50</w:t>
            </w:r>
          </w:p>
        </w:tc>
        <w:tc>
          <w:tcPr>
            <w:tcW w:w="1224" w:type="dxa"/>
          </w:tcPr>
          <w:p>
            <w:pPr>
              <w:pStyle w:val="TableParagraph"/>
              <w:spacing w:before="10"/>
              <w:ind w:left="87" w:right="106"/>
              <w:jc w:val="center"/>
              <w:rPr>
                <w:rFonts w:ascii="Times New Roman"/>
                <w:sz w:val="21"/>
              </w:rPr>
            </w:pPr>
            <w:r>
              <w:rPr>
                <w:rFonts w:ascii="Times New Roman"/>
                <w:sz w:val="21"/>
              </w:rPr>
              <w:t>2020-07-10</w:t>
            </w:r>
          </w:p>
        </w:tc>
        <w:tc>
          <w:tcPr>
            <w:tcW w:w="1222" w:type="dxa"/>
          </w:tcPr>
          <w:p>
            <w:pPr>
              <w:pStyle w:val="TableParagraph"/>
              <w:spacing w:before="10"/>
              <w:ind w:left="87" w:right="104"/>
              <w:jc w:val="center"/>
              <w:rPr>
                <w:rFonts w:ascii="Times New Roman"/>
                <w:sz w:val="21"/>
              </w:rPr>
            </w:pPr>
            <w:r>
              <w:rPr>
                <w:rFonts w:ascii="Times New Roman"/>
                <w:sz w:val="21"/>
              </w:rPr>
              <w:t>2023-07-09</w:t>
            </w:r>
          </w:p>
        </w:tc>
        <w:tc>
          <w:tcPr>
            <w:tcW w:w="1153" w:type="dxa"/>
          </w:tcPr>
          <w:p>
            <w:pPr>
              <w:pStyle w:val="TableParagraph"/>
              <w:spacing w:before="10"/>
              <w:ind w:right="99"/>
              <w:jc w:val="right"/>
              <w:rPr>
                <w:rFonts w:ascii="Times New Roman"/>
                <w:sz w:val="21"/>
              </w:rPr>
            </w:pPr>
            <w:r>
              <w:rPr>
                <w:rFonts w:ascii="Times New Roman"/>
                <w:w w:val="100"/>
                <w:sz w:val="21"/>
              </w:rPr>
              <w:t>0</w:t>
            </w:r>
          </w:p>
        </w:tc>
        <w:tc>
          <w:tcPr>
            <w:tcW w:w="1138" w:type="dxa"/>
          </w:tcPr>
          <w:p>
            <w:pPr>
              <w:pStyle w:val="TableParagraph"/>
              <w:spacing w:before="10"/>
              <w:ind w:right="99"/>
              <w:jc w:val="right"/>
              <w:rPr>
                <w:rFonts w:ascii="Times New Roman"/>
                <w:sz w:val="21"/>
              </w:rPr>
            </w:pPr>
            <w:r>
              <w:rPr>
                <w:rFonts w:ascii="Times New Roman"/>
                <w:w w:val="100"/>
                <w:sz w:val="21"/>
              </w:rPr>
              <w:t>0</w:t>
            </w:r>
          </w:p>
        </w:tc>
        <w:tc>
          <w:tcPr>
            <w:tcW w:w="1364" w:type="dxa"/>
          </w:tcPr>
          <w:p>
            <w:pPr>
              <w:pStyle w:val="TableParagraph"/>
              <w:spacing w:before="10"/>
              <w:ind w:right="98"/>
              <w:jc w:val="right"/>
              <w:rPr>
                <w:rFonts w:ascii="Times New Roman"/>
                <w:sz w:val="21"/>
              </w:rPr>
            </w:pPr>
            <w:r>
              <w:rPr>
                <w:rFonts w:ascii="Times New Roman"/>
                <w:w w:val="100"/>
                <w:sz w:val="21"/>
              </w:rPr>
              <w:t>0</w:t>
            </w:r>
          </w:p>
        </w:tc>
        <w:tc>
          <w:tcPr>
            <w:tcW w:w="1182" w:type="dxa"/>
          </w:tcPr>
          <w:p>
            <w:pPr>
              <w:pStyle w:val="TableParagraph"/>
              <w:spacing w:line="252" w:lineRule="exact" w:before="1"/>
              <w:ind w:left="252" w:right="249"/>
              <w:jc w:val="center"/>
              <w:rPr>
                <w:sz w:val="21"/>
              </w:rPr>
            </w:pPr>
            <w:r>
              <w:rPr>
                <w:sz w:val="21"/>
              </w:rPr>
              <w:t>不适用</w:t>
            </w:r>
          </w:p>
        </w:tc>
        <w:tc>
          <w:tcPr>
            <w:tcW w:w="1419" w:type="dxa"/>
          </w:tcPr>
          <w:p>
            <w:pPr>
              <w:pStyle w:val="TableParagraph"/>
              <w:spacing w:before="10"/>
              <w:ind w:right="97"/>
              <w:jc w:val="right"/>
              <w:rPr>
                <w:rFonts w:ascii="Times New Roman"/>
                <w:sz w:val="21"/>
              </w:rPr>
            </w:pPr>
            <w:r>
              <w:rPr>
                <w:rFonts w:ascii="Times New Roman"/>
                <w:sz w:val="21"/>
              </w:rPr>
              <w:t>486.21</w:t>
            </w:r>
          </w:p>
        </w:tc>
        <w:tc>
          <w:tcPr>
            <w:tcW w:w="1453" w:type="dxa"/>
          </w:tcPr>
          <w:p>
            <w:pPr>
              <w:pStyle w:val="TableParagraph"/>
              <w:spacing w:line="252" w:lineRule="exact" w:before="1"/>
              <w:ind w:right="1"/>
              <w:jc w:val="center"/>
              <w:rPr>
                <w:sz w:val="21"/>
              </w:rPr>
            </w:pPr>
            <w:r>
              <w:rPr>
                <w:w w:val="100"/>
                <w:sz w:val="21"/>
              </w:rPr>
              <w:t>否</w:t>
            </w:r>
          </w:p>
        </w:tc>
      </w:tr>
      <w:tr>
        <w:trPr>
          <w:trHeight w:val="545" w:hRule="atLeast"/>
        </w:trPr>
        <w:tc>
          <w:tcPr>
            <w:tcW w:w="1064" w:type="dxa"/>
          </w:tcPr>
          <w:p>
            <w:pPr>
              <w:pStyle w:val="TableParagraph"/>
              <w:spacing w:before="1"/>
              <w:ind w:left="91" w:right="80"/>
              <w:jc w:val="center"/>
              <w:rPr>
                <w:sz w:val="21"/>
              </w:rPr>
            </w:pPr>
            <w:r>
              <w:rPr>
                <w:sz w:val="21"/>
              </w:rPr>
              <w:t>王健民</w:t>
            </w:r>
          </w:p>
          <w:p>
            <w:pPr>
              <w:pStyle w:val="TableParagraph"/>
              <w:spacing w:line="250" w:lineRule="exact" w:before="5"/>
              <w:ind w:left="91" w:right="83"/>
              <w:jc w:val="center"/>
              <w:rPr>
                <w:sz w:val="21"/>
              </w:rPr>
            </w:pPr>
            <w:r>
              <w:rPr>
                <w:sz w:val="21"/>
              </w:rPr>
              <w:t>（离任）</w:t>
            </w:r>
          </w:p>
        </w:tc>
        <w:tc>
          <w:tcPr>
            <w:tcW w:w="1342" w:type="dxa"/>
          </w:tcPr>
          <w:p>
            <w:pPr>
              <w:pStyle w:val="TableParagraph"/>
              <w:spacing w:before="138"/>
              <w:ind w:left="125" w:right="115"/>
              <w:jc w:val="center"/>
              <w:rPr>
                <w:sz w:val="21"/>
              </w:rPr>
            </w:pPr>
            <w:r>
              <w:rPr>
                <w:sz w:val="21"/>
              </w:rPr>
              <w:t>董事</w:t>
            </w:r>
          </w:p>
        </w:tc>
        <w:tc>
          <w:tcPr>
            <w:tcW w:w="684" w:type="dxa"/>
          </w:tcPr>
          <w:p>
            <w:pPr>
              <w:pStyle w:val="TableParagraph"/>
              <w:spacing w:before="138"/>
              <w:ind w:left="5"/>
              <w:jc w:val="center"/>
              <w:rPr>
                <w:sz w:val="21"/>
              </w:rPr>
            </w:pPr>
            <w:r>
              <w:rPr>
                <w:w w:val="100"/>
                <w:sz w:val="21"/>
              </w:rPr>
              <w:t>男</w:t>
            </w:r>
          </w:p>
        </w:tc>
        <w:tc>
          <w:tcPr>
            <w:tcW w:w="857" w:type="dxa"/>
          </w:tcPr>
          <w:p>
            <w:pPr>
              <w:pStyle w:val="TableParagraph"/>
              <w:spacing w:before="144"/>
              <w:ind w:left="147" w:right="137"/>
              <w:jc w:val="center"/>
              <w:rPr>
                <w:rFonts w:ascii="Times New Roman"/>
                <w:sz w:val="21"/>
              </w:rPr>
            </w:pPr>
            <w:r>
              <w:rPr>
                <w:rFonts w:ascii="Times New Roman"/>
                <w:sz w:val="21"/>
              </w:rPr>
              <w:t>56</w:t>
            </w:r>
          </w:p>
        </w:tc>
        <w:tc>
          <w:tcPr>
            <w:tcW w:w="1224" w:type="dxa"/>
          </w:tcPr>
          <w:p>
            <w:pPr>
              <w:pStyle w:val="TableParagraph"/>
              <w:spacing w:before="144"/>
              <w:ind w:left="87" w:right="106"/>
              <w:jc w:val="center"/>
              <w:rPr>
                <w:rFonts w:ascii="Times New Roman"/>
                <w:sz w:val="21"/>
              </w:rPr>
            </w:pPr>
            <w:r>
              <w:rPr>
                <w:rFonts w:ascii="Times New Roman"/>
                <w:sz w:val="21"/>
              </w:rPr>
              <w:t>2020-07-10</w:t>
            </w:r>
          </w:p>
        </w:tc>
        <w:tc>
          <w:tcPr>
            <w:tcW w:w="1222" w:type="dxa"/>
          </w:tcPr>
          <w:p>
            <w:pPr>
              <w:pStyle w:val="TableParagraph"/>
              <w:spacing w:before="144"/>
              <w:ind w:left="87" w:right="104"/>
              <w:jc w:val="center"/>
              <w:rPr>
                <w:rFonts w:ascii="Times New Roman"/>
                <w:sz w:val="21"/>
              </w:rPr>
            </w:pPr>
            <w:r>
              <w:rPr>
                <w:rFonts w:ascii="Times New Roman"/>
                <w:sz w:val="21"/>
              </w:rPr>
              <w:t>2022-06-23</w:t>
            </w:r>
          </w:p>
        </w:tc>
        <w:tc>
          <w:tcPr>
            <w:tcW w:w="1153" w:type="dxa"/>
          </w:tcPr>
          <w:p>
            <w:pPr>
              <w:pStyle w:val="TableParagraph"/>
              <w:spacing w:before="144"/>
              <w:ind w:right="99"/>
              <w:jc w:val="right"/>
              <w:rPr>
                <w:rFonts w:ascii="Times New Roman"/>
                <w:sz w:val="21"/>
              </w:rPr>
            </w:pPr>
            <w:r>
              <w:rPr>
                <w:rFonts w:ascii="Times New Roman"/>
                <w:w w:val="100"/>
                <w:sz w:val="21"/>
              </w:rPr>
              <w:t>0</w:t>
            </w:r>
          </w:p>
        </w:tc>
        <w:tc>
          <w:tcPr>
            <w:tcW w:w="1138" w:type="dxa"/>
          </w:tcPr>
          <w:p>
            <w:pPr>
              <w:pStyle w:val="TableParagraph"/>
              <w:spacing w:before="144"/>
              <w:ind w:right="99"/>
              <w:jc w:val="right"/>
              <w:rPr>
                <w:rFonts w:ascii="Times New Roman"/>
                <w:sz w:val="21"/>
              </w:rPr>
            </w:pPr>
            <w:r>
              <w:rPr>
                <w:rFonts w:ascii="Times New Roman"/>
                <w:w w:val="100"/>
                <w:sz w:val="21"/>
              </w:rPr>
              <w:t>0</w:t>
            </w:r>
          </w:p>
        </w:tc>
        <w:tc>
          <w:tcPr>
            <w:tcW w:w="1364" w:type="dxa"/>
          </w:tcPr>
          <w:p>
            <w:pPr>
              <w:pStyle w:val="TableParagraph"/>
              <w:spacing w:before="144"/>
              <w:ind w:right="98"/>
              <w:jc w:val="right"/>
              <w:rPr>
                <w:rFonts w:ascii="Times New Roman"/>
                <w:sz w:val="21"/>
              </w:rPr>
            </w:pPr>
            <w:r>
              <w:rPr>
                <w:rFonts w:ascii="Times New Roman"/>
                <w:w w:val="100"/>
                <w:sz w:val="21"/>
              </w:rPr>
              <w:t>0</w:t>
            </w:r>
          </w:p>
        </w:tc>
        <w:tc>
          <w:tcPr>
            <w:tcW w:w="1182" w:type="dxa"/>
          </w:tcPr>
          <w:p>
            <w:pPr>
              <w:pStyle w:val="TableParagraph"/>
              <w:spacing w:before="138"/>
              <w:ind w:left="252" w:right="249"/>
              <w:jc w:val="center"/>
              <w:rPr>
                <w:sz w:val="21"/>
              </w:rPr>
            </w:pPr>
            <w:r>
              <w:rPr>
                <w:sz w:val="21"/>
              </w:rPr>
              <w:t>不适用</w:t>
            </w:r>
          </w:p>
        </w:tc>
        <w:tc>
          <w:tcPr>
            <w:tcW w:w="1419" w:type="dxa"/>
          </w:tcPr>
          <w:p>
            <w:pPr>
              <w:pStyle w:val="TableParagraph"/>
              <w:spacing w:before="144"/>
              <w:ind w:right="97"/>
              <w:jc w:val="right"/>
              <w:rPr>
                <w:rFonts w:ascii="Times New Roman"/>
                <w:sz w:val="21"/>
              </w:rPr>
            </w:pPr>
            <w:r>
              <w:rPr>
                <w:rFonts w:ascii="Times New Roman"/>
                <w:sz w:val="21"/>
              </w:rPr>
              <w:t>16.60</w:t>
            </w:r>
          </w:p>
        </w:tc>
        <w:tc>
          <w:tcPr>
            <w:tcW w:w="1453" w:type="dxa"/>
          </w:tcPr>
          <w:p>
            <w:pPr>
              <w:pStyle w:val="TableParagraph"/>
              <w:spacing w:before="138"/>
              <w:ind w:right="1"/>
              <w:jc w:val="center"/>
              <w:rPr>
                <w:sz w:val="21"/>
              </w:rPr>
            </w:pPr>
            <w:r>
              <w:rPr>
                <w:w w:val="100"/>
                <w:sz w:val="21"/>
              </w:rPr>
              <w:t>是</w:t>
            </w:r>
          </w:p>
        </w:tc>
      </w:tr>
      <w:tr>
        <w:trPr>
          <w:trHeight w:val="544" w:hRule="atLeast"/>
        </w:trPr>
        <w:tc>
          <w:tcPr>
            <w:tcW w:w="1064" w:type="dxa"/>
          </w:tcPr>
          <w:p>
            <w:pPr>
              <w:pStyle w:val="TableParagraph"/>
              <w:spacing w:before="1"/>
              <w:ind w:left="91" w:right="80"/>
              <w:jc w:val="center"/>
              <w:rPr>
                <w:sz w:val="21"/>
              </w:rPr>
            </w:pPr>
            <w:r>
              <w:rPr>
                <w:spacing w:val="35"/>
                <w:sz w:val="21"/>
              </w:rPr>
              <w:t>熊 毅</w:t>
            </w:r>
          </w:p>
          <w:p>
            <w:pPr>
              <w:pStyle w:val="TableParagraph"/>
              <w:spacing w:line="250" w:lineRule="exact" w:before="4"/>
              <w:ind w:left="91" w:right="83"/>
              <w:jc w:val="center"/>
              <w:rPr>
                <w:sz w:val="21"/>
              </w:rPr>
            </w:pPr>
            <w:r>
              <w:rPr>
                <w:sz w:val="21"/>
              </w:rPr>
              <w:t>（离任）</w:t>
            </w:r>
          </w:p>
        </w:tc>
        <w:tc>
          <w:tcPr>
            <w:tcW w:w="1342" w:type="dxa"/>
          </w:tcPr>
          <w:p>
            <w:pPr>
              <w:pStyle w:val="TableParagraph"/>
              <w:spacing w:before="138"/>
              <w:ind w:left="125" w:right="117"/>
              <w:jc w:val="center"/>
              <w:rPr>
                <w:sz w:val="21"/>
              </w:rPr>
            </w:pPr>
            <w:r>
              <w:rPr>
                <w:sz w:val="21"/>
              </w:rPr>
              <w:t>副总经理</w:t>
            </w:r>
          </w:p>
        </w:tc>
        <w:tc>
          <w:tcPr>
            <w:tcW w:w="684" w:type="dxa"/>
          </w:tcPr>
          <w:p>
            <w:pPr>
              <w:pStyle w:val="TableParagraph"/>
              <w:spacing w:before="138"/>
              <w:ind w:left="5"/>
              <w:jc w:val="center"/>
              <w:rPr>
                <w:sz w:val="21"/>
              </w:rPr>
            </w:pPr>
            <w:r>
              <w:rPr>
                <w:w w:val="100"/>
                <w:sz w:val="21"/>
              </w:rPr>
              <w:t>男</w:t>
            </w:r>
          </w:p>
        </w:tc>
        <w:tc>
          <w:tcPr>
            <w:tcW w:w="857" w:type="dxa"/>
          </w:tcPr>
          <w:p>
            <w:pPr>
              <w:pStyle w:val="TableParagraph"/>
              <w:spacing w:before="144"/>
              <w:ind w:left="147" w:right="137"/>
              <w:jc w:val="center"/>
              <w:rPr>
                <w:rFonts w:ascii="Times New Roman"/>
                <w:sz w:val="21"/>
              </w:rPr>
            </w:pPr>
            <w:r>
              <w:rPr>
                <w:rFonts w:ascii="Times New Roman"/>
                <w:sz w:val="21"/>
              </w:rPr>
              <w:t>48</w:t>
            </w:r>
          </w:p>
        </w:tc>
        <w:tc>
          <w:tcPr>
            <w:tcW w:w="1224" w:type="dxa"/>
          </w:tcPr>
          <w:p>
            <w:pPr>
              <w:pStyle w:val="TableParagraph"/>
              <w:spacing w:before="144"/>
              <w:ind w:left="87" w:right="106"/>
              <w:jc w:val="center"/>
              <w:rPr>
                <w:rFonts w:ascii="Times New Roman"/>
                <w:sz w:val="21"/>
              </w:rPr>
            </w:pPr>
            <w:r>
              <w:rPr>
                <w:rFonts w:ascii="Times New Roman"/>
                <w:sz w:val="21"/>
              </w:rPr>
              <w:t>2021-08-09</w:t>
            </w:r>
          </w:p>
        </w:tc>
        <w:tc>
          <w:tcPr>
            <w:tcW w:w="1222" w:type="dxa"/>
          </w:tcPr>
          <w:p>
            <w:pPr>
              <w:pStyle w:val="TableParagraph"/>
              <w:spacing w:before="144"/>
              <w:ind w:left="87" w:right="104"/>
              <w:jc w:val="center"/>
              <w:rPr>
                <w:rFonts w:ascii="Times New Roman"/>
                <w:sz w:val="21"/>
              </w:rPr>
            </w:pPr>
            <w:r>
              <w:rPr>
                <w:rFonts w:ascii="Times New Roman"/>
                <w:sz w:val="21"/>
              </w:rPr>
              <w:t>2023-01-10</w:t>
            </w:r>
          </w:p>
        </w:tc>
        <w:tc>
          <w:tcPr>
            <w:tcW w:w="1153" w:type="dxa"/>
          </w:tcPr>
          <w:p>
            <w:pPr>
              <w:pStyle w:val="TableParagraph"/>
              <w:spacing w:before="144"/>
              <w:ind w:right="95"/>
              <w:jc w:val="right"/>
              <w:rPr>
                <w:rFonts w:ascii="Times New Roman"/>
                <w:sz w:val="21"/>
              </w:rPr>
            </w:pPr>
            <w:r>
              <w:rPr>
                <w:rFonts w:ascii="Times New Roman"/>
                <w:sz w:val="21"/>
              </w:rPr>
              <w:t>98.24</w:t>
            </w:r>
          </w:p>
        </w:tc>
        <w:tc>
          <w:tcPr>
            <w:tcW w:w="1138" w:type="dxa"/>
          </w:tcPr>
          <w:p>
            <w:pPr>
              <w:pStyle w:val="TableParagraph"/>
              <w:spacing w:before="144"/>
              <w:ind w:right="95"/>
              <w:jc w:val="right"/>
              <w:rPr>
                <w:rFonts w:ascii="Times New Roman"/>
                <w:sz w:val="21"/>
              </w:rPr>
            </w:pPr>
            <w:r>
              <w:rPr>
                <w:rFonts w:ascii="Times New Roman"/>
                <w:sz w:val="21"/>
              </w:rPr>
              <w:t>98.24</w:t>
            </w:r>
          </w:p>
        </w:tc>
        <w:tc>
          <w:tcPr>
            <w:tcW w:w="1364" w:type="dxa"/>
          </w:tcPr>
          <w:p>
            <w:pPr>
              <w:pStyle w:val="TableParagraph"/>
              <w:spacing w:before="144"/>
              <w:ind w:right="98"/>
              <w:jc w:val="right"/>
              <w:rPr>
                <w:rFonts w:ascii="Times New Roman"/>
                <w:sz w:val="21"/>
              </w:rPr>
            </w:pPr>
            <w:r>
              <w:rPr>
                <w:rFonts w:ascii="Times New Roman"/>
                <w:w w:val="100"/>
                <w:sz w:val="21"/>
              </w:rPr>
              <w:t>0</w:t>
            </w:r>
          </w:p>
        </w:tc>
        <w:tc>
          <w:tcPr>
            <w:tcW w:w="1182" w:type="dxa"/>
          </w:tcPr>
          <w:p>
            <w:pPr>
              <w:pStyle w:val="TableParagraph"/>
              <w:spacing w:before="138"/>
              <w:ind w:left="252" w:right="249"/>
              <w:jc w:val="center"/>
              <w:rPr>
                <w:sz w:val="21"/>
              </w:rPr>
            </w:pPr>
            <w:r>
              <w:rPr>
                <w:sz w:val="21"/>
              </w:rPr>
              <w:t>不适用</w:t>
            </w:r>
          </w:p>
        </w:tc>
        <w:tc>
          <w:tcPr>
            <w:tcW w:w="1419" w:type="dxa"/>
          </w:tcPr>
          <w:p>
            <w:pPr>
              <w:pStyle w:val="TableParagraph"/>
              <w:spacing w:before="144"/>
              <w:ind w:right="97"/>
              <w:jc w:val="right"/>
              <w:rPr>
                <w:rFonts w:ascii="Times New Roman"/>
                <w:sz w:val="21"/>
              </w:rPr>
            </w:pPr>
            <w:r>
              <w:rPr>
                <w:rFonts w:ascii="Times New Roman"/>
                <w:sz w:val="21"/>
              </w:rPr>
              <w:t>130.91</w:t>
            </w:r>
          </w:p>
        </w:tc>
        <w:tc>
          <w:tcPr>
            <w:tcW w:w="1453" w:type="dxa"/>
          </w:tcPr>
          <w:p>
            <w:pPr>
              <w:pStyle w:val="TableParagraph"/>
              <w:spacing w:before="138"/>
              <w:ind w:right="1"/>
              <w:jc w:val="center"/>
              <w:rPr>
                <w:sz w:val="21"/>
              </w:rPr>
            </w:pPr>
            <w:r>
              <w:rPr>
                <w:w w:val="100"/>
                <w:sz w:val="21"/>
              </w:rPr>
              <w:t>否</w:t>
            </w:r>
          </w:p>
        </w:tc>
      </w:tr>
      <w:tr>
        <w:trPr>
          <w:trHeight w:val="273" w:hRule="atLeast"/>
        </w:trPr>
        <w:tc>
          <w:tcPr>
            <w:tcW w:w="1064" w:type="dxa"/>
          </w:tcPr>
          <w:p>
            <w:pPr>
              <w:pStyle w:val="TableParagraph"/>
              <w:spacing w:line="252" w:lineRule="exact" w:before="1"/>
              <w:ind w:left="321"/>
              <w:rPr>
                <w:sz w:val="21"/>
              </w:rPr>
            </w:pPr>
            <w:r>
              <w:rPr>
                <w:sz w:val="21"/>
              </w:rPr>
              <w:t>合计</w:t>
            </w:r>
          </w:p>
        </w:tc>
        <w:tc>
          <w:tcPr>
            <w:tcW w:w="1342" w:type="dxa"/>
          </w:tcPr>
          <w:p>
            <w:pPr>
              <w:pStyle w:val="TableParagraph"/>
              <w:spacing w:before="10"/>
              <w:ind w:left="7"/>
              <w:jc w:val="center"/>
              <w:rPr>
                <w:rFonts w:ascii="Times New Roman"/>
                <w:sz w:val="21"/>
              </w:rPr>
            </w:pPr>
            <w:r>
              <w:rPr>
                <w:rFonts w:ascii="Times New Roman"/>
                <w:w w:val="100"/>
                <w:sz w:val="21"/>
              </w:rPr>
              <w:t>/</w:t>
            </w:r>
          </w:p>
        </w:tc>
        <w:tc>
          <w:tcPr>
            <w:tcW w:w="684" w:type="dxa"/>
          </w:tcPr>
          <w:p>
            <w:pPr>
              <w:pStyle w:val="TableParagraph"/>
              <w:spacing w:before="10"/>
              <w:ind w:left="6"/>
              <w:jc w:val="center"/>
              <w:rPr>
                <w:rFonts w:ascii="Times New Roman"/>
                <w:sz w:val="21"/>
              </w:rPr>
            </w:pPr>
            <w:r>
              <w:rPr>
                <w:rFonts w:ascii="Times New Roman"/>
                <w:w w:val="100"/>
                <w:sz w:val="21"/>
              </w:rPr>
              <w:t>/</w:t>
            </w:r>
          </w:p>
        </w:tc>
        <w:tc>
          <w:tcPr>
            <w:tcW w:w="857" w:type="dxa"/>
          </w:tcPr>
          <w:p>
            <w:pPr>
              <w:pStyle w:val="TableParagraph"/>
              <w:spacing w:before="10"/>
              <w:ind w:left="11"/>
              <w:jc w:val="center"/>
              <w:rPr>
                <w:rFonts w:ascii="Times New Roman"/>
                <w:sz w:val="21"/>
              </w:rPr>
            </w:pPr>
            <w:r>
              <w:rPr>
                <w:rFonts w:ascii="Times New Roman"/>
                <w:w w:val="100"/>
                <w:sz w:val="21"/>
              </w:rPr>
              <w:t>/</w:t>
            </w:r>
          </w:p>
        </w:tc>
        <w:tc>
          <w:tcPr>
            <w:tcW w:w="1224" w:type="dxa"/>
          </w:tcPr>
          <w:p>
            <w:pPr>
              <w:pStyle w:val="TableParagraph"/>
              <w:spacing w:before="10"/>
              <w:ind w:left="9"/>
              <w:jc w:val="center"/>
              <w:rPr>
                <w:rFonts w:ascii="Times New Roman"/>
                <w:sz w:val="21"/>
              </w:rPr>
            </w:pPr>
            <w:r>
              <w:rPr>
                <w:rFonts w:ascii="Times New Roman"/>
                <w:w w:val="100"/>
                <w:sz w:val="21"/>
              </w:rPr>
              <w:t>/</w:t>
            </w:r>
          </w:p>
        </w:tc>
        <w:tc>
          <w:tcPr>
            <w:tcW w:w="1222" w:type="dxa"/>
          </w:tcPr>
          <w:p>
            <w:pPr>
              <w:pStyle w:val="TableParagraph"/>
              <w:spacing w:before="10"/>
              <w:ind w:left="7"/>
              <w:jc w:val="center"/>
              <w:rPr>
                <w:rFonts w:ascii="Times New Roman"/>
                <w:sz w:val="21"/>
              </w:rPr>
            </w:pPr>
            <w:r>
              <w:rPr>
                <w:rFonts w:ascii="Times New Roman"/>
                <w:w w:val="100"/>
                <w:sz w:val="21"/>
              </w:rPr>
              <w:t>/</w:t>
            </w:r>
          </w:p>
        </w:tc>
        <w:tc>
          <w:tcPr>
            <w:tcW w:w="1153" w:type="dxa"/>
          </w:tcPr>
          <w:p>
            <w:pPr>
              <w:pStyle w:val="TableParagraph"/>
              <w:spacing w:before="10"/>
              <w:ind w:right="95"/>
              <w:jc w:val="right"/>
              <w:rPr>
                <w:rFonts w:ascii="Times New Roman"/>
                <w:sz w:val="21"/>
              </w:rPr>
            </w:pPr>
            <w:r>
              <w:rPr>
                <w:rFonts w:ascii="Times New Roman"/>
                <w:sz w:val="21"/>
              </w:rPr>
              <w:t>293.24</w:t>
            </w:r>
          </w:p>
        </w:tc>
        <w:tc>
          <w:tcPr>
            <w:tcW w:w="1138" w:type="dxa"/>
          </w:tcPr>
          <w:p>
            <w:pPr>
              <w:pStyle w:val="TableParagraph"/>
              <w:spacing w:before="10"/>
              <w:ind w:right="95"/>
              <w:jc w:val="right"/>
              <w:rPr>
                <w:rFonts w:ascii="Times New Roman"/>
                <w:sz w:val="21"/>
              </w:rPr>
            </w:pPr>
            <w:r>
              <w:rPr>
                <w:rFonts w:ascii="Times New Roman"/>
                <w:sz w:val="21"/>
              </w:rPr>
              <w:t>293.24</w:t>
            </w:r>
          </w:p>
        </w:tc>
        <w:tc>
          <w:tcPr>
            <w:tcW w:w="1364" w:type="dxa"/>
          </w:tcPr>
          <w:p>
            <w:pPr>
              <w:pStyle w:val="TableParagraph"/>
              <w:spacing w:before="10"/>
              <w:ind w:right="98"/>
              <w:jc w:val="right"/>
              <w:rPr>
                <w:rFonts w:ascii="Times New Roman"/>
                <w:sz w:val="21"/>
              </w:rPr>
            </w:pPr>
            <w:r>
              <w:rPr>
                <w:rFonts w:ascii="Times New Roman"/>
                <w:w w:val="100"/>
                <w:sz w:val="21"/>
              </w:rPr>
              <w:t>0</w:t>
            </w:r>
          </w:p>
        </w:tc>
        <w:tc>
          <w:tcPr>
            <w:tcW w:w="1182" w:type="dxa"/>
          </w:tcPr>
          <w:p>
            <w:pPr>
              <w:pStyle w:val="TableParagraph"/>
              <w:spacing w:before="10"/>
              <w:ind w:left="4"/>
              <w:jc w:val="center"/>
              <w:rPr>
                <w:rFonts w:ascii="Times New Roman"/>
                <w:sz w:val="21"/>
              </w:rPr>
            </w:pPr>
            <w:r>
              <w:rPr>
                <w:rFonts w:ascii="Times New Roman"/>
                <w:w w:val="100"/>
                <w:sz w:val="21"/>
              </w:rPr>
              <w:t>/</w:t>
            </w:r>
          </w:p>
        </w:tc>
        <w:tc>
          <w:tcPr>
            <w:tcW w:w="1419" w:type="dxa"/>
          </w:tcPr>
          <w:p>
            <w:pPr>
              <w:pStyle w:val="TableParagraph"/>
              <w:spacing w:before="10"/>
              <w:ind w:right="97"/>
              <w:jc w:val="right"/>
              <w:rPr>
                <w:rFonts w:ascii="Times New Roman"/>
                <w:sz w:val="21"/>
              </w:rPr>
            </w:pPr>
            <w:r>
              <w:rPr>
                <w:rFonts w:ascii="Times New Roman"/>
                <w:sz w:val="21"/>
              </w:rPr>
              <w:t>3,468.10</w:t>
            </w:r>
          </w:p>
        </w:tc>
        <w:tc>
          <w:tcPr>
            <w:tcW w:w="1453" w:type="dxa"/>
          </w:tcPr>
          <w:p>
            <w:pPr>
              <w:pStyle w:val="TableParagraph"/>
              <w:spacing w:before="10"/>
              <w:jc w:val="center"/>
              <w:rPr>
                <w:rFonts w:ascii="Times New Roman"/>
                <w:sz w:val="21"/>
              </w:rPr>
            </w:pPr>
            <w:r>
              <w:rPr>
                <w:rFonts w:ascii="Times New Roman"/>
                <w:w w:val="100"/>
                <w:sz w:val="21"/>
              </w:rPr>
              <w:t>/</w:t>
            </w:r>
          </w:p>
        </w:tc>
      </w:tr>
    </w:tbl>
    <w:p>
      <w:pPr>
        <w:pStyle w:val="BodyText"/>
        <w:spacing w:before="1"/>
        <w:ind w:left="100"/>
      </w:pPr>
      <w:r>
        <w:rPr>
          <w:w w:val="100"/>
        </w:rPr>
        <w:t> </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6"/>
        <w:gridCol w:w="12489"/>
      </w:tblGrid>
      <w:tr>
        <w:trPr>
          <w:trHeight w:val="273" w:hRule="atLeast"/>
        </w:trPr>
        <w:tc>
          <w:tcPr>
            <w:tcW w:w="1376" w:type="dxa"/>
          </w:tcPr>
          <w:p>
            <w:pPr>
              <w:pStyle w:val="TableParagraph"/>
              <w:spacing w:line="250" w:lineRule="exact" w:before="3"/>
              <w:ind w:left="475"/>
              <w:rPr>
                <w:sz w:val="21"/>
              </w:rPr>
            </w:pPr>
            <w:r>
              <w:rPr>
                <w:sz w:val="21"/>
              </w:rPr>
              <w:t>姓名 </w:t>
            </w:r>
          </w:p>
        </w:tc>
        <w:tc>
          <w:tcPr>
            <w:tcW w:w="12489" w:type="dxa"/>
          </w:tcPr>
          <w:p>
            <w:pPr>
              <w:pStyle w:val="TableParagraph"/>
              <w:spacing w:line="250" w:lineRule="exact" w:before="3"/>
              <w:ind w:left="5649" w:right="5535"/>
              <w:jc w:val="center"/>
              <w:rPr>
                <w:sz w:val="21"/>
              </w:rPr>
            </w:pPr>
            <w:r>
              <w:rPr>
                <w:spacing w:val="-1"/>
                <w:sz w:val="21"/>
              </w:rPr>
              <w:t>主要工作经历</w:t>
            </w:r>
            <w:r>
              <w:rPr>
                <w:sz w:val="21"/>
              </w:rPr>
              <w:t> </w:t>
            </w:r>
          </w:p>
        </w:tc>
      </w:tr>
    </w:tbl>
    <w:p>
      <w:pPr>
        <w:spacing w:after="0" w:line="250" w:lineRule="exact"/>
        <w:jc w:val="center"/>
        <w:rPr>
          <w:sz w:val="21"/>
        </w:rPr>
        <w:sectPr>
          <w:headerReference w:type="default" r:id="rId24"/>
          <w:footerReference w:type="default" r:id="rId25"/>
          <w:pgSz w:w="16840" w:h="11910" w:orient="landscape"/>
          <w:pgMar w:header="882" w:footer="1195" w:top="1180" w:bottom="1380" w:left="1340" w:right="1180"/>
        </w:sectPr>
      </w:pPr>
    </w:p>
    <w:p>
      <w:pPr>
        <w:pStyle w:val="BodyText"/>
        <w:ind w:left="0"/>
        <w:rPr>
          <w:sz w:val="20"/>
        </w:rPr>
      </w:pPr>
    </w:p>
    <w:p>
      <w:pPr>
        <w:pStyle w:val="BodyText"/>
        <w:spacing w:before="2"/>
        <w:ind w:left="0"/>
        <w:rPr>
          <w:sz w:val="2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6"/>
        <w:gridCol w:w="12489"/>
      </w:tblGrid>
      <w:tr>
        <w:trPr>
          <w:trHeight w:val="544" w:hRule="atLeast"/>
        </w:trPr>
        <w:tc>
          <w:tcPr>
            <w:tcW w:w="1376" w:type="dxa"/>
          </w:tcPr>
          <w:p>
            <w:pPr>
              <w:pStyle w:val="TableParagraph"/>
              <w:spacing w:before="1"/>
              <w:ind w:right="257"/>
              <w:jc w:val="right"/>
              <w:rPr>
                <w:sz w:val="21"/>
              </w:rPr>
            </w:pPr>
            <w:r>
              <w:rPr>
                <w:sz w:val="21"/>
              </w:rPr>
              <w:t>李军旗 </w:t>
            </w:r>
          </w:p>
        </w:tc>
        <w:tc>
          <w:tcPr>
            <w:tcW w:w="12489" w:type="dxa"/>
          </w:tcPr>
          <w:p>
            <w:pPr>
              <w:pStyle w:val="TableParagraph"/>
              <w:spacing w:before="1"/>
              <w:ind w:left="107"/>
              <w:rPr>
                <w:sz w:val="21"/>
              </w:rPr>
            </w:pPr>
            <w:r>
              <w:rPr>
                <w:sz w:val="21"/>
              </w:rPr>
              <w:t>现担任基准精密工业</w:t>
            </w:r>
            <w:r>
              <w:rPr>
                <w:rFonts w:ascii="Times New Roman" w:eastAsia="Times New Roman"/>
                <w:sz w:val="21"/>
              </w:rPr>
              <w:t>(</w:t>
            </w:r>
            <w:r>
              <w:rPr>
                <w:sz w:val="21"/>
              </w:rPr>
              <w:t>惠州</w:t>
            </w:r>
            <w:r>
              <w:rPr>
                <w:rFonts w:ascii="Times New Roman" w:eastAsia="Times New Roman"/>
                <w:sz w:val="21"/>
              </w:rPr>
              <w:t>)</w:t>
            </w:r>
            <w:r>
              <w:rPr>
                <w:sz w:val="21"/>
              </w:rPr>
              <w:t>有限公司董事长、深圳精匠云创科技有限公司董事长、青岛海源合金新材料有限公司董事、深圳市圆梦精</w:t>
            </w:r>
          </w:p>
          <w:p>
            <w:pPr>
              <w:pStyle w:val="TableParagraph"/>
              <w:spacing w:line="252" w:lineRule="exact" w:before="2"/>
              <w:ind w:left="107"/>
              <w:rPr>
                <w:sz w:val="21"/>
              </w:rPr>
            </w:pPr>
            <w:r>
              <w:rPr>
                <w:spacing w:val="1"/>
                <w:sz w:val="21"/>
              </w:rPr>
              <w:t>密技术研究院院长。此前曾担任日本高知工科大学讲师、日本</w:t>
            </w:r>
            <w:r>
              <w:rPr>
                <w:rFonts w:ascii="Times New Roman" w:eastAsia="Times New Roman"/>
                <w:sz w:val="21"/>
              </w:rPr>
              <w:t>FINE</w:t>
            </w:r>
            <w:r>
              <w:rPr>
                <w:rFonts w:ascii="Times New Roman" w:eastAsia="Times New Roman"/>
                <w:spacing w:val="-14"/>
                <w:sz w:val="21"/>
              </w:rPr>
              <w:t> </w:t>
            </w:r>
            <w:r>
              <w:rPr>
                <w:rFonts w:ascii="Times New Roman" w:eastAsia="Times New Roman"/>
                <w:sz w:val="21"/>
              </w:rPr>
              <w:t>TECH</w:t>
            </w:r>
            <w:r>
              <w:rPr>
                <w:rFonts w:ascii="Times New Roman" w:eastAsia="Times New Roman"/>
                <w:spacing w:val="-14"/>
                <w:sz w:val="21"/>
              </w:rPr>
              <w:t> </w:t>
            </w:r>
            <w:r>
              <w:rPr>
                <w:rFonts w:ascii="Times New Roman" w:eastAsia="Times New Roman"/>
                <w:sz w:val="21"/>
              </w:rPr>
              <w:t>Corporation</w:t>
            </w:r>
            <w:r>
              <w:rPr>
                <w:rFonts w:ascii="Times New Roman" w:eastAsia="Times New Roman"/>
                <w:spacing w:val="-13"/>
                <w:sz w:val="21"/>
              </w:rPr>
              <w:t> </w:t>
            </w:r>
            <w:r>
              <w:rPr>
                <w:sz w:val="21"/>
              </w:rPr>
              <w:t>主任研究员、深圳富泰华高级技术顾问等职务。</w:t>
            </w:r>
          </w:p>
        </w:tc>
      </w:tr>
      <w:tr>
        <w:trPr>
          <w:trHeight w:val="544" w:hRule="atLeast"/>
        </w:trPr>
        <w:tc>
          <w:tcPr>
            <w:tcW w:w="1376" w:type="dxa"/>
          </w:tcPr>
          <w:p>
            <w:pPr>
              <w:pStyle w:val="TableParagraph"/>
              <w:spacing w:before="1"/>
              <w:ind w:right="257"/>
              <w:jc w:val="right"/>
              <w:rPr>
                <w:sz w:val="21"/>
              </w:rPr>
            </w:pPr>
            <w:r>
              <w:rPr>
                <w:sz w:val="21"/>
              </w:rPr>
              <w:t>郑弘孟 </w:t>
            </w:r>
          </w:p>
        </w:tc>
        <w:tc>
          <w:tcPr>
            <w:tcW w:w="12489" w:type="dxa"/>
          </w:tcPr>
          <w:p>
            <w:pPr>
              <w:pStyle w:val="TableParagraph"/>
              <w:spacing w:before="1"/>
              <w:ind w:left="107"/>
              <w:rPr>
                <w:sz w:val="21"/>
              </w:rPr>
            </w:pPr>
            <w:r>
              <w:rPr>
                <w:sz w:val="21"/>
              </w:rPr>
              <w:t>现担任富联国基电子</w:t>
            </w:r>
            <w:r>
              <w:rPr>
                <w:rFonts w:ascii="Times New Roman" w:eastAsia="Times New Roman"/>
                <w:sz w:val="21"/>
              </w:rPr>
              <w:t>(</w:t>
            </w:r>
            <w:r>
              <w:rPr>
                <w:sz w:val="21"/>
              </w:rPr>
              <w:t>上海</w:t>
            </w:r>
            <w:r>
              <w:rPr>
                <w:rFonts w:ascii="Times New Roman" w:eastAsia="Times New Roman"/>
                <w:sz w:val="21"/>
              </w:rPr>
              <w:t>)</w:t>
            </w:r>
            <w:r>
              <w:rPr>
                <w:sz w:val="21"/>
              </w:rPr>
              <w:t>有限公司和富联国宙电子</w:t>
            </w:r>
            <w:r>
              <w:rPr>
                <w:rFonts w:ascii="Times New Roman" w:eastAsia="Times New Roman"/>
                <w:sz w:val="21"/>
              </w:rPr>
              <w:t>(</w:t>
            </w:r>
            <w:r>
              <w:rPr>
                <w:sz w:val="21"/>
              </w:rPr>
              <w:t>上海</w:t>
            </w:r>
            <w:r>
              <w:rPr>
                <w:rFonts w:ascii="Times New Roman" w:eastAsia="Times New Roman"/>
                <w:sz w:val="21"/>
              </w:rPr>
              <w:t>)</w:t>
            </w:r>
            <w:r>
              <w:rPr>
                <w:spacing w:val="-1"/>
                <w:sz w:val="21"/>
              </w:rPr>
              <w:t>有限公司董事、日本裕展贸易株式会社董事以及 </w:t>
            </w:r>
            <w:r>
              <w:rPr>
                <w:rFonts w:ascii="Times New Roman" w:eastAsia="Times New Roman"/>
                <w:sz w:val="21"/>
              </w:rPr>
              <w:t>AMB</w:t>
            </w:r>
            <w:r>
              <w:rPr>
                <w:rFonts w:ascii="Times New Roman" w:eastAsia="Times New Roman"/>
                <w:spacing w:val="44"/>
                <w:sz w:val="21"/>
              </w:rPr>
              <w:t> </w:t>
            </w:r>
            <w:r>
              <w:rPr>
                <w:rFonts w:ascii="Times New Roman" w:eastAsia="Times New Roman"/>
                <w:sz w:val="21"/>
              </w:rPr>
              <w:t>Logistics</w:t>
            </w:r>
            <w:r>
              <w:rPr>
                <w:rFonts w:ascii="Times New Roman" w:eastAsia="Times New Roman"/>
                <w:spacing w:val="45"/>
                <w:sz w:val="21"/>
              </w:rPr>
              <w:t> </w:t>
            </w:r>
            <w:r>
              <w:rPr>
                <w:rFonts w:ascii="Times New Roman" w:eastAsia="Times New Roman"/>
                <w:sz w:val="21"/>
              </w:rPr>
              <w:t>Limited</w:t>
            </w:r>
            <w:r>
              <w:rPr>
                <w:rFonts w:ascii="Times New Roman" w:eastAsia="Times New Roman"/>
                <w:spacing w:val="50"/>
                <w:sz w:val="21"/>
              </w:rPr>
              <w:t> </w:t>
            </w:r>
            <w:r>
              <w:rPr>
                <w:sz w:val="21"/>
              </w:rPr>
              <w:t>董</w:t>
            </w:r>
          </w:p>
          <w:p>
            <w:pPr>
              <w:pStyle w:val="TableParagraph"/>
              <w:spacing w:line="250" w:lineRule="exact" w:before="4"/>
              <w:ind w:left="107"/>
              <w:rPr>
                <w:sz w:val="21"/>
              </w:rPr>
            </w:pPr>
            <w:r>
              <w:rPr>
                <w:spacing w:val="-4"/>
                <w:sz w:val="21"/>
              </w:rPr>
              <w:t>事。此前曾担任鸿海精密工业股份有限公司 </w:t>
            </w:r>
            <w:r>
              <w:rPr>
                <w:rFonts w:ascii="Times New Roman" w:eastAsia="Times New Roman"/>
                <w:sz w:val="21"/>
              </w:rPr>
              <w:t>FG</w:t>
            </w:r>
            <w:r>
              <w:rPr>
                <w:rFonts w:ascii="Times New Roman" w:eastAsia="Times New Roman"/>
                <w:spacing w:val="1"/>
                <w:sz w:val="21"/>
              </w:rPr>
              <w:t> </w:t>
            </w:r>
            <w:r>
              <w:rPr>
                <w:sz w:val="21"/>
              </w:rPr>
              <w:t>事业群总经理、国基电子商务</w:t>
            </w:r>
            <w:r>
              <w:rPr>
                <w:rFonts w:ascii="Times New Roman" w:eastAsia="Times New Roman"/>
                <w:sz w:val="21"/>
              </w:rPr>
              <w:t>(</w:t>
            </w:r>
            <w:r>
              <w:rPr>
                <w:sz w:val="21"/>
              </w:rPr>
              <w:t>嘉善</w:t>
            </w:r>
            <w:r>
              <w:rPr>
                <w:rFonts w:ascii="Times New Roman" w:eastAsia="Times New Roman"/>
                <w:sz w:val="21"/>
              </w:rPr>
              <w:t>)</w:t>
            </w:r>
            <w:r>
              <w:rPr>
                <w:sz w:val="21"/>
              </w:rPr>
              <w:t>有限公司董事长等职务。</w:t>
            </w:r>
          </w:p>
        </w:tc>
      </w:tr>
      <w:tr>
        <w:trPr>
          <w:trHeight w:val="273" w:hRule="atLeast"/>
        </w:trPr>
        <w:tc>
          <w:tcPr>
            <w:tcW w:w="1376" w:type="dxa"/>
          </w:tcPr>
          <w:p>
            <w:pPr>
              <w:pStyle w:val="TableParagraph"/>
              <w:spacing w:line="252" w:lineRule="exact" w:before="1"/>
              <w:ind w:right="257"/>
              <w:jc w:val="right"/>
              <w:rPr>
                <w:sz w:val="21"/>
              </w:rPr>
            </w:pPr>
            <w:r>
              <w:rPr>
                <w:sz w:val="21"/>
              </w:rPr>
              <w:t>周泰裕 </w:t>
            </w:r>
          </w:p>
        </w:tc>
        <w:tc>
          <w:tcPr>
            <w:tcW w:w="12489" w:type="dxa"/>
          </w:tcPr>
          <w:p>
            <w:pPr>
              <w:pStyle w:val="TableParagraph"/>
              <w:spacing w:line="252" w:lineRule="exact" w:before="1"/>
              <w:ind w:left="107"/>
              <w:rPr>
                <w:sz w:val="21"/>
              </w:rPr>
            </w:pPr>
            <w:r>
              <w:rPr>
                <w:spacing w:val="1"/>
                <w:sz w:val="21"/>
              </w:rPr>
              <w:t>现担任公司首席技术官、云企业解决方案事业群总裁。此前曾经就职于美国</w:t>
            </w:r>
            <w:r>
              <w:rPr>
                <w:rFonts w:ascii="Times New Roman" w:eastAsia="Times New Roman"/>
                <w:sz w:val="21"/>
              </w:rPr>
              <w:t>IT</w:t>
            </w:r>
            <w:r>
              <w:rPr>
                <w:rFonts w:ascii="Times New Roman" w:eastAsia="Times New Roman"/>
                <w:spacing w:val="-6"/>
                <w:sz w:val="21"/>
              </w:rPr>
              <w:t> </w:t>
            </w:r>
            <w:r>
              <w:rPr>
                <w:spacing w:val="8"/>
                <w:sz w:val="21"/>
              </w:rPr>
              <w:t>及互联网公司</w:t>
            </w:r>
            <w:r>
              <w:rPr>
                <w:rFonts w:ascii="Times New Roman" w:eastAsia="Times New Roman"/>
                <w:sz w:val="21"/>
              </w:rPr>
              <w:t>Sun</w:t>
            </w:r>
            <w:r>
              <w:rPr>
                <w:rFonts w:ascii="Times New Roman" w:eastAsia="Times New Roman"/>
                <w:spacing w:val="-6"/>
                <w:sz w:val="21"/>
              </w:rPr>
              <w:t> </w:t>
            </w:r>
            <w:r>
              <w:rPr>
                <w:rFonts w:ascii="Times New Roman" w:eastAsia="Times New Roman"/>
                <w:sz w:val="21"/>
              </w:rPr>
              <w:t>Microsystems</w:t>
            </w:r>
            <w:r>
              <w:rPr>
                <w:sz w:val="21"/>
              </w:rPr>
              <w:t>。</w:t>
            </w:r>
          </w:p>
        </w:tc>
      </w:tr>
      <w:tr>
        <w:trPr>
          <w:trHeight w:val="544" w:hRule="atLeast"/>
        </w:trPr>
        <w:tc>
          <w:tcPr>
            <w:tcW w:w="1376" w:type="dxa"/>
          </w:tcPr>
          <w:p>
            <w:pPr>
              <w:pStyle w:val="TableParagraph"/>
              <w:spacing w:before="1"/>
              <w:ind w:right="257"/>
              <w:jc w:val="right"/>
              <w:rPr>
                <w:sz w:val="21"/>
              </w:rPr>
            </w:pPr>
            <w:r>
              <w:rPr>
                <w:sz w:val="21"/>
              </w:rPr>
              <w:t>刘俊杰 </w:t>
            </w:r>
          </w:p>
        </w:tc>
        <w:tc>
          <w:tcPr>
            <w:tcW w:w="12489" w:type="dxa"/>
          </w:tcPr>
          <w:p>
            <w:pPr>
              <w:pStyle w:val="TableParagraph"/>
              <w:spacing w:before="1"/>
              <w:ind w:left="107"/>
              <w:rPr>
                <w:sz w:val="21"/>
              </w:rPr>
            </w:pPr>
            <w:r>
              <w:rPr>
                <w:sz w:val="21"/>
              </w:rPr>
              <w:t>现担任公司高端精密机构件产品群</w:t>
            </w:r>
            <w:r>
              <w:rPr>
                <w:rFonts w:ascii="Times New Roman" w:eastAsia="Times New Roman"/>
                <w:sz w:val="21"/>
              </w:rPr>
              <w:t>(</w:t>
            </w:r>
            <w:r>
              <w:rPr>
                <w:sz w:val="21"/>
              </w:rPr>
              <w:t>包含智能手机、个人穿戴</w:t>
            </w:r>
            <w:r>
              <w:rPr>
                <w:rFonts w:ascii="Times New Roman" w:eastAsia="Times New Roman"/>
                <w:sz w:val="21"/>
              </w:rPr>
              <w:t>)</w:t>
            </w:r>
            <w:r>
              <w:rPr>
                <w:sz w:val="21"/>
              </w:rPr>
              <w:t>总经理、高端云决策委员会主任委员及智能工厂决策委员会主任委员、</w:t>
            </w:r>
          </w:p>
          <w:p>
            <w:pPr>
              <w:pStyle w:val="TableParagraph"/>
              <w:spacing w:line="252" w:lineRule="exact" w:before="2"/>
              <w:ind w:left="107"/>
              <w:rPr>
                <w:sz w:val="21"/>
              </w:rPr>
            </w:pPr>
            <w:r>
              <w:rPr>
                <w:rFonts w:ascii="Times New Roman" w:eastAsia="Times New Roman"/>
                <w:sz w:val="21"/>
              </w:rPr>
              <w:t>IPL</w:t>
            </w:r>
            <w:r>
              <w:rPr>
                <w:rFonts w:ascii="Times New Roman" w:eastAsia="Times New Roman"/>
                <w:spacing w:val="-4"/>
                <w:sz w:val="21"/>
              </w:rPr>
              <w:t> </w:t>
            </w:r>
            <w:r>
              <w:rPr>
                <w:rFonts w:ascii="Times New Roman" w:eastAsia="Times New Roman"/>
                <w:sz w:val="21"/>
              </w:rPr>
              <w:t>International</w:t>
            </w:r>
            <w:r>
              <w:rPr>
                <w:rFonts w:ascii="Times New Roman" w:eastAsia="Times New Roman"/>
                <w:spacing w:val="-1"/>
                <w:sz w:val="21"/>
              </w:rPr>
              <w:t> </w:t>
            </w:r>
            <w:r>
              <w:rPr>
                <w:rFonts w:ascii="Times New Roman" w:eastAsia="Times New Roman"/>
                <w:sz w:val="21"/>
              </w:rPr>
              <w:t>Limited</w:t>
            </w:r>
            <w:r>
              <w:rPr>
                <w:rFonts w:ascii="Times New Roman" w:eastAsia="Times New Roman"/>
                <w:spacing w:val="-10"/>
                <w:sz w:val="21"/>
              </w:rPr>
              <w:t> </w:t>
            </w:r>
            <w:r>
              <w:rPr>
                <w:sz w:val="21"/>
              </w:rPr>
              <w:t>董事、</w:t>
            </w:r>
            <w:r>
              <w:rPr>
                <w:rFonts w:ascii="Times New Roman" w:eastAsia="Times New Roman"/>
                <w:sz w:val="21"/>
              </w:rPr>
              <w:t>Foxconn</w:t>
            </w:r>
            <w:r>
              <w:rPr>
                <w:rFonts w:ascii="Times New Roman" w:eastAsia="Times New Roman"/>
                <w:spacing w:val="-5"/>
                <w:sz w:val="21"/>
              </w:rPr>
              <w:t> </w:t>
            </w:r>
            <w:r>
              <w:rPr>
                <w:rFonts w:ascii="Times New Roman" w:eastAsia="Times New Roman"/>
                <w:sz w:val="21"/>
              </w:rPr>
              <w:t>Precision</w:t>
            </w:r>
            <w:r>
              <w:rPr>
                <w:rFonts w:ascii="Times New Roman" w:eastAsia="Times New Roman"/>
                <w:spacing w:val="-2"/>
                <w:sz w:val="21"/>
              </w:rPr>
              <w:t> </w:t>
            </w:r>
            <w:r>
              <w:rPr>
                <w:rFonts w:ascii="Times New Roman" w:eastAsia="Times New Roman"/>
                <w:sz w:val="21"/>
              </w:rPr>
              <w:t>International</w:t>
            </w:r>
            <w:r>
              <w:rPr>
                <w:rFonts w:ascii="Times New Roman" w:eastAsia="Times New Roman"/>
                <w:spacing w:val="-2"/>
                <w:sz w:val="21"/>
              </w:rPr>
              <w:t> </w:t>
            </w:r>
            <w:r>
              <w:rPr>
                <w:rFonts w:ascii="Times New Roman" w:eastAsia="Times New Roman"/>
                <w:sz w:val="21"/>
              </w:rPr>
              <w:t>Limited</w:t>
            </w:r>
            <w:r>
              <w:rPr>
                <w:rFonts w:ascii="Times New Roman" w:eastAsia="Times New Roman"/>
                <w:spacing w:val="-11"/>
                <w:sz w:val="21"/>
              </w:rPr>
              <w:t> </w:t>
            </w:r>
            <w:r>
              <w:rPr>
                <w:sz w:val="21"/>
              </w:rPr>
              <w:t>董事。</w:t>
            </w:r>
          </w:p>
        </w:tc>
      </w:tr>
      <w:tr>
        <w:trPr>
          <w:trHeight w:val="545" w:hRule="atLeast"/>
        </w:trPr>
        <w:tc>
          <w:tcPr>
            <w:tcW w:w="1376" w:type="dxa"/>
          </w:tcPr>
          <w:p>
            <w:pPr>
              <w:pStyle w:val="TableParagraph"/>
              <w:spacing w:before="1"/>
              <w:ind w:right="257"/>
              <w:jc w:val="right"/>
              <w:rPr>
                <w:sz w:val="21"/>
              </w:rPr>
            </w:pPr>
            <w:r>
              <w:rPr>
                <w:spacing w:val="34"/>
                <w:sz w:val="21"/>
              </w:rPr>
              <w:t>薛 健</w:t>
            </w:r>
            <w:r>
              <w:rPr>
                <w:sz w:val="21"/>
              </w:rPr>
              <w:t> </w:t>
            </w:r>
          </w:p>
        </w:tc>
        <w:tc>
          <w:tcPr>
            <w:tcW w:w="12489" w:type="dxa"/>
          </w:tcPr>
          <w:p>
            <w:pPr>
              <w:pStyle w:val="TableParagraph"/>
              <w:spacing w:before="1"/>
              <w:ind w:left="107"/>
              <w:rPr>
                <w:sz w:val="21"/>
              </w:rPr>
            </w:pPr>
            <w:r>
              <w:rPr>
                <w:sz w:val="21"/>
              </w:rPr>
              <w:t>现担任清华大学经济管理学院教授、中文在线数字出版集团股份有限公司独立董事。此前曾担任香港科技大学助理教授、清华大学经</w:t>
            </w:r>
          </w:p>
          <w:p>
            <w:pPr>
              <w:pStyle w:val="TableParagraph"/>
              <w:spacing w:line="252" w:lineRule="exact" w:before="2"/>
              <w:ind w:left="107"/>
              <w:rPr>
                <w:sz w:val="21"/>
              </w:rPr>
            </w:pPr>
            <w:r>
              <w:rPr>
                <w:sz w:val="21"/>
              </w:rPr>
              <w:t>济管理学院副教授。</w:t>
            </w:r>
          </w:p>
        </w:tc>
      </w:tr>
      <w:tr>
        <w:trPr>
          <w:trHeight w:val="1089" w:hRule="atLeast"/>
        </w:trPr>
        <w:tc>
          <w:tcPr>
            <w:tcW w:w="1376" w:type="dxa"/>
          </w:tcPr>
          <w:p>
            <w:pPr>
              <w:pStyle w:val="TableParagraph"/>
              <w:spacing w:before="1"/>
              <w:ind w:right="257"/>
              <w:jc w:val="right"/>
              <w:rPr>
                <w:sz w:val="21"/>
              </w:rPr>
            </w:pPr>
            <w:r>
              <w:rPr>
                <w:sz w:val="21"/>
              </w:rPr>
              <w:t>孙中亮 </w:t>
            </w:r>
          </w:p>
        </w:tc>
        <w:tc>
          <w:tcPr>
            <w:tcW w:w="12489" w:type="dxa"/>
          </w:tcPr>
          <w:p>
            <w:pPr>
              <w:pStyle w:val="TableParagraph"/>
              <w:spacing w:line="242" w:lineRule="auto" w:before="1"/>
              <w:ind w:left="107" w:right="92"/>
              <w:jc w:val="both"/>
              <w:rPr>
                <w:sz w:val="21"/>
              </w:rPr>
            </w:pPr>
            <w:r>
              <w:rPr>
                <w:sz w:val="21"/>
              </w:rPr>
              <w:t>现担任深圳华大北斗科技股份有限公司董事长和总经理、深圳市北斗启航实业有限公司执行董事和总经理、北京北斗华大科技有限公司执行董事和经理、上海米度测控科技有限公司董事长、深圳和而泰智能控制股份有限公司独立董事等职务。此前曾担任北京中电华大电子设计有限责任公司副总经理、中电长城网际系统应用有限公司副总经理、中国电子软件研究院副院长、清华同方股份有限公司</w:t>
            </w:r>
          </w:p>
          <w:p>
            <w:pPr>
              <w:pStyle w:val="TableParagraph"/>
              <w:spacing w:line="252" w:lineRule="exact"/>
              <w:ind w:left="107"/>
              <w:rPr>
                <w:sz w:val="21"/>
              </w:rPr>
            </w:pPr>
            <w:r>
              <w:rPr>
                <w:spacing w:val="-1"/>
                <w:sz w:val="21"/>
              </w:rPr>
              <w:t>事业部总经理、中国空间技术研究院工程师等职务。</w:t>
            </w:r>
          </w:p>
        </w:tc>
      </w:tr>
      <w:tr>
        <w:trPr>
          <w:trHeight w:val="1089" w:hRule="atLeast"/>
        </w:trPr>
        <w:tc>
          <w:tcPr>
            <w:tcW w:w="1376" w:type="dxa"/>
          </w:tcPr>
          <w:p>
            <w:pPr>
              <w:pStyle w:val="TableParagraph"/>
              <w:spacing w:before="1"/>
              <w:ind w:right="257"/>
              <w:jc w:val="right"/>
              <w:rPr>
                <w:sz w:val="21"/>
              </w:rPr>
            </w:pPr>
            <w:r>
              <w:rPr>
                <w:sz w:val="21"/>
              </w:rPr>
              <w:t>胡国辉 </w:t>
            </w:r>
          </w:p>
        </w:tc>
        <w:tc>
          <w:tcPr>
            <w:tcW w:w="12489" w:type="dxa"/>
          </w:tcPr>
          <w:p>
            <w:pPr>
              <w:pStyle w:val="TableParagraph"/>
              <w:spacing w:line="242" w:lineRule="auto" w:before="1"/>
              <w:ind w:left="107" w:right="88"/>
              <w:jc w:val="both"/>
              <w:rPr>
                <w:sz w:val="21"/>
              </w:rPr>
            </w:pPr>
            <w:r>
              <w:rPr>
                <w:sz w:val="21"/>
              </w:rPr>
              <w:t>现担任嘉兴爱锋派商贸有限公司董事长、上海旺辉商贸有限公司董事长、嘉兴智谐商贸有限公司董事长。此前曾担任纽约州立大学</w:t>
            </w:r>
            <w:r>
              <w:rPr>
                <w:rFonts w:ascii="Times New Roman" w:eastAsia="Times New Roman"/>
                <w:sz w:val="21"/>
              </w:rPr>
              <w:t>Albany</w:t>
            </w:r>
            <w:r>
              <w:rPr>
                <w:rFonts w:ascii="Times New Roman" w:eastAsia="Times New Roman"/>
                <w:spacing w:val="35"/>
                <w:sz w:val="21"/>
              </w:rPr>
              <w:t> </w:t>
            </w:r>
            <w:r>
              <w:rPr>
                <w:spacing w:val="-2"/>
                <w:sz w:val="21"/>
              </w:rPr>
              <w:t>分校研究助理、 芝加哥大学讲师、斯坦福大学助理教授、 </w:t>
            </w:r>
            <w:r>
              <w:rPr>
                <w:rFonts w:ascii="Times New Roman" w:eastAsia="Times New Roman"/>
                <w:sz w:val="21"/>
              </w:rPr>
              <w:t>Apple</w:t>
            </w:r>
            <w:r>
              <w:rPr>
                <w:rFonts w:ascii="Times New Roman" w:eastAsia="Times New Roman"/>
                <w:spacing w:val="42"/>
                <w:sz w:val="21"/>
              </w:rPr>
              <w:t> </w:t>
            </w:r>
            <w:r>
              <w:rPr>
                <w:spacing w:val="-1"/>
                <w:sz w:val="21"/>
              </w:rPr>
              <w:t>公司亚太区市场董事、 </w:t>
            </w:r>
            <w:r>
              <w:rPr>
                <w:rFonts w:ascii="Times New Roman" w:eastAsia="Times New Roman"/>
                <w:sz w:val="21"/>
              </w:rPr>
              <w:t>Apple</w:t>
            </w:r>
            <w:r>
              <w:rPr>
                <w:rFonts w:ascii="Times New Roman" w:eastAsia="Times New Roman"/>
                <w:spacing w:val="44"/>
                <w:sz w:val="21"/>
              </w:rPr>
              <w:t> </w:t>
            </w:r>
            <w:r>
              <w:rPr>
                <w:spacing w:val="-3"/>
                <w:sz w:val="21"/>
              </w:rPr>
              <w:t>新 加坡研究中心董事、 </w:t>
            </w:r>
            <w:r>
              <w:rPr>
                <w:rFonts w:ascii="Times New Roman" w:eastAsia="Times New Roman"/>
                <w:sz w:val="21"/>
              </w:rPr>
              <w:t>Asia</w:t>
            </w:r>
            <w:r>
              <w:rPr>
                <w:rFonts w:ascii="Times New Roman" w:eastAsia="Times New Roman"/>
                <w:spacing w:val="-50"/>
                <w:sz w:val="21"/>
              </w:rPr>
              <w:t> </w:t>
            </w:r>
            <w:r>
              <w:rPr>
                <w:rFonts w:ascii="Times New Roman" w:eastAsia="Times New Roman"/>
                <w:spacing w:val="-1"/>
                <w:sz w:val="21"/>
              </w:rPr>
              <w:t>Works</w:t>
            </w:r>
            <w:r>
              <w:rPr>
                <w:rFonts w:ascii="Times New Roman" w:eastAsia="Times New Roman"/>
                <w:spacing w:val="-13"/>
                <w:sz w:val="21"/>
              </w:rPr>
              <w:t> </w:t>
            </w:r>
            <w:r>
              <w:rPr>
                <w:spacing w:val="-8"/>
                <w:sz w:val="21"/>
              </w:rPr>
              <w:t>创始人及总裁、 </w:t>
            </w:r>
            <w:r>
              <w:rPr>
                <w:rFonts w:ascii="Times New Roman" w:eastAsia="Times New Roman"/>
                <w:sz w:val="21"/>
              </w:rPr>
              <w:t>L&amp;H</w:t>
            </w:r>
            <w:r>
              <w:rPr>
                <w:rFonts w:ascii="Times New Roman" w:eastAsia="Times New Roman"/>
                <w:spacing w:val="-10"/>
                <w:sz w:val="21"/>
              </w:rPr>
              <w:t> </w:t>
            </w:r>
            <w:r>
              <w:rPr>
                <w:sz w:val="21"/>
              </w:rPr>
              <w:t>亚洲总裁、威新集团有限公司董事总经理、英业达股份有限公司首席顾问、讯智海国际控股有限公司董事</w:t>
            </w:r>
          </w:p>
          <w:p>
            <w:pPr>
              <w:pStyle w:val="TableParagraph"/>
              <w:spacing w:line="250" w:lineRule="exact" w:before="3"/>
              <w:ind w:left="107"/>
              <w:rPr>
                <w:sz w:val="21"/>
              </w:rPr>
            </w:pPr>
            <w:r>
              <w:rPr>
                <w:spacing w:val="-1"/>
                <w:sz w:val="21"/>
              </w:rPr>
              <w:t>会主席和行政总裁、苏州富铭兴商贸有限公司执行董事等职务。</w:t>
            </w:r>
          </w:p>
        </w:tc>
      </w:tr>
      <w:tr>
        <w:trPr>
          <w:trHeight w:val="817" w:hRule="atLeast"/>
        </w:trPr>
        <w:tc>
          <w:tcPr>
            <w:tcW w:w="1376" w:type="dxa"/>
          </w:tcPr>
          <w:p>
            <w:pPr>
              <w:pStyle w:val="TableParagraph"/>
              <w:spacing w:before="1"/>
              <w:ind w:right="257"/>
              <w:jc w:val="right"/>
              <w:rPr>
                <w:sz w:val="21"/>
              </w:rPr>
            </w:pPr>
            <w:r>
              <w:rPr>
                <w:sz w:val="21"/>
              </w:rPr>
              <w:t>杨飞飞 </w:t>
            </w:r>
          </w:p>
        </w:tc>
        <w:tc>
          <w:tcPr>
            <w:tcW w:w="12489" w:type="dxa"/>
          </w:tcPr>
          <w:p>
            <w:pPr>
              <w:pStyle w:val="TableParagraph"/>
              <w:spacing w:before="1"/>
              <w:ind w:left="107"/>
              <w:rPr>
                <w:sz w:val="21"/>
              </w:rPr>
            </w:pPr>
            <w:r>
              <w:rPr>
                <w:sz w:val="21"/>
              </w:rPr>
              <w:t>现担任富泰华工业</w:t>
            </w:r>
            <w:r>
              <w:rPr>
                <w:rFonts w:ascii="Times New Roman" w:eastAsia="Times New Roman"/>
                <w:sz w:val="21"/>
              </w:rPr>
              <w:t>(</w:t>
            </w:r>
            <w:r>
              <w:rPr>
                <w:sz w:val="21"/>
              </w:rPr>
              <w:t>深圳</w:t>
            </w:r>
            <w:r>
              <w:rPr>
                <w:rFonts w:ascii="Times New Roman" w:eastAsia="Times New Roman"/>
                <w:sz w:val="21"/>
              </w:rPr>
              <w:t>)</w:t>
            </w:r>
            <w:r>
              <w:rPr>
                <w:sz w:val="21"/>
              </w:rPr>
              <w:t>有限公司技术经理，中华人民共和国第十三届全国人大代表、广东省第十四届人大代表、中华全国青年联合</w:t>
            </w:r>
          </w:p>
          <w:p>
            <w:pPr>
              <w:pStyle w:val="TableParagraph"/>
              <w:spacing w:line="270" w:lineRule="atLeast"/>
              <w:ind w:left="107" w:right="96"/>
              <w:rPr>
                <w:sz w:val="21"/>
              </w:rPr>
            </w:pPr>
            <w:r>
              <w:rPr>
                <w:sz w:val="21"/>
              </w:rPr>
              <w:t>会第十三届委员会委员、广东省青年联合会常委、深圳市青年联合会常委、中共富士康科技集团委员会副书记、中共富士康工业互联网股份有限公司委员会书记、富士康工业互联网股份有限公司工会主席。</w:t>
            </w:r>
          </w:p>
        </w:tc>
      </w:tr>
      <w:tr>
        <w:trPr>
          <w:trHeight w:val="815" w:hRule="atLeast"/>
        </w:trPr>
        <w:tc>
          <w:tcPr>
            <w:tcW w:w="1376" w:type="dxa"/>
          </w:tcPr>
          <w:p>
            <w:pPr>
              <w:pStyle w:val="TableParagraph"/>
              <w:spacing w:before="1"/>
              <w:ind w:right="257"/>
              <w:jc w:val="right"/>
              <w:rPr>
                <w:sz w:val="21"/>
              </w:rPr>
            </w:pPr>
            <w:r>
              <w:rPr>
                <w:sz w:val="21"/>
              </w:rPr>
              <w:t>张占武 </w:t>
            </w:r>
          </w:p>
        </w:tc>
        <w:tc>
          <w:tcPr>
            <w:tcW w:w="12489" w:type="dxa"/>
          </w:tcPr>
          <w:p>
            <w:pPr>
              <w:pStyle w:val="TableParagraph"/>
              <w:spacing w:line="242" w:lineRule="auto" w:before="1"/>
              <w:ind w:left="107" w:right="89"/>
              <w:rPr>
                <w:sz w:val="21"/>
              </w:rPr>
            </w:pPr>
            <w:r>
              <w:rPr>
                <w:spacing w:val="-1"/>
                <w:sz w:val="21"/>
              </w:rPr>
              <w:t>现担任深圳裕展人力资源主管、中国劳动学会副会长、河南大学工商管理学 院客座教授、研究生导师、硕士学位评定委员会委员、郑</w:t>
            </w:r>
            <w:r>
              <w:rPr>
                <w:spacing w:val="-5"/>
                <w:sz w:val="21"/>
              </w:rPr>
              <w:t>州大学管理工程学院研 究生导师。此前曾担任洛阳市第三中学教师、洛阳市第三十三中学团委副书记、 富士康精密组件</w:t>
            </w:r>
            <w:r>
              <w:rPr>
                <w:rFonts w:ascii="Times New Roman" w:eastAsia="Times New Roman"/>
                <w:sz w:val="21"/>
              </w:rPr>
              <w:t>(</w:t>
            </w:r>
            <w:r>
              <w:rPr>
                <w:sz w:val="21"/>
              </w:rPr>
              <w:t>深圳</w:t>
            </w:r>
            <w:r>
              <w:rPr>
                <w:rFonts w:ascii="Times New Roman" w:eastAsia="Times New Roman"/>
                <w:sz w:val="21"/>
              </w:rPr>
              <w:t>)</w:t>
            </w:r>
            <w:r>
              <w:rPr>
                <w:sz w:val="21"/>
              </w:rPr>
              <w:t>有限公</w:t>
            </w:r>
          </w:p>
          <w:p>
            <w:pPr>
              <w:pStyle w:val="TableParagraph"/>
              <w:spacing w:line="250" w:lineRule="exact" w:before="1"/>
              <w:ind w:left="107"/>
              <w:rPr>
                <w:sz w:val="21"/>
              </w:rPr>
            </w:pPr>
            <w:r>
              <w:rPr>
                <w:sz w:val="21"/>
              </w:rPr>
              <w:t>司行政助理、深圳鸿富锦课长、专理、副理、经理、鸿富锦精密电子</w:t>
            </w:r>
            <w:r>
              <w:rPr>
                <w:rFonts w:ascii="Times New Roman" w:eastAsia="Times New Roman"/>
                <w:sz w:val="21"/>
              </w:rPr>
              <w:t>(</w:t>
            </w:r>
            <w:r>
              <w:rPr>
                <w:sz w:val="21"/>
              </w:rPr>
              <w:t>烟台</w:t>
            </w:r>
            <w:r>
              <w:rPr>
                <w:rFonts w:ascii="Times New Roman" w:eastAsia="Times New Roman"/>
                <w:sz w:val="21"/>
              </w:rPr>
              <w:t>)</w:t>
            </w:r>
            <w:r>
              <w:rPr>
                <w:sz w:val="21"/>
              </w:rPr>
              <w:t>有限公司经理、协理以及深圳富泰华资深协理等职务。</w:t>
            </w:r>
          </w:p>
        </w:tc>
      </w:tr>
      <w:tr>
        <w:trPr>
          <w:trHeight w:val="1089" w:hRule="atLeast"/>
        </w:trPr>
        <w:tc>
          <w:tcPr>
            <w:tcW w:w="1376" w:type="dxa"/>
          </w:tcPr>
          <w:p>
            <w:pPr>
              <w:pStyle w:val="TableParagraph"/>
              <w:spacing w:before="1"/>
              <w:ind w:right="257"/>
              <w:jc w:val="right"/>
              <w:rPr>
                <w:sz w:val="21"/>
              </w:rPr>
            </w:pPr>
            <w:r>
              <w:rPr>
                <w:sz w:val="21"/>
              </w:rPr>
              <w:t>郭俊宏 </w:t>
            </w:r>
          </w:p>
        </w:tc>
        <w:tc>
          <w:tcPr>
            <w:tcW w:w="12489" w:type="dxa"/>
          </w:tcPr>
          <w:p>
            <w:pPr>
              <w:pStyle w:val="TableParagraph"/>
              <w:spacing w:line="242" w:lineRule="auto" w:before="1"/>
              <w:ind w:left="107" w:right="93"/>
              <w:jc w:val="both"/>
              <w:rPr>
                <w:sz w:val="21"/>
              </w:rPr>
            </w:pPr>
            <w:r>
              <w:rPr>
                <w:sz w:val="21"/>
              </w:rPr>
              <w:t>现担任鸿驰咨询顾问（深圳）有限公司执行董事、天安德源（山西）农业有限公司董事、随锐科技集团股份有限公司董事、鸿富（深圳）股权投资基金管理有限公司董事。此前曾担任鸿海精密工业股份有限公司</w:t>
            </w:r>
            <w:r>
              <w:rPr>
                <w:rFonts w:ascii="Times New Roman" w:eastAsia="Times New Roman"/>
                <w:sz w:val="21"/>
              </w:rPr>
              <w:t>(2317.TW)</w:t>
            </w:r>
            <w:r>
              <w:rPr>
                <w:sz w:val="21"/>
              </w:rPr>
              <w:t>资深副总经理、</w:t>
            </w:r>
            <w:r>
              <w:rPr>
                <w:rFonts w:ascii="Times New Roman" w:eastAsia="Times New Roman"/>
                <w:sz w:val="21"/>
              </w:rPr>
              <w:t>FIH</w:t>
            </w:r>
            <w:r>
              <w:rPr>
                <w:rFonts w:ascii="Times New Roman" w:eastAsia="Times New Roman"/>
                <w:spacing w:val="26"/>
                <w:sz w:val="21"/>
              </w:rPr>
              <w:t> </w:t>
            </w:r>
            <w:r>
              <w:rPr>
                <w:rFonts w:ascii="Times New Roman" w:eastAsia="Times New Roman"/>
                <w:sz w:val="21"/>
              </w:rPr>
              <w:t>Mobile</w:t>
            </w:r>
            <w:r>
              <w:rPr>
                <w:rFonts w:ascii="Times New Roman" w:eastAsia="Times New Roman"/>
                <w:spacing w:val="28"/>
                <w:sz w:val="21"/>
              </w:rPr>
              <w:t> </w:t>
            </w:r>
            <w:r>
              <w:rPr>
                <w:rFonts w:ascii="Times New Roman" w:eastAsia="Times New Roman"/>
                <w:sz w:val="21"/>
              </w:rPr>
              <w:t>Ltd.</w:t>
            </w:r>
            <w:r>
              <w:rPr>
                <w:sz w:val="21"/>
              </w:rPr>
              <w:t>（富智康集团有限公司）（</w:t>
            </w:r>
            <w:r>
              <w:rPr>
                <w:rFonts w:ascii="Times New Roman" w:eastAsia="Times New Roman"/>
                <w:sz w:val="21"/>
              </w:rPr>
              <w:t>2038.HK</w:t>
            </w:r>
            <w:r>
              <w:rPr>
                <w:sz w:val="21"/>
              </w:rPr>
              <w:t>）司库及财务部主管、富泰京精密电子（北京）有限公司及富智康精密电子（廊坊）有限公司监事、曾参与世</w:t>
            </w:r>
          </w:p>
          <w:p>
            <w:pPr>
              <w:pStyle w:val="TableParagraph"/>
              <w:spacing w:line="250" w:lineRule="exact" w:before="3"/>
              <w:ind w:left="107"/>
              <w:rPr>
                <w:sz w:val="21"/>
              </w:rPr>
            </w:pPr>
            <w:r>
              <w:rPr>
                <w:spacing w:val="-1"/>
                <w:sz w:val="21"/>
              </w:rPr>
              <w:t>界银行成员国际金融公司以及新加坡政府投资公司于中国投资的基建项目。</w:t>
            </w:r>
          </w:p>
        </w:tc>
      </w:tr>
      <w:tr>
        <w:trPr>
          <w:trHeight w:val="544" w:hRule="atLeast"/>
        </w:trPr>
        <w:tc>
          <w:tcPr>
            <w:tcW w:w="1376" w:type="dxa"/>
          </w:tcPr>
          <w:p>
            <w:pPr>
              <w:pStyle w:val="TableParagraph"/>
              <w:spacing w:before="1"/>
              <w:ind w:right="257"/>
              <w:jc w:val="right"/>
              <w:rPr>
                <w:sz w:val="21"/>
              </w:rPr>
            </w:pPr>
            <w:r>
              <w:rPr>
                <w:sz w:val="21"/>
              </w:rPr>
              <w:t>王自强 </w:t>
            </w:r>
          </w:p>
        </w:tc>
        <w:tc>
          <w:tcPr>
            <w:tcW w:w="12489" w:type="dxa"/>
          </w:tcPr>
          <w:p>
            <w:pPr>
              <w:pStyle w:val="TableParagraph"/>
              <w:spacing w:before="1"/>
              <w:ind w:left="107"/>
              <w:rPr>
                <w:sz w:val="21"/>
              </w:rPr>
            </w:pPr>
            <w:r>
              <w:rPr>
                <w:sz w:val="21"/>
              </w:rPr>
              <w:t>现担任富联国基</w:t>
            </w:r>
            <w:r>
              <w:rPr>
                <w:rFonts w:ascii="Times New Roman" w:eastAsia="Times New Roman"/>
                <w:sz w:val="21"/>
              </w:rPr>
              <w:t>(</w:t>
            </w:r>
            <w:r>
              <w:rPr>
                <w:sz w:val="21"/>
              </w:rPr>
              <w:t>上海</w:t>
            </w:r>
            <w:r>
              <w:rPr>
                <w:rFonts w:ascii="Times New Roman" w:eastAsia="Times New Roman"/>
                <w:sz w:val="21"/>
              </w:rPr>
              <w:t>)</w:t>
            </w:r>
            <w:r>
              <w:rPr>
                <w:sz w:val="21"/>
              </w:rPr>
              <w:t>电子有限公司董事长。此前曾担任美资旭电</w:t>
            </w:r>
            <w:r>
              <w:rPr>
                <w:rFonts w:ascii="Times New Roman" w:eastAsia="Times New Roman"/>
                <w:sz w:val="21"/>
              </w:rPr>
              <w:t>(</w:t>
            </w:r>
            <w:r>
              <w:rPr>
                <w:sz w:val="21"/>
              </w:rPr>
              <w:t>深圳</w:t>
            </w:r>
            <w:r>
              <w:rPr>
                <w:rFonts w:ascii="Times New Roman" w:eastAsia="Times New Roman"/>
                <w:sz w:val="21"/>
              </w:rPr>
              <w:t>)</w:t>
            </w:r>
            <w:r>
              <w:rPr>
                <w:sz w:val="21"/>
              </w:rPr>
              <w:t>科技有限公司</w:t>
            </w:r>
            <w:r>
              <w:rPr>
                <w:rFonts w:ascii="Times New Roman" w:eastAsia="Times New Roman"/>
                <w:sz w:val="21"/>
              </w:rPr>
              <w:t>(</w:t>
            </w:r>
            <w:r>
              <w:rPr>
                <w:sz w:val="21"/>
              </w:rPr>
              <w:t>现已更名为伟创力电子设备</w:t>
            </w:r>
            <w:r>
              <w:rPr>
                <w:rFonts w:ascii="Times New Roman" w:eastAsia="Times New Roman"/>
                <w:sz w:val="21"/>
              </w:rPr>
              <w:t>(</w:t>
            </w:r>
            <w:r>
              <w:rPr>
                <w:sz w:val="21"/>
              </w:rPr>
              <w:t>深圳</w:t>
            </w:r>
            <w:r>
              <w:rPr>
                <w:rFonts w:ascii="Times New Roman" w:eastAsia="Times New Roman"/>
                <w:sz w:val="21"/>
              </w:rPr>
              <w:t>)</w:t>
            </w:r>
            <w:r>
              <w:rPr>
                <w:sz w:val="21"/>
              </w:rPr>
              <w:t>有限公司</w:t>
            </w:r>
            <w:r>
              <w:rPr>
                <w:rFonts w:ascii="Times New Roman" w:eastAsia="Times New Roman"/>
                <w:spacing w:val="51"/>
                <w:sz w:val="21"/>
              </w:rPr>
              <w:t>) </w:t>
            </w:r>
            <w:r>
              <w:rPr>
                <w:sz w:val="21"/>
              </w:rPr>
              <w:t>总</w:t>
            </w:r>
          </w:p>
          <w:p>
            <w:pPr>
              <w:pStyle w:val="TableParagraph"/>
              <w:spacing w:line="250" w:lineRule="exact" w:before="4"/>
              <w:ind w:left="107"/>
              <w:rPr>
                <w:sz w:val="21"/>
              </w:rPr>
            </w:pPr>
            <w:r>
              <w:rPr>
                <w:spacing w:val="-4"/>
                <w:sz w:val="21"/>
              </w:rPr>
              <w:t>经理、艾克尔国际科技股份有限公司总经理和鸿海精密 </w:t>
            </w:r>
            <w:r>
              <w:rPr>
                <w:rFonts w:ascii="Times New Roman" w:eastAsia="Times New Roman"/>
                <w:sz w:val="21"/>
              </w:rPr>
              <w:t>FG</w:t>
            </w:r>
            <w:r>
              <w:rPr>
                <w:rFonts w:ascii="Times New Roman" w:eastAsia="Times New Roman"/>
                <w:spacing w:val="1"/>
                <w:sz w:val="21"/>
              </w:rPr>
              <w:t> </w:t>
            </w:r>
            <w:r>
              <w:rPr>
                <w:sz w:val="21"/>
              </w:rPr>
              <w:t>次集团副总经理等职务。</w:t>
            </w:r>
          </w:p>
        </w:tc>
      </w:tr>
      <w:tr>
        <w:trPr>
          <w:trHeight w:val="546" w:hRule="atLeast"/>
        </w:trPr>
        <w:tc>
          <w:tcPr>
            <w:tcW w:w="1376" w:type="dxa"/>
          </w:tcPr>
          <w:p>
            <w:pPr>
              <w:pStyle w:val="TableParagraph"/>
              <w:spacing w:before="3"/>
              <w:ind w:right="257"/>
              <w:jc w:val="right"/>
              <w:rPr>
                <w:sz w:val="21"/>
              </w:rPr>
            </w:pPr>
            <w:r>
              <w:rPr>
                <w:sz w:val="21"/>
              </w:rPr>
              <w:t>丁肇邦 </w:t>
            </w:r>
          </w:p>
        </w:tc>
        <w:tc>
          <w:tcPr>
            <w:tcW w:w="12489" w:type="dxa"/>
          </w:tcPr>
          <w:p>
            <w:pPr>
              <w:pStyle w:val="TableParagraph"/>
              <w:spacing w:line="270" w:lineRule="atLeast"/>
              <w:ind w:left="107" w:right="89"/>
              <w:rPr>
                <w:sz w:val="21"/>
              </w:rPr>
            </w:pPr>
            <w:r>
              <w:rPr>
                <w:spacing w:val="-4"/>
                <w:sz w:val="21"/>
              </w:rPr>
              <w:t>现担任鸿佰科技股份有限公司总经理及董事，曾于 </w:t>
            </w:r>
            <w:r>
              <w:rPr>
                <w:rFonts w:ascii="Times New Roman" w:eastAsia="Times New Roman"/>
                <w:sz w:val="21"/>
              </w:rPr>
              <w:t>2007</w:t>
            </w:r>
            <w:r>
              <w:rPr>
                <w:rFonts w:ascii="Times New Roman" w:eastAsia="Times New Roman"/>
                <w:spacing w:val="-12"/>
                <w:sz w:val="21"/>
              </w:rPr>
              <w:t> </w:t>
            </w:r>
            <w:r>
              <w:rPr>
                <w:sz w:val="21"/>
              </w:rPr>
              <w:t>年加入鸿海精密工业股份有限公司，担任资深副总经理职务，领导服务器与储存器产品设计研发制造与经营管理团队。</w:t>
            </w:r>
          </w:p>
        </w:tc>
      </w:tr>
    </w:tbl>
    <w:p>
      <w:pPr>
        <w:spacing w:after="0" w:line="270" w:lineRule="atLeast"/>
        <w:rPr>
          <w:sz w:val="21"/>
        </w:rPr>
        <w:sectPr>
          <w:pgSz w:w="16840" w:h="11910" w:orient="landscape"/>
          <w:pgMar w:header="882" w:footer="1195" w:top="1180" w:bottom="1380" w:left="1340" w:right="1180"/>
        </w:sectPr>
      </w:pPr>
    </w:p>
    <w:p>
      <w:pPr>
        <w:pStyle w:val="BodyText"/>
        <w:ind w:left="0"/>
        <w:rPr>
          <w:sz w:val="20"/>
        </w:rPr>
      </w:pPr>
    </w:p>
    <w:p>
      <w:pPr>
        <w:pStyle w:val="BodyText"/>
        <w:spacing w:before="2"/>
        <w:ind w:left="0"/>
        <w:rPr>
          <w:sz w:val="2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6"/>
        <w:gridCol w:w="12489"/>
      </w:tblGrid>
      <w:tr>
        <w:trPr>
          <w:trHeight w:val="544" w:hRule="atLeast"/>
        </w:trPr>
        <w:tc>
          <w:tcPr>
            <w:tcW w:w="1376" w:type="dxa"/>
          </w:tcPr>
          <w:p>
            <w:pPr>
              <w:pStyle w:val="TableParagraph"/>
              <w:spacing w:before="1"/>
              <w:ind w:left="369"/>
              <w:rPr>
                <w:sz w:val="21"/>
              </w:rPr>
            </w:pPr>
            <w:r>
              <w:rPr>
                <w:sz w:val="21"/>
              </w:rPr>
              <w:t>王健民 </w:t>
            </w:r>
          </w:p>
          <w:p>
            <w:pPr>
              <w:pStyle w:val="TableParagraph"/>
              <w:spacing w:line="252" w:lineRule="exact" w:before="2"/>
              <w:ind w:left="266"/>
              <w:rPr>
                <w:sz w:val="21"/>
              </w:rPr>
            </w:pPr>
            <w:r>
              <w:rPr>
                <w:sz w:val="21"/>
              </w:rPr>
              <w:t>（离任） </w:t>
            </w:r>
          </w:p>
        </w:tc>
        <w:tc>
          <w:tcPr>
            <w:tcW w:w="12489" w:type="dxa"/>
          </w:tcPr>
          <w:p>
            <w:pPr>
              <w:pStyle w:val="TableParagraph"/>
              <w:spacing w:before="1"/>
              <w:ind w:left="107"/>
              <w:rPr>
                <w:sz w:val="21"/>
              </w:rPr>
            </w:pPr>
            <w:r>
              <w:rPr>
                <w:sz w:val="21"/>
              </w:rPr>
              <w:t>现担任桦汉科技股份有限公司独立董事。此前曾担任苏州冠晶半导体有限公司合伙创办人、美国壹晶半导体公司亚洲总经理、鸿海精</w:t>
            </w:r>
          </w:p>
          <w:p>
            <w:pPr>
              <w:pStyle w:val="TableParagraph"/>
              <w:spacing w:line="252" w:lineRule="exact" w:before="2"/>
              <w:ind w:left="107"/>
              <w:rPr>
                <w:sz w:val="21"/>
              </w:rPr>
            </w:pPr>
            <w:r>
              <w:rPr>
                <w:sz w:val="21"/>
              </w:rPr>
              <w:t>密工业股份有限公司行销长等职务。</w:t>
            </w:r>
          </w:p>
        </w:tc>
      </w:tr>
      <w:tr>
        <w:trPr>
          <w:trHeight w:val="544" w:hRule="atLeast"/>
        </w:trPr>
        <w:tc>
          <w:tcPr>
            <w:tcW w:w="1376" w:type="dxa"/>
          </w:tcPr>
          <w:p>
            <w:pPr>
              <w:pStyle w:val="TableParagraph"/>
              <w:spacing w:before="1"/>
              <w:ind w:left="369"/>
              <w:rPr>
                <w:sz w:val="21"/>
              </w:rPr>
            </w:pPr>
            <w:r>
              <w:rPr>
                <w:spacing w:val="34"/>
                <w:sz w:val="21"/>
              </w:rPr>
              <w:t>熊 毅</w:t>
            </w:r>
            <w:r>
              <w:rPr>
                <w:sz w:val="21"/>
              </w:rPr>
              <w:t> </w:t>
            </w:r>
          </w:p>
          <w:p>
            <w:pPr>
              <w:pStyle w:val="TableParagraph"/>
              <w:spacing w:line="250" w:lineRule="exact" w:before="4"/>
              <w:ind w:left="266"/>
              <w:rPr>
                <w:sz w:val="21"/>
              </w:rPr>
            </w:pPr>
            <w:r>
              <w:rPr>
                <w:sz w:val="21"/>
              </w:rPr>
              <w:t>（离任） </w:t>
            </w:r>
          </w:p>
        </w:tc>
        <w:tc>
          <w:tcPr>
            <w:tcW w:w="12489" w:type="dxa"/>
          </w:tcPr>
          <w:p>
            <w:pPr>
              <w:pStyle w:val="TableParagraph"/>
              <w:spacing w:before="1"/>
              <w:ind w:left="107"/>
              <w:rPr>
                <w:sz w:val="21"/>
              </w:rPr>
            </w:pPr>
            <w:r>
              <w:rPr>
                <w:sz w:val="21"/>
              </w:rPr>
              <w:t>原担任富联科技（周口）有限公司法定代表人、董事长、总经理，睿志达光电（深圳）有限公司法定代表人、董事长，富士康工业互</w:t>
            </w:r>
          </w:p>
          <w:p>
            <w:pPr>
              <w:pStyle w:val="TableParagraph"/>
              <w:spacing w:line="250" w:lineRule="exact" w:before="4"/>
              <w:ind w:left="107"/>
              <w:rPr>
                <w:sz w:val="21"/>
              </w:rPr>
            </w:pPr>
            <w:r>
              <w:rPr>
                <w:spacing w:val="5"/>
                <w:sz w:val="21"/>
              </w:rPr>
              <w:t>联网股份有限公司</w:t>
            </w:r>
            <w:r>
              <w:rPr>
                <w:rFonts w:ascii="Times New Roman" w:eastAsia="Times New Roman"/>
                <w:sz w:val="21"/>
              </w:rPr>
              <w:t>iLVG</w:t>
            </w:r>
            <w:r>
              <w:rPr>
                <w:rFonts w:ascii="Times New Roman" w:eastAsia="Times New Roman"/>
                <w:spacing w:val="-13"/>
                <w:sz w:val="21"/>
              </w:rPr>
              <w:t> </w:t>
            </w:r>
            <w:r>
              <w:rPr>
                <w:sz w:val="21"/>
              </w:rPr>
              <w:t>产品处负责人、副总经理。此前曾任深圳富泰宏精密工业有限公司工程技术研究中心主任。</w:t>
            </w:r>
          </w:p>
        </w:tc>
      </w:tr>
    </w:tbl>
    <w:p>
      <w:pPr>
        <w:pStyle w:val="BodyText"/>
        <w:spacing w:before="1"/>
        <w:ind w:left="100"/>
      </w:pPr>
      <w:r>
        <w:rPr>
          <w:w w:val="100"/>
        </w:rPr>
        <w:t> </w:t>
      </w:r>
    </w:p>
    <w:p>
      <w:pPr>
        <w:pStyle w:val="BodyText"/>
        <w:spacing w:before="4"/>
        <w:ind w:left="100"/>
      </w:pPr>
      <w:r>
        <w:rPr>
          <w:spacing w:val="-1"/>
        </w:rPr>
        <w:t>其它情况说明</w:t>
      </w:r>
      <w:r>
        <w:rPr/>
        <w:t> </w:t>
      </w:r>
    </w:p>
    <w:p>
      <w:pPr>
        <w:pStyle w:val="BodyText"/>
        <w:spacing w:before="3"/>
        <w:ind w:left="100"/>
      </w:pPr>
      <w:r>
        <w:rPr/>
        <w:t>□适用 √不适用</w:t>
      </w:r>
      <w:r>
        <w:rPr>
          <w:spacing w:val="-3"/>
        </w:rPr>
        <w:t> </w:t>
      </w:r>
      <w:r>
        <w:rPr/>
        <w:t> </w:t>
      </w:r>
    </w:p>
    <w:p>
      <w:pPr>
        <w:pStyle w:val="BodyText"/>
        <w:spacing w:before="5"/>
        <w:ind w:left="100"/>
      </w:pPr>
      <w:r>
        <w:rPr>
          <w:w w:val="100"/>
        </w:rPr>
        <w:t> </w:t>
      </w:r>
    </w:p>
    <w:p>
      <w:pPr>
        <w:spacing w:after="0"/>
        <w:sectPr>
          <w:pgSz w:w="16840" w:h="11910" w:orient="landscape"/>
          <w:pgMar w:header="882" w:footer="1195" w:top="1180" w:bottom="1380" w:left="1340" w:right="1180"/>
        </w:sectPr>
      </w:pPr>
    </w:p>
    <w:p>
      <w:pPr>
        <w:pStyle w:val="BodyText"/>
        <w:spacing w:before="122"/>
        <w:ind w:left="118"/>
      </w:pPr>
      <w:r>
        <w:rPr>
          <w:rFonts w:ascii="Calibri" w:eastAsia="Calibri"/>
          <w:b/>
        </w:rPr>
        <w:t>(</w:t>
      </w:r>
      <w:r>
        <w:rPr/>
        <w:t>二</w:t>
      </w:r>
      <w:r>
        <w:rPr>
          <w:rFonts w:ascii="Calibri" w:eastAsia="Calibri"/>
          <w:b/>
          <w:spacing w:val="19"/>
        </w:rPr>
        <w:t>) </w:t>
      </w:r>
      <w:r>
        <w:rPr/>
        <w:t>现任及报告期内离任董事、监事和高级管理人员的任职情况</w:t>
      </w:r>
    </w:p>
    <w:p>
      <w:pPr>
        <w:pStyle w:val="ListParagraph"/>
        <w:numPr>
          <w:ilvl w:val="0"/>
          <w:numId w:val="9"/>
        </w:numPr>
        <w:tabs>
          <w:tab w:pos="538" w:val="left" w:leader="none"/>
        </w:tabs>
        <w:spacing w:line="240" w:lineRule="auto" w:before="64" w:after="0"/>
        <w:ind w:left="538" w:right="0" w:hanging="420"/>
        <w:jc w:val="left"/>
        <w:rPr>
          <w:sz w:val="21"/>
        </w:rPr>
      </w:pPr>
      <w:r>
        <w:rPr>
          <w:sz w:val="21"/>
        </w:rPr>
        <w:t>在股东单位任职情况</w:t>
      </w:r>
    </w:p>
    <w:p>
      <w:pPr>
        <w:pStyle w:val="BodyText"/>
        <w:spacing w:before="2" w:after="4"/>
        <w:ind w:left="118"/>
      </w:pPr>
      <w:r>
        <w:rPr>
          <w:spacing w:val="-1"/>
        </w:rPr>
        <w:t>√适用 □不适用</w:t>
      </w:r>
      <w:r>
        <w:rPr>
          <w:spacing w:val="-3"/>
        </w:rPr>
        <w:t> </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38"/>
        <w:gridCol w:w="2319"/>
        <w:gridCol w:w="1755"/>
        <w:gridCol w:w="1510"/>
        <w:gridCol w:w="1502"/>
      </w:tblGrid>
      <w:tr>
        <w:trPr>
          <w:trHeight w:val="544" w:hRule="atLeast"/>
        </w:trPr>
        <w:tc>
          <w:tcPr>
            <w:tcW w:w="1738" w:type="dxa"/>
          </w:tcPr>
          <w:p>
            <w:pPr>
              <w:pStyle w:val="TableParagraph"/>
              <w:spacing w:before="137"/>
              <w:ind w:left="273" w:right="161"/>
              <w:jc w:val="center"/>
              <w:rPr>
                <w:sz w:val="21"/>
              </w:rPr>
            </w:pPr>
            <w:r>
              <w:rPr>
                <w:spacing w:val="-1"/>
                <w:sz w:val="21"/>
              </w:rPr>
              <w:t>任职人员姓名</w:t>
            </w:r>
            <w:r>
              <w:rPr>
                <w:sz w:val="21"/>
              </w:rPr>
              <w:t> </w:t>
            </w:r>
          </w:p>
        </w:tc>
        <w:tc>
          <w:tcPr>
            <w:tcW w:w="2319" w:type="dxa"/>
          </w:tcPr>
          <w:p>
            <w:pPr>
              <w:pStyle w:val="TableParagraph"/>
              <w:spacing w:before="137"/>
              <w:ind w:left="527"/>
              <w:rPr>
                <w:sz w:val="21"/>
              </w:rPr>
            </w:pPr>
            <w:r>
              <w:rPr>
                <w:spacing w:val="-1"/>
                <w:sz w:val="21"/>
              </w:rPr>
              <w:t>股东单位名称</w:t>
            </w:r>
            <w:r>
              <w:rPr>
                <w:sz w:val="21"/>
              </w:rPr>
              <w:t> </w:t>
            </w:r>
          </w:p>
        </w:tc>
        <w:tc>
          <w:tcPr>
            <w:tcW w:w="1755" w:type="dxa"/>
          </w:tcPr>
          <w:p>
            <w:pPr>
              <w:pStyle w:val="TableParagraph"/>
              <w:spacing w:before="1"/>
              <w:ind w:left="138"/>
              <w:rPr>
                <w:sz w:val="21"/>
              </w:rPr>
            </w:pPr>
            <w:r>
              <w:rPr>
                <w:sz w:val="21"/>
              </w:rPr>
              <w:t>在股东单位担任</w:t>
            </w:r>
          </w:p>
          <w:p>
            <w:pPr>
              <w:pStyle w:val="TableParagraph"/>
              <w:spacing w:line="252" w:lineRule="exact" w:before="2"/>
              <w:ind w:left="558"/>
              <w:rPr>
                <w:sz w:val="21"/>
              </w:rPr>
            </w:pPr>
            <w:r>
              <w:rPr>
                <w:sz w:val="21"/>
              </w:rPr>
              <w:t>的职务 </w:t>
            </w:r>
          </w:p>
        </w:tc>
        <w:tc>
          <w:tcPr>
            <w:tcW w:w="1510" w:type="dxa"/>
          </w:tcPr>
          <w:p>
            <w:pPr>
              <w:pStyle w:val="TableParagraph"/>
              <w:spacing w:before="137"/>
              <w:ind w:left="123"/>
              <w:rPr>
                <w:sz w:val="21"/>
              </w:rPr>
            </w:pPr>
            <w:r>
              <w:rPr>
                <w:spacing w:val="-1"/>
                <w:sz w:val="21"/>
              </w:rPr>
              <w:t>任期起始日期</w:t>
            </w:r>
            <w:r>
              <w:rPr>
                <w:sz w:val="21"/>
              </w:rPr>
              <w:t> </w:t>
            </w:r>
          </w:p>
        </w:tc>
        <w:tc>
          <w:tcPr>
            <w:tcW w:w="1502" w:type="dxa"/>
          </w:tcPr>
          <w:p>
            <w:pPr>
              <w:pStyle w:val="TableParagraph"/>
              <w:spacing w:before="137"/>
              <w:ind w:left="119"/>
              <w:rPr>
                <w:sz w:val="21"/>
              </w:rPr>
            </w:pPr>
            <w:r>
              <w:rPr>
                <w:spacing w:val="-1"/>
                <w:sz w:val="21"/>
              </w:rPr>
              <w:t>任期终止日期</w:t>
            </w:r>
            <w:r>
              <w:rPr>
                <w:sz w:val="21"/>
              </w:rPr>
              <w:t> </w:t>
            </w:r>
          </w:p>
        </w:tc>
      </w:tr>
      <w:tr>
        <w:trPr>
          <w:trHeight w:val="544" w:hRule="atLeast"/>
        </w:trPr>
        <w:tc>
          <w:tcPr>
            <w:tcW w:w="1738" w:type="dxa"/>
          </w:tcPr>
          <w:p>
            <w:pPr>
              <w:pStyle w:val="TableParagraph"/>
              <w:spacing w:before="138"/>
              <w:ind w:left="273" w:right="161"/>
              <w:jc w:val="center"/>
              <w:rPr>
                <w:sz w:val="21"/>
              </w:rPr>
            </w:pPr>
            <w:r>
              <w:rPr>
                <w:sz w:val="21"/>
              </w:rPr>
              <w:t>杨飞飞 </w:t>
            </w:r>
          </w:p>
        </w:tc>
        <w:tc>
          <w:tcPr>
            <w:tcW w:w="2319" w:type="dxa"/>
          </w:tcPr>
          <w:p>
            <w:pPr>
              <w:pStyle w:val="TableParagraph"/>
              <w:spacing w:before="1"/>
              <w:ind w:left="107"/>
              <w:rPr>
                <w:sz w:val="21"/>
              </w:rPr>
            </w:pPr>
            <w:r>
              <w:rPr>
                <w:sz w:val="21"/>
              </w:rPr>
              <w:t>富泰华工业（深圳）有</w:t>
            </w:r>
          </w:p>
          <w:p>
            <w:pPr>
              <w:pStyle w:val="TableParagraph"/>
              <w:spacing w:line="250" w:lineRule="exact" w:before="4"/>
              <w:ind w:left="107"/>
              <w:rPr>
                <w:sz w:val="21"/>
              </w:rPr>
            </w:pPr>
            <w:r>
              <w:rPr>
                <w:sz w:val="21"/>
              </w:rPr>
              <w:t>限公司 </w:t>
            </w:r>
          </w:p>
        </w:tc>
        <w:tc>
          <w:tcPr>
            <w:tcW w:w="1755" w:type="dxa"/>
          </w:tcPr>
          <w:p>
            <w:pPr>
              <w:pStyle w:val="TableParagraph"/>
              <w:spacing w:before="138"/>
              <w:ind w:left="453"/>
              <w:rPr>
                <w:sz w:val="21"/>
              </w:rPr>
            </w:pPr>
            <w:r>
              <w:rPr>
                <w:spacing w:val="-1"/>
                <w:sz w:val="21"/>
              </w:rPr>
              <w:t>技术经理</w:t>
            </w:r>
            <w:r>
              <w:rPr>
                <w:sz w:val="21"/>
              </w:rPr>
              <w:t> </w:t>
            </w:r>
          </w:p>
        </w:tc>
        <w:tc>
          <w:tcPr>
            <w:tcW w:w="1510" w:type="dxa"/>
          </w:tcPr>
          <w:p>
            <w:pPr>
              <w:pStyle w:val="TableParagraph"/>
              <w:spacing w:before="138"/>
              <w:ind w:left="107"/>
              <w:rPr>
                <w:sz w:val="21"/>
              </w:rPr>
            </w:pPr>
            <w:r>
              <w:rPr>
                <w:w w:val="100"/>
                <w:sz w:val="21"/>
              </w:rPr>
              <w:t> </w:t>
            </w:r>
          </w:p>
        </w:tc>
        <w:tc>
          <w:tcPr>
            <w:tcW w:w="1502" w:type="dxa"/>
          </w:tcPr>
          <w:p>
            <w:pPr>
              <w:pStyle w:val="TableParagraph"/>
              <w:spacing w:before="138"/>
              <w:ind w:left="107"/>
              <w:rPr>
                <w:sz w:val="21"/>
              </w:rPr>
            </w:pPr>
            <w:r>
              <w:rPr>
                <w:w w:val="100"/>
                <w:sz w:val="21"/>
              </w:rPr>
              <w:t> </w:t>
            </w:r>
          </w:p>
        </w:tc>
      </w:tr>
      <w:tr>
        <w:trPr>
          <w:trHeight w:val="544" w:hRule="atLeast"/>
        </w:trPr>
        <w:tc>
          <w:tcPr>
            <w:tcW w:w="1738" w:type="dxa"/>
          </w:tcPr>
          <w:p>
            <w:pPr>
              <w:pStyle w:val="TableParagraph"/>
              <w:spacing w:before="1"/>
              <w:ind w:left="107"/>
              <w:rPr>
                <w:sz w:val="21"/>
              </w:rPr>
            </w:pPr>
            <w:r>
              <w:rPr>
                <w:sz w:val="21"/>
              </w:rPr>
              <w:t>在股东单位任职</w:t>
            </w:r>
          </w:p>
          <w:p>
            <w:pPr>
              <w:pStyle w:val="TableParagraph"/>
              <w:spacing w:line="250" w:lineRule="exact" w:before="4"/>
              <w:ind w:left="107"/>
              <w:rPr>
                <w:sz w:val="21"/>
              </w:rPr>
            </w:pPr>
            <w:r>
              <w:rPr>
                <w:sz w:val="21"/>
              </w:rPr>
              <w:t>情况的说明 </w:t>
            </w:r>
          </w:p>
        </w:tc>
        <w:tc>
          <w:tcPr>
            <w:tcW w:w="7086" w:type="dxa"/>
            <w:gridSpan w:val="4"/>
          </w:tcPr>
          <w:p>
            <w:pPr>
              <w:pStyle w:val="TableParagraph"/>
              <w:spacing w:before="1"/>
              <w:ind w:left="107"/>
              <w:rPr>
                <w:sz w:val="21"/>
              </w:rPr>
            </w:pPr>
            <w:r>
              <w:rPr>
                <w:sz w:val="21"/>
              </w:rPr>
              <w:t>不适用 </w:t>
            </w:r>
          </w:p>
        </w:tc>
      </w:tr>
    </w:tbl>
    <w:p>
      <w:pPr>
        <w:pStyle w:val="BodyText"/>
        <w:spacing w:before="1"/>
        <w:ind w:left="118"/>
      </w:pPr>
      <w:r>
        <w:rPr>
          <w:w w:val="100"/>
        </w:rPr>
        <w:t> </w:t>
      </w:r>
    </w:p>
    <w:p>
      <w:pPr>
        <w:pStyle w:val="ListParagraph"/>
        <w:numPr>
          <w:ilvl w:val="0"/>
          <w:numId w:val="9"/>
        </w:numPr>
        <w:tabs>
          <w:tab w:pos="538" w:val="left" w:leader="none"/>
        </w:tabs>
        <w:spacing w:line="240" w:lineRule="auto" w:before="4" w:after="0"/>
        <w:ind w:left="538" w:right="0" w:hanging="420"/>
        <w:jc w:val="left"/>
        <w:rPr>
          <w:sz w:val="21"/>
        </w:rPr>
      </w:pPr>
      <w:r>
        <w:rPr>
          <w:sz w:val="21"/>
        </w:rPr>
        <w:t>在其他单位任职情况</w:t>
      </w:r>
    </w:p>
    <w:p>
      <w:pPr>
        <w:pStyle w:val="BodyText"/>
        <w:spacing w:before="3" w:after="3"/>
        <w:ind w:left="118"/>
      </w:pPr>
      <w:r>
        <w:rPr>
          <w:spacing w:val="-1"/>
        </w:rPr>
        <w:t>√适用 □不适用</w:t>
      </w:r>
      <w:r>
        <w:rPr>
          <w:spacing w:val="-3"/>
        </w:rPr>
        <w:t> </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7"/>
        <w:gridCol w:w="2309"/>
        <w:gridCol w:w="1754"/>
        <w:gridCol w:w="1502"/>
        <w:gridCol w:w="1509"/>
      </w:tblGrid>
      <w:tr>
        <w:trPr>
          <w:trHeight w:val="545" w:hRule="atLeast"/>
        </w:trPr>
        <w:tc>
          <w:tcPr>
            <w:tcW w:w="1747" w:type="dxa"/>
          </w:tcPr>
          <w:p>
            <w:pPr>
              <w:pStyle w:val="TableParagraph"/>
              <w:spacing w:before="137"/>
              <w:ind w:left="277" w:right="165"/>
              <w:jc w:val="center"/>
              <w:rPr>
                <w:sz w:val="21"/>
              </w:rPr>
            </w:pPr>
            <w:r>
              <w:rPr>
                <w:spacing w:val="-1"/>
                <w:sz w:val="21"/>
              </w:rPr>
              <w:t>任职人员姓名</w:t>
            </w:r>
            <w:r>
              <w:rPr>
                <w:sz w:val="21"/>
              </w:rPr>
              <w:t> </w:t>
            </w:r>
          </w:p>
        </w:tc>
        <w:tc>
          <w:tcPr>
            <w:tcW w:w="2309" w:type="dxa"/>
          </w:tcPr>
          <w:p>
            <w:pPr>
              <w:pStyle w:val="TableParagraph"/>
              <w:spacing w:before="137"/>
              <w:ind w:left="138" w:right="29"/>
              <w:jc w:val="center"/>
              <w:rPr>
                <w:sz w:val="21"/>
              </w:rPr>
            </w:pPr>
            <w:r>
              <w:rPr>
                <w:spacing w:val="-1"/>
                <w:sz w:val="21"/>
              </w:rPr>
              <w:t>其他单位名称</w:t>
            </w:r>
            <w:r>
              <w:rPr>
                <w:sz w:val="21"/>
              </w:rPr>
              <w:t> </w:t>
            </w:r>
          </w:p>
        </w:tc>
        <w:tc>
          <w:tcPr>
            <w:tcW w:w="1754" w:type="dxa"/>
          </w:tcPr>
          <w:p>
            <w:pPr>
              <w:pStyle w:val="TableParagraph"/>
              <w:spacing w:before="1"/>
              <w:ind w:left="141"/>
              <w:rPr>
                <w:sz w:val="21"/>
              </w:rPr>
            </w:pPr>
            <w:r>
              <w:rPr>
                <w:sz w:val="21"/>
              </w:rPr>
              <w:t>在其他单位担任</w:t>
            </w:r>
          </w:p>
          <w:p>
            <w:pPr>
              <w:pStyle w:val="TableParagraph"/>
              <w:spacing w:line="252" w:lineRule="exact" w:before="2"/>
              <w:ind w:left="562"/>
              <w:rPr>
                <w:sz w:val="21"/>
              </w:rPr>
            </w:pPr>
            <w:r>
              <w:rPr>
                <w:sz w:val="21"/>
              </w:rPr>
              <w:t>的职务 </w:t>
            </w:r>
          </w:p>
        </w:tc>
        <w:tc>
          <w:tcPr>
            <w:tcW w:w="1502" w:type="dxa"/>
          </w:tcPr>
          <w:p>
            <w:pPr>
              <w:pStyle w:val="TableParagraph"/>
              <w:spacing w:before="137"/>
              <w:ind w:left="121"/>
              <w:rPr>
                <w:sz w:val="21"/>
              </w:rPr>
            </w:pPr>
            <w:r>
              <w:rPr>
                <w:spacing w:val="-1"/>
                <w:sz w:val="21"/>
              </w:rPr>
              <w:t>任期起始日期</w:t>
            </w:r>
            <w:r>
              <w:rPr>
                <w:sz w:val="21"/>
              </w:rPr>
              <w:t> </w:t>
            </w:r>
          </w:p>
        </w:tc>
        <w:tc>
          <w:tcPr>
            <w:tcW w:w="1509" w:type="dxa"/>
          </w:tcPr>
          <w:p>
            <w:pPr>
              <w:pStyle w:val="TableParagraph"/>
              <w:spacing w:before="137"/>
              <w:ind w:left="126"/>
              <w:rPr>
                <w:sz w:val="21"/>
              </w:rPr>
            </w:pPr>
            <w:r>
              <w:rPr>
                <w:spacing w:val="-1"/>
                <w:sz w:val="21"/>
              </w:rPr>
              <w:t>任期终止日期</w:t>
            </w:r>
            <w:r>
              <w:rPr>
                <w:sz w:val="21"/>
              </w:rPr>
              <w:t> </w:t>
            </w:r>
          </w:p>
        </w:tc>
      </w:tr>
      <w:tr>
        <w:trPr>
          <w:trHeight w:val="544" w:hRule="atLeast"/>
        </w:trPr>
        <w:tc>
          <w:tcPr>
            <w:tcW w:w="1747" w:type="dxa"/>
          </w:tcPr>
          <w:p>
            <w:pPr>
              <w:pStyle w:val="TableParagraph"/>
              <w:spacing w:before="137"/>
              <w:ind w:left="277" w:right="165"/>
              <w:jc w:val="center"/>
              <w:rPr>
                <w:sz w:val="21"/>
              </w:rPr>
            </w:pPr>
            <w:r>
              <w:rPr>
                <w:sz w:val="21"/>
              </w:rPr>
              <w:t>李军旗 </w:t>
            </w:r>
          </w:p>
        </w:tc>
        <w:tc>
          <w:tcPr>
            <w:tcW w:w="2309" w:type="dxa"/>
          </w:tcPr>
          <w:p>
            <w:pPr>
              <w:pStyle w:val="TableParagraph"/>
              <w:spacing w:before="1"/>
              <w:ind w:left="105"/>
              <w:rPr>
                <w:sz w:val="21"/>
              </w:rPr>
            </w:pPr>
            <w:r>
              <w:rPr>
                <w:spacing w:val="7"/>
                <w:sz w:val="21"/>
              </w:rPr>
              <w:t>基准精密工业( 惠州)</w:t>
            </w:r>
          </w:p>
          <w:p>
            <w:pPr>
              <w:pStyle w:val="TableParagraph"/>
              <w:spacing w:line="250" w:lineRule="exact" w:before="4"/>
              <w:ind w:left="105"/>
              <w:rPr>
                <w:sz w:val="21"/>
              </w:rPr>
            </w:pPr>
            <w:r>
              <w:rPr>
                <w:spacing w:val="-1"/>
                <w:sz w:val="21"/>
              </w:rPr>
              <w:t>有限公司</w:t>
            </w:r>
            <w:r>
              <w:rPr>
                <w:sz w:val="21"/>
              </w:rPr>
              <w:t> </w:t>
            </w:r>
          </w:p>
        </w:tc>
        <w:tc>
          <w:tcPr>
            <w:tcW w:w="1754" w:type="dxa"/>
          </w:tcPr>
          <w:p>
            <w:pPr>
              <w:pStyle w:val="TableParagraph"/>
              <w:spacing w:before="137"/>
              <w:ind w:left="179" w:right="62"/>
              <w:jc w:val="center"/>
              <w:rPr>
                <w:sz w:val="21"/>
              </w:rPr>
            </w:pPr>
            <w:r>
              <w:rPr>
                <w:sz w:val="21"/>
              </w:rPr>
              <w:t>董事长 </w:t>
            </w:r>
          </w:p>
        </w:tc>
        <w:tc>
          <w:tcPr>
            <w:tcW w:w="1502" w:type="dxa"/>
          </w:tcPr>
          <w:p>
            <w:pPr>
              <w:pStyle w:val="TableParagraph"/>
              <w:spacing w:before="137"/>
              <w:ind w:left="109"/>
              <w:rPr>
                <w:sz w:val="21"/>
              </w:rPr>
            </w:pPr>
            <w:r>
              <w:rPr>
                <w:w w:val="100"/>
                <w:sz w:val="21"/>
              </w:rPr>
              <w:t> </w:t>
            </w:r>
            <w:r>
              <w:rPr>
                <w:sz w:val="21"/>
              </w:rPr>
              <w:t> </w:t>
            </w:r>
            <w:r>
              <w:rPr>
                <w:w w:val="100"/>
                <w:sz w:val="21"/>
              </w:rPr>
              <w:t> </w:t>
            </w:r>
          </w:p>
        </w:tc>
        <w:tc>
          <w:tcPr>
            <w:tcW w:w="1509" w:type="dxa"/>
          </w:tcPr>
          <w:p>
            <w:pPr>
              <w:pStyle w:val="TableParagraph"/>
              <w:spacing w:before="137"/>
              <w:ind w:left="110"/>
              <w:rPr>
                <w:sz w:val="21"/>
              </w:rPr>
            </w:pPr>
            <w:r>
              <w:rPr>
                <w:w w:val="100"/>
                <w:sz w:val="21"/>
              </w:rPr>
              <w:t> </w:t>
            </w:r>
            <w:r>
              <w:rPr>
                <w:sz w:val="21"/>
              </w:rPr>
              <w:t> </w:t>
            </w:r>
            <w:r>
              <w:rPr>
                <w:w w:val="100"/>
                <w:sz w:val="21"/>
              </w:rPr>
              <w:t> </w:t>
            </w:r>
          </w:p>
        </w:tc>
      </w:tr>
      <w:tr>
        <w:trPr>
          <w:trHeight w:val="544" w:hRule="atLeast"/>
        </w:trPr>
        <w:tc>
          <w:tcPr>
            <w:tcW w:w="1747" w:type="dxa"/>
          </w:tcPr>
          <w:p>
            <w:pPr>
              <w:pStyle w:val="TableParagraph"/>
              <w:spacing w:before="138"/>
              <w:ind w:left="277" w:right="165"/>
              <w:jc w:val="center"/>
              <w:rPr>
                <w:sz w:val="21"/>
              </w:rPr>
            </w:pPr>
            <w:r>
              <w:rPr>
                <w:sz w:val="21"/>
              </w:rPr>
              <w:t>李军旗 </w:t>
            </w:r>
          </w:p>
        </w:tc>
        <w:tc>
          <w:tcPr>
            <w:tcW w:w="2309" w:type="dxa"/>
          </w:tcPr>
          <w:p>
            <w:pPr>
              <w:pStyle w:val="TableParagraph"/>
              <w:spacing w:before="1"/>
              <w:ind w:left="105"/>
              <w:rPr>
                <w:sz w:val="21"/>
              </w:rPr>
            </w:pPr>
            <w:r>
              <w:rPr>
                <w:spacing w:val="20"/>
                <w:sz w:val="21"/>
              </w:rPr>
              <w:t>深圳精匠云创科技有</w:t>
            </w:r>
          </w:p>
          <w:p>
            <w:pPr>
              <w:pStyle w:val="TableParagraph"/>
              <w:spacing w:line="250" w:lineRule="exact" w:before="4"/>
              <w:ind w:left="105"/>
              <w:rPr>
                <w:sz w:val="21"/>
              </w:rPr>
            </w:pPr>
            <w:r>
              <w:rPr>
                <w:sz w:val="21"/>
              </w:rPr>
              <w:t>限公司 </w:t>
            </w:r>
          </w:p>
        </w:tc>
        <w:tc>
          <w:tcPr>
            <w:tcW w:w="1754" w:type="dxa"/>
          </w:tcPr>
          <w:p>
            <w:pPr>
              <w:pStyle w:val="TableParagraph"/>
              <w:spacing w:before="138"/>
              <w:ind w:left="179" w:right="62"/>
              <w:jc w:val="center"/>
              <w:rPr>
                <w:sz w:val="21"/>
              </w:rPr>
            </w:pPr>
            <w:r>
              <w:rPr>
                <w:sz w:val="21"/>
              </w:rPr>
              <w:t>董事长 </w:t>
            </w:r>
          </w:p>
        </w:tc>
        <w:tc>
          <w:tcPr>
            <w:tcW w:w="1502" w:type="dxa"/>
          </w:tcPr>
          <w:p>
            <w:pPr>
              <w:pStyle w:val="TableParagraph"/>
              <w:spacing w:before="138"/>
              <w:ind w:left="109"/>
              <w:rPr>
                <w:sz w:val="21"/>
              </w:rPr>
            </w:pPr>
            <w:r>
              <w:rPr>
                <w:w w:val="100"/>
                <w:sz w:val="21"/>
              </w:rPr>
              <w:t> </w:t>
            </w:r>
            <w:r>
              <w:rPr>
                <w:sz w:val="21"/>
              </w:rPr>
              <w:t> </w:t>
            </w:r>
            <w:r>
              <w:rPr>
                <w:w w:val="100"/>
                <w:sz w:val="21"/>
              </w:rPr>
              <w:t> </w:t>
            </w:r>
          </w:p>
        </w:tc>
        <w:tc>
          <w:tcPr>
            <w:tcW w:w="1509" w:type="dxa"/>
          </w:tcPr>
          <w:p>
            <w:pPr>
              <w:pStyle w:val="TableParagraph"/>
              <w:spacing w:before="138"/>
              <w:ind w:left="110"/>
              <w:rPr>
                <w:sz w:val="21"/>
              </w:rPr>
            </w:pPr>
            <w:r>
              <w:rPr>
                <w:w w:val="100"/>
                <w:sz w:val="21"/>
              </w:rPr>
              <w:t> </w:t>
            </w:r>
            <w:r>
              <w:rPr>
                <w:sz w:val="21"/>
              </w:rPr>
              <w:t> </w:t>
            </w:r>
            <w:r>
              <w:rPr>
                <w:w w:val="100"/>
                <w:sz w:val="21"/>
              </w:rPr>
              <w:t> </w:t>
            </w:r>
          </w:p>
        </w:tc>
      </w:tr>
      <w:tr>
        <w:trPr>
          <w:trHeight w:val="544" w:hRule="atLeast"/>
        </w:trPr>
        <w:tc>
          <w:tcPr>
            <w:tcW w:w="1747" w:type="dxa"/>
          </w:tcPr>
          <w:p>
            <w:pPr>
              <w:pStyle w:val="TableParagraph"/>
              <w:spacing w:before="138"/>
              <w:ind w:left="277" w:right="165"/>
              <w:jc w:val="center"/>
              <w:rPr>
                <w:sz w:val="21"/>
              </w:rPr>
            </w:pPr>
            <w:r>
              <w:rPr>
                <w:sz w:val="21"/>
              </w:rPr>
              <w:t>李军旗 </w:t>
            </w:r>
          </w:p>
        </w:tc>
        <w:tc>
          <w:tcPr>
            <w:tcW w:w="2309" w:type="dxa"/>
          </w:tcPr>
          <w:p>
            <w:pPr>
              <w:pStyle w:val="TableParagraph"/>
              <w:spacing w:before="1"/>
              <w:ind w:left="105"/>
              <w:rPr>
                <w:sz w:val="21"/>
              </w:rPr>
            </w:pPr>
            <w:r>
              <w:rPr>
                <w:spacing w:val="20"/>
                <w:sz w:val="21"/>
              </w:rPr>
              <w:t>深圳富联智能制造产</w:t>
            </w:r>
          </w:p>
          <w:p>
            <w:pPr>
              <w:pStyle w:val="TableParagraph"/>
              <w:spacing w:line="250" w:lineRule="exact" w:before="4"/>
              <w:ind w:left="105"/>
              <w:rPr>
                <w:sz w:val="21"/>
              </w:rPr>
            </w:pPr>
            <w:r>
              <w:rPr>
                <w:spacing w:val="-1"/>
                <w:sz w:val="21"/>
              </w:rPr>
              <w:t>业创新中心有限公司</w:t>
            </w:r>
            <w:r>
              <w:rPr>
                <w:sz w:val="21"/>
              </w:rPr>
              <w:t> </w:t>
            </w:r>
          </w:p>
        </w:tc>
        <w:tc>
          <w:tcPr>
            <w:tcW w:w="1754" w:type="dxa"/>
          </w:tcPr>
          <w:p>
            <w:pPr>
              <w:pStyle w:val="TableParagraph"/>
              <w:spacing w:before="138"/>
              <w:ind w:left="179" w:right="62"/>
              <w:jc w:val="center"/>
              <w:rPr>
                <w:sz w:val="21"/>
              </w:rPr>
            </w:pPr>
            <w:r>
              <w:rPr>
                <w:sz w:val="21"/>
              </w:rPr>
              <w:t>董事长 </w:t>
            </w:r>
          </w:p>
        </w:tc>
        <w:tc>
          <w:tcPr>
            <w:tcW w:w="1502" w:type="dxa"/>
          </w:tcPr>
          <w:p>
            <w:pPr>
              <w:pStyle w:val="TableParagraph"/>
              <w:spacing w:before="138"/>
              <w:ind w:left="226"/>
              <w:rPr>
                <w:sz w:val="21"/>
              </w:rPr>
            </w:pPr>
            <w:r>
              <w:rPr>
                <w:sz w:val="21"/>
              </w:rPr>
              <w:t>2018/09/30 </w:t>
            </w:r>
          </w:p>
        </w:tc>
        <w:tc>
          <w:tcPr>
            <w:tcW w:w="1509" w:type="dxa"/>
          </w:tcPr>
          <w:p>
            <w:pPr>
              <w:pStyle w:val="TableParagraph"/>
              <w:spacing w:before="138"/>
              <w:ind w:left="230"/>
              <w:rPr>
                <w:sz w:val="21"/>
              </w:rPr>
            </w:pPr>
            <w:r>
              <w:rPr>
                <w:sz w:val="21"/>
              </w:rPr>
              <w:t>2022/08/15 </w:t>
            </w:r>
          </w:p>
        </w:tc>
      </w:tr>
      <w:tr>
        <w:trPr>
          <w:trHeight w:val="544" w:hRule="atLeast"/>
        </w:trPr>
        <w:tc>
          <w:tcPr>
            <w:tcW w:w="1747" w:type="dxa"/>
          </w:tcPr>
          <w:p>
            <w:pPr>
              <w:pStyle w:val="TableParagraph"/>
              <w:spacing w:before="138"/>
              <w:ind w:left="277" w:right="165"/>
              <w:jc w:val="center"/>
              <w:rPr>
                <w:sz w:val="21"/>
              </w:rPr>
            </w:pPr>
            <w:r>
              <w:rPr>
                <w:sz w:val="21"/>
              </w:rPr>
              <w:t>李军旗 </w:t>
            </w:r>
          </w:p>
        </w:tc>
        <w:tc>
          <w:tcPr>
            <w:tcW w:w="2309" w:type="dxa"/>
          </w:tcPr>
          <w:p>
            <w:pPr>
              <w:pStyle w:val="TableParagraph"/>
              <w:spacing w:before="1"/>
              <w:ind w:left="105"/>
              <w:rPr>
                <w:sz w:val="21"/>
              </w:rPr>
            </w:pPr>
            <w:r>
              <w:rPr>
                <w:spacing w:val="1"/>
                <w:sz w:val="21"/>
              </w:rPr>
              <w:t>富士康工业互联网(日</w:t>
            </w:r>
          </w:p>
          <w:p>
            <w:pPr>
              <w:pStyle w:val="TableParagraph"/>
              <w:spacing w:line="250" w:lineRule="exact" w:before="4"/>
              <w:ind w:left="105"/>
              <w:rPr>
                <w:sz w:val="21"/>
              </w:rPr>
            </w:pPr>
            <w:r>
              <w:rPr>
                <w:spacing w:val="-1"/>
                <w:sz w:val="21"/>
              </w:rPr>
              <w:t>本)有限公司</w:t>
            </w:r>
            <w:r>
              <w:rPr>
                <w:sz w:val="21"/>
              </w:rPr>
              <w:t> </w:t>
            </w:r>
          </w:p>
        </w:tc>
        <w:tc>
          <w:tcPr>
            <w:tcW w:w="1754" w:type="dxa"/>
          </w:tcPr>
          <w:p>
            <w:pPr>
              <w:pStyle w:val="TableParagraph"/>
              <w:spacing w:before="138"/>
              <w:ind w:left="179" w:right="62"/>
              <w:jc w:val="center"/>
              <w:rPr>
                <w:sz w:val="21"/>
              </w:rPr>
            </w:pPr>
            <w:r>
              <w:rPr>
                <w:sz w:val="21"/>
              </w:rPr>
              <w:t>董事 </w:t>
            </w:r>
          </w:p>
        </w:tc>
        <w:tc>
          <w:tcPr>
            <w:tcW w:w="1502" w:type="dxa"/>
          </w:tcPr>
          <w:p>
            <w:pPr>
              <w:pStyle w:val="TableParagraph"/>
              <w:spacing w:before="138"/>
              <w:ind w:left="226"/>
              <w:rPr>
                <w:sz w:val="21"/>
              </w:rPr>
            </w:pPr>
            <w:r>
              <w:rPr>
                <w:sz w:val="21"/>
              </w:rPr>
              <w:t>2016/05/02 </w:t>
            </w:r>
          </w:p>
        </w:tc>
        <w:tc>
          <w:tcPr>
            <w:tcW w:w="1509" w:type="dxa"/>
          </w:tcPr>
          <w:p>
            <w:pPr>
              <w:pStyle w:val="TableParagraph"/>
              <w:spacing w:before="138"/>
              <w:ind w:left="230"/>
              <w:rPr>
                <w:sz w:val="21"/>
              </w:rPr>
            </w:pPr>
            <w:r>
              <w:rPr>
                <w:sz w:val="21"/>
              </w:rPr>
              <w:t>2022/11/01 </w:t>
            </w:r>
          </w:p>
        </w:tc>
      </w:tr>
      <w:tr>
        <w:trPr>
          <w:trHeight w:val="546" w:hRule="atLeast"/>
        </w:trPr>
        <w:tc>
          <w:tcPr>
            <w:tcW w:w="1747" w:type="dxa"/>
          </w:tcPr>
          <w:p>
            <w:pPr>
              <w:pStyle w:val="TableParagraph"/>
              <w:spacing w:before="138"/>
              <w:ind w:left="277" w:right="165"/>
              <w:jc w:val="center"/>
              <w:rPr>
                <w:sz w:val="21"/>
              </w:rPr>
            </w:pPr>
            <w:r>
              <w:rPr>
                <w:sz w:val="21"/>
              </w:rPr>
              <w:t>李军旗 </w:t>
            </w:r>
          </w:p>
        </w:tc>
        <w:tc>
          <w:tcPr>
            <w:tcW w:w="2309" w:type="dxa"/>
          </w:tcPr>
          <w:p>
            <w:pPr>
              <w:pStyle w:val="TableParagraph"/>
              <w:spacing w:line="270" w:lineRule="atLeast"/>
              <w:ind w:left="105" w:right="74"/>
              <w:rPr>
                <w:sz w:val="21"/>
              </w:rPr>
            </w:pPr>
            <w:r>
              <w:rPr>
                <w:spacing w:val="-3"/>
                <w:sz w:val="21"/>
              </w:rPr>
              <w:t>基准精密( 香港) 有限</w:t>
            </w:r>
            <w:r>
              <w:rPr>
                <w:sz w:val="21"/>
              </w:rPr>
              <w:t>公司 </w:t>
            </w:r>
          </w:p>
        </w:tc>
        <w:tc>
          <w:tcPr>
            <w:tcW w:w="1754" w:type="dxa"/>
          </w:tcPr>
          <w:p>
            <w:pPr>
              <w:pStyle w:val="TableParagraph"/>
              <w:spacing w:before="138"/>
              <w:ind w:left="179" w:right="62"/>
              <w:jc w:val="center"/>
              <w:rPr>
                <w:sz w:val="21"/>
              </w:rPr>
            </w:pPr>
            <w:r>
              <w:rPr>
                <w:sz w:val="21"/>
              </w:rPr>
              <w:t>董事 </w:t>
            </w:r>
          </w:p>
        </w:tc>
        <w:tc>
          <w:tcPr>
            <w:tcW w:w="1502" w:type="dxa"/>
          </w:tcPr>
          <w:p>
            <w:pPr>
              <w:pStyle w:val="TableParagraph"/>
              <w:spacing w:before="138"/>
              <w:ind w:left="226"/>
              <w:rPr>
                <w:sz w:val="21"/>
              </w:rPr>
            </w:pPr>
            <w:r>
              <w:rPr>
                <w:sz w:val="21"/>
              </w:rPr>
              <w:t>2015/12/15 </w:t>
            </w:r>
          </w:p>
        </w:tc>
        <w:tc>
          <w:tcPr>
            <w:tcW w:w="1509" w:type="dxa"/>
          </w:tcPr>
          <w:p>
            <w:pPr>
              <w:pStyle w:val="TableParagraph"/>
              <w:spacing w:before="138"/>
              <w:ind w:left="230"/>
              <w:rPr>
                <w:sz w:val="21"/>
              </w:rPr>
            </w:pPr>
            <w:r>
              <w:rPr>
                <w:sz w:val="21"/>
              </w:rPr>
              <w:t>2022/06/10 </w:t>
            </w:r>
          </w:p>
        </w:tc>
      </w:tr>
      <w:tr>
        <w:trPr>
          <w:trHeight w:val="544" w:hRule="atLeast"/>
        </w:trPr>
        <w:tc>
          <w:tcPr>
            <w:tcW w:w="1747" w:type="dxa"/>
          </w:tcPr>
          <w:p>
            <w:pPr>
              <w:pStyle w:val="TableParagraph"/>
              <w:spacing w:before="135"/>
              <w:ind w:left="277" w:right="165"/>
              <w:jc w:val="center"/>
              <w:rPr>
                <w:sz w:val="21"/>
              </w:rPr>
            </w:pPr>
            <w:r>
              <w:rPr>
                <w:sz w:val="21"/>
              </w:rPr>
              <w:t>李军旗 </w:t>
            </w:r>
          </w:p>
        </w:tc>
        <w:tc>
          <w:tcPr>
            <w:tcW w:w="2309" w:type="dxa"/>
          </w:tcPr>
          <w:p>
            <w:pPr>
              <w:pStyle w:val="TableParagraph"/>
              <w:spacing w:before="1"/>
              <w:ind w:left="105"/>
              <w:rPr>
                <w:sz w:val="21"/>
              </w:rPr>
            </w:pPr>
            <w:r>
              <w:rPr>
                <w:spacing w:val="20"/>
                <w:sz w:val="21"/>
              </w:rPr>
              <w:t>青岛海源合金新材料</w:t>
            </w:r>
          </w:p>
          <w:p>
            <w:pPr>
              <w:pStyle w:val="TableParagraph"/>
              <w:spacing w:line="252" w:lineRule="exact" w:before="2"/>
              <w:ind w:left="105"/>
              <w:rPr>
                <w:sz w:val="21"/>
              </w:rPr>
            </w:pPr>
            <w:r>
              <w:rPr>
                <w:spacing w:val="-1"/>
                <w:sz w:val="21"/>
              </w:rPr>
              <w:t>有 限公司</w:t>
            </w:r>
            <w:r>
              <w:rPr>
                <w:sz w:val="21"/>
              </w:rPr>
              <w:t> </w:t>
            </w:r>
          </w:p>
        </w:tc>
        <w:tc>
          <w:tcPr>
            <w:tcW w:w="1754" w:type="dxa"/>
          </w:tcPr>
          <w:p>
            <w:pPr>
              <w:pStyle w:val="TableParagraph"/>
              <w:spacing w:before="135"/>
              <w:ind w:left="179" w:right="62"/>
              <w:jc w:val="center"/>
              <w:rPr>
                <w:sz w:val="21"/>
              </w:rPr>
            </w:pPr>
            <w:r>
              <w:rPr>
                <w:sz w:val="21"/>
              </w:rPr>
              <w:t>董事 </w:t>
            </w:r>
          </w:p>
        </w:tc>
        <w:tc>
          <w:tcPr>
            <w:tcW w:w="1502" w:type="dxa"/>
          </w:tcPr>
          <w:p>
            <w:pPr>
              <w:pStyle w:val="TableParagraph"/>
              <w:spacing w:before="135"/>
              <w:ind w:left="118"/>
              <w:jc w:val="center"/>
              <w:rPr>
                <w:sz w:val="21"/>
              </w:rPr>
            </w:pPr>
            <w:r>
              <w:rPr>
                <w:w w:val="100"/>
                <w:sz w:val="21"/>
              </w:rPr>
              <w:t> </w:t>
            </w:r>
          </w:p>
        </w:tc>
        <w:tc>
          <w:tcPr>
            <w:tcW w:w="1509" w:type="dxa"/>
          </w:tcPr>
          <w:p>
            <w:pPr>
              <w:pStyle w:val="TableParagraph"/>
              <w:spacing w:before="135"/>
              <w:ind w:left="118"/>
              <w:jc w:val="center"/>
              <w:rPr>
                <w:sz w:val="21"/>
              </w:rPr>
            </w:pPr>
            <w:r>
              <w:rPr>
                <w:w w:val="100"/>
                <w:sz w:val="21"/>
              </w:rPr>
              <w:t> </w:t>
            </w:r>
          </w:p>
        </w:tc>
      </w:tr>
      <w:tr>
        <w:trPr>
          <w:trHeight w:val="544" w:hRule="atLeast"/>
        </w:trPr>
        <w:tc>
          <w:tcPr>
            <w:tcW w:w="1747" w:type="dxa"/>
          </w:tcPr>
          <w:p>
            <w:pPr>
              <w:pStyle w:val="TableParagraph"/>
              <w:spacing w:before="138"/>
              <w:ind w:left="277" w:right="165"/>
              <w:jc w:val="center"/>
              <w:rPr>
                <w:sz w:val="21"/>
              </w:rPr>
            </w:pPr>
            <w:r>
              <w:rPr>
                <w:sz w:val="21"/>
              </w:rPr>
              <w:t>李军旗 </w:t>
            </w:r>
          </w:p>
        </w:tc>
        <w:tc>
          <w:tcPr>
            <w:tcW w:w="2309" w:type="dxa"/>
          </w:tcPr>
          <w:p>
            <w:pPr>
              <w:pStyle w:val="TableParagraph"/>
              <w:spacing w:before="1"/>
              <w:ind w:left="105"/>
              <w:rPr>
                <w:sz w:val="21"/>
              </w:rPr>
            </w:pPr>
            <w:r>
              <w:rPr>
                <w:spacing w:val="20"/>
                <w:sz w:val="21"/>
              </w:rPr>
              <w:t>深圳市圆梦精密技术</w:t>
            </w:r>
          </w:p>
          <w:p>
            <w:pPr>
              <w:pStyle w:val="TableParagraph"/>
              <w:spacing w:line="252" w:lineRule="exact" w:before="2"/>
              <w:ind w:left="105"/>
              <w:rPr>
                <w:sz w:val="21"/>
              </w:rPr>
            </w:pPr>
            <w:r>
              <w:rPr>
                <w:sz w:val="21"/>
              </w:rPr>
              <w:t>研究院 </w:t>
            </w:r>
          </w:p>
        </w:tc>
        <w:tc>
          <w:tcPr>
            <w:tcW w:w="1754" w:type="dxa"/>
          </w:tcPr>
          <w:p>
            <w:pPr>
              <w:pStyle w:val="TableParagraph"/>
              <w:spacing w:before="138"/>
              <w:ind w:left="179" w:right="62"/>
              <w:jc w:val="center"/>
              <w:rPr>
                <w:sz w:val="21"/>
              </w:rPr>
            </w:pPr>
            <w:r>
              <w:rPr>
                <w:sz w:val="21"/>
              </w:rPr>
              <w:t>院长 </w:t>
            </w:r>
          </w:p>
        </w:tc>
        <w:tc>
          <w:tcPr>
            <w:tcW w:w="1502" w:type="dxa"/>
          </w:tcPr>
          <w:p>
            <w:pPr>
              <w:pStyle w:val="TableParagraph"/>
              <w:spacing w:before="138"/>
              <w:ind w:left="118"/>
              <w:jc w:val="center"/>
              <w:rPr>
                <w:sz w:val="21"/>
              </w:rPr>
            </w:pPr>
            <w:r>
              <w:rPr>
                <w:w w:val="100"/>
                <w:sz w:val="21"/>
              </w:rPr>
              <w:t> </w:t>
            </w:r>
          </w:p>
        </w:tc>
        <w:tc>
          <w:tcPr>
            <w:tcW w:w="1509" w:type="dxa"/>
          </w:tcPr>
          <w:p>
            <w:pPr>
              <w:pStyle w:val="TableParagraph"/>
              <w:spacing w:before="138"/>
              <w:ind w:left="118"/>
              <w:jc w:val="center"/>
              <w:rPr>
                <w:sz w:val="21"/>
              </w:rPr>
            </w:pPr>
            <w:r>
              <w:rPr>
                <w:w w:val="100"/>
                <w:sz w:val="21"/>
              </w:rPr>
              <w:t> </w:t>
            </w:r>
          </w:p>
        </w:tc>
      </w:tr>
      <w:tr>
        <w:trPr>
          <w:trHeight w:val="544" w:hRule="atLeast"/>
        </w:trPr>
        <w:tc>
          <w:tcPr>
            <w:tcW w:w="1747" w:type="dxa"/>
          </w:tcPr>
          <w:p>
            <w:pPr>
              <w:pStyle w:val="TableParagraph"/>
              <w:spacing w:before="137"/>
              <w:ind w:left="277" w:right="165"/>
              <w:jc w:val="center"/>
              <w:rPr>
                <w:sz w:val="21"/>
              </w:rPr>
            </w:pPr>
            <w:r>
              <w:rPr>
                <w:sz w:val="21"/>
              </w:rPr>
              <w:t>郑弘孟 </w:t>
            </w:r>
          </w:p>
        </w:tc>
        <w:tc>
          <w:tcPr>
            <w:tcW w:w="2309" w:type="dxa"/>
          </w:tcPr>
          <w:p>
            <w:pPr>
              <w:pStyle w:val="TableParagraph"/>
              <w:spacing w:before="1"/>
              <w:ind w:left="105"/>
              <w:rPr>
                <w:sz w:val="21"/>
              </w:rPr>
            </w:pPr>
            <w:r>
              <w:rPr>
                <w:spacing w:val="-1"/>
                <w:sz w:val="21"/>
              </w:rPr>
              <w:t>富联国基( 上海) 电子</w:t>
            </w:r>
          </w:p>
          <w:p>
            <w:pPr>
              <w:pStyle w:val="TableParagraph"/>
              <w:spacing w:line="252" w:lineRule="exact" w:before="2"/>
              <w:ind w:left="105"/>
              <w:rPr>
                <w:sz w:val="21"/>
              </w:rPr>
            </w:pPr>
            <w:r>
              <w:rPr>
                <w:spacing w:val="40"/>
                <w:sz w:val="21"/>
              </w:rPr>
              <w:t>有限 公司</w:t>
            </w:r>
            <w:r>
              <w:rPr>
                <w:sz w:val="21"/>
              </w:rPr>
              <w:t> </w:t>
            </w:r>
          </w:p>
        </w:tc>
        <w:tc>
          <w:tcPr>
            <w:tcW w:w="1754" w:type="dxa"/>
          </w:tcPr>
          <w:p>
            <w:pPr>
              <w:pStyle w:val="TableParagraph"/>
              <w:spacing w:before="137"/>
              <w:ind w:left="179" w:right="62"/>
              <w:jc w:val="center"/>
              <w:rPr>
                <w:sz w:val="21"/>
              </w:rPr>
            </w:pPr>
            <w:r>
              <w:rPr>
                <w:sz w:val="21"/>
              </w:rPr>
              <w:t>董事 </w:t>
            </w:r>
          </w:p>
        </w:tc>
        <w:tc>
          <w:tcPr>
            <w:tcW w:w="1502" w:type="dxa"/>
          </w:tcPr>
          <w:p>
            <w:pPr>
              <w:pStyle w:val="TableParagraph"/>
              <w:spacing w:before="137"/>
              <w:ind w:left="226"/>
              <w:rPr>
                <w:sz w:val="21"/>
              </w:rPr>
            </w:pPr>
            <w:r>
              <w:rPr>
                <w:sz w:val="21"/>
              </w:rPr>
              <w:t>2008/02/14 </w:t>
            </w:r>
          </w:p>
        </w:tc>
        <w:tc>
          <w:tcPr>
            <w:tcW w:w="1509" w:type="dxa"/>
          </w:tcPr>
          <w:p>
            <w:pPr>
              <w:pStyle w:val="TableParagraph"/>
              <w:spacing w:before="137"/>
              <w:ind w:left="230"/>
              <w:rPr>
                <w:sz w:val="21"/>
              </w:rPr>
            </w:pPr>
            <w:r>
              <w:rPr>
                <w:sz w:val="21"/>
              </w:rPr>
              <w:t>2023/02/13 </w:t>
            </w:r>
          </w:p>
        </w:tc>
      </w:tr>
      <w:tr>
        <w:trPr>
          <w:trHeight w:val="544" w:hRule="atLeast"/>
        </w:trPr>
        <w:tc>
          <w:tcPr>
            <w:tcW w:w="1747" w:type="dxa"/>
          </w:tcPr>
          <w:p>
            <w:pPr>
              <w:pStyle w:val="TableParagraph"/>
              <w:spacing w:before="138"/>
              <w:ind w:left="277" w:right="165"/>
              <w:jc w:val="center"/>
              <w:rPr>
                <w:sz w:val="21"/>
              </w:rPr>
            </w:pPr>
            <w:r>
              <w:rPr>
                <w:sz w:val="21"/>
              </w:rPr>
              <w:t>郑弘孟 </w:t>
            </w:r>
          </w:p>
        </w:tc>
        <w:tc>
          <w:tcPr>
            <w:tcW w:w="2309" w:type="dxa"/>
          </w:tcPr>
          <w:p>
            <w:pPr>
              <w:pStyle w:val="TableParagraph"/>
              <w:spacing w:before="1"/>
              <w:ind w:left="105"/>
              <w:rPr>
                <w:sz w:val="21"/>
              </w:rPr>
            </w:pPr>
            <w:r>
              <w:rPr>
                <w:spacing w:val="7"/>
                <w:sz w:val="21"/>
              </w:rPr>
              <w:t>富联国宙电子( 上海)</w:t>
            </w:r>
          </w:p>
          <w:p>
            <w:pPr>
              <w:pStyle w:val="TableParagraph"/>
              <w:spacing w:line="250" w:lineRule="exact" w:before="4"/>
              <w:ind w:left="105"/>
              <w:rPr>
                <w:sz w:val="21"/>
              </w:rPr>
            </w:pPr>
            <w:r>
              <w:rPr>
                <w:spacing w:val="40"/>
                <w:sz w:val="21"/>
              </w:rPr>
              <w:t>有限 公司</w:t>
            </w:r>
            <w:r>
              <w:rPr>
                <w:sz w:val="21"/>
              </w:rPr>
              <w:t> </w:t>
            </w:r>
          </w:p>
        </w:tc>
        <w:tc>
          <w:tcPr>
            <w:tcW w:w="1754" w:type="dxa"/>
          </w:tcPr>
          <w:p>
            <w:pPr>
              <w:pStyle w:val="TableParagraph"/>
              <w:spacing w:before="138"/>
              <w:ind w:left="179" w:right="62"/>
              <w:jc w:val="center"/>
              <w:rPr>
                <w:sz w:val="21"/>
              </w:rPr>
            </w:pPr>
            <w:r>
              <w:rPr>
                <w:sz w:val="21"/>
              </w:rPr>
              <w:t>董事 </w:t>
            </w:r>
          </w:p>
        </w:tc>
        <w:tc>
          <w:tcPr>
            <w:tcW w:w="1502" w:type="dxa"/>
          </w:tcPr>
          <w:p>
            <w:pPr>
              <w:pStyle w:val="TableParagraph"/>
              <w:spacing w:before="138"/>
              <w:ind w:left="226"/>
              <w:rPr>
                <w:sz w:val="21"/>
              </w:rPr>
            </w:pPr>
            <w:r>
              <w:rPr>
                <w:sz w:val="21"/>
              </w:rPr>
              <w:t>2007/09/17 </w:t>
            </w:r>
          </w:p>
        </w:tc>
        <w:tc>
          <w:tcPr>
            <w:tcW w:w="1509" w:type="dxa"/>
          </w:tcPr>
          <w:p>
            <w:pPr>
              <w:pStyle w:val="TableParagraph"/>
              <w:spacing w:before="138"/>
              <w:ind w:left="230"/>
              <w:rPr>
                <w:sz w:val="21"/>
              </w:rPr>
            </w:pPr>
            <w:r>
              <w:rPr>
                <w:sz w:val="21"/>
              </w:rPr>
              <w:t>2022/09/16 </w:t>
            </w:r>
          </w:p>
        </w:tc>
      </w:tr>
      <w:tr>
        <w:trPr>
          <w:trHeight w:val="544" w:hRule="atLeast"/>
        </w:trPr>
        <w:tc>
          <w:tcPr>
            <w:tcW w:w="1747" w:type="dxa"/>
          </w:tcPr>
          <w:p>
            <w:pPr>
              <w:pStyle w:val="TableParagraph"/>
              <w:spacing w:before="137"/>
              <w:ind w:left="277" w:right="165"/>
              <w:jc w:val="center"/>
              <w:rPr>
                <w:sz w:val="21"/>
              </w:rPr>
            </w:pPr>
            <w:r>
              <w:rPr>
                <w:sz w:val="21"/>
              </w:rPr>
              <w:t>郑弘孟 </w:t>
            </w:r>
          </w:p>
        </w:tc>
        <w:tc>
          <w:tcPr>
            <w:tcW w:w="2309" w:type="dxa"/>
          </w:tcPr>
          <w:p>
            <w:pPr>
              <w:pStyle w:val="TableParagraph"/>
              <w:spacing w:before="1"/>
              <w:ind w:left="105"/>
              <w:rPr>
                <w:sz w:val="21"/>
              </w:rPr>
            </w:pPr>
            <w:r>
              <w:rPr>
                <w:spacing w:val="20"/>
                <w:sz w:val="21"/>
              </w:rPr>
              <w:t>日本裕展贸易株式会</w:t>
            </w:r>
          </w:p>
          <w:p>
            <w:pPr>
              <w:pStyle w:val="TableParagraph"/>
              <w:spacing w:line="250" w:lineRule="exact" w:before="4"/>
              <w:ind w:left="105"/>
              <w:rPr>
                <w:sz w:val="21"/>
              </w:rPr>
            </w:pPr>
            <w:r>
              <w:rPr>
                <w:sz w:val="21"/>
              </w:rPr>
              <w:t>社 </w:t>
            </w:r>
          </w:p>
        </w:tc>
        <w:tc>
          <w:tcPr>
            <w:tcW w:w="1754" w:type="dxa"/>
          </w:tcPr>
          <w:p>
            <w:pPr>
              <w:pStyle w:val="TableParagraph"/>
              <w:spacing w:before="137"/>
              <w:ind w:left="179" w:right="62"/>
              <w:jc w:val="center"/>
              <w:rPr>
                <w:sz w:val="21"/>
              </w:rPr>
            </w:pPr>
            <w:r>
              <w:rPr>
                <w:sz w:val="21"/>
              </w:rPr>
              <w:t>董事 </w:t>
            </w:r>
          </w:p>
        </w:tc>
        <w:tc>
          <w:tcPr>
            <w:tcW w:w="1502" w:type="dxa"/>
          </w:tcPr>
          <w:p>
            <w:pPr>
              <w:pStyle w:val="TableParagraph"/>
              <w:spacing w:before="137"/>
              <w:ind w:left="226"/>
              <w:rPr>
                <w:sz w:val="21"/>
              </w:rPr>
            </w:pPr>
            <w:r>
              <w:rPr>
                <w:sz w:val="21"/>
              </w:rPr>
              <w:t>2018/05/28 </w:t>
            </w:r>
          </w:p>
        </w:tc>
        <w:tc>
          <w:tcPr>
            <w:tcW w:w="1509" w:type="dxa"/>
          </w:tcPr>
          <w:p>
            <w:pPr>
              <w:pStyle w:val="TableParagraph"/>
              <w:spacing w:before="137"/>
              <w:ind w:left="118"/>
              <w:jc w:val="center"/>
              <w:rPr>
                <w:sz w:val="21"/>
              </w:rPr>
            </w:pPr>
            <w:r>
              <w:rPr>
                <w:w w:val="100"/>
                <w:sz w:val="21"/>
              </w:rPr>
              <w:t> </w:t>
            </w:r>
          </w:p>
        </w:tc>
      </w:tr>
      <w:tr>
        <w:trPr>
          <w:trHeight w:val="273" w:hRule="atLeast"/>
        </w:trPr>
        <w:tc>
          <w:tcPr>
            <w:tcW w:w="1747" w:type="dxa"/>
          </w:tcPr>
          <w:p>
            <w:pPr>
              <w:pStyle w:val="TableParagraph"/>
              <w:spacing w:line="252" w:lineRule="exact" w:before="1"/>
              <w:ind w:left="277" w:right="165"/>
              <w:jc w:val="center"/>
              <w:rPr>
                <w:sz w:val="21"/>
              </w:rPr>
            </w:pPr>
            <w:r>
              <w:rPr>
                <w:sz w:val="21"/>
              </w:rPr>
              <w:t>郑弘孟 </w:t>
            </w:r>
          </w:p>
        </w:tc>
        <w:tc>
          <w:tcPr>
            <w:tcW w:w="2309" w:type="dxa"/>
          </w:tcPr>
          <w:p>
            <w:pPr>
              <w:pStyle w:val="TableParagraph"/>
              <w:spacing w:line="252" w:lineRule="exact" w:before="1"/>
              <w:ind w:left="102" w:right="90"/>
              <w:jc w:val="center"/>
              <w:rPr>
                <w:sz w:val="21"/>
              </w:rPr>
            </w:pPr>
            <w:r>
              <w:rPr>
                <w:sz w:val="21"/>
              </w:rPr>
              <w:t>AMBLogisticsLimited </w:t>
            </w:r>
          </w:p>
        </w:tc>
        <w:tc>
          <w:tcPr>
            <w:tcW w:w="1754" w:type="dxa"/>
          </w:tcPr>
          <w:p>
            <w:pPr>
              <w:pStyle w:val="TableParagraph"/>
              <w:spacing w:line="252" w:lineRule="exact" w:before="1"/>
              <w:ind w:left="179" w:right="62"/>
              <w:jc w:val="center"/>
              <w:rPr>
                <w:sz w:val="21"/>
              </w:rPr>
            </w:pPr>
            <w:r>
              <w:rPr>
                <w:sz w:val="21"/>
              </w:rPr>
              <w:t>董事 </w:t>
            </w:r>
          </w:p>
        </w:tc>
        <w:tc>
          <w:tcPr>
            <w:tcW w:w="1502" w:type="dxa"/>
          </w:tcPr>
          <w:p>
            <w:pPr>
              <w:pStyle w:val="TableParagraph"/>
              <w:spacing w:line="252" w:lineRule="exact" w:before="1"/>
              <w:ind w:left="226"/>
              <w:rPr>
                <w:sz w:val="21"/>
              </w:rPr>
            </w:pPr>
            <w:r>
              <w:rPr>
                <w:sz w:val="21"/>
              </w:rPr>
              <w:t>2008/01/08 </w:t>
            </w:r>
          </w:p>
        </w:tc>
        <w:tc>
          <w:tcPr>
            <w:tcW w:w="1509" w:type="dxa"/>
          </w:tcPr>
          <w:p>
            <w:pPr>
              <w:pStyle w:val="TableParagraph"/>
              <w:spacing w:line="252" w:lineRule="exact" w:before="1"/>
              <w:ind w:left="118"/>
              <w:jc w:val="center"/>
              <w:rPr>
                <w:sz w:val="21"/>
              </w:rPr>
            </w:pPr>
            <w:r>
              <w:rPr>
                <w:w w:val="100"/>
                <w:sz w:val="21"/>
              </w:rPr>
              <w:t> </w:t>
            </w:r>
          </w:p>
        </w:tc>
      </w:tr>
      <w:tr>
        <w:trPr>
          <w:trHeight w:val="544" w:hRule="atLeast"/>
        </w:trPr>
        <w:tc>
          <w:tcPr>
            <w:tcW w:w="1747" w:type="dxa"/>
          </w:tcPr>
          <w:p>
            <w:pPr>
              <w:pStyle w:val="TableParagraph"/>
              <w:spacing w:before="137"/>
              <w:ind w:left="277" w:right="165"/>
              <w:jc w:val="center"/>
              <w:rPr>
                <w:sz w:val="21"/>
              </w:rPr>
            </w:pPr>
            <w:r>
              <w:rPr>
                <w:sz w:val="21"/>
              </w:rPr>
              <w:t>刘俊杰 </w:t>
            </w:r>
          </w:p>
        </w:tc>
        <w:tc>
          <w:tcPr>
            <w:tcW w:w="2309" w:type="dxa"/>
          </w:tcPr>
          <w:p>
            <w:pPr>
              <w:pStyle w:val="TableParagraph"/>
              <w:tabs>
                <w:tab w:pos="837" w:val="left" w:leader="none"/>
              </w:tabs>
              <w:spacing w:before="1"/>
              <w:ind w:left="105" w:right="-15"/>
              <w:rPr>
                <w:sz w:val="21"/>
              </w:rPr>
            </w:pPr>
            <w:r>
              <w:rPr>
                <w:sz w:val="21"/>
              </w:rPr>
              <w:t>IPL</w:t>
              <w:tab/>
              <w:t>International </w:t>
            </w:r>
          </w:p>
          <w:p>
            <w:pPr>
              <w:pStyle w:val="TableParagraph"/>
              <w:spacing w:line="252" w:lineRule="exact" w:before="2"/>
              <w:ind w:left="105"/>
              <w:rPr>
                <w:sz w:val="21"/>
              </w:rPr>
            </w:pPr>
            <w:r>
              <w:rPr>
                <w:sz w:val="21"/>
              </w:rPr>
              <w:t>Limited </w:t>
            </w:r>
          </w:p>
        </w:tc>
        <w:tc>
          <w:tcPr>
            <w:tcW w:w="1754" w:type="dxa"/>
          </w:tcPr>
          <w:p>
            <w:pPr>
              <w:pStyle w:val="TableParagraph"/>
              <w:spacing w:before="137"/>
              <w:ind w:left="179" w:right="62"/>
              <w:jc w:val="center"/>
              <w:rPr>
                <w:sz w:val="21"/>
              </w:rPr>
            </w:pPr>
            <w:r>
              <w:rPr>
                <w:sz w:val="21"/>
              </w:rPr>
              <w:t>董事 </w:t>
            </w:r>
          </w:p>
        </w:tc>
        <w:tc>
          <w:tcPr>
            <w:tcW w:w="1502" w:type="dxa"/>
          </w:tcPr>
          <w:p>
            <w:pPr>
              <w:pStyle w:val="TableParagraph"/>
              <w:spacing w:before="137"/>
              <w:ind w:left="118"/>
              <w:jc w:val="center"/>
              <w:rPr>
                <w:sz w:val="21"/>
              </w:rPr>
            </w:pPr>
            <w:r>
              <w:rPr>
                <w:w w:val="100"/>
                <w:sz w:val="21"/>
              </w:rPr>
              <w:t> </w:t>
            </w:r>
          </w:p>
        </w:tc>
        <w:tc>
          <w:tcPr>
            <w:tcW w:w="1509" w:type="dxa"/>
          </w:tcPr>
          <w:p>
            <w:pPr>
              <w:pStyle w:val="TableParagraph"/>
              <w:spacing w:before="137"/>
              <w:ind w:left="118"/>
              <w:jc w:val="center"/>
              <w:rPr>
                <w:sz w:val="21"/>
              </w:rPr>
            </w:pPr>
            <w:r>
              <w:rPr>
                <w:w w:val="100"/>
                <w:sz w:val="21"/>
              </w:rPr>
              <w:t> </w:t>
            </w:r>
          </w:p>
        </w:tc>
      </w:tr>
      <w:tr>
        <w:trPr>
          <w:trHeight w:val="816" w:hRule="atLeast"/>
        </w:trPr>
        <w:tc>
          <w:tcPr>
            <w:tcW w:w="1747" w:type="dxa"/>
          </w:tcPr>
          <w:p>
            <w:pPr>
              <w:pStyle w:val="TableParagraph"/>
              <w:spacing w:before="5"/>
              <w:rPr>
                <w:sz w:val="21"/>
              </w:rPr>
            </w:pPr>
          </w:p>
          <w:p>
            <w:pPr>
              <w:pStyle w:val="TableParagraph"/>
              <w:ind w:left="277" w:right="165"/>
              <w:jc w:val="center"/>
              <w:rPr>
                <w:sz w:val="21"/>
              </w:rPr>
            </w:pPr>
            <w:r>
              <w:rPr>
                <w:sz w:val="21"/>
              </w:rPr>
              <w:t>刘俊杰 </w:t>
            </w:r>
          </w:p>
        </w:tc>
        <w:tc>
          <w:tcPr>
            <w:tcW w:w="2309" w:type="dxa"/>
          </w:tcPr>
          <w:p>
            <w:pPr>
              <w:pStyle w:val="TableParagraph"/>
              <w:tabs>
                <w:tab w:pos="1257" w:val="left" w:leader="none"/>
              </w:tabs>
              <w:spacing w:before="1"/>
              <w:ind w:left="105" w:right="-15"/>
              <w:rPr>
                <w:sz w:val="21"/>
              </w:rPr>
            </w:pPr>
            <w:r>
              <w:rPr>
                <w:sz w:val="21"/>
              </w:rPr>
              <w:t>Foxconn</w:t>
              <w:tab/>
              <w:t>Precision </w:t>
            </w:r>
          </w:p>
          <w:p>
            <w:pPr>
              <w:pStyle w:val="TableParagraph"/>
              <w:spacing w:line="270" w:lineRule="atLeast"/>
              <w:ind w:left="105" w:right="114"/>
              <w:rPr>
                <w:sz w:val="21"/>
              </w:rPr>
            </w:pPr>
            <w:r>
              <w:rPr>
                <w:sz w:val="21"/>
              </w:rPr>
              <w:t>International</w:t>
            </w:r>
            <w:r>
              <w:rPr>
                <w:spacing w:val="1"/>
                <w:sz w:val="21"/>
              </w:rPr>
              <w:t> </w:t>
            </w:r>
            <w:r>
              <w:rPr>
                <w:sz w:val="21"/>
              </w:rPr>
              <w:t>Limited </w:t>
            </w:r>
          </w:p>
        </w:tc>
        <w:tc>
          <w:tcPr>
            <w:tcW w:w="1754" w:type="dxa"/>
          </w:tcPr>
          <w:p>
            <w:pPr>
              <w:pStyle w:val="TableParagraph"/>
              <w:spacing w:before="5"/>
              <w:rPr>
                <w:sz w:val="21"/>
              </w:rPr>
            </w:pPr>
          </w:p>
          <w:p>
            <w:pPr>
              <w:pStyle w:val="TableParagraph"/>
              <w:ind w:left="179" w:right="62"/>
              <w:jc w:val="center"/>
              <w:rPr>
                <w:sz w:val="21"/>
              </w:rPr>
            </w:pPr>
            <w:r>
              <w:rPr>
                <w:sz w:val="21"/>
              </w:rPr>
              <w:t>董事 </w:t>
            </w:r>
          </w:p>
        </w:tc>
        <w:tc>
          <w:tcPr>
            <w:tcW w:w="1502" w:type="dxa"/>
          </w:tcPr>
          <w:p>
            <w:pPr>
              <w:pStyle w:val="TableParagraph"/>
              <w:spacing w:before="5"/>
              <w:rPr>
                <w:sz w:val="21"/>
              </w:rPr>
            </w:pPr>
          </w:p>
          <w:p>
            <w:pPr>
              <w:pStyle w:val="TableParagraph"/>
              <w:ind w:left="118"/>
              <w:jc w:val="center"/>
              <w:rPr>
                <w:sz w:val="21"/>
              </w:rPr>
            </w:pPr>
            <w:r>
              <w:rPr>
                <w:w w:val="100"/>
                <w:sz w:val="21"/>
              </w:rPr>
              <w:t> </w:t>
            </w:r>
          </w:p>
        </w:tc>
        <w:tc>
          <w:tcPr>
            <w:tcW w:w="1509" w:type="dxa"/>
          </w:tcPr>
          <w:p>
            <w:pPr>
              <w:pStyle w:val="TableParagraph"/>
              <w:spacing w:before="5"/>
              <w:rPr>
                <w:sz w:val="21"/>
              </w:rPr>
            </w:pPr>
          </w:p>
          <w:p>
            <w:pPr>
              <w:pStyle w:val="TableParagraph"/>
              <w:ind w:left="118"/>
              <w:jc w:val="center"/>
              <w:rPr>
                <w:sz w:val="21"/>
              </w:rPr>
            </w:pPr>
            <w:r>
              <w:rPr>
                <w:w w:val="100"/>
                <w:sz w:val="21"/>
              </w:rPr>
              <w:t> </w:t>
            </w:r>
          </w:p>
        </w:tc>
      </w:tr>
      <w:tr>
        <w:trPr>
          <w:trHeight w:val="546" w:hRule="atLeast"/>
        </w:trPr>
        <w:tc>
          <w:tcPr>
            <w:tcW w:w="1747" w:type="dxa"/>
          </w:tcPr>
          <w:p>
            <w:pPr>
              <w:pStyle w:val="TableParagraph"/>
              <w:spacing w:before="137"/>
              <w:ind w:left="277" w:right="165"/>
              <w:jc w:val="center"/>
              <w:rPr>
                <w:sz w:val="21"/>
              </w:rPr>
            </w:pPr>
            <w:r>
              <w:rPr>
                <w:sz w:val="21"/>
              </w:rPr>
              <w:t>薛健 </w:t>
            </w:r>
          </w:p>
        </w:tc>
        <w:tc>
          <w:tcPr>
            <w:tcW w:w="2309" w:type="dxa"/>
          </w:tcPr>
          <w:p>
            <w:pPr>
              <w:pStyle w:val="TableParagraph"/>
              <w:spacing w:line="270" w:lineRule="atLeast"/>
              <w:ind w:left="105" w:right="95"/>
              <w:rPr>
                <w:sz w:val="21"/>
              </w:rPr>
            </w:pPr>
            <w:r>
              <w:rPr>
                <w:spacing w:val="20"/>
                <w:sz w:val="21"/>
              </w:rPr>
              <w:t>清华大学经济管理学</w:t>
            </w:r>
            <w:r>
              <w:rPr>
                <w:sz w:val="21"/>
              </w:rPr>
              <w:t>院 </w:t>
            </w:r>
          </w:p>
        </w:tc>
        <w:tc>
          <w:tcPr>
            <w:tcW w:w="1754" w:type="dxa"/>
          </w:tcPr>
          <w:p>
            <w:pPr>
              <w:pStyle w:val="TableParagraph"/>
              <w:spacing w:before="137"/>
              <w:ind w:left="179" w:right="62"/>
              <w:jc w:val="center"/>
              <w:rPr>
                <w:sz w:val="21"/>
              </w:rPr>
            </w:pPr>
            <w:r>
              <w:rPr>
                <w:sz w:val="21"/>
              </w:rPr>
              <w:t>教授 </w:t>
            </w:r>
          </w:p>
        </w:tc>
        <w:tc>
          <w:tcPr>
            <w:tcW w:w="1502" w:type="dxa"/>
          </w:tcPr>
          <w:p>
            <w:pPr>
              <w:pStyle w:val="TableParagraph"/>
              <w:spacing w:before="137"/>
              <w:ind w:left="118"/>
              <w:jc w:val="center"/>
              <w:rPr>
                <w:sz w:val="21"/>
              </w:rPr>
            </w:pPr>
            <w:r>
              <w:rPr>
                <w:w w:val="100"/>
                <w:sz w:val="21"/>
              </w:rPr>
              <w:t> </w:t>
            </w:r>
          </w:p>
        </w:tc>
        <w:tc>
          <w:tcPr>
            <w:tcW w:w="1509" w:type="dxa"/>
          </w:tcPr>
          <w:p>
            <w:pPr>
              <w:pStyle w:val="TableParagraph"/>
              <w:spacing w:before="137"/>
              <w:ind w:left="118"/>
              <w:jc w:val="center"/>
              <w:rPr>
                <w:sz w:val="21"/>
              </w:rPr>
            </w:pPr>
            <w:r>
              <w:rPr>
                <w:w w:val="100"/>
                <w:sz w:val="21"/>
              </w:rPr>
              <w:t> </w:t>
            </w:r>
          </w:p>
        </w:tc>
      </w:tr>
      <w:tr>
        <w:trPr>
          <w:trHeight w:val="544" w:hRule="atLeast"/>
        </w:trPr>
        <w:tc>
          <w:tcPr>
            <w:tcW w:w="1747" w:type="dxa"/>
          </w:tcPr>
          <w:p>
            <w:pPr>
              <w:pStyle w:val="TableParagraph"/>
              <w:spacing w:before="138"/>
              <w:ind w:left="277" w:right="165"/>
              <w:jc w:val="center"/>
              <w:rPr>
                <w:sz w:val="21"/>
              </w:rPr>
            </w:pPr>
            <w:r>
              <w:rPr>
                <w:sz w:val="21"/>
              </w:rPr>
              <w:t>薛健 </w:t>
            </w:r>
          </w:p>
        </w:tc>
        <w:tc>
          <w:tcPr>
            <w:tcW w:w="2309" w:type="dxa"/>
          </w:tcPr>
          <w:p>
            <w:pPr>
              <w:pStyle w:val="TableParagraph"/>
              <w:spacing w:before="1"/>
              <w:ind w:left="105"/>
              <w:rPr>
                <w:sz w:val="21"/>
              </w:rPr>
            </w:pPr>
            <w:r>
              <w:rPr>
                <w:spacing w:val="20"/>
                <w:sz w:val="21"/>
              </w:rPr>
              <w:t>中粮福临门股份有限</w:t>
            </w:r>
          </w:p>
          <w:p>
            <w:pPr>
              <w:pStyle w:val="TableParagraph"/>
              <w:spacing w:line="252" w:lineRule="exact" w:before="2"/>
              <w:ind w:left="105"/>
              <w:rPr>
                <w:sz w:val="21"/>
              </w:rPr>
            </w:pPr>
            <w:r>
              <w:rPr>
                <w:sz w:val="21"/>
              </w:rPr>
              <w:t>公司 </w:t>
            </w:r>
          </w:p>
        </w:tc>
        <w:tc>
          <w:tcPr>
            <w:tcW w:w="1754" w:type="dxa"/>
          </w:tcPr>
          <w:p>
            <w:pPr>
              <w:pStyle w:val="TableParagraph"/>
              <w:spacing w:before="138"/>
              <w:ind w:left="177" w:right="62"/>
              <w:jc w:val="center"/>
              <w:rPr>
                <w:sz w:val="21"/>
              </w:rPr>
            </w:pPr>
            <w:r>
              <w:rPr>
                <w:spacing w:val="-1"/>
                <w:sz w:val="21"/>
              </w:rPr>
              <w:t>独立董事</w:t>
            </w:r>
            <w:r>
              <w:rPr>
                <w:sz w:val="21"/>
              </w:rPr>
              <w:t> </w:t>
            </w:r>
          </w:p>
        </w:tc>
        <w:tc>
          <w:tcPr>
            <w:tcW w:w="1502" w:type="dxa"/>
          </w:tcPr>
          <w:p>
            <w:pPr>
              <w:pStyle w:val="TableParagraph"/>
              <w:spacing w:before="138"/>
              <w:ind w:left="118"/>
              <w:jc w:val="center"/>
              <w:rPr>
                <w:sz w:val="21"/>
              </w:rPr>
            </w:pPr>
            <w:r>
              <w:rPr>
                <w:w w:val="100"/>
                <w:sz w:val="21"/>
              </w:rPr>
              <w:t> </w:t>
            </w:r>
          </w:p>
        </w:tc>
        <w:tc>
          <w:tcPr>
            <w:tcW w:w="1509" w:type="dxa"/>
          </w:tcPr>
          <w:p>
            <w:pPr>
              <w:pStyle w:val="TableParagraph"/>
              <w:spacing w:before="138"/>
              <w:ind w:left="388"/>
              <w:rPr>
                <w:sz w:val="21"/>
              </w:rPr>
            </w:pPr>
            <w:r>
              <w:rPr>
                <w:sz w:val="21"/>
              </w:rPr>
              <w:t>2022/02 </w:t>
            </w:r>
          </w:p>
        </w:tc>
      </w:tr>
      <w:tr>
        <w:trPr>
          <w:trHeight w:val="544" w:hRule="atLeast"/>
        </w:trPr>
        <w:tc>
          <w:tcPr>
            <w:tcW w:w="1747" w:type="dxa"/>
          </w:tcPr>
          <w:p>
            <w:pPr>
              <w:pStyle w:val="TableParagraph"/>
              <w:spacing w:before="137"/>
              <w:ind w:left="277" w:right="165"/>
              <w:jc w:val="center"/>
              <w:rPr>
                <w:sz w:val="21"/>
              </w:rPr>
            </w:pPr>
            <w:r>
              <w:rPr>
                <w:sz w:val="21"/>
              </w:rPr>
              <w:t>薛健 </w:t>
            </w:r>
          </w:p>
        </w:tc>
        <w:tc>
          <w:tcPr>
            <w:tcW w:w="2309" w:type="dxa"/>
          </w:tcPr>
          <w:p>
            <w:pPr>
              <w:pStyle w:val="TableParagraph"/>
              <w:spacing w:before="1"/>
              <w:ind w:left="105"/>
              <w:rPr>
                <w:sz w:val="21"/>
              </w:rPr>
            </w:pPr>
            <w:r>
              <w:rPr>
                <w:spacing w:val="20"/>
                <w:sz w:val="21"/>
              </w:rPr>
              <w:t>嘉事堂药业股份有限</w:t>
            </w:r>
          </w:p>
          <w:p>
            <w:pPr>
              <w:pStyle w:val="TableParagraph"/>
              <w:spacing w:line="252" w:lineRule="exact" w:before="2"/>
              <w:ind w:left="105"/>
              <w:rPr>
                <w:sz w:val="21"/>
              </w:rPr>
            </w:pPr>
            <w:r>
              <w:rPr>
                <w:sz w:val="21"/>
              </w:rPr>
              <w:t>公司 </w:t>
            </w:r>
          </w:p>
        </w:tc>
        <w:tc>
          <w:tcPr>
            <w:tcW w:w="1754" w:type="dxa"/>
          </w:tcPr>
          <w:p>
            <w:pPr>
              <w:pStyle w:val="TableParagraph"/>
              <w:spacing w:before="137"/>
              <w:ind w:left="177" w:right="62"/>
              <w:jc w:val="center"/>
              <w:rPr>
                <w:sz w:val="21"/>
              </w:rPr>
            </w:pPr>
            <w:r>
              <w:rPr>
                <w:spacing w:val="-1"/>
                <w:sz w:val="21"/>
              </w:rPr>
              <w:t>独立董事</w:t>
            </w:r>
            <w:r>
              <w:rPr>
                <w:sz w:val="21"/>
              </w:rPr>
              <w:t> </w:t>
            </w:r>
          </w:p>
        </w:tc>
        <w:tc>
          <w:tcPr>
            <w:tcW w:w="1502" w:type="dxa"/>
          </w:tcPr>
          <w:p>
            <w:pPr>
              <w:pStyle w:val="TableParagraph"/>
              <w:spacing w:before="137"/>
              <w:ind w:left="118"/>
              <w:jc w:val="center"/>
              <w:rPr>
                <w:sz w:val="21"/>
              </w:rPr>
            </w:pPr>
            <w:r>
              <w:rPr>
                <w:w w:val="100"/>
                <w:sz w:val="21"/>
              </w:rPr>
              <w:t> </w:t>
            </w:r>
          </w:p>
        </w:tc>
        <w:tc>
          <w:tcPr>
            <w:tcW w:w="1509" w:type="dxa"/>
          </w:tcPr>
          <w:p>
            <w:pPr>
              <w:pStyle w:val="TableParagraph"/>
              <w:spacing w:before="137"/>
              <w:ind w:left="388"/>
              <w:rPr>
                <w:sz w:val="21"/>
              </w:rPr>
            </w:pPr>
            <w:r>
              <w:rPr>
                <w:sz w:val="21"/>
              </w:rPr>
              <w:t>2022/10 </w:t>
            </w:r>
          </w:p>
        </w:tc>
      </w:tr>
      <w:tr>
        <w:trPr>
          <w:trHeight w:val="544" w:hRule="atLeast"/>
        </w:trPr>
        <w:tc>
          <w:tcPr>
            <w:tcW w:w="1747" w:type="dxa"/>
          </w:tcPr>
          <w:p>
            <w:pPr>
              <w:pStyle w:val="TableParagraph"/>
              <w:spacing w:before="138"/>
              <w:ind w:left="277" w:right="165"/>
              <w:jc w:val="center"/>
              <w:rPr>
                <w:sz w:val="21"/>
              </w:rPr>
            </w:pPr>
            <w:r>
              <w:rPr>
                <w:sz w:val="21"/>
              </w:rPr>
              <w:t>薛健 </w:t>
            </w:r>
          </w:p>
        </w:tc>
        <w:tc>
          <w:tcPr>
            <w:tcW w:w="2309" w:type="dxa"/>
          </w:tcPr>
          <w:p>
            <w:pPr>
              <w:pStyle w:val="TableParagraph"/>
              <w:spacing w:before="1"/>
              <w:ind w:left="105"/>
              <w:rPr>
                <w:sz w:val="21"/>
              </w:rPr>
            </w:pPr>
            <w:r>
              <w:rPr>
                <w:spacing w:val="20"/>
                <w:sz w:val="21"/>
              </w:rPr>
              <w:t>中国中期投资股份有</w:t>
            </w:r>
          </w:p>
          <w:p>
            <w:pPr>
              <w:pStyle w:val="TableParagraph"/>
              <w:spacing w:line="252" w:lineRule="exact" w:before="2"/>
              <w:ind w:left="105"/>
              <w:rPr>
                <w:sz w:val="21"/>
              </w:rPr>
            </w:pPr>
            <w:r>
              <w:rPr>
                <w:sz w:val="21"/>
              </w:rPr>
              <w:t>限公司 </w:t>
            </w:r>
          </w:p>
        </w:tc>
        <w:tc>
          <w:tcPr>
            <w:tcW w:w="1754" w:type="dxa"/>
          </w:tcPr>
          <w:p>
            <w:pPr>
              <w:pStyle w:val="TableParagraph"/>
              <w:spacing w:before="138"/>
              <w:ind w:left="177" w:right="62"/>
              <w:jc w:val="center"/>
              <w:rPr>
                <w:sz w:val="21"/>
              </w:rPr>
            </w:pPr>
            <w:r>
              <w:rPr>
                <w:spacing w:val="-1"/>
                <w:sz w:val="21"/>
              </w:rPr>
              <w:t>独立董事</w:t>
            </w:r>
            <w:r>
              <w:rPr>
                <w:sz w:val="21"/>
              </w:rPr>
              <w:t> </w:t>
            </w:r>
          </w:p>
        </w:tc>
        <w:tc>
          <w:tcPr>
            <w:tcW w:w="1502" w:type="dxa"/>
          </w:tcPr>
          <w:p>
            <w:pPr>
              <w:pStyle w:val="TableParagraph"/>
              <w:spacing w:before="138"/>
              <w:ind w:left="385"/>
              <w:rPr>
                <w:sz w:val="21"/>
              </w:rPr>
            </w:pPr>
            <w:r>
              <w:rPr>
                <w:sz w:val="21"/>
              </w:rPr>
              <w:t>2019/12 </w:t>
            </w:r>
          </w:p>
        </w:tc>
        <w:tc>
          <w:tcPr>
            <w:tcW w:w="1509" w:type="dxa"/>
          </w:tcPr>
          <w:p>
            <w:pPr>
              <w:pStyle w:val="TableParagraph"/>
              <w:spacing w:before="138"/>
              <w:ind w:left="388"/>
              <w:rPr>
                <w:sz w:val="21"/>
              </w:rPr>
            </w:pPr>
            <w:r>
              <w:rPr>
                <w:sz w:val="21"/>
              </w:rPr>
              <w:t>2022/05 </w:t>
            </w:r>
          </w:p>
        </w:tc>
      </w:tr>
      <w:tr>
        <w:trPr>
          <w:trHeight w:val="273" w:hRule="atLeast"/>
        </w:trPr>
        <w:tc>
          <w:tcPr>
            <w:tcW w:w="1747" w:type="dxa"/>
          </w:tcPr>
          <w:p>
            <w:pPr>
              <w:pStyle w:val="TableParagraph"/>
              <w:spacing w:line="252" w:lineRule="exact" w:before="1"/>
              <w:ind w:left="277" w:right="165"/>
              <w:jc w:val="center"/>
              <w:rPr>
                <w:sz w:val="21"/>
              </w:rPr>
            </w:pPr>
            <w:r>
              <w:rPr>
                <w:sz w:val="21"/>
              </w:rPr>
              <w:t>薛健 </w:t>
            </w:r>
          </w:p>
        </w:tc>
        <w:tc>
          <w:tcPr>
            <w:tcW w:w="2309" w:type="dxa"/>
          </w:tcPr>
          <w:p>
            <w:pPr>
              <w:pStyle w:val="TableParagraph"/>
              <w:spacing w:line="252" w:lineRule="exact" w:before="1"/>
              <w:ind w:left="98" w:right="90"/>
              <w:jc w:val="center"/>
              <w:rPr>
                <w:sz w:val="21"/>
              </w:rPr>
            </w:pPr>
            <w:r>
              <w:rPr>
                <w:spacing w:val="20"/>
                <w:sz w:val="21"/>
              </w:rPr>
              <w:t>中文在线股份有限公</w:t>
            </w:r>
          </w:p>
        </w:tc>
        <w:tc>
          <w:tcPr>
            <w:tcW w:w="1754" w:type="dxa"/>
          </w:tcPr>
          <w:p>
            <w:pPr>
              <w:pStyle w:val="TableParagraph"/>
              <w:spacing w:line="252" w:lineRule="exact" w:before="1"/>
              <w:ind w:left="177" w:right="62"/>
              <w:jc w:val="center"/>
              <w:rPr>
                <w:sz w:val="21"/>
              </w:rPr>
            </w:pPr>
            <w:r>
              <w:rPr>
                <w:spacing w:val="-1"/>
                <w:sz w:val="21"/>
              </w:rPr>
              <w:t>独立董事</w:t>
            </w:r>
            <w:r>
              <w:rPr>
                <w:sz w:val="21"/>
              </w:rPr>
              <w:t> </w:t>
            </w:r>
          </w:p>
        </w:tc>
        <w:tc>
          <w:tcPr>
            <w:tcW w:w="1502" w:type="dxa"/>
          </w:tcPr>
          <w:p>
            <w:pPr>
              <w:pStyle w:val="TableParagraph"/>
              <w:spacing w:line="252" w:lineRule="exact" w:before="1"/>
              <w:ind w:left="109"/>
              <w:rPr>
                <w:sz w:val="21"/>
              </w:rPr>
            </w:pPr>
            <w:r>
              <w:rPr>
                <w:w w:val="100"/>
                <w:sz w:val="21"/>
              </w:rPr>
              <w:t> </w:t>
            </w:r>
            <w:r>
              <w:rPr>
                <w:sz w:val="21"/>
              </w:rPr>
              <w:t> </w:t>
            </w:r>
            <w:r>
              <w:rPr>
                <w:w w:val="100"/>
                <w:sz w:val="21"/>
              </w:rPr>
              <w:t> </w:t>
            </w:r>
          </w:p>
        </w:tc>
        <w:tc>
          <w:tcPr>
            <w:tcW w:w="1509" w:type="dxa"/>
          </w:tcPr>
          <w:p>
            <w:pPr>
              <w:pStyle w:val="TableParagraph"/>
              <w:spacing w:line="252" w:lineRule="exact" w:before="1"/>
              <w:ind w:left="110"/>
              <w:rPr>
                <w:sz w:val="21"/>
              </w:rPr>
            </w:pPr>
            <w:r>
              <w:rPr>
                <w:w w:val="100"/>
                <w:sz w:val="21"/>
              </w:rPr>
              <w:t> </w:t>
            </w:r>
            <w:r>
              <w:rPr>
                <w:sz w:val="21"/>
              </w:rPr>
              <w:t> </w:t>
            </w:r>
            <w:r>
              <w:rPr>
                <w:w w:val="100"/>
                <w:sz w:val="21"/>
              </w:rPr>
              <w:t> </w:t>
            </w:r>
          </w:p>
        </w:tc>
      </w:tr>
    </w:tbl>
    <w:p>
      <w:pPr>
        <w:spacing w:after="0" w:line="252" w:lineRule="exact"/>
        <w:rPr>
          <w:sz w:val="21"/>
        </w:rPr>
        <w:sectPr>
          <w:headerReference w:type="default" r:id="rId26"/>
          <w:footerReference w:type="default" r:id="rId27"/>
          <w:pgSz w:w="11910" w:h="16840"/>
          <w:pgMar w:header="877" w:footer="1180" w:top="1460" w:bottom="1360" w:left="1680" w:right="1160"/>
        </w:sectPr>
      </w:pPr>
    </w:p>
    <w:p>
      <w:pPr>
        <w:pStyle w:val="BodyText"/>
        <w:spacing w:before="9"/>
        <w:ind w:left="0"/>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7"/>
        <w:gridCol w:w="2309"/>
        <w:gridCol w:w="1754"/>
        <w:gridCol w:w="1502"/>
        <w:gridCol w:w="1509"/>
      </w:tblGrid>
      <w:tr>
        <w:trPr>
          <w:trHeight w:val="273" w:hRule="atLeast"/>
        </w:trPr>
        <w:tc>
          <w:tcPr>
            <w:tcW w:w="1747" w:type="dxa"/>
          </w:tcPr>
          <w:p>
            <w:pPr>
              <w:pStyle w:val="TableParagraph"/>
              <w:rPr>
                <w:rFonts w:ascii="Times New Roman"/>
                <w:sz w:val="20"/>
              </w:rPr>
            </w:pPr>
          </w:p>
        </w:tc>
        <w:tc>
          <w:tcPr>
            <w:tcW w:w="2309" w:type="dxa"/>
          </w:tcPr>
          <w:p>
            <w:pPr>
              <w:pStyle w:val="TableParagraph"/>
              <w:spacing w:line="250" w:lineRule="exact" w:before="3"/>
              <w:ind w:left="105"/>
              <w:rPr>
                <w:sz w:val="21"/>
              </w:rPr>
            </w:pPr>
            <w:r>
              <w:rPr>
                <w:sz w:val="21"/>
              </w:rPr>
              <w:t>司 </w:t>
            </w:r>
          </w:p>
        </w:tc>
        <w:tc>
          <w:tcPr>
            <w:tcW w:w="1754" w:type="dxa"/>
          </w:tcPr>
          <w:p>
            <w:pPr>
              <w:pStyle w:val="TableParagraph"/>
              <w:rPr>
                <w:rFonts w:ascii="Times New Roman"/>
                <w:sz w:val="20"/>
              </w:rPr>
            </w:pPr>
          </w:p>
        </w:tc>
        <w:tc>
          <w:tcPr>
            <w:tcW w:w="1502" w:type="dxa"/>
          </w:tcPr>
          <w:p>
            <w:pPr>
              <w:pStyle w:val="TableParagraph"/>
              <w:rPr>
                <w:rFonts w:ascii="Times New Roman"/>
                <w:sz w:val="20"/>
              </w:rPr>
            </w:pPr>
          </w:p>
        </w:tc>
        <w:tc>
          <w:tcPr>
            <w:tcW w:w="1509" w:type="dxa"/>
          </w:tcPr>
          <w:p>
            <w:pPr>
              <w:pStyle w:val="TableParagraph"/>
              <w:rPr>
                <w:rFonts w:ascii="Times New Roman"/>
                <w:sz w:val="20"/>
              </w:rPr>
            </w:pPr>
          </w:p>
        </w:tc>
      </w:tr>
      <w:tr>
        <w:trPr>
          <w:trHeight w:val="544" w:hRule="atLeast"/>
        </w:trPr>
        <w:tc>
          <w:tcPr>
            <w:tcW w:w="1747" w:type="dxa"/>
          </w:tcPr>
          <w:p>
            <w:pPr>
              <w:pStyle w:val="TableParagraph"/>
              <w:spacing w:before="138"/>
              <w:ind w:right="441"/>
              <w:jc w:val="right"/>
              <w:rPr>
                <w:sz w:val="21"/>
              </w:rPr>
            </w:pPr>
            <w:r>
              <w:rPr>
                <w:sz w:val="21"/>
              </w:rPr>
              <w:t>孙中亮 </w:t>
            </w:r>
          </w:p>
        </w:tc>
        <w:tc>
          <w:tcPr>
            <w:tcW w:w="2309" w:type="dxa"/>
          </w:tcPr>
          <w:p>
            <w:pPr>
              <w:pStyle w:val="TableParagraph"/>
              <w:spacing w:before="1"/>
              <w:ind w:left="105"/>
              <w:rPr>
                <w:sz w:val="21"/>
              </w:rPr>
            </w:pPr>
            <w:r>
              <w:rPr>
                <w:spacing w:val="20"/>
                <w:sz w:val="21"/>
              </w:rPr>
              <w:t>深圳华大北斗科技股</w:t>
            </w:r>
          </w:p>
          <w:p>
            <w:pPr>
              <w:pStyle w:val="TableParagraph"/>
              <w:spacing w:line="250" w:lineRule="exact" w:before="4"/>
              <w:ind w:left="105"/>
              <w:rPr>
                <w:sz w:val="21"/>
              </w:rPr>
            </w:pPr>
            <w:r>
              <w:rPr>
                <w:sz w:val="21"/>
              </w:rPr>
              <w:t>份有限公司 </w:t>
            </w:r>
          </w:p>
        </w:tc>
        <w:tc>
          <w:tcPr>
            <w:tcW w:w="1754" w:type="dxa"/>
          </w:tcPr>
          <w:p>
            <w:pPr>
              <w:pStyle w:val="TableParagraph"/>
              <w:spacing w:before="138"/>
              <w:ind w:left="179" w:right="62"/>
              <w:jc w:val="center"/>
              <w:rPr>
                <w:sz w:val="21"/>
              </w:rPr>
            </w:pPr>
            <w:r>
              <w:rPr>
                <w:spacing w:val="-1"/>
                <w:sz w:val="21"/>
              </w:rPr>
              <w:t>董事长、总经理</w:t>
            </w:r>
            <w:r>
              <w:rPr>
                <w:sz w:val="21"/>
              </w:rPr>
              <w:t> </w:t>
            </w:r>
          </w:p>
        </w:tc>
        <w:tc>
          <w:tcPr>
            <w:tcW w:w="1502" w:type="dxa"/>
          </w:tcPr>
          <w:p>
            <w:pPr>
              <w:pStyle w:val="TableParagraph"/>
              <w:spacing w:before="138"/>
              <w:ind w:right="105"/>
              <w:jc w:val="right"/>
              <w:rPr>
                <w:sz w:val="21"/>
              </w:rPr>
            </w:pPr>
            <w:r>
              <w:rPr>
                <w:sz w:val="21"/>
              </w:rPr>
              <w:t>2021/06/24 </w:t>
            </w:r>
          </w:p>
        </w:tc>
        <w:tc>
          <w:tcPr>
            <w:tcW w:w="1509" w:type="dxa"/>
          </w:tcPr>
          <w:p>
            <w:pPr>
              <w:pStyle w:val="TableParagraph"/>
              <w:spacing w:before="138"/>
              <w:ind w:left="546"/>
              <w:rPr>
                <w:sz w:val="21"/>
              </w:rPr>
            </w:pPr>
            <w:r>
              <w:rPr>
                <w:sz w:val="21"/>
              </w:rPr>
              <w:t>至今 </w:t>
            </w:r>
          </w:p>
        </w:tc>
      </w:tr>
      <w:tr>
        <w:trPr>
          <w:trHeight w:val="544" w:hRule="atLeast"/>
        </w:trPr>
        <w:tc>
          <w:tcPr>
            <w:tcW w:w="1747" w:type="dxa"/>
          </w:tcPr>
          <w:p>
            <w:pPr>
              <w:pStyle w:val="TableParagraph"/>
              <w:spacing w:before="137"/>
              <w:ind w:right="441"/>
              <w:jc w:val="right"/>
              <w:rPr>
                <w:sz w:val="21"/>
              </w:rPr>
            </w:pPr>
            <w:r>
              <w:rPr>
                <w:sz w:val="21"/>
              </w:rPr>
              <w:t>孙中亮 </w:t>
            </w:r>
          </w:p>
        </w:tc>
        <w:tc>
          <w:tcPr>
            <w:tcW w:w="2309" w:type="dxa"/>
          </w:tcPr>
          <w:p>
            <w:pPr>
              <w:pStyle w:val="TableParagraph"/>
              <w:spacing w:before="1"/>
              <w:ind w:left="105"/>
              <w:rPr>
                <w:sz w:val="21"/>
              </w:rPr>
            </w:pPr>
            <w:r>
              <w:rPr>
                <w:spacing w:val="20"/>
                <w:sz w:val="21"/>
              </w:rPr>
              <w:t>深圳市北斗启航实业</w:t>
            </w:r>
          </w:p>
          <w:p>
            <w:pPr>
              <w:pStyle w:val="TableParagraph"/>
              <w:spacing w:line="250" w:lineRule="exact" w:before="4"/>
              <w:ind w:left="105"/>
              <w:rPr>
                <w:sz w:val="21"/>
              </w:rPr>
            </w:pPr>
            <w:r>
              <w:rPr>
                <w:spacing w:val="-1"/>
                <w:sz w:val="21"/>
              </w:rPr>
              <w:t>有限公司</w:t>
            </w:r>
            <w:r>
              <w:rPr>
                <w:sz w:val="21"/>
              </w:rPr>
              <w:t> </w:t>
            </w:r>
          </w:p>
        </w:tc>
        <w:tc>
          <w:tcPr>
            <w:tcW w:w="1754" w:type="dxa"/>
          </w:tcPr>
          <w:p>
            <w:pPr>
              <w:pStyle w:val="TableParagraph"/>
              <w:spacing w:before="1"/>
              <w:ind w:left="176" w:right="62"/>
              <w:jc w:val="center"/>
              <w:rPr>
                <w:sz w:val="21"/>
              </w:rPr>
            </w:pPr>
            <w:r>
              <w:rPr>
                <w:sz w:val="21"/>
              </w:rPr>
              <w:t>执行董事、 </w:t>
            </w:r>
          </w:p>
          <w:p>
            <w:pPr>
              <w:pStyle w:val="TableParagraph"/>
              <w:spacing w:line="250" w:lineRule="exact" w:before="4"/>
              <w:ind w:left="179" w:right="62"/>
              <w:jc w:val="center"/>
              <w:rPr>
                <w:sz w:val="21"/>
              </w:rPr>
            </w:pPr>
            <w:r>
              <w:rPr>
                <w:sz w:val="21"/>
              </w:rPr>
              <w:t>总经理 </w:t>
            </w:r>
          </w:p>
        </w:tc>
        <w:tc>
          <w:tcPr>
            <w:tcW w:w="1502" w:type="dxa"/>
          </w:tcPr>
          <w:p>
            <w:pPr>
              <w:pStyle w:val="TableParagraph"/>
              <w:spacing w:before="137"/>
              <w:ind w:right="105"/>
              <w:jc w:val="right"/>
              <w:rPr>
                <w:sz w:val="21"/>
              </w:rPr>
            </w:pPr>
            <w:r>
              <w:rPr>
                <w:sz w:val="21"/>
              </w:rPr>
              <w:t>2016/09/28 </w:t>
            </w:r>
          </w:p>
        </w:tc>
        <w:tc>
          <w:tcPr>
            <w:tcW w:w="1509" w:type="dxa"/>
          </w:tcPr>
          <w:p>
            <w:pPr>
              <w:pStyle w:val="TableParagraph"/>
              <w:spacing w:before="137"/>
              <w:ind w:left="546"/>
              <w:rPr>
                <w:sz w:val="21"/>
              </w:rPr>
            </w:pPr>
            <w:r>
              <w:rPr>
                <w:sz w:val="21"/>
              </w:rPr>
              <w:t>至今 </w:t>
            </w:r>
          </w:p>
        </w:tc>
      </w:tr>
      <w:tr>
        <w:trPr>
          <w:trHeight w:val="544" w:hRule="atLeast"/>
        </w:trPr>
        <w:tc>
          <w:tcPr>
            <w:tcW w:w="1747" w:type="dxa"/>
          </w:tcPr>
          <w:p>
            <w:pPr>
              <w:pStyle w:val="TableParagraph"/>
              <w:spacing w:before="138"/>
              <w:ind w:right="441"/>
              <w:jc w:val="right"/>
              <w:rPr>
                <w:sz w:val="21"/>
              </w:rPr>
            </w:pPr>
            <w:r>
              <w:rPr>
                <w:sz w:val="21"/>
              </w:rPr>
              <w:t>孙中亮 </w:t>
            </w:r>
          </w:p>
        </w:tc>
        <w:tc>
          <w:tcPr>
            <w:tcW w:w="2309" w:type="dxa"/>
          </w:tcPr>
          <w:p>
            <w:pPr>
              <w:pStyle w:val="TableParagraph"/>
              <w:spacing w:before="1"/>
              <w:ind w:left="105"/>
              <w:rPr>
                <w:sz w:val="21"/>
              </w:rPr>
            </w:pPr>
            <w:r>
              <w:rPr>
                <w:spacing w:val="20"/>
                <w:sz w:val="21"/>
              </w:rPr>
              <w:t>北京北斗华大科技有</w:t>
            </w:r>
          </w:p>
          <w:p>
            <w:pPr>
              <w:pStyle w:val="TableParagraph"/>
              <w:spacing w:line="250" w:lineRule="exact" w:before="4"/>
              <w:ind w:left="105"/>
              <w:rPr>
                <w:sz w:val="21"/>
              </w:rPr>
            </w:pPr>
            <w:r>
              <w:rPr>
                <w:sz w:val="21"/>
              </w:rPr>
              <w:t>限公司 </w:t>
            </w:r>
          </w:p>
        </w:tc>
        <w:tc>
          <w:tcPr>
            <w:tcW w:w="1754" w:type="dxa"/>
          </w:tcPr>
          <w:p>
            <w:pPr>
              <w:pStyle w:val="TableParagraph"/>
              <w:spacing w:before="138"/>
              <w:ind w:left="179" w:right="62"/>
              <w:jc w:val="center"/>
              <w:rPr>
                <w:sz w:val="21"/>
              </w:rPr>
            </w:pPr>
            <w:r>
              <w:rPr>
                <w:spacing w:val="-1"/>
                <w:sz w:val="21"/>
              </w:rPr>
              <w:t>执行董事、经理</w:t>
            </w:r>
            <w:r>
              <w:rPr>
                <w:sz w:val="21"/>
              </w:rPr>
              <w:t> </w:t>
            </w:r>
          </w:p>
        </w:tc>
        <w:tc>
          <w:tcPr>
            <w:tcW w:w="1502" w:type="dxa"/>
          </w:tcPr>
          <w:p>
            <w:pPr>
              <w:pStyle w:val="TableParagraph"/>
              <w:spacing w:before="138"/>
              <w:ind w:right="105"/>
              <w:jc w:val="right"/>
              <w:rPr>
                <w:sz w:val="21"/>
              </w:rPr>
            </w:pPr>
            <w:r>
              <w:rPr>
                <w:sz w:val="21"/>
              </w:rPr>
              <w:t>2017/03/14 </w:t>
            </w:r>
          </w:p>
        </w:tc>
        <w:tc>
          <w:tcPr>
            <w:tcW w:w="1509" w:type="dxa"/>
          </w:tcPr>
          <w:p>
            <w:pPr>
              <w:pStyle w:val="TableParagraph"/>
              <w:spacing w:before="138"/>
              <w:ind w:left="546"/>
              <w:rPr>
                <w:sz w:val="21"/>
              </w:rPr>
            </w:pPr>
            <w:r>
              <w:rPr>
                <w:sz w:val="21"/>
              </w:rPr>
              <w:t>至今 </w:t>
            </w:r>
          </w:p>
        </w:tc>
      </w:tr>
      <w:tr>
        <w:trPr>
          <w:trHeight w:val="546" w:hRule="atLeast"/>
        </w:trPr>
        <w:tc>
          <w:tcPr>
            <w:tcW w:w="1747" w:type="dxa"/>
          </w:tcPr>
          <w:p>
            <w:pPr>
              <w:pStyle w:val="TableParagraph"/>
              <w:spacing w:before="137"/>
              <w:ind w:right="441"/>
              <w:jc w:val="right"/>
              <w:rPr>
                <w:sz w:val="21"/>
              </w:rPr>
            </w:pPr>
            <w:r>
              <w:rPr>
                <w:sz w:val="21"/>
              </w:rPr>
              <w:t>孙中亮 </w:t>
            </w:r>
          </w:p>
        </w:tc>
        <w:tc>
          <w:tcPr>
            <w:tcW w:w="2309" w:type="dxa"/>
          </w:tcPr>
          <w:p>
            <w:pPr>
              <w:pStyle w:val="TableParagraph"/>
              <w:spacing w:line="270" w:lineRule="atLeast"/>
              <w:ind w:left="105" w:right="95"/>
              <w:rPr>
                <w:sz w:val="21"/>
              </w:rPr>
            </w:pPr>
            <w:r>
              <w:rPr>
                <w:spacing w:val="20"/>
                <w:sz w:val="21"/>
              </w:rPr>
              <w:t>上海米度测控科技有</w:t>
            </w:r>
            <w:r>
              <w:rPr>
                <w:sz w:val="21"/>
              </w:rPr>
              <w:t>限公司 </w:t>
            </w:r>
          </w:p>
        </w:tc>
        <w:tc>
          <w:tcPr>
            <w:tcW w:w="1754" w:type="dxa"/>
          </w:tcPr>
          <w:p>
            <w:pPr>
              <w:pStyle w:val="TableParagraph"/>
              <w:spacing w:before="137"/>
              <w:ind w:left="179" w:right="62"/>
              <w:jc w:val="center"/>
              <w:rPr>
                <w:sz w:val="21"/>
              </w:rPr>
            </w:pPr>
            <w:r>
              <w:rPr>
                <w:sz w:val="21"/>
              </w:rPr>
              <w:t>董事长 </w:t>
            </w:r>
          </w:p>
        </w:tc>
        <w:tc>
          <w:tcPr>
            <w:tcW w:w="1502" w:type="dxa"/>
          </w:tcPr>
          <w:p>
            <w:pPr>
              <w:pStyle w:val="TableParagraph"/>
              <w:spacing w:before="137"/>
              <w:ind w:right="105"/>
              <w:jc w:val="right"/>
              <w:rPr>
                <w:sz w:val="21"/>
              </w:rPr>
            </w:pPr>
            <w:r>
              <w:rPr>
                <w:sz w:val="21"/>
              </w:rPr>
              <w:t>2022/01/11 </w:t>
            </w:r>
          </w:p>
        </w:tc>
        <w:tc>
          <w:tcPr>
            <w:tcW w:w="1509" w:type="dxa"/>
          </w:tcPr>
          <w:p>
            <w:pPr>
              <w:pStyle w:val="TableParagraph"/>
              <w:spacing w:before="137"/>
              <w:ind w:left="546"/>
              <w:rPr>
                <w:sz w:val="21"/>
              </w:rPr>
            </w:pPr>
            <w:r>
              <w:rPr>
                <w:sz w:val="21"/>
              </w:rPr>
              <w:t>至今 </w:t>
            </w:r>
          </w:p>
        </w:tc>
      </w:tr>
      <w:tr>
        <w:trPr>
          <w:trHeight w:val="1089" w:hRule="atLeast"/>
        </w:trPr>
        <w:tc>
          <w:tcPr>
            <w:tcW w:w="1747" w:type="dxa"/>
          </w:tcPr>
          <w:p>
            <w:pPr>
              <w:pStyle w:val="TableParagraph"/>
              <w:rPr>
                <w:sz w:val="20"/>
              </w:rPr>
            </w:pPr>
          </w:p>
          <w:p>
            <w:pPr>
              <w:pStyle w:val="TableParagraph"/>
              <w:spacing w:before="152"/>
              <w:ind w:right="441"/>
              <w:jc w:val="right"/>
              <w:rPr>
                <w:sz w:val="21"/>
              </w:rPr>
            </w:pPr>
            <w:r>
              <w:rPr>
                <w:sz w:val="21"/>
              </w:rPr>
              <w:t>孙中亮 </w:t>
            </w:r>
          </w:p>
        </w:tc>
        <w:tc>
          <w:tcPr>
            <w:tcW w:w="2309" w:type="dxa"/>
          </w:tcPr>
          <w:p>
            <w:pPr>
              <w:pStyle w:val="TableParagraph"/>
              <w:tabs>
                <w:tab w:pos="1361" w:val="left" w:leader="none"/>
                <w:tab w:pos="1886" w:val="left" w:leader="none"/>
              </w:tabs>
              <w:spacing w:line="242" w:lineRule="auto" w:before="1"/>
              <w:ind w:left="105" w:right="-15"/>
              <w:rPr>
                <w:sz w:val="21"/>
              </w:rPr>
            </w:pPr>
            <w:r>
              <w:rPr>
                <w:spacing w:val="23"/>
                <w:sz w:val="21"/>
              </w:rPr>
              <w:t>华大</w:t>
            </w:r>
            <w:r>
              <w:rPr>
                <w:spacing w:val="26"/>
                <w:sz w:val="21"/>
              </w:rPr>
              <w:t>北</w:t>
            </w:r>
            <w:r>
              <w:rPr>
                <w:spacing w:val="23"/>
                <w:sz w:val="21"/>
              </w:rPr>
              <w:t>斗科技有</w:t>
            </w:r>
            <w:r>
              <w:rPr>
                <w:spacing w:val="26"/>
                <w:sz w:val="21"/>
              </w:rPr>
              <w:t>限</w:t>
            </w:r>
            <w:r>
              <w:rPr>
                <w:sz w:val="21"/>
              </w:rPr>
              <w:t>公司</w:t>
              <w:tab/>
              <w:t>Allystar</w:t>
            </w:r>
            <w:r>
              <w:rPr>
                <w:spacing w:val="1"/>
                <w:sz w:val="21"/>
              </w:rPr>
              <w:t> </w:t>
            </w:r>
            <w:r>
              <w:rPr>
                <w:sz w:val="21"/>
              </w:rPr>
              <w:t>Technology</w:t>
              <w:tab/>
              <w:tab/>
              <w:t>Co. </w:t>
            </w:r>
          </w:p>
          <w:p>
            <w:pPr>
              <w:pStyle w:val="TableParagraph"/>
              <w:spacing w:line="252" w:lineRule="exact"/>
              <w:ind w:left="105"/>
              <w:rPr>
                <w:sz w:val="21"/>
              </w:rPr>
            </w:pPr>
            <w:r>
              <w:rPr>
                <w:sz w:val="21"/>
              </w:rPr>
              <w:t>Limited </w:t>
            </w:r>
          </w:p>
        </w:tc>
        <w:tc>
          <w:tcPr>
            <w:tcW w:w="1754" w:type="dxa"/>
          </w:tcPr>
          <w:p>
            <w:pPr>
              <w:pStyle w:val="TableParagraph"/>
              <w:rPr>
                <w:sz w:val="20"/>
              </w:rPr>
            </w:pPr>
          </w:p>
          <w:p>
            <w:pPr>
              <w:pStyle w:val="TableParagraph"/>
              <w:spacing w:before="152"/>
              <w:ind w:left="179" w:right="62"/>
              <w:jc w:val="center"/>
              <w:rPr>
                <w:sz w:val="21"/>
              </w:rPr>
            </w:pPr>
            <w:r>
              <w:rPr>
                <w:sz w:val="21"/>
              </w:rPr>
              <w:t>董事 </w:t>
            </w:r>
          </w:p>
        </w:tc>
        <w:tc>
          <w:tcPr>
            <w:tcW w:w="1502" w:type="dxa"/>
          </w:tcPr>
          <w:p>
            <w:pPr>
              <w:pStyle w:val="TableParagraph"/>
              <w:rPr>
                <w:sz w:val="20"/>
              </w:rPr>
            </w:pPr>
          </w:p>
          <w:p>
            <w:pPr>
              <w:pStyle w:val="TableParagraph"/>
              <w:spacing w:before="152"/>
              <w:ind w:right="105"/>
              <w:jc w:val="right"/>
              <w:rPr>
                <w:sz w:val="21"/>
              </w:rPr>
            </w:pPr>
            <w:r>
              <w:rPr>
                <w:sz w:val="21"/>
              </w:rPr>
              <w:t>2017/01/17 </w:t>
            </w:r>
          </w:p>
        </w:tc>
        <w:tc>
          <w:tcPr>
            <w:tcW w:w="1509" w:type="dxa"/>
          </w:tcPr>
          <w:p>
            <w:pPr>
              <w:pStyle w:val="TableParagraph"/>
              <w:rPr>
                <w:sz w:val="20"/>
              </w:rPr>
            </w:pPr>
          </w:p>
          <w:p>
            <w:pPr>
              <w:pStyle w:val="TableParagraph"/>
              <w:spacing w:before="152"/>
              <w:ind w:left="546"/>
              <w:rPr>
                <w:sz w:val="21"/>
              </w:rPr>
            </w:pPr>
            <w:r>
              <w:rPr>
                <w:sz w:val="21"/>
              </w:rPr>
              <w:t>至今 </w:t>
            </w:r>
          </w:p>
        </w:tc>
      </w:tr>
      <w:tr>
        <w:trPr>
          <w:trHeight w:val="816" w:hRule="atLeast"/>
        </w:trPr>
        <w:tc>
          <w:tcPr>
            <w:tcW w:w="1747" w:type="dxa"/>
          </w:tcPr>
          <w:p>
            <w:pPr>
              <w:pStyle w:val="TableParagraph"/>
              <w:spacing w:before="3"/>
              <w:rPr>
                <w:sz w:val="21"/>
              </w:rPr>
            </w:pPr>
          </w:p>
          <w:p>
            <w:pPr>
              <w:pStyle w:val="TableParagraph"/>
              <w:ind w:right="441"/>
              <w:jc w:val="right"/>
              <w:rPr>
                <w:sz w:val="21"/>
              </w:rPr>
            </w:pPr>
            <w:r>
              <w:rPr>
                <w:sz w:val="21"/>
              </w:rPr>
              <w:t>孙中亮 </w:t>
            </w:r>
          </w:p>
        </w:tc>
        <w:tc>
          <w:tcPr>
            <w:tcW w:w="2309" w:type="dxa"/>
          </w:tcPr>
          <w:p>
            <w:pPr>
              <w:pStyle w:val="TableParagraph"/>
              <w:spacing w:line="242" w:lineRule="auto" w:before="1"/>
              <w:ind w:left="105" w:right="-15"/>
              <w:rPr>
                <w:sz w:val="21"/>
              </w:rPr>
            </w:pPr>
            <w:r>
              <w:rPr>
                <w:spacing w:val="-26"/>
                <w:sz w:val="21"/>
              </w:rPr>
              <w:t>航 芯 信 息 有 限 公 司</w:t>
            </w:r>
            <w:r>
              <w:rPr>
                <w:sz w:val="21"/>
              </w:rPr>
              <w:t>Allystar</w:t>
            </w:r>
            <w:r>
              <w:rPr>
                <w:spacing w:val="-9"/>
                <w:sz w:val="21"/>
              </w:rPr>
              <w:t> </w:t>
            </w:r>
            <w:r>
              <w:rPr>
                <w:sz w:val="21"/>
              </w:rPr>
              <w:t>Information </w:t>
            </w:r>
          </w:p>
          <w:p>
            <w:pPr>
              <w:pStyle w:val="TableParagraph"/>
              <w:spacing w:line="250" w:lineRule="exact" w:before="2"/>
              <w:ind w:left="105"/>
              <w:rPr>
                <w:sz w:val="21"/>
              </w:rPr>
            </w:pPr>
            <w:r>
              <w:rPr>
                <w:sz w:val="21"/>
              </w:rPr>
              <w:t>Co.</w:t>
            </w:r>
            <w:r>
              <w:rPr>
                <w:spacing w:val="-1"/>
                <w:sz w:val="21"/>
              </w:rPr>
              <w:t> </w:t>
            </w:r>
            <w:r>
              <w:rPr>
                <w:sz w:val="21"/>
              </w:rPr>
              <w:t>Limited </w:t>
            </w:r>
          </w:p>
        </w:tc>
        <w:tc>
          <w:tcPr>
            <w:tcW w:w="1754" w:type="dxa"/>
          </w:tcPr>
          <w:p>
            <w:pPr>
              <w:pStyle w:val="TableParagraph"/>
              <w:spacing w:before="3"/>
              <w:rPr>
                <w:sz w:val="21"/>
              </w:rPr>
            </w:pPr>
          </w:p>
          <w:p>
            <w:pPr>
              <w:pStyle w:val="TableParagraph"/>
              <w:ind w:left="179" w:right="62"/>
              <w:jc w:val="center"/>
              <w:rPr>
                <w:sz w:val="21"/>
              </w:rPr>
            </w:pPr>
            <w:r>
              <w:rPr>
                <w:sz w:val="21"/>
              </w:rPr>
              <w:t>董事 </w:t>
            </w:r>
          </w:p>
        </w:tc>
        <w:tc>
          <w:tcPr>
            <w:tcW w:w="1502" w:type="dxa"/>
          </w:tcPr>
          <w:p>
            <w:pPr>
              <w:pStyle w:val="TableParagraph"/>
              <w:spacing w:before="3"/>
              <w:rPr>
                <w:sz w:val="21"/>
              </w:rPr>
            </w:pPr>
          </w:p>
          <w:p>
            <w:pPr>
              <w:pStyle w:val="TableParagraph"/>
              <w:ind w:right="105"/>
              <w:jc w:val="right"/>
              <w:rPr>
                <w:sz w:val="21"/>
              </w:rPr>
            </w:pPr>
            <w:r>
              <w:rPr>
                <w:sz w:val="21"/>
              </w:rPr>
              <w:t>2020/11/23 </w:t>
            </w:r>
          </w:p>
        </w:tc>
        <w:tc>
          <w:tcPr>
            <w:tcW w:w="1509" w:type="dxa"/>
          </w:tcPr>
          <w:p>
            <w:pPr>
              <w:pStyle w:val="TableParagraph"/>
              <w:spacing w:before="3"/>
              <w:rPr>
                <w:sz w:val="21"/>
              </w:rPr>
            </w:pPr>
          </w:p>
          <w:p>
            <w:pPr>
              <w:pStyle w:val="TableParagraph"/>
              <w:ind w:left="546"/>
              <w:rPr>
                <w:sz w:val="21"/>
              </w:rPr>
            </w:pPr>
            <w:r>
              <w:rPr>
                <w:sz w:val="21"/>
              </w:rPr>
              <w:t>至今 </w:t>
            </w:r>
          </w:p>
        </w:tc>
      </w:tr>
      <w:tr>
        <w:trPr>
          <w:trHeight w:val="1089" w:hRule="atLeast"/>
        </w:trPr>
        <w:tc>
          <w:tcPr>
            <w:tcW w:w="1747" w:type="dxa"/>
          </w:tcPr>
          <w:p>
            <w:pPr>
              <w:pStyle w:val="TableParagraph"/>
              <w:rPr>
                <w:sz w:val="20"/>
              </w:rPr>
            </w:pPr>
          </w:p>
          <w:p>
            <w:pPr>
              <w:pStyle w:val="TableParagraph"/>
              <w:spacing w:before="155"/>
              <w:ind w:right="441"/>
              <w:jc w:val="right"/>
              <w:rPr>
                <w:sz w:val="21"/>
              </w:rPr>
            </w:pPr>
            <w:r>
              <w:rPr>
                <w:sz w:val="21"/>
              </w:rPr>
              <w:t>孙中亮 </w:t>
            </w:r>
          </w:p>
        </w:tc>
        <w:tc>
          <w:tcPr>
            <w:tcW w:w="2309" w:type="dxa"/>
          </w:tcPr>
          <w:p>
            <w:pPr>
              <w:pStyle w:val="TableParagraph"/>
              <w:spacing w:line="242" w:lineRule="auto" w:before="1"/>
              <w:ind w:left="105" w:right="94"/>
              <w:jc w:val="both"/>
              <w:rPr>
                <w:sz w:val="21"/>
              </w:rPr>
            </w:pPr>
            <w:r>
              <w:rPr>
                <w:spacing w:val="20"/>
                <w:sz w:val="21"/>
              </w:rPr>
              <w:t>上海航淇信息科技有</w:t>
            </w:r>
            <w:r>
              <w:rPr>
                <w:sz w:val="21"/>
              </w:rPr>
              <w:t>限公司(曾用名：厦门</w:t>
            </w:r>
            <w:r>
              <w:rPr>
                <w:spacing w:val="20"/>
                <w:sz w:val="21"/>
              </w:rPr>
              <w:t>芯航信息科技有限公</w:t>
            </w:r>
          </w:p>
          <w:p>
            <w:pPr>
              <w:pStyle w:val="TableParagraph"/>
              <w:spacing w:line="250" w:lineRule="exact" w:before="3"/>
              <w:ind w:left="105"/>
              <w:rPr>
                <w:sz w:val="21"/>
              </w:rPr>
            </w:pPr>
            <w:r>
              <w:rPr>
                <w:sz w:val="21"/>
              </w:rPr>
              <w:t>司） </w:t>
            </w:r>
          </w:p>
        </w:tc>
        <w:tc>
          <w:tcPr>
            <w:tcW w:w="1754" w:type="dxa"/>
          </w:tcPr>
          <w:p>
            <w:pPr>
              <w:pStyle w:val="TableParagraph"/>
              <w:spacing w:before="5"/>
              <w:rPr>
                <w:sz w:val="21"/>
              </w:rPr>
            </w:pPr>
          </w:p>
          <w:p>
            <w:pPr>
              <w:pStyle w:val="TableParagraph"/>
              <w:spacing w:line="242" w:lineRule="auto"/>
              <w:ind w:left="667" w:right="286" w:hanging="265"/>
              <w:rPr>
                <w:sz w:val="21"/>
              </w:rPr>
            </w:pPr>
            <w:r>
              <w:rPr>
                <w:sz w:val="21"/>
              </w:rPr>
              <w:t>执行董事,</w:t>
            </w:r>
            <w:r>
              <w:rPr>
                <w:spacing w:val="1"/>
                <w:sz w:val="21"/>
              </w:rPr>
              <w:t> </w:t>
            </w:r>
            <w:r>
              <w:rPr>
                <w:sz w:val="21"/>
              </w:rPr>
              <w:t>经理 </w:t>
            </w:r>
          </w:p>
        </w:tc>
        <w:tc>
          <w:tcPr>
            <w:tcW w:w="1502" w:type="dxa"/>
          </w:tcPr>
          <w:p>
            <w:pPr>
              <w:pStyle w:val="TableParagraph"/>
              <w:rPr>
                <w:sz w:val="20"/>
              </w:rPr>
            </w:pPr>
          </w:p>
          <w:p>
            <w:pPr>
              <w:pStyle w:val="TableParagraph"/>
              <w:spacing w:before="155"/>
              <w:ind w:right="105"/>
              <w:jc w:val="right"/>
              <w:rPr>
                <w:sz w:val="21"/>
              </w:rPr>
            </w:pPr>
            <w:r>
              <w:rPr>
                <w:sz w:val="21"/>
              </w:rPr>
              <w:t>2021/01/25 </w:t>
            </w:r>
          </w:p>
        </w:tc>
        <w:tc>
          <w:tcPr>
            <w:tcW w:w="1509" w:type="dxa"/>
          </w:tcPr>
          <w:p>
            <w:pPr>
              <w:pStyle w:val="TableParagraph"/>
              <w:rPr>
                <w:sz w:val="20"/>
              </w:rPr>
            </w:pPr>
          </w:p>
          <w:p>
            <w:pPr>
              <w:pStyle w:val="TableParagraph"/>
              <w:spacing w:before="155"/>
              <w:ind w:left="546"/>
              <w:rPr>
                <w:sz w:val="21"/>
              </w:rPr>
            </w:pPr>
            <w:r>
              <w:rPr>
                <w:sz w:val="21"/>
              </w:rPr>
              <w:t>至今 </w:t>
            </w:r>
          </w:p>
        </w:tc>
      </w:tr>
      <w:tr>
        <w:trPr>
          <w:trHeight w:val="544" w:hRule="atLeast"/>
        </w:trPr>
        <w:tc>
          <w:tcPr>
            <w:tcW w:w="1747" w:type="dxa"/>
          </w:tcPr>
          <w:p>
            <w:pPr>
              <w:pStyle w:val="TableParagraph"/>
              <w:spacing w:before="138"/>
              <w:ind w:right="441"/>
              <w:jc w:val="right"/>
              <w:rPr>
                <w:sz w:val="21"/>
              </w:rPr>
            </w:pPr>
            <w:r>
              <w:rPr>
                <w:sz w:val="21"/>
              </w:rPr>
              <w:t>孙中亮 </w:t>
            </w:r>
          </w:p>
        </w:tc>
        <w:tc>
          <w:tcPr>
            <w:tcW w:w="2309" w:type="dxa"/>
          </w:tcPr>
          <w:p>
            <w:pPr>
              <w:pStyle w:val="TableParagraph"/>
              <w:spacing w:before="1"/>
              <w:ind w:left="105"/>
              <w:rPr>
                <w:sz w:val="21"/>
              </w:rPr>
            </w:pPr>
            <w:r>
              <w:rPr>
                <w:spacing w:val="21"/>
                <w:sz w:val="21"/>
              </w:rPr>
              <w:t>芯航信息 </w:t>
            </w:r>
            <w:r>
              <w:rPr>
                <w:sz w:val="21"/>
              </w:rPr>
              <w:t>（</w:t>
            </w:r>
            <w:r>
              <w:rPr>
                <w:spacing w:val="-2"/>
                <w:sz w:val="21"/>
              </w:rPr>
              <w:t>深圳) 有</w:t>
            </w:r>
          </w:p>
          <w:p>
            <w:pPr>
              <w:pStyle w:val="TableParagraph"/>
              <w:spacing w:line="250" w:lineRule="exact" w:before="4"/>
              <w:ind w:left="105"/>
              <w:rPr>
                <w:sz w:val="21"/>
              </w:rPr>
            </w:pPr>
            <w:r>
              <w:rPr>
                <w:sz w:val="21"/>
              </w:rPr>
              <w:t>限公司 </w:t>
            </w:r>
          </w:p>
        </w:tc>
        <w:tc>
          <w:tcPr>
            <w:tcW w:w="1754" w:type="dxa"/>
          </w:tcPr>
          <w:p>
            <w:pPr>
              <w:pStyle w:val="TableParagraph"/>
              <w:spacing w:before="1"/>
              <w:ind w:left="176" w:right="62"/>
              <w:jc w:val="center"/>
              <w:rPr>
                <w:sz w:val="21"/>
              </w:rPr>
            </w:pPr>
            <w:r>
              <w:rPr>
                <w:spacing w:val="-1"/>
                <w:sz w:val="21"/>
              </w:rPr>
              <w:t>执行董事,</w:t>
            </w:r>
            <w:r>
              <w:rPr>
                <w:sz w:val="21"/>
              </w:rPr>
              <w:t> </w:t>
            </w:r>
          </w:p>
          <w:p>
            <w:pPr>
              <w:pStyle w:val="TableParagraph"/>
              <w:spacing w:line="250" w:lineRule="exact" w:before="4"/>
              <w:ind w:left="179" w:right="62"/>
              <w:jc w:val="center"/>
              <w:rPr>
                <w:sz w:val="21"/>
              </w:rPr>
            </w:pPr>
            <w:r>
              <w:rPr>
                <w:sz w:val="21"/>
              </w:rPr>
              <w:t>总经理 </w:t>
            </w:r>
          </w:p>
        </w:tc>
        <w:tc>
          <w:tcPr>
            <w:tcW w:w="1502" w:type="dxa"/>
          </w:tcPr>
          <w:p>
            <w:pPr>
              <w:pStyle w:val="TableParagraph"/>
              <w:spacing w:before="138"/>
              <w:ind w:right="105"/>
              <w:jc w:val="right"/>
              <w:rPr>
                <w:sz w:val="21"/>
              </w:rPr>
            </w:pPr>
            <w:r>
              <w:rPr>
                <w:sz w:val="21"/>
              </w:rPr>
              <w:t>2021/07/02 </w:t>
            </w:r>
          </w:p>
        </w:tc>
        <w:tc>
          <w:tcPr>
            <w:tcW w:w="1509" w:type="dxa"/>
          </w:tcPr>
          <w:p>
            <w:pPr>
              <w:pStyle w:val="TableParagraph"/>
              <w:spacing w:before="138"/>
              <w:ind w:left="546"/>
              <w:rPr>
                <w:sz w:val="21"/>
              </w:rPr>
            </w:pPr>
            <w:r>
              <w:rPr>
                <w:sz w:val="21"/>
              </w:rPr>
              <w:t>至今 </w:t>
            </w:r>
          </w:p>
        </w:tc>
      </w:tr>
      <w:tr>
        <w:trPr>
          <w:trHeight w:val="546" w:hRule="atLeast"/>
        </w:trPr>
        <w:tc>
          <w:tcPr>
            <w:tcW w:w="1747" w:type="dxa"/>
          </w:tcPr>
          <w:p>
            <w:pPr>
              <w:pStyle w:val="TableParagraph"/>
              <w:spacing w:before="138"/>
              <w:ind w:right="441"/>
              <w:jc w:val="right"/>
              <w:rPr>
                <w:sz w:val="21"/>
              </w:rPr>
            </w:pPr>
            <w:r>
              <w:rPr>
                <w:sz w:val="21"/>
              </w:rPr>
              <w:t>孙中亮 </w:t>
            </w:r>
          </w:p>
        </w:tc>
        <w:tc>
          <w:tcPr>
            <w:tcW w:w="2309" w:type="dxa"/>
          </w:tcPr>
          <w:p>
            <w:pPr>
              <w:pStyle w:val="TableParagraph"/>
              <w:spacing w:line="270" w:lineRule="atLeast"/>
              <w:ind w:left="105" w:right="95"/>
              <w:rPr>
                <w:sz w:val="21"/>
              </w:rPr>
            </w:pPr>
            <w:r>
              <w:rPr>
                <w:spacing w:val="20"/>
                <w:sz w:val="21"/>
              </w:rPr>
              <w:t>富士康工业互联网股</w:t>
            </w:r>
            <w:r>
              <w:rPr>
                <w:sz w:val="21"/>
              </w:rPr>
              <w:t>份有限公司 </w:t>
            </w:r>
          </w:p>
        </w:tc>
        <w:tc>
          <w:tcPr>
            <w:tcW w:w="1754" w:type="dxa"/>
          </w:tcPr>
          <w:p>
            <w:pPr>
              <w:pStyle w:val="TableParagraph"/>
              <w:spacing w:before="138"/>
              <w:ind w:left="177" w:right="62"/>
              <w:jc w:val="center"/>
              <w:rPr>
                <w:sz w:val="21"/>
              </w:rPr>
            </w:pPr>
            <w:r>
              <w:rPr>
                <w:spacing w:val="-1"/>
                <w:sz w:val="21"/>
              </w:rPr>
              <w:t>独立董事</w:t>
            </w:r>
            <w:r>
              <w:rPr>
                <w:sz w:val="21"/>
              </w:rPr>
              <w:t> </w:t>
            </w:r>
          </w:p>
        </w:tc>
        <w:tc>
          <w:tcPr>
            <w:tcW w:w="1502" w:type="dxa"/>
          </w:tcPr>
          <w:p>
            <w:pPr>
              <w:pStyle w:val="TableParagraph"/>
              <w:spacing w:before="138"/>
              <w:ind w:right="105"/>
              <w:jc w:val="right"/>
              <w:rPr>
                <w:sz w:val="21"/>
              </w:rPr>
            </w:pPr>
            <w:r>
              <w:rPr>
                <w:sz w:val="21"/>
              </w:rPr>
              <w:t>2017/12/06 </w:t>
            </w:r>
          </w:p>
        </w:tc>
        <w:tc>
          <w:tcPr>
            <w:tcW w:w="1509" w:type="dxa"/>
          </w:tcPr>
          <w:p>
            <w:pPr>
              <w:pStyle w:val="TableParagraph"/>
              <w:spacing w:before="138"/>
              <w:ind w:left="546"/>
              <w:rPr>
                <w:sz w:val="21"/>
              </w:rPr>
            </w:pPr>
            <w:r>
              <w:rPr>
                <w:sz w:val="21"/>
              </w:rPr>
              <w:t>至今 </w:t>
            </w:r>
          </w:p>
        </w:tc>
      </w:tr>
      <w:tr>
        <w:trPr>
          <w:trHeight w:val="544" w:hRule="atLeast"/>
        </w:trPr>
        <w:tc>
          <w:tcPr>
            <w:tcW w:w="1747" w:type="dxa"/>
          </w:tcPr>
          <w:p>
            <w:pPr>
              <w:pStyle w:val="TableParagraph"/>
              <w:spacing w:before="135"/>
              <w:ind w:right="441"/>
              <w:jc w:val="right"/>
              <w:rPr>
                <w:sz w:val="21"/>
              </w:rPr>
            </w:pPr>
            <w:r>
              <w:rPr>
                <w:sz w:val="21"/>
              </w:rPr>
              <w:t>孙中亮 </w:t>
            </w:r>
          </w:p>
        </w:tc>
        <w:tc>
          <w:tcPr>
            <w:tcW w:w="2309" w:type="dxa"/>
          </w:tcPr>
          <w:p>
            <w:pPr>
              <w:pStyle w:val="TableParagraph"/>
              <w:spacing w:before="1"/>
              <w:ind w:left="105"/>
              <w:rPr>
                <w:sz w:val="21"/>
              </w:rPr>
            </w:pPr>
            <w:r>
              <w:rPr>
                <w:spacing w:val="20"/>
                <w:sz w:val="21"/>
              </w:rPr>
              <w:t>深圳和而泰智能控制</w:t>
            </w:r>
          </w:p>
          <w:p>
            <w:pPr>
              <w:pStyle w:val="TableParagraph"/>
              <w:spacing w:line="252" w:lineRule="exact" w:before="2"/>
              <w:ind w:left="105"/>
              <w:rPr>
                <w:sz w:val="21"/>
              </w:rPr>
            </w:pPr>
            <w:r>
              <w:rPr>
                <w:spacing w:val="-1"/>
                <w:sz w:val="21"/>
              </w:rPr>
              <w:t>股份有限公司</w:t>
            </w:r>
            <w:r>
              <w:rPr>
                <w:sz w:val="21"/>
              </w:rPr>
              <w:t> </w:t>
            </w:r>
          </w:p>
        </w:tc>
        <w:tc>
          <w:tcPr>
            <w:tcW w:w="1754" w:type="dxa"/>
          </w:tcPr>
          <w:p>
            <w:pPr>
              <w:pStyle w:val="TableParagraph"/>
              <w:spacing w:before="135"/>
              <w:ind w:left="177" w:right="62"/>
              <w:jc w:val="center"/>
              <w:rPr>
                <w:sz w:val="21"/>
              </w:rPr>
            </w:pPr>
            <w:r>
              <w:rPr>
                <w:spacing w:val="-1"/>
                <w:sz w:val="21"/>
              </w:rPr>
              <w:t>独立董事</w:t>
            </w:r>
            <w:r>
              <w:rPr>
                <w:sz w:val="21"/>
              </w:rPr>
              <w:t> </w:t>
            </w:r>
          </w:p>
        </w:tc>
        <w:tc>
          <w:tcPr>
            <w:tcW w:w="1502" w:type="dxa"/>
          </w:tcPr>
          <w:p>
            <w:pPr>
              <w:pStyle w:val="TableParagraph"/>
              <w:spacing w:before="135"/>
              <w:ind w:right="105"/>
              <w:jc w:val="right"/>
              <w:rPr>
                <w:sz w:val="21"/>
              </w:rPr>
            </w:pPr>
            <w:r>
              <w:rPr>
                <w:sz w:val="21"/>
              </w:rPr>
              <w:t>2019/11/14 </w:t>
            </w:r>
          </w:p>
        </w:tc>
        <w:tc>
          <w:tcPr>
            <w:tcW w:w="1509" w:type="dxa"/>
          </w:tcPr>
          <w:p>
            <w:pPr>
              <w:pStyle w:val="TableParagraph"/>
              <w:spacing w:before="135"/>
              <w:ind w:left="546"/>
              <w:rPr>
                <w:sz w:val="21"/>
              </w:rPr>
            </w:pPr>
            <w:r>
              <w:rPr>
                <w:sz w:val="21"/>
              </w:rPr>
              <w:t>至今 </w:t>
            </w:r>
          </w:p>
        </w:tc>
      </w:tr>
      <w:tr>
        <w:trPr>
          <w:trHeight w:val="544" w:hRule="atLeast"/>
        </w:trPr>
        <w:tc>
          <w:tcPr>
            <w:tcW w:w="1747" w:type="dxa"/>
          </w:tcPr>
          <w:p>
            <w:pPr>
              <w:pStyle w:val="TableParagraph"/>
              <w:spacing w:before="138"/>
              <w:ind w:right="441"/>
              <w:jc w:val="right"/>
              <w:rPr>
                <w:sz w:val="21"/>
              </w:rPr>
            </w:pPr>
            <w:r>
              <w:rPr>
                <w:sz w:val="21"/>
              </w:rPr>
              <w:t>胡国辉 </w:t>
            </w:r>
          </w:p>
        </w:tc>
        <w:tc>
          <w:tcPr>
            <w:tcW w:w="2309" w:type="dxa"/>
          </w:tcPr>
          <w:p>
            <w:pPr>
              <w:pStyle w:val="TableParagraph"/>
              <w:spacing w:before="1"/>
              <w:ind w:left="105"/>
              <w:rPr>
                <w:sz w:val="21"/>
              </w:rPr>
            </w:pPr>
            <w:r>
              <w:rPr>
                <w:spacing w:val="20"/>
                <w:sz w:val="21"/>
              </w:rPr>
              <w:t>嘉兴爱锋派商贸有限</w:t>
            </w:r>
          </w:p>
          <w:p>
            <w:pPr>
              <w:pStyle w:val="TableParagraph"/>
              <w:spacing w:line="252" w:lineRule="exact" w:before="2"/>
              <w:ind w:left="105"/>
              <w:rPr>
                <w:sz w:val="21"/>
              </w:rPr>
            </w:pPr>
            <w:r>
              <w:rPr>
                <w:sz w:val="21"/>
              </w:rPr>
              <w:t>公司 </w:t>
            </w:r>
          </w:p>
        </w:tc>
        <w:tc>
          <w:tcPr>
            <w:tcW w:w="1754" w:type="dxa"/>
          </w:tcPr>
          <w:p>
            <w:pPr>
              <w:pStyle w:val="TableParagraph"/>
              <w:spacing w:before="138"/>
              <w:ind w:left="179" w:right="62"/>
              <w:jc w:val="center"/>
              <w:rPr>
                <w:sz w:val="21"/>
              </w:rPr>
            </w:pPr>
            <w:r>
              <w:rPr>
                <w:sz w:val="21"/>
              </w:rPr>
              <w:t>董事长 </w:t>
            </w:r>
          </w:p>
        </w:tc>
        <w:tc>
          <w:tcPr>
            <w:tcW w:w="1502" w:type="dxa"/>
          </w:tcPr>
          <w:p>
            <w:pPr>
              <w:pStyle w:val="TableParagraph"/>
              <w:spacing w:before="138"/>
              <w:ind w:left="118"/>
              <w:jc w:val="center"/>
              <w:rPr>
                <w:sz w:val="21"/>
              </w:rPr>
            </w:pPr>
            <w:r>
              <w:rPr>
                <w:w w:val="100"/>
                <w:sz w:val="21"/>
              </w:rPr>
              <w:t> </w:t>
            </w:r>
          </w:p>
        </w:tc>
        <w:tc>
          <w:tcPr>
            <w:tcW w:w="1509" w:type="dxa"/>
          </w:tcPr>
          <w:p>
            <w:pPr>
              <w:pStyle w:val="TableParagraph"/>
              <w:spacing w:before="138"/>
              <w:ind w:left="118"/>
              <w:jc w:val="center"/>
              <w:rPr>
                <w:sz w:val="21"/>
              </w:rPr>
            </w:pPr>
            <w:r>
              <w:rPr>
                <w:w w:val="100"/>
                <w:sz w:val="21"/>
              </w:rPr>
              <w:t> </w:t>
            </w:r>
          </w:p>
        </w:tc>
      </w:tr>
      <w:tr>
        <w:trPr>
          <w:trHeight w:val="544" w:hRule="atLeast"/>
        </w:trPr>
        <w:tc>
          <w:tcPr>
            <w:tcW w:w="1747" w:type="dxa"/>
          </w:tcPr>
          <w:p>
            <w:pPr>
              <w:pStyle w:val="TableParagraph"/>
              <w:spacing w:before="137"/>
              <w:ind w:right="441"/>
              <w:jc w:val="right"/>
              <w:rPr>
                <w:sz w:val="21"/>
              </w:rPr>
            </w:pPr>
            <w:r>
              <w:rPr>
                <w:sz w:val="21"/>
              </w:rPr>
              <w:t>胡国辉 </w:t>
            </w:r>
          </w:p>
        </w:tc>
        <w:tc>
          <w:tcPr>
            <w:tcW w:w="2309" w:type="dxa"/>
          </w:tcPr>
          <w:p>
            <w:pPr>
              <w:pStyle w:val="TableParagraph"/>
              <w:spacing w:before="1"/>
              <w:ind w:left="105"/>
              <w:rPr>
                <w:sz w:val="21"/>
              </w:rPr>
            </w:pPr>
            <w:r>
              <w:rPr>
                <w:spacing w:val="20"/>
                <w:sz w:val="21"/>
              </w:rPr>
              <w:t>上海旺辉商贸有限公</w:t>
            </w:r>
          </w:p>
          <w:p>
            <w:pPr>
              <w:pStyle w:val="TableParagraph"/>
              <w:spacing w:line="252" w:lineRule="exact" w:before="2"/>
              <w:ind w:left="105"/>
              <w:rPr>
                <w:sz w:val="21"/>
              </w:rPr>
            </w:pPr>
            <w:r>
              <w:rPr>
                <w:sz w:val="21"/>
              </w:rPr>
              <w:t>司 </w:t>
            </w:r>
          </w:p>
        </w:tc>
        <w:tc>
          <w:tcPr>
            <w:tcW w:w="1754" w:type="dxa"/>
          </w:tcPr>
          <w:p>
            <w:pPr>
              <w:pStyle w:val="TableParagraph"/>
              <w:spacing w:before="137"/>
              <w:ind w:left="179" w:right="62"/>
              <w:jc w:val="center"/>
              <w:rPr>
                <w:sz w:val="21"/>
              </w:rPr>
            </w:pPr>
            <w:r>
              <w:rPr>
                <w:sz w:val="21"/>
              </w:rPr>
              <w:t>董事长 </w:t>
            </w:r>
          </w:p>
        </w:tc>
        <w:tc>
          <w:tcPr>
            <w:tcW w:w="1502" w:type="dxa"/>
          </w:tcPr>
          <w:p>
            <w:pPr>
              <w:pStyle w:val="TableParagraph"/>
              <w:spacing w:before="137"/>
              <w:ind w:left="118"/>
              <w:jc w:val="center"/>
              <w:rPr>
                <w:sz w:val="21"/>
              </w:rPr>
            </w:pPr>
            <w:r>
              <w:rPr>
                <w:w w:val="100"/>
                <w:sz w:val="21"/>
              </w:rPr>
              <w:t> </w:t>
            </w:r>
          </w:p>
        </w:tc>
        <w:tc>
          <w:tcPr>
            <w:tcW w:w="1509" w:type="dxa"/>
          </w:tcPr>
          <w:p>
            <w:pPr>
              <w:pStyle w:val="TableParagraph"/>
              <w:spacing w:before="137"/>
              <w:ind w:left="118"/>
              <w:jc w:val="center"/>
              <w:rPr>
                <w:sz w:val="21"/>
              </w:rPr>
            </w:pPr>
            <w:r>
              <w:rPr>
                <w:w w:val="100"/>
                <w:sz w:val="21"/>
              </w:rPr>
              <w:t> </w:t>
            </w:r>
          </w:p>
        </w:tc>
      </w:tr>
      <w:tr>
        <w:trPr>
          <w:trHeight w:val="544" w:hRule="atLeast"/>
        </w:trPr>
        <w:tc>
          <w:tcPr>
            <w:tcW w:w="1747" w:type="dxa"/>
          </w:tcPr>
          <w:p>
            <w:pPr>
              <w:pStyle w:val="TableParagraph"/>
              <w:spacing w:before="138"/>
              <w:ind w:right="441"/>
              <w:jc w:val="right"/>
              <w:rPr>
                <w:sz w:val="21"/>
              </w:rPr>
            </w:pPr>
            <w:r>
              <w:rPr>
                <w:sz w:val="21"/>
              </w:rPr>
              <w:t>胡国辉 </w:t>
            </w:r>
          </w:p>
        </w:tc>
        <w:tc>
          <w:tcPr>
            <w:tcW w:w="2309" w:type="dxa"/>
          </w:tcPr>
          <w:p>
            <w:pPr>
              <w:pStyle w:val="TableParagraph"/>
              <w:spacing w:before="1"/>
              <w:ind w:left="105"/>
              <w:rPr>
                <w:sz w:val="21"/>
              </w:rPr>
            </w:pPr>
            <w:r>
              <w:rPr>
                <w:spacing w:val="20"/>
                <w:sz w:val="21"/>
              </w:rPr>
              <w:t>嘉兴智谐商贸有限公</w:t>
            </w:r>
          </w:p>
          <w:p>
            <w:pPr>
              <w:pStyle w:val="TableParagraph"/>
              <w:spacing w:line="250" w:lineRule="exact" w:before="4"/>
              <w:ind w:left="105"/>
              <w:rPr>
                <w:sz w:val="21"/>
              </w:rPr>
            </w:pPr>
            <w:r>
              <w:rPr>
                <w:sz w:val="21"/>
              </w:rPr>
              <w:t>司 </w:t>
            </w:r>
          </w:p>
        </w:tc>
        <w:tc>
          <w:tcPr>
            <w:tcW w:w="1754" w:type="dxa"/>
          </w:tcPr>
          <w:p>
            <w:pPr>
              <w:pStyle w:val="TableParagraph"/>
              <w:spacing w:before="138"/>
              <w:ind w:left="179" w:right="62"/>
              <w:jc w:val="center"/>
              <w:rPr>
                <w:sz w:val="21"/>
              </w:rPr>
            </w:pPr>
            <w:r>
              <w:rPr>
                <w:sz w:val="21"/>
              </w:rPr>
              <w:t>董事长 </w:t>
            </w:r>
          </w:p>
        </w:tc>
        <w:tc>
          <w:tcPr>
            <w:tcW w:w="1502" w:type="dxa"/>
          </w:tcPr>
          <w:p>
            <w:pPr>
              <w:pStyle w:val="TableParagraph"/>
              <w:spacing w:before="138"/>
              <w:ind w:left="118"/>
              <w:jc w:val="center"/>
              <w:rPr>
                <w:sz w:val="21"/>
              </w:rPr>
            </w:pPr>
            <w:r>
              <w:rPr>
                <w:w w:val="100"/>
                <w:sz w:val="21"/>
              </w:rPr>
              <w:t> </w:t>
            </w:r>
          </w:p>
        </w:tc>
        <w:tc>
          <w:tcPr>
            <w:tcW w:w="1509" w:type="dxa"/>
          </w:tcPr>
          <w:p>
            <w:pPr>
              <w:pStyle w:val="TableParagraph"/>
              <w:spacing w:before="138"/>
              <w:ind w:left="118"/>
              <w:jc w:val="center"/>
              <w:rPr>
                <w:sz w:val="21"/>
              </w:rPr>
            </w:pPr>
            <w:r>
              <w:rPr>
                <w:w w:val="100"/>
                <w:sz w:val="21"/>
              </w:rPr>
              <w:t> </w:t>
            </w:r>
          </w:p>
        </w:tc>
      </w:tr>
      <w:tr>
        <w:trPr>
          <w:trHeight w:val="544" w:hRule="atLeast"/>
        </w:trPr>
        <w:tc>
          <w:tcPr>
            <w:tcW w:w="1747" w:type="dxa"/>
          </w:tcPr>
          <w:p>
            <w:pPr>
              <w:pStyle w:val="TableParagraph"/>
              <w:spacing w:before="137"/>
              <w:ind w:right="441"/>
              <w:jc w:val="right"/>
              <w:rPr>
                <w:sz w:val="21"/>
              </w:rPr>
            </w:pPr>
            <w:r>
              <w:rPr>
                <w:sz w:val="21"/>
              </w:rPr>
              <w:t>杨飞飞 </w:t>
            </w:r>
          </w:p>
        </w:tc>
        <w:tc>
          <w:tcPr>
            <w:tcW w:w="2309" w:type="dxa"/>
          </w:tcPr>
          <w:p>
            <w:pPr>
              <w:pStyle w:val="TableParagraph"/>
              <w:spacing w:before="1"/>
              <w:ind w:left="105"/>
              <w:rPr>
                <w:sz w:val="21"/>
              </w:rPr>
            </w:pPr>
            <w:r>
              <w:rPr>
                <w:spacing w:val="20"/>
                <w:sz w:val="21"/>
              </w:rPr>
              <w:t>深圳鸿智云创科技有</w:t>
            </w:r>
          </w:p>
          <w:p>
            <w:pPr>
              <w:pStyle w:val="TableParagraph"/>
              <w:spacing w:line="250" w:lineRule="exact" w:before="4"/>
              <w:ind w:left="105"/>
              <w:rPr>
                <w:sz w:val="21"/>
              </w:rPr>
            </w:pPr>
            <w:r>
              <w:rPr>
                <w:sz w:val="21"/>
              </w:rPr>
              <w:t>限公司 </w:t>
            </w:r>
          </w:p>
        </w:tc>
        <w:tc>
          <w:tcPr>
            <w:tcW w:w="1754" w:type="dxa"/>
          </w:tcPr>
          <w:p>
            <w:pPr>
              <w:pStyle w:val="TableParagraph"/>
              <w:spacing w:before="137"/>
              <w:ind w:left="179" w:right="62"/>
              <w:jc w:val="center"/>
              <w:rPr>
                <w:sz w:val="21"/>
              </w:rPr>
            </w:pPr>
            <w:r>
              <w:rPr>
                <w:sz w:val="21"/>
              </w:rPr>
              <w:t>董事 </w:t>
            </w:r>
          </w:p>
        </w:tc>
        <w:tc>
          <w:tcPr>
            <w:tcW w:w="1502" w:type="dxa"/>
          </w:tcPr>
          <w:p>
            <w:pPr>
              <w:pStyle w:val="TableParagraph"/>
              <w:spacing w:before="137"/>
              <w:ind w:right="105"/>
              <w:jc w:val="right"/>
              <w:rPr>
                <w:sz w:val="21"/>
              </w:rPr>
            </w:pPr>
            <w:r>
              <w:rPr>
                <w:sz w:val="21"/>
              </w:rPr>
              <w:t>2018/06/29 </w:t>
            </w:r>
          </w:p>
        </w:tc>
        <w:tc>
          <w:tcPr>
            <w:tcW w:w="1509" w:type="dxa"/>
          </w:tcPr>
          <w:p>
            <w:pPr>
              <w:pStyle w:val="TableParagraph"/>
              <w:spacing w:before="137"/>
              <w:ind w:right="110"/>
              <w:jc w:val="right"/>
              <w:rPr>
                <w:sz w:val="21"/>
              </w:rPr>
            </w:pPr>
            <w:r>
              <w:rPr>
                <w:sz w:val="21"/>
              </w:rPr>
              <w:t>2022/06/28 </w:t>
            </w:r>
          </w:p>
        </w:tc>
      </w:tr>
      <w:tr>
        <w:trPr>
          <w:trHeight w:val="544" w:hRule="atLeast"/>
        </w:trPr>
        <w:tc>
          <w:tcPr>
            <w:tcW w:w="1747" w:type="dxa"/>
          </w:tcPr>
          <w:p>
            <w:pPr>
              <w:pStyle w:val="TableParagraph"/>
              <w:spacing w:before="138"/>
              <w:ind w:right="441"/>
              <w:jc w:val="right"/>
              <w:rPr>
                <w:sz w:val="21"/>
              </w:rPr>
            </w:pPr>
            <w:r>
              <w:rPr>
                <w:sz w:val="21"/>
              </w:rPr>
              <w:t>杨飞飞 </w:t>
            </w:r>
          </w:p>
        </w:tc>
        <w:tc>
          <w:tcPr>
            <w:tcW w:w="2309" w:type="dxa"/>
          </w:tcPr>
          <w:p>
            <w:pPr>
              <w:pStyle w:val="TableParagraph"/>
              <w:spacing w:before="1"/>
              <w:ind w:left="105"/>
              <w:rPr>
                <w:sz w:val="21"/>
              </w:rPr>
            </w:pPr>
            <w:r>
              <w:rPr>
                <w:spacing w:val="20"/>
                <w:sz w:val="21"/>
              </w:rPr>
              <w:t>深圳富联智能制造产</w:t>
            </w:r>
          </w:p>
          <w:p>
            <w:pPr>
              <w:pStyle w:val="TableParagraph"/>
              <w:spacing w:line="250" w:lineRule="exact" w:before="4"/>
              <w:ind w:left="105"/>
              <w:rPr>
                <w:sz w:val="21"/>
              </w:rPr>
            </w:pPr>
            <w:r>
              <w:rPr>
                <w:spacing w:val="-1"/>
                <w:sz w:val="21"/>
              </w:rPr>
              <w:t>业创新中心有限公司</w:t>
            </w:r>
            <w:r>
              <w:rPr>
                <w:sz w:val="21"/>
              </w:rPr>
              <w:t> </w:t>
            </w:r>
          </w:p>
        </w:tc>
        <w:tc>
          <w:tcPr>
            <w:tcW w:w="1754" w:type="dxa"/>
          </w:tcPr>
          <w:p>
            <w:pPr>
              <w:pStyle w:val="TableParagraph"/>
              <w:spacing w:before="138"/>
              <w:ind w:left="179" w:right="62"/>
              <w:jc w:val="center"/>
              <w:rPr>
                <w:sz w:val="21"/>
              </w:rPr>
            </w:pPr>
            <w:r>
              <w:rPr>
                <w:sz w:val="21"/>
              </w:rPr>
              <w:t>董事 </w:t>
            </w:r>
          </w:p>
        </w:tc>
        <w:tc>
          <w:tcPr>
            <w:tcW w:w="1502" w:type="dxa"/>
          </w:tcPr>
          <w:p>
            <w:pPr>
              <w:pStyle w:val="TableParagraph"/>
              <w:spacing w:before="138"/>
              <w:ind w:right="105"/>
              <w:jc w:val="right"/>
              <w:rPr>
                <w:sz w:val="21"/>
              </w:rPr>
            </w:pPr>
            <w:r>
              <w:rPr>
                <w:sz w:val="21"/>
              </w:rPr>
              <w:t>2018/09/30 </w:t>
            </w:r>
          </w:p>
        </w:tc>
        <w:tc>
          <w:tcPr>
            <w:tcW w:w="1509" w:type="dxa"/>
          </w:tcPr>
          <w:p>
            <w:pPr>
              <w:pStyle w:val="TableParagraph"/>
              <w:spacing w:before="138"/>
              <w:ind w:right="110"/>
              <w:jc w:val="right"/>
              <w:rPr>
                <w:sz w:val="21"/>
              </w:rPr>
            </w:pPr>
            <w:r>
              <w:rPr>
                <w:sz w:val="21"/>
              </w:rPr>
              <w:t>2022/08/15 </w:t>
            </w:r>
          </w:p>
        </w:tc>
      </w:tr>
      <w:tr>
        <w:trPr>
          <w:trHeight w:val="273" w:hRule="atLeast"/>
        </w:trPr>
        <w:tc>
          <w:tcPr>
            <w:tcW w:w="1747" w:type="dxa"/>
          </w:tcPr>
          <w:p>
            <w:pPr>
              <w:pStyle w:val="TableParagraph"/>
              <w:spacing w:line="252" w:lineRule="exact" w:before="1"/>
              <w:ind w:right="441"/>
              <w:jc w:val="right"/>
              <w:rPr>
                <w:sz w:val="21"/>
              </w:rPr>
            </w:pPr>
            <w:r>
              <w:rPr>
                <w:sz w:val="21"/>
              </w:rPr>
              <w:t>张占武 </w:t>
            </w:r>
          </w:p>
        </w:tc>
        <w:tc>
          <w:tcPr>
            <w:tcW w:w="2309" w:type="dxa"/>
          </w:tcPr>
          <w:p>
            <w:pPr>
              <w:pStyle w:val="TableParagraph"/>
              <w:spacing w:line="252" w:lineRule="exact" w:before="1"/>
              <w:ind w:left="105"/>
              <w:rPr>
                <w:sz w:val="21"/>
              </w:rPr>
            </w:pPr>
            <w:r>
              <w:rPr>
                <w:spacing w:val="-1"/>
                <w:sz w:val="21"/>
              </w:rPr>
              <w:t>中国劳动学会</w:t>
            </w:r>
            <w:r>
              <w:rPr>
                <w:sz w:val="21"/>
              </w:rPr>
              <w:t> </w:t>
            </w:r>
          </w:p>
        </w:tc>
        <w:tc>
          <w:tcPr>
            <w:tcW w:w="1754" w:type="dxa"/>
          </w:tcPr>
          <w:p>
            <w:pPr>
              <w:pStyle w:val="TableParagraph"/>
              <w:spacing w:line="252" w:lineRule="exact" w:before="1"/>
              <w:ind w:left="179" w:right="62"/>
              <w:jc w:val="center"/>
              <w:rPr>
                <w:sz w:val="21"/>
              </w:rPr>
            </w:pPr>
            <w:r>
              <w:rPr>
                <w:sz w:val="21"/>
              </w:rPr>
              <w:t>副会长 </w:t>
            </w:r>
          </w:p>
        </w:tc>
        <w:tc>
          <w:tcPr>
            <w:tcW w:w="1502" w:type="dxa"/>
          </w:tcPr>
          <w:p>
            <w:pPr>
              <w:pStyle w:val="TableParagraph"/>
              <w:spacing w:line="252" w:lineRule="exact" w:before="1"/>
              <w:ind w:right="105"/>
              <w:jc w:val="right"/>
              <w:rPr>
                <w:sz w:val="21"/>
              </w:rPr>
            </w:pPr>
            <w:r>
              <w:rPr>
                <w:sz w:val="21"/>
              </w:rPr>
              <w:t>2019/06/01 </w:t>
            </w:r>
          </w:p>
        </w:tc>
        <w:tc>
          <w:tcPr>
            <w:tcW w:w="1509" w:type="dxa"/>
          </w:tcPr>
          <w:p>
            <w:pPr>
              <w:pStyle w:val="TableParagraph"/>
              <w:spacing w:line="252" w:lineRule="exact" w:before="1"/>
              <w:ind w:left="118"/>
              <w:jc w:val="center"/>
              <w:rPr>
                <w:sz w:val="21"/>
              </w:rPr>
            </w:pPr>
            <w:r>
              <w:rPr>
                <w:w w:val="100"/>
                <w:sz w:val="21"/>
              </w:rPr>
              <w:t> </w:t>
            </w:r>
          </w:p>
        </w:tc>
      </w:tr>
      <w:tr>
        <w:trPr>
          <w:trHeight w:val="1089" w:hRule="atLeast"/>
        </w:trPr>
        <w:tc>
          <w:tcPr>
            <w:tcW w:w="1747" w:type="dxa"/>
          </w:tcPr>
          <w:p>
            <w:pPr>
              <w:pStyle w:val="TableParagraph"/>
              <w:rPr>
                <w:sz w:val="20"/>
              </w:rPr>
            </w:pPr>
          </w:p>
          <w:p>
            <w:pPr>
              <w:pStyle w:val="TableParagraph"/>
              <w:spacing w:before="152"/>
              <w:ind w:right="441"/>
              <w:jc w:val="right"/>
              <w:rPr>
                <w:sz w:val="21"/>
              </w:rPr>
            </w:pPr>
            <w:r>
              <w:rPr>
                <w:sz w:val="21"/>
              </w:rPr>
              <w:t>张占武 </w:t>
            </w:r>
          </w:p>
        </w:tc>
        <w:tc>
          <w:tcPr>
            <w:tcW w:w="2309" w:type="dxa"/>
          </w:tcPr>
          <w:p>
            <w:pPr>
              <w:pStyle w:val="TableParagraph"/>
              <w:spacing w:line="244" w:lineRule="auto" w:before="1"/>
              <w:ind w:left="105" w:right="88"/>
              <w:rPr>
                <w:sz w:val="21"/>
              </w:rPr>
            </w:pPr>
            <w:r>
              <w:rPr>
                <w:spacing w:val="7"/>
                <w:sz w:val="21"/>
              </w:rPr>
              <w:t>河南大学工商 管理学</w:t>
            </w:r>
            <w:r>
              <w:rPr>
                <w:sz w:val="21"/>
              </w:rPr>
              <w:t>院 </w:t>
            </w:r>
          </w:p>
        </w:tc>
        <w:tc>
          <w:tcPr>
            <w:tcW w:w="1754" w:type="dxa"/>
          </w:tcPr>
          <w:p>
            <w:pPr>
              <w:pStyle w:val="TableParagraph"/>
              <w:spacing w:line="242" w:lineRule="auto" w:before="1"/>
              <w:ind w:left="141" w:right="126"/>
              <w:jc w:val="both"/>
              <w:rPr>
                <w:sz w:val="21"/>
              </w:rPr>
            </w:pPr>
            <w:r>
              <w:rPr>
                <w:sz w:val="21"/>
              </w:rPr>
              <w:t>客座教授、研究生导师、硕士学位评定委员会委</w:t>
            </w:r>
          </w:p>
          <w:p>
            <w:pPr>
              <w:pStyle w:val="TableParagraph"/>
              <w:spacing w:line="252" w:lineRule="exact" w:before="1"/>
              <w:ind w:left="177" w:right="62"/>
              <w:jc w:val="center"/>
              <w:rPr>
                <w:sz w:val="21"/>
              </w:rPr>
            </w:pPr>
            <w:r>
              <w:rPr>
                <w:sz w:val="21"/>
              </w:rPr>
              <w:t>员 </w:t>
            </w:r>
          </w:p>
        </w:tc>
        <w:tc>
          <w:tcPr>
            <w:tcW w:w="1502" w:type="dxa"/>
          </w:tcPr>
          <w:p>
            <w:pPr>
              <w:pStyle w:val="TableParagraph"/>
              <w:rPr>
                <w:sz w:val="20"/>
              </w:rPr>
            </w:pPr>
          </w:p>
          <w:p>
            <w:pPr>
              <w:pStyle w:val="TableParagraph"/>
              <w:spacing w:before="152"/>
              <w:ind w:right="105"/>
              <w:jc w:val="right"/>
              <w:rPr>
                <w:sz w:val="21"/>
              </w:rPr>
            </w:pPr>
            <w:r>
              <w:rPr>
                <w:sz w:val="21"/>
              </w:rPr>
              <w:t>2013/06/01 </w:t>
            </w:r>
          </w:p>
        </w:tc>
        <w:tc>
          <w:tcPr>
            <w:tcW w:w="1509" w:type="dxa"/>
          </w:tcPr>
          <w:p>
            <w:pPr>
              <w:pStyle w:val="TableParagraph"/>
              <w:rPr>
                <w:sz w:val="20"/>
              </w:rPr>
            </w:pPr>
          </w:p>
          <w:p>
            <w:pPr>
              <w:pStyle w:val="TableParagraph"/>
              <w:spacing w:before="152"/>
              <w:ind w:left="118"/>
              <w:jc w:val="center"/>
              <w:rPr>
                <w:sz w:val="21"/>
              </w:rPr>
            </w:pPr>
            <w:r>
              <w:rPr>
                <w:w w:val="100"/>
                <w:sz w:val="21"/>
              </w:rPr>
              <w:t> </w:t>
            </w:r>
          </w:p>
        </w:tc>
      </w:tr>
      <w:tr>
        <w:trPr>
          <w:trHeight w:val="544" w:hRule="atLeast"/>
        </w:trPr>
        <w:tc>
          <w:tcPr>
            <w:tcW w:w="1747" w:type="dxa"/>
          </w:tcPr>
          <w:p>
            <w:pPr>
              <w:pStyle w:val="TableParagraph"/>
              <w:spacing w:before="137"/>
              <w:ind w:right="441"/>
              <w:jc w:val="right"/>
              <w:rPr>
                <w:sz w:val="21"/>
              </w:rPr>
            </w:pPr>
            <w:r>
              <w:rPr>
                <w:sz w:val="21"/>
              </w:rPr>
              <w:t>张占武 </w:t>
            </w:r>
          </w:p>
        </w:tc>
        <w:tc>
          <w:tcPr>
            <w:tcW w:w="2309" w:type="dxa"/>
          </w:tcPr>
          <w:p>
            <w:pPr>
              <w:pStyle w:val="TableParagraph"/>
              <w:spacing w:before="1"/>
              <w:ind w:left="105"/>
              <w:rPr>
                <w:sz w:val="21"/>
              </w:rPr>
            </w:pPr>
            <w:r>
              <w:rPr>
                <w:spacing w:val="9"/>
                <w:sz w:val="21"/>
              </w:rPr>
              <w:t>郑州大学管理 工程学</w:t>
            </w:r>
          </w:p>
          <w:p>
            <w:pPr>
              <w:pStyle w:val="TableParagraph"/>
              <w:spacing w:line="250" w:lineRule="exact" w:before="4"/>
              <w:ind w:left="105"/>
              <w:rPr>
                <w:sz w:val="21"/>
              </w:rPr>
            </w:pPr>
            <w:r>
              <w:rPr>
                <w:sz w:val="21"/>
              </w:rPr>
              <w:t>院 </w:t>
            </w:r>
          </w:p>
        </w:tc>
        <w:tc>
          <w:tcPr>
            <w:tcW w:w="1754" w:type="dxa"/>
          </w:tcPr>
          <w:p>
            <w:pPr>
              <w:pStyle w:val="TableParagraph"/>
              <w:spacing w:before="137"/>
              <w:ind w:left="176" w:right="62"/>
              <w:jc w:val="center"/>
              <w:rPr>
                <w:sz w:val="21"/>
              </w:rPr>
            </w:pPr>
            <w:r>
              <w:rPr>
                <w:sz w:val="21"/>
              </w:rPr>
              <w:t>研究生导师 </w:t>
            </w:r>
          </w:p>
        </w:tc>
        <w:tc>
          <w:tcPr>
            <w:tcW w:w="1502" w:type="dxa"/>
          </w:tcPr>
          <w:p>
            <w:pPr>
              <w:pStyle w:val="TableParagraph"/>
              <w:spacing w:before="137"/>
              <w:ind w:right="105"/>
              <w:jc w:val="right"/>
              <w:rPr>
                <w:sz w:val="21"/>
              </w:rPr>
            </w:pPr>
            <w:r>
              <w:rPr>
                <w:sz w:val="21"/>
              </w:rPr>
              <w:t>2013/06/01 </w:t>
            </w:r>
          </w:p>
        </w:tc>
        <w:tc>
          <w:tcPr>
            <w:tcW w:w="1509" w:type="dxa"/>
          </w:tcPr>
          <w:p>
            <w:pPr>
              <w:pStyle w:val="TableParagraph"/>
              <w:spacing w:before="137"/>
              <w:ind w:left="118"/>
              <w:jc w:val="center"/>
              <w:rPr>
                <w:sz w:val="21"/>
              </w:rPr>
            </w:pPr>
            <w:r>
              <w:rPr>
                <w:w w:val="100"/>
                <w:sz w:val="21"/>
              </w:rPr>
              <w:t> </w:t>
            </w:r>
          </w:p>
        </w:tc>
      </w:tr>
      <w:tr>
        <w:trPr>
          <w:trHeight w:val="544" w:hRule="atLeast"/>
        </w:trPr>
        <w:tc>
          <w:tcPr>
            <w:tcW w:w="1747" w:type="dxa"/>
          </w:tcPr>
          <w:p>
            <w:pPr>
              <w:pStyle w:val="TableParagraph"/>
              <w:spacing w:before="138"/>
              <w:ind w:right="441"/>
              <w:jc w:val="right"/>
              <w:rPr>
                <w:sz w:val="21"/>
              </w:rPr>
            </w:pPr>
            <w:r>
              <w:rPr>
                <w:sz w:val="21"/>
              </w:rPr>
              <w:t>张占武 </w:t>
            </w:r>
          </w:p>
        </w:tc>
        <w:tc>
          <w:tcPr>
            <w:tcW w:w="2309" w:type="dxa"/>
          </w:tcPr>
          <w:p>
            <w:pPr>
              <w:pStyle w:val="TableParagraph"/>
              <w:spacing w:before="1"/>
              <w:ind w:left="105"/>
              <w:rPr>
                <w:sz w:val="21"/>
              </w:rPr>
            </w:pPr>
            <w:r>
              <w:rPr>
                <w:spacing w:val="7"/>
                <w:sz w:val="21"/>
              </w:rPr>
              <w:t>富联裕展科技( 深圳)</w:t>
            </w:r>
          </w:p>
          <w:p>
            <w:pPr>
              <w:pStyle w:val="TableParagraph"/>
              <w:spacing w:line="250" w:lineRule="exact" w:before="4"/>
              <w:ind w:left="105"/>
              <w:rPr>
                <w:sz w:val="21"/>
              </w:rPr>
            </w:pPr>
            <w:r>
              <w:rPr>
                <w:spacing w:val="-1"/>
                <w:sz w:val="21"/>
              </w:rPr>
              <w:t>有限公司</w:t>
            </w:r>
            <w:r>
              <w:rPr>
                <w:sz w:val="21"/>
              </w:rPr>
              <w:t> </w:t>
            </w:r>
          </w:p>
        </w:tc>
        <w:tc>
          <w:tcPr>
            <w:tcW w:w="1754" w:type="dxa"/>
          </w:tcPr>
          <w:p>
            <w:pPr>
              <w:pStyle w:val="TableParagraph"/>
              <w:spacing w:before="138"/>
              <w:ind w:left="179" w:right="62"/>
              <w:jc w:val="center"/>
              <w:rPr>
                <w:sz w:val="21"/>
              </w:rPr>
            </w:pPr>
            <w:r>
              <w:rPr>
                <w:spacing w:val="-1"/>
                <w:sz w:val="21"/>
              </w:rPr>
              <w:t>人力资源主管</w:t>
            </w:r>
            <w:r>
              <w:rPr>
                <w:sz w:val="21"/>
              </w:rPr>
              <w:t> </w:t>
            </w:r>
          </w:p>
        </w:tc>
        <w:tc>
          <w:tcPr>
            <w:tcW w:w="1502" w:type="dxa"/>
          </w:tcPr>
          <w:p>
            <w:pPr>
              <w:pStyle w:val="TableParagraph"/>
              <w:spacing w:before="138"/>
              <w:ind w:right="105"/>
              <w:jc w:val="right"/>
              <w:rPr>
                <w:sz w:val="21"/>
              </w:rPr>
            </w:pPr>
            <w:r>
              <w:rPr>
                <w:sz w:val="21"/>
              </w:rPr>
              <w:t>2018/01/16 </w:t>
            </w:r>
          </w:p>
        </w:tc>
        <w:tc>
          <w:tcPr>
            <w:tcW w:w="1509" w:type="dxa"/>
          </w:tcPr>
          <w:p>
            <w:pPr>
              <w:pStyle w:val="TableParagraph"/>
              <w:spacing w:before="138"/>
              <w:ind w:left="118"/>
              <w:jc w:val="center"/>
              <w:rPr>
                <w:sz w:val="21"/>
              </w:rPr>
            </w:pPr>
            <w:r>
              <w:rPr>
                <w:w w:val="100"/>
                <w:sz w:val="21"/>
              </w:rPr>
              <w:t> </w:t>
            </w:r>
          </w:p>
        </w:tc>
      </w:tr>
      <w:tr>
        <w:trPr>
          <w:trHeight w:val="544" w:hRule="atLeast"/>
        </w:trPr>
        <w:tc>
          <w:tcPr>
            <w:tcW w:w="1747" w:type="dxa"/>
          </w:tcPr>
          <w:p>
            <w:pPr>
              <w:pStyle w:val="TableParagraph"/>
              <w:spacing w:before="137"/>
              <w:ind w:right="441"/>
              <w:jc w:val="right"/>
              <w:rPr>
                <w:sz w:val="21"/>
              </w:rPr>
            </w:pPr>
            <w:r>
              <w:rPr>
                <w:sz w:val="21"/>
              </w:rPr>
              <w:t>郭俊宏 </w:t>
            </w:r>
          </w:p>
        </w:tc>
        <w:tc>
          <w:tcPr>
            <w:tcW w:w="2309" w:type="dxa"/>
          </w:tcPr>
          <w:p>
            <w:pPr>
              <w:pStyle w:val="TableParagraph"/>
              <w:spacing w:before="1"/>
              <w:ind w:left="105"/>
              <w:rPr>
                <w:sz w:val="21"/>
              </w:rPr>
            </w:pPr>
            <w:r>
              <w:rPr>
                <w:spacing w:val="-27"/>
                <w:sz w:val="21"/>
              </w:rPr>
              <w:t>鸿 驰 咨 询 顾 问 </w:t>
            </w:r>
            <w:r>
              <w:rPr>
                <w:sz w:val="21"/>
              </w:rPr>
              <w:t>（</w:t>
            </w:r>
            <w:r>
              <w:rPr>
                <w:spacing w:val="-22"/>
                <w:sz w:val="21"/>
              </w:rPr>
              <w:t> 深</w:t>
            </w:r>
          </w:p>
          <w:p>
            <w:pPr>
              <w:pStyle w:val="TableParagraph"/>
              <w:spacing w:line="250" w:lineRule="exact" w:before="4"/>
              <w:ind w:left="105"/>
              <w:rPr>
                <w:sz w:val="21"/>
              </w:rPr>
            </w:pPr>
            <w:r>
              <w:rPr>
                <w:spacing w:val="-1"/>
                <w:sz w:val="21"/>
              </w:rPr>
              <w:t>圳</w:t>
            </w:r>
            <w:r>
              <w:rPr>
                <w:sz w:val="21"/>
              </w:rPr>
              <w:t>）有限公司 </w:t>
            </w:r>
          </w:p>
        </w:tc>
        <w:tc>
          <w:tcPr>
            <w:tcW w:w="1754" w:type="dxa"/>
          </w:tcPr>
          <w:p>
            <w:pPr>
              <w:pStyle w:val="TableParagraph"/>
              <w:spacing w:before="137"/>
              <w:ind w:left="177" w:right="62"/>
              <w:jc w:val="center"/>
              <w:rPr>
                <w:sz w:val="21"/>
              </w:rPr>
            </w:pPr>
            <w:r>
              <w:rPr>
                <w:spacing w:val="-1"/>
                <w:sz w:val="21"/>
              </w:rPr>
              <w:t>执行董事</w:t>
            </w:r>
            <w:r>
              <w:rPr>
                <w:sz w:val="21"/>
              </w:rPr>
              <w:t> </w:t>
            </w:r>
          </w:p>
        </w:tc>
        <w:tc>
          <w:tcPr>
            <w:tcW w:w="1502" w:type="dxa"/>
          </w:tcPr>
          <w:p>
            <w:pPr>
              <w:pStyle w:val="TableParagraph"/>
              <w:spacing w:before="137"/>
              <w:ind w:left="118"/>
              <w:jc w:val="center"/>
              <w:rPr>
                <w:sz w:val="21"/>
              </w:rPr>
            </w:pPr>
            <w:r>
              <w:rPr>
                <w:w w:val="100"/>
                <w:sz w:val="21"/>
              </w:rPr>
              <w:t> </w:t>
            </w:r>
          </w:p>
        </w:tc>
        <w:tc>
          <w:tcPr>
            <w:tcW w:w="1509" w:type="dxa"/>
          </w:tcPr>
          <w:p>
            <w:pPr>
              <w:pStyle w:val="TableParagraph"/>
              <w:spacing w:before="137"/>
              <w:ind w:left="118"/>
              <w:jc w:val="center"/>
              <w:rPr>
                <w:sz w:val="21"/>
              </w:rPr>
            </w:pPr>
            <w:r>
              <w:rPr>
                <w:w w:val="100"/>
                <w:sz w:val="21"/>
              </w:rPr>
              <w:t> </w:t>
            </w:r>
          </w:p>
        </w:tc>
      </w:tr>
      <w:tr>
        <w:trPr>
          <w:trHeight w:val="544" w:hRule="atLeast"/>
        </w:trPr>
        <w:tc>
          <w:tcPr>
            <w:tcW w:w="1747" w:type="dxa"/>
          </w:tcPr>
          <w:p>
            <w:pPr>
              <w:pStyle w:val="TableParagraph"/>
              <w:spacing w:before="137"/>
              <w:ind w:right="441"/>
              <w:jc w:val="right"/>
              <w:rPr>
                <w:sz w:val="21"/>
              </w:rPr>
            </w:pPr>
            <w:r>
              <w:rPr>
                <w:sz w:val="21"/>
              </w:rPr>
              <w:t>郭俊宏 </w:t>
            </w:r>
          </w:p>
        </w:tc>
        <w:tc>
          <w:tcPr>
            <w:tcW w:w="2309" w:type="dxa"/>
          </w:tcPr>
          <w:p>
            <w:pPr>
              <w:pStyle w:val="TableParagraph"/>
              <w:spacing w:before="1"/>
              <w:ind w:left="105"/>
              <w:rPr>
                <w:sz w:val="21"/>
              </w:rPr>
            </w:pPr>
            <w:r>
              <w:rPr>
                <w:spacing w:val="-1"/>
                <w:sz w:val="21"/>
              </w:rPr>
              <w:t>天安德源( 山西) 农业</w:t>
            </w:r>
          </w:p>
          <w:p>
            <w:pPr>
              <w:pStyle w:val="TableParagraph"/>
              <w:spacing w:line="250" w:lineRule="exact" w:before="4"/>
              <w:ind w:left="105"/>
              <w:rPr>
                <w:sz w:val="21"/>
              </w:rPr>
            </w:pPr>
            <w:r>
              <w:rPr>
                <w:spacing w:val="-1"/>
                <w:sz w:val="21"/>
              </w:rPr>
              <w:t>有限公司</w:t>
            </w:r>
            <w:r>
              <w:rPr>
                <w:sz w:val="21"/>
              </w:rPr>
              <w:t> </w:t>
            </w:r>
          </w:p>
        </w:tc>
        <w:tc>
          <w:tcPr>
            <w:tcW w:w="1754" w:type="dxa"/>
          </w:tcPr>
          <w:p>
            <w:pPr>
              <w:pStyle w:val="TableParagraph"/>
              <w:spacing w:before="137"/>
              <w:ind w:left="179" w:right="62"/>
              <w:jc w:val="center"/>
              <w:rPr>
                <w:sz w:val="21"/>
              </w:rPr>
            </w:pPr>
            <w:r>
              <w:rPr>
                <w:sz w:val="21"/>
              </w:rPr>
              <w:t>董事 </w:t>
            </w:r>
          </w:p>
        </w:tc>
        <w:tc>
          <w:tcPr>
            <w:tcW w:w="1502" w:type="dxa"/>
          </w:tcPr>
          <w:p>
            <w:pPr>
              <w:pStyle w:val="TableParagraph"/>
              <w:spacing w:before="137"/>
              <w:ind w:left="109"/>
              <w:rPr>
                <w:sz w:val="21"/>
              </w:rPr>
            </w:pPr>
            <w:r>
              <w:rPr>
                <w:w w:val="100"/>
                <w:sz w:val="21"/>
              </w:rPr>
              <w:t> </w:t>
            </w:r>
            <w:r>
              <w:rPr>
                <w:sz w:val="21"/>
              </w:rPr>
              <w:t> </w:t>
            </w:r>
            <w:r>
              <w:rPr>
                <w:w w:val="100"/>
                <w:sz w:val="21"/>
              </w:rPr>
              <w:t> </w:t>
            </w:r>
          </w:p>
        </w:tc>
        <w:tc>
          <w:tcPr>
            <w:tcW w:w="1509" w:type="dxa"/>
          </w:tcPr>
          <w:p>
            <w:pPr>
              <w:pStyle w:val="TableParagraph"/>
              <w:spacing w:before="137"/>
              <w:ind w:left="110"/>
              <w:rPr>
                <w:sz w:val="21"/>
              </w:rPr>
            </w:pPr>
            <w:r>
              <w:rPr>
                <w:w w:val="100"/>
                <w:sz w:val="21"/>
              </w:rPr>
              <w:t> </w:t>
            </w:r>
            <w:r>
              <w:rPr>
                <w:sz w:val="21"/>
              </w:rPr>
              <w:t> </w:t>
            </w:r>
            <w:r>
              <w:rPr>
                <w:w w:val="100"/>
                <w:sz w:val="21"/>
              </w:rPr>
              <w:t> </w:t>
            </w:r>
          </w:p>
        </w:tc>
      </w:tr>
      <w:tr>
        <w:trPr>
          <w:trHeight w:val="273" w:hRule="atLeast"/>
        </w:trPr>
        <w:tc>
          <w:tcPr>
            <w:tcW w:w="1747" w:type="dxa"/>
          </w:tcPr>
          <w:p>
            <w:pPr>
              <w:pStyle w:val="TableParagraph"/>
              <w:spacing w:line="250" w:lineRule="exact" w:before="3"/>
              <w:ind w:right="441"/>
              <w:jc w:val="right"/>
              <w:rPr>
                <w:sz w:val="21"/>
              </w:rPr>
            </w:pPr>
            <w:r>
              <w:rPr>
                <w:sz w:val="21"/>
              </w:rPr>
              <w:t>郭俊宏 </w:t>
            </w:r>
          </w:p>
        </w:tc>
        <w:tc>
          <w:tcPr>
            <w:tcW w:w="2309" w:type="dxa"/>
          </w:tcPr>
          <w:p>
            <w:pPr>
              <w:pStyle w:val="TableParagraph"/>
              <w:spacing w:line="250" w:lineRule="exact" w:before="3"/>
              <w:ind w:left="105"/>
              <w:rPr>
                <w:sz w:val="21"/>
              </w:rPr>
            </w:pPr>
            <w:r>
              <w:rPr>
                <w:spacing w:val="20"/>
                <w:sz w:val="21"/>
              </w:rPr>
              <w:t>随锐科技集团股份有</w:t>
            </w:r>
          </w:p>
        </w:tc>
        <w:tc>
          <w:tcPr>
            <w:tcW w:w="1754" w:type="dxa"/>
          </w:tcPr>
          <w:p>
            <w:pPr>
              <w:pStyle w:val="TableParagraph"/>
              <w:spacing w:line="250" w:lineRule="exact" w:before="3"/>
              <w:ind w:left="179" w:right="62"/>
              <w:jc w:val="center"/>
              <w:rPr>
                <w:sz w:val="21"/>
              </w:rPr>
            </w:pPr>
            <w:r>
              <w:rPr>
                <w:sz w:val="21"/>
              </w:rPr>
              <w:t>董事 </w:t>
            </w:r>
          </w:p>
        </w:tc>
        <w:tc>
          <w:tcPr>
            <w:tcW w:w="1502" w:type="dxa"/>
          </w:tcPr>
          <w:p>
            <w:pPr>
              <w:pStyle w:val="TableParagraph"/>
              <w:spacing w:line="250" w:lineRule="exact" w:before="3"/>
              <w:ind w:left="118"/>
              <w:jc w:val="center"/>
              <w:rPr>
                <w:sz w:val="21"/>
              </w:rPr>
            </w:pPr>
            <w:r>
              <w:rPr>
                <w:w w:val="100"/>
                <w:sz w:val="21"/>
              </w:rPr>
              <w:t> </w:t>
            </w:r>
          </w:p>
        </w:tc>
        <w:tc>
          <w:tcPr>
            <w:tcW w:w="1509" w:type="dxa"/>
          </w:tcPr>
          <w:p>
            <w:pPr>
              <w:pStyle w:val="TableParagraph"/>
              <w:spacing w:line="250" w:lineRule="exact" w:before="3"/>
              <w:ind w:left="118"/>
              <w:jc w:val="center"/>
              <w:rPr>
                <w:sz w:val="21"/>
              </w:rPr>
            </w:pPr>
            <w:r>
              <w:rPr>
                <w:w w:val="100"/>
                <w:sz w:val="21"/>
              </w:rPr>
              <w:t> </w:t>
            </w:r>
          </w:p>
        </w:tc>
      </w:tr>
    </w:tbl>
    <w:p>
      <w:pPr>
        <w:spacing w:after="0" w:line="250" w:lineRule="exact"/>
        <w:jc w:val="center"/>
        <w:rPr>
          <w:sz w:val="21"/>
        </w:rPr>
        <w:sectPr>
          <w:pgSz w:w="11910" w:h="16840"/>
          <w:pgMar w:header="877" w:footer="1180" w:top="1460" w:bottom="1360" w:left="1680" w:right="1160"/>
        </w:sectPr>
      </w:pPr>
    </w:p>
    <w:p>
      <w:pPr>
        <w:pStyle w:val="BodyText"/>
        <w:spacing w:before="9"/>
        <w:ind w:left="0"/>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7"/>
        <w:gridCol w:w="2309"/>
        <w:gridCol w:w="1754"/>
        <w:gridCol w:w="1502"/>
        <w:gridCol w:w="1509"/>
      </w:tblGrid>
      <w:tr>
        <w:trPr>
          <w:trHeight w:val="273" w:hRule="atLeast"/>
        </w:trPr>
        <w:tc>
          <w:tcPr>
            <w:tcW w:w="1747" w:type="dxa"/>
          </w:tcPr>
          <w:p>
            <w:pPr>
              <w:pStyle w:val="TableParagraph"/>
              <w:rPr>
                <w:rFonts w:ascii="Times New Roman"/>
                <w:sz w:val="20"/>
              </w:rPr>
            </w:pPr>
          </w:p>
        </w:tc>
        <w:tc>
          <w:tcPr>
            <w:tcW w:w="2309" w:type="dxa"/>
          </w:tcPr>
          <w:p>
            <w:pPr>
              <w:pStyle w:val="TableParagraph"/>
              <w:spacing w:line="250" w:lineRule="exact" w:before="3"/>
              <w:ind w:left="105"/>
              <w:rPr>
                <w:sz w:val="21"/>
              </w:rPr>
            </w:pPr>
            <w:r>
              <w:rPr>
                <w:sz w:val="21"/>
              </w:rPr>
              <w:t>限公司 </w:t>
            </w:r>
          </w:p>
        </w:tc>
        <w:tc>
          <w:tcPr>
            <w:tcW w:w="1754" w:type="dxa"/>
          </w:tcPr>
          <w:p>
            <w:pPr>
              <w:pStyle w:val="TableParagraph"/>
              <w:rPr>
                <w:rFonts w:ascii="Times New Roman"/>
                <w:sz w:val="20"/>
              </w:rPr>
            </w:pPr>
          </w:p>
        </w:tc>
        <w:tc>
          <w:tcPr>
            <w:tcW w:w="1502" w:type="dxa"/>
          </w:tcPr>
          <w:p>
            <w:pPr>
              <w:pStyle w:val="TableParagraph"/>
              <w:rPr>
                <w:rFonts w:ascii="Times New Roman"/>
                <w:sz w:val="20"/>
              </w:rPr>
            </w:pPr>
          </w:p>
        </w:tc>
        <w:tc>
          <w:tcPr>
            <w:tcW w:w="1509" w:type="dxa"/>
          </w:tcPr>
          <w:p>
            <w:pPr>
              <w:pStyle w:val="TableParagraph"/>
              <w:rPr>
                <w:rFonts w:ascii="Times New Roman"/>
                <w:sz w:val="20"/>
              </w:rPr>
            </w:pPr>
          </w:p>
        </w:tc>
      </w:tr>
      <w:tr>
        <w:trPr>
          <w:trHeight w:val="544" w:hRule="atLeast"/>
        </w:trPr>
        <w:tc>
          <w:tcPr>
            <w:tcW w:w="1747" w:type="dxa"/>
          </w:tcPr>
          <w:p>
            <w:pPr>
              <w:pStyle w:val="TableParagraph"/>
              <w:spacing w:before="138"/>
              <w:ind w:left="556"/>
              <w:rPr>
                <w:sz w:val="21"/>
              </w:rPr>
            </w:pPr>
            <w:r>
              <w:rPr>
                <w:sz w:val="21"/>
              </w:rPr>
              <w:t>郭俊宏</w:t>
            </w:r>
          </w:p>
        </w:tc>
        <w:tc>
          <w:tcPr>
            <w:tcW w:w="2309" w:type="dxa"/>
          </w:tcPr>
          <w:p>
            <w:pPr>
              <w:pStyle w:val="TableParagraph"/>
              <w:spacing w:before="1"/>
              <w:ind w:left="105"/>
              <w:rPr>
                <w:sz w:val="21"/>
              </w:rPr>
            </w:pPr>
            <w:r>
              <w:rPr>
                <w:spacing w:val="23"/>
                <w:sz w:val="21"/>
              </w:rPr>
              <w:t>鸿富</w:t>
            </w:r>
            <w:r>
              <w:rPr>
                <w:sz w:val="21"/>
              </w:rPr>
              <w:t>（</w:t>
            </w:r>
            <w:r>
              <w:rPr>
                <w:spacing w:val="-10"/>
                <w:sz w:val="21"/>
              </w:rPr>
              <w:t> 深圳</w:t>
            </w:r>
            <w:r>
              <w:rPr>
                <w:sz w:val="21"/>
              </w:rPr>
              <w:t>）</w:t>
            </w:r>
            <w:r>
              <w:rPr>
                <w:spacing w:val="-8"/>
                <w:sz w:val="21"/>
              </w:rPr>
              <w:t> 股权投</w:t>
            </w:r>
          </w:p>
          <w:p>
            <w:pPr>
              <w:pStyle w:val="TableParagraph"/>
              <w:spacing w:line="250" w:lineRule="exact" w:before="4"/>
              <w:ind w:left="105"/>
              <w:rPr>
                <w:sz w:val="21"/>
              </w:rPr>
            </w:pPr>
            <w:r>
              <w:rPr>
                <w:spacing w:val="-1"/>
                <w:sz w:val="21"/>
              </w:rPr>
              <w:t>资基金管理有限公司</w:t>
            </w:r>
            <w:r>
              <w:rPr>
                <w:sz w:val="21"/>
              </w:rPr>
              <w:t> </w:t>
            </w:r>
          </w:p>
        </w:tc>
        <w:tc>
          <w:tcPr>
            <w:tcW w:w="1754" w:type="dxa"/>
          </w:tcPr>
          <w:p>
            <w:pPr>
              <w:pStyle w:val="TableParagraph"/>
              <w:spacing w:before="138"/>
              <w:ind w:left="179" w:right="62"/>
              <w:jc w:val="center"/>
              <w:rPr>
                <w:sz w:val="21"/>
              </w:rPr>
            </w:pPr>
            <w:r>
              <w:rPr>
                <w:sz w:val="21"/>
              </w:rPr>
              <w:t>董事 </w:t>
            </w:r>
          </w:p>
        </w:tc>
        <w:tc>
          <w:tcPr>
            <w:tcW w:w="1502" w:type="dxa"/>
          </w:tcPr>
          <w:p>
            <w:pPr>
              <w:pStyle w:val="TableParagraph"/>
              <w:spacing w:before="138"/>
              <w:ind w:left="118"/>
              <w:jc w:val="center"/>
              <w:rPr>
                <w:sz w:val="21"/>
              </w:rPr>
            </w:pPr>
            <w:r>
              <w:rPr>
                <w:w w:val="100"/>
                <w:sz w:val="21"/>
              </w:rPr>
              <w:t> </w:t>
            </w:r>
          </w:p>
        </w:tc>
        <w:tc>
          <w:tcPr>
            <w:tcW w:w="1509" w:type="dxa"/>
          </w:tcPr>
          <w:p>
            <w:pPr>
              <w:pStyle w:val="TableParagraph"/>
              <w:spacing w:before="138"/>
              <w:ind w:left="118"/>
              <w:jc w:val="center"/>
              <w:rPr>
                <w:sz w:val="21"/>
              </w:rPr>
            </w:pPr>
            <w:r>
              <w:rPr>
                <w:w w:val="100"/>
                <w:sz w:val="21"/>
              </w:rPr>
              <w:t> </w:t>
            </w:r>
          </w:p>
        </w:tc>
      </w:tr>
      <w:tr>
        <w:trPr>
          <w:trHeight w:val="544" w:hRule="atLeast"/>
        </w:trPr>
        <w:tc>
          <w:tcPr>
            <w:tcW w:w="1747" w:type="dxa"/>
          </w:tcPr>
          <w:p>
            <w:pPr>
              <w:pStyle w:val="TableParagraph"/>
              <w:spacing w:before="137"/>
              <w:ind w:left="556"/>
              <w:rPr>
                <w:sz w:val="21"/>
              </w:rPr>
            </w:pPr>
            <w:r>
              <w:rPr>
                <w:sz w:val="21"/>
              </w:rPr>
              <w:t>丁肇邦 </w:t>
            </w:r>
          </w:p>
        </w:tc>
        <w:tc>
          <w:tcPr>
            <w:tcW w:w="2309" w:type="dxa"/>
          </w:tcPr>
          <w:p>
            <w:pPr>
              <w:pStyle w:val="TableParagraph"/>
              <w:spacing w:before="1"/>
              <w:ind w:left="105"/>
              <w:rPr>
                <w:sz w:val="21"/>
              </w:rPr>
            </w:pPr>
            <w:r>
              <w:rPr>
                <w:spacing w:val="20"/>
                <w:sz w:val="21"/>
              </w:rPr>
              <w:t>鸿佰科技股份有限公</w:t>
            </w:r>
          </w:p>
          <w:p>
            <w:pPr>
              <w:pStyle w:val="TableParagraph"/>
              <w:spacing w:line="250" w:lineRule="exact" w:before="4"/>
              <w:ind w:left="105"/>
              <w:rPr>
                <w:sz w:val="21"/>
              </w:rPr>
            </w:pPr>
            <w:r>
              <w:rPr>
                <w:sz w:val="21"/>
              </w:rPr>
              <w:t>司 </w:t>
            </w:r>
          </w:p>
        </w:tc>
        <w:tc>
          <w:tcPr>
            <w:tcW w:w="1754" w:type="dxa"/>
          </w:tcPr>
          <w:p>
            <w:pPr>
              <w:pStyle w:val="TableParagraph"/>
              <w:spacing w:before="137"/>
              <w:ind w:left="179" w:right="62"/>
              <w:jc w:val="center"/>
              <w:rPr>
                <w:sz w:val="21"/>
              </w:rPr>
            </w:pPr>
            <w:r>
              <w:rPr>
                <w:spacing w:val="-1"/>
                <w:sz w:val="21"/>
              </w:rPr>
              <w:t>总经理、董事</w:t>
            </w:r>
            <w:r>
              <w:rPr>
                <w:sz w:val="21"/>
              </w:rPr>
              <w:t> </w:t>
            </w:r>
          </w:p>
        </w:tc>
        <w:tc>
          <w:tcPr>
            <w:tcW w:w="1502" w:type="dxa"/>
          </w:tcPr>
          <w:p>
            <w:pPr>
              <w:pStyle w:val="TableParagraph"/>
              <w:spacing w:before="137"/>
              <w:ind w:left="118"/>
              <w:jc w:val="center"/>
              <w:rPr>
                <w:sz w:val="21"/>
              </w:rPr>
            </w:pPr>
            <w:r>
              <w:rPr>
                <w:w w:val="100"/>
                <w:sz w:val="21"/>
              </w:rPr>
              <w:t> </w:t>
            </w:r>
          </w:p>
        </w:tc>
        <w:tc>
          <w:tcPr>
            <w:tcW w:w="1509" w:type="dxa"/>
          </w:tcPr>
          <w:p>
            <w:pPr>
              <w:pStyle w:val="TableParagraph"/>
              <w:spacing w:before="137"/>
              <w:ind w:left="118"/>
              <w:jc w:val="center"/>
              <w:rPr>
                <w:sz w:val="21"/>
              </w:rPr>
            </w:pPr>
            <w:r>
              <w:rPr>
                <w:w w:val="100"/>
                <w:sz w:val="21"/>
              </w:rPr>
              <w:t> </w:t>
            </w:r>
          </w:p>
        </w:tc>
      </w:tr>
      <w:tr>
        <w:trPr>
          <w:trHeight w:val="544" w:hRule="atLeast"/>
        </w:trPr>
        <w:tc>
          <w:tcPr>
            <w:tcW w:w="1747" w:type="dxa"/>
          </w:tcPr>
          <w:p>
            <w:pPr>
              <w:pStyle w:val="TableParagraph"/>
              <w:spacing w:before="1"/>
              <w:ind w:left="556"/>
              <w:rPr>
                <w:sz w:val="21"/>
              </w:rPr>
            </w:pPr>
            <w:r>
              <w:rPr>
                <w:sz w:val="21"/>
              </w:rPr>
              <w:t>王健民</w:t>
            </w:r>
          </w:p>
          <w:p>
            <w:pPr>
              <w:pStyle w:val="TableParagraph"/>
              <w:spacing w:line="250" w:lineRule="exact" w:before="4"/>
              <w:ind w:left="453"/>
              <w:rPr>
                <w:sz w:val="21"/>
              </w:rPr>
            </w:pPr>
            <w:r>
              <w:rPr>
                <w:spacing w:val="-1"/>
                <w:sz w:val="21"/>
              </w:rPr>
              <w:t>（离任</w:t>
            </w:r>
            <w:r>
              <w:rPr>
                <w:sz w:val="21"/>
              </w:rPr>
              <w:t>） </w:t>
            </w:r>
          </w:p>
        </w:tc>
        <w:tc>
          <w:tcPr>
            <w:tcW w:w="2309" w:type="dxa"/>
          </w:tcPr>
          <w:p>
            <w:pPr>
              <w:pStyle w:val="TableParagraph"/>
              <w:spacing w:before="1"/>
              <w:ind w:left="105"/>
              <w:rPr>
                <w:sz w:val="21"/>
              </w:rPr>
            </w:pPr>
            <w:r>
              <w:rPr>
                <w:spacing w:val="20"/>
                <w:sz w:val="21"/>
              </w:rPr>
              <w:t>深圳数位科技有限公</w:t>
            </w:r>
          </w:p>
          <w:p>
            <w:pPr>
              <w:pStyle w:val="TableParagraph"/>
              <w:spacing w:line="250" w:lineRule="exact" w:before="4"/>
              <w:ind w:left="105"/>
              <w:rPr>
                <w:sz w:val="21"/>
              </w:rPr>
            </w:pPr>
            <w:r>
              <w:rPr>
                <w:sz w:val="21"/>
              </w:rPr>
              <w:t>司 </w:t>
            </w:r>
          </w:p>
        </w:tc>
        <w:tc>
          <w:tcPr>
            <w:tcW w:w="1754" w:type="dxa"/>
          </w:tcPr>
          <w:p>
            <w:pPr>
              <w:pStyle w:val="TableParagraph"/>
              <w:spacing w:before="138"/>
              <w:ind w:left="179" w:right="62"/>
              <w:jc w:val="center"/>
              <w:rPr>
                <w:sz w:val="21"/>
              </w:rPr>
            </w:pPr>
            <w:r>
              <w:rPr>
                <w:sz w:val="21"/>
              </w:rPr>
              <w:t>总经理 </w:t>
            </w:r>
          </w:p>
        </w:tc>
        <w:tc>
          <w:tcPr>
            <w:tcW w:w="1502" w:type="dxa"/>
          </w:tcPr>
          <w:p>
            <w:pPr>
              <w:pStyle w:val="TableParagraph"/>
              <w:spacing w:before="138"/>
              <w:ind w:left="260" w:right="142"/>
              <w:jc w:val="center"/>
              <w:rPr>
                <w:sz w:val="21"/>
              </w:rPr>
            </w:pPr>
            <w:r>
              <w:rPr>
                <w:sz w:val="21"/>
              </w:rPr>
              <w:t>2017/04/01 </w:t>
            </w:r>
          </w:p>
        </w:tc>
        <w:tc>
          <w:tcPr>
            <w:tcW w:w="1509" w:type="dxa"/>
          </w:tcPr>
          <w:p>
            <w:pPr>
              <w:pStyle w:val="TableParagraph"/>
              <w:spacing w:before="138"/>
              <w:ind w:left="263" w:right="145"/>
              <w:jc w:val="center"/>
              <w:rPr>
                <w:sz w:val="21"/>
              </w:rPr>
            </w:pPr>
            <w:r>
              <w:rPr>
                <w:sz w:val="21"/>
              </w:rPr>
              <w:t>2022/01/31 </w:t>
            </w:r>
          </w:p>
        </w:tc>
      </w:tr>
      <w:tr>
        <w:trPr>
          <w:trHeight w:val="546" w:hRule="atLeast"/>
        </w:trPr>
        <w:tc>
          <w:tcPr>
            <w:tcW w:w="1747" w:type="dxa"/>
          </w:tcPr>
          <w:p>
            <w:pPr>
              <w:pStyle w:val="TableParagraph"/>
              <w:spacing w:before="3"/>
              <w:ind w:left="556"/>
              <w:rPr>
                <w:sz w:val="21"/>
              </w:rPr>
            </w:pPr>
            <w:r>
              <w:rPr>
                <w:sz w:val="21"/>
              </w:rPr>
              <w:t>王健民</w:t>
            </w:r>
          </w:p>
          <w:p>
            <w:pPr>
              <w:pStyle w:val="TableParagraph"/>
              <w:spacing w:line="252" w:lineRule="exact" w:before="2"/>
              <w:ind w:left="453"/>
              <w:rPr>
                <w:sz w:val="21"/>
              </w:rPr>
            </w:pPr>
            <w:r>
              <w:rPr>
                <w:spacing w:val="-1"/>
                <w:sz w:val="21"/>
              </w:rPr>
              <w:t>（离任</w:t>
            </w:r>
            <w:r>
              <w:rPr>
                <w:sz w:val="21"/>
              </w:rPr>
              <w:t>） </w:t>
            </w:r>
          </w:p>
        </w:tc>
        <w:tc>
          <w:tcPr>
            <w:tcW w:w="2309" w:type="dxa"/>
          </w:tcPr>
          <w:p>
            <w:pPr>
              <w:pStyle w:val="TableParagraph"/>
              <w:spacing w:line="270" w:lineRule="atLeast"/>
              <w:ind w:left="105" w:right="95"/>
              <w:rPr>
                <w:sz w:val="21"/>
              </w:rPr>
            </w:pPr>
            <w:r>
              <w:rPr>
                <w:spacing w:val="20"/>
                <w:sz w:val="21"/>
              </w:rPr>
              <w:t>桦汉科技股份有限公</w:t>
            </w:r>
            <w:r>
              <w:rPr>
                <w:sz w:val="21"/>
              </w:rPr>
              <w:t>司 </w:t>
            </w:r>
          </w:p>
        </w:tc>
        <w:tc>
          <w:tcPr>
            <w:tcW w:w="1754" w:type="dxa"/>
          </w:tcPr>
          <w:p>
            <w:pPr>
              <w:pStyle w:val="TableParagraph"/>
              <w:spacing w:before="137"/>
              <w:ind w:left="177" w:right="62"/>
              <w:jc w:val="center"/>
              <w:rPr>
                <w:sz w:val="21"/>
              </w:rPr>
            </w:pPr>
            <w:r>
              <w:rPr>
                <w:spacing w:val="-1"/>
                <w:sz w:val="21"/>
              </w:rPr>
              <w:t>独立董事</w:t>
            </w:r>
            <w:r>
              <w:rPr>
                <w:sz w:val="21"/>
              </w:rPr>
              <w:t> </w:t>
            </w:r>
          </w:p>
        </w:tc>
        <w:tc>
          <w:tcPr>
            <w:tcW w:w="1502" w:type="dxa"/>
          </w:tcPr>
          <w:p>
            <w:pPr>
              <w:pStyle w:val="TableParagraph"/>
              <w:spacing w:before="137"/>
              <w:ind w:left="260" w:right="142"/>
              <w:jc w:val="center"/>
              <w:rPr>
                <w:sz w:val="21"/>
              </w:rPr>
            </w:pPr>
            <w:r>
              <w:rPr>
                <w:sz w:val="21"/>
              </w:rPr>
              <w:t>2020/06/01 </w:t>
            </w:r>
          </w:p>
        </w:tc>
        <w:tc>
          <w:tcPr>
            <w:tcW w:w="1509" w:type="dxa"/>
          </w:tcPr>
          <w:p>
            <w:pPr>
              <w:pStyle w:val="TableParagraph"/>
              <w:spacing w:before="137"/>
              <w:ind w:left="263" w:right="145"/>
              <w:jc w:val="center"/>
              <w:rPr>
                <w:sz w:val="21"/>
              </w:rPr>
            </w:pPr>
            <w:r>
              <w:rPr>
                <w:sz w:val="21"/>
              </w:rPr>
              <w:t>2023/05/31 </w:t>
            </w:r>
          </w:p>
        </w:tc>
      </w:tr>
      <w:tr>
        <w:trPr>
          <w:trHeight w:val="544" w:hRule="atLeast"/>
        </w:trPr>
        <w:tc>
          <w:tcPr>
            <w:tcW w:w="1747" w:type="dxa"/>
          </w:tcPr>
          <w:p>
            <w:pPr>
              <w:pStyle w:val="TableParagraph"/>
              <w:spacing w:before="1"/>
              <w:ind w:left="174" w:right="165"/>
              <w:jc w:val="center"/>
              <w:rPr>
                <w:sz w:val="21"/>
              </w:rPr>
            </w:pPr>
            <w:r>
              <w:rPr>
                <w:sz w:val="21"/>
              </w:rPr>
              <w:t>熊毅</w:t>
            </w:r>
          </w:p>
          <w:p>
            <w:pPr>
              <w:pStyle w:val="TableParagraph"/>
              <w:spacing w:line="252" w:lineRule="exact" w:before="2"/>
              <w:ind w:left="277" w:right="162"/>
              <w:jc w:val="center"/>
              <w:rPr>
                <w:sz w:val="21"/>
              </w:rPr>
            </w:pPr>
            <w:r>
              <w:rPr>
                <w:sz w:val="21"/>
              </w:rPr>
              <w:t>（离任） </w:t>
            </w:r>
          </w:p>
        </w:tc>
        <w:tc>
          <w:tcPr>
            <w:tcW w:w="2309" w:type="dxa"/>
          </w:tcPr>
          <w:p>
            <w:pPr>
              <w:pStyle w:val="TableParagraph"/>
              <w:spacing w:before="1"/>
              <w:ind w:left="105"/>
              <w:rPr>
                <w:sz w:val="21"/>
              </w:rPr>
            </w:pPr>
            <w:r>
              <w:rPr>
                <w:spacing w:val="23"/>
                <w:sz w:val="21"/>
              </w:rPr>
              <w:t>富联科技</w:t>
            </w:r>
            <w:r>
              <w:rPr>
                <w:sz w:val="21"/>
              </w:rPr>
              <w:t>（</w:t>
            </w:r>
            <w:r>
              <w:rPr>
                <w:spacing w:val="-11"/>
                <w:sz w:val="21"/>
              </w:rPr>
              <w:t> 周口</w:t>
            </w:r>
            <w:r>
              <w:rPr>
                <w:sz w:val="21"/>
              </w:rPr>
              <w:t>）</w:t>
            </w:r>
            <w:r>
              <w:rPr>
                <w:spacing w:val="-37"/>
                <w:sz w:val="21"/>
              </w:rPr>
              <w:t> 有</w:t>
            </w:r>
          </w:p>
          <w:p>
            <w:pPr>
              <w:pStyle w:val="TableParagraph"/>
              <w:spacing w:line="252" w:lineRule="exact" w:before="2"/>
              <w:ind w:left="105"/>
              <w:rPr>
                <w:sz w:val="21"/>
              </w:rPr>
            </w:pPr>
            <w:r>
              <w:rPr>
                <w:sz w:val="21"/>
              </w:rPr>
              <w:t>限公司 </w:t>
            </w:r>
          </w:p>
        </w:tc>
        <w:tc>
          <w:tcPr>
            <w:tcW w:w="1754" w:type="dxa"/>
          </w:tcPr>
          <w:p>
            <w:pPr>
              <w:pStyle w:val="TableParagraph"/>
              <w:spacing w:before="135"/>
              <w:ind w:left="179" w:right="62"/>
              <w:jc w:val="center"/>
              <w:rPr>
                <w:sz w:val="21"/>
              </w:rPr>
            </w:pPr>
            <w:r>
              <w:rPr>
                <w:spacing w:val="-1"/>
                <w:sz w:val="21"/>
              </w:rPr>
              <w:t>董事长、总经理</w:t>
            </w:r>
            <w:r>
              <w:rPr>
                <w:sz w:val="21"/>
              </w:rPr>
              <w:t> </w:t>
            </w:r>
          </w:p>
        </w:tc>
        <w:tc>
          <w:tcPr>
            <w:tcW w:w="1502" w:type="dxa"/>
          </w:tcPr>
          <w:p>
            <w:pPr>
              <w:pStyle w:val="TableParagraph"/>
              <w:spacing w:before="135"/>
              <w:ind w:left="118"/>
              <w:jc w:val="center"/>
              <w:rPr>
                <w:sz w:val="21"/>
              </w:rPr>
            </w:pPr>
            <w:r>
              <w:rPr>
                <w:w w:val="100"/>
                <w:sz w:val="21"/>
              </w:rPr>
              <w:t> </w:t>
            </w:r>
          </w:p>
        </w:tc>
        <w:tc>
          <w:tcPr>
            <w:tcW w:w="1509" w:type="dxa"/>
          </w:tcPr>
          <w:p>
            <w:pPr>
              <w:pStyle w:val="TableParagraph"/>
              <w:spacing w:before="135"/>
              <w:ind w:left="118"/>
              <w:jc w:val="center"/>
              <w:rPr>
                <w:sz w:val="21"/>
              </w:rPr>
            </w:pPr>
            <w:r>
              <w:rPr>
                <w:w w:val="100"/>
                <w:sz w:val="21"/>
              </w:rPr>
              <w:t> </w:t>
            </w:r>
          </w:p>
        </w:tc>
      </w:tr>
      <w:tr>
        <w:trPr>
          <w:trHeight w:val="544" w:hRule="atLeast"/>
        </w:trPr>
        <w:tc>
          <w:tcPr>
            <w:tcW w:w="1747" w:type="dxa"/>
          </w:tcPr>
          <w:p>
            <w:pPr>
              <w:pStyle w:val="TableParagraph"/>
              <w:spacing w:before="1"/>
              <w:ind w:left="174" w:right="165"/>
              <w:jc w:val="center"/>
              <w:rPr>
                <w:sz w:val="21"/>
              </w:rPr>
            </w:pPr>
            <w:r>
              <w:rPr>
                <w:sz w:val="21"/>
              </w:rPr>
              <w:t>熊毅</w:t>
            </w:r>
          </w:p>
          <w:p>
            <w:pPr>
              <w:pStyle w:val="TableParagraph"/>
              <w:spacing w:line="252" w:lineRule="exact" w:before="2"/>
              <w:ind w:left="277" w:right="162"/>
              <w:jc w:val="center"/>
              <w:rPr>
                <w:sz w:val="21"/>
              </w:rPr>
            </w:pPr>
            <w:r>
              <w:rPr>
                <w:sz w:val="21"/>
              </w:rPr>
              <w:t>（离任） </w:t>
            </w:r>
          </w:p>
        </w:tc>
        <w:tc>
          <w:tcPr>
            <w:tcW w:w="2309" w:type="dxa"/>
          </w:tcPr>
          <w:p>
            <w:pPr>
              <w:pStyle w:val="TableParagraph"/>
              <w:spacing w:before="1"/>
              <w:ind w:left="105"/>
              <w:rPr>
                <w:sz w:val="21"/>
              </w:rPr>
            </w:pPr>
            <w:r>
              <w:rPr>
                <w:spacing w:val="23"/>
                <w:sz w:val="21"/>
              </w:rPr>
              <w:t>睿志达光电</w:t>
            </w:r>
            <w:r>
              <w:rPr>
                <w:sz w:val="21"/>
              </w:rPr>
              <w:t>（</w:t>
            </w:r>
            <w:r>
              <w:rPr>
                <w:spacing w:val="-8"/>
                <w:sz w:val="21"/>
              </w:rPr>
              <w:t> 深圳</w:t>
            </w:r>
            <w:r>
              <w:rPr>
                <w:sz w:val="21"/>
              </w:rPr>
              <w:t>）</w:t>
            </w:r>
          </w:p>
          <w:p>
            <w:pPr>
              <w:pStyle w:val="TableParagraph"/>
              <w:spacing w:line="252" w:lineRule="exact" w:before="2"/>
              <w:ind w:left="105"/>
              <w:rPr>
                <w:sz w:val="21"/>
              </w:rPr>
            </w:pPr>
            <w:r>
              <w:rPr>
                <w:spacing w:val="-1"/>
                <w:sz w:val="21"/>
              </w:rPr>
              <w:t>有限公司</w:t>
            </w:r>
            <w:r>
              <w:rPr>
                <w:sz w:val="21"/>
              </w:rPr>
              <w:t> </w:t>
            </w:r>
          </w:p>
        </w:tc>
        <w:tc>
          <w:tcPr>
            <w:tcW w:w="1754" w:type="dxa"/>
          </w:tcPr>
          <w:p>
            <w:pPr>
              <w:pStyle w:val="TableParagraph"/>
              <w:spacing w:before="137"/>
              <w:ind w:left="177" w:right="62"/>
              <w:jc w:val="center"/>
              <w:rPr>
                <w:sz w:val="21"/>
              </w:rPr>
            </w:pPr>
            <w:r>
              <w:rPr>
                <w:spacing w:val="-1"/>
                <w:sz w:val="21"/>
              </w:rPr>
              <w:t>副总经理</w:t>
            </w:r>
            <w:r>
              <w:rPr>
                <w:sz w:val="21"/>
              </w:rPr>
              <w:t> </w:t>
            </w:r>
          </w:p>
        </w:tc>
        <w:tc>
          <w:tcPr>
            <w:tcW w:w="1502" w:type="dxa"/>
          </w:tcPr>
          <w:p>
            <w:pPr>
              <w:pStyle w:val="TableParagraph"/>
              <w:spacing w:before="137"/>
              <w:ind w:left="118"/>
              <w:jc w:val="center"/>
              <w:rPr>
                <w:sz w:val="21"/>
              </w:rPr>
            </w:pPr>
            <w:r>
              <w:rPr>
                <w:w w:val="100"/>
                <w:sz w:val="21"/>
              </w:rPr>
              <w:t> </w:t>
            </w:r>
          </w:p>
        </w:tc>
        <w:tc>
          <w:tcPr>
            <w:tcW w:w="1509" w:type="dxa"/>
          </w:tcPr>
          <w:p>
            <w:pPr>
              <w:pStyle w:val="TableParagraph"/>
              <w:spacing w:before="137"/>
              <w:ind w:left="118"/>
              <w:jc w:val="center"/>
              <w:rPr>
                <w:sz w:val="21"/>
              </w:rPr>
            </w:pPr>
            <w:r>
              <w:rPr>
                <w:w w:val="100"/>
                <w:sz w:val="21"/>
              </w:rPr>
              <w:t> </w:t>
            </w:r>
          </w:p>
        </w:tc>
      </w:tr>
      <w:tr>
        <w:trPr>
          <w:trHeight w:val="545" w:hRule="atLeast"/>
        </w:trPr>
        <w:tc>
          <w:tcPr>
            <w:tcW w:w="1747" w:type="dxa"/>
          </w:tcPr>
          <w:p>
            <w:pPr>
              <w:pStyle w:val="TableParagraph"/>
              <w:spacing w:before="1"/>
              <w:ind w:left="107"/>
              <w:rPr>
                <w:sz w:val="21"/>
              </w:rPr>
            </w:pPr>
            <w:r>
              <w:rPr>
                <w:sz w:val="21"/>
              </w:rPr>
              <w:t>在其他单位任职</w:t>
            </w:r>
          </w:p>
          <w:p>
            <w:pPr>
              <w:pStyle w:val="TableParagraph"/>
              <w:spacing w:line="252" w:lineRule="exact" w:before="2"/>
              <w:ind w:left="107"/>
              <w:rPr>
                <w:sz w:val="21"/>
              </w:rPr>
            </w:pPr>
            <w:r>
              <w:rPr>
                <w:sz w:val="21"/>
              </w:rPr>
              <w:t>情况的说明 </w:t>
            </w:r>
          </w:p>
        </w:tc>
        <w:tc>
          <w:tcPr>
            <w:tcW w:w="7074" w:type="dxa"/>
            <w:gridSpan w:val="4"/>
          </w:tcPr>
          <w:p>
            <w:pPr>
              <w:pStyle w:val="TableParagraph"/>
              <w:spacing w:before="138"/>
              <w:ind w:left="105"/>
              <w:rPr>
                <w:sz w:val="21"/>
              </w:rPr>
            </w:pPr>
            <w:r>
              <w:rPr>
                <w:sz w:val="21"/>
              </w:rPr>
              <w:t>不适用 </w:t>
            </w:r>
          </w:p>
        </w:tc>
      </w:tr>
    </w:tbl>
    <w:p>
      <w:pPr>
        <w:pStyle w:val="BodyText"/>
        <w:spacing w:before="1"/>
        <w:ind w:left="118"/>
      </w:pPr>
      <w:r>
        <w:rPr>
          <w:w w:val="100"/>
        </w:rPr>
        <w:t> </w:t>
      </w:r>
    </w:p>
    <w:p>
      <w:pPr>
        <w:pStyle w:val="BodyText"/>
        <w:spacing w:before="4"/>
        <w:ind w:left="118"/>
      </w:pPr>
      <w:r>
        <w:rPr>
          <w:w w:val="100"/>
        </w:rPr>
        <w:t> </w:t>
      </w:r>
    </w:p>
    <w:p>
      <w:pPr>
        <w:pStyle w:val="BodyText"/>
        <w:spacing w:before="63"/>
        <w:ind w:left="118"/>
      </w:pPr>
      <w:r>
        <w:rPr>
          <w:rFonts w:ascii="Calibri" w:eastAsia="Calibri"/>
          <w:b/>
        </w:rPr>
        <w:t>(</w:t>
      </w:r>
      <w:r>
        <w:rPr/>
        <w:t>三</w:t>
      </w:r>
      <w:r>
        <w:rPr>
          <w:rFonts w:ascii="Calibri" w:eastAsia="Calibri"/>
          <w:b/>
          <w:spacing w:val="17"/>
        </w:rPr>
        <w:t>) </w:t>
      </w:r>
      <w:r>
        <w:rPr/>
        <w:t>董事、监事、高级管理人员报酬情况</w:t>
      </w:r>
    </w:p>
    <w:p>
      <w:pPr>
        <w:pStyle w:val="BodyText"/>
        <w:spacing w:before="62" w:after="3"/>
        <w:ind w:left="118"/>
      </w:pPr>
      <w:r>
        <w:rPr>
          <w:spacing w:val="-1"/>
        </w:rPr>
        <w:t>√适用 □不适用</w:t>
      </w:r>
      <w:r>
        <w:rPr>
          <w:spacing w:val="-3"/>
        </w:rPr>
        <w:t> </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2"/>
        <w:gridCol w:w="6032"/>
      </w:tblGrid>
      <w:tr>
        <w:trPr>
          <w:trHeight w:val="786" w:hRule="atLeast"/>
        </w:trPr>
        <w:tc>
          <w:tcPr>
            <w:tcW w:w="2792" w:type="dxa"/>
          </w:tcPr>
          <w:p>
            <w:pPr>
              <w:pStyle w:val="TableParagraph"/>
              <w:spacing w:line="244" w:lineRule="auto" w:before="121"/>
              <w:ind w:left="107" w:right="96"/>
              <w:rPr>
                <w:sz w:val="21"/>
              </w:rPr>
            </w:pPr>
            <w:r>
              <w:rPr>
                <w:sz w:val="21"/>
              </w:rPr>
              <w:t>董事、监事、高级管理人员报酬的决策程序 </w:t>
            </w:r>
          </w:p>
        </w:tc>
        <w:tc>
          <w:tcPr>
            <w:tcW w:w="6032" w:type="dxa"/>
          </w:tcPr>
          <w:p>
            <w:pPr>
              <w:pStyle w:val="TableParagraph"/>
              <w:spacing w:line="244" w:lineRule="auto" w:before="1"/>
              <w:ind w:left="107" w:right="89"/>
              <w:rPr>
                <w:sz w:val="21"/>
              </w:rPr>
            </w:pPr>
            <w:r>
              <w:rPr>
                <w:sz w:val="21"/>
              </w:rPr>
              <w:t>根据《公司章程》有关规定，董事、独立董事、监事的报酬由公司股东大会决定，高级管理人员的报酬由公司董事会决定。</w:t>
            </w:r>
          </w:p>
          <w:p>
            <w:pPr>
              <w:pStyle w:val="TableParagraph"/>
              <w:spacing w:line="217" w:lineRule="exact"/>
              <w:ind w:left="107"/>
              <w:rPr>
                <w:rFonts w:ascii="Times New Roman"/>
                <w:sz w:val="21"/>
              </w:rPr>
            </w:pPr>
            <w:r>
              <w:rPr>
                <w:rFonts w:ascii="Times New Roman"/>
                <w:w w:val="402"/>
                <w:sz w:val="21"/>
              </w:rPr>
              <w:t> </w:t>
            </w:r>
          </w:p>
        </w:tc>
      </w:tr>
      <w:tr>
        <w:trPr>
          <w:trHeight w:val="1360" w:hRule="atLeast"/>
        </w:trPr>
        <w:tc>
          <w:tcPr>
            <w:tcW w:w="2792" w:type="dxa"/>
          </w:tcPr>
          <w:p>
            <w:pPr>
              <w:pStyle w:val="TableParagraph"/>
              <w:rPr>
                <w:sz w:val="20"/>
              </w:rPr>
            </w:pPr>
          </w:p>
          <w:p>
            <w:pPr>
              <w:pStyle w:val="TableParagraph"/>
              <w:spacing w:line="244" w:lineRule="auto" w:before="152"/>
              <w:ind w:left="107" w:right="96"/>
              <w:rPr>
                <w:sz w:val="21"/>
              </w:rPr>
            </w:pPr>
            <w:r>
              <w:rPr>
                <w:sz w:val="21"/>
              </w:rPr>
              <w:t>董事、监事、高级管理人员报酬确定依据 </w:t>
            </w:r>
          </w:p>
        </w:tc>
        <w:tc>
          <w:tcPr>
            <w:tcW w:w="6032" w:type="dxa"/>
          </w:tcPr>
          <w:p>
            <w:pPr>
              <w:pStyle w:val="TableParagraph"/>
              <w:spacing w:line="242" w:lineRule="auto" w:before="1"/>
              <w:ind w:left="107" w:right="89"/>
              <w:jc w:val="both"/>
              <w:rPr>
                <w:sz w:val="21"/>
              </w:rPr>
            </w:pPr>
            <w:r>
              <w:rPr>
                <w:sz w:val="21"/>
              </w:rPr>
              <w:t>内部董事根据在公司担任的具体管理职务，并结合目前经济环境、公司所处行业、公司的经营情况、相关薪酬制度以及绩效考核结果，支付其薪酬。外部董事薪酬采用津贴制，由基本薪酬、董事会及董事会专门委员会参会薪酬及董事会专门委员会</w:t>
            </w:r>
          </w:p>
          <w:p>
            <w:pPr>
              <w:pStyle w:val="TableParagraph"/>
              <w:spacing w:line="250" w:lineRule="exact" w:before="3"/>
              <w:ind w:left="107"/>
              <w:rPr>
                <w:sz w:val="21"/>
              </w:rPr>
            </w:pPr>
            <w:r>
              <w:rPr>
                <w:sz w:val="21"/>
              </w:rPr>
              <w:t>召集人薪酬组成。</w:t>
            </w:r>
          </w:p>
        </w:tc>
      </w:tr>
      <w:tr>
        <w:trPr>
          <w:trHeight w:val="544" w:hRule="atLeast"/>
        </w:trPr>
        <w:tc>
          <w:tcPr>
            <w:tcW w:w="2792" w:type="dxa"/>
          </w:tcPr>
          <w:p>
            <w:pPr>
              <w:pStyle w:val="TableParagraph"/>
              <w:spacing w:before="1"/>
              <w:ind w:left="107"/>
              <w:rPr>
                <w:sz w:val="21"/>
              </w:rPr>
            </w:pPr>
            <w:r>
              <w:rPr>
                <w:sz w:val="21"/>
              </w:rPr>
              <w:t>董事、监事和高级管理人员</w:t>
            </w:r>
          </w:p>
          <w:p>
            <w:pPr>
              <w:pStyle w:val="TableParagraph"/>
              <w:spacing w:line="250" w:lineRule="exact" w:before="4"/>
              <w:ind w:left="107"/>
              <w:rPr>
                <w:sz w:val="21"/>
              </w:rPr>
            </w:pPr>
            <w:r>
              <w:rPr>
                <w:spacing w:val="-1"/>
                <w:sz w:val="21"/>
              </w:rPr>
              <w:t>报酬的实际支付情况</w:t>
            </w:r>
            <w:r>
              <w:rPr>
                <w:sz w:val="21"/>
              </w:rPr>
              <w:t> </w:t>
            </w:r>
          </w:p>
        </w:tc>
        <w:tc>
          <w:tcPr>
            <w:tcW w:w="6032" w:type="dxa"/>
          </w:tcPr>
          <w:p>
            <w:pPr>
              <w:pStyle w:val="TableParagraph"/>
              <w:spacing w:before="1"/>
              <w:ind w:left="107"/>
              <w:rPr>
                <w:sz w:val="21"/>
              </w:rPr>
            </w:pPr>
            <w:r>
              <w:rPr>
                <w:sz w:val="21"/>
              </w:rPr>
              <w:t>本报告期，公司董事、监事、高级管理人员报酬的实际支付与</w:t>
            </w:r>
          </w:p>
          <w:p>
            <w:pPr>
              <w:pStyle w:val="TableParagraph"/>
              <w:spacing w:line="250" w:lineRule="exact" w:before="4"/>
              <w:ind w:left="107"/>
              <w:rPr>
                <w:sz w:val="21"/>
              </w:rPr>
            </w:pPr>
            <w:r>
              <w:rPr>
                <w:sz w:val="21"/>
              </w:rPr>
              <w:t>公司披露的情况一致。</w:t>
            </w:r>
          </w:p>
        </w:tc>
      </w:tr>
      <w:tr>
        <w:trPr>
          <w:trHeight w:val="817" w:hRule="atLeast"/>
        </w:trPr>
        <w:tc>
          <w:tcPr>
            <w:tcW w:w="2792" w:type="dxa"/>
          </w:tcPr>
          <w:p>
            <w:pPr>
              <w:pStyle w:val="TableParagraph"/>
              <w:spacing w:line="270" w:lineRule="atLeast"/>
              <w:ind w:left="107" w:right="96"/>
              <w:jc w:val="both"/>
              <w:rPr>
                <w:sz w:val="21"/>
              </w:rPr>
            </w:pPr>
            <w:r>
              <w:rPr>
                <w:sz w:val="21"/>
              </w:rPr>
              <w:t>报告期末全体董事、监事和高级管理人员实际获得的报酬合计 </w:t>
            </w:r>
          </w:p>
        </w:tc>
        <w:tc>
          <w:tcPr>
            <w:tcW w:w="6032" w:type="dxa"/>
          </w:tcPr>
          <w:p>
            <w:pPr>
              <w:pStyle w:val="TableParagraph"/>
              <w:spacing w:line="242" w:lineRule="auto" w:before="3"/>
              <w:ind w:left="107" w:right="94"/>
              <w:rPr>
                <w:sz w:val="21"/>
              </w:rPr>
            </w:pPr>
            <w:r>
              <w:rPr>
                <w:spacing w:val="11"/>
                <w:sz w:val="21"/>
              </w:rPr>
              <w:t>本报告期，公司全体董事、监事和高级管理人员（</w:t>
            </w:r>
            <w:r>
              <w:rPr>
                <w:spacing w:val="9"/>
                <w:sz w:val="21"/>
              </w:rPr>
              <w:t>含当年离</w:t>
            </w:r>
            <w:r>
              <w:rPr>
                <w:spacing w:val="-1"/>
                <w:sz w:val="21"/>
              </w:rPr>
              <w:t>任</w:t>
            </w:r>
            <w:r>
              <w:rPr>
                <w:sz w:val="21"/>
              </w:rPr>
              <w:t>）</w:t>
            </w:r>
            <w:r>
              <w:rPr>
                <w:spacing w:val="-4"/>
                <w:sz w:val="21"/>
              </w:rPr>
              <w:t>从公司获得的税前报酬总额为人民币 </w:t>
            </w:r>
            <w:r>
              <w:rPr>
                <w:rFonts w:ascii="Times New Roman" w:eastAsia="Times New Roman"/>
                <w:sz w:val="21"/>
              </w:rPr>
              <w:t>3,468.10</w:t>
            </w:r>
            <w:r>
              <w:rPr>
                <w:rFonts w:ascii="Times New Roman" w:eastAsia="Times New Roman"/>
                <w:spacing w:val="-12"/>
                <w:sz w:val="21"/>
              </w:rPr>
              <w:t> </w:t>
            </w:r>
            <w:r>
              <w:rPr>
                <w:sz w:val="21"/>
              </w:rPr>
              <w:t>万元。</w:t>
            </w:r>
          </w:p>
        </w:tc>
      </w:tr>
    </w:tbl>
    <w:p>
      <w:pPr>
        <w:pStyle w:val="BodyText"/>
        <w:spacing w:before="1"/>
        <w:ind w:left="118"/>
      </w:pPr>
      <w:r>
        <w:rPr>
          <w:w w:val="100"/>
        </w:rPr>
        <w:t> </w:t>
      </w:r>
    </w:p>
    <w:p>
      <w:pPr>
        <w:pStyle w:val="BodyText"/>
        <w:spacing w:before="64"/>
        <w:ind w:left="118"/>
      </w:pPr>
      <w:r>
        <w:rPr>
          <w:rFonts w:ascii="Calibri" w:eastAsia="Calibri"/>
          <w:b/>
        </w:rPr>
        <w:t>(</w:t>
      </w:r>
      <w:r>
        <w:rPr/>
        <w:t>四</w:t>
      </w:r>
      <w:r>
        <w:rPr>
          <w:rFonts w:ascii="Calibri" w:eastAsia="Calibri"/>
          <w:b/>
          <w:spacing w:val="18"/>
        </w:rPr>
        <w:t>) </w:t>
      </w:r>
      <w:r>
        <w:rPr/>
        <w:t>公司董事、监事、高级管理人员变动情况</w:t>
      </w:r>
    </w:p>
    <w:p>
      <w:pPr>
        <w:pStyle w:val="BodyText"/>
        <w:spacing w:before="63" w:after="3"/>
        <w:ind w:left="118"/>
      </w:pPr>
      <w:r>
        <w:rPr>
          <w:spacing w:val="-1"/>
        </w:rPr>
        <w:t>√适用 □不适用</w:t>
      </w:r>
      <w:r>
        <w:rPr>
          <w:spacing w:val="-3"/>
        </w:rPr>
        <w:t> </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5"/>
        <w:gridCol w:w="2160"/>
        <w:gridCol w:w="2157"/>
        <w:gridCol w:w="2160"/>
      </w:tblGrid>
      <w:tr>
        <w:trPr>
          <w:trHeight w:val="270" w:hRule="atLeast"/>
        </w:trPr>
        <w:tc>
          <w:tcPr>
            <w:tcW w:w="2345" w:type="dxa"/>
          </w:tcPr>
          <w:p>
            <w:pPr>
              <w:pStyle w:val="TableParagraph"/>
              <w:spacing w:line="250" w:lineRule="exact" w:before="1"/>
              <w:ind w:left="889" w:right="775"/>
              <w:jc w:val="center"/>
              <w:rPr>
                <w:sz w:val="21"/>
              </w:rPr>
            </w:pPr>
            <w:r>
              <w:rPr>
                <w:sz w:val="21"/>
              </w:rPr>
              <w:t>姓名 </w:t>
            </w:r>
          </w:p>
        </w:tc>
        <w:tc>
          <w:tcPr>
            <w:tcW w:w="2160" w:type="dxa"/>
          </w:tcPr>
          <w:p>
            <w:pPr>
              <w:pStyle w:val="TableParagraph"/>
              <w:spacing w:line="250" w:lineRule="exact" w:before="1"/>
              <w:ind w:left="485" w:right="370"/>
              <w:jc w:val="center"/>
              <w:rPr>
                <w:sz w:val="21"/>
              </w:rPr>
            </w:pPr>
            <w:r>
              <w:rPr>
                <w:sz w:val="21"/>
              </w:rPr>
              <w:t>担任的职务 </w:t>
            </w:r>
          </w:p>
        </w:tc>
        <w:tc>
          <w:tcPr>
            <w:tcW w:w="2157" w:type="dxa"/>
          </w:tcPr>
          <w:p>
            <w:pPr>
              <w:pStyle w:val="TableParagraph"/>
              <w:spacing w:line="250" w:lineRule="exact" w:before="1"/>
              <w:ind w:left="692" w:right="578"/>
              <w:jc w:val="center"/>
              <w:rPr>
                <w:sz w:val="21"/>
              </w:rPr>
            </w:pPr>
            <w:r>
              <w:rPr>
                <w:spacing w:val="-1"/>
                <w:sz w:val="21"/>
              </w:rPr>
              <w:t>变动情形</w:t>
            </w:r>
            <w:r>
              <w:rPr>
                <w:sz w:val="21"/>
              </w:rPr>
              <w:t> </w:t>
            </w:r>
          </w:p>
        </w:tc>
        <w:tc>
          <w:tcPr>
            <w:tcW w:w="2160" w:type="dxa"/>
          </w:tcPr>
          <w:p>
            <w:pPr>
              <w:pStyle w:val="TableParagraph"/>
              <w:spacing w:line="250" w:lineRule="exact" w:before="1"/>
              <w:ind w:left="486" w:right="367"/>
              <w:jc w:val="center"/>
              <w:rPr>
                <w:sz w:val="21"/>
              </w:rPr>
            </w:pPr>
            <w:r>
              <w:rPr>
                <w:spacing w:val="-1"/>
                <w:sz w:val="21"/>
              </w:rPr>
              <w:t>变动原因</w:t>
            </w:r>
            <w:r>
              <w:rPr>
                <w:sz w:val="21"/>
              </w:rPr>
              <w:t> </w:t>
            </w:r>
          </w:p>
        </w:tc>
      </w:tr>
      <w:tr>
        <w:trPr>
          <w:trHeight w:val="273" w:hRule="atLeast"/>
        </w:trPr>
        <w:tc>
          <w:tcPr>
            <w:tcW w:w="2345" w:type="dxa"/>
          </w:tcPr>
          <w:p>
            <w:pPr>
              <w:pStyle w:val="TableParagraph"/>
              <w:spacing w:line="252" w:lineRule="exact" w:before="1"/>
              <w:ind w:left="889" w:right="775"/>
              <w:jc w:val="center"/>
              <w:rPr>
                <w:sz w:val="21"/>
              </w:rPr>
            </w:pPr>
            <w:r>
              <w:rPr>
                <w:sz w:val="21"/>
              </w:rPr>
              <w:t>王健民 </w:t>
            </w:r>
          </w:p>
        </w:tc>
        <w:tc>
          <w:tcPr>
            <w:tcW w:w="2160" w:type="dxa"/>
          </w:tcPr>
          <w:p>
            <w:pPr>
              <w:pStyle w:val="TableParagraph"/>
              <w:spacing w:line="252" w:lineRule="exact" w:before="1"/>
              <w:ind w:left="483" w:right="370"/>
              <w:jc w:val="center"/>
              <w:rPr>
                <w:sz w:val="21"/>
              </w:rPr>
            </w:pPr>
            <w:r>
              <w:rPr>
                <w:sz w:val="21"/>
              </w:rPr>
              <w:t>董事 </w:t>
            </w:r>
          </w:p>
        </w:tc>
        <w:tc>
          <w:tcPr>
            <w:tcW w:w="2157" w:type="dxa"/>
          </w:tcPr>
          <w:p>
            <w:pPr>
              <w:pStyle w:val="TableParagraph"/>
              <w:spacing w:line="252" w:lineRule="exact" w:before="1"/>
              <w:ind w:left="690" w:right="578"/>
              <w:jc w:val="center"/>
              <w:rPr>
                <w:sz w:val="21"/>
              </w:rPr>
            </w:pPr>
            <w:r>
              <w:rPr>
                <w:sz w:val="21"/>
              </w:rPr>
              <w:t>离任 </w:t>
            </w:r>
          </w:p>
        </w:tc>
        <w:tc>
          <w:tcPr>
            <w:tcW w:w="2160" w:type="dxa"/>
          </w:tcPr>
          <w:p>
            <w:pPr>
              <w:pStyle w:val="TableParagraph"/>
              <w:spacing w:line="252" w:lineRule="exact" w:before="1"/>
              <w:ind w:left="486" w:right="367"/>
              <w:jc w:val="center"/>
              <w:rPr>
                <w:sz w:val="21"/>
              </w:rPr>
            </w:pPr>
            <w:r>
              <w:rPr>
                <w:spacing w:val="-1"/>
                <w:sz w:val="21"/>
              </w:rPr>
              <w:t>个人原因</w:t>
            </w:r>
            <w:r>
              <w:rPr>
                <w:sz w:val="21"/>
              </w:rPr>
              <w:t> </w:t>
            </w:r>
          </w:p>
        </w:tc>
      </w:tr>
      <w:tr>
        <w:trPr>
          <w:trHeight w:val="270" w:hRule="atLeast"/>
        </w:trPr>
        <w:tc>
          <w:tcPr>
            <w:tcW w:w="2345" w:type="dxa"/>
          </w:tcPr>
          <w:p>
            <w:pPr>
              <w:pStyle w:val="TableParagraph"/>
              <w:spacing w:line="250" w:lineRule="exact" w:before="1"/>
              <w:ind w:left="889" w:right="775"/>
              <w:jc w:val="center"/>
              <w:rPr>
                <w:sz w:val="21"/>
              </w:rPr>
            </w:pPr>
            <w:r>
              <w:rPr>
                <w:sz w:val="21"/>
              </w:rPr>
              <w:t>刘俊杰 </w:t>
            </w:r>
          </w:p>
        </w:tc>
        <w:tc>
          <w:tcPr>
            <w:tcW w:w="2160" w:type="dxa"/>
          </w:tcPr>
          <w:p>
            <w:pPr>
              <w:pStyle w:val="TableParagraph"/>
              <w:spacing w:line="250" w:lineRule="exact" w:before="1"/>
              <w:ind w:left="483" w:right="370"/>
              <w:jc w:val="center"/>
              <w:rPr>
                <w:sz w:val="21"/>
              </w:rPr>
            </w:pPr>
            <w:r>
              <w:rPr>
                <w:sz w:val="21"/>
              </w:rPr>
              <w:t>董事 </w:t>
            </w:r>
          </w:p>
        </w:tc>
        <w:tc>
          <w:tcPr>
            <w:tcW w:w="2157" w:type="dxa"/>
          </w:tcPr>
          <w:p>
            <w:pPr>
              <w:pStyle w:val="TableParagraph"/>
              <w:spacing w:line="250" w:lineRule="exact" w:before="1"/>
              <w:ind w:left="690" w:right="578"/>
              <w:jc w:val="center"/>
              <w:rPr>
                <w:sz w:val="21"/>
              </w:rPr>
            </w:pPr>
            <w:r>
              <w:rPr>
                <w:sz w:val="21"/>
              </w:rPr>
              <w:t>选举 </w:t>
            </w:r>
          </w:p>
        </w:tc>
        <w:tc>
          <w:tcPr>
            <w:tcW w:w="2160" w:type="dxa"/>
          </w:tcPr>
          <w:p>
            <w:pPr>
              <w:pStyle w:val="TableParagraph"/>
              <w:spacing w:line="250" w:lineRule="exact" w:before="1"/>
              <w:ind w:left="486" w:right="370"/>
              <w:jc w:val="center"/>
              <w:rPr>
                <w:sz w:val="21"/>
              </w:rPr>
            </w:pPr>
            <w:r>
              <w:rPr>
                <w:spacing w:val="-1"/>
                <w:sz w:val="21"/>
              </w:rPr>
              <w:t>股东大会选举</w:t>
            </w:r>
            <w:r>
              <w:rPr>
                <w:sz w:val="21"/>
              </w:rPr>
              <w:t> </w:t>
            </w:r>
          </w:p>
        </w:tc>
      </w:tr>
      <w:tr>
        <w:trPr>
          <w:trHeight w:val="273" w:hRule="atLeast"/>
        </w:trPr>
        <w:tc>
          <w:tcPr>
            <w:tcW w:w="2345" w:type="dxa"/>
          </w:tcPr>
          <w:p>
            <w:pPr>
              <w:pStyle w:val="TableParagraph"/>
              <w:spacing w:line="250" w:lineRule="exact" w:before="4"/>
              <w:ind w:left="889" w:right="775"/>
              <w:jc w:val="center"/>
              <w:rPr>
                <w:sz w:val="21"/>
              </w:rPr>
            </w:pPr>
            <w:r>
              <w:rPr>
                <w:spacing w:val="34"/>
                <w:sz w:val="21"/>
              </w:rPr>
              <w:t>熊 毅</w:t>
            </w:r>
            <w:r>
              <w:rPr>
                <w:sz w:val="21"/>
              </w:rPr>
              <w:t> </w:t>
            </w:r>
          </w:p>
        </w:tc>
        <w:tc>
          <w:tcPr>
            <w:tcW w:w="2160" w:type="dxa"/>
          </w:tcPr>
          <w:p>
            <w:pPr>
              <w:pStyle w:val="TableParagraph"/>
              <w:spacing w:line="250" w:lineRule="exact" w:before="4"/>
              <w:ind w:left="485" w:right="370"/>
              <w:jc w:val="center"/>
              <w:rPr>
                <w:sz w:val="21"/>
              </w:rPr>
            </w:pPr>
            <w:r>
              <w:rPr>
                <w:spacing w:val="-1"/>
                <w:sz w:val="21"/>
              </w:rPr>
              <w:t>副总经理</w:t>
            </w:r>
            <w:r>
              <w:rPr>
                <w:sz w:val="21"/>
              </w:rPr>
              <w:t> </w:t>
            </w:r>
          </w:p>
        </w:tc>
        <w:tc>
          <w:tcPr>
            <w:tcW w:w="2157" w:type="dxa"/>
          </w:tcPr>
          <w:p>
            <w:pPr>
              <w:pStyle w:val="TableParagraph"/>
              <w:spacing w:line="250" w:lineRule="exact" w:before="4"/>
              <w:ind w:left="690" w:right="578"/>
              <w:jc w:val="center"/>
              <w:rPr>
                <w:sz w:val="21"/>
              </w:rPr>
            </w:pPr>
            <w:r>
              <w:rPr>
                <w:sz w:val="21"/>
              </w:rPr>
              <w:t>离任 </w:t>
            </w:r>
          </w:p>
        </w:tc>
        <w:tc>
          <w:tcPr>
            <w:tcW w:w="2160" w:type="dxa"/>
          </w:tcPr>
          <w:p>
            <w:pPr>
              <w:pStyle w:val="TableParagraph"/>
              <w:spacing w:line="250" w:lineRule="exact" w:before="4"/>
              <w:ind w:left="486" w:right="367"/>
              <w:jc w:val="center"/>
              <w:rPr>
                <w:sz w:val="21"/>
              </w:rPr>
            </w:pPr>
            <w:r>
              <w:rPr>
                <w:spacing w:val="-1"/>
                <w:sz w:val="21"/>
              </w:rPr>
              <w:t>个人原因</w:t>
            </w:r>
            <w:r>
              <w:rPr>
                <w:sz w:val="21"/>
              </w:rPr>
              <w:t> </w:t>
            </w:r>
          </w:p>
        </w:tc>
      </w:tr>
    </w:tbl>
    <w:p>
      <w:pPr>
        <w:pStyle w:val="BodyText"/>
        <w:spacing w:before="1"/>
        <w:ind w:left="118"/>
      </w:pPr>
      <w:r>
        <w:rPr>
          <w:w w:val="100"/>
        </w:rPr>
        <w:t> </w:t>
      </w:r>
    </w:p>
    <w:p>
      <w:pPr>
        <w:pStyle w:val="BodyText"/>
        <w:spacing w:before="64"/>
        <w:ind w:left="118"/>
      </w:pPr>
      <w:r>
        <w:rPr>
          <w:rFonts w:ascii="Calibri" w:eastAsia="Calibri"/>
          <w:b/>
        </w:rPr>
        <w:t>(</w:t>
      </w:r>
      <w:r>
        <w:rPr/>
        <w:t>五</w:t>
      </w:r>
      <w:r>
        <w:rPr>
          <w:rFonts w:ascii="Calibri" w:eastAsia="Calibri"/>
          <w:b/>
          <w:spacing w:val="18"/>
        </w:rPr>
        <w:t>) </w:t>
      </w:r>
      <w:r>
        <w:rPr/>
        <w:t>近三年受证券监管机构处罚的情况说明</w:t>
      </w:r>
    </w:p>
    <w:p>
      <w:pPr>
        <w:pStyle w:val="BodyText"/>
        <w:spacing w:before="63"/>
        <w:ind w:left="118"/>
      </w:pPr>
      <w:r>
        <w:rPr>
          <w:spacing w:val="-1"/>
        </w:rPr>
        <w:t>□适用 √不适用</w:t>
      </w:r>
      <w:r>
        <w:rPr>
          <w:spacing w:val="-3"/>
        </w:rPr>
        <w:t> </w:t>
      </w:r>
      <w:r>
        <w:rPr/>
        <w:t> </w:t>
      </w:r>
    </w:p>
    <w:p>
      <w:pPr>
        <w:pStyle w:val="BodyText"/>
        <w:spacing w:before="4"/>
        <w:ind w:left="118"/>
      </w:pPr>
      <w:r>
        <w:rPr>
          <w:w w:val="100"/>
        </w:rPr>
        <w:t> </w:t>
      </w:r>
    </w:p>
    <w:p>
      <w:pPr>
        <w:spacing w:before="62"/>
        <w:ind w:left="118" w:right="0" w:firstLine="0"/>
        <w:jc w:val="left"/>
        <w:rPr>
          <w:sz w:val="21"/>
        </w:rPr>
      </w:pPr>
      <w:r>
        <w:rPr>
          <w:rFonts w:ascii="Calibri" w:eastAsia="Calibri"/>
          <w:b/>
          <w:sz w:val="21"/>
        </w:rPr>
        <w:t>(</w:t>
      </w:r>
      <w:r>
        <w:rPr>
          <w:sz w:val="21"/>
        </w:rPr>
        <w:t>六</w:t>
      </w:r>
      <w:r>
        <w:rPr>
          <w:rFonts w:ascii="Calibri" w:eastAsia="Calibri"/>
          <w:b/>
          <w:spacing w:val="15"/>
          <w:sz w:val="21"/>
        </w:rPr>
        <w:t>) </w:t>
      </w:r>
      <w:r>
        <w:rPr>
          <w:sz w:val="21"/>
        </w:rPr>
        <w:t>其他</w:t>
      </w:r>
    </w:p>
    <w:p>
      <w:pPr>
        <w:pStyle w:val="BodyText"/>
        <w:spacing w:before="65"/>
        <w:ind w:left="118"/>
      </w:pPr>
      <w:r>
        <w:rPr>
          <w:spacing w:val="11"/>
        </w:rPr>
        <w:t>□适用 √不适用</w:t>
      </w:r>
      <w:r>
        <w:rPr>
          <w:spacing w:val="-3"/>
        </w:rPr>
        <w:t> </w:t>
      </w:r>
      <w:r>
        <w:rPr/>
        <w:t> </w:t>
      </w:r>
    </w:p>
    <w:p>
      <w:pPr>
        <w:pStyle w:val="BodyText"/>
        <w:spacing w:before="62"/>
        <w:ind w:left="118"/>
      </w:pPr>
      <w:r>
        <w:rPr>
          <w:spacing w:val="-9"/>
        </w:rPr>
        <w:t>五、 报告期内召开的董事会有关情况</w:t>
      </w:r>
    </w:p>
    <w:p>
      <w:pPr>
        <w:pStyle w:val="BodyText"/>
        <w:spacing w:before="12"/>
        <w:ind w:left="0"/>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1986"/>
        <w:gridCol w:w="5142"/>
      </w:tblGrid>
      <w:tr>
        <w:trPr>
          <w:trHeight w:val="270" w:hRule="atLeast"/>
        </w:trPr>
        <w:tc>
          <w:tcPr>
            <w:tcW w:w="1697" w:type="dxa"/>
          </w:tcPr>
          <w:p>
            <w:pPr>
              <w:pStyle w:val="TableParagraph"/>
              <w:spacing w:line="250" w:lineRule="exact" w:before="1"/>
              <w:ind w:left="426"/>
              <w:rPr>
                <w:sz w:val="21"/>
              </w:rPr>
            </w:pPr>
            <w:r>
              <w:rPr>
                <w:spacing w:val="-1"/>
                <w:sz w:val="21"/>
              </w:rPr>
              <w:t>会议届次</w:t>
            </w:r>
            <w:r>
              <w:rPr>
                <w:sz w:val="21"/>
              </w:rPr>
              <w:t> </w:t>
            </w:r>
          </w:p>
        </w:tc>
        <w:tc>
          <w:tcPr>
            <w:tcW w:w="1986" w:type="dxa"/>
          </w:tcPr>
          <w:p>
            <w:pPr>
              <w:pStyle w:val="TableParagraph"/>
              <w:spacing w:line="250" w:lineRule="exact" w:before="1"/>
              <w:ind w:left="571"/>
              <w:rPr>
                <w:sz w:val="21"/>
              </w:rPr>
            </w:pPr>
            <w:r>
              <w:rPr>
                <w:spacing w:val="-1"/>
                <w:sz w:val="21"/>
              </w:rPr>
              <w:t>召开日期</w:t>
            </w:r>
            <w:r>
              <w:rPr>
                <w:sz w:val="21"/>
              </w:rPr>
              <w:t> </w:t>
            </w:r>
          </w:p>
        </w:tc>
        <w:tc>
          <w:tcPr>
            <w:tcW w:w="5142" w:type="dxa"/>
          </w:tcPr>
          <w:p>
            <w:pPr>
              <w:pStyle w:val="TableParagraph"/>
              <w:spacing w:line="250" w:lineRule="exact" w:before="1"/>
              <w:ind w:left="2184" w:right="2071"/>
              <w:jc w:val="center"/>
              <w:rPr>
                <w:sz w:val="21"/>
              </w:rPr>
            </w:pPr>
            <w:r>
              <w:rPr>
                <w:spacing w:val="-1"/>
                <w:sz w:val="21"/>
              </w:rPr>
              <w:t>会议决议</w:t>
            </w:r>
            <w:r>
              <w:rPr>
                <w:sz w:val="21"/>
              </w:rPr>
              <w:t> </w:t>
            </w:r>
          </w:p>
        </w:tc>
      </w:tr>
    </w:tbl>
    <w:p>
      <w:pPr>
        <w:spacing w:after="0" w:line="250" w:lineRule="exact"/>
        <w:jc w:val="center"/>
        <w:rPr>
          <w:sz w:val="21"/>
        </w:rPr>
        <w:sectPr>
          <w:pgSz w:w="11910" w:h="16840"/>
          <w:pgMar w:header="877" w:footer="1180" w:top="1460" w:bottom="1380" w:left="1680" w:right="1160"/>
        </w:sectPr>
      </w:pPr>
    </w:p>
    <w:p>
      <w:pPr>
        <w:pStyle w:val="BodyText"/>
        <w:spacing w:before="9"/>
        <w:ind w:left="0"/>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1986"/>
        <w:gridCol w:w="5142"/>
      </w:tblGrid>
      <w:tr>
        <w:trPr>
          <w:trHeight w:val="1089" w:hRule="atLeast"/>
        </w:trPr>
        <w:tc>
          <w:tcPr>
            <w:tcW w:w="1697" w:type="dxa"/>
          </w:tcPr>
          <w:p>
            <w:pPr>
              <w:pStyle w:val="TableParagraph"/>
              <w:spacing w:before="5"/>
              <w:rPr>
                <w:sz w:val="21"/>
              </w:rPr>
            </w:pPr>
          </w:p>
          <w:p>
            <w:pPr>
              <w:pStyle w:val="TableParagraph"/>
              <w:spacing w:line="244" w:lineRule="auto" w:before="1"/>
              <w:ind w:left="107" w:right="103"/>
              <w:rPr>
                <w:sz w:val="21"/>
              </w:rPr>
            </w:pPr>
            <w:r>
              <w:rPr>
                <w:sz w:val="21"/>
              </w:rPr>
              <w:t>第二届董事会第十九次会议</w:t>
            </w:r>
          </w:p>
        </w:tc>
        <w:tc>
          <w:tcPr>
            <w:tcW w:w="1986" w:type="dxa"/>
          </w:tcPr>
          <w:p>
            <w:pPr>
              <w:pStyle w:val="TableParagraph"/>
              <w:spacing w:before="1"/>
              <w:rPr>
                <w:sz w:val="32"/>
              </w:rPr>
            </w:pPr>
          </w:p>
          <w:p>
            <w:pPr>
              <w:pStyle w:val="TableParagraph"/>
              <w:ind w:left="107"/>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3</w:t>
            </w:r>
            <w:r>
              <w:rPr>
                <w:rFonts w:ascii="Times New Roman" w:eastAsia="Times New Roman"/>
                <w:spacing w:val="-9"/>
                <w:sz w:val="21"/>
              </w:rPr>
              <w:t> </w:t>
            </w:r>
            <w:r>
              <w:rPr>
                <w:spacing w:val="-27"/>
                <w:sz w:val="21"/>
              </w:rPr>
              <w:t>月 </w:t>
            </w:r>
            <w:r>
              <w:rPr>
                <w:rFonts w:ascii="Times New Roman" w:eastAsia="Times New Roman"/>
                <w:sz w:val="21"/>
              </w:rPr>
              <w:t>22</w:t>
            </w:r>
            <w:r>
              <w:rPr>
                <w:rFonts w:ascii="Times New Roman" w:eastAsia="Times New Roman"/>
                <w:spacing w:val="-11"/>
                <w:sz w:val="21"/>
              </w:rPr>
              <w:t> </w:t>
            </w:r>
            <w:r>
              <w:rPr>
                <w:sz w:val="21"/>
              </w:rPr>
              <w:t>日</w:t>
            </w:r>
          </w:p>
        </w:tc>
        <w:tc>
          <w:tcPr>
            <w:tcW w:w="5142" w:type="dxa"/>
          </w:tcPr>
          <w:p>
            <w:pPr>
              <w:pStyle w:val="TableParagraph"/>
              <w:spacing w:before="3"/>
              <w:ind w:left="106"/>
              <w:rPr>
                <w:sz w:val="21"/>
              </w:rPr>
            </w:pPr>
            <w:r>
              <w:rPr>
                <w:spacing w:val="-1"/>
                <w:sz w:val="21"/>
              </w:rPr>
              <w:t>审议通过《关于</w:t>
            </w:r>
            <w:r>
              <w:rPr>
                <w:rFonts w:ascii="Times New Roman" w:eastAsia="Times New Roman"/>
                <w:sz w:val="21"/>
              </w:rPr>
              <w:t>&lt;</w:t>
            </w:r>
            <w:r>
              <w:rPr>
                <w:sz w:val="21"/>
              </w:rPr>
              <w:t>富士康工业互联网股份有限公司</w:t>
            </w:r>
          </w:p>
          <w:p>
            <w:pPr>
              <w:pStyle w:val="TableParagraph"/>
              <w:spacing w:before="3"/>
              <w:ind w:left="106"/>
              <w:rPr>
                <w:sz w:val="21"/>
              </w:rPr>
            </w:pPr>
            <w:r>
              <w:rPr>
                <w:rFonts w:ascii="Times New Roman" w:eastAsia="Times New Roman"/>
                <w:spacing w:val="-1"/>
                <w:sz w:val="21"/>
              </w:rPr>
              <w:t>2021</w:t>
            </w:r>
            <w:r>
              <w:rPr>
                <w:rFonts w:ascii="Times New Roman" w:eastAsia="Times New Roman"/>
                <w:spacing w:val="-13"/>
                <w:sz w:val="21"/>
              </w:rPr>
              <w:t> </w:t>
            </w:r>
            <w:r>
              <w:rPr>
                <w:spacing w:val="-1"/>
                <w:sz w:val="21"/>
              </w:rPr>
              <w:t>年度董事会工作报告</w:t>
            </w:r>
            <w:r>
              <w:rPr>
                <w:rFonts w:ascii="Times New Roman" w:eastAsia="Times New Roman"/>
                <w:sz w:val="21"/>
              </w:rPr>
              <w:t>&gt;</w:t>
            </w:r>
            <w:r>
              <w:rPr>
                <w:sz w:val="21"/>
              </w:rPr>
              <w:t>的议案》《关于</w:t>
            </w:r>
            <w:r>
              <w:rPr>
                <w:rFonts w:ascii="Times New Roman" w:eastAsia="Times New Roman"/>
                <w:sz w:val="21"/>
              </w:rPr>
              <w:t>&lt;</w:t>
            </w:r>
            <w:r>
              <w:rPr>
                <w:sz w:val="21"/>
              </w:rPr>
              <w:t>富士康工</w:t>
            </w:r>
          </w:p>
          <w:p>
            <w:pPr>
              <w:pStyle w:val="TableParagraph"/>
              <w:spacing w:before="4"/>
              <w:ind w:left="106"/>
              <w:rPr>
                <w:sz w:val="21"/>
              </w:rPr>
            </w:pPr>
            <w:r>
              <w:rPr>
                <w:spacing w:val="-6"/>
                <w:sz w:val="21"/>
              </w:rPr>
              <w:t>业互联网股份有限公司 </w:t>
            </w:r>
            <w:r>
              <w:rPr>
                <w:rFonts w:ascii="Times New Roman" w:eastAsia="Times New Roman"/>
                <w:sz w:val="21"/>
              </w:rPr>
              <w:t>2021</w:t>
            </w:r>
            <w:r>
              <w:rPr>
                <w:rFonts w:ascii="Times New Roman" w:eastAsia="Times New Roman"/>
                <w:spacing w:val="-10"/>
                <w:sz w:val="21"/>
              </w:rPr>
              <w:t> </w:t>
            </w:r>
            <w:r>
              <w:rPr>
                <w:sz w:val="21"/>
              </w:rPr>
              <w:t>年年度报告</w:t>
            </w:r>
            <w:r>
              <w:rPr>
                <w:rFonts w:ascii="Times New Roman" w:eastAsia="Times New Roman"/>
                <w:sz w:val="21"/>
              </w:rPr>
              <w:t>&gt;</w:t>
            </w:r>
            <w:r>
              <w:rPr>
                <w:sz w:val="21"/>
              </w:rPr>
              <w:t>及摘要的议</w:t>
            </w:r>
          </w:p>
          <w:p>
            <w:pPr>
              <w:pStyle w:val="TableParagraph"/>
              <w:spacing w:line="250" w:lineRule="exact" w:before="2"/>
              <w:ind w:left="106"/>
              <w:rPr>
                <w:sz w:val="21"/>
              </w:rPr>
            </w:pPr>
            <w:r>
              <w:rPr>
                <w:spacing w:val="-14"/>
                <w:sz w:val="21"/>
              </w:rPr>
              <w:t>案》等 </w:t>
            </w:r>
            <w:r>
              <w:rPr>
                <w:rFonts w:ascii="Times New Roman" w:eastAsia="Times New Roman"/>
                <w:sz w:val="21"/>
              </w:rPr>
              <w:t>11</w:t>
            </w:r>
            <w:r>
              <w:rPr>
                <w:rFonts w:ascii="Times New Roman" w:eastAsia="Times New Roman"/>
                <w:spacing w:val="-9"/>
                <w:sz w:val="21"/>
              </w:rPr>
              <w:t> </w:t>
            </w:r>
            <w:r>
              <w:rPr>
                <w:sz w:val="21"/>
              </w:rPr>
              <w:t>项议案</w:t>
            </w:r>
          </w:p>
        </w:tc>
      </w:tr>
      <w:tr>
        <w:trPr>
          <w:trHeight w:val="817" w:hRule="atLeast"/>
        </w:trPr>
        <w:tc>
          <w:tcPr>
            <w:tcW w:w="1697" w:type="dxa"/>
          </w:tcPr>
          <w:p>
            <w:pPr>
              <w:pStyle w:val="TableParagraph"/>
              <w:spacing w:line="244" w:lineRule="auto" w:before="138"/>
              <w:ind w:left="107" w:right="103"/>
              <w:rPr>
                <w:sz w:val="21"/>
              </w:rPr>
            </w:pPr>
            <w:r>
              <w:rPr>
                <w:sz w:val="21"/>
              </w:rPr>
              <w:t>第二届董事会第二十次会议</w:t>
            </w:r>
          </w:p>
        </w:tc>
        <w:tc>
          <w:tcPr>
            <w:tcW w:w="1986" w:type="dxa"/>
          </w:tcPr>
          <w:p>
            <w:pPr>
              <w:pStyle w:val="TableParagraph"/>
              <w:spacing w:before="5"/>
              <w:rPr>
                <w:sz w:val="21"/>
              </w:rPr>
            </w:pPr>
          </w:p>
          <w:p>
            <w:pPr>
              <w:pStyle w:val="TableParagraph"/>
              <w:ind w:left="107"/>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4</w:t>
            </w:r>
            <w:r>
              <w:rPr>
                <w:rFonts w:ascii="Times New Roman" w:eastAsia="Times New Roman"/>
                <w:spacing w:val="-9"/>
                <w:sz w:val="21"/>
              </w:rPr>
              <w:t> </w:t>
            </w:r>
            <w:r>
              <w:rPr>
                <w:spacing w:val="-27"/>
                <w:sz w:val="21"/>
              </w:rPr>
              <w:t>月 </w:t>
            </w:r>
            <w:r>
              <w:rPr>
                <w:rFonts w:ascii="Times New Roman" w:eastAsia="Times New Roman"/>
                <w:sz w:val="21"/>
              </w:rPr>
              <w:t>28</w:t>
            </w:r>
            <w:r>
              <w:rPr>
                <w:rFonts w:ascii="Times New Roman" w:eastAsia="Times New Roman"/>
                <w:spacing w:val="-11"/>
                <w:sz w:val="21"/>
              </w:rPr>
              <w:t> </w:t>
            </w:r>
            <w:r>
              <w:rPr>
                <w:sz w:val="21"/>
              </w:rPr>
              <w:t>日</w:t>
            </w:r>
          </w:p>
        </w:tc>
        <w:tc>
          <w:tcPr>
            <w:tcW w:w="5142" w:type="dxa"/>
          </w:tcPr>
          <w:p>
            <w:pPr>
              <w:pStyle w:val="TableParagraph"/>
              <w:spacing w:before="3"/>
              <w:ind w:left="106"/>
              <w:rPr>
                <w:sz w:val="21"/>
              </w:rPr>
            </w:pPr>
            <w:r>
              <w:rPr>
                <w:spacing w:val="-1"/>
                <w:sz w:val="21"/>
              </w:rPr>
              <w:t>审议通过《关于</w:t>
            </w:r>
            <w:r>
              <w:rPr>
                <w:rFonts w:ascii="Times New Roman" w:eastAsia="Times New Roman"/>
                <w:sz w:val="21"/>
              </w:rPr>
              <w:t>&lt;</w:t>
            </w:r>
            <w:r>
              <w:rPr>
                <w:sz w:val="21"/>
              </w:rPr>
              <w:t>富士康工业互联网股份有限公司</w:t>
            </w:r>
          </w:p>
          <w:p>
            <w:pPr>
              <w:pStyle w:val="TableParagraph"/>
              <w:spacing w:before="2"/>
              <w:ind w:left="106"/>
              <w:rPr>
                <w:sz w:val="21"/>
              </w:rPr>
            </w:pPr>
            <w:r>
              <w:rPr>
                <w:rFonts w:ascii="Times New Roman" w:eastAsia="Times New Roman"/>
                <w:spacing w:val="-1"/>
                <w:sz w:val="21"/>
              </w:rPr>
              <w:t>2022</w:t>
            </w:r>
            <w:r>
              <w:rPr>
                <w:rFonts w:ascii="Times New Roman" w:eastAsia="Times New Roman"/>
                <w:spacing w:val="-12"/>
                <w:sz w:val="21"/>
              </w:rPr>
              <w:t> </w:t>
            </w:r>
            <w:r>
              <w:rPr>
                <w:sz w:val="21"/>
              </w:rPr>
              <w:t>年第一季度报告</w:t>
            </w:r>
            <w:r>
              <w:rPr>
                <w:rFonts w:ascii="Times New Roman" w:eastAsia="Times New Roman"/>
                <w:sz w:val="21"/>
              </w:rPr>
              <w:t>&gt;</w:t>
            </w:r>
            <w:r>
              <w:rPr>
                <w:sz w:val="21"/>
              </w:rPr>
              <w:t>的议案》《关于公司为境外全</w:t>
            </w:r>
          </w:p>
          <w:p>
            <w:pPr>
              <w:pStyle w:val="TableParagraph"/>
              <w:spacing w:line="250" w:lineRule="exact" w:before="5"/>
              <w:ind w:left="106"/>
              <w:rPr>
                <w:sz w:val="21"/>
              </w:rPr>
            </w:pPr>
            <w:r>
              <w:rPr>
                <w:sz w:val="21"/>
              </w:rPr>
              <w:t>资子公司融资提供担保的议案》</w:t>
            </w:r>
            <w:r>
              <w:rPr>
                <w:rFonts w:ascii="Times New Roman" w:eastAsia="Times New Roman"/>
                <w:sz w:val="21"/>
              </w:rPr>
              <w:t>2</w:t>
            </w:r>
            <w:r>
              <w:rPr>
                <w:rFonts w:ascii="Times New Roman" w:eastAsia="Times New Roman"/>
                <w:spacing w:val="-13"/>
                <w:sz w:val="21"/>
              </w:rPr>
              <w:t> </w:t>
            </w:r>
            <w:r>
              <w:rPr>
                <w:sz w:val="21"/>
              </w:rPr>
              <w:t>项议案</w:t>
            </w:r>
          </w:p>
        </w:tc>
      </w:tr>
      <w:tr>
        <w:trPr>
          <w:trHeight w:val="1089" w:hRule="atLeast"/>
        </w:trPr>
        <w:tc>
          <w:tcPr>
            <w:tcW w:w="1697" w:type="dxa"/>
          </w:tcPr>
          <w:p>
            <w:pPr>
              <w:pStyle w:val="TableParagraph"/>
              <w:spacing w:before="5"/>
              <w:rPr>
                <w:sz w:val="21"/>
              </w:rPr>
            </w:pPr>
          </w:p>
          <w:p>
            <w:pPr>
              <w:pStyle w:val="TableParagraph"/>
              <w:spacing w:line="242" w:lineRule="auto"/>
              <w:ind w:left="107" w:right="103"/>
              <w:rPr>
                <w:sz w:val="21"/>
              </w:rPr>
            </w:pPr>
            <w:r>
              <w:rPr>
                <w:sz w:val="21"/>
              </w:rPr>
              <w:t>第二届董事会第二十一次会议</w:t>
            </w:r>
          </w:p>
        </w:tc>
        <w:tc>
          <w:tcPr>
            <w:tcW w:w="1986" w:type="dxa"/>
          </w:tcPr>
          <w:p>
            <w:pPr>
              <w:pStyle w:val="TableParagraph"/>
              <w:spacing w:before="11"/>
              <w:rPr>
                <w:sz w:val="31"/>
              </w:rPr>
            </w:pPr>
          </w:p>
          <w:p>
            <w:pPr>
              <w:pStyle w:val="TableParagraph"/>
              <w:spacing w:before="1"/>
              <w:ind w:left="107"/>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4</w:t>
            </w:r>
            <w:r>
              <w:rPr>
                <w:rFonts w:ascii="Times New Roman" w:eastAsia="Times New Roman"/>
                <w:spacing w:val="-9"/>
                <w:sz w:val="21"/>
              </w:rPr>
              <w:t> </w:t>
            </w:r>
            <w:r>
              <w:rPr>
                <w:spacing w:val="-27"/>
                <w:sz w:val="21"/>
              </w:rPr>
              <w:t>月 </w:t>
            </w:r>
            <w:r>
              <w:rPr>
                <w:rFonts w:ascii="Times New Roman" w:eastAsia="Times New Roman"/>
                <w:sz w:val="21"/>
              </w:rPr>
              <w:t>30</w:t>
            </w:r>
            <w:r>
              <w:rPr>
                <w:rFonts w:ascii="Times New Roman" w:eastAsia="Times New Roman"/>
                <w:spacing w:val="-11"/>
                <w:sz w:val="21"/>
              </w:rPr>
              <w:t> </w:t>
            </w:r>
            <w:r>
              <w:rPr>
                <w:sz w:val="21"/>
              </w:rPr>
              <w:t>日</w:t>
            </w:r>
          </w:p>
        </w:tc>
        <w:tc>
          <w:tcPr>
            <w:tcW w:w="5142" w:type="dxa"/>
          </w:tcPr>
          <w:p>
            <w:pPr>
              <w:pStyle w:val="TableParagraph"/>
              <w:spacing w:line="242" w:lineRule="auto" w:before="1"/>
              <w:ind w:left="106" w:right="95"/>
              <w:rPr>
                <w:sz w:val="21"/>
              </w:rPr>
            </w:pPr>
            <w:r>
              <w:rPr>
                <w:spacing w:val="-8"/>
                <w:sz w:val="21"/>
              </w:rPr>
              <w:t>审议通过《关于 </w:t>
            </w:r>
            <w:r>
              <w:rPr>
                <w:rFonts w:ascii="Times New Roman" w:eastAsia="Times New Roman"/>
                <w:sz w:val="21"/>
              </w:rPr>
              <w:t>2019</w:t>
            </w:r>
            <w:r>
              <w:rPr>
                <w:rFonts w:ascii="Times New Roman" w:eastAsia="Times New Roman"/>
                <w:spacing w:val="-12"/>
                <w:sz w:val="21"/>
              </w:rPr>
              <w:t> </w:t>
            </w:r>
            <w:r>
              <w:rPr>
                <w:sz w:val="21"/>
              </w:rPr>
              <w:t>年股票期权与限制性股票激励计划首次授予股票期权第三个行权期行权条件、首次授予限制性股票第三个解除限售期解除限售条件成就的</w:t>
            </w:r>
          </w:p>
          <w:p>
            <w:pPr>
              <w:pStyle w:val="TableParagraph"/>
              <w:spacing w:line="250" w:lineRule="exact" w:before="3"/>
              <w:ind w:left="106"/>
              <w:rPr>
                <w:sz w:val="21"/>
              </w:rPr>
            </w:pPr>
            <w:r>
              <w:rPr>
                <w:spacing w:val="-11"/>
                <w:sz w:val="21"/>
              </w:rPr>
              <w:t>议案》等 </w:t>
            </w:r>
            <w:r>
              <w:rPr>
                <w:rFonts w:ascii="Times New Roman" w:eastAsia="Times New Roman"/>
                <w:sz w:val="21"/>
              </w:rPr>
              <w:t>2</w:t>
            </w:r>
            <w:r>
              <w:rPr>
                <w:rFonts w:ascii="Times New Roman" w:eastAsia="Times New Roman"/>
                <w:spacing w:val="-9"/>
                <w:sz w:val="21"/>
              </w:rPr>
              <w:t> </w:t>
            </w:r>
            <w:r>
              <w:rPr>
                <w:sz w:val="21"/>
              </w:rPr>
              <w:t>项议案</w:t>
            </w:r>
          </w:p>
        </w:tc>
      </w:tr>
      <w:tr>
        <w:trPr>
          <w:trHeight w:val="818" w:hRule="atLeast"/>
        </w:trPr>
        <w:tc>
          <w:tcPr>
            <w:tcW w:w="1697" w:type="dxa"/>
          </w:tcPr>
          <w:p>
            <w:pPr>
              <w:pStyle w:val="TableParagraph"/>
              <w:spacing w:line="244" w:lineRule="auto" w:before="137"/>
              <w:ind w:left="107" w:right="103"/>
              <w:rPr>
                <w:sz w:val="21"/>
              </w:rPr>
            </w:pPr>
            <w:r>
              <w:rPr>
                <w:sz w:val="21"/>
              </w:rPr>
              <w:t>第二届董事会第二十二次会议</w:t>
            </w:r>
          </w:p>
        </w:tc>
        <w:tc>
          <w:tcPr>
            <w:tcW w:w="1986" w:type="dxa"/>
          </w:tcPr>
          <w:p>
            <w:pPr>
              <w:pStyle w:val="TableParagraph"/>
              <w:spacing w:before="5"/>
              <w:rPr>
                <w:sz w:val="21"/>
              </w:rPr>
            </w:pPr>
          </w:p>
          <w:p>
            <w:pPr>
              <w:pStyle w:val="TableParagraph"/>
              <w:ind w:left="107"/>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6</w:t>
            </w:r>
            <w:r>
              <w:rPr>
                <w:rFonts w:ascii="Times New Roman" w:eastAsia="Times New Roman"/>
                <w:spacing w:val="-9"/>
                <w:sz w:val="21"/>
              </w:rPr>
              <w:t> </w:t>
            </w:r>
            <w:r>
              <w:rPr>
                <w:spacing w:val="-27"/>
                <w:sz w:val="21"/>
              </w:rPr>
              <w:t>月 </w:t>
            </w:r>
            <w:r>
              <w:rPr>
                <w:rFonts w:ascii="Times New Roman" w:eastAsia="Times New Roman"/>
                <w:sz w:val="21"/>
              </w:rPr>
              <w:t>1</w:t>
            </w:r>
            <w:r>
              <w:rPr>
                <w:rFonts w:ascii="Times New Roman" w:eastAsia="Times New Roman"/>
                <w:spacing w:val="-11"/>
                <w:sz w:val="21"/>
              </w:rPr>
              <w:t> </w:t>
            </w:r>
            <w:r>
              <w:rPr>
                <w:sz w:val="21"/>
              </w:rPr>
              <w:t>日</w:t>
            </w:r>
          </w:p>
        </w:tc>
        <w:tc>
          <w:tcPr>
            <w:tcW w:w="5142" w:type="dxa"/>
          </w:tcPr>
          <w:p>
            <w:pPr>
              <w:pStyle w:val="TableParagraph"/>
              <w:spacing w:before="1"/>
              <w:ind w:left="106"/>
              <w:rPr>
                <w:sz w:val="21"/>
              </w:rPr>
            </w:pPr>
            <w:r>
              <w:rPr>
                <w:spacing w:val="-1"/>
                <w:sz w:val="21"/>
              </w:rPr>
              <w:t>审议通过《关于</w:t>
            </w:r>
            <w:r>
              <w:rPr>
                <w:rFonts w:ascii="Times New Roman" w:eastAsia="Times New Roman"/>
                <w:sz w:val="21"/>
              </w:rPr>
              <w:t>&lt;</w:t>
            </w:r>
            <w:r>
              <w:rPr>
                <w:sz w:val="21"/>
              </w:rPr>
              <w:t>富士康工业互联网股份有限公司</w:t>
            </w:r>
          </w:p>
          <w:p>
            <w:pPr>
              <w:pStyle w:val="TableParagraph"/>
              <w:spacing w:before="4"/>
              <w:ind w:left="106"/>
              <w:rPr>
                <w:sz w:val="21"/>
              </w:rPr>
            </w:pPr>
            <w:r>
              <w:rPr>
                <w:rFonts w:ascii="Times New Roman" w:eastAsia="Times New Roman"/>
                <w:spacing w:val="-1"/>
                <w:sz w:val="21"/>
              </w:rPr>
              <w:t>2021</w:t>
            </w:r>
            <w:r>
              <w:rPr>
                <w:rFonts w:ascii="Times New Roman" w:eastAsia="Times New Roman"/>
                <w:spacing w:val="-13"/>
                <w:sz w:val="21"/>
              </w:rPr>
              <w:t> </w:t>
            </w:r>
            <w:r>
              <w:rPr>
                <w:sz w:val="21"/>
              </w:rPr>
              <w:t>年企业社会责任报告</w:t>
            </w:r>
            <w:r>
              <w:rPr>
                <w:rFonts w:ascii="Times New Roman" w:eastAsia="Times New Roman"/>
                <w:sz w:val="21"/>
              </w:rPr>
              <w:t>&gt;</w:t>
            </w:r>
            <w:r>
              <w:rPr>
                <w:sz w:val="21"/>
              </w:rPr>
              <w:t>议案》《关于修订</w:t>
            </w:r>
            <w:r>
              <w:rPr>
                <w:rFonts w:ascii="Times New Roman" w:eastAsia="Times New Roman"/>
                <w:sz w:val="21"/>
              </w:rPr>
              <w:t>&lt;</w:t>
            </w:r>
            <w:r>
              <w:rPr>
                <w:sz w:val="21"/>
              </w:rPr>
              <w:t>富士康</w:t>
            </w:r>
          </w:p>
          <w:p>
            <w:pPr>
              <w:pStyle w:val="TableParagraph"/>
              <w:spacing w:line="253" w:lineRule="exact" w:before="2"/>
              <w:ind w:left="106"/>
              <w:rPr>
                <w:sz w:val="21"/>
              </w:rPr>
            </w:pPr>
            <w:r>
              <w:rPr>
                <w:spacing w:val="-1"/>
                <w:sz w:val="21"/>
              </w:rPr>
              <w:t>工业互联网股份有限公司章程</w:t>
            </w:r>
            <w:r>
              <w:rPr>
                <w:rFonts w:ascii="Times New Roman" w:eastAsia="Times New Roman"/>
                <w:sz w:val="21"/>
              </w:rPr>
              <w:t>&gt;</w:t>
            </w:r>
            <w:r>
              <w:rPr>
                <w:spacing w:val="-9"/>
                <w:sz w:val="21"/>
              </w:rPr>
              <w:t>的议案》等 </w:t>
            </w:r>
            <w:r>
              <w:rPr>
                <w:rFonts w:ascii="Times New Roman" w:eastAsia="Times New Roman"/>
                <w:sz w:val="21"/>
              </w:rPr>
              <w:t>12</w:t>
            </w:r>
            <w:r>
              <w:rPr>
                <w:rFonts w:ascii="Times New Roman" w:eastAsia="Times New Roman"/>
                <w:spacing w:val="-12"/>
                <w:sz w:val="21"/>
              </w:rPr>
              <w:t> </w:t>
            </w:r>
            <w:r>
              <w:rPr>
                <w:sz w:val="21"/>
              </w:rPr>
              <w:t>项议案</w:t>
            </w:r>
          </w:p>
        </w:tc>
      </w:tr>
      <w:tr>
        <w:trPr>
          <w:trHeight w:val="544" w:hRule="atLeast"/>
        </w:trPr>
        <w:tc>
          <w:tcPr>
            <w:tcW w:w="1697" w:type="dxa"/>
          </w:tcPr>
          <w:p>
            <w:pPr>
              <w:pStyle w:val="TableParagraph"/>
              <w:spacing w:before="1"/>
              <w:ind w:left="107"/>
              <w:rPr>
                <w:sz w:val="21"/>
              </w:rPr>
            </w:pPr>
            <w:r>
              <w:rPr>
                <w:sz w:val="21"/>
              </w:rPr>
              <w:t>第二届董事会第</w:t>
            </w:r>
          </w:p>
          <w:p>
            <w:pPr>
              <w:pStyle w:val="TableParagraph"/>
              <w:spacing w:line="252" w:lineRule="exact" w:before="2"/>
              <w:ind w:left="107"/>
              <w:rPr>
                <w:sz w:val="21"/>
              </w:rPr>
            </w:pPr>
            <w:r>
              <w:rPr>
                <w:sz w:val="21"/>
              </w:rPr>
              <w:t>二十三次会议</w:t>
            </w:r>
          </w:p>
        </w:tc>
        <w:tc>
          <w:tcPr>
            <w:tcW w:w="1986" w:type="dxa"/>
          </w:tcPr>
          <w:p>
            <w:pPr>
              <w:pStyle w:val="TableParagraph"/>
              <w:spacing w:before="137"/>
              <w:ind w:left="107"/>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6</w:t>
            </w:r>
            <w:r>
              <w:rPr>
                <w:rFonts w:ascii="Times New Roman" w:eastAsia="Times New Roman"/>
                <w:spacing w:val="-9"/>
                <w:sz w:val="21"/>
              </w:rPr>
              <w:t> </w:t>
            </w:r>
            <w:r>
              <w:rPr>
                <w:spacing w:val="-27"/>
                <w:sz w:val="21"/>
              </w:rPr>
              <w:t>月 </w:t>
            </w:r>
            <w:r>
              <w:rPr>
                <w:rFonts w:ascii="Times New Roman" w:eastAsia="Times New Roman"/>
                <w:sz w:val="21"/>
              </w:rPr>
              <w:t>8</w:t>
            </w:r>
            <w:r>
              <w:rPr>
                <w:rFonts w:ascii="Times New Roman" w:eastAsia="Times New Roman"/>
                <w:spacing w:val="-11"/>
                <w:sz w:val="21"/>
              </w:rPr>
              <w:t> </w:t>
            </w:r>
            <w:r>
              <w:rPr>
                <w:sz w:val="21"/>
              </w:rPr>
              <w:t>日</w:t>
            </w:r>
          </w:p>
        </w:tc>
        <w:tc>
          <w:tcPr>
            <w:tcW w:w="5142" w:type="dxa"/>
          </w:tcPr>
          <w:p>
            <w:pPr>
              <w:pStyle w:val="TableParagraph"/>
              <w:spacing w:before="1"/>
              <w:ind w:left="106"/>
              <w:rPr>
                <w:sz w:val="21"/>
              </w:rPr>
            </w:pPr>
            <w:r>
              <w:rPr>
                <w:spacing w:val="-1"/>
                <w:sz w:val="21"/>
              </w:rPr>
              <w:t>审议通过《关于提名刘俊杰先生为富士康工业互联网</w:t>
            </w:r>
          </w:p>
          <w:p>
            <w:pPr>
              <w:pStyle w:val="TableParagraph"/>
              <w:spacing w:line="252" w:lineRule="exact" w:before="2"/>
              <w:ind w:left="106"/>
              <w:rPr>
                <w:sz w:val="21"/>
              </w:rPr>
            </w:pPr>
            <w:r>
              <w:rPr>
                <w:sz w:val="21"/>
              </w:rPr>
              <w:t>股份有限公司董事候选人的议案》</w:t>
            </w:r>
            <w:r>
              <w:rPr>
                <w:rFonts w:ascii="Times New Roman" w:eastAsia="Times New Roman"/>
                <w:sz w:val="21"/>
              </w:rPr>
              <w:t>1</w:t>
            </w:r>
            <w:r>
              <w:rPr>
                <w:rFonts w:ascii="Times New Roman" w:eastAsia="Times New Roman"/>
                <w:spacing w:val="-11"/>
                <w:sz w:val="21"/>
              </w:rPr>
              <w:t> </w:t>
            </w:r>
            <w:r>
              <w:rPr>
                <w:sz w:val="21"/>
              </w:rPr>
              <w:t>项议案</w:t>
            </w:r>
          </w:p>
        </w:tc>
      </w:tr>
      <w:tr>
        <w:trPr>
          <w:trHeight w:val="544" w:hRule="atLeast"/>
        </w:trPr>
        <w:tc>
          <w:tcPr>
            <w:tcW w:w="1697" w:type="dxa"/>
          </w:tcPr>
          <w:p>
            <w:pPr>
              <w:pStyle w:val="TableParagraph"/>
              <w:spacing w:before="1"/>
              <w:ind w:left="107"/>
              <w:rPr>
                <w:sz w:val="21"/>
              </w:rPr>
            </w:pPr>
            <w:r>
              <w:rPr>
                <w:sz w:val="21"/>
              </w:rPr>
              <w:t>第二届董事会第</w:t>
            </w:r>
          </w:p>
          <w:p>
            <w:pPr>
              <w:pStyle w:val="TableParagraph"/>
              <w:spacing w:line="250" w:lineRule="exact" w:before="4"/>
              <w:ind w:left="107"/>
              <w:rPr>
                <w:sz w:val="21"/>
              </w:rPr>
            </w:pPr>
            <w:r>
              <w:rPr>
                <w:sz w:val="21"/>
              </w:rPr>
              <w:t>二十四次会议</w:t>
            </w:r>
          </w:p>
        </w:tc>
        <w:tc>
          <w:tcPr>
            <w:tcW w:w="1986" w:type="dxa"/>
          </w:tcPr>
          <w:p>
            <w:pPr>
              <w:pStyle w:val="TableParagraph"/>
              <w:spacing w:before="138"/>
              <w:ind w:left="107"/>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8</w:t>
            </w:r>
            <w:r>
              <w:rPr>
                <w:rFonts w:ascii="Times New Roman" w:eastAsia="Times New Roman"/>
                <w:spacing w:val="-9"/>
                <w:sz w:val="21"/>
              </w:rPr>
              <w:t> </w:t>
            </w:r>
            <w:r>
              <w:rPr>
                <w:spacing w:val="-27"/>
                <w:sz w:val="21"/>
              </w:rPr>
              <w:t>月 </w:t>
            </w:r>
            <w:r>
              <w:rPr>
                <w:rFonts w:ascii="Times New Roman" w:eastAsia="Times New Roman"/>
                <w:sz w:val="21"/>
              </w:rPr>
              <w:t>4</w:t>
            </w:r>
            <w:r>
              <w:rPr>
                <w:rFonts w:ascii="Times New Roman" w:eastAsia="Times New Roman"/>
                <w:spacing w:val="-11"/>
                <w:sz w:val="21"/>
              </w:rPr>
              <w:t> </w:t>
            </w:r>
            <w:r>
              <w:rPr>
                <w:sz w:val="21"/>
              </w:rPr>
              <w:t>日</w:t>
            </w:r>
          </w:p>
        </w:tc>
        <w:tc>
          <w:tcPr>
            <w:tcW w:w="5142" w:type="dxa"/>
          </w:tcPr>
          <w:p>
            <w:pPr>
              <w:pStyle w:val="TableParagraph"/>
              <w:spacing w:before="1"/>
              <w:ind w:left="106"/>
              <w:rPr>
                <w:sz w:val="21"/>
              </w:rPr>
            </w:pPr>
            <w:r>
              <w:rPr>
                <w:spacing w:val="-7"/>
                <w:sz w:val="21"/>
              </w:rPr>
              <w:t>审议通过《关于调整 </w:t>
            </w:r>
            <w:r>
              <w:rPr>
                <w:rFonts w:ascii="Times New Roman" w:eastAsia="Times New Roman"/>
                <w:sz w:val="21"/>
              </w:rPr>
              <w:t>2019</w:t>
            </w:r>
            <w:r>
              <w:rPr>
                <w:rFonts w:ascii="Times New Roman" w:eastAsia="Times New Roman"/>
                <w:spacing w:val="-12"/>
                <w:sz w:val="21"/>
              </w:rPr>
              <w:t> </w:t>
            </w:r>
            <w:r>
              <w:rPr>
                <w:sz w:val="21"/>
              </w:rPr>
              <w:t>年股票期权与限制性股票激</w:t>
            </w:r>
          </w:p>
          <w:p>
            <w:pPr>
              <w:pStyle w:val="TableParagraph"/>
              <w:spacing w:line="250" w:lineRule="exact" w:before="4"/>
              <w:ind w:left="106"/>
              <w:rPr>
                <w:sz w:val="21"/>
              </w:rPr>
            </w:pPr>
            <w:r>
              <w:rPr>
                <w:sz w:val="21"/>
              </w:rPr>
              <w:t>励计划股票期权行权价格的议案》</w:t>
            </w:r>
            <w:r>
              <w:rPr>
                <w:rFonts w:ascii="Times New Roman" w:eastAsia="Times New Roman"/>
                <w:sz w:val="21"/>
              </w:rPr>
              <w:t>1</w:t>
            </w:r>
            <w:r>
              <w:rPr>
                <w:rFonts w:ascii="Times New Roman" w:eastAsia="Times New Roman"/>
                <w:spacing w:val="-11"/>
                <w:sz w:val="21"/>
              </w:rPr>
              <w:t> </w:t>
            </w:r>
            <w:r>
              <w:rPr>
                <w:sz w:val="21"/>
              </w:rPr>
              <w:t>项议案</w:t>
            </w:r>
          </w:p>
        </w:tc>
      </w:tr>
      <w:tr>
        <w:trPr>
          <w:trHeight w:val="544" w:hRule="atLeast"/>
        </w:trPr>
        <w:tc>
          <w:tcPr>
            <w:tcW w:w="1697" w:type="dxa"/>
          </w:tcPr>
          <w:p>
            <w:pPr>
              <w:pStyle w:val="TableParagraph"/>
              <w:spacing w:before="1"/>
              <w:ind w:left="107"/>
              <w:rPr>
                <w:sz w:val="21"/>
              </w:rPr>
            </w:pPr>
            <w:r>
              <w:rPr>
                <w:sz w:val="21"/>
              </w:rPr>
              <w:t>第二届董事会第</w:t>
            </w:r>
          </w:p>
          <w:p>
            <w:pPr>
              <w:pStyle w:val="TableParagraph"/>
              <w:spacing w:line="250" w:lineRule="exact" w:before="4"/>
              <w:ind w:left="107"/>
              <w:rPr>
                <w:sz w:val="21"/>
              </w:rPr>
            </w:pPr>
            <w:r>
              <w:rPr>
                <w:sz w:val="21"/>
              </w:rPr>
              <w:t>二十五次会议</w:t>
            </w:r>
          </w:p>
        </w:tc>
        <w:tc>
          <w:tcPr>
            <w:tcW w:w="1986" w:type="dxa"/>
          </w:tcPr>
          <w:p>
            <w:pPr>
              <w:pStyle w:val="TableParagraph"/>
              <w:spacing w:before="138"/>
              <w:ind w:left="107"/>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8</w:t>
            </w:r>
            <w:r>
              <w:rPr>
                <w:rFonts w:ascii="Times New Roman" w:eastAsia="Times New Roman"/>
                <w:spacing w:val="-9"/>
                <w:sz w:val="21"/>
              </w:rPr>
              <w:t> </w:t>
            </w:r>
            <w:r>
              <w:rPr>
                <w:spacing w:val="-27"/>
                <w:sz w:val="21"/>
              </w:rPr>
              <w:t>月 </w:t>
            </w:r>
            <w:r>
              <w:rPr>
                <w:rFonts w:ascii="Times New Roman" w:eastAsia="Times New Roman"/>
                <w:sz w:val="21"/>
              </w:rPr>
              <w:t>9</w:t>
            </w:r>
            <w:r>
              <w:rPr>
                <w:rFonts w:ascii="Times New Roman" w:eastAsia="Times New Roman"/>
                <w:spacing w:val="-11"/>
                <w:sz w:val="21"/>
              </w:rPr>
              <w:t> </w:t>
            </w:r>
            <w:r>
              <w:rPr>
                <w:sz w:val="21"/>
              </w:rPr>
              <w:t>日</w:t>
            </w:r>
          </w:p>
        </w:tc>
        <w:tc>
          <w:tcPr>
            <w:tcW w:w="5142" w:type="dxa"/>
          </w:tcPr>
          <w:p>
            <w:pPr>
              <w:pStyle w:val="TableParagraph"/>
              <w:spacing w:before="1"/>
              <w:ind w:left="106"/>
              <w:rPr>
                <w:sz w:val="21"/>
              </w:rPr>
            </w:pPr>
            <w:r>
              <w:rPr>
                <w:spacing w:val="-1"/>
                <w:sz w:val="21"/>
              </w:rPr>
              <w:t>审议通过《关于</w:t>
            </w:r>
            <w:r>
              <w:rPr>
                <w:rFonts w:ascii="Times New Roman" w:eastAsia="Times New Roman"/>
                <w:sz w:val="21"/>
              </w:rPr>
              <w:t>&lt;</w:t>
            </w:r>
            <w:r>
              <w:rPr>
                <w:sz w:val="21"/>
              </w:rPr>
              <w:t>富士康工业互联网股份有限公司</w:t>
            </w:r>
          </w:p>
          <w:p>
            <w:pPr>
              <w:pStyle w:val="TableParagraph"/>
              <w:spacing w:line="250" w:lineRule="exact" w:before="4"/>
              <w:ind w:left="106"/>
              <w:rPr>
                <w:sz w:val="21"/>
              </w:rPr>
            </w:pPr>
            <w:r>
              <w:rPr>
                <w:rFonts w:ascii="Times New Roman" w:eastAsia="Times New Roman"/>
                <w:sz w:val="21"/>
              </w:rPr>
              <w:t>2022</w:t>
            </w:r>
            <w:r>
              <w:rPr>
                <w:rFonts w:ascii="Times New Roman" w:eastAsia="Times New Roman"/>
                <w:spacing w:val="-12"/>
                <w:sz w:val="21"/>
              </w:rPr>
              <w:t> </w:t>
            </w:r>
            <w:r>
              <w:rPr>
                <w:sz w:val="21"/>
              </w:rPr>
              <w:t>年半年度报告</w:t>
            </w:r>
            <w:r>
              <w:rPr>
                <w:rFonts w:ascii="Times New Roman" w:eastAsia="Times New Roman"/>
                <w:sz w:val="21"/>
              </w:rPr>
              <w:t>&gt;</w:t>
            </w:r>
            <w:r>
              <w:rPr>
                <w:spacing w:val="-6"/>
                <w:sz w:val="21"/>
              </w:rPr>
              <w:t>及其摘要的议案》等 </w:t>
            </w:r>
            <w:r>
              <w:rPr>
                <w:rFonts w:ascii="Times New Roman" w:eastAsia="Times New Roman"/>
                <w:sz w:val="21"/>
              </w:rPr>
              <w:t>3</w:t>
            </w:r>
            <w:r>
              <w:rPr>
                <w:rFonts w:ascii="Times New Roman" w:eastAsia="Times New Roman"/>
                <w:spacing w:val="-12"/>
                <w:sz w:val="21"/>
              </w:rPr>
              <w:t> </w:t>
            </w:r>
            <w:r>
              <w:rPr>
                <w:sz w:val="21"/>
              </w:rPr>
              <w:t>项议案</w:t>
            </w:r>
          </w:p>
        </w:tc>
      </w:tr>
      <w:tr>
        <w:trPr>
          <w:trHeight w:val="1089" w:hRule="atLeast"/>
        </w:trPr>
        <w:tc>
          <w:tcPr>
            <w:tcW w:w="1697" w:type="dxa"/>
          </w:tcPr>
          <w:p>
            <w:pPr>
              <w:pStyle w:val="TableParagraph"/>
              <w:spacing w:before="5"/>
              <w:rPr>
                <w:sz w:val="21"/>
              </w:rPr>
            </w:pPr>
          </w:p>
          <w:p>
            <w:pPr>
              <w:pStyle w:val="TableParagraph"/>
              <w:spacing w:line="242" w:lineRule="auto"/>
              <w:ind w:left="107" w:right="103"/>
              <w:rPr>
                <w:sz w:val="21"/>
              </w:rPr>
            </w:pPr>
            <w:r>
              <w:rPr>
                <w:sz w:val="21"/>
              </w:rPr>
              <w:t>第二届董事会第二十六次会议</w:t>
            </w:r>
          </w:p>
        </w:tc>
        <w:tc>
          <w:tcPr>
            <w:tcW w:w="1986" w:type="dxa"/>
          </w:tcPr>
          <w:p>
            <w:pPr>
              <w:pStyle w:val="TableParagraph"/>
              <w:spacing w:before="11"/>
              <w:rPr>
                <w:sz w:val="31"/>
              </w:rPr>
            </w:pPr>
          </w:p>
          <w:p>
            <w:pPr>
              <w:pStyle w:val="TableParagraph"/>
              <w:spacing w:before="1"/>
              <w:ind w:left="107"/>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9</w:t>
            </w:r>
            <w:r>
              <w:rPr>
                <w:rFonts w:ascii="Times New Roman" w:eastAsia="Times New Roman"/>
                <w:spacing w:val="-9"/>
                <w:sz w:val="21"/>
              </w:rPr>
              <w:t> </w:t>
            </w:r>
            <w:r>
              <w:rPr>
                <w:spacing w:val="-27"/>
                <w:sz w:val="21"/>
              </w:rPr>
              <w:t>月 </w:t>
            </w:r>
            <w:r>
              <w:rPr>
                <w:rFonts w:ascii="Times New Roman" w:eastAsia="Times New Roman"/>
                <w:sz w:val="21"/>
              </w:rPr>
              <w:t>11</w:t>
            </w:r>
            <w:r>
              <w:rPr>
                <w:rFonts w:ascii="Times New Roman" w:eastAsia="Times New Roman"/>
                <w:spacing w:val="-11"/>
                <w:sz w:val="21"/>
              </w:rPr>
              <w:t> </w:t>
            </w:r>
            <w:r>
              <w:rPr>
                <w:sz w:val="21"/>
              </w:rPr>
              <w:t>日</w:t>
            </w:r>
          </w:p>
        </w:tc>
        <w:tc>
          <w:tcPr>
            <w:tcW w:w="5142" w:type="dxa"/>
          </w:tcPr>
          <w:p>
            <w:pPr>
              <w:pStyle w:val="TableParagraph"/>
              <w:spacing w:line="242" w:lineRule="auto" w:before="1"/>
              <w:ind w:left="106" w:right="95"/>
              <w:rPr>
                <w:sz w:val="21"/>
              </w:rPr>
            </w:pPr>
            <w:r>
              <w:rPr>
                <w:spacing w:val="-8"/>
                <w:sz w:val="21"/>
              </w:rPr>
              <w:t>审议通过《关于 </w:t>
            </w:r>
            <w:r>
              <w:rPr>
                <w:rFonts w:ascii="Times New Roman" w:eastAsia="Times New Roman"/>
                <w:sz w:val="21"/>
              </w:rPr>
              <w:t>2019</w:t>
            </w:r>
            <w:r>
              <w:rPr>
                <w:rFonts w:ascii="Times New Roman" w:eastAsia="Times New Roman"/>
                <w:spacing w:val="-12"/>
                <w:sz w:val="21"/>
              </w:rPr>
              <w:t> </w:t>
            </w:r>
            <w:r>
              <w:rPr>
                <w:sz w:val="21"/>
              </w:rPr>
              <w:t>年股票期权与限制性股票激励计划部分预留授予股票期权第三个行权期行权条件、部分预留授予限制性股票第三个解除限售期解除限售条</w:t>
            </w:r>
          </w:p>
          <w:p>
            <w:pPr>
              <w:pStyle w:val="TableParagraph"/>
              <w:spacing w:line="250" w:lineRule="exact" w:before="3"/>
              <w:ind w:left="106"/>
              <w:rPr>
                <w:sz w:val="21"/>
              </w:rPr>
            </w:pPr>
            <w:r>
              <w:rPr>
                <w:spacing w:val="-7"/>
                <w:sz w:val="21"/>
              </w:rPr>
              <w:t>件成就的议案》等 </w:t>
            </w:r>
            <w:r>
              <w:rPr>
                <w:rFonts w:ascii="Times New Roman" w:eastAsia="Times New Roman"/>
                <w:sz w:val="21"/>
              </w:rPr>
              <w:t>2</w:t>
            </w:r>
            <w:r>
              <w:rPr>
                <w:rFonts w:ascii="Times New Roman" w:eastAsia="Times New Roman"/>
                <w:spacing w:val="-10"/>
                <w:sz w:val="21"/>
              </w:rPr>
              <w:t> </w:t>
            </w:r>
            <w:r>
              <w:rPr>
                <w:sz w:val="21"/>
              </w:rPr>
              <w:t>项议案</w:t>
            </w:r>
          </w:p>
        </w:tc>
      </w:tr>
      <w:tr>
        <w:trPr>
          <w:trHeight w:val="544" w:hRule="atLeast"/>
        </w:trPr>
        <w:tc>
          <w:tcPr>
            <w:tcW w:w="1697" w:type="dxa"/>
          </w:tcPr>
          <w:p>
            <w:pPr>
              <w:pStyle w:val="TableParagraph"/>
              <w:spacing w:before="1"/>
              <w:ind w:left="107"/>
              <w:rPr>
                <w:sz w:val="21"/>
              </w:rPr>
            </w:pPr>
            <w:r>
              <w:rPr>
                <w:sz w:val="21"/>
              </w:rPr>
              <w:t>第二届董事会第</w:t>
            </w:r>
          </w:p>
          <w:p>
            <w:pPr>
              <w:pStyle w:val="TableParagraph"/>
              <w:spacing w:line="250" w:lineRule="exact" w:before="4"/>
              <w:ind w:left="107"/>
              <w:rPr>
                <w:sz w:val="21"/>
              </w:rPr>
            </w:pPr>
            <w:r>
              <w:rPr>
                <w:sz w:val="21"/>
              </w:rPr>
              <w:t>二十七次会议</w:t>
            </w:r>
          </w:p>
        </w:tc>
        <w:tc>
          <w:tcPr>
            <w:tcW w:w="1986" w:type="dxa"/>
          </w:tcPr>
          <w:p>
            <w:pPr>
              <w:pStyle w:val="TableParagraph"/>
              <w:spacing w:before="137"/>
              <w:ind w:left="107"/>
              <w:rPr>
                <w:sz w:val="21"/>
              </w:rPr>
            </w:pPr>
            <w:r>
              <w:rPr>
                <w:rFonts w:ascii="Times New Roman" w:eastAsia="Times New Roman"/>
                <w:sz w:val="21"/>
              </w:rPr>
              <w:t>2022</w:t>
            </w:r>
            <w:r>
              <w:rPr>
                <w:rFonts w:ascii="Times New Roman" w:eastAsia="Times New Roman"/>
                <w:spacing w:val="-12"/>
                <w:sz w:val="21"/>
              </w:rPr>
              <w:t> </w:t>
            </w:r>
            <w:r>
              <w:rPr>
                <w:spacing w:val="-27"/>
                <w:sz w:val="21"/>
              </w:rPr>
              <w:t>年 </w:t>
            </w:r>
            <w:r>
              <w:rPr>
                <w:rFonts w:ascii="Times New Roman" w:eastAsia="Times New Roman"/>
                <w:sz w:val="21"/>
              </w:rPr>
              <w:t>10</w:t>
            </w:r>
            <w:r>
              <w:rPr>
                <w:rFonts w:ascii="Times New Roman" w:eastAsia="Times New Roman"/>
                <w:spacing w:val="-11"/>
                <w:sz w:val="21"/>
              </w:rPr>
              <w:t> </w:t>
            </w:r>
            <w:r>
              <w:rPr>
                <w:spacing w:val="-27"/>
                <w:sz w:val="21"/>
              </w:rPr>
              <w:t>月 </w:t>
            </w:r>
            <w:r>
              <w:rPr>
                <w:rFonts w:ascii="Times New Roman" w:eastAsia="Times New Roman"/>
                <w:sz w:val="21"/>
              </w:rPr>
              <w:t>28</w:t>
            </w:r>
            <w:r>
              <w:rPr>
                <w:rFonts w:ascii="Times New Roman" w:eastAsia="Times New Roman"/>
                <w:spacing w:val="-10"/>
                <w:sz w:val="21"/>
              </w:rPr>
              <w:t> </w:t>
            </w:r>
            <w:r>
              <w:rPr>
                <w:sz w:val="21"/>
              </w:rPr>
              <w:t>日</w:t>
            </w:r>
          </w:p>
        </w:tc>
        <w:tc>
          <w:tcPr>
            <w:tcW w:w="5142" w:type="dxa"/>
          </w:tcPr>
          <w:p>
            <w:pPr>
              <w:pStyle w:val="TableParagraph"/>
              <w:spacing w:before="1"/>
              <w:ind w:left="106"/>
              <w:rPr>
                <w:sz w:val="21"/>
              </w:rPr>
            </w:pPr>
            <w:r>
              <w:rPr>
                <w:spacing w:val="-1"/>
                <w:sz w:val="21"/>
              </w:rPr>
              <w:t>审议通过《关于</w:t>
            </w:r>
            <w:r>
              <w:rPr>
                <w:rFonts w:ascii="Times New Roman" w:eastAsia="Times New Roman"/>
                <w:sz w:val="21"/>
              </w:rPr>
              <w:t>&lt;</w:t>
            </w:r>
            <w:r>
              <w:rPr>
                <w:sz w:val="21"/>
              </w:rPr>
              <w:t>富士康工业互联网股份有限公司</w:t>
            </w:r>
          </w:p>
          <w:p>
            <w:pPr>
              <w:pStyle w:val="TableParagraph"/>
              <w:spacing w:line="250" w:lineRule="exact" w:before="4"/>
              <w:ind w:left="106"/>
              <w:rPr>
                <w:sz w:val="21"/>
              </w:rPr>
            </w:pPr>
            <w:r>
              <w:rPr>
                <w:rFonts w:ascii="Times New Roman" w:eastAsia="Times New Roman"/>
                <w:spacing w:val="-1"/>
                <w:sz w:val="21"/>
              </w:rPr>
              <w:t>2022</w:t>
            </w:r>
            <w:r>
              <w:rPr>
                <w:rFonts w:ascii="Times New Roman" w:eastAsia="Times New Roman"/>
                <w:spacing w:val="-12"/>
                <w:sz w:val="21"/>
              </w:rPr>
              <w:t> </w:t>
            </w:r>
            <w:r>
              <w:rPr>
                <w:sz w:val="21"/>
              </w:rPr>
              <w:t>年第三季度报告</w:t>
            </w:r>
            <w:r>
              <w:rPr>
                <w:rFonts w:ascii="Times New Roman" w:eastAsia="Times New Roman"/>
                <w:sz w:val="21"/>
              </w:rPr>
              <w:t>&gt;</w:t>
            </w:r>
            <w:r>
              <w:rPr>
                <w:spacing w:val="-9"/>
                <w:sz w:val="21"/>
              </w:rPr>
              <w:t>的议案》等 </w:t>
            </w:r>
            <w:r>
              <w:rPr>
                <w:rFonts w:ascii="Times New Roman" w:eastAsia="Times New Roman"/>
                <w:sz w:val="21"/>
              </w:rPr>
              <w:t>2</w:t>
            </w:r>
            <w:r>
              <w:rPr>
                <w:rFonts w:ascii="Times New Roman" w:eastAsia="Times New Roman"/>
                <w:spacing w:val="-8"/>
                <w:sz w:val="21"/>
              </w:rPr>
              <w:t> </w:t>
            </w:r>
            <w:r>
              <w:rPr>
                <w:sz w:val="21"/>
              </w:rPr>
              <w:t>项议案</w:t>
            </w:r>
          </w:p>
        </w:tc>
      </w:tr>
      <w:tr>
        <w:trPr>
          <w:trHeight w:val="544" w:hRule="atLeast"/>
        </w:trPr>
        <w:tc>
          <w:tcPr>
            <w:tcW w:w="1697" w:type="dxa"/>
          </w:tcPr>
          <w:p>
            <w:pPr>
              <w:pStyle w:val="TableParagraph"/>
              <w:spacing w:before="1"/>
              <w:ind w:left="107"/>
              <w:rPr>
                <w:sz w:val="21"/>
              </w:rPr>
            </w:pPr>
            <w:r>
              <w:rPr>
                <w:sz w:val="21"/>
              </w:rPr>
              <w:t>第二届董事会第</w:t>
            </w:r>
          </w:p>
          <w:p>
            <w:pPr>
              <w:pStyle w:val="TableParagraph"/>
              <w:spacing w:line="250" w:lineRule="exact" w:before="5"/>
              <w:ind w:left="107"/>
              <w:rPr>
                <w:sz w:val="21"/>
              </w:rPr>
            </w:pPr>
            <w:r>
              <w:rPr>
                <w:sz w:val="21"/>
              </w:rPr>
              <w:t>二十八次会议</w:t>
            </w:r>
          </w:p>
        </w:tc>
        <w:tc>
          <w:tcPr>
            <w:tcW w:w="1986" w:type="dxa"/>
          </w:tcPr>
          <w:p>
            <w:pPr>
              <w:pStyle w:val="TableParagraph"/>
              <w:spacing w:before="138"/>
              <w:ind w:left="107"/>
              <w:rPr>
                <w:sz w:val="21"/>
              </w:rPr>
            </w:pPr>
            <w:r>
              <w:rPr>
                <w:rFonts w:ascii="Times New Roman" w:eastAsia="Times New Roman"/>
                <w:sz w:val="21"/>
              </w:rPr>
              <w:t>2022</w:t>
            </w:r>
            <w:r>
              <w:rPr>
                <w:rFonts w:ascii="Times New Roman" w:eastAsia="Times New Roman"/>
                <w:spacing w:val="-12"/>
                <w:sz w:val="21"/>
              </w:rPr>
              <w:t> </w:t>
            </w:r>
            <w:r>
              <w:rPr>
                <w:spacing w:val="-27"/>
                <w:sz w:val="21"/>
              </w:rPr>
              <w:t>年 </w:t>
            </w:r>
            <w:r>
              <w:rPr>
                <w:rFonts w:ascii="Times New Roman" w:eastAsia="Times New Roman"/>
                <w:sz w:val="21"/>
              </w:rPr>
              <w:t>12</w:t>
            </w:r>
            <w:r>
              <w:rPr>
                <w:rFonts w:ascii="Times New Roman" w:eastAsia="Times New Roman"/>
                <w:spacing w:val="-11"/>
                <w:sz w:val="21"/>
              </w:rPr>
              <w:t> </w:t>
            </w:r>
            <w:r>
              <w:rPr>
                <w:spacing w:val="-27"/>
                <w:sz w:val="21"/>
              </w:rPr>
              <w:t>月 </w:t>
            </w:r>
            <w:r>
              <w:rPr>
                <w:rFonts w:ascii="Times New Roman" w:eastAsia="Times New Roman"/>
                <w:sz w:val="21"/>
              </w:rPr>
              <w:t>15</w:t>
            </w:r>
            <w:r>
              <w:rPr>
                <w:rFonts w:ascii="Times New Roman" w:eastAsia="Times New Roman"/>
                <w:spacing w:val="-10"/>
                <w:sz w:val="21"/>
              </w:rPr>
              <w:t> </w:t>
            </w:r>
            <w:r>
              <w:rPr>
                <w:sz w:val="21"/>
              </w:rPr>
              <w:t>日</w:t>
            </w:r>
          </w:p>
        </w:tc>
        <w:tc>
          <w:tcPr>
            <w:tcW w:w="5142" w:type="dxa"/>
          </w:tcPr>
          <w:p>
            <w:pPr>
              <w:pStyle w:val="TableParagraph"/>
              <w:spacing w:before="1"/>
              <w:ind w:left="106"/>
              <w:rPr>
                <w:sz w:val="21"/>
              </w:rPr>
            </w:pPr>
            <w:r>
              <w:rPr>
                <w:spacing w:val="-1"/>
                <w:sz w:val="21"/>
              </w:rPr>
              <w:t>审议通过《关于全资子公司受让股权暨关联交易的议</w:t>
            </w:r>
          </w:p>
          <w:p>
            <w:pPr>
              <w:pStyle w:val="TableParagraph"/>
              <w:spacing w:line="250" w:lineRule="exact" w:before="5"/>
              <w:ind w:left="106"/>
              <w:rPr>
                <w:sz w:val="21"/>
              </w:rPr>
            </w:pPr>
            <w:r>
              <w:rPr>
                <w:spacing w:val="-14"/>
                <w:sz w:val="21"/>
              </w:rPr>
              <w:t>案》等 </w:t>
            </w:r>
            <w:r>
              <w:rPr>
                <w:rFonts w:ascii="Times New Roman" w:eastAsia="Times New Roman"/>
                <w:sz w:val="21"/>
              </w:rPr>
              <w:t>3</w:t>
            </w:r>
            <w:r>
              <w:rPr>
                <w:rFonts w:ascii="Times New Roman" w:eastAsia="Times New Roman"/>
                <w:spacing w:val="-11"/>
                <w:sz w:val="21"/>
              </w:rPr>
              <w:t> </w:t>
            </w:r>
            <w:r>
              <w:rPr>
                <w:sz w:val="21"/>
              </w:rPr>
              <w:t>项议案</w:t>
            </w:r>
          </w:p>
        </w:tc>
      </w:tr>
      <w:tr>
        <w:trPr>
          <w:trHeight w:val="1091" w:hRule="atLeast"/>
        </w:trPr>
        <w:tc>
          <w:tcPr>
            <w:tcW w:w="1697" w:type="dxa"/>
          </w:tcPr>
          <w:p>
            <w:pPr>
              <w:pStyle w:val="TableParagraph"/>
              <w:spacing w:before="5"/>
              <w:rPr>
                <w:sz w:val="21"/>
              </w:rPr>
            </w:pPr>
          </w:p>
          <w:p>
            <w:pPr>
              <w:pStyle w:val="TableParagraph"/>
              <w:spacing w:line="244" w:lineRule="auto"/>
              <w:ind w:left="107" w:right="103"/>
              <w:rPr>
                <w:sz w:val="21"/>
              </w:rPr>
            </w:pPr>
            <w:r>
              <w:rPr>
                <w:sz w:val="21"/>
              </w:rPr>
              <w:t>第二届董事会第二十九次会议</w:t>
            </w:r>
          </w:p>
        </w:tc>
        <w:tc>
          <w:tcPr>
            <w:tcW w:w="1986" w:type="dxa"/>
          </w:tcPr>
          <w:p>
            <w:pPr>
              <w:pStyle w:val="TableParagraph"/>
              <w:spacing w:before="1"/>
              <w:rPr>
                <w:sz w:val="32"/>
              </w:rPr>
            </w:pPr>
          </w:p>
          <w:p>
            <w:pPr>
              <w:pStyle w:val="TableParagraph"/>
              <w:ind w:left="107"/>
              <w:rPr>
                <w:sz w:val="21"/>
              </w:rPr>
            </w:pPr>
            <w:r>
              <w:rPr>
                <w:rFonts w:ascii="Times New Roman" w:eastAsia="Times New Roman"/>
                <w:sz w:val="21"/>
              </w:rPr>
              <w:t>2022</w:t>
            </w:r>
            <w:r>
              <w:rPr>
                <w:rFonts w:ascii="Times New Roman" w:eastAsia="Times New Roman"/>
                <w:spacing w:val="-12"/>
                <w:sz w:val="21"/>
              </w:rPr>
              <w:t> </w:t>
            </w:r>
            <w:r>
              <w:rPr>
                <w:spacing w:val="-27"/>
                <w:sz w:val="21"/>
              </w:rPr>
              <w:t>年 </w:t>
            </w:r>
            <w:r>
              <w:rPr>
                <w:rFonts w:ascii="Times New Roman" w:eastAsia="Times New Roman"/>
                <w:sz w:val="21"/>
              </w:rPr>
              <w:t>12</w:t>
            </w:r>
            <w:r>
              <w:rPr>
                <w:rFonts w:ascii="Times New Roman" w:eastAsia="Times New Roman"/>
                <w:spacing w:val="-11"/>
                <w:sz w:val="21"/>
              </w:rPr>
              <w:t> </w:t>
            </w:r>
            <w:r>
              <w:rPr>
                <w:spacing w:val="-27"/>
                <w:sz w:val="21"/>
              </w:rPr>
              <w:t>月 </w:t>
            </w:r>
            <w:r>
              <w:rPr>
                <w:rFonts w:ascii="Times New Roman" w:eastAsia="Times New Roman"/>
                <w:sz w:val="21"/>
              </w:rPr>
              <w:t>31</w:t>
            </w:r>
            <w:r>
              <w:rPr>
                <w:rFonts w:ascii="Times New Roman" w:eastAsia="Times New Roman"/>
                <w:spacing w:val="-10"/>
                <w:sz w:val="21"/>
              </w:rPr>
              <w:t> </w:t>
            </w:r>
            <w:r>
              <w:rPr>
                <w:sz w:val="21"/>
              </w:rPr>
              <w:t>日</w:t>
            </w:r>
          </w:p>
        </w:tc>
        <w:tc>
          <w:tcPr>
            <w:tcW w:w="5142" w:type="dxa"/>
          </w:tcPr>
          <w:p>
            <w:pPr>
              <w:pStyle w:val="TableParagraph"/>
              <w:spacing w:line="242" w:lineRule="auto" w:before="3"/>
              <w:ind w:left="106" w:right="95"/>
              <w:rPr>
                <w:sz w:val="21"/>
              </w:rPr>
            </w:pPr>
            <w:r>
              <w:rPr>
                <w:spacing w:val="-8"/>
                <w:sz w:val="21"/>
              </w:rPr>
              <w:t>审议通过《关于 </w:t>
            </w:r>
            <w:r>
              <w:rPr>
                <w:rFonts w:ascii="Times New Roman" w:eastAsia="Times New Roman"/>
                <w:sz w:val="21"/>
              </w:rPr>
              <w:t>2019</w:t>
            </w:r>
            <w:r>
              <w:rPr>
                <w:rFonts w:ascii="Times New Roman" w:eastAsia="Times New Roman"/>
                <w:spacing w:val="-12"/>
                <w:sz w:val="21"/>
              </w:rPr>
              <w:t> </w:t>
            </w:r>
            <w:r>
              <w:rPr>
                <w:sz w:val="21"/>
              </w:rPr>
              <w:t>年股票期权与限制性股票激励计划剩余预留授予股票期权第三个行权期行权条件、剩余预留授予限制性股票第三个解除限售期解除限售条</w:t>
            </w:r>
          </w:p>
          <w:p>
            <w:pPr>
              <w:pStyle w:val="TableParagraph"/>
              <w:spacing w:line="252" w:lineRule="exact" w:before="1"/>
              <w:ind w:left="106"/>
              <w:rPr>
                <w:sz w:val="21"/>
              </w:rPr>
            </w:pPr>
            <w:r>
              <w:rPr>
                <w:spacing w:val="-7"/>
                <w:sz w:val="21"/>
              </w:rPr>
              <w:t>件成就的议案》等 </w:t>
            </w:r>
            <w:r>
              <w:rPr>
                <w:rFonts w:ascii="Times New Roman" w:eastAsia="Times New Roman"/>
                <w:sz w:val="21"/>
              </w:rPr>
              <w:t>2</w:t>
            </w:r>
            <w:r>
              <w:rPr>
                <w:rFonts w:ascii="Times New Roman" w:eastAsia="Times New Roman"/>
                <w:spacing w:val="-10"/>
                <w:sz w:val="21"/>
              </w:rPr>
              <w:t> </w:t>
            </w:r>
            <w:r>
              <w:rPr>
                <w:sz w:val="21"/>
              </w:rPr>
              <w:t>项议案</w:t>
            </w:r>
          </w:p>
        </w:tc>
      </w:tr>
    </w:tbl>
    <w:p>
      <w:pPr>
        <w:pStyle w:val="BodyText"/>
        <w:spacing w:before="1"/>
        <w:ind w:left="118"/>
      </w:pPr>
      <w:r>
        <w:rPr>
          <w:w w:val="100"/>
        </w:rPr>
        <w:t> </w:t>
      </w:r>
    </w:p>
    <w:p>
      <w:pPr>
        <w:pStyle w:val="BodyText"/>
        <w:spacing w:before="2"/>
        <w:ind w:left="118"/>
      </w:pPr>
      <w:r>
        <w:rPr>
          <w:w w:val="100"/>
        </w:rPr>
        <w:t> </w:t>
      </w:r>
    </w:p>
    <w:p>
      <w:pPr>
        <w:pStyle w:val="BodyText"/>
        <w:spacing w:before="65"/>
        <w:ind w:left="118"/>
      </w:pPr>
      <w:r>
        <w:rPr>
          <w:spacing w:val="-12"/>
        </w:rPr>
        <w:t>六、 董事履行职责情况</w:t>
      </w:r>
    </w:p>
    <w:p>
      <w:pPr>
        <w:pStyle w:val="BodyText"/>
        <w:spacing w:before="62"/>
        <w:ind w:left="118"/>
      </w:pPr>
      <w:r>
        <w:rPr>
          <w:rFonts w:ascii="Calibri" w:eastAsia="Calibri"/>
          <w:b/>
        </w:rPr>
        <w:t>(</w:t>
      </w:r>
      <w:r>
        <w:rPr/>
        <w:t>一</w:t>
      </w:r>
      <w:r>
        <w:rPr>
          <w:rFonts w:ascii="Calibri" w:eastAsia="Calibri"/>
          <w:b/>
          <w:spacing w:val="20"/>
        </w:rPr>
        <w:t>) </w:t>
      </w:r>
      <w:r>
        <w:rPr/>
        <w:t>董事参加董事会和股东大会的情况</w:t>
      </w:r>
    </w:p>
    <w:p>
      <w:pPr>
        <w:pStyle w:val="BodyText"/>
        <w:spacing w:before="12"/>
        <w:ind w:left="0"/>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8"/>
        <w:gridCol w:w="826"/>
        <w:gridCol w:w="1071"/>
        <w:gridCol w:w="833"/>
        <w:gridCol w:w="944"/>
        <w:gridCol w:w="881"/>
        <w:gridCol w:w="826"/>
        <w:gridCol w:w="1261"/>
        <w:gridCol w:w="1227"/>
      </w:tblGrid>
      <w:tr>
        <w:trPr>
          <w:trHeight w:val="558" w:hRule="atLeast"/>
        </w:trPr>
        <w:tc>
          <w:tcPr>
            <w:tcW w:w="958" w:type="dxa"/>
            <w:vMerge w:val="restart"/>
          </w:tcPr>
          <w:p>
            <w:pPr>
              <w:pStyle w:val="TableParagraph"/>
              <w:rPr>
                <w:sz w:val="20"/>
              </w:rPr>
            </w:pPr>
          </w:p>
          <w:p>
            <w:pPr>
              <w:pStyle w:val="TableParagraph"/>
              <w:spacing w:before="6"/>
              <w:rPr>
                <w:sz w:val="23"/>
              </w:rPr>
            </w:pPr>
          </w:p>
          <w:p>
            <w:pPr>
              <w:pStyle w:val="TableParagraph"/>
              <w:spacing w:line="244" w:lineRule="auto" w:before="1"/>
              <w:ind w:left="268" w:right="151"/>
              <w:rPr>
                <w:sz w:val="21"/>
              </w:rPr>
            </w:pPr>
            <w:r>
              <w:rPr>
                <w:sz w:val="21"/>
              </w:rPr>
              <w:t>董事姓名 </w:t>
            </w:r>
          </w:p>
        </w:tc>
        <w:tc>
          <w:tcPr>
            <w:tcW w:w="826" w:type="dxa"/>
            <w:vMerge w:val="restart"/>
          </w:tcPr>
          <w:p>
            <w:pPr>
              <w:pStyle w:val="TableParagraph"/>
              <w:rPr>
                <w:sz w:val="20"/>
              </w:rPr>
            </w:pPr>
          </w:p>
          <w:p>
            <w:pPr>
              <w:pStyle w:val="TableParagraph"/>
              <w:spacing w:line="242" w:lineRule="auto" w:before="164"/>
              <w:ind w:left="200" w:right="87"/>
              <w:jc w:val="both"/>
              <w:rPr>
                <w:sz w:val="21"/>
              </w:rPr>
            </w:pPr>
            <w:r>
              <w:rPr>
                <w:sz w:val="21"/>
              </w:rPr>
              <w:t>是否独立董事 </w:t>
            </w:r>
          </w:p>
        </w:tc>
        <w:tc>
          <w:tcPr>
            <w:tcW w:w="5816" w:type="dxa"/>
            <w:gridSpan w:val="6"/>
          </w:tcPr>
          <w:p>
            <w:pPr>
              <w:pStyle w:val="TableParagraph"/>
              <w:spacing w:before="145"/>
              <w:ind w:left="2206" w:right="2097"/>
              <w:jc w:val="center"/>
              <w:rPr>
                <w:sz w:val="21"/>
              </w:rPr>
            </w:pPr>
            <w:r>
              <w:rPr>
                <w:spacing w:val="-1"/>
                <w:sz w:val="21"/>
              </w:rPr>
              <w:t>参加董事会情况</w:t>
            </w:r>
            <w:r>
              <w:rPr>
                <w:sz w:val="21"/>
              </w:rPr>
              <w:t> </w:t>
            </w:r>
          </w:p>
        </w:tc>
        <w:tc>
          <w:tcPr>
            <w:tcW w:w="1227" w:type="dxa"/>
          </w:tcPr>
          <w:p>
            <w:pPr>
              <w:pStyle w:val="TableParagraph"/>
              <w:spacing w:line="270" w:lineRule="atLeast"/>
              <w:ind w:left="189" w:right="80"/>
              <w:rPr>
                <w:sz w:val="21"/>
              </w:rPr>
            </w:pPr>
            <w:r>
              <w:rPr>
                <w:sz w:val="21"/>
              </w:rPr>
              <w:t>参加股东大会情况 </w:t>
            </w:r>
          </w:p>
        </w:tc>
      </w:tr>
      <w:tr>
        <w:trPr>
          <w:trHeight w:val="1092" w:hRule="atLeast"/>
        </w:trPr>
        <w:tc>
          <w:tcPr>
            <w:tcW w:w="958" w:type="dxa"/>
            <w:vMerge/>
            <w:tcBorders>
              <w:top w:val="nil"/>
            </w:tcBorders>
          </w:tcPr>
          <w:p>
            <w:pPr>
              <w:rPr>
                <w:sz w:val="2"/>
                <w:szCs w:val="2"/>
              </w:rPr>
            </w:pPr>
          </w:p>
        </w:tc>
        <w:tc>
          <w:tcPr>
            <w:tcW w:w="826" w:type="dxa"/>
            <w:vMerge/>
            <w:tcBorders>
              <w:top w:val="nil"/>
            </w:tcBorders>
          </w:tcPr>
          <w:p>
            <w:pPr>
              <w:rPr>
                <w:sz w:val="2"/>
                <w:szCs w:val="2"/>
              </w:rPr>
            </w:pPr>
          </w:p>
        </w:tc>
        <w:tc>
          <w:tcPr>
            <w:tcW w:w="1071" w:type="dxa"/>
          </w:tcPr>
          <w:p>
            <w:pPr>
              <w:pStyle w:val="TableParagraph"/>
              <w:spacing w:line="242" w:lineRule="auto" w:before="138"/>
              <w:ind w:left="114" w:right="102"/>
              <w:jc w:val="center"/>
              <w:rPr>
                <w:sz w:val="21"/>
              </w:rPr>
            </w:pPr>
            <w:r>
              <w:rPr>
                <w:spacing w:val="-1"/>
                <w:sz w:val="21"/>
              </w:rPr>
              <w:t>本年应参加董事会</w:t>
            </w:r>
            <w:r>
              <w:rPr>
                <w:sz w:val="21"/>
              </w:rPr>
              <w:t>次数 </w:t>
            </w:r>
          </w:p>
        </w:tc>
        <w:tc>
          <w:tcPr>
            <w:tcW w:w="833" w:type="dxa"/>
          </w:tcPr>
          <w:p>
            <w:pPr>
              <w:pStyle w:val="TableParagraph"/>
              <w:spacing w:line="242" w:lineRule="auto" w:before="138"/>
              <w:ind w:left="202" w:right="92"/>
              <w:jc w:val="both"/>
              <w:rPr>
                <w:sz w:val="21"/>
              </w:rPr>
            </w:pPr>
            <w:r>
              <w:rPr>
                <w:sz w:val="21"/>
              </w:rPr>
              <w:t>亲自出席次数 </w:t>
            </w:r>
          </w:p>
        </w:tc>
        <w:tc>
          <w:tcPr>
            <w:tcW w:w="944" w:type="dxa"/>
          </w:tcPr>
          <w:p>
            <w:pPr>
              <w:pStyle w:val="TableParagraph"/>
              <w:spacing w:line="242" w:lineRule="auto" w:before="138"/>
              <w:ind w:left="152" w:right="42"/>
              <w:jc w:val="both"/>
              <w:rPr>
                <w:sz w:val="21"/>
              </w:rPr>
            </w:pPr>
            <w:r>
              <w:rPr>
                <w:sz w:val="21"/>
              </w:rPr>
              <w:t>以通讯方式参加次数 </w:t>
            </w:r>
          </w:p>
        </w:tc>
        <w:tc>
          <w:tcPr>
            <w:tcW w:w="881" w:type="dxa"/>
          </w:tcPr>
          <w:p>
            <w:pPr>
              <w:pStyle w:val="TableParagraph"/>
              <w:spacing w:before="6"/>
              <w:rPr>
                <w:sz w:val="21"/>
              </w:rPr>
            </w:pPr>
          </w:p>
          <w:p>
            <w:pPr>
              <w:pStyle w:val="TableParagraph"/>
              <w:spacing w:line="244" w:lineRule="auto"/>
              <w:ind w:left="123" w:right="9"/>
              <w:rPr>
                <w:sz w:val="21"/>
              </w:rPr>
            </w:pPr>
            <w:r>
              <w:rPr>
                <w:sz w:val="21"/>
              </w:rPr>
              <w:t>委托出席次数 </w:t>
            </w:r>
          </w:p>
        </w:tc>
        <w:tc>
          <w:tcPr>
            <w:tcW w:w="826" w:type="dxa"/>
          </w:tcPr>
          <w:p>
            <w:pPr>
              <w:pStyle w:val="TableParagraph"/>
              <w:spacing w:before="6"/>
              <w:rPr>
                <w:sz w:val="21"/>
              </w:rPr>
            </w:pPr>
          </w:p>
          <w:p>
            <w:pPr>
              <w:pStyle w:val="TableParagraph"/>
              <w:spacing w:line="244" w:lineRule="auto"/>
              <w:ind w:left="199" w:right="88"/>
              <w:rPr>
                <w:sz w:val="21"/>
              </w:rPr>
            </w:pPr>
            <w:r>
              <w:rPr>
                <w:sz w:val="21"/>
              </w:rPr>
              <w:t>缺席次数 </w:t>
            </w:r>
          </w:p>
        </w:tc>
        <w:tc>
          <w:tcPr>
            <w:tcW w:w="1261" w:type="dxa"/>
          </w:tcPr>
          <w:p>
            <w:pPr>
              <w:pStyle w:val="TableParagraph"/>
              <w:spacing w:line="242" w:lineRule="auto" w:before="3"/>
              <w:ind w:left="204" w:right="202"/>
              <w:jc w:val="both"/>
              <w:rPr>
                <w:sz w:val="21"/>
              </w:rPr>
            </w:pPr>
            <w:r>
              <w:rPr>
                <w:spacing w:val="-1"/>
                <w:sz w:val="21"/>
              </w:rPr>
              <w:t>是否连续两次未亲自参加会</w:t>
            </w:r>
          </w:p>
          <w:p>
            <w:pPr>
              <w:pStyle w:val="TableParagraph"/>
              <w:spacing w:line="252" w:lineRule="exact" w:before="1"/>
              <w:ind w:left="518"/>
              <w:rPr>
                <w:sz w:val="21"/>
              </w:rPr>
            </w:pPr>
            <w:r>
              <w:rPr>
                <w:sz w:val="21"/>
              </w:rPr>
              <w:t>议 </w:t>
            </w:r>
          </w:p>
        </w:tc>
        <w:tc>
          <w:tcPr>
            <w:tcW w:w="1227" w:type="dxa"/>
          </w:tcPr>
          <w:p>
            <w:pPr>
              <w:pStyle w:val="TableParagraph"/>
              <w:spacing w:line="242" w:lineRule="auto" w:before="138"/>
              <w:ind w:left="189" w:right="183"/>
              <w:jc w:val="center"/>
              <w:rPr>
                <w:sz w:val="21"/>
              </w:rPr>
            </w:pPr>
            <w:r>
              <w:rPr>
                <w:spacing w:val="-1"/>
                <w:sz w:val="21"/>
              </w:rPr>
              <w:t>出席股东大会的次</w:t>
            </w:r>
            <w:r>
              <w:rPr>
                <w:sz w:val="21"/>
              </w:rPr>
              <w:t>数 </w:t>
            </w:r>
          </w:p>
        </w:tc>
      </w:tr>
      <w:tr>
        <w:trPr>
          <w:trHeight w:val="270" w:hRule="atLeast"/>
        </w:trPr>
        <w:tc>
          <w:tcPr>
            <w:tcW w:w="958" w:type="dxa"/>
          </w:tcPr>
          <w:p>
            <w:pPr>
              <w:pStyle w:val="TableParagraph"/>
              <w:spacing w:line="250" w:lineRule="exact" w:before="1"/>
              <w:ind w:right="46"/>
              <w:jc w:val="right"/>
              <w:rPr>
                <w:sz w:val="21"/>
              </w:rPr>
            </w:pPr>
            <w:r>
              <w:rPr>
                <w:sz w:val="21"/>
              </w:rPr>
              <w:t>李军旗 </w:t>
            </w:r>
          </w:p>
        </w:tc>
        <w:tc>
          <w:tcPr>
            <w:tcW w:w="826" w:type="dxa"/>
          </w:tcPr>
          <w:p>
            <w:pPr>
              <w:pStyle w:val="TableParagraph"/>
              <w:spacing w:line="250" w:lineRule="exact" w:before="1"/>
              <w:ind w:left="306"/>
              <w:rPr>
                <w:sz w:val="21"/>
              </w:rPr>
            </w:pPr>
            <w:r>
              <w:rPr>
                <w:w w:val="100"/>
                <w:sz w:val="21"/>
              </w:rPr>
              <w:t>否</w:t>
            </w:r>
          </w:p>
        </w:tc>
        <w:tc>
          <w:tcPr>
            <w:tcW w:w="1071" w:type="dxa"/>
          </w:tcPr>
          <w:p>
            <w:pPr>
              <w:pStyle w:val="TableParagraph"/>
              <w:spacing w:line="235" w:lineRule="exact"/>
              <w:ind w:left="429"/>
              <w:rPr>
                <w:rFonts w:ascii="Times New Roman"/>
                <w:sz w:val="21"/>
              </w:rPr>
            </w:pPr>
            <w:r>
              <w:rPr>
                <w:rFonts w:ascii="Times New Roman"/>
                <w:sz w:val="21"/>
              </w:rPr>
              <w:t>11</w:t>
            </w:r>
          </w:p>
        </w:tc>
        <w:tc>
          <w:tcPr>
            <w:tcW w:w="833" w:type="dxa"/>
          </w:tcPr>
          <w:p>
            <w:pPr>
              <w:pStyle w:val="TableParagraph"/>
              <w:spacing w:line="235" w:lineRule="exact"/>
              <w:ind w:left="308"/>
              <w:rPr>
                <w:rFonts w:ascii="Times New Roman"/>
                <w:sz w:val="21"/>
              </w:rPr>
            </w:pPr>
            <w:r>
              <w:rPr>
                <w:rFonts w:ascii="Times New Roman"/>
                <w:sz w:val="21"/>
              </w:rPr>
              <w:t>11</w:t>
            </w:r>
          </w:p>
        </w:tc>
        <w:tc>
          <w:tcPr>
            <w:tcW w:w="944" w:type="dxa"/>
          </w:tcPr>
          <w:p>
            <w:pPr>
              <w:pStyle w:val="TableParagraph"/>
              <w:spacing w:line="235" w:lineRule="exact"/>
              <w:ind w:left="413"/>
              <w:rPr>
                <w:rFonts w:ascii="Times New Roman"/>
                <w:sz w:val="21"/>
              </w:rPr>
            </w:pPr>
            <w:r>
              <w:rPr>
                <w:rFonts w:ascii="Times New Roman"/>
                <w:w w:val="100"/>
                <w:sz w:val="21"/>
              </w:rPr>
              <w:t>4</w:t>
            </w:r>
          </w:p>
        </w:tc>
        <w:tc>
          <w:tcPr>
            <w:tcW w:w="881" w:type="dxa"/>
          </w:tcPr>
          <w:p>
            <w:pPr>
              <w:pStyle w:val="TableParagraph"/>
              <w:spacing w:line="235" w:lineRule="exact"/>
              <w:ind w:right="376"/>
              <w:jc w:val="right"/>
              <w:rPr>
                <w:rFonts w:ascii="Times New Roman"/>
                <w:sz w:val="21"/>
              </w:rPr>
            </w:pPr>
            <w:r>
              <w:rPr>
                <w:rFonts w:ascii="Times New Roman"/>
                <w:w w:val="100"/>
                <w:sz w:val="21"/>
              </w:rPr>
              <w:t>0</w:t>
            </w:r>
          </w:p>
        </w:tc>
        <w:tc>
          <w:tcPr>
            <w:tcW w:w="826" w:type="dxa"/>
          </w:tcPr>
          <w:p>
            <w:pPr>
              <w:pStyle w:val="TableParagraph"/>
              <w:spacing w:line="235" w:lineRule="exact"/>
              <w:ind w:left="1"/>
              <w:jc w:val="center"/>
              <w:rPr>
                <w:rFonts w:ascii="Times New Roman"/>
                <w:sz w:val="21"/>
              </w:rPr>
            </w:pPr>
            <w:r>
              <w:rPr>
                <w:rFonts w:ascii="Times New Roman"/>
                <w:w w:val="100"/>
                <w:sz w:val="21"/>
              </w:rPr>
              <w:t>0</w:t>
            </w:r>
          </w:p>
        </w:tc>
        <w:tc>
          <w:tcPr>
            <w:tcW w:w="1261" w:type="dxa"/>
          </w:tcPr>
          <w:p>
            <w:pPr>
              <w:pStyle w:val="TableParagraph"/>
              <w:spacing w:line="250" w:lineRule="exact" w:before="1"/>
              <w:ind w:left="518"/>
              <w:rPr>
                <w:sz w:val="21"/>
              </w:rPr>
            </w:pPr>
            <w:r>
              <w:rPr>
                <w:w w:val="100"/>
                <w:sz w:val="21"/>
              </w:rPr>
              <w:t>否</w:t>
            </w:r>
          </w:p>
        </w:tc>
        <w:tc>
          <w:tcPr>
            <w:tcW w:w="1227" w:type="dxa"/>
          </w:tcPr>
          <w:p>
            <w:pPr>
              <w:pStyle w:val="TableParagraph"/>
              <w:spacing w:line="235" w:lineRule="exact"/>
              <w:ind w:left="556"/>
              <w:rPr>
                <w:rFonts w:ascii="Times New Roman"/>
                <w:sz w:val="21"/>
              </w:rPr>
            </w:pPr>
            <w:r>
              <w:rPr>
                <w:rFonts w:ascii="Times New Roman"/>
                <w:w w:val="100"/>
                <w:sz w:val="21"/>
              </w:rPr>
              <w:t>1</w:t>
            </w:r>
          </w:p>
        </w:tc>
      </w:tr>
      <w:tr>
        <w:trPr>
          <w:trHeight w:val="273" w:hRule="atLeast"/>
        </w:trPr>
        <w:tc>
          <w:tcPr>
            <w:tcW w:w="958" w:type="dxa"/>
          </w:tcPr>
          <w:p>
            <w:pPr>
              <w:pStyle w:val="TableParagraph"/>
              <w:spacing w:line="252" w:lineRule="exact" w:before="1"/>
              <w:ind w:right="46"/>
              <w:jc w:val="right"/>
              <w:rPr>
                <w:sz w:val="21"/>
              </w:rPr>
            </w:pPr>
            <w:r>
              <w:rPr>
                <w:sz w:val="21"/>
              </w:rPr>
              <w:t>郑弘孟 </w:t>
            </w:r>
          </w:p>
        </w:tc>
        <w:tc>
          <w:tcPr>
            <w:tcW w:w="826" w:type="dxa"/>
          </w:tcPr>
          <w:p>
            <w:pPr>
              <w:pStyle w:val="TableParagraph"/>
              <w:spacing w:line="252" w:lineRule="exact" w:before="1"/>
              <w:ind w:left="306"/>
              <w:rPr>
                <w:sz w:val="21"/>
              </w:rPr>
            </w:pPr>
            <w:r>
              <w:rPr>
                <w:w w:val="100"/>
                <w:sz w:val="21"/>
              </w:rPr>
              <w:t>否</w:t>
            </w:r>
          </w:p>
        </w:tc>
        <w:tc>
          <w:tcPr>
            <w:tcW w:w="1071" w:type="dxa"/>
          </w:tcPr>
          <w:p>
            <w:pPr>
              <w:pStyle w:val="TableParagraph"/>
              <w:spacing w:line="235" w:lineRule="exact"/>
              <w:ind w:left="429"/>
              <w:rPr>
                <w:rFonts w:ascii="Times New Roman"/>
                <w:sz w:val="21"/>
              </w:rPr>
            </w:pPr>
            <w:r>
              <w:rPr>
                <w:rFonts w:ascii="Times New Roman"/>
                <w:sz w:val="21"/>
              </w:rPr>
              <w:t>11</w:t>
            </w:r>
          </w:p>
        </w:tc>
        <w:tc>
          <w:tcPr>
            <w:tcW w:w="833" w:type="dxa"/>
          </w:tcPr>
          <w:p>
            <w:pPr>
              <w:pStyle w:val="TableParagraph"/>
              <w:spacing w:line="235" w:lineRule="exact"/>
              <w:ind w:left="308"/>
              <w:rPr>
                <w:rFonts w:ascii="Times New Roman"/>
                <w:sz w:val="21"/>
              </w:rPr>
            </w:pPr>
            <w:r>
              <w:rPr>
                <w:rFonts w:ascii="Times New Roman"/>
                <w:sz w:val="21"/>
              </w:rPr>
              <w:t>11</w:t>
            </w:r>
          </w:p>
        </w:tc>
        <w:tc>
          <w:tcPr>
            <w:tcW w:w="944" w:type="dxa"/>
          </w:tcPr>
          <w:p>
            <w:pPr>
              <w:pStyle w:val="TableParagraph"/>
              <w:spacing w:line="235" w:lineRule="exact"/>
              <w:ind w:left="413"/>
              <w:rPr>
                <w:rFonts w:ascii="Times New Roman"/>
                <w:sz w:val="21"/>
              </w:rPr>
            </w:pPr>
            <w:r>
              <w:rPr>
                <w:rFonts w:ascii="Times New Roman"/>
                <w:w w:val="100"/>
                <w:sz w:val="21"/>
              </w:rPr>
              <w:t>9</w:t>
            </w:r>
          </w:p>
        </w:tc>
        <w:tc>
          <w:tcPr>
            <w:tcW w:w="881" w:type="dxa"/>
          </w:tcPr>
          <w:p>
            <w:pPr>
              <w:pStyle w:val="TableParagraph"/>
              <w:spacing w:line="235" w:lineRule="exact"/>
              <w:ind w:right="376"/>
              <w:jc w:val="right"/>
              <w:rPr>
                <w:rFonts w:ascii="Times New Roman"/>
                <w:sz w:val="21"/>
              </w:rPr>
            </w:pPr>
            <w:r>
              <w:rPr>
                <w:rFonts w:ascii="Times New Roman"/>
                <w:w w:val="100"/>
                <w:sz w:val="21"/>
              </w:rPr>
              <w:t>0</w:t>
            </w:r>
          </w:p>
        </w:tc>
        <w:tc>
          <w:tcPr>
            <w:tcW w:w="826" w:type="dxa"/>
          </w:tcPr>
          <w:p>
            <w:pPr>
              <w:pStyle w:val="TableParagraph"/>
              <w:spacing w:line="235" w:lineRule="exact"/>
              <w:ind w:left="1"/>
              <w:jc w:val="center"/>
              <w:rPr>
                <w:rFonts w:ascii="Times New Roman"/>
                <w:sz w:val="21"/>
              </w:rPr>
            </w:pPr>
            <w:r>
              <w:rPr>
                <w:rFonts w:ascii="Times New Roman"/>
                <w:w w:val="100"/>
                <w:sz w:val="21"/>
              </w:rPr>
              <w:t>0</w:t>
            </w:r>
          </w:p>
        </w:tc>
        <w:tc>
          <w:tcPr>
            <w:tcW w:w="1261" w:type="dxa"/>
          </w:tcPr>
          <w:p>
            <w:pPr>
              <w:pStyle w:val="TableParagraph"/>
              <w:spacing w:line="252" w:lineRule="exact" w:before="1"/>
              <w:ind w:left="518"/>
              <w:rPr>
                <w:sz w:val="21"/>
              </w:rPr>
            </w:pPr>
            <w:r>
              <w:rPr>
                <w:w w:val="100"/>
                <w:sz w:val="21"/>
              </w:rPr>
              <w:t>否</w:t>
            </w:r>
          </w:p>
        </w:tc>
        <w:tc>
          <w:tcPr>
            <w:tcW w:w="1227" w:type="dxa"/>
          </w:tcPr>
          <w:p>
            <w:pPr>
              <w:pStyle w:val="TableParagraph"/>
              <w:spacing w:line="235" w:lineRule="exact"/>
              <w:ind w:left="556"/>
              <w:rPr>
                <w:rFonts w:ascii="Times New Roman"/>
                <w:sz w:val="21"/>
              </w:rPr>
            </w:pPr>
            <w:r>
              <w:rPr>
                <w:rFonts w:ascii="Times New Roman"/>
                <w:w w:val="100"/>
                <w:sz w:val="21"/>
              </w:rPr>
              <w:t>1</w:t>
            </w:r>
          </w:p>
        </w:tc>
      </w:tr>
      <w:tr>
        <w:trPr>
          <w:trHeight w:val="270" w:hRule="atLeast"/>
        </w:trPr>
        <w:tc>
          <w:tcPr>
            <w:tcW w:w="958" w:type="dxa"/>
          </w:tcPr>
          <w:p>
            <w:pPr>
              <w:pStyle w:val="TableParagraph"/>
              <w:spacing w:line="250" w:lineRule="exact" w:before="1"/>
              <w:ind w:right="46"/>
              <w:jc w:val="right"/>
              <w:rPr>
                <w:sz w:val="21"/>
              </w:rPr>
            </w:pPr>
            <w:r>
              <w:rPr>
                <w:sz w:val="21"/>
              </w:rPr>
              <w:t>周泰裕 </w:t>
            </w:r>
          </w:p>
        </w:tc>
        <w:tc>
          <w:tcPr>
            <w:tcW w:w="826" w:type="dxa"/>
          </w:tcPr>
          <w:p>
            <w:pPr>
              <w:pStyle w:val="TableParagraph"/>
              <w:spacing w:line="250" w:lineRule="exact" w:before="1"/>
              <w:ind w:left="306"/>
              <w:rPr>
                <w:sz w:val="21"/>
              </w:rPr>
            </w:pPr>
            <w:r>
              <w:rPr>
                <w:w w:val="100"/>
                <w:sz w:val="21"/>
              </w:rPr>
              <w:t>否</w:t>
            </w:r>
          </w:p>
        </w:tc>
        <w:tc>
          <w:tcPr>
            <w:tcW w:w="1071" w:type="dxa"/>
          </w:tcPr>
          <w:p>
            <w:pPr>
              <w:pStyle w:val="TableParagraph"/>
              <w:spacing w:line="235" w:lineRule="exact"/>
              <w:ind w:left="429"/>
              <w:rPr>
                <w:rFonts w:ascii="Times New Roman"/>
                <w:sz w:val="21"/>
              </w:rPr>
            </w:pPr>
            <w:r>
              <w:rPr>
                <w:rFonts w:ascii="Times New Roman"/>
                <w:sz w:val="21"/>
              </w:rPr>
              <w:t>11</w:t>
            </w:r>
          </w:p>
        </w:tc>
        <w:tc>
          <w:tcPr>
            <w:tcW w:w="833" w:type="dxa"/>
          </w:tcPr>
          <w:p>
            <w:pPr>
              <w:pStyle w:val="TableParagraph"/>
              <w:spacing w:line="235" w:lineRule="exact"/>
              <w:ind w:left="308"/>
              <w:rPr>
                <w:rFonts w:ascii="Times New Roman"/>
                <w:sz w:val="21"/>
              </w:rPr>
            </w:pPr>
            <w:r>
              <w:rPr>
                <w:rFonts w:ascii="Times New Roman"/>
                <w:sz w:val="21"/>
              </w:rPr>
              <w:t>11</w:t>
            </w:r>
          </w:p>
        </w:tc>
        <w:tc>
          <w:tcPr>
            <w:tcW w:w="944" w:type="dxa"/>
          </w:tcPr>
          <w:p>
            <w:pPr>
              <w:pStyle w:val="TableParagraph"/>
              <w:spacing w:line="235" w:lineRule="exact"/>
              <w:ind w:left="361"/>
              <w:rPr>
                <w:rFonts w:ascii="Times New Roman"/>
                <w:sz w:val="21"/>
              </w:rPr>
            </w:pPr>
            <w:r>
              <w:rPr>
                <w:rFonts w:ascii="Times New Roman"/>
                <w:sz w:val="21"/>
              </w:rPr>
              <w:t>11</w:t>
            </w:r>
          </w:p>
        </w:tc>
        <w:tc>
          <w:tcPr>
            <w:tcW w:w="881" w:type="dxa"/>
          </w:tcPr>
          <w:p>
            <w:pPr>
              <w:pStyle w:val="TableParagraph"/>
              <w:spacing w:line="235" w:lineRule="exact"/>
              <w:ind w:right="376"/>
              <w:jc w:val="right"/>
              <w:rPr>
                <w:rFonts w:ascii="Times New Roman"/>
                <w:sz w:val="21"/>
              </w:rPr>
            </w:pPr>
            <w:r>
              <w:rPr>
                <w:rFonts w:ascii="Times New Roman"/>
                <w:w w:val="100"/>
                <w:sz w:val="21"/>
              </w:rPr>
              <w:t>0</w:t>
            </w:r>
          </w:p>
        </w:tc>
        <w:tc>
          <w:tcPr>
            <w:tcW w:w="826" w:type="dxa"/>
          </w:tcPr>
          <w:p>
            <w:pPr>
              <w:pStyle w:val="TableParagraph"/>
              <w:spacing w:line="235" w:lineRule="exact"/>
              <w:ind w:left="1"/>
              <w:jc w:val="center"/>
              <w:rPr>
                <w:rFonts w:ascii="Times New Roman"/>
                <w:sz w:val="21"/>
              </w:rPr>
            </w:pPr>
            <w:r>
              <w:rPr>
                <w:rFonts w:ascii="Times New Roman"/>
                <w:w w:val="100"/>
                <w:sz w:val="21"/>
              </w:rPr>
              <w:t>0</w:t>
            </w:r>
          </w:p>
        </w:tc>
        <w:tc>
          <w:tcPr>
            <w:tcW w:w="1261" w:type="dxa"/>
          </w:tcPr>
          <w:p>
            <w:pPr>
              <w:pStyle w:val="TableParagraph"/>
              <w:spacing w:line="250" w:lineRule="exact" w:before="1"/>
              <w:ind w:left="518"/>
              <w:rPr>
                <w:sz w:val="21"/>
              </w:rPr>
            </w:pPr>
            <w:r>
              <w:rPr>
                <w:w w:val="100"/>
                <w:sz w:val="21"/>
              </w:rPr>
              <w:t>否</w:t>
            </w:r>
          </w:p>
        </w:tc>
        <w:tc>
          <w:tcPr>
            <w:tcW w:w="1227" w:type="dxa"/>
          </w:tcPr>
          <w:p>
            <w:pPr>
              <w:pStyle w:val="TableParagraph"/>
              <w:spacing w:line="235" w:lineRule="exact"/>
              <w:ind w:left="556"/>
              <w:rPr>
                <w:rFonts w:ascii="Times New Roman"/>
                <w:sz w:val="21"/>
              </w:rPr>
            </w:pPr>
            <w:r>
              <w:rPr>
                <w:rFonts w:ascii="Times New Roman"/>
                <w:w w:val="100"/>
                <w:sz w:val="21"/>
              </w:rPr>
              <w:t>1</w:t>
            </w:r>
          </w:p>
        </w:tc>
      </w:tr>
      <w:tr>
        <w:trPr>
          <w:trHeight w:val="273" w:hRule="atLeast"/>
        </w:trPr>
        <w:tc>
          <w:tcPr>
            <w:tcW w:w="958" w:type="dxa"/>
          </w:tcPr>
          <w:p>
            <w:pPr>
              <w:pStyle w:val="TableParagraph"/>
              <w:spacing w:line="250" w:lineRule="exact" w:before="3"/>
              <w:ind w:right="46"/>
              <w:jc w:val="right"/>
              <w:rPr>
                <w:sz w:val="21"/>
              </w:rPr>
            </w:pPr>
            <w:r>
              <w:rPr>
                <w:sz w:val="21"/>
              </w:rPr>
              <w:t>王健民 </w:t>
            </w:r>
          </w:p>
        </w:tc>
        <w:tc>
          <w:tcPr>
            <w:tcW w:w="826" w:type="dxa"/>
          </w:tcPr>
          <w:p>
            <w:pPr>
              <w:pStyle w:val="TableParagraph"/>
              <w:spacing w:line="250" w:lineRule="exact" w:before="3"/>
              <w:ind w:left="306"/>
              <w:rPr>
                <w:sz w:val="21"/>
              </w:rPr>
            </w:pPr>
            <w:r>
              <w:rPr>
                <w:w w:val="100"/>
                <w:sz w:val="21"/>
              </w:rPr>
              <w:t>否</w:t>
            </w:r>
          </w:p>
        </w:tc>
        <w:tc>
          <w:tcPr>
            <w:tcW w:w="1071" w:type="dxa"/>
          </w:tcPr>
          <w:p>
            <w:pPr>
              <w:pStyle w:val="TableParagraph"/>
              <w:spacing w:line="237" w:lineRule="exact"/>
              <w:ind w:left="481"/>
              <w:rPr>
                <w:rFonts w:ascii="Times New Roman"/>
                <w:sz w:val="21"/>
              </w:rPr>
            </w:pPr>
            <w:r>
              <w:rPr>
                <w:rFonts w:ascii="Times New Roman"/>
                <w:w w:val="100"/>
                <w:sz w:val="21"/>
              </w:rPr>
              <w:t>5</w:t>
            </w:r>
          </w:p>
        </w:tc>
        <w:tc>
          <w:tcPr>
            <w:tcW w:w="833" w:type="dxa"/>
          </w:tcPr>
          <w:p>
            <w:pPr>
              <w:pStyle w:val="TableParagraph"/>
              <w:spacing w:line="237" w:lineRule="exact"/>
              <w:ind w:left="361"/>
              <w:rPr>
                <w:rFonts w:ascii="Times New Roman"/>
                <w:sz w:val="21"/>
              </w:rPr>
            </w:pPr>
            <w:r>
              <w:rPr>
                <w:rFonts w:ascii="Times New Roman"/>
                <w:w w:val="100"/>
                <w:sz w:val="21"/>
              </w:rPr>
              <w:t>5</w:t>
            </w:r>
          </w:p>
        </w:tc>
        <w:tc>
          <w:tcPr>
            <w:tcW w:w="944" w:type="dxa"/>
          </w:tcPr>
          <w:p>
            <w:pPr>
              <w:pStyle w:val="TableParagraph"/>
              <w:spacing w:line="237" w:lineRule="exact"/>
              <w:ind w:left="413"/>
              <w:rPr>
                <w:rFonts w:ascii="Times New Roman"/>
                <w:sz w:val="21"/>
              </w:rPr>
            </w:pPr>
            <w:r>
              <w:rPr>
                <w:rFonts w:ascii="Times New Roman"/>
                <w:w w:val="100"/>
                <w:sz w:val="21"/>
              </w:rPr>
              <w:t>5</w:t>
            </w:r>
          </w:p>
        </w:tc>
        <w:tc>
          <w:tcPr>
            <w:tcW w:w="881" w:type="dxa"/>
          </w:tcPr>
          <w:p>
            <w:pPr>
              <w:pStyle w:val="TableParagraph"/>
              <w:spacing w:line="237" w:lineRule="exact"/>
              <w:ind w:right="376"/>
              <w:jc w:val="right"/>
              <w:rPr>
                <w:rFonts w:ascii="Times New Roman"/>
                <w:sz w:val="21"/>
              </w:rPr>
            </w:pPr>
            <w:r>
              <w:rPr>
                <w:rFonts w:ascii="Times New Roman"/>
                <w:w w:val="100"/>
                <w:sz w:val="21"/>
              </w:rPr>
              <w:t>0</w:t>
            </w:r>
          </w:p>
        </w:tc>
        <w:tc>
          <w:tcPr>
            <w:tcW w:w="826" w:type="dxa"/>
          </w:tcPr>
          <w:p>
            <w:pPr>
              <w:pStyle w:val="TableParagraph"/>
              <w:spacing w:line="237" w:lineRule="exact"/>
              <w:ind w:left="1"/>
              <w:jc w:val="center"/>
              <w:rPr>
                <w:rFonts w:ascii="Times New Roman"/>
                <w:sz w:val="21"/>
              </w:rPr>
            </w:pPr>
            <w:r>
              <w:rPr>
                <w:rFonts w:ascii="Times New Roman"/>
                <w:w w:val="100"/>
                <w:sz w:val="21"/>
              </w:rPr>
              <w:t>0</w:t>
            </w:r>
          </w:p>
        </w:tc>
        <w:tc>
          <w:tcPr>
            <w:tcW w:w="1261" w:type="dxa"/>
          </w:tcPr>
          <w:p>
            <w:pPr>
              <w:pStyle w:val="TableParagraph"/>
              <w:spacing w:line="250" w:lineRule="exact" w:before="3"/>
              <w:ind w:left="518"/>
              <w:rPr>
                <w:sz w:val="21"/>
              </w:rPr>
            </w:pPr>
            <w:r>
              <w:rPr>
                <w:w w:val="100"/>
                <w:sz w:val="21"/>
              </w:rPr>
              <w:t>否</w:t>
            </w:r>
          </w:p>
        </w:tc>
        <w:tc>
          <w:tcPr>
            <w:tcW w:w="1227" w:type="dxa"/>
          </w:tcPr>
          <w:p>
            <w:pPr>
              <w:pStyle w:val="TableParagraph"/>
              <w:spacing w:line="237" w:lineRule="exact"/>
              <w:ind w:left="556"/>
              <w:rPr>
                <w:rFonts w:ascii="Times New Roman"/>
                <w:sz w:val="21"/>
              </w:rPr>
            </w:pPr>
            <w:r>
              <w:rPr>
                <w:rFonts w:ascii="Times New Roman"/>
                <w:w w:val="100"/>
                <w:sz w:val="21"/>
              </w:rPr>
              <w:t>1</w:t>
            </w:r>
          </w:p>
        </w:tc>
      </w:tr>
      <w:tr>
        <w:trPr>
          <w:trHeight w:val="273" w:hRule="atLeast"/>
        </w:trPr>
        <w:tc>
          <w:tcPr>
            <w:tcW w:w="958" w:type="dxa"/>
          </w:tcPr>
          <w:p>
            <w:pPr>
              <w:pStyle w:val="TableParagraph"/>
              <w:spacing w:line="252" w:lineRule="exact" w:before="1"/>
              <w:ind w:right="46"/>
              <w:jc w:val="right"/>
              <w:rPr>
                <w:sz w:val="21"/>
              </w:rPr>
            </w:pPr>
            <w:r>
              <w:rPr>
                <w:sz w:val="21"/>
              </w:rPr>
              <w:t>刘俊杰 </w:t>
            </w:r>
          </w:p>
        </w:tc>
        <w:tc>
          <w:tcPr>
            <w:tcW w:w="826" w:type="dxa"/>
          </w:tcPr>
          <w:p>
            <w:pPr>
              <w:pStyle w:val="TableParagraph"/>
              <w:spacing w:line="252" w:lineRule="exact" w:before="1"/>
              <w:ind w:left="306"/>
              <w:rPr>
                <w:sz w:val="21"/>
              </w:rPr>
            </w:pPr>
            <w:r>
              <w:rPr>
                <w:w w:val="100"/>
                <w:sz w:val="21"/>
              </w:rPr>
              <w:t>否</w:t>
            </w:r>
          </w:p>
        </w:tc>
        <w:tc>
          <w:tcPr>
            <w:tcW w:w="1071" w:type="dxa"/>
          </w:tcPr>
          <w:p>
            <w:pPr>
              <w:pStyle w:val="TableParagraph"/>
              <w:spacing w:line="235" w:lineRule="exact"/>
              <w:ind w:left="481"/>
              <w:rPr>
                <w:rFonts w:ascii="Times New Roman"/>
                <w:sz w:val="21"/>
              </w:rPr>
            </w:pPr>
            <w:r>
              <w:rPr>
                <w:rFonts w:ascii="Times New Roman"/>
                <w:w w:val="100"/>
                <w:sz w:val="21"/>
              </w:rPr>
              <w:t>6</w:t>
            </w:r>
          </w:p>
        </w:tc>
        <w:tc>
          <w:tcPr>
            <w:tcW w:w="833" w:type="dxa"/>
          </w:tcPr>
          <w:p>
            <w:pPr>
              <w:pStyle w:val="TableParagraph"/>
              <w:spacing w:line="235" w:lineRule="exact"/>
              <w:ind w:left="361"/>
              <w:rPr>
                <w:rFonts w:ascii="Times New Roman"/>
                <w:sz w:val="21"/>
              </w:rPr>
            </w:pPr>
            <w:r>
              <w:rPr>
                <w:rFonts w:ascii="Times New Roman"/>
                <w:w w:val="100"/>
                <w:sz w:val="21"/>
              </w:rPr>
              <w:t>6</w:t>
            </w:r>
          </w:p>
        </w:tc>
        <w:tc>
          <w:tcPr>
            <w:tcW w:w="944" w:type="dxa"/>
          </w:tcPr>
          <w:p>
            <w:pPr>
              <w:pStyle w:val="TableParagraph"/>
              <w:spacing w:line="235" w:lineRule="exact"/>
              <w:ind w:left="413"/>
              <w:rPr>
                <w:rFonts w:ascii="Times New Roman"/>
                <w:sz w:val="21"/>
              </w:rPr>
            </w:pPr>
            <w:r>
              <w:rPr>
                <w:rFonts w:ascii="Times New Roman"/>
                <w:w w:val="100"/>
                <w:sz w:val="21"/>
              </w:rPr>
              <w:t>6</w:t>
            </w:r>
          </w:p>
        </w:tc>
        <w:tc>
          <w:tcPr>
            <w:tcW w:w="881" w:type="dxa"/>
          </w:tcPr>
          <w:p>
            <w:pPr>
              <w:pStyle w:val="TableParagraph"/>
              <w:spacing w:line="235" w:lineRule="exact"/>
              <w:ind w:right="376"/>
              <w:jc w:val="right"/>
              <w:rPr>
                <w:rFonts w:ascii="Times New Roman"/>
                <w:sz w:val="21"/>
              </w:rPr>
            </w:pPr>
            <w:r>
              <w:rPr>
                <w:rFonts w:ascii="Times New Roman"/>
                <w:w w:val="100"/>
                <w:sz w:val="21"/>
              </w:rPr>
              <w:t>0</w:t>
            </w:r>
          </w:p>
        </w:tc>
        <w:tc>
          <w:tcPr>
            <w:tcW w:w="826" w:type="dxa"/>
          </w:tcPr>
          <w:p>
            <w:pPr>
              <w:pStyle w:val="TableParagraph"/>
              <w:spacing w:line="235" w:lineRule="exact"/>
              <w:ind w:left="1"/>
              <w:jc w:val="center"/>
              <w:rPr>
                <w:rFonts w:ascii="Times New Roman"/>
                <w:sz w:val="21"/>
              </w:rPr>
            </w:pPr>
            <w:r>
              <w:rPr>
                <w:rFonts w:ascii="Times New Roman"/>
                <w:w w:val="100"/>
                <w:sz w:val="21"/>
              </w:rPr>
              <w:t>0</w:t>
            </w:r>
          </w:p>
        </w:tc>
        <w:tc>
          <w:tcPr>
            <w:tcW w:w="1261" w:type="dxa"/>
          </w:tcPr>
          <w:p>
            <w:pPr>
              <w:pStyle w:val="TableParagraph"/>
              <w:spacing w:line="252" w:lineRule="exact" w:before="1"/>
              <w:ind w:left="518"/>
              <w:rPr>
                <w:sz w:val="21"/>
              </w:rPr>
            </w:pPr>
            <w:r>
              <w:rPr>
                <w:w w:val="100"/>
                <w:sz w:val="21"/>
              </w:rPr>
              <w:t>否</w:t>
            </w:r>
          </w:p>
        </w:tc>
        <w:tc>
          <w:tcPr>
            <w:tcW w:w="1227" w:type="dxa"/>
          </w:tcPr>
          <w:p>
            <w:pPr>
              <w:pStyle w:val="TableParagraph"/>
              <w:spacing w:line="235" w:lineRule="exact"/>
              <w:ind w:left="556"/>
              <w:rPr>
                <w:rFonts w:ascii="Times New Roman"/>
                <w:sz w:val="21"/>
              </w:rPr>
            </w:pPr>
            <w:r>
              <w:rPr>
                <w:rFonts w:ascii="Times New Roman"/>
                <w:w w:val="100"/>
                <w:sz w:val="21"/>
              </w:rPr>
              <w:t>1</w:t>
            </w:r>
          </w:p>
        </w:tc>
      </w:tr>
      <w:tr>
        <w:trPr>
          <w:trHeight w:val="270" w:hRule="atLeast"/>
        </w:trPr>
        <w:tc>
          <w:tcPr>
            <w:tcW w:w="958" w:type="dxa"/>
          </w:tcPr>
          <w:p>
            <w:pPr>
              <w:pStyle w:val="TableParagraph"/>
              <w:spacing w:line="250" w:lineRule="exact" w:before="1"/>
              <w:ind w:right="46"/>
              <w:jc w:val="right"/>
              <w:rPr>
                <w:sz w:val="21"/>
              </w:rPr>
            </w:pPr>
            <w:r>
              <w:rPr>
                <w:spacing w:val="34"/>
                <w:sz w:val="21"/>
              </w:rPr>
              <w:t>薛 健</w:t>
            </w:r>
            <w:r>
              <w:rPr>
                <w:sz w:val="21"/>
              </w:rPr>
              <w:t> </w:t>
            </w:r>
          </w:p>
        </w:tc>
        <w:tc>
          <w:tcPr>
            <w:tcW w:w="826" w:type="dxa"/>
          </w:tcPr>
          <w:p>
            <w:pPr>
              <w:pStyle w:val="TableParagraph"/>
              <w:spacing w:line="250" w:lineRule="exact" w:before="1"/>
              <w:ind w:left="306"/>
              <w:rPr>
                <w:sz w:val="21"/>
              </w:rPr>
            </w:pPr>
            <w:r>
              <w:rPr>
                <w:w w:val="100"/>
                <w:sz w:val="21"/>
              </w:rPr>
              <w:t>是</w:t>
            </w:r>
          </w:p>
        </w:tc>
        <w:tc>
          <w:tcPr>
            <w:tcW w:w="1071" w:type="dxa"/>
          </w:tcPr>
          <w:p>
            <w:pPr>
              <w:pStyle w:val="TableParagraph"/>
              <w:spacing w:line="235" w:lineRule="exact"/>
              <w:ind w:left="429"/>
              <w:rPr>
                <w:rFonts w:ascii="Times New Roman"/>
                <w:sz w:val="21"/>
              </w:rPr>
            </w:pPr>
            <w:r>
              <w:rPr>
                <w:rFonts w:ascii="Times New Roman"/>
                <w:sz w:val="21"/>
              </w:rPr>
              <w:t>11</w:t>
            </w:r>
          </w:p>
        </w:tc>
        <w:tc>
          <w:tcPr>
            <w:tcW w:w="833" w:type="dxa"/>
          </w:tcPr>
          <w:p>
            <w:pPr>
              <w:pStyle w:val="TableParagraph"/>
              <w:spacing w:line="235" w:lineRule="exact"/>
              <w:ind w:left="308"/>
              <w:rPr>
                <w:rFonts w:ascii="Times New Roman"/>
                <w:sz w:val="21"/>
              </w:rPr>
            </w:pPr>
            <w:r>
              <w:rPr>
                <w:rFonts w:ascii="Times New Roman"/>
                <w:sz w:val="21"/>
              </w:rPr>
              <w:t>11</w:t>
            </w:r>
          </w:p>
        </w:tc>
        <w:tc>
          <w:tcPr>
            <w:tcW w:w="944" w:type="dxa"/>
          </w:tcPr>
          <w:p>
            <w:pPr>
              <w:pStyle w:val="TableParagraph"/>
              <w:spacing w:line="235" w:lineRule="exact"/>
              <w:ind w:left="361"/>
              <w:rPr>
                <w:rFonts w:ascii="Times New Roman"/>
                <w:sz w:val="21"/>
              </w:rPr>
            </w:pPr>
            <w:r>
              <w:rPr>
                <w:rFonts w:ascii="Times New Roman"/>
                <w:sz w:val="21"/>
              </w:rPr>
              <w:t>11</w:t>
            </w:r>
          </w:p>
        </w:tc>
        <w:tc>
          <w:tcPr>
            <w:tcW w:w="881" w:type="dxa"/>
          </w:tcPr>
          <w:p>
            <w:pPr>
              <w:pStyle w:val="TableParagraph"/>
              <w:spacing w:line="235" w:lineRule="exact"/>
              <w:ind w:right="376"/>
              <w:jc w:val="right"/>
              <w:rPr>
                <w:rFonts w:ascii="Times New Roman"/>
                <w:sz w:val="21"/>
              </w:rPr>
            </w:pPr>
            <w:r>
              <w:rPr>
                <w:rFonts w:ascii="Times New Roman"/>
                <w:w w:val="100"/>
                <w:sz w:val="21"/>
              </w:rPr>
              <w:t>0</w:t>
            </w:r>
          </w:p>
        </w:tc>
        <w:tc>
          <w:tcPr>
            <w:tcW w:w="826" w:type="dxa"/>
          </w:tcPr>
          <w:p>
            <w:pPr>
              <w:pStyle w:val="TableParagraph"/>
              <w:spacing w:line="235" w:lineRule="exact"/>
              <w:ind w:left="1"/>
              <w:jc w:val="center"/>
              <w:rPr>
                <w:rFonts w:ascii="Times New Roman"/>
                <w:sz w:val="21"/>
              </w:rPr>
            </w:pPr>
            <w:r>
              <w:rPr>
                <w:rFonts w:ascii="Times New Roman"/>
                <w:w w:val="100"/>
                <w:sz w:val="21"/>
              </w:rPr>
              <w:t>0</w:t>
            </w:r>
          </w:p>
        </w:tc>
        <w:tc>
          <w:tcPr>
            <w:tcW w:w="1261" w:type="dxa"/>
          </w:tcPr>
          <w:p>
            <w:pPr>
              <w:pStyle w:val="TableParagraph"/>
              <w:spacing w:line="250" w:lineRule="exact" w:before="1"/>
              <w:ind w:left="518"/>
              <w:rPr>
                <w:sz w:val="21"/>
              </w:rPr>
            </w:pPr>
            <w:r>
              <w:rPr>
                <w:w w:val="100"/>
                <w:sz w:val="21"/>
              </w:rPr>
              <w:t>否</w:t>
            </w:r>
          </w:p>
        </w:tc>
        <w:tc>
          <w:tcPr>
            <w:tcW w:w="1227" w:type="dxa"/>
          </w:tcPr>
          <w:p>
            <w:pPr>
              <w:pStyle w:val="TableParagraph"/>
              <w:spacing w:line="235" w:lineRule="exact"/>
              <w:ind w:left="556"/>
              <w:rPr>
                <w:rFonts w:ascii="Times New Roman"/>
                <w:sz w:val="21"/>
              </w:rPr>
            </w:pPr>
            <w:r>
              <w:rPr>
                <w:rFonts w:ascii="Times New Roman"/>
                <w:w w:val="100"/>
                <w:sz w:val="21"/>
              </w:rPr>
              <w:t>1</w:t>
            </w:r>
          </w:p>
        </w:tc>
      </w:tr>
      <w:tr>
        <w:trPr>
          <w:trHeight w:val="273" w:hRule="atLeast"/>
        </w:trPr>
        <w:tc>
          <w:tcPr>
            <w:tcW w:w="958" w:type="dxa"/>
          </w:tcPr>
          <w:p>
            <w:pPr>
              <w:pStyle w:val="TableParagraph"/>
              <w:spacing w:line="250" w:lineRule="exact" w:before="3"/>
              <w:ind w:right="46"/>
              <w:jc w:val="right"/>
              <w:rPr>
                <w:sz w:val="21"/>
              </w:rPr>
            </w:pPr>
            <w:r>
              <w:rPr>
                <w:sz w:val="21"/>
              </w:rPr>
              <w:t>孙中亮 </w:t>
            </w:r>
          </w:p>
        </w:tc>
        <w:tc>
          <w:tcPr>
            <w:tcW w:w="826" w:type="dxa"/>
          </w:tcPr>
          <w:p>
            <w:pPr>
              <w:pStyle w:val="TableParagraph"/>
              <w:spacing w:line="250" w:lineRule="exact" w:before="3"/>
              <w:ind w:left="306"/>
              <w:rPr>
                <w:sz w:val="21"/>
              </w:rPr>
            </w:pPr>
            <w:r>
              <w:rPr>
                <w:w w:val="100"/>
                <w:sz w:val="21"/>
              </w:rPr>
              <w:t>是</w:t>
            </w:r>
          </w:p>
        </w:tc>
        <w:tc>
          <w:tcPr>
            <w:tcW w:w="1071" w:type="dxa"/>
          </w:tcPr>
          <w:p>
            <w:pPr>
              <w:pStyle w:val="TableParagraph"/>
              <w:spacing w:line="237" w:lineRule="exact"/>
              <w:ind w:left="429"/>
              <w:rPr>
                <w:rFonts w:ascii="Times New Roman"/>
                <w:sz w:val="21"/>
              </w:rPr>
            </w:pPr>
            <w:r>
              <w:rPr>
                <w:rFonts w:ascii="Times New Roman"/>
                <w:sz w:val="21"/>
              </w:rPr>
              <w:t>11</w:t>
            </w:r>
          </w:p>
        </w:tc>
        <w:tc>
          <w:tcPr>
            <w:tcW w:w="833" w:type="dxa"/>
          </w:tcPr>
          <w:p>
            <w:pPr>
              <w:pStyle w:val="TableParagraph"/>
              <w:spacing w:line="237" w:lineRule="exact"/>
              <w:ind w:left="308"/>
              <w:rPr>
                <w:rFonts w:ascii="Times New Roman"/>
                <w:sz w:val="21"/>
              </w:rPr>
            </w:pPr>
            <w:r>
              <w:rPr>
                <w:rFonts w:ascii="Times New Roman"/>
                <w:sz w:val="21"/>
              </w:rPr>
              <w:t>11</w:t>
            </w:r>
          </w:p>
        </w:tc>
        <w:tc>
          <w:tcPr>
            <w:tcW w:w="944" w:type="dxa"/>
          </w:tcPr>
          <w:p>
            <w:pPr>
              <w:pStyle w:val="TableParagraph"/>
              <w:spacing w:line="237" w:lineRule="exact"/>
              <w:ind w:left="361"/>
              <w:rPr>
                <w:rFonts w:ascii="Times New Roman"/>
                <w:sz w:val="21"/>
              </w:rPr>
            </w:pPr>
            <w:r>
              <w:rPr>
                <w:rFonts w:ascii="Times New Roman"/>
                <w:sz w:val="21"/>
              </w:rPr>
              <w:t>11</w:t>
            </w:r>
          </w:p>
        </w:tc>
        <w:tc>
          <w:tcPr>
            <w:tcW w:w="881" w:type="dxa"/>
          </w:tcPr>
          <w:p>
            <w:pPr>
              <w:pStyle w:val="TableParagraph"/>
              <w:spacing w:line="237" w:lineRule="exact"/>
              <w:ind w:right="376"/>
              <w:jc w:val="right"/>
              <w:rPr>
                <w:rFonts w:ascii="Times New Roman"/>
                <w:sz w:val="21"/>
              </w:rPr>
            </w:pPr>
            <w:r>
              <w:rPr>
                <w:rFonts w:ascii="Times New Roman"/>
                <w:w w:val="100"/>
                <w:sz w:val="21"/>
              </w:rPr>
              <w:t>0</w:t>
            </w:r>
          </w:p>
        </w:tc>
        <w:tc>
          <w:tcPr>
            <w:tcW w:w="826" w:type="dxa"/>
          </w:tcPr>
          <w:p>
            <w:pPr>
              <w:pStyle w:val="TableParagraph"/>
              <w:spacing w:line="237" w:lineRule="exact"/>
              <w:ind w:left="1"/>
              <w:jc w:val="center"/>
              <w:rPr>
                <w:rFonts w:ascii="Times New Roman"/>
                <w:sz w:val="21"/>
              </w:rPr>
            </w:pPr>
            <w:r>
              <w:rPr>
                <w:rFonts w:ascii="Times New Roman"/>
                <w:w w:val="100"/>
                <w:sz w:val="21"/>
              </w:rPr>
              <w:t>0</w:t>
            </w:r>
          </w:p>
        </w:tc>
        <w:tc>
          <w:tcPr>
            <w:tcW w:w="1261" w:type="dxa"/>
          </w:tcPr>
          <w:p>
            <w:pPr>
              <w:pStyle w:val="TableParagraph"/>
              <w:spacing w:line="250" w:lineRule="exact" w:before="3"/>
              <w:ind w:left="518"/>
              <w:rPr>
                <w:sz w:val="21"/>
              </w:rPr>
            </w:pPr>
            <w:r>
              <w:rPr>
                <w:w w:val="100"/>
                <w:sz w:val="21"/>
              </w:rPr>
              <w:t>否</w:t>
            </w:r>
          </w:p>
        </w:tc>
        <w:tc>
          <w:tcPr>
            <w:tcW w:w="1227" w:type="dxa"/>
          </w:tcPr>
          <w:p>
            <w:pPr>
              <w:pStyle w:val="TableParagraph"/>
              <w:spacing w:line="237" w:lineRule="exact"/>
              <w:ind w:left="556"/>
              <w:rPr>
                <w:rFonts w:ascii="Times New Roman"/>
                <w:sz w:val="21"/>
              </w:rPr>
            </w:pPr>
            <w:r>
              <w:rPr>
                <w:rFonts w:ascii="Times New Roman"/>
                <w:w w:val="100"/>
                <w:sz w:val="21"/>
              </w:rPr>
              <w:t>1</w:t>
            </w:r>
          </w:p>
        </w:tc>
      </w:tr>
    </w:tbl>
    <w:p>
      <w:pPr>
        <w:spacing w:after="0" w:line="237" w:lineRule="exact"/>
        <w:rPr>
          <w:rFonts w:ascii="Times New Roman"/>
          <w:sz w:val="21"/>
        </w:rPr>
        <w:sectPr>
          <w:pgSz w:w="11910" w:h="16840"/>
          <w:pgMar w:header="877" w:footer="1180" w:top="1460" w:bottom="1380" w:left="1680" w:right="1160"/>
        </w:sectPr>
      </w:pPr>
    </w:p>
    <w:p>
      <w:pPr>
        <w:pStyle w:val="BodyText"/>
        <w:spacing w:before="61"/>
        <w:ind w:left="118"/>
      </w:pPr>
      <w:r>
        <w:rPr>
          <w:spacing w:val="-1"/>
        </w:rPr>
        <w:t>连续两次未亲自出席董事会会议的说明</w:t>
      </w:r>
      <w:r>
        <w:rPr/>
        <w:t> </w:t>
      </w:r>
    </w:p>
    <w:p>
      <w:pPr>
        <w:pStyle w:val="BodyText"/>
        <w:spacing w:before="5"/>
        <w:ind w:left="118"/>
      </w:pPr>
      <w:r>
        <w:rPr>
          <w:spacing w:val="-1"/>
        </w:rPr>
        <w:t>□适用 √不适用</w:t>
      </w:r>
      <w:r>
        <w:rPr>
          <w:spacing w:val="-3"/>
        </w:rPr>
        <w:t> </w:t>
      </w:r>
      <w:r>
        <w:rPr/>
        <w:t> </w:t>
      </w:r>
    </w:p>
    <w:p>
      <w:pPr>
        <w:pStyle w:val="BodyText"/>
        <w:spacing w:before="2" w:after="4"/>
        <w:ind w:left="118"/>
      </w:pPr>
      <w:r>
        <w:rPr>
          <w:w w:val="100"/>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4"/>
        <w:gridCol w:w="4410"/>
      </w:tblGrid>
      <w:tr>
        <w:trPr>
          <w:trHeight w:val="270" w:hRule="atLeast"/>
        </w:trPr>
        <w:tc>
          <w:tcPr>
            <w:tcW w:w="4414" w:type="dxa"/>
          </w:tcPr>
          <w:p>
            <w:pPr>
              <w:pStyle w:val="TableParagraph"/>
              <w:spacing w:line="250" w:lineRule="exact" w:before="1"/>
              <w:ind w:left="107"/>
              <w:rPr>
                <w:sz w:val="21"/>
              </w:rPr>
            </w:pPr>
            <w:r>
              <w:rPr>
                <w:spacing w:val="-1"/>
                <w:sz w:val="21"/>
              </w:rPr>
              <w:t>年内召开董事会会议次数</w:t>
            </w:r>
            <w:r>
              <w:rPr>
                <w:sz w:val="21"/>
              </w:rPr>
              <w:t> </w:t>
            </w:r>
          </w:p>
        </w:tc>
        <w:tc>
          <w:tcPr>
            <w:tcW w:w="4410" w:type="dxa"/>
          </w:tcPr>
          <w:p>
            <w:pPr>
              <w:pStyle w:val="TableParagraph"/>
              <w:spacing w:line="235" w:lineRule="exact"/>
              <w:ind w:left="108"/>
              <w:rPr>
                <w:rFonts w:ascii="Times New Roman"/>
                <w:sz w:val="21"/>
              </w:rPr>
            </w:pPr>
            <w:r>
              <w:rPr>
                <w:rFonts w:ascii="Times New Roman"/>
                <w:sz w:val="21"/>
              </w:rPr>
              <w:t>11</w:t>
            </w:r>
          </w:p>
        </w:tc>
      </w:tr>
      <w:tr>
        <w:trPr>
          <w:trHeight w:val="273" w:hRule="atLeast"/>
        </w:trPr>
        <w:tc>
          <w:tcPr>
            <w:tcW w:w="4414" w:type="dxa"/>
          </w:tcPr>
          <w:p>
            <w:pPr>
              <w:pStyle w:val="TableParagraph"/>
              <w:spacing w:line="250" w:lineRule="exact" w:before="3"/>
              <w:ind w:left="107"/>
              <w:rPr>
                <w:sz w:val="21"/>
              </w:rPr>
            </w:pPr>
            <w:r>
              <w:rPr>
                <w:spacing w:val="-1"/>
                <w:sz w:val="21"/>
              </w:rPr>
              <w:t>其中：现场会议次数</w:t>
            </w:r>
            <w:r>
              <w:rPr>
                <w:sz w:val="21"/>
              </w:rPr>
              <w:t> </w:t>
            </w:r>
          </w:p>
        </w:tc>
        <w:tc>
          <w:tcPr>
            <w:tcW w:w="4410" w:type="dxa"/>
          </w:tcPr>
          <w:p>
            <w:pPr>
              <w:pStyle w:val="TableParagraph"/>
              <w:spacing w:line="237" w:lineRule="exact"/>
              <w:ind w:left="108"/>
              <w:rPr>
                <w:rFonts w:ascii="Times New Roman"/>
                <w:sz w:val="21"/>
              </w:rPr>
            </w:pPr>
            <w:r>
              <w:rPr>
                <w:rFonts w:ascii="Times New Roman"/>
                <w:w w:val="100"/>
                <w:sz w:val="21"/>
              </w:rPr>
              <w:t>0</w:t>
            </w:r>
          </w:p>
        </w:tc>
      </w:tr>
      <w:tr>
        <w:trPr>
          <w:trHeight w:val="273" w:hRule="atLeast"/>
        </w:trPr>
        <w:tc>
          <w:tcPr>
            <w:tcW w:w="4414" w:type="dxa"/>
          </w:tcPr>
          <w:p>
            <w:pPr>
              <w:pStyle w:val="TableParagraph"/>
              <w:spacing w:line="252" w:lineRule="exact" w:before="1"/>
              <w:ind w:left="107"/>
              <w:rPr>
                <w:sz w:val="21"/>
              </w:rPr>
            </w:pPr>
            <w:r>
              <w:rPr>
                <w:spacing w:val="-1"/>
                <w:sz w:val="21"/>
              </w:rPr>
              <w:t>通讯方式召开会议次数</w:t>
            </w:r>
            <w:r>
              <w:rPr>
                <w:sz w:val="21"/>
              </w:rPr>
              <w:t> </w:t>
            </w:r>
          </w:p>
        </w:tc>
        <w:tc>
          <w:tcPr>
            <w:tcW w:w="4410" w:type="dxa"/>
          </w:tcPr>
          <w:p>
            <w:pPr>
              <w:pStyle w:val="TableParagraph"/>
              <w:spacing w:line="235" w:lineRule="exact"/>
              <w:ind w:left="108"/>
              <w:rPr>
                <w:rFonts w:ascii="Times New Roman"/>
                <w:sz w:val="21"/>
              </w:rPr>
            </w:pPr>
            <w:r>
              <w:rPr>
                <w:rFonts w:ascii="Times New Roman"/>
                <w:w w:val="100"/>
                <w:sz w:val="21"/>
              </w:rPr>
              <w:t>4</w:t>
            </w:r>
          </w:p>
        </w:tc>
      </w:tr>
      <w:tr>
        <w:trPr>
          <w:trHeight w:val="273" w:hRule="atLeast"/>
        </w:trPr>
        <w:tc>
          <w:tcPr>
            <w:tcW w:w="4414" w:type="dxa"/>
          </w:tcPr>
          <w:p>
            <w:pPr>
              <w:pStyle w:val="TableParagraph"/>
              <w:spacing w:line="252" w:lineRule="exact" w:before="1"/>
              <w:ind w:left="107"/>
              <w:rPr>
                <w:sz w:val="21"/>
              </w:rPr>
            </w:pPr>
            <w:r>
              <w:rPr>
                <w:spacing w:val="-1"/>
                <w:sz w:val="21"/>
              </w:rPr>
              <w:t>现场结合通讯方式召开会议次数</w:t>
            </w:r>
            <w:r>
              <w:rPr>
                <w:sz w:val="21"/>
              </w:rPr>
              <w:t> </w:t>
            </w:r>
          </w:p>
        </w:tc>
        <w:tc>
          <w:tcPr>
            <w:tcW w:w="4410" w:type="dxa"/>
          </w:tcPr>
          <w:p>
            <w:pPr>
              <w:pStyle w:val="TableParagraph"/>
              <w:spacing w:line="235" w:lineRule="exact"/>
              <w:ind w:left="108"/>
              <w:rPr>
                <w:rFonts w:ascii="Times New Roman"/>
                <w:sz w:val="21"/>
              </w:rPr>
            </w:pPr>
            <w:r>
              <w:rPr>
                <w:rFonts w:ascii="Times New Roman"/>
                <w:w w:val="100"/>
                <w:sz w:val="21"/>
              </w:rPr>
              <w:t>7</w:t>
            </w:r>
          </w:p>
        </w:tc>
      </w:tr>
    </w:tbl>
    <w:p>
      <w:pPr>
        <w:pStyle w:val="BodyText"/>
        <w:spacing w:before="1"/>
        <w:ind w:left="118"/>
      </w:pPr>
      <w:r>
        <w:rPr>
          <w:w w:val="100"/>
        </w:rPr>
        <w:t> </w:t>
      </w:r>
    </w:p>
    <w:p>
      <w:pPr>
        <w:pStyle w:val="BodyText"/>
        <w:spacing w:before="62"/>
        <w:ind w:left="118"/>
      </w:pPr>
      <w:r>
        <w:rPr>
          <w:rFonts w:ascii="Calibri" w:eastAsia="Calibri"/>
          <w:b/>
        </w:rPr>
        <w:t>(</w:t>
      </w:r>
      <w:r>
        <w:rPr/>
        <w:t>二</w:t>
      </w:r>
      <w:r>
        <w:rPr>
          <w:rFonts w:ascii="Calibri" w:eastAsia="Calibri"/>
          <w:b/>
          <w:spacing w:val="20"/>
        </w:rPr>
        <w:t>) </w:t>
      </w:r>
      <w:r>
        <w:rPr/>
        <w:t>董事对公司有关事项提出异议的情况</w:t>
      </w:r>
    </w:p>
    <w:p>
      <w:pPr>
        <w:pStyle w:val="BodyText"/>
        <w:spacing w:before="65"/>
        <w:ind w:left="118"/>
      </w:pPr>
      <w:r>
        <w:rPr>
          <w:spacing w:val="-1"/>
        </w:rPr>
        <w:t>□适用 √不适用</w:t>
      </w:r>
      <w:r>
        <w:rPr>
          <w:spacing w:val="-3"/>
        </w:rPr>
        <w:t> </w:t>
      </w:r>
      <w:r>
        <w:rPr/>
        <w:t> </w:t>
      </w:r>
    </w:p>
    <w:p>
      <w:pPr>
        <w:pStyle w:val="BodyText"/>
        <w:spacing w:before="2"/>
        <w:ind w:left="118"/>
      </w:pPr>
      <w:r>
        <w:rPr>
          <w:w w:val="100"/>
        </w:rPr>
        <w:t> </w:t>
      </w:r>
    </w:p>
    <w:p>
      <w:pPr>
        <w:pStyle w:val="BodyText"/>
        <w:spacing w:before="2"/>
        <w:ind w:left="118"/>
      </w:pPr>
      <w:r>
        <w:rPr>
          <w:w w:val="100"/>
        </w:rPr>
        <w:t> </w:t>
      </w:r>
    </w:p>
    <w:p>
      <w:pPr>
        <w:spacing w:before="64"/>
        <w:ind w:left="118" w:right="0" w:firstLine="0"/>
        <w:jc w:val="left"/>
        <w:rPr>
          <w:sz w:val="21"/>
        </w:rPr>
      </w:pPr>
      <w:r>
        <w:rPr>
          <w:rFonts w:ascii="Calibri" w:eastAsia="Calibri"/>
          <w:b/>
          <w:sz w:val="21"/>
        </w:rPr>
        <w:t>(</w:t>
      </w:r>
      <w:r>
        <w:rPr>
          <w:sz w:val="21"/>
        </w:rPr>
        <w:t>三</w:t>
      </w:r>
      <w:r>
        <w:rPr>
          <w:rFonts w:ascii="Calibri" w:eastAsia="Calibri"/>
          <w:b/>
          <w:spacing w:val="17"/>
          <w:sz w:val="21"/>
        </w:rPr>
        <w:t>) </w:t>
      </w:r>
      <w:r>
        <w:rPr>
          <w:sz w:val="21"/>
        </w:rPr>
        <w:t>其他</w:t>
      </w:r>
    </w:p>
    <w:p>
      <w:pPr>
        <w:pStyle w:val="BodyText"/>
        <w:spacing w:before="63"/>
        <w:ind w:left="118"/>
      </w:pPr>
      <w:r>
        <w:rPr>
          <w:spacing w:val="11"/>
        </w:rPr>
        <w:t>□适用 √不适用</w:t>
      </w:r>
      <w:r>
        <w:rPr>
          <w:spacing w:val="-3"/>
        </w:rPr>
        <w:t> </w:t>
      </w:r>
      <w:r>
        <w:rPr/>
        <w:t> </w:t>
      </w:r>
    </w:p>
    <w:p>
      <w:pPr>
        <w:spacing w:after="0"/>
        <w:sectPr>
          <w:pgSz w:w="11910" w:h="16840"/>
          <w:pgMar w:header="877" w:footer="1180" w:top="1460" w:bottom="1380" w:left="1680" w:right="1160"/>
        </w:sectPr>
      </w:pPr>
    </w:p>
    <w:p>
      <w:pPr>
        <w:pStyle w:val="BodyText"/>
        <w:ind w:left="0"/>
        <w:rPr>
          <w:sz w:val="20"/>
        </w:rPr>
      </w:pPr>
    </w:p>
    <w:p>
      <w:pPr>
        <w:pStyle w:val="BodyText"/>
        <w:spacing w:before="8"/>
        <w:ind w:left="0"/>
        <w:rPr>
          <w:sz w:val="22"/>
        </w:rPr>
      </w:pPr>
    </w:p>
    <w:p>
      <w:pPr>
        <w:pStyle w:val="BodyText"/>
        <w:spacing w:before="72"/>
        <w:ind w:left="100"/>
      </w:pPr>
      <w:r>
        <w:rPr>
          <w:w w:val="100"/>
        </w:rPr>
        <w:t> </w:t>
      </w:r>
    </w:p>
    <w:p>
      <w:pPr>
        <w:pStyle w:val="BodyText"/>
        <w:spacing w:before="62"/>
        <w:ind w:left="100"/>
      </w:pPr>
      <w:r>
        <w:rPr>
          <w:spacing w:val="-9"/>
        </w:rPr>
        <w:t>七、 董事会下设专门委员会情况</w:t>
      </w:r>
    </w:p>
    <w:p>
      <w:pPr>
        <w:pStyle w:val="BodyText"/>
        <w:spacing w:before="65"/>
        <w:ind w:left="100"/>
      </w:pPr>
      <w:r>
        <w:rPr/>
        <w:t>√适用 □不适用</w:t>
      </w:r>
      <w:r>
        <w:rPr>
          <w:spacing w:val="-3"/>
        </w:rPr>
        <w:t> </w:t>
      </w:r>
      <w:r>
        <w:rPr/>
        <w:t> </w:t>
      </w:r>
    </w:p>
    <w:p>
      <w:pPr>
        <w:pStyle w:val="ListParagraph"/>
        <w:numPr>
          <w:ilvl w:val="0"/>
          <w:numId w:val="10"/>
        </w:numPr>
        <w:tabs>
          <w:tab w:pos="524" w:val="left" w:leader="none"/>
        </w:tabs>
        <w:spacing w:line="240" w:lineRule="auto" w:before="2" w:after="4"/>
        <w:ind w:left="523" w:right="0" w:hanging="424"/>
        <w:jc w:val="left"/>
        <w:rPr>
          <w:sz w:val="21"/>
        </w:rPr>
      </w:pPr>
      <w:r>
        <w:rPr>
          <w:sz w:val="21"/>
        </w:rPr>
        <w:t>董事会下设专门委员会成员情况</w:t>
      </w:r>
    </w:p>
    <w:tbl>
      <w:tblPr>
        <w:tblW w:w="0" w:type="auto"/>
        <w:jc w:val="left"/>
        <w:tblInd w:w="2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88"/>
        <w:gridCol w:w="6464"/>
      </w:tblGrid>
      <w:tr>
        <w:trPr>
          <w:trHeight w:val="285" w:hRule="atLeast"/>
        </w:trPr>
        <w:tc>
          <w:tcPr>
            <w:tcW w:w="2588" w:type="dxa"/>
          </w:tcPr>
          <w:p>
            <w:pPr>
              <w:pStyle w:val="TableParagraph"/>
              <w:spacing w:line="265" w:lineRule="exact"/>
              <w:ind w:left="525"/>
              <w:rPr>
                <w:sz w:val="22"/>
              </w:rPr>
            </w:pPr>
            <w:r>
              <w:rPr>
                <w:sz w:val="22"/>
              </w:rPr>
              <w:t>专门委员会类别 </w:t>
            </w:r>
          </w:p>
        </w:tc>
        <w:tc>
          <w:tcPr>
            <w:tcW w:w="6464" w:type="dxa"/>
          </w:tcPr>
          <w:p>
            <w:pPr>
              <w:pStyle w:val="TableParagraph"/>
              <w:spacing w:line="265" w:lineRule="exact"/>
              <w:ind w:left="2826" w:right="2707"/>
              <w:jc w:val="center"/>
              <w:rPr>
                <w:sz w:val="22"/>
              </w:rPr>
            </w:pPr>
            <w:r>
              <w:rPr>
                <w:sz w:val="22"/>
              </w:rPr>
              <w:t>成员姓名 </w:t>
            </w:r>
          </w:p>
        </w:tc>
      </w:tr>
      <w:tr>
        <w:trPr>
          <w:trHeight w:val="285" w:hRule="atLeast"/>
        </w:trPr>
        <w:tc>
          <w:tcPr>
            <w:tcW w:w="2588" w:type="dxa"/>
          </w:tcPr>
          <w:p>
            <w:pPr>
              <w:pStyle w:val="TableParagraph"/>
              <w:spacing w:line="265" w:lineRule="exact"/>
              <w:ind w:left="110"/>
              <w:rPr>
                <w:sz w:val="22"/>
              </w:rPr>
            </w:pPr>
            <w:r>
              <w:rPr>
                <w:spacing w:val="-1"/>
                <w:sz w:val="22"/>
              </w:rPr>
              <w:t>审计委员会</w:t>
            </w:r>
            <w:r>
              <w:rPr>
                <w:sz w:val="22"/>
              </w:rPr>
              <w:t> </w:t>
            </w:r>
          </w:p>
        </w:tc>
        <w:tc>
          <w:tcPr>
            <w:tcW w:w="6464" w:type="dxa"/>
          </w:tcPr>
          <w:p>
            <w:pPr>
              <w:pStyle w:val="TableParagraph"/>
              <w:spacing w:line="265" w:lineRule="exact"/>
              <w:ind w:left="107"/>
              <w:rPr>
                <w:sz w:val="22"/>
              </w:rPr>
            </w:pPr>
            <w:r>
              <w:rPr>
                <w:spacing w:val="-1"/>
                <w:sz w:val="22"/>
              </w:rPr>
              <w:t>薛健、孙中亮、李军旗</w:t>
            </w:r>
            <w:r>
              <w:rPr>
                <w:sz w:val="22"/>
              </w:rPr>
              <w:t> </w:t>
            </w:r>
          </w:p>
        </w:tc>
      </w:tr>
      <w:tr>
        <w:trPr>
          <w:trHeight w:val="285" w:hRule="atLeast"/>
        </w:trPr>
        <w:tc>
          <w:tcPr>
            <w:tcW w:w="2588" w:type="dxa"/>
          </w:tcPr>
          <w:p>
            <w:pPr>
              <w:pStyle w:val="TableParagraph"/>
              <w:spacing w:line="266" w:lineRule="exact"/>
              <w:ind w:left="110"/>
              <w:rPr>
                <w:sz w:val="22"/>
              </w:rPr>
            </w:pPr>
            <w:r>
              <w:rPr>
                <w:spacing w:val="-1"/>
                <w:sz w:val="22"/>
              </w:rPr>
              <w:t>提名委员会</w:t>
            </w:r>
            <w:r>
              <w:rPr>
                <w:sz w:val="22"/>
              </w:rPr>
              <w:t> </w:t>
            </w:r>
          </w:p>
        </w:tc>
        <w:tc>
          <w:tcPr>
            <w:tcW w:w="6464" w:type="dxa"/>
          </w:tcPr>
          <w:p>
            <w:pPr>
              <w:pStyle w:val="TableParagraph"/>
              <w:spacing w:line="266" w:lineRule="exact"/>
              <w:ind w:left="107"/>
              <w:rPr>
                <w:sz w:val="22"/>
              </w:rPr>
            </w:pPr>
            <w:r>
              <w:rPr>
                <w:spacing w:val="-1"/>
                <w:sz w:val="22"/>
              </w:rPr>
              <w:t>孙中亮、薛健、周泰裕</w:t>
            </w:r>
            <w:r>
              <w:rPr>
                <w:sz w:val="22"/>
              </w:rPr>
              <w:t> </w:t>
            </w:r>
          </w:p>
        </w:tc>
      </w:tr>
      <w:tr>
        <w:trPr>
          <w:trHeight w:val="285" w:hRule="atLeast"/>
        </w:trPr>
        <w:tc>
          <w:tcPr>
            <w:tcW w:w="2588" w:type="dxa"/>
          </w:tcPr>
          <w:p>
            <w:pPr>
              <w:pStyle w:val="TableParagraph"/>
              <w:spacing w:line="265" w:lineRule="exact"/>
              <w:ind w:left="110"/>
              <w:rPr>
                <w:sz w:val="22"/>
              </w:rPr>
            </w:pPr>
            <w:r>
              <w:rPr>
                <w:spacing w:val="-1"/>
                <w:sz w:val="22"/>
              </w:rPr>
              <w:t>薪酬与考核委员会</w:t>
            </w:r>
            <w:r>
              <w:rPr>
                <w:sz w:val="22"/>
              </w:rPr>
              <w:t> </w:t>
            </w:r>
          </w:p>
        </w:tc>
        <w:tc>
          <w:tcPr>
            <w:tcW w:w="6464" w:type="dxa"/>
          </w:tcPr>
          <w:p>
            <w:pPr>
              <w:pStyle w:val="TableParagraph"/>
              <w:spacing w:line="265" w:lineRule="exact"/>
              <w:ind w:left="107"/>
              <w:rPr>
                <w:sz w:val="22"/>
              </w:rPr>
            </w:pPr>
            <w:r>
              <w:rPr>
                <w:spacing w:val="-1"/>
                <w:sz w:val="22"/>
              </w:rPr>
              <w:t>孙中亮、薛健、郑弘孟</w:t>
            </w:r>
            <w:r>
              <w:rPr>
                <w:sz w:val="22"/>
              </w:rPr>
              <w:t> </w:t>
            </w:r>
          </w:p>
        </w:tc>
      </w:tr>
      <w:tr>
        <w:trPr>
          <w:trHeight w:val="285" w:hRule="atLeast"/>
        </w:trPr>
        <w:tc>
          <w:tcPr>
            <w:tcW w:w="2588" w:type="dxa"/>
          </w:tcPr>
          <w:p>
            <w:pPr>
              <w:pStyle w:val="TableParagraph"/>
              <w:spacing w:line="265" w:lineRule="exact"/>
              <w:ind w:left="110"/>
              <w:rPr>
                <w:sz w:val="22"/>
              </w:rPr>
            </w:pPr>
            <w:r>
              <w:rPr>
                <w:spacing w:val="-1"/>
                <w:sz w:val="22"/>
              </w:rPr>
              <w:t>战略委员会</w:t>
            </w:r>
            <w:r>
              <w:rPr>
                <w:sz w:val="22"/>
              </w:rPr>
              <w:t> </w:t>
            </w:r>
          </w:p>
        </w:tc>
        <w:tc>
          <w:tcPr>
            <w:tcW w:w="6464" w:type="dxa"/>
          </w:tcPr>
          <w:p>
            <w:pPr>
              <w:pStyle w:val="TableParagraph"/>
              <w:spacing w:line="265" w:lineRule="exact"/>
              <w:ind w:left="107"/>
              <w:rPr>
                <w:sz w:val="22"/>
              </w:rPr>
            </w:pPr>
            <w:r>
              <w:rPr>
                <w:spacing w:val="-1"/>
                <w:sz w:val="22"/>
              </w:rPr>
              <w:t>李军旗、郑弘孟、王健民</w:t>
            </w:r>
            <w:r>
              <w:rPr>
                <w:sz w:val="22"/>
              </w:rPr>
              <w:t>（离任）、刘俊杰（补选） </w:t>
            </w:r>
          </w:p>
        </w:tc>
      </w:tr>
    </w:tbl>
    <w:p>
      <w:pPr>
        <w:pStyle w:val="BodyText"/>
        <w:spacing w:before="1"/>
        <w:ind w:left="100"/>
      </w:pPr>
      <w:r>
        <w:rPr>
          <w:w w:val="100"/>
        </w:rPr>
        <w:t> </w:t>
      </w:r>
    </w:p>
    <w:p>
      <w:pPr>
        <w:pStyle w:val="ListParagraph"/>
        <w:numPr>
          <w:ilvl w:val="0"/>
          <w:numId w:val="10"/>
        </w:numPr>
        <w:tabs>
          <w:tab w:pos="524" w:val="left" w:leader="none"/>
        </w:tabs>
        <w:spacing w:line="240" w:lineRule="auto" w:before="4" w:after="0"/>
        <w:ind w:left="523" w:right="0" w:hanging="424"/>
        <w:jc w:val="left"/>
        <w:rPr>
          <w:sz w:val="21"/>
        </w:rPr>
      </w:pPr>
      <w:r>
        <w:rPr>
          <w:spacing w:val="-5"/>
          <w:sz w:val="21"/>
        </w:rPr>
        <w:t>报告期内审计委员会召开 </w:t>
      </w:r>
      <w:r>
        <w:rPr>
          <w:rFonts w:ascii="Calibri" w:eastAsia="Calibri"/>
          <w:b/>
          <w:sz w:val="21"/>
        </w:rPr>
        <w:t>6</w:t>
      </w:r>
      <w:r>
        <w:rPr>
          <w:rFonts w:ascii="Calibri" w:eastAsia="Calibri"/>
          <w:b/>
          <w:spacing w:val="15"/>
          <w:sz w:val="21"/>
        </w:rPr>
        <w:t> </w:t>
      </w:r>
      <w:r>
        <w:rPr>
          <w:sz w:val="21"/>
        </w:rPr>
        <w:t>次会议</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1"/>
        <w:gridCol w:w="3342"/>
        <w:gridCol w:w="5349"/>
        <w:gridCol w:w="2048"/>
      </w:tblGrid>
      <w:tr>
        <w:trPr>
          <w:trHeight w:val="273" w:hRule="atLeast"/>
        </w:trPr>
        <w:tc>
          <w:tcPr>
            <w:tcW w:w="3111" w:type="dxa"/>
          </w:tcPr>
          <w:p>
            <w:pPr>
              <w:pStyle w:val="TableParagraph"/>
              <w:spacing w:line="252" w:lineRule="exact" w:before="1"/>
              <w:ind w:left="686" w:right="571"/>
              <w:jc w:val="center"/>
              <w:rPr>
                <w:sz w:val="21"/>
              </w:rPr>
            </w:pPr>
            <w:r>
              <w:rPr>
                <w:spacing w:val="-1"/>
                <w:sz w:val="21"/>
              </w:rPr>
              <w:t>召开日期</w:t>
            </w:r>
            <w:r>
              <w:rPr>
                <w:sz w:val="21"/>
              </w:rPr>
              <w:t> </w:t>
            </w:r>
          </w:p>
        </w:tc>
        <w:tc>
          <w:tcPr>
            <w:tcW w:w="3342" w:type="dxa"/>
          </w:tcPr>
          <w:p>
            <w:pPr>
              <w:pStyle w:val="TableParagraph"/>
              <w:spacing w:line="252" w:lineRule="exact" w:before="1"/>
              <w:ind w:left="1285" w:right="1171"/>
              <w:jc w:val="center"/>
              <w:rPr>
                <w:sz w:val="21"/>
              </w:rPr>
            </w:pPr>
            <w:r>
              <w:rPr>
                <w:spacing w:val="-1"/>
                <w:sz w:val="21"/>
              </w:rPr>
              <w:t>会议内容</w:t>
            </w:r>
            <w:r>
              <w:rPr>
                <w:sz w:val="21"/>
              </w:rPr>
              <w:t> </w:t>
            </w:r>
          </w:p>
        </w:tc>
        <w:tc>
          <w:tcPr>
            <w:tcW w:w="5349" w:type="dxa"/>
          </w:tcPr>
          <w:p>
            <w:pPr>
              <w:pStyle w:val="TableParagraph"/>
              <w:spacing w:line="252" w:lineRule="exact" w:before="1"/>
              <w:ind w:left="1973" w:right="1863"/>
              <w:jc w:val="center"/>
              <w:rPr>
                <w:sz w:val="21"/>
              </w:rPr>
            </w:pPr>
            <w:r>
              <w:rPr>
                <w:spacing w:val="-1"/>
                <w:sz w:val="21"/>
              </w:rPr>
              <w:t>重要意见和建议</w:t>
            </w:r>
            <w:r>
              <w:rPr>
                <w:sz w:val="21"/>
              </w:rPr>
              <w:t> </w:t>
            </w:r>
          </w:p>
        </w:tc>
        <w:tc>
          <w:tcPr>
            <w:tcW w:w="2048" w:type="dxa"/>
          </w:tcPr>
          <w:p>
            <w:pPr>
              <w:pStyle w:val="TableParagraph"/>
              <w:spacing w:line="252" w:lineRule="exact" w:before="1"/>
              <w:ind w:left="183"/>
              <w:rPr>
                <w:sz w:val="21"/>
              </w:rPr>
            </w:pPr>
            <w:r>
              <w:rPr>
                <w:spacing w:val="-1"/>
                <w:sz w:val="21"/>
              </w:rPr>
              <w:t>其他履行职责情况</w:t>
            </w:r>
            <w:r>
              <w:rPr>
                <w:sz w:val="21"/>
              </w:rPr>
              <w:t> </w:t>
            </w:r>
          </w:p>
        </w:tc>
      </w:tr>
      <w:tr>
        <w:trPr>
          <w:trHeight w:val="4903" w:hRule="atLeast"/>
        </w:trPr>
        <w:tc>
          <w:tcPr>
            <w:tcW w:w="3111"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8"/>
              <w:rPr>
                <w:sz w:val="26"/>
              </w:rPr>
            </w:pPr>
          </w:p>
          <w:p>
            <w:pPr>
              <w:pStyle w:val="TableParagraph"/>
              <w:ind w:left="686" w:right="677"/>
              <w:jc w:val="center"/>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3</w:t>
            </w:r>
            <w:r>
              <w:rPr>
                <w:rFonts w:ascii="Times New Roman" w:eastAsia="Times New Roman"/>
                <w:spacing w:val="-9"/>
                <w:sz w:val="21"/>
              </w:rPr>
              <w:t> </w:t>
            </w:r>
            <w:r>
              <w:rPr>
                <w:spacing w:val="-27"/>
                <w:sz w:val="21"/>
              </w:rPr>
              <w:t>月 </w:t>
            </w:r>
            <w:r>
              <w:rPr>
                <w:rFonts w:ascii="Times New Roman" w:eastAsia="Times New Roman"/>
                <w:sz w:val="21"/>
              </w:rPr>
              <w:t>22</w:t>
            </w:r>
            <w:r>
              <w:rPr>
                <w:rFonts w:ascii="Times New Roman" w:eastAsia="Times New Roman"/>
                <w:spacing w:val="-11"/>
                <w:sz w:val="21"/>
              </w:rPr>
              <w:t> </w:t>
            </w:r>
            <w:r>
              <w:rPr>
                <w:sz w:val="21"/>
              </w:rPr>
              <w:t>日</w:t>
            </w:r>
          </w:p>
        </w:tc>
        <w:tc>
          <w:tcPr>
            <w:tcW w:w="3342" w:type="dxa"/>
          </w:tcPr>
          <w:p>
            <w:pPr>
              <w:pStyle w:val="TableParagraph"/>
              <w:numPr>
                <w:ilvl w:val="0"/>
                <w:numId w:val="11"/>
              </w:numPr>
              <w:tabs>
                <w:tab w:pos="269" w:val="left" w:leader="none"/>
              </w:tabs>
              <w:spacing w:line="242" w:lineRule="auto" w:before="1" w:after="0"/>
              <w:ind w:left="107" w:right="91" w:firstLine="0"/>
              <w:jc w:val="both"/>
              <w:rPr>
                <w:sz w:val="21"/>
              </w:rPr>
            </w:pPr>
            <w:r>
              <w:rPr>
                <w:sz w:val="21"/>
              </w:rPr>
              <w:t>关于《富士康工业互联网股份有</w:t>
            </w:r>
            <w:r>
              <w:rPr>
                <w:spacing w:val="-2"/>
                <w:sz w:val="21"/>
              </w:rPr>
              <w:t>限公司 </w:t>
            </w:r>
            <w:r>
              <w:rPr>
                <w:rFonts w:ascii="Times New Roman" w:eastAsia="Times New Roman"/>
                <w:sz w:val="21"/>
              </w:rPr>
              <w:t>2021</w:t>
            </w:r>
            <w:r>
              <w:rPr>
                <w:rFonts w:ascii="Times New Roman" w:eastAsia="Times New Roman"/>
                <w:spacing w:val="25"/>
                <w:sz w:val="21"/>
              </w:rPr>
              <w:t> </w:t>
            </w:r>
            <w:r>
              <w:rPr>
                <w:sz w:val="21"/>
              </w:rPr>
              <w:t>年年度报告》及摘要的议案</w:t>
            </w:r>
          </w:p>
          <w:p>
            <w:pPr>
              <w:pStyle w:val="TableParagraph"/>
              <w:numPr>
                <w:ilvl w:val="0"/>
                <w:numId w:val="11"/>
              </w:numPr>
              <w:tabs>
                <w:tab w:pos="269" w:val="left" w:leader="none"/>
              </w:tabs>
              <w:spacing w:line="242" w:lineRule="auto" w:before="1" w:after="0"/>
              <w:ind w:left="107" w:right="91" w:firstLine="0"/>
              <w:jc w:val="both"/>
              <w:rPr>
                <w:sz w:val="21"/>
              </w:rPr>
            </w:pPr>
            <w:r>
              <w:rPr>
                <w:sz w:val="21"/>
              </w:rPr>
              <w:t>关于《富士康工业互联网股份有</w:t>
            </w:r>
            <w:r>
              <w:rPr>
                <w:spacing w:val="-2"/>
                <w:sz w:val="21"/>
              </w:rPr>
              <w:t>限公司 </w:t>
            </w:r>
            <w:r>
              <w:rPr>
                <w:rFonts w:ascii="Times New Roman" w:eastAsia="Times New Roman"/>
                <w:sz w:val="21"/>
              </w:rPr>
              <w:t>2021</w:t>
            </w:r>
            <w:r>
              <w:rPr>
                <w:rFonts w:ascii="Times New Roman" w:eastAsia="Times New Roman"/>
                <w:spacing w:val="25"/>
                <w:sz w:val="21"/>
              </w:rPr>
              <w:t> </w:t>
            </w:r>
            <w:r>
              <w:rPr>
                <w:sz w:val="21"/>
              </w:rPr>
              <w:t>年度财务决算报告》的议案</w:t>
            </w:r>
          </w:p>
          <w:p>
            <w:pPr>
              <w:pStyle w:val="TableParagraph"/>
              <w:numPr>
                <w:ilvl w:val="0"/>
                <w:numId w:val="11"/>
              </w:numPr>
              <w:tabs>
                <w:tab w:pos="269" w:val="left" w:leader="none"/>
              </w:tabs>
              <w:spacing w:line="242" w:lineRule="auto" w:before="3" w:after="0"/>
              <w:ind w:left="107" w:right="91" w:firstLine="0"/>
              <w:jc w:val="both"/>
              <w:rPr>
                <w:sz w:val="21"/>
              </w:rPr>
            </w:pPr>
            <w:r>
              <w:rPr>
                <w:sz w:val="21"/>
              </w:rPr>
              <w:t>关于《富士康工业互联网股份有</w:t>
            </w:r>
            <w:r>
              <w:rPr>
                <w:spacing w:val="-2"/>
                <w:sz w:val="21"/>
              </w:rPr>
              <w:t>限公司 </w:t>
            </w:r>
            <w:r>
              <w:rPr>
                <w:rFonts w:ascii="Times New Roman" w:eastAsia="Times New Roman"/>
                <w:sz w:val="21"/>
              </w:rPr>
              <w:t>2021</w:t>
            </w:r>
            <w:r>
              <w:rPr>
                <w:rFonts w:ascii="Times New Roman" w:eastAsia="Times New Roman"/>
                <w:spacing w:val="25"/>
                <w:sz w:val="21"/>
              </w:rPr>
              <w:t> </w:t>
            </w:r>
            <w:r>
              <w:rPr>
                <w:sz w:val="21"/>
              </w:rPr>
              <w:t>年度利润分配预案》的议案</w:t>
            </w:r>
          </w:p>
          <w:p>
            <w:pPr>
              <w:pStyle w:val="TableParagraph"/>
              <w:numPr>
                <w:ilvl w:val="0"/>
                <w:numId w:val="11"/>
              </w:numPr>
              <w:tabs>
                <w:tab w:pos="269" w:val="left" w:leader="none"/>
              </w:tabs>
              <w:spacing w:line="242" w:lineRule="auto" w:before="1" w:after="0"/>
              <w:ind w:left="107" w:right="91" w:firstLine="0"/>
              <w:jc w:val="both"/>
              <w:rPr>
                <w:sz w:val="21"/>
              </w:rPr>
            </w:pPr>
            <w:r>
              <w:rPr>
                <w:sz w:val="21"/>
              </w:rPr>
              <w:t>关于《富士康工业互联网股份有</w:t>
            </w:r>
            <w:r>
              <w:rPr>
                <w:spacing w:val="-2"/>
                <w:sz w:val="21"/>
              </w:rPr>
              <w:t>限公司 </w:t>
            </w:r>
            <w:r>
              <w:rPr>
                <w:rFonts w:ascii="Times New Roman" w:eastAsia="Times New Roman"/>
                <w:sz w:val="21"/>
              </w:rPr>
              <w:t>2021</w:t>
            </w:r>
            <w:r>
              <w:rPr>
                <w:rFonts w:ascii="Times New Roman" w:eastAsia="Times New Roman"/>
                <w:spacing w:val="25"/>
                <w:sz w:val="21"/>
              </w:rPr>
              <w:t> </w:t>
            </w:r>
            <w:r>
              <w:rPr>
                <w:sz w:val="21"/>
              </w:rPr>
              <w:t>年度内部控制评价报告》的议案</w:t>
            </w:r>
          </w:p>
          <w:p>
            <w:pPr>
              <w:pStyle w:val="TableParagraph"/>
              <w:numPr>
                <w:ilvl w:val="0"/>
                <w:numId w:val="11"/>
              </w:numPr>
              <w:tabs>
                <w:tab w:pos="271" w:val="left" w:leader="none"/>
              </w:tabs>
              <w:spacing w:line="242" w:lineRule="auto" w:before="3" w:after="0"/>
              <w:ind w:left="107" w:right="91" w:firstLine="0"/>
              <w:jc w:val="left"/>
              <w:rPr>
                <w:sz w:val="21"/>
              </w:rPr>
            </w:pPr>
            <w:r>
              <w:rPr>
                <w:spacing w:val="4"/>
                <w:sz w:val="21"/>
              </w:rPr>
              <w:t>关于公司 </w:t>
            </w:r>
            <w:r>
              <w:rPr>
                <w:rFonts w:ascii="Times New Roman" w:eastAsia="Times New Roman"/>
                <w:sz w:val="21"/>
              </w:rPr>
              <w:t>2021</w:t>
            </w:r>
            <w:r>
              <w:rPr>
                <w:rFonts w:ascii="Times New Roman" w:eastAsia="Times New Roman"/>
                <w:spacing w:val="50"/>
                <w:sz w:val="21"/>
              </w:rPr>
              <w:t> </w:t>
            </w:r>
            <w:r>
              <w:rPr>
                <w:sz w:val="21"/>
              </w:rPr>
              <w:t>年度募集资金存放与使用情况的专项报告的议案</w:t>
            </w:r>
            <w:r>
              <w:rPr>
                <w:spacing w:val="1"/>
                <w:sz w:val="21"/>
              </w:rPr>
              <w:t> </w:t>
            </w:r>
            <w:r>
              <w:rPr>
                <w:rFonts w:ascii="Times New Roman" w:eastAsia="Times New Roman"/>
                <w:sz w:val="21"/>
              </w:rPr>
              <w:t>6.</w:t>
            </w:r>
            <w:r>
              <w:rPr>
                <w:sz w:val="21"/>
              </w:rPr>
              <w:t>关于富士康工业互联网股份有限</w:t>
            </w:r>
            <w:r>
              <w:rPr>
                <w:spacing w:val="-3"/>
                <w:sz w:val="21"/>
              </w:rPr>
              <w:t>公司 </w:t>
            </w:r>
            <w:r>
              <w:rPr>
                <w:rFonts w:ascii="Times New Roman" w:eastAsia="Times New Roman"/>
                <w:sz w:val="21"/>
              </w:rPr>
              <w:t>2022</w:t>
            </w:r>
            <w:r>
              <w:rPr>
                <w:rFonts w:ascii="Times New Roman" w:eastAsia="Times New Roman"/>
                <w:spacing w:val="25"/>
                <w:sz w:val="21"/>
              </w:rPr>
              <w:t> </w:t>
            </w:r>
            <w:r>
              <w:rPr>
                <w:sz w:val="21"/>
              </w:rPr>
              <w:t>年度日常关联交易预计的议案</w:t>
            </w:r>
          </w:p>
          <w:p>
            <w:pPr>
              <w:pStyle w:val="TableParagraph"/>
              <w:spacing w:line="252" w:lineRule="exact" w:before="2"/>
              <w:ind w:left="107"/>
              <w:rPr>
                <w:sz w:val="21"/>
              </w:rPr>
            </w:pPr>
            <w:r>
              <w:rPr>
                <w:rFonts w:ascii="Times New Roman" w:eastAsia="Times New Roman"/>
                <w:sz w:val="21"/>
              </w:rPr>
              <w:t>7.</w:t>
            </w:r>
            <w:r>
              <w:rPr>
                <w:sz w:val="21"/>
              </w:rPr>
              <w:t>关于续聘富士康工业互联网股份</w:t>
            </w:r>
          </w:p>
        </w:tc>
        <w:tc>
          <w:tcPr>
            <w:tcW w:w="5349" w:type="dxa"/>
          </w:tcPr>
          <w:p>
            <w:pPr>
              <w:pStyle w:val="TableParagraph"/>
              <w:spacing w:line="242" w:lineRule="auto" w:before="137"/>
              <w:ind w:left="107" w:right="102"/>
              <w:jc w:val="both"/>
              <w:rPr>
                <w:sz w:val="21"/>
              </w:rPr>
            </w:pPr>
            <w:r>
              <w:rPr>
                <w:rFonts w:ascii="Times New Roman" w:eastAsia="Times New Roman"/>
                <w:sz w:val="21"/>
              </w:rPr>
              <w:t>1.2021</w:t>
            </w:r>
            <w:r>
              <w:rPr>
                <w:rFonts w:ascii="Times New Roman" w:eastAsia="Times New Roman"/>
                <w:spacing w:val="10"/>
                <w:sz w:val="21"/>
              </w:rPr>
              <w:t> </w:t>
            </w:r>
            <w:r>
              <w:rPr>
                <w:sz w:val="21"/>
              </w:rPr>
              <w:t>年年报及财务决算真实、准确、完整地反映了公司经营情况及财务状况。</w:t>
            </w:r>
          </w:p>
          <w:p>
            <w:pPr>
              <w:pStyle w:val="TableParagraph"/>
              <w:numPr>
                <w:ilvl w:val="0"/>
                <w:numId w:val="12"/>
              </w:numPr>
              <w:tabs>
                <w:tab w:pos="271" w:val="left" w:leader="none"/>
              </w:tabs>
              <w:spacing w:line="242" w:lineRule="auto" w:before="2" w:after="0"/>
              <w:ind w:left="107" w:right="100" w:firstLine="0"/>
              <w:jc w:val="both"/>
              <w:rPr>
                <w:sz w:val="21"/>
              </w:rPr>
            </w:pPr>
            <w:r>
              <w:rPr>
                <w:sz w:val="21"/>
              </w:rPr>
              <w:t>利润分配方案符合公司当前的实际情况，充分考虑了公司现阶段的经营业绩与战略需要，兼顾股东的即期利益和长远利益，有利于公司持续稳定健康发展。</w:t>
            </w:r>
          </w:p>
          <w:p>
            <w:pPr>
              <w:pStyle w:val="TableParagraph"/>
              <w:numPr>
                <w:ilvl w:val="0"/>
                <w:numId w:val="12"/>
              </w:numPr>
              <w:tabs>
                <w:tab w:pos="280" w:val="left" w:leader="none"/>
              </w:tabs>
              <w:spacing w:line="242" w:lineRule="auto" w:before="1" w:after="0"/>
              <w:ind w:left="107" w:right="99" w:firstLine="0"/>
              <w:jc w:val="left"/>
              <w:rPr>
                <w:sz w:val="21"/>
              </w:rPr>
            </w:pPr>
            <w:r>
              <w:rPr>
                <w:spacing w:val="13"/>
                <w:sz w:val="21"/>
              </w:rPr>
              <w:t>关联交易事项的发生符合公司经营需要，遵循了公</w:t>
            </w:r>
            <w:r>
              <w:rPr>
                <w:sz w:val="21"/>
              </w:rPr>
              <w:t>平、公正、自愿的原则，交易价格公允。        </w:t>
            </w:r>
            <w:r>
              <w:rPr>
                <w:spacing w:val="94"/>
                <w:sz w:val="21"/>
              </w:rPr>
              <w:t> </w:t>
            </w:r>
            <w:r>
              <w:rPr>
                <w:rFonts w:ascii="Times New Roman" w:eastAsia="Times New Roman"/>
                <w:sz w:val="21"/>
              </w:rPr>
              <w:t>4</w:t>
            </w:r>
            <w:r>
              <w:rPr>
                <w:sz w:val="21"/>
              </w:rPr>
              <w:t>．募集资金存放与使用情况结合了公司项目的实际情况，符合法律法规程序。</w:t>
            </w:r>
          </w:p>
          <w:p>
            <w:pPr>
              <w:pStyle w:val="TableParagraph"/>
              <w:numPr>
                <w:ilvl w:val="0"/>
                <w:numId w:val="13"/>
              </w:numPr>
              <w:tabs>
                <w:tab w:pos="271" w:val="left" w:leader="none"/>
              </w:tabs>
              <w:spacing w:line="242" w:lineRule="auto" w:before="3" w:after="0"/>
              <w:ind w:left="107" w:right="100" w:firstLine="0"/>
              <w:jc w:val="left"/>
              <w:rPr>
                <w:sz w:val="21"/>
              </w:rPr>
            </w:pPr>
            <w:r>
              <w:rPr>
                <w:sz w:val="21"/>
              </w:rPr>
              <w:t>内部控制评价报告真实、准确反映了公司的规范运作及风险控制水平。</w:t>
            </w:r>
          </w:p>
          <w:p>
            <w:pPr>
              <w:pStyle w:val="TableParagraph"/>
              <w:numPr>
                <w:ilvl w:val="0"/>
                <w:numId w:val="13"/>
              </w:numPr>
              <w:tabs>
                <w:tab w:pos="271" w:val="left" w:leader="none"/>
              </w:tabs>
              <w:spacing w:line="242" w:lineRule="auto" w:before="1" w:after="0"/>
              <w:ind w:left="107" w:right="100" w:firstLine="0"/>
              <w:jc w:val="both"/>
              <w:rPr>
                <w:sz w:val="21"/>
              </w:rPr>
            </w:pPr>
            <w:r>
              <w:rPr>
                <w:sz w:val="21"/>
              </w:rPr>
              <w:t>普华永道中天具有丰富的上市公司审计工作的经验和良好的职业素养。其在为公司提供服务期间，严格遵循有关财务审计的法律、法规和相关政策，勤勉尽责，遵</w:t>
            </w:r>
            <w:r>
              <w:rPr>
                <w:spacing w:val="10"/>
                <w:sz w:val="21"/>
              </w:rPr>
              <w:t>照独立、客观、公正的原则，公允合理地发表审计意</w:t>
            </w:r>
            <w:r>
              <w:rPr>
                <w:sz w:val="21"/>
              </w:rPr>
              <w:t>见。</w:t>
            </w:r>
          </w:p>
          <w:p>
            <w:pPr>
              <w:pStyle w:val="TableParagraph"/>
              <w:spacing w:before="2"/>
              <w:ind w:left="107"/>
              <w:rPr>
                <w:sz w:val="21"/>
              </w:rPr>
            </w:pPr>
            <w:r>
              <w:rPr>
                <w:sz w:val="21"/>
              </w:rPr>
              <w:t>审议委员会同意将上述议案提交董事会审议。</w:t>
            </w:r>
          </w:p>
        </w:tc>
        <w:tc>
          <w:tcPr>
            <w:tcW w:w="2048" w:type="dxa"/>
          </w:tcPr>
          <w:p>
            <w:pPr>
              <w:pStyle w:val="TableParagraph"/>
              <w:rPr>
                <w:sz w:val="20"/>
              </w:rPr>
            </w:pPr>
          </w:p>
          <w:p>
            <w:pPr>
              <w:pStyle w:val="TableParagraph"/>
              <w:rPr>
                <w:sz w:val="20"/>
              </w:rPr>
            </w:pPr>
          </w:p>
          <w:p>
            <w:pPr>
              <w:pStyle w:val="TableParagraph"/>
              <w:rPr>
                <w:sz w:val="20"/>
              </w:rPr>
            </w:pPr>
          </w:p>
          <w:p>
            <w:pPr>
              <w:pStyle w:val="TableParagraph"/>
              <w:spacing w:before="1"/>
              <w:rPr>
                <w:sz w:val="25"/>
              </w:rPr>
            </w:pPr>
          </w:p>
          <w:p>
            <w:pPr>
              <w:pStyle w:val="TableParagraph"/>
              <w:spacing w:line="242" w:lineRule="auto" w:before="1"/>
              <w:ind w:left="106" w:right="95"/>
              <w:jc w:val="both"/>
              <w:rPr>
                <w:sz w:val="21"/>
              </w:rPr>
            </w:pPr>
            <w:r>
              <w:rPr>
                <w:spacing w:val="16"/>
                <w:sz w:val="21"/>
              </w:rPr>
              <w:t>审计委员会严格按照《公司法》《证</w:t>
            </w:r>
            <w:r>
              <w:rPr>
                <w:spacing w:val="-25"/>
                <w:sz w:val="21"/>
              </w:rPr>
              <w:t>券 法 》 《 公 司 章</w:t>
            </w:r>
            <w:r>
              <w:rPr>
                <w:spacing w:val="16"/>
                <w:sz w:val="21"/>
              </w:rPr>
              <w:t>程》《董事会审计委员会议事规则》等法律法规开展工</w:t>
            </w:r>
            <w:r>
              <w:rPr>
                <w:spacing w:val="2"/>
                <w:sz w:val="21"/>
              </w:rPr>
              <w:t>作， 本着独立、客</w:t>
            </w:r>
            <w:r>
              <w:rPr>
                <w:spacing w:val="16"/>
                <w:sz w:val="21"/>
              </w:rPr>
              <w:t>观、公正的原则，</w:t>
            </w:r>
            <w:r>
              <w:rPr>
                <w:spacing w:val="-103"/>
                <w:sz w:val="21"/>
              </w:rPr>
              <w:t> </w:t>
            </w:r>
            <w:r>
              <w:rPr>
                <w:spacing w:val="2"/>
                <w:sz w:val="21"/>
              </w:rPr>
              <w:t>认真履行职责， 行</w:t>
            </w:r>
            <w:r>
              <w:rPr>
                <w:sz w:val="21"/>
              </w:rPr>
              <w:t>使职权。</w:t>
            </w:r>
          </w:p>
        </w:tc>
      </w:tr>
    </w:tbl>
    <w:p>
      <w:pPr>
        <w:spacing w:after="0" w:line="242" w:lineRule="auto"/>
        <w:jc w:val="both"/>
        <w:rPr>
          <w:sz w:val="21"/>
        </w:rPr>
        <w:sectPr>
          <w:headerReference w:type="default" r:id="rId28"/>
          <w:footerReference w:type="default" r:id="rId29"/>
          <w:pgSz w:w="16840" w:h="11910" w:orient="landscape"/>
          <w:pgMar w:header="877" w:footer="1195" w:top="1180" w:bottom="1380" w:left="1340" w:right="1420"/>
        </w:sectPr>
      </w:pPr>
    </w:p>
    <w:p>
      <w:pPr>
        <w:pStyle w:val="BodyText"/>
        <w:ind w:left="0"/>
        <w:rPr>
          <w:sz w:val="20"/>
        </w:rPr>
      </w:pPr>
    </w:p>
    <w:p>
      <w:pPr>
        <w:pStyle w:val="BodyText"/>
        <w:spacing w:before="2"/>
        <w:ind w:left="0"/>
        <w:rPr>
          <w:sz w:val="2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1"/>
        <w:gridCol w:w="3342"/>
        <w:gridCol w:w="5349"/>
        <w:gridCol w:w="2048"/>
      </w:tblGrid>
      <w:tr>
        <w:trPr>
          <w:trHeight w:val="544" w:hRule="atLeast"/>
        </w:trPr>
        <w:tc>
          <w:tcPr>
            <w:tcW w:w="3111" w:type="dxa"/>
          </w:tcPr>
          <w:p>
            <w:pPr>
              <w:pStyle w:val="TableParagraph"/>
              <w:rPr>
                <w:rFonts w:ascii="Times New Roman"/>
                <w:sz w:val="20"/>
              </w:rPr>
            </w:pPr>
          </w:p>
        </w:tc>
        <w:tc>
          <w:tcPr>
            <w:tcW w:w="3342" w:type="dxa"/>
          </w:tcPr>
          <w:p>
            <w:pPr>
              <w:pStyle w:val="TableParagraph"/>
              <w:spacing w:before="1"/>
              <w:ind w:left="107"/>
              <w:rPr>
                <w:sz w:val="21"/>
              </w:rPr>
            </w:pPr>
            <w:r>
              <w:rPr>
                <w:spacing w:val="-1"/>
                <w:sz w:val="21"/>
              </w:rPr>
              <w:t>有限公司 </w:t>
            </w:r>
            <w:r>
              <w:rPr>
                <w:rFonts w:ascii="Times New Roman" w:eastAsia="Times New Roman"/>
                <w:sz w:val="21"/>
              </w:rPr>
              <w:t>2022</w:t>
            </w:r>
            <w:r>
              <w:rPr>
                <w:rFonts w:ascii="Times New Roman" w:eastAsia="Times New Roman"/>
                <w:spacing w:val="29"/>
                <w:sz w:val="21"/>
              </w:rPr>
              <w:t> </w:t>
            </w:r>
            <w:r>
              <w:rPr>
                <w:sz w:val="21"/>
              </w:rPr>
              <w:t>年度会计师事务所</w:t>
            </w:r>
          </w:p>
          <w:p>
            <w:pPr>
              <w:pStyle w:val="TableParagraph"/>
              <w:spacing w:line="252" w:lineRule="exact" w:before="2"/>
              <w:ind w:left="107"/>
              <w:rPr>
                <w:sz w:val="21"/>
              </w:rPr>
            </w:pPr>
            <w:r>
              <w:rPr>
                <w:sz w:val="21"/>
              </w:rPr>
              <w:t>的议案</w:t>
            </w:r>
          </w:p>
        </w:tc>
        <w:tc>
          <w:tcPr>
            <w:tcW w:w="5349" w:type="dxa"/>
          </w:tcPr>
          <w:p>
            <w:pPr>
              <w:pStyle w:val="TableParagraph"/>
              <w:rPr>
                <w:rFonts w:ascii="Times New Roman"/>
                <w:sz w:val="20"/>
              </w:rPr>
            </w:pPr>
          </w:p>
        </w:tc>
        <w:tc>
          <w:tcPr>
            <w:tcW w:w="2048" w:type="dxa"/>
          </w:tcPr>
          <w:p>
            <w:pPr>
              <w:pStyle w:val="TableParagraph"/>
              <w:rPr>
                <w:rFonts w:ascii="Times New Roman"/>
                <w:sz w:val="20"/>
              </w:rPr>
            </w:pPr>
          </w:p>
        </w:tc>
      </w:tr>
      <w:tr>
        <w:trPr>
          <w:trHeight w:val="271" w:hRule="atLeast"/>
        </w:trPr>
        <w:tc>
          <w:tcPr>
            <w:tcW w:w="3111" w:type="dxa"/>
            <w:tcBorders>
              <w:bottom w:val="nil"/>
            </w:tcBorders>
          </w:tcPr>
          <w:p>
            <w:pPr>
              <w:pStyle w:val="TableParagraph"/>
              <w:rPr>
                <w:rFonts w:ascii="Times New Roman"/>
                <w:sz w:val="20"/>
              </w:rPr>
            </w:pPr>
          </w:p>
        </w:tc>
        <w:tc>
          <w:tcPr>
            <w:tcW w:w="3342" w:type="dxa"/>
            <w:tcBorders>
              <w:bottom w:val="nil"/>
            </w:tcBorders>
          </w:tcPr>
          <w:p>
            <w:pPr>
              <w:pStyle w:val="TableParagraph"/>
              <w:rPr>
                <w:rFonts w:ascii="Times New Roman"/>
                <w:sz w:val="20"/>
              </w:rPr>
            </w:pPr>
          </w:p>
        </w:tc>
        <w:tc>
          <w:tcPr>
            <w:tcW w:w="5349" w:type="dxa"/>
            <w:tcBorders>
              <w:bottom w:val="nil"/>
            </w:tcBorders>
          </w:tcPr>
          <w:p>
            <w:pPr>
              <w:pStyle w:val="TableParagraph"/>
              <w:rPr>
                <w:rFonts w:ascii="Times New Roman"/>
                <w:sz w:val="20"/>
              </w:rPr>
            </w:pPr>
          </w:p>
        </w:tc>
        <w:tc>
          <w:tcPr>
            <w:tcW w:w="2048" w:type="dxa"/>
            <w:tcBorders>
              <w:bottom w:val="nil"/>
            </w:tcBorders>
          </w:tcPr>
          <w:p>
            <w:pPr>
              <w:pStyle w:val="TableParagraph"/>
              <w:spacing w:line="251" w:lineRule="exact" w:before="1"/>
              <w:ind w:left="106"/>
              <w:rPr>
                <w:sz w:val="21"/>
              </w:rPr>
            </w:pPr>
            <w:r>
              <w:rPr>
                <w:spacing w:val="16"/>
                <w:sz w:val="21"/>
              </w:rPr>
              <w:t>审计委员会严格按</w:t>
            </w:r>
          </w:p>
        </w:tc>
      </w:tr>
      <w:tr>
        <w:trPr>
          <w:trHeight w:val="272" w:hRule="atLeast"/>
        </w:trPr>
        <w:tc>
          <w:tcPr>
            <w:tcW w:w="3111" w:type="dxa"/>
            <w:tcBorders>
              <w:top w:val="nil"/>
              <w:bottom w:val="nil"/>
            </w:tcBorders>
          </w:tcPr>
          <w:p>
            <w:pPr>
              <w:pStyle w:val="TableParagraph"/>
              <w:rPr>
                <w:rFonts w:ascii="Times New Roman"/>
                <w:sz w:val="20"/>
              </w:rPr>
            </w:pPr>
          </w:p>
        </w:tc>
        <w:tc>
          <w:tcPr>
            <w:tcW w:w="3342" w:type="dxa"/>
            <w:tcBorders>
              <w:top w:val="nil"/>
              <w:bottom w:val="nil"/>
            </w:tcBorders>
          </w:tcPr>
          <w:p>
            <w:pPr>
              <w:pStyle w:val="TableParagraph"/>
              <w:rPr>
                <w:rFonts w:ascii="Times New Roman"/>
                <w:sz w:val="20"/>
              </w:rPr>
            </w:pPr>
          </w:p>
        </w:tc>
        <w:tc>
          <w:tcPr>
            <w:tcW w:w="5349" w:type="dxa"/>
            <w:tcBorders>
              <w:top w:val="nil"/>
              <w:bottom w:val="nil"/>
            </w:tcBorders>
          </w:tcPr>
          <w:p>
            <w:pPr>
              <w:pStyle w:val="TableParagraph"/>
              <w:rPr>
                <w:rFonts w:ascii="Times New Roman"/>
                <w:sz w:val="20"/>
              </w:rPr>
            </w:pPr>
          </w:p>
        </w:tc>
        <w:tc>
          <w:tcPr>
            <w:tcW w:w="2048" w:type="dxa"/>
            <w:tcBorders>
              <w:top w:val="nil"/>
              <w:bottom w:val="nil"/>
            </w:tcBorders>
          </w:tcPr>
          <w:p>
            <w:pPr>
              <w:pStyle w:val="TableParagraph"/>
              <w:spacing w:line="250" w:lineRule="exact" w:before="2"/>
              <w:ind w:left="106"/>
              <w:rPr>
                <w:sz w:val="21"/>
              </w:rPr>
            </w:pPr>
            <w:r>
              <w:rPr>
                <w:spacing w:val="16"/>
                <w:sz w:val="21"/>
              </w:rPr>
              <w:t>照《公司法》《证</w:t>
            </w:r>
          </w:p>
        </w:tc>
      </w:tr>
      <w:tr>
        <w:trPr>
          <w:trHeight w:val="271" w:hRule="atLeast"/>
        </w:trPr>
        <w:tc>
          <w:tcPr>
            <w:tcW w:w="3111" w:type="dxa"/>
            <w:tcBorders>
              <w:top w:val="nil"/>
              <w:bottom w:val="nil"/>
            </w:tcBorders>
          </w:tcPr>
          <w:p>
            <w:pPr>
              <w:pStyle w:val="TableParagraph"/>
              <w:rPr>
                <w:rFonts w:ascii="Times New Roman"/>
                <w:sz w:val="20"/>
              </w:rPr>
            </w:pPr>
          </w:p>
        </w:tc>
        <w:tc>
          <w:tcPr>
            <w:tcW w:w="3342" w:type="dxa"/>
            <w:tcBorders>
              <w:top w:val="nil"/>
              <w:bottom w:val="nil"/>
            </w:tcBorders>
          </w:tcPr>
          <w:p>
            <w:pPr>
              <w:pStyle w:val="TableParagraph"/>
              <w:rPr>
                <w:rFonts w:ascii="Times New Roman"/>
                <w:sz w:val="20"/>
              </w:rPr>
            </w:pPr>
          </w:p>
        </w:tc>
        <w:tc>
          <w:tcPr>
            <w:tcW w:w="5349" w:type="dxa"/>
            <w:tcBorders>
              <w:top w:val="nil"/>
              <w:bottom w:val="nil"/>
            </w:tcBorders>
          </w:tcPr>
          <w:p>
            <w:pPr>
              <w:pStyle w:val="TableParagraph"/>
              <w:rPr>
                <w:rFonts w:ascii="Times New Roman"/>
                <w:sz w:val="20"/>
              </w:rPr>
            </w:pPr>
          </w:p>
        </w:tc>
        <w:tc>
          <w:tcPr>
            <w:tcW w:w="2048" w:type="dxa"/>
            <w:tcBorders>
              <w:top w:val="nil"/>
              <w:bottom w:val="nil"/>
            </w:tcBorders>
          </w:tcPr>
          <w:p>
            <w:pPr>
              <w:pStyle w:val="TableParagraph"/>
              <w:spacing w:line="250" w:lineRule="exact" w:before="1"/>
              <w:ind w:left="106"/>
              <w:rPr>
                <w:sz w:val="21"/>
              </w:rPr>
            </w:pPr>
            <w:r>
              <w:rPr>
                <w:spacing w:val="-24"/>
                <w:sz w:val="21"/>
              </w:rPr>
              <w:t>券 法 》 《 公 司 章</w:t>
            </w:r>
          </w:p>
        </w:tc>
      </w:tr>
      <w:tr>
        <w:trPr>
          <w:trHeight w:val="1090" w:hRule="atLeast"/>
        </w:trPr>
        <w:tc>
          <w:tcPr>
            <w:tcW w:w="3111" w:type="dxa"/>
            <w:tcBorders>
              <w:top w:val="nil"/>
              <w:bottom w:val="nil"/>
            </w:tcBorders>
          </w:tcPr>
          <w:p>
            <w:pPr>
              <w:pStyle w:val="TableParagraph"/>
              <w:spacing w:before="2"/>
              <w:rPr>
                <w:sz w:val="32"/>
              </w:rPr>
            </w:pPr>
          </w:p>
          <w:p>
            <w:pPr>
              <w:pStyle w:val="TableParagraph"/>
              <w:ind w:left="686" w:right="677"/>
              <w:jc w:val="center"/>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4</w:t>
            </w:r>
            <w:r>
              <w:rPr>
                <w:rFonts w:ascii="Times New Roman" w:eastAsia="Times New Roman"/>
                <w:spacing w:val="-9"/>
                <w:sz w:val="21"/>
              </w:rPr>
              <w:t> </w:t>
            </w:r>
            <w:r>
              <w:rPr>
                <w:spacing w:val="-27"/>
                <w:sz w:val="21"/>
              </w:rPr>
              <w:t>月 </w:t>
            </w:r>
            <w:r>
              <w:rPr>
                <w:rFonts w:ascii="Times New Roman" w:eastAsia="Times New Roman"/>
                <w:sz w:val="21"/>
              </w:rPr>
              <w:t>28</w:t>
            </w:r>
            <w:r>
              <w:rPr>
                <w:rFonts w:ascii="Times New Roman" w:eastAsia="Times New Roman"/>
                <w:spacing w:val="-11"/>
                <w:sz w:val="21"/>
              </w:rPr>
              <w:t> </w:t>
            </w:r>
            <w:r>
              <w:rPr>
                <w:sz w:val="21"/>
              </w:rPr>
              <w:t>日</w:t>
            </w:r>
          </w:p>
        </w:tc>
        <w:tc>
          <w:tcPr>
            <w:tcW w:w="3342" w:type="dxa"/>
            <w:tcBorders>
              <w:top w:val="nil"/>
              <w:bottom w:val="nil"/>
            </w:tcBorders>
          </w:tcPr>
          <w:p>
            <w:pPr>
              <w:pStyle w:val="TableParagraph"/>
              <w:spacing w:line="242" w:lineRule="auto" w:before="138"/>
              <w:ind w:left="107" w:right="91"/>
              <w:jc w:val="both"/>
              <w:rPr>
                <w:sz w:val="21"/>
              </w:rPr>
            </w:pPr>
            <w:r>
              <w:rPr>
                <w:spacing w:val="10"/>
                <w:sz w:val="21"/>
              </w:rPr>
              <w:t>关于《富士康工业互联网股份有</w:t>
            </w:r>
            <w:r>
              <w:rPr>
                <w:spacing w:val="-2"/>
                <w:sz w:val="21"/>
              </w:rPr>
              <w:t>限公司 </w:t>
            </w:r>
            <w:r>
              <w:rPr>
                <w:rFonts w:ascii="Times New Roman" w:eastAsia="Times New Roman"/>
                <w:sz w:val="21"/>
              </w:rPr>
              <w:t>2022</w:t>
            </w:r>
            <w:r>
              <w:rPr>
                <w:rFonts w:ascii="Times New Roman" w:eastAsia="Times New Roman"/>
                <w:spacing w:val="25"/>
                <w:sz w:val="21"/>
              </w:rPr>
              <w:t> </w:t>
            </w:r>
            <w:r>
              <w:rPr>
                <w:sz w:val="21"/>
              </w:rPr>
              <w:t>年第一季度报告》的议案</w:t>
            </w:r>
          </w:p>
        </w:tc>
        <w:tc>
          <w:tcPr>
            <w:tcW w:w="5349" w:type="dxa"/>
            <w:tcBorders>
              <w:top w:val="nil"/>
              <w:bottom w:val="nil"/>
            </w:tcBorders>
          </w:tcPr>
          <w:p>
            <w:pPr>
              <w:pStyle w:val="TableParagraph"/>
              <w:spacing w:line="244" w:lineRule="auto" w:before="138"/>
              <w:ind w:left="107" w:right="95"/>
              <w:rPr>
                <w:sz w:val="21"/>
              </w:rPr>
            </w:pPr>
            <w:r>
              <w:rPr>
                <w:rFonts w:ascii="Times New Roman" w:eastAsia="Times New Roman"/>
                <w:sz w:val="21"/>
              </w:rPr>
              <w:t>2022</w:t>
            </w:r>
            <w:r>
              <w:rPr>
                <w:rFonts w:ascii="Times New Roman" w:eastAsia="Times New Roman"/>
                <w:spacing w:val="25"/>
                <w:sz w:val="21"/>
              </w:rPr>
              <w:t> </w:t>
            </w:r>
            <w:r>
              <w:rPr>
                <w:sz w:val="21"/>
              </w:rPr>
              <w:t>年一季报真实、准确、完整地反映了公司经营情况及财务状况。</w:t>
            </w:r>
          </w:p>
          <w:p>
            <w:pPr>
              <w:pStyle w:val="TableParagraph"/>
              <w:spacing w:line="266" w:lineRule="exact"/>
              <w:ind w:left="107"/>
              <w:rPr>
                <w:sz w:val="21"/>
              </w:rPr>
            </w:pPr>
            <w:r>
              <w:rPr>
                <w:sz w:val="21"/>
              </w:rPr>
              <w:t>审议委员会同意将上述议案提交董事会审议。</w:t>
            </w:r>
          </w:p>
        </w:tc>
        <w:tc>
          <w:tcPr>
            <w:tcW w:w="2048" w:type="dxa"/>
            <w:tcBorders>
              <w:top w:val="nil"/>
              <w:bottom w:val="nil"/>
            </w:tcBorders>
          </w:tcPr>
          <w:p>
            <w:pPr>
              <w:pStyle w:val="TableParagraph"/>
              <w:spacing w:line="242" w:lineRule="auto" w:before="1"/>
              <w:ind w:left="106" w:right="95"/>
              <w:jc w:val="both"/>
              <w:rPr>
                <w:sz w:val="21"/>
              </w:rPr>
            </w:pPr>
            <w:r>
              <w:rPr>
                <w:spacing w:val="16"/>
                <w:sz w:val="21"/>
              </w:rPr>
              <w:t>程》《董事会审计委员会议事规则》等法律法规开展工</w:t>
            </w:r>
          </w:p>
          <w:p>
            <w:pPr>
              <w:pStyle w:val="TableParagraph"/>
              <w:spacing w:line="250" w:lineRule="exact" w:before="4"/>
              <w:ind w:left="106"/>
              <w:rPr>
                <w:sz w:val="21"/>
              </w:rPr>
            </w:pPr>
            <w:r>
              <w:rPr>
                <w:spacing w:val="3"/>
                <w:sz w:val="21"/>
              </w:rPr>
              <w:t>作， 本着独立、客</w:t>
            </w:r>
          </w:p>
        </w:tc>
      </w:tr>
      <w:tr>
        <w:trPr>
          <w:trHeight w:val="272" w:hRule="atLeast"/>
        </w:trPr>
        <w:tc>
          <w:tcPr>
            <w:tcW w:w="3111" w:type="dxa"/>
            <w:tcBorders>
              <w:top w:val="nil"/>
              <w:bottom w:val="nil"/>
            </w:tcBorders>
          </w:tcPr>
          <w:p>
            <w:pPr>
              <w:pStyle w:val="TableParagraph"/>
              <w:rPr>
                <w:rFonts w:ascii="Times New Roman"/>
                <w:sz w:val="20"/>
              </w:rPr>
            </w:pPr>
          </w:p>
        </w:tc>
        <w:tc>
          <w:tcPr>
            <w:tcW w:w="3342" w:type="dxa"/>
            <w:tcBorders>
              <w:top w:val="nil"/>
              <w:bottom w:val="nil"/>
            </w:tcBorders>
          </w:tcPr>
          <w:p>
            <w:pPr>
              <w:pStyle w:val="TableParagraph"/>
              <w:rPr>
                <w:rFonts w:ascii="Times New Roman"/>
                <w:sz w:val="20"/>
              </w:rPr>
            </w:pPr>
          </w:p>
        </w:tc>
        <w:tc>
          <w:tcPr>
            <w:tcW w:w="5349" w:type="dxa"/>
            <w:tcBorders>
              <w:top w:val="nil"/>
              <w:bottom w:val="nil"/>
            </w:tcBorders>
          </w:tcPr>
          <w:p>
            <w:pPr>
              <w:pStyle w:val="TableParagraph"/>
              <w:rPr>
                <w:rFonts w:ascii="Times New Roman"/>
                <w:sz w:val="20"/>
              </w:rPr>
            </w:pPr>
          </w:p>
        </w:tc>
        <w:tc>
          <w:tcPr>
            <w:tcW w:w="2048" w:type="dxa"/>
            <w:tcBorders>
              <w:top w:val="nil"/>
              <w:bottom w:val="nil"/>
            </w:tcBorders>
          </w:tcPr>
          <w:p>
            <w:pPr>
              <w:pStyle w:val="TableParagraph"/>
              <w:spacing w:line="251" w:lineRule="exact" w:before="1"/>
              <w:ind w:left="106"/>
              <w:rPr>
                <w:sz w:val="21"/>
              </w:rPr>
            </w:pPr>
            <w:r>
              <w:rPr>
                <w:spacing w:val="16"/>
                <w:sz w:val="21"/>
              </w:rPr>
              <w:t>观、公正的原则，</w:t>
            </w:r>
          </w:p>
        </w:tc>
      </w:tr>
      <w:tr>
        <w:trPr>
          <w:trHeight w:val="272" w:hRule="atLeast"/>
        </w:trPr>
        <w:tc>
          <w:tcPr>
            <w:tcW w:w="3111" w:type="dxa"/>
            <w:tcBorders>
              <w:top w:val="nil"/>
              <w:bottom w:val="nil"/>
            </w:tcBorders>
          </w:tcPr>
          <w:p>
            <w:pPr>
              <w:pStyle w:val="TableParagraph"/>
              <w:rPr>
                <w:rFonts w:ascii="Times New Roman"/>
                <w:sz w:val="20"/>
              </w:rPr>
            </w:pPr>
          </w:p>
        </w:tc>
        <w:tc>
          <w:tcPr>
            <w:tcW w:w="3342" w:type="dxa"/>
            <w:tcBorders>
              <w:top w:val="nil"/>
              <w:bottom w:val="nil"/>
            </w:tcBorders>
          </w:tcPr>
          <w:p>
            <w:pPr>
              <w:pStyle w:val="TableParagraph"/>
              <w:rPr>
                <w:rFonts w:ascii="Times New Roman"/>
                <w:sz w:val="20"/>
              </w:rPr>
            </w:pPr>
          </w:p>
        </w:tc>
        <w:tc>
          <w:tcPr>
            <w:tcW w:w="5349" w:type="dxa"/>
            <w:tcBorders>
              <w:top w:val="nil"/>
              <w:bottom w:val="nil"/>
            </w:tcBorders>
          </w:tcPr>
          <w:p>
            <w:pPr>
              <w:pStyle w:val="TableParagraph"/>
              <w:rPr>
                <w:rFonts w:ascii="Times New Roman"/>
                <w:sz w:val="20"/>
              </w:rPr>
            </w:pPr>
          </w:p>
        </w:tc>
        <w:tc>
          <w:tcPr>
            <w:tcW w:w="2048" w:type="dxa"/>
            <w:tcBorders>
              <w:top w:val="nil"/>
              <w:bottom w:val="nil"/>
            </w:tcBorders>
          </w:tcPr>
          <w:p>
            <w:pPr>
              <w:pStyle w:val="TableParagraph"/>
              <w:spacing w:line="250" w:lineRule="exact" w:before="2"/>
              <w:ind w:left="106"/>
              <w:rPr>
                <w:sz w:val="21"/>
              </w:rPr>
            </w:pPr>
            <w:r>
              <w:rPr>
                <w:spacing w:val="3"/>
                <w:sz w:val="21"/>
              </w:rPr>
              <w:t>认真履行职责， 行</w:t>
            </w:r>
          </w:p>
        </w:tc>
      </w:tr>
      <w:tr>
        <w:trPr>
          <w:trHeight w:val="273" w:hRule="atLeast"/>
        </w:trPr>
        <w:tc>
          <w:tcPr>
            <w:tcW w:w="3111" w:type="dxa"/>
            <w:tcBorders>
              <w:top w:val="nil"/>
            </w:tcBorders>
          </w:tcPr>
          <w:p>
            <w:pPr>
              <w:pStyle w:val="TableParagraph"/>
              <w:rPr>
                <w:rFonts w:ascii="Times New Roman"/>
                <w:sz w:val="20"/>
              </w:rPr>
            </w:pPr>
          </w:p>
        </w:tc>
        <w:tc>
          <w:tcPr>
            <w:tcW w:w="3342" w:type="dxa"/>
            <w:tcBorders>
              <w:top w:val="nil"/>
            </w:tcBorders>
          </w:tcPr>
          <w:p>
            <w:pPr>
              <w:pStyle w:val="TableParagraph"/>
              <w:rPr>
                <w:rFonts w:ascii="Times New Roman"/>
                <w:sz w:val="20"/>
              </w:rPr>
            </w:pPr>
          </w:p>
        </w:tc>
        <w:tc>
          <w:tcPr>
            <w:tcW w:w="5349" w:type="dxa"/>
            <w:tcBorders>
              <w:top w:val="nil"/>
            </w:tcBorders>
          </w:tcPr>
          <w:p>
            <w:pPr>
              <w:pStyle w:val="TableParagraph"/>
              <w:rPr>
                <w:rFonts w:ascii="Times New Roman"/>
                <w:sz w:val="20"/>
              </w:rPr>
            </w:pPr>
          </w:p>
        </w:tc>
        <w:tc>
          <w:tcPr>
            <w:tcW w:w="2048" w:type="dxa"/>
            <w:tcBorders>
              <w:top w:val="nil"/>
            </w:tcBorders>
          </w:tcPr>
          <w:p>
            <w:pPr>
              <w:pStyle w:val="TableParagraph"/>
              <w:spacing w:line="252" w:lineRule="exact" w:before="1"/>
              <w:ind w:left="106"/>
              <w:rPr>
                <w:sz w:val="21"/>
              </w:rPr>
            </w:pPr>
            <w:r>
              <w:rPr>
                <w:sz w:val="21"/>
              </w:rPr>
              <w:t>使职权。</w:t>
            </w:r>
          </w:p>
        </w:tc>
      </w:tr>
      <w:tr>
        <w:trPr>
          <w:trHeight w:val="534" w:hRule="atLeast"/>
        </w:trPr>
        <w:tc>
          <w:tcPr>
            <w:tcW w:w="3111" w:type="dxa"/>
            <w:tcBorders>
              <w:bottom w:val="nil"/>
            </w:tcBorders>
          </w:tcPr>
          <w:p>
            <w:pPr>
              <w:pStyle w:val="TableParagraph"/>
              <w:rPr>
                <w:rFonts w:ascii="Times New Roman"/>
                <w:sz w:val="20"/>
              </w:rPr>
            </w:pPr>
          </w:p>
        </w:tc>
        <w:tc>
          <w:tcPr>
            <w:tcW w:w="3342" w:type="dxa"/>
            <w:tcBorders>
              <w:bottom w:val="nil"/>
            </w:tcBorders>
          </w:tcPr>
          <w:p>
            <w:pPr>
              <w:pStyle w:val="TableParagraph"/>
              <w:spacing w:before="1"/>
              <w:ind w:left="107"/>
              <w:rPr>
                <w:sz w:val="21"/>
              </w:rPr>
            </w:pPr>
            <w:r>
              <w:rPr>
                <w:rFonts w:ascii="Times New Roman" w:eastAsia="Times New Roman"/>
                <w:sz w:val="21"/>
              </w:rPr>
              <w:t>1.</w:t>
            </w:r>
            <w:r>
              <w:rPr>
                <w:sz w:val="21"/>
              </w:rPr>
              <w:t>关于修订《富士康工业互联网股</w:t>
            </w:r>
          </w:p>
          <w:p>
            <w:pPr>
              <w:pStyle w:val="TableParagraph"/>
              <w:spacing w:line="243" w:lineRule="exact" w:before="2"/>
              <w:ind w:left="107"/>
              <w:rPr>
                <w:sz w:val="21"/>
              </w:rPr>
            </w:pPr>
            <w:r>
              <w:rPr>
                <w:sz w:val="21"/>
              </w:rPr>
              <w:t>份有限公司章程》的议案</w:t>
            </w:r>
          </w:p>
        </w:tc>
        <w:tc>
          <w:tcPr>
            <w:tcW w:w="5349" w:type="dxa"/>
            <w:tcBorders>
              <w:bottom w:val="nil"/>
            </w:tcBorders>
          </w:tcPr>
          <w:p>
            <w:pPr>
              <w:pStyle w:val="TableParagraph"/>
              <w:rPr>
                <w:rFonts w:ascii="Times New Roman"/>
                <w:sz w:val="20"/>
              </w:rPr>
            </w:pPr>
          </w:p>
        </w:tc>
        <w:tc>
          <w:tcPr>
            <w:tcW w:w="2048"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spacing w:line="242" w:lineRule="auto"/>
              <w:ind w:left="106" w:right="95"/>
              <w:jc w:val="both"/>
              <w:rPr>
                <w:sz w:val="21"/>
              </w:rPr>
            </w:pPr>
            <w:r>
              <w:rPr>
                <w:spacing w:val="16"/>
                <w:sz w:val="21"/>
              </w:rPr>
              <w:t>审计委员会严格按照《公司法》《证</w:t>
            </w:r>
            <w:r>
              <w:rPr>
                <w:spacing w:val="-25"/>
                <w:sz w:val="21"/>
              </w:rPr>
              <w:t>券 法 》 《 公 司 章</w:t>
            </w:r>
            <w:r>
              <w:rPr>
                <w:spacing w:val="16"/>
                <w:sz w:val="21"/>
              </w:rPr>
              <w:t>程》《董事会审计委员会议事规则》等法律法规开展工</w:t>
            </w:r>
            <w:r>
              <w:rPr>
                <w:spacing w:val="2"/>
                <w:sz w:val="21"/>
              </w:rPr>
              <w:t>作， 本着独立、客</w:t>
            </w:r>
            <w:r>
              <w:rPr>
                <w:spacing w:val="16"/>
                <w:sz w:val="21"/>
              </w:rPr>
              <w:t>观、公正的原则，</w:t>
            </w:r>
            <w:r>
              <w:rPr>
                <w:spacing w:val="-103"/>
                <w:sz w:val="21"/>
              </w:rPr>
              <w:t> </w:t>
            </w:r>
            <w:r>
              <w:rPr>
                <w:spacing w:val="2"/>
                <w:sz w:val="21"/>
              </w:rPr>
              <w:t>认真履行职责， 行</w:t>
            </w:r>
            <w:r>
              <w:rPr>
                <w:sz w:val="21"/>
              </w:rPr>
              <w:t>使职权。</w:t>
            </w:r>
          </w:p>
        </w:tc>
      </w:tr>
      <w:tr>
        <w:trPr>
          <w:trHeight w:val="538" w:hRule="atLeast"/>
        </w:trPr>
        <w:tc>
          <w:tcPr>
            <w:tcW w:w="3111" w:type="dxa"/>
            <w:tcBorders>
              <w:top w:val="nil"/>
              <w:bottom w:val="nil"/>
            </w:tcBorders>
          </w:tcPr>
          <w:p>
            <w:pPr>
              <w:pStyle w:val="TableParagraph"/>
              <w:rPr>
                <w:rFonts w:ascii="Times New Roman"/>
                <w:sz w:val="20"/>
              </w:rPr>
            </w:pPr>
          </w:p>
        </w:tc>
        <w:tc>
          <w:tcPr>
            <w:tcW w:w="3342" w:type="dxa"/>
            <w:tcBorders>
              <w:top w:val="nil"/>
              <w:bottom w:val="nil"/>
            </w:tcBorders>
          </w:tcPr>
          <w:p>
            <w:pPr>
              <w:pStyle w:val="TableParagraph"/>
              <w:spacing w:before="1"/>
              <w:ind w:left="107"/>
              <w:rPr>
                <w:sz w:val="21"/>
              </w:rPr>
            </w:pPr>
            <w:r>
              <w:rPr>
                <w:rFonts w:ascii="Times New Roman" w:eastAsia="Times New Roman"/>
                <w:sz w:val="21"/>
              </w:rPr>
              <w:t>2.</w:t>
            </w:r>
            <w:r>
              <w:rPr>
                <w:sz w:val="21"/>
              </w:rPr>
              <w:t>关于修订《富士康工业互联网股</w:t>
            </w:r>
          </w:p>
          <w:p>
            <w:pPr>
              <w:pStyle w:val="TableParagraph"/>
              <w:spacing w:line="246" w:lineRule="exact" w:before="2"/>
              <w:ind w:left="107"/>
              <w:rPr>
                <w:sz w:val="21"/>
              </w:rPr>
            </w:pPr>
            <w:r>
              <w:rPr>
                <w:spacing w:val="10"/>
                <w:sz w:val="21"/>
              </w:rPr>
              <w:t>份有限公司股东大会议事规则》</w:t>
            </w:r>
          </w:p>
        </w:tc>
        <w:tc>
          <w:tcPr>
            <w:tcW w:w="5349" w:type="dxa"/>
            <w:tcBorders>
              <w:top w:val="nil"/>
              <w:bottom w:val="nil"/>
            </w:tcBorders>
          </w:tcPr>
          <w:p>
            <w:pPr>
              <w:pStyle w:val="TableParagraph"/>
              <w:rPr>
                <w:rFonts w:ascii="Times New Roman"/>
                <w:sz w:val="20"/>
              </w:rPr>
            </w:pPr>
          </w:p>
        </w:tc>
        <w:tc>
          <w:tcPr>
            <w:tcW w:w="2048" w:type="dxa"/>
            <w:vMerge/>
            <w:tcBorders>
              <w:top w:val="nil"/>
            </w:tcBorders>
          </w:tcPr>
          <w:p>
            <w:pPr>
              <w:rPr>
                <w:sz w:val="2"/>
                <w:szCs w:val="2"/>
              </w:rPr>
            </w:pPr>
          </w:p>
        </w:tc>
      </w:tr>
      <w:tr>
        <w:trPr>
          <w:trHeight w:val="259" w:hRule="atLeast"/>
        </w:trPr>
        <w:tc>
          <w:tcPr>
            <w:tcW w:w="3111" w:type="dxa"/>
            <w:tcBorders>
              <w:top w:val="nil"/>
              <w:bottom w:val="nil"/>
            </w:tcBorders>
          </w:tcPr>
          <w:p>
            <w:pPr>
              <w:pStyle w:val="TableParagraph"/>
              <w:rPr>
                <w:rFonts w:ascii="Times New Roman"/>
                <w:sz w:val="18"/>
              </w:rPr>
            </w:pPr>
          </w:p>
        </w:tc>
        <w:tc>
          <w:tcPr>
            <w:tcW w:w="3342" w:type="dxa"/>
            <w:tcBorders>
              <w:top w:val="nil"/>
              <w:bottom w:val="nil"/>
            </w:tcBorders>
          </w:tcPr>
          <w:p>
            <w:pPr>
              <w:pStyle w:val="TableParagraph"/>
              <w:spacing w:line="239" w:lineRule="exact"/>
              <w:ind w:left="107"/>
              <w:rPr>
                <w:sz w:val="21"/>
              </w:rPr>
            </w:pPr>
            <w:r>
              <w:rPr>
                <w:sz w:val="21"/>
              </w:rPr>
              <w:t>的议案</w:t>
            </w:r>
          </w:p>
        </w:tc>
        <w:tc>
          <w:tcPr>
            <w:tcW w:w="5349" w:type="dxa"/>
            <w:tcBorders>
              <w:top w:val="nil"/>
              <w:bottom w:val="nil"/>
            </w:tcBorders>
          </w:tcPr>
          <w:p>
            <w:pPr>
              <w:pStyle w:val="TableParagraph"/>
              <w:rPr>
                <w:rFonts w:ascii="Times New Roman"/>
                <w:sz w:val="18"/>
              </w:rPr>
            </w:pPr>
          </w:p>
        </w:tc>
        <w:tc>
          <w:tcPr>
            <w:tcW w:w="2048" w:type="dxa"/>
            <w:vMerge/>
            <w:tcBorders>
              <w:top w:val="nil"/>
            </w:tcBorders>
          </w:tcPr>
          <w:p>
            <w:pPr>
              <w:rPr>
                <w:sz w:val="2"/>
                <w:szCs w:val="2"/>
              </w:rPr>
            </w:pPr>
          </w:p>
        </w:tc>
      </w:tr>
      <w:tr>
        <w:trPr>
          <w:trHeight w:val="538" w:hRule="atLeast"/>
        </w:trPr>
        <w:tc>
          <w:tcPr>
            <w:tcW w:w="3111" w:type="dxa"/>
            <w:tcBorders>
              <w:top w:val="nil"/>
              <w:bottom w:val="nil"/>
            </w:tcBorders>
          </w:tcPr>
          <w:p>
            <w:pPr>
              <w:pStyle w:val="TableParagraph"/>
              <w:rPr>
                <w:rFonts w:ascii="Times New Roman"/>
                <w:sz w:val="20"/>
              </w:rPr>
            </w:pPr>
          </w:p>
        </w:tc>
        <w:tc>
          <w:tcPr>
            <w:tcW w:w="3342" w:type="dxa"/>
            <w:tcBorders>
              <w:top w:val="nil"/>
              <w:bottom w:val="nil"/>
            </w:tcBorders>
          </w:tcPr>
          <w:p>
            <w:pPr>
              <w:pStyle w:val="TableParagraph"/>
              <w:ind w:left="107"/>
              <w:rPr>
                <w:sz w:val="21"/>
              </w:rPr>
            </w:pPr>
            <w:r>
              <w:rPr>
                <w:rFonts w:ascii="Times New Roman" w:eastAsia="Times New Roman"/>
                <w:sz w:val="21"/>
              </w:rPr>
              <w:t>3.</w:t>
            </w:r>
            <w:r>
              <w:rPr>
                <w:sz w:val="21"/>
              </w:rPr>
              <w:t>关于修订《富士康工业互联网股</w:t>
            </w:r>
          </w:p>
          <w:p>
            <w:pPr>
              <w:pStyle w:val="TableParagraph"/>
              <w:spacing w:line="245" w:lineRule="exact" w:before="4"/>
              <w:ind w:left="107"/>
              <w:rPr>
                <w:sz w:val="21"/>
              </w:rPr>
            </w:pPr>
            <w:r>
              <w:rPr>
                <w:spacing w:val="10"/>
                <w:sz w:val="21"/>
              </w:rPr>
              <w:t>份有限公司董事会议事规则》的</w:t>
            </w:r>
          </w:p>
        </w:tc>
        <w:tc>
          <w:tcPr>
            <w:tcW w:w="5349" w:type="dxa"/>
            <w:tcBorders>
              <w:top w:val="nil"/>
              <w:bottom w:val="nil"/>
            </w:tcBorders>
          </w:tcPr>
          <w:p>
            <w:pPr>
              <w:pStyle w:val="TableParagraph"/>
              <w:rPr>
                <w:rFonts w:ascii="Times New Roman"/>
                <w:sz w:val="20"/>
              </w:rPr>
            </w:pPr>
          </w:p>
        </w:tc>
        <w:tc>
          <w:tcPr>
            <w:tcW w:w="2048" w:type="dxa"/>
            <w:vMerge/>
            <w:tcBorders>
              <w:top w:val="nil"/>
            </w:tcBorders>
          </w:tcPr>
          <w:p>
            <w:pPr>
              <w:rPr>
                <w:sz w:val="2"/>
                <w:szCs w:val="2"/>
              </w:rPr>
            </w:pPr>
          </w:p>
        </w:tc>
      </w:tr>
      <w:tr>
        <w:trPr>
          <w:trHeight w:val="1624" w:hRule="atLeast"/>
        </w:trPr>
        <w:tc>
          <w:tcPr>
            <w:tcW w:w="3111" w:type="dxa"/>
            <w:tcBorders>
              <w:top w:val="nil"/>
              <w:bottom w:val="nil"/>
            </w:tcBorders>
          </w:tcPr>
          <w:p>
            <w:pPr>
              <w:pStyle w:val="TableParagraph"/>
              <w:rPr>
                <w:sz w:val="22"/>
              </w:rPr>
            </w:pPr>
          </w:p>
          <w:p>
            <w:pPr>
              <w:pStyle w:val="TableParagraph"/>
              <w:spacing w:before="3"/>
              <w:rPr>
                <w:sz w:val="20"/>
              </w:rPr>
            </w:pPr>
          </w:p>
          <w:p>
            <w:pPr>
              <w:pStyle w:val="TableParagraph"/>
              <w:ind w:left="686" w:right="677"/>
              <w:jc w:val="center"/>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6</w:t>
            </w:r>
            <w:r>
              <w:rPr>
                <w:rFonts w:ascii="Times New Roman" w:eastAsia="Times New Roman"/>
                <w:spacing w:val="-9"/>
                <w:sz w:val="21"/>
              </w:rPr>
              <w:t> </w:t>
            </w:r>
            <w:r>
              <w:rPr>
                <w:spacing w:val="-27"/>
                <w:sz w:val="21"/>
              </w:rPr>
              <w:t>月 </w:t>
            </w:r>
            <w:r>
              <w:rPr>
                <w:rFonts w:ascii="Times New Roman" w:eastAsia="Times New Roman"/>
                <w:sz w:val="21"/>
              </w:rPr>
              <w:t>1</w:t>
            </w:r>
            <w:r>
              <w:rPr>
                <w:rFonts w:ascii="Times New Roman" w:eastAsia="Times New Roman"/>
                <w:spacing w:val="-11"/>
                <w:sz w:val="21"/>
              </w:rPr>
              <w:t> </w:t>
            </w:r>
            <w:r>
              <w:rPr>
                <w:sz w:val="21"/>
              </w:rPr>
              <w:t>日</w:t>
            </w:r>
          </w:p>
        </w:tc>
        <w:tc>
          <w:tcPr>
            <w:tcW w:w="3342" w:type="dxa"/>
            <w:tcBorders>
              <w:top w:val="nil"/>
              <w:bottom w:val="nil"/>
            </w:tcBorders>
          </w:tcPr>
          <w:p>
            <w:pPr>
              <w:pStyle w:val="TableParagraph"/>
              <w:spacing w:line="266" w:lineRule="exact"/>
              <w:ind w:left="107"/>
              <w:rPr>
                <w:sz w:val="21"/>
              </w:rPr>
            </w:pPr>
            <w:r>
              <w:rPr>
                <w:sz w:val="21"/>
              </w:rPr>
              <w:t>议案</w:t>
            </w:r>
          </w:p>
          <w:p>
            <w:pPr>
              <w:pStyle w:val="TableParagraph"/>
              <w:numPr>
                <w:ilvl w:val="0"/>
                <w:numId w:val="14"/>
              </w:numPr>
              <w:tabs>
                <w:tab w:pos="269" w:val="left" w:leader="none"/>
              </w:tabs>
              <w:spacing w:line="242" w:lineRule="auto" w:before="4" w:after="0"/>
              <w:ind w:left="107" w:right="94" w:firstLine="0"/>
              <w:jc w:val="both"/>
              <w:rPr>
                <w:sz w:val="21"/>
              </w:rPr>
            </w:pPr>
            <w:r>
              <w:rPr>
                <w:sz w:val="21"/>
              </w:rPr>
              <w:t>关于修订《富士康工业互联网股</w:t>
            </w:r>
            <w:r>
              <w:rPr>
                <w:spacing w:val="10"/>
                <w:sz w:val="21"/>
              </w:rPr>
              <w:t>份有限公司财务资助管理制度》</w:t>
            </w:r>
            <w:r>
              <w:rPr>
                <w:sz w:val="21"/>
              </w:rPr>
              <w:t>的议案</w:t>
            </w:r>
          </w:p>
          <w:p>
            <w:pPr>
              <w:pStyle w:val="TableParagraph"/>
              <w:numPr>
                <w:ilvl w:val="0"/>
                <w:numId w:val="14"/>
              </w:numPr>
              <w:tabs>
                <w:tab w:pos="269" w:val="left" w:leader="none"/>
              </w:tabs>
              <w:spacing w:line="240" w:lineRule="auto" w:before="1" w:after="0"/>
              <w:ind w:left="268" w:right="0" w:hanging="162"/>
              <w:jc w:val="left"/>
              <w:rPr>
                <w:sz w:val="21"/>
              </w:rPr>
            </w:pPr>
            <w:r>
              <w:rPr>
                <w:sz w:val="21"/>
              </w:rPr>
              <w:t>关于修订《富士康工业互联网股</w:t>
            </w:r>
          </w:p>
          <w:p>
            <w:pPr>
              <w:pStyle w:val="TableParagraph"/>
              <w:spacing w:line="245" w:lineRule="exact" w:before="5"/>
              <w:ind w:left="107"/>
              <w:rPr>
                <w:sz w:val="21"/>
              </w:rPr>
            </w:pPr>
            <w:r>
              <w:rPr>
                <w:spacing w:val="10"/>
                <w:sz w:val="21"/>
              </w:rPr>
              <w:t>份有限公司对外担保管理制度》</w:t>
            </w:r>
          </w:p>
        </w:tc>
        <w:tc>
          <w:tcPr>
            <w:tcW w:w="5349" w:type="dxa"/>
            <w:tcBorders>
              <w:top w:val="nil"/>
              <w:bottom w:val="nil"/>
            </w:tcBorders>
          </w:tcPr>
          <w:p>
            <w:pPr>
              <w:pStyle w:val="TableParagraph"/>
              <w:spacing w:line="242" w:lineRule="auto" w:before="133"/>
              <w:ind w:left="107" w:right="105"/>
              <w:rPr>
                <w:sz w:val="21"/>
              </w:rPr>
            </w:pPr>
            <w:r>
              <w:rPr>
                <w:sz w:val="21"/>
              </w:rPr>
              <w:t>为适应监管新规要求，公司根据最新的法律、法规及规范性文件的相关规定，结合公司实际情况，对公司相关制度进行修订，旨在进一步规范和完善公司治理结构。审议委员会同意将上述议案提交董事会审议。</w:t>
            </w:r>
          </w:p>
        </w:tc>
        <w:tc>
          <w:tcPr>
            <w:tcW w:w="2048" w:type="dxa"/>
            <w:vMerge/>
            <w:tcBorders>
              <w:top w:val="nil"/>
            </w:tcBorders>
          </w:tcPr>
          <w:p>
            <w:pPr>
              <w:rPr>
                <w:sz w:val="2"/>
                <w:szCs w:val="2"/>
              </w:rPr>
            </w:pPr>
          </w:p>
        </w:tc>
      </w:tr>
      <w:tr>
        <w:trPr>
          <w:trHeight w:val="259" w:hRule="atLeast"/>
        </w:trPr>
        <w:tc>
          <w:tcPr>
            <w:tcW w:w="3111" w:type="dxa"/>
            <w:tcBorders>
              <w:top w:val="nil"/>
              <w:bottom w:val="nil"/>
            </w:tcBorders>
          </w:tcPr>
          <w:p>
            <w:pPr>
              <w:pStyle w:val="TableParagraph"/>
              <w:rPr>
                <w:rFonts w:ascii="Times New Roman"/>
                <w:sz w:val="18"/>
              </w:rPr>
            </w:pPr>
          </w:p>
        </w:tc>
        <w:tc>
          <w:tcPr>
            <w:tcW w:w="3342" w:type="dxa"/>
            <w:tcBorders>
              <w:top w:val="nil"/>
              <w:bottom w:val="nil"/>
            </w:tcBorders>
          </w:tcPr>
          <w:p>
            <w:pPr>
              <w:pStyle w:val="TableParagraph"/>
              <w:spacing w:line="239" w:lineRule="exact"/>
              <w:ind w:left="107"/>
              <w:rPr>
                <w:sz w:val="21"/>
              </w:rPr>
            </w:pPr>
            <w:r>
              <w:rPr>
                <w:sz w:val="21"/>
              </w:rPr>
              <w:t>的议案</w:t>
            </w:r>
          </w:p>
        </w:tc>
        <w:tc>
          <w:tcPr>
            <w:tcW w:w="5349" w:type="dxa"/>
            <w:tcBorders>
              <w:top w:val="nil"/>
              <w:bottom w:val="nil"/>
            </w:tcBorders>
          </w:tcPr>
          <w:p>
            <w:pPr>
              <w:pStyle w:val="TableParagraph"/>
              <w:rPr>
                <w:rFonts w:ascii="Times New Roman"/>
                <w:sz w:val="18"/>
              </w:rPr>
            </w:pPr>
          </w:p>
        </w:tc>
        <w:tc>
          <w:tcPr>
            <w:tcW w:w="2048" w:type="dxa"/>
            <w:vMerge/>
            <w:tcBorders>
              <w:top w:val="nil"/>
            </w:tcBorders>
          </w:tcPr>
          <w:p>
            <w:pPr>
              <w:rPr>
                <w:sz w:val="2"/>
                <w:szCs w:val="2"/>
              </w:rPr>
            </w:pPr>
          </w:p>
        </w:tc>
      </w:tr>
      <w:tr>
        <w:trPr>
          <w:trHeight w:val="538" w:hRule="atLeast"/>
        </w:trPr>
        <w:tc>
          <w:tcPr>
            <w:tcW w:w="3111" w:type="dxa"/>
            <w:tcBorders>
              <w:top w:val="nil"/>
              <w:bottom w:val="nil"/>
            </w:tcBorders>
          </w:tcPr>
          <w:p>
            <w:pPr>
              <w:pStyle w:val="TableParagraph"/>
              <w:rPr>
                <w:rFonts w:ascii="Times New Roman"/>
                <w:sz w:val="20"/>
              </w:rPr>
            </w:pPr>
          </w:p>
        </w:tc>
        <w:tc>
          <w:tcPr>
            <w:tcW w:w="3342" w:type="dxa"/>
            <w:tcBorders>
              <w:top w:val="nil"/>
              <w:bottom w:val="nil"/>
            </w:tcBorders>
          </w:tcPr>
          <w:p>
            <w:pPr>
              <w:pStyle w:val="TableParagraph"/>
              <w:spacing w:before="1"/>
              <w:ind w:left="107"/>
              <w:rPr>
                <w:sz w:val="21"/>
              </w:rPr>
            </w:pPr>
            <w:r>
              <w:rPr>
                <w:rFonts w:ascii="Times New Roman" w:eastAsia="Times New Roman"/>
                <w:sz w:val="21"/>
              </w:rPr>
              <w:t>6.</w:t>
            </w:r>
            <w:r>
              <w:rPr>
                <w:sz w:val="21"/>
              </w:rPr>
              <w:t>关于修订《富士康工业互联网股</w:t>
            </w:r>
          </w:p>
          <w:p>
            <w:pPr>
              <w:pStyle w:val="TableParagraph"/>
              <w:spacing w:line="246" w:lineRule="exact" w:before="2"/>
              <w:ind w:left="107"/>
              <w:rPr>
                <w:sz w:val="21"/>
              </w:rPr>
            </w:pPr>
            <w:r>
              <w:rPr>
                <w:spacing w:val="10"/>
                <w:sz w:val="21"/>
              </w:rPr>
              <w:t>份有限公司募集资金管理制度》</w:t>
            </w:r>
          </w:p>
        </w:tc>
        <w:tc>
          <w:tcPr>
            <w:tcW w:w="5349" w:type="dxa"/>
            <w:tcBorders>
              <w:top w:val="nil"/>
              <w:bottom w:val="nil"/>
            </w:tcBorders>
          </w:tcPr>
          <w:p>
            <w:pPr>
              <w:pStyle w:val="TableParagraph"/>
              <w:rPr>
                <w:rFonts w:ascii="Times New Roman"/>
                <w:sz w:val="20"/>
              </w:rPr>
            </w:pPr>
          </w:p>
        </w:tc>
        <w:tc>
          <w:tcPr>
            <w:tcW w:w="2048" w:type="dxa"/>
            <w:vMerge/>
            <w:tcBorders>
              <w:top w:val="nil"/>
            </w:tcBorders>
          </w:tcPr>
          <w:p>
            <w:pPr>
              <w:rPr>
                <w:sz w:val="2"/>
                <w:szCs w:val="2"/>
              </w:rPr>
            </w:pPr>
          </w:p>
        </w:tc>
      </w:tr>
      <w:tr>
        <w:trPr>
          <w:trHeight w:val="259" w:hRule="atLeast"/>
        </w:trPr>
        <w:tc>
          <w:tcPr>
            <w:tcW w:w="3111" w:type="dxa"/>
            <w:tcBorders>
              <w:top w:val="nil"/>
              <w:bottom w:val="nil"/>
            </w:tcBorders>
          </w:tcPr>
          <w:p>
            <w:pPr>
              <w:pStyle w:val="TableParagraph"/>
              <w:rPr>
                <w:rFonts w:ascii="Times New Roman"/>
                <w:sz w:val="18"/>
              </w:rPr>
            </w:pPr>
          </w:p>
        </w:tc>
        <w:tc>
          <w:tcPr>
            <w:tcW w:w="3342" w:type="dxa"/>
            <w:tcBorders>
              <w:top w:val="nil"/>
              <w:bottom w:val="nil"/>
            </w:tcBorders>
          </w:tcPr>
          <w:p>
            <w:pPr>
              <w:pStyle w:val="TableParagraph"/>
              <w:spacing w:line="239" w:lineRule="exact"/>
              <w:ind w:left="107"/>
              <w:rPr>
                <w:sz w:val="21"/>
              </w:rPr>
            </w:pPr>
            <w:r>
              <w:rPr>
                <w:sz w:val="21"/>
              </w:rPr>
              <w:t>的议案</w:t>
            </w:r>
          </w:p>
        </w:tc>
        <w:tc>
          <w:tcPr>
            <w:tcW w:w="5349" w:type="dxa"/>
            <w:tcBorders>
              <w:top w:val="nil"/>
              <w:bottom w:val="nil"/>
            </w:tcBorders>
          </w:tcPr>
          <w:p>
            <w:pPr>
              <w:pStyle w:val="TableParagraph"/>
              <w:rPr>
                <w:rFonts w:ascii="Times New Roman"/>
                <w:sz w:val="18"/>
              </w:rPr>
            </w:pPr>
          </w:p>
        </w:tc>
        <w:tc>
          <w:tcPr>
            <w:tcW w:w="2048" w:type="dxa"/>
            <w:vMerge/>
            <w:tcBorders>
              <w:top w:val="nil"/>
            </w:tcBorders>
          </w:tcPr>
          <w:p>
            <w:pPr>
              <w:rPr>
                <w:sz w:val="2"/>
                <w:szCs w:val="2"/>
              </w:rPr>
            </w:pPr>
          </w:p>
        </w:tc>
      </w:tr>
      <w:tr>
        <w:trPr>
          <w:trHeight w:val="543" w:hRule="atLeast"/>
        </w:trPr>
        <w:tc>
          <w:tcPr>
            <w:tcW w:w="3111" w:type="dxa"/>
            <w:tcBorders>
              <w:top w:val="nil"/>
            </w:tcBorders>
          </w:tcPr>
          <w:p>
            <w:pPr>
              <w:pStyle w:val="TableParagraph"/>
              <w:rPr>
                <w:rFonts w:ascii="Times New Roman"/>
                <w:sz w:val="20"/>
              </w:rPr>
            </w:pPr>
          </w:p>
        </w:tc>
        <w:tc>
          <w:tcPr>
            <w:tcW w:w="3342" w:type="dxa"/>
            <w:tcBorders>
              <w:top w:val="nil"/>
            </w:tcBorders>
          </w:tcPr>
          <w:p>
            <w:pPr>
              <w:pStyle w:val="TableParagraph"/>
              <w:ind w:left="107"/>
              <w:rPr>
                <w:sz w:val="21"/>
              </w:rPr>
            </w:pPr>
            <w:r>
              <w:rPr>
                <w:rFonts w:ascii="Times New Roman" w:eastAsia="Times New Roman"/>
                <w:sz w:val="21"/>
              </w:rPr>
              <w:t>7.</w:t>
            </w:r>
            <w:r>
              <w:rPr>
                <w:sz w:val="21"/>
              </w:rPr>
              <w:t>关于修订《富士康工业互联网股</w:t>
            </w:r>
          </w:p>
          <w:p>
            <w:pPr>
              <w:pStyle w:val="TableParagraph"/>
              <w:spacing w:line="250" w:lineRule="exact" w:before="4"/>
              <w:ind w:left="107"/>
              <w:rPr>
                <w:sz w:val="21"/>
              </w:rPr>
            </w:pPr>
            <w:r>
              <w:rPr>
                <w:spacing w:val="10"/>
                <w:sz w:val="21"/>
              </w:rPr>
              <w:t>份有限公司关联交易管理制度》</w:t>
            </w:r>
          </w:p>
        </w:tc>
        <w:tc>
          <w:tcPr>
            <w:tcW w:w="5349" w:type="dxa"/>
            <w:tcBorders>
              <w:top w:val="nil"/>
            </w:tcBorders>
          </w:tcPr>
          <w:p>
            <w:pPr>
              <w:pStyle w:val="TableParagraph"/>
              <w:rPr>
                <w:rFonts w:ascii="Times New Roman"/>
                <w:sz w:val="20"/>
              </w:rPr>
            </w:pPr>
          </w:p>
        </w:tc>
        <w:tc>
          <w:tcPr>
            <w:tcW w:w="2048" w:type="dxa"/>
            <w:vMerge/>
            <w:tcBorders>
              <w:top w:val="nil"/>
            </w:tcBorders>
          </w:tcPr>
          <w:p>
            <w:pPr>
              <w:rPr>
                <w:sz w:val="2"/>
                <w:szCs w:val="2"/>
              </w:rPr>
            </w:pPr>
          </w:p>
        </w:tc>
      </w:tr>
    </w:tbl>
    <w:p>
      <w:pPr>
        <w:spacing w:after="0"/>
        <w:rPr>
          <w:sz w:val="2"/>
          <w:szCs w:val="2"/>
        </w:rPr>
        <w:sectPr>
          <w:pgSz w:w="16840" w:h="11910" w:orient="landscape"/>
          <w:pgMar w:header="877" w:footer="1195" w:top="1180" w:bottom="1380" w:left="1340" w:right="1420"/>
        </w:sectPr>
      </w:pPr>
    </w:p>
    <w:p>
      <w:pPr>
        <w:pStyle w:val="BodyText"/>
        <w:ind w:left="0"/>
        <w:rPr>
          <w:sz w:val="20"/>
        </w:rPr>
      </w:pPr>
    </w:p>
    <w:p>
      <w:pPr>
        <w:pStyle w:val="BodyText"/>
        <w:spacing w:before="2"/>
        <w:ind w:left="0"/>
        <w:rPr>
          <w:sz w:val="2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1"/>
        <w:gridCol w:w="3342"/>
        <w:gridCol w:w="5349"/>
        <w:gridCol w:w="2048"/>
      </w:tblGrid>
      <w:tr>
        <w:trPr>
          <w:trHeight w:val="1089" w:hRule="atLeast"/>
        </w:trPr>
        <w:tc>
          <w:tcPr>
            <w:tcW w:w="3111" w:type="dxa"/>
          </w:tcPr>
          <w:p>
            <w:pPr>
              <w:pStyle w:val="TableParagraph"/>
              <w:rPr>
                <w:rFonts w:ascii="Times New Roman"/>
                <w:sz w:val="20"/>
              </w:rPr>
            </w:pPr>
          </w:p>
        </w:tc>
        <w:tc>
          <w:tcPr>
            <w:tcW w:w="3342" w:type="dxa"/>
          </w:tcPr>
          <w:p>
            <w:pPr>
              <w:pStyle w:val="TableParagraph"/>
              <w:spacing w:before="1"/>
              <w:ind w:left="107"/>
              <w:rPr>
                <w:sz w:val="21"/>
              </w:rPr>
            </w:pPr>
            <w:r>
              <w:rPr>
                <w:sz w:val="21"/>
              </w:rPr>
              <w:t>的议案</w:t>
            </w:r>
          </w:p>
          <w:p>
            <w:pPr>
              <w:pStyle w:val="TableParagraph"/>
              <w:spacing w:before="2"/>
              <w:ind w:left="107"/>
              <w:rPr>
                <w:sz w:val="21"/>
              </w:rPr>
            </w:pPr>
            <w:r>
              <w:rPr>
                <w:rFonts w:ascii="Times New Roman" w:eastAsia="Times New Roman"/>
                <w:sz w:val="21"/>
              </w:rPr>
              <w:t>8.</w:t>
            </w:r>
            <w:r>
              <w:rPr>
                <w:sz w:val="21"/>
              </w:rPr>
              <w:t>关于制定《富士康工业互联网股</w:t>
            </w:r>
          </w:p>
          <w:p>
            <w:pPr>
              <w:pStyle w:val="TableParagraph"/>
              <w:spacing w:line="270" w:lineRule="atLeast"/>
              <w:ind w:left="107" w:right="95"/>
              <w:rPr>
                <w:sz w:val="21"/>
              </w:rPr>
            </w:pPr>
            <w:r>
              <w:rPr>
                <w:spacing w:val="10"/>
                <w:sz w:val="21"/>
              </w:rPr>
              <w:t>份有限公司对外捐赠管理制度》</w:t>
            </w:r>
            <w:r>
              <w:rPr>
                <w:sz w:val="21"/>
              </w:rPr>
              <w:t>的议案</w:t>
            </w:r>
          </w:p>
        </w:tc>
        <w:tc>
          <w:tcPr>
            <w:tcW w:w="5349" w:type="dxa"/>
          </w:tcPr>
          <w:p>
            <w:pPr>
              <w:pStyle w:val="TableParagraph"/>
              <w:rPr>
                <w:rFonts w:ascii="Times New Roman"/>
                <w:sz w:val="20"/>
              </w:rPr>
            </w:pPr>
          </w:p>
        </w:tc>
        <w:tc>
          <w:tcPr>
            <w:tcW w:w="2048" w:type="dxa"/>
          </w:tcPr>
          <w:p>
            <w:pPr>
              <w:pStyle w:val="TableParagraph"/>
              <w:rPr>
                <w:rFonts w:ascii="Times New Roman"/>
                <w:sz w:val="20"/>
              </w:rPr>
            </w:pPr>
          </w:p>
        </w:tc>
      </w:tr>
      <w:tr>
        <w:trPr>
          <w:trHeight w:val="2724" w:hRule="atLeast"/>
        </w:trPr>
        <w:tc>
          <w:tcPr>
            <w:tcW w:w="3111" w:type="dxa"/>
          </w:tcPr>
          <w:p>
            <w:pPr>
              <w:pStyle w:val="TableParagraph"/>
              <w:rPr>
                <w:sz w:val="22"/>
              </w:rPr>
            </w:pPr>
          </w:p>
          <w:p>
            <w:pPr>
              <w:pStyle w:val="TableParagraph"/>
              <w:rPr>
                <w:sz w:val="22"/>
              </w:rPr>
            </w:pPr>
          </w:p>
          <w:p>
            <w:pPr>
              <w:pStyle w:val="TableParagraph"/>
              <w:rPr>
                <w:sz w:val="22"/>
              </w:rPr>
            </w:pPr>
          </w:p>
          <w:p>
            <w:pPr>
              <w:pStyle w:val="TableParagraph"/>
              <w:spacing w:before="10"/>
              <w:rPr>
                <w:sz w:val="29"/>
              </w:rPr>
            </w:pPr>
          </w:p>
          <w:p>
            <w:pPr>
              <w:pStyle w:val="TableParagraph"/>
              <w:spacing w:before="1"/>
              <w:ind w:left="686" w:right="677"/>
              <w:jc w:val="center"/>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8</w:t>
            </w:r>
            <w:r>
              <w:rPr>
                <w:rFonts w:ascii="Times New Roman" w:eastAsia="Times New Roman"/>
                <w:spacing w:val="-9"/>
                <w:sz w:val="21"/>
              </w:rPr>
              <w:t> </w:t>
            </w:r>
            <w:r>
              <w:rPr>
                <w:spacing w:val="-27"/>
                <w:sz w:val="21"/>
              </w:rPr>
              <w:t>月 </w:t>
            </w:r>
            <w:r>
              <w:rPr>
                <w:rFonts w:ascii="Times New Roman" w:eastAsia="Times New Roman"/>
                <w:sz w:val="21"/>
              </w:rPr>
              <w:t>9</w:t>
            </w:r>
            <w:r>
              <w:rPr>
                <w:rFonts w:ascii="Times New Roman" w:eastAsia="Times New Roman"/>
                <w:spacing w:val="-11"/>
                <w:sz w:val="21"/>
              </w:rPr>
              <w:t> </w:t>
            </w:r>
            <w:r>
              <w:rPr>
                <w:sz w:val="21"/>
              </w:rPr>
              <w:t>日</w:t>
            </w:r>
          </w:p>
        </w:tc>
        <w:tc>
          <w:tcPr>
            <w:tcW w:w="3342" w:type="dxa"/>
          </w:tcPr>
          <w:p>
            <w:pPr>
              <w:pStyle w:val="TableParagraph"/>
              <w:rPr>
                <w:sz w:val="20"/>
              </w:rPr>
            </w:pPr>
          </w:p>
          <w:p>
            <w:pPr>
              <w:pStyle w:val="TableParagraph"/>
              <w:spacing w:before="7"/>
              <w:rPr>
                <w:sz w:val="22"/>
              </w:rPr>
            </w:pPr>
          </w:p>
          <w:p>
            <w:pPr>
              <w:pStyle w:val="TableParagraph"/>
              <w:numPr>
                <w:ilvl w:val="0"/>
                <w:numId w:val="15"/>
              </w:numPr>
              <w:tabs>
                <w:tab w:pos="269" w:val="left" w:leader="none"/>
              </w:tabs>
              <w:spacing w:line="242" w:lineRule="auto" w:before="0" w:after="0"/>
              <w:ind w:left="107" w:right="94" w:firstLine="0"/>
              <w:jc w:val="both"/>
              <w:rPr>
                <w:sz w:val="21"/>
              </w:rPr>
            </w:pPr>
            <w:r>
              <w:rPr>
                <w:sz w:val="21"/>
              </w:rPr>
              <w:t>关于《富士康工业互联网股份有</w:t>
            </w:r>
            <w:r>
              <w:rPr>
                <w:spacing w:val="-5"/>
                <w:sz w:val="21"/>
              </w:rPr>
              <w:t>限公司 </w:t>
            </w:r>
            <w:r>
              <w:rPr>
                <w:rFonts w:ascii="Times New Roman" w:eastAsia="Times New Roman"/>
                <w:sz w:val="21"/>
              </w:rPr>
              <w:t>2022</w:t>
            </w:r>
            <w:r>
              <w:rPr>
                <w:rFonts w:ascii="Times New Roman" w:eastAsia="Times New Roman"/>
                <w:spacing w:val="31"/>
                <w:sz w:val="21"/>
              </w:rPr>
              <w:t> </w:t>
            </w:r>
            <w:r>
              <w:rPr>
                <w:sz w:val="21"/>
              </w:rPr>
              <w:t>年半年度报告》及其摘要的议案</w:t>
            </w:r>
          </w:p>
          <w:p>
            <w:pPr>
              <w:pStyle w:val="TableParagraph"/>
              <w:numPr>
                <w:ilvl w:val="0"/>
                <w:numId w:val="15"/>
              </w:numPr>
              <w:tabs>
                <w:tab w:pos="274" w:val="left" w:leader="none"/>
              </w:tabs>
              <w:spacing w:line="242" w:lineRule="auto" w:before="2" w:after="0"/>
              <w:ind w:left="107" w:right="93" w:firstLine="0"/>
              <w:jc w:val="both"/>
              <w:rPr>
                <w:sz w:val="21"/>
              </w:rPr>
            </w:pPr>
            <w:r>
              <w:rPr>
                <w:spacing w:val="2"/>
                <w:sz w:val="21"/>
              </w:rPr>
              <w:t>关于公司 </w:t>
            </w:r>
            <w:r>
              <w:rPr>
                <w:rFonts w:ascii="Times New Roman" w:eastAsia="Times New Roman"/>
                <w:sz w:val="21"/>
              </w:rPr>
              <w:t>2022</w:t>
            </w:r>
            <w:r>
              <w:rPr>
                <w:rFonts w:ascii="Times New Roman" w:eastAsia="Times New Roman"/>
                <w:spacing w:val="51"/>
                <w:sz w:val="21"/>
              </w:rPr>
              <w:t> </w:t>
            </w:r>
            <w:r>
              <w:rPr>
                <w:sz w:val="21"/>
              </w:rPr>
              <w:t>年半年度募集资</w:t>
            </w:r>
            <w:r>
              <w:rPr>
                <w:spacing w:val="10"/>
                <w:sz w:val="21"/>
              </w:rPr>
              <w:t>金存放与使用情况的专项报告的</w:t>
            </w:r>
            <w:r>
              <w:rPr>
                <w:sz w:val="21"/>
              </w:rPr>
              <w:t>议案</w:t>
            </w:r>
          </w:p>
        </w:tc>
        <w:tc>
          <w:tcPr>
            <w:tcW w:w="5349" w:type="dxa"/>
          </w:tcPr>
          <w:p>
            <w:pPr>
              <w:pStyle w:val="TableParagraph"/>
              <w:rPr>
                <w:sz w:val="20"/>
              </w:rPr>
            </w:pPr>
          </w:p>
          <w:p>
            <w:pPr>
              <w:pStyle w:val="TableParagraph"/>
              <w:rPr>
                <w:sz w:val="20"/>
              </w:rPr>
            </w:pPr>
          </w:p>
          <w:p>
            <w:pPr>
              <w:pStyle w:val="TableParagraph"/>
              <w:spacing w:line="242" w:lineRule="auto" w:before="170"/>
              <w:ind w:left="107" w:right="102"/>
              <w:rPr>
                <w:sz w:val="21"/>
              </w:rPr>
            </w:pPr>
            <w:r>
              <w:rPr>
                <w:rFonts w:ascii="Times New Roman" w:eastAsia="Times New Roman"/>
                <w:sz w:val="21"/>
              </w:rPr>
              <w:t>1.2022</w:t>
            </w:r>
            <w:r>
              <w:rPr>
                <w:rFonts w:ascii="Times New Roman" w:eastAsia="Times New Roman"/>
                <w:spacing w:val="10"/>
                <w:sz w:val="21"/>
              </w:rPr>
              <w:t> </w:t>
            </w:r>
            <w:r>
              <w:rPr>
                <w:sz w:val="21"/>
              </w:rPr>
              <w:t>年半年报真实、准确、完整地反映了公司经营情况及财务状况。</w:t>
            </w:r>
          </w:p>
          <w:p>
            <w:pPr>
              <w:pStyle w:val="TableParagraph"/>
              <w:spacing w:line="242" w:lineRule="auto" w:before="2"/>
              <w:ind w:left="107" w:right="100"/>
              <w:rPr>
                <w:sz w:val="21"/>
              </w:rPr>
            </w:pPr>
            <w:r>
              <w:rPr>
                <w:rFonts w:ascii="Times New Roman" w:eastAsia="Times New Roman"/>
                <w:sz w:val="21"/>
              </w:rPr>
              <w:t>2.</w:t>
            </w:r>
            <w:r>
              <w:rPr>
                <w:sz w:val="21"/>
              </w:rPr>
              <w:t>募集资金的存放与使用符合公司实际情况及法律法规的要求。</w:t>
            </w:r>
          </w:p>
          <w:p>
            <w:pPr>
              <w:pStyle w:val="TableParagraph"/>
              <w:spacing w:before="1"/>
              <w:ind w:left="107"/>
              <w:rPr>
                <w:sz w:val="21"/>
              </w:rPr>
            </w:pPr>
            <w:r>
              <w:rPr>
                <w:sz w:val="21"/>
              </w:rPr>
              <w:t>审议委员会同意将上述议案提交董事会审议。</w:t>
            </w:r>
          </w:p>
        </w:tc>
        <w:tc>
          <w:tcPr>
            <w:tcW w:w="2048" w:type="dxa"/>
          </w:tcPr>
          <w:p>
            <w:pPr>
              <w:pStyle w:val="TableParagraph"/>
              <w:spacing w:line="242" w:lineRule="auto" w:before="1"/>
              <w:ind w:left="106" w:right="95"/>
              <w:jc w:val="both"/>
              <w:rPr>
                <w:sz w:val="21"/>
              </w:rPr>
            </w:pPr>
            <w:r>
              <w:rPr>
                <w:spacing w:val="16"/>
                <w:sz w:val="21"/>
              </w:rPr>
              <w:t>审计委员会严格按照《公司法》《证</w:t>
            </w:r>
            <w:r>
              <w:rPr>
                <w:spacing w:val="-25"/>
                <w:sz w:val="21"/>
              </w:rPr>
              <w:t>券 法 》 《 公 司 章</w:t>
            </w:r>
            <w:r>
              <w:rPr>
                <w:spacing w:val="16"/>
                <w:sz w:val="21"/>
              </w:rPr>
              <w:t>程》《董事会审计委员会议事规则》等法律法规开展工</w:t>
            </w:r>
            <w:r>
              <w:rPr>
                <w:spacing w:val="2"/>
                <w:sz w:val="21"/>
              </w:rPr>
              <w:t>作， 本着独立、客</w:t>
            </w:r>
            <w:r>
              <w:rPr>
                <w:spacing w:val="16"/>
                <w:sz w:val="21"/>
              </w:rPr>
              <w:t>观、公正的原则，</w:t>
            </w:r>
          </w:p>
          <w:p>
            <w:pPr>
              <w:pStyle w:val="TableParagraph"/>
              <w:spacing w:line="270" w:lineRule="atLeast"/>
              <w:ind w:left="106" w:right="95"/>
              <w:rPr>
                <w:sz w:val="21"/>
              </w:rPr>
            </w:pPr>
            <w:r>
              <w:rPr>
                <w:spacing w:val="2"/>
                <w:sz w:val="21"/>
              </w:rPr>
              <w:t>认真履行职责， 行</w:t>
            </w:r>
            <w:r>
              <w:rPr>
                <w:sz w:val="21"/>
              </w:rPr>
              <w:t>使职权。</w:t>
            </w:r>
          </w:p>
        </w:tc>
      </w:tr>
      <w:tr>
        <w:trPr>
          <w:trHeight w:val="2724" w:hRule="atLeast"/>
        </w:trPr>
        <w:tc>
          <w:tcPr>
            <w:tcW w:w="3111" w:type="dxa"/>
          </w:tcPr>
          <w:p>
            <w:pPr>
              <w:pStyle w:val="TableParagraph"/>
              <w:rPr>
                <w:sz w:val="22"/>
              </w:rPr>
            </w:pPr>
          </w:p>
          <w:p>
            <w:pPr>
              <w:pStyle w:val="TableParagraph"/>
              <w:rPr>
                <w:sz w:val="22"/>
              </w:rPr>
            </w:pPr>
          </w:p>
          <w:p>
            <w:pPr>
              <w:pStyle w:val="TableParagraph"/>
              <w:rPr>
                <w:sz w:val="22"/>
              </w:rPr>
            </w:pPr>
          </w:p>
          <w:p>
            <w:pPr>
              <w:pStyle w:val="TableParagraph"/>
              <w:spacing w:before="10"/>
              <w:rPr>
                <w:sz w:val="29"/>
              </w:rPr>
            </w:pPr>
          </w:p>
          <w:p>
            <w:pPr>
              <w:pStyle w:val="TableParagraph"/>
              <w:ind w:left="686" w:right="677"/>
              <w:jc w:val="center"/>
              <w:rPr>
                <w:sz w:val="21"/>
              </w:rPr>
            </w:pPr>
            <w:r>
              <w:rPr>
                <w:rFonts w:ascii="Times New Roman" w:eastAsia="Times New Roman"/>
                <w:sz w:val="21"/>
              </w:rPr>
              <w:t>2022</w:t>
            </w:r>
            <w:r>
              <w:rPr>
                <w:rFonts w:ascii="Times New Roman" w:eastAsia="Times New Roman"/>
                <w:spacing w:val="-12"/>
                <w:sz w:val="21"/>
              </w:rPr>
              <w:t> </w:t>
            </w:r>
            <w:r>
              <w:rPr>
                <w:spacing w:val="-27"/>
                <w:sz w:val="21"/>
              </w:rPr>
              <w:t>年 </w:t>
            </w:r>
            <w:r>
              <w:rPr>
                <w:rFonts w:ascii="Times New Roman" w:eastAsia="Times New Roman"/>
                <w:sz w:val="21"/>
              </w:rPr>
              <w:t>10</w:t>
            </w:r>
            <w:r>
              <w:rPr>
                <w:rFonts w:ascii="Times New Roman" w:eastAsia="Times New Roman"/>
                <w:spacing w:val="-11"/>
                <w:sz w:val="21"/>
              </w:rPr>
              <w:t> </w:t>
            </w:r>
            <w:r>
              <w:rPr>
                <w:spacing w:val="-27"/>
                <w:sz w:val="21"/>
              </w:rPr>
              <w:t>月 </w:t>
            </w:r>
            <w:r>
              <w:rPr>
                <w:rFonts w:ascii="Times New Roman" w:eastAsia="Times New Roman"/>
                <w:sz w:val="21"/>
              </w:rPr>
              <w:t>28</w:t>
            </w:r>
            <w:r>
              <w:rPr>
                <w:rFonts w:ascii="Times New Roman" w:eastAsia="Times New Roman"/>
                <w:spacing w:val="-10"/>
                <w:sz w:val="21"/>
              </w:rPr>
              <w:t> </w:t>
            </w:r>
            <w:r>
              <w:rPr>
                <w:sz w:val="21"/>
              </w:rPr>
              <w:t>日</w:t>
            </w:r>
          </w:p>
        </w:tc>
        <w:tc>
          <w:tcPr>
            <w:tcW w:w="3342" w:type="dxa"/>
          </w:tcPr>
          <w:p>
            <w:pPr>
              <w:pStyle w:val="TableParagraph"/>
              <w:rPr>
                <w:sz w:val="20"/>
              </w:rPr>
            </w:pPr>
          </w:p>
          <w:p>
            <w:pPr>
              <w:pStyle w:val="TableParagraph"/>
              <w:spacing w:before="8"/>
              <w:rPr>
                <w:sz w:val="22"/>
              </w:rPr>
            </w:pPr>
          </w:p>
          <w:p>
            <w:pPr>
              <w:pStyle w:val="TableParagraph"/>
              <w:numPr>
                <w:ilvl w:val="0"/>
                <w:numId w:val="16"/>
              </w:numPr>
              <w:tabs>
                <w:tab w:pos="269" w:val="left" w:leader="none"/>
              </w:tabs>
              <w:spacing w:line="242" w:lineRule="auto" w:before="0" w:after="0"/>
              <w:ind w:left="107" w:right="93" w:firstLine="0"/>
              <w:jc w:val="both"/>
              <w:rPr>
                <w:sz w:val="21"/>
              </w:rPr>
            </w:pPr>
            <w:r>
              <w:rPr>
                <w:sz w:val="21"/>
              </w:rPr>
              <w:t>关于《富士康工业互联网股份有</w:t>
            </w:r>
            <w:r>
              <w:rPr>
                <w:spacing w:val="-5"/>
                <w:sz w:val="21"/>
              </w:rPr>
              <w:t>限公司 </w:t>
            </w:r>
            <w:r>
              <w:rPr>
                <w:rFonts w:ascii="Times New Roman" w:eastAsia="Times New Roman"/>
                <w:sz w:val="21"/>
              </w:rPr>
              <w:t>2022</w:t>
            </w:r>
            <w:r>
              <w:rPr>
                <w:rFonts w:ascii="Times New Roman" w:eastAsia="Times New Roman"/>
                <w:spacing w:val="32"/>
                <w:sz w:val="21"/>
              </w:rPr>
              <w:t> </w:t>
            </w:r>
            <w:r>
              <w:rPr>
                <w:sz w:val="21"/>
              </w:rPr>
              <w:t>年第三季度报告》的议案</w:t>
            </w:r>
          </w:p>
          <w:p>
            <w:pPr>
              <w:pStyle w:val="TableParagraph"/>
              <w:numPr>
                <w:ilvl w:val="0"/>
                <w:numId w:val="16"/>
              </w:numPr>
              <w:tabs>
                <w:tab w:pos="269" w:val="left" w:leader="none"/>
              </w:tabs>
              <w:spacing w:line="242" w:lineRule="auto" w:before="1" w:after="0"/>
              <w:ind w:left="107" w:right="94" w:firstLine="0"/>
              <w:jc w:val="both"/>
              <w:rPr>
                <w:sz w:val="21"/>
              </w:rPr>
            </w:pPr>
            <w:r>
              <w:rPr>
                <w:sz w:val="21"/>
              </w:rPr>
              <w:t>关于修订《富士康工业互联网股</w:t>
            </w:r>
            <w:r>
              <w:rPr>
                <w:spacing w:val="10"/>
                <w:sz w:val="21"/>
              </w:rPr>
              <w:t>份有限公司对外担保管理制度》</w:t>
            </w:r>
            <w:r>
              <w:rPr>
                <w:sz w:val="21"/>
              </w:rPr>
              <w:t>的议案</w:t>
            </w:r>
          </w:p>
        </w:tc>
        <w:tc>
          <w:tcPr>
            <w:tcW w:w="5349" w:type="dxa"/>
          </w:tcPr>
          <w:p>
            <w:pPr>
              <w:pStyle w:val="TableParagraph"/>
              <w:rPr>
                <w:sz w:val="20"/>
              </w:rPr>
            </w:pPr>
          </w:p>
          <w:p>
            <w:pPr>
              <w:pStyle w:val="TableParagraph"/>
              <w:spacing w:line="244" w:lineRule="auto" w:before="152"/>
              <w:ind w:left="107" w:right="102"/>
              <w:jc w:val="both"/>
              <w:rPr>
                <w:sz w:val="21"/>
              </w:rPr>
            </w:pPr>
            <w:r>
              <w:rPr>
                <w:rFonts w:ascii="Times New Roman" w:eastAsia="Times New Roman"/>
                <w:sz w:val="21"/>
              </w:rPr>
              <w:t>1.2022</w:t>
            </w:r>
            <w:r>
              <w:rPr>
                <w:rFonts w:ascii="Times New Roman" w:eastAsia="Times New Roman"/>
                <w:spacing w:val="10"/>
                <w:sz w:val="21"/>
              </w:rPr>
              <w:t> </w:t>
            </w:r>
            <w:r>
              <w:rPr>
                <w:sz w:val="21"/>
              </w:rPr>
              <w:t>年第三季度报告真实、准确、完整地反映了公司经营情况及财务状况。</w:t>
            </w:r>
          </w:p>
          <w:p>
            <w:pPr>
              <w:pStyle w:val="TableParagraph"/>
              <w:spacing w:line="242" w:lineRule="auto"/>
              <w:ind w:left="107" w:right="98"/>
              <w:jc w:val="both"/>
              <w:rPr>
                <w:sz w:val="21"/>
              </w:rPr>
            </w:pPr>
            <w:r>
              <w:rPr>
                <w:rFonts w:ascii="Times New Roman" w:eastAsia="Times New Roman"/>
                <w:sz w:val="21"/>
              </w:rPr>
              <w:t>2.</w:t>
            </w:r>
            <w:r>
              <w:rPr>
                <w:rFonts w:ascii="Times New Roman" w:eastAsia="Times New Roman"/>
                <w:spacing w:val="12"/>
                <w:sz w:val="21"/>
              </w:rPr>
              <w:t> </w:t>
            </w:r>
            <w:r>
              <w:rPr>
                <w:sz w:val="21"/>
              </w:rPr>
              <w:t>为适应监管新规要求，公司根据最新的法律、法规及规范性文件的相关规定，结合公司实际情况，对公司对外担保制度进行修订，旨在进一步规范和完善公司治理结构。</w:t>
            </w:r>
          </w:p>
          <w:p>
            <w:pPr>
              <w:pStyle w:val="TableParagraph"/>
              <w:ind w:left="107"/>
              <w:rPr>
                <w:sz w:val="21"/>
              </w:rPr>
            </w:pPr>
            <w:r>
              <w:rPr>
                <w:sz w:val="21"/>
              </w:rPr>
              <w:t>审议委员会同意将上述议案提交董事会审议。</w:t>
            </w:r>
          </w:p>
        </w:tc>
        <w:tc>
          <w:tcPr>
            <w:tcW w:w="2048" w:type="dxa"/>
          </w:tcPr>
          <w:p>
            <w:pPr>
              <w:pStyle w:val="TableParagraph"/>
              <w:spacing w:line="242" w:lineRule="auto" w:before="1"/>
              <w:ind w:left="106" w:right="95"/>
              <w:jc w:val="both"/>
              <w:rPr>
                <w:sz w:val="21"/>
              </w:rPr>
            </w:pPr>
            <w:r>
              <w:rPr>
                <w:spacing w:val="16"/>
                <w:sz w:val="21"/>
              </w:rPr>
              <w:t>审计委员会严格按照《公司法》《证</w:t>
            </w:r>
            <w:r>
              <w:rPr>
                <w:spacing w:val="-25"/>
                <w:sz w:val="21"/>
              </w:rPr>
              <w:t>券 法 》 《 公 司 章</w:t>
            </w:r>
            <w:r>
              <w:rPr>
                <w:spacing w:val="16"/>
                <w:sz w:val="21"/>
              </w:rPr>
              <w:t>程》《董事会审计委员会议事规则》等法律法规开展工</w:t>
            </w:r>
            <w:r>
              <w:rPr>
                <w:spacing w:val="2"/>
                <w:sz w:val="21"/>
              </w:rPr>
              <w:t>作， 本着独立、客</w:t>
            </w:r>
            <w:r>
              <w:rPr>
                <w:spacing w:val="16"/>
                <w:sz w:val="21"/>
              </w:rPr>
              <w:t>观、公正的原则，</w:t>
            </w:r>
            <w:r>
              <w:rPr>
                <w:spacing w:val="-103"/>
                <w:sz w:val="21"/>
              </w:rPr>
              <w:t> </w:t>
            </w:r>
            <w:r>
              <w:rPr>
                <w:spacing w:val="2"/>
                <w:sz w:val="21"/>
              </w:rPr>
              <w:t>认真履行职责， 行</w:t>
            </w:r>
          </w:p>
          <w:p>
            <w:pPr>
              <w:pStyle w:val="TableParagraph"/>
              <w:spacing w:line="252" w:lineRule="exact" w:before="5"/>
              <w:ind w:left="106"/>
              <w:rPr>
                <w:sz w:val="21"/>
              </w:rPr>
            </w:pPr>
            <w:r>
              <w:rPr>
                <w:sz w:val="21"/>
              </w:rPr>
              <w:t>使职权。</w:t>
            </w:r>
          </w:p>
        </w:tc>
      </w:tr>
      <w:tr>
        <w:trPr>
          <w:trHeight w:val="1905" w:hRule="atLeast"/>
        </w:trPr>
        <w:tc>
          <w:tcPr>
            <w:tcW w:w="3111" w:type="dxa"/>
          </w:tcPr>
          <w:p>
            <w:pPr>
              <w:pStyle w:val="TableParagraph"/>
              <w:rPr>
                <w:sz w:val="22"/>
              </w:rPr>
            </w:pPr>
          </w:p>
          <w:p>
            <w:pPr>
              <w:pStyle w:val="TableParagraph"/>
              <w:rPr>
                <w:sz w:val="22"/>
              </w:rPr>
            </w:pPr>
          </w:p>
          <w:p>
            <w:pPr>
              <w:pStyle w:val="TableParagraph"/>
              <w:spacing w:before="10"/>
              <w:rPr>
                <w:sz w:val="19"/>
              </w:rPr>
            </w:pPr>
          </w:p>
          <w:p>
            <w:pPr>
              <w:pStyle w:val="TableParagraph"/>
              <w:ind w:left="686" w:right="677"/>
              <w:jc w:val="center"/>
              <w:rPr>
                <w:sz w:val="21"/>
              </w:rPr>
            </w:pPr>
            <w:r>
              <w:rPr>
                <w:rFonts w:ascii="Times New Roman" w:eastAsia="Times New Roman"/>
                <w:sz w:val="21"/>
              </w:rPr>
              <w:t>2022</w:t>
            </w:r>
            <w:r>
              <w:rPr>
                <w:rFonts w:ascii="Times New Roman" w:eastAsia="Times New Roman"/>
                <w:spacing w:val="-12"/>
                <w:sz w:val="21"/>
              </w:rPr>
              <w:t> </w:t>
            </w:r>
            <w:r>
              <w:rPr>
                <w:spacing w:val="-27"/>
                <w:sz w:val="21"/>
              </w:rPr>
              <w:t>年 </w:t>
            </w:r>
            <w:r>
              <w:rPr>
                <w:rFonts w:ascii="Times New Roman" w:eastAsia="Times New Roman"/>
                <w:sz w:val="21"/>
              </w:rPr>
              <w:t>12</w:t>
            </w:r>
            <w:r>
              <w:rPr>
                <w:rFonts w:ascii="Times New Roman" w:eastAsia="Times New Roman"/>
                <w:spacing w:val="-11"/>
                <w:sz w:val="21"/>
              </w:rPr>
              <w:t> </w:t>
            </w:r>
            <w:r>
              <w:rPr>
                <w:spacing w:val="-27"/>
                <w:sz w:val="21"/>
              </w:rPr>
              <w:t>月 </w:t>
            </w:r>
            <w:r>
              <w:rPr>
                <w:rFonts w:ascii="Times New Roman" w:eastAsia="Times New Roman"/>
                <w:sz w:val="21"/>
              </w:rPr>
              <w:t>15</w:t>
            </w:r>
            <w:r>
              <w:rPr>
                <w:rFonts w:ascii="Times New Roman" w:eastAsia="Times New Roman"/>
                <w:spacing w:val="-10"/>
                <w:sz w:val="21"/>
              </w:rPr>
              <w:t> </w:t>
            </w:r>
            <w:r>
              <w:rPr>
                <w:sz w:val="21"/>
              </w:rPr>
              <w:t>日</w:t>
            </w:r>
          </w:p>
        </w:tc>
        <w:tc>
          <w:tcPr>
            <w:tcW w:w="3342" w:type="dxa"/>
          </w:tcPr>
          <w:p>
            <w:pPr>
              <w:pStyle w:val="TableParagraph"/>
              <w:rPr>
                <w:sz w:val="20"/>
              </w:rPr>
            </w:pPr>
          </w:p>
          <w:p>
            <w:pPr>
              <w:pStyle w:val="TableParagraph"/>
              <w:rPr>
                <w:sz w:val="20"/>
              </w:rPr>
            </w:pPr>
          </w:p>
          <w:p>
            <w:pPr>
              <w:pStyle w:val="TableParagraph"/>
              <w:spacing w:line="242" w:lineRule="auto" w:before="170"/>
              <w:ind w:left="107" w:right="95"/>
              <w:rPr>
                <w:sz w:val="21"/>
              </w:rPr>
            </w:pPr>
            <w:r>
              <w:rPr>
                <w:spacing w:val="10"/>
                <w:sz w:val="21"/>
              </w:rPr>
              <w:t>关于全资子公司受让股权暨关联</w:t>
            </w:r>
            <w:r>
              <w:rPr>
                <w:sz w:val="21"/>
              </w:rPr>
              <w:t>交易的议案</w:t>
            </w:r>
          </w:p>
        </w:tc>
        <w:tc>
          <w:tcPr>
            <w:tcW w:w="5349" w:type="dxa"/>
          </w:tcPr>
          <w:p>
            <w:pPr>
              <w:pStyle w:val="TableParagraph"/>
              <w:rPr>
                <w:sz w:val="20"/>
              </w:rPr>
            </w:pPr>
          </w:p>
          <w:p>
            <w:pPr>
              <w:pStyle w:val="TableParagraph"/>
              <w:spacing w:line="242" w:lineRule="auto" w:before="153"/>
              <w:ind w:left="107" w:right="105"/>
              <w:jc w:val="both"/>
              <w:rPr>
                <w:sz w:val="21"/>
              </w:rPr>
            </w:pPr>
            <w:r>
              <w:rPr>
                <w:sz w:val="21"/>
              </w:rPr>
              <w:t>公司全资子公司受让股权暨关联交易事项的发生符合公司经营需要，遵循了公平、公正、自愿的原则，交易价格公允。</w:t>
            </w:r>
          </w:p>
          <w:p>
            <w:pPr>
              <w:pStyle w:val="TableParagraph"/>
              <w:spacing w:before="1"/>
              <w:ind w:left="107"/>
              <w:rPr>
                <w:sz w:val="21"/>
              </w:rPr>
            </w:pPr>
            <w:r>
              <w:rPr>
                <w:sz w:val="21"/>
              </w:rPr>
              <w:t>审计委员会同意将上述议案提交董事会审议。</w:t>
            </w:r>
          </w:p>
        </w:tc>
        <w:tc>
          <w:tcPr>
            <w:tcW w:w="2048" w:type="dxa"/>
          </w:tcPr>
          <w:p>
            <w:pPr>
              <w:pStyle w:val="TableParagraph"/>
              <w:spacing w:line="242" w:lineRule="auto" w:before="1"/>
              <w:ind w:left="106" w:right="95"/>
              <w:jc w:val="both"/>
              <w:rPr>
                <w:sz w:val="21"/>
              </w:rPr>
            </w:pPr>
            <w:r>
              <w:rPr>
                <w:spacing w:val="16"/>
                <w:sz w:val="21"/>
              </w:rPr>
              <w:t>审计委员会严格按照《公司法》《证</w:t>
            </w:r>
            <w:r>
              <w:rPr>
                <w:spacing w:val="-25"/>
                <w:sz w:val="21"/>
              </w:rPr>
              <w:t>券 法 》 《 公 司 章</w:t>
            </w:r>
            <w:r>
              <w:rPr>
                <w:spacing w:val="16"/>
                <w:sz w:val="21"/>
              </w:rPr>
              <w:t>程》《董事会审计委员会议事规则》等法律法规开展工</w:t>
            </w:r>
          </w:p>
          <w:p>
            <w:pPr>
              <w:pStyle w:val="TableParagraph"/>
              <w:spacing w:line="250" w:lineRule="exact" w:before="4"/>
              <w:ind w:left="106"/>
              <w:rPr>
                <w:sz w:val="21"/>
              </w:rPr>
            </w:pPr>
            <w:r>
              <w:rPr>
                <w:spacing w:val="3"/>
                <w:sz w:val="21"/>
              </w:rPr>
              <w:t>作， 本着独立、客</w:t>
            </w:r>
          </w:p>
        </w:tc>
      </w:tr>
    </w:tbl>
    <w:p>
      <w:pPr>
        <w:spacing w:after="0" w:line="250" w:lineRule="exact"/>
        <w:rPr>
          <w:sz w:val="21"/>
        </w:rPr>
        <w:sectPr>
          <w:pgSz w:w="16840" w:h="11910" w:orient="landscape"/>
          <w:pgMar w:header="877" w:footer="1195" w:top="1180" w:bottom="1380" w:left="1340" w:right="1420"/>
        </w:sectPr>
      </w:pPr>
    </w:p>
    <w:p>
      <w:pPr>
        <w:pStyle w:val="BodyText"/>
        <w:ind w:left="0"/>
        <w:rPr>
          <w:sz w:val="20"/>
        </w:rPr>
      </w:pPr>
    </w:p>
    <w:p>
      <w:pPr>
        <w:pStyle w:val="BodyText"/>
        <w:spacing w:before="2"/>
        <w:ind w:left="0"/>
        <w:rPr>
          <w:sz w:val="2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1"/>
        <w:gridCol w:w="3342"/>
        <w:gridCol w:w="5349"/>
        <w:gridCol w:w="2048"/>
      </w:tblGrid>
      <w:tr>
        <w:trPr>
          <w:trHeight w:val="817" w:hRule="atLeast"/>
        </w:trPr>
        <w:tc>
          <w:tcPr>
            <w:tcW w:w="3111" w:type="dxa"/>
          </w:tcPr>
          <w:p>
            <w:pPr>
              <w:pStyle w:val="TableParagraph"/>
              <w:rPr>
                <w:rFonts w:ascii="Times New Roman"/>
                <w:sz w:val="20"/>
              </w:rPr>
            </w:pPr>
          </w:p>
        </w:tc>
        <w:tc>
          <w:tcPr>
            <w:tcW w:w="3342" w:type="dxa"/>
          </w:tcPr>
          <w:p>
            <w:pPr>
              <w:pStyle w:val="TableParagraph"/>
              <w:rPr>
                <w:rFonts w:ascii="Times New Roman"/>
                <w:sz w:val="20"/>
              </w:rPr>
            </w:pPr>
          </w:p>
        </w:tc>
        <w:tc>
          <w:tcPr>
            <w:tcW w:w="5349" w:type="dxa"/>
          </w:tcPr>
          <w:p>
            <w:pPr>
              <w:pStyle w:val="TableParagraph"/>
              <w:rPr>
                <w:rFonts w:ascii="Times New Roman"/>
                <w:sz w:val="20"/>
              </w:rPr>
            </w:pPr>
          </w:p>
        </w:tc>
        <w:tc>
          <w:tcPr>
            <w:tcW w:w="2048" w:type="dxa"/>
          </w:tcPr>
          <w:p>
            <w:pPr>
              <w:pStyle w:val="TableParagraph"/>
              <w:spacing w:line="242" w:lineRule="auto" w:before="1"/>
              <w:ind w:left="106" w:right="95"/>
              <w:rPr>
                <w:sz w:val="21"/>
              </w:rPr>
            </w:pPr>
            <w:r>
              <w:rPr>
                <w:spacing w:val="16"/>
                <w:sz w:val="21"/>
              </w:rPr>
              <w:t>观、公正的原则，</w:t>
            </w:r>
            <w:r>
              <w:rPr>
                <w:spacing w:val="-102"/>
                <w:sz w:val="21"/>
              </w:rPr>
              <w:t> </w:t>
            </w:r>
            <w:r>
              <w:rPr>
                <w:spacing w:val="2"/>
                <w:sz w:val="21"/>
              </w:rPr>
              <w:t>认真履行职责， 行</w:t>
            </w:r>
          </w:p>
          <w:p>
            <w:pPr>
              <w:pStyle w:val="TableParagraph"/>
              <w:spacing w:line="252" w:lineRule="exact" w:before="1"/>
              <w:ind w:left="106"/>
              <w:rPr>
                <w:sz w:val="21"/>
              </w:rPr>
            </w:pPr>
            <w:r>
              <w:rPr>
                <w:sz w:val="21"/>
              </w:rPr>
              <w:t>使职权。</w:t>
            </w:r>
          </w:p>
        </w:tc>
      </w:tr>
    </w:tbl>
    <w:p>
      <w:pPr>
        <w:pStyle w:val="BodyText"/>
        <w:spacing w:before="1"/>
        <w:ind w:left="100"/>
      </w:pPr>
      <w:r>
        <w:rPr>
          <w:w w:val="100"/>
        </w:rPr>
        <w:t> </w:t>
      </w:r>
    </w:p>
    <w:p>
      <w:pPr>
        <w:pStyle w:val="ListParagraph"/>
        <w:numPr>
          <w:ilvl w:val="0"/>
          <w:numId w:val="10"/>
        </w:numPr>
        <w:tabs>
          <w:tab w:pos="524" w:val="left" w:leader="none"/>
        </w:tabs>
        <w:spacing w:line="240" w:lineRule="auto" w:before="2" w:after="0"/>
        <w:ind w:left="523" w:right="0" w:hanging="424"/>
        <w:jc w:val="left"/>
        <w:rPr>
          <w:sz w:val="21"/>
        </w:rPr>
      </w:pPr>
      <w:r>
        <w:rPr>
          <w:spacing w:val="-5"/>
          <w:sz w:val="21"/>
        </w:rPr>
        <w:t>报告期内提名委员会召开 </w:t>
      </w:r>
      <w:r>
        <w:rPr>
          <w:rFonts w:ascii="Calibri" w:eastAsia="Calibri"/>
          <w:b/>
          <w:sz w:val="21"/>
        </w:rPr>
        <w:t>2</w:t>
      </w:r>
      <w:r>
        <w:rPr>
          <w:rFonts w:ascii="Calibri" w:eastAsia="Calibri"/>
          <w:b/>
          <w:spacing w:val="15"/>
          <w:sz w:val="21"/>
        </w:rPr>
        <w:t> </w:t>
      </w:r>
      <w:r>
        <w:rPr>
          <w:sz w:val="21"/>
        </w:rPr>
        <w:t>次会议</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1"/>
        <w:gridCol w:w="3344"/>
        <w:gridCol w:w="5123"/>
        <w:gridCol w:w="2271"/>
      </w:tblGrid>
      <w:tr>
        <w:trPr>
          <w:trHeight w:val="273" w:hRule="atLeast"/>
        </w:trPr>
        <w:tc>
          <w:tcPr>
            <w:tcW w:w="3111" w:type="dxa"/>
          </w:tcPr>
          <w:p>
            <w:pPr>
              <w:pStyle w:val="TableParagraph"/>
              <w:spacing w:line="250" w:lineRule="exact" w:before="3"/>
              <w:ind w:left="686" w:right="571"/>
              <w:jc w:val="center"/>
              <w:rPr>
                <w:sz w:val="21"/>
              </w:rPr>
            </w:pPr>
            <w:r>
              <w:rPr>
                <w:spacing w:val="-1"/>
                <w:sz w:val="21"/>
              </w:rPr>
              <w:t>召开日期</w:t>
            </w:r>
            <w:r>
              <w:rPr>
                <w:sz w:val="21"/>
              </w:rPr>
              <w:t> </w:t>
            </w:r>
          </w:p>
        </w:tc>
        <w:tc>
          <w:tcPr>
            <w:tcW w:w="3344" w:type="dxa"/>
          </w:tcPr>
          <w:p>
            <w:pPr>
              <w:pStyle w:val="TableParagraph"/>
              <w:spacing w:line="250" w:lineRule="exact" w:before="3"/>
              <w:ind w:left="1284" w:right="1172"/>
              <w:jc w:val="center"/>
              <w:rPr>
                <w:sz w:val="21"/>
              </w:rPr>
            </w:pPr>
            <w:r>
              <w:rPr>
                <w:spacing w:val="-1"/>
                <w:sz w:val="21"/>
              </w:rPr>
              <w:t>会议内容</w:t>
            </w:r>
            <w:r>
              <w:rPr>
                <w:sz w:val="21"/>
              </w:rPr>
              <w:t> </w:t>
            </w:r>
          </w:p>
        </w:tc>
        <w:tc>
          <w:tcPr>
            <w:tcW w:w="5123" w:type="dxa"/>
          </w:tcPr>
          <w:p>
            <w:pPr>
              <w:pStyle w:val="TableParagraph"/>
              <w:spacing w:line="250" w:lineRule="exact" w:before="3"/>
              <w:ind w:left="1860" w:right="1749"/>
              <w:jc w:val="center"/>
              <w:rPr>
                <w:sz w:val="21"/>
              </w:rPr>
            </w:pPr>
            <w:r>
              <w:rPr>
                <w:spacing w:val="-1"/>
                <w:sz w:val="21"/>
              </w:rPr>
              <w:t>重要意见和建议</w:t>
            </w:r>
            <w:r>
              <w:rPr>
                <w:sz w:val="21"/>
              </w:rPr>
              <w:t> </w:t>
            </w:r>
          </w:p>
        </w:tc>
        <w:tc>
          <w:tcPr>
            <w:tcW w:w="2271" w:type="dxa"/>
          </w:tcPr>
          <w:p>
            <w:pPr>
              <w:pStyle w:val="TableParagraph"/>
              <w:spacing w:line="250" w:lineRule="exact" w:before="3"/>
              <w:ind w:left="294"/>
              <w:rPr>
                <w:sz w:val="21"/>
              </w:rPr>
            </w:pPr>
            <w:r>
              <w:rPr>
                <w:spacing w:val="-1"/>
                <w:sz w:val="21"/>
              </w:rPr>
              <w:t>其他履行职责情况</w:t>
            </w:r>
            <w:r>
              <w:rPr>
                <w:sz w:val="21"/>
              </w:rPr>
              <w:t> </w:t>
            </w:r>
          </w:p>
        </w:tc>
      </w:tr>
      <w:tr>
        <w:trPr>
          <w:trHeight w:val="2453" w:hRule="atLeast"/>
        </w:trPr>
        <w:tc>
          <w:tcPr>
            <w:tcW w:w="3111" w:type="dxa"/>
          </w:tcPr>
          <w:p>
            <w:pPr>
              <w:pStyle w:val="TableParagraph"/>
              <w:rPr>
                <w:sz w:val="22"/>
              </w:rPr>
            </w:pPr>
          </w:p>
          <w:p>
            <w:pPr>
              <w:pStyle w:val="TableParagraph"/>
              <w:rPr>
                <w:sz w:val="22"/>
              </w:rPr>
            </w:pPr>
          </w:p>
          <w:p>
            <w:pPr>
              <w:pStyle w:val="TableParagraph"/>
              <w:rPr>
                <w:sz w:val="22"/>
              </w:rPr>
            </w:pPr>
          </w:p>
          <w:p>
            <w:pPr>
              <w:pStyle w:val="TableParagraph"/>
              <w:spacing w:before="2"/>
              <w:rPr>
                <w:sz w:val="19"/>
              </w:rPr>
            </w:pPr>
          </w:p>
          <w:p>
            <w:pPr>
              <w:pStyle w:val="TableParagraph"/>
              <w:ind w:left="686" w:right="677"/>
              <w:jc w:val="center"/>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6</w:t>
            </w:r>
            <w:r>
              <w:rPr>
                <w:rFonts w:ascii="Times New Roman" w:eastAsia="Times New Roman"/>
                <w:spacing w:val="-9"/>
                <w:sz w:val="21"/>
              </w:rPr>
              <w:t> </w:t>
            </w:r>
            <w:r>
              <w:rPr>
                <w:spacing w:val="-27"/>
                <w:sz w:val="21"/>
              </w:rPr>
              <w:t>月 </w:t>
            </w:r>
            <w:r>
              <w:rPr>
                <w:rFonts w:ascii="Times New Roman" w:eastAsia="Times New Roman"/>
                <w:sz w:val="21"/>
              </w:rPr>
              <w:t>8</w:t>
            </w:r>
            <w:r>
              <w:rPr>
                <w:rFonts w:ascii="Times New Roman" w:eastAsia="Times New Roman"/>
                <w:spacing w:val="-11"/>
                <w:sz w:val="21"/>
              </w:rPr>
              <w:t> </w:t>
            </w:r>
            <w:r>
              <w:rPr>
                <w:sz w:val="21"/>
              </w:rPr>
              <w:t>日</w:t>
            </w:r>
          </w:p>
        </w:tc>
        <w:tc>
          <w:tcPr>
            <w:tcW w:w="3344" w:type="dxa"/>
          </w:tcPr>
          <w:p>
            <w:pPr>
              <w:pStyle w:val="TableParagraph"/>
              <w:rPr>
                <w:sz w:val="20"/>
              </w:rPr>
            </w:pPr>
          </w:p>
          <w:p>
            <w:pPr>
              <w:pStyle w:val="TableParagraph"/>
              <w:rPr>
                <w:sz w:val="20"/>
              </w:rPr>
            </w:pPr>
          </w:p>
          <w:p>
            <w:pPr>
              <w:pStyle w:val="TableParagraph"/>
              <w:rPr>
                <w:sz w:val="24"/>
              </w:rPr>
            </w:pPr>
          </w:p>
          <w:p>
            <w:pPr>
              <w:pStyle w:val="TableParagraph"/>
              <w:spacing w:line="242" w:lineRule="auto"/>
              <w:ind w:left="107" w:right="97"/>
              <w:jc w:val="both"/>
              <w:rPr>
                <w:sz w:val="21"/>
              </w:rPr>
            </w:pPr>
            <w:r>
              <w:rPr>
                <w:spacing w:val="10"/>
                <w:sz w:val="21"/>
              </w:rPr>
              <w:t>关于提名刘俊杰先生为富士康工业互联网股份有限公司董事候选</w:t>
            </w:r>
            <w:r>
              <w:rPr>
                <w:sz w:val="21"/>
              </w:rPr>
              <w:t>人的议案</w:t>
            </w:r>
          </w:p>
        </w:tc>
        <w:tc>
          <w:tcPr>
            <w:tcW w:w="5123" w:type="dxa"/>
          </w:tcPr>
          <w:p>
            <w:pPr>
              <w:pStyle w:val="TableParagraph"/>
              <w:rPr>
                <w:sz w:val="20"/>
              </w:rPr>
            </w:pPr>
          </w:p>
          <w:p>
            <w:pPr>
              <w:pStyle w:val="TableParagraph"/>
              <w:rPr>
                <w:sz w:val="20"/>
              </w:rPr>
            </w:pPr>
          </w:p>
          <w:p>
            <w:pPr>
              <w:pStyle w:val="TableParagraph"/>
              <w:spacing w:line="242" w:lineRule="auto" w:before="170"/>
              <w:ind w:left="107" w:right="97"/>
              <w:jc w:val="both"/>
              <w:rPr>
                <w:sz w:val="21"/>
              </w:rPr>
            </w:pPr>
            <w:r>
              <w:rPr>
                <w:sz w:val="21"/>
              </w:rPr>
              <w:t>公司聘任董事符合相关法律、法规及规范性文件所规定的任职资格，不存在根据法律、法规及规范性文件规定不得担任上市公司董事的情形。提名委员会同意将上述议案提交董事会审议。</w:t>
            </w:r>
          </w:p>
        </w:tc>
        <w:tc>
          <w:tcPr>
            <w:tcW w:w="2271" w:type="dxa"/>
          </w:tcPr>
          <w:p>
            <w:pPr>
              <w:pStyle w:val="TableParagraph"/>
              <w:spacing w:before="1"/>
              <w:ind w:left="107"/>
              <w:rPr>
                <w:sz w:val="21"/>
              </w:rPr>
            </w:pPr>
            <w:r>
              <w:rPr>
                <w:spacing w:val="16"/>
                <w:sz w:val="21"/>
              </w:rPr>
              <w:t>提名委员会严格按照</w:t>
            </w:r>
          </w:p>
          <w:p>
            <w:pPr>
              <w:pStyle w:val="TableParagraph"/>
              <w:spacing w:line="242" w:lineRule="auto" w:before="5"/>
              <w:ind w:left="107" w:right="96"/>
              <w:jc w:val="both"/>
              <w:rPr>
                <w:sz w:val="21"/>
              </w:rPr>
            </w:pPr>
            <w:r>
              <w:rPr>
                <w:spacing w:val="-23"/>
                <w:sz w:val="21"/>
              </w:rPr>
              <w:t>《 公 司 法 》 《 证券法 》 《 公 司 章 程》</w:t>
            </w:r>
          </w:p>
          <w:p>
            <w:pPr>
              <w:pStyle w:val="TableParagraph"/>
              <w:spacing w:line="242" w:lineRule="auto" w:before="1"/>
              <w:ind w:left="107" w:right="96"/>
              <w:jc w:val="both"/>
              <w:rPr>
                <w:sz w:val="21"/>
              </w:rPr>
            </w:pPr>
            <w:r>
              <w:rPr>
                <w:spacing w:val="16"/>
                <w:sz w:val="21"/>
              </w:rPr>
              <w:t>《董事会提名委员会议事规则》等法律法</w:t>
            </w:r>
            <w:r>
              <w:rPr>
                <w:spacing w:val="2"/>
                <w:sz w:val="21"/>
              </w:rPr>
              <w:t>规开展工作， 本着独</w:t>
            </w:r>
            <w:r>
              <w:rPr>
                <w:spacing w:val="16"/>
                <w:sz w:val="21"/>
              </w:rPr>
              <w:t>立、客观、公正的原</w:t>
            </w:r>
            <w:r>
              <w:rPr>
                <w:spacing w:val="2"/>
                <w:sz w:val="21"/>
              </w:rPr>
              <w:t>则， 认真履行职责，</w:t>
            </w:r>
          </w:p>
          <w:p>
            <w:pPr>
              <w:pStyle w:val="TableParagraph"/>
              <w:spacing w:line="252" w:lineRule="exact" w:before="2"/>
              <w:ind w:left="107"/>
              <w:rPr>
                <w:sz w:val="21"/>
              </w:rPr>
            </w:pPr>
            <w:r>
              <w:rPr>
                <w:sz w:val="21"/>
              </w:rPr>
              <w:t>行使职权。</w:t>
            </w:r>
          </w:p>
        </w:tc>
      </w:tr>
      <w:tr>
        <w:trPr>
          <w:trHeight w:val="2450" w:hRule="atLeast"/>
        </w:trPr>
        <w:tc>
          <w:tcPr>
            <w:tcW w:w="3111" w:type="dxa"/>
          </w:tcPr>
          <w:p>
            <w:pPr>
              <w:pStyle w:val="TableParagraph"/>
              <w:rPr>
                <w:sz w:val="22"/>
              </w:rPr>
            </w:pPr>
          </w:p>
          <w:p>
            <w:pPr>
              <w:pStyle w:val="TableParagraph"/>
              <w:rPr>
                <w:sz w:val="22"/>
              </w:rPr>
            </w:pPr>
          </w:p>
          <w:p>
            <w:pPr>
              <w:pStyle w:val="TableParagraph"/>
              <w:rPr>
                <w:sz w:val="22"/>
              </w:rPr>
            </w:pPr>
          </w:p>
          <w:p>
            <w:pPr>
              <w:pStyle w:val="TableParagraph"/>
              <w:spacing w:before="1"/>
              <w:rPr>
                <w:sz w:val="19"/>
              </w:rPr>
            </w:pPr>
          </w:p>
          <w:p>
            <w:pPr>
              <w:pStyle w:val="TableParagraph"/>
              <w:spacing w:before="1"/>
              <w:ind w:left="686" w:right="677"/>
              <w:jc w:val="center"/>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8</w:t>
            </w:r>
            <w:r>
              <w:rPr>
                <w:rFonts w:ascii="Times New Roman" w:eastAsia="Times New Roman"/>
                <w:spacing w:val="-9"/>
                <w:sz w:val="21"/>
              </w:rPr>
              <w:t> </w:t>
            </w:r>
            <w:r>
              <w:rPr>
                <w:spacing w:val="-27"/>
                <w:sz w:val="21"/>
              </w:rPr>
              <w:t>月 </w:t>
            </w:r>
            <w:r>
              <w:rPr>
                <w:rFonts w:ascii="Times New Roman" w:eastAsia="Times New Roman"/>
                <w:sz w:val="21"/>
              </w:rPr>
              <w:t>9</w:t>
            </w:r>
            <w:r>
              <w:rPr>
                <w:rFonts w:ascii="Times New Roman" w:eastAsia="Times New Roman"/>
                <w:spacing w:val="-11"/>
                <w:sz w:val="21"/>
              </w:rPr>
              <w:t> </w:t>
            </w:r>
            <w:r>
              <w:rPr>
                <w:sz w:val="21"/>
              </w:rPr>
              <w:t>日</w:t>
            </w:r>
          </w:p>
        </w:tc>
        <w:tc>
          <w:tcPr>
            <w:tcW w:w="3344" w:type="dxa"/>
          </w:tcPr>
          <w:p>
            <w:pPr>
              <w:pStyle w:val="TableParagraph"/>
              <w:rPr>
                <w:sz w:val="20"/>
              </w:rPr>
            </w:pPr>
          </w:p>
          <w:p>
            <w:pPr>
              <w:pStyle w:val="TableParagraph"/>
              <w:rPr>
                <w:sz w:val="20"/>
              </w:rPr>
            </w:pPr>
          </w:p>
          <w:p>
            <w:pPr>
              <w:pStyle w:val="TableParagraph"/>
              <w:spacing w:before="10"/>
              <w:rPr>
                <w:sz w:val="23"/>
              </w:rPr>
            </w:pPr>
          </w:p>
          <w:p>
            <w:pPr>
              <w:pStyle w:val="TableParagraph"/>
              <w:spacing w:line="242" w:lineRule="auto"/>
              <w:ind w:left="107" w:right="97"/>
              <w:jc w:val="both"/>
              <w:rPr>
                <w:sz w:val="21"/>
              </w:rPr>
            </w:pPr>
            <w:r>
              <w:rPr>
                <w:spacing w:val="10"/>
                <w:sz w:val="21"/>
              </w:rPr>
              <w:t>关于补选富士康工业互联网股份有限公司董事会战略决策委员会</w:t>
            </w:r>
            <w:r>
              <w:rPr>
                <w:sz w:val="21"/>
              </w:rPr>
              <w:t>委员的议案</w:t>
            </w:r>
          </w:p>
        </w:tc>
        <w:tc>
          <w:tcPr>
            <w:tcW w:w="5123" w:type="dxa"/>
          </w:tcPr>
          <w:p>
            <w:pPr>
              <w:pStyle w:val="TableParagraph"/>
              <w:rPr>
                <w:sz w:val="20"/>
              </w:rPr>
            </w:pPr>
          </w:p>
          <w:p>
            <w:pPr>
              <w:pStyle w:val="TableParagraph"/>
              <w:spacing w:before="9"/>
              <w:rPr>
                <w:sz w:val="23"/>
              </w:rPr>
            </w:pPr>
          </w:p>
          <w:p>
            <w:pPr>
              <w:pStyle w:val="TableParagraph"/>
              <w:spacing w:line="242" w:lineRule="auto"/>
              <w:ind w:left="107" w:right="97"/>
              <w:jc w:val="both"/>
              <w:rPr>
                <w:sz w:val="21"/>
              </w:rPr>
            </w:pPr>
            <w:r>
              <w:rPr>
                <w:sz w:val="21"/>
              </w:rPr>
              <w:t>公司根据相关法律、法规及规范性文件的规定，完成对公司董事会提名委员会成员的补选工作，使其持续高效运作。提名委员会同意将上述议案提交董事会审议。</w:t>
            </w:r>
          </w:p>
        </w:tc>
        <w:tc>
          <w:tcPr>
            <w:tcW w:w="2271" w:type="dxa"/>
          </w:tcPr>
          <w:p>
            <w:pPr>
              <w:pStyle w:val="TableParagraph"/>
              <w:spacing w:before="1"/>
              <w:ind w:left="107"/>
              <w:rPr>
                <w:sz w:val="21"/>
              </w:rPr>
            </w:pPr>
            <w:r>
              <w:rPr>
                <w:spacing w:val="16"/>
                <w:sz w:val="21"/>
              </w:rPr>
              <w:t>提名委员会严格按照</w:t>
            </w:r>
          </w:p>
          <w:p>
            <w:pPr>
              <w:pStyle w:val="TableParagraph"/>
              <w:spacing w:line="244" w:lineRule="auto" w:before="2"/>
              <w:ind w:left="107" w:right="96"/>
              <w:jc w:val="both"/>
              <w:rPr>
                <w:sz w:val="21"/>
              </w:rPr>
            </w:pPr>
            <w:r>
              <w:rPr>
                <w:spacing w:val="-23"/>
                <w:sz w:val="21"/>
              </w:rPr>
              <w:t>《 公 司 法 》 《 证券法 》 《 公 司 章 程》</w:t>
            </w:r>
          </w:p>
          <w:p>
            <w:pPr>
              <w:pStyle w:val="TableParagraph"/>
              <w:spacing w:line="242" w:lineRule="auto"/>
              <w:ind w:left="107" w:right="96"/>
              <w:jc w:val="both"/>
              <w:rPr>
                <w:sz w:val="21"/>
              </w:rPr>
            </w:pPr>
            <w:r>
              <w:rPr>
                <w:spacing w:val="16"/>
                <w:sz w:val="21"/>
              </w:rPr>
              <w:t>《董事会提名委员会议事规则》等法律法</w:t>
            </w:r>
            <w:r>
              <w:rPr>
                <w:spacing w:val="2"/>
                <w:sz w:val="21"/>
              </w:rPr>
              <w:t>规开展工作， 本着独</w:t>
            </w:r>
            <w:r>
              <w:rPr>
                <w:spacing w:val="16"/>
                <w:sz w:val="21"/>
              </w:rPr>
              <w:t>立、客观、公正的原</w:t>
            </w:r>
            <w:r>
              <w:rPr>
                <w:spacing w:val="2"/>
                <w:sz w:val="21"/>
              </w:rPr>
              <w:t>则， 认真履行职责，</w:t>
            </w:r>
          </w:p>
          <w:p>
            <w:pPr>
              <w:pStyle w:val="TableParagraph"/>
              <w:spacing w:line="250" w:lineRule="exact" w:before="1"/>
              <w:ind w:left="107"/>
              <w:rPr>
                <w:sz w:val="21"/>
              </w:rPr>
            </w:pPr>
            <w:r>
              <w:rPr>
                <w:sz w:val="21"/>
              </w:rPr>
              <w:t>行使职权。</w:t>
            </w:r>
          </w:p>
        </w:tc>
      </w:tr>
    </w:tbl>
    <w:p>
      <w:pPr>
        <w:pStyle w:val="BodyText"/>
        <w:spacing w:before="1"/>
        <w:ind w:left="100"/>
      </w:pPr>
      <w:r>
        <w:rPr>
          <w:w w:val="100"/>
        </w:rPr>
        <w:t> </w:t>
      </w:r>
    </w:p>
    <w:p>
      <w:pPr>
        <w:pStyle w:val="BodyText"/>
        <w:spacing w:before="5"/>
        <w:ind w:left="100"/>
      </w:pPr>
      <w:r>
        <w:rPr>
          <w:w w:val="100"/>
        </w:rPr>
        <w:t> </w:t>
      </w:r>
    </w:p>
    <w:p>
      <w:pPr>
        <w:pStyle w:val="ListParagraph"/>
        <w:numPr>
          <w:ilvl w:val="0"/>
          <w:numId w:val="10"/>
        </w:numPr>
        <w:tabs>
          <w:tab w:pos="524" w:val="left" w:leader="none"/>
        </w:tabs>
        <w:spacing w:line="240" w:lineRule="auto" w:before="2" w:after="4"/>
        <w:ind w:left="523" w:right="0" w:hanging="424"/>
        <w:jc w:val="left"/>
        <w:rPr>
          <w:sz w:val="21"/>
        </w:rPr>
      </w:pPr>
      <w:r>
        <w:rPr>
          <w:spacing w:val="-4"/>
          <w:sz w:val="21"/>
        </w:rPr>
        <w:t>报告期内薪酬与考核委员会召开 </w:t>
      </w:r>
      <w:r>
        <w:rPr>
          <w:rFonts w:ascii="Calibri" w:eastAsia="Calibri"/>
          <w:b/>
          <w:sz w:val="21"/>
        </w:rPr>
        <w:t>5</w:t>
      </w:r>
      <w:r>
        <w:rPr>
          <w:rFonts w:ascii="Calibri" w:eastAsia="Calibri"/>
          <w:b/>
          <w:spacing w:val="13"/>
          <w:sz w:val="21"/>
        </w:rPr>
        <w:t> </w:t>
      </w:r>
      <w:r>
        <w:rPr>
          <w:sz w:val="21"/>
        </w:rPr>
        <w:t>次会议</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1"/>
        <w:gridCol w:w="3567"/>
        <w:gridCol w:w="4899"/>
        <w:gridCol w:w="2270"/>
      </w:tblGrid>
      <w:tr>
        <w:trPr>
          <w:trHeight w:val="270" w:hRule="atLeast"/>
        </w:trPr>
        <w:tc>
          <w:tcPr>
            <w:tcW w:w="3111" w:type="dxa"/>
          </w:tcPr>
          <w:p>
            <w:pPr>
              <w:pStyle w:val="TableParagraph"/>
              <w:spacing w:line="250" w:lineRule="exact" w:before="1"/>
              <w:ind w:left="686" w:right="571"/>
              <w:jc w:val="center"/>
              <w:rPr>
                <w:sz w:val="21"/>
              </w:rPr>
            </w:pPr>
            <w:r>
              <w:rPr>
                <w:spacing w:val="-1"/>
                <w:sz w:val="21"/>
              </w:rPr>
              <w:t>召开日期</w:t>
            </w:r>
            <w:r>
              <w:rPr>
                <w:sz w:val="21"/>
              </w:rPr>
              <w:t> </w:t>
            </w:r>
          </w:p>
        </w:tc>
        <w:tc>
          <w:tcPr>
            <w:tcW w:w="3567" w:type="dxa"/>
          </w:tcPr>
          <w:p>
            <w:pPr>
              <w:pStyle w:val="TableParagraph"/>
              <w:spacing w:line="250" w:lineRule="exact" w:before="1"/>
              <w:ind w:left="1395" w:right="1285"/>
              <w:jc w:val="center"/>
              <w:rPr>
                <w:sz w:val="21"/>
              </w:rPr>
            </w:pPr>
            <w:r>
              <w:rPr>
                <w:spacing w:val="-1"/>
                <w:sz w:val="21"/>
              </w:rPr>
              <w:t>会议内容</w:t>
            </w:r>
            <w:r>
              <w:rPr>
                <w:sz w:val="21"/>
              </w:rPr>
              <w:t> </w:t>
            </w:r>
          </w:p>
        </w:tc>
        <w:tc>
          <w:tcPr>
            <w:tcW w:w="4899" w:type="dxa"/>
          </w:tcPr>
          <w:p>
            <w:pPr>
              <w:pStyle w:val="TableParagraph"/>
              <w:spacing w:line="250" w:lineRule="exact" w:before="1"/>
              <w:ind w:left="1713"/>
              <w:rPr>
                <w:sz w:val="21"/>
              </w:rPr>
            </w:pPr>
            <w:r>
              <w:rPr>
                <w:spacing w:val="-1"/>
                <w:sz w:val="21"/>
              </w:rPr>
              <w:t>重要意见和建议</w:t>
            </w:r>
            <w:r>
              <w:rPr>
                <w:sz w:val="21"/>
              </w:rPr>
              <w:t> </w:t>
            </w:r>
          </w:p>
        </w:tc>
        <w:tc>
          <w:tcPr>
            <w:tcW w:w="2270" w:type="dxa"/>
          </w:tcPr>
          <w:p>
            <w:pPr>
              <w:pStyle w:val="TableParagraph"/>
              <w:spacing w:line="250" w:lineRule="exact" w:before="1"/>
              <w:ind w:left="295"/>
              <w:rPr>
                <w:sz w:val="21"/>
              </w:rPr>
            </w:pPr>
            <w:r>
              <w:rPr>
                <w:spacing w:val="-1"/>
                <w:sz w:val="21"/>
              </w:rPr>
              <w:t>其他履行职责情况</w:t>
            </w:r>
            <w:r>
              <w:rPr>
                <w:sz w:val="21"/>
              </w:rPr>
              <w:t> </w:t>
            </w:r>
          </w:p>
        </w:tc>
      </w:tr>
      <w:tr>
        <w:trPr>
          <w:trHeight w:val="817" w:hRule="atLeast"/>
        </w:trPr>
        <w:tc>
          <w:tcPr>
            <w:tcW w:w="3111" w:type="dxa"/>
          </w:tcPr>
          <w:p>
            <w:pPr>
              <w:pStyle w:val="TableParagraph"/>
              <w:spacing w:before="154"/>
              <w:ind w:left="686" w:right="677"/>
              <w:jc w:val="center"/>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4</w:t>
            </w:r>
            <w:r>
              <w:rPr>
                <w:rFonts w:ascii="Times New Roman" w:eastAsia="Times New Roman"/>
                <w:spacing w:val="-9"/>
                <w:sz w:val="21"/>
              </w:rPr>
              <w:t> </w:t>
            </w:r>
            <w:r>
              <w:rPr>
                <w:spacing w:val="-27"/>
                <w:sz w:val="21"/>
              </w:rPr>
              <w:t>月 </w:t>
            </w:r>
            <w:r>
              <w:rPr>
                <w:rFonts w:ascii="Times New Roman" w:eastAsia="Times New Roman"/>
                <w:sz w:val="21"/>
              </w:rPr>
              <w:t>30</w:t>
            </w:r>
            <w:r>
              <w:rPr>
                <w:rFonts w:ascii="Times New Roman" w:eastAsia="Times New Roman"/>
                <w:spacing w:val="-11"/>
                <w:sz w:val="21"/>
              </w:rPr>
              <w:t> </w:t>
            </w:r>
            <w:r>
              <w:rPr>
                <w:sz w:val="21"/>
              </w:rPr>
              <w:t>日</w:t>
            </w:r>
          </w:p>
        </w:tc>
        <w:tc>
          <w:tcPr>
            <w:tcW w:w="3567" w:type="dxa"/>
          </w:tcPr>
          <w:p>
            <w:pPr>
              <w:pStyle w:val="TableParagraph"/>
              <w:spacing w:before="1"/>
              <w:ind w:left="107"/>
              <w:rPr>
                <w:sz w:val="21"/>
              </w:rPr>
            </w:pPr>
            <w:r>
              <w:rPr>
                <w:rFonts w:ascii="Times New Roman" w:eastAsia="Times New Roman"/>
                <w:sz w:val="21"/>
              </w:rPr>
              <w:t>1.</w:t>
            </w:r>
            <w:r>
              <w:rPr>
                <w:spacing w:val="7"/>
                <w:sz w:val="21"/>
              </w:rPr>
              <w:t>关于 </w:t>
            </w:r>
            <w:r>
              <w:rPr>
                <w:rFonts w:ascii="Times New Roman" w:eastAsia="Times New Roman"/>
                <w:sz w:val="21"/>
              </w:rPr>
              <w:t>2019</w:t>
            </w:r>
            <w:r>
              <w:rPr>
                <w:rFonts w:ascii="Times New Roman" w:eastAsia="Times New Roman"/>
                <w:spacing w:val="63"/>
                <w:sz w:val="21"/>
              </w:rPr>
              <w:t> </w:t>
            </w:r>
            <w:r>
              <w:rPr>
                <w:sz w:val="21"/>
              </w:rPr>
              <w:t>年股票期权与限制性股</w:t>
            </w:r>
          </w:p>
          <w:p>
            <w:pPr>
              <w:pStyle w:val="TableParagraph"/>
              <w:spacing w:line="270" w:lineRule="atLeast"/>
              <w:ind w:left="107" w:right="99"/>
              <w:rPr>
                <w:sz w:val="21"/>
              </w:rPr>
            </w:pPr>
            <w:r>
              <w:rPr>
                <w:spacing w:val="10"/>
                <w:sz w:val="21"/>
              </w:rPr>
              <w:t>票激励计划首次授予股票期权第三个行权期行权条件、首次授予限制</w:t>
            </w:r>
          </w:p>
        </w:tc>
        <w:tc>
          <w:tcPr>
            <w:tcW w:w="4899" w:type="dxa"/>
          </w:tcPr>
          <w:p>
            <w:pPr>
              <w:pStyle w:val="TableParagraph"/>
              <w:spacing w:before="1"/>
              <w:ind w:left="107"/>
              <w:rPr>
                <w:sz w:val="21"/>
              </w:rPr>
            </w:pPr>
            <w:r>
              <w:rPr>
                <w:rFonts w:ascii="Times New Roman" w:eastAsia="Times New Roman"/>
                <w:sz w:val="21"/>
              </w:rPr>
              <w:t>1.</w:t>
            </w:r>
            <w:r>
              <w:rPr>
                <w:spacing w:val="-14"/>
                <w:sz w:val="21"/>
              </w:rPr>
              <w:t>公司 </w:t>
            </w:r>
            <w:r>
              <w:rPr>
                <w:rFonts w:ascii="Times New Roman" w:eastAsia="Times New Roman"/>
                <w:sz w:val="21"/>
              </w:rPr>
              <w:t>2019</w:t>
            </w:r>
            <w:r>
              <w:rPr>
                <w:rFonts w:ascii="Times New Roman" w:eastAsia="Times New Roman"/>
                <w:spacing w:val="-4"/>
                <w:sz w:val="21"/>
              </w:rPr>
              <w:t> </w:t>
            </w:r>
            <w:r>
              <w:rPr>
                <w:sz w:val="21"/>
              </w:rPr>
              <w:t>年股权激励计划首次授予股票期权第三</w:t>
            </w:r>
          </w:p>
          <w:p>
            <w:pPr>
              <w:pStyle w:val="TableParagraph"/>
              <w:spacing w:line="270" w:lineRule="atLeast"/>
              <w:ind w:left="107" w:right="93"/>
              <w:rPr>
                <w:sz w:val="21"/>
              </w:rPr>
            </w:pPr>
            <w:r>
              <w:rPr>
                <w:sz w:val="21"/>
              </w:rPr>
              <w:t>个行权期行权条件和首次授予限制性股票第三个解除限售期解除限售条件已经成就，同意符合条件的</w:t>
            </w:r>
          </w:p>
        </w:tc>
        <w:tc>
          <w:tcPr>
            <w:tcW w:w="2270" w:type="dxa"/>
          </w:tcPr>
          <w:p>
            <w:pPr>
              <w:pStyle w:val="TableParagraph"/>
              <w:spacing w:line="244" w:lineRule="auto" w:before="1"/>
              <w:ind w:left="108" w:right="94"/>
              <w:rPr>
                <w:sz w:val="21"/>
              </w:rPr>
            </w:pPr>
            <w:r>
              <w:rPr>
                <w:spacing w:val="16"/>
                <w:sz w:val="21"/>
              </w:rPr>
              <w:t>薪酬与考核委员会严</w:t>
            </w:r>
            <w:r>
              <w:rPr>
                <w:spacing w:val="-23"/>
                <w:sz w:val="21"/>
              </w:rPr>
              <w:t>格 按 照 《 公 司 法》</w:t>
            </w:r>
          </w:p>
          <w:p>
            <w:pPr>
              <w:pStyle w:val="TableParagraph"/>
              <w:spacing w:line="248" w:lineRule="exact"/>
              <w:ind w:left="108"/>
              <w:rPr>
                <w:sz w:val="21"/>
              </w:rPr>
            </w:pPr>
            <w:r>
              <w:rPr>
                <w:spacing w:val="16"/>
                <w:sz w:val="21"/>
              </w:rPr>
              <w:t>《证券法》《公司章</w:t>
            </w:r>
          </w:p>
        </w:tc>
      </w:tr>
    </w:tbl>
    <w:p>
      <w:pPr>
        <w:spacing w:after="0" w:line="248" w:lineRule="exact"/>
        <w:rPr>
          <w:sz w:val="21"/>
        </w:rPr>
        <w:sectPr>
          <w:pgSz w:w="16840" w:h="11910" w:orient="landscape"/>
          <w:pgMar w:header="877" w:footer="1195" w:top="1180" w:bottom="1380" w:left="1340" w:right="1420"/>
        </w:sectPr>
      </w:pPr>
    </w:p>
    <w:p>
      <w:pPr>
        <w:pStyle w:val="BodyText"/>
        <w:ind w:left="0"/>
        <w:rPr>
          <w:sz w:val="20"/>
        </w:rPr>
      </w:pPr>
    </w:p>
    <w:p>
      <w:pPr>
        <w:pStyle w:val="BodyText"/>
        <w:spacing w:before="2"/>
        <w:ind w:left="0"/>
        <w:rPr>
          <w:sz w:val="2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1"/>
        <w:gridCol w:w="3567"/>
        <w:gridCol w:w="4899"/>
        <w:gridCol w:w="2270"/>
      </w:tblGrid>
      <w:tr>
        <w:trPr>
          <w:trHeight w:val="2724" w:hRule="atLeast"/>
        </w:trPr>
        <w:tc>
          <w:tcPr>
            <w:tcW w:w="3111" w:type="dxa"/>
          </w:tcPr>
          <w:p>
            <w:pPr>
              <w:pStyle w:val="TableParagraph"/>
              <w:rPr>
                <w:rFonts w:ascii="Times New Roman"/>
                <w:sz w:val="20"/>
              </w:rPr>
            </w:pPr>
          </w:p>
        </w:tc>
        <w:tc>
          <w:tcPr>
            <w:tcW w:w="3567" w:type="dxa"/>
          </w:tcPr>
          <w:p>
            <w:pPr>
              <w:pStyle w:val="TableParagraph"/>
              <w:spacing w:line="242" w:lineRule="auto" w:before="1"/>
              <w:ind w:left="107" w:right="99"/>
              <w:rPr>
                <w:sz w:val="21"/>
              </w:rPr>
            </w:pPr>
            <w:r>
              <w:rPr>
                <w:spacing w:val="10"/>
                <w:sz w:val="21"/>
              </w:rPr>
              <w:t>性股票第三个解除限售期解除限售</w:t>
            </w:r>
            <w:r>
              <w:rPr>
                <w:sz w:val="21"/>
              </w:rPr>
              <w:t>条件成就的议案</w:t>
            </w:r>
          </w:p>
          <w:p>
            <w:pPr>
              <w:pStyle w:val="TableParagraph"/>
              <w:spacing w:line="242" w:lineRule="auto" w:before="1"/>
              <w:ind w:left="107" w:right="95"/>
              <w:jc w:val="both"/>
              <w:rPr>
                <w:sz w:val="21"/>
              </w:rPr>
            </w:pPr>
            <w:r>
              <w:rPr>
                <w:rFonts w:ascii="Times New Roman" w:eastAsia="Times New Roman"/>
                <w:sz w:val="21"/>
              </w:rPr>
              <w:t>2.</w:t>
            </w:r>
            <w:r>
              <w:rPr>
                <w:spacing w:val="4"/>
                <w:sz w:val="21"/>
              </w:rPr>
              <w:t>关于公司 </w:t>
            </w:r>
            <w:r>
              <w:rPr>
                <w:rFonts w:ascii="Times New Roman" w:eastAsia="Times New Roman"/>
                <w:sz w:val="21"/>
              </w:rPr>
              <w:t>2019</w:t>
            </w:r>
            <w:r>
              <w:rPr>
                <w:rFonts w:ascii="Times New Roman" w:eastAsia="Times New Roman"/>
                <w:spacing w:val="8"/>
                <w:sz w:val="21"/>
              </w:rPr>
              <w:t> </w:t>
            </w:r>
            <w:r>
              <w:rPr>
                <w:sz w:val="21"/>
              </w:rPr>
              <w:t>年股票期权与限制</w:t>
            </w:r>
            <w:r>
              <w:rPr>
                <w:spacing w:val="10"/>
                <w:sz w:val="21"/>
              </w:rPr>
              <w:t>性股票激励计划注销部分股票期权</w:t>
            </w:r>
            <w:r>
              <w:rPr>
                <w:sz w:val="21"/>
              </w:rPr>
              <w:t>和回购注销部分限制性股票的议案</w:t>
            </w:r>
          </w:p>
        </w:tc>
        <w:tc>
          <w:tcPr>
            <w:tcW w:w="4899" w:type="dxa"/>
          </w:tcPr>
          <w:p>
            <w:pPr>
              <w:pStyle w:val="TableParagraph"/>
              <w:spacing w:before="1"/>
              <w:ind w:left="107"/>
              <w:rPr>
                <w:sz w:val="21"/>
              </w:rPr>
            </w:pPr>
            <w:r>
              <w:rPr>
                <w:spacing w:val="-1"/>
                <w:sz w:val="21"/>
              </w:rPr>
              <w:t>激励对象股票期权行权及限制性股票解除限售。</w:t>
            </w:r>
          </w:p>
          <w:p>
            <w:pPr>
              <w:pStyle w:val="TableParagraph"/>
              <w:spacing w:line="242" w:lineRule="auto" w:before="2"/>
              <w:ind w:left="107" w:right="96"/>
              <w:jc w:val="both"/>
              <w:rPr>
                <w:sz w:val="21"/>
              </w:rPr>
            </w:pPr>
            <w:r>
              <w:rPr>
                <w:rFonts w:ascii="Times New Roman" w:eastAsia="Times New Roman"/>
                <w:sz w:val="21"/>
              </w:rPr>
              <w:t>2.</w:t>
            </w:r>
            <w:r>
              <w:rPr>
                <w:rFonts w:ascii="Times New Roman" w:eastAsia="Times New Roman"/>
                <w:spacing w:val="42"/>
                <w:sz w:val="21"/>
              </w:rPr>
              <w:t> </w:t>
            </w:r>
            <w:r>
              <w:rPr>
                <w:sz w:val="21"/>
              </w:rPr>
              <w:t>公司本次注销部分股票期权和回购注销部分限制性股票符合《公司法》《证券法》《管理办法》等法律、法规及规范性文件规定和《公司章程》《激励计划（草案修订稿）》的规定，审议程序合法、合规，不会对公司财务状况和经营成果产生重大影响，不存在损害公司及全体股东特别是中小股东利益的情形。</w:t>
            </w:r>
          </w:p>
          <w:p>
            <w:pPr>
              <w:pStyle w:val="TableParagraph"/>
              <w:spacing w:line="270" w:lineRule="atLeast"/>
              <w:ind w:left="107" w:right="98"/>
              <w:rPr>
                <w:sz w:val="21"/>
              </w:rPr>
            </w:pPr>
            <w:r>
              <w:rPr>
                <w:spacing w:val="10"/>
                <w:sz w:val="21"/>
              </w:rPr>
              <w:t>薪酬与考核委员会同意将上述议案提交董事会审</w:t>
            </w:r>
            <w:r>
              <w:rPr>
                <w:sz w:val="21"/>
              </w:rPr>
              <w:t>议。</w:t>
            </w:r>
          </w:p>
        </w:tc>
        <w:tc>
          <w:tcPr>
            <w:tcW w:w="2270" w:type="dxa"/>
          </w:tcPr>
          <w:p>
            <w:pPr>
              <w:pStyle w:val="TableParagraph"/>
              <w:spacing w:line="242" w:lineRule="auto" w:before="1"/>
              <w:ind w:left="108" w:right="94"/>
              <w:jc w:val="both"/>
              <w:rPr>
                <w:sz w:val="21"/>
              </w:rPr>
            </w:pPr>
            <w:r>
              <w:rPr>
                <w:spacing w:val="16"/>
                <w:sz w:val="21"/>
              </w:rPr>
              <w:t>程》《董事会薪酬与</w:t>
            </w:r>
            <w:r>
              <w:rPr>
                <w:spacing w:val="-23"/>
                <w:sz w:val="21"/>
              </w:rPr>
              <w:t>考 核 委 员 会 议 事规</w:t>
            </w:r>
            <w:r>
              <w:rPr>
                <w:spacing w:val="16"/>
                <w:sz w:val="21"/>
              </w:rPr>
              <w:t>则》等法律法规开展</w:t>
            </w:r>
            <w:r>
              <w:rPr>
                <w:spacing w:val="2"/>
                <w:sz w:val="21"/>
              </w:rPr>
              <w:t>工作， 本着独立、客观、公正的原则， 认真履行职责， 行使职</w:t>
            </w:r>
            <w:r>
              <w:rPr>
                <w:sz w:val="21"/>
              </w:rPr>
              <w:t>权。</w:t>
            </w:r>
          </w:p>
        </w:tc>
      </w:tr>
      <w:tr>
        <w:trPr>
          <w:trHeight w:val="4630" w:hRule="atLeast"/>
        </w:trPr>
        <w:tc>
          <w:tcPr>
            <w:tcW w:w="3111"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8"/>
              <w:rPr>
                <w:sz w:val="28"/>
              </w:rPr>
            </w:pPr>
          </w:p>
          <w:p>
            <w:pPr>
              <w:pStyle w:val="TableParagraph"/>
              <w:ind w:left="686" w:right="677"/>
              <w:jc w:val="center"/>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6</w:t>
            </w:r>
            <w:r>
              <w:rPr>
                <w:rFonts w:ascii="Times New Roman" w:eastAsia="Times New Roman"/>
                <w:spacing w:val="-9"/>
                <w:sz w:val="21"/>
              </w:rPr>
              <w:t> </w:t>
            </w:r>
            <w:r>
              <w:rPr>
                <w:spacing w:val="-27"/>
                <w:sz w:val="21"/>
              </w:rPr>
              <w:t>月 </w:t>
            </w:r>
            <w:r>
              <w:rPr>
                <w:rFonts w:ascii="Times New Roman" w:eastAsia="Times New Roman"/>
                <w:sz w:val="21"/>
              </w:rPr>
              <w:t>1</w:t>
            </w:r>
            <w:r>
              <w:rPr>
                <w:rFonts w:ascii="Times New Roman" w:eastAsia="Times New Roman"/>
                <w:spacing w:val="-11"/>
                <w:sz w:val="21"/>
              </w:rPr>
              <w:t> </w:t>
            </w:r>
            <w:r>
              <w:rPr>
                <w:sz w:val="21"/>
              </w:rPr>
              <w:t>日</w:t>
            </w:r>
          </w:p>
        </w:tc>
        <w:tc>
          <w:tcPr>
            <w:tcW w:w="3567"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2"/>
              <w:rPr>
                <w:sz w:val="16"/>
              </w:rPr>
            </w:pPr>
          </w:p>
          <w:p>
            <w:pPr>
              <w:pStyle w:val="TableParagraph"/>
              <w:numPr>
                <w:ilvl w:val="0"/>
                <w:numId w:val="17"/>
              </w:numPr>
              <w:tabs>
                <w:tab w:pos="269" w:val="left" w:leader="none"/>
              </w:tabs>
              <w:spacing w:line="242" w:lineRule="auto" w:before="0" w:after="0"/>
              <w:ind w:left="107" w:right="93" w:firstLine="0"/>
              <w:jc w:val="both"/>
              <w:rPr>
                <w:sz w:val="21"/>
              </w:rPr>
            </w:pPr>
            <w:r>
              <w:rPr>
                <w:sz w:val="21"/>
              </w:rPr>
              <w:t>关于《富士康工业互联网股份有限</w:t>
            </w:r>
            <w:r>
              <w:rPr>
                <w:spacing w:val="-1"/>
                <w:sz w:val="21"/>
              </w:rPr>
              <w:t>公司 </w:t>
            </w:r>
            <w:r>
              <w:rPr>
                <w:rFonts w:ascii="Times New Roman" w:eastAsia="Times New Roman"/>
                <w:sz w:val="21"/>
              </w:rPr>
              <w:t>2022</w:t>
            </w:r>
            <w:r>
              <w:rPr>
                <w:rFonts w:ascii="Times New Roman" w:eastAsia="Times New Roman"/>
                <w:spacing w:val="30"/>
                <w:sz w:val="21"/>
              </w:rPr>
              <w:t> </w:t>
            </w:r>
            <w:r>
              <w:rPr>
                <w:sz w:val="21"/>
              </w:rPr>
              <w:t>年员工持股计划（草案）</w:t>
            </w:r>
            <w:r>
              <w:rPr>
                <w:spacing w:val="-102"/>
                <w:sz w:val="21"/>
              </w:rPr>
              <w:t> </w:t>
            </w:r>
            <w:r>
              <w:rPr>
                <w:sz w:val="21"/>
              </w:rPr>
              <w:t>及摘要》的议案</w:t>
            </w:r>
          </w:p>
          <w:p>
            <w:pPr>
              <w:pStyle w:val="TableParagraph"/>
              <w:numPr>
                <w:ilvl w:val="0"/>
                <w:numId w:val="17"/>
              </w:numPr>
              <w:tabs>
                <w:tab w:pos="269" w:val="left" w:leader="none"/>
              </w:tabs>
              <w:spacing w:line="242" w:lineRule="auto" w:before="1" w:after="0"/>
              <w:ind w:left="107" w:right="95" w:firstLine="0"/>
              <w:jc w:val="both"/>
              <w:rPr>
                <w:sz w:val="21"/>
              </w:rPr>
            </w:pPr>
            <w:r>
              <w:rPr>
                <w:sz w:val="21"/>
              </w:rPr>
              <w:t>关于《富士康工业互联网股份有限</w:t>
            </w:r>
            <w:r>
              <w:rPr>
                <w:spacing w:val="11"/>
                <w:sz w:val="21"/>
              </w:rPr>
              <w:t>公司 </w:t>
            </w:r>
            <w:r>
              <w:rPr>
                <w:rFonts w:ascii="Times New Roman" w:eastAsia="Times New Roman"/>
                <w:sz w:val="21"/>
              </w:rPr>
              <w:t>2021</w:t>
            </w:r>
            <w:r>
              <w:rPr>
                <w:rFonts w:ascii="Times New Roman" w:eastAsia="Times New Roman"/>
                <w:spacing w:val="46"/>
                <w:sz w:val="21"/>
              </w:rPr>
              <w:t> </w:t>
            </w:r>
            <w:r>
              <w:rPr>
                <w:spacing w:val="14"/>
                <w:sz w:val="21"/>
              </w:rPr>
              <w:t>年员工持股计划管理办</w:t>
            </w:r>
            <w:r>
              <w:rPr>
                <w:sz w:val="21"/>
              </w:rPr>
              <w:t>法》的议案</w:t>
            </w:r>
          </w:p>
        </w:tc>
        <w:tc>
          <w:tcPr>
            <w:tcW w:w="4899" w:type="dxa"/>
          </w:tcPr>
          <w:p>
            <w:pPr>
              <w:pStyle w:val="TableParagraph"/>
              <w:numPr>
                <w:ilvl w:val="0"/>
                <w:numId w:val="18"/>
              </w:numPr>
              <w:tabs>
                <w:tab w:pos="271" w:val="left" w:leader="none"/>
              </w:tabs>
              <w:spacing w:line="242" w:lineRule="auto" w:before="1" w:after="0"/>
              <w:ind w:left="107" w:right="95" w:firstLine="0"/>
              <w:jc w:val="left"/>
              <w:rPr>
                <w:sz w:val="21"/>
              </w:rPr>
            </w:pPr>
            <w:r>
              <w:rPr>
                <w:sz w:val="21"/>
              </w:rPr>
              <w:t>本次员工持股计划（草案）及摘要内容符合《中华人民共和国公司法》《中华人民共和国证券法》</w:t>
            </w:r>
          </w:p>
          <w:p>
            <w:pPr>
              <w:pStyle w:val="TableParagraph"/>
              <w:spacing w:line="242" w:lineRule="auto" w:before="1"/>
              <w:ind w:left="107" w:right="93"/>
              <w:jc w:val="both"/>
              <w:rPr>
                <w:sz w:val="21"/>
              </w:rPr>
            </w:pPr>
            <w:r>
              <w:rPr>
                <w:spacing w:val="10"/>
                <w:sz w:val="21"/>
              </w:rPr>
              <w:t>《关于上市公司实施员工持股计划试点的指导意</w:t>
            </w:r>
            <w:r>
              <w:rPr>
                <w:sz w:val="21"/>
              </w:rPr>
              <w:t>见》《上海证券交易所上市公司自律监管指引第 </w:t>
            </w:r>
            <w:r>
              <w:rPr>
                <w:rFonts w:ascii="Times New Roman" w:hAnsi="Times New Roman" w:eastAsia="Times New Roman"/>
                <w:sz w:val="21"/>
              </w:rPr>
              <w:t>1</w:t>
            </w:r>
            <w:r>
              <w:rPr>
                <w:rFonts w:ascii="Times New Roman" w:hAnsi="Times New Roman" w:eastAsia="Times New Roman"/>
                <w:spacing w:val="1"/>
                <w:sz w:val="21"/>
              </w:rPr>
              <w:t> </w:t>
            </w:r>
            <w:r>
              <w:rPr>
                <w:sz w:val="21"/>
              </w:rPr>
              <w:t>号</w:t>
            </w:r>
            <w:r>
              <w:rPr>
                <w:rFonts w:ascii="Times New Roman" w:hAnsi="Times New Roman" w:eastAsia="Times New Roman"/>
                <w:sz w:val="21"/>
              </w:rPr>
              <w:t>——</w:t>
            </w:r>
            <w:r>
              <w:rPr>
                <w:sz w:val="21"/>
              </w:rPr>
              <w:t>规范运作》等有关法律法规、规范性文件和</w:t>
            </w:r>
          </w:p>
          <w:p>
            <w:pPr>
              <w:pStyle w:val="TableParagraph"/>
              <w:spacing w:before="1"/>
              <w:ind w:left="107"/>
              <w:rPr>
                <w:sz w:val="21"/>
              </w:rPr>
            </w:pPr>
            <w:r>
              <w:rPr>
                <w:spacing w:val="-1"/>
                <w:sz w:val="21"/>
              </w:rPr>
              <w:t>《富士康工业互联网股份有限公司章程》的规定。</w:t>
            </w:r>
          </w:p>
          <w:p>
            <w:pPr>
              <w:pStyle w:val="TableParagraph"/>
              <w:numPr>
                <w:ilvl w:val="0"/>
                <w:numId w:val="18"/>
              </w:numPr>
              <w:tabs>
                <w:tab w:pos="346" w:val="left" w:leader="none"/>
              </w:tabs>
              <w:spacing w:line="242" w:lineRule="auto" w:before="5" w:after="0"/>
              <w:ind w:left="107" w:right="91" w:firstLine="0"/>
              <w:jc w:val="both"/>
              <w:rPr>
                <w:sz w:val="21"/>
              </w:rPr>
            </w:pPr>
            <w:r>
              <w:rPr>
                <w:sz w:val="21"/>
              </w:rPr>
              <w:t>为了规范公司本次员工持股计划的实施，确保本次员工持股计划有效落实，公司根据《中华人民共和国公司法》《中华人民共和国证券法》《关于上市公司实施员工持股计划试点的指导意见》《上海</w:t>
            </w:r>
            <w:r>
              <w:rPr>
                <w:spacing w:val="-2"/>
                <w:sz w:val="21"/>
              </w:rPr>
              <w:t>证券交易所上市公司自律监管指引第 </w:t>
            </w:r>
            <w:r>
              <w:rPr>
                <w:rFonts w:ascii="Times New Roman" w:hAnsi="Times New Roman" w:eastAsia="Times New Roman"/>
                <w:sz w:val="21"/>
              </w:rPr>
              <w:t>1</w:t>
            </w:r>
            <w:r>
              <w:rPr>
                <w:rFonts w:ascii="Times New Roman" w:hAnsi="Times New Roman" w:eastAsia="Times New Roman"/>
                <w:spacing w:val="17"/>
                <w:sz w:val="21"/>
              </w:rPr>
              <w:t> </w:t>
            </w:r>
            <w:r>
              <w:rPr>
                <w:sz w:val="21"/>
              </w:rPr>
              <w:t>号</w:t>
            </w:r>
            <w:r>
              <w:rPr>
                <w:rFonts w:ascii="Times New Roman" w:hAnsi="Times New Roman" w:eastAsia="Times New Roman"/>
                <w:sz w:val="21"/>
              </w:rPr>
              <w:t>——</w:t>
            </w:r>
            <w:r>
              <w:rPr>
                <w:sz w:val="21"/>
              </w:rPr>
              <w:t>规范运作》等有关法律法规、规范性文件和《富士康工业互联网股份有限公司章程》的规定，制定了《富</w:t>
            </w:r>
            <w:r>
              <w:rPr>
                <w:spacing w:val="2"/>
                <w:sz w:val="21"/>
              </w:rPr>
              <w:t>士康工业互联网股份有限公司</w:t>
            </w:r>
            <w:r>
              <w:rPr>
                <w:rFonts w:ascii="Times New Roman" w:hAnsi="Times New Roman" w:eastAsia="Times New Roman"/>
                <w:sz w:val="21"/>
              </w:rPr>
              <w:t>2022</w:t>
            </w:r>
            <w:r>
              <w:rPr>
                <w:rFonts w:ascii="Times New Roman" w:hAnsi="Times New Roman" w:eastAsia="Times New Roman"/>
                <w:spacing w:val="-24"/>
                <w:sz w:val="21"/>
              </w:rPr>
              <w:t> </w:t>
            </w:r>
            <w:r>
              <w:rPr>
                <w:sz w:val="21"/>
              </w:rPr>
              <w:t>年员工持股计划管理办法》。</w:t>
            </w:r>
          </w:p>
          <w:p>
            <w:pPr>
              <w:pStyle w:val="TableParagraph"/>
              <w:spacing w:line="270" w:lineRule="atLeast"/>
              <w:ind w:left="107" w:right="98"/>
              <w:rPr>
                <w:sz w:val="21"/>
              </w:rPr>
            </w:pPr>
            <w:r>
              <w:rPr>
                <w:spacing w:val="10"/>
                <w:sz w:val="21"/>
              </w:rPr>
              <w:t>薪酬与考核委员会同意将上述议案提交董事会审</w:t>
            </w:r>
            <w:r>
              <w:rPr>
                <w:sz w:val="21"/>
              </w:rPr>
              <w:t>议。</w:t>
            </w:r>
          </w:p>
        </w:tc>
        <w:tc>
          <w:tcPr>
            <w:tcW w:w="2270" w:type="dxa"/>
          </w:tcPr>
          <w:p>
            <w:pPr>
              <w:pStyle w:val="TableParagraph"/>
              <w:rPr>
                <w:sz w:val="20"/>
              </w:rPr>
            </w:pPr>
          </w:p>
          <w:p>
            <w:pPr>
              <w:pStyle w:val="TableParagraph"/>
              <w:rPr>
                <w:sz w:val="20"/>
              </w:rPr>
            </w:pPr>
          </w:p>
          <w:p>
            <w:pPr>
              <w:pStyle w:val="TableParagraph"/>
              <w:rPr>
                <w:sz w:val="20"/>
              </w:rPr>
            </w:pPr>
          </w:p>
          <w:p>
            <w:pPr>
              <w:pStyle w:val="TableParagraph"/>
              <w:spacing w:before="5"/>
              <w:rPr>
                <w:sz w:val="14"/>
              </w:rPr>
            </w:pPr>
          </w:p>
          <w:p>
            <w:pPr>
              <w:pStyle w:val="TableParagraph"/>
              <w:spacing w:line="242" w:lineRule="auto"/>
              <w:ind w:left="108" w:right="94"/>
              <w:jc w:val="both"/>
              <w:rPr>
                <w:sz w:val="21"/>
              </w:rPr>
            </w:pPr>
            <w:r>
              <w:rPr>
                <w:spacing w:val="16"/>
                <w:sz w:val="21"/>
              </w:rPr>
              <w:t>薪酬与考核委员会严</w:t>
            </w:r>
            <w:r>
              <w:rPr>
                <w:spacing w:val="-23"/>
                <w:sz w:val="21"/>
              </w:rPr>
              <w:t>格 按 照 《 公 司 法》</w:t>
            </w:r>
          </w:p>
          <w:p>
            <w:pPr>
              <w:pStyle w:val="TableParagraph"/>
              <w:spacing w:line="242" w:lineRule="auto" w:before="2"/>
              <w:ind w:left="108" w:right="94"/>
              <w:jc w:val="both"/>
              <w:rPr>
                <w:sz w:val="21"/>
              </w:rPr>
            </w:pPr>
            <w:r>
              <w:rPr>
                <w:spacing w:val="16"/>
                <w:sz w:val="21"/>
              </w:rPr>
              <w:t>《证券法》《公司章程》《董事会薪酬与</w:t>
            </w:r>
            <w:r>
              <w:rPr>
                <w:spacing w:val="-23"/>
                <w:sz w:val="21"/>
              </w:rPr>
              <w:t>考 核 委 员 会 议 事规</w:t>
            </w:r>
            <w:r>
              <w:rPr>
                <w:spacing w:val="16"/>
                <w:sz w:val="21"/>
              </w:rPr>
              <w:t>则》等法律法规开展</w:t>
            </w:r>
            <w:r>
              <w:rPr>
                <w:spacing w:val="2"/>
                <w:sz w:val="21"/>
              </w:rPr>
              <w:t>工作， 本着独立、客观、公正的原则， 认真履行职责， 行使职</w:t>
            </w:r>
            <w:r>
              <w:rPr>
                <w:sz w:val="21"/>
              </w:rPr>
              <w:t>权。</w:t>
            </w:r>
          </w:p>
        </w:tc>
      </w:tr>
      <w:tr>
        <w:trPr>
          <w:trHeight w:val="1089" w:hRule="atLeast"/>
        </w:trPr>
        <w:tc>
          <w:tcPr>
            <w:tcW w:w="3111" w:type="dxa"/>
          </w:tcPr>
          <w:p>
            <w:pPr>
              <w:pStyle w:val="TableParagraph"/>
              <w:spacing w:before="11"/>
              <w:rPr>
                <w:sz w:val="31"/>
              </w:rPr>
            </w:pPr>
          </w:p>
          <w:p>
            <w:pPr>
              <w:pStyle w:val="TableParagraph"/>
              <w:spacing w:before="1"/>
              <w:ind w:left="686" w:right="677"/>
              <w:jc w:val="center"/>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8</w:t>
            </w:r>
            <w:r>
              <w:rPr>
                <w:rFonts w:ascii="Times New Roman" w:eastAsia="Times New Roman"/>
                <w:spacing w:val="-9"/>
                <w:sz w:val="21"/>
              </w:rPr>
              <w:t> </w:t>
            </w:r>
            <w:r>
              <w:rPr>
                <w:spacing w:val="-27"/>
                <w:sz w:val="21"/>
              </w:rPr>
              <w:t>月 </w:t>
            </w:r>
            <w:r>
              <w:rPr>
                <w:rFonts w:ascii="Times New Roman" w:eastAsia="Times New Roman"/>
                <w:sz w:val="21"/>
              </w:rPr>
              <w:t>4</w:t>
            </w:r>
            <w:r>
              <w:rPr>
                <w:rFonts w:ascii="Times New Roman" w:eastAsia="Times New Roman"/>
                <w:spacing w:val="-11"/>
                <w:sz w:val="21"/>
              </w:rPr>
              <w:t> </w:t>
            </w:r>
            <w:r>
              <w:rPr>
                <w:sz w:val="21"/>
              </w:rPr>
              <w:t>日</w:t>
            </w:r>
          </w:p>
        </w:tc>
        <w:tc>
          <w:tcPr>
            <w:tcW w:w="3567" w:type="dxa"/>
          </w:tcPr>
          <w:p>
            <w:pPr>
              <w:pStyle w:val="TableParagraph"/>
              <w:spacing w:line="242" w:lineRule="auto" w:before="138"/>
              <w:ind w:left="107" w:right="93"/>
              <w:jc w:val="both"/>
              <w:rPr>
                <w:sz w:val="21"/>
              </w:rPr>
            </w:pPr>
            <w:r>
              <w:rPr>
                <w:spacing w:val="-1"/>
                <w:sz w:val="21"/>
              </w:rPr>
              <w:t>关于调整 </w:t>
            </w:r>
            <w:r>
              <w:rPr>
                <w:rFonts w:ascii="Times New Roman" w:eastAsia="Times New Roman"/>
                <w:sz w:val="21"/>
              </w:rPr>
              <w:t>2019</w:t>
            </w:r>
            <w:r>
              <w:rPr>
                <w:rFonts w:ascii="Times New Roman" w:eastAsia="Times New Roman"/>
                <w:spacing w:val="30"/>
                <w:sz w:val="21"/>
              </w:rPr>
              <w:t> </w:t>
            </w:r>
            <w:r>
              <w:rPr>
                <w:sz w:val="21"/>
              </w:rPr>
              <w:t>年股票期权与限制性</w:t>
            </w:r>
            <w:r>
              <w:rPr>
                <w:spacing w:val="10"/>
                <w:sz w:val="21"/>
              </w:rPr>
              <w:t>股票激励计划股票期权行权价格的</w:t>
            </w:r>
            <w:r>
              <w:rPr>
                <w:sz w:val="21"/>
              </w:rPr>
              <w:t>议案</w:t>
            </w:r>
          </w:p>
        </w:tc>
        <w:tc>
          <w:tcPr>
            <w:tcW w:w="4899" w:type="dxa"/>
          </w:tcPr>
          <w:p>
            <w:pPr>
              <w:pStyle w:val="TableParagraph"/>
              <w:spacing w:line="242" w:lineRule="auto" w:before="1"/>
              <w:ind w:left="107" w:right="93"/>
              <w:jc w:val="both"/>
              <w:rPr>
                <w:sz w:val="21"/>
              </w:rPr>
            </w:pPr>
            <w:r>
              <w:rPr>
                <w:spacing w:val="-6"/>
                <w:sz w:val="21"/>
              </w:rPr>
              <w:t>鉴于公司实施 </w:t>
            </w:r>
            <w:r>
              <w:rPr>
                <w:rFonts w:ascii="Times New Roman" w:eastAsia="Times New Roman"/>
                <w:spacing w:val="-1"/>
                <w:sz w:val="21"/>
              </w:rPr>
              <w:t>2021</w:t>
            </w:r>
            <w:r>
              <w:rPr>
                <w:rFonts w:ascii="Times New Roman" w:eastAsia="Times New Roman"/>
                <w:spacing w:val="5"/>
                <w:sz w:val="21"/>
              </w:rPr>
              <w:t> </w:t>
            </w:r>
            <w:r>
              <w:rPr>
                <w:spacing w:val="-3"/>
                <w:sz w:val="21"/>
              </w:rPr>
              <w:t>年度利润分配方案，对 </w:t>
            </w:r>
            <w:r>
              <w:rPr>
                <w:rFonts w:ascii="Times New Roman" w:eastAsia="Times New Roman"/>
                <w:sz w:val="21"/>
              </w:rPr>
              <w:t>2019</w:t>
            </w:r>
            <w:r>
              <w:rPr>
                <w:rFonts w:ascii="Times New Roman" w:eastAsia="Times New Roman"/>
                <w:spacing w:val="8"/>
                <w:sz w:val="21"/>
              </w:rPr>
              <w:t> </w:t>
            </w:r>
            <w:r>
              <w:rPr>
                <w:sz w:val="21"/>
              </w:rPr>
              <w:t>年股票期权与限制性股票激励计划股票期权行权价格进行调整程序合法合规，不存在损害公司及全体股</w:t>
            </w:r>
          </w:p>
          <w:p>
            <w:pPr>
              <w:pStyle w:val="TableParagraph"/>
              <w:spacing w:line="250" w:lineRule="exact" w:before="3"/>
              <w:ind w:left="107"/>
              <w:rPr>
                <w:sz w:val="21"/>
              </w:rPr>
            </w:pPr>
            <w:r>
              <w:rPr>
                <w:sz w:val="21"/>
              </w:rPr>
              <w:t>东利益的情形。薪酬与考核委员会同意将上述议案</w:t>
            </w:r>
          </w:p>
        </w:tc>
        <w:tc>
          <w:tcPr>
            <w:tcW w:w="2270" w:type="dxa"/>
          </w:tcPr>
          <w:p>
            <w:pPr>
              <w:pStyle w:val="TableParagraph"/>
              <w:spacing w:line="244" w:lineRule="auto" w:before="1"/>
              <w:ind w:left="108" w:right="94"/>
              <w:rPr>
                <w:sz w:val="21"/>
              </w:rPr>
            </w:pPr>
            <w:r>
              <w:rPr>
                <w:spacing w:val="16"/>
                <w:sz w:val="21"/>
              </w:rPr>
              <w:t>薪酬与考核委员会严</w:t>
            </w:r>
            <w:r>
              <w:rPr>
                <w:spacing w:val="-23"/>
                <w:sz w:val="21"/>
              </w:rPr>
              <w:t>格 按 照 《 公 司 法》</w:t>
            </w:r>
          </w:p>
          <w:p>
            <w:pPr>
              <w:pStyle w:val="TableParagraph"/>
              <w:spacing w:line="265" w:lineRule="exact"/>
              <w:ind w:left="108"/>
              <w:rPr>
                <w:sz w:val="21"/>
              </w:rPr>
            </w:pPr>
            <w:r>
              <w:rPr>
                <w:spacing w:val="16"/>
                <w:sz w:val="21"/>
              </w:rPr>
              <w:t>《证券法》《公司章</w:t>
            </w:r>
          </w:p>
          <w:p>
            <w:pPr>
              <w:pStyle w:val="TableParagraph"/>
              <w:spacing w:line="250" w:lineRule="exact" w:before="4"/>
              <w:ind w:left="108"/>
              <w:rPr>
                <w:sz w:val="21"/>
              </w:rPr>
            </w:pPr>
            <w:r>
              <w:rPr>
                <w:spacing w:val="16"/>
                <w:sz w:val="21"/>
              </w:rPr>
              <w:t>程》《董事会薪酬与</w:t>
            </w:r>
          </w:p>
        </w:tc>
      </w:tr>
    </w:tbl>
    <w:p>
      <w:pPr>
        <w:spacing w:after="0" w:line="250" w:lineRule="exact"/>
        <w:rPr>
          <w:sz w:val="21"/>
        </w:rPr>
        <w:sectPr>
          <w:pgSz w:w="16840" w:h="11910" w:orient="landscape"/>
          <w:pgMar w:header="877" w:footer="1195" w:top="1180" w:bottom="1380" w:left="1340" w:right="1420"/>
        </w:sectPr>
      </w:pPr>
    </w:p>
    <w:p>
      <w:pPr>
        <w:pStyle w:val="BodyText"/>
        <w:ind w:left="0"/>
        <w:rPr>
          <w:sz w:val="20"/>
        </w:rPr>
      </w:pPr>
    </w:p>
    <w:p>
      <w:pPr>
        <w:pStyle w:val="BodyText"/>
        <w:spacing w:before="2"/>
        <w:ind w:left="0"/>
        <w:rPr>
          <w:sz w:val="2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1"/>
        <w:gridCol w:w="3567"/>
        <w:gridCol w:w="4899"/>
        <w:gridCol w:w="2270"/>
      </w:tblGrid>
      <w:tr>
        <w:trPr>
          <w:trHeight w:val="1633" w:hRule="atLeast"/>
        </w:trPr>
        <w:tc>
          <w:tcPr>
            <w:tcW w:w="3111" w:type="dxa"/>
          </w:tcPr>
          <w:p>
            <w:pPr>
              <w:pStyle w:val="TableParagraph"/>
              <w:rPr>
                <w:rFonts w:ascii="Times New Roman"/>
                <w:sz w:val="20"/>
              </w:rPr>
            </w:pPr>
          </w:p>
        </w:tc>
        <w:tc>
          <w:tcPr>
            <w:tcW w:w="3567" w:type="dxa"/>
          </w:tcPr>
          <w:p>
            <w:pPr>
              <w:pStyle w:val="TableParagraph"/>
              <w:rPr>
                <w:rFonts w:ascii="Times New Roman"/>
                <w:sz w:val="20"/>
              </w:rPr>
            </w:pPr>
          </w:p>
        </w:tc>
        <w:tc>
          <w:tcPr>
            <w:tcW w:w="4899" w:type="dxa"/>
          </w:tcPr>
          <w:p>
            <w:pPr>
              <w:pStyle w:val="TableParagraph"/>
              <w:spacing w:before="1"/>
              <w:ind w:left="107"/>
              <w:rPr>
                <w:sz w:val="21"/>
              </w:rPr>
            </w:pPr>
            <w:r>
              <w:rPr>
                <w:sz w:val="21"/>
              </w:rPr>
              <w:t>提交董事会审议。</w:t>
            </w:r>
          </w:p>
        </w:tc>
        <w:tc>
          <w:tcPr>
            <w:tcW w:w="2270" w:type="dxa"/>
          </w:tcPr>
          <w:p>
            <w:pPr>
              <w:pStyle w:val="TableParagraph"/>
              <w:spacing w:line="242" w:lineRule="auto" w:before="1"/>
              <w:ind w:left="108" w:right="94"/>
              <w:jc w:val="both"/>
              <w:rPr>
                <w:sz w:val="21"/>
              </w:rPr>
            </w:pPr>
            <w:r>
              <w:rPr>
                <w:spacing w:val="-23"/>
                <w:sz w:val="21"/>
              </w:rPr>
              <w:t>考 核 委 员 会 议 事规</w:t>
            </w:r>
            <w:r>
              <w:rPr>
                <w:spacing w:val="16"/>
                <w:sz w:val="21"/>
              </w:rPr>
              <w:t>则》等法律法规开展</w:t>
            </w:r>
            <w:r>
              <w:rPr>
                <w:spacing w:val="2"/>
                <w:sz w:val="21"/>
              </w:rPr>
              <w:t>工作， 本着独立、客观、公正的原则， 认真履行职责， 行使职</w:t>
            </w:r>
          </w:p>
          <w:p>
            <w:pPr>
              <w:pStyle w:val="TableParagraph"/>
              <w:spacing w:line="252" w:lineRule="exact" w:before="2"/>
              <w:ind w:left="108"/>
              <w:rPr>
                <w:sz w:val="21"/>
              </w:rPr>
            </w:pPr>
            <w:r>
              <w:rPr>
                <w:sz w:val="21"/>
              </w:rPr>
              <w:t>权。</w:t>
            </w:r>
          </w:p>
        </w:tc>
      </w:tr>
      <w:tr>
        <w:trPr>
          <w:trHeight w:val="3814" w:hRule="atLeast"/>
        </w:trPr>
        <w:tc>
          <w:tcPr>
            <w:tcW w:w="3111"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4"/>
              <w:rPr>
                <w:sz w:val="28"/>
              </w:rPr>
            </w:pPr>
          </w:p>
          <w:p>
            <w:pPr>
              <w:pStyle w:val="TableParagraph"/>
              <w:ind w:left="686" w:right="677"/>
              <w:jc w:val="center"/>
              <w:rPr>
                <w:sz w:val="21"/>
              </w:rPr>
            </w:pPr>
            <w:r>
              <w:rPr>
                <w:rFonts w:ascii="Times New Roman" w:eastAsia="Times New Roman"/>
                <w:sz w:val="21"/>
              </w:rPr>
              <w:t>2022</w:t>
            </w:r>
            <w:r>
              <w:rPr>
                <w:rFonts w:ascii="Times New Roman" w:eastAsia="Times New Roman"/>
                <w:spacing w:val="-11"/>
                <w:sz w:val="21"/>
              </w:rPr>
              <w:t> </w:t>
            </w:r>
            <w:r>
              <w:rPr>
                <w:spacing w:val="-27"/>
                <w:sz w:val="21"/>
              </w:rPr>
              <w:t>年 </w:t>
            </w:r>
            <w:r>
              <w:rPr>
                <w:rFonts w:ascii="Times New Roman" w:eastAsia="Times New Roman"/>
                <w:sz w:val="21"/>
              </w:rPr>
              <w:t>9</w:t>
            </w:r>
            <w:r>
              <w:rPr>
                <w:rFonts w:ascii="Times New Roman" w:eastAsia="Times New Roman"/>
                <w:spacing w:val="-9"/>
                <w:sz w:val="21"/>
              </w:rPr>
              <w:t> </w:t>
            </w:r>
            <w:r>
              <w:rPr>
                <w:spacing w:val="-27"/>
                <w:sz w:val="21"/>
              </w:rPr>
              <w:t>月 </w:t>
            </w:r>
            <w:r>
              <w:rPr>
                <w:rFonts w:ascii="Times New Roman" w:eastAsia="Times New Roman"/>
                <w:sz w:val="21"/>
              </w:rPr>
              <w:t>11</w:t>
            </w:r>
            <w:r>
              <w:rPr>
                <w:rFonts w:ascii="Times New Roman" w:eastAsia="Times New Roman"/>
                <w:spacing w:val="-11"/>
                <w:sz w:val="21"/>
              </w:rPr>
              <w:t> </w:t>
            </w:r>
            <w:r>
              <w:rPr>
                <w:sz w:val="21"/>
              </w:rPr>
              <w:t>日</w:t>
            </w:r>
          </w:p>
        </w:tc>
        <w:tc>
          <w:tcPr>
            <w:tcW w:w="3567" w:type="dxa"/>
          </w:tcPr>
          <w:p>
            <w:pPr>
              <w:pStyle w:val="TableParagraph"/>
              <w:rPr>
                <w:sz w:val="20"/>
              </w:rPr>
            </w:pPr>
          </w:p>
          <w:p>
            <w:pPr>
              <w:pStyle w:val="TableParagraph"/>
              <w:rPr>
                <w:sz w:val="20"/>
              </w:rPr>
            </w:pPr>
          </w:p>
          <w:p>
            <w:pPr>
              <w:pStyle w:val="TableParagraph"/>
              <w:spacing w:before="10"/>
              <w:rPr>
                <w:sz w:val="23"/>
              </w:rPr>
            </w:pPr>
          </w:p>
          <w:p>
            <w:pPr>
              <w:pStyle w:val="TableParagraph"/>
              <w:numPr>
                <w:ilvl w:val="0"/>
                <w:numId w:val="19"/>
              </w:numPr>
              <w:tabs>
                <w:tab w:pos="274" w:val="left" w:leader="none"/>
              </w:tabs>
              <w:spacing w:line="242" w:lineRule="auto" w:before="0" w:after="0"/>
              <w:ind w:left="107" w:right="95" w:firstLine="0"/>
              <w:jc w:val="both"/>
              <w:rPr>
                <w:sz w:val="21"/>
              </w:rPr>
            </w:pPr>
            <w:r>
              <w:rPr>
                <w:spacing w:val="5"/>
                <w:sz w:val="21"/>
              </w:rPr>
              <w:t>关于 </w:t>
            </w:r>
            <w:r>
              <w:rPr>
                <w:rFonts w:ascii="Times New Roman" w:eastAsia="Times New Roman"/>
                <w:sz w:val="21"/>
              </w:rPr>
              <w:t>2019</w:t>
            </w:r>
            <w:r>
              <w:rPr>
                <w:rFonts w:ascii="Times New Roman" w:eastAsia="Times New Roman"/>
                <w:spacing w:val="5"/>
                <w:sz w:val="21"/>
              </w:rPr>
              <w:t> </w:t>
            </w:r>
            <w:r>
              <w:rPr>
                <w:sz w:val="21"/>
              </w:rPr>
              <w:t>年股票期权与限制性股</w:t>
            </w:r>
            <w:r>
              <w:rPr>
                <w:spacing w:val="10"/>
                <w:sz w:val="21"/>
              </w:rPr>
              <w:t>票激励计划部分预留授予股票期权第三个行权期行权条件、部分预留授予限制性股票第三个解除限售期</w:t>
            </w:r>
            <w:r>
              <w:rPr>
                <w:sz w:val="21"/>
              </w:rPr>
              <w:t>解除限售条件成就的议案</w:t>
            </w:r>
          </w:p>
          <w:p>
            <w:pPr>
              <w:pStyle w:val="TableParagraph"/>
              <w:numPr>
                <w:ilvl w:val="0"/>
                <w:numId w:val="19"/>
              </w:numPr>
              <w:tabs>
                <w:tab w:pos="274" w:val="left" w:leader="none"/>
              </w:tabs>
              <w:spacing w:line="242" w:lineRule="auto" w:before="5" w:after="0"/>
              <w:ind w:left="107" w:right="95" w:firstLine="0"/>
              <w:jc w:val="both"/>
              <w:rPr>
                <w:sz w:val="21"/>
              </w:rPr>
            </w:pPr>
            <w:r>
              <w:rPr>
                <w:spacing w:val="3"/>
                <w:sz w:val="21"/>
              </w:rPr>
              <w:t>关于公司 </w:t>
            </w:r>
            <w:r>
              <w:rPr>
                <w:rFonts w:ascii="Times New Roman" w:eastAsia="Times New Roman"/>
                <w:sz w:val="21"/>
              </w:rPr>
              <w:t>2019</w:t>
            </w:r>
            <w:r>
              <w:rPr>
                <w:rFonts w:ascii="Times New Roman" w:eastAsia="Times New Roman"/>
                <w:spacing w:val="5"/>
                <w:sz w:val="21"/>
              </w:rPr>
              <w:t> </w:t>
            </w:r>
            <w:r>
              <w:rPr>
                <w:sz w:val="21"/>
              </w:rPr>
              <w:t>年股票期权与限制</w:t>
            </w:r>
            <w:r>
              <w:rPr>
                <w:spacing w:val="10"/>
                <w:sz w:val="21"/>
              </w:rPr>
              <w:t>性股票激励计划注销部分股票期权</w:t>
            </w:r>
            <w:r>
              <w:rPr>
                <w:sz w:val="21"/>
              </w:rPr>
              <w:t>和回购注销部分限制性股票的议案</w:t>
            </w:r>
          </w:p>
        </w:tc>
        <w:tc>
          <w:tcPr>
            <w:tcW w:w="4899" w:type="dxa"/>
          </w:tcPr>
          <w:p>
            <w:pPr>
              <w:pStyle w:val="TableParagraph"/>
              <w:numPr>
                <w:ilvl w:val="0"/>
                <w:numId w:val="20"/>
              </w:numPr>
              <w:tabs>
                <w:tab w:pos="267" w:val="left" w:leader="none"/>
              </w:tabs>
              <w:spacing w:line="242" w:lineRule="auto" w:before="1" w:after="0"/>
              <w:ind w:left="107" w:right="91" w:firstLine="0"/>
              <w:jc w:val="both"/>
              <w:rPr>
                <w:sz w:val="21"/>
              </w:rPr>
            </w:pPr>
            <w:r>
              <w:rPr>
                <w:spacing w:val="-15"/>
                <w:sz w:val="21"/>
              </w:rPr>
              <w:t>公司 </w:t>
            </w:r>
            <w:r>
              <w:rPr>
                <w:rFonts w:ascii="Times New Roman" w:eastAsia="Times New Roman"/>
                <w:spacing w:val="-1"/>
                <w:sz w:val="21"/>
              </w:rPr>
              <w:t>2019</w:t>
            </w:r>
            <w:r>
              <w:rPr>
                <w:rFonts w:ascii="Times New Roman" w:eastAsia="Times New Roman"/>
                <w:spacing w:val="-5"/>
                <w:sz w:val="21"/>
              </w:rPr>
              <w:t> </w:t>
            </w:r>
            <w:r>
              <w:rPr>
                <w:spacing w:val="-1"/>
                <w:sz w:val="21"/>
              </w:rPr>
              <w:t>年股权激励计划部分预留授予股票期权</w:t>
            </w:r>
            <w:r>
              <w:rPr>
                <w:sz w:val="21"/>
              </w:rPr>
              <w:t>第三个行权期行权条件和部分预留授予限制性股票第三个解除限售期解除限售条件已经成就，同意符合条件的激励对象股票期权行权及限制性股票解除限售。</w:t>
            </w:r>
          </w:p>
          <w:p>
            <w:pPr>
              <w:pStyle w:val="TableParagraph"/>
              <w:numPr>
                <w:ilvl w:val="0"/>
                <w:numId w:val="20"/>
              </w:numPr>
              <w:tabs>
                <w:tab w:pos="346" w:val="left" w:leader="none"/>
              </w:tabs>
              <w:spacing w:line="242" w:lineRule="auto" w:before="2" w:after="0"/>
              <w:ind w:left="107" w:right="96" w:firstLine="0"/>
              <w:jc w:val="both"/>
              <w:rPr>
                <w:sz w:val="21"/>
              </w:rPr>
            </w:pPr>
            <w:r>
              <w:rPr>
                <w:sz w:val="21"/>
              </w:rPr>
              <w:t>公司本次注销部分股票期权和回购注销部分限制性股票符合《公司法》《证券法》《管理办法》等法律、法规及规范性文件规定和《公司章程》《激励计划（草案修订稿）》的规定，审议程序合法、合规，不会对公司财务状况和经营成果产生重大影响，不存在损害公司及全体股东特别是中小股东利益的情形。</w:t>
            </w:r>
          </w:p>
          <w:p>
            <w:pPr>
              <w:pStyle w:val="TableParagraph"/>
              <w:spacing w:line="270" w:lineRule="atLeast"/>
              <w:ind w:left="107" w:right="98"/>
              <w:rPr>
                <w:sz w:val="21"/>
              </w:rPr>
            </w:pPr>
            <w:r>
              <w:rPr>
                <w:spacing w:val="10"/>
                <w:sz w:val="21"/>
              </w:rPr>
              <w:t>薪酬与考核委员会同意将上述议案提交董事会审</w:t>
            </w:r>
            <w:r>
              <w:rPr>
                <w:sz w:val="21"/>
              </w:rPr>
              <w:t>议。</w:t>
            </w:r>
          </w:p>
        </w:tc>
        <w:tc>
          <w:tcPr>
            <w:tcW w:w="2270" w:type="dxa"/>
          </w:tcPr>
          <w:p>
            <w:pPr>
              <w:pStyle w:val="TableParagraph"/>
              <w:rPr>
                <w:sz w:val="20"/>
              </w:rPr>
            </w:pPr>
          </w:p>
          <w:p>
            <w:pPr>
              <w:pStyle w:val="TableParagraph"/>
              <w:spacing w:before="8"/>
              <w:rPr>
                <w:sz w:val="22"/>
              </w:rPr>
            </w:pPr>
          </w:p>
          <w:p>
            <w:pPr>
              <w:pStyle w:val="TableParagraph"/>
              <w:spacing w:line="242" w:lineRule="auto"/>
              <w:ind w:left="108" w:right="94"/>
              <w:jc w:val="both"/>
              <w:rPr>
                <w:sz w:val="21"/>
              </w:rPr>
            </w:pPr>
            <w:r>
              <w:rPr>
                <w:spacing w:val="16"/>
                <w:sz w:val="21"/>
              </w:rPr>
              <w:t>薪酬与考核委员会严</w:t>
            </w:r>
            <w:r>
              <w:rPr>
                <w:spacing w:val="-23"/>
                <w:sz w:val="21"/>
              </w:rPr>
              <w:t>格 按 照 《 公 司 法》</w:t>
            </w:r>
          </w:p>
          <w:p>
            <w:pPr>
              <w:pStyle w:val="TableParagraph"/>
              <w:spacing w:line="242" w:lineRule="auto" w:before="1"/>
              <w:ind w:left="108" w:right="94"/>
              <w:jc w:val="both"/>
              <w:rPr>
                <w:sz w:val="21"/>
              </w:rPr>
            </w:pPr>
            <w:r>
              <w:rPr>
                <w:spacing w:val="16"/>
                <w:sz w:val="21"/>
              </w:rPr>
              <w:t>《证券法》《公司章程》《董事会薪酬与</w:t>
            </w:r>
            <w:r>
              <w:rPr>
                <w:spacing w:val="-23"/>
                <w:sz w:val="21"/>
              </w:rPr>
              <w:t>考 核 委 员 会 议 事规</w:t>
            </w:r>
            <w:r>
              <w:rPr>
                <w:spacing w:val="16"/>
                <w:sz w:val="21"/>
              </w:rPr>
              <w:t>则》等法律法规开展</w:t>
            </w:r>
            <w:r>
              <w:rPr>
                <w:spacing w:val="2"/>
                <w:sz w:val="21"/>
              </w:rPr>
              <w:t>工作， 本着独立、客观、公正的原则， 认真履行职责， 行使职</w:t>
            </w:r>
            <w:r>
              <w:rPr>
                <w:sz w:val="21"/>
              </w:rPr>
              <w:t>权。</w:t>
            </w:r>
          </w:p>
        </w:tc>
      </w:tr>
      <w:tr>
        <w:trPr>
          <w:trHeight w:val="2995" w:hRule="atLeast"/>
        </w:trPr>
        <w:tc>
          <w:tcPr>
            <w:tcW w:w="3111" w:type="dxa"/>
          </w:tcPr>
          <w:p>
            <w:pPr>
              <w:pStyle w:val="TableParagraph"/>
              <w:rPr>
                <w:sz w:val="22"/>
              </w:rPr>
            </w:pPr>
          </w:p>
          <w:p>
            <w:pPr>
              <w:pStyle w:val="TableParagraph"/>
              <w:rPr>
                <w:sz w:val="22"/>
              </w:rPr>
            </w:pPr>
          </w:p>
          <w:p>
            <w:pPr>
              <w:pStyle w:val="TableParagraph"/>
              <w:rPr>
                <w:sz w:val="22"/>
              </w:rPr>
            </w:pPr>
          </w:p>
          <w:p>
            <w:pPr>
              <w:pStyle w:val="TableParagraph"/>
              <w:spacing w:before="11"/>
              <w:rPr>
                <w:sz w:val="30"/>
              </w:rPr>
            </w:pPr>
          </w:p>
          <w:p>
            <w:pPr>
              <w:pStyle w:val="TableParagraph"/>
              <w:ind w:left="686" w:right="677"/>
              <w:jc w:val="center"/>
              <w:rPr>
                <w:sz w:val="21"/>
              </w:rPr>
            </w:pPr>
            <w:r>
              <w:rPr>
                <w:rFonts w:ascii="Times New Roman" w:eastAsia="Times New Roman"/>
                <w:sz w:val="21"/>
              </w:rPr>
              <w:t>2022</w:t>
            </w:r>
            <w:r>
              <w:rPr>
                <w:rFonts w:ascii="Times New Roman" w:eastAsia="Times New Roman"/>
                <w:spacing w:val="-12"/>
                <w:sz w:val="21"/>
              </w:rPr>
              <w:t> </w:t>
            </w:r>
            <w:r>
              <w:rPr>
                <w:spacing w:val="-27"/>
                <w:sz w:val="21"/>
              </w:rPr>
              <w:t>年 </w:t>
            </w:r>
            <w:r>
              <w:rPr>
                <w:rFonts w:ascii="Times New Roman" w:eastAsia="Times New Roman"/>
                <w:sz w:val="21"/>
              </w:rPr>
              <w:t>12</w:t>
            </w:r>
            <w:r>
              <w:rPr>
                <w:rFonts w:ascii="Times New Roman" w:eastAsia="Times New Roman"/>
                <w:spacing w:val="-11"/>
                <w:sz w:val="21"/>
              </w:rPr>
              <w:t> </w:t>
            </w:r>
            <w:r>
              <w:rPr>
                <w:spacing w:val="-27"/>
                <w:sz w:val="21"/>
              </w:rPr>
              <w:t>月 </w:t>
            </w:r>
            <w:r>
              <w:rPr>
                <w:rFonts w:ascii="Times New Roman" w:eastAsia="Times New Roman"/>
                <w:sz w:val="21"/>
              </w:rPr>
              <w:t>31</w:t>
            </w:r>
            <w:r>
              <w:rPr>
                <w:rFonts w:ascii="Times New Roman" w:eastAsia="Times New Roman"/>
                <w:spacing w:val="-10"/>
                <w:sz w:val="21"/>
              </w:rPr>
              <w:t> </w:t>
            </w:r>
            <w:r>
              <w:rPr>
                <w:sz w:val="21"/>
              </w:rPr>
              <w:t>日</w:t>
            </w:r>
          </w:p>
        </w:tc>
        <w:tc>
          <w:tcPr>
            <w:tcW w:w="3567" w:type="dxa"/>
          </w:tcPr>
          <w:p>
            <w:pPr>
              <w:pStyle w:val="TableParagraph"/>
              <w:rPr>
                <w:sz w:val="20"/>
              </w:rPr>
            </w:pPr>
          </w:p>
          <w:p>
            <w:pPr>
              <w:pStyle w:val="TableParagraph"/>
              <w:numPr>
                <w:ilvl w:val="0"/>
                <w:numId w:val="21"/>
              </w:numPr>
              <w:tabs>
                <w:tab w:pos="271" w:val="left" w:leader="none"/>
              </w:tabs>
              <w:spacing w:line="242" w:lineRule="auto" w:before="152" w:after="0"/>
              <w:ind w:left="107" w:right="98" w:firstLine="0"/>
              <w:jc w:val="both"/>
              <w:rPr>
                <w:sz w:val="21"/>
              </w:rPr>
            </w:pPr>
            <w:r>
              <w:rPr>
                <w:spacing w:val="7"/>
                <w:sz w:val="21"/>
              </w:rPr>
              <w:t>关于 </w:t>
            </w:r>
            <w:r>
              <w:rPr>
                <w:rFonts w:ascii="Times New Roman" w:eastAsia="Times New Roman"/>
                <w:sz w:val="21"/>
              </w:rPr>
              <w:t>2019</w:t>
            </w:r>
            <w:r>
              <w:rPr>
                <w:rFonts w:ascii="Times New Roman" w:eastAsia="Times New Roman"/>
                <w:spacing w:val="47"/>
                <w:sz w:val="21"/>
              </w:rPr>
              <w:t> </w:t>
            </w:r>
            <w:r>
              <w:rPr>
                <w:sz w:val="21"/>
              </w:rPr>
              <w:t>年股票期权与限制性股</w:t>
            </w:r>
            <w:r>
              <w:rPr>
                <w:spacing w:val="10"/>
                <w:sz w:val="21"/>
              </w:rPr>
              <w:t>票激励计划剩余预留授予股票期权第三个行权期行权条件、剩余预留授予限制性股票第三个解除限售期</w:t>
            </w:r>
            <w:r>
              <w:rPr>
                <w:sz w:val="21"/>
              </w:rPr>
              <w:t>解除限售条件成就的议案</w:t>
            </w:r>
          </w:p>
          <w:p>
            <w:pPr>
              <w:pStyle w:val="TableParagraph"/>
              <w:numPr>
                <w:ilvl w:val="0"/>
                <w:numId w:val="21"/>
              </w:numPr>
              <w:tabs>
                <w:tab w:pos="271" w:val="left" w:leader="none"/>
              </w:tabs>
              <w:spacing w:line="242" w:lineRule="auto" w:before="3" w:after="0"/>
              <w:ind w:left="107" w:right="97" w:firstLine="0"/>
              <w:jc w:val="both"/>
              <w:rPr>
                <w:sz w:val="21"/>
              </w:rPr>
            </w:pPr>
            <w:r>
              <w:rPr>
                <w:spacing w:val="4"/>
                <w:sz w:val="21"/>
              </w:rPr>
              <w:t>关于公司 </w:t>
            </w:r>
            <w:r>
              <w:rPr>
                <w:rFonts w:ascii="Times New Roman" w:eastAsia="Times New Roman"/>
                <w:sz w:val="21"/>
              </w:rPr>
              <w:t>2019</w:t>
            </w:r>
            <w:r>
              <w:rPr>
                <w:rFonts w:ascii="Times New Roman" w:eastAsia="Times New Roman"/>
                <w:spacing w:val="47"/>
                <w:sz w:val="21"/>
              </w:rPr>
              <w:t> </w:t>
            </w:r>
            <w:r>
              <w:rPr>
                <w:sz w:val="21"/>
              </w:rPr>
              <w:t>年股票期权与限制</w:t>
            </w:r>
            <w:r>
              <w:rPr>
                <w:spacing w:val="10"/>
                <w:sz w:val="21"/>
              </w:rPr>
              <w:t>性股票激励计划注销部分股票期权</w:t>
            </w:r>
            <w:r>
              <w:rPr>
                <w:sz w:val="21"/>
              </w:rPr>
              <w:t>和回购注销部分限制性股票的议案</w:t>
            </w:r>
          </w:p>
        </w:tc>
        <w:tc>
          <w:tcPr>
            <w:tcW w:w="4899" w:type="dxa"/>
          </w:tcPr>
          <w:p>
            <w:pPr>
              <w:pStyle w:val="TableParagraph"/>
              <w:numPr>
                <w:ilvl w:val="0"/>
                <w:numId w:val="22"/>
              </w:numPr>
              <w:tabs>
                <w:tab w:pos="267" w:val="left" w:leader="none"/>
              </w:tabs>
              <w:spacing w:line="242" w:lineRule="auto" w:before="1" w:after="0"/>
              <w:ind w:left="107" w:right="91" w:firstLine="0"/>
              <w:jc w:val="both"/>
              <w:rPr>
                <w:sz w:val="21"/>
              </w:rPr>
            </w:pPr>
            <w:r>
              <w:rPr>
                <w:spacing w:val="-15"/>
                <w:sz w:val="21"/>
              </w:rPr>
              <w:t>公司 </w:t>
            </w:r>
            <w:r>
              <w:rPr>
                <w:rFonts w:ascii="Times New Roman" w:eastAsia="Times New Roman"/>
                <w:spacing w:val="-1"/>
                <w:sz w:val="21"/>
              </w:rPr>
              <w:t>2019</w:t>
            </w:r>
            <w:r>
              <w:rPr>
                <w:rFonts w:ascii="Times New Roman" w:eastAsia="Times New Roman"/>
                <w:spacing w:val="-5"/>
                <w:sz w:val="21"/>
              </w:rPr>
              <w:t> </w:t>
            </w:r>
            <w:r>
              <w:rPr>
                <w:spacing w:val="-1"/>
                <w:sz w:val="21"/>
              </w:rPr>
              <w:t>年股权激励计划剩余预留授予股票期权</w:t>
            </w:r>
            <w:r>
              <w:rPr>
                <w:sz w:val="21"/>
              </w:rPr>
              <w:t>第三个行权期行权条件和剩余预留授予限制性股票第三个解除限售期解除限售条件已经成就，同意符合条件的激励对象股票期权行权及限制性股票解除限售。</w:t>
            </w:r>
          </w:p>
          <w:p>
            <w:pPr>
              <w:pStyle w:val="TableParagraph"/>
              <w:numPr>
                <w:ilvl w:val="0"/>
                <w:numId w:val="22"/>
              </w:numPr>
              <w:tabs>
                <w:tab w:pos="271" w:val="left" w:leader="none"/>
              </w:tabs>
              <w:spacing w:line="242" w:lineRule="auto" w:before="2" w:after="0"/>
              <w:ind w:left="107" w:right="95" w:firstLine="0"/>
              <w:jc w:val="both"/>
              <w:rPr>
                <w:sz w:val="21"/>
              </w:rPr>
            </w:pPr>
            <w:r>
              <w:rPr>
                <w:sz w:val="21"/>
              </w:rPr>
              <w:t>公司本次注销部分股票期权和回购注销部分限制性股票符合《公司法》《证券法》《管理办法》等法律、法规及规范性文件规定和《公司章程》《激励计划（草案修订稿）》的规定，审议程序合法、合规，不会对公司财务状况和经营成果产生重大影</w:t>
            </w:r>
          </w:p>
          <w:p>
            <w:pPr>
              <w:pStyle w:val="TableParagraph"/>
              <w:spacing w:line="250" w:lineRule="exact" w:before="5"/>
              <w:ind w:left="107"/>
              <w:rPr>
                <w:sz w:val="21"/>
              </w:rPr>
            </w:pPr>
            <w:r>
              <w:rPr>
                <w:sz w:val="21"/>
              </w:rPr>
              <w:t>响，不存在损害公司及全体股东特别是中小股东利</w:t>
            </w:r>
          </w:p>
        </w:tc>
        <w:tc>
          <w:tcPr>
            <w:tcW w:w="2270" w:type="dxa"/>
          </w:tcPr>
          <w:p>
            <w:pPr>
              <w:pStyle w:val="TableParagraph"/>
              <w:spacing w:line="242" w:lineRule="auto" w:before="137"/>
              <w:ind w:left="108" w:right="94"/>
              <w:jc w:val="both"/>
              <w:rPr>
                <w:sz w:val="21"/>
              </w:rPr>
            </w:pPr>
            <w:r>
              <w:rPr>
                <w:spacing w:val="16"/>
                <w:sz w:val="21"/>
              </w:rPr>
              <w:t>薪酬与考核委员会严</w:t>
            </w:r>
            <w:r>
              <w:rPr>
                <w:spacing w:val="-23"/>
                <w:sz w:val="21"/>
              </w:rPr>
              <w:t>格 按 照 《 公 司 法》</w:t>
            </w:r>
          </w:p>
          <w:p>
            <w:pPr>
              <w:pStyle w:val="TableParagraph"/>
              <w:spacing w:line="242" w:lineRule="auto"/>
              <w:ind w:left="108" w:right="94"/>
              <w:jc w:val="both"/>
              <w:rPr>
                <w:sz w:val="21"/>
              </w:rPr>
            </w:pPr>
            <w:r>
              <w:rPr>
                <w:spacing w:val="16"/>
                <w:sz w:val="21"/>
              </w:rPr>
              <w:t>《证券法》《公司章程》《董事会薪酬与</w:t>
            </w:r>
            <w:r>
              <w:rPr>
                <w:spacing w:val="-23"/>
                <w:sz w:val="21"/>
              </w:rPr>
              <w:t>考 核 委 员 会 议 事规</w:t>
            </w:r>
            <w:r>
              <w:rPr>
                <w:spacing w:val="16"/>
                <w:sz w:val="21"/>
              </w:rPr>
              <w:t>则》等法律法规开展</w:t>
            </w:r>
            <w:r>
              <w:rPr>
                <w:spacing w:val="2"/>
                <w:sz w:val="21"/>
              </w:rPr>
              <w:t>工作， 本着独立、客观、公正的原则， 认真履行职责， 行使职</w:t>
            </w:r>
            <w:r>
              <w:rPr>
                <w:sz w:val="21"/>
              </w:rPr>
              <w:t>权。</w:t>
            </w:r>
          </w:p>
        </w:tc>
      </w:tr>
    </w:tbl>
    <w:p>
      <w:pPr>
        <w:spacing w:after="0" w:line="242" w:lineRule="auto"/>
        <w:jc w:val="both"/>
        <w:rPr>
          <w:sz w:val="21"/>
        </w:rPr>
        <w:sectPr>
          <w:pgSz w:w="16840" w:h="11910" w:orient="landscape"/>
          <w:pgMar w:header="877" w:footer="1195" w:top="1180" w:bottom="1380" w:left="1340" w:right="1420"/>
        </w:sectPr>
      </w:pPr>
    </w:p>
    <w:p>
      <w:pPr>
        <w:pStyle w:val="BodyText"/>
        <w:ind w:left="0"/>
        <w:rPr>
          <w:sz w:val="20"/>
        </w:rPr>
      </w:pPr>
    </w:p>
    <w:p>
      <w:pPr>
        <w:pStyle w:val="BodyText"/>
        <w:spacing w:before="2"/>
        <w:ind w:left="0"/>
        <w:rPr>
          <w:sz w:val="2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1"/>
        <w:gridCol w:w="3567"/>
        <w:gridCol w:w="4899"/>
        <w:gridCol w:w="2270"/>
      </w:tblGrid>
      <w:tr>
        <w:trPr>
          <w:trHeight w:val="817" w:hRule="atLeast"/>
        </w:trPr>
        <w:tc>
          <w:tcPr>
            <w:tcW w:w="3111" w:type="dxa"/>
          </w:tcPr>
          <w:p>
            <w:pPr>
              <w:pStyle w:val="TableParagraph"/>
              <w:rPr>
                <w:rFonts w:ascii="Times New Roman"/>
                <w:sz w:val="20"/>
              </w:rPr>
            </w:pPr>
          </w:p>
        </w:tc>
        <w:tc>
          <w:tcPr>
            <w:tcW w:w="3567" w:type="dxa"/>
          </w:tcPr>
          <w:p>
            <w:pPr>
              <w:pStyle w:val="TableParagraph"/>
              <w:rPr>
                <w:rFonts w:ascii="Times New Roman"/>
                <w:sz w:val="20"/>
              </w:rPr>
            </w:pPr>
          </w:p>
        </w:tc>
        <w:tc>
          <w:tcPr>
            <w:tcW w:w="4899" w:type="dxa"/>
          </w:tcPr>
          <w:p>
            <w:pPr>
              <w:pStyle w:val="TableParagraph"/>
              <w:spacing w:before="1"/>
              <w:ind w:left="107"/>
              <w:rPr>
                <w:sz w:val="21"/>
              </w:rPr>
            </w:pPr>
            <w:r>
              <w:rPr>
                <w:sz w:val="21"/>
              </w:rPr>
              <w:t>益的情形。</w:t>
            </w:r>
          </w:p>
          <w:p>
            <w:pPr>
              <w:pStyle w:val="TableParagraph"/>
              <w:spacing w:before="2"/>
              <w:ind w:left="107"/>
              <w:rPr>
                <w:sz w:val="21"/>
              </w:rPr>
            </w:pPr>
            <w:r>
              <w:rPr>
                <w:spacing w:val="10"/>
                <w:sz w:val="21"/>
              </w:rPr>
              <w:t>薪酬与考核委员会同意将上述议案提交董事会审</w:t>
            </w:r>
          </w:p>
          <w:p>
            <w:pPr>
              <w:pStyle w:val="TableParagraph"/>
              <w:spacing w:line="252" w:lineRule="exact" w:before="4"/>
              <w:ind w:left="107"/>
              <w:rPr>
                <w:sz w:val="21"/>
              </w:rPr>
            </w:pPr>
            <w:r>
              <w:rPr>
                <w:sz w:val="21"/>
              </w:rPr>
              <w:t>议。</w:t>
            </w:r>
          </w:p>
        </w:tc>
        <w:tc>
          <w:tcPr>
            <w:tcW w:w="2270" w:type="dxa"/>
          </w:tcPr>
          <w:p>
            <w:pPr>
              <w:pStyle w:val="TableParagraph"/>
              <w:rPr>
                <w:rFonts w:ascii="Times New Roman"/>
                <w:sz w:val="20"/>
              </w:rPr>
            </w:pPr>
          </w:p>
        </w:tc>
      </w:tr>
    </w:tbl>
    <w:p>
      <w:pPr>
        <w:pStyle w:val="BodyText"/>
        <w:spacing w:before="1"/>
        <w:ind w:left="100"/>
      </w:pPr>
      <w:r>
        <w:rPr>
          <w:w w:val="100"/>
        </w:rPr>
        <w:t> </w:t>
      </w:r>
    </w:p>
    <w:p>
      <w:pPr>
        <w:pStyle w:val="BodyText"/>
        <w:spacing w:before="2"/>
        <w:ind w:left="100"/>
      </w:pPr>
      <w:r>
        <w:rPr>
          <w:w w:val="100"/>
        </w:rPr>
        <w:t> </w:t>
      </w:r>
    </w:p>
    <w:p>
      <w:pPr>
        <w:pStyle w:val="ListParagraph"/>
        <w:numPr>
          <w:ilvl w:val="0"/>
          <w:numId w:val="10"/>
        </w:numPr>
        <w:tabs>
          <w:tab w:pos="524" w:val="left" w:leader="none"/>
        </w:tabs>
        <w:spacing w:line="240" w:lineRule="auto" w:before="2" w:after="0"/>
        <w:ind w:left="523" w:right="0" w:hanging="424"/>
        <w:jc w:val="left"/>
        <w:rPr>
          <w:sz w:val="21"/>
        </w:rPr>
      </w:pPr>
      <w:r>
        <w:rPr>
          <w:sz w:val="21"/>
        </w:rPr>
        <w:t>存在异议事项的具体情况</w:t>
      </w:r>
    </w:p>
    <w:p>
      <w:pPr>
        <w:pStyle w:val="BodyText"/>
        <w:spacing w:before="5"/>
        <w:ind w:left="100"/>
      </w:pPr>
      <w:r>
        <w:rPr>
          <w:spacing w:val="11"/>
        </w:rPr>
        <w:t>□适用 √不适用</w:t>
      </w:r>
      <w:r>
        <w:rPr>
          <w:spacing w:val="-3"/>
        </w:rPr>
        <w:t> </w:t>
      </w:r>
      <w:r>
        <w:rPr/>
        <w:t> </w:t>
      </w:r>
    </w:p>
    <w:p>
      <w:pPr>
        <w:pStyle w:val="BodyText"/>
        <w:spacing w:before="2"/>
        <w:ind w:left="100"/>
      </w:pPr>
      <w:r>
        <w:rPr>
          <w:w w:val="100"/>
        </w:rPr>
        <w:t> </w:t>
      </w:r>
    </w:p>
    <w:p>
      <w:pPr>
        <w:pStyle w:val="BodyText"/>
        <w:spacing w:before="65"/>
        <w:ind w:left="100"/>
      </w:pPr>
      <w:r>
        <w:rPr>
          <w:spacing w:val="-11"/>
        </w:rPr>
        <w:t>八、 监事会发现公司存在风险的说明</w:t>
      </w:r>
    </w:p>
    <w:p>
      <w:pPr>
        <w:pStyle w:val="BodyText"/>
        <w:spacing w:before="62"/>
        <w:ind w:left="100"/>
      </w:pPr>
      <w:r>
        <w:rPr/>
        <w:t>□适用 √不适用</w:t>
      </w:r>
      <w:r>
        <w:rPr>
          <w:spacing w:val="-3"/>
        </w:rPr>
        <w:t> </w:t>
      </w:r>
      <w:r>
        <w:rPr/>
        <w:t> </w:t>
      </w:r>
    </w:p>
    <w:p>
      <w:pPr>
        <w:pStyle w:val="BodyText"/>
        <w:spacing w:before="5"/>
        <w:ind w:left="100"/>
      </w:pPr>
      <w:r>
        <w:rPr>
          <w:spacing w:val="-1"/>
        </w:rPr>
        <w:t>监事会对报告期内的监督事项无异议。</w:t>
      </w:r>
      <w:r>
        <w:rPr/>
        <w:t> </w:t>
      </w:r>
    </w:p>
    <w:p>
      <w:pPr>
        <w:spacing w:after="0"/>
        <w:sectPr>
          <w:pgSz w:w="16840" w:h="11910" w:orient="landscape"/>
          <w:pgMar w:header="877" w:footer="1195" w:top="1180" w:bottom="1380" w:left="1340" w:right="1420"/>
        </w:sectPr>
      </w:pPr>
    </w:p>
    <w:p>
      <w:pPr>
        <w:pStyle w:val="BodyText"/>
        <w:spacing w:before="68"/>
        <w:ind w:left="118"/>
      </w:pPr>
      <w:r>
        <w:rPr>
          <w:w w:val="100"/>
        </w:rPr>
        <w:t> </w:t>
      </w:r>
    </w:p>
    <w:p>
      <w:pPr>
        <w:pStyle w:val="BodyText"/>
        <w:spacing w:before="65"/>
        <w:ind w:left="118"/>
      </w:pPr>
      <w:r>
        <w:rPr>
          <w:spacing w:val="-11"/>
        </w:rPr>
        <w:t>九、 报告期末母公司和主要子公司的员工情况</w:t>
      </w:r>
      <w:r>
        <w:rPr/>
        <w:t> </w:t>
      </w:r>
    </w:p>
    <w:p>
      <w:pPr>
        <w:spacing w:before="62"/>
        <w:ind w:left="118" w:right="0" w:firstLine="0"/>
        <w:jc w:val="left"/>
        <w:rPr>
          <w:sz w:val="21"/>
        </w:rPr>
      </w:pPr>
      <w:r>
        <w:rPr>
          <w:rFonts w:ascii="Calibri" w:eastAsia="Calibri"/>
          <w:b/>
          <w:sz w:val="21"/>
        </w:rPr>
        <w:t>(</w:t>
      </w:r>
      <w:r>
        <w:rPr>
          <w:sz w:val="21"/>
        </w:rPr>
        <w:t>一</w:t>
      </w:r>
      <w:r>
        <w:rPr>
          <w:rFonts w:ascii="Calibri" w:eastAsia="Calibri"/>
          <w:b/>
          <w:spacing w:val="20"/>
          <w:sz w:val="21"/>
        </w:rPr>
        <w:t>) </w:t>
      </w:r>
      <w:r>
        <w:rPr>
          <w:sz w:val="21"/>
        </w:rPr>
        <w:t>员工情况</w:t>
      </w:r>
    </w:p>
    <w:p>
      <w:pPr>
        <w:pStyle w:val="BodyText"/>
        <w:spacing w:before="12"/>
        <w:ind w:left="0"/>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270" w:hRule="atLeast"/>
        </w:trPr>
        <w:tc>
          <w:tcPr>
            <w:tcW w:w="4412" w:type="dxa"/>
          </w:tcPr>
          <w:p>
            <w:pPr>
              <w:pStyle w:val="TableParagraph"/>
              <w:spacing w:line="250" w:lineRule="exact" w:before="1"/>
              <w:ind w:left="107"/>
              <w:rPr>
                <w:sz w:val="21"/>
              </w:rPr>
            </w:pPr>
            <w:r>
              <w:rPr>
                <w:spacing w:val="-1"/>
                <w:sz w:val="21"/>
              </w:rPr>
              <w:t>母公司在职员工的数量</w:t>
            </w:r>
            <w:r>
              <w:rPr>
                <w:sz w:val="21"/>
              </w:rPr>
              <w:t> </w:t>
            </w:r>
          </w:p>
        </w:tc>
        <w:tc>
          <w:tcPr>
            <w:tcW w:w="4412" w:type="dxa"/>
          </w:tcPr>
          <w:p>
            <w:pPr>
              <w:pStyle w:val="TableParagraph"/>
              <w:spacing w:line="235" w:lineRule="exact"/>
              <w:ind w:right="93"/>
              <w:jc w:val="right"/>
              <w:rPr>
                <w:rFonts w:ascii="Times New Roman"/>
                <w:sz w:val="21"/>
              </w:rPr>
            </w:pPr>
            <w:r>
              <w:rPr>
                <w:rFonts w:ascii="Times New Roman"/>
                <w:sz w:val="21"/>
              </w:rPr>
              <w:t>301</w:t>
            </w:r>
          </w:p>
        </w:tc>
      </w:tr>
      <w:tr>
        <w:trPr>
          <w:trHeight w:val="273" w:hRule="atLeast"/>
        </w:trPr>
        <w:tc>
          <w:tcPr>
            <w:tcW w:w="4412" w:type="dxa"/>
          </w:tcPr>
          <w:p>
            <w:pPr>
              <w:pStyle w:val="TableParagraph"/>
              <w:spacing w:line="250" w:lineRule="exact" w:before="3"/>
              <w:ind w:left="107"/>
              <w:rPr>
                <w:sz w:val="21"/>
              </w:rPr>
            </w:pPr>
            <w:r>
              <w:rPr>
                <w:spacing w:val="-1"/>
                <w:sz w:val="21"/>
              </w:rPr>
              <w:t>主要子公司在职员工的数量 </w:t>
            </w:r>
          </w:p>
        </w:tc>
        <w:tc>
          <w:tcPr>
            <w:tcW w:w="4412" w:type="dxa"/>
          </w:tcPr>
          <w:p>
            <w:pPr>
              <w:pStyle w:val="TableParagraph"/>
              <w:spacing w:line="237" w:lineRule="exact"/>
              <w:ind w:right="93"/>
              <w:jc w:val="right"/>
              <w:rPr>
                <w:rFonts w:ascii="Times New Roman"/>
                <w:sz w:val="21"/>
              </w:rPr>
            </w:pPr>
            <w:r>
              <w:rPr>
                <w:rFonts w:ascii="Times New Roman"/>
                <w:sz w:val="21"/>
              </w:rPr>
              <w:t>198,772</w:t>
            </w:r>
          </w:p>
        </w:tc>
      </w:tr>
      <w:tr>
        <w:trPr>
          <w:trHeight w:val="273" w:hRule="atLeast"/>
        </w:trPr>
        <w:tc>
          <w:tcPr>
            <w:tcW w:w="4412" w:type="dxa"/>
          </w:tcPr>
          <w:p>
            <w:pPr>
              <w:pStyle w:val="TableParagraph"/>
              <w:spacing w:line="252" w:lineRule="exact" w:before="1"/>
              <w:ind w:left="107"/>
              <w:rPr>
                <w:sz w:val="21"/>
              </w:rPr>
            </w:pPr>
            <w:r>
              <w:rPr>
                <w:spacing w:val="-1"/>
                <w:sz w:val="21"/>
              </w:rPr>
              <w:t>在职员工的数量合计</w:t>
            </w:r>
            <w:r>
              <w:rPr>
                <w:sz w:val="21"/>
              </w:rPr>
              <w:t> </w:t>
            </w:r>
          </w:p>
        </w:tc>
        <w:tc>
          <w:tcPr>
            <w:tcW w:w="4412" w:type="dxa"/>
          </w:tcPr>
          <w:p>
            <w:pPr>
              <w:pStyle w:val="TableParagraph"/>
              <w:spacing w:line="235" w:lineRule="exact"/>
              <w:ind w:right="93"/>
              <w:jc w:val="right"/>
              <w:rPr>
                <w:rFonts w:ascii="Times New Roman"/>
                <w:sz w:val="21"/>
              </w:rPr>
            </w:pPr>
            <w:r>
              <w:rPr>
                <w:rFonts w:ascii="Times New Roman"/>
                <w:sz w:val="21"/>
              </w:rPr>
              <w:t>199,073</w:t>
            </w:r>
          </w:p>
        </w:tc>
      </w:tr>
      <w:tr>
        <w:trPr>
          <w:trHeight w:val="544" w:hRule="atLeast"/>
        </w:trPr>
        <w:tc>
          <w:tcPr>
            <w:tcW w:w="4412" w:type="dxa"/>
          </w:tcPr>
          <w:p>
            <w:pPr>
              <w:pStyle w:val="TableParagraph"/>
              <w:spacing w:before="1"/>
              <w:ind w:left="107"/>
              <w:rPr>
                <w:sz w:val="21"/>
              </w:rPr>
            </w:pPr>
            <w:r>
              <w:rPr>
                <w:sz w:val="21"/>
              </w:rPr>
              <w:t>母公司及主要子公司需承担费用的离退休职</w:t>
            </w:r>
          </w:p>
          <w:p>
            <w:pPr>
              <w:pStyle w:val="TableParagraph"/>
              <w:spacing w:line="252" w:lineRule="exact" w:before="2"/>
              <w:ind w:left="107"/>
              <w:rPr>
                <w:sz w:val="21"/>
              </w:rPr>
            </w:pPr>
            <w:r>
              <w:rPr>
                <w:sz w:val="21"/>
              </w:rPr>
              <w:t>工人数 </w:t>
            </w:r>
          </w:p>
        </w:tc>
        <w:tc>
          <w:tcPr>
            <w:tcW w:w="4412" w:type="dxa"/>
          </w:tcPr>
          <w:p>
            <w:pPr>
              <w:pStyle w:val="TableParagraph"/>
              <w:spacing w:line="235" w:lineRule="exact"/>
              <w:ind w:right="96"/>
              <w:jc w:val="right"/>
              <w:rPr>
                <w:rFonts w:ascii="Times New Roman"/>
                <w:sz w:val="21"/>
              </w:rPr>
            </w:pPr>
            <w:r>
              <w:rPr>
                <w:rFonts w:ascii="Times New Roman"/>
                <w:w w:val="100"/>
                <w:sz w:val="21"/>
              </w:rPr>
              <w:t>0</w:t>
            </w:r>
          </w:p>
        </w:tc>
      </w:tr>
      <w:tr>
        <w:trPr>
          <w:trHeight w:val="273" w:hRule="atLeast"/>
        </w:trPr>
        <w:tc>
          <w:tcPr>
            <w:tcW w:w="8824" w:type="dxa"/>
            <w:gridSpan w:val="2"/>
          </w:tcPr>
          <w:p>
            <w:pPr>
              <w:pStyle w:val="TableParagraph"/>
              <w:spacing w:line="252" w:lineRule="exact" w:before="1"/>
              <w:ind w:left="3972" w:right="3961"/>
              <w:jc w:val="center"/>
              <w:rPr>
                <w:sz w:val="21"/>
              </w:rPr>
            </w:pPr>
            <w:r>
              <w:rPr>
                <w:sz w:val="21"/>
              </w:rPr>
              <w:t>专业构成</w:t>
            </w:r>
          </w:p>
        </w:tc>
      </w:tr>
      <w:tr>
        <w:trPr>
          <w:trHeight w:val="270" w:hRule="atLeast"/>
        </w:trPr>
        <w:tc>
          <w:tcPr>
            <w:tcW w:w="4412" w:type="dxa"/>
          </w:tcPr>
          <w:p>
            <w:pPr>
              <w:pStyle w:val="TableParagraph"/>
              <w:spacing w:line="250" w:lineRule="exact" w:before="1"/>
              <w:ind w:right="1459"/>
              <w:jc w:val="right"/>
              <w:rPr>
                <w:sz w:val="21"/>
              </w:rPr>
            </w:pPr>
            <w:r>
              <w:rPr>
                <w:spacing w:val="-1"/>
                <w:sz w:val="21"/>
              </w:rPr>
              <w:t>专业构成类别</w:t>
            </w:r>
            <w:r>
              <w:rPr>
                <w:sz w:val="21"/>
              </w:rPr>
              <w:t> </w:t>
            </w:r>
          </w:p>
        </w:tc>
        <w:tc>
          <w:tcPr>
            <w:tcW w:w="4412" w:type="dxa"/>
          </w:tcPr>
          <w:p>
            <w:pPr>
              <w:pStyle w:val="TableParagraph"/>
              <w:spacing w:line="250" w:lineRule="exact" w:before="1"/>
              <w:ind w:left="1555" w:right="1546"/>
              <w:jc w:val="center"/>
              <w:rPr>
                <w:sz w:val="21"/>
              </w:rPr>
            </w:pPr>
            <w:r>
              <w:rPr>
                <w:sz w:val="21"/>
              </w:rPr>
              <w:t>专业构成人数</w:t>
            </w:r>
          </w:p>
        </w:tc>
      </w:tr>
      <w:tr>
        <w:trPr>
          <w:trHeight w:val="273" w:hRule="atLeast"/>
        </w:trPr>
        <w:tc>
          <w:tcPr>
            <w:tcW w:w="4412" w:type="dxa"/>
          </w:tcPr>
          <w:p>
            <w:pPr>
              <w:pStyle w:val="TableParagraph"/>
              <w:spacing w:line="252" w:lineRule="exact" w:before="1"/>
              <w:ind w:left="1555" w:right="1441"/>
              <w:jc w:val="center"/>
              <w:rPr>
                <w:sz w:val="21"/>
              </w:rPr>
            </w:pPr>
            <w:r>
              <w:rPr>
                <w:spacing w:val="-1"/>
                <w:sz w:val="21"/>
              </w:rPr>
              <w:t>生产人员</w:t>
            </w:r>
            <w:r>
              <w:rPr>
                <w:sz w:val="21"/>
              </w:rPr>
              <w:t> </w:t>
            </w:r>
          </w:p>
        </w:tc>
        <w:tc>
          <w:tcPr>
            <w:tcW w:w="4412" w:type="dxa"/>
          </w:tcPr>
          <w:p>
            <w:pPr>
              <w:pStyle w:val="TableParagraph"/>
              <w:spacing w:line="235" w:lineRule="exact"/>
              <w:ind w:right="93"/>
              <w:jc w:val="right"/>
              <w:rPr>
                <w:rFonts w:ascii="Times New Roman"/>
                <w:sz w:val="21"/>
              </w:rPr>
            </w:pPr>
            <w:r>
              <w:rPr>
                <w:rFonts w:ascii="Times New Roman"/>
                <w:sz w:val="21"/>
              </w:rPr>
              <w:t>122,653</w:t>
            </w:r>
          </w:p>
        </w:tc>
      </w:tr>
      <w:tr>
        <w:trPr>
          <w:trHeight w:val="270" w:hRule="atLeast"/>
        </w:trPr>
        <w:tc>
          <w:tcPr>
            <w:tcW w:w="4412" w:type="dxa"/>
          </w:tcPr>
          <w:p>
            <w:pPr>
              <w:pStyle w:val="TableParagraph"/>
              <w:spacing w:line="250" w:lineRule="exact" w:before="1"/>
              <w:ind w:left="1555" w:right="1441"/>
              <w:jc w:val="center"/>
              <w:rPr>
                <w:sz w:val="21"/>
              </w:rPr>
            </w:pPr>
            <w:r>
              <w:rPr>
                <w:spacing w:val="-1"/>
                <w:sz w:val="21"/>
              </w:rPr>
              <w:t>销售人员</w:t>
            </w:r>
            <w:r>
              <w:rPr>
                <w:sz w:val="21"/>
              </w:rPr>
              <w:t> </w:t>
            </w:r>
          </w:p>
        </w:tc>
        <w:tc>
          <w:tcPr>
            <w:tcW w:w="4412" w:type="dxa"/>
          </w:tcPr>
          <w:p>
            <w:pPr>
              <w:pStyle w:val="TableParagraph"/>
              <w:spacing w:line="235" w:lineRule="exact"/>
              <w:ind w:right="93"/>
              <w:jc w:val="right"/>
              <w:rPr>
                <w:rFonts w:ascii="Times New Roman"/>
                <w:sz w:val="21"/>
              </w:rPr>
            </w:pPr>
            <w:r>
              <w:rPr>
                <w:rFonts w:ascii="Times New Roman"/>
                <w:sz w:val="21"/>
              </w:rPr>
              <w:t>5,946</w:t>
            </w:r>
          </w:p>
        </w:tc>
      </w:tr>
      <w:tr>
        <w:trPr>
          <w:trHeight w:val="273" w:hRule="atLeast"/>
        </w:trPr>
        <w:tc>
          <w:tcPr>
            <w:tcW w:w="4412" w:type="dxa"/>
          </w:tcPr>
          <w:p>
            <w:pPr>
              <w:pStyle w:val="TableParagraph"/>
              <w:spacing w:line="250" w:lineRule="exact" w:before="3"/>
              <w:ind w:left="1555" w:right="1441"/>
              <w:jc w:val="center"/>
              <w:rPr>
                <w:sz w:val="21"/>
              </w:rPr>
            </w:pPr>
            <w:r>
              <w:rPr>
                <w:spacing w:val="-1"/>
                <w:sz w:val="21"/>
              </w:rPr>
              <w:t>技术人员</w:t>
            </w:r>
            <w:r>
              <w:rPr>
                <w:sz w:val="21"/>
              </w:rPr>
              <w:t> </w:t>
            </w:r>
          </w:p>
        </w:tc>
        <w:tc>
          <w:tcPr>
            <w:tcW w:w="4412" w:type="dxa"/>
          </w:tcPr>
          <w:p>
            <w:pPr>
              <w:pStyle w:val="TableParagraph"/>
              <w:spacing w:line="237" w:lineRule="exact"/>
              <w:ind w:right="93"/>
              <w:jc w:val="right"/>
              <w:rPr>
                <w:rFonts w:ascii="Times New Roman"/>
                <w:sz w:val="21"/>
              </w:rPr>
            </w:pPr>
            <w:r>
              <w:rPr>
                <w:rFonts w:ascii="Times New Roman"/>
                <w:sz w:val="21"/>
              </w:rPr>
              <w:t>65,701</w:t>
            </w:r>
          </w:p>
        </w:tc>
      </w:tr>
      <w:tr>
        <w:trPr>
          <w:trHeight w:val="273" w:hRule="atLeast"/>
        </w:trPr>
        <w:tc>
          <w:tcPr>
            <w:tcW w:w="4412" w:type="dxa"/>
          </w:tcPr>
          <w:p>
            <w:pPr>
              <w:pStyle w:val="TableParagraph"/>
              <w:spacing w:line="252" w:lineRule="exact" w:before="1"/>
              <w:ind w:left="1555" w:right="1441"/>
              <w:jc w:val="center"/>
              <w:rPr>
                <w:sz w:val="21"/>
              </w:rPr>
            </w:pPr>
            <w:r>
              <w:rPr>
                <w:spacing w:val="-1"/>
                <w:sz w:val="21"/>
              </w:rPr>
              <w:t>财务人员</w:t>
            </w:r>
            <w:r>
              <w:rPr>
                <w:sz w:val="21"/>
              </w:rPr>
              <w:t> </w:t>
            </w:r>
          </w:p>
        </w:tc>
        <w:tc>
          <w:tcPr>
            <w:tcW w:w="4412" w:type="dxa"/>
          </w:tcPr>
          <w:p>
            <w:pPr>
              <w:pStyle w:val="TableParagraph"/>
              <w:spacing w:line="235" w:lineRule="exact"/>
              <w:ind w:right="93"/>
              <w:jc w:val="right"/>
              <w:rPr>
                <w:rFonts w:ascii="Times New Roman"/>
                <w:sz w:val="21"/>
              </w:rPr>
            </w:pPr>
            <w:r>
              <w:rPr>
                <w:rFonts w:ascii="Times New Roman"/>
                <w:sz w:val="21"/>
              </w:rPr>
              <w:t>899</w:t>
            </w:r>
          </w:p>
        </w:tc>
      </w:tr>
      <w:tr>
        <w:trPr>
          <w:trHeight w:val="270" w:hRule="atLeast"/>
        </w:trPr>
        <w:tc>
          <w:tcPr>
            <w:tcW w:w="4412" w:type="dxa"/>
          </w:tcPr>
          <w:p>
            <w:pPr>
              <w:pStyle w:val="TableParagraph"/>
              <w:spacing w:line="250" w:lineRule="exact" w:before="1"/>
              <w:ind w:left="1555" w:right="1441"/>
              <w:jc w:val="center"/>
              <w:rPr>
                <w:sz w:val="21"/>
              </w:rPr>
            </w:pPr>
            <w:r>
              <w:rPr>
                <w:spacing w:val="-1"/>
                <w:sz w:val="21"/>
              </w:rPr>
              <w:t>行政人员</w:t>
            </w:r>
            <w:r>
              <w:rPr>
                <w:sz w:val="21"/>
              </w:rPr>
              <w:t> </w:t>
            </w:r>
          </w:p>
        </w:tc>
        <w:tc>
          <w:tcPr>
            <w:tcW w:w="4412" w:type="dxa"/>
          </w:tcPr>
          <w:p>
            <w:pPr>
              <w:pStyle w:val="TableParagraph"/>
              <w:spacing w:line="235" w:lineRule="exact"/>
              <w:ind w:right="93"/>
              <w:jc w:val="right"/>
              <w:rPr>
                <w:rFonts w:ascii="Times New Roman"/>
                <w:sz w:val="21"/>
              </w:rPr>
            </w:pPr>
            <w:r>
              <w:rPr>
                <w:rFonts w:ascii="Times New Roman"/>
                <w:sz w:val="21"/>
              </w:rPr>
              <w:t>3,874</w:t>
            </w:r>
          </w:p>
        </w:tc>
      </w:tr>
      <w:tr>
        <w:trPr>
          <w:trHeight w:val="273" w:hRule="atLeast"/>
        </w:trPr>
        <w:tc>
          <w:tcPr>
            <w:tcW w:w="4412" w:type="dxa"/>
          </w:tcPr>
          <w:p>
            <w:pPr>
              <w:pStyle w:val="TableParagraph"/>
              <w:spacing w:line="250" w:lineRule="exact" w:before="3"/>
              <w:ind w:left="1555" w:right="1442"/>
              <w:jc w:val="center"/>
              <w:rPr>
                <w:sz w:val="21"/>
              </w:rPr>
            </w:pPr>
            <w:r>
              <w:rPr>
                <w:sz w:val="21"/>
              </w:rPr>
              <w:t>合计 </w:t>
            </w:r>
          </w:p>
        </w:tc>
        <w:tc>
          <w:tcPr>
            <w:tcW w:w="4412" w:type="dxa"/>
          </w:tcPr>
          <w:p>
            <w:pPr>
              <w:pStyle w:val="TableParagraph"/>
              <w:spacing w:line="237" w:lineRule="exact"/>
              <w:ind w:right="93"/>
              <w:jc w:val="right"/>
              <w:rPr>
                <w:rFonts w:ascii="Times New Roman"/>
                <w:sz w:val="21"/>
              </w:rPr>
            </w:pPr>
            <w:r>
              <w:rPr>
                <w:rFonts w:ascii="Times New Roman"/>
                <w:sz w:val="21"/>
              </w:rPr>
              <w:t>199,073</w:t>
            </w:r>
          </w:p>
        </w:tc>
      </w:tr>
      <w:tr>
        <w:trPr>
          <w:trHeight w:val="273" w:hRule="atLeast"/>
        </w:trPr>
        <w:tc>
          <w:tcPr>
            <w:tcW w:w="8824" w:type="dxa"/>
            <w:gridSpan w:val="2"/>
          </w:tcPr>
          <w:p>
            <w:pPr>
              <w:pStyle w:val="TableParagraph"/>
              <w:spacing w:line="252" w:lineRule="exact" w:before="1"/>
              <w:ind w:left="3972" w:right="3961"/>
              <w:jc w:val="center"/>
              <w:rPr>
                <w:sz w:val="21"/>
              </w:rPr>
            </w:pPr>
            <w:r>
              <w:rPr>
                <w:sz w:val="21"/>
              </w:rPr>
              <w:t>教育程度</w:t>
            </w:r>
          </w:p>
        </w:tc>
      </w:tr>
      <w:tr>
        <w:trPr>
          <w:trHeight w:val="270" w:hRule="atLeast"/>
        </w:trPr>
        <w:tc>
          <w:tcPr>
            <w:tcW w:w="4412" w:type="dxa"/>
          </w:tcPr>
          <w:p>
            <w:pPr>
              <w:pStyle w:val="TableParagraph"/>
              <w:spacing w:line="250" w:lineRule="exact" w:before="1"/>
              <w:ind w:right="1459"/>
              <w:jc w:val="right"/>
              <w:rPr>
                <w:sz w:val="21"/>
              </w:rPr>
            </w:pPr>
            <w:r>
              <w:rPr>
                <w:spacing w:val="-1"/>
                <w:sz w:val="21"/>
              </w:rPr>
              <w:t>教育程度类别</w:t>
            </w:r>
            <w:r>
              <w:rPr>
                <w:sz w:val="21"/>
              </w:rPr>
              <w:t> </w:t>
            </w:r>
          </w:p>
        </w:tc>
        <w:tc>
          <w:tcPr>
            <w:tcW w:w="4412" w:type="dxa"/>
          </w:tcPr>
          <w:p>
            <w:pPr>
              <w:pStyle w:val="TableParagraph"/>
              <w:spacing w:line="250" w:lineRule="exact" w:before="1"/>
              <w:ind w:left="1555" w:right="1544"/>
              <w:jc w:val="center"/>
              <w:rPr>
                <w:sz w:val="21"/>
              </w:rPr>
            </w:pPr>
            <w:r>
              <w:rPr>
                <w:sz w:val="21"/>
              </w:rPr>
              <w:t>数量（人）</w:t>
            </w:r>
          </w:p>
        </w:tc>
      </w:tr>
      <w:tr>
        <w:trPr>
          <w:trHeight w:val="273" w:hRule="atLeast"/>
        </w:trPr>
        <w:tc>
          <w:tcPr>
            <w:tcW w:w="4412" w:type="dxa"/>
          </w:tcPr>
          <w:p>
            <w:pPr>
              <w:pStyle w:val="TableParagraph"/>
              <w:spacing w:line="252" w:lineRule="exact" w:before="1"/>
              <w:ind w:left="1555" w:right="1441"/>
              <w:jc w:val="center"/>
              <w:rPr>
                <w:sz w:val="21"/>
              </w:rPr>
            </w:pPr>
            <w:r>
              <w:rPr>
                <w:sz w:val="21"/>
              </w:rPr>
              <w:t>硕士及以上 </w:t>
            </w:r>
          </w:p>
        </w:tc>
        <w:tc>
          <w:tcPr>
            <w:tcW w:w="4412" w:type="dxa"/>
          </w:tcPr>
          <w:p>
            <w:pPr>
              <w:pStyle w:val="TableParagraph"/>
              <w:spacing w:line="235" w:lineRule="exact"/>
              <w:ind w:right="93"/>
              <w:jc w:val="right"/>
              <w:rPr>
                <w:rFonts w:ascii="Times New Roman"/>
                <w:sz w:val="21"/>
              </w:rPr>
            </w:pPr>
            <w:r>
              <w:rPr>
                <w:rFonts w:ascii="Times New Roman"/>
                <w:sz w:val="21"/>
              </w:rPr>
              <w:t>3,665</w:t>
            </w:r>
          </w:p>
        </w:tc>
      </w:tr>
      <w:tr>
        <w:trPr>
          <w:trHeight w:val="273" w:hRule="atLeast"/>
        </w:trPr>
        <w:tc>
          <w:tcPr>
            <w:tcW w:w="4412" w:type="dxa"/>
          </w:tcPr>
          <w:p>
            <w:pPr>
              <w:pStyle w:val="TableParagraph"/>
              <w:spacing w:line="252" w:lineRule="exact" w:before="1"/>
              <w:ind w:left="1555" w:right="1441"/>
              <w:jc w:val="center"/>
              <w:rPr>
                <w:sz w:val="21"/>
              </w:rPr>
            </w:pPr>
            <w:r>
              <w:rPr>
                <w:sz w:val="21"/>
              </w:rPr>
              <w:t>大专及本科 </w:t>
            </w:r>
          </w:p>
        </w:tc>
        <w:tc>
          <w:tcPr>
            <w:tcW w:w="4412" w:type="dxa"/>
          </w:tcPr>
          <w:p>
            <w:pPr>
              <w:pStyle w:val="TableParagraph"/>
              <w:spacing w:line="235" w:lineRule="exact"/>
              <w:ind w:right="93"/>
              <w:jc w:val="right"/>
              <w:rPr>
                <w:rFonts w:ascii="Times New Roman"/>
                <w:sz w:val="21"/>
              </w:rPr>
            </w:pPr>
            <w:r>
              <w:rPr>
                <w:rFonts w:ascii="Times New Roman"/>
                <w:sz w:val="21"/>
              </w:rPr>
              <w:t>54,075</w:t>
            </w:r>
          </w:p>
        </w:tc>
      </w:tr>
      <w:tr>
        <w:trPr>
          <w:trHeight w:val="270" w:hRule="atLeast"/>
        </w:trPr>
        <w:tc>
          <w:tcPr>
            <w:tcW w:w="4412" w:type="dxa"/>
          </w:tcPr>
          <w:p>
            <w:pPr>
              <w:pStyle w:val="TableParagraph"/>
              <w:spacing w:line="250" w:lineRule="exact" w:before="1"/>
              <w:ind w:left="1555" w:right="1441"/>
              <w:jc w:val="center"/>
              <w:rPr>
                <w:sz w:val="21"/>
              </w:rPr>
            </w:pPr>
            <w:r>
              <w:rPr>
                <w:spacing w:val="-1"/>
                <w:sz w:val="21"/>
              </w:rPr>
              <w:t>大专以下</w:t>
            </w:r>
            <w:r>
              <w:rPr>
                <w:sz w:val="21"/>
              </w:rPr>
              <w:t> </w:t>
            </w:r>
          </w:p>
        </w:tc>
        <w:tc>
          <w:tcPr>
            <w:tcW w:w="4412" w:type="dxa"/>
          </w:tcPr>
          <w:p>
            <w:pPr>
              <w:pStyle w:val="TableParagraph"/>
              <w:spacing w:line="235" w:lineRule="exact"/>
              <w:ind w:right="93"/>
              <w:jc w:val="right"/>
              <w:rPr>
                <w:rFonts w:ascii="Times New Roman"/>
                <w:sz w:val="21"/>
              </w:rPr>
            </w:pPr>
            <w:r>
              <w:rPr>
                <w:rFonts w:ascii="Times New Roman"/>
                <w:sz w:val="21"/>
              </w:rPr>
              <w:t>141,333</w:t>
            </w:r>
          </w:p>
        </w:tc>
      </w:tr>
      <w:tr>
        <w:trPr>
          <w:trHeight w:val="273" w:hRule="atLeast"/>
        </w:trPr>
        <w:tc>
          <w:tcPr>
            <w:tcW w:w="4412" w:type="dxa"/>
          </w:tcPr>
          <w:p>
            <w:pPr>
              <w:pStyle w:val="TableParagraph"/>
              <w:spacing w:line="252" w:lineRule="exact" w:before="1"/>
              <w:ind w:left="1555" w:right="1442"/>
              <w:jc w:val="center"/>
              <w:rPr>
                <w:sz w:val="21"/>
              </w:rPr>
            </w:pPr>
            <w:r>
              <w:rPr>
                <w:sz w:val="21"/>
              </w:rPr>
              <w:t>合计 </w:t>
            </w:r>
          </w:p>
        </w:tc>
        <w:tc>
          <w:tcPr>
            <w:tcW w:w="4412" w:type="dxa"/>
          </w:tcPr>
          <w:p>
            <w:pPr>
              <w:pStyle w:val="TableParagraph"/>
              <w:spacing w:line="235" w:lineRule="exact"/>
              <w:ind w:right="93"/>
              <w:jc w:val="right"/>
              <w:rPr>
                <w:rFonts w:ascii="Times New Roman"/>
                <w:sz w:val="21"/>
              </w:rPr>
            </w:pPr>
            <w:r>
              <w:rPr>
                <w:rFonts w:ascii="Times New Roman"/>
                <w:sz w:val="21"/>
              </w:rPr>
              <w:t>199,073</w:t>
            </w:r>
          </w:p>
        </w:tc>
      </w:tr>
    </w:tbl>
    <w:p>
      <w:pPr>
        <w:pStyle w:val="BodyText"/>
        <w:spacing w:before="1"/>
        <w:ind w:left="118"/>
      </w:pPr>
      <w:r>
        <w:rPr>
          <w:w w:val="100"/>
        </w:rPr>
        <w:t> </w:t>
      </w:r>
    </w:p>
    <w:p>
      <w:pPr>
        <w:spacing w:before="65"/>
        <w:ind w:left="118" w:right="0" w:firstLine="0"/>
        <w:jc w:val="left"/>
        <w:rPr>
          <w:sz w:val="21"/>
        </w:rPr>
      </w:pPr>
      <w:r>
        <w:rPr>
          <w:rFonts w:ascii="Calibri" w:eastAsia="Calibri"/>
          <w:b/>
          <w:sz w:val="21"/>
        </w:rPr>
        <w:t>(</w:t>
      </w:r>
      <w:r>
        <w:rPr>
          <w:sz w:val="21"/>
        </w:rPr>
        <w:t>二</w:t>
      </w:r>
      <w:r>
        <w:rPr>
          <w:rFonts w:ascii="Calibri" w:eastAsia="Calibri"/>
          <w:b/>
          <w:spacing w:val="20"/>
          <w:sz w:val="21"/>
        </w:rPr>
        <w:t>) </w:t>
      </w:r>
      <w:r>
        <w:rPr>
          <w:sz w:val="21"/>
        </w:rPr>
        <w:t>薪酬政策</w:t>
      </w:r>
    </w:p>
    <w:p>
      <w:pPr>
        <w:pStyle w:val="BodyText"/>
        <w:spacing w:before="62"/>
        <w:ind w:left="118"/>
      </w:pPr>
      <w:r>
        <w:rPr>
          <w:spacing w:val="11"/>
        </w:rPr>
        <w:t>√适用 □不适用</w:t>
      </w:r>
      <w:r>
        <w:rPr>
          <w:spacing w:val="-3"/>
        </w:rPr>
        <w:t> </w:t>
      </w:r>
      <w:r>
        <w:rPr/>
        <w:t> </w:t>
      </w:r>
    </w:p>
    <w:p>
      <w:pPr>
        <w:pStyle w:val="BodyText"/>
        <w:spacing w:line="364" w:lineRule="auto" w:before="2"/>
        <w:ind w:left="118" w:right="308" w:firstLine="419"/>
        <w:jc w:val="both"/>
      </w:pPr>
      <w:r>
        <w:rPr/>
        <w:t>公司为吸引并留任人才，保持人才的市场竞争力制定薪酬政策，以对员工工作绩效体现的相应报酬为原则，激励人才努力工作，创造更好的绩效为目标。薪酬包含固定薪资（标准薪资、职务津贴、岗位津贴）、及变动薪资（年终奖金、目标达成激励奖金、绩效奖金）。</w:t>
      </w:r>
    </w:p>
    <w:p>
      <w:pPr>
        <w:pStyle w:val="BodyText"/>
        <w:spacing w:line="364" w:lineRule="auto"/>
        <w:ind w:left="118" w:right="318" w:firstLine="419"/>
      </w:pPr>
      <w:r>
        <w:rPr>
          <w:rFonts w:ascii="Times New Roman" w:eastAsia="Times New Roman"/>
        </w:rPr>
        <w:t>1</w:t>
      </w:r>
      <w:r>
        <w:rPr/>
        <w:t>、固定薪资：公司遵循劳动法提供优于当地最低工资的薪资，并依据当地生活水平、对标行业市场，制定不同岗位及技能等级的标准薪资级距表，发放固定薪资保障员工生活；</w:t>
      </w:r>
    </w:p>
    <w:p>
      <w:pPr>
        <w:pStyle w:val="BodyText"/>
        <w:spacing w:line="364" w:lineRule="auto"/>
        <w:ind w:left="118" w:right="99" w:firstLine="419"/>
      </w:pPr>
      <w:r>
        <w:rPr>
          <w:rFonts w:ascii="Times New Roman" w:eastAsia="Times New Roman"/>
        </w:rPr>
        <w:t>2</w:t>
      </w:r>
      <w:r>
        <w:rPr/>
        <w:t>、变动薪资：每年除发放年终奖金外、依订定的目标发放目标达成激励奖金，公司提拨一</w:t>
      </w:r>
      <w:r>
        <w:rPr>
          <w:spacing w:val="25"/>
        </w:rPr>
        <w:t> </w:t>
      </w:r>
      <w:r>
        <w:rPr/>
        <w:t>定的盈余作为绩效奖金结合员工绩效发放，以期激发员工的工作积极性，提高公司整体的竞争力。</w:t>
      </w:r>
    </w:p>
    <w:p>
      <w:pPr>
        <w:pStyle w:val="BodyText"/>
        <w:spacing w:line="364" w:lineRule="auto"/>
        <w:ind w:left="118" w:right="98" w:firstLine="419"/>
      </w:pPr>
      <w:r>
        <w:rPr/>
        <w:t>公司通过不断完善薪酬结构，优化薪酬分配体系，强化绩效考核制度并与奖金分配挂钩，激</w:t>
      </w:r>
      <w:r>
        <w:rPr>
          <w:spacing w:val="1"/>
        </w:rPr>
        <w:t> </w:t>
      </w:r>
      <w:r>
        <w:rPr/>
        <w:t>发员工潜在能力，达到薪酬激励作用。另外，公司持续实施员工股权激励计划，以增加员工凝聚</w:t>
      </w:r>
      <w:r>
        <w:rPr>
          <w:spacing w:val="1"/>
        </w:rPr>
        <w:t> </w:t>
      </w:r>
      <w:r>
        <w:rPr>
          <w:spacing w:val="-4"/>
        </w:rPr>
        <w:t>力及工作积极性，实现公司与员工双赢。在 </w:t>
      </w:r>
      <w:r>
        <w:rPr>
          <w:rFonts w:ascii="Times New Roman" w:eastAsia="Times New Roman"/>
        </w:rPr>
        <w:t>2021</w:t>
      </w:r>
      <w:r>
        <w:rPr>
          <w:rFonts w:ascii="Times New Roman" w:eastAsia="Times New Roman"/>
          <w:spacing w:val="-5"/>
        </w:rPr>
        <w:t> </w:t>
      </w:r>
      <w:r>
        <w:rPr>
          <w:spacing w:val="-4"/>
        </w:rPr>
        <w:t>年年度股东大会决议通过 </w:t>
      </w:r>
      <w:r>
        <w:rPr>
          <w:rFonts w:ascii="Times New Roman" w:eastAsia="Times New Roman"/>
        </w:rPr>
        <w:t>2022</w:t>
      </w:r>
      <w:r>
        <w:rPr>
          <w:rFonts w:ascii="Times New Roman" w:eastAsia="Times New Roman"/>
          <w:spacing w:val="-2"/>
        </w:rPr>
        <w:t> </w:t>
      </w:r>
      <w:r>
        <w:rPr/>
        <w:t>年员工持股计划，</w:t>
      </w:r>
      <w:r>
        <w:rPr>
          <w:spacing w:val="-102"/>
        </w:rPr>
        <w:t> </w:t>
      </w:r>
      <w:r>
        <w:rPr/>
        <w:t>进一步提升公司薪酬竞争力，吸引人才，激励员工，充份发挥员工积极性，建立与公司之间利益</w:t>
      </w:r>
      <w:r>
        <w:rPr>
          <w:spacing w:val="1"/>
        </w:rPr>
        <w:t> </w:t>
      </w:r>
      <w:r>
        <w:rPr/>
        <w:t>共享、风险共担的机制，将公司中长期利益与员工经济收益挂钩，促进公司市值提升。员工持股</w:t>
      </w:r>
      <w:r>
        <w:rPr>
          <w:spacing w:val="1"/>
        </w:rPr>
        <w:t> </w:t>
      </w:r>
      <w:r>
        <w:rPr/>
        <w:t>计划，计提未来专项奖金 </w:t>
      </w:r>
      <w:r>
        <w:rPr>
          <w:rFonts w:ascii="Times New Roman" w:eastAsia="Times New Roman"/>
        </w:rPr>
        <w:t>20</w:t>
      </w:r>
      <w:r>
        <w:rPr>
          <w:rFonts w:ascii="Times New Roman" w:eastAsia="Times New Roman"/>
          <w:spacing w:val="39"/>
        </w:rPr>
        <w:t> </w:t>
      </w:r>
      <w:r>
        <w:rPr/>
        <w:t>亿，设置为本次持股计划的资金，授予全球绩优核心干部，参与本</w:t>
      </w:r>
    </w:p>
    <w:p>
      <w:pPr>
        <w:pStyle w:val="BodyText"/>
        <w:spacing w:line="266" w:lineRule="exact"/>
        <w:ind w:left="118"/>
      </w:pPr>
      <w:r>
        <w:rPr>
          <w:spacing w:val="-4"/>
        </w:rPr>
        <w:t>计划员工无需出资，预估参与人数可达 </w:t>
      </w:r>
      <w:r>
        <w:rPr>
          <w:rFonts w:ascii="Times New Roman" w:eastAsia="Times New Roman"/>
        </w:rPr>
        <w:t>12,000</w:t>
      </w:r>
      <w:r>
        <w:rPr>
          <w:rFonts w:ascii="Times New Roman" w:eastAsia="Times New Roman"/>
          <w:spacing w:val="-10"/>
        </w:rPr>
        <w:t> </w:t>
      </w:r>
      <w:r>
        <w:rPr/>
        <w:t>人。</w:t>
      </w:r>
    </w:p>
    <w:p>
      <w:pPr>
        <w:pStyle w:val="BodyText"/>
        <w:spacing w:line="364" w:lineRule="auto" w:before="140"/>
        <w:ind w:left="118" w:right="310" w:firstLine="419"/>
      </w:pPr>
      <w:r>
        <w:rPr/>
        <w:t>公司建立完善的社会保障体系，除了遵循国家劳动法规要求为员工办理各项保险及公积金提缴外，更为员工购买商业性医疗自保为员工医疗需求更加一层保障。</w:t>
      </w:r>
    </w:p>
    <w:p>
      <w:pPr>
        <w:spacing w:after="0" w:line="364" w:lineRule="auto"/>
        <w:sectPr>
          <w:headerReference w:type="default" r:id="rId30"/>
          <w:footerReference w:type="default" r:id="rId31"/>
          <w:pgSz w:w="11910" w:h="16840"/>
          <w:pgMar w:header="877" w:footer="1180" w:top="1440" w:bottom="1360" w:left="1680" w:right="960"/>
        </w:sectPr>
      </w:pPr>
    </w:p>
    <w:p>
      <w:pPr>
        <w:pStyle w:val="BodyText"/>
        <w:ind w:left="0"/>
        <w:rPr>
          <w:sz w:val="20"/>
        </w:rPr>
      </w:pPr>
    </w:p>
    <w:p>
      <w:pPr>
        <w:pStyle w:val="BodyText"/>
        <w:spacing w:before="9"/>
        <w:ind w:left="0"/>
      </w:pPr>
    </w:p>
    <w:p>
      <w:pPr>
        <w:spacing w:before="79"/>
        <w:ind w:left="118" w:right="0" w:firstLine="0"/>
        <w:jc w:val="both"/>
        <w:rPr>
          <w:sz w:val="21"/>
        </w:rPr>
      </w:pPr>
      <w:r>
        <w:rPr>
          <w:rFonts w:ascii="Times New Roman" w:eastAsia="Times New Roman"/>
          <w:b/>
          <w:sz w:val="21"/>
        </w:rPr>
        <w:t>(</w:t>
      </w:r>
      <w:r>
        <w:rPr>
          <w:sz w:val="21"/>
        </w:rPr>
        <w:t>三</w:t>
      </w:r>
      <w:r>
        <w:rPr>
          <w:rFonts w:ascii="Times New Roman" w:eastAsia="Times New Roman"/>
          <w:b/>
          <w:spacing w:val="10"/>
          <w:sz w:val="21"/>
        </w:rPr>
        <w:t>) </w:t>
      </w:r>
      <w:r>
        <w:rPr>
          <w:sz w:val="21"/>
        </w:rPr>
        <w:t>培训计划</w:t>
      </w:r>
    </w:p>
    <w:p>
      <w:pPr>
        <w:pStyle w:val="BodyText"/>
        <w:spacing w:before="62"/>
        <w:ind w:left="118"/>
        <w:jc w:val="both"/>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line="364" w:lineRule="auto" w:before="4"/>
        <w:ind w:left="118" w:right="308" w:firstLine="419"/>
        <w:jc w:val="both"/>
      </w:pPr>
      <w:r>
        <w:rPr/>
        <w:t>工业富联作为全球数字经济产业领军企业，以朝向新兴产业技术发展为战略指导，对标事业单位绩效目标制定培训计划，通过不同层级培训规划，合理开展各层级培训，助力公司全员共同成长。</w:t>
      </w:r>
    </w:p>
    <w:p>
      <w:pPr>
        <w:pStyle w:val="ListParagraph"/>
        <w:numPr>
          <w:ilvl w:val="1"/>
          <w:numId w:val="10"/>
        </w:numPr>
        <w:tabs>
          <w:tab w:pos="698" w:val="left" w:leader="none"/>
        </w:tabs>
        <w:spacing w:line="364" w:lineRule="auto" w:before="0" w:after="0"/>
        <w:ind w:left="118" w:right="307" w:firstLine="419"/>
        <w:jc w:val="both"/>
        <w:rPr>
          <w:sz w:val="21"/>
        </w:rPr>
      </w:pPr>
      <w:r>
        <w:rPr>
          <w:sz w:val="21"/>
        </w:rPr>
        <w:t>以公司战略发展目标为指导：公司定期组织中高层管理干部进行新兴产业技术学习，并依照实际经营发展方向研订政策指导方向；主管通过学习提升自身专业，并在不断学习的过程中，</w:t>
      </w:r>
      <w:r>
        <w:rPr>
          <w:spacing w:val="-103"/>
          <w:sz w:val="21"/>
        </w:rPr>
        <w:t> </w:t>
      </w:r>
      <w:r>
        <w:rPr>
          <w:sz w:val="21"/>
        </w:rPr>
        <w:t>实现公司文化塑造与深耕，落实管理模式，带领公司实现战略发展目标。</w:t>
      </w:r>
    </w:p>
    <w:p>
      <w:pPr>
        <w:pStyle w:val="ListParagraph"/>
        <w:numPr>
          <w:ilvl w:val="1"/>
          <w:numId w:val="10"/>
        </w:numPr>
        <w:tabs>
          <w:tab w:pos="698" w:val="left" w:leader="none"/>
        </w:tabs>
        <w:spacing w:line="364" w:lineRule="auto" w:before="0" w:after="0"/>
        <w:ind w:left="118" w:right="308" w:firstLine="419"/>
        <w:jc w:val="both"/>
        <w:rPr>
          <w:sz w:val="21"/>
        </w:rPr>
      </w:pPr>
      <w:r>
        <w:rPr>
          <w:sz w:val="21"/>
        </w:rPr>
        <w:t>培训策略与实施方案对标事业单位绩效目标，并定时检核达成状况：鼓励基层主管从公司文化的研读研讨中，深化全员文化认同；组织基层管理人员进行管理技能学习，并开展相关管理能力提升培训；落实岗位专业技能培训，使基层主管完成个人技能改善并不断实现专业与管理能力提升。</w:t>
      </w:r>
    </w:p>
    <w:p>
      <w:pPr>
        <w:pStyle w:val="ListParagraph"/>
        <w:numPr>
          <w:ilvl w:val="1"/>
          <w:numId w:val="10"/>
        </w:numPr>
        <w:tabs>
          <w:tab w:pos="698" w:val="left" w:leader="none"/>
        </w:tabs>
        <w:spacing w:line="364" w:lineRule="auto" w:before="0" w:after="0"/>
        <w:ind w:left="118" w:right="105" w:firstLine="419"/>
        <w:jc w:val="left"/>
        <w:rPr>
          <w:sz w:val="21"/>
        </w:rPr>
      </w:pPr>
      <w:r>
        <w:rPr>
          <w:sz w:val="21"/>
        </w:rPr>
        <w:t>助力公司全员共同成长：公司结合战略布局，着重在云及边缘计算、工业互联网、智慧家</w:t>
      </w:r>
      <w:r>
        <w:rPr>
          <w:spacing w:val="1"/>
          <w:sz w:val="21"/>
        </w:rPr>
        <w:t> </w:t>
      </w:r>
      <w:r>
        <w:rPr>
          <w:sz w:val="21"/>
        </w:rPr>
        <w:t>居、</w:t>
      </w:r>
      <w:r>
        <w:rPr>
          <w:rFonts w:ascii="Times New Roman" w:eastAsia="Times New Roman"/>
          <w:sz w:val="21"/>
        </w:rPr>
        <w:t>5G</w:t>
      </w:r>
      <w:r>
        <w:rPr>
          <w:rFonts w:ascii="Times New Roman" w:eastAsia="Times New Roman"/>
          <w:spacing w:val="36"/>
          <w:sz w:val="21"/>
        </w:rPr>
        <w:t> </w:t>
      </w:r>
      <w:r>
        <w:rPr>
          <w:sz w:val="21"/>
        </w:rPr>
        <w:t>及网络通讯设备、智能手机及智慧穿戴设备等前沿研发领域发展，朝向精益化、自动化、信息化、智能化方向培育智才，引领员工完善并精进技术与专业。并面向全体员工开展公司规章</w:t>
      </w:r>
      <w:r>
        <w:rPr>
          <w:spacing w:val="1"/>
          <w:sz w:val="21"/>
        </w:rPr>
        <w:t> </w:t>
      </w:r>
      <w:r>
        <w:rPr>
          <w:sz w:val="21"/>
        </w:rPr>
        <w:t>制度与企业文化培训，关注员工身心健康并提供专业知识课程；定期组织专业技术及办公技巧培</w:t>
      </w:r>
      <w:r>
        <w:rPr>
          <w:spacing w:val="1"/>
          <w:sz w:val="21"/>
        </w:rPr>
        <w:t> </w:t>
      </w:r>
      <w:r>
        <w:rPr>
          <w:sz w:val="21"/>
        </w:rPr>
        <w:t>训，重视员工自我管理、提供多元学习平台、及学历教育成长提升的机会。提供经验丰富的师资</w:t>
      </w:r>
      <w:r>
        <w:rPr>
          <w:spacing w:val="1"/>
          <w:sz w:val="21"/>
        </w:rPr>
        <w:t> </w:t>
      </w:r>
      <w:r>
        <w:rPr>
          <w:sz w:val="21"/>
        </w:rPr>
        <w:t>力量，全面打造数字化转型所需人才的能力培养体系，为公司数字化转型提供最佳升级助力。公</w:t>
      </w:r>
      <w:r>
        <w:rPr>
          <w:spacing w:val="1"/>
          <w:sz w:val="21"/>
        </w:rPr>
        <w:t> </w:t>
      </w:r>
      <w:r>
        <w:rPr>
          <w:spacing w:val="-1"/>
          <w:sz w:val="21"/>
        </w:rPr>
        <w:t>司依岗位与职级，规范员工每年至少完成 </w:t>
      </w:r>
      <w:r>
        <w:rPr>
          <w:rFonts w:ascii="Times New Roman" w:eastAsia="Times New Roman"/>
          <w:sz w:val="21"/>
        </w:rPr>
        <w:t>40</w:t>
      </w:r>
      <w:r>
        <w:rPr>
          <w:rFonts w:ascii="Times New Roman" w:eastAsia="Times New Roman"/>
          <w:spacing w:val="30"/>
          <w:sz w:val="21"/>
        </w:rPr>
        <w:t> </w:t>
      </w:r>
      <w:r>
        <w:rPr>
          <w:sz w:val="21"/>
        </w:rPr>
        <w:t>学时的课程学习，全年提供超过 </w:t>
      </w:r>
      <w:r>
        <w:rPr>
          <w:rFonts w:ascii="Times New Roman" w:eastAsia="Times New Roman"/>
          <w:sz w:val="21"/>
        </w:rPr>
        <w:t>1,000</w:t>
      </w:r>
      <w:r>
        <w:rPr>
          <w:rFonts w:ascii="Times New Roman" w:eastAsia="Times New Roman"/>
          <w:spacing w:val="30"/>
          <w:sz w:val="21"/>
        </w:rPr>
        <w:t> </w:t>
      </w:r>
      <w:r>
        <w:rPr>
          <w:sz w:val="21"/>
        </w:rPr>
        <w:t>万学时数课</w:t>
      </w:r>
    </w:p>
    <w:p>
      <w:pPr>
        <w:pStyle w:val="BodyText"/>
        <w:spacing w:line="265" w:lineRule="exact"/>
        <w:ind w:left="118"/>
      </w:pPr>
      <w:r>
        <w:rPr>
          <w:spacing w:val="-5"/>
        </w:rPr>
        <w:t>程，总培训投入成本每年达 </w:t>
      </w:r>
      <w:r>
        <w:rPr>
          <w:rFonts w:ascii="Times New Roman" w:eastAsia="Times New Roman"/>
        </w:rPr>
        <w:t>5</w:t>
      </w:r>
      <w:r>
        <w:rPr>
          <w:rFonts w:ascii="Times New Roman" w:eastAsia="Times New Roman"/>
          <w:spacing w:val="-12"/>
        </w:rPr>
        <w:t> </w:t>
      </w:r>
      <w:r>
        <w:rPr/>
        <w:t>亿元，提供员工学习与成长的平台。</w:t>
      </w:r>
    </w:p>
    <w:p>
      <w:pPr>
        <w:pStyle w:val="BodyText"/>
        <w:spacing w:before="135"/>
        <w:ind w:left="538"/>
      </w:pPr>
      <w:r>
        <w:rPr>
          <w:spacing w:val="-1"/>
        </w:rPr>
        <w:t>此外，公司从新人培训、职业培训、干部培训三大体系支持人才持续发展。</w:t>
      </w:r>
    </w:p>
    <w:p>
      <w:pPr>
        <w:pStyle w:val="ListParagraph"/>
        <w:numPr>
          <w:ilvl w:val="0"/>
          <w:numId w:val="23"/>
        </w:numPr>
        <w:tabs>
          <w:tab w:pos="698" w:val="left" w:leader="none"/>
        </w:tabs>
        <w:spacing w:line="364" w:lineRule="auto" w:before="141" w:after="0"/>
        <w:ind w:left="118" w:right="99" w:firstLine="419"/>
        <w:jc w:val="left"/>
        <w:rPr>
          <w:sz w:val="21"/>
        </w:rPr>
      </w:pPr>
      <w:r>
        <w:rPr>
          <w:sz w:val="21"/>
        </w:rPr>
        <w:t>新人培训从入职引导培训出发，包括文化价值观解读、公司策略布局与产品业务介绍，以</w:t>
      </w:r>
      <w:r>
        <w:rPr>
          <w:spacing w:val="1"/>
          <w:sz w:val="21"/>
        </w:rPr>
        <w:t> </w:t>
      </w:r>
      <w:r>
        <w:rPr>
          <w:sz w:val="21"/>
        </w:rPr>
        <w:t>及政策制度与规则流程倡导，从而坚定员工信心。同时，部门为新员工开展岗位知识与技能培训，</w:t>
      </w:r>
      <w:r>
        <w:rPr>
          <w:spacing w:val="-102"/>
          <w:sz w:val="21"/>
        </w:rPr>
        <w:t> </w:t>
      </w:r>
      <w:r>
        <w:rPr>
          <w:sz w:val="21"/>
        </w:rPr>
        <w:t>帮助新员工理解岗位职责，设定工作目标共同作战，发挥并提升个人工作能力，收获认可获得归</w:t>
      </w:r>
      <w:r>
        <w:rPr>
          <w:spacing w:val="1"/>
          <w:sz w:val="21"/>
        </w:rPr>
        <w:t> </w:t>
      </w:r>
      <w:r>
        <w:rPr>
          <w:sz w:val="21"/>
        </w:rPr>
        <w:t>属。</w:t>
      </w:r>
    </w:p>
    <w:p>
      <w:pPr>
        <w:pStyle w:val="ListParagraph"/>
        <w:numPr>
          <w:ilvl w:val="0"/>
          <w:numId w:val="23"/>
        </w:numPr>
        <w:tabs>
          <w:tab w:pos="698" w:val="left" w:leader="none"/>
        </w:tabs>
        <w:spacing w:line="364" w:lineRule="auto" w:before="0" w:after="0"/>
        <w:ind w:left="118" w:right="308" w:firstLine="419"/>
        <w:jc w:val="both"/>
        <w:rPr>
          <w:sz w:val="21"/>
        </w:rPr>
      </w:pPr>
      <w:r>
        <w:rPr>
          <w:sz w:val="21"/>
        </w:rPr>
        <w:t>职业培训包含公司发展策略与产业前沿培训、职系专业培训与职业认证、通用知识与技能培训、职业素养类培训等。完备的课程体系，数字化的在线学习平台，结合内外部优质讲师资源和规范化的培训管理体系，给予员工广阔的学习空间。</w:t>
      </w:r>
    </w:p>
    <w:p>
      <w:pPr>
        <w:pStyle w:val="ListParagraph"/>
        <w:numPr>
          <w:ilvl w:val="0"/>
          <w:numId w:val="23"/>
        </w:numPr>
        <w:tabs>
          <w:tab w:pos="698" w:val="left" w:leader="none"/>
        </w:tabs>
        <w:spacing w:line="364" w:lineRule="auto" w:before="0" w:after="0"/>
        <w:ind w:left="118" w:right="308" w:firstLine="419"/>
        <w:jc w:val="both"/>
        <w:rPr>
          <w:sz w:val="21"/>
        </w:rPr>
      </w:pPr>
      <w:r>
        <w:rPr>
          <w:sz w:val="21"/>
        </w:rPr>
        <w:t>管理干部培训从文化力、领导力、通用力三大能力素质培养公司关键核心干部团队。文化力方面，以公司核心价值观为导向，共识公司品牌形象，传承文化价值观，提升管理质量。领导力方面，承接公司发展战略，助力管理者提升团队绩效，业务互联。通用力方面，对齐公司经营理念，开展永续经营、数字化升级、内部控制、人资财经、工作效能等培训，实现管理干部与公司共创共赢。</w:t>
      </w:r>
    </w:p>
    <w:p>
      <w:pPr>
        <w:spacing w:after="0" w:line="364" w:lineRule="auto"/>
        <w:jc w:val="both"/>
        <w:rPr>
          <w:sz w:val="21"/>
        </w:rPr>
        <w:sectPr>
          <w:pgSz w:w="11910" w:h="16840"/>
          <w:pgMar w:header="877" w:footer="1180" w:top="1440" w:bottom="1380" w:left="1680" w:right="960"/>
        </w:sectPr>
      </w:pPr>
    </w:p>
    <w:p>
      <w:pPr>
        <w:pStyle w:val="BodyText"/>
        <w:spacing w:before="68"/>
        <w:ind w:left="118"/>
      </w:pPr>
      <w:r>
        <w:rPr>
          <w:w w:val="100"/>
        </w:rPr>
        <w:t> </w:t>
      </w:r>
    </w:p>
    <w:p>
      <w:pPr>
        <w:spacing w:before="65"/>
        <w:ind w:left="118" w:right="0" w:firstLine="0"/>
        <w:jc w:val="left"/>
        <w:rPr>
          <w:sz w:val="21"/>
        </w:rPr>
      </w:pPr>
      <w:r>
        <w:rPr>
          <w:rFonts w:ascii="Calibri" w:eastAsia="Calibri"/>
          <w:b/>
          <w:sz w:val="21"/>
        </w:rPr>
        <w:t>(</w:t>
      </w:r>
      <w:r>
        <w:rPr>
          <w:sz w:val="21"/>
        </w:rPr>
        <w:t>四</w:t>
      </w:r>
      <w:r>
        <w:rPr>
          <w:rFonts w:ascii="Calibri" w:eastAsia="Calibri"/>
          <w:b/>
          <w:spacing w:val="18"/>
          <w:sz w:val="21"/>
        </w:rPr>
        <w:t>) </w:t>
      </w:r>
      <w:r>
        <w:rPr>
          <w:sz w:val="21"/>
        </w:rPr>
        <w:t>劳务外包情况</w:t>
      </w:r>
    </w:p>
    <w:p>
      <w:pPr>
        <w:pStyle w:val="BodyText"/>
        <w:spacing w:before="62"/>
        <w:ind w:left="118"/>
      </w:pPr>
      <w:r>
        <w:rPr>
          <w:spacing w:val="-1"/>
        </w:rPr>
        <w:t>□适用 √不适用</w:t>
      </w:r>
      <w:r>
        <w:rPr>
          <w:spacing w:val="-3"/>
        </w:rPr>
        <w:t> </w:t>
      </w:r>
      <w:r>
        <w:rPr/>
        <w:t> </w:t>
      </w:r>
    </w:p>
    <w:p>
      <w:pPr>
        <w:pStyle w:val="BodyText"/>
        <w:spacing w:before="65"/>
        <w:ind w:left="118"/>
      </w:pPr>
      <w:r>
        <w:rPr>
          <w:spacing w:val="-9"/>
        </w:rPr>
        <w:t>十、 利润分配或资本公积金转增预案</w:t>
      </w:r>
    </w:p>
    <w:p>
      <w:pPr>
        <w:pStyle w:val="BodyText"/>
        <w:spacing w:before="62"/>
        <w:ind w:left="118"/>
      </w:pPr>
      <w:r>
        <w:rPr>
          <w:rFonts w:ascii="Calibri" w:eastAsia="Calibri"/>
          <w:b/>
        </w:rPr>
        <w:t>(</w:t>
      </w:r>
      <w:r>
        <w:rPr/>
        <w:t>一</w:t>
      </w:r>
      <w:r>
        <w:rPr>
          <w:rFonts w:ascii="Calibri" w:eastAsia="Calibri"/>
          <w:b/>
          <w:spacing w:val="18"/>
        </w:rPr>
        <w:t>) </w:t>
      </w:r>
      <w:r>
        <w:rPr/>
        <w:t>现金分红政策的制定、执行或调整情况</w:t>
      </w:r>
    </w:p>
    <w:p>
      <w:pPr>
        <w:pStyle w:val="BodyText"/>
        <w:spacing w:before="64"/>
        <w:ind w:left="118"/>
      </w:pPr>
      <w:r>
        <w:rPr>
          <w:spacing w:val="11"/>
        </w:rPr>
        <w:t>√适用 □不适用</w:t>
      </w:r>
      <w:r>
        <w:rPr>
          <w:spacing w:val="-3"/>
        </w:rPr>
        <w:t> </w:t>
      </w:r>
      <w:r>
        <w:rPr/>
        <w:t> </w:t>
      </w:r>
    </w:p>
    <w:p>
      <w:pPr>
        <w:pStyle w:val="BodyText"/>
        <w:spacing w:line="364" w:lineRule="auto" w:before="2"/>
        <w:ind w:left="118" w:right="308" w:firstLine="419"/>
        <w:jc w:val="both"/>
      </w:pPr>
      <w:r>
        <w:rPr>
          <w:rFonts w:ascii="Times New Roman" w:eastAsia="Times New Roman"/>
        </w:rPr>
        <w:t>1</w:t>
      </w:r>
      <w:r>
        <w:rPr/>
        <w:t>、根据《公司章程》及《富士康工业互联网股份有限公司首次公开发行人民币普通股（</w:t>
      </w:r>
      <w:r>
        <w:rPr>
          <w:rFonts w:ascii="Times New Roman" w:eastAsia="Times New Roman"/>
        </w:rPr>
        <w:t>A</w:t>
      </w:r>
      <w:r>
        <w:rPr>
          <w:rFonts w:ascii="Times New Roman" w:eastAsia="Times New Roman"/>
          <w:spacing w:val="1"/>
        </w:rPr>
        <w:t> </w:t>
      </w:r>
      <w:r>
        <w:rPr/>
        <w:t>股）股票并上市后股东分红回报三年规划》的规定，公司的利润分配着眼于公司的长远和可持续发展，综合考虑公司实际经营情况、未来发展目标、股东意愿和要求、公司的盈利情况和现金流量状况、经营发展规划及企业所处的发展阶段、资金需求情况、社会资金成本和外部融资环境等因素，建立对投资者持续、稳定、科学的回报机制，从而对股利分配做出制度性安排，以保证公司股利分配政策的连续性和稳定性。</w:t>
      </w:r>
    </w:p>
    <w:p>
      <w:pPr>
        <w:pStyle w:val="BodyText"/>
        <w:spacing w:line="364" w:lineRule="auto"/>
        <w:ind w:left="118" w:right="307" w:firstLine="419"/>
        <w:jc w:val="both"/>
      </w:pPr>
      <w:r>
        <w:rPr/>
        <w:t>公司每一年度实现的盈利在依法弥补亏损、提取法定公积金和一般准备后有可分配利润的，</w:t>
      </w:r>
      <w:r>
        <w:rPr>
          <w:spacing w:val="-103"/>
        </w:rPr>
        <w:t> </w:t>
      </w:r>
      <w:r>
        <w:rPr/>
        <w:t>可以进行现金分红。任何三个连续年度内，公司以现金累计分配的利润不少于该三年实现的年均</w:t>
      </w:r>
      <w:r>
        <w:rPr>
          <w:spacing w:val="-12"/>
        </w:rPr>
        <w:t>可分配利润 </w:t>
      </w:r>
      <w:r>
        <w:rPr>
          <w:rFonts w:ascii="Times New Roman" w:eastAsia="Times New Roman"/>
          <w:spacing w:val="-1"/>
        </w:rPr>
        <w:t>30%</w:t>
      </w:r>
      <w:r>
        <w:rPr>
          <w:spacing w:val="-3"/>
        </w:rPr>
        <w:t>；年度以现金方式分配的利润一般不少于当年度实现的可分配利润的 </w:t>
      </w:r>
      <w:r>
        <w:rPr>
          <w:rFonts w:ascii="Times New Roman" w:eastAsia="Times New Roman"/>
        </w:rPr>
        <w:t>10%</w:t>
      </w:r>
      <w:r>
        <w:rPr/>
        <w:t>。公司董事会将综合考虑所处行业特点、发展阶段、自身经营模式、盈利水平以及是否有重大资金支出安排等因素，并按照《公司章程》规定的程序，提出差异化的现金分红政策：</w:t>
      </w:r>
    </w:p>
    <w:p>
      <w:pPr>
        <w:pStyle w:val="ListParagraph"/>
        <w:numPr>
          <w:ilvl w:val="0"/>
          <w:numId w:val="24"/>
        </w:numPr>
        <w:tabs>
          <w:tab w:pos="865" w:val="left" w:leader="none"/>
        </w:tabs>
        <w:spacing w:line="364" w:lineRule="auto" w:before="0" w:after="0"/>
        <w:ind w:left="118" w:right="317" w:firstLine="211"/>
        <w:jc w:val="left"/>
        <w:rPr>
          <w:sz w:val="21"/>
        </w:rPr>
      </w:pPr>
      <w:r>
        <w:rPr>
          <w:sz w:val="21"/>
        </w:rPr>
        <w:t>公司发展阶段属成熟期且无重大资金支出安排的，进行利润分配时，现金分红在本次利</w:t>
      </w:r>
      <w:r>
        <w:rPr>
          <w:spacing w:val="-4"/>
          <w:sz w:val="21"/>
        </w:rPr>
        <w:t>润分配中所占比例最低应达到 </w:t>
      </w:r>
      <w:r>
        <w:rPr>
          <w:rFonts w:ascii="Times New Roman" w:eastAsia="Times New Roman"/>
          <w:sz w:val="21"/>
        </w:rPr>
        <w:t>80%</w:t>
      </w:r>
      <w:r>
        <w:rPr>
          <w:sz w:val="21"/>
        </w:rPr>
        <w:t>；</w:t>
      </w:r>
    </w:p>
    <w:p>
      <w:pPr>
        <w:pStyle w:val="ListParagraph"/>
        <w:numPr>
          <w:ilvl w:val="0"/>
          <w:numId w:val="24"/>
        </w:numPr>
        <w:tabs>
          <w:tab w:pos="865" w:val="left" w:leader="none"/>
        </w:tabs>
        <w:spacing w:line="364" w:lineRule="auto" w:before="0" w:after="0"/>
        <w:ind w:left="118" w:right="317" w:firstLine="211"/>
        <w:jc w:val="left"/>
        <w:rPr>
          <w:sz w:val="21"/>
        </w:rPr>
      </w:pPr>
      <w:r>
        <w:rPr>
          <w:sz w:val="21"/>
        </w:rPr>
        <w:t>公司发展阶段属成熟期且有重大资金支出安排的，进行利润分配时，现金分红在本次利</w:t>
      </w:r>
      <w:r>
        <w:rPr>
          <w:spacing w:val="-4"/>
          <w:sz w:val="21"/>
        </w:rPr>
        <w:t>润分配中所占比例最低应达到 </w:t>
      </w:r>
      <w:r>
        <w:rPr>
          <w:rFonts w:ascii="Times New Roman" w:eastAsia="Times New Roman"/>
          <w:sz w:val="21"/>
        </w:rPr>
        <w:t>40%</w:t>
      </w:r>
      <w:r>
        <w:rPr>
          <w:sz w:val="21"/>
        </w:rPr>
        <w:t>；</w:t>
      </w:r>
    </w:p>
    <w:p>
      <w:pPr>
        <w:pStyle w:val="ListParagraph"/>
        <w:numPr>
          <w:ilvl w:val="0"/>
          <w:numId w:val="24"/>
        </w:numPr>
        <w:tabs>
          <w:tab w:pos="865" w:val="left" w:leader="none"/>
        </w:tabs>
        <w:spacing w:line="367" w:lineRule="auto" w:before="0" w:after="0"/>
        <w:ind w:left="118" w:right="317" w:firstLine="211"/>
        <w:jc w:val="left"/>
        <w:rPr>
          <w:sz w:val="21"/>
        </w:rPr>
      </w:pPr>
      <w:r>
        <w:rPr>
          <w:sz w:val="21"/>
        </w:rPr>
        <w:t>公司发展阶段属成长期且有重大资金支出安排的，进行利润分配时，现金分红在本次利</w:t>
      </w:r>
      <w:r>
        <w:rPr>
          <w:spacing w:val="-4"/>
          <w:sz w:val="21"/>
        </w:rPr>
        <w:t>润分配中所占比例最低应达到 </w:t>
      </w:r>
      <w:r>
        <w:rPr>
          <w:rFonts w:ascii="Times New Roman" w:eastAsia="Times New Roman"/>
          <w:sz w:val="21"/>
        </w:rPr>
        <w:t>20%</w:t>
      </w:r>
      <w:r>
        <w:rPr>
          <w:sz w:val="21"/>
        </w:rPr>
        <w:t>；</w:t>
      </w:r>
    </w:p>
    <w:p>
      <w:pPr>
        <w:pStyle w:val="ListParagraph"/>
        <w:numPr>
          <w:ilvl w:val="0"/>
          <w:numId w:val="24"/>
        </w:numPr>
        <w:tabs>
          <w:tab w:pos="859" w:val="left" w:leader="none"/>
        </w:tabs>
        <w:spacing w:line="264" w:lineRule="exact" w:before="0" w:after="0"/>
        <w:ind w:left="858" w:right="0" w:hanging="530"/>
        <w:jc w:val="left"/>
        <w:rPr>
          <w:sz w:val="21"/>
        </w:rPr>
      </w:pPr>
      <w:r>
        <w:rPr>
          <w:sz w:val="21"/>
        </w:rPr>
        <w:t>公司发展阶段不易区分但有重大资金支出安排的，可以按照前项规定处理。</w:t>
      </w:r>
    </w:p>
    <w:p>
      <w:pPr>
        <w:pStyle w:val="BodyText"/>
        <w:spacing w:before="133"/>
        <w:ind w:left="0" w:right="311"/>
        <w:jc w:val="right"/>
      </w:pPr>
      <w:r>
        <w:rPr>
          <w:rFonts w:ascii="Times New Roman" w:eastAsia="Times New Roman"/>
        </w:rPr>
        <w:t>2</w:t>
      </w:r>
      <w:r>
        <w:rPr>
          <w:spacing w:val="3"/>
        </w:rPr>
        <w:t>、根据本公司第二届董事会第三十次会议决议，公司 </w:t>
      </w:r>
      <w:r>
        <w:rPr>
          <w:rFonts w:ascii="Times New Roman" w:eastAsia="Times New Roman"/>
        </w:rPr>
        <w:t>2022</w:t>
      </w:r>
      <w:r>
        <w:rPr>
          <w:rFonts w:ascii="Times New Roman" w:eastAsia="Times New Roman"/>
          <w:spacing w:val="87"/>
        </w:rPr>
        <w:t> </w:t>
      </w:r>
      <w:r>
        <w:rPr/>
        <w:t>年度利润分配预案为：以实施</w:t>
      </w:r>
    </w:p>
    <w:p>
      <w:pPr>
        <w:pStyle w:val="BodyText"/>
        <w:spacing w:before="139"/>
        <w:ind w:left="0" w:right="312"/>
        <w:jc w:val="right"/>
      </w:pPr>
      <w:r>
        <w:rPr>
          <w:rFonts w:ascii="Times New Roman" w:eastAsia="Times New Roman"/>
        </w:rPr>
        <w:t>2022</w:t>
      </w:r>
      <w:r>
        <w:rPr>
          <w:rFonts w:ascii="Times New Roman" w:eastAsia="Times New Roman"/>
          <w:spacing w:val="16"/>
        </w:rPr>
        <w:t>   </w:t>
      </w:r>
      <w:r>
        <w:rPr/>
        <w:t>年度利润分配股权登记日的总股本（扣除拟回购注销的限制性股票）为基数，向全体股东</w:t>
      </w:r>
    </w:p>
    <w:p>
      <w:pPr>
        <w:pStyle w:val="BodyText"/>
        <w:spacing w:before="141"/>
        <w:ind w:left="118"/>
        <w:jc w:val="both"/>
      </w:pPr>
      <w:r>
        <w:rPr>
          <w:spacing w:val="-27"/>
        </w:rPr>
        <w:t>每 </w:t>
      </w:r>
      <w:r>
        <w:rPr>
          <w:rFonts w:ascii="Times New Roman" w:eastAsia="Times New Roman"/>
          <w:spacing w:val="-1"/>
        </w:rPr>
        <w:t>10</w:t>
      </w:r>
      <w:r>
        <w:rPr>
          <w:rFonts w:ascii="Times New Roman" w:eastAsia="Times New Roman"/>
          <w:spacing w:val="-10"/>
        </w:rPr>
        <w:t> </w:t>
      </w:r>
      <w:r>
        <w:rPr>
          <w:spacing w:val="-6"/>
        </w:rPr>
        <w:t>股派发现金红利人民币 </w:t>
      </w:r>
      <w:r>
        <w:rPr>
          <w:rFonts w:ascii="Times New Roman" w:eastAsia="Times New Roman"/>
        </w:rPr>
        <w:t>5.5</w:t>
      </w:r>
      <w:r>
        <w:rPr>
          <w:rFonts w:ascii="Times New Roman" w:eastAsia="Times New Roman"/>
          <w:spacing w:val="-10"/>
        </w:rPr>
        <w:t> </w:t>
      </w:r>
      <w:r>
        <w:rPr/>
        <w:t>元（含税）。</w:t>
      </w:r>
    </w:p>
    <w:p>
      <w:pPr>
        <w:pStyle w:val="BodyText"/>
        <w:spacing w:line="364" w:lineRule="auto" w:before="139"/>
        <w:ind w:left="118" w:right="308" w:firstLine="419"/>
        <w:jc w:val="both"/>
      </w:pPr>
      <w:r>
        <w:rPr/>
        <w:t>上述利润分配预案符合《公司章程》及审议程序的规定，审议程序合法、有效且充分考虑到中小投资者的合法权益，所有董事（包括独立董事）都表示同意；本预案尚需提交公司 </w:t>
      </w:r>
      <w:r>
        <w:rPr>
          <w:rFonts w:ascii="Times New Roman" w:eastAsia="Times New Roman"/>
        </w:rPr>
        <w:t>2022</w:t>
      </w:r>
      <w:r>
        <w:rPr>
          <w:rFonts w:ascii="Times New Roman" w:eastAsia="Times New Roman"/>
          <w:spacing w:val="38"/>
        </w:rPr>
        <w:t> </w:t>
      </w:r>
      <w:r>
        <w:rPr/>
        <w:t>年年度股东大会审议。</w:t>
      </w:r>
    </w:p>
    <w:p>
      <w:pPr>
        <w:pStyle w:val="BodyText"/>
        <w:spacing w:line="267" w:lineRule="exact"/>
        <w:ind w:left="118"/>
      </w:pPr>
      <w:r>
        <w:rPr>
          <w:w w:val="100"/>
        </w:rPr>
        <w:t> </w:t>
      </w:r>
    </w:p>
    <w:p>
      <w:pPr>
        <w:pStyle w:val="BodyText"/>
        <w:spacing w:before="65"/>
        <w:ind w:left="118"/>
      </w:pPr>
      <w:r>
        <w:rPr>
          <w:rFonts w:ascii="Calibri" w:eastAsia="Calibri"/>
          <w:b/>
        </w:rPr>
        <w:t>(</w:t>
      </w:r>
      <w:r>
        <w:rPr/>
        <w:t>二</w:t>
      </w:r>
      <w:r>
        <w:rPr>
          <w:rFonts w:ascii="Calibri" w:eastAsia="Calibri"/>
          <w:b/>
          <w:spacing w:val="10"/>
        </w:rPr>
        <w:t>) </w:t>
      </w:r>
      <w:r>
        <w:rPr/>
        <w:t>现金分红政策的专项说明</w:t>
      </w:r>
    </w:p>
    <w:p>
      <w:pPr>
        <w:pStyle w:val="BodyText"/>
        <w:spacing w:before="62" w:after="3"/>
        <w:ind w:left="118"/>
      </w:pPr>
      <w:r>
        <w:rPr>
          <w:spacing w:val="-1"/>
        </w:rPr>
        <w:t>√适用 □不适用</w:t>
      </w:r>
      <w:r>
        <w:rPr>
          <w:spacing w:val="-3"/>
        </w:rPr>
        <w:t> </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79"/>
        <w:gridCol w:w="1944"/>
      </w:tblGrid>
      <w:tr>
        <w:trPr>
          <w:trHeight w:val="273" w:hRule="atLeast"/>
        </w:trPr>
        <w:tc>
          <w:tcPr>
            <w:tcW w:w="6879" w:type="dxa"/>
          </w:tcPr>
          <w:p>
            <w:pPr>
              <w:pStyle w:val="TableParagraph"/>
              <w:spacing w:line="252" w:lineRule="exact" w:before="1"/>
              <w:ind w:left="107"/>
              <w:rPr>
                <w:sz w:val="21"/>
              </w:rPr>
            </w:pPr>
            <w:r>
              <w:rPr>
                <w:spacing w:val="-1"/>
                <w:sz w:val="21"/>
              </w:rPr>
              <w:t>是否符合公司章程的规定或股东大会决议的要求</w:t>
            </w:r>
            <w:r>
              <w:rPr>
                <w:sz w:val="21"/>
              </w:rPr>
              <w:t> </w:t>
            </w:r>
          </w:p>
        </w:tc>
        <w:tc>
          <w:tcPr>
            <w:tcW w:w="1944" w:type="dxa"/>
          </w:tcPr>
          <w:p>
            <w:pPr>
              <w:pStyle w:val="TableParagraph"/>
              <w:spacing w:line="252" w:lineRule="exact" w:before="1"/>
              <w:ind w:right="328"/>
              <w:jc w:val="right"/>
              <w:rPr>
                <w:sz w:val="21"/>
              </w:rPr>
            </w:pPr>
            <w:r>
              <w:rPr>
                <w:sz w:val="21"/>
              </w:rPr>
              <w:t>√是 □否</w:t>
            </w:r>
            <w:r>
              <w:rPr>
                <w:spacing w:val="-3"/>
                <w:sz w:val="21"/>
              </w:rPr>
              <w:t> </w:t>
            </w:r>
            <w:r>
              <w:rPr>
                <w:sz w:val="21"/>
              </w:rPr>
              <w:t> </w:t>
            </w:r>
          </w:p>
        </w:tc>
      </w:tr>
      <w:tr>
        <w:trPr>
          <w:trHeight w:val="270" w:hRule="atLeast"/>
        </w:trPr>
        <w:tc>
          <w:tcPr>
            <w:tcW w:w="6879" w:type="dxa"/>
          </w:tcPr>
          <w:p>
            <w:pPr>
              <w:pStyle w:val="TableParagraph"/>
              <w:spacing w:line="250" w:lineRule="exact" w:before="1"/>
              <w:ind w:left="107"/>
              <w:rPr>
                <w:sz w:val="21"/>
              </w:rPr>
            </w:pPr>
            <w:r>
              <w:rPr>
                <w:spacing w:val="-1"/>
                <w:sz w:val="21"/>
              </w:rPr>
              <w:t>分红标准和比例是否明确和清晰</w:t>
            </w:r>
            <w:r>
              <w:rPr>
                <w:sz w:val="21"/>
              </w:rPr>
              <w:t> </w:t>
            </w:r>
          </w:p>
        </w:tc>
        <w:tc>
          <w:tcPr>
            <w:tcW w:w="1944" w:type="dxa"/>
          </w:tcPr>
          <w:p>
            <w:pPr>
              <w:pStyle w:val="TableParagraph"/>
              <w:spacing w:line="250" w:lineRule="exact" w:before="1"/>
              <w:ind w:right="328"/>
              <w:jc w:val="right"/>
              <w:rPr>
                <w:sz w:val="21"/>
              </w:rPr>
            </w:pPr>
            <w:r>
              <w:rPr>
                <w:sz w:val="21"/>
              </w:rPr>
              <w:t>√是 □否</w:t>
            </w:r>
            <w:r>
              <w:rPr>
                <w:spacing w:val="-3"/>
                <w:sz w:val="21"/>
              </w:rPr>
              <w:t> </w:t>
            </w:r>
            <w:r>
              <w:rPr>
                <w:sz w:val="21"/>
              </w:rPr>
              <w:t> </w:t>
            </w:r>
          </w:p>
        </w:tc>
      </w:tr>
      <w:tr>
        <w:trPr>
          <w:trHeight w:val="273" w:hRule="atLeast"/>
        </w:trPr>
        <w:tc>
          <w:tcPr>
            <w:tcW w:w="6879" w:type="dxa"/>
          </w:tcPr>
          <w:p>
            <w:pPr>
              <w:pStyle w:val="TableParagraph"/>
              <w:spacing w:line="252" w:lineRule="exact" w:before="1"/>
              <w:ind w:left="107"/>
              <w:rPr>
                <w:sz w:val="21"/>
              </w:rPr>
            </w:pPr>
            <w:r>
              <w:rPr>
                <w:spacing w:val="-1"/>
                <w:sz w:val="21"/>
              </w:rPr>
              <w:t>相关的决策程序和机制是否完备</w:t>
            </w:r>
            <w:r>
              <w:rPr>
                <w:sz w:val="21"/>
              </w:rPr>
              <w:t> </w:t>
            </w:r>
          </w:p>
        </w:tc>
        <w:tc>
          <w:tcPr>
            <w:tcW w:w="1944" w:type="dxa"/>
          </w:tcPr>
          <w:p>
            <w:pPr>
              <w:pStyle w:val="TableParagraph"/>
              <w:spacing w:line="252" w:lineRule="exact" w:before="1"/>
              <w:ind w:right="328"/>
              <w:jc w:val="right"/>
              <w:rPr>
                <w:sz w:val="21"/>
              </w:rPr>
            </w:pPr>
            <w:r>
              <w:rPr>
                <w:sz w:val="21"/>
              </w:rPr>
              <w:t>√是 □否</w:t>
            </w:r>
            <w:r>
              <w:rPr>
                <w:spacing w:val="-3"/>
                <w:sz w:val="21"/>
              </w:rPr>
              <w:t> </w:t>
            </w:r>
            <w:r>
              <w:rPr>
                <w:sz w:val="21"/>
              </w:rPr>
              <w:t> </w:t>
            </w:r>
          </w:p>
        </w:tc>
      </w:tr>
      <w:tr>
        <w:trPr>
          <w:trHeight w:val="273" w:hRule="atLeast"/>
        </w:trPr>
        <w:tc>
          <w:tcPr>
            <w:tcW w:w="6879" w:type="dxa"/>
          </w:tcPr>
          <w:p>
            <w:pPr>
              <w:pStyle w:val="TableParagraph"/>
              <w:spacing w:line="252" w:lineRule="exact" w:before="1"/>
              <w:ind w:left="107"/>
              <w:rPr>
                <w:sz w:val="21"/>
              </w:rPr>
            </w:pPr>
            <w:r>
              <w:rPr>
                <w:spacing w:val="-1"/>
                <w:sz w:val="21"/>
              </w:rPr>
              <w:t>独立董事是否履职尽责并发挥了应有的作用</w:t>
            </w:r>
            <w:r>
              <w:rPr>
                <w:sz w:val="21"/>
              </w:rPr>
              <w:t> </w:t>
            </w:r>
          </w:p>
        </w:tc>
        <w:tc>
          <w:tcPr>
            <w:tcW w:w="1944" w:type="dxa"/>
          </w:tcPr>
          <w:p>
            <w:pPr>
              <w:pStyle w:val="TableParagraph"/>
              <w:spacing w:line="252" w:lineRule="exact" w:before="1"/>
              <w:ind w:right="328"/>
              <w:jc w:val="right"/>
              <w:rPr>
                <w:sz w:val="21"/>
              </w:rPr>
            </w:pPr>
            <w:r>
              <w:rPr>
                <w:sz w:val="21"/>
              </w:rPr>
              <w:t>√是 □否</w:t>
            </w:r>
            <w:r>
              <w:rPr>
                <w:spacing w:val="-3"/>
                <w:sz w:val="21"/>
              </w:rPr>
              <w:t> </w:t>
            </w:r>
            <w:r>
              <w:rPr>
                <w:sz w:val="21"/>
              </w:rPr>
              <w:t> </w:t>
            </w:r>
          </w:p>
        </w:tc>
      </w:tr>
    </w:tbl>
    <w:p>
      <w:pPr>
        <w:spacing w:after="0" w:line="252" w:lineRule="exact"/>
        <w:jc w:val="right"/>
        <w:rPr>
          <w:sz w:val="21"/>
        </w:rPr>
        <w:sectPr>
          <w:pgSz w:w="11910" w:h="16840"/>
          <w:pgMar w:header="877" w:footer="1180" w:top="1440" w:bottom="1380" w:left="1680" w:right="960"/>
        </w:sectPr>
      </w:pPr>
    </w:p>
    <w:p>
      <w:pPr>
        <w:pStyle w:val="BodyText"/>
        <w:spacing w:before="2"/>
        <w:ind w:left="0"/>
        <w:rPr>
          <w:sz w:val="5"/>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79"/>
        <w:gridCol w:w="1944"/>
      </w:tblGrid>
      <w:tr>
        <w:trPr>
          <w:trHeight w:val="547" w:hRule="atLeast"/>
        </w:trPr>
        <w:tc>
          <w:tcPr>
            <w:tcW w:w="6879" w:type="dxa"/>
          </w:tcPr>
          <w:p>
            <w:pPr>
              <w:pStyle w:val="TableParagraph"/>
              <w:spacing w:line="270" w:lineRule="atLeast"/>
              <w:ind w:left="107" w:right="242"/>
              <w:rPr>
                <w:sz w:val="21"/>
              </w:rPr>
            </w:pPr>
            <w:r>
              <w:rPr>
                <w:sz w:val="21"/>
              </w:rPr>
              <w:t>中小股东是否有充分表达意见和诉求的机会，其合法权益是否得到了充分保护 </w:t>
            </w:r>
          </w:p>
        </w:tc>
        <w:tc>
          <w:tcPr>
            <w:tcW w:w="1944" w:type="dxa"/>
          </w:tcPr>
          <w:p>
            <w:pPr>
              <w:pStyle w:val="TableParagraph"/>
              <w:spacing w:before="3"/>
              <w:ind w:left="447"/>
              <w:rPr>
                <w:sz w:val="21"/>
              </w:rPr>
            </w:pPr>
            <w:r>
              <w:rPr>
                <w:sz w:val="21"/>
              </w:rPr>
              <w:t>√是 □否</w:t>
            </w:r>
            <w:r>
              <w:rPr>
                <w:spacing w:val="-3"/>
                <w:sz w:val="21"/>
              </w:rPr>
              <w:t> </w:t>
            </w:r>
            <w:r>
              <w:rPr>
                <w:sz w:val="21"/>
              </w:rPr>
              <w:t> </w:t>
            </w:r>
          </w:p>
        </w:tc>
      </w:tr>
    </w:tbl>
    <w:p>
      <w:pPr>
        <w:pStyle w:val="BodyText"/>
        <w:spacing w:before="2"/>
        <w:ind w:left="118"/>
      </w:pPr>
      <w:r>
        <w:rPr>
          <w:w w:val="100"/>
        </w:rPr>
        <w:t> </w:t>
      </w:r>
    </w:p>
    <w:p>
      <w:pPr>
        <w:pStyle w:val="BodyText"/>
        <w:spacing w:line="244" w:lineRule="auto" w:before="62"/>
        <w:ind w:left="538" w:right="309" w:hanging="420"/>
      </w:pPr>
      <w:r>
        <w:rPr>
          <w:rFonts w:ascii="Calibri" w:eastAsia="Calibri"/>
          <w:b/>
        </w:rPr>
        <w:t>(</w:t>
      </w:r>
      <w:r>
        <w:rPr/>
        <w:t>三</w:t>
      </w:r>
      <w:r>
        <w:rPr>
          <w:rFonts w:ascii="Calibri" w:eastAsia="Calibri"/>
          <w:b/>
          <w:spacing w:val="33"/>
        </w:rPr>
        <w:t>) </w:t>
      </w:r>
      <w:r>
        <w:rPr/>
        <w:t>报告期内盈利且母公司可供股东分配利润为正，但未提出现金利润分配方案预案的，公司应当详细披露原因以及未分配利润的用途和使用计划</w:t>
      </w:r>
    </w:p>
    <w:p>
      <w:pPr>
        <w:pStyle w:val="BodyText"/>
        <w:spacing w:before="56"/>
        <w:ind w:left="118"/>
      </w:pPr>
      <w:r>
        <w:rPr>
          <w:spacing w:val="-1"/>
        </w:rPr>
        <w:t>□适用 √不适用</w:t>
      </w:r>
      <w:r>
        <w:rPr>
          <w:spacing w:val="-3"/>
        </w:rPr>
        <w:t> </w:t>
      </w:r>
      <w:r>
        <w:rPr/>
        <w:t> </w:t>
      </w:r>
    </w:p>
    <w:p>
      <w:pPr>
        <w:pStyle w:val="BodyText"/>
        <w:spacing w:before="64"/>
        <w:ind w:left="118"/>
      </w:pPr>
      <w:r>
        <w:rPr>
          <w:rFonts w:ascii="Calibri" w:eastAsia="Calibri"/>
          <w:b/>
        </w:rPr>
        <w:t>(</w:t>
      </w:r>
      <w:r>
        <w:rPr/>
        <w:t>四</w:t>
      </w:r>
      <w:r>
        <w:rPr>
          <w:rFonts w:ascii="Calibri" w:eastAsia="Calibri"/>
          <w:b/>
          <w:spacing w:val="12"/>
        </w:rPr>
        <w:t>) </w:t>
      </w:r>
      <w:r>
        <w:rPr/>
        <w:t>本报告期利润分配及资本公积金转增股本情况</w:t>
      </w:r>
    </w:p>
    <w:p>
      <w:pPr>
        <w:pStyle w:val="BodyText"/>
        <w:spacing w:before="63"/>
        <w:ind w:left="118"/>
      </w:pPr>
      <w:r>
        <w:rPr>
          <w:spacing w:val="-1"/>
        </w:rPr>
        <w:t>√适用 □不适用</w:t>
      </w:r>
      <w:r>
        <w:rPr>
          <w:spacing w:val="-3"/>
        </w:rPr>
        <w:t> </w:t>
      </w:r>
      <w:r>
        <w:rPr/>
        <w:t> </w:t>
      </w:r>
    </w:p>
    <w:p>
      <w:pPr>
        <w:pStyle w:val="BodyText"/>
        <w:spacing w:before="4"/>
        <w:ind w:left="0" w:right="207"/>
        <w:jc w:val="right"/>
      </w:pPr>
      <w:r>
        <w:rPr>
          <w:spacing w:val="7"/>
        </w:rPr>
        <w:t>单位:元 币种:人民币</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381" w:hRule="atLeast"/>
        </w:trPr>
        <w:tc>
          <w:tcPr>
            <w:tcW w:w="4412" w:type="dxa"/>
          </w:tcPr>
          <w:p>
            <w:pPr>
              <w:pStyle w:val="TableParagraph"/>
              <w:spacing w:before="56"/>
              <w:ind w:left="112"/>
              <w:rPr>
                <w:sz w:val="21"/>
              </w:rPr>
            </w:pPr>
            <w:r>
              <w:rPr>
                <w:spacing w:val="-27"/>
                <w:sz w:val="21"/>
              </w:rPr>
              <w:t>每 </w:t>
            </w:r>
            <w:r>
              <w:rPr>
                <w:rFonts w:ascii="Times New Roman" w:eastAsia="Times New Roman"/>
                <w:spacing w:val="-1"/>
                <w:sz w:val="21"/>
              </w:rPr>
              <w:t>10</w:t>
            </w:r>
            <w:r>
              <w:rPr>
                <w:rFonts w:ascii="Times New Roman" w:eastAsia="Times New Roman"/>
                <w:spacing w:val="-10"/>
                <w:sz w:val="21"/>
              </w:rPr>
              <w:t> </w:t>
            </w:r>
            <w:r>
              <w:rPr>
                <w:spacing w:val="-1"/>
                <w:sz w:val="21"/>
              </w:rPr>
              <w:t>股送红股数</w:t>
            </w:r>
            <w:r>
              <w:rPr>
                <w:sz w:val="21"/>
              </w:rPr>
              <w:t>（股） </w:t>
            </w:r>
          </w:p>
        </w:tc>
        <w:tc>
          <w:tcPr>
            <w:tcW w:w="4412" w:type="dxa"/>
          </w:tcPr>
          <w:p>
            <w:pPr>
              <w:pStyle w:val="TableParagraph"/>
              <w:spacing w:before="63"/>
              <w:ind w:right="101"/>
              <w:jc w:val="right"/>
              <w:rPr>
                <w:rFonts w:ascii="Times New Roman"/>
                <w:sz w:val="21"/>
              </w:rPr>
            </w:pPr>
            <w:r>
              <w:rPr>
                <w:rFonts w:ascii="Times New Roman"/>
                <w:w w:val="100"/>
                <w:sz w:val="21"/>
              </w:rPr>
              <w:t>0</w:t>
            </w:r>
          </w:p>
        </w:tc>
      </w:tr>
      <w:tr>
        <w:trPr>
          <w:trHeight w:val="337" w:hRule="atLeast"/>
        </w:trPr>
        <w:tc>
          <w:tcPr>
            <w:tcW w:w="4412" w:type="dxa"/>
          </w:tcPr>
          <w:p>
            <w:pPr>
              <w:pStyle w:val="TableParagraph"/>
              <w:spacing w:before="34"/>
              <w:ind w:left="112"/>
              <w:rPr>
                <w:sz w:val="21"/>
              </w:rPr>
            </w:pPr>
            <w:r>
              <w:rPr>
                <w:spacing w:val="-27"/>
                <w:sz w:val="21"/>
              </w:rPr>
              <w:t>每 </w:t>
            </w:r>
            <w:r>
              <w:rPr>
                <w:rFonts w:ascii="Times New Roman" w:eastAsia="Times New Roman"/>
                <w:spacing w:val="-1"/>
                <w:sz w:val="21"/>
              </w:rPr>
              <w:t>10</w:t>
            </w:r>
            <w:r>
              <w:rPr>
                <w:rFonts w:ascii="Times New Roman" w:eastAsia="Times New Roman"/>
                <w:spacing w:val="-10"/>
                <w:sz w:val="21"/>
              </w:rPr>
              <w:t> </w:t>
            </w:r>
            <w:r>
              <w:rPr>
                <w:spacing w:val="-1"/>
                <w:sz w:val="21"/>
              </w:rPr>
              <w:t>股派息数</w:t>
            </w:r>
            <w:r>
              <w:rPr>
                <w:sz w:val="21"/>
              </w:rPr>
              <w:t>（元）（含税） </w:t>
            </w:r>
          </w:p>
        </w:tc>
        <w:tc>
          <w:tcPr>
            <w:tcW w:w="4412" w:type="dxa"/>
          </w:tcPr>
          <w:p>
            <w:pPr>
              <w:pStyle w:val="TableParagraph"/>
              <w:spacing w:before="41"/>
              <w:ind w:right="98"/>
              <w:jc w:val="right"/>
              <w:rPr>
                <w:rFonts w:ascii="Times New Roman"/>
                <w:sz w:val="21"/>
              </w:rPr>
            </w:pPr>
            <w:r>
              <w:rPr>
                <w:rFonts w:ascii="Times New Roman"/>
                <w:sz w:val="21"/>
              </w:rPr>
              <w:t>5.5</w:t>
            </w:r>
          </w:p>
        </w:tc>
      </w:tr>
      <w:tr>
        <w:trPr>
          <w:trHeight w:val="340" w:hRule="atLeast"/>
        </w:trPr>
        <w:tc>
          <w:tcPr>
            <w:tcW w:w="4412" w:type="dxa"/>
          </w:tcPr>
          <w:p>
            <w:pPr>
              <w:pStyle w:val="TableParagraph"/>
              <w:spacing w:before="37"/>
              <w:ind w:left="112"/>
              <w:rPr>
                <w:sz w:val="21"/>
              </w:rPr>
            </w:pPr>
            <w:r>
              <w:rPr>
                <w:spacing w:val="-27"/>
                <w:sz w:val="21"/>
              </w:rPr>
              <w:t>每 </w:t>
            </w:r>
            <w:r>
              <w:rPr>
                <w:rFonts w:ascii="Times New Roman" w:eastAsia="Times New Roman"/>
                <w:spacing w:val="-1"/>
                <w:sz w:val="21"/>
              </w:rPr>
              <w:t>10</w:t>
            </w:r>
            <w:r>
              <w:rPr>
                <w:rFonts w:ascii="Times New Roman" w:eastAsia="Times New Roman"/>
                <w:spacing w:val="-10"/>
                <w:sz w:val="21"/>
              </w:rPr>
              <w:t> </w:t>
            </w:r>
            <w:r>
              <w:rPr>
                <w:spacing w:val="-1"/>
                <w:sz w:val="21"/>
              </w:rPr>
              <w:t>股转增数</w:t>
            </w:r>
            <w:r>
              <w:rPr>
                <w:sz w:val="21"/>
              </w:rPr>
              <w:t>（股） </w:t>
            </w:r>
          </w:p>
        </w:tc>
        <w:tc>
          <w:tcPr>
            <w:tcW w:w="4412" w:type="dxa"/>
          </w:tcPr>
          <w:p>
            <w:pPr>
              <w:pStyle w:val="TableParagraph"/>
              <w:spacing w:before="43"/>
              <w:ind w:right="101"/>
              <w:jc w:val="right"/>
              <w:rPr>
                <w:rFonts w:ascii="Times New Roman"/>
                <w:sz w:val="21"/>
              </w:rPr>
            </w:pPr>
            <w:r>
              <w:rPr>
                <w:rFonts w:ascii="Times New Roman"/>
                <w:w w:val="100"/>
                <w:sz w:val="21"/>
              </w:rPr>
              <w:t>0</w:t>
            </w:r>
          </w:p>
        </w:tc>
      </w:tr>
      <w:tr>
        <w:trPr>
          <w:trHeight w:val="340" w:hRule="atLeast"/>
        </w:trPr>
        <w:tc>
          <w:tcPr>
            <w:tcW w:w="4412" w:type="dxa"/>
          </w:tcPr>
          <w:p>
            <w:pPr>
              <w:pStyle w:val="TableParagraph"/>
              <w:spacing w:before="35"/>
              <w:ind w:left="112"/>
              <w:rPr>
                <w:sz w:val="21"/>
              </w:rPr>
            </w:pPr>
            <w:r>
              <w:rPr>
                <w:spacing w:val="-1"/>
                <w:sz w:val="21"/>
              </w:rPr>
              <w:t>现金分红金额</w:t>
            </w:r>
            <w:r>
              <w:rPr>
                <w:sz w:val="21"/>
              </w:rPr>
              <w:t>（含税） </w:t>
            </w:r>
          </w:p>
        </w:tc>
        <w:tc>
          <w:tcPr>
            <w:tcW w:w="4412" w:type="dxa"/>
          </w:tcPr>
          <w:p>
            <w:pPr>
              <w:pStyle w:val="TableParagraph"/>
              <w:spacing w:before="44"/>
              <w:ind w:right="98"/>
              <w:jc w:val="right"/>
              <w:rPr>
                <w:rFonts w:ascii="Times New Roman"/>
                <w:sz w:val="21"/>
              </w:rPr>
            </w:pPr>
            <w:r>
              <w:rPr>
                <w:rFonts w:ascii="Times New Roman"/>
                <w:sz w:val="21"/>
              </w:rPr>
              <w:t>10,922,375,361.15</w:t>
            </w:r>
          </w:p>
        </w:tc>
      </w:tr>
      <w:tr>
        <w:trPr>
          <w:trHeight w:val="544" w:hRule="atLeast"/>
        </w:trPr>
        <w:tc>
          <w:tcPr>
            <w:tcW w:w="4412" w:type="dxa"/>
          </w:tcPr>
          <w:p>
            <w:pPr>
              <w:pStyle w:val="TableParagraph"/>
              <w:spacing w:before="1"/>
              <w:ind w:left="112"/>
              <w:rPr>
                <w:sz w:val="21"/>
              </w:rPr>
            </w:pPr>
            <w:r>
              <w:rPr>
                <w:spacing w:val="-1"/>
                <w:sz w:val="21"/>
              </w:rPr>
              <w:t>分红年度合并报表中归属于上市公司普通股</w:t>
            </w:r>
          </w:p>
          <w:p>
            <w:pPr>
              <w:pStyle w:val="TableParagraph"/>
              <w:spacing w:line="250" w:lineRule="exact" w:before="4"/>
              <w:ind w:left="112"/>
              <w:rPr>
                <w:sz w:val="21"/>
              </w:rPr>
            </w:pPr>
            <w:r>
              <w:rPr>
                <w:spacing w:val="-1"/>
                <w:sz w:val="21"/>
              </w:rPr>
              <w:t>股东的净利润</w:t>
            </w:r>
            <w:r>
              <w:rPr>
                <w:sz w:val="21"/>
              </w:rPr>
              <w:t> </w:t>
            </w:r>
          </w:p>
        </w:tc>
        <w:tc>
          <w:tcPr>
            <w:tcW w:w="4412" w:type="dxa"/>
          </w:tcPr>
          <w:p>
            <w:pPr>
              <w:pStyle w:val="TableParagraph"/>
              <w:spacing w:before="144"/>
              <w:ind w:right="98"/>
              <w:jc w:val="right"/>
              <w:rPr>
                <w:rFonts w:ascii="Times New Roman"/>
                <w:sz w:val="21"/>
              </w:rPr>
            </w:pPr>
            <w:r>
              <w:rPr>
                <w:rFonts w:ascii="Times New Roman"/>
                <w:sz w:val="21"/>
              </w:rPr>
              <w:t>20,073,072,000.00</w:t>
            </w:r>
          </w:p>
        </w:tc>
      </w:tr>
      <w:tr>
        <w:trPr>
          <w:trHeight w:val="544" w:hRule="atLeast"/>
        </w:trPr>
        <w:tc>
          <w:tcPr>
            <w:tcW w:w="4412" w:type="dxa"/>
          </w:tcPr>
          <w:p>
            <w:pPr>
              <w:pStyle w:val="TableParagraph"/>
              <w:spacing w:before="1"/>
              <w:ind w:left="112"/>
              <w:rPr>
                <w:sz w:val="21"/>
              </w:rPr>
            </w:pPr>
            <w:r>
              <w:rPr>
                <w:spacing w:val="-1"/>
                <w:sz w:val="21"/>
              </w:rPr>
              <w:t>占合并报表中归属于上市公司普通股股东的</w:t>
            </w:r>
          </w:p>
          <w:p>
            <w:pPr>
              <w:pStyle w:val="TableParagraph"/>
              <w:spacing w:line="250" w:lineRule="exact" w:before="4"/>
              <w:ind w:left="112"/>
              <w:rPr>
                <w:sz w:val="21"/>
              </w:rPr>
            </w:pPr>
            <w:r>
              <w:rPr>
                <w:spacing w:val="-1"/>
                <w:sz w:val="21"/>
              </w:rPr>
              <w:t>净利润的比率</w:t>
            </w:r>
            <w:r>
              <w:rPr>
                <w:sz w:val="21"/>
              </w:rPr>
              <w:t>（%） </w:t>
            </w:r>
          </w:p>
        </w:tc>
        <w:tc>
          <w:tcPr>
            <w:tcW w:w="4412" w:type="dxa"/>
          </w:tcPr>
          <w:p>
            <w:pPr>
              <w:pStyle w:val="TableParagraph"/>
              <w:spacing w:before="144"/>
              <w:ind w:right="98"/>
              <w:jc w:val="right"/>
              <w:rPr>
                <w:rFonts w:ascii="Times New Roman"/>
                <w:sz w:val="21"/>
              </w:rPr>
            </w:pPr>
            <w:r>
              <w:rPr>
                <w:rFonts w:ascii="Times New Roman"/>
                <w:sz w:val="21"/>
              </w:rPr>
              <w:t>54.41</w:t>
            </w:r>
          </w:p>
        </w:tc>
      </w:tr>
      <w:tr>
        <w:trPr>
          <w:trHeight w:val="340" w:hRule="atLeast"/>
        </w:trPr>
        <w:tc>
          <w:tcPr>
            <w:tcW w:w="4412" w:type="dxa"/>
          </w:tcPr>
          <w:p>
            <w:pPr>
              <w:pStyle w:val="TableParagraph"/>
              <w:spacing w:before="37"/>
              <w:ind w:left="112"/>
              <w:rPr>
                <w:sz w:val="21"/>
              </w:rPr>
            </w:pPr>
            <w:r>
              <w:rPr>
                <w:sz w:val="21"/>
              </w:rPr>
              <w:t>以现金方式回购股份计入现金分红的金额 </w:t>
            </w:r>
          </w:p>
        </w:tc>
        <w:tc>
          <w:tcPr>
            <w:tcW w:w="4412" w:type="dxa"/>
          </w:tcPr>
          <w:p>
            <w:pPr>
              <w:pStyle w:val="TableParagraph"/>
              <w:spacing w:before="43"/>
              <w:ind w:right="101"/>
              <w:jc w:val="right"/>
              <w:rPr>
                <w:rFonts w:ascii="Times New Roman"/>
                <w:sz w:val="21"/>
              </w:rPr>
            </w:pPr>
            <w:r>
              <w:rPr>
                <w:rFonts w:ascii="Times New Roman"/>
                <w:w w:val="100"/>
                <w:sz w:val="21"/>
              </w:rPr>
              <w:t>0</w:t>
            </w:r>
          </w:p>
        </w:tc>
      </w:tr>
      <w:tr>
        <w:trPr>
          <w:trHeight w:val="340" w:hRule="atLeast"/>
        </w:trPr>
        <w:tc>
          <w:tcPr>
            <w:tcW w:w="4412" w:type="dxa"/>
          </w:tcPr>
          <w:p>
            <w:pPr>
              <w:pStyle w:val="TableParagraph"/>
              <w:spacing w:before="34"/>
              <w:ind w:left="112"/>
              <w:rPr>
                <w:sz w:val="21"/>
              </w:rPr>
            </w:pPr>
            <w:r>
              <w:rPr>
                <w:spacing w:val="-1"/>
                <w:sz w:val="21"/>
              </w:rPr>
              <w:t>合计分红金额</w:t>
            </w:r>
            <w:r>
              <w:rPr>
                <w:sz w:val="21"/>
              </w:rPr>
              <w:t>（含税） </w:t>
            </w:r>
          </w:p>
        </w:tc>
        <w:tc>
          <w:tcPr>
            <w:tcW w:w="4412" w:type="dxa"/>
          </w:tcPr>
          <w:p>
            <w:pPr>
              <w:pStyle w:val="TableParagraph"/>
              <w:spacing w:before="43"/>
              <w:ind w:right="98"/>
              <w:jc w:val="right"/>
              <w:rPr>
                <w:rFonts w:ascii="Times New Roman"/>
                <w:sz w:val="21"/>
              </w:rPr>
            </w:pPr>
            <w:r>
              <w:rPr>
                <w:rFonts w:ascii="Times New Roman"/>
                <w:sz w:val="21"/>
              </w:rPr>
              <w:t>10,922,375,361.15</w:t>
            </w:r>
          </w:p>
        </w:tc>
      </w:tr>
      <w:tr>
        <w:trPr>
          <w:trHeight w:val="544" w:hRule="atLeast"/>
        </w:trPr>
        <w:tc>
          <w:tcPr>
            <w:tcW w:w="4412" w:type="dxa"/>
          </w:tcPr>
          <w:p>
            <w:pPr>
              <w:pStyle w:val="TableParagraph"/>
              <w:spacing w:before="1"/>
              <w:ind w:left="112"/>
              <w:rPr>
                <w:sz w:val="21"/>
              </w:rPr>
            </w:pPr>
            <w:r>
              <w:rPr>
                <w:spacing w:val="-1"/>
                <w:sz w:val="21"/>
              </w:rPr>
              <w:t>合计分红金额占合并报表中归属于上市公司</w:t>
            </w:r>
          </w:p>
          <w:p>
            <w:pPr>
              <w:pStyle w:val="TableParagraph"/>
              <w:spacing w:line="250" w:lineRule="exact" w:before="4"/>
              <w:ind w:left="112"/>
              <w:rPr>
                <w:sz w:val="21"/>
              </w:rPr>
            </w:pPr>
            <w:r>
              <w:rPr>
                <w:spacing w:val="-1"/>
                <w:sz w:val="21"/>
              </w:rPr>
              <w:t>普通股股东的净利润的比率</w:t>
            </w:r>
            <w:r>
              <w:rPr>
                <w:sz w:val="21"/>
              </w:rPr>
              <w:t>（%） </w:t>
            </w:r>
          </w:p>
        </w:tc>
        <w:tc>
          <w:tcPr>
            <w:tcW w:w="4412" w:type="dxa"/>
          </w:tcPr>
          <w:p>
            <w:pPr>
              <w:pStyle w:val="TableParagraph"/>
              <w:spacing w:before="144"/>
              <w:ind w:right="98"/>
              <w:jc w:val="right"/>
              <w:rPr>
                <w:rFonts w:ascii="Times New Roman"/>
                <w:sz w:val="21"/>
              </w:rPr>
            </w:pPr>
            <w:r>
              <w:rPr>
                <w:rFonts w:ascii="Times New Roman"/>
                <w:sz w:val="21"/>
              </w:rPr>
              <w:t>54.41</w:t>
            </w:r>
          </w:p>
        </w:tc>
      </w:tr>
    </w:tbl>
    <w:p>
      <w:pPr>
        <w:pStyle w:val="BodyText"/>
        <w:spacing w:before="1"/>
        <w:ind w:left="118"/>
      </w:pPr>
      <w:r>
        <w:rPr>
          <w:w w:val="100"/>
        </w:rPr>
        <w:t> </w:t>
      </w:r>
    </w:p>
    <w:p>
      <w:pPr>
        <w:pStyle w:val="BodyText"/>
        <w:spacing w:line="295" w:lineRule="auto" w:before="64"/>
        <w:ind w:left="118" w:right="1768"/>
      </w:pPr>
      <w:r>
        <w:rPr/>
        <w:t>十一、 公司股权激励计划、员工持股计划或其他员工激励措施的情况及其影响(一) 相关激励事项已在临时公告披露且后续实施无进展或变化的</w:t>
      </w:r>
    </w:p>
    <w:p>
      <w:pPr>
        <w:pStyle w:val="BodyText"/>
        <w:spacing w:before="4"/>
        <w:ind w:left="118"/>
      </w:pPr>
      <w:r>
        <w:rPr>
          <w:spacing w:val="-1"/>
        </w:rPr>
        <w:t>√适用 □不适用</w:t>
      </w:r>
      <w:r>
        <w:rPr>
          <w:spacing w:val="-3"/>
        </w:rPr>
        <w:t> </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07"/>
        <w:gridCol w:w="4640"/>
      </w:tblGrid>
      <w:tr>
        <w:trPr>
          <w:trHeight w:val="273" w:hRule="atLeast"/>
        </w:trPr>
        <w:tc>
          <w:tcPr>
            <w:tcW w:w="4107" w:type="dxa"/>
          </w:tcPr>
          <w:p>
            <w:pPr>
              <w:pStyle w:val="TableParagraph"/>
              <w:spacing w:line="252" w:lineRule="exact" w:before="1"/>
              <w:ind w:left="303" w:right="191"/>
              <w:jc w:val="center"/>
              <w:rPr>
                <w:sz w:val="21"/>
              </w:rPr>
            </w:pPr>
            <w:r>
              <w:rPr>
                <w:spacing w:val="-1"/>
                <w:sz w:val="21"/>
              </w:rPr>
              <w:t>事项概述</w:t>
            </w:r>
            <w:r>
              <w:rPr>
                <w:sz w:val="21"/>
              </w:rPr>
              <w:t> </w:t>
            </w:r>
          </w:p>
        </w:tc>
        <w:tc>
          <w:tcPr>
            <w:tcW w:w="4640" w:type="dxa"/>
          </w:tcPr>
          <w:p>
            <w:pPr>
              <w:pStyle w:val="TableParagraph"/>
              <w:spacing w:line="252" w:lineRule="exact" w:before="1"/>
              <w:ind w:left="569" w:right="457"/>
              <w:jc w:val="center"/>
              <w:rPr>
                <w:sz w:val="21"/>
              </w:rPr>
            </w:pPr>
            <w:r>
              <w:rPr>
                <w:spacing w:val="-1"/>
                <w:sz w:val="21"/>
              </w:rPr>
              <w:t>查询索引</w:t>
            </w:r>
            <w:r>
              <w:rPr>
                <w:sz w:val="21"/>
              </w:rPr>
              <w:t> </w:t>
            </w:r>
          </w:p>
        </w:tc>
      </w:tr>
      <w:tr>
        <w:trPr>
          <w:trHeight w:val="270" w:hRule="atLeast"/>
        </w:trPr>
        <w:tc>
          <w:tcPr>
            <w:tcW w:w="4107" w:type="dxa"/>
          </w:tcPr>
          <w:p>
            <w:pPr>
              <w:pStyle w:val="TableParagraph"/>
              <w:spacing w:line="250" w:lineRule="exact" w:before="1"/>
              <w:ind w:left="303" w:right="191"/>
              <w:jc w:val="center"/>
              <w:rPr>
                <w:sz w:val="21"/>
              </w:rPr>
            </w:pPr>
            <w:r>
              <w:rPr>
                <w:sz w:val="21"/>
              </w:rPr>
              <w:t>2019</w:t>
            </w:r>
            <w:r>
              <w:rPr>
                <w:spacing w:val="-7"/>
                <w:sz w:val="21"/>
              </w:rPr>
              <w:t> 年股票期权与限制性股票激励计划</w:t>
            </w:r>
            <w:r>
              <w:rPr>
                <w:sz w:val="21"/>
              </w:rPr>
              <w:t> </w:t>
            </w:r>
          </w:p>
        </w:tc>
        <w:tc>
          <w:tcPr>
            <w:tcW w:w="4640" w:type="dxa"/>
          </w:tcPr>
          <w:p>
            <w:pPr>
              <w:pStyle w:val="TableParagraph"/>
              <w:spacing w:line="250" w:lineRule="exact" w:before="1"/>
              <w:ind w:left="570" w:right="457"/>
              <w:jc w:val="center"/>
              <w:rPr>
                <w:sz w:val="21"/>
              </w:rPr>
            </w:pPr>
            <w:r>
              <w:rPr>
                <w:sz w:val="21"/>
              </w:rPr>
              <w:t>2019</w:t>
            </w:r>
            <w:r>
              <w:rPr>
                <w:spacing w:val="-7"/>
                <w:sz w:val="21"/>
              </w:rPr>
              <w:t> 年股票期权与限制性股票激励计划</w:t>
            </w:r>
            <w:r>
              <w:rPr>
                <w:sz w:val="21"/>
              </w:rPr>
              <w:t> </w:t>
            </w:r>
          </w:p>
        </w:tc>
      </w:tr>
      <w:tr>
        <w:trPr>
          <w:trHeight w:val="1634" w:hRule="atLeast"/>
        </w:trPr>
        <w:tc>
          <w:tcPr>
            <w:tcW w:w="4107" w:type="dxa"/>
          </w:tcPr>
          <w:p>
            <w:pPr>
              <w:pStyle w:val="TableParagraph"/>
              <w:spacing w:before="3"/>
              <w:ind w:left="107"/>
              <w:jc w:val="both"/>
              <w:rPr>
                <w:sz w:val="21"/>
              </w:rPr>
            </w:pPr>
            <w:r>
              <w:rPr>
                <w:spacing w:val="-12"/>
                <w:sz w:val="21"/>
              </w:rPr>
              <w:t>公司于 </w:t>
            </w:r>
            <w:r>
              <w:rPr>
                <w:rFonts w:ascii="Times New Roman" w:eastAsia="Times New Roman"/>
                <w:sz w:val="21"/>
              </w:rPr>
              <w:t>2021</w:t>
            </w:r>
            <w:r>
              <w:rPr>
                <w:rFonts w:ascii="Times New Roman" w:eastAsia="Times New Roman"/>
                <w:spacing w:val="-7"/>
                <w:sz w:val="21"/>
              </w:rPr>
              <w:t> </w:t>
            </w:r>
            <w:r>
              <w:rPr>
                <w:spacing w:val="-22"/>
                <w:sz w:val="21"/>
              </w:rPr>
              <w:t>年 </w:t>
            </w:r>
            <w:r>
              <w:rPr>
                <w:rFonts w:ascii="Times New Roman" w:eastAsia="Times New Roman"/>
                <w:sz w:val="21"/>
              </w:rPr>
              <w:t>12</w:t>
            </w:r>
            <w:r>
              <w:rPr>
                <w:rFonts w:ascii="Times New Roman" w:eastAsia="Times New Roman"/>
                <w:spacing w:val="-7"/>
                <w:sz w:val="21"/>
              </w:rPr>
              <w:t> </w:t>
            </w:r>
            <w:r>
              <w:rPr>
                <w:spacing w:val="-22"/>
                <w:sz w:val="21"/>
              </w:rPr>
              <w:t>月 </w:t>
            </w:r>
            <w:r>
              <w:rPr>
                <w:rFonts w:ascii="Times New Roman" w:eastAsia="Times New Roman"/>
                <w:sz w:val="21"/>
              </w:rPr>
              <w:t>31</w:t>
            </w:r>
            <w:r>
              <w:rPr>
                <w:rFonts w:ascii="Times New Roman" w:eastAsia="Times New Roman"/>
                <w:spacing w:val="-5"/>
                <w:sz w:val="21"/>
              </w:rPr>
              <w:t> </w:t>
            </w:r>
            <w:r>
              <w:rPr>
                <w:sz w:val="21"/>
              </w:rPr>
              <w:t>日召开第二届董事</w:t>
            </w:r>
          </w:p>
          <w:p>
            <w:pPr>
              <w:pStyle w:val="TableParagraph"/>
              <w:spacing w:line="242" w:lineRule="auto" w:before="2"/>
              <w:ind w:left="107" w:right="93"/>
              <w:jc w:val="both"/>
              <w:rPr>
                <w:sz w:val="21"/>
              </w:rPr>
            </w:pPr>
            <w:r>
              <w:rPr>
                <w:sz w:val="21"/>
              </w:rPr>
              <w:t>会第十八次会议，审议通过了《关于 </w:t>
            </w:r>
            <w:r>
              <w:rPr>
                <w:rFonts w:ascii="Times New Roman" w:eastAsia="Times New Roman"/>
                <w:sz w:val="21"/>
              </w:rPr>
              <w:t>2019</w:t>
            </w:r>
            <w:r>
              <w:rPr>
                <w:rFonts w:ascii="Times New Roman" w:eastAsia="Times New Roman"/>
                <w:spacing w:val="-50"/>
                <w:sz w:val="21"/>
              </w:rPr>
              <w:t> </w:t>
            </w:r>
            <w:r>
              <w:rPr>
                <w:sz w:val="21"/>
              </w:rPr>
              <w:t>年股票期权与限制性股票激励计划剩余预留授予股票期权第二个行权期行权条件、剩余预留授予限制性股票第二个解除限售</w:t>
            </w:r>
          </w:p>
          <w:p>
            <w:pPr>
              <w:pStyle w:val="TableParagraph"/>
              <w:spacing w:line="250" w:lineRule="exact" w:before="3"/>
              <w:ind w:left="107"/>
              <w:rPr>
                <w:sz w:val="21"/>
              </w:rPr>
            </w:pPr>
            <w:r>
              <w:rPr>
                <w:sz w:val="21"/>
              </w:rPr>
              <w:t>期解除限售条件成就的议案》。</w:t>
            </w:r>
          </w:p>
        </w:tc>
        <w:tc>
          <w:tcPr>
            <w:tcW w:w="4640" w:type="dxa"/>
          </w:tcPr>
          <w:p>
            <w:pPr>
              <w:pStyle w:val="TableParagraph"/>
              <w:spacing w:line="242" w:lineRule="auto" w:before="3"/>
              <w:ind w:left="107" w:right="93"/>
              <w:jc w:val="both"/>
              <w:rPr>
                <w:sz w:val="21"/>
              </w:rPr>
            </w:pPr>
            <w:r>
              <w:rPr>
                <w:spacing w:val="-11"/>
                <w:sz w:val="21"/>
              </w:rPr>
              <w:t>详见公司于 </w:t>
            </w:r>
            <w:r>
              <w:rPr>
                <w:rFonts w:ascii="Times New Roman" w:eastAsia="Times New Roman"/>
                <w:sz w:val="21"/>
              </w:rPr>
              <w:t>2022</w:t>
            </w:r>
            <w:r>
              <w:rPr>
                <w:rFonts w:ascii="Times New Roman" w:eastAsia="Times New Roman"/>
                <w:spacing w:val="-19"/>
                <w:sz w:val="21"/>
              </w:rPr>
              <w:t> </w:t>
            </w:r>
            <w:r>
              <w:rPr>
                <w:spacing w:val="-33"/>
                <w:sz w:val="21"/>
              </w:rPr>
              <w:t>年 </w:t>
            </w:r>
            <w:r>
              <w:rPr>
                <w:rFonts w:ascii="Times New Roman" w:eastAsia="Times New Roman"/>
                <w:sz w:val="21"/>
              </w:rPr>
              <w:t>1</w:t>
            </w:r>
            <w:r>
              <w:rPr>
                <w:rFonts w:ascii="Times New Roman" w:eastAsia="Times New Roman"/>
                <w:spacing w:val="-18"/>
                <w:sz w:val="21"/>
              </w:rPr>
              <w:t> </w:t>
            </w:r>
            <w:r>
              <w:rPr>
                <w:spacing w:val="-32"/>
                <w:sz w:val="21"/>
              </w:rPr>
              <w:t>月 </w:t>
            </w:r>
            <w:r>
              <w:rPr>
                <w:rFonts w:ascii="Times New Roman" w:eastAsia="Times New Roman"/>
                <w:sz w:val="21"/>
              </w:rPr>
              <w:t>4</w:t>
            </w:r>
            <w:r>
              <w:rPr>
                <w:rFonts w:ascii="Times New Roman" w:eastAsia="Times New Roman"/>
                <w:spacing w:val="-21"/>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2019</w:t>
            </w:r>
            <w:r>
              <w:rPr>
                <w:rFonts w:ascii="Times New Roman" w:eastAsia="Times New Roman"/>
                <w:spacing w:val="37"/>
                <w:sz w:val="21"/>
              </w:rPr>
              <w:t> </w:t>
            </w:r>
            <w:r>
              <w:rPr>
                <w:sz w:val="21"/>
              </w:rPr>
              <w:t>年股票期权与限制性股票激励计划剩余预留授予第二个行权期行权条件及解除限售条件成就的公告》（公</w:t>
            </w:r>
          </w:p>
          <w:p>
            <w:pPr>
              <w:pStyle w:val="TableParagraph"/>
              <w:spacing w:line="250" w:lineRule="exact" w:before="2"/>
              <w:ind w:left="107"/>
              <w:jc w:val="both"/>
              <w:rPr>
                <w:sz w:val="21"/>
              </w:rPr>
            </w:pPr>
            <w:r>
              <w:rPr>
                <w:spacing w:val="-9"/>
                <w:sz w:val="21"/>
              </w:rPr>
              <w:t>告编号：临 </w:t>
            </w:r>
            <w:r>
              <w:rPr>
                <w:rFonts w:ascii="Times New Roman" w:eastAsia="Times New Roman"/>
                <w:spacing w:val="-1"/>
                <w:sz w:val="21"/>
              </w:rPr>
              <w:t>2022-003</w:t>
            </w:r>
            <w:r>
              <w:rPr>
                <w:rFonts w:ascii="Times New Roman" w:eastAsia="Times New Roman"/>
                <w:spacing w:val="-8"/>
                <w:sz w:val="21"/>
              </w:rPr>
              <w:t> </w:t>
            </w:r>
            <w:r>
              <w:rPr>
                <w:sz w:val="21"/>
              </w:rPr>
              <w:t>号）</w:t>
            </w:r>
          </w:p>
        </w:tc>
      </w:tr>
      <w:tr>
        <w:trPr>
          <w:trHeight w:val="1634" w:hRule="atLeast"/>
        </w:trPr>
        <w:tc>
          <w:tcPr>
            <w:tcW w:w="4107" w:type="dxa"/>
          </w:tcPr>
          <w:p>
            <w:pPr>
              <w:pStyle w:val="TableParagraph"/>
              <w:spacing w:line="242" w:lineRule="auto" w:before="3"/>
              <w:ind w:left="107" w:right="91"/>
              <w:jc w:val="both"/>
              <w:rPr>
                <w:sz w:val="21"/>
              </w:rPr>
            </w:pPr>
            <w:r>
              <w:rPr>
                <w:spacing w:val="-13"/>
                <w:sz w:val="21"/>
              </w:rPr>
              <w:t>公司于 </w:t>
            </w:r>
            <w:r>
              <w:rPr>
                <w:rFonts w:ascii="Times New Roman" w:eastAsia="Times New Roman"/>
                <w:spacing w:val="-1"/>
                <w:sz w:val="21"/>
              </w:rPr>
              <w:t>2021</w:t>
            </w:r>
            <w:r>
              <w:rPr>
                <w:rFonts w:ascii="Times New Roman" w:eastAsia="Times New Roman"/>
                <w:spacing w:val="-7"/>
                <w:sz w:val="21"/>
              </w:rPr>
              <w:t> </w:t>
            </w:r>
            <w:r>
              <w:rPr>
                <w:spacing w:val="-23"/>
                <w:sz w:val="21"/>
              </w:rPr>
              <w:t>年 </w:t>
            </w:r>
            <w:r>
              <w:rPr>
                <w:rFonts w:ascii="Times New Roman" w:eastAsia="Times New Roman"/>
                <w:spacing w:val="-1"/>
                <w:sz w:val="21"/>
              </w:rPr>
              <w:t>12</w:t>
            </w:r>
            <w:r>
              <w:rPr>
                <w:rFonts w:ascii="Times New Roman" w:eastAsia="Times New Roman"/>
                <w:spacing w:val="-7"/>
                <w:sz w:val="21"/>
              </w:rPr>
              <w:t> </w:t>
            </w:r>
            <w:r>
              <w:rPr>
                <w:spacing w:val="-22"/>
                <w:sz w:val="21"/>
              </w:rPr>
              <w:t>月 </w:t>
            </w:r>
            <w:r>
              <w:rPr>
                <w:rFonts w:ascii="Times New Roman" w:eastAsia="Times New Roman"/>
                <w:sz w:val="21"/>
              </w:rPr>
              <w:t>31</w:t>
            </w:r>
            <w:r>
              <w:rPr>
                <w:rFonts w:ascii="Times New Roman" w:eastAsia="Times New Roman"/>
                <w:spacing w:val="-5"/>
                <w:sz w:val="21"/>
              </w:rPr>
              <w:t> </w:t>
            </w:r>
            <w:r>
              <w:rPr>
                <w:sz w:val="21"/>
              </w:rPr>
              <w:t>日召开第二届董事会第十八次会议，审议通过了《关于公司</w:t>
            </w:r>
            <w:r>
              <w:rPr>
                <w:rFonts w:ascii="Times New Roman" w:eastAsia="Times New Roman"/>
                <w:sz w:val="21"/>
              </w:rPr>
              <w:t>2019</w:t>
            </w:r>
            <w:r>
              <w:rPr>
                <w:rFonts w:ascii="Times New Roman" w:eastAsia="Times New Roman"/>
                <w:spacing w:val="42"/>
                <w:sz w:val="21"/>
              </w:rPr>
              <w:t> </w:t>
            </w:r>
            <w:r>
              <w:rPr>
                <w:sz w:val="21"/>
              </w:rPr>
              <w:t>年股票期权与限制性股票激励计划注销部分股票期权和回购注销部分限制性股票的议案》。</w:t>
            </w:r>
          </w:p>
        </w:tc>
        <w:tc>
          <w:tcPr>
            <w:tcW w:w="4640" w:type="dxa"/>
          </w:tcPr>
          <w:p>
            <w:pPr>
              <w:pStyle w:val="TableParagraph"/>
              <w:spacing w:line="242" w:lineRule="auto" w:before="3"/>
              <w:ind w:left="107" w:right="93"/>
              <w:jc w:val="both"/>
              <w:rPr>
                <w:sz w:val="21"/>
              </w:rPr>
            </w:pPr>
            <w:r>
              <w:rPr>
                <w:spacing w:val="-11"/>
                <w:sz w:val="21"/>
              </w:rPr>
              <w:t>详见公司于 </w:t>
            </w:r>
            <w:r>
              <w:rPr>
                <w:rFonts w:ascii="Times New Roman" w:eastAsia="Times New Roman"/>
                <w:sz w:val="21"/>
              </w:rPr>
              <w:t>2022</w:t>
            </w:r>
            <w:r>
              <w:rPr>
                <w:rFonts w:ascii="Times New Roman" w:eastAsia="Times New Roman"/>
                <w:spacing w:val="-19"/>
                <w:sz w:val="21"/>
              </w:rPr>
              <w:t> </w:t>
            </w:r>
            <w:r>
              <w:rPr>
                <w:spacing w:val="-33"/>
                <w:sz w:val="21"/>
              </w:rPr>
              <w:t>年 </w:t>
            </w:r>
            <w:r>
              <w:rPr>
                <w:rFonts w:ascii="Times New Roman" w:eastAsia="Times New Roman"/>
                <w:sz w:val="21"/>
              </w:rPr>
              <w:t>1</w:t>
            </w:r>
            <w:r>
              <w:rPr>
                <w:rFonts w:ascii="Times New Roman" w:eastAsia="Times New Roman"/>
                <w:spacing w:val="-18"/>
                <w:sz w:val="21"/>
              </w:rPr>
              <w:t> </w:t>
            </w:r>
            <w:r>
              <w:rPr>
                <w:spacing w:val="-32"/>
                <w:sz w:val="21"/>
              </w:rPr>
              <w:t>月 </w:t>
            </w:r>
            <w:r>
              <w:rPr>
                <w:rFonts w:ascii="Times New Roman" w:eastAsia="Times New Roman"/>
                <w:sz w:val="21"/>
              </w:rPr>
              <w:t>4</w:t>
            </w:r>
            <w:r>
              <w:rPr>
                <w:rFonts w:ascii="Times New Roman" w:eastAsia="Times New Roman"/>
                <w:spacing w:val="-21"/>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2019</w:t>
            </w:r>
            <w:r>
              <w:rPr>
                <w:rFonts w:ascii="Times New Roman" w:eastAsia="Times New Roman"/>
                <w:spacing w:val="37"/>
                <w:sz w:val="21"/>
              </w:rPr>
              <w:t> </w:t>
            </w:r>
            <w:r>
              <w:rPr>
                <w:sz w:val="21"/>
              </w:rPr>
              <w:t>年股票期权与限制性股票激励计划注销部分股票期权和回购注销部分限制性股票的公告》（公告编号：临</w:t>
            </w:r>
          </w:p>
          <w:p>
            <w:pPr>
              <w:pStyle w:val="TableParagraph"/>
              <w:spacing w:line="250" w:lineRule="exact" w:before="3"/>
              <w:ind w:left="107"/>
              <w:jc w:val="both"/>
              <w:rPr>
                <w:sz w:val="21"/>
              </w:rPr>
            </w:pPr>
            <w:r>
              <w:rPr>
                <w:rFonts w:ascii="Times New Roman" w:eastAsia="Times New Roman"/>
                <w:sz w:val="21"/>
              </w:rPr>
              <w:t>2022-004</w:t>
            </w:r>
            <w:r>
              <w:rPr>
                <w:rFonts w:ascii="Times New Roman" w:eastAsia="Times New Roman"/>
                <w:spacing w:val="-11"/>
                <w:sz w:val="21"/>
              </w:rPr>
              <w:t> </w:t>
            </w:r>
            <w:r>
              <w:rPr>
                <w:sz w:val="21"/>
              </w:rPr>
              <w:t>号）</w:t>
            </w:r>
          </w:p>
        </w:tc>
      </w:tr>
      <w:tr>
        <w:trPr>
          <w:trHeight w:val="1362" w:hRule="atLeast"/>
        </w:trPr>
        <w:tc>
          <w:tcPr>
            <w:tcW w:w="4107" w:type="dxa"/>
          </w:tcPr>
          <w:p>
            <w:pPr>
              <w:pStyle w:val="TableParagraph"/>
              <w:spacing w:line="242" w:lineRule="auto" w:before="3"/>
              <w:ind w:left="107" w:right="91"/>
              <w:rPr>
                <w:sz w:val="21"/>
              </w:rPr>
            </w:pPr>
            <w:r>
              <w:rPr>
                <w:spacing w:val="-13"/>
                <w:sz w:val="21"/>
              </w:rPr>
              <w:t>公司于 </w:t>
            </w:r>
            <w:r>
              <w:rPr>
                <w:rFonts w:ascii="Times New Roman" w:eastAsia="Times New Roman"/>
                <w:spacing w:val="-1"/>
                <w:sz w:val="21"/>
              </w:rPr>
              <w:t>2022</w:t>
            </w:r>
            <w:r>
              <w:rPr>
                <w:rFonts w:ascii="Times New Roman" w:eastAsia="Times New Roman"/>
                <w:spacing w:val="-7"/>
                <w:sz w:val="21"/>
              </w:rPr>
              <w:t> </w:t>
            </w:r>
            <w:r>
              <w:rPr>
                <w:spacing w:val="-23"/>
                <w:sz w:val="21"/>
              </w:rPr>
              <w:t>年 </w:t>
            </w:r>
            <w:r>
              <w:rPr>
                <w:rFonts w:ascii="Times New Roman" w:eastAsia="Times New Roman"/>
                <w:sz w:val="21"/>
              </w:rPr>
              <w:t>1</w:t>
            </w:r>
            <w:r>
              <w:rPr>
                <w:rFonts w:ascii="Times New Roman" w:eastAsia="Times New Roman"/>
                <w:spacing w:val="-7"/>
                <w:sz w:val="21"/>
              </w:rPr>
              <w:t> </w:t>
            </w:r>
            <w:r>
              <w:rPr>
                <w:spacing w:val="-23"/>
                <w:sz w:val="21"/>
              </w:rPr>
              <w:t>月 </w:t>
            </w:r>
            <w:r>
              <w:rPr>
                <w:rFonts w:ascii="Times New Roman" w:eastAsia="Times New Roman"/>
                <w:sz w:val="21"/>
              </w:rPr>
              <w:t>4</w:t>
            </w:r>
            <w:r>
              <w:rPr>
                <w:rFonts w:ascii="Times New Roman" w:eastAsia="Times New Roman"/>
                <w:spacing w:val="-7"/>
                <w:sz w:val="21"/>
              </w:rPr>
              <w:t> </w:t>
            </w:r>
            <w:r>
              <w:rPr>
                <w:sz w:val="21"/>
              </w:rPr>
              <w:t>日就回购注销部分限制性股票事宜发出通知债权人的公告。</w:t>
            </w:r>
          </w:p>
        </w:tc>
        <w:tc>
          <w:tcPr>
            <w:tcW w:w="4640" w:type="dxa"/>
          </w:tcPr>
          <w:p>
            <w:pPr>
              <w:pStyle w:val="TableParagraph"/>
              <w:spacing w:line="242" w:lineRule="auto" w:before="3"/>
              <w:ind w:left="107" w:right="93"/>
              <w:jc w:val="both"/>
              <w:rPr>
                <w:sz w:val="21"/>
              </w:rPr>
            </w:pPr>
            <w:r>
              <w:rPr>
                <w:spacing w:val="-11"/>
                <w:sz w:val="21"/>
              </w:rPr>
              <w:t>详见公司于 </w:t>
            </w:r>
            <w:r>
              <w:rPr>
                <w:rFonts w:ascii="Times New Roman" w:eastAsia="Times New Roman"/>
                <w:sz w:val="21"/>
              </w:rPr>
              <w:t>2022</w:t>
            </w:r>
            <w:r>
              <w:rPr>
                <w:rFonts w:ascii="Times New Roman" w:eastAsia="Times New Roman"/>
                <w:spacing w:val="-19"/>
                <w:sz w:val="21"/>
              </w:rPr>
              <w:t> </w:t>
            </w:r>
            <w:r>
              <w:rPr>
                <w:spacing w:val="-33"/>
                <w:sz w:val="21"/>
              </w:rPr>
              <w:t>年 </w:t>
            </w:r>
            <w:r>
              <w:rPr>
                <w:rFonts w:ascii="Times New Roman" w:eastAsia="Times New Roman"/>
                <w:sz w:val="21"/>
              </w:rPr>
              <w:t>1</w:t>
            </w:r>
            <w:r>
              <w:rPr>
                <w:rFonts w:ascii="Times New Roman" w:eastAsia="Times New Roman"/>
                <w:spacing w:val="-18"/>
                <w:sz w:val="21"/>
              </w:rPr>
              <w:t> </w:t>
            </w:r>
            <w:r>
              <w:rPr>
                <w:spacing w:val="-32"/>
                <w:sz w:val="21"/>
              </w:rPr>
              <w:t>月 </w:t>
            </w:r>
            <w:r>
              <w:rPr>
                <w:rFonts w:ascii="Times New Roman" w:eastAsia="Times New Roman"/>
                <w:sz w:val="21"/>
              </w:rPr>
              <w:t>4</w:t>
            </w:r>
            <w:r>
              <w:rPr>
                <w:rFonts w:ascii="Times New Roman" w:eastAsia="Times New Roman"/>
                <w:spacing w:val="-21"/>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）及指定媒体披露的《富士康工业互联网股份有限公司关于回购注销部分限制性股票通知债权人的公告》</w:t>
            </w:r>
            <w:r>
              <w:rPr>
                <w:spacing w:val="11"/>
                <w:sz w:val="21"/>
              </w:rPr>
              <w:t>（</w:t>
            </w:r>
            <w:r>
              <w:rPr>
                <w:spacing w:val="2"/>
                <w:sz w:val="21"/>
              </w:rPr>
              <w:t>公告编号：临</w:t>
            </w:r>
          </w:p>
          <w:p>
            <w:pPr>
              <w:pStyle w:val="TableParagraph"/>
              <w:spacing w:line="250" w:lineRule="exact" w:before="3"/>
              <w:ind w:left="107"/>
              <w:jc w:val="both"/>
              <w:rPr>
                <w:sz w:val="21"/>
              </w:rPr>
            </w:pPr>
            <w:r>
              <w:rPr>
                <w:rFonts w:ascii="Times New Roman" w:eastAsia="Times New Roman"/>
                <w:sz w:val="21"/>
              </w:rPr>
              <w:t>2022-005</w:t>
            </w:r>
            <w:r>
              <w:rPr>
                <w:rFonts w:ascii="Times New Roman" w:eastAsia="Times New Roman"/>
                <w:spacing w:val="-11"/>
                <w:sz w:val="21"/>
              </w:rPr>
              <w:t> </w:t>
            </w:r>
            <w:r>
              <w:rPr>
                <w:sz w:val="21"/>
              </w:rPr>
              <w:t>号）</w:t>
            </w:r>
          </w:p>
        </w:tc>
      </w:tr>
      <w:tr>
        <w:trPr>
          <w:trHeight w:val="817" w:hRule="atLeast"/>
        </w:trPr>
        <w:tc>
          <w:tcPr>
            <w:tcW w:w="4107" w:type="dxa"/>
          </w:tcPr>
          <w:p>
            <w:pPr>
              <w:pStyle w:val="TableParagraph"/>
              <w:spacing w:before="1"/>
              <w:ind w:left="107"/>
              <w:rPr>
                <w:sz w:val="21"/>
              </w:rPr>
            </w:pPr>
            <w:r>
              <w:rPr>
                <w:spacing w:val="-16"/>
                <w:sz w:val="21"/>
              </w:rPr>
              <w:t>公司 </w:t>
            </w:r>
            <w:r>
              <w:rPr>
                <w:rFonts w:ascii="Times New Roman" w:eastAsia="Times New Roman"/>
                <w:sz w:val="21"/>
              </w:rPr>
              <w:t>2019</w:t>
            </w:r>
            <w:r>
              <w:rPr>
                <w:rFonts w:ascii="Times New Roman" w:eastAsia="Times New Roman"/>
                <w:spacing w:val="-3"/>
                <w:sz w:val="21"/>
              </w:rPr>
              <w:t> </w:t>
            </w:r>
            <w:r>
              <w:rPr>
                <w:sz w:val="21"/>
              </w:rPr>
              <w:t>年股票期权与限制性股票激励计</w:t>
            </w:r>
          </w:p>
          <w:p>
            <w:pPr>
              <w:pStyle w:val="TableParagraph"/>
              <w:spacing w:before="4"/>
              <w:ind w:left="107"/>
              <w:rPr>
                <w:sz w:val="21"/>
              </w:rPr>
            </w:pPr>
            <w:r>
              <w:rPr>
                <w:spacing w:val="9"/>
                <w:sz w:val="21"/>
              </w:rPr>
              <w:t>划股票期权在 </w:t>
            </w:r>
            <w:r>
              <w:rPr>
                <w:rFonts w:ascii="Times New Roman" w:eastAsia="Times New Roman"/>
                <w:sz w:val="21"/>
              </w:rPr>
              <w:t>2021</w:t>
            </w:r>
            <w:r>
              <w:rPr>
                <w:rFonts w:ascii="Times New Roman" w:eastAsia="Times New Roman"/>
                <w:spacing w:val="87"/>
                <w:sz w:val="21"/>
              </w:rPr>
              <w:t> </w:t>
            </w:r>
            <w:r>
              <w:rPr>
                <w:sz w:val="21"/>
              </w:rPr>
              <w:t>年第四季度自主行权</w:t>
            </w:r>
          </w:p>
          <w:p>
            <w:pPr>
              <w:pStyle w:val="TableParagraph"/>
              <w:spacing w:line="252" w:lineRule="exact" w:before="2"/>
              <w:ind w:left="107"/>
              <w:rPr>
                <w:sz w:val="21"/>
              </w:rPr>
            </w:pPr>
            <w:r>
              <w:rPr>
                <w:rFonts w:ascii="Times New Roman" w:eastAsia="Times New Roman"/>
                <w:sz w:val="21"/>
              </w:rPr>
              <w:t>153,875</w:t>
            </w:r>
            <w:r>
              <w:rPr>
                <w:rFonts w:ascii="Times New Roman" w:eastAsia="Times New Roman"/>
                <w:spacing w:val="-11"/>
                <w:sz w:val="21"/>
              </w:rPr>
              <w:t> </w:t>
            </w:r>
            <w:r>
              <w:rPr>
                <w:sz w:val="21"/>
              </w:rPr>
              <w:t>股。</w:t>
            </w:r>
          </w:p>
        </w:tc>
        <w:tc>
          <w:tcPr>
            <w:tcW w:w="4640" w:type="dxa"/>
          </w:tcPr>
          <w:p>
            <w:pPr>
              <w:pStyle w:val="TableParagraph"/>
              <w:spacing w:before="1"/>
              <w:ind w:left="107"/>
              <w:rPr>
                <w:sz w:val="21"/>
              </w:rPr>
            </w:pPr>
            <w:r>
              <w:rPr>
                <w:spacing w:val="-11"/>
                <w:sz w:val="21"/>
              </w:rPr>
              <w:t>详见公司于 </w:t>
            </w:r>
            <w:r>
              <w:rPr>
                <w:rFonts w:ascii="Times New Roman" w:eastAsia="Times New Roman"/>
                <w:sz w:val="21"/>
              </w:rPr>
              <w:t>2022</w:t>
            </w:r>
            <w:r>
              <w:rPr>
                <w:rFonts w:ascii="Times New Roman" w:eastAsia="Times New Roman"/>
                <w:spacing w:val="-18"/>
                <w:sz w:val="21"/>
              </w:rPr>
              <w:t> </w:t>
            </w:r>
            <w:r>
              <w:rPr>
                <w:spacing w:val="-33"/>
                <w:sz w:val="21"/>
              </w:rPr>
              <w:t>年 </w:t>
            </w:r>
            <w:r>
              <w:rPr>
                <w:rFonts w:ascii="Times New Roman" w:eastAsia="Times New Roman"/>
                <w:sz w:val="21"/>
              </w:rPr>
              <w:t>1</w:t>
            </w:r>
            <w:r>
              <w:rPr>
                <w:rFonts w:ascii="Times New Roman" w:eastAsia="Times New Roman"/>
                <w:spacing w:val="-18"/>
                <w:sz w:val="21"/>
              </w:rPr>
              <w:t> </w:t>
            </w:r>
            <w:r>
              <w:rPr>
                <w:spacing w:val="-32"/>
                <w:sz w:val="21"/>
              </w:rPr>
              <w:t>月 </w:t>
            </w:r>
            <w:r>
              <w:rPr>
                <w:rFonts w:ascii="Times New Roman" w:eastAsia="Times New Roman"/>
                <w:sz w:val="21"/>
              </w:rPr>
              <w:t>6</w:t>
            </w:r>
            <w:r>
              <w:rPr>
                <w:rFonts w:ascii="Times New Roman" w:eastAsia="Times New Roman"/>
                <w:spacing w:val="-22"/>
                <w:sz w:val="21"/>
              </w:rPr>
              <w:t> </w:t>
            </w:r>
            <w:r>
              <w:rPr>
                <w:sz w:val="21"/>
              </w:rPr>
              <w:t>日在上海证券交易所网</w:t>
            </w:r>
          </w:p>
          <w:p>
            <w:pPr>
              <w:pStyle w:val="TableParagraph"/>
              <w:spacing w:line="270" w:lineRule="atLeast"/>
              <w:ind w:left="107" w:right="94"/>
              <w:rPr>
                <w:sz w:val="21"/>
              </w:rPr>
            </w:pPr>
            <w:r>
              <w:rPr>
                <w:sz w:val="21"/>
              </w:rPr>
              <w:t>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2019</w:t>
            </w:r>
            <w:r>
              <w:rPr>
                <w:rFonts w:ascii="Times New Roman" w:eastAsia="Times New Roman"/>
                <w:spacing w:val="37"/>
                <w:sz w:val="21"/>
              </w:rPr>
              <w:t> </w:t>
            </w:r>
            <w:r>
              <w:rPr>
                <w:sz w:val="21"/>
              </w:rPr>
              <w:t>年股票期</w:t>
            </w:r>
          </w:p>
        </w:tc>
      </w:tr>
    </w:tbl>
    <w:p>
      <w:pPr>
        <w:spacing w:after="0" w:line="270" w:lineRule="atLeast"/>
        <w:rPr>
          <w:sz w:val="21"/>
        </w:rPr>
        <w:sectPr>
          <w:pgSz w:w="11910" w:h="16840"/>
          <w:pgMar w:header="877" w:footer="1180" w:top="1440" w:bottom="1360" w:left="1680" w:right="960"/>
        </w:sectPr>
      </w:pPr>
    </w:p>
    <w:p>
      <w:pPr>
        <w:pStyle w:val="BodyText"/>
        <w:spacing w:before="2"/>
        <w:ind w:left="0"/>
        <w:rPr>
          <w:sz w:val="5"/>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07"/>
        <w:gridCol w:w="4640"/>
      </w:tblGrid>
      <w:tr>
        <w:trPr>
          <w:trHeight w:val="818" w:hRule="atLeast"/>
        </w:trPr>
        <w:tc>
          <w:tcPr>
            <w:tcW w:w="4107" w:type="dxa"/>
          </w:tcPr>
          <w:p>
            <w:pPr>
              <w:pStyle w:val="TableParagraph"/>
              <w:rPr>
                <w:rFonts w:ascii="Times New Roman"/>
                <w:sz w:val="20"/>
              </w:rPr>
            </w:pPr>
          </w:p>
        </w:tc>
        <w:tc>
          <w:tcPr>
            <w:tcW w:w="4640" w:type="dxa"/>
          </w:tcPr>
          <w:p>
            <w:pPr>
              <w:pStyle w:val="TableParagraph"/>
              <w:spacing w:line="242" w:lineRule="auto" w:before="3"/>
              <w:ind w:left="107" w:right="94"/>
              <w:rPr>
                <w:sz w:val="21"/>
              </w:rPr>
            </w:pPr>
            <w:r>
              <w:rPr>
                <w:sz w:val="21"/>
              </w:rPr>
              <w:t>权与限制性股票激励计划 </w:t>
            </w:r>
            <w:r>
              <w:rPr>
                <w:rFonts w:ascii="Times New Roman" w:eastAsia="Times New Roman"/>
                <w:sz w:val="21"/>
              </w:rPr>
              <w:t>2021</w:t>
            </w:r>
            <w:r>
              <w:rPr>
                <w:rFonts w:ascii="Times New Roman" w:eastAsia="Times New Roman"/>
                <w:spacing w:val="39"/>
                <w:sz w:val="21"/>
              </w:rPr>
              <w:t> </w:t>
            </w:r>
            <w:r>
              <w:rPr>
                <w:sz w:val="21"/>
              </w:rPr>
              <w:t>年第四季度自主行权结果暨股份变动的公告》</w:t>
            </w:r>
            <w:r>
              <w:rPr>
                <w:spacing w:val="11"/>
                <w:sz w:val="21"/>
              </w:rPr>
              <w:t>（</w:t>
            </w:r>
            <w:r>
              <w:rPr>
                <w:spacing w:val="2"/>
                <w:sz w:val="21"/>
              </w:rPr>
              <w:t>公告编号：临</w:t>
            </w:r>
          </w:p>
          <w:p>
            <w:pPr>
              <w:pStyle w:val="TableParagraph"/>
              <w:spacing w:line="250" w:lineRule="exact" w:before="2"/>
              <w:ind w:left="107"/>
              <w:rPr>
                <w:sz w:val="21"/>
              </w:rPr>
            </w:pPr>
            <w:r>
              <w:rPr>
                <w:rFonts w:ascii="Times New Roman" w:eastAsia="Times New Roman"/>
                <w:sz w:val="21"/>
              </w:rPr>
              <w:t>2022-006</w:t>
            </w:r>
            <w:r>
              <w:rPr>
                <w:rFonts w:ascii="Times New Roman" w:eastAsia="Times New Roman"/>
                <w:spacing w:val="-11"/>
                <w:sz w:val="21"/>
              </w:rPr>
              <w:t> </w:t>
            </w:r>
            <w:r>
              <w:rPr>
                <w:sz w:val="21"/>
              </w:rPr>
              <w:t>号）</w:t>
            </w:r>
          </w:p>
        </w:tc>
      </w:tr>
      <w:tr>
        <w:trPr>
          <w:trHeight w:val="1634" w:hRule="atLeast"/>
        </w:trPr>
        <w:tc>
          <w:tcPr>
            <w:tcW w:w="4107" w:type="dxa"/>
          </w:tcPr>
          <w:p>
            <w:pPr>
              <w:pStyle w:val="TableParagraph"/>
              <w:spacing w:line="242" w:lineRule="auto" w:before="1"/>
              <w:ind w:left="107" w:right="72"/>
              <w:jc w:val="both"/>
              <w:rPr>
                <w:sz w:val="21"/>
              </w:rPr>
            </w:pPr>
            <w:r>
              <w:rPr>
                <w:spacing w:val="-16"/>
                <w:sz w:val="21"/>
              </w:rPr>
              <w:t>公司 </w:t>
            </w:r>
            <w:r>
              <w:rPr>
                <w:rFonts w:ascii="Times New Roman" w:eastAsia="Times New Roman"/>
                <w:sz w:val="21"/>
              </w:rPr>
              <w:t>2019</w:t>
            </w:r>
            <w:r>
              <w:rPr>
                <w:rFonts w:ascii="Times New Roman" w:eastAsia="Times New Roman"/>
                <w:spacing w:val="-3"/>
                <w:sz w:val="21"/>
              </w:rPr>
              <w:t> </w:t>
            </w:r>
            <w:r>
              <w:rPr>
                <w:sz w:val="21"/>
              </w:rPr>
              <w:t>年股票期权与限制性股票激励计</w:t>
            </w:r>
            <w:r>
              <w:rPr>
                <w:spacing w:val="16"/>
                <w:sz w:val="21"/>
              </w:rPr>
              <w:t>划剩余预留授予限制性股票第二期共计</w:t>
            </w:r>
            <w:r>
              <w:rPr>
                <w:rFonts w:ascii="Times New Roman" w:eastAsia="Times New Roman"/>
                <w:sz w:val="21"/>
              </w:rPr>
              <w:t>3,228,952</w:t>
            </w:r>
            <w:r>
              <w:rPr>
                <w:rFonts w:ascii="Times New Roman" w:eastAsia="Times New Roman"/>
                <w:spacing w:val="51"/>
                <w:sz w:val="21"/>
              </w:rPr>
              <w:t> </w:t>
            </w:r>
            <w:r>
              <w:rPr>
                <w:sz w:val="21"/>
              </w:rPr>
              <w:t>股解锁并上市流通，上市流通日</w:t>
            </w:r>
          </w:p>
          <w:p>
            <w:pPr>
              <w:pStyle w:val="TableParagraph"/>
              <w:spacing w:before="3"/>
              <w:ind w:left="107"/>
              <w:jc w:val="both"/>
              <w:rPr>
                <w:sz w:val="21"/>
              </w:rPr>
            </w:pPr>
            <w:r>
              <w:rPr>
                <w:spacing w:val="-18"/>
                <w:sz w:val="21"/>
              </w:rPr>
              <w:t>期为 </w:t>
            </w:r>
            <w:r>
              <w:rPr>
                <w:rFonts w:ascii="Times New Roman" w:eastAsia="Times New Roman"/>
                <w:sz w:val="21"/>
              </w:rPr>
              <w:t>2022</w:t>
            </w:r>
            <w:r>
              <w:rPr>
                <w:rFonts w:ascii="Times New Roman" w:eastAsia="Times New Roman"/>
                <w:spacing w:val="-10"/>
                <w:sz w:val="21"/>
              </w:rPr>
              <w:t> </w:t>
            </w:r>
            <w:r>
              <w:rPr>
                <w:spacing w:val="-27"/>
                <w:sz w:val="21"/>
              </w:rPr>
              <w:t>年 </w:t>
            </w:r>
            <w:r>
              <w:rPr>
                <w:rFonts w:ascii="Times New Roman" w:eastAsia="Times New Roman"/>
                <w:sz w:val="21"/>
              </w:rPr>
              <w:t>1</w:t>
            </w:r>
            <w:r>
              <w:rPr>
                <w:rFonts w:ascii="Times New Roman" w:eastAsia="Times New Roman"/>
                <w:spacing w:val="-9"/>
                <w:sz w:val="21"/>
              </w:rPr>
              <w:t> </w:t>
            </w:r>
            <w:r>
              <w:rPr>
                <w:spacing w:val="-27"/>
                <w:sz w:val="21"/>
              </w:rPr>
              <w:t>月 </w:t>
            </w:r>
            <w:r>
              <w:rPr>
                <w:rFonts w:ascii="Times New Roman" w:eastAsia="Times New Roman"/>
                <w:sz w:val="21"/>
              </w:rPr>
              <w:t>19</w:t>
            </w:r>
            <w:r>
              <w:rPr>
                <w:rFonts w:ascii="Times New Roman" w:eastAsia="Times New Roman"/>
                <w:spacing w:val="-11"/>
                <w:sz w:val="21"/>
              </w:rPr>
              <w:t> </w:t>
            </w:r>
            <w:r>
              <w:rPr>
                <w:sz w:val="21"/>
              </w:rPr>
              <w:t>日。</w:t>
            </w:r>
          </w:p>
        </w:tc>
        <w:tc>
          <w:tcPr>
            <w:tcW w:w="4640" w:type="dxa"/>
          </w:tcPr>
          <w:p>
            <w:pPr>
              <w:pStyle w:val="TableParagraph"/>
              <w:spacing w:line="242" w:lineRule="auto" w:before="1"/>
              <w:ind w:left="107" w:right="94"/>
              <w:jc w:val="both"/>
              <w:rPr>
                <w:rFonts w:ascii="Times New Roman" w:eastAsia="Times New Roman"/>
                <w:sz w:val="21"/>
              </w:rPr>
            </w:pPr>
            <w:r>
              <w:rPr>
                <w:spacing w:val="-9"/>
                <w:sz w:val="21"/>
              </w:rPr>
              <w:t>详见公司于 </w:t>
            </w:r>
            <w:r>
              <w:rPr>
                <w:rFonts w:ascii="Times New Roman" w:eastAsia="Times New Roman"/>
                <w:sz w:val="21"/>
              </w:rPr>
              <w:t>2022</w:t>
            </w:r>
            <w:r>
              <w:rPr>
                <w:rFonts w:ascii="Times New Roman" w:eastAsia="Times New Roman"/>
                <w:spacing w:val="-5"/>
                <w:sz w:val="21"/>
              </w:rPr>
              <w:t> </w:t>
            </w:r>
            <w:r>
              <w:rPr>
                <w:spacing w:val="-23"/>
                <w:sz w:val="21"/>
              </w:rPr>
              <w:t>年 </w:t>
            </w:r>
            <w:r>
              <w:rPr>
                <w:rFonts w:ascii="Times New Roman" w:eastAsia="Times New Roman"/>
                <w:sz w:val="21"/>
              </w:rPr>
              <w:t>1</w:t>
            </w:r>
            <w:r>
              <w:rPr>
                <w:rFonts w:ascii="Times New Roman" w:eastAsia="Times New Roman"/>
                <w:spacing w:val="-7"/>
                <w:sz w:val="21"/>
              </w:rPr>
              <w:t> </w:t>
            </w:r>
            <w:r>
              <w:rPr>
                <w:spacing w:val="-23"/>
                <w:sz w:val="21"/>
              </w:rPr>
              <w:t>月 </w:t>
            </w:r>
            <w:r>
              <w:rPr>
                <w:rFonts w:ascii="Times New Roman" w:eastAsia="Times New Roman"/>
                <w:sz w:val="21"/>
              </w:rPr>
              <w:t>13</w:t>
            </w:r>
            <w:r>
              <w:rPr>
                <w:rFonts w:ascii="Times New Roman" w:eastAsia="Times New Roman"/>
                <w:spacing w:val="-5"/>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 </w:t>
            </w:r>
            <w:r>
              <w:rPr>
                <w:rFonts w:ascii="Times New Roman" w:eastAsia="Times New Roman"/>
                <w:sz w:val="21"/>
              </w:rPr>
              <w:t>2019</w:t>
            </w:r>
            <w:r>
              <w:rPr>
                <w:rFonts w:ascii="Times New Roman" w:eastAsia="Times New Roman"/>
                <w:spacing w:val="38"/>
                <w:sz w:val="21"/>
              </w:rPr>
              <w:t> </w:t>
            </w:r>
            <w:r>
              <w:rPr>
                <w:sz w:val="21"/>
              </w:rPr>
              <w:t>年股票期权与限制性股票激励计划剩余预留授予限制性股票第二期解锁暨上市公告》（</w:t>
            </w:r>
            <w:r>
              <w:rPr>
                <w:spacing w:val="4"/>
                <w:sz w:val="21"/>
              </w:rPr>
              <w:t>公告编号：临 </w:t>
            </w:r>
            <w:r>
              <w:rPr>
                <w:rFonts w:ascii="Times New Roman" w:eastAsia="Times New Roman"/>
                <w:sz w:val="21"/>
              </w:rPr>
              <w:t>2022-</w:t>
            </w:r>
          </w:p>
          <w:p>
            <w:pPr>
              <w:pStyle w:val="TableParagraph"/>
              <w:spacing w:line="250" w:lineRule="exact" w:before="4"/>
              <w:ind w:left="107"/>
              <w:jc w:val="both"/>
              <w:rPr>
                <w:sz w:val="21"/>
              </w:rPr>
            </w:pPr>
            <w:r>
              <w:rPr>
                <w:rFonts w:ascii="Times New Roman" w:eastAsia="Times New Roman"/>
                <w:sz w:val="21"/>
              </w:rPr>
              <w:t>007</w:t>
            </w:r>
            <w:r>
              <w:rPr>
                <w:rFonts w:ascii="Times New Roman" w:eastAsia="Times New Roman"/>
                <w:spacing w:val="-11"/>
                <w:sz w:val="21"/>
              </w:rPr>
              <w:t> </w:t>
            </w:r>
            <w:r>
              <w:rPr>
                <w:sz w:val="21"/>
              </w:rPr>
              <w:t>号）</w:t>
            </w:r>
          </w:p>
        </w:tc>
      </w:tr>
      <w:tr>
        <w:trPr>
          <w:trHeight w:val="1634" w:hRule="atLeast"/>
        </w:trPr>
        <w:tc>
          <w:tcPr>
            <w:tcW w:w="4107" w:type="dxa"/>
          </w:tcPr>
          <w:p>
            <w:pPr>
              <w:pStyle w:val="TableParagraph"/>
              <w:spacing w:line="242" w:lineRule="auto" w:before="1"/>
              <w:ind w:left="107" w:right="91"/>
              <w:jc w:val="both"/>
              <w:rPr>
                <w:sz w:val="21"/>
              </w:rPr>
            </w:pPr>
            <w:r>
              <w:rPr>
                <w:spacing w:val="-16"/>
                <w:sz w:val="21"/>
              </w:rPr>
              <w:t>公司 </w:t>
            </w:r>
            <w:r>
              <w:rPr>
                <w:rFonts w:ascii="Times New Roman" w:eastAsia="Times New Roman"/>
                <w:spacing w:val="-1"/>
                <w:sz w:val="21"/>
              </w:rPr>
              <w:t>2019</w:t>
            </w:r>
            <w:r>
              <w:rPr>
                <w:rFonts w:ascii="Times New Roman" w:eastAsia="Times New Roman"/>
                <w:spacing w:val="-3"/>
                <w:sz w:val="21"/>
              </w:rPr>
              <w:t> </w:t>
            </w:r>
            <w:r>
              <w:rPr>
                <w:spacing w:val="-1"/>
                <w:sz w:val="21"/>
              </w:rPr>
              <w:t>年股票期权与限制性股票激励计</w:t>
            </w:r>
            <w:r>
              <w:rPr>
                <w:sz w:val="21"/>
              </w:rPr>
              <w:t>划剩余预留授予股票期权第二个行权期于</w:t>
            </w:r>
            <w:r>
              <w:rPr>
                <w:rFonts w:ascii="Times New Roman" w:eastAsia="Times New Roman"/>
                <w:sz w:val="21"/>
              </w:rPr>
              <w:t>2022</w:t>
            </w:r>
            <w:r>
              <w:rPr>
                <w:rFonts w:ascii="Times New Roman" w:eastAsia="Times New Roman"/>
                <w:spacing w:val="-12"/>
                <w:sz w:val="21"/>
              </w:rPr>
              <w:t> </w:t>
            </w:r>
            <w:r>
              <w:rPr>
                <w:spacing w:val="-28"/>
                <w:sz w:val="21"/>
              </w:rPr>
              <w:t>年 </w:t>
            </w:r>
            <w:r>
              <w:rPr>
                <w:rFonts w:ascii="Times New Roman" w:eastAsia="Times New Roman"/>
                <w:sz w:val="21"/>
              </w:rPr>
              <w:t>2</w:t>
            </w:r>
            <w:r>
              <w:rPr>
                <w:rFonts w:ascii="Times New Roman" w:eastAsia="Times New Roman"/>
                <w:spacing w:val="-10"/>
                <w:sz w:val="21"/>
              </w:rPr>
              <w:t> </w:t>
            </w:r>
            <w:r>
              <w:rPr>
                <w:spacing w:val="-28"/>
                <w:sz w:val="21"/>
              </w:rPr>
              <w:t>月 </w:t>
            </w:r>
            <w:r>
              <w:rPr>
                <w:rFonts w:ascii="Times New Roman" w:eastAsia="Times New Roman"/>
                <w:sz w:val="21"/>
              </w:rPr>
              <w:t>9</w:t>
            </w:r>
            <w:r>
              <w:rPr>
                <w:rFonts w:ascii="Times New Roman" w:eastAsia="Times New Roman"/>
                <w:spacing w:val="-12"/>
                <w:sz w:val="21"/>
              </w:rPr>
              <w:t> </w:t>
            </w:r>
            <w:r>
              <w:rPr>
                <w:sz w:val="21"/>
              </w:rPr>
              <w:t>日开始行权。</w:t>
            </w:r>
          </w:p>
        </w:tc>
        <w:tc>
          <w:tcPr>
            <w:tcW w:w="4640" w:type="dxa"/>
          </w:tcPr>
          <w:p>
            <w:pPr>
              <w:pStyle w:val="TableParagraph"/>
              <w:spacing w:line="242" w:lineRule="auto" w:before="1"/>
              <w:ind w:left="107" w:right="93"/>
              <w:jc w:val="both"/>
              <w:rPr>
                <w:sz w:val="21"/>
              </w:rPr>
            </w:pPr>
            <w:r>
              <w:rPr>
                <w:spacing w:val="-9"/>
                <w:sz w:val="21"/>
              </w:rPr>
              <w:t>详见公司于 </w:t>
            </w:r>
            <w:r>
              <w:rPr>
                <w:rFonts w:ascii="Times New Roman" w:eastAsia="Times New Roman"/>
                <w:sz w:val="21"/>
              </w:rPr>
              <w:t>2022</w:t>
            </w:r>
            <w:r>
              <w:rPr>
                <w:rFonts w:ascii="Times New Roman" w:eastAsia="Times New Roman"/>
                <w:spacing w:val="-5"/>
                <w:sz w:val="21"/>
              </w:rPr>
              <w:t> </w:t>
            </w:r>
            <w:r>
              <w:rPr>
                <w:spacing w:val="-23"/>
                <w:sz w:val="21"/>
              </w:rPr>
              <w:t>年 </w:t>
            </w:r>
            <w:r>
              <w:rPr>
                <w:rFonts w:ascii="Times New Roman" w:eastAsia="Times New Roman"/>
                <w:sz w:val="21"/>
              </w:rPr>
              <w:t>1</w:t>
            </w:r>
            <w:r>
              <w:rPr>
                <w:rFonts w:ascii="Times New Roman" w:eastAsia="Times New Roman"/>
                <w:spacing w:val="-7"/>
                <w:sz w:val="21"/>
              </w:rPr>
              <w:t> </w:t>
            </w:r>
            <w:r>
              <w:rPr>
                <w:spacing w:val="-23"/>
                <w:sz w:val="21"/>
              </w:rPr>
              <w:t>月 </w:t>
            </w:r>
            <w:r>
              <w:rPr>
                <w:rFonts w:ascii="Times New Roman" w:eastAsia="Times New Roman"/>
                <w:sz w:val="21"/>
              </w:rPr>
              <w:t>27</w:t>
            </w:r>
            <w:r>
              <w:rPr>
                <w:rFonts w:ascii="Times New Roman" w:eastAsia="Times New Roman"/>
                <w:spacing w:val="-5"/>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2019</w:t>
            </w:r>
            <w:r>
              <w:rPr>
                <w:rFonts w:ascii="Times New Roman" w:eastAsia="Times New Roman"/>
                <w:spacing w:val="38"/>
                <w:sz w:val="21"/>
              </w:rPr>
              <w:t> </w:t>
            </w:r>
            <w:r>
              <w:rPr>
                <w:sz w:val="21"/>
              </w:rPr>
              <w:t>年股票期权与限制性股票激励计划剩余预留授予第二个行权期符合行权条件的公告》</w:t>
            </w:r>
            <w:r>
              <w:rPr>
                <w:spacing w:val="11"/>
                <w:sz w:val="21"/>
              </w:rPr>
              <w:t>（</w:t>
            </w:r>
            <w:r>
              <w:rPr>
                <w:spacing w:val="2"/>
                <w:sz w:val="21"/>
              </w:rPr>
              <w:t>公告编号：临</w:t>
            </w:r>
          </w:p>
          <w:p>
            <w:pPr>
              <w:pStyle w:val="TableParagraph"/>
              <w:spacing w:line="250" w:lineRule="exact" w:before="5"/>
              <w:ind w:left="107"/>
              <w:jc w:val="both"/>
              <w:rPr>
                <w:sz w:val="21"/>
              </w:rPr>
            </w:pPr>
            <w:r>
              <w:rPr>
                <w:rFonts w:ascii="Times New Roman" w:eastAsia="Times New Roman"/>
                <w:sz w:val="21"/>
              </w:rPr>
              <w:t>2022-009</w:t>
            </w:r>
            <w:r>
              <w:rPr>
                <w:rFonts w:ascii="Times New Roman" w:eastAsia="Times New Roman"/>
                <w:spacing w:val="-11"/>
                <w:sz w:val="21"/>
              </w:rPr>
              <w:t> </w:t>
            </w:r>
            <w:r>
              <w:rPr>
                <w:sz w:val="21"/>
              </w:rPr>
              <w:t>号）</w:t>
            </w:r>
          </w:p>
        </w:tc>
      </w:tr>
      <w:tr>
        <w:trPr>
          <w:trHeight w:val="1634" w:hRule="atLeast"/>
        </w:trPr>
        <w:tc>
          <w:tcPr>
            <w:tcW w:w="4107" w:type="dxa"/>
          </w:tcPr>
          <w:p>
            <w:pPr>
              <w:pStyle w:val="TableParagraph"/>
              <w:spacing w:before="1"/>
              <w:ind w:left="107"/>
              <w:rPr>
                <w:sz w:val="21"/>
              </w:rPr>
            </w:pPr>
            <w:r>
              <w:rPr>
                <w:spacing w:val="-16"/>
                <w:sz w:val="21"/>
              </w:rPr>
              <w:t>公司 </w:t>
            </w:r>
            <w:r>
              <w:rPr>
                <w:rFonts w:ascii="Times New Roman" w:eastAsia="Times New Roman"/>
                <w:sz w:val="21"/>
              </w:rPr>
              <w:t>2019</w:t>
            </w:r>
            <w:r>
              <w:rPr>
                <w:rFonts w:ascii="Times New Roman" w:eastAsia="Times New Roman"/>
                <w:spacing w:val="-3"/>
                <w:sz w:val="21"/>
              </w:rPr>
              <w:t> </w:t>
            </w:r>
            <w:r>
              <w:rPr>
                <w:sz w:val="21"/>
              </w:rPr>
              <w:t>年股票期权与限制性股票激励计</w:t>
            </w:r>
          </w:p>
          <w:p>
            <w:pPr>
              <w:pStyle w:val="TableParagraph"/>
              <w:spacing w:before="4"/>
              <w:ind w:left="107"/>
              <w:rPr>
                <w:sz w:val="21"/>
              </w:rPr>
            </w:pPr>
            <w:r>
              <w:rPr>
                <w:spacing w:val="9"/>
                <w:sz w:val="21"/>
              </w:rPr>
              <w:t>划股票期权在 </w:t>
            </w:r>
            <w:r>
              <w:rPr>
                <w:rFonts w:ascii="Times New Roman" w:eastAsia="Times New Roman"/>
                <w:sz w:val="21"/>
              </w:rPr>
              <w:t>2022</w:t>
            </w:r>
            <w:r>
              <w:rPr>
                <w:rFonts w:ascii="Times New Roman" w:eastAsia="Times New Roman"/>
                <w:spacing w:val="87"/>
                <w:sz w:val="21"/>
              </w:rPr>
              <w:t> </w:t>
            </w:r>
            <w:r>
              <w:rPr>
                <w:sz w:val="21"/>
              </w:rPr>
              <w:t>年第一季度自主行权</w:t>
            </w:r>
          </w:p>
          <w:p>
            <w:pPr>
              <w:pStyle w:val="TableParagraph"/>
              <w:spacing w:before="2"/>
              <w:ind w:left="107"/>
              <w:rPr>
                <w:sz w:val="21"/>
              </w:rPr>
            </w:pPr>
            <w:r>
              <w:rPr>
                <w:rFonts w:ascii="Times New Roman" w:eastAsia="Times New Roman"/>
                <w:sz w:val="21"/>
              </w:rPr>
              <w:t>33,570</w:t>
            </w:r>
            <w:r>
              <w:rPr>
                <w:rFonts w:ascii="Times New Roman" w:eastAsia="Times New Roman"/>
                <w:spacing w:val="-12"/>
                <w:sz w:val="21"/>
              </w:rPr>
              <w:t> </w:t>
            </w:r>
            <w:r>
              <w:rPr>
                <w:sz w:val="21"/>
              </w:rPr>
              <w:t>股。</w:t>
            </w:r>
          </w:p>
        </w:tc>
        <w:tc>
          <w:tcPr>
            <w:tcW w:w="4640" w:type="dxa"/>
          </w:tcPr>
          <w:p>
            <w:pPr>
              <w:pStyle w:val="TableParagraph"/>
              <w:spacing w:line="242" w:lineRule="auto" w:before="1"/>
              <w:ind w:left="107" w:right="93"/>
              <w:jc w:val="both"/>
              <w:rPr>
                <w:sz w:val="21"/>
              </w:rPr>
            </w:pPr>
            <w:r>
              <w:rPr>
                <w:spacing w:val="-11"/>
                <w:sz w:val="21"/>
              </w:rPr>
              <w:t>详见公司于 </w:t>
            </w:r>
            <w:r>
              <w:rPr>
                <w:rFonts w:ascii="Times New Roman" w:eastAsia="Times New Roman"/>
                <w:sz w:val="21"/>
              </w:rPr>
              <w:t>2022</w:t>
            </w:r>
            <w:r>
              <w:rPr>
                <w:rFonts w:ascii="Times New Roman" w:eastAsia="Times New Roman"/>
                <w:spacing w:val="-19"/>
                <w:sz w:val="21"/>
              </w:rPr>
              <w:t> </w:t>
            </w:r>
            <w:r>
              <w:rPr>
                <w:spacing w:val="-33"/>
                <w:sz w:val="21"/>
              </w:rPr>
              <w:t>年 </w:t>
            </w:r>
            <w:r>
              <w:rPr>
                <w:rFonts w:ascii="Times New Roman" w:eastAsia="Times New Roman"/>
                <w:sz w:val="21"/>
              </w:rPr>
              <w:t>4</w:t>
            </w:r>
            <w:r>
              <w:rPr>
                <w:rFonts w:ascii="Times New Roman" w:eastAsia="Times New Roman"/>
                <w:spacing w:val="-18"/>
                <w:sz w:val="21"/>
              </w:rPr>
              <w:t> </w:t>
            </w:r>
            <w:r>
              <w:rPr>
                <w:spacing w:val="-32"/>
                <w:sz w:val="21"/>
              </w:rPr>
              <w:t>月 </w:t>
            </w:r>
            <w:r>
              <w:rPr>
                <w:rFonts w:ascii="Times New Roman" w:eastAsia="Times New Roman"/>
                <w:sz w:val="21"/>
              </w:rPr>
              <w:t>7</w:t>
            </w:r>
            <w:r>
              <w:rPr>
                <w:rFonts w:ascii="Times New Roman" w:eastAsia="Times New Roman"/>
                <w:spacing w:val="-21"/>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2019</w:t>
            </w:r>
            <w:r>
              <w:rPr>
                <w:rFonts w:ascii="Times New Roman" w:eastAsia="Times New Roman"/>
                <w:spacing w:val="38"/>
                <w:sz w:val="21"/>
              </w:rPr>
              <w:t> </w:t>
            </w:r>
            <w:r>
              <w:rPr>
                <w:sz w:val="21"/>
              </w:rPr>
              <w:t>年股票期</w:t>
            </w:r>
          </w:p>
          <w:p>
            <w:pPr>
              <w:pStyle w:val="TableParagraph"/>
              <w:spacing w:line="242" w:lineRule="auto" w:before="3"/>
              <w:ind w:left="107" w:right="94"/>
              <w:jc w:val="both"/>
              <w:rPr>
                <w:sz w:val="21"/>
              </w:rPr>
            </w:pPr>
            <w:r>
              <w:rPr>
                <w:sz w:val="21"/>
              </w:rPr>
              <w:t>权与限制性股票激励计划 </w:t>
            </w:r>
            <w:r>
              <w:rPr>
                <w:rFonts w:ascii="Times New Roman" w:eastAsia="Times New Roman"/>
                <w:sz w:val="21"/>
              </w:rPr>
              <w:t>2022</w:t>
            </w:r>
            <w:r>
              <w:rPr>
                <w:rFonts w:ascii="Times New Roman" w:eastAsia="Times New Roman"/>
                <w:spacing w:val="39"/>
                <w:sz w:val="21"/>
              </w:rPr>
              <w:t> </w:t>
            </w:r>
            <w:r>
              <w:rPr>
                <w:sz w:val="21"/>
              </w:rPr>
              <w:t>年第一季度自主行权结果暨股份变动的公告》</w:t>
            </w:r>
            <w:r>
              <w:rPr>
                <w:spacing w:val="11"/>
                <w:sz w:val="21"/>
              </w:rPr>
              <w:t>（</w:t>
            </w:r>
            <w:r>
              <w:rPr>
                <w:spacing w:val="2"/>
                <w:sz w:val="21"/>
              </w:rPr>
              <w:t>公告编号：临</w:t>
            </w:r>
          </w:p>
          <w:p>
            <w:pPr>
              <w:pStyle w:val="TableParagraph"/>
              <w:spacing w:line="250" w:lineRule="exact" w:before="1"/>
              <w:ind w:left="107"/>
              <w:jc w:val="both"/>
              <w:rPr>
                <w:sz w:val="21"/>
              </w:rPr>
            </w:pPr>
            <w:r>
              <w:rPr>
                <w:rFonts w:ascii="Times New Roman" w:eastAsia="Times New Roman"/>
                <w:sz w:val="21"/>
              </w:rPr>
              <w:t>2022-031</w:t>
            </w:r>
            <w:r>
              <w:rPr>
                <w:rFonts w:ascii="Times New Roman" w:eastAsia="Times New Roman"/>
                <w:spacing w:val="-11"/>
                <w:sz w:val="21"/>
              </w:rPr>
              <w:t> </w:t>
            </w:r>
            <w:r>
              <w:rPr>
                <w:sz w:val="21"/>
              </w:rPr>
              <w:t>号）</w:t>
            </w:r>
          </w:p>
        </w:tc>
      </w:tr>
      <w:tr>
        <w:trPr>
          <w:trHeight w:val="1634" w:hRule="atLeast"/>
        </w:trPr>
        <w:tc>
          <w:tcPr>
            <w:tcW w:w="4107" w:type="dxa"/>
          </w:tcPr>
          <w:p>
            <w:pPr>
              <w:pStyle w:val="TableParagraph"/>
              <w:spacing w:line="242" w:lineRule="auto" w:before="1"/>
              <w:ind w:left="107" w:right="72"/>
              <w:jc w:val="both"/>
              <w:rPr>
                <w:sz w:val="21"/>
              </w:rPr>
            </w:pPr>
            <w:r>
              <w:rPr>
                <w:spacing w:val="-7"/>
                <w:sz w:val="21"/>
              </w:rPr>
              <w:t>公司于 </w:t>
            </w:r>
            <w:r>
              <w:rPr>
                <w:rFonts w:ascii="Times New Roman" w:eastAsia="Times New Roman"/>
                <w:sz w:val="21"/>
              </w:rPr>
              <w:t>2022</w:t>
            </w:r>
            <w:r>
              <w:rPr>
                <w:rFonts w:ascii="Times New Roman" w:eastAsia="Times New Roman"/>
                <w:spacing w:val="8"/>
                <w:sz w:val="21"/>
              </w:rPr>
              <w:t> </w:t>
            </w:r>
            <w:r>
              <w:rPr>
                <w:spacing w:val="-13"/>
                <w:sz w:val="21"/>
              </w:rPr>
              <w:t>年 </w:t>
            </w:r>
            <w:r>
              <w:rPr>
                <w:rFonts w:ascii="Times New Roman" w:eastAsia="Times New Roman"/>
                <w:sz w:val="21"/>
              </w:rPr>
              <w:t>4</w:t>
            </w:r>
            <w:r>
              <w:rPr>
                <w:rFonts w:ascii="Times New Roman" w:eastAsia="Times New Roman"/>
                <w:spacing w:val="8"/>
                <w:sz w:val="21"/>
              </w:rPr>
              <w:t> </w:t>
            </w:r>
            <w:r>
              <w:rPr>
                <w:spacing w:val="-12"/>
                <w:sz w:val="21"/>
              </w:rPr>
              <w:t>月 </w:t>
            </w:r>
            <w:r>
              <w:rPr>
                <w:rFonts w:ascii="Times New Roman" w:eastAsia="Times New Roman"/>
                <w:sz w:val="21"/>
              </w:rPr>
              <w:t>30</w:t>
            </w:r>
            <w:r>
              <w:rPr>
                <w:rFonts w:ascii="Times New Roman" w:eastAsia="Times New Roman"/>
                <w:spacing w:val="10"/>
                <w:sz w:val="21"/>
              </w:rPr>
              <w:t> </w:t>
            </w:r>
            <w:r>
              <w:rPr>
                <w:sz w:val="21"/>
              </w:rPr>
              <w:t>日召开第二届董事</w:t>
            </w:r>
            <w:r>
              <w:rPr>
                <w:spacing w:val="16"/>
                <w:sz w:val="21"/>
              </w:rPr>
              <w:t>会第二十一次会议，审议通过了《关于</w:t>
            </w:r>
            <w:r>
              <w:rPr>
                <w:rFonts w:ascii="Times New Roman" w:eastAsia="Times New Roman"/>
                <w:sz w:val="21"/>
              </w:rPr>
              <w:t>2019</w:t>
            </w:r>
            <w:r>
              <w:rPr>
                <w:rFonts w:ascii="Times New Roman" w:eastAsia="Times New Roman"/>
                <w:spacing w:val="50"/>
                <w:sz w:val="21"/>
              </w:rPr>
              <w:t> </w:t>
            </w:r>
            <w:r>
              <w:rPr>
                <w:sz w:val="21"/>
              </w:rPr>
              <w:t>年股票期权与限制性股票激励计划首次授予股票期权第三个行权期行权条件、首次授予限制性股票第三个解除限售期解</w:t>
            </w:r>
          </w:p>
          <w:p>
            <w:pPr>
              <w:pStyle w:val="TableParagraph"/>
              <w:spacing w:line="250" w:lineRule="exact" w:before="4"/>
              <w:ind w:left="107"/>
              <w:rPr>
                <w:sz w:val="21"/>
              </w:rPr>
            </w:pPr>
            <w:r>
              <w:rPr>
                <w:spacing w:val="-1"/>
                <w:sz w:val="21"/>
              </w:rPr>
              <w:t>除限售条件成就的议案》。</w:t>
            </w:r>
          </w:p>
        </w:tc>
        <w:tc>
          <w:tcPr>
            <w:tcW w:w="4640" w:type="dxa"/>
          </w:tcPr>
          <w:p>
            <w:pPr>
              <w:pStyle w:val="TableParagraph"/>
              <w:spacing w:line="242" w:lineRule="auto" w:before="1"/>
              <w:ind w:left="107" w:right="93"/>
              <w:jc w:val="both"/>
              <w:rPr>
                <w:sz w:val="21"/>
              </w:rPr>
            </w:pPr>
            <w:r>
              <w:rPr>
                <w:spacing w:val="-11"/>
                <w:sz w:val="21"/>
              </w:rPr>
              <w:t>详见公司于 </w:t>
            </w:r>
            <w:r>
              <w:rPr>
                <w:rFonts w:ascii="Times New Roman" w:eastAsia="Times New Roman"/>
                <w:sz w:val="21"/>
              </w:rPr>
              <w:t>2022</w:t>
            </w:r>
            <w:r>
              <w:rPr>
                <w:rFonts w:ascii="Times New Roman" w:eastAsia="Times New Roman"/>
                <w:spacing w:val="-19"/>
                <w:sz w:val="21"/>
              </w:rPr>
              <w:t> </w:t>
            </w:r>
            <w:r>
              <w:rPr>
                <w:spacing w:val="-33"/>
                <w:sz w:val="21"/>
              </w:rPr>
              <w:t>年 </w:t>
            </w:r>
            <w:r>
              <w:rPr>
                <w:rFonts w:ascii="Times New Roman" w:eastAsia="Times New Roman"/>
                <w:sz w:val="21"/>
              </w:rPr>
              <w:t>5</w:t>
            </w:r>
            <w:r>
              <w:rPr>
                <w:rFonts w:ascii="Times New Roman" w:eastAsia="Times New Roman"/>
                <w:spacing w:val="-18"/>
                <w:sz w:val="21"/>
              </w:rPr>
              <w:t> </w:t>
            </w:r>
            <w:r>
              <w:rPr>
                <w:spacing w:val="-32"/>
                <w:sz w:val="21"/>
              </w:rPr>
              <w:t>月 </w:t>
            </w:r>
            <w:r>
              <w:rPr>
                <w:rFonts w:ascii="Times New Roman" w:eastAsia="Times New Roman"/>
                <w:sz w:val="21"/>
              </w:rPr>
              <w:t>6</w:t>
            </w:r>
            <w:r>
              <w:rPr>
                <w:rFonts w:ascii="Times New Roman" w:eastAsia="Times New Roman"/>
                <w:spacing w:val="-21"/>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2019</w:t>
            </w:r>
            <w:r>
              <w:rPr>
                <w:rFonts w:ascii="Times New Roman" w:eastAsia="Times New Roman"/>
                <w:spacing w:val="37"/>
                <w:sz w:val="21"/>
              </w:rPr>
              <w:t> </w:t>
            </w:r>
            <w:r>
              <w:rPr>
                <w:sz w:val="21"/>
              </w:rPr>
              <w:t>年股票期权与限制性股票激励计划首次授予第三个行权期行权条件及解除限售条件成就的公告》（公告编</w:t>
            </w:r>
          </w:p>
          <w:p>
            <w:pPr>
              <w:pStyle w:val="TableParagraph"/>
              <w:spacing w:line="250" w:lineRule="exact" w:before="4"/>
              <w:ind w:left="107"/>
              <w:jc w:val="both"/>
              <w:rPr>
                <w:sz w:val="21"/>
              </w:rPr>
            </w:pPr>
            <w:r>
              <w:rPr>
                <w:spacing w:val="-14"/>
                <w:sz w:val="21"/>
              </w:rPr>
              <w:t>号：临 </w:t>
            </w:r>
            <w:r>
              <w:rPr>
                <w:rFonts w:ascii="Times New Roman" w:eastAsia="Times New Roman"/>
                <w:spacing w:val="-1"/>
                <w:sz w:val="21"/>
              </w:rPr>
              <w:t>2022-037</w:t>
            </w:r>
            <w:r>
              <w:rPr>
                <w:rFonts w:ascii="Times New Roman" w:eastAsia="Times New Roman"/>
                <w:spacing w:val="-9"/>
                <w:sz w:val="21"/>
              </w:rPr>
              <w:t> </w:t>
            </w:r>
            <w:r>
              <w:rPr>
                <w:sz w:val="21"/>
              </w:rPr>
              <w:t>号）</w:t>
            </w:r>
          </w:p>
        </w:tc>
      </w:tr>
      <w:tr>
        <w:trPr>
          <w:trHeight w:val="1634" w:hRule="atLeast"/>
        </w:trPr>
        <w:tc>
          <w:tcPr>
            <w:tcW w:w="4107" w:type="dxa"/>
          </w:tcPr>
          <w:p>
            <w:pPr>
              <w:pStyle w:val="TableParagraph"/>
              <w:spacing w:line="242" w:lineRule="auto" w:before="1"/>
              <w:ind w:left="107" w:right="91"/>
              <w:jc w:val="both"/>
              <w:rPr>
                <w:sz w:val="21"/>
              </w:rPr>
            </w:pPr>
            <w:r>
              <w:rPr>
                <w:spacing w:val="-8"/>
                <w:sz w:val="21"/>
              </w:rPr>
              <w:t>公司于 </w:t>
            </w:r>
            <w:r>
              <w:rPr>
                <w:rFonts w:ascii="Times New Roman" w:eastAsia="Times New Roman"/>
                <w:spacing w:val="-1"/>
                <w:sz w:val="21"/>
              </w:rPr>
              <w:t>2022</w:t>
            </w:r>
            <w:r>
              <w:rPr>
                <w:rFonts w:ascii="Times New Roman" w:eastAsia="Times New Roman"/>
                <w:spacing w:val="8"/>
                <w:sz w:val="21"/>
              </w:rPr>
              <w:t> </w:t>
            </w:r>
            <w:r>
              <w:rPr>
                <w:spacing w:val="-13"/>
                <w:sz w:val="21"/>
              </w:rPr>
              <w:t>年 </w:t>
            </w:r>
            <w:r>
              <w:rPr>
                <w:rFonts w:ascii="Times New Roman" w:eastAsia="Times New Roman"/>
                <w:sz w:val="21"/>
              </w:rPr>
              <w:t>4</w:t>
            </w:r>
            <w:r>
              <w:rPr>
                <w:rFonts w:ascii="Times New Roman" w:eastAsia="Times New Roman"/>
                <w:spacing w:val="8"/>
                <w:sz w:val="21"/>
              </w:rPr>
              <w:t> </w:t>
            </w:r>
            <w:r>
              <w:rPr>
                <w:spacing w:val="-13"/>
                <w:sz w:val="21"/>
              </w:rPr>
              <w:t>月 </w:t>
            </w:r>
            <w:r>
              <w:rPr>
                <w:rFonts w:ascii="Times New Roman" w:eastAsia="Times New Roman"/>
                <w:sz w:val="21"/>
              </w:rPr>
              <w:t>30</w:t>
            </w:r>
            <w:r>
              <w:rPr>
                <w:rFonts w:ascii="Times New Roman" w:eastAsia="Times New Roman"/>
                <w:spacing w:val="10"/>
                <w:sz w:val="21"/>
              </w:rPr>
              <w:t> </w:t>
            </w:r>
            <w:r>
              <w:rPr>
                <w:sz w:val="21"/>
              </w:rPr>
              <w:t>日召开第二届董事会第二十一次会议，审议通过了《关于公</w:t>
            </w:r>
            <w:r>
              <w:rPr>
                <w:spacing w:val="-22"/>
                <w:sz w:val="21"/>
              </w:rPr>
              <w:t>司 </w:t>
            </w:r>
            <w:r>
              <w:rPr>
                <w:rFonts w:ascii="Times New Roman" w:eastAsia="Times New Roman"/>
                <w:spacing w:val="-1"/>
                <w:sz w:val="21"/>
              </w:rPr>
              <w:t>2019</w:t>
            </w:r>
            <w:r>
              <w:rPr>
                <w:rFonts w:ascii="Times New Roman" w:eastAsia="Times New Roman"/>
                <w:spacing w:val="-5"/>
                <w:sz w:val="21"/>
              </w:rPr>
              <w:t> </w:t>
            </w:r>
            <w:r>
              <w:rPr>
                <w:spacing w:val="-1"/>
                <w:sz w:val="21"/>
              </w:rPr>
              <w:t>年股票期权与限制性股票激励计划</w:t>
            </w:r>
            <w:r>
              <w:rPr>
                <w:sz w:val="21"/>
              </w:rPr>
              <w:t>注销部分股票期权和回购注销部分限制性股票的议案》。</w:t>
            </w:r>
          </w:p>
        </w:tc>
        <w:tc>
          <w:tcPr>
            <w:tcW w:w="4640" w:type="dxa"/>
          </w:tcPr>
          <w:p>
            <w:pPr>
              <w:pStyle w:val="TableParagraph"/>
              <w:spacing w:line="242" w:lineRule="auto" w:before="1"/>
              <w:ind w:left="107" w:right="93"/>
              <w:jc w:val="both"/>
              <w:rPr>
                <w:sz w:val="21"/>
              </w:rPr>
            </w:pPr>
            <w:r>
              <w:rPr>
                <w:spacing w:val="-11"/>
                <w:sz w:val="21"/>
              </w:rPr>
              <w:t>详见公司于 </w:t>
            </w:r>
            <w:r>
              <w:rPr>
                <w:rFonts w:ascii="Times New Roman" w:eastAsia="Times New Roman"/>
                <w:sz w:val="21"/>
              </w:rPr>
              <w:t>2022</w:t>
            </w:r>
            <w:r>
              <w:rPr>
                <w:rFonts w:ascii="Times New Roman" w:eastAsia="Times New Roman"/>
                <w:spacing w:val="-19"/>
                <w:sz w:val="21"/>
              </w:rPr>
              <w:t> </w:t>
            </w:r>
            <w:r>
              <w:rPr>
                <w:spacing w:val="-33"/>
                <w:sz w:val="21"/>
              </w:rPr>
              <w:t>年 </w:t>
            </w:r>
            <w:r>
              <w:rPr>
                <w:rFonts w:ascii="Times New Roman" w:eastAsia="Times New Roman"/>
                <w:sz w:val="21"/>
              </w:rPr>
              <w:t>5</w:t>
            </w:r>
            <w:r>
              <w:rPr>
                <w:rFonts w:ascii="Times New Roman" w:eastAsia="Times New Roman"/>
                <w:spacing w:val="-18"/>
                <w:sz w:val="21"/>
              </w:rPr>
              <w:t> </w:t>
            </w:r>
            <w:r>
              <w:rPr>
                <w:spacing w:val="-32"/>
                <w:sz w:val="21"/>
              </w:rPr>
              <w:t>月 </w:t>
            </w:r>
            <w:r>
              <w:rPr>
                <w:rFonts w:ascii="Times New Roman" w:eastAsia="Times New Roman"/>
                <w:sz w:val="21"/>
              </w:rPr>
              <w:t>6</w:t>
            </w:r>
            <w:r>
              <w:rPr>
                <w:rFonts w:ascii="Times New Roman" w:eastAsia="Times New Roman"/>
                <w:spacing w:val="-21"/>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2019</w:t>
            </w:r>
            <w:r>
              <w:rPr>
                <w:rFonts w:ascii="Times New Roman" w:eastAsia="Times New Roman"/>
                <w:spacing w:val="37"/>
                <w:sz w:val="21"/>
              </w:rPr>
              <w:t> </w:t>
            </w:r>
            <w:r>
              <w:rPr>
                <w:sz w:val="21"/>
              </w:rPr>
              <w:t>年股票期权与限制性股票激励计划注销部分股票期权和回购注销部分限制性股票的公告》（公告编号：临</w:t>
            </w:r>
          </w:p>
          <w:p>
            <w:pPr>
              <w:pStyle w:val="TableParagraph"/>
              <w:spacing w:line="250" w:lineRule="exact" w:before="4"/>
              <w:ind w:left="107"/>
              <w:jc w:val="both"/>
              <w:rPr>
                <w:sz w:val="21"/>
              </w:rPr>
            </w:pPr>
            <w:r>
              <w:rPr>
                <w:rFonts w:ascii="Times New Roman" w:eastAsia="Times New Roman"/>
                <w:sz w:val="21"/>
              </w:rPr>
              <w:t>2022-038</w:t>
            </w:r>
            <w:r>
              <w:rPr>
                <w:rFonts w:ascii="Times New Roman" w:eastAsia="Times New Roman"/>
                <w:spacing w:val="-11"/>
                <w:sz w:val="21"/>
              </w:rPr>
              <w:t> </w:t>
            </w:r>
            <w:r>
              <w:rPr>
                <w:sz w:val="21"/>
              </w:rPr>
              <w:t>号）</w:t>
            </w:r>
          </w:p>
        </w:tc>
      </w:tr>
      <w:tr>
        <w:trPr>
          <w:trHeight w:val="1362" w:hRule="atLeast"/>
        </w:trPr>
        <w:tc>
          <w:tcPr>
            <w:tcW w:w="4107" w:type="dxa"/>
          </w:tcPr>
          <w:p>
            <w:pPr>
              <w:pStyle w:val="TableParagraph"/>
              <w:spacing w:line="244" w:lineRule="auto" w:before="1"/>
              <w:ind w:left="107" w:right="91"/>
              <w:rPr>
                <w:sz w:val="21"/>
              </w:rPr>
            </w:pPr>
            <w:r>
              <w:rPr>
                <w:spacing w:val="-13"/>
                <w:sz w:val="21"/>
              </w:rPr>
              <w:t>公司于 </w:t>
            </w:r>
            <w:r>
              <w:rPr>
                <w:rFonts w:ascii="Times New Roman" w:eastAsia="Times New Roman"/>
                <w:spacing w:val="-1"/>
                <w:sz w:val="21"/>
              </w:rPr>
              <w:t>2022</w:t>
            </w:r>
            <w:r>
              <w:rPr>
                <w:rFonts w:ascii="Times New Roman" w:eastAsia="Times New Roman"/>
                <w:spacing w:val="-7"/>
                <w:sz w:val="21"/>
              </w:rPr>
              <w:t> </w:t>
            </w:r>
            <w:r>
              <w:rPr>
                <w:spacing w:val="-23"/>
                <w:sz w:val="21"/>
              </w:rPr>
              <w:t>年 </w:t>
            </w:r>
            <w:r>
              <w:rPr>
                <w:rFonts w:ascii="Times New Roman" w:eastAsia="Times New Roman"/>
                <w:sz w:val="21"/>
              </w:rPr>
              <w:t>5</w:t>
            </w:r>
            <w:r>
              <w:rPr>
                <w:rFonts w:ascii="Times New Roman" w:eastAsia="Times New Roman"/>
                <w:spacing w:val="-7"/>
                <w:sz w:val="21"/>
              </w:rPr>
              <w:t> </w:t>
            </w:r>
            <w:r>
              <w:rPr>
                <w:spacing w:val="-23"/>
                <w:sz w:val="21"/>
              </w:rPr>
              <w:t>月 </w:t>
            </w:r>
            <w:r>
              <w:rPr>
                <w:rFonts w:ascii="Times New Roman" w:eastAsia="Times New Roman"/>
                <w:sz w:val="21"/>
              </w:rPr>
              <w:t>6</w:t>
            </w:r>
            <w:r>
              <w:rPr>
                <w:rFonts w:ascii="Times New Roman" w:eastAsia="Times New Roman"/>
                <w:spacing w:val="-7"/>
                <w:sz w:val="21"/>
              </w:rPr>
              <w:t> </w:t>
            </w:r>
            <w:r>
              <w:rPr>
                <w:sz w:val="21"/>
              </w:rPr>
              <w:t>日就回购注销部分限制性股票事宜发出通知债权人的公告。</w:t>
            </w:r>
          </w:p>
        </w:tc>
        <w:tc>
          <w:tcPr>
            <w:tcW w:w="4640" w:type="dxa"/>
          </w:tcPr>
          <w:p>
            <w:pPr>
              <w:pStyle w:val="TableParagraph"/>
              <w:spacing w:line="242" w:lineRule="auto" w:before="1"/>
              <w:ind w:left="107" w:right="93"/>
              <w:jc w:val="both"/>
              <w:rPr>
                <w:sz w:val="21"/>
              </w:rPr>
            </w:pPr>
            <w:r>
              <w:rPr>
                <w:spacing w:val="-11"/>
                <w:sz w:val="21"/>
              </w:rPr>
              <w:t>详见公司于 </w:t>
            </w:r>
            <w:r>
              <w:rPr>
                <w:rFonts w:ascii="Times New Roman" w:eastAsia="Times New Roman"/>
                <w:sz w:val="21"/>
              </w:rPr>
              <w:t>2022</w:t>
            </w:r>
            <w:r>
              <w:rPr>
                <w:rFonts w:ascii="Times New Roman" w:eastAsia="Times New Roman"/>
                <w:spacing w:val="-19"/>
                <w:sz w:val="21"/>
              </w:rPr>
              <w:t> </w:t>
            </w:r>
            <w:r>
              <w:rPr>
                <w:spacing w:val="-33"/>
                <w:sz w:val="21"/>
              </w:rPr>
              <w:t>年 </w:t>
            </w:r>
            <w:r>
              <w:rPr>
                <w:rFonts w:ascii="Times New Roman" w:eastAsia="Times New Roman"/>
                <w:sz w:val="21"/>
              </w:rPr>
              <w:t>5</w:t>
            </w:r>
            <w:r>
              <w:rPr>
                <w:rFonts w:ascii="Times New Roman" w:eastAsia="Times New Roman"/>
                <w:spacing w:val="-18"/>
                <w:sz w:val="21"/>
              </w:rPr>
              <w:t> </w:t>
            </w:r>
            <w:r>
              <w:rPr>
                <w:spacing w:val="-32"/>
                <w:sz w:val="21"/>
              </w:rPr>
              <w:t>月 </w:t>
            </w:r>
            <w:r>
              <w:rPr>
                <w:rFonts w:ascii="Times New Roman" w:eastAsia="Times New Roman"/>
                <w:sz w:val="21"/>
              </w:rPr>
              <w:t>6</w:t>
            </w:r>
            <w:r>
              <w:rPr>
                <w:rFonts w:ascii="Times New Roman" w:eastAsia="Times New Roman"/>
                <w:spacing w:val="-21"/>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）及指定媒体披露的《富士康工业互联网股份有限公司关于回购注销部分限制性股票通知债权人的公告》</w:t>
            </w:r>
            <w:r>
              <w:rPr>
                <w:spacing w:val="11"/>
                <w:sz w:val="21"/>
              </w:rPr>
              <w:t>（</w:t>
            </w:r>
            <w:r>
              <w:rPr>
                <w:spacing w:val="2"/>
                <w:sz w:val="21"/>
              </w:rPr>
              <w:t>公告编号：临</w:t>
            </w:r>
          </w:p>
          <w:p>
            <w:pPr>
              <w:pStyle w:val="TableParagraph"/>
              <w:spacing w:line="252" w:lineRule="exact" w:before="2"/>
              <w:ind w:left="107"/>
              <w:jc w:val="both"/>
              <w:rPr>
                <w:sz w:val="21"/>
              </w:rPr>
            </w:pPr>
            <w:r>
              <w:rPr>
                <w:rFonts w:ascii="Times New Roman" w:eastAsia="Times New Roman"/>
                <w:sz w:val="21"/>
              </w:rPr>
              <w:t>2022-039</w:t>
            </w:r>
            <w:r>
              <w:rPr>
                <w:rFonts w:ascii="Times New Roman" w:eastAsia="Times New Roman"/>
                <w:spacing w:val="-11"/>
                <w:sz w:val="21"/>
              </w:rPr>
              <w:t> </w:t>
            </w:r>
            <w:r>
              <w:rPr>
                <w:sz w:val="21"/>
              </w:rPr>
              <w:t>号）</w:t>
            </w:r>
          </w:p>
        </w:tc>
      </w:tr>
      <w:tr>
        <w:trPr>
          <w:trHeight w:val="1634" w:hRule="atLeast"/>
        </w:trPr>
        <w:tc>
          <w:tcPr>
            <w:tcW w:w="4107" w:type="dxa"/>
          </w:tcPr>
          <w:p>
            <w:pPr>
              <w:pStyle w:val="TableParagraph"/>
              <w:spacing w:line="242" w:lineRule="auto" w:before="1"/>
              <w:ind w:left="107" w:right="91"/>
              <w:jc w:val="both"/>
              <w:rPr>
                <w:sz w:val="21"/>
              </w:rPr>
            </w:pPr>
            <w:r>
              <w:rPr>
                <w:spacing w:val="-16"/>
                <w:sz w:val="21"/>
              </w:rPr>
              <w:t>公司 </w:t>
            </w:r>
            <w:r>
              <w:rPr>
                <w:rFonts w:ascii="Times New Roman" w:eastAsia="Times New Roman"/>
                <w:spacing w:val="-1"/>
                <w:sz w:val="21"/>
              </w:rPr>
              <w:t>2019</w:t>
            </w:r>
            <w:r>
              <w:rPr>
                <w:rFonts w:ascii="Times New Roman" w:eastAsia="Times New Roman"/>
                <w:spacing w:val="-3"/>
                <w:sz w:val="21"/>
              </w:rPr>
              <w:t> </w:t>
            </w:r>
            <w:r>
              <w:rPr>
                <w:spacing w:val="-1"/>
                <w:sz w:val="21"/>
              </w:rPr>
              <w:t>年股票期权与限制性股票激励计</w:t>
            </w:r>
            <w:r>
              <w:rPr>
                <w:spacing w:val="-11"/>
                <w:sz w:val="21"/>
              </w:rPr>
              <w:t>划 首 次授 予限 制性 股票 第 三期 共计</w:t>
            </w:r>
            <w:r>
              <w:rPr>
                <w:rFonts w:ascii="Times New Roman" w:eastAsia="Times New Roman"/>
                <w:sz w:val="21"/>
              </w:rPr>
              <w:t>26,287,452</w:t>
            </w:r>
            <w:r>
              <w:rPr>
                <w:rFonts w:ascii="Times New Roman" w:eastAsia="Times New Roman"/>
                <w:spacing w:val="39"/>
                <w:sz w:val="21"/>
              </w:rPr>
              <w:t> </w:t>
            </w:r>
            <w:r>
              <w:rPr>
                <w:sz w:val="21"/>
              </w:rPr>
              <w:t>股解锁并上市流通，上市流通</w:t>
            </w:r>
          </w:p>
          <w:p>
            <w:pPr>
              <w:pStyle w:val="TableParagraph"/>
              <w:spacing w:before="1"/>
              <w:ind w:left="107"/>
              <w:jc w:val="both"/>
              <w:rPr>
                <w:sz w:val="21"/>
              </w:rPr>
            </w:pPr>
            <w:r>
              <w:rPr>
                <w:spacing w:val="-14"/>
                <w:sz w:val="21"/>
              </w:rPr>
              <w:t>日期为 </w:t>
            </w:r>
            <w:r>
              <w:rPr>
                <w:rFonts w:ascii="Times New Roman" w:eastAsia="Times New Roman"/>
                <w:sz w:val="21"/>
              </w:rPr>
              <w:t>2022</w:t>
            </w:r>
            <w:r>
              <w:rPr>
                <w:rFonts w:ascii="Times New Roman" w:eastAsia="Times New Roman"/>
                <w:spacing w:val="-12"/>
                <w:sz w:val="21"/>
              </w:rPr>
              <w:t> </w:t>
            </w:r>
            <w:r>
              <w:rPr>
                <w:spacing w:val="-27"/>
                <w:sz w:val="21"/>
              </w:rPr>
              <w:t>年 </w:t>
            </w:r>
            <w:r>
              <w:rPr>
                <w:rFonts w:ascii="Times New Roman" w:eastAsia="Times New Roman"/>
                <w:sz w:val="21"/>
              </w:rPr>
              <w:t>5</w:t>
            </w:r>
            <w:r>
              <w:rPr>
                <w:rFonts w:ascii="Times New Roman" w:eastAsia="Times New Roman"/>
                <w:spacing w:val="-12"/>
                <w:sz w:val="21"/>
              </w:rPr>
              <w:t> </w:t>
            </w:r>
            <w:r>
              <w:rPr>
                <w:spacing w:val="-27"/>
                <w:sz w:val="21"/>
              </w:rPr>
              <w:t>月 </w:t>
            </w:r>
            <w:r>
              <w:rPr>
                <w:rFonts w:ascii="Times New Roman" w:eastAsia="Times New Roman"/>
                <w:sz w:val="21"/>
              </w:rPr>
              <w:t>23</w:t>
            </w:r>
            <w:r>
              <w:rPr>
                <w:rFonts w:ascii="Times New Roman" w:eastAsia="Times New Roman"/>
                <w:spacing w:val="-9"/>
                <w:sz w:val="21"/>
              </w:rPr>
              <w:t> </w:t>
            </w:r>
            <w:r>
              <w:rPr>
                <w:sz w:val="21"/>
              </w:rPr>
              <w:t>日。</w:t>
            </w:r>
          </w:p>
        </w:tc>
        <w:tc>
          <w:tcPr>
            <w:tcW w:w="4640" w:type="dxa"/>
          </w:tcPr>
          <w:p>
            <w:pPr>
              <w:pStyle w:val="TableParagraph"/>
              <w:spacing w:line="242" w:lineRule="auto" w:before="1"/>
              <w:ind w:left="107" w:right="94"/>
              <w:jc w:val="both"/>
              <w:rPr>
                <w:rFonts w:ascii="Times New Roman" w:eastAsia="Times New Roman"/>
                <w:sz w:val="21"/>
              </w:rPr>
            </w:pPr>
            <w:r>
              <w:rPr>
                <w:spacing w:val="-9"/>
                <w:sz w:val="21"/>
              </w:rPr>
              <w:t>详见公司于 </w:t>
            </w:r>
            <w:r>
              <w:rPr>
                <w:rFonts w:ascii="Times New Roman" w:eastAsia="Times New Roman"/>
                <w:sz w:val="21"/>
              </w:rPr>
              <w:t>2022</w:t>
            </w:r>
            <w:r>
              <w:rPr>
                <w:rFonts w:ascii="Times New Roman" w:eastAsia="Times New Roman"/>
                <w:spacing w:val="-5"/>
                <w:sz w:val="21"/>
              </w:rPr>
              <w:t> </w:t>
            </w:r>
            <w:r>
              <w:rPr>
                <w:spacing w:val="-23"/>
                <w:sz w:val="21"/>
              </w:rPr>
              <w:t>年 </w:t>
            </w:r>
            <w:r>
              <w:rPr>
                <w:rFonts w:ascii="Times New Roman" w:eastAsia="Times New Roman"/>
                <w:sz w:val="21"/>
              </w:rPr>
              <w:t>5</w:t>
            </w:r>
            <w:r>
              <w:rPr>
                <w:rFonts w:ascii="Times New Roman" w:eastAsia="Times New Roman"/>
                <w:spacing w:val="-7"/>
                <w:sz w:val="21"/>
              </w:rPr>
              <w:t> </w:t>
            </w:r>
            <w:r>
              <w:rPr>
                <w:spacing w:val="-23"/>
                <w:sz w:val="21"/>
              </w:rPr>
              <w:t>月 </w:t>
            </w:r>
            <w:r>
              <w:rPr>
                <w:rFonts w:ascii="Times New Roman" w:eastAsia="Times New Roman"/>
                <w:sz w:val="21"/>
              </w:rPr>
              <w:t>17</w:t>
            </w:r>
            <w:r>
              <w:rPr>
                <w:rFonts w:ascii="Times New Roman" w:eastAsia="Times New Roman"/>
                <w:spacing w:val="-5"/>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 </w:t>
            </w:r>
            <w:r>
              <w:rPr>
                <w:rFonts w:ascii="Times New Roman" w:eastAsia="Times New Roman"/>
                <w:sz w:val="21"/>
              </w:rPr>
              <w:t>2019</w:t>
            </w:r>
            <w:r>
              <w:rPr>
                <w:rFonts w:ascii="Times New Roman" w:eastAsia="Times New Roman"/>
                <w:spacing w:val="38"/>
                <w:sz w:val="21"/>
              </w:rPr>
              <w:t> </w:t>
            </w:r>
            <w:r>
              <w:rPr>
                <w:sz w:val="21"/>
              </w:rPr>
              <w:t>年股票期权与限制性股票激励计划首次授予限制性股票第三期解锁暨上市公告》（</w:t>
            </w:r>
            <w:r>
              <w:rPr>
                <w:spacing w:val="3"/>
                <w:sz w:val="21"/>
              </w:rPr>
              <w:t>公告编号：临 </w:t>
            </w:r>
            <w:r>
              <w:rPr>
                <w:rFonts w:ascii="Times New Roman" w:eastAsia="Times New Roman"/>
                <w:sz w:val="21"/>
              </w:rPr>
              <w:t>2022-041</w:t>
            </w:r>
          </w:p>
          <w:p>
            <w:pPr>
              <w:pStyle w:val="TableParagraph"/>
              <w:spacing w:line="252" w:lineRule="exact" w:before="2"/>
              <w:ind w:left="107"/>
              <w:rPr>
                <w:sz w:val="21"/>
              </w:rPr>
            </w:pPr>
            <w:r>
              <w:rPr>
                <w:sz w:val="21"/>
              </w:rPr>
              <w:t>号）</w:t>
            </w:r>
          </w:p>
        </w:tc>
      </w:tr>
      <w:tr>
        <w:trPr>
          <w:trHeight w:val="1633" w:hRule="atLeast"/>
        </w:trPr>
        <w:tc>
          <w:tcPr>
            <w:tcW w:w="4107" w:type="dxa"/>
          </w:tcPr>
          <w:p>
            <w:pPr>
              <w:pStyle w:val="TableParagraph"/>
              <w:spacing w:before="1"/>
              <w:ind w:left="107"/>
              <w:rPr>
                <w:sz w:val="21"/>
              </w:rPr>
            </w:pPr>
            <w:r>
              <w:rPr>
                <w:spacing w:val="-16"/>
                <w:sz w:val="21"/>
              </w:rPr>
              <w:t>公司 </w:t>
            </w:r>
            <w:r>
              <w:rPr>
                <w:rFonts w:ascii="Times New Roman" w:eastAsia="Times New Roman"/>
                <w:sz w:val="21"/>
              </w:rPr>
              <w:t>2019</w:t>
            </w:r>
            <w:r>
              <w:rPr>
                <w:rFonts w:ascii="Times New Roman" w:eastAsia="Times New Roman"/>
                <w:spacing w:val="-3"/>
                <w:sz w:val="21"/>
              </w:rPr>
              <w:t> </w:t>
            </w:r>
            <w:r>
              <w:rPr>
                <w:sz w:val="21"/>
              </w:rPr>
              <w:t>年股票期权与限制性股票激励计</w:t>
            </w:r>
          </w:p>
          <w:p>
            <w:pPr>
              <w:pStyle w:val="TableParagraph"/>
              <w:spacing w:before="2"/>
              <w:ind w:left="107"/>
              <w:rPr>
                <w:rFonts w:ascii="Times New Roman" w:eastAsia="Times New Roman"/>
                <w:sz w:val="21"/>
              </w:rPr>
            </w:pPr>
            <w:r>
              <w:rPr>
                <w:sz w:val="21"/>
              </w:rPr>
              <w:t>划首次授予股票期权第三个行权期于 </w:t>
            </w:r>
            <w:r>
              <w:rPr>
                <w:rFonts w:ascii="Times New Roman" w:eastAsia="Times New Roman"/>
                <w:sz w:val="21"/>
              </w:rPr>
              <w:t>2022</w:t>
            </w:r>
          </w:p>
          <w:p>
            <w:pPr>
              <w:pStyle w:val="TableParagraph"/>
              <w:spacing w:before="4"/>
              <w:ind w:left="107"/>
              <w:rPr>
                <w:sz w:val="21"/>
              </w:rPr>
            </w:pPr>
            <w:r>
              <w:rPr>
                <w:spacing w:val="-27"/>
                <w:sz w:val="21"/>
              </w:rPr>
              <w:t>年 </w:t>
            </w:r>
            <w:r>
              <w:rPr>
                <w:rFonts w:ascii="Times New Roman" w:eastAsia="Times New Roman"/>
                <w:sz w:val="21"/>
              </w:rPr>
              <w:t>6</w:t>
            </w:r>
            <w:r>
              <w:rPr>
                <w:rFonts w:ascii="Times New Roman" w:eastAsia="Times New Roman"/>
                <w:spacing w:val="-12"/>
                <w:sz w:val="21"/>
              </w:rPr>
              <w:t> </w:t>
            </w:r>
            <w:r>
              <w:rPr>
                <w:spacing w:val="-27"/>
                <w:sz w:val="21"/>
              </w:rPr>
              <w:t>月 </w:t>
            </w:r>
            <w:r>
              <w:rPr>
                <w:rFonts w:ascii="Times New Roman" w:eastAsia="Times New Roman"/>
                <w:sz w:val="21"/>
              </w:rPr>
              <w:t>16</w:t>
            </w:r>
            <w:r>
              <w:rPr>
                <w:rFonts w:ascii="Times New Roman" w:eastAsia="Times New Roman"/>
                <w:spacing w:val="-10"/>
                <w:sz w:val="21"/>
              </w:rPr>
              <w:t> </w:t>
            </w:r>
            <w:r>
              <w:rPr>
                <w:sz w:val="21"/>
              </w:rPr>
              <w:t>日开始行权。</w:t>
            </w:r>
          </w:p>
        </w:tc>
        <w:tc>
          <w:tcPr>
            <w:tcW w:w="4640" w:type="dxa"/>
          </w:tcPr>
          <w:p>
            <w:pPr>
              <w:pStyle w:val="TableParagraph"/>
              <w:spacing w:line="242" w:lineRule="auto" w:before="1"/>
              <w:ind w:left="107" w:right="93"/>
              <w:jc w:val="both"/>
              <w:rPr>
                <w:rFonts w:ascii="Times New Roman" w:eastAsia="Times New Roman"/>
                <w:sz w:val="21"/>
              </w:rPr>
            </w:pPr>
            <w:r>
              <w:rPr>
                <w:spacing w:val="-9"/>
                <w:sz w:val="21"/>
              </w:rPr>
              <w:t>详见公司于 </w:t>
            </w:r>
            <w:r>
              <w:rPr>
                <w:rFonts w:ascii="Times New Roman" w:eastAsia="Times New Roman"/>
                <w:sz w:val="21"/>
              </w:rPr>
              <w:t>2022</w:t>
            </w:r>
            <w:r>
              <w:rPr>
                <w:rFonts w:ascii="Times New Roman" w:eastAsia="Times New Roman"/>
                <w:spacing w:val="-5"/>
                <w:sz w:val="21"/>
              </w:rPr>
              <w:t> </w:t>
            </w:r>
            <w:r>
              <w:rPr>
                <w:spacing w:val="-23"/>
                <w:sz w:val="21"/>
              </w:rPr>
              <w:t>年 </w:t>
            </w:r>
            <w:r>
              <w:rPr>
                <w:rFonts w:ascii="Times New Roman" w:eastAsia="Times New Roman"/>
                <w:sz w:val="21"/>
              </w:rPr>
              <w:t>6</w:t>
            </w:r>
            <w:r>
              <w:rPr>
                <w:rFonts w:ascii="Times New Roman" w:eastAsia="Times New Roman"/>
                <w:spacing w:val="-7"/>
                <w:sz w:val="21"/>
              </w:rPr>
              <w:t> </w:t>
            </w:r>
            <w:r>
              <w:rPr>
                <w:spacing w:val="-23"/>
                <w:sz w:val="21"/>
              </w:rPr>
              <w:t>月 </w:t>
            </w:r>
            <w:r>
              <w:rPr>
                <w:rFonts w:ascii="Times New Roman" w:eastAsia="Times New Roman"/>
                <w:sz w:val="21"/>
              </w:rPr>
              <w:t>10</w:t>
            </w:r>
            <w:r>
              <w:rPr>
                <w:rFonts w:ascii="Times New Roman" w:eastAsia="Times New Roman"/>
                <w:spacing w:val="-5"/>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2019</w:t>
            </w:r>
            <w:r>
              <w:rPr>
                <w:rFonts w:ascii="Times New Roman" w:eastAsia="Times New Roman"/>
                <w:spacing w:val="38"/>
                <w:sz w:val="21"/>
              </w:rPr>
              <w:t> </w:t>
            </w:r>
            <w:r>
              <w:rPr>
                <w:sz w:val="21"/>
              </w:rPr>
              <w:t>年股票期权与限制性股票激励计划首次授予第三个行权期符合行权条件的公告》（</w:t>
            </w:r>
            <w:r>
              <w:rPr>
                <w:spacing w:val="4"/>
                <w:sz w:val="21"/>
              </w:rPr>
              <w:t>公告编号：临 </w:t>
            </w:r>
            <w:r>
              <w:rPr>
                <w:rFonts w:ascii="Times New Roman" w:eastAsia="Times New Roman"/>
                <w:sz w:val="21"/>
              </w:rPr>
              <w:t>2022-</w:t>
            </w:r>
          </w:p>
          <w:p>
            <w:pPr>
              <w:pStyle w:val="TableParagraph"/>
              <w:spacing w:line="252" w:lineRule="exact" w:before="2"/>
              <w:ind w:left="107"/>
              <w:jc w:val="both"/>
              <w:rPr>
                <w:sz w:val="21"/>
              </w:rPr>
            </w:pPr>
            <w:r>
              <w:rPr>
                <w:rFonts w:ascii="Times New Roman" w:eastAsia="Times New Roman"/>
                <w:sz w:val="21"/>
              </w:rPr>
              <w:t>053</w:t>
            </w:r>
            <w:r>
              <w:rPr>
                <w:rFonts w:ascii="Times New Roman" w:eastAsia="Times New Roman"/>
                <w:spacing w:val="-11"/>
                <w:sz w:val="21"/>
              </w:rPr>
              <w:t> </w:t>
            </w:r>
            <w:r>
              <w:rPr>
                <w:sz w:val="21"/>
              </w:rPr>
              <w:t>号）</w:t>
            </w:r>
          </w:p>
        </w:tc>
      </w:tr>
    </w:tbl>
    <w:p>
      <w:pPr>
        <w:spacing w:after="0" w:line="252" w:lineRule="exact"/>
        <w:jc w:val="both"/>
        <w:rPr>
          <w:sz w:val="21"/>
        </w:rPr>
        <w:sectPr>
          <w:pgSz w:w="11910" w:h="16840"/>
          <w:pgMar w:header="877" w:footer="1180" w:top="1440" w:bottom="1380" w:left="1680" w:right="960"/>
        </w:sectPr>
      </w:pPr>
    </w:p>
    <w:p>
      <w:pPr>
        <w:pStyle w:val="BodyText"/>
        <w:spacing w:before="2"/>
        <w:ind w:left="0"/>
        <w:rPr>
          <w:sz w:val="5"/>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07"/>
        <w:gridCol w:w="4640"/>
      </w:tblGrid>
      <w:tr>
        <w:trPr>
          <w:trHeight w:val="1634" w:hRule="atLeast"/>
        </w:trPr>
        <w:tc>
          <w:tcPr>
            <w:tcW w:w="4107" w:type="dxa"/>
          </w:tcPr>
          <w:p>
            <w:pPr>
              <w:pStyle w:val="TableParagraph"/>
              <w:spacing w:before="3"/>
              <w:ind w:left="107"/>
              <w:rPr>
                <w:sz w:val="21"/>
              </w:rPr>
            </w:pPr>
            <w:r>
              <w:rPr>
                <w:spacing w:val="-16"/>
                <w:sz w:val="21"/>
              </w:rPr>
              <w:t>公司 </w:t>
            </w:r>
            <w:r>
              <w:rPr>
                <w:rFonts w:ascii="Times New Roman" w:eastAsia="Times New Roman"/>
                <w:sz w:val="21"/>
              </w:rPr>
              <w:t>2019</w:t>
            </w:r>
            <w:r>
              <w:rPr>
                <w:rFonts w:ascii="Times New Roman" w:eastAsia="Times New Roman"/>
                <w:spacing w:val="-3"/>
                <w:sz w:val="21"/>
              </w:rPr>
              <w:t> </w:t>
            </w:r>
            <w:r>
              <w:rPr>
                <w:sz w:val="21"/>
              </w:rPr>
              <w:t>年股票期权与限制性股票激励计</w:t>
            </w:r>
          </w:p>
          <w:p>
            <w:pPr>
              <w:pStyle w:val="TableParagraph"/>
              <w:spacing w:before="3"/>
              <w:ind w:left="107"/>
              <w:rPr>
                <w:rFonts w:ascii="Times New Roman" w:eastAsia="Times New Roman"/>
                <w:sz w:val="21"/>
              </w:rPr>
            </w:pPr>
            <w:r>
              <w:rPr>
                <w:spacing w:val="-5"/>
                <w:sz w:val="21"/>
              </w:rPr>
              <w:t>划股票期权在 </w:t>
            </w:r>
            <w:r>
              <w:rPr>
                <w:rFonts w:ascii="Times New Roman" w:eastAsia="Times New Roman"/>
                <w:sz w:val="21"/>
              </w:rPr>
              <w:t>2022</w:t>
            </w:r>
            <w:r>
              <w:rPr>
                <w:rFonts w:ascii="Times New Roman" w:eastAsia="Times New Roman"/>
                <w:spacing w:val="7"/>
                <w:sz w:val="21"/>
              </w:rPr>
              <w:t> </w:t>
            </w:r>
            <w:r>
              <w:rPr>
                <w:spacing w:val="-3"/>
                <w:sz w:val="21"/>
              </w:rPr>
              <w:t>年第二季度自主行权 </w:t>
            </w:r>
            <w:r>
              <w:rPr>
                <w:rFonts w:ascii="Times New Roman" w:eastAsia="Times New Roman"/>
                <w:sz w:val="21"/>
              </w:rPr>
              <w:t>0</w:t>
            </w:r>
          </w:p>
          <w:p>
            <w:pPr>
              <w:pStyle w:val="TableParagraph"/>
              <w:spacing w:before="4"/>
              <w:ind w:left="107"/>
              <w:rPr>
                <w:sz w:val="21"/>
              </w:rPr>
            </w:pPr>
            <w:r>
              <w:rPr>
                <w:sz w:val="21"/>
              </w:rPr>
              <w:t>股。</w:t>
            </w:r>
          </w:p>
        </w:tc>
        <w:tc>
          <w:tcPr>
            <w:tcW w:w="4640" w:type="dxa"/>
          </w:tcPr>
          <w:p>
            <w:pPr>
              <w:pStyle w:val="TableParagraph"/>
              <w:spacing w:line="242" w:lineRule="auto" w:before="3"/>
              <w:ind w:left="107" w:right="93"/>
              <w:jc w:val="both"/>
              <w:rPr>
                <w:sz w:val="21"/>
              </w:rPr>
            </w:pPr>
            <w:r>
              <w:rPr>
                <w:spacing w:val="-11"/>
                <w:sz w:val="21"/>
              </w:rPr>
              <w:t>详见公司于 </w:t>
            </w:r>
            <w:r>
              <w:rPr>
                <w:rFonts w:ascii="Times New Roman" w:eastAsia="Times New Roman"/>
                <w:sz w:val="21"/>
              </w:rPr>
              <w:t>2022</w:t>
            </w:r>
            <w:r>
              <w:rPr>
                <w:rFonts w:ascii="Times New Roman" w:eastAsia="Times New Roman"/>
                <w:spacing w:val="-19"/>
                <w:sz w:val="21"/>
              </w:rPr>
              <w:t> </w:t>
            </w:r>
            <w:r>
              <w:rPr>
                <w:spacing w:val="-33"/>
                <w:sz w:val="21"/>
              </w:rPr>
              <w:t>年 </w:t>
            </w:r>
            <w:r>
              <w:rPr>
                <w:rFonts w:ascii="Times New Roman" w:eastAsia="Times New Roman"/>
                <w:sz w:val="21"/>
              </w:rPr>
              <w:t>7</w:t>
            </w:r>
            <w:r>
              <w:rPr>
                <w:rFonts w:ascii="Times New Roman" w:eastAsia="Times New Roman"/>
                <w:spacing w:val="-18"/>
                <w:sz w:val="21"/>
              </w:rPr>
              <w:t> </w:t>
            </w:r>
            <w:r>
              <w:rPr>
                <w:spacing w:val="-32"/>
                <w:sz w:val="21"/>
              </w:rPr>
              <w:t>月 </w:t>
            </w:r>
            <w:r>
              <w:rPr>
                <w:rFonts w:ascii="Times New Roman" w:eastAsia="Times New Roman"/>
                <w:sz w:val="21"/>
              </w:rPr>
              <w:t>5</w:t>
            </w:r>
            <w:r>
              <w:rPr>
                <w:rFonts w:ascii="Times New Roman" w:eastAsia="Times New Roman"/>
                <w:spacing w:val="-21"/>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2019</w:t>
            </w:r>
            <w:r>
              <w:rPr>
                <w:rFonts w:ascii="Times New Roman" w:eastAsia="Times New Roman"/>
                <w:spacing w:val="38"/>
                <w:sz w:val="21"/>
              </w:rPr>
              <w:t> </w:t>
            </w:r>
            <w:r>
              <w:rPr>
                <w:sz w:val="21"/>
              </w:rPr>
              <w:t>年股票期</w:t>
            </w:r>
          </w:p>
          <w:p>
            <w:pPr>
              <w:pStyle w:val="TableParagraph"/>
              <w:spacing w:line="242" w:lineRule="auto" w:before="1"/>
              <w:ind w:left="107" w:right="94"/>
              <w:jc w:val="both"/>
              <w:rPr>
                <w:sz w:val="21"/>
              </w:rPr>
            </w:pPr>
            <w:r>
              <w:rPr>
                <w:sz w:val="21"/>
              </w:rPr>
              <w:t>权与限制性股票激励计划 </w:t>
            </w:r>
            <w:r>
              <w:rPr>
                <w:rFonts w:ascii="Times New Roman" w:eastAsia="Times New Roman"/>
                <w:sz w:val="21"/>
              </w:rPr>
              <w:t>2022</w:t>
            </w:r>
            <w:r>
              <w:rPr>
                <w:rFonts w:ascii="Times New Roman" w:eastAsia="Times New Roman"/>
                <w:spacing w:val="39"/>
                <w:sz w:val="21"/>
              </w:rPr>
              <w:t> </w:t>
            </w:r>
            <w:r>
              <w:rPr>
                <w:sz w:val="21"/>
              </w:rPr>
              <w:t>年第二季度自主行权结果暨股份变动的公告》</w:t>
            </w:r>
            <w:r>
              <w:rPr>
                <w:spacing w:val="11"/>
                <w:sz w:val="21"/>
              </w:rPr>
              <w:t>（</w:t>
            </w:r>
            <w:r>
              <w:rPr>
                <w:spacing w:val="2"/>
                <w:sz w:val="21"/>
              </w:rPr>
              <w:t>公告编号：临</w:t>
            </w:r>
          </w:p>
          <w:p>
            <w:pPr>
              <w:pStyle w:val="TableParagraph"/>
              <w:spacing w:line="250" w:lineRule="exact" w:before="2"/>
              <w:ind w:left="107"/>
              <w:jc w:val="both"/>
              <w:rPr>
                <w:sz w:val="21"/>
              </w:rPr>
            </w:pPr>
            <w:r>
              <w:rPr>
                <w:rFonts w:ascii="Times New Roman" w:eastAsia="Times New Roman"/>
                <w:sz w:val="21"/>
              </w:rPr>
              <w:t>2022-058</w:t>
            </w:r>
            <w:r>
              <w:rPr>
                <w:rFonts w:ascii="Times New Roman" w:eastAsia="Times New Roman"/>
                <w:spacing w:val="-11"/>
                <w:sz w:val="21"/>
              </w:rPr>
              <w:t> </w:t>
            </w:r>
            <w:r>
              <w:rPr>
                <w:sz w:val="21"/>
              </w:rPr>
              <w:t>号）</w:t>
            </w:r>
          </w:p>
        </w:tc>
      </w:tr>
      <w:tr>
        <w:trPr>
          <w:trHeight w:val="1362" w:hRule="atLeast"/>
        </w:trPr>
        <w:tc>
          <w:tcPr>
            <w:tcW w:w="4107" w:type="dxa"/>
          </w:tcPr>
          <w:p>
            <w:pPr>
              <w:pStyle w:val="TableParagraph"/>
              <w:spacing w:line="242" w:lineRule="auto" w:before="3"/>
              <w:ind w:left="107" w:right="91"/>
              <w:jc w:val="both"/>
              <w:rPr>
                <w:sz w:val="21"/>
              </w:rPr>
            </w:pPr>
            <w:r>
              <w:rPr>
                <w:spacing w:val="-13"/>
                <w:sz w:val="21"/>
              </w:rPr>
              <w:t>公司于 </w:t>
            </w:r>
            <w:r>
              <w:rPr>
                <w:rFonts w:ascii="Times New Roman" w:eastAsia="Times New Roman"/>
                <w:spacing w:val="-1"/>
                <w:sz w:val="21"/>
              </w:rPr>
              <w:t>2022</w:t>
            </w:r>
            <w:r>
              <w:rPr>
                <w:rFonts w:ascii="Times New Roman" w:eastAsia="Times New Roman"/>
                <w:spacing w:val="-7"/>
                <w:sz w:val="21"/>
              </w:rPr>
              <w:t> </w:t>
            </w:r>
            <w:r>
              <w:rPr>
                <w:spacing w:val="-23"/>
                <w:sz w:val="21"/>
              </w:rPr>
              <w:t>年 </w:t>
            </w:r>
            <w:r>
              <w:rPr>
                <w:rFonts w:ascii="Times New Roman" w:eastAsia="Times New Roman"/>
                <w:sz w:val="21"/>
              </w:rPr>
              <w:t>8</w:t>
            </w:r>
            <w:r>
              <w:rPr>
                <w:rFonts w:ascii="Times New Roman" w:eastAsia="Times New Roman"/>
                <w:spacing w:val="-7"/>
                <w:sz w:val="21"/>
              </w:rPr>
              <w:t> </w:t>
            </w:r>
            <w:r>
              <w:rPr>
                <w:spacing w:val="-23"/>
                <w:sz w:val="21"/>
              </w:rPr>
              <w:t>月 </w:t>
            </w:r>
            <w:r>
              <w:rPr>
                <w:rFonts w:ascii="Times New Roman" w:eastAsia="Times New Roman"/>
                <w:sz w:val="21"/>
              </w:rPr>
              <w:t>4</w:t>
            </w:r>
            <w:r>
              <w:rPr>
                <w:rFonts w:ascii="Times New Roman" w:eastAsia="Times New Roman"/>
                <w:spacing w:val="-7"/>
                <w:sz w:val="21"/>
              </w:rPr>
              <w:t> </w:t>
            </w:r>
            <w:r>
              <w:rPr>
                <w:sz w:val="21"/>
              </w:rPr>
              <w:t>日召开第二届董事会第二十四次会议，审议通过了《关于调整</w:t>
            </w:r>
            <w:r>
              <w:rPr>
                <w:rFonts w:ascii="Times New Roman" w:eastAsia="Times New Roman"/>
                <w:sz w:val="21"/>
              </w:rPr>
              <w:t>2019</w:t>
            </w:r>
            <w:r>
              <w:rPr>
                <w:rFonts w:ascii="Times New Roman" w:eastAsia="Times New Roman"/>
                <w:spacing w:val="42"/>
                <w:sz w:val="21"/>
              </w:rPr>
              <w:t> </w:t>
            </w:r>
            <w:r>
              <w:rPr>
                <w:sz w:val="21"/>
              </w:rPr>
              <w:t>年股票期权与限制性股票激励计划股票期权行权价格的议案》。</w:t>
            </w:r>
          </w:p>
        </w:tc>
        <w:tc>
          <w:tcPr>
            <w:tcW w:w="4640" w:type="dxa"/>
          </w:tcPr>
          <w:p>
            <w:pPr>
              <w:pStyle w:val="TableParagraph"/>
              <w:spacing w:before="3"/>
              <w:ind w:left="107"/>
              <w:jc w:val="both"/>
              <w:rPr>
                <w:sz w:val="21"/>
              </w:rPr>
            </w:pPr>
            <w:r>
              <w:rPr>
                <w:spacing w:val="-11"/>
                <w:sz w:val="21"/>
              </w:rPr>
              <w:t>详见公司于 </w:t>
            </w:r>
            <w:r>
              <w:rPr>
                <w:rFonts w:ascii="Times New Roman" w:eastAsia="Times New Roman"/>
                <w:sz w:val="21"/>
              </w:rPr>
              <w:t>2022</w:t>
            </w:r>
            <w:r>
              <w:rPr>
                <w:rFonts w:ascii="Times New Roman" w:eastAsia="Times New Roman"/>
                <w:spacing w:val="-18"/>
                <w:sz w:val="21"/>
              </w:rPr>
              <w:t> </w:t>
            </w:r>
            <w:r>
              <w:rPr>
                <w:spacing w:val="-33"/>
                <w:sz w:val="21"/>
              </w:rPr>
              <w:t>年 </w:t>
            </w:r>
            <w:r>
              <w:rPr>
                <w:rFonts w:ascii="Times New Roman" w:eastAsia="Times New Roman"/>
                <w:sz w:val="21"/>
              </w:rPr>
              <w:t>8</w:t>
            </w:r>
            <w:r>
              <w:rPr>
                <w:rFonts w:ascii="Times New Roman" w:eastAsia="Times New Roman"/>
                <w:spacing w:val="-18"/>
                <w:sz w:val="21"/>
              </w:rPr>
              <w:t> </w:t>
            </w:r>
            <w:r>
              <w:rPr>
                <w:spacing w:val="-32"/>
                <w:sz w:val="21"/>
              </w:rPr>
              <w:t>月 </w:t>
            </w:r>
            <w:r>
              <w:rPr>
                <w:rFonts w:ascii="Times New Roman" w:eastAsia="Times New Roman"/>
                <w:sz w:val="21"/>
              </w:rPr>
              <w:t>5</w:t>
            </w:r>
            <w:r>
              <w:rPr>
                <w:rFonts w:ascii="Times New Roman" w:eastAsia="Times New Roman"/>
                <w:spacing w:val="-22"/>
                <w:sz w:val="21"/>
              </w:rPr>
              <w:t> </w:t>
            </w:r>
            <w:r>
              <w:rPr>
                <w:sz w:val="21"/>
              </w:rPr>
              <w:t>日上海证券交易所网站</w:t>
            </w:r>
          </w:p>
          <w:p>
            <w:pPr>
              <w:pStyle w:val="TableParagraph"/>
              <w:spacing w:line="242" w:lineRule="auto" w:before="2"/>
              <w:ind w:left="107" w:right="93"/>
              <w:jc w:val="both"/>
              <w:rPr>
                <w:sz w:val="21"/>
              </w:rPr>
            </w:pPr>
            <w:r>
              <w:rPr>
                <w:sz w:val="21"/>
              </w:rPr>
              <w:t>（</w:t>
            </w:r>
            <w:hyperlink r:id="rId15">
              <w:r>
                <w:rPr>
                  <w:rFonts w:ascii="Times New Roman" w:eastAsia="Times New Roman"/>
                  <w:sz w:val="21"/>
                </w:rPr>
                <w:t>www.sse.com.cn</w:t>
              </w:r>
            </w:hyperlink>
            <w:r>
              <w:rPr>
                <w:sz w:val="21"/>
              </w:rPr>
              <w:t>）及指定媒体披露的《富士康工业互联网股份有限公司关于调整 </w:t>
            </w:r>
            <w:r>
              <w:rPr>
                <w:rFonts w:ascii="Times New Roman" w:eastAsia="Times New Roman"/>
                <w:sz w:val="21"/>
              </w:rPr>
              <w:t>2019</w:t>
            </w:r>
            <w:r>
              <w:rPr>
                <w:rFonts w:ascii="Times New Roman" w:eastAsia="Times New Roman"/>
                <w:spacing w:val="38"/>
                <w:sz w:val="21"/>
              </w:rPr>
              <w:t> </w:t>
            </w:r>
            <w:r>
              <w:rPr>
                <w:sz w:val="21"/>
              </w:rPr>
              <w:t>年股票期权与限制性股票激励计划股票期权行权价格的</w:t>
            </w:r>
          </w:p>
          <w:p>
            <w:pPr>
              <w:pStyle w:val="TableParagraph"/>
              <w:spacing w:line="250" w:lineRule="exact" w:before="3"/>
              <w:ind w:left="107"/>
              <w:jc w:val="both"/>
              <w:rPr>
                <w:sz w:val="21"/>
              </w:rPr>
            </w:pPr>
            <w:r>
              <w:rPr>
                <w:spacing w:val="-1"/>
                <w:sz w:val="21"/>
              </w:rPr>
              <w:t>公告》（</w:t>
            </w:r>
            <w:r>
              <w:rPr>
                <w:spacing w:val="-8"/>
                <w:sz w:val="21"/>
              </w:rPr>
              <w:t>公告编号：临 </w:t>
            </w:r>
            <w:r>
              <w:rPr>
                <w:rFonts w:ascii="Times New Roman" w:eastAsia="Times New Roman"/>
                <w:spacing w:val="-1"/>
                <w:sz w:val="21"/>
              </w:rPr>
              <w:t>2022-064</w:t>
            </w:r>
            <w:r>
              <w:rPr>
                <w:rFonts w:ascii="Times New Roman" w:eastAsia="Times New Roman"/>
                <w:spacing w:val="-6"/>
                <w:sz w:val="21"/>
              </w:rPr>
              <w:t> </w:t>
            </w:r>
            <w:r>
              <w:rPr>
                <w:sz w:val="21"/>
              </w:rPr>
              <w:t>号）</w:t>
            </w:r>
          </w:p>
        </w:tc>
      </w:tr>
      <w:tr>
        <w:trPr>
          <w:trHeight w:val="1363" w:hRule="atLeast"/>
        </w:trPr>
        <w:tc>
          <w:tcPr>
            <w:tcW w:w="4107" w:type="dxa"/>
          </w:tcPr>
          <w:p>
            <w:pPr>
              <w:pStyle w:val="TableParagraph"/>
              <w:spacing w:before="1"/>
              <w:ind w:left="107"/>
              <w:rPr>
                <w:sz w:val="21"/>
              </w:rPr>
            </w:pPr>
            <w:r>
              <w:rPr>
                <w:spacing w:val="-16"/>
                <w:sz w:val="21"/>
              </w:rPr>
              <w:t>公司 </w:t>
            </w:r>
            <w:r>
              <w:rPr>
                <w:rFonts w:ascii="Times New Roman" w:eastAsia="Times New Roman"/>
                <w:sz w:val="21"/>
              </w:rPr>
              <w:t>2019</w:t>
            </w:r>
            <w:r>
              <w:rPr>
                <w:rFonts w:ascii="Times New Roman" w:eastAsia="Times New Roman"/>
                <w:spacing w:val="-3"/>
                <w:sz w:val="21"/>
              </w:rPr>
              <w:t> </w:t>
            </w:r>
            <w:r>
              <w:rPr>
                <w:sz w:val="21"/>
              </w:rPr>
              <w:t>年股票期权与限制性股票激励计</w:t>
            </w:r>
          </w:p>
          <w:p>
            <w:pPr>
              <w:pStyle w:val="TableParagraph"/>
              <w:spacing w:before="4"/>
              <w:ind w:left="107"/>
              <w:rPr>
                <w:sz w:val="21"/>
              </w:rPr>
            </w:pPr>
            <w:r>
              <w:rPr>
                <w:spacing w:val="-4"/>
                <w:sz w:val="21"/>
              </w:rPr>
              <w:t>划部分限制性股票回购注销于 </w:t>
            </w:r>
            <w:r>
              <w:rPr>
                <w:rFonts w:ascii="Times New Roman" w:eastAsia="Times New Roman"/>
                <w:sz w:val="21"/>
              </w:rPr>
              <w:t>2022</w:t>
            </w:r>
            <w:r>
              <w:rPr>
                <w:rFonts w:ascii="Times New Roman" w:eastAsia="Times New Roman"/>
                <w:spacing w:val="-4"/>
                <w:sz w:val="21"/>
              </w:rPr>
              <w:t> </w:t>
            </w:r>
            <w:r>
              <w:rPr>
                <w:spacing w:val="-24"/>
                <w:sz w:val="21"/>
              </w:rPr>
              <w:t>年 </w:t>
            </w:r>
            <w:r>
              <w:rPr>
                <w:rFonts w:ascii="Times New Roman" w:eastAsia="Times New Roman"/>
                <w:sz w:val="21"/>
              </w:rPr>
              <w:t>8</w:t>
            </w:r>
            <w:r>
              <w:rPr>
                <w:rFonts w:ascii="Times New Roman" w:eastAsia="Times New Roman"/>
                <w:spacing w:val="-5"/>
                <w:sz w:val="21"/>
              </w:rPr>
              <w:t> </w:t>
            </w:r>
            <w:r>
              <w:rPr>
                <w:sz w:val="21"/>
              </w:rPr>
              <w:t>月</w:t>
            </w:r>
          </w:p>
          <w:p>
            <w:pPr>
              <w:pStyle w:val="TableParagraph"/>
              <w:spacing w:before="2"/>
              <w:ind w:left="107"/>
              <w:rPr>
                <w:sz w:val="21"/>
              </w:rPr>
            </w:pPr>
            <w:r>
              <w:rPr>
                <w:rFonts w:ascii="Times New Roman" w:eastAsia="Times New Roman"/>
                <w:sz w:val="21"/>
              </w:rPr>
              <w:t>23</w:t>
            </w:r>
            <w:r>
              <w:rPr>
                <w:rFonts w:ascii="Times New Roman" w:eastAsia="Times New Roman"/>
                <w:spacing w:val="-11"/>
                <w:sz w:val="21"/>
              </w:rPr>
              <w:t> </w:t>
            </w:r>
            <w:r>
              <w:rPr>
                <w:sz w:val="21"/>
              </w:rPr>
              <w:t>日实施完成。</w:t>
            </w:r>
          </w:p>
        </w:tc>
        <w:tc>
          <w:tcPr>
            <w:tcW w:w="4640" w:type="dxa"/>
          </w:tcPr>
          <w:p>
            <w:pPr>
              <w:pStyle w:val="TableParagraph"/>
              <w:spacing w:line="242" w:lineRule="auto" w:before="1"/>
              <w:ind w:left="107" w:right="94"/>
              <w:jc w:val="both"/>
              <w:rPr>
                <w:sz w:val="21"/>
              </w:rPr>
            </w:pPr>
            <w:r>
              <w:rPr>
                <w:spacing w:val="-9"/>
                <w:sz w:val="21"/>
              </w:rPr>
              <w:t>详见公司于 </w:t>
            </w:r>
            <w:r>
              <w:rPr>
                <w:rFonts w:ascii="Times New Roman" w:eastAsia="Times New Roman"/>
                <w:sz w:val="21"/>
              </w:rPr>
              <w:t>2022</w:t>
            </w:r>
            <w:r>
              <w:rPr>
                <w:rFonts w:ascii="Times New Roman" w:eastAsia="Times New Roman"/>
                <w:spacing w:val="-5"/>
                <w:sz w:val="21"/>
              </w:rPr>
              <w:t> </w:t>
            </w:r>
            <w:r>
              <w:rPr>
                <w:spacing w:val="-23"/>
                <w:sz w:val="21"/>
              </w:rPr>
              <w:t>年 </w:t>
            </w:r>
            <w:r>
              <w:rPr>
                <w:rFonts w:ascii="Times New Roman" w:eastAsia="Times New Roman"/>
                <w:sz w:val="21"/>
              </w:rPr>
              <w:t>8</w:t>
            </w:r>
            <w:r>
              <w:rPr>
                <w:rFonts w:ascii="Times New Roman" w:eastAsia="Times New Roman"/>
                <w:spacing w:val="-7"/>
                <w:sz w:val="21"/>
              </w:rPr>
              <w:t> </w:t>
            </w:r>
            <w:r>
              <w:rPr>
                <w:spacing w:val="-23"/>
                <w:sz w:val="21"/>
              </w:rPr>
              <w:t>月 </w:t>
            </w:r>
            <w:r>
              <w:rPr>
                <w:rFonts w:ascii="Times New Roman" w:eastAsia="Times New Roman"/>
                <w:sz w:val="21"/>
              </w:rPr>
              <w:t>19</w:t>
            </w:r>
            <w:r>
              <w:rPr>
                <w:rFonts w:ascii="Times New Roman" w:eastAsia="Times New Roman"/>
                <w:spacing w:val="-5"/>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）及指定媒体披露的《富士康工业互联网股份有限公司关于股权激励限制性股票回购注销实施的公告》</w:t>
            </w:r>
            <w:r>
              <w:rPr>
                <w:spacing w:val="11"/>
                <w:sz w:val="21"/>
              </w:rPr>
              <w:t>（</w:t>
            </w:r>
            <w:r>
              <w:rPr>
                <w:spacing w:val="2"/>
                <w:sz w:val="21"/>
              </w:rPr>
              <w:t>公告编号：临</w:t>
            </w:r>
          </w:p>
          <w:p>
            <w:pPr>
              <w:pStyle w:val="TableParagraph"/>
              <w:spacing w:line="252" w:lineRule="exact" w:before="3"/>
              <w:ind w:left="107"/>
              <w:jc w:val="both"/>
              <w:rPr>
                <w:sz w:val="21"/>
              </w:rPr>
            </w:pPr>
            <w:r>
              <w:rPr>
                <w:rFonts w:ascii="Times New Roman" w:eastAsia="Times New Roman"/>
                <w:sz w:val="21"/>
              </w:rPr>
              <w:t>2022-071</w:t>
            </w:r>
            <w:r>
              <w:rPr>
                <w:rFonts w:ascii="Times New Roman" w:eastAsia="Times New Roman"/>
                <w:spacing w:val="-11"/>
                <w:sz w:val="21"/>
              </w:rPr>
              <w:t> </w:t>
            </w:r>
            <w:r>
              <w:rPr>
                <w:sz w:val="21"/>
              </w:rPr>
              <w:t>号）</w:t>
            </w:r>
          </w:p>
        </w:tc>
      </w:tr>
      <w:tr>
        <w:trPr>
          <w:trHeight w:val="1634" w:hRule="atLeast"/>
        </w:trPr>
        <w:tc>
          <w:tcPr>
            <w:tcW w:w="4107" w:type="dxa"/>
          </w:tcPr>
          <w:p>
            <w:pPr>
              <w:pStyle w:val="TableParagraph"/>
              <w:spacing w:line="242" w:lineRule="auto" w:before="1"/>
              <w:ind w:left="107" w:right="91"/>
              <w:jc w:val="both"/>
              <w:rPr>
                <w:sz w:val="21"/>
              </w:rPr>
            </w:pPr>
            <w:r>
              <w:rPr>
                <w:spacing w:val="-8"/>
                <w:sz w:val="21"/>
              </w:rPr>
              <w:t>公司于 </w:t>
            </w:r>
            <w:r>
              <w:rPr>
                <w:rFonts w:ascii="Times New Roman" w:eastAsia="Times New Roman"/>
                <w:spacing w:val="-1"/>
                <w:sz w:val="21"/>
              </w:rPr>
              <w:t>2022</w:t>
            </w:r>
            <w:r>
              <w:rPr>
                <w:rFonts w:ascii="Times New Roman" w:eastAsia="Times New Roman"/>
                <w:spacing w:val="8"/>
                <w:sz w:val="21"/>
              </w:rPr>
              <w:t> </w:t>
            </w:r>
            <w:r>
              <w:rPr>
                <w:spacing w:val="-13"/>
                <w:sz w:val="21"/>
              </w:rPr>
              <w:t>年 </w:t>
            </w:r>
            <w:r>
              <w:rPr>
                <w:rFonts w:ascii="Times New Roman" w:eastAsia="Times New Roman"/>
                <w:sz w:val="21"/>
              </w:rPr>
              <w:t>9</w:t>
            </w:r>
            <w:r>
              <w:rPr>
                <w:rFonts w:ascii="Times New Roman" w:eastAsia="Times New Roman"/>
                <w:spacing w:val="8"/>
                <w:sz w:val="21"/>
              </w:rPr>
              <w:t> </w:t>
            </w:r>
            <w:r>
              <w:rPr>
                <w:spacing w:val="-13"/>
                <w:sz w:val="21"/>
              </w:rPr>
              <w:t>月 </w:t>
            </w:r>
            <w:r>
              <w:rPr>
                <w:rFonts w:ascii="Times New Roman" w:eastAsia="Times New Roman"/>
                <w:sz w:val="21"/>
              </w:rPr>
              <w:t>11</w:t>
            </w:r>
            <w:r>
              <w:rPr>
                <w:rFonts w:ascii="Times New Roman" w:eastAsia="Times New Roman"/>
                <w:spacing w:val="10"/>
                <w:sz w:val="21"/>
              </w:rPr>
              <w:t> </w:t>
            </w:r>
            <w:r>
              <w:rPr>
                <w:sz w:val="21"/>
              </w:rPr>
              <w:t>日召开第二届董事</w:t>
            </w:r>
            <w:r>
              <w:rPr>
                <w:spacing w:val="6"/>
                <w:sz w:val="21"/>
              </w:rPr>
              <w:t>会第二十六次会议， 审议通过了《关于</w:t>
            </w:r>
            <w:r>
              <w:rPr>
                <w:rFonts w:ascii="Times New Roman" w:eastAsia="Times New Roman"/>
                <w:sz w:val="21"/>
              </w:rPr>
              <w:t>2019</w:t>
            </w:r>
            <w:r>
              <w:rPr>
                <w:rFonts w:ascii="Times New Roman" w:eastAsia="Times New Roman"/>
                <w:spacing w:val="42"/>
                <w:sz w:val="21"/>
              </w:rPr>
              <w:t> </w:t>
            </w:r>
            <w:r>
              <w:rPr>
                <w:sz w:val="21"/>
              </w:rPr>
              <w:t>年股票期权与限制性股票激励计划部分预留授予股票期权第三个行权期行权条件、部分预留授予限制性股票第三个解除</w:t>
            </w:r>
          </w:p>
          <w:p>
            <w:pPr>
              <w:pStyle w:val="TableParagraph"/>
              <w:spacing w:line="252" w:lineRule="exact" w:before="2"/>
              <w:ind w:left="107"/>
              <w:rPr>
                <w:sz w:val="21"/>
              </w:rPr>
            </w:pPr>
            <w:r>
              <w:rPr>
                <w:sz w:val="21"/>
              </w:rPr>
              <w:t>限售期解除限售条件成就的议案》。</w:t>
            </w:r>
          </w:p>
        </w:tc>
        <w:tc>
          <w:tcPr>
            <w:tcW w:w="4640" w:type="dxa"/>
          </w:tcPr>
          <w:p>
            <w:pPr>
              <w:pStyle w:val="TableParagraph"/>
              <w:spacing w:line="242" w:lineRule="auto" w:before="1"/>
              <w:ind w:left="107" w:right="93"/>
              <w:jc w:val="both"/>
              <w:rPr>
                <w:sz w:val="21"/>
              </w:rPr>
            </w:pPr>
            <w:r>
              <w:rPr>
                <w:spacing w:val="-9"/>
                <w:sz w:val="21"/>
              </w:rPr>
              <w:t>详见公司于 </w:t>
            </w:r>
            <w:r>
              <w:rPr>
                <w:rFonts w:ascii="Times New Roman" w:eastAsia="Times New Roman"/>
                <w:sz w:val="21"/>
              </w:rPr>
              <w:t>2022</w:t>
            </w:r>
            <w:r>
              <w:rPr>
                <w:rFonts w:ascii="Times New Roman" w:eastAsia="Times New Roman"/>
                <w:spacing w:val="-5"/>
                <w:sz w:val="21"/>
              </w:rPr>
              <w:t> </w:t>
            </w:r>
            <w:r>
              <w:rPr>
                <w:spacing w:val="-23"/>
                <w:sz w:val="21"/>
              </w:rPr>
              <w:t>年 </w:t>
            </w:r>
            <w:r>
              <w:rPr>
                <w:rFonts w:ascii="Times New Roman" w:eastAsia="Times New Roman"/>
                <w:sz w:val="21"/>
              </w:rPr>
              <w:t>9</w:t>
            </w:r>
            <w:r>
              <w:rPr>
                <w:rFonts w:ascii="Times New Roman" w:eastAsia="Times New Roman"/>
                <w:spacing w:val="-7"/>
                <w:sz w:val="21"/>
              </w:rPr>
              <w:t> </w:t>
            </w:r>
            <w:r>
              <w:rPr>
                <w:spacing w:val="-23"/>
                <w:sz w:val="21"/>
              </w:rPr>
              <w:t>月 </w:t>
            </w:r>
            <w:r>
              <w:rPr>
                <w:rFonts w:ascii="Times New Roman" w:eastAsia="Times New Roman"/>
                <w:sz w:val="21"/>
              </w:rPr>
              <w:t>14</w:t>
            </w:r>
            <w:r>
              <w:rPr>
                <w:rFonts w:ascii="Times New Roman" w:eastAsia="Times New Roman"/>
                <w:spacing w:val="-5"/>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2019</w:t>
            </w:r>
            <w:r>
              <w:rPr>
                <w:rFonts w:ascii="Times New Roman" w:eastAsia="Times New Roman"/>
                <w:spacing w:val="38"/>
                <w:sz w:val="21"/>
              </w:rPr>
              <w:t> </w:t>
            </w:r>
            <w:r>
              <w:rPr>
                <w:sz w:val="21"/>
              </w:rPr>
              <w:t>年股票期权与限制性股票激励计划部分预留授予第三个行权期行权条件及解除限售条件成就的公告》</w:t>
            </w:r>
          </w:p>
          <w:p>
            <w:pPr>
              <w:pStyle w:val="TableParagraph"/>
              <w:spacing w:line="252" w:lineRule="exact" w:before="2"/>
              <w:ind w:left="107"/>
              <w:jc w:val="both"/>
              <w:rPr>
                <w:sz w:val="21"/>
              </w:rPr>
            </w:pPr>
            <w:r>
              <w:rPr>
                <w:spacing w:val="-1"/>
                <w:sz w:val="21"/>
              </w:rPr>
              <w:t>（</w:t>
            </w:r>
            <w:r>
              <w:rPr>
                <w:spacing w:val="-9"/>
                <w:sz w:val="21"/>
              </w:rPr>
              <w:t>公告编号：临 </w:t>
            </w:r>
            <w:r>
              <w:rPr>
                <w:rFonts w:ascii="Times New Roman" w:eastAsia="Times New Roman"/>
                <w:sz w:val="21"/>
              </w:rPr>
              <w:t>2022-076</w:t>
            </w:r>
            <w:r>
              <w:rPr>
                <w:rFonts w:ascii="Times New Roman" w:eastAsia="Times New Roman"/>
                <w:spacing w:val="-12"/>
                <w:sz w:val="21"/>
              </w:rPr>
              <w:t> </w:t>
            </w:r>
            <w:r>
              <w:rPr>
                <w:sz w:val="21"/>
              </w:rPr>
              <w:t>号）</w:t>
            </w:r>
          </w:p>
        </w:tc>
      </w:tr>
      <w:tr>
        <w:trPr>
          <w:trHeight w:val="1634" w:hRule="atLeast"/>
        </w:trPr>
        <w:tc>
          <w:tcPr>
            <w:tcW w:w="4107" w:type="dxa"/>
          </w:tcPr>
          <w:p>
            <w:pPr>
              <w:pStyle w:val="TableParagraph"/>
              <w:spacing w:line="242" w:lineRule="auto" w:before="1"/>
              <w:ind w:left="107" w:right="91"/>
              <w:jc w:val="both"/>
              <w:rPr>
                <w:sz w:val="21"/>
              </w:rPr>
            </w:pPr>
            <w:r>
              <w:rPr>
                <w:spacing w:val="-8"/>
                <w:sz w:val="21"/>
              </w:rPr>
              <w:t>公司于 </w:t>
            </w:r>
            <w:r>
              <w:rPr>
                <w:rFonts w:ascii="Times New Roman" w:eastAsia="Times New Roman"/>
                <w:spacing w:val="-1"/>
                <w:sz w:val="21"/>
              </w:rPr>
              <w:t>2022</w:t>
            </w:r>
            <w:r>
              <w:rPr>
                <w:rFonts w:ascii="Times New Roman" w:eastAsia="Times New Roman"/>
                <w:spacing w:val="8"/>
                <w:sz w:val="21"/>
              </w:rPr>
              <w:t> </w:t>
            </w:r>
            <w:r>
              <w:rPr>
                <w:spacing w:val="-13"/>
                <w:sz w:val="21"/>
              </w:rPr>
              <w:t>年 </w:t>
            </w:r>
            <w:r>
              <w:rPr>
                <w:rFonts w:ascii="Times New Roman" w:eastAsia="Times New Roman"/>
                <w:sz w:val="21"/>
              </w:rPr>
              <w:t>9</w:t>
            </w:r>
            <w:r>
              <w:rPr>
                <w:rFonts w:ascii="Times New Roman" w:eastAsia="Times New Roman"/>
                <w:spacing w:val="8"/>
                <w:sz w:val="21"/>
              </w:rPr>
              <w:t> </w:t>
            </w:r>
            <w:r>
              <w:rPr>
                <w:spacing w:val="-13"/>
                <w:sz w:val="21"/>
              </w:rPr>
              <w:t>月 </w:t>
            </w:r>
            <w:r>
              <w:rPr>
                <w:rFonts w:ascii="Times New Roman" w:eastAsia="Times New Roman"/>
                <w:sz w:val="21"/>
              </w:rPr>
              <w:t>11</w:t>
            </w:r>
            <w:r>
              <w:rPr>
                <w:rFonts w:ascii="Times New Roman" w:eastAsia="Times New Roman"/>
                <w:spacing w:val="10"/>
                <w:sz w:val="21"/>
              </w:rPr>
              <w:t> </w:t>
            </w:r>
            <w:r>
              <w:rPr>
                <w:sz w:val="21"/>
              </w:rPr>
              <w:t>日召开第二届董事会第二十六次会议，审议通过了《关于公</w:t>
            </w:r>
            <w:r>
              <w:rPr>
                <w:spacing w:val="-22"/>
                <w:sz w:val="21"/>
              </w:rPr>
              <w:t>司 </w:t>
            </w:r>
            <w:r>
              <w:rPr>
                <w:rFonts w:ascii="Times New Roman" w:eastAsia="Times New Roman"/>
                <w:spacing w:val="-1"/>
                <w:sz w:val="21"/>
              </w:rPr>
              <w:t>2019</w:t>
            </w:r>
            <w:r>
              <w:rPr>
                <w:rFonts w:ascii="Times New Roman" w:eastAsia="Times New Roman"/>
                <w:spacing w:val="-5"/>
                <w:sz w:val="21"/>
              </w:rPr>
              <w:t> </w:t>
            </w:r>
            <w:r>
              <w:rPr>
                <w:spacing w:val="-1"/>
                <w:sz w:val="21"/>
              </w:rPr>
              <w:t>年股票期权与限制性股票激励计划</w:t>
            </w:r>
            <w:r>
              <w:rPr>
                <w:sz w:val="21"/>
              </w:rPr>
              <w:t>注销部分股票期权和回购注销部分限制性股票的议案》。</w:t>
            </w:r>
          </w:p>
        </w:tc>
        <w:tc>
          <w:tcPr>
            <w:tcW w:w="4640" w:type="dxa"/>
          </w:tcPr>
          <w:p>
            <w:pPr>
              <w:pStyle w:val="TableParagraph"/>
              <w:spacing w:line="242" w:lineRule="auto" w:before="1"/>
              <w:ind w:left="107" w:right="93"/>
              <w:jc w:val="both"/>
              <w:rPr>
                <w:sz w:val="21"/>
              </w:rPr>
            </w:pPr>
            <w:r>
              <w:rPr>
                <w:spacing w:val="-9"/>
                <w:sz w:val="21"/>
              </w:rPr>
              <w:t>详见公司于 </w:t>
            </w:r>
            <w:r>
              <w:rPr>
                <w:rFonts w:ascii="Times New Roman" w:eastAsia="Times New Roman"/>
                <w:sz w:val="21"/>
              </w:rPr>
              <w:t>2022</w:t>
            </w:r>
            <w:r>
              <w:rPr>
                <w:rFonts w:ascii="Times New Roman" w:eastAsia="Times New Roman"/>
                <w:spacing w:val="-5"/>
                <w:sz w:val="21"/>
              </w:rPr>
              <w:t> </w:t>
            </w:r>
            <w:r>
              <w:rPr>
                <w:spacing w:val="-23"/>
                <w:sz w:val="21"/>
              </w:rPr>
              <w:t>年 </w:t>
            </w:r>
            <w:r>
              <w:rPr>
                <w:rFonts w:ascii="Times New Roman" w:eastAsia="Times New Roman"/>
                <w:sz w:val="21"/>
              </w:rPr>
              <w:t>9</w:t>
            </w:r>
            <w:r>
              <w:rPr>
                <w:rFonts w:ascii="Times New Roman" w:eastAsia="Times New Roman"/>
                <w:spacing w:val="-7"/>
                <w:sz w:val="21"/>
              </w:rPr>
              <w:t> </w:t>
            </w:r>
            <w:r>
              <w:rPr>
                <w:spacing w:val="-23"/>
                <w:sz w:val="21"/>
              </w:rPr>
              <w:t>月 </w:t>
            </w:r>
            <w:r>
              <w:rPr>
                <w:rFonts w:ascii="Times New Roman" w:eastAsia="Times New Roman"/>
                <w:sz w:val="21"/>
              </w:rPr>
              <w:t>14</w:t>
            </w:r>
            <w:r>
              <w:rPr>
                <w:rFonts w:ascii="Times New Roman" w:eastAsia="Times New Roman"/>
                <w:spacing w:val="-5"/>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2019</w:t>
            </w:r>
            <w:r>
              <w:rPr>
                <w:rFonts w:ascii="Times New Roman" w:eastAsia="Times New Roman"/>
                <w:spacing w:val="38"/>
                <w:sz w:val="21"/>
              </w:rPr>
              <w:t> </w:t>
            </w:r>
            <w:r>
              <w:rPr>
                <w:sz w:val="21"/>
              </w:rPr>
              <w:t>年股票期权与限制性股票激励计划注销部分股票期权和回购注销部分限制性股票的公告》（公告编号：</w:t>
            </w:r>
          </w:p>
          <w:p>
            <w:pPr>
              <w:pStyle w:val="TableParagraph"/>
              <w:spacing w:line="252" w:lineRule="exact" w:before="2"/>
              <w:ind w:left="107"/>
              <w:jc w:val="both"/>
              <w:rPr>
                <w:sz w:val="21"/>
              </w:rPr>
            </w:pPr>
            <w:r>
              <w:rPr>
                <w:spacing w:val="-27"/>
                <w:sz w:val="21"/>
              </w:rPr>
              <w:t>临 </w:t>
            </w:r>
            <w:r>
              <w:rPr>
                <w:rFonts w:ascii="Times New Roman" w:eastAsia="Times New Roman"/>
                <w:spacing w:val="-1"/>
                <w:sz w:val="21"/>
              </w:rPr>
              <w:t>2022-077</w:t>
            </w:r>
            <w:r>
              <w:rPr>
                <w:rFonts w:ascii="Times New Roman" w:eastAsia="Times New Roman"/>
                <w:spacing w:val="-9"/>
                <w:sz w:val="21"/>
              </w:rPr>
              <w:t> </w:t>
            </w:r>
            <w:r>
              <w:rPr>
                <w:sz w:val="21"/>
              </w:rPr>
              <w:t>号）</w:t>
            </w:r>
          </w:p>
        </w:tc>
      </w:tr>
      <w:tr>
        <w:trPr>
          <w:trHeight w:val="1360" w:hRule="atLeast"/>
        </w:trPr>
        <w:tc>
          <w:tcPr>
            <w:tcW w:w="4107" w:type="dxa"/>
          </w:tcPr>
          <w:p>
            <w:pPr>
              <w:pStyle w:val="TableParagraph"/>
              <w:spacing w:line="242" w:lineRule="auto" w:before="1"/>
              <w:ind w:left="107" w:right="91"/>
              <w:rPr>
                <w:sz w:val="21"/>
              </w:rPr>
            </w:pPr>
            <w:r>
              <w:rPr>
                <w:spacing w:val="-8"/>
                <w:sz w:val="21"/>
              </w:rPr>
              <w:t>公司于 </w:t>
            </w:r>
            <w:r>
              <w:rPr>
                <w:rFonts w:ascii="Times New Roman" w:eastAsia="Times New Roman"/>
                <w:spacing w:val="-1"/>
                <w:sz w:val="21"/>
              </w:rPr>
              <w:t>2022</w:t>
            </w:r>
            <w:r>
              <w:rPr>
                <w:rFonts w:ascii="Times New Roman" w:eastAsia="Times New Roman"/>
                <w:spacing w:val="8"/>
                <w:sz w:val="21"/>
              </w:rPr>
              <w:t> </w:t>
            </w:r>
            <w:r>
              <w:rPr>
                <w:spacing w:val="-13"/>
                <w:sz w:val="21"/>
              </w:rPr>
              <w:t>年 </w:t>
            </w:r>
            <w:r>
              <w:rPr>
                <w:rFonts w:ascii="Times New Roman" w:eastAsia="Times New Roman"/>
                <w:sz w:val="21"/>
              </w:rPr>
              <w:t>9</w:t>
            </w:r>
            <w:r>
              <w:rPr>
                <w:rFonts w:ascii="Times New Roman" w:eastAsia="Times New Roman"/>
                <w:spacing w:val="8"/>
                <w:sz w:val="21"/>
              </w:rPr>
              <w:t> </w:t>
            </w:r>
            <w:r>
              <w:rPr>
                <w:spacing w:val="-13"/>
                <w:sz w:val="21"/>
              </w:rPr>
              <w:t>月 </w:t>
            </w:r>
            <w:r>
              <w:rPr>
                <w:rFonts w:ascii="Times New Roman" w:eastAsia="Times New Roman"/>
                <w:sz w:val="21"/>
              </w:rPr>
              <w:t>14</w:t>
            </w:r>
            <w:r>
              <w:rPr>
                <w:rFonts w:ascii="Times New Roman" w:eastAsia="Times New Roman"/>
                <w:spacing w:val="10"/>
                <w:sz w:val="21"/>
              </w:rPr>
              <w:t> </w:t>
            </w:r>
            <w:r>
              <w:rPr>
                <w:sz w:val="21"/>
              </w:rPr>
              <w:t>日就回购注销部分限制性股票事宜发出通知债权人的公告。</w:t>
            </w:r>
          </w:p>
        </w:tc>
        <w:tc>
          <w:tcPr>
            <w:tcW w:w="4640" w:type="dxa"/>
          </w:tcPr>
          <w:p>
            <w:pPr>
              <w:pStyle w:val="TableParagraph"/>
              <w:spacing w:line="242" w:lineRule="auto" w:before="1"/>
              <w:ind w:left="107" w:right="94"/>
              <w:jc w:val="both"/>
              <w:rPr>
                <w:sz w:val="21"/>
              </w:rPr>
            </w:pPr>
            <w:r>
              <w:rPr>
                <w:spacing w:val="-9"/>
                <w:sz w:val="21"/>
              </w:rPr>
              <w:t>详见公司于 </w:t>
            </w:r>
            <w:r>
              <w:rPr>
                <w:rFonts w:ascii="Times New Roman" w:eastAsia="Times New Roman"/>
                <w:sz w:val="21"/>
              </w:rPr>
              <w:t>2022</w:t>
            </w:r>
            <w:r>
              <w:rPr>
                <w:rFonts w:ascii="Times New Roman" w:eastAsia="Times New Roman"/>
                <w:spacing w:val="-5"/>
                <w:sz w:val="21"/>
              </w:rPr>
              <w:t> </w:t>
            </w:r>
            <w:r>
              <w:rPr>
                <w:spacing w:val="-23"/>
                <w:sz w:val="21"/>
              </w:rPr>
              <w:t>年 </w:t>
            </w:r>
            <w:r>
              <w:rPr>
                <w:rFonts w:ascii="Times New Roman" w:eastAsia="Times New Roman"/>
                <w:sz w:val="21"/>
              </w:rPr>
              <w:t>9</w:t>
            </w:r>
            <w:r>
              <w:rPr>
                <w:rFonts w:ascii="Times New Roman" w:eastAsia="Times New Roman"/>
                <w:spacing w:val="-7"/>
                <w:sz w:val="21"/>
              </w:rPr>
              <w:t> </w:t>
            </w:r>
            <w:r>
              <w:rPr>
                <w:spacing w:val="-23"/>
                <w:sz w:val="21"/>
              </w:rPr>
              <w:t>月 </w:t>
            </w:r>
            <w:r>
              <w:rPr>
                <w:rFonts w:ascii="Times New Roman" w:eastAsia="Times New Roman"/>
                <w:sz w:val="21"/>
              </w:rPr>
              <w:t>14</w:t>
            </w:r>
            <w:r>
              <w:rPr>
                <w:rFonts w:ascii="Times New Roman" w:eastAsia="Times New Roman"/>
                <w:spacing w:val="-5"/>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）及指定媒体披露的《富士康工业互联网股份有限公司关于回购注销部分限制性股票通知债权人的公告》（公告编号：临</w:t>
            </w:r>
          </w:p>
          <w:p>
            <w:pPr>
              <w:pStyle w:val="TableParagraph"/>
              <w:spacing w:line="250" w:lineRule="exact" w:before="2"/>
              <w:ind w:left="107"/>
              <w:jc w:val="both"/>
              <w:rPr>
                <w:sz w:val="21"/>
              </w:rPr>
            </w:pPr>
            <w:r>
              <w:rPr>
                <w:rFonts w:ascii="Times New Roman" w:eastAsia="Times New Roman"/>
                <w:sz w:val="21"/>
              </w:rPr>
              <w:t>2022-078</w:t>
            </w:r>
            <w:r>
              <w:rPr>
                <w:rFonts w:ascii="Times New Roman" w:eastAsia="Times New Roman"/>
                <w:spacing w:val="-11"/>
                <w:sz w:val="21"/>
              </w:rPr>
              <w:t> </w:t>
            </w:r>
            <w:r>
              <w:rPr>
                <w:sz w:val="21"/>
              </w:rPr>
              <w:t>号）</w:t>
            </w:r>
          </w:p>
        </w:tc>
      </w:tr>
      <w:tr>
        <w:trPr>
          <w:trHeight w:val="1634" w:hRule="atLeast"/>
        </w:trPr>
        <w:tc>
          <w:tcPr>
            <w:tcW w:w="4107" w:type="dxa"/>
          </w:tcPr>
          <w:p>
            <w:pPr>
              <w:pStyle w:val="TableParagraph"/>
              <w:spacing w:line="242" w:lineRule="auto" w:before="1"/>
              <w:ind w:left="107" w:right="72"/>
              <w:jc w:val="both"/>
              <w:rPr>
                <w:sz w:val="21"/>
              </w:rPr>
            </w:pPr>
            <w:r>
              <w:rPr>
                <w:spacing w:val="-16"/>
                <w:sz w:val="21"/>
              </w:rPr>
              <w:t>公司 </w:t>
            </w:r>
            <w:r>
              <w:rPr>
                <w:rFonts w:ascii="Times New Roman" w:eastAsia="Times New Roman"/>
                <w:sz w:val="21"/>
              </w:rPr>
              <w:t>2019</w:t>
            </w:r>
            <w:r>
              <w:rPr>
                <w:rFonts w:ascii="Times New Roman" w:eastAsia="Times New Roman"/>
                <w:spacing w:val="-3"/>
                <w:sz w:val="21"/>
              </w:rPr>
              <w:t> </w:t>
            </w:r>
            <w:r>
              <w:rPr>
                <w:sz w:val="21"/>
              </w:rPr>
              <w:t>年股票期权与限制性股票激励计</w:t>
            </w:r>
            <w:r>
              <w:rPr>
                <w:spacing w:val="16"/>
                <w:sz w:val="21"/>
              </w:rPr>
              <w:t>划部分预留授予限制性股票第三期共计</w:t>
            </w:r>
            <w:r>
              <w:rPr>
                <w:rFonts w:ascii="Times New Roman" w:eastAsia="Times New Roman"/>
                <w:sz w:val="21"/>
              </w:rPr>
              <w:t>1,605,165</w:t>
            </w:r>
            <w:r>
              <w:rPr>
                <w:rFonts w:ascii="Times New Roman" w:eastAsia="Times New Roman"/>
                <w:spacing w:val="51"/>
                <w:sz w:val="21"/>
              </w:rPr>
              <w:t> </w:t>
            </w:r>
            <w:r>
              <w:rPr>
                <w:sz w:val="21"/>
              </w:rPr>
              <w:t>股解锁并上市流通，上市流通日</w:t>
            </w:r>
          </w:p>
          <w:p>
            <w:pPr>
              <w:pStyle w:val="TableParagraph"/>
              <w:spacing w:before="3"/>
              <w:ind w:left="107"/>
              <w:jc w:val="both"/>
              <w:rPr>
                <w:sz w:val="21"/>
              </w:rPr>
            </w:pPr>
            <w:r>
              <w:rPr>
                <w:spacing w:val="-18"/>
                <w:sz w:val="21"/>
              </w:rPr>
              <w:t>期为 </w:t>
            </w:r>
            <w:r>
              <w:rPr>
                <w:rFonts w:ascii="Times New Roman" w:eastAsia="Times New Roman"/>
                <w:sz w:val="21"/>
              </w:rPr>
              <w:t>2022</w:t>
            </w:r>
            <w:r>
              <w:rPr>
                <w:rFonts w:ascii="Times New Roman" w:eastAsia="Times New Roman"/>
                <w:spacing w:val="-10"/>
                <w:sz w:val="21"/>
              </w:rPr>
              <w:t> </w:t>
            </w:r>
            <w:r>
              <w:rPr>
                <w:spacing w:val="-27"/>
                <w:sz w:val="21"/>
              </w:rPr>
              <w:t>年 </w:t>
            </w:r>
            <w:r>
              <w:rPr>
                <w:rFonts w:ascii="Times New Roman" w:eastAsia="Times New Roman"/>
                <w:sz w:val="21"/>
              </w:rPr>
              <w:t>9</w:t>
            </w:r>
            <w:r>
              <w:rPr>
                <w:rFonts w:ascii="Times New Roman" w:eastAsia="Times New Roman"/>
                <w:spacing w:val="-9"/>
                <w:sz w:val="21"/>
              </w:rPr>
              <w:t> </w:t>
            </w:r>
            <w:r>
              <w:rPr>
                <w:spacing w:val="-27"/>
                <w:sz w:val="21"/>
              </w:rPr>
              <w:t>月 </w:t>
            </w:r>
            <w:r>
              <w:rPr>
                <w:rFonts w:ascii="Times New Roman" w:eastAsia="Times New Roman"/>
                <w:sz w:val="21"/>
              </w:rPr>
              <w:t>22</w:t>
            </w:r>
            <w:r>
              <w:rPr>
                <w:rFonts w:ascii="Times New Roman" w:eastAsia="Times New Roman"/>
                <w:spacing w:val="-11"/>
                <w:sz w:val="21"/>
              </w:rPr>
              <w:t> </w:t>
            </w:r>
            <w:r>
              <w:rPr>
                <w:sz w:val="21"/>
              </w:rPr>
              <w:t>日。</w:t>
            </w:r>
          </w:p>
        </w:tc>
        <w:tc>
          <w:tcPr>
            <w:tcW w:w="4640" w:type="dxa"/>
          </w:tcPr>
          <w:p>
            <w:pPr>
              <w:pStyle w:val="TableParagraph"/>
              <w:spacing w:line="242" w:lineRule="auto" w:before="1"/>
              <w:ind w:left="107" w:right="94"/>
              <w:jc w:val="both"/>
              <w:rPr>
                <w:rFonts w:ascii="Times New Roman" w:eastAsia="Times New Roman"/>
                <w:sz w:val="21"/>
              </w:rPr>
            </w:pPr>
            <w:r>
              <w:rPr>
                <w:spacing w:val="-9"/>
                <w:sz w:val="21"/>
              </w:rPr>
              <w:t>详见公司于 </w:t>
            </w:r>
            <w:r>
              <w:rPr>
                <w:rFonts w:ascii="Times New Roman" w:eastAsia="Times New Roman"/>
                <w:sz w:val="21"/>
              </w:rPr>
              <w:t>2022</w:t>
            </w:r>
            <w:r>
              <w:rPr>
                <w:rFonts w:ascii="Times New Roman" w:eastAsia="Times New Roman"/>
                <w:spacing w:val="-5"/>
                <w:sz w:val="21"/>
              </w:rPr>
              <w:t> </w:t>
            </w:r>
            <w:r>
              <w:rPr>
                <w:spacing w:val="-23"/>
                <w:sz w:val="21"/>
              </w:rPr>
              <w:t>年 </w:t>
            </w:r>
            <w:r>
              <w:rPr>
                <w:rFonts w:ascii="Times New Roman" w:eastAsia="Times New Roman"/>
                <w:sz w:val="21"/>
              </w:rPr>
              <w:t>9</w:t>
            </w:r>
            <w:r>
              <w:rPr>
                <w:rFonts w:ascii="Times New Roman" w:eastAsia="Times New Roman"/>
                <w:spacing w:val="-7"/>
                <w:sz w:val="21"/>
              </w:rPr>
              <w:t> </w:t>
            </w:r>
            <w:r>
              <w:rPr>
                <w:spacing w:val="-23"/>
                <w:sz w:val="21"/>
              </w:rPr>
              <w:t>月 </w:t>
            </w:r>
            <w:r>
              <w:rPr>
                <w:rFonts w:ascii="Times New Roman" w:eastAsia="Times New Roman"/>
                <w:sz w:val="21"/>
              </w:rPr>
              <w:t>17</w:t>
            </w:r>
            <w:r>
              <w:rPr>
                <w:rFonts w:ascii="Times New Roman" w:eastAsia="Times New Roman"/>
                <w:spacing w:val="-5"/>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 </w:t>
            </w:r>
            <w:r>
              <w:rPr>
                <w:rFonts w:ascii="Times New Roman" w:eastAsia="Times New Roman"/>
                <w:sz w:val="21"/>
              </w:rPr>
              <w:t>2019</w:t>
            </w:r>
            <w:r>
              <w:rPr>
                <w:rFonts w:ascii="Times New Roman" w:eastAsia="Times New Roman"/>
                <w:spacing w:val="38"/>
                <w:sz w:val="21"/>
              </w:rPr>
              <w:t> </w:t>
            </w:r>
            <w:r>
              <w:rPr>
                <w:sz w:val="21"/>
              </w:rPr>
              <w:t>年股票期权与限制性股票激励计划部分预留授予限制性股票第三期解锁暨上市公告》（</w:t>
            </w:r>
            <w:r>
              <w:rPr>
                <w:spacing w:val="4"/>
                <w:sz w:val="21"/>
              </w:rPr>
              <w:t>公告编号：临 </w:t>
            </w:r>
            <w:r>
              <w:rPr>
                <w:rFonts w:ascii="Times New Roman" w:eastAsia="Times New Roman"/>
                <w:sz w:val="21"/>
              </w:rPr>
              <w:t>2022-</w:t>
            </w:r>
          </w:p>
          <w:p>
            <w:pPr>
              <w:pStyle w:val="TableParagraph"/>
              <w:spacing w:line="250" w:lineRule="exact" w:before="4"/>
              <w:ind w:left="107"/>
              <w:jc w:val="both"/>
              <w:rPr>
                <w:sz w:val="21"/>
              </w:rPr>
            </w:pPr>
            <w:r>
              <w:rPr>
                <w:rFonts w:ascii="Times New Roman" w:eastAsia="Times New Roman"/>
                <w:sz w:val="21"/>
              </w:rPr>
              <w:t>080</w:t>
            </w:r>
            <w:r>
              <w:rPr>
                <w:rFonts w:ascii="Times New Roman" w:eastAsia="Times New Roman"/>
                <w:spacing w:val="-11"/>
                <w:sz w:val="21"/>
              </w:rPr>
              <w:t> </w:t>
            </w:r>
            <w:r>
              <w:rPr>
                <w:sz w:val="21"/>
              </w:rPr>
              <w:t>号）</w:t>
            </w:r>
          </w:p>
        </w:tc>
      </w:tr>
      <w:tr>
        <w:trPr>
          <w:trHeight w:val="1634" w:hRule="atLeast"/>
        </w:trPr>
        <w:tc>
          <w:tcPr>
            <w:tcW w:w="4107" w:type="dxa"/>
          </w:tcPr>
          <w:p>
            <w:pPr>
              <w:pStyle w:val="TableParagraph"/>
              <w:spacing w:before="1"/>
              <w:ind w:left="107"/>
              <w:rPr>
                <w:sz w:val="21"/>
              </w:rPr>
            </w:pPr>
            <w:r>
              <w:rPr>
                <w:spacing w:val="-16"/>
                <w:sz w:val="21"/>
              </w:rPr>
              <w:t>公司 </w:t>
            </w:r>
            <w:r>
              <w:rPr>
                <w:rFonts w:ascii="Times New Roman" w:eastAsia="Times New Roman"/>
                <w:sz w:val="21"/>
              </w:rPr>
              <w:t>2019</w:t>
            </w:r>
            <w:r>
              <w:rPr>
                <w:rFonts w:ascii="Times New Roman" w:eastAsia="Times New Roman"/>
                <w:spacing w:val="-3"/>
                <w:sz w:val="21"/>
              </w:rPr>
              <w:t> </w:t>
            </w:r>
            <w:r>
              <w:rPr>
                <w:sz w:val="21"/>
              </w:rPr>
              <w:t>年股票期权与限制性股票激励计</w:t>
            </w:r>
          </w:p>
          <w:p>
            <w:pPr>
              <w:pStyle w:val="TableParagraph"/>
              <w:spacing w:before="5"/>
              <w:ind w:left="107"/>
              <w:rPr>
                <w:rFonts w:ascii="Times New Roman" w:eastAsia="Times New Roman"/>
                <w:sz w:val="21"/>
              </w:rPr>
            </w:pPr>
            <w:r>
              <w:rPr>
                <w:spacing w:val="-5"/>
                <w:sz w:val="21"/>
              </w:rPr>
              <w:t>划股票期权在 </w:t>
            </w:r>
            <w:r>
              <w:rPr>
                <w:rFonts w:ascii="Times New Roman" w:eastAsia="Times New Roman"/>
                <w:sz w:val="21"/>
              </w:rPr>
              <w:t>2022</w:t>
            </w:r>
            <w:r>
              <w:rPr>
                <w:rFonts w:ascii="Times New Roman" w:eastAsia="Times New Roman"/>
                <w:spacing w:val="7"/>
                <w:sz w:val="21"/>
              </w:rPr>
              <w:t> </w:t>
            </w:r>
            <w:r>
              <w:rPr>
                <w:spacing w:val="-3"/>
                <w:sz w:val="21"/>
              </w:rPr>
              <w:t>年第三季度自主行权 </w:t>
            </w:r>
            <w:r>
              <w:rPr>
                <w:rFonts w:ascii="Times New Roman" w:eastAsia="Times New Roman"/>
                <w:sz w:val="21"/>
              </w:rPr>
              <w:t>0</w:t>
            </w:r>
          </w:p>
          <w:p>
            <w:pPr>
              <w:pStyle w:val="TableParagraph"/>
              <w:spacing w:before="2"/>
              <w:ind w:left="107"/>
              <w:rPr>
                <w:sz w:val="21"/>
              </w:rPr>
            </w:pPr>
            <w:r>
              <w:rPr>
                <w:sz w:val="21"/>
              </w:rPr>
              <w:t>股。</w:t>
            </w:r>
          </w:p>
        </w:tc>
        <w:tc>
          <w:tcPr>
            <w:tcW w:w="4640" w:type="dxa"/>
          </w:tcPr>
          <w:p>
            <w:pPr>
              <w:pStyle w:val="TableParagraph"/>
              <w:spacing w:line="242" w:lineRule="auto" w:before="1"/>
              <w:ind w:left="107" w:right="93"/>
              <w:jc w:val="both"/>
              <w:rPr>
                <w:sz w:val="21"/>
              </w:rPr>
            </w:pPr>
            <w:r>
              <w:rPr>
                <w:spacing w:val="-12"/>
                <w:sz w:val="21"/>
              </w:rPr>
              <w:t>详见公司于 </w:t>
            </w:r>
            <w:r>
              <w:rPr>
                <w:rFonts w:ascii="Times New Roman" w:eastAsia="Times New Roman"/>
                <w:sz w:val="21"/>
              </w:rPr>
              <w:t>2022</w:t>
            </w:r>
            <w:r>
              <w:rPr>
                <w:rFonts w:ascii="Times New Roman" w:eastAsia="Times New Roman"/>
                <w:spacing w:val="-19"/>
                <w:sz w:val="21"/>
              </w:rPr>
              <w:t> </w:t>
            </w:r>
            <w:r>
              <w:rPr>
                <w:spacing w:val="-33"/>
                <w:sz w:val="21"/>
              </w:rPr>
              <w:t>年 </w:t>
            </w:r>
            <w:r>
              <w:rPr>
                <w:rFonts w:ascii="Times New Roman" w:eastAsia="Times New Roman"/>
                <w:sz w:val="21"/>
              </w:rPr>
              <w:t>10</w:t>
            </w:r>
            <w:r>
              <w:rPr>
                <w:rFonts w:ascii="Times New Roman" w:eastAsia="Times New Roman"/>
                <w:spacing w:val="-19"/>
                <w:sz w:val="21"/>
              </w:rPr>
              <w:t> </w:t>
            </w:r>
            <w:r>
              <w:rPr>
                <w:spacing w:val="-33"/>
                <w:sz w:val="21"/>
              </w:rPr>
              <w:t>月 </w:t>
            </w:r>
            <w:r>
              <w:rPr>
                <w:rFonts w:ascii="Times New Roman" w:eastAsia="Times New Roman"/>
                <w:sz w:val="21"/>
              </w:rPr>
              <w:t>12</w:t>
            </w:r>
            <w:r>
              <w:rPr>
                <w:rFonts w:ascii="Times New Roman" w:eastAsia="Times New Roman"/>
                <w:spacing w:val="-19"/>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2019</w:t>
            </w:r>
            <w:r>
              <w:rPr>
                <w:rFonts w:ascii="Times New Roman" w:eastAsia="Times New Roman"/>
                <w:spacing w:val="39"/>
                <w:sz w:val="21"/>
              </w:rPr>
              <w:t> </w:t>
            </w:r>
            <w:r>
              <w:rPr>
                <w:sz w:val="21"/>
              </w:rPr>
              <w:t>年股票</w:t>
            </w:r>
          </w:p>
          <w:p>
            <w:pPr>
              <w:pStyle w:val="TableParagraph"/>
              <w:spacing w:line="242" w:lineRule="auto" w:before="3"/>
              <w:ind w:left="107" w:right="94"/>
              <w:jc w:val="both"/>
              <w:rPr>
                <w:sz w:val="21"/>
              </w:rPr>
            </w:pPr>
            <w:r>
              <w:rPr>
                <w:sz w:val="21"/>
              </w:rPr>
              <w:t>期权与限制性股票激励计划 </w:t>
            </w:r>
            <w:r>
              <w:rPr>
                <w:rFonts w:ascii="Times New Roman" w:eastAsia="Times New Roman"/>
                <w:sz w:val="21"/>
              </w:rPr>
              <w:t>2022</w:t>
            </w:r>
            <w:r>
              <w:rPr>
                <w:rFonts w:ascii="Times New Roman" w:eastAsia="Times New Roman"/>
                <w:spacing w:val="38"/>
                <w:sz w:val="21"/>
              </w:rPr>
              <w:t> </w:t>
            </w:r>
            <w:r>
              <w:rPr>
                <w:sz w:val="21"/>
              </w:rPr>
              <w:t>年第三季度自</w:t>
            </w:r>
            <w:r>
              <w:rPr>
                <w:spacing w:val="-1"/>
                <w:sz w:val="21"/>
              </w:rPr>
              <w:t>主行权结果暨股份变动的公告》</w:t>
            </w:r>
            <w:r>
              <w:rPr>
                <w:sz w:val="21"/>
              </w:rPr>
              <w:t>（公告编号：临</w:t>
            </w:r>
          </w:p>
          <w:p>
            <w:pPr>
              <w:pStyle w:val="TableParagraph"/>
              <w:spacing w:line="250" w:lineRule="exact" w:before="2"/>
              <w:ind w:left="107"/>
              <w:jc w:val="both"/>
              <w:rPr>
                <w:sz w:val="21"/>
              </w:rPr>
            </w:pPr>
            <w:r>
              <w:rPr>
                <w:rFonts w:ascii="Times New Roman" w:eastAsia="Times New Roman"/>
                <w:sz w:val="21"/>
              </w:rPr>
              <w:t>2022-083</w:t>
            </w:r>
            <w:r>
              <w:rPr>
                <w:rFonts w:ascii="Times New Roman" w:eastAsia="Times New Roman"/>
                <w:spacing w:val="-11"/>
                <w:sz w:val="21"/>
              </w:rPr>
              <w:t> </w:t>
            </w:r>
            <w:r>
              <w:rPr>
                <w:sz w:val="21"/>
              </w:rPr>
              <w:t>号）</w:t>
            </w:r>
          </w:p>
        </w:tc>
      </w:tr>
      <w:tr>
        <w:trPr>
          <w:trHeight w:val="1089" w:hRule="atLeast"/>
        </w:trPr>
        <w:tc>
          <w:tcPr>
            <w:tcW w:w="4107" w:type="dxa"/>
          </w:tcPr>
          <w:p>
            <w:pPr>
              <w:pStyle w:val="TableParagraph"/>
              <w:spacing w:line="242" w:lineRule="auto" w:before="1"/>
              <w:ind w:left="107" w:right="91"/>
              <w:jc w:val="both"/>
              <w:rPr>
                <w:sz w:val="21"/>
              </w:rPr>
            </w:pPr>
            <w:r>
              <w:rPr>
                <w:spacing w:val="-16"/>
                <w:sz w:val="21"/>
              </w:rPr>
              <w:t>公司 </w:t>
            </w:r>
            <w:r>
              <w:rPr>
                <w:rFonts w:ascii="Times New Roman" w:eastAsia="Times New Roman"/>
                <w:spacing w:val="-1"/>
                <w:sz w:val="21"/>
              </w:rPr>
              <w:t>2019</w:t>
            </w:r>
            <w:r>
              <w:rPr>
                <w:rFonts w:ascii="Times New Roman" w:eastAsia="Times New Roman"/>
                <w:spacing w:val="-3"/>
                <w:sz w:val="21"/>
              </w:rPr>
              <w:t> </w:t>
            </w:r>
            <w:r>
              <w:rPr>
                <w:spacing w:val="-1"/>
                <w:sz w:val="21"/>
              </w:rPr>
              <w:t>年股票期权与限制性股票激励计</w:t>
            </w:r>
            <w:r>
              <w:rPr>
                <w:sz w:val="21"/>
              </w:rPr>
              <w:t>划部分预留授予股票期权第三个行权期于</w:t>
            </w:r>
            <w:r>
              <w:rPr>
                <w:rFonts w:ascii="Times New Roman" w:eastAsia="Times New Roman"/>
                <w:spacing w:val="-1"/>
                <w:sz w:val="21"/>
              </w:rPr>
              <w:t>2022</w:t>
            </w:r>
            <w:r>
              <w:rPr>
                <w:rFonts w:ascii="Times New Roman" w:eastAsia="Times New Roman"/>
                <w:spacing w:val="-12"/>
                <w:sz w:val="21"/>
              </w:rPr>
              <w:t> </w:t>
            </w:r>
            <w:r>
              <w:rPr>
                <w:spacing w:val="-27"/>
                <w:sz w:val="21"/>
              </w:rPr>
              <w:t>年 </w:t>
            </w:r>
            <w:r>
              <w:rPr>
                <w:rFonts w:ascii="Times New Roman" w:eastAsia="Times New Roman"/>
                <w:sz w:val="21"/>
              </w:rPr>
              <w:t>11</w:t>
            </w:r>
            <w:r>
              <w:rPr>
                <w:rFonts w:ascii="Times New Roman" w:eastAsia="Times New Roman"/>
                <w:spacing w:val="-12"/>
                <w:sz w:val="21"/>
              </w:rPr>
              <w:t> </w:t>
            </w:r>
            <w:r>
              <w:rPr>
                <w:spacing w:val="-27"/>
                <w:sz w:val="21"/>
              </w:rPr>
              <w:t>月 </w:t>
            </w:r>
            <w:r>
              <w:rPr>
                <w:rFonts w:ascii="Times New Roman" w:eastAsia="Times New Roman"/>
                <w:sz w:val="21"/>
              </w:rPr>
              <w:t>21</w:t>
            </w:r>
            <w:r>
              <w:rPr>
                <w:rFonts w:ascii="Times New Roman" w:eastAsia="Times New Roman"/>
                <w:spacing w:val="-10"/>
                <w:sz w:val="21"/>
              </w:rPr>
              <w:t> </w:t>
            </w:r>
            <w:r>
              <w:rPr>
                <w:sz w:val="21"/>
              </w:rPr>
              <w:t>日开始行权。</w:t>
            </w:r>
          </w:p>
        </w:tc>
        <w:tc>
          <w:tcPr>
            <w:tcW w:w="4640" w:type="dxa"/>
          </w:tcPr>
          <w:p>
            <w:pPr>
              <w:pStyle w:val="TableParagraph"/>
              <w:spacing w:line="242" w:lineRule="auto" w:before="1"/>
              <w:ind w:left="107" w:right="93"/>
              <w:jc w:val="both"/>
              <w:rPr>
                <w:sz w:val="21"/>
              </w:rPr>
            </w:pPr>
            <w:r>
              <w:rPr>
                <w:spacing w:val="-12"/>
                <w:sz w:val="21"/>
              </w:rPr>
              <w:t>详见公司于 </w:t>
            </w:r>
            <w:r>
              <w:rPr>
                <w:rFonts w:ascii="Times New Roman" w:eastAsia="Times New Roman"/>
                <w:sz w:val="21"/>
              </w:rPr>
              <w:t>2022</w:t>
            </w:r>
            <w:r>
              <w:rPr>
                <w:rFonts w:ascii="Times New Roman" w:eastAsia="Times New Roman"/>
                <w:spacing w:val="-19"/>
                <w:sz w:val="21"/>
              </w:rPr>
              <w:t> </w:t>
            </w:r>
            <w:r>
              <w:rPr>
                <w:spacing w:val="-33"/>
                <w:sz w:val="21"/>
              </w:rPr>
              <w:t>年 </w:t>
            </w:r>
            <w:r>
              <w:rPr>
                <w:rFonts w:ascii="Times New Roman" w:eastAsia="Times New Roman"/>
                <w:sz w:val="21"/>
              </w:rPr>
              <w:t>11</w:t>
            </w:r>
            <w:r>
              <w:rPr>
                <w:rFonts w:ascii="Times New Roman" w:eastAsia="Times New Roman"/>
                <w:spacing w:val="-19"/>
                <w:sz w:val="21"/>
              </w:rPr>
              <w:t> </w:t>
            </w:r>
            <w:r>
              <w:rPr>
                <w:spacing w:val="-33"/>
                <w:sz w:val="21"/>
              </w:rPr>
              <w:t>月 </w:t>
            </w:r>
            <w:r>
              <w:rPr>
                <w:rFonts w:ascii="Times New Roman" w:eastAsia="Times New Roman"/>
                <w:sz w:val="21"/>
              </w:rPr>
              <w:t>15</w:t>
            </w:r>
            <w:r>
              <w:rPr>
                <w:rFonts w:ascii="Times New Roman" w:eastAsia="Times New Roman"/>
                <w:spacing w:val="-19"/>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2019</w:t>
            </w:r>
            <w:r>
              <w:rPr>
                <w:rFonts w:ascii="Times New Roman" w:eastAsia="Times New Roman"/>
                <w:spacing w:val="39"/>
                <w:sz w:val="21"/>
              </w:rPr>
              <w:t> </w:t>
            </w:r>
            <w:r>
              <w:rPr>
                <w:sz w:val="21"/>
              </w:rPr>
              <w:t>年股票</w:t>
            </w:r>
          </w:p>
          <w:p>
            <w:pPr>
              <w:pStyle w:val="TableParagraph"/>
              <w:spacing w:line="250" w:lineRule="exact" w:before="3"/>
              <w:ind w:left="107"/>
              <w:rPr>
                <w:sz w:val="21"/>
              </w:rPr>
            </w:pPr>
            <w:r>
              <w:rPr>
                <w:sz w:val="21"/>
              </w:rPr>
              <w:t>期权与限制性股票激励计划部分预留授予第三个</w:t>
            </w:r>
          </w:p>
        </w:tc>
      </w:tr>
    </w:tbl>
    <w:p>
      <w:pPr>
        <w:spacing w:after="0" w:line="250" w:lineRule="exact"/>
        <w:rPr>
          <w:sz w:val="21"/>
        </w:rPr>
        <w:sectPr>
          <w:pgSz w:w="11910" w:h="16840"/>
          <w:pgMar w:header="877" w:footer="1180" w:top="1440" w:bottom="1380" w:left="1680" w:right="960"/>
        </w:sectPr>
      </w:pPr>
    </w:p>
    <w:p>
      <w:pPr>
        <w:pStyle w:val="BodyText"/>
        <w:spacing w:before="2"/>
        <w:ind w:left="0"/>
        <w:rPr>
          <w:sz w:val="5"/>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07"/>
        <w:gridCol w:w="4640"/>
      </w:tblGrid>
      <w:tr>
        <w:trPr>
          <w:trHeight w:val="547" w:hRule="atLeast"/>
        </w:trPr>
        <w:tc>
          <w:tcPr>
            <w:tcW w:w="4107" w:type="dxa"/>
          </w:tcPr>
          <w:p>
            <w:pPr>
              <w:pStyle w:val="TableParagraph"/>
              <w:rPr>
                <w:rFonts w:ascii="Times New Roman"/>
                <w:sz w:val="20"/>
              </w:rPr>
            </w:pPr>
          </w:p>
        </w:tc>
        <w:tc>
          <w:tcPr>
            <w:tcW w:w="4640" w:type="dxa"/>
          </w:tcPr>
          <w:p>
            <w:pPr>
              <w:pStyle w:val="TableParagraph"/>
              <w:spacing w:before="3"/>
              <w:ind w:left="107"/>
              <w:rPr>
                <w:sz w:val="21"/>
              </w:rPr>
            </w:pPr>
            <w:r>
              <w:rPr>
                <w:sz w:val="21"/>
              </w:rPr>
              <w:t>行权期符合行权条件的公告》</w:t>
            </w:r>
            <w:r>
              <w:rPr>
                <w:spacing w:val="11"/>
                <w:sz w:val="21"/>
              </w:rPr>
              <w:t>（</w:t>
            </w:r>
            <w:r>
              <w:rPr>
                <w:spacing w:val="2"/>
                <w:sz w:val="21"/>
              </w:rPr>
              <w:t>公告编号：临</w:t>
            </w:r>
          </w:p>
          <w:p>
            <w:pPr>
              <w:pStyle w:val="TableParagraph"/>
              <w:spacing w:line="252" w:lineRule="exact" w:before="3"/>
              <w:ind w:left="107"/>
              <w:rPr>
                <w:sz w:val="21"/>
              </w:rPr>
            </w:pPr>
            <w:r>
              <w:rPr>
                <w:rFonts w:ascii="Times New Roman" w:eastAsia="Times New Roman"/>
                <w:sz w:val="21"/>
              </w:rPr>
              <w:t>2022-090</w:t>
            </w:r>
            <w:r>
              <w:rPr>
                <w:rFonts w:ascii="Times New Roman" w:eastAsia="Times New Roman"/>
                <w:spacing w:val="-11"/>
                <w:sz w:val="21"/>
              </w:rPr>
              <w:t> </w:t>
            </w:r>
            <w:r>
              <w:rPr>
                <w:sz w:val="21"/>
              </w:rPr>
              <w:t>号）</w:t>
            </w:r>
          </w:p>
        </w:tc>
      </w:tr>
      <w:tr>
        <w:trPr>
          <w:trHeight w:val="1360" w:hRule="atLeast"/>
        </w:trPr>
        <w:tc>
          <w:tcPr>
            <w:tcW w:w="4107" w:type="dxa"/>
          </w:tcPr>
          <w:p>
            <w:pPr>
              <w:pStyle w:val="TableParagraph"/>
              <w:spacing w:line="242" w:lineRule="auto" w:before="1"/>
              <w:ind w:left="107" w:right="91"/>
              <w:jc w:val="both"/>
              <w:rPr>
                <w:sz w:val="21"/>
              </w:rPr>
            </w:pPr>
            <w:r>
              <w:rPr>
                <w:spacing w:val="-16"/>
                <w:sz w:val="21"/>
              </w:rPr>
              <w:t>公司 </w:t>
            </w:r>
            <w:r>
              <w:rPr>
                <w:rFonts w:ascii="Times New Roman" w:eastAsia="Times New Roman"/>
                <w:spacing w:val="-1"/>
                <w:sz w:val="21"/>
              </w:rPr>
              <w:t>2019</w:t>
            </w:r>
            <w:r>
              <w:rPr>
                <w:rFonts w:ascii="Times New Roman" w:eastAsia="Times New Roman"/>
                <w:spacing w:val="-3"/>
                <w:sz w:val="21"/>
              </w:rPr>
              <w:t> </w:t>
            </w:r>
            <w:r>
              <w:rPr>
                <w:spacing w:val="-1"/>
                <w:sz w:val="21"/>
              </w:rPr>
              <w:t>年股票期权与限制性股票激励计</w:t>
            </w:r>
            <w:r>
              <w:rPr>
                <w:spacing w:val="2"/>
                <w:sz w:val="21"/>
              </w:rPr>
              <w:t>划部分限制性股票回购注销于</w:t>
            </w:r>
            <w:r>
              <w:rPr>
                <w:rFonts w:ascii="Times New Roman" w:eastAsia="Times New Roman"/>
                <w:sz w:val="21"/>
              </w:rPr>
              <w:t>2022</w:t>
            </w:r>
            <w:r>
              <w:rPr>
                <w:rFonts w:ascii="Times New Roman" w:eastAsia="Times New Roman"/>
                <w:spacing w:val="-31"/>
                <w:sz w:val="21"/>
              </w:rPr>
              <w:t> </w:t>
            </w:r>
            <w:r>
              <w:rPr>
                <w:spacing w:val="27"/>
                <w:sz w:val="21"/>
              </w:rPr>
              <w:t>年</w:t>
            </w:r>
            <w:r>
              <w:rPr>
                <w:rFonts w:ascii="Times New Roman" w:eastAsia="Times New Roman"/>
                <w:sz w:val="21"/>
              </w:rPr>
              <w:t>12</w:t>
            </w:r>
            <w:r>
              <w:rPr>
                <w:rFonts w:ascii="Times New Roman" w:eastAsia="Times New Roman"/>
                <w:spacing w:val="-29"/>
                <w:sz w:val="21"/>
              </w:rPr>
              <w:t> </w:t>
            </w:r>
            <w:r>
              <w:rPr>
                <w:sz w:val="21"/>
              </w:rPr>
              <w:t>月</w:t>
            </w:r>
            <w:r>
              <w:rPr>
                <w:rFonts w:ascii="Times New Roman" w:eastAsia="Times New Roman"/>
                <w:sz w:val="21"/>
              </w:rPr>
              <w:t>26</w:t>
            </w:r>
            <w:r>
              <w:rPr>
                <w:rFonts w:ascii="Times New Roman" w:eastAsia="Times New Roman"/>
                <w:spacing w:val="-11"/>
                <w:sz w:val="21"/>
              </w:rPr>
              <w:t> </w:t>
            </w:r>
            <w:r>
              <w:rPr>
                <w:sz w:val="21"/>
              </w:rPr>
              <w:t>日实施完成。</w:t>
            </w:r>
          </w:p>
        </w:tc>
        <w:tc>
          <w:tcPr>
            <w:tcW w:w="4640" w:type="dxa"/>
          </w:tcPr>
          <w:p>
            <w:pPr>
              <w:pStyle w:val="TableParagraph"/>
              <w:spacing w:line="242" w:lineRule="auto" w:before="1"/>
              <w:ind w:left="107" w:right="93"/>
              <w:jc w:val="both"/>
              <w:rPr>
                <w:sz w:val="21"/>
              </w:rPr>
            </w:pPr>
            <w:r>
              <w:rPr>
                <w:spacing w:val="-12"/>
                <w:sz w:val="21"/>
              </w:rPr>
              <w:t>详见公司于 </w:t>
            </w:r>
            <w:r>
              <w:rPr>
                <w:rFonts w:ascii="Times New Roman" w:eastAsia="Times New Roman"/>
                <w:sz w:val="21"/>
              </w:rPr>
              <w:t>2022</w:t>
            </w:r>
            <w:r>
              <w:rPr>
                <w:rFonts w:ascii="Times New Roman" w:eastAsia="Times New Roman"/>
                <w:spacing w:val="-19"/>
                <w:sz w:val="21"/>
              </w:rPr>
              <w:t> </w:t>
            </w:r>
            <w:r>
              <w:rPr>
                <w:spacing w:val="-33"/>
                <w:sz w:val="21"/>
              </w:rPr>
              <w:t>年 </w:t>
            </w:r>
            <w:r>
              <w:rPr>
                <w:rFonts w:ascii="Times New Roman" w:eastAsia="Times New Roman"/>
                <w:sz w:val="21"/>
              </w:rPr>
              <w:t>12</w:t>
            </w:r>
            <w:r>
              <w:rPr>
                <w:rFonts w:ascii="Times New Roman" w:eastAsia="Times New Roman"/>
                <w:spacing w:val="-19"/>
                <w:sz w:val="21"/>
              </w:rPr>
              <w:t> </w:t>
            </w:r>
            <w:r>
              <w:rPr>
                <w:spacing w:val="-33"/>
                <w:sz w:val="21"/>
              </w:rPr>
              <w:t>月 </w:t>
            </w:r>
            <w:r>
              <w:rPr>
                <w:rFonts w:ascii="Times New Roman" w:eastAsia="Times New Roman"/>
                <w:sz w:val="21"/>
              </w:rPr>
              <w:t>22</w:t>
            </w:r>
            <w:r>
              <w:rPr>
                <w:rFonts w:ascii="Times New Roman" w:eastAsia="Times New Roman"/>
                <w:spacing w:val="-19"/>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）及指定媒体披露的《富士康工业互联网股份有限公司关于股权激励限制性股票回购注销实施的公告》</w:t>
            </w:r>
            <w:r>
              <w:rPr>
                <w:spacing w:val="11"/>
                <w:sz w:val="21"/>
              </w:rPr>
              <w:t>（</w:t>
            </w:r>
            <w:r>
              <w:rPr>
                <w:spacing w:val="2"/>
                <w:sz w:val="21"/>
              </w:rPr>
              <w:t>公告编号：临</w:t>
            </w:r>
          </w:p>
          <w:p>
            <w:pPr>
              <w:pStyle w:val="TableParagraph"/>
              <w:spacing w:line="250" w:lineRule="exact" w:before="2"/>
              <w:ind w:left="107"/>
              <w:jc w:val="both"/>
              <w:rPr>
                <w:sz w:val="21"/>
              </w:rPr>
            </w:pPr>
            <w:r>
              <w:rPr>
                <w:rFonts w:ascii="Times New Roman" w:eastAsia="Times New Roman"/>
                <w:sz w:val="21"/>
              </w:rPr>
              <w:t>2022-095</w:t>
            </w:r>
            <w:r>
              <w:rPr>
                <w:rFonts w:ascii="Times New Roman" w:eastAsia="Times New Roman"/>
                <w:spacing w:val="-11"/>
                <w:sz w:val="21"/>
              </w:rPr>
              <w:t> </w:t>
            </w:r>
            <w:r>
              <w:rPr>
                <w:sz w:val="21"/>
              </w:rPr>
              <w:t>号）</w:t>
            </w:r>
          </w:p>
        </w:tc>
      </w:tr>
      <w:tr>
        <w:trPr>
          <w:trHeight w:val="1633" w:hRule="atLeast"/>
        </w:trPr>
        <w:tc>
          <w:tcPr>
            <w:tcW w:w="4107" w:type="dxa"/>
          </w:tcPr>
          <w:p>
            <w:pPr>
              <w:pStyle w:val="TableParagraph"/>
              <w:spacing w:line="242" w:lineRule="auto" w:before="1"/>
              <w:ind w:left="107" w:right="91"/>
              <w:jc w:val="both"/>
              <w:rPr>
                <w:sz w:val="21"/>
              </w:rPr>
            </w:pPr>
            <w:r>
              <w:rPr>
                <w:spacing w:val="-13"/>
                <w:sz w:val="21"/>
              </w:rPr>
              <w:t>公司于 </w:t>
            </w:r>
            <w:r>
              <w:rPr>
                <w:rFonts w:ascii="Times New Roman" w:eastAsia="Times New Roman"/>
                <w:spacing w:val="-1"/>
                <w:sz w:val="21"/>
              </w:rPr>
              <w:t>2022</w:t>
            </w:r>
            <w:r>
              <w:rPr>
                <w:rFonts w:ascii="Times New Roman" w:eastAsia="Times New Roman"/>
                <w:spacing w:val="-7"/>
                <w:sz w:val="21"/>
              </w:rPr>
              <w:t> </w:t>
            </w:r>
            <w:r>
              <w:rPr>
                <w:spacing w:val="-23"/>
                <w:sz w:val="21"/>
              </w:rPr>
              <w:t>年 </w:t>
            </w:r>
            <w:r>
              <w:rPr>
                <w:rFonts w:ascii="Times New Roman" w:eastAsia="Times New Roman"/>
                <w:spacing w:val="-1"/>
                <w:sz w:val="21"/>
              </w:rPr>
              <w:t>12</w:t>
            </w:r>
            <w:r>
              <w:rPr>
                <w:rFonts w:ascii="Times New Roman" w:eastAsia="Times New Roman"/>
                <w:spacing w:val="-7"/>
                <w:sz w:val="21"/>
              </w:rPr>
              <w:t> </w:t>
            </w:r>
            <w:r>
              <w:rPr>
                <w:spacing w:val="-22"/>
                <w:sz w:val="21"/>
              </w:rPr>
              <w:t>月 </w:t>
            </w:r>
            <w:r>
              <w:rPr>
                <w:rFonts w:ascii="Times New Roman" w:eastAsia="Times New Roman"/>
                <w:sz w:val="21"/>
              </w:rPr>
              <w:t>31</w:t>
            </w:r>
            <w:r>
              <w:rPr>
                <w:rFonts w:ascii="Times New Roman" w:eastAsia="Times New Roman"/>
                <w:spacing w:val="-5"/>
                <w:sz w:val="21"/>
              </w:rPr>
              <w:t> </w:t>
            </w:r>
            <w:r>
              <w:rPr>
                <w:sz w:val="21"/>
              </w:rPr>
              <w:t>日召开第二届董事</w:t>
            </w:r>
            <w:r>
              <w:rPr>
                <w:spacing w:val="6"/>
                <w:sz w:val="21"/>
              </w:rPr>
              <w:t>会第二十九次会议， 审议通过了《关于</w:t>
            </w:r>
            <w:r>
              <w:rPr>
                <w:rFonts w:ascii="Times New Roman" w:eastAsia="Times New Roman"/>
                <w:sz w:val="21"/>
              </w:rPr>
              <w:t>2019</w:t>
            </w:r>
            <w:r>
              <w:rPr>
                <w:rFonts w:ascii="Times New Roman" w:eastAsia="Times New Roman"/>
                <w:spacing w:val="42"/>
                <w:sz w:val="21"/>
              </w:rPr>
              <w:t> </w:t>
            </w:r>
            <w:r>
              <w:rPr>
                <w:sz w:val="21"/>
              </w:rPr>
              <w:t>年股票期权与限制性股票激励计划剩余预留授予股票期权第三个行权期行权条件、剩余预留授予限制性股票第三个解除</w:t>
            </w:r>
          </w:p>
          <w:p>
            <w:pPr>
              <w:pStyle w:val="TableParagraph"/>
              <w:spacing w:line="250" w:lineRule="exact" w:before="4"/>
              <w:ind w:left="107"/>
              <w:rPr>
                <w:sz w:val="21"/>
              </w:rPr>
            </w:pPr>
            <w:r>
              <w:rPr>
                <w:sz w:val="21"/>
              </w:rPr>
              <w:t>限售期解除限售条件成就的议案》。</w:t>
            </w:r>
          </w:p>
        </w:tc>
        <w:tc>
          <w:tcPr>
            <w:tcW w:w="4640" w:type="dxa"/>
          </w:tcPr>
          <w:p>
            <w:pPr>
              <w:pStyle w:val="TableParagraph"/>
              <w:spacing w:line="242" w:lineRule="auto" w:before="1"/>
              <w:ind w:left="107" w:right="93"/>
              <w:jc w:val="both"/>
              <w:rPr>
                <w:sz w:val="21"/>
              </w:rPr>
            </w:pPr>
            <w:r>
              <w:rPr>
                <w:spacing w:val="-11"/>
                <w:sz w:val="21"/>
              </w:rPr>
              <w:t>详见公司于 </w:t>
            </w:r>
            <w:r>
              <w:rPr>
                <w:rFonts w:ascii="Times New Roman" w:eastAsia="Times New Roman"/>
                <w:sz w:val="21"/>
              </w:rPr>
              <w:t>2023</w:t>
            </w:r>
            <w:r>
              <w:rPr>
                <w:rFonts w:ascii="Times New Roman" w:eastAsia="Times New Roman"/>
                <w:spacing w:val="-19"/>
                <w:sz w:val="21"/>
              </w:rPr>
              <w:t> </w:t>
            </w:r>
            <w:r>
              <w:rPr>
                <w:spacing w:val="-33"/>
                <w:sz w:val="21"/>
              </w:rPr>
              <w:t>年 </w:t>
            </w:r>
            <w:r>
              <w:rPr>
                <w:rFonts w:ascii="Times New Roman" w:eastAsia="Times New Roman"/>
                <w:sz w:val="21"/>
              </w:rPr>
              <w:t>1</w:t>
            </w:r>
            <w:r>
              <w:rPr>
                <w:rFonts w:ascii="Times New Roman" w:eastAsia="Times New Roman"/>
                <w:spacing w:val="-18"/>
                <w:sz w:val="21"/>
              </w:rPr>
              <w:t> </w:t>
            </w:r>
            <w:r>
              <w:rPr>
                <w:spacing w:val="-32"/>
                <w:sz w:val="21"/>
              </w:rPr>
              <w:t>月 </w:t>
            </w:r>
            <w:r>
              <w:rPr>
                <w:rFonts w:ascii="Times New Roman" w:eastAsia="Times New Roman"/>
                <w:sz w:val="21"/>
              </w:rPr>
              <w:t>4</w:t>
            </w:r>
            <w:r>
              <w:rPr>
                <w:rFonts w:ascii="Times New Roman" w:eastAsia="Times New Roman"/>
                <w:spacing w:val="-21"/>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2019</w:t>
            </w:r>
            <w:r>
              <w:rPr>
                <w:rFonts w:ascii="Times New Roman" w:eastAsia="Times New Roman"/>
                <w:spacing w:val="37"/>
                <w:sz w:val="21"/>
              </w:rPr>
              <w:t> </w:t>
            </w:r>
            <w:r>
              <w:rPr>
                <w:sz w:val="21"/>
              </w:rPr>
              <w:t>年股票期权与限制性股票激励计划剩余预留授予第三个行权期行权条件及解除限售条件成就的公告》（公</w:t>
            </w:r>
          </w:p>
          <w:p>
            <w:pPr>
              <w:pStyle w:val="TableParagraph"/>
              <w:spacing w:line="250" w:lineRule="exact" w:before="4"/>
              <w:ind w:left="107"/>
              <w:jc w:val="both"/>
              <w:rPr>
                <w:sz w:val="21"/>
              </w:rPr>
            </w:pPr>
            <w:r>
              <w:rPr>
                <w:spacing w:val="-9"/>
                <w:sz w:val="21"/>
              </w:rPr>
              <w:t>告编号：临 </w:t>
            </w:r>
            <w:r>
              <w:rPr>
                <w:rFonts w:ascii="Times New Roman" w:eastAsia="Times New Roman"/>
                <w:spacing w:val="-1"/>
                <w:sz w:val="21"/>
              </w:rPr>
              <w:t>2022-003</w:t>
            </w:r>
            <w:r>
              <w:rPr>
                <w:rFonts w:ascii="Times New Roman" w:eastAsia="Times New Roman"/>
                <w:spacing w:val="-8"/>
                <w:sz w:val="21"/>
              </w:rPr>
              <w:t> </w:t>
            </w:r>
            <w:r>
              <w:rPr>
                <w:sz w:val="21"/>
              </w:rPr>
              <w:t>号）</w:t>
            </w:r>
          </w:p>
        </w:tc>
      </w:tr>
      <w:tr>
        <w:trPr>
          <w:trHeight w:val="1634" w:hRule="atLeast"/>
        </w:trPr>
        <w:tc>
          <w:tcPr>
            <w:tcW w:w="4107" w:type="dxa"/>
          </w:tcPr>
          <w:p>
            <w:pPr>
              <w:pStyle w:val="TableParagraph"/>
              <w:spacing w:line="242" w:lineRule="auto" w:before="1"/>
              <w:ind w:left="107" w:right="91"/>
              <w:jc w:val="both"/>
              <w:rPr>
                <w:sz w:val="21"/>
              </w:rPr>
            </w:pPr>
            <w:r>
              <w:rPr>
                <w:spacing w:val="-13"/>
                <w:sz w:val="21"/>
              </w:rPr>
              <w:t>公司于 </w:t>
            </w:r>
            <w:r>
              <w:rPr>
                <w:rFonts w:ascii="Times New Roman" w:eastAsia="Times New Roman"/>
                <w:spacing w:val="-1"/>
                <w:sz w:val="21"/>
              </w:rPr>
              <w:t>2021</w:t>
            </w:r>
            <w:r>
              <w:rPr>
                <w:rFonts w:ascii="Times New Roman" w:eastAsia="Times New Roman"/>
                <w:spacing w:val="-7"/>
                <w:sz w:val="21"/>
              </w:rPr>
              <w:t> </w:t>
            </w:r>
            <w:r>
              <w:rPr>
                <w:spacing w:val="-23"/>
                <w:sz w:val="21"/>
              </w:rPr>
              <w:t>年 </w:t>
            </w:r>
            <w:r>
              <w:rPr>
                <w:rFonts w:ascii="Times New Roman" w:eastAsia="Times New Roman"/>
                <w:spacing w:val="-1"/>
                <w:sz w:val="21"/>
              </w:rPr>
              <w:t>12</w:t>
            </w:r>
            <w:r>
              <w:rPr>
                <w:rFonts w:ascii="Times New Roman" w:eastAsia="Times New Roman"/>
                <w:spacing w:val="-7"/>
                <w:sz w:val="21"/>
              </w:rPr>
              <w:t> </w:t>
            </w:r>
            <w:r>
              <w:rPr>
                <w:spacing w:val="-22"/>
                <w:sz w:val="21"/>
              </w:rPr>
              <w:t>月 </w:t>
            </w:r>
            <w:r>
              <w:rPr>
                <w:rFonts w:ascii="Times New Roman" w:eastAsia="Times New Roman"/>
                <w:sz w:val="21"/>
              </w:rPr>
              <w:t>31</w:t>
            </w:r>
            <w:r>
              <w:rPr>
                <w:rFonts w:ascii="Times New Roman" w:eastAsia="Times New Roman"/>
                <w:spacing w:val="-5"/>
                <w:sz w:val="21"/>
              </w:rPr>
              <w:t> </w:t>
            </w:r>
            <w:r>
              <w:rPr>
                <w:sz w:val="21"/>
              </w:rPr>
              <w:t>日召开第二届董事会第二十九次会议，审议通过了《关于公</w:t>
            </w:r>
            <w:r>
              <w:rPr>
                <w:spacing w:val="-22"/>
                <w:sz w:val="21"/>
              </w:rPr>
              <w:t>司 </w:t>
            </w:r>
            <w:r>
              <w:rPr>
                <w:rFonts w:ascii="Times New Roman" w:eastAsia="Times New Roman"/>
                <w:spacing w:val="-1"/>
                <w:sz w:val="21"/>
              </w:rPr>
              <w:t>2019</w:t>
            </w:r>
            <w:r>
              <w:rPr>
                <w:rFonts w:ascii="Times New Roman" w:eastAsia="Times New Roman"/>
                <w:spacing w:val="-5"/>
                <w:sz w:val="21"/>
              </w:rPr>
              <w:t> </w:t>
            </w:r>
            <w:r>
              <w:rPr>
                <w:spacing w:val="-1"/>
                <w:sz w:val="21"/>
              </w:rPr>
              <w:t>年股票期权与限制性股票激励计划</w:t>
            </w:r>
            <w:r>
              <w:rPr>
                <w:sz w:val="21"/>
              </w:rPr>
              <w:t>注销部分股票期权和回购注销部分限制性股票的议案》。</w:t>
            </w:r>
          </w:p>
        </w:tc>
        <w:tc>
          <w:tcPr>
            <w:tcW w:w="4640" w:type="dxa"/>
          </w:tcPr>
          <w:p>
            <w:pPr>
              <w:pStyle w:val="TableParagraph"/>
              <w:spacing w:line="242" w:lineRule="auto" w:before="1"/>
              <w:ind w:left="107" w:right="93"/>
              <w:jc w:val="both"/>
              <w:rPr>
                <w:sz w:val="21"/>
              </w:rPr>
            </w:pPr>
            <w:r>
              <w:rPr>
                <w:spacing w:val="-11"/>
                <w:sz w:val="21"/>
              </w:rPr>
              <w:t>详见公司于 </w:t>
            </w:r>
            <w:r>
              <w:rPr>
                <w:rFonts w:ascii="Times New Roman" w:eastAsia="Times New Roman"/>
                <w:sz w:val="21"/>
              </w:rPr>
              <w:t>2023</w:t>
            </w:r>
            <w:r>
              <w:rPr>
                <w:rFonts w:ascii="Times New Roman" w:eastAsia="Times New Roman"/>
                <w:spacing w:val="-19"/>
                <w:sz w:val="21"/>
              </w:rPr>
              <w:t> </w:t>
            </w:r>
            <w:r>
              <w:rPr>
                <w:spacing w:val="-33"/>
                <w:sz w:val="21"/>
              </w:rPr>
              <w:t>年 </w:t>
            </w:r>
            <w:r>
              <w:rPr>
                <w:rFonts w:ascii="Times New Roman" w:eastAsia="Times New Roman"/>
                <w:sz w:val="21"/>
              </w:rPr>
              <w:t>1</w:t>
            </w:r>
            <w:r>
              <w:rPr>
                <w:rFonts w:ascii="Times New Roman" w:eastAsia="Times New Roman"/>
                <w:spacing w:val="-18"/>
                <w:sz w:val="21"/>
              </w:rPr>
              <w:t> </w:t>
            </w:r>
            <w:r>
              <w:rPr>
                <w:spacing w:val="-32"/>
                <w:sz w:val="21"/>
              </w:rPr>
              <w:t>月 </w:t>
            </w:r>
            <w:r>
              <w:rPr>
                <w:rFonts w:ascii="Times New Roman" w:eastAsia="Times New Roman"/>
                <w:sz w:val="21"/>
              </w:rPr>
              <w:t>4</w:t>
            </w:r>
            <w:r>
              <w:rPr>
                <w:rFonts w:ascii="Times New Roman" w:eastAsia="Times New Roman"/>
                <w:spacing w:val="-21"/>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2019</w:t>
            </w:r>
            <w:r>
              <w:rPr>
                <w:rFonts w:ascii="Times New Roman" w:eastAsia="Times New Roman"/>
                <w:spacing w:val="37"/>
                <w:sz w:val="21"/>
              </w:rPr>
              <w:t> </w:t>
            </w:r>
            <w:r>
              <w:rPr>
                <w:sz w:val="21"/>
              </w:rPr>
              <w:t>年股票期权与限制性股票激励计划注销部分股票期权和回购注销部分限制性股票的公告》（公告编号：临</w:t>
            </w:r>
          </w:p>
          <w:p>
            <w:pPr>
              <w:pStyle w:val="TableParagraph"/>
              <w:spacing w:line="250" w:lineRule="exact" w:before="5"/>
              <w:ind w:left="107"/>
              <w:jc w:val="both"/>
              <w:rPr>
                <w:sz w:val="21"/>
              </w:rPr>
            </w:pPr>
            <w:r>
              <w:rPr>
                <w:rFonts w:ascii="Times New Roman" w:eastAsia="Times New Roman"/>
                <w:sz w:val="21"/>
              </w:rPr>
              <w:t>2023-004</w:t>
            </w:r>
            <w:r>
              <w:rPr>
                <w:rFonts w:ascii="Times New Roman" w:eastAsia="Times New Roman"/>
                <w:spacing w:val="-11"/>
                <w:sz w:val="21"/>
              </w:rPr>
              <w:t> </w:t>
            </w:r>
            <w:r>
              <w:rPr>
                <w:sz w:val="21"/>
              </w:rPr>
              <w:t>号）</w:t>
            </w:r>
          </w:p>
        </w:tc>
      </w:tr>
      <w:tr>
        <w:trPr>
          <w:trHeight w:val="1362" w:hRule="atLeast"/>
        </w:trPr>
        <w:tc>
          <w:tcPr>
            <w:tcW w:w="4107" w:type="dxa"/>
          </w:tcPr>
          <w:p>
            <w:pPr>
              <w:pStyle w:val="TableParagraph"/>
              <w:spacing w:line="244" w:lineRule="auto" w:before="1"/>
              <w:ind w:left="107" w:right="91"/>
              <w:rPr>
                <w:sz w:val="21"/>
              </w:rPr>
            </w:pPr>
            <w:r>
              <w:rPr>
                <w:spacing w:val="-13"/>
                <w:sz w:val="21"/>
              </w:rPr>
              <w:t>公司于 </w:t>
            </w:r>
            <w:r>
              <w:rPr>
                <w:rFonts w:ascii="Times New Roman" w:eastAsia="Times New Roman"/>
                <w:spacing w:val="-1"/>
                <w:sz w:val="21"/>
              </w:rPr>
              <w:t>2023</w:t>
            </w:r>
            <w:r>
              <w:rPr>
                <w:rFonts w:ascii="Times New Roman" w:eastAsia="Times New Roman"/>
                <w:spacing w:val="-7"/>
                <w:sz w:val="21"/>
              </w:rPr>
              <w:t> </w:t>
            </w:r>
            <w:r>
              <w:rPr>
                <w:spacing w:val="-23"/>
                <w:sz w:val="21"/>
              </w:rPr>
              <w:t>年 </w:t>
            </w:r>
            <w:r>
              <w:rPr>
                <w:rFonts w:ascii="Times New Roman" w:eastAsia="Times New Roman"/>
                <w:sz w:val="21"/>
              </w:rPr>
              <w:t>1</w:t>
            </w:r>
            <w:r>
              <w:rPr>
                <w:rFonts w:ascii="Times New Roman" w:eastAsia="Times New Roman"/>
                <w:spacing w:val="-7"/>
                <w:sz w:val="21"/>
              </w:rPr>
              <w:t> </w:t>
            </w:r>
            <w:r>
              <w:rPr>
                <w:spacing w:val="-23"/>
                <w:sz w:val="21"/>
              </w:rPr>
              <w:t>月 </w:t>
            </w:r>
            <w:r>
              <w:rPr>
                <w:rFonts w:ascii="Times New Roman" w:eastAsia="Times New Roman"/>
                <w:sz w:val="21"/>
              </w:rPr>
              <w:t>4</w:t>
            </w:r>
            <w:r>
              <w:rPr>
                <w:rFonts w:ascii="Times New Roman" w:eastAsia="Times New Roman"/>
                <w:spacing w:val="-7"/>
                <w:sz w:val="21"/>
              </w:rPr>
              <w:t> </w:t>
            </w:r>
            <w:r>
              <w:rPr>
                <w:sz w:val="21"/>
              </w:rPr>
              <w:t>日就回购注销部分限制性股票事宜发出通知债权人的公告。</w:t>
            </w:r>
          </w:p>
        </w:tc>
        <w:tc>
          <w:tcPr>
            <w:tcW w:w="4640" w:type="dxa"/>
          </w:tcPr>
          <w:p>
            <w:pPr>
              <w:pStyle w:val="TableParagraph"/>
              <w:spacing w:line="242" w:lineRule="auto" w:before="1"/>
              <w:ind w:left="107" w:right="93"/>
              <w:jc w:val="both"/>
              <w:rPr>
                <w:sz w:val="21"/>
              </w:rPr>
            </w:pPr>
            <w:r>
              <w:rPr>
                <w:spacing w:val="-11"/>
                <w:sz w:val="21"/>
              </w:rPr>
              <w:t>详见公司于 </w:t>
            </w:r>
            <w:r>
              <w:rPr>
                <w:rFonts w:ascii="Times New Roman" w:eastAsia="Times New Roman"/>
                <w:sz w:val="21"/>
              </w:rPr>
              <w:t>2023</w:t>
            </w:r>
            <w:r>
              <w:rPr>
                <w:rFonts w:ascii="Times New Roman" w:eastAsia="Times New Roman"/>
                <w:spacing w:val="-19"/>
                <w:sz w:val="21"/>
              </w:rPr>
              <w:t> </w:t>
            </w:r>
            <w:r>
              <w:rPr>
                <w:spacing w:val="-33"/>
                <w:sz w:val="21"/>
              </w:rPr>
              <w:t>年 </w:t>
            </w:r>
            <w:r>
              <w:rPr>
                <w:rFonts w:ascii="Times New Roman" w:eastAsia="Times New Roman"/>
                <w:sz w:val="21"/>
              </w:rPr>
              <w:t>1</w:t>
            </w:r>
            <w:r>
              <w:rPr>
                <w:rFonts w:ascii="Times New Roman" w:eastAsia="Times New Roman"/>
                <w:spacing w:val="-18"/>
                <w:sz w:val="21"/>
              </w:rPr>
              <w:t> </w:t>
            </w:r>
            <w:r>
              <w:rPr>
                <w:spacing w:val="-32"/>
                <w:sz w:val="21"/>
              </w:rPr>
              <w:t>月 </w:t>
            </w:r>
            <w:r>
              <w:rPr>
                <w:rFonts w:ascii="Times New Roman" w:eastAsia="Times New Roman"/>
                <w:sz w:val="21"/>
              </w:rPr>
              <w:t>4</w:t>
            </w:r>
            <w:r>
              <w:rPr>
                <w:rFonts w:ascii="Times New Roman" w:eastAsia="Times New Roman"/>
                <w:spacing w:val="-21"/>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）及指定媒体披露的《富士康工业互联网股份有限公司关于回购注销部分限制性股票通知债权人的公告》</w:t>
            </w:r>
            <w:r>
              <w:rPr>
                <w:spacing w:val="11"/>
                <w:sz w:val="21"/>
              </w:rPr>
              <w:t>（</w:t>
            </w:r>
            <w:r>
              <w:rPr>
                <w:spacing w:val="2"/>
                <w:sz w:val="21"/>
              </w:rPr>
              <w:t>公告编号：临</w:t>
            </w:r>
          </w:p>
          <w:p>
            <w:pPr>
              <w:pStyle w:val="TableParagraph"/>
              <w:spacing w:line="252" w:lineRule="exact" w:before="2"/>
              <w:ind w:left="107"/>
              <w:jc w:val="both"/>
              <w:rPr>
                <w:sz w:val="21"/>
              </w:rPr>
            </w:pPr>
            <w:r>
              <w:rPr>
                <w:rFonts w:ascii="Times New Roman" w:eastAsia="Times New Roman"/>
                <w:sz w:val="21"/>
              </w:rPr>
              <w:t>2023-005</w:t>
            </w:r>
            <w:r>
              <w:rPr>
                <w:rFonts w:ascii="Times New Roman" w:eastAsia="Times New Roman"/>
                <w:spacing w:val="-11"/>
                <w:sz w:val="21"/>
              </w:rPr>
              <w:t> </w:t>
            </w:r>
            <w:r>
              <w:rPr>
                <w:sz w:val="21"/>
              </w:rPr>
              <w:t>号）</w:t>
            </w:r>
          </w:p>
        </w:tc>
      </w:tr>
      <w:tr>
        <w:trPr>
          <w:trHeight w:val="1634" w:hRule="atLeast"/>
        </w:trPr>
        <w:tc>
          <w:tcPr>
            <w:tcW w:w="4107" w:type="dxa"/>
          </w:tcPr>
          <w:p>
            <w:pPr>
              <w:pStyle w:val="TableParagraph"/>
              <w:spacing w:before="1"/>
              <w:ind w:left="107"/>
              <w:rPr>
                <w:sz w:val="21"/>
              </w:rPr>
            </w:pPr>
            <w:r>
              <w:rPr>
                <w:spacing w:val="-16"/>
                <w:sz w:val="21"/>
              </w:rPr>
              <w:t>公司 </w:t>
            </w:r>
            <w:r>
              <w:rPr>
                <w:rFonts w:ascii="Times New Roman" w:eastAsia="Times New Roman"/>
                <w:sz w:val="21"/>
              </w:rPr>
              <w:t>2019</w:t>
            </w:r>
            <w:r>
              <w:rPr>
                <w:rFonts w:ascii="Times New Roman" w:eastAsia="Times New Roman"/>
                <w:spacing w:val="-3"/>
                <w:sz w:val="21"/>
              </w:rPr>
              <w:t> </w:t>
            </w:r>
            <w:r>
              <w:rPr>
                <w:sz w:val="21"/>
              </w:rPr>
              <w:t>年股票期权与限制性股票激励计</w:t>
            </w:r>
          </w:p>
          <w:p>
            <w:pPr>
              <w:pStyle w:val="TableParagraph"/>
              <w:spacing w:before="2"/>
              <w:ind w:left="107"/>
              <w:rPr>
                <w:rFonts w:ascii="Times New Roman" w:eastAsia="Times New Roman"/>
                <w:sz w:val="21"/>
              </w:rPr>
            </w:pPr>
            <w:r>
              <w:rPr>
                <w:spacing w:val="-5"/>
                <w:sz w:val="21"/>
              </w:rPr>
              <w:t>划股票期权在 </w:t>
            </w:r>
            <w:r>
              <w:rPr>
                <w:rFonts w:ascii="Times New Roman" w:eastAsia="Times New Roman"/>
                <w:sz w:val="21"/>
              </w:rPr>
              <w:t>2022</w:t>
            </w:r>
            <w:r>
              <w:rPr>
                <w:rFonts w:ascii="Times New Roman" w:eastAsia="Times New Roman"/>
                <w:spacing w:val="7"/>
                <w:sz w:val="21"/>
              </w:rPr>
              <w:t> </w:t>
            </w:r>
            <w:r>
              <w:rPr>
                <w:spacing w:val="-3"/>
                <w:sz w:val="21"/>
              </w:rPr>
              <w:t>年第四季度自主行权 </w:t>
            </w:r>
            <w:r>
              <w:rPr>
                <w:rFonts w:ascii="Times New Roman" w:eastAsia="Times New Roman"/>
                <w:sz w:val="21"/>
              </w:rPr>
              <w:t>1</w:t>
            </w:r>
          </w:p>
          <w:p>
            <w:pPr>
              <w:pStyle w:val="TableParagraph"/>
              <w:spacing w:before="4"/>
              <w:ind w:left="107"/>
              <w:rPr>
                <w:sz w:val="21"/>
              </w:rPr>
            </w:pPr>
            <w:r>
              <w:rPr>
                <w:sz w:val="21"/>
              </w:rPr>
              <w:t>股。</w:t>
            </w:r>
          </w:p>
        </w:tc>
        <w:tc>
          <w:tcPr>
            <w:tcW w:w="4640" w:type="dxa"/>
          </w:tcPr>
          <w:p>
            <w:pPr>
              <w:pStyle w:val="TableParagraph"/>
              <w:spacing w:line="242" w:lineRule="auto" w:before="1"/>
              <w:ind w:left="107" w:right="93"/>
              <w:jc w:val="both"/>
              <w:rPr>
                <w:sz w:val="21"/>
              </w:rPr>
            </w:pPr>
            <w:r>
              <w:rPr>
                <w:spacing w:val="-11"/>
                <w:sz w:val="21"/>
              </w:rPr>
              <w:t>详见公司于 </w:t>
            </w:r>
            <w:r>
              <w:rPr>
                <w:rFonts w:ascii="Times New Roman" w:eastAsia="Times New Roman"/>
                <w:sz w:val="21"/>
              </w:rPr>
              <w:t>2023</w:t>
            </w:r>
            <w:r>
              <w:rPr>
                <w:rFonts w:ascii="Times New Roman" w:eastAsia="Times New Roman"/>
                <w:spacing w:val="-19"/>
                <w:sz w:val="21"/>
              </w:rPr>
              <w:t> </w:t>
            </w:r>
            <w:r>
              <w:rPr>
                <w:spacing w:val="-33"/>
                <w:sz w:val="21"/>
              </w:rPr>
              <w:t>年 </w:t>
            </w:r>
            <w:r>
              <w:rPr>
                <w:rFonts w:ascii="Times New Roman" w:eastAsia="Times New Roman"/>
                <w:sz w:val="21"/>
              </w:rPr>
              <w:t>1</w:t>
            </w:r>
            <w:r>
              <w:rPr>
                <w:rFonts w:ascii="Times New Roman" w:eastAsia="Times New Roman"/>
                <w:spacing w:val="-18"/>
                <w:sz w:val="21"/>
              </w:rPr>
              <w:t> </w:t>
            </w:r>
            <w:r>
              <w:rPr>
                <w:spacing w:val="-32"/>
                <w:sz w:val="21"/>
              </w:rPr>
              <w:t>月 </w:t>
            </w:r>
            <w:r>
              <w:rPr>
                <w:rFonts w:ascii="Times New Roman" w:eastAsia="Times New Roman"/>
                <w:sz w:val="21"/>
              </w:rPr>
              <w:t>5</w:t>
            </w:r>
            <w:r>
              <w:rPr>
                <w:rFonts w:ascii="Times New Roman" w:eastAsia="Times New Roman"/>
                <w:spacing w:val="-21"/>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2019</w:t>
            </w:r>
            <w:r>
              <w:rPr>
                <w:rFonts w:ascii="Times New Roman" w:eastAsia="Times New Roman"/>
                <w:spacing w:val="38"/>
                <w:sz w:val="21"/>
              </w:rPr>
              <w:t> </w:t>
            </w:r>
            <w:r>
              <w:rPr>
                <w:sz w:val="21"/>
              </w:rPr>
              <w:t>年股票期</w:t>
            </w:r>
          </w:p>
          <w:p>
            <w:pPr>
              <w:pStyle w:val="TableParagraph"/>
              <w:spacing w:line="244" w:lineRule="auto" w:before="1"/>
              <w:ind w:left="107" w:right="94"/>
              <w:jc w:val="both"/>
              <w:rPr>
                <w:sz w:val="21"/>
              </w:rPr>
            </w:pPr>
            <w:r>
              <w:rPr>
                <w:sz w:val="21"/>
              </w:rPr>
              <w:t>权与限制性股票激励计划 </w:t>
            </w:r>
            <w:r>
              <w:rPr>
                <w:rFonts w:ascii="Times New Roman" w:eastAsia="Times New Roman"/>
                <w:sz w:val="21"/>
              </w:rPr>
              <w:t>2022</w:t>
            </w:r>
            <w:r>
              <w:rPr>
                <w:rFonts w:ascii="Times New Roman" w:eastAsia="Times New Roman"/>
                <w:spacing w:val="39"/>
                <w:sz w:val="21"/>
              </w:rPr>
              <w:t> </w:t>
            </w:r>
            <w:r>
              <w:rPr>
                <w:sz w:val="21"/>
              </w:rPr>
              <w:t>年第四季度自主行权结果暨股份变动的公告》</w:t>
            </w:r>
            <w:r>
              <w:rPr>
                <w:spacing w:val="11"/>
                <w:sz w:val="21"/>
              </w:rPr>
              <w:t>（</w:t>
            </w:r>
            <w:r>
              <w:rPr>
                <w:spacing w:val="2"/>
                <w:sz w:val="21"/>
              </w:rPr>
              <w:t>公告编号：临</w:t>
            </w:r>
          </w:p>
          <w:p>
            <w:pPr>
              <w:pStyle w:val="TableParagraph"/>
              <w:spacing w:line="248" w:lineRule="exact"/>
              <w:ind w:left="107"/>
              <w:jc w:val="both"/>
              <w:rPr>
                <w:sz w:val="21"/>
              </w:rPr>
            </w:pPr>
            <w:r>
              <w:rPr>
                <w:rFonts w:ascii="Times New Roman" w:eastAsia="Times New Roman"/>
                <w:sz w:val="21"/>
              </w:rPr>
              <w:t>2023-006</w:t>
            </w:r>
            <w:r>
              <w:rPr>
                <w:rFonts w:ascii="Times New Roman" w:eastAsia="Times New Roman"/>
                <w:spacing w:val="-11"/>
                <w:sz w:val="21"/>
              </w:rPr>
              <w:t> </w:t>
            </w:r>
            <w:r>
              <w:rPr>
                <w:sz w:val="21"/>
              </w:rPr>
              <w:t>号）</w:t>
            </w:r>
          </w:p>
        </w:tc>
      </w:tr>
      <w:tr>
        <w:trPr>
          <w:trHeight w:val="270" w:hRule="atLeast"/>
        </w:trPr>
        <w:tc>
          <w:tcPr>
            <w:tcW w:w="4107" w:type="dxa"/>
          </w:tcPr>
          <w:p>
            <w:pPr>
              <w:pStyle w:val="TableParagraph"/>
              <w:spacing w:line="250" w:lineRule="exact" w:before="1"/>
              <w:ind w:left="1082"/>
              <w:rPr>
                <w:sz w:val="21"/>
              </w:rPr>
            </w:pPr>
            <w:r>
              <w:rPr>
                <w:rFonts w:ascii="Times New Roman" w:eastAsia="Times New Roman"/>
                <w:b/>
                <w:sz w:val="21"/>
              </w:rPr>
              <w:t>2022</w:t>
            </w:r>
            <w:r>
              <w:rPr>
                <w:rFonts w:ascii="Times New Roman" w:eastAsia="Times New Roman"/>
                <w:b/>
                <w:spacing w:val="-6"/>
                <w:sz w:val="21"/>
              </w:rPr>
              <w:t> </w:t>
            </w:r>
            <w:r>
              <w:rPr>
                <w:sz w:val="21"/>
              </w:rPr>
              <w:t>年员工持股计划</w:t>
            </w:r>
          </w:p>
        </w:tc>
        <w:tc>
          <w:tcPr>
            <w:tcW w:w="4640" w:type="dxa"/>
          </w:tcPr>
          <w:p>
            <w:pPr>
              <w:pStyle w:val="TableParagraph"/>
              <w:spacing w:line="250" w:lineRule="exact" w:before="1"/>
              <w:ind w:left="1348"/>
              <w:rPr>
                <w:sz w:val="21"/>
              </w:rPr>
            </w:pPr>
            <w:r>
              <w:rPr>
                <w:rFonts w:ascii="Times New Roman" w:eastAsia="Times New Roman"/>
                <w:b/>
                <w:sz w:val="21"/>
              </w:rPr>
              <w:t>2022</w:t>
            </w:r>
            <w:r>
              <w:rPr>
                <w:rFonts w:ascii="Times New Roman" w:eastAsia="Times New Roman"/>
                <w:b/>
                <w:spacing w:val="-6"/>
                <w:sz w:val="21"/>
              </w:rPr>
              <w:t> </w:t>
            </w:r>
            <w:r>
              <w:rPr>
                <w:sz w:val="21"/>
              </w:rPr>
              <w:t>年员工持股计划</w:t>
            </w:r>
          </w:p>
        </w:tc>
      </w:tr>
      <w:tr>
        <w:trPr>
          <w:trHeight w:val="1362" w:hRule="atLeast"/>
        </w:trPr>
        <w:tc>
          <w:tcPr>
            <w:tcW w:w="4107" w:type="dxa"/>
          </w:tcPr>
          <w:p>
            <w:pPr>
              <w:pStyle w:val="TableParagraph"/>
              <w:spacing w:line="242" w:lineRule="auto" w:before="3"/>
              <w:ind w:left="107" w:right="91"/>
              <w:jc w:val="both"/>
              <w:rPr>
                <w:sz w:val="21"/>
              </w:rPr>
            </w:pPr>
            <w:r>
              <w:rPr>
                <w:rFonts w:ascii="Times New Roman" w:eastAsia="Times New Roman"/>
                <w:sz w:val="21"/>
              </w:rPr>
              <w:t>2022</w:t>
            </w:r>
            <w:r>
              <w:rPr>
                <w:rFonts w:ascii="Times New Roman" w:eastAsia="Times New Roman"/>
                <w:spacing w:val="23"/>
                <w:sz w:val="21"/>
              </w:rPr>
              <w:t> </w:t>
            </w:r>
            <w:r>
              <w:rPr>
                <w:spacing w:val="-5"/>
                <w:sz w:val="21"/>
              </w:rPr>
              <w:t>年 </w:t>
            </w:r>
            <w:r>
              <w:rPr>
                <w:rFonts w:ascii="Times New Roman" w:eastAsia="Times New Roman"/>
                <w:sz w:val="21"/>
              </w:rPr>
              <w:t>5</w:t>
            </w:r>
            <w:r>
              <w:rPr>
                <w:rFonts w:ascii="Times New Roman" w:eastAsia="Times New Roman"/>
                <w:spacing w:val="23"/>
                <w:sz w:val="21"/>
              </w:rPr>
              <w:t> </w:t>
            </w:r>
            <w:r>
              <w:rPr>
                <w:spacing w:val="-5"/>
                <w:sz w:val="21"/>
              </w:rPr>
              <w:t>月 </w:t>
            </w:r>
            <w:r>
              <w:rPr>
                <w:rFonts w:ascii="Times New Roman" w:eastAsia="Times New Roman"/>
                <w:sz w:val="21"/>
              </w:rPr>
              <w:t>30</w:t>
            </w:r>
            <w:r>
              <w:rPr>
                <w:rFonts w:ascii="Times New Roman" w:eastAsia="Times New Roman"/>
                <w:spacing w:val="20"/>
                <w:sz w:val="21"/>
              </w:rPr>
              <w:t> </w:t>
            </w:r>
            <w:r>
              <w:rPr>
                <w:sz w:val="21"/>
              </w:rPr>
              <w:t>日，公司召开职工代表大</w:t>
            </w:r>
            <w:r>
              <w:rPr>
                <w:spacing w:val="4"/>
                <w:sz w:val="21"/>
              </w:rPr>
              <w:t>会，审议通过了《关于</w:t>
            </w:r>
            <w:r>
              <w:rPr>
                <w:rFonts w:ascii="Times New Roman" w:eastAsia="Times New Roman"/>
                <w:spacing w:val="10"/>
                <w:sz w:val="21"/>
              </w:rPr>
              <w:t>&lt;</w:t>
            </w:r>
            <w:r>
              <w:rPr>
                <w:spacing w:val="4"/>
                <w:sz w:val="21"/>
              </w:rPr>
              <w:t>富士康工业互联</w:t>
            </w:r>
            <w:r>
              <w:rPr>
                <w:spacing w:val="-7"/>
                <w:sz w:val="21"/>
              </w:rPr>
              <w:t>网股份有限公司 </w:t>
            </w:r>
            <w:r>
              <w:rPr>
                <w:rFonts w:ascii="Times New Roman" w:eastAsia="Times New Roman"/>
                <w:spacing w:val="-1"/>
                <w:sz w:val="21"/>
              </w:rPr>
              <w:t>2022</w:t>
            </w:r>
            <w:r>
              <w:rPr>
                <w:rFonts w:ascii="Times New Roman" w:eastAsia="Times New Roman"/>
                <w:spacing w:val="-4"/>
                <w:sz w:val="21"/>
              </w:rPr>
              <w:t> </w:t>
            </w:r>
            <w:r>
              <w:rPr>
                <w:spacing w:val="-1"/>
                <w:sz w:val="21"/>
              </w:rPr>
              <w:t>年员工持股计划</w:t>
            </w:r>
            <w:r>
              <w:rPr>
                <w:sz w:val="21"/>
              </w:rPr>
              <w:t>（草案）</w:t>
            </w:r>
            <w:r>
              <w:rPr>
                <w:rFonts w:ascii="Times New Roman" w:eastAsia="Times New Roman"/>
                <w:sz w:val="21"/>
              </w:rPr>
              <w:t>&gt;</w:t>
            </w:r>
            <w:r>
              <w:rPr>
                <w:sz w:val="21"/>
              </w:rPr>
              <w:t>及摘要的议案》。</w:t>
            </w:r>
          </w:p>
        </w:tc>
        <w:tc>
          <w:tcPr>
            <w:tcW w:w="4640" w:type="dxa"/>
          </w:tcPr>
          <w:p>
            <w:pPr>
              <w:pStyle w:val="TableParagraph"/>
              <w:spacing w:line="242" w:lineRule="auto" w:before="3"/>
              <w:ind w:left="107" w:right="93"/>
              <w:jc w:val="both"/>
              <w:rPr>
                <w:sz w:val="21"/>
              </w:rPr>
            </w:pPr>
            <w:r>
              <w:rPr>
                <w:spacing w:val="-11"/>
                <w:sz w:val="21"/>
              </w:rPr>
              <w:t>详见公司于 </w:t>
            </w:r>
            <w:r>
              <w:rPr>
                <w:rFonts w:ascii="Times New Roman" w:eastAsia="Times New Roman"/>
                <w:sz w:val="21"/>
              </w:rPr>
              <w:t>2022</w:t>
            </w:r>
            <w:r>
              <w:rPr>
                <w:rFonts w:ascii="Times New Roman" w:eastAsia="Times New Roman"/>
                <w:spacing w:val="-19"/>
                <w:sz w:val="21"/>
              </w:rPr>
              <w:t> </w:t>
            </w:r>
            <w:r>
              <w:rPr>
                <w:spacing w:val="-33"/>
                <w:sz w:val="21"/>
              </w:rPr>
              <w:t>年 </w:t>
            </w:r>
            <w:r>
              <w:rPr>
                <w:rFonts w:ascii="Times New Roman" w:eastAsia="Times New Roman"/>
                <w:sz w:val="21"/>
              </w:rPr>
              <w:t>6</w:t>
            </w:r>
            <w:r>
              <w:rPr>
                <w:rFonts w:ascii="Times New Roman" w:eastAsia="Times New Roman"/>
                <w:spacing w:val="-18"/>
                <w:sz w:val="21"/>
              </w:rPr>
              <w:t> </w:t>
            </w:r>
            <w:r>
              <w:rPr>
                <w:spacing w:val="-32"/>
                <w:sz w:val="21"/>
              </w:rPr>
              <w:t>月 </w:t>
            </w:r>
            <w:r>
              <w:rPr>
                <w:rFonts w:ascii="Times New Roman" w:eastAsia="Times New Roman"/>
                <w:sz w:val="21"/>
              </w:rPr>
              <w:t>2</w:t>
            </w:r>
            <w:r>
              <w:rPr>
                <w:rFonts w:ascii="Times New Roman" w:eastAsia="Times New Roman"/>
                <w:spacing w:val="-21"/>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）及指定媒体披露的《富士康工业互联网股份有限公司职工代表大会关于</w:t>
            </w:r>
            <w:r>
              <w:rPr>
                <w:rFonts w:ascii="Times New Roman" w:eastAsia="Times New Roman"/>
                <w:sz w:val="21"/>
              </w:rPr>
              <w:t>2022</w:t>
            </w:r>
            <w:r>
              <w:rPr>
                <w:rFonts w:ascii="Times New Roman" w:eastAsia="Times New Roman"/>
                <w:spacing w:val="11"/>
                <w:sz w:val="21"/>
              </w:rPr>
              <w:t> </w:t>
            </w:r>
            <w:r>
              <w:rPr>
                <w:spacing w:val="19"/>
                <w:sz w:val="21"/>
              </w:rPr>
              <w:t>年员工持股计划的决议公告》</w:t>
            </w:r>
            <w:r>
              <w:rPr>
                <w:sz w:val="21"/>
              </w:rPr>
              <w:t>（</w:t>
            </w:r>
            <w:r>
              <w:rPr>
                <w:spacing w:val="-12"/>
                <w:sz w:val="21"/>
              </w:rPr>
              <w:t> 公告编</w:t>
            </w:r>
          </w:p>
          <w:p>
            <w:pPr>
              <w:pStyle w:val="TableParagraph"/>
              <w:spacing w:line="252" w:lineRule="exact"/>
              <w:ind w:left="107"/>
              <w:jc w:val="both"/>
              <w:rPr>
                <w:sz w:val="21"/>
              </w:rPr>
            </w:pPr>
            <w:r>
              <w:rPr>
                <w:spacing w:val="-14"/>
                <w:sz w:val="21"/>
              </w:rPr>
              <w:t>号：临 </w:t>
            </w:r>
            <w:r>
              <w:rPr>
                <w:rFonts w:ascii="Times New Roman" w:eastAsia="Times New Roman"/>
                <w:spacing w:val="-1"/>
                <w:sz w:val="21"/>
              </w:rPr>
              <w:t>2022-048</w:t>
            </w:r>
            <w:r>
              <w:rPr>
                <w:rFonts w:ascii="Times New Roman" w:eastAsia="Times New Roman"/>
                <w:spacing w:val="-9"/>
                <w:sz w:val="21"/>
              </w:rPr>
              <w:t> </w:t>
            </w:r>
            <w:r>
              <w:rPr>
                <w:sz w:val="21"/>
              </w:rPr>
              <w:t>号）</w:t>
            </w:r>
          </w:p>
        </w:tc>
      </w:tr>
      <w:tr>
        <w:trPr>
          <w:trHeight w:val="3540" w:hRule="atLeast"/>
        </w:trPr>
        <w:tc>
          <w:tcPr>
            <w:tcW w:w="4107" w:type="dxa"/>
          </w:tcPr>
          <w:p>
            <w:pPr>
              <w:pStyle w:val="TableParagraph"/>
              <w:spacing w:line="242" w:lineRule="auto" w:before="1"/>
              <w:ind w:left="107" w:right="91"/>
              <w:jc w:val="both"/>
              <w:rPr>
                <w:sz w:val="21"/>
              </w:rPr>
            </w:pPr>
            <w:r>
              <w:rPr>
                <w:rFonts w:ascii="Times New Roman" w:eastAsia="Times New Roman"/>
                <w:spacing w:val="-1"/>
                <w:sz w:val="21"/>
              </w:rPr>
              <w:t>2022</w:t>
            </w:r>
            <w:r>
              <w:rPr>
                <w:rFonts w:ascii="Times New Roman" w:eastAsia="Times New Roman"/>
                <w:spacing w:val="5"/>
                <w:sz w:val="21"/>
              </w:rPr>
              <w:t> </w:t>
            </w:r>
            <w:r>
              <w:rPr>
                <w:spacing w:val="-17"/>
                <w:sz w:val="21"/>
              </w:rPr>
              <w:t>年 </w:t>
            </w:r>
            <w:r>
              <w:rPr>
                <w:rFonts w:ascii="Times New Roman" w:eastAsia="Times New Roman"/>
                <w:spacing w:val="-1"/>
                <w:sz w:val="21"/>
              </w:rPr>
              <w:t>6</w:t>
            </w:r>
            <w:r>
              <w:rPr>
                <w:rFonts w:ascii="Times New Roman" w:eastAsia="Times New Roman"/>
                <w:spacing w:val="5"/>
                <w:sz w:val="21"/>
              </w:rPr>
              <w:t> </w:t>
            </w:r>
            <w:r>
              <w:rPr>
                <w:spacing w:val="-17"/>
                <w:sz w:val="21"/>
              </w:rPr>
              <w:t>月 </w:t>
            </w:r>
            <w:r>
              <w:rPr>
                <w:rFonts w:ascii="Times New Roman" w:eastAsia="Times New Roman"/>
                <w:spacing w:val="-1"/>
                <w:sz w:val="21"/>
              </w:rPr>
              <w:t>1</w:t>
            </w:r>
            <w:r>
              <w:rPr>
                <w:rFonts w:ascii="Times New Roman" w:eastAsia="Times New Roman"/>
                <w:spacing w:val="5"/>
                <w:sz w:val="21"/>
              </w:rPr>
              <w:t> </w:t>
            </w:r>
            <w:r>
              <w:rPr>
                <w:sz w:val="21"/>
              </w:rPr>
              <w:t>日，公司召开第二届董事会</w:t>
            </w:r>
            <w:r>
              <w:rPr>
                <w:spacing w:val="1"/>
                <w:sz w:val="21"/>
              </w:rPr>
              <w:t>第二十二次会议，审议通过了《关于</w:t>
            </w:r>
            <w:r>
              <w:rPr>
                <w:rFonts w:ascii="Times New Roman" w:eastAsia="Times New Roman"/>
                <w:spacing w:val="10"/>
                <w:sz w:val="21"/>
              </w:rPr>
              <w:t>&lt;</w:t>
            </w:r>
            <w:r>
              <w:rPr>
                <w:sz w:val="21"/>
              </w:rPr>
              <w:t>富</w:t>
            </w:r>
            <w:r>
              <w:rPr>
                <w:spacing w:val="-5"/>
                <w:sz w:val="21"/>
              </w:rPr>
              <w:t>士康工业互联网股份有限公司 </w:t>
            </w:r>
            <w:r>
              <w:rPr>
                <w:rFonts w:ascii="Times New Roman" w:eastAsia="Times New Roman"/>
                <w:sz w:val="21"/>
              </w:rPr>
              <w:t>2022</w:t>
            </w:r>
            <w:r>
              <w:rPr>
                <w:rFonts w:ascii="Times New Roman" w:eastAsia="Times New Roman"/>
                <w:spacing w:val="-3"/>
                <w:sz w:val="21"/>
              </w:rPr>
              <w:t> </w:t>
            </w:r>
            <w:r>
              <w:rPr>
                <w:sz w:val="21"/>
              </w:rPr>
              <w:t>年员工</w:t>
            </w:r>
            <w:r>
              <w:rPr>
                <w:spacing w:val="5"/>
                <w:sz w:val="21"/>
              </w:rPr>
              <w:t>持股计划</w:t>
            </w:r>
            <w:r>
              <w:rPr>
                <w:spacing w:val="11"/>
                <w:sz w:val="21"/>
              </w:rPr>
              <w:t>（</w:t>
            </w:r>
            <w:r>
              <w:rPr>
                <w:spacing w:val="5"/>
                <w:sz w:val="21"/>
              </w:rPr>
              <w:t>草案</w:t>
            </w:r>
            <w:r>
              <w:rPr>
                <w:spacing w:val="11"/>
                <w:sz w:val="21"/>
              </w:rPr>
              <w:t>）</w:t>
            </w:r>
            <w:r>
              <w:rPr>
                <w:rFonts w:ascii="Times New Roman" w:eastAsia="Times New Roman"/>
                <w:spacing w:val="11"/>
                <w:sz w:val="21"/>
              </w:rPr>
              <w:t>&gt;</w:t>
            </w:r>
            <w:r>
              <w:rPr>
                <w:spacing w:val="3"/>
                <w:sz w:val="21"/>
              </w:rPr>
              <w:t>及摘要的议案》《关</w:t>
            </w:r>
            <w:r>
              <w:rPr>
                <w:sz w:val="21"/>
              </w:rPr>
              <w:t>于</w:t>
            </w:r>
            <w:r>
              <w:rPr>
                <w:rFonts w:ascii="Times New Roman" w:eastAsia="Times New Roman"/>
                <w:sz w:val="21"/>
              </w:rPr>
              <w:t>&lt;</w:t>
            </w:r>
            <w:r>
              <w:rPr>
                <w:sz w:val="21"/>
              </w:rPr>
              <w:t>富士康工业互联网股份有限公司 </w:t>
            </w:r>
            <w:r>
              <w:rPr>
                <w:rFonts w:ascii="Times New Roman" w:eastAsia="Times New Roman"/>
                <w:sz w:val="21"/>
              </w:rPr>
              <w:t>2022</w:t>
            </w:r>
            <w:r>
              <w:rPr>
                <w:rFonts w:ascii="Times New Roman" w:eastAsia="Times New Roman"/>
                <w:spacing w:val="1"/>
                <w:sz w:val="21"/>
              </w:rPr>
              <w:t> </w:t>
            </w:r>
            <w:r>
              <w:rPr>
                <w:spacing w:val="23"/>
                <w:sz w:val="21"/>
              </w:rPr>
              <w:t>年员工持股计划管理办法</w:t>
            </w:r>
            <w:r>
              <w:rPr>
                <w:rFonts w:ascii="Times New Roman" w:eastAsia="Times New Roman"/>
                <w:spacing w:val="22"/>
                <w:sz w:val="21"/>
              </w:rPr>
              <w:t>&gt;</w:t>
            </w:r>
            <w:r>
              <w:rPr>
                <w:spacing w:val="18"/>
                <w:sz w:val="21"/>
              </w:rPr>
              <w:t>的议案》及</w:t>
            </w:r>
          </w:p>
          <w:p>
            <w:pPr>
              <w:pStyle w:val="TableParagraph"/>
              <w:spacing w:line="242" w:lineRule="auto" w:before="4"/>
              <w:ind w:left="107" w:right="91"/>
              <w:jc w:val="both"/>
              <w:rPr>
                <w:sz w:val="21"/>
              </w:rPr>
            </w:pPr>
            <w:r>
              <w:rPr>
                <w:spacing w:val="7"/>
                <w:sz w:val="21"/>
              </w:rPr>
              <w:t>《关于</w:t>
            </w:r>
            <w:r>
              <w:rPr>
                <w:rFonts w:ascii="Times New Roman" w:eastAsia="Times New Roman"/>
                <w:spacing w:val="10"/>
                <w:sz w:val="21"/>
              </w:rPr>
              <w:t>&lt;</w:t>
            </w:r>
            <w:r>
              <w:rPr>
                <w:sz w:val="21"/>
              </w:rPr>
              <w:t>提请股东大会授权董事会及其授</w:t>
            </w:r>
            <w:r>
              <w:rPr>
                <w:spacing w:val="-7"/>
                <w:sz w:val="21"/>
              </w:rPr>
              <w:t>权人士办理公司 </w:t>
            </w:r>
            <w:r>
              <w:rPr>
                <w:rFonts w:ascii="Times New Roman" w:eastAsia="Times New Roman"/>
                <w:spacing w:val="-1"/>
                <w:sz w:val="21"/>
              </w:rPr>
              <w:t>2022</w:t>
            </w:r>
            <w:r>
              <w:rPr>
                <w:rFonts w:ascii="Times New Roman" w:eastAsia="Times New Roman"/>
                <w:spacing w:val="-4"/>
                <w:sz w:val="21"/>
              </w:rPr>
              <w:t> </w:t>
            </w:r>
            <w:r>
              <w:rPr>
                <w:spacing w:val="-1"/>
                <w:sz w:val="21"/>
              </w:rPr>
              <w:t>年员工持股计划有关</w:t>
            </w:r>
            <w:r>
              <w:rPr>
                <w:spacing w:val="6"/>
                <w:sz w:val="21"/>
              </w:rPr>
              <w:t>事项</w:t>
            </w:r>
            <w:r>
              <w:rPr>
                <w:rFonts w:ascii="Times New Roman" w:eastAsia="Times New Roman"/>
                <w:spacing w:val="12"/>
                <w:sz w:val="21"/>
              </w:rPr>
              <w:t>&gt;</w:t>
            </w:r>
            <w:r>
              <w:rPr>
                <w:sz w:val="21"/>
              </w:rPr>
              <w:t>的议案》。同日，公司召开第二届监事会第十九次会议，审议通过了《关于</w:t>
            </w:r>
          </w:p>
          <w:p>
            <w:pPr>
              <w:pStyle w:val="TableParagraph"/>
              <w:spacing w:line="242" w:lineRule="auto" w:before="3"/>
              <w:ind w:left="107" w:right="91"/>
              <w:jc w:val="both"/>
              <w:rPr>
                <w:sz w:val="21"/>
              </w:rPr>
            </w:pPr>
            <w:r>
              <w:rPr>
                <w:rFonts w:ascii="Times New Roman" w:eastAsia="Times New Roman"/>
                <w:sz w:val="21"/>
              </w:rPr>
              <w:t>&lt;</w:t>
            </w:r>
            <w:r>
              <w:rPr>
                <w:sz w:val="21"/>
              </w:rPr>
              <w:t>富士康工业互联网股份有限公司 </w:t>
            </w:r>
            <w:r>
              <w:rPr>
                <w:rFonts w:ascii="Times New Roman" w:eastAsia="Times New Roman"/>
                <w:sz w:val="21"/>
              </w:rPr>
              <w:t>2022</w:t>
            </w:r>
            <w:r>
              <w:rPr>
                <w:rFonts w:ascii="Times New Roman" w:eastAsia="Times New Roman"/>
                <w:spacing w:val="31"/>
                <w:sz w:val="21"/>
              </w:rPr>
              <w:t> </w:t>
            </w:r>
            <w:r>
              <w:rPr>
                <w:sz w:val="21"/>
              </w:rPr>
              <w:t>年</w:t>
            </w:r>
            <w:r>
              <w:rPr>
                <w:spacing w:val="5"/>
                <w:sz w:val="21"/>
              </w:rPr>
              <w:t>员工持股计划</w:t>
            </w:r>
            <w:r>
              <w:rPr>
                <w:spacing w:val="11"/>
                <w:sz w:val="21"/>
              </w:rPr>
              <w:t>（</w:t>
            </w:r>
            <w:r>
              <w:rPr>
                <w:spacing w:val="5"/>
                <w:sz w:val="21"/>
              </w:rPr>
              <w:t>草案</w:t>
            </w:r>
            <w:r>
              <w:rPr>
                <w:spacing w:val="11"/>
                <w:sz w:val="21"/>
              </w:rPr>
              <w:t>）</w:t>
            </w:r>
            <w:r>
              <w:rPr>
                <w:rFonts w:ascii="Times New Roman" w:eastAsia="Times New Roman"/>
                <w:spacing w:val="11"/>
                <w:sz w:val="21"/>
              </w:rPr>
              <w:t>&gt;</w:t>
            </w:r>
            <w:r>
              <w:rPr>
                <w:spacing w:val="4"/>
                <w:sz w:val="21"/>
              </w:rPr>
              <w:t>及摘要的议案》</w:t>
            </w:r>
          </w:p>
          <w:p>
            <w:pPr>
              <w:pStyle w:val="TableParagraph"/>
              <w:spacing w:line="250" w:lineRule="exact" w:before="1"/>
              <w:ind w:left="107"/>
              <w:rPr>
                <w:sz w:val="21"/>
              </w:rPr>
            </w:pPr>
            <w:r>
              <w:rPr>
                <w:spacing w:val="7"/>
                <w:sz w:val="21"/>
              </w:rPr>
              <w:t>及《关于</w:t>
            </w:r>
            <w:r>
              <w:rPr>
                <w:rFonts w:ascii="Times New Roman" w:eastAsia="Times New Roman"/>
                <w:spacing w:val="12"/>
                <w:sz w:val="21"/>
              </w:rPr>
              <w:t>&lt;</w:t>
            </w:r>
            <w:r>
              <w:rPr>
                <w:sz w:val="21"/>
              </w:rPr>
              <w:t>富士康工业互联网股份有限公</w:t>
            </w:r>
          </w:p>
        </w:tc>
        <w:tc>
          <w:tcPr>
            <w:tcW w:w="4640" w:type="dxa"/>
          </w:tcPr>
          <w:p>
            <w:pPr>
              <w:pStyle w:val="TableParagraph"/>
              <w:spacing w:line="242" w:lineRule="auto" w:before="1"/>
              <w:ind w:left="107" w:right="93"/>
              <w:jc w:val="both"/>
              <w:rPr>
                <w:sz w:val="21"/>
              </w:rPr>
            </w:pPr>
            <w:r>
              <w:rPr>
                <w:spacing w:val="-11"/>
                <w:sz w:val="21"/>
              </w:rPr>
              <w:t>详见公司于 </w:t>
            </w:r>
            <w:r>
              <w:rPr>
                <w:rFonts w:ascii="Times New Roman" w:eastAsia="Times New Roman"/>
                <w:sz w:val="21"/>
              </w:rPr>
              <w:t>2022</w:t>
            </w:r>
            <w:r>
              <w:rPr>
                <w:rFonts w:ascii="Times New Roman" w:eastAsia="Times New Roman"/>
                <w:spacing w:val="-19"/>
                <w:sz w:val="21"/>
              </w:rPr>
              <w:t> </w:t>
            </w:r>
            <w:r>
              <w:rPr>
                <w:spacing w:val="-33"/>
                <w:sz w:val="21"/>
              </w:rPr>
              <w:t>年 </w:t>
            </w:r>
            <w:r>
              <w:rPr>
                <w:rFonts w:ascii="Times New Roman" w:eastAsia="Times New Roman"/>
                <w:sz w:val="21"/>
              </w:rPr>
              <w:t>6</w:t>
            </w:r>
            <w:r>
              <w:rPr>
                <w:rFonts w:ascii="Times New Roman" w:eastAsia="Times New Roman"/>
                <w:spacing w:val="-18"/>
                <w:sz w:val="21"/>
              </w:rPr>
              <w:t> </w:t>
            </w:r>
            <w:r>
              <w:rPr>
                <w:spacing w:val="-32"/>
                <w:sz w:val="21"/>
              </w:rPr>
              <w:t>月 </w:t>
            </w:r>
            <w:r>
              <w:rPr>
                <w:rFonts w:ascii="Times New Roman" w:eastAsia="Times New Roman"/>
                <w:sz w:val="21"/>
              </w:rPr>
              <w:t>2</w:t>
            </w:r>
            <w:r>
              <w:rPr>
                <w:rFonts w:ascii="Times New Roman" w:eastAsia="Times New Roman"/>
                <w:spacing w:val="-21"/>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）及指定媒体披露的《富士康工业互联网股份有限公司第二届董事会第二十二次会议决议公告》（公告编号：临 </w:t>
            </w:r>
            <w:r>
              <w:rPr>
                <w:rFonts w:ascii="Times New Roman" w:eastAsia="Times New Roman"/>
                <w:sz w:val="21"/>
              </w:rPr>
              <w:t>2022-044</w:t>
            </w:r>
            <w:r>
              <w:rPr>
                <w:rFonts w:ascii="Times New Roman" w:eastAsia="Times New Roman"/>
                <w:spacing w:val="1"/>
                <w:sz w:val="21"/>
              </w:rPr>
              <w:t> </w:t>
            </w:r>
            <w:r>
              <w:rPr>
                <w:sz w:val="21"/>
              </w:rPr>
              <w:t>号）、《富士康工业互联网股份有限公司第二届监事会第十九次会议决议公告》（公告编号：临</w:t>
            </w:r>
            <w:r>
              <w:rPr>
                <w:rFonts w:ascii="Times New Roman" w:eastAsia="Times New Roman"/>
                <w:sz w:val="21"/>
              </w:rPr>
              <w:t>2022-045</w:t>
            </w:r>
            <w:r>
              <w:rPr>
                <w:rFonts w:ascii="Times New Roman" w:eastAsia="Times New Roman"/>
                <w:spacing w:val="-8"/>
                <w:sz w:val="21"/>
              </w:rPr>
              <w:t> </w:t>
            </w:r>
            <w:r>
              <w:rPr>
                <w:sz w:val="21"/>
              </w:rPr>
              <w:t>号）、《富士康工业互联网股份有限公</w:t>
            </w:r>
          </w:p>
          <w:p>
            <w:pPr>
              <w:pStyle w:val="TableParagraph"/>
              <w:spacing w:before="4"/>
              <w:ind w:left="107"/>
              <w:jc w:val="both"/>
              <w:rPr>
                <w:sz w:val="21"/>
              </w:rPr>
            </w:pPr>
            <w:r>
              <w:rPr>
                <w:spacing w:val="9"/>
                <w:sz w:val="21"/>
              </w:rPr>
              <w:t>司 </w:t>
            </w:r>
            <w:r>
              <w:rPr>
                <w:rFonts w:ascii="Times New Roman" w:eastAsia="Times New Roman"/>
                <w:sz w:val="21"/>
              </w:rPr>
              <w:t>2022</w:t>
            </w:r>
            <w:r>
              <w:rPr>
                <w:rFonts w:ascii="Times New Roman" w:eastAsia="Times New Roman"/>
                <w:spacing w:val="45"/>
                <w:sz w:val="21"/>
              </w:rPr>
              <w:t> </w:t>
            </w:r>
            <w:r>
              <w:rPr>
                <w:sz w:val="21"/>
              </w:rPr>
              <w:t>年员工持股计划（草案）》、《富士康</w:t>
            </w:r>
          </w:p>
          <w:p>
            <w:pPr>
              <w:pStyle w:val="TableParagraph"/>
              <w:spacing w:before="4"/>
              <w:ind w:left="107"/>
              <w:jc w:val="both"/>
              <w:rPr>
                <w:sz w:val="21"/>
              </w:rPr>
            </w:pPr>
            <w:r>
              <w:rPr>
                <w:spacing w:val="1"/>
                <w:sz w:val="21"/>
              </w:rPr>
              <w:t>工业互联网股份有限公司 </w:t>
            </w:r>
            <w:r>
              <w:rPr>
                <w:rFonts w:ascii="Times New Roman" w:eastAsia="Times New Roman"/>
                <w:sz w:val="21"/>
              </w:rPr>
              <w:t>2022</w:t>
            </w:r>
            <w:r>
              <w:rPr>
                <w:rFonts w:ascii="Times New Roman" w:eastAsia="Times New Roman"/>
                <w:spacing w:val="46"/>
                <w:sz w:val="21"/>
              </w:rPr>
              <w:t> </w:t>
            </w:r>
            <w:r>
              <w:rPr>
                <w:sz w:val="21"/>
              </w:rPr>
              <w:t>年员工持股计划</w:t>
            </w:r>
          </w:p>
          <w:p>
            <w:pPr>
              <w:pStyle w:val="TableParagraph"/>
              <w:spacing w:line="244" w:lineRule="auto" w:before="2"/>
              <w:ind w:left="107" w:right="96"/>
              <w:jc w:val="both"/>
              <w:rPr>
                <w:sz w:val="21"/>
              </w:rPr>
            </w:pPr>
            <w:r>
              <w:rPr>
                <w:sz w:val="21"/>
              </w:rPr>
              <w:t>（草案）摘要》、《富士康工业互联网股份有限</w:t>
            </w:r>
            <w:r>
              <w:rPr>
                <w:spacing w:val="3"/>
                <w:sz w:val="21"/>
              </w:rPr>
              <w:t>公司 </w:t>
            </w:r>
            <w:r>
              <w:rPr>
                <w:rFonts w:ascii="Times New Roman" w:eastAsia="Times New Roman"/>
                <w:sz w:val="21"/>
              </w:rPr>
              <w:t>2022</w:t>
            </w:r>
            <w:r>
              <w:rPr>
                <w:rFonts w:ascii="Times New Roman" w:eastAsia="Times New Roman"/>
                <w:spacing w:val="39"/>
                <w:sz w:val="21"/>
              </w:rPr>
              <w:t> </w:t>
            </w:r>
            <w:r>
              <w:rPr>
                <w:sz w:val="21"/>
              </w:rPr>
              <w:t>年员工持股计划管理办法》、《富士</w:t>
            </w:r>
          </w:p>
          <w:p>
            <w:pPr>
              <w:pStyle w:val="TableParagraph"/>
              <w:spacing w:line="265" w:lineRule="exact"/>
              <w:ind w:left="107"/>
              <w:rPr>
                <w:sz w:val="21"/>
              </w:rPr>
            </w:pPr>
            <w:r>
              <w:rPr>
                <w:spacing w:val="1"/>
                <w:sz w:val="21"/>
              </w:rPr>
              <w:t>康工业互联网股份有限公司监事会关于 </w:t>
            </w:r>
            <w:r>
              <w:rPr>
                <w:rFonts w:ascii="Times New Roman" w:eastAsia="Times New Roman"/>
                <w:sz w:val="21"/>
              </w:rPr>
              <w:t>2022</w:t>
            </w:r>
            <w:r>
              <w:rPr>
                <w:rFonts w:ascii="Times New Roman" w:eastAsia="Times New Roman"/>
                <w:spacing w:val="45"/>
                <w:sz w:val="21"/>
              </w:rPr>
              <w:t> </w:t>
            </w:r>
            <w:r>
              <w:rPr>
                <w:sz w:val="21"/>
              </w:rPr>
              <w:t>年</w:t>
            </w:r>
          </w:p>
          <w:p>
            <w:pPr>
              <w:pStyle w:val="TableParagraph"/>
              <w:spacing w:line="250" w:lineRule="exact" w:before="5"/>
              <w:ind w:left="107"/>
              <w:rPr>
                <w:sz w:val="21"/>
              </w:rPr>
            </w:pPr>
            <w:r>
              <w:rPr>
                <w:sz w:val="21"/>
              </w:rPr>
              <w:t>员工持股计划相关事项的核查意见》</w:t>
            </w:r>
          </w:p>
        </w:tc>
      </w:tr>
    </w:tbl>
    <w:p>
      <w:pPr>
        <w:spacing w:after="0" w:line="250" w:lineRule="exact"/>
        <w:rPr>
          <w:sz w:val="21"/>
        </w:rPr>
        <w:sectPr>
          <w:pgSz w:w="11910" w:h="16840"/>
          <w:pgMar w:header="877" w:footer="1180" w:top="1440" w:bottom="1380" w:left="1680" w:right="960"/>
        </w:sectPr>
      </w:pPr>
    </w:p>
    <w:p>
      <w:pPr>
        <w:pStyle w:val="BodyText"/>
        <w:spacing w:before="2"/>
        <w:ind w:left="0"/>
        <w:rPr>
          <w:sz w:val="5"/>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07"/>
        <w:gridCol w:w="4640"/>
      </w:tblGrid>
      <w:tr>
        <w:trPr>
          <w:trHeight w:val="547" w:hRule="atLeast"/>
        </w:trPr>
        <w:tc>
          <w:tcPr>
            <w:tcW w:w="4107" w:type="dxa"/>
          </w:tcPr>
          <w:p>
            <w:pPr>
              <w:pStyle w:val="TableParagraph"/>
              <w:spacing w:line="270" w:lineRule="atLeast"/>
              <w:ind w:left="107" w:right="77"/>
              <w:rPr>
                <w:sz w:val="21"/>
              </w:rPr>
            </w:pPr>
            <w:r>
              <w:rPr>
                <w:spacing w:val="11"/>
                <w:sz w:val="21"/>
              </w:rPr>
              <w:t>司 </w:t>
            </w:r>
            <w:r>
              <w:rPr>
                <w:rFonts w:ascii="Times New Roman" w:eastAsia="Times New Roman"/>
                <w:sz w:val="21"/>
              </w:rPr>
              <w:t>2022</w:t>
            </w:r>
            <w:r>
              <w:rPr>
                <w:rFonts w:ascii="Times New Roman" w:eastAsia="Times New Roman"/>
                <w:spacing w:val="51"/>
                <w:sz w:val="21"/>
              </w:rPr>
              <w:t> </w:t>
            </w:r>
            <w:r>
              <w:rPr>
                <w:spacing w:val="13"/>
                <w:sz w:val="21"/>
              </w:rPr>
              <w:t>年员工持股计划管理办法</w:t>
            </w:r>
            <w:r>
              <w:rPr>
                <w:rFonts w:ascii="Times New Roman" w:eastAsia="Times New Roman"/>
                <w:spacing w:val="15"/>
                <w:sz w:val="21"/>
              </w:rPr>
              <w:t>&gt;</w:t>
            </w:r>
            <w:r>
              <w:rPr>
                <w:spacing w:val="7"/>
                <w:sz w:val="21"/>
              </w:rPr>
              <w:t>的议</w:t>
            </w:r>
            <w:r>
              <w:rPr>
                <w:sz w:val="21"/>
              </w:rPr>
              <w:t>案》。</w:t>
            </w:r>
          </w:p>
        </w:tc>
        <w:tc>
          <w:tcPr>
            <w:tcW w:w="4640" w:type="dxa"/>
          </w:tcPr>
          <w:p>
            <w:pPr>
              <w:pStyle w:val="TableParagraph"/>
              <w:rPr>
                <w:rFonts w:ascii="Times New Roman"/>
                <w:sz w:val="20"/>
              </w:rPr>
            </w:pPr>
          </w:p>
        </w:tc>
      </w:tr>
      <w:tr>
        <w:trPr>
          <w:trHeight w:val="2449" w:hRule="atLeast"/>
        </w:trPr>
        <w:tc>
          <w:tcPr>
            <w:tcW w:w="4107" w:type="dxa"/>
          </w:tcPr>
          <w:p>
            <w:pPr>
              <w:pStyle w:val="TableParagraph"/>
              <w:spacing w:line="242" w:lineRule="auto" w:before="1"/>
              <w:ind w:left="107" w:right="77"/>
              <w:jc w:val="both"/>
              <w:rPr>
                <w:sz w:val="21"/>
              </w:rPr>
            </w:pPr>
            <w:r>
              <w:rPr>
                <w:rFonts w:ascii="Times New Roman" w:eastAsia="Times New Roman"/>
                <w:sz w:val="21"/>
              </w:rPr>
              <w:t>2022 </w:t>
            </w:r>
            <w:r>
              <w:rPr>
                <w:spacing w:val="-18"/>
                <w:sz w:val="21"/>
              </w:rPr>
              <w:t>年 </w:t>
            </w:r>
            <w:r>
              <w:rPr>
                <w:rFonts w:ascii="Times New Roman" w:eastAsia="Times New Roman"/>
                <w:sz w:val="21"/>
              </w:rPr>
              <w:t>6 </w:t>
            </w:r>
            <w:r>
              <w:rPr>
                <w:spacing w:val="-18"/>
                <w:sz w:val="21"/>
              </w:rPr>
              <w:t>月 </w:t>
            </w:r>
            <w:r>
              <w:rPr>
                <w:rFonts w:ascii="Times New Roman" w:eastAsia="Times New Roman"/>
                <w:sz w:val="21"/>
              </w:rPr>
              <w:t>23</w:t>
            </w:r>
            <w:r>
              <w:rPr>
                <w:rFonts w:ascii="Times New Roman" w:eastAsia="Times New Roman"/>
                <w:spacing w:val="3"/>
                <w:sz w:val="21"/>
              </w:rPr>
              <w:t> </w:t>
            </w:r>
            <w:r>
              <w:rPr>
                <w:spacing w:val="-6"/>
                <w:sz w:val="21"/>
              </w:rPr>
              <w:t>日，公司召开 </w:t>
            </w:r>
            <w:r>
              <w:rPr>
                <w:rFonts w:ascii="Times New Roman" w:eastAsia="Times New Roman"/>
                <w:sz w:val="21"/>
              </w:rPr>
              <w:t>2021</w:t>
            </w:r>
            <w:r>
              <w:rPr>
                <w:rFonts w:ascii="Times New Roman" w:eastAsia="Times New Roman"/>
                <w:spacing w:val="1"/>
                <w:sz w:val="21"/>
              </w:rPr>
              <w:t> </w:t>
            </w:r>
            <w:r>
              <w:rPr>
                <w:sz w:val="21"/>
              </w:rPr>
              <w:t>年年度</w:t>
            </w:r>
            <w:r>
              <w:rPr>
                <w:spacing w:val="2"/>
                <w:sz w:val="21"/>
              </w:rPr>
              <w:t>股东大会，审议通过了《关于</w:t>
            </w:r>
            <w:r>
              <w:rPr>
                <w:rFonts w:ascii="Times New Roman" w:eastAsia="Times New Roman"/>
                <w:spacing w:val="12"/>
                <w:sz w:val="21"/>
              </w:rPr>
              <w:t>&lt;</w:t>
            </w:r>
            <w:r>
              <w:rPr>
                <w:spacing w:val="4"/>
                <w:sz w:val="21"/>
              </w:rPr>
              <w:t>富士康工</w:t>
            </w:r>
            <w:r>
              <w:rPr>
                <w:spacing w:val="-5"/>
                <w:sz w:val="21"/>
              </w:rPr>
              <w:t>业互联网股份有限公司 </w:t>
            </w:r>
            <w:r>
              <w:rPr>
                <w:rFonts w:ascii="Times New Roman" w:eastAsia="Times New Roman"/>
                <w:sz w:val="21"/>
              </w:rPr>
              <w:t>2022</w:t>
            </w:r>
            <w:r>
              <w:rPr>
                <w:rFonts w:ascii="Times New Roman" w:eastAsia="Times New Roman"/>
                <w:spacing w:val="-3"/>
                <w:sz w:val="21"/>
              </w:rPr>
              <w:t> </w:t>
            </w:r>
            <w:r>
              <w:rPr>
                <w:sz w:val="21"/>
              </w:rPr>
              <w:t>年员工持股计划（草案）</w:t>
            </w:r>
            <w:r>
              <w:rPr>
                <w:rFonts w:ascii="Times New Roman" w:eastAsia="Times New Roman"/>
                <w:sz w:val="21"/>
              </w:rPr>
              <w:t>&gt;</w:t>
            </w:r>
            <w:r>
              <w:rPr>
                <w:sz w:val="21"/>
              </w:rPr>
              <w:t>及摘要的议案》《关于</w:t>
            </w:r>
            <w:r>
              <w:rPr>
                <w:rFonts w:ascii="Times New Roman" w:eastAsia="Times New Roman"/>
                <w:sz w:val="21"/>
              </w:rPr>
              <w:t>&lt;</w:t>
            </w:r>
            <w:r>
              <w:rPr>
                <w:sz w:val="21"/>
              </w:rPr>
              <w:t>富士</w:t>
            </w:r>
            <w:r>
              <w:rPr>
                <w:spacing w:val="-4"/>
                <w:sz w:val="21"/>
              </w:rPr>
              <w:t>康工业互联网股份有限公司 </w:t>
            </w:r>
            <w:r>
              <w:rPr>
                <w:rFonts w:ascii="Times New Roman" w:eastAsia="Times New Roman"/>
                <w:sz w:val="21"/>
              </w:rPr>
              <w:t>2022</w:t>
            </w:r>
            <w:r>
              <w:rPr>
                <w:rFonts w:ascii="Times New Roman" w:eastAsia="Times New Roman"/>
                <w:spacing w:val="-5"/>
                <w:sz w:val="21"/>
              </w:rPr>
              <w:t> </w:t>
            </w:r>
            <w:r>
              <w:rPr>
                <w:sz w:val="21"/>
              </w:rPr>
              <w:t>年员工持股计划管理办法</w:t>
            </w:r>
            <w:r>
              <w:rPr>
                <w:rFonts w:ascii="Times New Roman" w:eastAsia="Times New Roman"/>
                <w:sz w:val="21"/>
              </w:rPr>
              <w:t>&gt;</w:t>
            </w:r>
            <w:r>
              <w:rPr>
                <w:sz w:val="21"/>
              </w:rPr>
              <w:t>的议案》及《关于</w:t>
            </w:r>
            <w:r>
              <w:rPr>
                <w:rFonts w:ascii="Times New Roman" w:eastAsia="Times New Roman"/>
                <w:sz w:val="21"/>
              </w:rPr>
              <w:t>&lt;</w:t>
            </w:r>
            <w:r>
              <w:rPr>
                <w:sz w:val="21"/>
              </w:rPr>
              <w:t>提请股东大会授权董事会及其授权人士办理公</w:t>
            </w:r>
            <w:r>
              <w:rPr>
                <w:spacing w:val="10"/>
                <w:sz w:val="21"/>
              </w:rPr>
              <w:t>司 </w:t>
            </w:r>
            <w:r>
              <w:rPr>
                <w:rFonts w:ascii="Times New Roman" w:eastAsia="Times New Roman"/>
                <w:sz w:val="21"/>
              </w:rPr>
              <w:t>2022</w:t>
            </w:r>
            <w:r>
              <w:rPr>
                <w:rFonts w:ascii="Times New Roman" w:eastAsia="Times New Roman"/>
                <w:spacing w:val="51"/>
                <w:sz w:val="21"/>
              </w:rPr>
              <w:t> </w:t>
            </w:r>
            <w:r>
              <w:rPr>
                <w:spacing w:val="13"/>
                <w:sz w:val="21"/>
              </w:rPr>
              <w:t>年员工持股计划有关事项</w:t>
            </w:r>
            <w:r>
              <w:rPr>
                <w:rFonts w:ascii="Times New Roman" w:eastAsia="Times New Roman"/>
                <w:spacing w:val="15"/>
                <w:sz w:val="21"/>
              </w:rPr>
              <w:t>&gt;</w:t>
            </w:r>
            <w:r>
              <w:rPr>
                <w:spacing w:val="7"/>
                <w:sz w:val="21"/>
              </w:rPr>
              <w:t>的议</w:t>
            </w:r>
          </w:p>
          <w:p>
            <w:pPr>
              <w:pStyle w:val="TableParagraph"/>
              <w:spacing w:line="250" w:lineRule="exact" w:before="5"/>
              <w:ind w:left="107"/>
              <w:rPr>
                <w:sz w:val="21"/>
              </w:rPr>
            </w:pPr>
            <w:r>
              <w:rPr>
                <w:sz w:val="21"/>
              </w:rPr>
              <w:t>案》。</w:t>
            </w:r>
          </w:p>
        </w:tc>
        <w:tc>
          <w:tcPr>
            <w:tcW w:w="4640" w:type="dxa"/>
          </w:tcPr>
          <w:p>
            <w:pPr>
              <w:pStyle w:val="TableParagraph"/>
              <w:spacing w:line="242" w:lineRule="auto" w:before="1"/>
              <w:ind w:left="107" w:right="93"/>
              <w:jc w:val="both"/>
              <w:rPr>
                <w:sz w:val="21"/>
              </w:rPr>
            </w:pPr>
            <w:r>
              <w:rPr>
                <w:spacing w:val="-9"/>
                <w:sz w:val="21"/>
              </w:rPr>
              <w:t>详见公司于 </w:t>
            </w:r>
            <w:r>
              <w:rPr>
                <w:rFonts w:ascii="Times New Roman" w:eastAsia="Times New Roman"/>
                <w:sz w:val="21"/>
              </w:rPr>
              <w:t>2022</w:t>
            </w:r>
            <w:r>
              <w:rPr>
                <w:rFonts w:ascii="Times New Roman" w:eastAsia="Times New Roman"/>
                <w:spacing w:val="-5"/>
                <w:sz w:val="21"/>
              </w:rPr>
              <w:t> </w:t>
            </w:r>
            <w:r>
              <w:rPr>
                <w:spacing w:val="-23"/>
                <w:sz w:val="21"/>
              </w:rPr>
              <w:t>年 </w:t>
            </w:r>
            <w:r>
              <w:rPr>
                <w:rFonts w:ascii="Times New Roman" w:eastAsia="Times New Roman"/>
                <w:sz w:val="21"/>
              </w:rPr>
              <w:t>6</w:t>
            </w:r>
            <w:r>
              <w:rPr>
                <w:rFonts w:ascii="Times New Roman" w:eastAsia="Times New Roman"/>
                <w:spacing w:val="-7"/>
                <w:sz w:val="21"/>
              </w:rPr>
              <w:t> </w:t>
            </w:r>
            <w:r>
              <w:rPr>
                <w:spacing w:val="-23"/>
                <w:sz w:val="21"/>
              </w:rPr>
              <w:t>月 </w:t>
            </w:r>
            <w:r>
              <w:rPr>
                <w:rFonts w:ascii="Times New Roman" w:eastAsia="Times New Roman"/>
                <w:sz w:val="21"/>
              </w:rPr>
              <w:t>24</w:t>
            </w:r>
            <w:r>
              <w:rPr>
                <w:rFonts w:ascii="Times New Roman" w:eastAsia="Times New Roman"/>
                <w:spacing w:val="-5"/>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 </w:t>
            </w:r>
            <w:r>
              <w:rPr>
                <w:rFonts w:ascii="Times New Roman" w:eastAsia="Times New Roman"/>
                <w:sz w:val="21"/>
              </w:rPr>
              <w:t>2021</w:t>
            </w:r>
            <w:r>
              <w:rPr>
                <w:rFonts w:ascii="Times New Roman" w:eastAsia="Times New Roman"/>
                <w:spacing w:val="39"/>
                <w:sz w:val="21"/>
              </w:rPr>
              <w:t> </w:t>
            </w:r>
            <w:r>
              <w:rPr>
                <w:sz w:val="21"/>
              </w:rPr>
              <w:t>年年度股东</w:t>
            </w:r>
            <w:r>
              <w:rPr>
                <w:spacing w:val="38"/>
                <w:sz w:val="21"/>
              </w:rPr>
              <w:t>大会决议公告》</w:t>
            </w:r>
            <w:r>
              <w:rPr>
                <w:sz w:val="21"/>
              </w:rPr>
              <w:t>（</w:t>
            </w:r>
            <w:r>
              <w:rPr>
                <w:spacing w:val="7"/>
                <w:sz w:val="21"/>
              </w:rPr>
              <w:t> 公告编号： 临 </w:t>
            </w:r>
            <w:r>
              <w:rPr>
                <w:rFonts w:ascii="Times New Roman" w:eastAsia="Times New Roman"/>
                <w:sz w:val="21"/>
              </w:rPr>
              <w:t>2022-056</w:t>
            </w:r>
            <w:r>
              <w:rPr>
                <w:rFonts w:ascii="Times New Roman" w:eastAsia="Times New Roman"/>
                <w:spacing w:val="-50"/>
                <w:sz w:val="21"/>
              </w:rPr>
              <w:t> </w:t>
            </w:r>
            <w:r>
              <w:rPr>
                <w:sz w:val="21"/>
              </w:rPr>
              <w:t>号）、《富士康工业互联网股份有限公司 </w:t>
            </w:r>
            <w:r>
              <w:rPr>
                <w:rFonts w:ascii="Times New Roman" w:eastAsia="Times New Roman"/>
                <w:sz w:val="21"/>
              </w:rPr>
              <w:t>2022</w:t>
            </w:r>
            <w:r>
              <w:rPr>
                <w:rFonts w:ascii="Times New Roman" w:eastAsia="Times New Roman"/>
                <w:spacing w:val="1"/>
                <w:sz w:val="21"/>
              </w:rPr>
              <w:t> </w:t>
            </w:r>
            <w:r>
              <w:rPr>
                <w:sz w:val="21"/>
              </w:rPr>
              <w:t>年员工持股计划》</w:t>
            </w:r>
          </w:p>
        </w:tc>
      </w:tr>
      <w:tr>
        <w:trPr>
          <w:trHeight w:val="1634" w:hRule="atLeast"/>
        </w:trPr>
        <w:tc>
          <w:tcPr>
            <w:tcW w:w="4107" w:type="dxa"/>
          </w:tcPr>
          <w:p>
            <w:pPr>
              <w:pStyle w:val="TableParagraph"/>
              <w:spacing w:before="1"/>
              <w:ind w:left="107"/>
              <w:rPr>
                <w:sz w:val="21"/>
              </w:rPr>
            </w:pPr>
            <w:r>
              <w:rPr>
                <w:rFonts w:ascii="Times New Roman" w:eastAsia="Times New Roman"/>
                <w:sz w:val="21"/>
              </w:rPr>
              <w:t>2022</w:t>
            </w:r>
            <w:r>
              <w:rPr>
                <w:rFonts w:ascii="Times New Roman" w:eastAsia="Times New Roman"/>
                <w:spacing w:val="-15"/>
                <w:sz w:val="21"/>
              </w:rPr>
              <w:t> </w:t>
            </w:r>
            <w:r>
              <w:rPr>
                <w:spacing w:val="-28"/>
                <w:sz w:val="21"/>
              </w:rPr>
              <w:t>年 </w:t>
            </w:r>
            <w:r>
              <w:rPr>
                <w:rFonts w:ascii="Times New Roman" w:eastAsia="Times New Roman"/>
                <w:sz w:val="21"/>
              </w:rPr>
              <w:t>9</w:t>
            </w:r>
            <w:r>
              <w:rPr>
                <w:rFonts w:ascii="Times New Roman" w:eastAsia="Times New Roman"/>
                <w:spacing w:val="-14"/>
                <w:sz w:val="21"/>
              </w:rPr>
              <w:t> </w:t>
            </w:r>
            <w:r>
              <w:rPr>
                <w:spacing w:val="-28"/>
                <w:sz w:val="21"/>
              </w:rPr>
              <w:t>月 </w:t>
            </w:r>
            <w:r>
              <w:rPr>
                <w:rFonts w:ascii="Times New Roman" w:eastAsia="Times New Roman"/>
                <w:sz w:val="21"/>
              </w:rPr>
              <w:t>22</w:t>
            </w:r>
            <w:r>
              <w:rPr>
                <w:rFonts w:ascii="Times New Roman" w:eastAsia="Times New Roman"/>
                <w:spacing w:val="-14"/>
                <w:sz w:val="21"/>
              </w:rPr>
              <w:t> </w:t>
            </w:r>
            <w:r>
              <w:rPr>
                <w:sz w:val="21"/>
              </w:rPr>
              <w:t>日，公司完成《富士康工业</w:t>
            </w:r>
          </w:p>
          <w:p>
            <w:pPr>
              <w:pStyle w:val="TableParagraph"/>
              <w:spacing w:line="242" w:lineRule="auto" w:before="4"/>
              <w:ind w:left="107" w:right="91"/>
              <w:rPr>
                <w:sz w:val="21"/>
              </w:rPr>
            </w:pPr>
            <w:r>
              <w:rPr>
                <w:spacing w:val="-6"/>
                <w:sz w:val="21"/>
              </w:rPr>
              <w:t>互联网股份有限公司 </w:t>
            </w:r>
            <w:r>
              <w:rPr>
                <w:rFonts w:ascii="Times New Roman" w:eastAsia="Times New Roman"/>
                <w:spacing w:val="-1"/>
                <w:sz w:val="21"/>
              </w:rPr>
              <w:t>2022</w:t>
            </w:r>
            <w:r>
              <w:rPr>
                <w:rFonts w:ascii="Times New Roman" w:eastAsia="Times New Roman"/>
                <w:spacing w:val="-4"/>
                <w:sz w:val="21"/>
              </w:rPr>
              <w:t> </w:t>
            </w:r>
            <w:r>
              <w:rPr>
                <w:sz w:val="21"/>
              </w:rPr>
              <w:t>年员工持股计划信托协议》的签署。</w:t>
            </w:r>
          </w:p>
        </w:tc>
        <w:tc>
          <w:tcPr>
            <w:tcW w:w="4640" w:type="dxa"/>
          </w:tcPr>
          <w:p>
            <w:pPr>
              <w:pStyle w:val="TableParagraph"/>
              <w:spacing w:line="242" w:lineRule="auto" w:before="1"/>
              <w:ind w:left="107" w:right="93"/>
              <w:jc w:val="both"/>
              <w:rPr>
                <w:sz w:val="21"/>
              </w:rPr>
            </w:pPr>
            <w:r>
              <w:rPr>
                <w:spacing w:val="-9"/>
                <w:sz w:val="21"/>
              </w:rPr>
              <w:t>详见公司于 </w:t>
            </w:r>
            <w:r>
              <w:rPr>
                <w:rFonts w:ascii="Times New Roman" w:eastAsia="Times New Roman"/>
                <w:sz w:val="21"/>
              </w:rPr>
              <w:t>2022</w:t>
            </w:r>
            <w:r>
              <w:rPr>
                <w:rFonts w:ascii="Times New Roman" w:eastAsia="Times New Roman"/>
                <w:spacing w:val="-5"/>
                <w:sz w:val="21"/>
              </w:rPr>
              <w:t> </w:t>
            </w:r>
            <w:r>
              <w:rPr>
                <w:spacing w:val="-23"/>
                <w:sz w:val="21"/>
              </w:rPr>
              <w:t>年 </w:t>
            </w:r>
            <w:r>
              <w:rPr>
                <w:rFonts w:ascii="Times New Roman" w:eastAsia="Times New Roman"/>
                <w:sz w:val="21"/>
              </w:rPr>
              <w:t>9</w:t>
            </w:r>
            <w:r>
              <w:rPr>
                <w:rFonts w:ascii="Times New Roman" w:eastAsia="Times New Roman"/>
                <w:spacing w:val="-7"/>
                <w:sz w:val="21"/>
              </w:rPr>
              <w:t> </w:t>
            </w:r>
            <w:r>
              <w:rPr>
                <w:spacing w:val="-23"/>
                <w:sz w:val="21"/>
              </w:rPr>
              <w:t>月 </w:t>
            </w:r>
            <w:r>
              <w:rPr>
                <w:rFonts w:ascii="Times New Roman" w:eastAsia="Times New Roman"/>
                <w:sz w:val="21"/>
              </w:rPr>
              <w:t>23</w:t>
            </w:r>
            <w:r>
              <w:rPr>
                <w:rFonts w:ascii="Times New Roman" w:eastAsia="Times New Roman"/>
                <w:spacing w:val="-5"/>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2022</w:t>
            </w:r>
            <w:r>
              <w:rPr>
                <w:rFonts w:ascii="Times New Roman" w:eastAsia="Times New Roman"/>
                <w:spacing w:val="40"/>
                <w:sz w:val="21"/>
              </w:rPr>
              <w:t> </w:t>
            </w:r>
            <w:r>
              <w:rPr>
                <w:sz w:val="21"/>
              </w:rPr>
              <w:t>年员工</w:t>
            </w:r>
          </w:p>
          <w:p>
            <w:pPr>
              <w:pStyle w:val="TableParagraph"/>
              <w:spacing w:before="3"/>
              <w:ind w:left="107"/>
              <w:rPr>
                <w:rFonts w:ascii="Times New Roman" w:eastAsia="Times New Roman"/>
                <w:sz w:val="21"/>
              </w:rPr>
            </w:pPr>
            <w:r>
              <w:rPr>
                <w:spacing w:val="-1"/>
                <w:sz w:val="21"/>
              </w:rPr>
              <w:t>持股计划的进展公告》</w:t>
            </w:r>
            <w:r>
              <w:rPr>
                <w:sz w:val="21"/>
              </w:rPr>
              <w:t>（</w:t>
            </w:r>
            <w:r>
              <w:rPr>
                <w:spacing w:val="-9"/>
                <w:sz w:val="21"/>
              </w:rPr>
              <w:t>公告编号：临 </w:t>
            </w:r>
            <w:r>
              <w:rPr>
                <w:rFonts w:ascii="Times New Roman" w:eastAsia="Times New Roman"/>
                <w:sz w:val="21"/>
              </w:rPr>
              <w:t>2022-082</w:t>
            </w:r>
          </w:p>
          <w:p>
            <w:pPr>
              <w:pStyle w:val="TableParagraph"/>
              <w:spacing w:before="3"/>
              <w:ind w:left="107"/>
              <w:rPr>
                <w:rFonts w:ascii="Times New Roman" w:eastAsia="Times New Roman"/>
                <w:sz w:val="21"/>
              </w:rPr>
            </w:pPr>
            <w:r>
              <w:rPr>
                <w:sz w:val="21"/>
              </w:rPr>
              <w:t>号）</w:t>
            </w:r>
            <w:r>
              <w:rPr>
                <w:spacing w:val="6"/>
                <w:sz w:val="21"/>
              </w:rPr>
              <w:t>及《富士康工业互联网股份有限公司 </w:t>
            </w:r>
            <w:r>
              <w:rPr>
                <w:rFonts w:ascii="Times New Roman" w:eastAsia="Times New Roman"/>
                <w:sz w:val="21"/>
              </w:rPr>
              <w:t>2022</w:t>
            </w:r>
          </w:p>
          <w:p>
            <w:pPr>
              <w:pStyle w:val="TableParagraph"/>
              <w:spacing w:line="250" w:lineRule="exact" w:before="4"/>
              <w:ind w:left="107"/>
              <w:rPr>
                <w:sz w:val="21"/>
              </w:rPr>
            </w:pPr>
            <w:r>
              <w:rPr>
                <w:spacing w:val="-1"/>
                <w:sz w:val="21"/>
              </w:rPr>
              <w:t>年员工持股计划信托协议》</w:t>
            </w:r>
          </w:p>
        </w:tc>
      </w:tr>
      <w:tr>
        <w:trPr>
          <w:trHeight w:val="1633" w:hRule="atLeast"/>
        </w:trPr>
        <w:tc>
          <w:tcPr>
            <w:tcW w:w="4107" w:type="dxa"/>
          </w:tcPr>
          <w:p>
            <w:pPr>
              <w:pStyle w:val="TableParagraph"/>
              <w:spacing w:line="242" w:lineRule="auto" w:before="1"/>
              <w:ind w:left="107" w:right="91"/>
              <w:jc w:val="both"/>
              <w:rPr>
                <w:rFonts w:ascii="Times New Roman" w:eastAsia="Times New Roman"/>
                <w:sz w:val="21"/>
              </w:rPr>
            </w:pPr>
            <w:r>
              <w:rPr>
                <w:rFonts w:ascii="Times New Roman" w:eastAsia="Times New Roman"/>
                <w:spacing w:val="-1"/>
                <w:sz w:val="21"/>
              </w:rPr>
              <w:t>2022</w:t>
            </w:r>
            <w:r>
              <w:rPr>
                <w:rFonts w:ascii="Times New Roman" w:eastAsia="Times New Roman"/>
                <w:spacing w:val="-15"/>
                <w:sz w:val="21"/>
              </w:rPr>
              <w:t> </w:t>
            </w:r>
            <w:r>
              <w:rPr>
                <w:spacing w:val="-29"/>
                <w:sz w:val="21"/>
              </w:rPr>
              <w:t>年 </w:t>
            </w:r>
            <w:r>
              <w:rPr>
                <w:rFonts w:ascii="Times New Roman" w:eastAsia="Times New Roman"/>
                <w:sz w:val="21"/>
              </w:rPr>
              <w:t>12</w:t>
            </w:r>
            <w:r>
              <w:rPr>
                <w:rFonts w:ascii="Times New Roman" w:eastAsia="Times New Roman"/>
                <w:spacing w:val="-15"/>
                <w:sz w:val="21"/>
              </w:rPr>
              <w:t> </w:t>
            </w:r>
            <w:r>
              <w:rPr>
                <w:spacing w:val="-29"/>
                <w:sz w:val="21"/>
              </w:rPr>
              <w:t>月 </w:t>
            </w:r>
            <w:r>
              <w:rPr>
                <w:rFonts w:ascii="Times New Roman" w:eastAsia="Times New Roman"/>
                <w:sz w:val="21"/>
              </w:rPr>
              <w:t>3</w:t>
            </w:r>
            <w:r>
              <w:rPr>
                <w:rFonts w:ascii="Times New Roman" w:eastAsia="Times New Roman"/>
                <w:spacing w:val="-15"/>
                <w:sz w:val="21"/>
              </w:rPr>
              <w:t> </w:t>
            </w:r>
            <w:r>
              <w:rPr>
                <w:sz w:val="21"/>
              </w:rPr>
              <w:t>日，公司委托信托机构已在二级市场以集中竞价交易方式购买公司股</w:t>
            </w:r>
            <w:r>
              <w:rPr>
                <w:spacing w:val="21"/>
                <w:sz w:val="21"/>
              </w:rPr>
              <w:t>票合计 </w:t>
            </w:r>
            <w:r>
              <w:rPr>
                <w:rFonts w:ascii="Times New Roman" w:eastAsia="Times New Roman"/>
                <w:sz w:val="21"/>
              </w:rPr>
              <w:t>5,220,359</w:t>
            </w:r>
            <w:r>
              <w:rPr>
                <w:rFonts w:ascii="Times New Roman" w:eastAsia="Times New Roman"/>
                <w:spacing w:val="11"/>
                <w:sz w:val="21"/>
              </w:rPr>
              <w:t> </w:t>
            </w:r>
            <w:r>
              <w:rPr>
                <w:spacing w:val="9"/>
                <w:sz w:val="21"/>
              </w:rPr>
              <w:t>股， 占公司总股本的</w:t>
            </w:r>
            <w:r>
              <w:rPr>
                <w:rFonts w:ascii="Times New Roman" w:eastAsia="Times New Roman"/>
                <w:spacing w:val="-1"/>
                <w:sz w:val="21"/>
              </w:rPr>
              <w:t>0.03%</w:t>
            </w:r>
            <w:r>
              <w:rPr>
                <w:spacing w:val="-7"/>
                <w:sz w:val="21"/>
              </w:rPr>
              <w:t>，成交总金额为人民币 </w:t>
            </w:r>
            <w:r>
              <w:rPr>
                <w:rFonts w:ascii="Times New Roman" w:eastAsia="Times New Roman"/>
                <w:sz w:val="21"/>
              </w:rPr>
              <w:t>47,442,054.03</w:t>
            </w:r>
          </w:p>
          <w:p>
            <w:pPr>
              <w:pStyle w:val="TableParagraph"/>
              <w:spacing w:before="2"/>
              <w:ind w:left="107"/>
              <w:rPr>
                <w:rFonts w:ascii="Times New Roman" w:eastAsia="Times New Roman"/>
                <w:sz w:val="21"/>
              </w:rPr>
            </w:pPr>
            <w:r>
              <w:rPr>
                <w:sz w:val="21"/>
              </w:rPr>
              <w:t>元（不含交易费用），</w:t>
            </w:r>
            <w:r>
              <w:rPr>
                <w:spacing w:val="14"/>
                <w:sz w:val="21"/>
              </w:rPr>
              <w:t>成交均价 </w:t>
            </w:r>
            <w:r>
              <w:rPr>
                <w:rFonts w:ascii="Times New Roman" w:eastAsia="Times New Roman"/>
                <w:sz w:val="21"/>
              </w:rPr>
              <w:t>9.09</w:t>
            </w:r>
            <w:r>
              <w:rPr>
                <w:rFonts w:ascii="Times New Roman" w:eastAsia="Times New Roman"/>
                <w:spacing w:val="88"/>
                <w:sz w:val="21"/>
              </w:rPr>
              <w:t> </w:t>
            </w:r>
            <w:r>
              <w:rPr>
                <w:sz w:val="21"/>
              </w:rPr>
              <w:t>元</w:t>
            </w:r>
            <w:r>
              <w:rPr>
                <w:rFonts w:ascii="Times New Roman" w:eastAsia="Times New Roman"/>
                <w:sz w:val="21"/>
              </w:rPr>
              <w:t>/</w:t>
            </w:r>
          </w:p>
          <w:p>
            <w:pPr>
              <w:pStyle w:val="TableParagraph"/>
              <w:spacing w:line="250" w:lineRule="exact" w:before="5"/>
              <w:ind w:left="107"/>
              <w:rPr>
                <w:sz w:val="21"/>
              </w:rPr>
            </w:pPr>
            <w:r>
              <w:rPr>
                <w:sz w:val="21"/>
              </w:rPr>
              <w:t>股。</w:t>
            </w:r>
          </w:p>
        </w:tc>
        <w:tc>
          <w:tcPr>
            <w:tcW w:w="4640" w:type="dxa"/>
          </w:tcPr>
          <w:p>
            <w:pPr>
              <w:pStyle w:val="TableParagraph"/>
              <w:spacing w:line="242" w:lineRule="auto" w:before="1"/>
              <w:ind w:left="107" w:right="93"/>
              <w:jc w:val="both"/>
              <w:rPr>
                <w:sz w:val="21"/>
              </w:rPr>
            </w:pPr>
            <w:r>
              <w:rPr>
                <w:spacing w:val="-8"/>
                <w:sz w:val="21"/>
              </w:rPr>
              <w:t>详见公司于 </w:t>
            </w:r>
            <w:r>
              <w:rPr>
                <w:rFonts w:ascii="Times New Roman" w:eastAsia="Times New Roman"/>
                <w:sz w:val="21"/>
              </w:rPr>
              <w:t>2022</w:t>
            </w:r>
            <w:r>
              <w:rPr>
                <w:rFonts w:ascii="Times New Roman" w:eastAsia="Times New Roman"/>
                <w:spacing w:val="-4"/>
                <w:sz w:val="21"/>
              </w:rPr>
              <w:t> </w:t>
            </w:r>
            <w:r>
              <w:rPr>
                <w:spacing w:val="-23"/>
                <w:sz w:val="21"/>
              </w:rPr>
              <w:t>年 </w:t>
            </w:r>
            <w:r>
              <w:rPr>
                <w:rFonts w:ascii="Times New Roman" w:eastAsia="Times New Roman"/>
                <w:sz w:val="21"/>
              </w:rPr>
              <w:t>12</w:t>
            </w:r>
            <w:r>
              <w:rPr>
                <w:rFonts w:ascii="Times New Roman" w:eastAsia="Times New Roman"/>
                <w:spacing w:val="-3"/>
                <w:sz w:val="21"/>
              </w:rPr>
              <w:t> </w:t>
            </w:r>
            <w:r>
              <w:rPr>
                <w:spacing w:val="-23"/>
                <w:sz w:val="21"/>
              </w:rPr>
              <w:t>月 </w:t>
            </w:r>
            <w:r>
              <w:rPr>
                <w:rFonts w:ascii="Times New Roman" w:eastAsia="Times New Roman"/>
                <w:sz w:val="21"/>
              </w:rPr>
              <w:t>4</w:t>
            </w:r>
            <w:r>
              <w:rPr>
                <w:rFonts w:ascii="Times New Roman" w:eastAsia="Times New Roman"/>
                <w:spacing w:val="-3"/>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）及指定媒体披露的《富士康工业互联网股份有限公司关于关于 </w:t>
            </w:r>
            <w:r>
              <w:rPr>
                <w:rFonts w:ascii="Times New Roman" w:eastAsia="Times New Roman"/>
                <w:sz w:val="21"/>
              </w:rPr>
              <w:t>2022</w:t>
            </w:r>
            <w:r>
              <w:rPr>
                <w:rFonts w:ascii="Times New Roman" w:eastAsia="Times New Roman"/>
                <w:spacing w:val="39"/>
                <w:sz w:val="21"/>
              </w:rPr>
              <w:t> </w:t>
            </w:r>
            <w:r>
              <w:rPr>
                <w:sz w:val="21"/>
              </w:rPr>
              <w:t>年</w:t>
            </w:r>
            <w:r>
              <w:rPr>
                <w:spacing w:val="21"/>
                <w:sz w:val="21"/>
              </w:rPr>
              <w:t>员工持股计划的进展公告》</w:t>
            </w:r>
            <w:r>
              <w:rPr>
                <w:sz w:val="21"/>
              </w:rPr>
              <w:t>（</w:t>
            </w:r>
            <w:r>
              <w:rPr>
                <w:spacing w:val="-10"/>
                <w:sz w:val="21"/>
              </w:rPr>
              <w:t> 公告编号： 临</w:t>
            </w:r>
            <w:r>
              <w:rPr>
                <w:rFonts w:ascii="Times New Roman" w:eastAsia="Times New Roman"/>
                <w:sz w:val="21"/>
              </w:rPr>
              <w:t>2022-091</w:t>
            </w:r>
            <w:r>
              <w:rPr>
                <w:rFonts w:ascii="Times New Roman" w:eastAsia="Times New Roman"/>
                <w:spacing w:val="-12"/>
                <w:sz w:val="21"/>
              </w:rPr>
              <w:t> </w:t>
            </w:r>
            <w:r>
              <w:rPr>
                <w:sz w:val="21"/>
              </w:rPr>
              <w:t>号）</w:t>
            </w:r>
          </w:p>
        </w:tc>
      </w:tr>
      <w:tr>
        <w:trPr>
          <w:trHeight w:val="1363" w:hRule="atLeast"/>
        </w:trPr>
        <w:tc>
          <w:tcPr>
            <w:tcW w:w="4107" w:type="dxa"/>
          </w:tcPr>
          <w:p>
            <w:pPr>
              <w:pStyle w:val="TableParagraph"/>
              <w:spacing w:line="242" w:lineRule="auto" w:before="1"/>
              <w:ind w:left="107" w:right="91"/>
              <w:jc w:val="both"/>
              <w:rPr>
                <w:sz w:val="21"/>
              </w:rPr>
            </w:pPr>
            <w:r>
              <w:rPr>
                <w:spacing w:val="-13"/>
                <w:sz w:val="21"/>
              </w:rPr>
              <w:t>公司于 </w:t>
            </w:r>
            <w:r>
              <w:rPr>
                <w:rFonts w:ascii="Times New Roman" w:eastAsia="Times New Roman"/>
                <w:spacing w:val="-1"/>
                <w:sz w:val="21"/>
              </w:rPr>
              <w:t>2022</w:t>
            </w:r>
            <w:r>
              <w:rPr>
                <w:rFonts w:ascii="Times New Roman" w:eastAsia="Times New Roman"/>
                <w:spacing w:val="-7"/>
                <w:sz w:val="21"/>
              </w:rPr>
              <w:t> </w:t>
            </w:r>
            <w:r>
              <w:rPr>
                <w:spacing w:val="-23"/>
                <w:sz w:val="21"/>
              </w:rPr>
              <w:t>年 </w:t>
            </w:r>
            <w:r>
              <w:rPr>
                <w:rFonts w:ascii="Times New Roman" w:eastAsia="Times New Roman"/>
                <w:spacing w:val="-1"/>
                <w:sz w:val="21"/>
              </w:rPr>
              <w:t>12</w:t>
            </w:r>
            <w:r>
              <w:rPr>
                <w:rFonts w:ascii="Times New Roman" w:eastAsia="Times New Roman"/>
                <w:spacing w:val="-7"/>
                <w:sz w:val="21"/>
              </w:rPr>
              <w:t> </w:t>
            </w:r>
            <w:r>
              <w:rPr>
                <w:spacing w:val="-22"/>
                <w:sz w:val="21"/>
              </w:rPr>
              <w:t>月 </w:t>
            </w:r>
            <w:r>
              <w:rPr>
                <w:rFonts w:ascii="Times New Roman" w:eastAsia="Times New Roman"/>
                <w:sz w:val="21"/>
              </w:rPr>
              <w:t>21</w:t>
            </w:r>
            <w:r>
              <w:rPr>
                <w:rFonts w:ascii="Times New Roman" w:eastAsia="Times New Roman"/>
                <w:spacing w:val="-5"/>
                <w:sz w:val="21"/>
              </w:rPr>
              <w:t> </w:t>
            </w:r>
            <w:r>
              <w:rPr>
                <w:sz w:val="21"/>
              </w:rPr>
              <w:t>日委托信托机构完成在二级市场以集中竞价交易方式购买公司股票，用于员工持股计划。</w:t>
            </w:r>
          </w:p>
        </w:tc>
        <w:tc>
          <w:tcPr>
            <w:tcW w:w="4640" w:type="dxa"/>
          </w:tcPr>
          <w:p>
            <w:pPr>
              <w:pStyle w:val="TableParagraph"/>
              <w:spacing w:line="242" w:lineRule="auto" w:before="1"/>
              <w:ind w:left="107" w:right="93"/>
              <w:jc w:val="both"/>
              <w:rPr>
                <w:sz w:val="21"/>
              </w:rPr>
            </w:pPr>
            <w:r>
              <w:rPr>
                <w:spacing w:val="-12"/>
                <w:sz w:val="21"/>
              </w:rPr>
              <w:t>详见公司于 </w:t>
            </w:r>
            <w:r>
              <w:rPr>
                <w:rFonts w:ascii="Times New Roman" w:eastAsia="Times New Roman"/>
                <w:sz w:val="21"/>
              </w:rPr>
              <w:t>2022</w:t>
            </w:r>
            <w:r>
              <w:rPr>
                <w:rFonts w:ascii="Times New Roman" w:eastAsia="Times New Roman"/>
                <w:spacing w:val="-19"/>
                <w:sz w:val="21"/>
              </w:rPr>
              <w:t> </w:t>
            </w:r>
            <w:r>
              <w:rPr>
                <w:spacing w:val="-33"/>
                <w:sz w:val="21"/>
              </w:rPr>
              <w:t>年 </w:t>
            </w:r>
            <w:r>
              <w:rPr>
                <w:rFonts w:ascii="Times New Roman" w:eastAsia="Times New Roman"/>
                <w:sz w:val="21"/>
              </w:rPr>
              <w:t>12</w:t>
            </w:r>
            <w:r>
              <w:rPr>
                <w:rFonts w:ascii="Times New Roman" w:eastAsia="Times New Roman"/>
                <w:spacing w:val="-19"/>
                <w:sz w:val="21"/>
              </w:rPr>
              <w:t> </w:t>
            </w:r>
            <w:r>
              <w:rPr>
                <w:spacing w:val="-33"/>
                <w:sz w:val="21"/>
              </w:rPr>
              <w:t>月 </w:t>
            </w:r>
            <w:r>
              <w:rPr>
                <w:rFonts w:ascii="Times New Roman" w:eastAsia="Times New Roman"/>
                <w:sz w:val="21"/>
              </w:rPr>
              <w:t>23</w:t>
            </w:r>
            <w:r>
              <w:rPr>
                <w:rFonts w:ascii="Times New Roman" w:eastAsia="Times New Roman"/>
                <w:spacing w:val="-19"/>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）及指定媒体披露的《富士康工业互联网股份有限公司关于 </w:t>
            </w:r>
            <w:r>
              <w:rPr>
                <w:rFonts w:ascii="Times New Roman" w:eastAsia="Times New Roman"/>
                <w:sz w:val="21"/>
              </w:rPr>
              <w:t>2022</w:t>
            </w:r>
            <w:r>
              <w:rPr>
                <w:rFonts w:ascii="Times New Roman" w:eastAsia="Times New Roman"/>
                <w:spacing w:val="39"/>
                <w:sz w:val="21"/>
              </w:rPr>
              <w:t> </w:t>
            </w:r>
            <w:r>
              <w:rPr>
                <w:sz w:val="21"/>
              </w:rPr>
              <w:t>年员工</w:t>
            </w:r>
          </w:p>
          <w:p>
            <w:pPr>
              <w:pStyle w:val="TableParagraph"/>
              <w:spacing w:line="270" w:lineRule="atLeast"/>
              <w:ind w:left="107" w:right="96"/>
              <w:jc w:val="both"/>
              <w:rPr>
                <w:sz w:val="21"/>
              </w:rPr>
            </w:pPr>
            <w:r>
              <w:rPr>
                <w:sz w:val="21"/>
              </w:rPr>
              <w:t>持股计划完成二级市场股票购买的公告》（公告</w:t>
            </w:r>
            <w:r>
              <w:rPr>
                <w:spacing w:val="-11"/>
                <w:sz w:val="21"/>
              </w:rPr>
              <w:t>编号：临 </w:t>
            </w:r>
            <w:r>
              <w:rPr>
                <w:rFonts w:ascii="Times New Roman" w:eastAsia="Times New Roman"/>
                <w:sz w:val="21"/>
              </w:rPr>
              <w:t>2022-096</w:t>
            </w:r>
            <w:r>
              <w:rPr>
                <w:rFonts w:ascii="Times New Roman" w:eastAsia="Times New Roman"/>
                <w:spacing w:val="-12"/>
                <w:sz w:val="21"/>
              </w:rPr>
              <w:t> </w:t>
            </w:r>
            <w:r>
              <w:rPr>
                <w:sz w:val="21"/>
              </w:rPr>
              <w:t>号）</w:t>
            </w:r>
          </w:p>
        </w:tc>
      </w:tr>
      <w:tr>
        <w:trPr>
          <w:trHeight w:val="2178" w:hRule="atLeast"/>
        </w:trPr>
        <w:tc>
          <w:tcPr>
            <w:tcW w:w="4107" w:type="dxa"/>
          </w:tcPr>
          <w:p>
            <w:pPr>
              <w:pStyle w:val="TableParagraph"/>
              <w:spacing w:line="242" w:lineRule="auto" w:before="1"/>
              <w:ind w:left="107" w:right="92"/>
              <w:rPr>
                <w:sz w:val="21"/>
              </w:rPr>
            </w:pPr>
            <w:r>
              <w:rPr>
                <w:rFonts w:ascii="Times New Roman" w:eastAsia="Times New Roman"/>
                <w:sz w:val="21"/>
              </w:rPr>
              <w:t>2022</w:t>
            </w:r>
            <w:r>
              <w:rPr>
                <w:rFonts w:ascii="Times New Roman" w:eastAsia="Times New Roman"/>
                <w:spacing w:val="-14"/>
                <w:sz w:val="21"/>
              </w:rPr>
              <w:t> </w:t>
            </w:r>
            <w:r>
              <w:rPr>
                <w:spacing w:val="-26"/>
                <w:sz w:val="21"/>
              </w:rPr>
              <w:t>年 </w:t>
            </w:r>
            <w:r>
              <w:rPr>
                <w:rFonts w:ascii="Times New Roman" w:eastAsia="Times New Roman"/>
                <w:sz w:val="21"/>
              </w:rPr>
              <w:t>12</w:t>
            </w:r>
            <w:r>
              <w:rPr>
                <w:rFonts w:ascii="Times New Roman" w:eastAsia="Times New Roman"/>
                <w:spacing w:val="-14"/>
                <w:sz w:val="21"/>
              </w:rPr>
              <w:t> </w:t>
            </w:r>
            <w:r>
              <w:rPr>
                <w:spacing w:val="-25"/>
                <w:sz w:val="21"/>
              </w:rPr>
              <w:t>月 </w:t>
            </w:r>
            <w:r>
              <w:rPr>
                <w:rFonts w:ascii="Times New Roman" w:eastAsia="Times New Roman"/>
                <w:sz w:val="21"/>
              </w:rPr>
              <w:t>28</w:t>
            </w:r>
            <w:r>
              <w:rPr>
                <w:rFonts w:ascii="Times New Roman" w:eastAsia="Times New Roman"/>
                <w:spacing w:val="-14"/>
                <w:sz w:val="21"/>
              </w:rPr>
              <w:t> </w:t>
            </w:r>
            <w:r>
              <w:rPr>
                <w:spacing w:val="-8"/>
                <w:sz w:val="21"/>
              </w:rPr>
              <w:t>日，公司召开 </w:t>
            </w:r>
            <w:r>
              <w:rPr>
                <w:rFonts w:ascii="Times New Roman" w:eastAsia="Times New Roman"/>
                <w:sz w:val="21"/>
              </w:rPr>
              <w:t>2022</w:t>
            </w:r>
            <w:r>
              <w:rPr>
                <w:rFonts w:ascii="Times New Roman" w:eastAsia="Times New Roman"/>
                <w:spacing w:val="-14"/>
                <w:sz w:val="21"/>
              </w:rPr>
              <w:t> </w:t>
            </w:r>
            <w:r>
              <w:rPr>
                <w:sz w:val="21"/>
              </w:rPr>
              <w:t>年员工持股计划第一次持有人会议，审议通过了</w:t>
            </w:r>
          </w:p>
          <w:p>
            <w:pPr>
              <w:pStyle w:val="TableParagraph"/>
              <w:spacing w:before="1"/>
              <w:ind w:left="107"/>
              <w:rPr>
                <w:sz w:val="21"/>
              </w:rPr>
            </w:pPr>
            <w:r>
              <w:rPr>
                <w:spacing w:val="-6"/>
                <w:sz w:val="21"/>
              </w:rPr>
              <w:t>《关于设立公司 </w:t>
            </w:r>
            <w:r>
              <w:rPr>
                <w:rFonts w:ascii="Times New Roman" w:eastAsia="Times New Roman"/>
                <w:sz w:val="21"/>
              </w:rPr>
              <w:t>2022</w:t>
            </w:r>
            <w:r>
              <w:rPr>
                <w:rFonts w:ascii="Times New Roman" w:eastAsia="Times New Roman"/>
                <w:spacing w:val="-4"/>
                <w:sz w:val="21"/>
              </w:rPr>
              <w:t> </w:t>
            </w:r>
            <w:r>
              <w:rPr>
                <w:sz w:val="21"/>
              </w:rPr>
              <w:t>年员工持股计划管理</w:t>
            </w:r>
          </w:p>
          <w:p>
            <w:pPr>
              <w:pStyle w:val="TableParagraph"/>
              <w:spacing w:line="244" w:lineRule="auto" w:before="2"/>
              <w:ind w:left="107" w:right="72"/>
              <w:rPr>
                <w:sz w:val="21"/>
              </w:rPr>
            </w:pPr>
            <w:r>
              <w:rPr>
                <w:spacing w:val="-4"/>
                <w:sz w:val="21"/>
              </w:rPr>
              <w:t>委员会的议案》《关于选举公司 </w:t>
            </w:r>
            <w:r>
              <w:rPr>
                <w:rFonts w:ascii="Times New Roman" w:eastAsia="Times New Roman"/>
                <w:sz w:val="21"/>
              </w:rPr>
              <w:t>2022</w:t>
            </w:r>
            <w:r>
              <w:rPr>
                <w:rFonts w:ascii="Times New Roman" w:eastAsia="Times New Roman"/>
                <w:spacing w:val="-5"/>
                <w:sz w:val="21"/>
              </w:rPr>
              <w:t> </w:t>
            </w:r>
            <w:r>
              <w:rPr>
                <w:sz w:val="21"/>
              </w:rPr>
              <w:t>年员</w:t>
            </w:r>
            <w:r>
              <w:rPr>
                <w:spacing w:val="16"/>
                <w:sz w:val="21"/>
              </w:rPr>
              <w:t>工持股计划管理委员会委员的议案》及</w:t>
            </w:r>
          </w:p>
          <w:p>
            <w:pPr>
              <w:pStyle w:val="TableParagraph"/>
              <w:spacing w:line="265" w:lineRule="exact"/>
              <w:ind w:left="107"/>
              <w:rPr>
                <w:sz w:val="21"/>
              </w:rPr>
            </w:pPr>
            <w:r>
              <w:rPr>
                <w:spacing w:val="-6"/>
                <w:sz w:val="21"/>
              </w:rPr>
              <w:t>《关于授权公司 </w:t>
            </w:r>
            <w:r>
              <w:rPr>
                <w:rFonts w:ascii="Times New Roman" w:eastAsia="Times New Roman"/>
                <w:sz w:val="21"/>
              </w:rPr>
              <w:t>2022</w:t>
            </w:r>
            <w:r>
              <w:rPr>
                <w:rFonts w:ascii="Times New Roman" w:eastAsia="Times New Roman"/>
                <w:spacing w:val="-4"/>
                <w:sz w:val="21"/>
              </w:rPr>
              <w:t> </w:t>
            </w:r>
            <w:r>
              <w:rPr>
                <w:sz w:val="21"/>
              </w:rPr>
              <w:t>年员工持股计划管理</w:t>
            </w:r>
          </w:p>
          <w:p>
            <w:pPr>
              <w:pStyle w:val="TableParagraph"/>
              <w:spacing w:line="270" w:lineRule="atLeast"/>
              <w:ind w:left="107" w:right="96"/>
              <w:rPr>
                <w:sz w:val="21"/>
              </w:rPr>
            </w:pPr>
            <w:r>
              <w:rPr>
                <w:sz w:val="21"/>
              </w:rPr>
              <w:t>委员会办理本次员工持股计划相关事宜的议案》。</w:t>
            </w:r>
          </w:p>
        </w:tc>
        <w:tc>
          <w:tcPr>
            <w:tcW w:w="4640" w:type="dxa"/>
          </w:tcPr>
          <w:p>
            <w:pPr>
              <w:pStyle w:val="TableParagraph"/>
              <w:spacing w:line="242" w:lineRule="auto" w:before="1"/>
              <w:ind w:left="107" w:right="93"/>
              <w:jc w:val="both"/>
              <w:rPr>
                <w:sz w:val="21"/>
              </w:rPr>
            </w:pPr>
            <w:r>
              <w:rPr>
                <w:spacing w:val="-12"/>
                <w:sz w:val="21"/>
              </w:rPr>
              <w:t>详见公司于 </w:t>
            </w:r>
            <w:r>
              <w:rPr>
                <w:rFonts w:ascii="Times New Roman" w:eastAsia="Times New Roman"/>
                <w:sz w:val="21"/>
              </w:rPr>
              <w:t>2022</w:t>
            </w:r>
            <w:r>
              <w:rPr>
                <w:rFonts w:ascii="Times New Roman" w:eastAsia="Times New Roman"/>
                <w:spacing w:val="-19"/>
                <w:sz w:val="21"/>
              </w:rPr>
              <w:t> </w:t>
            </w:r>
            <w:r>
              <w:rPr>
                <w:spacing w:val="-33"/>
                <w:sz w:val="21"/>
              </w:rPr>
              <w:t>年 </w:t>
            </w:r>
            <w:r>
              <w:rPr>
                <w:rFonts w:ascii="Times New Roman" w:eastAsia="Times New Roman"/>
                <w:sz w:val="21"/>
              </w:rPr>
              <w:t>12</w:t>
            </w:r>
            <w:r>
              <w:rPr>
                <w:rFonts w:ascii="Times New Roman" w:eastAsia="Times New Roman"/>
                <w:spacing w:val="-19"/>
                <w:sz w:val="21"/>
              </w:rPr>
              <w:t> </w:t>
            </w:r>
            <w:r>
              <w:rPr>
                <w:spacing w:val="-33"/>
                <w:sz w:val="21"/>
              </w:rPr>
              <w:t>月 </w:t>
            </w:r>
            <w:r>
              <w:rPr>
                <w:rFonts w:ascii="Times New Roman" w:eastAsia="Times New Roman"/>
                <w:sz w:val="21"/>
              </w:rPr>
              <w:t>30</w:t>
            </w:r>
            <w:r>
              <w:rPr>
                <w:rFonts w:ascii="Times New Roman" w:eastAsia="Times New Roman"/>
                <w:spacing w:val="-19"/>
                <w:sz w:val="21"/>
              </w:rPr>
              <w:t> </w:t>
            </w:r>
            <w:r>
              <w:rPr>
                <w:sz w:val="21"/>
              </w:rPr>
              <w:t>日在上海证券交易所网站（</w:t>
            </w:r>
            <w:hyperlink r:id="rId15">
              <w:r>
                <w:rPr>
                  <w:rFonts w:ascii="Times New Roman" w:eastAsia="Times New Roman"/>
                  <w:sz w:val="21"/>
                </w:rPr>
                <w:t>www.sse.com.cn</w:t>
              </w:r>
            </w:hyperlink>
            <w:r>
              <w:rPr>
                <w:sz w:val="21"/>
              </w:rPr>
              <w:t>）及指定媒体披露的《富士康工业互联网股份有限公司 </w:t>
            </w:r>
            <w:r>
              <w:rPr>
                <w:rFonts w:ascii="Times New Roman" w:eastAsia="Times New Roman"/>
                <w:sz w:val="21"/>
              </w:rPr>
              <w:t>2022</w:t>
            </w:r>
            <w:r>
              <w:rPr>
                <w:rFonts w:ascii="Times New Roman" w:eastAsia="Times New Roman"/>
                <w:spacing w:val="38"/>
                <w:sz w:val="21"/>
              </w:rPr>
              <w:t> </w:t>
            </w:r>
            <w:r>
              <w:rPr>
                <w:sz w:val="21"/>
              </w:rPr>
              <w:t>年员工持股计划第一次持有人会议决议公告》（公告编号：</w:t>
            </w:r>
            <w:r>
              <w:rPr>
                <w:spacing w:val="-103"/>
                <w:sz w:val="21"/>
              </w:rPr>
              <w:t> </w:t>
            </w:r>
            <w:r>
              <w:rPr>
                <w:spacing w:val="-27"/>
                <w:sz w:val="21"/>
              </w:rPr>
              <w:t>临 </w:t>
            </w:r>
            <w:r>
              <w:rPr>
                <w:rFonts w:ascii="Times New Roman" w:eastAsia="Times New Roman"/>
                <w:spacing w:val="-1"/>
                <w:sz w:val="21"/>
              </w:rPr>
              <w:t>2022-097</w:t>
            </w:r>
            <w:r>
              <w:rPr>
                <w:rFonts w:ascii="Times New Roman" w:eastAsia="Times New Roman"/>
                <w:spacing w:val="-10"/>
                <w:sz w:val="21"/>
              </w:rPr>
              <w:t> </w:t>
            </w:r>
            <w:r>
              <w:rPr>
                <w:sz w:val="21"/>
              </w:rPr>
              <w:t>号）</w:t>
            </w:r>
          </w:p>
        </w:tc>
      </w:tr>
    </w:tbl>
    <w:p>
      <w:pPr>
        <w:pStyle w:val="BodyText"/>
        <w:spacing w:before="2"/>
        <w:ind w:left="118"/>
      </w:pPr>
      <w:r>
        <w:rPr>
          <w:w w:val="100"/>
        </w:rPr>
        <w:t> </w:t>
      </w:r>
    </w:p>
    <w:p>
      <w:pPr>
        <w:pStyle w:val="BodyText"/>
        <w:spacing w:before="2"/>
        <w:ind w:left="118"/>
      </w:pPr>
      <w:r>
        <w:rPr>
          <w:w w:val="100"/>
        </w:rPr>
        <w:t> </w:t>
      </w:r>
    </w:p>
    <w:p>
      <w:pPr>
        <w:pStyle w:val="BodyText"/>
        <w:spacing w:line="295" w:lineRule="auto" w:before="65"/>
        <w:ind w:left="118" w:right="4783"/>
      </w:pPr>
      <w:r>
        <w:rPr/>
        <w:t>(二) 临时公告未披露或有后续进展的激励情况股权激励情况 </w:t>
      </w:r>
    </w:p>
    <w:p>
      <w:pPr>
        <w:pStyle w:val="BodyText"/>
        <w:spacing w:line="213" w:lineRule="exact"/>
        <w:ind w:left="118"/>
      </w:pPr>
      <w:r>
        <w:rPr>
          <w:spacing w:val="-1"/>
        </w:rPr>
        <w:t>□适用 √不适用</w:t>
      </w:r>
      <w:r>
        <w:rPr>
          <w:spacing w:val="-3"/>
        </w:rPr>
        <w:t> </w:t>
      </w:r>
      <w:r>
        <w:rPr/>
        <w:t> </w:t>
      </w:r>
    </w:p>
    <w:p>
      <w:pPr>
        <w:pStyle w:val="BodyText"/>
        <w:spacing w:before="2"/>
        <w:ind w:left="118"/>
      </w:pPr>
      <w:r>
        <w:rPr>
          <w:w w:val="100"/>
        </w:rPr>
        <w:t> </w:t>
      </w:r>
    </w:p>
    <w:p>
      <w:pPr>
        <w:pStyle w:val="BodyText"/>
        <w:spacing w:before="4"/>
        <w:ind w:left="118"/>
      </w:pPr>
      <w:r>
        <w:rPr>
          <w:spacing w:val="-1"/>
        </w:rPr>
        <w:t>其他说明</w:t>
      </w:r>
      <w:r>
        <w:rPr/>
        <w:t> </w:t>
      </w:r>
    </w:p>
    <w:p>
      <w:pPr>
        <w:pStyle w:val="BodyText"/>
        <w:spacing w:before="2"/>
        <w:ind w:left="118"/>
      </w:pPr>
      <w:r>
        <w:rPr>
          <w:spacing w:val="11"/>
        </w:rPr>
        <w:t>□适用 √不适用</w:t>
      </w:r>
      <w:r>
        <w:rPr>
          <w:spacing w:val="-3"/>
        </w:rPr>
        <w:t> </w:t>
      </w:r>
      <w:r>
        <w:rPr/>
        <w:t> </w:t>
      </w:r>
    </w:p>
    <w:p>
      <w:pPr>
        <w:pStyle w:val="BodyText"/>
        <w:spacing w:before="5"/>
        <w:ind w:left="118"/>
      </w:pPr>
      <w:r>
        <w:rPr>
          <w:w w:val="100"/>
        </w:rPr>
        <w:t> </w:t>
      </w:r>
    </w:p>
    <w:p>
      <w:pPr>
        <w:pStyle w:val="BodyText"/>
        <w:spacing w:before="2"/>
        <w:ind w:left="118"/>
      </w:pPr>
      <w:r>
        <w:rPr>
          <w:spacing w:val="-1"/>
        </w:rPr>
        <w:t>员工持股计划情况</w:t>
      </w:r>
      <w:r>
        <w:rPr/>
        <w:t> </w:t>
      </w:r>
    </w:p>
    <w:p>
      <w:pPr>
        <w:pStyle w:val="BodyText"/>
        <w:spacing w:before="5"/>
        <w:ind w:left="118"/>
      </w:pPr>
      <w:r>
        <w:rPr>
          <w:spacing w:val="11"/>
        </w:rPr>
        <w:t>√适用 □不适用</w:t>
      </w:r>
      <w:r>
        <w:rPr>
          <w:spacing w:val="-3"/>
        </w:rPr>
        <w:t> </w:t>
      </w:r>
      <w:r>
        <w:rPr/>
        <w:t> </w:t>
      </w:r>
    </w:p>
    <w:p>
      <w:pPr>
        <w:pStyle w:val="BodyText"/>
        <w:spacing w:before="2"/>
        <w:ind w:left="538"/>
        <w:rPr>
          <w:rFonts w:ascii="Times New Roman" w:eastAsia="Times New Roman"/>
        </w:rPr>
      </w:pPr>
      <w:r>
        <w:rPr>
          <w:spacing w:val="-10"/>
        </w:rPr>
        <w:t>公司分别于 </w:t>
      </w:r>
      <w:r>
        <w:rPr>
          <w:rFonts w:ascii="Times New Roman" w:eastAsia="Times New Roman"/>
        </w:rPr>
        <w:t>2022</w:t>
      </w:r>
      <w:r>
        <w:rPr>
          <w:rFonts w:ascii="Times New Roman" w:eastAsia="Times New Roman"/>
          <w:spacing w:val="-15"/>
        </w:rPr>
        <w:t> </w:t>
      </w:r>
      <w:r>
        <w:rPr>
          <w:spacing w:val="-27"/>
        </w:rPr>
        <w:t>年 </w:t>
      </w:r>
      <w:r>
        <w:rPr>
          <w:rFonts w:ascii="Times New Roman" w:eastAsia="Times New Roman"/>
        </w:rPr>
        <w:t>6</w:t>
      </w:r>
      <w:r>
        <w:rPr>
          <w:rFonts w:ascii="Times New Roman" w:eastAsia="Times New Roman"/>
          <w:spacing w:val="-15"/>
        </w:rPr>
        <w:t> </w:t>
      </w:r>
      <w:r>
        <w:rPr>
          <w:spacing w:val="-29"/>
        </w:rPr>
        <w:t>月 </w:t>
      </w:r>
      <w:r>
        <w:rPr>
          <w:rFonts w:ascii="Times New Roman" w:eastAsia="Times New Roman"/>
        </w:rPr>
        <w:t>1</w:t>
      </w:r>
      <w:r>
        <w:rPr>
          <w:rFonts w:ascii="Times New Roman" w:eastAsia="Times New Roman"/>
          <w:spacing w:val="-15"/>
        </w:rPr>
        <w:t> </w:t>
      </w:r>
      <w:r>
        <w:rPr/>
        <w:t>日召开第二届董事会第二十二次会议、</w:t>
      </w:r>
      <w:r>
        <w:rPr>
          <w:rFonts w:ascii="Times New Roman" w:eastAsia="Times New Roman"/>
        </w:rPr>
        <w:t>2022</w:t>
      </w:r>
      <w:r>
        <w:rPr>
          <w:rFonts w:ascii="Times New Roman" w:eastAsia="Times New Roman"/>
          <w:spacing w:val="-14"/>
        </w:rPr>
        <w:t> </w:t>
      </w:r>
      <w:r>
        <w:rPr>
          <w:spacing w:val="-29"/>
        </w:rPr>
        <w:t>年 </w:t>
      </w:r>
      <w:r>
        <w:rPr>
          <w:rFonts w:ascii="Times New Roman" w:eastAsia="Times New Roman"/>
        </w:rPr>
        <w:t>6</w:t>
      </w:r>
      <w:r>
        <w:rPr>
          <w:rFonts w:ascii="Times New Roman" w:eastAsia="Times New Roman"/>
          <w:spacing w:val="-12"/>
        </w:rPr>
        <w:t> </w:t>
      </w:r>
      <w:r>
        <w:rPr>
          <w:spacing w:val="-29"/>
        </w:rPr>
        <w:t>月 </w:t>
      </w:r>
      <w:r>
        <w:rPr>
          <w:rFonts w:ascii="Times New Roman" w:eastAsia="Times New Roman"/>
        </w:rPr>
        <w:t>23</w:t>
      </w:r>
      <w:r>
        <w:rPr>
          <w:rFonts w:ascii="Times New Roman" w:eastAsia="Times New Roman"/>
          <w:spacing w:val="-12"/>
        </w:rPr>
        <w:t> </w:t>
      </w:r>
      <w:r>
        <w:rPr>
          <w:spacing w:val="-14"/>
        </w:rPr>
        <w:t>日召开 </w:t>
      </w:r>
      <w:r>
        <w:rPr>
          <w:rFonts w:ascii="Times New Roman" w:eastAsia="Times New Roman"/>
        </w:rPr>
        <w:t>2021</w:t>
      </w:r>
    </w:p>
    <w:p>
      <w:pPr>
        <w:pStyle w:val="BodyText"/>
        <w:spacing w:before="139"/>
        <w:ind w:left="118"/>
      </w:pPr>
      <w:r>
        <w:rPr/>
        <w:t>年年度股东大会审议通过了《关于</w:t>
      </w:r>
      <w:r>
        <w:rPr>
          <w:rFonts w:ascii="Times New Roman" w:eastAsia="Times New Roman"/>
        </w:rPr>
        <w:t>&lt;</w:t>
      </w:r>
      <w:r>
        <w:rPr>
          <w:spacing w:val="4"/>
        </w:rPr>
        <w:t>富士康工业互联网股份有限公司 </w:t>
      </w:r>
      <w:r>
        <w:rPr>
          <w:rFonts w:ascii="Times New Roman" w:eastAsia="Times New Roman"/>
        </w:rPr>
        <w:t>2022</w:t>
      </w:r>
      <w:r>
        <w:rPr>
          <w:rFonts w:ascii="Times New Roman" w:eastAsia="Times New Roman"/>
          <w:spacing w:val="79"/>
        </w:rPr>
        <w:t> </w:t>
      </w:r>
      <w:r>
        <w:rPr/>
        <w:t>年员工持股计划（草</w:t>
      </w:r>
    </w:p>
    <w:p>
      <w:pPr>
        <w:spacing w:after="0"/>
        <w:sectPr>
          <w:pgSz w:w="11910" w:h="16840"/>
          <w:pgMar w:header="877" w:footer="1180" w:top="1440" w:bottom="1380" w:left="1680" w:right="960"/>
        </w:sectPr>
      </w:pPr>
    </w:p>
    <w:p>
      <w:pPr>
        <w:pStyle w:val="BodyText"/>
        <w:spacing w:line="367" w:lineRule="auto" w:before="68"/>
        <w:ind w:left="118" w:right="308"/>
      </w:pPr>
      <w:r>
        <w:rPr/>
        <w:t>案）</w:t>
      </w:r>
      <w:r>
        <w:rPr>
          <w:rFonts w:ascii="Times New Roman" w:eastAsia="Times New Roman"/>
        </w:rPr>
        <w:t>&gt;</w:t>
      </w:r>
      <w:r>
        <w:rPr>
          <w:spacing w:val="-2"/>
        </w:rPr>
        <w:t>及其摘要的议案》等相关议案，具体内容详见公司于 </w:t>
      </w:r>
      <w:r>
        <w:rPr>
          <w:rFonts w:ascii="Times New Roman" w:eastAsia="Times New Roman"/>
        </w:rPr>
        <w:t>2022</w:t>
      </w:r>
      <w:r>
        <w:rPr>
          <w:rFonts w:ascii="Times New Roman" w:eastAsia="Times New Roman"/>
          <w:spacing w:val="-6"/>
        </w:rPr>
        <w:t> </w:t>
      </w:r>
      <w:r>
        <w:rPr>
          <w:spacing w:val="-24"/>
        </w:rPr>
        <w:t>年 </w:t>
      </w:r>
      <w:r>
        <w:rPr>
          <w:rFonts w:ascii="Times New Roman" w:eastAsia="Times New Roman"/>
        </w:rPr>
        <w:t>6</w:t>
      </w:r>
      <w:r>
        <w:rPr>
          <w:rFonts w:ascii="Times New Roman" w:eastAsia="Times New Roman"/>
          <w:spacing w:val="-6"/>
        </w:rPr>
        <w:t> </w:t>
      </w:r>
      <w:r>
        <w:rPr>
          <w:spacing w:val="-24"/>
        </w:rPr>
        <w:t>月 </w:t>
      </w:r>
      <w:r>
        <w:rPr>
          <w:rFonts w:ascii="Times New Roman" w:eastAsia="Times New Roman"/>
        </w:rPr>
        <w:t>2</w:t>
      </w:r>
      <w:r>
        <w:rPr>
          <w:rFonts w:ascii="Times New Roman" w:eastAsia="Times New Roman"/>
          <w:spacing w:val="-7"/>
        </w:rPr>
        <w:t> </w:t>
      </w:r>
      <w:r>
        <w:rPr>
          <w:spacing w:val="-16"/>
        </w:rPr>
        <w:t>日和 </w:t>
      </w:r>
      <w:r>
        <w:rPr>
          <w:rFonts w:ascii="Times New Roman" w:eastAsia="Times New Roman"/>
        </w:rPr>
        <w:t>2022</w:t>
      </w:r>
      <w:r>
        <w:rPr>
          <w:rFonts w:ascii="Times New Roman" w:eastAsia="Times New Roman"/>
          <w:spacing w:val="-6"/>
        </w:rPr>
        <w:t> </w:t>
      </w:r>
      <w:r>
        <w:rPr>
          <w:spacing w:val="-24"/>
        </w:rPr>
        <w:t>年 </w:t>
      </w:r>
      <w:r>
        <w:rPr>
          <w:rFonts w:ascii="Times New Roman" w:eastAsia="Times New Roman"/>
        </w:rPr>
        <w:t>6</w:t>
      </w:r>
      <w:r>
        <w:rPr>
          <w:rFonts w:ascii="Times New Roman" w:eastAsia="Times New Roman"/>
          <w:spacing w:val="-6"/>
        </w:rPr>
        <w:t> </w:t>
      </w:r>
      <w:r>
        <w:rPr>
          <w:spacing w:val="-24"/>
        </w:rPr>
        <w:t>月 </w:t>
      </w:r>
      <w:r>
        <w:rPr>
          <w:rFonts w:ascii="Times New Roman" w:eastAsia="Times New Roman"/>
        </w:rPr>
        <w:t>24</w:t>
      </w:r>
      <w:r>
        <w:rPr>
          <w:rFonts w:ascii="Times New Roman" w:eastAsia="Times New Roman"/>
          <w:spacing w:val="-10"/>
        </w:rPr>
        <w:t> </w:t>
      </w:r>
      <w:r>
        <w:rPr/>
        <w:t>日在上海证券交易所官方网站及指定媒体披露的相关公告文件。后续进展如下：</w:t>
      </w:r>
    </w:p>
    <w:p>
      <w:pPr>
        <w:pStyle w:val="BodyText"/>
        <w:spacing w:line="265" w:lineRule="exact"/>
        <w:ind w:left="538"/>
      </w:pPr>
      <w:r>
        <w:rPr>
          <w:rFonts w:ascii="Times New Roman" w:eastAsia="Times New Roman"/>
        </w:rPr>
        <w:t>1.2022</w:t>
      </w:r>
      <w:r>
        <w:rPr>
          <w:rFonts w:ascii="Times New Roman" w:eastAsia="Times New Roman"/>
          <w:spacing w:val="-7"/>
        </w:rPr>
        <w:t> </w:t>
      </w:r>
      <w:r>
        <w:rPr>
          <w:spacing w:val="-22"/>
        </w:rPr>
        <w:t>年 </w:t>
      </w:r>
      <w:r>
        <w:rPr>
          <w:rFonts w:ascii="Times New Roman" w:eastAsia="Times New Roman"/>
        </w:rPr>
        <w:t>9</w:t>
      </w:r>
      <w:r>
        <w:rPr>
          <w:rFonts w:ascii="Times New Roman" w:eastAsia="Times New Roman"/>
          <w:spacing w:val="-7"/>
        </w:rPr>
        <w:t> </w:t>
      </w:r>
      <w:r>
        <w:rPr>
          <w:spacing w:val="-22"/>
        </w:rPr>
        <w:t>月 </w:t>
      </w:r>
      <w:r>
        <w:rPr>
          <w:rFonts w:ascii="Times New Roman" w:eastAsia="Times New Roman"/>
        </w:rPr>
        <w:t>21</w:t>
      </w:r>
      <w:r>
        <w:rPr>
          <w:rFonts w:ascii="Times New Roman" w:eastAsia="Times New Roman"/>
          <w:spacing w:val="-3"/>
        </w:rPr>
        <w:t> </w:t>
      </w:r>
      <w:r>
        <w:rPr>
          <w:spacing w:val="-2"/>
        </w:rPr>
        <w:t>日，公司完成员工持股计划股份回购，合计回购公司股份 </w:t>
      </w:r>
      <w:r>
        <w:rPr>
          <w:rFonts w:ascii="Times New Roman" w:eastAsia="Times New Roman"/>
        </w:rPr>
        <w:t>125,977,669</w:t>
      </w:r>
      <w:r>
        <w:rPr>
          <w:rFonts w:ascii="Times New Roman" w:eastAsia="Times New Roman"/>
          <w:spacing w:val="-5"/>
        </w:rPr>
        <w:t> </w:t>
      </w:r>
      <w:r>
        <w:rPr/>
        <w:t>股，</w:t>
      </w:r>
    </w:p>
    <w:p>
      <w:pPr>
        <w:pStyle w:val="BodyText"/>
        <w:spacing w:line="364" w:lineRule="auto" w:before="139"/>
        <w:ind w:left="118" w:right="308"/>
      </w:pPr>
      <w:r>
        <w:rPr>
          <w:spacing w:val="-5"/>
        </w:rPr>
        <w:t>约占公司总股本的 </w:t>
      </w:r>
      <w:r>
        <w:rPr>
          <w:rFonts w:ascii="Times New Roman" w:eastAsia="Times New Roman"/>
        </w:rPr>
        <w:t>0.63%</w:t>
      </w:r>
      <w:r>
        <w:rPr>
          <w:spacing w:val="-4"/>
        </w:rPr>
        <w:t>。具体内容详见公司于 </w:t>
      </w:r>
      <w:r>
        <w:rPr>
          <w:rFonts w:ascii="Times New Roman" w:eastAsia="Times New Roman"/>
        </w:rPr>
        <w:t>2022 </w:t>
      </w:r>
      <w:r>
        <w:rPr>
          <w:spacing w:val="-22"/>
        </w:rPr>
        <w:t>年 </w:t>
      </w:r>
      <w:r>
        <w:rPr>
          <w:rFonts w:ascii="Times New Roman" w:eastAsia="Times New Roman"/>
        </w:rPr>
        <w:t>9 </w:t>
      </w:r>
      <w:r>
        <w:rPr>
          <w:spacing w:val="-22"/>
        </w:rPr>
        <w:t>月 </w:t>
      </w:r>
      <w:r>
        <w:rPr>
          <w:rFonts w:ascii="Times New Roman" w:eastAsia="Times New Roman"/>
        </w:rPr>
        <w:t>23</w:t>
      </w:r>
      <w:r>
        <w:rPr>
          <w:rFonts w:ascii="Times New Roman" w:eastAsia="Times New Roman"/>
          <w:spacing w:val="-3"/>
        </w:rPr>
        <w:t> </w:t>
      </w:r>
      <w:r>
        <w:rPr/>
        <w:t>日在上海证券交易所官方网站及指定媒体披露的相关公告文件。</w:t>
      </w:r>
    </w:p>
    <w:p>
      <w:pPr>
        <w:pStyle w:val="BodyText"/>
        <w:spacing w:line="267" w:lineRule="exact"/>
        <w:ind w:left="538"/>
      </w:pPr>
      <w:r>
        <w:rPr>
          <w:rFonts w:ascii="Times New Roman" w:eastAsia="Times New Roman"/>
          <w:spacing w:val="-1"/>
        </w:rPr>
        <w:t>2.2022</w:t>
      </w:r>
      <w:r>
        <w:rPr>
          <w:rFonts w:ascii="Times New Roman" w:eastAsia="Times New Roman"/>
          <w:spacing w:val="-5"/>
        </w:rPr>
        <w:t> </w:t>
      </w:r>
      <w:r>
        <w:rPr>
          <w:spacing w:val="-21"/>
        </w:rPr>
        <w:t>年 </w:t>
      </w:r>
      <w:r>
        <w:rPr>
          <w:rFonts w:ascii="Times New Roman" w:eastAsia="Times New Roman"/>
        </w:rPr>
        <w:t>12</w:t>
      </w:r>
      <w:r>
        <w:rPr>
          <w:rFonts w:ascii="Times New Roman" w:eastAsia="Times New Roman"/>
          <w:spacing w:val="-4"/>
        </w:rPr>
        <w:t> </w:t>
      </w:r>
      <w:r>
        <w:rPr>
          <w:spacing w:val="-21"/>
        </w:rPr>
        <w:t>月 </w:t>
      </w:r>
      <w:r>
        <w:rPr>
          <w:rFonts w:ascii="Times New Roman" w:eastAsia="Times New Roman"/>
        </w:rPr>
        <w:t>21</w:t>
      </w:r>
      <w:r>
        <w:rPr>
          <w:rFonts w:ascii="Times New Roman" w:eastAsia="Times New Roman"/>
          <w:spacing w:val="-1"/>
        </w:rPr>
        <w:t> </w:t>
      </w:r>
      <w:r>
        <w:rPr/>
        <w:t>日，公司委托信托机构已完成在二级市场以集中竞价交易方式购买公司股</w:t>
      </w:r>
    </w:p>
    <w:p>
      <w:pPr>
        <w:pStyle w:val="BodyText"/>
        <w:spacing w:before="141"/>
        <w:ind w:left="118"/>
      </w:pPr>
      <w:r>
        <w:rPr>
          <w:spacing w:val="-6"/>
        </w:rPr>
        <w:t>票用于员工持股计划，合计 </w:t>
      </w:r>
      <w:r>
        <w:rPr>
          <w:rFonts w:ascii="Times New Roman" w:eastAsia="Times New Roman"/>
        </w:rPr>
        <w:t>53,249,686</w:t>
      </w:r>
      <w:r>
        <w:rPr>
          <w:rFonts w:ascii="Times New Roman" w:eastAsia="Times New Roman"/>
          <w:spacing w:val="-20"/>
        </w:rPr>
        <w:t> </w:t>
      </w:r>
      <w:r>
        <w:rPr>
          <w:spacing w:val="-7"/>
        </w:rPr>
        <w:t>股，占公司总股本的 </w:t>
      </w:r>
      <w:r>
        <w:rPr>
          <w:rFonts w:ascii="Times New Roman" w:eastAsia="Times New Roman"/>
        </w:rPr>
        <w:t>0.27%</w:t>
      </w:r>
      <w:r>
        <w:rPr>
          <w:spacing w:val="-6"/>
        </w:rPr>
        <w:t>。具体内容详见公司于 </w:t>
      </w:r>
      <w:r>
        <w:rPr>
          <w:rFonts w:ascii="Times New Roman" w:eastAsia="Times New Roman"/>
        </w:rPr>
        <w:t>2022</w:t>
      </w:r>
      <w:r>
        <w:rPr>
          <w:rFonts w:ascii="Times New Roman" w:eastAsia="Times New Roman"/>
          <w:spacing w:val="-19"/>
        </w:rPr>
        <w:t> </w:t>
      </w:r>
      <w:r>
        <w:rPr/>
        <w:t>年</w:t>
      </w:r>
    </w:p>
    <w:p>
      <w:pPr>
        <w:pStyle w:val="BodyText"/>
        <w:spacing w:before="139"/>
        <w:ind w:left="118"/>
      </w:pPr>
      <w:r>
        <w:rPr>
          <w:rFonts w:ascii="Times New Roman" w:eastAsia="Times New Roman"/>
          <w:spacing w:val="-1"/>
        </w:rPr>
        <w:t>12</w:t>
      </w:r>
      <w:r>
        <w:rPr>
          <w:rFonts w:ascii="Times New Roman" w:eastAsia="Times New Roman"/>
          <w:spacing w:val="-12"/>
        </w:rPr>
        <w:t> </w:t>
      </w:r>
      <w:r>
        <w:rPr>
          <w:spacing w:val="-27"/>
        </w:rPr>
        <w:t>月 </w:t>
      </w:r>
      <w:r>
        <w:rPr>
          <w:rFonts w:ascii="Times New Roman" w:eastAsia="Times New Roman"/>
        </w:rPr>
        <w:t>23</w:t>
      </w:r>
      <w:r>
        <w:rPr>
          <w:rFonts w:ascii="Times New Roman" w:eastAsia="Times New Roman"/>
          <w:spacing w:val="-10"/>
        </w:rPr>
        <w:t> </w:t>
      </w:r>
      <w:r>
        <w:rPr/>
        <w:t>日在上海证券交易所官方网站及指定媒体披露的相关公告文件。</w:t>
      </w:r>
    </w:p>
    <w:p>
      <w:pPr>
        <w:pStyle w:val="BodyText"/>
        <w:spacing w:before="139"/>
        <w:ind w:left="0" w:right="308"/>
        <w:jc w:val="right"/>
      </w:pPr>
      <w:r>
        <w:rPr>
          <w:rFonts w:ascii="Times New Roman" w:eastAsia="Times New Roman"/>
          <w:spacing w:val="-1"/>
        </w:rPr>
        <w:t>3.2022</w:t>
      </w:r>
      <w:r>
        <w:rPr>
          <w:rFonts w:ascii="Times New Roman" w:eastAsia="Times New Roman"/>
          <w:spacing w:val="-17"/>
        </w:rPr>
        <w:t> </w:t>
      </w:r>
      <w:r>
        <w:rPr>
          <w:spacing w:val="-31"/>
        </w:rPr>
        <w:t>年 </w:t>
      </w:r>
      <w:r>
        <w:rPr>
          <w:rFonts w:ascii="Times New Roman" w:eastAsia="Times New Roman"/>
        </w:rPr>
        <w:t>12</w:t>
      </w:r>
      <w:r>
        <w:rPr>
          <w:rFonts w:ascii="Times New Roman" w:eastAsia="Times New Roman"/>
          <w:spacing w:val="-17"/>
        </w:rPr>
        <w:t> </w:t>
      </w:r>
      <w:r>
        <w:rPr>
          <w:spacing w:val="-31"/>
        </w:rPr>
        <w:t>月 </w:t>
      </w:r>
      <w:r>
        <w:rPr>
          <w:rFonts w:ascii="Times New Roman" w:eastAsia="Times New Roman"/>
        </w:rPr>
        <w:t>28</w:t>
      </w:r>
      <w:r>
        <w:rPr>
          <w:rFonts w:ascii="Times New Roman" w:eastAsia="Times New Roman"/>
          <w:spacing w:val="-15"/>
        </w:rPr>
        <w:t> </w:t>
      </w:r>
      <w:r>
        <w:rPr>
          <w:spacing w:val="-9"/>
        </w:rPr>
        <w:t>日，公司召开 </w:t>
      </w:r>
      <w:r>
        <w:rPr>
          <w:rFonts w:ascii="Times New Roman" w:eastAsia="Times New Roman"/>
        </w:rPr>
        <w:t>2022</w:t>
      </w:r>
      <w:r>
        <w:rPr>
          <w:rFonts w:ascii="Times New Roman" w:eastAsia="Times New Roman"/>
          <w:spacing w:val="-17"/>
        </w:rPr>
        <w:t> </w:t>
      </w:r>
      <w:r>
        <w:rPr/>
        <w:t>年员工持股计划第一次持有人会议，审议通过了《关于</w:t>
      </w:r>
    </w:p>
    <w:p>
      <w:pPr>
        <w:pStyle w:val="BodyText"/>
        <w:spacing w:before="140"/>
        <w:ind w:left="0" w:right="308"/>
        <w:jc w:val="right"/>
      </w:pPr>
      <w:r>
        <w:rPr>
          <w:spacing w:val="-10"/>
        </w:rPr>
        <w:t>设立公司 </w:t>
      </w:r>
      <w:r>
        <w:rPr>
          <w:rFonts w:ascii="Times New Roman" w:eastAsia="Times New Roman"/>
          <w:spacing w:val="-1"/>
        </w:rPr>
        <w:t>2022</w:t>
      </w:r>
      <w:r>
        <w:rPr>
          <w:rFonts w:ascii="Times New Roman" w:eastAsia="Times New Roman"/>
          <w:spacing w:val="-5"/>
        </w:rPr>
        <w:t> </w:t>
      </w:r>
      <w:r>
        <w:rPr>
          <w:spacing w:val="-2"/>
        </w:rPr>
        <w:t>年员工持股计划管理委员会的议案》《关于选举公司 </w:t>
      </w:r>
      <w:r>
        <w:rPr>
          <w:rFonts w:ascii="Times New Roman" w:eastAsia="Times New Roman"/>
        </w:rPr>
        <w:t>2022</w:t>
      </w:r>
      <w:r>
        <w:rPr>
          <w:rFonts w:ascii="Times New Roman" w:eastAsia="Times New Roman"/>
          <w:spacing w:val="-3"/>
        </w:rPr>
        <w:t> </w:t>
      </w:r>
      <w:r>
        <w:rPr/>
        <w:t>年员工持股计划管理委</w:t>
      </w:r>
    </w:p>
    <w:p>
      <w:pPr>
        <w:pStyle w:val="BodyText"/>
        <w:spacing w:before="141"/>
        <w:ind w:left="118"/>
      </w:pPr>
      <w:r>
        <w:rPr>
          <w:spacing w:val="1"/>
        </w:rPr>
        <w:t>员会委员的议案》及《关于授权公司 </w:t>
      </w:r>
      <w:r>
        <w:rPr>
          <w:rFonts w:ascii="Times New Roman" w:eastAsia="Times New Roman"/>
        </w:rPr>
        <w:t>2022</w:t>
      </w:r>
      <w:r>
        <w:rPr>
          <w:rFonts w:ascii="Times New Roman" w:eastAsia="Times New Roman"/>
          <w:spacing w:val="45"/>
        </w:rPr>
        <w:t> </w:t>
      </w:r>
      <w:r>
        <w:rPr/>
        <w:t>年员工持股计划管理委员会办理本次员工持股计划相</w:t>
      </w:r>
    </w:p>
    <w:p>
      <w:pPr>
        <w:pStyle w:val="BodyText"/>
        <w:spacing w:line="364" w:lineRule="auto" w:before="139"/>
        <w:ind w:left="118" w:right="307"/>
      </w:pPr>
      <w:r>
        <w:rPr>
          <w:spacing w:val="-3"/>
        </w:rPr>
        <w:t>关事宜的议案》。具体内容详见公司于 </w:t>
      </w:r>
      <w:r>
        <w:rPr>
          <w:rFonts w:ascii="Times New Roman" w:eastAsia="Times New Roman"/>
        </w:rPr>
        <w:t>2022</w:t>
      </w:r>
      <w:r>
        <w:rPr>
          <w:rFonts w:ascii="Times New Roman" w:eastAsia="Times New Roman"/>
          <w:spacing w:val="12"/>
        </w:rPr>
        <w:t> </w:t>
      </w:r>
      <w:r>
        <w:rPr>
          <w:spacing w:val="-13"/>
        </w:rPr>
        <w:t>年 </w:t>
      </w:r>
      <w:r>
        <w:rPr>
          <w:rFonts w:ascii="Times New Roman" w:eastAsia="Times New Roman"/>
        </w:rPr>
        <w:t>12</w:t>
      </w:r>
      <w:r>
        <w:rPr>
          <w:rFonts w:ascii="Times New Roman" w:eastAsia="Times New Roman"/>
          <w:spacing w:val="10"/>
        </w:rPr>
        <w:t> </w:t>
      </w:r>
      <w:r>
        <w:rPr>
          <w:spacing w:val="-13"/>
        </w:rPr>
        <w:t>月 </w:t>
      </w:r>
      <w:r>
        <w:rPr>
          <w:rFonts w:ascii="Times New Roman" w:eastAsia="Times New Roman"/>
        </w:rPr>
        <w:t>30</w:t>
      </w:r>
      <w:r>
        <w:rPr>
          <w:rFonts w:ascii="Times New Roman" w:eastAsia="Times New Roman"/>
          <w:spacing w:val="12"/>
        </w:rPr>
        <w:t> </w:t>
      </w:r>
      <w:r>
        <w:rPr/>
        <w:t>日在上海证券交易所官方网站及指定媒体披露的相关公告文件。</w:t>
      </w:r>
    </w:p>
    <w:p>
      <w:pPr>
        <w:pStyle w:val="BodyText"/>
        <w:spacing w:line="267" w:lineRule="exact"/>
        <w:ind w:left="118"/>
      </w:pPr>
      <w:r>
        <w:rPr>
          <w:w w:val="100"/>
        </w:rPr>
        <w:t> </w:t>
      </w:r>
    </w:p>
    <w:p>
      <w:pPr>
        <w:pStyle w:val="BodyText"/>
        <w:spacing w:before="4"/>
        <w:ind w:left="118"/>
      </w:pPr>
      <w:r>
        <w:rPr>
          <w:spacing w:val="-1"/>
        </w:rPr>
        <w:t>其他激励措施</w:t>
      </w:r>
      <w:r>
        <w:rPr/>
        <w:t> </w:t>
      </w:r>
    </w:p>
    <w:p>
      <w:pPr>
        <w:pStyle w:val="BodyText"/>
        <w:spacing w:before="3"/>
        <w:ind w:left="118"/>
      </w:pPr>
      <w:r>
        <w:rPr>
          <w:spacing w:val="-1"/>
        </w:rPr>
        <w:t>□适用 √不适用</w:t>
      </w:r>
      <w:r>
        <w:rPr>
          <w:spacing w:val="-3"/>
        </w:rPr>
        <w:t> </w:t>
      </w:r>
      <w:r>
        <w:rPr/>
        <w:t> </w:t>
      </w:r>
    </w:p>
    <w:p>
      <w:pPr>
        <w:pStyle w:val="BodyText"/>
        <w:spacing w:before="4"/>
        <w:ind w:left="118"/>
      </w:pPr>
      <w:r>
        <w:rPr>
          <w:w w:val="100"/>
        </w:rPr>
        <w:t> </w:t>
      </w:r>
    </w:p>
    <w:p>
      <w:pPr>
        <w:pStyle w:val="BodyText"/>
        <w:spacing w:before="62"/>
        <w:ind w:left="118"/>
      </w:pPr>
      <w:r>
        <w:rPr/>
        <w:t>(三) 董事、高级管理人员报告期内被授予的股权激励情况</w:t>
      </w:r>
    </w:p>
    <w:p>
      <w:pPr>
        <w:pStyle w:val="BodyText"/>
        <w:spacing w:before="65"/>
        <w:ind w:left="118"/>
      </w:pPr>
      <w:r>
        <w:rPr>
          <w:spacing w:val="-1"/>
        </w:rPr>
        <w:t>√适用 □不适用</w:t>
      </w:r>
      <w:r>
        <w:rPr>
          <w:spacing w:val="-3"/>
        </w:rPr>
        <w:t> </w:t>
      </w:r>
      <w:r>
        <w:rPr/>
        <w:t> </w:t>
      </w:r>
    </w:p>
    <w:p>
      <w:pPr>
        <w:pStyle w:val="BodyText"/>
        <w:spacing w:before="2" w:after="4"/>
        <w:ind w:left="0" w:right="207"/>
        <w:jc w:val="right"/>
      </w:pPr>
      <w:r>
        <w:rPr>
          <w:spacing w:val="-1"/>
        </w:rPr>
        <w:t>单位:股</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994"/>
        <w:gridCol w:w="1140"/>
        <w:gridCol w:w="852"/>
        <w:gridCol w:w="992"/>
        <w:gridCol w:w="994"/>
        <w:gridCol w:w="994"/>
        <w:gridCol w:w="1127"/>
        <w:gridCol w:w="745"/>
      </w:tblGrid>
      <w:tr>
        <w:trPr>
          <w:trHeight w:val="1360" w:hRule="atLeast"/>
        </w:trPr>
        <w:tc>
          <w:tcPr>
            <w:tcW w:w="989" w:type="dxa"/>
          </w:tcPr>
          <w:p>
            <w:pPr>
              <w:pStyle w:val="TableParagraph"/>
              <w:rPr>
                <w:sz w:val="20"/>
              </w:rPr>
            </w:pPr>
          </w:p>
          <w:p>
            <w:pPr>
              <w:pStyle w:val="TableParagraph"/>
              <w:spacing w:before="8"/>
              <w:rPr>
                <w:sz w:val="22"/>
              </w:rPr>
            </w:pPr>
          </w:p>
          <w:p>
            <w:pPr>
              <w:pStyle w:val="TableParagraph"/>
              <w:ind w:right="168"/>
              <w:jc w:val="right"/>
              <w:rPr>
                <w:sz w:val="21"/>
              </w:rPr>
            </w:pPr>
            <w:r>
              <w:rPr>
                <w:sz w:val="21"/>
              </w:rPr>
              <w:t>姓名 </w:t>
            </w:r>
          </w:p>
        </w:tc>
        <w:tc>
          <w:tcPr>
            <w:tcW w:w="994" w:type="dxa"/>
          </w:tcPr>
          <w:p>
            <w:pPr>
              <w:pStyle w:val="TableParagraph"/>
              <w:rPr>
                <w:sz w:val="20"/>
              </w:rPr>
            </w:pPr>
          </w:p>
          <w:p>
            <w:pPr>
              <w:pStyle w:val="TableParagraph"/>
              <w:spacing w:before="8"/>
              <w:rPr>
                <w:sz w:val="22"/>
              </w:rPr>
            </w:pPr>
          </w:p>
          <w:p>
            <w:pPr>
              <w:pStyle w:val="TableParagraph"/>
              <w:ind w:left="285"/>
              <w:rPr>
                <w:sz w:val="21"/>
              </w:rPr>
            </w:pPr>
            <w:r>
              <w:rPr>
                <w:sz w:val="21"/>
              </w:rPr>
              <w:t>职务 </w:t>
            </w:r>
          </w:p>
        </w:tc>
        <w:tc>
          <w:tcPr>
            <w:tcW w:w="1140" w:type="dxa"/>
          </w:tcPr>
          <w:p>
            <w:pPr>
              <w:pStyle w:val="TableParagraph"/>
              <w:spacing w:before="3"/>
              <w:rPr>
                <w:sz w:val="21"/>
              </w:rPr>
            </w:pPr>
          </w:p>
          <w:p>
            <w:pPr>
              <w:pStyle w:val="TableParagraph"/>
              <w:spacing w:line="242" w:lineRule="auto"/>
              <w:ind w:left="148" w:right="137"/>
              <w:jc w:val="center"/>
              <w:rPr>
                <w:sz w:val="21"/>
              </w:rPr>
            </w:pPr>
            <w:r>
              <w:rPr>
                <w:spacing w:val="-1"/>
                <w:sz w:val="21"/>
              </w:rPr>
              <w:t>年初持有股票期权</w:t>
            </w:r>
            <w:r>
              <w:rPr>
                <w:sz w:val="21"/>
              </w:rPr>
              <w:t>数量 </w:t>
            </w:r>
          </w:p>
        </w:tc>
        <w:tc>
          <w:tcPr>
            <w:tcW w:w="852" w:type="dxa"/>
          </w:tcPr>
          <w:p>
            <w:pPr>
              <w:pStyle w:val="TableParagraph"/>
              <w:spacing w:line="242" w:lineRule="auto" w:before="136"/>
              <w:ind w:left="107" w:right="-15"/>
              <w:jc w:val="both"/>
              <w:rPr>
                <w:sz w:val="21"/>
              </w:rPr>
            </w:pPr>
            <w:r>
              <w:rPr>
                <w:sz w:val="21"/>
              </w:rPr>
              <w:t>报告期新授予股票期权数量 </w:t>
            </w:r>
          </w:p>
        </w:tc>
        <w:tc>
          <w:tcPr>
            <w:tcW w:w="992" w:type="dxa"/>
          </w:tcPr>
          <w:p>
            <w:pPr>
              <w:pStyle w:val="TableParagraph"/>
              <w:spacing w:before="3"/>
              <w:rPr>
                <w:sz w:val="21"/>
              </w:rPr>
            </w:pPr>
          </w:p>
          <w:p>
            <w:pPr>
              <w:pStyle w:val="TableParagraph"/>
              <w:spacing w:line="242" w:lineRule="auto"/>
              <w:ind w:left="177" w:right="65"/>
              <w:jc w:val="both"/>
              <w:rPr>
                <w:sz w:val="21"/>
              </w:rPr>
            </w:pPr>
            <w:r>
              <w:rPr>
                <w:sz w:val="21"/>
              </w:rPr>
              <w:t>报告期内可行权股份 </w:t>
            </w:r>
          </w:p>
        </w:tc>
        <w:tc>
          <w:tcPr>
            <w:tcW w:w="994" w:type="dxa"/>
          </w:tcPr>
          <w:p>
            <w:pPr>
              <w:pStyle w:val="TableParagraph"/>
              <w:spacing w:line="242" w:lineRule="auto" w:before="136"/>
              <w:ind w:left="179" w:right="169"/>
              <w:jc w:val="both"/>
              <w:rPr>
                <w:sz w:val="21"/>
              </w:rPr>
            </w:pPr>
            <w:r>
              <w:rPr>
                <w:spacing w:val="-1"/>
                <w:sz w:val="21"/>
              </w:rPr>
              <w:t>报告期股票期权行权</w:t>
            </w:r>
            <w:r>
              <w:rPr>
                <w:sz w:val="21"/>
              </w:rPr>
              <w:t>股份 </w:t>
            </w:r>
          </w:p>
        </w:tc>
        <w:tc>
          <w:tcPr>
            <w:tcW w:w="994" w:type="dxa"/>
          </w:tcPr>
          <w:p>
            <w:pPr>
              <w:pStyle w:val="TableParagraph"/>
              <w:spacing w:line="242" w:lineRule="auto" w:before="136"/>
              <w:ind w:left="128" w:right="116" w:firstLine="50"/>
              <w:jc w:val="both"/>
              <w:rPr>
                <w:sz w:val="21"/>
              </w:rPr>
            </w:pPr>
            <w:r>
              <w:rPr>
                <w:sz w:val="21"/>
              </w:rPr>
              <w:t>股票期权行权</w:t>
            </w:r>
            <w:r>
              <w:rPr>
                <w:spacing w:val="-1"/>
                <w:sz w:val="21"/>
              </w:rPr>
              <w:t>价格(元</w:t>
            </w:r>
          </w:p>
          <w:p>
            <w:pPr>
              <w:pStyle w:val="TableParagraph"/>
              <w:spacing w:before="3"/>
              <w:ind w:left="462" w:right="349"/>
              <w:jc w:val="center"/>
              <w:rPr>
                <w:sz w:val="21"/>
              </w:rPr>
            </w:pPr>
            <w:r>
              <w:rPr>
                <w:sz w:val="21"/>
              </w:rPr>
              <w:t>) </w:t>
            </w:r>
          </w:p>
        </w:tc>
        <w:tc>
          <w:tcPr>
            <w:tcW w:w="1127" w:type="dxa"/>
          </w:tcPr>
          <w:p>
            <w:pPr>
              <w:pStyle w:val="TableParagraph"/>
              <w:spacing w:before="3"/>
              <w:rPr>
                <w:sz w:val="21"/>
              </w:rPr>
            </w:pPr>
          </w:p>
          <w:p>
            <w:pPr>
              <w:pStyle w:val="TableParagraph"/>
              <w:spacing w:line="242" w:lineRule="auto"/>
              <w:ind w:left="140" w:right="131"/>
              <w:jc w:val="center"/>
              <w:rPr>
                <w:sz w:val="21"/>
              </w:rPr>
            </w:pPr>
            <w:r>
              <w:rPr>
                <w:spacing w:val="-1"/>
                <w:sz w:val="21"/>
              </w:rPr>
              <w:t>期末持有股票期权</w:t>
            </w:r>
            <w:r>
              <w:rPr>
                <w:sz w:val="21"/>
              </w:rPr>
              <w:t>数量 </w:t>
            </w:r>
          </w:p>
        </w:tc>
        <w:tc>
          <w:tcPr>
            <w:tcW w:w="745" w:type="dxa"/>
          </w:tcPr>
          <w:p>
            <w:pPr>
              <w:pStyle w:val="TableParagraph"/>
              <w:spacing w:line="242" w:lineRule="auto" w:before="1"/>
              <w:ind w:left="158" w:right="152"/>
              <w:jc w:val="both"/>
              <w:rPr>
                <w:sz w:val="21"/>
              </w:rPr>
            </w:pPr>
            <w:r>
              <w:rPr>
                <w:spacing w:val="-1"/>
                <w:sz w:val="21"/>
              </w:rPr>
              <w:t>报告期末</w:t>
            </w:r>
            <w:r>
              <w:rPr>
                <w:spacing w:val="-8"/>
                <w:sz w:val="21"/>
              </w:rPr>
              <w:t>市价</w:t>
            </w:r>
          </w:p>
          <w:p>
            <w:pPr>
              <w:pStyle w:val="TableParagraph"/>
              <w:spacing w:before="1"/>
              <w:ind w:left="158"/>
              <w:rPr>
                <w:sz w:val="21"/>
              </w:rPr>
            </w:pPr>
            <w:r>
              <w:rPr>
                <w:sz w:val="21"/>
              </w:rPr>
              <w:t>（元</w:t>
            </w:r>
          </w:p>
          <w:p>
            <w:pPr>
              <w:pStyle w:val="TableParagraph"/>
              <w:spacing w:line="250" w:lineRule="exact" w:before="4"/>
              <w:ind w:left="264"/>
              <w:rPr>
                <w:sz w:val="21"/>
              </w:rPr>
            </w:pPr>
            <w:r>
              <w:rPr>
                <w:sz w:val="21"/>
              </w:rPr>
              <w:t>） </w:t>
            </w:r>
          </w:p>
        </w:tc>
      </w:tr>
      <w:tr>
        <w:trPr>
          <w:trHeight w:val="273" w:hRule="atLeast"/>
        </w:trPr>
        <w:tc>
          <w:tcPr>
            <w:tcW w:w="989" w:type="dxa"/>
          </w:tcPr>
          <w:p>
            <w:pPr>
              <w:pStyle w:val="TableParagraph"/>
              <w:spacing w:line="252" w:lineRule="exact" w:before="1"/>
              <w:ind w:right="132"/>
              <w:jc w:val="right"/>
              <w:rPr>
                <w:sz w:val="21"/>
              </w:rPr>
            </w:pPr>
            <w:r>
              <w:rPr>
                <w:sz w:val="21"/>
              </w:rPr>
              <w:t>李军旗 </w:t>
            </w:r>
          </w:p>
        </w:tc>
        <w:tc>
          <w:tcPr>
            <w:tcW w:w="994" w:type="dxa"/>
          </w:tcPr>
          <w:p>
            <w:pPr>
              <w:pStyle w:val="TableParagraph"/>
              <w:spacing w:line="252" w:lineRule="exact" w:before="1"/>
              <w:ind w:left="107"/>
              <w:rPr>
                <w:sz w:val="21"/>
              </w:rPr>
            </w:pPr>
            <w:r>
              <w:rPr>
                <w:sz w:val="21"/>
              </w:rPr>
              <w:t>董事长 </w:t>
            </w:r>
          </w:p>
        </w:tc>
        <w:tc>
          <w:tcPr>
            <w:tcW w:w="1140" w:type="dxa"/>
          </w:tcPr>
          <w:p>
            <w:pPr>
              <w:pStyle w:val="TableParagraph"/>
              <w:spacing w:line="235" w:lineRule="exact"/>
              <w:ind w:right="122"/>
              <w:jc w:val="right"/>
              <w:rPr>
                <w:rFonts w:ascii="Times New Roman"/>
                <w:sz w:val="21"/>
              </w:rPr>
            </w:pPr>
            <w:r>
              <w:rPr>
                <w:rFonts w:ascii="Times New Roman"/>
                <w:sz w:val="21"/>
              </w:rPr>
              <w:t>480,000</w:t>
            </w:r>
          </w:p>
        </w:tc>
        <w:tc>
          <w:tcPr>
            <w:tcW w:w="852" w:type="dxa"/>
          </w:tcPr>
          <w:p>
            <w:pPr>
              <w:pStyle w:val="TableParagraph"/>
              <w:spacing w:line="235" w:lineRule="exact"/>
              <w:ind w:right="125"/>
              <w:jc w:val="right"/>
              <w:rPr>
                <w:rFonts w:ascii="Times New Roman"/>
                <w:sz w:val="21"/>
              </w:rPr>
            </w:pPr>
            <w:r>
              <w:rPr>
                <w:rFonts w:ascii="Times New Roman"/>
                <w:w w:val="100"/>
                <w:sz w:val="21"/>
              </w:rPr>
              <w:t>0</w:t>
            </w:r>
          </w:p>
        </w:tc>
        <w:tc>
          <w:tcPr>
            <w:tcW w:w="992" w:type="dxa"/>
          </w:tcPr>
          <w:p>
            <w:pPr>
              <w:pStyle w:val="TableParagraph"/>
              <w:spacing w:line="235" w:lineRule="exact"/>
              <w:ind w:left="155" w:right="104"/>
              <w:jc w:val="center"/>
              <w:rPr>
                <w:rFonts w:ascii="Times New Roman"/>
                <w:sz w:val="21"/>
              </w:rPr>
            </w:pPr>
            <w:r>
              <w:rPr>
                <w:rFonts w:ascii="Times New Roman"/>
                <w:sz w:val="21"/>
              </w:rPr>
              <w:t>120,000</w:t>
            </w:r>
          </w:p>
        </w:tc>
        <w:tc>
          <w:tcPr>
            <w:tcW w:w="994" w:type="dxa"/>
          </w:tcPr>
          <w:p>
            <w:pPr>
              <w:pStyle w:val="TableParagraph"/>
              <w:spacing w:line="235" w:lineRule="exact"/>
              <w:ind w:right="123"/>
              <w:jc w:val="right"/>
              <w:rPr>
                <w:rFonts w:ascii="Times New Roman"/>
                <w:sz w:val="21"/>
              </w:rPr>
            </w:pPr>
            <w:r>
              <w:rPr>
                <w:rFonts w:ascii="Times New Roman"/>
                <w:w w:val="100"/>
                <w:sz w:val="21"/>
              </w:rPr>
              <w:t>0</w:t>
            </w:r>
          </w:p>
        </w:tc>
        <w:tc>
          <w:tcPr>
            <w:tcW w:w="994" w:type="dxa"/>
          </w:tcPr>
          <w:p>
            <w:pPr>
              <w:pStyle w:val="TableParagraph"/>
              <w:spacing w:line="235" w:lineRule="exact"/>
              <w:ind w:right="121"/>
              <w:jc w:val="right"/>
              <w:rPr>
                <w:rFonts w:ascii="Times New Roman"/>
                <w:sz w:val="21"/>
              </w:rPr>
            </w:pPr>
            <w:r>
              <w:rPr>
                <w:rFonts w:ascii="Times New Roman"/>
                <w:sz w:val="21"/>
              </w:rPr>
              <w:t>10.971</w:t>
            </w:r>
          </w:p>
        </w:tc>
        <w:tc>
          <w:tcPr>
            <w:tcW w:w="1127" w:type="dxa"/>
          </w:tcPr>
          <w:p>
            <w:pPr>
              <w:pStyle w:val="TableParagraph"/>
              <w:spacing w:line="235" w:lineRule="exact"/>
              <w:ind w:right="122"/>
              <w:jc w:val="right"/>
              <w:rPr>
                <w:rFonts w:ascii="Times New Roman"/>
                <w:sz w:val="21"/>
              </w:rPr>
            </w:pPr>
            <w:r>
              <w:rPr>
                <w:rFonts w:ascii="Times New Roman"/>
                <w:sz w:val="21"/>
              </w:rPr>
              <w:t>360,000</w:t>
            </w:r>
          </w:p>
        </w:tc>
        <w:tc>
          <w:tcPr>
            <w:tcW w:w="745" w:type="dxa"/>
          </w:tcPr>
          <w:p>
            <w:pPr>
              <w:pStyle w:val="TableParagraph"/>
              <w:spacing w:line="235" w:lineRule="exact"/>
              <w:ind w:left="223" w:right="104"/>
              <w:jc w:val="center"/>
              <w:rPr>
                <w:rFonts w:ascii="Times New Roman"/>
                <w:sz w:val="21"/>
              </w:rPr>
            </w:pPr>
            <w:r>
              <w:rPr>
                <w:rFonts w:ascii="Times New Roman"/>
                <w:sz w:val="21"/>
              </w:rPr>
              <w:t>9.18</w:t>
            </w:r>
          </w:p>
        </w:tc>
      </w:tr>
      <w:tr>
        <w:trPr>
          <w:trHeight w:val="815" w:hRule="atLeast"/>
        </w:trPr>
        <w:tc>
          <w:tcPr>
            <w:tcW w:w="989" w:type="dxa"/>
          </w:tcPr>
          <w:p>
            <w:pPr>
              <w:pStyle w:val="TableParagraph"/>
              <w:spacing w:before="1"/>
              <w:ind w:right="132"/>
              <w:jc w:val="right"/>
              <w:rPr>
                <w:sz w:val="21"/>
              </w:rPr>
            </w:pPr>
            <w:r>
              <w:rPr>
                <w:sz w:val="21"/>
              </w:rPr>
              <w:t>郑弘孟 </w:t>
            </w:r>
          </w:p>
        </w:tc>
        <w:tc>
          <w:tcPr>
            <w:tcW w:w="994" w:type="dxa"/>
          </w:tcPr>
          <w:p>
            <w:pPr>
              <w:pStyle w:val="TableParagraph"/>
              <w:spacing w:line="242" w:lineRule="auto" w:before="1"/>
              <w:ind w:left="107" w:right="240"/>
              <w:rPr>
                <w:sz w:val="21"/>
              </w:rPr>
            </w:pPr>
            <w:r>
              <w:rPr>
                <w:sz w:val="21"/>
              </w:rPr>
              <w:t>副董事长、总</w:t>
            </w:r>
          </w:p>
          <w:p>
            <w:pPr>
              <w:pStyle w:val="TableParagraph"/>
              <w:spacing w:line="250" w:lineRule="exact" w:before="1"/>
              <w:ind w:left="107"/>
              <w:rPr>
                <w:sz w:val="21"/>
              </w:rPr>
            </w:pPr>
            <w:r>
              <w:rPr>
                <w:sz w:val="21"/>
              </w:rPr>
              <w:t>经理 </w:t>
            </w:r>
          </w:p>
        </w:tc>
        <w:tc>
          <w:tcPr>
            <w:tcW w:w="1140" w:type="dxa"/>
          </w:tcPr>
          <w:p>
            <w:pPr>
              <w:pStyle w:val="TableParagraph"/>
              <w:spacing w:line="235" w:lineRule="exact"/>
              <w:ind w:right="122"/>
              <w:jc w:val="right"/>
              <w:rPr>
                <w:rFonts w:ascii="Times New Roman"/>
                <w:sz w:val="21"/>
              </w:rPr>
            </w:pPr>
            <w:r>
              <w:rPr>
                <w:rFonts w:ascii="Times New Roman"/>
                <w:sz w:val="21"/>
              </w:rPr>
              <w:t>400,000</w:t>
            </w:r>
          </w:p>
        </w:tc>
        <w:tc>
          <w:tcPr>
            <w:tcW w:w="852" w:type="dxa"/>
          </w:tcPr>
          <w:p>
            <w:pPr>
              <w:pStyle w:val="TableParagraph"/>
              <w:spacing w:line="235" w:lineRule="exact"/>
              <w:ind w:right="125"/>
              <w:jc w:val="right"/>
              <w:rPr>
                <w:rFonts w:ascii="Times New Roman"/>
                <w:sz w:val="21"/>
              </w:rPr>
            </w:pPr>
            <w:r>
              <w:rPr>
                <w:rFonts w:ascii="Times New Roman"/>
                <w:w w:val="100"/>
                <w:sz w:val="21"/>
              </w:rPr>
              <w:t>0</w:t>
            </w:r>
          </w:p>
        </w:tc>
        <w:tc>
          <w:tcPr>
            <w:tcW w:w="992" w:type="dxa"/>
          </w:tcPr>
          <w:p>
            <w:pPr>
              <w:pStyle w:val="TableParagraph"/>
              <w:spacing w:line="235" w:lineRule="exact"/>
              <w:ind w:left="155" w:right="104"/>
              <w:jc w:val="center"/>
              <w:rPr>
                <w:rFonts w:ascii="Times New Roman"/>
                <w:sz w:val="21"/>
              </w:rPr>
            </w:pPr>
            <w:r>
              <w:rPr>
                <w:rFonts w:ascii="Times New Roman"/>
                <w:sz w:val="21"/>
              </w:rPr>
              <w:t>100,000</w:t>
            </w:r>
          </w:p>
        </w:tc>
        <w:tc>
          <w:tcPr>
            <w:tcW w:w="994" w:type="dxa"/>
          </w:tcPr>
          <w:p>
            <w:pPr>
              <w:pStyle w:val="TableParagraph"/>
              <w:spacing w:line="235" w:lineRule="exact"/>
              <w:ind w:right="123"/>
              <w:jc w:val="right"/>
              <w:rPr>
                <w:rFonts w:ascii="Times New Roman"/>
                <w:sz w:val="21"/>
              </w:rPr>
            </w:pPr>
            <w:r>
              <w:rPr>
                <w:rFonts w:ascii="Times New Roman"/>
                <w:w w:val="100"/>
                <w:sz w:val="21"/>
              </w:rPr>
              <w:t>0</w:t>
            </w:r>
          </w:p>
        </w:tc>
        <w:tc>
          <w:tcPr>
            <w:tcW w:w="994" w:type="dxa"/>
          </w:tcPr>
          <w:p>
            <w:pPr>
              <w:pStyle w:val="TableParagraph"/>
              <w:spacing w:line="235" w:lineRule="exact"/>
              <w:ind w:right="121"/>
              <w:jc w:val="right"/>
              <w:rPr>
                <w:rFonts w:ascii="Times New Roman"/>
                <w:sz w:val="21"/>
              </w:rPr>
            </w:pPr>
            <w:r>
              <w:rPr>
                <w:rFonts w:ascii="Times New Roman"/>
                <w:sz w:val="21"/>
              </w:rPr>
              <w:t>10.971</w:t>
            </w:r>
          </w:p>
        </w:tc>
        <w:tc>
          <w:tcPr>
            <w:tcW w:w="1127" w:type="dxa"/>
          </w:tcPr>
          <w:p>
            <w:pPr>
              <w:pStyle w:val="TableParagraph"/>
              <w:spacing w:line="235" w:lineRule="exact"/>
              <w:ind w:right="122"/>
              <w:jc w:val="right"/>
              <w:rPr>
                <w:rFonts w:ascii="Times New Roman"/>
                <w:sz w:val="21"/>
              </w:rPr>
            </w:pPr>
            <w:r>
              <w:rPr>
                <w:rFonts w:ascii="Times New Roman"/>
                <w:sz w:val="21"/>
              </w:rPr>
              <w:t>300,000</w:t>
            </w:r>
          </w:p>
        </w:tc>
        <w:tc>
          <w:tcPr>
            <w:tcW w:w="745" w:type="dxa"/>
          </w:tcPr>
          <w:p>
            <w:pPr>
              <w:pStyle w:val="TableParagraph"/>
              <w:spacing w:line="235" w:lineRule="exact"/>
              <w:ind w:left="223" w:right="104"/>
              <w:jc w:val="center"/>
              <w:rPr>
                <w:rFonts w:ascii="Times New Roman"/>
                <w:sz w:val="21"/>
              </w:rPr>
            </w:pPr>
            <w:r>
              <w:rPr>
                <w:rFonts w:ascii="Times New Roman"/>
                <w:sz w:val="21"/>
              </w:rPr>
              <w:t>9.18</w:t>
            </w:r>
          </w:p>
        </w:tc>
      </w:tr>
      <w:tr>
        <w:trPr>
          <w:trHeight w:val="273" w:hRule="atLeast"/>
        </w:trPr>
        <w:tc>
          <w:tcPr>
            <w:tcW w:w="989" w:type="dxa"/>
          </w:tcPr>
          <w:p>
            <w:pPr>
              <w:pStyle w:val="TableParagraph"/>
              <w:spacing w:line="250" w:lineRule="exact" w:before="3"/>
              <w:ind w:right="132"/>
              <w:jc w:val="right"/>
              <w:rPr>
                <w:sz w:val="21"/>
              </w:rPr>
            </w:pPr>
            <w:r>
              <w:rPr>
                <w:sz w:val="21"/>
              </w:rPr>
              <w:t>周泰裕 </w:t>
            </w:r>
          </w:p>
        </w:tc>
        <w:tc>
          <w:tcPr>
            <w:tcW w:w="994" w:type="dxa"/>
          </w:tcPr>
          <w:p>
            <w:pPr>
              <w:pStyle w:val="TableParagraph"/>
              <w:spacing w:line="250" w:lineRule="exact" w:before="3"/>
              <w:ind w:left="107"/>
              <w:rPr>
                <w:sz w:val="21"/>
              </w:rPr>
            </w:pPr>
            <w:r>
              <w:rPr>
                <w:sz w:val="21"/>
              </w:rPr>
              <w:t>董事 </w:t>
            </w:r>
          </w:p>
        </w:tc>
        <w:tc>
          <w:tcPr>
            <w:tcW w:w="1140" w:type="dxa"/>
          </w:tcPr>
          <w:p>
            <w:pPr>
              <w:pStyle w:val="TableParagraph"/>
              <w:spacing w:line="237" w:lineRule="exact"/>
              <w:ind w:right="122"/>
              <w:jc w:val="right"/>
              <w:rPr>
                <w:rFonts w:ascii="Times New Roman"/>
                <w:sz w:val="21"/>
              </w:rPr>
            </w:pPr>
            <w:r>
              <w:rPr>
                <w:rFonts w:ascii="Times New Roman"/>
                <w:sz w:val="21"/>
              </w:rPr>
              <w:t>800,000</w:t>
            </w:r>
          </w:p>
        </w:tc>
        <w:tc>
          <w:tcPr>
            <w:tcW w:w="852" w:type="dxa"/>
          </w:tcPr>
          <w:p>
            <w:pPr>
              <w:pStyle w:val="TableParagraph"/>
              <w:spacing w:line="237" w:lineRule="exact"/>
              <w:ind w:right="125"/>
              <w:jc w:val="right"/>
              <w:rPr>
                <w:rFonts w:ascii="Times New Roman"/>
                <w:sz w:val="21"/>
              </w:rPr>
            </w:pPr>
            <w:r>
              <w:rPr>
                <w:rFonts w:ascii="Times New Roman"/>
                <w:w w:val="100"/>
                <w:sz w:val="21"/>
              </w:rPr>
              <w:t>0</w:t>
            </w:r>
          </w:p>
        </w:tc>
        <w:tc>
          <w:tcPr>
            <w:tcW w:w="992" w:type="dxa"/>
          </w:tcPr>
          <w:p>
            <w:pPr>
              <w:pStyle w:val="TableParagraph"/>
              <w:spacing w:line="237" w:lineRule="exact"/>
              <w:ind w:left="155" w:right="104"/>
              <w:jc w:val="center"/>
              <w:rPr>
                <w:rFonts w:ascii="Times New Roman"/>
                <w:sz w:val="21"/>
              </w:rPr>
            </w:pPr>
            <w:r>
              <w:rPr>
                <w:rFonts w:ascii="Times New Roman"/>
                <w:sz w:val="21"/>
              </w:rPr>
              <w:t>200,000</w:t>
            </w:r>
          </w:p>
        </w:tc>
        <w:tc>
          <w:tcPr>
            <w:tcW w:w="994" w:type="dxa"/>
          </w:tcPr>
          <w:p>
            <w:pPr>
              <w:pStyle w:val="TableParagraph"/>
              <w:spacing w:line="237" w:lineRule="exact"/>
              <w:ind w:right="123"/>
              <w:jc w:val="right"/>
              <w:rPr>
                <w:rFonts w:ascii="Times New Roman"/>
                <w:sz w:val="21"/>
              </w:rPr>
            </w:pPr>
            <w:r>
              <w:rPr>
                <w:rFonts w:ascii="Times New Roman"/>
                <w:w w:val="100"/>
                <w:sz w:val="21"/>
              </w:rPr>
              <w:t>0</w:t>
            </w:r>
          </w:p>
        </w:tc>
        <w:tc>
          <w:tcPr>
            <w:tcW w:w="994" w:type="dxa"/>
          </w:tcPr>
          <w:p>
            <w:pPr>
              <w:pStyle w:val="TableParagraph"/>
              <w:spacing w:line="237" w:lineRule="exact"/>
              <w:ind w:right="121"/>
              <w:jc w:val="right"/>
              <w:rPr>
                <w:rFonts w:ascii="Times New Roman"/>
                <w:sz w:val="21"/>
              </w:rPr>
            </w:pPr>
            <w:r>
              <w:rPr>
                <w:rFonts w:ascii="Times New Roman"/>
                <w:sz w:val="21"/>
              </w:rPr>
              <w:t>10.971</w:t>
            </w:r>
          </w:p>
        </w:tc>
        <w:tc>
          <w:tcPr>
            <w:tcW w:w="1127" w:type="dxa"/>
          </w:tcPr>
          <w:p>
            <w:pPr>
              <w:pStyle w:val="TableParagraph"/>
              <w:spacing w:line="237" w:lineRule="exact"/>
              <w:ind w:right="122"/>
              <w:jc w:val="right"/>
              <w:rPr>
                <w:rFonts w:ascii="Times New Roman"/>
                <w:sz w:val="21"/>
              </w:rPr>
            </w:pPr>
            <w:r>
              <w:rPr>
                <w:rFonts w:ascii="Times New Roman"/>
                <w:sz w:val="21"/>
              </w:rPr>
              <w:t>600,000</w:t>
            </w:r>
          </w:p>
        </w:tc>
        <w:tc>
          <w:tcPr>
            <w:tcW w:w="745" w:type="dxa"/>
          </w:tcPr>
          <w:p>
            <w:pPr>
              <w:pStyle w:val="TableParagraph"/>
              <w:spacing w:line="237" w:lineRule="exact"/>
              <w:ind w:left="223" w:right="104"/>
              <w:jc w:val="center"/>
              <w:rPr>
                <w:rFonts w:ascii="Times New Roman"/>
                <w:sz w:val="21"/>
              </w:rPr>
            </w:pPr>
            <w:r>
              <w:rPr>
                <w:rFonts w:ascii="Times New Roman"/>
                <w:sz w:val="21"/>
              </w:rPr>
              <w:t>9.18</w:t>
            </w:r>
          </w:p>
        </w:tc>
      </w:tr>
      <w:tr>
        <w:trPr>
          <w:trHeight w:val="1089" w:hRule="atLeast"/>
        </w:trPr>
        <w:tc>
          <w:tcPr>
            <w:tcW w:w="989" w:type="dxa"/>
          </w:tcPr>
          <w:p>
            <w:pPr>
              <w:pStyle w:val="TableParagraph"/>
              <w:spacing w:before="1"/>
              <w:ind w:right="132"/>
              <w:jc w:val="right"/>
              <w:rPr>
                <w:sz w:val="21"/>
              </w:rPr>
            </w:pPr>
            <w:r>
              <w:rPr>
                <w:sz w:val="21"/>
              </w:rPr>
              <w:t>郭俊宏 </w:t>
            </w:r>
          </w:p>
        </w:tc>
        <w:tc>
          <w:tcPr>
            <w:tcW w:w="994" w:type="dxa"/>
          </w:tcPr>
          <w:p>
            <w:pPr>
              <w:pStyle w:val="TableParagraph"/>
              <w:spacing w:line="242" w:lineRule="auto" w:before="1"/>
              <w:ind w:left="107" w:right="240"/>
              <w:jc w:val="both"/>
              <w:rPr>
                <w:sz w:val="21"/>
              </w:rPr>
            </w:pPr>
            <w:r>
              <w:rPr>
                <w:sz w:val="21"/>
              </w:rPr>
              <w:t>董事会秘书、财务总</w:t>
            </w:r>
          </w:p>
          <w:p>
            <w:pPr>
              <w:pStyle w:val="TableParagraph"/>
              <w:spacing w:line="250" w:lineRule="exact" w:before="3"/>
              <w:ind w:left="107"/>
              <w:rPr>
                <w:sz w:val="21"/>
              </w:rPr>
            </w:pPr>
            <w:r>
              <w:rPr>
                <w:sz w:val="21"/>
              </w:rPr>
              <w:t>监 </w:t>
            </w:r>
          </w:p>
        </w:tc>
        <w:tc>
          <w:tcPr>
            <w:tcW w:w="1140" w:type="dxa"/>
          </w:tcPr>
          <w:p>
            <w:pPr>
              <w:pStyle w:val="TableParagraph"/>
              <w:spacing w:line="235" w:lineRule="exact"/>
              <w:ind w:right="122"/>
              <w:jc w:val="right"/>
              <w:rPr>
                <w:rFonts w:ascii="Times New Roman"/>
                <w:sz w:val="21"/>
              </w:rPr>
            </w:pPr>
            <w:r>
              <w:rPr>
                <w:rFonts w:ascii="Times New Roman"/>
                <w:sz w:val="21"/>
              </w:rPr>
              <w:t>578,900</w:t>
            </w:r>
          </w:p>
        </w:tc>
        <w:tc>
          <w:tcPr>
            <w:tcW w:w="852" w:type="dxa"/>
          </w:tcPr>
          <w:p>
            <w:pPr>
              <w:pStyle w:val="TableParagraph"/>
              <w:spacing w:line="235" w:lineRule="exact"/>
              <w:ind w:right="125"/>
              <w:jc w:val="right"/>
              <w:rPr>
                <w:rFonts w:ascii="Times New Roman"/>
                <w:sz w:val="21"/>
              </w:rPr>
            </w:pPr>
            <w:r>
              <w:rPr>
                <w:rFonts w:ascii="Times New Roman"/>
                <w:w w:val="100"/>
                <w:sz w:val="21"/>
              </w:rPr>
              <w:t>0</w:t>
            </w:r>
          </w:p>
        </w:tc>
        <w:tc>
          <w:tcPr>
            <w:tcW w:w="992" w:type="dxa"/>
          </w:tcPr>
          <w:p>
            <w:pPr>
              <w:pStyle w:val="TableParagraph"/>
              <w:spacing w:line="235" w:lineRule="exact"/>
              <w:ind w:left="155" w:right="104"/>
              <w:jc w:val="center"/>
              <w:rPr>
                <w:rFonts w:ascii="Times New Roman"/>
                <w:sz w:val="21"/>
              </w:rPr>
            </w:pPr>
            <w:r>
              <w:rPr>
                <w:rFonts w:ascii="Times New Roman"/>
                <w:sz w:val="21"/>
              </w:rPr>
              <w:t>289,450</w:t>
            </w:r>
          </w:p>
        </w:tc>
        <w:tc>
          <w:tcPr>
            <w:tcW w:w="994" w:type="dxa"/>
          </w:tcPr>
          <w:p>
            <w:pPr>
              <w:pStyle w:val="TableParagraph"/>
              <w:spacing w:line="235" w:lineRule="exact"/>
              <w:ind w:right="123"/>
              <w:jc w:val="right"/>
              <w:rPr>
                <w:rFonts w:ascii="Times New Roman"/>
                <w:sz w:val="21"/>
              </w:rPr>
            </w:pPr>
            <w:r>
              <w:rPr>
                <w:rFonts w:ascii="Times New Roman"/>
                <w:w w:val="100"/>
                <w:sz w:val="21"/>
              </w:rPr>
              <w:t>0</w:t>
            </w:r>
          </w:p>
        </w:tc>
        <w:tc>
          <w:tcPr>
            <w:tcW w:w="994" w:type="dxa"/>
          </w:tcPr>
          <w:p>
            <w:pPr>
              <w:pStyle w:val="TableParagraph"/>
              <w:spacing w:line="235" w:lineRule="exact"/>
              <w:ind w:right="121"/>
              <w:jc w:val="right"/>
              <w:rPr>
                <w:rFonts w:ascii="Times New Roman"/>
                <w:sz w:val="21"/>
              </w:rPr>
            </w:pPr>
            <w:r>
              <w:rPr>
                <w:rFonts w:ascii="Times New Roman"/>
                <w:sz w:val="21"/>
              </w:rPr>
              <w:t>10.971</w:t>
            </w:r>
          </w:p>
        </w:tc>
        <w:tc>
          <w:tcPr>
            <w:tcW w:w="1127" w:type="dxa"/>
          </w:tcPr>
          <w:p>
            <w:pPr>
              <w:pStyle w:val="TableParagraph"/>
              <w:spacing w:line="235" w:lineRule="exact"/>
              <w:ind w:right="122"/>
              <w:jc w:val="right"/>
              <w:rPr>
                <w:rFonts w:ascii="Times New Roman"/>
                <w:sz w:val="21"/>
              </w:rPr>
            </w:pPr>
            <w:r>
              <w:rPr>
                <w:rFonts w:ascii="Times New Roman"/>
                <w:sz w:val="21"/>
              </w:rPr>
              <w:t>434,175</w:t>
            </w:r>
          </w:p>
        </w:tc>
        <w:tc>
          <w:tcPr>
            <w:tcW w:w="745" w:type="dxa"/>
          </w:tcPr>
          <w:p>
            <w:pPr>
              <w:pStyle w:val="TableParagraph"/>
              <w:spacing w:line="235" w:lineRule="exact"/>
              <w:ind w:left="223" w:right="104"/>
              <w:jc w:val="center"/>
              <w:rPr>
                <w:rFonts w:ascii="Times New Roman"/>
                <w:sz w:val="21"/>
              </w:rPr>
            </w:pPr>
            <w:r>
              <w:rPr>
                <w:rFonts w:ascii="Times New Roman"/>
                <w:sz w:val="21"/>
              </w:rPr>
              <w:t>9.18</w:t>
            </w:r>
          </w:p>
        </w:tc>
      </w:tr>
      <w:tr>
        <w:trPr>
          <w:trHeight w:val="273" w:hRule="atLeast"/>
        </w:trPr>
        <w:tc>
          <w:tcPr>
            <w:tcW w:w="989" w:type="dxa"/>
          </w:tcPr>
          <w:p>
            <w:pPr>
              <w:pStyle w:val="TableParagraph"/>
              <w:spacing w:line="252" w:lineRule="exact" w:before="1"/>
              <w:ind w:left="270"/>
              <w:rPr>
                <w:sz w:val="21"/>
              </w:rPr>
            </w:pPr>
            <w:r>
              <w:rPr>
                <w:sz w:val="21"/>
              </w:rPr>
              <w:t>合计 </w:t>
            </w:r>
          </w:p>
        </w:tc>
        <w:tc>
          <w:tcPr>
            <w:tcW w:w="994" w:type="dxa"/>
          </w:tcPr>
          <w:p>
            <w:pPr>
              <w:pStyle w:val="TableParagraph"/>
              <w:spacing w:line="252" w:lineRule="exact" w:before="1"/>
              <w:ind w:left="448" w:right="363"/>
              <w:jc w:val="center"/>
              <w:rPr>
                <w:sz w:val="21"/>
              </w:rPr>
            </w:pPr>
            <w:r>
              <w:rPr>
                <w:sz w:val="21"/>
              </w:rPr>
              <w:t>/ </w:t>
            </w:r>
          </w:p>
        </w:tc>
        <w:tc>
          <w:tcPr>
            <w:tcW w:w="1140" w:type="dxa"/>
          </w:tcPr>
          <w:p>
            <w:pPr>
              <w:pStyle w:val="TableParagraph"/>
              <w:spacing w:line="235" w:lineRule="exact"/>
              <w:ind w:right="122"/>
              <w:jc w:val="right"/>
              <w:rPr>
                <w:rFonts w:ascii="Times New Roman"/>
                <w:sz w:val="21"/>
              </w:rPr>
            </w:pPr>
            <w:r>
              <w:rPr>
                <w:rFonts w:ascii="Times New Roman"/>
                <w:sz w:val="21"/>
              </w:rPr>
              <w:t>2,258,900</w:t>
            </w:r>
          </w:p>
        </w:tc>
        <w:tc>
          <w:tcPr>
            <w:tcW w:w="852" w:type="dxa"/>
          </w:tcPr>
          <w:p>
            <w:pPr>
              <w:pStyle w:val="TableParagraph"/>
              <w:spacing w:line="235" w:lineRule="exact"/>
              <w:ind w:right="125"/>
              <w:jc w:val="right"/>
              <w:rPr>
                <w:rFonts w:ascii="Times New Roman"/>
                <w:sz w:val="21"/>
              </w:rPr>
            </w:pPr>
            <w:r>
              <w:rPr>
                <w:rFonts w:ascii="Times New Roman"/>
                <w:w w:val="100"/>
                <w:sz w:val="21"/>
              </w:rPr>
              <w:t>0</w:t>
            </w:r>
          </w:p>
        </w:tc>
        <w:tc>
          <w:tcPr>
            <w:tcW w:w="992" w:type="dxa"/>
          </w:tcPr>
          <w:p>
            <w:pPr>
              <w:pStyle w:val="TableParagraph"/>
              <w:spacing w:line="235" w:lineRule="exact"/>
              <w:ind w:left="155" w:right="104"/>
              <w:jc w:val="center"/>
              <w:rPr>
                <w:rFonts w:ascii="Times New Roman"/>
                <w:sz w:val="21"/>
              </w:rPr>
            </w:pPr>
            <w:r>
              <w:rPr>
                <w:rFonts w:ascii="Times New Roman"/>
                <w:sz w:val="21"/>
              </w:rPr>
              <w:t>709,450</w:t>
            </w:r>
          </w:p>
        </w:tc>
        <w:tc>
          <w:tcPr>
            <w:tcW w:w="994" w:type="dxa"/>
          </w:tcPr>
          <w:p>
            <w:pPr>
              <w:pStyle w:val="TableParagraph"/>
              <w:spacing w:line="235" w:lineRule="exact"/>
              <w:ind w:right="123"/>
              <w:jc w:val="right"/>
              <w:rPr>
                <w:rFonts w:ascii="Times New Roman"/>
                <w:sz w:val="21"/>
              </w:rPr>
            </w:pPr>
            <w:r>
              <w:rPr>
                <w:rFonts w:ascii="Times New Roman"/>
                <w:w w:val="100"/>
                <w:sz w:val="21"/>
              </w:rPr>
              <w:t>0</w:t>
            </w:r>
          </w:p>
        </w:tc>
        <w:tc>
          <w:tcPr>
            <w:tcW w:w="994" w:type="dxa"/>
          </w:tcPr>
          <w:p>
            <w:pPr>
              <w:pStyle w:val="TableParagraph"/>
              <w:spacing w:line="235" w:lineRule="exact"/>
              <w:ind w:right="18"/>
              <w:jc w:val="center"/>
              <w:rPr>
                <w:rFonts w:ascii="Times New Roman"/>
                <w:sz w:val="21"/>
              </w:rPr>
            </w:pPr>
            <w:r>
              <w:rPr>
                <w:rFonts w:ascii="Times New Roman"/>
                <w:w w:val="100"/>
                <w:sz w:val="21"/>
              </w:rPr>
              <w:t>/</w:t>
            </w:r>
          </w:p>
        </w:tc>
        <w:tc>
          <w:tcPr>
            <w:tcW w:w="1127" w:type="dxa"/>
          </w:tcPr>
          <w:p>
            <w:pPr>
              <w:pStyle w:val="TableParagraph"/>
              <w:spacing w:line="235" w:lineRule="exact"/>
              <w:ind w:right="122"/>
              <w:jc w:val="right"/>
              <w:rPr>
                <w:rFonts w:ascii="Times New Roman"/>
                <w:sz w:val="21"/>
              </w:rPr>
            </w:pPr>
            <w:r>
              <w:rPr>
                <w:rFonts w:ascii="Times New Roman"/>
                <w:sz w:val="21"/>
              </w:rPr>
              <w:t>1,694,175</w:t>
            </w:r>
          </w:p>
        </w:tc>
        <w:tc>
          <w:tcPr>
            <w:tcW w:w="745" w:type="dxa"/>
          </w:tcPr>
          <w:p>
            <w:pPr>
              <w:pStyle w:val="TableParagraph"/>
              <w:spacing w:line="235" w:lineRule="exact"/>
              <w:ind w:right="16"/>
              <w:jc w:val="center"/>
              <w:rPr>
                <w:rFonts w:ascii="Times New Roman"/>
                <w:sz w:val="21"/>
              </w:rPr>
            </w:pPr>
            <w:r>
              <w:rPr>
                <w:rFonts w:ascii="Times New Roman"/>
                <w:w w:val="100"/>
                <w:sz w:val="21"/>
              </w:rPr>
              <w:t>/</w:t>
            </w:r>
          </w:p>
        </w:tc>
      </w:tr>
    </w:tbl>
    <w:p>
      <w:pPr>
        <w:pStyle w:val="BodyText"/>
        <w:spacing w:before="1"/>
        <w:ind w:left="118"/>
      </w:pPr>
      <w:r>
        <w:rPr/>
        <w:t>注：</w:t>
      </w:r>
    </w:p>
    <w:p>
      <w:pPr>
        <w:pStyle w:val="ListParagraph"/>
        <w:numPr>
          <w:ilvl w:val="0"/>
          <w:numId w:val="25"/>
        </w:numPr>
        <w:tabs>
          <w:tab w:pos="653" w:val="left" w:leader="none"/>
        </w:tabs>
        <w:spacing w:line="242" w:lineRule="auto" w:before="2" w:after="0"/>
        <w:ind w:left="118" w:right="307" w:firstLine="0"/>
        <w:jc w:val="both"/>
        <w:rPr>
          <w:sz w:val="21"/>
        </w:rPr>
      </w:pPr>
      <w:r>
        <w:rPr>
          <w:sz w:val="21"/>
        </w:rPr>
        <w:t>公司董事长李军旗先生、副董事长、总经理郑弘孟先生、董事周泰裕先生在</w:t>
      </w:r>
      <w:r>
        <w:rPr>
          <w:rFonts w:ascii="Times New Roman" w:eastAsia="Times New Roman"/>
          <w:sz w:val="21"/>
        </w:rPr>
        <w:t>2019</w:t>
      </w:r>
      <w:r>
        <w:rPr>
          <w:sz w:val="21"/>
        </w:rPr>
        <w:t>年股票期权与限制性股票激励计划剩余授予股票期权第二个行权期可行权数量分别为</w:t>
      </w:r>
      <w:r>
        <w:rPr>
          <w:rFonts w:ascii="Times New Roman" w:eastAsia="Times New Roman"/>
          <w:sz w:val="21"/>
        </w:rPr>
        <w:t>120,000</w:t>
      </w:r>
      <w:r>
        <w:rPr>
          <w:sz w:val="21"/>
        </w:rPr>
        <w:t>份、</w:t>
      </w:r>
      <w:r>
        <w:rPr>
          <w:rFonts w:ascii="Times New Roman" w:eastAsia="Times New Roman"/>
          <w:sz w:val="21"/>
        </w:rPr>
        <w:t>100,000</w:t>
      </w:r>
      <w:r>
        <w:rPr>
          <w:rFonts w:ascii="Times New Roman" w:eastAsia="Times New Roman"/>
          <w:spacing w:val="1"/>
          <w:sz w:val="21"/>
        </w:rPr>
        <w:t> </w:t>
      </w:r>
      <w:r>
        <w:rPr>
          <w:sz w:val="21"/>
        </w:rPr>
        <w:t>份、</w:t>
      </w:r>
      <w:r>
        <w:rPr>
          <w:rFonts w:ascii="Times New Roman" w:eastAsia="Times New Roman"/>
          <w:sz w:val="21"/>
        </w:rPr>
        <w:t>200,000</w:t>
      </w:r>
      <w:r>
        <w:rPr>
          <w:sz w:val="21"/>
        </w:rPr>
        <w:t>份，到期未行权股票期权失效，后续将进行注销。</w:t>
      </w:r>
    </w:p>
    <w:p>
      <w:pPr>
        <w:pStyle w:val="ListParagraph"/>
        <w:numPr>
          <w:ilvl w:val="0"/>
          <w:numId w:val="25"/>
        </w:numPr>
        <w:tabs>
          <w:tab w:pos="647" w:val="left" w:leader="none"/>
        </w:tabs>
        <w:spacing w:line="240" w:lineRule="auto" w:before="3" w:after="0"/>
        <w:ind w:left="647" w:right="0" w:hanging="529"/>
        <w:jc w:val="both"/>
        <w:rPr>
          <w:sz w:val="21"/>
        </w:rPr>
      </w:pPr>
      <w:r>
        <w:rPr>
          <w:spacing w:val="-4"/>
          <w:sz w:val="21"/>
        </w:rPr>
        <w:t>公司董事会秘书、财务总监郭俊宏先生在 </w:t>
      </w:r>
      <w:r>
        <w:rPr>
          <w:rFonts w:ascii="Times New Roman" w:eastAsia="Times New Roman"/>
          <w:sz w:val="21"/>
        </w:rPr>
        <w:t>2019</w:t>
      </w:r>
      <w:r>
        <w:rPr>
          <w:rFonts w:ascii="Times New Roman" w:eastAsia="Times New Roman"/>
          <w:spacing w:val="-2"/>
          <w:sz w:val="21"/>
        </w:rPr>
        <w:t> </w:t>
      </w:r>
      <w:r>
        <w:rPr>
          <w:sz w:val="21"/>
        </w:rPr>
        <w:t>年股票期权与限制性股票激励计划首次授予</w:t>
      </w:r>
    </w:p>
    <w:p>
      <w:pPr>
        <w:pStyle w:val="BodyText"/>
        <w:spacing w:line="244" w:lineRule="auto" w:before="2"/>
        <w:ind w:left="118" w:right="307"/>
      </w:pPr>
      <w:r>
        <w:rPr>
          <w:spacing w:val="-1"/>
        </w:rPr>
        <w:t>股票期权第二、三个行权期可行权数量为 </w:t>
      </w:r>
      <w:r>
        <w:rPr>
          <w:rFonts w:ascii="Times New Roman" w:eastAsia="Times New Roman"/>
        </w:rPr>
        <w:t>289,450</w:t>
      </w:r>
      <w:r>
        <w:rPr>
          <w:rFonts w:ascii="Times New Roman" w:eastAsia="Times New Roman"/>
          <w:spacing w:val="17"/>
        </w:rPr>
        <w:t> </w:t>
      </w:r>
      <w:r>
        <w:rPr>
          <w:spacing w:val="-1"/>
        </w:rPr>
        <w:t>份。其中第二个行权期可行权 </w:t>
      </w:r>
      <w:r>
        <w:rPr>
          <w:rFonts w:ascii="Times New Roman" w:eastAsia="Times New Roman"/>
        </w:rPr>
        <w:t>144,725</w:t>
      </w:r>
      <w:r>
        <w:rPr>
          <w:rFonts w:ascii="Times New Roman" w:eastAsia="Times New Roman"/>
          <w:spacing w:val="17"/>
        </w:rPr>
        <w:t> </w:t>
      </w:r>
      <w:r>
        <w:rPr/>
        <w:t>份，到期未行权股票期权失效，后续将进行注销。</w:t>
      </w:r>
    </w:p>
    <w:p>
      <w:pPr>
        <w:pStyle w:val="BodyText"/>
        <w:spacing w:line="265" w:lineRule="exact"/>
        <w:ind w:left="118"/>
      </w:pPr>
      <w:r>
        <w:rPr>
          <w:w w:val="100"/>
        </w:rPr>
        <w:t> </w:t>
      </w:r>
    </w:p>
    <w:p>
      <w:pPr>
        <w:spacing w:after="0" w:line="265" w:lineRule="exact"/>
        <w:sectPr>
          <w:pgSz w:w="11910" w:h="16840"/>
          <w:pgMar w:header="877" w:footer="1180" w:top="1440" w:bottom="1380" w:left="1680" w:right="960"/>
        </w:sectPr>
      </w:pPr>
    </w:p>
    <w:p>
      <w:pPr>
        <w:pStyle w:val="BodyText"/>
        <w:spacing w:before="68"/>
        <w:ind w:left="118"/>
      </w:pPr>
      <w:r>
        <w:rPr>
          <w:color w:val="0000FF"/>
          <w:w w:val="100"/>
        </w:rPr>
        <w:t> </w:t>
      </w:r>
    </w:p>
    <w:p>
      <w:pPr>
        <w:pStyle w:val="BodyText"/>
        <w:spacing w:before="5"/>
        <w:ind w:left="118"/>
      </w:pPr>
      <w:r>
        <w:rPr>
          <w:spacing w:val="-1"/>
        </w:rPr>
        <w:t>√适用 □不适用</w:t>
      </w:r>
      <w:r>
        <w:rPr>
          <w:spacing w:val="-3"/>
        </w:rPr>
        <w:t> </w:t>
      </w:r>
      <w:r>
        <w:rPr/>
        <w:t> </w:t>
      </w:r>
    </w:p>
    <w:p>
      <w:pPr>
        <w:pStyle w:val="BodyText"/>
        <w:spacing w:before="2" w:after="4"/>
        <w:ind w:left="8217"/>
      </w:pPr>
      <w:r>
        <w:rPr>
          <w:spacing w:val="-1"/>
        </w:rPr>
        <w:t>单位:股</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825"/>
        <w:gridCol w:w="1162"/>
        <w:gridCol w:w="1001"/>
        <w:gridCol w:w="913"/>
        <w:gridCol w:w="1004"/>
        <w:gridCol w:w="1162"/>
        <w:gridCol w:w="1163"/>
        <w:gridCol w:w="882"/>
      </w:tblGrid>
      <w:tr>
        <w:trPr>
          <w:trHeight w:val="1360" w:hRule="atLeast"/>
        </w:trPr>
        <w:tc>
          <w:tcPr>
            <w:tcW w:w="715" w:type="dxa"/>
          </w:tcPr>
          <w:p>
            <w:pPr>
              <w:pStyle w:val="TableParagraph"/>
              <w:rPr>
                <w:sz w:val="20"/>
              </w:rPr>
            </w:pPr>
          </w:p>
          <w:p>
            <w:pPr>
              <w:pStyle w:val="TableParagraph"/>
              <w:spacing w:before="7"/>
              <w:rPr>
                <w:sz w:val="22"/>
              </w:rPr>
            </w:pPr>
          </w:p>
          <w:p>
            <w:pPr>
              <w:pStyle w:val="TableParagraph"/>
              <w:ind w:left="140" w:right="28"/>
              <w:jc w:val="center"/>
              <w:rPr>
                <w:sz w:val="21"/>
              </w:rPr>
            </w:pPr>
            <w:r>
              <w:rPr>
                <w:sz w:val="21"/>
              </w:rPr>
              <w:t>姓名 </w:t>
            </w:r>
          </w:p>
        </w:tc>
        <w:tc>
          <w:tcPr>
            <w:tcW w:w="825" w:type="dxa"/>
          </w:tcPr>
          <w:p>
            <w:pPr>
              <w:pStyle w:val="TableParagraph"/>
              <w:rPr>
                <w:sz w:val="20"/>
              </w:rPr>
            </w:pPr>
          </w:p>
          <w:p>
            <w:pPr>
              <w:pStyle w:val="TableParagraph"/>
              <w:spacing w:before="7"/>
              <w:rPr>
                <w:sz w:val="22"/>
              </w:rPr>
            </w:pPr>
          </w:p>
          <w:p>
            <w:pPr>
              <w:pStyle w:val="TableParagraph"/>
              <w:ind w:left="234" w:right="121"/>
              <w:jc w:val="center"/>
              <w:rPr>
                <w:sz w:val="21"/>
              </w:rPr>
            </w:pPr>
            <w:r>
              <w:rPr>
                <w:sz w:val="21"/>
              </w:rPr>
              <w:t>职务 </w:t>
            </w:r>
          </w:p>
        </w:tc>
        <w:tc>
          <w:tcPr>
            <w:tcW w:w="1162" w:type="dxa"/>
          </w:tcPr>
          <w:p>
            <w:pPr>
              <w:pStyle w:val="TableParagraph"/>
              <w:spacing w:before="3"/>
              <w:rPr>
                <w:sz w:val="21"/>
              </w:rPr>
            </w:pPr>
          </w:p>
          <w:p>
            <w:pPr>
              <w:pStyle w:val="TableParagraph"/>
              <w:spacing w:line="242" w:lineRule="auto"/>
              <w:ind w:left="161" w:right="146"/>
              <w:jc w:val="both"/>
              <w:rPr>
                <w:sz w:val="21"/>
              </w:rPr>
            </w:pPr>
            <w:r>
              <w:rPr>
                <w:spacing w:val="-1"/>
                <w:sz w:val="21"/>
              </w:rPr>
              <w:t>年初持有限制性股</w:t>
            </w:r>
            <w:r>
              <w:rPr>
                <w:sz w:val="21"/>
              </w:rPr>
              <w:t>票数量 </w:t>
            </w:r>
          </w:p>
        </w:tc>
        <w:tc>
          <w:tcPr>
            <w:tcW w:w="1001" w:type="dxa"/>
          </w:tcPr>
          <w:p>
            <w:pPr>
              <w:pStyle w:val="TableParagraph"/>
              <w:spacing w:line="242" w:lineRule="auto" w:before="1"/>
              <w:ind w:left="183" w:right="172"/>
              <w:jc w:val="both"/>
              <w:rPr>
                <w:sz w:val="21"/>
              </w:rPr>
            </w:pPr>
            <w:r>
              <w:rPr>
                <w:spacing w:val="-1"/>
                <w:sz w:val="21"/>
              </w:rPr>
              <w:t>报告期新授予限制性股票数</w:t>
            </w:r>
          </w:p>
          <w:p>
            <w:pPr>
              <w:pStyle w:val="TableParagraph"/>
              <w:spacing w:line="250" w:lineRule="exact" w:before="2"/>
              <w:ind w:left="391"/>
              <w:rPr>
                <w:sz w:val="21"/>
              </w:rPr>
            </w:pPr>
            <w:r>
              <w:rPr>
                <w:sz w:val="21"/>
              </w:rPr>
              <w:t>量 </w:t>
            </w:r>
          </w:p>
        </w:tc>
        <w:tc>
          <w:tcPr>
            <w:tcW w:w="913" w:type="dxa"/>
          </w:tcPr>
          <w:p>
            <w:pPr>
              <w:pStyle w:val="TableParagraph"/>
              <w:spacing w:line="242" w:lineRule="auto" w:before="1"/>
              <w:ind w:left="137" w:right="130"/>
              <w:jc w:val="center"/>
              <w:rPr>
                <w:sz w:val="21"/>
              </w:rPr>
            </w:pPr>
            <w:r>
              <w:rPr>
                <w:spacing w:val="-1"/>
                <w:sz w:val="21"/>
              </w:rPr>
              <w:t>限制性股票的授予价</w:t>
            </w:r>
            <w:r>
              <w:rPr>
                <w:sz w:val="21"/>
              </w:rPr>
              <w:t>格 </w:t>
            </w:r>
          </w:p>
          <w:p>
            <w:pPr>
              <w:pStyle w:val="TableParagraph"/>
              <w:spacing w:line="250" w:lineRule="exact" w:before="2"/>
              <w:ind w:left="137" w:right="29"/>
              <w:jc w:val="center"/>
              <w:rPr>
                <w:sz w:val="21"/>
              </w:rPr>
            </w:pPr>
            <w:r>
              <w:rPr>
                <w:sz w:val="21"/>
              </w:rPr>
              <w:t>（元） </w:t>
            </w:r>
          </w:p>
        </w:tc>
        <w:tc>
          <w:tcPr>
            <w:tcW w:w="1004" w:type="dxa"/>
          </w:tcPr>
          <w:p>
            <w:pPr>
              <w:pStyle w:val="TableParagraph"/>
              <w:rPr>
                <w:sz w:val="20"/>
              </w:rPr>
            </w:pPr>
          </w:p>
          <w:p>
            <w:pPr>
              <w:pStyle w:val="TableParagraph"/>
              <w:spacing w:line="244" w:lineRule="auto" w:before="152"/>
              <w:ind w:left="290" w:right="173" w:hanging="106"/>
              <w:rPr>
                <w:sz w:val="21"/>
              </w:rPr>
            </w:pPr>
            <w:r>
              <w:rPr>
                <w:sz w:val="21"/>
              </w:rPr>
              <w:t>已解锁股份 </w:t>
            </w:r>
          </w:p>
        </w:tc>
        <w:tc>
          <w:tcPr>
            <w:tcW w:w="1162" w:type="dxa"/>
          </w:tcPr>
          <w:p>
            <w:pPr>
              <w:pStyle w:val="TableParagraph"/>
              <w:rPr>
                <w:sz w:val="20"/>
              </w:rPr>
            </w:pPr>
          </w:p>
          <w:p>
            <w:pPr>
              <w:pStyle w:val="TableParagraph"/>
              <w:spacing w:line="244" w:lineRule="auto" w:before="152"/>
              <w:ind w:left="474" w:right="147" w:hanging="315"/>
              <w:rPr>
                <w:sz w:val="21"/>
              </w:rPr>
            </w:pPr>
            <w:r>
              <w:rPr>
                <w:spacing w:val="-1"/>
                <w:sz w:val="21"/>
              </w:rPr>
              <w:t>未解锁股</w:t>
            </w:r>
            <w:r>
              <w:rPr>
                <w:sz w:val="21"/>
              </w:rPr>
              <w:t>份 </w:t>
            </w:r>
          </w:p>
        </w:tc>
        <w:tc>
          <w:tcPr>
            <w:tcW w:w="1163" w:type="dxa"/>
          </w:tcPr>
          <w:p>
            <w:pPr>
              <w:pStyle w:val="TableParagraph"/>
              <w:spacing w:before="3"/>
              <w:rPr>
                <w:sz w:val="21"/>
              </w:rPr>
            </w:pPr>
          </w:p>
          <w:p>
            <w:pPr>
              <w:pStyle w:val="TableParagraph"/>
              <w:spacing w:line="242" w:lineRule="auto"/>
              <w:ind w:left="159" w:right="149"/>
              <w:jc w:val="both"/>
              <w:rPr>
                <w:sz w:val="21"/>
              </w:rPr>
            </w:pPr>
            <w:r>
              <w:rPr>
                <w:spacing w:val="-1"/>
                <w:sz w:val="21"/>
              </w:rPr>
              <w:t>期末持有限制性股</w:t>
            </w:r>
            <w:r>
              <w:rPr>
                <w:sz w:val="21"/>
              </w:rPr>
              <w:t>票数量 </w:t>
            </w:r>
          </w:p>
        </w:tc>
        <w:tc>
          <w:tcPr>
            <w:tcW w:w="882" w:type="dxa"/>
          </w:tcPr>
          <w:p>
            <w:pPr>
              <w:pStyle w:val="TableParagraph"/>
              <w:spacing w:before="3"/>
              <w:rPr>
                <w:sz w:val="21"/>
              </w:rPr>
            </w:pPr>
          </w:p>
          <w:p>
            <w:pPr>
              <w:pStyle w:val="TableParagraph"/>
              <w:spacing w:line="244" w:lineRule="auto"/>
              <w:ind w:left="122" w:right="113"/>
              <w:rPr>
                <w:sz w:val="21"/>
              </w:rPr>
            </w:pPr>
            <w:r>
              <w:rPr>
                <w:sz w:val="21"/>
              </w:rPr>
              <w:t>报告期</w:t>
            </w:r>
            <w:r>
              <w:rPr>
                <w:spacing w:val="-5"/>
                <w:sz w:val="21"/>
              </w:rPr>
              <w:t>末市价</w:t>
            </w:r>
          </w:p>
          <w:p>
            <w:pPr>
              <w:pStyle w:val="TableParagraph"/>
              <w:spacing w:line="265" w:lineRule="exact"/>
              <w:ind w:left="122"/>
              <w:rPr>
                <w:sz w:val="21"/>
              </w:rPr>
            </w:pPr>
            <w:r>
              <w:rPr>
                <w:sz w:val="21"/>
              </w:rPr>
              <w:t>（元） </w:t>
            </w:r>
          </w:p>
        </w:tc>
      </w:tr>
      <w:tr>
        <w:trPr>
          <w:trHeight w:val="546" w:hRule="atLeast"/>
        </w:trPr>
        <w:tc>
          <w:tcPr>
            <w:tcW w:w="715" w:type="dxa"/>
          </w:tcPr>
          <w:p>
            <w:pPr>
              <w:pStyle w:val="TableParagraph"/>
              <w:spacing w:line="270" w:lineRule="atLeast"/>
              <w:ind w:left="107" w:right="14"/>
              <w:rPr>
                <w:sz w:val="21"/>
              </w:rPr>
            </w:pPr>
            <w:r>
              <w:rPr>
                <w:spacing w:val="39"/>
                <w:sz w:val="21"/>
              </w:rPr>
              <w:t>李军</w:t>
            </w:r>
            <w:r>
              <w:rPr>
                <w:sz w:val="21"/>
              </w:rPr>
              <w:t>旗 </w:t>
            </w:r>
          </w:p>
        </w:tc>
        <w:tc>
          <w:tcPr>
            <w:tcW w:w="825" w:type="dxa"/>
          </w:tcPr>
          <w:p>
            <w:pPr>
              <w:pStyle w:val="TableParagraph"/>
              <w:spacing w:line="270" w:lineRule="atLeast"/>
              <w:ind w:left="107" w:right="93"/>
              <w:rPr>
                <w:sz w:val="21"/>
              </w:rPr>
            </w:pPr>
            <w:r>
              <w:rPr>
                <w:spacing w:val="23"/>
                <w:sz w:val="21"/>
              </w:rPr>
              <w:t>董 事</w:t>
            </w:r>
            <w:r>
              <w:rPr>
                <w:sz w:val="21"/>
              </w:rPr>
              <w:t>长 </w:t>
            </w:r>
          </w:p>
        </w:tc>
        <w:tc>
          <w:tcPr>
            <w:tcW w:w="1162" w:type="dxa"/>
          </w:tcPr>
          <w:p>
            <w:pPr>
              <w:pStyle w:val="TableParagraph"/>
              <w:spacing w:before="3"/>
              <w:ind w:right="-15"/>
              <w:jc w:val="right"/>
              <w:rPr>
                <w:sz w:val="21"/>
              </w:rPr>
            </w:pPr>
            <w:r>
              <w:rPr>
                <w:sz w:val="21"/>
              </w:rPr>
              <w:t>480,000 </w:t>
            </w:r>
          </w:p>
        </w:tc>
        <w:tc>
          <w:tcPr>
            <w:tcW w:w="1001" w:type="dxa"/>
          </w:tcPr>
          <w:p>
            <w:pPr>
              <w:pStyle w:val="TableParagraph"/>
              <w:spacing w:before="3"/>
              <w:ind w:right="-15"/>
              <w:jc w:val="right"/>
              <w:rPr>
                <w:sz w:val="21"/>
              </w:rPr>
            </w:pPr>
            <w:r>
              <w:rPr>
                <w:sz w:val="21"/>
              </w:rPr>
              <w:t>0 </w:t>
            </w:r>
          </w:p>
        </w:tc>
        <w:tc>
          <w:tcPr>
            <w:tcW w:w="913" w:type="dxa"/>
          </w:tcPr>
          <w:p>
            <w:pPr>
              <w:pStyle w:val="TableParagraph"/>
              <w:spacing w:before="3"/>
              <w:ind w:right="-15"/>
              <w:jc w:val="right"/>
              <w:rPr>
                <w:sz w:val="21"/>
              </w:rPr>
            </w:pPr>
            <w:r>
              <w:rPr>
                <w:sz w:val="21"/>
              </w:rPr>
              <w:t>5.901 </w:t>
            </w:r>
          </w:p>
        </w:tc>
        <w:tc>
          <w:tcPr>
            <w:tcW w:w="1004" w:type="dxa"/>
          </w:tcPr>
          <w:p>
            <w:pPr>
              <w:pStyle w:val="TableParagraph"/>
              <w:spacing w:before="3"/>
              <w:ind w:right="-15"/>
              <w:jc w:val="right"/>
              <w:rPr>
                <w:sz w:val="21"/>
              </w:rPr>
            </w:pPr>
            <w:r>
              <w:rPr>
                <w:sz w:val="21"/>
              </w:rPr>
              <w:t>120,000 </w:t>
            </w:r>
          </w:p>
        </w:tc>
        <w:tc>
          <w:tcPr>
            <w:tcW w:w="1162" w:type="dxa"/>
          </w:tcPr>
          <w:p>
            <w:pPr>
              <w:pStyle w:val="TableParagraph"/>
              <w:spacing w:before="3"/>
              <w:ind w:right="-15"/>
              <w:jc w:val="right"/>
              <w:rPr>
                <w:sz w:val="21"/>
              </w:rPr>
            </w:pPr>
            <w:r>
              <w:rPr>
                <w:sz w:val="21"/>
              </w:rPr>
              <w:t>360,000 </w:t>
            </w:r>
          </w:p>
        </w:tc>
        <w:tc>
          <w:tcPr>
            <w:tcW w:w="1163" w:type="dxa"/>
          </w:tcPr>
          <w:p>
            <w:pPr>
              <w:pStyle w:val="TableParagraph"/>
              <w:spacing w:before="3"/>
              <w:ind w:right="-15"/>
              <w:jc w:val="right"/>
              <w:rPr>
                <w:sz w:val="21"/>
              </w:rPr>
            </w:pPr>
            <w:r>
              <w:rPr>
                <w:sz w:val="21"/>
              </w:rPr>
              <w:t>360,000 </w:t>
            </w:r>
          </w:p>
        </w:tc>
        <w:tc>
          <w:tcPr>
            <w:tcW w:w="882" w:type="dxa"/>
          </w:tcPr>
          <w:p>
            <w:pPr>
              <w:pStyle w:val="TableParagraph"/>
              <w:spacing w:before="3"/>
              <w:ind w:left="353" w:right="-15"/>
              <w:rPr>
                <w:sz w:val="21"/>
              </w:rPr>
            </w:pPr>
            <w:r>
              <w:rPr>
                <w:sz w:val="21"/>
              </w:rPr>
              <w:t>9.18 </w:t>
            </w:r>
          </w:p>
        </w:tc>
      </w:tr>
      <w:tr>
        <w:trPr>
          <w:trHeight w:val="1089" w:hRule="atLeast"/>
        </w:trPr>
        <w:tc>
          <w:tcPr>
            <w:tcW w:w="715" w:type="dxa"/>
          </w:tcPr>
          <w:p>
            <w:pPr>
              <w:pStyle w:val="TableParagraph"/>
              <w:spacing w:line="242" w:lineRule="auto" w:before="1"/>
              <w:ind w:left="107" w:right="14"/>
              <w:rPr>
                <w:sz w:val="21"/>
              </w:rPr>
            </w:pPr>
            <w:r>
              <w:rPr>
                <w:spacing w:val="39"/>
                <w:sz w:val="21"/>
              </w:rPr>
              <w:t>郑弘</w:t>
            </w:r>
            <w:r>
              <w:rPr>
                <w:sz w:val="21"/>
              </w:rPr>
              <w:t>孟 </w:t>
            </w:r>
          </w:p>
        </w:tc>
        <w:tc>
          <w:tcPr>
            <w:tcW w:w="825" w:type="dxa"/>
          </w:tcPr>
          <w:p>
            <w:pPr>
              <w:pStyle w:val="TableParagraph"/>
              <w:spacing w:before="1"/>
              <w:ind w:left="107"/>
              <w:rPr>
                <w:sz w:val="21"/>
              </w:rPr>
            </w:pPr>
            <w:r>
              <w:rPr>
                <w:spacing w:val="28"/>
                <w:sz w:val="21"/>
              </w:rPr>
              <w:t>副 董</w:t>
            </w:r>
          </w:p>
          <w:p>
            <w:pPr>
              <w:pStyle w:val="TableParagraph"/>
              <w:spacing w:before="2"/>
              <w:ind w:left="107"/>
              <w:rPr>
                <w:sz w:val="21"/>
              </w:rPr>
            </w:pPr>
            <w:r>
              <w:rPr>
                <w:spacing w:val="28"/>
                <w:sz w:val="21"/>
              </w:rPr>
              <w:t>事 长</w:t>
            </w:r>
          </w:p>
          <w:p>
            <w:pPr>
              <w:pStyle w:val="TableParagraph"/>
              <w:spacing w:line="270" w:lineRule="atLeast"/>
              <w:ind w:left="107" w:right="93"/>
              <w:rPr>
                <w:sz w:val="21"/>
              </w:rPr>
            </w:pPr>
            <w:r>
              <w:rPr>
                <w:spacing w:val="23"/>
                <w:sz w:val="21"/>
              </w:rPr>
              <w:t>、 总</w:t>
            </w:r>
            <w:r>
              <w:rPr>
                <w:sz w:val="21"/>
              </w:rPr>
              <w:t>经理 </w:t>
            </w:r>
          </w:p>
        </w:tc>
        <w:tc>
          <w:tcPr>
            <w:tcW w:w="1162" w:type="dxa"/>
          </w:tcPr>
          <w:p>
            <w:pPr>
              <w:pStyle w:val="TableParagraph"/>
              <w:spacing w:before="1"/>
              <w:ind w:right="-15"/>
              <w:jc w:val="right"/>
              <w:rPr>
                <w:sz w:val="21"/>
              </w:rPr>
            </w:pPr>
            <w:r>
              <w:rPr>
                <w:sz w:val="21"/>
              </w:rPr>
              <w:t>400,000 </w:t>
            </w:r>
          </w:p>
        </w:tc>
        <w:tc>
          <w:tcPr>
            <w:tcW w:w="1001" w:type="dxa"/>
          </w:tcPr>
          <w:p>
            <w:pPr>
              <w:pStyle w:val="TableParagraph"/>
              <w:spacing w:before="1"/>
              <w:ind w:right="-15"/>
              <w:jc w:val="right"/>
              <w:rPr>
                <w:sz w:val="21"/>
              </w:rPr>
            </w:pPr>
            <w:r>
              <w:rPr>
                <w:sz w:val="21"/>
              </w:rPr>
              <w:t>0 </w:t>
            </w:r>
          </w:p>
        </w:tc>
        <w:tc>
          <w:tcPr>
            <w:tcW w:w="913" w:type="dxa"/>
          </w:tcPr>
          <w:p>
            <w:pPr>
              <w:pStyle w:val="TableParagraph"/>
              <w:spacing w:before="1"/>
              <w:ind w:right="-15"/>
              <w:jc w:val="right"/>
              <w:rPr>
                <w:sz w:val="21"/>
              </w:rPr>
            </w:pPr>
            <w:r>
              <w:rPr>
                <w:sz w:val="21"/>
              </w:rPr>
              <w:t>5.901 </w:t>
            </w:r>
          </w:p>
        </w:tc>
        <w:tc>
          <w:tcPr>
            <w:tcW w:w="1004" w:type="dxa"/>
          </w:tcPr>
          <w:p>
            <w:pPr>
              <w:pStyle w:val="TableParagraph"/>
              <w:spacing w:before="1"/>
              <w:ind w:right="-15"/>
              <w:jc w:val="right"/>
              <w:rPr>
                <w:sz w:val="21"/>
              </w:rPr>
            </w:pPr>
            <w:r>
              <w:rPr>
                <w:sz w:val="21"/>
              </w:rPr>
              <w:t>100,000 </w:t>
            </w:r>
          </w:p>
        </w:tc>
        <w:tc>
          <w:tcPr>
            <w:tcW w:w="1162" w:type="dxa"/>
          </w:tcPr>
          <w:p>
            <w:pPr>
              <w:pStyle w:val="TableParagraph"/>
              <w:spacing w:before="1"/>
              <w:ind w:right="-15"/>
              <w:jc w:val="right"/>
              <w:rPr>
                <w:sz w:val="21"/>
              </w:rPr>
            </w:pPr>
            <w:r>
              <w:rPr>
                <w:sz w:val="21"/>
              </w:rPr>
              <w:t>300,000 </w:t>
            </w:r>
          </w:p>
        </w:tc>
        <w:tc>
          <w:tcPr>
            <w:tcW w:w="1163" w:type="dxa"/>
          </w:tcPr>
          <w:p>
            <w:pPr>
              <w:pStyle w:val="TableParagraph"/>
              <w:spacing w:before="1"/>
              <w:ind w:right="-15"/>
              <w:jc w:val="right"/>
              <w:rPr>
                <w:sz w:val="21"/>
              </w:rPr>
            </w:pPr>
            <w:r>
              <w:rPr>
                <w:sz w:val="21"/>
              </w:rPr>
              <w:t>300,000 </w:t>
            </w:r>
          </w:p>
        </w:tc>
        <w:tc>
          <w:tcPr>
            <w:tcW w:w="882" w:type="dxa"/>
          </w:tcPr>
          <w:p>
            <w:pPr>
              <w:pStyle w:val="TableParagraph"/>
              <w:spacing w:before="1"/>
              <w:ind w:left="353" w:right="-15"/>
              <w:rPr>
                <w:sz w:val="21"/>
              </w:rPr>
            </w:pPr>
            <w:r>
              <w:rPr>
                <w:sz w:val="21"/>
              </w:rPr>
              <w:t>9.18 </w:t>
            </w:r>
          </w:p>
        </w:tc>
      </w:tr>
      <w:tr>
        <w:trPr>
          <w:trHeight w:val="1360" w:hRule="atLeast"/>
        </w:trPr>
        <w:tc>
          <w:tcPr>
            <w:tcW w:w="715" w:type="dxa"/>
          </w:tcPr>
          <w:p>
            <w:pPr>
              <w:pStyle w:val="TableParagraph"/>
              <w:spacing w:line="242" w:lineRule="auto" w:before="1"/>
              <w:ind w:left="107" w:right="14"/>
              <w:rPr>
                <w:sz w:val="21"/>
              </w:rPr>
            </w:pPr>
            <w:r>
              <w:rPr>
                <w:spacing w:val="39"/>
                <w:sz w:val="21"/>
              </w:rPr>
              <w:t>郭俊</w:t>
            </w:r>
            <w:r>
              <w:rPr>
                <w:sz w:val="21"/>
              </w:rPr>
              <w:t>宏 </w:t>
            </w:r>
          </w:p>
        </w:tc>
        <w:tc>
          <w:tcPr>
            <w:tcW w:w="825" w:type="dxa"/>
          </w:tcPr>
          <w:p>
            <w:pPr>
              <w:pStyle w:val="TableParagraph"/>
              <w:spacing w:before="1"/>
              <w:ind w:left="107"/>
              <w:rPr>
                <w:sz w:val="21"/>
              </w:rPr>
            </w:pPr>
            <w:r>
              <w:rPr>
                <w:spacing w:val="28"/>
                <w:sz w:val="21"/>
              </w:rPr>
              <w:t>董 事</w:t>
            </w:r>
          </w:p>
          <w:p>
            <w:pPr>
              <w:pStyle w:val="TableParagraph"/>
              <w:spacing w:before="2"/>
              <w:ind w:left="107"/>
              <w:rPr>
                <w:sz w:val="21"/>
              </w:rPr>
            </w:pPr>
            <w:r>
              <w:rPr>
                <w:spacing w:val="28"/>
                <w:sz w:val="21"/>
              </w:rPr>
              <w:t>会 秘</w:t>
            </w:r>
          </w:p>
          <w:p>
            <w:pPr>
              <w:pStyle w:val="TableParagraph"/>
              <w:spacing w:before="4"/>
              <w:ind w:left="107"/>
              <w:rPr>
                <w:sz w:val="21"/>
              </w:rPr>
            </w:pPr>
            <w:r>
              <w:rPr>
                <w:spacing w:val="28"/>
                <w:sz w:val="21"/>
              </w:rPr>
              <w:t>书 、</w:t>
            </w:r>
          </w:p>
          <w:p>
            <w:pPr>
              <w:pStyle w:val="TableParagraph"/>
              <w:spacing w:before="3"/>
              <w:ind w:left="107"/>
              <w:rPr>
                <w:sz w:val="21"/>
              </w:rPr>
            </w:pPr>
            <w:r>
              <w:rPr>
                <w:spacing w:val="28"/>
                <w:sz w:val="21"/>
              </w:rPr>
              <w:t>财 务</w:t>
            </w:r>
          </w:p>
          <w:p>
            <w:pPr>
              <w:pStyle w:val="TableParagraph"/>
              <w:spacing w:line="250" w:lineRule="exact" w:before="4"/>
              <w:ind w:left="107"/>
              <w:rPr>
                <w:sz w:val="21"/>
              </w:rPr>
            </w:pPr>
            <w:r>
              <w:rPr>
                <w:sz w:val="21"/>
              </w:rPr>
              <w:t>总监 </w:t>
            </w:r>
          </w:p>
        </w:tc>
        <w:tc>
          <w:tcPr>
            <w:tcW w:w="1162" w:type="dxa"/>
          </w:tcPr>
          <w:p>
            <w:pPr>
              <w:pStyle w:val="TableParagraph"/>
              <w:spacing w:before="1"/>
              <w:ind w:right="-15"/>
              <w:jc w:val="right"/>
              <w:rPr>
                <w:sz w:val="21"/>
              </w:rPr>
            </w:pPr>
            <w:r>
              <w:rPr>
                <w:sz w:val="21"/>
              </w:rPr>
              <w:t>570,000 </w:t>
            </w:r>
          </w:p>
        </w:tc>
        <w:tc>
          <w:tcPr>
            <w:tcW w:w="1001" w:type="dxa"/>
          </w:tcPr>
          <w:p>
            <w:pPr>
              <w:pStyle w:val="TableParagraph"/>
              <w:spacing w:before="1"/>
              <w:ind w:right="-15"/>
              <w:jc w:val="right"/>
              <w:rPr>
                <w:sz w:val="21"/>
              </w:rPr>
            </w:pPr>
            <w:r>
              <w:rPr>
                <w:sz w:val="21"/>
              </w:rPr>
              <w:t>0 </w:t>
            </w:r>
          </w:p>
        </w:tc>
        <w:tc>
          <w:tcPr>
            <w:tcW w:w="913" w:type="dxa"/>
          </w:tcPr>
          <w:p>
            <w:pPr>
              <w:pStyle w:val="TableParagraph"/>
              <w:spacing w:before="1"/>
              <w:ind w:right="-15"/>
              <w:jc w:val="right"/>
              <w:rPr>
                <w:sz w:val="21"/>
              </w:rPr>
            </w:pPr>
            <w:r>
              <w:rPr>
                <w:sz w:val="21"/>
              </w:rPr>
              <w:t>5.901 </w:t>
            </w:r>
          </w:p>
        </w:tc>
        <w:tc>
          <w:tcPr>
            <w:tcW w:w="1004" w:type="dxa"/>
          </w:tcPr>
          <w:p>
            <w:pPr>
              <w:pStyle w:val="TableParagraph"/>
              <w:spacing w:before="1"/>
              <w:ind w:right="-15"/>
              <w:jc w:val="right"/>
              <w:rPr>
                <w:sz w:val="21"/>
              </w:rPr>
            </w:pPr>
            <w:r>
              <w:rPr>
                <w:sz w:val="21"/>
              </w:rPr>
              <w:t>170,000 </w:t>
            </w:r>
          </w:p>
        </w:tc>
        <w:tc>
          <w:tcPr>
            <w:tcW w:w="1162" w:type="dxa"/>
          </w:tcPr>
          <w:p>
            <w:pPr>
              <w:pStyle w:val="TableParagraph"/>
              <w:spacing w:before="1"/>
              <w:ind w:right="-15"/>
              <w:jc w:val="right"/>
              <w:rPr>
                <w:sz w:val="21"/>
              </w:rPr>
            </w:pPr>
            <w:r>
              <w:rPr>
                <w:sz w:val="21"/>
              </w:rPr>
              <w:t>400,000 </w:t>
            </w:r>
          </w:p>
        </w:tc>
        <w:tc>
          <w:tcPr>
            <w:tcW w:w="1163" w:type="dxa"/>
          </w:tcPr>
          <w:p>
            <w:pPr>
              <w:pStyle w:val="TableParagraph"/>
              <w:spacing w:before="1"/>
              <w:ind w:right="-15"/>
              <w:jc w:val="right"/>
              <w:rPr>
                <w:sz w:val="21"/>
              </w:rPr>
            </w:pPr>
            <w:r>
              <w:rPr>
                <w:sz w:val="21"/>
              </w:rPr>
              <w:t>400,000 </w:t>
            </w:r>
          </w:p>
        </w:tc>
        <w:tc>
          <w:tcPr>
            <w:tcW w:w="882" w:type="dxa"/>
          </w:tcPr>
          <w:p>
            <w:pPr>
              <w:pStyle w:val="TableParagraph"/>
              <w:spacing w:before="1"/>
              <w:ind w:left="353" w:right="-15"/>
              <w:rPr>
                <w:sz w:val="21"/>
              </w:rPr>
            </w:pPr>
            <w:r>
              <w:rPr>
                <w:sz w:val="21"/>
              </w:rPr>
              <w:t>9.18 </w:t>
            </w:r>
          </w:p>
        </w:tc>
      </w:tr>
      <w:tr>
        <w:trPr>
          <w:trHeight w:val="544" w:hRule="atLeast"/>
        </w:trPr>
        <w:tc>
          <w:tcPr>
            <w:tcW w:w="715" w:type="dxa"/>
          </w:tcPr>
          <w:p>
            <w:pPr>
              <w:pStyle w:val="TableParagraph"/>
              <w:spacing w:before="1"/>
              <w:ind w:left="102" w:right="66"/>
              <w:jc w:val="center"/>
              <w:rPr>
                <w:sz w:val="21"/>
              </w:rPr>
            </w:pPr>
            <w:r>
              <w:rPr>
                <w:sz w:val="21"/>
              </w:rPr>
              <w:t>熊毅 </w:t>
            </w:r>
          </w:p>
        </w:tc>
        <w:tc>
          <w:tcPr>
            <w:tcW w:w="825" w:type="dxa"/>
          </w:tcPr>
          <w:p>
            <w:pPr>
              <w:pStyle w:val="TableParagraph"/>
              <w:spacing w:before="1"/>
              <w:ind w:left="107"/>
              <w:rPr>
                <w:sz w:val="21"/>
              </w:rPr>
            </w:pPr>
            <w:r>
              <w:rPr>
                <w:spacing w:val="28"/>
                <w:sz w:val="21"/>
              </w:rPr>
              <w:t>副 总</w:t>
            </w:r>
          </w:p>
          <w:p>
            <w:pPr>
              <w:pStyle w:val="TableParagraph"/>
              <w:spacing w:line="250" w:lineRule="exact" w:before="4"/>
              <w:ind w:left="107"/>
              <w:rPr>
                <w:sz w:val="21"/>
              </w:rPr>
            </w:pPr>
            <w:r>
              <w:rPr>
                <w:sz w:val="21"/>
              </w:rPr>
              <w:t>经理 </w:t>
            </w:r>
          </w:p>
        </w:tc>
        <w:tc>
          <w:tcPr>
            <w:tcW w:w="1162" w:type="dxa"/>
          </w:tcPr>
          <w:p>
            <w:pPr>
              <w:pStyle w:val="TableParagraph"/>
              <w:spacing w:before="1"/>
              <w:ind w:right="-15"/>
              <w:jc w:val="right"/>
              <w:rPr>
                <w:sz w:val="21"/>
              </w:rPr>
            </w:pPr>
            <w:r>
              <w:rPr>
                <w:sz w:val="21"/>
              </w:rPr>
              <w:t>736,800 </w:t>
            </w:r>
          </w:p>
        </w:tc>
        <w:tc>
          <w:tcPr>
            <w:tcW w:w="1001" w:type="dxa"/>
          </w:tcPr>
          <w:p>
            <w:pPr>
              <w:pStyle w:val="TableParagraph"/>
              <w:spacing w:before="1"/>
              <w:ind w:right="-15"/>
              <w:jc w:val="right"/>
              <w:rPr>
                <w:sz w:val="21"/>
              </w:rPr>
            </w:pPr>
            <w:r>
              <w:rPr>
                <w:sz w:val="21"/>
              </w:rPr>
              <w:t>0 </w:t>
            </w:r>
          </w:p>
        </w:tc>
        <w:tc>
          <w:tcPr>
            <w:tcW w:w="913" w:type="dxa"/>
          </w:tcPr>
          <w:p>
            <w:pPr>
              <w:pStyle w:val="TableParagraph"/>
              <w:spacing w:before="1"/>
              <w:ind w:right="-15"/>
              <w:jc w:val="right"/>
              <w:rPr>
                <w:sz w:val="21"/>
              </w:rPr>
            </w:pPr>
            <w:r>
              <w:rPr>
                <w:sz w:val="21"/>
              </w:rPr>
              <w:t>5.901 </w:t>
            </w:r>
          </w:p>
        </w:tc>
        <w:tc>
          <w:tcPr>
            <w:tcW w:w="1004" w:type="dxa"/>
          </w:tcPr>
          <w:p>
            <w:pPr>
              <w:pStyle w:val="TableParagraph"/>
              <w:spacing w:before="1"/>
              <w:ind w:right="-15"/>
              <w:jc w:val="right"/>
              <w:rPr>
                <w:sz w:val="21"/>
              </w:rPr>
            </w:pPr>
            <w:r>
              <w:rPr>
                <w:sz w:val="21"/>
              </w:rPr>
              <w:t>245,600 </w:t>
            </w:r>
          </w:p>
        </w:tc>
        <w:tc>
          <w:tcPr>
            <w:tcW w:w="1162" w:type="dxa"/>
          </w:tcPr>
          <w:p>
            <w:pPr>
              <w:pStyle w:val="TableParagraph"/>
              <w:spacing w:before="1"/>
              <w:ind w:right="-15"/>
              <w:jc w:val="right"/>
              <w:rPr>
                <w:sz w:val="21"/>
              </w:rPr>
            </w:pPr>
            <w:r>
              <w:rPr>
                <w:sz w:val="21"/>
              </w:rPr>
              <w:t>491,200 </w:t>
            </w:r>
          </w:p>
        </w:tc>
        <w:tc>
          <w:tcPr>
            <w:tcW w:w="1163" w:type="dxa"/>
          </w:tcPr>
          <w:p>
            <w:pPr>
              <w:pStyle w:val="TableParagraph"/>
              <w:spacing w:before="1"/>
              <w:ind w:right="-15"/>
              <w:jc w:val="right"/>
              <w:rPr>
                <w:sz w:val="21"/>
              </w:rPr>
            </w:pPr>
            <w:r>
              <w:rPr>
                <w:sz w:val="21"/>
              </w:rPr>
              <w:t>491,200 </w:t>
            </w:r>
          </w:p>
        </w:tc>
        <w:tc>
          <w:tcPr>
            <w:tcW w:w="882" w:type="dxa"/>
          </w:tcPr>
          <w:p>
            <w:pPr>
              <w:pStyle w:val="TableParagraph"/>
              <w:spacing w:before="1"/>
              <w:ind w:left="353" w:right="-15"/>
              <w:rPr>
                <w:sz w:val="21"/>
              </w:rPr>
            </w:pPr>
            <w:r>
              <w:rPr>
                <w:sz w:val="21"/>
              </w:rPr>
              <w:t>9.18 </w:t>
            </w:r>
          </w:p>
        </w:tc>
      </w:tr>
      <w:tr>
        <w:trPr>
          <w:trHeight w:val="273" w:hRule="atLeast"/>
        </w:trPr>
        <w:tc>
          <w:tcPr>
            <w:tcW w:w="715" w:type="dxa"/>
          </w:tcPr>
          <w:p>
            <w:pPr>
              <w:pStyle w:val="TableParagraph"/>
              <w:spacing w:line="252" w:lineRule="exact" w:before="1"/>
              <w:ind w:left="140" w:right="28"/>
              <w:jc w:val="center"/>
              <w:rPr>
                <w:sz w:val="21"/>
              </w:rPr>
            </w:pPr>
            <w:r>
              <w:rPr>
                <w:sz w:val="21"/>
              </w:rPr>
              <w:t>合计 </w:t>
            </w:r>
          </w:p>
        </w:tc>
        <w:tc>
          <w:tcPr>
            <w:tcW w:w="825" w:type="dxa"/>
          </w:tcPr>
          <w:p>
            <w:pPr>
              <w:pStyle w:val="TableParagraph"/>
              <w:spacing w:line="252" w:lineRule="exact" w:before="1"/>
              <w:ind w:left="234" w:right="118"/>
              <w:jc w:val="center"/>
              <w:rPr>
                <w:sz w:val="21"/>
              </w:rPr>
            </w:pPr>
            <w:r>
              <w:rPr>
                <w:sz w:val="21"/>
              </w:rPr>
              <w:t>/ </w:t>
            </w:r>
          </w:p>
        </w:tc>
        <w:tc>
          <w:tcPr>
            <w:tcW w:w="1162" w:type="dxa"/>
          </w:tcPr>
          <w:p>
            <w:pPr>
              <w:pStyle w:val="TableParagraph"/>
              <w:spacing w:line="252" w:lineRule="exact" w:before="1"/>
              <w:ind w:right="-15"/>
              <w:jc w:val="right"/>
              <w:rPr>
                <w:sz w:val="21"/>
              </w:rPr>
            </w:pPr>
            <w:r>
              <w:rPr>
                <w:sz w:val="21"/>
              </w:rPr>
              <w:t>2,186,800 </w:t>
            </w:r>
          </w:p>
        </w:tc>
        <w:tc>
          <w:tcPr>
            <w:tcW w:w="1001" w:type="dxa"/>
          </w:tcPr>
          <w:p>
            <w:pPr>
              <w:pStyle w:val="TableParagraph"/>
              <w:spacing w:line="252" w:lineRule="exact" w:before="1"/>
              <w:ind w:right="-15"/>
              <w:jc w:val="right"/>
              <w:rPr>
                <w:sz w:val="21"/>
              </w:rPr>
            </w:pPr>
            <w:r>
              <w:rPr>
                <w:sz w:val="21"/>
              </w:rPr>
              <w:t>0 </w:t>
            </w:r>
          </w:p>
        </w:tc>
        <w:tc>
          <w:tcPr>
            <w:tcW w:w="913" w:type="dxa"/>
          </w:tcPr>
          <w:p>
            <w:pPr>
              <w:pStyle w:val="TableParagraph"/>
              <w:spacing w:line="252" w:lineRule="exact" w:before="1"/>
              <w:ind w:left="401"/>
              <w:rPr>
                <w:sz w:val="21"/>
              </w:rPr>
            </w:pPr>
            <w:r>
              <w:rPr>
                <w:sz w:val="21"/>
              </w:rPr>
              <w:t>/ </w:t>
            </w:r>
          </w:p>
        </w:tc>
        <w:tc>
          <w:tcPr>
            <w:tcW w:w="1004" w:type="dxa"/>
          </w:tcPr>
          <w:p>
            <w:pPr>
              <w:pStyle w:val="TableParagraph"/>
              <w:spacing w:line="252" w:lineRule="exact" w:before="1"/>
              <w:ind w:right="-15"/>
              <w:jc w:val="right"/>
              <w:rPr>
                <w:sz w:val="21"/>
              </w:rPr>
            </w:pPr>
            <w:r>
              <w:rPr>
                <w:sz w:val="21"/>
              </w:rPr>
              <w:t>635,600 </w:t>
            </w:r>
          </w:p>
        </w:tc>
        <w:tc>
          <w:tcPr>
            <w:tcW w:w="1162" w:type="dxa"/>
          </w:tcPr>
          <w:p>
            <w:pPr>
              <w:pStyle w:val="TableParagraph"/>
              <w:spacing w:line="252" w:lineRule="exact" w:before="1"/>
              <w:ind w:right="-15"/>
              <w:jc w:val="right"/>
              <w:rPr>
                <w:sz w:val="21"/>
              </w:rPr>
            </w:pPr>
            <w:r>
              <w:rPr>
                <w:sz w:val="21"/>
              </w:rPr>
              <w:t>1,551,200 </w:t>
            </w:r>
          </w:p>
        </w:tc>
        <w:tc>
          <w:tcPr>
            <w:tcW w:w="1163" w:type="dxa"/>
          </w:tcPr>
          <w:p>
            <w:pPr>
              <w:pStyle w:val="TableParagraph"/>
              <w:spacing w:line="252" w:lineRule="exact" w:before="1"/>
              <w:ind w:right="-15"/>
              <w:jc w:val="right"/>
              <w:rPr>
                <w:sz w:val="21"/>
              </w:rPr>
            </w:pPr>
            <w:r>
              <w:rPr>
                <w:sz w:val="21"/>
              </w:rPr>
              <w:t>1,551,200 </w:t>
            </w:r>
          </w:p>
        </w:tc>
        <w:tc>
          <w:tcPr>
            <w:tcW w:w="882" w:type="dxa"/>
          </w:tcPr>
          <w:p>
            <w:pPr>
              <w:pStyle w:val="TableParagraph"/>
              <w:spacing w:line="252" w:lineRule="exact" w:before="1"/>
              <w:ind w:left="386"/>
              <w:rPr>
                <w:sz w:val="21"/>
              </w:rPr>
            </w:pPr>
            <w:r>
              <w:rPr>
                <w:sz w:val="21"/>
              </w:rPr>
              <w:t>/ </w:t>
            </w:r>
          </w:p>
        </w:tc>
      </w:tr>
    </w:tbl>
    <w:p>
      <w:pPr>
        <w:pStyle w:val="BodyText"/>
        <w:spacing w:before="1"/>
        <w:ind w:left="118"/>
      </w:pPr>
      <w:r>
        <w:rPr>
          <w:w w:val="100"/>
        </w:rPr>
        <w:t> </w:t>
      </w:r>
    </w:p>
    <w:p>
      <w:pPr>
        <w:pStyle w:val="BodyText"/>
        <w:spacing w:before="64"/>
        <w:ind w:left="118"/>
      </w:pPr>
      <w:r>
        <w:rPr/>
        <w:t>(四) 报告期内对高级管理人员的考评机制，以及激励机制的建立、实施情况</w:t>
      </w:r>
    </w:p>
    <w:p>
      <w:pPr>
        <w:pStyle w:val="BodyText"/>
        <w:spacing w:before="63"/>
        <w:ind w:left="118"/>
      </w:pPr>
      <w:r>
        <w:rPr>
          <w:spacing w:val="11"/>
        </w:rPr>
        <w:t>√适用 □不适用</w:t>
      </w:r>
      <w:r>
        <w:rPr>
          <w:spacing w:val="-3"/>
        </w:rPr>
        <w:t> </w:t>
      </w:r>
      <w:r>
        <w:rPr/>
        <w:t> </w:t>
      </w:r>
    </w:p>
    <w:p>
      <w:pPr>
        <w:pStyle w:val="BodyText"/>
        <w:spacing w:line="364" w:lineRule="auto" w:before="2"/>
        <w:ind w:left="118" w:right="317" w:firstLine="419"/>
        <w:jc w:val="both"/>
      </w:pPr>
      <w:r>
        <w:rPr/>
        <w:t>公司建立了高级管理人员薪酬与公司绩效和个人业绩相关的激励机制。报告期内，董事会薪酬与考核委员会依据公司《高级管理人员考核办法》，对公司高级管理人员进行绩效考核，通过多种立体指标体系来进行考核奖惩。 </w:t>
      </w:r>
    </w:p>
    <w:p>
      <w:pPr>
        <w:pStyle w:val="BodyText"/>
        <w:ind w:left="118"/>
      </w:pPr>
      <w:r>
        <w:rPr>
          <w:w w:val="100"/>
        </w:rPr>
        <w:t> </w:t>
      </w:r>
    </w:p>
    <w:p>
      <w:pPr>
        <w:pStyle w:val="BodyText"/>
        <w:spacing w:before="64"/>
        <w:ind w:left="118"/>
      </w:pPr>
      <w:r>
        <w:rPr/>
        <w:t>十二、 报告期内的内部控制制度建设及实施情况</w:t>
      </w:r>
    </w:p>
    <w:p>
      <w:pPr>
        <w:pStyle w:val="BodyText"/>
        <w:spacing w:before="62"/>
        <w:ind w:left="118"/>
      </w:pPr>
      <w:r>
        <w:rPr>
          <w:spacing w:val="-1"/>
        </w:rPr>
        <w:t>√适用 □不适用</w:t>
      </w:r>
      <w:r>
        <w:rPr>
          <w:spacing w:val="-3"/>
        </w:rPr>
        <w:t> </w:t>
      </w:r>
      <w:r>
        <w:rPr/>
        <w:t> </w:t>
      </w:r>
    </w:p>
    <w:p>
      <w:pPr>
        <w:pStyle w:val="BodyText"/>
        <w:spacing w:line="242" w:lineRule="auto" w:before="5"/>
        <w:ind w:left="118" w:right="469"/>
      </w:pPr>
      <w:r>
        <w:rPr>
          <w:spacing w:val="-10"/>
        </w:rPr>
        <w:t>详见公司于 </w:t>
      </w:r>
      <w:r>
        <w:rPr>
          <w:rFonts w:ascii="Times New Roman" w:eastAsia="Times New Roman"/>
          <w:spacing w:val="-1"/>
        </w:rPr>
        <w:t>2023</w:t>
      </w:r>
      <w:r>
        <w:rPr>
          <w:rFonts w:ascii="Times New Roman" w:eastAsia="Times New Roman"/>
          <w:spacing w:val="-12"/>
        </w:rPr>
        <w:t> </w:t>
      </w:r>
      <w:r>
        <w:rPr>
          <w:spacing w:val="-27"/>
        </w:rPr>
        <w:t>年 </w:t>
      </w:r>
      <w:r>
        <w:rPr>
          <w:rFonts w:ascii="Times New Roman" w:eastAsia="Times New Roman"/>
        </w:rPr>
        <w:t>3</w:t>
      </w:r>
      <w:r>
        <w:rPr>
          <w:rFonts w:ascii="Times New Roman" w:eastAsia="Times New Roman"/>
          <w:spacing w:val="-11"/>
        </w:rPr>
        <w:t> </w:t>
      </w:r>
      <w:r>
        <w:rPr>
          <w:spacing w:val="-26"/>
        </w:rPr>
        <w:t>月 </w:t>
      </w:r>
      <w:r>
        <w:rPr>
          <w:rFonts w:ascii="Times New Roman" w:eastAsia="Times New Roman"/>
        </w:rPr>
        <w:t>15</w:t>
      </w:r>
      <w:r>
        <w:rPr>
          <w:rFonts w:ascii="Times New Roman" w:eastAsia="Times New Roman"/>
          <w:spacing w:val="-10"/>
        </w:rPr>
        <w:t> </w:t>
      </w:r>
      <w:r>
        <w:rPr>
          <w:spacing w:val="-3"/>
        </w:rPr>
        <w:t>日披露的《富士康工业互联网股份有限公司 </w:t>
      </w:r>
      <w:r>
        <w:rPr>
          <w:rFonts w:ascii="Times New Roman" w:eastAsia="Times New Roman"/>
        </w:rPr>
        <w:t>2022</w:t>
      </w:r>
      <w:r>
        <w:rPr>
          <w:rFonts w:ascii="Times New Roman" w:eastAsia="Times New Roman"/>
          <w:spacing w:val="-12"/>
        </w:rPr>
        <w:t> </w:t>
      </w:r>
      <w:r>
        <w:rPr/>
        <w:t>年度内部控制评价报告》。</w:t>
      </w:r>
    </w:p>
    <w:p>
      <w:pPr>
        <w:pStyle w:val="BodyText"/>
        <w:spacing w:before="1"/>
        <w:ind w:left="118"/>
      </w:pPr>
      <w:r>
        <w:rPr>
          <w:w w:val="100"/>
        </w:rPr>
        <w:t> </w:t>
      </w:r>
    </w:p>
    <w:p>
      <w:pPr>
        <w:pStyle w:val="BodyText"/>
        <w:spacing w:before="2"/>
        <w:ind w:left="118"/>
      </w:pPr>
      <w:r>
        <w:rPr>
          <w:spacing w:val="-1"/>
        </w:rPr>
        <w:t>报告期内部控制存在重大缺陷情况的说明</w:t>
      </w:r>
      <w:r>
        <w:rPr/>
        <w:t> </w:t>
      </w:r>
    </w:p>
    <w:p>
      <w:pPr>
        <w:pStyle w:val="BodyText"/>
        <w:spacing w:before="2"/>
        <w:ind w:left="118"/>
      </w:pPr>
      <w:r>
        <w:rPr>
          <w:spacing w:val="-1"/>
        </w:rPr>
        <w:t>□适用 √不适用</w:t>
      </w:r>
      <w:r>
        <w:rPr>
          <w:spacing w:val="-3"/>
        </w:rPr>
        <w:t> </w:t>
      </w:r>
      <w:r>
        <w:rPr/>
        <w:t> </w:t>
      </w:r>
    </w:p>
    <w:p>
      <w:pPr>
        <w:pStyle w:val="BodyText"/>
        <w:spacing w:before="5"/>
        <w:ind w:left="118"/>
      </w:pPr>
      <w:r>
        <w:rPr>
          <w:w w:val="100"/>
        </w:rPr>
        <w:t> </w:t>
      </w:r>
    </w:p>
    <w:p>
      <w:pPr>
        <w:pStyle w:val="BodyText"/>
        <w:spacing w:before="63"/>
        <w:ind w:left="118"/>
      </w:pPr>
      <w:r>
        <w:rPr/>
        <w:t>十三、 报告期内对子公司的管理控制情况</w:t>
      </w:r>
    </w:p>
    <w:p>
      <w:pPr>
        <w:pStyle w:val="BodyText"/>
        <w:spacing w:before="64"/>
        <w:ind w:left="118"/>
      </w:pPr>
      <w:r>
        <w:rPr>
          <w:spacing w:val="-1"/>
        </w:rPr>
        <w:t>√适用 □不适用</w:t>
      </w:r>
      <w:r>
        <w:rPr>
          <w:spacing w:val="-3"/>
        </w:rPr>
        <w:t> </w:t>
      </w:r>
      <w:r>
        <w:rPr/>
        <w:t> </w:t>
      </w:r>
    </w:p>
    <w:p>
      <w:pPr>
        <w:pStyle w:val="BodyText"/>
        <w:spacing w:line="364" w:lineRule="auto" w:before="2"/>
        <w:ind w:left="118" w:right="308" w:firstLine="419"/>
        <w:jc w:val="both"/>
      </w:pPr>
      <w:r>
        <w:rPr/>
        <w:t>报告期内，公司董事会坚持以风险防范为导向，以提升管理实效为目的，增强内控制度执行力和内控管理有效性，形成事前风险防控、事中监控预警、事后评价优化的管理闭环。结合公司的行业特点和业务拓展实际经营情况，进一步加强对子公司的管理，建立了《子公司管理制度》</w:t>
      </w:r>
    </w:p>
    <w:p>
      <w:pPr>
        <w:pStyle w:val="BodyText"/>
        <w:spacing w:line="364" w:lineRule="auto"/>
        <w:ind w:left="118" w:right="308"/>
        <w:jc w:val="both"/>
      </w:pPr>
      <w:r>
        <w:rPr/>
        <w:t>《风险管理制度》《关联交易管理制度》《对外担保管理制度》《对外投资管理制度》等一系列内控管理制度，对子公司的组织、资源、资产、交易、投资和公司的运作进行风险控制，提高了公司整体及子公司运作效率和抗风险能力。报告期内，不存在子公司失去控制的现象。 </w:t>
      </w:r>
    </w:p>
    <w:p>
      <w:pPr>
        <w:spacing w:after="0" w:line="364" w:lineRule="auto"/>
        <w:jc w:val="both"/>
        <w:sectPr>
          <w:pgSz w:w="11910" w:h="16840"/>
          <w:pgMar w:header="877" w:footer="1180" w:top="1440" w:bottom="1380" w:left="1680" w:right="960"/>
        </w:sectPr>
      </w:pPr>
    </w:p>
    <w:p>
      <w:pPr>
        <w:pStyle w:val="BodyText"/>
        <w:spacing w:before="68"/>
        <w:ind w:left="118"/>
      </w:pPr>
      <w:r>
        <w:rPr/>
        <w:t>十四、 内部控制审计报告的相关情况说明</w:t>
      </w:r>
    </w:p>
    <w:p>
      <w:pPr>
        <w:pStyle w:val="BodyText"/>
        <w:spacing w:before="65"/>
        <w:ind w:left="118"/>
      </w:pPr>
      <w:r>
        <w:rPr>
          <w:spacing w:val="11"/>
        </w:rPr>
        <w:t>√适用 □不适用</w:t>
      </w:r>
      <w:r>
        <w:rPr>
          <w:spacing w:val="-3"/>
        </w:rPr>
        <w:t> </w:t>
      </w:r>
      <w:r>
        <w:rPr/>
        <w:t> </w:t>
      </w:r>
    </w:p>
    <w:p>
      <w:pPr>
        <w:pStyle w:val="BodyText"/>
        <w:spacing w:line="244" w:lineRule="auto" w:before="2"/>
        <w:ind w:left="118" w:right="469"/>
      </w:pPr>
      <w:r>
        <w:rPr>
          <w:spacing w:val="-10"/>
        </w:rPr>
        <w:t>详见公司于 </w:t>
      </w:r>
      <w:r>
        <w:rPr>
          <w:rFonts w:ascii="Times New Roman" w:eastAsia="Times New Roman"/>
          <w:spacing w:val="-1"/>
        </w:rPr>
        <w:t>2023</w:t>
      </w:r>
      <w:r>
        <w:rPr>
          <w:rFonts w:ascii="Times New Roman" w:eastAsia="Times New Roman"/>
          <w:spacing w:val="-12"/>
        </w:rPr>
        <w:t> </w:t>
      </w:r>
      <w:r>
        <w:rPr>
          <w:spacing w:val="-27"/>
        </w:rPr>
        <w:t>年 </w:t>
      </w:r>
      <w:r>
        <w:rPr>
          <w:rFonts w:ascii="Times New Roman" w:eastAsia="Times New Roman"/>
        </w:rPr>
        <w:t>3</w:t>
      </w:r>
      <w:r>
        <w:rPr>
          <w:rFonts w:ascii="Times New Roman" w:eastAsia="Times New Roman"/>
          <w:spacing w:val="-11"/>
        </w:rPr>
        <w:t> </w:t>
      </w:r>
      <w:r>
        <w:rPr>
          <w:spacing w:val="-26"/>
        </w:rPr>
        <w:t>月 </w:t>
      </w:r>
      <w:r>
        <w:rPr>
          <w:rFonts w:ascii="Times New Roman" w:eastAsia="Times New Roman"/>
        </w:rPr>
        <w:t>15</w:t>
      </w:r>
      <w:r>
        <w:rPr>
          <w:rFonts w:ascii="Times New Roman" w:eastAsia="Times New Roman"/>
          <w:spacing w:val="-10"/>
        </w:rPr>
        <w:t> </w:t>
      </w:r>
      <w:r>
        <w:rPr>
          <w:spacing w:val="-3"/>
        </w:rPr>
        <w:t>日披露的《富士康工业互联网股份有限公司 </w:t>
      </w:r>
      <w:r>
        <w:rPr>
          <w:rFonts w:ascii="Times New Roman" w:eastAsia="Times New Roman"/>
        </w:rPr>
        <w:t>2022</w:t>
      </w:r>
      <w:r>
        <w:rPr>
          <w:rFonts w:ascii="Times New Roman" w:eastAsia="Times New Roman"/>
          <w:spacing w:val="-12"/>
        </w:rPr>
        <w:t> </w:t>
      </w:r>
      <w:r>
        <w:rPr/>
        <w:t>年度内部控制审计报告》。</w:t>
      </w:r>
    </w:p>
    <w:p>
      <w:pPr>
        <w:pStyle w:val="BodyText"/>
        <w:spacing w:line="265" w:lineRule="exact"/>
        <w:ind w:left="118"/>
      </w:pPr>
      <w:r>
        <w:rPr>
          <w:spacing w:val="-1"/>
        </w:rPr>
        <w:t>是否披露内部控制审计报告：是</w:t>
      </w:r>
      <w:r>
        <w:rPr/>
        <w:t> </w:t>
      </w:r>
    </w:p>
    <w:p>
      <w:pPr>
        <w:pStyle w:val="BodyText"/>
        <w:spacing w:before="5"/>
        <w:ind w:left="118"/>
      </w:pPr>
      <w:r>
        <w:rPr>
          <w:spacing w:val="-1"/>
        </w:rPr>
        <w:t>内部控制审计报告意见类型：标准的无保留意见</w:t>
      </w:r>
      <w:r>
        <w:rPr/>
        <w:t> </w:t>
      </w:r>
    </w:p>
    <w:p>
      <w:pPr>
        <w:pStyle w:val="BodyText"/>
        <w:spacing w:before="2"/>
        <w:ind w:left="118"/>
      </w:pPr>
      <w:r>
        <w:rPr>
          <w:w w:val="100"/>
        </w:rPr>
        <w:t> </w:t>
      </w:r>
    </w:p>
    <w:p>
      <w:pPr>
        <w:pStyle w:val="BodyText"/>
        <w:spacing w:line="295" w:lineRule="auto" w:before="64"/>
        <w:ind w:left="118" w:right="4405"/>
      </w:pPr>
      <w:r>
        <w:rPr/>
        <w:t>十五、 上市公司治理专项行动自查问题整改情况不适用 </w:t>
      </w:r>
    </w:p>
    <w:p>
      <w:pPr>
        <w:pStyle w:val="BodyText"/>
        <w:spacing w:line="212" w:lineRule="exact"/>
        <w:ind w:left="118"/>
      </w:pPr>
      <w:r>
        <w:rPr>
          <w:w w:val="100"/>
        </w:rPr>
        <w:t> </w:t>
      </w:r>
    </w:p>
    <w:p>
      <w:pPr>
        <w:pStyle w:val="BodyText"/>
        <w:spacing w:before="62"/>
        <w:ind w:left="118"/>
      </w:pPr>
      <w:r>
        <w:rPr>
          <w:spacing w:val="16"/>
        </w:rPr>
        <w:t>十六、 其他</w:t>
      </w:r>
    </w:p>
    <w:p>
      <w:pPr>
        <w:pStyle w:val="BodyText"/>
        <w:spacing w:before="65"/>
        <w:ind w:left="118"/>
      </w:pPr>
      <w:r>
        <w:rPr>
          <w:spacing w:val="11"/>
        </w:rPr>
        <w:t>□适用 √不适用</w:t>
      </w:r>
      <w:r>
        <w:rPr>
          <w:spacing w:val="-3"/>
        </w:rPr>
        <w:t> </w:t>
      </w:r>
      <w:r>
        <w:rPr/>
        <w:t> </w:t>
      </w:r>
    </w:p>
    <w:p>
      <w:pPr>
        <w:pStyle w:val="BodyText"/>
        <w:spacing w:before="2"/>
        <w:ind w:left="118"/>
      </w:pPr>
      <w:r>
        <w:rPr>
          <w:w w:val="100"/>
        </w:rPr>
        <w:t> </w:t>
      </w:r>
    </w:p>
    <w:p>
      <w:pPr>
        <w:pStyle w:val="BodyText"/>
        <w:spacing w:before="5"/>
        <w:ind w:left="118"/>
      </w:pPr>
      <w:r>
        <w:rPr>
          <w:w w:val="100"/>
        </w:rPr>
        <w:t> </w:t>
      </w:r>
    </w:p>
    <w:p>
      <w:pPr>
        <w:pStyle w:val="BodyText"/>
        <w:tabs>
          <w:tab w:pos="2998" w:val="left" w:leader="none"/>
        </w:tabs>
        <w:spacing w:before="2"/>
        <w:ind w:left="118"/>
      </w:pPr>
      <w:r>
        <w:rPr>
          <w:w w:val="100"/>
        </w:rPr>
        <w:t> </w:t>
      </w:r>
      <w:r>
        <w:rPr/>
        <w:tab/>
      </w:r>
      <w:r>
        <w:rPr>
          <w:w w:val="100"/>
        </w:rPr>
        <w:t> </w:t>
      </w:r>
    </w:p>
    <w:p>
      <w:pPr>
        <w:spacing w:after="0"/>
        <w:sectPr>
          <w:pgSz w:w="11910" w:h="16840"/>
          <w:pgMar w:header="877" w:footer="1180" w:top="1440" w:bottom="1380" w:left="1680" w:right="960"/>
        </w:sectPr>
      </w:pPr>
    </w:p>
    <w:p>
      <w:pPr>
        <w:pStyle w:val="BodyText"/>
        <w:ind w:left="0"/>
        <w:rPr>
          <w:sz w:val="20"/>
        </w:rPr>
      </w:pPr>
    </w:p>
    <w:p>
      <w:pPr>
        <w:pStyle w:val="BodyText"/>
        <w:spacing w:before="3"/>
        <w:ind w:left="0"/>
        <w:rPr>
          <w:sz w:val="23"/>
        </w:rPr>
      </w:pPr>
    </w:p>
    <w:p>
      <w:pPr>
        <w:pStyle w:val="Heading1"/>
        <w:ind w:left="5408" w:right="5432"/>
      </w:pPr>
      <w:bookmarkStart w:name="_bookmark4" w:id="5"/>
      <w:bookmarkEnd w:id="5"/>
      <w:r>
        <w:rPr>
          <w:b w:val="0"/>
        </w:rPr>
      </w:r>
      <w:r>
        <w:rPr/>
        <w:t>第五节      环境与社会责任</w:t>
      </w:r>
    </w:p>
    <w:p>
      <w:pPr>
        <w:pStyle w:val="BodyText"/>
        <w:spacing w:before="3"/>
        <w:ind w:left="0"/>
        <w:rPr>
          <w:rFonts w:ascii="Microsoft JhengHei"/>
          <w:b/>
          <w:sz w:val="6"/>
        </w:rPr>
      </w:pPr>
    </w:p>
    <w:p>
      <w:pPr>
        <w:pStyle w:val="BodyText"/>
        <w:spacing w:before="72"/>
        <w:ind w:left="100"/>
      </w:pPr>
      <w:r>
        <w:rPr/>
        <w:t>一、环境信息情况 </w:t>
      </w:r>
    </w:p>
    <w:p>
      <w:pPr>
        <w:pStyle w:val="BodyText"/>
        <w:spacing w:before="9"/>
        <w:ind w:left="0"/>
        <w:rPr>
          <w:sz w:val="4"/>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21"/>
        <w:gridCol w:w="6843"/>
      </w:tblGrid>
      <w:tr>
        <w:trPr>
          <w:trHeight w:val="273" w:hRule="atLeast"/>
        </w:trPr>
        <w:tc>
          <w:tcPr>
            <w:tcW w:w="7021" w:type="dxa"/>
          </w:tcPr>
          <w:p>
            <w:pPr>
              <w:pStyle w:val="TableParagraph"/>
              <w:spacing w:line="252" w:lineRule="exact" w:before="1"/>
              <w:ind w:left="107"/>
              <w:rPr>
                <w:sz w:val="21"/>
              </w:rPr>
            </w:pPr>
            <w:r>
              <w:rPr>
                <w:spacing w:val="-1"/>
                <w:sz w:val="21"/>
              </w:rPr>
              <w:t>是否建立环境保护相关机制 </w:t>
            </w:r>
          </w:p>
        </w:tc>
        <w:tc>
          <w:tcPr>
            <w:tcW w:w="6843" w:type="dxa"/>
          </w:tcPr>
          <w:p>
            <w:pPr>
              <w:pStyle w:val="TableParagraph"/>
              <w:spacing w:line="252" w:lineRule="exact" w:before="1"/>
              <w:ind w:right="-15"/>
              <w:jc w:val="right"/>
              <w:rPr>
                <w:sz w:val="21"/>
              </w:rPr>
            </w:pPr>
            <w:r>
              <w:rPr>
                <w:sz w:val="21"/>
              </w:rPr>
              <w:t>是 </w:t>
            </w:r>
          </w:p>
        </w:tc>
      </w:tr>
      <w:tr>
        <w:trPr>
          <w:trHeight w:val="273" w:hRule="atLeast"/>
        </w:trPr>
        <w:tc>
          <w:tcPr>
            <w:tcW w:w="7021" w:type="dxa"/>
          </w:tcPr>
          <w:p>
            <w:pPr>
              <w:pStyle w:val="TableParagraph"/>
              <w:spacing w:line="252" w:lineRule="exact" w:before="1"/>
              <w:ind w:left="107"/>
              <w:rPr>
                <w:sz w:val="21"/>
              </w:rPr>
            </w:pPr>
            <w:bookmarkStart w:name="OLE_LINK1" w:id="6"/>
            <w:bookmarkEnd w:id="6"/>
            <w:r>
              <w:rPr/>
            </w:r>
            <w:r>
              <w:rPr>
                <w:spacing w:val="-1"/>
                <w:sz w:val="21"/>
              </w:rPr>
              <w:t>报告期内投入环保资金</w:t>
            </w:r>
            <w:r>
              <w:rPr>
                <w:sz w:val="21"/>
              </w:rPr>
              <w:t>（单位：万元） </w:t>
            </w:r>
          </w:p>
        </w:tc>
        <w:tc>
          <w:tcPr>
            <w:tcW w:w="6843" w:type="dxa"/>
          </w:tcPr>
          <w:p>
            <w:pPr>
              <w:pStyle w:val="TableParagraph"/>
              <w:spacing w:line="235" w:lineRule="exact"/>
              <w:ind w:right="95"/>
              <w:jc w:val="right"/>
              <w:rPr>
                <w:rFonts w:ascii="Times New Roman"/>
                <w:sz w:val="21"/>
              </w:rPr>
            </w:pPr>
            <w:r>
              <w:rPr>
                <w:rFonts w:ascii="Times New Roman"/>
                <w:sz w:val="21"/>
              </w:rPr>
              <w:t>39,548.23</w:t>
            </w:r>
          </w:p>
        </w:tc>
      </w:tr>
    </w:tbl>
    <w:p>
      <w:pPr>
        <w:pStyle w:val="BodyText"/>
        <w:spacing w:before="1"/>
        <w:ind w:left="100"/>
      </w:pPr>
      <w:r>
        <w:rPr>
          <w:w w:val="100"/>
        </w:rPr>
        <w:t> </w:t>
      </w:r>
    </w:p>
    <w:p>
      <w:pPr>
        <w:pStyle w:val="BodyText"/>
        <w:spacing w:before="63"/>
        <w:ind w:left="100"/>
      </w:pPr>
      <w:r>
        <w:rPr>
          <w:spacing w:val="-6"/>
        </w:rPr>
        <w:t>(一) 属于环境保护部门公布的重点排污单位的公司及其主要子公司的环保情况说明 </w:t>
      </w:r>
    </w:p>
    <w:p>
      <w:pPr>
        <w:pStyle w:val="BodyText"/>
        <w:spacing w:before="65"/>
        <w:ind w:left="100"/>
      </w:pPr>
      <w:r>
        <w:rPr/>
        <w:t>√适用 □不适用</w:t>
      </w:r>
      <w:r>
        <w:rPr>
          <w:spacing w:val="-3"/>
        </w:rPr>
        <w:t> </w:t>
      </w:r>
      <w:r>
        <w:rPr/>
        <w:t> </w:t>
      </w:r>
    </w:p>
    <w:p>
      <w:pPr>
        <w:pStyle w:val="ListParagraph"/>
        <w:numPr>
          <w:ilvl w:val="0"/>
          <w:numId w:val="26"/>
        </w:numPr>
        <w:tabs>
          <w:tab w:pos="526" w:val="left" w:leader="none"/>
        </w:tabs>
        <w:spacing w:line="240" w:lineRule="auto" w:before="62" w:after="0"/>
        <w:ind w:left="525" w:right="0" w:hanging="426"/>
        <w:jc w:val="left"/>
        <w:rPr>
          <w:sz w:val="21"/>
        </w:rPr>
      </w:pPr>
      <w:r>
        <w:rPr>
          <w:sz w:val="21"/>
        </w:rPr>
        <w:t>排污信息 </w:t>
      </w:r>
    </w:p>
    <w:p>
      <w:pPr>
        <w:pStyle w:val="BodyText"/>
        <w:spacing w:before="64"/>
        <w:ind w:left="100"/>
      </w:pPr>
      <w:r>
        <w:rPr/>
        <w:t>√适用 □不适用</w:t>
      </w:r>
      <w:r>
        <w:rPr>
          <w:spacing w:val="-3"/>
        </w:rPr>
        <w:t> </w:t>
      </w:r>
      <w:r>
        <w:rPr/>
        <w:t> </w:t>
      </w:r>
    </w:p>
    <w:p>
      <w:pPr>
        <w:pStyle w:val="BodyText"/>
        <w:spacing w:line="242" w:lineRule="auto" w:before="2"/>
        <w:ind w:left="100" w:right="196" w:firstLine="425"/>
      </w:pPr>
      <w:r>
        <w:rPr>
          <w:spacing w:val="-7"/>
        </w:rPr>
        <w:t>报告期内，本公司共 </w:t>
      </w:r>
      <w:r>
        <w:rPr>
          <w:rFonts w:ascii="Times New Roman" w:eastAsia="Times New Roman"/>
        </w:rPr>
        <w:t>5</w:t>
      </w:r>
      <w:r>
        <w:rPr>
          <w:rFonts w:ascii="Times New Roman" w:eastAsia="Times New Roman"/>
          <w:spacing w:val="-12"/>
        </w:rPr>
        <w:t> </w:t>
      </w:r>
      <w:r>
        <w:rPr/>
        <w:t>家子公司被纳入水环境重点排污单位，</w:t>
      </w:r>
      <w:r>
        <w:rPr>
          <w:rFonts w:ascii="Times New Roman" w:eastAsia="Times New Roman"/>
        </w:rPr>
        <w:t>2</w:t>
      </w:r>
      <w:r>
        <w:rPr>
          <w:rFonts w:ascii="Times New Roman" w:eastAsia="Times New Roman"/>
          <w:spacing w:val="-12"/>
        </w:rPr>
        <w:t> </w:t>
      </w:r>
      <w:r>
        <w:rPr/>
        <w:t>家子公司被纳入大气环境重点排污单位名录，各公司严格遵守核定排放标准排放，</w:t>
      </w:r>
      <w:r>
        <w:rPr>
          <w:spacing w:val="-102"/>
        </w:rPr>
        <w:t> </w:t>
      </w:r>
      <w:r>
        <w:rPr/>
        <w:t>不存在超标排放的情况，相关排污信息如下表：</w:t>
      </w:r>
    </w:p>
    <w:tbl>
      <w:tblPr>
        <w:tblW w:w="0" w:type="auto"/>
        <w:jc w:val="left"/>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8"/>
        <w:gridCol w:w="576"/>
        <w:gridCol w:w="1411"/>
        <w:gridCol w:w="1594"/>
        <w:gridCol w:w="1190"/>
        <w:gridCol w:w="957"/>
        <w:gridCol w:w="1473"/>
        <w:gridCol w:w="1756"/>
        <w:gridCol w:w="768"/>
        <w:gridCol w:w="1264"/>
        <w:gridCol w:w="1254"/>
      </w:tblGrid>
      <w:tr>
        <w:trPr>
          <w:trHeight w:val="981" w:hRule="atLeast"/>
        </w:trPr>
        <w:tc>
          <w:tcPr>
            <w:tcW w:w="1508" w:type="dxa"/>
          </w:tcPr>
          <w:p>
            <w:pPr>
              <w:pStyle w:val="TableParagraph"/>
              <w:spacing w:before="6"/>
              <w:rPr>
                <w:sz w:val="29"/>
              </w:rPr>
            </w:pPr>
          </w:p>
          <w:p>
            <w:pPr>
              <w:pStyle w:val="TableParagraph"/>
              <w:ind w:left="225"/>
              <w:rPr>
                <w:sz w:val="21"/>
              </w:rPr>
            </w:pPr>
            <w:r>
              <w:rPr>
                <w:sz w:val="21"/>
              </w:rPr>
              <w:t>子公司名称</w:t>
            </w:r>
          </w:p>
        </w:tc>
        <w:tc>
          <w:tcPr>
            <w:tcW w:w="576" w:type="dxa"/>
          </w:tcPr>
          <w:p>
            <w:pPr>
              <w:pStyle w:val="TableParagraph"/>
              <w:spacing w:before="12"/>
              <w:rPr>
                <w:sz w:val="16"/>
              </w:rPr>
            </w:pPr>
          </w:p>
          <w:p>
            <w:pPr>
              <w:pStyle w:val="TableParagraph"/>
              <w:spacing w:line="288" w:lineRule="auto"/>
              <w:ind w:left="73" w:right="67"/>
              <w:rPr>
                <w:sz w:val="21"/>
              </w:rPr>
            </w:pPr>
            <w:r>
              <w:rPr>
                <w:spacing w:val="-1"/>
                <w:sz w:val="21"/>
              </w:rPr>
              <w:t>污染类别</w:t>
            </w:r>
          </w:p>
        </w:tc>
        <w:tc>
          <w:tcPr>
            <w:tcW w:w="1411" w:type="dxa"/>
          </w:tcPr>
          <w:p>
            <w:pPr>
              <w:pStyle w:val="TableParagraph"/>
              <w:spacing w:line="285" w:lineRule="auto" w:before="58"/>
              <w:ind w:left="68" w:right="62"/>
              <w:jc w:val="center"/>
              <w:rPr>
                <w:sz w:val="21"/>
              </w:rPr>
            </w:pPr>
            <w:r>
              <w:rPr>
                <w:sz w:val="21"/>
              </w:rPr>
              <w:t>主要污染物及特征污染物的</w:t>
            </w:r>
          </w:p>
          <w:p>
            <w:pPr>
              <w:pStyle w:val="TableParagraph"/>
              <w:spacing w:line="263" w:lineRule="exact"/>
              <w:ind w:left="66" w:right="62"/>
              <w:jc w:val="center"/>
              <w:rPr>
                <w:sz w:val="21"/>
              </w:rPr>
            </w:pPr>
            <w:r>
              <w:rPr>
                <w:sz w:val="21"/>
              </w:rPr>
              <w:t>名称</w:t>
            </w:r>
          </w:p>
        </w:tc>
        <w:tc>
          <w:tcPr>
            <w:tcW w:w="1594" w:type="dxa"/>
          </w:tcPr>
          <w:p>
            <w:pPr>
              <w:pStyle w:val="TableParagraph"/>
              <w:spacing w:before="6"/>
              <w:rPr>
                <w:sz w:val="29"/>
              </w:rPr>
            </w:pPr>
          </w:p>
          <w:p>
            <w:pPr>
              <w:pStyle w:val="TableParagraph"/>
              <w:ind w:left="374"/>
              <w:rPr>
                <w:sz w:val="21"/>
              </w:rPr>
            </w:pPr>
            <w:r>
              <w:rPr>
                <w:sz w:val="21"/>
              </w:rPr>
              <w:t>排放浓度</w:t>
            </w:r>
          </w:p>
        </w:tc>
        <w:tc>
          <w:tcPr>
            <w:tcW w:w="1190" w:type="dxa"/>
          </w:tcPr>
          <w:p>
            <w:pPr>
              <w:pStyle w:val="TableParagraph"/>
              <w:spacing w:before="12"/>
              <w:rPr>
                <w:sz w:val="16"/>
              </w:rPr>
            </w:pPr>
          </w:p>
          <w:p>
            <w:pPr>
              <w:pStyle w:val="TableParagraph"/>
              <w:spacing w:line="288" w:lineRule="auto"/>
              <w:ind w:left="67" w:right="56"/>
              <w:rPr>
                <w:sz w:val="21"/>
              </w:rPr>
            </w:pPr>
            <w:r>
              <w:rPr>
                <w:sz w:val="21"/>
              </w:rPr>
              <w:t>执行的污染物排放标准</w:t>
            </w:r>
          </w:p>
        </w:tc>
        <w:tc>
          <w:tcPr>
            <w:tcW w:w="957" w:type="dxa"/>
          </w:tcPr>
          <w:p>
            <w:pPr>
              <w:pStyle w:val="TableParagraph"/>
              <w:spacing w:line="285" w:lineRule="auto" w:before="58"/>
              <w:ind w:left="266" w:right="257"/>
              <w:rPr>
                <w:sz w:val="21"/>
              </w:rPr>
            </w:pPr>
            <w:r>
              <w:rPr>
                <w:spacing w:val="-2"/>
                <w:sz w:val="21"/>
              </w:rPr>
              <w:t>排放</w:t>
            </w:r>
            <w:r>
              <w:rPr>
                <w:spacing w:val="-8"/>
                <w:sz w:val="21"/>
              </w:rPr>
              <w:t>总量</w:t>
            </w:r>
          </w:p>
          <w:p>
            <w:pPr>
              <w:pStyle w:val="TableParagraph"/>
              <w:spacing w:line="263" w:lineRule="exact"/>
              <w:ind w:left="204"/>
              <w:rPr>
                <w:rFonts w:ascii="Times New Roman" w:eastAsia="Times New Roman"/>
                <w:b/>
                <w:sz w:val="21"/>
              </w:rPr>
            </w:pPr>
            <w:r>
              <w:rPr>
                <w:spacing w:val="-16"/>
                <w:sz w:val="21"/>
              </w:rPr>
              <w:t>单位 </w:t>
            </w:r>
            <w:r>
              <w:rPr>
                <w:rFonts w:ascii="Times New Roman" w:eastAsia="Times New Roman"/>
                <w:b/>
                <w:sz w:val="21"/>
              </w:rPr>
              <w:t>t</w:t>
            </w:r>
          </w:p>
        </w:tc>
        <w:tc>
          <w:tcPr>
            <w:tcW w:w="1473" w:type="dxa"/>
          </w:tcPr>
          <w:p>
            <w:pPr>
              <w:pStyle w:val="TableParagraph"/>
              <w:spacing w:line="285" w:lineRule="auto" w:before="58"/>
              <w:ind w:left="315" w:right="300" w:firstLine="105"/>
              <w:rPr>
                <w:sz w:val="21"/>
              </w:rPr>
            </w:pPr>
            <w:r>
              <w:rPr>
                <w:sz w:val="21"/>
              </w:rPr>
              <w:t>核定的</w:t>
            </w:r>
            <w:r>
              <w:rPr>
                <w:spacing w:val="-3"/>
                <w:sz w:val="21"/>
              </w:rPr>
              <w:t>排放总量</w:t>
            </w:r>
          </w:p>
          <w:p>
            <w:pPr>
              <w:pStyle w:val="TableParagraph"/>
              <w:spacing w:line="263" w:lineRule="exact"/>
              <w:ind w:left="382"/>
              <w:rPr>
                <w:rFonts w:ascii="Times New Roman" w:eastAsia="Times New Roman"/>
                <w:b/>
                <w:sz w:val="21"/>
              </w:rPr>
            </w:pPr>
            <w:r>
              <w:rPr>
                <w:spacing w:val="-17"/>
                <w:sz w:val="21"/>
              </w:rPr>
              <w:t>单位 </w:t>
            </w:r>
            <w:r>
              <w:rPr>
                <w:rFonts w:ascii="Times New Roman" w:eastAsia="Times New Roman"/>
                <w:b/>
                <w:sz w:val="21"/>
              </w:rPr>
              <w:t>t/a</w:t>
            </w:r>
          </w:p>
        </w:tc>
        <w:tc>
          <w:tcPr>
            <w:tcW w:w="1756" w:type="dxa"/>
          </w:tcPr>
          <w:p>
            <w:pPr>
              <w:pStyle w:val="TableParagraph"/>
              <w:spacing w:before="6"/>
              <w:rPr>
                <w:sz w:val="29"/>
              </w:rPr>
            </w:pPr>
          </w:p>
          <w:p>
            <w:pPr>
              <w:pStyle w:val="TableParagraph"/>
              <w:ind w:left="334" w:right="320"/>
              <w:jc w:val="center"/>
              <w:rPr>
                <w:sz w:val="21"/>
              </w:rPr>
            </w:pPr>
            <w:r>
              <w:rPr>
                <w:sz w:val="21"/>
              </w:rPr>
              <w:t>排放方式</w:t>
            </w:r>
          </w:p>
        </w:tc>
        <w:tc>
          <w:tcPr>
            <w:tcW w:w="768" w:type="dxa"/>
          </w:tcPr>
          <w:p>
            <w:pPr>
              <w:pStyle w:val="TableParagraph"/>
              <w:spacing w:line="285" w:lineRule="auto" w:before="58"/>
              <w:ind w:left="172" w:right="56" w:hanging="106"/>
              <w:rPr>
                <w:sz w:val="21"/>
              </w:rPr>
            </w:pPr>
            <w:r>
              <w:rPr>
                <w:spacing w:val="-1"/>
                <w:sz w:val="21"/>
              </w:rPr>
              <w:t>排放口</w:t>
            </w:r>
            <w:r>
              <w:rPr>
                <w:sz w:val="21"/>
              </w:rPr>
              <w:t>数量</w:t>
            </w:r>
          </w:p>
          <w:p>
            <w:pPr>
              <w:pStyle w:val="TableParagraph"/>
              <w:spacing w:line="263" w:lineRule="exact"/>
              <w:ind w:left="67"/>
              <w:rPr>
                <w:sz w:val="21"/>
              </w:rPr>
            </w:pPr>
            <w:r>
              <w:rPr>
                <w:sz w:val="21"/>
              </w:rPr>
              <w:t>单位个</w:t>
            </w:r>
          </w:p>
        </w:tc>
        <w:tc>
          <w:tcPr>
            <w:tcW w:w="1264" w:type="dxa"/>
          </w:tcPr>
          <w:p>
            <w:pPr>
              <w:pStyle w:val="TableParagraph"/>
              <w:spacing w:before="12"/>
              <w:rPr>
                <w:sz w:val="16"/>
              </w:rPr>
            </w:pPr>
          </w:p>
          <w:p>
            <w:pPr>
              <w:pStyle w:val="TableParagraph"/>
              <w:spacing w:line="288" w:lineRule="auto"/>
              <w:ind w:left="212" w:right="195" w:firstLine="105"/>
              <w:rPr>
                <w:sz w:val="21"/>
              </w:rPr>
            </w:pPr>
            <w:r>
              <w:rPr>
                <w:sz w:val="21"/>
              </w:rPr>
              <w:t>排放口分布情况</w:t>
            </w:r>
          </w:p>
        </w:tc>
        <w:tc>
          <w:tcPr>
            <w:tcW w:w="1254" w:type="dxa"/>
          </w:tcPr>
          <w:p>
            <w:pPr>
              <w:pStyle w:val="TableParagraph"/>
              <w:spacing w:before="12"/>
              <w:rPr>
                <w:sz w:val="16"/>
              </w:rPr>
            </w:pPr>
          </w:p>
          <w:p>
            <w:pPr>
              <w:pStyle w:val="TableParagraph"/>
              <w:spacing w:line="288" w:lineRule="auto"/>
              <w:ind w:left="524" w:right="83" w:hanging="423"/>
              <w:rPr>
                <w:sz w:val="21"/>
              </w:rPr>
            </w:pPr>
            <w:r>
              <w:rPr>
                <w:sz w:val="21"/>
              </w:rPr>
              <w:t>超标排放情况</w:t>
            </w:r>
          </w:p>
        </w:tc>
      </w:tr>
      <w:tr>
        <w:trPr>
          <w:trHeight w:val="333" w:hRule="atLeast"/>
        </w:trPr>
        <w:tc>
          <w:tcPr>
            <w:tcW w:w="1508" w:type="dxa"/>
            <w:vMerge w:val="restart"/>
          </w:tcPr>
          <w:p>
            <w:pPr>
              <w:pStyle w:val="TableParagraph"/>
              <w:spacing w:before="5"/>
              <w:rPr>
                <w:sz w:val="18"/>
              </w:rPr>
            </w:pPr>
          </w:p>
          <w:p>
            <w:pPr>
              <w:pStyle w:val="TableParagraph"/>
              <w:ind w:left="45"/>
              <w:rPr>
                <w:sz w:val="21"/>
              </w:rPr>
            </w:pPr>
            <w:r>
              <w:rPr>
                <w:sz w:val="21"/>
              </w:rPr>
              <w:t>富联精密电子</w:t>
            </w:r>
          </w:p>
          <w:p>
            <w:pPr>
              <w:pStyle w:val="TableParagraph"/>
              <w:spacing w:before="50"/>
              <w:ind w:left="45"/>
              <w:rPr>
                <w:sz w:val="21"/>
              </w:rPr>
            </w:pPr>
            <w:r>
              <w:rPr>
                <w:rFonts w:ascii="Times New Roman" w:eastAsia="Times New Roman"/>
                <w:sz w:val="21"/>
              </w:rPr>
              <w:t>(</w:t>
            </w:r>
            <w:r>
              <w:rPr>
                <w:sz w:val="21"/>
              </w:rPr>
              <w:t>天津</w:t>
            </w:r>
            <w:r>
              <w:rPr>
                <w:rFonts w:ascii="Times New Roman" w:eastAsia="Times New Roman"/>
                <w:sz w:val="21"/>
              </w:rPr>
              <w:t>)</w:t>
            </w:r>
            <w:r>
              <w:rPr>
                <w:sz w:val="21"/>
              </w:rPr>
              <w:t>有限公司</w:t>
            </w:r>
          </w:p>
        </w:tc>
        <w:tc>
          <w:tcPr>
            <w:tcW w:w="576" w:type="dxa"/>
            <w:vMerge w:val="restart"/>
          </w:tcPr>
          <w:p>
            <w:pPr>
              <w:pStyle w:val="TableParagraph"/>
              <w:rPr>
                <w:sz w:val="20"/>
              </w:rPr>
            </w:pPr>
          </w:p>
          <w:p>
            <w:pPr>
              <w:pStyle w:val="TableParagraph"/>
              <w:spacing w:before="140"/>
              <w:ind w:left="76"/>
              <w:rPr>
                <w:sz w:val="21"/>
              </w:rPr>
            </w:pPr>
            <w:r>
              <w:rPr>
                <w:sz w:val="21"/>
              </w:rPr>
              <w:t>废水</w:t>
            </w:r>
          </w:p>
        </w:tc>
        <w:tc>
          <w:tcPr>
            <w:tcW w:w="1411" w:type="dxa"/>
          </w:tcPr>
          <w:p>
            <w:pPr>
              <w:pStyle w:val="TableParagraph"/>
              <w:spacing w:before="67"/>
              <w:ind w:left="64" w:right="62"/>
              <w:jc w:val="center"/>
              <w:rPr>
                <w:rFonts w:ascii="Times New Roman"/>
                <w:sz w:val="21"/>
              </w:rPr>
            </w:pPr>
            <w:r>
              <w:rPr>
                <w:rFonts w:ascii="Times New Roman"/>
                <w:sz w:val="21"/>
              </w:rPr>
              <w:t>COD</w:t>
            </w:r>
          </w:p>
        </w:tc>
        <w:tc>
          <w:tcPr>
            <w:tcW w:w="1594" w:type="dxa"/>
          </w:tcPr>
          <w:p>
            <w:pPr>
              <w:pStyle w:val="TableParagraph"/>
              <w:spacing w:before="67"/>
              <w:ind w:right="32"/>
              <w:jc w:val="right"/>
              <w:rPr>
                <w:rFonts w:ascii="Times New Roman"/>
                <w:sz w:val="21"/>
              </w:rPr>
            </w:pPr>
            <w:r>
              <w:rPr>
                <w:rFonts w:ascii="Times New Roman"/>
                <w:sz w:val="21"/>
              </w:rPr>
              <w:t>19mg/L</w:t>
            </w:r>
          </w:p>
        </w:tc>
        <w:tc>
          <w:tcPr>
            <w:tcW w:w="1190" w:type="dxa"/>
          </w:tcPr>
          <w:p>
            <w:pPr>
              <w:pStyle w:val="TableParagraph"/>
              <w:spacing w:before="67"/>
              <w:ind w:right="31"/>
              <w:jc w:val="right"/>
              <w:rPr>
                <w:rFonts w:ascii="Times New Roman"/>
                <w:sz w:val="21"/>
              </w:rPr>
            </w:pPr>
            <w:r>
              <w:rPr>
                <w:rFonts w:ascii="Times New Roman"/>
                <w:sz w:val="21"/>
              </w:rPr>
              <w:t>500mg/L</w:t>
            </w:r>
          </w:p>
        </w:tc>
        <w:tc>
          <w:tcPr>
            <w:tcW w:w="957" w:type="dxa"/>
          </w:tcPr>
          <w:p>
            <w:pPr>
              <w:pStyle w:val="TableParagraph"/>
              <w:spacing w:before="67"/>
              <w:ind w:right="30"/>
              <w:jc w:val="right"/>
              <w:rPr>
                <w:rFonts w:ascii="Times New Roman"/>
                <w:sz w:val="21"/>
              </w:rPr>
            </w:pPr>
            <w:r>
              <w:rPr>
                <w:rFonts w:ascii="Times New Roman"/>
                <w:sz w:val="21"/>
              </w:rPr>
              <w:t>1.65</w:t>
            </w:r>
          </w:p>
        </w:tc>
        <w:tc>
          <w:tcPr>
            <w:tcW w:w="1473" w:type="dxa"/>
          </w:tcPr>
          <w:p>
            <w:pPr>
              <w:pStyle w:val="TableParagraph"/>
              <w:spacing w:before="67"/>
              <w:ind w:right="29"/>
              <w:jc w:val="right"/>
              <w:rPr>
                <w:rFonts w:ascii="Times New Roman"/>
                <w:sz w:val="21"/>
              </w:rPr>
            </w:pPr>
            <w:r>
              <w:rPr>
                <w:rFonts w:ascii="Times New Roman"/>
                <w:sz w:val="21"/>
              </w:rPr>
              <w:t>43.88</w:t>
            </w:r>
          </w:p>
        </w:tc>
        <w:tc>
          <w:tcPr>
            <w:tcW w:w="1756" w:type="dxa"/>
            <w:vMerge w:val="restart"/>
          </w:tcPr>
          <w:p>
            <w:pPr>
              <w:pStyle w:val="TableParagraph"/>
              <w:spacing w:before="75"/>
              <w:ind w:left="143"/>
              <w:rPr>
                <w:sz w:val="21"/>
              </w:rPr>
            </w:pPr>
            <w:r>
              <w:rPr>
                <w:sz w:val="21"/>
              </w:rPr>
              <w:t>经污水处理站处</w:t>
            </w:r>
          </w:p>
          <w:p>
            <w:pPr>
              <w:pStyle w:val="TableParagraph"/>
              <w:spacing w:line="320" w:lineRule="atLeast" w:before="2"/>
              <w:ind w:left="563" w:right="126" w:hanging="420"/>
              <w:rPr>
                <w:sz w:val="21"/>
              </w:rPr>
            </w:pPr>
            <w:r>
              <w:rPr>
                <w:sz w:val="21"/>
              </w:rPr>
              <w:t>理达标后排入市政管网</w:t>
            </w:r>
          </w:p>
        </w:tc>
        <w:tc>
          <w:tcPr>
            <w:tcW w:w="768" w:type="dxa"/>
            <w:vMerge w:val="restart"/>
          </w:tcPr>
          <w:p>
            <w:pPr>
              <w:pStyle w:val="TableParagraph"/>
              <w:rPr>
                <w:sz w:val="32"/>
              </w:rPr>
            </w:pPr>
          </w:p>
          <w:p>
            <w:pPr>
              <w:pStyle w:val="TableParagraph"/>
              <w:spacing w:before="1"/>
              <w:ind w:left="10"/>
              <w:jc w:val="center"/>
              <w:rPr>
                <w:rFonts w:ascii="Times New Roman"/>
                <w:sz w:val="21"/>
              </w:rPr>
            </w:pPr>
            <w:r>
              <w:rPr>
                <w:rFonts w:ascii="Times New Roman"/>
                <w:w w:val="100"/>
                <w:sz w:val="21"/>
              </w:rPr>
              <w:t>1</w:t>
            </w:r>
          </w:p>
        </w:tc>
        <w:tc>
          <w:tcPr>
            <w:tcW w:w="1264" w:type="dxa"/>
            <w:vMerge w:val="restart"/>
          </w:tcPr>
          <w:p>
            <w:pPr>
              <w:pStyle w:val="TableParagraph"/>
              <w:rPr>
                <w:sz w:val="20"/>
              </w:rPr>
            </w:pPr>
          </w:p>
          <w:p>
            <w:pPr>
              <w:pStyle w:val="TableParagraph"/>
              <w:spacing w:before="140"/>
              <w:ind w:left="108"/>
              <w:rPr>
                <w:sz w:val="21"/>
              </w:rPr>
            </w:pPr>
            <w:r>
              <w:rPr>
                <w:sz w:val="21"/>
              </w:rPr>
              <w:t>位于厂区内</w:t>
            </w:r>
          </w:p>
        </w:tc>
        <w:tc>
          <w:tcPr>
            <w:tcW w:w="1254" w:type="dxa"/>
            <w:vMerge w:val="restart"/>
          </w:tcPr>
          <w:p>
            <w:pPr>
              <w:pStyle w:val="TableParagraph"/>
              <w:rPr>
                <w:sz w:val="20"/>
              </w:rPr>
            </w:pPr>
          </w:p>
          <w:p>
            <w:pPr>
              <w:pStyle w:val="TableParagraph"/>
              <w:spacing w:before="140"/>
              <w:ind w:left="104"/>
              <w:rPr>
                <w:sz w:val="21"/>
              </w:rPr>
            </w:pPr>
            <w:r>
              <w:rPr>
                <w:sz w:val="21"/>
              </w:rPr>
              <w:t>无超标排放</w:t>
            </w:r>
          </w:p>
        </w:tc>
      </w:tr>
      <w:tr>
        <w:trPr>
          <w:trHeight w:val="333" w:hRule="atLeast"/>
        </w:trPr>
        <w:tc>
          <w:tcPr>
            <w:tcW w:w="1508" w:type="dxa"/>
            <w:vMerge/>
            <w:tcBorders>
              <w:top w:val="nil"/>
            </w:tcBorders>
          </w:tcPr>
          <w:p>
            <w:pPr>
              <w:rPr>
                <w:sz w:val="2"/>
                <w:szCs w:val="2"/>
              </w:rPr>
            </w:pPr>
          </w:p>
        </w:tc>
        <w:tc>
          <w:tcPr>
            <w:tcW w:w="576" w:type="dxa"/>
            <w:vMerge/>
            <w:tcBorders>
              <w:top w:val="nil"/>
            </w:tcBorders>
          </w:tcPr>
          <w:p>
            <w:pPr>
              <w:rPr>
                <w:sz w:val="2"/>
                <w:szCs w:val="2"/>
              </w:rPr>
            </w:pPr>
          </w:p>
        </w:tc>
        <w:tc>
          <w:tcPr>
            <w:tcW w:w="1411" w:type="dxa"/>
          </w:tcPr>
          <w:p>
            <w:pPr>
              <w:pStyle w:val="TableParagraph"/>
              <w:spacing w:line="259" w:lineRule="exact" w:before="54"/>
              <w:ind w:left="66" w:right="62"/>
              <w:jc w:val="center"/>
              <w:rPr>
                <w:sz w:val="21"/>
              </w:rPr>
            </w:pPr>
            <w:r>
              <w:rPr>
                <w:sz w:val="21"/>
              </w:rPr>
              <w:t>氨氮</w:t>
            </w:r>
          </w:p>
        </w:tc>
        <w:tc>
          <w:tcPr>
            <w:tcW w:w="1594" w:type="dxa"/>
          </w:tcPr>
          <w:p>
            <w:pPr>
              <w:pStyle w:val="TableParagraph"/>
              <w:spacing w:before="67"/>
              <w:ind w:right="32"/>
              <w:jc w:val="right"/>
              <w:rPr>
                <w:rFonts w:ascii="Times New Roman"/>
                <w:sz w:val="21"/>
              </w:rPr>
            </w:pPr>
            <w:r>
              <w:rPr>
                <w:rFonts w:ascii="Times New Roman"/>
                <w:sz w:val="21"/>
              </w:rPr>
              <w:t>2.480mg/L</w:t>
            </w:r>
          </w:p>
        </w:tc>
        <w:tc>
          <w:tcPr>
            <w:tcW w:w="1190" w:type="dxa"/>
          </w:tcPr>
          <w:p>
            <w:pPr>
              <w:pStyle w:val="TableParagraph"/>
              <w:spacing w:before="67"/>
              <w:ind w:right="31"/>
              <w:jc w:val="right"/>
              <w:rPr>
                <w:rFonts w:ascii="Times New Roman"/>
                <w:sz w:val="21"/>
              </w:rPr>
            </w:pPr>
            <w:r>
              <w:rPr>
                <w:rFonts w:ascii="Times New Roman"/>
                <w:sz w:val="21"/>
              </w:rPr>
              <w:t>45mg/L</w:t>
            </w:r>
          </w:p>
        </w:tc>
        <w:tc>
          <w:tcPr>
            <w:tcW w:w="957" w:type="dxa"/>
          </w:tcPr>
          <w:p>
            <w:pPr>
              <w:pStyle w:val="TableParagraph"/>
              <w:spacing w:before="67"/>
              <w:ind w:right="30"/>
              <w:jc w:val="right"/>
              <w:rPr>
                <w:rFonts w:ascii="Times New Roman"/>
                <w:sz w:val="21"/>
              </w:rPr>
            </w:pPr>
            <w:r>
              <w:rPr>
                <w:rFonts w:ascii="Times New Roman"/>
                <w:sz w:val="21"/>
              </w:rPr>
              <w:t>0.21</w:t>
            </w:r>
          </w:p>
        </w:tc>
        <w:tc>
          <w:tcPr>
            <w:tcW w:w="1473" w:type="dxa"/>
          </w:tcPr>
          <w:p>
            <w:pPr>
              <w:pStyle w:val="TableParagraph"/>
              <w:spacing w:before="67"/>
              <w:ind w:right="29"/>
              <w:jc w:val="right"/>
              <w:rPr>
                <w:rFonts w:ascii="Times New Roman"/>
                <w:sz w:val="21"/>
              </w:rPr>
            </w:pPr>
            <w:r>
              <w:rPr>
                <w:rFonts w:ascii="Times New Roman"/>
                <w:sz w:val="21"/>
              </w:rPr>
              <w:t>1.86</w:t>
            </w:r>
          </w:p>
        </w:tc>
        <w:tc>
          <w:tcPr>
            <w:tcW w:w="1756" w:type="dxa"/>
            <w:vMerge/>
            <w:tcBorders>
              <w:top w:val="nil"/>
            </w:tcBorders>
          </w:tcPr>
          <w:p>
            <w:pPr>
              <w:rPr>
                <w:sz w:val="2"/>
                <w:szCs w:val="2"/>
              </w:rPr>
            </w:pPr>
          </w:p>
        </w:tc>
        <w:tc>
          <w:tcPr>
            <w:tcW w:w="768" w:type="dxa"/>
            <w:vMerge/>
            <w:tcBorders>
              <w:top w:val="nil"/>
            </w:tcBorders>
          </w:tcPr>
          <w:p>
            <w:pPr>
              <w:rPr>
                <w:sz w:val="2"/>
                <w:szCs w:val="2"/>
              </w:rPr>
            </w:pPr>
          </w:p>
        </w:tc>
        <w:tc>
          <w:tcPr>
            <w:tcW w:w="1264" w:type="dxa"/>
            <w:vMerge/>
            <w:tcBorders>
              <w:top w:val="nil"/>
            </w:tcBorders>
          </w:tcPr>
          <w:p>
            <w:pPr>
              <w:rPr>
                <w:sz w:val="2"/>
                <w:szCs w:val="2"/>
              </w:rPr>
            </w:pPr>
          </w:p>
        </w:tc>
        <w:tc>
          <w:tcPr>
            <w:tcW w:w="1254" w:type="dxa"/>
            <w:vMerge/>
            <w:tcBorders>
              <w:top w:val="nil"/>
            </w:tcBorders>
          </w:tcPr>
          <w:p>
            <w:pPr>
              <w:rPr>
                <w:sz w:val="2"/>
                <w:szCs w:val="2"/>
              </w:rPr>
            </w:pPr>
          </w:p>
        </w:tc>
      </w:tr>
      <w:tr>
        <w:trPr>
          <w:trHeight w:val="333" w:hRule="atLeast"/>
        </w:trPr>
        <w:tc>
          <w:tcPr>
            <w:tcW w:w="1508" w:type="dxa"/>
            <w:vMerge/>
            <w:tcBorders>
              <w:top w:val="nil"/>
            </w:tcBorders>
          </w:tcPr>
          <w:p>
            <w:pPr>
              <w:rPr>
                <w:sz w:val="2"/>
                <w:szCs w:val="2"/>
              </w:rPr>
            </w:pPr>
          </w:p>
        </w:tc>
        <w:tc>
          <w:tcPr>
            <w:tcW w:w="576" w:type="dxa"/>
            <w:vMerge/>
            <w:tcBorders>
              <w:top w:val="nil"/>
            </w:tcBorders>
          </w:tcPr>
          <w:p>
            <w:pPr>
              <w:rPr>
                <w:sz w:val="2"/>
                <w:szCs w:val="2"/>
              </w:rPr>
            </w:pPr>
          </w:p>
        </w:tc>
        <w:tc>
          <w:tcPr>
            <w:tcW w:w="1411" w:type="dxa"/>
          </w:tcPr>
          <w:p>
            <w:pPr>
              <w:pStyle w:val="TableParagraph"/>
              <w:spacing w:line="259" w:lineRule="exact" w:before="54"/>
              <w:ind w:left="4"/>
              <w:jc w:val="center"/>
              <w:rPr>
                <w:sz w:val="21"/>
              </w:rPr>
            </w:pPr>
            <w:r>
              <w:rPr>
                <w:w w:val="100"/>
                <w:sz w:val="21"/>
              </w:rPr>
              <w:t>锌</w:t>
            </w:r>
          </w:p>
        </w:tc>
        <w:tc>
          <w:tcPr>
            <w:tcW w:w="1594" w:type="dxa"/>
          </w:tcPr>
          <w:p>
            <w:pPr>
              <w:pStyle w:val="TableParagraph"/>
              <w:spacing w:before="67"/>
              <w:ind w:right="32"/>
              <w:jc w:val="right"/>
              <w:rPr>
                <w:rFonts w:ascii="Times New Roman"/>
                <w:sz w:val="21"/>
              </w:rPr>
            </w:pPr>
            <w:r>
              <w:rPr>
                <w:rFonts w:ascii="Times New Roman"/>
                <w:sz w:val="21"/>
              </w:rPr>
              <w:t>0.0355mg/L</w:t>
            </w:r>
          </w:p>
        </w:tc>
        <w:tc>
          <w:tcPr>
            <w:tcW w:w="1190" w:type="dxa"/>
          </w:tcPr>
          <w:p>
            <w:pPr>
              <w:pStyle w:val="TableParagraph"/>
              <w:spacing w:before="67"/>
              <w:ind w:right="31"/>
              <w:jc w:val="right"/>
              <w:rPr>
                <w:rFonts w:ascii="Times New Roman"/>
                <w:sz w:val="21"/>
              </w:rPr>
            </w:pPr>
            <w:r>
              <w:rPr>
                <w:rFonts w:ascii="Times New Roman"/>
                <w:sz w:val="21"/>
              </w:rPr>
              <w:t>1.5mg/L</w:t>
            </w:r>
          </w:p>
        </w:tc>
        <w:tc>
          <w:tcPr>
            <w:tcW w:w="957" w:type="dxa"/>
          </w:tcPr>
          <w:p>
            <w:pPr>
              <w:pStyle w:val="TableParagraph"/>
              <w:spacing w:before="67"/>
              <w:ind w:right="30"/>
              <w:jc w:val="right"/>
              <w:rPr>
                <w:rFonts w:ascii="Times New Roman"/>
                <w:sz w:val="21"/>
              </w:rPr>
            </w:pPr>
            <w:r>
              <w:rPr>
                <w:rFonts w:ascii="Times New Roman"/>
                <w:sz w:val="21"/>
              </w:rPr>
              <w:t>0.003</w:t>
            </w:r>
          </w:p>
        </w:tc>
        <w:tc>
          <w:tcPr>
            <w:tcW w:w="1473" w:type="dxa"/>
          </w:tcPr>
          <w:p>
            <w:pPr>
              <w:pStyle w:val="TableParagraph"/>
              <w:spacing w:before="67"/>
              <w:ind w:right="30"/>
              <w:jc w:val="right"/>
              <w:rPr>
                <w:rFonts w:ascii="Times New Roman"/>
                <w:sz w:val="21"/>
              </w:rPr>
            </w:pPr>
            <w:r>
              <w:rPr>
                <w:rFonts w:ascii="Times New Roman"/>
                <w:w w:val="100"/>
                <w:sz w:val="21"/>
              </w:rPr>
              <w:t>/</w:t>
            </w:r>
          </w:p>
        </w:tc>
        <w:tc>
          <w:tcPr>
            <w:tcW w:w="1756" w:type="dxa"/>
            <w:vMerge/>
            <w:tcBorders>
              <w:top w:val="nil"/>
            </w:tcBorders>
          </w:tcPr>
          <w:p>
            <w:pPr>
              <w:rPr>
                <w:sz w:val="2"/>
                <w:szCs w:val="2"/>
              </w:rPr>
            </w:pPr>
          </w:p>
        </w:tc>
        <w:tc>
          <w:tcPr>
            <w:tcW w:w="768" w:type="dxa"/>
            <w:vMerge/>
            <w:tcBorders>
              <w:top w:val="nil"/>
            </w:tcBorders>
          </w:tcPr>
          <w:p>
            <w:pPr>
              <w:rPr>
                <w:sz w:val="2"/>
                <w:szCs w:val="2"/>
              </w:rPr>
            </w:pPr>
          </w:p>
        </w:tc>
        <w:tc>
          <w:tcPr>
            <w:tcW w:w="1264" w:type="dxa"/>
            <w:vMerge/>
            <w:tcBorders>
              <w:top w:val="nil"/>
            </w:tcBorders>
          </w:tcPr>
          <w:p>
            <w:pPr>
              <w:rPr>
                <w:sz w:val="2"/>
                <w:szCs w:val="2"/>
              </w:rPr>
            </w:pPr>
          </w:p>
        </w:tc>
        <w:tc>
          <w:tcPr>
            <w:tcW w:w="1254" w:type="dxa"/>
            <w:vMerge/>
            <w:tcBorders>
              <w:top w:val="nil"/>
            </w:tcBorders>
          </w:tcPr>
          <w:p>
            <w:pPr>
              <w:rPr>
                <w:sz w:val="2"/>
                <w:szCs w:val="2"/>
              </w:rPr>
            </w:pPr>
          </w:p>
        </w:tc>
      </w:tr>
      <w:tr>
        <w:trPr>
          <w:trHeight w:val="333" w:hRule="atLeast"/>
        </w:trPr>
        <w:tc>
          <w:tcPr>
            <w:tcW w:w="1508" w:type="dxa"/>
            <w:vMerge w:val="restart"/>
          </w:tcPr>
          <w:p>
            <w:pPr>
              <w:pStyle w:val="TableParagraph"/>
              <w:rPr>
                <w:sz w:val="20"/>
              </w:rPr>
            </w:pPr>
          </w:p>
          <w:p>
            <w:pPr>
              <w:pStyle w:val="TableParagraph"/>
              <w:rPr>
                <w:sz w:val="20"/>
              </w:rPr>
            </w:pPr>
          </w:p>
          <w:p>
            <w:pPr>
              <w:pStyle w:val="TableParagraph"/>
              <w:rPr>
                <w:sz w:val="20"/>
              </w:rPr>
            </w:pPr>
          </w:p>
          <w:p>
            <w:pPr>
              <w:pStyle w:val="TableParagraph"/>
              <w:spacing w:before="6"/>
              <w:rPr>
                <w:sz w:val="22"/>
              </w:rPr>
            </w:pPr>
          </w:p>
          <w:p>
            <w:pPr>
              <w:pStyle w:val="TableParagraph"/>
              <w:ind w:left="45"/>
              <w:rPr>
                <w:sz w:val="21"/>
              </w:rPr>
            </w:pPr>
            <w:r>
              <w:rPr>
                <w:sz w:val="21"/>
              </w:rPr>
              <w:t>富联精密电子</w:t>
            </w:r>
          </w:p>
          <w:p>
            <w:pPr>
              <w:pStyle w:val="TableParagraph"/>
              <w:spacing w:before="51"/>
              <w:ind w:left="45"/>
              <w:rPr>
                <w:sz w:val="21"/>
              </w:rPr>
            </w:pPr>
            <w:r>
              <w:rPr>
                <w:rFonts w:ascii="Times New Roman" w:eastAsia="Times New Roman"/>
                <w:sz w:val="21"/>
              </w:rPr>
              <w:t>(</w:t>
            </w:r>
            <w:r>
              <w:rPr>
                <w:sz w:val="21"/>
              </w:rPr>
              <w:t>郑州</w:t>
            </w:r>
            <w:r>
              <w:rPr>
                <w:rFonts w:ascii="Times New Roman" w:eastAsia="Times New Roman"/>
                <w:sz w:val="21"/>
              </w:rPr>
              <w:t>)</w:t>
            </w:r>
            <w:r>
              <w:rPr>
                <w:sz w:val="21"/>
              </w:rPr>
              <w:t>有限公司</w:t>
            </w:r>
          </w:p>
        </w:tc>
        <w:tc>
          <w:tcPr>
            <w:tcW w:w="576" w:type="dxa"/>
            <w:vMerge w:val="restart"/>
          </w:tcPr>
          <w:p>
            <w:pPr>
              <w:pStyle w:val="TableParagraph"/>
              <w:spacing w:before="6"/>
              <w:rPr>
                <w:sz w:val="17"/>
              </w:rPr>
            </w:pPr>
          </w:p>
          <w:p>
            <w:pPr>
              <w:pStyle w:val="TableParagraph"/>
              <w:ind w:left="76"/>
              <w:rPr>
                <w:sz w:val="21"/>
              </w:rPr>
            </w:pPr>
            <w:r>
              <w:rPr>
                <w:sz w:val="21"/>
              </w:rPr>
              <w:t>废水</w:t>
            </w:r>
          </w:p>
        </w:tc>
        <w:tc>
          <w:tcPr>
            <w:tcW w:w="1411" w:type="dxa"/>
          </w:tcPr>
          <w:p>
            <w:pPr>
              <w:pStyle w:val="TableParagraph"/>
              <w:spacing w:before="67"/>
              <w:ind w:left="64" w:right="62"/>
              <w:jc w:val="center"/>
              <w:rPr>
                <w:rFonts w:ascii="Times New Roman"/>
                <w:sz w:val="21"/>
              </w:rPr>
            </w:pPr>
            <w:r>
              <w:rPr>
                <w:rFonts w:ascii="Times New Roman"/>
                <w:sz w:val="21"/>
              </w:rPr>
              <w:t>COD</w:t>
            </w:r>
          </w:p>
        </w:tc>
        <w:tc>
          <w:tcPr>
            <w:tcW w:w="1594" w:type="dxa"/>
          </w:tcPr>
          <w:p>
            <w:pPr>
              <w:pStyle w:val="TableParagraph"/>
              <w:spacing w:before="67"/>
              <w:ind w:right="32"/>
              <w:jc w:val="right"/>
              <w:rPr>
                <w:rFonts w:ascii="Times New Roman"/>
                <w:sz w:val="21"/>
              </w:rPr>
            </w:pPr>
            <w:r>
              <w:rPr>
                <w:rFonts w:ascii="Times New Roman"/>
                <w:sz w:val="21"/>
              </w:rPr>
              <w:t>48mg/L</w:t>
            </w:r>
          </w:p>
        </w:tc>
        <w:tc>
          <w:tcPr>
            <w:tcW w:w="1190" w:type="dxa"/>
          </w:tcPr>
          <w:p>
            <w:pPr>
              <w:pStyle w:val="TableParagraph"/>
              <w:spacing w:before="67"/>
              <w:ind w:right="31"/>
              <w:jc w:val="right"/>
              <w:rPr>
                <w:rFonts w:ascii="Times New Roman"/>
                <w:sz w:val="21"/>
              </w:rPr>
            </w:pPr>
            <w:r>
              <w:rPr>
                <w:rFonts w:ascii="Times New Roman"/>
                <w:sz w:val="21"/>
              </w:rPr>
              <w:t>150mg/L</w:t>
            </w:r>
          </w:p>
        </w:tc>
        <w:tc>
          <w:tcPr>
            <w:tcW w:w="957" w:type="dxa"/>
          </w:tcPr>
          <w:p>
            <w:pPr>
              <w:pStyle w:val="TableParagraph"/>
              <w:spacing w:before="67"/>
              <w:ind w:right="30"/>
              <w:jc w:val="right"/>
              <w:rPr>
                <w:rFonts w:ascii="Times New Roman"/>
                <w:sz w:val="21"/>
              </w:rPr>
            </w:pPr>
            <w:r>
              <w:rPr>
                <w:rFonts w:ascii="Times New Roman"/>
                <w:sz w:val="21"/>
              </w:rPr>
              <w:t>58.71</w:t>
            </w:r>
          </w:p>
        </w:tc>
        <w:tc>
          <w:tcPr>
            <w:tcW w:w="1473" w:type="dxa"/>
          </w:tcPr>
          <w:p>
            <w:pPr>
              <w:pStyle w:val="TableParagraph"/>
              <w:spacing w:before="67"/>
              <w:ind w:right="29"/>
              <w:jc w:val="right"/>
              <w:rPr>
                <w:rFonts w:ascii="Times New Roman"/>
                <w:sz w:val="21"/>
              </w:rPr>
            </w:pPr>
            <w:r>
              <w:rPr>
                <w:rFonts w:ascii="Times New Roman"/>
                <w:sz w:val="21"/>
              </w:rPr>
              <w:t>83.26</w:t>
            </w:r>
          </w:p>
        </w:tc>
        <w:tc>
          <w:tcPr>
            <w:tcW w:w="1756" w:type="dxa"/>
            <w:vMerge w:val="restart"/>
          </w:tcPr>
          <w:p>
            <w:pPr>
              <w:pStyle w:val="TableParagraph"/>
              <w:spacing w:line="320" w:lineRule="atLeast" w:before="12"/>
              <w:ind w:left="248" w:right="126" w:hanging="106"/>
              <w:rPr>
                <w:sz w:val="21"/>
              </w:rPr>
            </w:pPr>
            <w:r>
              <w:rPr>
                <w:sz w:val="21"/>
              </w:rPr>
              <w:t>经污水处理站处理达标后排放</w:t>
            </w:r>
          </w:p>
        </w:tc>
        <w:tc>
          <w:tcPr>
            <w:tcW w:w="768" w:type="dxa"/>
            <w:vMerge w:val="restart"/>
          </w:tcPr>
          <w:p>
            <w:pPr>
              <w:pStyle w:val="TableParagraph"/>
              <w:spacing w:before="7"/>
              <w:rPr>
                <w:sz w:val="18"/>
              </w:rPr>
            </w:pPr>
          </w:p>
          <w:p>
            <w:pPr>
              <w:pStyle w:val="TableParagraph"/>
              <w:ind w:left="10"/>
              <w:jc w:val="center"/>
              <w:rPr>
                <w:rFonts w:ascii="Times New Roman"/>
                <w:sz w:val="21"/>
              </w:rPr>
            </w:pPr>
            <w:r>
              <w:rPr>
                <w:rFonts w:ascii="Times New Roman"/>
                <w:w w:val="100"/>
                <w:sz w:val="21"/>
              </w:rPr>
              <w:t>1</w:t>
            </w:r>
          </w:p>
        </w:tc>
        <w:tc>
          <w:tcPr>
            <w:tcW w:w="1264" w:type="dxa"/>
            <w:vMerge w:val="restart"/>
          </w:tcPr>
          <w:p>
            <w:pPr>
              <w:pStyle w:val="TableParagraph"/>
              <w:spacing w:before="6"/>
              <w:rPr>
                <w:sz w:val="17"/>
              </w:rPr>
            </w:pPr>
          </w:p>
          <w:p>
            <w:pPr>
              <w:pStyle w:val="TableParagraph"/>
              <w:ind w:left="108"/>
              <w:rPr>
                <w:sz w:val="21"/>
              </w:rPr>
            </w:pPr>
            <w:r>
              <w:rPr>
                <w:sz w:val="21"/>
              </w:rPr>
              <w:t>位于厂区内</w:t>
            </w:r>
          </w:p>
        </w:tc>
        <w:tc>
          <w:tcPr>
            <w:tcW w:w="1254" w:type="dxa"/>
            <w:vMerge w:val="restart"/>
          </w:tcPr>
          <w:p>
            <w:pPr>
              <w:pStyle w:val="TableParagraph"/>
              <w:spacing w:before="6"/>
              <w:rPr>
                <w:sz w:val="17"/>
              </w:rPr>
            </w:pPr>
          </w:p>
          <w:p>
            <w:pPr>
              <w:pStyle w:val="TableParagraph"/>
              <w:ind w:left="104"/>
              <w:rPr>
                <w:sz w:val="21"/>
              </w:rPr>
            </w:pPr>
            <w:r>
              <w:rPr>
                <w:sz w:val="21"/>
              </w:rPr>
              <w:t>无超标排放</w:t>
            </w:r>
          </w:p>
        </w:tc>
      </w:tr>
      <w:tr>
        <w:trPr>
          <w:trHeight w:val="330" w:hRule="atLeast"/>
        </w:trPr>
        <w:tc>
          <w:tcPr>
            <w:tcW w:w="1508" w:type="dxa"/>
            <w:vMerge/>
            <w:tcBorders>
              <w:top w:val="nil"/>
            </w:tcBorders>
          </w:tcPr>
          <w:p>
            <w:pPr>
              <w:rPr>
                <w:sz w:val="2"/>
                <w:szCs w:val="2"/>
              </w:rPr>
            </w:pPr>
          </w:p>
        </w:tc>
        <w:tc>
          <w:tcPr>
            <w:tcW w:w="576" w:type="dxa"/>
            <w:vMerge/>
            <w:tcBorders>
              <w:top w:val="nil"/>
            </w:tcBorders>
          </w:tcPr>
          <w:p>
            <w:pPr>
              <w:rPr>
                <w:sz w:val="2"/>
                <w:szCs w:val="2"/>
              </w:rPr>
            </w:pPr>
          </w:p>
        </w:tc>
        <w:tc>
          <w:tcPr>
            <w:tcW w:w="1411" w:type="dxa"/>
          </w:tcPr>
          <w:p>
            <w:pPr>
              <w:pStyle w:val="TableParagraph"/>
              <w:spacing w:line="259" w:lineRule="exact" w:before="51"/>
              <w:ind w:left="66" w:right="62"/>
              <w:jc w:val="center"/>
              <w:rPr>
                <w:sz w:val="21"/>
              </w:rPr>
            </w:pPr>
            <w:r>
              <w:rPr>
                <w:sz w:val="21"/>
              </w:rPr>
              <w:t>氨氮</w:t>
            </w:r>
          </w:p>
        </w:tc>
        <w:tc>
          <w:tcPr>
            <w:tcW w:w="1594" w:type="dxa"/>
          </w:tcPr>
          <w:p>
            <w:pPr>
              <w:pStyle w:val="TableParagraph"/>
              <w:spacing w:before="65"/>
              <w:ind w:right="32"/>
              <w:jc w:val="right"/>
              <w:rPr>
                <w:rFonts w:ascii="Times New Roman"/>
                <w:sz w:val="21"/>
              </w:rPr>
            </w:pPr>
            <w:r>
              <w:rPr>
                <w:rFonts w:ascii="Times New Roman"/>
                <w:sz w:val="21"/>
              </w:rPr>
              <w:t>1.850mg/L</w:t>
            </w:r>
          </w:p>
        </w:tc>
        <w:tc>
          <w:tcPr>
            <w:tcW w:w="1190" w:type="dxa"/>
          </w:tcPr>
          <w:p>
            <w:pPr>
              <w:pStyle w:val="TableParagraph"/>
              <w:spacing w:before="65"/>
              <w:ind w:right="31"/>
              <w:jc w:val="right"/>
              <w:rPr>
                <w:rFonts w:ascii="Times New Roman"/>
                <w:sz w:val="21"/>
              </w:rPr>
            </w:pPr>
            <w:r>
              <w:rPr>
                <w:rFonts w:ascii="Times New Roman"/>
                <w:sz w:val="21"/>
              </w:rPr>
              <w:t>25mg/L</w:t>
            </w:r>
          </w:p>
        </w:tc>
        <w:tc>
          <w:tcPr>
            <w:tcW w:w="957" w:type="dxa"/>
          </w:tcPr>
          <w:p>
            <w:pPr>
              <w:pStyle w:val="TableParagraph"/>
              <w:spacing w:before="65"/>
              <w:ind w:right="32"/>
              <w:jc w:val="right"/>
              <w:rPr>
                <w:rFonts w:ascii="Times New Roman"/>
                <w:sz w:val="21"/>
              </w:rPr>
            </w:pPr>
            <w:r>
              <w:rPr>
                <w:rFonts w:ascii="Times New Roman"/>
                <w:sz w:val="21"/>
              </w:rPr>
              <w:t>1.54</w:t>
            </w:r>
          </w:p>
        </w:tc>
        <w:tc>
          <w:tcPr>
            <w:tcW w:w="1473" w:type="dxa"/>
          </w:tcPr>
          <w:p>
            <w:pPr>
              <w:pStyle w:val="TableParagraph"/>
              <w:spacing w:before="65"/>
              <w:ind w:right="29"/>
              <w:jc w:val="right"/>
              <w:rPr>
                <w:rFonts w:ascii="Times New Roman"/>
                <w:sz w:val="21"/>
              </w:rPr>
            </w:pPr>
            <w:r>
              <w:rPr>
                <w:rFonts w:ascii="Times New Roman"/>
                <w:sz w:val="21"/>
              </w:rPr>
              <w:t>1.75</w:t>
            </w:r>
          </w:p>
        </w:tc>
        <w:tc>
          <w:tcPr>
            <w:tcW w:w="1756" w:type="dxa"/>
            <w:vMerge/>
            <w:tcBorders>
              <w:top w:val="nil"/>
            </w:tcBorders>
          </w:tcPr>
          <w:p>
            <w:pPr>
              <w:rPr>
                <w:sz w:val="2"/>
                <w:szCs w:val="2"/>
              </w:rPr>
            </w:pPr>
          </w:p>
        </w:tc>
        <w:tc>
          <w:tcPr>
            <w:tcW w:w="768" w:type="dxa"/>
            <w:vMerge/>
            <w:tcBorders>
              <w:top w:val="nil"/>
            </w:tcBorders>
          </w:tcPr>
          <w:p>
            <w:pPr>
              <w:rPr>
                <w:sz w:val="2"/>
                <w:szCs w:val="2"/>
              </w:rPr>
            </w:pPr>
          </w:p>
        </w:tc>
        <w:tc>
          <w:tcPr>
            <w:tcW w:w="1264" w:type="dxa"/>
            <w:vMerge/>
            <w:tcBorders>
              <w:top w:val="nil"/>
            </w:tcBorders>
          </w:tcPr>
          <w:p>
            <w:pPr>
              <w:rPr>
                <w:sz w:val="2"/>
                <w:szCs w:val="2"/>
              </w:rPr>
            </w:pPr>
          </w:p>
        </w:tc>
        <w:tc>
          <w:tcPr>
            <w:tcW w:w="1254" w:type="dxa"/>
            <w:vMerge/>
            <w:tcBorders>
              <w:top w:val="nil"/>
            </w:tcBorders>
          </w:tcPr>
          <w:p>
            <w:pPr>
              <w:rPr>
                <w:sz w:val="2"/>
                <w:szCs w:val="2"/>
              </w:rPr>
            </w:pPr>
          </w:p>
        </w:tc>
      </w:tr>
      <w:tr>
        <w:trPr>
          <w:trHeight w:val="657" w:hRule="atLeast"/>
        </w:trPr>
        <w:tc>
          <w:tcPr>
            <w:tcW w:w="1508" w:type="dxa"/>
            <w:vMerge/>
            <w:tcBorders>
              <w:top w:val="nil"/>
            </w:tcBorders>
          </w:tcPr>
          <w:p>
            <w:pPr>
              <w:rPr>
                <w:sz w:val="2"/>
                <w:szCs w:val="2"/>
              </w:rPr>
            </w:pPr>
          </w:p>
        </w:tc>
        <w:tc>
          <w:tcPr>
            <w:tcW w:w="576" w:type="dxa"/>
            <w:vMerge w:val="restart"/>
          </w:tcPr>
          <w:p>
            <w:pPr>
              <w:pStyle w:val="TableParagraph"/>
              <w:rPr>
                <w:sz w:val="20"/>
              </w:rPr>
            </w:pPr>
          </w:p>
          <w:p>
            <w:pPr>
              <w:pStyle w:val="TableParagraph"/>
              <w:rPr>
                <w:sz w:val="20"/>
              </w:rPr>
            </w:pPr>
          </w:p>
          <w:p>
            <w:pPr>
              <w:pStyle w:val="TableParagraph"/>
              <w:spacing w:before="3"/>
              <w:rPr>
                <w:sz w:val="28"/>
              </w:rPr>
            </w:pPr>
          </w:p>
          <w:p>
            <w:pPr>
              <w:pStyle w:val="TableParagraph"/>
              <w:spacing w:before="1"/>
              <w:ind w:left="76"/>
              <w:rPr>
                <w:sz w:val="21"/>
              </w:rPr>
            </w:pPr>
            <w:r>
              <w:rPr>
                <w:sz w:val="21"/>
              </w:rPr>
              <w:t>废气</w:t>
            </w:r>
          </w:p>
        </w:tc>
        <w:tc>
          <w:tcPr>
            <w:tcW w:w="1411" w:type="dxa"/>
          </w:tcPr>
          <w:p>
            <w:pPr>
              <w:pStyle w:val="TableParagraph"/>
              <w:spacing w:before="12"/>
              <w:rPr>
                <w:sz w:val="16"/>
              </w:rPr>
            </w:pPr>
          </w:p>
          <w:p>
            <w:pPr>
              <w:pStyle w:val="TableParagraph"/>
              <w:ind w:left="66" w:right="62"/>
              <w:jc w:val="center"/>
              <w:rPr>
                <w:sz w:val="21"/>
              </w:rPr>
            </w:pPr>
            <w:r>
              <w:rPr>
                <w:sz w:val="21"/>
              </w:rPr>
              <w:t>颗粒物</w:t>
            </w:r>
          </w:p>
        </w:tc>
        <w:tc>
          <w:tcPr>
            <w:tcW w:w="1594" w:type="dxa"/>
          </w:tcPr>
          <w:p>
            <w:pPr>
              <w:pStyle w:val="TableParagraph"/>
              <w:spacing w:before="12"/>
              <w:rPr>
                <w:sz w:val="16"/>
              </w:rPr>
            </w:pPr>
          </w:p>
          <w:p>
            <w:pPr>
              <w:pStyle w:val="TableParagraph"/>
              <w:ind w:right="33"/>
              <w:jc w:val="right"/>
              <w:rPr>
                <w:sz w:val="21"/>
              </w:rPr>
            </w:pPr>
            <w:r>
              <w:rPr>
                <w:rFonts w:ascii="Times New Roman" w:hAnsi="Times New Roman"/>
                <w:sz w:val="21"/>
              </w:rPr>
              <w:t>1.47-3.17mg/m</w:t>
            </w:r>
            <w:r>
              <w:rPr>
                <w:sz w:val="21"/>
              </w:rPr>
              <w:t>³</w:t>
            </w:r>
          </w:p>
        </w:tc>
        <w:tc>
          <w:tcPr>
            <w:tcW w:w="1190" w:type="dxa"/>
          </w:tcPr>
          <w:p>
            <w:pPr>
              <w:pStyle w:val="TableParagraph"/>
              <w:spacing w:before="12"/>
              <w:rPr>
                <w:sz w:val="16"/>
              </w:rPr>
            </w:pPr>
          </w:p>
          <w:p>
            <w:pPr>
              <w:pStyle w:val="TableParagraph"/>
              <w:ind w:right="33"/>
              <w:jc w:val="right"/>
              <w:rPr>
                <w:sz w:val="21"/>
              </w:rPr>
            </w:pPr>
            <w:r>
              <w:rPr>
                <w:rFonts w:ascii="Times New Roman" w:hAnsi="Times New Roman"/>
                <w:sz w:val="21"/>
              </w:rPr>
              <w:t>10mg/m</w:t>
            </w:r>
            <w:r>
              <w:rPr>
                <w:sz w:val="21"/>
              </w:rPr>
              <w:t>³</w:t>
            </w:r>
          </w:p>
        </w:tc>
        <w:tc>
          <w:tcPr>
            <w:tcW w:w="957" w:type="dxa"/>
          </w:tcPr>
          <w:p>
            <w:pPr>
              <w:pStyle w:val="TableParagraph"/>
              <w:rPr>
                <w:sz w:val="18"/>
              </w:rPr>
            </w:pPr>
          </w:p>
          <w:p>
            <w:pPr>
              <w:pStyle w:val="TableParagraph"/>
              <w:ind w:right="30"/>
              <w:jc w:val="right"/>
              <w:rPr>
                <w:rFonts w:ascii="Times New Roman"/>
                <w:sz w:val="21"/>
              </w:rPr>
            </w:pPr>
            <w:r>
              <w:rPr>
                <w:rFonts w:ascii="Times New Roman"/>
                <w:sz w:val="21"/>
              </w:rPr>
              <w:t>4.643</w:t>
            </w:r>
          </w:p>
        </w:tc>
        <w:tc>
          <w:tcPr>
            <w:tcW w:w="1473" w:type="dxa"/>
          </w:tcPr>
          <w:p>
            <w:pPr>
              <w:pStyle w:val="TableParagraph"/>
              <w:rPr>
                <w:sz w:val="18"/>
              </w:rPr>
            </w:pPr>
          </w:p>
          <w:p>
            <w:pPr>
              <w:pStyle w:val="TableParagraph"/>
              <w:ind w:right="30"/>
              <w:jc w:val="right"/>
              <w:rPr>
                <w:rFonts w:ascii="Times New Roman"/>
                <w:sz w:val="21"/>
              </w:rPr>
            </w:pPr>
            <w:r>
              <w:rPr>
                <w:rFonts w:ascii="Times New Roman"/>
                <w:w w:val="100"/>
                <w:sz w:val="21"/>
              </w:rPr>
              <w:t>/</w:t>
            </w:r>
          </w:p>
        </w:tc>
        <w:tc>
          <w:tcPr>
            <w:tcW w:w="1756" w:type="dxa"/>
          </w:tcPr>
          <w:p>
            <w:pPr>
              <w:pStyle w:val="TableParagraph"/>
              <w:spacing w:before="12"/>
              <w:rPr>
                <w:sz w:val="16"/>
              </w:rPr>
            </w:pPr>
          </w:p>
          <w:p>
            <w:pPr>
              <w:pStyle w:val="TableParagraph"/>
              <w:ind w:left="334" w:right="322"/>
              <w:jc w:val="center"/>
              <w:rPr>
                <w:sz w:val="21"/>
              </w:rPr>
            </w:pPr>
            <w:r>
              <w:rPr>
                <w:sz w:val="21"/>
              </w:rPr>
              <w:t>有组织排放</w:t>
            </w:r>
          </w:p>
        </w:tc>
        <w:tc>
          <w:tcPr>
            <w:tcW w:w="768" w:type="dxa"/>
          </w:tcPr>
          <w:p>
            <w:pPr>
              <w:pStyle w:val="TableParagraph"/>
              <w:rPr>
                <w:sz w:val="18"/>
              </w:rPr>
            </w:pPr>
          </w:p>
          <w:p>
            <w:pPr>
              <w:pStyle w:val="TableParagraph"/>
              <w:ind w:left="278"/>
              <w:rPr>
                <w:rFonts w:ascii="Times New Roman"/>
                <w:sz w:val="21"/>
              </w:rPr>
            </w:pPr>
            <w:r>
              <w:rPr>
                <w:rFonts w:ascii="Times New Roman"/>
                <w:sz w:val="21"/>
              </w:rPr>
              <w:t>21</w:t>
            </w:r>
          </w:p>
        </w:tc>
        <w:tc>
          <w:tcPr>
            <w:tcW w:w="1264" w:type="dxa"/>
          </w:tcPr>
          <w:p>
            <w:pPr>
              <w:pStyle w:val="TableParagraph"/>
              <w:spacing w:line="320" w:lineRule="atLeast"/>
              <w:ind w:left="214" w:right="195"/>
              <w:rPr>
                <w:sz w:val="21"/>
              </w:rPr>
            </w:pPr>
            <w:r>
              <w:rPr>
                <w:spacing w:val="-1"/>
                <w:sz w:val="21"/>
              </w:rPr>
              <w:t>焊接、打磨、喷砂</w:t>
            </w:r>
          </w:p>
        </w:tc>
        <w:tc>
          <w:tcPr>
            <w:tcW w:w="1254" w:type="dxa"/>
          </w:tcPr>
          <w:p>
            <w:pPr>
              <w:pStyle w:val="TableParagraph"/>
              <w:spacing w:before="12"/>
              <w:rPr>
                <w:sz w:val="16"/>
              </w:rPr>
            </w:pPr>
          </w:p>
          <w:p>
            <w:pPr>
              <w:pStyle w:val="TableParagraph"/>
              <w:ind w:left="104"/>
              <w:rPr>
                <w:sz w:val="21"/>
              </w:rPr>
            </w:pPr>
            <w:r>
              <w:rPr>
                <w:sz w:val="21"/>
              </w:rPr>
              <w:t>无超标排放</w:t>
            </w:r>
          </w:p>
        </w:tc>
      </w:tr>
      <w:tr>
        <w:trPr>
          <w:trHeight w:val="640" w:hRule="atLeast"/>
        </w:trPr>
        <w:tc>
          <w:tcPr>
            <w:tcW w:w="1508" w:type="dxa"/>
            <w:vMerge/>
            <w:tcBorders>
              <w:top w:val="nil"/>
            </w:tcBorders>
          </w:tcPr>
          <w:p>
            <w:pPr>
              <w:rPr>
                <w:sz w:val="2"/>
                <w:szCs w:val="2"/>
              </w:rPr>
            </w:pPr>
          </w:p>
        </w:tc>
        <w:tc>
          <w:tcPr>
            <w:tcW w:w="576" w:type="dxa"/>
            <w:vMerge/>
            <w:tcBorders>
              <w:top w:val="nil"/>
            </w:tcBorders>
          </w:tcPr>
          <w:p>
            <w:pPr>
              <w:rPr>
                <w:sz w:val="2"/>
                <w:szCs w:val="2"/>
              </w:rPr>
            </w:pPr>
          </w:p>
        </w:tc>
        <w:tc>
          <w:tcPr>
            <w:tcW w:w="1411" w:type="dxa"/>
          </w:tcPr>
          <w:p>
            <w:pPr>
              <w:pStyle w:val="TableParagraph"/>
              <w:spacing w:before="2"/>
              <w:rPr>
                <w:sz w:val="16"/>
              </w:rPr>
            </w:pPr>
          </w:p>
          <w:p>
            <w:pPr>
              <w:pStyle w:val="TableParagraph"/>
              <w:ind w:left="66" w:right="62"/>
              <w:jc w:val="center"/>
              <w:rPr>
                <w:sz w:val="21"/>
              </w:rPr>
            </w:pPr>
            <w:r>
              <w:rPr>
                <w:sz w:val="21"/>
              </w:rPr>
              <w:t>硫酸雾</w:t>
            </w:r>
          </w:p>
        </w:tc>
        <w:tc>
          <w:tcPr>
            <w:tcW w:w="1594" w:type="dxa"/>
          </w:tcPr>
          <w:p>
            <w:pPr>
              <w:pStyle w:val="TableParagraph"/>
              <w:spacing w:before="2"/>
              <w:rPr>
                <w:sz w:val="16"/>
              </w:rPr>
            </w:pPr>
          </w:p>
          <w:p>
            <w:pPr>
              <w:pStyle w:val="TableParagraph"/>
              <w:ind w:right="33"/>
              <w:jc w:val="right"/>
              <w:rPr>
                <w:sz w:val="21"/>
              </w:rPr>
            </w:pPr>
            <w:r>
              <w:rPr>
                <w:rFonts w:ascii="Times New Roman" w:hAnsi="Times New Roman"/>
                <w:sz w:val="21"/>
              </w:rPr>
              <w:t>5.88-6.13mg/m</w:t>
            </w:r>
            <w:r>
              <w:rPr>
                <w:sz w:val="21"/>
              </w:rPr>
              <w:t>³</w:t>
            </w:r>
          </w:p>
        </w:tc>
        <w:tc>
          <w:tcPr>
            <w:tcW w:w="1190" w:type="dxa"/>
          </w:tcPr>
          <w:p>
            <w:pPr>
              <w:pStyle w:val="TableParagraph"/>
              <w:spacing w:before="2"/>
              <w:rPr>
                <w:sz w:val="16"/>
              </w:rPr>
            </w:pPr>
          </w:p>
          <w:p>
            <w:pPr>
              <w:pStyle w:val="TableParagraph"/>
              <w:ind w:right="33"/>
              <w:jc w:val="right"/>
              <w:rPr>
                <w:sz w:val="21"/>
              </w:rPr>
            </w:pPr>
            <w:r>
              <w:rPr>
                <w:rFonts w:ascii="Times New Roman" w:hAnsi="Times New Roman"/>
                <w:sz w:val="21"/>
              </w:rPr>
              <w:t>45mg/m</w:t>
            </w:r>
            <w:r>
              <w:rPr>
                <w:sz w:val="21"/>
              </w:rPr>
              <w:t>³</w:t>
            </w:r>
          </w:p>
        </w:tc>
        <w:tc>
          <w:tcPr>
            <w:tcW w:w="957" w:type="dxa"/>
          </w:tcPr>
          <w:p>
            <w:pPr>
              <w:pStyle w:val="TableParagraph"/>
              <w:spacing w:before="3"/>
              <w:rPr>
                <w:sz w:val="17"/>
              </w:rPr>
            </w:pPr>
          </w:p>
          <w:p>
            <w:pPr>
              <w:pStyle w:val="TableParagraph"/>
              <w:ind w:right="30"/>
              <w:jc w:val="right"/>
              <w:rPr>
                <w:rFonts w:ascii="Times New Roman"/>
                <w:sz w:val="21"/>
              </w:rPr>
            </w:pPr>
            <w:r>
              <w:rPr>
                <w:rFonts w:ascii="Times New Roman"/>
                <w:sz w:val="21"/>
              </w:rPr>
              <w:t>5.70</w:t>
            </w:r>
          </w:p>
        </w:tc>
        <w:tc>
          <w:tcPr>
            <w:tcW w:w="1473" w:type="dxa"/>
          </w:tcPr>
          <w:p>
            <w:pPr>
              <w:pStyle w:val="TableParagraph"/>
              <w:spacing w:before="3"/>
              <w:rPr>
                <w:sz w:val="17"/>
              </w:rPr>
            </w:pPr>
          </w:p>
          <w:p>
            <w:pPr>
              <w:pStyle w:val="TableParagraph"/>
              <w:ind w:right="30"/>
              <w:jc w:val="right"/>
              <w:rPr>
                <w:rFonts w:ascii="Times New Roman"/>
                <w:sz w:val="21"/>
              </w:rPr>
            </w:pPr>
            <w:r>
              <w:rPr>
                <w:rFonts w:ascii="Times New Roman"/>
                <w:w w:val="100"/>
                <w:sz w:val="21"/>
              </w:rPr>
              <w:t>/</w:t>
            </w:r>
          </w:p>
        </w:tc>
        <w:tc>
          <w:tcPr>
            <w:tcW w:w="1756" w:type="dxa"/>
          </w:tcPr>
          <w:p>
            <w:pPr>
              <w:pStyle w:val="TableParagraph"/>
              <w:spacing w:before="2"/>
              <w:rPr>
                <w:sz w:val="16"/>
              </w:rPr>
            </w:pPr>
          </w:p>
          <w:p>
            <w:pPr>
              <w:pStyle w:val="TableParagraph"/>
              <w:ind w:left="334" w:right="322"/>
              <w:jc w:val="center"/>
              <w:rPr>
                <w:sz w:val="21"/>
              </w:rPr>
            </w:pPr>
            <w:r>
              <w:rPr>
                <w:sz w:val="21"/>
              </w:rPr>
              <w:t>有组织排放</w:t>
            </w:r>
          </w:p>
        </w:tc>
        <w:tc>
          <w:tcPr>
            <w:tcW w:w="768" w:type="dxa"/>
          </w:tcPr>
          <w:p>
            <w:pPr>
              <w:pStyle w:val="TableParagraph"/>
              <w:spacing w:before="3"/>
              <w:rPr>
                <w:sz w:val="17"/>
              </w:rPr>
            </w:pPr>
          </w:p>
          <w:p>
            <w:pPr>
              <w:pStyle w:val="TableParagraph"/>
              <w:ind w:left="331"/>
              <w:rPr>
                <w:rFonts w:ascii="Times New Roman"/>
                <w:sz w:val="21"/>
              </w:rPr>
            </w:pPr>
            <w:r>
              <w:rPr>
                <w:rFonts w:ascii="Times New Roman"/>
                <w:w w:val="100"/>
                <w:sz w:val="21"/>
              </w:rPr>
              <w:t>8</w:t>
            </w:r>
          </w:p>
        </w:tc>
        <w:tc>
          <w:tcPr>
            <w:tcW w:w="1264" w:type="dxa"/>
          </w:tcPr>
          <w:p>
            <w:pPr>
              <w:pStyle w:val="TableParagraph"/>
              <w:spacing w:line="320" w:lineRule="exact"/>
              <w:ind w:left="528" w:right="89" w:hanging="420"/>
              <w:rPr>
                <w:sz w:val="21"/>
              </w:rPr>
            </w:pPr>
            <w:r>
              <w:rPr>
                <w:sz w:val="21"/>
              </w:rPr>
              <w:t>退镀、阳极等</w:t>
            </w:r>
          </w:p>
        </w:tc>
        <w:tc>
          <w:tcPr>
            <w:tcW w:w="1254" w:type="dxa"/>
          </w:tcPr>
          <w:p>
            <w:pPr>
              <w:pStyle w:val="TableParagraph"/>
              <w:spacing w:before="2"/>
              <w:rPr>
                <w:sz w:val="16"/>
              </w:rPr>
            </w:pPr>
          </w:p>
          <w:p>
            <w:pPr>
              <w:pStyle w:val="TableParagraph"/>
              <w:ind w:left="104"/>
              <w:rPr>
                <w:sz w:val="21"/>
              </w:rPr>
            </w:pPr>
            <w:r>
              <w:rPr>
                <w:sz w:val="21"/>
              </w:rPr>
              <w:t>无超标排放</w:t>
            </w:r>
          </w:p>
        </w:tc>
      </w:tr>
      <w:tr>
        <w:trPr>
          <w:trHeight w:val="657" w:hRule="atLeast"/>
        </w:trPr>
        <w:tc>
          <w:tcPr>
            <w:tcW w:w="1508" w:type="dxa"/>
            <w:vMerge/>
            <w:tcBorders>
              <w:top w:val="nil"/>
            </w:tcBorders>
          </w:tcPr>
          <w:p>
            <w:pPr>
              <w:rPr>
                <w:sz w:val="2"/>
                <w:szCs w:val="2"/>
              </w:rPr>
            </w:pPr>
          </w:p>
        </w:tc>
        <w:tc>
          <w:tcPr>
            <w:tcW w:w="576" w:type="dxa"/>
            <w:vMerge/>
            <w:tcBorders>
              <w:top w:val="nil"/>
            </w:tcBorders>
          </w:tcPr>
          <w:p>
            <w:pPr>
              <w:rPr>
                <w:sz w:val="2"/>
                <w:szCs w:val="2"/>
              </w:rPr>
            </w:pPr>
          </w:p>
        </w:tc>
        <w:tc>
          <w:tcPr>
            <w:tcW w:w="1411" w:type="dxa"/>
          </w:tcPr>
          <w:p>
            <w:pPr>
              <w:pStyle w:val="TableParagraph"/>
              <w:spacing w:before="11"/>
              <w:rPr>
                <w:sz w:val="16"/>
              </w:rPr>
            </w:pPr>
          </w:p>
          <w:p>
            <w:pPr>
              <w:pStyle w:val="TableParagraph"/>
              <w:spacing w:before="1"/>
              <w:ind w:left="68" w:right="62"/>
              <w:jc w:val="center"/>
              <w:rPr>
                <w:sz w:val="21"/>
              </w:rPr>
            </w:pPr>
            <w:r>
              <w:rPr>
                <w:sz w:val="21"/>
              </w:rPr>
              <w:t>非甲烷总烃</w:t>
            </w:r>
          </w:p>
        </w:tc>
        <w:tc>
          <w:tcPr>
            <w:tcW w:w="1594" w:type="dxa"/>
          </w:tcPr>
          <w:p>
            <w:pPr>
              <w:pStyle w:val="TableParagraph"/>
              <w:spacing w:before="11"/>
              <w:rPr>
                <w:sz w:val="16"/>
              </w:rPr>
            </w:pPr>
          </w:p>
          <w:p>
            <w:pPr>
              <w:pStyle w:val="TableParagraph"/>
              <w:spacing w:before="1"/>
              <w:ind w:right="36"/>
              <w:jc w:val="right"/>
              <w:rPr>
                <w:sz w:val="21"/>
              </w:rPr>
            </w:pPr>
            <w:r>
              <w:rPr>
                <w:rFonts w:ascii="Times New Roman" w:hAnsi="Times New Roman"/>
                <w:sz w:val="21"/>
              </w:rPr>
              <w:t>0.30-16.63mg/m</w:t>
            </w:r>
            <w:r>
              <w:rPr>
                <w:sz w:val="21"/>
              </w:rPr>
              <w:t>³</w:t>
            </w:r>
          </w:p>
        </w:tc>
        <w:tc>
          <w:tcPr>
            <w:tcW w:w="1190" w:type="dxa"/>
          </w:tcPr>
          <w:p>
            <w:pPr>
              <w:pStyle w:val="TableParagraph"/>
              <w:spacing w:before="11"/>
              <w:rPr>
                <w:sz w:val="16"/>
              </w:rPr>
            </w:pPr>
          </w:p>
          <w:p>
            <w:pPr>
              <w:pStyle w:val="TableParagraph"/>
              <w:spacing w:before="1"/>
              <w:ind w:right="33"/>
              <w:jc w:val="right"/>
              <w:rPr>
                <w:sz w:val="21"/>
              </w:rPr>
            </w:pPr>
            <w:r>
              <w:rPr>
                <w:rFonts w:ascii="Times New Roman" w:hAnsi="Times New Roman"/>
                <w:sz w:val="21"/>
              </w:rPr>
              <w:t>50mg/m</w:t>
            </w:r>
            <w:r>
              <w:rPr>
                <w:sz w:val="21"/>
              </w:rPr>
              <w:t>³</w:t>
            </w:r>
          </w:p>
        </w:tc>
        <w:tc>
          <w:tcPr>
            <w:tcW w:w="957" w:type="dxa"/>
          </w:tcPr>
          <w:p>
            <w:pPr>
              <w:pStyle w:val="TableParagraph"/>
              <w:rPr>
                <w:sz w:val="18"/>
              </w:rPr>
            </w:pPr>
          </w:p>
          <w:p>
            <w:pPr>
              <w:pStyle w:val="TableParagraph"/>
              <w:ind w:right="30"/>
              <w:jc w:val="right"/>
              <w:rPr>
                <w:rFonts w:ascii="Times New Roman"/>
                <w:sz w:val="21"/>
              </w:rPr>
            </w:pPr>
            <w:r>
              <w:rPr>
                <w:rFonts w:ascii="Times New Roman"/>
                <w:sz w:val="21"/>
              </w:rPr>
              <w:t>52.865</w:t>
            </w:r>
          </w:p>
        </w:tc>
        <w:tc>
          <w:tcPr>
            <w:tcW w:w="1473" w:type="dxa"/>
          </w:tcPr>
          <w:p>
            <w:pPr>
              <w:pStyle w:val="TableParagraph"/>
              <w:rPr>
                <w:sz w:val="18"/>
              </w:rPr>
            </w:pPr>
          </w:p>
          <w:p>
            <w:pPr>
              <w:pStyle w:val="TableParagraph"/>
              <w:ind w:right="30"/>
              <w:jc w:val="right"/>
              <w:rPr>
                <w:rFonts w:ascii="Times New Roman"/>
                <w:sz w:val="21"/>
              </w:rPr>
            </w:pPr>
            <w:r>
              <w:rPr>
                <w:rFonts w:ascii="Times New Roman"/>
                <w:w w:val="100"/>
                <w:sz w:val="21"/>
              </w:rPr>
              <w:t>/</w:t>
            </w:r>
          </w:p>
        </w:tc>
        <w:tc>
          <w:tcPr>
            <w:tcW w:w="1756" w:type="dxa"/>
          </w:tcPr>
          <w:p>
            <w:pPr>
              <w:pStyle w:val="TableParagraph"/>
              <w:spacing w:before="11"/>
              <w:rPr>
                <w:sz w:val="16"/>
              </w:rPr>
            </w:pPr>
          </w:p>
          <w:p>
            <w:pPr>
              <w:pStyle w:val="TableParagraph"/>
              <w:spacing w:before="1"/>
              <w:ind w:left="334" w:right="322"/>
              <w:jc w:val="center"/>
              <w:rPr>
                <w:sz w:val="21"/>
              </w:rPr>
            </w:pPr>
            <w:r>
              <w:rPr>
                <w:sz w:val="21"/>
              </w:rPr>
              <w:t>有组织排放</w:t>
            </w:r>
          </w:p>
        </w:tc>
        <w:tc>
          <w:tcPr>
            <w:tcW w:w="768" w:type="dxa"/>
          </w:tcPr>
          <w:p>
            <w:pPr>
              <w:pStyle w:val="TableParagraph"/>
              <w:rPr>
                <w:sz w:val="18"/>
              </w:rPr>
            </w:pPr>
          </w:p>
          <w:p>
            <w:pPr>
              <w:pStyle w:val="TableParagraph"/>
              <w:ind w:left="278"/>
              <w:rPr>
                <w:rFonts w:ascii="Times New Roman"/>
                <w:sz w:val="21"/>
              </w:rPr>
            </w:pPr>
            <w:r>
              <w:rPr>
                <w:rFonts w:ascii="Times New Roman"/>
                <w:sz w:val="21"/>
              </w:rPr>
              <w:t>99</w:t>
            </w:r>
          </w:p>
        </w:tc>
        <w:tc>
          <w:tcPr>
            <w:tcW w:w="1264" w:type="dxa"/>
          </w:tcPr>
          <w:p>
            <w:pPr>
              <w:pStyle w:val="TableParagraph"/>
              <w:spacing w:line="320" w:lineRule="atLeast"/>
              <w:ind w:left="317" w:right="63" w:hanging="236"/>
              <w:rPr>
                <w:sz w:val="21"/>
              </w:rPr>
            </w:pPr>
            <w:r>
              <w:rPr>
                <w:rFonts w:ascii="Times New Roman" w:eastAsia="Times New Roman"/>
                <w:spacing w:val="-3"/>
                <w:sz w:val="21"/>
              </w:rPr>
              <w:t>CNC</w:t>
            </w:r>
            <w:r>
              <w:rPr>
                <w:rFonts w:ascii="Times New Roman" w:eastAsia="Times New Roman"/>
                <w:spacing w:val="-10"/>
                <w:sz w:val="21"/>
              </w:rPr>
              <w:t> </w:t>
            </w:r>
            <w:r>
              <w:rPr>
                <w:spacing w:val="-2"/>
                <w:sz w:val="21"/>
              </w:rPr>
              <w:t>加工、</w:t>
            </w:r>
            <w:r>
              <w:rPr>
                <w:sz w:val="21"/>
              </w:rPr>
              <w:t>点胶等</w:t>
            </w:r>
          </w:p>
        </w:tc>
        <w:tc>
          <w:tcPr>
            <w:tcW w:w="1254" w:type="dxa"/>
          </w:tcPr>
          <w:p>
            <w:pPr>
              <w:pStyle w:val="TableParagraph"/>
              <w:spacing w:before="11"/>
              <w:rPr>
                <w:sz w:val="16"/>
              </w:rPr>
            </w:pPr>
          </w:p>
          <w:p>
            <w:pPr>
              <w:pStyle w:val="TableParagraph"/>
              <w:spacing w:before="1"/>
              <w:ind w:left="104"/>
              <w:rPr>
                <w:sz w:val="21"/>
              </w:rPr>
            </w:pPr>
            <w:r>
              <w:rPr>
                <w:sz w:val="21"/>
              </w:rPr>
              <w:t>无超标排放</w:t>
            </w:r>
          </w:p>
        </w:tc>
      </w:tr>
    </w:tbl>
    <w:p>
      <w:pPr>
        <w:spacing w:after="0"/>
        <w:rPr>
          <w:sz w:val="21"/>
        </w:rPr>
        <w:sectPr>
          <w:headerReference w:type="default" r:id="rId32"/>
          <w:footerReference w:type="default" r:id="rId33"/>
          <w:pgSz w:w="16840" w:h="11910" w:orient="landscape"/>
          <w:pgMar w:header="877" w:footer="1195" w:top="1180" w:bottom="1380" w:left="1340" w:right="1400"/>
        </w:sectPr>
      </w:pPr>
    </w:p>
    <w:p>
      <w:pPr>
        <w:pStyle w:val="BodyText"/>
        <w:ind w:left="0"/>
        <w:rPr>
          <w:sz w:val="20"/>
        </w:rPr>
      </w:pPr>
    </w:p>
    <w:p>
      <w:pPr>
        <w:pStyle w:val="BodyText"/>
        <w:spacing w:before="2"/>
        <w:ind w:left="0"/>
        <w:rPr>
          <w:sz w:val="28"/>
        </w:rPr>
      </w:pPr>
    </w:p>
    <w:tbl>
      <w:tblPr>
        <w:tblW w:w="0" w:type="auto"/>
        <w:jc w:val="left"/>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8"/>
        <w:gridCol w:w="576"/>
        <w:gridCol w:w="1411"/>
        <w:gridCol w:w="1594"/>
        <w:gridCol w:w="1190"/>
        <w:gridCol w:w="957"/>
        <w:gridCol w:w="1473"/>
        <w:gridCol w:w="1756"/>
        <w:gridCol w:w="768"/>
        <w:gridCol w:w="1264"/>
        <w:gridCol w:w="1254"/>
      </w:tblGrid>
      <w:tr>
        <w:trPr>
          <w:trHeight w:val="333" w:hRule="atLeast"/>
        </w:trPr>
        <w:tc>
          <w:tcPr>
            <w:tcW w:w="1508" w:type="dxa"/>
            <w:vMerge w:val="restart"/>
          </w:tcPr>
          <w:p>
            <w:pPr>
              <w:pStyle w:val="TableParagraph"/>
              <w:spacing w:before="3"/>
              <w:rPr>
                <w:sz w:val="17"/>
              </w:rPr>
            </w:pPr>
          </w:p>
          <w:p>
            <w:pPr>
              <w:pStyle w:val="TableParagraph"/>
              <w:spacing w:line="285" w:lineRule="auto" w:before="1"/>
              <w:ind w:left="45" w:right="47"/>
              <w:rPr>
                <w:sz w:val="21"/>
              </w:rPr>
            </w:pPr>
            <w:r>
              <w:rPr>
                <w:spacing w:val="-1"/>
                <w:sz w:val="21"/>
              </w:rPr>
              <w:t>富联科技</w:t>
            </w:r>
            <w:r>
              <w:rPr>
                <w:rFonts w:ascii="Times New Roman" w:eastAsia="Times New Roman"/>
                <w:sz w:val="21"/>
              </w:rPr>
              <w:t>(</w:t>
            </w:r>
            <w:r>
              <w:rPr>
                <w:sz w:val="21"/>
              </w:rPr>
              <w:t>济源</w:t>
            </w:r>
            <w:r>
              <w:rPr>
                <w:rFonts w:ascii="Times New Roman" w:eastAsia="Times New Roman"/>
                <w:sz w:val="21"/>
              </w:rPr>
              <w:t>)</w:t>
            </w:r>
            <w:r>
              <w:rPr>
                <w:rFonts w:ascii="Times New Roman" w:eastAsia="Times New Roman"/>
                <w:spacing w:val="-50"/>
                <w:sz w:val="21"/>
              </w:rPr>
              <w:t> </w:t>
            </w:r>
            <w:r>
              <w:rPr>
                <w:sz w:val="21"/>
              </w:rPr>
              <w:t>有限公司</w:t>
            </w:r>
          </w:p>
        </w:tc>
        <w:tc>
          <w:tcPr>
            <w:tcW w:w="576" w:type="dxa"/>
            <w:vMerge w:val="restart"/>
          </w:tcPr>
          <w:p>
            <w:pPr>
              <w:pStyle w:val="TableParagraph"/>
              <w:spacing w:before="11"/>
              <w:rPr>
                <w:sz w:val="29"/>
              </w:rPr>
            </w:pPr>
          </w:p>
          <w:p>
            <w:pPr>
              <w:pStyle w:val="TableParagraph"/>
              <w:ind w:left="76"/>
              <w:rPr>
                <w:sz w:val="21"/>
              </w:rPr>
            </w:pPr>
            <w:r>
              <w:rPr>
                <w:sz w:val="21"/>
              </w:rPr>
              <w:t>废水</w:t>
            </w:r>
          </w:p>
        </w:tc>
        <w:tc>
          <w:tcPr>
            <w:tcW w:w="1411" w:type="dxa"/>
          </w:tcPr>
          <w:p>
            <w:pPr>
              <w:pStyle w:val="TableParagraph"/>
              <w:spacing w:before="67"/>
              <w:ind w:left="479"/>
              <w:rPr>
                <w:rFonts w:ascii="Times New Roman"/>
                <w:sz w:val="21"/>
              </w:rPr>
            </w:pPr>
            <w:r>
              <w:rPr>
                <w:rFonts w:ascii="Times New Roman"/>
                <w:sz w:val="21"/>
              </w:rPr>
              <w:t>COD</w:t>
            </w:r>
          </w:p>
        </w:tc>
        <w:tc>
          <w:tcPr>
            <w:tcW w:w="1594" w:type="dxa"/>
          </w:tcPr>
          <w:p>
            <w:pPr>
              <w:pStyle w:val="TableParagraph"/>
              <w:spacing w:before="67"/>
              <w:ind w:right="32"/>
              <w:jc w:val="right"/>
              <w:rPr>
                <w:rFonts w:ascii="Times New Roman"/>
                <w:sz w:val="21"/>
              </w:rPr>
            </w:pPr>
            <w:r>
              <w:rPr>
                <w:rFonts w:ascii="Times New Roman"/>
                <w:sz w:val="21"/>
              </w:rPr>
              <w:t>109mg/L</w:t>
            </w:r>
          </w:p>
        </w:tc>
        <w:tc>
          <w:tcPr>
            <w:tcW w:w="1190" w:type="dxa"/>
          </w:tcPr>
          <w:p>
            <w:pPr>
              <w:pStyle w:val="TableParagraph"/>
              <w:spacing w:before="67"/>
              <w:ind w:right="31"/>
              <w:jc w:val="right"/>
              <w:rPr>
                <w:rFonts w:ascii="Times New Roman"/>
                <w:sz w:val="21"/>
              </w:rPr>
            </w:pPr>
            <w:r>
              <w:rPr>
                <w:rFonts w:ascii="Times New Roman"/>
                <w:sz w:val="21"/>
              </w:rPr>
              <w:t>500mg/L</w:t>
            </w:r>
          </w:p>
        </w:tc>
        <w:tc>
          <w:tcPr>
            <w:tcW w:w="957" w:type="dxa"/>
          </w:tcPr>
          <w:p>
            <w:pPr>
              <w:pStyle w:val="TableParagraph"/>
              <w:spacing w:before="67"/>
              <w:ind w:right="30"/>
              <w:jc w:val="right"/>
              <w:rPr>
                <w:rFonts w:ascii="Times New Roman"/>
                <w:sz w:val="21"/>
              </w:rPr>
            </w:pPr>
            <w:r>
              <w:rPr>
                <w:rFonts w:ascii="Times New Roman"/>
                <w:sz w:val="21"/>
              </w:rPr>
              <w:t>108.12</w:t>
            </w:r>
          </w:p>
        </w:tc>
        <w:tc>
          <w:tcPr>
            <w:tcW w:w="1473" w:type="dxa"/>
          </w:tcPr>
          <w:p>
            <w:pPr>
              <w:pStyle w:val="TableParagraph"/>
              <w:spacing w:before="67"/>
              <w:ind w:right="29"/>
              <w:jc w:val="right"/>
              <w:rPr>
                <w:rFonts w:ascii="Times New Roman"/>
                <w:sz w:val="21"/>
              </w:rPr>
            </w:pPr>
            <w:r>
              <w:rPr>
                <w:rFonts w:ascii="Times New Roman"/>
                <w:sz w:val="21"/>
              </w:rPr>
              <w:t>589.68</w:t>
            </w:r>
          </w:p>
        </w:tc>
        <w:tc>
          <w:tcPr>
            <w:tcW w:w="1756" w:type="dxa"/>
            <w:vMerge w:val="restart"/>
          </w:tcPr>
          <w:p>
            <w:pPr>
              <w:pStyle w:val="TableParagraph"/>
              <w:spacing w:before="61"/>
              <w:ind w:left="143"/>
              <w:rPr>
                <w:sz w:val="21"/>
              </w:rPr>
            </w:pPr>
            <w:r>
              <w:rPr>
                <w:sz w:val="21"/>
              </w:rPr>
              <w:t>经污水处理站处</w:t>
            </w:r>
          </w:p>
          <w:p>
            <w:pPr>
              <w:pStyle w:val="TableParagraph"/>
              <w:spacing w:line="320" w:lineRule="atLeast"/>
              <w:ind w:left="563" w:right="126" w:hanging="420"/>
              <w:rPr>
                <w:sz w:val="21"/>
              </w:rPr>
            </w:pPr>
            <w:r>
              <w:rPr>
                <w:sz w:val="21"/>
              </w:rPr>
              <w:t>理达标后排入市政管网</w:t>
            </w:r>
          </w:p>
        </w:tc>
        <w:tc>
          <w:tcPr>
            <w:tcW w:w="768" w:type="dxa"/>
            <w:vMerge w:val="restart"/>
          </w:tcPr>
          <w:p>
            <w:pPr>
              <w:pStyle w:val="TableParagraph"/>
              <w:spacing w:before="12"/>
              <w:rPr>
                <w:sz w:val="30"/>
              </w:rPr>
            </w:pPr>
          </w:p>
          <w:p>
            <w:pPr>
              <w:pStyle w:val="TableParagraph"/>
              <w:ind w:left="10"/>
              <w:jc w:val="center"/>
              <w:rPr>
                <w:rFonts w:ascii="Times New Roman"/>
                <w:sz w:val="21"/>
              </w:rPr>
            </w:pPr>
            <w:r>
              <w:rPr>
                <w:rFonts w:ascii="Times New Roman"/>
                <w:w w:val="100"/>
                <w:sz w:val="21"/>
              </w:rPr>
              <w:t>2</w:t>
            </w:r>
          </w:p>
        </w:tc>
        <w:tc>
          <w:tcPr>
            <w:tcW w:w="1264" w:type="dxa"/>
            <w:vMerge w:val="restart"/>
          </w:tcPr>
          <w:p>
            <w:pPr>
              <w:pStyle w:val="TableParagraph"/>
              <w:spacing w:before="11"/>
              <w:rPr>
                <w:sz w:val="29"/>
              </w:rPr>
            </w:pPr>
          </w:p>
          <w:p>
            <w:pPr>
              <w:pStyle w:val="TableParagraph"/>
              <w:ind w:left="108"/>
              <w:rPr>
                <w:sz w:val="21"/>
              </w:rPr>
            </w:pPr>
            <w:r>
              <w:rPr>
                <w:sz w:val="21"/>
              </w:rPr>
              <w:t>位于厂区内</w:t>
            </w:r>
          </w:p>
        </w:tc>
        <w:tc>
          <w:tcPr>
            <w:tcW w:w="1254" w:type="dxa"/>
            <w:vMerge w:val="restart"/>
          </w:tcPr>
          <w:p>
            <w:pPr>
              <w:pStyle w:val="TableParagraph"/>
              <w:spacing w:before="11"/>
              <w:rPr>
                <w:sz w:val="29"/>
              </w:rPr>
            </w:pPr>
          </w:p>
          <w:p>
            <w:pPr>
              <w:pStyle w:val="TableParagraph"/>
              <w:ind w:left="104"/>
              <w:rPr>
                <w:sz w:val="21"/>
              </w:rPr>
            </w:pPr>
            <w:r>
              <w:rPr>
                <w:sz w:val="21"/>
              </w:rPr>
              <w:t>无超标排放</w:t>
            </w:r>
          </w:p>
        </w:tc>
      </w:tr>
      <w:tr>
        <w:trPr>
          <w:trHeight w:val="645" w:hRule="atLeast"/>
        </w:trPr>
        <w:tc>
          <w:tcPr>
            <w:tcW w:w="1508" w:type="dxa"/>
            <w:vMerge/>
            <w:tcBorders>
              <w:top w:val="nil"/>
            </w:tcBorders>
          </w:tcPr>
          <w:p>
            <w:pPr>
              <w:rPr>
                <w:sz w:val="2"/>
                <w:szCs w:val="2"/>
              </w:rPr>
            </w:pPr>
          </w:p>
        </w:tc>
        <w:tc>
          <w:tcPr>
            <w:tcW w:w="576" w:type="dxa"/>
            <w:vMerge/>
            <w:tcBorders>
              <w:top w:val="nil"/>
            </w:tcBorders>
          </w:tcPr>
          <w:p>
            <w:pPr>
              <w:rPr>
                <w:sz w:val="2"/>
                <w:szCs w:val="2"/>
              </w:rPr>
            </w:pPr>
          </w:p>
        </w:tc>
        <w:tc>
          <w:tcPr>
            <w:tcW w:w="1411" w:type="dxa"/>
          </w:tcPr>
          <w:p>
            <w:pPr>
              <w:pStyle w:val="TableParagraph"/>
              <w:spacing w:before="4"/>
              <w:rPr>
                <w:sz w:val="16"/>
              </w:rPr>
            </w:pPr>
          </w:p>
          <w:p>
            <w:pPr>
              <w:pStyle w:val="TableParagraph"/>
              <w:spacing w:before="1"/>
              <w:ind w:left="491"/>
              <w:rPr>
                <w:sz w:val="21"/>
              </w:rPr>
            </w:pPr>
            <w:r>
              <w:rPr>
                <w:sz w:val="21"/>
              </w:rPr>
              <w:t>氨氮</w:t>
            </w:r>
          </w:p>
        </w:tc>
        <w:tc>
          <w:tcPr>
            <w:tcW w:w="1594" w:type="dxa"/>
          </w:tcPr>
          <w:p>
            <w:pPr>
              <w:pStyle w:val="TableParagraph"/>
              <w:spacing w:before="5"/>
              <w:rPr>
                <w:sz w:val="17"/>
              </w:rPr>
            </w:pPr>
          </w:p>
          <w:p>
            <w:pPr>
              <w:pStyle w:val="TableParagraph"/>
              <w:spacing w:before="1"/>
              <w:ind w:right="32"/>
              <w:jc w:val="right"/>
              <w:rPr>
                <w:rFonts w:ascii="Times New Roman"/>
                <w:sz w:val="21"/>
              </w:rPr>
            </w:pPr>
            <w:r>
              <w:rPr>
                <w:rFonts w:ascii="Times New Roman"/>
                <w:sz w:val="21"/>
              </w:rPr>
              <w:t>3.560mg/L</w:t>
            </w:r>
          </w:p>
        </w:tc>
        <w:tc>
          <w:tcPr>
            <w:tcW w:w="1190" w:type="dxa"/>
          </w:tcPr>
          <w:p>
            <w:pPr>
              <w:pStyle w:val="TableParagraph"/>
              <w:spacing w:before="5"/>
              <w:rPr>
                <w:sz w:val="17"/>
              </w:rPr>
            </w:pPr>
          </w:p>
          <w:p>
            <w:pPr>
              <w:pStyle w:val="TableParagraph"/>
              <w:spacing w:before="1"/>
              <w:ind w:right="31"/>
              <w:jc w:val="right"/>
              <w:rPr>
                <w:rFonts w:ascii="Times New Roman"/>
                <w:sz w:val="21"/>
              </w:rPr>
            </w:pPr>
            <w:r>
              <w:rPr>
                <w:rFonts w:ascii="Times New Roman"/>
                <w:sz w:val="21"/>
              </w:rPr>
              <w:t>45mg/L</w:t>
            </w:r>
          </w:p>
        </w:tc>
        <w:tc>
          <w:tcPr>
            <w:tcW w:w="957" w:type="dxa"/>
          </w:tcPr>
          <w:p>
            <w:pPr>
              <w:pStyle w:val="TableParagraph"/>
              <w:spacing w:before="5"/>
              <w:rPr>
                <w:sz w:val="17"/>
              </w:rPr>
            </w:pPr>
          </w:p>
          <w:p>
            <w:pPr>
              <w:pStyle w:val="TableParagraph"/>
              <w:spacing w:before="1"/>
              <w:ind w:right="30"/>
              <w:jc w:val="right"/>
              <w:rPr>
                <w:rFonts w:ascii="Times New Roman"/>
                <w:sz w:val="21"/>
              </w:rPr>
            </w:pPr>
            <w:r>
              <w:rPr>
                <w:rFonts w:ascii="Times New Roman"/>
                <w:sz w:val="21"/>
              </w:rPr>
              <w:t>3.10</w:t>
            </w:r>
          </w:p>
        </w:tc>
        <w:tc>
          <w:tcPr>
            <w:tcW w:w="1473" w:type="dxa"/>
          </w:tcPr>
          <w:p>
            <w:pPr>
              <w:pStyle w:val="TableParagraph"/>
              <w:spacing w:before="5"/>
              <w:rPr>
                <w:sz w:val="17"/>
              </w:rPr>
            </w:pPr>
          </w:p>
          <w:p>
            <w:pPr>
              <w:pStyle w:val="TableParagraph"/>
              <w:spacing w:before="1"/>
              <w:ind w:right="29"/>
              <w:jc w:val="right"/>
              <w:rPr>
                <w:rFonts w:ascii="Times New Roman"/>
                <w:sz w:val="21"/>
              </w:rPr>
            </w:pPr>
            <w:r>
              <w:rPr>
                <w:rFonts w:ascii="Times New Roman"/>
                <w:sz w:val="21"/>
              </w:rPr>
              <w:t>53.07</w:t>
            </w:r>
          </w:p>
        </w:tc>
        <w:tc>
          <w:tcPr>
            <w:tcW w:w="1756" w:type="dxa"/>
            <w:vMerge/>
            <w:tcBorders>
              <w:top w:val="nil"/>
            </w:tcBorders>
          </w:tcPr>
          <w:p>
            <w:pPr>
              <w:rPr>
                <w:sz w:val="2"/>
                <w:szCs w:val="2"/>
              </w:rPr>
            </w:pPr>
          </w:p>
        </w:tc>
        <w:tc>
          <w:tcPr>
            <w:tcW w:w="768" w:type="dxa"/>
            <w:vMerge/>
            <w:tcBorders>
              <w:top w:val="nil"/>
            </w:tcBorders>
          </w:tcPr>
          <w:p>
            <w:pPr>
              <w:rPr>
                <w:sz w:val="2"/>
                <w:szCs w:val="2"/>
              </w:rPr>
            </w:pPr>
          </w:p>
        </w:tc>
        <w:tc>
          <w:tcPr>
            <w:tcW w:w="1264" w:type="dxa"/>
            <w:vMerge/>
            <w:tcBorders>
              <w:top w:val="nil"/>
            </w:tcBorders>
          </w:tcPr>
          <w:p>
            <w:pPr>
              <w:rPr>
                <w:sz w:val="2"/>
                <w:szCs w:val="2"/>
              </w:rPr>
            </w:pPr>
          </w:p>
        </w:tc>
        <w:tc>
          <w:tcPr>
            <w:tcW w:w="1254" w:type="dxa"/>
            <w:vMerge/>
            <w:tcBorders>
              <w:top w:val="nil"/>
            </w:tcBorders>
          </w:tcPr>
          <w:p>
            <w:pPr>
              <w:rPr>
                <w:sz w:val="2"/>
                <w:szCs w:val="2"/>
              </w:rPr>
            </w:pPr>
          </w:p>
        </w:tc>
      </w:tr>
      <w:tr>
        <w:trPr>
          <w:trHeight w:val="333" w:hRule="atLeast"/>
        </w:trPr>
        <w:tc>
          <w:tcPr>
            <w:tcW w:w="1508" w:type="dxa"/>
            <w:vMerge w:val="restart"/>
          </w:tcPr>
          <w:p>
            <w:pPr>
              <w:pStyle w:val="TableParagraph"/>
              <w:spacing w:before="49"/>
              <w:ind w:left="45"/>
              <w:rPr>
                <w:sz w:val="21"/>
              </w:rPr>
            </w:pPr>
            <w:r>
              <w:rPr>
                <w:sz w:val="21"/>
              </w:rPr>
              <w:t>富联裕展科技</w:t>
            </w:r>
          </w:p>
          <w:p>
            <w:pPr>
              <w:pStyle w:val="TableParagraph"/>
              <w:spacing w:line="320" w:lineRule="atLeast"/>
              <w:ind w:left="45" w:right="188"/>
              <w:rPr>
                <w:sz w:val="21"/>
              </w:rPr>
            </w:pPr>
            <w:r>
              <w:rPr>
                <w:spacing w:val="-1"/>
                <w:sz w:val="21"/>
              </w:rPr>
              <w:t>（河南</w:t>
            </w:r>
            <w:r>
              <w:rPr>
                <w:sz w:val="21"/>
              </w:rPr>
              <w:t>）有限公司</w:t>
            </w:r>
          </w:p>
        </w:tc>
        <w:tc>
          <w:tcPr>
            <w:tcW w:w="576" w:type="dxa"/>
            <w:vMerge w:val="restart"/>
          </w:tcPr>
          <w:p>
            <w:pPr>
              <w:pStyle w:val="TableParagraph"/>
              <w:spacing w:before="9"/>
              <w:rPr>
                <w:sz w:val="28"/>
              </w:rPr>
            </w:pPr>
          </w:p>
          <w:p>
            <w:pPr>
              <w:pStyle w:val="TableParagraph"/>
              <w:ind w:left="76"/>
              <w:rPr>
                <w:sz w:val="21"/>
              </w:rPr>
            </w:pPr>
            <w:r>
              <w:rPr>
                <w:sz w:val="21"/>
              </w:rPr>
              <w:t>废水</w:t>
            </w:r>
          </w:p>
        </w:tc>
        <w:tc>
          <w:tcPr>
            <w:tcW w:w="1411" w:type="dxa"/>
          </w:tcPr>
          <w:p>
            <w:pPr>
              <w:pStyle w:val="TableParagraph"/>
              <w:spacing w:before="67"/>
              <w:ind w:left="479"/>
              <w:rPr>
                <w:rFonts w:ascii="Times New Roman"/>
                <w:sz w:val="21"/>
              </w:rPr>
            </w:pPr>
            <w:r>
              <w:rPr>
                <w:rFonts w:ascii="Times New Roman"/>
                <w:sz w:val="21"/>
              </w:rPr>
              <w:t>COD</w:t>
            </w:r>
          </w:p>
        </w:tc>
        <w:tc>
          <w:tcPr>
            <w:tcW w:w="1594" w:type="dxa"/>
          </w:tcPr>
          <w:p>
            <w:pPr>
              <w:pStyle w:val="TableParagraph"/>
              <w:spacing w:before="67"/>
              <w:ind w:right="32"/>
              <w:jc w:val="right"/>
              <w:rPr>
                <w:rFonts w:ascii="Times New Roman"/>
                <w:sz w:val="21"/>
              </w:rPr>
            </w:pPr>
            <w:r>
              <w:rPr>
                <w:rFonts w:ascii="Times New Roman"/>
                <w:sz w:val="21"/>
              </w:rPr>
              <w:t>59mg/L</w:t>
            </w:r>
          </w:p>
        </w:tc>
        <w:tc>
          <w:tcPr>
            <w:tcW w:w="1190" w:type="dxa"/>
          </w:tcPr>
          <w:p>
            <w:pPr>
              <w:pStyle w:val="TableParagraph"/>
              <w:spacing w:before="67"/>
              <w:ind w:right="31"/>
              <w:jc w:val="right"/>
              <w:rPr>
                <w:rFonts w:ascii="Times New Roman"/>
                <w:sz w:val="21"/>
              </w:rPr>
            </w:pPr>
            <w:r>
              <w:rPr>
                <w:rFonts w:ascii="Times New Roman"/>
                <w:sz w:val="21"/>
              </w:rPr>
              <w:t>150mg/L</w:t>
            </w:r>
          </w:p>
        </w:tc>
        <w:tc>
          <w:tcPr>
            <w:tcW w:w="957" w:type="dxa"/>
          </w:tcPr>
          <w:p>
            <w:pPr>
              <w:pStyle w:val="TableParagraph"/>
              <w:spacing w:before="67"/>
              <w:ind w:right="30"/>
              <w:jc w:val="right"/>
              <w:rPr>
                <w:rFonts w:ascii="Times New Roman"/>
                <w:sz w:val="21"/>
              </w:rPr>
            </w:pPr>
            <w:r>
              <w:rPr>
                <w:rFonts w:ascii="Times New Roman"/>
                <w:sz w:val="21"/>
              </w:rPr>
              <w:t>84.65</w:t>
            </w:r>
          </w:p>
        </w:tc>
        <w:tc>
          <w:tcPr>
            <w:tcW w:w="1473" w:type="dxa"/>
          </w:tcPr>
          <w:p>
            <w:pPr>
              <w:pStyle w:val="TableParagraph"/>
              <w:spacing w:before="67"/>
              <w:ind w:right="29"/>
              <w:jc w:val="right"/>
              <w:rPr>
                <w:rFonts w:ascii="Times New Roman"/>
                <w:sz w:val="21"/>
              </w:rPr>
            </w:pPr>
            <w:r>
              <w:rPr>
                <w:rFonts w:ascii="Times New Roman"/>
                <w:sz w:val="21"/>
              </w:rPr>
              <w:t>574.63</w:t>
            </w:r>
          </w:p>
        </w:tc>
        <w:tc>
          <w:tcPr>
            <w:tcW w:w="1756" w:type="dxa"/>
            <w:vMerge w:val="restart"/>
          </w:tcPr>
          <w:p>
            <w:pPr>
              <w:pStyle w:val="TableParagraph"/>
              <w:spacing w:before="2"/>
              <w:rPr>
                <w:sz w:val="16"/>
              </w:rPr>
            </w:pPr>
          </w:p>
          <w:p>
            <w:pPr>
              <w:pStyle w:val="TableParagraph"/>
              <w:spacing w:line="288" w:lineRule="auto"/>
              <w:ind w:left="248" w:right="126" w:hanging="106"/>
              <w:rPr>
                <w:sz w:val="21"/>
              </w:rPr>
            </w:pPr>
            <w:r>
              <w:rPr>
                <w:sz w:val="21"/>
              </w:rPr>
              <w:t>经污水处理站处理达标后排放</w:t>
            </w:r>
          </w:p>
        </w:tc>
        <w:tc>
          <w:tcPr>
            <w:tcW w:w="768" w:type="dxa"/>
            <w:vMerge w:val="restart"/>
          </w:tcPr>
          <w:p>
            <w:pPr>
              <w:pStyle w:val="TableParagraph"/>
              <w:spacing w:before="10"/>
              <w:rPr>
                <w:sz w:val="29"/>
              </w:rPr>
            </w:pPr>
          </w:p>
          <w:p>
            <w:pPr>
              <w:pStyle w:val="TableParagraph"/>
              <w:ind w:left="10"/>
              <w:jc w:val="center"/>
              <w:rPr>
                <w:rFonts w:ascii="Times New Roman"/>
                <w:sz w:val="21"/>
              </w:rPr>
            </w:pPr>
            <w:r>
              <w:rPr>
                <w:rFonts w:ascii="Times New Roman"/>
                <w:w w:val="100"/>
                <w:sz w:val="21"/>
              </w:rPr>
              <w:t>1</w:t>
            </w:r>
          </w:p>
        </w:tc>
        <w:tc>
          <w:tcPr>
            <w:tcW w:w="1264" w:type="dxa"/>
            <w:vMerge w:val="restart"/>
          </w:tcPr>
          <w:p>
            <w:pPr>
              <w:pStyle w:val="TableParagraph"/>
              <w:spacing w:before="9"/>
              <w:rPr>
                <w:sz w:val="28"/>
              </w:rPr>
            </w:pPr>
          </w:p>
          <w:p>
            <w:pPr>
              <w:pStyle w:val="TableParagraph"/>
              <w:ind w:left="108"/>
              <w:rPr>
                <w:sz w:val="21"/>
              </w:rPr>
            </w:pPr>
            <w:r>
              <w:rPr>
                <w:sz w:val="21"/>
              </w:rPr>
              <w:t>位于厂区内</w:t>
            </w:r>
          </w:p>
        </w:tc>
        <w:tc>
          <w:tcPr>
            <w:tcW w:w="1254" w:type="dxa"/>
            <w:vMerge w:val="restart"/>
          </w:tcPr>
          <w:p>
            <w:pPr>
              <w:pStyle w:val="TableParagraph"/>
              <w:spacing w:before="9"/>
              <w:rPr>
                <w:sz w:val="28"/>
              </w:rPr>
            </w:pPr>
          </w:p>
          <w:p>
            <w:pPr>
              <w:pStyle w:val="TableParagraph"/>
              <w:ind w:left="104"/>
              <w:rPr>
                <w:sz w:val="21"/>
              </w:rPr>
            </w:pPr>
            <w:r>
              <w:rPr>
                <w:sz w:val="21"/>
              </w:rPr>
              <w:t>无超标排放</w:t>
            </w:r>
          </w:p>
        </w:tc>
      </w:tr>
      <w:tr>
        <w:trPr>
          <w:trHeight w:val="618" w:hRule="atLeast"/>
        </w:trPr>
        <w:tc>
          <w:tcPr>
            <w:tcW w:w="1508" w:type="dxa"/>
            <w:vMerge/>
            <w:tcBorders>
              <w:top w:val="nil"/>
            </w:tcBorders>
          </w:tcPr>
          <w:p>
            <w:pPr>
              <w:rPr>
                <w:sz w:val="2"/>
                <w:szCs w:val="2"/>
              </w:rPr>
            </w:pPr>
          </w:p>
        </w:tc>
        <w:tc>
          <w:tcPr>
            <w:tcW w:w="576" w:type="dxa"/>
            <w:vMerge/>
            <w:tcBorders>
              <w:top w:val="nil"/>
            </w:tcBorders>
          </w:tcPr>
          <w:p>
            <w:pPr>
              <w:rPr>
                <w:sz w:val="2"/>
                <w:szCs w:val="2"/>
              </w:rPr>
            </w:pPr>
          </w:p>
        </w:tc>
        <w:tc>
          <w:tcPr>
            <w:tcW w:w="1411" w:type="dxa"/>
          </w:tcPr>
          <w:p>
            <w:pPr>
              <w:pStyle w:val="TableParagraph"/>
              <w:spacing w:before="3"/>
              <w:rPr>
                <w:sz w:val="15"/>
              </w:rPr>
            </w:pPr>
          </w:p>
          <w:p>
            <w:pPr>
              <w:pStyle w:val="TableParagraph"/>
              <w:ind w:left="491"/>
              <w:rPr>
                <w:sz w:val="21"/>
              </w:rPr>
            </w:pPr>
            <w:r>
              <w:rPr>
                <w:sz w:val="21"/>
              </w:rPr>
              <w:t>氨氮</w:t>
            </w:r>
          </w:p>
        </w:tc>
        <w:tc>
          <w:tcPr>
            <w:tcW w:w="1594" w:type="dxa"/>
          </w:tcPr>
          <w:p>
            <w:pPr>
              <w:pStyle w:val="TableParagraph"/>
              <w:spacing w:before="4"/>
              <w:rPr>
                <w:sz w:val="16"/>
              </w:rPr>
            </w:pPr>
          </w:p>
          <w:p>
            <w:pPr>
              <w:pStyle w:val="TableParagraph"/>
              <w:ind w:right="32"/>
              <w:jc w:val="right"/>
              <w:rPr>
                <w:rFonts w:ascii="Times New Roman"/>
                <w:sz w:val="21"/>
              </w:rPr>
            </w:pPr>
            <w:r>
              <w:rPr>
                <w:rFonts w:ascii="Times New Roman"/>
                <w:sz w:val="21"/>
              </w:rPr>
              <w:t>0.540mg/L</w:t>
            </w:r>
          </w:p>
        </w:tc>
        <w:tc>
          <w:tcPr>
            <w:tcW w:w="1190" w:type="dxa"/>
          </w:tcPr>
          <w:p>
            <w:pPr>
              <w:pStyle w:val="TableParagraph"/>
              <w:spacing w:before="4"/>
              <w:rPr>
                <w:sz w:val="16"/>
              </w:rPr>
            </w:pPr>
          </w:p>
          <w:p>
            <w:pPr>
              <w:pStyle w:val="TableParagraph"/>
              <w:ind w:right="31"/>
              <w:jc w:val="right"/>
              <w:rPr>
                <w:rFonts w:ascii="Times New Roman"/>
                <w:sz w:val="21"/>
              </w:rPr>
            </w:pPr>
            <w:r>
              <w:rPr>
                <w:rFonts w:ascii="Times New Roman"/>
                <w:sz w:val="21"/>
              </w:rPr>
              <w:t>25mg/L</w:t>
            </w:r>
          </w:p>
        </w:tc>
        <w:tc>
          <w:tcPr>
            <w:tcW w:w="957" w:type="dxa"/>
          </w:tcPr>
          <w:p>
            <w:pPr>
              <w:pStyle w:val="TableParagraph"/>
              <w:spacing w:before="4"/>
              <w:rPr>
                <w:sz w:val="16"/>
              </w:rPr>
            </w:pPr>
          </w:p>
          <w:p>
            <w:pPr>
              <w:pStyle w:val="TableParagraph"/>
              <w:ind w:right="30"/>
              <w:jc w:val="right"/>
              <w:rPr>
                <w:rFonts w:ascii="Times New Roman"/>
                <w:sz w:val="21"/>
              </w:rPr>
            </w:pPr>
            <w:r>
              <w:rPr>
                <w:rFonts w:ascii="Times New Roman"/>
                <w:sz w:val="21"/>
              </w:rPr>
              <w:t>0.74</w:t>
            </w:r>
          </w:p>
        </w:tc>
        <w:tc>
          <w:tcPr>
            <w:tcW w:w="1473" w:type="dxa"/>
          </w:tcPr>
          <w:p>
            <w:pPr>
              <w:pStyle w:val="TableParagraph"/>
              <w:spacing w:before="4"/>
              <w:rPr>
                <w:sz w:val="16"/>
              </w:rPr>
            </w:pPr>
          </w:p>
          <w:p>
            <w:pPr>
              <w:pStyle w:val="TableParagraph"/>
              <w:ind w:right="29"/>
              <w:jc w:val="right"/>
              <w:rPr>
                <w:rFonts w:ascii="Times New Roman"/>
                <w:sz w:val="21"/>
              </w:rPr>
            </w:pPr>
            <w:r>
              <w:rPr>
                <w:rFonts w:ascii="Times New Roman"/>
                <w:sz w:val="21"/>
              </w:rPr>
              <w:t>95.77</w:t>
            </w:r>
          </w:p>
        </w:tc>
        <w:tc>
          <w:tcPr>
            <w:tcW w:w="1756" w:type="dxa"/>
            <w:vMerge/>
            <w:tcBorders>
              <w:top w:val="nil"/>
            </w:tcBorders>
          </w:tcPr>
          <w:p>
            <w:pPr>
              <w:rPr>
                <w:sz w:val="2"/>
                <w:szCs w:val="2"/>
              </w:rPr>
            </w:pPr>
          </w:p>
        </w:tc>
        <w:tc>
          <w:tcPr>
            <w:tcW w:w="768" w:type="dxa"/>
            <w:vMerge/>
            <w:tcBorders>
              <w:top w:val="nil"/>
            </w:tcBorders>
          </w:tcPr>
          <w:p>
            <w:pPr>
              <w:rPr>
                <w:sz w:val="2"/>
                <w:szCs w:val="2"/>
              </w:rPr>
            </w:pPr>
          </w:p>
        </w:tc>
        <w:tc>
          <w:tcPr>
            <w:tcW w:w="1264" w:type="dxa"/>
            <w:vMerge/>
            <w:tcBorders>
              <w:top w:val="nil"/>
            </w:tcBorders>
          </w:tcPr>
          <w:p>
            <w:pPr>
              <w:rPr>
                <w:sz w:val="2"/>
                <w:szCs w:val="2"/>
              </w:rPr>
            </w:pPr>
          </w:p>
        </w:tc>
        <w:tc>
          <w:tcPr>
            <w:tcW w:w="1254" w:type="dxa"/>
            <w:vMerge/>
            <w:tcBorders>
              <w:top w:val="nil"/>
            </w:tcBorders>
          </w:tcPr>
          <w:p>
            <w:pPr>
              <w:rPr>
                <w:sz w:val="2"/>
                <w:szCs w:val="2"/>
              </w:rPr>
            </w:pPr>
          </w:p>
        </w:tc>
      </w:tr>
      <w:tr>
        <w:trPr>
          <w:trHeight w:val="333" w:hRule="atLeast"/>
        </w:trPr>
        <w:tc>
          <w:tcPr>
            <w:tcW w:w="1508" w:type="dxa"/>
            <w:vMerge w:val="restart"/>
          </w:tcPr>
          <w:p>
            <w:pPr>
              <w:pStyle w:val="TableParagraph"/>
              <w:rPr>
                <w:sz w:val="20"/>
              </w:rPr>
            </w:pPr>
          </w:p>
          <w:p>
            <w:pPr>
              <w:pStyle w:val="TableParagraph"/>
              <w:rPr>
                <w:sz w:val="20"/>
              </w:rPr>
            </w:pPr>
          </w:p>
          <w:p>
            <w:pPr>
              <w:pStyle w:val="TableParagraph"/>
              <w:spacing w:before="10"/>
              <w:rPr>
                <w:sz w:val="29"/>
              </w:rPr>
            </w:pPr>
          </w:p>
          <w:p>
            <w:pPr>
              <w:pStyle w:val="TableParagraph"/>
              <w:spacing w:line="285" w:lineRule="auto"/>
              <w:ind w:left="45" w:right="188"/>
              <w:rPr>
                <w:sz w:val="21"/>
              </w:rPr>
            </w:pPr>
            <w:r>
              <w:rPr>
                <w:spacing w:val="-1"/>
                <w:sz w:val="21"/>
              </w:rPr>
              <w:t>富联科技</w:t>
            </w:r>
            <w:r>
              <w:rPr>
                <w:sz w:val="21"/>
              </w:rPr>
              <w:t>（晋</w:t>
            </w:r>
            <w:r>
              <w:rPr>
                <w:spacing w:val="-1"/>
                <w:sz w:val="21"/>
              </w:rPr>
              <w:t>城）</w:t>
            </w:r>
            <w:r>
              <w:rPr>
                <w:sz w:val="21"/>
              </w:rPr>
              <w:t>有限公司</w:t>
            </w:r>
          </w:p>
        </w:tc>
        <w:tc>
          <w:tcPr>
            <w:tcW w:w="576" w:type="dxa"/>
            <w:vMerge w:val="restart"/>
          </w:tcPr>
          <w:p>
            <w:pPr>
              <w:pStyle w:val="TableParagraph"/>
              <w:spacing w:before="6"/>
              <w:rPr>
                <w:sz w:val="17"/>
              </w:rPr>
            </w:pPr>
          </w:p>
          <w:p>
            <w:pPr>
              <w:pStyle w:val="TableParagraph"/>
              <w:spacing w:before="1"/>
              <w:ind w:left="76"/>
              <w:rPr>
                <w:sz w:val="21"/>
              </w:rPr>
            </w:pPr>
            <w:r>
              <w:rPr>
                <w:sz w:val="21"/>
              </w:rPr>
              <w:t>废水</w:t>
            </w:r>
          </w:p>
        </w:tc>
        <w:tc>
          <w:tcPr>
            <w:tcW w:w="1411" w:type="dxa"/>
          </w:tcPr>
          <w:p>
            <w:pPr>
              <w:pStyle w:val="TableParagraph"/>
              <w:spacing w:before="66"/>
              <w:ind w:left="479"/>
              <w:rPr>
                <w:rFonts w:ascii="Times New Roman"/>
                <w:sz w:val="21"/>
              </w:rPr>
            </w:pPr>
            <w:r>
              <w:rPr>
                <w:rFonts w:ascii="Times New Roman"/>
                <w:sz w:val="21"/>
              </w:rPr>
              <w:t>COD</w:t>
            </w:r>
          </w:p>
        </w:tc>
        <w:tc>
          <w:tcPr>
            <w:tcW w:w="1594" w:type="dxa"/>
          </w:tcPr>
          <w:p>
            <w:pPr>
              <w:pStyle w:val="TableParagraph"/>
              <w:spacing w:before="66"/>
              <w:ind w:right="32"/>
              <w:jc w:val="right"/>
              <w:rPr>
                <w:rFonts w:ascii="Times New Roman"/>
                <w:sz w:val="21"/>
              </w:rPr>
            </w:pPr>
            <w:r>
              <w:rPr>
                <w:rFonts w:ascii="Times New Roman"/>
                <w:sz w:val="21"/>
              </w:rPr>
              <w:t>77mg/L</w:t>
            </w:r>
          </w:p>
        </w:tc>
        <w:tc>
          <w:tcPr>
            <w:tcW w:w="1190" w:type="dxa"/>
          </w:tcPr>
          <w:p>
            <w:pPr>
              <w:pStyle w:val="TableParagraph"/>
              <w:spacing w:before="66"/>
              <w:ind w:right="31"/>
              <w:jc w:val="right"/>
              <w:rPr>
                <w:rFonts w:ascii="Times New Roman"/>
                <w:sz w:val="21"/>
              </w:rPr>
            </w:pPr>
            <w:r>
              <w:rPr>
                <w:rFonts w:ascii="Times New Roman"/>
                <w:sz w:val="21"/>
              </w:rPr>
              <w:t>500mg/L</w:t>
            </w:r>
          </w:p>
        </w:tc>
        <w:tc>
          <w:tcPr>
            <w:tcW w:w="957" w:type="dxa"/>
          </w:tcPr>
          <w:p>
            <w:pPr>
              <w:pStyle w:val="TableParagraph"/>
              <w:spacing w:before="66"/>
              <w:ind w:right="30"/>
              <w:jc w:val="right"/>
              <w:rPr>
                <w:rFonts w:ascii="Times New Roman"/>
                <w:sz w:val="21"/>
              </w:rPr>
            </w:pPr>
            <w:r>
              <w:rPr>
                <w:rFonts w:ascii="Times New Roman"/>
                <w:sz w:val="21"/>
              </w:rPr>
              <w:t>83.73</w:t>
            </w:r>
          </w:p>
        </w:tc>
        <w:tc>
          <w:tcPr>
            <w:tcW w:w="1473" w:type="dxa"/>
          </w:tcPr>
          <w:p>
            <w:pPr>
              <w:pStyle w:val="TableParagraph"/>
              <w:spacing w:before="66"/>
              <w:ind w:right="29"/>
              <w:jc w:val="right"/>
              <w:rPr>
                <w:rFonts w:ascii="Times New Roman"/>
                <w:sz w:val="21"/>
              </w:rPr>
            </w:pPr>
            <w:r>
              <w:rPr>
                <w:rFonts w:ascii="Times New Roman"/>
                <w:sz w:val="21"/>
              </w:rPr>
              <w:t>103.38</w:t>
            </w:r>
          </w:p>
        </w:tc>
        <w:tc>
          <w:tcPr>
            <w:tcW w:w="1756" w:type="dxa"/>
            <w:vMerge w:val="restart"/>
          </w:tcPr>
          <w:p>
            <w:pPr>
              <w:pStyle w:val="TableParagraph"/>
              <w:spacing w:line="320" w:lineRule="atLeast" w:before="13"/>
              <w:ind w:left="248" w:right="126" w:hanging="106"/>
              <w:rPr>
                <w:sz w:val="21"/>
              </w:rPr>
            </w:pPr>
            <w:r>
              <w:rPr>
                <w:sz w:val="21"/>
              </w:rPr>
              <w:t>经污水处理站处理达标后排放</w:t>
            </w:r>
          </w:p>
        </w:tc>
        <w:tc>
          <w:tcPr>
            <w:tcW w:w="768" w:type="dxa"/>
            <w:vMerge w:val="restart"/>
          </w:tcPr>
          <w:p>
            <w:pPr>
              <w:pStyle w:val="TableParagraph"/>
              <w:spacing w:before="8"/>
              <w:rPr>
                <w:sz w:val="18"/>
              </w:rPr>
            </w:pPr>
          </w:p>
          <w:p>
            <w:pPr>
              <w:pStyle w:val="TableParagraph"/>
              <w:ind w:left="10"/>
              <w:jc w:val="center"/>
              <w:rPr>
                <w:rFonts w:ascii="Times New Roman"/>
                <w:sz w:val="21"/>
              </w:rPr>
            </w:pPr>
            <w:r>
              <w:rPr>
                <w:rFonts w:ascii="Times New Roman"/>
                <w:w w:val="100"/>
                <w:sz w:val="21"/>
              </w:rPr>
              <w:t>2</w:t>
            </w:r>
          </w:p>
        </w:tc>
        <w:tc>
          <w:tcPr>
            <w:tcW w:w="1264" w:type="dxa"/>
            <w:vMerge w:val="restart"/>
          </w:tcPr>
          <w:p>
            <w:pPr>
              <w:pStyle w:val="TableParagraph"/>
              <w:spacing w:before="6"/>
              <w:rPr>
                <w:sz w:val="17"/>
              </w:rPr>
            </w:pPr>
          </w:p>
          <w:p>
            <w:pPr>
              <w:pStyle w:val="TableParagraph"/>
              <w:spacing w:before="1"/>
              <w:ind w:left="108"/>
              <w:rPr>
                <w:sz w:val="21"/>
              </w:rPr>
            </w:pPr>
            <w:r>
              <w:rPr>
                <w:sz w:val="21"/>
              </w:rPr>
              <w:t>位于厂区内</w:t>
            </w:r>
          </w:p>
        </w:tc>
        <w:tc>
          <w:tcPr>
            <w:tcW w:w="1254" w:type="dxa"/>
            <w:vMerge w:val="restart"/>
          </w:tcPr>
          <w:p>
            <w:pPr>
              <w:pStyle w:val="TableParagraph"/>
              <w:spacing w:before="6"/>
              <w:rPr>
                <w:sz w:val="17"/>
              </w:rPr>
            </w:pPr>
          </w:p>
          <w:p>
            <w:pPr>
              <w:pStyle w:val="TableParagraph"/>
              <w:spacing w:before="1"/>
              <w:ind w:left="104"/>
              <w:rPr>
                <w:sz w:val="21"/>
              </w:rPr>
            </w:pPr>
            <w:r>
              <w:rPr>
                <w:sz w:val="21"/>
              </w:rPr>
              <w:t>无超标排放</w:t>
            </w:r>
          </w:p>
        </w:tc>
      </w:tr>
      <w:tr>
        <w:trPr>
          <w:trHeight w:val="330" w:hRule="atLeast"/>
        </w:trPr>
        <w:tc>
          <w:tcPr>
            <w:tcW w:w="1508" w:type="dxa"/>
            <w:vMerge/>
            <w:tcBorders>
              <w:top w:val="nil"/>
            </w:tcBorders>
          </w:tcPr>
          <w:p>
            <w:pPr>
              <w:rPr>
                <w:sz w:val="2"/>
                <w:szCs w:val="2"/>
              </w:rPr>
            </w:pPr>
          </w:p>
        </w:tc>
        <w:tc>
          <w:tcPr>
            <w:tcW w:w="576" w:type="dxa"/>
            <w:vMerge/>
            <w:tcBorders>
              <w:top w:val="nil"/>
            </w:tcBorders>
          </w:tcPr>
          <w:p>
            <w:pPr>
              <w:rPr>
                <w:sz w:val="2"/>
                <w:szCs w:val="2"/>
              </w:rPr>
            </w:pPr>
          </w:p>
        </w:tc>
        <w:tc>
          <w:tcPr>
            <w:tcW w:w="1411" w:type="dxa"/>
          </w:tcPr>
          <w:p>
            <w:pPr>
              <w:pStyle w:val="TableParagraph"/>
              <w:spacing w:line="259" w:lineRule="exact" w:before="51"/>
              <w:ind w:left="491"/>
              <w:rPr>
                <w:sz w:val="21"/>
              </w:rPr>
            </w:pPr>
            <w:r>
              <w:rPr>
                <w:sz w:val="21"/>
              </w:rPr>
              <w:t>氨氮</w:t>
            </w:r>
          </w:p>
        </w:tc>
        <w:tc>
          <w:tcPr>
            <w:tcW w:w="1594" w:type="dxa"/>
          </w:tcPr>
          <w:p>
            <w:pPr>
              <w:pStyle w:val="TableParagraph"/>
              <w:spacing w:before="65"/>
              <w:ind w:right="32"/>
              <w:jc w:val="right"/>
              <w:rPr>
                <w:rFonts w:ascii="Times New Roman"/>
                <w:sz w:val="21"/>
              </w:rPr>
            </w:pPr>
            <w:r>
              <w:rPr>
                <w:rFonts w:ascii="Times New Roman"/>
                <w:sz w:val="21"/>
              </w:rPr>
              <w:t>4.750mg/L</w:t>
            </w:r>
          </w:p>
        </w:tc>
        <w:tc>
          <w:tcPr>
            <w:tcW w:w="1190" w:type="dxa"/>
          </w:tcPr>
          <w:p>
            <w:pPr>
              <w:pStyle w:val="TableParagraph"/>
              <w:spacing w:before="65"/>
              <w:ind w:right="31"/>
              <w:jc w:val="right"/>
              <w:rPr>
                <w:rFonts w:ascii="Times New Roman"/>
                <w:sz w:val="21"/>
              </w:rPr>
            </w:pPr>
            <w:r>
              <w:rPr>
                <w:rFonts w:ascii="Times New Roman"/>
                <w:sz w:val="21"/>
              </w:rPr>
              <w:t>45mg/L</w:t>
            </w:r>
          </w:p>
        </w:tc>
        <w:tc>
          <w:tcPr>
            <w:tcW w:w="957" w:type="dxa"/>
          </w:tcPr>
          <w:p>
            <w:pPr>
              <w:pStyle w:val="TableParagraph"/>
              <w:spacing w:before="65"/>
              <w:ind w:right="30"/>
              <w:jc w:val="right"/>
              <w:rPr>
                <w:rFonts w:ascii="Times New Roman"/>
                <w:sz w:val="21"/>
              </w:rPr>
            </w:pPr>
            <w:r>
              <w:rPr>
                <w:rFonts w:ascii="Times New Roman"/>
                <w:sz w:val="21"/>
              </w:rPr>
              <w:t>2.33</w:t>
            </w:r>
          </w:p>
        </w:tc>
        <w:tc>
          <w:tcPr>
            <w:tcW w:w="1473" w:type="dxa"/>
          </w:tcPr>
          <w:p>
            <w:pPr>
              <w:pStyle w:val="TableParagraph"/>
              <w:spacing w:before="65"/>
              <w:ind w:right="29"/>
              <w:jc w:val="right"/>
              <w:rPr>
                <w:rFonts w:ascii="Times New Roman"/>
                <w:sz w:val="21"/>
              </w:rPr>
            </w:pPr>
            <w:r>
              <w:rPr>
                <w:rFonts w:ascii="Times New Roman"/>
                <w:sz w:val="21"/>
              </w:rPr>
              <w:t>16.54</w:t>
            </w:r>
          </w:p>
        </w:tc>
        <w:tc>
          <w:tcPr>
            <w:tcW w:w="1756" w:type="dxa"/>
            <w:vMerge/>
            <w:tcBorders>
              <w:top w:val="nil"/>
            </w:tcBorders>
          </w:tcPr>
          <w:p>
            <w:pPr>
              <w:rPr>
                <w:sz w:val="2"/>
                <w:szCs w:val="2"/>
              </w:rPr>
            </w:pPr>
          </w:p>
        </w:tc>
        <w:tc>
          <w:tcPr>
            <w:tcW w:w="768" w:type="dxa"/>
            <w:vMerge/>
            <w:tcBorders>
              <w:top w:val="nil"/>
            </w:tcBorders>
          </w:tcPr>
          <w:p>
            <w:pPr>
              <w:rPr>
                <w:sz w:val="2"/>
                <w:szCs w:val="2"/>
              </w:rPr>
            </w:pPr>
          </w:p>
        </w:tc>
        <w:tc>
          <w:tcPr>
            <w:tcW w:w="1264" w:type="dxa"/>
            <w:vMerge/>
            <w:tcBorders>
              <w:top w:val="nil"/>
            </w:tcBorders>
          </w:tcPr>
          <w:p>
            <w:pPr>
              <w:rPr>
                <w:sz w:val="2"/>
                <w:szCs w:val="2"/>
              </w:rPr>
            </w:pPr>
          </w:p>
        </w:tc>
        <w:tc>
          <w:tcPr>
            <w:tcW w:w="1254" w:type="dxa"/>
            <w:vMerge/>
            <w:tcBorders>
              <w:top w:val="nil"/>
            </w:tcBorders>
          </w:tcPr>
          <w:p>
            <w:pPr>
              <w:rPr>
                <w:sz w:val="2"/>
                <w:szCs w:val="2"/>
              </w:rPr>
            </w:pPr>
          </w:p>
        </w:tc>
      </w:tr>
      <w:tr>
        <w:trPr>
          <w:trHeight w:val="657" w:hRule="atLeast"/>
        </w:trPr>
        <w:tc>
          <w:tcPr>
            <w:tcW w:w="1508" w:type="dxa"/>
            <w:vMerge/>
            <w:tcBorders>
              <w:top w:val="nil"/>
            </w:tcBorders>
          </w:tcPr>
          <w:p>
            <w:pPr>
              <w:rPr>
                <w:sz w:val="2"/>
                <w:szCs w:val="2"/>
              </w:rPr>
            </w:pPr>
          </w:p>
        </w:tc>
        <w:tc>
          <w:tcPr>
            <w:tcW w:w="576" w:type="dxa"/>
            <w:vMerge w:val="restart"/>
          </w:tcPr>
          <w:p>
            <w:pPr>
              <w:pStyle w:val="TableParagraph"/>
              <w:rPr>
                <w:sz w:val="20"/>
              </w:rPr>
            </w:pPr>
          </w:p>
          <w:p>
            <w:pPr>
              <w:pStyle w:val="TableParagraph"/>
              <w:rPr>
                <w:sz w:val="20"/>
              </w:rPr>
            </w:pPr>
          </w:p>
          <w:p>
            <w:pPr>
              <w:pStyle w:val="TableParagraph"/>
              <w:spacing w:before="9"/>
              <w:rPr>
                <w:sz w:val="15"/>
              </w:rPr>
            </w:pPr>
          </w:p>
          <w:p>
            <w:pPr>
              <w:pStyle w:val="TableParagraph"/>
              <w:ind w:left="76"/>
              <w:rPr>
                <w:sz w:val="21"/>
              </w:rPr>
            </w:pPr>
            <w:r>
              <w:rPr>
                <w:sz w:val="21"/>
              </w:rPr>
              <w:t>废气</w:t>
            </w:r>
          </w:p>
        </w:tc>
        <w:tc>
          <w:tcPr>
            <w:tcW w:w="1411" w:type="dxa"/>
          </w:tcPr>
          <w:p>
            <w:pPr>
              <w:pStyle w:val="TableParagraph"/>
              <w:rPr>
                <w:sz w:val="18"/>
              </w:rPr>
            </w:pPr>
          </w:p>
          <w:p>
            <w:pPr>
              <w:pStyle w:val="TableParagraph"/>
              <w:ind w:left="438"/>
              <w:rPr>
                <w:rFonts w:ascii="Times New Roman"/>
                <w:sz w:val="21"/>
              </w:rPr>
            </w:pPr>
            <w:r>
              <w:rPr>
                <w:rFonts w:ascii="Times New Roman"/>
                <w:sz w:val="21"/>
              </w:rPr>
              <w:t>VOCs</w:t>
            </w:r>
          </w:p>
        </w:tc>
        <w:tc>
          <w:tcPr>
            <w:tcW w:w="1594" w:type="dxa"/>
          </w:tcPr>
          <w:p>
            <w:pPr>
              <w:pStyle w:val="TableParagraph"/>
              <w:spacing w:before="12"/>
              <w:rPr>
                <w:sz w:val="16"/>
              </w:rPr>
            </w:pPr>
          </w:p>
          <w:p>
            <w:pPr>
              <w:pStyle w:val="TableParagraph"/>
              <w:ind w:right="36"/>
              <w:jc w:val="right"/>
              <w:rPr>
                <w:sz w:val="21"/>
              </w:rPr>
            </w:pPr>
            <w:r>
              <w:rPr>
                <w:rFonts w:ascii="Times New Roman" w:hAnsi="Times New Roman"/>
                <w:sz w:val="21"/>
              </w:rPr>
              <w:t>2.63-10.34mg/m</w:t>
            </w:r>
            <w:r>
              <w:rPr>
                <w:sz w:val="21"/>
              </w:rPr>
              <w:t>³</w:t>
            </w:r>
          </w:p>
        </w:tc>
        <w:tc>
          <w:tcPr>
            <w:tcW w:w="1190" w:type="dxa"/>
          </w:tcPr>
          <w:p>
            <w:pPr>
              <w:pStyle w:val="TableParagraph"/>
              <w:spacing w:before="12"/>
              <w:rPr>
                <w:sz w:val="16"/>
              </w:rPr>
            </w:pPr>
          </w:p>
          <w:p>
            <w:pPr>
              <w:pStyle w:val="TableParagraph"/>
              <w:ind w:right="33"/>
              <w:jc w:val="right"/>
              <w:rPr>
                <w:sz w:val="21"/>
              </w:rPr>
            </w:pPr>
            <w:r>
              <w:rPr>
                <w:rFonts w:ascii="Times New Roman" w:hAnsi="Times New Roman"/>
                <w:sz w:val="21"/>
              </w:rPr>
              <w:t>40mg/m</w:t>
            </w:r>
            <w:r>
              <w:rPr>
                <w:sz w:val="21"/>
              </w:rPr>
              <w:t>³</w:t>
            </w:r>
          </w:p>
        </w:tc>
        <w:tc>
          <w:tcPr>
            <w:tcW w:w="957" w:type="dxa"/>
          </w:tcPr>
          <w:p>
            <w:pPr>
              <w:pStyle w:val="TableParagraph"/>
              <w:rPr>
                <w:sz w:val="18"/>
              </w:rPr>
            </w:pPr>
          </w:p>
          <w:p>
            <w:pPr>
              <w:pStyle w:val="TableParagraph"/>
              <w:ind w:right="30"/>
              <w:jc w:val="right"/>
              <w:rPr>
                <w:rFonts w:ascii="Times New Roman"/>
                <w:sz w:val="21"/>
              </w:rPr>
            </w:pPr>
            <w:r>
              <w:rPr>
                <w:rFonts w:ascii="Times New Roman"/>
                <w:sz w:val="21"/>
              </w:rPr>
              <w:t>54.8</w:t>
            </w:r>
          </w:p>
        </w:tc>
        <w:tc>
          <w:tcPr>
            <w:tcW w:w="1473" w:type="dxa"/>
          </w:tcPr>
          <w:p>
            <w:pPr>
              <w:pStyle w:val="TableParagraph"/>
              <w:rPr>
                <w:sz w:val="18"/>
              </w:rPr>
            </w:pPr>
          </w:p>
          <w:p>
            <w:pPr>
              <w:pStyle w:val="TableParagraph"/>
              <w:ind w:right="30"/>
              <w:jc w:val="right"/>
              <w:rPr>
                <w:rFonts w:ascii="Times New Roman"/>
                <w:sz w:val="21"/>
              </w:rPr>
            </w:pPr>
            <w:r>
              <w:rPr>
                <w:rFonts w:ascii="Times New Roman"/>
                <w:w w:val="100"/>
                <w:sz w:val="21"/>
              </w:rPr>
              <w:t>/</w:t>
            </w:r>
          </w:p>
        </w:tc>
        <w:tc>
          <w:tcPr>
            <w:tcW w:w="1756" w:type="dxa"/>
          </w:tcPr>
          <w:p>
            <w:pPr>
              <w:pStyle w:val="TableParagraph"/>
              <w:spacing w:before="12"/>
              <w:rPr>
                <w:sz w:val="16"/>
              </w:rPr>
            </w:pPr>
          </w:p>
          <w:p>
            <w:pPr>
              <w:pStyle w:val="TableParagraph"/>
              <w:ind w:left="352"/>
              <w:rPr>
                <w:sz w:val="21"/>
              </w:rPr>
            </w:pPr>
            <w:r>
              <w:rPr>
                <w:sz w:val="21"/>
              </w:rPr>
              <w:t>有组织排放</w:t>
            </w:r>
          </w:p>
        </w:tc>
        <w:tc>
          <w:tcPr>
            <w:tcW w:w="768" w:type="dxa"/>
          </w:tcPr>
          <w:p>
            <w:pPr>
              <w:pStyle w:val="TableParagraph"/>
              <w:rPr>
                <w:sz w:val="18"/>
              </w:rPr>
            </w:pPr>
          </w:p>
          <w:p>
            <w:pPr>
              <w:pStyle w:val="TableParagraph"/>
              <w:ind w:right="213"/>
              <w:jc w:val="right"/>
              <w:rPr>
                <w:rFonts w:ascii="Times New Roman"/>
                <w:sz w:val="21"/>
              </w:rPr>
            </w:pPr>
            <w:r>
              <w:rPr>
                <w:rFonts w:ascii="Times New Roman"/>
                <w:sz w:val="21"/>
              </w:rPr>
              <w:t>131</w:t>
            </w:r>
          </w:p>
        </w:tc>
        <w:tc>
          <w:tcPr>
            <w:tcW w:w="1264" w:type="dxa"/>
          </w:tcPr>
          <w:p>
            <w:pPr>
              <w:pStyle w:val="TableParagraph"/>
              <w:spacing w:line="320" w:lineRule="exact"/>
              <w:ind w:left="317" w:right="63" w:hanging="236"/>
              <w:rPr>
                <w:sz w:val="21"/>
              </w:rPr>
            </w:pPr>
            <w:r>
              <w:rPr>
                <w:rFonts w:ascii="Times New Roman" w:eastAsia="Times New Roman"/>
                <w:spacing w:val="-3"/>
                <w:sz w:val="21"/>
              </w:rPr>
              <w:t>CNC</w:t>
            </w:r>
            <w:r>
              <w:rPr>
                <w:rFonts w:ascii="Times New Roman" w:eastAsia="Times New Roman"/>
                <w:spacing w:val="-10"/>
                <w:sz w:val="21"/>
              </w:rPr>
              <w:t> </w:t>
            </w:r>
            <w:r>
              <w:rPr>
                <w:spacing w:val="-2"/>
                <w:sz w:val="21"/>
              </w:rPr>
              <w:t>加工、</w:t>
            </w:r>
            <w:r>
              <w:rPr>
                <w:sz w:val="21"/>
              </w:rPr>
              <w:t>点胶等</w:t>
            </w:r>
          </w:p>
        </w:tc>
        <w:tc>
          <w:tcPr>
            <w:tcW w:w="1254" w:type="dxa"/>
          </w:tcPr>
          <w:p>
            <w:pPr>
              <w:pStyle w:val="TableParagraph"/>
              <w:spacing w:before="12"/>
              <w:rPr>
                <w:sz w:val="16"/>
              </w:rPr>
            </w:pPr>
          </w:p>
          <w:p>
            <w:pPr>
              <w:pStyle w:val="TableParagraph"/>
              <w:ind w:left="104"/>
              <w:rPr>
                <w:sz w:val="21"/>
              </w:rPr>
            </w:pPr>
            <w:r>
              <w:rPr>
                <w:sz w:val="21"/>
              </w:rPr>
              <w:t>无超标排放</w:t>
            </w:r>
          </w:p>
        </w:tc>
      </w:tr>
      <w:tr>
        <w:trPr>
          <w:trHeight w:val="333" w:hRule="atLeast"/>
        </w:trPr>
        <w:tc>
          <w:tcPr>
            <w:tcW w:w="1508" w:type="dxa"/>
            <w:vMerge/>
            <w:tcBorders>
              <w:top w:val="nil"/>
            </w:tcBorders>
          </w:tcPr>
          <w:p>
            <w:pPr>
              <w:rPr>
                <w:sz w:val="2"/>
                <w:szCs w:val="2"/>
              </w:rPr>
            </w:pPr>
          </w:p>
        </w:tc>
        <w:tc>
          <w:tcPr>
            <w:tcW w:w="576" w:type="dxa"/>
            <w:vMerge/>
            <w:tcBorders>
              <w:top w:val="nil"/>
            </w:tcBorders>
          </w:tcPr>
          <w:p>
            <w:pPr>
              <w:rPr>
                <w:sz w:val="2"/>
                <w:szCs w:val="2"/>
              </w:rPr>
            </w:pPr>
          </w:p>
        </w:tc>
        <w:tc>
          <w:tcPr>
            <w:tcW w:w="1411" w:type="dxa"/>
          </w:tcPr>
          <w:p>
            <w:pPr>
              <w:pStyle w:val="TableParagraph"/>
              <w:spacing w:line="259" w:lineRule="exact" w:before="54"/>
              <w:ind w:left="385"/>
              <w:rPr>
                <w:sz w:val="21"/>
              </w:rPr>
            </w:pPr>
            <w:r>
              <w:rPr>
                <w:sz w:val="21"/>
              </w:rPr>
              <w:t>颗粒物</w:t>
            </w:r>
          </w:p>
        </w:tc>
        <w:tc>
          <w:tcPr>
            <w:tcW w:w="1594" w:type="dxa"/>
          </w:tcPr>
          <w:p>
            <w:pPr>
              <w:pStyle w:val="TableParagraph"/>
              <w:spacing w:line="259" w:lineRule="exact" w:before="54"/>
              <w:ind w:right="36"/>
              <w:jc w:val="right"/>
              <w:rPr>
                <w:sz w:val="21"/>
              </w:rPr>
            </w:pPr>
            <w:r>
              <w:rPr>
                <w:rFonts w:ascii="Times New Roman" w:hAnsi="Times New Roman"/>
                <w:sz w:val="21"/>
              </w:rPr>
              <w:t>6.075-9.75mg/m</w:t>
            </w:r>
            <w:r>
              <w:rPr>
                <w:sz w:val="21"/>
              </w:rPr>
              <w:t>³</w:t>
            </w:r>
          </w:p>
        </w:tc>
        <w:tc>
          <w:tcPr>
            <w:tcW w:w="1190" w:type="dxa"/>
          </w:tcPr>
          <w:p>
            <w:pPr>
              <w:pStyle w:val="TableParagraph"/>
              <w:spacing w:line="259" w:lineRule="exact" w:before="54"/>
              <w:ind w:right="35"/>
              <w:jc w:val="right"/>
              <w:rPr>
                <w:sz w:val="21"/>
              </w:rPr>
            </w:pPr>
            <w:r>
              <w:rPr>
                <w:rFonts w:ascii="Times New Roman" w:hAnsi="Times New Roman"/>
                <w:sz w:val="21"/>
              </w:rPr>
              <w:t>120mg/m</w:t>
            </w:r>
            <w:r>
              <w:rPr>
                <w:sz w:val="21"/>
              </w:rPr>
              <w:t>³</w:t>
            </w:r>
          </w:p>
        </w:tc>
        <w:tc>
          <w:tcPr>
            <w:tcW w:w="957" w:type="dxa"/>
          </w:tcPr>
          <w:p>
            <w:pPr>
              <w:pStyle w:val="TableParagraph"/>
              <w:spacing w:before="67"/>
              <w:ind w:right="30"/>
              <w:jc w:val="right"/>
              <w:rPr>
                <w:rFonts w:ascii="Times New Roman"/>
                <w:sz w:val="21"/>
              </w:rPr>
            </w:pPr>
            <w:r>
              <w:rPr>
                <w:rFonts w:ascii="Times New Roman"/>
                <w:sz w:val="21"/>
              </w:rPr>
              <w:t>3.25</w:t>
            </w:r>
          </w:p>
        </w:tc>
        <w:tc>
          <w:tcPr>
            <w:tcW w:w="1473" w:type="dxa"/>
          </w:tcPr>
          <w:p>
            <w:pPr>
              <w:pStyle w:val="TableParagraph"/>
              <w:spacing w:before="67"/>
              <w:ind w:right="30"/>
              <w:jc w:val="right"/>
              <w:rPr>
                <w:rFonts w:ascii="Times New Roman"/>
                <w:sz w:val="21"/>
              </w:rPr>
            </w:pPr>
            <w:r>
              <w:rPr>
                <w:rFonts w:ascii="Times New Roman"/>
                <w:w w:val="100"/>
                <w:sz w:val="21"/>
              </w:rPr>
              <w:t>/</w:t>
            </w:r>
          </w:p>
        </w:tc>
        <w:tc>
          <w:tcPr>
            <w:tcW w:w="1756" w:type="dxa"/>
          </w:tcPr>
          <w:p>
            <w:pPr>
              <w:pStyle w:val="TableParagraph"/>
              <w:spacing w:line="259" w:lineRule="exact" w:before="54"/>
              <w:ind w:left="352"/>
              <w:rPr>
                <w:sz w:val="21"/>
              </w:rPr>
            </w:pPr>
            <w:r>
              <w:rPr>
                <w:sz w:val="21"/>
              </w:rPr>
              <w:t>有组织排放</w:t>
            </w:r>
          </w:p>
        </w:tc>
        <w:tc>
          <w:tcPr>
            <w:tcW w:w="768" w:type="dxa"/>
          </w:tcPr>
          <w:p>
            <w:pPr>
              <w:pStyle w:val="TableParagraph"/>
              <w:spacing w:before="67"/>
              <w:ind w:right="266"/>
              <w:jc w:val="right"/>
              <w:rPr>
                <w:rFonts w:ascii="Times New Roman"/>
                <w:sz w:val="21"/>
              </w:rPr>
            </w:pPr>
            <w:r>
              <w:rPr>
                <w:rFonts w:ascii="Times New Roman"/>
                <w:sz w:val="21"/>
              </w:rPr>
              <w:t>10</w:t>
            </w:r>
          </w:p>
        </w:tc>
        <w:tc>
          <w:tcPr>
            <w:tcW w:w="1264" w:type="dxa"/>
          </w:tcPr>
          <w:p>
            <w:pPr>
              <w:pStyle w:val="TableParagraph"/>
              <w:spacing w:line="264" w:lineRule="exact" w:before="49"/>
              <w:ind w:left="317"/>
              <w:rPr>
                <w:sz w:val="21"/>
              </w:rPr>
            </w:pPr>
            <w:r>
              <w:rPr>
                <w:sz w:val="21"/>
              </w:rPr>
              <w:t>喷砂等</w:t>
            </w:r>
          </w:p>
        </w:tc>
        <w:tc>
          <w:tcPr>
            <w:tcW w:w="1254" w:type="dxa"/>
          </w:tcPr>
          <w:p>
            <w:pPr>
              <w:pStyle w:val="TableParagraph"/>
              <w:spacing w:line="259" w:lineRule="exact" w:before="54"/>
              <w:ind w:left="104"/>
              <w:rPr>
                <w:sz w:val="21"/>
              </w:rPr>
            </w:pPr>
            <w:r>
              <w:rPr>
                <w:sz w:val="21"/>
              </w:rPr>
              <w:t>无超标排放</w:t>
            </w:r>
          </w:p>
        </w:tc>
      </w:tr>
      <w:tr>
        <w:trPr>
          <w:trHeight w:val="640" w:hRule="atLeast"/>
        </w:trPr>
        <w:tc>
          <w:tcPr>
            <w:tcW w:w="1508" w:type="dxa"/>
            <w:vMerge/>
            <w:tcBorders>
              <w:top w:val="nil"/>
            </w:tcBorders>
          </w:tcPr>
          <w:p>
            <w:pPr>
              <w:rPr>
                <w:sz w:val="2"/>
                <w:szCs w:val="2"/>
              </w:rPr>
            </w:pPr>
          </w:p>
        </w:tc>
        <w:tc>
          <w:tcPr>
            <w:tcW w:w="576" w:type="dxa"/>
            <w:vMerge/>
            <w:tcBorders>
              <w:top w:val="nil"/>
            </w:tcBorders>
          </w:tcPr>
          <w:p>
            <w:pPr>
              <w:rPr>
                <w:sz w:val="2"/>
                <w:szCs w:val="2"/>
              </w:rPr>
            </w:pPr>
          </w:p>
        </w:tc>
        <w:tc>
          <w:tcPr>
            <w:tcW w:w="1411" w:type="dxa"/>
          </w:tcPr>
          <w:p>
            <w:pPr>
              <w:pStyle w:val="TableParagraph"/>
              <w:spacing w:before="2"/>
              <w:rPr>
                <w:sz w:val="16"/>
              </w:rPr>
            </w:pPr>
          </w:p>
          <w:p>
            <w:pPr>
              <w:pStyle w:val="TableParagraph"/>
              <w:ind w:left="385"/>
              <w:rPr>
                <w:sz w:val="21"/>
              </w:rPr>
            </w:pPr>
            <w:r>
              <w:rPr>
                <w:sz w:val="21"/>
              </w:rPr>
              <w:t>硫酸雾</w:t>
            </w:r>
          </w:p>
        </w:tc>
        <w:tc>
          <w:tcPr>
            <w:tcW w:w="1594" w:type="dxa"/>
          </w:tcPr>
          <w:p>
            <w:pPr>
              <w:pStyle w:val="TableParagraph"/>
              <w:spacing w:before="3"/>
              <w:rPr>
                <w:sz w:val="17"/>
              </w:rPr>
            </w:pPr>
          </w:p>
          <w:p>
            <w:pPr>
              <w:pStyle w:val="TableParagraph"/>
              <w:ind w:left="622" w:right="617"/>
              <w:jc w:val="center"/>
              <w:rPr>
                <w:rFonts w:ascii="Times New Roman"/>
                <w:sz w:val="21"/>
              </w:rPr>
            </w:pPr>
            <w:r>
              <w:rPr>
                <w:rFonts w:ascii="Times New Roman"/>
                <w:sz w:val="21"/>
              </w:rPr>
              <w:t>ND</w:t>
            </w:r>
          </w:p>
        </w:tc>
        <w:tc>
          <w:tcPr>
            <w:tcW w:w="1190" w:type="dxa"/>
          </w:tcPr>
          <w:p>
            <w:pPr>
              <w:pStyle w:val="TableParagraph"/>
              <w:spacing w:before="2"/>
              <w:rPr>
                <w:sz w:val="16"/>
              </w:rPr>
            </w:pPr>
          </w:p>
          <w:p>
            <w:pPr>
              <w:pStyle w:val="TableParagraph"/>
              <w:ind w:right="33"/>
              <w:jc w:val="right"/>
              <w:rPr>
                <w:sz w:val="21"/>
              </w:rPr>
            </w:pPr>
            <w:r>
              <w:rPr>
                <w:rFonts w:ascii="Times New Roman" w:hAnsi="Times New Roman"/>
                <w:sz w:val="21"/>
              </w:rPr>
              <w:t>30mg/m</w:t>
            </w:r>
            <w:r>
              <w:rPr>
                <w:sz w:val="21"/>
              </w:rPr>
              <w:t>³</w:t>
            </w:r>
          </w:p>
        </w:tc>
        <w:tc>
          <w:tcPr>
            <w:tcW w:w="957" w:type="dxa"/>
          </w:tcPr>
          <w:p>
            <w:pPr>
              <w:pStyle w:val="TableParagraph"/>
              <w:spacing w:before="3"/>
              <w:rPr>
                <w:sz w:val="17"/>
              </w:rPr>
            </w:pPr>
          </w:p>
          <w:p>
            <w:pPr>
              <w:pStyle w:val="TableParagraph"/>
              <w:ind w:right="32"/>
              <w:jc w:val="right"/>
              <w:rPr>
                <w:rFonts w:ascii="Times New Roman"/>
                <w:sz w:val="21"/>
              </w:rPr>
            </w:pPr>
            <w:r>
              <w:rPr>
                <w:rFonts w:ascii="Times New Roman"/>
                <w:w w:val="100"/>
                <w:sz w:val="21"/>
              </w:rPr>
              <w:t>0</w:t>
            </w:r>
          </w:p>
        </w:tc>
        <w:tc>
          <w:tcPr>
            <w:tcW w:w="1473" w:type="dxa"/>
          </w:tcPr>
          <w:p>
            <w:pPr>
              <w:pStyle w:val="TableParagraph"/>
              <w:spacing w:before="3"/>
              <w:rPr>
                <w:sz w:val="17"/>
              </w:rPr>
            </w:pPr>
          </w:p>
          <w:p>
            <w:pPr>
              <w:pStyle w:val="TableParagraph"/>
              <w:ind w:right="30"/>
              <w:jc w:val="right"/>
              <w:rPr>
                <w:rFonts w:ascii="Times New Roman"/>
                <w:sz w:val="21"/>
              </w:rPr>
            </w:pPr>
            <w:r>
              <w:rPr>
                <w:rFonts w:ascii="Times New Roman"/>
                <w:w w:val="100"/>
                <w:sz w:val="21"/>
              </w:rPr>
              <w:t>/</w:t>
            </w:r>
          </w:p>
        </w:tc>
        <w:tc>
          <w:tcPr>
            <w:tcW w:w="1756" w:type="dxa"/>
          </w:tcPr>
          <w:p>
            <w:pPr>
              <w:pStyle w:val="TableParagraph"/>
              <w:spacing w:before="46"/>
              <w:ind w:left="352"/>
              <w:rPr>
                <w:sz w:val="21"/>
              </w:rPr>
            </w:pPr>
            <w:r>
              <w:rPr>
                <w:sz w:val="21"/>
              </w:rPr>
              <w:t>有组织排放</w:t>
            </w:r>
          </w:p>
        </w:tc>
        <w:tc>
          <w:tcPr>
            <w:tcW w:w="768" w:type="dxa"/>
          </w:tcPr>
          <w:p>
            <w:pPr>
              <w:pStyle w:val="TableParagraph"/>
              <w:spacing w:before="60"/>
              <w:ind w:left="10"/>
              <w:jc w:val="center"/>
              <w:rPr>
                <w:rFonts w:ascii="Times New Roman"/>
                <w:sz w:val="21"/>
              </w:rPr>
            </w:pPr>
            <w:r>
              <w:rPr>
                <w:rFonts w:ascii="Times New Roman"/>
                <w:w w:val="100"/>
                <w:sz w:val="21"/>
              </w:rPr>
              <w:t>6</w:t>
            </w:r>
          </w:p>
        </w:tc>
        <w:tc>
          <w:tcPr>
            <w:tcW w:w="1264" w:type="dxa"/>
          </w:tcPr>
          <w:p>
            <w:pPr>
              <w:pStyle w:val="TableParagraph"/>
              <w:spacing w:before="46"/>
              <w:ind w:left="90" w:right="73"/>
              <w:jc w:val="center"/>
              <w:rPr>
                <w:sz w:val="21"/>
              </w:rPr>
            </w:pPr>
            <w:r>
              <w:rPr>
                <w:sz w:val="21"/>
              </w:rPr>
              <w:t>阳极、退镀</w:t>
            </w:r>
          </w:p>
          <w:p>
            <w:pPr>
              <w:pStyle w:val="TableParagraph"/>
              <w:spacing w:line="252" w:lineRule="exact" w:before="53"/>
              <w:ind w:left="14"/>
              <w:jc w:val="center"/>
              <w:rPr>
                <w:sz w:val="21"/>
              </w:rPr>
            </w:pPr>
            <w:r>
              <w:rPr>
                <w:w w:val="100"/>
                <w:sz w:val="21"/>
              </w:rPr>
              <w:t>等</w:t>
            </w:r>
          </w:p>
        </w:tc>
        <w:tc>
          <w:tcPr>
            <w:tcW w:w="1254" w:type="dxa"/>
          </w:tcPr>
          <w:p>
            <w:pPr>
              <w:pStyle w:val="TableParagraph"/>
              <w:spacing w:before="2"/>
              <w:rPr>
                <w:sz w:val="16"/>
              </w:rPr>
            </w:pPr>
          </w:p>
          <w:p>
            <w:pPr>
              <w:pStyle w:val="TableParagraph"/>
              <w:ind w:left="104"/>
              <w:rPr>
                <w:sz w:val="21"/>
              </w:rPr>
            </w:pPr>
            <w:r>
              <w:rPr>
                <w:sz w:val="21"/>
              </w:rPr>
              <w:t>无超标排放</w:t>
            </w:r>
          </w:p>
        </w:tc>
      </w:tr>
    </w:tbl>
    <w:p>
      <w:pPr>
        <w:spacing w:after="0"/>
        <w:rPr>
          <w:sz w:val="21"/>
        </w:rPr>
        <w:sectPr>
          <w:pgSz w:w="16840" w:h="11910" w:orient="landscape"/>
          <w:pgMar w:header="877" w:footer="1195" w:top="1180" w:bottom="1380" w:left="1340" w:right="1400"/>
        </w:sectPr>
      </w:pPr>
    </w:p>
    <w:p>
      <w:pPr>
        <w:pStyle w:val="BodyText"/>
        <w:spacing w:line="242" w:lineRule="auto" w:before="68" w:after="3"/>
        <w:ind w:left="1158" w:right="549" w:firstLine="419"/>
      </w:pPr>
      <w:r>
        <w:rPr>
          <w:spacing w:val="-7"/>
        </w:rPr>
        <w:t>报告期内，本公司共 </w:t>
      </w:r>
      <w:r>
        <w:rPr>
          <w:rFonts w:ascii="Times New Roman" w:eastAsia="Times New Roman"/>
        </w:rPr>
        <w:t>9</w:t>
      </w:r>
      <w:r>
        <w:rPr>
          <w:rFonts w:ascii="Times New Roman" w:eastAsia="Times New Roman"/>
          <w:spacing w:val="-12"/>
        </w:rPr>
        <w:t> </w:t>
      </w:r>
      <w:r>
        <w:rPr/>
        <w:t>家子公司被纳入「固体废物及危险废物环境」与「土壤环境」重点排污单位名录，公司委托具有资质且在处理能力范围内的危险废物处理厂商根据有关规定进行处</w:t>
      </w:r>
      <w:r>
        <w:rPr>
          <w:spacing w:val="1"/>
        </w:rPr>
        <w:t> </w:t>
      </w:r>
      <w:r>
        <w:rPr/>
        <w:t>理，相关处置信息如下表：</w:t>
      </w:r>
    </w:p>
    <w:tbl>
      <w:tblPr>
        <w:tblW w:w="0" w:type="auto"/>
        <w:jc w:val="left"/>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95"/>
        <w:gridCol w:w="2549"/>
        <w:gridCol w:w="2446"/>
      </w:tblGrid>
      <w:tr>
        <w:trPr>
          <w:trHeight w:val="270" w:hRule="atLeast"/>
        </w:trPr>
        <w:tc>
          <w:tcPr>
            <w:tcW w:w="3195" w:type="dxa"/>
          </w:tcPr>
          <w:p>
            <w:pPr>
              <w:pStyle w:val="TableParagraph"/>
              <w:spacing w:line="250" w:lineRule="exact" w:before="1"/>
              <w:ind w:left="1144"/>
              <w:rPr>
                <w:sz w:val="21"/>
              </w:rPr>
            </w:pPr>
            <w:r>
              <w:rPr>
                <w:sz w:val="21"/>
              </w:rPr>
              <w:t>子公司名称</w:t>
            </w:r>
          </w:p>
        </w:tc>
        <w:tc>
          <w:tcPr>
            <w:tcW w:w="2549" w:type="dxa"/>
          </w:tcPr>
          <w:p>
            <w:pPr>
              <w:pStyle w:val="TableParagraph"/>
              <w:spacing w:line="250" w:lineRule="exact" w:before="1"/>
              <w:ind w:left="413" w:right="406"/>
              <w:jc w:val="center"/>
              <w:rPr>
                <w:sz w:val="21"/>
              </w:rPr>
            </w:pPr>
            <w:r>
              <w:rPr>
                <w:sz w:val="21"/>
              </w:rPr>
              <w:t>重点排污单位类别</w:t>
            </w:r>
          </w:p>
        </w:tc>
        <w:tc>
          <w:tcPr>
            <w:tcW w:w="2446" w:type="dxa"/>
          </w:tcPr>
          <w:p>
            <w:pPr>
              <w:pStyle w:val="TableParagraph"/>
              <w:spacing w:line="250" w:lineRule="exact" w:before="1"/>
              <w:ind w:left="103"/>
              <w:rPr>
                <w:rFonts w:ascii="Times New Roman" w:eastAsia="Times New Roman"/>
                <w:sz w:val="21"/>
              </w:rPr>
            </w:pPr>
            <w:r>
              <w:rPr>
                <w:spacing w:val="-1"/>
                <w:sz w:val="21"/>
              </w:rPr>
              <w:t>本期危险废物处置量</w:t>
            </w:r>
            <w:r>
              <w:rPr>
                <w:rFonts w:ascii="Times New Roman" w:eastAsia="Times New Roman"/>
                <w:sz w:val="21"/>
              </w:rPr>
              <w:t>(</w:t>
            </w:r>
            <w:r>
              <w:rPr>
                <w:sz w:val="21"/>
              </w:rPr>
              <w:t>吨</w:t>
            </w:r>
            <w:r>
              <w:rPr>
                <w:rFonts w:ascii="Times New Roman" w:eastAsia="Times New Roman"/>
                <w:sz w:val="21"/>
              </w:rPr>
              <w:t>)</w:t>
            </w:r>
          </w:p>
        </w:tc>
      </w:tr>
      <w:tr>
        <w:trPr>
          <w:trHeight w:val="273" w:hRule="atLeast"/>
        </w:trPr>
        <w:tc>
          <w:tcPr>
            <w:tcW w:w="3195" w:type="dxa"/>
          </w:tcPr>
          <w:p>
            <w:pPr>
              <w:pStyle w:val="TableParagraph"/>
              <w:spacing w:line="250" w:lineRule="exact" w:before="3"/>
              <w:ind w:left="57"/>
              <w:rPr>
                <w:sz w:val="21"/>
              </w:rPr>
            </w:pPr>
            <w:r>
              <w:rPr>
                <w:sz w:val="21"/>
              </w:rPr>
              <w:t>富联精密电子（天津）有限公司</w:t>
            </w:r>
          </w:p>
        </w:tc>
        <w:tc>
          <w:tcPr>
            <w:tcW w:w="2549" w:type="dxa"/>
          </w:tcPr>
          <w:p>
            <w:pPr>
              <w:pStyle w:val="TableParagraph"/>
              <w:spacing w:line="250" w:lineRule="exact" w:before="3"/>
              <w:ind w:left="412" w:right="406"/>
              <w:jc w:val="center"/>
              <w:rPr>
                <w:sz w:val="21"/>
              </w:rPr>
            </w:pPr>
            <w:r>
              <w:rPr>
                <w:sz w:val="21"/>
              </w:rPr>
              <w:t>土壤环境</w:t>
            </w:r>
          </w:p>
        </w:tc>
        <w:tc>
          <w:tcPr>
            <w:tcW w:w="2446" w:type="dxa"/>
          </w:tcPr>
          <w:p>
            <w:pPr>
              <w:pStyle w:val="TableParagraph"/>
              <w:spacing w:before="10"/>
              <w:ind w:left="1082"/>
              <w:rPr>
                <w:rFonts w:ascii="Times New Roman"/>
                <w:sz w:val="21"/>
              </w:rPr>
            </w:pPr>
            <w:r>
              <w:rPr>
                <w:rFonts w:ascii="Times New Roman"/>
                <w:sz w:val="21"/>
              </w:rPr>
              <w:t>563.54</w:t>
            </w:r>
          </w:p>
        </w:tc>
      </w:tr>
      <w:tr>
        <w:trPr>
          <w:trHeight w:val="273" w:hRule="atLeast"/>
        </w:trPr>
        <w:tc>
          <w:tcPr>
            <w:tcW w:w="3195" w:type="dxa"/>
          </w:tcPr>
          <w:p>
            <w:pPr>
              <w:pStyle w:val="TableParagraph"/>
              <w:spacing w:line="252" w:lineRule="exact" w:before="1"/>
              <w:ind w:left="57"/>
              <w:rPr>
                <w:sz w:val="21"/>
              </w:rPr>
            </w:pPr>
            <w:r>
              <w:rPr>
                <w:sz w:val="21"/>
              </w:rPr>
              <w:t>富联精密电子（郑州）有限公司</w:t>
            </w:r>
          </w:p>
        </w:tc>
        <w:tc>
          <w:tcPr>
            <w:tcW w:w="2549" w:type="dxa"/>
          </w:tcPr>
          <w:p>
            <w:pPr>
              <w:pStyle w:val="TableParagraph"/>
              <w:spacing w:line="252" w:lineRule="exact" w:before="1"/>
              <w:ind w:left="412" w:right="406"/>
              <w:jc w:val="center"/>
              <w:rPr>
                <w:sz w:val="21"/>
              </w:rPr>
            </w:pPr>
            <w:r>
              <w:rPr>
                <w:sz w:val="21"/>
              </w:rPr>
              <w:t>土壤环境</w:t>
            </w:r>
          </w:p>
        </w:tc>
        <w:tc>
          <w:tcPr>
            <w:tcW w:w="2446" w:type="dxa"/>
          </w:tcPr>
          <w:p>
            <w:pPr>
              <w:pStyle w:val="TableParagraph"/>
              <w:spacing w:before="10"/>
              <w:ind w:left="926"/>
              <w:rPr>
                <w:rFonts w:ascii="Times New Roman"/>
                <w:sz w:val="21"/>
              </w:rPr>
            </w:pPr>
            <w:r>
              <w:rPr>
                <w:rFonts w:ascii="Times New Roman"/>
                <w:sz w:val="21"/>
              </w:rPr>
              <w:t>3,464.83</w:t>
            </w:r>
          </w:p>
        </w:tc>
      </w:tr>
      <w:tr>
        <w:trPr>
          <w:trHeight w:val="270" w:hRule="atLeast"/>
        </w:trPr>
        <w:tc>
          <w:tcPr>
            <w:tcW w:w="3195" w:type="dxa"/>
          </w:tcPr>
          <w:p>
            <w:pPr>
              <w:pStyle w:val="TableParagraph"/>
              <w:spacing w:line="250" w:lineRule="exact" w:before="1"/>
              <w:ind w:left="57"/>
              <w:rPr>
                <w:sz w:val="21"/>
              </w:rPr>
            </w:pPr>
            <w:r>
              <w:rPr>
                <w:spacing w:val="-1"/>
                <w:sz w:val="21"/>
              </w:rPr>
              <w:t>富联科技</w:t>
            </w:r>
            <w:r>
              <w:rPr>
                <w:sz w:val="21"/>
              </w:rPr>
              <w:t>（济源）有限公司</w:t>
            </w:r>
          </w:p>
        </w:tc>
        <w:tc>
          <w:tcPr>
            <w:tcW w:w="2549" w:type="dxa"/>
          </w:tcPr>
          <w:p>
            <w:pPr>
              <w:pStyle w:val="TableParagraph"/>
              <w:spacing w:line="250" w:lineRule="exact" w:before="1"/>
              <w:ind w:left="412" w:right="406"/>
              <w:jc w:val="center"/>
              <w:rPr>
                <w:sz w:val="21"/>
              </w:rPr>
            </w:pPr>
            <w:r>
              <w:rPr>
                <w:sz w:val="21"/>
              </w:rPr>
              <w:t>土壤环境</w:t>
            </w:r>
          </w:p>
        </w:tc>
        <w:tc>
          <w:tcPr>
            <w:tcW w:w="2446" w:type="dxa"/>
          </w:tcPr>
          <w:p>
            <w:pPr>
              <w:pStyle w:val="TableParagraph"/>
              <w:spacing w:before="7"/>
              <w:ind w:left="926"/>
              <w:rPr>
                <w:rFonts w:ascii="Times New Roman"/>
                <w:sz w:val="21"/>
              </w:rPr>
            </w:pPr>
            <w:r>
              <w:rPr>
                <w:rFonts w:ascii="Times New Roman"/>
                <w:sz w:val="21"/>
              </w:rPr>
              <w:t>6,105.10</w:t>
            </w:r>
          </w:p>
        </w:tc>
      </w:tr>
      <w:tr>
        <w:trPr>
          <w:trHeight w:val="273" w:hRule="atLeast"/>
        </w:trPr>
        <w:tc>
          <w:tcPr>
            <w:tcW w:w="3195" w:type="dxa"/>
          </w:tcPr>
          <w:p>
            <w:pPr>
              <w:pStyle w:val="TableParagraph"/>
              <w:spacing w:line="250" w:lineRule="exact" w:before="3"/>
              <w:ind w:left="57"/>
              <w:rPr>
                <w:sz w:val="21"/>
              </w:rPr>
            </w:pPr>
            <w:r>
              <w:rPr>
                <w:sz w:val="21"/>
              </w:rPr>
              <w:t>富联裕展科技（河南）有限公司</w:t>
            </w:r>
          </w:p>
        </w:tc>
        <w:tc>
          <w:tcPr>
            <w:tcW w:w="2549" w:type="dxa"/>
          </w:tcPr>
          <w:p>
            <w:pPr>
              <w:pStyle w:val="TableParagraph"/>
              <w:spacing w:line="250" w:lineRule="exact" w:before="3"/>
              <w:ind w:left="412" w:right="406"/>
              <w:jc w:val="center"/>
              <w:rPr>
                <w:sz w:val="21"/>
              </w:rPr>
            </w:pPr>
            <w:r>
              <w:rPr>
                <w:sz w:val="21"/>
              </w:rPr>
              <w:t>土壤环境</w:t>
            </w:r>
          </w:p>
        </w:tc>
        <w:tc>
          <w:tcPr>
            <w:tcW w:w="2446" w:type="dxa"/>
          </w:tcPr>
          <w:p>
            <w:pPr>
              <w:pStyle w:val="TableParagraph"/>
              <w:spacing w:before="10"/>
              <w:ind w:left="926"/>
              <w:rPr>
                <w:rFonts w:ascii="Times New Roman"/>
                <w:sz w:val="21"/>
              </w:rPr>
            </w:pPr>
            <w:r>
              <w:rPr>
                <w:rFonts w:ascii="Times New Roman"/>
                <w:sz w:val="21"/>
              </w:rPr>
              <w:t>4,215.11</w:t>
            </w:r>
          </w:p>
        </w:tc>
      </w:tr>
      <w:tr>
        <w:trPr>
          <w:trHeight w:val="273" w:hRule="atLeast"/>
        </w:trPr>
        <w:tc>
          <w:tcPr>
            <w:tcW w:w="3195" w:type="dxa"/>
          </w:tcPr>
          <w:p>
            <w:pPr>
              <w:pStyle w:val="TableParagraph"/>
              <w:spacing w:line="252" w:lineRule="exact" w:before="1"/>
              <w:ind w:left="57"/>
              <w:rPr>
                <w:sz w:val="21"/>
              </w:rPr>
            </w:pPr>
            <w:r>
              <w:rPr>
                <w:spacing w:val="-1"/>
                <w:sz w:val="21"/>
              </w:rPr>
              <w:t>富联科技</w:t>
            </w:r>
            <w:r>
              <w:rPr>
                <w:sz w:val="21"/>
              </w:rPr>
              <w:t>（晋城）有限公司</w:t>
            </w:r>
          </w:p>
        </w:tc>
        <w:tc>
          <w:tcPr>
            <w:tcW w:w="2549" w:type="dxa"/>
          </w:tcPr>
          <w:p>
            <w:pPr>
              <w:pStyle w:val="TableParagraph"/>
              <w:spacing w:line="252" w:lineRule="exact" w:before="1"/>
              <w:ind w:left="412" w:right="406"/>
              <w:jc w:val="center"/>
              <w:rPr>
                <w:sz w:val="21"/>
              </w:rPr>
            </w:pPr>
            <w:r>
              <w:rPr>
                <w:sz w:val="21"/>
              </w:rPr>
              <w:t>土壤环境</w:t>
            </w:r>
          </w:p>
        </w:tc>
        <w:tc>
          <w:tcPr>
            <w:tcW w:w="2446" w:type="dxa"/>
          </w:tcPr>
          <w:p>
            <w:pPr>
              <w:pStyle w:val="TableParagraph"/>
              <w:spacing w:line="235" w:lineRule="exact"/>
              <w:ind w:left="926"/>
              <w:rPr>
                <w:rFonts w:ascii="Times New Roman"/>
                <w:sz w:val="21"/>
              </w:rPr>
            </w:pPr>
            <w:r>
              <w:rPr>
                <w:rFonts w:ascii="Times New Roman"/>
                <w:sz w:val="21"/>
              </w:rPr>
              <w:t>6,590.17</w:t>
            </w:r>
          </w:p>
        </w:tc>
      </w:tr>
      <w:tr>
        <w:trPr>
          <w:trHeight w:val="270" w:hRule="atLeast"/>
        </w:trPr>
        <w:tc>
          <w:tcPr>
            <w:tcW w:w="3195" w:type="dxa"/>
          </w:tcPr>
          <w:p>
            <w:pPr>
              <w:pStyle w:val="TableParagraph"/>
              <w:spacing w:line="250" w:lineRule="exact" w:before="1"/>
              <w:ind w:left="57"/>
              <w:rPr>
                <w:sz w:val="21"/>
              </w:rPr>
            </w:pPr>
            <w:r>
              <w:rPr>
                <w:spacing w:val="-1"/>
                <w:sz w:val="21"/>
              </w:rPr>
              <w:t>富联科技</w:t>
            </w:r>
            <w:r>
              <w:rPr>
                <w:sz w:val="21"/>
              </w:rPr>
              <w:t>（鹤壁）有限公司</w:t>
            </w:r>
          </w:p>
        </w:tc>
        <w:tc>
          <w:tcPr>
            <w:tcW w:w="2549" w:type="dxa"/>
          </w:tcPr>
          <w:p>
            <w:pPr>
              <w:pStyle w:val="TableParagraph"/>
              <w:spacing w:line="250" w:lineRule="exact" w:before="1"/>
              <w:ind w:left="412" w:right="406"/>
              <w:jc w:val="center"/>
              <w:rPr>
                <w:sz w:val="21"/>
              </w:rPr>
            </w:pPr>
            <w:r>
              <w:rPr>
                <w:sz w:val="21"/>
              </w:rPr>
              <w:t>土壤环境</w:t>
            </w:r>
          </w:p>
        </w:tc>
        <w:tc>
          <w:tcPr>
            <w:tcW w:w="2446" w:type="dxa"/>
          </w:tcPr>
          <w:p>
            <w:pPr>
              <w:pStyle w:val="TableParagraph"/>
              <w:spacing w:before="7"/>
              <w:ind w:left="926"/>
              <w:rPr>
                <w:rFonts w:ascii="Times New Roman"/>
                <w:sz w:val="21"/>
              </w:rPr>
            </w:pPr>
            <w:r>
              <w:rPr>
                <w:rFonts w:ascii="Times New Roman"/>
                <w:sz w:val="21"/>
              </w:rPr>
              <w:t>1,589.70</w:t>
            </w:r>
          </w:p>
        </w:tc>
      </w:tr>
      <w:tr>
        <w:trPr>
          <w:trHeight w:val="273" w:hRule="atLeast"/>
        </w:trPr>
        <w:tc>
          <w:tcPr>
            <w:tcW w:w="3195" w:type="dxa"/>
          </w:tcPr>
          <w:p>
            <w:pPr>
              <w:pStyle w:val="TableParagraph"/>
              <w:spacing w:line="250" w:lineRule="exact" w:before="3"/>
              <w:ind w:left="57"/>
              <w:rPr>
                <w:sz w:val="21"/>
              </w:rPr>
            </w:pPr>
            <w:r>
              <w:rPr>
                <w:spacing w:val="-1"/>
                <w:sz w:val="21"/>
              </w:rPr>
              <w:t>富联科技</w:t>
            </w:r>
            <w:r>
              <w:rPr>
                <w:sz w:val="21"/>
              </w:rPr>
              <w:t>（山西）有限公司</w:t>
            </w:r>
          </w:p>
        </w:tc>
        <w:tc>
          <w:tcPr>
            <w:tcW w:w="2549" w:type="dxa"/>
          </w:tcPr>
          <w:p>
            <w:pPr>
              <w:pStyle w:val="TableParagraph"/>
              <w:spacing w:line="250" w:lineRule="exact" w:before="3"/>
              <w:ind w:left="412" w:right="406"/>
              <w:jc w:val="center"/>
              <w:rPr>
                <w:sz w:val="21"/>
              </w:rPr>
            </w:pPr>
            <w:r>
              <w:rPr>
                <w:sz w:val="21"/>
              </w:rPr>
              <w:t>土壤环境</w:t>
            </w:r>
          </w:p>
        </w:tc>
        <w:tc>
          <w:tcPr>
            <w:tcW w:w="2446" w:type="dxa"/>
          </w:tcPr>
          <w:p>
            <w:pPr>
              <w:pStyle w:val="TableParagraph"/>
              <w:spacing w:before="10"/>
              <w:ind w:left="926"/>
              <w:rPr>
                <w:rFonts w:ascii="Times New Roman"/>
                <w:sz w:val="21"/>
              </w:rPr>
            </w:pPr>
            <w:r>
              <w:rPr>
                <w:rFonts w:ascii="Times New Roman"/>
                <w:sz w:val="21"/>
              </w:rPr>
              <w:t>6,996.51</w:t>
            </w:r>
          </w:p>
        </w:tc>
      </w:tr>
      <w:tr>
        <w:trPr>
          <w:trHeight w:val="273" w:hRule="atLeast"/>
        </w:trPr>
        <w:tc>
          <w:tcPr>
            <w:tcW w:w="3195" w:type="dxa"/>
          </w:tcPr>
          <w:p>
            <w:pPr>
              <w:pStyle w:val="TableParagraph"/>
              <w:spacing w:line="252" w:lineRule="exact" w:before="1"/>
              <w:ind w:left="57"/>
              <w:rPr>
                <w:sz w:val="21"/>
              </w:rPr>
            </w:pPr>
            <w:r>
              <w:rPr>
                <w:spacing w:val="-1"/>
                <w:sz w:val="21"/>
              </w:rPr>
              <w:t>富联科技</w:t>
            </w:r>
            <w:r>
              <w:rPr>
                <w:sz w:val="21"/>
              </w:rPr>
              <w:t>（兰考）有限公司</w:t>
            </w:r>
          </w:p>
        </w:tc>
        <w:tc>
          <w:tcPr>
            <w:tcW w:w="2549" w:type="dxa"/>
          </w:tcPr>
          <w:p>
            <w:pPr>
              <w:pStyle w:val="TableParagraph"/>
              <w:spacing w:line="252" w:lineRule="exact" w:before="1"/>
              <w:ind w:left="412" w:right="406"/>
              <w:jc w:val="center"/>
              <w:rPr>
                <w:sz w:val="21"/>
              </w:rPr>
            </w:pPr>
            <w:r>
              <w:rPr>
                <w:sz w:val="21"/>
              </w:rPr>
              <w:t>土壤环境</w:t>
            </w:r>
          </w:p>
        </w:tc>
        <w:tc>
          <w:tcPr>
            <w:tcW w:w="2446" w:type="dxa"/>
          </w:tcPr>
          <w:p>
            <w:pPr>
              <w:pStyle w:val="TableParagraph"/>
              <w:spacing w:before="10"/>
              <w:ind w:left="926"/>
              <w:rPr>
                <w:rFonts w:ascii="Times New Roman"/>
                <w:sz w:val="21"/>
              </w:rPr>
            </w:pPr>
            <w:r>
              <w:rPr>
                <w:rFonts w:ascii="Times New Roman"/>
                <w:sz w:val="21"/>
              </w:rPr>
              <w:t>2,572.45</w:t>
            </w:r>
          </w:p>
        </w:tc>
      </w:tr>
      <w:tr>
        <w:trPr>
          <w:trHeight w:val="270" w:hRule="atLeast"/>
        </w:trPr>
        <w:tc>
          <w:tcPr>
            <w:tcW w:w="3195" w:type="dxa"/>
          </w:tcPr>
          <w:p>
            <w:pPr>
              <w:pStyle w:val="TableParagraph"/>
              <w:spacing w:line="250" w:lineRule="exact" w:before="1"/>
              <w:ind w:left="57"/>
              <w:rPr>
                <w:sz w:val="21"/>
              </w:rPr>
            </w:pPr>
            <w:r>
              <w:rPr>
                <w:spacing w:val="-1"/>
                <w:sz w:val="21"/>
              </w:rPr>
              <w:t>富联科技</w:t>
            </w:r>
            <w:r>
              <w:rPr>
                <w:sz w:val="21"/>
              </w:rPr>
              <w:t>（武汉）有限公司</w:t>
            </w:r>
          </w:p>
        </w:tc>
        <w:tc>
          <w:tcPr>
            <w:tcW w:w="2549" w:type="dxa"/>
          </w:tcPr>
          <w:p>
            <w:pPr>
              <w:pStyle w:val="TableParagraph"/>
              <w:spacing w:line="250" w:lineRule="exact" w:before="1"/>
              <w:ind w:left="412" w:right="406"/>
              <w:jc w:val="center"/>
              <w:rPr>
                <w:sz w:val="21"/>
              </w:rPr>
            </w:pPr>
            <w:r>
              <w:rPr>
                <w:sz w:val="21"/>
              </w:rPr>
              <w:t>土壤环境</w:t>
            </w:r>
          </w:p>
        </w:tc>
        <w:tc>
          <w:tcPr>
            <w:tcW w:w="2446" w:type="dxa"/>
          </w:tcPr>
          <w:p>
            <w:pPr>
              <w:pStyle w:val="TableParagraph"/>
              <w:spacing w:before="7"/>
              <w:ind w:left="926"/>
              <w:rPr>
                <w:rFonts w:ascii="Times New Roman"/>
                <w:sz w:val="21"/>
              </w:rPr>
            </w:pPr>
            <w:r>
              <w:rPr>
                <w:rFonts w:ascii="Times New Roman"/>
                <w:sz w:val="21"/>
              </w:rPr>
              <w:t>2,571.28</w:t>
            </w:r>
          </w:p>
        </w:tc>
      </w:tr>
    </w:tbl>
    <w:p>
      <w:pPr>
        <w:pStyle w:val="BodyText"/>
        <w:ind w:left="0"/>
        <w:rPr>
          <w:sz w:val="19"/>
        </w:rPr>
      </w:pPr>
    </w:p>
    <w:p>
      <w:pPr>
        <w:pStyle w:val="BodyText"/>
        <w:ind w:left="1158"/>
      </w:pPr>
      <w:r>
        <w:rPr>
          <w:w w:val="100"/>
        </w:rPr>
        <w:t> </w:t>
      </w:r>
    </w:p>
    <w:p>
      <w:pPr>
        <w:pStyle w:val="BodyText"/>
        <w:spacing w:before="5"/>
        <w:ind w:left="1158"/>
      </w:pPr>
      <w:r>
        <w:rPr>
          <w:w w:val="100"/>
        </w:rPr>
        <w:t> </w:t>
      </w:r>
    </w:p>
    <w:p>
      <w:pPr>
        <w:pStyle w:val="ListParagraph"/>
        <w:numPr>
          <w:ilvl w:val="0"/>
          <w:numId w:val="26"/>
        </w:numPr>
        <w:tabs>
          <w:tab w:pos="1583" w:val="left" w:leader="none"/>
        </w:tabs>
        <w:spacing w:line="240" w:lineRule="auto" w:before="62" w:after="0"/>
        <w:ind w:left="1582" w:right="0" w:hanging="425"/>
        <w:jc w:val="left"/>
        <w:rPr>
          <w:sz w:val="21"/>
        </w:rPr>
      </w:pPr>
      <w:r>
        <w:rPr>
          <w:sz w:val="21"/>
        </w:rPr>
        <w:t>防治污染设施的建设和运行情况 </w:t>
      </w:r>
    </w:p>
    <w:p>
      <w:pPr>
        <w:pStyle w:val="BodyText"/>
        <w:spacing w:before="62"/>
        <w:ind w:left="1158"/>
      </w:pPr>
      <w:r>
        <w:rPr>
          <w:spacing w:val="-1"/>
        </w:rPr>
        <w:t>√适用 □不适用</w:t>
      </w:r>
      <w:r>
        <w:rPr>
          <w:spacing w:val="-3"/>
        </w:rPr>
        <w:t> </w:t>
      </w:r>
      <w:r>
        <w:rPr/>
        <w:t> </w:t>
      </w:r>
    </w:p>
    <w:p>
      <w:pPr>
        <w:pStyle w:val="BodyText"/>
        <w:spacing w:line="242" w:lineRule="auto" w:before="5"/>
        <w:ind w:left="1158" w:right="530" w:firstLine="427"/>
      </w:pPr>
      <w:r>
        <w:rPr/>
        <w:t>公司及子公司对生产经营过程中产生的污染物采取合理的治理措施，严格监控环保设备设施的运行情况，杜绝任何跑、冒、滴、漏的现象，有关处理设施运行情况如下：</w:t>
      </w:r>
    </w:p>
    <w:tbl>
      <w:tblPr>
        <w:tblW w:w="0" w:type="auto"/>
        <w:jc w:val="left"/>
        <w:tblInd w:w="9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1"/>
        <w:gridCol w:w="653"/>
        <w:gridCol w:w="4732"/>
        <w:gridCol w:w="1525"/>
        <w:gridCol w:w="821"/>
      </w:tblGrid>
      <w:tr>
        <w:trPr>
          <w:trHeight w:val="599" w:hRule="atLeast"/>
        </w:trPr>
        <w:tc>
          <w:tcPr>
            <w:tcW w:w="1531" w:type="dxa"/>
          </w:tcPr>
          <w:p>
            <w:pPr>
              <w:pStyle w:val="TableParagraph"/>
              <w:spacing w:line="242" w:lineRule="auto" w:before="30"/>
              <w:ind w:left="554" w:right="436" w:hanging="106"/>
              <w:rPr>
                <w:sz w:val="21"/>
              </w:rPr>
            </w:pPr>
            <w:r>
              <w:rPr>
                <w:sz w:val="21"/>
              </w:rPr>
              <w:t>子公司名称</w:t>
            </w:r>
          </w:p>
        </w:tc>
        <w:tc>
          <w:tcPr>
            <w:tcW w:w="653" w:type="dxa"/>
          </w:tcPr>
          <w:p>
            <w:pPr>
              <w:pStyle w:val="TableParagraph"/>
              <w:spacing w:line="242" w:lineRule="auto" w:before="30"/>
              <w:ind w:left="112" w:right="105"/>
              <w:rPr>
                <w:sz w:val="21"/>
              </w:rPr>
            </w:pPr>
            <w:r>
              <w:rPr>
                <w:spacing w:val="-1"/>
                <w:sz w:val="21"/>
              </w:rPr>
              <w:t>治理类型</w:t>
            </w:r>
          </w:p>
        </w:tc>
        <w:tc>
          <w:tcPr>
            <w:tcW w:w="4732" w:type="dxa"/>
          </w:tcPr>
          <w:p>
            <w:pPr>
              <w:pStyle w:val="TableParagraph"/>
              <w:spacing w:before="164"/>
              <w:ind w:left="1925" w:right="1916"/>
              <w:jc w:val="center"/>
              <w:rPr>
                <w:sz w:val="21"/>
              </w:rPr>
            </w:pPr>
            <w:r>
              <w:rPr>
                <w:sz w:val="21"/>
              </w:rPr>
              <w:t>处理工艺</w:t>
            </w:r>
          </w:p>
        </w:tc>
        <w:tc>
          <w:tcPr>
            <w:tcW w:w="1525" w:type="dxa"/>
          </w:tcPr>
          <w:p>
            <w:pPr>
              <w:pStyle w:val="TableParagraph"/>
              <w:spacing w:before="164"/>
              <w:ind w:left="133"/>
              <w:rPr>
                <w:sz w:val="21"/>
              </w:rPr>
            </w:pPr>
            <w:r>
              <w:rPr>
                <w:sz w:val="21"/>
              </w:rPr>
              <w:t>设计处理能力</w:t>
            </w:r>
          </w:p>
        </w:tc>
        <w:tc>
          <w:tcPr>
            <w:tcW w:w="821" w:type="dxa"/>
          </w:tcPr>
          <w:p>
            <w:pPr>
              <w:pStyle w:val="TableParagraph"/>
              <w:spacing w:line="242" w:lineRule="auto" w:before="30"/>
              <w:ind w:left="94" w:right="80"/>
              <w:rPr>
                <w:sz w:val="21"/>
              </w:rPr>
            </w:pPr>
            <w:r>
              <w:rPr>
                <w:sz w:val="21"/>
              </w:rPr>
              <w:t>设施运行状况</w:t>
            </w:r>
          </w:p>
        </w:tc>
      </w:tr>
      <w:tr>
        <w:trPr>
          <w:trHeight w:val="602" w:hRule="atLeast"/>
        </w:trPr>
        <w:tc>
          <w:tcPr>
            <w:tcW w:w="1531" w:type="dxa"/>
          </w:tcPr>
          <w:p>
            <w:pPr>
              <w:pStyle w:val="TableParagraph"/>
              <w:spacing w:before="29"/>
              <w:ind w:left="28"/>
              <w:rPr>
                <w:sz w:val="21"/>
              </w:rPr>
            </w:pPr>
            <w:r>
              <w:rPr>
                <w:spacing w:val="33"/>
                <w:sz w:val="21"/>
              </w:rPr>
              <w:t>富联精密电子</w:t>
            </w:r>
          </w:p>
          <w:p>
            <w:pPr>
              <w:pStyle w:val="TableParagraph"/>
              <w:spacing w:before="5"/>
              <w:ind w:left="28"/>
              <w:rPr>
                <w:sz w:val="21"/>
              </w:rPr>
            </w:pPr>
            <w:r>
              <w:rPr>
                <w:rFonts w:ascii="Times New Roman" w:eastAsia="Times New Roman"/>
                <w:sz w:val="21"/>
              </w:rPr>
              <w:t>(</w:t>
            </w:r>
            <w:r>
              <w:rPr>
                <w:sz w:val="21"/>
              </w:rPr>
              <w:t>天津</w:t>
            </w:r>
            <w:r>
              <w:rPr>
                <w:rFonts w:ascii="Times New Roman" w:eastAsia="Times New Roman"/>
                <w:sz w:val="21"/>
              </w:rPr>
              <w:t>)</w:t>
            </w:r>
            <w:r>
              <w:rPr>
                <w:sz w:val="21"/>
              </w:rPr>
              <w:t>有限公司</w:t>
            </w:r>
          </w:p>
        </w:tc>
        <w:tc>
          <w:tcPr>
            <w:tcW w:w="653" w:type="dxa"/>
          </w:tcPr>
          <w:p>
            <w:pPr>
              <w:pStyle w:val="TableParagraph"/>
              <w:spacing w:before="166"/>
              <w:ind w:left="112"/>
              <w:rPr>
                <w:sz w:val="21"/>
              </w:rPr>
            </w:pPr>
            <w:r>
              <w:rPr>
                <w:sz w:val="21"/>
              </w:rPr>
              <w:t>废水</w:t>
            </w:r>
          </w:p>
        </w:tc>
        <w:tc>
          <w:tcPr>
            <w:tcW w:w="4732" w:type="dxa"/>
          </w:tcPr>
          <w:p>
            <w:pPr>
              <w:pStyle w:val="TableParagraph"/>
              <w:spacing w:before="173"/>
              <w:ind w:left="24"/>
              <w:rPr>
                <w:rFonts w:ascii="Times New Roman"/>
                <w:sz w:val="21"/>
              </w:rPr>
            </w:pPr>
            <w:r>
              <w:rPr>
                <w:rFonts w:ascii="Times New Roman"/>
                <w:sz w:val="21"/>
              </w:rPr>
              <w:t>MBR</w:t>
            </w:r>
          </w:p>
        </w:tc>
        <w:tc>
          <w:tcPr>
            <w:tcW w:w="1525" w:type="dxa"/>
          </w:tcPr>
          <w:p>
            <w:pPr>
              <w:pStyle w:val="TableParagraph"/>
              <w:spacing w:before="168"/>
              <w:ind w:right="11"/>
              <w:jc w:val="right"/>
              <w:rPr>
                <w:rFonts w:ascii="Times New Roman"/>
                <w:sz w:val="21"/>
              </w:rPr>
            </w:pPr>
            <w:r>
              <w:rPr>
                <w:rFonts w:ascii="Times New Roman"/>
                <w:sz w:val="21"/>
              </w:rPr>
              <w:t>3,000</w:t>
            </w:r>
            <w:r>
              <w:rPr>
                <w:rFonts w:ascii="Times New Roman"/>
                <w:spacing w:val="-2"/>
                <w:sz w:val="21"/>
              </w:rPr>
              <w:t> </w:t>
            </w:r>
            <w:r>
              <w:rPr>
                <w:rFonts w:ascii="Times New Roman"/>
                <w:sz w:val="21"/>
              </w:rPr>
              <w:t>m</w:t>
            </w:r>
            <w:r>
              <w:rPr>
                <w:rFonts w:ascii="Times New Roman"/>
                <w:position w:val="7"/>
                <w:sz w:val="14"/>
              </w:rPr>
              <w:t>3</w:t>
            </w:r>
            <w:r>
              <w:rPr>
                <w:rFonts w:ascii="Times New Roman"/>
                <w:sz w:val="21"/>
              </w:rPr>
              <w:t>/d</w:t>
            </w:r>
          </w:p>
        </w:tc>
        <w:tc>
          <w:tcPr>
            <w:tcW w:w="821" w:type="dxa"/>
          </w:tcPr>
          <w:p>
            <w:pPr>
              <w:pStyle w:val="TableParagraph"/>
              <w:spacing w:line="244" w:lineRule="auto" w:before="29"/>
              <w:ind w:left="200" w:right="186"/>
              <w:rPr>
                <w:sz w:val="21"/>
              </w:rPr>
            </w:pPr>
            <w:r>
              <w:rPr>
                <w:spacing w:val="-1"/>
                <w:sz w:val="21"/>
              </w:rPr>
              <w:t>正常运行</w:t>
            </w:r>
          </w:p>
        </w:tc>
      </w:tr>
      <w:tr>
        <w:trPr>
          <w:trHeight w:val="328" w:hRule="atLeast"/>
        </w:trPr>
        <w:tc>
          <w:tcPr>
            <w:tcW w:w="1531"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7"/>
              <w:rPr>
                <w:sz w:val="16"/>
              </w:rPr>
            </w:pPr>
          </w:p>
          <w:p>
            <w:pPr>
              <w:pStyle w:val="TableParagraph"/>
              <w:ind w:left="28"/>
              <w:rPr>
                <w:sz w:val="21"/>
              </w:rPr>
            </w:pPr>
            <w:r>
              <w:rPr>
                <w:spacing w:val="33"/>
                <w:sz w:val="21"/>
              </w:rPr>
              <w:t>富联精密电子</w:t>
            </w:r>
          </w:p>
          <w:p>
            <w:pPr>
              <w:pStyle w:val="TableParagraph"/>
              <w:spacing w:before="2"/>
              <w:ind w:left="28"/>
              <w:rPr>
                <w:sz w:val="21"/>
              </w:rPr>
            </w:pPr>
            <w:r>
              <w:rPr>
                <w:rFonts w:ascii="Times New Roman" w:eastAsia="Times New Roman"/>
                <w:sz w:val="21"/>
              </w:rPr>
              <w:t>(</w:t>
            </w:r>
            <w:r>
              <w:rPr>
                <w:sz w:val="21"/>
              </w:rPr>
              <w:t>郑州</w:t>
            </w:r>
            <w:r>
              <w:rPr>
                <w:rFonts w:ascii="Times New Roman" w:eastAsia="Times New Roman"/>
                <w:sz w:val="21"/>
              </w:rPr>
              <w:t>)</w:t>
            </w:r>
            <w:r>
              <w:rPr>
                <w:sz w:val="21"/>
              </w:rPr>
              <w:t>有限公司</w:t>
            </w:r>
          </w:p>
        </w:tc>
        <w:tc>
          <w:tcPr>
            <w:tcW w:w="653" w:type="dxa"/>
            <w:vMerge w:val="restart"/>
          </w:tcPr>
          <w:p>
            <w:pPr>
              <w:pStyle w:val="TableParagraph"/>
              <w:spacing w:before="9"/>
              <w:rPr>
                <w:sz w:val="28"/>
              </w:rPr>
            </w:pPr>
          </w:p>
          <w:p>
            <w:pPr>
              <w:pStyle w:val="TableParagraph"/>
              <w:spacing w:before="1"/>
              <w:ind w:left="112"/>
              <w:rPr>
                <w:sz w:val="21"/>
              </w:rPr>
            </w:pPr>
            <w:r>
              <w:rPr>
                <w:sz w:val="21"/>
              </w:rPr>
              <w:t>废水</w:t>
            </w:r>
          </w:p>
        </w:tc>
        <w:tc>
          <w:tcPr>
            <w:tcW w:w="4732" w:type="dxa"/>
          </w:tcPr>
          <w:p>
            <w:pPr>
              <w:pStyle w:val="TableParagraph"/>
              <w:spacing w:before="29"/>
              <w:ind w:left="24"/>
              <w:rPr>
                <w:rFonts w:ascii="Times New Roman" w:eastAsia="Times New Roman"/>
                <w:sz w:val="21"/>
              </w:rPr>
            </w:pPr>
            <w:r>
              <w:rPr>
                <w:sz w:val="21"/>
              </w:rPr>
              <w:t>厌氧</w:t>
            </w:r>
            <w:r>
              <w:rPr>
                <w:rFonts w:ascii="Times New Roman" w:eastAsia="Times New Roman"/>
                <w:sz w:val="21"/>
              </w:rPr>
              <w:t>+</w:t>
            </w:r>
            <w:r>
              <w:rPr>
                <w:sz w:val="21"/>
              </w:rPr>
              <w:t>缺氧</w:t>
            </w:r>
            <w:r>
              <w:rPr>
                <w:rFonts w:ascii="Times New Roman" w:eastAsia="Times New Roman"/>
                <w:sz w:val="21"/>
              </w:rPr>
              <w:t>+</w:t>
            </w:r>
            <w:r>
              <w:rPr>
                <w:sz w:val="21"/>
              </w:rPr>
              <w:t>好氧</w:t>
            </w:r>
            <w:r>
              <w:rPr>
                <w:rFonts w:ascii="Times New Roman" w:eastAsia="Times New Roman"/>
                <w:sz w:val="21"/>
              </w:rPr>
              <w:t>+MBR</w:t>
            </w:r>
          </w:p>
        </w:tc>
        <w:tc>
          <w:tcPr>
            <w:tcW w:w="1525" w:type="dxa"/>
          </w:tcPr>
          <w:p>
            <w:pPr>
              <w:pStyle w:val="TableParagraph"/>
              <w:spacing w:before="32"/>
              <w:ind w:right="11"/>
              <w:jc w:val="right"/>
              <w:rPr>
                <w:rFonts w:ascii="Times New Roman"/>
                <w:sz w:val="21"/>
              </w:rPr>
            </w:pPr>
            <w:r>
              <w:rPr>
                <w:rFonts w:ascii="Times New Roman"/>
                <w:sz w:val="21"/>
              </w:rPr>
              <w:t>1,880</w:t>
            </w:r>
            <w:r>
              <w:rPr>
                <w:rFonts w:ascii="Times New Roman"/>
                <w:spacing w:val="-2"/>
                <w:sz w:val="21"/>
              </w:rPr>
              <w:t> </w:t>
            </w:r>
            <w:r>
              <w:rPr>
                <w:rFonts w:ascii="Times New Roman"/>
                <w:sz w:val="21"/>
              </w:rPr>
              <w:t>m</w:t>
            </w:r>
            <w:r>
              <w:rPr>
                <w:rFonts w:ascii="Times New Roman"/>
                <w:position w:val="7"/>
                <w:sz w:val="14"/>
              </w:rPr>
              <w:t>3</w:t>
            </w:r>
            <w:r>
              <w:rPr>
                <w:rFonts w:ascii="Times New Roman"/>
                <w:sz w:val="21"/>
              </w:rPr>
              <w:t>/d</w:t>
            </w:r>
          </w:p>
        </w:tc>
        <w:tc>
          <w:tcPr>
            <w:tcW w:w="821" w:type="dxa"/>
            <w:vMerge w:val="restart"/>
            <w:tcBorders>
              <w:bottom w:val="nil"/>
            </w:tcBorders>
          </w:tcPr>
          <w:p>
            <w:pPr>
              <w:pStyle w:val="TableParagraph"/>
              <w:rPr>
                <w:sz w:val="18"/>
              </w:rPr>
            </w:pPr>
          </w:p>
          <w:p>
            <w:pPr>
              <w:pStyle w:val="TableParagraph"/>
              <w:spacing w:line="242" w:lineRule="auto"/>
              <w:ind w:left="200" w:right="186"/>
              <w:rPr>
                <w:sz w:val="21"/>
              </w:rPr>
            </w:pPr>
            <w:r>
              <w:rPr>
                <w:spacing w:val="-1"/>
                <w:sz w:val="21"/>
              </w:rPr>
              <w:t>正常运行</w:t>
            </w:r>
          </w:p>
        </w:tc>
      </w:tr>
      <w:tr>
        <w:trPr>
          <w:trHeight w:val="328" w:hRule="atLeast"/>
        </w:trPr>
        <w:tc>
          <w:tcPr>
            <w:tcW w:w="1531" w:type="dxa"/>
            <w:vMerge/>
            <w:tcBorders>
              <w:top w:val="nil"/>
            </w:tcBorders>
          </w:tcPr>
          <w:p>
            <w:pPr>
              <w:rPr>
                <w:sz w:val="2"/>
                <w:szCs w:val="2"/>
              </w:rPr>
            </w:pPr>
          </w:p>
        </w:tc>
        <w:tc>
          <w:tcPr>
            <w:tcW w:w="653" w:type="dxa"/>
            <w:vMerge/>
            <w:tcBorders>
              <w:top w:val="nil"/>
            </w:tcBorders>
          </w:tcPr>
          <w:p>
            <w:pPr>
              <w:rPr>
                <w:sz w:val="2"/>
                <w:szCs w:val="2"/>
              </w:rPr>
            </w:pPr>
          </w:p>
        </w:tc>
        <w:tc>
          <w:tcPr>
            <w:tcW w:w="4732" w:type="dxa"/>
          </w:tcPr>
          <w:p>
            <w:pPr>
              <w:pStyle w:val="TableParagraph"/>
              <w:spacing w:before="30"/>
              <w:ind w:left="24"/>
              <w:rPr>
                <w:rFonts w:ascii="Times New Roman" w:eastAsia="Times New Roman"/>
                <w:sz w:val="21"/>
              </w:rPr>
            </w:pPr>
            <w:r>
              <w:rPr>
                <w:spacing w:val="-1"/>
                <w:sz w:val="21"/>
              </w:rPr>
              <w:t>两级物化沉淀</w:t>
            </w:r>
            <w:r>
              <w:rPr>
                <w:rFonts w:ascii="Times New Roman" w:eastAsia="Times New Roman"/>
                <w:sz w:val="21"/>
              </w:rPr>
              <w:t>+</w:t>
            </w:r>
            <w:r>
              <w:rPr>
                <w:sz w:val="21"/>
              </w:rPr>
              <w:t>兼性</w:t>
            </w:r>
            <w:r>
              <w:rPr>
                <w:rFonts w:ascii="Times New Roman" w:eastAsia="Times New Roman"/>
                <w:sz w:val="21"/>
              </w:rPr>
              <w:t>+</w:t>
            </w:r>
            <w:r>
              <w:rPr>
                <w:sz w:val="21"/>
              </w:rPr>
              <w:t>好氧</w:t>
            </w:r>
            <w:r>
              <w:rPr>
                <w:rFonts w:ascii="Times New Roman" w:eastAsia="Times New Roman"/>
                <w:sz w:val="21"/>
              </w:rPr>
              <w:t>+MBR</w:t>
            </w:r>
          </w:p>
        </w:tc>
        <w:tc>
          <w:tcPr>
            <w:tcW w:w="1525" w:type="dxa"/>
          </w:tcPr>
          <w:p>
            <w:pPr>
              <w:pStyle w:val="TableParagraph"/>
              <w:spacing w:before="37"/>
              <w:ind w:right="11"/>
              <w:jc w:val="right"/>
              <w:rPr>
                <w:rFonts w:ascii="Times New Roman"/>
                <w:sz w:val="21"/>
              </w:rPr>
            </w:pPr>
            <w:r>
              <w:rPr>
                <w:rFonts w:ascii="Times New Roman"/>
                <w:sz w:val="21"/>
              </w:rPr>
              <w:t>3,000m</w:t>
            </w:r>
            <w:r>
              <w:rPr>
                <w:rFonts w:ascii="Times New Roman"/>
                <w:sz w:val="21"/>
                <w:vertAlign w:val="superscript"/>
              </w:rPr>
              <w:t>3</w:t>
            </w:r>
            <w:r>
              <w:rPr>
                <w:rFonts w:ascii="Times New Roman"/>
                <w:sz w:val="21"/>
                <w:vertAlign w:val="baseline"/>
              </w:rPr>
              <w:t>/d</w:t>
            </w:r>
          </w:p>
        </w:tc>
        <w:tc>
          <w:tcPr>
            <w:tcW w:w="821" w:type="dxa"/>
            <w:vMerge/>
            <w:tcBorders>
              <w:top w:val="nil"/>
              <w:bottom w:val="nil"/>
            </w:tcBorders>
          </w:tcPr>
          <w:p>
            <w:pPr>
              <w:rPr>
                <w:sz w:val="2"/>
                <w:szCs w:val="2"/>
              </w:rPr>
            </w:pPr>
          </w:p>
        </w:tc>
      </w:tr>
      <w:tr>
        <w:trPr>
          <w:trHeight w:val="328" w:hRule="atLeast"/>
        </w:trPr>
        <w:tc>
          <w:tcPr>
            <w:tcW w:w="1531" w:type="dxa"/>
            <w:vMerge/>
            <w:tcBorders>
              <w:top w:val="nil"/>
            </w:tcBorders>
          </w:tcPr>
          <w:p>
            <w:pPr>
              <w:rPr>
                <w:sz w:val="2"/>
                <w:szCs w:val="2"/>
              </w:rPr>
            </w:pPr>
          </w:p>
        </w:tc>
        <w:tc>
          <w:tcPr>
            <w:tcW w:w="653" w:type="dxa"/>
            <w:vMerge/>
            <w:tcBorders>
              <w:top w:val="nil"/>
            </w:tcBorders>
          </w:tcPr>
          <w:p>
            <w:pPr>
              <w:rPr>
                <w:sz w:val="2"/>
                <w:szCs w:val="2"/>
              </w:rPr>
            </w:pPr>
          </w:p>
        </w:tc>
        <w:tc>
          <w:tcPr>
            <w:tcW w:w="4732" w:type="dxa"/>
          </w:tcPr>
          <w:p>
            <w:pPr>
              <w:pStyle w:val="TableParagraph"/>
              <w:spacing w:before="29"/>
              <w:ind w:left="24"/>
              <w:rPr>
                <w:sz w:val="21"/>
              </w:rPr>
            </w:pPr>
            <w:r>
              <w:rPr>
                <w:spacing w:val="-1"/>
                <w:sz w:val="21"/>
              </w:rPr>
              <w:t>物化沉淀</w:t>
            </w:r>
            <w:r>
              <w:rPr>
                <w:rFonts w:ascii="Times New Roman" w:eastAsia="Times New Roman"/>
                <w:sz w:val="21"/>
              </w:rPr>
              <w:t>+DF</w:t>
            </w:r>
            <w:r>
              <w:rPr>
                <w:rFonts w:ascii="Times New Roman" w:eastAsia="Times New Roman"/>
                <w:spacing w:val="-14"/>
                <w:sz w:val="21"/>
              </w:rPr>
              <w:t> </w:t>
            </w:r>
            <w:r>
              <w:rPr>
                <w:sz w:val="21"/>
              </w:rPr>
              <w:t>膜过滤</w:t>
            </w:r>
            <w:r>
              <w:rPr>
                <w:rFonts w:ascii="Times New Roman" w:eastAsia="Times New Roman"/>
                <w:sz w:val="21"/>
              </w:rPr>
              <w:t>+RO</w:t>
            </w:r>
            <w:r>
              <w:rPr>
                <w:rFonts w:ascii="Times New Roman" w:eastAsia="Times New Roman"/>
                <w:spacing w:val="-11"/>
                <w:sz w:val="21"/>
              </w:rPr>
              <w:t> </w:t>
            </w:r>
            <w:r>
              <w:rPr>
                <w:sz w:val="21"/>
              </w:rPr>
              <w:t>过滤</w:t>
            </w:r>
            <w:r>
              <w:rPr>
                <w:rFonts w:ascii="Times New Roman" w:eastAsia="Times New Roman"/>
                <w:sz w:val="21"/>
              </w:rPr>
              <w:t>+</w:t>
            </w:r>
            <w:r>
              <w:rPr>
                <w:sz w:val="21"/>
              </w:rPr>
              <w:t>三效蒸发</w:t>
            </w:r>
          </w:p>
        </w:tc>
        <w:tc>
          <w:tcPr>
            <w:tcW w:w="1525" w:type="dxa"/>
          </w:tcPr>
          <w:p>
            <w:pPr>
              <w:pStyle w:val="TableParagraph"/>
              <w:spacing w:before="32"/>
              <w:ind w:right="14"/>
              <w:jc w:val="right"/>
              <w:rPr>
                <w:rFonts w:ascii="Times New Roman"/>
                <w:sz w:val="21"/>
              </w:rPr>
            </w:pPr>
            <w:r>
              <w:rPr>
                <w:rFonts w:ascii="Times New Roman"/>
                <w:sz w:val="21"/>
              </w:rPr>
              <w:t>450m</w:t>
            </w:r>
            <w:r>
              <w:rPr>
                <w:rFonts w:ascii="Times New Roman"/>
                <w:position w:val="7"/>
                <w:sz w:val="14"/>
              </w:rPr>
              <w:t>3</w:t>
            </w:r>
            <w:r>
              <w:rPr>
                <w:rFonts w:ascii="Times New Roman"/>
                <w:sz w:val="21"/>
              </w:rPr>
              <w:t>/d</w:t>
            </w:r>
          </w:p>
        </w:tc>
        <w:tc>
          <w:tcPr>
            <w:tcW w:w="821" w:type="dxa"/>
            <w:vMerge/>
            <w:tcBorders>
              <w:top w:val="nil"/>
              <w:bottom w:val="nil"/>
            </w:tcBorders>
          </w:tcPr>
          <w:p>
            <w:pPr>
              <w:rPr>
                <w:sz w:val="2"/>
                <w:szCs w:val="2"/>
              </w:rPr>
            </w:pPr>
          </w:p>
        </w:tc>
      </w:tr>
      <w:tr>
        <w:trPr>
          <w:trHeight w:val="328" w:hRule="atLeast"/>
        </w:trPr>
        <w:tc>
          <w:tcPr>
            <w:tcW w:w="1531" w:type="dxa"/>
            <w:vMerge/>
            <w:tcBorders>
              <w:top w:val="nil"/>
            </w:tcBorders>
          </w:tcPr>
          <w:p>
            <w:pPr>
              <w:rPr>
                <w:sz w:val="2"/>
                <w:szCs w:val="2"/>
              </w:rPr>
            </w:pPr>
          </w:p>
        </w:tc>
        <w:tc>
          <w:tcPr>
            <w:tcW w:w="653"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6"/>
              <w:rPr>
                <w:sz w:val="27"/>
              </w:rPr>
            </w:pPr>
          </w:p>
          <w:p>
            <w:pPr>
              <w:pStyle w:val="TableParagraph"/>
              <w:ind w:left="26"/>
              <w:rPr>
                <w:sz w:val="21"/>
              </w:rPr>
            </w:pPr>
            <w:r>
              <w:rPr>
                <w:sz w:val="21"/>
              </w:rPr>
              <w:t>废气</w:t>
            </w:r>
          </w:p>
        </w:tc>
        <w:tc>
          <w:tcPr>
            <w:tcW w:w="4732" w:type="dxa"/>
          </w:tcPr>
          <w:p>
            <w:pPr>
              <w:pStyle w:val="TableParagraph"/>
              <w:spacing w:before="29"/>
              <w:ind w:left="24"/>
              <w:rPr>
                <w:sz w:val="21"/>
              </w:rPr>
            </w:pPr>
            <w:r>
              <w:rPr>
                <w:spacing w:val="-1"/>
                <w:sz w:val="21"/>
              </w:rPr>
              <w:t>除尘系统</w:t>
            </w:r>
            <w:r>
              <w:rPr>
                <w:rFonts w:ascii="Times New Roman" w:eastAsia="Times New Roman"/>
                <w:sz w:val="21"/>
              </w:rPr>
              <w:t>-</w:t>
            </w:r>
            <w:r>
              <w:rPr>
                <w:sz w:val="21"/>
              </w:rPr>
              <w:t>高效滤筒</w:t>
            </w:r>
          </w:p>
        </w:tc>
        <w:tc>
          <w:tcPr>
            <w:tcW w:w="1525" w:type="dxa"/>
          </w:tcPr>
          <w:p>
            <w:pPr>
              <w:pStyle w:val="TableParagraph"/>
              <w:spacing w:before="36"/>
              <w:ind w:right="10"/>
              <w:jc w:val="right"/>
              <w:rPr>
                <w:rFonts w:ascii="Times New Roman"/>
                <w:sz w:val="21"/>
              </w:rPr>
            </w:pPr>
            <w:r>
              <w:rPr>
                <w:rFonts w:ascii="Times New Roman"/>
                <w:sz w:val="21"/>
              </w:rPr>
              <w:t>449,497m3/h</w:t>
            </w:r>
          </w:p>
        </w:tc>
        <w:tc>
          <w:tcPr>
            <w:tcW w:w="821" w:type="dxa"/>
            <w:tcBorders>
              <w:top w:val="nil"/>
              <w:bottom w:val="nil"/>
            </w:tcBorders>
          </w:tcPr>
          <w:p>
            <w:pPr>
              <w:pStyle w:val="TableParagraph"/>
              <w:rPr>
                <w:rFonts w:ascii="Times New Roman"/>
                <w:sz w:val="20"/>
              </w:rPr>
            </w:pPr>
          </w:p>
        </w:tc>
      </w:tr>
      <w:tr>
        <w:trPr>
          <w:trHeight w:val="328" w:hRule="atLeast"/>
        </w:trPr>
        <w:tc>
          <w:tcPr>
            <w:tcW w:w="1531" w:type="dxa"/>
            <w:vMerge/>
            <w:tcBorders>
              <w:top w:val="nil"/>
            </w:tcBorders>
          </w:tcPr>
          <w:p>
            <w:pPr>
              <w:rPr>
                <w:sz w:val="2"/>
                <w:szCs w:val="2"/>
              </w:rPr>
            </w:pPr>
          </w:p>
        </w:tc>
        <w:tc>
          <w:tcPr>
            <w:tcW w:w="653" w:type="dxa"/>
            <w:vMerge/>
            <w:tcBorders>
              <w:top w:val="nil"/>
            </w:tcBorders>
          </w:tcPr>
          <w:p>
            <w:pPr>
              <w:rPr>
                <w:sz w:val="2"/>
                <w:szCs w:val="2"/>
              </w:rPr>
            </w:pPr>
          </w:p>
        </w:tc>
        <w:tc>
          <w:tcPr>
            <w:tcW w:w="4732" w:type="dxa"/>
          </w:tcPr>
          <w:p>
            <w:pPr>
              <w:pStyle w:val="TableParagraph"/>
              <w:spacing w:before="30"/>
              <w:ind w:left="24"/>
              <w:rPr>
                <w:sz w:val="21"/>
              </w:rPr>
            </w:pPr>
            <w:r>
              <w:rPr>
                <w:spacing w:val="-1"/>
                <w:sz w:val="21"/>
              </w:rPr>
              <w:t>除尘系统</w:t>
            </w:r>
            <w:r>
              <w:rPr>
                <w:rFonts w:ascii="Times New Roman" w:eastAsia="Times New Roman"/>
                <w:sz w:val="21"/>
              </w:rPr>
              <w:t>-</w:t>
            </w:r>
            <w:r>
              <w:rPr>
                <w:sz w:val="21"/>
              </w:rPr>
              <w:t>湿式喷淋装置</w:t>
            </w:r>
          </w:p>
        </w:tc>
        <w:tc>
          <w:tcPr>
            <w:tcW w:w="1525" w:type="dxa"/>
          </w:tcPr>
          <w:p>
            <w:pPr>
              <w:pStyle w:val="TableParagraph"/>
              <w:spacing w:before="36"/>
              <w:ind w:right="10"/>
              <w:jc w:val="right"/>
              <w:rPr>
                <w:rFonts w:ascii="Times New Roman"/>
                <w:sz w:val="21"/>
              </w:rPr>
            </w:pPr>
            <w:r>
              <w:rPr>
                <w:rFonts w:ascii="Times New Roman"/>
                <w:sz w:val="21"/>
              </w:rPr>
              <w:t>133,678m3/h</w:t>
            </w:r>
          </w:p>
        </w:tc>
        <w:tc>
          <w:tcPr>
            <w:tcW w:w="821" w:type="dxa"/>
            <w:tcBorders>
              <w:top w:val="nil"/>
              <w:bottom w:val="nil"/>
            </w:tcBorders>
          </w:tcPr>
          <w:p>
            <w:pPr>
              <w:pStyle w:val="TableParagraph"/>
              <w:rPr>
                <w:rFonts w:ascii="Times New Roman"/>
                <w:sz w:val="20"/>
              </w:rPr>
            </w:pPr>
          </w:p>
        </w:tc>
      </w:tr>
      <w:tr>
        <w:trPr>
          <w:trHeight w:val="328" w:hRule="atLeast"/>
        </w:trPr>
        <w:tc>
          <w:tcPr>
            <w:tcW w:w="1531" w:type="dxa"/>
            <w:vMerge/>
            <w:tcBorders>
              <w:top w:val="nil"/>
            </w:tcBorders>
          </w:tcPr>
          <w:p>
            <w:pPr>
              <w:rPr>
                <w:sz w:val="2"/>
                <w:szCs w:val="2"/>
              </w:rPr>
            </w:pPr>
          </w:p>
        </w:tc>
        <w:tc>
          <w:tcPr>
            <w:tcW w:w="653" w:type="dxa"/>
            <w:vMerge/>
            <w:tcBorders>
              <w:top w:val="nil"/>
            </w:tcBorders>
          </w:tcPr>
          <w:p>
            <w:pPr>
              <w:rPr>
                <w:sz w:val="2"/>
                <w:szCs w:val="2"/>
              </w:rPr>
            </w:pPr>
          </w:p>
        </w:tc>
        <w:tc>
          <w:tcPr>
            <w:tcW w:w="4732" w:type="dxa"/>
          </w:tcPr>
          <w:p>
            <w:pPr>
              <w:pStyle w:val="TableParagraph"/>
              <w:spacing w:before="29"/>
              <w:ind w:left="24"/>
              <w:rPr>
                <w:sz w:val="21"/>
              </w:rPr>
            </w:pPr>
            <w:r>
              <w:rPr>
                <w:spacing w:val="-1"/>
                <w:sz w:val="21"/>
              </w:rPr>
              <w:t>除尘系统</w:t>
            </w:r>
            <w:r>
              <w:rPr>
                <w:rFonts w:ascii="Times New Roman" w:eastAsia="Times New Roman"/>
                <w:sz w:val="21"/>
              </w:rPr>
              <w:t>-</w:t>
            </w:r>
            <w:r>
              <w:rPr>
                <w:sz w:val="21"/>
              </w:rPr>
              <w:t>滤袋</w:t>
            </w:r>
          </w:p>
        </w:tc>
        <w:tc>
          <w:tcPr>
            <w:tcW w:w="1525" w:type="dxa"/>
          </w:tcPr>
          <w:p>
            <w:pPr>
              <w:pStyle w:val="TableParagraph"/>
              <w:spacing w:before="36"/>
              <w:ind w:right="10"/>
              <w:jc w:val="right"/>
              <w:rPr>
                <w:rFonts w:ascii="Times New Roman"/>
                <w:sz w:val="21"/>
              </w:rPr>
            </w:pPr>
            <w:r>
              <w:rPr>
                <w:rFonts w:ascii="Times New Roman"/>
                <w:sz w:val="21"/>
              </w:rPr>
              <w:t>122,688m3/h</w:t>
            </w:r>
          </w:p>
        </w:tc>
        <w:tc>
          <w:tcPr>
            <w:tcW w:w="821" w:type="dxa"/>
            <w:tcBorders>
              <w:top w:val="nil"/>
              <w:bottom w:val="nil"/>
            </w:tcBorders>
          </w:tcPr>
          <w:p>
            <w:pPr>
              <w:pStyle w:val="TableParagraph"/>
              <w:rPr>
                <w:rFonts w:ascii="Times New Roman"/>
                <w:sz w:val="20"/>
              </w:rPr>
            </w:pPr>
          </w:p>
        </w:tc>
      </w:tr>
      <w:tr>
        <w:trPr>
          <w:trHeight w:val="328" w:hRule="atLeast"/>
        </w:trPr>
        <w:tc>
          <w:tcPr>
            <w:tcW w:w="1531" w:type="dxa"/>
            <w:vMerge/>
            <w:tcBorders>
              <w:top w:val="nil"/>
            </w:tcBorders>
          </w:tcPr>
          <w:p>
            <w:pPr>
              <w:rPr>
                <w:sz w:val="2"/>
                <w:szCs w:val="2"/>
              </w:rPr>
            </w:pPr>
          </w:p>
        </w:tc>
        <w:tc>
          <w:tcPr>
            <w:tcW w:w="653" w:type="dxa"/>
            <w:vMerge/>
            <w:tcBorders>
              <w:top w:val="nil"/>
            </w:tcBorders>
          </w:tcPr>
          <w:p>
            <w:pPr>
              <w:rPr>
                <w:sz w:val="2"/>
                <w:szCs w:val="2"/>
              </w:rPr>
            </w:pPr>
          </w:p>
        </w:tc>
        <w:tc>
          <w:tcPr>
            <w:tcW w:w="4732" w:type="dxa"/>
          </w:tcPr>
          <w:p>
            <w:pPr>
              <w:pStyle w:val="TableParagraph"/>
              <w:spacing w:before="29"/>
              <w:ind w:left="24"/>
              <w:rPr>
                <w:sz w:val="21"/>
              </w:rPr>
            </w:pPr>
            <w:r>
              <w:rPr>
                <w:spacing w:val="-1"/>
                <w:sz w:val="21"/>
              </w:rPr>
              <w:t>酸雾废气收集处理系统</w:t>
            </w:r>
            <w:r>
              <w:rPr>
                <w:rFonts w:ascii="Times New Roman" w:eastAsia="Times New Roman"/>
                <w:sz w:val="21"/>
              </w:rPr>
              <w:t>-</w:t>
            </w:r>
            <w:r>
              <w:rPr>
                <w:sz w:val="21"/>
              </w:rPr>
              <w:t>碱洗</w:t>
            </w:r>
          </w:p>
        </w:tc>
        <w:tc>
          <w:tcPr>
            <w:tcW w:w="1525" w:type="dxa"/>
          </w:tcPr>
          <w:p>
            <w:pPr>
              <w:pStyle w:val="TableParagraph"/>
              <w:spacing w:before="36"/>
              <w:ind w:right="10"/>
              <w:jc w:val="right"/>
              <w:rPr>
                <w:rFonts w:ascii="Times New Roman"/>
                <w:sz w:val="21"/>
              </w:rPr>
            </w:pPr>
            <w:r>
              <w:rPr>
                <w:rFonts w:ascii="Times New Roman"/>
                <w:sz w:val="21"/>
              </w:rPr>
              <w:t>35,020m3/h</w:t>
            </w:r>
          </w:p>
        </w:tc>
        <w:tc>
          <w:tcPr>
            <w:tcW w:w="821" w:type="dxa"/>
            <w:tcBorders>
              <w:top w:val="nil"/>
              <w:bottom w:val="nil"/>
            </w:tcBorders>
          </w:tcPr>
          <w:p>
            <w:pPr>
              <w:pStyle w:val="TableParagraph"/>
              <w:rPr>
                <w:rFonts w:ascii="Times New Roman"/>
                <w:sz w:val="20"/>
              </w:rPr>
            </w:pPr>
          </w:p>
        </w:tc>
      </w:tr>
      <w:tr>
        <w:trPr>
          <w:trHeight w:val="328" w:hRule="atLeast"/>
        </w:trPr>
        <w:tc>
          <w:tcPr>
            <w:tcW w:w="1531" w:type="dxa"/>
            <w:vMerge/>
            <w:tcBorders>
              <w:top w:val="nil"/>
            </w:tcBorders>
          </w:tcPr>
          <w:p>
            <w:pPr>
              <w:rPr>
                <w:sz w:val="2"/>
                <w:szCs w:val="2"/>
              </w:rPr>
            </w:pPr>
          </w:p>
        </w:tc>
        <w:tc>
          <w:tcPr>
            <w:tcW w:w="653" w:type="dxa"/>
            <w:vMerge/>
            <w:tcBorders>
              <w:top w:val="nil"/>
            </w:tcBorders>
          </w:tcPr>
          <w:p>
            <w:pPr>
              <w:rPr>
                <w:sz w:val="2"/>
                <w:szCs w:val="2"/>
              </w:rPr>
            </w:pPr>
          </w:p>
        </w:tc>
        <w:tc>
          <w:tcPr>
            <w:tcW w:w="4732" w:type="dxa"/>
          </w:tcPr>
          <w:p>
            <w:pPr>
              <w:pStyle w:val="TableParagraph"/>
              <w:spacing w:before="27"/>
              <w:ind w:left="24"/>
              <w:rPr>
                <w:sz w:val="21"/>
              </w:rPr>
            </w:pPr>
            <w:r>
              <w:rPr>
                <w:sz w:val="21"/>
              </w:rPr>
              <w:t>硫酸雾、氮氧化物收集治理系统</w:t>
            </w:r>
            <w:r>
              <w:rPr>
                <w:rFonts w:ascii="Times New Roman" w:eastAsia="Times New Roman"/>
                <w:sz w:val="21"/>
              </w:rPr>
              <w:t>-</w:t>
            </w:r>
            <w:r>
              <w:rPr>
                <w:sz w:val="21"/>
              </w:rPr>
              <w:t>碱喷淋法</w:t>
            </w:r>
          </w:p>
        </w:tc>
        <w:tc>
          <w:tcPr>
            <w:tcW w:w="1525" w:type="dxa"/>
          </w:tcPr>
          <w:p>
            <w:pPr>
              <w:pStyle w:val="TableParagraph"/>
              <w:spacing w:before="36"/>
              <w:ind w:right="10"/>
              <w:jc w:val="right"/>
              <w:rPr>
                <w:rFonts w:ascii="Times New Roman"/>
                <w:sz w:val="21"/>
              </w:rPr>
            </w:pPr>
            <w:r>
              <w:rPr>
                <w:rFonts w:ascii="Times New Roman"/>
                <w:sz w:val="21"/>
              </w:rPr>
              <w:t>456,000m3/h</w:t>
            </w:r>
          </w:p>
        </w:tc>
        <w:tc>
          <w:tcPr>
            <w:tcW w:w="821" w:type="dxa"/>
            <w:tcBorders>
              <w:top w:val="nil"/>
              <w:bottom w:val="nil"/>
            </w:tcBorders>
          </w:tcPr>
          <w:p>
            <w:pPr>
              <w:pStyle w:val="TableParagraph"/>
              <w:rPr>
                <w:rFonts w:ascii="Times New Roman"/>
                <w:sz w:val="20"/>
              </w:rPr>
            </w:pPr>
          </w:p>
        </w:tc>
      </w:tr>
      <w:tr>
        <w:trPr>
          <w:trHeight w:val="328" w:hRule="atLeast"/>
        </w:trPr>
        <w:tc>
          <w:tcPr>
            <w:tcW w:w="1531" w:type="dxa"/>
            <w:vMerge/>
            <w:tcBorders>
              <w:top w:val="nil"/>
            </w:tcBorders>
          </w:tcPr>
          <w:p>
            <w:pPr>
              <w:rPr>
                <w:sz w:val="2"/>
                <w:szCs w:val="2"/>
              </w:rPr>
            </w:pPr>
          </w:p>
        </w:tc>
        <w:tc>
          <w:tcPr>
            <w:tcW w:w="653" w:type="dxa"/>
            <w:vMerge/>
            <w:tcBorders>
              <w:top w:val="nil"/>
            </w:tcBorders>
          </w:tcPr>
          <w:p>
            <w:pPr>
              <w:rPr>
                <w:sz w:val="2"/>
                <w:szCs w:val="2"/>
              </w:rPr>
            </w:pPr>
          </w:p>
        </w:tc>
        <w:tc>
          <w:tcPr>
            <w:tcW w:w="4732" w:type="dxa"/>
          </w:tcPr>
          <w:p>
            <w:pPr>
              <w:pStyle w:val="TableParagraph"/>
              <w:spacing w:before="27"/>
              <w:ind w:left="24"/>
              <w:rPr>
                <w:sz w:val="21"/>
              </w:rPr>
            </w:pPr>
            <w:r>
              <w:rPr>
                <w:sz w:val="21"/>
              </w:rPr>
              <w:t>氮氧化物收集治理系统</w:t>
            </w:r>
            <w:r>
              <w:rPr>
                <w:rFonts w:ascii="Times New Roman" w:eastAsia="Times New Roman"/>
                <w:sz w:val="21"/>
              </w:rPr>
              <w:t>-</w:t>
            </w:r>
            <w:r>
              <w:rPr>
                <w:sz w:val="21"/>
              </w:rPr>
              <w:t>碱喷淋法</w:t>
            </w:r>
          </w:p>
        </w:tc>
        <w:tc>
          <w:tcPr>
            <w:tcW w:w="1525" w:type="dxa"/>
          </w:tcPr>
          <w:p>
            <w:pPr>
              <w:pStyle w:val="TableParagraph"/>
              <w:spacing w:before="36"/>
              <w:ind w:right="10"/>
              <w:jc w:val="right"/>
              <w:rPr>
                <w:rFonts w:ascii="Times New Roman"/>
                <w:sz w:val="21"/>
              </w:rPr>
            </w:pPr>
            <w:r>
              <w:rPr>
                <w:rFonts w:ascii="Times New Roman"/>
                <w:sz w:val="21"/>
              </w:rPr>
              <w:t>250,000m3/h</w:t>
            </w:r>
          </w:p>
        </w:tc>
        <w:tc>
          <w:tcPr>
            <w:tcW w:w="821" w:type="dxa"/>
            <w:vMerge w:val="restart"/>
            <w:tcBorders>
              <w:top w:val="nil"/>
              <w:bottom w:val="nil"/>
            </w:tcBorders>
          </w:tcPr>
          <w:p>
            <w:pPr>
              <w:pStyle w:val="TableParagraph"/>
              <w:spacing w:line="244" w:lineRule="auto" w:before="61"/>
              <w:ind w:left="200" w:right="186"/>
              <w:rPr>
                <w:sz w:val="21"/>
              </w:rPr>
            </w:pPr>
            <w:r>
              <w:rPr>
                <w:spacing w:val="-1"/>
                <w:sz w:val="21"/>
              </w:rPr>
              <w:t>正常运行</w:t>
            </w:r>
          </w:p>
        </w:tc>
      </w:tr>
      <w:tr>
        <w:trPr>
          <w:trHeight w:val="328" w:hRule="atLeast"/>
        </w:trPr>
        <w:tc>
          <w:tcPr>
            <w:tcW w:w="1531" w:type="dxa"/>
            <w:vMerge/>
            <w:tcBorders>
              <w:top w:val="nil"/>
            </w:tcBorders>
          </w:tcPr>
          <w:p>
            <w:pPr>
              <w:rPr>
                <w:sz w:val="2"/>
                <w:szCs w:val="2"/>
              </w:rPr>
            </w:pPr>
          </w:p>
        </w:tc>
        <w:tc>
          <w:tcPr>
            <w:tcW w:w="653" w:type="dxa"/>
            <w:vMerge/>
            <w:tcBorders>
              <w:top w:val="nil"/>
            </w:tcBorders>
          </w:tcPr>
          <w:p>
            <w:pPr>
              <w:rPr>
                <w:sz w:val="2"/>
                <w:szCs w:val="2"/>
              </w:rPr>
            </w:pPr>
          </w:p>
        </w:tc>
        <w:tc>
          <w:tcPr>
            <w:tcW w:w="4732" w:type="dxa"/>
          </w:tcPr>
          <w:p>
            <w:pPr>
              <w:pStyle w:val="TableParagraph"/>
              <w:spacing w:before="27"/>
              <w:ind w:left="24"/>
              <w:rPr>
                <w:sz w:val="21"/>
              </w:rPr>
            </w:pPr>
            <w:r>
              <w:rPr>
                <w:spacing w:val="-1"/>
                <w:sz w:val="21"/>
              </w:rPr>
              <w:t>有机废气收集治理系统</w:t>
            </w:r>
            <w:r>
              <w:rPr>
                <w:rFonts w:ascii="Times New Roman" w:eastAsia="Times New Roman"/>
                <w:sz w:val="21"/>
              </w:rPr>
              <w:t>-</w:t>
            </w:r>
            <w:r>
              <w:rPr>
                <w:sz w:val="21"/>
              </w:rPr>
              <w:t>高效油雾净化装置</w:t>
            </w:r>
          </w:p>
        </w:tc>
        <w:tc>
          <w:tcPr>
            <w:tcW w:w="1525" w:type="dxa"/>
          </w:tcPr>
          <w:p>
            <w:pPr>
              <w:pStyle w:val="TableParagraph"/>
              <w:spacing w:before="36"/>
              <w:ind w:right="11"/>
              <w:jc w:val="right"/>
              <w:rPr>
                <w:rFonts w:ascii="Times New Roman"/>
                <w:sz w:val="21"/>
              </w:rPr>
            </w:pPr>
            <w:r>
              <w:rPr>
                <w:rFonts w:ascii="Times New Roman"/>
                <w:sz w:val="21"/>
              </w:rPr>
              <w:t>3,338,000m3/h</w:t>
            </w:r>
          </w:p>
        </w:tc>
        <w:tc>
          <w:tcPr>
            <w:tcW w:w="821" w:type="dxa"/>
            <w:vMerge/>
            <w:tcBorders>
              <w:top w:val="nil"/>
              <w:bottom w:val="nil"/>
            </w:tcBorders>
          </w:tcPr>
          <w:p>
            <w:pPr>
              <w:rPr>
                <w:sz w:val="2"/>
                <w:szCs w:val="2"/>
              </w:rPr>
            </w:pPr>
          </w:p>
        </w:tc>
      </w:tr>
      <w:tr>
        <w:trPr>
          <w:trHeight w:val="328" w:hRule="atLeast"/>
        </w:trPr>
        <w:tc>
          <w:tcPr>
            <w:tcW w:w="1531" w:type="dxa"/>
            <w:vMerge/>
            <w:tcBorders>
              <w:top w:val="nil"/>
            </w:tcBorders>
          </w:tcPr>
          <w:p>
            <w:pPr>
              <w:rPr>
                <w:sz w:val="2"/>
                <w:szCs w:val="2"/>
              </w:rPr>
            </w:pPr>
          </w:p>
        </w:tc>
        <w:tc>
          <w:tcPr>
            <w:tcW w:w="653" w:type="dxa"/>
            <w:vMerge/>
            <w:tcBorders>
              <w:top w:val="nil"/>
            </w:tcBorders>
          </w:tcPr>
          <w:p>
            <w:pPr>
              <w:rPr>
                <w:sz w:val="2"/>
                <w:szCs w:val="2"/>
              </w:rPr>
            </w:pPr>
          </w:p>
        </w:tc>
        <w:tc>
          <w:tcPr>
            <w:tcW w:w="4732" w:type="dxa"/>
          </w:tcPr>
          <w:p>
            <w:pPr>
              <w:pStyle w:val="TableParagraph"/>
              <w:spacing w:before="27"/>
              <w:ind w:left="24"/>
              <w:rPr>
                <w:sz w:val="21"/>
              </w:rPr>
            </w:pPr>
            <w:r>
              <w:rPr>
                <w:spacing w:val="-1"/>
                <w:sz w:val="21"/>
              </w:rPr>
              <w:t>有机废气收集治理系统</w:t>
            </w:r>
            <w:r>
              <w:rPr>
                <w:rFonts w:ascii="Times New Roman" w:eastAsia="Times New Roman"/>
                <w:sz w:val="21"/>
              </w:rPr>
              <w:t>-</w:t>
            </w:r>
            <w:r>
              <w:rPr>
                <w:sz w:val="21"/>
              </w:rPr>
              <w:t>活性炭吸附</w:t>
            </w:r>
          </w:p>
        </w:tc>
        <w:tc>
          <w:tcPr>
            <w:tcW w:w="1525" w:type="dxa"/>
          </w:tcPr>
          <w:p>
            <w:pPr>
              <w:pStyle w:val="TableParagraph"/>
              <w:spacing w:before="36"/>
              <w:ind w:right="10"/>
              <w:jc w:val="right"/>
              <w:rPr>
                <w:rFonts w:ascii="Times New Roman"/>
                <w:sz w:val="21"/>
              </w:rPr>
            </w:pPr>
            <w:r>
              <w:rPr>
                <w:rFonts w:ascii="Times New Roman"/>
                <w:sz w:val="21"/>
              </w:rPr>
              <w:t>10,000m3/h</w:t>
            </w:r>
          </w:p>
        </w:tc>
        <w:tc>
          <w:tcPr>
            <w:tcW w:w="821" w:type="dxa"/>
            <w:tcBorders>
              <w:top w:val="nil"/>
              <w:bottom w:val="nil"/>
            </w:tcBorders>
          </w:tcPr>
          <w:p>
            <w:pPr>
              <w:pStyle w:val="TableParagraph"/>
              <w:rPr>
                <w:rFonts w:ascii="Times New Roman"/>
                <w:sz w:val="20"/>
              </w:rPr>
            </w:pPr>
          </w:p>
        </w:tc>
      </w:tr>
      <w:tr>
        <w:trPr>
          <w:trHeight w:val="328" w:hRule="atLeast"/>
        </w:trPr>
        <w:tc>
          <w:tcPr>
            <w:tcW w:w="1531" w:type="dxa"/>
            <w:vMerge/>
            <w:tcBorders>
              <w:top w:val="nil"/>
            </w:tcBorders>
          </w:tcPr>
          <w:p>
            <w:pPr>
              <w:rPr>
                <w:sz w:val="2"/>
                <w:szCs w:val="2"/>
              </w:rPr>
            </w:pPr>
          </w:p>
        </w:tc>
        <w:tc>
          <w:tcPr>
            <w:tcW w:w="653" w:type="dxa"/>
            <w:vMerge/>
            <w:tcBorders>
              <w:top w:val="nil"/>
            </w:tcBorders>
          </w:tcPr>
          <w:p>
            <w:pPr>
              <w:rPr>
                <w:sz w:val="2"/>
                <w:szCs w:val="2"/>
              </w:rPr>
            </w:pPr>
          </w:p>
        </w:tc>
        <w:tc>
          <w:tcPr>
            <w:tcW w:w="4732" w:type="dxa"/>
          </w:tcPr>
          <w:p>
            <w:pPr>
              <w:pStyle w:val="TableParagraph"/>
              <w:spacing w:before="27"/>
              <w:ind w:left="24"/>
              <w:rPr>
                <w:sz w:val="21"/>
              </w:rPr>
            </w:pPr>
            <w:r>
              <w:rPr>
                <w:spacing w:val="-1"/>
                <w:sz w:val="21"/>
              </w:rPr>
              <w:t>有机废气收集治理系统</w:t>
            </w:r>
            <w:r>
              <w:rPr>
                <w:rFonts w:ascii="Times New Roman" w:eastAsia="Times New Roman"/>
                <w:sz w:val="21"/>
              </w:rPr>
              <w:t>-</w:t>
            </w:r>
            <w:r>
              <w:rPr>
                <w:sz w:val="21"/>
              </w:rPr>
              <w:t>活性炭吸附</w:t>
            </w:r>
            <w:r>
              <w:rPr>
                <w:rFonts w:ascii="Times New Roman" w:eastAsia="Times New Roman"/>
                <w:sz w:val="21"/>
              </w:rPr>
              <w:t>+uv</w:t>
            </w:r>
            <w:r>
              <w:rPr>
                <w:rFonts w:ascii="Times New Roman" w:eastAsia="Times New Roman"/>
                <w:spacing w:val="-13"/>
                <w:sz w:val="21"/>
              </w:rPr>
              <w:t> </w:t>
            </w:r>
            <w:r>
              <w:rPr>
                <w:sz w:val="21"/>
              </w:rPr>
              <w:t>光解</w:t>
            </w:r>
          </w:p>
        </w:tc>
        <w:tc>
          <w:tcPr>
            <w:tcW w:w="1525" w:type="dxa"/>
          </w:tcPr>
          <w:p>
            <w:pPr>
              <w:pStyle w:val="TableParagraph"/>
              <w:spacing w:before="36"/>
              <w:ind w:right="10"/>
              <w:jc w:val="right"/>
              <w:rPr>
                <w:rFonts w:ascii="Times New Roman"/>
                <w:sz w:val="21"/>
              </w:rPr>
            </w:pPr>
            <w:r>
              <w:rPr>
                <w:rFonts w:ascii="Times New Roman"/>
                <w:sz w:val="21"/>
              </w:rPr>
              <w:t>933,700m3/h</w:t>
            </w:r>
          </w:p>
        </w:tc>
        <w:tc>
          <w:tcPr>
            <w:tcW w:w="821" w:type="dxa"/>
            <w:tcBorders>
              <w:top w:val="nil"/>
              <w:bottom w:val="nil"/>
            </w:tcBorders>
          </w:tcPr>
          <w:p>
            <w:pPr>
              <w:pStyle w:val="TableParagraph"/>
              <w:rPr>
                <w:rFonts w:ascii="Times New Roman"/>
                <w:sz w:val="20"/>
              </w:rPr>
            </w:pPr>
          </w:p>
        </w:tc>
      </w:tr>
      <w:tr>
        <w:trPr>
          <w:trHeight w:val="326" w:hRule="atLeast"/>
        </w:trPr>
        <w:tc>
          <w:tcPr>
            <w:tcW w:w="1531" w:type="dxa"/>
            <w:vMerge/>
            <w:tcBorders>
              <w:top w:val="nil"/>
            </w:tcBorders>
          </w:tcPr>
          <w:p>
            <w:pPr>
              <w:rPr>
                <w:sz w:val="2"/>
                <w:szCs w:val="2"/>
              </w:rPr>
            </w:pPr>
          </w:p>
        </w:tc>
        <w:tc>
          <w:tcPr>
            <w:tcW w:w="653" w:type="dxa"/>
            <w:vMerge/>
            <w:tcBorders>
              <w:top w:val="nil"/>
            </w:tcBorders>
          </w:tcPr>
          <w:p>
            <w:pPr>
              <w:rPr>
                <w:sz w:val="2"/>
                <w:szCs w:val="2"/>
              </w:rPr>
            </w:pPr>
          </w:p>
        </w:tc>
        <w:tc>
          <w:tcPr>
            <w:tcW w:w="4732" w:type="dxa"/>
          </w:tcPr>
          <w:p>
            <w:pPr>
              <w:pStyle w:val="TableParagraph"/>
              <w:spacing w:before="28"/>
              <w:ind w:left="24"/>
              <w:rPr>
                <w:sz w:val="21"/>
              </w:rPr>
            </w:pPr>
            <w:r>
              <w:rPr>
                <w:spacing w:val="-1"/>
                <w:sz w:val="21"/>
              </w:rPr>
              <w:t>有机废气收集治理系统</w:t>
            </w:r>
            <w:r>
              <w:rPr>
                <w:rFonts w:ascii="Times New Roman" w:eastAsia="Times New Roman"/>
                <w:sz w:val="21"/>
              </w:rPr>
              <w:t>-</w:t>
            </w:r>
            <w:r>
              <w:rPr>
                <w:sz w:val="21"/>
              </w:rPr>
              <w:t>水洗</w:t>
            </w:r>
            <w:r>
              <w:rPr>
                <w:rFonts w:ascii="Times New Roman" w:eastAsia="Times New Roman"/>
                <w:sz w:val="21"/>
              </w:rPr>
              <w:t>+</w:t>
            </w:r>
            <w:r>
              <w:rPr>
                <w:sz w:val="21"/>
              </w:rPr>
              <w:t>活性炭吸附</w:t>
            </w:r>
            <w:r>
              <w:rPr>
                <w:rFonts w:ascii="Times New Roman" w:eastAsia="Times New Roman"/>
                <w:sz w:val="21"/>
              </w:rPr>
              <w:t>+uv</w:t>
            </w:r>
            <w:r>
              <w:rPr>
                <w:rFonts w:ascii="Times New Roman" w:eastAsia="Times New Roman"/>
                <w:spacing w:val="-13"/>
                <w:sz w:val="21"/>
              </w:rPr>
              <w:t> </w:t>
            </w:r>
            <w:r>
              <w:rPr>
                <w:sz w:val="21"/>
              </w:rPr>
              <w:t>光解</w:t>
            </w:r>
          </w:p>
        </w:tc>
        <w:tc>
          <w:tcPr>
            <w:tcW w:w="1525" w:type="dxa"/>
          </w:tcPr>
          <w:p>
            <w:pPr>
              <w:pStyle w:val="TableParagraph"/>
              <w:spacing w:before="37"/>
              <w:ind w:right="10"/>
              <w:jc w:val="right"/>
              <w:rPr>
                <w:rFonts w:ascii="Times New Roman"/>
                <w:sz w:val="21"/>
              </w:rPr>
            </w:pPr>
            <w:r>
              <w:rPr>
                <w:rFonts w:ascii="Times New Roman"/>
                <w:sz w:val="21"/>
              </w:rPr>
              <w:t>45,600m3/h</w:t>
            </w:r>
          </w:p>
        </w:tc>
        <w:tc>
          <w:tcPr>
            <w:tcW w:w="821" w:type="dxa"/>
            <w:tcBorders>
              <w:top w:val="nil"/>
              <w:bottom w:val="nil"/>
            </w:tcBorders>
          </w:tcPr>
          <w:p>
            <w:pPr>
              <w:pStyle w:val="TableParagraph"/>
              <w:rPr>
                <w:rFonts w:ascii="Times New Roman"/>
                <w:sz w:val="20"/>
              </w:rPr>
            </w:pPr>
          </w:p>
        </w:tc>
      </w:tr>
      <w:tr>
        <w:trPr>
          <w:trHeight w:val="328" w:hRule="atLeast"/>
        </w:trPr>
        <w:tc>
          <w:tcPr>
            <w:tcW w:w="1531" w:type="dxa"/>
            <w:vMerge/>
            <w:tcBorders>
              <w:top w:val="nil"/>
            </w:tcBorders>
          </w:tcPr>
          <w:p>
            <w:pPr>
              <w:rPr>
                <w:sz w:val="2"/>
                <w:szCs w:val="2"/>
              </w:rPr>
            </w:pPr>
          </w:p>
        </w:tc>
        <w:tc>
          <w:tcPr>
            <w:tcW w:w="653" w:type="dxa"/>
            <w:vMerge/>
            <w:tcBorders>
              <w:top w:val="nil"/>
            </w:tcBorders>
          </w:tcPr>
          <w:p>
            <w:pPr>
              <w:rPr>
                <w:sz w:val="2"/>
                <w:szCs w:val="2"/>
              </w:rPr>
            </w:pPr>
          </w:p>
        </w:tc>
        <w:tc>
          <w:tcPr>
            <w:tcW w:w="4732" w:type="dxa"/>
          </w:tcPr>
          <w:p>
            <w:pPr>
              <w:pStyle w:val="TableParagraph"/>
              <w:spacing w:before="30"/>
              <w:ind w:left="24"/>
              <w:rPr>
                <w:sz w:val="21"/>
              </w:rPr>
            </w:pPr>
            <w:r>
              <w:rPr>
                <w:sz w:val="21"/>
              </w:rPr>
              <w:t>有机废气收集治理系统</w:t>
            </w:r>
            <w:r>
              <w:rPr>
                <w:rFonts w:ascii="Times New Roman" w:eastAsia="Times New Roman"/>
                <w:sz w:val="21"/>
              </w:rPr>
              <w:t>-</w:t>
            </w:r>
            <w:r>
              <w:rPr>
                <w:sz w:val="21"/>
              </w:rPr>
              <w:t>碱喷淋法</w:t>
            </w:r>
          </w:p>
        </w:tc>
        <w:tc>
          <w:tcPr>
            <w:tcW w:w="1525" w:type="dxa"/>
          </w:tcPr>
          <w:p>
            <w:pPr>
              <w:pStyle w:val="TableParagraph"/>
              <w:spacing w:before="39"/>
              <w:ind w:right="10"/>
              <w:jc w:val="right"/>
              <w:rPr>
                <w:rFonts w:ascii="Times New Roman"/>
                <w:sz w:val="21"/>
              </w:rPr>
            </w:pPr>
            <w:r>
              <w:rPr>
                <w:rFonts w:ascii="Times New Roman"/>
                <w:sz w:val="21"/>
              </w:rPr>
              <w:t>25,000m3/h</w:t>
            </w:r>
          </w:p>
        </w:tc>
        <w:tc>
          <w:tcPr>
            <w:tcW w:w="821" w:type="dxa"/>
            <w:tcBorders>
              <w:top w:val="nil"/>
              <w:bottom w:val="nil"/>
            </w:tcBorders>
          </w:tcPr>
          <w:p>
            <w:pPr>
              <w:pStyle w:val="TableParagraph"/>
              <w:rPr>
                <w:rFonts w:ascii="Times New Roman"/>
                <w:sz w:val="20"/>
              </w:rPr>
            </w:pPr>
          </w:p>
        </w:tc>
      </w:tr>
      <w:tr>
        <w:trPr>
          <w:trHeight w:val="328" w:hRule="atLeast"/>
        </w:trPr>
        <w:tc>
          <w:tcPr>
            <w:tcW w:w="1531" w:type="dxa"/>
            <w:vMerge/>
            <w:tcBorders>
              <w:top w:val="nil"/>
            </w:tcBorders>
          </w:tcPr>
          <w:p>
            <w:pPr>
              <w:rPr>
                <w:sz w:val="2"/>
                <w:szCs w:val="2"/>
              </w:rPr>
            </w:pPr>
          </w:p>
        </w:tc>
        <w:tc>
          <w:tcPr>
            <w:tcW w:w="653" w:type="dxa"/>
            <w:vMerge/>
            <w:tcBorders>
              <w:top w:val="nil"/>
            </w:tcBorders>
          </w:tcPr>
          <w:p>
            <w:pPr>
              <w:rPr>
                <w:sz w:val="2"/>
                <w:szCs w:val="2"/>
              </w:rPr>
            </w:pPr>
          </w:p>
        </w:tc>
        <w:tc>
          <w:tcPr>
            <w:tcW w:w="4732" w:type="dxa"/>
          </w:tcPr>
          <w:p>
            <w:pPr>
              <w:pStyle w:val="TableParagraph"/>
              <w:spacing w:before="29"/>
              <w:ind w:left="24"/>
              <w:rPr>
                <w:sz w:val="21"/>
              </w:rPr>
            </w:pPr>
            <w:r>
              <w:rPr>
                <w:spacing w:val="-1"/>
                <w:sz w:val="21"/>
              </w:rPr>
              <w:t>氨、硫化氢、臭气浓度收集治理系统</w:t>
            </w:r>
            <w:r>
              <w:rPr>
                <w:rFonts w:ascii="Times New Roman" w:eastAsia="Times New Roman"/>
                <w:sz w:val="21"/>
              </w:rPr>
              <w:t>--</w:t>
            </w:r>
            <w:r>
              <w:rPr>
                <w:sz w:val="21"/>
              </w:rPr>
              <w:t>活性炭吸附</w:t>
            </w:r>
          </w:p>
        </w:tc>
        <w:tc>
          <w:tcPr>
            <w:tcW w:w="1525" w:type="dxa"/>
          </w:tcPr>
          <w:p>
            <w:pPr>
              <w:pStyle w:val="TableParagraph"/>
              <w:spacing w:before="39"/>
              <w:ind w:right="10"/>
              <w:jc w:val="right"/>
              <w:rPr>
                <w:rFonts w:ascii="Times New Roman"/>
                <w:sz w:val="21"/>
              </w:rPr>
            </w:pPr>
            <w:r>
              <w:rPr>
                <w:rFonts w:ascii="Times New Roman"/>
                <w:sz w:val="21"/>
              </w:rPr>
              <w:t>70,000m3/h</w:t>
            </w:r>
          </w:p>
        </w:tc>
        <w:tc>
          <w:tcPr>
            <w:tcW w:w="821" w:type="dxa"/>
            <w:tcBorders>
              <w:top w:val="nil"/>
            </w:tcBorders>
          </w:tcPr>
          <w:p>
            <w:pPr>
              <w:pStyle w:val="TableParagraph"/>
              <w:rPr>
                <w:rFonts w:ascii="Times New Roman"/>
                <w:sz w:val="20"/>
              </w:rPr>
            </w:pPr>
          </w:p>
        </w:tc>
      </w:tr>
      <w:tr>
        <w:trPr>
          <w:trHeight w:val="328" w:hRule="atLeast"/>
        </w:trPr>
        <w:tc>
          <w:tcPr>
            <w:tcW w:w="1531" w:type="dxa"/>
            <w:vMerge w:val="restart"/>
            <w:tcBorders>
              <w:bottom w:val="nil"/>
            </w:tcBorders>
          </w:tcPr>
          <w:p>
            <w:pPr>
              <w:pStyle w:val="TableParagraph"/>
              <w:rPr>
                <w:sz w:val="20"/>
              </w:rPr>
            </w:pPr>
          </w:p>
          <w:p>
            <w:pPr>
              <w:pStyle w:val="TableParagraph"/>
              <w:rPr>
                <w:sz w:val="20"/>
              </w:rPr>
            </w:pPr>
          </w:p>
          <w:p>
            <w:pPr>
              <w:pStyle w:val="TableParagraph"/>
              <w:spacing w:line="244" w:lineRule="auto" w:before="160"/>
              <w:ind w:left="28" w:right="13"/>
              <w:rPr>
                <w:sz w:val="21"/>
              </w:rPr>
            </w:pPr>
            <w:r>
              <w:rPr>
                <w:spacing w:val="12"/>
                <w:sz w:val="21"/>
              </w:rPr>
              <w:t>富联科技</w:t>
            </w:r>
            <w:r>
              <w:rPr>
                <w:rFonts w:ascii="Times New Roman" w:eastAsia="Times New Roman"/>
                <w:sz w:val="21"/>
              </w:rPr>
              <w:t>(</w:t>
            </w:r>
            <w:r>
              <w:rPr>
                <w:spacing w:val="9"/>
                <w:sz w:val="21"/>
              </w:rPr>
              <w:t>济源</w:t>
            </w:r>
            <w:r>
              <w:rPr>
                <w:rFonts w:ascii="Times New Roman" w:eastAsia="Times New Roman"/>
                <w:sz w:val="21"/>
              </w:rPr>
              <w:t>)</w:t>
            </w:r>
            <w:r>
              <w:rPr>
                <w:rFonts w:ascii="Times New Roman" w:eastAsia="Times New Roman"/>
                <w:spacing w:val="-50"/>
                <w:sz w:val="21"/>
              </w:rPr>
              <w:t> </w:t>
            </w:r>
            <w:r>
              <w:rPr>
                <w:sz w:val="21"/>
              </w:rPr>
              <w:t>有限公司</w:t>
            </w:r>
          </w:p>
        </w:tc>
        <w:tc>
          <w:tcPr>
            <w:tcW w:w="653" w:type="dxa"/>
            <w:vMerge w:val="restart"/>
            <w:tcBorders>
              <w:bottom w:val="nil"/>
            </w:tcBorders>
          </w:tcPr>
          <w:p>
            <w:pPr>
              <w:pStyle w:val="TableParagraph"/>
              <w:rPr>
                <w:sz w:val="20"/>
              </w:rPr>
            </w:pPr>
          </w:p>
          <w:p>
            <w:pPr>
              <w:pStyle w:val="TableParagraph"/>
              <w:rPr>
                <w:sz w:val="20"/>
              </w:rPr>
            </w:pPr>
          </w:p>
          <w:p>
            <w:pPr>
              <w:pStyle w:val="TableParagraph"/>
              <w:spacing w:before="2"/>
              <w:rPr>
                <w:sz w:val="23"/>
              </w:rPr>
            </w:pPr>
          </w:p>
          <w:p>
            <w:pPr>
              <w:pStyle w:val="TableParagraph"/>
              <w:ind w:left="112"/>
              <w:rPr>
                <w:sz w:val="21"/>
              </w:rPr>
            </w:pPr>
            <w:r>
              <w:rPr>
                <w:sz w:val="21"/>
              </w:rPr>
              <w:t>废水</w:t>
            </w:r>
          </w:p>
        </w:tc>
        <w:tc>
          <w:tcPr>
            <w:tcW w:w="4732" w:type="dxa"/>
          </w:tcPr>
          <w:p>
            <w:pPr>
              <w:pStyle w:val="TableParagraph"/>
              <w:spacing w:before="29"/>
              <w:ind w:left="24"/>
              <w:rPr>
                <w:rFonts w:ascii="Times New Roman" w:eastAsia="Times New Roman"/>
                <w:sz w:val="21"/>
              </w:rPr>
            </w:pPr>
            <w:r>
              <w:rPr>
                <w:spacing w:val="-1"/>
                <w:sz w:val="21"/>
              </w:rPr>
              <w:t>有机系统</w:t>
            </w:r>
            <w:r>
              <w:rPr>
                <w:rFonts w:ascii="Times New Roman" w:eastAsia="Times New Roman"/>
                <w:spacing w:val="-1"/>
                <w:sz w:val="21"/>
              </w:rPr>
              <w:t>-</w:t>
            </w:r>
            <w:r>
              <w:rPr>
                <w:spacing w:val="-1"/>
                <w:sz w:val="21"/>
              </w:rPr>
              <w:t>混凝沉淀</w:t>
            </w:r>
            <w:r>
              <w:rPr>
                <w:rFonts w:ascii="Times New Roman" w:eastAsia="Times New Roman"/>
                <w:sz w:val="21"/>
              </w:rPr>
              <w:t>+</w:t>
            </w:r>
            <w:r>
              <w:rPr>
                <w:sz w:val="21"/>
              </w:rPr>
              <w:t>厌氧</w:t>
            </w:r>
            <w:r>
              <w:rPr>
                <w:rFonts w:ascii="Times New Roman" w:eastAsia="Times New Roman"/>
                <w:sz w:val="21"/>
              </w:rPr>
              <w:t>+</w:t>
            </w:r>
            <w:r>
              <w:rPr>
                <w:sz w:val="21"/>
              </w:rPr>
              <w:t>缺氧</w:t>
            </w:r>
            <w:r>
              <w:rPr>
                <w:rFonts w:ascii="Times New Roman" w:eastAsia="Times New Roman"/>
                <w:sz w:val="21"/>
              </w:rPr>
              <w:t>+MBR</w:t>
            </w:r>
          </w:p>
        </w:tc>
        <w:tc>
          <w:tcPr>
            <w:tcW w:w="1525" w:type="dxa"/>
          </w:tcPr>
          <w:p>
            <w:pPr>
              <w:pStyle w:val="TableParagraph"/>
              <w:spacing w:before="34"/>
              <w:ind w:right="11"/>
              <w:jc w:val="right"/>
              <w:rPr>
                <w:rFonts w:ascii="Times New Roman"/>
                <w:sz w:val="21"/>
              </w:rPr>
            </w:pPr>
            <w:r>
              <w:rPr>
                <w:rFonts w:ascii="Times New Roman"/>
                <w:sz w:val="21"/>
              </w:rPr>
              <w:t>4,000m</w:t>
            </w:r>
            <w:r>
              <w:rPr>
                <w:rFonts w:ascii="Times New Roman"/>
                <w:position w:val="7"/>
                <w:sz w:val="14"/>
              </w:rPr>
              <w:t>3</w:t>
            </w:r>
            <w:r>
              <w:rPr>
                <w:rFonts w:ascii="Times New Roman"/>
                <w:sz w:val="21"/>
              </w:rPr>
              <w:t>/d</w:t>
            </w:r>
          </w:p>
        </w:tc>
        <w:tc>
          <w:tcPr>
            <w:tcW w:w="821" w:type="dxa"/>
            <w:vMerge w:val="restart"/>
            <w:tcBorders>
              <w:bottom w:val="nil"/>
            </w:tcBorders>
          </w:tcPr>
          <w:p>
            <w:pPr>
              <w:pStyle w:val="TableParagraph"/>
              <w:rPr>
                <w:sz w:val="20"/>
              </w:rPr>
            </w:pPr>
          </w:p>
          <w:p>
            <w:pPr>
              <w:pStyle w:val="TableParagraph"/>
              <w:rPr>
                <w:sz w:val="20"/>
              </w:rPr>
            </w:pPr>
          </w:p>
          <w:p>
            <w:pPr>
              <w:pStyle w:val="TableParagraph"/>
              <w:spacing w:line="244" w:lineRule="auto" w:before="160"/>
              <w:ind w:left="200" w:right="186"/>
              <w:rPr>
                <w:sz w:val="21"/>
              </w:rPr>
            </w:pPr>
            <w:r>
              <w:rPr>
                <w:spacing w:val="-1"/>
                <w:sz w:val="21"/>
              </w:rPr>
              <w:t>正常运行</w:t>
            </w:r>
          </w:p>
        </w:tc>
      </w:tr>
      <w:tr>
        <w:trPr>
          <w:trHeight w:val="328" w:hRule="atLeast"/>
        </w:trPr>
        <w:tc>
          <w:tcPr>
            <w:tcW w:w="1531" w:type="dxa"/>
            <w:vMerge/>
            <w:tcBorders>
              <w:top w:val="nil"/>
              <w:bottom w:val="nil"/>
            </w:tcBorders>
          </w:tcPr>
          <w:p>
            <w:pPr>
              <w:rPr>
                <w:sz w:val="2"/>
                <w:szCs w:val="2"/>
              </w:rPr>
            </w:pPr>
          </w:p>
        </w:tc>
        <w:tc>
          <w:tcPr>
            <w:tcW w:w="653" w:type="dxa"/>
            <w:vMerge/>
            <w:tcBorders>
              <w:top w:val="nil"/>
              <w:bottom w:val="nil"/>
            </w:tcBorders>
          </w:tcPr>
          <w:p>
            <w:pPr>
              <w:rPr>
                <w:sz w:val="2"/>
                <w:szCs w:val="2"/>
              </w:rPr>
            </w:pPr>
          </w:p>
        </w:tc>
        <w:tc>
          <w:tcPr>
            <w:tcW w:w="4732" w:type="dxa"/>
          </w:tcPr>
          <w:p>
            <w:pPr>
              <w:pStyle w:val="TableParagraph"/>
              <w:spacing w:before="29"/>
              <w:ind w:left="24"/>
              <w:rPr>
                <w:sz w:val="21"/>
              </w:rPr>
            </w:pPr>
            <w:r>
              <w:rPr>
                <w:spacing w:val="-1"/>
                <w:sz w:val="21"/>
              </w:rPr>
              <w:t>综合系统</w:t>
            </w:r>
            <w:r>
              <w:rPr>
                <w:rFonts w:ascii="Times New Roman" w:eastAsia="Times New Roman"/>
                <w:sz w:val="21"/>
              </w:rPr>
              <w:t>-</w:t>
            </w:r>
            <w:r>
              <w:rPr>
                <w:sz w:val="21"/>
              </w:rPr>
              <w:t>两级化学沉淀法</w:t>
            </w:r>
          </w:p>
        </w:tc>
        <w:tc>
          <w:tcPr>
            <w:tcW w:w="1525" w:type="dxa"/>
          </w:tcPr>
          <w:p>
            <w:pPr>
              <w:pStyle w:val="TableParagraph"/>
              <w:spacing w:before="34"/>
              <w:ind w:right="11"/>
              <w:jc w:val="right"/>
              <w:rPr>
                <w:rFonts w:ascii="Times New Roman"/>
                <w:sz w:val="21"/>
              </w:rPr>
            </w:pPr>
            <w:r>
              <w:rPr>
                <w:rFonts w:ascii="Times New Roman"/>
                <w:sz w:val="21"/>
              </w:rPr>
              <w:t>5,400m</w:t>
            </w:r>
            <w:r>
              <w:rPr>
                <w:rFonts w:ascii="Times New Roman"/>
                <w:position w:val="7"/>
                <w:sz w:val="14"/>
              </w:rPr>
              <w:t>3</w:t>
            </w:r>
            <w:r>
              <w:rPr>
                <w:rFonts w:ascii="Times New Roman"/>
                <w:sz w:val="21"/>
              </w:rPr>
              <w:t>/d</w:t>
            </w:r>
          </w:p>
        </w:tc>
        <w:tc>
          <w:tcPr>
            <w:tcW w:w="821" w:type="dxa"/>
            <w:vMerge/>
            <w:tcBorders>
              <w:top w:val="nil"/>
              <w:bottom w:val="nil"/>
            </w:tcBorders>
          </w:tcPr>
          <w:p>
            <w:pPr>
              <w:rPr>
                <w:sz w:val="2"/>
                <w:szCs w:val="2"/>
              </w:rPr>
            </w:pPr>
          </w:p>
        </w:tc>
      </w:tr>
      <w:tr>
        <w:trPr>
          <w:trHeight w:val="602" w:hRule="atLeast"/>
        </w:trPr>
        <w:tc>
          <w:tcPr>
            <w:tcW w:w="1531" w:type="dxa"/>
            <w:vMerge/>
            <w:tcBorders>
              <w:top w:val="nil"/>
              <w:bottom w:val="nil"/>
            </w:tcBorders>
          </w:tcPr>
          <w:p>
            <w:pPr>
              <w:rPr>
                <w:sz w:val="2"/>
                <w:szCs w:val="2"/>
              </w:rPr>
            </w:pPr>
          </w:p>
        </w:tc>
        <w:tc>
          <w:tcPr>
            <w:tcW w:w="653" w:type="dxa"/>
            <w:vMerge/>
            <w:tcBorders>
              <w:top w:val="nil"/>
              <w:bottom w:val="nil"/>
            </w:tcBorders>
          </w:tcPr>
          <w:p>
            <w:pPr>
              <w:rPr>
                <w:sz w:val="2"/>
                <w:szCs w:val="2"/>
              </w:rPr>
            </w:pPr>
          </w:p>
        </w:tc>
        <w:tc>
          <w:tcPr>
            <w:tcW w:w="4732" w:type="dxa"/>
          </w:tcPr>
          <w:p>
            <w:pPr>
              <w:pStyle w:val="TableParagraph"/>
              <w:spacing w:line="244" w:lineRule="auto" w:before="30"/>
              <w:ind w:left="24" w:right="204"/>
              <w:rPr>
                <w:sz w:val="21"/>
              </w:rPr>
            </w:pPr>
            <w:r>
              <w:rPr>
                <w:spacing w:val="-1"/>
                <w:sz w:val="21"/>
              </w:rPr>
              <w:t>含镍系统</w:t>
            </w:r>
            <w:r>
              <w:rPr>
                <w:rFonts w:ascii="Times New Roman" w:eastAsia="Times New Roman"/>
                <w:sz w:val="21"/>
              </w:rPr>
              <w:t>-</w:t>
            </w:r>
            <w:r>
              <w:rPr>
                <w:sz w:val="21"/>
              </w:rPr>
              <w:t>化学沉淀</w:t>
            </w:r>
            <w:r>
              <w:rPr>
                <w:rFonts w:ascii="Times New Roman" w:eastAsia="Times New Roman"/>
                <w:sz w:val="21"/>
              </w:rPr>
              <w:t>+DF</w:t>
            </w:r>
            <w:r>
              <w:rPr>
                <w:rFonts w:ascii="Times New Roman" w:eastAsia="Times New Roman"/>
                <w:spacing w:val="-14"/>
                <w:sz w:val="21"/>
              </w:rPr>
              <w:t> </w:t>
            </w:r>
            <w:r>
              <w:rPr>
                <w:sz w:val="21"/>
              </w:rPr>
              <w:t>系统</w:t>
            </w:r>
            <w:r>
              <w:rPr>
                <w:rFonts w:ascii="Times New Roman" w:eastAsia="Times New Roman"/>
                <w:sz w:val="21"/>
              </w:rPr>
              <w:t>+</w:t>
            </w:r>
            <w:r>
              <w:rPr>
                <w:spacing w:val="-19"/>
                <w:sz w:val="21"/>
              </w:rPr>
              <w:t>二级 </w:t>
            </w:r>
            <w:r>
              <w:rPr>
                <w:rFonts w:ascii="Times New Roman" w:eastAsia="Times New Roman"/>
                <w:sz w:val="21"/>
              </w:rPr>
              <w:t>RO+EDI+</w:t>
            </w:r>
            <w:r>
              <w:rPr>
                <w:sz w:val="21"/>
              </w:rPr>
              <w:t>三效蒸发</w:t>
            </w:r>
          </w:p>
        </w:tc>
        <w:tc>
          <w:tcPr>
            <w:tcW w:w="1525" w:type="dxa"/>
          </w:tcPr>
          <w:p>
            <w:pPr>
              <w:pStyle w:val="TableParagraph"/>
              <w:spacing w:before="168"/>
              <w:ind w:right="14"/>
              <w:jc w:val="right"/>
              <w:rPr>
                <w:rFonts w:ascii="Times New Roman"/>
                <w:sz w:val="21"/>
              </w:rPr>
            </w:pPr>
            <w:r>
              <w:rPr>
                <w:rFonts w:ascii="Times New Roman"/>
                <w:sz w:val="21"/>
              </w:rPr>
              <w:t>500m</w:t>
            </w:r>
            <w:r>
              <w:rPr>
                <w:rFonts w:ascii="Times New Roman"/>
                <w:position w:val="7"/>
                <w:sz w:val="14"/>
              </w:rPr>
              <w:t>3</w:t>
            </w:r>
            <w:r>
              <w:rPr>
                <w:rFonts w:ascii="Times New Roman"/>
                <w:sz w:val="21"/>
              </w:rPr>
              <w:t>/d</w:t>
            </w:r>
          </w:p>
        </w:tc>
        <w:tc>
          <w:tcPr>
            <w:tcW w:w="821" w:type="dxa"/>
            <w:vMerge/>
            <w:tcBorders>
              <w:top w:val="nil"/>
              <w:bottom w:val="nil"/>
            </w:tcBorders>
          </w:tcPr>
          <w:p>
            <w:pPr>
              <w:rPr>
                <w:sz w:val="2"/>
                <w:szCs w:val="2"/>
              </w:rPr>
            </w:pPr>
          </w:p>
        </w:tc>
      </w:tr>
      <w:tr>
        <w:trPr>
          <w:trHeight w:val="599" w:hRule="atLeast"/>
        </w:trPr>
        <w:tc>
          <w:tcPr>
            <w:tcW w:w="1531" w:type="dxa"/>
            <w:vMerge/>
            <w:tcBorders>
              <w:top w:val="nil"/>
              <w:bottom w:val="nil"/>
            </w:tcBorders>
          </w:tcPr>
          <w:p>
            <w:pPr>
              <w:rPr>
                <w:sz w:val="2"/>
                <w:szCs w:val="2"/>
              </w:rPr>
            </w:pPr>
          </w:p>
        </w:tc>
        <w:tc>
          <w:tcPr>
            <w:tcW w:w="653" w:type="dxa"/>
            <w:vMerge/>
            <w:tcBorders>
              <w:top w:val="nil"/>
              <w:bottom w:val="nil"/>
            </w:tcBorders>
          </w:tcPr>
          <w:p>
            <w:pPr>
              <w:rPr>
                <w:sz w:val="2"/>
                <w:szCs w:val="2"/>
              </w:rPr>
            </w:pPr>
          </w:p>
        </w:tc>
        <w:tc>
          <w:tcPr>
            <w:tcW w:w="4732" w:type="dxa"/>
          </w:tcPr>
          <w:p>
            <w:pPr>
              <w:pStyle w:val="TableParagraph"/>
              <w:spacing w:before="29"/>
              <w:ind w:left="24"/>
              <w:rPr>
                <w:sz w:val="21"/>
              </w:rPr>
            </w:pPr>
            <w:r>
              <w:rPr>
                <w:spacing w:val="-1"/>
                <w:sz w:val="21"/>
              </w:rPr>
              <w:t>含铬系统</w:t>
            </w:r>
            <w:r>
              <w:rPr>
                <w:rFonts w:ascii="Times New Roman" w:eastAsia="Times New Roman"/>
                <w:spacing w:val="-1"/>
                <w:sz w:val="21"/>
              </w:rPr>
              <w:t>-</w:t>
            </w:r>
            <w:r>
              <w:rPr>
                <w:spacing w:val="-1"/>
                <w:sz w:val="21"/>
              </w:rPr>
              <w:t>化学还原</w:t>
            </w:r>
            <w:r>
              <w:rPr>
                <w:rFonts w:ascii="Times New Roman" w:eastAsia="Times New Roman"/>
                <w:sz w:val="21"/>
              </w:rPr>
              <w:t>+</w:t>
            </w:r>
            <w:r>
              <w:rPr>
                <w:sz w:val="21"/>
              </w:rPr>
              <w:t>化学沉淀</w:t>
            </w:r>
            <w:r>
              <w:rPr>
                <w:rFonts w:ascii="Times New Roman" w:eastAsia="Times New Roman"/>
                <w:sz w:val="21"/>
              </w:rPr>
              <w:t>+DF</w:t>
            </w:r>
            <w:r>
              <w:rPr>
                <w:rFonts w:ascii="Times New Roman" w:eastAsia="Times New Roman"/>
                <w:spacing w:val="-14"/>
                <w:sz w:val="21"/>
              </w:rPr>
              <w:t> </w:t>
            </w:r>
            <w:r>
              <w:rPr>
                <w:sz w:val="21"/>
              </w:rPr>
              <w:t>系统</w:t>
            </w:r>
            <w:r>
              <w:rPr>
                <w:rFonts w:ascii="Times New Roman" w:eastAsia="Times New Roman"/>
                <w:sz w:val="21"/>
              </w:rPr>
              <w:t>+</w:t>
            </w:r>
            <w:r>
              <w:rPr>
                <w:sz w:val="21"/>
              </w:rPr>
              <w:t>二级</w:t>
            </w:r>
          </w:p>
          <w:p>
            <w:pPr>
              <w:pStyle w:val="TableParagraph"/>
              <w:spacing w:before="3"/>
              <w:ind w:left="24"/>
              <w:rPr>
                <w:sz w:val="21"/>
              </w:rPr>
            </w:pPr>
            <w:r>
              <w:rPr>
                <w:rFonts w:ascii="Times New Roman" w:eastAsia="Times New Roman"/>
                <w:sz w:val="21"/>
              </w:rPr>
              <w:t>RO+EDI+</w:t>
            </w:r>
            <w:r>
              <w:rPr>
                <w:sz w:val="21"/>
              </w:rPr>
              <w:t>三效蒸发</w:t>
            </w:r>
          </w:p>
        </w:tc>
        <w:tc>
          <w:tcPr>
            <w:tcW w:w="1525" w:type="dxa"/>
          </w:tcPr>
          <w:p>
            <w:pPr>
              <w:pStyle w:val="TableParagraph"/>
              <w:spacing w:before="168"/>
              <w:ind w:right="14"/>
              <w:jc w:val="right"/>
              <w:rPr>
                <w:rFonts w:ascii="Times New Roman"/>
                <w:sz w:val="21"/>
              </w:rPr>
            </w:pPr>
            <w:r>
              <w:rPr>
                <w:rFonts w:ascii="Times New Roman"/>
                <w:sz w:val="21"/>
              </w:rPr>
              <w:t>600m</w:t>
            </w:r>
            <w:r>
              <w:rPr>
                <w:rFonts w:ascii="Times New Roman"/>
                <w:position w:val="7"/>
                <w:sz w:val="14"/>
              </w:rPr>
              <w:t>3</w:t>
            </w:r>
            <w:r>
              <w:rPr>
                <w:rFonts w:ascii="Times New Roman"/>
                <w:sz w:val="21"/>
              </w:rPr>
              <w:t>/d</w:t>
            </w:r>
          </w:p>
        </w:tc>
        <w:tc>
          <w:tcPr>
            <w:tcW w:w="821" w:type="dxa"/>
            <w:vMerge/>
            <w:tcBorders>
              <w:top w:val="nil"/>
              <w:bottom w:val="nil"/>
            </w:tcBorders>
          </w:tcPr>
          <w:p>
            <w:pPr>
              <w:rPr>
                <w:sz w:val="2"/>
                <w:szCs w:val="2"/>
              </w:rPr>
            </w:pPr>
          </w:p>
        </w:tc>
      </w:tr>
    </w:tbl>
    <w:p>
      <w:pPr>
        <w:spacing w:after="0"/>
        <w:rPr>
          <w:sz w:val="2"/>
          <w:szCs w:val="2"/>
        </w:rPr>
        <w:sectPr>
          <w:headerReference w:type="default" r:id="rId34"/>
          <w:footerReference w:type="default" r:id="rId35"/>
          <w:pgSz w:w="11910" w:h="16840"/>
          <w:pgMar w:header="877" w:footer="1187" w:top="1440" w:bottom="1380" w:left="640" w:right="740"/>
        </w:sectPr>
      </w:pPr>
    </w:p>
    <w:p>
      <w:pPr>
        <w:pStyle w:val="BodyText"/>
        <w:spacing w:before="2"/>
        <w:ind w:left="0"/>
        <w:rPr>
          <w:sz w:val="5"/>
        </w:rPr>
      </w:pPr>
    </w:p>
    <w:tbl>
      <w:tblPr>
        <w:tblW w:w="0" w:type="auto"/>
        <w:jc w:val="left"/>
        <w:tblInd w:w="9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9"/>
        <w:gridCol w:w="651"/>
        <w:gridCol w:w="4737"/>
        <w:gridCol w:w="1530"/>
        <w:gridCol w:w="817"/>
      </w:tblGrid>
      <w:tr>
        <w:trPr>
          <w:trHeight w:val="602" w:hRule="atLeast"/>
        </w:trPr>
        <w:tc>
          <w:tcPr>
            <w:tcW w:w="1529" w:type="dxa"/>
          </w:tcPr>
          <w:p>
            <w:pPr>
              <w:pStyle w:val="TableParagraph"/>
              <w:spacing w:line="244" w:lineRule="auto" w:before="30"/>
              <w:ind w:left="554" w:right="434" w:hanging="106"/>
              <w:rPr>
                <w:sz w:val="21"/>
              </w:rPr>
            </w:pPr>
            <w:r>
              <w:rPr>
                <w:sz w:val="21"/>
              </w:rPr>
              <w:t>子公司名称</w:t>
            </w:r>
          </w:p>
        </w:tc>
        <w:tc>
          <w:tcPr>
            <w:tcW w:w="651" w:type="dxa"/>
          </w:tcPr>
          <w:p>
            <w:pPr>
              <w:pStyle w:val="TableParagraph"/>
              <w:spacing w:line="244" w:lineRule="auto" w:before="30"/>
              <w:ind w:left="114" w:right="101"/>
              <w:rPr>
                <w:sz w:val="21"/>
              </w:rPr>
            </w:pPr>
            <w:r>
              <w:rPr>
                <w:spacing w:val="-1"/>
                <w:sz w:val="21"/>
              </w:rPr>
              <w:t>治理类型</w:t>
            </w:r>
          </w:p>
        </w:tc>
        <w:tc>
          <w:tcPr>
            <w:tcW w:w="4737" w:type="dxa"/>
          </w:tcPr>
          <w:p>
            <w:pPr>
              <w:pStyle w:val="TableParagraph"/>
              <w:spacing w:before="167"/>
              <w:ind w:left="1929" w:right="1917"/>
              <w:jc w:val="center"/>
              <w:rPr>
                <w:sz w:val="21"/>
              </w:rPr>
            </w:pPr>
            <w:r>
              <w:rPr>
                <w:sz w:val="21"/>
              </w:rPr>
              <w:t>处理工艺</w:t>
            </w:r>
          </w:p>
        </w:tc>
        <w:tc>
          <w:tcPr>
            <w:tcW w:w="1530" w:type="dxa"/>
          </w:tcPr>
          <w:p>
            <w:pPr>
              <w:pStyle w:val="TableParagraph"/>
              <w:spacing w:before="167"/>
              <w:ind w:left="132"/>
              <w:rPr>
                <w:sz w:val="21"/>
              </w:rPr>
            </w:pPr>
            <w:r>
              <w:rPr>
                <w:sz w:val="21"/>
              </w:rPr>
              <w:t>设计处理能力</w:t>
            </w:r>
          </w:p>
        </w:tc>
        <w:tc>
          <w:tcPr>
            <w:tcW w:w="817" w:type="dxa"/>
          </w:tcPr>
          <w:p>
            <w:pPr>
              <w:pStyle w:val="TableParagraph"/>
              <w:spacing w:line="244" w:lineRule="auto" w:before="30"/>
              <w:ind w:left="88" w:right="82"/>
              <w:rPr>
                <w:sz w:val="21"/>
              </w:rPr>
            </w:pPr>
            <w:r>
              <w:rPr>
                <w:sz w:val="21"/>
              </w:rPr>
              <w:t>设施运行状况</w:t>
            </w:r>
          </w:p>
        </w:tc>
      </w:tr>
      <w:tr>
        <w:trPr>
          <w:trHeight w:val="328" w:hRule="atLeast"/>
        </w:trPr>
        <w:tc>
          <w:tcPr>
            <w:tcW w:w="1529" w:type="dxa"/>
          </w:tcPr>
          <w:p>
            <w:pPr>
              <w:pStyle w:val="TableParagraph"/>
              <w:rPr>
                <w:rFonts w:ascii="Times New Roman"/>
                <w:sz w:val="20"/>
              </w:rPr>
            </w:pPr>
          </w:p>
        </w:tc>
        <w:tc>
          <w:tcPr>
            <w:tcW w:w="651" w:type="dxa"/>
          </w:tcPr>
          <w:p>
            <w:pPr>
              <w:pStyle w:val="TableParagraph"/>
              <w:rPr>
                <w:rFonts w:ascii="Times New Roman"/>
                <w:sz w:val="20"/>
              </w:rPr>
            </w:pPr>
          </w:p>
        </w:tc>
        <w:tc>
          <w:tcPr>
            <w:tcW w:w="4737" w:type="dxa"/>
          </w:tcPr>
          <w:p>
            <w:pPr>
              <w:pStyle w:val="TableParagraph"/>
              <w:spacing w:before="30"/>
              <w:ind w:left="28"/>
              <w:rPr>
                <w:sz w:val="21"/>
              </w:rPr>
            </w:pPr>
            <w:r>
              <w:rPr>
                <w:spacing w:val="-1"/>
                <w:sz w:val="21"/>
              </w:rPr>
              <w:t>高氮废水系统</w:t>
            </w:r>
            <w:r>
              <w:rPr>
                <w:rFonts w:ascii="Times New Roman" w:eastAsia="Times New Roman"/>
                <w:sz w:val="21"/>
              </w:rPr>
              <w:t>-</w:t>
            </w:r>
            <w:r>
              <w:rPr>
                <w:sz w:val="21"/>
              </w:rPr>
              <w:t>化学沉淀</w:t>
            </w:r>
            <w:r>
              <w:rPr>
                <w:rFonts w:ascii="Times New Roman" w:eastAsia="Times New Roman"/>
                <w:sz w:val="21"/>
              </w:rPr>
              <w:t>+</w:t>
            </w:r>
            <w:r>
              <w:rPr>
                <w:sz w:val="21"/>
              </w:rPr>
              <w:t>物理沉淀</w:t>
            </w:r>
            <w:r>
              <w:rPr>
                <w:rFonts w:ascii="Times New Roman" w:eastAsia="Times New Roman"/>
                <w:sz w:val="21"/>
              </w:rPr>
              <w:t>+</w:t>
            </w:r>
            <w:r>
              <w:rPr>
                <w:sz w:val="21"/>
              </w:rPr>
              <w:t>三效蒸发</w:t>
            </w:r>
          </w:p>
        </w:tc>
        <w:tc>
          <w:tcPr>
            <w:tcW w:w="1530" w:type="dxa"/>
          </w:tcPr>
          <w:p>
            <w:pPr>
              <w:pStyle w:val="TableParagraph"/>
              <w:spacing w:before="32"/>
              <w:ind w:right="20"/>
              <w:jc w:val="right"/>
              <w:rPr>
                <w:rFonts w:ascii="Times New Roman"/>
                <w:sz w:val="21"/>
              </w:rPr>
            </w:pPr>
            <w:r>
              <w:rPr>
                <w:rFonts w:ascii="Times New Roman"/>
                <w:sz w:val="21"/>
              </w:rPr>
              <w:t>72m</w:t>
            </w:r>
            <w:r>
              <w:rPr>
                <w:rFonts w:ascii="Times New Roman"/>
                <w:position w:val="7"/>
                <w:sz w:val="14"/>
              </w:rPr>
              <w:t>3</w:t>
            </w:r>
            <w:r>
              <w:rPr>
                <w:rFonts w:ascii="Times New Roman"/>
                <w:sz w:val="21"/>
              </w:rPr>
              <w:t>/d</w:t>
            </w:r>
          </w:p>
        </w:tc>
        <w:tc>
          <w:tcPr>
            <w:tcW w:w="817" w:type="dxa"/>
          </w:tcPr>
          <w:p>
            <w:pPr>
              <w:pStyle w:val="TableParagraph"/>
              <w:rPr>
                <w:rFonts w:ascii="Times New Roman"/>
                <w:sz w:val="20"/>
              </w:rPr>
            </w:pPr>
          </w:p>
        </w:tc>
      </w:tr>
      <w:tr>
        <w:trPr>
          <w:trHeight w:val="328" w:hRule="atLeast"/>
        </w:trPr>
        <w:tc>
          <w:tcPr>
            <w:tcW w:w="1529" w:type="dxa"/>
            <w:vMerge w:val="restart"/>
          </w:tcPr>
          <w:p>
            <w:pPr>
              <w:pStyle w:val="TableParagraph"/>
              <w:rPr>
                <w:sz w:val="20"/>
              </w:rPr>
            </w:pPr>
          </w:p>
          <w:p>
            <w:pPr>
              <w:pStyle w:val="TableParagraph"/>
              <w:spacing w:before="10"/>
              <w:rPr>
                <w:sz w:val="21"/>
              </w:rPr>
            </w:pPr>
          </w:p>
          <w:p>
            <w:pPr>
              <w:pStyle w:val="TableParagraph"/>
              <w:spacing w:before="1"/>
              <w:ind w:left="28"/>
              <w:rPr>
                <w:sz w:val="21"/>
              </w:rPr>
            </w:pPr>
            <w:r>
              <w:rPr>
                <w:spacing w:val="33"/>
                <w:sz w:val="21"/>
              </w:rPr>
              <w:t>富联裕展科技</w:t>
            </w:r>
          </w:p>
          <w:p>
            <w:pPr>
              <w:pStyle w:val="TableParagraph"/>
              <w:spacing w:line="242" w:lineRule="auto" w:before="4"/>
              <w:ind w:left="28" w:right="12"/>
              <w:rPr>
                <w:sz w:val="21"/>
              </w:rPr>
            </w:pPr>
            <w:r>
              <w:rPr>
                <w:sz w:val="21"/>
              </w:rPr>
              <w:t>（河南）有限公司</w:t>
            </w:r>
          </w:p>
        </w:tc>
        <w:tc>
          <w:tcPr>
            <w:tcW w:w="651" w:type="dxa"/>
            <w:vMerge w:val="restart"/>
          </w:tcPr>
          <w:p>
            <w:pPr>
              <w:pStyle w:val="TableParagraph"/>
              <w:rPr>
                <w:sz w:val="20"/>
              </w:rPr>
            </w:pPr>
          </w:p>
          <w:p>
            <w:pPr>
              <w:pStyle w:val="TableParagraph"/>
              <w:rPr>
                <w:sz w:val="20"/>
              </w:rPr>
            </w:pPr>
          </w:p>
          <w:p>
            <w:pPr>
              <w:pStyle w:val="TableParagraph"/>
              <w:spacing w:before="2"/>
              <w:rPr>
                <w:sz w:val="23"/>
              </w:rPr>
            </w:pPr>
          </w:p>
          <w:p>
            <w:pPr>
              <w:pStyle w:val="TableParagraph"/>
              <w:ind w:left="114"/>
              <w:rPr>
                <w:sz w:val="21"/>
              </w:rPr>
            </w:pPr>
            <w:r>
              <w:rPr>
                <w:sz w:val="21"/>
              </w:rPr>
              <w:t>废水</w:t>
            </w:r>
          </w:p>
        </w:tc>
        <w:tc>
          <w:tcPr>
            <w:tcW w:w="4737" w:type="dxa"/>
          </w:tcPr>
          <w:p>
            <w:pPr>
              <w:pStyle w:val="TableParagraph"/>
              <w:spacing w:before="29"/>
              <w:ind w:left="28"/>
              <w:rPr>
                <w:rFonts w:ascii="Times New Roman" w:eastAsia="Times New Roman"/>
                <w:sz w:val="21"/>
              </w:rPr>
            </w:pPr>
            <w:r>
              <w:rPr>
                <w:spacing w:val="-1"/>
                <w:sz w:val="21"/>
              </w:rPr>
              <w:t>有机系统</w:t>
            </w:r>
            <w:r>
              <w:rPr>
                <w:rFonts w:ascii="Times New Roman" w:eastAsia="Times New Roman"/>
                <w:spacing w:val="-1"/>
                <w:sz w:val="21"/>
              </w:rPr>
              <w:t>-</w:t>
            </w:r>
            <w:r>
              <w:rPr>
                <w:spacing w:val="-1"/>
                <w:sz w:val="21"/>
              </w:rPr>
              <w:t>混凝沉淀</w:t>
            </w:r>
            <w:r>
              <w:rPr>
                <w:rFonts w:ascii="Times New Roman" w:eastAsia="Times New Roman"/>
                <w:sz w:val="21"/>
              </w:rPr>
              <w:t>+</w:t>
            </w:r>
            <w:r>
              <w:rPr>
                <w:sz w:val="21"/>
              </w:rPr>
              <w:t>脱氮</w:t>
            </w:r>
            <w:r>
              <w:rPr>
                <w:rFonts w:ascii="Times New Roman" w:eastAsia="Times New Roman"/>
                <w:sz w:val="21"/>
              </w:rPr>
              <w:t>+MBR</w:t>
            </w:r>
          </w:p>
        </w:tc>
        <w:tc>
          <w:tcPr>
            <w:tcW w:w="1530" w:type="dxa"/>
          </w:tcPr>
          <w:p>
            <w:pPr>
              <w:pStyle w:val="TableParagraph"/>
              <w:spacing w:before="32"/>
              <w:ind w:right="17"/>
              <w:jc w:val="right"/>
              <w:rPr>
                <w:rFonts w:ascii="Times New Roman"/>
                <w:sz w:val="21"/>
              </w:rPr>
            </w:pPr>
            <w:r>
              <w:rPr>
                <w:rFonts w:ascii="Times New Roman"/>
                <w:sz w:val="21"/>
              </w:rPr>
              <w:t>2,500m</w:t>
            </w:r>
            <w:r>
              <w:rPr>
                <w:rFonts w:ascii="Times New Roman"/>
                <w:position w:val="7"/>
                <w:sz w:val="14"/>
              </w:rPr>
              <w:t>3</w:t>
            </w:r>
            <w:r>
              <w:rPr>
                <w:rFonts w:ascii="Times New Roman"/>
                <w:sz w:val="21"/>
              </w:rPr>
              <w:t>/d</w:t>
            </w:r>
          </w:p>
        </w:tc>
        <w:tc>
          <w:tcPr>
            <w:tcW w:w="817" w:type="dxa"/>
            <w:vMerge w:val="restart"/>
          </w:tcPr>
          <w:p>
            <w:pPr>
              <w:pStyle w:val="TableParagraph"/>
              <w:rPr>
                <w:sz w:val="20"/>
              </w:rPr>
            </w:pPr>
          </w:p>
          <w:p>
            <w:pPr>
              <w:pStyle w:val="TableParagraph"/>
              <w:rPr>
                <w:sz w:val="20"/>
              </w:rPr>
            </w:pPr>
          </w:p>
          <w:p>
            <w:pPr>
              <w:pStyle w:val="TableParagraph"/>
              <w:spacing w:line="242" w:lineRule="auto" w:before="160"/>
              <w:ind w:left="194" w:right="188"/>
              <w:rPr>
                <w:sz w:val="21"/>
              </w:rPr>
            </w:pPr>
            <w:r>
              <w:rPr>
                <w:spacing w:val="-1"/>
                <w:sz w:val="21"/>
              </w:rPr>
              <w:t>正常运行</w:t>
            </w:r>
          </w:p>
        </w:tc>
      </w:tr>
      <w:tr>
        <w:trPr>
          <w:trHeight w:val="328" w:hRule="atLeast"/>
        </w:trPr>
        <w:tc>
          <w:tcPr>
            <w:tcW w:w="1529" w:type="dxa"/>
            <w:vMerge/>
            <w:tcBorders>
              <w:top w:val="nil"/>
            </w:tcBorders>
          </w:tcPr>
          <w:p>
            <w:pPr>
              <w:rPr>
                <w:sz w:val="2"/>
                <w:szCs w:val="2"/>
              </w:rPr>
            </w:pPr>
          </w:p>
        </w:tc>
        <w:tc>
          <w:tcPr>
            <w:tcW w:w="651" w:type="dxa"/>
            <w:vMerge/>
            <w:tcBorders>
              <w:top w:val="nil"/>
            </w:tcBorders>
          </w:tcPr>
          <w:p>
            <w:pPr>
              <w:rPr>
                <w:sz w:val="2"/>
                <w:szCs w:val="2"/>
              </w:rPr>
            </w:pPr>
          </w:p>
        </w:tc>
        <w:tc>
          <w:tcPr>
            <w:tcW w:w="4737" w:type="dxa"/>
          </w:tcPr>
          <w:p>
            <w:pPr>
              <w:pStyle w:val="TableParagraph"/>
              <w:spacing w:before="29"/>
              <w:ind w:left="28"/>
              <w:rPr>
                <w:rFonts w:ascii="Times New Roman" w:hAnsi="Times New Roman" w:eastAsia="Times New Roman"/>
                <w:sz w:val="21"/>
              </w:rPr>
            </w:pPr>
            <w:r>
              <w:rPr>
                <w:spacing w:val="-1"/>
                <w:sz w:val="21"/>
              </w:rPr>
              <w:t>综合系统</w:t>
            </w:r>
            <w:r>
              <w:rPr>
                <w:rFonts w:ascii="Times New Roman" w:hAnsi="Times New Roman" w:eastAsia="Times New Roman"/>
                <w:spacing w:val="-1"/>
                <w:sz w:val="21"/>
              </w:rPr>
              <w:t>-</w:t>
            </w:r>
            <w:r>
              <w:rPr>
                <w:spacing w:val="-1"/>
                <w:sz w:val="21"/>
              </w:rPr>
              <w:t>两级化学沉淀</w:t>
            </w:r>
            <w:r>
              <w:rPr>
                <w:rFonts w:ascii="Times New Roman" w:hAnsi="Times New Roman" w:eastAsia="Times New Roman"/>
                <w:sz w:val="21"/>
              </w:rPr>
              <w:t>(5,000+3,000m³/d)</w:t>
            </w:r>
          </w:p>
        </w:tc>
        <w:tc>
          <w:tcPr>
            <w:tcW w:w="1530" w:type="dxa"/>
          </w:tcPr>
          <w:p>
            <w:pPr>
              <w:pStyle w:val="TableParagraph"/>
              <w:spacing w:before="32"/>
              <w:ind w:right="17"/>
              <w:jc w:val="right"/>
              <w:rPr>
                <w:rFonts w:ascii="Times New Roman"/>
                <w:sz w:val="21"/>
              </w:rPr>
            </w:pPr>
            <w:r>
              <w:rPr>
                <w:rFonts w:ascii="Times New Roman"/>
                <w:sz w:val="21"/>
              </w:rPr>
              <w:t>8,000m</w:t>
            </w:r>
            <w:r>
              <w:rPr>
                <w:rFonts w:ascii="Times New Roman"/>
                <w:position w:val="7"/>
                <w:sz w:val="14"/>
              </w:rPr>
              <w:t>3</w:t>
            </w:r>
            <w:r>
              <w:rPr>
                <w:rFonts w:ascii="Times New Roman"/>
                <w:sz w:val="21"/>
              </w:rPr>
              <w:t>/d</w:t>
            </w:r>
          </w:p>
        </w:tc>
        <w:tc>
          <w:tcPr>
            <w:tcW w:w="817" w:type="dxa"/>
            <w:vMerge/>
            <w:tcBorders>
              <w:top w:val="nil"/>
            </w:tcBorders>
          </w:tcPr>
          <w:p>
            <w:pPr>
              <w:rPr>
                <w:sz w:val="2"/>
                <w:szCs w:val="2"/>
              </w:rPr>
            </w:pPr>
          </w:p>
        </w:tc>
      </w:tr>
      <w:tr>
        <w:trPr>
          <w:trHeight w:val="599" w:hRule="atLeast"/>
        </w:trPr>
        <w:tc>
          <w:tcPr>
            <w:tcW w:w="1529" w:type="dxa"/>
            <w:vMerge/>
            <w:tcBorders>
              <w:top w:val="nil"/>
            </w:tcBorders>
          </w:tcPr>
          <w:p>
            <w:pPr>
              <w:rPr>
                <w:sz w:val="2"/>
                <w:szCs w:val="2"/>
              </w:rPr>
            </w:pPr>
          </w:p>
        </w:tc>
        <w:tc>
          <w:tcPr>
            <w:tcW w:w="651" w:type="dxa"/>
            <w:vMerge/>
            <w:tcBorders>
              <w:top w:val="nil"/>
            </w:tcBorders>
          </w:tcPr>
          <w:p>
            <w:pPr>
              <w:rPr>
                <w:sz w:val="2"/>
                <w:szCs w:val="2"/>
              </w:rPr>
            </w:pPr>
          </w:p>
        </w:tc>
        <w:tc>
          <w:tcPr>
            <w:tcW w:w="4737" w:type="dxa"/>
          </w:tcPr>
          <w:p>
            <w:pPr>
              <w:pStyle w:val="TableParagraph"/>
              <w:spacing w:line="242" w:lineRule="auto" w:before="30"/>
              <w:ind w:left="28" w:right="205"/>
              <w:rPr>
                <w:sz w:val="21"/>
              </w:rPr>
            </w:pPr>
            <w:r>
              <w:rPr>
                <w:spacing w:val="-1"/>
                <w:sz w:val="21"/>
              </w:rPr>
              <w:t>含镍系统</w:t>
            </w:r>
            <w:r>
              <w:rPr>
                <w:rFonts w:ascii="Times New Roman" w:eastAsia="Times New Roman"/>
                <w:sz w:val="21"/>
              </w:rPr>
              <w:t>-</w:t>
            </w:r>
            <w:r>
              <w:rPr>
                <w:sz w:val="21"/>
              </w:rPr>
              <w:t>化学沉淀</w:t>
            </w:r>
            <w:r>
              <w:rPr>
                <w:rFonts w:ascii="Times New Roman" w:eastAsia="Times New Roman"/>
                <w:sz w:val="21"/>
              </w:rPr>
              <w:t>+DF</w:t>
            </w:r>
            <w:r>
              <w:rPr>
                <w:rFonts w:ascii="Times New Roman" w:eastAsia="Times New Roman"/>
                <w:spacing w:val="-14"/>
                <w:sz w:val="21"/>
              </w:rPr>
              <w:t> </w:t>
            </w:r>
            <w:r>
              <w:rPr>
                <w:sz w:val="21"/>
              </w:rPr>
              <w:t>系统</w:t>
            </w:r>
            <w:r>
              <w:rPr>
                <w:rFonts w:ascii="Times New Roman" w:eastAsia="Times New Roman"/>
                <w:sz w:val="21"/>
              </w:rPr>
              <w:t>+</w:t>
            </w:r>
            <w:r>
              <w:rPr>
                <w:spacing w:val="-19"/>
                <w:sz w:val="21"/>
              </w:rPr>
              <w:t>二级 </w:t>
            </w:r>
            <w:r>
              <w:rPr>
                <w:rFonts w:ascii="Times New Roman" w:eastAsia="Times New Roman"/>
                <w:sz w:val="21"/>
              </w:rPr>
              <w:t>RO+EDI+</w:t>
            </w:r>
            <w:r>
              <w:rPr>
                <w:sz w:val="21"/>
              </w:rPr>
              <w:t>三效蒸发</w:t>
            </w:r>
          </w:p>
        </w:tc>
        <w:tc>
          <w:tcPr>
            <w:tcW w:w="1530" w:type="dxa"/>
          </w:tcPr>
          <w:p>
            <w:pPr>
              <w:pStyle w:val="TableParagraph"/>
              <w:spacing w:before="168"/>
              <w:ind w:right="20"/>
              <w:jc w:val="right"/>
              <w:rPr>
                <w:rFonts w:ascii="Times New Roman"/>
                <w:sz w:val="21"/>
              </w:rPr>
            </w:pPr>
            <w:r>
              <w:rPr>
                <w:rFonts w:ascii="Times New Roman"/>
                <w:sz w:val="21"/>
              </w:rPr>
              <w:t>500m</w:t>
            </w:r>
            <w:r>
              <w:rPr>
                <w:rFonts w:ascii="Times New Roman"/>
                <w:position w:val="7"/>
                <w:sz w:val="14"/>
              </w:rPr>
              <w:t>3</w:t>
            </w:r>
            <w:r>
              <w:rPr>
                <w:rFonts w:ascii="Times New Roman"/>
                <w:sz w:val="21"/>
              </w:rPr>
              <w:t>/d</w:t>
            </w:r>
          </w:p>
        </w:tc>
        <w:tc>
          <w:tcPr>
            <w:tcW w:w="817" w:type="dxa"/>
            <w:vMerge/>
            <w:tcBorders>
              <w:top w:val="nil"/>
            </w:tcBorders>
          </w:tcPr>
          <w:p>
            <w:pPr>
              <w:rPr>
                <w:sz w:val="2"/>
                <w:szCs w:val="2"/>
              </w:rPr>
            </w:pPr>
          </w:p>
        </w:tc>
      </w:tr>
      <w:tr>
        <w:trPr>
          <w:trHeight w:val="602" w:hRule="atLeast"/>
        </w:trPr>
        <w:tc>
          <w:tcPr>
            <w:tcW w:w="1529" w:type="dxa"/>
            <w:vMerge/>
            <w:tcBorders>
              <w:top w:val="nil"/>
            </w:tcBorders>
          </w:tcPr>
          <w:p>
            <w:pPr>
              <w:rPr>
                <w:sz w:val="2"/>
                <w:szCs w:val="2"/>
              </w:rPr>
            </w:pPr>
          </w:p>
        </w:tc>
        <w:tc>
          <w:tcPr>
            <w:tcW w:w="651" w:type="dxa"/>
            <w:vMerge/>
            <w:tcBorders>
              <w:top w:val="nil"/>
            </w:tcBorders>
          </w:tcPr>
          <w:p>
            <w:pPr>
              <w:rPr>
                <w:sz w:val="2"/>
                <w:szCs w:val="2"/>
              </w:rPr>
            </w:pPr>
          </w:p>
        </w:tc>
        <w:tc>
          <w:tcPr>
            <w:tcW w:w="4737" w:type="dxa"/>
          </w:tcPr>
          <w:p>
            <w:pPr>
              <w:pStyle w:val="TableParagraph"/>
              <w:spacing w:before="30"/>
              <w:ind w:left="28"/>
              <w:rPr>
                <w:sz w:val="21"/>
              </w:rPr>
            </w:pPr>
            <w:r>
              <w:rPr>
                <w:spacing w:val="-1"/>
                <w:sz w:val="21"/>
              </w:rPr>
              <w:t>含铬系统</w:t>
            </w:r>
            <w:r>
              <w:rPr>
                <w:rFonts w:ascii="Times New Roman" w:eastAsia="Times New Roman"/>
                <w:spacing w:val="-1"/>
                <w:sz w:val="21"/>
              </w:rPr>
              <w:t>-</w:t>
            </w:r>
            <w:r>
              <w:rPr>
                <w:spacing w:val="-1"/>
                <w:sz w:val="21"/>
              </w:rPr>
              <w:t>化学还原</w:t>
            </w:r>
            <w:r>
              <w:rPr>
                <w:rFonts w:ascii="Times New Roman" w:eastAsia="Times New Roman"/>
                <w:sz w:val="21"/>
              </w:rPr>
              <w:t>+</w:t>
            </w:r>
            <w:r>
              <w:rPr>
                <w:sz w:val="21"/>
              </w:rPr>
              <w:t>化学沉淀</w:t>
            </w:r>
            <w:r>
              <w:rPr>
                <w:rFonts w:ascii="Times New Roman" w:eastAsia="Times New Roman"/>
                <w:sz w:val="21"/>
              </w:rPr>
              <w:t>+DF</w:t>
            </w:r>
            <w:r>
              <w:rPr>
                <w:rFonts w:ascii="Times New Roman" w:eastAsia="Times New Roman"/>
                <w:spacing w:val="-14"/>
                <w:sz w:val="21"/>
              </w:rPr>
              <w:t> </w:t>
            </w:r>
            <w:r>
              <w:rPr>
                <w:sz w:val="21"/>
              </w:rPr>
              <w:t>系统</w:t>
            </w:r>
            <w:r>
              <w:rPr>
                <w:rFonts w:ascii="Times New Roman" w:eastAsia="Times New Roman"/>
                <w:sz w:val="21"/>
              </w:rPr>
              <w:t>+</w:t>
            </w:r>
            <w:r>
              <w:rPr>
                <w:sz w:val="21"/>
              </w:rPr>
              <w:t>二级</w:t>
            </w:r>
          </w:p>
          <w:p>
            <w:pPr>
              <w:pStyle w:val="TableParagraph"/>
              <w:spacing w:before="4"/>
              <w:ind w:left="28"/>
              <w:rPr>
                <w:sz w:val="21"/>
              </w:rPr>
            </w:pPr>
            <w:r>
              <w:rPr>
                <w:rFonts w:ascii="Times New Roman" w:eastAsia="Times New Roman"/>
                <w:sz w:val="21"/>
              </w:rPr>
              <w:t>RO+EDI+</w:t>
            </w:r>
            <w:r>
              <w:rPr>
                <w:sz w:val="21"/>
              </w:rPr>
              <w:t>三效蒸发</w:t>
            </w:r>
          </w:p>
        </w:tc>
        <w:tc>
          <w:tcPr>
            <w:tcW w:w="1530" w:type="dxa"/>
          </w:tcPr>
          <w:p>
            <w:pPr>
              <w:pStyle w:val="TableParagraph"/>
              <w:spacing w:before="168"/>
              <w:ind w:right="20"/>
              <w:jc w:val="right"/>
              <w:rPr>
                <w:rFonts w:ascii="Times New Roman"/>
                <w:sz w:val="21"/>
              </w:rPr>
            </w:pPr>
            <w:r>
              <w:rPr>
                <w:rFonts w:ascii="Times New Roman"/>
                <w:sz w:val="21"/>
              </w:rPr>
              <w:t>500m</w:t>
            </w:r>
            <w:r>
              <w:rPr>
                <w:rFonts w:ascii="Times New Roman"/>
                <w:position w:val="7"/>
                <w:sz w:val="14"/>
              </w:rPr>
              <w:t>3</w:t>
            </w:r>
            <w:r>
              <w:rPr>
                <w:rFonts w:ascii="Times New Roman"/>
                <w:sz w:val="21"/>
              </w:rPr>
              <w:t>/d</w:t>
            </w:r>
          </w:p>
        </w:tc>
        <w:tc>
          <w:tcPr>
            <w:tcW w:w="817" w:type="dxa"/>
            <w:vMerge/>
            <w:tcBorders>
              <w:top w:val="nil"/>
            </w:tcBorders>
          </w:tcPr>
          <w:p>
            <w:pPr>
              <w:rPr>
                <w:sz w:val="2"/>
                <w:szCs w:val="2"/>
              </w:rPr>
            </w:pPr>
          </w:p>
        </w:tc>
      </w:tr>
      <w:tr>
        <w:trPr>
          <w:trHeight w:val="328" w:hRule="atLeast"/>
        </w:trPr>
        <w:tc>
          <w:tcPr>
            <w:tcW w:w="1529"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9"/>
              <w:rPr>
                <w:sz w:val="27"/>
              </w:rPr>
            </w:pPr>
          </w:p>
          <w:p>
            <w:pPr>
              <w:pStyle w:val="TableParagraph"/>
              <w:spacing w:line="244" w:lineRule="auto" w:before="1"/>
              <w:ind w:left="28" w:right="13"/>
              <w:rPr>
                <w:sz w:val="21"/>
              </w:rPr>
            </w:pPr>
            <w:r>
              <w:rPr>
                <w:spacing w:val="38"/>
                <w:sz w:val="21"/>
              </w:rPr>
              <w:t>富联科技</w:t>
            </w:r>
            <w:r>
              <w:rPr>
                <w:sz w:val="21"/>
              </w:rPr>
              <w:t>（</w:t>
            </w:r>
            <w:r>
              <w:rPr>
                <w:spacing w:val="-31"/>
                <w:sz w:val="21"/>
              </w:rPr>
              <w:t> 晋</w:t>
            </w:r>
            <w:r>
              <w:rPr>
                <w:sz w:val="21"/>
              </w:rPr>
              <w:t>城）有限公司</w:t>
            </w:r>
          </w:p>
        </w:tc>
        <w:tc>
          <w:tcPr>
            <w:tcW w:w="651" w:type="dxa"/>
            <w:vMerge w:val="restart"/>
          </w:tcPr>
          <w:p>
            <w:pPr>
              <w:pStyle w:val="TableParagraph"/>
              <w:rPr>
                <w:sz w:val="20"/>
              </w:rPr>
            </w:pPr>
          </w:p>
          <w:p>
            <w:pPr>
              <w:pStyle w:val="TableParagraph"/>
              <w:rPr>
                <w:sz w:val="20"/>
              </w:rPr>
            </w:pPr>
          </w:p>
          <w:p>
            <w:pPr>
              <w:pStyle w:val="TableParagraph"/>
              <w:rPr>
                <w:sz w:val="20"/>
              </w:rPr>
            </w:pPr>
          </w:p>
          <w:p>
            <w:pPr>
              <w:pStyle w:val="TableParagraph"/>
              <w:spacing w:before="8"/>
              <w:rPr>
                <w:sz w:val="17"/>
              </w:rPr>
            </w:pPr>
          </w:p>
          <w:p>
            <w:pPr>
              <w:pStyle w:val="TableParagraph"/>
              <w:ind w:left="114"/>
              <w:rPr>
                <w:sz w:val="21"/>
              </w:rPr>
            </w:pPr>
            <w:r>
              <w:rPr>
                <w:sz w:val="21"/>
              </w:rPr>
              <w:t>废水</w:t>
            </w:r>
          </w:p>
        </w:tc>
        <w:tc>
          <w:tcPr>
            <w:tcW w:w="4737" w:type="dxa"/>
          </w:tcPr>
          <w:p>
            <w:pPr>
              <w:pStyle w:val="TableParagraph"/>
              <w:spacing w:before="29"/>
              <w:ind w:left="28"/>
              <w:rPr>
                <w:sz w:val="21"/>
              </w:rPr>
            </w:pPr>
            <w:r>
              <w:rPr>
                <w:spacing w:val="-1"/>
                <w:sz w:val="21"/>
              </w:rPr>
              <w:t>含铬系统</w:t>
            </w:r>
            <w:r>
              <w:rPr>
                <w:rFonts w:ascii="Times New Roman" w:eastAsia="Times New Roman"/>
                <w:spacing w:val="-1"/>
                <w:sz w:val="21"/>
              </w:rPr>
              <w:t>-</w:t>
            </w:r>
            <w:r>
              <w:rPr>
                <w:sz w:val="21"/>
              </w:rPr>
              <w:t>化学还原</w:t>
            </w:r>
            <w:r>
              <w:rPr>
                <w:rFonts w:ascii="Times New Roman" w:eastAsia="Times New Roman"/>
                <w:sz w:val="21"/>
              </w:rPr>
              <w:t>+</w:t>
            </w:r>
            <w:r>
              <w:rPr>
                <w:sz w:val="21"/>
              </w:rPr>
              <w:t>化学沉淀</w:t>
            </w:r>
            <w:r>
              <w:rPr>
                <w:rFonts w:ascii="Times New Roman" w:eastAsia="Times New Roman"/>
                <w:sz w:val="21"/>
              </w:rPr>
              <w:t>+</w:t>
            </w:r>
            <w:r>
              <w:rPr>
                <w:sz w:val="21"/>
              </w:rPr>
              <w:t>双极过滤</w:t>
            </w:r>
          </w:p>
        </w:tc>
        <w:tc>
          <w:tcPr>
            <w:tcW w:w="1530" w:type="dxa"/>
          </w:tcPr>
          <w:p>
            <w:pPr>
              <w:pStyle w:val="TableParagraph"/>
              <w:spacing w:before="32"/>
              <w:ind w:right="20"/>
              <w:jc w:val="right"/>
              <w:rPr>
                <w:rFonts w:ascii="Times New Roman"/>
                <w:sz w:val="21"/>
              </w:rPr>
            </w:pPr>
            <w:r>
              <w:rPr>
                <w:rFonts w:ascii="Times New Roman"/>
                <w:sz w:val="21"/>
              </w:rPr>
              <w:t>200m</w:t>
            </w:r>
            <w:r>
              <w:rPr>
                <w:rFonts w:ascii="Times New Roman"/>
                <w:position w:val="7"/>
                <w:sz w:val="14"/>
              </w:rPr>
              <w:t>3</w:t>
            </w:r>
            <w:r>
              <w:rPr>
                <w:rFonts w:ascii="Times New Roman"/>
                <w:sz w:val="21"/>
              </w:rPr>
              <w:t>/d</w:t>
            </w:r>
          </w:p>
        </w:tc>
        <w:tc>
          <w:tcPr>
            <w:tcW w:w="817" w:type="dxa"/>
            <w:vMerge w:val="restart"/>
          </w:tcPr>
          <w:p>
            <w:pPr>
              <w:pStyle w:val="TableParagraph"/>
              <w:rPr>
                <w:sz w:val="20"/>
              </w:rPr>
            </w:pPr>
          </w:p>
          <w:p>
            <w:pPr>
              <w:pStyle w:val="TableParagraph"/>
              <w:rPr>
                <w:sz w:val="20"/>
              </w:rPr>
            </w:pPr>
          </w:p>
          <w:p>
            <w:pPr>
              <w:pStyle w:val="TableParagraph"/>
              <w:spacing w:before="2"/>
              <w:rPr>
                <w:sz w:val="27"/>
              </w:rPr>
            </w:pPr>
          </w:p>
          <w:p>
            <w:pPr>
              <w:pStyle w:val="TableParagraph"/>
              <w:spacing w:line="242" w:lineRule="auto"/>
              <w:ind w:left="194" w:right="188"/>
              <w:rPr>
                <w:sz w:val="21"/>
              </w:rPr>
            </w:pPr>
            <w:r>
              <w:rPr>
                <w:spacing w:val="-1"/>
                <w:sz w:val="21"/>
              </w:rPr>
              <w:t>正常运行</w:t>
            </w:r>
          </w:p>
        </w:tc>
      </w:tr>
      <w:tr>
        <w:trPr>
          <w:trHeight w:val="328" w:hRule="atLeast"/>
        </w:trPr>
        <w:tc>
          <w:tcPr>
            <w:tcW w:w="1529" w:type="dxa"/>
            <w:vMerge/>
            <w:tcBorders>
              <w:top w:val="nil"/>
            </w:tcBorders>
          </w:tcPr>
          <w:p>
            <w:pPr>
              <w:rPr>
                <w:sz w:val="2"/>
                <w:szCs w:val="2"/>
              </w:rPr>
            </w:pPr>
          </w:p>
        </w:tc>
        <w:tc>
          <w:tcPr>
            <w:tcW w:w="651" w:type="dxa"/>
            <w:vMerge/>
            <w:tcBorders>
              <w:top w:val="nil"/>
            </w:tcBorders>
          </w:tcPr>
          <w:p>
            <w:pPr>
              <w:rPr>
                <w:sz w:val="2"/>
                <w:szCs w:val="2"/>
              </w:rPr>
            </w:pPr>
          </w:p>
        </w:tc>
        <w:tc>
          <w:tcPr>
            <w:tcW w:w="4737" w:type="dxa"/>
          </w:tcPr>
          <w:p>
            <w:pPr>
              <w:pStyle w:val="TableParagraph"/>
              <w:spacing w:before="30"/>
              <w:ind w:left="28"/>
              <w:rPr>
                <w:sz w:val="21"/>
              </w:rPr>
            </w:pPr>
            <w:r>
              <w:rPr>
                <w:spacing w:val="-1"/>
                <w:sz w:val="21"/>
              </w:rPr>
              <w:t>综合系统</w:t>
            </w:r>
            <w:r>
              <w:rPr>
                <w:rFonts w:ascii="Times New Roman" w:eastAsia="Times New Roman"/>
                <w:sz w:val="21"/>
              </w:rPr>
              <w:t>-</w:t>
            </w:r>
            <w:r>
              <w:rPr>
                <w:sz w:val="21"/>
              </w:rPr>
              <w:t>两级化学沉淀</w:t>
            </w:r>
          </w:p>
        </w:tc>
        <w:tc>
          <w:tcPr>
            <w:tcW w:w="1530" w:type="dxa"/>
          </w:tcPr>
          <w:p>
            <w:pPr>
              <w:pStyle w:val="TableParagraph"/>
              <w:spacing w:before="32"/>
              <w:ind w:right="17"/>
              <w:jc w:val="right"/>
              <w:rPr>
                <w:rFonts w:ascii="Times New Roman"/>
                <w:sz w:val="21"/>
              </w:rPr>
            </w:pPr>
            <w:r>
              <w:rPr>
                <w:rFonts w:ascii="Times New Roman"/>
                <w:sz w:val="21"/>
              </w:rPr>
              <w:t>3,150m</w:t>
            </w:r>
            <w:r>
              <w:rPr>
                <w:rFonts w:ascii="Times New Roman"/>
                <w:position w:val="7"/>
                <w:sz w:val="14"/>
              </w:rPr>
              <w:t>3</w:t>
            </w:r>
            <w:r>
              <w:rPr>
                <w:rFonts w:ascii="Times New Roman"/>
                <w:sz w:val="21"/>
              </w:rPr>
              <w:t>/d</w:t>
            </w:r>
          </w:p>
        </w:tc>
        <w:tc>
          <w:tcPr>
            <w:tcW w:w="817" w:type="dxa"/>
            <w:vMerge/>
            <w:tcBorders>
              <w:top w:val="nil"/>
            </w:tcBorders>
          </w:tcPr>
          <w:p>
            <w:pPr>
              <w:rPr>
                <w:sz w:val="2"/>
                <w:szCs w:val="2"/>
              </w:rPr>
            </w:pPr>
          </w:p>
        </w:tc>
      </w:tr>
      <w:tr>
        <w:trPr>
          <w:trHeight w:val="329" w:hRule="atLeast"/>
        </w:trPr>
        <w:tc>
          <w:tcPr>
            <w:tcW w:w="1529" w:type="dxa"/>
            <w:vMerge/>
            <w:tcBorders>
              <w:top w:val="nil"/>
            </w:tcBorders>
          </w:tcPr>
          <w:p>
            <w:pPr>
              <w:rPr>
                <w:sz w:val="2"/>
                <w:szCs w:val="2"/>
              </w:rPr>
            </w:pPr>
          </w:p>
        </w:tc>
        <w:tc>
          <w:tcPr>
            <w:tcW w:w="651" w:type="dxa"/>
            <w:vMerge/>
            <w:tcBorders>
              <w:top w:val="nil"/>
            </w:tcBorders>
          </w:tcPr>
          <w:p>
            <w:pPr>
              <w:rPr>
                <w:sz w:val="2"/>
                <w:szCs w:val="2"/>
              </w:rPr>
            </w:pPr>
          </w:p>
        </w:tc>
        <w:tc>
          <w:tcPr>
            <w:tcW w:w="4737" w:type="dxa"/>
          </w:tcPr>
          <w:p>
            <w:pPr>
              <w:pStyle w:val="TableParagraph"/>
              <w:spacing w:before="27"/>
              <w:ind w:left="28"/>
              <w:rPr>
                <w:sz w:val="21"/>
              </w:rPr>
            </w:pPr>
            <w:r>
              <w:rPr>
                <w:spacing w:val="-1"/>
                <w:sz w:val="21"/>
              </w:rPr>
              <w:t>含镍系统</w:t>
            </w:r>
            <w:r>
              <w:rPr>
                <w:rFonts w:ascii="Times New Roman" w:eastAsia="Times New Roman"/>
                <w:sz w:val="21"/>
              </w:rPr>
              <w:t>-</w:t>
            </w:r>
            <w:r>
              <w:rPr>
                <w:sz w:val="21"/>
              </w:rPr>
              <w:t>化学还原</w:t>
            </w:r>
            <w:r>
              <w:rPr>
                <w:rFonts w:ascii="Times New Roman" w:eastAsia="Times New Roman"/>
                <w:sz w:val="21"/>
              </w:rPr>
              <w:t>+</w:t>
            </w:r>
            <w:r>
              <w:rPr>
                <w:sz w:val="21"/>
              </w:rPr>
              <w:t>化学沉淀</w:t>
            </w:r>
          </w:p>
        </w:tc>
        <w:tc>
          <w:tcPr>
            <w:tcW w:w="1530" w:type="dxa"/>
          </w:tcPr>
          <w:p>
            <w:pPr>
              <w:pStyle w:val="TableParagraph"/>
              <w:spacing w:before="32"/>
              <w:ind w:right="20"/>
              <w:jc w:val="right"/>
              <w:rPr>
                <w:rFonts w:ascii="Times New Roman"/>
                <w:sz w:val="21"/>
              </w:rPr>
            </w:pPr>
            <w:r>
              <w:rPr>
                <w:rFonts w:ascii="Times New Roman"/>
                <w:sz w:val="21"/>
              </w:rPr>
              <w:t>150m</w:t>
            </w:r>
            <w:r>
              <w:rPr>
                <w:rFonts w:ascii="Times New Roman"/>
                <w:position w:val="7"/>
                <w:sz w:val="14"/>
              </w:rPr>
              <w:t>3</w:t>
            </w:r>
            <w:r>
              <w:rPr>
                <w:rFonts w:ascii="Times New Roman"/>
                <w:sz w:val="21"/>
              </w:rPr>
              <w:t>/d</w:t>
            </w:r>
          </w:p>
        </w:tc>
        <w:tc>
          <w:tcPr>
            <w:tcW w:w="817" w:type="dxa"/>
            <w:vMerge/>
            <w:tcBorders>
              <w:top w:val="nil"/>
            </w:tcBorders>
          </w:tcPr>
          <w:p>
            <w:pPr>
              <w:rPr>
                <w:sz w:val="2"/>
                <w:szCs w:val="2"/>
              </w:rPr>
            </w:pPr>
          </w:p>
        </w:tc>
      </w:tr>
      <w:tr>
        <w:trPr>
          <w:trHeight w:val="568" w:hRule="atLeast"/>
        </w:trPr>
        <w:tc>
          <w:tcPr>
            <w:tcW w:w="1529" w:type="dxa"/>
            <w:vMerge/>
            <w:tcBorders>
              <w:top w:val="nil"/>
            </w:tcBorders>
          </w:tcPr>
          <w:p>
            <w:pPr>
              <w:rPr>
                <w:sz w:val="2"/>
                <w:szCs w:val="2"/>
              </w:rPr>
            </w:pPr>
          </w:p>
        </w:tc>
        <w:tc>
          <w:tcPr>
            <w:tcW w:w="651" w:type="dxa"/>
            <w:vMerge/>
            <w:tcBorders>
              <w:top w:val="nil"/>
            </w:tcBorders>
          </w:tcPr>
          <w:p>
            <w:pPr>
              <w:rPr>
                <w:sz w:val="2"/>
                <w:szCs w:val="2"/>
              </w:rPr>
            </w:pPr>
          </w:p>
        </w:tc>
        <w:tc>
          <w:tcPr>
            <w:tcW w:w="4737" w:type="dxa"/>
          </w:tcPr>
          <w:p>
            <w:pPr>
              <w:pStyle w:val="TableParagraph"/>
              <w:spacing w:line="268" w:lineRule="exact" w:before="27"/>
              <w:ind w:left="28"/>
              <w:rPr>
                <w:sz w:val="21"/>
              </w:rPr>
            </w:pPr>
            <w:r>
              <w:rPr>
                <w:sz w:val="21"/>
              </w:rPr>
              <w:t>综合</w:t>
            </w:r>
            <w:r>
              <w:rPr>
                <w:rFonts w:ascii="Times New Roman" w:eastAsia="Times New Roman"/>
                <w:sz w:val="21"/>
              </w:rPr>
              <w:t>+</w:t>
            </w:r>
            <w:r>
              <w:rPr>
                <w:sz w:val="21"/>
              </w:rPr>
              <w:t>生活污水处理系统</w:t>
            </w:r>
            <w:r>
              <w:rPr>
                <w:rFonts w:ascii="Times New Roman" w:eastAsia="Times New Roman"/>
                <w:sz w:val="21"/>
              </w:rPr>
              <w:t>-</w:t>
            </w:r>
            <w:r>
              <w:rPr>
                <w:sz w:val="21"/>
              </w:rPr>
              <w:t>化学沉淀</w:t>
            </w:r>
            <w:r>
              <w:rPr>
                <w:rFonts w:ascii="Times New Roman" w:eastAsia="Times New Roman"/>
                <w:sz w:val="21"/>
              </w:rPr>
              <w:t>+</w:t>
            </w:r>
            <w:r>
              <w:rPr>
                <w:sz w:val="21"/>
              </w:rPr>
              <w:t>兼氧</w:t>
            </w:r>
            <w:r>
              <w:rPr>
                <w:rFonts w:ascii="Times New Roman" w:eastAsia="Times New Roman"/>
                <w:sz w:val="21"/>
              </w:rPr>
              <w:t>+</w:t>
            </w:r>
            <w:r>
              <w:rPr>
                <w:sz w:val="21"/>
              </w:rPr>
              <w:t>好氧</w:t>
            </w:r>
          </w:p>
          <w:p>
            <w:pPr>
              <w:pStyle w:val="TableParagraph"/>
              <w:spacing w:line="240" w:lineRule="exact"/>
              <w:ind w:left="28"/>
              <w:rPr>
                <w:rFonts w:ascii="Times New Roman"/>
                <w:sz w:val="21"/>
              </w:rPr>
            </w:pPr>
            <w:r>
              <w:rPr>
                <w:rFonts w:ascii="Times New Roman"/>
                <w:sz w:val="21"/>
              </w:rPr>
              <w:t>+MBR</w:t>
            </w:r>
          </w:p>
        </w:tc>
        <w:tc>
          <w:tcPr>
            <w:tcW w:w="1530" w:type="dxa"/>
          </w:tcPr>
          <w:p>
            <w:pPr>
              <w:pStyle w:val="TableParagraph"/>
              <w:spacing w:before="152"/>
              <w:ind w:right="17"/>
              <w:jc w:val="right"/>
              <w:rPr>
                <w:rFonts w:ascii="Times New Roman"/>
                <w:sz w:val="21"/>
              </w:rPr>
            </w:pPr>
            <w:r>
              <w:rPr>
                <w:rFonts w:ascii="Times New Roman"/>
                <w:sz w:val="21"/>
              </w:rPr>
              <w:t>4,000m</w:t>
            </w:r>
            <w:r>
              <w:rPr>
                <w:rFonts w:ascii="Times New Roman"/>
                <w:position w:val="7"/>
                <w:sz w:val="14"/>
              </w:rPr>
              <w:t>3</w:t>
            </w:r>
            <w:r>
              <w:rPr>
                <w:rFonts w:ascii="Times New Roman"/>
                <w:sz w:val="21"/>
              </w:rPr>
              <w:t>/d</w:t>
            </w:r>
          </w:p>
        </w:tc>
        <w:tc>
          <w:tcPr>
            <w:tcW w:w="817" w:type="dxa"/>
            <w:vMerge/>
            <w:tcBorders>
              <w:top w:val="nil"/>
            </w:tcBorders>
          </w:tcPr>
          <w:p>
            <w:pPr>
              <w:rPr>
                <w:sz w:val="2"/>
                <w:szCs w:val="2"/>
              </w:rPr>
            </w:pPr>
          </w:p>
        </w:tc>
      </w:tr>
      <w:tr>
        <w:trPr>
          <w:trHeight w:val="328" w:hRule="atLeast"/>
        </w:trPr>
        <w:tc>
          <w:tcPr>
            <w:tcW w:w="1529" w:type="dxa"/>
            <w:vMerge/>
            <w:tcBorders>
              <w:top w:val="nil"/>
            </w:tcBorders>
          </w:tcPr>
          <w:p>
            <w:pPr>
              <w:rPr>
                <w:sz w:val="2"/>
                <w:szCs w:val="2"/>
              </w:rPr>
            </w:pPr>
          </w:p>
        </w:tc>
        <w:tc>
          <w:tcPr>
            <w:tcW w:w="651" w:type="dxa"/>
            <w:vMerge/>
            <w:tcBorders>
              <w:top w:val="nil"/>
            </w:tcBorders>
          </w:tcPr>
          <w:p>
            <w:pPr>
              <w:rPr>
                <w:sz w:val="2"/>
                <w:szCs w:val="2"/>
              </w:rPr>
            </w:pPr>
          </w:p>
        </w:tc>
        <w:tc>
          <w:tcPr>
            <w:tcW w:w="4737" w:type="dxa"/>
          </w:tcPr>
          <w:p>
            <w:pPr>
              <w:pStyle w:val="TableParagraph"/>
              <w:spacing w:before="29"/>
              <w:ind w:left="28"/>
              <w:rPr>
                <w:sz w:val="21"/>
              </w:rPr>
            </w:pPr>
            <w:r>
              <w:rPr>
                <w:spacing w:val="-1"/>
                <w:sz w:val="21"/>
              </w:rPr>
              <w:t>有机系统</w:t>
            </w:r>
            <w:r>
              <w:rPr>
                <w:rFonts w:ascii="Times New Roman" w:eastAsia="Times New Roman"/>
                <w:spacing w:val="-1"/>
                <w:sz w:val="21"/>
              </w:rPr>
              <w:t>-</w:t>
            </w:r>
            <w:r>
              <w:rPr>
                <w:spacing w:val="-1"/>
                <w:sz w:val="21"/>
              </w:rPr>
              <w:t>化学沉淀</w:t>
            </w:r>
            <w:r>
              <w:rPr>
                <w:rFonts w:ascii="Times New Roman" w:eastAsia="Times New Roman"/>
                <w:spacing w:val="-1"/>
                <w:sz w:val="21"/>
              </w:rPr>
              <w:t>+</w:t>
            </w:r>
            <w:r>
              <w:rPr>
                <w:sz w:val="21"/>
              </w:rPr>
              <w:t>三效蒸发</w:t>
            </w:r>
            <w:r>
              <w:rPr>
                <w:rFonts w:ascii="Times New Roman" w:eastAsia="Times New Roman"/>
                <w:sz w:val="21"/>
              </w:rPr>
              <w:t>+</w:t>
            </w:r>
            <w:r>
              <w:rPr>
                <w:sz w:val="21"/>
              </w:rPr>
              <w:t>厌氧</w:t>
            </w:r>
            <w:r>
              <w:rPr>
                <w:rFonts w:ascii="Times New Roman" w:eastAsia="Times New Roman"/>
                <w:sz w:val="21"/>
              </w:rPr>
              <w:t>+</w:t>
            </w:r>
            <w:r>
              <w:rPr>
                <w:sz w:val="21"/>
              </w:rPr>
              <w:t>缺氧</w:t>
            </w:r>
            <w:r>
              <w:rPr>
                <w:rFonts w:ascii="Times New Roman" w:eastAsia="Times New Roman"/>
                <w:sz w:val="21"/>
              </w:rPr>
              <w:t>+</w:t>
            </w:r>
            <w:r>
              <w:rPr>
                <w:sz w:val="21"/>
              </w:rPr>
              <w:t>好氧</w:t>
            </w:r>
          </w:p>
        </w:tc>
        <w:tc>
          <w:tcPr>
            <w:tcW w:w="1530" w:type="dxa"/>
          </w:tcPr>
          <w:p>
            <w:pPr>
              <w:pStyle w:val="TableParagraph"/>
              <w:spacing w:before="32"/>
              <w:ind w:right="20"/>
              <w:jc w:val="right"/>
              <w:rPr>
                <w:rFonts w:ascii="Times New Roman"/>
                <w:sz w:val="21"/>
              </w:rPr>
            </w:pPr>
            <w:r>
              <w:rPr>
                <w:rFonts w:ascii="Times New Roman"/>
                <w:sz w:val="21"/>
              </w:rPr>
              <w:t>40m</w:t>
            </w:r>
            <w:r>
              <w:rPr>
                <w:rFonts w:ascii="Times New Roman"/>
                <w:position w:val="7"/>
                <w:sz w:val="14"/>
              </w:rPr>
              <w:t>3</w:t>
            </w:r>
            <w:r>
              <w:rPr>
                <w:rFonts w:ascii="Times New Roman"/>
                <w:sz w:val="21"/>
              </w:rPr>
              <w:t>/d</w:t>
            </w:r>
          </w:p>
        </w:tc>
        <w:tc>
          <w:tcPr>
            <w:tcW w:w="817" w:type="dxa"/>
            <w:vMerge/>
            <w:tcBorders>
              <w:top w:val="nil"/>
            </w:tcBorders>
          </w:tcPr>
          <w:p>
            <w:pPr>
              <w:rPr>
                <w:sz w:val="2"/>
                <w:szCs w:val="2"/>
              </w:rPr>
            </w:pPr>
          </w:p>
        </w:tc>
      </w:tr>
      <w:tr>
        <w:trPr>
          <w:trHeight w:val="328" w:hRule="atLeast"/>
        </w:trPr>
        <w:tc>
          <w:tcPr>
            <w:tcW w:w="1529" w:type="dxa"/>
            <w:vMerge/>
            <w:tcBorders>
              <w:top w:val="nil"/>
            </w:tcBorders>
          </w:tcPr>
          <w:p>
            <w:pPr>
              <w:rPr>
                <w:sz w:val="2"/>
                <w:szCs w:val="2"/>
              </w:rPr>
            </w:pPr>
          </w:p>
        </w:tc>
        <w:tc>
          <w:tcPr>
            <w:tcW w:w="651" w:type="dxa"/>
            <w:vMerge/>
            <w:tcBorders>
              <w:top w:val="nil"/>
            </w:tcBorders>
          </w:tcPr>
          <w:p>
            <w:pPr>
              <w:rPr>
                <w:sz w:val="2"/>
                <w:szCs w:val="2"/>
              </w:rPr>
            </w:pPr>
          </w:p>
        </w:tc>
        <w:tc>
          <w:tcPr>
            <w:tcW w:w="4737" w:type="dxa"/>
          </w:tcPr>
          <w:p>
            <w:pPr>
              <w:pStyle w:val="TableParagraph"/>
              <w:spacing w:before="29"/>
              <w:ind w:left="28"/>
              <w:rPr>
                <w:sz w:val="21"/>
              </w:rPr>
            </w:pPr>
            <w:r>
              <w:rPr>
                <w:spacing w:val="-1"/>
                <w:sz w:val="21"/>
              </w:rPr>
              <w:t>水解酸化</w:t>
            </w:r>
            <w:r>
              <w:rPr>
                <w:rFonts w:ascii="Times New Roman" w:eastAsia="Times New Roman"/>
                <w:spacing w:val="-1"/>
                <w:sz w:val="21"/>
              </w:rPr>
              <w:t>+</w:t>
            </w:r>
            <w:r>
              <w:rPr>
                <w:spacing w:val="-1"/>
                <w:sz w:val="21"/>
              </w:rPr>
              <w:t>厌氧</w:t>
            </w:r>
            <w:r>
              <w:rPr>
                <w:rFonts w:ascii="Times New Roman" w:eastAsia="Times New Roman"/>
                <w:sz w:val="21"/>
              </w:rPr>
              <w:t>+</w:t>
            </w:r>
            <w:r>
              <w:rPr>
                <w:sz w:val="21"/>
              </w:rPr>
              <w:t>缺氧</w:t>
            </w:r>
            <w:r>
              <w:rPr>
                <w:rFonts w:ascii="Times New Roman" w:eastAsia="Times New Roman"/>
                <w:sz w:val="21"/>
              </w:rPr>
              <w:t>+</w:t>
            </w:r>
            <w:r>
              <w:rPr>
                <w:sz w:val="21"/>
              </w:rPr>
              <w:t>好氧</w:t>
            </w:r>
          </w:p>
        </w:tc>
        <w:tc>
          <w:tcPr>
            <w:tcW w:w="1530" w:type="dxa"/>
          </w:tcPr>
          <w:p>
            <w:pPr>
              <w:pStyle w:val="TableParagraph"/>
              <w:spacing w:before="29"/>
              <w:ind w:right="17"/>
              <w:jc w:val="right"/>
              <w:rPr>
                <w:rFonts w:ascii="Times New Roman" w:hAnsi="Times New Roman"/>
                <w:sz w:val="21"/>
              </w:rPr>
            </w:pPr>
            <w:r>
              <w:rPr>
                <w:rFonts w:ascii="Times New Roman" w:hAnsi="Times New Roman"/>
                <w:sz w:val="21"/>
              </w:rPr>
              <w:t>3,000m</w:t>
            </w:r>
            <w:r>
              <w:rPr>
                <w:sz w:val="21"/>
              </w:rPr>
              <w:t>³</w:t>
            </w:r>
            <w:r>
              <w:rPr>
                <w:rFonts w:ascii="Times New Roman" w:hAnsi="Times New Roman"/>
                <w:sz w:val="21"/>
              </w:rPr>
              <w:t>/d</w:t>
            </w:r>
          </w:p>
        </w:tc>
        <w:tc>
          <w:tcPr>
            <w:tcW w:w="817" w:type="dxa"/>
            <w:vMerge/>
            <w:tcBorders>
              <w:top w:val="nil"/>
            </w:tcBorders>
          </w:tcPr>
          <w:p>
            <w:pPr>
              <w:rPr>
                <w:sz w:val="2"/>
                <w:szCs w:val="2"/>
              </w:rPr>
            </w:pPr>
          </w:p>
        </w:tc>
      </w:tr>
      <w:tr>
        <w:trPr>
          <w:trHeight w:val="328" w:hRule="atLeast"/>
        </w:trPr>
        <w:tc>
          <w:tcPr>
            <w:tcW w:w="1529" w:type="dxa"/>
            <w:vMerge/>
            <w:tcBorders>
              <w:top w:val="nil"/>
            </w:tcBorders>
          </w:tcPr>
          <w:p>
            <w:pPr>
              <w:rPr>
                <w:sz w:val="2"/>
                <w:szCs w:val="2"/>
              </w:rPr>
            </w:pPr>
          </w:p>
        </w:tc>
        <w:tc>
          <w:tcPr>
            <w:tcW w:w="651" w:type="dxa"/>
            <w:vMerge w:val="restart"/>
          </w:tcPr>
          <w:p>
            <w:pPr>
              <w:pStyle w:val="TableParagraph"/>
              <w:rPr>
                <w:sz w:val="20"/>
              </w:rPr>
            </w:pPr>
          </w:p>
          <w:p>
            <w:pPr>
              <w:pStyle w:val="TableParagraph"/>
              <w:rPr>
                <w:sz w:val="20"/>
              </w:rPr>
            </w:pPr>
          </w:p>
          <w:p>
            <w:pPr>
              <w:pStyle w:val="TableParagraph"/>
              <w:rPr>
                <w:sz w:val="20"/>
              </w:rPr>
            </w:pPr>
          </w:p>
          <w:p>
            <w:pPr>
              <w:pStyle w:val="TableParagraph"/>
              <w:spacing w:before="10"/>
              <w:rPr>
                <w:sz w:val="29"/>
              </w:rPr>
            </w:pPr>
          </w:p>
          <w:p>
            <w:pPr>
              <w:pStyle w:val="TableParagraph"/>
              <w:ind w:left="114"/>
              <w:rPr>
                <w:sz w:val="21"/>
              </w:rPr>
            </w:pPr>
            <w:r>
              <w:rPr>
                <w:sz w:val="21"/>
              </w:rPr>
              <w:t>废气</w:t>
            </w:r>
          </w:p>
        </w:tc>
        <w:tc>
          <w:tcPr>
            <w:tcW w:w="4737" w:type="dxa"/>
          </w:tcPr>
          <w:p>
            <w:pPr>
              <w:pStyle w:val="TableParagraph"/>
              <w:spacing w:before="29"/>
              <w:ind w:left="28"/>
              <w:rPr>
                <w:sz w:val="21"/>
              </w:rPr>
            </w:pPr>
            <w:r>
              <w:rPr>
                <w:spacing w:val="-1"/>
                <w:sz w:val="21"/>
              </w:rPr>
              <w:t>除尘系统</w:t>
            </w:r>
            <w:r>
              <w:rPr>
                <w:rFonts w:ascii="Times New Roman" w:eastAsia="Times New Roman"/>
                <w:sz w:val="21"/>
              </w:rPr>
              <w:t>-</w:t>
            </w:r>
            <w:r>
              <w:rPr>
                <w:sz w:val="21"/>
              </w:rPr>
              <w:t>湿式喷淋装置</w:t>
            </w:r>
          </w:p>
        </w:tc>
        <w:tc>
          <w:tcPr>
            <w:tcW w:w="1530" w:type="dxa"/>
          </w:tcPr>
          <w:p>
            <w:pPr>
              <w:pStyle w:val="TableParagraph"/>
              <w:spacing w:before="36"/>
              <w:ind w:right="16"/>
              <w:jc w:val="right"/>
              <w:rPr>
                <w:rFonts w:ascii="Times New Roman"/>
                <w:sz w:val="21"/>
              </w:rPr>
            </w:pPr>
            <w:r>
              <w:rPr>
                <w:rFonts w:ascii="Times New Roman"/>
                <w:sz w:val="21"/>
              </w:rPr>
              <w:t>299,800m3/h</w:t>
            </w:r>
          </w:p>
        </w:tc>
        <w:tc>
          <w:tcPr>
            <w:tcW w:w="817" w:type="dxa"/>
            <w:vMerge w:val="restart"/>
          </w:tcPr>
          <w:p>
            <w:pPr>
              <w:pStyle w:val="TableParagraph"/>
              <w:rPr>
                <w:sz w:val="20"/>
              </w:rPr>
            </w:pPr>
          </w:p>
          <w:p>
            <w:pPr>
              <w:pStyle w:val="TableParagraph"/>
              <w:spacing w:before="8"/>
              <w:rPr>
                <w:sz w:val="24"/>
              </w:rPr>
            </w:pPr>
          </w:p>
          <w:p>
            <w:pPr>
              <w:pStyle w:val="TableParagraph"/>
              <w:spacing w:line="244" w:lineRule="auto"/>
              <w:ind w:left="194" w:right="188"/>
              <w:rPr>
                <w:sz w:val="21"/>
              </w:rPr>
            </w:pPr>
            <w:r>
              <w:rPr>
                <w:spacing w:val="-1"/>
                <w:sz w:val="21"/>
              </w:rPr>
              <w:t>正常运行</w:t>
            </w:r>
          </w:p>
        </w:tc>
      </w:tr>
      <w:tr>
        <w:trPr>
          <w:trHeight w:val="328" w:hRule="atLeast"/>
        </w:trPr>
        <w:tc>
          <w:tcPr>
            <w:tcW w:w="1529" w:type="dxa"/>
            <w:vMerge/>
            <w:tcBorders>
              <w:top w:val="nil"/>
            </w:tcBorders>
          </w:tcPr>
          <w:p>
            <w:pPr>
              <w:rPr>
                <w:sz w:val="2"/>
                <w:szCs w:val="2"/>
              </w:rPr>
            </w:pPr>
          </w:p>
        </w:tc>
        <w:tc>
          <w:tcPr>
            <w:tcW w:w="651" w:type="dxa"/>
            <w:vMerge/>
            <w:tcBorders>
              <w:top w:val="nil"/>
            </w:tcBorders>
          </w:tcPr>
          <w:p>
            <w:pPr>
              <w:rPr>
                <w:sz w:val="2"/>
                <w:szCs w:val="2"/>
              </w:rPr>
            </w:pPr>
          </w:p>
        </w:tc>
        <w:tc>
          <w:tcPr>
            <w:tcW w:w="4737" w:type="dxa"/>
          </w:tcPr>
          <w:p>
            <w:pPr>
              <w:pStyle w:val="TableParagraph"/>
              <w:spacing w:before="30"/>
              <w:ind w:left="28"/>
              <w:rPr>
                <w:sz w:val="21"/>
              </w:rPr>
            </w:pPr>
            <w:r>
              <w:rPr>
                <w:sz w:val="21"/>
              </w:rPr>
              <w:t>酸雾废气收集处理系统</w:t>
            </w:r>
            <w:r>
              <w:rPr>
                <w:rFonts w:ascii="Times New Roman" w:eastAsia="Times New Roman"/>
                <w:sz w:val="21"/>
              </w:rPr>
              <w:t>-</w:t>
            </w:r>
            <w:r>
              <w:rPr>
                <w:sz w:val="21"/>
              </w:rPr>
              <w:t>碱喷淋法</w:t>
            </w:r>
          </w:p>
        </w:tc>
        <w:tc>
          <w:tcPr>
            <w:tcW w:w="1530" w:type="dxa"/>
          </w:tcPr>
          <w:p>
            <w:pPr>
              <w:pStyle w:val="TableParagraph"/>
              <w:spacing w:before="36"/>
              <w:ind w:right="16"/>
              <w:jc w:val="right"/>
              <w:rPr>
                <w:rFonts w:ascii="Times New Roman"/>
                <w:sz w:val="21"/>
              </w:rPr>
            </w:pPr>
            <w:r>
              <w:rPr>
                <w:rFonts w:ascii="Times New Roman"/>
                <w:sz w:val="21"/>
              </w:rPr>
              <w:t>668,800m3/h</w:t>
            </w:r>
          </w:p>
        </w:tc>
        <w:tc>
          <w:tcPr>
            <w:tcW w:w="817" w:type="dxa"/>
            <w:vMerge/>
            <w:tcBorders>
              <w:top w:val="nil"/>
            </w:tcBorders>
          </w:tcPr>
          <w:p>
            <w:pPr>
              <w:rPr>
                <w:sz w:val="2"/>
                <w:szCs w:val="2"/>
              </w:rPr>
            </w:pPr>
          </w:p>
        </w:tc>
      </w:tr>
      <w:tr>
        <w:trPr>
          <w:trHeight w:val="328" w:hRule="atLeast"/>
        </w:trPr>
        <w:tc>
          <w:tcPr>
            <w:tcW w:w="1529" w:type="dxa"/>
            <w:vMerge/>
            <w:tcBorders>
              <w:top w:val="nil"/>
            </w:tcBorders>
          </w:tcPr>
          <w:p>
            <w:pPr>
              <w:rPr>
                <w:sz w:val="2"/>
                <w:szCs w:val="2"/>
              </w:rPr>
            </w:pPr>
          </w:p>
        </w:tc>
        <w:tc>
          <w:tcPr>
            <w:tcW w:w="651" w:type="dxa"/>
            <w:vMerge/>
            <w:tcBorders>
              <w:top w:val="nil"/>
            </w:tcBorders>
          </w:tcPr>
          <w:p>
            <w:pPr>
              <w:rPr>
                <w:sz w:val="2"/>
                <w:szCs w:val="2"/>
              </w:rPr>
            </w:pPr>
          </w:p>
        </w:tc>
        <w:tc>
          <w:tcPr>
            <w:tcW w:w="4737" w:type="dxa"/>
          </w:tcPr>
          <w:p>
            <w:pPr>
              <w:pStyle w:val="TableParagraph"/>
              <w:spacing w:before="29"/>
              <w:ind w:left="28"/>
              <w:rPr>
                <w:sz w:val="21"/>
              </w:rPr>
            </w:pPr>
            <w:r>
              <w:rPr>
                <w:spacing w:val="-1"/>
                <w:sz w:val="21"/>
              </w:rPr>
              <w:t>有机废气收集治理系统</w:t>
            </w:r>
            <w:r>
              <w:rPr>
                <w:rFonts w:ascii="Times New Roman" w:eastAsia="Times New Roman"/>
                <w:sz w:val="21"/>
              </w:rPr>
              <w:t>-</w:t>
            </w:r>
            <w:r>
              <w:rPr>
                <w:sz w:val="21"/>
              </w:rPr>
              <w:t>高效油雾净化装置</w:t>
            </w:r>
          </w:p>
        </w:tc>
        <w:tc>
          <w:tcPr>
            <w:tcW w:w="1530" w:type="dxa"/>
          </w:tcPr>
          <w:p>
            <w:pPr>
              <w:pStyle w:val="TableParagraph"/>
              <w:spacing w:before="36"/>
              <w:ind w:right="17"/>
              <w:jc w:val="right"/>
              <w:rPr>
                <w:rFonts w:ascii="Times New Roman"/>
                <w:sz w:val="21"/>
              </w:rPr>
            </w:pPr>
            <w:r>
              <w:rPr>
                <w:rFonts w:ascii="Times New Roman"/>
                <w:sz w:val="21"/>
              </w:rPr>
              <w:t>5,176,000m3/h</w:t>
            </w:r>
          </w:p>
        </w:tc>
        <w:tc>
          <w:tcPr>
            <w:tcW w:w="817" w:type="dxa"/>
            <w:vMerge/>
            <w:tcBorders>
              <w:top w:val="nil"/>
            </w:tcBorders>
          </w:tcPr>
          <w:p>
            <w:pPr>
              <w:rPr>
                <w:sz w:val="2"/>
                <w:szCs w:val="2"/>
              </w:rPr>
            </w:pPr>
          </w:p>
        </w:tc>
      </w:tr>
      <w:tr>
        <w:trPr>
          <w:trHeight w:val="328" w:hRule="atLeast"/>
        </w:trPr>
        <w:tc>
          <w:tcPr>
            <w:tcW w:w="1529" w:type="dxa"/>
            <w:vMerge/>
            <w:tcBorders>
              <w:top w:val="nil"/>
            </w:tcBorders>
          </w:tcPr>
          <w:p>
            <w:pPr>
              <w:rPr>
                <w:sz w:val="2"/>
                <w:szCs w:val="2"/>
              </w:rPr>
            </w:pPr>
          </w:p>
        </w:tc>
        <w:tc>
          <w:tcPr>
            <w:tcW w:w="651" w:type="dxa"/>
            <w:vMerge/>
            <w:tcBorders>
              <w:top w:val="nil"/>
            </w:tcBorders>
          </w:tcPr>
          <w:p>
            <w:pPr>
              <w:rPr>
                <w:sz w:val="2"/>
                <w:szCs w:val="2"/>
              </w:rPr>
            </w:pPr>
          </w:p>
        </w:tc>
        <w:tc>
          <w:tcPr>
            <w:tcW w:w="4737" w:type="dxa"/>
          </w:tcPr>
          <w:p>
            <w:pPr>
              <w:pStyle w:val="TableParagraph"/>
              <w:spacing w:before="29"/>
              <w:ind w:left="28"/>
              <w:rPr>
                <w:sz w:val="21"/>
              </w:rPr>
            </w:pPr>
            <w:r>
              <w:rPr>
                <w:spacing w:val="-1"/>
                <w:sz w:val="21"/>
              </w:rPr>
              <w:t>有机废气收集治理系统</w:t>
            </w:r>
            <w:r>
              <w:rPr>
                <w:rFonts w:ascii="Times New Roman" w:eastAsia="Times New Roman"/>
                <w:sz w:val="21"/>
              </w:rPr>
              <w:t>-</w:t>
            </w:r>
            <w:r>
              <w:rPr>
                <w:sz w:val="21"/>
              </w:rPr>
              <w:t>活性炭吸附</w:t>
            </w:r>
          </w:p>
        </w:tc>
        <w:tc>
          <w:tcPr>
            <w:tcW w:w="1530" w:type="dxa"/>
          </w:tcPr>
          <w:p>
            <w:pPr>
              <w:pStyle w:val="TableParagraph"/>
              <w:spacing w:before="36"/>
              <w:ind w:right="16"/>
              <w:jc w:val="right"/>
              <w:rPr>
                <w:rFonts w:ascii="Times New Roman"/>
                <w:sz w:val="21"/>
              </w:rPr>
            </w:pPr>
            <w:r>
              <w:rPr>
                <w:rFonts w:ascii="Times New Roman"/>
                <w:sz w:val="21"/>
              </w:rPr>
              <w:t>504,880m3/h</w:t>
            </w:r>
          </w:p>
        </w:tc>
        <w:tc>
          <w:tcPr>
            <w:tcW w:w="817" w:type="dxa"/>
            <w:vMerge/>
            <w:tcBorders>
              <w:top w:val="nil"/>
            </w:tcBorders>
          </w:tcPr>
          <w:p>
            <w:pPr>
              <w:rPr>
                <w:sz w:val="2"/>
                <w:szCs w:val="2"/>
              </w:rPr>
            </w:pPr>
          </w:p>
        </w:tc>
      </w:tr>
      <w:tr>
        <w:trPr>
          <w:trHeight w:val="333" w:hRule="atLeast"/>
        </w:trPr>
        <w:tc>
          <w:tcPr>
            <w:tcW w:w="1529" w:type="dxa"/>
            <w:vMerge/>
            <w:tcBorders>
              <w:top w:val="nil"/>
            </w:tcBorders>
          </w:tcPr>
          <w:p>
            <w:pPr>
              <w:rPr>
                <w:sz w:val="2"/>
                <w:szCs w:val="2"/>
              </w:rPr>
            </w:pPr>
          </w:p>
        </w:tc>
        <w:tc>
          <w:tcPr>
            <w:tcW w:w="651" w:type="dxa"/>
            <w:vMerge/>
            <w:tcBorders>
              <w:top w:val="nil"/>
            </w:tcBorders>
          </w:tcPr>
          <w:p>
            <w:pPr>
              <w:rPr>
                <w:sz w:val="2"/>
                <w:szCs w:val="2"/>
              </w:rPr>
            </w:pPr>
          </w:p>
        </w:tc>
        <w:tc>
          <w:tcPr>
            <w:tcW w:w="4737" w:type="dxa"/>
          </w:tcPr>
          <w:p>
            <w:pPr>
              <w:pStyle w:val="TableParagraph"/>
              <w:spacing w:before="32"/>
              <w:ind w:left="28"/>
              <w:rPr>
                <w:sz w:val="21"/>
              </w:rPr>
            </w:pPr>
            <w:r>
              <w:rPr>
                <w:spacing w:val="-1"/>
                <w:sz w:val="21"/>
              </w:rPr>
              <w:t>有机废气收集治理系统</w:t>
            </w:r>
            <w:r>
              <w:rPr>
                <w:rFonts w:ascii="Times New Roman" w:eastAsia="Times New Roman"/>
                <w:sz w:val="21"/>
              </w:rPr>
              <w:t>-</w:t>
            </w:r>
            <w:r>
              <w:rPr>
                <w:sz w:val="21"/>
              </w:rPr>
              <w:t>水洗</w:t>
            </w:r>
            <w:r>
              <w:rPr>
                <w:rFonts w:ascii="Times New Roman" w:eastAsia="Times New Roman"/>
                <w:sz w:val="21"/>
              </w:rPr>
              <w:t>+</w:t>
            </w:r>
            <w:r>
              <w:rPr>
                <w:sz w:val="21"/>
              </w:rPr>
              <w:t>活性炭吸附</w:t>
            </w:r>
          </w:p>
        </w:tc>
        <w:tc>
          <w:tcPr>
            <w:tcW w:w="1530" w:type="dxa"/>
          </w:tcPr>
          <w:p>
            <w:pPr>
              <w:pStyle w:val="TableParagraph"/>
              <w:spacing w:before="41"/>
              <w:ind w:right="16"/>
              <w:jc w:val="right"/>
              <w:rPr>
                <w:rFonts w:ascii="Times New Roman"/>
                <w:sz w:val="21"/>
              </w:rPr>
            </w:pPr>
            <w:r>
              <w:rPr>
                <w:rFonts w:ascii="Times New Roman"/>
                <w:sz w:val="21"/>
              </w:rPr>
              <w:t>249,000m3/h</w:t>
            </w:r>
          </w:p>
        </w:tc>
        <w:tc>
          <w:tcPr>
            <w:tcW w:w="817" w:type="dxa"/>
            <w:vMerge/>
            <w:tcBorders>
              <w:top w:val="nil"/>
            </w:tcBorders>
          </w:tcPr>
          <w:p>
            <w:pPr>
              <w:rPr>
                <w:sz w:val="2"/>
                <w:szCs w:val="2"/>
              </w:rPr>
            </w:pPr>
          </w:p>
        </w:tc>
      </w:tr>
      <w:tr>
        <w:trPr>
          <w:trHeight w:val="873" w:hRule="atLeast"/>
        </w:trPr>
        <w:tc>
          <w:tcPr>
            <w:tcW w:w="1529" w:type="dxa"/>
            <w:vMerge/>
            <w:tcBorders>
              <w:top w:val="nil"/>
            </w:tcBorders>
          </w:tcPr>
          <w:p>
            <w:pPr>
              <w:rPr>
                <w:sz w:val="2"/>
                <w:szCs w:val="2"/>
              </w:rPr>
            </w:pPr>
          </w:p>
        </w:tc>
        <w:tc>
          <w:tcPr>
            <w:tcW w:w="651" w:type="dxa"/>
            <w:vMerge/>
            <w:tcBorders>
              <w:top w:val="nil"/>
            </w:tcBorders>
          </w:tcPr>
          <w:p>
            <w:pPr>
              <w:rPr>
                <w:sz w:val="2"/>
                <w:szCs w:val="2"/>
              </w:rPr>
            </w:pPr>
          </w:p>
        </w:tc>
        <w:tc>
          <w:tcPr>
            <w:tcW w:w="4737" w:type="dxa"/>
          </w:tcPr>
          <w:p>
            <w:pPr>
              <w:pStyle w:val="TableParagraph"/>
              <w:spacing w:before="8"/>
              <w:rPr>
                <w:sz w:val="23"/>
              </w:rPr>
            </w:pPr>
          </w:p>
          <w:p>
            <w:pPr>
              <w:pStyle w:val="TableParagraph"/>
              <w:ind w:left="28"/>
              <w:rPr>
                <w:sz w:val="21"/>
              </w:rPr>
            </w:pPr>
            <w:r>
              <w:rPr>
                <w:spacing w:val="-1"/>
                <w:sz w:val="21"/>
              </w:rPr>
              <w:t>有机废气收集治理系统</w:t>
            </w:r>
            <w:r>
              <w:rPr>
                <w:rFonts w:ascii="Times New Roman" w:eastAsia="Times New Roman"/>
                <w:sz w:val="21"/>
              </w:rPr>
              <w:t>-</w:t>
            </w:r>
            <w:r>
              <w:rPr>
                <w:sz w:val="21"/>
              </w:rPr>
              <w:t>光催化氧化装置</w:t>
            </w:r>
          </w:p>
        </w:tc>
        <w:tc>
          <w:tcPr>
            <w:tcW w:w="1530" w:type="dxa"/>
          </w:tcPr>
          <w:p>
            <w:pPr>
              <w:pStyle w:val="TableParagraph"/>
              <w:spacing w:before="2"/>
              <w:rPr>
                <w:sz w:val="24"/>
              </w:rPr>
            </w:pPr>
          </w:p>
          <w:p>
            <w:pPr>
              <w:pStyle w:val="TableParagraph"/>
              <w:ind w:right="16"/>
              <w:jc w:val="right"/>
              <w:rPr>
                <w:rFonts w:ascii="Times New Roman"/>
                <w:sz w:val="21"/>
              </w:rPr>
            </w:pPr>
            <w:r>
              <w:rPr>
                <w:rFonts w:ascii="Times New Roman"/>
                <w:sz w:val="21"/>
              </w:rPr>
              <w:t>60,000m3/h</w:t>
            </w:r>
          </w:p>
        </w:tc>
        <w:tc>
          <w:tcPr>
            <w:tcW w:w="817" w:type="dxa"/>
          </w:tcPr>
          <w:p>
            <w:pPr>
              <w:pStyle w:val="TableParagraph"/>
              <w:spacing w:line="242" w:lineRule="auto" w:before="29"/>
              <w:ind w:left="88" w:right="82"/>
              <w:jc w:val="both"/>
              <w:rPr>
                <w:sz w:val="21"/>
              </w:rPr>
            </w:pPr>
            <w:r>
              <w:rPr>
                <w:sz w:val="21"/>
              </w:rPr>
              <w:t>以活性炭装置代替</w:t>
            </w:r>
          </w:p>
        </w:tc>
      </w:tr>
    </w:tbl>
    <w:p>
      <w:pPr>
        <w:pStyle w:val="BodyText"/>
        <w:spacing w:before="47"/>
        <w:ind w:left="1158"/>
      </w:pPr>
      <w:r>
        <w:rPr/>
        <w:t>词语释义：</w:t>
      </w:r>
    </w:p>
    <w:p>
      <w:pPr>
        <w:pStyle w:val="BodyText"/>
        <w:spacing w:line="242" w:lineRule="auto" w:before="7"/>
        <w:ind w:left="1158" w:right="5019"/>
      </w:pPr>
      <w:r>
        <w:rPr>
          <w:rFonts w:ascii="Times New Roman" w:eastAsia="Times New Roman"/>
        </w:rPr>
        <w:t>MBR</w:t>
      </w:r>
      <w:r>
        <w:rPr/>
        <w:t>：膜生物反应器（</w:t>
      </w:r>
      <w:r>
        <w:rPr>
          <w:rFonts w:ascii="Times New Roman" w:eastAsia="Times New Roman"/>
        </w:rPr>
        <w:t>Membrane Bio-Reactor</w:t>
      </w:r>
      <w:r>
        <w:rPr/>
        <w:t>）</w:t>
      </w:r>
      <w:r>
        <w:rPr>
          <w:spacing w:val="-102"/>
        </w:rPr>
        <w:t> </w:t>
      </w:r>
      <w:r>
        <w:rPr>
          <w:rFonts w:ascii="Times New Roman" w:eastAsia="Times New Roman"/>
        </w:rPr>
        <w:t>DF</w:t>
      </w:r>
      <w:r>
        <w:rPr/>
        <w:t>：</w:t>
      </w:r>
      <w:r>
        <w:rPr>
          <w:rFonts w:ascii="Times New Roman" w:eastAsia="Times New Roman"/>
        </w:rPr>
        <w:t>Duraflow</w:t>
      </w:r>
      <w:r>
        <w:rPr>
          <w:rFonts w:ascii="Times New Roman" w:eastAsia="Times New Roman"/>
          <w:spacing w:val="-11"/>
        </w:rPr>
        <w:t> </w:t>
      </w:r>
      <w:r>
        <w:rPr>
          <w:spacing w:val="-14"/>
        </w:rPr>
        <w:t>的孔径 </w:t>
      </w:r>
      <w:r>
        <w:rPr>
          <w:rFonts w:ascii="Times New Roman" w:eastAsia="Times New Roman"/>
        </w:rPr>
        <w:t>0.1</w:t>
      </w:r>
      <w:r>
        <w:rPr>
          <w:rFonts w:ascii="Times New Roman" w:eastAsia="Times New Roman"/>
          <w:spacing w:val="-12"/>
        </w:rPr>
        <w:t> </w:t>
      </w:r>
      <w:r>
        <w:rPr/>
        <w:t>微米微滤膜</w:t>
      </w:r>
    </w:p>
    <w:p>
      <w:pPr>
        <w:pStyle w:val="BodyText"/>
        <w:spacing w:before="2"/>
        <w:ind w:left="1158"/>
      </w:pPr>
      <w:r>
        <w:rPr>
          <w:rFonts w:ascii="Times New Roman" w:eastAsia="Times New Roman"/>
        </w:rPr>
        <w:t>RO</w:t>
      </w:r>
      <w:r>
        <w:rPr/>
        <w:t>：反渗透（</w:t>
      </w:r>
      <w:r>
        <w:rPr>
          <w:rFonts w:ascii="Times New Roman" w:eastAsia="Times New Roman"/>
        </w:rPr>
        <w:t>Reverse</w:t>
      </w:r>
      <w:r>
        <w:rPr>
          <w:rFonts w:ascii="Times New Roman" w:eastAsia="Times New Roman"/>
          <w:spacing w:val="-5"/>
        </w:rPr>
        <w:t> </w:t>
      </w:r>
      <w:r>
        <w:rPr>
          <w:rFonts w:ascii="Times New Roman" w:eastAsia="Times New Roman"/>
        </w:rPr>
        <w:t>Osmosis</w:t>
      </w:r>
      <w:r>
        <w:rPr/>
        <w:t>）</w:t>
      </w:r>
    </w:p>
    <w:p>
      <w:pPr>
        <w:pStyle w:val="BodyText"/>
        <w:spacing w:before="2"/>
        <w:ind w:left="1158"/>
      </w:pPr>
      <w:r>
        <w:rPr>
          <w:rFonts w:ascii="Times New Roman" w:eastAsia="Times New Roman"/>
        </w:rPr>
        <w:t>EDI</w:t>
      </w:r>
      <w:r>
        <w:rPr/>
        <w:t>：一种新的纯水和超纯水制备技术（</w:t>
      </w:r>
      <w:r>
        <w:rPr>
          <w:rFonts w:ascii="Times New Roman" w:eastAsia="Times New Roman"/>
        </w:rPr>
        <w:t>Electrodeionization</w:t>
      </w:r>
      <w:r>
        <w:rPr/>
        <w:t>）</w:t>
      </w:r>
    </w:p>
    <w:p>
      <w:pPr>
        <w:pStyle w:val="BodyText"/>
        <w:spacing w:before="4"/>
        <w:ind w:left="1158"/>
      </w:pPr>
      <w:r>
        <w:rPr>
          <w:w w:val="100"/>
        </w:rPr>
        <w:t> </w:t>
      </w:r>
    </w:p>
    <w:p>
      <w:pPr>
        <w:pStyle w:val="BodyText"/>
        <w:spacing w:before="2"/>
        <w:ind w:left="1158"/>
      </w:pPr>
      <w:r>
        <w:rPr>
          <w:w w:val="100"/>
        </w:rPr>
        <w:t> </w:t>
      </w:r>
    </w:p>
    <w:p>
      <w:pPr>
        <w:pStyle w:val="ListParagraph"/>
        <w:numPr>
          <w:ilvl w:val="0"/>
          <w:numId w:val="26"/>
        </w:numPr>
        <w:tabs>
          <w:tab w:pos="1583" w:val="left" w:leader="none"/>
        </w:tabs>
        <w:spacing w:line="240" w:lineRule="auto" w:before="65" w:after="0"/>
        <w:ind w:left="1582" w:right="0" w:hanging="425"/>
        <w:jc w:val="left"/>
        <w:rPr>
          <w:sz w:val="21"/>
        </w:rPr>
      </w:pPr>
      <w:r>
        <w:rPr>
          <w:sz w:val="21"/>
        </w:rPr>
        <w:t>建设项目环境影响评价及其他环境保护行政许可情况 </w:t>
      </w:r>
    </w:p>
    <w:p>
      <w:pPr>
        <w:pStyle w:val="BodyText"/>
        <w:spacing w:before="62"/>
        <w:ind w:left="1158"/>
      </w:pPr>
      <w:r>
        <w:rPr>
          <w:spacing w:val="-1"/>
        </w:rPr>
        <w:t>√适用 □不适用</w:t>
      </w:r>
      <w:r>
        <w:rPr>
          <w:spacing w:val="-3"/>
        </w:rPr>
        <w:t> </w:t>
      </w:r>
      <w:r>
        <w:rPr/>
        <w:t> </w:t>
      </w:r>
    </w:p>
    <w:p>
      <w:pPr>
        <w:pStyle w:val="BodyText"/>
        <w:spacing w:line="242" w:lineRule="auto" w:before="5"/>
        <w:ind w:left="1158" w:right="537" w:firstLine="419"/>
        <w:jc w:val="both"/>
      </w:pPr>
      <w:r>
        <w:rPr/>
        <w:t>公司及下属子公司严格遵守《中华人民共和国环境影响评价法》等相关法律法规要求开展建设项目环境影响评价工作，严格执行环保设施跟主体设施工程同时设计、同时施工、同时投产使用的环保</w:t>
      </w:r>
      <w:r>
        <w:rPr>
          <w:rFonts w:ascii="Times New Roman" w:hAnsi="Times New Roman" w:eastAsia="Times New Roman"/>
        </w:rPr>
        <w:t>“</w:t>
      </w:r>
      <w:r>
        <w:rPr/>
        <w:t>三同时</w:t>
      </w:r>
      <w:r>
        <w:rPr>
          <w:rFonts w:ascii="Times New Roman" w:hAnsi="Times New Roman" w:eastAsia="Times New Roman"/>
        </w:rPr>
        <w:t>”</w:t>
      </w:r>
      <w:r>
        <w:rPr/>
        <w:t>制度，主要项目环境影响评价批复情况如下：</w:t>
      </w:r>
    </w:p>
    <w:p>
      <w:pPr>
        <w:pStyle w:val="BodyText"/>
        <w:ind w:left="0"/>
        <w:rPr>
          <w:sz w:val="20"/>
        </w:rPr>
      </w:pPr>
    </w:p>
    <w:p>
      <w:pPr>
        <w:pStyle w:val="BodyText"/>
        <w:spacing w:before="8"/>
        <w:ind w:left="0"/>
        <w:rPr>
          <w:sz w:val="17"/>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0"/>
        <w:gridCol w:w="801"/>
        <w:gridCol w:w="2599"/>
        <w:gridCol w:w="3000"/>
        <w:gridCol w:w="2729"/>
      </w:tblGrid>
      <w:tr>
        <w:trPr>
          <w:trHeight w:val="273" w:hRule="atLeast"/>
        </w:trPr>
        <w:tc>
          <w:tcPr>
            <w:tcW w:w="1150" w:type="dxa"/>
          </w:tcPr>
          <w:p>
            <w:pPr>
              <w:pStyle w:val="TableParagraph"/>
              <w:spacing w:line="252" w:lineRule="exact" w:before="1"/>
              <w:ind w:left="153"/>
              <w:rPr>
                <w:sz w:val="21"/>
              </w:rPr>
            </w:pPr>
            <w:r>
              <w:rPr>
                <w:sz w:val="21"/>
              </w:rPr>
              <w:t>项目分类</w:t>
            </w:r>
          </w:p>
        </w:tc>
        <w:tc>
          <w:tcPr>
            <w:tcW w:w="801" w:type="dxa"/>
          </w:tcPr>
          <w:p>
            <w:pPr>
              <w:pStyle w:val="TableParagraph"/>
              <w:spacing w:line="252" w:lineRule="exact" w:before="1"/>
              <w:ind w:left="170" w:right="160"/>
              <w:jc w:val="center"/>
              <w:rPr>
                <w:sz w:val="21"/>
              </w:rPr>
            </w:pPr>
            <w:r>
              <w:rPr>
                <w:sz w:val="21"/>
              </w:rPr>
              <w:t>序号</w:t>
            </w:r>
          </w:p>
        </w:tc>
        <w:tc>
          <w:tcPr>
            <w:tcW w:w="2599" w:type="dxa"/>
          </w:tcPr>
          <w:p>
            <w:pPr>
              <w:pStyle w:val="TableParagraph"/>
              <w:spacing w:line="252" w:lineRule="exact" w:before="1"/>
              <w:ind w:left="89" w:right="83"/>
              <w:jc w:val="center"/>
              <w:rPr>
                <w:sz w:val="21"/>
              </w:rPr>
            </w:pPr>
            <w:r>
              <w:rPr>
                <w:sz w:val="21"/>
              </w:rPr>
              <w:t>项目名称</w:t>
            </w:r>
          </w:p>
        </w:tc>
        <w:tc>
          <w:tcPr>
            <w:tcW w:w="3000" w:type="dxa"/>
          </w:tcPr>
          <w:p>
            <w:pPr>
              <w:pStyle w:val="TableParagraph"/>
              <w:spacing w:line="252" w:lineRule="exact" w:before="1"/>
              <w:ind w:left="870"/>
              <w:rPr>
                <w:sz w:val="21"/>
              </w:rPr>
            </w:pPr>
            <w:r>
              <w:rPr>
                <w:sz w:val="21"/>
              </w:rPr>
              <w:t>项目备案文号</w:t>
            </w:r>
          </w:p>
        </w:tc>
        <w:tc>
          <w:tcPr>
            <w:tcW w:w="2729" w:type="dxa"/>
          </w:tcPr>
          <w:p>
            <w:pPr>
              <w:pStyle w:val="TableParagraph"/>
              <w:spacing w:line="252" w:lineRule="exact" w:before="1"/>
              <w:ind w:left="736"/>
              <w:rPr>
                <w:sz w:val="21"/>
              </w:rPr>
            </w:pPr>
            <w:r>
              <w:rPr>
                <w:sz w:val="21"/>
              </w:rPr>
              <w:t>环评批复文号</w:t>
            </w:r>
          </w:p>
        </w:tc>
      </w:tr>
      <w:tr>
        <w:trPr>
          <w:trHeight w:val="817" w:hRule="atLeast"/>
        </w:trPr>
        <w:tc>
          <w:tcPr>
            <w:tcW w:w="1150" w:type="dxa"/>
          </w:tcPr>
          <w:p>
            <w:pPr>
              <w:pStyle w:val="TableParagraph"/>
              <w:spacing w:before="1"/>
              <w:ind w:left="107"/>
              <w:rPr>
                <w:sz w:val="21"/>
              </w:rPr>
            </w:pPr>
            <w:r>
              <w:rPr>
                <w:sz w:val="21"/>
              </w:rPr>
              <w:t>工业互联</w:t>
            </w:r>
          </w:p>
          <w:p>
            <w:pPr>
              <w:pStyle w:val="TableParagraph"/>
              <w:spacing w:line="270" w:lineRule="atLeast"/>
              <w:ind w:left="107" w:right="187"/>
              <w:rPr>
                <w:sz w:val="21"/>
              </w:rPr>
            </w:pPr>
            <w:r>
              <w:rPr>
                <w:spacing w:val="-1"/>
                <w:sz w:val="21"/>
              </w:rPr>
              <w:t>网平台构</w:t>
            </w:r>
            <w:r>
              <w:rPr>
                <w:sz w:val="21"/>
              </w:rPr>
              <w:t>建</w:t>
            </w:r>
          </w:p>
        </w:tc>
        <w:tc>
          <w:tcPr>
            <w:tcW w:w="801" w:type="dxa"/>
          </w:tcPr>
          <w:p>
            <w:pPr>
              <w:pStyle w:val="TableParagraph"/>
              <w:spacing w:before="12"/>
              <w:rPr>
                <w:sz w:val="21"/>
              </w:rPr>
            </w:pPr>
          </w:p>
          <w:p>
            <w:pPr>
              <w:pStyle w:val="TableParagraph"/>
              <w:ind w:left="5"/>
              <w:jc w:val="center"/>
              <w:rPr>
                <w:rFonts w:ascii="Times New Roman"/>
                <w:sz w:val="21"/>
              </w:rPr>
            </w:pPr>
            <w:r>
              <w:rPr>
                <w:rFonts w:ascii="Times New Roman"/>
                <w:w w:val="100"/>
                <w:sz w:val="21"/>
              </w:rPr>
              <w:t>1</w:t>
            </w:r>
          </w:p>
        </w:tc>
        <w:tc>
          <w:tcPr>
            <w:tcW w:w="2599" w:type="dxa"/>
          </w:tcPr>
          <w:p>
            <w:pPr>
              <w:pStyle w:val="TableParagraph"/>
              <w:spacing w:before="5"/>
              <w:rPr>
                <w:sz w:val="21"/>
              </w:rPr>
            </w:pPr>
          </w:p>
          <w:p>
            <w:pPr>
              <w:pStyle w:val="TableParagraph"/>
              <w:ind w:left="89" w:right="150"/>
              <w:jc w:val="center"/>
              <w:rPr>
                <w:sz w:val="21"/>
              </w:rPr>
            </w:pPr>
            <w:r>
              <w:rPr>
                <w:sz w:val="21"/>
              </w:rPr>
              <w:t>工业互联网平台建置项目</w:t>
            </w:r>
          </w:p>
        </w:tc>
        <w:tc>
          <w:tcPr>
            <w:tcW w:w="3000" w:type="dxa"/>
          </w:tcPr>
          <w:p>
            <w:pPr>
              <w:pStyle w:val="TableParagraph"/>
              <w:spacing w:before="5"/>
              <w:rPr>
                <w:sz w:val="21"/>
              </w:rPr>
            </w:pPr>
          </w:p>
          <w:p>
            <w:pPr>
              <w:pStyle w:val="TableParagraph"/>
              <w:ind w:left="109"/>
              <w:rPr>
                <w:sz w:val="21"/>
              </w:rPr>
            </w:pPr>
            <w:r>
              <w:rPr>
                <w:sz w:val="21"/>
              </w:rPr>
              <w:t>津开发行政许可</w:t>
            </w:r>
            <w:r>
              <w:rPr>
                <w:rFonts w:ascii="Times New Roman" w:eastAsia="Times New Roman"/>
                <w:position w:val="1"/>
                <w:sz w:val="21"/>
              </w:rPr>
              <w:t>[2017]112</w:t>
            </w:r>
            <w:r>
              <w:rPr>
                <w:rFonts w:ascii="Times New Roman" w:eastAsia="Times New Roman"/>
                <w:spacing w:val="-12"/>
                <w:position w:val="1"/>
                <w:sz w:val="21"/>
              </w:rPr>
              <w:t> </w:t>
            </w:r>
            <w:r>
              <w:rPr>
                <w:sz w:val="21"/>
              </w:rPr>
              <w:t>号</w:t>
            </w:r>
          </w:p>
        </w:tc>
        <w:tc>
          <w:tcPr>
            <w:tcW w:w="2729" w:type="dxa"/>
          </w:tcPr>
          <w:p>
            <w:pPr>
              <w:pStyle w:val="TableParagraph"/>
              <w:spacing w:line="268" w:lineRule="exact" w:before="152"/>
              <w:ind w:left="109"/>
              <w:rPr>
                <w:sz w:val="21"/>
              </w:rPr>
            </w:pPr>
            <w:r>
              <w:rPr>
                <w:sz w:val="21"/>
              </w:rPr>
              <w:t>建设项目环境影响登记表</w:t>
            </w:r>
          </w:p>
          <w:p>
            <w:pPr>
              <w:pStyle w:val="TableParagraph"/>
              <w:spacing w:line="240" w:lineRule="exact"/>
              <w:ind w:left="109"/>
              <w:rPr>
                <w:rFonts w:ascii="Times New Roman"/>
                <w:sz w:val="21"/>
              </w:rPr>
            </w:pPr>
            <w:r>
              <w:rPr>
                <w:rFonts w:ascii="Times New Roman"/>
                <w:sz w:val="21"/>
              </w:rPr>
              <w:t>[20171201000100000428]</w:t>
            </w:r>
          </w:p>
        </w:tc>
      </w:tr>
      <w:tr>
        <w:trPr>
          <w:trHeight w:val="815" w:hRule="atLeast"/>
        </w:trPr>
        <w:tc>
          <w:tcPr>
            <w:tcW w:w="1150" w:type="dxa"/>
          </w:tcPr>
          <w:p>
            <w:pPr>
              <w:pStyle w:val="TableParagraph"/>
              <w:spacing w:line="242" w:lineRule="auto" w:before="1"/>
              <w:ind w:left="107" w:right="187"/>
              <w:rPr>
                <w:sz w:val="21"/>
              </w:rPr>
            </w:pPr>
            <w:r>
              <w:rPr>
                <w:spacing w:val="-1"/>
                <w:sz w:val="21"/>
              </w:rPr>
              <w:t>云计算及高效能运</w:t>
            </w:r>
          </w:p>
          <w:p>
            <w:pPr>
              <w:pStyle w:val="TableParagraph"/>
              <w:spacing w:line="250" w:lineRule="exact" w:before="1"/>
              <w:ind w:left="107"/>
              <w:rPr>
                <w:sz w:val="21"/>
              </w:rPr>
            </w:pPr>
            <w:r>
              <w:rPr>
                <w:sz w:val="21"/>
              </w:rPr>
              <w:t>算平台</w:t>
            </w:r>
          </w:p>
        </w:tc>
        <w:tc>
          <w:tcPr>
            <w:tcW w:w="801" w:type="dxa"/>
          </w:tcPr>
          <w:p>
            <w:pPr>
              <w:pStyle w:val="TableParagraph"/>
              <w:spacing w:before="12"/>
              <w:rPr>
                <w:sz w:val="21"/>
              </w:rPr>
            </w:pPr>
          </w:p>
          <w:p>
            <w:pPr>
              <w:pStyle w:val="TableParagraph"/>
              <w:ind w:left="5"/>
              <w:jc w:val="center"/>
              <w:rPr>
                <w:rFonts w:ascii="Times New Roman"/>
                <w:sz w:val="21"/>
              </w:rPr>
            </w:pPr>
            <w:r>
              <w:rPr>
                <w:rFonts w:ascii="Times New Roman"/>
                <w:w w:val="100"/>
                <w:sz w:val="21"/>
              </w:rPr>
              <w:t>2</w:t>
            </w:r>
          </w:p>
        </w:tc>
        <w:tc>
          <w:tcPr>
            <w:tcW w:w="2599" w:type="dxa"/>
          </w:tcPr>
          <w:p>
            <w:pPr>
              <w:pStyle w:val="TableParagraph"/>
              <w:spacing w:line="244" w:lineRule="auto" w:before="135"/>
              <w:ind w:left="106" w:right="167"/>
              <w:rPr>
                <w:sz w:val="21"/>
              </w:rPr>
            </w:pPr>
            <w:r>
              <w:rPr>
                <w:spacing w:val="-1"/>
                <w:sz w:val="21"/>
              </w:rPr>
              <w:t>新世代高效能运算平台研</w:t>
            </w:r>
            <w:r>
              <w:rPr>
                <w:sz w:val="21"/>
              </w:rPr>
              <w:t>发中心项目</w:t>
            </w:r>
          </w:p>
        </w:tc>
        <w:tc>
          <w:tcPr>
            <w:tcW w:w="3000" w:type="dxa"/>
          </w:tcPr>
          <w:p>
            <w:pPr>
              <w:pStyle w:val="TableParagraph"/>
              <w:spacing w:before="3"/>
              <w:rPr>
                <w:sz w:val="21"/>
              </w:rPr>
            </w:pPr>
          </w:p>
          <w:p>
            <w:pPr>
              <w:pStyle w:val="TableParagraph"/>
              <w:ind w:left="109"/>
              <w:rPr>
                <w:sz w:val="21"/>
              </w:rPr>
            </w:pPr>
            <w:r>
              <w:rPr>
                <w:sz w:val="21"/>
              </w:rPr>
              <w:t>深龙华发改备案</w:t>
            </w:r>
            <w:r>
              <w:rPr>
                <w:rFonts w:ascii="Times New Roman" w:eastAsia="Times New Roman"/>
                <w:position w:val="1"/>
                <w:sz w:val="21"/>
              </w:rPr>
              <w:t>[2017]0172</w:t>
            </w:r>
            <w:r>
              <w:rPr>
                <w:rFonts w:ascii="Times New Roman" w:eastAsia="Times New Roman"/>
                <w:spacing w:val="-12"/>
                <w:position w:val="1"/>
                <w:sz w:val="21"/>
              </w:rPr>
              <w:t> </w:t>
            </w:r>
            <w:r>
              <w:rPr>
                <w:sz w:val="21"/>
              </w:rPr>
              <w:t>号</w:t>
            </w:r>
          </w:p>
        </w:tc>
        <w:tc>
          <w:tcPr>
            <w:tcW w:w="2729" w:type="dxa"/>
          </w:tcPr>
          <w:p>
            <w:pPr>
              <w:pStyle w:val="TableParagraph"/>
              <w:spacing w:line="244" w:lineRule="auto" w:before="135"/>
              <w:ind w:left="109" w:right="323"/>
              <w:rPr>
                <w:sz w:val="21"/>
              </w:rPr>
            </w:pPr>
            <w:r>
              <w:rPr>
                <w:spacing w:val="-1"/>
                <w:sz w:val="21"/>
              </w:rPr>
              <w:t>深环水函</w:t>
            </w:r>
            <w:r>
              <w:rPr>
                <w:rFonts w:ascii="Times New Roman" w:eastAsia="Times New Roman"/>
                <w:spacing w:val="-1"/>
                <w:position w:val="1"/>
                <w:sz w:val="21"/>
              </w:rPr>
              <w:t>[2017]88</w:t>
            </w:r>
            <w:r>
              <w:rPr>
                <w:rFonts w:ascii="Times New Roman" w:eastAsia="Times New Roman"/>
                <w:spacing w:val="-12"/>
                <w:position w:val="1"/>
                <w:sz w:val="21"/>
              </w:rPr>
              <w:t> </w:t>
            </w:r>
            <w:r>
              <w:rPr>
                <w:spacing w:val="-1"/>
                <w:sz w:val="21"/>
              </w:rPr>
              <w:t>号、</w:t>
            </w:r>
            <w:r>
              <w:rPr>
                <w:rFonts w:ascii="Times New Roman" w:eastAsia="Times New Roman"/>
                <w:position w:val="1"/>
                <w:sz w:val="21"/>
              </w:rPr>
              <w:t>92</w:t>
            </w:r>
            <w:r>
              <w:rPr>
                <w:rFonts w:ascii="Times New Roman" w:eastAsia="Times New Roman"/>
                <w:spacing w:val="-50"/>
                <w:position w:val="1"/>
                <w:sz w:val="21"/>
              </w:rPr>
              <w:t> </w:t>
            </w:r>
            <w:r>
              <w:rPr>
                <w:sz w:val="21"/>
              </w:rPr>
              <w:t>号</w:t>
            </w:r>
          </w:p>
        </w:tc>
      </w:tr>
    </w:tbl>
    <w:p>
      <w:pPr>
        <w:spacing w:after="0" w:line="244" w:lineRule="auto"/>
        <w:rPr>
          <w:sz w:val="21"/>
        </w:rPr>
        <w:sectPr>
          <w:pgSz w:w="11910" w:h="16840"/>
          <w:pgMar w:header="877" w:footer="1187" w:top="1440" w:bottom="1380" w:left="640" w:right="740"/>
        </w:sectPr>
      </w:pPr>
    </w:p>
    <w:p>
      <w:pPr>
        <w:pStyle w:val="BodyText"/>
        <w:spacing w:before="2"/>
        <w:ind w:left="0"/>
        <w:rPr>
          <w:sz w:val="5"/>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0"/>
        <w:gridCol w:w="801"/>
        <w:gridCol w:w="2599"/>
        <w:gridCol w:w="3000"/>
        <w:gridCol w:w="2729"/>
      </w:tblGrid>
      <w:tr>
        <w:trPr>
          <w:trHeight w:val="547" w:hRule="atLeast"/>
        </w:trPr>
        <w:tc>
          <w:tcPr>
            <w:tcW w:w="1150" w:type="dxa"/>
          </w:tcPr>
          <w:p>
            <w:pPr>
              <w:pStyle w:val="TableParagraph"/>
              <w:spacing w:line="270" w:lineRule="atLeast"/>
              <w:ind w:left="107" w:right="187"/>
              <w:rPr>
                <w:sz w:val="21"/>
              </w:rPr>
            </w:pPr>
            <w:r>
              <w:rPr>
                <w:spacing w:val="-1"/>
                <w:sz w:val="21"/>
              </w:rPr>
              <w:t>高效运算数据中心</w:t>
            </w:r>
          </w:p>
        </w:tc>
        <w:tc>
          <w:tcPr>
            <w:tcW w:w="801" w:type="dxa"/>
          </w:tcPr>
          <w:p>
            <w:pPr>
              <w:pStyle w:val="TableParagraph"/>
              <w:spacing w:before="147"/>
              <w:ind w:left="5"/>
              <w:jc w:val="center"/>
              <w:rPr>
                <w:rFonts w:ascii="Times New Roman"/>
                <w:sz w:val="21"/>
              </w:rPr>
            </w:pPr>
            <w:r>
              <w:rPr>
                <w:rFonts w:ascii="Times New Roman"/>
                <w:w w:val="100"/>
                <w:sz w:val="21"/>
              </w:rPr>
              <w:t>3</w:t>
            </w:r>
          </w:p>
        </w:tc>
        <w:tc>
          <w:tcPr>
            <w:tcW w:w="2599" w:type="dxa"/>
          </w:tcPr>
          <w:p>
            <w:pPr>
              <w:pStyle w:val="TableParagraph"/>
              <w:spacing w:line="270" w:lineRule="atLeast"/>
              <w:ind w:left="106" w:right="167"/>
              <w:rPr>
                <w:sz w:val="21"/>
              </w:rPr>
            </w:pPr>
            <w:r>
              <w:rPr>
                <w:spacing w:val="-1"/>
                <w:sz w:val="21"/>
              </w:rPr>
              <w:t>高效运算数据中心建置项</w:t>
            </w:r>
            <w:r>
              <w:rPr>
                <w:sz w:val="21"/>
              </w:rPr>
              <w:t>目</w:t>
            </w:r>
          </w:p>
        </w:tc>
        <w:tc>
          <w:tcPr>
            <w:tcW w:w="3000" w:type="dxa"/>
          </w:tcPr>
          <w:p>
            <w:pPr>
              <w:pStyle w:val="TableParagraph"/>
              <w:spacing w:before="138"/>
              <w:ind w:left="109"/>
              <w:rPr>
                <w:sz w:val="21"/>
              </w:rPr>
            </w:pPr>
            <w:r>
              <w:rPr>
                <w:sz w:val="21"/>
              </w:rPr>
              <w:t>深龙华发改备案</w:t>
            </w:r>
            <w:r>
              <w:rPr>
                <w:rFonts w:ascii="Times New Roman" w:eastAsia="Times New Roman"/>
                <w:position w:val="1"/>
                <w:sz w:val="21"/>
              </w:rPr>
              <w:t>[2017]0180</w:t>
            </w:r>
            <w:r>
              <w:rPr>
                <w:rFonts w:ascii="Times New Roman" w:eastAsia="Times New Roman"/>
                <w:spacing w:val="-12"/>
                <w:position w:val="1"/>
                <w:sz w:val="21"/>
              </w:rPr>
              <w:t> </w:t>
            </w:r>
            <w:r>
              <w:rPr>
                <w:sz w:val="21"/>
              </w:rPr>
              <w:t>号</w:t>
            </w:r>
          </w:p>
        </w:tc>
        <w:tc>
          <w:tcPr>
            <w:tcW w:w="2729" w:type="dxa"/>
          </w:tcPr>
          <w:p>
            <w:pPr>
              <w:pStyle w:val="TableParagraph"/>
              <w:spacing w:line="270" w:lineRule="atLeast"/>
              <w:ind w:left="109" w:right="323"/>
              <w:rPr>
                <w:sz w:val="21"/>
              </w:rPr>
            </w:pPr>
            <w:r>
              <w:rPr>
                <w:spacing w:val="-1"/>
                <w:sz w:val="21"/>
              </w:rPr>
              <w:t>深环水函</w:t>
            </w:r>
            <w:r>
              <w:rPr>
                <w:rFonts w:ascii="Times New Roman" w:eastAsia="Times New Roman"/>
                <w:spacing w:val="-1"/>
                <w:position w:val="1"/>
                <w:sz w:val="21"/>
              </w:rPr>
              <w:t>[2017]88</w:t>
            </w:r>
            <w:r>
              <w:rPr>
                <w:rFonts w:ascii="Times New Roman" w:eastAsia="Times New Roman"/>
                <w:spacing w:val="-12"/>
                <w:position w:val="1"/>
                <w:sz w:val="21"/>
              </w:rPr>
              <w:t> </w:t>
            </w:r>
            <w:r>
              <w:rPr>
                <w:spacing w:val="-1"/>
                <w:sz w:val="21"/>
              </w:rPr>
              <w:t>号、</w:t>
            </w:r>
            <w:r>
              <w:rPr>
                <w:rFonts w:ascii="Times New Roman" w:eastAsia="Times New Roman"/>
                <w:position w:val="1"/>
                <w:sz w:val="21"/>
              </w:rPr>
              <w:t>92</w:t>
            </w:r>
            <w:r>
              <w:rPr>
                <w:rFonts w:ascii="Times New Roman" w:eastAsia="Times New Roman"/>
                <w:spacing w:val="-50"/>
                <w:position w:val="1"/>
                <w:sz w:val="21"/>
              </w:rPr>
              <w:t> </w:t>
            </w:r>
            <w:r>
              <w:rPr>
                <w:sz w:val="21"/>
              </w:rPr>
              <w:t>号</w:t>
            </w:r>
          </w:p>
        </w:tc>
      </w:tr>
      <w:tr>
        <w:trPr>
          <w:trHeight w:val="544" w:hRule="atLeast"/>
        </w:trPr>
        <w:tc>
          <w:tcPr>
            <w:tcW w:w="1150"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8"/>
              </w:rPr>
            </w:pPr>
          </w:p>
          <w:p>
            <w:pPr>
              <w:pStyle w:val="TableParagraph"/>
              <w:spacing w:line="242" w:lineRule="auto"/>
              <w:ind w:left="107" w:right="187"/>
              <w:jc w:val="both"/>
              <w:rPr>
                <w:sz w:val="21"/>
              </w:rPr>
            </w:pPr>
            <w:r>
              <w:rPr>
                <w:spacing w:val="-1"/>
                <w:sz w:val="21"/>
              </w:rPr>
              <w:t>通信网络及云服务</w:t>
            </w:r>
            <w:r>
              <w:rPr>
                <w:sz w:val="21"/>
              </w:rPr>
              <w:t>设备</w:t>
            </w:r>
          </w:p>
        </w:tc>
        <w:tc>
          <w:tcPr>
            <w:tcW w:w="801" w:type="dxa"/>
          </w:tcPr>
          <w:p>
            <w:pPr>
              <w:pStyle w:val="TableParagraph"/>
              <w:spacing w:before="144"/>
              <w:ind w:left="5"/>
              <w:jc w:val="center"/>
              <w:rPr>
                <w:rFonts w:ascii="Times New Roman"/>
                <w:sz w:val="21"/>
              </w:rPr>
            </w:pPr>
            <w:r>
              <w:rPr>
                <w:rFonts w:ascii="Times New Roman"/>
                <w:w w:val="100"/>
                <w:sz w:val="21"/>
              </w:rPr>
              <w:t>4</w:t>
            </w:r>
          </w:p>
        </w:tc>
        <w:tc>
          <w:tcPr>
            <w:tcW w:w="2599" w:type="dxa"/>
          </w:tcPr>
          <w:p>
            <w:pPr>
              <w:pStyle w:val="TableParagraph"/>
              <w:spacing w:before="1"/>
              <w:ind w:left="106"/>
              <w:rPr>
                <w:sz w:val="21"/>
              </w:rPr>
            </w:pPr>
            <w:r>
              <w:rPr>
                <w:sz w:val="21"/>
              </w:rPr>
              <w:t>网络通讯设备产业化技改</w:t>
            </w:r>
          </w:p>
          <w:p>
            <w:pPr>
              <w:pStyle w:val="TableParagraph"/>
              <w:spacing w:line="252" w:lineRule="exact" w:before="2"/>
              <w:ind w:left="106"/>
              <w:rPr>
                <w:sz w:val="21"/>
              </w:rPr>
            </w:pPr>
            <w:r>
              <w:rPr>
                <w:sz w:val="21"/>
              </w:rPr>
              <w:t>项目</w:t>
            </w:r>
          </w:p>
        </w:tc>
        <w:tc>
          <w:tcPr>
            <w:tcW w:w="3000" w:type="dxa"/>
          </w:tcPr>
          <w:p>
            <w:pPr>
              <w:pStyle w:val="TableParagraph"/>
              <w:spacing w:before="135"/>
              <w:ind w:left="109"/>
              <w:rPr>
                <w:sz w:val="21"/>
              </w:rPr>
            </w:pPr>
            <w:r>
              <w:rPr>
                <w:sz w:val="21"/>
              </w:rPr>
              <w:t>深龙华发改备案</w:t>
            </w:r>
            <w:r>
              <w:rPr>
                <w:rFonts w:ascii="Times New Roman" w:eastAsia="Times New Roman"/>
                <w:position w:val="1"/>
                <w:sz w:val="21"/>
              </w:rPr>
              <w:t>[2017]0150</w:t>
            </w:r>
            <w:r>
              <w:rPr>
                <w:rFonts w:ascii="Times New Roman" w:eastAsia="Times New Roman"/>
                <w:spacing w:val="-12"/>
                <w:position w:val="1"/>
                <w:sz w:val="21"/>
              </w:rPr>
              <w:t> </w:t>
            </w:r>
            <w:r>
              <w:rPr>
                <w:sz w:val="21"/>
              </w:rPr>
              <w:t>号</w:t>
            </w:r>
          </w:p>
        </w:tc>
        <w:tc>
          <w:tcPr>
            <w:tcW w:w="2729" w:type="dxa"/>
          </w:tcPr>
          <w:p>
            <w:pPr>
              <w:pStyle w:val="TableParagraph"/>
              <w:spacing w:before="135"/>
              <w:ind w:left="109"/>
              <w:rPr>
                <w:sz w:val="21"/>
              </w:rPr>
            </w:pPr>
            <w:r>
              <w:rPr>
                <w:sz w:val="21"/>
              </w:rPr>
              <w:t>深环水函</w:t>
            </w:r>
            <w:r>
              <w:rPr>
                <w:rFonts w:ascii="Times New Roman" w:eastAsia="Times New Roman"/>
                <w:position w:val="1"/>
                <w:sz w:val="21"/>
              </w:rPr>
              <w:t>[2017]88</w:t>
            </w:r>
            <w:r>
              <w:rPr>
                <w:rFonts w:ascii="Times New Roman" w:eastAsia="Times New Roman"/>
                <w:spacing w:val="-11"/>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5"/>
              <w:jc w:val="center"/>
              <w:rPr>
                <w:rFonts w:ascii="Times New Roman"/>
                <w:sz w:val="21"/>
              </w:rPr>
            </w:pPr>
            <w:r>
              <w:rPr>
                <w:rFonts w:ascii="Times New Roman"/>
                <w:w w:val="100"/>
                <w:sz w:val="21"/>
              </w:rPr>
              <w:t>5</w:t>
            </w:r>
          </w:p>
        </w:tc>
        <w:tc>
          <w:tcPr>
            <w:tcW w:w="2599" w:type="dxa"/>
          </w:tcPr>
          <w:p>
            <w:pPr>
              <w:pStyle w:val="TableParagraph"/>
              <w:spacing w:before="1"/>
              <w:ind w:left="106"/>
              <w:rPr>
                <w:sz w:val="21"/>
              </w:rPr>
            </w:pPr>
            <w:r>
              <w:rPr>
                <w:sz w:val="21"/>
              </w:rPr>
              <w:t>下世代通讯产品研发中心</w:t>
            </w:r>
          </w:p>
          <w:p>
            <w:pPr>
              <w:pStyle w:val="TableParagraph"/>
              <w:spacing w:line="252" w:lineRule="exact" w:before="2"/>
              <w:ind w:left="106"/>
              <w:rPr>
                <w:sz w:val="21"/>
              </w:rPr>
            </w:pPr>
            <w:r>
              <w:rPr>
                <w:sz w:val="21"/>
              </w:rPr>
              <w:t>项目</w:t>
            </w:r>
          </w:p>
        </w:tc>
        <w:tc>
          <w:tcPr>
            <w:tcW w:w="3000" w:type="dxa"/>
          </w:tcPr>
          <w:p>
            <w:pPr>
              <w:pStyle w:val="TableParagraph"/>
              <w:spacing w:before="137"/>
              <w:ind w:left="109"/>
              <w:rPr>
                <w:sz w:val="21"/>
              </w:rPr>
            </w:pPr>
            <w:r>
              <w:rPr>
                <w:sz w:val="21"/>
              </w:rPr>
              <w:t>深龙华发改备案</w:t>
            </w:r>
            <w:r>
              <w:rPr>
                <w:rFonts w:ascii="Times New Roman" w:eastAsia="Times New Roman"/>
                <w:position w:val="1"/>
                <w:sz w:val="21"/>
              </w:rPr>
              <w:t>[2021]0071</w:t>
            </w:r>
            <w:r>
              <w:rPr>
                <w:rFonts w:ascii="Times New Roman" w:eastAsia="Times New Roman"/>
                <w:spacing w:val="-2"/>
                <w:position w:val="1"/>
                <w:sz w:val="21"/>
              </w:rPr>
              <w:t> </w:t>
            </w:r>
            <w:r>
              <w:rPr>
                <w:sz w:val="21"/>
              </w:rPr>
              <w:t>号</w:t>
            </w:r>
          </w:p>
        </w:tc>
        <w:tc>
          <w:tcPr>
            <w:tcW w:w="2729" w:type="dxa"/>
          </w:tcPr>
          <w:p>
            <w:pPr>
              <w:pStyle w:val="TableParagraph"/>
              <w:spacing w:before="137"/>
              <w:ind w:left="109"/>
              <w:rPr>
                <w:sz w:val="21"/>
              </w:rPr>
            </w:pPr>
            <w:r>
              <w:rPr>
                <w:sz w:val="21"/>
              </w:rPr>
              <w:t>不适用</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5"/>
              <w:jc w:val="center"/>
              <w:rPr>
                <w:rFonts w:ascii="Times New Roman"/>
                <w:sz w:val="21"/>
              </w:rPr>
            </w:pPr>
            <w:r>
              <w:rPr>
                <w:rFonts w:ascii="Times New Roman"/>
                <w:w w:val="100"/>
                <w:sz w:val="21"/>
              </w:rPr>
              <w:t>6</w:t>
            </w:r>
          </w:p>
        </w:tc>
        <w:tc>
          <w:tcPr>
            <w:tcW w:w="2599" w:type="dxa"/>
          </w:tcPr>
          <w:p>
            <w:pPr>
              <w:pStyle w:val="TableParagraph"/>
              <w:spacing w:before="1"/>
              <w:ind w:left="106"/>
              <w:rPr>
                <w:sz w:val="21"/>
              </w:rPr>
            </w:pPr>
            <w:r>
              <w:rPr>
                <w:sz w:val="21"/>
              </w:rPr>
              <w:t>网络通讯设备产业化设备</w:t>
            </w:r>
          </w:p>
          <w:p>
            <w:pPr>
              <w:pStyle w:val="TableParagraph"/>
              <w:spacing w:line="252" w:lineRule="exact" w:before="2"/>
              <w:ind w:left="106"/>
              <w:rPr>
                <w:sz w:val="21"/>
              </w:rPr>
            </w:pPr>
            <w:r>
              <w:rPr>
                <w:sz w:val="21"/>
              </w:rPr>
              <w:t>更新项目</w:t>
            </w:r>
          </w:p>
        </w:tc>
        <w:tc>
          <w:tcPr>
            <w:tcW w:w="3000" w:type="dxa"/>
          </w:tcPr>
          <w:p>
            <w:pPr>
              <w:pStyle w:val="TableParagraph"/>
              <w:spacing w:before="138"/>
              <w:ind w:left="109"/>
              <w:rPr>
                <w:sz w:val="21"/>
              </w:rPr>
            </w:pPr>
            <w:r>
              <w:rPr>
                <w:sz w:val="21"/>
              </w:rPr>
              <w:t>江经信复</w:t>
            </w:r>
            <w:r>
              <w:rPr>
                <w:rFonts w:ascii="Times New Roman" w:eastAsia="Times New Roman"/>
                <w:position w:val="1"/>
                <w:sz w:val="21"/>
              </w:rPr>
              <w:t>[2017]27</w:t>
            </w:r>
            <w:r>
              <w:rPr>
                <w:rFonts w:ascii="Times New Roman" w:eastAsia="Times New Roman"/>
                <w:spacing w:val="-12"/>
                <w:position w:val="1"/>
                <w:sz w:val="21"/>
              </w:rPr>
              <w:t> </w:t>
            </w:r>
            <w:r>
              <w:rPr>
                <w:sz w:val="21"/>
              </w:rPr>
              <w:t>号</w:t>
            </w:r>
          </w:p>
        </w:tc>
        <w:tc>
          <w:tcPr>
            <w:tcW w:w="2729" w:type="dxa"/>
            <w:vMerge w:val="restart"/>
          </w:tcPr>
          <w:p>
            <w:pPr>
              <w:pStyle w:val="TableParagraph"/>
              <w:spacing w:line="242" w:lineRule="auto" w:before="1"/>
              <w:ind w:left="109" w:right="74"/>
              <w:jc w:val="both"/>
              <w:rPr>
                <w:sz w:val="21"/>
              </w:rPr>
            </w:pPr>
            <w:r>
              <w:rPr>
                <w:spacing w:val="17"/>
                <w:sz w:val="21"/>
              </w:rPr>
              <w:t>关于同意南宁富桂精密工业有限公司更新网络通讯设备产业化项目和网络通</w:t>
            </w:r>
            <w:r>
              <w:rPr>
                <w:sz w:val="21"/>
              </w:rPr>
              <w:t>讯设备产业化</w:t>
            </w:r>
            <w:r>
              <w:rPr>
                <w:rFonts w:ascii="Times New Roman" w:eastAsia="Times New Roman"/>
                <w:position w:val="1"/>
                <w:sz w:val="21"/>
              </w:rPr>
              <w:t>(</w:t>
            </w:r>
            <w:r>
              <w:rPr>
                <w:sz w:val="21"/>
              </w:rPr>
              <w:t>二</w:t>
            </w:r>
            <w:r>
              <w:rPr>
                <w:rFonts w:ascii="Times New Roman" w:eastAsia="Times New Roman"/>
                <w:position w:val="1"/>
                <w:sz w:val="21"/>
              </w:rPr>
              <w:t>)</w:t>
            </w:r>
            <w:r>
              <w:rPr>
                <w:sz w:val="21"/>
              </w:rPr>
              <w:t>项目部分</w:t>
            </w:r>
          </w:p>
          <w:p>
            <w:pPr>
              <w:pStyle w:val="TableParagraph"/>
              <w:spacing w:line="250" w:lineRule="exact" w:before="2"/>
              <w:ind w:left="109"/>
              <w:rPr>
                <w:sz w:val="21"/>
              </w:rPr>
            </w:pPr>
            <w:r>
              <w:rPr>
                <w:sz w:val="21"/>
              </w:rPr>
              <w:t>设备的函</w:t>
            </w:r>
          </w:p>
        </w:tc>
      </w:tr>
      <w:tr>
        <w:trPr>
          <w:trHeight w:val="806" w:hRule="atLeast"/>
        </w:trPr>
        <w:tc>
          <w:tcPr>
            <w:tcW w:w="1150" w:type="dxa"/>
            <w:vMerge/>
            <w:tcBorders>
              <w:top w:val="nil"/>
            </w:tcBorders>
          </w:tcPr>
          <w:p>
            <w:pPr>
              <w:rPr>
                <w:sz w:val="2"/>
                <w:szCs w:val="2"/>
              </w:rPr>
            </w:pPr>
          </w:p>
        </w:tc>
        <w:tc>
          <w:tcPr>
            <w:tcW w:w="801" w:type="dxa"/>
          </w:tcPr>
          <w:p>
            <w:pPr>
              <w:pStyle w:val="TableParagraph"/>
              <w:spacing w:before="7"/>
              <w:rPr>
                <w:sz w:val="21"/>
              </w:rPr>
            </w:pPr>
          </w:p>
          <w:p>
            <w:pPr>
              <w:pStyle w:val="TableParagraph"/>
              <w:ind w:left="5"/>
              <w:jc w:val="center"/>
              <w:rPr>
                <w:rFonts w:ascii="Times New Roman"/>
                <w:sz w:val="21"/>
              </w:rPr>
            </w:pPr>
            <w:r>
              <w:rPr>
                <w:rFonts w:ascii="Times New Roman"/>
                <w:w w:val="100"/>
                <w:sz w:val="21"/>
              </w:rPr>
              <w:t>7</w:t>
            </w:r>
          </w:p>
        </w:tc>
        <w:tc>
          <w:tcPr>
            <w:tcW w:w="2599" w:type="dxa"/>
          </w:tcPr>
          <w:p>
            <w:pPr>
              <w:pStyle w:val="TableParagraph"/>
              <w:spacing w:line="242" w:lineRule="auto" w:before="133"/>
              <w:ind w:left="106" w:right="238"/>
              <w:rPr>
                <w:sz w:val="21"/>
              </w:rPr>
            </w:pPr>
            <w:r>
              <w:rPr>
                <w:spacing w:val="-1"/>
                <w:sz w:val="21"/>
              </w:rPr>
              <w:t>网络通讯设备产业化</w:t>
            </w:r>
            <w:r>
              <w:rPr>
                <w:rFonts w:ascii="Times New Roman" w:eastAsia="Times New Roman"/>
                <w:position w:val="1"/>
                <w:sz w:val="21"/>
              </w:rPr>
              <w:t>(</w:t>
            </w:r>
            <w:r>
              <w:rPr>
                <w:sz w:val="21"/>
              </w:rPr>
              <w:t>二</w:t>
            </w:r>
            <w:r>
              <w:rPr>
                <w:rFonts w:ascii="Times New Roman" w:eastAsia="Times New Roman"/>
                <w:position w:val="1"/>
                <w:sz w:val="21"/>
              </w:rPr>
              <w:t>)</w:t>
            </w:r>
            <w:r>
              <w:rPr>
                <w:rFonts w:ascii="Times New Roman" w:eastAsia="Times New Roman"/>
                <w:spacing w:val="-50"/>
                <w:position w:val="1"/>
                <w:sz w:val="21"/>
              </w:rPr>
              <w:t> </w:t>
            </w:r>
            <w:r>
              <w:rPr>
                <w:sz w:val="21"/>
              </w:rPr>
              <w:t>设备更新项目</w:t>
            </w:r>
          </w:p>
        </w:tc>
        <w:tc>
          <w:tcPr>
            <w:tcW w:w="3000" w:type="dxa"/>
          </w:tcPr>
          <w:p>
            <w:pPr>
              <w:pStyle w:val="TableParagraph"/>
              <w:spacing w:before="11"/>
              <w:rPr>
                <w:sz w:val="20"/>
              </w:rPr>
            </w:pPr>
          </w:p>
          <w:p>
            <w:pPr>
              <w:pStyle w:val="TableParagraph"/>
              <w:ind w:left="109"/>
              <w:rPr>
                <w:sz w:val="21"/>
              </w:rPr>
            </w:pPr>
            <w:r>
              <w:rPr>
                <w:sz w:val="21"/>
              </w:rPr>
              <w:t>江经信复</w:t>
            </w:r>
            <w:r>
              <w:rPr>
                <w:rFonts w:ascii="Times New Roman" w:eastAsia="Times New Roman"/>
                <w:position w:val="1"/>
                <w:sz w:val="21"/>
              </w:rPr>
              <w:t>[2017]28</w:t>
            </w:r>
            <w:r>
              <w:rPr>
                <w:rFonts w:ascii="Times New Roman" w:eastAsia="Times New Roman"/>
                <w:spacing w:val="-12"/>
                <w:position w:val="1"/>
                <w:sz w:val="21"/>
              </w:rPr>
              <w:t> </w:t>
            </w:r>
            <w:r>
              <w:rPr>
                <w:sz w:val="21"/>
              </w:rPr>
              <w:t>号</w:t>
            </w:r>
          </w:p>
        </w:tc>
        <w:tc>
          <w:tcPr>
            <w:tcW w:w="2729" w:type="dxa"/>
            <w:vMerge/>
            <w:tcBorders>
              <w:top w:val="nil"/>
            </w:tcBorders>
          </w:tcPr>
          <w:p>
            <w:pPr>
              <w:rPr>
                <w:sz w:val="2"/>
                <w:szCs w:val="2"/>
              </w:rPr>
            </w:pP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7"/>
              <w:ind w:left="5"/>
              <w:jc w:val="center"/>
              <w:rPr>
                <w:rFonts w:ascii="Times New Roman"/>
                <w:sz w:val="21"/>
              </w:rPr>
            </w:pPr>
            <w:r>
              <w:rPr>
                <w:rFonts w:ascii="Times New Roman"/>
                <w:w w:val="100"/>
                <w:sz w:val="21"/>
              </w:rPr>
              <w:t>8</w:t>
            </w:r>
          </w:p>
        </w:tc>
        <w:tc>
          <w:tcPr>
            <w:tcW w:w="2599" w:type="dxa"/>
          </w:tcPr>
          <w:p>
            <w:pPr>
              <w:pStyle w:val="TableParagraph"/>
              <w:spacing w:before="1"/>
              <w:ind w:left="106"/>
              <w:rPr>
                <w:sz w:val="21"/>
              </w:rPr>
            </w:pPr>
            <w:r>
              <w:rPr>
                <w:spacing w:val="-19"/>
                <w:sz w:val="21"/>
              </w:rPr>
              <w:t>年产 </w:t>
            </w:r>
            <w:r>
              <w:rPr>
                <w:rFonts w:ascii="Times New Roman" w:eastAsia="Times New Roman"/>
                <w:position w:val="1"/>
                <w:sz w:val="21"/>
              </w:rPr>
              <w:t>20</w:t>
            </w:r>
            <w:r>
              <w:rPr>
                <w:rFonts w:ascii="Times New Roman" w:eastAsia="Times New Roman"/>
                <w:spacing w:val="-12"/>
                <w:position w:val="1"/>
                <w:sz w:val="21"/>
              </w:rPr>
              <w:t> </w:t>
            </w:r>
            <w:r>
              <w:rPr>
                <w:sz w:val="21"/>
              </w:rPr>
              <w:t>万台服务器的智</w:t>
            </w:r>
          </w:p>
          <w:p>
            <w:pPr>
              <w:pStyle w:val="TableParagraph"/>
              <w:spacing w:line="250" w:lineRule="exact" w:before="4"/>
              <w:ind w:left="106"/>
              <w:rPr>
                <w:sz w:val="21"/>
              </w:rPr>
            </w:pPr>
            <w:r>
              <w:rPr>
                <w:sz w:val="21"/>
              </w:rPr>
              <w:t>能化生产线技术改造项目</w:t>
            </w:r>
          </w:p>
        </w:tc>
        <w:tc>
          <w:tcPr>
            <w:tcW w:w="3000" w:type="dxa"/>
          </w:tcPr>
          <w:p>
            <w:pPr>
              <w:pStyle w:val="TableParagraph"/>
              <w:spacing w:before="147"/>
              <w:ind w:left="109"/>
              <w:rPr>
                <w:rFonts w:ascii="Times New Roman"/>
                <w:sz w:val="21"/>
              </w:rPr>
            </w:pPr>
            <w:r>
              <w:rPr>
                <w:rFonts w:ascii="Times New Roman"/>
                <w:sz w:val="21"/>
              </w:rPr>
              <w:t>2020-330191-39-03-115500</w:t>
            </w:r>
          </w:p>
        </w:tc>
        <w:tc>
          <w:tcPr>
            <w:tcW w:w="2729" w:type="dxa"/>
          </w:tcPr>
          <w:p>
            <w:pPr>
              <w:pStyle w:val="TableParagraph"/>
              <w:spacing w:before="137"/>
              <w:ind w:left="109"/>
              <w:rPr>
                <w:sz w:val="21"/>
              </w:rPr>
            </w:pPr>
            <w:r>
              <w:rPr>
                <w:sz w:val="21"/>
              </w:rPr>
              <w:t>杭环钱环备</w:t>
            </w:r>
            <w:r>
              <w:rPr>
                <w:rFonts w:ascii="Times New Roman" w:eastAsia="Times New Roman"/>
                <w:position w:val="1"/>
                <w:sz w:val="21"/>
              </w:rPr>
              <w:t>[2020]33</w:t>
            </w:r>
            <w:r>
              <w:rPr>
                <w:rFonts w:ascii="Times New Roman" w:eastAsia="Times New Roman"/>
                <w:spacing w:val="-12"/>
                <w:position w:val="1"/>
                <w:sz w:val="21"/>
              </w:rPr>
              <w:t> </w:t>
            </w:r>
            <w:r>
              <w:rPr>
                <w:sz w:val="21"/>
              </w:rPr>
              <w:t>号</w:t>
            </w:r>
          </w:p>
        </w:tc>
      </w:tr>
      <w:tr>
        <w:trPr>
          <w:trHeight w:val="273" w:hRule="atLeast"/>
        </w:trPr>
        <w:tc>
          <w:tcPr>
            <w:tcW w:w="1150" w:type="dxa"/>
            <w:vMerge/>
            <w:tcBorders>
              <w:top w:val="nil"/>
            </w:tcBorders>
          </w:tcPr>
          <w:p>
            <w:pPr>
              <w:rPr>
                <w:sz w:val="2"/>
                <w:szCs w:val="2"/>
              </w:rPr>
            </w:pPr>
          </w:p>
        </w:tc>
        <w:tc>
          <w:tcPr>
            <w:tcW w:w="801" w:type="dxa"/>
          </w:tcPr>
          <w:p>
            <w:pPr>
              <w:pStyle w:val="TableParagraph"/>
              <w:spacing w:before="10"/>
              <w:ind w:left="5"/>
              <w:jc w:val="center"/>
              <w:rPr>
                <w:rFonts w:ascii="Times New Roman"/>
                <w:sz w:val="21"/>
              </w:rPr>
            </w:pPr>
            <w:r>
              <w:rPr>
                <w:rFonts w:ascii="Times New Roman"/>
                <w:w w:val="100"/>
                <w:sz w:val="21"/>
              </w:rPr>
              <w:t>9</w:t>
            </w:r>
          </w:p>
        </w:tc>
        <w:tc>
          <w:tcPr>
            <w:tcW w:w="2599" w:type="dxa"/>
          </w:tcPr>
          <w:p>
            <w:pPr>
              <w:pStyle w:val="TableParagraph"/>
              <w:spacing w:line="250" w:lineRule="exact" w:before="3"/>
              <w:ind w:left="106"/>
              <w:rPr>
                <w:sz w:val="21"/>
              </w:rPr>
            </w:pPr>
            <w:r>
              <w:rPr>
                <w:sz w:val="21"/>
              </w:rPr>
              <w:t>智能工厂改造项目</w:t>
            </w:r>
          </w:p>
        </w:tc>
        <w:tc>
          <w:tcPr>
            <w:tcW w:w="3000" w:type="dxa"/>
          </w:tcPr>
          <w:p>
            <w:pPr>
              <w:pStyle w:val="TableParagraph"/>
              <w:spacing w:before="10"/>
              <w:ind w:left="109"/>
              <w:rPr>
                <w:rFonts w:ascii="Times New Roman"/>
                <w:sz w:val="21"/>
              </w:rPr>
            </w:pPr>
            <w:r>
              <w:rPr>
                <w:rFonts w:ascii="Times New Roman"/>
                <w:sz w:val="21"/>
              </w:rPr>
              <w:t>2104-330155-89-02-534067</w:t>
            </w:r>
          </w:p>
        </w:tc>
        <w:tc>
          <w:tcPr>
            <w:tcW w:w="2729" w:type="dxa"/>
          </w:tcPr>
          <w:p>
            <w:pPr>
              <w:pStyle w:val="TableParagraph"/>
              <w:spacing w:line="250" w:lineRule="exact" w:before="3"/>
              <w:ind w:left="109"/>
              <w:rPr>
                <w:sz w:val="21"/>
              </w:rPr>
            </w:pPr>
            <w:r>
              <w:rPr>
                <w:sz w:val="21"/>
              </w:rPr>
              <w:t>杭环钱环备</w:t>
            </w:r>
            <w:r>
              <w:rPr>
                <w:rFonts w:ascii="Times New Roman" w:eastAsia="Times New Roman"/>
                <w:position w:val="1"/>
                <w:sz w:val="21"/>
              </w:rPr>
              <w:t>[2021]23</w:t>
            </w:r>
            <w:r>
              <w:rPr>
                <w:rFonts w:ascii="Times New Roman" w:eastAsia="Times New Roman"/>
                <w:spacing w:val="-12"/>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165" w:right="160"/>
              <w:jc w:val="center"/>
              <w:rPr>
                <w:rFonts w:ascii="Times New Roman"/>
                <w:sz w:val="21"/>
              </w:rPr>
            </w:pPr>
            <w:r>
              <w:rPr>
                <w:rFonts w:ascii="Times New Roman"/>
                <w:sz w:val="21"/>
              </w:rPr>
              <w:t>10</w:t>
            </w:r>
          </w:p>
        </w:tc>
        <w:tc>
          <w:tcPr>
            <w:tcW w:w="2599" w:type="dxa"/>
          </w:tcPr>
          <w:p>
            <w:pPr>
              <w:pStyle w:val="TableParagraph"/>
              <w:spacing w:before="1"/>
              <w:ind w:left="106"/>
              <w:rPr>
                <w:sz w:val="21"/>
              </w:rPr>
            </w:pPr>
            <w:r>
              <w:rPr>
                <w:spacing w:val="-19"/>
                <w:sz w:val="21"/>
              </w:rPr>
              <w:t>年产 </w:t>
            </w:r>
            <w:r>
              <w:rPr>
                <w:rFonts w:ascii="Times New Roman" w:eastAsia="Times New Roman"/>
                <w:position w:val="1"/>
                <w:sz w:val="21"/>
              </w:rPr>
              <w:t>80</w:t>
            </w:r>
            <w:r>
              <w:rPr>
                <w:rFonts w:ascii="Times New Roman" w:eastAsia="Times New Roman"/>
                <w:spacing w:val="-12"/>
                <w:position w:val="1"/>
                <w:sz w:val="21"/>
              </w:rPr>
              <w:t> </w:t>
            </w:r>
            <w:r>
              <w:rPr>
                <w:sz w:val="21"/>
              </w:rPr>
              <w:t>万台交换机生产</w:t>
            </w:r>
          </w:p>
          <w:p>
            <w:pPr>
              <w:pStyle w:val="TableParagraph"/>
              <w:spacing w:line="250" w:lineRule="exact" w:before="4"/>
              <w:ind w:left="106"/>
              <w:rPr>
                <w:sz w:val="21"/>
              </w:rPr>
            </w:pPr>
            <w:r>
              <w:rPr>
                <w:sz w:val="21"/>
              </w:rPr>
              <w:t>基地建设项目</w:t>
            </w:r>
          </w:p>
        </w:tc>
        <w:tc>
          <w:tcPr>
            <w:tcW w:w="3000" w:type="dxa"/>
          </w:tcPr>
          <w:p>
            <w:pPr>
              <w:pStyle w:val="TableParagraph"/>
              <w:spacing w:before="144"/>
              <w:ind w:left="109"/>
              <w:rPr>
                <w:rFonts w:ascii="Times New Roman"/>
                <w:sz w:val="21"/>
              </w:rPr>
            </w:pPr>
            <w:r>
              <w:rPr>
                <w:rFonts w:ascii="Times New Roman"/>
                <w:sz w:val="21"/>
              </w:rPr>
              <w:t>2203-330481-07-02-217685</w:t>
            </w:r>
          </w:p>
        </w:tc>
        <w:tc>
          <w:tcPr>
            <w:tcW w:w="2729" w:type="dxa"/>
          </w:tcPr>
          <w:p>
            <w:pPr>
              <w:pStyle w:val="TableParagraph"/>
              <w:spacing w:before="138"/>
              <w:ind w:left="109"/>
              <w:rPr>
                <w:sz w:val="21"/>
              </w:rPr>
            </w:pPr>
            <w:r>
              <w:rPr>
                <w:sz w:val="21"/>
              </w:rPr>
              <w:t>嘉环海建</w:t>
            </w:r>
            <w:r>
              <w:rPr>
                <w:rFonts w:ascii="Times New Roman" w:eastAsia="Times New Roman"/>
                <w:position w:val="1"/>
                <w:sz w:val="21"/>
              </w:rPr>
              <w:t>[2022]133</w:t>
            </w:r>
            <w:r>
              <w:rPr>
                <w:rFonts w:ascii="Times New Roman" w:eastAsia="Times New Roman"/>
                <w:spacing w:val="-10"/>
                <w:position w:val="1"/>
                <w:sz w:val="21"/>
              </w:rPr>
              <w:t> </w:t>
            </w:r>
            <w:r>
              <w:rPr>
                <w:sz w:val="21"/>
              </w:rPr>
              <w:t>号</w:t>
            </w:r>
          </w:p>
        </w:tc>
      </w:tr>
      <w:tr>
        <w:trPr>
          <w:trHeight w:val="273" w:hRule="atLeast"/>
        </w:trPr>
        <w:tc>
          <w:tcPr>
            <w:tcW w:w="1150"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8"/>
              <w:rPr>
                <w:sz w:val="20"/>
              </w:rPr>
            </w:pPr>
          </w:p>
          <w:p>
            <w:pPr>
              <w:pStyle w:val="TableParagraph"/>
              <w:spacing w:line="242" w:lineRule="auto"/>
              <w:ind w:left="107" w:right="187"/>
              <w:jc w:val="both"/>
              <w:rPr>
                <w:sz w:val="21"/>
              </w:rPr>
            </w:pPr>
            <w:r>
              <w:rPr>
                <w:spacing w:val="-1"/>
                <w:sz w:val="21"/>
              </w:rPr>
              <w:t>智能制造新技术研</w:t>
            </w:r>
            <w:r>
              <w:rPr>
                <w:sz w:val="21"/>
              </w:rPr>
              <w:t>发应用</w:t>
            </w:r>
          </w:p>
        </w:tc>
        <w:tc>
          <w:tcPr>
            <w:tcW w:w="801" w:type="dxa"/>
          </w:tcPr>
          <w:p>
            <w:pPr>
              <w:pStyle w:val="TableParagraph"/>
              <w:spacing w:before="10"/>
              <w:ind w:left="165" w:right="160"/>
              <w:jc w:val="center"/>
              <w:rPr>
                <w:rFonts w:ascii="Times New Roman"/>
                <w:sz w:val="21"/>
              </w:rPr>
            </w:pPr>
            <w:r>
              <w:rPr>
                <w:rFonts w:ascii="Times New Roman"/>
                <w:sz w:val="21"/>
              </w:rPr>
              <w:t>11</w:t>
            </w:r>
          </w:p>
        </w:tc>
        <w:tc>
          <w:tcPr>
            <w:tcW w:w="2599" w:type="dxa"/>
            <w:vMerge w:val="restart"/>
          </w:tcPr>
          <w:p>
            <w:pPr>
              <w:pStyle w:val="TableParagraph"/>
              <w:rPr>
                <w:sz w:val="20"/>
              </w:rPr>
            </w:pPr>
          </w:p>
          <w:p>
            <w:pPr>
              <w:pStyle w:val="TableParagraph"/>
              <w:spacing w:line="242" w:lineRule="auto" w:before="174"/>
              <w:ind w:left="106" w:right="167"/>
              <w:rPr>
                <w:sz w:val="21"/>
              </w:rPr>
            </w:pPr>
            <w:r>
              <w:rPr>
                <w:spacing w:val="-1"/>
                <w:sz w:val="21"/>
              </w:rPr>
              <w:t>智能手机精密机构件智能</w:t>
            </w:r>
            <w:r>
              <w:rPr>
                <w:sz w:val="21"/>
              </w:rPr>
              <w:t>制造扩建项目</w:t>
            </w:r>
          </w:p>
        </w:tc>
        <w:tc>
          <w:tcPr>
            <w:tcW w:w="3000" w:type="dxa"/>
            <w:vMerge w:val="restart"/>
          </w:tcPr>
          <w:p>
            <w:pPr>
              <w:pStyle w:val="TableParagraph"/>
              <w:rPr>
                <w:sz w:val="22"/>
              </w:rPr>
            </w:pPr>
          </w:p>
          <w:p>
            <w:pPr>
              <w:pStyle w:val="TableParagraph"/>
              <w:spacing w:before="3"/>
              <w:rPr>
                <w:sz w:val="22"/>
              </w:rPr>
            </w:pPr>
          </w:p>
          <w:p>
            <w:pPr>
              <w:pStyle w:val="TableParagraph"/>
              <w:ind w:left="109"/>
              <w:rPr>
                <w:sz w:val="21"/>
              </w:rPr>
            </w:pPr>
            <w:r>
              <w:rPr>
                <w:sz w:val="21"/>
              </w:rPr>
              <w:t>深龙华发改备案</w:t>
            </w:r>
            <w:r>
              <w:rPr>
                <w:rFonts w:ascii="Times New Roman" w:eastAsia="Times New Roman"/>
                <w:position w:val="1"/>
                <w:sz w:val="21"/>
              </w:rPr>
              <w:t>[2017]0106</w:t>
            </w:r>
            <w:r>
              <w:rPr>
                <w:rFonts w:ascii="Times New Roman" w:eastAsia="Times New Roman"/>
                <w:spacing w:val="-12"/>
                <w:position w:val="1"/>
                <w:sz w:val="21"/>
              </w:rPr>
              <w:t> </w:t>
            </w:r>
            <w:r>
              <w:rPr>
                <w:sz w:val="21"/>
              </w:rPr>
              <w:t>号</w:t>
            </w:r>
          </w:p>
        </w:tc>
        <w:tc>
          <w:tcPr>
            <w:tcW w:w="2729" w:type="dxa"/>
          </w:tcPr>
          <w:p>
            <w:pPr>
              <w:pStyle w:val="TableParagraph"/>
              <w:spacing w:line="252" w:lineRule="exact" w:before="1"/>
              <w:ind w:left="109"/>
              <w:rPr>
                <w:sz w:val="21"/>
              </w:rPr>
            </w:pPr>
            <w:r>
              <w:rPr>
                <w:sz w:val="21"/>
              </w:rPr>
              <w:t>深环批</w:t>
            </w:r>
            <w:r>
              <w:rPr>
                <w:rFonts w:ascii="Times New Roman" w:eastAsia="Times New Roman"/>
                <w:position w:val="1"/>
                <w:sz w:val="21"/>
              </w:rPr>
              <w:t>[2017]900081</w:t>
            </w:r>
            <w:r>
              <w:rPr>
                <w:rFonts w:ascii="Times New Roman" w:eastAsia="Times New Roman"/>
                <w:spacing w:val="-12"/>
                <w:position w:val="1"/>
                <w:sz w:val="21"/>
              </w:rPr>
              <w:t> </w:t>
            </w:r>
            <w:r>
              <w:rPr>
                <w:sz w:val="21"/>
              </w:rPr>
              <w:t>号</w:t>
            </w:r>
          </w:p>
        </w:tc>
      </w:tr>
      <w:tr>
        <w:trPr>
          <w:trHeight w:val="270" w:hRule="atLeast"/>
        </w:trPr>
        <w:tc>
          <w:tcPr>
            <w:tcW w:w="1150" w:type="dxa"/>
            <w:vMerge/>
            <w:tcBorders>
              <w:top w:val="nil"/>
            </w:tcBorders>
          </w:tcPr>
          <w:p>
            <w:pPr>
              <w:rPr>
                <w:sz w:val="2"/>
                <w:szCs w:val="2"/>
              </w:rPr>
            </w:pPr>
          </w:p>
        </w:tc>
        <w:tc>
          <w:tcPr>
            <w:tcW w:w="801" w:type="dxa"/>
          </w:tcPr>
          <w:p>
            <w:pPr>
              <w:pStyle w:val="TableParagraph"/>
              <w:spacing w:before="7"/>
              <w:ind w:left="165" w:right="160"/>
              <w:jc w:val="center"/>
              <w:rPr>
                <w:rFonts w:ascii="Times New Roman"/>
                <w:sz w:val="21"/>
              </w:rPr>
            </w:pPr>
            <w:r>
              <w:rPr>
                <w:rFonts w:ascii="Times New Roman"/>
                <w:sz w:val="21"/>
              </w:rPr>
              <w:t>12</w:t>
            </w:r>
          </w:p>
        </w:tc>
        <w:tc>
          <w:tcPr>
            <w:tcW w:w="2599" w:type="dxa"/>
            <w:vMerge/>
            <w:tcBorders>
              <w:top w:val="nil"/>
            </w:tcBorders>
          </w:tcPr>
          <w:p>
            <w:pPr>
              <w:rPr>
                <w:sz w:val="2"/>
                <w:szCs w:val="2"/>
              </w:rPr>
            </w:pPr>
          </w:p>
        </w:tc>
        <w:tc>
          <w:tcPr>
            <w:tcW w:w="3000" w:type="dxa"/>
            <w:vMerge/>
            <w:tcBorders>
              <w:top w:val="nil"/>
            </w:tcBorders>
          </w:tcPr>
          <w:p>
            <w:pPr>
              <w:rPr>
                <w:sz w:val="2"/>
                <w:szCs w:val="2"/>
              </w:rPr>
            </w:pPr>
          </w:p>
        </w:tc>
        <w:tc>
          <w:tcPr>
            <w:tcW w:w="2729" w:type="dxa"/>
          </w:tcPr>
          <w:p>
            <w:pPr>
              <w:pStyle w:val="TableParagraph"/>
              <w:spacing w:line="250" w:lineRule="exact" w:before="1"/>
              <w:ind w:left="109"/>
              <w:rPr>
                <w:sz w:val="21"/>
              </w:rPr>
            </w:pPr>
            <w:r>
              <w:rPr>
                <w:sz w:val="21"/>
              </w:rPr>
              <w:t>深环批</w:t>
            </w:r>
            <w:r>
              <w:rPr>
                <w:rFonts w:ascii="Times New Roman" w:eastAsia="Times New Roman"/>
                <w:position w:val="1"/>
                <w:sz w:val="21"/>
              </w:rPr>
              <w:t>[2017]900084</w:t>
            </w:r>
            <w:r>
              <w:rPr>
                <w:rFonts w:ascii="Times New Roman" w:eastAsia="Times New Roman"/>
                <w:spacing w:val="-12"/>
                <w:position w:val="1"/>
                <w:sz w:val="21"/>
              </w:rPr>
              <w:t> </w:t>
            </w:r>
            <w:r>
              <w:rPr>
                <w:sz w:val="21"/>
              </w:rPr>
              <w:t>号</w:t>
            </w:r>
          </w:p>
        </w:tc>
      </w:tr>
      <w:tr>
        <w:trPr>
          <w:trHeight w:val="273" w:hRule="atLeast"/>
        </w:trPr>
        <w:tc>
          <w:tcPr>
            <w:tcW w:w="1150" w:type="dxa"/>
            <w:vMerge/>
            <w:tcBorders>
              <w:top w:val="nil"/>
            </w:tcBorders>
          </w:tcPr>
          <w:p>
            <w:pPr>
              <w:rPr>
                <w:sz w:val="2"/>
                <w:szCs w:val="2"/>
              </w:rPr>
            </w:pPr>
          </w:p>
        </w:tc>
        <w:tc>
          <w:tcPr>
            <w:tcW w:w="801" w:type="dxa"/>
          </w:tcPr>
          <w:p>
            <w:pPr>
              <w:pStyle w:val="TableParagraph"/>
              <w:spacing w:before="10"/>
              <w:ind w:left="165" w:right="160"/>
              <w:jc w:val="center"/>
              <w:rPr>
                <w:rFonts w:ascii="Times New Roman"/>
                <w:sz w:val="21"/>
              </w:rPr>
            </w:pPr>
            <w:r>
              <w:rPr>
                <w:rFonts w:ascii="Times New Roman"/>
                <w:sz w:val="21"/>
              </w:rPr>
              <w:t>13</w:t>
            </w:r>
          </w:p>
        </w:tc>
        <w:tc>
          <w:tcPr>
            <w:tcW w:w="2599" w:type="dxa"/>
            <w:vMerge/>
            <w:tcBorders>
              <w:top w:val="nil"/>
            </w:tcBorders>
          </w:tcPr>
          <w:p>
            <w:pPr>
              <w:rPr>
                <w:sz w:val="2"/>
                <w:szCs w:val="2"/>
              </w:rPr>
            </w:pPr>
          </w:p>
        </w:tc>
        <w:tc>
          <w:tcPr>
            <w:tcW w:w="3000" w:type="dxa"/>
            <w:vMerge/>
            <w:tcBorders>
              <w:top w:val="nil"/>
            </w:tcBorders>
          </w:tcPr>
          <w:p>
            <w:pPr>
              <w:rPr>
                <w:sz w:val="2"/>
                <w:szCs w:val="2"/>
              </w:rPr>
            </w:pPr>
          </w:p>
        </w:tc>
        <w:tc>
          <w:tcPr>
            <w:tcW w:w="2729" w:type="dxa"/>
          </w:tcPr>
          <w:p>
            <w:pPr>
              <w:pStyle w:val="TableParagraph"/>
              <w:spacing w:line="250" w:lineRule="exact" w:before="3"/>
              <w:ind w:left="109"/>
              <w:rPr>
                <w:sz w:val="21"/>
              </w:rPr>
            </w:pPr>
            <w:r>
              <w:rPr>
                <w:sz w:val="21"/>
              </w:rPr>
              <w:t>深环批</w:t>
            </w:r>
            <w:r>
              <w:rPr>
                <w:rFonts w:ascii="Times New Roman" w:eastAsia="Times New Roman"/>
                <w:position w:val="1"/>
                <w:sz w:val="21"/>
              </w:rPr>
              <w:t>[2016]900082</w:t>
            </w:r>
            <w:r>
              <w:rPr>
                <w:rFonts w:ascii="Times New Roman" w:eastAsia="Times New Roman"/>
                <w:spacing w:val="-12"/>
                <w:position w:val="1"/>
                <w:sz w:val="21"/>
              </w:rPr>
              <w:t> </w:t>
            </w:r>
            <w:r>
              <w:rPr>
                <w:sz w:val="21"/>
              </w:rPr>
              <w:t>号</w:t>
            </w:r>
          </w:p>
        </w:tc>
      </w:tr>
      <w:tr>
        <w:trPr>
          <w:trHeight w:val="273" w:hRule="atLeast"/>
        </w:trPr>
        <w:tc>
          <w:tcPr>
            <w:tcW w:w="1150" w:type="dxa"/>
            <w:vMerge/>
            <w:tcBorders>
              <w:top w:val="nil"/>
            </w:tcBorders>
          </w:tcPr>
          <w:p>
            <w:pPr>
              <w:rPr>
                <w:sz w:val="2"/>
                <w:szCs w:val="2"/>
              </w:rPr>
            </w:pPr>
          </w:p>
        </w:tc>
        <w:tc>
          <w:tcPr>
            <w:tcW w:w="801" w:type="dxa"/>
          </w:tcPr>
          <w:p>
            <w:pPr>
              <w:pStyle w:val="TableParagraph"/>
              <w:spacing w:before="10"/>
              <w:ind w:left="165" w:right="160"/>
              <w:jc w:val="center"/>
              <w:rPr>
                <w:rFonts w:ascii="Times New Roman"/>
                <w:sz w:val="21"/>
              </w:rPr>
            </w:pPr>
            <w:r>
              <w:rPr>
                <w:rFonts w:ascii="Times New Roman"/>
                <w:sz w:val="21"/>
              </w:rPr>
              <w:t>14</w:t>
            </w:r>
          </w:p>
        </w:tc>
        <w:tc>
          <w:tcPr>
            <w:tcW w:w="2599" w:type="dxa"/>
            <w:vMerge/>
            <w:tcBorders>
              <w:top w:val="nil"/>
            </w:tcBorders>
          </w:tcPr>
          <w:p>
            <w:pPr>
              <w:rPr>
                <w:sz w:val="2"/>
                <w:szCs w:val="2"/>
              </w:rPr>
            </w:pPr>
          </w:p>
        </w:tc>
        <w:tc>
          <w:tcPr>
            <w:tcW w:w="3000" w:type="dxa"/>
            <w:vMerge/>
            <w:tcBorders>
              <w:top w:val="nil"/>
            </w:tcBorders>
          </w:tcPr>
          <w:p>
            <w:pPr>
              <w:rPr>
                <w:sz w:val="2"/>
                <w:szCs w:val="2"/>
              </w:rPr>
            </w:pPr>
          </w:p>
        </w:tc>
        <w:tc>
          <w:tcPr>
            <w:tcW w:w="2729" w:type="dxa"/>
          </w:tcPr>
          <w:p>
            <w:pPr>
              <w:pStyle w:val="TableParagraph"/>
              <w:spacing w:line="252" w:lineRule="exact" w:before="1"/>
              <w:ind w:left="109"/>
              <w:rPr>
                <w:sz w:val="21"/>
              </w:rPr>
            </w:pPr>
            <w:r>
              <w:rPr>
                <w:sz w:val="21"/>
              </w:rPr>
              <w:t>深环批</w:t>
            </w:r>
            <w:r>
              <w:rPr>
                <w:rFonts w:ascii="Times New Roman" w:eastAsia="Times New Roman"/>
                <w:position w:val="1"/>
                <w:sz w:val="21"/>
              </w:rPr>
              <w:t>[2017]900083</w:t>
            </w:r>
            <w:r>
              <w:rPr>
                <w:rFonts w:ascii="Times New Roman" w:eastAsia="Times New Roman"/>
                <w:spacing w:val="-12"/>
                <w:position w:val="1"/>
                <w:sz w:val="21"/>
              </w:rPr>
              <w:t> </w:t>
            </w:r>
            <w:r>
              <w:rPr>
                <w:sz w:val="21"/>
              </w:rPr>
              <w:t>号</w:t>
            </w:r>
          </w:p>
        </w:tc>
      </w:tr>
      <w:tr>
        <w:trPr>
          <w:trHeight w:val="270" w:hRule="atLeast"/>
        </w:trPr>
        <w:tc>
          <w:tcPr>
            <w:tcW w:w="1150" w:type="dxa"/>
            <w:vMerge/>
            <w:tcBorders>
              <w:top w:val="nil"/>
            </w:tcBorders>
          </w:tcPr>
          <w:p>
            <w:pPr>
              <w:rPr>
                <w:sz w:val="2"/>
                <w:szCs w:val="2"/>
              </w:rPr>
            </w:pPr>
          </w:p>
        </w:tc>
        <w:tc>
          <w:tcPr>
            <w:tcW w:w="801" w:type="dxa"/>
          </w:tcPr>
          <w:p>
            <w:pPr>
              <w:pStyle w:val="TableParagraph"/>
              <w:spacing w:before="7"/>
              <w:ind w:left="165" w:right="160"/>
              <w:jc w:val="center"/>
              <w:rPr>
                <w:rFonts w:ascii="Times New Roman"/>
                <w:sz w:val="21"/>
              </w:rPr>
            </w:pPr>
            <w:r>
              <w:rPr>
                <w:rFonts w:ascii="Times New Roman"/>
                <w:sz w:val="21"/>
              </w:rPr>
              <w:t>15</w:t>
            </w:r>
          </w:p>
        </w:tc>
        <w:tc>
          <w:tcPr>
            <w:tcW w:w="2599" w:type="dxa"/>
            <w:vMerge/>
            <w:tcBorders>
              <w:top w:val="nil"/>
            </w:tcBorders>
          </w:tcPr>
          <w:p>
            <w:pPr>
              <w:rPr>
                <w:sz w:val="2"/>
                <w:szCs w:val="2"/>
              </w:rPr>
            </w:pPr>
          </w:p>
        </w:tc>
        <w:tc>
          <w:tcPr>
            <w:tcW w:w="3000" w:type="dxa"/>
            <w:vMerge/>
            <w:tcBorders>
              <w:top w:val="nil"/>
            </w:tcBorders>
          </w:tcPr>
          <w:p>
            <w:pPr>
              <w:rPr>
                <w:sz w:val="2"/>
                <w:szCs w:val="2"/>
              </w:rPr>
            </w:pPr>
          </w:p>
        </w:tc>
        <w:tc>
          <w:tcPr>
            <w:tcW w:w="2729" w:type="dxa"/>
          </w:tcPr>
          <w:p>
            <w:pPr>
              <w:pStyle w:val="TableParagraph"/>
              <w:spacing w:line="250" w:lineRule="exact" w:before="1"/>
              <w:ind w:left="109"/>
              <w:rPr>
                <w:sz w:val="21"/>
              </w:rPr>
            </w:pPr>
            <w:r>
              <w:rPr>
                <w:sz w:val="21"/>
              </w:rPr>
              <w:t>深环龙华批</w:t>
            </w:r>
            <w:r>
              <w:rPr>
                <w:rFonts w:ascii="Times New Roman" w:eastAsia="Times New Roman"/>
                <w:position w:val="1"/>
                <w:sz w:val="21"/>
              </w:rPr>
              <w:t>[2021]000034</w:t>
            </w:r>
            <w:r>
              <w:rPr>
                <w:rFonts w:ascii="Times New Roman" w:eastAsia="Times New Roman"/>
                <w:spacing w:val="-13"/>
                <w:position w:val="1"/>
                <w:sz w:val="21"/>
              </w:rPr>
              <w:t> </w:t>
            </w:r>
            <w:r>
              <w:rPr>
                <w:sz w:val="21"/>
              </w:rPr>
              <w:t>号</w:t>
            </w:r>
          </w:p>
        </w:tc>
      </w:tr>
      <w:tr>
        <w:trPr>
          <w:trHeight w:val="546" w:hRule="atLeast"/>
        </w:trPr>
        <w:tc>
          <w:tcPr>
            <w:tcW w:w="1150" w:type="dxa"/>
            <w:vMerge/>
            <w:tcBorders>
              <w:top w:val="nil"/>
            </w:tcBorders>
          </w:tcPr>
          <w:p>
            <w:pPr>
              <w:rPr>
                <w:sz w:val="2"/>
                <w:szCs w:val="2"/>
              </w:rPr>
            </w:pPr>
          </w:p>
        </w:tc>
        <w:tc>
          <w:tcPr>
            <w:tcW w:w="801" w:type="dxa"/>
          </w:tcPr>
          <w:p>
            <w:pPr>
              <w:pStyle w:val="TableParagraph"/>
              <w:spacing w:before="147"/>
              <w:ind w:left="165" w:right="160"/>
              <w:jc w:val="center"/>
              <w:rPr>
                <w:rFonts w:ascii="Times New Roman"/>
                <w:sz w:val="21"/>
              </w:rPr>
            </w:pPr>
            <w:r>
              <w:rPr>
                <w:rFonts w:ascii="Times New Roman"/>
                <w:sz w:val="21"/>
              </w:rPr>
              <w:t>16</w:t>
            </w:r>
          </w:p>
        </w:tc>
        <w:tc>
          <w:tcPr>
            <w:tcW w:w="2599" w:type="dxa"/>
          </w:tcPr>
          <w:p>
            <w:pPr>
              <w:pStyle w:val="TableParagraph"/>
              <w:spacing w:line="270" w:lineRule="atLeast"/>
              <w:ind w:left="106" w:right="167"/>
              <w:rPr>
                <w:sz w:val="21"/>
              </w:rPr>
            </w:pPr>
            <w:r>
              <w:rPr>
                <w:spacing w:val="-1"/>
                <w:sz w:val="21"/>
              </w:rPr>
              <w:t>智能手机等金属支架构件</w:t>
            </w:r>
            <w:r>
              <w:rPr>
                <w:sz w:val="21"/>
              </w:rPr>
              <w:t>更名、扩建项目</w:t>
            </w:r>
          </w:p>
        </w:tc>
        <w:tc>
          <w:tcPr>
            <w:tcW w:w="3000" w:type="dxa"/>
          </w:tcPr>
          <w:p>
            <w:pPr>
              <w:pStyle w:val="TableParagraph"/>
              <w:spacing w:before="147"/>
              <w:ind w:left="14"/>
              <w:jc w:val="center"/>
              <w:rPr>
                <w:rFonts w:ascii="Times New Roman"/>
                <w:sz w:val="21"/>
              </w:rPr>
            </w:pPr>
            <w:r>
              <w:rPr>
                <w:rFonts w:ascii="Times New Roman"/>
                <w:w w:val="100"/>
                <w:sz w:val="21"/>
              </w:rPr>
              <w:t>/</w:t>
            </w:r>
          </w:p>
        </w:tc>
        <w:tc>
          <w:tcPr>
            <w:tcW w:w="2729" w:type="dxa"/>
          </w:tcPr>
          <w:p>
            <w:pPr>
              <w:pStyle w:val="TableParagraph"/>
              <w:spacing w:before="138"/>
              <w:ind w:left="109"/>
              <w:rPr>
                <w:sz w:val="21"/>
              </w:rPr>
            </w:pPr>
            <w:r>
              <w:rPr>
                <w:sz w:val="21"/>
              </w:rPr>
              <w:t>深环龙华备</w:t>
            </w:r>
            <w:r>
              <w:rPr>
                <w:rFonts w:ascii="Times New Roman" w:eastAsia="Times New Roman"/>
                <w:position w:val="1"/>
                <w:sz w:val="21"/>
              </w:rPr>
              <w:t>[2022]400</w:t>
            </w:r>
            <w:r>
              <w:rPr>
                <w:rFonts w:ascii="Times New Roman" w:eastAsia="Times New Roman"/>
                <w:spacing w:val="-2"/>
                <w:position w:val="1"/>
                <w:sz w:val="21"/>
              </w:rPr>
              <w:t> </w:t>
            </w:r>
            <w:r>
              <w:rPr>
                <w:sz w:val="21"/>
              </w:rPr>
              <w:t>号</w:t>
            </w:r>
          </w:p>
        </w:tc>
      </w:tr>
      <w:tr>
        <w:trPr>
          <w:trHeight w:val="270" w:hRule="atLeast"/>
        </w:trPr>
        <w:tc>
          <w:tcPr>
            <w:tcW w:w="1150" w:type="dxa"/>
            <w:vMerge/>
            <w:tcBorders>
              <w:top w:val="nil"/>
            </w:tcBorders>
          </w:tcPr>
          <w:p>
            <w:pPr>
              <w:rPr>
                <w:sz w:val="2"/>
                <w:szCs w:val="2"/>
              </w:rPr>
            </w:pPr>
          </w:p>
        </w:tc>
        <w:tc>
          <w:tcPr>
            <w:tcW w:w="801" w:type="dxa"/>
          </w:tcPr>
          <w:p>
            <w:pPr>
              <w:pStyle w:val="TableParagraph"/>
              <w:spacing w:before="7"/>
              <w:ind w:left="165" w:right="160"/>
              <w:jc w:val="center"/>
              <w:rPr>
                <w:rFonts w:ascii="Times New Roman"/>
                <w:sz w:val="21"/>
              </w:rPr>
            </w:pPr>
            <w:r>
              <w:rPr>
                <w:rFonts w:ascii="Times New Roman"/>
                <w:sz w:val="21"/>
              </w:rPr>
              <w:t>17</w:t>
            </w:r>
          </w:p>
        </w:tc>
        <w:tc>
          <w:tcPr>
            <w:tcW w:w="2599" w:type="dxa"/>
          </w:tcPr>
          <w:p>
            <w:pPr>
              <w:pStyle w:val="TableParagraph"/>
              <w:spacing w:line="250" w:lineRule="exact" w:before="1"/>
              <w:ind w:left="106"/>
              <w:rPr>
                <w:sz w:val="21"/>
              </w:rPr>
            </w:pPr>
            <w:r>
              <w:rPr>
                <w:sz w:val="21"/>
              </w:rPr>
              <w:t>治具清洗线新建项目</w:t>
            </w:r>
          </w:p>
        </w:tc>
        <w:tc>
          <w:tcPr>
            <w:tcW w:w="3000" w:type="dxa"/>
          </w:tcPr>
          <w:p>
            <w:pPr>
              <w:pStyle w:val="TableParagraph"/>
              <w:spacing w:before="7"/>
              <w:ind w:left="14"/>
              <w:jc w:val="center"/>
              <w:rPr>
                <w:rFonts w:ascii="Times New Roman"/>
                <w:sz w:val="21"/>
              </w:rPr>
            </w:pPr>
            <w:r>
              <w:rPr>
                <w:rFonts w:ascii="Times New Roman"/>
                <w:w w:val="100"/>
                <w:sz w:val="21"/>
              </w:rPr>
              <w:t>/</w:t>
            </w:r>
          </w:p>
        </w:tc>
        <w:tc>
          <w:tcPr>
            <w:tcW w:w="2729" w:type="dxa"/>
          </w:tcPr>
          <w:p>
            <w:pPr>
              <w:pStyle w:val="TableParagraph"/>
              <w:spacing w:line="250" w:lineRule="exact" w:before="1"/>
              <w:ind w:left="109"/>
              <w:rPr>
                <w:sz w:val="21"/>
              </w:rPr>
            </w:pPr>
            <w:r>
              <w:rPr>
                <w:sz w:val="21"/>
              </w:rPr>
              <w:t>深环龙华备</w:t>
            </w:r>
            <w:r>
              <w:rPr>
                <w:rFonts w:ascii="Times New Roman" w:eastAsia="Times New Roman"/>
                <w:position w:val="1"/>
                <w:sz w:val="21"/>
              </w:rPr>
              <w:t>[2023]013</w:t>
            </w:r>
            <w:r>
              <w:rPr>
                <w:rFonts w:ascii="Times New Roman" w:eastAsia="Times New Roman"/>
                <w:spacing w:val="-2"/>
                <w:position w:val="1"/>
                <w:sz w:val="21"/>
              </w:rPr>
              <w:t> </w:t>
            </w:r>
            <w:r>
              <w:rPr>
                <w:sz w:val="21"/>
              </w:rPr>
              <w:t>号</w:t>
            </w:r>
          </w:p>
        </w:tc>
      </w:tr>
      <w:tr>
        <w:trPr>
          <w:trHeight w:val="273" w:hRule="atLeast"/>
        </w:trPr>
        <w:tc>
          <w:tcPr>
            <w:tcW w:w="1150" w:type="dxa"/>
            <w:vMerge/>
            <w:tcBorders>
              <w:top w:val="nil"/>
            </w:tcBorders>
          </w:tcPr>
          <w:p>
            <w:pPr>
              <w:rPr>
                <w:sz w:val="2"/>
                <w:szCs w:val="2"/>
              </w:rPr>
            </w:pPr>
          </w:p>
        </w:tc>
        <w:tc>
          <w:tcPr>
            <w:tcW w:w="801" w:type="dxa"/>
          </w:tcPr>
          <w:p>
            <w:pPr>
              <w:pStyle w:val="TableParagraph"/>
              <w:spacing w:before="10"/>
              <w:ind w:left="165" w:right="160"/>
              <w:jc w:val="center"/>
              <w:rPr>
                <w:rFonts w:ascii="Times New Roman"/>
                <w:sz w:val="21"/>
              </w:rPr>
            </w:pPr>
            <w:r>
              <w:rPr>
                <w:rFonts w:ascii="Times New Roman"/>
                <w:sz w:val="21"/>
              </w:rPr>
              <w:t>18</w:t>
            </w:r>
          </w:p>
        </w:tc>
        <w:tc>
          <w:tcPr>
            <w:tcW w:w="2599" w:type="dxa"/>
            <w:vMerge w:val="restart"/>
          </w:tcPr>
          <w:p>
            <w:pPr>
              <w:pStyle w:val="TableParagraph"/>
              <w:spacing w:before="142"/>
              <w:ind w:left="106"/>
              <w:rPr>
                <w:sz w:val="21"/>
              </w:rPr>
            </w:pPr>
            <w:r>
              <w:rPr>
                <w:sz w:val="21"/>
              </w:rPr>
              <w:t>智能眼镜机构件扩建项目</w:t>
            </w:r>
          </w:p>
        </w:tc>
        <w:tc>
          <w:tcPr>
            <w:tcW w:w="3000" w:type="dxa"/>
            <w:vMerge w:val="restart"/>
          </w:tcPr>
          <w:p>
            <w:pPr>
              <w:pStyle w:val="TableParagraph"/>
              <w:spacing w:before="151"/>
              <w:ind w:left="14"/>
              <w:jc w:val="center"/>
              <w:rPr>
                <w:rFonts w:ascii="Times New Roman"/>
                <w:sz w:val="21"/>
              </w:rPr>
            </w:pPr>
            <w:r>
              <w:rPr>
                <w:rFonts w:ascii="Times New Roman"/>
                <w:w w:val="100"/>
                <w:sz w:val="21"/>
              </w:rPr>
              <w:t>/</w:t>
            </w:r>
          </w:p>
        </w:tc>
        <w:tc>
          <w:tcPr>
            <w:tcW w:w="2729" w:type="dxa"/>
          </w:tcPr>
          <w:p>
            <w:pPr>
              <w:pStyle w:val="TableParagraph"/>
              <w:spacing w:line="252" w:lineRule="exact" w:before="1"/>
              <w:ind w:left="109"/>
              <w:rPr>
                <w:sz w:val="21"/>
              </w:rPr>
            </w:pPr>
            <w:r>
              <w:rPr>
                <w:sz w:val="21"/>
              </w:rPr>
              <w:t>深龙华环批</w:t>
            </w:r>
            <w:r>
              <w:rPr>
                <w:rFonts w:ascii="Times New Roman" w:eastAsia="Times New Roman"/>
                <w:position w:val="1"/>
                <w:sz w:val="21"/>
              </w:rPr>
              <w:t>[2019]10057</w:t>
            </w:r>
            <w:r>
              <w:rPr>
                <w:rFonts w:ascii="Times New Roman" w:eastAsia="Times New Roman"/>
                <w:spacing w:val="-11"/>
                <w:position w:val="1"/>
                <w:sz w:val="21"/>
              </w:rPr>
              <w:t> </w:t>
            </w:r>
            <w:r>
              <w:rPr>
                <w:sz w:val="21"/>
              </w:rPr>
              <w:t>号</w:t>
            </w:r>
          </w:p>
        </w:tc>
      </w:tr>
      <w:tr>
        <w:trPr>
          <w:trHeight w:val="270" w:hRule="atLeast"/>
        </w:trPr>
        <w:tc>
          <w:tcPr>
            <w:tcW w:w="1150" w:type="dxa"/>
            <w:vMerge/>
            <w:tcBorders>
              <w:top w:val="nil"/>
            </w:tcBorders>
          </w:tcPr>
          <w:p>
            <w:pPr>
              <w:rPr>
                <w:sz w:val="2"/>
                <w:szCs w:val="2"/>
              </w:rPr>
            </w:pPr>
          </w:p>
        </w:tc>
        <w:tc>
          <w:tcPr>
            <w:tcW w:w="801" w:type="dxa"/>
          </w:tcPr>
          <w:p>
            <w:pPr>
              <w:pStyle w:val="TableParagraph"/>
              <w:spacing w:before="7"/>
              <w:ind w:left="165" w:right="160"/>
              <w:jc w:val="center"/>
              <w:rPr>
                <w:rFonts w:ascii="Times New Roman"/>
                <w:sz w:val="21"/>
              </w:rPr>
            </w:pPr>
            <w:r>
              <w:rPr>
                <w:rFonts w:ascii="Times New Roman"/>
                <w:sz w:val="21"/>
              </w:rPr>
              <w:t>19</w:t>
            </w:r>
          </w:p>
        </w:tc>
        <w:tc>
          <w:tcPr>
            <w:tcW w:w="2599" w:type="dxa"/>
            <w:vMerge/>
            <w:tcBorders>
              <w:top w:val="nil"/>
            </w:tcBorders>
          </w:tcPr>
          <w:p>
            <w:pPr>
              <w:rPr>
                <w:sz w:val="2"/>
                <w:szCs w:val="2"/>
              </w:rPr>
            </w:pPr>
          </w:p>
        </w:tc>
        <w:tc>
          <w:tcPr>
            <w:tcW w:w="3000" w:type="dxa"/>
            <w:vMerge/>
            <w:tcBorders>
              <w:top w:val="nil"/>
            </w:tcBorders>
          </w:tcPr>
          <w:p>
            <w:pPr>
              <w:rPr>
                <w:sz w:val="2"/>
                <w:szCs w:val="2"/>
              </w:rPr>
            </w:pPr>
          </w:p>
        </w:tc>
        <w:tc>
          <w:tcPr>
            <w:tcW w:w="2729" w:type="dxa"/>
          </w:tcPr>
          <w:p>
            <w:pPr>
              <w:pStyle w:val="TableParagraph"/>
              <w:spacing w:line="250" w:lineRule="exact" w:before="1"/>
              <w:ind w:left="109"/>
              <w:rPr>
                <w:sz w:val="21"/>
              </w:rPr>
            </w:pPr>
            <w:r>
              <w:rPr>
                <w:sz w:val="21"/>
              </w:rPr>
              <w:t>深环龙华备</w:t>
            </w:r>
            <w:r>
              <w:rPr>
                <w:rFonts w:ascii="Times New Roman" w:eastAsia="Times New Roman"/>
                <w:position w:val="1"/>
                <w:sz w:val="21"/>
              </w:rPr>
              <w:t>[2021]1195</w:t>
            </w:r>
            <w:r>
              <w:rPr>
                <w:rFonts w:ascii="Times New Roman" w:eastAsia="Times New Roman"/>
                <w:spacing w:val="-2"/>
                <w:position w:val="1"/>
                <w:sz w:val="21"/>
              </w:rPr>
              <w:t> </w:t>
            </w:r>
            <w:r>
              <w:rPr>
                <w:sz w:val="21"/>
              </w:rPr>
              <w:t>号</w:t>
            </w:r>
          </w:p>
        </w:tc>
      </w:tr>
      <w:tr>
        <w:trPr>
          <w:trHeight w:val="273" w:hRule="atLeast"/>
        </w:trPr>
        <w:tc>
          <w:tcPr>
            <w:tcW w:w="1150" w:type="dxa"/>
            <w:vMerge/>
            <w:tcBorders>
              <w:top w:val="nil"/>
            </w:tcBorders>
          </w:tcPr>
          <w:p>
            <w:pPr>
              <w:rPr>
                <w:sz w:val="2"/>
                <w:szCs w:val="2"/>
              </w:rPr>
            </w:pPr>
          </w:p>
        </w:tc>
        <w:tc>
          <w:tcPr>
            <w:tcW w:w="801" w:type="dxa"/>
          </w:tcPr>
          <w:p>
            <w:pPr>
              <w:pStyle w:val="TableParagraph"/>
              <w:spacing w:before="10"/>
              <w:ind w:left="165" w:right="160"/>
              <w:jc w:val="center"/>
              <w:rPr>
                <w:rFonts w:ascii="Times New Roman"/>
                <w:sz w:val="21"/>
              </w:rPr>
            </w:pPr>
            <w:r>
              <w:rPr>
                <w:rFonts w:ascii="Times New Roman"/>
                <w:sz w:val="21"/>
              </w:rPr>
              <w:t>20</w:t>
            </w:r>
          </w:p>
        </w:tc>
        <w:tc>
          <w:tcPr>
            <w:tcW w:w="2599" w:type="dxa"/>
          </w:tcPr>
          <w:p>
            <w:pPr>
              <w:pStyle w:val="TableParagraph"/>
              <w:spacing w:line="250" w:lineRule="exact" w:before="3"/>
              <w:ind w:left="106"/>
              <w:rPr>
                <w:sz w:val="21"/>
              </w:rPr>
            </w:pPr>
            <w:r>
              <w:rPr>
                <w:sz w:val="21"/>
              </w:rPr>
              <w:t>冲压小件项目</w:t>
            </w:r>
          </w:p>
        </w:tc>
        <w:tc>
          <w:tcPr>
            <w:tcW w:w="3000" w:type="dxa"/>
          </w:tcPr>
          <w:p>
            <w:pPr>
              <w:pStyle w:val="TableParagraph"/>
              <w:spacing w:before="10"/>
              <w:ind w:left="14"/>
              <w:jc w:val="center"/>
              <w:rPr>
                <w:rFonts w:ascii="Times New Roman"/>
                <w:sz w:val="21"/>
              </w:rPr>
            </w:pPr>
            <w:r>
              <w:rPr>
                <w:rFonts w:ascii="Times New Roman"/>
                <w:w w:val="100"/>
                <w:sz w:val="21"/>
              </w:rPr>
              <w:t>/</w:t>
            </w:r>
          </w:p>
        </w:tc>
        <w:tc>
          <w:tcPr>
            <w:tcW w:w="2729" w:type="dxa"/>
          </w:tcPr>
          <w:p>
            <w:pPr>
              <w:pStyle w:val="TableParagraph"/>
              <w:spacing w:line="250" w:lineRule="exact" w:before="3"/>
              <w:ind w:left="109"/>
              <w:rPr>
                <w:sz w:val="21"/>
              </w:rPr>
            </w:pPr>
            <w:r>
              <w:rPr>
                <w:sz w:val="21"/>
              </w:rPr>
              <w:t>深环龙华备</w:t>
            </w:r>
            <w:r>
              <w:rPr>
                <w:rFonts w:ascii="Times New Roman" w:eastAsia="Times New Roman"/>
                <w:position w:val="1"/>
                <w:sz w:val="21"/>
              </w:rPr>
              <w:t>[2021]499</w:t>
            </w:r>
            <w:r>
              <w:rPr>
                <w:rFonts w:ascii="Times New Roman" w:eastAsia="Times New Roman"/>
                <w:spacing w:val="-2"/>
                <w:position w:val="1"/>
                <w:sz w:val="21"/>
              </w:rPr>
              <w:t> </w:t>
            </w:r>
            <w:r>
              <w:rPr>
                <w:sz w:val="21"/>
              </w:rPr>
              <w:t>号</w:t>
            </w:r>
          </w:p>
        </w:tc>
      </w:tr>
      <w:tr>
        <w:trPr>
          <w:trHeight w:val="273" w:hRule="atLeast"/>
        </w:trPr>
        <w:tc>
          <w:tcPr>
            <w:tcW w:w="1150" w:type="dxa"/>
            <w:vMerge/>
            <w:tcBorders>
              <w:top w:val="nil"/>
            </w:tcBorders>
          </w:tcPr>
          <w:p>
            <w:pPr>
              <w:rPr>
                <w:sz w:val="2"/>
                <w:szCs w:val="2"/>
              </w:rPr>
            </w:pPr>
          </w:p>
        </w:tc>
        <w:tc>
          <w:tcPr>
            <w:tcW w:w="801" w:type="dxa"/>
          </w:tcPr>
          <w:p>
            <w:pPr>
              <w:pStyle w:val="TableParagraph"/>
              <w:spacing w:before="10"/>
              <w:ind w:left="165" w:right="160"/>
              <w:jc w:val="center"/>
              <w:rPr>
                <w:rFonts w:ascii="Times New Roman"/>
                <w:sz w:val="21"/>
              </w:rPr>
            </w:pPr>
            <w:r>
              <w:rPr>
                <w:rFonts w:ascii="Times New Roman"/>
                <w:sz w:val="21"/>
              </w:rPr>
              <w:t>21</w:t>
            </w:r>
          </w:p>
        </w:tc>
        <w:tc>
          <w:tcPr>
            <w:tcW w:w="2599" w:type="dxa"/>
          </w:tcPr>
          <w:p>
            <w:pPr>
              <w:pStyle w:val="TableParagraph"/>
              <w:spacing w:line="252" w:lineRule="exact" w:before="1"/>
              <w:ind w:left="106"/>
              <w:rPr>
                <w:sz w:val="21"/>
              </w:rPr>
            </w:pPr>
            <w:r>
              <w:rPr>
                <w:sz w:val="21"/>
              </w:rPr>
              <w:t>手机机构件升级改造项目</w:t>
            </w:r>
          </w:p>
        </w:tc>
        <w:tc>
          <w:tcPr>
            <w:tcW w:w="3000" w:type="dxa"/>
          </w:tcPr>
          <w:p>
            <w:pPr>
              <w:pStyle w:val="TableParagraph"/>
              <w:spacing w:line="252" w:lineRule="exact" w:before="1"/>
              <w:ind w:left="109"/>
              <w:rPr>
                <w:rFonts w:ascii="Times New Roman" w:eastAsia="Times New Roman"/>
                <w:sz w:val="21"/>
              </w:rPr>
            </w:pPr>
            <w:r>
              <w:rPr>
                <w:spacing w:val="-1"/>
                <w:sz w:val="21"/>
              </w:rPr>
              <w:t>豫郑经技外商</w:t>
            </w:r>
            <w:r>
              <w:rPr>
                <w:rFonts w:ascii="Times New Roman" w:eastAsia="Times New Roman"/>
                <w:position w:val="1"/>
                <w:sz w:val="21"/>
              </w:rPr>
              <w:t>[2017]04704</w:t>
            </w:r>
          </w:p>
        </w:tc>
        <w:tc>
          <w:tcPr>
            <w:tcW w:w="2729" w:type="dxa"/>
          </w:tcPr>
          <w:p>
            <w:pPr>
              <w:pStyle w:val="TableParagraph"/>
              <w:spacing w:line="252" w:lineRule="exact" w:before="1"/>
              <w:ind w:left="109"/>
              <w:rPr>
                <w:sz w:val="21"/>
              </w:rPr>
            </w:pPr>
            <w:r>
              <w:rPr>
                <w:sz w:val="21"/>
              </w:rPr>
              <w:t>郑环审</w:t>
            </w:r>
            <w:r>
              <w:rPr>
                <w:rFonts w:ascii="Times New Roman" w:eastAsia="Times New Roman"/>
                <w:position w:val="1"/>
                <w:sz w:val="21"/>
              </w:rPr>
              <w:t>[2017]88</w:t>
            </w:r>
            <w:r>
              <w:rPr>
                <w:rFonts w:ascii="Times New Roman" w:eastAsia="Times New Roman"/>
                <w:spacing w:val="-11"/>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165" w:right="160"/>
              <w:jc w:val="center"/>
              <w:rPr>
                <w:rFonts w:ascii="Times New Roman"/>
                <w:sz w:val="21"/>
              </w:rPr>
            </w:pPr>
            <w:r>
              <w:rPr>
                <w:rFonts w:ascii="Times New Roman"/>
                <w:sz w:val="21"/>
              </w:rPr>
              <w:t>22</w:t>
            </w:r>
          </w:p>
        </w:tc>
        <w:tc>
          <w:tcPr>
            <w:tcW w:w="2599" w:type="dxa"/>
          </w:tcPr>
          <w:p>
            <w:pPr>
              <w:pStyle w:val="TableParagraph"/>
              <w:spacing w:before="1"/>
              <w:ind w:left="106"/>
              <w:rPr>
                <w:sz w:val="21"/>
              </w:rPr>
            </w:pPr>
            <w:r>
              <w:rPr>
                <w:rFonts w:ascii="Times New Roman" w:eastAsia="Times New Roman"/>
                <w:position w:val="1"/>
                <w:sz w:val="21"/>
              </w:rPr>
              <w:t>5G</w:t>
            </w:r>
            <w:r>
              <w:rPr>
                <w:rFonts w:ascii="Times New Roman" w:eastAsia="Times New Roman"/>
                <w:spacing w:val="-11"/>
                <w:position w:val="1"/>
                <w:sz w:val="21"/>
              </w:rPr>
              <w:t> </w:t>
            </w:r>
            <w:r>
              <w:rPr>
                <w:sz w:val="21"/>
              </w:rPr>
              <w:t>智能手机精密机构件</w:t>
            </w:r>
          </w:p>
          <w:p>
            <w:pPr>
              <w:pStyle w:val="TableParagraph"/>
              <w:spacing w:line="252" w:lineRule="exact" w:before="2"/>
              <w:ind w:left="106"/>
              <w:rPr>
                <w:sz w:val="21"/>
              </w:rPr>
            </w:pPr>
            <w:r>
              <w:rPr>
                <w:sz w:val="21"/>
              </w:rPr>
              <w:t>生产项目</w:t>
            </w:r>
          </w:p>
        </w:tc>
        <w:tc>
          <w:tcPr>
            <w:tcW w:w="3000" w:type="dxa"/>
          </w:tcPr>
          <w:p>
            <w:pPr>
              <w:pStyle w:val="TableParagraph"/>
              <w:spacing w:before="144"/>
              <w:ind w:left="109"/>
              <w:rPr>
                <w:rFonts w:ascii="Times New Roman"/>
                <w:sz w:val="21"/>
              </w:rPr>
            </w:pPr>
            <w:r>
              <w:rPr>
                <w:rFonts w:ascii="Times New Roman"/>
                <w:sz w:val="21"/>
              </w:rPr>
              <w:t>2020-410171-39-03-027970</w:t>
            </w:r>
          </w:p>
        </w:tc>
        <w:tc>
          <w:tcPr>
            <w:tcW w:w="2729" w:type="dxa"/>
          </w:tcPr>
          <w:p>
            <w:pPr>
              <w:pStyle w:val="TableParagraph"/>
              <w:spacing w:before="137"/>
              <w:ind w:left="109"/>
              <w:rPr>
                <w:sz w:val="21"/>
              </w:rPr>
            </w:pPr>
            <w:r>
              <w:rPr>
                <w:sz w:val="21"/>
              </w:rPr>
              <w:t>郑经环建</w:t>
            </w:r>
            <w:r>
              <w:rPr>
                <w:rFonts w:ascii="Times New Roman" w:eastAsia="Times New Roman"/>
                <w:position w:val="1"/>
                <w:sz w:val="21"/>
              </w:rPr>
              <w:t>[2020]50</w:t>
            </w:r>
            <w:r>
              <w:rPr>
                <w:rFonts w:ascii="Times New Roman" w:eastAsia="Times New Roman"/>
                <w:spacing w:val="-11"/>
                <w:position w:val="1"/>
                <w:sz w:val="21"/>
              </w:rPr>
              <w:t> </w:t>
            </w:r>
            <w:r>
              <w:rPr>
                <w:sz w:val="21"/>
              </w:rPr>
              <w:t>号</w:t>
            </w:r>
          </w:p>
        </w:tc>
      </w:tr>
      <w:tr>
        <w:trPr>
          <w:trHeight w:val="273" w:hRule="atLeast"/>
        </w:trPr>
        <w:tc>
          <w:tcPr>
            <w:tcW w:w="1150" w:type="dxa"/>
            <w:vMerge/>
            <w:tcBorders>
              <w:top w:val="nil"/>
            </w:tcBorders>
          </w:tcPr>
          <w:p>
            <w:pPr>
              <w:rPr>
                <w:sz w:val="2"/>
                <w:szCs w:val="2"/>
              </w:rPr>
            </w:pPr>
          </w:p>
        </w:tc>
        <w:tc>
          <w:tcPr>
            <w:tcW w:w="801" w:type="dxa"/>
          </w:tcPr>
          <w:p>
            <w:pPr>
              <w:pStyle w:val="TableParagraph"/>
              <w:spacing w:before="7"/>
              <w:ind w:left="165" w:right="160"/>
              <w:jc w:val="center"/>
              <w:rPr>
                <w:rFonts w:ascii="Times New Roman"/>
                <w:sz w:val="21"/>
              </w:rPr>
            </w:pPr>
            <w:r>
              <w:rPr>
                <w:rFonts w:ascii="Times New Roman"/>
                <w:sz w:val="21"/>
              </w:rPr>
              <w:t>23</w:t>
            </w:r>
          </w:p>
        </w:tc>
        <w:tc>
          <w:tcPr>
            <w:tcW w:w="2599" w:type="dxa"/>
          </w:tcPr>
          <w:p>
            <w:pPr>
              <w:pStyle w:val="TableParagraph"/>
              <w:spacing w:line="252" w:lineRule="exact" w:before="1"/>
              <w:ind w:left="106"/>
              <w:rPr>
                <w:sz w:val="21"/>
              </w:rPr>
            </w:pPr>
            <w:r>
              <w:rPr>
                <w:sz w:val="21"/>
              </w:rPr>
              <w:t>手机触屏模块生产项目</w:t>
            </w:r>
          </w:p>
        </w:tc>
        <w:tc>
          <w:tcPr>
            <w:tcW w:w="3000" w:type="dxa"/>
          </w:tcPr>
          <w:p>
            <w:pPr>
              <w:pStyle w:val="TableParagraph"/>
              <w:spacing w:before="7"/>
              <w:ind w:left="109"/>
              <w:rPr>
                <w:rFonts w:ascii="Times New Roman"/>
                <w:sz w:val="21"/>
              </w:rPr>
            </w:pPr>
            <w:r>
              <w:rPr>
                <w:rFonts w:ascii="Times New Roman"/>
                <w:sz w:val="21"/>
              </w:rPr>
              <w:t>2020-410171-39-03-049485</w:t>
            </w:r>
          </w:p>
        </w:tc>
        <w:tc>
          <w:tcPr>
            <w:tcW w:w="2729" w:type="dxa"/>
          </w:tcPr>
          <w:p>
            <w:pPr>
              <w:pStyle w:val="TableParagraph"/>
              <w:spacing w:line="252" w:lineRule="exact" w:before="1"/>
              <w:ind w:left="109"/>
              <w:rPr>
                <w:sz w:val="21"/>
              </w:rPr>
            </w:pPr>
            <w:r>
              <w:rPr>
                <w:sz w:val="21"/>
              </w:rPr>
              <w:t>郑经环建</w:t>
            </w:r>
            <w:r>
              <w:rPr>
                <w:rFonts w:ascii="Times New Roman" w:eastAsia="Times New Roman"/>
                <w:position w:val="1"/>
                <w:sz w:val="21"/>
              </w:rPr>
              <w:t>[2020]49</w:t>
            </w:r>
            <w:r>
              <w:rPr>
                <w:rFonts w:ascii="Times New Roman" w:eastAsia="Times New Roman"/>
                <w:spacing w:val="-11"/>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165" w:right="160"/>
              <w:jc w:val="center"/>
              <w:rPr>
                <w:rFonts w:ascii="Times New Roman"/>
                <w:sz w:val="21"/>
              </w:rPr>
            </w:pPr>
            <w:r>
              <w:rPr>
                <w:rFonts w:ascii="Times New Roman"/>
                <w:sz w:val="21"/>
              </w:rPr>
              <w:t>24</w:t>
            </w:r>
          </w:p>
        </w:tc>
        <w:tc>
          <w:tcPr>
            <w:tcW w:w="2599" w:type="dxa"/>
          </w:tcPr>
          <w:p>
            <w:pPr>
              <w:pStyle w:val="TableParagraph"/>
              <w:spacing w:before="1"/>
              <w:ind w:left="106"/>
              <w:rPr>
                <w:sz w:val="21"/>
              </w:rPr>
            </w:pPr>
            <w:r>
              <w:rPr>
                <w:sz w:val="21"/>
              </w:rPr>
              <w:t>高端手机机构件升级改造</w:t>
            </w:r>
          </w:p>
          <w:p>
            <w:pPr>
              <w:pStyle w:val="TableParagraph"/>
              <w:spacing w:line="252" w:lineRule="exact" w:before="2"/>
              <w:ind w:left="106"/>
              <w:rPr>
                <w:sz w:val="21"/>
              </w:rPr>
            </w:pPr>
            <w:r>
              <w:rPr>
                <w:sz w:val="21"/>
              </w:rPr>
              <w:t>智能制造项目</w:t>
            </w:r>
          </w:p>
        </w:tc>
        <w:tc>
          <w:tcPr>
            <w:tcW w:w="3000" w:type="dxa"/>
          </w:tcPr>
          <w:p>
            <w:pPr>
              <w:pStyle w:val="TableParagraph"/>
              <w:spacing w:before="144"/>
              <w:ind w:left="109"/>
              <w:rPr>
                <w:rFonts w:ascii="Times New Roman"/>
                <w:sz w:val="21"/>
              </w:rPr>
            </w:pPr>
            <w:r>
              <w:rPr>
                <w:rFonts w:ascii="Times New Roman"/>
                <w:sz w:val="21"/>
              </w:rPr>
              <w:t>2203-410171-04-02-376668</w:t>
            </w:r>
          </w:p>
        </w:tc>
        <w:tc>
          <w:tcPr>
            <w:tcW w:w="2729" w:type="dxa"/>
          </w:tcPr>
          <w:p>
            <w:pPr>
              <w:pStyle w:val="TableParagraph"/>
              <w:spacing w:before="135"/>
              <w:ind w:left="109"/>
              <w:rPr>
                <w:sz w:val="21"/>
              </w:rPr>
            </w:pPr>
            <w:r>
              <w:rPr>
                <w:sz w:val="21"/>
              </w:rPr>
              <w:t>郑经环建</w:t>
            </w:r>
            <w:r>
              <w:rPr>
                <w:rFonts w:ascii="Times New Roman" w:eastAsia="Times New Roman"/>
                <w:position w:val="1"/>
                <w:sz w:val="21"/>
              </w:rPr>
              <w:t>[2022]33</w:t>
            </w:r>
            <w:r>
              <w:rPr>
                <w:rFonts w:ascii="Times New Roman" w:eastAsia="Times New Roman"/>
                <w:spacing w:val="-11"/>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165" w:right="160"/>
              <w:jc w:val="center"/>
              <w:rPr>
                <w:rFonts w:ascii="Times New Roman"/>
                <w:sz w:val="21"/>
              </w:rPr>
            </w:pPr>
            <w:r>
              <w:rPr>
                <w:rFonts w:ascii="Times New Roman"/>
                <w:sz w:val="21"/>
              </w:rPr>
              <w:t>25</w:t>
            </w:r>
          </w:p>
        </w:tc>
        <w:tc>
          <w:tcPr>
            <w:tcW w:w="2599" w:type="dxa"/>
          </w:tcPr>
          <w:p>
            <w:pPr>
              <w:pStyle w:val="TableParagraph"/>
              <w:spacing w:before="1"/>
              <w:ind w:left="106"/>
              <w:rPr>
                <w:sz w:val="21"/>
              </w:rPr>
            </w:pPr>
            <w:r>
              <w:rPr>
                <w:sz w:val="21"/>
              </w:rPr>
              <w:t>智能型手机玻璃组立升级</w:t>
            </w:r>
          </w:p>
          <w:p>
            <w:pPr>
              <w:pStyle w:val="TableParagraph"/>
              <w:spacing w:line="252" w:lineRule="exact" w:before="2"/>
              <w:ind w:left="106"/>
              <w:rPr>
                <w:sz w:val="21"/>
              </w:rPr>
            </w:pPr>
            <w:r>
              <w:rPr>
                <w:sz w:val="21"/>
              </w:rPr>
              <w:t>改造项目</w:t>
            </w:r>
          </w:p>
        </w:tc>
        <w:tc>
          <w:tcPr>
            <w:tcW w:w="3000" w:type="dxa"/>
          </w:tcPr>
          <w:p>
            <w:pPr>
              <w:pStyle w:val="TableParagraph"/>
              <w:spacing w:before="144"/>
              <w:ind w:left="109"/>
              <w:rPr>
                <w:rFonts w:ascii="Times New Roman"/>
                <w:sz w:val="21"/>
              </w:rPr>
            </w:pPr>
            <w:r>
              <w:rPr>
                <w:rFonts w:ascii="Times New Roman"/>
                <w:sz w:val="21"/>
              </w:rPr>
              <w:t>2202-410171-04-02-398542</w:t>
            </w:r>
          </w:p>
        </w:tc>
        <w:tc>
          <w:tcPr>
            <w:tcW w:w="2729" w:type="dxa"/>
          </w:tcPr>
          <w:p>
            <w:pPr>
              <w:pStyle w:val="TableParagraph"/>
              <w:spacing w:before="137"/>
              <w:ind w:left="109"/>
              <w:rPr>
                <w:sz w:val="21"/>
              </w:rPr>
            </w:pPr>
            <w:r>
              <w:rPr>
                <w:sz w:val="21"/>
              </w:rPr>
              <w:t>郑经环建</w:t>
            </w:r>
            <w:r>
              <w:rPr>
                <w:rFonts w:ascii="Times New Roman" w:eastAsia="Times New Roman"/>
                <w:position w:val="1"/>
                <w:sz w:val="21"/>
              </w:rPr>
              <w:t>[2022]34</w:t>
            </w:r>
            <w:r>
              <w:rPr>
                <w:rFonts w:ascii="Times New Roman" w:eastAsia="Times New Roman"/>
                <w:spacing w:val="-11"/>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165" w:right="160"/>
              <w:jc w:val="center"/>
              <w:rPr>
                <w:rFonts w:ascii="Times New Roman"/>
                <w:sz w:val="21"/>
              </w:rPr>
            </w:pPr>
            <w:r>
              <w:rPr>
                <w:rFonts w:ascii="Times New Roman"/>
                <w:sz w:val="21"/>
              </w:rPr>
              <w:t>26</w:t>
            </w:r>
          </w:p>
        </w:tc>
        <w:tc>
          <w:tcPr>
            <w:tcW w:w="2599" w:type="dxa"/>
          </w:tcPr>
          <w:p>
            <w:pPr>
              <w:pStyle w:val="TableParagraph"/>
              <w:spacing w:before="1"/>
              <w:ind w:left="106"/>
              <w:rPr>
                <w:sz w:val="21"/>
              </w:rPr>
            </w:pPr>
            <w:r>
              <w:rPr>
                <w:sz w:val="21"/>
              </w:rPr>
              <w:t>新材料开发试验线改造项</w:t>
            </w:r>
          </w:p>
          <w:p>
            <w:pPr>
              <w:pStyle w:val="TableParagraph"/>
              <w:spacing w:line="252" w:lineRule="exact" w:before="2"/>
              <w:ind w:left="106"/>
              <w:rPr>
                <w:sz w:val="21"/>
              </w:rPr>
            </w:pPr>
            <w:r>
              <w:rPr>
                <w:w w:val="100"/>
                <w:sz w:val="21"/>
              </w:rPr>
              <w:t>目</w:t>
            </w:r>
          </w:p>
        </w:tc>
        <w:tc>
          <w:tcPr>
            <w:tcW w:w="3000" w:type="dxa"/>
          </w:tcPr>
          <w:p>
            <w:pPr>
              <w:pStyle w:val="TableParagraph"/>
              <w:spacing w:before="144"/>
              <w:ind w:left="109"/>
              <w:rPr>
                <w:rFonts w:ascii="Times New Roman"/>
                <w:sz w:val="21"/>
              </w:rPr>
            </w:pPr>
            <w:r>
              <w:rPr>
                <w:rFonts w:ascii="Times New Roman"/>
                <w:sz w:val="21"/>
              </w:rPr>
              <w:t>2019-410153-39-03-001264</w:t>
            </w:r>
          </w:p>
        </w:tc>
        <w:tc>
          <w:tcPr>
            <w:tcW w:w="2729" w:type="dxa"/>
          </w:tcPr>
          <w:p>
            <w:pPr>
              <w:pStyle w:val="TableParagraph"/>
              <w:spacing w:before="137"/>
              <w:ind w:left="109"/>
              <w:rPr>
                <w:sz w:val="21"/>
              </w:rPr>
            </w:pPr>
            <w:r>
              <w:rPr>
                <w:sz w:val="21"/>
              </w:rPr>
              <w:t>郑经环建</w:t>
            </w:r>
            <w:r>
              <w:rPr>
                <w:rFonts w:ascii="Times New Roman" w:eastAsia="Times New Roman"/>
                <w:sz w:val="21"/>
              </w:rPr>
              <w:t>[2019]36</w:t>
            </w:r>
            <w:r>
              <w:rPr>
                <w:rFonts w:ascii="Times New Roman" w:eastAsia="Times New Roman"/>
                <w:spacing w:val="-1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165" w:right="160"/>
              <w:jc w:val="center"/>
              <w:rPr>
                <w:rFonts w:ascii="Times New Roman"/>
                <w:sz w:val="21"/>
              </w:rPr>
            </w:pPr>
            <w:r>
              <w:rPr>
                <w:rFonts w:ascii="Times New Roman"/>
                <w:sz w:val="21"/>
              </w:rPr>
              <w:t>27</w:t>
            </w:r>
          </w:p>
        </w:tc>
        <w:tc>
          <w:tcPr>
            <w:tcW w:w="2599" w:type="dxa"/>
          </w:tcPr>
          <w:p>
            <w:pPr>
              <w:pStyle w:val="TableParagraph"/>
              <w:spacing w:before="1"/>
              <w:ind w:left="106"/>
              <w:rPr>
                <w:sz w:val="21"/>
              </w:rPr>
            </w:pPr>
            <w:r>
              <w:rPr>
                <w:sz w:val="21"/>
              </w:rPr>
              <w:t>高端手机机构件升级改造</w:t>
            </w:r>
          </w:p>
          <w:p>
            <w:pPr>
              <w:pStyle w:val="TableParagraph"/>
              <w:spacing w:line="250" w:lineRule="exact" w:before="4"/>
              <w:ind w:left="106"/>
              <w:rPr>
                <w:sz w:val="21"/>
              </w:rPr>
            </w:pPr>
            <w:r>
              <w:rPr>
                <w:sz w:val="21"/>
              </w:rPr>
              <w:t>智能制造项目</w:t>
            </w:r>
          </w:p>
        </w:tc>
        <w:tc>
          <w:tcPr>
            <w:tcW w:w="3000" w:type="dxa"/>
          </w:tcPr>
          <w:p>
            <w:pPr>
              <w:pStyle w:val="TableParagraph"/>
              <w:spacing w:before="144"/>
              <w:ind w:left="109"/>
              <w:rPr>
                <w:rFonts w:ascii="Times New Roman"/>
                <w:sz w:val="21"/>
              </w:rPr>
            </w:pPr>
            <w:r>
              <w:rPr>
                <w:rFonts w:ascii="Times New Roman"/>
                <w:sz w:val="21"/>
              </w:rPr>
              <w:t>2203-410171-04-02-376668</w:t>
            </w:r>
          </w:p>
        </w:tc>
        <w:tc>
          <w:tcPr>
            <w:tcW w:w="2729" w:type="dxa"/>
          </w:tcPr>
          <w:p>
            <w:pPr>
              <w:pStyle w:val="TableParagraph"/>
              <w:spacing w:before="137"/>
              <w:ind w:left="109"/>
              <w:rPr>
                <w:sz w:val="21"/>
              </w:rPr>
            </w:pPr>
            <w:r>
              <w:rPr>
                <w:sz w:val="21"/>
              </w:rPr>
              <w:t>郑经环建</w:t>
            </w:r>
            <w:r>
              <w:rPr>
                <w:rFonts w:ascii="Times New Roman" w:eastAsia="Times New Roman"/>
                <w:sz w:val="21"/>
              </w:rPr>
              <w:t>[2022]33</w:t>
            </w:r>
            <w:r>
              <w:rPr>
                <w:rFonts w:ascii="Times New Roman" w:eastAsia="Times New Roman"/>
                <w:spacing w:val="-1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5"/>
              <w:ind w:left="165" w:right="160"/>
              <w:jc w:val="center"/>
              <w:rPr>
                <w:rFonts w:ascii="Times New Roman"/>
                <w:sz w:val="21"/>
              </w:rPr>
            </w:pPr>
            <w:r>
              <w:rPr>
                <w:rFonts w:ascii="Times New Roman"/>
                <w:sz w:val="21"/>
              </w:rPr>
              <w:t>28</w:t>
            </w:r>
          </w:p>
        </w:tc>
        <w:tc>
          <w:tcPr>
            <w:tcW w:w="2599" w:type="dxa"/>
          </w:tcPr>
          <w:p>
            <w:pPr>
              <w:pStyle w:val="TableParagraph"/>
              <w:spacing w:before="1"/>
              <w:ind w:left="106"/>
              <w:rPr>
                <w:sz w:val="21"/>
              </w:rPr>
            </w:pPr>
            <w:r>
              <w:rPr>
                <w:sz w:val="21"/>
              </w:rPr>
              <w:t>智能型手机玻璃组立升级</w:t>
            </w:r>
          </w:p>
          <w:p>
            <w:pPr>
              <w:pStyle w:val="TableParagraph"/>
              <w:spacing w:line="250" w:lineRule="exact" w:before="5"/>
              <w:ind w:left="106"/>
              <w:rPr>
                <w:sz w:val="21"/>
              </w:rPr>
            </w:pPr>
            <w:r>
              <w:rPr>
                <w:sz w:val="21"/>
              </w:rPr>
              <w:t>改造项目</w:t>
            </w:r>
          </w:p>
        </w:tc>
        <w:tc>
          <w:tcPr>
            <w:tcW w:w="3000" w:type="dxa"/>
          </w:tcPr>
          <w:p>
            <w:pPr>
              <w:pStyle w:val="TableParagraph"/>
              <w:spacing w:before="145"/>
              <w:ind w:left="109"/>
              <w:rPr>
                <w:rFonts w:ascii="Times New Roman"/>
                <w:sz w:val="21"/>
              </w:rPr>
            </w:pPr>
            <w:r>
              <w:rPr>
                <w:rFonts w:ascii="Times New Roman"/>
                <w:sz w:val="21"/>
              </w:rPr>
              <w:t>2202-410171-04-02-398542</w:t>
            </w:r>
          </w:p>
        </w:tc>
        <w:tc>
          <w:tcPr>
            <w:tcW w:w="2729" w:type="dxa"/>
          </w:tcPr>
          <w:p>
            <w:pPr>
              <w:pStyle w:val="TableParagraph"/>
              <w:spacing w:before="138"/>
              <w:ind w:left="109"/>
              <w:rPr>
                <w:sz w:val="21"/>
              </w:rPr>
            </w:pPr>
            <w:r>
              <w:rPr>
                <w:sz w:val="21"/>
              </w:rPr>
              <w:t>郑经环建</w:t>
            </w:r>
            <w:r>
              <w:rPr>
                <w:rFonts w:ascii="Times New Roman" w:eastAsia="Times New Roman"/>
                <w:sz w:val="21"/>
              </w:rPr>
              <w:t>[2022]34</w:t>
            </w:r>
            <w:r>
              <w:rPr>
                <w:rFonts w:ascii="Times New Roman" w:eastAsia="Times New Roman"/>
                <w:spacing w:val="-11"/>
                <w:sz w:val="21"/>
              </w:rPr>
              <w:t> </w:t>
            </w:r>
            <w:r>
              <w:rPr>
                <w:sz w:val="21"/>
              </w:rPr>
              <w:t>号</w:t>
            </w:r>
          </w:p>
        </w:tc>
      </w:tr>
      <w:tr>
        <w:trPr>
          <w:trHeight w:val="818" w:hRule="atLeast"/>
        </w:trPr>
        <w:tc>
          <w:tcPr>
            <w:tcW w:w="1150" w:type="dxa"/>
            <w:vMerge w:val="restart"/>
            <w:tcBorders>
              <w:bottom w:val="nil"/>
            </w:tcBorders>
          </w:tcPr>
          <w:p>
            <w:pPr>
              <w:pStyle w:val="TableParagraph"/>
              <w:rPr>
                <w:sz w:val="20"/>
              </w:rPr>
            </w:pPr>
          </w:p>
          <w:p>
            <w:pPr>
              <w:pStyle w:val="TableParagraph"/>
              <w:rPr>
                <w:sz w:val="20"/>
              </w:rPr>
            </w:pPr>
          </w:p>
          <w:p>
            <w:pPr>
              <w:pStyle w:val="TableParagraph"/>
              <w:spacing w:line="244" w:lineRule="auto" w:before="175"/>
              <w:ind w:left="107" w:right="187"/>
              <w:rPr>
                <w:sz w:val="21"/>
              </w:rPr>
            </w:pPr>
            <w:r>
              <w:rPr>
                <w:spacing w:val="-1"/>
                <w:sz w:val="21"/>
              </w:rPr>
              <w:t>智能制造产业升级</w:t>
            </w:r>
          </w:p>
        </w:tc>
        <w:tc>
          <w:tcPr>
            <w:tcW w:w="801" w:type="dxa"/>
          </w:tcPr>
          <w:p>
            <w:pPr>
              <w:pStyle w:val="TableParagraph"/>
              <w:spacing w:before="12"/>
              <w:rPr>
                <w:sz w:val="21"/>
              </w:rPr>
            </w:pPr>
          </w:p>
          <w:p>
            <w:pPr>
              <w:pStyle w:val="TableParagraph"/>
              <w:ind w:left="165" w:right="160"/>
              <w:jc w:val="center"/>
              <w:rPr>
                <w:rFonts w:ascii="Times New Roman"/>
                <w:sz w:val="21"/>
              </w:rPr>
            </w:pPr>
            <w:r>
              <w:rPr>
                <w:rFonts w:ascii="Times New Roman"/>
                <w:sz w:val="21"/>
              </w:rPr>
              <w:t>29</w:t>
            </w:r>
          </w:p>
        </w:tc>
        <w:tc>
          <w:tcPr>
            <w:tcW w:w="2599" w:type="dxa"/>
          </w:tcPr>
          <w:p>
            <w:pPr>
              <w:pStyle w:val="TableParagraph"/>
              <w:spacing w:before="1"/>
              <w:ind w:left="106"/>
              <w:rPr>
                <w:sz w:val="21"/>
              </w:rPr>
            </w:pPr>
            <w:r>
              <w:rPr>
                <w:sz w:val="21"/>
              </w:rPr>
              <w:t>河南裕展精密科技有限公</w:t>
            </w:r>
          </w:p>
          <w:p>
            <w:pPr>
              <w:pStyle w:val="TableParagraph"/>
              <w:spacing w:line="270" w:lineRule="atLeast"/>
              <w:ind w:left="106" w:right="97"/>
              <w:rPr>
                <w:sz w:val="21"/>
              </w:rPr>
            </w:pPr>
            <w:r>
              <w:rPr>
                <w:sz w:val="21"/>
              </w:rPr>
              <w:t>司高端手机机构件升级改造智能制造项目</w:t>
            </w:r>
          </w:p>
        </w:tc>
        <w:tc>
          <w:tcPr>
            <w:tcW w:w="3000" w:type="dxa"/>
          </w:tcPr>
          <w:p>
            <w:pPr>
              <w:pStyle w:val="TableParagraph"/>
              <w:spacing w:before="12"/>
              <w:rPr>
                <w:sz w:val="21"/>
              </w:rPr>
            </w:pPr>
          </w:p>
          <w:p>
            <w:pPr>
              <w:pStyle w:val="TableParagraph"/>
              <w:ind w:left="109"/>
              <w:rPr>
                <w:rFonts w:ascii="Times New Roman"/>
                <w:sz w:val="21"/>
              </w:rPr>
            </w:pPr>
            <w:r>
              <w:rPr>
                <w:rFonts w:ascii="Times New Roman"/>
                <w:sz w:val="21"/>
              </w:rPr>
              <w:t>2103-410173-04-02-622741</w:t>
            </w:r>
          </w:p>
        </w:tc>
        <w:tc>
          <w:tcPr>
            <w:tcW w:w="2729" w:type="dxa"/>
          </w:tcPr>
          <w:p>
            <w:pPr>
              <w:pStyle w:val="TableParagraph"/>
              <w:spacing w:before="5"/>
              <w:rPr>
                <w:sz w:val="21"/>
              </w:rPr>
            </w:pPr>
          </w:p>
          <w:p>
            <w:pPr>
              <w:pStyle w:val="TableParagraph"/>
              <w:ind w:left="109"/>
              <w:rPr>
                <w:sz w:val="21"/>
              </w:rPr>
            </w:pPr>
            <w:r>
              <w:rPr>
                <w:sz w:val="21"/>
              </w:rPr>
              <w:t>郑港环告表</w:t>
            </w:r>
            <w:r>
              <w:rPr>
                <w:rFonts w:ascii="Times New Roman" w:eastAsia="Times New Roman"/>
                <w:sz w:val="21"/>
              </w:rPr>
              <w:t>[2021]3</w:t>
            </w:r>
            <w:r>
              <w:rPr>
                <w:rFonts w:ascii="Times New Roman" w:eastAsia="Times New Roman"/>
                <w:spacing w:val="-10"/>
                <w:sz w:val="21"/>
              </w:rPr>
              <w:t> </w:t>
            </w:r>
            <w:r>
              <w:rPr>
                <w:sz w:val="21"/>
              </w:rPr>
              <w:t>号</w:t>
            </w:r>
          </w:p>
        </w:tc>
      </w:tr>
      <w:tr>
        <w:trPr>
          <w:trHeight w:val="1089" w:hRule="atLeast"/>
        </w:trPr>
        <w:tc>
          <w:tcPr>
            <w:tcW w:w="1150" w:type="dxa"/>
            <w:vMerge/>
            <w:tcBorders>
              <w:top w:val="nil"/>
              <w:bottom w:val="nil"/>
            </w:tcBorders>
          </w:tcPr>
          <w:p>
            <w:pPr>
              <w:rPr>
                <w:sz w:val="2"/>
                <w:szCs w:val="2"/>
              </w:rPr>
            </w:pPr>
          </w:p>
        </w:tc>
        <w:tc>
          <w:tcPr>
            <w:tcW w:w="801" w:type="dxa"/>
          </w:tcPr>
          <w:p>
            <w:pPr>
              <w:pStyle w:val="TableParagraph"/>
              <w:spacing w:before="8"/>
              <w:rPr>
                <w:sz w:val="32"/>
              </w:rPr>
            </w:pPr>
          </w:p>
          <w:p>
            <w:pPr>
              <w:pStyle w:val="TableParagraph"/>
              <w:ind w:left="165" w:right="160"/>
              <w:jc w:val="center"/>
              <w:rPr>
                <w:rFonts w:ascii="Times New Roman"/>
                <w:sz w:val="21"/>
              </w:rPr>
            </w:pPr>
            <w:r>
              <w:rPr>
                <w:rFonts w:ascii="Times New Roman"/>
                <w:sz w:val="21"/>
              </w:rPr>
              <w:t>30</w:t>
            </w:r>
          </w:p>
        </w:tc>
        <w:tc>
          <w:tcPr>
            <w:tcW w:w="2599" w:type="dxa"/>
          </w:tcPr>
          <w:p>
            <w:pPr>
              <w:pStyle w:val="TableParagraph"/>
              <w:spacing w:line="242" w:lineRule="auto" w:before="1"/>
              <w:ind w:left="106" w:right="131"/>
              <w:jc w:val="both"/>
              <w:rPr>
                <w:sz w:val="21"/>
              </w:rPr>
            </w:pPr>
            <w:r>
              <w:rPr>
                <w:sz w:val="21"/>
              </w:rPr>
              <w:t>河南裕展精密科技有限公</w:t>
            </w:r>
            <w:r>
              <w:rPr>
                <w:spacing w:val="-27"/>
                <w:sz w:val="21"/>
              </w:rPr>
              <w:t>司 </w:t>
            </w:r>
            <w:r>
              <w:rPr>
                <w:rFonts w:ascii="Times New Roman" w:eastAsia="Times New Roman"/>
                <w:spacing w:val="-2"/>
                <w:position w:val="1"/>
                <w:sz w:val="21"/>
              </w:rPr>
              <w:t>22X</w:t>
            </w:r>
            <w:r>
              <w:rPr>
                <w:rFonts w:ascii="Times New Roman" w:eastAsia="Times New Roman"/>
                <w:spacing w:val="-10"/>
                <w:position w:val="1"/>
                <w:sz w:val="21"/>
              </w:rPr>
              <w:t> </w:t>
            </w:r>
            <w:r>
              <w:rPr>
                <w:spacing w:val="-1"/>
                <w:sz w:val="21"/>
              </w:rPr>
              <w:t>手机机构件及耳机</w:t>
            </w:r>
            <w:r>
              <w:rPr>
                <w:sz w:val="21"/>
              </w:rPr>
              <w:t>小件制程智能升级改造项</w:t>
            </w:r>
          </w:p>
          <w:p>
            <w:pPr>
              <w:pStyle w:val="TableParagraph"/>
              <w:spacing w:line="252" w:lineRule="exact"/>
              <w:ind w:left="106"/>
              <w:rPr>
                <w:sz w:val="21"/>
              </w:rPr>
            </w:pPr>
            <w:r>
              <w:rPr>
                <w:w w:val="100"/>
                <w:sz w:val="21"/>
              </w:rPr>
              <w:t>目</w:t>
            </w:r>
          </w:p>
        </w:tc>
        <w:tc>
          <w:tcPr>
            <w:tcW w:w="3000" w:type="dxa"/>
          </w:tcPr>
          <w:p>
            <w:pPr>
              <w:pStyle w:val="TableParagraph"/>
              <w:spacing w:before="8"/>
              <w:rPr>
                <w:sz w:val="32"/>
              </w:rPr>
            </w:pPr>
          </w:p>
          <w:p>
            <w:pPr>
              <w:pStyle w:val="TableParagraph"/>
              <w:ind w:left="109"/>
              <w:rPr>
                <w:rFonts w:ascii="Times New Roman"/>
                <w:sz w:val="21"/>
              </w:rPr>
            </w:pPr>
            <w:r>
              <w:rPr>
                <w:rFonts w:ascii="Times New Roman"/>
                <w:sz w:val="21"/>
              </w:rPr>
              <w:t>2203-410173-04-02-491547</w:t>
            </w:r>
          </w:p>
        </w:tc>
        <w:tc>
          <w:tcPr>
            <w:tcW w:w="2729" w:type="dxa"/>
          </w:tcPr>
          <w:p>
            <w:pPr>
              <w:pStyle w:val="TableParagraph"/>
              <w:spacing w:before="11"/>
              <w:rPr>
                <w:sz w:val="31"/>
              </w:rPr>
            </w:pPr>
          </w:p>
          <w:p>
            <w:pPr>
              <w:pStyle w:val="TableParagraph"/>
              <w:spacing w:before="1"/>
              <w:ind w:left="109"/>
              <w:rPr>
                <w:sz w:val="21"/>
              </w:rPr>
            </w:pPr>
            <w:r>
              <w:rPr>
                <w:sz w:val="21"/>
              </w:rPr>
              <w:t>郑港环告表</w:t>
            </w:r>
            <w:r>
              <w:rPr>
                <w:rFonts w:ascii="Times New Roman" w:eastAsia="Times New Roman"/>
                <w:position w:val="1"/>
                <w:sz w:val="21"/>
              </w:rPr>
              <w:t>[2022]8</w:t>
            </w:r>
            <w:r>
              <w:rPr>
                <w:rFonts w:ascii="Times New Roman" w:eastAsia="Times New Roman"/>
                <w:spacing w:val="-10"/>
                <w:position w:val="1"/>
                <w:sz w:val="21"/>
              </w:rPr>
              <w:t> </w:t>
            </w:r>
            <w:r>
              <w:rPr>
                <w:sz w:val="21"/>
              </w:rPr>
              <w:t>号</w:t>
            </w:r>
          </w:p>
        </w:tc>
      </w:tr>
    </w:tbl>
    <w:p>
      <w:pPr>
        <w:spacing w:after="0"/>
        <w:rPr>
          <w:sz w:val="21"/>
        </w:rPr>
        <w:sectPr>
          <w:pgSz w:w="11910" w:h="16840"/>
          <w:pgMar w:header="877" w:footer="1187" w:top="1440" w:bottom="1380" w:left="640" w:right="740"/>
        </w:sectPr>
      </w:pPr>
    </w:p>
    <w:p>
      <w:pPr>
        <w:pStyle w:val="BodyText"/>
        <w:spacing w:before="2"/>
        <w:ind w:left="0"/>
        <w:rPr>
          <w:sz w:val="5"/>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0"/>
        <w:gridCol w:w="801"/>
        <w:gridCol w:w="2599"/>
        <w:gridCol w:w="3000"/>
        <w:gridCol w:w="2729"/>
      </w:tblGrid>
      <w:tr>
        <w:trPr>
          <w:trHeight w:val="818" w:hRule="atLeast"/>
        </w:trPr>
        <w:tc>
          <w:tcPr>
            <w:tcW w:w="1150" w:type="dxa"/>
            <w:vMerge w:val="restart"/>
            <w:tcBorders>
              <w:top w:val="nil"/>
            </w:tcBorders>
          </w:tcPr>
          <w:p>
            <w:pPr>
              <w:pStyle w:val="TableParagraph"/>
              <w:rPr>
                <w:rFonts w:ascii="Times New Roman"/>
                <w:sz w:val="20"/>
              </w:rPr>
            </w:pPr>
          </w:p>
        </w:tc>
        <w:tc>
          <w:tcPr>
            <w:tcW w:w="801" w:type="dxa"/>
          </w:tcPr>
          <w:p>
            <w:pPr>
              <w:pStyle w:val="TableParagraph"/>
              <w:spacing w:before="12"/>
              <w:rPr>
                <w:sz w:val="21"/>
              </w:rPr>
            </w:pPr>
          </w:p>
          <w:p>
            <w:pPr>
              <w:pStyle w:val="TableParagraph"/>
              <w:ind w:left="165" w:right="160"/>
              <w:jc w:val="center"/>
              <w:rPr>
                <w:rFonts w:ascii="Times New Roman"/>
                <w:sz w:val="21"/>
              </w:rPr>
            </w:pPr>
            <w:r>
              <w:rPr>
                <w:rFonts w:ascii="Times New Roman"/>
                <w:sz w:val="21"/>
              </w:rPr>
              <w:t>31</w:t>
            </w:r>
          </w:p>
        </w:tc>
        <w:tc>
          <w:tcPr>
            <w:tcW w:w="2599" w:type="dxa"/>
          </w:tcPr>
          <w:p>
            <w:pPr>
              <w:pStyle w:val="TableParagraph"/>
              <w:spacing w:line="242" w:lineRule="auto" w:before="3"/>
              <w:ind w:left="106" w:right="167"/>
              <w:rPr>
                <w:sz w:val="21"/>
              </w:rPr>
            </w:pPr>
            <w:r>
              <w:rPr>
                <w:spacing w:val="-1"/>
                <w:sz w:val="21"/>
              </w:rPr>
              <w:t>河南裕展精密科技有限公司高端手机机构件精密模</w:t>
            </w:r>
          </w:p>
          <w:p>
            <w:pPr>
              <w:pStyle w:val="TableParagraph"/>
              <w:spacing w:line="250" w:lineRule="exact" w:before="2"/>
              <w:ind w:left="106"/>
              <w:rPr>
                <w:sz w:val="21"/>
              </w:rPr>
            </w:pPr>
            <w:r>
              <w:rPr>
                <w:sz w:val="21"/>
              </w:rPr>
              <w:t>块全自动智能制造项目</w:t>
            </w:r>
          </w:p>
        </w:tc>
        <w:tc>
          <w:tcPr>
            <w:tcW w:w="3000" w:type="dxa"/>
          </w:tcPr>
          <w:p>
            <w:pPr>
              <w:pStyle w:val="TableParagraph"/>
              <w:spacing w:before="12"/>
              <w:rPr>
                <w:sz w:val="21"/>
              </w:rPr>
            </w:pPr>
          </w:p>
          <w:p>
            <w:pPr>
              <w:pStyle w:val="TableParagraph"/>
              <w:ind w:left="109"/>
              <w:rPr>
                <w:rFonts w:ascii="Times New Roman"/>
                <w:sz w:val="21"/>
              </w:rPr>
            </w:pPr>
            <w:r>
              <w:rPr>
                <w:rFonts w:ascii="Times New Roman"/>
                <w:sz w:val="21"/>
              </w:rPr>
              <w:t>2103-410173-04-02-583605</w:t>
            </w:r>
          </w:p>
        </w:tc>
        <w:tc>
          <w:tcPr>
            <w:tcW w:w="2729" w:type="dxa"/>
          </w:tcPr>
          <w:p>
            <w:pPr>
              <w:pStyle w:val="TableParagraph"/>
              <w:spacing w:before="5"/>
              <w:rPr>
                <w:sz w:val="21"/>
              </w:rPr>
            </w:pPr>
          </w:p>
          <w:p>
            <w:pPr>
              <w:pStyle w:val="TableParagraph"/>
              <w:spacing w:before="1"/>
              <w:ind w:left="109"/>
              <w:rPr>
                <w:sz w:val="21"/>
              </w:rPr>
            </w:pPr>
            <w:r>
              <w:rPr>
                <w:sz w:val="21"/>
              </w:rPr>
              <w:t>郑港环告表</w:t>
            </w:r>
            <w:r>
              <w:rPr>
                <w:rFonts w:ascii="Times New Roman" w:eastAsia="Times New Roman"/>
                <w:position w:val="1"/>
                <w:sz w:val="21"/>
              </w:rPr>
              <w:t>[2021]1</w:t>
            </w:r>
            <w:r>
              <w:rPr>
                <w:rFonts w:ascii="Times New Roman" w:eastAsia="Times New Roman"/>
                <w:spacing w:val="-10"/>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165" w:right="160"/>
              <w:jc w:val="center"/>
              <w:rPr>
                <w:rFonts w:ascii="Times New Roman"/>
                <w:sz w:val="21"/>
              </w:rPr>
            </w:pPr>
            <w:r>
              <w:rPr>
                <w:rFonts w:ascii="Times New Roman"/>
                <w:sz w:val="21"/>
              </w:rPr>
              <w:t>32</w:t>
            </w:r>
          </w:p>
        </w:tc>
        <w:tc>
          <w:tcPr>
            <w:tcW w:w="2599" w:type="dxa"/>
          </w:tcPr>
          <w:p>
            <w:pPr>
              <w:pStyle w:val="TableParagraph"/>
              <w:spacing w:before="1"/>
              <w:ind w:left="106"/>
              <w:rPr>
                <w:sz w:val="21"/>
              </w:rPr>
            </w:pPr>
            <w:r>
              <w:rPr>
                <w:sz w:val="21"/>
              </w:rPr>
              <w:t>模治具加工及维修改造项</w:t>
            </w:r>
          </w:p>
          <w:p>
            <w:pPr>
              <w:pStyle w:val="TableParagraph"/>
              <w:spacing w:line="250" w:lineRule="exact" w:before="4"/>
              <w:ind w:left="106"/>
              <w:rPr>
                <w:sz w:val="21"/>
              </w:rPr>
            </w:pPr>
            <w:r>
              <w:rPr>
                <w:w w:val="100"/>
                <w:sz w:val="21"/>
              </w:rPr>
              <w:t>目</w:t>
            </w:r>
          </w:p>
        </w:tc>
        <w:tc>
          <w:tcPr>
            <w:tcW w:w="3000" w:type="dxa"/>
          </w:tcPr>
          <w:p>
            <w:pPr>
              <w:pStyle w:val="TableParagraph"/>
              <w:spacing w:before="144"/>
              <w:ind w:left="109"/>
              <w:rPr>
                <w:rFonts w:ascii="Times New Roman"/>
                <w:sz w:val="21"/>
              </w:rPr>
            </w:pPr>
            <w:r>
              <w:rPr>
                <w:rFonts w:ascii="Times New Roman"/>
                <w:sz w:val="21"/>
              </w:rPr>
              <w:t>2020-419001-35-03-000248</w:t>
            </w:r>
          </w:p>
        </w:tc>
        <w:tc>
          <w:tcPr>
            <w:tcW w:w="2729" w:type="dxa"/>
          </w:tcPr>
          <w:p>
            <w:pPr>
              <w:pStyle w:val="TableParagraph"/>
              <w:spacing w:before="138"/>
              <w:ind w:left="109"/>
              <w:rPr>
                <w:sz w:val="21"/>
              </w:rPr>
            </w:pPr>
            <w:r>
              <w:rPr>
                <w:sz w:val="21"/>
              </w:rPr>
              <w:t>济环评审</w:t>
            </w:r>
            <w:r>
              <w:rPr>
                <w:rFonts w:ascii="Times New Roman" w:eastAsia="Times New Roman"/>
                <w:position w:val="1"/>
                <w:sz w:val="21"/>
              </w:rPr>
              <w:t>[2020]239</w:t>
            </w:r>
            <w:r>
              <w:rPr>
                <w:rFonts w:ascii="Times New Roman" w:eastAsia="Times New Roman"/>
                <w:spacing w:val="-10"/>
                <w:position w:val="1"/>
                <w:sz w:val="21"/>
              </w:rPr>
              <w:t> </w:t>
            </w:r>
            <w:r>
              <w:rPr>
                <w:sz w:val="21"/>
              </w:rPr>
              <w:t>号</w:t>
            </w:r>
          </w:p>
        </w:tc>
      </w:tr>
      <w:tr>
        <w:trPr>
          <w:trHeight w:val="273" w:hRule="atLeast"/>
        </w:trPr>
        <w:tc>
          <w:tcPr>
            <w:tcW w:w="1150" w:type="dxa"/>
            <w:vMerge/>
            <w:tcBorders>
              <w:top w:val="nil"/>
            </w:tcBorders>
          </w:tcPr>
          <w:p>
            <w:pPr>
              <w:rPr>
                <w:sz w:val="2"/>
                <w:szCs w:val="2"/>
              </w:rPr>
            </w:pPr>
          </w:p>
        </w:tc>
        <w:tc>
          <w:tcPr>
            <w:tcW w:w="801" w:type="dxa"/>
          </w:tcPr>
          <w:p>
            <w:pPr>
              <w:pStyle w:val="TableParagraph"/>
              <w:spacing w:before="10"/>
              <w:ind w:left="165" w:right="160"/>
              <w:jc w:val="center"/>
              <w:rPr>
                <w:rFonts w:ascii="Times New Roman"/>
                <w:sz w:val="21"/>
              </w:rPr>
            </w:pPr>
            <w:r>
              <w:rPr>
                <w:rFonts w:ascii="Times New Roman"/>
                <w:sz w:val="21"/>
              </w:rPr>
              <w:t>33</w:t>
            </w:r>
          </w:p>
        </w:tc>
        <w:tc>
          <w:tcPr>
            <w:tcW w:w="2599" w:type="dxa"/>
          </w:tcPr>
          <w:p>
            <w:pPr>
              <w:pStyle w:val="TableParagraph"/>
              <w:spacing w:line="252" w:lineRule="exact" w:before="1"/>
              <w:ind w:left="106"/>
              <w:rPr>
                <w:sz w:val="21"/>
              </w:rPr>
            </w:pPr>
            <w:r>
              <w:rPr>
                <w:rFonts w:ascii="Times New Roman" w:eastAsia="Times New Roman"/>
                <w:position w:val="1"/>
                <w:sz w:val="21"/>
              </w:rPr>
              <w:t>5G</w:t>
            </w:r>
            <w:r>
              <w:rPr>
                <w:rFonts w:ascii="Times New Roman" w:eastAsia="Times New Roman"/>
                <w:spacing w:val="-11"/>
                <w:position w:val="1"/>
                <w:sz w:val="21"/>
              </w:rPr>
              <w:t> </w:t>
            </w:r>
            <w:r>
              <w:rPr>
                <w:sz w:val="21"/>
              </w:rPr>
              <w:t>手机机构件改建项目</w:t>
            </w:r>
          </w:p>
        </w:tc>
        <w:tc>
          <w:tcPr>
            <w:tcW w:w="3000" w:type="dxa"/>
          </w:tcPr>
          <w:p>
            <w:pPr>
              <w:pStyle w:val="TableParagraph"/>
              <w:spacing w:before="10"/>
              <w:ind w:left="109"/>
              <w:rPr>
                <w:rFonts w:ascii="Times New Roman"/>
                <w:sz w:val="21"/>
              </w:rPr>
            </w:pPr>
            <w:r>
              <w:rPr>
                <w:rFonts w:ascii="Times New Roman"/>
                <w:sz w:val="21"/>
              </w:rPr>
              <w:t>2107-419001-04-02-343555</w:t>
            </w:r>
          </w:p>
        </w:tc>
        <w:tc>
          <w:tcPr>
            <w:tcW w:w="2729" w:type="dxa"/>
          </w:tcPr>
          <w:p>
            <w:pPr>
              <w:pStyle w:val="TableParagraph"/>
              <w:spacing w:line="252" w:lineRule="exact" w:before="1"/>
              <w:ind w:left="109"/>
              <w:rPr>
                <w:sz w:val="21"/>
              </w:rPr>
            </w:pPr>
            <w:r>
              <w:rPr>
                <w:sz w:val="21"/>
              </w:rPr>
              <w:t>济环评审</w:t>
            </w:r>
            <w:r>
              <w:rPr>
                <w:rFonts w:ascii="Times New Roman" w:eastAsia="Times New Roman"/>
                <w:position w:val="1"/>
                <w:sz w:val="21"/>
              </w:rPr>
              <w:t>[2021]079</w:t>
            </w:r>
            <w:r>
              <w:rPr>
                <w:rFonts w:ascii="Times New Roman" w:eastAsia="Times New Roman"/>
                <w:spacing w:val="-10"/>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165" w:right="160"/>
              <w:jc w:val="center"/>
              <w:rPr>
                <w:rFonts w:ascii="Times New Roman"/>
                <w:sz w:val="21"/>
              </w:rPr>
            </w:pPr>
            <w:r>
              <w:rPr>
                <w:rFonts w:ascii="Times New Roman"/>
                <w:sz w:val="21"/>
              </w:rPr>
              <w:t>34</w:t>
            </w:r>
          </w:p>
        </w:tc>
        <w:tc>
          <w:tcPr>
            <w:tcW w:w="2599" w:type="dxa"/>
          </w:tcPr>
          <w:p>
            <w:pPr>
              <w:pStyle w:val="TableParagraph"/>
              <w:spacing w:before="1"/>
              <w:ind w:left="106"/>
              <w:rPr>
                <w:sz w:val="21"/>
              </w:rPr>
            </w:pPr>
            <w:r>
              <w:rPr>
                <w:sz w:val="21"/>
              </w:rPr>
              <w:t>刀具修磨、零件</w:t>
            </w:r>
            <w:r>
              <w:rPr>
                <w:rFonts w:ascii="Times New Roman" w:eastAsia="Times New Roman"/>
                <w:position w:val="1"/>
                <w:sz w:val="21"/>
              </w:rPr>
              <w:t>&amp;</w:t>
            </w:r>
            <w:r>
              <w:rPr>
                <w:sz w:val="21"/>
              </w:rPr>
              <w:t>治具加</w:t>
            </w:r>
          </w:p>
          <w:p>
            <w:pPr>
              <w:pStyle w:val="TableParagraph"/>
              <w:spacing w:line="252" w:lineRule="exact" w:before="2"/>
              <w:ind w:left="106"/>
              <w:rPr>
                <w:sz w:val="21"/>
              </w:rPr>
            </w:pPr>
            <w:r>
              <w:rPr>
                <w:sz w:val="21"/>
              </w:rPr>
              <w:t>工及托盘自制项目</w:t>
            </w:r>
          </w:p>
        </w:tc>
        <w:tc>
          <w:tcPr>
            <w:tcW w:w="3000" w:type="dxa"/>
          </w:tcPr>
          <w:p>
            <w:pPr>
              <w:pStyle w:val="TableParagraph"/>
              <w:spacing w:before="144"/>
              <w:ind w:left="109"/>
              <w:rPr>
                <w:rFonts w:ascii="Times New Roman"/>
                <w:sz w:val="21"/>
              </w:rPr>
            </w:pPr>
            <w:r>
              <w:rPr>
                <w:rFonts w:ascii="Times New Roman"/>
                <w:sz w:val="21"/>
              </w:rPr>
              <w:t>2020-419001-39-03-086754</w:t>
            </w:r>
          </w:p>
        </w:tc>
        <w:tc>
          <w:tcPr>
            <w:tcW w:w="2729" w:type="dxa"/>
          </w:tcPr>
          <w:p>
            <w:pPr>
              <w:pStyle w:val="TableParagraph"/>
              <w:spacing w:before="138"/>
              <w:ind w:left="109"/>
              <w:rPr>
                <w:sz w:val="21"/>
              </w:rPr>
            </w:pPr>
            <w:r>
              <w:rPr>
                <w:sz w:val="21"/>
              </w:rPr>
              <w:t>济环评审</w:t>
            </w:r>
            <w:r>
              <w:rPr>
                <w:rFonts w:ascii="Times New Roman" w:eastAsia="Times New Roman"/>
                <w:position w:val="1"/>
                <w:sz w:val="21"/>
              </w:rPr>
              <w:t>[2021]047</w:t>
            </w:r>
            <w:r>
              <w:rPr>
                <w:rFonts w:ascii="Times New Roman" w:eastAsia="Times New Roman"/>
                <w:spacing w:val="-10"/>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165" w:right="160"/>
              <w:jc w:val="center"/>
              <w:rPr>
                <w:rFonts w:ascii="Times New Roman"/>
                <w:sz w:val="21"/>
              </w:rPr>
            </w:pPr>
            <w:r>
              <w:rPr>
                <w:rFonts w:ascii="Times New Roman"/>
                <w:sz w:val="21"/>
              </w:rPr>
              <w:t>35</w:t>
            </w:r>
          </w:p>
        </w:tc>
        <w:tc>
          <w:tcPr>
            <w:tcW w:w="2599" w:type="dxa"/>
          </w:tcPr>
          <w:p>
            <w:pPr>
              <w:pStyle w:val="TableParagraph"/>
              <w:spacing w:before="1"/>
              <w:ind w:left="106"/>
              <w:rPr>
                <w:sz w:val="21"/>
              </w:rPr>
            </w:pPr>
            <w:r>
              <w:rPr>
                <w:sz w:val="21"/>
              </w:rPr>
              <w:t>高端手机机构件升级改造</w:t>
            </w:r>
          </w:p>
          <w:p>
            <w:pPr>
              <w:pStyle w:val="TableParagraph"/>
              <w:spacing w:line="250" w:lineRule="exact" w:before="4"/>
              <w:ind w:left="106"/>
              <w:rPr>
                <w:sz w:val="21"/>
              </w:rPr>
            </w:pPr>
            <w:r>
              <w:rPr>
                <w:sz w:val="21"/>
              </w:rPr>
              <w:t>智能制造项目</w:t>
            </w:r>
          </w:p>
        </w:tc>
        <w:tc>
          <w:tcPr>
            <w:tcW w:w="3000" w:type="dxa"/>
          </w:tcPr>
          <w:p>
            <w:pPr>
              <w:pStyle w:val="TableParagraph"/>
              <w:spacing w:before="144"/>
              <w:ind w:left="109"/>
              <w:rPr>
                <w:rFonts w:ascii="Times New Roman"/>
                <w:sz w:val="21"/>
              </w:rPr>
            </w:pPr>
            <w:r>
              <w:rPr>
                <w:rFonts w:ascii="Times New Roman"/>
                <w:sz w:val="21"/>
              </w:rPr>
              <w:t>2204-419001-04-02-457038</w:t>
            </w:r>
          </w:p>
        </w:tc>
        <w:tc>
          <w:tcPr>
            <w:tcW w:w="2729" w:type="dxa"/>
          </w:tcPr>
          <w:p>
            <w:pPr>
              <w:pStyle w:val="TableParagraph"/>
              <w:spacing w:before="137"/>
              <w:ind w:left="109"/>
              <w:rPr>
                <w:sz w:val="21"/>
              </w:rPr>
            </w:pPr>
            <w:r>
              <w:rPr>
                <w:sz w:val="21"/>
              </w:rPr>
              <w:t>济环评审</w:t>
            </w:r>
            <w:r>
              <w:rPr>
                <w:rFonts w:ascii="Times New Roman" w:eastAsia="Times New Roman"/>
                <w:position w:val="1"/>
                <w:sz w:val="21"/>
              </w:rPr>
              <w:t>[2022]54</w:t>
            </w:r>
            <w:r>
              <w:rPr>
                <w:rFonts w:ascii="Times New Roman" w:eastAsia="Times New Roman"/>
                <w:spacing w:val="-11"/>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165" w:right="160"/>
              <w:jc w:val="center"/>
              <w:rPr>
                <w:rFonts w:ascii="Times New Roman"/>
                <w:sz w:val="21"/>
              </w:rPr>
            </w:pPr>
            <w:r>
              <w:rPr>
                <w:rFonts w:ascii="Times New Roman"/>
                <w:sz w:val="21"/>
              </w:rPr>
              <w:t>36</w:t>
            </w:r>
          </w:p>
        </w:tc>
        <w:tc>
          <w:tcPr>
            <w:tcW w:w="2599" w:type="dxa"/>
          </w:tcPr>
          <w:p>
            <w:pPr>
              <w:pStyle w:val="TableParagraph"/>
              <w:spacing w:before="1"/>
              <w:ind w:left="106"/>
              <w:rPr>
                <w:sz w:val="21"/>
              </w:rPr>
            </w:pPr>
            <w:r>
              <w:rPr>
                <w:sz w:val="21"/>
              </w:rPr>
              <w:t>第五代智能手机构件生产</w:t>
            </w:r>
          </w:p>
          <w:p>
            <w:pPr>
              <w:pStyle w:val="TableParagraph"/>
              <w:spacing w:line="250" w:lineRule="exact" w:before="4"/>
              <w:ind w:left="106"/>
              <w:rPr>
                <w:sz w:val="21"/>
              </w:rPr>
            </w:pPr>
            <w:r>
              <w:rPr>
                <w:sz w:val="21"/>
              </w:rPr>
              <w:t>项目</w:t>
            </w:r>
          </w:p>
        </w:tc>
        <w:tc>
          <w:tcPr>
            <w:tcW w:w="3000" w:type="dxa"/>
          </w:tcPr>
          <w:p>
            <w:pPr>
              <w:pStyle w:val="TableParagraph"/>
              <w:spacing w:before="144"/>
              <w:ind w:left="109"/>
              <w:rPr>
                <w:rFonts w:ascii="Times New Roman"/>
                <w:sz w:val="21"/>
              </w:rPr>
            </w:pPr>
            <w:r>
              <w:rPr>
                <w:rFonts w:ascii="Times New Roman"/>
                <w:sz w:val="21"/>
              </w:rPr>
              <w:t>2020-140551-39-03-005371</w:t>
            </w:r>
          </w:p>
        </w:tc>
        <w:tc>
          <w:tcPr>
            <w:tcW w:w="2729" w:type="dxa"/>
          </w:tcPr>
          <w:p>
            <w:pPr>
              <w:pStyle w:val="TableParagraph"/>
              <w:spacing w:before="138"/>
              <w:ind w:left="109"/>
              <w:rPr>
                <w:sz w:val="21"/>
              </w:rPr>
            </w:pPr>
            <w:r>
              <w:rPr>
                <w:sz w:val="21"/>
              </w:rPr>
              <w:t>晋市开管审</w:t>
            </w:r>
            <w:r>
              <w:rPr>
                <w:rFonts w:ascii="Times New Roman" w:eastAsia="Times New Roman"/>
                <w:position w:val="1"/>
                <w:sz w:val="21"/>
              </w:rPr>
              <w:t>[2020]19</w:t>
            </w:r>
            <w:r>
              <w:rPr>
                <w:rFonts w:ascii="Times New Roman" w:eastAsia="Times New Roman"/>
                <w:spacing w:val="-12"/>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165" w:right="160"/>
              <w:jc w:val="center"/>
              <w:rPr>
                <w:rFonts w:ascii="Times New Roman"/>
                <w:sz w:val="21"/>
              </w:rPr>
            </w:pPr>
            <w:r>
              <w:rPr>
                <w:rFonts w:ascii="Times New Roman"/>
                <w:sz w:val="21"/>
              </w:rPr>
              <w:t>37</w:t>
            </w:r>
          </w:p>
        </w:tc>
        <w:tc>
          <w:tcPr>
            <w:tcW w:w="2599" w:type="dxa"/>
          </w:tcPr>
          <w:p>
            <w:pPr>
              <w:pStyle w:val="TableParagraph"/>
              <w:spacing w:before="1"/>
              <w:ind w:left="106"/>
              <w:rPr>
                <w:sz w:val="21"/>
              </w:rPr>
            </w:pPr>
            <w:r>
              <w:rPr>
                <w:rFonts w:ascii="Times New Roman" w:eastAsia="Times New Roman"/>
                <w:position w:val="1"/>
                <w:sz w:val="21"/>
              </w:rPr>
              <w:t>5G</w:t>
            </w:r>
            <w:r>
              <w:rPr>
                <w:rFonts w:ascii="Times New Roman" w:eastAsia="Times New Roman"/>
                <w:spacing w:val="-11"/>
                <w:position w:val="1"/>
                <w:sz w:val="21"/>
              </w:rPr>
              <w:t> </w:t>
            </w:r>
            <w:r>
              <w:rPr>
                <w:sz w:val="21"/>
              </w:rPr>
              <w:t>手机精密机构件生产</w:t>
            </w:r>
          </w:p>
          <w:p>
            <w:pPr>
              <w:pStyle w:val="TableParagraph"/>
              <w:spacing w:line="250" w:lineRule="exact" w:before="5"/>
              <w:ind w:left="106"/>
              <w:rPr>
                <w:sz w:val="21"/>
              </w:rPr>
            </w:pPr>
            <w:r>
              <w:rPr>
                <w:sz w:val="21"/>
              </w:rPr>
              <w:t>改扩建项目</w:t>
            </w:r>
          </w:p>
        </w:tc>
        <w:tc>
          <w:tcPr>
            <w:tcW w:w="3000" w:type="dxa"/>
          </w:tcPr>
          <w:p>
            <w:pPr>
              <w:pStyle w:val="TableParagraph"/>
              <w:spacing w:before="144"/>
              <w:ind w:left="109"/>
              <w:rPr>
                <w:rFonts w:ascii="Times New Roman"/>
                <w:sz w:val="21"/>
              </w:rPr>
            </w:pPr>
            <w:r>
              <w:rPr>
                <w:rFonts w:ascii="Times New Roman"/>
                <w:sz w:val="21"/>
              </w:rPr>
              <w:t>2201-410225-04-01-527980</w:t>
            </w:r>
          </w:p>
        </w:tc>
        <w:tc>
          <w:tcPr>
            <w:tcW w:w="2729" w:type="dxa"/>
          </w:tcPr>
          <w:p>
            <w:pPr>
              <w:pStyle w:val="TableParagraph"/>
              <w:spacing w:before="137"/>
              <w:ind w:left="109"/>
              <w:rPr>
                <w:sz w:val="21"/>
              </w:rPr>
            </w:pPr>
            <w:r>
              <w:rPr>
                <w:sz w:val="21"/>
              </w:rPr>
              <w:t>兰环监表</w:t>
            </w:r>
            <w:r>
              <w:rPr>
                <w:rFonts w:ascii="Times New Roman" w:eastAsia="Times New Roman"/>
                <w:position w:val="1"/>
                <w:sz w:val="21"/>
              </w:rPr>
              <w:t>[2022]027</w:t>
            </w:r>
            <w:r>
              <w:rPr>
                <w:rFonts w:ascii="Times New Roman" w:eastAsia="Times New Roman"/>
                <w:spacing w:val="-10"/>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7"/>
              <w:ind w:left="165" w:right="160"/>
              <w:jc w:val="center"/>
              <w:rPr>
                <w:rFonts w:ascii="Times New Roman"/>
                <w:sz w:val="21"/>
              </w:rPr>
            </w:pPr>
            <w:r>
              <w:rPr>
                <w:rFonts w:ascii="Times New Roman"/>
                <w:sz w:val="21"/>
              </w:rPr>
              <w:t>38</w:t>
            </w:r>
          </w:p>
        </w:tc>
        <w:tc>
          <w:tcPr>
            <w:tcW w:w="2599" w:type="dxa"/>
          </w:tcPr>
          <w:p>
            <w:pPr>
              <w:pStyle w:val="TableParagraph"/>
              <w:spacing w:before="1"/>
              <w:ind w:left="106"/>
              <w:rPr>
                <w:sz w:val="21"/>
              </w:rPr>
            </w:pPr>
            <w:r>
              <w:rPr>
                <w:sz w:val="21"/>
              </w:rPr>
              <w:t>智能手机精密机构件升级</w:t>
            </w:r>
          </w:p>
          <w:p>
            <w:pPr>
              <w:pStyle w:val="TableParagraph"/>
              <w:spacing w:line="250" w:lineRule="exact" w:before="4"/>
              <w:ind w:left="106"/>
              <w:rPr>
                <w:sz w:val="21"/>
              </w:rPr>
            </w:pPr>
            <w:r>
              <w:rPr>
                <w:sz w:val="21"/>
              </w:rPr>
              <w:t>改造项目</w:t>
            </w:r>
          </w:p>
        </w:tc>
        <w:tc>
          <w:tcPr>
            <w:tcW w:w="3000" w:type="dxa"/>
          </w:tcPr>
          <w:p>
            <w:pPr>
              <w:pStyle w:val="TableParagraph"/>
              <w:spacing w:before="138"/>
              <w:ind w:left="109"/>
              <w:rPr>
                <w:sz w:val="21"/>
              </w:rPr>
            </w:pPr>
            <w:r>
              <w:rPr>
                <w:sz w:val="21"/>
              </w:rPr>
              <w:t>晋综示审备案</w:t>
            </w:r>
            <w:r>
              <w:rPr>
                <w:rFonts w:ascii="Times New Roman" w:eastAsia="Times New Roman"/>
                <w:position w:val="1"/>
                <w:sz w:val="21"/>
              </w:rPr>
              <w:t>[2017]82</w:t>
            </w:r>
            <w:r>
              <w:rPr>
                <w:rFonts w:ascii="Times New Roman" w:eastAsia="Times New Roman"/>
                <w:spacing w:val="-12"/>
                <w:position w:val="1"/>
                <w:sz w:val="21"/>
              </w:rPr>
              <w:t> </w:t>
            </w:r>
            <w:r>
              <w:rPr>
                <w:sz w:val="21"/>
              </w:rPr>
              <w:t>号</w:t>
            </w:r>
          </w:p>
        </w:tc>
        <w:tc>
          <w:tcPr>
            <w:tcW w:w="2729" w:type="dxa"/>
          </w:tcPr>
          <w:p>
            <w:pPr>
              <w:pStyle w:val="TableParagraph"/>
              <w:spacing w:before="138"/>
              <w:ind w:left="109"/>
              <w:rPr>
                <w:sz w:val="21"/>
              </w:rPr>
            </w:pPr>
            <w:r>
              <w:rPr>
                <w:sz w:val="21"/>
              </w:rPr>
              <w:t>综改环审书</w:t>
            </w:r>
            <w:r>
              <w:rPr>
                <w:rFonts w:ascii="Times New Roman" w:eastAsia="Times New Roman"/>
                <w:position w:val="1"/>
                <w:sz w:val="21"/>
              </w:rPr>
              <w:t>[2017]002</w:t>
            </w:r>
            <w:r>
              <w:rPr>
                <w:rFonts w:ascii="Times New Roman" w:eastAsia="Times New Roman"/>
                <w:spacing w:val="-11"/>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7"/>
              <w:ind w:left="165" w:right="160"/>
              <w:jc w:val="center"/>
              <w:rPr>
                <w:rFonts w:ascii="Times New Roman"/>
                <w:sz w:val="21"/>
              </w:rPr>
            </w:pPr>
            <w:r>
              <w:rPr>
                <w:rFonts w:ascii="Times New Roman"/>
                <w:sz w:val="21"/>
              </w:rPr>
              <w:t>39</w:t>
            </w:r>
          </w:p>
        </w:tc>
        <w:tc>
          <w:tcPr>
            <w:tcW w:w="2599" w:type="dxa"/>
          </w:tcPr>
          <w:p>
            <w:pPr>
              <w:pStyle w:val="TableParagraph"/>
              <w:spacing w:line="270" w:lineRule="atLeast"/>
              <w:ind w:left="106" w:right="167"/>
              <w:rPr>
                <w:sz w:val="21"/>
              </w:rPr>
            </w:pPr>
            <w:r>
              <w:rPr>
                <w:spacing w:val="-1"/>
                <w:sz w:val="21"/>
              </w:rPr>
              <w:t>智能电子产品机构件加工</w:t>
            </w:r>
            <w:r>
              <w:rPr>
                <w:sz w:val="21"/>
              </w:rPr>
              <w:t>项目</w:t>
            </w:r>
          </w:p>
        </w:tc>
        <w:tc>
          <w:tcPr>
            <w:tcW w:w="3000" w:type="dxa"/>
          </w:tcPr>
          <w:p>
            <w:pPr>
              <w:pStyle w:val="TableParagraph"/>
              <w:spacing w:before="138"/>
              <w:ind w:left="109"/>
              <w:rPr>
                <w:sz w:val="21"/>
              </w:rPr>
            </w:pPr>
            <w:r>
              <w:rPr>
                <w:sz w:val="21"/>
              </w:rPr>
              <w:t>晋综示审备案</w:t>
            </w:r>
            <w:r>
              <w:rPr>
                <w:rFonts w:ascii="Times New Roman" w:eastAsia="Times New Roman"/>
                <w:position w:val="1"/>
                <w:sz w:val="21"/>
              </w:rPr>
              <w:t>[2017]6</w:t>
            </w:r>
            <w:r>
              <w:rPr>
                <w:rFonts w:ascii="Times New Roman" w:eastAsia="Times New Roman"/>
                <w:spacing w:val="-11"/>
                <w:position w:val="1"/>
                <w:sz w:val="21"/>
              </w:rPr>
              <w:t> </w:t>
            </w:r>
            <w:r>
              <w:rPr>
                <w:sz w:val="21"/>
              </w:rPr>
              <w:t>号</w:t>
            </w:r>
          </w:p>
        </w:tc>
        <w:tc>
          <w:tcPr>
            <w:tcW w:w="2729" w:type="dxa"/>
          </w:tcPr>
          <w:p>
            <w:pPr>
              <w:pStyle w:val="TableParagraph"/>
              <w:spacing w:before="138"/>
              <w:ind w:left="109"/>
              <w:rPr>
                <w:sz w:val="21"/>
              </w:rPr>
            </w:pPr>
            <w:r>
              <w:rPr>
                <w:sz w:val="21"/>
              </w:rPr>
              <w:t>综改环审书</w:t>
            </w:r>
            <w:r>
              <w:rPr>
                <w:rFonts w:ascii="Times New Roman" w:eastAsia="Times New Roman"/>
                <w:position w:val="1"/>
                <w:sz w:val="21"/>
              </w:rPr>
              <w:t>[2017]001</w:t>
            </w:r>
            <w:r>
              <w:rPr>
                <w:rFonts w:ascii="Times New Roman" w:eastAsia="Times New Roman"/>
                <w:spacing w:val="-11"/>
                <w:position w:val="1"/>
                <w:sz w:val="21"/>
              </w:rPr>
              <w:t> </w:t>
            </w:r>
            <w:r>
              <w:rPr>
                <w:sz w:val="21"/>
              </w:rPr>
              <w:t>号</w:t>
            </w:r>
          </w:p>
        </w:tc>
      </w:tr>
      <w:tr>
        <w:trPr>
          <w:trHeight w:val="546" w:hRule="atLeast"/>
        </w:trPr>
        <w:tc>
          <w:tcPr>
            <w:tcW w:w="1150" w:type="dxa"/>
            <w:vMerge/>
            <w:tcBorders>
              <w:top w:val="nil"/>
            </w:tcBorders>
          </w:tcPr>
          <w:p>
            <w:pPr>
              <w:rPr>
                <w:sz w:val="2"/>
                <w:szCs w:val="2"/>
              </w:rPr>
            </w:pPr>
          </w:p>
        </w:tc>
        <w:tc>
          <w:tcPr>
            <w:tcW w:w="801" w:type="dxa"/>
          </w:tcPr>
          <w:p>
            <w:pPr>
              <w:pStyle w:val="TableParagraph"/>
              <w:spacing w:before="147"/>
              <w:ind w:left="165" w:right="160"/>
              <w:jc w:val="center"/>
              <w:rPr>
                <w:rFonts w:ascii="Times New Roman"/>
                <w:sz w:val="21"/>
              </w:rPr>
            </w:pPr>
            <w:r>
              <w:rPr>
                <w:rFonts w:ascii="Times New Roman"/>
                <w:sz w:val="21"/>
              </w:rPr>
              <w:t>40</w:t>
            </w:r>
          </w:p>
        </w:tc>
        <w:tc>
          <w:tcPr>
            <w:tcW w:w="2599" w:type="dxa"/>
          </w:tcPr>
          <w:p>
            <w:pPr>
              <w:pStyle w:val="TableParagraph"/>
              <w:spacing w:line="270" w:lineRule="atLeast"/>
              <w:ind w:left="106" w:right="167"/>
              <w:rPr>
                <w:sz w:val="21"/>
              </w:rPr>
            </w:pPr>
            <w:r>
              <w:rPr>
                <w:spacing w:val="-1"/>
                <w:sz w:val="21"/>
              </w:rPr>
              <w:t>新一代智能手机机构件加</w:t>
            </w:r>
            <w:r>
              <w:rPr>
                <w:sz w:val="21"/>
              </w:rPr>
              <w:t>工项目</w:t>
            </w:r>
          </w:p>
        </w:tc>
        <w:tc>
          <w:tcPr>
            <w:tcW w:w="3000" w:type="dxa"/>
          </w:tcPr>
          <w:p>
            <w:pPr>
              <w:pStyle w:val="TableParagraph"/>
              <w:spacing w:before="147"/>
              <w:ind w:left="109"/>
              <w:rPr>
                <w:rFonts w:ascii="Times New Roman"/>
                <w:sz w:val="21"/>
              </w:rPr>
            </w:pPr>
            <w:r>
              <w:rPr>
                <w:rFonts w:ascii="Times New Roman"/>
                <w:sz w:val="21"/>
              </w:rPr>
              <w:t>2019-49</w:t>
            </w:r>
          </w:p>
        </w:tc>
        <w:tc>
          <w:tcPr>
            <w:tcW w:w="2729" w:type="dxa"/>
          </w:tcPr>
          <w:p>
            <w:pPr>
              <w:pStyle w:val="TableParagraph"/>
              <w:spacing w:before="138"/>
              <w:ind w:left="109"/>
              <w:rPr>
                <w:sz w:val="21"/>
              </w:rPr>
            </w:pPr>
            <w:r>
              <w:rPr>
                <w:sz w:val="21"/>
              </w:rPr>
              <w:t>晋综示环审表</w:t>
            </w:r>
            <w:r>
              <w:rPr>
                <w:rFonts w:ascii="Times New Roman" w:eastAsia="Times New Roman"/>
                <w:position w:val="1"/>
                <w:sz w:val="21"/>
              </w:rPr>
              <w:t>[2019]53</w:t>
            </w:r>
            <w:r>
              <w:rPr>
                <w:rFonts w:ascii="Times New Roman" w:eastAsia="Times New Roman"/>
                <w:spacing w:val="-12"/>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165" w:right="160"/>
              <w:jc w:val="center"/>
              <w:rPr>
                <w:rFonts w:ascii="Times New Roman"/>
                <w:sz w:val="21"/>
              </w:rPr>
            </w:pPr>
            <w:r>
              <w:rPr>
                <w:rFonts w:ascii="Times New Roman"/>
                <w:sz w:val="21"/>
              </w:rPr>
              <w:t>41</w:t>
            </w:r>
          </w:p>
        </w:tc>
        <w:tc>
          <w:tcPr>
            <w:tcW w:w="2599" w:type="dxa"/>
          </w:tcPr>
          <w:p>
            <w:pPr>
              <w:pStyle w:val="TableParagraph"/>
              <w:spacing w:before="1"/>
              <w:ind w:left="106"/>
              <w:rPr>
                <w:sz w:val="21"/>
              </w:rPr>
            </w:pPr>
            <w:r>
              <w:rPr>
                <w:sz w:val="21"/>
              </w:rPr>
              <w:t>智能电子产品机构件智能</w:t>
            </w:r>
          </w:p>
          <w:p>
            <w:pPr>
              <w:pStyle w:val="TableParagraph"/>
              <w:spacing w:line="252" w:lineRule="exact" w:before="2"/>
              <w:ind w:left="106"/>
              <w:rPr>
                <w:sz w:val="21"/>
              </w:rPr>
            </w:pPr>
            <w:r>
              <w:rPr>
                <w:sz w:val="21"/>
              </w:rPr>
              <w:t>制造项目</w:t>
            </w:r>
          </w:p>
        </w:tc>
        <w:tc>
          <w:tcPr>
            <w:tcW w:w="3000" w:type="dxa"/>
          </w:tcPr>
          <w:p>
            <w:pPr>
              <w:pStyle w:val="TableParagraph"/>
              <w:spacing w:before="144"/>
              <w:ind w:left="109"/>
              <w:rPr>
                <w:rFonts w:ascii="Times New Roman"/>
                <w:sz w:val="21"/>
              </w:rPr>
            </w:pPr>
            <w:r>
              <w:rPr>
                <w:rFonts w:ascii="Times New Roman"/>
                <w:sz w:val="21"/>
              </w:rPr>
              <w:t>2103-140171-89-02-822682</w:t>
            </w:r>
          </w:p>
        </w:tc>
        <w:tc>
          <w:tcPr>
            <w:tcW w:w="2729" w:type="dxa"/>
          </w:tcPr>
          <w:p>
            <w:pPr>
              <w:pStyle w:val="TableParagraph"/>
              <w:spacing w:before="137"/>
              <w:ind w:left="109"/>
              <w:rPr>
                <w:sz w:val="21"/>
              </w:rPr>
            </w:pPr>
            <w:r>
              <w:rPr>
                <w:sz w:val="21"/>
              </w:rPr>
              <w:t>晋综示行审环评</w:t>
            </w:r>
            <w:r>
              <w:rPr>
                <w:rFonts w:ascii="Times New Roman" w:eastAsia="Times New Roman"/>
                <w:position w:val="1"/>
                <w:sz w:val="21"/>
              </w:rPr>
              <w:t>[2021]17</w:t>
            </w:r>
            <w:r>
              <w:rPr>
                <w:rFonts w:ascii="Times New Roman" w:eastAsia="Times New Roman"/>
                <w:spacing w:val="-13"/>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165" w:right="160"/>
              <w:jc w:val="center"/>
              <w:rPr>
                <w:rFonts w:ascii="Times New Roman"/>
                <w:sz w:val="21"/>
              </w:rPr>
            </w:pPr>
            <w:r>
              <w:rPr>
                <w:rFonts w:ascii="Times New Roman"/>
                <w:sz w:val="21"/>
              </w:rPr>
              <w:t>42</w:t>
            </w:r>
          </w:p>
        </w:tc>
        <w:tc>
          <w:tcPr>
            <w:tcW w:w="2599" w:type="dxa"/>
          </w:tcPr>
          <w:p>
            <w:pPr>
              <w:pStyle w:val="TableParagraph"/>
              <w:spacing w:before="1"/>
              <w:ind w:left="106"/>
              <w:rPr>
                <w:sz w:val="21"/>
              </w:rPr>
            </w:pPr>
            <w:r>
              <w:rPr>
                <w:sz w:val="21"/>
              </w:rPr>
              <w:t>智能电子产品机构件生产</w:t>
            </w:r>
          </w:p>
          <w:p>
            <w:pPr>
              <w:pStyle w:val="TableParagraph"/>
              <w:spacing w:line="252" w:lineRule="exact" w:before="2"/>
              <w:ind w:left="106"/>
              <w:rPr>
                <w:sz w:val="21"/>
              </w:rPr>
            </w:pPr>
            <w:r>
              <w:rPr>
                <w:sz w:val="21"/>
              </w:rPr>
              <w:t>项目</w:t>
            </w:r>
          </w:p>
        </w:tc>
        <w:tc>
          <w:tcPr>
            <w:tcW w:w="3000" w:type="dxa"/>
          </w:tcPr>
          <w:p>
            <w:pPr>
              <w:pStyle w:val="TableParagraph"/>
              <w:spacing w:before="144"/>
              <w:ind w:left="109"/>
              <w:rPr>
                <w:rFonts w:ascii="Times New Roman"/>
                <w:sz w:val="21"/>
              </w:rPr>
            </w:pPr>
            <w:r>
              <w:rPr>
                <w:rFonts w:ascii="Times New Roman"/>
                <w:sz w:val="21"/>
              </w:rPr>
              <w:t>2203-140171-89-02-882047</w:t>
            </w:r>
          </w:p>
        </w:tc>
        <w:tc>
          <w:tcPr>
            <w:tcW w:w="2729" w:type="dxa"/>
          </w:tcPr>
          <w:p>
            <w:pPr>
              <w:pStyle w:val="TableParagraph"/>
              <w:spacing w:before="138"/>
              <w:ind w:left="109"/>
              <w:rPr>
                <w:sz w:val="21"/>
              </w:rPr>
            </w:pPr>
            <w:r>
              <w:rPr>
                <w:sz w:val="21"/>
              </w:rPr>
              <w:t>晋综示行审环评</w:t>
            </w:r>
            <w:r>
              <w:rPr>
                <w:rFonts w:ascii="Times New Roman" w:eastAsia="Times New Roman"/>
                <w:position w:val="1"/>
                <w:sz w:val="21"/>
              </w:rPr>
              <w:t>[2022]35</w:t>
            </w:r>
            <w:r>
              <w:rPr>
                <w:rFonts w:ascii="Times New Roman" w:eastAsia="Times New Roman"/>
                <w:spacing w:val="-13"/>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165" w:right="160"/>
              <w:jc w:val="center"/>
              <w:rPr>
                <w:rFonts w:ascii="Times New Roman"/>
                <w:sz w:val="21"/>
              </w:rPr>
            </w:pPr>
            <w:r>
              <w:rPr>
                <w:rFonts w:ascii="Times New Roman"/>
                <w:sz w:val="21"/>
              </w:rPr>
              <w:t>43</w:t>
            </w:r>
          </w:p>
        </w:tc>
        <w:tc>
          <w:tcPr>
            <w:tcW w:w="2599" w:type="dxa"/>
          </w:tcPr>
          <w:p>
            <w:pPr>
              <w:pStyle w:val="TableParagraph"/>
              <w:spacing w:before="1"/>
              <w:ind w:left="106"/>
              <w:rPr>
                <w:sz w:val="21"/>
              </w:rPr>
            </w:pPr>
            <w:r>
              <w:rPr>
                <w:sz w:val="21"/>
              </w:rPr>
              <w:t>智能手机精密机构件制造</w:t>
            </w:r>
          </w:p>
          <w:p>
            <w:pPr>
              <w:pStyle w:val="TableParagraph"/>
              <w:spacing w:line="252" w:lineRule="exact" w:before="2"/>
              <w:ind w:left="106"/>
              <w:rPr>
                <w:sz w:val="21"/>
              </w:rPr>
            </w:pPr>
            <w:r>
              <w:rPr>
                <w:sz w:val="21"/>
              </w:rPr>
              <w:t>项目</w:t>
            </w:r>
          </w:p>
        </w:tc>
        <w:tc>
          <w:tcPr>
            <w:tcW w:w="3000" w:type="dxa"/>
          </w:tcPr>
          <w:p>
            <w:pPr>
              <w:pStyle w:val="TableParagraph"/>
              <w:spacing w:before="144"/>
              <w:ind w:left="109"/>
              <w:rPr>
                <w:rFonts w:ascii="Times New Roman"/>
                <w:sz w:val="21"/>
              </w:rPr>
            </w:pPr>
            <w:r>
              <w:rPr>
                <w:rFonts w:ascii="Times New Roman"/>
                <w:sz w:val="21"/>
              </w:rPr>
              <w:t>2020-430406-39-03-038127</w:t>
            </w:r>
          </w:p>
        </w:tc>
        <w:tc>
          <w:tcPr>
            <w:tcW w:w="2729" w:type="dxa"/>
          </w:tcPr>
          <w:p>
            <w:pPr>
              <w:pStyle w:val="TableParagraph"/>
              <w:spacing w:before="138"/>
              <w:ind w:left="109"/>
              <w:rPr>
                <w:sz w:val="21"/>
              </w:rPr>
            </w:pPr>
            <w:r>
              <w:rPr>
                <w:sz w:val="21"/>
              </w:rPr>
              <w:t>衡白备案</w:t>
            </w:r>
            <w:r>
              <w:rPr>
                <w:rFonts w:ascii="Times New Roman" w:eastAsia="Times New Roman"/>
                <w:position w:val="1"/>
                <w:sz w:val="21"/>
              </w:rPr>
              <w:t>[2020]54</w:t>
            </w:r>
            <w:r>
              <w:rPr>
                <w:rFonts w:ascii="Times New Roman" w:eastAsia="Times New Roman"/>
                <w:spacing w:val="-11"/>
                <w:position w:val="1"/>
                <w:sz w:val="21"/>
              </w:rPr>
              <w:t> </w:t>
            </w:r>
            <w:r>
              <w:rPr>
                <w:sz w:val="21"/>
              </w:rPr>
              <w:t>号</w:t>
            </w:r>
          </w:p>
        </w:tc>
      </w:tr>
      <w:tr>
        <w:trPr>
          <w:trHeight w:val="544" w:hRule="atLeast"/>
        </w:trPr>
        <w:tc>
          <w:tcPr>
            <w:tcW w:w="1150"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3"/>
              <w:rPr>
                <w:sz w:val="24"/>
              </w:rPr>
            </w:pPr>
          </w:p>
          <w:p>
            <w:pPr>
              <w:pStyle w:val="TableParagraph"/>
              <w:spacing w:line="244" w:lineRule="auto"/>
              <w:ind w:left="107" w:right="187"/>
              <w:rPr>
                <w:sz w:val="21"/>
              </w:rPr>
            </w:pPr>
            <w:r>
              <w:rPr>
                <w:spacing w:val="-1"/>
                <w:sz w:val="21"/>
              </w:rPr>
              <w:t>智能制造产能扩建</w:t>
            </w:r>
          </w:p>
        </w:tc>
        <w:tc>
          <w:tcPr>
            <w:tcW w:w="801" w:type="dxa"/>
          </w:tcPr>
          <w:p>
            <w:pPr>
              <w:pStyle w:val="TableParagraph"/>
              <w:spacing w:before="145"/>
              <w:ind w:left="165" w:right="160"/>
              <w:jc w:val="center"/>
              <w:rPr>
                <w:rFonts w:ascii="Times New Roman"/>
                <w:sz w:val="21"/>
              </w:rPr>
            </w:pPr>
            <w:r>
              <w:rPr>
                <w:rFonts w:ascii="Times New Roman"/>
                <w:sz w:val="21"/>
              </w:rPr>
              <w:t>44</w:t>
            </w:r>
          </w:p>
        </w:tc>
        <w:tc>
          <w:tcPr>
            <w:tcW w:w="2599" w:type="dxa"/>
          </w:tcPr>
          <w:p>
            <w:pPr>
              <w:pStyle w:val="TableParagraph"/>
              <w:spacing w:before="1"/>
              <w:ind w:left="106"/>
              <w:rPr>
                <w:sz w:val="21"/>
              </w:rPr>
            </w:pPr>
            <w:r>
              <w:rPr>
                <w:sz w:val="21"/>
              </w:rPr>
              <w:t>数字移动通讯设备机构件</w:t>
            </w:r>
          </w:p>
          <w:p>
            <w:pPr>
              <w:pStyle w:val="TableParagraph"/>
              <w:spacing w:line="250" w:lineRule="exact" w:before="5"/>
              <w:ind w:left="106"/>
              <w:rPr>
                <w:sz w:val="21"/>
              </w:rPr>
            </w:pPr>
            <w:r>
              <w:rPr>
                <w:sz w:val="21"/>
              </w:rPr>
              <w:t>加工项目</w:t>
            </w:r>
          </w:p>
        </w:tc>
        <w:tc>
          <w:tcPr>
            <w:tcW w:w="3000" w:type="dxa"/>
          </w:tcPr>
          <w:p>
            <w:pPr>
              <w:pStyle w:val="TableParagraph"/>
              <w:spacing w:before="145"/>
              <w:ind w:left="109"/>
              <w:rPr>
                <w:rFonts w:ascii="Times New Roman"/>
                <w:sz w:val="21"/>
              </w:rPr>
            </w:pPr>
            <w:r>
              <w:rPr>
                <w:rFonts w:ascii="Times New Roman"/>
                <w:sz w:val="21"/>
              </w:rPr>
              <w:t>2018-410651-39-03-000545</w:t>
            </w:r>
          </w:p>
        </w:tc>
        <w:tc>
          <w:tcPr>
            <w:tcW w:w="2729" w:type="dxa"/>
          </w:tcPr>
          <w:p>
            <w:pPr>
              <w:pStyle w:val="TableParagraph"/>
              <w:spacing w:before="138"/>
              <w:ind w:left="109"/>
              <w:rPr>
                <w:sz w:val="21"/>
              </w:rPr>
            </w:pPr>
            <w:r>
              <w:rPr>
                <w:sz w:val="21"/>
              </w:rPr>
              <w:t>鹤环审</w:t>
            </w:r>
            <w:r>
              <w:rPr>
                <w:rFonts w:ascii="Times New Roman" w:eastAsia="Times New Roman"/>
                <w:position w:val="1"/>
                <w:sz w:val="21"/>
              </w:rPr>
              <w:t>[2019]4</w:t>
            </w:r>
            <w:r>
              <w:rPr>
                <w:rFonts w:ascii="Times New Roman" w:eastAsia="Times New Roman"/>
                <w:spacing w:val="-10"/>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165" w:right="160"/>
              <w:jc w:val="center"/>
              <w:rPr>
                <w:rFonts w:ascii="Times New Roman"/>
                <w:sz w:val="21"/>
              </w:rPr>
            </w:pPr>
            <w:r>
              <w:rPr>
                <w:rFonts w:ascii="Times New Roman"/>
                <w:sz w:val="21"/>
              </w:rPr>
              <w:t>45</w:t>
            </w:r>
          </w:p>
        </w:tc>
        <w:tc>
          <w:tcPr>
            <w:tcW w:w="2599" w:type="dxa"/>
          </w:tcPr>
          <w:p>
            <w:pPr>
              <w:pStyle w:val="TableParagraph"/>
              <w:spacing w:before="1"/>
              <w:ind w:left="106"/>
              <w:rPr>
                <w:sz w:val="21"/>
              </w:rPr>
            </w:pPr>
            <w:r>
              <w:rPr>
                <w:sz w:val="21"/>
              </w:rPr>
              <w:t>数字移动通讯设备机构件</w:t>
            </w:r>
          </w:p>
          <w:p>
            <w:pPr>
              <w:pStyle w:val="TableParagraph"/>
              <w:spacing w:line="250" w:lineRule="exact" w:before="4"/>
              <w:ind w:left="106"/>
              <w:rPr>
                <w:rFonts w:ascii="Times New Roman" w:eastAsia="Times New Roman"/>
                <w:sz w:val="21"/>
              </w:rPr>
            </w:pPr>
            <w:r>
              <w:rPr>
                <w:sz w:val="21"/>
              </w:rPr>
              <w:t>加工项目</w:t>
            </w:r>
            <w:r>
              <w:rPr>
                <w:rFonts w:ascii="Times New Roman" w:eastAsia="Times New Roman"/>
                <w:position w:val="1"/>
                <w:sz w:val="21"/>
              </w:rPr>
              <w:t>(</w:t>
            </w:r>
            <w:r>
              <w:rPr>
                <w:sz w:val="21"/>
              </w:rPr>
              <w:t>二期</w:t>
            </w:r>
            <w:r>
              <w:rPr>
                <w:rFonts w:ascii="Times New Roman" w:eastAsia="Times New Roman"/>
                <w:position w:val="1"/>
                <w:sz w:val="21"/>
              </w:rPr>
              <w:t>)</w:t>
            </w:r>
          </w:p>
        </w:tc>
        <w:tc>
          <w:tcPr>
            <w:tcW w:w="3000" w:type="dxa"/>
          </w:tcPr>
          <w:p>
            <w:pPr>
              <w:pStyle w:val="TableParagraph"/>
              <w:spacing w:before="144"/>
              <w:ind w:left="109"/>
              <w:rPr>
                <w:rFonts w:ascii="Times New Roman"/>
                <w:sz w:val="21"/>
              </w:rPr>
            </w:pPr>
            <w:r>
              <w:rPr>
                <w:rFonts w:ascii="Times New Roman"/>
                <w:sz w:val="21"/>
              </w:rPr>
              <w:t>2018-410651-39-03-002410</w:t>
            </w:r>
          </w:p>
        </w:tc>
        <w:tc>
          <w:tcPr>
            <w:tcW w:w="2729" w:type="dxa"/>
          </w:tcPr>
          <w:p>
            <w:pPr>
              <w:pStyle w:val="TableParagraph"/>
              <w:spacing w:before="137"/>
              <w:ind w:left="109"/>
              <w:rPr>
                <w:sz w:val="21"/>
              </w:rPr>
            </w:pPr>
            <w:r>
              <w:rPr>
                <w:sz w:val="21"/>
              </w:rPr>
              <w:t>鹤环监表</w:t>
            </w:r>
            <w:r>
              <w:rPr>
                <w:rFonts w:ascii="Times New Roman" w:eastAsia="Times New Roman"/>
                <w:position w:val="1"/>
                <w:sz w:val="21"/>
              </w:rPr>
              <w:t>[2018]009</w:t>
            </w:r>
            <w:r>
              <w:rPr>
                <w:rFonts w:ascii="Times New Roman" w:eastAsia="Times New Roman"/>
                <w:spacing w:val="-10"/>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7"/>
              <w:ind w:left="165" w:right="160"/>
              <w:jc w:val="center"/>
              <w:rPr>
                <w:rFonts w:ascii="Times New Roman"/>
                <w:sz w:val="21"/>
              </w:rPr>
            </w:pPr>
            <w:r>
              <w:rPr>
                <w:rFonts w:ascii="Times New Roman"/>
                <w:sz w:val="21"/>
              </w:rPr>
              <w:t>46</w:t>
            </w:r>
          </w:p>
        </w:tc>
        <w:tc>
          <w:tcPr>
            <w:tcW w:w="2599" w:type="dxa"/>
          </w:tcPr>
          <w:p>
            <w:pPr>
              <w:pStyle w:val="TableParagraph"/>
              <w:spacing w:before="1"/>
              <w:ind w:left="106"/>
              <w:rPr>
                <w:sz w:val="21"/>
              </w:rPr>
            </w:pPr>
            <w:r>
              <w:rPr>
                <w:sz w:val="21"/>
              </w:rPr>
              <w:t>数字移动通讯设备机构件</w:t>
            </w:r>
          </w:p>
          <w:p>
            <w:pPr>
              <w:pStyle w:val="TableParagraph"/>
              <w:spacing w:line="250" w:lineRule="exact" w:before="4"/>
              <w:ind w:left="106"/>
              <w:rPr>
                <w:sz w:val="21"/>
              </w:rPr>
            </w:pPr>
            <w:r>
              <w:rPr>
                <w:sz w:val="21"/>
              </w:rPr>
              <w:t>加工改扩建项目</w:t>
            </w:r>
          </w:p>
        </w:tc>
        <w:tc>
          <w:tcPr>
            <w:tcW w:w="3000" w:type="dxa"/>
          </w:tcPr>
          <w:p>
            <w:pPr>
              <w:pStyle w:val="TableParagraph"/>
              <w:spacing w:before="147"/>
              <w:ind w:left="109"/>
              <w:rPr>
                <w:rFonts w:ascii="Times New Roman"/>
                <w:sz w:val="21"/>
              </w:rPr>
            </w:pPr>
            <w:r>
              <w:rPr>
                <w:rFonts w:ascii="Times New Roman"/>
                <w:sz w:val="21"/>
              </w:rPr>
              <w:t>2020-410651-39-03-026795</w:t>
            </w:r>
          </w:p>
        </w:tc>
        <w:tc>
          <w:tcPr>
            <w:tcW w:w="2729" w:type="dxa"/>
          </w:tcPr>
          <w:p>
            <w:pPr>
              <w:pStyle w:val="TableParagraph"/>
              <w:spacing w:before="137"/>
              <w:ind w:left="109"/>
              <w:rPr>
                <w:sz w:val="21"/>
              </w:rPr>
            </w:pPr>
            <w:r>
              <w:rPr>
                <w:sz w:val="21"/>
              </w:rPr>
              <w:t>鹤环监表</w:t>
            </w:r>
            <w:r>
              <w:rPr>
                <w:rFonts w:ascii="Times New Roman" w:eastAsia="Times New Roman"/>
                <w:position w:val="1"/>
                <w:sz w:val="21"/>
              </w:rPr>
              <w:t>[2020]139</w:t>
            </w:r>
            <w:r>
              <w:rPr>
                <w:rFonts w:ascii="Times New Roman" w:eastAsia="Times New Roman"/>
                <w:spacing w:val="-10"/>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7"/>
              <w:ind w:left="165" w:right="160"/>
              <w:jc w:val="center"/>
              <w:rPr>
                <w:rFonts w:ascii="Times New Roman"/>
                <w:sz w:val="21"/>
              </w:rPr>
            </w:pPr>
            <w:r>
              <w:rPr>
                <w:rFonts w:ascii="Times New Roman"/>
                <w:sz w:val="21"/>
              </w:rPr>
              <w:t>47</w:t>
            </w:r>
          </w:p>
        </w:tc>
        <w:tc>
          <w:tcPr>
            <w:tcW w:w="2599" w:type="dxa"/>
          </w:tcPr>
          <w:p>
            <w:pPr>
              <w:pStyle w:val="TableParagraph"/>
              <w:spacing w:line="270" w:lineRule="atLeast"/>
              <w:ind w:left="106" w:right="167"/>
              <w:rPr>
                <w:sz w:val="21"/>
              </w:rPr>
            </w:pPr>
            <w:r>
              <w:rPr>
                <w:spacing w:val="-1"/>
                <w:sz w:val="21"/>
              </w:rPr>
              <w:t>数字移动通讯设备机构件及耳机小件加工改建项目</w:t>
            </w:r>
          </w:p>
        </w:tc>
        <w:tc>
          <w:tcPr>
            <w:tcW w:w="3000" w:type="dxa"/>
          </w:tcPr>
          <w:p>
            <w:pPr>
              <w:pStyle w:val="TableParagraph"/>
              <w:spacing w:before="147"/>
              <w:ind w:left="109"/>
              <w:rPr>
                <w:rFonts w:ascii="Times New Roman"/>
                <w:sz w:val="21"/>
              </w:rPr>
            </w:pPr>
            <w:r>
              <w:rPr>
                <w:rFonts w:ascii="Times New Roman"/>
                <w:sz w:val="21"/>
              </w:rPr>
              <w:t>2106-410651-04-02-458347</w:t>
            </w:r>
          </w:p>
        </w:tc>
        <w:tc>
          <w:tcPr>
            <w:tcW w:w="2729" w:type="dxa"/>
          </w:tcPr>
          <w:p>
            <w:pPr>
              <w:pStyle w:val="TableParagraph"/>
              <w:spacing w:before="138"/>
              <w:ind w:left="109"/>
              <w:rPr>
                <w:sz w:val="21"/>
              </w:rPr>
            </w:pPr>
            <w:r>
              <w:rPr>
                <w:sz w:val="21"/>
              </w:rPr>
              <w:t>鹤环监表</w:t>
            </w:r>
            <w:r>
              <w:rPr>
                <w:rFonts w:ascii="Times New Roman" w:eastAsia="Times New Roman"/>
                <w:position w:val="1"/>
                <w:sz w:val="21"/>
              </w:rPr>
              <w:t>[2021]46</w:t>
            </w:r>
            <w:r>
              <w:rPr>
                <w:rFonts w:ascii="Times New Roman" w:eastAsia="Times New Roman"/>
                <w:spacing w:val="-11"/>
                <w:position w:val="1"/>
                <w:sz w:val="21"/>
              </w:rPr>
              <w:t> </w:t>
            </w:r>
            <w:r>
              <w:rPr>
                <w:sz w:val="21"/>
              </w:rPr>
              <w:t>号</w:t>
            </w:r>
          </w:p>
        </w:tc>
      </w:tr>
      <w:tr>
        <w:trPr>
          <w:trHeight w:val="817" w:hRule="atLeast"/>
        </w:trPr>
        <w:tc>
          <w:tcPr>
            <w:tcW w:w="1150" w:type="dxa"/>
            <w:vMerge/>
            <w:tcBorders>
              <w:top w:val="nil"/>
            </w:tcBorders>
          </w:tcPr>
          <w:p>
            <w:pPr>
              <w:rPr>
                <w:sz w:val="2"/>
                <w:szCs w:val="2"/>
              </w:rPr>
            </w:pPr>
          </w:p>
        </w:tc>
        <w:tc>
          <w:tcPr>
            <w:tcW w:w="801" w:type="dxa"/>
          </w:tcPr>
          <w:p>
            <w:pPr>
              <w:pStyle w:val="TableParagraph"/>
              <w:spacing w:before="1"/>
              <w:rPr>
                <w:sz w:val="22"/>
              </w:rPr>
            </w:pPr>
          </w:p>
          <w:p>
            <w:pPr>
              <w:pStyle w:val="TableParagraph"/>
              <w:spacing w:before="1"/>
              <w:ind w:left="165" w:right="160"/>
              <w:jc w:val="center"/>
              <w:rPr>
                <w:rFonts w:ascii="Times New Roman"/>
                <w:sz w:val="21"/>
              </w:rPr>
            </w:pPr>
            <w:r>
              <w:rPr>
                <w:rFonts w:ascii="Times New Roman"/>
                <w:sz w:val="21"/>
              </w:rPr>
              <w:t>48</w:t>
            </w:r>
          </w:p>
        </w:tc>
        <w:tc>
          <w:tcPr>
            <w:tcW w:w="2599" w:type="dxa"/>
          </w:tcPr>
          <w:p>
            <w:pPr>
              <w:pStyle w:val="TableParagraph"/>
              <w:spacing w:line="242" w:lineRule="auto" w:before="3"/>
              <w:ind w:left="106" w:right="167"/>
              <w:rPr>
                <w:sz w:val="21"/>
              </w:rPr>
            </w:pPr>
            <w:r>
              <w:rPr>
                <w:spacing w:val="-6"/>
                <w:sz w:val="21"/>
              </w:rPr>
              <w:t>数字移动通讯设备 </w:t>
            </w:r>
            <w:r>
              <w:rPr>
                <w:rFonts w:ascii="Times New Roman" w:eastAsia="Times New Roman"/>
                <w:position w:val="1"/>
                <w:sz w:val="21"/>
              </w:rPr>
              <w:t>5G</w:t>
            </w:r>
            <w:r>
              <w:rPr>
                <w:rFonts w:ascii="Times New Roman" w:eastAsia="Times New Roman"/>
                <w:spacing w:val="-11"/>
                <w:position w:val="1"/>
                <w:sz w:val="21"/>
              </w:rPr>
              <w:t> </w:t>
            </w:r>
            <w:r>
              <w:rPr>
                <w:sz w:val="21"/>
              </w:rPr>
              <w:t>智</w:t>
            </w:r>
            <w:r>
              <w:rPr>
                <w:spacing w:val="-1"/>
                <w:sz w:val="21"/>
              </w:rPr>
              <w:t>能手机零部件及耳机小件</w:t>
            </w:r>
          </w:p>
          <w:p>
            <w:pPr>
              <w:pStyle w:val="TableParagraph"/>
              <w:spacing w:line="250" w:lineRule="exact" w:before="1"/>
              <w:ind w:left="106"/>
              <w:rPr>
                <w:sz w:val="21"/>
              </w:rPr>
            </w:pPr>
            <w:r>
              <w:rPr>
                <w:sz w:val="21"/>
              </w:rPr>
              <w:t>加工改建项目</w:t>
            </w:r>
          </w:p>
        </w:tc>
        <w:tc>
          <w:tcPr>
            <w:tcW w:w="3000" w:type="dxa"/>
          </w:tcPr>
          <w:p>
            <w:pPr>
              <w:pStyle w:val="TableParagraph"/>
              <w:spacing w:before="1"/>
              <w:rPr>
                <w:sz w:val="22"/>
              </w:rPr>
            </w:pPr>
          </w:p>
          <w:p>
            <w:pPr>
              <w:pStyle w:val="TableParagraph"/>
              <w:spacing w:before="1"/>
              <w:ind w:left="109"/>
              <w:rPr>
                <w:rFonts w:ascii="Times New Roman"/>
                <w:sz w:val="21"/>
              </w:rPr>
            </w:pPr>
            <w:r>
              <w:rPr>
                <w:rFonts w:ascii="Times New Roman"/>
                <w:sz w:val="21"/>
              </w:rPr>
              <w:t>2203-410651-04-02-841174</w:t>
            </w:r>
          </w:p>
        </w:tc>
        <w:tc>
          <w:tcPr>
            <w:tcW w:w="2729" w:type="dxa"/>
          </w:tcPr>
          <w:p>
            <w:pPr>
              <w:pStyle w:val="TableParagraph"/>
              <w:spacing w:before="5"/>
              <w:rPr>
                <w:sz w:val="21"/>
              </w:rPr>
            </w:pPr>
          </w:p>
          <w:p>
            <w:pPr>
              <w:pStyle w:val="TableParagraph"/>
              <w:ind w:left="109"/>
              <w:rPr>
                <w:sz w:val="21"/>
              </w:rPr>
            </w:pPr>
            <w:r>
              <w:rPr>
                <w:sz w:val="21"/>
              </w:rPr>
              <w:t>鹤环监表</w:t>
            </w:r>
            <w:r>
              <w:rPr>
                <w:rFonts w:ascii="Times New Roman" w:eastAsia="Times New Roman"/>
                <w:position w:val="1"/>
                <w:sz w:val="21"/>
              </w:rPr>
              <w:t>[2022]018</w:t>
            </w:r>
            <w:r>
              <w:rPr>
                <w:rFonts w:ascii="Times New Roman" w:eastAsia="Times New Roman"/>
                <w:spacing w:val="-10"/>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165" w:right="160"/>
              <w:jc w:val="center"/>
              <w:rPr>
                <w:rFonts w:ascii="Times New Roman"/>
                <w:sz w:val="21"/>
              </w:rPr>
            </w:pPr>
            <w:r>
              <w:rPr>
                <w:rFonts w:ascii="Times New Roman"/>
                <w:sz w:val="21"/>
              </w:rPr>
              <w:t>49</w:t>
            </w:r>
          </w:p>
        </w:tc>
        <w:tc>
          <w:tcPr>
            <w:tcW w:w="2599" w:type="dxa"/>
          </w:tcPr>
          <w:p>
            <w:pPr>
              <w:pStyle w:val="TableParagraph"/>
              <w:spacing w:before="1"/>
              <w:ind w:left="106"/>
              <w:rPr>
                <w:sz w:val="21"/>
              </w:rPr>
            </w:pPr>
            <w:r>
              <w:rPr>
                <w:sz w:val="21"/>
              </w:rPr>
              <w:t>数字移动通讯设备机构件</w:t>
            </w:r>
          </w:p>
          <w:p>
            <w:pPr>
              <w:pStyle w:val="TableParagraph"/>
              <w:spacing w:line="250" w:lineRule="exact" w:before="4"/>
              <w:ind w:left="106"/>
              <w:rPr>
                <w:rFonts w:ascii="Times New Roman" w:eastAsia="Times New Roman"/>
                <w:sz w:val="21"/>
              </w:rPr>
            </w:pPr>
            <w:r>
              <w:rPr>
                <w:spacing w:val="-1"/>
                <w:sz w:val="21"/>
              </w:rPr>
              <w:t>加工项目</w:t>
            </w:r>
            <w:r>
              <w:rPr>
                <w:rFonts w:ascii="Times New Roman" w:eastAsia="Times New Roman"/>
                <w:position w:val="1"/>
                <w:sz w:val="21"/>
              </w:rPr>
              <w:t>(</w:t>
            </w:r>
            <w:r>
              <w:rPr>
                <w:sz w:val="21"/>
              </w:rPr>
              <w:t>重新报批</w:t>
            </w:r>
            <w:r>
              <w:rPr>
                <w:rFonts w:ascii="Times New Roman" w:eastAsia="Times New Roman"/>
                <w:position w:val="1"/>
                <w:sz w:val="21"/>
              </w:rPr>
              <w:t>)</w:t>
            </w:r>
          </w:p>
        </w:tc>
        <w:tc>
          <w:tcPr>
            <w:tcW w:w="3000" w:type="dxa"/>
          </w:tcPr>
          <w:p>
            <w:pPr>
              <w:pStyle w:val="TableParagraph"/>
              <w:spacing w:before="144"/>
              <w:ind w:left="109"/>
              <w:rPr>
                <w:rFonts w:ascii="Times New Roman"/>
                <w:sz w:val="21"/>
              </w:rPr>
            </w:pPr>
            <w:r>
              <w:rPr>
                <w:rFonts w:ascii="Times New Roman"/>
                <w:sz w:val="21"/>
              </w:rPr>
              <w:t>2018-420118-39-03-013159</w:t>
            </w:r>
          </w:p>
        </w:tc>
        <w:tc>
          <w:tcPr>
            <w:tcW w:w="2729" w:type="dxa"/>
          </w:tcPr>
          <w:p>
            <w:pPr>
              <w:pStyle w:val="TableParagraph"/>
              <w:spacing w:before="138"/>
              <w:ind w:left="109"/>
              <w:rPr>
                <w:sz w:val="21"/>
              </w:rPr>
            </w:pPr>
            <w:r>
              <w:rPr>
                <w:sz w:val="21"/>
              </w:rPr>
              <w:t>武新环告</w:t>
            </w:r>
            <w:r>
              <w:rPr>
                <w:rFonts w:ascii="Times New Roman" w:eastAsia="Times New Roman"/>
                <w:position w:val="1"/>
                <w:sz w:val="21"/>
              </w:rPr>
              <w:t>[2019]37</w:t>
            </w:r>
            <w:r>
              <w:rPr>
                <w:rFonts w:ascii="Times New Roman" w:eastAsia="Times New Roman"/>
                <w:spacing w:val="-11"/>
                <w:position w:val="1"/>
                <w:sz w:val="21"/>
              </w:rPr>
              <w:t> </w:t>
            </w:r>
            <w:r>
              <w:rPr>
                <w:sz w:val="21"/>
              </w:rPr>
              <w:t>号</w:t>
            </w:r>
          </w:p>
        </w:tc>
      </w:tr>
      <w:tr>
        <w:trPr>
          <w:trHeight w:val="273" w:hRule="atLeast"/>
        </w:trPr>
        <w:tc>
          <w:tcPr>
            <w:tcW w:w="1150" w:type="dxa"/>
            <w:vMerge/>
            <w:tcBorders>
              <w:top w:val="nil"/>
            </w:tcBorders>
          </w:tcPr>
          <w:p>
            <w:pPr>
              <w:rPr>
                <w:sz w:val="2"/>
                <w:szCs w:val="2"/>
              </w:rPr>
            </w:pPr>
          </w:p>
        </w:tc>
        <w:tc>
          <w:tcPr>
            <w:tcW w:w="801" w:type="dxa"/>
          </w:tcPr>
          <w:p>
            <w:pPr>
              <w:pStyle w:val="TableParagraph"/>
              <w:spacing w:before="10"/>
              <w:ind w:left="165" w:right="160"/>
              <w:jc w:val="center"/>
              <w:rPr>
                <w:rFonts w:ascii="Times New Roman"/>
                <w:sz w:val="21"/>
              </w:rPr>
            </w:pPr>
            <w:r>
              <w:rPr>
                <w:rFonts w:ascii="Times New Roman"/>
                <w:sz w:val="21"/>
              </w:rPr>
              <w:t>50</w:t>
            </w:r>
          </w:p>
        </w:tc>
        <w:tc>
          <w:tcPr>
            <w:tcW w:w="2599" w:type="dxa"/>
          </w:tcPr>
          <w:p>
            <w:pPr>
              <w:pStyle w:val="TableParagraph"/>
              <w:spacing w:line="252" w:lineRule="exact" w:before="1"/>
              <w:ind w:left="106"/>
              <w:rPr>
                <w:sz w:val="21"/>
              </w:rPr>
            </w:pPr>
            <w:r>
              <w:rPr>
                <w:sz w:val="21"/>
              </w:rPr>
              <w:t>手机零配件加工项目</w:t>
            </w:r>
          </w:p>
        </w:tc>
        <w:tc>
          <w:tcPr>
            <w:tcW w:w="3000" w:type="dxa"/>
          </w:tcPr>
          <w:p>
            <w:pPr>
              <w:pStyle w:val="TableParagraph"/>
              <w:spacing w:before="10"/>
              <w:ind w:left="14"/>
              <w:jc w:val="center"/>
              <w:rPr>
                <w:rFonts w:ascii="Times New Roman"/>
                <w:sz w:val="21"/>
              </w:rPr>
            </w:pPr>
            <w:r>
              <w:rPr>
                <w:rFonts w:ascii="Times New Roman"/>
                <w:w w:val="100"/>
                <w:sz w:val="21"/>
              </w:rPr>
              <w:t>/</w:t>
            </w:r>
          </w:p>
        </w:tc>
        <w:tc>
          <w:tcPr>
            <w:tcW w:w="2729" w:type="dxa"/>
          </w:tcPr>
          <w:p>
            <w:pPr>
              <w:pStyle w:val="TableParagraph"/>
              <w:spacing w:line="252" w:lineRule="exact" w:before="1"/>
              <w:ind w:left="109"/>
              <w:rPr>
                <w:sz w:val="21"/>
              </w:rPr>
            </w:pPr>
            <w:r>
              <w:rPr>
                <w:sz w:val="21"/>
              </w:rPr>
              <w:t>深环批</w:t>
            </w:r>
            <w:r>
              <w:rPr>
                <w:rFonts w:ascii="Times New Roman" w:eastAsia="Times New Roman"/>
                <w:position w:val="1"/>
                <w:sz w:val="21"/>
              </w:rPr>
              <w:t>[2016]900083</w:t>
            </w:r>
            <w:r>
              <w:rPr>
                <w:rFonts w:ascii="Times New Roman" w:eastAsia="Times New Roman"/>
                <w:spacing w:val="-12"/>
                <w:position w:val="1"/>
                <w:sz w:val="21"/>
              </w:rPr>
              <w:t> </w:t>
            </w:r>
            <w:r>
              <w:rPr>
                <w:sz w:val="21"/>
              </w:rPr>
              <w:t>号</w:t>
            </w:r>
          </w:p>
        </w:tc>
      </w:tr>
      <w:tr>
        <w:trPr>
          <w:trHeight w:val="270" w:hRule="atLeast"/>
        </w:trPr>
        <w:tc>
          <w:tcPr>
            <w:tcW w:w="1150" w:type="dxa"/>
            <w:vMerge/>
            <w:tcBorders>
              <w:top w:val="nil"/>
            </w:tcBorders>
          </w:tcPr>
          <w:p>
            <w:pPr>
              <w:rPr>
                <w:sz w:val="2"/>
                <w:szCs w:val="2"/>
              </w:rPr>
            </w:pPr>
          </w:p>
        </w:tc>
        <w:tc>
          <w:tcPr>
            <w:tcW w:w="801" w:type="dxa"/>
          </w:tcPr>
          <w:p>
            <w:pPr>
              <w:pStyle w:val="TableParagraph"/>
              <w:spacing w:before="7"/>
              <w:ind w:left="165" w:right="160"/>
              <w:jc w:val="center"/>
              <w:rPr>
                <w:rFonts w:ascii="Times New Roman"/>
                <w:sz w:val="21"/>
              </w:rPr>
            </w:pPr>
            <w:r>
              <w:rPr>
                <w:rFonts w:ascii="Times New Roman"/>
                <w:sz w:val="21"/>
              </w:rPr>
              <w:t>51</w:t>
            </w:r>
          </w:p>
        </w:tc>
        <w:tc>
          <w:tcPr>
            <w:tcW w:w="2599" w:type="dxa"/>
          </w:tcPr>
          <w:p>
            <w:pPr>
              <w:pStyle w:val="TableParagraph"/>
              <w:spacing w:line="250" w:lineRule="exact" w:before="1"/>
              <w:ind w:left="106"/>
              <w:rPr>
                <w:sz w:val="21"/>
              </w:rPr>
            </w:pPr>
            <w:r>
              <w:rPr>
                <w:sz w:val="21"/>
              </w:rPr>
              <w:t>手机零配件加工项目</w:t>
            </w:r>
          </w:p>
        </w:tc>
        <w:tc>
          <w:tcPr>
            <w:tcW w:w="3000" w:type="dxa"/>
          </w:tcPr>
          <w:p>
            <w:pPr>
              <w:pStyle w:val="TableParagraph"/>
              <w:spacing w:before="7"/>
              <w:ind w:left="14"/>
              <w:jc w:val="center"/>
              <w:rPr>
                <w:rFonts w:ascii="Times New Roman"/>
                <w:sz w:val="21"/>
              </w:rPr>
            </w:pPr>
            <w:r>
              <w:rPr>
                <w:rFonts w:ascii="Times New Roman"/>
                <w:w w:val="100"/>
                <w:sz w:val="21"/>
              </w:rPr>
              <w:t>/</w:t>
            </w:r>
          </w:p>
        </w:tc>
        <w:tc>
          <w:tcPr>
            <w:tcW w:w="2729" w:type="dxa"/>
          </w:tcPr>
          <w:p>
            <w:pPr>
              <w:pStyle w:val="TableParagraph"/>
              <w:spacing w:line="250" w:lineRule="exact" w:before="1"/>
              <w:ind w:left="109"/>
              <w:rPr>
                <w:sz w:val="21"/>
              </w:rPr>
            </w:pPr>
            <w:r>
              <w:rPr>
                <w:sz w:val="21"/>
              </w:rPr>
              <w:t>深环批</w:t>
            </w:r>
            <w:r>
              <w:rPr>
                <w:rFonts w:ascii="Times New Roman" w:eastAsia="Times New Roman"/>
                <w:position w:val="1"/>
                <w:sz w:val="21"/>
              </w:rPr>
              <w:t>[2017]900083</w:t>
            </w:r>
            <w:r>
              <w:rPr>
                <w:rFonts w:ascii="Times New Roman" w:eastAsia="Times New Roman"/>
                <w:spacing w:val="-12"/>
                <w:position w:val="1"/>
                <w:sz w:val="21"/>
              </w:rPr>
              <w:t> </w:t>
            </w:r>
            <w:r>
              <w:rPr>
                <w:sz w:val="21"/>
              </w:rPr>
              <w:t>号</w:t>
            </w:r>
          </w:p>
        </w:tc>
      </w:tr>
      <w:tr>
        <w:trPr>
          <w:trHeight w:val="546" w:hRule="atLeast"/>
        </w:trPr>
        <w:tc>
          <w:tcPr>
            <w:tcW w:w="1150" w:type="dxa"/>
            <w:vMerge/>
            <w:tcBorders>
              <w:top w:val="nil"/>
            </w:tcBorders>
          </w:tcPr>
          <w:p>
            <w:pPr>
              <w:rPr>
                <w:sz w:val="2"/>
                <w:szCs w:val="2"/>
              </w:rPr>
            </w:pPr>
          </w:p>
        </w:tc>
        <w:tc>
          <w:tcPr>
            <w:tcW w:w="801" w:type="dxa"/>
          </w:tcPr>
          <w:p>
            <w:pPr>
              <w:pStyle w:val="TableParagraph"/>
              <w:spacing w:before="147"/>
              <w:ind w:left="165" w:right="160"/>
              <w:jc w:val="center"/>
              <w:rPr>
                <w:rFonts w:ascii="Times New Roman"/>
                <w:sz w:val="21"/>
              </w:rPr>
            </w:pPr>
            <w:r>
              <w:rPr>
                <w:rFonts w:ascii="Times New Roman"/>
                <w:sz w:val="21"/>
              </w:rPr>
              <w:t>52</w:t>
            </w:r>
          </w:p>
        </w:tc>
        <w:tc>
          <w:tcPr>
            <w:tcW w:w="2599" w:type="dxa"/>
          </w:tcPr>
          <w:p>
            <w:pPr>
              <w:pStyle w:val="TableParagraph"/>
              <w:spacing w:line="270" w:lineRule="atLeast"/>
              <w:ind w:left="106" w:right="167"/>
              <w:rPr>
                <w:sz w:val="21"/>
              </w:rPr>
            </w:pPr>
            <w:r>
              <w:rPr>
                <w:spacing w:val="-1"/>
                <w:sz w:val="21"/>
              </w:rPr>
              <w:t>手机零配件加工改扩建项</w:t>
            </w:r>
            <w:r>
              <w:rPr>
                <w:sz w:val="21"/>
              </w:rPr>
              <w:t>目</w:t>
            </w:r>
          </w:p>
        </w:tc>
        <w:tc>
          <w:tcPr>
            <w:tcW w:w="3000" w:type="dxa"/>
          </w:tcPr>
          <w:p>
            <w:pPr>
              <w:pStyle w:val="TableParagraph"/>
              <w:spacing w:before="147"/>
              <w:ind w:left="14"/>
              <w:jc w:val="center"/>
              <w:rPr>
                <w:rFonts w:ascii="Times New Roman"/>
                <w:sz w:val="21"/>
              </w:rPr>
            </w:pPr>
            <w:r>
              <w:rPr>
                <w:rFonts w:ascii="Times New Roman"/>
                <w:w w:val="100"/>
                <w:sz w:val="21"/>
              </w:rPr>
              <w:t>/</w:t>
            </w:r>
          </w:p>
        </w:tc>
        <w:tc>
          <w:tcPr>
            <w:tcW w:w="2729" w:type="dxa"/>
          </w:tcPr>
          <w:p>
            <w:pPr>
              <w:pStyle w:val="TableParagraph"/>
              <w:spacing w:before="137"/>
              <w:ind w:left="109"/>
              <w:rPr>
                <w:sz w:val="21"/>
              </w:rPr>
            </w:pPr>
            <w:r>
              <w:rPr>
                <w:sz w:val="21"/>
              </w:rPr>
              <w:t>深龙华环批</w:t>
            </w:r>
            <w:r>
              <w:rPr>
                <w:rFonts w:ascii="Times New Roman" w:eastAsia="Times New Roman"/>
                <w:position w:val="1"/>
                <w:sz w:val="21"/>
              </w:rPr>
              <w:t>[2018]100266</w:t>
            </w:r>
            <w:r>
              <w:rPr>
                <w:rFonts w:ascii="Times New Roman" w:eastAsia="Times New Roman"/>
                <w:spacing w:val="-13"/>
                <w:position w:val="1"/>
                <w:sz w:val="21"/>
              </w:rPr>
              <w:t> </w:t>
            </w:r>
            <w:r>
              <w:rPr>
                <w:sz w:val="21"/>
              </w:rPr>
              <w:t>号</w:t>
            </w:r>
          </w:p>
        </w:tc>
      </w:tr>
      <w:tr>
        <w:trPr>
          <w:trHeight w:val="544" w:hRule="atLeast"/>
        </w:trPr>
        <w:tc>
          <w:tcPr>
            <w:tcW w:w="1150" w:type="dxa"/>
            <w:vMerge/>
            <w:tcBorders>
              <w:top w:val="nil"/>
            </w:tcBorders>
          </w:tcPr>
          <w:p>
            <w:pPr>
              <w:rPr>
                <w:sz w:val="2"/>
                <w:szCs w:val="2"/>
              </w:rPr>
            </w:pPr>
          </w:p>
        </w:tc>
        <w:tc>
          <w:tcPr>
            <w:tcW w:w="801" w:type="dxa"/>
          </w:tcPr>
          <w:p>
            <w:pPr>
              <w:pStyle w:val="TableParagraph"/>
              <w:spacing w:before="144"/>
              <w:ind w:left="165" w:right="160"/>
              <w:jc w:val="center"/>
              <w:rPr>
                <w:rFonts w:ascii="Times New Roman"/>
                <w:sz w:val="21"/>
              </w:rPr>
            </w:pPr>
            <w:r>
              <w:rPr>
                <w:rFonts w:ascii="Times New Roman"/>
                <w:sz w:val="21"/>
              </w:rPr>
              <w:t>53</w:t>
            </w:r>
          </w:p>
        </w:tc>
        <w:tc>
          <w:tcPr>
            <w:tcW w:w="2599" w:type="dxa"/>
          </w:tcPr>
          <w:p>
            <w:pPr>
              <w:pStyle w:val="TableParagraph"/>
              <w:spacing w:before="1"/>
              <w:ind w:left="106"/>
              <w:rPr>
                <w:sz w:val="21"/>
              </w:rPr>
            </w:pPr>
            <w:r>
              <w:rPr>
                <w:sz w:val="21"/>
              </w:rPr>
              <w:t>深圳精匠云创科技有限公</w:t>
            </w:r>
          </w:p>
          <w:p>
            <w:pPr>
              <w:pStyle w:val="TableParagraph"/>
              <w:spacing w:line="252" w:lineRule="exact" w:before="2"/>
              <w:ind w:left="106"/>
              <w:rPr>
                <w:sz w:val="21"/>
              </w:rPr>
            </w:pPr>
            <w:r>
              <w:rPr>
                <w:sz w:val="21"/>
              </w:rPr>
              <w:t>司扩建项目</w:t>
            </w:r>
          </w:p>
        </w:tc>
        <w:tc>
          <w:tcPr>
            <w:tcW w:w="3000" w:type="dxa"/>
          </w:tcPr>
          <w:p>
            <w:pPr>
              <w:pStyle w:val="TableParagraph"/>
              <w:spacing w:line="235" w:lineRule="exact"/>
              <w:ind w:left="109"/>
              <w:rPr>
                <w:rFonts w:ascii="Times New Roman"/>
                <w:sz w:val="21"/>
              </w:rPr>
            </w:pPr>
            <w:r>
              <w:rPr>
                <w:rFonts w:ascii="Times New Roman"/>
                <w:sz w:val="21"/>
              </w:rPr>
              <w:t>JTRLH2019114</w:t>
            </w:r>
          </w:p>
        </w:tc>
        <w:tc>
          <w:tcPr>
            <w:tcW w:w="2729" w:type="dxa"/>
          </w:tcPr>
          <w:p>
            <w:pPr>
              <w:pStyle w:val="TableParagraph"/>
              <w:spacing w:before="1"/>
              <w:ind w:left="109"/>
              <w:rPr>
                <w:rFonts w:ascii="Times New Roman" w:eastAsia="Times New Roman"/>
                <w:sz w:val="21"/>
              </w:rPr>
            </w:pPr>
            <w:r>
              <w:rPr>
                <w:spacing w:val="-1"/>
                <w:sz w:val="21"/>
              </w:rPr>
              <w:t>深龙华环批</w:t>
            </w:r>
            <w:r>
              <w:rPr>
                <w:rFonts w:ascii="Times New Roman" w:eastAsia="Times New Roman"/>
                <w:sz w:val="21"/>
              </w:rPr>
              <w:t>[2019]100473</w:t>
            </w:r>
          </w:p>
        </w:tc>
      </w:tr>
    </w:tbl>
    <w:p>
      <w:pPr>
        <w:pStyle w:val="BodyText"/>
        <w:spacing w:before="4"/>
        <w:ind w:left="0"/>
        <w:rPr>
          <w:sz w:val="13"/>
        </w:rPr>
      </w:pPr>
    </w:p>
    <w:p>
      <w:pPr>
        <w:pStyle w:val="BodyText"/>
        <w:spacing w:before="71"/>
        <w:ind w:left="1158"/>
      </w:pPr>
      <w:r>
        <w:rPr>
          <w:w w:val="100"/>
        </w:rPr>
        <w:t> </w:t>
      </w:r>
    </w:p>
    <w:p>
      <w:pPr>
        <w:pStyle w:val="BodyText"/>
        <w:spacing w:before="5"/>
        <w:ind w:left="1158"/>
      </w:pPr>
      <w:r>
        <w:rPr>
          <w:w w:val="100"/>
        </w:rPr>
        <w:t> </w:t>
      </w:r>
    </w:p>
    <w:p>
      <w:pPr>
        <w:spacing w:after="0"/>
        <w:sectPr>
          <w:pgSz w:w="11910" w:h="16840"/>
          <w:pgMar w:header="877" w:footer="1187" w:top="1440" w:bottom="1380" w:left="640" w:right="740"/>
        </w:sectPr>
      </w:pPr>
    </w:p>
    <w:p>
      <w:pPr>
        <w:pStyle w:val="ListParagraph"/>
        <w:numPr>
          <w:ilvl w:val="0"/>
          <w:numId w:val="26"/>
        </w:numPr>
        <w:tabs>
          <w:tab w:pos="1583" w:val="left" w:leader="none"/>
        </w:tabs>
        <w:spacing w:line="240" w:lineRule="auto" w:before="68" w:after="0"/>
        <w:ind w:left="1582" w:right="0" w:hanging="425"/>
        <w:jc w:val="left"/>
        <w:rPr>
          <w:sz w:val="21"/>
        </w:rPr>
      </w:pPr>
      <w:r>
        <w:rPr>
          <w:sz w:val="21"/>
        </w:rPr>
        <w:t>突发环境事件应急预案 </w:t>
      </w:r>
    </w:p>
    <w:p>
      <w:pPr>
        <w:pStyle w:val="BodyText"/>
        <w:spacing w:before="65"/>
        <w:ind w:left="1158"/>
      </w:pPr>
      <w:r>
        <w:rPr>
          <w:spacing w:val="-1"/>
        </w:rPr>
        <w:t>√适用 □不适用</w:t>
      </w:r>
      <w:r>
        <w:rPr>
          <w:spacing w:val="-3"/>
        </w:rPr>
        <w:t> </w:t>
      </w:r>
      <w:r>
        <w:rPr/>
        <w:t> </w:t>
      </w:r>
    </w:p>
    <w:p>
      <w:pPr>
        <w:pStyle w:val="BodyText"/>
        <w:spacing w:before="2"/>
        <w:ind w:left="1578"/>
      </w:pPr>
      <w:r>
        <w:rPr>
          <w:spacing w:val="-14"/>
        </w:rPr>
        <w:t>本公司之子公司依据《中华人民共和国环境保护法》、《国家突发公共事件总体应急预案》、</w:t>
      </w:r>
    </w:p>
    <w:p>
      <w:pPr>
        <w:pStyle w:val="BodyText"/>
        <w:spacing w:line="364" w:lineRule="auto" w:before="141"/>
        <w:ind w:left="1158" w:right="537"/>
        <w:jc w:val="both"/>
      </w:pPr>
      <w:r>
        <w:rPr/>
        <w:t>《国家突发环境事故应急预案》及相关的法律法规，制定了具体的突发环境事件应急预案，并成立了应急小组，对公司存在的环境风险源和重大危险源进行识别，并对公司可能发生的风险事故产生的污染物的种类、环境影响类别、影响范围和事故处理及后果进行具体分析，相关信息如下表：</w:t>
      </w:r>
    </w:p>
    <w:tbl>
      <w:tblPr>
        <w:tblW w:w="0" w:type="auto"/>
        <w:jc w:val="left"/>
        <w:tblInd w:w="1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792"/>
        <w:gridCol w:w="2079"/>
        <w:gridCol w:w="1171"/>
        <w:gridCol w:w="2091"/>
      </w:tblGrid>
      <w:tr>
        <w:trPr>
          <w:trHeight w:val="328" w:hRule="atLeast"/>
        </w:trPr>
        <w:tc>
          <w:tcPr>
            <w:tcW w:w="511" w:type="dxa"/>
          </w:tcPr>
          <w:p>
            <w:pPr>
              <w:pStyle w:val="TableParagraph"/>
              <w:spacing w:before="25"/>
              <w:ind w:left="26" w:right="14"/>
              <w:jc w:val="center"/>
              <w:rPr>
                <w:sz w:val="21"/>
              </w:rPr>
            </w:pPr>
            <w:r>
              <w:rPr>
                <w:sz w:val="21"/>
              </w:rPr>
              <w:t>序号</w:t>
            </w:r>
          </w:p>
        </w:tc>
        <w:tc>
          <w:tcPr>
            <w:tcW w:w="2792" w:type="dxa"/>
          </w:tcPr>
          <w:p>
            <w:pPr>
              <w:pStyle w:val="TableParagraph"/>
              <w:spacing w:before="25"/>
              <w:ind w:left="48" w:right="37"/>
              <w:jc w:val="center"/>
              <w:rPr>
                <w:sz w:val="21"/>
              </w:rPr>
            </w:pPr>
            <w:r>
              <w:rPr>
                <w:sz w:val="21"/>
              </w:rPr>
              <w:t>名称</w:t>
            </w:r>
          </w:p>
        </w:tc>
        <w:tc>
          <w:tcPr>
            <w:tcW w:w="2079" w:type="dxa"/>
          </w:tcPr>
          <w:p>
            <w:pPr>
              <w:pStyle w:val="TableParagraph"/>
              <w:spacing w:before="25"/>
              <w:ind w:left="90" w:right="79"/>
              <w:jc w:val="center"/>
              <w:rPr>
                <w:sz w:val="21"/>
              </w:rPr>
            </w:pPr>
            <w:r>
              <w:rPr>
                <w:sz w:val="21"/>
              </w:rPr>
              <w:t>备案单位</w:t>
            </w:r>
          </w:p>
        </w:tc>
        <w:tc>
          <w:tcPr>
            <w:tcW w:w="1171" w:type="dxa"/>
          </w:tcPr>
          <w:p>
            <w:pPr>
              <w:pStyle w:val="TableParagraph"/>
              <w:spacing w:before="25"/>
              <w:ind w:left="59"/>
              <w:rPr>
                <w:sz w:val="21"/>
              </w:rPr>
            </w:pPr>
            <w:r>
              <w:rPr>
                <w:sz w:val="21"/>
              </w:rPr>
              <w:t>备案有效期</w:t>
            </w:r>
          </w:p>
        </w:tc>
        <w:tc>
          <w:tcPr>
            <w:tcW w:w="2091" w:type="dxa"/>
          </w:tcPr>
          <w:p>
            <w:pPr>
              <w:pStyle w:val="TableParagraph"/>
              <w:spacing w:before="25"/>
              <w:ind w:left="10"/>
              <w:jc w:val="center"/>
              <w:rPr>
                <w:sz w:val="21"/>
              </w:rPr>
            </w:pPr>
            <w:r>
              <w:rPr>
                <w:sz w:val="21"/>
              </w:rPr>
              <w:t>备案编号</w:t>
            </w:r>
          </w:p>
        </w:tc>
      </w:tr>
      <w:tr>
        <w:trPr>
          <w:trHeight w:val="602" w:hRule="atLeast"/>
        </w:trPr>
        <w:tc>
          <w:tcPr>
            <w:tcW w:w="511" w:type="dxa"/>
          </w:tcPr>
          <w:p>
            <w:pPr>
              <w:pStyle w:val="TableParagraph"/>
              <w:spacing w:before="169"/>
              <w:ind w:left="7"/>
              <w:jc w:val="center"/>
              <w:rPr>
                <w:rFonts w:ascii="Times New Roman"/>
                <w:sz w:val="21"/>
              </w:rPr>
            </w:pPr>
            <w:r>
              <w:rPr>
                <w:rFonts w:ascii="Times New Roman"/>
                <w:w w:val="100"/>
                <w:sz w:val="21"/>
              </w:rPr>
              <w:t>1</w:t>
            </w:r>
          </w:p>
        </w:tc>
        <w:tc>
          <w:tcPr>
            <w:tcW w:w="2792" w:type="dxa"/>
          </w:tcPr>
          <w:p>
            <w:pPr>
              <w:pStyle w:val="TableParagraph"/>
              <w:spacing w:before="162"/>
              <w:ind w:left="48" w:right="39"/>
              <w:jc w:val="center"/>
              <w:rPr>
                <w:sz w:val="21"/>
              </w:rPr>
            </w:pPr>
            <w:r>
              <w:rPr>
                <w:spacing w:val="-1"/>
                <w:sz w:val="21"/>
              </w:rPr>
              <w:t>富联精密电子</w:t>
            </w:r>
            <w:r>
              <w:rPr>
                <w:rFonts w:ascii="Times New Roman" w:eastAsia="Times New Roman"/>
                <w:sz w:val="21"/>
              </w:rPr>
              <w:t>(</w:t>
            </w:r>
            <w:r>
              <w:rPr>
                <w:sz w:val="21"/>
              </w:rPr>
              <w:t>天津</w:t>
            </w:r>
            <w:r>
              <w:rPr>
                <w:rFonts w:ascii="Times New Roman" w:eastAsia="Times New Roman"/>
                <w:sz w:val="21"/>
              </w:rPr>
              <w:t>)</w:t>
            </w:r>
            <w:r>
              <w:rPr>
                <w:sz w:val="21"/>
              </w:rPr>
              <w:t>有限公司</w:t>
            </w:r>
          </w:p>
        </w:tc>
        <w:tc>
          <w:tcPr>
            <w:tcW w:w="2079" w:type="dxa"/>
          </w:tcPr>
          <w:p>
            <w:pPr>
              <w:pStyle w:val="TableParagraph"/>
              <w:spacing w:line="244" w:lineRule="auto" w:before="25"/>
              <w:ind w:left="410" w:right="79" w:hanging="317"/>
              <w:rPr>
                <w:sz w:val="21"/>
              </w:rPr>
            </w:pPr>
            <w:r>
              <w:rPr>
                <w:sz w:val="21"/>
              </w:rPr>
              <w:t>天津经济技术开发区环境监察支队</w:t>
            </w:r>
          </w:p>
        </w:tc>
        <w:tc>
          <w:tcPr>
            <w:tcW w:w="1171" w:type="dxa"/>
          </w:tcPr>
          <w:p>
            <w:pPr>
              <w:pStyle w:val="TableParagraph"/>
              <w:spacing w:before="169"/>
              <w:ind w:left="117"/>
              <w:rPr>
                <w:rFonts w:ascii="Times New Roman"/>
                <w:sz w:val="21"/>
              </w:rPr>
            </w:pPr>
            <w:r>
              <w:rPr>
                <w:rFonts w:ascii="Times New Roman"/>
                <w:sz w:val="21"/>
              </w:rPr>
              <w:t>2025.07.11</w:t>
            </w:r>
          </w:p>
        </w:tc>
        <w:tc>
          <w:tcPr>
            <w:tcW w:w="2091" w:type="dxa"/>
          </w:tcPr>
          <w:p>
            <w:pPr>
              <w:pStyle w:val="TableParagraph"/>
              <w:spacing w:before="169"/>
              <w:ind w:left="11"/>
              <w:jc w:val="center"/>
              <w:rPr>
                <w:rFonts w:ascii="Times New Roman"/>
                <w:sz w:val="21"/>
              </w:rPr>
            </w:pPr>
            <w:r>
              <w:rPr>
                <w:rFonts w:ascii="Times New Roman"/>
                <w:sz w:val="21"/>
              </w:rPr>
              <w:t>120116-KF-2022-109-L</w:t>
            </w:r>
          </w:p>
        </w:tc>
      </w:tr>
      <w:tr>
        <w:trPr>
          <w:trHeight w:val="600" w:hRule="atLeast"/>
        </w:trPr>
        <w:tc>
          <w:tcPr>
            <w:tcW w:w="511" w:type="dxa"/>
          </w:tcPr>
          <w:p>
            <w:pPr>
              <w:pStyle w:val="TableParagraph"/>
              <w:spacing w:before="169"/>
              <w:ind w:left="7"/>
              <w:jc w:val="center"/>
              <w:rPr>
                <w:rFonts w:ascii="Times New Roman"/>
                <w:sz w:val="21"/>
              </w:rPr>
            </w:pPr>
            <w:r>
              <w:rPr>
                <w:rFonts w:ascii="Times New Roman"/>
                <w:w w:val="100"/>
                <w:sz w:val="21"/>
              </w:rPr>
              <w:t>2</w:t>
            </w:r>
          </w:p>
        </w:tc>
        <w:tc>
          <w:tcPr>
            <w:tcW w:w="2792" w:type="dxa"/>
          </w:tcPr>
          <w:p>
            <w:pPr>
              <w:pStyle w:val="TableParagraph"/>
              <w:spacing w:line="242" w:lineRule="auto" w:before="26"/>
              <w:ind w:left="345" w:right="52" w:hanging="281"/>
              <w:rPr>
                <w:sz w:val="21"/>
              </w:rPr>
            </w:pPr>
            <w:r>
              <w:rPr>
                <w:spacing w:val="-1"/>
                <w:sz w:val="21"/>
              </w:rPr>
              <w:t>富联精密电子</w:t>
            </w:r>
            <w:r>
              <w:rPr>
                <w:rFonts w:ascii="Times New Roman" w:eastAsia="Times New Roman"/>
                <w:sz w:val="21"/>
              </w:rPr>
              <w:t>(</w:t>
            </w:r>
            <w:r>
              <w:rPr>
                <w:sz w:val="21"/>
              </w:rPr>
              <w:t>郑州</w:t>
            </w:r>
            <w:r>
              <w:rPr>
                <w:rFonts w:ascii="Times New Roman" w:eastAsia="Times New Roman"/>
                <w:sz w:val="21"/>
              </w:rPr>
              <w:t>)</w:t>
            </w:r>
            <w:r>
              <w:rPr>
                <w:sz w:val="21"/>
              </w:rPr>
              <w:t>有限公司突发环境事件应急预案</w:t>
            </w:r>
          </w:p>
        </w:tc>
        <w:tc>
          <w:tcPr>
            <w:tcW w:w="2079" w:type="dxa"/>
          </w:tcPr>
          <w:p>
            <w:pPr>
              <w:pStyle w:val="TableParagraph"/>
              <w:spacing w:line="242" w:lineRule="auto" w:before="26"/>
              <w:ind w:left="513" w:right="79" w:hanging="420"/>
              <w:rPr>
                <w:sz w:val="21"/>
              </w:rPr>
            </w:pPr>
            <w:r>
              <w:rPr>
                <w:sz w:val="21"/>
              </w:rPr>
              <w:t>郑州经济技术开发区环境保护局</w:t>
            </w:r>
          </w:p>
        </w:tc>
        <w:tc>
          <w:tcPr>
            <w:tcW w:w="1171" w:type="dxa"/>
          </w:tcPr>
          <w:p>
            <w:pPr>
              <w:pStyle w:val="TableParagraph"/>
              <w:spacing w:before="169"/>
              <w:ind w:left="112"/>
              <w:rPr>
                <w:rFonts w:ascii="Times New Roman"/>
                <w:sz w:val="21"/>
              </w:rPr>
            </w:pPr>
            <w:r>
              <w:rPr>
                <w:rFonts w:ascii="Times New Roman"/>
                <w:sz w:val="21"/>
              </w:rPr>
              <w:t>2024.04.20</w:t>
            </w:r>
          </w:p>
        </w:tc>
        <w:tc>
          <w:tcPr>
            <w:tcW w:w="2091" w:type="dxa"/>
          </w:tcPr>
          <w:p>
            <w:pPr>
              <w:pStyle w:val="TableParagraph"/>
              <w:spacing w:before="169"/>
              <w:ind w:left="7"/>
              <w:jc w:val="center"/>
              <w:rPr>
                <w:rFonts w:ascii="Times New Roman"/>
                <w:sz w:val="21"/>
              </w:rPr>
            </w:pPr>
            <w:r>
              <w:rPr>
                <w:rFonts w:ascii="Times New Roman"/>
                <w:sz w:val="21"/>
              </w:rPr>
              <w:t>410162-2021-003-M</w:t>
            </w:r>
          </w:p>
        </w:tc>
      </w:tr>
      <w:tr>
        <w:trPr>
          <w:trHeight w:val="602" w:hRule="atLeast"/>
        </w:trPr>
        <w:tc>
          <w:tcPr>
            <w:tcW w:w="511" w:type="dxa"/>
          </w:tcPr>
          <w:p>
            <w:pPr>
              <w:pStyle w:val="TableParagraph"/>
              <w:spacing w:before="169"/>
              <w:ind w:left="7"/>
              <w:jc w:val="center"/>
              <w:rPr>
                <w:rFonts w:ascii="Times New Roman"/>
                <w:sz w:val="21"/>
              </w:rPr>
            </w:pPr>
            <w:r>
              <w:rPr>
                <w:rFonts w:ascii="Times New Roman"/>
                <w:w w:val="100"/>
                <w:sz w:val="21"/>
              </w:rPr>
              <w:t>3</w:t>
            </w:r>
          </w:p>
        </w:tc>
        <w:tc>
          <w:tcPr>
            <w:tcW w:w="2792" w:type="dxa"/>
          </w:tcPr>
          <w:p>
            <w:pPr>
              <w:pStyle w:val="TableParagraph"/>
              <w:spacing w:line="244" w:lineRule="auto" w:before="25"/>
              <w:ind w:left="345" w:right="261" w:hanging="70"/>
              <w:rPr>
                <w:sz w:val="21"/>
              </w:rPr>
            </w:pPr>
            <w:r>
              <w:rPr>
                <w:spacing w:val="-1"/>
                <w:sz w:val="21"/>
              </w:rPr>
              <w:t>富联科技</w:t>
            </w:r>
            <w:r>
              <w:rPr>
                <w:rFonts w:ascii="Times New Roman" w:eastAsia="Times New Roman"/>
                <w:sz w:val="21"/>
              </w:rPr>
              <w:t>(</w:t>
            </w:r>
            <w:r>
              <w:rPr>
                <w:sz w:val="21"/>
              </w:rPr>
              <w:t>济源</w:t>
            </w:r>
            <w:r>
              <w:rPr>
                <w:rFonts w:ascii="Times New Roman" w:eastAsia="Times New Roman"/>
                <w:sz w:val="21"/>
              </w:rPr>
              <w:t>)</w:t>
            </w:r>
            <w:r>
              <w:rPr>
                <w:sz w:val="21"/>
              </w:rPr>
              <w:t>有限公司突发环境事件应急预案</w:t>
            </w:r>
          </w:p>
        </w:tc>
        <w:tc>
          <w:tcPr>
            <w:tcW w:w="2079" w:type="dxa"/>
          </w:tcPr>
          <w:p>
            <w:pPr>
              <w:pStyle w:val="TableParagraph"/>
              <w:spacing w:before="162"/>
              <w:ind w:left="90" w:right="79"/>
              <w:jc w:val="center"/>
              <w:rPr>
                <w:sz w:val="21"/>
              </w:rPr>
            </w:pPr>
            <w:r>
              <w:rPr>
                <w:sz w:val="21"/>
              </w:rPr>
              <w:t>济源市环境保护局</w:t>
            </w:r>
          </w:p>
        </w:tc>
        <w:tc>
          <w:tcPr>
            <w:tcW w:w="1171" w:type="dxa"/>
          </w:tcPr>
          <w:p>
            <w:pPr>
              <w:pStyle w:val="TableParagraph"/>
              <w:spacing w:before="169"/>
              <w:ind w:left="112"/>
              <w:rPr>
                <w:rFonts w:ascii="Times New Roman"/>
                <w:sz w:val="21"/>
              </w:rPr>
            </w:pPr>
            <w:r>
              <w:rPr>
                <w:rFonts w:ascii="Times New Roman"/>
                <w:sz w:val="21"/>
              </w:rPr>
              <w:t>2025.02.24</w:t>
            </w:r>
          </w:p>
        </w:tc>
        <w:tc>
          <w:tcPr>
            <w:tcW w:w="2091" w:type="dxa"/>
          </w:tcPr>
          <w:p>
            <w:pPr>
              <w:pStyle w:val="TableParagraph"/>
              <w:spacing w:before="169"/>
              <w:ind w:left="10"/>
              <w:jc w:val="center"/>
              <w:rPr>
                <w:rFonts w:ascii="Times New Roman"/>
                <w:sz w:val="21"/>
              </w:rPr>
            </w:pPr>
            <w:r>
              <w:rPr>
                <w:rFonts w:ascii="Times New Roman"/>
                <w:sz w:val="21"/>
              </w:rPr>
              <w:t>419001-2019-011-M</w:t>
            </w:r>
          </w:p>
        </w:tc>
      </w:tr>
      <w:tr>
        <w:trPr>
          <w:trHeight w:val="1144" w:hRule="atLeast"/>
        </w:trPr>
        <w:tc>
          <w:tcPr>
            <w:tcW w:w="511" w:type="dxa"/>
          </w:tcPr>
          <w:p>
            <w:pPr>
              <w:pStyle w:val="TableParagraph"/>
              <w:rPr>
                <w:sz w:val="22"/>
              </w:rPr>
            </w:pPr>
          </w:p>
          <w:p>
            <w:pPr>
              <w:pStyle w:val="TableParagraph"/>
              <w:spacing w:before="158"/>
              <w:ind w:left="7"/>
              <w:jc w:val="center"/>
              <w:rPr>
                <w:rFonts w:ascii="Times New Roman"/>
                <w:sz w:val="21"/>
              </w:rPr>
            </w:pPr>
            <w:r>
              <w:rPr>
                <w:rFonts w:ascii="Times New Roman"/>
                <w:w w:val="100"/>
                <w:sz w:val="21"/>
              </w:rPr>
              <w:t>4</w:t>
            </w:r>
          </w:p>
        </w:tc>
        <w:tc>
          <w:tcPr>
            <w:tcW w:w="2792" w:type="dxa"/>
          </w:tcPr>
          <w:p>
            <w:pPr>
              <w:pStyle w:val="TableParagraph"/>
              <w:spacing w:before="1"/>
              <w:rPr>
                <w:sz w:val="23"/>
              </w:rPr>
            </w:pPr>
          </w:p>
          <w:p>
            <w:pPr>
              <w:pStyle w:val="TableParagraph"/>
              <w:spacing w:line="244" w:lineRule="auto" w:before="1"/>
              <w:ind w:left="239" w:right="14" w:hanging="209"/>
              <w:rPr>
                <w:sz w:val="21"/>
              </w:rPr>
            </w:pPr>
            <w:r>
              <w:rPr>
                <w:sz w:val="21"/>
              </w:rPr>
              <w:t>富联裕展科技（河南）有限公司突发环境事件应急预案</w:t>
            </w:r>
          </w:p>
        </w:tc>
        <w:tc>
          <w:tcPr>
            <w:tcW w:w="2079" w:type="dxa"/>
          </w:tcPr>
          <w:p>
            <w:pPr>
              <w:pStyle w:val="TableParagraph"/>
              <w:spacing w:line="242" w:lineRule="auto" w:before="25"/>
              <w:ind w:left="93" w:right="79"/>
              <w:jc w:val="center"/>
              <w:rPr>
                <w:sz w:val="21"/>
              </w:rPr>
            </w:pPr>
            <w:r>
              <w:rPr>
                <w:sz w:val="21"/>
              </w:rPr>
              <w:t>郑州航空港经济综合实验区（郑州新郑综合保税区）规划市政建设环保局</w:t>
            </w:r>
          </w:p>
        </w:tc>
        <w:tc>
          <w:tcPr>
            <w:tcW w:w="1171" w:type="dxa"/>
          </w:tcPr>
          <w:p>
            <w:pPr>
              <w:pStyle w:val="TableParagraph"/>
              <w:rPr>
                <w:sz w:val="22"/>
              </w:rPr>
            </w:pPr>
          </w:p>
          <w:p>
            <w:pPr>
              <w:pStyle w:val="TableParagraph"/>
              <w:spacing w:before="158"/>
              <w:ind w:left="112"/>
              <w:rPr>
                <w:rFonts w:ascii="Times New Roman"/>
                <w:sz w:val="21"/>
              </w:rPr>
            </w:pPr>
            <w:r>
              <w:rPr>
                <w:rFonts w:ascii="Times New Roman"/>
                <w:sz w:val="21"/>
              </w:rPr>
              <w:t>2024.01.10</w:t>
            </w:r>
          </w:p>
        </w:tc>
        <w:tc>
          <w:tcPr>
            <w:tcW w:w="2091" w:type="dxa"/>
          </w:tcPr>
          <w:p>
            <w:pPr>
              <w:pStyle w:val="TableParagraph"/>
              <w:rPr>
                <w:sz w:val="22"/>
              </w:rPr>
            </w:pPr>
          </w:p>
          <w:p>
            <w:pPr>
              <w:pStyle w:val="TableParagraph"/>
              <w:spacing w:before="151"/>
              <w:ind w:left="9"/>
              <w:jc w:val="center"/>
              <w:rPr>
                <w:rFonts w:ascii="Times New Roman" w:eastAsia="Times New Roman"/>
                <w:sz w:val="21"/>
              </w:rPr>
            </w:pPr>
            <w:r>
              <w:rPr>
                <w:spacing w:val="-1"/>
                <w:sz w:val="21"/>
              </w:rPr>
              <w:t>郑港（应）</w:t>
            </w:r>
            <w:r>
              <w:rPr>
                <w:rFonts w:ascii="Times New Roman" w:eastAsia="Times New Roman"/>
                <w:spacing w:val="-1"/>
                <w:sz w:val="21"/>
              </w:rPr>
              <w:t>20200110</w:t>
            </w:r>
          </w:p>
        </w:tc>
      </w:tr>
      <w:tr>
        <w:trPr>
          <w:trHeight w:val="602" w:hRule="atLeast"/>
        </w:trPr>
        <w:tc>
          <w:tcPr>
            <w:tcW w:w="511" w:type="dxa"/>
          </w:tcPr>
          <w:p>
            <w:pPr>
              <w:pStyle w:val="TableParagraph"/>
              <w:spacing w:before="169"/>
              <w:ind w:left="7"/>
              <w:jc w:val="center"/>
              <w:rPr>
                <w:rFonts w:ascii="Times New Roman"/>
                <w:sz w:val="21"/>
              </w:rPr>
            </w:pPr>
            <w:r>
              <w:rPr>
                <w:rFonts w:ascii="Times New Roman"/>
                <w:w w:val="100"/>
                <w:sz w:val="21"/>
              </w:rPr>
              <w:t>5</w:t>
            </w:r>
          </w:p>
        </w:tc>
        <w:tc>
          <w:tcPr>
            <w:tcW w:w="2792" w:type="dxa"/>
          </w:tcPr>
          <w:p>
            <w:pPr>
              <w:pStyle w:val="TableParagraph"/>
              <w:spacing w:line="242" w:lineRule="auto" w:before="25"/>
              <w:ind w:left="345" w:right="122" w:hanging="212"/>
              <w:rPr>
                <w:sz w:val="21"/>
              </w:rPr>
            </w:pPr>
            <w:r>
              <w:rPr>
                <w:sz w:val="21"/>
              </w:rPr>
              <w:t>富联科技（晋城）有限公司突发环境事件应急预案</w:t>
            </w:r>
          </w:p>
        </w:tc>
        <w:tc>
          <w:tcPr>
            <w:tcW w:w="2079" w:type="dxa"/>
          </w:tcPr>
          <w:p>
            <w:pPr>
              <w:pStyle w:val="TableParagraph"/>
              <w:spacing w:line="242" w:lineRule="auto" w:before="25"/>
              <w:ind w:left="513" w:right="79" w:hanging="420"/>
              <w:rPr>
                <w:sz w:val="21"/>
              </w:rPr>
            </w:pPr>
            <w:r>
              <w:rPr>
                <w:sz w:val="21"/>
              </w:rPr>
              <w:t>晋城经济技术开发区建设环保局</w:t>
            </w:r>
          </w:p>
        </w:tc>
        <w:tc>
          <w:tcPr>
            <w:tcW w:w="1171" w:type="dxa"/>
          </w:tcPr>
          <w:p>
            <w:pPr>
              <w:pStyle w:val="TableParagraph"/>
              <w:spacing w:before="169"/>
              <w:ind w:left="117"/>
              <w:rPr>
                <w:rFonts w:ascii="Times New Roman"/>
                <w:sz w:val="21"/>
              </w:rPr>
            </w:pPr>
            <w:r>
              <w:rPr>
                <w:rFonts w:ascii="Times New Roman"/>
                <w:sz w:val="21"/>
              </w:rPr>
              <w:t>2023.11.30</w:t>
            </w:r>
          </w:p>
        </w:tc>
        <w:tc>
          <w:tcPr>
            <w:tcW w:w="2091" w:type="dxa"/>
          </w:tcPr>
          <w:p>
            <w:pPr>
              <w:pStyle w:val="TableParagraph"/>
              <w:spacing w:before="169"/>
              <w:ind w:left="7"/>
              <w:jc w:val="center"/>
              <w:rPr>
                <w:rFonts w:ascii="Times New Roman"/>
                <w:sz w:val="21"/>
              </w:rPr>
            </w:pPr>
            <w:r>
              <w:rPr>
                <w:rFonts w:ascii="Times New Roman"/>
                <w:sz w:val="21"/>
              </w:rPr>
              <w:t>140500-2020-04-M</w:t>
            </w:r>
          </w:p>
        </w:tc>
      </w:tr>
      <w:tr>
        <w:trPr>
          <w:trHeight w:val="599" w:hRule="atLeast"/>
        </w:trPr>
        <w:tc>
          <w:tcPr>
            <w:tcW w:w="511" w:type="dxa"/>
          </w:tcPr>
          <w:p>
            <w:pPr>
              <w:pStyle w:val="TableParagraph"/>
              <w:spacing w:before="169"/>
              <w:ind w:left="7"/>
              <w:jc w:val="center"/>
              <w:rPr>
                <w:rFonts w:ascii="Times New Roman"/>
                <w:sz w:val="21"/>
              </w:rPr>
            </w:pPr>
            <w:r>
              <w:rPr>
                <w:rFonts w:ascii="Times New Roman"/>
                <w:w w:val="100"/>
                <w:sz w:val="21"/>
              </w:rPr>
              <w:t>6</w:t>
            </w:r>
          </w:p>
        </w:tc>
        <w:tc>
          <w:tcPr>
            <w:tcW w:w="2792" w:type="dxa"/>
          </w:tcPr>
          <w:p>
            <w:pPr>
              <w:pStyle w:val="TableParagraph"/>
              <w:spacing w:line="244" w:lineRule="auto" w:before="23"/>
              <w:ind w:left="345" w:right="122" w:hanging="212"/>
              <w:rPr>
                <w:sz w:val="21"/>
              </w:rPr>
            </w:pPr>
            <w:r>
              <w:rPr>
                <w:sz w:val="21"/>
              </w:rPr>
              <w:t>富联科技（鹤壁）有限公司突发环境事件应急预案</w:t>
            </w:r>
          </w:p>
        </w:tc>
        <w:tc>
          <w:tcPr>
            <w:tcW w:w="2079" w:type="dxa"/>
          </w:tcPr>
          <w:p>
            <w:pPr>
              <w:pStyle w:val="TableParagraph"/>
              <w:spacing w:line="244" w:lineRule="auto" w:before="23"/>
              <w:ind w:left="93" w:right="79"/>
              <w:rPr>
                <w:sz w:val="21"/>
              </w:rPr>
            </w:pPr>
            <w:r>
              <w:rPr>
                <w:sz w:val="21"/>
              </w:rPr>
              <w:t>鹤壁市环境保护局城乡一体化示范区分局</w:t>
            </w:r>
          </w:p>
        </w:tc>
        <w:tc>
          <w:tcPr>
            <w:tcW w:w="1171" w:type="dxa"/>
          </w:tcPr>
          <w:p>
            <w:pPr>
              <w:pStyle w:val="TableParagraph"/>
              <w:spacing w:before="169"/>
              <w:ind w:left="112"/>
              <w:rPr>
                <w:rFonts w:ascii="Times New Roman"/>
                <w:sz w:val="21"/>
              </w:rPr>
            </w:pPr>
            <w:r>
              <w:rPr>
                <w:rFonts w:ascii="Times New Roman"/>
                <w:sz w:val="21"/>
              </w:rPr>
              <w:t>2023.04.21</w:t>
            </w:r>
          </w:p>
        </w:tc>
        <w:tc>
          <w:tcPr>
            <w:tcW w:w="2091" w:type="dxa"/>
          </w:tcPr>
          <w:p>
            <w:pPr>
              <w:pStyle w:val="TableParagraph"/>
              <w:spacing w:before="169"/>
              <w:ind w:left="8"/>
              <w:jc w:val="center"/>
              <w:rPr>
                <w:rFonts w:ascii="Times New Roman"/>
                <w:sz w:val="21"/>
              </w:rPr>
            </w:pPr>
            <w:r>
              <w:rPr>
                <w:rFonts w:ascii="Times New Roman"/>
                <w:sz w:val="21"/>
              </w:rPr>
              <w:t>410622202004001L</w:t>
            </w:r>
          </w:p>
        </w:tc>
      </w:tr>
      <w:tr>
        <w:trPr>
          <w:trHeight w:val="873" w:hRule="atLeast"/>
        </w:trPr>
        <w:tc>
          <w:tcPr>
            <w:tcW w:w="511" w:type="dxa"/>
          </w:tcPr>
          <w:p>
            <w:pPr>
              <w:pStyle w:val="TableParagraph"/>
              <w:spacing w:before="11"/>
              <w:rPr>
                <w:sz w:val="23"/>
              </w:rPr>
            </w:pPr>
          </w:p>
          <w:p>
            <w:pPr>
              <w:pStyle w:val="TableParagraph"/>
              <w:ind w:left="7"/>
              <w:jc w:val="center"/>
              <w:rPr>
                <w:rFonts w:ascii="Times New Roman"/>
                <w:sz w:val="21"/>
              </w:rPr>
            </w:pPr>
            <w:r>
              <w:rPr>
                <w:rFonts w:ascii="Times New Roman"/>
                <w:w w:val="100"/>
                <w:sz w:val="21"/>
              </w:rPr>
              <w:t>7</w:t>
            </w:r>
          </w:p>
        </w:tc>
        <w:tc>
          <w:tcPr>
            <w:tcW w:w="2792" w:type="dxa"/>
          </w:tcPr>
          <w:p>
            <w:pPr>
              <w:pStyle w:val="TableParagraph"/>
              <w:spacing w:line="242" w:lineRule="auto" w:before="162"/>
              <w:ind w:left="345" w:right="122" w:hanging="212"/>
              <w:rPr>
                <w:sz w:val="21"/>
              </w:rPr>
            </w:pPr>
            <w:r>
              <w:rPr>
                <w:sz w:val="21"/>
              </w:rPr>
              <w:t>富联科技（山西）有限公司突发环境事件应急预案</w:t>
            </w:r>
          </w:p>
        </w:tc>
        <w:tc>
          <w:tcPr>
            <w:tcW w:w="2079" w:type="dxa"/>
          </w:tcPr>
          <w:p>
            <w:pPr>
              <w:pStyle w:val="TableParagraph"/>
              <w:spacing w:line="242" w:lineRule="auto" w:before="25"/>
              <w:ind w:left="93" w:right="79"/>
              <w:jc w:val="center"/>
              <w:rPr>
                <w:sz w:val="21"/>
              </w:rPr>
            </w:pPr>
            <w:r>
              <w:rPr>
                <w:sz w:val="21"/>
              </w:rPr>
              <w:t>太原市生态环境局山西转型综合改革示范区分局</w:t>
            </w:r>
          </w:p>
        </w:tc>
        <w:tc>
          <w:tcPr>
            <w:tcW w:w="1171" w:type="dxa"/>
          </w:tcPr>
          <w:p>
            <w:pPr>
              <w:pStyle w:val="TableParagraph"/>
              <w:spacing w:before="11"/>
              <w:rPr>
                <w:sz w:val="23"/>
              </w:rPr>
            </w:pPr>
          </w:p>
          <w:p>
            <w:pPr>
              <w:pStyle w:val="TableParagraph"/>
              <w:ind w:left="112"/>
              <w:rPr>
                <w:rFonts w:ascii="Times New Roman"/>
                <w:sz w:val="21"/>
              </w:rPr>
            </w:pPr>
            <w:r>
              <w:rPr>
                <w:rFonts w:ascii="Times New Roman"/>
                <w:sz w:val="21"/>
              </w:rPr>
              <w:t>2024.08.17</w:t>
            </w:r>
          </w:p>
        </w:tc>
        <w:tc>
          <w:tcPr>
            <w:tcW w:w="2091" w:type="dxa"/>
          </w:tcPr>
          <w:p>
            <w:pPr>
              <w:pStyle w:val="TableParagraph"/>
              <w:spacing w:before="11"/>
              <w:rPr>
                <w:sz w:val="23"/>
              </w:rPr>
            </w:pPr>
          </w:p>
          <w:p>
            <w:pPr>
              <w:pStyle w:val="TableParagraph"/>
              <w:ind w:left="7"/>
              <w:jc w:val="center"/>
              <w:rPr>
                <w:rFonts w:ascii="Times New Roman"/>
                <w:sz w:val="21"/>
              </w:rPr>
            </w:pPr>
            <w:r>
              <w:rPr>
                <w:rFonts w:ascii="Times New Roman"/>
                <w:sz w:val="21"/>
              </w:rPr>
              <w:t>140162-2021-024-M</w:t>
            </w:r>
          </w:p>
        </w:tc>
      </w:tr>
      <w:tr>
        <w:trPr>
          <w:trHeight w:val="873" w:hRule="atLeast"/>
        </w:trPr>
        <w:tc>
          <w:tcPr>
            <w:tcW w:w="511" w:type="dxa"/>
          </w:tcPr>
          <w:p>
            <w:pPr>
              <w:pStyle w:val="TableParagraph"/>
              <w:spacing w:before="10"/>
              <w:rPr>
                <w:sz w:val="23"/>
              </w:rPr>
            </w:pPr>
          </w:p>
          <w:p>
            <w:pPr>
              <w:pStyle w:val="TableParagraph"/>
              <w:spacing w:before="1"/>
              <w:ind w:left="7"/>
              <w:jc w:val="center"/>
              <w:rPr>
                <w:rFonts w:ascii="Times New Roman"/>
                <w:sz w:val="21"/>
              </w:rPr>
            </w:pPr>
            <w:r>
              <w:rPr>
                <w:rFonts w:ascii="Times New Roman"/>
                <w:w w:val="100"/>
                <w:sz w:val="21"/>
              </w:rPr>
              <w:t>8</w:t>
            </w:r>
          </w:p>
        </w:tc>
        <w:tc>
          <w:tcPr>
            <w:tcW w:w="2792" w:type="dxa"/>
          </w:tcPr>
          <w:p>
            <w:pPr>
              <w:pStyle w:val="TableParagraph"/>
              <w:spacing w:line="242" w:lineRule="auto" w:before="162"/>
              <w:ind w:left="451" w:right="14" w:hanging="420"/>
              <w:rPr>
                <w:sz w:val="21"/>
              </w:rPr>
            </w:pPr>
            <w:r>
              <w:rPr>
                <w:sz w:val="21"/>
              </w:rPr>
              <w:t>富联科技（武汉）有限公司突发环境事件应急预案</w:t>
            </w:r>
          </w:p>
        </w:tc>
        <w:tc>
          <w:tcPr>
            <w:tcW w:w="2079" w:type="dxa"/>
          </w:tcPr>
          <w:p>
            <w:pPr>
              <w:pStyle w:val="TableParagraph"/>
              <w:spacing w:line="242" w:lineRule="auto" w:before="25"/>
              <w:ind w:left="93" w:right="79"/>
              <w:jc w:val="center"/>
              <w:rPr>
                <w:sz w:val="21"/>
              </w:rPr>
            </w:pPr>
            <w:r>
              <w:rPr>
                <w:sz w:val="21"/>
              </w:rPr>
              <w:t>武汉东湖新技术开发区生态环境和水务湖泊局</w:t>
            </w:r>
          </w:p>
        </w:tc>
        <w:tc>
          <w:tcPr>
            <w:tcW w:w="1171" w:type="dxa"/>
          </w:tcPr>
          <w:p>
            <w:pPr>
              <w:pStyle w:val="TableParagraph"/>
              <w:spacing w:before="10"/>
              <w:rPr>
                <w:sz w:val="23"/>
              </w:rPr>
            </w:pPr>
          </w:p>
          <w:p>
            <w:pPr>
              <w:pStyle w:val="TableParagraph"/>
              <w:spacing w:before="1"/>
              <w:ind w:left="112"/>
              <w:rPr>
                <w:rFonts w:ascii="Times New Roman"/>
                <w:sz w:val="21"/>
              </w:rPr>
            </w:pPr>
            <w:r>
              <w:rPr>
                <w:rFonts w:ascii="Times New Roman"/>
                <w:sz w:val="21"/>
              </w:rPr>
              <w:t>2025.06.02</w:t>
            </w:r>
          </w:p>
        </w:tc>
        <w:tc>
          <w:tcPr>
            <w:tcW w:w="2091" w:type="dxa"/>
          </w:tcPr>
          <w:p>
            <w:pPr>
              <w:pStyle w:val="TableParagraph"/>
              <w:spacing w:line="266" w:lineRule="exact" w:before="176"/>
              <w:ind w:left="12"/>
              <w:jc w:val="center"/>
              <w:rPr>
                <w:rFonts w:ascii="Times New Roman" w:eastAsia="Times New Roman"/>
                <w:sz w:val="21"/>
              </w:rPr>
            </w:pPr>
            <w:r>
              <w:rPr>
                <w:rFonts w:ascii="Times New Roman" w:eastAsia="Times New Roman"/>
                <w:sz w:val="21"/>
              </w:rPr>
              <w:t>420111-</w:t>
            </w:r>
            <w:r>
              <w:rPr>
                <w:sz w:val="21"/>
              </w:rPr>
              <w:t>高新</w:t>
            </w:r>
            <w:r>
              <w:rPr>
                <w:rFonts w:ascii="Times New Roman" w:eastAsia="Times New Roman"/>
                <w:sz w:val="21"/>
              </w:rPr>
              <w:t>-2022-</w:t>
            </w:r>
          </w:p>
          <w:p>
            <w:pPr>
              <w:pStyle w:val="TableParagraph"/>
              <w:spacing w:line="239" w:lineRule="exact"/>
              <w:ind w:left="9"/>
              <w:jc w:val="center"/>
              <w:rPr>
                <w:rFonts w:ascii="Times New Roman"/>
                <w:sz w:val="21"/>
              </w:rPr>
            </w:pPr>
            <w:r>
              <w:rPr>
                <w:rFonts w:ascii="Times New Roman"/>
                <w:sz w:val="21"/>
              </w:rPr>
              <w:t>035-L</w:t>
            </w:r>
          </w:p>
        </w:tc>
      </w:tr>
      <w:tr>
        <w:trPr>
          <w:trHeight w:val="602" w:hRule="atLeast"/>
        </w:trPr>
        <w:tc>
          <w:tcPr>
            <w:tcW w:w="511" w:type="dxa"/>
          </w:tcPr>
          <w:p>
            <w:pPr>
              <w:pStyle w:val="TableParagraph"/>
              <w:spacing w:before="169"/>
              <w:ind w:left="7"/>
              <w:jc w:val="center"/>
              <w:rPr>
                <w:rFonts w:ascii="Times New Roman"/>
                <w:sz w:val="21"/>
              </w:rPr>
            </w:pPr>
            <w:r>
              <w:rPr>
                <w:rFonts w:ascii="Times New Roman"/>
                <w:w w:val="100"/>
                <w:sz w:val="21"/>
              </w:rPr>
              <w:t>9</w:t>
            </w:r>
          </w:p>
        </w:tc>
        <w:tc>
          <w:tcPr>
            <w:tcW w:w="2792" w:type="dxa"/>
          </w:tcPr>
          <w:p>
            <w:pPr>
              <w:pStyle w:val="TableParagraph"/>
              <w:spacing w:line="242" w:lineRule="auto" w:before="25"/>
              <w:ind w:left="451" w:right="14" w:hanging="420"/>
              <w:rPr>
                <w:sz w:val="21"/>
              </w:rPr>
            </w:pPr>
            <w:r>
              <w:rPr>
                <w:sz w:val="21"/>
              </w:rPr>
              <w:t>富联科技（兰考）有限公司突发环境事件应急预案</w:t>
            </w:r>
          </w:p>
        </w:tc>
        <w:tc>
          <w:tcPr>
            <w:tcW w:w="2079" w:type="dxa"/>
          </w:tcPr>
          <w:p>
            <w:pPr>
              <w:pStyle w:val="TableParagraph"/>
              <w:spacing w:line="242" w:lineRule="auto" w:before="25"/>
              <w:ind w:left="724" w:right="79" w:hanging="632"/>
              <w:rPr>
                <w:sz w:val="21"/>
              </w:rPr>
            </w:pPr>
            <w:r>
              <w:rPr>
                <w:sz w:val="21"/>
              </w:rPr>
              <w:t>开封市生态环境局兰考分局</w:t>
            </w:r>
          </w:p>
        </w:tc>
        <w:tc>
          <w:tcPr>
            <w:tcW w:w="1171" w:type="dxa"/>
          </w:tcPr>
          <w:p>
            <w:pPr>
              <w:pStyle w:val="TableParagraph"/>
              <w:spacing w:before="169"/>
              <w:ind w:left="112"/>
              <w:rPr>
                <w:rFonts w:ascii="Times New Roman"/>
                <w:sz w:val="21"/>
              </w:rPr>
            </w:pPr>
            <w:r>
              <w:rPr>
                <w:rFonts w:ascii="Times New Roman"/>
                <w:sz w:val="21"/>
              </w:rPr>
              <w:t>2025.10.19</w:t>
            </w:r>
          </w:p>
        </w:tc>
        <w:tc>
          <w:tcPr>
            <w:tcW w:w="2091" w:type="dxa"/>
          </w:tcPr>
          <w:p>
            <w:pPr>
              <w:pStyle w:val="TableParagraph"/>
              <w:spacing w:before="169"/>
              <w:ind w:left="12"/>
              <w:jc w:val="center"/>
              <w:rPr>
                <w:rFonts w:ascii="Times New Roman"/>
                <w:sz w:val="21"/>
              </w:rPr>
            </w:pPr>
            <w:r>
              <w:rPr>
                <w:rFonts w:ascii="Times New Roman"/>
                <w:sz w:val="21"/>
              </w:rPr>
              <w:t>410225-2022-003M</w:t>
            </w:r>
          </w:p>
        </w:tc>
      </w:tr>
    </w:tbl>
    <w:p>
      <w:pPr>
        <w:pStyle w:val="BodyText"/>
        <w:ind w:left="1158"/>
      </w:pPr>
      <w:r>
        <w:rPr>
          <w:w w:val="100"/>
        </w:rPr>
        <w:t> </w:t>
      </w:r>
    </w:p>
    <w:p>
      <w:pPr>
        <w:pStyle w:val="BodyText"/>
        <w:ind w:left="1158"/>
      </w:pPr>
      <w:r>
        <w:rPr>
          <w:w w:val="100"/>
        </w:rPr>
        <w:t> </w:t>
      </w:r>
    </w:p>
    <w:p>
      <w:pPr>
        <w:pStyle w:val="ListParagraph"/>
        <w:numPr>
          <w:ilvl w:val="0"/>
          <w:numId w:val="26"/>
        </w:numPr>
        <w:tabs>
          <w:tab w:pos="1583" w:val="left" w:leader="none"/>
        </w:tabs>
        <w:spacing w:line="240" w:lineRule="auto" w:before="63" w:after="0"/>
        <w:ind w:left="1582" w:right="0" w:hanging="425"/>
        <w:jc w:val="left"/>
        <w:rPr>
          <w:sz w:val="21"/>
        </w:rPr>
      </w:pPr>
      <w:r>
        <w:rPr>
          <w:sz w:val="21"/>
        </w:rPr>
        <w:t>环境自行监测方案 </w:t>
      </w:r>
    </w:p>
    <w:p>
      <w:pPr>
        <w:pStyle w:val="BodyText"/>
        <w:spacing w:before="62"/>
        <w:ind w:left="1158"/>
      </w:pPr>
      <w:r>
        <w:rPr>
          <w:spacing w:val="-1"/>
        </w:rPr>
        <w:t>√适用 □不适用</w:t>
      </w:r>
      <w:r>
        <w:rPr>
          <w:spacing w:val="-3"/>
        </w:rPr>
        <w:t> </w:t>
      </w:r>
      <w:r>
        <w:rPr/>
        <w:t> </w:t>
      </w:r>
    </w:p>
    <w:p>
      <w:pPr>
        <w:pStyle w:val="BodyText"/>
        <w:spacing w:line="244" w:lineRule="auto" w:before="3"/>
        <w:ind w:left="1158" w:right="537"/>
      </w:pPr>
      <w:r>
        <w:rPr/>
        <w:t>公司制定年度环境自行监测方案，并按照方案规划按时委托有资质的第三方检测机构对废水、废气和厂界噪声等开展监测。 </w:t>
      </w:r>
    </w:p>
    <w:p>
      <w:pPr>
        <w:pStyle w:val="BodyText"/>
        <w:spacing w:line="265" w:lineRule="exact"/>
        <w:ind w:left="1158"/>
      </w:pPr>
      <w:r>
        <w:rPr>
          <w:w w:val="100"/>
        </w:rPr>
        <w:t> </w:t>
      </w:r>
    </w:p>
    <w:p>
      <w:pPr>
        <w:pStyle w:val="ListParagraph"/>
        <w:numPr>
          <w:ilvl w:val="0"/>
          <w:numId w:val="26"/>
        </w:numPr>
        <w:tabs>
          <w:tab w:pos="1583" w:val="left" w:leader="none"/>
        </w:tabs>
        <w:spacing w:line="240" w:lineRule="auto" w:before="65" w:after="0"/>
        <w:ind w:left="1582" w:right="0" w:hanging="425"/>
        <w:jc w:val="left"/>
        <w:rPr>
          <w:sz w:val="21"/>
        </w:rPr>
      </w:pPr>
      <w:r>
        <w:rPr>
          <w:sz w:val="21"/>
        </w:rPr>
        <w:t>报告期内因环境问题受到行政处罚的情况 </w:t>
      </w:r>
    </w:p>
    <w:p>
      <w:pPr>
        <w:pStyle w:val="BodyText"/>
        <w:spacing w:before="62"/>
        <w:ind w:left="1158"/>
      </w:pPr>
      <w:r>
        <w:rPr>
          <w:spacing w:val="-1"/>
        </w:rPr>
        <w:t>□适用 √不适用</w:t>
      </w:r>
      <w:r>
        <w:rPr>
          <w:spacing w:val="-3"/>
        </w:rPr>
        <w:t> </w:t>
      </w:r>
      <w:r>
        <w:rPr/>
        <w:t> </w:t>
      </w:r>
    </w:p>
    <w:p>
      <w:pPr>
        <w:pStyle w:val="BodyText"/>
        <w:spacing w:before="4"/>
        <w:ind w:left="1158"/>
      </w:pPr>
      <w:r>
        <w:rPr>
          <w:w w:val="100"/>
        </w:rPr>
        <w:t> </w:t>
      </w:r>
    </w:p>
    <w:p>
      <w:pPr>
        <w:pStyle w:val="BodyText"/>
        <w:spacing w:before="2"/>
        <w:ind w:left="1158"/>
      </w:pPr>
      <w:r>
        <w:rPr>
          <w:w w:val="100"/>
        </w:rPr>
        <w:t> </w:t>
      </w:r>
    </w:p>
    <w:p>
      <w:pPr>
        <w:pStyle w:val="ListParagraph"/>
        <w:numPr>
          <w:ilvl w:val="0"/>
          <w:numId w:val="26"/>
        </w:numPr>
        <w:tabs>
          <w:tab w:pos="1583" w:val="left" w:leader="none"/>
        </w:tabs>
        <w:spacing w:line="240" w:lineRule="auto" w:before="65" w:after="0"/>
        <w:ind w:left="1582" w:right="0" w:hanging="425"/>
        <w:jc w:val="left"/>
        <w:rPr>
          <w:sz w:val="21"/>
        </w:rPr>
      </w:pPr>
      <w:r>
        <w:rPr>
          <w:sz w:val="21"/>
        </w:rPr>
        <w:t>其他应当公开的环境信息 </w:t>
      </w:r>
    </w:p>
    <w:p>
      <w:pPr>
        <w:pStyle w:val="BodyText"/>
        <w:spacing w:before="62"/>
        <w:ind w:left="1158"/>
      </w:pPr>
      <w:r>
        <w:rPr>
          <w:spacing w:val="-1"/>
        </w:rPr>
        <w:t>√适用 □不适用</w:t>
      </w:r>
      <w:r>
        <w:rPr>
          <w:spacing w:val="-3"/>
        </w:rPr>
        <w:t> </w:t>
      </w:r>
      <w:r>
        <w:rPr/>
        <w:t> </w:t>
      </w:r>
    </w:p>
    <w:p>
      <w:pPr>
        <w:spacing w:after="0"/>
        <w:sectPr>
          <w:pgSz w:w="11910" w:h="16840"/>
          <w:pgMar w:header="877" w:footer="1187" w:top="1440" w:bottom="1380" w:left="640" w:right="740"/>
        </w:sectPr>
      </w:pPr>
    </w:p>
    <w:p>
      <w:pPr>
        <w:pStyle w:val="BodyText"/>
        <w:spacing w:line="235" w:lineRule="auto" w:before="72"/>
        <w:ind w:left="1158" w:right="609"/>
        <w:jc w:val="both"/>
      </w:pPr>
      <w:r>
        <w:rPr/>
        <w:t>公司依企事业环保信用评价办法规定，进行环保信用评价，富联精密电子</w:t>
      </w:r>
      <w:r>
        <w:rPr>
          <w:rFonts w:ascii="Times New Roman" w:eastAsia="Times New Roman"/>
        </w:rPr>
        <w:t>(</w:t>
      </w:r>
      <w:r>
        <w:rPr/>
        <w:t>郑州</w:t>
      </w:r>
      <w:r>
        <w:rPr>
          <w:rFonts w:ascii="Times New Roman" w:eastAsia="Times New Roman"/>
        </w:rPr>
        <w:t>)</w:t>
      </w:r>
      <w:r>
        <w:rPr/>
        <w:t>有限公司、富联科技</w:t>
      </w:r>
      <w:r>
        <w:rPr>
          <w:rFonts w:ascii="PMingLiU-ExtB" w:eastAsia="PMingLiU-ExtB"/>
        </w:rPr>
        <w:t>(</w:t>
      </w:r>
      <w:r>
        <w:rPr/>
        <w:t>济源</w:t>
      </w:r>
      <w:r>
        <w:rPr>
          <w:rFonts w:ascii="PMingLiU-ExtB" w:eastAsia="PMingLiU-ExtB"/>
        </w:rPr>
        <w:t>)</w:t>
      </w:r>
      <w:r>
        <w:rPr/>
        <w:t>有限公司、富联科技（鹤壁）有限公司、富联裕展科技（河南）有限公司、富联精密电子</w:t>
      </w:r>
      <w:r>
        <w:rPr>
          <w:rFonts w:ascii="PMingLiU-ExtB" w:eastAsia="PMingLiU-ExtB"/>
        </w:rPr>
        <w:t>(</w:t>
      </w:r>
      <w:r>
        <w:rPr/>
        <w:t>天津</w:t>
      </w:r>
      <w:r>
        <w:rPr>
          <w:rFonts w:ascii="PMingLiU-ExtB" w:eastAsia="PMingLiU-ExtB"/>
        </w:rPr>
        <w:t>)</w:t>
      </w:r>
      <w:r>
        <w:rPr/>
        <w:t>有限公司环境信用评价均取得绿牌，信用等级为环保诚信企业，为四项等级中最高级别。 </w:t>
      </w:r>
    </w:p>
    <w:p>
      <w:pPr>
        <w:pStyle w:val="BodyText"/>
        <w:spacing w:before="9"/>
        <w:ind w:left="1158"/>
      </w:pPr>
      <w:r>
        <w:rPr>
          <w:w w:val="100"/>
        </w:rPr>
        <w:t> </w:t>
      </w:r>
    </w:p>
    <w:p>
      <w:pPr>
        <w:pStyle w:val="BodyText"/>
        <w:spacing w:before="62"/>
        <w:ind w:left="1158"/>
      </w:pPr>
      <w:r>
        <w:rPr>
          <w:spacing w:val="-7"/>
        </w:rPr>
        <w:t>(二) 重点排污单位之外的公司环保情况说明</w:t>
      </w:r>
      <w:r>
        <w:rPr/>
        <w:t> </w:t>
      </w:r>
    </w:p>
    <w:p>
      <w:pPr>
        <w:pStyle w:val="BodyText"/>
        <w:spacing w:before="65"/>
        <w:ind w:left="1158"/>
      </w:pPr>
      <w:r>
        <w:rPr>
          <w:spacing w:val="-1"/>
        </w:rPr>
        <w:t>□适用 √不适用</w:t>
      </w:r>
      <w:r>
        <w:rPr>
          <w:spacing w:val="-3"/>
        </w:rPr>
        <w:t> </w:t>
      </w:r>
      <w:r>
        <w:rPr/>
        <w:t> </w:t>
      </w:r>
    </w:p>
    <w:p>
      <w:pPr>
        <w:pStyle w:val="BodyText"/>
        <w:spacing w:before="2"/>
        <w:ind w:left="1158"/>
      </w:pPr>
      <w:r>
        <w:rPr>
          <w:w w:val="100"/>
        </w:rPr>
        <w:t> </w:t>
      </w:r>
    </w:p>
    <w:p>
      <w:pPr>
        <w:pStyle w:val="BodyText"/>
        <w:spacing w:before="5"/>
        <w:ind w:left="1158"/>
      </w:pPr>
      <w:r>
        <w:rPr>
          <w:w w:val="100"/>
        </w:rPr>
        <w:t> </w:t>
      </w:r>
    </w:p>
    <w:p>
      <w:pPr>
        <w:pStyle w:val="BodyText"/>
        <w:spacing w:before="62"/>
        <w:ind w:left="1158"/>
      </w:pPr>
      <w:r>
        <w:rPr>
          <w:spacing w:val="-6"/>
        </w:rPr>
        <w:t>(三) 有利于保护生态、防治污染、履行环境责任的相关信息 </w:t>
      </w:r>
    </w:p>
    <w:p>
      <w:pPr>
        <w:pStyle w:val="BodyText"/>
        <w:spacing w:before="64"/>
        <w:ind w:left="1158"/>
      </w:pPr>
      <w:r>
        <w:rPr>
          <w:spacing w:val="-1"/>
        </w:rPr>
        <w:t>√适用 □不适用</w:t>
      </w:r>
      <w:r>
        <w:rPr>
          <w:spacing w:val="-3"/>
        </w:rPr>
        <w:t> </w:t>
      </w:r>
      <w:r>
        <w:rPr/>
        <w:t> </w:t>
      </w:r>
    </w:p>
    <w:p>
      <w:pPr>
        <w:pStyle w:val="BodyText"/>
        <w:spacing w:line="364" w:lineRule="auto" w:before="3"/>
        <w:ind w:left="1158" w:right="527" w:firstLine="419"/>
        <w:jc w:val="both"/>
      </w:pPr>
      <w:r>
        <w:rPr/>
        <w:t>公司各园区皆依照内部污染物排放相关管理制度，进行污染物的监控和管理，并委托第三方专业机构进行污染物的监测及妥善处理，报告期内未发生重大环境事件和污染事故。秉承“防治污染、持续减废、提供符合环保产品、节约能源、保护环境、务实经营绿色企业”的环境政策，</w:t>
      </w:r>
      <w:r>
        <w:rPr>
          <w:spacing w:val="-103"/>
        </w:rPr>
        <w:t> </w:t>
      </w:r>
      <w:r>
        <w:rPr/>
        <w:t>公司一直致力在绿色研发上投入资源，例如环保产品设计、碳排放减量、流程管理、能源及资源</w:t>
      </w:r>
      <w:r>
        <w:rPr>
          <w:spacing w:val="-1"/>
        </w:rPr>
        <w:t>管理和供应链管理等领域，以及达到创新、高效节能及绿色科技在制造业全方位应用。</w:t>
      </w:r>
      <w:r>
        <w:rPr>
          <w:rFonts w:ascii="Times New Roman" w:hAnsi="Times New Roman" w:eastAsia="Times New Roman"/>
        </w:rPr>
        <w:t>2022 </w:t>
      </w:r>
      <w:r>
        <w:rPr>
          <w:spacing w:val="-22"/>
        </w:rPr>
        <w:t>年 </w:t>
      </w:r>
      <w:r>
        <w:rPr>
          <w:rFonts w:ascii="Times New Roman" w:hAnsi="Times New Roman" w:eastAsia="Times New Roman"/>
        </w:rPr>
        <w:t>1</w:t>
      </w:r>
      <w:r>
        <w:rPr>
          <w:rFonts w:ascii="Times New Roman" w:hAnsi="Times New Roman" w:eastAsia="Times New Roman"/>
          <w:spacing w:val="-50"/>
        </w:rPr>
        <w:t> </w:t>
      </w:r>
      <w:r>
        <w:rPr/>
        <w:t>月深圳精匠云创科技有限公司、富联精密电子（天津）</w:t>
      </w:r>
      <w:r>
        <w:rPr>
          <w:spacing w:val="-5"/>
        </w:rPr>
        <w:t>有限公司被国家工信部评为第 </w:t>
      </w:r>
      <w:r>
        <w:rPr>
          <w:rFonts w:ascii="Times New Roman" w:hAnsi="Times New Roman" w:eastAsia="Times New Roman"/>
        </w:rPr>
        <w:t>6</w:t>
      </w:r>
      <w:r>
        <w:rPr>
          <w:rFonts w:ascii="Times New Roman" w:hAnsi="Times New Roman" w:eastAsia="Times New Roman"/>
          <w:spacing w:val="-19"/>
        </w:rPr>
        <w:t> </w:t>
      </w:r>
      <w:r>
        <w:rPr/>
        <w:t>批国家级绿色工厂，富联科技（鹤壁）有限公司被河南省工信厅评为省级绿色工厂；深圳龙华园区、南宁</w:t>
      </w:r>
      <w:r>
        <w:rPr>
          <w:spacing w:val="-10"/>
        </w:rPr>
        <w:t>园区分别于 </w:t>
      </w:r>
      <w:r>
        <w:rPr>
          <w:rFonts w:ascii="Times New Roman" w:hAnsi="Times New Roman" w:eastAsia="Times New Roman"/>
        </w:rPr>
        <w:t>2022</w:t>
      </w:r>
      <w:r>
        <w:rPr>
          <w:rFonts w:ascii="Times New Roman" w:hAnsi="Times New Roman" w:eastAsia="Times New Roman"/>
          <w:spacing w:val="-18"/>
        </w:rPr>
        <w:t> </w:t>
      </w:r>
      <w:r>
        <w:rPr>
          <w:spacing w:val="-30"/>
        </w:rPr>
        <w:t>年 </w:t>
      </w:r>
      <w:r>
        <w:rPr>
          <w:rFonts w:ascii="Times New Roman" w:hAnsi="Times New Roman" w:eastAsia="Times New Roman"/>
        </w:rPr>
        <w:t>3</w:t>
      </w:r>
      <w:r>
        <w:rPr>
          <w:rFonts w:ascii="Times New Roman" w:hAnsi="Times New Roman" w:eastAsia="Times New Roman"/>
          <w:spacing w:val="-19"/>
        </w:rPr>
        <w:t> </w:t>
      </w:r>
      <w:r>
        <w:rPr/>
        <w:t>月、</w:t>
      </w:r>
      <w:r>
        <w:rPr>
          <w:rFonts w:ascii="Times New Roman" w:hAnsi="Times New Roman" w:eastAsia="Times New Roman"/>
        </w:rPr>
        <w:t>2022</w:t>
      </w:r>
      <w:r>
        <w:rPr>
          <w:rFonts w:ascii="Times New Roman" w:hAnsi="Times New Roman" w:eastAsia="Times New Roman"/>
          <w:spacing w:val="-16"/>
        </w:rPr>
        <w:t> </w:t>
      </w:r>
      <w:r>
        <w:rPr>
          <w:spacing w:val="-31"/>
        </w:rPr>
        <w:t>年 </w:t>
      </w:r>
      <w:r>
        <w:rPr>
          <w:rFonts w:ascii="Times New Roman" w:hAnsi="Times New Roman" w:eastAsia="Times New Roman"/>
        </w:rPr>
        <w:t>8</w:t>
      </w:r>
      <w:r>
        <w:rPr>
          <w:rFonts w:ascii="Times New Roman" w:hAnsi="Times New Roman" w:eastAsia="Times New Roman"/>
          <w:spacing w:val="-16"/>
        </w:rPr>
        <w:t> </w:t>
      </w:r>
      <w:r>
        <w:rPr>
          <w:spacing w:val="14"/>
        </w:rPr>
        <w:t>月通过</w:t>
      </w:r>
      <w:r>
        <w:rPr>
          <w:rFonts w:ascii="Times New Roman" w:hAnsi="Times New Roman" w:eastAsia="Times New Roman"/>
        </w:rPr>
        <w:t>UL2799</w:t>
      </w:r>
      <w:r>
        <w:rPr>
          <w:rFonts w:ascii="Times New Roman" w:hAnsi="Times New Roman" w:eastAsia="Times New Roman"/>
          <w:spacing w:val="-15"/>
        </w:rPr>
        <w:t> </w:t>
      </w:r>
      <w:r>
        <w:rPr/>
        <w:t>废弃物零填埋铂金级认证；南宁富联富桂精密</w:t>
      </w:r>
      <w:r>
        <w:rPr>
          <w:spacing w:val="-2"/>
        </w:rPr>
        <w:t>工业有限公司于 </w:t>
      </w:r>
      <w:r>
        <w:rPr>
          <w:rFonts w:ascii="Times New Roman" w:hAnsi="Times New Roman" w:eastAsia="Times New Roman"/>
        </w:rPr>
        <w:t>2022</w:t>
      </w:r>
      <w:r>
        <w:rPr>
          <w:rFonts w:ascii="Times New Roman" w:hAnsi="Times New Roman" w:eastAsia="Times New Roman"/>
          <w:spacing w:val="17"/>
        </w:rPr>
        <w:t> </w:t>
      </w:r>
      <w:r>
        <w:rPr>
          <w:spacing w:val="-9"/>
        </w:rPr>
        <w:t>年 </w:t>
      </w:r>
      <w:r>
        <w:rPr>
          <w:rFonts w:ascii="Times New Roman" w:hAnsi="Times New Roman" w:eastAsia="Times New Roman"/>
        </w:rPr>
        <w:t>2</w:t>
      </w:r>
      <w:r>
        <w:rPr>
          <w:rFonts w:ascii="Times New Roman" w:hAnsi="Times New Roman" w:eastAsia="Times New Roman"/>
          <w:spacing w:val="19"/>
        </w:rPr>
        <w:t> </w:t>
      </w:r>
      <w:r>
        <w:rPr/>
        <w:t>月、富联精密电子（天津）有限公司及富联云计算（天津）有限公司</w:t>
      </w:r>
    </w:p>
    <w:p>
      <w:pPr>
        <w:pStyle w:val="BodyText"/>
        <w:spacing w:line="364" w:lineRule="auto"/>
        <w:ind w:left="1158" w:right="319"/>
      </w:pPr>
      <w:r>
        <w:rPr>
          <w:spacing w:val="-18"/>
        </w:rPr>
        <w:t>于 </w:t>
      </w:r>
      <w:r>
        <w:rPr>
          <w:rFonts w:ascii="Times New Roman" w:eastAsia="Times New Roman"/>
          <w:spacing w:val="-1"/>
        </w:rPr>
        <w:t>2022</w:t>
      </w:r>
      <w:r>
        <w:rPr>
          <w:rFonts w:ascii="Times New Roman" w:eastAsia="Times New Roman"/>
          <w:spacing w:val="3"/>
        </w:rPr>
        <w:t> </w:t>
      </w:r>
      <w:r>
        <w:rPr>
          <w:spacing w:val="-18"/>
        </w:rPr>
        <w:t>年 </w:t>
      </w:r>
      <w:r>
        <w:rPr>
          <w:rFonts w:ascii="Times New Roman" w:eastAsia="Times New Roman"/>
        </w:rPr>
        <w:t>6</w:t>
      </w:r>
      <w:r>
        <w:rPr>
          <w:rFonts w:ascii="Times New Roman" w:eastAsia="Times New Roman"/>
          <w:spacing w:val="5"/>
        </w:rPr>
        <w:t> </w:t>
      </w:r>
      <w:r>
        <w:rPr/>
        <w:t>月、富联国基（上海）</w:t>
      </w:r>
      <w:r>
        <w:rPr>
          <w:spacing w:val="-5"/>
        </w:rPr>
        <w:t>电子有限公司于 </w:t>
      </w:r>
      <w:r>
        <w:rPr>
          <w:rFonts w:ascii="Times New Roman" w:eastAsia="Times New Roman"/>
        </w:rPr>
        <w:t>2022</w:t>
      </w:r>
      <w:r>
        <w:rPr>
          <w:rFonts w:ascii="Times New Roman" w:eastAsia="Times New Roman"/>
          <w:spacing w:val="3"/>
        </w:rPr>
        <w:t> </w:t>
      </w:r>
      <w:r>
        <w:rPr>
          <w:spacing w:val="-17"/>
        </w:rPr>
        <w:t>年 </w:t>
      </w:r>
      <w:r>
        <w:rPr>
          <w:rFonts w:ascii="Times New Roman" w:eastAsia="Times New Roman"/>
        </w:rPr>
        <w:t>8</w:t>
      </w:r>
      <w:r>
        <w:rPr>
          <w:rFonts w:ascii="Times New Roman" w:eastAsia="Times New Roman"/>
          <w:spacing w:val="3"/>
        </w:rPr>
        <w:t> </w:t>
      </w:r>
      <w:r>
        <w:rPr>
          <w:spacing w:val="-9"/>
        </w:rPr>
        <w:t>月通过 </w:t>
      </w:r>
      <w:r>
        <w:rPr>
          <w:rFonts w:ascii="Times New Roman" w:eastAsia="Times New Roman"/>
        </w:rPr>
        <w:t>ISO50001</w:t>
      </w:r>
      <w:r>
        <w:rPr>
          <w:rFonts w:ascii="Times New Roman" w:eastAsia="Times New Roman"/>
          <w:spacing w:val="6"/>
        </w:rPr>
        <w:t> </w:t>
      </w:r>
      <w:r>
        <w:rPr/>
        <w:t>能源管理体系认</w:t>
      </w:r>
      <w:r>
        <w:rPr>
          <w:spacing w:val="1"/>
        </w:rPr>
        <w:t> </w:t>
      </w:r>
      <w:r>
        <w:rPr>
          <w:spacing w:val="-1"/>
        </w:rPr>
        <w:t>证。截至报告期为止，工业富联已累计获得 </w:t>
      </w:r>
      <w:r>
        <w:rPr>
          <w:rFonts w:ascii="Times New Roman" w:eastAsia="Times New Roman"/>
        </w:rPr>
        <w:t>10</w:t>
      </w:r>
      <w:r>
        <w:rPr>
          <w:rFonts w:ascii="Times New Roman" w:eastAsia="Times New Roman"/>
          <w:spacing w:val="23"/>
        </w:rPr>
        <w:t> </w:t>
      </w:r>
      <w:r>
        <w:rPr>
          <w:spacing w:val="-1"/>
        </w:rPr>
        <w:t>座绿色工厂授牌，重点碳排放单位覆盖占比 </w:t>
      </w:r>
      <w:r>
        <w:rPr>
          <w:rFonts w:ascii="Times New Roman" w:eastAsia="Times New Roman"/>
        </w:rPr>
        <w:t>56%</w:t>
      </w:r>
      <w:r>
        <w:rPr/>
        <w:t>，</w:t>
      </w:r>
      <w:r>
        <w:rPr>
          <w:spacing w:val="-102"/>
        </w:rPr>
        <w:t> </w:t>
      </w:r>
      <w:r>
        <w:rPr>
          <w:spacing w:val="-20"/>
        </w:rPr>
        <w:t>并有 </w:t>
      </w:r>
      <w:r>
        <w:rPr>
          <w:rFonts w:ascii="Times New Roman" w:eastAsia="Times New Roman"/>
        </w:rPr>
        <w:t>24</w:t>
      </w:r>
      <w:r>
        <w:rPr>
          <w:rFonts w:ascii="Times New Roman" w:eastAsia="Times New Roman"/>
          <w:spacing w:val="-13"/>
        </w:rPr>
        <w:t> </w:t>
      </w:r>
      <w:r>
        <w:rPr>
          <w:spacing w:val="6"/>
        </w:rPr>
        <w:t>个子公司通过</w:t>
      </w:r>
      <w:r>
        <w:rPr>
          <w:rFonts w:ascii="Times New Roman" w:eastAsia="Times New Roman"/>
        </w:rPr>
        <w:t>ISO14001</w:t>
      </w:r>
      <w:r>
        <w:rPr>
          <w:rFonts w:ascii="Times New Roman" w:eastAsia="Times New Roman"/>
          <w:spacing w:val="-15"/>
        </w:rPr>
        <w:t> </w:t>
      </w:r>
      <w:r>
        <w:rPr>
          <w:spacing w:val="-3"/>
        </w:rPr>
        <w:t>环境管理体系认证，排污许可持证单位覆盖占比 </w:t>
      </w:r>
      <w:r>
        <w:rPr>
          <w:rFonts w:ascii="Times New Roman" w:eastAsia="Times New Roman"/>
        </w:rPr>
        <w:t>85%</w:t>
      </w:r>
      <w:r>
        <w:rPr/>
        <w:t>，</w:t>
      </w:r>
      <w:r>
        <w:rPr>
          <w:rFonts w:ascii="Times New Roman" w:eastAsia="Times New Roman"/>
        </w:rPr>
        <w:t>12</w:t>
      </w:r>
      <w:r>
        <w:rPr>
          <w:rFonts w:ascii="Times New Roman" w:eastAsia="Times New Roman"/>
          <w:spacing w:val="-14"/>
        </w:rPr>
        <w:t> </w:t>
      </w:r>
      <w:r>
        <w:rPr>
          <w:spacing w:val="-1"/>
        </w:rPr>
        <w:t>个子公司</w:t>
      </w:r>
      <w:r>
        <w:rPr>
          <w:spacing w:val="-19"/>
        </w:rPr>
        <w:t>获得 </w:t>
      </w:r>
      <w:r>
        <w:rPr>
          <w:rFonts w:ascii="Times New Roman" w:eastAsia="Times New Roman"/>
          <w:spacing w:val="-1"/>
        </w:rPr>
        <w:t>ISO</w:t>
      </w:r>
      <w:r>
        <w:rPr>
          <w:rFonts w:ascii="Times New Roman" w:eastAsia="Times New Roman"/>
          <w:spacing w:val="1"/>
        </w:rPr>
        <w:t> </w:t>
      </w:r>
      <w:r>
        <w:rPr>
          <w:rFonts w:ascii="Times New Roman" w:eastAsia="Times New Roman"/>
          <w:spacing w:val="-1"/>
        </w:rPr>
        <w:t>50001</w:t>
      </w:r>
      <w:r>
        <w:rPr>
          <w:rFonts w:ascii="Times New Roman" w:eastAsia="Times New Roman"/>
          <w:spacing w:val="-12"/>
        </w:rPr>
        <w:t> </w:t>
      </w:r>
      <w:r>
        <w:rPr>
          <w:spacing w:val="-3"/>
        </w:rPr>
        <w:t>能源体系认证，重点耗能单位覆盖占比 </w:t>
      </w:r>
      <w:r>
        <w:rPr>
          <w:rFonts w:ascii="Times New Roman" w:eastAsia="Times New Roman"/>
        </w:rPr>
        <w:t>67%</w:t>
      </w:r>
      <w:r>
        <w:rPr/>
        <w:t>。</w:t>
      </w:r>
    </w:p>
    <w:p>
      <w:pPr>
        <w:pStyle w:val="BodyText"/>
        <w:spacing w:before="115"/>
        <w:ind w:left="1578"/>
      </w:pPr>
      <w:r>
        <w:rPr>
          <w:rFonts w:ascii="Times New Roman" w:hAnsi="Times New Roman" w:eastAsia="Times New Roman"/>
        </w:rPr>
        <w:t>2022</w:t>
      </w:r>
      <w:r>
        <w:rPr>
          <w:rFonts w:ascii="Times New Roman" w:hAnsi="Times New Roman" w:eastAsia="Times New Roman"/>
          <w:spacing w:val="12"/>
        </w:rPr>
        <w:t> </w:t>
      </w:r>
      <w:r>
        <w:rPr>
          <w:spacing w:val="-10"/>
        </w:rPr>
        <w:t>年 </w:t>
      </w:r>
      <w:r>
        <w:rPr>
          <w:rFonts w:ascii="Times New Roman" w:hAnsi="Times New Roman" w:eastAsia="Times New Roman"/>
        </w:rPr>
        <w:t>12</w:t>
      </w:r>
      <w:r>
        <w:rPr>
          <w:rFonts w:ascii="Times New Roman" w:hAnsi="Times New Roman" w:eastAsia="Times New Roman"/>
          <w:spacing w:val="12"/>
        </w:rPr>
        <w:t> </w:t>
      </w:r>
      <w:r>
        <w:rPr/>
        <w:t>月，工业富联凭借其履行绿色低碳、数字经济的突出表现，荣获中国工业“碳达</w:t>
      </w:r>
    </w:p>
    <w:p>
      <w:pPr>
        <w:pStyle w:val="BodyText"/>
        <w:spacing w:before="139"/>
        <w:ind w:left="1158"/>
      </w:pPr>
      <w:r>
        <w:rPr/>
        <w:t>峰”领跑者企业称号，这是由中国工业经济联合会组织评选出的首批 </w:t>
      </w:r>
      <w:r>
        <w:rPr>
          <w:rFonts w:ascii="Times New Roman" w:hAnsi="Times New Roman" w:eastAsia="Times New Roman"/>
        </w:rPr>
        <w:t>42</w:t>
      </w:r>
      <w:r>
        <w:rPr>
          <w:rFonts w:ascii="Times New Roman" w:hAnsi="Times New Roman" w:eastAsia="Times New Roman"/>
          <w:spacing w:val="46"/>
        </w:rPr>
        <w:t> </w:t>
      </w:r>
      <w:r>
        <w:rPr/>
        <w:t>家绿色低碳示范企业。</w:t>
      </w:r>
    </w:p>
    <w:p>
      <w:pPr>
        <w:pStyle w:val="BodyText"/>
        <w:spacing w:before="139"/>
        <w:ind w:left="1158"/>
      </w:pPr>
      <w:r>
        <w:rPr/>
        <w:t>公司下属子公司富联裕展科技（衡阳）</w:t>
      </w:r>
      <w:r>
        <w:rPr>
          <w:spacing w:val="-3"/>
        </w:rPr>
        <w:t>有限公司，于 </w:t>
      </w:r>
      <w:r>
        <w:rPr>
          <w:rFonts w:ascii="Times New Roman" w:eastAsia="Times New Roman"/>
        </w:rPr>
        <w:t>2022</w:t>
      </w:r>
      <w:r>
        <w:rPr>
          <w:rFonts w:ascii="Times New Roman" w:eastAsia="Times New Roman"/>
          <w:spacing w:val="16"/>
        </w:rPr>
        <w:t> </w:t>
      </w:r>
      <w:r>
        <w:rPr>
          <w:spacing w:val="-8"/>
        </w:rPr>
        <w:t>年 </w:t>
      </w:r>
      <w:r>
        <w:rPr>
          <w:rFonts w:ascii="Times New Roman" w:eastAsia="Times New Roman"/>
        </w:rPr>
        <w:t>4</w:t>
      </w:r>
      <w:r>
        <w:rPr>
          <w:rFonts w:ascii="Times New Roman" w:eastAsia="Times New Roman"/>
          <w:spacing w:val="18"/>
        </w:rPr>
        <w:t> </w:t>
      </w:r>
      <w:r>
        <w:rPr/>
        <w:t>月被衡阳高新技术产业开发区生</w:t>
      </w:r>
    </w:p>
    <w:p>
      <w:pPr>
        <w:pStyle w:val="BodyText"/>
        <w:spacing w:before="141"/>
        <w:ind w:left="1158"/>
      </w:pPr>
      <w:r>
        <w:rPr>
          <w:spacing w:val="-4"/>
        </w:rPr>
        <w:t>态环境保护委员会评选为“高新区 </w:t>
      </w:r>
      <w:r>
        <w:rPr>
          <w:rFonts w:ascii="Times New Roman" w:hAnsi="Times New Roman" w:eastAsia="Times New Roman"/>
        </w:rPr>
        <w:t>2021 </w:t>
      </w:r>
      <w:r>
        <w:rPr>
          <w:spacing w:val="-10"/>
        </w:rPr>
        <w:t>年度生态环保先进单位”。富联精密电子</w:t>
      </w:r>
      <w:r>
        <w:rPr/>
        <w:t>（天津）有限公</w:t>
      </w:r>
    </w:p>
    <w:p>
      <w:pPr>
        <w:pStyle w:val="BodyText"/>
        <w:spacing w:before="139"/>
        <w:ind w:left="1158"/>
        <w:jc w:val="both"/>
      </w:pPr>
      <w:r>
        <w:rPr>
          <w:spacing w:val="-8"/>
        </w:rPr>
        <w:t>司 </w:t>
      </w:r>
      <w:r>
        <w:rPr>
          <w:rFonts w:ascii="Times New Roman" w:eastAsia="Times New Roman"/>
        </w:rPr>
        <w:t>2022</w:t>
      </w:r>
      <w:r>
        <w:rPr>
          <w:rFonts w:ascii="Times New Roman" w:eastAsia="Times New Roman"/>
          <w:spacing w:val="16"/>
        </w:rPr>
        <w:t> </w:t>
      </w:r>
      <w:r>
        <w:rPr>
          <w:spacing w:val="-7"/>
        </w:rPr>
        <w:t>年 </w:t>
      </w:r>
      <w:r>
        <w:rPr>
          <w:rFonts w:ascii="Times New Roman" w:eastAsia="Times New Roman"/>
        </w:rPr>
        <w:t>5</w:t>
      </w:r>
      <w:r>
        <w:rPr>
          <w:rFonts w:ascii="Times New Roman" w:eastAsia="Times New Roman"/>
          <w:spacing w:val="18"/>
        </w:rPr>
        <w:t> </w:t>
      </w:r>
      <w:r>
        <w:rPr/>
        <w:t>月荣获由天津市生态环境局、天津市财政局天津市发展和改革委、天津市工业和信</w:t>
      </w:r>
    </w:p>
    <w:p>
      <w:pPr>
        <w:pStyle w:val="BodyText"/>
        <w:spacing w:line="364" w:lineRule="auto" w:before="139"/>
        <w:ind w:left="1158" w:right="527"/>
        <w:jc w:val="both"/>
      </w:pPr>
      <w:r>
        <w:rPr>
          <w:spacing w:val="7"/>
        </w:rPr>
        <w:t>息化局联合发放的天津市 </w:t>
      </w:r>
      <w:r>
        <w:rPr>
          <w:rFonts w:ascii="Times New Roman" w:hAnsi="Times New Roman" w:eastAsia="Times New Roman"/>
        </w:rPr>
        <w:t>2021</w:t>
      </w:r>
      <w:r>
        <w:rPr>
          <w:rFonts w:ascii="Times New Roman" w:hAnsi="Times New Roman" w:eastAsia="Times New Roman"/>
          <w:spacing w:val="32"/>
        </w:rPr>
        <w:t> </w:t>
      </w:r>
      <w:r>
        <w:rPr/>
        <w:t>年度环境保护企业“领跑证”荣誉称号（</w:t>
      </w:r>
      <w:r>
        <w:rPr>
          <w:spacing w:val="5"/>
        </w:rPr>
        <w:t>有效期 </w:t>
      </w:r>
      <w:r>
        <w:rPr>
          <w:rFonts w:ascii="Times New Roman" w:hAnsi="Times New Roman" w:eastAsia="Times New Roman"/>
        </w:rPr>
        <w:t>2022.05.01-</w:t>
      </w:r>
      <w:r>
        <w:rPr>
          <w:rFonts w:ascii="Times New Roman" w:hAnsi="Times New Roman" w:eastAsia="Times New Roman"/>
          <w:spacing w:val="-50"/>
        </w:rPr>
        <w:t> </w:t>
      </w:r>
      <w:r>
        <w:rPr>
          <w:rFonts w:ascii="Times New Roman" w:hAnsi="Times New Roman" w:eastAsia="Times New Roman"/>
          <w:w w:val="100"/>
        </w:rPr>
        <w:t>2023.</w:t>
      </w:r>
      <w:r>
        <w:rPr>
          <w:rFonts w:ascii="Times New Roman" w:hAnsi="Times New Roman" w:eastAsia="Times New Roman"/>
          <w:spacing w:val="-3"/>
          <w:w w:val="100"/>
        </w:rPr>
        <w:t>0</w:t>
      </w:r>
      <w:r>
        <w:rPr>
          <w:rFonts w:ascii="Times New Roman" w:hAnsi="Times New Roman" w:eastAsia="Times New Roman"/>
          <w:w w:val="100"/>
        </w:rPr>
        <w:t>4.3</w:t>
      </w:r>
      <w:r>
        <w:rPr>
          <w:rFonts w:ascii="Times New Roman" w:hAnsi="Times New Roman" w:eastAsia="Times New Roman"/>
          <w:spacing w:val="-1"/>
          <w:w w:val="100"/>
        </w:rPr>
        <w:t>0</w:t>
      </w:r>
      <w:r>
        <w:rPr>
          <w:spacing w:val="-108"/>
          <w:w w:val="100"/>
        </w:rPr>
        <w:t>）。</w:t>
      </w:r>
    </w:p>
    <w:p>
      <w:pPr>
        <w:pStyle w:val="BodyText"/>
        <w:spacing w:line="364" w:lineRule="auto" w:before="121"/>
        <w:ind w:left="1158" w:right="527" w:firstLine="419"/>
        <w:jc w:val="both"/>
      </w:pPr>
      <w:r>
        <w:rPr/>
        <w:t>公司积极参与政府机关、重点行业协会等单位组织的各类绿色环保、节能低碳主题活动，践</w:t>
      </w:r>
      <w:r>
        <w:rPr>
          <w:spacing w:val="-1"/>
        </w:rPr>
        <w:t>行企业社会责任，行业绿色影响力稳步提升。</w:t>
      </w:r>
      <w:r>
        <w:rPr>
          <w:rFonts w:ascii="Times New Roman" w:hAnsi="Times New Roman" w:eastAsia="Times New Roman"/>
        </w:rPr>
        <w:t>2022</w:t>
      </w:r>
      <w:r>
        <w:rPr>
          <w:rFonts w:ascii="Times New Roman" w:hAnsi="Times New Roman" w:eastAsia="Times New Roman"/>
          <w:spacing w:val="-19"/>
        </w:rPr>
        <w:t> </w:t>
      </w:r>
      <w:r>
        <w:rPr>
          <w:spacing w:val="-30"/>
        </w:rPr>
        <w:t>年 </w:t>
      </w:r>
      <w:r>
        <w:rPr>
          <w:rFonts w:ascii="Times New Roman" w:hAnsi="Times New Roman" w:eastAsia="Times New Roman"/>
        </w:rPr>
        <w:t>6</w:t>
      </w:r>
      <w:r>
        <w:rPr>
          <w:rFonts w:ascii="Times New Roman" w:hAnsi="Times New Roman" w:eastAsia="Times New Roman"/>
          <w:spacing w:val="-17"/>
        </w:rPr>
        <w:t> </w:t>
      </w:r>
      <w:r>
        <w:rPr/>
        <w:t>月工业富联受邀在龙华区世界环境日宣传</w:t>
      </w:r>
      <w:r>
        <w:rPr>
          <w:spacing w:val="-1"/>
        </w:rPr>
        <w:t>活动中作低碳倡议，</w:t>
      </w:r>
      <w:r>
        <w:rPr>
          <w:rFonts w:ascii="Times New Roman" w:hAnsi="Times New Roman" w:eastAsia="Times New Roman"/>
        </w:rPr>
        <w:t>2022</w:t>
      </w:r>
      <w:r>
        <w:rPr>
          <w:rFonts w:ascii="Times New Roman" w:hAnsi="Times New Roman" w:eastAsia="Times New Roman"/>
          <w:spacing w:val="-14"/>
        </w:rPr>
        <w:t> </w:t>
      </w:r>
      <w:r>
        <w:rPr>
          <w:spacing w:val="-28"/>
        </w:rPr>
        <w:t>年 </w:t>
      </w:r>
      <w:r>
        <w:rPr>
          <w:rFonts w:ascii="Times New Roman" w:hAnsi="Times New Roman" w:eastAsia="Times New Roman"/>
        </w:rPr>
        <w:t>12</w:t>
      </w:r>
      <w:r>
        <w:rPr>
          <w:rFonts w:ascii="Times New Roman" w:hAnsi="Times New Roman" w:eastAsia="Times New Roman"/>
          <w:spacing w:val="-12"/>
        </w:rPr>
        <w:t> </w:t>
      </w:r>
      <w:r>
        <w:rPr>
          <w:spacing w:val="-6"/>
        </w:rPr>
        <w:t>月工业富联受邀参与 </w:t>
      </w:r>
      <w:r>
        <w:rPr>
          <w:rFonts w:ascii="Times New Roman" w:hAnsi="Times New Roman" w:eastAsia="Times New Roman"/>
        </w:rPr>
        <w:t>2022</w:t>
      </w:r>
      <w:r>
        <w:rPr>
          <w:rFonts w:ascii="Times New Roman" w:hAnsi="Times New Roman" w:eastAsia="Times New Roman"/>
          <w:spacing w:val="-15"/>
        </w:rPr>
        <w:t> </w:t>
      </w:r>
      <w:r>
        <w:rPr/>
        <w:t>碳达峰碳中和论坛暨深圳国际低碳城论坛并作主题分享，</w:t>
      </w:r>
      <w:r>
        <w:rPr>
          <w:rFonts w:ascii="Times New Roman" w:hAnsi="Times New Roman" w:eastAsia="Times New Roman"/>
        </w:rPr>
        <w:t>12</w:t>
      </w:r>
      <w:r>
        <w:rPr>
          <w:rFonts w:ascii="Times New Roman" w:hAnsi="Times New Roman" w:eastAsia="Times New Roman"/>
          <w:spacing w:val="23"/>
        </w:rPr>
        <w:t> </w:t>
      </w:r>
      <w:r>
        <w:rPr/>
        <w:t>月底工业富联董事长李军旗应邀参加第三届“一带一路”建设与制造强国</w:t>
      </w:r>
      <w:r>
        <w:rPr>
          <w:spacing w:val="-7"/>
        </w:rPr>
        <w:t>建设协同发展论坛暨 </w:t>
      </w:r>
      <w:r>
        <w:rPr>
          <w:rFonts w:ascii="Times New Roman" w:hAnsi="Times New Roman" w:eastAsia="Times New Roman"/>
        </w:rPr>
        <w:t>2022</w:t>
      </w:r>
      <w:r>
        <w:rPr>
          <w:rFonts w:ascii="Times New Roman" w:hAnsi="Times New Roman" w:eastAsia="Times New Roman"/>
          <w:spacing w:val="-12"/>
        </w:rPr>
        <w:t> </w:t>
      </w:r>
      <w:r>
        <w:rPr/>
        <w:t>中国工业碳达峰论坛并发表主题演讲。</w:t>
      </w:r>
    </w:p>
    <w:p>
      <w:pPr>
        <w:spacing w:after="0" w:line="364" w:lineRule="auto"/>
        <w:jc w:val="both"/>
        <w:sectPr>
          <w:pgSz w:w="11910" w:h="16840"/>
          <w:pgMar w:header="877" w:footer="1187" w:top="1440" w:bottom="1380" w:left="640" w:right="740"/>
        </w:sectPr>
      </w:pPr>
    </w:p>
    <w:p>
      <w:pPr>
        <w:pStyle w:val="BodyText"/>
        <w:spacing w:line="364" w:lineRule="auto" w:before="68"/>
        <w:ind w:left="1158" w:right="529" w:firstLine="419"/>
        <w:jc w:val="both"/>
      </w:pPr>
      <w:r>
        <w:rPr/>
        <w:pict>
          <v:shape style="position:absolute;margin-left:305.450012pt;margin-top:96.284973pt;width:10.6pt;height:10.6pt;mso-position-horizontal-relative:page;mso-position-vertical-relative:paragraph;z-index:-45175296" type="#_x0000_t202" filled="false" stroked="false">
            <v:textbox inset="0,0,0,0">
              <w:txbxContent>
                <w:p>
                  <w:pPr>
                    <w:pStyle w:val="BodyText"/>
                    <w:spacing w:line="211" w:lineRule="exact"/>
                    <w:ind w:left="0"/>
                  </w:pPr>
                  <w:r>
                    <w:rPr>
                      <w:w w:val="100"/>
                    </w:rPr>
                    <w:t>”</w:t>
                  </w:r>
                </w:p>
              </w:txbxContent>
            </v:textbox>
            <w10:wrap type="none"/>
          </v:shape>
        </w:pict>
      </w:r>
      <w:r>
        <w:rPr>
          <w:rFonts w:ascii="Times New Roman" w:eastAsia="Times New Roman"/>
        </w:rPr>
        <w:t>2022</w:t>
      </w:r>
      <w:r>
        <w:rPr>
          <w:rFonts w:ascii="Times New Roman" w:eastAsia="Times New Roman"/>
          <w:spacing w:val="19"/>
        </w:rPr>
        <w:t> </w:t>
      </w:r>
      <w:r>
        <w:rPr>
          <w:spacing w:val="24"/>
        </w:rPr>
        <w:t>年 </w:t>
      </w:r>
      <w:r>
        <w:rPr>
          <w:rFonts w:ascii="Times New Roman" w:eastAsia="Times New Roman"/>
        </w:rPr>
        <w:t>8</w:t>
      </w:r>
      <w:r>
        <w:rPr>
          <w:rFonts w:ascii="Times New Roman" w:eastAsia="Times New Roman"/>
          <w:spacing w:val="19"/>
        </w:rPr>
        <w:t> </w:t>
      </w:r>
      <w:r>
        <w:rPr>
          <w:spacing w:val="-4"/>
        </w:rPr>
        <w:t>月，公司参与中国电子节能技术协会《数据中心碳标签评价规范》</w:t>
      </w:r>
      <w:r>
        <w:rPr/>
        <w:t>（标准编号：</w:t>
      </w:r>
      <w:r>
        <w:rPr>
          <w:spacing w:val="-103"/>
        </w:rPr>
        <w:t> </w:t>
      </w:r>
      <w:r>
        <w:rPr>
          <w:rFonts w:ascii="Times New Roman" w:eastAsia="Times New Roman"/>
        </w:rPr>
        <w:t>T/DZJN2022017</w:t>
      </w:r>
      <w:r>
        <w:rPr/>
        <w:t>）</w:t>
      </w:r>
      <w:r>
        <w:rPr>
          <w:spacing w:val="-8"/>
        </w:rPr>
        <w:t>和《数据中心碳排放控制规范》</w:t>
      </w:r>
      <w:r>
        <w:rPr/>
        <w:t>（标准编号：</w:t>
      </w:r>
      <w:r>
        <w:rPr>
          <w:rFonts w:ascii="Times New Roman" w:eastAsia="Times New Roman"/>
        </w:rPr>
        <w:t>T/DJN2022018</w:t>
      </w:r>
      <w:r>
        <w:rPr/>
        <w:t>）编制，为行业低碳发展做出积极贡献。</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5"/>
        <w:ind w:left="0"/>
        <w:rPr>
          <w:sz w:val="22"/>
        </w:rPr>
      </w:pPr>
    </w:p>
    <w:p>
      <w:pPr>
        <w:spacing w:after="0"/>
        <w:rPr>
          <w:sz w:val="22"/>
        </w:rPr>
        <w:sectPr>
          <w:pgSz w:w="11910" w:h="16840"/>
          <w:pgMar w:header="877" w:footer="1187" w:top="1440" w:bottom="1380" w:left="640" w:right="740"/>
        </w:sectPr>
      </w:pPr>
    </w:p>
    <w:p>
      <w:pPr>
        <w:pStyle w:val="BodyText"/>
        <w:spacing w:before="72"/>
        <w:ind w:left="1743"/>
      </w:pPr>
      <w:r>
        <w:rPr/>
        <w:drawing>
          <wp:anchor distT="0" distB="0" distL="0" distR="0" allowOverlap="1" layoutInCell="1" locked="0" behindDoc="0" simplePos="0" relativeHeight="15731200">
            <wp:simplePos x="0" y="0"/>
            <wp:positionH relativeFrom="page">
              <wp:posOffset>1568196</wp:posOffset>
            </wp:positionH>
            <wp:positionV relativeFrom="paragraph">
              <wp:posOffset>-1561972</wp:posOffset>
            </wp:positionV>
            <wp:extent cx="2474976" cy="1662683"/>
            <wp:effectExtent l="0" t="0" r="0" b="0"/>
            <wp:wrapNone/>
            <wp:docPr id="3" name="image5.jpeg"/>
            <wp:cNvGraphicFramePr>
              <a:graphicFrameLocks noChangeAspect="1"/>
            </wp:cNvGraphicFramePr>
            <a:graphic>
              <a:graphicData uri="http://schemas.openxmlformats.org/drawingml/2006/picture">
                <pic:pic>
                  <pic:nvPicPr>
                    <pic:cNvPr id="4" name="image5.jpeg"/>
                    <pic:cNvPicPr/>
                  </pic:nvPicPr>
                  <pic:blipFill>
                    <a:blip r:embed="rId36" cstate="print"/>
                    <a:stretch>
                      <a:fillRect/>
                    </a:stretch>
                  </pic:blipFill>
                  <pic:spPr>
                    <a:xfrm>
                      <a:off x="0" y="0"/>
                      <a:ext cx="2474976" cy="1662683"/>
                    </a:xfrm>
                    <a:prstGeom prst="rect">
                      <a:avLst/>
                    </a:prstGeom>
                  </pic:spPr>
                </pic:pic>
              </a:graphicData>
            </a:graphic>
          </wp:anchor>
        </w:drawing>
      </w:r>
      <w:r>
        <w:rPr>
          <w:w w:val="100"/>
        </w:rPr>
        <w:t> </w:t>
      </w:r>
    </w:p>
    <w:p>
      <w:pPr>
        <w:pStyle w:val="BodyText"/>
        <w:spacing w:before="4"/>
        <w:ind w:left="1743"/>
      </w:pPr>
      <w:r>
        <w:rPr>
          <w:spacing w:val="-1"/>
        </w:rPr>
        <w:t>2022</w:t>
      </w:r>
      <w:r>
        <w:rPr>
          <w:spacing w:val="-36"/>
        </w:rPr>
        <w:t> 年 </w:t>
      </w:r>
      <w:r>
        <w:rPr/>
        <w:t>5</w:t>
      </w:r>
      <w:r>
        <w:rPr>
          <w:spacing w:val="-8"/>
        </w:rPr>
        <w:t> 月获天津市环境保护企业“领跑者</w:t>
      </w:r>
      <w:r>
        <w:rPr/>
        <w:t> </w:t>
      </w:r>
    </w:p>
    <w:p>
      <w:pPr>
        <w:spacing w:before="108"/>
        <w:ind w:left="919" w:right="0" w:firstLine="0"/>
        <w:jc w:val="left"/>
        <w:rPr>
          <w:sz w:val="21"/>
        </w:rPr>
      </w:pPr>
      <w:r>
        <w:rPr/>
        <w:br w:type="column"/>
      </w:r>
      <w:r>
        <w:rPr>
          <w:w w:val="100"/>
          <w:sz w:val="21"/>
        </w:rPr>
        <w:t> </w:t>
      </w:r>
    </w:p>
    <w:p>
      <w:pPr>
        <w:pStyle w:val="BodyText"/>
        <w:spacing w:before="2"/>
        <w:ind w:left="919"/>
      </w:pPr>
      <w:r>
        <w:rPr/>
        <w:drawing>
          <wp:anchor distT="0" distB="0" distL="0" distR="0" allowOverlap="1" layoutInCell="1" locked="0" behindDoc="0" simplePos="0" relativeHeight="15731712">
            <wp:simplePos x="0" y="0"/>
            <wp:positionH relativeFrom="page">
              <wp:posOffset>4610100</wp:posOffset>
            </wp:positionH>
            <wp:positionV relativeFrom="paragraph">
              <wp:posOffset>-1807590</wp:posOffset>
            </wp:positionV>
            <wp:extent cx="1304544" cy="1659635"/>
            <wp:effectExtent l="0" t="0" r="0" b="0"/>
            <wp:wrapNone/>
            <wp:docPr id="5" name="image6.jpeg" descr="F:\CSR报告\CSR报告访谈记录补充资料\16 数据中心参编证书.jpg"/>
            <wp:cNvGraphicFramePr>
              <a:graphicFrameLocks noChangeAspect="1"/>
            </wp:cNvGraphicFramePr>
            <a:graphic>
              <a:graphicData uri="http://schemas.openxmlformats.org/drawingml/2006/picture">
                <pic:pic>
                  <pic:nvPicPr>
                    <pic:cNvPr id="6" name="image6.jpeg"/>
                    <pic:cNvPicPr/>
                  </pic:nvPicPr>
                  <pic:blipFill>
                    <a:blip r:embed="rId37" cstate="print"/>
                    <a:stretch>
                      <a:fillRect/>
                    </a:stretch>
                  </pic:blipFill>
                  <pic:spPr>
                    <a:xfrm>
                      <a:off x="0" y="0"/>
                      <a:ext cx="1304544" cy="1659635"/>
                    </a:xfrm>
                    <a:prstGeom prst="rect">
                      <a:avLst/>
                    </a:prstGeom>
                  </pic:spPr>
                </pic:pic>
              </a:graphicData>
            </a:graphic>
          </wp:anchor>
        </w:drawing>
      </w:r>
      <w:r>
        <w:rPr>
          <w:spacing w:val="-1"/>
        </w:rPr>
        <w:t>行业标准参编证书</w:t>
      </w:r>
      <w:r>
        <w:rPr/>
        <w:t> </w:t>
      </w:r>
    </w:p>
    <w:p>
      <w:pPr>
        <w:spacing w:after="0"/>
        <w:sectPr>
          <w:type w:val="continuous"/>
          <w:pgSz w:w="11910" w:h="16840"/>
          <w:pgMar w:top="780" w:bottom="280" w:left="640" w:right="740"/>
          <w:cols w:num="2" w:equalWidth="0">
            <w:col w:w="5892" w:space="40"/>
            <w:col w:w="4598"/>
          </w:cols>
        </w:sectPr>
      </w:pPr>
    </w:p>
    <w:p>
      <w:pPr>
        <w:pStyle w:val="BodyText"/>
        <w:spacing w:before="4"/>
        <w:ind w:left="0"/>
      </w:pPr>
    </w:p>
    <w:p>
      <w:pPr>
        <w:pStyle w:val="BodyText"/>
        <w:ind w:left="3188"/>
        <w:rPr>
          <w:sz w:val="20"/>
        </w:rPr>
      </w:pPr>
      <w:r>
        <w:rPr>
          <w:sz w:val="20"/>
        </w:rPr>
        <w:drawing>
          <wp:inline distT="0" distB="0" distL="0" distR="0">
            <wp:extent cx="3048952" cy="2032635"/>
            <wp:effectExtent l="0" t="0" r="0" b="0"/>
            <wp:docPr id="7" name="image7.jpeg" descr="F:\CSR报告\CSR报告访谈记录补充资料\9 中国工业碳达峰领跑者论坛-董事长主题演讲照片.jpg"/>
            <wp:cNvGraphicFramePr>
              <a:graphicFrameLocks noChangeAspect="1"/>
            </wp:cNvGraphicFramePr>
            <a:graphic>
              <a:graphicData uri="http://schemas.openxmlformats.org/drawingml/2006/picture">
                <pic:pic>
                  <pic:nvPicPr>
                    <pic:cNvPr id="8" name="image7.jpeg"/>
                    <pic:cNvPicPr/>
                  </pic:nvPicPr>
                  <pic:blipFill>
                    <a:blip r:embed="rId38" cstate="print"/>
                    <a:stretch>
                      <a:fillRect/>
                    </a:stretch>
                  </pic:blipFill>
                  <pic:spPr>
                    <a:xfrm>
                      <a:off x="0" y="0"/>
                      <a:ext cx="3048952" cy="2032635"/>
                    </a:xfrm>
                    <a:prstGeom prst="rect">
                      <a:avLst/>
                    </a:prstGeom>
                  </pic:spPr>
                </pic:pic>
              </a:graphicData>
            </a:graphic>
          </wp:inline>
        </w:drawing>
      </w:r>
      <w:r>
        <w:rPr>
          <w:sz w:val="20"/>
        </w:rPr>
      </w:r>
    </w:p>
    <w:p>
      <w:pPr>
        <w:pStyle w:val="BodyText"/>
        <w:spacing w:line="251" w:lineRule="exact"/>
        <w:ind w:left="2840" w:right="2216"/>
        <w:jc w:val="center"/>
      </w:pPr>
      <w:r>
        <w:rPr>
          <w:spacing w:val="-1"/>
        </w:rPr>
        <w:t>参加第三届“一带一路”建设与制造强国建设协同发展论坛</w:t>
      </w:r>
    </w:p>
    <w:p>
      <w:pPr>
        <w:pStyle w:val="BodyText"/>
        <w:spacing w:before="4"/>
        <w:ind w:left="2839" w:right="2216"/>
        <w:jc w:val="center"/>
      </w:pPr>
      <w:r>
        <w:rPr>
          <w:spacing w:val="-27"/>
        </w:rPr>
        <w:t>暨 </w:t>
      </w:r>
      <w:r>
        <w:rPr>
          <w:rFonts w:ascii="Times New Roman" w:eastAsia="Times New Roman"/>
        </w:rPr>
        <w:t>2022</w:t>
      </w:r>
      <w:r>
        <w:rPr>
          <w:rFonts w:ascii="Times New Roman" w:eastAsia="Times New Roman"/>
          <w:spacing w:val="-12"/>
        </w:rPr>
        <w:t> </w:t>
      </w:r>
      <w:r>
        <w:rPr/>
        <w:t>中国工业碳达峰论坛并作主题演讲</w:t>
      </w:r>
    </w:p>
    <w:p>
      <w:pPr>
        <w:pStyle w:val="BodyText"/>
        <w:spacing w:before="122"/>
        <w:ind w:left="1146"/>
        <w:jc w:val="center"/>
      </w:pPr>
      <w:r>
        <w:rPr>
          <w:w w:val="100"/>
        </w:rPr>
        <w:t> </w:t>
      </w:r>
    </w:p>
    <w:p>
      <w:pPr>
        <w:pStyle w:val="BodyText"/>
        <w:spacing w:line="244" w:lineRule="auto" w:before="122"/>
        <w:ind w:left="3051" w:right="2007" w:firstLine="292"/>
      </w:pPr>
      <w:r>
        <w:rPr/>
        <w:drawing>
          <wp:inline distT="0" distB="0" distL="0" distR="0">
            <wp:extent cx="3086100" cy="1853183"/>
            <wp:effectExtent l="0" t="0" r="0" b="0"/>
            <wp:docPr id="9" name="image8.jpeg" descr="C:\Users\F1339511\AppData\Local\Temp\WeChat Files\20df6a67df56b5d6cd035c2395b1ed7.jpg"/>
            <wp:cNvGraphicFramePr>
              <a:graphicFrameLocks noChangeAspect="1"/>
            </wp:cNvGraphicFramePr>
            <a:graphic>
              <a:graphicData uri="http://schemas.openxmlformats.org/drawingml/2006/picture">
                <pic:pic>
                  <pic:nvPicPr>
                    <pic:cNvPr id="10" name="image8.jpeg"/>
                    <pic:cNvPicPr/>
                  </pic:nvPicPr>
                  <pic:blipFill>
                    <a:blip r:embed="rId39" cstate="print"/>
                    <a:stretch>
                      <a:fillRect/>
                    </a:stretch>
                  </pic:blipFill>
                  <pic:spPr>
                    <a:xfrm>
                      <a:off x="0" y="0"/>
                      <a:ext cx="3086100" cy="1853183"/>
                    </a:xfrm>
                    <a:prstGeom prst="rect">
                      <a:avLst/>
                    </a:prstGeom>
                  </pic:spPr>
                </pic:pic>
              </a:graphicData>
            </a:graphic>
          </wp:inline>
        </w:drawing>
      </w:r>
      <w:r>
        <w:rPr/>
      </w:r>
      <w:r>
        <w:rPr>
          <w:w w:val="100"/>
        </w:rPr>
        <w:t> </w:t>
      </w:r>
      <w:r>
        <w:rPr>
          <w:w w:val="100"/>
        </w:rPr>
        <w:t> </w:t>
      </w:r>
      <w:r>
        <w:rPr>
          <w:spacing w:val="-3"/>
          <w:w w:val="100"/>
        </w:rPr>
        <w:t>参加碳达峰碳中和论坛暨深圳国际低碳城论坛并作主题分享</w:t>
      </w:r>
    </w:p>
    <w:p>
      <w:pPr>
        <w:spacing w:after="0" w:line="244" w:lineRule="auto"/>
        <w:sectPr>
          <w:type w:val="continuous"/>
          <w:pgSz w:w="11910" w:h="16840"/>
          <w:pgMar w:top="780" w:bottom="280" w:left="640" w:right="740"/>
        </w:sectPr>
      </w:pPr>
    </w:p>
    <w:p>
      <w:pPr>
        <w:pStyle w:val="BodyText"/>
        <w:spacing w:before="68"/>
        <w:ind w:left="1158"/>
      </w:pPr>
      <w:r>
        <w:rPr>
          <w:spacing w:val="-7"/>
        </w:rPr>
        <w:t>(四) 在报告期内为减少其碳排放所采取的措施及效果</w:t>
      </w:r>
      <w:r>
        <w:rPr/>
        <w:t> </w:t>
      </w:r>
    </w:p>
    <w:p>
      <w:pPr>
        <w:pStyle w:val="BodyText"/>
        <w:spacing w:before="12"/>
        <w:ind w:left="0"/>
        <w:rPr>
          <w:sz w:val="4"/>
        </w:rPr>
      </w:pPr>
    </w:p>
    <w:tbl>
      <w:tblPr>
        <w:tblW w:w="0" w:type="auto"/>
        <w:jc w:val="left"/>
        <w:tblInd w:w="1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22"/>
        <w:gridCol w:w="5202"/>
      </w:tblGrid>
      <w:tr>
        <w:trPr>
          <w:trHeight w:val="273" w:hRule="atLeast"/>
        </w:trPr>
        <w:tc>
          <w:tcPr>
            <w:tcW w:w="3622" w:type="dxa"/>
          </w:tcPr>
          <w:p>
            <w:pPr>
              <w:pStyle w:val="TableParagraph"/>
              <w:spacing w:line="252" w:lineRule="exact" w:before="1"/>
              <w:ind w:left="107"/>
              <w:rPr>
                <w:sz w:val="21"/>
              </w:rPr>
            </w:pPr>
            <w:r>
              <w:rPr>
                <w:spacing w:val="-1"/>
                <w:sz w:val="21"/>
              </w:rPr>
              <w:t>是否采取减碳措施</w:t>
            </w:r>
            <w:r>
              <w:rPr>
                <w:sz w:val="21"/>
              </w:rPr>
              <w:t> </w:t>
            </w:r>
          </w:p>
        </w:tc>
        <w:tc>
          <w:tcPr>
            <w:tcW w:w="5202" w:type="dxa"/>
          </w:tcPr>
          <w:p>
            <w:pPr>
              <w:pStyle w:val="TableParagraph"/>
              <w:spacing w:line="252" w:lineRule="exact" w:before="1"/>
              <w:ind w:left="107"/>
              <w:rPr>
                <w:sz w:val="21"/>
              </w:rPr>
            </w:pPr>
            <w:r>
              <w:rPr>
                <w:sz w:val="21"/>
              </w:rPr>
              <w:t>是 </w:t>
            </w:r>
          </w:p>
        </w:tc>
      </w:tr>
      <w:tr>
        <w:trPr>
          <w:trHeight w:val="270" w:hRule="atLeast"/>
        </w:trPr>
        <w:tc>
          <w:tcPr>
            <w:tcW w:w="3622" w:type="dxa"/>
          </w:tcPr>
          <w:p>
            <w:pPr>
              <w:pStyle w:val="TableParagraph"/>
              <w:spacing w:line="250" w:lineRule="exact" w:before="1"/>
              <w:ind w:left="107"/>
              <w:rPr>
                <w:sz w:val="21"/>
              </w:rPr>
            </w:pPr>
            <w:r>
              <w:rPr>
                <w:spacing w:val="-1"/>
                <w:sz w:val="21"/>
              </w:rPr>
              <w:t>减少排放二氧化碳当量</w:t>
            </w:r>
            <w:r>
              <w:rPr>
                <w:sz w:val="21"/>
              </w:rPr>
              <w:t>（单位：吨） </w:t>
            </w:r>
          </w:p>
        </w:tc>
        <w:tc>
          <w:tcPr>
            <w:tcW w:w="5202" w:type="dxa"/>
          </w:tcPr>
          <w:p>
            <w:pPr>
              <w:pStyle w:val="TableParagraph"/>
              <w:spacing w:line="235" w:lineRule="exact"/>
              <w:ind w:left="107"/>
              <w:rPr>
                <w:rFonts w:ascii="Times New Roman"/>
                <w:sz w:val="21"/>
              </w:rPr>
            </w:pPr>
            <w:r>
              <w:rPr>
                <w:rFonts w:ascii="Times New Roman"/>
                <w:sz w:val="21"/>
              </w:rPr>
              <w:t>153,000</w:t>
            </w:r>
          </w:p>
        </w:tc>
      </w:tr>
      <w:tr>
        <w:trPr>
          <w:trHeight w:val="817" w:hRule="atLeast"/>
        </w:trPr>
        <w:tc>
          <w:tcPr>
            <w:tcW w:w="3622" w:type="dxa"/>
          </w:tcPr>
          <w:p>
            <w:pPr>
              <w:pStyle w:val="TableParagraph"/>
              <w:spacing w:before="1"/>
              <w:ind w:left="107"/>
              <w:rPr>
                <w:sz w:val="21"/>
              </w:rPr>
            </w:pPr>
            <w:r>
              <w:rPr>
                <w:spacing w:val="16"/>
                <w:sz w:val="21"/>
              </w:rPr>
              <w:t>减碳措施类型（</w:t>
            </w:r>
            <w:r>
              <w:rPr>
                <w:spacing w:val="14"/>
                <w:sz w:val="21"/>
              </w:rPr>
              <w:t>如使用清洁能源发</w:t>
            </w:r>
          </w:p>
          <w:p>
            <w:pPr>
              <w:pStyle w:val="TableParagraph"/>
              <w:spacing w:line="270" w:lineRule="atLeast"/>
              <w:ind w:left="107" w:right="97"/>
              <w:rPr>
                <w:sz w:val="21"/>
              </w:rPr>
            </w:pPr>
            <w:r>
              <w:rPr>
                <w:sz w:val="21"/>
              </w:rPr>
              <w:t>电、在生产过程中使用减碳技术、研发生产助于减碳的新产品等） </w:t>
            </w:r>
          </w:p>
        </w:tc>
        <w:tc>
          <w:tcPr>
            <w:tcW w:w="5202" w:type="dxa"/>
          </w:tcPr>
          <w:p>
            <w:pPr>
              <w:pStyle w:val="TableParagraph"/>
              <w:spacing w:line="244" w:lineRule="auto" w:before="1"/>
              <w:ind w:left="107" w:right="247"/>
              <w:rPr>
                <w:sz w:val="21"/>
              </w:rPr>
            </w:pPr>
            <w:r>
              <w:rPr>
                <w:sz w:val="21"/>
              </w:rPr>
              <w:t>光伏发电、在生产过程中使用减碳技术、购买绿电、购买碳排放权 </w:t>
            </w:r>
          </w:p>
        </w:tc>
      </w:tr>
    </w:tbl>
    <w:p>
      <w:pPr>
        <w:pStyle w:val="BodyText"/>
        <w:spacing w:before="2"/>
        <w:ind w:left="1158"/>
      </w:pPr>
      <w:r>
        <w:rPr>
          <w:w w:val="100"/>
        </w:rPr>
        <w:t> </w:t>
      </w:r>
    </w:p>
    <w:p>
      <w:pPr>
        <w:pStyle w:val="BodyText"/>
        <w:spacing w:before="2"/>
        <w:ind w:left="1158"/>
      </w:pPr>
      <w:r>
        <w:rPr>
          <w:spacing w:val="-1"/>
        </w:rPr>
        <w:t>具体说明</w:t>
      </w:r>
      <w:r>
        <w:rPr/>
        <w:t> </w:t>
      </w:r>
    </w:p>
    <w:p>
      <w:pPr>
        <w:pStyle w:val="BodyText"/>
        <w:spacing w:before="4"/>
        <w:ind w:left="1158"/>
      </w:pPr>
      <w:r>
        <w:rPr>
          <w:spacing w:val="-1"/>
        </w:rPr>
        <w:t>√适用 □不适用</w:t>
      </w:r>
      <w:r>
        <w:rPr>
          <w:spacing w:val="-3"/>
        </w:rPr>
        <w:t> </w:t>
      </w:r>
      <w:r>
        <w:rPr/>
        <w:t> </w:t>
      </w:r>
    </w:p>
    <w:p>
      <w:pPr>
        <w:pStyle w:val="BodyText"/>
        <w:spacing w:line="367" w:lineRule="auto" w:before="2"/>
        <w:ind w:left="1158" w:right="860" w:firstLine="419"/>
      </w:pPr>
      <w:r>
        <w:rPr/>
        <w:t>作为负责任的企业，工业富联积极响应国际倡议和国家政府号召，并满足国际国内客户</w:t>
      </w:r>
      <w:r>
        <w:rPr>
          <w:spacing w:val="-7"/>
        </w:rPr>
        <w:t>要求， 于 </w:t>
      </w:r>
      <w:r>
        <w:rPr>
          <w:rFonts w:ascii="Times New Roman" w:eastAsia="Times New Roman"/>
        </w:rPr>
        <w:t>2022</w:t>
      </w:r>
      <w:r>
        <w:rPr>
          <w:rFonts w:ascii="Times New Roman" w:eastAsia="Times New Roman"/>
          <w:spacing w:val="10"/>
        </w:rPr>
        <w:t> </w:t>
      </w:r>
      <w:r>
        <w:rPr>
          <w:spacing w:val="14"/>
        </w:rPr>
        <w:t>年 </w:t>
      </w:r>
      <w:r>
        <w:rPr>
          <w:rFonts w:ascii="Times New Roman" w:eastAsia="Times New Roman"/>
        </w:rPr>
        <w:t>5</w:t>
      </w:r>
      <w:r>
        <w:rPr>
          <w:rFonts w:ascii="Times New Roman" w:eastAsia="Times New Roman"/>
          <w:spacing w:val="7"/>
        </w:rPr>
        <w:t> </w:t>
      </w:r>
      <w:r>
        <w:rPr>
          <w:spacing w:val="14"/>
        </w:rPr>
        <w:t>月发布《工业富联碳中和白皮书》</w:t>
      </w:r>
      <w:r>
        <w:rPr/>
        <w:t>（</w:t>
      </w:r>
      <w:r>
        <w:rPr>
          <w:spacing w:val="10"/>
        </w:rPr>
        <w:t> 全文已刊登于公司官方网站</w:t>
      </w:r>
    </w:p>
    <w:p>
      <w:pPr>
        <w:pStyle w:val="BodyText"/>
        <w:spacing w:line="264" w:lineRule="exact"/>
        <w:ind w:left="1158"/>
      </w:pPr>
      <w:r>
        <w:rPr>
          <w:spacing w:val="-1"/>
          <w:w w:val="100"/>
        </w:rPr>
        <w:t>（</w:t>
      </w:r>
      <w:r>
        <w:rPr>
          <w:rFonts w:ascii="Times New Roman" w:eastAsia="Times New Roman"/>
          <w:w w:val="100"/>
        </w:rPr>
        <w:t>h</w:t>
      </w:r>
      <w:r>
        <w:rPr>
          <w:rFonts w:ascii="Times New Roman" w:eastAsia="Times New Roman"/>
          <w:spacing w:val="-2"/>
          <w:w w:val="100"/>
        </w:rPr>
        <w:t>tt</w:t>
      </w:r>
      <w:r>
        <w:rPr>
          <w:rFonts w:ascii="Times New Roman" w:eastAsia="Times New Roman"/>
          <w:w w:val="100"/>
        </w:rPr>
        <w:t>ps</w:t>
      </w:r>
      <w:r>
        <w:rPr>
          <w:rFonts w:ascii="Times New Roman" w:eastAsia="Times New Roman"/>
          <w:spacing w:val="-2"/>
          <w:w w:val="100"/>
        </w:rPr>
        <w:t>://</w:t>
      </w:r>
      <w:hyperlink r:id="rId40">
        <w:r>
          <w:rPr>
            <w:rFonts w:ascii="Times New Roman" w:eastAsia="Times New Roman"/>
            <w:spacing w:val="-2"/>
            <w:w w:val="100"/>
          </w:rPr>
          <w:t>w</w:t>
        </w:r>
        <w:r>
          <w:rPr>
            <w:rFonts w:ascii="Times New Roman" w:eastAsia="Times New Roman"/>
            <w:w w:val="100"/>
          </w:rPr>
          <w:t>w</w:t>
        </w:r>
        <w:r>
          <w:rPr>
            <w:rFonts w:ascii="Times New Roman" w:eastAsia="Times New Roman"/>
            <w:spacing w:val="-16"/>
            <w:w w:val="100"/>
          </w:rPr>
          <w:t>w</w:t>
        </w:r>
        <w:r>
          <w:rPr>
            <w:rFonts w:ascii="Times New Roman" w:eastAsia="Times New Roman"/>
            <w:w w:val="100"/>
          </w:rPr>
          <w:t>.</w:t>
        </w:r>
        <w:r>
          <w:rPr>
            <w:rFonts w:ascii="Times New Roman" w:eastAsia="Times New Roman"/>
            <w:spacing w:val="-1"/>
            <w:w w:val="100"/>
          </w:rPr>
          <w:t>f</w:t>
        </w:r>
        <w:r>
          <w:rPr>
            <w:rFonts w:ascii="Times New Roman" w:eastAsia="Times New Roman"/>
            <w:spacing w:val="-2"/>
            <w:w w:val="100"/>
          </w:rPr>
          <w:t>i</w:t>
        </w:r>
        <w:r>
          <w:rPr>
            <w:rFonts w:ascii="Times New Roman" w:eastAsia="Times New Roman"/>
            <w:spacing w:val="1"/>
            <w:w w:val="100"/>
          </w:rPr>
          <w:t>i</w:t>
        </w:r>
        <w:r>
          <w:rPr>
            <w:rFonts w:ascii="Times New Roman" w:eastAsia="Times New Roman"/>
            <w:spacing w:val="-4"/>
            <w:w w:val="100"/>
          </w:rPr>
          <w:t>-</w:t>
        </w:r>
        <w:r>
          <w:rPr>
            <w:rFonts w:ascii="Times New Roman" w:eastAsia="Times New Roman"/>
            <w:spacing w:val="-1"/>
            <w:w w:val="100"/>
          </w:rPr>
          <w:t>f</w:t>
        </w:r>
        <w:r>
          <w:rPr>
            <w:rFonts w:ascii="Times New Roman" w:eastAsia="Times New Roman"/>
            <w:w w:val="100"/>
          </w:rPr>
          <w:t>oxconn.co</w:t>
        </w:r>
        <w:r>
          <w:rPr>
            <w:rFonts w:ascii="Times New Roman" w:eastAsia="Times New Roman"/>
            <w:spacing w:val="-4"/>
            <w:w w:val="100"/>
          </w:rPr>
          <w:t>m</w:t>
        </w:r>
        <w:r>
          <w:rPr>
            <w:rFonts w:ascii="Times New Roman" w:eastAsia="Times New Roman"/>
            <w:spacing w:val="-2"/>
            <w:w w:val="100"/>
          </w:rPr>
          <w:t>/i</w:t>
        </w:r>
        <w:r>
          <w:rPr>
            <w:rFonts w:ascii="Times New Roman" w:eastAsia="Times New Roman"/>
            <w:w w:val="100"/>
          </w:rPr>
          <w:t>ndex</w:t>
        </w:r>
      </w:hyperlink>
      <w:r>
        <w:rPr>
          <w:spacing w:val="-106"/>
          <w:w w:val="100"/>
        </w:rPr>
        <w:t>））</w:t>
      </w:r>
      <w:r>
        <w:rPr>
          <w:spacing w:val="-3"/>
          <w:w w:val="100"/>
        </w:rPr>
        <w:t>，对外披露工业富联的净零排放目标。</w:t>
      </w:r>
    </w:p>
    <w:p>
      <w:pPr>
        <w:pStyle w:val="BodyText"/>
        <w:spacing w:line="364" w:lineRule="auto" w:before="140"/>
        <w:ind w:left="1578" w:right="770"/>
        <w:jc w:val="both"/>
      </w:pPr>
      <w:r>
        <w:rPr>
          <w:spacing w:val="-1"/>
        </w:rPr>
        <w:t>短期：</w:t>
      </w:r>
      <w:r>
        <w:rPr>
          <w:rFonts w:ascii="Times New Roman" w:eastAsia="Times New Roman"/>
        </w:rPr>
        <w:t>2030</w:t>
      </w:r>
      <w:r>
        <w:rPr>
          <w:rFonts w:ascii="Times New Roman" w:eastAsia="Times New Roman"/>
          <w:spacing w:val="-3"/>
        </w:rPr>
        <w:t> </w:t>
      </w:r>
      <w:r>
        <w:rPr>
          <w:spacing w:val="-6"/>
        </w:rPr>
        <w:t>年运营碳排放量较 </w:t>
      </w:r>
      <w:r>
        <w:rPr>
          <w:rFonts w:ascii="Times New Roman" w:eastAsia="Times New Roman"/>
        </w:rPr>
        <w:t>2020</w:t>
      </w:r>
      <w:r>
        <w:rPr>
          <w:rFonts w:ascii="Times New Roman" w:eastAsia="Times New Roman"/>
          <w:spacing w:val="-3"/>
        </w:rPr>
        <w:t> </w:t>
      </w:r>
      <w:r>
        <w:rPr>
          <w:spacing w:val="-8"/>
        </w:rPr>
        <w:t>年基准年下降 </w:t>
      </w:r>
      <w:r>
        <w:rPr>
          <w:rFonts w:ascii="Times New Roman" w:eastAsia="Times New Roman"/>
        </w:rPr>
        <w:t>80%</w:t>
      </w:r>
      <w:r>
        <w:rPr>
          <w:spacing w:val="-4"/>
        </w:rPr>
        <w:t>，且可再生能源使用比例达 </w:t>
      </w:r>
      <w:r>
        <w:rPr>
          <w:rFonts w:ascii="Times New Roman" w:eastAsia="Times New Roman"/>
        </w:rPr>
        <w:t>80%</w:t>
      </w:r>
      <w:r>
        <w:rPr/>
        <w:t>；</w:t>
      </w:r>
      <w:r>
        <w:rPr>
          <w:spacing w:val="-103"/>
        </w:rPr>
        <w:t> </w:t>
      </w:r>
      <w:r>
        <w:rPr>
          <w:spacing w:val="-1"/>
          <w:w w:val="100"/>
        </w:rPr>
        <w:t>中期：</w:t>
      </w:r>
      <w:r>
        <w:rPr>
          <w:rFonts w:ascii="Times New Roman" w:eastAsia="Times New Roman"/>
          <w:w w:val="100"/>
        </w:rPr>
        <w:t>2035</w:t>
      </w:r>
      <w:r>
        <w:rPr>
          <w:rFonts w:ascii="Times New Roman" w:eastAsia="Times New Roman"/>
          <w:spacing w:val="-3"/>
        </w:rPr>
        <w:t> </w:t>
      </w:r>
      <w:r>
        <w:rPr>
          <w:spacing w:val="-3"/>
          <w:w w:val="100"/>
        </w:rPr>
        <w:t>年实现运营碳中和（涵盖范围一和范围二排放</w:t>
      </w:r>
      <w:r>
        <w:rPr>
          <w:spacing w:val="-106"/>
          <w:w w:val="100"/>
        </w:rPr>
        <w:t>）</w:t>
      </w:r>
      <w:r>
        <w:rPr>
          <w:w w:val="100"/>
        </w:rPr>
        <w:t>；</w:t>
      </w:r>
    </w:p>
    <w:p>
      <w:pPr>
        <w:pStyle w:val="BodyText"/>
        <w:spacing w:line="267" w:lineRule="exact"/>
        <w:ind w:left="1578"/>
        <w:jc w:val="both"/>
      </w:pPr>
      <w:r>
        <w:rPr/>
        <w:t>长期：</w:t>
      </w:r>
      <w:r>
        <w:rPr>
          <w:rFonts w:ascii="Times New Roman" w:eastAsia="Times New Roman"/>
        </w:rPr>
        <w:t>2050</w:t>
      </w:r>
      <w:r>
        <w:rPr>
          <w:rFonts w:ascii="Times New Roman" w:eastAsia="Times New Roman"/>
          <w:spacing w:val="-6"/>
        </w:rPr>
        <w:t> </w:t>
      </w:r>
      <w:r>
        <w:rPr/>
        <w:t>年实现价值链净零排放（涵盖范围一、范围二和范围三排放</w:t>
      </w:r>
      <w:r>
        <w:rPr>
          <w:spacing w:val="-106"/>
        </w:rPr>
        <w:t>）</w:t>
      </w:r>
      <w:r>
        <w:rPr/>
        <w:t>。</w:t>
      </w:r>
    </w:p>
    <w:p>
      <w:pPr>
        <w:pStyle w:val="BodyText"/>
        <w:spacing w:line="364" w:lineRule="auto" w:before="141"/>
        <w:ind w:left="1158" w:right="530" w:firstLine="419"/>
        <w:jc w:val="both"/>
      </w:pPr>
      <w:r>
        <w:rPr/>
        <w:t>为实现净零排放目标，公司将逐步开展低碳转型关键行动举措，成立减碳推动组织（环保暨</w:t>
      </w:r>
      <w:r>
        <w:rPr>
          <w:spacing w:val="4"/>
          <w:w w:val="100"/>
        </w:rPr>
        <w:t>能源管理处</w:t>
      </w:r>
      <w:r>
        <w:rPr>
          <w:spacing w:val="-104"/>
          <w:w w:val="100"/>
        </w:rPr>
        <w:t>）</w:t>
      </w:r>
      <w:r>
        <w:rPr>
          <w:spacing w:val="2"/>
          <w:w w:val="100"/>
        </w:rPr>
        <w:t>，统筹、指导下属单位，通过减少运营排放（</w:t>
      </w:r>
      <w:r>
        <w:rPr>
          <w:rFonts w:ascii="Times New Roman" w:eastAsia="Times New Roman"/>
          <w:w w:val="100"/>
        </w:rPr>
        <w:t>Re</w:t>
      </w:r>
      <w:r>
        <w:rPr>
          <w:rFonts w:ascii="Times New Roman" w:eastAsia="Times New Roman"/>
          <w:spacing w:val="-3"/>
          <w:w w:val="100"/>
        </w:rPr>
        <w:t>d</w:t>
      </w:r>
      <w:r>
        <w:rPr>
          <w:rFonts w:ascii="Times New Roman" w:eastAsia="Times New Roman"/>
          <w:w w:val="100"/>
        </w:rPr>
        <w:t>uc</w:t>
      </w:r>
      <w:r>
        <w:rPr>
          <w:rFonts w:ascii="Times New Roman" w:eastAsia="Times New Roman"/>
          <w:spacing w:val="-1"/>
          <w:w w:val="100"/>
        </w:rPr>
        <w:t>e</w:t>
      </w:r>
      <w:r>
        <w:rPr>
          <w:spacing w:val="-101"/>
          <w:w w:val="100"/>
        </w:rPr>
        <w:t>）</w:t>
      </w:r>
      <w:r>
        <w:rPr>
          <w:spacing w:val="2"/>
          <w:w w:val="100"/>
        </w:rPr>
        <w:t>、能源结构转型（</w:t>
      </w:r>
      <w:r>
        <w:rPr>
          <w:rFonts w:ascii="Times New Roman" w:eastAsia="Times New Roman"/>
          <w:w w:val="100"/>
        </w:rPr>
        <w:t>R</w:t>
      </w:r>
      <w:r>
        <w:rPr>
          <w:rFonts w:ascii="Times New Roman" w:eastAsia="Times New Roman"/>
          <w:spacing w:val="-3"/>
          <w:w w:val="100"/>
        </w:rPr>
        <w:t>e</w:t>
      </w:r>
      <w:r>
        <w:rPr>
          <w:rFonts w:ascii="Times New Roman" w:eastAsia="Times New Roman"/>
          <w:w w:val="100"/>
        </w:rPr>
        <w:t>p</w:t>
      </w:r>
      <w:r>
        <w:rPr>
          <w:rFonts w:ascii="Times New Roman" w:eastAsia="Times New Roman"/>
          <w:spacing w:val="-2"/>
          <w:w w:val="100"/>
        </w:rPr>
        <w:t>l</w:t>
      </w:r>
      <w:r>
        <w:rPr>
          <w:rFonts w:ascii="Times New Roman" w:eastAsia="Times New Roman"/>
          <w:w w:val="100"/>
        </w:rPr>
        <w:t>ac</w:t>
      </w:r>
      <w:r>
        <w:rPr>
          <w:rFonts w:ascii="Times New Roman" w:eastAsia="Times New Roman"/>
          <w:spacing w:val="-1"/>
          <w:w w:val="100"/>
        </w:rPr>
        <w:t>e</w:t>
      </w:r>
      <w:r>
        <w:rPr>
          <w:w w:val="100"/>
        </w:rPr>
        <w:t>）</w:t>
      </w:r>
      <w:r>
        <w:rPr/>
        <w:t>和碳抵消与碳捕捉（</w:t>
      </w:r>
      <w:r>
        <w:rPr>
          <w:rFonts w:ascii="Times New Roman" w:eastAsia="Times New Roman"/>
        </w:rPr>
        <w:t>Resolve</w:t>
      </w:r>
      <w:r>
        <w:rPr/>
        <w:t>）减少自身运营阶段的能源使用与碳排放。</w:t>
      </w:r>
    </w:p>
    <w:p>
      <w:pPr>
        <w:pStyle w:val="BodyText"/>
        <w:spacing w:line="364" w:lineRule="auto"/>
        <w:ind w:left="1158" w:right="528" w:firstLine="419"/>
        <w:jc w:val="both"/>
      </w:pPr>
      <w:r>
        <w:rPr/>
        <w:t>在减少运营排放环节，工业富联主要通过对高耗能低效率设备进行汰换、工艺与制程改善、对能源系统进行升级改造等方式，提升生产过程中的能源使用效率。报告期内，公司新增节能专</w:t>
      </w:r>
      <w:r>
        <w:rPr>
          <w:spacing w:val="-19"/>
        </w:rPr>
        <w:t>项达 </w:t>
      </w:r>
      <w:r>
        <w:rPr>
          <w:rFonts w:ascii="Times New Roman" w:eastAsia="Times New Roman"/>
          <w:spacing w:val="-1"/>
        </w:rPr>
        <w:t>800</w:t>
      </w:r>
      <w:r>
        <w:rPr>
          <w:rFonts w:ascii="Times New Roman" w:eastAsia="Times New Roman"/>
          <w:spacing w:val="-12"/>
        </w:rPr>
        <w:t> </w:t>
      </w:r>
      <w:r>
        <w:rPr>
          <w:spacing w:val="-7"/>
        </w:rPr>
        <w:t>多项，节能投资 </w:t>
      </w:r>
      <w:r>
        <w:rPr>
          <w:rFonts w:ascii="Times New Roman" w:eastAsia="Times New Roman"/>
        </w:rPr>
        <w:t>1.4</w:t>
      </w:r>
      <w:r>
        <w:rPr>
          <w:rFonts w:ascii="Times New Roman" w:eastAsia="Times New Roman"/>
          <w:spacing w:val="-12"/>
        </w:rPr>
        <w:t> </w:t>
      </w:r>
      <w:r>
        <w:rPr/>
        <w:t>亿，年减排量（</w:t>
      </w:r>
      <w:r>
        <w:rPr>
          <w:rFonts w:ascii="Times New Roman" w:eastAsia="Times New Roman"/>
        </w:rPr>
        <w:t>Reduce</w:t>
      </w:r>
      <w:r>
        <w:rPr/>
        <w:t>）</w:t>
      </w:r>
      <w:r>
        <w:rPr>
          <w:rFonts w:ascii="Times New Roman" w:eastAsia="Times New Roman"/>
        </w:rPr>
        <w:t>15.3</w:t>
      </w:r>
      <w:r>
        <w:rPr>
          <w:rFonts w:ascii="Times New Roman" w:eastAsia="Times New Roman"/>
          <w:spacing w:val="-10"/>
        </w:rPr>
        <w:t> </w:t>
      </w:r>
      <w:r>
        <w:rPr>
          <w:spacing w:val="-27"/>
        </w:rPr>
        <w:t>万 </w:t>
      </w:r>
      <w:r>
        <w:rPr>
          <w:rFonts w:ascii="Times New Roman" w:eastAsia="Times New Roman"/>
        </w:rPr>
        <w:t>tCO2e</w:t>
      </w:r>
      <w:r>
        <w:rPr/>
        <w:t>。</w:t>
      </w:r>
    </w:p>
    <w:p>
      <w:pPr>
        <w:pStyle w:val="BodyText"/>
        <w:ind w:left="1578"/>
      </w:pPr>
      <w:r>
        <w:rPr>
          <w:spacing w:val="-1"/>
        </w:rPr>
        <w:t>重点节能减排专案</w:t>
      </w:r>
      <w:r>
        <w:rPr>
          <w:rFonts w:ascii="Times New Roman" w:eastAsia="Times New Roman"/>
        </w:rPr>
        <w:t>(</w:t>
      </w:r>
      <w:r>
        <w:rPr/>
        <w:t>部分节选</w:t>
      </w:r>
      <w:r>
        <w:rPr>
          <w:rFonts w:ascii="Times New Roman" w:eastAsia="Times New Roman"/>
        </w:rPr>
        <w:t>)</w:t>
      </w:r>
      <w:r>
        <w:rPr/>
        <w:t>如下：</w:t>
      </w:r>
    </w:p>
    <w:p>
      <w:pPr>
        <w:pStyle w:val="BodyText"/>
        <w:spacing w:before="7"/>
        <w:ind w:left="0"/>
        <w:rPr>
          <w:sz w:val="10"/>
        </w:rPr>
      </w:pPr>
    </w:p>
    <w:tbl>
      <w:tblPr>
        <w:tblW w:w="0" w:type="auto"/>
        <w:jc w:val="left"/>
        <w:tblInd w:w="1444" w:type="dxa"/>
        <w:tblBorders>
          <w:top w:val="single" w:sz="8" w:space="0" w:color="ACACAC"/>
          <w:left w:val="single" w:sz="8" w:space="0" w:color="ACACAC"/>
          <w:bottom w:val="single" w:sz="8" w:space="0" w:color="ACACAC"/>
          <w:right w:val="single" w:sz="8" w:space="0" w:color="ACACAC"/>
          <w:insideH w:val="single" w:sz="8" w:space="0" w:color="ACACAC"/>
          <w:insideV w:val="single" w:sz="8" w:space="0" w:color="ACACAC"/>
        </w:tblBorders>
        <w:tblLayout w:type="fixed"/>
        <w:tblCellMar>
          <w:top w:w="0" w:type="dxa"/>
          <w:left w:w="0" w:type="dxa"/>
          <w:bottom w:w="0" w:type="dxa"/>
          <w:right w:w="0" w:type="dxa"/>
        </w:tblCellMar>
        <w:tblLook w:val="01E0"/>
      </w:tblPr>
      <w:tblGrid>
        <w:gridCol w:w="1409"/>
        <w:gridCol w:w="2836"/>
        <w:gridCol w:w="1277"/>
        <w:gridCol w:w="1417"/>
        <w:gridCol w:w="1347"/>
      </w:tblGrid>
      <w:tr>
        <w:trPr>
          <w:trHeight w:val="687" w:hRule="atLeast"/>
        </w:trPr>
        <w:tc>
          <w:tcPr>
            <w:tcW w:w="1409" w:type="dxa"/>
          </w:tcPr>
          <w:p>
            <w:pPr>
              <w:pStyle w:val="TableParagraph"/>
              <w:spacing w:before="4"/>
              <w:rPr>
                <w:sz w:val="16"/>
              </w:rPr>
            </w:pPr>
          </w:p>
          <w:p>
            <w:pPr>
              <w:pStyle w:val="TableParagraph"/>
              <w:ind w:left="282"/>
              <w:rPr>
                <w:sz w:val="21"/>
              </w:rPr>
            </w:pPr>
            <w:r>
              <w:rPr>
                <w:sz w:val="21"/>
              </w:rPr>
              <w:t>项目类别</w:t>
            </w:r>
          </w:p>
        </w:tc>
        <w:tc>
          <w:tcPr>
            <w:tcW w:w="2836" w:type="dxa"/>
          </w:tcPr>
          <w:p>
            <w:pPr>
              <w:pStyle w:val="TableParagraph"/>
              <w:spacing w:before="4"/>
              <w:rPr>
                <w:sz w:val="16"/>
              </w:rPr>
            </w:pPr>
          </w:p>
          <w:p>
            <w:pPr>
              <w:pStyle w:val="TableParagraph"/>
              <w:ind w:left="1186" w:right="1170"/>
              <w:jc w:val="center"/>
              <w:rPr>
                <w:sz w:val="21"/>
              </w:rPr>
            </w:pPr>
            <w:r>
              <w:rPr>
                <w:sz w:val="21"/>
              </w:rPr>
              <w:t>名称</w:t>
            </w:r>
          </w:p>
        </w:tc>
        <w:tc>
          <w:tcPr>
            <w:tcW w:w="1277" w:type="dxa"/>
          </w:tcPr>
          <w:p>
            <w:pPr>
              <w:pStyle w:val="TableParagraph"/>
              <w:spacing w:before="72"/>
              <w:ind w:left="217"/>
              <w:rPr>
                <w:sz w:val="21"/>
              </w:rPr>
            </w:pPr>
            <w:r>
              <w:rPr>
                <w:sz w:val="21"/>
              </w:rPr>
              <w:t>年减碳量</w:t>
            </w:r>
          </w:p>
          <w:p>
            <w:pPr>
              <w:pStyle w:val="TableParagraph"/>
              <w:spacing w:before="5"/>
              <w:ind w:left="152"/>
              <w:rPr>
                <w:sz w:val="21"/>
              </w:rPr>
            </w:pPr>
            <w:r>
              <w:rPr>
                <w:sz w:val="21"/>
              </w:rPr>
              <w:t>（</w:t>
            </w:r>
            <w:r>
              <w:rPr>
                <w:rFonts w:ascii="Times New Roman" w:eastAsia="Times New Roman"/>
                <w:sz w:val="21"/>
              </w:rPr>
              <w:t>tCO2e</w:t>
            </w:r>
            <w:r>
              <w:rPr>
                <w:sz w:val="21"/>
              </w:rPr>
              <w:t>）</w:t>
            </w:r>
          </w:p>
        </w:tc>
        <w:tc>
          <w:tcPr>
            <w:tcW w:w="1417" w:type="dxa"/>
          </w:tcPr>
          <w:p>
            <w:pPr>
              <w:pStyle w:val="TableParagraph"/>
              <w:spacing w:line="244" w:lineRule="auto" w:before="72"/>
              <w:ind w:left="178" w:right="162"/>
              <w:rPr>
                <w:sz w:val="21"/>
              </w:rPr>
            </w:pPr>
            <w:r>
              <w:rPr>
                <w:sz w:val="21"/>
              </w:rPr>
              <w:t>年度节能效益（万元）</w:t>
            </w:r>
          </w:p>
        </w:tc>
        <w:tc>
          <w:tcPr>
            <w:tcW w:w="1347" w:type="dxa"/>
          </w:tcPr>
          <w:p>
            <w:pPr>
              <w:pStyle w:val="TableParagraph"/>
              <w:spacing w:before="72"/>
              <w:ind w:left="250"/>
              <w:rPr>
                <w:sz w:val="21"/>
              </w:rPr>
            </w:pPr>
            <w:r>
              <w:rPr>
                <w:sz w:val="21"/>
              </w:rPr>
              <w:t>投资金额</w:t>
            </w:r>
          </w:p>
          <w:p>
            <w:pPr>
              <w:pStyle w:val="TableParagraph"/>
              <w:spacing w:before="5"/>
              <w:ind w:left="250"/>
              <w:rPr>
                <w:sz w:val="21"/>
              </w:rPr>
            </w:pPr>
            <w:r>
              <w:rPr>
                <w:sz w:val="21"/>
              </w:rPr>
              <w:t>（万元）</w:t>
            </w:r>
          </w:p>
        </w:tc>
      </w:tr>
      <w:tr>
        <w:trPr>
          <w:trHeight w:val="1235" w:hRule="atLeast"/>
        </w:trPr>
        <w:tc>
          <w:tcPr>
            <w:tcW w:w="1409" w:type="dxa"/>
          </w:tcPr>
          <w:p>
            <w:pPr>
              <w:pStyle w:val="TableParagraph"/>
              <w:rPr>
                <w:sz w:val="20"/>
              </w:rPr>
            </w:pPr>
          </w:p>
          <w:p>
            <w:pPr>
              <w:pStyle w:val="TableParagraph"/>
              <w:spacing w:before="9"/>
              <w:rPr>
                <w:sz w:val="17"/>
              </w:rPr>
            </w:pPr>
          </w:p>
          <w:p>
            <w:pPr>
              <w:pStyle w:val="TableParagraph"/>
              <w:ind w:left="282"/>
              <w:rPr>
                <w:sz w:val="21"/>
              </w:rPr>
            </w:pPr>
            <w:r>
              <w:rPr>
                <w:sz w:val="21"/>
              </w:rPr>
              <w:t>设备改善</w:t>
            </w:r>
          </w:p>
        </w:tc>
        <w:tc>
          <w:tcPr>
            <w:tcW w:w="2836" w:type="dxa"/>
          </w:tcPr>
          <w:p>
            <w:pPr>
              <w:pStyle w:val="TableParagraph"/>
              <w:spacing w:line="242" w:lineRule="auto" w:before="75"/>
              <w:ind w:left="140" w:right="150"/>
              <w:rPr>
                <w:sz w:val="21"/>
              </w:rPr>
            </w:pPr>
            <w:r>
              <w:rPr>
                <w:spacing w:val="-1"/>
                <w:sz w:val="21"/>
              </w:rPr>
              <w:t>组立风冷机节能改善；砂光</w:t>
            </w:r>
            <w:r>
              <w:rPr>
                <w:spacing w:val="25"/>
                <w:sz w:val="21"/>
              </w:rPr>
              <w:t>制程</w:t>
            </w:r>
            <w:r>
              <w:rPr>
                <w:rFonts w:ascii="Times New Roman" w:eastAsia="Times New Roman"/>
                <w:sz w:val="21"/>
              </w:rPr>
              <w:t>AR/ABB</w:t>
            </w:r>
            <w:r>
              <w:rPr>
                <w:rFonts w:ascii="Times New Roman" w:eastAsia="Times New Roman"/>
                <w:spacing w:val="-10"/>
                <w:sz w:val="21"/>
              </w:rPr>
              <w:t> </w:t>
            </w:r>
            <w:r>
              <w:rPr>
                <w:sz w:val="21"/>
              </w:rPr>
              <w:t>机台导入一</w:t>
            </w:r>
            <w:r>
              <w:rPr>
                <w:spacing w:val="-1"/>
                <w:sz w:val="21"/>
              </w:rPr>
              <w:t>拖一自动上下料节能减排改</w:t>
            </w:r>
            <w:r>
              <w:rPr>
                <w:spacing w:val="-18"/>
                <w:sz w:val="21"/>
              </w:rPr>
              <w:t>善等 </w:t>
            </w:r>
            <w:r>
              <w:rPr>
                <w:rFonts w:ascii="Times New Roman" w:eastAsia="Times New Roman"/>
                <w:sz w:val="21"/>
              </w:rPr>
              <w:t>146</w:t>
            </w:r>
            <w:r>
              <w:rPr>
                <w:rFonts w:ascii="Times New Roman" w:eastAsia="Times New Roman"/>
                <w:spacing w:val="-12"/>
                <w:sz w:val="21"/>
              </w:rPr>
              <w:t> </w:t>
            </w:r>
            <w:r>
              <w:rPr>
                <w:sz w:val="21"/>
              </w:rPr>
              <w:t>项</w:t>
            </w:r>
          </w:p>
        </w:tc>
        <w:tc>
          <w:tcPr>
            <w:tcW w:w="1277" w:type="dxa"/>
          </w:tcPr>
          <w:p>
            <w:pPr>
              <w:pStyle w:val="TableParagraph"/>
              <w:rPr>
                <w:sz w:val="22"/>
              </w:rPr>
            </w:pPr>
          </w:p>
          <w:p>
            <w:pPr>
              <w:pStyle w:val="TableParagraph"/>
              <w:spacing w:before="3"/>
              <w:rPr>
                <w:sz w:val="16"/>
              </w:rPr>
            </w:pPr>
          </w:p>
          <w:p>
            <w:pPr>
              <w:pStyle w:val="TableParagraph"/>
              <w:ind w:left="328" w:right="311"/>
              <w:jc w:val="center"/>
              <w:rPr>
                <w:rFonts w:ascii="Times New Roman"/>
                <w:sz w:val="21"/>
              </w:rPr>
            </w:pPr>
            <w:r>
              <w:rPr>
                <w:rFonts w:ascii="Times New Roman"/>
                <w:sz w:val="21"/>
              </w:rPr>
              <w:t>21,835</w:t>
            </w:r>
          </w:p>
        </w:tc>
        <w:tc>
          <w:tcPr>
            <w:tcW w:w="1417" w:type="dxa"/>
          </w:tcPr>
          <w:p>
            <w:pPr>
              <w:pStyle w:val="TableParagraph"/>
              <w:rPr>
                <w:sz w:val="22"/>
              </w:rPr>
            </w:pPr>
          </w:p>
          <w:p>
            <w:pPr>
              <w:pStyle w:val="TableParagraph"/>
              <w:spacing w:before="3"/>
              <w:rPr>
                <w:sz w:val="16"/>
              </w:rPr>
            </w:pPr>
          </w:p>
          <w:p>
            <w:pPr>
              <w:pStyle w:val="TableParagraph"/>
              <w:ind w:left="466"/>
              <w:rPr>
                <w:rFonts w:ascii="Times New Roman"/>
                <w:sz w:val="21"/>
              </w:rPr>
            </w:pPr>
            <w:r>
              <w:rPr>
                <w:rFonts w:ascii="Times New Roman"/>
                <w:sz w:val="21"/>
              </w:rPr>
              <w:t>2,177</w:t>
            </w:r>
          </w:p>
        </w:tc>
        <w:tc>
          <w:tcPr>
            <w:tcW w:w="1347" w:type="dxa"/>
          </w:tcPr>
          <w:p>
            <w:pPr>
              <w:pStyle w:val="TableParagraph"/>
              <w:rPr>
                <w:sz w:val="22"/>
              </w:rPr>
            </w:pPr>
          </w:p>
          <w:p>
            <w:pPr>
              <w:pStyle w:val="TableParagraph"/>
              <w:spacing w:before="3"/>
              <w:rPr>
                <w:sz w:val="16"/>
              </w:rPr>
            </w:pPr>
          </w:p>
          <w:p>
            <w:pPr>
              <w:pStyle w:val="TableParagraph"/>
              <w:ind w:left="413" w:right="400"/>
              <w:jc w:val="center"/>
              <w:rPr>
                <w:rFonts w:ascii="Times New Roman"/>
                <w:sz w:val="21"/>
              </w:rPr>
            </w:pPr>
            <w:r>
              <w:rPr>
                <w:rFonts w:ascii="Times New Roman"/>
                <w:sz w:val="21"/>
              </w:rPr>
              <w:t>1,165</w:t>
            </w:r>
          </w:p>
        </w:tc>
      </w:tr>
      <w:tr>
        <w:trPr>
          <w:trHeight w:val="959" w:hRule="atLeast"/>
        </w:trPr>
        <w:tc>
          <w:tcPr>
            <w:tcW w:w="1409" w:type="dxa"/>
            <w:vMerge w:val="restart"/>
          </w:tcPr>
          <w:p>
            <w:pPr>
              <w:pStyle w:val="TableParagraph"/>
              <w:rPr>
                <w:sz w:val="20"/>
              </w:rPr>
            </w:pPr>
          </w:p>
          <w:p>
            <w:pPr>
              <w:pStyle w:val="TableParagraph"/>
              <w:rPr>
                <w:sz w:val="20"/>
              </w:rPr>
            </w:pPr>
          </w:p>
          <w:p>
            <w:pPr>
              <w:pStyle w:val="TableParagraph"/>
              <w:rPr>
                <w:sz w:val="20"/>
              </w:rPr>
            </w:pPr>
          </w:p>
          <w:p>
            <w:pPr>
              <w:pStyle w:val="TableParagraph"/>
              <w:spacing w:before="5"/>
              <w:rPr>
                <w:sz w:val="26"/>
              </w:rPr>
            </w:pPr>
          </w:p>
          <w:p>
            <w:pPr>
              <w:pStyle w:val="TableParagraph"/>
              <w:spacing w:before="1"/>
              <w:ind w:left="282"/>
              <w:rPr>
                <w:sz w:val="21"/>
              </w:rPr>
            </w:pPr>
            <w:r>
              <w:rPr>
                <w:sz w:val="21"/>
              </w:rPr>
              <w:t>汰旧换新</w:t>
            </w:r>
          </w:p>
        </w:tc>
        <w:tc>
          <w:tcPr>
            <w:tcW w:w="2836" w:type="dxa"/>
          </w:tcPr>
          <w:p>
            <w:pPr>
              <w:pStyle w:val="TableParagraph"/>
              <w:spacing w:line="242" w:lineRule="auto" w:before="73"/>
              <w:ind w:left="140" w:right="150"/>
              <w:jc w:val="both"/>
              <w:rPr>
                <w:sz w:val="21"/>
              </w:rPr>
            </w:pPr>
            <w:r>
              <w:rPr>
                <w:spacing w:val="-1"/>
                <w:sz w:val="21"/>
              </w:rPr>
              <w:t>汰换高效离心冰水节能案；</w:t>
            </w:r>
            <w:r>
              <w:rPr>
                <w:spacing w:val="-103"/>
                <w:sz w:val="21"/>
              </w:rPr>
              <w:t> </w:t>
            </w:r>
            <w:r>
              <w:rPr>
                <w:spacing w:val="-1"/>
                <w:sz w:val="21"/>
              </w:rPr>
              <w:t>车间及组立车间空调改造节</w:t>
            </w:r>
            <w:r>
              <w:rPr>
                <w:spacing w:val="-13"/>
                <w:sz w:val="21"/>
              </w:rPr>
              <w:t>能案等 </w:t>
            </w:r>
            <w:r>
              <w:rPr>
                <w:rFonts w:ascii="Times New Roman" w:eastAsia="Times New Roman"/>
                <w:sz w:val="21"/>
              </w:rPr>
              <w:t>104</w:t>
            </w:r>
            <w:r>
              <w:rPr>
                <w:rFonts w:ascii="Times New Roman" w:eastAsia="Times New Roman"/>
                <w:spacing w:val="-10"/>
                <w:sz w:val="21"/>
              </w:rPr>
              <w:t> </w:t>
            </w:r>
            <w:r>
              <w:rPr>
                <w:sz w:val="21"/>
              </w:rPr>
              <w:t>项</w:t>
            </w:r>
          </w:p>
        </w:tc>
        <w:tc>
          <w:tcPr>
            <w:tcW w:w="1277" w:type="dxa"/>
          </w:tcPr>
          <w:p>
            <w:pPr>
              <w:pStyle w:val="TableParagraph"/>
              <w:spacing w:before="7"/>
              <w:rPr>
                <w:sz w:val="27"/>
              </w:rPr>
            </w:pPr>
          </w:p>
          <w:p>
            <w:pPr>
              <w:pStyle w:val="TableParagraph"/>
              <w:ind w:left="328" w:right="311"/>
              <w:jc w:val="center"/>
              <w:rPr>
                <w:rFonts w:ascii="Times New Roman"/>
                <w:sz w:val="21"/>
              </w:rPr>
            </w:pPr>
            <w:r>
              <w:rPr>
                <w:rFonts w:ascii="Times New Roman"/>
                <w:sz w:val="21"/>
              </w:rPr>
              <w:t>21,198</w:t>
            </w:r>
          </w:p>
        </w:tc>
        <w:tc>
          <w:tcPr>
            <w:tcW w:w="1417" w:type="dxa"/>
          </w:tcPr>
          <w:p>
            <w:pPr>
              <w:pStyle w:val="TableParagraph"/>
              <w:spacing w:before="7"/>
              <w:rPr>
                <w:sz w:val="27"/>
              </w:rPr>
            </w:pPr>
          </w:p>
          <w:p>
            <w:pPr>
              <w:pStyle w:val="TableParagraph"/>
              <w:ind w:left="466"/>
              <w:rPr>
                <w:rFonts w:ascii="Times New Roman"/>
                <w:sz w:val="21"/>
              </w:rPr>
            </w:pPr>
            <w:r>
              <w:rPr>
                <w:rFonts w:ascii="Times New Roman"/>
                <w:sz w:val="21"/>
              </w:rPr>
              <w:t>1,981</w:t>
            </w:r>
          </w:p>
        </w:tc>
        <w:tc>
          <w:tcPr>
            <w:tcW w:w="1347" w:type="dxa"/>
          </w:tcPr>
          <w:p>
            <w:pPr>
              <w:pStyle w:val="TableParagraph"/>
              <w:spacing w:before="7"/>
              <w:rPr>
                <w:sz w:val="27"/>
              </w:rPr>
            </w:pPr>
          </w:p>
          <w:p>
            <w:pPr>
              <w:pStyle w:val="TableParagraph"/>
              <w:ind w:left="413" w:right="400"/>
              <w:jc w:val="center"/>
              <w:rPr>
                <w:rFonts w:ascii="Times New Roman"/>
                <w:sz w:val="21"/>
              </w:rPr>
            </w:pPr>
            <w:r>
              <w:rPr>
                <w:rFonts w:ascii="Times New Roman"/>
                <w:sz w:val="21"/>
              </w:rPr>
              <w:t>4,818</w:t>
            </w:r>
          </w:p>
        </w:tc>
      </w:tr>
      <w:tr>
        <w:trPr>
          <w:trHeight w:val="1507" w:hRule="atLeast"/>
        </w:trPr>
        <w:tc>
          <w:tcPr>
            <w:tcW w:w="1409" w:type="dxa"/>
            <w:vMerge/>
            <w:tcBorders>
              <w:top w:val="nil"/>
            </w:tcBorders>
          </w:tcPr>
          <w:p>
            <w:pPr>
              <w:rPr>
                <w:sz w:val="2"/>
                <w:szCs w:val="2"/>
              </w:rPr>
            </w:pPr>
          </w:p>
        </w:tc>
        <w:tc>
          <w:tcPr>
            <w:tcW w:w="2836" w:type="dxa"/>
          </w:tcPr>
          <w:p>
            <w:pPr>
              <w:pStyle w:val="TableParagraph"/>
              <w:spacing w:line="242" w:lineRule="auto" w:before="75"/>
              <w:ind w:left="140" w:right="150"/>
              <w:jc w:val="both"/>
              <w:rPr>
                <w:sz w:val="21"/>
              </w:rPr>
            </w:pPr>
            <w:r>
              <w:rPr>
                <w:spacing w:val="-1"/>
                <w:sz w:val="21"/>
              </w:rPr>
              <w:t>对部分使用年限较长，老旧落后、能耗高的设备</w:t>
            </w:r>
            <w:r>
              <w:rPr>
                <w:sz w:val="21"/>
              </w:rPr>
              <w:t>（内部</w:t>
            </w:r>
            <w:r>
              <w:rPr>
                <w:spacing w:val="-1"/>
                <w:sz w:val="21"/>
              </w:rPr>
              <w:t>冲床、成型机、自动化焊机及配套机械手</w:t>
            </w:r>
            <w:r>
              <w:rPr>
                <w:sz w:val="21"/>
              </w:rPr>
              <w:t>）进行汰旧换</w:t>
            </w:r>
            <w:r>
              <w:rPr>
                <w:spacing w:val="-7"/>
                <w:sz w:val="21"/>
              </w:rPr>
              <w:t>新，共计汰换设备 </w:t>
            </w:r>
            <w:r>
              <w:rPr>
                <w:rFonts w:ascii="Times New Roman" w:eastAsia="Times New Roman"/>
                <w:sz w:val="21"/>
              </w:rPr>
              <w:t>12</w:t>
            </w:r>
            <w:r>
              <w:rPr>
                <w:rFonts w:ascii="Times New Roman" w:eastAsia="Times New Roman"/>
                <w:spacing w:val="-12"/>
                <w:sz w:val="21"/>
              </w:rPr>
              <w:t> </w:t>
            </w:r>
            <w:r>
              <w:rPr>
                <w:sz w:val="21"/>
              </w:rPr>
              <w:t>台</w:t>
            </w:r>
          </w:p>
        </w:tc>
        <w:tc>
          <w:tcPr>
            <w:tcW w:w="1277" w:type="dxa"/>
          </w:tcPr>
          <w:p>
            <w:pPr>
              <w:pStyle w:val="TableParagraph"/>
              <w:rPr>
                <w:sz w:val="22"/>
              </w:rPr>
            </w:pPr>
          </w:p>
          <w:p>
            <w:pPr>
              <w:pStyle w:val="TableParagraph"/>
              <w:spacing w:before="12"/>
              <w:rPr>
                <w:sz w:val="26"/>
              </w:rPr>
            </w:pPr>
          </w:p>
          <w:p>
            <w:pPr>
              <w:pStyle w:val="TableParagraph"/>
              <w:ind w:left="328" w:right="311"/>
              <w:jc w:val="center"/>
              <w:rPr>
                <w:rFonts w:ascii="Times New Roman"/>
                <w:sz w:val="21"/>
              </w:rPr>
            </w:pPr>
            <w:r>
              <w:rPr>
                <w:rFonts w:ascii="Times New Roman"/>
                <w:sz w:val="21"/>
              </w:rPr>
              <w:t>511</w:t>
            </w:r>
          </w:p>
        </w:tc>
        <w:tc>
          <w:tcPr>
            <w:tcW w:w="1417" w:type="dxa"/>
          </w:tcPr>
          <w:p>
            <w:pPr>
              <w:pStyle w:val="TableParagraph"/>
              <w:rPr>
                <w:sz w:val="22"/>
              </w:rPr>
            </w:pPr>
          </w:p>
          <w:p>
            <w:pPr>
              <w:pStyle w:val="TableParagraph"/>
              <w:spacing w:before="12"/>
              <w:rPr>
                <w:sz w:val="26"/>
              </w:rPr>
            </w:pPr>
          </w:p>
          <w:p>
            <w:pPr>
              <w:pStyle w:val="TableParagraph"/>
              <w:ind w:left="519"/>
              <w:rPr>
                <w:rFonts w:ascii="Times New Roman"/>
                <w:sz w:val="21"/>
              </w:rPr>
            </w:pPr>
            <w:r>
              <w:rPr>
                <w:rFonts w:ascii="Times New Roman"/>
                <w:sz w:val="21"/>
              </w:rPr>
              <w:t>49.7</w:t>
            </w:r>
          </w:p>
        </w:tc>
        <w:tc>
          <w:tcPr>
            <w:tcW w:w="1347" w:type="dxa"/>
          </w:tcPr>
          <w:p>
            <w:pPr>
              <w:pStyle w:val="TableParagraph"/>
              <w:rPr>
                <w:sz w:val="22"/>
              </w:rPr>
            </w:pPr>
          </w:p>
          <w:p>
            <w:pPr>
              <w:pStyle w:val="TableParagraph"/>
              <w:spacing w:before="12"/>
              <w:rPr>
                <w:sz w:val="26"/>
              </w:rPr>
            </w:pPr>
          </w:p>
          <w:p>
            <w:pPr>
              <w:pStyle w:val="TableParagraph"/>
              <w:ind w:left="413" w:right="400"/>
              <w:jc w:val="center"/>
              <w:rPr>
                <w:rFonts w:ascii="Times New Roman"/>
                <w:sz w:val="21"/>
              </w:rPr>
            </w:pPr>
            <w:r>
              <w:rPr>
                <w:rFonts w:ascii="Times New Roman"/>
                <w:sz w:val="21"/>
              </w:rPr>
              <w:t>--</w:t>
            </w:r>
          </w:p>
        </w:tc>
      </w:tr>
      <w:tr>
        <w:trPr>
          <w:trHeight w:val="961" w:hRule="atLeast"/>
        </w:trPr>
        <w:tc>
          <w:tcPr>
            <w:tcW w:w="1409" w:type="dxa"/>
          </w:tcPr>
          <w:p>
            <w:pPr>
              <w:pStyle w:val="TableParagraph"/>
              <w:rPr>
                <w:sz w:val="27"/>
              </w:rPr>
            </w:pPr>
          </w:p>
          <w:p>
            <w:pPr>
              <w:pStyle w:val="TableParagraph"/>
              <w:ind w:left="282"/>
              <w:rPr>
                <w:sz w:val="21"/>
              </w:rPr>
            </w:pPr>
            <w:r>
              <w:rPr>
                <w:sz w:val="21"/>
              </w:rPr>
              <w:t>工艺改善</w:t>
            </w:r>
          </w:p>
        </w:tc>
        <w:tc>
          <w:tcPr>
            <w:tcW w:w="2836" w:type="dxa"/>
          </w:tcPr>
          <w:p>
            <w:pPr>
              <w:pStyle w:val="TableParagraph"/>
              <w:spacing w:line="242" w:lineRule="auto" w:before="75"/>
              <w:ind w:left="140" w:right="150"/>
              <w:rPr>
                <w:sz w:val="21"/>
              </w:rPr>
            </w:pPr>
            <w:r>
              <w:rPr>
                <w:rFonts w:ascii="Times New Roman" w:eastAsia="Times New Roman"/>
                <w:sz w:val="21"/>
              </w:rPr>
              <w:t>PVD</w:t>
            </w:r>
            <w:r>
              <w:rPr>
                <w:rFonts w:ascii="Times New Roman" w:eastAsia="Times New Roman"/>
                <w:spacing w:val="-12"/>
                <w:sz w:val="21"/>
              </w:rPr>
              <w:t> </w:t>
            </w:r>
            <w:r>
              <w:rPr>
                <w:sz w:val="21"/>
              </w:rPr>
              <w:t>镀膜新增冷捕集器设</w:t>
            </w:r>
            <w:r>
              <w:rPr>
                <w:spacing w:val="-1"/>
                <w:sz w:val="21"/>
              </w:rPr>
              <w:t>备提升抽气效率节电改善；</w:t>
            </w:r>
            <w:r>
              <w:rPr>
                <w:spacing w:val="-102"/>
                <w:sz w:val="21"/>
              </w:rPr>
              <w:t> </w:t>
            </w:r>
            <w:r>
              <w:rPr>
                <w:rFonts w:ascii="Times New Roman" w:eastAsia="Times New Roman"/>
                <w:sz w:val="21"/>
              </w:rPr>
              <w:t>CNC</w:t>
            </w:r>
            <w:r>
              <w:rPr>
                <w:rFonts w:ascii="Times New Roman" w:eastAsia="Times New Roman"/>
                <w:spacing w:val="-12"/>
                <w:sz w:val="21"/>
              </w:rPr>
              <w:t> </w:t>
            </w:r>
            <w:r>
              <w:rPr>
                <w:sz w:val="21"/>
              </w:rPr>
              <w:t>机台机械手换料与刀</w:t>
            </w:r>
          </w:p>
        </w:tc>
        <w:tc>
          <w:tcPr>
            <w:tcW w:w="1277" w:type="dxa"/>
          </w:tcPr>
          <w:p>
            <w:pPr>
              <w:pStyle w:val="TableParagraph"/>
              <w:spacing w:before="7"/>
              <w:rPr>
                <w:sz w:val="27"/>
              </w:rPr>
            </w:pPr>
          </w:p>
          <w:p>
            <w:pPr>
              <w:pStyle w:val="TableParagraph"/>
              <w:ind w:left="328" w:right="311"/>
              <w:jc w:val="center"/>
              <w:rPr>
                <w:rFonts w:ascii="Times New Roman"/>
                <w:sz w:val="21"/>
              </w:rPr>
            </w:pPr>
            <w:r>
              <w:rPr>
                <w:rFonts w:ascii="Times New Roman"/>
                <w:sz w:val="21"/>
              </w:rPr>
              <w:t>9,996</w:t>
            </w:r>
          </w:p>
        </w:tc>
        <w:tc>
          <w:tcPr>
            <w:tcW w:w="1417" w:type="dxa"/>
          </w:tcPr>
          <w:p>
            <w:pPr>
              <w:pStyle w:val="TableParagraph"/>
              <w:spacing w:before="7"/>
              <w:rPr>
                <w:sz w:val="27"/>
              </w:rPr>
            </w:pPr>
          </w:p>
          <w:p>
            <w:pPr>
              <w:pStyle w:val="TableParagraph"/>
              <w:ind w:left="466"/>
              <w:rPr>
                <w:rFonts w:ascii="Times New Roman"/>
                <w:sz w:val="21"/>
              </w:rPr>
            </w:pPr>
            <w:r>
              <w:rPr>
                <w:rFonts w:ascii="Times New Roman"/>
                <w:sz w:val="21"/>
              </w:rPr>
              <w:t>1,059</w:t>
            </w:r>
          </w:p>
        </w:tc>
        <w:tc>
          <w:tcPr>
            <w:tcW w:w="1347" w:type="dxa"/>
          </w:tcPr>
          <w:p>
            <w:pPr>
              <w:pStyle w:val="TableParagraph"/>
              <w:spacing w:before="7"/>
              <w:rPr>
                <w:sz w:val="27"/>
              </w:rPr>
            </w:pPr>
          </w:p>
          <w:p>
            <w:pPr>
              <w:pStyle w:val="TableParagraph"/>
              <w:ind w:left="413" w:right="400"/>
              <w:jc w:val="center"/>
              <w:rPr>
                <w:rFonts w:ascii="Times New Roman"/>
                <w:sz w:val="21"/>
              </w:rPr>
            </w:pPr>
            <w:r>
              <w:rPr>
                <w:rFonts w:ascii="Times New Roman"/>
                <w:sz w:val="21"/>
              </w:rPr>
              <w:t>244</w:t>
            </w:r>
          </w:p>
        </w:tc>
      </w:tr>
    </w:tbl>
    <w:p>
      <w:pPr>
        <w:spacing w:after="0"/>
        <w:jc w:val="center"/>
        <w:rPr>
          <w:rFonts w:ascii="Times New Roman"/>
          <w:sz w:val="21"/>
        </w:rPr>
        <w:sectPr>
          <w:pgSz w:w="11910" w:h="16840"/>
          <w:pgMar w:header="877" w:footer="1187" w:top="1440" w:bottom="1380" w:left="640" w:right="740"/>
        </w:sectPr>
      </w:pPr>
    </w:p>
    <w:p>
      <w:pPr>
        <w:pStyle w:val="BodyText"/>
        <w:spacing w:before="2"/>
        <w:ind w:left="0"/>
        <w:rPr>
          <w:sz w:val="5"/>
        </w:rPr>
      </w:pPr>
    </w:p>
    <w:tbl>
      <w:tblPr>
        <w:tblW w:w="0" w:type="auto"/>
        <w:jc w:val="left"/>
        <w:tblInd w:w="1444" w:type="dxa"/>
        <w:tblBorders>
          <w:top w:val="single" w:sz="8" w:space="0" w:color="ACACAC"/>
          <w:left w:val="single" w:sz="8" w:space="0" w:color="ACACAC"/>
          <w:bottom w:val="single" w:sz="8" w:space="0" w:color="ACACAC"/>
          <w:right w:val="single" w:sz="8" w:space="0" w:color="ACACAC"/>
          <w:insideH w:val="single" w:sz="8" w:space="0" w:color="ACACAC"/>
          <w:insideV w:val="single" w:sz="8" w:space="0" w:color="ACACAC"/>
        </w:tblBorders>
        <w:tblLayout w:type="fixed"/>
        <w:tblCellMar>
          <w:top w:w="0" w:type="dxa"/>
          <w:left w:w="0" w:type="dxa"/>
          <w:bottom w:w="0" w:type="dxa"/>
          <w:right w:w="0" w:type="dxa"/>
        </w:tblCellMar>
        <w:tblLook w:val="01E0"/>
      </w:tblPr>
      <w:tblGrid>
        <w:gridCol w:w="1409"/>
        <w:gridCol w:w="2836"/>
        <w:gridCol w:w="1277"/>
        <w:gridCol w:w="1417"/>
        <w:gridCol w:w="1347"/>
      </w:tblGrid>
      <w:tr>
        <w:trPr>
          <w:trHeight w:val="690" w:hRule="atLeast"/>
        </w:trPr>
        <w:tc>
          <w:tcPr>
            <w:tcW w:w="1409" w:type="dxa"/>
          </w:tcPr>
          <w:p>
            <w:pPr>
              <w:pStyle w:val="TableParagraph"/>
              <w:rPr>
                <w:rFonts w:ascii="Times New Roman"/>
                <w:sz w:val="20"/>
              </w:rPr>
            </w:pPr>
          </w:p>
        </w:tc>
        <w:tc>
          <w:tcPr>
            <w:tcW w:w="2836" w:type="dxa"/>
          </w:tcPr>
          <w:p>
            <w:pPr>
              <w:pStyle w:val="TableParagraph"/>
              <w:spacing w:line="242" w:lineRule="auto" w:before="75"/>
              <w:ind w:left="140" w:right="150"/>
              <w:rPr>
                <w:sz w:val="21"/>
              </w:rPr>
            </w:pPr>
            <w:r>
              <w:rPr>
                <w:spacing w:val="-1"/>
                <w:sz w:val="21"/>
              </w:rPr>
              <w:t>具检测同步技术突破节能改</w:t>
            </w:r>
            <w:r>
              <w:rPr>
                <w:spacing w:val="-14"/>
                <w:sz w:val="21"/>
              </w:rPr>
              <w:t>善案等 </w:t>
            </w:r>
            <w:r>
              <w:rPr>
                <w:rFonts w:ascii="Times New Roman" w:eastAsia="Times New Roman"/>
                <w:sz w:val="21"/>
              </w:rPr>
              <w:t>61</w:t>
            </w:r>
            <w:r>
              <w:rPr>
                <w:rFonts w:ascii="Times New Roman" w:eastAsia="Times New Roman"/>
                <w:spacing w:val="-10"/>
                <w:sz w:val="21"/>
              </w:rPr>
              <w:t> </w:t>
            </w:r>
            <w:r>
              <w:rPr>
                <w:sz w:val="21"/>
              </w:rPr>
              <w:t>项</w:t>
            </w:r>
          </w:p>
        </w:tc>
        <w:tc>
          <w:tcPr>
            <w:tcW w:w="1277" w:type="dxa"/>
          </w:tcPr>
          <w:p>
            <w:pPr>
              <w:pStyle w:val="TableParagraph"/>
              <w:rPr>
                <w:rFonts w:ascii="Times New Roman"/>
                <w:sz w:val="20"/>
              </w:rPr>
            </w:pPr>
          </w:p>
        </w:tc>
        <w:tc>
          <w:tcPr>
            <w:tcW w:w="1417" w:type="dxa"/>
          </w:tcPr>
          <w:p>
            <w:pPr>
              <w:pStyle w:val="TableParagraph"/>
              <w:rPr>
                <w:rFonts w:ascii="Times New Roman"/>
                <w:sz w:val="20"/>
              </w:rPr>
            </w:pPr>
          </w:p>
        </w:tc>
        <w:tc>
          <w:tcPr>
            <w:tcW w:w="1347" w:type="dxa"/>
          </w:tcPr>
          <w:p>
            <w:pPr>
              <w:pStyle w:val="TableParagraph"/>
              <w:rPr>
                <w:rFonts w:ascii="Times New Roman"/>
                <w:sz w:val="20"/>
              </w:rPr>
            </w:pPr>
          </w:p>
        </w:tc>
      </w:tr>
      <w:tr>
        <w:trPr>
          <w:trHeight w:val="1268" w:hRule="atLeast"/>
        </w:trPr>
        <w:tc>
          <w:tcPr>
            <w:tcW w:w="1409" w:type="dxa"/>
          </w:tcPr>
          <w:p>
            <w:pPr>
              <w:pStyle w:val="TableParagraph"/>
              <w:rPr>
                <w:sz w:val="20"/>
              </w:rPr>
            </w:pPr>
          </w:p>
          <w:p>
            <w:pPr>
              <w:pStyle w:val="TableParagraph"/>
              <w:rPr>
                <w:sz w:val="19"/>
              </w:rPr>
            </w:pPr>
          </w:p>
          <w:p>
            <w:pPr>
              <w:pStyle w:val="TableParagraph"/>
              <w:ind w:left="159" w:right="140"/>
              <w:jc w:val="center"/>
              <w:rPr>
                <w:sz w:val="21"/>
              </w:rPr>
            </w:pPr>
            <w:r>
              <w:rPr>
                <w:sz w:val="21"/>
              </w:rPr>
              <w:t>新设或增设</w:t>
            </w:r>
          </w:p>
        </w:tc>
        <w:tc>
          <w:tcPr>
            <w:tcW w:w="2836" w:type="dxa"/>
          </w:tcPr>
          <w:p>
            <w:pPr>
              <w:pStyle w:val="TableParagraph"/>
              <w:spacing w:line="242" w:lineRule="auto" w:before="92"/>
              <w:ind w:left="140" w:right="150"/>
              <w:jc w:val="both"/>
              <w:rPr>
                <w:sz w:val="21"/>
              </w:rPr>
            </w:pPr>
            <w:r>
              <w:rPr>
                <w:spacing w:val="-1"/>
                <w:sz w:val="21"/>
              </w:rPr>
              <w:t>新建厂房选用节能型高效微雾加湿器节能改善案；新增油雾净化机组选用节能型电</w:t>
            </w:r>
            <w:r>
              <w:rPr>
                <w:spacing w:val="-11"/>
                <w:sz w:val="21"/>
              </w:rPr>
              <w:t>机改善等 </w:t>
            </w:r>
            <w:r>
              <w:rPr>
                <w:rFonts w:ascii="Times New Roman" w:eastAsia="Times New Roman"/>
                <w:sz w:val="21"/>
              </w:rPr>
              <w:t>43</w:t>
            </w:r>
            <w:r>
              <w:rPr>
                <w:rFonts w:ascii="Times New Roman" w:eastAsia="Times New Roman"/>
                <w:spacing w:val="-12"/>
                <w:sz w:val="21"/>
              </w:rPr>
              <w:t> </w:t>
            </w:r>
            <w:r>
              <w:rPr>
                <w:sz w:val="21"/>
              </w:rPr>
              <w:t>项</w:t>
            </w:r>
          </w:p>
        </w:tc>
        <w:tc>
          <w:tcPr>
            <w:tcW w:w="1277" w:type="dxa"/>
          </w:tcPr>
          <w:p>
            <w:pPr>
              <w:pStyle w:val="TableParagraph"/>
              <w:rPr>
                <w:sz w:val="22"/>
              </w:rPr>
            </w:pPr>
          </w:p>
          <w:p>
            <w:pPr>
              <w:pStyle w:val="TableParagraph"/>
              <w:spacing w:before="7"/>
              <w:rPr>
                <w:sz w:val="17"/>
              </w:rPr>
            </w:pPr>
          </w:p>
          <w:p>
            <w:pPr>
              <w:pStyle w:val="TableParagraph"/>
              <w:ind w:left="328" w:right="311"/>
              <w:jc w:val="center"/>
              <w:rPr>
                <w:rFonts w:ascii="Times New Roman"/>
                <w:sz w:val="21"/>
              </w:rPr>
            </w:pPr>
            <w:r>
              <w:rPr>
                <w:rFonts w:ascii="Times New Roman"/>
                <w:sz w:val="21"/>
              </w:rPr>
              <w:t>6,614</w:t>
            </w:r>
          </w:p>
        </w:tc>
        <w:tc>
          <w:tcPr>
            <w:tcW w:w="1417" w:type="dxa"/>
          </w:tcPr>
          <w:p>
            <w:pPr>
              <w:pStyle w:val="TableParagraph"/>
              <w:rPr>
                <w:sz w:val="22"/>
              </w:rPr>
            </w:pPr>
          </w:p>
          <w:p>
            <w:pPr>
              <w:pStyle w:val="TableParagraph"/>
              <w:spacing w:before="7"/>
              <w:rPr>
                <w:sz w:val="17"/>
              </w:rPr>
            </w:pPr>
          </w:p>
          <w:p>
            <w:pPr>
              <w:pStyle w:val="TableParagraph"/>
              <w:ind w:left="447" w:right="436"/>
              <w:jc w:val="center"/>
              <w:rPr>
                <w:rFonts w:ascii="Times New Roman"/>
                <w:sz w:val="21"/>
              </w:rPr>
            </w:pPr>
            <w:r>
              <w:rPr>
                <w:rFonts w:ascii="Times New Roman"/>
                <w:sz w:val="21"/>
              </w:rPr>
              <w:t>638</w:t>
            </w:r>
          </w:p>
        </w:tc>
        <w:tc>
          <w:tcPr>
            <w:tcW w:w="1347" w:type="dxa"/>
          </w:tcPr>
          <w:p>
            <w:pPr>
              <w:pStyle w:val="TableParagraph"/>
              <w:rPr>
                <w:sz w:val="22"/>
              </w:rPr>
            </w:pPr>
          </w:p>
          <w:p>
            <w:pPr>
              <w:pStyle w:val="TableParagraph"/>
              <w:spacing w:before="7"/>
              <w:rPr>
                <w:sz w:val="17"/>
              </w:rPr>
            </w:pPr>
          </w:p>
          <w:p>
            <w:pPr>
              <w:pStyle w:val="TableParagraph"/>
              <w:ind w:left="413" w:right="400"/>
              <w:jc w:val="center"/>
              <w:rPr>
                <w:rFonts w:ascii="Times New Roman"/>
                <w:sz w:val="21"/>
              </w:rPr>
            </w:pPr>
            <w:r>
              <w:rPr>
                <w:rFonts w:ascii="Times New Roman"/>
                <w:sz w:val="21"/>
              </w:rPr>
              <w:t>1,071</w:t>
            </w:r>
          </w:p>
        </w:tc>
      </w:tr>
      <w:tr>
        <w:trPr>
          <w:trHeight w:val="961" w:hRule="atLeast"/>
        </w:trPr>
        <w:tc>
          <w:tcPr>
            <w:tcW w:w="1409" w:type="dxa"/>
          </w:tcPr>
          <w:p>
            <w:pPr>
              <w:pStyle w:val="TableParagraph"/>
              <w:rPr>
                <w:sz w:val="27"/>
              </w:rPr>
            </w:pPr>
          </w:p>
          <w:p>
            <w:pPr>
              <w:pStyle w:val="TableParagraph"/>
              <w:ind w:left="159" w:right="140"/>
              <w:jc w:val="center"/>
              <w:rPr>
                <w:sz w:val="21"/>
              </w:rPr>
            </w:pPr>
            <w:r>
              <w:rPr>
                <w:sz w:val="21"/>
              </w:rPr>
              <w:t>制程优化</w:t>
            </w:r>
          </w:p>
        </w:tc>
        <w:tc>
          <w:tcPr>
            <w:tcW w:w="2836" w:type="dxa"/>
          </w:tcPr>
          <w:p>
            <w:pPr>
              <w:pStyle w:val="TableParagraph"/>
              <w:spacing w:line="242" w:lineRule="auto" w:before="75"/>
              <w:ind w:left="140" w:right="305"/>
              <w:jc w:val="both"/>
              <w:rPr>
                <w:sz w:val="21"/>
              </w:rPr>
            </w:pPr>
            <w:r>
              <w:rPr>
                <w:rFonts w:ascii="Times New Roman" w:eastAsia="Times New Roman"/>
                <w:spacing w:val="-1"/>
                <w:sz w:val="21"/>
              </w:rPr>
              <w:t>CNC</w:t>
            </w:r>
            <w:r>
              <w:rPr>
                <w:rFonts w:ascii="Times New Roman" w:eastAsia="Times New Roman"/>
                <w:spacing w:val="-12"/>
                <w:sz w:val="21"/>
              </w:rPr>
              <w:t> </w:t>
            </w:r>
            <w:r>
              <w:rPr>
                <w:spacing w:val="-1"/>
                <w:sz w:val="21"/>
              </w:rPr>
              <w:t>机台单模块变双模块节电改善；</w:t>
            </w:r>
            <w:r>
              <w:rPr>
                <w:rFonts w:ascii="Times New Roman" w:eastAsia="Times New Roman"/>
                <w:spacing w:val="-1"/>
                <w:sz w:val="21"/>
              </w:rPr>
              <w:t>CNC</w:t>
            </w:r>
            <w:r>
              <w:rPr>
                <w:rFonts w:ascii="Times New Roman" w:eastAsia="Times New Roman"/>
                <w:spacing w:val="-12"/>
                <w:sz w:val="21"/>
              </w:rPr>
              <w:t> </w:t>
            </w:r>
            <w:r>
              <w:rPr>
                <w:spacing w:val="-1"/>
                <w:sz w:val="21"/>
              </w:rPr>
              <w:t>夹具合并</w:t>
            </w:r>
            <w:r>
              <w:rPr>
                <w:spacing w:val="-8"/>
                <w:sz w:val="21"/>
              </w:rPr>
              <w:t>之节能改善案等 </w:t>
            </w:r>
            <w:r>
              <w:rPr>
                <w:rFonts w:ascii="Times New Roman" w:eastAsia="Times New Roman"/>
                <w:sz w:val="21"/>
              </w:rPr>
              <w:t>47</w:t>
            </w:r>
            <w:r>
              <w:rPr>
                <w:rFonts w:ascii="Times New Roman" w:eastAsia="Times New Roman"/>
                <w:spacing w:val="-10"/>
                <w:sz w:val="21"/>
              </w:rPr>
              <w:t> </w:t>
            </w:r>
            <w:r>
              <w:rPr>
                <w:sz w:val="21"/>
              </w:rPr>
              <w:t>项</w:t>
            </w:r>
          </w:p>
        </w:tc>
        <w:tc>
          <w:tcPr>
            <w:tcW w:w="1277" w:type="dxa"/>
          </w:tcPr>
          <w:p>
            <w:pPr>
              <w:pStyle w:val="TableParagraph"/>
              <w:spacing w:before="7"/>
              <w:rPr>
                <w:sz w:val="27"/>
              </w:rPr>
            </w:pPr>
          </w:p>
          <w:p>
            <w:pPr>
              <w:pStyle w:val="TableParagraph"/>
              <w:ind w:left="328" w:right="311"/>
              <w:jc w:val="center"/>
              <w:rPr>
                <w:rFonts w:ascii="Times New Roman"/>
                <w:sz w:val="21"/>
              </w:rPr>
            </w:pPr>
            <w:r>
              <w:rPr>
                <w:rFonts w:ascii="Times New Roman"/>
                <w:sz w:val="21"/>
              </w:rPr>
              <w:t>8,267</w:t>
            </w:r>
          </w:p>
        </w:tc>
        <w:tc>
          <w:tcPr>
            <w:tcW w:w="1417" w:type="dxa"/>
          </w:tcPr>
          <w:p>
            <w:pPr>
              <w:pStyle w:val="TableParagraph"/>
              <w:spacing w:before="7"/>
              <w:rPr>
                <w:sz w:val="27"/>
              </w:rPr>
            </w:pPr>
          </w:p>
          <w:p>
            <w:pPr>
              <w:pStyle w:val="TableParagraph"/>
              <w:ind w:left="447" w:right="436"/>
              <w:jc w:val="center"/>
              <w:rPr>
                <w:rFonts w:ascii="Times New Roman"/>
                <w:sz w:val="21"/>
              </w:rPr>
            </w:pPr>
            <w:r>
              <w:rPr>
                <w:rFonts w:ascii="Times New Roman"/>
                <w:sz w:val="21"/>
              </w:rPr>
              <w:t>877</w:t>
            </w:r>
          </w:p>
        </w:tc>
        <w:tc>
          <w:tcPr>
            <w:tcW w:w="1347" w:type="dxa"/>
          </w:tcPr>
          <w:p>
            <w:pPr>
              <w:pStyle w:val="TableParagraph"/>
              <w:spacing w:before="7"/>
              <w:rPr>
                <w:sz w:val="27"/>
              </w:rPr>
            </w:pPr>
          </w:p>
          <w:p>
            <w:pPr>
              <w:pStyle w:val="TableParagraph"/>
              <w:ind w:left="413" w:right="400"/>
              <w:jc w:val="center"/>
              <w:rPr>
                <w:rFonts w:ascii="Times New Roman"/>
                <w:sz w:val="21"/>
              </w:rPr>
            </w:pPr>
            <w:r>
              <w:rPr>
                <w:rFonts w:ascii="Times New Roman"/>
                <w:sz w:val="21"/>
              </w:rPr>
              <w:t>96</w:t>
            </w:r>
          </w:p>
        </w:tc>
      </w:tr>
      <w:tr>
        <w:trPr>
          <w:trHeight w:val="1233" w:hRule="atLeast"/>
        </w:trPr>
        <w:tc>
          <w:tcPr>
            <w:tcW w:w="1409" w:type="dxa"/>
          </w:tcPr>
          <w:p>
            <w:pPr>
              <w:pStyle w:val="TableParagraph"/>
              <w:rPr>
                <w:sz w:val="20"/>
              </w:rPr>
            </w:pPr>
          </w:p>
          <w:p>
            <w:pPr>
              <w:pStyle w:val="TableParagraph"/>
              <w:spacing w:before="9"/>
              <w:rPr>
                <w:sz w:val="17"/>
              </w:rPr>
            </w:pPr>
          </w:p>
          <w:p>
            <w:pPr>
              <w:pStyle w:val="TableParagraph"/>
              <w:ind w:left="159" w:right="140"/>
              <w:jc w:val="center"/>
              <w:rPr>
                <w:sz w:val="21"/>
              </w:rPr>
            </w:pPr>
            <w:r>
              <w:rPr>
                <w:sz w:val="21"/>
              </w:rPr>
              <w:t>可停电力</w:t>
            </w:r>
          </w:p>
        </w:tc>
        <w:tc>
          <w:tcPr>
            <w:tcW w:w="2836" w:type="dxa"/>
          </w:tcPr>
          <w:p>
            <w:pPr>
              <w:pStyle w:val="TableParagraph"/>
              <w:spacing w:line="244" w:lineRule="auto" w:before="73"/>
              <w:ind w:left="140" w:right="150"/>
              <w:rPr>
                <w:sz w:val="21"/>
              </w:rPr>
            </w:pPr>
            <w:r>
              <w:rPr>
                <w:spacing w:val="-1"/>
                <w:sz w:val="21"/>
              </w:rPr>
              <w:t>精雕机改造二次过滤节电改</w:t>
            </w:r>
            <w:r>
              <w:rPr>
                <w:sz w:val="21"/>
              </w:rPr>
              <w:t>善专案；</w:t>
            </w:r>
          </w:p>
          <w:p>
            <w:pPr>
              <w:pStyle w:val="TableParagraph"/>
              <w:spacing w:line="266" w:lineRule="exact"/>
              <w:ind w:left="140"/>
              <w:rPr>
                <w:sz w:val="21"/>
              </w:rPr>
            </w:pPr>
            <w:r>
              <w:rPr>
                <w:spacing w:val="-1"/>
                <w:sz w:val="21"/>
              </w:rPr>
              <w:t>油雾机重排合并节能改善等</w:t>
            </w:r>
          </w:p>
          <w:p>
            <w:pPr>
              <w:pStyle w:val="TableParagraph"/>
              <w:spacing w:before="4"/>
              <w:ind w:left="140"/>
              <w:rPr>
                <w:sz w:val="21"/>
              </w:rPr>
            </w:pPr>
            <w:r>
              <w:rPr>
                <w:rFonts w:ascii="Times New Roman" w:eastAsia="Times New Roman"/>
                <w:sz w:val="21"/>
              </w:rPr>
              <w:t>41</w:t>
            </w:r>
            <w:r>
              <w:rPr>
                <w:rFonts w:ascii="Times New Roman" w:eastAsia="Times New Roman"/>
                <w:spacing w:val="-9"/>
                <w:sz w:val="21"/>
              </w:rPr>
              <w:t> </w:t>
            </w:r>
            <w:r>
              <w:rPr>
                <w:sz w:val="21"/>
              </w:rPr>
              <w:t>项</w:t>
            </w:r>
          </w:p>
        </w:tc>
        <w:tc>
          <w:tcPr>
            <w:tcW w:w="1277" w:type="dxa"/>
          </w:tcPr>
          <w:p>
            <w:pPr>
              <w:pStyle w:val="TableParagraph"/>
              <w:rPr>
                <w:sz w:val="22"/>
              </w:rPr>
            </w:pPr>
          </w:p>
          <w:p>
            <w:pPr>
              <w:pStyle w:val="TableParagraph"/>
              <w:spacing w:before="3"/>
              <w:rPr>
                <w:sz w:val="16"/>
              </w:rPr>
            </w:pPr>
          </w:p>
          <w:p>
            <w:pPr>
              <w:pStyle w:val="TableParagraph"/>
              <w:ind w:left="328" w:right="311"/>
              <w:jc w:val="center"/>
              <w:rPr>
                <w:rFonts w:ascii="Times New Roman"/>
                <w:sz w:val="21"/>
              </w:rPr>
            </w:pPr>
            <w:r>
              <w:rPr>
                <w:rFonts w:ascii="Times New Roman"/>
                <w:sz w:val="21"/>
              </w:rPr>
              <w:t>5,746</w:t>
            </w:r>
          </w:p>
        </w:tc>
        <w:tc>
          <w:tcPr>
            <w:tcW w:w="1417" w:type="dxa"/>
          </w:tcPr>
          <w:p>
            <w:pPr>
              <w:pStyle w:val="TableParagraph"/>
              <w:rPr>
                <w:sz w:val="22"/>
              </w:rPr>
            </w:pPr>
          </w:p>
          <w:p>
            <w:pPr>
              <w:pStyle w:val="TableParagraph"/>
              <w:spacing w:before="3"/>
              <w:rPr>
                <w:sz w:val="16"/>
              </w:rPr>
            </w:pPr>
          </w:p>
          <w:p>
            <w:pPr>
              <w:pStyle w:val="TableParagraph"/>
              <w:ind w:left="447" w:right="436"/>
              <w:jc w:val="center"/>
              <w:rPr>
                <w:rFonts w:ascii="Times New Roman"/>
                <w:sz w:val="21"/>
              </w:rPr>
            </w:pPr>
            <w:r>
              <w:rPr>
                <w:rFonts w:ascii="Times New Roman"/>
                <w:sz w:val="21"/>
              </w:rPr>
              <w:t>555</w:t>
            </w:r>
          </w:p>
        </w:tc>
        <w:tc>
          <w:tcPr>
            <w:tcW w:w="1347" w:type="dxa"/>
          </w:tcPr>
          <w:p>
            <w:pPr>
              <w:pStyle w:val="TableParagraph"/>
              <w:rPr>
                <w:sz w:val="22"/>
              </w:rPr>
            </w:pPr>
          </w:p>
          <w:p>
            <w:pPr>
              <w:pStyle w:val="TableParagraph"/>
              <w:spacing w:before="3"/>
              <w:rPr>
                <w:sz w:val="16"/>
              </w:rPr>
            </w:pPr>
          </w:p>
          <w:p>
            <w:pPr>
              <w:pStyle w:val="TableParagraph"/>
              <w:ind w:left="413" w:right="400"/>
              <w:jc w:val="center"/>
              <w:rPr>
                <w:rFonts w:ascii="Times New Roman"/>
                <w:sz w:val="21"/>
              </w:rPr>
            </w:pPr>
            <w:r>
              <w:rPr>
                <w:rFonts w:ascii="Times New Roman"/>
                <w:sz w:val="21"/>
              </w:rPr>
              <w:t>188</w:t>
            </w:r>
          </w:p>
        </w:tc>
      </w:tr>
      <w:tr>
        <w:trPr>
          <w:trHeight w:val="961" w:hRule="atLeast"/>
        </w:trPr>
        <w:tc>
          <w:tcPr>
            <w:tcW w:w="1409" w:type="dxa"/>
            <w:vMerge w:val="restart"/>
          </w:tcPr>
          <w:p>
            <w:pPr>
              <w:pStyle w:val="TableParagraph"/>
              <w:rPr>
                <w:sz w:val="20"/>
              </w:rPr>
            </w:pPr>
          </w:p>
          <w:p>
            <w:pPr>
              <w:pStyle w:val="TableParagraph"/>
              <w:spacing w:before="4"/>
              <w:rPr>
                <w:sz w:val="29"/>
              </w:rPr>
            </w:pPr>
          </w:p>
          <w:p>
            <w:pPr>
              <w:pStyle w:val="TableParagraph"/>
              <w:ind w:left="282"/>
              <w:rPr>
                <w:sz w:val="21"/>
              </w:rPr>
            </w:pPr>
            <w:r>
              <w:rPr>
                <w:sz w:val="21"/>
              </w:rPr>
              <w:t>节能管理</w:t>
            </w:r>
          </w:p>
        </w:tc>
        <w:tc>
          <w:tcPr>
            <w:tcW w:w="2836" w:type="dxa"/>
          </w:tcPr>
          <w:p>
            <w:pPr>
              <w:pStyle w:val="TableParagraph"/>
              <w:spacing w:line="242" w:lineRule="auto" w:before="75"/>
              <w:ind w:left="140" w:right="150"/>
              <w:rPr>
                <w:sz w:val="21"/>
              </w:rPr>
            </w:pPr>
            <w:r>
              <w:rPr>
                <w:sz w:val="21"/>
              </w:rPr>
              <w:t>空压管网改造节能降耗改</w:t>
            </w:r>
            <w:r>
              <w:rPr>
                <w:spacing w:val="1"/>
                <w:sz w:val="21"/>
              </w:rPr>
              <w:t> </w:t>
            </w:r>
            <w:r>
              <w:rPr>
                <w:spacing w:val="-1"/>
                <w:sz w:val="21"/>
              </w:rPr>
              <w:t>善；防止冷气泄露节能之改</w:t>
            </w:r>
            <w:r>
              <w:rPr>
                <w:spacing w:val="-18"/>
                <w:sz w:val="21"/>
              </w:rPr>
              <w:t>善等 </w:t>
            </w:r>
            <w:r>
              <w:rPr>
                <w:rFonts w:ascii="Times New Roman" w:eastAsia="Times New Roman"/>
                <w:sz w:val="21"/>
              </w:rPr>
              <w:t>37</w:t>
            </w:r>
            <w:r>
              <w:rPr>
                <w:rFonts w:ascii="Times New Roman" w:eastAsia="Times New Roman"/>
                <w:spacing w:val="-12"/>
                <w:sz w:val="21"/>
              </w:rPr>
              <w:t> </w:t>
            </w:r>
            <w:r>
              <w:rPr>
                <w:sz w:val="21"/>
              </w:rPr>
              <w:t>项</w:t>
            </w:r>
          </w:p>
        </w:tc>
        <w:tc>
          <w:tcPr>
            <w:tcW w:w="1277" w:type="dxa"/>
          </w:tcPr>
          <w:p>
            <w:pPr>
              <w:pStyle w:val="TableParagraph"/>
              <w:spacing w:before="7"/>
              <w:rPr>
                <w:sz w:val="27"/>
              </w:rPr>
            </w:pPr>
          </w:p>
          <w:p>
            <w:pPr>
              <w:pStyle w:val="TableParagraph"/>
              <w:ind w:left="328" w:right="311"/>
              <w:jc w:val="center"/>
              <w:rPr>
                <w:rFonts w:ascii="Times New Roman"/>
                <w:sz w:val="21"/>
              </w:rPr>
            </w:pPr>
            <w:r>
              <w:rPr>
                <w:rFonts w:ascii="Times New Roman"/>
                <w:sz w:val="21"/>
              </w:rPr>
              <w:t>3,424</w:t>
            </w:r>
          </w:p>
        </w:tc>
        <w:tc>
          <w:tcPr>
            <w:tcW w:w="1417" w:type="dxa"/>
          </w:tcPr>
          <w:p>
            <w:pPr>
              <w:pStyle w:val="TableParagraph"/>
              <w:spacing w:before="7"/>
              <w:rPr>
                <w:sz w:val="27"/>
              </w:rPr>
            </w:pPr>
          </w:p>
          <w:p>
            <w:pPr>
              <w:pStyle w:val="TableParagraph"/>
              <w:ind w:left="447" w:right="436"/>
              <w:jc w:val="center"/>
              <w:rPr>
                <w:rFonts w:ascii="Times New Roman"/>
                <w:sz w:val="21"/>
              </w:rPr>
            </w:pPr>
            <w:r>
              <w:rPr>
                <w:rFonts w:ascii="Times New Roman"/>
                <w:sz w:val="21"/>
              </w:rPr>
              <w:t>363</w:t>
            </w:r>
          </w:p>
        </w:tc>
        <w:tc>
          <w:tcPr>
            <w:tcW w:w="1347" w:type="dxa"/>
          </w:tcPr>
          <w:p>
            <w:pPr>
              <w:pStyle w:val="TableParagraph"/>
              <w:spacing w:before="7"/>
              <w:rPr>
                <w:sz w:val="27"/>
              </w:rPr>
            </w:pPr>
          </w:p>
          <w:p>
            <w:pPr>
              <w:pStyle w:val="TableParagraph"/>
              <w:ind w:left="413" w:right="400"/>
              <w:jc w:val="center"/>
              <w:rPr>
                <w:rFonts w:ascii="Times New Roman"/>
                <w:sz w:val="21"/>
              </w:rPr>
            </w:pPr>
            <w:r>
              <w:rPr>
                <w:rFonts w:ascii="Times New Roman"/>
                <w:sz w:val="21"/>
              </w:rPr>
              <w:t>97</w:t>
            </w:r>
          </w:p>
        </w:tc>
      </w:tr>
      <w:tr>
        <w:trPr>
          <w:trHeight w:val="553" w:hRule="atLeast"/>
        </w:trPr>
        <w:tc>
          <w:tcPr>
            <w:tcW w:w="1409" w:type="dxa"/>
            <w:vMerge/>
            <w:tcBorders>
              <w:top w:val="nil"/>
            </w:tcBorders>
          </w:tcPr>
          <w:p>
            <w:pPr>
              <w:rPr>
                <w:sz w:val="2"/>
                <w:szCs w:val="2"/>
              </w:rPr>
            </w:pPr>
          </w:p>
        </w:tc>
        <w:tc>
          <w:tcPr>
            <w:tcW w:w="2836" w:type="dxa"/>
          </w:tcPr>
          <w:p>
            <w:pPr>
              <w:pStyle w:val="TableParagraph"/>
              <w:spacing w:before="142"/>
              <w:ind w:left="140"/>
              <w:rPr>
                <w:sz w:val="21"/>
              </w:rPr>
            </w:pPr>
            <w:r>
              <w:rPr>
                <w:spacing w:val="-13"/>
                <w:sz w:val="21"/>
              </w:rPr>
              <w:t>回焊炉 </w:t>
            </w:r>
            <w:r>
              <w:rPr>
                <w:rFonts w:ascii="Times New Roman" w:eastAsia="Times New Roman"/>
                <w:sz w:val="21"/>
              </w:rPr>
              <w:t>N2</w:t>
            </w:r>
            <w:r>
              <w:rPr>
                <w:rFonts w:ascii="Times New Roman" w:eastAsia="Times New Roman"/>
                <w:spacing w:val="-12"/>
                <w:sz w:val="21"/>
              </w:rPr>
              <w:t> </w:t>
            </w:r>
            <w:r>
              <w:rPr>
                <w:sz w:val="21"/>
              </w:rPr>
              <w:t>节能改善案</w:t>
            </w:r>
          </w:p>
        </w:tc>
        <w:tc>
          <w:tcPr>
            <w:tcW w:w="1277" w:type="dxa"/>
          </w:tcPr>
          <w:p>
            <w:pPr>
              <w:pStyle w:val="TableParagraph"/>
              <w:spacing w:before="149"/>
              <w:ind w:left="328" w:right="311"/>
              <w:jc w:val="center"/>
              <w:rPr>
                <w:rFonts w:ascii="Times New Roman"/>
                <w:sz w:val="21"/>
              </w:rPr>
            </w:pPr>
            <w:r>
              <w:rPr>
                <w:rFonts w:ascii="Times New Roman"/>
                <w:sz w:val="21"/>
              </w:rPr>
              <w:t>520</w:t>
            </w:r>
          </w:p>
        </w:tc>
        <w:tc>
          <w:tcPr>
            <w:tcW w:w="1417" w:type="dxa"/>
          </w:tcPr>
          <w:p>
            <w:pPr>
              <w:pStyle w:val="TableParagraph"/>
              <w:spacing w:before="149"/>
              <w:ind w:left="447" w:right="436"/>
              <w:jc w:val="center"/>
              <w:rPr>
                <w:rFonts w:ascii="Times New Roman"/>
                <w:sz w:val="21"/>
              </w:rPr>
            </w:pPr>
            <w:r>
              <w:rPr>
                <w:rFonts w:ascii="Times New Roman"/>
                <w:sz w:val="21"/>
              </w:rPr>
              <w:t>34</w:t>
            </w:r>
          </w:p>
        </w:tc>
        <w:tc>
          <w:tcPr>
            <w:tcW w:w="1347" w:type="dxa"/>
          </w:tcPr>
          <w:p>
            <w:pPr>
              <w:pStyle w:val="TableParagraph"/>
              <w:spacing w:before="149"/>
              <w:ind w:left="413" w:right="400"/>
              <w:jc w:val="center"/>
              <w:rPr>
                <w:rFonts w:ascii="Times New Roman"/>
                <w:sz w:val="21"/>
              </w:rPr>
            </w:pPr>
            <w:r>
              <w:rPr>
                <w:rFonts w:ascii="Times New Roman"/>
                <w:sz w:val="21"/>
              </w:rPr>
              <w:t>12</w:t>
            </w:r>
          </w:p>
        </w:tc>
      </w:tr>
      <w:tr>
        <w:trPr>
          <w:trHeight w:val="1232" w:hRule="atLeast"/>
        </w:trPr>
        <w:tc>
          <w:tcPr>
            <w:tcW w:w="1409" w:type="dxa"/>
          </w:tcPr>
          <w:p>
            <w:pPr>
              <w:pStyle w:val="TableParagraph"/>
              <w:rPr>
                <w:sz w:val="20"/>
              </w:rPr>
            </w:pPr>
          </w:p>
          <w:p>
            <w:pPr>
              <w:pStyle w:val="TableParagraph"/>
              <w:spacing w:before="6"/>
              <w:rPr>
                <w:sz w:val="17"/>
              </w:rPr>
            </w:pPr>
          </w:p>
          <w:p>
            <w:pPr>
              <w:pStyle w:val="TableParagraph"/>
              <w:ind w:left="159" w:right="140"/>
              <w:jc w:val="center"/>
              <w:rPr>
                <w:sz w:val="21"/>
              </w:rPr>
            </w:pPr>
            <w:r>
              <w:rPr>
                <w:sz w:val="21"/>
              </w:rPr>
              <w:t>其他措施</w:t>
            </w:r>
          </w:p>
        </w:tc>
        <w:tc>
          <w:tcPr>
            <w:tcW w:w="2836" w:type="dxa"/>
          </w:tcPr>
          <w:p>
            <w:pPr>
              <w:pStyle w:val="TableParagraph"/>
              <w:spacing w:line="242" w:lineRule="auto" w:before="73"/>
              <w:ind w:left="140" w:right="150"/>
              <w:rPr>
                <w:sz w:val="21"/>
              </w:rPr>
            </w:pPr>
            <w:r>
              <w:rPr>
                <w:rFonts w:ascii="Times New Roman" w:eastAsia="Times New Roman"/>
                <w:sz w:val="21"/>
              </w:rPr>
              <w:t>CNC</w:t>
            </w:r>
            <w:r>
              <w:rPr>
                <w:rFonts w:ascii="Times New Roman" w:eastAsia="Times New Roman"/>
                <w:spacing w:val="-12"/>
                <w:sz w:val="21"/>
              </w:rPr>
              <w:t> </w:t>
            </w:r>
            <w:r>
              <w:rPr>
                <w:sz w:val="21"/>
              </w:rPr>
              <w:t>机台夹导入机内刀具</w:t>
            </w:r>
            <w:r>
              <w:rPr>
                <w:spacing w:val="-1"/>
                <w:sz w:val="21"/>
              </w:rPr>
              <w:t>试切触模块定位改善机台升温能耗创新节能改善案；节</w:t>
            </w:r>
            <w:r>
              <w:rPr>
                <w:spacing w:val="-7"/>
                <w:sz w:val="21"/>
              </w:rPr>
              <w:t>水改造，热回收等 </w:t>
            </w:r>
            <w:r>
              <w:rPr>
                <w:rFonts w:ascii="Times New Roman" w:eastAsia="Times New Roman"/>
                <w:sz w:val="21"/>
              </w:rPr>
              <w:t>68</w:t>
            </w:r>
            <w:r>
              <w:rPr>
                <w:rFonts w:ascii="Times New Roman" w:eastAsia="Times New Roman"/>
                <w:spacing w:val="-12"/>
                <w:sz w:val="21"/>
              </w:rPr>
              <w:t> </w:t>
            </w:r>
            <w:r>
              <w:rPr>
                <w:sz w:val="21"/>
              </w:rPr>
              <w:t>项</w:t>
            </w:r>
          </w:p>
        </w:tc>
        <w:tc>
          <w:tcPr>
            <w:tcW w:w="1277" w:type="dxa"/>
          </w:tcPr>
          <w:p>
            <w:pPr>
              <w:pStyle w:val="TableParagraph"/>
              <w:rPr>
                <w:sz w:val="22"/>
              </w:rPr>
            </w:pPr>
          </w:p>
          <w:p>
            <w:pPr>
              <w:pStyle w:val="TableParagraph"/>
              <w:spacing w:before="3"/>
              <w:rPr>
                <w:sz w:val="16"/>
              </w:rPr>
            </w:pPr>
          </w:p>
          <w:p>
            <w:pPr>
              <w:pStyle w:val="TableParagraph"/>
              <w:ind w:left="328" w:right="311"/>
              <w:jc w:val="center"/>
              <w:rPr>
                <w:rFonts w:ascii="Times New Roman"/>
                <w:sz w:val="21"/>
              </w:rPr>
            </w:pPr>
            <w:r>
              <w:rPr>
                <w:rFonts w:ascii="Times New Roman"/>
                <w:sz w:val="21"/>
              </w:rPr>
              <w:t>11,509</w:t>
            </w:r>
          </w:p>
        </w:tc>
        <w:tc>
          <w:tcPr>
            <w:tcW w:w="1417" w:type="dxa"/>
          </w:tcPr>
          <w:p>
            <w:pPr>
              <w:pStyle w:val="TableParagraph"/>
              <w:rPr>
                <w:sz w:val="22"/>
              </w:rPr>
            </w:pPr>
          </w:p>
          <w:p>
            <w:pPr>
              <w:pStyle w:val="TableParagraph"/>
              <w:spacing w:before="3"/>
              <w:rPr>
                <w:sz w:val="16"/>
              </w:rPr>
            </w:pPr>
          </w:p>
          <w:p>
            <w:pPr>
              <w:pStyle w:val="TableParagraph"/>
              <w:ind w:left="447" w:right="436"/>
              <w:jc w:val="center"/>
              <w:rPr>
                <w:rFonts w:ascii="Times New Roman"/>
                <w:sz w:val="21"/>
              </w:rPr>
            </w:pPr>
            <w:r>
              <w:rPr>
                <w:rFonts w:ascii="Times New Roman"/>
                <w:sz w:val="21"/>
              </w:rPr>
              <w:t>1,123</w:t>
            </w:r>
          </w:p>
        </w:tc>
        <w:tc>
          <w:tcPr>
            <w:tcW w:w="1347" w:type="dxa"/>
          </w:tcPr>
          <w:p>
            <w:pPr>
              <w:pStyle w:val="TableParagraph"/>
              <w:rPr>
                <w:sz w:val="22"/>
              </w:rPr>
            </w:pPr>
          </w:p>
          <w:p>
            <w:pPr>
              <w:pStyle w:val="TableParagraph"/>
              <w:spacing w:before="3"/>
              <w:rPr>
                <w:sz w:val="16"/>
              </w:rPr>
            </w:pPr>
          </w:p>
          <w:p>
            <w:pPr>
              <w:pStyle w:val="TableParagraph"/>
              <w:ind w:left="413" w:right="400"/>
              <w:jc w:val="center"/>
              <w:rPr>
                <w:rFonts w:ascii="Times New Roman"/>
                <w:sz w:val="21"/>
              </w:rPr>
            </w:pPr>
            <w:r>
              <w:rPr>
                <w:rFonts w:ascii="Times New Roman"/>
                <w:sz w:val="21"/>
              </w:rPr>
              <w:t>386</w:t>
            </w:r>
          </w:p>
        </w:tc>
      </w:tr>
    </w:tbl>
    <w:p>
      <w:pPr>
        <w:pStyle w:val="BodyText"/>
        <w:spacing w:before="6"/>
        <w:ind w:left="0"/>
        <w:rPr>
          <w:sz w:val="13"/>
        </w:rPr>
      </w:pPr>
    </w:p>
    <w:p>
      <w:pPr>
        <w:pStyle w:val="BodyText"/>
        <w:spacing w:line="364" w:lineRule="auto" w:before="72"/>
        <w:ind w:left="1158" w:right="537" w:firstLine="419"/>
      </w:pPr>
      <w:r>
        <w:rPr/>
        <w:drawing>
          <wp:anchor distT="0" distB="0" distL="0" distR="0" allowOverlap="1" layoutInCell="1" locked="0" behindDoc="0" simplePos="0" relativeHeight="7">
            <wp:simplePos x="0" y="0"/>
            <wp:positionH relativeFrom="page">
              <wp:posOffset>1530096</wp:posOffset>
            </wp:positionH>
            <wp:positionV relativeFrom="paragraph">
              <wp:posOffset>623188</wp:posOffset>
            </wp:positionV>
            <wp:extent cx="1539300" cy="909447"/>
            <wp:effectExtent l="0" t="0" r="0" b="0"/>
            <wp:wrapTopAndBottom/>
            <wp:docPr id="11" name="image9.jpeg" descr="C:\Users\F1339511\AppData\Local\Temp\WeChat Files\441ca469895e53846c5b28b5760f769.png"/>
            <wp:cNvGraphicFramePr>
              <a:graphicFrameLocks noChangeAspect="1"/>
            </wp:cNvGraphicFramePr>
            <a:graphic>
              <a:graphicData uri="http://schemas.openxmlformats.org/drawingml/2006/picture">
                <pic:pic>
                  <pic:nvPicPr>
                    <pic:cNvPr id="12" name="image9.jpeg"/>
                    <pic:cNvPicPr/>
                  </pic:nvPicPr>
                  <pic:blipFill>
                    <a:blip r:embed="rId41" cstate="print"/>
                    <a:stretch>
                      <a:fillRect/>
                    </a:stretch>
                  </pic:blipFill>
                  <pic:spPr>
                    <a:xfrm>
                      <a:off x="0" y="0"/>
                      <a:ext cx="1539300" cy="909447"/>
                    </a:xfrm>
                    <a:prstGeom prst="rect">
                      <a:avLst/>
                    </a:prstGeom>
                  </pic:spPr>
                </pic:pic>
              </a:graphicData>
            </a:graphic>
          </wp:anchor>
        </w:drawing>
      </w:r>
      <w:r>
        <w:rPr/>
        <w:drawing>
          <wp:anchor distT="0" distB="0" distL="0" distR="0" allowOverlap="1" layoutInCell="1" locked="0" behindDoc="0" simplePos="0" relativeHeight="8">
            <wp:simplePos x="0" y="0"/>
            <wp:positionH relativeFrom="page">
              <wp:posOffset>3185160</wp:posOffset>
            </wp:positionH>
            <wp:positionV relativeFrom="paragraph">
              <wp:posOffset>636904</wp:posOffset>
            </wp:positionV>
            <wp:extent cx="1512418" cy="896969"/>
            <wp:effectExtent l="0" t="0" r="0" b="0"/>
            <wp:wrapTopAndBottom/>
            <wp:docPr id="13" name="image10.jpeg"/>
            <wp:cNvGraphicFramePr>
              <a:graphicFrameLocks noChangeAspect="1"/>
            </wp:cNvGraphicFramePr>
            <a:graphic>
              <a:graphicData uri="http://schemas.openxmlformats.org/drawingml/2006/picture">
                <pic:pic>
                  <pic:nvPicPr>
                    <pic:cNvPr id="14" name="image10.jpeg"/>
                    <pic:cNvPicPr/>
                  </pic:nvPicPr>
                  <pic:blipFill>
                    <a:blip r:embed="rId42" cstate="print"/>
                    <a:stretch>
                      <a:fillRect/>
                    </a:stretch>
                  </pic:blipFill>
                  <pic:spPr>
                    <a:xfrm>
                      <a:off x="0" y="0"/>
                      <a:ext cx="1512418" cy="896969"/>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4885944</wp:posOffset>
            </wp:positionH>
            <wp:positionV relativeFrom="paragraph">
              <wp:posOffset>643000</wp:posOffset>
            </wp:positionV>
            <wp:extent cx="1485423" cy="888491"/>
            <wp:effectExtent l="0" t="0" r="0" b="0"/>
            <wp:wrapTopAndBottom/>
            <wp:docPr id="15" name="image11.jpeg"/>
            <wp:cNvGraphicFramePr>
              <a:graphicFrameLocks noChangeAspect="1"/>
            </wp:cNvGraphicFramePr>
            <a:graphic>
              <a:graphicData uri="http://schemas.openxmlformats.org/drawingml/2006/picture">
                <pic:pic>
                  <pic:nvPicPr>
                    <pic:cNvPr id="16" name="image11.jpeg"/>
                    <pic:cNvPicPr/>
                  </pic:nvPicPr>
                  <pic:blipFill>
                    <a:blip r:embed="rId43" cstate="print"/>
                    <a:stretch>
                      <a:fillRect/>
                    </a:stretch>
                  </pic:blipFill>
                  <pic:spPr>
                    <a:xfrm>
                      <a:off x="0" y="0"/>
                      <a:ext cx="1485423" cy="888491"/>
                    </a:xfrm>
                    <a:prstGeom prst="rect">
                      <a:avLst/>
                    </a:prstGeom>
                  </pic:spPr>
                </pic:pic>
              </a:graphicData>
            </a:graphic>
          </wp:anchor>
        </w:drawing>
      </w:r>
      <w:r>
        <w:rPr/>
        <w:t>此外，公司搭建智慧能源管理平台、物联网示范车间、双碳管理平台等智能化平台，通过数字化手段有力支撑各系统及设备用能的精细化管控，有效提升用能效率。</w:t>
      </w:r>
    </w:p>
    <w:p>
      <w:pPr>
        <w:pStyle w:val="BodyText"/>
        <w:tabs>
          <w:tab w:pos="4844" w:val="left" w:leader="none"/>
          <w:tab w:pos="7605" w:val="left" w:leader="none"/>
        </w:tabs>
        <w:ind w:left="2118"/>
      </w:pPr>
      <w:r>
        <w:rPr>
          <w:position w:val="6"/>
        </w:rPr>
        <w:t>智慧能源管理平台</w:t>
        <w:tab/>
      </w:r>
      <w:r>
        <w:rPr/>
        <w:t>物联网示范平台</w:t>
        <w:tab/>
      </w:r>
      <w:r>
        <w:rPr>
          <w:spacing w:val="-1"/>
        </w:rPr>
        <w:t>双</w:t>
      </w:r>
      <w:r>
        <w:rPr/>
        <w:t>碳管理平台 </w:t>
      </w:r>
    </w:p>
    <w:p>
      <w:pPr>
        <w:pStyle w:val="BodyText"/>
        <w:spacing w:line="364" w:lineRule="auto" w:before="46"/>
        <w:ind w:left="1158" w:right="537" w:firstLine="419"/>
      </w:pPr>
      <w:r>
        <w:rPr>
          <w:spacing w:val="1"/>
        </w:rPr>
        <w:t>为助力各企业开展碳核算，工业富联基于公认的国际碳核查标准</w:t>
      </w:r>
      <w:r>
        <w:rPr/>
        <w:t>（</w:t>
      </w:r>
      <w:r>
        <w:rPr>
          <w:rFonts w:ascii="Times New Roman" w:hAnsi="Times New Roman" w:eastAsia="Times New Roman"/>
        </w:rPr>
        <w:t>ISO14064-1</w:t>
      </w:r>
      <w:r>
        <w:rPr/>
        <w:t>、</w:t>
      </w:r>
      <w:r>
        <w:rPr>
          <w:rFonts w:ascii="Times New Roman" w:hAnsi="Times New Roman" w:eastAsia="Times New Roman"/>
        </w:rPr>
        <w:t>Greenhouse</w:t>
      </w:r>
      <w:r>
        <w:rPr>
          <w:rFonts w:ascii="Times New Roman" w:hAnsi="Times New Roman" w:eastAsia="Times New Roman"/>
          <w:spacing w:val="-50"/>
        </w:rPr>
        <w:t> </w:t>
      </w:r>
      <w:r>
        <w:rPr>
          <w:rFonts w:ascii="Times New Roman" w:hAnsi="Times New Roman" w:eastAsia="Times New Roman"/>
        </w:rPr>
        <w:t>Gas</w:t>
      </w:r>
      <w:r>
        <w:rPr>
          <w:rFonts w:ascii="Times New Roman" w:hAnsi="Times New Roman" w:eastAsia="Times New Roman"/>
          <w:spacing w:val="-5"/>
        </w:rPr>
        <w:t> </w:t>
      </w:r>
      <w:r>
        <w:rPr>
          <w:rFonts w:ascii="Times New Roman" w:hAnsi="Times New Roman" w:eastAsia="Times New Roman"/>
        </w:rPr>
        <w:t>Protocol</w:t>
      </w:r>
      <w:r>
        <w:rPr>
          <w:rFonts w:ascii="Times New Roman" w:hAnsi="Times New Roman" w:eastAsia="Times New Roman"/>
          <w:spacing w:val="-3"/>
        </w:rPr>
        <w:t> </w:t>
      </w:r>
      <w:r>
        <w:rPr/>
        <w:t>温室气体核算体系）</w:t>
      </w:r>
      <w:r>
        <w:rPr>
          <w:spacing w:val="-4"/>
        </w:rPr>
        <w:t>和国内碳核查标准《工业企业温室气体排放核算和报告通则》，</w:t>
      </w:r>
      <w:r>
        <w:rPr>
          <w:spacing w:val="-102"/>
        </w:rPr>
        <w:t> </w:t>
      </w:r>
      <w:r>
        <w:rPr/>
        <w:t>搭建了企业碳核算线上平台，该平台目前已通过国际权威第三方认证，为企业实现精准碳核算提供了便捷路径，还可用于碳减排目标管理、趋势分析、预警跟进以及为管理决策提供依据。此</w:t>
      </w:r>
      <w:r>
        <w:rPr>
          <w:spacing w:val="1"/>
        </w:rPr>
        <w:t> </w:t>
      </w:r>
      <w:r>
        <w:rPr>
          <w:spacing w:val="-3"/>
        </w:rPr>
        <w:t>外，作为全球数字经济领军企业，工业富联四年来已赋能打造 </w:t>
      </w:r>
      <w:r>
        <w:rPr>
          <w:rFonts w:ascii="Times New Roman" w:hAnsi="Times New Roman" w:eastAsia="Times New Roman"/>
        </w:rPr>
        <w:t>6</w:t>
      </w:r>
      <w:r>
        <w:rPr>
          <w:rFonts w:ascii="Times New Roman" w:hAnsi="Times New Roman" w:eastAsia="Times New Roman"/>
          <w:spacing w:val="-12"/>
        </w:rPr>
        <w:t> </w:t>
      </w:r>
      <w:r>
        <w:rPr/>
        <w:t>座世界灯塔工厂，连续四年入选国家级“双跨”平台。依托灯塔工厂完整解决方案，提供数字化转型的科技服务，助力实现生产制造全链的提质增效及精益化管理，为全社会提供碳中和解决方案。未来工业富联不但要求自身减排，更期望通过的影响力，协助供应商实现低碳发展的目标，助力国家碳中和的达成，力争成为绿色可持续发展的有力践行者和赋能者。</w:t>
      </w:r>
    </w:p>
    <w:p>
      <w:pPr>
        <w:spacing w:after="0" w:line="364" w:lineRule="auto"/>
        <w:sectPr>
          <w:pgSz w:w="11910" w:h="16840"/>
          <w:pgMar w:header="877" w:footer="1187" w:top="1440" w:bottom="1380" w:left="640" w:right="740"/>
        </w:sectPr>
      </w:pPr>
    </w:p>
    <w:p>
      <w:pPr>
        <w:pStyle w:val="BodyText"/>
        <w:spacing w:before="4"/>
        <w:ind w:left="0"/>
        <w:rPr>
          <w:sz w:val="18"/>
        </w:rPr>
      </w:pPr>
    </w:p>
    <w:p>
      <w:pPr>
        <w:pStyle w:val="BodyText"/>
        <w:ind w:left="1995"/>
        <w:rPr>
          <w:sz w:val="20"/>
        </w:rPr>
      </w:pPr>
      <w:r>
        <w:rPr>
          <w:sz w:val="20"/>
        </w:rPr>
        <w:pict>
          <v:group style="width:354.85pt;height:144.5pt;mso-position-horizontal-relative:char;mso-position-vertical-relative:line" coordorigin="0,0" coordsize="7097,2890">
            <v:shape style="position:absolute;left:0;top:0;width:5362;height:2890" type="#_x0000_t75" stroked="false">
              <v:imagedata r:id="rId44" o:title=""/>
            </v:shape>
            <v:shape style="position:absolute;left:26;top:12;width:5230;height:2772" type="#_x0000_t75" stroked="false">
              <v:imagedata r:id="rId45" o:title=""/>
            </v:shape>
            <v:shape style="position:absolute;left:5066;top:12;width:2031;height:2772" coordorigin="5066,12" coordsize="2031,2772" path="m7097,236l7085,165,7054,104,7005,55,6943,23,6873,12,6031,12,5425,12,5090,12,5090,127,5232,127,5212,165,5201,236,5201,2560,5212,2631,5214,2634,5066,2784,5425,2784,5460,2784,6873,2784,6943,2773,7005,2741,7054,2692,7085,2631,7097,2560,7097,236xe" filled="true" fillcolor="#ffffff" stroked="false">
              <v:path arrowok="t"/>
              <v:fill type="solid"/>
            </v:shape>
            <v:shape style="position:absolute;left:5223;top:92;width:1760;height:2655" coordorigin="5224,92" coordsize="1760,2655" path="m5224,300l5234,235,5264,178,5309,133,5366,103,5432,92,6775,92,6841,103,6898,133,6943,178,6972,235,6983,300,6983,2539,6972,2605,6943,2662,6898,2707,6841,2736,6775,2747,5432,2747,5366,2736,5309,2707,5264,2662,5234,2605,5224,2539,5224,300xe" filled="false" stroked="true" strokeweight="1.8pt" strokecolor="#56a262">
              <v:path arrowok="t"/>
              <v:stroke dashstyle="shortdot"/>
            </v:shape>
            <v:shape style="position:absolute;left:5260;top:232;width:1635;height:2400" type="#_x0000_t75" stroked="false">
              <v:imagedata r:id="rId46" o:title=""/>
            </v:shape>
            <v:shape style="position:absolute;left:5907;top:83;width:424;height:134" type="#_x0000_t202" filled="false" stroked="false">
              <v:textbox inset="0,0,0,0">
                <w:txbxContent>
                  <w:p>
                    <w:pPr>
                      <w:spacing w:line="133" w:lineRule="exact" w:before="0"/>
                      <w:ind w:left="0" w:right="0" w:firstLine="0"/>
                      <w:jc w:val="left"/>
                      <w:rPr>
                        <w:rFonts w:ascii="Microsoft YaHei" w:eastAsia="Microsoft YaHei" w:hint="eastAsia"/>
                        <w:b/>
                        <w:sz w:val="10"/>
                      </w:rPr>
                    </w:pPr>
                    <w:r>
                      <w:rPr>
                        <w:rFonts w:ascii="Microsoft YaHei" w:eastAsia="Microsoft YaHei" w:hint="eastAsia"/>
                        <w:b/>
                        <w:sz w:val="10"/>
                      </w:rPr>
                      <w:t>国际认证</w:t>
                    </w:r>
                  </w:p>
                </w:txbxContent>
              </v:textbox>
              <w10:wrap type="none"/>
            </v:shape>
          </v:group>
        </w:pict>
      </w:r>
      <w:r>
        <w:rPr>
          <w:sz w:val="20"/>
        </w:rPr>
      </w:r>
    </w:p>
    <w:p>
      <w:pPr>
        <w:pStyle w:val="BodyText"/>
        <w:spacing w:line="364" w:lineRule="auto" w:before="75"/>
        <w:ind w:left="1158" w:right="549" w:firstLine="419"/>
      </w:pPr>
      <w:r>
        <w:rPr>
          <w:spacing w:val="-2"/>
        </w:rPr>
        <w:t>在能源结构转型环节，公司在园区内自建分布式光伏发电站，年发电量约为 </w:t>
      </w:r>
      <w:r>
        <w:rPr>
          <w:rFonts w:ascii="Times New Roman" w:eastAsia="Times New Roman"/>
        </w:rPr>
        <w:t>3,800</w:t>
      </w:r>
      <w:r>
        <w:rPr>
          <w:rFonts w:ascii="Times New Roman" w:eastAsia="Times New Roman"/>
          <w:spacing w:val="27"/>
        </w:rPr>
        <w:t> </w:t>
      </w:r>
      <w:r>
        <w:rPr/>
        <w:t>万千瓦时，同时公司积极加入绿电交易，</w:t>
      </w:r>
      <w:r>
        <w:rPr>
          <w:rFonts w:ascii="Times New Roman" w:eastAsia="Times New Roman"/>
        </w:rPr>
        <w:t>2022</w:t>
      </w:r>
      <w:r>
        <w:rPr>
          <w:rFonts w:ascii="Times New Roman" w:eastAsia="Times New Roman"/>
          <w:spacing w:val="-13"/>
        </w:rPr>
        <w:t> </w:t>
      </w:r>
      <w:r>
        <w:rPr/>
        <w:t>年下属子公司南宁富联富桂精密工业有限公司、富联精</w:t>
      </w:r>
      <w:r>
        <w:rPr>
          <w:spacing w:val="-1"/>
        </w:rPr>
        <w:t>密电子（天津）</w:t>
      </w:r>
      <w:r>
        <w:rPr>
          <w:spacing w:val="-7"/>
        </w:rPr>
        <w:t>有限公司等采购绿电 </w:t>
      </w:r>
      <w:r>
        <w:rPr>
          <w:rFonts w:ascii="Times New Roman" w:eastAsia="Times New Roman"/>
        </w:rPr>
        <w:t>6,508</w:t>
      </w:r>
      <w:r>
        <w:rPr>
          <w:rFonts w:ascii="Times New Roman" w:eastAsia="Times New Roman"/>
          <w:spacing w:val="-12"/>
        </w:rPr>
        <w:t> </w:t>
      </w:r>
      <w:r>
        <w:rPr>
          <w:spacing w:val="-5"/>
        </w:rPr>
        <w:t>多万千瓦时，共计减排 </w:t>
      </w:r>
      <w:r>
        <w:rPr>
          <w:rFonts w:ascii="Times New Roman" w:eastAsia="Times New Roman"/>
        </w:rPr>
        <w:t>5.88</w:t>
      </w:r>
      <w:r>
        <w:rPr>
          <w:rFonts w:ascii="Times New Roman" w:eastAsia="Times New Roman"/>
          <w:spacing w:val="-12"/>
        </w:rPr>
        <w:t> </w:t>
      </w:r>
      <w:r>
        <w:rPr>
          <w:spacing w:val="-27"/>
        </w:rPr>
        <w:t>万 </w:t>
      </w:r>
      <w:r>
        <w:rPr>
          <w:rFonts w:ascii="Times New Roman" w:eastAsia="Times New Roman"/>
        </w:rPr>
        <w:t>tCO2e</w:t>
      </w:r>
      <w:r>
        <w:rPr/>
        <w:t>。此外，</w:t>
      </w:r>
      <w:r>
        <w:rPr>
          <w:rFonts w:ascii="Times New Roman" w:eastAsia="Times New Roman"/>
        </w:rPr>
        <w:t>2022</w:t>
      </w:r>
      <w:r>
        <w:rPr>
          <w:rFonts w:ascii="Times New Roman" w:eastAsia="Times New Roman"/>
          <w:spacing w:val="-10"/>
        </w:rPr>
        <w:t> </w:t>
      </w:r>
      <w:r>
        <w:rPr/>
        <w:t>年下属子公司富联裕展科技（深圳）有限公司、深圳富联富桂精密工业有限公司及富联精密电子</w:t>
      </w:r>
    </w:p>
    <w:p>
      <w:pPr>
        <w:pStyle w:val="BodyText"/>
        <w:spacing w:line="268" w:lineRule="exact"/>
        <w:ind w:left="1158"/>
      </w:pPr>
      <w:r>
        <w:rPr>
          <w:spacing w:val="-1"/>
        </w:rPr>
        <w:t>（天津）</w:t>
      </w:r>
      <w:r>
        <w:rPr>
          <w:spacing w:val="-5"/>
        </w:rPr>
        <w:t>有限公司购买碳排放权合计 </w:t>
      </w:r>
      <w:r>
        <w:rPr>
          <w:rFonts w:ascii="Times New Roman" w:eastAsia="Times New Roman"/>
        </w:rPr>
        <w:t>296,376 tCO2e</w:t>
      </w:r>
      <w:r>
        <w:rPr/>
        <w:t>。</w:t>
      </w:r>
    </w:p>
    <w:p>
      <w:pPr>
        <w:pStyle w:val="BodyText"/>
        <w:spacing w:line="364" w:lineRule="auto" w:before="138"/>
        <w:ind w:left="1158" w:right="537" w:firstLine="419"/>
        <w:jc w:val="both"/>
      </w:pPr>
      <w:r>
        <w:rPr>
          <w:spacing w:val="-4"/>
        </w:rPr>
        <w:t>公司定期跟踪节能减排政策及新兴节能技术，并根据 </w:t>
      </w:r>
      <w:r>
        <w:rPr>
          <w:rFonts w:ascii="Times New Roman" w:eastAsia="Times New Roman"/>
        </w:rPr>
        <w:t>ISO50001/GB23331</w:t>
      </w:r>
      <w:r>
        <w:rPr>
          <w:rFonts w:ascii="Times New Roman" w:eastAsia="Times New Roman"/>
          <w:spacing w:val="-2"/>
        </w:rPr>
        <w:t> </w:t>
      </w:r>
      <w:r>
        <w:rPr/>
        <w:t>能源管理体系设定</w:t>
      </w:r>
      <w:r>
        <w:rPr>
          <w:spacing w:val="-4"/>
        </w:rPr>
        <w:t>用能标准和节能考核机制，完成专项节能技术改造。 </w:t>
      </w:r>
      <w:r>
        <w:rPr>
          <w:rFonts w:ascii="Times New Roman" w:eastAsia="Times New Roman"/>
        </w:rPr>
        <w:t>2022</w:t>
      </w:r>
      <w:r>
        <w:rPr>
          <w:rFonts w:ascii="Times New Roman" w:eastAsia="Times New Roman"/>
          <w:spacing w:val="-12"/>
        </w:rPr>
        <w:t> </w:t>
      </w:r>
      <w:r>
        <w:rPr/>
        <w:t>年上半年公司开展碳盘查工作，对 </w:t>
      </w:r>
      <w:r>
        <w:rPr>
          <w:rFonts w:ascii="Times New Roman" w:eastAsia="Times New Roman"/>
        </w:rPr>
        <w:t>16</w:t>
      </w:r>
      <w:r>
        <w:rPr>
          <w:rFonts w:ascii="Times New Roman" w:eastAsia="Times New Roman"/>
          <w:spacing w:val="-50"/>
        </w:rPr>
        <w:t> </w:t>
      </w:r>
      <w:r>
        <w:rPr/>
        <w:t>家重要碳排法人单位的碳排放数据进行第三方的核查，并取得核查声明，同时还邀请专业第三方机构开展能源审计工作，摸清能源流向及消耗路径，挖掘节能潜力，提升能源效率。</w:t>
      </w:r>
    </w:p>
    <w:p>
      <w:pPr>
        <w:pStyle w:val="BodyText"/>
        <w:spacing w:line="268" w:lineRule="exact"/>
        <w:ind w:left="1158"/>
      </w:pPr>
      <w:r>
        <w:rPr>
          <w:w w:val="100"/>
        </w:rPr>
        <w:t> </w:t>
      </w:r>
    </w:p>
    <w:p>
      <w:pPr>
        <w:pStyle w:val="BodyText"/>
        <w:spacing w:before="65"/>
        <w:ind w:left="1158"/>
      </w:pPr>
      <w:r>
        <w:rPr/>
        <w:t>二、社会责任工作情况</w:t>
      </w:r>
    </w:p>
    <w:p>
      <w:pPr>
        <w:pStyle w:val="BodyText"/>
        <w:spacing w:before="63"/>
        <w:ind w:left="1158"/>
      </w:pPr>
      <w:r>
        <w:rPr>
          <w:spacing w:val="-10"/>
        </w:rPr>
        <w:t>(一) 是否单独披露社会责任报告、可持续发展报告或 </w:t>
      </w:r>
      <w:r>
        <w:rPr/>
        <w:t>ESG</w:t>
      </w:r>
      <w:r>
        <w:rPr>
          <w:spacing w:val="-16"/>
        </w:rPr>
        <w:t> 报告 </w:t>
      </w:r>
    </w:p>
    <w:p>
      <w:pPr>
        <w:pStyle w:val="BodyText"/>
        <w:spacing w:before="64"/>
        <w:ind w:left="1158"/>
      </w:pPr>
      <w:r>
        <w:rPr>
          <w:spacing w:val="-1"/>
        </w:rPr>
        <w:t>√适用 □不适用</w:t>
      </w:r>
      <w:r>
        <w:rPr>
          <w:spacing w:val="-3"/>
        </w:rPr>
        <w:t> </w:t>
      </w:r>
      <w:r>
        <w:rPr/>
        <w:t> </w:t>
      </w:r>
    </w:p>
    <w:p>
      <w:pPr>
        <w:pStyle w:val="BodyText"/>
        <w:spacing w:before="2"/>
        <w:ind w:left="1578"/>
      </w:pPr>
      <w:r>
        <w:rPr/>
        <w:t>一、可持续发展内部运作机制</w:t>
      </w:r>
    </w:p>
    <w:p>
      <w:pPr>
        <w:pStyle w:val="BodyText"/>
        <w:spacing w:line="364" w:lineRule="auto" w:before="139"/>
        <w:ind w:left="1158" w:right="527" w:firstLine="419"/>
        <w:jc w:val="both"/>
      </w:pPr>
      <w:r>
        <w:rPr>
          <w:spacing w:val="-6"/>
        </w:rPr>
        <w:t>工业富联成立于 </w:t>
      </w:r>
      <w:r>
        <w:rPr>
          <w:rFonts w:ascii="Times New Roman" w:hAnsi="Times New Roman" w:eastAsia="Times New Roman"/>
        </w:rPr>
        <w:t>2015</w:t>
      </w:r>
      <w:r>
        <w:rPr>
          <w:rFonts w:ascii="Times New Roman" w:hAnsi="Times New Roman" w:eastAsia="Times New Roman"/>
          <w:spacing w:val="8"/>
        </w:rPr>
        <w:t> </w:t>
      </w:r>
      <w:r>
        <w:rPr/>
        <w:t>年，</w:t>
      </w:r>
      <w:r>
        <w:rPr>
          <w:rFonts w:ascii="Times New Roman" w:hAnsi="Times New Roman" w:eastAsia="Times New Roman"/>
        </w:rPr>
        <w:t>2018</w:t>
      </w:r>
      <w:r>
        <w:rPr>
          <w:rFonts w:ascii="Times New Roman" w:hAnsi="Times New Roman" w:eastAsia="Times New Roman"/>
          <w:spacing w:val="5"/>
        </w:rPr>
        <w:t> </w:t>
      </w:r>
      <w:r>
        <w:rPr>
          <w:spacing w:val="-16"/>
        </w:rPr>
        <w:t>年 </w:t>
      </w:r>
      <w:r>
        <w:rPr>
          <w:rFonts w:ascii="Times New Roman" w:hAnsi="Times New Roman" w:eastAsia="Times New Roman"/>
        </w:rPr>
        <w:t>6</w:t>
      </w:r>
      <w:r>
        <w:rPr>
          <w:rFonts w:ascii="Times New Roman" w:hAnsi="Times New Roman" w:eastAsia="Times New Roman"/>
          <w:spacing w:val="7"/>
        </w:rPr>
        <w:t> </w:t>
      </w:r>
      <w:r>
        <w:rPr/>
        <w:t>月于上交所上市。多年来，公司一直将可持续发展列入公司核心原则之一，</w:t>
      </w:r>
      <w:r>
        <w:rPr>
          <w:rFonts w:ascii="Times New Roman" w:hAnsi="Times New Roman" w:eastAsia="Times New Roman"/>
        </w:rPr>
        <w:t>2019</w:t>
      </w:r>
      <w:r>
        <w:rPr>
          <w:rFonts w:ascii="Times New Roman" w:hAnsi="Times New Roman" w:eastAsia="Times New Roman"/>
          <w:spacing w:val="-24"/>
        </w:rPr>
        <w:t> </w:t>
      </w:r>
      <w:r>
        <w:rPr>
          <w:spacing w:val="-34"/>
        </w:rPr>
        <w:t>年 </w:t>
      </w:r>
      <w:r>
        <w:rPr>
          <w:rFonts w:ascii="Times New Roman" w:hAnsi="Times New Roman" w:eastAsia="Times New Roman"/>
        </w:rPr>
        <w:t>6</w:t>
      </w:r>
      <w:r>
        <w:rPr>
          <w:rFonts w:ascii="Times New Roman" w:hAnsi="Times New Roman" w:eastAsia="Times New Roman"/>
          <w:spacing w:val="-22"/>
        </w:rPr>
        <w:t> </w:t>
      </w:r>
      <w:r>
        <w:rPr>
          <w:spacing w:val="1"/>
        </w:rPr>
        <w:t>月即发布公司上市后首份企业社会责任报告，进行</w:t>
      </w:r>
      <w:r>
        <w:rPr>
          <w:rFonts w:ascii="Times New Roman" w:hAnsi="Times New Roman" w:eastAsia="Times New Roman"/>
        </w:rPr>
        <w:t>CSR</w:t>
      </w:r>
      <w:r>
        <w:rPr/>
        <w:t>（</w:t>
      </w:r>
      <w:r>
        <w:rPr>
          <w:rFonts w:ascii="Times New Roman" w:hAnsi="Times New Roman" w:eastAsia="Times New Roman"/>
        </w:rPr>
        <w:t>Corporate</w:t>
      </w:r>
      <w:r>
        <w:rPr>
          <w:rFonts w:ascii="Times New Roman" w:hAnsi="Times New Roman" w:eastAsia="Times New Roman"/>
          <w:spacing w:val="-50"/>
        </w:rPr>
        <w:t> </w:t>
      </w:r>
      <w:r>
        <w:rPr>
          <w:rFonts w:ascii="Times New Roman" w:hAnsi="Times New Roman" w:eastAsia="Times New Roman"/>
        </w:rPr>
        <w:t>Social</w:t>
      </w:r>
      <w:r>
        <w:rPr>
          <w:rFonts w:ascii="Times New Roman" w:hAnsi="Times New Roman" w:eastAsia="Times New Roman"/>
          <w:spacing w:val="36"/>
        </w:rPr>
        <w:t> </w:t>
      </w:r>
      <w:r>
        <w:rPr>
          <w:rFonts w:ascii="Times New Roman" w:hAnsi="Times New Roman" w:eastAsia="Times New Roman"/>
        </w:rPr>
        <w:t>Responsibility</w:t>
      </w:r>
      <w:r>
        <w:rPr/>
        <w:t>，企业社会责任，下同）信息披露并保持年度更新，定期展现公司社会责任各项工作的推进绩效及表现。除此之外，公司积极推进符合可持续发展的规划，以工业富联董事</w:t>
      </w:r>
      <w:r>
        <w:rPr>
          <w:spacing w:val="-2"/>
        </w:rPr>
        <w:t>会作为公司可持续发展的最高策略层级和责任机构，成立 </w:t>
      </w:r>
      <w:r>
        <w:rPr>
          <w:rFonts w:ascii="Times New Roman" w:hAnsi="Times New Roman" w:eastAsia="Times New Roman"/>
        </w:rPr>
        <w:t>Fii</w:t>
      </w:r>
      <w:r>
        <w:rPr>
          <w:rFonts w:ascii="Times New Roman" w:hAnsi="Times New Roman" w:eastAsia="Times New Roman"/>
          <w:spacing w:val="25"/>
        </w:rPr>
        <w:t> </w:t>
      </w:r>
      <w:r>
        <w:rPr>
          <w:rFonts w:ascii="Times New Roman" w:hAnsi="Times New Roman" w:eastAsia="Times New Roman"/>
        </w:rPr>
        <w:t>CSR</w:t>
      </w:r>
      <w:r>
        <w:rPr>
          <w:rFonts w:ascii="Times New Roman" w:hAnsi="Times New Roman" w:eastAsia="Times New Roman"/>
          <w:spacing w:val="11"/>
        </w:rPr>
        <w:t> </w:t>
      </w:r>
      <w:r>
        <w:rPr/>
        <w:t>委员会、事业群分会并下设职能任务编组，包括环境</w:t>
      </w:r>
      <w:r>
        <w:rPr>
          <w:rFonts w:ascii="Times New Roman" w:hAnsi="Times New Roman" w:eastAsia="Times New Roman"/>
        </w:rPr>
        <w:t>/</w:t>
      </w:r>
      <w:r>
        <w:rPr/>
        <w:t>健康</w:t>
      </w:r>
      <w:r>
        <w:rPr>
          <w:rFonts w:ascii="Times New Roman" w:hAnsi="Times New Roman" w:eastAsia="Times New Roman"/>
        </w:rPr>
        <w:t>/</w:t>
      </w:r>
      <w:r>
        <w:rPr/>
        <w:t>安全</w:t>
      </w:r>
      <w:r>
        <w:rPr>
          <w:rFonts w:ascii="Times New Roman" w:hAnsi="Times New Roman" w:eastAsia="Times New Roman"/>
        </w:rPr>
        <w:t>(EHS)</w:t>
      </w:r>
      <w:r>
        <w:rPr/>
        <w:t>、劳工</w:t>
      </w:r>
      <w:r>
        <w:rPr>
          <w:rFonts w:ascii="Times New Roman" w:hAnsi="Times New Roman" w:eastAsia="Times New Roman"/>
        </w:rPr>
        <w:t>/</w:t>
      </w:r>
      <w:r>
        <w:rPr/>
        <w:t>人权</w:t>
      </w:r>
      <w:r>
        <w:rPr>
          <w:rFonts w:ascii="Times New Roman" w:hAnsi="Times New Roman" w:eastAsia="Times New Roman"/>
        </w:rPr>
        <w:t>/</w:t>
      </w:r>
      <w:r>
        <w:rPr/>
        <w:t>商业道德、节能减碳、绿色供应链管理、信息网络安全及工会六大职能单位，具体践行联合国可持续发展目标（</w:t>
      </w:r>
      <w:r>
        <w:rPr>
          <w:rFonts w:ascii="Times New Roman" w:hAnsi="Times New Roman" w:eastAsia="Times New Roman"/>
        </w:rPr>
        <w:t>Sustainable</w:t>
      </w:r>
      <w:r>
        <w:rPr>
          <w:rFonts w:ascii="Times New Roman" w:hAnsi="Times New Roman" w:eastAsia="Times New Roman"/>
          <w:spacing w:val="1"/>
        </w:rPr>
        <w:t> </w:t>
      </w:r>
      <w:r>
        <w:rPr>
          <w:rFonts w:ascii="Times New Roman" w:hAnsi="Times New Roman" w:eastAsia="Times New Roman"/>
        </w:rPr>
        <w:t>Development</w:t>
      </w:r>
      <w:r>
        <w:rPr>
          <w:rFonts w:ascii="Times New Roman" w:hAnsi="Times New Roman" w:eastAsia="Times New Roman"/>
          <w:spacing w:val="1"/>
        </w:rPr>
        <w:t> </w:t>
      </w:r>
      <w:r>
        <w:rPr>
          <w:rFonts w:ascii="Times New Roman" w:hAnsi="Times New Roman" w:eastAsia="Times New Roman"/>
          <w:spacing w:val="-1"/>
        </w:rPr>
        <w:t>Goals,</w:t>
      </w:r>
      <w:r>
        <w:rPr>
          <w:rFonts w:ascii="Times New Roman" w:hAnsi="Times New Roman" w:eastAsia="Times New Roman"/>
          <w:spacing w:val="25"/>
        </w:rPr>
        <w:t> </w:t>
      </w:r>
      <w:r>
        <w:rPr>
          <w:rFonts w:ascii="Times New Roman" w:hAnsi="Times New Roman" w:eastAsia="Times New Roman"/>
          <w:spacing w:val="-1"/>
        </w:rPr>
        <w:t>SDGs</w:t>
      </w:r>
      <w:r>
        <w:rPr>
          <w:spacing w:val="-1"/>
        </w:rPr>
        <w:t>）</w:t>
      </w:r>
      <w:r>
        <w:rPr>
          <w:rFonts w:ascii="Times New Roman" w:hAnsi="Times New Roman" w:eastAsia="Times New Roman"/>
          <w:spacing w:val="-1"/>
        </w:rPr>
        <w:t>,</w:t>
      </w:r>
      <w:r>
        <w:rPr>
          <w:spacing w:val="-25"/>
        </w:rPr>
        <w:t>将 </w:t>
      </w:r>
      <w:r>
        <w:rPr>
          <w:rFonts w:ascii="Times New Roman" w:hAnsi="Times New Roman" w:eastAsia="Times New Roman"/>
          <w:spacing w:val="-1"/>
        </w:rPr>
        <w:t>SDGs</w:t>
      </w:r>
      <w:r>
        <w:rPr>
          <w:rFonts w:ascii="Times New Roman" w:hAnsi="Times New Roman" w:eastAsia="Times New Roman"/>
          <w:spacing w:val="-8"/>
        </w:rPr>
        <w:t> </w:t>
      </w:r>
      <w:r>
        <w:rPr>
          <w:spacing w:val="-25"/>
        </w:rPr>
        <w:t>与 </w:t>
      </w:r>
      <w:r>
        <w:rPr>
          <w:rFonts w:ascii="Times New Roman" w:hAnsi="Times New Roman" w:eastAsia="Times New Roman"/>
        </w:rPr>
        <w:t>CSR</w:t>
      </w:r>
      <w:r>
        <w:rPr>
          <w:rFonts w:ascii="Times New Roman" w:hAnsi="Times New Roman" w:eastAsia="Times New Roman"/>
          <w:spacing w:val="-6"/>
        </w:rPr>
        <w:t> </w:t>
      </w:r>
      <w:r>
        <w:rPr/>
        <w:t>理念切实融入组织文化与企业日常营运中。</w:t>
      </w:r>
      <w:r>
        <w:rPr>
          <w:rFonts w:ascii="Times New Roman" w:hAnsi="Times New Roman" w:eastAsia="Times New Roman"/>
        </w:rPr>
        <w:t>2022</w:t>
      </w:r>
      <w:r>
        <w:rPr>
          <w:rFonts w:ascii="Times New Roman" w:hAnsi="Times New Roman" w:eastAsia="Times New Roman"/>
          <w:spacing w:val="-6"/>
        </w:rPr>
        <w:t> </w:t>
      </w:r>
      <w:r>
        <w:rPr/>
        <w:t>年，因应国际趋势与资本市场发展，</w:t>
      </w:r>
      <w:r>
        <w:rPr>
          <w:rFonts w:ascii="Times New Roman" w:hAnsi="Times New Roman" w:eastAsia="Times New Roman"/>
        </w:rPr>
        <w:t>“</w:t>
      </w:r>
      <w:r>
        <w:rPr/>
        <w:t>可持续发展</w:t>
      </w:r>
      <w:r>
        <w:rPr>
          <w:rFonts w:ascii="Times New Roman" w:hAnsi="Times New Roman" w:eastAsia="Times New Roman"/>
        </w:rPr>
        <w:t>”</w:t>
      </w:r>
      <w:r>
        <w:rPr>
          <w:spacing w:val="5"/>
        </w:rPr>
        <w:t>从广泛概念的</w:t>
      </w:r>
      <w:r>
        <w:rPr>
          <w:rFonts w:ascii="Times New Roman" w:hAnsi="Times New Roman" w:eastAsia="Times New Roman"/>
        </w:rPr>
        <w:t>CSR</w:t>
      </w:r>
      <w:r>
        <w:rPr/>
        <w:t>演进结合可持续绩效衡量的环境、社会和公司治理</w:t>
      </w:r>
      <w:r>
        <w:rPr>
          <w:rFonts w:ascii="Times New Roman" w:hAnsi="Times New Roman" w:eastAsia="Times New Roman"/>
        </w:rPr>
        <w:t>(Environment</w:t>
      </w:r>
      <w:r>
        <w:rPr>
          <w:rFonts w:ascii="Times New Roman" w:hAnsi="Times New Roman" w:eastAsia="Times New Roman"/>
          <w:spacing w:val="5"/>
        </w:rPr>
        <w:t>, </w:t>
      </w:r>
      <w:r>
        <w:rPr>
          <w:rFonts w:ascii="Times New Roman" w:hAnsi="Times New Roman" w:eastAsia="Times New Roman"/>
        </w:rPr>
        <w:t>Social</w:t>
      </w:r>
      <w:r>
        <w:rPr>
          <w:rFonts w:ascii="Times New Roman" w:hAnsi="Times New Roman" w:eastAsia="Times New Roman"/>
          <w:spacing w:val="5"/>
        </w:rPr>
        <w:t>, </w:t>
      </w:r>
      <w:r>
        <w:rPr>
          <w:rFonts w:ascii="Times New Roman" w:hAnsi="Times New Roman" w:eastAsia="Times New Roman"/>
        </w:rPr>
        <w:t>Governance,</w:t>
      </w:r>
      <w:r>
        <w:rPr>
          <w:rFonts w:ascii="Times New Roman" w:hAnsi="Times New Roman" w:eastAsia="Times New Roman"/>
          <w:spacing w:val="10"/>
        </w:rPr>
        <w:t> </w:t>
      </w:r>
      <w:r>
        <w:rPr>
          <w:rFonts w:ascii="Times New Roman" w:hAnsi="Times New Roman" w:eastAsia="Times New Roman"/>
        </w:rPr>
        <w:t>ESG)</w:t>
      </w:r>
      <w:r>
        <w:rPr/>
        <w:t>概念，公司将原</w:t>
      </w:r>
      <w:r>
        <w:rPr>
          <w:rFonts w:ascii="Times New Roman" w:hAnsi="Times New Roman" w:eastAsia="Times New Roman"/>
        </w:rPr>
        <w:t>“Fii</w:t>
      </w:r>
      <w:r>
        <w:rPr>
          <w:rFonts w:ascii="Times New Roman" w:hAnsi="Times New Roman" w:eastAsia="Times New Roman"/>
          <w:spacing w:val="9"/>
        </w:rPr>
        <w:t> </w:t>
      </w:r>
      <w:r>
        <w:rPr>
          <w:rFonts w:ascii="Times New Roman" w:hAnsi="Times New Roman" w:eastAsia="Times New Roman"/>
        </w:rPr>
        <w:t>CSR</w:t>
      </w:r>
      <w:r>
        <w:rPr>
          <w:rFonts w:ascii="Times New Roman" w:hAnsi="Times New Roman" w:eastAsia="Times New Roman"/>
          <w:spacing w:val="-10"/>
        </w:rPr>
        <w:t> </w:t>
      </w:r>
      <w:r>
        <w:rPr/>
        <w:t>委员会</w:t>
      </w:r>
      <w:r>
        <w:rPr>
          <w:rFonts w:ascii="Times New Roman" w:hAnsi="Times New Roman" w:eastAsia="Times New Roman"/>
        </w:rPr>
        <w:t>”</w:t>
      </w:r>
      <w:r>
        <w:rPr/>
        <w:t>更名为</w:t>
      </w:r>
      <w:r>
        <w:rPr>
          <w:rFonts w:ascii="Times New Roman" w:hAnsi="Times New Roman" w:eastAsia="Times New Roman"/>
        </w:rPr>
        <w:t>“Fii</w:t>
      </w:r>
      <w:r>
        <w:rPr>
          <w:rFonts w:ascii="Times New Roman" w:hAnsi="Times New Roman" w:eastAsia="Times New Roman"/>
          <w:spacing w:val="9"/>
        </w:rPr>
        <w:t> </w:t>
      </w:r>
      <w:r>
        <w:rPr/>
        <w:t>永续发</w:t>
      </w:r>
      <w:r>
        <w:rPr>
          <w:spacing w:val="-1"/>
        </w:rPr>
        <w:t>展委员会</w:t>
      </w:r>
      <w:r>
        <w:rPr>
          <w:rFonts w:ascii="Times New Roman" w:hAnsi="Times New Roman" w:eastAsia="Times New Roman"/>
          <w:spacing w:val="-1"/>
        </w:rPr>
        <w:t>”</w:t>
      </w:r>
      <w:r>
        <w:rPr>
          <w:spacing w:val="-7"/>
        </w:rPr>
        <w:t>，并筹划组建 </w:t>
      </w:r>
      <w:r>
        <w:rPr>
          <w:rFonts w:ascii="Times New Roman" w:hAnsi="Times New Roman" w:eastAsia="Times New Roman"/>
          <w:spacing w:val="-1"/>
        </w:rPr>
        <w:t>ESG</w:t>
      </w:r>
      <w:r>
        <w:rPr>
          <w:rFonts w:ascii="Times New Roman" w:hAnsi="Times New Roman" w:eastAsia="Times New Roman"/>
          <w:spacing w:val="3"/>
        </w:rPr>
        <w:t> </w:t>
      </w:r>
      <w:r>
        <w:rPr/>
        <w:t>策进组。在承接永续发展委员会整体统筹规划的同时，</w:t>
      </w:r>
      <w:r>
        <w:rPr>
          <w:rFonts w:ascii="Times New Roman" w:hAnsi="Times New Roman" w:eastAsia="Times New Roman"/>
        </w:rPr>
        <w:t>ESG</w:t>
      </w:r>
      <w:r>
        <w:rPr>
          <w:rFonts w:ascii="Times New Roman" w:hAnsi="Times New Roman" w:eastAsia="Times New Roman"/>
          <w:spacing w:val="2"/>
        </w:rPr>
        <w:t> </w:t>
      </w:r>
      <w:r>
        <w:rPr/>
        <w:t>策进组主导公司层级 </w:t>
      </w:r>
      <w:r>
        <w:rPr>
          <w:rFonts w:ascii="Times New Roman" w:hAnsi="Times New Roman" w:eastAsia="Times New Roman"/>
        </w:rPr>
        <w:t>CSR/ESG</w:t>
      </w:r>
      <w:r>
        <w:rPr>
          <w:rFonts w:ascii="Times New Roman" w:hAnsi="Times New Roman" w:eastAsia="Times New Roman"/>
          <w:spacing w:val="39"/>
        </w:rPr>
        <w:t> </w:t>
      </w:r>
      <w:r>
        <w:rPr/>
        <w:t>管理提升的关键策略与推动规划，并对接事业群单位以提升职能垂直对</w:t>
      </w:r>
      <w:r>
        <w:rPr>
          <w:spacing w:val="-3"/>
        </w:rPr>
        <w:t>接的运作效能，进一步强化了公司在环保、社会和治理三个面向的 </w:t>
      </w:r>
      <w:r>
        <w:rPr>
          <w:rFonts w:ascii="Times New Roman" w:hAnsi="Times New Roman" w:eastAsia="Times New Roman"/>
        </w:rPr>
        <w:t>ESG</w:t>
      </w:r>
      <w:r>
        <w:rPr>
          <w:rFonts w:ascii="Times New Roman" w:hAnsi="Times New Roman" w:eastAsia="Times New Roman"/>
          <w:spacing w:val="-11"/>
        </w:rPr>
        <w:t> </w:t>
      </w:r>
      <w:r>
        <w:rPr/>
        <w:t>管理原则。</w:t>
      </w:r>
    </w:p>
    <w:p>
      <w:pPr>
        <w:spacing w:after="0" w:line="364" w:lineRule="auto"/>
        <w:jc w:val="both"/>
        <w:sectPr>
          <w:pgSz w:w="11910" w:h="16840"/>
          <w:pgMar w:header="877" w:footer="1187" w:top="1440" w:bottom="1380" w:left="640" w:right="740"/>
        </w:sectPr>
      </w:pPr>
    </w:p>
    <w:p>
      <w:pPr>
        <w:pStyle w:val="BodyText"/>
        <w:spacing w:before="68"/>
        <w:ind w:left="1580"/>
      </w:pPr>
      <w:r>
        <w:rPr/>
        <w:t>二、企业社会责任的准则与行动</w:t>
      </w:r>
    </w:p>
    <w:p>
      <w:pPr>
        <w:pStyle w:val="BodyText"/>
        <w:spacing w:line="364" w:lineRule="auto" w:before="142"/>
        <w:ind w:left="1158" w:right="319" w:firstLine="419"/>
      </w:pPr>
      <w:r>
        <w:rPr>
          <w:spacing w:val="76"/>
        </w:rPr>
        <w:t>在 </w:t>
      </w:r>
      <w:r>
        <w:rPr>
          <w:rFonts w:ascii="Times New Roman" w:hAnsi="Times New Roman" w:eastAsia="Times New Roman"/>
        </w:rPr>
        <w:t>“</w:t>
      </w:r>
      <w:r>
        <w:rPr/>
        <w:t>数据驱动、绿色发展</w:t>
      </w:r>
      <w:r>
        <w:rPr>
          <w:rFonts w:ascii="Times New Roman" w:hAnsi="Times New Roman" w:eastAsia="Times New Roman"/>
        </w:rPr>
        <w:t>”</w:t>
      </w:r>
      <w:r>
        <w:rPr/>
        <w:t>的战略指引下，公司努力做到在对智能制造与科技服务领域持续投入和建设的同时，坚守卓越的社会与环境责任，同时投入大量资源保障员工健康与安全、提倡 环境可持续发展及推动可持续供应链。我们将供应商视为共同承担社会责任的合作伙伴，通过设 立供应商社会与环境责任管理体系，推动完善供应链全流程的绿色制造体系与反冲突矿产管理体 系，着力提升整体产业链的社会责任表现。公司制定的《工业富联企业社会责任行为准则</w:t>
      </w:r>
      <w:r>
        <w:rPr>
          <w:rFonts w:ascii="Times New Roman" w:hAnsi="Times New Roman" w:eastAsia="Times New Roman"/>
        </w:rPr>
        <w:t>(Code</w:t>
      </w:r>
      <w:r>
        <w:rPr>
          <w:rFonts w:ascii="Times New Roman" w:hAnsi="Times New Roman" w:eastAsia="Times New Roman"/>
          <w:spacing w:val="6"/>
        </w:rPr>
        <w:t>   </w:t>
      </w:r>
      <w:r>
        <w:rPr>
          <w:rFonts w:ascii="Times New Roman" w:hAnsi="Times New Roman" w:eastAsia="Times New Roman"/>
        </w:rPr>
        <w:t>of</w:t>
      </w:r>
      <w:r>
        <w:rPr>
          <w:rFonts w:ascii="Times New Roman" w:hAnsi="Times New Roman" w:eastAsia="Times New Roman"/>
          <w:spacing w:val="64"/>
        </w:rPr>
        <w:t> </w:t>
      </w:r>
      <w:r>
        <w:rPr>
          <w:rFonts w:ascii="Times New Roman" w:hAnsi="Times New Roman" w:eastAsia="Times New Roman"/>
        </w:rPr>
        <w:t>Conduct)</w:t>
      </w:r>
      <w:r>
        <w:rPr/>
        <w:t>》中清楚列明公司自身在商业道德、劳工及安全、健康与安全、环境、负责任矿物采购、</w:t>
      </w:r>
      <w:r>
        <w:rPr>
          <w:spacing w:val="-1"/>
        </w:rPr>
        <w:t>反贪渎及反奴隶人口方面的政策与原则，公司所有业务和运营均遵循本准则的要求与标准， 对所有利益相关方坚守企业公民义务与永续企业发展的承诺。</w:t>
      </w:r>
      <w:r>
        <w:rPr>
          <w:rFonts w:ascii="Times New Roman" w:hAnsi="Times New Roman" w:eastAsia="Times New Roman"/>
        </w:rPr>
        <w:t>2022</w:t>
      </w:r>
      <w:r>
        <w:rPr>
          <w:rFonts w:ascii="Times New Roman" w:hAnsi="Times New Roman" w:eastAsia="Times New Roman"/>
          <w:spacing w:val="6"/>
        </w:rPr>
        <w:t> </w:t>
      </w:r>
      <w:r>
        <w:rPr>
          <w:spacing w:val="-4"/>
        </w:rPr>
        <w:t>年，公司更新修订 </w:t>
      </w:r>
      <w:r>
        <w:rPr>
          <w:rFonts w:ascii="Times New Roman" w:hAnsi="Times New Roman" w:eastAsia="Times New Roman"/>
        </w:rPr>
        <w:t>2.0</w:t>
      </w:r>
      <w:r>
        <w:rPr>
          <w:rFonts w:ascii="Times New Roman" w:hAnsi="Times New Roman" w:eastAsia="Times New Roman"/>
          <w:spacing w:val="3"/>
        </w:rPr>
        <w:t> </w:t>
      </w:r>
      <w:r>
        <w:rPr/>
        <w:t>版《企业社会责任行为准则》，依据国际相关最新标准</w:t>
      </w:r>
      <w:r>
        <w:rPr>
          <w:rFonts w:ascii="Times New Roman" w:hAnsi="Times New Roman" w:eastAsia="Times New Roman"/>
        </w:rPr>
        <w:t>(RBA</w:t>
      </w:r>
      <w:r>
        <w:rPr/>
        <w:t>、</w:t>
      </w:r>
      <w:r>
        <w:rPr>
          <w:rFonts w:ascii="Times New Roman" w:hAnsi="Times New Roman" w:eastAsia="Times New Roman"/>
        </w:rPr>
        <w:t>ILO</w:t>
      </w:r>
      <w:r>
        <w:rPr/>
        <w:t>、</w:t>
      </w:r>
      <w:r>
        <w:rPr>
          <w:rFonts w:ascii="Times New Roman" w:hAnsi="Times New Roman" w:eastAsia="Times New Roman"/>
        </w:rPr>
        <w:t>UDHR</w:t>
      </w:r>
      <w:r>
        <w:rPr/>
        <w:t>、</w:t>
      </w:r>
      <w:r>
        <w:rPr>
          <w:rFonts w:ascii="Times New Roman" w:hAnsi="Times New Roman" w:eastAsia="Times New Roman"/>
        </w:rPr>
        <w:t>ISO…</w:t>
      </w:r>
      <w:r>
        <w:rPr/>
        <w:t>等</w:t>
      </w:r>
      <w:r>
        <w:rPr>
          <w:rFonts w:ascii="Times New Roman" w:hAnsi="Times New Roman" w:eastAsia="Times New Roman"/>
        </w:rPr>
        <w:t>)</w:t>
      </w:r>
      <w:r>
        <w:rPr>
          <w:spacing w:val="-1"/>
        </w:rPr>
        <w:t>，平衡政府、客 户、投资人、</w:t>
      </w:r>
      <w:r>
        <w:rPr>
          <w:rFonts w:ascii="Times New Roman" w:hAnsi="Times New Roman" w:eastAsia="Times New Roman"/>
          <w:spacing w:val="-1"/>
        </w:rPr>
        <w:t>ESG</w:t>
      </w:r>
      <w:r>
        <w:rPr>
          <w:rFonts w:ascii="Times New Roman" w:hAnsi="Times New Roman" w:eastAsia="Times New Roman"/>
          <w:spacing w:val="2"/>
        </w:rPr>
        <w:t> </w:t>
      </w:r>
      <w:r>
        <w:rPr/>
        <w:t>评级机构等关键利益相关方要求，并与公司政策、经营原则等进行整合调整。公司持续关注商业活动开展对各利益相关方所造成的影响，兼顾企业生产活动的经济社会、环境、安全影响并维持良好公司治理，严守商业道德规范并致力于落实社会责任、维护基本人权等关键 层面的相关议题重视度。</w:t>
      </w:r>
    </w:p>
    <w:p>
      <w:pPr>
        <w:pStyle w:val="BodyText"/>
        <w:spacing w:line="364" w:lineRule="auto"/>
        <w:ind w:left="1158" w:right="319" w:firstLine="419"/>
      </w:pPr>
      <w:r>
        <w:rPr/>
        <w:t>此外，公司充分发挥“扎根大陆，布局全球”的产业布局优势，不论是厂区设立或是社会参</w:t>
      </w:r>
      <w:r>
        <w:rPr>
          <w:spacing w:val="1"/>
        </w:rPr>
        <w:t> </w:t>
      </w:r>
      <w:r>
        <w:rPr/>
        <w:t>与的活动规划，公司都以对当地有实际且长期正面影响为核心理念，持续为在地社区与城市贡献</w:t>
      </w:r>
      <w:r>
        <w:rPr>
          <w:spacing w:val="1"/>
        </w:rPr>
        <w:t> </w:t>
      </w:r>
      <w:r>
        <w:rPr/>
        <w:t>积极力量。本着“取之于社会，用之于社会”的企业公民精神，公司也积极凝聚企业内部资源与</w:t>
      </w:r>
      <w:r>
        <w:rPr>
          <w:spacing w:val="1"/>
        </w:rPr>
        <w:t> </w:t>
      </w:r>
      <w:r>
        <w:rPr/>
        <w:t>人力，通过延续关注弱势群体、支持偏僻乡村教育和助力地区特色产业发展等方面工作开展，持</w:t>
      </w:r>
      <w:r>
        <w:rPr>
          <w:spacing w:val="1"/>
        </w:rPr>
        <w:t> </w:t>
      </w:r>
      <w:r>
        <w:rPr/>
        <w:t>续巩固拓展脱贫攻坚成果，接续推动乡村振兴，彰显了作为国际化领军企业的责任担当。这其中，</w:t>
      </w:r>
      <w:r>
        <w:rPr>
          <w:spacing w:val="-102"/>
        </w:rPr>
        <w:t> </w:t>
      </w:r>
      <w:r>
        <w:rPr/>
        <w:t>是公司及公司下属子公司的各方面合力。</w:t>
      </w:r>
    </w:p>
    <w:p>
      <w:pPr>
        <w:spacing w:line="268" w:lineRule="exact" w:before="0"/>
        <w:ind w:left="1580" w:right="0" w:firstLine="0"/>
        <w:jc w:val="left"/>
        <w:rPr>
          <w:sz w:val="21"/>
        </w:rPr>
      </w:pPr>
      <w:r>
        <w:rPr>
          <w:sz w:val="21"/>
        </w:rPr>
        <w:t>三、</w:t>
      </w:r>
      <w:r>
        <w:rPr>
          <w:rFonts w:ascii="Times New Roman" w:eastAsia="Times New Roman"/>
          <w:b/>
          <w:sz w:val="21"/>
        </w:rPr>
        <w:t>ESG</w:t>
      </w:r>
      <w:r>
        <w:rPr>
          <w:rFonts w:ascii="Times New Roman" w:eastAsia="Times New Roman"/>
          <w:b/>
          <w:spacing w:val="-1"/>
          <w:sz w:val="21"/>
        </w:rPr>
        <w:t> </w:t>
      </w:r>
      <w:r>
        <w:rPr>
          <w:sz w:val="21"/>
        </w:rPr>
        <w:t>评级表现与外部认可</w:t>
      </w:r>
    </w:p>
    <w:p>
      <w:pPr>
        <w:pStyle w:val="BodyText"/>
        <w:spacing w:line="364" w:lineRule="auto" w:before="131"/>
        <w:ind w:left="1158" w:right="527" w:firstLine="419"/>
        <w:jc w:val="both"/>
      </w:pPr>
      <w:r>
        <w:rPr/>
        <w:t>公司积极落实可持续发展管理与善尽企业社会责任的行动，得到了国际国内一些重大 </w:t>
      </w:r>
      <w:r>
        <w:rPr>
          <w:rFonts w:ascii="Times New Roman" w:eastAsia="Times New Roman"/>
        </w:rPr>
        <w:t>ESG</w:t>
      </w:r>
      <w:r>
        <w:rPr>
          <w:rFonts w:ascii="Times New Roman" w:eastAsia="Times New Roman"/>
          <w:spacing w:val="-50"/>
        </w:rPr>
        <w:t> </w:t>
      </w:r>
      <w:r>
        <w:rPr>
          <w:spacing w:val="-5"/>
        </w:rPr>
        <w:t>评级机构的肯定。国际评级上，明晟 </w:t>
      </w:r>
      <w:r>
        <w:rPr>
          <w:rFonts w:ascii="Times New Roman" w:eastAsia="Times New Roman"/>
        </w:rPr>
        <w:t>MSCI</w:t>
      </w:r>
      <w:r>
        <w:rPr>
          <w:rFonts w:ascii="Times New Roman" w:eastAsia="Times New Roman"/>
          <w:spacing w:val="1"/>
        </w:rPr>
        <w:t> </w:t>
      </w:r>
      <w:r>
        <w:rPr>
          <w:rFonts w:ascii="Times New Roman" w:eastAsia="Times New Roman"/>
        </w:rPr>
        <w:t>ESG</w:t>
      </w:r>
      <w:r>
        <w:rPr>
          <w:rFonts w:ascii="Times New Roman" w:eastAsia="Times New Roman"/>
          <w:spacing w:val="-8"/>
        </w:rPr>
        <w:t> </w:t>
      </w:r>
      <w:r>
        <w:rPr/>
        <w:t>评级对于公司的各项管理提升作为给予了充分的</w:t>
      </w:r>
      <w:r>
        <w:rPr>
          <w:spacing w:val="-11"/>
        </w:rPr>
        <w:t>肯定，于 </w:t>
      </w:r>
      <w:r>
        <w:rPr>
          <w:rFonts w:ascii="Times New Roman" w:eastAsia="Times New Roman"/>
          <w:spacing w:val="-1"/>
        </w:rPr>
        <w:t>2022</w:t>
      </w:r>
      <w:r>
        <w:rPr>
          <w:rFonts w:ascii="Times New Roman" w:eastAsia="Times New Roman"/>
          <w:spacing w:val="-5"/>
        </w:rPr>
        <w:t> </w:t>
      </w:r>
      <w:r>
        <w:rPr>
          <w:spacing w:val="-8"/>
        </w:rPr>
        <w:t>年调升公司 </w:t>
      </w:r>
      <w:r>
        <w:rPr>
          <w:rFonts w:ascii="Times New Roman" w:eastAsia="Times New Roman"/>
        </w:rPr>
        <w:t>ESG</w:t>
      </w:r>
      <w:r>
        <w:rPr>
          <w:rFonts w:ascii="Times New Roman" w:eastAsia="Times New Roman"/>
          <w:spacing w:val="-5"/>
        </w:rPr>
        <w:t> </w:t>
      </w:r>
      <w:r>
        <w:rPr>
          <w:spacing w:val="-13"/>
        </w:rPr>
        <w:t>评级至 </w:t>
      </w:r>
      <w:r>
        <w:rPr>
          <w:rFonts w:ascii="Times New Roman" w:eastAsia="Times New Roman"/>
        </w:rPr>
        <w:t>BBB</w:t>
      </w:r>
      <w:r>
        <w:rPr>
          <w:rFonts w:ascii="Times New Roman" w:eastAsia="Times New Roman"/>
          <w:spacing w:val="-6"/>
        </w:rPr>
        <w:t> </w:t>
      </w:r>
      <w:r>
        <w:rPr/>
        <w:t>级；</w:t>
      </w:r>
      <w:r>
        <w:rPr>
          <w:rFonts w:ascii="Times New Roman" w:eastAsia="Times New Roman"/>
        </w:rPr>
        <w:t>Sustainalytics</w:t>
      </w:r>
      <w:r>
        <w:rPr>
          <w:rFonts w:ascii="Times New Roman" w:eastAsia="Times New Roman"/>
          <w:spacing w:val="26"/>
        </w:rPr>
        <w:t> </w:t>
      </w:r>
      <w:r>
        <w:rPr>
          <w:rFonts w:ascii="Times New Roman" w:eastAsia="Times New Roman"/>
        </w:rPr>
        <w:t>ESG</w:t>
      </w:r>
      <w:r>
        <w:rPr>
          <w:rFonts w:ascii="Times New Roman" w:eastAsia="Times New Roman"/>
          <w:spacing w:val="-3"/>
        </w:rPr>
        <w:t> </w:t>
      </w:r>
      <w:r>
        <w:rPr>
          <w:spacing w:val="-7"/>
        </w:rPr>
        <w:t>风险评级降至 </w:t>
      </w:r>
      <w:r>
        <w:rPr>
          <w:rFonts w:ascii="Times New Roman" w:eastAsia="Times New Roman"/>
        </w:rPr>
        <w:t>18</w:t>
      </w:r>
      <w:r>
        <w:rPr>
          <w:rFonts w:ascii="Times New Roman" w:eastAsia="Times New Roman"/>
          <w:spacing w:val="-6"/>
        </w:rPr>
        <w:t> </w:t>
      </w:r>
      <w:r>
        <w:rPr>
          <w:spacing w:val="-12"/>
        </w:rPr>
        <w:t>分，居 </w:t>
      </w:r>
      <w:r>
        <w:rPr>
          <w:rFonts w:ascii="Times New Roman" w:eastAsia="Times New Roman"/>
        </w:rPr>
        <w:t>Low</w:t>
      </w:r>
      <w:r>
        <w:rPr>
          <w:rFonts w:ascii="Times New Roman" w:eastAsia="Times New Roman"/>
          <w:spacing w:val="-50"/>
        </w:rPr>
        <w:t> </w:t>
      </w:r>
      <w:r>
        <w:rPr>
          <w:spacing w:val="7"/>
        </w:rPr>
        <w:t>风险等级；标普</w:t>
      </w:r>
      <w:r>
        <w:rPr>
          <w:rFonts w:ascii="Times New Roman" w:eastAsia="Times New Roman"/>
        </w:rPr>
        <w:t>CSA</w:t>
      </w:r>
      <w:r>
        <w:rPr>
          <w:rFonts w:ascii="Times New Roman" w:eastAsia="Times New Roman"/>
          <w:spacing w:val="-13"/>
        </w:rPr>
        <w:t> </w:t>
      </w:r>
      <w:r>
        <w:rPr>
          <w:spacing w:val="-5"/>
        </w:rPr>
        <w:t>评级首次参评即取得了 </w:t>
      </w:r>
      <w:r>
        <w:rPr>
          <w:rFonts w:ascii="Times New Roman" w:eastAsia="Times New Roman"/>
        </w:rPr>
        <w:t>41</w:t>
      </w:r>
      <w:r>
        <w:rPr>
          <w:rFonts w:ascii="Times New Roman" w:eastAsia="Times New Roman"/>
          <w:spacing w:val="-12"/>
        </w:rPr>
        <w:t> </w:t>
      </w:r>
      <w:r>
        <w:rPr>
          <w:spacing w:val="-7"/>
        </w:rPr>
        <w:t>分，成绩优于全球 </w:t>
      </w:r>
      <w:r>
        <w:rPr>
          <w:rFonts w:ascii="Times New Roman" w:eastAsia="Times New Roman"/>
        </w:rPr>
        <w:t>92%</w:t>
      </w:r>
      <w:r>
        <w:rPr/>
        <w:t>同业；</w:t>
      </w:r>
      <w:r>
        <w:rPr>
          <w:rFonts w:ascii="Times New Roman" w:eastAsia="Times New Roman"/>
        </w:rPr>
        <w:t>CDP</w:t>
      </w:r>
      <w:r>
        <w:rPr>
          <w:rFonts w:ascii="Times New Roman" w:eastAsia="Times New Roman"/>
          <w:spacing w:val="-12"/>
        </w:rPr>
        <w:t> </w:t>
      </w:r>
      <w:r>
        <w:rPr/>
        <w:t>碳披露上首次</w:t>
      </w:r>
      <w:r>
        <w:rPr>
          <w:spacing w:val="-9"/>
        </w:rPr>
        <w:t>参评也获得了 </w:t>
      </w:r>
      <w:r>
        <w:rPr>
          <w:rFonts w:ascii="Times New Roman" w:eastAsia="Times New Roman"/>
        </w:rPr>
        <w:t>B</w:t>
      </w:r>
      <w:r>
        <w:rPr>
          <w:rFonts w:ascii="Times New Roman" w:eastAsia="Times New Roman"/>
          <w:spacing w:val="-4"/>
        </w:rPr>
        <w:t> </w:t>
      </w:r>
      <w:r>
        <w:rPr>
          <w:spacing w:val="-4"/>
        </w:rPr>
        <w:t>级的成绩。国内评级上，公司自 </w:t>
      </w:r>
      <w:r>
        <w:rPr>
          <w:rFonts w:ascii="Times New Roman" w:eastAsia="Times New Roman"/>
        </w:rPr>
        <w:t>2019</w:t>
      </w:r>
      <w:r>
        <w:rPr>
          <w:rFonts w:ascii="Times New Roman" w:eastAsia="Times New Roman"/>
          <w:spacing w:val="-5"/>
        </w:rPr>
        <w:t> </w:t>
      </w:r>
      <w:r>
        <w:rPr>
          <w:spacing w:val="-9"/>
        </w:rPr>
        <w:t>年起在恒生 </w:t>
      </w:r>
      <w:r>
        <w:rPr>
          <w:rFonts w:ascii="Times New Roman" w:eastAsia="Times New Roman"/>
        </w:rPr>
        <w:t>ESG</w:t>
      </w:r>
      <w:r>
        <w:rPr>
          <w:rFonts w:ascii="Times New Roman" w:eastAsia="Times New Roman"/>
          <w:spacing w:val="-6"/>
        </w:rPr>
        <w:t> </w:t>
      </w:r>
      <w:r>
        <w:rPr>
          <w:spacing w:val="-6"/>
        </w:rPr>
        <w:t>评级上获得连续 </w:t>
      </w:r>
      <w:r>
        <w:rPr>
          <w:rFonts w:ascii="Times New Roman" w:eastAsia="Times New Roman"/>
        </w:rPr>
        <w:t>4</w:t>
      </w:r>
      <w:r>
        <w:rPr>
          <w:rFonts w:ascii="Times New Roman" w:eastAsia="Times New Roman"/>
          <w:spacing w:val="-7"/>
        </w:rPr>
        <w:t> </w:t>
      </w:r>
      <w:r>
        <w:rPr/>
        <w:t>年保持</w:t>
      </w:r>
      <w:r>
        <w:rPr>
          <w:rFonts w:ascii="Times New Roman" w:eastAsia="Times New Roman"/>
        </w:rPr>
        <w:t>A</w:t>
      </w:r>
      <w:r>
        <w:rPr>
          <w:rFonts w:ascii="Times New Roman" w:eastAsia="Times New Roman"/>
          <w:spacing w:val="35"/>
        </w:rPr>
        <w:t> </w:t>
      </w:r>
      <w:r>
        <w:rPr/>
        <w:t>级</w:t>
      </w:r>
      <w:r>
        <w:rPr>
          <w:rFonts w:ascii="Times New Roman" w:eastAsia="Times New Roman"/>
        </w:rPr>
        <w:t>(</w:t>
      </w:r>
      <w:r>
        <w:rPr/>
        <w:t>满意</w:t>
      </w:r>
      <w:r>
        <w:rPr>
          <w:rFonts w:ascii="Times New Roman" w:eastAsia="Times New Roman"/>
        </w:rPr>
        <w:t>)</w:t>
      </w:r>
      <w:r>
        <w:rPr/>
        <w:t>、稳居同业前 </w:t>
      </w:r>
      <w:r>
        <w:rPr>
          <w:rFonts w:ascii="Times New Roman" w:eastAsia="Times New Roman"/>
        </w:rPr>
        <w:t>10%</w:t>
      </w:r>
      <w:r>
        <w:rPr/>
        <w:t>的成绩，并获连续纳入 </w:t>
      </w:r>
      <w:r>
        <w:rPr>
          <w:rFonts w:ascii="Times New Roman" w:eastAsia="Times New Roman"/>
        </w:rPr>
        <w:t>3</w:t>
      </w:r>
      <w:r>
        <w:rPr>
          <w:rFonts w:ascii="Times New Roman" w:eastAsia="Times New Roman"/>
          <w:spacing w:val="35"/>
        </w:rPr>
        <w:t> </w:t>
      </w:r>
      <w:r>
        <w:rPr/>
        <w:t>项可持续发展企业指数；</w:t>
      </w:r>
      <w:r>
        <w:rPr>
          <w:rFonts w:ascii="Times New Roman" w:eastAsia="Times New Roman"/>
        </w:rPr>
        <w:t>2022</w:t>
      </w:r>
      <w:r>
        <w:rPr>
          <w:rFonts w:ascii="Times New Roman" w:eastAsia="Times New Roman"/>
          <w:spacing w:val="35"/>
        </w:rPr>
        <w:t> </w:t>
      </w:r>
      <w:r>
        <w:rPr/>
        <w:t>年在中证</w:t>
      </w:r>
      <w:r>
        <w:rPr>
          <w:rFonts w:ascii="Times New Roman" w:eastAsia="Times New Roman"/>
        </w:rPr>
        <w:t>ESG</w:t>
      </w:r>
      <w:r>
        <w:rPr>
          <w:rFonts w:ascii="Times New Roman" w:eastAsia="Times New Roman"/>
          <w:spacing w:val="-8"/>
        </w:rPr>
        <w:t> </w:t>
      </w:r>
      <w:r>
        <w:rPr>
          <w:spacing w:val="10"/>
        </w:rPr>
        <w:t>评级中获评</w:t>
      </w:r>
      <w:r>
        <w:rPr>
          <w:rFonts w:ascii="Times New Roman" w:eastAsia="Times New Roman"/>
        </w:rPr>
        <w:t>A</w:t>
      </w:r>
      <w:r>
        <w:rPr>
          <w:rFonts w:ascii="Times New Roman" w:eastAsia="Times New Roman"/>
          <w:spacing w:val="-10"/>
        </w:rPr>
        <w:t> </w:t>
      </w:r>
      <w:r>
        <w:rPr>
          <w:spacing w:val="-5"/>
        </w:rPr>
        <w:t>级，为同行业排名前 </w:t>
      </w:r>
      <w:r>
        <w:rPr>
          <w:rFonts w:ascii="Times New Roman" w:eastAsia="Times New Roman"/>
        </w:rPr>
        <w:t>12%</w:t>
      </w:r>
      <w:r>
        <w:rPr>
          <w:spacing w:val="8"/>
        </w:rPr>
        <w:t>，在润灵环球</w:t>
      </w:r>
      <w:r>
        <w:rPr>
          <w:rFonts w:ascii="Times New Roman" w:eastAsia="Times New Roman"/>
        </w:rPr>
        <w:t>ESG</w:t>
      </w:r>
      <w:r>
        <w:rPr>
          <w:rFonts w:ascii="Times New Roman" w:eastAsia="Times New Roman"/>
          <w:spacing w:val="-9"/>
        </w:rPr>
        <w:t> </w:t>
      </w:r>
      <w:r>
        <w:rPr>
          <w:spacing w:val="10"/>
        </w:rPr>
        <w:t>评级中获评</w:t>
      </w:r>
      <w:r>
        <w:rPr>
          <w:rFonts w:ascii="Times New Roman" w:eastAsia="Times New Roman"/>
        </w:rPr>
        <w:t>A</w:t>
      </w:r>
      <w:r>
        <w:rPr>
          <w:rFonts w:ascii="Times New Roman" w:eastAsia="Times New Roman"/>
          <w:spacing w:val="-9"/>
        </w:rPr>
        <w:t> </w:t>
      </w:r>
      <w:r>
        <w:rPr>
          <w:spacing w:val="16"/>
        </w:rPr>
        <w:t>级，在</w:t>
      </w:r>
      <w:r>
        <w:rPr>
          <w:rFonts w:ascii="Times New Roman" w:eastAsia="Times New Roman"/>
        </w:rPr>
        <w:t>A</w:t>
      </w:r>
      <w:r>
        <w:rPr>
          <w:rFonts w:ascii="Times New Roman" w:eastAsia="Times New Roman"/>
          <w:spacing w:val="-10"/>
        </w:rPr>
        <w:t> </w:t>
      </w:r>
      <w:r>
        <w:rPr/>
        <w:t>股上市公</w:t>
      </w:r>
      <w:r>
        <w:rPr>
          <w:spacing w:val="-7"/>
        </w:rPr>
        <w:t>司中排名前 </w:t>
      </w:r>
      <w:r>
        <w:rPr>
          <w:rFonts w:ascii="Times New Roman" w:eastAsia="Times New Roman"/>
          <w:spacing w:val="-1"/>
        </w:rPr>
        <w:t>1.7%</w:t>
      </w:r>
      <w:r>
        <w:rPr>
          <w:spacing w:val="-7"/>
        </w:rPr>
        <w:t>。公司也于 </w:t>
      </w:r>
      <w:r>
        <w:rPr>
          <w:rFonts w:ascii="Times New Roman" w:eastAsia="Times New Roman"/>
          <w:spacing w:val="-1"/>
        </w:rPr>
        <w:t>2022</w:t>
      </w:r>
      <w:r>
        <w:rPr>
          <w:rFonts w:ascii="Times New Roman" w:eastAsia="Times New Roman"/>
          <w:spacing w:val="1"/>
        </w:rPr>
        <w:t> </w:t>
      </w:r>
      <w:r>
        <w:rPr>
          <w:spacing w:val="-4"/>
        </w:rPr>
        <w:t>年正式加入了中国 </w:t>
      </w:r>
      <w:r>
        <w:rPr>
          <w:rFonts w:ascii="Times New Roman" w:eastAsia="Times New Roman"/>
        </w:rPr>
        <w:t>ESG</w:t>
      </w:r>
      <w:r>
        <w:rPr>
          <w:rFonts w:ascii="Times New Roman" w:eastAsia="Times New Roman"/>
          <w:spacing w:val="3"/>
        </w:rPr>
        <w:t> </w:t>
      </w:r>
      <w:r>
        <w:rPr>
          <w:spacing w:val="-3"/>
        </w:rPr>
        <w:t>领导者组织并成为组织第 </w:t>
      </w:r>
      <w:r>
        <w:rPr>
          <w:rFonts w:ascii="Times New Roman" w:eastAsia="Times New Roman"/>
        </w:rPr>
        <w:t>38</w:t>
      </w:r>
      <w:r>
        <w:rPr>
          <w:rFonts w:ascii="Times New Roman" w:eastAsia="Times New Roman"/>
          <w:spacing w:val="2"/>
        </w:rPr>
        <w:t> </w:t>
      </w:r>
      <w:r>
        <w:rPr/>
        <w:t>名成员，</w:t>
      </w:r>
      <w:r>
        <w:rPr>
          <w:spacing w:val="-102"/>
        </w:rPr>
        <w:t> </w:t>
      </w:r>
      <w:r>
        <w:rPr>
          <w:spacing w:val="-4"/>
        </w:rPr>
        <w:t>未来工业富联将同中国 </w:t>
      </w:r>
      <w:r>
        <w:rPr>
          <w:rFonts w:ascii="Times New Roman" w:eastAsia="Times New Roman"/>
        </w:rPr>
        <w:t>ESG</w:t>
      </w:r>
      <w:r>
        <w:rPr>
          <w:rFonts w:ascii="Times New Roman" w:eastAsia="Times New Roman"/>
          <w:spacing w:val="8"/>
        </w:rPr>
        <w:t> </w:t>
      </w:r>
      <w:r>
        <w:rPr>
          <w:spacing w:val="-2"/>
        </w:rPr>
        <w:t>领导组织一起，充分发挥企业力量，积极领导行业 </w:t>
      </w:r>
      <w:r>
        <w:rPr>
          <w:rFonts w:ascii="Times New Roman" w:eastAsia="Times New Roman"/>
        </w:rPr>
        <w:t>ESG</w:t>
      </w:r>
      <w:r>
        <w:rPr>
          <w:rFonts w:ascii="Times New Roman" w:eastAsia="Times New Roman"/>
          <w:spacing w:val="6"/>
        </w:rPr>
        <w:t> </w:t>
      </w:r>
      <w:r>
        <w:rPr/>
        <w:t>行动最佳实践，助力实现中国经济的可持续发展目标。</w:t>
      </w:r>
    </w:p>
    <w:p>
      <w:pPr>
        <w:pStyle w:val="BodyText"/>
        <w:spacing w:line="265" w:lineRule="exact"/>
        <w:ind w:left="1578"/>
      </w:pPr>
      <w:r>
        <w:rPr>
          <w:spacing w:val="-1"/>
        </w:rPr>
        <w:t>凭借在雇佣、环境和社会责任等领域的表现，公司也获得了多项殊荣，具体包括：</w:t>
      </w:r>
    </w:p>
    <w:p>
      <w:pPr>
        <w:spacing w:after="0" w:line="265" w:lineRule="exact"/>
        <w:sectPr>
          <w:pgSz w:w="11910" w:h="16840"/>
          <w:pgMar w:header="877" w:footer="1187" w:top="1440" w:bottom="1380" w:left="640" w:right="740"/>
        </w:sectPr>
      </w:pPr>
    </w:p>
    <w:p>
      <w:pPr>
        <w:pStyle w:val="BodyText"/>
        <w:spacing w:before="2"/>
        <w:ind w:left="0"/>
        <w:rPr>
          <w:sz w:val="5"/>
        </w:rPr>
      </w:pPr>
    </w:p>
    <w:tbl>
      <w:tblPr>
        <w:tblW w:w="0" w:type="auto"/>
        <w:jc w:val="left"/>
        <w:tblInd w:w="1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0"/>
        <w:gridCol w:w="4678"/>
        <w:gridCol w:w="1315"/>
      </w:tblGrid>
      <w:tr>
        <w:trPr>
          <w:trHeight w:val="331" w:hRule="atLeast"/>
        </w:trPr>
        <w:tc>
          <w:tcPr>
            <w:tcW w:w="2830" w:type="dxa"/>
          </w:tcPr>
          <w:p>
            <w:pPr>
              <w:pStyle w:val="TableParagraph"/>
              <w:spacing w:before="32"/>
              <w:ind w:left="107"/>
              <w:rPr>
                <w:sz w:val="21"/>
              </w:rPr>
            </w:pPr>
            <w:r>
              <w:rPr>
                <w:sz w:val="21"/>
              </w:rPr>
              <w:t>授予单位</w:t>
            </w:r>
          </w:p>
        </w:tc>
        <w:tc>
          <w:tcPr>
            <w:tcW w:w="4678" w:type="dxa"/>
          </w:tcPr>
          <w:p>
            <w:pPr>
              <w:pStyle w:val="TableParagraph"/>
              <w:spacing w:before="32"/>
              <w:ind w:left="107"/>
              <w:rPr>
                <w:sz w:val="21"/>
              </w:rPr>
            </w:pPr>
            <w:r>
              <w:rPr>
                <w:sz w:val="21"/>
              </w:rPr>
              <w:t>奖项名称</w:t>
            </w:r>
          </w:p>
        </w:tc>
        <w:tc>
          <w:tcPr>
            <w:tcW w:w="1315" w:type="dxa"/>
          </w:tcPr>
          <w:p>
            <w:pPr>
              <w:pStyle w:val="TableParagraph"/>
              <w:spacing w:before="32"/>
              <w:ind w:left="108"/>
              <w:rPr>
                <w:sz w:val="21"/>
              </w:rPr>
            </w:pPr>
            <w:r>
              <w:rPr>
                <w:sz w:val="21"/>
              </w:rPr>
              <w:t>受奖主体</w:t>
            </w:r>
          </w:p>
        </w:tc>
      </w:tr>
      <w:tr>
        <w:trPr>
          <w:trHeight w:val="659" w:hRule="atLeast"/>
        </w:trPr>
        <w:tc>
          <w:tcPr>
            <w:tcW w:w="2830" w:type="dxa"/>
          </w:tcPr>
          <w:p>
            <w:pPr>
              <w:pStyle w:val="TableParagraph"/>
              <w:spacing w:line="244" w:lineRule="auto" w:before="58"/>
              <w:ind w:left="107" w:right="94"/>
              <w:rPr>
                <w:sz w:val="21"/>
              </w:rPr>
            </w:pPr>
            <w:r>
              <w:rPr>
                <w:sz w:val="21"/>
              </w:rPr>
              <w:t>新财富、光华</w:t>
            </w:r>
            <w:r>
              <w:rPr>
                <w:rFonts w:ascii="Times New Roman" w:eastAsia="Times New Roman"/>
                <w:sz w:val="21"/>
              </w:rPr>
              <w:t>-</w:t>
            </w:r>
            <w:r>
              <w:rPr>
                <w:sz w:val="21"/>
              </w:rPr>
              <w:t>罗特曼信息和资本市场研究中心</w:t>
            </w:r>
          </w:p>
        </w:tc>
        <w:tc>
          <w:tcPr>
            <w:tcW w:w="4678" w:type="dxa"/>
          </w:tcPr>
          <w:p>
            <w:pPr>
              <w:pStyle w:val="TableParagraph"/>
              <w:spacing w:before="195"/>
              <w:ind w:left="107"/>
              <w:rPr>
                <w:sz w:val="21"/>
              </w:rPr>
            </w:pPr>
            <w:r>
              <w:rPr>
                <w:spacing w:val="-5"/>
                <w:sz w:val="21"/>
              </w:rPr>
              <w:t>第四届新财富最佳上市公司 </w:t>
            </w:r>
            <w:r>
              <w:rPr>
                <w:rFonts w:ascii="Times New Roman" w:eastAsia="Times New Roman"/>
                <w:spacing w:val="-2"/>
                <w:sz w:val="21"/>
              </w:rPr>
              <w:t>- </w:t>
            </w:r>
            <w:r>
              <w:rPr>
                <w:spacing w:val="-18"/>
                <w:sz w:val="21"/>
              </w:rPr>
              <w:t>最佳 </w:t>
            </w:r>
            <w:r>
              <w:rPr>
                <w:rFonts w:ascii="Times New Roman" w:eastAsia="Times New Roman"/>
                <w:sz w:val="21"/>
              </w:rPr>
              <w:t>ESG</w:t>
            </w:r>
            <w:r>
              <w:rPr>
                <w:rFonts w:ascii="Times New Roman" w:eastAsia="Times New Roman"/>
                <w:spacing w:val="-9"/>
                <w:sz w:val="21"/>
              </w:rPr>
              <w:t> </w:t>
            </w:r>
            <w:r>
              <w:rPr>
                <w:sz w:val="21"/>
              </w:rPr>
              <w:t>实践奖</w:t>
            </w:r>
          </w:p>
        </w:tc>
        <w:tc>
          <w:tcPr>
            <w:tcW w:w="1315" w:type="dxa"/>
          </w:tcPr>
          <w:p>
            <w:pPr>
              <w:pStyle w:val="TableParagraph"/>
              <w:spacing w:before="3"/>
              <w:rPr>
                <w:sz w:val="15"/>
              </w:rPr>
            </w:pPr>
          </w:p>
          <w:p>
            <w:pPr>
              <w:pStyle w:val="TableParagraph"/>
              <w:ind w:left="108"/>
              <w:rPr>
                <w:sz w:val="21"/>
              </w:rPr>
            </w:pPr>
            <w:r>
              <w:rPr>
                <w:sz w:val="21"/>
              </w:rPr>
              <w:t>工业富联</w:t>
            </w:r>
          </w:p>
        </w:tc>
      </w:tr>
      <w:tr>
        <w:trPr>
          <w:trHeight w:val="330" w:hRule="atLeast"/>
        </w:trPr>
        <w:tc>
          <w:tcPr>
            <w:tcW w:w="2830" w:type="dxa"/>
          </w:tcPr>
          <w:p>
            <w:pPr>
              <w:pStyle w:val="TableParagraph"/>
              <w:spacing w:before="29"/>
              <w:ind w:left="107"/>
              <w:rPr>
                <w:sz w:val="21"/>
              </w:rPr>
            </w:pPr>
            <w:r>
              <w:rPr>
                <w:sz w:val="21"/>
              </w:rPr>
              <w:t>财联社</w:t>
            </w:r>
          </w:p>
        </w:tc>
        <w:tc>
          <w:tcPr>
            <w:tcW w:w="4678" w:type="dxa"/>
          </w:tcPr>
          <w:p>
            <w:pPr>
              <w:pStyle w:val="TableParagraph"/>
              <w:spacing w:before="29"/>
              <w:ind w:left="107"/>
              <w:rPr>
                <w:sz w:val="21"/>
              </w:rPr>
            </w:pPr>
            <w:r>
              <w:rPr>
                <w:rFonts w:ascii="Times New Roman" w:eastAsia="Times New Roman"/>
                <w:sz w:val="21"/>
              </w:rPr>
              <w:t>2022</w:t>
            </w:r>
            <w:r>
              <w:rPr>
                <w:rFonts w:ascii="Times New Roman" w:eastAsia="Times New Roman"/>
                <w:spacing w:val="-11"/>
                <w:sz w:val="21"/>
              </w:rPr>
              <w:t> </w:t>
            </w:r>
            <w:r>
              <w:rPr>
                <w:spacing w:val="8"/>
                <w:sz w:val="21"/>
              </w:rPr>
              <w:t>财联社致远奖</w:t>
            </w:r>
            <w:r>
              <w:rPr>
                <w:rFonts w:ascii="Times New Roman" w:eastAsia="Times New Roman"/>
                <w:spacing w:val="-1"/>
                <w:sz w:val="21"/>
              </w:rPr>
              <w:t>- </w:t>
            </w:r>
            <w:r>
              <w:rPr>
                <w:rFonts w:ascii="Times New Roman" w:eastAsia="Times New Roman"/>
                <w:sz w:val="21"/>
              </w:rPr>
              <w:t>ESG</w:t>
            </w:r>
            <w:r>
              <w:rPr>
                <w:rFonts w:ascii="Times New Roman" w:eastAsia="Times New Roman"/>
                <w:spacing w:val="-9"/>
                <w:sz w:val="21"/>
              </w:rPr>
              <w:t> </w:t>
            </w:r>
            <w:r>
              <w:rPr>
                <w:sz w:val="21"/>
              </w:rPr>
              <w:t>先锋奖</w:t>
            </w:r>
          </w:p>
        </w:tc>
        <w:tc>
          <w:tcPr>
            <w:tcW w:w="1315" w:type="dxa"/>
          </w:tcPr>
          <w:p>
            <w:pPr>
              <w:pStyle w:val="TableParagraph"/>
              <w:spacing w:before="29"/>
              <w:ind w:left="108"/>
              <w:rPr>
                <w:sz w:val="21"/>
              </w:rPr>
            </w:pPr>
            <w:r>
              <w:rPr>
                <w:sz w:val="21"/>
              </w:rPr>
              <w:t>工业富联</w:t>
            </w:r>
          </w:p>
        </w:tc>
      </w:tr>
      <w:tr>
        <w:trPr>
          <w:trHeight w:val="330" w:hRule="atLeast"/>
        </w:trPr>
        <w:tc>
          <w:tcPr>
            <w:tcW w:w="2830" w:type="dxa"/>
          </w:tcPr>
          <w:p>
            <w:pPr>
              <w:pStyle w:val="TableParagraph"/>
              <w:spacing w:before="30"/>
              <w:ind w:left="107"/>
              <w:rPr>
                <w:sz w:val="21"/>
              </w:rPr>
            </w:pPr>
            <w:r>
              <w:rPr>
                <w:sz w:val="21"/>
              </w:rPr>
              <w:t>金融界</w:t>
            </w:r>
          </w:p>
        </w:tc>
        <w:tc>
          <w:tcPr>
            <w:tcW w:w="4678" w:type="dxa"/>
          </w:tcPr>
          <w:p>
            <w:pPr>
              <w:pStyle w:val="TableParagraph"/>
              <w:spacing w:before="30"/>
              <w:ind w:left="107"/>
              <w:rPr>
                <w:sz w:val="21"/>
              </w:rPr>
            </w:pPr>
            <w:r>
              <w:rPr>
                <w:rFonts w:ascii="Times New Roman" w:eastAsia="Times New Roman"/>
                <w:sz w:val="21"/>
              </w:rPr>
              <w:t>2022</w:t>
            </w:r>
            <w:r>
              <w:rPr>
                <w:rFonts w:ascii="Times New Roman" w:eastAsia="Times New Roman"/>
                <w:spacing w:val="-12"/>
                <w:sz w:val="21"/>
              </w:rPr>
              <w:t> </w:t>
            </w:r>
            <w:r>
              <w:rPr>
                <w:spacing w:val="-7"/>
                <w:sz w:val="21"/>
              </w:rPr>
              <w:t>领航中国金智奖 </w:t>
            </w:r>
            <w:r>
              <w:rPr>
                <w:rFonts w:ascii="Times New Roman" w:eastAsia="Times New Roman"/>
                <w:spacing w:val="-1"/>
                <w:sz w:val="21"/>
              </w:rPr>
              <w:t>- </w:t>
            </w:r>
            <w:r>
              <w:rPr>
                <w:rFonts w:ascii="Times New Roman" w:eastAsia="Times New Roman"/>
                <w:sz w:val="21"/>
              </w:rPr>
              <w:t>ESG</w:t>
            </w:r>
            <w:r>
              <w:rPr>
                <w:rFonts w:ascii="Times New Roman" w:eastAsia="Times New Roman"/>
                <w:spacing w:val="-11"/>
                <w:sz w:val="21"/>
              </w:rPr>
              <w:t> </w:t>
            </w:r>
            <w:r>
              <w:rPr>
                <w:sz w:val="21"/>
              </w:rPr>
              <w:t>践行卓越典范奖</w:t>
            </w:r>
          </w:p>
        </w:tc>
        <w:tc>
          <w:tcPr>
            <w:tcW w:w="1315" w:type="dxa"/>
          </w:tcPr>
          <w:p>
            <w:pPr>
              <w:pStyle w:val="TableParagraph"/>
              <w:spacing w:before="30"/>
              <w:ind w:left="108"/>
              <w:rPr>
                <w:sz w:val="21"/>
              </w:rPr>
            </w:pPr>
            <w:r>
              <w:rPr>
                <w:sz w:val="21"/>
              </w:rPr>
              <w:t>工业富联</w:t>
            </w:r>
          </w:p>
        </w:tc>
      </w:tr>
      <w:tr>
        <w:trPr>
          <w:trHeight w:val="328" w:hRule="atLeast"/>
        </w:trPr>
        <w:tc>
          <w:tcPr>
            <w:tcW w:w="2830" w:type="dxa"/>
          </w:tcPr>
          <w:p>
            <w:pPr>
              <w:pStyle w:val="TableParagraph"/>
              <w:spacing w:before="30"/>
              <w:ind w:left="107"/>
              <w:rPr>
                <w:sz w:val="21"/>
              </w:rPr>
            </w:pPr>
            <w:r>
              <w:rPr>
                <w:sz w:val="21"/>
              </w:rPr>
              <w:t>第十二届公益节</w:t>
            </w:r>
          </w:p>
        </w:tc>
        <w:tc>
          <w:tcPr>
            <w:tcW w:w="4678" w:type="dxa"/>
          </w:tcPr>
          <w:p>
            <w:pPr>
              <w:pStyle w:val="TableParagraph"/>
              <w:spacing w:before="30"/>
              <w:ind w:left="107"/>
              <w:rPr>
                <w:sz w:val="21"/>
              </w:rPr>
            </w:pPr>
            <w:r>
              <w:rPr>
                <w:rFonts w:ascii="Times New Roman" w:eastAsia="Times New Roman"/>
                <w:sz w:val="21"/>
              </w:rPr>
              <w:t>2022</w:t>
            </w:r>
            <w:r>
              <w:rPr>
                <w:rFonts w:ascii="Times New Roman" w:eastAsia="Times New Roman"/>
                <w:spacing w:val="-12"/>
                <w:sz w:val="21"/>
              </w:rPr>
              <w:t> </w:t>
            </w:r>
            <w:r>
              <w:rPr>
                <w:spacing w:val="-18"/>
                <w:sz w:val="21"/>
              </w:rPr>
              <w:t>年度 </w:t>
            </w:r>
            <w:r>
              <w:rPr>
                <w:rFonts w:ascii="Times New Roman" w:eastAsia="Times New Roman"/>
                <w:sz w:val="21"/>
              </w:rPr>
              <w:t>ESG</w:t>
            </w:r>
            <w:r>
              <w:rPr>
                <w:rFonts w:ascii="Times New Roman" w:eastAsia="Times New Roman"/>
                <w:spacing w:val="-10"/>
                <w:sz w:val="21"/>
              </w:rPr>
              <w:t> </w:t>
            </w:r>
            <w:r>
              <w:rPr>
                <w:sz w:val="21"/>
              </w:rPr>
              <w:t>践行典范奖</w:t>
            </w:r>
          </w:p>
        </w:tc>
        <w:tc>
          <w:tcPr>
            <w:tcW w:w="1315" w:type="dxa"/>
          </w:tcPr>
          <w:p>
            <w:pPr>
              <w:pStyle w:val="TableParagraph"/>
              <w:spacing w:before="30"/>
              <w:ind w:left="108"/>
              <w:rPr>
                <w:sz w:val="21"/>
              </w:rPr>
            </w:pPr>
            <w:r>
              <w:rPr>
                <w:sz w:val="21"/>
              </w:rPr>
              <w:t>工业富联</w:t>
            </w:r>
          </w:p>
        </w:tc>
      </w:tr>
      <w:tr>
        <w:trPr>
          <w:trHeight w:val="659" w:hRule="atLeast"/>
        </w:trPr>
        <w:tc>
          <w:tcPr>
            <w:tcW w:w="2830" w:type="dxa"/>
          </w:tcPr>
          <w:p>
            <w:pPr>
              <w:pStyle w:val="TableParagraph"/>
              <w:spacing w:line="244" w:lineRule="auto" w:before="58"/>
              <w:ind w:left="107" w:right="96"/>
              <w:rPr>
                <w:sz w:val="21"/>
              </w:rPr>
            </w:pPr>
            <w:r>
              <w:rPr>
                <w:sz w:val="21"/>
              </w:rPr>
              <w:t>思维财经、投资者网、中制智库</w:t>
            </w:r>
          </w:p>
        </w:tc>
        <w:tc>
          <w:tcPr>
            <w:tcW w:w="4678" w:type="dxa"/>
          </w:tcPr>
          <w:p>
            <w:pPr>
              <w:pStyle w:val="TableParagraph"/>
              <w:spacing w:before="195"/>
              <w:ind w:left="107"/>
              <w:rPr>
                <w:sz w:val="21"/>
              </w:rPr>
            </w:pPr>
            <w:r>
              <w:rPr>
                <w:rFonts w:ascii="Times New Roman" w:eastAsia="Times New Roman"/>
                <w:sz w:val="21"/>
              </w:rPr>
              <w:t>2022</w:t>
            </w:r>
            <w:r>
              <w:rPr>
                <w:rFonts w:ascii="Times New Roman" w:eastAsia="Times New Roman"/>
                <w:spacing w:val="-11"/>
                <w:sz w:val="21"/>
              </w:rPr>
              <w:t> </w:t>
            </w:r>
            <w:r>
              <w:rPr>
                <w:spacing w:val="7"/>
                <w:sz w:val="21"/>
              </w:rPr>
              <w:t>金桥奖年度杰出</w:t>
            </w:r>
            <w:r>
              <w:rPr>
                <w:rFonts w:ascii="Times New Roman" w:eastAsia="Times New Roman"/>
                <w:sz w:val="21"/>
              </w:rPr>
              <w:t>ESG</w:t>
            </w:r>
            <w:r>
              <w:rPr>
                <w:rFonts w:ascii="Times New Roman" w:eastAsia="Times New Roman"/>
                <w:spacing w:val="-10"/>
                <w:sz w:val="21"/>
              </w:rPr>
              <w:t> </w:t>
            </w:r>
            <w:r>
              <w:rPr>
                <w:sz w:val="21"/>
              </w:rPr>
              <w:t>实践企业</w:t>
            </w:r>
          </w:p>
        </w:tc>
        <w:tc>
          <w:tcPr>
            <w:tcW w:w="1315" w:type="dxa"/>
          </w:tcPr>
          <w:p>
            <w:pPr>
              <w:pStyle w:val="TableParagraph"/>
              <w:spacing w:before="3"/>
              <w:rPr>
                <w:sz w:val="15"/>
              </w:rPr>
            </w:pPr>
          </w:p>
          <w:p>
            <w:pPr>
              <w:pStyle w:val="TableParagraph"/>
              <w:ind w:left="108"/>
              <w:rPr>
                <w:sz w:val="21"/>
              </w:rPr>
            </w:pPr>
            <w:r>
              <w:rPr>
                <w:sz w:val="21"/>
              </w:rPr>
              <w:t>工业富联</w:t>
            </w:r>
          </w:p>
        </w:tc>
      </w:tr>
      <w:tr>
        <w:trPr>
          <w:trHeight w:val="1634" w:hRule="atLeast"/>
        </w:trPr>
        <w:tc>
          <w:tcPr>
            <w:tcW w:w="2830" w:type="dxa"/>
          </w:tcPr>
          <w:p>
            <w:pPr>
              <w:pStyle w:val="TableParagraph"/>
              <w:spacing w:line="242" w:lineRule="auto" w:before="3"/>
              <w:ind w:left="107" w:right="96"/>
              <w:jc w:val="both"/>
              <w:rPr>
                <w:sz w:val="21"/>
              </w:rPr>
            </w:pPr>
            <w:r>
              <w:rPr>
                <w:sz w:val="21"/>
              </w:rPr>
              <w:t>北京理工大学共同富裕与人力资源开发研究中心、中国企业慈善公益论坛组委会、</w:t>
            </w:r>
            <w:r>
              <w:rPr>
                <w:spacing w:val="25"/>
                <w:sz w:val="21"/>
              </w:rPr>
              <w:t>中共重庆市涪陵市人民政府、《企业家》杂志社、</w:t>
            </w:r>
          </w:p>
          <w:p>
            <w:pPr>
              <w:pStyle w:val="TableParagraph"/>
              <w:spacing w:line="250" w:lineRule="exact" w:before="3"/>
              <w:ind w:left="107"/>
              <w:rPr>
                <w:sz w:val="21"/>
              </w:rPr>
            </w:pPr>
            <w:r>
              <w:rPr>
                <w:sz w:val="21"/>
              </w:rPr>
              <w:t>《环球慈善》杂志社</w:t>
            </w:r>
          </w:p>
        </w:tc>
        <w:tc>
          <w:tcPr>
            <w:tcW w:w="4678" w:type="dxa"/>
          </w:tcPr>
          <w:p>
            <w:pPr>
              <w:pStyle w:val="TableParagraph"/>
              <w:spacing w:before="5"/>
              <w:rPr>
                <w:sz w:val="21"/>
              </w:rPr>
            </w:pPr>
          </w:p>
          <w:p>
            <w:pPr>
              <w:pStyle w:val="TableParagraph"/>
              <w:ind w:left="107"/>
              <w:rPr>
                <w:sz w:val="21"/>
              </w:rPr>
            </w:pPr>
            <w:r>
              <w:rPr>
                <w:rFonts w:ascii="Times New Roman" w:eastAsia="Times New Roman"/>
                <w:spacing w:val="-1"/>
                <w:sz w:val="21"/>
              </w:rPr>
              <w:t>2022</w:t>
            </w:r>
            <w:r>
              <w:rPr>
                <w:rFonts w:ascii="Times New Roman" w:eastAsia="Times New Roman"/>
                <w:spacing w:val="-12"/>
                <w:sz w:val="21"/>
              </w:rPr>
              <w:t> </w:t>
            </w:r>
            <w:r>
              <w:rPr>
                <w:spacing w:val="-6"/>
                <w:sz w:val="21"/>
              </w:rPr>
              <w:t>中国企业慈善公益 </w:t>
            </w:r>
            <w:r>
              <w:rPr>
                <w:rFonts w:ascii="Times New Roman" w:eastAsia="Times New Roman"/>
                <w:sz w:val="21"/>
              </w:rPr>
              <w:t>500</w:t>
            </w:r>
            <w:r>
              <w:rPr>
                <w:rFonts w:ascii="Times New Roman" w:eastAsia="Times New Roman"/>
                <w:spacing w:val="-9"/>
                <w:sz w:val="21"/>
              </w:rPr>
              <w:t> </w:t>
            </w:r>
            <w:r>
              <w:rPr>
                <w:sz w:val="21"/>
              </w:rPr>
              <w:t>强</w:t>
            </w:r>
          </w:p>
          <w:p>
            <w:pPr>
              <w:pStyle w:val="TableParagraph"/>
              <w:spacing w:before="5"/>
              <w:ind w:left="107"/>
              <w:rPr>
                <w:sz w:val="21"/>
              </w:rPr>
            </w:pPr>
            <w:r>
              <w:rPr>
                <w:rFonts w:ascii="Times New Roman" w:eastAsia="Times New Roman"/>
                <w:sz w:val="21"/>
              </w:rPr>
              <w:t>2022</w:t>
            </w:r>
            <w:r>
              <w:rPr>
                <w:rFonts w:ascii="Times New Roman" w:eastAsia="Times New Roman"/>
                <w:spacing w:val="-12"/>
                <w:sz w:val="21"/>
              </w:rPr>
              <w:t> </w:t>
            </w:r>
            <w:r>
              <w:rPr>
                <w:spacing w:val="-5"/>
                <w:sz w:val="21"/>
              </w:rPr>
              <w:t>中国制造业企业慈善公益 </w:t>
            </w:r>
            <w:r>
              <w:rPr>
                <w:rFonts w:ascii="Times New Roman" w:eastAsia="Times New Roman"/>
                <w:sz w:val="21"/>
              </w:rPr>
              <w:t>500</w:t>
            </w:r>
            <w:r>
              <w:rPr>
                <w:rFonts w:ascii="Times New Roman" w:eastAsia="Times New Roman"/>
                <w:spacing w:val="-12"/>
                <w:sz w:val="21"/>
              </w:rPr>
              <w:t> </w:t>
            </w:r>
            <w:r>
              <w:rPr>
                <w:sz w:val="21"/>
              </w:rPr>
              <w:t>强</w:t>
            </w:r>
          </w:p>
          <w:p>
            <w:pPr>
              <w:pStyle w:val="TableParagraph"/>
              <w:spacing w:before="2"/>
              <w:ind w:left="107"/>
              <w:rPr>
                <w:sz w:val="21"/>
              </w:rPr>
            </w:pPr>
            <w:r>
              <w:rPr>
                <w:rFonts w:ascii="Times New Roman" w:eastAsia="Times New Roman"/>
                <w:spacing w:val="-1"/>
                <w:sz w:val="21"/>
              </w:rPr>
              <w:t>2022</w:t>
            </w:r>
            <w:r>
              <w:rPr>
                <w:rFonts w:ascii="Times New Roman" w:eastAsia="Times New Roman"/>
                <w:spacing w:val="-12"/>
                <w:sz w:val="21"/>
              </w:rPr>
              <w:t> </w:t>
            </w:r>
            <w:r>
              <w:rPr>
                <w:spacing w:val="-5"/>
                <w:sz w:val="21"/>
              </w:rPr>
              <w:t>中国民营企业慈善公益 </w:t>
            </w:r>
            <w:r>
              <w:rPr>
                <w:rFonts w:ascii="Times New Roman" w:eastAsia="Times New Roman"/>
                <w:sz w:val="21"/>
              </w:rPr>
              <w:t>500</w:t>
            </w:r>
            <w:r>
              <w:rPr>
                <w:rFonts w:ascii="Times New Roman" w:eastAsia="Times New Roman"/>
                <w:spacing w:val="-9"/>
                <w:sz w:val="21"/>
              </w:rPr>
              <w:t> </w:t>
            </w:r>
            <w:r>
              <w:rPr>
                <w:sz w:val="21"/>
              </w:rPr>
              <w:t>强</w:t>
            </w:r>
          </w:p>
          <w:p>
            <w:pPr>
              <w:pStyle w:val="TableParagraph"/>
              <w:spacing w:before="3"/>
              <w:ind w:left="107"/>
              <w:rPr>
                <w:sz w:val="21"/>
              </w:rPr>
            </w:pPr>
            <w:r>
              <w:rPr>
                <w:rFonts w:ascii="Times New Roman" w:eastAsia="Times New Roman"/>
                <w:spacing w:val="-1"/>
                <w:sz w:val="21"/>
              </w:rPr>
              <w:t>2022</w:t>
            </w:r>
            <w:r>
              <w:rPr>
                <w:rFonts w:ascii="Times New Roman" w:eastAsia="Times New Roman"/>
                <w:spacing w:val="-12"/>
                <w:sz w:val="21"/>
              </w:rPr>
              <w:t> </w:t>
            </w:r>
            <w:r>
              <w:rPr>
                <w:spacing w:val="-4"/>
                <w:sz w:val="21"/>
              </w:rPr>
              <w:t>中国制造业民营企业慈善公益 </w:t>
            </w:r>
            <w:r>
              <w:rPr>
                <w:rFonts w:ascii="Times New Roman" w:eastAsia="Times New Roman"/>
                <w:sz w:val="21"/>
              </w:rPr>
              <w:t>500</w:t>
            </w:r>
            <w:r>
              <w:rPr>
                <w:rFonts w:ascii="Times New Roman" w:eastAsia="Times New Roman"/>
                <w:spacing w:val="-11"/>
                <w:sz w:val="21"/>
              </w:rPr>
              <w:t> </w:t>
            </w:r>
            <w:r>
              <w:rPr>
                <w:sz w:val="21"/>
              </w:rPr>
              <w:t>强</w:t>
            </w:r>
          </w:p>
        </w:tc>
        <w:tc>
          <w:tcPr>
            <w:tcW w:w="1315" w:type="dxa"/>
          </w:tcPr>
          <w:p>
            <w:pPr>
              <w:pStyle w:val="TableParagraph"/>
              <w:rPr>
                <w:sz w:val="20"/>
              </w:rPr>
            </w:pPr>
          </w:p>
          <w:p>
            <w:pPr>
              <w:pStyle w:val="TableParagraph"/>
              <w:rPr>
                <w:sz w:val="20"/>
              </w:rPr>
            </w:pPr>
          </w:p>
          <w:p>
            <w:pPr>
              <w:pStyle w:val="TableParagraph"/>
              <w:spacing w:before="170"/>
              <w:ind w:left="108"/>
              <w:rPr>
                <w:sz w:val="21"/>
              </w:rPr>
            </w:pPr>
            <w:r>
              <w:rPr>
                <w:sz w:val="21"/>
              </w:rPr>
              <w:t>工业富联</w:t>
            </w:r>
          </w:p>
        </w:tc>
      </w:tr>
      <w:tr>
        <w:trPr>
          <w:trHeight w:val="662" w:hRule="atLeast"/>
        </w:trPr>
        <w:tc>
          <w:tcPr>
            <w:tcW w:w="2830" w:type="dxa"/>
          </w:tcPr>
          <w:p>
            <w:pPr>
              <w:pStyle w:val="TableParagraph"/>
              <w:spacing w:line="242" w:lineRule="auto" w:before="61"/>
              <w:ind w:left="107" w:right="96"/>
              <w:rPr>
                <w:sz w:val="21"/>
              </w:rPr>
            </w:pPr>
            <w:r>
              <w:rPr>
                <w:spacing w:val="25"/>
                <w:sz w:val="21"/>
              </w:rPr>
              <w:t>中国贸促会、中国国际商</w:t>
            </w:r>
            <w:r>
              <w:rPr>
                <w:sz w:val="21"/>
              </w:rPr>
              <w:t>会、</w:t>
            </w:r>
            <w:r>
              <w:rPr>
                <w:rFonts w:ascii="Times New Roman" w:eastAsia="Times New Roman"/>
                <w:sz w:val="21"/>
              </w:rPr>
              <w:t>APEC</w:t>
            </w:r>
            <w:r>
              <w:rPr>
                <w:rFonts w:ascii="Times New Roman" w:eastAsia="Times New Roman"/>
                <w:spacing w:val="-11"/>
                <w:sz w:val="21"/>
              </w:rPr>
              <w:t> </w:t>
            </w:r>
            <w:r>
              <w:rPr>
                <w:sz w:val="21"/>
              </w:rPr>
              <w:t>中国工商理事会</w:t>
            </w:r>
          </w:p>
        </w:tc>
        <w:tc>
          <w:tcPr>
            <w:tcW w:w="4678" w:type="dxa"/>
          </w:tcPr>
          <w:p>
            <w:pPr>
              <w:pStyle w:val="TableParagraph"/>
              <w:spacing w:before="195"/>
              <w:ind w:left="107"/>
              <w:rPr>
                <w:sz w:val="21"/>
              </w:rPr>
            </w:pPr>
            <w:r>
              <w:rPr>
                <w:sz w:val="21"/>
              </w:rPr>
              <w:t>“可持续中国产业发展行动”</w:t>
            </w:r>
            <w:r>
              <w:rPr>
                <w:rFonts w:ascii="Times New Roman" w:hAnsi="Times New Roman" w:eastAsia="Times New Roman"/>
                <w:sz w:val="21"/>
              </w:rPr>
              <w:t>2022</w:t>
            </w:r>
            <w:r>
              <w:rPr>
                <w:rFonts w:ascii="Times New Roman" w:hAnsi="Times New Roman" w:eastAsia="Times New Roman"/>
                <w:spacing w:val="-12"/>
                <w:sz w:val="21"/>
              </w:rPr>
              <w:t> </w:t>
            </w:r>
            <w:r>
              <w:rPr>
                <w:sz w:val="21"/>
              </w:rPr>
              <w:t>年度产业案例</w:t>
            </w:r>
          </w:p>
        </w:tc>
        <w:tc>
          <w:tcPr>
            <w:tcW w:w="1315" w:type="dxa"/>
          </w:tcPr>
          <w:p>
            <w:pPr>
              <w:pStyle w:val="TableParagraph"/>
              <w:spacing w:before="3"/>
              <w:rPr>
                <w:sz w:val="15"/>
              </w:rPr>
            </w:pPr>
          </w:p>
          <w:p>
            <w:pPr>
              <w:pStyle w:val="TableParagraph"/>
              <w:ind w:left="108"/>
              <w:rPr>
                <w:sz w:val="21"/>
              </w:rPr>
            </w:pPr>
            <w:r>
              <w:rPr>
                <w:sz w:val="21"/>
              </w:rPr>
              <w:t>工业富联</w:t>
            </w:r>
          </w:p>
        </w:tc>
      </w:tr>
      <w:tr>
        <w:trPr>
          <w:trHeight w:val="328" w:hRule="atLeast"/>
        </w:trPr>
        <w:tc>
          <w:tcPr>
            <w:tcW w:w="2830" w:type="dxa"/>
          </w:tcPr>
          <w:p>
            <w:pPr>
              <w:pStyle w:val="TableParagraph"/>
              <w:spacing w:before="29"/>
              <w:ind w:left="107"/>
              <w:rPr>
                <w:sz w:val="21"/>
              </w:rPr>
            </w:pPr>
            <w:r>
              <w:rPr>
                <w:sz w:val="21"/>
              </w:rPr>
              <w:t>中国上市公司协会</w:t>
            </w:r>
          </w:p>
        </w:tc>
        <w:tc>
          <w:tcPr>
            <w:tcW w:w="4678" w:type="dxa"/>
          </w:tcPr>
          <w:p>
            <w:pPr>
              <w:pStyle w:val="TableParagraph"/>
              <w:spacing w:before="29"/>
              <w:ind w:left="107"/>
              <w:rPr>
                <w:sz w:val="21"/>
              </w:rPr>
            </w:pPr>
            <w:r>
              <w:rPr>
                <w:rFonts w:ascii="Times New Roman" w:eastAsia="Times New Roman"/>
                <w:sz w:val="21"/>
              </w:rPr>
              <w:t>2022</w:t>
            </w:r>
            <w:r>
              <w:rPr>
                <w:rFonts w:ascii="Times New Roman" w:eastAsia="Times New Roman"/>
                <w:spacing w:val="-12"/>
                <w:sz w:val="21"/>
              </w:rPr>
              <w:t> </w:t>
            </w:r>
            <w:r>
              <w:rPr>
                <w:spacing w:val="50"/>
                <w:sz w:val="21"/>
              </w:rPr>
              <w:t>年</w:t>
            </w:r>
            <w:r>
              <w:rPr>
                <w:rFonts w:ascii="Times New Roman" w:eastAsia="Times New Roman"/>
                <w:sz w:val="21"/>
              </w:rPr>
              <w:t>A</w:t>
            </w:r>
            <w:r>
              <w:rPr>
                <w:rFonts w:ascii="Times New Roman" w:eastAsia="Times New Roman"/>
                <w:spacing w:val="-11"/>
                <w:sz w:val="21"/>
              </w:rPr>
              <w:t> </w:t>
            </w:r>
            <w:r>
              <w:rPr>
                <w:spacing w:val="-9"/>
                <w:sz w:val="21"/>
              </w:rPr>
              <w:t>股上市公司 </w:t>
            </w:r>
            <w:r>
              <w:rPr>
                <w:rFonts w:ascii="Times New Roman" w:eastAsia="Times New Roman"/>
                <w:sz w:val="21"/>
              </w:rPr>
              <w:t>ESG</w:t>
            </w:r>
            <w:r>
              <w:rPr>
                <w:rFonts w:ascii="Times New Roman" w:eastAsia="Times New Roman"/>
                <w:spacing w:val="-10"/>
                <w:sz w:val="21"/>
              </w:rPr>
              <w:t> </w:t>
            </w:r>
            <w:r>
              <w:rPr>
                <w:sz w:val="21"/>
              </w:rPr>
              <w:t>最佳实践案例</w:t>
            </w:r>
          </w:p>
        </w:tc>
        <w:tc>
          <w:tcPr>
            <w:tcW w:w="1315" w:type="dxa"/>
          </w:tcPr>
          <w:p>
            <w:pPr>
              <w:pStyle w:val="TableParagraph"/>
              <w:spacing w:before="29"/>
              <w:ind w:left="108"/>
              <w:rPr>
                <w:sz w:val="21"/>
              </w:rPr>
            </w:pPr>
            <w:r>
              <w:rPr>
                <w:sz w:val="21"/>
              </w:rPr>
              <w:t>工业富联</w:t>
            </w:r>
          </w:p>
        </w:tc>
      </w:tr>
      <w:tr>
        <w:trPr>
          <w:trHeight w:val="330" w:hRule="atLeast"/>
        </w:trPr>
        <w:tc>
          <w:tcPr>
            <w:tcW w:w="2830" w:type="dxa"/>
          </w:tcPr>
          <w:p>
            <w:pPr>
              <w:pStyle w:val="TableParagraph"/>
              <w:spacing w:before="29"/>
              <w:ind w:left="107"/>
              <w:rPr>
                <w:sz w:val="21"/>
              </w:rPr>
            </w:pPr>
            <w:r>
              <w:rPr>
                <w:sz w:val="21"/>
              </w:rPr>
              <w:t>中国上市公司协会</w:t>
            </w:r>
          </w:p>
        </w:tc>
        <w:tc>
          <w:tcPr>
            <w:tcW w:w="4678" w:type="dxa"/>
          </w:tcPr>
          <w:p>
            <w:pPr>
              <w:pStyle w:val="TableParagraph"/>
              <w:spacing w:before="29"/>
              <w:ind w:left="107"/>
              <w:rPr>
                <w:sz w:val="21"/>
              </w:rPr>
            </w:pPr>
            <w:r>
              <w:rPr>
                <w:rFonts w:ascii="Times New Roman" w:eastAsia="Times New Roman"/>
                <w:sz w:val="21"/>
              </w:rPr>
              <w:t>2022</w:t>
            </w:r>
            <w:r>
              <w:rPr>
                <w:rFonts w:ascii="Times New Roman" w:eastAsia="Times New Roman"/>
                <w:spacing w:val="-12"/>
                <w:sz w:val="21"/>
              </w:rPr>
              <w:t> </w:t>
            </w:r>
            <w:r>
              <w:rPr>
                <w:sz w:val="21"/>
              </w:rPr>
              <w:t>上市公司董办最佳实践奖</w:t>
            </w:r>
          </w:p>
        </w:tc>
        <w:tc>
          <w:tcPr>
            <w:tcW w:w="1315" w:type="dxa"/>
          </w:tcPr>
          <w:p>
            <w:pPr>
              <w:pStyle w:val="TableParagraph"/>
              <w:spacing w:before="29"/>
              <w:ind w:left="108"/>
              <w:rPr>
                <w:sz w:val="21"/>
              </w:rPr>
            </w:pPr>
            <w:r>
              <w:rPr>
                <w:sz w:val="21"/>
              </w:rPr>
              <w:t>工业富联</w:t>
            </w:r>
          </w:p>
        </w:tc>
      </w:tr>
      <w:tr>
        <w:trPr>
          <w:trHeight w:val="330" w:hRule="atLeast"/>
        </w:trPr>
        <w:tc>
          <w:tcPr>
            <w:tcW w:w="2830" w:type="dxa"/>
          </w:tcPr>
          <w:p>
            <w:pPr>
              <w:pStyle w:val="TableParagraph"/>
              <w:spacing w:before="30"/>
              <w:ind w:left="107"/>
              <w:rPr>
                <w:sz w:val="21"/>
              </w:rPr>
            </w:pPr>
            <w:r>
              <w:rPr>
                <w:sz w:val="21"/>
              </w:rPr>
              <w:t>南方周末</w:t>
            </w:r>
          </w:p>
        </w:tc>
        <w:tc>
          <w:tcPr>
            <w:tcW w:w="4678" w:type="dxa"/>
          </w:tcPr>
          <w:p>
            <w:pPr>
              <w:pStyle w:val="TableParagraph"/>
              <w:spacing w:before="30"/>
              <w:ind w:left="107"/>
              <w:rPr>
                <w:sz w:val="21"/>
              </w:rPr>
            </w:pPr>
            <w:r>
              <w:rPr>
                <w:rFonts w:ascii="Times New Roman" w:eastAsia="Times New Roman"/>
                <w:sz w:val="21"/>
              </w:rPr>
              <w:t>2021</w:t>
            </w:r>
            <w:r>
              <w:rPr>
                <w:rFonts w:ascii="Times New Roman" w:eastAsia="Times New Roman"/>
                <w:spacing w:val="-11"/>
                <w:sz w:val="21"/>
              </w:rPr>
              <w:t> </w:t>
            </w:r>
            <w:r>
              <w:rPr>
                <w:sz w:val="21"/>
              </w:rPr>
              <w:t>年度杰出责任企业</w:t>
            </w:r>
          </w:p>
        </w:tc>
        <w:tc>
          <w:tcPr>
            <w:tcW w:w="1315" w:type="dxa"/>
          </w:tcPr>
          <w:p>
            <w:pPr>
              <w:pStyle w:val="TableParagraph"/>
              <w:spacing w:before="30"/>
              <w:ind w:left="108"/>
              <w:rPr>
                <w:sz w:val="21"/>
              </w:rPr>
            </w:pPr>
            <w:r>
              <w:rPr>
                <w:sz w:val="21"/>
              </w:rPr>
              <w:t>工业富联</w:t>
            </w:r>
          </w:p>
        </w:tc>
      </w:tr>
      <w:tr>
        <w:trPr>
          <w:trHeight w:val="659" w:hRule="atLeast"/>
        </w:trPr>
        <w:tc>
          <w:tcPr>
            <w:tcW w:w="2830" w:type="dxa"/>
          </w:tcPr>
          <w:p>
            <w:pPr>
              <w:pStyle w:val="TableParagraph"/>
              <w:spacing w:line="242" w:lineRule="auto" w:before="58"/>
              <w:ind w:left="107" w:right="96"/>
              <w:rPr>
                <w:sz w:val="21"/>
              </w:rPr>
            </w:pPr>
            <w:r>
              <w:rPr>
                <w:sz w:val="21"/>
              </w:rPr>
              <w:t>中国工业经济联合会、海南省人民政府</w:t>
            </w:r>
          </w:p>
        </w:tc>
        <w:tc>
          <w:tcPr>
            <w:tcW w:w="4678" w:type="dxa"/>
          </w:tcPr>
          <w:p>
            <w:pPr>
              <w:pStyle w:val="TableParagraph"/>
              <w:spacing w:before="3"/>
              <w:rPr>
                <w:sz w:val="15"/>
              </w:rPr>
            </w:pPr>
          </w:p>
          <w:p>
            <w:pPr>
              <w:pStyle w:val="TableParagraph"/>
              <w:ind w:left="107"/>
              <w:rPr>
                <w:sz w:val="21"/>
              </w:rPr>
            </w:pPr>
            <w:r>
              <w:rPr>
                <w:sz w:val="21"/>
              </w:rPr>
              <w:t>中国工业“碳达峰”领跑者企业</w:t>
            </w:r>
          </w:p>
        </w:tc>
        <w:tc>
          <w:tcPr>
            <w:tcW w:w="1315" w:type="dxa"/>
          </w:tcPr>
          <w:p>
            <w:pPr>
              <w:pStyle w:val="TableParagraph"/>
              <w:spacing w:before="3"/>
              <w:rPr>
                <w:sz w:val="15"/>
              </w:rPr>
            </w:pPr>
          </w:p>
          <w:p>
            <w:pPr>
              <w:pStyle w:val="TableParagraph"/>
              <w:ind w:left="108"/>
              <w:rPr>
                <w:sz w:val="21"/>
              </w:rPr>
            </w:pPr>
            <w:r>
              <w:rPr>
                <w:sz w:val="21"/>
              </w:rPr>
              <w:t>工业富联</w:t>
            </w:r>
          </w:p>
        </w:tc>
      </w:tr>
      <w:tr>
        <w:trPr>
          <w:trHeight w:val="657" w:hRule="atLeast"/>
        </w:trPr>
        <w:tc>
          <w:tcPr>
            <w:tcW w:w="2830" w:type="dxa"/>
            <w:tcBorders>
              <w:bottom w:val="single" w:sz="6" w:space="0" w:color="000000"/>
            </w:tcBorders>
          </w:tcPr>
          <w:p>
            <w:pPr>
              <w:pStyle w:val="TableParagraph"/>
              <w:spacing w:before="195"/>
              <w:ind w:left="107"/>
              <w:rPr>
                <w:rFonts w:ascii="Times New Roman" w:eastAsia="Times New Roman"/>
                <w:sz w:val="21"/>
              </w:rPr>
            </w:pPr>
            <w:r>
              <w:rPr>
                <w:spacing w:val="8"/>
                <w:sz w:val="21"/>
              </w:rPr>
              <w:t>人力资源媒体</w:t>
            </w:r>
            <w:r>
              <w:rPr>
                <w:rFonts w:ascii="Times New Roman" w:eastAsia="Times New Roman"/>
                <w:sz w:val="21"/>
              </w:rPr>
              <w:t>HRoot</w:t>
            </w:r>
          </w:p>
        </w:tc>
        <w:tc>
          <w:tcPr>
            <w:tcW w:w="4678" w:type="dxa"/>
            <w:tcBorders>
              <w:bottom w:val="single" w:sz="6" w:space="0" w:color="000000"/>
            </w:tcBorders>
          </w:tcPr>
          <w:p>
            <w:pPr>
              <w:pStyle w:val="TableParagraph"/>
              <w:spacing w:line="242" w:lineRule="auto" w:before="58"/>
              <w:ind w:left="107" w:right="92"/>
              <w:rPr>
                <w:sz w:val="21"/>
              </w:rPr>
            </w:pPr>
            <w:r>
              <w:rPr>
                <w:sz w:val="21"/>
              </w:rPr>
              <w:t>大中华区人力资源管理卓越大奖</w:t>
            </w:r>
            <w:r>
              <w:rPr>
                <w:rFonts w:ascii="Times New Roman" w:eastAsia="Times New Roman"/>
                <w:sz w:val="21"/>
              </w:rPr>
              <w:t>(Hroot</w:t>
            </w:r>
            <w:r>
              <w:rPr>
                <w:rFonts w:ascii="Times New Roman" w:eastAsia="Times New Roman"/>
                <w:spacing w:val="24"/>
                <w:sz w:val="21"/>
              </w:rPr>
              <w:t> </w:t>
            </w:r>
            <w:r>
              <w:rPr>
                <w:rFonts w:ascii="Times New Roman" w:eastAsia="Times New Roman"/>
                <w:sz w:val="21"/>
              </w:rPr>
              <w:t>Awards)</w:t>
            </w:r>
            <w:r>
              <w:rPr>
                <w:rFonts w:ascii="Times New Roman" w:eastAsia="Times New Roman"/>
                <w:spacing w:val="13"/>
                <w:sz w:val="21"/>
              </w:rPr>
              <w:t> -</w:t>
            </w:r>
            <w:r>
              <w:rPr>
                <w:rFonts w:ascii="Times New Roman" w:eastAsia="Times New Roman"/>
                <w:spacing w:val="-49"/>
                <w:sz w:val="21"/>
              </w:rPr>
              <w:t> </w:t>
            </w:r>
            <w:r>
              <w:rPr>
                <w:rFonts w:ascii="Times New Roman" w:eastAsia="Times New Roman"/>
                <w:sz w:val="21"/>
              </w:rPr>
              <w:t>2022</w:t>
            </w:r>
            <w:r>
              <w:rPr>
                <w:rFonts w:ascii="Times New Roman" w:eastAsia="Times New Roman"/>
                <w:spacing w:val="-13"/>
                <w:sz w:val="21"/>
              </w:rPr>
              <w:t> </w:t>
            </w:r>
            <w:r>
              <w:rPr>
                <w:sz w:val="21"/>
              </w:rPr>
              <w:t>大中华区卓越社会企业</w:t>
            </w:r>
          </w:p>
        </w:tc>
        <w:tc>
          <w:tcPr>
            <w:tcW w:w="1315" w:type="dxa"/>
            <w:tcBorders>
              <w:bottom w:val="single" w:sz="6" w:space="0" w:color="000000"/>
            </w:tcBorders>
          </w:tcPr>
          <w:p>
            <w:pPr>
              <w:pStyle w:val="TableParagraph"/>
              <w:spacing w:before="3"/>
              <w:rPr>
                <w:sz w:val="15"/>
              </w:rPr>
            </w:pPr>
          </w:p>
          <w:p>
            <w:pPr>
              <w:pStyle w:val="TableParagraph"/>
              <w:ind w:left="108"/>
              <w:rPr>
                <w:sz w:val="21"/>
              </w:rPr>
            </w:pPr>
            <w:r>
              <w:rPr>
                <w:sz w:val="21"/>
              </w:rPr>
              <w:t>工业富联</w:t>
            </w:r>
          </w:p>
        </w:tc>
      </w:tr>
      <w:tr>
        <w:trPr>
          <w:trHeight w:val="328" w:hRule="atLeast"/>
        </w:trPr>
        <w:tc>
          <w:tcPr>
            <w:tcW w:w="2830" w:type="dxa"/>
            <w:tcBorders>
              <w:top w:val="single" w:sz="6" w:space="0" w:color="000000"/>
            </w:tcBorders>
          </w:tcPr>
          <w:p>
            <w:pPr>
              <w:pStyle w:val="TableParagraph"/>
              <w:spacing w:before="27"/>
              <w:ind w:left="107"/>
              <w:rPr>
                <w:sz w:val="21"/>
              </w:rPr>
            </w:pPr>
            <w:r>
              <w:rPr>
                <w:sz w:val="21"/>
              </w:rPr>
              <w:t>智联招聘</w:t>
            </w:r>
          </w:p>
        </w:tc>
        <w:tc>
          <w:tcPr>
            <w:tcW w:w="4678" w:type="dxa"/>
            <w:tcBorders>
              <w:top w:val="single" w:sz="6" w:space="0" w:color="000000"/>
            </w:tcBorders>
          </w:tcPr>
          <w:p>
            <w:pPr>
              <w:pStyle w:val="TableParagraph"/>
              <w:spacing w:before="27"/>
              <w:ind w:left="107"/>
              <w:rPr>
                <w:sz w:val="21"/>
              </w:rPr>
            </w:pPr>
            <w:r>
              <w:rPr>
                <w:rFonts w:ascii="Times New Roman" w:eastAsia="Times New Roman"/>
                <w:sz w:val="21"/>
              </w:rPr>
              <w:t>2022</w:t>
            </w:r>
            <w:r>
              <w:rPr>
                <w:rFonts w:ascii="Times New Roman" w:eastAsia="Times New Roman"/>
                <w:spacing w:val="-12"/>
                <w:sz w:val="21"/>
              </w:rPr>
              <w:t> </w:t>
            </w:r>
            <w:r>
              <w:rPr>
                <w:spacing w:val="6"/>
                <w:sz w:val="21"/>
              </w:rPr>
              <w:t>中国年度最佳雇主</w:t>
            </w:r>
            <w:r>
              <w:rPr>
                <w:rFonts w:ascii="Times New Roman" w:eastAsia="Times New Roman"/>
                <w:sz w:val="21"/>
              </w:rPr>
              <w:t>- </w:t>
            </w:r>
            <w:r>
              <w:rPr>
                <w:spacing w:val="-8"/>
                <w:sz w:val="21"/>
              </w:rPr>
              <w:t>深圳最佳雇主 </w:t>
            </w:r>
            <w:r>
              <w:rPr>
                <w:rFonts w:ascii="Times New Roman" w:eastAsia="Times New Roman"/>
                <w:sz w:val="21"/>
              </w:rPr>
              <w:t>50</w:t>
            </w:r>
            <w:r>
              <w:rPr>
                <w:rFonts w:ascii="Times New Roman" w:eastAsia="Times New Roman"/>
                <w:spacing w:val="-12"/>
                <w:sz w:val="21"/>
              </w:rPr>
              <w:t> </w:t>
            </w:r>
            <w:r>
              <w:rPr>
                <w:sz w:val="21"/>
              </w:rPr>
              <w:t>强</w:t>
            </w:r>
          </w:p>
        </w:tc>
        <w:tc>
          <w:tcPr>
            <w:tcW w:w="1315" w:type="dxa"/>
            <w:tcBorders>
              <w:top w:val="single" w:sz="6" w:space="0" w:color="000000"/>
            </w:tcBorders>
          </w:tcPr>
          <w:p>
            <w:pPr>
              <w:pStyle w:val="TableParagraph"/>
              <w:spacing w:before="27"/>
              <w:ind w:left="108"/>
              <w:rPr>
                <w:sz w:val="21"/>
              </w:rPr>
            </w:pPr>
            <w:r>
              <w:rPr>
                <w:sz w:val="21"/>
              </w:rPr>
              <w:t>工业富联</w:t>
            </w:r>
          </w:p>
        </w:tc>
      </w:tr>
      <w:tr>
        <w:trPr>
          <w:trHeight w:val="659" w:hRule="atLeast"/>
        </w:trPr>
        <w:tc>
          <w:tcPr>
            <w:tcW w:w="2830" w:type="dxa"/>
          </w:tcPr>
          <w:p>
            <w:pPr>
              <w:pStyle w:val="TableParagraph"/>
              <w:spacing w:before="3"/>
              <w:rPr>
                <w:sz w:val="15"/>
              </w:rPr>
            </w:pPr>
          </w:p>
          <w:p>
            <w:pPr>
              <w:pStyle w:val="TableParagraph"/>
              <w:ind w:left="107"/>
              <w:rPr>
                <w:sz w:val="21"/>
              </w:rPr>
            </w:pPr>
            <w:r>
              <w:rPr>
                <w:sz w:val="21"/>
              </w:rPr>
              <w:t>腾讯新闻</w:t>
            </w:r>
          </w:p>
        </w:tc>
        <w:tc>
          <w:tcPr>
            <w:tcW w:w="4678" w:type="dxa"/>
          </w:tcPr>
          <w:p>
            <w:pPr>
              <w:pStyle w:val="TableParagraph"/>
              <w:spacing w:before="58"/>
              <w:ind w:left="107"/>
              <w:rPr>
                <w:rFonts w:ascii="Times New Roman" w:hAnsi="Times New Roman" w:eastAsia="Times New Roman"/>
                <w:sz w:val="21"/>
              </w:rPr>
            </w:pPr>
            <w:r>
              <w:rPr>
                <w:rFonts w:ascii="Times New Roman" w:hAnsi="Times New Roman" w:eastAsia="Times New Roman"/>
                <w:sz w:val="21"/>
              </w:rPr>
              <w:t>2022</w:t>
            </w:r>
            <w:r>
              <w:rPr>
                <w:spacing w:val="1"/>
                <w:sz w:val="21"/>
              </w:rPr>
              <w:t>“中国益公司”企业社会责任力杰出企业 </w:t>
            </w:r>
            <w:r>
              <w:rPr>
                <w:rFonts w:ascii="Times New Roman" w:hAnsi="Times New Roman" w:eastAsia="Times New Roman"/>
                <w:sz w:val="21"/>
              </w:rPr>
              <w:t>-</w:t>
            </w:r>
          </w:p>
          <w:p>
            <w:pPr>
              <w:pStyle w:val="TableParagraph"/>
              <w:spacing w:before="2"/>
              <w:ind w:left="107"/>
              <w:rPr>
                <w:sz w:val="21"/>
              </w:rPr>
            </w:pPr>
            <w:r>
              <w:rPr>
                <w:sz w:val="21"/>
              </w:rPr>
              <w:t>网络人气企业</w:t>
            </w:r>
          </w:p>
        </w:tc>
        <w:tc>
          <w:tcPr>
            <w:tcW w:w="1315" w:type="dxa"/>
          </w:tcPr>
          <w:p>
            <w:pPr>
              <w:pStyle w:val="TableParagraph"/>
              <w:spacing w:before="3"/>
              <w:rPr>
                <w:sz w:val="15"/>
              </w:rPr>
            </w:pPr>
          </w:p>
          <w:p>
            <w:pPr>
              <w:pStyle w:val="TableParagraph"/>
              <w:ind w:left="108"/>
              <w:rPr>
                <w:sz w:val="21"/>
              </w:rPr>
            </w:pPr>
            <w:r>
              <w:rPr>
                <w:sz w:val="21"/>
              </w:rPr>
              <w:t>工业富联</w:t>
            </w:r>
          </w:p>
        </w:tc>
      </w:tr>
    </w:tbl>
    <w:p>
      <w:pPr>
        <w:pStyle w:val="BodyText"/>
        <w:spacing w:before="2"/>
        <w:ind w:left="1158"/>
      </w:pPr>
      <w:r>
        <w:rPr>
          <w:w w:val="100"/>
        </w:rPr>
        <w:t> </w:t>
      </w:r>
    </w:p>
    <w:p>
      <w:pPr>
        <w:pStyle w:val="BodyText"/>
        <w:spacing w:before="2"/>
        <w:ind w:left="1158"/>
      </w:pPr>
      <w:r>
        <w:rPr>
          <w:w w:val="100"/>
        </w:rPr>
        <w:t> </w:t>
      </w:r>
    </w:p>
    <w:p>
      <w:pPr>
        <w:pStyle w:val="BodyText"/>
        <w:spacing w:before="65"/>
        <w:ind w:left="1158"/>
      </w:pPr>
      <w:r>
        <w:rPr>
          <w:spacing w:val="-8"/>
        </w:rPr>
        <w:t>(二) 社会责任工作具体情况</w:t>
      </w:r>
      <w:r>
        <w:rPr/>
        <w:t> </w:t>
      </w:r>
    </w:p>
    <w:p>
      <w:pPr>
        <w:pStyle w:val="BodyText"/>
        <w:spacing w:before="62" w:after="3"/>
        <w:ind w:left="1158"/>
      </w:pPr>
      <w:r>
        <w:rPr>
          <w:spacing w:val="-1"/>
        </w:rPr>
        <w:t>√适用 □不适用</w:t>
      </w:r>
      <w:r>
        <w:rPr>
          <w:spacing w:val="-3"/>
        </w:rPr>
        <w:t> </w:t>
      </w:r>
      <w:r>
        <w:rPr/>
        <w:t> </w:t>
      </w:r>
    </w:p>
    <w:tbl>
      <w:tblPr>
        <w:tblW w:w="0" w:type="auto"/>
        <w:jc w:val="left"/>
        <w:tblInd w:w="1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3"/>
        <w:gridCol w:w="2278"/>
        <w:gridCol w:w="3603"/>
      </w:tblGrid>
      <w:tr>
        <w:trPr>
          <w:trHeight w:val="270" w:hRule="atLeast"/>
        </w:trPr>
        <w:tc>
          <w:tcPr>
            <w:tcW w:w="2943" w:type="dxa"/>
          </w:tcPr>
          <w:p>
            <w:pPr>
              <w:pStyle w:val="TableParagraph"/>
              <w:spacing w:line="250" w:lineRule="exact" w:before="1"/>
              <w:ind w:left="522"/>
              <w:rPr>
                <w:sz w:val="21"/>
              </w:rPr>
            </w:pPr>
            <w:r>
              <w:rPr>
                <w:spacing w:val="-1"/>
                <w:sz w:val="21"/>
              </w:rPr>
              <w:t>对外捐赠、公益项目</w:t>
            </w:r>
            <w:r>
              <w:rPr>
                <w:sz w:val="21"/>
              </w:rPr>
              <w:t> </w:t>
            </w:r>
          </w:p>
        </w:tc>
        <w:tc>
          <w:tcPr>
            <w:tcW w:w="2278" w:type="dxa"/>
          </w:tcPr>
          <w:p>
            <w:pPr>
              <w:pStyle w:val="TableParagraph"/>
              <w:spacing w:line="250" w:lineRule="exact" w:before="1"/>
              <w:ind w:left="664"/>
              <w:rPr>
                <w:sz w:val="21"/>
              </w:rPr>
            </w:pPr>
            <w:r>
              <w:rPr>
                <w:sz w:val="21"/>
              </w:rPr>
              <w:t>数量/内容 </w:t>
            </w:r>
          </w:p>
        </w:tc>
        <w:tc>
          <w:tcPr>
            <w:tcW w:w="3603" w:type="dxa"/>
          </w:tcPr>
          <w:p>
            <w:pPr>
              <w:pStyle w:val="TableParagraph"/>
              <w:spacing w:line="250" w:lineRule="exact" w:before="1"/>
              <w:ind w:left="1414" w:right="1302"/>
              <w:jc w:val="center"/>
              <w:rPr>
                <w:sz w:val="21"/>
              </w:rPr>
            </w:pPr>
            <w:r>
              <w:rPr>
                <w:spacing w:val="-1"/>
                <w:sz w:val="21"/>
              </w:rPr>
              <w:t>情况说明</w:t>
            </w:r>
            <w:r>
              <w:rPr>
                <w:sz w:val="21"/>
              </w:rPr>
              <w:t> </w:t>
            </w:r>
          </w:p>
        </w:tc>
      </w:tr>
      <w:tr>
        <w:trPr>
          <w:trHeight w:val="273" w:hRule="atLeast"/>
        </w:trPr>
        <w:tc>
          <w:tcPr>
            <w:tcW w:w="2943" w:type="dxa"/>
          </w:tcPr>
          <w:p>
            <w:pPr>
              <w:pStyle w:val="TableParagraph"/>
              <w:spacing w:line="250" w:lineRule="exact" w:before="3"/>
              <w:ind w:left="107"/>
              <w:rPr>
                <w:sz w:val="21"/>
              </w:rPr>
            </w:pPr>
            <w:r>
              <w:rPr>
                <w:spacing w:val="-1"/>
                <w:sz w:val="21"/>
              </w:rPr>
              <w:t>总投入</w:t>
            </w:r>
            <w:r>
              <w:rPr>
                <w:sz w:val="21"/>
              </w:rPr>
              <w:t>（万元） </w:t>
            </w:r>
          </w:p>
        </w:tc>
        <w:tc>
          <w:tcPr>
            <w:tcW w:w="2278" w:type="dxa"/>
          </w:tcPr>
          <w:p>
            <w:pPr>
              <w:pStyle w:val="TableParagraph"/>
              <w:spacing w:line="237" w:lineRule="exact"/>
              <w:ind w:right="93"/>
              <w:jc w:val="right"/>
              <w:rPr>
                <w:rFonts w:ascii="Times New Roman"/>
                <w:sz w:val="21"/>
              </w:rPr>
            </w:pPr>
            <w:r>
              <w:rPr>
                <w:rFonts w:ascii="Times New Roman"/>
                <w:sz w:val="21"/>
              </w:rPr>
              <w:t>794.80</w:t>
            </w:r>
          </w:p>
        </w:tc>
        <w:tc>
          <w:tcPr>
            <w:tcW w:w="3603" w:type="dxa"/>
          </w:tcPr>
          <w:p>
            <w:pPr>
              <w:pStyle w:val="TableParagraph"/>
              <w:spacing w:line="250" w:lineRule="exact" w:before="3"/>
              <w:ind w:left="1414" w:right="1302"/>
              <w:jc w:val="center"/>
              <w:rPr>
                <w:sz w:val="21"/>
              </w:rPr>
            </w:pPr>
            <w:r>
              <w:rPr>
                <w:sz w:val="21"/>
              </w:rPr>
              <w:t>/ </w:t>
            </w:r>
          </w:p>
        </w:tc>
      </w:tr>
      <w:tr>
        <w:trPr>
          <w:trHeight w:val="273" w:hRule="atLeast"/>
        </w:trPr>
        <w:tc>
          <w:tcPr>
            <w:tcW w:w="2943" w:type="dxa"/>
          </w:tcPr>
          <w:p>
            <w:pPr>
              <w:pStyle w:val="TableParagraph"/>
              <w:spacing w:line="252" w:lineRule="exact" w:before="1"/>
              <w:ind w:left="107"/>
              <w:rPr>
                <w:sz w:val="21"/>
              </w:rPr>
            </w:pPr>
            <w:r>
              <w:rPr>
                <w:w w:val="100"/>
                <w:sz w:val="21"/>
              </w:rPr>
              <w:t>   </w:t>
            </w:r>
            <w:r>
              <w:rPr>
                <w:spacing w:val="-1"/>
                <w:w w:val="100"/>
                <w:sz w:val="21"/>
              </w:rPr>
              <w:t> </w:t>
            </w:r>
            <w:r>
              <w:rPr>
                <w:sz w:val="21"/>
              </w:rPr>
              <w:t>其中：资金（万元） </w:t>
            </w:r>
          </w:p>
        </w:tc>
        <w:tc>
          <w:tcPr>
            <w:tcW w:w="2278" w:type="dxa"/>
          </w:tcPr>
          <w:p>
            <w:pPr>
              <w:pStyle w:val="TableParagraph"/>
              <w:spacing w:line="235" w:lineRule="exact"/>
              <w:ind w:right="93"/>
              <w:jc w:val="right"/>
              <w:rPr>
                <w:rFonts w:ascii="Times New Roman"/>
                <w:sz w:val="21"/>
              </w:rPr>
            </w:pPr>
            <w:r>
              <w:rPr>
                <w:rFonts w:ascii="Times New Roman"/>
                <w:sz w:val="21"/>
              </w:rPr>
              <w:t>56.29</w:t>
            </w:r>
          </w:p>
        </w:tc>
        <w:tc>
          <w:tcPr>
            <w:tcW w:w="3603" w:type="dxa"/>
          </w:tcPr>
          <w:p>
            <w:pPr>
              <w:pStyle w:val="TableParagraph"/>
              <w:spacing w:line="252" w:lineRule="exact" w:before="1"/>
              <w:ind w:left="1414" w:right="1302"/>
              <w:jc w:val="center"/>
              <w:rPr>
                <w:sz w:val="21"/>
              </w:rPr>
            </w:pPr>
            <w:r>
              <w:rPr>
                <w:sz w:val="21"/>
              </w:rPr>
              <w:t>/ </w:t>
            </w:r>
          </w:p>
        </w:tc>
      </w:tr>
      <w:tr>
        <w:trPr>
          <w:trHeight w:val="545" w:hRule="atLeast"/>
        </w:trPr>
        <w:tc>
          <w:tcPr>
            <w:tcW w:w="2943" w:type="dxa"/>
          </w:tcPr>
          <w:p>
            <w:pPr>
              <w:pStyle w:val="TableParagraph"/>
              <w:spacing w:before="1"/>
              <w:ind w:left="107"/>
              <w:rPr>
                <w:sz w:val="21"/>
              </w:rPr>
            </w:pPr>
            <w:r>
              <w:rPr>
                <w:spacing w:val="-1"/>
                <w:w w:val="100"/>
                <w:sz w:val="21"/>
              </w:rPr>
              <w:t> </w:t>
            </w:r>
            <w:r>
              <w:rPr>
                <w:w w:val="100"/>
                <w:sz w:val="21"/>
              </w:rPr>
              <w:t>    </w:t>
            </w:r>
            <w:r>
              <w:rPr>
                <w:spacing w:val="-3"/>
                <w:w w:val="100"/>
                <w:sz w:val="21"/>
              </w:rPr>
              <w:t> </w:t>
            </w:r>
            <w:r>
              <w:rPr>
                <w:w w:val="100"/>
                <w:sz w:val="21"/>
              </w:rPr>
              <w:t>   </w:t>
            </w:r>
            <w:r>
              <w:rPr>
                <w:spacing w:val="-3"/>
                <w:w w:val="100"/>
                <w:sz w:val="21"/>
              </w:rPr>
              <w:t> </w:t>
            </w:r>
            <w:r>
              <w:rPr>
                <w:spacing w:val="-14"/>
                <w:sz w:val="21"/>
              </w:rPr>
              <w:t>物 资 折 款 </w:t>
            </w:r>
            <w:r>
              <w:rPr>
                <w:sz w:val="21"/>
              </w:rPr>
              <w:t>（</w:t>
            </w:r>
            <w:r>
              <w:rPr>
                <w:spacing w:val="-10"/>
                <w:sz w:val="21"/>
              </w:rPr>
              <w:t> 万</w:t>
            </w:r>
          </w:p>
          <w:p>
            <w:pPr>
              <w:pStyle w:val="TableParagraph"/>
              <w:spacing w:line="253" w:lineRule="exact" w:before="2"/>
              <w:ind w:left="107"/>
              <w:rPr>
                <w:sz w:val="21"/>
              </w:rPr>
            </w:pPr>
            <w:r>
              <w:rPr>
                <w:sz w:val="21"/>
              </w:rPr>
              <w:t>元） </w:t>
            </w:r>
          </w:p>
        </w:tc>
        <w:tc>
          <w:tcPr>
            <w:tcW w:w="2278" w:type="dxa"/>
          </w:tcPr>
          <w:p>
            <w:pPr>
              <w:pStyle w:val="TableParagraph"/>
              <w:spacing w:line="235" w:lineRule="exact"/>
              <w:ind w:right="93"/>
              <w:jc w:val="right"/>
              <w:rPr>
                <w:rFonts w:ascii="Times New Roman"/>
                <w:sz w:val="21"/>
              </w:rPr>
            </w:pPr>
            <w:r>
              <w:rPr>
                <w:rFonts w:ascii="Times New Roman"/>
                <w:sz w:val="21"/>
              </w:rPr>
              <w:t>738.51</w:t>
            </w:r>
          </w:p>
        </w:tc>
        <w:tc>
          <w:tcPr>
            <w:tcW w:w="3603" w:type="dxa"/>
          </w:tcPr>
          <w:p>
            <w:pPr>
              <w:pStyle w:val="TableParagraph"/>
              <w:spacing w:before="1"/>
              <w:ind w:left="1414" w:right="1302"/>
              <w:jc w:val="center"/>
              <w:rPr>
                <w:sz w:val="21"/>
              </w:rPr>
            </w:pPr>
            <w:r>
              <w:rPr>
                <w:sz w:val="21"/>
              </w:rPr>
              <w:t>/ </w:t>
            </w:r>
          </w:p>
        </w:tc>
      </w:tr>
      <w:tr>
        <w:trPr>
          <w:trHeight w:val="273" w:hRule="atLeast"/>
        </w:trPr>
        <w:tc>
          <w:tcPr>
            <w:tcW w:w="2943" w:type="dxa"/>
          </w:tcPr>
          <w:p>
            <w:pPr>
              <w:pStyle w:val="TableParagraph"/>
              <w:spacing w:line="252" w:lineRule="exact" w:before="1"/>
              <w:ind w:left="107"/>
              <w:rPr>
                <w:sz w:val="21"/>
              </w:rPr>
            </w:pPr>
            <w:r>
              <w:rPr>
                <w:spacing w:val="-1"/>
                <w:sz w:val="21"/>
              </w:rPr>
              <w:t>惠及人数</w:t>
            </w:r>
            <w:r>
              <w:rPr>
                <w:sz w:val="21"/>
              </w:rPr>
              <w:t>（人） </w:t>
            </w:r>
          </w:p>
        </w:tc>
        <w:tc>
          <w:tcPr>
            <w:tcW w:w="2278" w:type="dxa"/>
          </w:tcPr>
          <w:p>
            <w:pPr>
              <w:pStyle w:val="TableParagraph"/>
              <w:spacing w:line="235" w:lineRule="exact"/>
              <w:ind w:right="93"/>
              <w:jc w:val="right"/>
              <w:rPr>
                <w:rFonts w:ascii="Times New Roman"/>
                <w:sz w:val="21"/>
              </w:rPr>
            </w:pPr>
            <w:r>
              <w:rPr>
                <w:rFonts w:ascii="Times New Roman"/>
                <w:sz w:val="21"/>
              </w:rPr>
              <w:t>5,402</w:t>
            </w:r>
          </w:p>
        </w:tc>
        <w:tc>
          <w:tcPr>
            <w:tcW w:w="3603" w:type="dxa"/>
          </w:tcPr>
          <w:p>
            <w:pPr>
              <w:pStyle w:val="TableParagraph"/>
              <w:spacing w:line="252" w:lineRule="exact" w:before="1"/>
              <w:ind w:left="1414" w:right="1302"/>
              <w:jc w:val="center"/>
              <w:rPr>
                <w:sz w:val="21"/>
              </w:rPr>
            </w:pPr>
            <w:r>
              <w:rPr>
                <w:sz w:val="21"/>
              </w:rPr>
              <w:t>/ </w:t>
            </w:r>
          </w:p>
        </w:tc>
      </w:tr>
    </w:tbl>
    <w:p>
      <w:pPr>
        <w:pStyle w:val="BodyText"/>
        <w:spacing w:before="1"/>
        <w:ind w:left="1158"/>
      </w:pPr>
      <w:r>
        <w:rPr>
          <w:w w:val="100"/>
        </w:rPr>
        <w:t> </w:t>
      </w:r>
    </w:p>
    <w:p>
      <w:pPr>
        <w:pStyle w:val="BodyText"/>
        <w:spacing w:before="2"/>
        <w:ind w:left="1158"/>
      </w:pPr>
      <w:r>
        <w:rPr>
          <w:spacing w:val="-1"/>
        </w:rPr>
        <w:t>具体说明</w:t>
      </w:r>
      <w:r>
        <w:rPr/>
        <w:t> </w:t>
      </w:r>
    </w:p>
    <w:p>
      <w:pPr>
        <w:pStyle w:val="BodyText"/>
        <w:spacing w:before="5"/>
        <w:ind w:left="1158"/>
      </w:pPr>
      <w:r>
        <w:rPr>
          <w:spacing w:val="11"/>
        </w:rPr>
        <w:t>√适用 □不适用</w:t>
      </w:r>
      <w:r>
        <w:rPr>
          <w:spacing w:val="-3"/>
        </w:rPr>
        <w:t> </w:t>
      </w:r>
      <w:r>
        <w:rPr/>
        <w:t> </w:t>
      </w:r>
    </w:p>
    <w:p>
      <w:pPr>
        <w:pStyle w:val="BodyText"/>
        <w:spacing w:line="364" w:lineRule="auto" w:before="2"/>
        <w:ind w:left="1158" w:right="527" w:firstLine="419"/>
      </w:pPr>
      <w:r>
        <w:rPr>
          <w:spacing w:val="-3"/>
        </w:rPr>
        <w:t>报告期内，公司及公司下属子公司在对外捐赠及公益上积极贡献，总计投入 </w:t>
      </w:r>
      <w:r>
        <w:rPr>
          <w:rFonts w:ascii="Times New Roman" w:eastAsia="Times New Roman"/>
        </w:rPr>
        <w:t>790 </w:t>
      </w:r>
      <w:r>
        <w:rPr/>
        <w:t>余万元资金或物资，包含捐资助学、助老助弱、助洁助行、义务献血及公益募捐等公益项目，项目包含：</w:t>
      </w:r>
    </w:p>
    <w:p>
      <w:pPr>
        <w:pStyle w:val="ListParagraph"/>
        <w:numPr>
          <w:ilvl w:val="1"/>
          <w:numId w:val="26"/>
        </w:numPr>
        <w:tabs>
          <w:tab w:pos="2114" w:val="left" w:leader="none"/>
        </w:tabs>
        <w:spacing w:line="364" w:lineRule="auto" w:before="0" w:after="0"/>
        <w:ind w:left="1158" w:right="528" w:firstLine="419"/>
        <w:jc w:val="left"/>
        <w:rPr>
          <w:sz w:val="21"/>
        </w:rPr>
      </w:pPr>
      <w:r>
        <w:rPr>
          <w:sz w:val="21"/>
        </w:rPr>
        <w:t>开展爱心助学活动：向两所校企合作院校广西现代职业技术学院、横州市职业技术学</w:t>
      </w:r>
      <w:r>
        <w:rPr>
          <w:spacing w:val="-5"/>
          <w:sz w:val="21"/>
        </w:rPr>
        <w:t>校捐赠 </w:t>
      </w:r>
      <w:r>
        <w:rPr>
          <w:rFonts w:ascii="Times New Roman" w:eastAsia="Times New Roman"/>
          <w:sz w:val="21"/>
        </w:rPr>
        <w:t>SMT</w:t>
      </w:r>
      <w:r>
        <w:rPr>
          <w:rFonts w:ascii="Times New Roman" w:eastAsia="Times New Roman"/>
          <w:spacing w:val="16"/>
          <w:sz w:val="21"/>
        </w:rPr>
        <w:t> </w:t>
      </w:r>
      <w:r>
        <w:rPr>
          <w:spacing w:val="-1"/>
          <w:sz w:val="21"/>
        </w:rPr>
        <w:t>线设备用于教学使用及促进产教融合，设备折款共计 </w:t>
      </w:r>
      <w:r>
        <w:rPr>
          <w:rFonts w:ascii="Times New Roman" w:eastAsia="Times New Roman"/>
          <w:sz w:val="21"/>
        </w:rPr>
        <w:t>701</w:t>
      </w:r>
      <w:r>
        <w:rPr>
          <w:rFonts w:ascii="Times New Roman" w:eastAsia="Times New Roman"/>
          <w:spacing w:val="12"/>
          <w:sz w:val="21"/>
        </w:rPr>
        <w:t> </w:t>
      </w:r>
      <w:r>
        <w:rPr>
          <w:sz w:val="21"/>
        </w:rPr>
        <w:t>万，惠及全校师生；向济</w:t>
      </w:r>
    </w:p>
    <w:p>
      <w:pPr>
        <w:spacing w:after="0" w:line="364" w:lineRule="auto"/>
        <w:jc w:val="left"/>
        <w:rPr>
          <w:sz w:val="21"/>
        </w:rPr>
        <w:sectPr>
          <w:pgSz w:w="11910" w:h="16840"/>
          <w:pgMar w:header="877" w:footer="1187" w:top="1440" w:bottom="1380" w:left="640" w:right="740"/>
        </w:sectPr>
      </w:pPr>
    </w:p>
    <w:p>
      <w:pPr>
        <w:pStyle w:val="BodyText"/>
        <w:spacing w:before="68"/>
        <w:ind w:left="1158"/>
        <w:jc w:val="both"/>
      </w:pPr>
      <w:r>
        <w:rPr>
          <w:spacing w:val="1"/>
        </w:rPr>
        <w:t>源市沁园中学、玉川路小学捐资 </w:t>
      </w:r>
      <w:r>
        <w:rPr>
          <w:rFonts w:ascii="Times New Roman" w:eastAsia="Times New Roman"/>
        </w:rPr>
        <w:t>20</w:t>
      </w:r>
      <w:r>
        <w:rPr>
          <w:rFonts w:ascii="Times New Roman" w:eastAsia="Times New Roman"/>
          <w:spacing w:val="44"/>
        </w:rPr>
        <w:t> </w:t>
      </w:r>
      <w:r>
        <w:rPr/>
        <w:t>万元用于教学设备更新；向南宁市江南区富乐小学捐赠计算</w:t>
      </w:r>
    </w:p>
    <w:p>
      <w:pPr>
        <w:pStyle w:val="BodyText"/>
        <w:spacing w:before="142"/>
        <w:ind w:left="1158"/>
        <w:jc w:val="both"/>
        <w:rPr>
          <w:rFonts w:ascii="Times New Roman" w:eastAsia="Times New Roman"/>
        </w:rPr>
      </w:pPr>
      <w:r>
        <w:rPr>
          <w:spacing w:val="-5"/>
        </w:rPr>
        <w:t>机及打印机设备，总计投入 </w:t>
      </w:r>
      <w:r>
        <w:rPr>
          <w:rFonts w:ascii="Times New Roman" w:eastAsia="Times New Roman"/>
        </w:rPr>
        <w:t>15.3</w:t>
      </w:r>
      <w:r>
        <w:rPr>
          <w:rFonts w:ascii="Times New Roman" w:eastAsia="Times New Roman"/>
          <w:spacing w:val="-7"/>
        </w:rPr>
        <w:t> </w:t>
      </w:r>
      <w:r>
        <w:rPr>
          <w:spacing w:val="-6"/>
        </w:rPr>
        <w:t>万元，惠及学生 </w:t>
      </w:r>
      <w:r>
        <w:rPr>
          <w:rFonts w:ascii="Times New Roman" w:eastAsia="Times New Roman"/>
        </w:rPr>
        <w:t>500</w:t>
      </w:r>
      <w:r>
        <w:rPr>
          <w:rFonts w:ascii="Times New Roman" w:eastAsia="Times New Roman"/>
          <w:spacing w:val="-5"/>
        </w:rPr>
        <w:t> </w:t>
      </w:r>
      <w:r>
        <w:rPr>
          <w:spacing w:val="-3"/>
        </w:rPr>
        <w:t>余人；向南宁市江南区延安镇小学及村镇 </w:t>
      </w:r>
      <w:r>
        <w:rPr>
          <w:rFonts w:ascii="Times New Roman" w:eastAsia="Times New Roman"/>
        </w:rPr>
        <w:t>6</w:t>
      </w:r>
    </w:p>
    <w:p>
      <w:pPr>
        <w:pStyle w:val="BodyText"/>
        <w:spacing w:before="139"/>
        <w:ind w:left="1158"/>
        <w:jc w:val="both"/>
      </w:pPr>
      <w:r>
        <w:rPr>
          <w:spacing w:val="-5"/>
        </w:rPr>
        <w:t>所完小捐赠运动器材及书包，物资折款 </w:t>
      </w:r>
      <w:r>
        <w:rPr>
          <w:rFonts w:ascii="Times New Roman" w:eastAsia="Times New Roman"/>
        </w:rPr>
        <w:t>20,000</w:t>
      </w:r>
      <w:r>
        <w:rPr>
          <w:rFonts w:ascii="Times New Roman" w:eastAsia="Times New Roman"/>
          <w:spacing w:val="-15"/>
        </w:rPr>
        <w:t> </w:t>
      </w:r>
      <w:r>
        <w:rPr>
          <w:spacing w:val="-8"/>
        </w:rPr>
        <w:t>余元，惠及学生 </w:t>
      </w:r>
      <w:r>
        <w:rPr>
          <w:rFonts w:ascii="Times New Roman" w:eastAsia="Times New Roman"/>
        </w:rPr>
        <w:t>170</w:t>
      </w:r>
      <w:r>
        <w:rPr>
          <w:rFonts w:ascii="Times New Roman" w:eastAsia="Times New Roman"/>
          <w:spacing w:val="-15"/>
        </w:rPr>
        <w:t> </w:t>
      </w:r>
      <w:r>
        <w:rPr/>
        <w:t>余人；向兰考县裕禄小学捐赠</w:t>
      </w:r>
    </w:p>
    <w:p>
      <w:pPr>
        <w:pStyle w:val="BodyText"/>
        <w:spacing w:before="139"/>
        <w:ind w:left="1158"/>
        <w:jc w:val="both"/>
      </w:pPr>
      <w:r>
        <w:rPr>
          <w:spacing w:val="-5"/>
        </w:rPr>
        <w:t>价值 </w:t>
      </w:r>
      <w:r>
        <w:rPr>
          <w:rFonts w:ascii="Times New Roman" w:eastAsia="Times New Roman"/>
        </w:rPr>
        <w:t>131,400</w:t>
      </w:r>
      <w:r>
        <w:rPr>
          <w:rFonts w:ascii="Times New Roman" w:eastAsia="Times New Roman"/>
          <w:spacing w:val="17"/>
        </w:rPr>
        <w:t> </w:t>
      </w:r>
      <w:r>
        <w:rPr>
          <w:spacing w:val="-2"/>
        </w:rPr>
        <w:t>元爱心助教物资，惠及学生 </w:t>
      </w:r>
      <w:r>
        <w:rPr>
          <w:rFonts w:ascii="Times New Roman" w:eastAsia="Times New Roman"/>
        </w:rPr>
        <w:t>3,165</w:t>
      </w:r>
      <w:r>
        <w:rPr>
          <w:rFonts w:ascii="Times New Roman" w:eastAsia="Times New Roman"/>
          <w:spacing w:val="17"/>
        </w:rPr>
        <w:t> </w:t>
      </w:r>
      <w:r>
        <w:rPr/>
        <w:t>人；向衡阳市衡山县杏溪村学校捐赠雨伞、书包</w:t>
      </w:r>
    </w:p>
    <w:p>
      <w:pPr>
        <w:pStyle w:val="BodyText"/>
        <w:spacing w:before="138"/>
        <w:ind w:left="1158"/>
        <w:jc w:val="both"/>
      </w:pPr>
      <w:r>
        <w:rPr>
          <w:spacing w:val="-6"/>
        </w:rPr>
        <w:t>等慰问物资，物资折款 </w:t>
      </w:r>
      <w:r>
        <w:rPr>
          <w:rFonts w:ascii="Times New Roman" w:eastAsia="Times New Roman"/>
          <w:spacing w:val="-1"/>
        </w:rPr>
        <w:t>9,200</w:t>
      </w:r>
      <w:r>
        <w:rPr>
          <w:rFonts w:ascii="Times New Roman" w:eastAsia="Times New Roman"/>
          <w:spacing w:val="-14"/>
        </w:rPr>
        <w:t> </w:t>
      </w:r>
      <w:r>
        <w:rPr>
          <w:spacing w:val="-9"/>
        </w:rPr>
        <w:t>元，惠及学生 </w:t>
      </w:r>
      <w:r>
        <w:rPr>
          <w:rFonts w:ascii="Times New Roman" w:eastAsia="Times New Roman"/>
        </w:rPr>
        <w:t>14</w:t>
      </w:r>
      <w:r>
        <w:rPr>
          <w:rFonts w:ascii="Times New Roman" w:eastAsia="Times New Roman"/>
          <w:spacing w:val="-14"/>
        </w:rPr>
        <w:t> </w:t>
      </w:r>
      <w:r>
        <w:rPr/>
        <w:t>人；向衡阳市衡阳县井头镇小学捐赠物资及开展公</w:t>
      </w:r>
    </w:p>
    <w:p>
      <w:pPr>
        <w:pStyle w:val="BodyText"/>
        <w:spacing w:before="139"/>
        <w:ind w:left="1158"/>
        <w:jc w:val="both"/>
      </w:pPr>
      <w:r>
        <w:rPr>
          <w:spacing w:val="-8"/>
        </w:rPr>
        <w:t>益课程，总计投入 </w:t>
      </w:r>
      <w:r>
        <w:rPr>
          <w:rFonts w:ascii="Times New Roman" w:eastAsia="Times New Roman"/>
        </w:rPr>
        <w:t>2,000</w:t>
      </w:r>
      <w:r>
        <w:rPr>
          <w:rFonts w:ascii="Times New Roman" w:eastAsia="Times New Roman"/>
          <w:spacing w:val="-14"/>
        </w:rPr>
        <w:t> </w:t>
      </w:r>
      <w:r>
        <w:rPr>
          <w:spacing w:val="-9"/>
        </w:rPr>
        <w:t>元，惠及学生 </w:t>
      </w:r>
      <w:r>
        <w:rPr>
          <w:rFonts w:ascii="Times New Roman" w:eastAsia="Times New Roman"/>
        </w:rPr>
        <w:t>30</w:t>
      </w:r>
      <w:r>
        <w:rPr>
          <w:rFonts w:ascii="Times New Roman" w:eastAsia="Times New Roman"/>
          <w:spacing w:val="-17"/>
        </w:rPr>
        <w:t> </w:t>
      </w:r>
      <w:r>
        <w:rPr/>
        <w:t>余人；向济源市邵原镇郝坡小学捐赠学习用品、体育用</w:t>
      </w:r>
    </w:p>
    <w:p>
      <w:pPr>
        <w:pStyle w:val="BodyText"/>
        <w:spacing w:before="142"/>
        <w:ind w:left="1158"/>
        <w:jc w:val="both"/>
      </w:pPr>
      <w:r>
        <w:rPr>
          <w:spacing w:val="-6"/>
        </w:rPr>
        <w:t>品等助教物资，物资折款 </w:t>
      </w:r>
      <w:r>
        <w:rPr>
          <w:rFonts w:ascii="Times New Roman" w:eastAsia="Times New Roman"/>
        </w:rPr>
        <w:t>2,000</w:t>
      </w:r>
      <w:r>
        <w:rPr>
          <w:rFonts w:ascii="Times New Roman" w:eastAsia="Times New Roman"/>
          <w:spacing w:val="-17"/>
        </w:rPr>
        <w:t> </w:t>
      </w:r>
      <w:r>
        <w:rPr>
          <w:spacing w:val="-8"/>
        </w:rPr>
        <w:t>余元，惠及学生 </w:t>
      </w:r>
      <w:r>
        <w:rPr>
          <w:rFonts w:ascii="Times New Roman" w:eastAsia="Times New Roman"/>
        </w:rPr>
        <w:t>80</w:t>
      </w:r>
      <w:r>
        <w:rPr>
          <w:rFonts w:ascii="Times New Roman" w:eastAsia="Times New Roman"/>
          <w:spacing w:val="-17"/>
        </w:rPr>
        <w:t> </w:t>
      </w:r>
      <w:r>
        <w:rPr/>
        <w:t>余人；向越南北江省偏远学校赠送儿童节、中</w:t>
      </w:r>
    </w:p>
    <w:p>
      <w:pPr>
        <w:pStyle w:val="BodyText"/>
        <w:spacing w:before="139"/>
        <w:ind w:left="1158"/>
        <w:jc w:val="both"/>
      </w:pPr>
      <w:r>
        <w:rPr>
          <w:spacing w:val="-4"/>
        </w:rPr>
        <w:t>秋节节日礼品及物资、捐助金，总计投入 </w:t>
      </w:r>
      <w:r>
        <w:rPr>
          <w:rFonts w:ascii="Times New Roman" w:eastAsia="Times New Roman"/>
        </w:rPr>
        <w:t>2.25</w:t>
      </w:r>
      <w:r>
        <w:rPr>
          <w:rFonts w:ascii="Times New Roman" w:eastAsia="Times New Roman"/>
          <w:spacing w:val="-10"/>
        </w:rPr>
        <w:t> </w:t>
      </w:r>
      <w:r>
        <w:rPr>
          <w:spacing w:val="-7"/>
        </w:rPr>
        <w:t>万元，惠及人数 </w:t>
      </w:r>
      <w:r>
        <w:rPr>
          <w:rFonts w:ascii="Times New Roman" w:eastAsia="Times New Roman"/>
        </w:rPr>
        <w:t>80</w:t>
      </w:r>
      <w:r>
        <w:rPr>
          <w:rFonts w:ascii="Times New Roman" w:eastAsia="Times New Roman"/>
          <w:spacing w:val="-10"/>
        </w:rPr>
        <w:t> </w:t>
      </w:r>
      <w:r>
        <w:rPr/>
        <w:t>余人。</w:t>
      </w:r>
    </w:p>
    <w:p>
      <w:pPr>
        <w:pStyle w:val="ListParagraph"/>
        <w:numPr>
          <w:ilvl w:val="1"/>
          <w:numId w:val="26"/>
        </w:numPr>
        <w:tabs>
          <w:tab w:pos="2109" w:val="left" w:leader="none"/>
        </w:tabs>
        <w:spacing w:line="364" w:lineRule="auto" w:before="139" w:after="0"/>
        <w:ind w:left="1158" w:right="538" w:firstLine="419"/>
        <w:jc w:val="right"/>
        <w:rPr>
          <w:sz w:val="21"/>
        </w:rPr>
      </w:pPr>
      <w:r>
        <w:rPr>
          <w:sz w:val="21"/>
        </w:rPr>
        <w:t>开展助弱助老活动：向青海省黄南州同仁市贫困人口捐赠衣物、被褥等物资，物资折</w:t>
      </w:r>
      <w:r>
        <w:rPr>
          <w:spacing w:val="13"/>
          <w:sz w:val="21"/>
        </w:rPr>
        <w:t>款 </w:t>
      </w:r>
      <w:r>
        <w:rPr>
          <w:rFonts w:ascii="Times New Roman" w:eastAsia="Times New Roman"/>
          <w:sz w:val="21"/>
        </w:rPr>
        <w:t>6,000  </w:t>
      </w:r>
      <w:r>
        <w:rPr>
          <w:spacing w:val="3"/>
          <w:sz w:val="21"/>
        </w:rPr>
        <w:t>余元，惠及人数 </w:t>
      </w:r>
      <w:r>
        <w:rPr>
          <w:rFonts w:ascii="Times New Roman" w:eastAsia="Times New Roman"/>
          <w:sz w:val="21"/>
        </w:rPr>
        <w:t>200</w:t>
      </w:r>
      <w:r>
        <w:rPr>
          <w:rFonts w:ascii="Times New Roman" w:eastAsia="Times New Roman"/>
          <w:spacing w:val="50"/>
          <w:sz w:val="21"/>
        </w:rPr>
        <w:t> </w:t>
      </w:r>
      <w:r>
        <w:rPr>
          <w:sz w:val="21"/>
        </w:rPr>
        <w:t>人；向兰考县许河乡走访慰问，赠送慰问金及慰问品，总计投入</w:t>
      </w:r>
    </w:p>
    <w:p>
      <w:pPr>
        <w:pStyle w:val="BodyText"/>
        <w:spacing w:before="1"/>
        <w:ind w:left="0" w:right="530"/>
        <w:jc w:val="right"/>
      </w:pPr>
      <w:r>
        <w:rPr>
          <w:rFonts w:ascii="Times New Roman" w:eastAsia="Times New Roman"/>
          <w:spacing w:val="-1"/>
        </w:rPr>
        <w:t>3,000</w:t>
      </w:r>
      <w:r>
        <w:rPr>
          <w:rFonts w:ascii="Times New Roman" w:eastAsia="Times New Roman"/>
          <w:spacing w:val="5"/>
        </w:rPr>
        <w:t> </w:t>
      </w:r>
      <w:r>
        <w:rPr>
          <w:spacing w:val="-3"/>
        </w:rPr>
        <w:t>元；向兰考县考城镇东官路村 </w:t>
      </w:r>
      <w:r>
        <w:rPr>
          <w:rFonts w:ascii="Times New Roman" w:eastAsia="Times New Roman"/>
        </w:rPr>
        <w:t>40</w:t>
      </w:r>
      <w:r>
        <w:rPr>
          <w:rFonts w:ascii="Times New Roman" w:eastAsia="Times New Roman"/>
          <w:spacing w:val="7"/>
        </w:rPr>
        <w:t> </w:t>
      </w:r>
      <w:r>
        <w:rPr>
          <w:spacing w:val="-2"/>
        </w:rPr>
        <w:t>余名孤寡老人进行志愿慰问，发放价值 </w:t>
      </w:r>
      <w:r>
        <w:rPr>
          <w:rFonts w:ascii="Times New Roman" w:eastAsia="Times New Roman"/>
        </w:rPr>
        <w:t>2,400</w:t>
      </w:r>
      <w:r>
        <w:rPr>
          <w:rFonts w:ascii="Times New Roman" w:eastAsia="Times New Roman"/>
          <w:spacing w:val="5"/>
        </w:rPr>
        <w:t> </w:t>
      </w:r>
      <w:r>
        <w:rPr/>
        <w:t>元慰问品；</w:t>
      </w:r>
    </w:p>
    <w:p>
      <w:pPr>
        <w:pStyle w:val="BodyText"/>
        <w:spacing w:before="139"/>
        <w:ind w:left="0" w:right="528"/>
        <w:jc w:val="right"/>
      </w:pPr>
      <w:r>
        <w:rPr>
          <w:spacing w:val="-7"/>
        </w:rPr>
        <w:t>向济源市邵原镇碌碡村 </w:t>
      </w:r>
      <w:r>
        <w:rPr>
          <w:rFonts w:ascii="Times New Roman" w:eastAsia="Times New Roman"/>
        </w:rPr>
        <w:t>10</w:t>
      </w:r>
      <w:r>
        <w:rPr>
          <w:rFonts w:ascii="Times New Roman" w:eastAsia="Times New Roman"/>
          <w:spacing w:val="-17"/>
        </w:rPr>
        <w:t> </w:t>
      </w:r>
      <w:r>
        <w:rPr>
          <w:spacing w:val="-4"/>
        </w:rPr>
        <w:t>名弱势老人并送去慰问物资，价值 </w:t>
      </w:r>
      <w:r>
        <w:rPr>
          <w:rFonts w:ascii="Times New Roman" w:eastAsia="Times New Roman"/>
        </w:rPr>
        <w:t>2,000</w:t>
      </w:r>
      <w:r>
        <w:rPr>
          <w:rFonts w:ascii="Times New Roman" w:eastAsia="Times New Roman"/>
          <w:spacing w:val="-15"/>
        </w:rPr>
        <w:t> </w:t>
      </w:r>
      <w:r>
        <w:rPr/>
        <w:t>余元；向衡阳市衡山县福田敬</w:t>
      </w:r>
    </w:p>
    <w:p>
      <w:pPr>
        <w:pStyle w:val="BodyText"/>
        <w:spacing w:before="139"/>
        <w:ind w:left="0" w:right="528"/>
        <w:jc w:val="right"/>
      </w:pPr>
      <w:r>
        <w:rPr>
          <w:spacing w:val="-5"/>
        </w:rPr>
        <w:t>老院发放牛奶、被褥等慰问物资，价值 </w:t>
      </w:r>
      <w:r>
        <w:rPr>
          <w:rFonts w:ascii="Times New Roman" w:eastAsia="Times New Roman"/>
        </w:rPr>
        <w:t>1,700</w:t>
      </w:r>
      <w:r>
        <w:rPr>
          <w:rFonts w:ascii="Times New Roman" w:eastAsia="Times New Roman"/>
          <w:spacing w:val="-15"/>
        </w:rPr>
        <w:t> </w:t>
      </w:r>
      <w:r>
        <w:rPr>
          <w:spacing w:val="-9"/>
        </w:rPr>
        <w:t>元，惠及人数 </w:t>
      </w:r>
      <w:r>
        <w:rPr>
          <w:rFonts w:ascii="Times New Roman" w:eastAsia="Times New Roman"/>
        </w:rPr>
        <w:t>18</w:t>
      </w:r>
      <w:r>
        <w:rPr>
          <w:rFonts w:ascii="Times New Roman" w:eastAsia="Times New Roman"/>
          <w:spacing w:val="-17"/>
        </w:rPr>
        <w:t> </w:t>
      </w:r>
      <w:r>
        <w:rPr/>
        <w:t>人；向越南北江省沙巴山区贫困乡</w:t>
      </w:r>
    </w:p>
    <w:p>
      <w:pPr>
        <w:pStyle w:val="BodyText"/>
        <w:spacing w:before="138"/>
        <w:ind w:left="1158"/>
        <w:jc w:val="both"/>
      </w:pPr>
      <w:r>
        <w:rPr>
          <w:spacing w:val="-3"/>
        </w:rPr>
        <w:t>村赠送礼盒、棉被、大米、笔记本等中秋节日物资，总计投入 </w:t>
      </w:r>
      <w:r>
        <w:rPr>
          <w:rFonts w:ascii="Times New Roman" w:eastAsia="Times New Roman"/>
        </w:rPr>
        <w:t>2.04</w:t>
      </w:r>
      <w:r>
        <w:rPr>
          <w:rFonts w:ascii="Times New Roman" w:eastAsia="Times New Roman"/>
          <w:spacing w:val="-10"/>
        </w:rPr>
        <w:t> </w:t>
      </w:r>
      <w:r>
        <w:rPr>
          <w:spacing w:val="-6"/>
        </w:rPr>
        <w:t>万元，惠及人数约 </w:t>
      </w:r>
      <w:r>
        <w:rPr>
          <w:rFonts w:ascii="Times New Roman" w:eastAsia="Times New Roman"/>
        </w:rPr>
        <w:t>55</w:t>
      </w:r>
      <w:r>
        <w:rPr>
          <w:rFonts w:ascii="Times New Roman" w:eastAsia="Times New Roman"/>
          <w:spacing w:val="-12"/>
        </w:rPr>
        <w:t> </w:t>
      </w:r>
      <w:r>
        <w:rPr/>
        <w:t>人。</w:t>
      </w:r>
    </w:p>
    <w:p>
      <w:pPr>
        <w:pStyle w:val="ListParagraph"/>
        <w:numPr>
          <w:ilvl w:val="1"/>
          <w:numId w:val="26"/>
        </w:numPr>
        <w:tabs>
          <w:tab w:pos="2107" w:val="left" w:leader="none"/>
        </w:tabs>
        <w:spacing w:line="367" w:lineRule="auto" w:before="139" w:after="0"/>
        <w:ind w:left="1158" w:right="527" w:firstLine="419"/>
        <w:jc w:val="both"/>
        <w:rPr>
          <w:sz w:val="21"/>
        </w:rPr>
      </w:pPr>
      <w:r>
        <w:rPr>
          <w:sz w:val="21"/>
        </w:rPr>
        <w:t>开展助残募捐与公益活动：在助残募捐方面，组织员工参与“</w:t>
      </w:r>
      <w:r>
        <w:rPr>
          <w:rFonts w:ascii="Times New Roman" w:hAnsi="Times New Roman" w:eastAsia="Times New Roman"/>
          <w:sz w:val="21"/>
        </w:rPr>
        <w:t>99</w:t>
      </w:r>
      <w:r>
        <w:rPr>
          <w:rFonts w:ascii="Times New Roman" w:hAnsi="Times New Roman" w:eastAsia="Times New Roman"/>
          <w:spacing w:val="6"/>
          <w:sz w:val="21"/>
        </w:rPr>
        <w:t> </w:t>
      </w:r>
      <w:r>
        <w:rPr>
          <w:sz w:val="21"/>
        </w:rPr>
        <w:t>公益日”活动动员全</w:t>
      </w:r>
      <w:r>
        <w:rPr>
          <w:spacing w:val="-4"/>
          <w:sz w:val="21"/>
        </w:rPr>
        <w:t>员响应、共献爱心，太原及晋城两大园区 </w:t>
      </w:r>
      <w:r>
        <w:rPr>
          <w:rFonts w:ascii="Times New Roman" w:hAnsi="Times New Roman" w:eastAsia="Times New Roman"/>
          <w:sz w:val="21"/>
        </w:rPr>
        <w:t>39,000</w:t>
      </w:r>
      <w:r>
        <w:rPr>
          <w:rFonts w:ascii="Times New Roman" w:hAnsi="Times New Roman" w:eastAsia="Times New Roman"/>
          <w:spacing w:val="-5"/>
          <w:sz w:val="21"/>
        </w:rPr>
        <w:t> </w:t>
      </w:r>
      <w:r>
        <w:rPr>
          <w:spacing w:val="-4"/>
          <w:sz w:val="21"/>
        </w:rPr>
        <w:t>余人参与其中，捐款合计 </w:t>
      </w:r>
      <w:r>
        <w:rPr>
          <w:rFonts w:ascii="Times New Roman" w:hAnsi="Times New Roman" w:eastAsia="Times New Roman"/>
          <w:sz w:val="21"/>
        </w:rPr>
        <w:t>337,384</w:t>
      </w:r>
      <w:r>
        <w:rPr>
          <w:rFonts w:ascii="Times New Roman" w:hAnsi="Times New Roman" w:eastAsia="Times New Roman"/>
          <w:spacing w:val="-5"/>
          <w:sz w:val="21"/>
        </w:rPr>
        <w:t> </w:t>
      </w:r>
      <w:r>
        <w:rPr>
          <w:sz w:val="21"/>
        </w:rPr>
        <w:t>元用于助残和</w:t>
      </w:r>
    </w:p>
    <w:p>
      <w:pPr>
        <w:pStyle w:val="BodyText"/>
        <w:spacing w:line="364" w:lineRule="auto"/>
        <w:ind w:left="1158" w:right="527"/>
        <w:jc w:val="both"/>
      </w:pPr>
      <w:r>
        <w:rPr>
          <w:spacing w:val="-6"/>
        </w:rPr>
        <w:t>残疾人关爱，惠及人数 </w:t>
      </w:r>
      <w:r>
        <w:rPr>
          <w:rFonts w:ascii="Times New Roman" w:hAnsi="Times New Roman" w:eastAsia="Times New Roman"/>
        </w:rPr>
        <w:t>824</w:t>
      </w:r>
      <w:r>
        <w:rPr>
          <w:rFonts w:ascii="Times New Roman" w:hAnsi="Times New Roman" w:eastAsia="Times New Roman"/>
          <w:spacing w:val="-17"/>
        </w:rPr>
        <w:t> </w:t>
      </w:r>
      <w:r>
        <w:rPr/>
        <w:t>人，被山西省残疾人福利基金会颁发“</w:t>
      </w:r>
      <w:r>
        <w:rPr>
          <w:rFonts w:ascii="Times New Roman" w:hAnsi="Times New Roman" w:eastAsia="Times New Roman"/>
        </w:rPr>
        <w:t>2022</w:t>
      </w:r>
      <w:r>
        <w:rPr>
          <w:rFonts w:ascii="Times New Roman" w:hAnsi="Times New Roman" w:eastAsia="Times New Roman"/>
          <w:spacing w:val="-17"/>
        </w:rPr>
        <w:t> </w:t>
      </w:r>
      <w:r>
        <w:rPr/>
        <w:t>年</w:t>
      </w:r>
      <w:r>
        <w:rPr>
          <w:rFonts w:ascii="Times New Roman" w:hAnsi="Times New Roman" w:eastAsia="Times New Roman"/>
        </w:rPr>
        <w:t>‘99</w:t>
      </w:r>
      <w:r>
        <w:rPr>
          <w:rFonts w:ascii="Times New Roman" w:hAnsi="Times New Roman" w:eastAsia="Times New Roman"/>
          <w:spacing w:val="-19"/>
        </w:rPr>
        <w:t> </w:t>
      </w:r>
      <w:r>
        <w:rPr/>
        <w:t>公益日</w:t>
      </w:r>
      <w:r>
        <w:rPr>
          <w:rFonts w:ascii="Times New Roman" w:hAnsi="Times New Roman" w:eastAsia="Times New Roman"/>
        </w:rPr>
        <w:t>’</w:t>
      </w:r>
      <w:r>
        <w:rPr/>
        <w:t>助残公众筹款活动最佳爱心团队”和“助残行善，福有攸归”奖牌。此外，积极推动“阳光专案”残疾人入企工作，帮助进行职业技能培训并实现就业，惠及人数 </w:t>
      </w:r>
      <w:r>
        <w:rPr>
          <w:rFonts w:ascii="Times New Roman" w:hAnsi="Times New Roman" w:eastAsia="Times New Roman"/>
        </w:rPr>
        <w:t>85</w:t>
      </w:r>
      <w:r>
        <w:rPr>
          <w:rFonts w:ascii="Times New Roman" w:hAnsi="Times New Roman" w:eastAsia="Times New Roman"/>
          <w:spacing w:val="41"/>
        </w:rPr>
        <w:t> </w:t>
      </w:r>
      <w:r>
        <w:rPr/>
        <w:t>人。在公益活动方面，组织社区“邻</w:t>
      </w:r>
    </w:p>
    <w:p>
      <w:pPr>
        <w:pStyle w:val="BodyText"/>
        <w:spacing w:line="267" w:lineRule="exact"/>
        <w:ind w:left="1158"/>
        <w:jc w:val="both"/>
      </w:pPr>
      <w:r>
        <w:rPr>
          <w:spacing w:val="-5"/>
        </w:rPr>
        <w:t>里节”游园活动，补贴总折算金额 </w:t>
      </w:r>
      <w:r>
        <w:rPr>
          <w:rFonts w:ascii="Times New Roman" w:hAnsi="Times New Roman" w:eastAsia="Times New Roman"/>
        </w:rPr>
        <w:t>16,000</w:t>
      </w:r>
      <w:r>
        <w:rPr>
          <w:rFonts w:ascii="Times New Roman" w:hAnsi="Times New Roman" w:eastAsia="Times New Roman"/>
          <w:spacing w:val="-15"/>
        </w:rPr>
        <w:t> </w:t>
      </w:r>
      <w:r>
        <w:rPr>
          <w:spacing w:val="-9"/>
        </w:rPr>
        <w:t>元，惠及人数 </w:t>
      </w:r>
      <w:r>
        <w:rPr>
          <w:rFonts w:ascii="Times New Roman" w:hAnsi="Times New Roman" w:eastAsia="Times New Roman"/>
        </w:rPr>
        <w:t>128</w:t>
      </w:r>
      <w:r>
        <w:rPr>
          <w:rFonts w:ascii="Times New Roman" w:hAnsi="Times New Roman" w:eastAsia="Times New Roman"/>
          <w:spacing w:val="-17"/>
        </w:rPr>
        <w:t> </w:t>
      </w:r>
      <w:r>
        <w:rPr/>
        <w:t>人；响应天津市滨海新区滨海义工协</w:t>
      </w:r>
    </w:p>
    <w:p>
      <w:pPr>
        <w:pStyle w:val="BodyText"/>
        <w:spacing w:line="364" w:lineRule="auto" w:before="137"/>
        <w:ind w:left="1158" w:right="528"/>
        <w:jc w:val="both"/>
      </w:pPr>
      <w:r>
        <w:rPr>
          <w:spacing w:val="-1"/>
        </w:rPr>
        <w:t>会号召进行“一起做好事”活动，捐款捐物形式折合人民币 </w:t>
      </w:r>
      <w:r>
        <w:rPr>
          <w:rFonts w:ascii="Times New Roman" w:hAnsi="Times New Roman" w:eastAsia="Times New Roman"/>
        </w:rPr>
        <w:t>9,000</w:t>
      </w:r>
      <w:r>
        <w:rPr>
          <w:rFonts w:ascii="Times New Roman" w:hAnsi="Times New Roman" w:eastAsia="Times New Roman"/>
          <w:spacing w:val="19"/>
        </w:rPr>
        <w:t> </w:t>
      </w:r>
      <w:r>
        <w:rPr/>
        <w:t>元，富联精密电子（天津）有限公司因此获得“</w:t>
      </w:r>
      <w:r>
        <w:rPr>
          <w:rFonts w:ascii="Times New Roman" w:hAnsi="Times New Roman" w:eastAsia="Times New Roman"/>
        </w:rPr>
        <w:t>2022</w:t>
      </w:r>
      <w:r>
        <w:rPr>
          <w:rFonts w:ascii="Times New Roman" w:hAnsi="Times New Roman" w:eastAsia="Times New Roman"/>
          <w:spacing w:val="26"/>
        </w:rPr>
        <w:t> </w:t>
      </w:r>
      <w:r>
        <w:rPr/>
        <w:t>年度公益活动特别支持企业”奖牌。此外，在爱心义务献血和植树公益方面公司各法人</w:t>
      </w:r>
      <w:r>
        <w:rPr>
          <w:rFonts w:ascii="Times New Roman" w:hAnsi="Times New Roman" w:eastAsia="Times New Roman"/>
        </w:rPr>
        <w:t>/</w:t>
      </w:r>
      <w:r>
        <w:rPr/>
        <w:t>园区均有持续、积极的人力投入。</w:t>
      </w:r>
    </w:p>
    <w:p>
      <w:pPr>
        <w:pStyle w:val="BodyText"/>
        <w:spacing w:line="266" w:lineRule="exact"/>
        <w:ind w:left="1158"/>
      </w:pPr>
      <w:r>
        <w:rPr>
          <w:w w:val="100"/>
        </w:rPr>
        <w:t> </w:t>
      </w:r>
    </w:p>
    <w:p>
      <w:pPr>
        <w:pStyle w:val="BodyText"/>
        <w:spacing w:before="64"/>
        <w:ind w:left="1158"/>
      </w:pPr>
      <w:r>
        <w:rPr/>
        <w:t>三、巩固拓展脱贫攻坚成果、乡村振兴等工作具体情况 </w:t>
      </w:r>
    </w:p>
    <w:p>
      <w:pPr>
        <w:pStyle w:val="BodyText"/>
        <w:spacing w:before="62" w:after="4"/>
        <w:ind w:left="1158"/>
      </w:pPr>
      <w:r>
        <w:rPr>
          <w:spacing w:val="-1"/>
        </w:rPr>
        <w:t>√适用 □不适用</w:t>
      </w:r>
      <w:r>
        <w:rPr>
          <w:spacing w:val="-3"/>
        </w:rPr>
        <w:t> </w:t>
      </w:r>
      <w:r>
        <w:rPr/>
        <w:t> </w:t>
      </w:r>
    </w:p>
    <w:tbl>
      <w:tblPr>
        <w:tblW w:w="0" w:type="auto"/>
        <w:jc w:val="left"/>
        <w:tblInd w:w="1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10"/>
        <w:gridCol w:w="2211"/>
        <w:gridCol w:w="3603"/>
      </w:tblGrid>
      <w:tr>
        <w:trPr>
          <w:trHeight w:val="270" w:hRule="atLeast"/>
        </w:trPr>
        <w:tc>
          <w:tcPr>
            <w:tcW w:w="3010" w:type="dxa"/>
          </w:tcPr>
          <w:p>
            <w:pPr>
              <w:pStyle w:val="TableParagraph"/>
              <w:spacing w:line="250" w:lineRule="exact" w:before="1"/>
              <w:ind w:left="558"/>
              <w:rPr>
                <w:sz w:val="21"/>
              </w:rPr>
            </w:pPr>
            <w:r>
              <w:rPr>
                <w:spacing w:val="-1"/>
                <w:sz w:val="21"/>
              </w:rPr>
              <w:t>扶贫及乡村振兴项目</w:t>
            </w:r>
            <w:r>
              <w:rPr>
                <w:sz w:val="21"/>
              </w:rPr>
              <w:t> </w:t>
            </w:r>
          </w:p>
        </w:tc>
        <w:tc>
          <w:tcPr>
            <w:tcW w:w="2211" w:type="dxa"/>
          </w:tcPr>
          <w:p>
            <w:pPr>
              <w:pStyle w:val="TableParagraph"/>
              <w:spacing w:line="250" w:lineRule="exact" w:before="1"/>
              <w:ind w:left="631"/>
              <w:rPr>
                <w:sz w:val="21"/>
              </w:rPr>
            </w:pPr>
            <w:r>
              <w:rPr>
                <w:sz w:val="21"/>
              </w:rPr>
              <w:t>数量/内容 </w:t>
            </w:r>
          </w:p>
        </w:tc>
        <w:tc>
          <w:tcPr>
            <w:tcW w:w="3603" w:type="dxa"/>
          </w:tcPr>
          <w:p>
            <w:pPr>
              <w:pStyle w:val="TableParagraph"/>
              <w:spacing w:line="250" w:lineRule="exact" w:before="1"/>
              <w:ind w:left="1414" w:right="1302"/>
              <w:jc w:val="center"/>
              <w:rPr>
                <w:sz w:val="21"/>
              </w:rPr>
            </w:pPr>
            <w:r>
              <w:rPr>
                <w:spacing w:val="-1"/>
                <w:sz w:val="21"/>
              </w:rPr>
              <w:t>情况说明</w:t>
            </w:r>
            <w:r>
              <w:rPr>
                <w:sz w:val="21"/>
              </w:rPr>
              <w:t> </w:t>
            </w:r>
          </w:p>
        </w:tc>
      </w:tr>
      <w:tr>
        <w:trPr>
          <w:trHeight w:val="273" w:hRule="atLeast"/>
        </w:trPr>
        <w:tc>
          <w:tcPr>
            <w:tcW w:w="3010" w:type="dxa"/>
          </w:tcPr>
          <w:p>
            <w:pPr>
              <w:pStyle w:val="TableParagraph"/>
              <w:spacing w:line="250" w:lineRule="exact" w:before="3"/>
              <w:ind w:left="107"/>
              <w:rPr>
                <w:sz w:val="21"/>
              </w:rPr>
            </w:pPr>
            <w:r>
              <w:rPr>
                <w:spacing w:val="-1"/>
                <w:sz w:val="21"/>
              </w:rPr>
              <w:t>总投入</w:t>
            </w:r>
            <w:r>
              <w:rPr>
                <w:sz w:val="21"/>
              </w:rPr>
              <w:t>（万元） </w:t>
            </w:r>
          </w:p>
        </w:tc>
        <w:tc>
          <w:tcPr>
            <w:tcW w:w="2211" w:type="dxa"/>
          </w:tcPr>
          <w:p>
            <w:pPr>
              <w:pStyle w:val="TableParagraph"/>
              <w:spacing w:line="237" w:lineRule="exact"/>
              <w:ind w:right="93"/>
              <w:jc w:val="right"/>
              <w:rPr>
                <w:rFonts w:ascii="Times New Roman"/>
                <w:sz w:val="21"/>
              </w:rPr>
            </w:pPr>
            <w:r>
              <w:rPr>
                <w:rFonts w:ascii="Times New Roman"/>
                <w:sz w:val="21"/>
              </w:rPr>
              <w:t>73.28</w:t>
            </w:r>
          </w:p>
        </w:tc>
        <w:tc>
          <w:tcPr>
            <w:tcW w:w="3603" w:type="dxa"/>
          </w:tcPr>
          <w:p>
            <w:pPr>
              <w:pStyle w:val="TableParagraph"/>
              <w:spacing w:line="250" w:lineRule="exact" w:before="3"/>
              <w:ind w:left="1414" w:right="1302"/>
              <w:jc w:val="center"/>
              <w:rPr>
                <w:sz w:val="21"/>
              </w:rPr>
            </w:pPr>
            <w:r>
              <w:rPr>
                <w:sz w:val="21"/>
              </w:rPr>
              <w:t>/ </w:t>
            </w:r>
          </w:p>
        </w:tc>
      </w:tr>
      <w:tr>
        <w:trPr>
          <w:trHeight w:val="273" w:hRule="atLeast"/>
        </w:trPr>
        <w:tc>
          <w:tcPr>
            <w:tcW w:w="3010" w:type="dxa"/>
          </w:tcPr>
          <w:p>
            <w:pPr>
              <w:pStyle w:val="TableParagraph"/>
              <w:spacing w:line="252" w:lineRule="exact" w:before="1"/>
              <w:ind w:left="107"/>
              <w:rPr>
                <w:sz w:val="21"/>
              </w:rPr>
            </w:pPr>
            <w:r>
              <w:rPr>
                <w:w w:val="100"/>
                <w:sz w:val="21"/>
              </w:rPr>
              <w:t>   </w:t>
            </w:r>
            <w:r>
              <w:rPr>
                <w:spacing w:val="-1"/>
                <w:w w:val="100"/>
                <w:sz w:val="21"/>
              </w:rPr>
              <w:t> </w:t>
            </w:r>
            <w:r>
              <w:rPr>
                <w:sz w:val="21"/>
              </w:rPr>
              <w:t>其中：资金（万元） </w:t>
            </w:r>
          </w:p>
        </w:tc>
        <w:tc>
          <w:tcPr>
            <w:tcW w:w="2211" w:type="dxa"/>
          </w:tcPr>
          <w:p>
            <w:pPr>
              <w:pStyle w:val="TableParagraph"/>
              <w:spacing w:line="235" w:lineRule="exact"/>
              <w:ind w:right="93"/>
              <w:jc w:val="right"/>
              <w:rPr>
                <w:rFonts w:ascii="Times New Roman"/>
                <w:sz w:val="21"/>
              </w:rPr>
            </w:pPr>
            <w:r>
              <w:rPr>
                <w:rFonts w:ascii="Times New Roman"/>
                <w:sz w:val="21"/>
              </w:rPr>
              <w:t>65.45</w:t>
            </w:r>
          </w:p>
        </w:tc>
        <w:tc>
          <w:tcPr>
            <w:tcW w:w="3603" w:type="dxa"/>
          </w:tcPr>
          <w:p>
            <w:pPr>
              <w:pStyle w:val="TableParagraph"/>
              <w:spacing w:line="252" w:lineRule="exact" w:before="1"/>
              <w:ind w:left="1414" w:right="1302"/>
              <w:jc w:val="center"/>
              <w:rPr>
                <w:sz w:val="21"/>
              </w:rPr>
            </w:pPr>
            <w:r>
              <w:rPr>
                <w:sz w:val="21"/>
              </w:rPr>
              <w:t>/ </w:t>
            </w:r>
          </w:p>
        </w:tc>
      </w:tr>
      <w:tr>
        <w:trPr>
          <w:trHeight w:val="270" w:hRule="atLeast"/>
        </w:trPr>
        <w:tc>
          <w:tcPr>
            <w:tcW w:w="3010" w:type="dxa"/>
          </w:tcPr>
          <w:p>
            <w:pPr>
              <w:pStyle w:val="TableParagraph"/>
              <w:spacing w:line="250" w:lineRule="exact" w:before="1"/>
              <w:ind w:left="107"/>
              <w:rPr>
                <w:sz w:val="21"/>
              </w:rPr>
            </w:pPr>
            <w:r>
              <w:rPr>
                <w:spacing w:val="-1"/>
                <w:w w:val="100"/>
                <w:sz w:val="21"/>
              </w:rPr>
              <w:t> </w:t>
            </w:r>
            <w:r>
              <w:rPr>
                <w:w w:val="100"/>
                <w:sz w:val="21"/>
              </w:rPr>
              <w:t>    </w:t>
            </w:r>
            <w:r>
              <w:rPr>
                <w:spacing w:val="-3"/>
                <w:w w:val="100"/>
                <w:sz w:val="21"/>
              </w:rPr>
              <w:t> </w:t>
            </w:r>
            <w:r>
              <w:rPr>
                <w:w w:val="100"/>
                <w:sz w:val="21"/>
              </w:rPr>
              <w:t>   </w:t>
            </w:r>
            <w:r>
              <w:rPr>
                <w:spacing w:val="-3"/>
                <w:w w:val="100"/>
                <w:sz w:val="21"/>
              </w:rPr>
              <w:t> </w:t>
            </w:r>
            <w:r>
              <w:rPr>
                <w:sz w:val="21"/>
              </w:rPr>
              <w:t>物资折款（万元） </w:t>
            </w:r>
          </w:p>
        </w:tc>
        <w:tc>
          <w:tcPr>
            <w:tcW w:w="2211" w:type="dxa"/>
          </w:tcPr>
          <w:p>
            <w:pPr>
              <w:pStyle w:val="TableParagraph"/>
              <w:spacing w:line="235" w:lineRule="exact"/>
              <w:ind w:right="93"/>
              <w:jc w:val="right"/>
              <w:rPr>
                <w:rFonts w:ascii="Times New Roman"/>
                <w:sz w:val="21"/>
              </w:rPr>
            </w:pPr>
            <w:r>
              <w:rPr>
                <w:rFonts w:ascii="Times New Roman"/>
                <w:sz w:val="21"/>
              </w:rPr>
              <w:t>7.83</w:t>
            </w:r>
          </w:p>
        </w:tc>
        <w:tc>
          <w:tcPr>
            <w:tcW w:w="3603" w:type="dxa"/>
          </w:tcPr>
          <w:p>
            <w:pPr>
              <w:pStyle w:val="TableParagraph"/>
              <w:spacing w:line="250" w:lineRule="exact" w:before="1"/>
              <w:ind w:left="1414" w:right="1302"/>
              <w:jc w:val="center"/>
              <w:rPr>
                <w:sz w:val="21"/>
              </w:rPr>
            </w:pPr>
            <w:r>
              <w:rPr>
                <w:sz w:val="21"/>
              </w:rPr>
              <w:t>/ </w:t>
            </w:r>
          </w:p>
        </w:tc>
      </w:tr>
      <w:tr>
        <w:trPr>
          <w:trHeight w:val="273" w:hRule="atLeast"/>
        </w:trPr>
        <w:tc>
          <w:tcPr>
            <w:tcW w:w="3010" w:type="dxa"/>
          </w:tcPr>
          <w:p>
            <w:pPr>
              <w:pStyle w:val="TableParagraph"/>
              <w:spacing w:line="250" w:lineRule="exact" w:before="3"/>
              <w:ind w:left="107"/>
              <w:rPr>
                <w:sz w:val="21"/>
              </w:rPr>
            </w:pPr>
            <w:r>
              <w:rPr>
                <w:spacing w:val="-1"/>
                <w:sz w:val="21"/>
              </w:rPr>
              <w:t>惠及人数</w:t>
            </w:r>
            <w:r>
              <w:rPr>
                <w:sz w:val="21"/>
              </w:rPr>
              <w:t>（人） </w:t>
            </w:r>
          </w:p>
        </w:tc>
        <w:tc>
          <w:tcPr>
            <w:tcW w:w="2211" w:type="dxa"/>
          </w:tcPr>
          <w:p>
            <w:pPr>
              <w:pStyle w:val="TableParagraph"/>
              <w:spacing w:line="237" w:lineRule="exact"/>
              <w:ind w:right="93"/>
              <w:jc w:val="right"/>
              <w:rPr>
                <w:rFonts w:ascii="Times New Roman"/>
                <w:sz w:val="21"/>
              </w:rPr>
            </w:pPr>
            <w:r>
              <w:rPr>
                <w:rFonts w:ascii="Times New Roman"/>
                <w:sz w:val="21"/>
              </w:rPr>
              <w:t>671</w:t>
            </w:r>
          </w:p>
        </w:tc>
        <w:tc>
          <w:tcPr>
            <w:tcW w:w="3603" w:type="dxa"/>
          </w:tcPr>
          <w:p>
            <w:pPr>
              <w:pStyle w:val="TableParagraph"/>
              <w:spacing w:line="250" w:lineRule="exact" w:before="3"/>
              <w:ind w:left="1414" w:right="1302"/>
              <w:jc w:val="center"/>
              <w:rPr>
                <w:sz w:val="21"/>
              </w:rPr>
            </w:pPr>
            <w:r>
              <w:rPr>
                <w:sz w:val="21"/>
              </w:rPr>
              <w:t>/ </w:t>
            </w:r>
          </w:p>
        </w:tc>
      </w:tr>
      <w:tr>
        <w:trPr>
          <w:trHeight w:val="818" w:hRule="atLeast"/>
        </w:trPr>
        <w:tc>
          <w:tcPr>
            <w:tcW w:w="3010" w:type="dxa"/>
          </w:tcPr>
          <w:p>
            <w:pPr>
              <w:pStyle w:val="TableParagraph"/>
              <w:spacing w:line="244" w:lineRule="auto" w:before="1"/>
              <w:ind w:left="107" w:right="156"/>
              <w:rPr>
                <w:sz w:val="21"/>
              </w:rPr>
            </w:pPr>
            <w:r>
              <w:rPr>
                <w:sz w:val="21"/>
              </w:rPr>
              <w:t>帮扶形式（如产业扶贫、就业扶贫、教育扶贫等） </w:t>
            </w:r>
          </w:p>
        </w:tc>
        <w:tc>
          <w:tcPr>
            <w:tcW w:w="2211" w:type="dxa"/>
          </w:tcPr>
          <w:p>
            <w:pPr>
              <w:pStyle w:val="TableParagraph"/>
              <w:spacing w:before="1"/>
              <w:ind w:left="107"/>
              <w:rPr>
                <w:sz w:val="21"/>
              </w:rPr>
            </w:pPr>
            <w:r>
              <w:rPr>
                <w:sz w:val="21"/>
              </w:rPr>
              <w:t>涉及社会扶贫、产业</w:t>
            </w:r>
          </w:p>
          <w:p>
            <w:pPr>
              <w:pStyle w:val="TableParagraph"/>
              <w:spacing w:line="270" w:lineRule="atLeast"/>
              <w:ind w:left="107" w:right="197"/>
              <w:rPr>
                <w:sz w:val="21"/>
              </w:rPr>
            </w:pPr>
            <w:r>
              <w:rPr>
                <w:sz w:val="21"/>
              </w:rPr>
              <w:t>发展扶贫及兜底保障等多种帮扶形式 </w:t>
            </w:r>
          </w:p>
        </w:tc>
        <w:tc>
          <w:tcPr>
            <w:tcW w:w="3603" w:type="dxa"/>
          </w:tcPr>
          <w:p>
            <w:pPr>
              <w:pStyle w:val="TableParagraph"/>
              <w:spacing w:before="1"/>
              <w:ind w:left="107"/>
              <w:rPr>
                <w:sz w:val="21"/>
              </w:rPr>
            </w:pPr>
            <w:r>
              <w:rPr>
                <w:spacing w:val="-1"/>
                <w:sz w:val="21"/>
              </w:rPr>
              <w:t>详见下方具体说明</w:t>
            </w:r>
            <w:r>
              <w:rPr>
                <w:sz w:val="21"/>
              </w:rPr>
              <w:t> </w:t>
            </w:r>
          </w:p>
        </w:tc>
      </w:tr>
    </w:tbl>
    <w:p>
      <w:pPr>
        <w:pStyle w:val="BodyText"/>
        <w:spacing w:before="1"/>
        <w:ind w:left="1158"/>
      </w:pPr>
      <w:r>
        <w:rPr>
          <w:w w:val="100"/>
        </w:rPr>
        <w:t> </w:t>
      </w:r>
    </w:p>
    <w:p>
      <w:pPr>
        <w:pStyle w:val="BodyText"/>
        <w:spacing w:before="2"/>
        <w:ind w:left="1158"/>
      </w:pPr>
      <w:r>
        <w:rPr>
          <w:spacing w:val="-1"/>
        </w:rPr>
        <w:t>具体说明</w:t>
      </w:r>
      <w:r>
        <w:rPr/>
        <w:t> </w:t>
      </w:r>
    </w:p>
    <w:p>
      <w:pPr>
        <w:pStyle w:val="BodyText"/>
        <w:spacing w:before="4"/>
        <w:ind w:left="1158"/>
      </w:pPr>
      <w:r>
        <w:rPr>
          <w:spacing w:val="-1"/>
        </w:rPr>
        <w:t>√适用 □不适用</w:t>
      </w:r>
      <w:r>
        <w:rPr>
          <w:spacing w:val="-3"/>
        </w:rPr>
        <w:t> </w:t>
      </w:r>
      <w:r>
        <w:rPr/>
        <w:t> </w:t>
      </w:r>
    </w:p>
    <w:p>
      <w:pPr>
        <w:spacing w:after="0"/>
        <w:sectPr>
          <w:pgSz w:w="11910" w:h="16840"/>
          <w:pgMar w:header="877" w:footer="1187" w:top="1440" w:bottom="1380" w:left="640" w:right="740"/>
        </w:sectPr>
      </w:pPr>
    </w:p>
    <w:p>
      <w:pPr>
        <w:pStyle w:val="BodyText"/>
        <w:spacing w:line="364" w:lineRule="auto" w:before="68"/>
        <w:ind w:left="1158" w:right="527" w:firstLine="525"/>
        <w:jc w:val="both"/>
      </w:pPr>
      <w:r>
        <w:rPr>
          <w:rFonts w:ascii="Times New Roman" w:hAnsi="Times New Roman" w:eastAsia="Times New Roman"/>
          <w:spacing w:val="-1"/>
        </w:rPr>
        <w:t>2022</w:t>
      </w:r>
      <w:r>
        <w:rPr>
          <w:rFonts w:ascii="Times New Roman" w:hAnsi="Times New Roman" w:eastAsia="Times New Roman"/>
          <w:spacing w:val="-29"/>
        </w:rPr>
        <w:t> </w:t>
      </w:r>
      <w:r>
        <w:rPr>
          <w:spacing w:val="-1"/>
        </w:rPr>
        <w:t>年度，公司积极响应国家号召和证券行业指引，延续深入贯彻落实国家</w:t>
      </w:r>
      <w:r>
        <w:rPr>
          <w:rFonts w:ascii="Times New Roman" w:hAnsi="Times New Roman" w:eastAsia="Times New Roman"/>
        </w:rPr>
        <w:t>“</w:t>
      </w:r>
      <w:r>
        <w:rPr/>
        <w:t>全面推进乡村振兴</w:t>
      </w:r>
      <w:r>
        <w:rPr>
          <w:rFonts w:ascii="Times New Roman" w:hAnsi="Times New Roman" w:eastAsia="Times New Roman"/>
        </w:rPr>
        <w:t>”</w:t>
      </w:r>
      <w:r>
        <w:rPr/>
        <w:t>的战略部署，凝聚企业内部资源与人力，围绕支持偏乡教育、助力地区特色产业发展和关注弱势群体等工作重心，持续巩固拓展脱贫攻坚成果，接续推动乡村振兴。项目包含：</w:t>
      </w:r>
    </w:p>
    <w:p>
      <w:pPr>
        <w:pStyle w:val="ListParagraph"/>
        <w:numPr>
          <w:ilvl w:val="0"/>
          <w:numId w:val="27"/>
        </w:numPr>
        <w:tabs>
          <w:tab w:pos="2107" w:val="left" w:leader="none"/>
        </w:tabs>
        <w:spacing w:line="240" w:lineRule="auto" w:before="0" w:after="0"/>
        <w:ind w:left="2107" w:right="0" w:hanging="529"/>
        <w:jc w:val="both"/>
        <w:rPr>
          <w:sz w:val="21"/>
        </w:rPr>
      </w:pPr>
      <w:r>
        <w:rPr>
          <w:spacing w:val="-3"/>
          <w:sz w:val="21"/>
        </w:rPr>
        <w:t>在社会扶贫方面：向滨海新区慈善协会和红十字会分别捐款 </w:t>
      </w:r>
      <w:r>
        <w:rPr>
          <w:rFonts w:ascii="Times New Roman" w:eastAsia="Times New Roman"/>
          <w:sz w:val="21"/>
        </w:rPr>
        <w:t>35</w:t>
      </w:r>
      <w:r>
        <w:rPr>
          <w:rFonts w:ascii="Times New Roman" w:eastAsia="Times New Roman"/>
          <w:spacing w:val="-3"/>
          <w:sz w:val="21"/>
        </w:rPr>
        <w:t> </w:t>
      </w:r>
      <w:r>
        <w:rPr>
          <w:spacing w:val="-11"/>
          <w:sz w:val="21"/>
        </w:rPr>
        <w:t>万元和 </w:t>
      </w:r>
      <w:r>
        <w:rPr>
          <w:rFonts w:ascii="Times New Roman" w:eastAsia="Times New Roman"/>
          <w:sz w:val="21"/>
        </w:rPr>
        <w:t>5</w:t>
      </w:r>
      <w:r>
        <w:rPr>
          <w:rFonts w:ascii="Times New Roman" w:eastAsia="Times New Roman"/>
          <w:spacing w:val="-5"/>
          <w:sz w:val="21"/>
        </w:rPr>
        <w:t> </w:t>
      </w:r>
      <w:r>
        <w:rPr>
          <w:sz w:val="21"/>
        </w:rPr>
        <w:t>万元，助力天</w:t>
      </w:r>
    </w:p>
    <w:p>
      <w:pPr>
        <w:pStyle w:val="BodyText"/>
        <w:spacing w:before="139"/>
        <w:ind w:left="1158"/>
      </w:pPr>
      <w:r>
        <w:rPr>
          <w:spacing w:val="-3"/>
        </w:rPr>
        <w:t>津市高质量推动东西部协作与支援合作；向南宁市江南区苏圩镇 </w:t>
      </w:r>
      <w:r>
        <w:rPr>
          <w:rFonts w:ascii="Times New Roman" w:eastAsia="Times New Roman"/>
        </w:rPr>
        <w:t>161 </w:t>
      </w:r>
      <w:r>
        <w:rPr/>
        <w:t>户家庭进行集体慰问，购买</w:t>
      </w:r>
    </w:p>
    <w:p>
      <w:pPr>
        <w:pStyle w:val="BodyText"/>
        <w:spacing w:before="139"/>
        <w:ind w:left="1158"/>
      </w:pPr>
      <w:r>
        <w:rPr>
          <w:spacing w:val="2"/>
        </w:rPr>
        <w:t>大米、面条等生活物资，价值合计</w:t>
      </w:r>
      <w:r>
        <w:rPr>
          <w:rFonts w:ascii="Times New Roman" w:eastAsia="Times New Roman"/>
        </w:rPr>
        <w:t>47,000</w:t>
      </w:r>
      <w:r>
        <w:rPr>
          <w:rFonts w:ascii="Times New Roman" w:eastAsia="Times New Roman"/>
          <w:spacing w:val="-27"/>
        </w:rPr>
        <w:t> </w:t>
      </w:r>
      <w:r>
        <w:rPr/>
        <w:t>元，用于乡村振兴公益活动；向马山县古棠村养蜂基地</w:t>
      </w:r>
    </w:p>
    <w:p>
      <w:pPr>
        <w:pStyle w:val="BodyText"/>
        <w:spacing w:line="364" w:lineRule="auto" w:before="141"/>
        <w:ind w:left="1158" w:right="528"/>
      </w:pPr>
      <w:r>
        <w:rPr>
          <w:spacing w:val="-33"/>
        </w:rPr>
        <w:t>和 </w:t>
      </w:r>
      <w:r>
        <w:rPr>
          <w:rFonts w:ascii="Times New Roman" w:eastAsia="Times New Roman"/>
        </w:rPr>
        <w:t>20</w:t>
      </w:r>
      <w:r>
        <w:rPr>
          <w:rFonts w:ascii="Times New Roman" w:eastAsia="Times New Roman"/>
          <w:spacing w:val="-22"/>
        </w:rPr>
        <w:t> </w:t>
      </w:r>
      <w:r>
        <w:rPr>
          <w:spacing w:val="-8"/>
        </w:rPr>
        <w:t>户需帮扶家庭捐赠 </w:t>
      </w:r>
      <w:r>
        <w:rPr>
          <w:rFonts w:ascii="Times New Roman" w:eastAsia="Times New Roman"/>
        </w:rPr>
        <w:t>15,000</w:t>
      </w:r>
      <w:r>
        <w:rPr>
          <w:rFonts w:ascii="Times New Roman" w:eastAsia="Times New Roman"/>
          <w:spacing w:val="-22"/>
        </w:rPr>
        <w:t> </w:t>
      </w:r>
      <w:r>
        <w:rPr>
          <w:spacing w:val="-22"/>
        </w:rPr>
        <w:t>元和 </w:t>
      </w:r>
      <w:r>
        <w:rPr>
          <w:rFonts w:ascii="Times New Roman" w:eastAsia="Times New Roman"/>
        </w:rPr>
        <w:t>5,000</w:t>
      </w:r>
      <w:r>
        <w:rPr>
          <w:rFonts w:ascii="Times New Roman" w:eastAsia="Times New Roman"/>
          <w:spacing w:val="-21"/>
        </w:rPr>
        <w:t> </w:t>
      </w:r>
      <w:r>
        <w:rPr/>
        <w:t>元，分别用于乡村产业振兴与弱势群体帮扶（残疾人、孤寡老人、困难学生等）。</w:t>
      </w:r>
    </w:p>
    <w:p>
      <w:pPr>
        <w:pStyle w:val="ListParagraph"/>
        <w:numPr>
          <w:ilvl w:val="0"/>
          <w:numId w:val="27"/>
        </w:numPr>
        <w:tabs>
          <w:tab w:pos="2107" w:val="left" w:leader="none"/>
        </w:tabs>
        <w:spacing w:line="267" w:lineRule="exact" w:before="0" w:after="0"/>
        <w:ind w:left="2107" w:right="0" w:hanging="529"/>
        <w:jc w:val="left"/>
        <w:rPr>
          <w:sz w:val="21"/>
        </w:rPr>
      </w:pPr>
      <w:r>
        <w:rPr>
          <w:spacing w:val="-1"/>
          <w:sz w:val="21"/>
        </w:rPr>
        <w:t>在产业发展扶贫方面：采购济源当地农副产品 </w:t>
      </w:r>
      <w:r>
        <w:rPr>
          <w:rFonts w:ascii="Times New Roman" w:eastAsia="Times New Roman"/>
          <w:sz w:val="21"/>
        </w:rPr>
        <w:t>25,300</w:t>
      </w:r>
      <w:r>
        <w:rPr>
          <w:rFonts w:ascii="Times New Roman" w:eastAsia="Times New Roman"/>
          <w:spacing w:val="22"/>
          <w:sz w:val="21"/>
        </w:rPr>
        <w:t> </w:t>
      </w:r>
      <w:r>
        <w:rPr>
          <w:sz w:val="21"/>
        </w:rPr>
        <w:t>元并开展困难员工家庭走访慰问，</w:t>
      </w:r>
    </w:p>
    <w:p>
      <w:pPr>
        <w:pStyle w:val="BodyText"/>
        <w:spacing w:before="140"/>
        <w:ind w:left="1158"/>
      </w:pPr>
      <w:r>
        <w:rPr>
          <w:spacing w:val="-2"/>
        </w:rPr>
        <w:t>帮助农产品帮扶推广，为农户创收 </w:t>
      </w:r>
      <w:r>
        <w:rPr>
          <w:rFonts w:ascii="Times New Roman" w:eastAsia="Times New Roman"/>
        </w:rPr>
        <w:t>190,000</w:t>
      </w:r>
      <w:r>
        <w:rPr>
          <w:rFonts w:ascii="Times New Roman" w:eastAsia="Times New Roman"/>
          <w:spacing w:val="21"/>
        </w:rPr>
        <w:t> </w:t>
      </w:r>
      <w:r>
        <w:rPr/>
        <w:t>元；购买兰考当地农副产品协助脱销增收，帮助农户</w:t>
      </w:r>
    </w:p>
    <w:p>
      <w:pPr>
        <w:pStyle w:val="BodyText"/>
        <w:spacing w:before="141"/>
        <w:ind w:left="1158"/>
      </w:pPr>
      <w:r>
        <w:rPr>
          <w:spacing w:val="-19"/>
        </w:rPr>
        <w:t>获益 </w:t>
      </w:r>
      <w:r>
        <w:rPr>
          <w:rFonts w:ascii="Times New Roman" w:eastAsia="Times New Roman"/>
        </w:rPr>
        <w:t>6,000</w:t>
      </w:r>
      <w:r>
        <w:rPr>
          <w:rFonts w:ascii="Times New Roman" w:eastAsia="Times New Roman"/>
          <w:spacing w:val="-10"/>
        </w:rPr>
        <w:t> </w:t>
      </w:r>
      <w:r>
        <w:rPr/>
        <w:t>余元。</w:t>
      </w:r>
    </w:p>
    <w:p>
      <w:pPr>
        <w:pStyle w:val="ListParagraph"/>
        <w:numPr>
          <w:ilvl w:val="0"/>
          <w:numId w:val="27"/>
        </w:numPr>
        <w:tabs>
          <w:tab w:pos="2107" w:val="left" w:leader="none"/>
        </w:tabs>
        <w:spacing w:line="240" w:lineRule="auto" w:before="139" w:after="0"/>
        <w:ind w:left="2107" w:right="0" w:hanging="529"/>
        <w:jc w:val="both"/>
        <w:rPr>
          <w:rFonts w:ascii="Times New Roman" w:eastAsia="Times New Roman"/>
          <w:sz w:val="21"/>
        </w:rPr>
      </w:pPr>
      <w:r>
        <w:rPr>
          <w:spacing w:val="-3"/>
          <w:sz w:val="21"/>
        </w:rPr>
        <w:t>在兜底保障方面：为困难员工及员工直系亲属申请大灾、疾病等救助金金额共计 </w:t>
      </w:r>
      <w:r>
        <w:rPr>
          <w:rFonts w:ascii="Times New Roman" w:eastAsia="Times New Roman"/>
          <w:sz w:val="21"/>
        </w:rPr>
        <w:t>23.45</w:t>
      </w:r>
    </w:p>
    <w:p>
      <w:pPr>
        <w:pStyle w:val="BodyText"/>
        <w:spacing w:before="139"/>
        <w:ind w:left="1158"/>
      </w:pPr>
      <w:r>
        <w:rPr>
          <w:spacing w:val="-8"/>
        </w:rPr>
        <w:t>万元，惠及人数 </w:t>
      </w:r>
      <w:r>
        <w:rPr>
          <w:rFonts w:ascii="Times New Roman" w:eastAsia="Times New Roman"/>
        </w:rPr>
        <w:t>119</w:t>
      </w:r>
      <w:r>
        <w:rPr>
          <w:rFonts w:ascii="Times New Roman" w:eastAsia="Times New Roman"/>
          <w:spacing w:val="-10"/>
        </w:rPr>
        <w:t> </w:t>
      </w:r>
      <w:r>
        <w:rPr/>
        <w:t>人，帮助危困员工树立战胜困难的决心。</w:t>
      </w:r>
    </w:p>
    <w:p>
      <w:pPr>
        <w:pStyle w:val="BodyText"/>
        <w:spacing w:before="139"/>
        <w:ind w:left="1158"/>
      </w:pPr>
      <w:r>
        <w:rPr>
          <w:w w:val="100"/>
        </w:rPr>
        <w:t> </w:t>
      </w:r>
    </w:p>
    <w:p>
      <w:pPr>
        <w:spacing w:after="0"/>
        <w:sectPr>
          <w:pgSz w:w="11910" w:h="16840"/>
          <w:pgMar w:header="877" w:footer="1187" w:top="1440" w:bottom="1380" w:left="640" w:right="740"/>
        </w:sectPr>
      </w:pPr>
    </w:p>
    <w:p>
      <w:pPr>
        <w:pStyle w:val="BodyText"/>
        <w:ind w:left="0"/>
        <w:rPr>
          <w:sz w:val="20"/>
        </w:rPr>
      </w:pPr>
    </w:p>
    <w:p>
      <w:pPr>
        <w:pStyle w:val="BodyText"/>
        <w:ind w:left="0"/>
        <w:rPr>
          <w:sz w:val="20"/>
        </w:rPr>
      </w:pPr>
    </w:p>
    <w:p>
      <w:pPr>
        <w:pStyle w:val="BodyText"/>
        <w:spacing w:before="1"/>
        <w:ind w:left="0"/>
        <w:rPr>
          <w:sz w:val="29"/>
        </w:rPr>
      </w:pPr>
    </w:p>
    <w:p>
      <w:pPr>
        <w:pStyle w:val="Heading1"/>
        <w:ind w:left="5408" w:right="5393"/>
      </w:pPr>
      <w:bookmarkStart w:name="_bookmark5" w:id="7"/>
      <w:bookmarkEnd w:id="7"/>
      <w:r>
        <w:rPr>
          <w:b w:val="0"/>
        </w:rPr>
      </w:r>
      <w:r>
        <w:rPr/>
        <w:t>第六节      重要事项</w:t>
      </w:r>
    </w:p>
    <w:p>
      <w:pPr>
        <w:pStyle w:val="BodyText"/>
        <w:spacing w:before="185"/>
        <w:ind w:left="120"/>
      </w:pPr>
      <w:r>
        <w:rPr/>
        <w:t>一、承诺事项履行情况</w:t>
      </w:r>
    </w:p>
    <w:p>
      <w:pPr>
        <w:pStyle w:val="BodyText"/>
        <w:tabs>
          <w:tab w:pos="686" w:val="left" w:leader="none"/>
        </w:tabs>
        <w:spacing w:before="64"/>
        <w:ind w:left="120"/>
      </w:pPr>
      <w:r>
        <w:rPr>
          <w:rFonts w:ascii="Calibri" w:eastAsia="Calibri"/>
          <w:b/>
        </w:rPr>
        <w:t>(</w:t>
      </w:r>
      <w:r>
        <w:rPr/>
        <w:t>一</w:t>
      </w:r>
      <w:r>
        <w:rPr>
          <w:rFonts w:ascii="Calibri" w:eastAsia="Calibri"/>
          <w:b/>
        </w:rPr>
        <w:t>)</w:t>
        <w:tab/>
      </w:r>
      <w:r>
        <w:rPr/>
        <w:t>公司实际控制人、股东、关联方、收购人以及公司等承诺相关方在报告期内或持续到报告期内的承诺事项</w:t>
      </w:r>
    </w:p>
    <w:p>
      <w:pPr>
        <w:pStyle w:val="BodyText"/>
        <w:spacing w:before="63" w:after="3"/>
        <w:ind w:left="120"/>
      </w:pPr>
      <w:r>
        <w:rPr/>
        <w:t>√适用 □不适用</w:t>
      </w:r>
      <w:r>
        <w:rPr>
          <w:spacing w:val="-3"/>
        </w:rPr>
        <w:t> </w:t>
      </w:r>
      <w:r>
        <w:rPr/>
        <w:t> </w:t>
      </w: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135"/>
        <w:gridCol w:w="1135"/>
        <w:gridCol w:w="5670"/>
        <w:gridCol w:w="1133"/>
        <w:gridCol w:w="711"/>
        <w:gridCol w:w="709"/>
        <w:gridCol w:w="1277"/>
        <w:gridCol w:w="965"/>
      </w:tblGrid>
      <w:tr>
        <w:trPr>
          <w:trHeight w:val="1361" w:hRule="atLeast"/>
        </w:trPr>
        <w:tc>
          <w:tcPr>
            <w:tcW w:w="1145" w:type="dxa"/>
          </w:tcPr>
          <w:p>
            <w:pPr>
              <w:pStyle w:val="TableParagraph"/>
              <w:rPr>
                <w:sz w:val="20"/>
              </w:rPr>
            </w:pPr>
          </w:p>
          <w:p>
            <w:pPr>
              <w:pStyle w:val="TableParagraph"/>
              <w:spacing w:before="8"/>
              <w:rPr>
                <w:sz w:val="22"/>
              </w:rPr>
            </w:pPr>
          </w:p>
          <w:p>
            <w:pPr>
              <w:pStyle w:val="TableParagraph"/>
              <w:ind w:left="153"/>
              <w:rPr>
                <w:sz w:val="21"/>
              </w:rPr>
            </w:pPr>
            <w:r>
              <w:rPr>
                <w:spacing w:val="-1"/>
                <w:sz w:val="21"/>
              </w:rPr>
              <w:t>承诺背景</w:t>
            </w:r>
            <w:r>
              <w:rPr>
                <w:sz w:val="21"/>
              </w:rPr>
              <w:t> </w:t>
            </w:r>
          </w:p>
        </w:tc>
        <w:tc>
          <w:tcPr>
            <w:tcW w:w="1135" w:type="dxa"/>
          </w:tcPr>
          <w:p>
            <w:pPr>
              <w:pStyle w:val="TableParagraph"/>
              <w:rPr>
                <w:sz w:val="20"/>
              </w:rPr>
            </w:pPr>
          </w:p>
          <w:p>
            <w:pPr>
              <w:pStyle w:val="TableParagraph"/>
              <w:spacing w:line="242" w:lineRule="auto" w:before="153"/>
              <w:ind w:left="357" w:right="239"/>
              <w:rPr>
                <w:sz w:val="21"/>
              </w:rPr>
            </w:pPr>
            <w:r>
              <w:rPr>
                <w:sz w:val="21"/>
              </w:rPr>
              <w:t>承诺类型 </w:t>
            </w:r>
          </w:p>
        </w:tc>
        <w:tc>
          <w:tcPr>
            <w:tcW w:w="1135" w:type="dxa"/>
          </w:tcPr>
          <w:p>
            <w:pPr>
              <w:pStyle w:val="TableParagraph"/>
              <w:rPr>
                <w:sz w:val="20"/>
              </w:rPr>
            </w:pPr>
          </w:p>
          <w:p>
            <w:pPr>
              <w:pStyle w:val="TableParagraph"/>
              <w:spacing w:before="8"/>
              <w:rPr>
                <w:sz w:val="22"/>
              </w:rPr>
            </w:pPr>
          </w:p>
          <w:p>
            <w:pPr>
              <w:pStyle w:val="TableParagraph"/>
              <w:ind w:left="143" w:right="27"/>
              <w:jc w:val="center"/>
              <w:rPr>
                <w:sz w:val="21"/>
              </w:rPr>
            </w:pPr>
            <w:r>
              <w:rPr>
                <w:sz w:val="21"/>
              </w:rPr>
              <w:t>承诺方 </w:t>
            </w:r>
          </w:p>
        </w:tc>
        <w:tc>
          <w:tcPr>
            <w:tcW w:w="5670" w:type="dxa"/>
          </w:tcPr>
          <w:p>
            <w:pPr>
              <w:pStyle w:val="TableParagraph"/>
              <w:rPr>
                <w:sz w:val="20"/>
              </w:rPr>
            </w:pPr>
          </w:p>
          <w:p>
            <w:pPr>
              <w:pStyle w:val="TableParagraph"/>
              <w:spacing w:line="242" w:lineRule="auto" w:before="153"/>
              <w:ind w:left="108" w:right="5023"/>
              <w:rPr>
                <w:sz w:val="21"/>
              </w:rPr>
            </w:pPr>
            <w:r>
              <w:rPr>
                <w:sz w:val="21"/>
              </w:rPr>
              <w:t>承诺内容 </w:t>
            </w:r>
          </w:p>
        </w:tc>
        <w:tc>
          <w:tcPr>
            <w:tcW w:w="1133" w:type="dxa"/>
          </w:tcPr>
          <w:p>
            <w:pPr>
              <w:pStyle w:val="TableParagraph"/>
              <w:rPr>
                <w:sz w:val="20"/>
              </w:rPr>
            </w:pPr>
          </w:p>
          <w:p>
            <w:pPr>
              <w:pStyle w:val="TableParagraph"/>
              <w:spacing w:line="242" w:lineRule="auto" w:before="153"/>
              <w:ind w:left="108" w:right="94"/>
              <w:rPr>
                <w:sz w:val="21"/>
              </w:rPr>
            </w:pPr>
            <w:r>
              <w:rPr>
                <w:spacing w:val="17"/>
                <w:sz w:val="21"/>
              </w:rPr>
              <w:t>承诺时间</w:t>
            </w:r>
            <w:r>
              <w:rPr>
                <w:sz w:val="21"/>
              </w:rPr>
              <w:t>及期限 </w:t>
            </w:r>
          </w:p>
        </w:tc>
        <w:tc>
          <w:tcPr>
            <w:tcW w:w="711" w:type="dxa"/>
          </w:tcPr>
          <w:p>
            <w:pPr>
              <w:pStyle w:val="TableParagraph"/>
              <w:spacing w:line="242" w:lineRule="auto" w:before="138"/>
              <w:ind w:left="144" w:right="132"/>
              <w:jc w:val="both"/>
              <w:rPr>
                <w:sz w:val="21"/>
              </w:rPr>
            </w:pPr>
            <w:r>
              <w:rPr>
                <w:spacing w:val="-1"/>
                <w:sz w:val="21"/>
              </w:rPr>
              <w:t>是否有履行期</w:t>
            </w:r>
            <w:r>
              <w:rPr>
                <w:sz w:val="21"/>
              </w:rPr>
              <w:t>限 </w:t>
            </w:r>
          </w:p>
        </w:tc>
        <w:tc>
          <w:tcPr>
            <w:tcW w:w="709" w:type="dxa"/>
          </w:tcPr>
          <w:p>
            <w:pPr>
              <w:pStyle w:val="TableParagraph"/>
              <w:spacing w:line="242" w:lineRule="auto" w:before="138"/>
              <w:ind w:left="144" w:right="27"/>
              <w:jc w:val="both"/>
              <w:rPr>
                <w:sz w:val="21"/>
              </w:rPr>
            </w:pPr>
            <w:r>
              <w:rPr>
                <w:sz w:val="21"/>
              </w:rPr>
              <w:t>是否及时严格履行 </w:t>
            </w:r>
          </w:p>
        </w:tc>
        <w:tc>
          <w:tcPr>
            <w:tcW w:w="1277" w:type="dxa"/>
          </w:tcPr>
          <w:p>
            <w:pPr>
              <w:pStyle w:val="TableParagraph"/>
              <w:spacing w:line="242" w:lineRule="auto" w:before="138"/>
              <w:ind w:left="111" w:right="-15"/>
              <w:jc w:val="both"/>
              <w:rPr>
                <w:sz w:val="21"/>
              </w:rPr>
            </w:pPr>
            <w:r>
              <w:rPr>
                <w:sz w:val="21"/>
              </w:rPr>
              <w:t>如未能及时履行应说明未完成履行的具体原因 </w:t>
            </w:r>
          </w:p>
        </w:tc>
        <w:tc>
          <w:tcPr>
            <w:tcW w:w="965" w:type="dxa"/>
          </w:tcPr>
          <w:p>
            <w:pPr>
              <w:pStyle w:val="TableParagraph"/>
              <w:spacing w:line="242" w:lineRule="auto" w:before="1"/>
              <w:ind w:left="164" w:right="156"/>
              <w:jc w:val="both"/>
              <w:rPr>
                <w:sz w:val="21"/>
              </w:rPr>
            </w:pPr>
            <w:r>
              <w:rPr>
                <w:spacing w:val="-1"/>
                <w:sz w:val="21"/>
              </w:rPr>
              <w:t>如未能及时履行应说</w:t>
            </w:r>
            <w:r>
              <w:rPr>
                <w:spacing w:val="-5"/>
                <w:sz w:val="21"/>
              </w:rPr>
              <w:t>明下一</w:t>
            </w:r>
          </w:p>
          <w:p>
            <w:pPr>
              <w:pStyle w:val="TableParagraph"/>
              <w:spacing w:line="250" w:lineRule="exact" w:before="3"/>
              <w:ind w:left="164"/>
              <w:rPr>
                <w:sz w:val="21"/>
              </w:rPr>
            </w:pPr>
            <w:r>
              <w:rPr>
                <w:sz w:val="21"/>
              </w:rPr>
              <w:t>步计划 </w:t>
            </w:r>
          </w:p>
        </w:tc>
      </w:tr>
      <w:tr>
        <w:trPr>
          <w:trHeight w:val="5177" w:hRule="atLeast"/>
        </w:trPr>
        <w:tc>
          <w:tcPr>
            <w:tcW w:w="1145"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line="242" w:lineRule="auto" w:before="130"/>
              <w:ind w:left="107" w:right="79"/>
              <w:jc w:val="both"/>
              <w:rPr>
                <w:sz w:val="21"/>
              </w:rPr>
            </w:pPr>
            <w:r>
              <w:rPr>
                <w:sz w:val="21"/>
              </w:rPr>
              <w:t>与首次公开发行相关的承诺 </w:t>
            </w:r>
          </w:p>
        </w:tc>
        <w:tc>
          <w:tcPr>
            <w:tcW w:w="1135" w:type="dxa"/>
          </w:tcPr>
          <w:p>
            <w:pPr>
              <w:pStyle w:val="TableParagraph"/>
              <w:spacing w:before="1"/>
              <w:ind w:left="108"/>
              <w:rPr>
                <w:sz w:val="21"/>
              </w:rPr>
            </w:pPr>
            <w:r>
              <w:rPr>
                <w:spacing w:val="-1"/>
                <w:sz w:val="21"/>
              </w:rPr>
              <w:t>股份限售</w:t>
            </w:r>
            <w:r>
              <w:rPr>
                <w:color w:val="FFC000"/>
                <w:sz w:val="21"/>
              </w:rPr>
              <w:t> </w:t>
            </w:r>
          </w:p>
        </w:tc>
        <w:tc>
          <w:tcPr>
            <w:tcW w:w="1135" w:type="dxa"/>
          </w:tcPr>
          <w:p>
            <w:pPr>
              <w:pStyle w:val="TableParagraph"/>
              <w:spacing w:before="1"/>
              <w:ind w:left="143" w:right="106"/>
              <w:jc w:val="center"/>
              <w:rPr>
                <w:sz w:val="21"/>
              </w:rPr>
            </w:pPr>
            <w:r>
              <w:rPr>
                <w:spacing w:val="-1"/>
                <w:sz w:val="21"/>
              </w:rPr>
              <w:t>鸿海精密</w:t>
            </w:r>
            <w:r>
              <w:rPr>
                <w:sz w:val="21"/>
              </w:rPr>
              <w:t> </w:t>
            </w:r>
          </w:p>
        </w:tc>
        <w:tc>
          <w:tcPr>
            <w:tcW w:w="5670" w:type="dxa"/>
          </w:tcPr>
          <w:p>
            <w:pPr>
              <w:pStyle w:val="TableParagraph"/>
              <w:spacing w:line="242" w:lineRule="auto" w:before="1"/>
              <w:ind w:left="108" w:right="85"/>
              <w:jc w:val="both"/>
              <w:rPr>
                <w:sz w:val="21"/>
              </w:rPr>
            </w:pPr>
            <w:r>
              <w:rPr>
                <w:spacing w:val="3"/>
                <w:sz w:val="21"/>
              </w:rPr>
              <w:t>自富士康工业互联网股份有限公司</w:t>
            </w:r>
            <w:r>
              <w:rPr>
                <w:sz w:val="21"/>
              </w:rPr>
              <w:t>A</w:t>
            </w:r>
            <w:r>
              <w:rPr>
                <w:spacing w:val="-8"/>
                <w:sz w:val="21"/>
              </w:rPr>
              <w:t> 股股票在上海证券交易</w:t>
            </w:r>
            <w:r>
              <w:rPr>
                <w:sz w:val="21"/>
              </w:rPr>
              <w:t>所上市之日起三十六个月内，本公司不转让或者委托他人</w:t>
            </w:r>
            <w:r>
              <w:rPr>
                <w:spacing w:val="1"/>
                <w:sz w:val="21"/>
              </w:rPr>
              <w:t> </w:t>
            </w:r>
            <w:r>
              <w:rPr>
                <w:sz w:val="21"/>
              </w:rPr>
              <w:t>管理本公司在富士康工业互联网股份有限公司上市之前直</w:t>
            </w:r>
            <w:r>
              <w:rPr>
                <w:spacing w:val="1"/>
                <w:sz w:val="21"/>
              </w:rPr>
              <w:t> </w:t>
            </w:r>
            <w:r>
              <w:rPr>
                <w:sz w:val="21"/>
              </w:rPr>
              <w:t>接或间接持有的富士康工业互联网股份有限公司股份，也</w:t>
            </w:r>
            <w:r>
              <w:rPr>
                <w:spacing w:val="1"/>
                <w:sz w:val="21"/>
              </w:rPr>
              <w:t> </w:t>
            </w:r>
            <w:r>
              <w:rPr>
                <w:sz w:val="21"/>
              </w:rPr>
              <w:t>不由富士康工业互联网股份有限公司回购本公司在富士康</w:t>
            </w:r>
            <w:r>
              <w:rPr>
                <w:spacing w:val="1"/>
                <w:sz w:val="21"/>
              </w:rPr>
              <w:t> </w:t>
            </w:r>
            <w:r>
              <w:rPr>
                <w:sz w:val="21"/>
              </w:rPr>
              <w:t>工业互联网股份有限公司上市之前直接或间接持有的富士</w:t>
            </w:r>
            <w:r>
              <w:rPr>
                <w:spacing w:val="1"/>
                <w:sz w:val="21"/>
              </w:rPr>
              <w:t> </w:t>
            </w:r>
            <w:r>
              <w:rPr>
                <w:sz w:val="21"/>
              </w:rPr>
              <w:t>康工业互联网股份有限公司股份。若因富士康工业互联网</w:t>
            </w:r>
            <w:r>
              <w:rPr>
                <w:spacing w:val="1"/>
                <w:sz w:val="21"/>
              </w:rPr>
              <w:t> </w:t>
            </w:r>
            <w:r>
              <w:rPr>
                <w:sz w:val="21"/>
              </w:rPr>
              <w:t>股份有限公司进行权益分派等导致本公司持有的富士康工</w:t>
            </w:r>
            <w:r>
              <w:rPr>
                <w:spacing w:val="1"/>
                <w:sz w:val="21"/>
              </w:rPr>
              <w:t> </w:t>
            </w:r>
            <w:r>
              <w:rPr>
                <w:sz w:val="21"/>
              </w:rPr>
              <w:t>业互联网股份有限公司股份发生变化的，本公司仍将遵守</w:t>
            </w:r>
            <w:r>
              <w:rPr>
                <w:spacing w:val="1"/>
                <w:sz w:val="21"/>
              </w:rPr>
              <w:t> </w:t>
            </w:r>
            <w:r>
              <w:rPr>
                <w:sz w:val="21"/>
              </w:rPr>
              <w:t>上述承诺。本公司承诺，若本公司所持富士康工业互联网</w:t>
            </w:r>
            <w:r>
              <w:rPr>
                <w:spacing w:val="1"/>
                <w:sz w:val="21"/>
              </w:rPr>
              <w:t> </w:t>
            </w:r>
            <w:r>
              <w:rPr>
                <w:sz w:val="21"/>
              </w:rPr>
              <w:t>股份有限公司股票在锁定期满后两年内减持的，该等股票</w:t>
            </w:r>
            <w:r>
              <w:rPr>
                <w:spacing w:val="1"/>
                <w:sz w:val="21"/>
              </w:rPr>
              <w:t> </w:t>
            </w:r>
            <w:r>
              <w:rPr>
                <w:sz w:val="21"/>
              </w:rPr>
              <w:t>的减持价格将不低于发行价；在富士康工业互联网股份有</w:t>
            </w:r>
            <w:r>
              <w:rPr>
                <w:spacing w:val="1"/>
                <w:sz w:val="21"/>
              </w:rPr>
              <w:t> </w:t>
            </w:r>
            <w:r>
              <w:rPr>
                <w:spacing w:val="-9"/>
                <w:sz w:val="21"/>
              </w:rPr>
              <w:t>限公司上市后 </w:t>
            </w:r>
            <w:r>
              <w:rPr>
                <w:sz w:val="21"/>
              </w:rPr>
              <w:t>6</w:t>
            </w:r>
            <w:r>
              <w:rPr>
                <w:spacing w:val="-8"/>
                <w:sz w:val="21"/>
              </w:rPr>
              <w:t> 个月内如富士康工业互联网股份有限公司股</w:t>
            </w:r>
          </w:p>
          <w:p>
            <w:pPr>
              <w:pStyle w:val="TableParagraph"/>
              <w:spacing w:line="242" w:lineRule="auto" w:before="10"/>
              <w:ind w:left="108" w:right="85"/>
              <w:jc w:val="both"/>
              <w:rPr>
                <w:sz w:val="21"/>
              </w:rPr>
            </w:pPr>
            <w:r>
              <w:rPr>
                <w:spacing w:val="-1"/>
                <w:sz w:val="21"/>
              </w:rPr>
              <w:t>票连续 </w:t>
            </w:r>
            <w:r>
              <w:rPr>
                <w:sz w:val="21"/>
              </w:rPr>
              <w:t>20</w:t>
            </w:r>
            <w:r>
              <w:rPr>
                <w:spacing w:val="-2"/>
                <w:sz w:val="21"/>
              </w:rPr>
              <w:t> 个交易日的收盘价均低于发行价，或者上市后 </w:t>
            </w:r>
            <w:r>
              <w:rPr>
                <w:sz w:val="21"/>
              </w:rPr>
              <w:t>6</w:t>
            </w:r>
            <w:r>
              <w:rPr>
                <w:spacing w:val="-102"/>
                <w:sz w:val="21"/>
              </w:rPr>
              <w:t> </w:t>
            </w:r>
            <w:r>
              <w:rPr>
                <w:sz w:val="21"/>
              </w:rPr>
              <w:t>个月期末收盘价低于发行价，本公司持有富士康工业互联</w:t>
            </w:r>
            <w:r>
              <w:rPr>
                <w:spacing w:val="1"/>
                <w:sz w:val="21"/>
              </w:rPr>
              <w:t> </w:t>
            </w:r>
            <w:r>
              <w:rPr>
                <w:spacing w:val="-4"/>
                <w:sz w:val="21"/>
              </w:rPr>
              <w:t>网股份有限公司股票的上述锁定期自动延长 </w:t>
            </w:r>
            <w:r>
              <w:rPr>
                <w:sz w:val="21"/>
              </w:rPr>
              <w:t>6</w:t>
            </w:r>
            <w:r>
              <w:rPr>
                <w:spacing w:val="-9"/>
                <w:sz w:val="21"/>
              </w:rPr>
              <w:t> 个月。上述发</w:t>
            </w:r>
            <w:r>
              <w:rPr>
                <w:spacing w:val="1"/>
                <w:sz w:val="21"/>
              </w:rPr>
              <w:t>行价指富士康工业互联网股份有限公司首次公开发行</w:t>
            </w:r>
            <w:r>
              <w:rPr>
                <w:sz w:val="21"/>
              </w:rPr>
              <w:t>A</w:t>
            </w:r>
            <w:r>
              <w:rPr>
                <w:spacing w:val="-20"/>
                <w:sz w:val="21"/>
              </w:rPr>
              <w:t> 股股</w:t>
            </w:r>
            <w:r>
              <w:rPr>
                <w:sz w:val="21"/>
              </w:rPr>
              <w:t>票的发行价格，如果富士康工业互联网股份有限公司上市</w:t>
            </w:r>
          </w:p>
          <w:p>
            <w:pPr>
              <w:pStyle w:val="TableParagraph"/>
              <w:spacing w:line="252" w:lineRule="exact" w:before="2"/>
              <w:ind w:left="108"/>
              <w:rPr>
                <w:sz w:val="21"/>
              </w:rPr>
            </w:pPr>
            <w:r>
              <w:rPr>
                <w:sz w:val="21"/>
              </w:rPr>
              <w:t>后因派发现金红利、送股、转增股本等原因进行除权、除</w:t>
            </w:r>
          </w:p>
        </w:tc>
        <w:tc>
          <w:tcPr>
            <w:tcW w:w="1133" w:type="dxa"/>
          </w:tcPr>
          <w:p>
            <w:pPr>
              <w:pStyle w:val="TableParagraph"/>
              <w:spacing w:line="242" w:lineRule="auto" w:before="1"/>
              <w:ind w:left="108" w:right="94"/>
              <w:jc w:val="both"/>
              <w:rPr>
                <w:sz w:val="21"/>
              </w:rPr>
            </w:pPr>
            <w:r>
              <w:rPr>
                <w:spacing w:val="17"/>
                <w:sz w:val="21"/>
              </w:rPr>
              <w:t>锁定承诺自公司股票上市交易之日起</w:t>
            </w:r>
          </w:p>
          <w:p>
            <w:pPr>
              <w:pStyle w:val="TableParagraph"/>
              <w:spacing w:line="242" w:lineRule="auto" w:before="3"/>
              <w:ind w:left="108" w:right="2"/>
              <w:rPr>
                <w:sz w:val="21"/>
              </w:rPr>
            </w:pPr>
            <w:r>
              <w:rPr>
                <w:sz w:val="21"/>
              </w:rPr>
              <w:t>42</w:t>
            </w:r>
            <w:r>
              <w:rPr>
                <w:spacing w:val="60"/>
                <w:sz w:val="21"/>
              </w:rPr>
              <w:t> 个月</w:t>
            </w:r>
            <w:r>
              <w:rPr>
                <w:spacing w:val="-8"/>
                <w:sz w:val="21"/>
              </w:rPr>
              <w:t>内； 减持</w:t>
            </w:r>
            <w:r>
              <w:rPr>
                <w:spacing w:val="17"/>
                <w:sz w:val="21"/>
              </w:rPr>
              <w:t>价格承诺自公司股票上市交易之日起</w:t>
            </w:r>
            <w:r>
              <w:rPr>
                <w:spacing w:val="-1"/>
                <w:sz w:val="21"/>
              </w:rPr>
              <w:t>66</w:t>
            </w:r>
            <w:r>
              <w:rPr>
                <w:spacing w:val="-18"/>
                <w:sz w:val="21"/>
              </w:rPr>
              <w:t> 个月</w:t>
            </w:r>
            <w:r>
              <w:rPr>
                <w:sz w:val="21"/>
              </w:rPr>
              <w:t> </w:t>
            </w:r>
          </w:p>
        </w:tc>
        <w:tc>
          <w:tcPr>
            <w:tcW w:w="711" w:type="dxa"/>
          </w:tcPr>
          <w:p>
            <w:pPr>
              <w:pStyle w:val="TableParagraph"/>
              <w:spacing w:before="1"/>
              <w:ind w:left="108"/>
              <w:rPr>
                <w:sz w:val="21"/>
              </w:rPr>
            </w:pPr>
            <w:r>
              <w:rPr>
                <w:sz w:val="21"/>
              </w:rPr>
              <w:t>是</w:t>
            </w:r>
            <w:r>
              <w:rPr>
                <w:color w:val="FFC000"/>
                <w:sz w:val="21"/>
              </w:rPr>
              <w:t> </w:t>
            </w:r>
          </w:p>
        </w:tc>
        <w:tc>
          <w:tcPr>
            <w:tcW w:w="709" w:type="dxa"/>
          </w:tcPr>
          <w:p>
            <w:pPr>
              <w:pStyle w:val="TableParagraph"/>
              <w:spacing w:before="1"/>
              <w:ind w:left="107"/>
              <w:rPr>
                <w:sz w:val="21"/>
              </w:rPr>
            </w:pPr>
            <w:r>
              <w:rPr>
                <w:sz w:val="21"/>
              </w:rPr>
              <w:t>是</w:t>
            </w:r>
            <w:r>
              <w:rPr>
                <w:color w:val="FFC000"/>
                <w:sz w:val="21"/>
              </w:rPr>
              <w:t>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left="106"/>
              <w:rPr>
                <w:sz w:val="21"/>
              </w:rPr>
            </w:pPr>
            <w:r>
              <w:rPr>
                <w:sz w:val="21"/>
              </w:rPr>
              <w:t>不适用 </w:t>
            </w:r>
          </w:p>
        </w:tc>
      </w:tr>
    </w:tbl>
    <w:p>
      <w:pPr>
        <w:spacing w:after="0"/>
        <w:rPr>
          <w:sz w:val="21"/>
        </w:rPr>
        <w:sectPr>
          <w:headerReference w:type="default" r:id="rId47"/>
          <w:footerReference w:type="default" r:id="rId48"/>
          <w:pgSz w:w="16840" w:h="11910" w:orient="landscape"/>
          <w:pgMar w:header="880" w:footer="1195" w:top="1180" w:bottom="1380" w:left="1320" w:right="1420"/>
        </w:sectPr>
      </w:pPr>
    </w:p>
    <w:p>
      <w:pPr>
        <w:pStyle w:val="BodyText"/>
        <w:ind w:left="0"/>
        <w:rPr>
          <w:sz w:val="20"/>
        </w:rPr>
      </w:pPr>
    </w:p>
    <w:p>
      <w:pPr>
        <w:pStyle w:val="BodyText"/>
        <w:spacing w:before="2"/>
        <w:ind w:left="0"/>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135"/>
        <w:gridCol w:w="1135"/>
        <w:gridCol w:w="5670"/>
        <w:gridCol w:w="1133"/>
        <w:gridCol w:w="711"/>
        <w:gridCol w:w="709"/>
        <w:gridCol w:w="1277"/>
        <w:gridCol w:w="965"/>
      </w:tblGrid>
      <w:tr>
        <w:trPr>
          <w:trHeight w:val="544" w:hRule="atLeast"/>
        </w:trPr>
        <w:tc>
          <w:tcPr>
            <w:tcW w:w="1145" w:type="dxa"/>
            <w:vMerge w:val="restart"/>
          </w:tcPr>
          <w:p>
            <w:pPr>
              <w:pStyle w:val="TableParagraph"/>
              <w:rPr>
                <w:rFonts w:ascii="Times New Roman"/>
                <w:sz w:val="20"/>
              </w:rPr>
            </w:pPr>
          </w:p>
        </w:tc>
        <w:tc>
          <w:tcPr>
            <w:tcW w:w="1135" w:type="dxa"/>
          </w:tcPr>
          <w:p>
            <w:pPr>
              <w:pStyle w:val="TableParagraph"/>
              <w:rPr>
                <w:rFonts w:ascii="Times New Roman"/>
                <w:sz w:val="20"/>
              </w:rPr>
            </w:pPr>
          </w:p>
        </w:tc>
        <w:tc>
          <w:tcPr>
            <w:tcW w:w="1135" w:type="dxa"/>
          </w:tcPr>
          <w:p>
            <w:pPr>
              <w:pStyle w:val="TableParagraph"/>
              <w:rPr>
                <w:rFonts w:ascii="Times New Roman"/>
                <w:sz w:val="20"/>
              </w:rPr>
            </w:pPr>
          </w:p>
        </w:tc>
        <w:tc>
          <w:tcPr>
            <w:tcW w:w="5670" w:type="dxa"/>
          </w:tcPr>
          <w:p>
            <w:pPr>
              <w:pStyle w:val="TableParagraph"/>
              <w:spacing w:before="1"/>
              <w:ind w:left="108"/>
              <w:rPr>
                <w:sz w:val="21"/>
              </w:rPr>
            </w:pPr>
            <w:r>
              <w:rPr>
                <w:spacing w:val="5"/>
                <w:sz w:val="21"/>
              </w:rPr>
              <w:t>息的， 则按照上海证券交易所的有关规定作除权除息处</w:t>
            </w:r>
          </w:p>
          <w:p>
            <w:pPr>
              <w:pStyle w:val="TableParagraph"/>
              <w:spacing w:line="252" w:lineRule="exact" w:before="2"/>
              <w:ind w:left="108"/>
              <w:rPr>
                <w:sz w:val="21"/>
              </w:rPr>
            </w:pPr>
            <w:r>
              <w:rPr>
                <w:sz w:val="21"/>
              </w:rPr>
              <w:t>理。 </w:t>
            </w:r>
          </w:p>
        </w:tc>
        <w:tc>
          <w:tcPr>
            <w:tcW w:w="1133" w:type="dxa"/>
          </w:tcPr>
          <w:p>
            <w:pPr>
              <w:pStyle w:val="TableParagraph"/>
              <w:rPr>
                <w:rFonts w:ascii="Times New Roman"/>
                <w:sz w:val="20"/>
              </w:rPr>
            </w:pPr>
          </w:p>
        </w:tc>
        <w:tc>
          <w:tcPr>
            <w:tcW w:w="711" w:type="dxa"/>
          </w:tcPr>
          <w:p>
            <w:pPr>
              <w:pStyle w:val="TableParagraph"/>
              <w:rPr>
                <w:rFonts w:ascii="Times New Roman"/>
                <w:sz w:val="20"/>
              </w:rPr>
            </w:pPr>
          </w:p>
        </w:tc>
        <w:tc>
          <w:tcPr>
            <w:tcW w:w="709" w:type="dxa"/>
          </w:tcPr>
          <w:p>
            <w:pPr>
              <w:pStyle w:val="TableParagraph"/>
              <w:rPr>
                <w:rFonts w:ascii="Times New Roman"/>
                <w:sz w:val="20"/>
              </w:rPr>
            </w:pPr>
          </w:p>
        </w:tc>
        <w:tc>
          <w:tcPr>
            <w:tcW w:w="1277" w:type="dxa"/>
          </w:tcPr>
          <w:p>
            <w:pPr>
              <w:pStyle w:val="TableParagraph"/>
              <w:rPr>
                <w:rFonts w:ascii="Times New Roman"/>
                <w:sz w:val="20"/>
              </w:rPr>
            </w:pPr>
          </w:p>
        </w:tc>
        <w:tc>
          <w:tcPr>
            <w:tcW w:w="965" w:type="dxa"/>
          </w:tcPr>
          <w:p>
            <w:pPr>
              <w:pStyle w:val="TableParagraph"/>
              <w:rPr>
                <w:rFonts w:ascii="Times New Roman"/>
                <w:sz w:val="20"/>
              </w:rPr>
            </w:pPr>
          </w:p>
        </w:tc>
      </w:tr>
      <w:tr>
        <w:trPr>
          <w:trHeight w:val="7899" w:hRule="atLeast"/>
        </w:trPr>
        <w:tc>
          <w:tcPr>
            <w:tcW w:w="1145" w:type="dxa"/>
            <w:vMerge/>
            <w:tcBorders>
              <w:top w:val="nil"/>
            </w:tcBorders>
          </w:tcPr>
          <w:p>
            <w:pPr>
              <w:rPr>
                <w:sz w:val="2"/>
                <w:szCs w:val="2"/>
              </w:rPr>
            </w:pPr>
          </w:p>
        </w:tc>
        <w:tc>
          <w:tcPr>
            <w:tcW w:w="1135" w:type="dxa"/>
          </w:tcPr>
          <w:p>
            <w:pPr>
              <w:pStyle w:val="TableParagraph"/>
              <w:spacing w:before="1"/>
              <w:ind w:left="108"/>
              <w:rPr>
                <w:sz w:val="21"/>
              </w:rPr>
            </w:pPr>
            <w:r>
              <w:rPr>
                <w:spacing w:val="-1"/>
                <w:sz w:val="21"/>
              </w:rPr>
              <w:t>股份限售</w:t>
            </w:r>
            <w:r>
              <w:rPr>
                <w:color w:val="FFC000"/>
                <w:sz w:val="21"/>
              </w:rPr>
              <w:t> </w:t>
            </w:r>
          </w:p>
        </w:tc>
        <w:tc>
          <w:tcPr>
            <w:tcW w:w="1135" w:type="dxa"/>
          </w:tcPr>
          <w:p>
            <w:pPr>
              <w:pStyle w:val="TableParagraph"/>
              <w:spacing w:line="242" w:lineRule="auto" w:before="1"/>
              <w:ind w:left="108" w:right="172"/>
              <w:jc w:val="both"/>
              <w:rPr>
                <w:sz w:val="21"/>
              </w:rPr>
            </w:pPr>
            <w:r>
              <w:rPr>
                <w:spacing w:val="-1"/>
                <w:sz w:val="21"/>
              </w:rPr>
              <w:t>郑弘孟、李军旗、</w:t>
            </w:r>
            <w:r>
              <w:rPr>
                <w:sz w:val="21"/>
              </w:rPr>
              <w:t>王自强 </w:t>
            </w:r>
          </w:p>
        </w:tc>
        <w:tc>
          <w:tcPr>
            <w:tcW w:w="5670" w:type="dxa"/>
          </w:tcPr>
          <w:p>
            <w:pPr>
              <w:pStyle w:val="TableParagraph"/>
              <w:spacing w:line="242" w:lineRule="auto" w:before="1"/>
              <w:ind w:left="108" w:right="84"/>
              <w:jc w:val="both"/>
              <w:rPr>
                <w:sz w:val="21"/>
              </w:rPr>
            </w:pPr>
            <w:r>
              <w:rPr>
                <w:sz w:val="21"/>
              </w:rPr>
              <w:t>本人将严格履行富士康工业互联网股份有限公司首次公开</w:t>
            </w:r>
            <w:r>
              <w:rPr>
                <w:spacing w:val="1"/>
                <w:sz w:val="21"/>
              </w:rPr>
              <w:t> </w:t>
            </w:r>
            <w:r>
              <w:rPr>
                <w:sz w:val="21"/>
              </w:rPr>
              <w:t>发行股票并上市招股说明书中披露的股票锁定承诺，自富</w:t>
            </w:r>
            <w:r>
              <w:rPr>
                <w:spacing w:val="1"/>
                <w:sz w:val="21"/>
              </w:rPr>
              <w:t> </w:t>
            </w:r>
            <w:r>
              <w:rPr>
                <w:spacing w:val="3"/>
                <w:sz w:val="21"/>
              </w:rPr>
              <w:t>士康工业互联网股份有限公司</w:t>
            </w:r>
            <w:r>
              <w:rPr>
                <w:sz w:val="21"/>
              </w:rPr>
              <w:t>A</w:t>
            </w:r>
            <w:r>
              <w:rPr>
                <w:spacing w:val="-8"/>
                <w:sz w:val="21"/>
              </w:rPr>
              <w:t> 股股票在上海证券交易所上</w:t>
            </w:r>
            <w:r>
              <w:rPr>
                <w:sz w:val="21"/>
              </w:rPr>
              <w:t>市之日起三十六个月内，不转让或者委托他人管理在富士</w:t>
            </w:r>
            <w:r>
              <w:rPr>
                <w:spacing w:val="1"/>
                <w:sz w:val="21"/>
              </w:rPr>
              <w:t> </w:t>
            </w:r>
            <w:r>
              <w:rPr>
                <w:sz w:val="21"/>
              </w:rPr>
              <w:t>康工业互联网股份有限公司上市之前直接或间接持有的富</w:t>
            </w:r>
            <w:r>
              <w:rPr>
                <w:spacing w:val="1"/>
                <w:sz w:val="21"/>
              </w:rPr>
              <w:t> </w:t>
            </w:r>
            <w:r>
              <w:rPr>
                <w:sz w:val="21"/>
              </w:rPr>
              <w:t>士康工业互联网股份有限公司股份，也不由富士康工业互</w:t>
            </w:r>
            <w:r>
              <w:rPr>
                <w:spacing w:val="1"/>
                <w:sz w:val="21"/>
              </w:rPr>
              <w:t> </w:t>
            </w:r>
            <w:r>
              <w:rPr>
                <w:sz w:val="21"/>
              </w:rPr>
              <w:t>联网股份有限公司回购本人在富士康工业互联网股份有限</w:t>
            </w:r>
            <w:r>
              <w:rPr>
                <w:spacing w:val="1"/>
                <w:sz w:val="21"/>
              </w:rPr>
              <w:t> </w:t>
            </w:r>
            <w:r>
              <w:rPr>
                <w:sz w:val="21"/>
              </w:rPr>
              <w:t>公司上市之前直接或间接持有的富士康工业互联网股份有</w:t>
            </w:r>
            <w:r>
              <w:rPr>
                <w:spacing w:val="1"/>
                <w:sz w:val="21"/>
              </w:rPr>
              <w:t> </w:t>
            </w:r>
            <w:r>
              <w:rPr>
                <w:sz w:val="21"/>
              </w:rPr>
              <w:t>限公司股份。若因富士康工业互联网股份有限公司进行权</w:t>
            </w:r>
            <w:r>
              <w:rPr>
                <w:spacing w:val="1"/>
                <w:sz w:val="21"/>
              </w:rPr>
              <w:t> </w:t>
            </w:r>
            <w:r>
              <w:rPr>
                <w:sz w:val="21"/>
              </w:rPr>
              <w:t>益分派等导致本人直接或间接持有的富士康工业互联网股</w:t>
            </w:r>
            <w:r>
              <w:rPr>
                <w:spacing w:val="1"/>
                <w:sz w:val="21"/>
              </w:rPr>
              <w:t> </w:t>
            </w:r>
            <w:r>
              <w:rPr>
                <w:sz w:val="21"/>
              </w:rPr>
              <w:t>份有限公司股份发生变化的，本人仍将遵守上述承诺。在</w:t>
            </w:r>
            <w:r>
              <w:rPr>
                <w:spacing w:val="1"/>
                <w:sz w:val="21"/>
              </w:rPr>
              <w:t> </w:t>
            </w:r>
            <w:r>
              <w:rPr>
                <w:sz w:val="21"/>
              </w:rPr>
              <w:t>担任富士康工业互联网股份有限公司董事或高级管理人员</w:t>
            </w:r>
            <w:r>
              <w:rPr>
                <w:spacing w:val="1"/>
                <w:sz w:val="21"/>
              </w:rPr>
              <w:t> </w:t>
            </w:r>
            <w:r>
              <w:rPr>
                <w:sz w:val="21"/>
              </w:rPr>
              <w:t>期间，如实并及时申报直接或间接持有富士康工业互联网</w:t>
            </w:r>
            <w:r>
              <w:rPr>
                <w:spacing w:val="13"/>
                <w:sz w:val="21"/>
              </w:rPr>
              <w:t>股份有限公司股份及其变动情况；在上述承诺期限届满</w:t>
            </w:r>
            <w:r>
              <w:rPr>
                <w:sz w:val="21"/>
              </w:rPr>
              <w:t>后，每年转让直接或间接持有的富士康工业互联网股份有</w:t>
            </w:r>
            <w:r>
              <w:rPr>
                <w:spacing w:val="1"/>
                <w:sz w:val="21"/>
              </w:rPr>
              <w:t> </w:t>
            </w:r>
            <w:r>
              <w:rPr>
                <w:sz w:val="21"/>
              </w:rPr>
              <w:t>限公司股份不超过直接或间接持有富士康工业互联网股份</w:t>
            </w:r>
            <w:r>
              <w:rPr>
                <w:spacing w:val="1"/>
                <w:sz w:val="21"/>
              </w:rPr>
              <w:t> </w:t>
            </w:r>
            <w:r>
              <w:rPr>
                <w:spacing w:val="-1"/>
                <w:sz w:val="21"/>
              </w:rPr>
              <w:t>有限公司股份总数的 </w:t>
            </w:r>
            <w:r>
              <w:rPr>
                <w:sz w:val="21"/>
              </w:rPr>
              <w:t>25%；在买入后六个月内卖出，或者在卖出后六个月内又买入，由此所得收益归富士康工业互联</w:t>
            </w:r>
            <w:r>
              <w:rPr>
                <w:spacing w:val="1"/>
                <w:sz w:val="21"/>
              </w:rPr>
              <w:t> </w:t>
            </w:r>
            <w:r>
              <w:rPr>
                <w:sz w:val="21"/>
              </w:rPr>
              <w:t>网股份有限公司所有；离职后六个月内，不转让直接或间</w:t>
            </w:r>
            <w:r>
              <w:rPr>
                <w:spacing w:val="1"/>
                <w:sz w:val="21"/>
              </w:rPr>
              <w:t> </w:t>
            </w:r>
            <w:r>
              <w:rPr>
                <w:sz w:val="21"/>
              </w:rPr>
              <w:t>接持有的富士康工业互联网股份有限公司股份。本人所持</w:t>
            </w:r>
            <w:r>
              <w:rPr>
                <w:spacing w:val="1"/>
                <w:sz w:val="21"/>
              </w:rPr>
              <w:t> </w:t>
            </w:r>
            <w:r>
              <w:rPr>
                <w:sz w:val="21"/>
              </w:rPr>
              <w:t>股票在锁定期满后两年内减持的，该等股票的减持价格不低于富士康工业互联网股份有限公司首次公开发行股票之</w:t>
            </w:r>
            <w:r>
              <w:rPr>
                <w:spacing w:val="1"/>
                <w:sz w:val="21"/>
              </w:rPr>
              <w:t> </w:t>
            </w:r>
            <w:r>
              <w:rPr>
                <w:spacing w:val="-4"/>
                <w:sz w:val="21"/>
              </w:rPr>
              <w:t>时的发行价。富士康工业互联网股份有限公司上市后 </w:t>
            </w:r>
            <w:r>
              <w:rPr>
                <w:sz w:val="21"/>
              </w:rPr>
              <w:t>6</w:t>
            </w:r>
            <w:r>
              <w:rPr>
                <w:spacing w:val="-20"/>
                <w:sz w:val="21"/>
              </w:rPr>
              <w:t> 个月</w:t>
            </w:r>
          </w:p>
          <w:p>
            <w:pPr>
              <w:pStyle w:val="TableParagraph"/>
              <w:spacing w:before="15"/>
              <w:ind w:left="108"/>
              <w:jc w:val="both"/>
              <w:rPr>
                <w:sz w:val="21"/>
              </w:rPr>
            </w:pPr>
            <w:r>
              <w:rPr>
                <w:spacing w:val="-1"/>
                <w:sz w:val="21"/>
              </w:rPr>
              <w:t>内如富士康工业互联网股份有限公司股票连续 </w:t>
            </w:r>
            <w:r>
              <w:rPr>
                <w:sz w:val="21"/>
              </w:rPr>
              <w:t>20</w:t>
            </w:r>
            <w:r>
              <w:rPr>
                <w:spacing w:val="-3"/>
                <w:sz w:val="21"/>
              </w:rPr>
              <w:t> 个交易日</w:t>
            </w:r>
          </w:p>
          <w:p>
            <w:pPr>
              <w:pStyle w:val="TableParagraph"/>
              <w:spacing w:line="242" w:lineRule="auto" w:before="2"/>
              <w:ind w:left="108" w:right="85"/>
              <w:jc w:val="both"/>
              <w:rPr>
                <w:sz w:val="21"/>
              </w:rPr>
            </w:pPr>
            <w:r>
              <w:rPr>
                <w:spacing w:val="-5"/>
                <w:sz w:val="21"/>
              </w:rPr>
              <w:t>的收盘价低于发行价，或者上市后 </w:t>
            </w:r>
            <w:r>
              <w:rPr>
                <w:sz w:val="21"/>
              </w:rPr>
              <w:t>6</w:t>
            </w:r>
            <w:r>
              <w:rPr>
                <w:spacing w:val="-8"/>
                <w:sz w:val="21"/>
              </w:rPr>
              <w:t> 个月期末收盘价低于发</w:t>
            </w:r>
            <w:r>
              <w:rPr>
                <w:sz w:val="21"/>
              </w:rPr>
              <w:t>行价，本人直接或间接持有富士康工业互联网股份有限公</w:t>
            </w:r>
            <w:r>
              <w:rPr>
                <w:spacing w:val="1"/>
                <w:sz w:val="21"/>
              </w:rPr>
              <w:t> </w:t>
            </w:r>
            <w:r>
              <w:rPr>
                <w:spacing w:val="-5"/>
                <w:sz w:val="21"/>
              </w:rPr>
              <w:t>司股票的锁定期限自动延长至少 </w:t>
            </w:r>
            <w:r>
              <w:rPr>
                <w:sz w:val="21"/>
              </w:rPr>
              <w:t>6</w:t>
            </w:r>
            <w:r>
              <w:rPr>
                <w:spacing w:val="-8"/>
                <w:sz w:val="21"/>
              </w:rPr>
              <w:t> 个月。如果富士康工业互</w:t>
            </w:r>
          </w:p>
          <w:p>
            <w:pPr>
              <w:pStyle w:val="TableParagraph"/>
              <w:spacing w:line="270" w:lineRule="atLeast"/>
              <w:ind w:left="108" w:right="85"/>
              <w:rPr>
                <w:sz w:val="21"/>
              </w:rPr>
            </w:pPr>
            <w:r>
              <w:rPr>
                <w:sz w:val="21"/>
              </w:rPr>
              <w:t>联网股份有限公司上市后因派发现金红利、送股、转增股</w:t>
            </w:r>
            <w:r>
              <w:rPr>
                <w:spacing w:val="1"/>
                <w:sz w:val="21"/>
              </w:rPr>
              <w:t> </w:t>
            </w:r>
            <w:r>
              <w:rPr>
                <w:sz w:val="21"/>
              </w:rPr>
              <w:t>本等原因进行除权、除息的，则按照上海证券交易所的有</w:t>
            </w:r>
          </w:p>
        </w:tc>
        <w:tc>
          <w:tcPr>
            <w:tcW w:w="1133" w:type="dxa"/>
          </w:tcPr>
          <w:p>
            <w:pPr>
              <w:pStyle w:val="TableParagraph"/>
              <w:spacing w:line="242" w:lineRule="auto" w:before="1"/>
              <w:ind w:left="108" w:right="93"/>
              <w:jc w:val="both"/>
              <w:rPr>
                <w:sz w:val="21"/>
              </w:rPr>
            </w:pPr>
            <w:r>
              <w:rPr>
                <w:spacing w:val="17"/>
                <w:sz w:val="21"/>
              </w:rPr>
              <w:t>公司股票上市交易</w:t>
            </w:r>
            <w:r>
              <w:rPr>
                <w:spacing w:val="-10"/>
                <w:sz w:val="21"/>
              </w:rPr>
              <w:t>之日起 </w:t>
            </w:r>
            <w:r>
              <w:rPr>
                <w:spacing w:val="-3"/>
                <w:sz w:val="21"/>
              </w:rPr>
              <w:t>42</w:t>
            </w:r>
            <w:r>
              <w:rPr>
                <w:spacing w:val="-102"/>
                <w:sz w:val="21"/>
              </w:rPr>
              <w:t> </w:t>
            </w:r>
            <w:r>
              <w:rPr>
                <w:spacing w:val="17"/>
                <w:sz w:val="21"/>
              </w:rPr>
              <w:t>个月内；</w:t>
            </w:r>
            <w:r>
              <w:rPr>
                <w:spacing w:val="-103"/>
                <w:sz w:val="21"/>
              </w:rPr>
              <w:t> </w:t>
            </w:r>
            <w:r>
              <w:rPr>
                <w:spacing w:val="17"/>
                <w:sz w:val="21"/>
              </w:rPr>
              <w:t>任职期内及离职后</w:t>
            </w:r>
          </w:p>
          <w:p>
            <w:pPr>
              <w:pStyle w:val="TableParagraph"/>
              <w:spacing w:line="242" w:lineRule="auto" w:before="4"/>
              <w:ind w:left="108" w:right="67"/>
              <w:jc w:val="both"/>
              <w:rPr>
                <w:sz w:val="21"/>
              </w:rPr>
            </w:pPr>
            <w:r>
              <w:rPr>
                <w:sz w:val="21"/>
              </w:rPr>
              <w:t>6</w:t>
            </w:r>
            <w:r>
              <w:rPr>
                <w:spacing w:val="18"/>
                <w:sz w:val="21"/>
              </w:rPr>
              <w:t> 个月；</w:t>
            </w:r>
            <w:r>
              <w:rPr>
                <w:spacing w:val="-103"/>
                <w:sz w:val="21"/>
              </w:rPr>
              <w:t> </w:t>
            </w:r>
            <w:r>
              <w:rPr>
                <w:spacing w:val="17"/>
                <w:sz w:val="21"/>
              </w:rPr>
              <w:t>减持价格承诺自公司股票上市交易之</w:t>
            </w:r>
            <w:r>
              <w:rPr>
                <w:spacing w:val="-23"/>
                <w:sz w:val="21"/>
              </w:rPr>
              <w:t>日起 </w:t>
            </w:r>
            <w:r>
              <w:rPr>
                <w:sz w:val="21"/>
              </w:rPr>
              <w:t>66</w:t>
            </w:r>
            <w:r>
              <w:rPr>
                <w:spacing w:val="-33"/>
                <w:sz w:val="21"/>
              </w:rPr>
              <w:t> 个</w:t>
            </w:r>
            <w:r>
              <w:rPr>
                <w:sz w:val="21"/>
              </w:rPr>
              <w:t>月 </w:t>
            </w:r>
          </w:p>
        </w:tc>
        <w:tc>
          <w:tcPr>
            <w:tcW w:w="711" w:type="dxa"/>
          </w:tcPr>
          <w:p>
            <w:pPr>
              <w:pStyle w:val="TableParagraph"/>
              <w:spacing w:before="1"/>
              <w:ind w:left="108"/>
              <w:rPr>
                <w:sz w:val="21"/>
              </w:rPr>
            </w:pPr>
            <w:r>
              <w:rPr>
                <w:sz w:val="21"/>
              </w:rPr>
              <w:t>是</w:t>
            </w:r>
            <w:r>
              <w:rPr>
                <w:color w:val="FFC000"/>
                <w:sz w:val="21"/>
              </w:rPr>
              <w:t> </w:t>
            </w:r>
          </w:p>
        </w:tc>
        <w:tc>
          <w:tcPr>
            <w:tcW w:w="709" w:type="dxa"/>
          </w:tcPr>
          <w:p>
            <w:pPr>
              <w:pStyle w:val="TableParagraph"/>
              <w:spacing w:before="1"/>
              <w:ind w:left="107"/>
              <w:rPr>
                <w:sz w:val="21"/>
              </w:rPr>
            </w:pPr>
            <w:r>
              <w:rPr>
                <w:sz w:val="21"/>
              </w:rPr>
              <w:t>是</w:t>
            </w:r>
            <w:r>
              <w:rPr>
                <w:color w:val="FFC000"/>
                <w:sz w:val="21"/>
              </w:rPr>
              <w:t>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left="106"/>
              <w:rPr>
                <w:sz w:val="21"/>
              </w:rPr>
            </w:pPr>
            <w:r>
              <w:rPr>
                <w:sz w:val="21"/>
              </w:rPr>
              <w:t>不适用 </w:t>
            </w:r>
          </w:p>
        </w:tc>
      </w:tr>
    </w:tbl>
    <w:p>
      <w:pPr>
        <w:spacing w:after="0"/>
        <w:rPr>
          <w:sz w:val="21"/>
        </w:rPr>
        <w:sectPr>
          <w:pgSz w:w="16840" w:h="11910" w:orient="landscape"/>
          <w:pgMar w:header="880" w:footer="1195" w:top="1180" w:bottom="1380" w:left="1320" w:right="1420"/>
        </w:sectPr>
      </w:pPr>
    </w:p>
    <w:p>
      <w:pPr>
        <w:pStyle w:val="BodyText"/>
        <w:ind w:left="0"/>
        <w:rPr>
          <w:sz w:val="20"/>
        </w:rPr>
      </w:pPr>
    </w:p>
    <w:p>
      <w:pPr>
        <w:pStyle w:val="BodyText"/>
        <w:spacing w:before="2"/>
        <w:ind w:left="0"/>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135"/>
        <w:gridCol w:w="1135"/>
        <w:gridCol w:w="5670"/>
        <w:gridCol w:w="1133"/>
        <w:gridCol w:w="711"/>
        <w:gridCol w:w="709"/>
        <w:gridCol w:w="1277"/>
        <w:gridCol w:w="965"/>
      </w:tblGrid>
      <w:tr>
        <w:trPr>
          <w:trHeight w:val="815" w:hRule="atLeast"/>
        </w:trPr>
        <w:tc>
          <w:tcPr>
            <w:tcW w:w="1145" w:type="dxa"/>
            <w:vMerge w:val="restart"/>
          </w:tcPr>
          <w:p>
            <w:pPr>
              <w:pStyle w:val="TableParagraph"/>
              <w:rPr>
                <w:rFonts w:ascii="Times New Roman"/>
                <w:sz w:val="20"/>
              </w:rPr>
            </w:pPr>
          </w:p>
        </w:tc>
        <w:tc>
          <w:tcPr>
            <w:tcW w:w="1135" w:type="dxa"/>
          </w:tcPr>
          <w:p>
            <w:pPr>
              <w:pStyle w:val="TableParagraph"/>
              <w:rPr>
                <w:rFonts w:ascii="Times New Roman"/>
                <w:sz w:val="20"/>
              </w:rPr>
            </w:pPr>
          </w:p>
        </w:tc>
        <w:tc>
          <w:tcPr>
            <w:tcW w:w="1135" w:type="dxa"/>
          </w:tcPr>
          <w:p>
            <w:pPr>
              <w:pStyle w:val="TableParagraph"/>
              <w:rPr>
                <w:rFonts w:ascii="Times New Roman"/>
                <w:sz w:val="20"/>
              </w:rPr>
            </w:pPr>
          </w:p>
        </w:tc>
        <w:tc>
          <w:tcPr>
            <w:tcW w:w="5670" w:type="dxa"/>
          </w:tcPr>
          <w:p>
            <w:pPr>
              <w:pStyle w:val="TableParagraph"/>
              <w:spacing w:line="242" w:lineRule="auto" w:before="1"/>
              <w:ind w:left="108" w:right="84"/>
              <w:rPr>
                <w:sz w:val="21"/>
              </w:rPr>
            </w:pPr>
            <w:r>
              <w:rPr>
                <w:sz w:val="21"/>
              </w:rPr>
              <w:t>关规定作除权、除息调整。在上述承诺履行期间，本人职</w:t>
            </w:r>
            <w:r>
              <w:rPr>
                <w:spacing w:val="1"/>
                <w:sz w:val="21"/>
              </w:rPr>
              <w:t> </w:t>
            </w:r>
            <w:r>
              <w:rPr>
                <w:sz w:val="21"/>
              </w:rPr>
              <w:t>务变更、离职等原因不影响本承诺的效力，在此期间本人</w:t>
            </w:r>
          </w:p>
          <w:p>
            <w:pPr>
              <w:pStyle w:val="TableParagraph"/>
              <w:spacing w:line="250" w:lineRule="exact" w:before="1"/>
              <w:ind w:left="108"/>
              <w:rPr>
                <w:sz w:val="21"/>
              </w:rPr>
            </w:pPr>
            <w:r>
              <w:rPr>
                <w:spacing w:val="-1"/>
                <w:sz w:val="21"/>
              </w:rPr>
              <w:t>仍将继续履行上述承诺。</w:t>
            </w:r>
            <w:r>
              <w:rPr>
                <w:sz w:val="21"/>
              </w:rPr>
              <w:t> </w:t>
            </w:r>
          </w:p>
        </w:tc>
        <w:tc>
          <w:tcPr>
            <w:tcW w:w="1133" w:type="dxa"/>
          </w:tcPr>
          <w:p>
            <w:pPr>
              <w:pStyle w:val="TableParagraph"/>
              <w:rPr>
                <w:rFonts w:ascii="Times New Roman"/>
                <w:sz w:val="20"/>
              </w:rPr>
            </w:pPr>
          </w:p>
        </w:tc>
        <w:tc>
          <w:tcPr>
            <w:tcW w:w="711" w:type="dxa"/>
          </w:tcPr>
          <w:p>
            <w:pPr>
              <w:pStyle w:val="TableParagraph"/>
              <w:rPr>
                <w:rFonts w:ascii="Times New Roman"/>
                <w:sz w:val="20"/>
              </w:rPr>
            </w:pPr>
          </w:p>
        </w:tc>
        <w:tc>
          <w:tcPr>
            <w:tcW w:w="709" w:type="dxa"/>
          </w:tcPr>
          <w:p>
            <w:pPr>
              <w:pStyle w:val="TableParagraph"/>
              <w:rPr>
                <w:rFonts w:ascii="Times New Roman"/>
                <w:sz w:val="20"/>
              </w:rPr>
            </w:pPr>
          </w:p>
        </w:tc>
        <w:tc>
          <w:tcPr>
            <w:tcW w:w="1277" w:type="dxa"/>
          </w:tcPr>
          <w:p>
            <w:pPr>
              <w:pStyle w:val="TableParagraph"/>
              <w:rPr>
                <w:rFonts w:ascii="Times New Roman"/>
                <w:sz w:val="20"/>
              </w:rPr>
            </w:pPr>
          </w:p>
        </w:tc>
        <w:tc>
          <w:tcPr>
            <w:tcW w:w="965" w:type="dxa"/>
          </w:tcPr>
          <w:p>
            <w:pPr>
              <w:pStyle w:val="TableParagraph"/>
              <w:rPr>
                <w:rFonts w:ascii="Times New Roman"/>
                <w:sz w:val="20"/>
              </w:rPr>
            </w:pPr>
          </w:p>
        </w:tc>
      </w:tr>
      <w:tr>
        <w:trPr>
          <w:trHeight w:val="7357" w:hRule="atLeast"/>
        </w:trPr>
        <w:tc>
          <w:tcPr>
            <w:tcW w:w="1145" w:type="dxa"/>
            <w:vMerge/>
            <w:tcBorders>
              <w:top w:val="nil"/>
            </w:tcBorders>
          </w:tcPr>
          <w:p>
            <w:pPr>
              <w:rPr>
                <w:sz w:val="2"/>
                <w:szCs w:val="2"/>
              </w:rPr>
            </w:pPr>
          </w:p>
        </w:tc>
        <w:tc>
          <w:tcPr>
            <w:tcW w:w="1135" w:type="dxa"/>
          </w:tcPr>
          <w:p>
            <w:pPr>
              <w:pStyle w:val="TableParagraph"/>
              <w:spacing w:before="3"/>
              <w:ind w:left="108"/>
              <w:rPr>
                <w:sz w:val="21"/>
              </w:rPr>
            </w:pPr>
            <w:r>
              <w:rPr>
                <w:spacing w:val="-1"/>
                <w:sz w:val="21"/>
              </w:rPr>
              <w:t>股份限售</w:t>
            </w:r>
            <w:r>
              <w:rPr>
                <w:sz w:val="21"/>
              </w:rPr>
              <w:t> </w:t>
            </w:r>
          </w:p>
        </w:tc>
        <w:tc>
          <w:tcPr>
            <w:tcW w:w="1135" w:type="dxa"/>
          </w:tcPr>
          <w:p>
            <w:pPr>
              <w:pStyle w:val="TableParagraph"/>
              <w:spacing w:before="3"/>
              <w:ind w:left="108"/>
              <w:rPr>
                <w:sz w:val="21"/>
              </w:rPr>
            </w:pPr>
            <w:r>
              <w:rPr>
                <w:sz w:val="21"/>
              </w:rPr>
              <w:t>张占武 </w:t>
            </w:r>
          </w:p>
        </w:tc>
        <w:tc>
          <w:tcPr>
            <w:tcW w:w="5670" w:type="dxa"/>
          </w:tcPr>
          <w:p>
            <w:pPr>
              <w:pStyle w:val="TableParagraph"/>
              <w:spacing w:line="242" w:lineRule="auto" w:before="3"/>
              <w:ind w:left="108" w:right="83"/>
              <w:jc w:val="both"/>
              <w:rPr>
                <w:sz w:val="21"/>
              </w:rPr>
            </w:pPr>
            <w:r>
              <w:rPr>
                <w:sz w:val="21"/>
              </w:rPr>
              <w:t>本人将严格履行富士康工业互联网股份有限公司首次公开</w:t>
            </w:r>
            <w:r>
              <w:rPr>
                <w:spacing w:val="1"/>
                <w:sz w:val="21"/>
              </w:rPr>
              <w:t> </w:t>
            </w:r>
            <w:r>
              <w:rPr>
                <w:sz w:val="21"/>
              </w:rPr>
              <w:t>发行股票并上市招股说明书中披露的股票锁定承诺，自富</w:t>
            </w:r>
            <w:r>
              <w:rPr>
                <w:spacing w:val="1"/>
                <w:sz w:val="21"/>
              </w:rPr>
              <w:t> </w:t>
            </w:r>
            <w:r>
              <w:rPr>
                <w:spacing w:val="3"/>
                <w:sz w:val="21"/>
              </w:rPr>
              <w:t>士康工业互联网股份有限公司</w:t>
            </w:r>
            <w:r>
              <w:rPr>
                <w:sz w:val="21"/>
              </w:rPr>
              <w:t>A</w:t>
            </w:r>
            <w:r>
              <w:rPr>
                <w:spacing w:val="-8"/>
                <w:sz w:val="21"/>
              </w:rPr>
              <w:t> 股股票在上海证券交易所上</w:t>
            </w:r>
            <w:r>
              <w:rPr>
                <w:sz w:val="21"/>
              </w:rPr>
              <w:t>市之日起三十六个月内，不转让或者委托他人管理在富士</w:t>
            </w:r>
            <w:r>
              <w:rPr>
                <w:spacing w:val="1"/>
                <w:sz w:val="21"/>
              </w:rPr>
              <w:t> </w:t>
            </w:r>
            <w:r>
              <w:rPr>
                <w:sz w:val="21"/>
              </w:rPr>
              <w:t>康工业互联网股份有限公司上市之前直接或间接持有的富</w:t>
            </w:r>
            <w:r>
              <w:rPr>
                <w:spacing w:val="1"/>
                <w:sz w:val="21"/>
              </w:rPr>
              <w:t> </w:t>
            </w:r>
            <w:r>
              <w:rPr>
                <w:sz w:val="21"/>
              </w:rPr>
              <w:t>士康工业互联网股份有限公司股份，也不由富士康工业互</w:t>
            </w:r>
            <w:r>
              <w:rPr>
                <w:spacing w:val="1"/>
                <w:sz w:val="21"/>
              </w:rPr>
              <w:t> </w:t>
            </w:r>
            <w:r>
              <w:rPr>
                <w:sz w:val="21"/>
              </w:rPr>
              <w:t>联网股份有限公司回购本人在富士康工业互联网股份有限</w:t>
            </w:r>
            <w:r>
              <w:rPr>
                <w:spacing w:val="1"/>
                <w:sz w:val="21"/>
              </w:rPr>
              <w:t> </w:t>
            </w:r>
            <w:r>
              <w:rPr>
                <w:sz w:val="21"/>
              </w:rPr>
              <w:t>公司上市之前直接或间接持有的富士康工业互联网股份有</w:t>
            </w:r>
            <w:r>
              <w:rPr>
                <w:spacing w:val="1"/>
                <w:sz w:val="21"/>
              </w:rPr>
              <w:t> </w:t>
            </w:r>
            <w:r>
              <w:rPr>
                <w:sz w:val="21"/>
              </w:rPr>
              <w:t>限公司股份。若因富士康工业互联网股份有限公司进行权</w:t>
            </w:r>
            <w:r>
              <w:rPr>
                <w:spacing w:val="1"/>
                <w:sz w:val="21"/>
              </w:rPr>
              <w:t> </w:t>
            </w:r>
            <w:r>
              <w:rPr>
                <w:sz w:val="21"/>
              </w:rPr>
              <w:t>益分派等导致本人直接或间接持有的富士康工业互联网股</w:t>
            </w:r>
            <w:r>
              <w:rPr>
                <w:spacing w:val="1"/>
                <w:sz w:val="21"/>
              </w:rPr>
              <w:t> </w:t>
            </w:r>
            <w:r>
              <w:rPr>
                <w:sz w:val="21"/>
              </w:rPr>
              <w:t>份有限公司股份发生变化的，本人仍将遵守上述承诺。在</w:t>
            </w:r>
            <w:r>
              <w:rPr>
                <w:spacing w:val="1"/>
                <w:sz w:val="21"/>
              </w:rPr>
              <w:t> </w:t>
            </w:r>
            <w:r>
              <w:rPr>
                <w:sz w:val="21"/>
              </w:rPr>
              <w:t>担任富士康工业互联网股份有限公司监事期间，如实并及</w:t>
            </w:r>
            <w:r>
              <w:rPr>
                <w:spacing w:val="1"/>
                <w:sz w:val="21"/>
              </w:rPr>
              <w:t> </w:t>
            </w:r>
            <w:r>
              <w:rPr>
                <w:sz w:val="21"/>
              </w:rPr>
              <w:t>时申报直接或间接持有富士康工业互联网股份有限公司股</w:t>
            </w:r>
            <w:r>
              <w:rPr>
                <w:spacing w:val="1"/>
                <w:sz w:val="21"/>
              </w:rPr>
              <w:t> </w:t>
            </w:r>
            <w:r>
              <w:rPr>
                <w:sz w:val="21"/>
              </w:rPr>
              <w:t>份及其变动情况；在上述承诺期限届满后，每年转让直接</w:t>
            </w:r>
            <w:r>
              <w:rPr>
                <w:spacing w:val="1"/>
                <w:sz w:val="21"/>
              </w:rPr>
              <w:t> </w:t>
            </w:r>
            <w:r>
              <w:rPr>
                <w:sz w:val="21"/>
              </w:rPr>
              <w:t>或间接持有的富士康工业互联网股份有限公司股份不超过</w:t>
            </w:r>
            <w:r>
              <w:rPr>
                <w:spacing w:val="1"/>
                <w:sz w:val="21"/>
              </w:rPr>
              <w:t> </w:t>
            </w:r>
            <w:r>
              <w:rPr>
                <w:sz w:val="21"/>
              </w:rPr>
              <w:t>直接或间接持有富士康工业互联网股份有限公司股份总数</w:t>
            </w:r>
            <w:r>
              <w:rPr>
                <w:spacing w:val="1"/>
                <w:sz w:val="21"/>
              </w:rPr>
              <w:t> </w:t>
            </w:r>
            <w:r>
              <w:rPr>
                <w:spacing w:val="-5"/>
                <w:sz w:val="21"/>
              </w:rPr>
              <w:t>的 </w:t>
            </w:r>
            <w:r>
              <w:rPr>
                <w:sz w:val="21"/>
              </w:rPr>
              <w:t>25%。在买入后六个月内卖出，或者在卖出后六个月内又买入，由此所得收益归富士康工业互联网股份有限公司所</w:t>
            </w:r>
            <w:r>
              <w:rPr>
                <w:spacing w:val="1"/>
                <w:sz w:val="21"/>
              </w:rPr>
              <w:t> </w:t>
            </w:r>
            <w:r>
              <w:rPr>
                <w:sz w:val="21"/>
              </w:rPr>
              <w:t>有；离职后六个月内，不转让直接或间接持有的富士康工</w:t>
            </w:r>
            <w:r>
              <w:rPr>
                <w:spacing w:val="1"/>
                <w:sz w:val="21"/>
              </w:rPr>
              <w:t> </w:t>
            </w:r>
            <w:r>
              <w:rPr>
                <w:sz w:val="21"/>
              </w:rPr>
              <w:t>业互联网股份有限公司股份。本人所持股票在锁定期满后</w:t>
            </w:r>
            <w:r>
              <w:rPr>
                <w:spacing w:val="1"/>
                <w:sz w:val="21"/>
              </w:rPr>
              <w:t> </w:t>
            </w:r>
            <w:r>
              <w:rPr>
                <w:sz w:val="21"/>
              </w:rPr>
              <w:t>两年内减持的，该等股票的减持价格不低于富士康工业互</w:t>
            </w:r>
            <w:r>
              <w:rPr>
                <w:spacing w:val="1"/>
                <w:sz w:val="21"/>
              </w:rPr>
              <w:t> </w:t>
            </w:r>
            <w:r>
              <w:rPr>
                <w:sz w:val="21"/>
              </w:rPr>
              <w:t>联网股份有限公司首次公开发行股票之时的发行价。如果</w:t>
            </w:r>
            <w:r>
              <w:rPr>
                <w:spacing w:val="1"/>
                <w:sz w:val="21"/>
              </w:rPr>
              <w:t> </w:t>
            </w:r>
            <w:r>
              <w:rPr>
                <w:sz w:val="21"/>
              </w:rPr>
              <w:t>富士康工业互联网股份有限公司上市后因派发现金红利、</w:t>
            </w:r>
            <w:r>
              <w:rPr>
                <w:spacing w:val="1"/>
                <w:sz w:val="21"/>
              </w:rPr>
              <w:t> </w:t>
            </w:r>
            <w:r>
              <w:rPr>
                <w:sz w:val="21"/>
              </w:rPr>
              <w:t>送股、转增股本等原因进行除权、除息的，则按照上海证</w:t>
            </w:r>
            <w:r>
              <w:rPr>
                <w:spacing w:val="1"/>
                <w:sz w:val="21"/>
              </w:rPr>
              <w:t> </w:t>
            </w:r>
            <w:r>
              <w:rPr>
                <w:sz w:val="21"/>
              </w:rPr>
              <w:t>券交易所的有关规定作除权、除息调整。在上述承诺履行</w:t>
            </w:r>
            <w:r>
              <w:rPr>
                <w:spacing w:val="1"/>
                <w:sz w:val="21"/>
              </w:rPr>
              <w:t> </w:t>
            </w:r>
            <w:r>
              <w:rPr>
                <w:sz w:val="21"/>
              </w:rPr>
              <w:t>期间，本人职务变更、离职等原因不影响本承诺的效力，</w:t>
            </w:r>
          </w:p>
          <w:p>
            <w:pPr>
              <w:pStyle w:val="TableParagraph"/>
              <w:spacing w:line="252" w:lineRule="exact" w:before="16"/>
              <w:ind w:left="108"/>
              <w:rPr>
                <w:sz w:val="21"/>
              </w:rPr>
            </w:pPr>
            <w:r>
              <w:rPr>
                <w:spacing w:val="-1"/>
                <w:sz w:val="21"/>
              </w:rPr>
              <w:t>在此期间本人仍将继续履行上述承诺。</w:t>
            </w:r>
            <w:r>
              <w:rPr>
                <w:sz w:val="21"/>
              </w:rPr>
              <w:t> </w:t>
            </w:r>
          </w:p>
        </w:tc>
        <w:tc>
          <w:tcPr>
            <w:tcW w:w="1133" w:type="dxa"/>
          </w:tcPr>
          <w:p>
            <w:pPr>
              <w:pStyle w:val="TableParagraph"/>
              <w:spacing w:line="242" w:lineRule="auto" w:before="3"/>
              <w:ind w:left="108" w:right="93"/>
              <w:jc w:val="both"/>
              <w:rPr>
                <w:sz w:val="21"/>
              </w:rPr>
            </w:pPr>
            <w:r>
              <w:rPr>
                <w:spacing w:val="17"/>
                <w:sz w:val="21"/>
              </w:rPr>
              <w:t>公司股票上市交易</w:t>
            </w:r>
            <w:r>
              <w:rPr>
                <w:spacing w:val="-10"/>
                <w:sz w:val="21"/>
              </w:rPr>
              <w:t>之日起 </w:t>
            </w:r>
            <w:r>
              <w:rPr>
                <w:spacing w:val="-3"/>
                <w:sz w:val="21"/>
              </w:rPr>
              <w:t>36</w:t>
            </w:r>
            <w:r>
              <w:rPr>
                <w:spacing w:val="-102"/>
                <w:sz w:val="21"/>
              </w:rPr>
              <w:t> </w:t>
            </w:r>
            <w:r>
              <w:rPr>
                <w:spacing w:val="17"/>
                <w:sz w:val="21"/>
              </w:rPr>
              <w:t>个月内；</w:t>
            </w:r>
            <w:r>
              <w:rPr>
                <w:spacing w:val="-103"/>
                <w:sz w:val="21"/>
              </w:rPr>
              <w:t> </w:t>
            </w:r>
            <w:r>
              <w:rPr>
                <w:spacing w:val="17"/>
                <w:sz w:val="21"/>
              </w:rPr>
              <w:t>任职期内及离职后</w:t>
            </w:r>
            <w:r>
              <w:rPr>
                <w:spacing w:val="-1"/>
                <w:sz w:val="21"/>
              </w:rPr>
              <w:t>6</w:t>
            </w:r>
            <w:r>
              <w:rPr>
                <w:spacing w:val="-18"/>
                <w:sz w:val="21"/>
              </w:rPr>
              <w:t> 个月</w:t>
            </w:r>
            <w:r>
              <w:rPr>
                <w:sz w:val="21"/>
              </w:rPr>
              <w:t> </w:t>
            </w:r>
          </w:p>
        </w:tc>
        <w:tc>
          <w:tcPr>
            <w:tcW w:w="711" w:type="dxa"/>
          </w:tcPr>
          <w:p>
            <w:pPr>
              <w:pStyle w:val="TableParagraph"/>
              <w:spacing w:before="3"/>
              <w:ind w:left="108"/>
              <w:rPr>
                <w:sz w:val="21"/>
              </w:rPr>
            </w:pPr>
            <w:r>
              <w:rPr>
                <w:sz w:val="21"/>
              </w:rPr>
              <w:t>是 </w:t>
            </w:r>
          </w:p>
        </w:tc>
        <w:tc>
          <w:tcPr>
            <w:tcW w:w="709" w:type="dxa"/>
          </w:tcPr>
          <w:p>
            <w:pPr>
              <w:pStyle w:val="TableParagraph"/>
              <w:spacing w:before="3"/>
              <w:ind w:left="107"/>
              <w:rPr>
                <w:sz w:val="21"/>
              </w:rPr>
            </w:pPr>
            <w:r>
              <w:rPr>
                <w:sz w:val="21"/>
              </w:rPr>
              <w:t>是 </w:t>
            </w:r>
          </w:p>
        </w:tc>
        <w:tc>
          <w:tcPr>
            <w:tcW w:w="1277" w:type="dxa"/>
          </w:tcPr>
          <w:p>
            <w:pPr>
              <w:pStyle w:val="TableParagraph"/>
              <w:spacing w:before="3"/>
              <w:ind w:left="107"/>
              <w:rPr>
                <w:sz w:val="21"/>
              </w:rPr>
            </w:pPr>
            <w:r>
              <w:rPr>
                <w:sz w:val="21"/>
              </w:rPr>
              <w:t>不适用 </w:t>
            </w:r>
          </w:p>
        </w:tc>
        <w:tc>
          <w:tcPr>
            <w:tcW w:w="965" w:type="dxa"/>
          </w:tcPr>
          <w:p>
            <w:pPr>
              <w:pStyle w:val="TableParagraph"/>
              <w:spacing w:before="3"/>
              <w:ind w:left="106"/>
              <w:rPr>
                <w:sz w:val="21"/>
              </w:rPr>
            </w:pPr>
            <w:r>
              <w:rPr>
                <w:sz w:val="21"/>
              </w:rPr>
              <w:t>不适用 </w:t>
            </w:r>
          </w:p>
        </w:tc>
      </w:tr>
    </w:tbl>
    <w:p>
      <w:pPr>
        <w:spacing w:after="0"/>
        <w:rPr>
          <w:sz w:val="21"/>
        </w:rPr>
        <w:sectPr>
          <w:pgSz w:w="16840" w:h="11910" w:orient="landscape"/>
          <w:pgMar w:header="880" w:footer="1195" w:top="1180" w:bottom="1380" w:left="1320" w:right="1420"/>
        </w:sectPr>
      </w:pPr>
    </w:p>
    <w:p>
      <w:pPr>
        <w:pStyle w:val="BodyText"/>
        <w:ind w:left="0"/>
        <w:rPr>
          <w:sz w:val="20"/>
        </w:rPr>
      </w:pPr>
    </w:p>
    <w:p>
      <w:pPr>
        <w:pStyle w:val="BodyText"/>
        <w:spacing w:before="2"/>
        <w:ind w:left="0"/>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135"/>
        <w:gridCol w:w="1135"/>
        <w:gridCol w:w="5670"/>
        <w:gridCol w:w="1133"/>
        <w:gridCol w:w="711"/>
        <w:gridCol w:w="709"/>
        <w:gridCol w:w="1277"/>
        <w:gridCol w:w="965"/>
      </w:tblGrid>
      <w:tr>
        <w:trPr>
          <w:trHeight w:val="6535" w:hRule="atLeast"/>
        </w:trPr>
        <w:tc>
          <w:tcPr>
            <w:tcW w:w="1145" w:type="dxa"/>
            <w:vMerge w:val="restart"/>
          </w:tcPr>
          <w:p>
            <w:pPr>
              <w:pStyle w:val="TableParagraph"/>
              <w:rPr>
                <w:rFonts w:ascii="Times New Roman"/>
                <w:sz w:val="20"/>
              </w:rPr>
            </w:pPr>
          </w:p>
        </w:tc>
        <w:tc>
          <w:tcPr>
            <w:tcW w:w="1135" w:type="dxa"/>
          </w:tcPr>
          <w:p>
            <w:pPr>
              <w:pStyle w:val="TableParagraph"/>
              <w:spacing w:before="1"/>
              <w:ind w:left="108"/>
              <w:rPr>
                <w:sz w:val="21"/>
              </w:rPr>
            </w:pPr>
            <w:r>
              <w:rPr>
                <w:sz w:val="21"/>
              </w:rPr>
              <w:t>其他 </w:t>
            </w:r>
          </w:p>
        </w:tc>
        <w:tc>
          <w:tcPr>
            <w:tcW w:w="1135" w:type="dxa"/>
          </w:tcPr>
          <w:p>
            <w:pPr>
              <w:pStyle w:val="TableParagraph"/>
              <w:spacing w:before="1"/>
              <w:ind w:left="108"/>
              <w:rPr>
                <w:sz w:val="21"/>
              </w:rPr>
            </w:pPr>
            <w:r>
              <w:rPr>
                <w:spacing w:val="-1"/>
                <w:sz w:val="21"/>
              </w:rPr>
              <w:t>中坚公司</w:t>
            </w:r>
            <w:r>
              <w:rPr>
                <w:sz w:val="21"/>
              </w:rPr>
              <w:t> </w:t>
            </w:r>
          </w:p>
        </w:tc>
        <w:tc>
          <w:tcPr>
            <w:tcW w:w="5670" w:type="dxa"/>
          </w:tcPr>
          <w:p>
            <w:pPr>
              <w:pStyle w:val="TableParagraph"/>
              <w:spacing w:line="242" w:lineRule="auto" w:before="1"/>
              <w:ind w:left="108" w:right="83"/>
              <w:jc w:val="both"/>
              <w:rPr>
                <w:sz w:val="21"/>
              </w:rPr>
            </w:pPr>
            <w:r>
              <w:rPr>
                <w:sz w:val="21"/>
              </w:rPr>
              <w:t>1.如果在锁定期满后，本公司拟减持富士康工业互联网股</w:t>
            </w:r>
            <w:r>
              <w:rPr>
                <w:spacing w:val="13"/>
                <w:sz w:val="21"/>
              </w:rPr>
              <w:t>份有限公司股票的，将认真遵守中国证券监督管理委员</w:t>
            </w:r>
            <w:r>
              <w:rPr>
                <w:spacing w:val="4"/>
                <w:sz w:val="21"/>
              </w:rPr>
              <w:t>会、上海证券交易所关于持有上市公司 </w:t>
            </w:r>
            <w:r>
              <w:rPr>
                <w:sz w:val="21"/>
              </w:rPr>
              <w:t>5%以上股份的股东减持股份的相关规定，结合富士康工业互联网股份有限公</w:t>
            </w:r>
            <w:r>
              <w:rPr>
                <w:spacing w:val="1"/>
                <w:sz w:val="21"/>
              </w:rPr>
              <w:t> </w:t>
            </w:r>
            <w:r>
              <w:rPr>
                <w:sz w:val="21"/>
              </w:rPr>
              <w:t>司稳定股价、开展经营、资本运作的需要，审慎制定股票</w:t>
            </w:r>
            <w:r>
              <w:rPr>
                <w:spacing w:val="1"/>
                <w:sz w:val="21"/>
              </w:rPr>
              <w:t> </w:t>
            </w:r>
            <w:r>
              <w:rPr>
                <w:sz w:val="21"/>
              </w:rPr>
              <w:t>减持计划，在股票锁定期满后逐步减持；2.本公司减持富</w:t>
            </w:r>
            <w:r>
              <w:rPr>
                <w:spacing w:val="1"/>
                <w:sz w:val="21"/>
              </w:rPr>
              <w:t> </w:t>
            </w:r>
            <w:r>
              <w:rPr>
                <w:sz w:val="21"/>
              </w:rPr>
              <w:t>士康工业互联网股份有限公司股票应符合相关法律法规的</w:t>
            </w:r>
            <w:r>
              <w:rPr>
                <w:spacing w:val="1"/>
                <w:sz w:val="21"/>
              </w:rPr>
              <w:t> </w:t>
            </w:r>
            <w:r>
              <w:rPr>
                <w:sz w:val="21"/>
              </w:rPr>
              <w:t>规定，具体包括但不限于交易所集中竞价交易方式、大宗</w:t>
            </w:r>
            <w:r>
              <w:rPr>
                <w:spacing w:val="6"/>
                <w:sz w:val="21"/>
              </w:rPr>
              <w:t>交易方式、协议转让方式等； </w:t>
            </w:r>
            <w:r>
              <w:rPr>
                <w:sz w:val="21"/>
              </w:rPr>
              <w:t>3</w:t>
            </w:r>
            <w:r>
              <w:rPr>
                <w:spacing w:val="10"/>
                <w:sz w:val="21"/>
              </w:rPr>
              <w:t>.如果在锁定期满后两年</w:t>
            </w:r>
            <w:r>
              <w:rPr>
                <w:sz w:val="21"/>
              </w:rPr>
              <w:t>内，本公司拟减持股票的，减持价格不低于发行价格（发</w:t>
            </w:r>
            <w:r>
              <w:rPr>
                <w:spacing w:val="1"/>
                <w:sz w:val="21"/>
              </w:rPr>
              <w:t> </w:t>
            </w:r>
            <w:r>
              <w:rPr>
                <w:sz w:val="21"/>
              </w:rPr>
              <w:t>行价格指富士康工业互联网股份有限公司首次公开发行股</w:t>
            </w:r>
            <w:r>
              <w:rPr>
                <w:spacing w:val="1"/>
                <w:sz w:val="21"/>
              </w:rPr>
              <w:t> </w:t>
            </w:r>
            <w:r>
              <w:rPr>
                <w:sz w:val="21"/>
              </w:rPr>
              <w:t>票的发行价格，如果因富士康工业互联网股份有限公司上</w:t>
            </w:r>
            <w:r>
              <w:rPr>
                <w:spacing w:val="1"/>
                <w:sz w:val="21"/>
              </w:rPr>
              <w:t> </w:t>
            </w:r>
            <w:r>
              <w:rPr>
                <w:sz w:val="21"/>
              </w:rPr>
              <w:t>市后派发现金红利、送股、转增股本等原因进行除权、除</w:t>
            </w:r>
            <w:r>
              <w:rPr>
                <w:spacing w:val="5"/>
                <w:sz w:val="21"/>
              </w:rPr>
              <w:t>息的， 则按照上海证券交易所的有关规定除权、除息处</w:t>
            </w:r>
            <w:r>
              <w:rPr>
                <w:sz w:val="21"/>
              </w:rPr>
              <w:t>理）。锁定期满后两年内，本公司累计减持所持有的公司</w:t>
            </w:r>
            <w:r>
              <w:rPr>
                <w:spacing w:val="1"/>
                <w:sz w:val="21"/>
              </w:rPr>
              <w:t> </w:t>
            </w:r>
            <w:r>
              <w:rPr>
                <w:sz w:val="21"/>
              </w:rPr>
              <w:t>股份数量合计不超过本公司自身所持有富士康工业互联网</w:t>
            </w:r>
            <w:r>
              <w:rPr>
                <w:spacing w:val="1"/>
                <w:sz w:val="21"/>
              </w:rPr>
              <w:t> </w:t>
            </w:r>
            <w:r>
              <w:rPr>
                <w:spacing w:val="-1"/>
                <w:sz w:val="21"/>
              </w:rPr>
              <w:t>股份有限公司股份总数的 </w:t>
            </w:r>
            <w:r>
              <w:rPr>
                <w:sz w:val="21"/>
              </w:rPr>
              <w:t>30%。因公司进行权益分派、减资缩股等导致本公司所持富士康工业互联网股份有限公司股</w:t>
            </w:r>
            <w:r>
              <w:rPr>
                <w:spacing w:val="1"/>
                <w:sz w:val="21"/>
              </w:rPr>
              <w:t> </w:t>
            </w:r>
            <w:r>
              <w:rPr>
                <w:sz w:val="21"/>
              </w:rPr>
              <w:t>份变化的，相应年度可转让股份额度做相应变更；4.本公</w:t>
            </w:r>
            <w:r>
              <w:rPr>
                <w:spacing w:val="1"/>
                <w:sz w:val="21"/>
              </w:rPr>
              <w:t> </w:t>
            </w:r>
            <w:r>
              <w:rPr>
                <w:sz w:val="21"/>
              </w:rPr>
              <w:t>司减持富士康工业互联网股份有限公司股份前，应提前三</w:t>
            </w:r>
            <w:r>
              <w:rPr>
                <w:spacing w:val="1"/>
                <w:sz w:val="21"/>
              </w:rPr>
              <w:t> </w:t>
            </w:r>
            <w:r>
              <w:rPr>
                <w:sz w:val="21"/>
              </w:rPr>
              <w:t>个交易日予以公告，并按照上海证券交易所的规则及时、</w:t>
            </w:r>
            <w:r>
              <w:rPr>
                <w:spacing w:val="1"/>
                <w:sz w:val="21"/>
              </w:rPr>
              <w:t> </w:t>
            </w:r>
            <w:r>
              <w:rPr>
                <w:sz w:val="21"/>
              </w:rPr>
              <w:t>准确的履行信息披露义务；但本公司持有富士康工业互联</w:t>
            </w:r>
            <w:r>
              <w:rPr>
                <w:spacing w:val="1"/>
                <w:sz w:val="21"/>
              </w:rPr>
              <w:t> </w:t>
            </w:r>
            <w:r>
              <w:rPr>
                <w:spacing w:val="6"/>
                <w:sz w:val="21"/>
              </w:rPr>
              <w:t>网股份有限公司股份低于 </w:t>
            </w:r>
            <w:r>
              <w:rPr>
                <w:sz w:val="21"/>
              </w:rPr>
              <w:t>5%以下时除外；5.本公司愿意承</w:t>
            </w:r>
          </w:p>
          <w:p>
            <w:pPr>
              <w:pStyle w:val="TableParagraph"/>
              <w:spacing w:line="250" w:lineRule="exact" w:before="14"/>
              <w:ind w:left="108"/>
              <w:rPr>
                <w:sz w:val="21"/>
              </w:rPr>
            </w:pPr>
            <w:r>
              <w:rPr>
                <w:spacing w:val="-1"/>
                <w:sz w:val="21"/>
              </w:rPr>
              <w:t>担因违背上述承诺而产生的法律责任。</w:t>
            </w:r>
            <w:r>
              <w:rPr>
                <w:sz w:val="21"/>
              </w:rPr>
              <w:t> </w:t>
            </w:r>
          </w:p>
        </w:tc>
        <w:tc>
          <w:tcPr>
            <w:tcW w:w="1133" w:type="dxa"/>
          </w:tcPr>
          <w:p>
            <w:pPr>
              <w:pStyle w:val="TableParagraph"/>
              <w:spacing w:line="242" w:lineRule="auto" w:before="1"/>
              <w:ind w:left="108" w:right="93"/>
              <w:jc w:val="both"/>
              <w:rPr>
                <w:sz w:val="21"/>
              </w:rPr>
            </w:pPr>
            <w:r>
              <w:rPr>
                <w:spacing w:val="17"/>
                <w:sz w:val="21"/>
              </w:rPr>
              <w:t>长期及锁定期限届</w:t>
            </w:r>
            <w:r>
              <w:rPr>
                <w:spacing w:val="12"/>
                <w:sz w:val="21"/>
              </w:rPr>
              <w:t>满后的 </w:t>
            </w:r>
            <w:r>
              <w:rPr>
                <w:sz w:val="21"/>
              </w:rPr>
              <w:t>2</w:t>
            </w:r>
            <w:r>
              <w:rPr>
                <w:spacing w:val="-102"/>
                <w:sz w:val="21"/>
              </w:rPr>
              <w:t> </w:t>
            </w:r>
            <w:r>
              <w:rPr>
                <w:sz w:val="21"/>
              </w:rPr>
              <w:t>年内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r>
        <w:trPr>
          <w:trHeight w:val="1908" w:hRule="atLeast"/>
        </w:trPr>
        <w:tc>
          <w:tcPr>
            <w:tcW w:w="1145" w:type="dxa"/>
            <w:vMerge/>
            <w:tcBorders>
              <w:top w:val="nil"/>
            </w:tcBorders>
          </w:tcPr>
          <w:p>
            <w:pPr>
              <w:rPr>
                <w:sz w:val="2"/>
                <w:szCs w:val="2"/>
              </w:rPr>
            </w:pPr>
          </w:p>
        </w:tc>
        <w:tc>
          <w:tcPr>
            <w:tcW w:w="1135" w:type="dxa"/>
          </w:tcPr>
          <w:p>
            <w:pPr>
              <w:pStyle w:val="TableParagraph"/>
              <w:spacing w:before="3"/>
              <w:ind w:left="108"/>
              <w:rPr>
                <w:sz w:val="21"/>
              </w:rPr>
            </w:pPr>
            <w:r>
              <w:rPr>
                <w:sz w:val="21"/>
              </w:rPr>
              <w:t>其他 </w:t>
            </w:r>
          </w:p>
        </w:tc>
        <w:tc>
          <w:tcPr>
            <w:tcW w:w="1135" w:type="dxa"/>
          </w:tcPr>
          <w:p>
            <w:pPr>
              <w:pStyle w:val="TableParagraph"/>
              <w:spacing w:line="242" w:lineRule="auto" w:before="3"/>
              <w:ind w:left="108" w:right="172"/>
              <w:rPr>
                <w:sz w:val="21"/>
              </w:rPr>
            </w:pPr>
            <w:r>
              <w:rPr>
                <w:spacing w:val="-1"/>
                <w:sz w:val="21"/>
              </w:rPr>
              <w:t>深圳富泰</w:t>
            </w:r>
            <w:r>
              <w:rPr>
                <w:sz w:val="21"/>
              </w:rPr>
              <w:t>华、Ambit</w:t>
            </w:r>
            <w:r>
              <w:rPr>
                <w:spacing w:val="1"/>
                <w:sz w:val="21"/>
              </w:rPr>
              <w:t> </w:t>
            </w:r>
            <w:r>
              <w:rPr>
                <w:spacing w:val="-1"/>
                <w:sz w:val="21"/>
              </w:rPr>
              <w:t>Cayman</w:t>
            </w:r>
            <w:r>
              <w:rPr>
                <w:sz w:val="21"/>
              </w:rPr>
              <w:t>、</w:t>
            </w:r>
            <w:r>
              <w:rPr>
                <w:spacing w:val="-1"/>
                <w:sz w:val="21"/>
              </w:rPr>
              <w:t>深圳鸿富</w:t>
            </w:r>
            <w:r>
              <w:rPr>
                <w:sz w:val="21"/>
              </w:rPr>
              <w:t>锦 </w:t>
            </w:r>
          </w:p>
        </w:tc>
        <w:tc>
          <w:tcPr>
            <w:tcW w:w="5670" w:type="dxa"/>
          </w:tcPr>
          <w:p>
            <w:pPr>
              <w:pStyle w:val="TableParagraph"/>
              <w:spacing w:line="242" w:lineRule="auto" w:before="3"/>
              <w:ind w:left="108" w:right="85"/>
              <w:jc w:val="both"/>
              <w:rPr>
                <w:sz w:val="21"/>
              </w:rPr>
            </w:pPr>
            <w:r>
              <w:rPr>
                <w:sz w:val="21"/>
              </w:rPr>
              <w:t>1.如果在锁定期满后，本公司拟减持富士康工业互联网股</w:t>
            </w:r>
            <w:r>
              <w:rPr>
                <w:spacing w:val="13"/>
                <w:sz w:val="21"/>
              </w:rPr>
              <w:t>份有限公司股票的，将认真遵守中国证券监督管理委员</w:t>
            </w:r>
            <w:r>
              <w:rPr>
                <w:spacing w:val="4"/>
                <w:sz w:val="21"/>
              </w:rPr>
              <w:t>会、上海证券交易所关于持有上市公司 </w:t>
            </w:r>
            <w:r>
              <w:rPr>
                <w:sz w:val="21"/>
              </w:rPr>
              <w:t>5%以上股份的股东减持股份的相关规定，结合富士康工业互联网股份有限公</w:t>
            </w:r>
            <w:r>
              <w:rPr>
                <w:spacing w:val="1"/>
                <w:sz w:val="21"/>
              </w:rPr>
              <w:t> </w:t>
            </w:r>
            <w:r>
              <w:rPr>
                <w:sz w:val="21"/>
              </w:rPr>
              <w:t>司稳定股价、开展经营、资本运作的需要，审慎制定股票</w:t>
            </w:r>
          </w:p>
          <w:p>
            <w:pPr>
              <w:pStyle w:val="TableParagraph"/>
              <w:spacing w:line="270" w:lineRule="atLeast"/>
              <w:ind w:left="108" w:right="85"/>
              <w:rPr>
                <w:sz w:val="21"/>
              </w:rPr>
            </w:pPr>
            <w:r>
              <w:rPr>
                <w:sz w:val="21"/>
              </w:rPr>
              <w:t>减持计划，在股票锁定期满后逐步减持；2.本公司减持富</w:t>
            </w:r>
            <w:r>
              <w:rPr>
                <w:spacing w:val="1"/>
                <w:sz w:val="21"/>
              </w:rPr>
              <w:t> </w:t>
            </w:r>
            <w:r>
              <w:rPr>
                <w:sz w:val="21"/>
              </w:rPr>
              <w:t>士康工业互联网股份有限公司股票应符合相关法律法规的</w:t>
            </w:r>
          </w:p>
        </w:tc>
        <w:tc>
          <w:tcPr>
            <w:tcW w:w="1133" w:type="dxa"/>
          </w:tcPr>
          <w:p>
            <w:pPr>
              <w:pStyle w:val="TableParagraph"/>
              <w:spacing w:before="3"/>
              <w:ind w:left="108"/>
              <w:rPr>
                <w:sz w:val="21"/>
              </w:rPr>
            </w:pPr>
            <w:r>
              <w:rPr>
                <w:sz w:val="21"/>
              </w:rPr>
              <w:t>长期 </w:t>
            </w:r>
          </w:p>
        </w:tc>
        <w:tc>
          <w:tcPr>
            <w:tcW w:w="711" w:type="dxa"/>
          </w:tcPr>
          <w:p>
            <w:pPr>
              <w:pStyle w:val="TableParagraph"/>
              <w:spacing w:before="3"/>
              <w:ind w:left="108"/>
              <w:rPr>
                <w:sz w:val="21"/>
              </w:rPr>
            </w:pPr>
            <w:r>
              <w:rPr>
                <w:sz w:val="21"/>
              </w:rPr>
              <w:t>是 </w:t>
            </w:r>
          </w:p>
        </w:tc>
        <w:tc>
          <w:tcPr>
            <w:tcW w:w="709" w:type="dxa"/>
          </w:tcPr>
          <w:p>
            <w:pPr>
              <w:pStyle w:val="TableParagraph"/>
              <w:spacing w:before="3"/>
              <w:ind w:left="107"/>
              <w:rPr>
                <w:sz w:val="21"/>
              </w:rPr>
            </w:pPr>
            <w:r>
              <w:rPr>
                <w:sz w:val="21"/>
              </w:rPr>
              <w:t>是 </w:t>
            </w:r>
          </w:p>
        </w:tc>
        <w:tc>
          <w:tcPr>
            <w:tcW w:w="1277" w:type="dxa"/>
          </w:tcPr>
          <w:p>
            <w:pPr>
              <w:pStyle w:val="TableParagraph"/>
              <w:spacing w:before="3"/>
              <w:ind w:left="107"/>
              <w:rPr>
                <w:sz w:val="21"/>
              </w:rPr>
            </w:pPr>
            <w:r>
              <w:rPr>
                <w:sz w:val="21"/>
              </w:rPr>
              <w:t>不适用 </w:t>
            </w:r>
          </w:p>
        </w:tc>
        <w:tc>
          <w:tcPr>
            <w:tcW w:w="965" w:type="dxa"/>
          </w:tcPr>
          <w:p>
            <w:pPr>
              <w:pStyle w:val="TableParagraph"/>
              <w:spacing w:before="3"/>
              <w:ind w:right="109"/>
              <w:jc w:val="right"/>
              <w:rPr>
                <w:sz w:val="21"/>
              </w:rPr>
            </w:pPr>
            <w:r>
              <w:rPr>
                <w:sz w:val="21"/>
              </w:rPr>
              <w:t>不适用 </w:t>
            </w:r>
          </w:p>
        </w:tc>
      </w:tr>
    </w:tbl>
    <w:p>
      <w:pPr>
        <w:spacing w:after="0"/>
        <w:jc w:val="right"/>
        <w:rPr>
          <w:sz w:val="21"/>
        </w:rPr>
        <w:sectPr>
          <w:pgSz w:w="16840" w:h="11910" w:orient="landscape"/>
          <w:pgMar w:header="880" w:footer="1195" w:top="1180" w:bottom="1380" w:left="1320" w:right="1420"/>
        </w:sectPr>
      </w:pPr>
    </w:p>
    <w:p>
      <w:pPr>
        <w:pStyle w:val="BodyText"/>
        <w:ind w:left="0"/>
        <w:rPr>
          <w:sz w:val="20"/>
        </w:rPr>
      </w:pPr>
    </w:p>
    <w:p>
      <w:pPr>
        <w:pStyle w:val="BodyText"/>
        <w:spacing w:before="2"/>
        <w:ind w:left="0"/>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135"/>
        <w:gridCol w:w="1135"/>
        <w:gridCol w:w="5670"/>
        <w:gridCol w:w="1133"/>
        <w:gridCol w:w="711"/>
        <w:gridCol w:w="709"/>
        <w:gridCol w:w="1277"/>
        <w:gridCol w:w="965"/>
      </w:tblGrid>
      <w:tr>
        <w:trPr>
          <w:trHeight w:val="1905" w:hRule="atLeast"/>
        </w:trPr>
        <w:tc>
          <w:tcPr>
            <w:tcW w:w="1145" w:type="dxa"/>
            <w:vMerge w:val="restart"/>
          </w:tcPr>
          <w:p>
            <w:pPr>
              <w:pStyle w:val="TableParagraph"/>
              <w:rPr>
                <w:rFonts w:ascii="Times New Roman"/>
                <w:sz w:val="20"/>
              </w:rPr>
            </w:pPr>
          </w:p>
        </w:tc>
        <w:tc>
          <w:tcPr>
            <w:tcW w:w="1135" w:type="dxa"/>
          </w:tcPr>
          <w:p>
            <w:pPr>
              <w:pStyle w:val="TableParagraph"/>
              <w:rPr>
                <w:rFonts w:ascii="Times New Roman"/>
                <w:sz w:val="20"/>
              </w:rPr>
            </w:pPr>
          </w:p>
        </w:tc>
        <w:tc>
          <w:tcPr>
            <w:tcW w:w="1135" w:type="dxa"/>
          </w:tcPr>
          <w:p>
            <w:pPr>
              <w:pStyle w:val="TableParagraph"/>
              <w:rPr>
                <w:rFonts w:ascii="Times New Roman"/>
                <w:sz w:val="20"/>
              </w:rPr>
            </w:pPr>
          </w:p>
        </w:tc>
        <w:tc>
          <w:tcPr>
            <w:tcW w:w="5670" w:type="dxa"/>
          </w:tcPr>
          <w:p>
            <w:pPr>
              <w:pStyle w:val="TableParagraph"/>
              <w:spacing w:line="242" w:lineRule="auto" w:before="1"/>
              <w:ind w:left="108" w:right="85"/>
              <w:jc w:val="both"/>
              <w:rPr>
                <w:sz w:val="21"/>
              </w:rPr>
            </w:pPr>
            <w:r>
              <w:rPr>
                <w:sz w:val="21"/>
              </w:rPr>
              <w:t>规定，具体包括但不限于交易所集中竞价交易方式、大宗</w:t>
            </w:r>
            <w:r>
              <w:rPr>
                <w:spacing w:val="1"/>
                <w:sz w:val="21"/>
              </w:rPr>
              <w:t> </w:t>
            </w:r>
            <w:r>
              <w:rPr>
                <w:sz w:val="21"/>
              </w:rPr>
              <w:t>交易方式、协议转让方式等；3.本公司减持富士康工业互</w:t>
            </w:r>
            <w:r>
              <w:rPr>
                <w:spacing w:val="1"/>
                <w:sz w:val="21"/>
              </w:rPr>
              <w:t> </w:t>
            </w:r>
            <w:r>
              <w:rPr>
                <w:sz w:val="21"/>
              </w:rPr>
              <w:t>联网股份有限公司股份前，应提前三个交易日予以公告，</w:t>
            </w:r>
            <w:r>
              <w:rPr>
                <w:spacing w:val="1"/>
                <w:sz w:val="21"/>
              </w:rPr>
              <w:t> </w:t>
            </w:r>
            <w:r>
              <w:rPr>
                <w:sz w:val="21"/>
              </w:rPr>
              <w:t>并按照上海证券交易所的规则及时、准确的履行信息披露</w:t>
            </w:r>
            <w:r>
              <w:rPr>
                <w:spacing w:val="1"/>
                <w:sz w:val="21"/>
              </w:rPr>
              <w:t> </w:t>
            </w:r>
            <w:r>
              <w:rPr>
                <w:sz w:val="21"/>
              </w:rPr>
              <w:t>义务；但本公司持有富士康工业互联网股份有限公司股份</w:t>
            </w:r>
            <w:r>
              <w:rPr>
                <w:spacing w:val="1"/>
                <w:sz w:val="21"/>
              </w:rPr>
              <w:t> </w:t>
            </w:r>
            <w:r>
              <w:rPr>
                <w:spacing w:val="24"/>
                <w:sz w:val="21"/>
              </w:rPr>
              <w:t>低于 </w:t>
            </w:r>
            <w:r>
              <w:rPr>
                <w:sz w:val="21"/>
              </w:rPr>
              <w:t>5%以下时除外；4.本公司愿意承担因违背上述承诺而</w:t>
            </w:r>
          </w:p>
          <w:p>
            <w:pPr>
              <w:pStyle w:val="TableParagraph"/>
              <w:spacing w:line="250" w:lineRule="exact" w:before="4"/>
              <w:ind w:left="108"/>
              <w:rPr>
                <w:sz w:val="21"/>
              </w:rPr>
            </w:pPr>
            <w:r>
              <w:rPr>
                <w:spacing w:val="-1"/>
                <w:sz w:val="21"/>
              </w:rPr>
              <w:t>产生的法律责任。</w:t>
            </w:r>
            <w:r>
              <w:rPr>
                <w:sz w:val="21"/>
              </w:rPr>
              <w:t> </w:t>
            </w:r>
          </w:p>
        </w:tc>
        <w:tc>
          <w:tcPr>
            <w:tcW w:w="1133" w:type="dxa"/>
          </w:tcPr>
          <w:p>
            <w:pPr>
              <w:pStyle w:val="TableParagraph"/>
              <w:rPr>
                <w:rFonts w:ascii="Times New Roman"/>
                <w:sz w:val="20"/>
              </w:rPr>
            </w:pPr>
          </w:p>
        </w:tc>
        <w:tc>
          <w:tcPr>
            <w:tcW w:w="711" w:type="dxa"/>
          </w:tcPr>
          <w:p>
            <w:pPr>
              <w:pStyle w:val="TableParagraph"/>
              <w:rPr>
                <w:rFonts w:ascii="Times New Roman"/>
                <w:sz w:val="20"/>
              </w:rPr>
            </w:pPr>
          </w:p>
        </w:tc>
        <w:tc>
          <w:tcPr>
            <w:tcW w:w="709" w:type="dxa"/>
          </w:tcPr>
          <w:p>
            <w:pPr>
              <w:pStyle w:val="TableParagraph"/>
              <w:rPr>
                <w:rFonts w:ascii="Times New Roman"/>
                <w:sz w:val="20"/>
              </w:rPr>
            </w:pPr>
          </w:p>
        </w:tc>
        <w:tc>
          <w:tcPr>
            <w:tcW w:w="1277" w:type="dxa"/>
          </w:tcPr>
          <w:p>
            <w:pPr>
              <w:pStyle w:val="TableParagraph"/>
              <w:rPr>
                <w:rFonts w:ascii="Times New Roman"/>
                <w:sz w:val="20"/>
              </w:rPr>
            </w:pPr>
          </w:p>
        </w:tc>
        <w:tc>
          <w:tcPr>
            <w:tcW w:w="965" w:type="dxa"/>
          </w:tcPr>
          <w:p>
            <w:pPr>
              <w:pStyle w:val="TableParagraph"/>
              <w:rPr>
                <w:rFonts w:ascii="Times New Roman"/>
                <w:sz w:val="20"/>
              </w:rPr>
            </w:pPr>
          </w:p>
        </w:tc>
      </w:tr>
      <w:tr>
        <w:trPr>
          <w:trHeight w:val="3543" w:hRule="atLeast"/>
        </w:trPr>
        <w:tc>
          <w:tcPr>
            <w:tcW w:w="1145" w:type="dxa"/>
            <w:vMerge/>
            <w:tcBorders>
              <w:top w:val="nil"/>
            </w:tcBorders>
          </w:tcPr>
          <w:p>
            <w:pPr>
              <w:rPr>
                <w:sz w:val="2"/>
                <w:szCs w:val="2"/>
              </w:rPr>
            </w:pPr>
          </w:p>
        </w:tc>
        <w:tc>
          <w:tcPr>
            <w:tcW w:w="1135" w:type="dxa"/>
          </w:tcPr>
          <w:p>
            <w:pPr>
              <w:pStyle w:val="TableParagraph"/>
              <w:spacing w:line="244" w:lineRule="auto" w:before="1"/>
              <w:ind w:left="108" w:right="172"/>
              <w:rPr>
                <w:sz w:val="21"/>
              </w:rPr>
            </w:pPr>
            <w:r>
              <w:rPr>
                <w:spacing w:val="-1"/>
                <w:sz w:val="21"/>
              </w:rPr>
              <w:t>解决同业</w:t>
            </w:r>
            <w:r>
              <w:rPr>
                <w:sz w:val="21"/>
              </w:rPr>
              <w:t>竞争 </w:t>
            </w:r>
          </w:p>
        </w:tc>
        <w:tc>
          <w:tcPr>
            <w:tcW w:w="1135" w:type="dxa"/>
          </w:tcPr>
          <w:p>
            <w:pPr>
              <w:pStyle w:val="TableParagraph"/>
              <w:spacing w:before="1"/>
              <w:ind w:right="69"/>
              <w:jc w:val="right"/>
              <w:rPr>
                <w:sz w:val="21"/>
              </w:rPr>
            </w:pPr>
            <w:r>
              <w:rPr>
                <w:spacing w:val="-1"/>
                <w:sz w:val="21"/>
              </w:rPr>
              <w:t>中坚公司</w:t>
            </w:r>
            <w:r>
              <w:rPr>
                <w:sz w:val="21"/>
              </w:rPr>
              <w:t> </w:t>
            </w:r>
          </w:p>
        </w:tc>
        <w:tc>
          <w:tcPr>
            <w:tcW w:w="5670" w:type="dxa"/>
          </w:tcPr>
          <w:p>
            <w:pPr>
              <w:pStyle w:val="TableParagraph"/>
              <w:spacing w:line="242" w:lineRule="auto" w:before="1"/>
              <w:ind w:left="108" w:right="85"/>
              <w:jc w:val="both"/>
              <w:rPr>
                <w:sz w:val="21"/>
              </w:rPr>
            </w:pPr>
            <w:r>
              <w:rPr>
                <w:sz w:val="21"/>
              </w:rPr>
              <w:t>1.截至本承诺函出具之日，中坚公司及其控制的除富士康</w:t>
            </w:r>
            <w:r>
              <w:rPr>
                <w:spacing w:val="1"/>
                <w:sz w:val="21"/>
              </w:rPr>
              <w:t> </w:t>
            </w:r>
            <w:r>
              <w:rPr>
                <w:sz w:val="21"/>
              </w:rPr>
              <w:t>工业互联网股份有限公司以外的子公司不存在直接或间接</w:t>
            </w:r>
            <w:r>
              <w:rPr>
                <w:spacing w:val="1"/>
                <w:sz w:val="21"/>
              </w:rPr>
              <w:t> </w:t>
            </w:r>
            <w:r>
              <w:rPr>
                <w:sz w:val="21"/>
              </w:rPr>
              <w:t>从事同富士康工业互联网股份有限公司目前所从事的主营</w:t>
            </w:r>
            <w:r>
              <w:rPr>
                <w:spacing w:val="1"/>
                <w:sz w:val="21"/>
              </w:rPr>
              <w:t> </w:t>
            </w:r>
            <w:r>
              <w:rPr>
                <w:sz w:val="21"/>
              </w:rPr>
              <w:t>业务构成竞争的业务，中坚公司承诺并将促使其控制的除</w:t>
            </w:r>
            <w:r>
              <w:rPr>
                <w:spacing w:val="1"/>
                <w:sz w:val="21"/>
              </w:rPr>
              <w:t> </w:t>
            </w:r>
            <w:r>
              <w:rPr>
                <w:sz w:val="21"/>
              </w:rPr>
              <w:t>富士康工业互联网股份有限公司以外的子公司将来不直接</w:t>
            </w:r>
            <w:r>
              <w:rPr>
                <w:spacing w:val="1"/>
                <w:sz w:val="21"/>
              </w:rPr>
              <w:t> </w:t>
            </w:r>
            <w:r>
              <w:rPr>
                <w:sz w:val="21"/>
              </w:rPr>
              <w:t>或间接从事同富士康工业互联网股份有限公司所从事的主</w:t>
            </w:r>
            <w:r>
              <w:rPr>
                <w:spacing w:val="1"/>
                <w:sz w:val="21"/>
              </w:rPr>
              <w:t> </w:t>
            </w:r>
            <w:r>
              <w:rPr>
                <w:sz w:val="21"/>
              </w:rPr>
              <w:t>营业务构成竞争的业务，如果中坚公司及其控制的除富士</w:t>
            </w:r>
            <w:r>
              <w:rPr>
                <w:spacing w:val="1"/>
                <w:sz w:val="21"/>
              </w:rPr>
              <w:t> </w:t>
            </w:r>
            <w:r>
              <w:rPr>
                <w:sz w:val="21"/>
              </w:rPr>
              <w:t>康工业互联网股份有限公司以外的子公司从事了与富士康</w:t>
            </w:r>
            <w:r>
              <w:rPr>
                <w:spacing w:val="1"/>
                <w:sz w:val="21"/>
              </w:rPr>
              <w:t> </w:t>
            </w:r>
            <w:r>
              <w:rPr>
                <w:sz w:val="21"/>
              </w:rPr>
              <w:t>工业互联网股份有限公司构成同业竞争的业务，将立即停</w:t>
            </w:r>
            <w:r>
              <w:rPr>
                <w:spacing w:val="1"/>
                <w:sz w:val="21"/>
              </w:rPr>
              <w:t> 止该等业务。</w:t>
            </w:r>
            <w:r>
              <w:rPr>
                <w:sz w:val="21"/>
              </w:rPr>
              <w:t>2.自本承诺函出具日起，中坚公司承诺赔偿富士康工业互联网股份有限公司因中坚公司或中坚公司控</w:t>
            </w:r>
          </w:p>
          <w:p>
            <w:pPr>
              <w:pStyle w:val="TableParagraph"/>
              <w:spacing w:line="270" w:lineRule="atLeast"/>
              <w:ind w:left="108" w:right="85"/>
              <w:rPr>
                <w:sz w:val="21"/>
              </w:rPr>
            </w:pPr>
            <w:r>
              <w:rPr>
                <w:sz w:val="21"/>
              </w:rPr>
              <w:t>制的除富士康工业互联网股份有限公司以外的子公司因违</w:t>
            </w:r>
            <w:r>
              <w:rPr>
                <w:spacing w:val="1"/>
                <w:sz w:val="21"/>
              </w:rPr>
              <w:t> </w:t>
            </w:r>
            <w:r>
              <w:rPr>
                <w:sz w:val="21"/>
              </w:rPr>
              <w:t>反本承诺函条款而遭受的实际损失、损害和开支。 </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r>
        <w:trPr>
          <w:trHeight w:val="2995" w:hRule="atLeast"/>
        </w:trPr>
        <w:tc>
          <w:tcPr>
            <w:tcW w:w="1145" w:type="dxa"/>
            <w:vMerge/>
            <w:tcBorders>
              <w:top w:val="nil"/>
            </w:tcBorders>
          </w:tcPr>
          <w:p>
            <w:pPr>
              <w:rPr>
                <w:sz w:val="2"/>
                <w:szCs w:val="2"/>
              </w:rPr>
            </w:pPr>
          </w:p>
        </w:tc>
        <w:tc>
          <w:tcPr>
            <w:tcW w:w="1135" w:type="dxa"/>
          </w:tcPr>
          <w:p>
            <w:pPr>
              <w:pStyle w:val="TableParagraph"/>
              <w:spacing w:line="242" w:lineRule="auto" w:before="1"/>
              <w:ind w:left="108" w:right="172"/>
              <w:rPr>
                <w:sz w:val="21"/>
              </w:rPr>
            </w:pPr>
            <w:r>
              <w:rPr>
                <w:spacing w:val="-1"/>
                <w:sz w:val="21"/>
              </w:rPr>
              <w:t>解决同业</w:t>
            </w:r>
            <w:r>
              <w:rPr>
                <w:sz w:val="21"/>
              </w:rPr>
              <w:t>竞争 </w:t>
            </w:r>
          </w:p>
        </w:tc>
        <w:tc>
          <w:tcPr>
            <w:tcW w:w="1135" w:type="dxa"/>
          </w:tcPr>
          <w:p>
            <w:pPr>
              <w:pStyle w:val="TableParagraph"/>
              <w:spacing w:before="1"/>
              <w:ind w:right="69"/>
              <w:jc w:val="right"/>
              <w:rPr>
                <w:sz w:val="21"/>
              </w:rPr>
            </w:pPr>
            <w:r>
              <w:rPr>
                <w:spacing w:val="-1"/>
                <w:sz w:val="21"/>
              </w:rPr>
              <w:t>鸿海精密</w:t>
            </w:r>
            <w:r>
              <w:rPr>
                <w:sz w:val="21"/>
              </w:rPr>
              <w:t> </w:t>
            </w:r>
          </w:p>
        </w:tc>
        <w:tc>
          <w:tcPr>
            <w:tcW w:w="5670" w:type="dxa"/>
          </w:tcPr>
          <w:p>
            <w:pPr>
              <w:pStyle w:val="TableParagraph"/>
              <w:spacing w:line="242" w:lineRule="auto" w:before="1"/>
              <w:ind w:left="108" w:right="85"/>
              <w:jc w:val="both"/>
              <w:rPr>
                <w:sz w:val="21"/>
              </w:rPr>
            </w:pPr>
            <w:r>
              <w:rPr>
                <w:sz w:val="21"/>
              </w:rPr>
              <w:t>1.截至本承诺函出具之日，鸿海精密及其控制的除富士康</w:t>
            </w:r>
            <w:r>
              <w:rPr>
                <w:spacing w:val="1"/>
                <w:sz w:val="21"/>
              </w:rPr>
              <w:t> </w:t>
            </w:r>
            <w:r>
              <w:rPr>
                <w:sz w:val="21"/>
              </w:rPr>
              <w:t>工业互联网股份有限公司以外的子公司不存在直接或间接</w:t>
            </w:r>
            <w:r>
              <w:rPr>
                <w:spacing w:val="1"/>
                <w:sz w:val="21"/>
              </w:rPr>
              <w:t> </w:t>
            </w:r>
            <w:r>
              <w:rPr>
                <w:sz w:val="21"/>
              </w:rPr>
              <w:t>从事同富士康工业互联网股份有限公司目前所从事的主营</w:t>
            </w:r>
            <w:r>
              <w:rPr>
                <w:spacing w:val="1"/>
                <w:sz w:val="21"/>
              </w:rPr>
              <w:t> </w:t>
            </w:r>
            <w:r>
              <w:rPr>
                <w:sz w:val="21"/>
              </w:rPr>
              <w:t>业务构成竞争的业务，鸿海精密承诺并将促使其控制的除</w:t>
            </w:r>
            <w:r>
              <w:rPr>
                <w:spacing w:val="1"/>
                <w:sz w:val="21"/>
              </w:rPr>
              <w:t> </w:t>
            </w:r>
            <w:r>
              <w:rPr>
                <w:sz w:val="21"/>
              </w:rPr>
              <w:t>富士康工业互联网股份有限公司以外的子公司将来不直接</w:t>
            </w:r>
            <w:r>
              <w:rPr>
                <w:spacing w:val="1"/>
                <w:sz w:val="21"/>
              </w:rPr>
              <w:t> </w:t>
            </w:r>
            <w:r>
              <w:rPr>
                <w:sz w:val="21"/>
              </w:rPr>
              <w:t>或间接从事同富士康工业互联网股份有限公司所从事的主</w:t>
            </w:r>
            <w:r>
              <w:rPr>
                <w:spacing w:val="1"/>
                <w:sz w:val="21"/>
              </w:rPr>
              <w:t> </w:t>
            </w:r>
            <w:r>
              <w:rPr>
                <w:sz w:val="21"/>
              </w:rPr>
              <w:t>营业务构成竞争的业务，如果鸿海精密及其控制的除富士</w:t>
            </w:r>
            <w:r>
              <w:rPr>
                <w:spacing w:val="1"/>
                <w:sz w:val="21"/>
              </w:rPr>
              <w:t> </w:t>
            </w:r>
            <w:r>
              <w:rPr>
                <w:sz w:val="21"/>
              </w:rPr>
              <w:t>康工业互联网股份有限公司以外的子公司从事了与富士康</w:t>
            </w:r>
            <w:r>
              <w:rPr>
                <w:spacing w:val="1"/>
                <w:sz w:val="21"/>
              </w:rPr>
              <w:t> </w:t>
            </w:r>
            <w:r>
              <w:rPr>
                <w:sz w:val="21"/>
              </w:rPr>
              <w:t>工业互联网股份有限公司构成同业竞争的业务，将立即停</w:t>
            </w:r>
            <w:r>
              <w:rPr>
                <w:spacing w:val="1"/>
                <w:sz w:val="21"/>
              </w:rPr>
              <w:t> 止该等业务。</w:t>
            </w:r>
            <w:r>
              <w:rPr>
                <w:sz w:val="21"/>
              </w:rPr>
              <w:t>2.自本承诺函出具日起，鸿海精密承诺赔偿</w:t>
            </w:r>
          </w:p>
          <w:p>
            <w:pPr>
              <w:pStyle w:val="TableParagraph"/>
              <w:spacing w:line="250" w:lineRule="exact" w:before="7"/>
              <w:ind w:left="108"/>
              <w:rPr>
                <w:sz w:val="21"/>
              </w:rPr>
            </w:pPr>
            <w:r>
              <w:rPr>
                <w:sz w:val="21"/>
              </w:rPr>
              <w:t>富士康工业互联网股份有限公司因鸿海精密或鸿海精密控</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bl>
    <w:p>
      <w:pPr>
        <w:spacing w:after="0"/>
        <w:jc w:val="right"/>
        <w:rPr>
          <w:sz w:val="21"/>
        </w:rPr>
        <w:sectPr>
          <w:pgSz w:w="16840" w:h="11910" w:orient="landscape"/>
          <w:pgMar w:header="880" w:footer="1195" w:top="1180" w:bottom="1380" w:left="1320" w:right="1420"/>
        </w:sectPr>
      </w:pPr>
    </w:p>
    <w:p>
      <w:pPr>
        <w:pStyle w:val="BodyText"/>
        <w:ind w:left="0"/>
        <w:rPr>
          <w:sz w:val="20"/>
        </w:rPr>
      </w:pPr>
    </w:p>
    <w:p>
      <w:pPr>
        <w:pStyle w:val="BodyText"/>
        <w:spacing w:before="2"/>
        <w:ind w:left="0"/>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135"/>
        <w:gridCol w:w="1135"/>
        <w:gridCol w:w="5670"/>
        <w:gridCol w:w="1133"/>
        <w:gridCol w:w="711"/>
        <w:gridCol w:w="709"/>
        <w:gridCol w:w="1277"/>
        <w:gridCol w:w="965"/>
      </w:tblGrid>
      <w:tr>
        <w:trPr>
          <w:trHeight w:val="544" w:hRule="atLeast"/>
        </w:trPr>
        <w:tc>
          <w:tcPr>
            <w:tcW w:w="1145" w:type="dxa"/>
            <w:vMerge w:val="restart"/>
          </w:tcPr>
          <w:p>
            <w:pPr>
              <w:pStyle w:val="TableParagraph"/>
              <w:rPr>
                <w:rFonts w:ascii="Times New Roman"/>
                <w:sz w:val="20"/>
              </w:rPr>
            </w:pPr>
          </w:p>
        </w:tc>
        <w:tc>
          <w:tcPr>
            <w:tcW w:w="1135" w:type="dxa"/>
          </w:tcPr>
          <w:p>
            <w:pPr>
              <w:pStyle w:val="TableParagraph"/>
              <w:rPr>
                <w:rFonts w:ascii="Times New Roman"/>
                <w:sz w:val="20"/>
              </w:rPr>
            </w:pPr>
          </w:p>
        </w:tc>
        <w:tc>
          <w:tcPr>
            <w:tcW w:w="1135" w:type="dxa"/>
          </w:tcPr>
          <w:p>
            <w:pPr>
              <w:pStyle w:val="TableParagraph"/>
              <w:rPr>
                <w:rFonts w:ascii="Times New Roman"/>
                <w:sz w:val="20"/>
              </w:rPr>
            </w:pPr>
          </w:p>
        </w:tc>
        <w:tc>
          <w:tcPr>
            <w:tcW w:w="5670" w:type="dxa"/>
          </w:tcPr>
          <w:p>
            <w:pPr>
              <w:pStyle w:val="TableParagraph"/>
              <w:spacing w:before="1"/>
              <w:ind w:left="108"/>
              <w:rPr>
                <w:sz w:val="21"/>
              </w:rPr>
            </w:pPr>
            <w:r>
              <w:rPr>
                <w:sz w:val="21"/>
              </w:rPr>
              <w:t>制的除富士康工业互联网股份有限公司以外的子公司因违</w:t>
            </w:r>
          </w:p>
          <w:p>
            <w:pPr>
              <w:pStyle w:val="TableParagraph"/>
              <w:spacing w:line="252" w:lineRule="exact" w:before="2"/>
              <w:ind w:left="108"/>
              <w:rPr>
                <w:sz w:val="21"/>
              </w:rPr>
            </w:pPr>
            <w:r>
              <w:rPr>
                <w:spacing w:val="-1"/>
                <w:sz w:val="21"/>
              </w:rPr>
              <w:t>反本承诺函条款而遭受的实际损失、损害和开支。</w:t>
            </w:r>
            <w:r>
              <w:rPr>
                <w:sz w:val="21"/>
              </w:rPr>
              <w:t> </w:t>
            </w:r>
          </w:p>
        </w:tc>
        <w:tc>
          <w:tcPr>
            <w:tcW w:w="1133" w:type="dxa"/>
          </w:tcPr>
          <w:p>
            <w:pPr>
              <w:pStyle w:val="TableParagraph"/>
              <w:rPr>
                <w:rFonts w:ascii="Times New Roman"/>
                <w:sz w:val="20"/>
              </w:rPr>
            </w:pPr>
          </w:p>
        </w:tc>
        <w:tc>
          <w:tcPr>
            <w:tcW w:w="711" w:type="dxa"/>
          </w:tcPr>
          <w:p>
            <w:pPr>
              <w:pStyle w:val="TableParagraph"/>
              <w:rPr>
                <w:rFonts w:ascii="Times New Roman"/>
                <w:sz w:val="20"/>
              </w:rPr>
            </w:pPr>
          </w:p>
        </w:tc>
        <w:tc>
          <w:tcPr>
            <w:tcW w:w="709" w:type="dxa"/>
          </w:tcPr>
          <w:p>
            <w:pPr>
              <w:pStyle w:val="TableParagraph"/>
              <w:rPr>
                <w:rFonts w:ascii="Times New Roman"/>
                <w:sz w:val="20"/>
              </w:rPr>
            </w:pPr>
          </w:p>
        </w:tc>
        <w:tc>
          <w:tcPr>
            <w:tcW w:w="1277" w:type="dxa"/>
          </w:tcPr>
          <w:p>
            <w:pPr>
              <w:pStyle w:val="TableParagraph"/>
              <w:rPr>
                <w:rFonts w:ascii="Times New Roman"/>
                <w:sz w:val="20"/>
              </w:rPr>
            </w:pPr>
          </w:p>
        </w:tc>
        <w:tc>
          <w:tcPr>
            <w:tcW w:w="965" w:type="dxa"/>
          </w:tcPr>
          <w:p>
            <w:pPr>
              <w:pStyle w:val="TableParagraph"/>
              <w:rPr>
                <w:rFonts w:ascii="Times New Roman"/>
                <w:sz w:val="20"/>
              </w:rPr>
            </w:pPr>
          </w:p>
        </w:tc>
      </w:tr>
      <w:tr>
        <w:trPr>
          <w:trHeight w:val="7899" w:hRule="atLeast"/>
        </w:trPr>
        <w:tc>
          <w:tcPr>
            <w:tcW w:w="1145" w:type="dxa"/>
            <w:vMerge/>
            <w:tcBorders>
              <w:top w:val="nil"/>
            </w:tcBorders>
          </w:tcPr>
          <w:p>
            <w:pPr>
              <w:rPr>
                <w:sz w:val="2"/>
                <w:szCs w:val="2"/>
              </w:rPr>
            </w:pPr>
          </w:p>
        </w:tc>
        <w:tc>
          <w:tcPr>
            <w:tcW w:w="1135" w:type="dxa"/>
          </w:tcPr>
          <w:p>
            <w:pPr>
              <w:pStyle w:val="TableParagraph"/>
              <w:spacing w:before="1"/>
              <w:ind w:left="108"/>
              <w:rPr>
                <w:sz w:val="21"/>
              </w:rPr>
            </w:pPr>
            <w:r>
              <w:rPr>
                <w:sz w:val="21"/>
              </w:rPr>
              <w:t>其他 </w:t>
            </w:r>
          </w:p>
        </w:tc>
        <w:tc>
          <w:tcPr>
            <w:tcW w:w="1135" w:type="dxa"/>
          </w:tcPr>
          <w:p>
            <w:pPr>
              <w:pStyle w:val="TableParagraph"/>
              <w:spacing w:before="1"/>
              <w:ind w:left="108"/>
              <w:rPr>
                <w:sz w:val="21"/>
              </w:rPr>
            </w:pPr>
            <w:r>
              <w:rPr>
                <w:sz w:val="21"/>
              </w:rPr>
              <w:t>公司 </w:t>
            </w:r>
          </w:p>
        </w:tc>
        <w:tc>
          <w:tcPr>
            <w:tcW w:w="5670" w:type="dxa"/>
          </w:tcPr>
          <w:p>
            <w:pPr>
              <w:pStyle w:val="TableParagraph"/>
              <w:spacing w:line="242" w:lineRule="auto" w:before="1"/>
              <w:ind w:left="108" w:right="84"/>
              <w:jc w:val="both"/>
              <w:rPr>
                <w:sz w:val="21"/>
              </w:rPr>
            </w:pPr>
            <w:r>
              <w:rPr>
                <w:sz w:val="21"/>
              </w:rPr>
              <w:t>为降低本次公开发行摊薄即期回报的影响，增强公司持续</w:t>
            </w:r>
            <w:r>
              <w:rPr>
                <w:spacing w:val="1"/>
                <w:sz w:val="21"/>
              </w:rPr>
              <w:t> </w:t>
            </w:r>
            <w:r>
              <w:rPr>
                <w:sz w:val="21"/>
              </w:rPr>
              <w:t>回报的能力，充分保护中小股东的利益，富士康工业互联</w:t>
            </w:r>
            <w:r>
              <w:rPr>
                <w:spacing w:val="1"/>
                <w:sz w:val="21"/>
              </w:rPr>
              <w:t> </w:t>
            </w:r>
            <w:r>
              <w:rPr>
                <w:sz w:val="21"/>
              </w:rPr>
              <w:t>网股份有限公司根据自身经营特点制定了相关措施，具体</w:t>
            </w:r>
            <w:r>
              <w:rPr>
                <w:spacing w:val="1"/>
                <w:sz w:val="21"/>
              </w:rPr>
              <w:t> </w:t>
            </w:r>
            <w:r>
              <w:rPr>
                <w:sz w:val="21"/>
              </w:rPr>
              <w:t>承诺措施如下：1.加强募集资金管理，合理使用募集资金</w:t>
            </w:r>
            <w:r>
              <w:rPr>
                <w:spacing w:val="1"/>
                <w:sz w:val="21"/>
              </w:rPr>
              <w:t> </w:t>
            </w:r>
            <w:r>
              <w:rPr>
                <w:sz w:val="21"/>
              </w:rPr>
              <w:t>本次发行股票募集资金符合行业相关政策，有利于公司经</w:t>
            </w:r>
            <w:r>
              <w:rPr>
                <w:spacing w:val="1"/>
                <w:sz w:val="21"/>
              </w:rPr>
              <w:t> </w:t>
            </w:r>
            <w:r>
              <w:rPr>
                <w:sz w:val="21"/>
              </w:rPr>
              <w:t>济效益持续增长和公司可持续发展。随着本次募集资金的</w:t>
            </w:r>
            <w:r>
              <w:rPr>
                <w:spacing w:val="1"/>
                <w:sz w:val="21"/>
              </w:rPr>
              <w:t> </w:t>
            </w:r>
            <w:r>
              <w:rPr>
                <w:sz w:val="21"/>
              </w:rPr>
              <w:t>到位，将有助于公司实现规划发展目标，进一步增强公司</w:t>
            </w:r>
            <w:r>
              <w:rPr>
                <w:spacing w:val="1"/>
                <w:sz w:val="21"/>
              </w:rPr>
              <w:t> </w:t>
            </w:r>
            <w:r>
              <w:rPr>
                <w:sz w:val="21"/>
              </w:rPr>
              <w:t>资本实力，满足公司经营的资金需求。为保障公司规范、</w:t>
            </w:r>
            <w:r>
              <w:rPr>
                <w:spacing w:val="1"/>
                <w:sz w:val="21"/>
              </w:rPr>
              <w:t> </w:t>
            </w:r>
            <w:r>
              <w:rPr>
                <w:sz w:val="21"/>
              </w:rPr>
              <w:t>有效使用募集资金，在本次募集资金到位后，公司将积极</w:t>
            </w:r>
            <w:r>
              <w:rPr>
                <w:spacing w:val="1"/>
                <w:sz w:val="21"/>
              </w:rPr>
              <w:t> </w:t>
            </w:r>
            <w:r>
              <w:rPr>
                <w:sz w:val="21"/>
              </w:rPr>
              <w:t>调配资源，加快推进募集资金投资项目建设，保证募集资</w:t>
            </w:r>
            <w:r>
              <w:rPr>
                <w:spacing w:val="1"/>
                <w:sz w:val="21"/>
              </w:rPr>
              <w:t> </w:t>
            </w:r>
            <w:r>
              <w:rPr>
                <w:sz w:val="21"/>
              </w:rPr>
              <w:t>金合理规范使用，合理防范募集资金使用风险。同时，公</w:t>
            </w:r>
            <w:r>
              <w:rPr>
                <w:spacing w:val="1"/>
                <w:sz w:val="21"/>
              </w:rPr>
              <w:t> </w:t>
            </w:r>
            <w:r>
              <w:rPr>
                <w:sz w:val="21"/>
              </w:rPr>
              <w:t>司董事会、独立董事、董事会审计委员会及监事会将切实</w:t>
            </w:r>
            <w:r>
              <w:rPr>
                <w:spacing w:val="1"/>
                <w:sz w:val="21"/>
              </w:rPr>
              <w:t> </w:t>
            </w:r>
            <w:r>
              <w:rPr>
                <w:sz w:val="21"/>
              </w:rPr>
              <w:t>履行相关职责，加强事后监督检查，持续关注募集资金实</w:t>
            </w:r>
            <w:r>
              <w:rPr>
                <w:spacing w:val="1"/>
                <w:sz w:val="21"/>
              </w:rPr>
              <w:t> </w:t>
            </w:r>
            <w:r>
              <w:rPr>
                <w:sz w:val="21"/>
              </w:rPr>
              <w:t>际管理与使用情况，加强对募集资金使用和管理的信息披</w:t>
            </w:r>
            <w:r>
              <w:rPr>
                <w:spacing w:val="14"/>
                <w:sz w:val="21"/>
              </w:rPr>
              <w:t>露，确保中小股东的知情权。</w:t>
            </w:r>
            <w:r>
              <w:rPr>
                <w:sz w:val="21"/>
              </w:rPr>
              <w:t>2</w:t>
            </w:r>
            <w:r>
              <w:rPr>
                <w:spacing w:val="10"/>
                <w:sz w:val="21"/>
              </w:rPr>
              <w:t>.巩固并拓展公司主营业</w:t>
            </w:r>
            <w:r>
              <w:rPr>
                <w:sz w:val="21"/>
              </w:rPr>
              <w:t>务，提升公司持续盈利能力公司是全球领先的通信网络设</w:t>
            </w:r>
            <w:r>
              <w:rPr>
                <w:spacing w:val="1"/>
                <w:sz w:val="21"/>
              </w:rPr>
              <w:t> </w:t>
            </w:r>
            <w:r>
              <w:rPr>
                <w:sz w:val="21"/>
              </w:rPr>
              <w:t>备、云服务设备、精密工具及工业机器人专业设计制造服</w:t>
            </w:r>
            <w:r>
              <w:rPr>
                <w:spacing w:val="1"/>
                <w:sz w:val="21"/>
              </w:rPr>
              <w:t> </w:t>
            </w:r>
            <w:r>
              <w:rPr>
                <w:sz w:val="21"/>
              </w:rPr>
              <w:t>务商，为客户提供以工业互联网平台为核心的新形态电子</w:t>
            </w:r>
            <w:r>
              <w:rPr>
                <w:spacing w:val="1"/>
                <w:sz w:val="21"/>
              </w:rPr>
              <w:t> </w:t>
            </w:r>
            <w:r>
              <w:rPr>
                <w:sz w:val="21"/>
              </w:rPr>
              <w:t>设备产品智能制造服务。公司主要从事各类电子设备产品</w:t>
            </w:r>
            <w:r>
              <w:rPr>
                <w:spacing w:val="1"/>
                <w:sz w:val="21"/>
              </w:rPr>
              <w:t> </w:t>
            </w:r>
            <w:r>
              <w:rPr>
                <w:sz w:val="21"/>
              </w:rPr>
              <w:t>的设计、研发、制造与销售业务，致力于为企业提供以自</w:t>
            </w:r>
            <w:r>
              <w:rPr>
                <w:spacing w:val="1"/>
                <w:sz w:val="21"/>
              </w:rPr>
              <w:t> </w:t>
            </w:r>
            <w:r>
              <w:rPr>
                <w:sz w:val="21"/>
              </w:rPr>
              <w:t>动化、网络化、平台化、大数据为基础的智能制造和科技</w:t>
            </w:r>
            <w:r>
              <w:rPr>
                <w:spacing w:val="1"/>
                <w:sz w:val="21"/>
              </w:rPr>
              <w:t> </w:t>
            </w:r>
            <w:r>
              <w:rPr>
                <w:sz w:val="21"/>
              </w:rPr>
              <w:t>服务解决方案。公司目前的研发领域及研发方向符合公司</w:t>
            </w:r>
            <w:r>
              <w:rPr>
                <w:spacing w:val="1"/>
                <w:sz w:val="21"/>
              </w:rPr>
              <w:t> </w:t>
            </w:r>
            <w:r>
              <w:rPr>
                <w:sz w:val="21"/>
              </w:rPr>
              <w:t>主营业务的发展趋势，有利于助力公司在工业互联网发展</w:t>
            </w:r>
            <w:r>
              <w:rPr>
                <w:spacing w:val="1"/>
                <w:sz w:val="21"/>
              </w:rPr>
              <w:t> </w:t>
            </w:r>
            <w:r>
              <w:rPr>
                <w:sz w:val="21"/>
              </w:rPr>
              <w:t>背景下提升智能制造能力。本次发行完成后，公司资产负</w:t>
            </w:r>
            <w:r>
              <w:rPr>
                <w:spacing w:val="1"/>
                <w:sz w:val="21"/>
              </w:rPr>
              <w:t> </w:t>
            </w:r>
            <w:r>
              <w:rPr>
                <w:sz w:val="21"/>
              </w:rPr>
              <w:t>债率及财务风险将有所降低，公司资本实力和抗风险能力</w:t>
            </w:r>
            <w:r>
              <w:rPr>
                <w:spacing w:val="1"/>
                <w:sz w:val="21"/>
              </w:rPr>
              <w:t> </w:t>
            </w:r>
            <w:r>
              <w:rPr>
                <w:sz w:val="21"/>
              </w:rPr>
              <w:t>将进一步加强，从而保障公司稳定运营和长远发展，符合</w:t>
            </w:r>
            <w:r>
              <w:rPr>
                <w:spacing w:val="1"/>
                <w:sz w:val="21"/>
              </w:rPr>
              <w:t> </w:t>
            </w:r>
            <w:r>
              <w:rPr>
                <w:sz w:val="21"/>
              </w:rPr>
              <w:t>股东利益。随着本次发行完成后，公司资金实力进一步提</w:t>
            </w:r>
          </w:p>
          <w:p>
            <w:pPr>
              <w:pStyle w:val="TableParagraph"/>
              <w:spacing w:line="270" w:lineRule="atLeast" w:before="1"/>
              <w:ind w:left="108" w:right="83"/>
              <w:rPr>
                <w:sz w:val="21"/>
              </w:rPr>
            </w:pPr>
            <w:r>
              <w:rPr>
                <w:sz w:val="21"/>
              </w:rPr>
              <w:t>升，公司将大力推进技术研发，提升公司产品的市场占有</w:t>
            </w:r>
            <w:r>
              <w:rPr>
                <w:spacing w:val="1"/>
                <w:sz w:val="21"/>
              </w:rPr>
              <w:t> </w:t>
            </w:r>
            <w:r>
              <w:rPr>
                <w:sz w:val="21"/>
              </w:rPr>
              <w:t>率，提高公司盈利能力，为股东带来持续回报。3.加强经</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left="106"/>
              <w:rPr>
                <w:sz w:val="21"/>
              </w:rPr>
            </w:pPr>
            <w:r>
              <w:rPr>
                <w:sz w:val="21"/>
              </w:rPr>
              <w:t>不适用 </w:t>
            </w:r>
          </w:p>
        </w:tc>
      </w:tr>
    </w:tbl>
    <w:p>
      <w:pPr>
        <w:spacing w:after="0"/>
        <w:rPr>
          <w:sz w:val="21"/>
        </w:rPr>
        <w:sectPr>
          <w:pgSz w:w="16840" w:h="11910" w:orient="landscape"/>
          <w:pgMar w:header="880" w:footer="1195" w:top="1180" w:bottom="1380" w:left="1320" w:right="1420"/>
        </w:sectPr>
      </w:pPr>
    </w:p>
    <w:p>
      <w:pPr>
        <w:pStyle w:val="BodyText"/>
        <w:ind w:left="0"/>
        <w:rPr>
          <w:sz w:val="20"/>
        </w:rPr>
      </w:pPr>
    </w:p>
    <w:p>
      <w:pPr>
        <w:pStyle w:val="BodyText"/>
        <w:spacing w:before="2"/>
        <w:ind w:left="0"/>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135"/>
        <w:gridCol w:w="1135"/>
        <w:gridCol w:w="5670"/>
        <w:gridCol w:w="1133"/>
        <w:gridCol w:w="711"/>
        <w:gridCol w:w="709"/>
        <w:gridCol w:w="1277"/>
        <w:gridCol w:w="965"/>
      </w:tblGrid>
      <w:tr>
        <w:trPr>
          <w:trHeight w:val="8444" w:hRule="atLeast"/>
        </w:trPr>
        <w:tc>
          <w:tcPr>
            <w:tcW w:w="1145" w:type="dxa"/>
          </w:tcPr>
          <w:p>
            <w:pPr>
              <w:pStyle w:val="TableParagraph"/>
              <w:rPr>
                <w:rFonts w:ascii="Times New Roman"/>
                <w:sz w:val="20"/>
              </w:rPr>
            </w:pPr>
          </w:p>
        </w:tc>
        <w:tc>
          <w:tcPr>
            <w:tcW w:w="1135" w:type="dxa"/>
          </w:tcPr>
          <w:p>
            <w:pPr>
              <w:pStyle w:val="TableParagraph"/>
              <w:rPr>
                <w:rFonts w:ascii="Times New Roman"/>
                <w:sz w:val="20"/>
              </w:rPr>
            </w:pPr>
          </w:p>
        </w:tc>
        <w:tc>
          <w:tcPr>
            <w:tcW w:w="1135" w:type="dxa"/>
          </w:tcPr>
          <w:p>
            <w:pPr>
              <w:pStyle w:val="TableParagraph"/>
              <w:rPr>
                <w:rFonts w:ascii="Times New Roman"/>
                <w:sz w:val="20"/>
              </w:rPr>
            </w:pPr>
          </w:p>
        </w:tc>
        <w:tc>
          <w:tcPr>
            <w:tcW w:w="5670" w:type="dxa"/>
          </w:tcPr>
          <w:p>
            <w:pPr>
              <w:pStyle w:val="TableParagraph"/>
              <w:spacing w:line="242" w:lineRule="auto" w:before="1"/>
              <w:ind w:left="108" w:right="83"/>
              <w:jc w:val="both"/>
              <w:rPr>
                <w:sz w:val="21"/>
              </w:rPr>
            </w:pPr>
            <w:r>
              <w:rPr>
                <w:sz w:val="21"/>
              </w:rPr>
              <w:t>营管理和内部控制，提升经营效率公司将进一步加强内控</w:t>
            </w:r>
            <w:r>
              <w:rPr>
                <w:spacing w:val="1"/>
                <w:sz w:val="21"/>
              </w:rPr>
              <w:t> </w:t>
            </w:r>
            <w:r>
              <w:rPr>
                <w:sz w:val="21"/>
              </w:rPr>
              <w:t>体系建设，完善并强化投资决策程序，合理运用各种融资</w:t>
            </w:r>
            <w:r>
              <w:rPr>
                <w:spacing w:val="1"/>
                <w:sz w:val="21"/>
              </w:rPr>
              <w:t> </w:t>
            </w:r>
            <w:r>
              <w:rPr>
                <w:sz w:val="21"/>
              </w:rPr>
              <w:t>工具和渠道控制资金成本，提高资金使用效率，节省公司</w:t>
            </w:r>
            <w:r>
              <w:rPr>
                <w:spacing w:val="1"/>
                <w:sz w:val="21"/>
              </w:rPr>
              <w:t> </w:t>
            </w:r>
            <w:r>
              <w:rPr>
                <w:sz w:val="21"/>
              </w:rPr>
              <w:t>的各项费用支出，全面有效地控制公司经营和管理风险。</w:t>
            </w:r>
            <w:r>
              <w:rPr>
                <w:spacing w:val="1"/>
                <w:sz w:val="21"/>
              </w:rPr>
              <w:t> </w:t>
            </w:r>
            <w:r>
              <w:rPr>
                <w:sz w:val="21"/>
              </w:rPr>
              <w:t>除此之外，公司将不断完善公司治理结构，确保股东能够</w:t>
            </w:r>
            <w:r>
              <w:rPr>
                <w:spacing w:val="1"/>
                <w:sz w:val="21"/>
              </w:rPr>
              <w:t> </w:t>
            </w:r>
            <w:r>
              <w:rPr>
                <w:sz w:val="21"/>
              </w:rPr>
              <w:t>充分行使权利，确保董事会能够按照法律、法规和公司章</w:t>
            </w:r>
            <w:r>
              <w:rPr>
                <w:spacing w:val="1"/>
                <w:sz w:val="21"/>
              </w:rPr>
              <w:t> </w:t>
            </w:r>
            <w:r>
              <w:rPr>
                <w:sz w:val="21"/>
              </w:rPr>
              <w:t>程的规定行使职权、做出科学、迅速和谨慎的决策，确保</w:t>
            </w:r>
            <w:r>
              <w:rPr>
                <w:spacing w:val="1"/>
                <w:sz w:val="21"/>
              </w:rPr>
              <w:t> </w:t>
            </w:r>
            <w:r>
              <w:rPr>
                <w:sz w:val="21"/>
              </w:rPr>
              <w:t>独立董事能够认真履行职责，维护公司整体利益，尤其是</w:t>
            </w:r>
            <w:r>
              <w:rPr>
                <w:spacing w:val="1"/>
                <w:sz w:val="21"/>
              </w:rPr>
              <w:t> </w:t>
            </w:r>
            <w:r>
              <w:rPr>
                <w:sz w:val="21"/>
              </w:rPr>
              <w:t>中小股东的合法权益，确保监事会能够独立有效地行使对</w:t>
            </w:r>
            <w:r>
              <w:rPr>
                <w:spacing w:val="1"/>
                <w:sz w:val="21"/>
              </w:rPr>
              <w:t> </w:t>
            </w:r>
            <w:r>
              <w:rPr>
                <w:sz w:val="21"/>
              </w:rPr>
              <w:t>董事、经理和其他高级管理人员及公司财务的监督权和检</w:t>
            </w:r>
            <w:r>
              <w:rPr>
                <w:spacing w:val="1"/>
                <w:sz w:val="21"/>
              </w:rPr>
              <w:t> </w:t>
            </w:r>
            <w:r>
              <w:rPr>
                <w:sz w:val="21"/>
              </w:rPr>
              <w:t>查权，为公司发展提供制度保障。4.加快募集资金投资项目的投资进度，争取早日实现项目预期效益公司募集资金主要用于如下项目：“工业互联网平台构建项目”旨在将</w:t>
            </w:r>
            <w:r>
              <w:rPr>
                <w:spacing w:val="1"/>
                <w:sz w:val="21"/>
              </w:rPr>
              <w:t> </w:t>
            </w:r>
            <w:r>
              <w:rPr>
                <w:sz w:val="21"/>
              </w:rPr>
              <w:t>工业互联网、大数据、云计算等软件与工业机器人、传感</w:t>
            </w:r>
            <w:r>
              <w:rPr>
                <w:spacing w:val="4"/>
                <w:sz w:val="21"/>
              </w:rPr>
              <w:t>器、交换机等硬件相互整合， 形成具有与上下游互通互</w:t>
            </w:r>
            <w:r>
              <w:rPr>
                <w:sz w:val="21"/>
              </w:rPr>
              <w:t>联、资源共享功能的工业互联网系统平台；“云计算及高</w:t>
            </w:r>
            <w:r>
              <w:rPr>
                <w:spacing w:val="1"/>
                <w:sz w:val="21"/>
              </w:rPr>
              <w:t> </w:t>
            </w:r>
            <w:r>
              <w:rPr>
                <w:sz w:val="21"/>
              </w:rPr>
              <w:t>效能运算平台项目”旨在研究高效能运算服务的相关设备</w:t>
            </w:r>
            <w:r>
              <w:rPr>
                <w:spacing w:val="5"/>
                <w:sz w:val="21"/>
              </w:rPr>
              <w:t>和体系架构， 为未来高效能运算服务的发展奠定基础；</w:t>
            </w:r>
            <w:r>
              <w:rPr>
                <w:spacing w:val="-102"/>
                <w:sz w:val="21"/>
              </w:rPr>
              <w:t> </w:t>
            </w:r>
            <w:r>
              <w:rPr>
                <w:spacing w:val="13"/>
                <w:sz w:val="21"/>
              </w:rPr>
              <w:t>“高效运算数据中心项目”将基于建置高效运算数据中</w:t>
            </w:r>
            <w:r>
              <w:rPr>
                <w:sz w:val="21"/>
              </w:rPr>
              <w:t>心，助力公司设计针对日常生产经营活动中设计、生产过</w:t>
            </w:r>
            <w:r>
              <w:rPr>
                <w:spacing w:val="13"/>
                <w:sz w:val="21"/>
              </w:rPr>
              <w:t>程的自动化解决方案，不断优化生产流程，提高生产效</w:t>
            </w:r>
            <w:r>
              <w:rPr>
                <w:sz w:val="21"/>
              </w:rPr>
              <w:t>率；“ 通信网络及云服务设备项目” 通过购入部分新设备、更换老旧设备，实现通信网络设备、云服务设备智能</w:t>
            </w:r>
            <w:r>
              <w:rPr>
                <w:spacing w:val="1"/>
                <w:sz w:val="21"/>
              </w:rPr>
              <w:t> </w:t>
            </w:r>
            <w:r>
              <w:rPr>
                <w:sz w:val="21"/>
              </w:rPr>
              <w:t>产业化制造；“5G 及物联网互联互通解决方案项目”着力重点突破宽带低延时、高密度射频通信的关键技术，开发</w:t>
            </w:r>
            <w:r>
              <w:rPr>
                <w:spacing w:val="1"/>
                <w:sz w:val="21"/>
              </w:rPr>
              <w:t> </w:t>
            </w:r>
            <w:r>
              <w:rPr>
                <w:spacing w:val="-2"/>
                <w:sz w:val="21"/>
              </w:rPr>
              <w:t>基于 </w:t>
            </w:r>
            <w:r>
              <w:rPr>
                <w:sz w:val="21"/>
              </w:rPr>
              <w:t>5G</w:t>
            </w:r>
            <w:r>
              <w:rPr>
                <w:spacing w:val="-2"/>
                <w:sz w:val="21"/>
              </w:rPr>
              <w:t> 通信的新一代工业互联网系统解决方案；“智能制</w:t>
            </w:r>
            <w:r>
              <w:rPr>
                <w:sz w:val="21"/>
              </w:rPr>
              <w:t>造新技术研发应用项目”、“智能制造产业升级项目”和“智能制造产能扩建项目”主要通过新技术研发应用、生</w:t>
            </w:r>
            <w:r>
              <w:rPr>
                <w:spacing w:val="1"/>
                <w:sz w:val="21"/>
              </w:rPr>
              <w:t> </w:t>
            </w:r>
            <w:r>
              <w:rPr>
                <w:sz w:val="21"/>
              </w:rPr>
              <w:t>产设备升级、技术改造升级和智能化建设，在提升产品品</w:t>
            </w:r>
            <w:r>
              <w:rPr>
                <w:spacing w:val="1"/>
                <w:sz w:val="21"/>
              </w:rPr>
              <w:t> </w:t>
            </w:r>
            <w:r>
              <w:rPr>
                <w:sz w:val="21"/>
              </w:rPr>
              <w:t>质的同时，满足未来智能制造的产能需求，实现产品在智</w:t>
            </w:r>
          </w:p>
          <w:p>
            <w:pPr>
              <w:pStyle w:val="TableParagraph"/>
              <w:spacing w:line="252" w:lineRule="exact" w:before="18"/>
              <w:ind w:left="108"/>
              <w:rPr>
                <w:sz w:val="21"/>
              </w:rPr>
            </w:pPr>
            <w:r>
              <w:rPr>
                <w:sz w:val="21"/>
              </w:rPr>
              <w:t>能制造领域的应用。上述募集资金投资项目的实施，有利</w:t>
            </w:r>
          </w:p>
        </w:tc>
        <w:tc>
          <w:tcPr>
            <w:tcW w:w="1133" w:type="dxa"/>
          </w:tcPr>
          <w:p>
            <w:pPr>
              <w:pStyle w:val="TableParagraph"/>
              <w:rPr>
                <w:rFonts w:ascii="Times New Roman"/>
                <w:sz w:val="20"/>
              </w:rPr>
            </w:pPr>
          </w:p>
        </w:tc>
        <w:tc>
          <w:tcPr>
            <w:tcW w:w="711" w:type="dxa"/>
          </w:tcPr>
          <w:p>
            <w:pPr>
              <w:pStyle w:val="TableParagraph"/>
              <w:rPr>
                <w:rFonts w:ascii="Times New Roman"/>
                <w:sz w:val="20"/>
              </w:rPr>
            </w:pPr>
          </w:p>
        </w:tc>
        <w:tc>
          <w:tcPr>
            <w:tcW w:w="709" w:type="dxa"/>
          </w:tcPr>
          <w:p>
            <w:pPr>
              <w:pStyle w:val="TableParagraph"/>
              <w:rPr>
                <w:rFonts w:ascii="Times New Roman"/>
                <w:sz w:val="20"/>
              </w:rPr>
            </w:pPr>
          </w:p>
        </w:tc>
        <w:tc>
          <w:tcPr>
            <w:tcW w:w="1277" w:type="dxa"/>
          </w:tcPr>
          <w:p>
            <w:pPr>
              <w:pStyle w:val="TableParagraph"/>
              <w:rPr>
                <w:rFonts w:ascii="Times New Roman"/>
                <w:sz w:val="20"/>
              </w:rPr>
            </w:pPr>
          </w:p>
        </w:tc>
        <w:tc>
          <w:tcPr>
            <w:tcW w:w="965" w:type="dxa"/>
          </w:tcPr>
          <w:p>
            <w:pPr>
              <w:pStyle w:val="TableParagraph"/>
              <w:rPr>
                <w:rFonts w:ascii="Times New Roman"/>
                <w:sz w:val="20"/>
              </w:rPr>
            </w:pPr>
          </w:p>
        </w:tc>
      </w:tr>
    </w:tbl>
    <w:p>
      <w:pPr>
        <w:spacing w:after="0"/>
        <w:rPr>
          <w:rFonts w:ascii="Times New Roman"/>
          <w:sz w:val="20"/>
        </w:rPr>
        <w:sectPr>
          <w:pgSz w:w="16840" w:h="11910" w:orient="landscape"/>
          <w:pgMar w:header="880" w:footer="1195" w:top="1180" w:bottom="1380" w:left="1320" w:right="1420"/>
        </w:sectPr>
      </w:pPr>
    </w:p>
    <w:p>
      <w:pPr>
        <w:pStyle w:val="BodyText"/>
        <w:ind w:left="0"/>
        <w:rPr>
          <w:sz w:val="20"/>
        </w:rPr>
      </w:pPr>
    </w:p>
    <w:p>
      <w:pPr>
        <w:pStyle w:val="BodyText"/>
        <w:spacing w:before="2"/>
        <w:ind w:left="0"/>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135"/>
        <w:gridCol w:w="1135"/>
        <w:gridCol w:w="5670"/>
        <w:gridCol w:w="1133"/>
        <w:gridCol w:w="711"/>
        <w:gridCol w:w="709"/>
        <w:gridCol w:w="1277"/>
        <w:gridCol w:w="965"/>
      </w:tblGrid>
      <w:tr>
        <w:trPr>
          <w:trHeight w:val="6264" w:hRule="atLeast"/>
        </w:trPr>
        <w:tc>
          <w:tcPr>
            <w:tcW w:w="1145" w:type="dxa"/>
            <w:vMerge w:val="restart"/>
          </w:tcPr>
          <w:p>
            <w:pPr>
              <w:pStyle w:val="TableParagraph"/>
              <w:rPr>
                <w:rFonts w:ascii="Times New Roman"/>
                <w:sz w:val="20"/>
              </w:rPr>
            </w:pPr>
          </w:p>
        </w:tc>
        <w:tc>
          <w:tcPr>
            <w:tcW w:w="1135" w:type="dxa"/>
          </w:tcPr>
          <w:p>
            <w:pPr>
              <w:pStyle w:val="TableParagraph"/>
              <w:rPr>
                <w:rFonts w:ascii="Times New Roman"/>
                <w:sz w:val="20"/>
              </w:rPr>
            </w:pPr>
          </w:p>
        </w:tc>
        <w:tc>
          <w:tcPr>
            <w:tcW w:w="1135" w:type="dxa"/>
          </w:tcPr>
          <w:p>
            <w:pPr>
              <w:pStyle w:val="TableParagraph"/>
              <w:rPr>
                <w:rFonts w:ascii="Times New Roman"/>
                <w:sz w:val="20"/>
              </w:rPr>
            </w:pPr>
          </w:p>
        </w:tc>
        <w:tc>
          <w:tcPr>
            <w:tcW w:w="5670" w:type="dxa"/>
          </w:tcPr>
          <w:p>
            <w:pPr>
              <w:pStyle w:val="TableParagraph"/>
              <w:spacing w:line="242" w:lineRule="auto" w:before="1"/>
              <w:ind w:left="108" w:right="83"/>
              <w:jc w:val="both"/>
              <w:rPr>
                <w:sz w:val="21"/>
              </w:rPr>
            </w:pPr>
            <w:r>
              <w:rPr>
                <w:sz w:val="21"/>
              </w:rPr>
              <w:t>于巩固和发展公司主营业务。除此之外，补充营运资金可</w:t>
            </w:r>
            <w:r>
              <w:rPr>
                <w:spacing w:val="1"/>
                <w:sz w:val="21"/>
              </w:rPr>
              <w:t> </w:t>
            </w:r>
            <w:r>
              <w:rPr>
                <w:sz w:val="21"/>
              </w:rPr>
              <w:t>使公司有效降低财务费用，增强公司的抗风险能力，满足</w:t>
            </w:r>
            <w:r>
              <w:rPr>
                <w:spacing w:val="1"/>
                <w:sz w:val="21"/>
              </w:rPr>
              <w:t> </w:t>
            </w:r>
            <w:r>
              <w:rPr>
                <w:sz w:val="21"/>
              </w:rPr>
              <w:t>不断提升的运营资金需求，辅助夯实公司的核心竞争力和</w:t>
            </w:r>
            <w:r>
              <w:rPr>
                <w:spacing w:val="1"/>
                <w:sz w:val="21"/>
              </w:rPr>
              <w:t> </w:t>
            </w:r>
            <w:r>
              <w:rPr>
                <w:sz w:val="21"/>
              </w:rPr>
              <w:t>有效降低整体经营风险。本次募集资金投资项目预期降本</w:t>
            </w:r>
            <w:r>
              <w:rPr>
                <w:spacing w:val="1"/>
                <w:sz w:val="21"/>
              </w:rPr>
              <w:t> </w:t>
            </w:r>
            <w:r>
              <w:rPr>
                <w:sz w:val="21"/>
              </w:rPr>
              <w:t>及提升效益效果良好，风险较小，募集资金到位后，公司</w:t>
            </w:r>
            <w:r>
              <w:rPr>
                <w:spacing w:val="1"/>
                <w:sz w:val="21"/>
              </w:rPr>
              <w:t> </w:t>
            </w:r>
            <w:r>
              <w:rPr>
                <w:sz w:val="21"/>
              </w:rPr>
              <w:t>将加快上述募集资金投资项目的建设，提高股东回报。5.</w:t>
            </w:r>
            <w:r>
              <w:rPr>
                <w:spacing w:val="1"/>
                <w:sz w:val="21"/>
              </w:rPr>
              <w:t> </w:t>
            </w:r>
            <w:r>
              <w:rPr>
                <w:sz w:val="21"/>
              </w:rPr>
              <w:t>加强人才队伍建设，积蓄发展活力公司将进一步完善绩效</w:t>
            </w:r>
            <w:r>
              <w:rPr>
                <w:spacing w:val="1"/>
                <w:sz w:val="21"/>
              </w:rPr>
              <w:t> </w:t>
            </w:r>
            <w:r>
              <w:rPr>
                <w:sz w:val="21"/>
              </w:rPr>
              <w:t>考核制度，建立更为有效的用人激励和竞争机制，提高整</w:t>
            </w:r>
            <w:r>
              <w:rPr>
                <w:spacing w:val="1"/>
                <w:sz w:val="21"/>
              </w:rPr>
              <w:t> </w:t>
            </w:r>
            <w:r>
              <w:rPr>
                <w:sz w:val="21"/>
              </w:rPr>
              <w:t>体人力资源运作效率。建立科学合理和符合实际需要的人</w:t>
            </w:r>
            <w:r>
              <w:rPr>
                <w:spacing w:val="1"/>
                <w:sz w:val="21"/>
              </w:rPr>
              <w:t> </w:t>
            </w:r>
            <w:r>
              <w:rPr>
                <w:sz w:val="21"/>
              </w:rPr>
              <w:t>才引进和培训机制，建立科学合理的用人机制，树立德才</w:t>
            </w:r>
            <w:r>
              <w:rPr>
                <w:spacing w:val="1"/>
                <w:sz w:val="21"/>
              </w:rPr>
              <w:t> </w:t>
            </w:r>
            <w:r>
              <w:rPr>
                <w:sz w:val="21"/>
              </w:rPr>
              <w:t>兼备的用人原则，搭建市场化人才运作模式。6.完善利润分配政策，强化投资者回报机制为进一步规范利润分配政</w:t>
            </w:r>
            <w:r>
              <w:rPr>
                <w:spacing w:val="1"/>
                <w:sz w:val="21"/>
              </w:rPr>
              <w:t> </w:t>
            </w:r>
            <w:r>
              <w:rPr>
                <w:sz w:val="21"/>
              </w:rPr>
              <w:t>策，公司已经按照相关要求，结合实际情况，对《公司章</w:t>
            </w:r>
            <w:r>
              <w:rPr>
                <w:spacing w:val="1"/>
                <w:sz w:val="21"/>
              </w:rPr>
              <w:t> </w:t>
            </w:r>
            <w:r>
              <w:rPr>
                <w:sz w:val="21"/>
              </w:rPr>
              <w:t>程（草案）》中关于利润分配的条款进行了相应规定。本</w:t>
            </w:r>
            <w:r>
              <w:rPr>
                <w:spacing w:val="1"/>
                <w:sz w:val="21"/>
              </w:rPr>
              <w:t> </w:t>
            </w:r>
            <w:r>
              <w:rPr>
                <w:sz w:val="21"/>
              </w:rPr>
              <w:t>次发行完成后，公司将根据《公司章程（草案）》的相关规定， 注重对全体股东的分红回报， 强化投资者回报机制，保证利润分配政策的连续性和稳定性。本公司将积极</w:t>
            </w:r>
            <w:r>
              <w:rPr>
                <w:spacing w:val="1"/>
                <w:sz w:val="21"/>
              </w:rPr>
              <w:t> </w:t>
            </w:r>
            <w:r>
              <w:rPr>
                <w:sz w:val="21"/>
              </w:rPr>
              <w:t>履行填补被摊薄即期回报的措施，如违反前述承诺，将及</w:t>
            </w:r>
            <w:r>
              <w:rPr>
                <w:spacing w:val="1"/>
                <w:sz w:val="21"/>
              </w:rPr>
              <w:t> </w:t>
            </w:r>
            <w:r>
              <w:rPr>
                <w:sz w:val="21"/>
              </w:rPr>
              <w:t>时公告违反的事实及理由，除因不可抗力或其他非归属于</w:t>
            </w:r>
            <w:r>
              <w:rPr>
                <w:spacing w:val="5"/>
                <w:sz w:val="21"/>
              </w:rPr>
              <w:t>本公司的原因外， 将向本公司股东和社会公众投资者道</w:t>
            </w:r>
            <w:r>
              <w:rPr>
                <w:sz w:val="21"/>
              </w:rPr>
              <w:t>歉，同时向投资者提出补充承诺或替代承诺，以尽可能保</w:t>
            </w:r>
            <w:r>
              <w:rPr>
                <w:spacing w:val="1"/>
                <w:sz w:val="21"/>
              </w:rPr>
              <w:t> </w:t>
            </w:r>
            <w:r>
              <w:rPr>
                <w:sz w:val="21"/>
              </w:rPr>
              <w:t>护投资者的利益，并在本公司股东大会审议通过后实施补</w:t>
            </w:r>
          </w:p>
          <w:p>
            <w:pPr>
              <w:pStyle w:val="TableParagraph"/>
              <w:spacing w:line="252" w:lineRule="exact" w:before="13"/>
              <w:ind w:left="108"/>
              <w:rPr>
                <w:sz w:val="21"/>
              </w:rPr>
            </w:pPr>
            <w:r>
              <w:rPr>
                <w:spacing w:val="-1"/>
                <w:sz w:val="21"/>
              </w:rPr>
              <w:t>充承诺或替代承诺。</w:t>
            </w:r>
            <w:r>
              <w:rPr>
                <w:sz w:val="21"/>
              </w:rPr>
              <w:t> </w:t>
            </w:r>
          </w:p>
        </w:tc>
        <w:tc>
          <w:tcPr>
            <w:tcW w:w="1133" w:type="dxa"/>
          </w:tcPr>
          <w:p>
            <w:pPr>
              <w:pStyle w:val="TableParagraph"/>
              <w:rPr>
                <w:rFonts w:ascii="Times New Roman"/>
                <w:sz w:val="20"/>
              </w:rPr>
            </w:pPr>
          </w:p>
        </w:tc>
        <w:tc>
          <w:tcPr>
            <w:tcW w:w="711" w:type="dxa"/>
          </w:tcPr>
          <w:p>
            <w:pPr>
              <w:pStyle w:val="TableParagraph"/>
              <w:rPr>
                <w:rFonts w:ascii="Times New Roman"/>
                <w:sz w:val="20"/>
              </w:rPr>
            </w:pPr>
          </w:p>
        </w:tc>
        <w:tc>
          <w:tcPr>
            <w:tcW w:w="709" w:type="dxa"/>
          </w:tcPr>
          <w:p>
            <w:pPr>
              <w:pStyle w:val="TableParagraph"/>
              <w:rPr>
                <w:rFonts w:ascii="Times New Roman"/>
                <w:sz w:val="20"/>
              </w:rPr>
            </w:pPr>
          </w:p>
        </w:tc>
        <w:tc>
          <w:tcPr>
            <w:tcW w:w="1277" w:type="dxa"/>
          </w:tcPr>
          <w:p>
            <w:pPr>
              <w:pStyle w:val="TableParagraph"/>
              <w:rPr>
                <w:rFonts w:ascii="Times New Roman"/>
                <w:sz w:val="20"/>
              </w:rPr>
            </w:pPr>
          </w:p>
        </w:tc>
        <w:tc>
          <w:tcPr>
            <w:tcW w:w="965" w:type="dxa"/>
          </w:tcPr>
          <w:p>
            <w:pPr>
              <w:pStyle w:val="TableParagraph"/>
              <w:rPr>
                <w:rFonts w:ascii="Times New Roman"/>
                <w:sz w:val="20"/>
              </w:rPr>
            </w:pPr>
          </w:p>
        </w:tc>
      </w:tr>
      <w:tr>
        <w:trPr>
          <w:trHeight w:val="816" w:hRule="atLeast"/>
        </w:trPr>
        <w:tc>
          <w:tcPr>
            <w:tcW w:w="1145" w:type="dxa"/>
            <w:vMerge/>
            <w:tcBorders>
              <w:top w:val="nil"/>
            </w:tcBorders>
          </w:tcPr>
          <w:p>
            <w:pPr>
              <w:rPr>
                <w:sz w:val="2"/>
                <w:szCs w:val="2"/>
              </w:rPr>
            </w:pPr>
          </w:p>
        </w:tc>
        <w:tc>
          <w:tcPr>
            <w:tcW w:w="1135" w:type="dxa"/>
          </w:tcPr>
          <w:p>
            <w:pPr>
              <w:pStyle w:val="TableParagraph"/>
              <w:spacing w:before="1"/>
              <w:ind w:left="108"/>
              <w:rPr>
                <w:sz w:val="21"/>
              </w:rPr>
            </w:pPr>
            <w:r>
              <w:rPr>
                <w:sz w:val="21"/>
              </w:rPr>
              <w:t>其他 </w:t>
            </w:r>
          </w:p>
        </w:tc>
        <w:tc>
          <w:tcPr>
            <w:tcW w:w="1135" w:type="dxa"/>
          </w:tcPr>
          <w:p>
            <w:pPr>
              <w:pStyle w:val="TableParagraph"/>
              <w:spacing w:before="1"/>
              <w:ind w:right="69"/>
              <w:jc w:val="right"/>
              <w:rPr>
                <w:sz w:val="21"/>
              </w:rPr>
            </w:pPr>
            <w:r>
              <w:rPr>
                <w:spacing w:val="-1"/>
                <w:sz w:val="21"/>
              </w:rPr>
              <w:t>中坚公司</w:t>
            </w:r>
            <w:r>
              <w:rPr>
                <w:sz w:val="21"/>
              </w:rPr>
              <w:t> </w:t>
            </w:r>
          </w:p>
        </w:tc>
        <w:tc>
          <w:tcPr>
            <w:tcW w:w="5670" w:type="dxa"/>
          </w:tcPr>
          <w:p>
            <w:pPr>
              <w:pStyle w:val="TableParagraph"/>
              <w:spacing w:before="1"/>
              <w:ind w:left="108"/>
              <w:rPr>
                <w:sz w:val="21"/>
              </w:rPr>
            </w:pPr>
            <w:r>
              <w:rPr>
                <w:sz w:val="21"/>
              </w:rPr>
              <w:t>本公司承诺不越权干预富士康股份经营管理活动，不侵占</w:t>
            </w:r>
          </w:p>
          <w:p>
            <w:pPr>
              <w:pStyle w:val="TableParagraph"/>
              <w:spacing w:line="270" w:lineRule="atLeast"/>
              <w:ind w:left="108" w:right="85"/>
              <w:rPr>
                <w:sz w:val="21"/>
              </w:rPr>
            </w:pPr>
            <w:r>
              <w:rPr>
                <w:sz w:val="21"/>
              </w:rPr>
              <w:t>富士康股份利益；如违反承诺，本公司愿意承担相应的法</w:t>
            </w:r>
            <w:r>
              <w:rPr>
                <w:spacing w:val="1"/>
                <w:sz w:val="21"/>
              </w:rPr>
              <w:t> </w:t>
            </w:r>
            <w:r>
              <w:rPr>
                <w:sz w:val="21"/>
              </w:rPr>
              <w:t>律责任。 </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r>
        <w:trPr>
          <w:trHeight w:val="818" w:hRule="atLeast"/>
        </w:trPr>
        <w:tc>
          <w:tcPr>
            <w:tcW w:w="1145" w:type="dxa"/>
            <w:vMerge/>
            <w:tcBorders>
              <w:top w:val="nil"/>
            </w:tcBorders>
          </w:tcPr>
          <w:p>
            <w:pPr>
              <w:rPr>
                <w:sz w:val="2"/>
                <w:szCs w:val="2"/>
              </w:rPr>
            </w:pPr>
          </w:p>
        </w:tc>
        <w:tc>
          <w:tcPr>
            <w:tcW w:w="1135" w:type="dxa"/>
          </w:tcPr>
          <w:p>
            <w:pPr>
              <w:pStyle w:val="TableParagraph"/>
              <w:spacing w:before="3"/>
              <w:ind w:left="108"/>
              <w:rPr>
                <w:sz w:val="21"/>
              </w:rPr>
            </w:pPr>
            <w:r>
              <w:rPr>
                <w:sz w:val="21"/>
              </w:rPr>
              <w:t>其他 </w:t>
            </w:r>
          </w:p>
        </w:tc>
        <w:tc>
          <w:tcPr>
            <w:tcW w:w="1135" w:type="dxa"/>
          </w:tcPr>
          <w:p>
            <w:pPr>
              <w:pStyle w:val="TableParagraph"/>
              <w:spacing w:before="3"/>
              <w:ind w:right="69"/>
              <w:jc w:val="right"/>
              <w:rPr>
                <w:sz w:val="21"/>
              </w:rPr>
            </w:pPr>
            <w:r>
              <w:rPr>
                <w:spacing w:val="-1"/>
                <w:sz w:val="21"/>
              </w:rPr>
              <w:t>鸿海精密</w:t>
            </w:r>
            <w:r>
              <w:rPr>
                <w:sz w:val="21"/>
              </w:rPr>
              <w:t> </w:t>
            </w:r>
          </w:p>
        </w:tc>
        <w:tc>
          <w:tcPr>
            <w:tcW w:w="5670" w:type="dxa"/>
          </w:tcPr>
          <w:p>
            <w:pPr>
              <w:pStyle w:val="TableParagraph"/>
              <w:spacing w:line="242" w:lineRule="auto" w:before="3"/>
              <w:ind w:left="108" w:right="85"/>
              <w:rPr>
                <w:sz w:val="21"/>
              </w:rPr>
            </w:pPr>
            <w:r>
              <w:rPr>
                <w:sz w:val="21"/>
              </w:rPr>
              <w:t>本公司承诺不越权干预富士康股份经营管理活动，不侵占</w:t>
            </w:r>
            <w:r>
              <w:rPr>
                <w:spacing w:val="1"/>
                <w:sz w:val="21"/>
              </w:rPr>
              <w:t> </w:t>
            </w:r>
            <w:r>
              <w:rPr>
                <w:sz w:val="21"/>
              </w:rPr>
              <w:t>富士康股份利益；如违反承诺，本公司愿意承担相应的法</w:t>
            </w:r>
          </w:p>
          <w:p>
            <w:pPr>
              <w:pStyle w:val="TableParagraph"/>
              <w:spacing w:line="250" w:lineRule="exact" w:before="1"/>
              <w:ind w:left="108"/>
              <w:rPr>
                <w:sz w:val="21"/>
              </w:rPr>
            </w:pPr>
            <w:r>
              <w:rPr>
                <w:spacing w:val="-1"/>
                <w:sz w:val="21"/>
              </w:rPr>
              <w:t>律责任。</w:t>
            </w:r>
            <w:r>
              <w:rPr>
                <w:sz w:val="21"/>
              </w:rPr>
              <w:t> </w:t>
            </w:r>
          </w:p>
        </w:tc>
        <w:tc>
          <w:tcPr>
            <w:tcW w:w="1133" w:type="dxa"/>
          </w:tcPr>
          <w:p>
            <w:pPr>
              <w:pStyle w:val="TableParagraph"/>
              <w:spacing w:before="3"/>
              <w:ind w:left="108"/>
              <w:rPr>
                <w:sz w:val="21"/>
              </w:rPr>
            </w:pPr>
            <w:r>
              <w:rPr>
                <w:sz w:val="21"/>
              </w:rPr>
              <w:t>长期 </w:t>
            </w:r>
          </w:p>
        </w:tc>
        <w:tc>
          <w:tcPr>
            <w:tcW w:w="711" w:type="dxa"/>
          </w:tcPr>
          <w:p>
            <w:pPr>
              <w:pStyle w:val="TableParagraph"/>
              <w:spacing w:before="3"/>
              <w:ind w:left="108"/>
              <w:rPr>
                <w:sz w:val="21"/>
              </w:rPr>
            </w:pPr>
            <w:r>
              <w:rPr>
                <w:sz w:val="21"/>
              </w:rPr>
              <w:t>是 </w:t>
            </w:r>
          </w:p>
        </w:tc>
        <w:tc>
          <w:tcPr>
            <w:tcW w:w="709" w:type="dxa"/>
          </w:tcPr>
          <w:p>
            <w:pPr>
              <w:pStyle w:val="TableParagraph"/>
              <w:spacing w:before="3"/>
              <w:ind w:left="107"/>
              <w:rPr>
                <w:sz w:val="21"/>
              </w:rPr>
            </w:pPr>
            <w:r>
              <w:rPr>
                <w:sz w:val="21"/>
              </w:rPr>
              <w:t>是 </w:t>
            </w:r>
          </w:p>
        </w:tc>
        <w:tc>
          <w:tcPr>
            <w:tcW w:w="1277" w:type="dxa"/>
          </w:tcPr>
          <w:p>
            <w:pPr>
              <w:pStyle w:val="TableParagraph"/>
              <w:spacing w:before="3"/>
              <w:ind w:left="107"/>
              <w:rPr>
                <w:sz w:val="21"/>
              </w:rPr>
            </w:pPr>
            <w:r>
              <w:rPr>
                <w:sz w:val="21"/>
              </w:rPr>
              <w:t>不适用 </w:t>
            </w:r>
          </w:p>
        </w:tc>
        <w:tc>
          <w:tcPr>
            <w:tcW w:w="965" w:type="dxa"/>
          </w:tcPr>
          <w:p>
            <w:pPr>
              <w:pStyle w:val="TableParagraph"/>
              <w:spacing w:before="3"/>
              <w:ind w:right="109"/>
              <w:jc w:val="right"/>
              <w:rPr>
                <w:sz w:val="21"/>
              </w:rPr>
            </w:pPr>
            <w:r>
              <w:rPr>
                <w:sz w:val="21"/>
              </w:rPr>
              <w:t>不适用 </w:t>
            </w:r>
          </w:p>
        </w:tc>
      </w:tr>
      <w:tr>
        <w:trPr>
          <w:trHeight w:val="544" w:hRule="atLeast"/>
        </w:trPr>
        <w:tc>
          <w:tcPr>
            <w:tcW w:w="1145" w:type="dxa"/>
            <w:vMerge/>
            <w:tcBorders>
              <w:top w:val="nil"/>
            </w:tcBorders>
          </w:tcPr>
          <w:p>
            <w:pPr>
              <w:rPr>
                <w:sz w:val="2"/>
                <w:szCs w:val="2"/>
              </w:rPr>
            </w:pPr>
          </w:p>
        </w:tc>
        <w:tc>
          <w:tcPr>
            <w:tcW w:w="1135" w:type="dxa"/>
          </w:tcPr>
          <w:p>
            <w:pPr>
              <w:pStyle w:val="TableParagraph"/>
              <w:spacing w:before="1"/>
              <w:ind w:left="108"/>
              <w:rPr>
                <w:sz w:val="21"/>
              </w:rPr>
            </w:pPr>
            <w:r>
              <w:rPr>
                <w:sz w:val="21"/>
              </w:rPr>
              <w:t>其他 </w:t>
            </w:r>
          </w:p>
        </w:tc>
        <w:tc>
          <w:tcPr>
            <w:tcW w:w="1135" w:type="dxa"/>
          </w:tcPr>
          <w:p>
            <w:pPr>
              <w:pStyle w:val="TableParagraph"/>
              <w:spacing w:before="1"/>
              <w:ind w:left="108"/>
              <w:rPr>
                <w:sz w:val="21"/>
              </w:rPr>
            </w:pPr>
            <w:r>
              <w:rPr>
                <w:sz w:val="21"/>
              </w:rPr>
              <w:t>公司全体</w:t>
            </w:r>
          </w:p>
          <w:p>
            <w:pPr>
              <w:pStyle w:val="TableParagraph"/>
              <w:spacing w:line="250" w:lineRule="exact" w:before="4"/>
              <w:ind w:left="108"/>
              <w:rPr>
                <w:sz w:val="21"/>
              </w:rPr>
            </w:pPr>
            <w:r>
              <w:rPr>
                <w:sz w:val="21"/>
              </w:rPr>
              <w:t>董事、高</w:t>
            </w:r>
          </w:p>
        </w:tc>
        <w:tc>
          <w:tcPr>
            <w:tcW w:w="5670" w:type="dxa"/>
          </w:tcPr>
          <w:p>
            <w:pPr>
              <w:pStyle w:val="TableParagraph"/>
              <w:spacing w:before="1"/>
              <w:ind w:left="108"/>
              <w:rPr>
                <w:sz w:val="21"/>
              </w:rPr>
            </w:pPr>
            <w:r>
              <w:rPr>
                <w:sz w:val="21"/>
              </w:rPr>
              <w:t>1.本人承诺不无偿或以不公平条件向其他单位或者个人输</w:t>
            </w:r>
          </w:p>
          <w:p>
            <w:pPr>
              <w:pStyle w:val="TableParagraph"/>
              <w:spacing w:line="250" w:lineRule="exact" w:before="4"/>
              <w:ind w:left="108"/>
              <w:rPr>
                <w:sz w:val="21"/>
              </w:rPr>
            </w:pPr>
            <w:r>
              <w:rPr>
                <w:sz w:val="21"/>
              </w:rPr>
              <w:t>送利益，也不采用其他方式损害富士康股份利益；2.本人</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bl>
    <w:p>
      <w:pPr>
        <w:spacing w:after="0"/>
        <w:jc w:val="right"/>
        <w:rPr>
          <w:sz w:val="21"/>
        </w:rPr>
        <w:sectPr>
          <w:pgSz w:w="16840" w:h="11910" w:orient="landscape"/>
          <w:pgMar w:header="880" w:footer="1195" w:top="1180" w:bottom="1380" w:left="1320" w:right="1420"/>
        </w:sectPr>
      </w:pPr>
    </w:p>
    <w:p>
      <w:pPr>
        <w:pStyle w:val="BodyText"/>
        <w:ind w:left="0"/>
        <w:rPr>
          <w:sz w:val="20"/>
        </w:rPr>
      </w:pPr>
    </w:p>
    <w:p>
      <w:pPr>
        <w:pStyle w:val="BodyText"/>
        <w:spacing w:before="2"/>
        <w:ind w:left="0"/>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135"/>
        <w:gridCol w:w="1135"/>
        <w:gridCol w:w="5670"/>
        <w:gridCol w:w="1133"/>
        <w:gridCol w:w="711"/>
        <w:gridCol w:w="709"/>
        <w:gridCol w:w="1277"/>
        <w:gridCol w:w="965"/>
      </w:tblGrid>
      <w:tr>
        <w:trPr>
          <w:trHeight w:val="5719" w:hRule="atLeast"/>
        </w:trPr>
        <w:tc>
          <w:tcPr>
            <w:tcW w:w="1145" w:type="dxa"/>
            <w:vMerge w:val="restart"/>
          </w:tcPr>
          <w:p>
            <w:pPr>
              <w:pStyle w:val="TableParagraph"/>
              <w:rPr>
                <w:rFonts w:ascii="Times New Roman"/>
                <w:sz w:val="20"/>
              </w:rPr>
            </w:pPr>
          </w:p>
        </w:tc>
        <w:tc>
          <w:tcPr>
            <w:tcW w:w="1135" w:type="dxa"/>
          </w:tcPr>
          <w:p>
            <w:pPr>
              <w:pStyle w:val="TableParagraph"/>
              <w:rPr>
                <w:rFonts w:ascii="Times New Roman"/>
                <w:sz w:val="20"/>
              </w:rPr>
            </w:pPr>
          </w:p>
        </w:tc>
        <w:tc>
          <w:tcPr>
            <w:tcW w:w="1135" w:type="dxa"/>
          </w:tcPr>
          <w:p>
            <w:pPr>
              <w:pStyle w:val="TableParagraph"/>
              <w:spacing w:line="242" w:lineRule="auto" w:before="1"/>
              <w:ind w:left="108" w:right="172"/>
              <w:rPr>
                <w:sz w:val="21"/>
              </w:rPr>
            </w:pPr>
            <w:r>
              <w:rPr>
                <w:spacing w:val="-1"/>
                <w:sz w:val="21"/>
              </w:rPr>
              <w:t>级管理人</w:t>
            </w:r>
            <w:r>
              <w:rPr>
                <w:sz w:val="21"/>
              </w:rPr>
              <w:t>员 </w:t>
            </w:r>
          </w:p>
        </w:tc>
        <w:tc>
          <w:tcPr>
            <w:tcW w:w="5670" w:type="dxa"/>
          </w:tcPr>
          <w:p>
            <w:pPr>
              <w:pStyle w:val="TableParagraph"/>
              <w:spacing w:line="242" w:lineRule="auto" w:before="1"/>
              <w:ind w:left="108" w:right="83"/>
              <w:jc w:val="both"/>
              <w:rPr>
                <w:sz w:val="21"/>
              </w:rPr>
            </w:pPr>
            <w:r>
              <w:rPr>
                <w:sz w:val="21"/>
              </w:rPr>
              <w:t>承诺对本人的职务消费行为进行约束；3.本人承诺不动用</w:t>
            </w:r>
            <w:r>
              <w:rPr>
                <w:spacing w:val="1"/>
                <w:sz w:val="21"/>
              </w:rPr>
              <w:t> </w:t>
            </w:r>
            <w:r>
              <w:rPr>
                <w:sz w:val="21"/>
              </w:rPr>
              <w:t>富士康股份资产从事与本人履行职责无关的投资、消费活</w:t>
            </w:r>
            <w:r>
              <w:rPr>
                <w:spacing w:val="1"/>
                <w:sz w:val="21"/>
              </w:rPr>
              <w:t> </w:t>
            </w:r>
            <w:r>
              <w:rPr>
                <w:sz w:val="21"/>
              </w:rPr>
              <w:t>动；4.本人承诺富士康股份董事会或薪酬与考核委员会制</w:t>
            </w:r>
            <w:r>
              <w:rPr>
                <w:spacing w:val="1"/>
                <w:sz w:val="21"/>
              </w:rPr>
              <w:t> </w:t>
            </w:r>
            <w:r>
              <w:rPr>
                <w:sz w:val="21"/>
              </w:rPr>
              <w:t>定的薪酬制度与富士康股份填补回报措施的执行情况相挂</w:t>
            </w:r>
            <w:r>
              <w:rPr>
                <w:spacing w:val="1"/>
                <w:sz w:val="21"/>
              </w:rPr>
              <w:t> </w:t>
            </w:r>
            <w:r>
              <w:rPr>
                <w:sz w:val="21"/>
              </w:rPr>
              <w:t>钩；5.若富士康股份后续推出公司股权激励计划，本人承</w:t>
            </w:r>
            <w:r>
              <w:rPr>
                <w:spacing w:val="1"/>
                <w:sz w:val="21"/>
              </w:rPr>
              <w:t> </w:t>
            </w:r>
            <w:r>
              <w:rPr>
                <w:sz w:val="21"/>
              </w:rPr>
              <w:t>诺拟公布的富士康股份股权激励的行权条件与富士康股份</w:t>
            </w:r>
            <w:r>
              <w:rPr>
                <w:spacing w:val="1"/>
                <w:sz w:val="21"/>
              </w:rPr>
              <w:t> </w:t>
            </w:r>
            <w:r>
              <w:rPr>
                <w:sz w:val="21"/>
              </w:rPr>
              <w:t>填补被摊薄即期回报措施的执行情况相挂钩；6.有关填补</w:t>
            </w:r>
            <w:r>
              <w:rPr>
                <w:spacing w:val="1"/>
                <w:sz w:val="21"/>
              </w:rPr>
              <w:t> </w:t>
            </w:r>
            <w:r>
              <w:rPr>
                <w:sz w:val="21"/>
              </w:rPr>
              <w:t>回报措施的承诺，若本人违反该等承诺并给富士康股份或</w:t>
            </w:r>
            <w:r>
              <w:rPr>
                <w:spacing w:val="1"/>
                <w:sz w:val="21"/>
              </w:rPr>
              <w:t> </w:t>
            </w:r>
            <w:r>
              <w:rPr>
                <w:sz w:val="21"/>
              </w:rPr>
              <w:t>者投资者造成损失的，本人愿意依法承担对富士康股份或</w:t>
            </w:r>
            <w:r>
              <w:rPr>
                <w:spacing w:val="1"/>
                <w:sz w:val="21"/>
              </w:rPr>
              <w:t> </w:t>
            </w:r>
            <w:r>
              <w:rPr>
                <w:sz w:val="21"/>
              </w:rPr>
              <w:t>者投资者的补偿责任；7.本承诺函出具日后，若中国证监</w:t>
            </w:r>
            <w:r>
              <w:rPr>
                <w:spacing w:val="13"/>
                <w:sz w:val="21"/>
              </w:rPr>
              <w:t>会作出关于填补回报措施及其承诺的其他新的监管规定</w:t>
            </w:r>
            <w:r>
              <w:rPr>
                <w:sz w:val="21"/>
              </w:rPr>
              <w:t>的，且上述承诺不能满足中国证监会该等规定时，本人承</w:t>
            </w:r>
            <w:r>
              <w:rPr>
                <w:spacing w:val="1"/>
                <w:sz w:val="21"/>
              </w:rPr>
              <w:t> </w:t>
            </w:r>
            <w:r>
              <w:rPr>
                <w:sz w:val="21"/>
              </w:rPr>
              <w:t>诺届时将按照中国证监会的最新规定出具补充承诺。作为</w:t>
            </w:r>
            <w:r>
              <w:rPr>
                <w:spacing w:val="1"/>
                <w:sz w:val="21"/>
              </w:rPr>
              <w:t> </w:t>
            </w:r>
            <w:r>
              <w:rPr>
                <w:sz w:val="21"/>
              </w:rPr>
              <w:t>填补回报措施相关责任主体之一，本人承诺全面、完整、</w:t>
            </w:r>
            <w:r>
              <w:rPr>
                <w:spacing w:val="1"/>
                <w:sz w:val="21"/>
              </w:rPr>
              <w:t> </w:t>
            </w:r>
            <w:r>
              <w:rPr>
                <w:sz w:val="21"/>
              </w:rPr>
              <w:t>及时履行上述承诺。若本人违反上述承诺，给富士康股份</w:t>
            </w:r>
            <w:r>
              <w:rPr>
                <w:spacing w:val="1"/>
                <w:sz w:val="21"/>
              </w:rPr>
              <w:t> </w:t>
            </w:r>
            <w:r>
              <w:rPr>
                <w:sz w:val="21"/>
              </w:rPr>
              <w:t>或股东造成损失的，本人愿意：（1）在股东大会及中国证监会指定报刊公开作出解释并道歉；（2）依法承担对富士康股份及其股东造成的损失；（3）无条件接受中国证监会和上海证券交易所等证券监管机构按照其制定或发布的有</w:t>
            </w:r>
            <w:r>
              <w:rPr>
                <w:spacing w:val="13"/>
                <w:sz w:val="21"/>
              </w:rPr>
              <w:t>关规定、规则，对本人作出相关处罚或采取相关监管措</w:t>
            </w:r>
          </w:p>
          <w:p>
            <w:pPr>
              <w:pStyle w:val="TableParagraph"/>
              <w:spacing w:line="252" w:lineRule="exact" w:before="11"/>
              <w:ind w:left="108"/>
              <w:rPr>
                <w:sz w:val="21"/>
              </w:rPr>
            </w:pPr>
            <w:r>
              <w:rPr>
                <w:sz w:val="21"/>
              </w:rPr>
              <w:t>施。 </w:t>
            </w:r>
          </w:p>
        </w:tc>
        <w:tc>
          <w:tcPr>
            <w:tcW w:w="1133" w:type="dxa"/>
          </w:tcPr>
          <w:p>
            <w:pPr>
              <w:pStyle w:val="TableParagraph"/>
              <w:rPr>
                <w:rFonts w:ascii="Times New Roman"/>
                <w:sz w:val="20"/>
              </w:rPr>
            </w:pPr>
          </w:p>
        </w:tc>
        <w:tc>
          <w:tcPr>
            <w:tcW w:w="711" w:type="dxa"/>
          </w:tcPr>
          <w:p>
            <w:pPr>
              <w:pStyle w:val="TableParagraph"/>
              <w:rPr>
                <w:rFonts w:ascii="Times New Roman"/>
                <w:sz w:val="20"/>
              </w:rPr>
            </w:pPr>
          </w:p>
        </w:tc>
        <w:tc>
          <w:tcPr>
            <w:tcW w:w="709" w:type="dxa"/>
          </w:tcPr>
          <w:p>
            <w:pPr>
              <w:pStyle w:val="TableParagraph"/>
              <w:rPr>
                <w:rFonts w:ascii="Times New Roman"/>
                <w:sz w:val="20"/>
              </w:rPr>
            </w:pPr>
          </w:p>
        </w:tc>
        <w:tc>
          <w:tcPr>
            <w:tcW w:w="1277" w:type="dxa"/>
          </w:tcPr>
          <w:p>
            <w:pPr>
              <w:pStyle w:val="TableParagraph"/>
              <w:rPr>
                <w:rFonts w:ascii="Times New Roman"/>
                <w:sz w:val="20"/>
              </w:rPr>
            </w:pPr>
          </w:p>
        </w:tc>
        <w:tc>
          <w:tcPr>
            <w:tcW w:w="965" w:type="dxa"/>
          </w:tcPr>
          <w:p>
            <w:pPr>
              <w:pStyle w:val="TableParagraph"/>
              <w:rPr>
                <w:rFonts w:ascii="Times New Roman"/>
                <w:sz w:val="20"/>
              </w:rPr>
            </w:pPr>
          </w:p>
        </w:tc>
      </w:tr>
      <w:tr>
        <w:trPr>
          <w:trHeight w:val="2724" w:hRule="atLeast"/>
        </w:trPr>
        <w:tc>
          <w:tcPr>
            <w:tcW w:w="1145" w:type="dxa"/>
            <w:vMerge/>
            <w:tcBorders>
              <w:top w:val="nil"/>
            </w:tcBorders>
          </w:tcPr>
          <w:p>
            <w:pPr>
              <w:rPr>
                <w:sz w:val="2"/>
                <w:szCs w:val="2"/>
              </w:rPr>
            </w:pPr>
          </w:p>
        </w:tc>
        <w:tc>
          <w:tcPr>
            <w:tcW w:w="1135" w:type="dxa"/>
          </w:tcPr>
          <w:p>
            <w:pPr>
              <w:pStyle w:val="TableParagraph"/>
              <w:spacing w:before="1"/>
              <w:ind w:left="108"/>
              <w:rPr>
                <w:sz w:val="21"/>
              </w:rPr>
            </w:pPr>
            <w:r>
              <w:rPr>
                <w:sz w:val="21"/>
              </w:rPr>
              <w:t>其他 </w:t>
            </w:r>
          </w:p>
        </w:tc>
        <w:tc>
          <w:tcPr>
            <w:tcW w:w="1135" w:type="dxa"/>
          </w:tcPr>
          <w:p>
            <w:pPr>
              <w:pStyle w:val="TableParagraph"/>
              <w:spacing w:before="1"/>
              <w:ind w:left="108"/>
              <w:rPr>
                <w:sz w:val="21"/>
              </w:rPr>
            </w:pPr>
            <w:r>
              <w:rPr>
                <w:sz w:val="21"/>
              </w:rPr>
              <w:t>公司 </w:t>
            </w:r>
          </w:p>
        </w:tc>
        <w:tc>
          <w:tcPr>
            <w:tcW w:w="5670" w:type="dxa"/>
          </w:tcPr>
          <w:p>
            <w:pPr>
              <w:pStyle w:val="TableParagraph"/>
              <w:spacing w:line="242" w:lineRule="auto" w:before="1"/>
              <w:ind w:left="108" w:right="85"/>
              <w:jc w:val="both"/>
              <w:rPr>
                <w:sz w:val="21"/>
              </w:rPr>
            </w:pPr>
            <w:r>
              <w:rPr>
                <w:sz w:val="21"/>
              </w:rPr>
              <w:t>1.如本公司承诺未能履行、确已无法履行或无法按期履行</w:t>
            </w:r>
            <w:r>
              <w:rPr>
                <w:spacing w:val="1"/>
                <w:sz w:val="21"/>
              </w:rPr>
              <w:t> </w:t>
            </w:r>
            <w:r>
              <w:rPr>
                <w:sz w:val="21"/>
              </w:rPr>
              <w:t>的（因相关法律法规、政策变化、自然灾害及其他不可抗</w:t>
            </w:r>
            <w:r>
              <w:rPr>
                <w:spacing w:val="1"/>
                <w:sz w:val="21"/>
              </w:rPr>
              <w:t> </w:t>
            </w:r>
            <w:r>
              <w:rPr>
                <w:sz w:val="21"/>
              </w:rPr>
              <w:t>力等本公司无法控制的客观原因导致的除外），本公司将</w:t>
            </w:r>
            <w:r>
              <w:rPr>
                <w:spacing w:val="12"/>
                <w:sz w:val="21"/>
              </w:rPr>
              <w:t>采取以下措施</w:t>
            </w:r>
            <w:r>
              <w:rPr>
                <w:spacing w:val="11"/>
                <w:sz w:val="21"/>
              </w:rPr>
              <w:t>：（1）</w:t>
            </w:r>
            <w:r>
              <w:rPr>
                <w:spacing w:val="6"/>
                <w:sz w:val="21"/>
              </w:rPr>
              <w:t>及时、充分披露本公司承诺未能履</w:t>
            </w:r>
            <w:r>
              <w:rPr>
                <w:sz w:val="21"/>
              </w:rPr>
              <w:t>行、无法履行或无法按期履行的具体原因；（2）向本公司投资者提出补充承诺或替代承诺，以尽可能保护投资者的</w:t>
            </w:r>
            <w:r>
              <w:rPr>
                <w:spacing w:val="12"/>
                <w:sz w:val="21"/>
              </w:rPr>
              <w:t>权益</w:t>
            </w:r>
            <w:r>
              <w:rPr>
                <w:spacing w:val="11"/>
                <w:sz w:val="21"/>
              </w:rPr>
              <w:t>；（3）</w:t>
            </w:r>
            <w:r>
              <w:rPr>
                <w:spacing w:val="6"/>
                <w:sz w:val="21"/>
              </w:rPr>
              <w:t>将上述补充承诺或替代承诺提交股东大会审</w:t>
            </w:r>
            <w:r>
              <w:rPr>
                <w:sz w:val="21"/>
              </w:rPr>
              <w:t>议；（4）本公司违反承诺给投资者造成损失的，将依法对</w:t>
            </w:r>
          </w:p>
          <w:p>
            <w:pPr>
              <w:pStyle w:val="TableParagraph"/>
              <w:spacing w:line="270" w:lineRule="atLeast"/>
              <w:ind w:left="108" w:right="85"/>
              <w:rPr>
                <w:sz w:val="21"/>
              </w:rPr>
            </w:pPr>
            <w:r>
              <w:rPr>
                <w:spacing w:val="1"/>
                <w:sz w:val="21"/>
              </w:rPr>
              <w:t>投资者进行赔偿。</w:t>
            </w:r>
            <w:r>
              <w:rPr>
                <w:sz w:val="21"/>
              </w:rPr>
              <w:t>2.如因相关法律法规、政策变化、自然灾害及其他不可抗力等本公司无法控制的客观原因导致本</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left="106"/>
              <w:rPr>
                <w:sz w:val="21"/>
              </w:rPr>
            </w:pPr>
            <w:r>
              <w:rPr>
                <w:sz w:val="21"/>
              </w:rPr>
              <w:t>不适用 </w:t>
            </w:r>
          </w:p>
        </w:tc>
      </w:tr>
    </w:tbl>
    <w:p>
      <w:pPr>
        <w:spacing w:after="0"/>
        <w:rPr>
          <w:sz w:val="21"/>
        </w:rPr>
        <w:sectPr>
          <w:pgSz w:w="16840" w:h="11910" w:orient="landscape"/>
          <w:pgMar w:header="880" w:footer="1195" w:top="1180" w:bottom="1380" w:left="1320" w:right="1420"/>
        </w:sectPr>
      </w:pPr>
    </w:p>
    <w:p>
      <w:pPr>
        <w:pStyle w:val="BodyText"/>
        <w:ind w:left="0"/>
        <w:rPr>
          <w:sz w:val="20"/>
        </w:rPr>
      </w:pPr>
    </w:p>
    <w:p>
      <w:pPr>
        <w:pStyle w:val="BodyText"/>
        <w:spacing w:before="2"/>
        <w:ind w:left="0"/>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135"/>
        <w:gridCol w:w="1135"/>
        <w:gridCol w:w="5670"/>
        <w:gridCol w:w="1133"/>
        <w:gridCol w:w="711"/>
        <w:gridCol w:w="709"/>
        <w:gridCol w:w="1277"/>
        <w:gridCol w:w="965"/>
      </w:tblGrid>
      <w:tr>
        <w:trPr>
          <w:trHeight w:val="1360" w:hRule="atLeast"/>
        </w:trPr>
        <w:tc>
          <w:tcPr>
            <w:tcW w:w="1145" w:type="dxa"/>
            <w:vMerge w:val="restart"/>
          </w:tcPr>
          <w:p>
            <w:pPr>
              <w:pStyle w:val="TableParagraph"/>
              <w:rPr>
                <w:rFonts w:ascii="Times New Roman"/>
                <w:sz w:val="20"/>
              </w:rPr>
            </w:pPr>
          </w:p>
        </w:tc>
        <w:tc>
          <w:tcPr>
            <w:tcW w:w="1135" w:type="dxa"/>
          </w:tcPr>
          <w:p>
            <w:pPr>
              <w:pStyle w:val="TableParagraph"/>
              <w:rPr>
                <w:rFonts w:ascii="Times New Roman"/>
                <w:sz w:val="20"/>
              </w:rPr>
            </w:pPr>
          </w:p>
        </w:tc>
        <w:tc>
          <w:tcPr>
            <w:tcW w:w="1135" w:type="dxa"/>
          </w:tcPr>
          <w:p>
            <w:pPr>
              <w:pStyle w:val="TableParagraph"/>
              <w:rPr>
                <w:rFonts w:ascii="Times New Roman"/>
                <w:sz w:val="20"/>
              </w:rPr>
            </w:pPr>
          </w:p>
        </w:tc>
        <w:tc>
          <w:tcPr>
            <w:tcW w:w="5670" w:type="dxa"/>
          </w:tcPr>
          <w:p>
            <w:pPr>
              <w:pStyle w:val="TableParagraph"/>
              <w:spacing w:line="242" w:lineRule="auto" w:before="1"/>
              <w:ind w:left="108" w:right="84"/>
              <w:jc w:val="both"/>
              <w:rPr>
                <w:sz w:val="21"/>
              </w:rPr>
            </w:pPr>
            <w:r>
              <w:rPr>
                <w:sz w:val="21"/>
              </w:rPr>
              <w:t>公司承诺未能履行、确已无法履行或无法按期履行的，本</w:t>
            </w:r>
            <w:r>
              <w:rPr>
                <w:spacing w:val="1"/>
                <w:sz w:val="21"/>
              </w:rPr>
              <w:t> </w:t>
            </w:r>
            <w:r>
              <w:rPr>
                <w:sz w:val="21"/>
              </w:rPr>
              <w:t>公司将采取以下措施：（1）及时、充分披露本公司承诺未能履行、无法履行或无法按期履行的具体原因；（2）向本公司的投资者提出补充承诺或替代承诺，以尽可能保护本</w:t>
            </w:r>
          </w:p>
          <w:p>
            <w:pPr>
              <w:pStyle w:val="TableParagraph"/>
              <w:spacing w:line="250" w:lineRule="exact" w:before="2"/>
              <w:ind w:left="108"/>
              <w:rPr>
                <w:sz w:val="21"/>
              </w:rPr>
            </w:pPr>
            <w:r>
              <w:rPr>
                <w:spacing w:val="-1"/>
                <w:sz w:val="21"/>
              </w:rPr>
              <w:t>公司投资者的权益。</w:t>
            </w:r>
            <w:r>
              <w:rPr>
                <w:sz w:val="21"/>
              </w:rPr>
              <w:t> </w:t>
            </w:r>
          </w:p>
        </w:tc>
        <w:tc>
          <w:tcPr>
            <w:tcW w:w="1133" w:type="dxa"/>
          </w:tcPr>
          <w:p>
            <w:pPr>
              <w:pStyle w:val="TableParagraph"/>
              <w:rPr>
                <w:rFonts w:ascii="Times New Roman"/>
                <w:sz w:val="20"/>
              </w:rPr>
            </w:pPr>
          </w:p>
        </w:tc>
        <w:tc>
          <w:tcPr>
            <w:tcW w:w="711" w:type="dxa"/>
          </w:tcPr>
          <w:p>
            <w:pPr>
              <w:pStyle w:val="TableParagraph"/>
              <w:rPr>
                <w:rFonts w:ascii="Times New Roman"/>
                <w:sz w:val="20"/>
              </w:rPr>
            </w:pPr>
          </w:p>
        </w:tc>
        <w:tc>
          <w:tcPr>
            <w:tcW w:w="709" w:type="dxa"/>
          </w:tcPr>
          <w:p>
            <w:pPr>
              <w:pStyle w:val="TableParagraph"/>
              <w:rPr>
                <w:rFonts w:ascii="Times New Roman"/>
                <w:sz w:val="20"/>
              </w:rPr>
            </w:pPr>
          </w:p>
        </w:tc>
        <w:tc>
          <w:tcPr>
            <w:tcW w:w="1277" w:type="dxa"/>
          </w:tcPr>
          <w:p>
            <w:pPr>
              <w:pStyle w:val="TableParagraph"/>
              <w:rPr>
                <w:rFonts w:ascii="Times New Roman"/>
                <w:sz w:val="20"/>
              </w:rPr>
            </w:pPr>
          </w:p>
        </w:tc>
        <w:tc>
          <w:tcPr>
            <w:tcW w:w="965" w:type="dxa"/>
          </w:tcPr>
          <w:p>
            <w:pPr>
              <w:pStyle w:val="TableParagraph"/>
              <w:rPr>
                <w:rFonts w:ascii="Times New Roman"/>
                <w:sz w:val="20"/>
              </w:rPr>
            </w:pPr>
          </w:p>
        </w:tc>
      </w:tr>
      <w:tr>
        <w:trPr>
          <w:trHeight w:val="4903" w:hRule="atLeast"/>
        </w:trPr>
        <w:tc>
          <w:tcPr>
            <w:tcW w:w="1145" w:type="dxa"/>
            <w:vMerge/>
            <w:tcBorders>
              <w:top w:val="nil"/>
            </w:tcBorders>
          </w:tcPr>
          <w:p>
            <w:pPr>
              <w:rPr>
                <w:sz w:val="2"/>
                <w:szCs w:val="2"/>
              </w:rPr>
            </w:pPr>
          </w:p>
        </w:tc>
        <w:tc>
          <w:tcPr>
            <w:tcW w:w="1135" w:type="dxa"/>
          </w:tcPr>
          <w:p>
            <w:pPr>
              <w:pStyle w:val="TableParagraph"/>
              <w:spacing w:before="1"/>
              <w:ind w:left="108"/>
              <w:rPr>
                <w:sz w:val="21"/>
              </w:rPr>
            </w:pPr>
            <w:r>
              <w:rPr>
                <w:sz w:val="21"/>
              </w:rPr>
              <w:t>其他 </w:t>
            </w:r>
          </w:p>
        </w:tc>
        <w:tc>
          <w:tcPr>
            <w:tcW w:w="1135" w:type="dxa"/>
          </w:tcPr>
          <w:p>
            <w:pPr>
              <w:pStyle w:val="TableParagraph"/>
              <w:spacing w:before="1"/>
              <w:ind w:right="69"/>
              <w:jc w:val="right"/>
              <w:rPr>
                <w:sz w:val="21"/>
              </w:rPr>
            </w:pPr>
            <w:r>
              <w:rPr>
                <w:spacing w:val="-1"/>
                <w:sz w:val="21"/>
              </w:rPr>
              <w:t>中坚公司</w:t>
            </w:r>
            <w:r>
              <w:rPr>
                <w:sz w:val="21"/>
              </w:rPr>
              <w:t> </w:t>
            </w:r>
          </w:p>
        </w:tc>
        <w:tc>
          <w:tcPr>
            <w:tcW w:w="5670" w:type="dxa"/>
          </w:tcPr>
          <w:p>
            <w:pPr>
              <w:pStyle w:val="TableParagraph"/>
              <w:spacing w:line="242" w:lineRule="auto" w:before="1"/>
              <w:ind w:left="108" w:right="85"/>
              <w:jc w:val="both"/>
              <w:rPr>
                <w:sz w:val="21"/>
              </w:rPr>
            </w:pPr>
            <w:r>
              <w:rPr>
                <w:sz w:val="21"/>
              </w:rPr>
              <w:t>1.如本公司承诺未能履行、确已无法履行或无法按期履行</w:t>
            </w:r>
            <w:r>
              <w:rPr>
                <w:spacing w:val="1"/>
                <w:sz w:val="21"/>
              </w:rPr>
              <w:t> </w:t>
            </w:r>
            <w:r>
              <w:rPr>
                <w:sz w:val="21"/>
              </w:rPr>
              <w:t>的（因相关法律法规、政策变化、自然灾害及其他不可抗</w:t>
            </w:r>
            <w:r>
              <w:rPr>
                <w:spacing w:val="1"/>
                <w:sz w:val="21"/>
              </w:rPr>
              <w:t> </w:t>
            </w:r>
            <w:r>
              <w:rPr>
                <w:sz w:val="21"/>
              </w:rPr>
              <w:t>力等本公司无法控制的客观原因导致的除外），本公司将</w:t>
            </w:r>
            <w:r>
              <w:rPr>
                <w:spacing w:val="1"/>
                <w:sz w:val="21"/>
              </w:rPr>
              <w:t> </w:t>
            </w:r>
            <w:r>
              <w:rPr>
                <w:sz w:val="21"/>
              </w:rPr>
              <w:t>采取以下措施：（1）通过富士康工业互联网股份有限公司及时、充分披露本公司承诺未能履行、无法履行或无法按</w:t>
            </w:r>
            <w:r>
              <w:rPr>
                <w:spacing w:val="1"/>
                <w:sz w:val="21"/>
              </w:rPr>
              <w:t> </w:t>
            </w:r>
            <w:r>
              <w:rPr>
                <w:sz w:val="21"/>
              </w:rPr>
              <w:t>期履行的具体原因；（2）向富士康工业互联网股份有限公司及其投资者提出补充承诺或替代承诺，以尽可能保护富</w:t>
            </w:r>
            <w:r>
              <w:rPr>
                <w:spacing w:val="1"/>
                <w:sz w:val="21"/>
              </w:rPr>
              <w:t> </w:t>
            </w:r>
            <w:r>
              <w:rPr>
                <w:sz w:val="21"/>
              </w:rPr>
              <w:t>士康股份及其投资者的权益；（3）将上述补充承诺或替代承诺提交富士康股份股东大会审议；（4）本公司违反本公司承诺所得收益将归属于富士康股份，因此给富士康股份</w:t>
            </w:r>
            <w:r>
              <w:rPr>
                <w:spacing w:val="1"/>
                <w:sz w:val="21"/>
              </w:rPr>
              <w:t> </w:t>
            </w:r>
            <w:r>
              <w:rPr>
                <w:sz w:val="21"/>
              </w:rPr>
              <w:t>或投资者造成损失的，将依法对富士康股份或投资者进行</w:t>
            </w:r>
            <w:r>
              <w:rPr>
                <w:spacing w:val="1"/>
                <w:sz w:val="21"/>
              </w:rPr>
              <w:t> </w:t>
            </w:r>
            <w:r>
              <w:rPr>
                <w:spacing w:val="3"/>
                <w:sz w:val="21"/>
              </w:rPr>
              <w:t>赔偿。</w:t>
            </w:r>
            <w:r>
              <w:rPr>
                <w:sz w:val="21"/>
              </w:rPr>
              <w:t>2.如因相关法律法规、政策变化、自然灾害及其他不可抗力等本公司无法控制的客观原因导致本公司承诺未</w:t>
            </w:r>
            <w:r>
              <w:rPr>
                <w:spacing w:val="1"/>
                <w:sz w:val="21"/>
              </w:rPr>
              <w:t> </w:t>
            </w:r>
            <w:r>
              <w:rPr>
                <w:sz w:val="21"/>
              </w:rPr>
              <w:t>能履行、确已无法履行或无法按期履行的，本公司将采取</w:t>
            </w:r>
            <w:r>
              <w:rPr>
                <w:spacing w:val="1"/>
                <w:sz w:val="21"/>
              </w:rPr>
              <w:t> </w:t>
            </w:r>
            <w:r>
              <w:rPr>
                <w:sz w:val="21"/>
              </w:rPr>
              <w:t>以下措施：（1）通过富士康股份及时、充分披露本公司承诺未能履行、无法履行或无法按期履行的具体原因；（2）</w:t>
            </w:r>
            <w:r>
              <w:rPr>
                <w:spacing w:val="1"/>
                <w:sz w:val="21"/>
              </w:rPr>
              <w:t> </w:t>
            </w:r>
            <w:r>
              <w:rPr>
                <w:sz w:val="21"/>
              </w:rPr>
              <w:t>向富士康股份及其投资者提出补充承诺或替代承诺，以尽</w:t>
            </w:r>
          </w:p>
          <w:p>
            <w:pPr>
              <w:pStyle w:val="TableParagraph"/>
              <w:spacing w:line="250" w:lineRule="exact" w:before="13"/>
              <w:ind w:left="108"/>
              <w:rPr>
                <w:sz w:val="21"/>
              </w:rPr>
            </w:pPr>
            <w:r>
              <w:rPr>
                <w:spacing w:val="-1"/>
                <w:sz w:val="21"/>
              </w:rPr>
              <w:t>可能保护富士康股份及其投资者的权益。</w:t>
            </w:r>
            <w:r>
              <w:rPr>
                <w:sz w:val="21"/>
              </w:rPr>
              <w:t> </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r>
        <w:trPr>
          <w:trHeight w:val="2179" w:hRule="atLeast"/>
        </w:trPr>
        <w:tc>
          <w:tcPr>
            <w:tcW w:w="1145" w:type="dxa"/>
            <w:vMerge/>
            <w:tcBorders>
              <w:top w:val="nil"/>
            </w:tcBorders>
          </w:tcPr>
          <w:p>
            <w:pPr>
              <w:rPr>
                <w:sz w:val="2"/>
                <w:szCs w:val="2"/>
              </w:rPr>
            </w:pPr>
          </w:p>
        </w:tc>
        <w:tc>
          <w:tcPr>
            <w:tcW w:w="1135" w:type="dxa"/>
          </w:tcPr>
          <w:p>
            <w:pPr>
              <w:pStyle w:val="TableParagraph"/>
              <w:spacing w:before="1"/>
              <w:ind w:left="108"/>
              <w:rPr>
                <w:sz w:val="21"/>
              </w:rPr>
            </w:pPr>
            <w:r>
              <w:rPr>
                <w:sz w:val="21"/>
              </w:rPr>
              <w:t>其他 </w:t>
            </w:r>
          </w:p>
        </w:tc>
        <w:tc>
          <w:tcPr>
            <w:tcW w:w="1135" w:type="dxa"/>
          </w:tcPr>
          <w:p>
            <w:pPr>
              <w:pStyle w:val="TableParagraph"/>
              <w:spacing w:before="1"/>
              <w:ind w:right="69"/>
              <w:jc w:val="right"/>
              <w:rPr>
                <w:sz w:val="21"/>
              </w:rPr>
            </w:pPr>
            <w:r>
              <w:rPr>
                <w:spacing w:val="-1"/>
                <w:sz w:val="21"/>
              </w:rPr>
              <w:t>鸿海精密</w:t>
            </w:r>
            <w:r>
              <w:rPr>
                <w:sz w:val="21"/>
              </w:rPr>
              <w:t> </w:t>
            </w:r>
          </w:p>
        </w:tc>
        <w:tc>
          <w:tcPr>
            <w:tcW w:w="5670" w:type="dxa"/>
          </w:tcPr>
          <w:p>
            <w:pPr>
              <w:pStyle w:val="TableParagraph"/>
              <w:spacing w:line="242" w:lineRule="auto" w:before="1"/>
              <w:ind w:left="108" w:right="85"/>
              <w:jc w:val="both"/>
              <w:rPr>
                <w:sz w:val="21"/>
              </w:rPr>
            </w:pPr>
            <w:r>
              <w:rPr>
                <w:sz w:val="21"/>
              </w:rPr>
              <w:t>1.如本公司承诺未能履行、确已无法履行或无法按期履行</w:t>
            </w:r>
            <w:r>
              <w:rPr>
                <w:spacing w:val="1"/>
                <w:sz w:val="21"/>
              </w:rPr>
              <w:t> </w:t>
            </w:r>
            <w:r>
              <w:rPr>
                <w:sz w:val="21"/>
              </w:rPr>
              <w:t>的（因相关法律法规、政策变化、自然灾害及其他不可抗</w:t>
            </w:r>
            <w:r>
              <w:rPr>
                <w:spacing w:val="1"/>
                <w:sz w:val="21"/>
              </w:rPr>
              <w:t> </w:t>
            </w:r>
            <w:r>
              <w:rPr>
                <w:sz w:val="21"/>
              </w:rPr>
              <w:t>力等本公司无法控制的客观原因导致的除外），本公司将</w:t>
            </w:r>
            <w:r>
              <w:rPr>
                <w:spacing w:val="1"/>
                <w:sz w:val="21"/>
              </w:rPr>
              <w:t> </w:t>
            </w:r>
            <w:r>
              <w:rPr>
                <w:sz w:val="21"/>
              </w:rPr>
              <w:t>采取以下措施：（1）通过富士康工业互联网股份有限公司及时、充分披露本公司承诺未能履行、无法履行或无法按</w:t>
            </w:r>
            <w:r>
              <w:rPr>
                <w:spacing w:val="1"/>
                <w:sz w:val="21"/>
              </w:rPr>
              <w:t> </w:t>
            </w:r>
            <w:r>
              <w:rPr>
                <w:sz w:val="21"/>
              </w:rPr>
              <w:t>期履行的具体原因；（2）向富士康工业互联网股份有限公司及其投资者提出补充承诺或替代承诺，以尽可能保护富</w:t>
            </w:r>
          </w:p>
          <w:p>
            <w:pPr>
              <w:pStyle w:val="TableParagraph"/>
              <w:spacing w:line="250" w:lineRule="exact" w:before="6"/>
              <w:ind w:left="108"/>
              <w:rPr>
                <w:sz w:val="21"/>
              </w:rPr>
            </w:pPr>
            <w:r>
              <w:rPr>
                <w:sz w:val="21"/>
              </w:rPr>
              <w:t>士康股份及其投资者的权益；（3）将上述补充承诺或替代</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bl>
    <w:p>
      <w:pPr>
        <w:spacing w:after="0"/>
        <w:jc w:val="right"/>
        <w:rPr>
          <w:sz w:val="21"/>
        </w:rPr>
        <w:sectPr>
          <w:pgSz w:w="16840" w:h="11910" w:orient="landscape"/>
          <w:pgMar w:header="880" w:footer="1195" w:top="1180" w:bottom="1380" w:left="1320" w:right="1420"/>
        </w:sectPr>
      </w:pPr>
    </w:p>
    <w:p>
      <w:pPr>
        <w:pStyle w:val="BodyText"/>
        <w:ind w:left="0"/>
        <w:rPr>
          <w:sz w:val="20"/>
        </w:rPr>
      </w:pPr>
    </w:p>
    <w:p>
      <w:pPr>
        <w:pStyle w:val="BodyText"/>
        <w:spacing w:before="2"/>
        <w:ind w:left="0"/>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135"/>
        <w:gridCol w:w="1135"/>
        <w:gridCol w:w="5670"/>
        <w:gridCol w:w="1133"/>
        <w:gridCol w:w="711"/>
        <w:gridCol w:w="709"/>
        <w:gridCol w:w="1277"/>
        <w:gridCol w:w="965"/>
      </w:tblGrid>
      <w:tr>
        <w:trPr>
          <w:trHeight w:val="2724" w:hRule="atLeast"/>
        </w:trPr>
        <w:tc>
          <w:tcPr>
            <w:tcW w:w="1145" w:type="dxa"/>
            <w:vMerge w:val="restart"/>
          </w:tcPr>
          <w:p>
            <w:pPr>
              <w:pStyle w:val="TableParagraph"/>
              <w:rPr>
                <w:rFonts w:ascii="Times New Roman"/>
                <w:sz w:val="20"/>
              </w:rPr>
            </w:pPr>
          </w:p>
        </w:tc>
        <w:tc>
          <w:tcPr>
            <w:tcW w:w="1135" w:type="dxa"/>
          </w:tcPr>
          <w:p>
            <w:pPr>
              <w:pStyle w:val="TableParagraph"/>
              <w:rPr>
                <w:rFonts w:ascii="Times New Roman"/>
                <w:sz w:val="20"/>
              </w:rPr>
            </w:pPr>
          </w:p>
        </w:tc>
        <w:tc>
          <w:tcPr>
            <w:tcW w:w="1135" w:type="dxa"/>
          </w:tcPr>
          <w:p>
            <w:pPr>
              <w:pStyle w:val="TableParagraph"/>
              <w:rPr>
                <w:rFonts w:ascii="Times New Roman"/>
                <w:sz w:val="20"/>
              </w:rPr>
            </w:pPr>
          </w:p>
        </w:tc>
        <w:tc>
          <w:tcPr>
            <w:tcW w:w="5670" w:type="dxa"/>
          </w:tcPr>
          <w:p>
            <w:pPr>
              <w:pStyle w:val="TableParagraph"/>
              <w:spacing w:line="242" w:lineRule="auto" w:before="1"/>
              <w:ind w:left="108" w:right="85"/>
              <w:jc w:val="both"/>
              <w:rPr>
                <w:sz w:val="21"/>
              </w:rPr>
            </w:pPr>
            <w:r>
              <w:rPr>
                <w:sz w:val="21"/>
              </w:rPr>
              <w:t>承诺提交富士康股份股东大会审议；（4）本公司违反本公司承诺所得收益将归属于富士康股份，因此给富士康股份</w:t>
            </w:r>
            <w:r>
              <w:rPr>
                <w:spacing w:val="1"/>
                <w:sz w:val="21"/>
              </w:rPr>
              <w:t> </w:t>
            </w:r>
            <w:r>
              <w:rPr>
                <w:sz w:val="21"/>
              </w:rPr>
              <w:t>或投资者造成损失的，将依法对富士康股份或投资者进行</w:t>
            </w:r>
            <w:r>
              <w:rPr>
                <w:spacing w:val="1"/>
                <w:sz w:val="21"/>
              </w:rPr>
              <w:t> </w:t>
            </w:r>
            <w:r>
              <w:rPr>
                <w:spacing w:val="3"/>
                <w:sz w:val="21"/>
              </w:rPr>
              <w:t>赔偿。</w:t>
            </w:r>
            <w:r>
              <w:rPr>
                <w:sz w:val="21"/>
              </w:rPr>
              <w:t>2.如因相关法律法规、政策变化、自然灾害及其他不可抗力等本公司无法控制的客观原因导致本公司承诺未</w:t>
            </w:r>
            <w:r>
              <w:rPr>
                <w:spacing w:val="1"/>
                <w:sz w:val="21"/>
              </w:rPr>
              <w:t> </w:t>
            </w:r>
            <w:r>
              <w:rPr>
                <w:sz w:val="21"/>
              </w:rPr>
              <w:t>能履行、确已无法履行或无法按期履行的，本公司将采取</w:t>
            </w:r>
            <w:r>
              <w:rPr>
                <w:spacing w:val="1"/>
                <w:sz w:val="21"/>
              </w:rPr>
              <w:t> </w:t>
            </w:r>
            <w:r>
              <w:rPr>
                <w:sz w:val="21"/>
              </w:rPr>
              <w:t>以下措施：（1）通过富士康股份及时、充分披露本公司承诺未能履行、无法履行或无法按期履行的具体原因；（2）</w:t>
            </w:r>
            <w:r>
              <w:rPr>
                <w:spacing w:val="1"/>
                <w:sz w:val="21"/>
              </w:rPr>
              <w:t> </w:t>
            </w:r>
            <w:r>
              <w:rPr>
                <w:sz w:val="21"/>
              </w:rPr>
              <w:t>向富士康股份及其投资者提出补充承诺或替代承诺，以尽</w:t>
            </w:r>
          </w:p>
          <w:p>
            <w:pPr>
              <w:pStyle w:val="TableParagraph"/>
              <w:spacing w:line="252" w:lineRule="exact" w:before="5"/>
              <w:ind w:left="108"/>
              <w:rPr>
                <w:sz w:val="21"/>
              </w:rPr>
            </w:pPr>
            <w:r>
              <w:rPr>
                <w:spacing w:val="-1"/>
                <w:sz w:val="21"/>
              </w:rPr>
              <w:t>可能保护富士康股份及其投资者的权益。</w:t>
            </w:r>
            <w:r>
              <w:rPr>
                <w:sz w:val="21"/>
              </w:rPr>
              <w:t> </w:t>
            </w:r>
          </w:p>
        </w:tc>
        <w:tc>
          <w:tcPr>
            <w:tcW w:w="1133" w:type="dxa"/>
          </w:tcPr>
          <w:p>
            <w:pPr>
              <w:pStyle w:val="TableParagraph"/>
              <w:rPr>
                <w:rFonts w:ascii="Times New Roman"/>
                <w:sz w:val="20"/>
              </w:rPr>
            </w:pPr>
          </w:p>
        </w:tc>
        <w:tc>
          <w:tcPr>
            <w:tcW w:w="711" w:type="dxa"/>
          </w:tcPr>
          <w:p>
            <w:pPr>
              <w:pStyle w:val="TableParagraph"/>
              <w:rPr>
                <w:rFonts w:ascii="Times New Roman"/>
                <w:sz w:val="20"/>
              </w:rPr>
            </w:pPr>
          </w:p>
        </w:tc>
        <w:tc>
          <w:tcPr>
            <w:tcW w:w="709" w:type="dxa"/>
          </w:tcPr>
          <w:p>
            <w:pPr>
              <w:pStyle w:val="TableParagraph"/>
              <w:rPr>
                <w:rFonts w:ascii="Times New Roman"/>
                <w:sz w:val="20"/>
              </w:rPr>
            </w:pPr>
          </w:p>
        </w:tc>
        <w:tc>
          <w:tcPr>
            <w:tcW w:w="1277" w:type="dxa"/>
          </w:tcPr>
          <w:p>
            <w:pPr>
              <w:pStyle w:val="TableParagraph"/>
              <w:rPr>
                <w:rFonts w:ascii="Times New Roman"/>
                <w:sz w:val="20"/>
              </w:rPr>
            </w:pPr>
          </w:p>
        </w:tc>
        <w:tc>
          <w:tcPr>
            <w:tcW w:w="965" w:type="dxa"/>
          </w:tcPr>
          <w:p>
            <w:pPr>
              <w:pStyle w:val="TableParagraph"/>
              <w:rPr>
                <w:rFonts w:ascii="Times New Roman"/>
                <w:sz w:val="20"/>
              </w:rPr>
            </w:pPr>
          </w:p>
        </w:tc>
      </w:tr>
      <w:tr>
        <w:trPr>
          <w:trHeight w:val="5175" w:hRule="atLeast"/>
        </w:trPr>
        <w:tc>
          <w:tcPr>
            <w:tcW w:w="1145" w:type="dxa"/>
            <w:vMerge/>
            <w:tcBorders>
              <w:top w:val="nil"/>
            </w:tcBorders>
          </w:tcPr>
          <w:p>
            <w:pPr>
              <w:rPr>
                <w:sz w:val="2"/>
                <w:szCs w:val="2"/>
              </w:rPr>
            </w:pPr>
          </w:p>
        </w:tc>
        <w:tc>
          <w:tcPr>
            <w:tcW w:w="1135" w:type="dxa"/>
          </w:tcPr>
          <w:p>
            <w:pPr>
              <w:pStyle w:val="TableParagraph"/>
              <w:spacing w:before="1"/>
              <w:ind w:left="108"/>
              <w:rPr>
                <w:sz w:val="21"/>
              </w:rPr>
            </w:pPr>
            <w:r>
              <w:rPr>
                <w:sz w:val="21"/>
              </w:rPr>
              <w:t>其他 </w:t>
            </w:r>
          </w:p>
        </w:tc>
        <w:tc>
          <w:tcPr>
            <w:tcW w:w="1135" w:type="dxa"/>
          </w:tcPr>
          <w:p>
            <w:pPr>
              <w:pStyle w:val="TableParagraph"/>
              <w:spacing w:line="242" w:lineRule="auto" w:before="1"/>
              <w:ind w:left="108" w:right="69"/>
              <w:jc w:val="both"/>
              <w:rPr>
                <w:sz w:val="21"/>
              </w:rPr>
            </w:pPr>
            <w:r>
              <w:rPr>
                <w:sz w:val="21"/>
              </w:rPr>
              <w:t>公司全体董事、监事及高级管理人员 </w:t>
            </w:r>
          </w:p>
        </w:tc>
        <w:tc>
          <w:tcPr>
            <w:tcW w:w="5670" w:type="dxa"/>
          </w:tcPr>
          <w:p>
            <w:pPr>
              <w:pStyle w:val="TableParagraph"/>
              <w:spacing w:before="1"/>
              <w:ind w:left="108"/>
              <w:rPr>
                <w:sz w:val="21"/>
              </w:rPr>
            </w:pPr>
            <w:r>
              <w:rPr>
                <w:sz w:val="21"/>
              </w:rPr>
              <w:t>1.如本人承诺未能履行、确已无法履行或无法按期履行的</w:t>
            </w:r>
          </w:p>
          <w:p>
            <w:pPr>
              <w:pStyle w:val="TableParagraph"/>
              <w:spacing w:line="242" w:lineRule="auto" w:before="2"/>
              <w:ind w:left="108" w:right="83"/>
              <w:jc w:val="both"/>
              <w:rPr>
                <w:sz w:val="21"/>
              </w:rPr>
            </w:pPr>
            <w:r>
              <w:rPr>
                <w:sz w:val="21"/>
              </w:rPr>
              <w:t>（因相关法律法规、政策变化、自然灾害及其他不可抗力</w:t>
            </w:r>
            <w:r>
              <w:rPr>
                <w:spacing w:val="1"/>
                <w:sz w:val="21"/>
              </w:rPr>
              <w:t> </w:t>
            </w:r>
            <w:r>
              <w:rPr>
                <w:sz w:val="21"/>
              </w:rPr>
              <w:t>等本人无法控制的客观原因导致的除外），本人将采取以</w:t>
            </w:r>
            <w:r>
              <w:rPr>
                <w:spacing w:val="1"/>
                <w:sz w:val="21"/>
              </w:rPr>
              <w:t> </w:t>
            </w:r>
            <w:r>
              <w:rPr>
                <w:sz w:val="21"/>
              </w:rPr>
              <w:t>下措施：（1）通过富士康工业互联网股份有限公司及时、充分披露本人承诺未能履行、无法履行或无法按期履行的</w:t>
            </w:r>
            <w:r>
              <w:rPr>
                <w:spacing w:val="1"/>
                <w:sz w:val="21"/>
              </w:rPr>
              <w:t> </w:t>
            </w:r>
            <w:r>
              <w:rPr>
                <w:sz w:val="21"/>
              </w:rPr>
              <w:t>具体原因；（2）向富士康工业互联网股份有限公司及其投资者提出补充承诺或替代承诺，以尽可能保护富士康股份</w:t>
            </w:r>
            <w:r>
              <w:rPr>
                <w:spacing w:val="1"/>
                <w:sz w:val="21"/>
              </w:rPr>
              <w:t> </w:t>
            </w:r>
            <w:r>
              <w:rPr>
                <w:sz w:val="21"/>
              </w:rPr>
              <w:t>及其投资者的权益；（3）将上述补充承诺或替代承诺提交富士康股份股东大会审议；（4）本人违反本人承诺所得收益将归属于富士康股份，因此给富士康股份或投资者造成</w:t>
            </w:r>
            <w:r>
              <w:rPr>
                <w:spacing w:val="1"/>
                <w:sz w:val="21"/>
              </w:rPr>
              <w:t> </w:t>
            </w:r>
            <w:r>
              <w:rPr>
                <w:sz w:val="21"/>
              </w:rPr>
              <w:t>损失的，将依法对富士康股份或投资者进行赔偿。2.如因</w:t>
            </w:r>
            <w:r>
              <w:rPr>
                <w:spacing w:val="1"/>
                <w:sz w:val="21"/>
              </w:rPr>
              <w:t> </w:t>
            </w:r>
            <w:r>
              <w:rPr>
                <w:sz w:val="21"/>
              </w:rPr>
              <w:t>相关法律法规、政策变化、自然灾害及其他不可抗力等本</w:t>
            </w:r>
            <w:r>
              <w:rPr>
                <w:spacing w:val="1"/>
                <w:sz w:val="21"/>
              </w:rPr>
              <w:t> </w:t>
            </w:r>
            <w:r>
              <w:rPr>
                <w:sz w:val="21"/>
              </w:rPr>
              <w:t>人无法控制的客观原因导致本人承诺未能履行、确已无法</w:t>
            </w:r>
            <w:r>
              <w:rPr>
                <w:spacing w:val="1"/>
                <w:sz w:val="21"/>
              </w:rPr>
              <w:t> </w:t>
            </w:r>
            <w:r>
              <w:rPr>
                <w:sz w:val="21"/>
              </w:rPr>
              <w:t>履行或无法按期履行的，本人将采取以下措施：（1）通过富士康工业互联网股份有限公司及时、充分披露本人承诺</w:t>
            </w:r>
            <w:r>
              <w:rPr>
                <w:spacing w:val="1"/>
                <w:sz w:val="21"/>
              </w:rPr>
              <w:t> </w:t>
            </w:r>
            <w:r>
              <w:rPr>
                <w:sz w:val="21"/>
              </w:rPr>
              <w:t>未能履行、无法履行或无法按期履行的具体原因；（2）向富士康工业互联网股份有限公司及其投资者提出补充承诺</w:t>
            </w:r>
          </w:p>
          <w:p>
            <w:pPr>
              <w:pStyle w:val="TableParagraph"/>
              <w:spacing w:line="270" w:lineRule="atLeast"/>
              <w:ind w:left="108" w:right="96"/>
              <w:rPr>
                <w:sz w:val="21"/>
              </w:rPr>
            </w:pPr>
            <w:r>
              <w:rPr>
                <w:spacing w:val="5"/>
                <w:sz w:val="21"/>
              </w:rPr>
              <w:t>或替代承诺， 以尽可能保护富士康股份及其投资者的权</w:t>
            </w:r>
            <w:r>
              <w:rPr>
                <w:sz w:val="21"/>
              </w:rPr>
              <w:t>益。 </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r>
        <w:trPr>
          <w:trHeight w:val="544" w:hRule="atLeast"/>
        </w:trPr>
        <w:tc>
          <w:tcPr>
            <w:tcW w:w="1145" w:type="dxa"/>
            <w:vMerge/>
            <w:tcBorders>
              <w:top w:val="nil"/>
            </w:tcBorders>
          </w:tcPr>
          <w:p>
            <w:pPr>
              <w:rPr>
                <w:sz w:val="2"/>
                <w:szCs w:val="2"/>
              </w:rPr>
            </w:pPr>
          </w:p>
        </w:tc>
        <w:tc>
          <w:tcPr>
            <w:tcW w:w="1135" w:type="dxa"/>
          </w:tcPr>
          <w:p>
            <w:pPr>
              <w:pStyle w:val="TableParagraph"/>
              <w:spacing w:before="1"/>
              <w:ind w:left="108"/>
              <w:rPr>
                <w:sz w:val="21"/>
              </w:rPr>
            </w:pPr>
            <w:r>
              <w:rPr>
                <w:sz w:val="21"/>
              </w:rPr>
              <w:t>其他 </w:t>
            </w:r>
          </w:p>
        </w:tc>
        <w:tc>
          <w:tcPr>
            <w:tcW w:w="1135" w:type="dxa"/>
          </w:tcPr>
          <w:p>
            <w:pPr>
              <w:pStyle w:val="TableParagraph"/>
              <w:spacing w:before="1"/>
              <w:ind w:left="108"/>
              <w:rPr>
                <w:sz w:val="21"/>
              </w:rPr>
            </w:pPr>
            <w:r>
              <w:rPr>
                <w:spacing w:val="-1"/>
                <w:sz w:val="21"/>
              </w:rPr>
              <w:t>中坚公司</w:t>
            </w:r>
            <w:r>
              <w:rPr>
                <w:sz w:val="21"/>
              </w:rPr>
              <w:t> </w:t>
            </w:r>
          </w:p>
        </w:tc>
        <w:tc>
          <w:tcPr>
            <w:tcW w:w="5670" w:type="dxa"/>
          </w:tcPr>
          <w:p>
            <w:pPr>
              <w:pStyle w:val="TableParagraph"/>
              <w:spacing w:before="1"/>
              <w:ind w:left="108"/>
              <w:rPr>
                <w:sz w:val="21"/>
              </w:rPr>
            </w:pPr>
            <w:r>
              <w:rPr>
                <w:sz w:val="21"/>
              </w:rPr>
              <w:t>富士康工业互联网股份有限公司相关控股子公司因富士康</w:t>
            </w:r>
          </w:p>
          <w:p>
            <w:pPr>
              <w:pStyle w:val="TableParagraph"/>
              <w:spacing w:line="250" w:lineRule="exact" w:before="4"/>
              <w:ind w:left="108"/>
              <w:rPr>
                <w:sz w:val="21"/>
              </w:rPr>
            </w:pPr>
            <w:r>
              <w:rPr>
                <w:sz w:val="21"/>
              </w:rPr>
              <w:t>工业互联网股份有限公司上市前鸿海精密或其控股子公司</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bl>
    <w:p>
      <w:pPr>
        <w:spacing w:after="0"/>
        <w:jc w:val="right"/>
        <w:rPr>
          <w:sz w:val="21"/>
        </w:rPr>
        <w:sectPr>
          <w:pgSz w:w="16840" w:h="11910" w:orient="landscape"/>
          <w:pgMar w:header="880" w:footer="1195" w:top="1180" w:bottom="1380" w:left="1320" w:right="1420"/>
        </w:sectPr>
      </w:pPr>
    </w:p>
    <w:p>
      <w:pPr>
        <w:pStyle w:val="BodyText"/>
        <w:ind w:left="0"/>
        <w:rPr>
          <w:sz w:val="20"/>
        </w:rPr>
      </w:pPr>
    </w:p>
    <w:p>
      <w:pPr>
        <w:pStyle w:val="BodyText"/>
        <w:spacing w:before="2"/>
        <w:ind w:left="0"/>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135"/>
        <w:gridCol w:w="1135"/>
        <w:gridCol w:w="5670"/>
        <w:gridCol w:w="1133"/>
        <w:gridCol w:w="711"/>
        <w:gridCol w:w="709"/>
        <w:gridCol w:w="1277"/>
        <w:gridCol w:w="965"/>
      </w:tblGrid>
      <w:tr>
        <w:trPr>
          <w:trHeight w:val="1633" w:hRule="atLeast"/>
        </w:trPr>
        <w:tc>
          <w:tcPr>
            <w:tcW w:w="1145" w:type="dxa"/>
            <w:vMerge w:val="restart"/>
          </w:tcPr>
          <w:p>
            <w:pPr>
              <w:pStyle w:val="TableParagraph"/>
              <w:rPr>
                <w:rFonts w:ascii="Times New Roman"/>
                <w:sz w:val="20"/>
              </w:rPr>
            </w:pPr>
          </w:p>
        </w:tc>
        <w:tc>
          <w:tcPr>
            <w:tcW w:w="1135" w:type="dxa"/>
          </w:tcPr>
          <w:p>
            <w:pPr>
              <w:pStyle w:val="TableParagraph"/>
              <w:rPr>
                <w:rFonts w:ascii="Times New Roman"/>
                <w:sz w:val="20"/>
              </w:rPr>
            </w:pPr>
          </w:p>
        </w:tc>
        <w:tc>
          <w:tcPr>
            <w:tcW w:w="1135" w:type="dxa"/>
          </w:tcPr>
          <w:p>
            <w:pPr>
              <w:pStyle w:val="TableParagraph"/>
              <w:rPr>
                <w:rFonts w:ascii="Times New Roman"/>
                <w:sz w:val="20"/>
              </w:rPr>
            </w:pPr>
          </w:p>
        </w:tc>
        <w:tc>
          <w:tcPr>
            <w:tcW w:w="5670" w:type="dxa"/>
          </w:tcPr>
          <w:p>
            <w:pPr>
              <w:pStyle w:val="TableParagraph"/>
              <w:spacing w:line="242" w:lineRule="auto" w:before="1"/>
              <w:ind w:left="108" w:right="85"/>
              <w:jc w:val="both"/>
              <w:rPr>
                <w:sz w:val="21"/>
              </w:rPr>
            </w:pPr>
            <w:r>
              <w:rPr>
                <w:sz w:val="21"/>
              </w:rPr>
              <w:t>未按期开发建设、未办理相关权属证明等情况而导致承担</w:t>
            </w:r>
            <w:r>
              <w:rPr>
                <w:spacing w:val="1"/>
                <w:sz w:val="21"/>
              </w:rPr>
              <w:t> </w:t>
            </w:r>
            <w:r>
              <w:rPr>
                <w:sz w:val="21"/>
              </w:rPr>
              <w:t>任何行政处罚、违约责任或其他损失，中坚公司将及时、</w:t>
            </w:r>
            <w:r>
              <w:rPr>
                <w:spacing w:val="1"/>
                <w:sz w:val="21"/>
              </w:rPr>
              <w:t> </w:t>
            </w:r>
            <w:r>
              <w:rPr>
                <w:sz w:val="21"/>
              </w:rPr>
              <w:t>全额补偿富士康工业互联网股份有限公司及富士康工业互</w:t>
            </w:r>
            <w:r>
              <w:rPr>
                <w:spacing w:val="1"/>
                <w:sz w:val="21"/>
              </w:rPr>
              <w:t> </w:t>
            </w:r>
            <w:r>
              <w:rPr>
                <w:sz w:val="21"/>
              </w:rPr>
              <w:t>联网股份有限公司相关控股子公司由此遭受的损失，以确</w:t>
            </w:r>
            <w:r>
              <w:rPr>
                <w:spacing w:val="1"/>
                <w:sz w:val="21"/>
              </w:rPr>
              <w:t> </w:t>
            </w:r>
            <w:r>
              <w:rPr>
                <w:sz w:val="21"/>
              </w:rPr>
              <w:t>保富士康工业互联网股份有限公司及富士康工业互联网股</w:t>
            </w:r>
          </w:p>
          <w:p>
            <w:pPr>
              <w:pStyle w:val="TableParagraph"/>
              <w:spacing w:line="252" w:lineRule="exact" w:before="2"/>
              <w:ind w:left="108"/>
              <w:rPr>
                <w:sz w:val="21"/>
              </w:rPr>
            </w:pPr>
            <w:r>
              <w:rPr>
                <w:spacing w:val="-1"/>
                <w:sz w:val="21"/>
              </w:rPr>
              <w:t>份有限公司其他股东不会因此遭受损失。</w:t>
            </w:r>
            <w:r>
              <w:rPr>
                <w:sz w:val="21"/>
              </w:rPr>
              <w:t> </w:t>
            </w:r>
          </w:p>
        </w:tc>
        <w:tc>
          <w:tcPr>
            <w:tcW w:w="1133" w:type="dxa"/>
          </w:tcPr>
          <w:p>
            <w:pPr>
              <w:pStyle w:val="TableParagraph"/>
              <w:rPr>
                <w:rFonts w:ascii="Times New Roman"/>
                <w:sz w:val="20"/>
              </w:rPr>
            </w:pPr>
          </w:p>
        </w:tc>
        <w:tc>
          <w:tcPr>
            <w:tcW w:w="711" w:type="dxa"/>
          </w:tcPr>
          <w:p>
            <w:pPr>
              <w:pStyle w:val="TableParagraph"/>
              <w:rPr>
                <w:rFonts w:ascii="Times New Roman"/>
                <w:sz w:val="20"/>
              </w:rPr>
            </w:pPr>
          </w:p>
        </w:tc>
        <w:tc>
          <w:tcPr>
            <w:tcW w:w="709" w:type="dxa"/>
          </w:tcPr>
          <w:p>
            <w:pPr>
              <w:pStyle w:val="TableParagraph"/>
              <w:rPr>
                <w:rFonts w:ascii="Times New Roman"/>
                <w:sz w:val="20"/>
              </w:rPr>
            </w:pPr>
          </w:p>
        </w:tc>
        <w:tc>
          <w:tcPr>
            <w:tcW w:w="1277" w:type="dxa"/>
          </w:tcPr>
          <w:p>
            <w:pPr>
              <w:pStyle w:val="TableParagraph"/>
              <w:rPr>
                <w:rFonts w:ascii="Times New Roman"/>
                <w:sz w:val="20"/>
              </w:rPr>
            </w:pPr>
          </w:p>
        </w:tc>
        <w:tc>
          <w:tcPr>
            <w:tcW w:w="965" w:type="dxa"/>
          </w:tcPr>
          <w:p>
            <w:pPr>
              <w:pStyle w:val="TableParagraph"/>
              <w:rPr>
                <w:rFonts w:ascii="Times New Roman"/>
                <w:sz w:val="20"/>
              </w:rPr>
            </w:pPr>
          </w:p>
        </w:tc>
      </w:tr>
      <w:tr>
        <w:trPr>
          <w:trHeight w:val="2179" w:hRule="atLeast"/>
        </w:trPr>
        <w:tc>
          <w:tcPr>
            <w:tcW w:w="1145" w:type="dxa"/>
            <w:vMerge/>
            <w:tcBorders>
              <w:top w:val="nil"/>
            </w:tcBorders>
          </w:tcPr>
          <w:p>
            <w:pPr>
              <w:rPr>
                <w:sz w:val="2"/>
                <w:szCs w:val="2"/>
              </w:rPr>
            </w:pPr>
          </w:p>
        </w:tc>
        <w:tc>
          <w:tcPr>
            <w:tcW w:w="1135" w:type="dxa"/>
          </w:tcPr>
          <w:p>
            <w:pPr>
              <w:pStyle w:val="TableParagraph"/>
              <w:spacing w:before="1"/>
              <w:ind w:left="108"/>
              <w:rPr>
                <w:sz w:val="21"/>
              </w:rPr>
            </w:pPr>
            <w:r>
              <w:rPr>
                <w:sz w:val="21"/>
              </w:rPr>
              <w:t>其他 </w:t>
            </w:r>
          </w:p>
        </w:tc>
        <w:tc>
          <w:tcPr>
            <w:tcW w:w="1135" w:type="dxa"/>
          </w:tcPr>
          <w:p>
            <w:pPr>
              <w:pStyle w:val="TableParagraph"/>
              <w:spacing w:before="1"/>
              <w:ind w:right="69"/>
              <w:jc w:val="right"/>
              <w:rPr>
                <w:sz w:val="21"/>
              </w:rPr>
            </w:pPr>
            <w:r>
              <w:rPr>
                <w:spacing w:val="-1"/>
                <w:sz w:val="21"/>
              </w:rPr>
              <w:t>鸿海精密</w:t>
            </w:r>
            <w:r>
              <w:rPr>
                <w:sz w:val="21"/>
              </w:rPr>
              <w:t> </w:t>
            </w:r>
          </w:p>
        </w:tc>
        <w:tc>
          <w:tcPr>
            <w:tcW w:w="5670" w:type="dxa"/>
          </w:tcPr>
          <w:p>
            <w:pPr>
              <w:pStyle w:val="TableParagraph"/>
              <w:spacing w:line="242" w:lineRule="auto" w:before="1"/>
              <w:ind w:left="108" w:right="85"/>
              <w:jc w:val="both"/>
              <w:rPr>
                <w:sz w:val="21"/>
              </w:rPr>
            </w:pPr>
            <w:r>
              <w:rPr>
                <w:sz w:val="21"/>
              </w:rPr>
              <w:t>富士康工业互联网股份有限公司相关控股子公司因富士康</w:t>
            </w:r>
            <w:r>
              <w:rPr>
                <w:spacing w:val="1"/>
                <w:sz w:val="21"/>
              </w:rPr>
              <w:t> </w:t>
            </w:r>
            <w:r>
              <w:rPr>
                <w:sz w:val="21"/>
              </w:rPr>
              <w:t>工业互联网股份有限公司上市前鸿海精密或其控股子公司</w:t>
            </w:r>
            <w:r>
              <w:rPr>
                <w:spacing w:val="1"/>
                <w:sz w:val="21"/>
              </w:rPr>
              <w:t> </w:t>
            </w:r>
            <w:r>
              <w:rPr>
                <w:sz w:val="21"/>
              </w:rPr>
              <w:t>未按期开发建设、未办理相关权属证明等情况而导致承担</w:t>
            </w:r>
            <w:r>
              <w:rPr>
                <w:spacing w:val="1"/>
                <w:sz w:val="21"/>
              </w:rPr>
              <w:t> </w:t>
            </w:r>
            <w:r>
              <w:rPr>
                <w:sz w:val="21"/>
              </w:rPr>
              <w:t>任何行政处罚、违约责任或其他损失，鸿海精密将及时、</w:t>
            </w:r>
            <w:r>
              <w:rPr>
                <w:spacing w:val="1"/>
                <w:sz w:val="21"/>
              </w:rPr>
              <w:t> </w:t>
            </w:r>
            <w:r>
              <w:rPr>
                <w:sz w:val="21"/>
              </w:rPr>
              <w:t>全额补偿富士康工业互联网股份有限公司及富士康工业互</w:t>
            </w:r>
            <w:r>
              <w:rPr>
                <w:spacing w:val="1"/>
                <w:sz w:val="21"/>
              </w:rPr>
              <w:t> </w:t>
            </w:r>
            <w:r>
              <w:rPr>
                <w:sz w:val="21"/>
              </w:rPr>
              <w:t>联网股份有限公司相关控股子公司由此遭受的损失，以确</w:t>
            </w:r>
          </w:p>
          <w:p>
            <w:pPr>
              <w:pStyle w:val="TableParagraph"/>
              <w:spacing w:line="270" w:lineRule="atLeast"/>
              <w:ind w:left="108" w:right="85"/>
              <w:rPr>
                <w:sz w:val="21"/>
              </w:rPr>
            </w:pPr>
            <w:r>
              <w:rPr>
                <w:sz w:val="21"/>
              </w:rPr>
              <w:t>保富士康工业互联网股份有限公司及富士康工业互联网股</w:t>
            </w:r>
            <w:r>
              <w:rPr>
                <w:spacing w:val="1"/>
                <w:sz w:val="21"/>
              </w:rPr>
              <w:t> </w:t>
            </w:r>
            <w:r>
              <w:rPr>
                <w:sz w:val="21"/>
              </w:rPr>
              <w:t>份有限公司其他股东不会因此遭受损失。 </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r>
        <w:trPr>
          <w:trHeight w:val="4630" w:hRule="atLeast"/>
        </w:trPr>
        <w:tc>
          <w:tcPr>
            <w:tcW w:w="1145" w:type="dxa"/>
            <w:vMerge/>
            <w:tcBorders>
              <w:top w:val="nil"/>
            </w:tcBorders>
          </w:tcPr>
          <w:p>
            <w:pPr>
              <w:rPr>
                <w:sz w:val="2"/>
                <w:szCs w:val="2"/>
              </w:rPr>
            </w:pPr>
          </w:p>
        </w:tc>
        <w:tc>
          <w:tcPr>
            <w:tcW w:w="1135" w:type="dxa"/>
          </w:tcPr>
          <w:p>
            <w:pPr>
              <w:pStyle w:val="TableParagraph"/>
              <w:spacing w:line="242" w:lineRule="auto" w:before="1"/>
              <w:ind w:left="108" w:right="172"/>
              <w:rPr>
                <w:sz w:val="21"/>
              </w:rPr>
            </w:pPr>
            <w:r>
              <w:rPr>
                <w:spacing w:val="-1"/>
                <w:sz w:val="21"/>
              </w:rPr>
              <w:t>解决关联</w:t>
            </w:r>
            <w:r>
              <w:rPr>
                <w:sz w:val="21"/>
              </w:rPr>
              <w:t>交易 </w:t>
            </w:r>
          </w:p>
        </w:tc>
        <w:tc>
          <w:tcPr>
            <w:tcW w:w="1135" w:type="dxa"/>
          </w:tcPr>
          <w:p>
            <w:pPr>
              <w:pStyle w:val="TableParagraph"/>
              <w:spacing w:before="1"/>
              <w:ind w:right="69"/>
              <w:jc w:val="right"/>
              <w:rPr>
                <w:sz w:val="21"/>
              </w:rPr>
            </w:pPr>
            <w:r>
              <w:rPr>
                <w:spacing w:val="-1"/>
                <w:sz w:val="21"/>
              </w:rPr>
              <w:t>中坚公司</w:t>
            </w:r>
            <w:r>
              <w:rPr>
                <w:sz w:val="21"/>
              </w:rPr>
              <w:t> </w:t>
            </w:r>
          </w:p>
        </w:tc>
        <w:tc>
          <w:tcPr>
            <w:tcW w:w="5670" w:type="dxa"/>
          </w:tcPr>
          <w:p>
            <w:pPr>
              <w:pStyle w:val="TableParagraph"/>
              <w:spacing w:line="242" w:lineRule="auto" w:before="1"/>
              <w:ind w:left="108" w:right="83"/>
              <w:jc w:val="both"/>
              <w:rPr>
                <w:sz w:val="21"/>
              </w:rPr>
            </w:pPr>
            <w:r>
              <w:rPr>
                <w:sz w:val="21"/>
              </w:rPr>
              <w:t>1.本公司承诺，本公司及本公司控制的除富士康工业互联</w:t>
            </w:r>
            <w:r>
              <w:rPr>
                <w:spacing w:val="1"/>
                <w:sz w:val="21"/>
              </w:rPr>
              <w:t> </w:t>
            </w:r>
            <w:r>
              <w:rPr>
                <w:sz w:val="21"/>
              </w:rPr>
              <w:t>网股份有限公司以外的其他企业将尽量减少与富士康工业</w:t>
            </w:r>
            <w:r>
              <w:rPr>
                <w:spacing w:val="1"/>
                <w:sz w:val="21"/>
              </w:rPr>
              <w:t> </w:t>
            </w:r>
            <w:r>
              <w:rPr>
                <w:sz w:val="21"/>
              </w:rPr>
              <w:t>互联网股份有限公司及其控股子公司之间发生关联交易。</w:t>
            </w:r>
            <w:r>
              <w:rPr>
                <w:spacing w:val="1"/>
                <w:sz w:val="21"/>
              </w:rPr>
              <w:t> </w:t>
            </w:r>
            <w:r>
              <w:rPr>
                <w:sz w:val="21"/>
              </w:rPr>
              <w:t>2.对于无法避免或有合理理由存在的关联交易，本公司或</w:t>
            </w:r>
            <w:r>
              <w:rPr>
                <w:spacing w:val="1"/>
                <w:sz w:val="21"/>
              </w:rPr>
              <w:t> </w:t>
            </w:r>
            <w:r>
              <w:rPr>
                <w:sz w:val="21"/>
              </w:rPr>
              <w:t>本公司控制的其他企业将与富士康工业互联网股份有限公</w:t>
            </w:r>
            <w:r>
              <w:rPr>
                <w:spacing w:val="1"/>
                <w:sz w:val="21"/>
              </w:rPr>
              <w:t> </w:t>
            </w:r>
            <w:r>
              <w:rPr>
                <w:sz w:val="21"/>
              </w:rPr>
              <w:t>司依法签订规范的关联交易协议，关联交易价格依照与无</w:t>
            </w:r>
            <w:r>
              <w:rPr>
                <w:spacing w:val="13"/>
                <w:sz w:val="21"/>
              </w:rPr>
              <w:t>关联关系的独立第三方进行相同或相似交易时的价格确</w:t>
            </w:r>
            <w:r>
              <w:rPr>
                <w:sz w:val="21"/>
              </w:rPr>
              <w:t>定，保证关联交易价格具有公允性；并按照有关法律、法</w:t>
            </w:r>
            <w:r>
              <w:rPr>
                <w:spacing w:val="1"/>
                <w:sz w:val="21"/>
              </w:rPr>
              <w:t> </w:t>
            </w:r>
            <w:r>
              <w:rPr>
                <w:sz w:val="21"/>
              </w:rPr>
              <w:t>规、规章、其他规范性文件和富士康工业互联网股份有限</w:t>
            </w:r>
            <w:r>
              <w:rPr>
                <w:spacing w:val="1"/>
                <w:sz w:val="21"/>
              </w:rPr>
              <w:t> </w:t>
            </w:r>
            <w:r>
              <w:rPr>
                <w:sz w:val="21"/>
              </w:rPr>
              <w:t>公司公司章程、关联交易管理制度的规定，履行关联交易</w:t>
            </w:r>
            <w:r>
              <w:rPr>
                <w:spacing w:val="1"/>
                <w:sz w:val="21"/>
              </w:rPr>
              <w:t> </w:t>
            </w:r>
            <w:r>
              <w:rPr>
                <w:sz w:val="21"/>
              </w:rPr>
              <w:t>决策、回避表决等公允程序，及时进行信息披露，保证不</w:t>
            </w:r>
            <w:r>
              <w:rPr>
                <w:spacing w:val="1"/>
                <w:sz w:val="21"/>
              </w:rPr>
              <w:t> </w:t>
            </w:r>
            <w:r>
              <w:rPr>
                <w:sz w:val="21"/>
              </w:rPr>
              <w:t>通过关联交易损害富士康工业互联网股份有限公司及富士</w:t>
            </w:r>
            <w:r>
              <w:rPr>
                <w:spacing w:val="1"/>
                <w:sz w:val="21"/>
              </w:rPr>
              <w:t> </w:t>
            </w:r>
            <w:r>
              <w:rPr>
                <w:sz w:val="21"/>
              </w:rPr>
              <w:t>康工业互联网股份有限公司其他股东的合法权益。3.保证</w:t>
            </w:r>
            <w:r>
              <w:rPr>
                <w:spacing w:val="1"/>
                <w:sz w:val="21"/>
              </w:rPr>
              <w:t> </w:t>
            </w:r>
            <w:r>
              <w:rPr>
                <w:sz w:val="21"/>
              </w:rPr>
              <w:t>不要求或不接受富士康工业互联网股份有限公司在任何一</w:t>
            </w:r>
            <w:r>
              <w:rPr>
                <w:spacing w:val="1"/>
                <w:sz w:val="21"/>
              </w:rPr>
              <w:t> </w:t>
            </w:r>
            <w:r>
              <w:rPr>
                <w:sz w:val="21"/>
              </w:rPr>
              <w:t>项市场公平交易中给予本公司或本公司所控制的其他企业</w:t>
            </w:r>
            <w:r>
              <w:rPr>
                <w:spacing w:val="1"/>
                <w:sz w:val="21"/>
              </w:rPr>
              <w:t> </w:t>
            </w:r>
            <w:r>
              <w:rPr>
                <w:sz w:val="21"/>
              </w:rPr>
              <w:t>优于给予第三者的条件。4.保证将依照富士康工业互联网</w:t>
            </w:r>
          </w:p>
          <w:p>
            <w:pPr>
              <w:pStyle w:val="TableParagraph"/>
              <w:spacing w:line="250" w:lineRule="exact" w:before="11"/>
              <w:ind w:left="108"/>
              <w:rPr>
                <w:sz w:val="21"/>
              </w:rPr>
            </w:pPr>
            <w:r>
              <w:rPr>
                <w:sz w:val="21"/>
              </w:rPr>
              <w:t>股份有限公司公司章程行使相应权利，承担相应义务，不</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bl>
    <w:p>
      <w:pPr>
        <w:spacing w:after="0"/>
        <w:jc w:val="right"/>
        <w:rPr>
          <w:sz w:val="21"/>
        </w:rPr>
        <w:sectPr>
          <w:pgSz w:w="16840" w:h="11910" w:orient="landscape"/>
          <w:pgMar w:header="880" w:footer="1195" w:top="1180" w:bottom="1380" w:left="1320" w:right="1420"/>
        </w:sectPr>
      </w:pPr>
    </w:p>
    <w:p>
      <w:pPr>
        <w:pStyle w:val="BodyText"/>
        <w:ind w:left="0"/>
        <w:rPr>
          <w:sz w:val="20"/>
        </w:rPr>
      </w:pPr>
    </w:p>
    <w:p>
      <w:pPr>
        <w:pStyle w:val="BodyText"/>
        <w:spacing w:before="2"/>
        <w:ind w:left="0"/>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135"/>
        <w:gridCol w:w="1135"/>
        <w:gridCol w:w="5670"/>
        <w:gridCol w:w="1133"/>
        <w:gridCol w:w="711"/>
        <w:gridCol w:w="709"/>
        <w:gridCol w:w="1277"/>
        <w:gridCol w:w="965"/>
      </w:tblGrid>
      <w:tr>
        <w:trPr>
          <w:trHeight w:val="1633" w:hRule="atLeast"/>
        </w:trPr>
        <w:tc>
          <w:tcPr>
            <w:tcW w:w="1145" w:type="dxa"/>
            <w:vMerge w:val="restart"/>
          </w:tcPr>
          <w:p>
            <w:pPr>
              <w:pStyle w:val="TableParagraph"/>
              <w:rPr>
                <w:rFonts w:ascii="Times New Roman"/>
                <w:sz w:val="20"/>
              </w:rPr>
            </w:pPr>
          </w:p>
        </w:tc>
        <w:tc>
          <w:tcPr>
            <w:tcW w:w="1135" w:type="dxa"/>
          </w:tcPr>
          <w:p>
            <w:pPr>
              <w:pStyle w:val="TableParagraph"/>
              <w:rPr>
                <w:rFonts w:ascii="Times New Roman"/>
                <w:sz w:val="20"/>
              </w:rPr>
            </w:pPr>
          </w:p>
        </w:tc>
        <w:tc>
          <w:tcPr>
            <w:tcW w:w="1135" w:type="dxa"/>
          </w:tcPr>
          <w:p>
            <w:pPr>
              <w:pStyle w:val="TableParagraph"/>
              <w:rPr>
                <w:rFonts w:ascii="Times New Roman"/>
                <w:sz w:val="20"/>
              </w:rPr>
            </w:pPr>
          </w:p>
        </w:tc>
        <w:tc>
          <w:tcPr>
            <w:tcW w:w="5670" w:type="dxa"/>
          </w:tcPr>
          <w:p>
            <w:pPr>
              <w:pStyle w:val="TableParagraph"/>
              <w:spacing w:line="242" w:lineRule="auto" w:before="1"/>
              <w:ind w:left="108" w:right="85"/>
              <w:jc w:val="both"/>
              <w:rPr>
                <w:sz w:val="21"/>
              </w:rPr>
            </w:pPr>
            <w:r>
              <w:rPr>
                <w:sz w:val="21"/>
              </w:rPr>
              <w:t>利用股东的身份谋取不正当利益，不利用关联交易非法转</w:t>
            </w:r>
            <w:r>
              <w:rPr>
                <w:spacing w:val="1"/>
                <w:sz w:val="21"/>
              </w:rPr>
              <w:t> </w:t>
            </w:r>
            <w:r>
              <w:rPr>
                <w:sz w:val="21"/>
              </w:rPr>
              <w:t>移富士康工业互联网股份有限公司的资金、利润，保证不</w:t>
            </w:r>
            <w:r>
              <w:rPr>
                <w:spacing w:val="1"/>
                <w:sz w:val="21"/>
              </w:rPr>
              <w:t> </w:t>
            </w:r>
            <w:r>
              <w:rPr>
                <w:sz w:val="21"/>
              </w:rPr>
              <w:t>利用关联交易损害富士康工业互联网股份有限公司除本公</w:t>
            </w:r>
            <w:r>
              <w:rPr>
                <w:spacing w:val="1"/>
                <w:sz w:val="21"/>
              </w:rPr>
              <w:t> </w:t>
            </w:r>
            <w:r>
              <w:rPr>
                <w:sz w:val="21"/>
              </w:rPr>
              <w:t>司之外的其他股东的合法权益。5.如违反上述承诺，愿意承担由此产生的责任，充分赔偿或补偿由此给富士康工业</w:t>
            </w:r>
          </w:p>
          <w:p>
            <w:pPr>
              <w:pStyle w:val="TableParagraph"/>
              <w:spacing w:line="252" w:lineRule="exact" w:before="2"/>
              <w:ind w:left="108"/>
              <w:rPr>
                <w:sz w:val="21"/>
              </w:rPr>
            </w:pPr>
            <w:r>
              <w:rPr>
                <w:spacing w:val="-1"/>
                <w:sz w:val="21"/>
              </w:rPr>
              <w:t>互联网股份有限公司造成的损失。</w:t>
            </w:r>
            <w:r>
              <w:rPr>
                <w:sz w:val="21"/>
              </w:rPr>
              <w:t> </w:t>
            </w:r>
          </w:p>
        </w:tc>
        <w:tc>
          <w:tcPr>
            <w:tcW w:w="1133" w:type="dxa"/>
          </w:tcPr>
          <w:p>
            <w:pPr>
              <w:pStyle w:val="TableParagraph"/>
              <w:rPr>
                <w:rFonts w:ascii="Times New Roman"/>
                <w:sz w:val="20"/>
              </w:rPr>
            </w:pPr>
          </w:p>
        </w:tc>
        <w:tc>
          <w:tcPr>
            <w:tcW w:w="711" w:type="dxa"/>
          </w:tcPr>
          <w:p>
            <w:pPr>
              <w:pStyle w:val="TableParagraph"/>
              <w:rPr>
                <w:rFonts w:ascii="Times New Roman"/>
                <w:sz w:val="20"/>
              </w:rPr>
            </w:pPr>
          </w:p>
        </w:tc>
        <w:tc>
          <w:tcPr>
            <w:tcW w:w="709" w:type="dxa"/>
          </w:tcPr>
          <w:p>
            <w:pPr>
              <w:pStyle w:val="TableParagraph"/>
              <w:rPr>
                <w:rFonts w:ascii="Times New Roman"/>
                <w:sz w:val="20"/>
              </w:rPr>
            </w:pPr>
          </w:p>
        </w:tc>
        <w:tc>
          <w:tcPr>
            <w:tcW w:w="1277" w:type="dxa"/>
          </w:tcPr>
          <w:p>
            <w:pPr>
              <w:pStyle w:val="TableParagraph"/>
              <w:rPr>
                <w:rFonts w:ascii="Times New Roman"/>
                <w:sz w:val="20"/>
              </w:rPr>
            </w:pPr>
          </w:p>
        </w:tc>
        <w:tc>
          <w:tcPr>
            <w:tcW w:w="965" w:type="dxa"/>
          </w:tcPr>
          <w:p>
            <w:pPr>
              <w:pStyle w:val="TableParagraph"/>
              <w:rPr>
                <w:rFonts w:ascii="Times New Roman"/>
                <w:sz w:val="20"/>
              </w:rPr>
            </w:pPr>
          </w:p>
        </w:tc>
      </w:tr>
      <w:tr>
        <w:trPr>
          <w:trHeight w:val="6265" w:hRule="atLeast"/>
        </w:trPr>
        <w:tc>
          <w:tcPr>
            <w:tcW w:w="1145" w:type="dxa"/>
            <w:vMerge/>
            <w:tcBorders>
              <w:top w:val="nil"/>
            </w:tcBorders>
          </w:tcPr>
          <w:p>
            <w:pPr>
              <w:rPr>
                <w:sz w:val="2"/>
                <w:szCs w:val="2"/>
              </w:rPr>
            </w:pPr>
          </w:p>
        </w:tc>
        <w:tc>
          <w:tcPr>
            <w:tcW w:w="1135" w:type="dxa"/>
          </w:tcPr>
          <w:p>
            <w:pPr>
              <w:pStyle w:val="TableParagraph"/>
              <w:spacing w:line="242" w:lineRule="auto" w:before="1"/>
              <w:ind w:left="108" w:right="172"/>
              <w:rPr>
                <w:sz w:val="21"/>
              </w:rPr>
            </w:pPr>
            <w:r>
              <w:rPr>
                <w:spacing w:val="-1"/>
                <w:sz w:val="21"/>
              </w:rPr>
              <w:t>解决关联</w:t>
            </w:r>
            <w:r>
              <w:rPr>
                <w:sz w:val="21"/>
              </w:rPr>
              <w:t>交易 </w:t>
            </w:r>
          </w:p>
        </w:tc>
        <w:tc>
          <w:tcPr>
            <w:tcW w:w="1135" w:type="dxa"/>
          </w:tcPr>
          <w:p>
            <w:pPr>
              <w:pStyle w:val="TableParagraph"/>
              <w:spacing w:before="1"/>
              <w:ind w:right="69"/>
              <w:jc w:val="right"/>
              <w:rPr>
                <w:sz w:val="21"/>
              </w:rPr>
            </w:pPr>
            <w:r>
              <w:rPr>
                <w:spacing w:val="-1"/>
                <w:sz w:val="21"/>
              </w:rPr>
              <w:t>鸿海精密</w:t>
            </w:r>
            <w:r>
              <w:rPr>
                <w:sz w:val="21"/>
              </w:rPr>
              <w:t> </w:t>
            </w:r>
          </w:p>
        </w:tc>
        <w:tc>
          <w:tcPr>
            <w:tcW w:w="5670" w:type="dxa"/>
          </w:tcPr>
          <w:p>
            <w:pPr>
              <w:pStyle w:val="TableParagraph"/>
              <w:spacing w:line="242" w:lineRule="auto" w:before="1"/>
              <w:ind w:left="108" w:right="83"/>
              <w:jc w:val="both"/>
              <w:rPr>
                <w:sz w:val="21"/>
              </w:rPr>
            </w:pPr>
            <w:r>
              <w:rPr>
                <w:sz w:val="21"/>
              </w:rPr>
              <w:t>1.本公司承诺，本公司及本公司控制的除富士康工业互联</w:t>
            </w:r>
            <w:r>
              <w:rPr>
                <w:spacing w:val="1"/>
                <w:sz w:val="21"/>
              </w:rPr>
              <w:t> </w:t>
            </w:r>
            <w:r>
              <w:rPr>
                <w:sz w:val="21"/>
              </w:rPr>
              <w:t>网股份有限公司以外的其他企业将尽量减少与富士康工业</w:t>
            </w:r>
            <w:r>
              <w:rPr>
                <w:spacing w:val="1"/>
                <w:sz w:val="21"/>
              </w:rPr>
              <w:t> </w:t>
            </w:r>
            <w:r>
              <w:rPr>
                <w:sz w:val="21"/>
              </w:rPr>
              <w:t>互联网股份有限公司及其控股子公司之间发生关联交易。</w:t>
            </w:r>
            <w:r>
              <w:rPr>
                <w:spacing w:val="1"/>
                <w:sz w:val="21"/>
              </w:rPr>
              <w:t> </w:t>
            </w:r>
            <w:r>
              <w:rPr>
                <w:sz w:val="21"/>
              </w:rPr>
              <w:t>2.对于无法避免或有合理理由存在的关联交易，本公司或</w:t>
            </w:r>
            <w:r>
              <w:rPr>
                <w:spacing w:val="1"/>
                <w:sz w:val="21"/>
              </w:rPr>
              <w:t> </w:t>
            </w:r>
            <w:r>
              <w:rPr>
                <w:sz w:val="21"/>
              </w:rPr>
              <w:t>本公司控制的其他企业将与富士康工业互联网股份有限公</w:t>
            </w:r>
            <w:r>
              <w:rPr>
                <w:spacing w:val="1"/>
                <w:sz w:val="21"/>
              </w:rPr>
              <w:t> </w:t>
            </w:r>
            <w:r>
              <w:rPr>
                <w:sz w:val="21"/>
              </w:rPr>
              <w:t>司依法签订规范的关联交易协议，关联交易价格依照与无</w:t>
            </w:r>
            <w:r>
              <w:rPr>
                <w:spacing w:val="13"/>
                <w:sz w:val="21"/>
              </w:rPr>
              <w:t>关联关系的独立第三方进行相同或相似交易时的价格确</w:t>
            </w:r>
            <w:r>
              <w:rPr>
                <w:sz w:val="21"/>
              </w:rPr>
              <w:t>定，保证关联交易价格具有公允性；并按照有关法律、法</w:t>
            </w:r>
            <w:r>
              <w:rPr>
                <w:spacing w:val="1"/>
                <w:sz w:val="21"/>
              </w:rPr>
              <w:t> </w:t>
            </w:r>
            <w:r>
              <w:rPr>
                <w:sz w:val="21"/>
              </w:rPr>
              <w:t>规、规章、其他规范性文件和富士康工业互联网股份有限</w:t>
            </w:r>
            <w:r>
              <w:rPr>
                <w:spacing w:val="1"/>
                <w:sz w:val="21"/>
              </w:rPr>
              <w:t> </w:t>
            </w:r>
            <w:r>
              <w:rPr>
                <w:sz w:val="21"/>
              </w:rPr>
              <w:t>公司公司章程、关联交易管理制度的规定，履行关联交易</w:t>
            </w:r>
            <w:r>
              <w:rPr>
                <w:spacing w:val="1"/>
                <w:sz w:val="21"/>
              </w:rPr>
              <w:t> </w:t>
            </w:r>
            <w:r>
              <w:rPr>
                <w:sz w:val="21"/>
              </w:rPr>
              <w:t>决策、回避表决等公允程序，及时进行信息披露，保证不</w:t>
            </w:r>
            <w:r>
              <w:rPr>
                <w:spacing w:val="1"/>
                <w:sz w:val="21"/>
              </w:rPr>
              <w:t> </w:t>
            </w:r>
            <w:r>
              <w:rPr>
                <w:sz w:val="21"/>
              </w:rPr>
              <w:t>通过关联交易损害富士康工业互联网股份有限公司及富士</w:t>
            </w:r>
            <w:r>
              <w:rPr>
                <w:spacing w:val="1"/>
                <w:sz w:val="21"/>
              </w:rPr>
              <w:t> </w:t>
            </w:r>
            <w:r>
              <w:rPr>
                <w:sz w:val="21"/>
              </w:rPr>
              <w:t>康工业互联网股份有限公司其他股东的合法权益。3.保证</w:t>
            </w:r>
            <w:r>
              <w:rPr>
                <w:spacing w:val="1"/>
                <w:sz w:val="21"/>
              </w:rPr>
              <w:t> </w:t>
            </w:r>
            <w:r>
              <w:rPr>
                <w:sz w:val="21"/>
              </w:rPr>
              <w:t>不要求或不接受富士康工业互联网股份有限公司在任何一</w:t>
            </w:r>
            <w:r>
              <w:rPr>
                <w:spacing w:val="1"/>
                <w:sz w:val="21"/>
              </w:rPr>
              <w:t> </w:t>
            </w:r>
            <w:r>
              <w:rPr>
                <w:sz w:val="21"/>
              </w:rPr>
              <w:t>项市场公平交易中给予本公司或本公司所控制的其他企业</w:t>
            </w:r>
            <w:r>
              <w:rPr>
                <w:spacing w:val="1"/>
                <w:sz w:val="21"/>
              </w:rPr>
              <w:t> </w:t>
            </w:r>
            <w:r>
              <w:rPr>
                <w:sz w:val="21"/>
              </w:rPr>
              <w:t>优于给予第三者的条件。4.保证将依照富士康工业互联网</w:t>
            </w:r>
            <w:r>
              <w:rPr>
                <w:spacing w:val="1"/>
                <w:sz w:val="21"/>
              </w:rPr>
              <w:t> </w:t>
            </w:r>
            <w:r>
              <w:rPr>
                <w:sz w:val="21"/>
              </w:rPr>
              <w:t>股份有限公司公司章程行使相应权利，承担相应义务，不</w:t>
            </w:r>
            <w:r>
              <w:rPr>
                <w:spacing w:val="1"/>
                <w:sz w:val="21"/>
              </w:rPr>
              <w:t> </w:t>
            </w:r>
            <w:r>
              <w:rPr>
                <w:sz w:val="21"/>
              </w:rPr>
              <w:t>利用股东的身份谋取不正当利益，不利用关联交易非法转</w:t>
            </w:r>
            <w:r>
              <w:rPr>
                <w:spacing w:val="1"/>
                <w:sz w:val="21"/>
              </w:rPr>
              <w:t> </w:t>
            </w:r>
            <w:r>
              <w:rPr>
                <w:sz w:val="21"/>
              </w:rPr>
              <w:t>移富士康工业互联网股份有限公司的资金、利润，保证不</w:t>
            </w:r>
            <w:r>
              <w:rPr>
                <w:spacing w:val="1"/>
                <w:sz w:val="21"/>
              </w:rPr>
              <w:t> </w:t>
            </w:r>
            <w:r>
              <w:rPr>
                <w:sz w:val="21"/>
              </w:rPr>
              <w:t>利用关联交易损害富士康工业互联网股份有限公司除本公</w:t>
            </w:r>
            <w:r>
              <w:rPr>
                <w:spacing w:val="1"/>
                <w:sz w:val="21"/>
              </w:rPr>
              <w:t> </w:t>
            </w:r>
            <w:r>
              <w:rPr>
                <w:sz w:val="21"/>
              </w:rPr>
              <w:t>司之外的其他股东的合法权益。5.如违反上述承诺，愿意</w:t>
            </w:r>
          </w:p>
          <w:p>
            <w:pPr>
              <w:pStyle w:val="TableParagraph"/>
              <w:spacing w:line="270" w:lineRule="atLeast"/>
              <w:ind w:left="108" w:right="85"/>
              <w:rPr>
                <w:sz w:val="21"/>
              </w:rPr>
            </w:pPr>
            <w:r>
              <w:rPr>
                <w:sz w:val="21"/>
              </w:rPr>
              <w:t>承担由此产生的责任，充分赔偿或补偿由此给公司造成的</w:t>
            </w:r>
            <w:r>
              <w:rPr>
                <w:spacing w:val="1"/>
                <w:sz w:val="21"/>
              </w:rPr>
              <w:t> </w:t>
            </w:r>
            <w:r>
              <w:rPr>
                <w:sz w:val="21"/>
              </w:rPr>
              <w:t>损失。 </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r>
        <w:trPr>
          <w:trHeight w:val="544" w:hRule="atLeast"/>
        </w:trPr>
        <w:tc>
          <w:tcPr>
            <w:tcW w:w="1145" w:type="dxa"/>
            <w:vMerge/>
            <w:tcBorders>
              <w:top w:val="nil"/>
            </w:tcBorders>
          </w:tcPr>
          <w:p>
            <w:pPr>
              <w:rPr>
                <w:sz w:val="2"/>
                <w:szCs w:val="2"/>
              </w:rPr>
            </w:pPr>
          </w:p>
        </w:tc>
        <w:tc>
          <w:tcPr>
            <w:tcW w:w="1135" w:type="dxa"/>
          </w:tcPr>
          <w:p>
            <w:pPr>
              <w:pStyle w:val="TableParagraph"/>
              <w:spacing w:before="1"/>
              <w:ind w:left="108"/>
              <w:rPr>
                <w:sz w:val="21"/>
              </w:rPr>
            </w:pPr>
            <w:r>
              <w:rPr>
                <w:sz w:val="21"/>
              </w:rPr>
              <w:t>其他 </w:t>
            </w:r>
          </w:p>
        </w:tc>
        <w:tc>
          <w:tcPr>
            <w:tcW w:w="1135" w:type="dxa"/>
          </w:tcPr>
          <w:p>
            <w:pPr>
              <w:pStyle w:val="TableParagraph"/>
              <w:spacing w:before="1"/>
              <w:ind w:right="69"/>
              <w:jc w:val="right"/>
              <w:rPr>
                <w:sz w:val="21"/>
              </w:rPr>
            </w:pPr>
            <w:r>
              <w:rPr>
                <w:spacing w:val="-1"/>
                <w:sz w:val="21"/>
              </w:rPr>
              <w:t>鸿海精密</w:t>
            </w:r>
            <w:r>
              <w:rPr>
                <w:sz w:val="21"/>
              </w:rPr>
              <w:t> </w:t>
            </w:r>
          </w:p>
        </w:tc>
        <w:tc>
          <w:tcPr>
            <w:tcW w:w="5670" w:type="dxa"/>
          </w:tcPr>
          <w:p>
            <w:pPr>
              <w:pStyle w:val="TableParagraph"/>
              <w:spacing w:before="1"/>
              <w:ind w:left="108"/>
              <w:rPr>
                <w:sz w:val="21"/>
              </w:rPr>
            </w:pPr>
            <w:r>
              <w:rPr>
                <w:sz w:val="21"/>
              </w:rPr>
              <w:t>如相关主管部门要求富士康股份或其控股子公司为员工补</w:t>
            </w:r>
          </w:p>
          <w:p>
            <w:pPr>
              <w:pStyle w:val="TableParagraph"/>
              <w:spacing w:line="250" w:lineRule="exact" w:before="4"/>
              <w:ind w:left="108"/>
              <w:rPr>
                <w:sz w:val="21"/>
              </w:rPr>
            </w:pPr>
            <w:r>
              <w:rPr>
                <w:sz w:val="21"/>
              </w:rPr>
              <w:t>缴富士康股份上市前相关社会保险费用，或者富士康股份</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bl>
    <w:p>
      <w:pPr>
        <w:spacing w:after="0"/>
        <w:jc w:val="right"/>
        <w:rPr>
          <w:sz w:val="21"/>
        </w:rPr>
        <w:sectPr>
          <w:pgSz w:w="16840" w:h="11910" w:orient="landscape"/>
          <w:pgMar w:header="880" w:footer="1195" w:top="1180" w:bottom="1380" w:left="1320" w:right="1420"/>
        </w:sectPr>
      </w:pPr>
    </w:p>
    <w:p>
      <w:pPr>
        <w:pStyle w:val="BodyText"/>
        <w:ind w:left="0"/>
        <w:rPr>
          <w:sz w:val="20"/>
        </w:rPr>
      </w:pPr>
    </w:p>
    <w:p>
      <w:pPr>
        <w:pStyle w:val="BodyText"/>
        <w:spacing w:before="2"/>
        <w:ind w:left="0"/>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135"/>
        <w:gridCol w:w="1135"/>
        <w:gridCol w:w="5670"/>
        <w:gridCol w:w="1133"/>
        <w:gridCol w:w="711"/>
        <w:gridCol w:w="709"/>
        <w:gridCol w:w="1277"/>
        <w:gridCol w:w="965"/>
      </w:tblGrid>
      <w:tr>
        <w:trPr>
          <w:trHeight w:val="1089" w:hRule="atLeast"/>
        </w:trPr>
        <w:tc>
          <w:tcPr>
            <w:tcW w:w="1145" w:type="dxa"/>
            <w:vMerge w:val="restart"/>
          </w:tcPr>
          <w:p>
            <w:pPr>
              <w:pStyle w:val="TableParagraph"/>
              <w:rPr>
                <w:rFonts w:ascii="Times New Roman"/>
                <w:sz w:val="20"/>
              </w:rPr>
            </w:pPr>
          </w:p>
        </w:tc>
        <w:tc>
          <w:tcPr>
            <w:tcW w:w="1135" w:type="dxa"/>
          </w:tcPr>
          <w:p>
            <w:pPr>
              <w:pStyle w:val="TableParagraph"/>
              <w:rPr>
                <w:rFonts w:ascii="Times New Roman"/>
                <w:sz w:val="20"/>
              </w:rPr>
            </w:pPr>
          </w:p>
        </w:tc>
        <w:tc>
          <w:tcPr>
            <w:tcW w:w="1135" w:type="dxa"/>
          </w:tcPr>
          <w:p>
            <w:pPr>
              <w:pStyle w:val="TableParagraph"/>
              <w:rPr>
                <w:rFonts w:ascii="Times New Roman"/>
                <w:sz w:val="20"/>
              </w:rPr>
            </w:pPr>
          </w:p>
        </w:tc>
        <w:tc>
          <w:tcPr>
            <w:tcW w:w="5670" w:type="dxa"/>
          </w:tcPr>
          <w:p>
            <w:pPr>
              <w:pStyle w:val="TableParagraph"/>
              <w:spacing w:line="242" w:lineRule="auto" w:before="1"/>
              <w:ind w:left="108" w:right="85"/>
              <w:jc w:val="both"/>
              <w:rPr>
                <w:sz w:val="21"/>
              </w:rPr>
            </w:pPr>
            <w:r>
              <w:rPr>
                <w:sz w:val="21"/>
              </w:rPr>
              <w:t>或其控股子公司因富士康股份上市前社会保险未合法合规</w:t>
            </w:r>
            <w:r>
              <w:rPr>
                <w:spacing w:val="1"/>
                <w:sz w:val="21"/>
              </w:rPr>
              <w:t> </w:t>
            </w:r>
            <w:r>
              <w:rPr>
                <w:sz w:val="21"/>
              </w:rPr>
              <w:t>缴纳而需承担任何行政处罚或损失，承诺人将及时、全额</w:t>
            </w:r>
            <w:r>
              <w:rPr>
                <w:spacing w:val="1"/>
                <w:sz w:val="21"/>
              </w:rPr>
              <w:t> </w:t>
            </w:r>
            <w:r>
              <w:rPr>
                <w:sz w:val="21"/>
              </w:rPr>
              <w:t>补偿富士康股份及其控股子公司由此遭受的损失，以确保</w:t>
            </w:r>
          </w:p>
          <w:p>
            <w:pPr>
              <w:pStyle w:val="TableParagraph"/>
              <w:spacing w:line="252" w:lineRule="exact"/>
              <w:ind w:left="108"/>
              <w:rPr>
                <w:sz w:val="21"/>
              </w:rPr>
            </w:pPr>
            <w:r>
              <w:rPr>
                <w:spacing w:val="-1"/>
                <w:sz w:val="21"/>
              </w:rPr>
              <w:t>富士康股份不会因此遭受损失。</w:t>
            </w:r>
            <w:r>
              <w:rPr>
                <w:sz w:val="21"/>
              </w:rPr>
              <w:t> </w:t>
            </w:r>
          </w:p>
        </w:tc>
        <w:tc>
          <w:tcPr>
            <w:tcW w:w="1133" w:type="dxa"/>
          </w:tcPr>
          <w:p>
            <w:pPr>
              <w:pStyle w:val="TableParagraph"/>
              <w:rPr>
                <w:rFonts w:ascii="Times New Roman"/>
                <w:sz w:val="20"/>
              </w:rPr>
            </w:pPr>
          </w:p>
        </w:tc>
        <w:tc>
          <w:tcPr>
            <w:tcW w:w="711" w:type="dxa"/>
          </w:tcPr>
          <w:p>
            <w:pPr>
              <w:pStyle w:val="TableParagraph"/>
              <w:rPr>
                <w:rFonts w:ascii="Times New Roman"/>
                <w:sz w:val="20"/>
              </w:rPr>
            </w:pPr>
          </w:p>
        </w:tc>
        <w:tc>
          <w:tcPr>
            <w:tcW w:w="709" w:type="dxa"/>
          </w:tcPr>
          <w:p>
            <w:pPr>
              <w:pStyle w:val="TableParagraph"/>
              <w:rPr>
                <w:rFonts w:ascii="Times New Roman"/>
                <w:sz w:val="20"/>
              </w:rPr>
            </w:pPr>
          </w:p>
        </w:tc>
        <w:tc>
          <w:tcPr>
            <w:tcW w:w="1277" w:type="dxa"/>
          </w:tcPr>
          <w:p>
            <w:pPr>
              <w:pStyle w:val="TableParagraph"/>
              <w:rPr>
                <w:rFonts w:ascii="Times New Roman"/>
                <w:sz w:val="20"/>
              </w:rPr>
            </w:pPr>
          </w:p>
        </w:tc>
        <w:tc>
          <w:tcPr>
            <w:tcW w:w="965" w:type="dxa"/>
          </w:tcPr>
          <w:p>
            <w:pPr>
              <w:pStyle w:val="TableParagraph"/>
              <w:rPr>
                <w:rFonts w:ascii="Times New Roman"/>
                <w:sz w:val="20"/>
              </w:rPr>
            </w:pPr>
          </w:p>
        </w:tc>
      </w:tr>
      <w:tr>
        <w:trPr>
          <w:trHeight w:val="1634" w:hRule="atLeast"/>
        </w:trPr>
        <w:tc>
          <w:tcPr>
            <w:tcW w:w="1145" w:type="dxa"/>
            <w:vMerge/>
            <w:tcBorders>
              <w:top w:val="nil"/>
            </w:tcBorders>
          </w:tcPr>
          <w:p>
            <w:pPr>
              <w:rPr>
                <w:sz w:val="2"/>
                <w:szCs w:val="2"/>
              </w:rPr>
            </w:pPr>
          </w:p>
        </w:tc>
        <w:tc>
          <w:tcPr>
            <w:tcW w:w="1135" w:type="dxa"/>
          </w:tcPr>
          <w:p>
            <w:pPr>
              <w:pStyle w:val="TableParagraph"/>
              <w:spacing w:before="1"/>
              <w:ind w:left="108"/>
              <w:rPr>
                <w:sz w:val="21"/>
              </w:rPr>
            </w:pPr>
            <w:r>
              <w:rPr>
                <w:sz w:val="21"/>
              </w:rPr>
              <w:t>其他 </w:t>
            </w:r>
          </w:p>
        </w:tc>
        <w:tc>
          <w:tcPr>
            <w:tcW w:w="1135" w:type="dxa"/>
          </w:tcPr>
          <w:p>
            <w:pPr>
              <w:pStyle w:val="TableParagraph"/>
              <w:spacing w:before="1"/>
              <w:ind w:right="69"/>
              <w:jc w:val="right"/>
              <w:rPr>
                <w:sz w:val="21"/>
              </w:rPr>
            </w:pPr>
            <w:r>
              <w:rPr>
                <w:spacing w:val="-1"/>
                <w:sz w:val="21"/>
              </w:rPr>
              <w:t>中坚公司</w:t>
            </w:r>
            <w:r>
              <w:rPr>
                <w:sz w:val="21"/>
              </w:rPr>
              <w:t> </w:t>
            </w:r>
          </w:p>
        </w:tc>
        <w:tc>
          <w:tcPr>
            <w:tcW w:w="5670" w:type="dxa"/>
          </w:tcPr>
          <w:p>
            <w:pPr>
              <w:pStyle w:val="TableParagraph"/>
              <w:spacing w:line="242" w:lineRule="auto" w:before="1"/>
              <w:ind w:left="108" w:right="85"/>
              <w:jc w:val="both"/>
              <w:rPr>
                <w:sz w:val="21"/>
              </w:rPr>
            </w:pPr>
            <w:r>
              <w:rPr>
                <w:sz w:val="21"/>
              </w:rPr>
              <w:t>如相关主管部门要求富士康股份或其控股子公司为员工补</w:t>
            </w:r>
            <w:r>
              <w:rPr>
                <w:spacing w:val="1"/>
                <w:sz w:val="21"/>
              </w:rPr>
              <w:t> </w:t>
            </w:r>
            <w:r>
              <w:rPr>
                <w:sz w:val="21"/>
              </w:rPr>
              <w:t>缴富士康股份上市前相关社会保险费用，或者富士康股份</w:t>
            </w:r>
            <w:r>
              <w:rPr>
                <w:spacing w:val="1"/>
                <w:sz w:val="21"/>
              </w:rPr>
              <w:t> </w:t>
            </w:r>
            <w:r>
              <w:rPr>
                <w:sz w:val="21"/>
              </w:rPr>
              <w:t>或其控股子公司因富士康股份上市前社会保险未合法合规</w:t>
            </w:r>
            <w:r>
              <w:rPr>
                <w:spacing w:val="1"/>
                <w:sz w:val="21"/>
              </w:rPr>
              <w:t> </w:t>
            </w:r>
            <w:r>
              <w:rPr>
                <w:sz w:val="21"/>
              </w:rPr>
              <w:t>缴纳而需承担任何行政处罚或损失，承诺人将及时、全额</w:t>
            </w:r>
          </w:p>
          <w:p>
            <w:pPr>
              <w:pStyle w:val="TableParagraph"/>
              <w:spacing w:line="270" w:lineRule="atLeast"/>
              <w:ind w:left="108" w:right="85"/>
              <w:rPr>
                <w:sz w:val="21"/>
              </w:rPr>
            </w:pPr>
            <w:r>
              <w:rPr>
                <w:sz w:val="21"/>
              </w:rPr>
              <w:t>补偿富士康股份及其控股子公司由此遭受的损失，以确保</w:t>
            </w:r>
            <w:r>
              <w:rPr>
                <w:spacing w:val="1"/>
                <w:sz w:val="21"/>
              </w:rPr>
              <w:t> </w:t>
            </w:r>
            <w:r>
              <w:rPr>
                <w:sz w:val="21"/>
              </w:rPr>
              <w:t>富士康股份不会因此遭受损失。 </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r>
        <w:trPr>
          <w:trHeight w:val="1633" w:hRule="atLeast"/>
        </w:trPr>
        <w:tc>
          <w:tcPr>
            <w:tcW w:w="1145" w:type="dxa"/>
            <w:vMerge/>
            <w:tcBorders>
              <w:top w:val="nil"/>
            </w:tcBorders>
          </w:tcPr>
          <w:p>
            <w:pPr>
              <w:rPr>
                <w:sz w:val="2"/>
                <w:szCs w:val="2"/>
              </w:rPr>
            </w:pPr>
          </w:p>
        </w:tc>
        <w:tc>
          <w:tcPr>
            <w:tcW w:w="1135" w:type="dxa"/>
          </w:tcPr>
          <w:p>
            <w:pPr>
              <w:pStyle w:val="TableParagraph"/>
              <w:spacing w:before="1"/>
              <w:ind w:left="108"/>
              <w:rPr>
                <w:sz w:val="21"/>
              </w:rPr>
            </w:pPr>
            <w:r>
              <w:rPr>
                <w:sz w:val="21"/>
              </w:rPr>
              <w:t>其他 </w:t>
            </w:r>
          </w:p>
        </w:tc>
        <w:tc>
          <w:tcPr>
            <w:tcW w:w="1135" w:type="dxa"/>
          </w:tcPr>
          <w:p>
            <w:pPr>
              <w:pStyle w:val="TableParagraph"/>
              <w:spacing w:before="1"/>
              <w:ind w:right="69"/>
              <w:jc w:val="right"/>
              <w:rPr>
                <w:sz w:val="21"/>
              </w:rPr>
            </w:pPr>
            <w:r>
              <w:rPr>
                <w:spacing w:val="-1"/>
                <w:sz w:val="21"/>
              </w:rPr>
              <w:t>鸿海精密</w:t>
            </w:r>
            <w:r>
              <w:rPr>
                <w:sz w:val="21"/>
              </w:rPr>
              <w:t> </w:t>
            </w:r>
          </w:p>
        </w:tc>
        <w:tc>
          <w:tcPr>
            <w:tcW w:w="5670" w:type="dxa"/>
          </w:tcPr>
          <w:p>
            <w:pPr>
              <w:pStyle w:val="TableParagraph"/>
              <w:spacing w:line="242" w:lineRule="auto" w:before="1"/>
              <w:ind w:left="108" w:right="85"/>
              <w:jc w:val="both"/>
              <w:rPr>
                <w:sz w:val="21"/>
              </w:rPr>
            </w:pPr>
            <w:r>
              <w:rPr>
                <w:sz w:val="21"/>
              </w:rPr>
              <w:t>如相关主管部门要求富士康股份或其控股子公司为员工补</w:t>
            </w:r>
            <w:r>
              <w:rPr>
                <w:spacing w:val="1"/>
                <w:sz w:val="21"/>
              </w:rPr>
              <w:t> </w:t>
            </w:r>
            <w:r>
              <w:rPr>
                <w:sz w:val="21"/>
              </w:rPr>
              <w:t>缴富士康股份上市前相关住房公积金，或者富士康股份或</w:t>
            </w:r>
            <w:r>
              <w:rPr>
                <w:spacing w:val="1"/>
                <w:sz w:val="21"/>
              </w:rPr>
              <w:t> </w:t>
            </w:r>
            <w:r>
              <w:rPr>
                <w:sz w:val="21"/>
              </w:rPr>
              <w:t>其控股子公司因富士康股份上市前住房公积金未合法合规</w:t>
            </w:r>
            <w:r>
              <w:rPr>
                <w:spacing w:val="1"/>
                <w:sz w:val="21"/>
              </w:rPr>
              <w:t> </w:t>
            </w:r>
            <w:r>
              <w:rPr>
                <w:sz w:val="21"/>
              </w:rPr>
              <w:t>缴纳而需承担任何行政处罚或损失，承诺人将及时、全额</w:t>
            </w:r>
            <w:r>
              <w:rPr>
                <w:spacing w:val="1"/>
                <w:sz w:val="21"/>
              </w:rPr>
              <w:t> </w:t>
            </w:r>
            <w:r>
              <w:rPr>
                <w:sz w:val="21"/>
              </w:rPr>
              <w:t>补偿富士康股份及其控股子公司由此遭受的损失，以确保</w:t>
            </w:r>
          </w:p>
          <w:p>
            <w:pPr>
              <w:pStyle w:val="TableParagraph"/>
              <w:spacing w:line="252" w:lineRule="exact" w:before="2"/>
              <w:ind w:left="108"/>
              <w:rPr>
                <w:sz w:val="21"/>
              </w:rPr>
            </w:pPr>
            <w:r>
              <w:rPr>
                <w:spacing w:val="-1"/>
                <w:sz w:val="21"/>
              </w:rPr>
              <w:t>富士康股份不会因此遭受损失。</w:t>
            </w:r>
            <w:r>
              <w:rPr>
                <w:sz w:val="21"/>
              </w:rPr>
              <w:t> </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r>
        <w:trPr>
          <w:trHeight w:val="1634" w:hRule="atLeast"/>
        </w:trPr>
        <w:tc>
          <w:tcPr>
            <w:tcW w:w="1145" w:type="dxa"/>
            <w:vMerge/>
            <w:tcBorders>
              <w:top w:val="nil"/>
            </w:tcBorders>
          </w:tcPr>
          <w:p>
            <w:pPr>
              <w:rPr>
                <w:sz w:val="2"/>
                <w:szCs w:val="2"/>
              </w:rPr>
            </w:pPr>
          </w:p>
        </w:tc>
        <w:tc>
          <w:tcPr>
            <w:tcW w:w="1135" w:type="dxa"/>
          </w:tcPr>
          <w:p>
            <w:pPr>
              <w:pStyle w:val="TableParagraph"/>
              <w:spacing w:before="1"/>
              <w:ind w:left="108"/>
              <w:rPr>
                <w:sz w:val="21"/>
              </w:rPr>
            </w:pPr>
            <w:r>
              <w:rPr>
                <w:sz w:val="21"/>
              </w:rPr>
              <w:t>其他 </w:t>
            </w:r>
          </w:p>
        </w:tc>
        <w:tc>
          <w:tcPr>
            <w:tcW w:w="1135" w:type="dxa"/>
          </w:tcPr>
          <w:p>
            <w:pPr>
              <w:pStyle w:val="TableParagraph"/>
              <w:spacing w:before="1"/>
              <w:ind w:right="69"/>
              <w:jc w:val="right"/>
              <w:rPr>
                <w:sz w:val="21"/>
              </w:rPr>
            </w:pPr>
            <w:r>
              <w:rPr>
                <w:spacing w:val="-1"/>
                <w:sz w:val="21"/>
              </w:rPr>
              <w:t>中坚公司</w:t>
            </w:r>
            <w:r>
              <w:rPr>
                <w:sz w:val="21"/>
              </w:rPr>
              <w:t> </w:t>
            </w:r>
          </w:p>
        </w:tc>
        <w:tc>
          <w:tcPr>
            <w:tcW w:w="5670" w:type="dxa"/>
          </w:tcPr>
          <w:p>
            <w:pPr>
              <w:pStyle w:val="TableParagraph"/>
              <w:spacing w:line="242" w:lineRule="auto" w:before="1"/>
              <w:ind w:left="108" w:right="85"/>
              <w:jc w:val="both"/>
              <w:rPr>
                <w:sz w:val="21"/>
              </w:rPr>
            </w:pPr>
            <w:r>
              <w:rPr>
                <w:sz w:val="21"/>
              </w:rPr>
              <w:t>如相关主管部门要求富士康股份或其控股子公司为员工补</w:t>
            </w:r>
            <w:r>
              <w:rPr>
                <w:spacing w:val="1"/>
                <w:sz w:val="21"/>
              </w:rPr>
              <w:t> </w:t>
            </w:r>
            <w:r>
              <w:rPr>
                <w:sz w:val="21"/>
              </w:rPr>
              <w:t>缴富士康股份上市前相关住房公积金，或者富士康股份或</w:t>
            </w:r>
            <w:r>
              <w:rPr>
                <w:spacing w:val="1"/>
                <w:sz w:val="21"/>
              </w:rPr>
              <w:t> </w:t>
            </w:r>
            <w:r>
              <w:rPr>
                <w:sz w:val="21"/>
              </w:rPr>
              <w:t>其控股子公司因富士康股份上市前住房公积金未合法合规</w:t>
            </w:r>
            <w:r>
              <w:rPr>
                <w:spacing w:val="1"/>
                <w:sz w:val="21"/>
              </w:rPr>
              <w:t> </w:t>
            </w:r>
            <w:r>
              <w:rPr>
                <w:sz w:val="21"/>
              </w:rPr>
              <w:t>缴纳而需承担任何行政处罚或损失，承诺人将及时、全额</w:t>
            </w:r>
          </w:p>
          <w:p>
            <w:pPr>
              <w:pStyle w:val="TableParagraph"/>
              <w:spacing w:line="270" w:lineRule="atLeast"/>
              <w:ind w:left="108" w:right="85"/>
              <w:rPr>
                <w:sz w:val="21"/>
              </w:rPr>
            </w:pPr>
            <w:r>
              <w:rPr>
                <w:sz w:val="21"/>
              </w:rPr>
              <w:t>补偿富士康股份及其控股子公司由此遭受的损失，以确保</w:t>
            </w:r>
            <w:r>
              <w:rPr>
                <w:spacing w:val="1"/>
                <w:sz w:val="21"/>
              </w:rPr>
              <w:t> </w:t>
            </w:r>
            <w:r>
              <w:rPr>
                <w:sz w:val="21"/>
              </w:rPr>
              <w:t>富士康股份不会因此遭受损失。 </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r>
        <w:trPr>
          <w:trHeight w:val="2452" w:hRule="atLeast"/>
        </w:trPr>
        <w:tc>
          <w:tcPr>
            <w:tcW w:w="1145" w:type="dxa"/>
            <w:vMerge/>
            <w:tcBorders>
              <w:top w:val="nil"/>
            </w:tcBorders>
          </w:tcPr>
          <w:p>
            <w:pPr>
              <w:rPr>
                <w:sz w:val="2"/>
                <w:szCs w:val="2"/>
              </w:rPr>
            </w:pPr>
          </w:p>
        </w:tc>
        <w:tc>
          <w:tcPr>
            <w:tcW w:w="1135" w:type="dxa"/>
          </w:tcPr>
          <w:p>
            <w:pPr>
              <w:pStyle w:val="TableParagraph"/>
              <w:spacing w:line="244" w:lineRule="auto" w:before="1"/>
              <w:ind w:left="108" w:right="172"/>
              <w:rPr>
                <w:sz w:val="21"/>
              </w:rPr>
            </w:pPr>
            <w:r>
              <w:rPr>
                <w:spacing w:val="-1"/>
                <w:sz w:val="21"/>
              </w:rPr>
              <w:t>解决同业</w:t>
            </w:r>
            <w:r>
              <w:rPr>
                <w:sz w:val="21"/>
              </w:rPr>
              <w:t>竞争 </w:t>
            </w:r>
          </w:p>
        </w:tc>
        <w:tc>
          <w:tcPr>
            <w:tcW w:w="1135" w:type="dxa"/>
          </w:tcPr>
          <w:p>
            <w:pPr>
              <w:pStyle w:val="TableParagraph"/>
              <w:spacing w:before="1"/>
              <w:ind w:right="69"/>
              <w:jc w:val="right"/>
              <w:rPr>
                <w:sz w:val="21"/>
              </w:rPr>
            </w:pPr>
            <w:r>
              <w:rPr>
                <w:spacing w:val="-1"/>
                <w:sz w:val="21"/>
              </w:rPr>
              <w:t>鸿海精密</w:t>
            </w:r>
            <w:r>
              <w:rPr>
                <w:sz w:val="21"/>
              </w:rPr>
              <w:t> </w:t>
            </w:r>
          </w:p>
        </w:tc>
        <w:tc>
          <w:tcPr>
            <w:tcW w:w="5670" w:type="dxa"/>
          </w:tcPr>
          <w:p>
            <w:pPr>
              <w:pStyle w:val="TableParagraph"/>
              <w:spacing w:line="242" w:lineRule="auto" w:before="1"/>
              <w:ind w:left="108" w:right="85"/>
              <w:jc w:val="both"/>
              <w:rPr>
                <w:sz w:val="21"/>
              </w:rPr>
            </w:pPr>
            <w:r>
              <w:rPr>
                <w:sz w:val="21"/>
              </w:rPr>
              <w:t>鸿海精密控制的除中坚公司及其控股子公司以外的子公司</w:t>
            </w:r>
            <w:r>
              <w:rPr>
                <w:spacing w:val="-1"/>
                <w:sz w:val="21"/>
              </w:rPr>
              <w:t>Foxconn</w:t>
            </w:r>
            <w:r>
              <w:rPr>
                <w:spacing w:val="9"/>
                <w:sz w:val="21"/>
              </w:rPr>
              <w:t> </w:t>
            </w:r>
            <w:r>
              <w:rPr>
                <w:spacing w:val="-1"/>
                <w:sz w:val="21"/>
              </w:rPr>
              <w:t>MOEBG</w:t>
            </w:r>
            <w:r>
              <w:rPr>
                <w:spacing w:val="9"/>
                <w:sz w:val="21"/>
              </w:rPr>
              <w:t> </w:t>
            </w:r>
            <w:r>
              <w:rPr>
                <w:sz w:val="21"/>
              </w:rPr>
              <w:t>Industria</w:t>
            </w:r>
            <w:r>
              <w:rPr>
                <w:spacing w:val="8"/>
                <w:sz w:val="21"/>
              </w:rPr>
              <w:t> </w:t>
            </w:r>
            <w:r>
              <w:rPr>
                <w:sz w:val="21"/>
              </w:rPr>
              <w:t>de</w:t>
            </w:r>
            <w:r>
              <w:rPr>
                <w:spacing w:val="8"/>
                <w:sz w:val="21"/>
              </w:rPr>
              <w:t> </w:t>
            </w:r>
            <w:r>
              <w:rPr>
                <w:sz w:val="21"/>
              </w:rPr>
              <w:t>Eletronicos</w:t>
            </w:r>
            <w:r>
              <w:rPr>
                <w:spacing w:val="8"/>
                <w:sz w:val="21"/>
              </w:rPr>
              <w:t> </w:t>
            </w:r>
            <w:r>
              <w:rPr>
                <w:sz w:val="21"/>
              </w:rPr>
              <w:t>Ltda.</w:t>
            </w:r>
            <w:r>
              <w:rPr>
                <w:spacing w:val="-21"/>
                <w:sz w:val="21"/>
              </w:rPr>
              <w:t> 和</w:t>
            </w:r>
            <w:r>
              <w:rPr>
                <w:sz w:val="21"/>
              </w:rPr>
              <w:t>Foxconn</w:t>
            </w:r>
            <w:r>
              <w:rPr>
                <w:spacing w:val="19"/>
                <w:sz w:val="21"/>
              </w:rPr>
              <w:t> </w:t>
            </w:r>
            <w:r>
              <w:rPr>
                <w:sz w:val="21"/>
              </w:rPr>
              <w:t>Brasil</w:t>
            </w:r>
            <w:r>
              <w:rPr>
                <w:spacing w:val="20"/>
                <w:sz w:val="21"/>
              </w:rPr>
              <w:t> </w:t>
            </w:r>
            <w:r>
              <w:rPr>
                <w:sz w:val="21"/>
              </w:rPr>
              <w:t>Indústria</w:t>
            </w:r>
            <w:r>
              <w:rPr>
                <w:spacing w:val="20"/>
                <w:sz w:val="21"/>
              </w:rPr>
              <w:t> </w:t>
            </w:r>
            <w:r>
              <w:rPr>
                <w:sz w:val="21"/>
              </w:rPr>
              <w:t>e</w:t>
            </w:r>
            <w:r>
              <w:rPr>
                <w:spacing w:val="19"/>
                <w:sz w:val="21"/>
              </w:rPr>
              <w:t> </w:t>
            </w:r>
            <w:r>
              <w:rPr>
                <w:sz w:val="21"/>
              </w:rPr>
              <w:t>Comércio</w:t>
            </w:r>
            <w:r>
              <w:rPr>
                <w:spacing w:val="17"/>
                <w:sz w:val="21"/>
              </w:rPr>
              <w:t> </w:t>
            </w:r>
            <w:r>
              <w:rPr>
                <w:sz w:val="21"/>
              </w:rPr>
              <w:t>Ltda.不会超出现有业务经营范围和地区开展业务，亦不会从事或参与同富</w:t>
            </w:r>
            <w:r>
              <w:rPr>
                <w:spacing w:val="1"/>
                <w:sz w:val="21"/>
              </w:rPr>
              <w:t> </w:t>
            </w:r>
            <w:r>
              <w:rPr>
                <w:sz w:val="21"/>
              </w:rPr>
              <w:t>士康工业互联网股份有限公司相同、相似或具有竞争关系</w:t>
            </w:r>
            <w:r>
              <w:rPr>
                <w:spacing w:val="1"/>
                <w:sz w:val="21"/>
              </w:rPr>
              <w:t> </w:t>
            </w:r>
            <w:r>
              <w:rPr>
                <w:sz w:val="21"/>
              </w:rPr>
              <w:t>的其他任何业务。在该等公司纳入富士康工业互联网股份</w:t>
            </w:r>
            <w:r>
              <w:rPr>
                <w:spacing w:val="1"/>
                <w:sz w:val="21"/>
              </w:rPr>
              <w:t> </w:t>
            </w:r>
            <w:r>
              <w:rPr>
                <w:sz w:val="21"/>
              </w:rPr>
              <w:t>有限公司的法律障碍消除后，将依照法律法规规定的程序</w:t>
            </w:r>
            <w:r>
              <w:rPr>
                <w:spacing w:val="1"/>
                <w:sz w:val="21"/>
              </w:rPr>
              <w:t> </w:t>
            </w:r>
            <w:r>
              <w:rPr>
                <w:sz w:val="21"/>
              </w:rPr>
              <w:t>把该等公司的相应业务纳入富士康工业互联网股份有限公</w:t>
            </w:r>
          </w:p>
          <w:p>
            <w:pPr>
              <w:pStyle w:val="TableParagraph"/>
              <w:spacing w:line="252" w:lineRule="exact" w:before="5"/>
              <w:ind w:left="108"/>
              <w:rPr>
                <w:sz w:val="21"/>
              </w:rPr>
            </w:pPr>
            <w:r>
              <w:rPr>
                <w:sz w:val="21"/>
              </w:rPr>
              <w:t>司。在不新增富智康与富士康工业互联网股份有限公司同</w:t>
            </w:r>
          </w:p>
        </w:tc>
        <w:tc>
          <w:tcPr>
            <w:tcW w:w="1133" w:type="dxa"/>
          </w:tcPr>
          <w:p>
            <w:pPr>
              <w:pStyle w:val="TableParagraph"/>
              <w:spacing w:line="242" w:lineRule="auto" w:before="1"/>
              <w:ind w:left="108" w:right="94"/>
              <w:jc w:val="both"/>
              <w:rPr>
                <w:sz w:val="21"/>
              </w:rPr>
            </w:pPr>
            <w:r>
              <w:rPr>
                <w:spacing w:val="17"/>
                <w:sz w:val="21"/>
              </w:rPr>
              <w:t>长期及上市之日起</w:t>
            </w:r>
            <w:r>
              <w:rPr>
                <w:spacing w:val="-1"/>
                <w:sz w:val="21"/>
              </w:rPr>
              <w:t>5</w:t>
            </w:r>
            <w:r>
              <w:rPr>
                <w:spacing w:val="-18"/>
                <w:sz w:val="21"/>
              </w:rPr>
              <w:t> 年内</w:t>
            </w:r>
            <w:r>
              <w:rPr>
                <w:sz w:val="21"/>
              </w:rPr>
              <w:t>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bl>
    <w:p>
      <w:pPr>
        <w:spacing w:after="0"/>
        <w:jc w:val="right"/>
        <w:rPr>
          <w:sz w:val="21"/>
        </w:rPr>
        <w:sectPr>
          <w:pgSz w:w="16840" w:h="11910" w:orient="landscape"/>
          <w:pgMar w:header="880" w:footer="1195" w:top="1180" w:bottom="1380" w:left="1320" w:right="1420"/>
        </w:sectPr>
      </w:pPr>
    </w:p>
    <w:p>
      <w:pPr>
        <w:pStyle w:val="BodyText"/>
        <w:ind w:left="0"/>
        <w:rPr>
          <w:sz w:val="20"/>
        </w:rPr>
      </w:pPr>
    </w:p>
    <w:p>
      <w:pPr>
        <w:pStyle w:val="BodyText"/>
        <w:spacing w:before="2"/>
        <w:ind w:left="0"/>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135"/>
        <w:gridCol w:w="1135"/>
        <w:gridCol w:w="5670"/>
        <w:gridCol w:w="1133"/>
        <w:gridCol w:w="711"/>
        <w:gridCol w:w="709"/>
        <w:gridCol w:w="1277"/>
        <w:gridCol w:w="965"/>
      </w:tblGrid>
      <w:tr>
        <w:trPr>
          <w:trHeight w:val="1089" w:hRule="atLeast"/>
        </w:trPr>
        <w:tc>
          <w:tcPr>
            <w:tcW w:w="1145" w:type="dxa"/>
            <w:vMerge w:val="restart"/>
          </w:tcPr>
          <w:p>
            <w:pPr>
              <w:pStyle w:val="TableParagraph"/>
              <w:rPr>
                <w:rFonts w:ascii="Times New Roman"/>
                <w:sz w:val="20"/>
              </w:rPr>
            </w:pPr>
          </w:p>
        </w:tc>
        <w:tc>
          <w:tcPr>
            <w:tcW w:w="1135" w:type="dxa"/>
          </w:tcPr>
          <w:p>
            <w:pPr>
              <w:pStyle w:val="TableParagraph"/>
              <w:rPr>
                <w:rFonts w:ascii="Times New Roman"/>
                <w:sz w:val="20"/>
              </w:rPr>
            </w:pPr>
          </w:p>
        </w:tc>
        <w:tc>
          <w:tcPr>
            <w:tcW w:w="1135" w:type="dxa"/>
          </w:tcPr>
          <w:p>
            <w:pPr>
              <w:pStyle w:val="TableParagraph"/>
              <w:rPr>
                <w:rFonts w:ascii="Times New Roman"/>
                <w:sz w:val="20"/>
              </w:rPr>
            </w:pPr>
          </w:p>
        </w:tc>
        <w:tc>
          <w:tcPr>
            <w:tcW w:w="5670" w:type="dxa"/>
          </w:tcPr>
          <w:p>
            <w:pPr>
              <w:pStyle w:val="TableParagraph"/>
              <w:spacing w:line="242" w:lineRule="auto" w:before="1"/>
              <w:ind w:left="108" w:right="85"/>
              <w:jc w:val="both"/>
              <w:rPr>
                <w:sz w:val="21"/>
              </w:rPr>
            </w:pPr>
            <w:r>
              <w:rPr>
                <w:sz w:val="21"/>
              </w:rPr>
              <w:t>类业务的前提下，促使富智康自承诺函出具日起五年内逐</w:t>
            </w:r>
            <w:r>
              <w:rPr>
                <w:spacing w:val="1"/>
                <w:sz w:val="21"/>
              </w:rPr>
              <w:t> </w:t>
            </w:r>
            <w:r>
              <w:rPr>
                <w:sz w:val="21"/>
              </w:rPr>
              <w:t>步消除为富士康工业互联网股份有限公司替某美国知名品</w:t>
            </w:r>
            <w:r>
              <w:rPr>
                <w:spacing w:val="1"/>
                <w:sz w:val="21"/>
              </w:rPr>
              <w:t> </w:t>
            </w:r>
            <w:r>
              <w:rPr>
                <w:sz w:val="21"/>
              </w:rPr>
              <w:t>牌手机高精密金属机构件的代工服务；五年届满后，富智</w:t>
            </w:r>
          </w:p>
          <w:p>
            <w:pPr>
              <w:pStyle w:val="TableParagraph"/>
              <w:spacing w:line="252" w:lineRule="exact"/>
              <w:ind w:left="108"/>
              <w:rPr>
                <w:sz w:val="21"/>
              </w:rPr>
            </w:pPr>
            <w:r>
              <w:rPr>
                <w:spacing w:val="-1"/>
                <w:sz w:val="21"/>
              </w:rPr>
              <w:t>康将不再从事此项代工服务。</w:t>
            </w:r>
            <w:r>
              <w:rPr>
                <w:sz w:val="21"/>
              </w:rPr>
              <w:t> </w:t>
            </w:r>
          </w:p>
        </w:tc>
        <w:tc>
          <w:tcPr>
            <w:tcW w:w="1133" w:type="dxa"/>
          </w:tcPr>
          <w:p>
            <w:pPr>
              <w:pStyle w:val="TableParagraph"/>
              <w:rPr>
                <w:rFonts w:ascii="Times New Roman"/>
                <w:sz w:val="20"/>
              </w:rPr>
            </w:pPr>
          </w:p>
        </w:tc>
        <w:tc>
          <w:tcPr>
            <w:tcW w:w="711" w:type="dxa"/>
          </w:tcPr>
          <w:p>
            <w:pPr>
              <w:pStyle w:val="TableParagraph"/>
              <w:rPr>
                <w:rFonts w:ascii="Times New Roman"/>
                <w:sz w:val="20"/>
              </w:rPr>
            </w:pPr>
          </w:p>
        </w:tc>
        <w:tc>
          <w:tcPr>
            <w:tcW w:w="709" w:type="dxa"/>
          </w:tcPr>
          <w:p>
            <w:pPr>
              <w:pStyle w:val="TableParagraph"/>
              <w:rPr>
                <w:rFonts w:ascii="Times New Roman"/>
                <w:sz w:val="20"/>
              </w:rPr>
            </w:pPr>
          </w:p>
        </w:tc>
        <w:tc>
          <w:tcPr>
            <w:tcW w:w="1277" w:type="dxa"/>
          </w:tcPr>
          <w:p>
            <w:pPr>
              <w:pStyle w:val="TableParagraph"/>
              <w:rPr>
                <w:rFonts w:ascii="Times New Roman"/>
                <w:sz w:val="20"/>
              </w:rPr>
            </w:pPr>
          </w:p>
        </w:tc>
        <w:tc>
          <w:tcPr>
            <w:tcW w:w="965" w:type="dxa"/>
          </w:tcPr>
          <w:p>
            <w:pPr>
              <w:pStyle w:val="TableParagraph"/>
              <w:rPr>
                <w:rFonts w:ascii="Times New Roman"/>
                <w:sz w:val="20"/>
              </w:rPr>
            </w:pPr>
          </w:p>
        </w:tc>
      </w:tr>
      <w:tr>
        <w:trPr>
          <w:trHeight w:val="2724" w:hRule="atLeast"/>
        </w:trPr>
        <w:tc>
          <w:tcPr>
            <w:tcW w:w="1145" w:type="dxa"/>
            <w:vMerge/>
            <w:tcBorders>
              <w:top w:val="nil"/>
            </w:tcBorders>
          </w:tcPr>
          <w:p>
            <w:pPr>
              <w:rPr>
                <w:sz w:val="2"/>
                <w:szCs w:val="2"/>
              </w:rPr>
            </w:pPr>
          </w:p>
        </w:tc>
        <w:tc>
          <w:tcPr>
            <w:tcW w:w="1135" w:type="dxa"/>
          </w:tcPr>
          <w:p>
            <w:pPr>
              <w:pStyle w:val="TableParagraph"/>
              <w:spacing w:line="242" w:lineRule="auto" w:before="1"/>
              <w:ind w:left="108" w:right="172"/>
              <w:rPr>
                <w:sz w:val="21"/>
              </w:rPr>
            </w:pPr>
            <w:r>
              <w:rPr>
                <w:spacing w:val="-1"/>
                <w:sz w:val="21"/>
              </w:rPr>
              <w:t>解决同业</w:t>
            </w:r>
            <w:r>
              <w:rPr>
                <w:sz w:val="21"/>
              </w:rPr>
              <w:t>竞争 </w:t>
            </w:r>
          </w:p>
        </w:tc>
        <w:tc>
          <w:tcPr>
            <w:tcW w:w="1135" w:type="dxa"/>
          </w:tcPr>
          <w:p>
            <w:pPr>
              <w:pStyle w:val="TableParagraph"/>
              <w:spacing w:before="1"/>
              <w:ind w:left="108"/>
              <w:rPr>
                <w:sz w:val="21"/>
              </w:rPr>
            </w:pPr>
            <w:r>
              <w:rPr>
                <w:sz w:val="21"/>
              </w:rPr>
              <w:t>公司 </w:t>
            </w:r>
          </w:p>
        </w:tc>
        <w:tc>
          <w:tcPr>
            <w:tcW w:w="5670" w:type="dxa"/>
          </w:tcPr>
          <w:p>
            <w:pPr>
              <w:pStyle w:val="TableParagraph"/>
              <w:spacing w:line="242" w:lineRule="auto" w:before="1"/>
              <w:ind w:left="108" w:right="85"/>
              <w:jc w:val="both"/>
              <w:rPr>
                <w:sz w:val="21"/>
              </w:rPr>
            </w:pPr>
            <w:r>
              <w:rPr>
                <w:sz w:val="21"/>
              </w:rPr>
              <w:t>在鸿海精密控制的除中坚公司及其控股子公司以外的子公</w:t>
            </w:r>
            <w:r>
              <w:rPr>
                <w:spacing w:val="1"/>
                <w:sz w:val="21"/>
              </w:rPr>
              <w:t> </w:t>
            </w:r>
            <w:r>
              <w:rPr>
                <w:spacing w:val="3"/>
                <w:sz w:val="21"/>
              </w:rPr>
              <w:t>司 </w:t>
            </w:r>
            <w:r>
              <w:rPr>
                <w:sz w:val="21"/>
              </w:rPr>
              <w:t>Foxconn</w:t>
            </w:r>
            <w:r>
              <w:rPr>
                <w:spacing w:val="59"/>
                <w:sz w:val="21"/>
              </w:rPr>
              <w:t> </w:t>
            </w:r>
            <w:r>
              <w:rPr>
                <w:sz w:val="21"/>
              </w:rPr>
              <w:t>MOEBG</w:t>
            </w:r>
            <w:r>
              <w:rPr>
                <w:spacing w:val="59"/>
                <w:sz w:val="21"/>
              </w:rPr>
              <w:t> </w:t>
            </w:r>
            <w:r>
              <w:rPr>
                <w:sz w:val="21"/>
              </w:rPr>
              <w:t>Industria</w:t>
            </w:r>
            <w:r>
              <w:rPr>
                <w:spacing w:val="60"/>
                <w:sz w:val="21"/>
              </w:rPr>
              <w:t> </w:t>
            </w:r>
            <w:r>
              <w:rPr>
                <w:sz w:val="21"/>
              </w:rPr>
              <w:t>de</w:t>
            </w:r>
            <w:r>
              <w:rPr>
                <w:spacing w:val="59"/>
                <w:sz w:val="21"/>
              </w:rPr>
              <w:t> </w:t>
            </w:r>
            <w:r>
              <w:rPr>
                <w:sz w:val="21"/>
              </w:rPr>
              <w:t>Eletronicos</w:t>
            </w:r>
            <w:r>
              <w:rPr>
                <w:spacing w:val="59"/>
                <w:sz w:val="21"/>
              </w:rPr>
              <w:t> </w:t>
            </w:r>
            <w:r>
              <w:rPr>
                <w:sz w:val="21"/>
              </w:rPr>
              <w:t>Ltda.和Foxconn</w:t>
            </w:r>
            <w:r>
              <w:rPr>
                <w:spacing w:val="19"/>
                <w:sz w:val="21"/>
              </w:rPr>
              <w:t> </w:t>
            </w:r>
            <w:r>
              <w:rPr>
                <w:sz w:val="21"/>
              </w:rPr>
              <w:t>Brasil</w:t>
            </w:r>
            <w:r>
              <w:rPr>
                <w:spacing w:val="20"/>
                <w:sz w:val="21"/>
              </w:rPr>
              <w:t> </w:t>
            </w:r>
            <w:r>
              <w:rPr>
                <w:sz w:val="21"/>
              </w:rPr>
              <w:t>Indústria</w:t>
            </w:r>
            <w:r>
              <w:rPr>
                <w:spacing w:val="20"/>
                <w:sz w:val="21"/>
              </w:rPr>
              <w:t> </w:t>
            </w:r>
            <w:r>
              <w:rPr>
                <w:sz w:val="21"/>
              </w:rPr>
              <w:t>e</w:t>
            </w:r>
            <w:r>
              <w:rPr>
                <w:spacing w:val="19"/>
                <w:sz w:val="21"/>
              </w:rPr>
              <w:t> </w:t>
            </w:r>
            <w:r>
              <w:rPr>
                <w:sz w:val="21"/>
              </w:rPr>
              <w:t>Comércio</w:t>
            </w:r>
            <w:r>
              <w:rPr>
                <w:spacing w:val="18"/>
                <w:sz w:val="21"/>
              </w:rPr>
              <w:t> </w:t>
            </w:r>
            <w:r>
              <w:rPr>
                <w:sz w:val="21"/>
              </w:rPr>
              <w:t>Ltda.纳入富士康工业互联网股份有限公司的法律障碍消除后，将依照法律</w:t>
            </w:r>
            <w:r>
              <w:rPr>
                <w:spacing w:val="1"/>
                <w:sz w:val="21"/>
              </w:rPr>
              <w:t> </w:t>
            </w:r>
            <w:r>
              <w:rPr>
                <w:sz w:val="21"/>
              </w:rPr>
              <w:t>法规规定的程序把该等公司的相应业务纳入富士康工业互</w:t>
            </w:r>
            <w:r>
              <w:rPr>
                <w:spacing w:val="1"/>
                <w:sz w:val="21"/>
              </w:rPr>
              <w:t> </w:t>
            </w:r>
            <w:r>
              <w:rPr>
                <w:sz w:val="21"/>
              </w:rPr>
              <w:t>联网股份有限公司。自承诺函出具日起五年内将逐步消除</w:t>
            </w:r>
            <w:r>
              <w:rPr>
                <w:spacing w:val="1"/>
                <w:sz w:val="21"/>
              </w:rPr>
              <w:t> </w:t>
            </w:r>
            <w:r>
              <w:rPr>
                <w:sz w:val="21"/>
              </w:rPr>
              <w:t>委托富智康为富士康工业互联网股份有限公司提供某美国</w:t>
            </w:r>
            <w:r>
              <w:rPr>
                <w:spacing w:val="13"/>
                <w:sz w:val="21"/>
              </w:rPr>
              <w:t>知名品牌手机高精密金属机构件的代工服务；五年届满</w:t>
            </w:r>
          </w:p>
          <w:p>
            <w:pPr>
              <w:pStyle w:val="TableParagraph"/>
              <w:spacing w:line="270" w:lineRule="atLeast"/>
              <w:ind w:left="108" w:right="93"/>
              <w:rPr>
                <w:sz w:val="21"/>
              </w:rPr>
            </w:pPr>
            <w:r>
              <w:rPr>
                <w:sz w:val="21"/>
              </w:rPr>
              <w:t>后，富士康工业互联网股份有限公司将不再委托富智康提供此项代工服务。 </w:t>
            </w:r>
          </w:p>
        </w:tc>
        <w:tc>
          <w:tcPr>
            <w:tcW w:w="1133" w:type="dxa"/>
          </w:tcPr>
          <w:p>
            <w:pPr>
              <w:pStyle w:val="TableParagraph"/>
              <w:spacing w:line="242" w:lineRule="auto" w:before="1"/>
              <w:ind w:left="108" w:right="94"/>
              <w:jc w:val="both"/>
              <w:rPr>
                <w:sz w:val="21"/>
              </w:rPr>
            </w:pPr>
            <w:r>
              <w:rPr>
                <w:spacing w:val="17"/>
                <w:sz w:val="21"/>
              </w:rPr>
              <w:t>长期及上市之日起</w:t>
            </w:r>
            <w:r>
              <w:rPr>
                <w:spacing w:val="-1"/>
                <w:sz w:val="21"/>
              </w:rPr>
              <w:t>5</w:t>
            </w:r>
            <w:r>
              <w:rPr>
                <w:spacing w:val="-18"/>
                <w:sz w:val="21"/>
              </w:rPr>
              <w:t> 年内</w:t>
            </w:r>
            <w:r>
              <w:rPr>
                <w:sz w:val="21"/>
              </w:rPr>
              <w:t>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r>
        <w:trPr>
          <w:trHeight w:val="1089" w:hRule="atLeast"/>
        </w:trPr>
        <w:tc>
          <w:tcPr>
            <w:tcW w:w="1145" w:type="dxa"/>
            <w:vMerge/>
            <w:tcBorders>
              <w:top w:val="nil"/>
            </w:tcBorders>
          </w:tcPr>
          <w:p>
            <w:pPr>
              <w:rPr>
                <w:sz w:val="2"/>
                <w:szCs w:val="2"/>
              </w:rPr>
            </w:pPr>
          </w:p>
        </w:tc>
        <w:tc>
          <w:tcPr>
            <w:tcW w:w="1135" w:type="dxa"/>
          </w:tcPr>
          <w:p>
            <w:pPr>
              <w:pStyle w:val="TableParagraph"/>
              <w:spacing w:before="1"/>
              <w:ind w:left="108"/>
              <w:rPr>
                <w:sz w:val="21"/>
              </w:rPr>
            </w:pPr>
            <w:r>
              <w:rPr>
                <w:sz w:val="21"/>
              </w:rPr>
              <w:t>其他 </w:t>
            </w:r>
          </w:p>
        </w:tc>
        <w:tc>
          <w:tcPr>
            <w:tcW w:w="1135" w:type="dxa"/>
          </w:tcPr>
          <w:p>
            <w:pPr>
              <w:pStyle w:val="TableParagraph"/>
              <w:spacing w:before="1"/>
              <w:ind w:left="108"/>
              <w:rPr>
                <w:sz w:val="21"/>
              </w:rPr>
            </w:pPr>
            <w:r>
              <w:rPr>
                <w:sz w:val="21"/>
              </w:rPr>
              <w:t>公司 </w:t>
            </w:r>
          </w:p>
        </w:tc>
        <w:tc>
          <w:tcPr>
            <w:tcW w:w="5670" w:type="dxa"/>
          </w:tcPr>
          <w:p>
            <w:pPr>
              <w:pStyle w:val="TableParagraph"/>
              <w:spacing w:line="242" w:lineRule="auto" w:before="1"/>
              <w:ind w:left="108" w:right="85"/>
              <w:jc w:val="both"/>
              <w:rPr>
                <w:sz w:val="21"/>
              </w:rPr>
            </w:pPr>
            <w:r>
              <w:rPr>
                <w:sz w:val="21"/>
              </w:rPr>
              <w:t>公司承诺不利用或变相利用本次募集资金偿还应付鸿海精</w:t>
            </w:r>
            <w:r>
              <w:rPr>
                <w:spacing w:val="1"/>
                <w:sz w:val="21"/>
              </w:rPr>
              <w:t> </w:t>
            </w:r>
            <w:r>
              <w:rPr>
                <w:sz w:val="21"/>
              </w:rPr>
              <w:t>密及其子公司的剩余尚待支付的由于重组需通过支付现金</w:t>
            </w:r>
            <w:r>
              <w:rPr>
                <w:spacing w:val="1"/>
                <w:sz w:val="21"/>
              </w:rPr>
              <w:t> </w:t>
            </w:r>
            <w:r>
              <w:rPr>
                <w:sz w:val="21"/>
              </w:rPr>
              <w:t>方式收购若干境内外公司股权及境内外重组业务相关的经</w:t>
            </w:r>
          </w:p>
          <w:p>
            <w:pPr>
              <w:pStyle w:val="TableParagraph"/>
              <w:spacing w:line="252" w:lineRule="exact" w:before="1"/>
              <w:ind w:left="108"/>
              <w:rPr>
                <w:sz w:val="21"/>
              </w:rPr>
            </w:pPr>
            <w:r>
              <w:rPr>
                <w:spacing w:val="-1"/>
                <w:sz w:val="21"/>
              </w:rPr>
              <w:t>营性资产产生的款项。</w:t>
            </w:r>
            <w:r>
              <w:rPr>
                <w:sz w:val="21"/>
              </w:rPr>
              <w:t> </w:t>
            </w:r>
          </w:p>
        </w:tc>
        <w:tc>
          <w:tcPr>
            <w:tcW w:w="1133" w:type="dxa"/>
          </w:tcPr>
          <w:p>
            <w:pPr>
              <w:pStyle w:val="TableParagraph"/>
              <w:spacing w:before="1"/>
              <w:ind w:left="108"/>
              <w:rPr>
                <w:sz w:val="21"/>
              </w:rPr>
            </w:pPr>
            <w:r>
              <w:rPr>
                <w:sz w:val="21"/>
              </w:rPr>
              <w:t>长期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r>
        <w:trPr>
          <w:trHeight w:val="3540" w:hRule="atLeast"/>
        </w:trPr>
        <w:tc>
          <w:tcPr>
            <w:tcW w:w="1145" w:type="dxa"/>
            <w:vMerge/>
            <w:tcBorders>
              <w:top w:val="nil"/>
            </w:tcBorders>
          </w:tcPr>
          <w:p>
            <w:pPr>
              <w:rPr>
                <w:sz w:val="2"/>
                <w:szCs w:val="2"/>
              </w:rPr>
            </w:pPr>
          </w:p>
        </w:tc>
        <w:tc>
          <w:tcPr>
            <w:tcW w:w="1135" w:type="dxa"/>
          </w:tcPr>
          <w:p>
            <w:pPr>
              <w:pStyle w:val="TableParagraph"/>
              <w:spacing w:before="1"/>
              <w:ind w:left="108"/>
              <w:rPr>
                <w:sz w:val="21"/>
              </w:rPr>
            </w:pPr>
            <w:r>
              <w:rPr>
                <w:spacing w:val="-1"/>
                <w:sz w:val="21"/>
              </w:rPr>
              <w:t>股份限售</w:t>
            </w:r>
            <w:r>
              <w:rPr>
                <w:sz w:val="21"/>
              </w:rPr>
              <w:t> </w:t>
            </w:r>
          </w:p>
        </w:tc>
        <w:tc>
          <w:tcPr>
            <w:tcW w:w="1135" w:type="dxa"/>
          </w:tcPr>
          <w:p>
            <w:pPr>
              <w:pStyle w:val="TableParagraph"/>
              <w:spacing w:before="1"/>
              <w:ind w:left="108"/>
              <w:rPr>
                <w:sz w:val="21"/>
              </w:rPr>
            </w:pPr>
            <w:r>
              <w:rPr>
                <w:spacing w:val="-1"/>
                <w:sz w:val="21"/>
              </w:rPr>
              <w:t>中坚公司</w:t>
            </w:r>
            <w:r>
              <w:rPr>
                <w:sz w:val="21"/>
              </w:rPr>
              <w:t> </w:t>
            </w:r>
          </w:p>
        </w:tc>
        <w:tc>
          <w:tcPr>
            <w:tcW w:w="5670" w:type="dxa"/>
          </w:tcPr>
          <w:p>
            <w:pPr>
              <w:pStyle w:val="TableParagraph"/>
              <w:spacing w:line="242" w:lineRule="auto" w:before="1"/>
              <w:ind w:left="108" w:right="85"/>
              <w:jc w:val="both"/>
              <w:rPr>
                <w:sz w:val="21"/>
              </w:rPr>
            </w:pPr>
            <w:r>
              <w:rPr>
                <w:sz w:val="21"/>
              </w:rPr>
              <w:t>本公司直接或间接所持有的富士康工业互联网股份有限公</w:t>
            </w:r>
            <w:r>
              <w:rPr>
                <w:spacing w:val="1"/>
                <w:sz w:val="21"/>
              </w:rPr>
              <w:t> </w:t>
            </w:r>
            <w:r>
              <w:rPr>
                <w:spacing w:val="-4"/>
                <w:sz w:val="21"/>
              </w:rPr>
              <w:t>司首次公开发行限售股延长锁定期 </w:t>
            </w:r>
            <w:r>
              <w:rPr>
                <w:sz w:val="21"/>
              </w:rPr>
              <w:t>6</w:t>
            </w:r>
            <w:r>
              <w:rPr>
                <w:spacing w:val="-19"/>
                <w:sz w:val="21"/>
              </w:rPr>
              <w:t> 个月至 </w:t>
            </w:r>
            <w:r>
              <w:rPr>
                <w:sz w:val="21"/>
              </w:rPr>
              <w:t>2021</w:t>
            </w:r>
            <w:r>
              <w:rPr>
                <w:spacing w:val="-31"/>
                <w:sz w:val="21"/>
              </w:rPr>
              <w:t> 年 </w:t>
            </w:r>
            <w:r>
              <w:rPr>
                <w:sz w:val="21"/>
              </w:rPr>
              <w:t>12</w:t>
            </w:r>
            <w:r>
              <w:rPr>
                <w:spacing w:val="-31"/>
                <w:sz w:val="21"/>
              </w:rPr>
              <w:t> 月 </w:t>
            </w:r>
            <w:r>
              <w:rPr>
                <w:sz w:val="21"/>
              </w:rPr>
              <w:t>7</w:t>
            </w:r>
            <w:r>
              <w:rPr>
                <w:spacing w:val="-102"/>
                <w:sz w:val="21"/>
              </w:rPr>
              <w:t> </w:t>
            </w:r>
            <w:r>
              <w:rPr>
                <w:sz w:val="21"/>
              </w:rPr>
              <w:t>日。在延长的锁定期内，本公司不转让或者委托他人管理</w:t>
            </w:r>
            <w:r>
              <w:rPr>
                <w:spacing w:val="1"/>
                <w:sz w:val="21"/>
              </w:rPr>
              <w:t> </w:t>
            </w:r>
            <w:r>
              <w:rPr>
                <w:sz w:val="21"/>
              </w:rPr>
              <w:t>本公司在富士康工业互联网股份有限公司上市之前直接或</w:t>
            </w:r>
            <w:r>
              <w:rPr>
                <w:spacing w:val="1"/>
                <w:sz w:val="21"/>
              </w:rPr>
              <w:t> </w:t>
            </w:r>
            <w:r>
              <w:rPr>
                <w:sz w:val="21"/>
              </w:rPr>
              <w:t>间接持有的富士康工业互联网股份有限公司股份，也不由</w:t>
            </w:r>
            <w:r>
              <w:rPr>
                <w:spacing w:val="1"/>
                <w:sz w:val="21"/>
              </w:rPr>
              <w:t> </w:t>
            </w:r>
            <w:r>
              <w:rPr>
                <w:sz w:val="21"/>
              </w:rPr>
              <w:t>富士康工业互联网股份有限公司回购本公司在富士康工业</w:t>
            </w:r>
            <w:r>
              <w:rPr>
                <w:spacing w:val="1"/>
                <w:sz w:val="21"/>
              </w:rPr>
              <w:t> </w:t>
            </w:r>
            <w:r>
              <w:rPr>
                <w:sz w:val="21"/>
              </w:rPr>
              <w:t>互联网股份有限公司上市之前直接或间接持有的富士康工</w:t>
            </w:r>
            <w:r>
              <w:rPr>
                <w:spacing w:val="1"/>
                <w:sz w:val="21"/>
              </w:rPr>
              <w:t> </w:t>
            </w:r>
            <w:r>
              <w:rPr>
                <w:sz w:val="21"/>
              </w:rPr>
              <w:t>业互联网股份有限公司股份。若因富士康工业互联网股份</w:t>
            </w:r>
            <w:r>
              <w:rPr>
                <w:spacing w:val="1"/>
                <w:sz w:val="21"/>
              </w:rPr>
              <w:t> </w:t>
            </w:r>
            <w:r>
              <w:rPr>
                <w:sz w:val="21"/>
              </w:rPr>
              <w:t>有限公司进行权益分派等导致本公司持有的富士康工业互</w:t>
            </w:r>
            <w:r>
              <w:rPr>
                <w:spacing w:val="1"/>
                <w:sz w:val="21"/>
              </w:rPr>
              <w:t> </w:t>
            </w:r>
            <w:r>
              <w:rPr>
                <w:sz w:val="21"/>
              </w:rPr>
              <w:t>联网股份有限公司股份发生变化的，本公司仍将遵守上述</w:t>
            </w:r>
            <w:r>
              <w:rPr>
                <w:spacing w:val="1"/>
                <w:sz w:val="21"/>
              </w:rPr>
              <w:t> </w:t>
            </w:r>
            <w:r>
              <w:rPr>
                <w:sz w:val="21"/>
              </w:rPr>
              <w:t>承诺。若本公司所持富士康工业互联网股份有限公司股票</w:t>
            </w:r>
            <w:r>
              <w:rPr>
                <w:spacing w:val="1"/>
                <w:sz w:val="21"/>
              </w:rPr>
              <w:t> </w:t>
            </w:r>
            <w:r>
              <w:rPr>
                <w:sz w:val="21"/>
              </w:rPr>
              <w:t>在锁定期满后两年内减持的，该等股票的减持价格将不低</w:t>
            </w:r>
          </w:p>
          <w:p>
            <w:pPr>
              <w:pStyle w:val="TableParagraph"/>
              <w:spacing w:line="250" w:lineRule="exact" w:before="8"/>
              <w:ind w:left="108"/>
              <w:rPr>
                <w:sz w:val="21"/>
              </w:rPr>
            </w:pPr>
            <w:r>
              <w:rPr>
                <w:sz w:val="21"/>
              </w:rPr>
              <w:t>于发行价。上述发行价指富士康工业互联网股份有限公司</w:t>
            </w:r>
          </w:p>
        </w:tc>
        <w:tc>
          <w:tcPr>
            <w:tcW w:w="1133" w:type="dxa"/>
          </w:tcPr>
          <w:p>
            <w:pPr>
              <w:pStyle w:val="TableParagraph"/>
              <w:spacing w:line="242" w:lineRule="auto" w:before="1"/>
              <w:ind w:left="108" w:right="94"/>
              <w:jc w:val="both"/>
              <w:rPr>
                <w:sz w:val="21"/>
              </w:rPr>
            </w:pPr>
            <w:r>
              <w:rPr>
                <w:spacing w:val="17"/>
                <w:sz w:val="21"/>
              </w:rPr>
              <w:t>限售承诺自公司股票上市交易之日起</w:t>
            </w:r>
          </w:p>
          <w:p>
            <w:pPr>
              <w:pStyle w:val="TableParagraph"/>
              <w:spacing w:line="242" w:lineRule="auto" w:before="2"/>
              <w:ind w:left="108" w:right="2"/>
              <w:rPr>
                <w:sz w:val="21"/>
              </w:rPr>
            </w:pPr>
            <w:r>
              <w:rPr>
                <w:sz w:val="21"/>
              </w:rPr>
              <w:t>42</w:t>
            </w:r>
            <w:r>
              <w:rPr>
                <w:spacing w:val="60"/>
                <w:sz w:val="21"/>
              </w:rPr>
              <w:t> 个月</w:t>
            </w:r>
            <w:r>
              <w:rPr>
                <w:spacing w:val="-8"/>
                <w:sz w:val="21"/>
              </w:rPr>
              <w:t>内； 减持</w:t>
            </w:r>
            <w:r>
              <w:rPr>
                <w:spacing w:val="17"/>
                <w:sz w:val="21"/>
              </w:rPr>
              <w:t>价格承诺自公司股票上市交易之日起</w:t>
            </w:r>
            <w:r>
              <w:rPr>
                <w:spacing w:val="-1"/>
                <w:sz w:val="21"/>
              </w:rPr>
              <w:t>66</w:t>
            </w:r>
            <w:r>
              <w:rPr>
                <w:spacing w:val="-18"/>
                <w:sz w:val="21"/>
              </w:rPr>
              <w:t> 个月</w:t>
            </w:r>
            <w:r>
              <w:rPr>
                <w:sz w:val="21"/>
              </w:rPr>
              <w:t>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bl>
    <w:p>
      <w:pPr>
        <w:spacing w:after="0"/>
        <w:jc w:val="right"/>
        <w:rPr>
          <w:sz w:val="21"/>
        </w:rPr>
        <w:sectPr>
          <w:pgSz w:w="16840" w:h="11910" w:orient="landscape"/>
          <w:pgMar w:header="880" w:footer="1195" w:top="1180" w:bottom="1380" w:left="1320" w:right="1420"/>
        </w:sectPr>
      </w:pPr>
    </w:p>
    <w:p>
      <w:pPr>
        <w:pStyle w:val="BodyText"/>
        <w:ind w:left="0"/>
        <w:rPr>
          <w:sz w:val="20"/>
        </w:rPr>
      </w:pPr>
    </w:p>
    <w:p>
      <w:pPr>
        <w:pStyle w:val="BodyText"/>
        <w:spacing w:before="2"/>
        <w:ind w:left="0"/>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135"/>
        <w:gridCol w:w="1135"/>
        <w:gridCol w:w="5670"/>
        <w:gridCol w:w="1133"/>
        <w:gridCol w:w="711"/>
        <w:gridCol w:w="709"/>
        <w:gridCol w:w="1277"/>
        <w:gridCol w:w="965"/>
      </w:tblGrid>
      <w:tr>
        <w:trPr>
          <w:trHeight w:val="1089" w:hRule="atLeast"/>
        </w:trPr>
        <w:tc>
          <w:tcPr>
            <w:tcW w:w="1145" w:type="dxa"/>
            <w:vMerge w:val="restart"/>
          </w:tcPr>
          <w:p>
            <w:pPr>
              <w:pStyle w:val="TableParagraph"/>
              <w:rPr>
                <w:rFonts w:ascii="Times New Roman"/>
                <w:sz w:val="20"/>
              </w:rPr>
            </w:pPr>
          </w:p>
        </w:tc>
        <w:tc>
          <w:tcPr>
            <w:tcW w:w="1135" w:type="dxa"/>
          </w:tcPr>
          <w:p>
            <w:pPr>
              <w:pStyle w:val="TableParagraph"/>
              <w:rPr>
                <w:rFonts w:ascii="Times New Roman"/>
                <w:sz w:val="20"/>
              </w:rPr>
            </w:pPr>
          </w:p>
        </w:tc>
        <w:tc>
          <w:tcPr>
            <w:tcW w:w="1135" w:type="dxa"/>
          </w:tcPr>
          <w:p>
            <w:pPr>
              <w:pStyle w:val="TableParagraph"/>
              <w:rPr>
                <w:rFonts w:ascii="Times New Roman"/>
                <w:sz w:val="20"/>
              </w:rPr>
            </w:pPr>
          </w:p>
        </w:tc>
        <w:tc>
          <w:tcPr>
            <w:tcW w:w="5670" w:type="dxa"/>
          </w:tcPr>
          <w:p>
            <w:pPr>
              <w:pStyle w:val="TableParagraph"/>
              <w:spacing w:line="242" w:lineRule="auto" w:before="1"/>
              <w:ind w:left="108" w:right="85"/>
              <w:jc w:val="both"/>
              <w:rPr>
                <w:sz w:val="21"/>
              </w:rPr>
            </w:pPr>
            <w:r>
              <w:rPr>
                <w:spacing w:val="7"/>
                <w:sz w:val="21"/>
              </w:rPr>
              <w:t>首次公开发行</w:t>
            </w:r>
            <w:r>
              <w:rPr>
                <w:sz w:val="21"/>
              </w:rPr>
              <w:t>A</w:t>
            </w:r>
            <w:r>
              <w:rPr>
                <w:spacing w:val="-8"/>
                <w:sz w:val="21"/>
              </w:rPr>
              <w:t> 股股票的发行价格，如果富士康工业互联网</w:t>
            </w:r>
            <w:r>
              <w:rPr>
                <w:sz w:val="21"/>
              </w:rPr>
              <w:t>股份有限公司上市后因派发现金红利、送股、转增股本等</w:t>
            </w:r>
            <w:r>
              <w:rPr>
                <w:spacing w:val="1"/>
                <w:sz w:val="21"/>
              </w:rPr>
              <w:t> </w:t>
            </w:r>
            <w:r>
              <w:rPr>
                <w:sz w:val="21"/>
              </w:rPr>
              <w:t>原因进行除权、除息的，则按照上海证券交易所的有关规</w:t>
            </w:r>
          </w:p>
          <w:p>
            <w:pPr>
              <w:pStyle w:val="TableParagraph"/>
              <w:spacing w:line="252" w:lineRule="exact"/>
              <w:ind w:left="108"/>
              <w:rPr>
                <w:sz w:val="21"/>
              </w:rPr>
            </w:pPr>
            <w:r>
              <w:rPr>
                <w:spacing w:val="-1"/>
                <w:sz w:val="21"/>
              </w:rPr>
              <w:t>定作除权除息调整。</w:t>
            </w:r>
            <w:r>
              <w:rPr>
                <w:sz w:val="21"/>
              </w:rPr>
              <w:t> </w:t>
            </w:r>
          </w:p>
        </w:tc>
        <w:tc>
          <w:tcPr>
            <w:tcW w:w="1133" w:type="dxa"/>
          </w:tcPr>
          <w:p>
            <w:pPr>
              <w:pStyle w:val="TableParagraph"/>
              <w:rPr>
                <w:rFonts w:ascii="Times New Roman"/>
                <w:sz w:val="20"/>
              </w:rPr>
            </w:pPr>
          </w:p>
        </w:tc>
        <w:tc>
          <w:tcPr>
            <w:tcW w:w="711" w:type="dxa"/>
          </w:tcPr>
          <w:p>
            <w:pPr>
              <w:pStyle w:val="TableParagraph"/>
              <w:rPr>
                <w:rFonts w:ascii="Times New Roman"/>
                <w:sz w:val="20"/>
              </w:rPr>
            </w:pPr>
          </w:p>
        </w:tc>
        <w:tc>
          <w:tcPr>
            <w:tcW w:w="709" w:type="dxa"/>
          </w:tcPr>
          <w:p>
            <w:pPr>
              <w:pStyle w:val="TableParagraph"/>
              <w:rPr>
                <w:rFonts w:ascii="Times New Roman"/>
                <w:sz w:val="20"/>
              </w:rPr>
            </w:pPr>
          </w:p>
        </w:tc>
        <w:tc>
          <w:tcPr>
            <w:tcW w:w="1277" w:type="dxa"/>
          </w:tcPr>
          <w:p>
            <w:pPr>
              <w:pStyle w:val="TableParagraph"/>
              <w:rPr>
                <w:rFonts w:ascii="Times New Roman"/>
                <w:sz w:val="20"/>
              </w:rPr>
            </w:pPr>
          </w:p>
        </w:tc>
        <w:tc>
          <w:tcPr>
            <w:tcW w:w="965" w:type="dxa"/>
          </w:tcPr>
          <w:p>
            <w:pPr>
              <w:pStyle w:val="TableParagraph"/>
              <w:rPr>
                <w:rFonts w:ascii="Times New Roman"/>
                <w:sz w:val="20"/>
              </w:rPr>
            </w:pPr>
          </w:p>
        </w:tc>
      </w:tr>
      <w:tr>
        <w:trPr>
          <w:trHeight w:val="4630" w:hRule="atLeast"/>
        </w:trPr>
        <w:tc>
          <w:tcPr>
            <w:tcW w:w="1145" w:type="dxa"/>
            <w:vMerge/>
            <w:tcBorders>
              <w:top w:val="nil"/>
            </w:tcBorders>
          </w:tcPr>
          <w:p>
            <w:pPr>
              <w:rPr>
                <w:sz w:val="2"/>
                <w:szCs w:val="2"/>
              </w:rPr>
            </w:pPr>
          </w:p>
        </w:tc>
        <w:tc>
          <w:tcPr>
            <w:tcW w:w="1135" w:type="dxa"/>
          </w:tcPr>
          <w:p>
            <w:pPr>
              <w:pStyle w:val="TableParagraph"/>
              <w:spacing w:before="1"/>
              <w:ind w:right="69"/>
              <w:jc w:val="right"/>
              <w:rPr>
                <w:sz w:val="21"/>
              </w:rPr>
            </w:pPr>
            <w:r>
              <w:rPr>
                <w:spacing w:val="-1"/>
                <w:sz w:val="21"/>
              </w:rPr>
              <w:t>股份限售</w:t>
            </w:r>
            <w:r>
              <w:rPr>
                <w:sz w:val="21"/>
              </w:rPr>
              <w:t> </w:t>
            </w:r>
          </w:p>
        </w:tc>
        <w:tc>
          <w:tcPr>
            <w:tcW w:w="1135" w:type="dxa"/>
          </w:tcPr>
          <w:p>
            <w:pPr>
              <w:pStyle w:val="TableParagraph"/>
              <w:spacing w:before="1"/>
              <w:ind w:left="108"/>
              <w:rPr>
                <w:sz w:val="21"/>
              </w:rPr>
            </w:pPr>
            <w:r>
              <w:rPr>
                <w:spacing w:val="-1"/>
                <w:sz w:val="21"/>
              </w:rPr>
              <w:t>鸿海精密</w:t>
            </w:r>
            <w:r>
              <w:rPr>
                <w:sz w:val="21"/>
              </w:rPr>
              <w:t> </w:t>
            </w:r>
          </w:p>
        </w:tc>
        <w:tc>
          <w:tcPr>
            <w:tcW w:w="5670" w:type="dxa"/>
          </w:tcPr>
          <w:p>
            <w:pPr>
              <w:pStyle w:val="TableParagraph"/>
              <w:spacing w:line="242" w:lineRule="auto" w:before="1"/>
              <w:ind w:left="108" w:right="85"/>
              <w:jc w:val="both"/>
              <w:rPr>
                <w:sz w:val="21"/>
              </w:rPr>
            </w:pPr>
            <w:r>
              <w:rPr>
                <w:sz w:val="21"/>
              </w:rPr>
              <w:t>本公司直接或间接所持有的富士康工业互联网股份有限公</w:t>
            </w:r>
            <w:r>
              <w:rPr>
                <w:spacing w:val="1"/>
                <w:sz w:val="21"/>
              </w:rPr>
              <w:t> </w:t>
            </w:r>
            <w:r>
              <w:rPr>
                <w:spacing w:val="-4"/>
                <w:sz w:val="21"/>
              </w:rPr>
              <w:t>司首次公开发行限售股延长锁定期 </w:t>
            </w:r>
            <w:r>
              <w:rPr>
                <w:sz w:val="21"/>
              </w:rPr>
              <w:t>6</w:t>
            </w:r>
            <w:r>
              <w:rPr>
                <w:spacing w:val="-19"/>
                <w:sz w:val="21"/>
              </w:rPr>
              <w:t> 个月至 </w:t>
            </w:r>
            <w:r>
              <w:rPr>
                <w:sz w:val="21"/>
              </w:rPr>
              <w:t>2021</w:t>
            </w:r>
            <w:r>
              <w:rPr>
                <w:spacing w:val="-31"/>
                <w:sz w:val="21"/>
              </w:rPr>
              <w:t> 年 </w:t>
            </w:r>
            <w:r>
              <w:rPr>
                <w:sz w:val="21"/>
              </w:rPr>
              <w:t>12</w:t>
            </w:r>
            <w:r>
              <w:rPr>
                <w:spacing w:val="-31"/>
                <w:sz w:val="21"/>
              </w:rPr>
              <w:t> 月 </w:t>
            </w:r>
            <w:r>
              <w:rPr>
                <w:sz w:val="21"/>
              </w:rPr>
              <w:t>7</w:t>
            </w:r>
            <w:r>
              <w:rPr>
                <w:spacing w:val="-102"/>
                <w:sz w:val="21"/>
              </w:rPr>
              <w:t> </w:t>
            </w:r>
            <w:r>
              <w:rPr>
                <w:sz w:val="21"/>
              </w:rPr>
              <w:t>日。在延长的锁定期内，本公司不转让或者委托他人管理</w:t>
            </w:r>
            <w:r>
              <w:rPr>
                <w:spacing w:val="1"/>
                <w:sz w:val="21"/>
              </w:rPr>
              <w:t> </w:t>
            </w:r>
            <w:r>
              <w:rPr>
                <w:sz w:val="21"/>
              </w:rPr>
              <w:t>本公司在富士康工业互联网股份有限公司上市之前直接或</w:t>
            </w:r>
            <w:r>
              <w:rPr>
                <w:spacing w:val="1"/>
                <w:sz w:val="21"/>
              </w:rPr>
              <w:t> </w:t>
            </w:r>
            <w:r>
              <w:rPr>
                <w:sz w:val="21"/>
              </w:rPr>
              <w:t>间接持有的富士康工业互联网股份有限公司股份，也不由</w:t>
            </w:r>
            <w:r>
              <w:rPr>
                <w:spacing w:val="1"/>
                <w:sz w:val="21"/>
              </w:rPr>
              <w:t> </w:t>
            </w:r>
            <w:r>
              <w:rPr>
                <w:sz w:val="21"/>
              </w:rPr>
              <w:t>富士康工业互联网股份有限公司回购本公司在富士康工业</w:t>
            </w:r>
            <w:r>
              <w:rPr>
                <w:spacing w:val="1"/>
                <w:sz w:val="21"/>
              </w:rPr>
              <w:t> </w:t>
            </w:r>
            <w:r>
              <w:rPr>
                <w:sz w:val="21"/>
              </w:rPr>
              <w:t>互联网股份有限公司上市之前直接或间接持有的富士康工</w:t>
            </w:r>
            <w:r>
              <w:rPr>
                <w:spacing w:val="1"/>
                <w:sz w:val="21"/>
              </w:rPr>
              <w:t> </w:t>
            </w:r>
            <w:r>
              <w:rPr>
                <w:sz w:val="21"/>
              </w:rPr>
              <w:t>业互联网股份有限公司股份。若因富士康工业互联网股份</w:t>
            </w:r>
            <w:r>
              <w:rPr>
                <w:spacing w:val="1"/>
                <w:sz w:val="21"/>
              </w:rPr>
              <w:t> </w:t>
            </w:r>
            <w:r>
              <w:rPr>
                <w:sz w:val="21"/>
              </w:rPr>
              <w:t>有限公司进行权益分派等导致本公司持有的富士康工业互</w:t>
            </w:r>
            <w:r>
              <w:rPr>
                <w:spacing w:val="1"/>
                <w:sz w:val="21"/>
              </w:rPr>
              <w:t> </w:t>
            </w:r>
            <w:r>
              <w:rPr>
                <w:sz w:val="21"/>
              </w:rPr>
              <w:t>联网股份有限公司股份发生变化的，本公司仍将遵守上述</w:t>
            </w:r>
            <w:r>
              <w:rPr>
                <w:spacing w:val="1"/>
                <w:sz w:val="21"/>
              </w:rPr>
              <w:t> </w:t>
            </w:r>
            <w:r>
              <w:rPr>
                <w:sz w:val="21"/>
              </w:rPr>
              <w:t>承诺。若本公司所持富士康工业互联网股份有限公司股票</w:t>
            </w:r>
            <w:r>
              <w:rPr>
                <w:spacing w:val="1"/>
                <w:sz w:val="21"/>
              </w:rPr>
              <w:t> </w:t>
            </w:r>
            <w:r>
              <w:rPr>
                <w:sz w:val="21"/>
              </w:rPr>
              <w:t>在锁定期满后两年内减持的，该等股票的减持价格将不低</w:t>
            </w:r>
            <w:r>
              <w:rPr>
                <w:spacing w:val="1"/>
                <w:sz w:val="21"/>
              </w:rPr>
              <w:t> </w:t>
            </w:r>
            <w:r>
              <w:rPr>
                <w:sz w:val="21"/>
              </w:rPr>
              <w:t>于发行价。上述发行价指富士康工业互联网股份有限公司</w:t>
            </w:r>
            <w:r>
              <w:rPr>
                <w:spacing w:val="1"/>
                <w:sz w:val="21"/>
              </w:rPr>
              <w:t> </w:t>
            </w:r>
            <w:r>
              <w:rPr>
                <w:spacing w:val="7"/>
                <w:sz w:val="21"/>
              </w:rPr>
              <w:t>首次公开发行</w:t>
            </w:r>
            <w:r>
              <w:rPr>
                <w:sz w:val="21"/>
              </w:rPr>
              <w:t>A</w:t>
            </w:r>
            <w:r>
              <w:rPr>
                <w:spacing w:val="-8"/>
                <w:sz w:val="21"/>
              </w:rPr>
              <w:t> 股股票的发行价格，如果富士康工业互联网</w:t>
            </w:r>
            <w:r>
              <w:rPr>
                <w:sz w:val="21"/>
              </w:rPr>
              <w:t>股份有限公司上市后因派发现金红利、送股、转增股本等</w:t>
            </w:r>
            <w:r>
              <w:rPr>
                <w:spacing w:val="1"/>
                <w:sz w:val="21"/>
              </w:rPr>
              <w:t> </w:t>
            </w:r>
            <w:r>
              <w:rPr>
                <w:sz w:val="21"/>
              </w:rPr>
              <w:t>原因进行除权、除息的，则按照上海证券交易所的有关规</w:t>
            </w:r>
          </w:p>
          <w:p>
            <w:pPr>
              <w:pStyle w:val="TableParagraph"/>
              <w:spacing w:line="250" w:lineRule="exact" w:before="11"/>
              <w:ind w:left="108"/>
              <w:rPr>
                <w:sz w:val="21"/>
              </w:rPr>
            </w:pPr>
            <w:r>
              <w:rPr>
                <w:spacing w:val="-1"/>
                <w:sz w:val="21"/>
              </w:rPr>
              <w:t>定作除权除息调整。</w:t>
            </w:r>
            <w:r>
              <w:rPr>
                <w:sz w:val="21"/>
              </w:rPr>
              <w:t> </w:t>
            </w:r>
          </w:p>
        </w:tc>
        <w:tc>
          <w:tcPr>
            <w:tcW w:w="1133" w:type="dxa"/>
          </w:tcPr>
          <w:p>
            <w:pPr>
              <w:pStyle w:val="TableParagraph"/>
              <w:spacing w:line="242" w:lineRule="auto" w:before="1"/>
              <w:ind w:left="108" w:right="94"/>
              <w:jc w:val="both"/>
              <w:rPr>
                <w:sz w:val="21"/>
              </w:rPr>
            </w:pPr>
            <w:r>
              <w:rPr>
                <w:spacing w:val="17"/>
                <w:sz w:val="21"/>
              </w:rPr>
              <w:t>限售承诺自公司股票上市交易之日起</w:t>
            </w:r>
          </w:p>
          <w:p>
            <w:pPr>
              <w:pStyle w:val="TableParagraph"/>
              <w:spacing w:line="242" w:lineRule="auto" w:before="3"/>
              <w:ind w:left="108" w:right="2"/>
              <w:rPr>
                <w:sz w:val="21"/>
              </w:rPr>
            </w:pPr>
            <w:r>
              <w:rPr>
                <w:sz w:val="21"/>
              </w:rPr>
              <w:t>42</w:t>
            </w:r>
            <w:r>
              <w:rPr>
                <w:spacing w:val="60"/>
                <w:sz w:val="21"/>
              </w:rPr>
              <w:t> 个月</w:t>
            </w:r>
            <w:r>
              <w:rPr>
                <w:spacing w:val="-8"/>
                <w:sz w:val="21"/>
              </w:rPr>
              <w:t>内； 减持</w:t>
            </w:r>
            <w:r>
              <w:rPr>
                <w:spacing w:val="17"/>
                <w:sz w:val="21"/>
              </w:rPr>
              <w:t>价格承诺自公司股票上市交易之日起</w:t>
            </w:r>
            <w:r>
              <w:rPr>
                <w:spacing w:val="-1"/>
                <w:sz w:val="21"/>
              </w:rPr>
              <w:t>66</w:t>
            </w:r>
            <w:r>
              <w:rPr>
                <w:spacing w:val="-18"/>
                <w:sz w:val="21"/>
              </w:rPr>
              <w:t> 个月</w:t>
            </w:r>
            <w:r>
              <w:rPr>
                <w:sz w:val="21"/>
              </w:rPr>
              <w:t> </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r>
        <w:trPr>
          <w:trHeight w:val="2724" w:hRule="atLeast"/>
        </w:trPr>
        <w:tc>
          <w:tcPr>
            <w:tcW w:w="1145" w:type="dxa"/>
            <w:vMerge/>
            <w:tcBorders>
              <w:top w:val="nil"/>
            </w:tcBorders>
          </w:tcPr>
          <w:p>
            <w:pPr>
              <w:rPr>
                <w:sz w:val="2"/>
                <w:szCs w:val="2"/>
              </w:rPr>
            </w:pPr>
          </w:p>
        </w:tc>
        <w:tc>
          <w:tcPr>
            <w:tcW w:w="1135" w:type="dxa"/>
          </w:tcPr>
          <w:p>
            <w:pPr>
              <w:pStyle w:val="TableParagraph"/>
              <w:spacing w:before="1"/>
              <w:ind w:right="69"/>
              <w:jc w:val="right"/>
              <w:rPr>
                <w:sz w:val="21"/>
              </w:rPr>
            </w:pPr>
            <w:r>
              <w:rPr>
                <w:spacing w:val="-1"/>
                <w:sz w:val="21"/>
              </w:rPr>
              <w:t>股份限售</w:t>
            </w:r>
            <w:r>
              <w:rPr>
                <w:sz w:val="21"/>
              </w:rPr>
              <w:t> </w:t>
            </w:r>
          </w:p>
        </w:tc>
        <w:tc>
          <w:tcPr>
            <w:tcW w:w="1135" w:type="dxa"/>
          </w:tcPr>
          <w:p>
            <w:pPr>
              <w:pStyle w:val="TableParagraph"/>
              <w:spacing w:line="242" w:lineRule="auto" w:before="1"/>
              <w:ind w:left="108" w:right="172"/>
              <w:jc w:val="both"/>
              <w:rPr>
                <w:sz w:val="21"/>
              </w:rPr>
            </w:pPr>
            <w:r>
              <w:rPr>
                <w:spacing w:val="-1"/>
                <w:sz w:val="21"/>
              </w:rPr>
              <w:t>郑弘孟、李军旗、</w:t>
            </w:r>
            <w:r>
              <w:rPr>
                <w:sz w:val="21"/>
              </w:rPr>
              <w:t>王自强 </w:t>
            </w:r>
          </w:p>
        </w:tc>
        <w:tc>
          <w:tcPr>
            <w:tcW w:w="5670" w:type="dxa"/>
          </w:tcPr>
          <w:p>
            <w:pPr>
              <w:pStyle w:val="TableParagraph"/>
              <w:spacing w:line="242" w:lineRule="auto" w:before="1"/>
              <w:ind w:left="108" w:right="85"/>
              <w:jc w:val="both"/>
              <w:rPr>
                <w:sz w:val="21"/>
              </w:rPr>
            </w:pPr>
            <w:r>
              <w:rPr>
                <w:sz w:val="21"/>
              </w:rPr>
              <w:t>本人直接或间接所持有的富士康工业互联网股份有限公司</w:t>
            </w:r>
            <w:r>
              <w:rPr>
                <w:spacing w:val="1"/>
                <w:sz w:val="21"/>
              </w:rPr>
              <w:t> </w:t>
            </w:r>
            <w:r>
              <w:rPr>
                <w:spacing w:val="-2"/>
                <w:sz w:val="21"/>
              </w:rPr>
              <w:t>首次公开发行限售股延长锁定期 </w:t>
            </w:r>
            <w:r>
              <w:rPr>
                <w:sz w:val="21"/>
              </w:rPr>
              <w:t>6</w:t>
            </w:r>
            <w:r>
              <w:rPr>
                <w:spacing w:val="-8"/>
                <w:sz w:val="21"/>
              </w:rPr>
              <w:t> 个月至 </w:t>
            </w:r>
            <w:r>
              <w:rPr>
                <w:sz w:val="21"/>
              </w:rPr>
              <w:t>2021</w:t>
            </w:r>
            <w:r>
              <w:rPr>
                <w:spacing w:val="-12"/>
                <w:sz w:val="21"/>
              </w:rPr>
              <w:t> 年 </w:t>
            </w:r>
            <w:r>
              <w:rPr>
                <w:sz w:val="21"/>
              </w:rPr>
              <w:t>12</w:t>
            </w:r>
            <w:r>
              <w:rPr>
                <w:spacing w:val="-11"/>
                <w:sz w:val="21"/>
              </w:rPr>
              <w:t> 月 </w:t>
            </w:r>
            <w:r>
              <w:rPr>
                <w:sz w:val="21"/>
              </w:rPr>
              <w:t>7</w:t>
            </w:r>
            <w:r>
              <w:rPr>
                <w:spacing w:val="-103"/>
                <w:sz w:val="21"/>
              </w:rPr>
              <w:t> </w:t>
            </w:r>
            <w:r>
              <w:rPr>
                <w:sz w:val="21"/>
              </w:rPr>
              <w:t>日，在延长的锁定期内，不转让或者委托他人管理在富士</w:t>
            </w:r>
            <w:r>
              <w:rPr>
                <w:spacing w:val="1"/>
                <w:sz w:val="21"/>
              </w:rPr>
              <w:t> </w:t>
            </w:r>
            <w:r>
              <w:rPr>
                <w:sz w:val="21"/>
              </w:rPr>
              <w:t>康工业互联网股份有限公司上市之前直接或间接持有的富</w:t>
            </w:r>
            <w:r>
              <w:rPr>
                <w:spacing w:val="1"/>
                <w:sz w:val="21"/>
              </w:rPr>
              <w:t> </w:t>
            </w:r>
            <w:r>
              <w:rPr>
                <w:sz w:val="21"/>
              </w:rPr>
              <w:t>士康工业互联网股份有限公司股份，也不由富士康工业互</w:t>
            </w:r>
            <w:r>
              <w:rPr>
                <w:spacing w:val="1"/>
                <w:sz w:val="21"/>
              </w:rPr>
              <w:t> </w:t>
            </w:r>
            <w:r>
              <w:rPr>
                <w:sz w:val="21"/>
              </w:rPr>
              <w:t>联网股份有限公司回购本人在富士康工业互联网股份有限</w:t>
            </w:r>
            <w:r>
              <w:rPr>
                <w:spacing w:val="1"/>
                <w:sz w:val="21"/>
              </w:rPr>
              <w:t> </w:t>
            </w:r>
            <w:r>
              <w:rPr>
                <w:sz w:val="21"/>
              </w:rPr>
              <w:t>公司上市之前直接或间接持有的富士康工业互联网股份有</w:t>
            </w:r>
            <w:r>
              <w:rPr>
                <w:spacing w:val="1"/>
                <w:sz w:val="21"/>
              </w:rPr>
              <w:t> </w:t>
            </w:r>
            <w:r>
              <w:rPr>
                <w:sz w:val="21"/>
              </w:rPr>
              <w:t>限公司股份。若因富士康工业互联网股份有限公司进行权</w:t>
            </w:r>
          </w:p>
          <w:p>
            <w:pPr>
              <w:pStyle w:val="TableParagraph"/>
              <w:spacing w:line="270" w:lineRule="atLeast"/>
              <w:ind w:left="108" w:right="85"/>
              <w:rPr>
                <w:sz w:val="21"/>
              </w:rPr>
            </w:pPr>
            <w:r>
              <w:rPr>
                <w:sz w:val="21"/>
              </w:rPr>
              <w:t>益分派等导致本人直接或间接持有的富士康工业互联网股</w:t>
            </w:r>
            <w:r>
              <w:rPr>
                <w:spacing w:val="1"/>
                <w:sz w:val="21"/>
              </w:rPr>
              <w:t> </w:t>
            </w:r>
            <w:r>
              <w:rPr>
                <w:sz w:val="21"/>
              </w:rPr>
              <w:t>份有限公司股份发生变化的，本人仍将遵守上述承诺。在</w:t>
            </w:r>
          </w:p>
        </w:tc>
        <w:tc>
          <w:tcPr>
            <w:tcW w:w="1133" w:type="dxa"/>
          </w:tcPr>
          <w:p>
            <w:pPr>
              <w:pStyle w:val="TableParagraph"/>
              <w:spacing w:line="242" w:lineRule="auto" w:before="1"/>
              <w:ind w:left="108" w:right="94"/>
              <w:jc w:val="both"/>
              <w:rPr>
                <w:sz w:val="21"/>
              </w:rPr>
            </w:pPr>
            <w:r>
              <w:rPr>
                <w:spacing w:val="17"/>
                <w:sz w:val="21"/>
              </w:rPr>
              <w:t>限售承诺自公司股票上市交</w:t>
            </w:r>
            <w:r>
              <w:rPr>
                <w:spacing w:val="15"/>
                <w:sz w:val="21"/>
              </w:rPr>
              <w:t>易之日起</w:t>
            </w:r>
          </w:p>
          <w:p>
            <w:pPr>
              <w:pStyle w:val="TableParagraph"/>
              <w:spacing w:line="242" w:lineRule="auto" w:before="3"/>
              <w:ind w:left="108" w:right="2"/>
              <w:rPr>
                <w:sz w:val="21"/>
              </w:rPr>
            </w:pPr>
            <w:r>
              <w:rPr>
                <w:sz w:val="21"/>
              </w:rPr>
              <w:t>42</w:t>
            </w:r>
            <w:r>
              <w:rPr>
                <w:spacing w:val="60"/>
                <w:sz w:val="21"/>
              </w:rPr>
              <w:t> 个月</w:t>
            </w:r>
            <w:r>
              <w:rPr>
                <w:spacing w:val="-8"/>
                <w:sz w:val="21"/>
              </w:rPr>
              <w:t>内； 任职</w:t>
            </w:r>
            <w:r>
              <w:rPr>
                <w:spacing w:val="17"/>
                <w:sz w:val="21"/>
              </w:rPr>
              <w:t>期内及离</w:t>
            </w:r>
            <w:r>
              <w:rPr>
                <w:spacing w:val="-6"/>
                <w:sz w:val="21"/>
              </w:rPr>
              <w:t>职后 </w:t>
            </w:r>
            <w:r>
              <w:rPr>
                <w:sz w:val="21"/>
              </w:rPr>
              <w:t>6</w:t>
            </w:r>
            <w:r>
              <w:rPr>
                <w:spacing w:val="-7"/>
                <w:sz w:val="21"/>
              </w:rPr>
              <w:t> 个月； 减持</w:t>
            </w:r>
          </w:p>
          <w:p>
            <w:pPr>
              <w:pStyle w:val="TableParagraph"/>
              <w:spacing w:line="250" w:lineRule="exact" w:before="4"/>
              <w:ind w:left="108"/>
              <w:rPr>
                <w:sz w:val="21"/>
              </w:rPr>
            </w:pPr>
            <w:r>
              <w:rPr>
                <w:spacing w:val="17"/>
                <w:sz w:val="21"/>
              </w:rPr>
              <w:t>价格承诺</w:t>
            </w:r>
          </w:p>
        </w:tc>
        <w:tc>
          <w:tcPr>
            <w:tcW w:w="711" w:type="dxa"/>
          </w:tcPr>
          <w:p>
            <w:pPr>
              <w:pStyle w:val="TableParagraph"/>
              <w:spacing w:before="1"/>
              <w:ind w:left="108"/>
              <w:rPr>
                <w:sz w:val="21"/>
              </w:rPr>
            </w:pPr>
            <w:r>
              <w:rPr>
                <w:sz w:val="21"/>
              </w:rPr>
              <w:t>是 </w:t>
            </w:r>
          </w:p>
        </w:tc>
        <w:tc>
          <w:tcPr>
            <w:tcW w:w="709" w:type="dxa"/>
          </w:tcPr>
          <w:p>
            <w:pPr>
              <w:pStyle w:val="TableParagraph"/>
              <w:spacing w:before="1"/>
              <w:ind w:left="107"/>
              <w:rPr>
                <w:sz w:val="21"/>
              </w:rPr>
            </w:pPr>
            <w:r>
              <w:rPr>
                <w:sz w:val="21"/>
              </w:rPr>
              <w:t>是 </w:t>
            </w:r>
          </w:p>
        </w:tc>
        <w:tc>
          <w:tcPr>
            <w:tcW w:w="1277" w:type="dxa"/>
          </w:tcPr>
          <w:p>
            <w:pPr>
              <w:pStyle w:val="TableParagraph"/>
              <w:spacing w:before="1"/>
              <w:ind w:left="107"/>
              <w:rPr>
                <w:sz w:val="21"/>
              </w:rPr>
            </w:pPr>
            <w:r>
              <w:rPr>
                <w:sz w:val="21"/>
              </w:rPr>
              <w:t>不适用 </w:t>
            </w:r>
          </w:p>
        </w:tc>
        <w:tc>
          <w:tcPr>
            <w:tcW w:w="965" w:type="dxa"/>
          </w:tcPr>
          <w:p>
            <w:pPr>
              <w:pStyle w:val="TableParagraph"/>
              <w:spacing w:before="1"/>
              <w:ind w:right="109"/>
              <w:jc w:val="right"/>
              <w:rPr>
                <w:sz w:val="21"/>
              </w:rPr>
            </w:pPr>
            <w:r>
              <w:rPr>
                <w:sz w:val="21"/>
              </w:rPr>
              <w:t>不适用 </w:t>
            </w:r>
          </w:p>
        </w:tc>
      </w:tr>
    </w:tbl>
    <w:p>
      <w:pPr>
        <w:spacing w:after="0"/>
        <w:jc w:val="right"/>
        <w:rPr>
          <w:sz w:val="21"/>
        </w:rPr>
        <w:sectPr>
          <w:pgSz w:w="16840" w:h="11910" w:orient="landscape"/>
          <w:pgMar w:header="880" w:footer="1195" w:top="1180" w:bottom="1380" w:left="1320" w:right="1420"/>
        </w:sectPr>
      </w:pPr>
    </w:p>
    <w:p>
      <w:pPr>
        <w:pStyle w:val="BodyText"/>
        <w:ind w:left="0"/>
        <w:rPr>
          <w:sz w:val="20"/>
        </w:rPr>
      </w:pPr>
    </w:p>
    <w:p>
      <w:pPr>
        <w:pStyle w:val="BodyText"/>
        <w:spacing w:before="2"/>
        <w:ind w:left="0"/>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135"/>
        <w:gridCol w:w="1135"/>
        <w:gridCol w:w="5670"/>
        <w:gridCol w:w="1133"/>
        <w:gridCol w:w="711"/>
        <w:gridCol w:w="709"/>
        <w:gridCol w:w="1277"/>
        <w:gridCol w:w="965"/>
      </w:tblGrid>
      <w:tr>
        <w:trPr>
          <w:trHeight w:val="5175" w:hRule="atLeast"/>
        </w:trPr>
        <w:tc>
          <w:tcPr>
            <w:tcW w:w="1145" w:type="dxa"/>
          </w:tcPr>
          <w:p>
            <w:pPr>
              <w:pStyle w:val="TableParagraph"/>
              <w:rPr>
                <w:rFonts w:ascii="Times New Roman"/>
                <w:sz w:val="20"/>
              </w:rPr>
            </w:pPr>
          </w:p>
        </w:tc>
        <w:tc>
          <w:tcPr>
            <w:tcW w:w="1135" w:type="dxa"/>
          </w:tcPr>
          <w:p>
            <w:pPr>
              <w:pStyle w:val="TableParagraph"/>
              <w:rPr>
                <w:rFonts w:ascii="Times New Roman"/>
                <w:sz w:val="20"/>
              </w:rPr>
            </w:pPr>
          </w:p>
        </w:tc>
        <w:tc>
          <w:tcPr>
            <w:tcW w:w="1135" w:type="dxa"/>
          </w:tcPr>
          <w:p>
            <w:pPr>
              <w:pStyle w:val="TableParagraph"/>
              <w:rPr>
                <w:rFonts w:ascii="Times New Roman"/>
                <w:sz w:val="20"/>
              </w:rPr>
            </w:pPr>
          </w:p>
        </w:tc>
        <w:tc>
          <w:tcPr>
            <w:tcW w:w="5670" w:type="dxa"/>
          </w:tcPr>
          <w:p>
            <w:pPr>
              <w:pStyle w:val="TableParagraph"/>
              <w:spacing w:line="242" w:lineRule="auto" w:before="1"/>
              <w:ind w:left="108" w:right="83"/>
              <w:jc w:val="both"/>
              <w:rPr>
                <w:sz w:val="21"/>
              </w:rPr>
            </w:pPr>
            <w:r>
              <w:rPr>
                <w:sz w:val="21"/>
              </w:rPr>
              <w:t>担任富士康工业互联网股份有限公司董事或高级管理人员</w:t>
            </w:r>
            <w:r>
              <w:rPr>
                <w:spacing w:val="1"/>
                <w:sz w:val="21"/>
              </w:rPr>
              <w:t> </w:t>
            </w:r>
            <w:r>
              <w:rPr>
                <w:sz w:val="21"/>
              </w:rPr>
              <w:t>期间，如实并及时申报直接或间接持有富士康工业互联网</w:t>
            </w:r>
            <w:r>
              <w:rPr>
                <w:spacing w:val="13"/>
                <w:sz w:val="21"/>
              </w:rPr>
              <w:t>股份有限公司股份及其变动情况；在上述承诺期限届满</w:t>
            </w:r>
            <w:r>
              <w:rPr>
                <w:sz w:val="21"/>
              </w:rPr>
              <w:t>后，每年转让直接或间接持有的富士康工业互联网股份有</w:t>
            </w:r>
            <w:r>
              <w:rPr>
                <w:spacing w:val="1"/>
                <w:sz w:val="21"/>
              </w:rPr>
              <w:t> </w:t>
            </w:r>
            <w:r>
              <w:rPr>
                <w:sz w:val="21"/>
              </w:rPr>
              <w:t>限公司股份不超过直接或间接持有富士康工业互联网股份</w:t>
            </w:r>
            <w:r>
              <w:rPr>
                <w:spacing w:val="1"/>
                <w:sz w:val="21"/>
              </w:rPr>
              <w:t> </w:t>
            </w:r>
            <w:r>
              <w:rPr>
                <w:spacing w:val="-1"/>
                <w:sz w:val="21"/>
              </w:rPr>
              <w:t>有限公司股份总数的 </w:t>
            </w:r>
            <w:r>
              <w:rPr>
                <w:sz w:val="21"/>
              </w:rPr>
              <w:t>25%；在买入后六个月内卖出，或者在卖出后六个月内又买入，由此所得收益归富士康工业互联</w:t>
            </w:r>
            <w:r>
              <w:rPr>
                <w:spacing w:val="1"/>
                <w:sz w:val="21"/>
              </w:rPr>
              <w:t> </w:t>
            </w:r>
            <w:r>
              <w:rPr>
                <w:sz w:val="21"/>
              </w:rPr>
              <w:t>网股份有限公司所有；离职后六个月内，不转让直接或间</w:t>
            </w:r>
            <w:r>
              <w:rPr>
                <w:spacing w:val="1"/>
                <w:sz w:val="21"/>
              </w:rPr>
              <w:t> </w:t>
            </w:r>
            <w:r>
              <w:rPr>
                <w:sz w:val="21"/>
              </w:rPr>
              <w:t>接持有的富士康工业互联网股份有限公司股份。本人所持</w:t>
            </w:r>
            <w:r>
              <w:rPr>
                <w:spacing w:val="1"/>
                <w:sz w:val="21"/>
              </w:rPr>
              <w:t> </w:t>
            </w:r>
            <w:r>
              <w:rPr>
                <w:sz w:val="21"/>
              </w:rPr>
              <w:t>股票在锁定期满后两年内减持的，该等股票的减持价格不</w:t>
            </w:r>
            <w:r>
              <w:rPr>
                <w:spacing w:val="1"/>
                <w:sz w:val="21"/>
              </w:rPr>
              <w:t> </w:t>
            </w:r>
            <w:r>
              <w:rPr>
                <w:sz w:val="21"/>
              </w:rPr>
              <w:t>低于富士康工业互联网股份有限公司首次公开发行股票之</w:t>
            </w:r>
            <w:r>
              <w:rPr>
                <w:spacing w:val="1"/>
                <w:sz w:val="21"/>
              </w:rPr>
              <w:t> </w:t>
            </w:r>
            <w:r>
              <w:rPr>
                <w:sz w:val="21"/>
              </w:rPr>
              <w:t>时的发行价。如果富士康工业互联网股份有限公司上市后</w:t>
            </w:r>
            <w:r>
              <w:rPr>
                <w:spacing w:val="1"/>
                <w:sz w:val="21"/>
              </w:rPr>
              <w:t> </w:t>
            </w:r>
            <w:r>
              <w:rPr>
                <w:sz w:val="21"/>
              </w:rPr>
              <w:t>因派发现金红利、送股、转增股本等原因进行除权、除息</w:t>
            </w:r>
            <w:r>
              <w:rPr>
                <w:spacing w:val="13"/>
                <w:sz w:val="21"/>
              </w:rPr>
              <w:t>的，则按照上海证券交易所的有关规定作除权、除息调</w:t>
            </w:r>
            <w:r>
              <w:rPr>
                <w:sz w:val="21"/>
              </w:rPr>
              <w:t>整。在上述承诺履行期间，本人职务变更、离职等原因不</w:t>
            </w:r>
            <w:r>
              <w:rPr>
                <w:spacing w:val="13"/>
                <w:sz w:val="21"/>
              </w:rPr>
              <w:t>影响本承诺的效力，在此期间本人仍将继续履行上述承</w:t>
            </w:r>
            <w:r>
              <w:rPr>
                <w:sz w:val="21"/>
              </w:rPr>
              <w:t>诺。上述承诺为本人真实意思表示，本人自愿接受监管机</w:t>
            </w:r>
            <w:r>
              <w:rPr>
                <w:spacing w:val="1"/>
                <w:sz w:val="21"/>
              </w:rPr>
              <w:t> </w:t>
            </w:r>
            <w:r>
              <w:rPr>
                <w:sz w:val="21"/>
              </w:rPr>
              <w:t>构、自律组织及社会公众的监督，若违反上述承诺本人将</w:t>
            </w:r>
          </w:p>
          <w:p>
            <w:pPr>
              <w:pStyle w:val="TableParagraph"/>
              <w:spacing w:line="252" w:lineRule="exact" w:before="10"/>
              <w:ind w:left="108"/>
              <w:rPr>
                <w:sz w:val="21"/>
              </w:rPr>
            </w:pPr>
            <w:r>
              <w:rPr>
                <w:spacing w:val="-1"/>
                <w:sz w:val="21"/>
              </w:rPr>
              <w:t>依法承担相关责任。</w:t>
            </w:r>
            <w:r>
              <w:rPr>
                <w:sz w:val="21"/>
              </w:rPr>
              <w:t> </w:t>
            </w:r>
          </w:p>
        </w:tc>
        <w:tc>
          <w:tcPr>
            <w:tcW w:w="1133" w:type="dxa"/>
          </w:tcPr>
          <w:p>
            <w:pPr>
              <w:pStyle w:val="TableParagraph"/>
              <w:spacing w:line="242" w:lineRule="auto" w:before="1"/>
              <w:ind w:left="108" w:right="94"/>
              <w:jc w:val="both"/>
              <w:rPr>
                <w:sz w:val="21"/>
              </w:rPr>
            </w:pPr>
            <w:r>
              <w:rPr>
                <w:spacing w:val="17"/>
                <w:sz w:val="21"/>
              </w:rPr>
              <w:t>自公司股票上市交易之日起</w:t>
            </w:r>
            <w:r>
              <w:rPr>
                <w:spacing w:val="-1"/>
                <w:sz w:val="21"/>
              </w:rPr>
              <w:t>66</w:t>
            </w:r>
            <w:r>
              <w:rPr>
                <w:spacing w:val="-18"/>
                <w:sz w:val="21"/>
              </w:rPr>
              <w:t> 个月</w:t>
            </w:r>
            <w:r>
              <w:rPr>
                <w:sz w:val="21"/>
              </w:rPr>
              <w:t> </w:t>
            </w:r>
          </w:p>
        </w:tc>
        <w:tc>
          <w:tcPr>
            <w:tcW w:w="711" w:type="dxa"/>
          </w:tcPr>
          <w:p>
            <w:pPr>
              <w:pStyle w:val="TableParagraph"/>
              <w:rPr>
                <w:rFonts w:ascii="Times New Roman"/>
                <w:sz w:val="20"/>
              </w:rPr>
            </w:pPr>
          </w:p>
        </w:tc>
        <w:tc>
          <w:tcPr>
            <w:tcW w:w="709" w:type="dxa"/>
          </w:tcPr>
          <w:p>
            <w:pPr>
              <w:pStyle w:val="TableParagraph"/>
              <w:rPr>
                <w:rFonts w:ascii="Times New Roman"/>
                <w:sz w:val="20"/>
              </w:rPr>
            </w:pPr>
          </w:p>
        </w:tc>
        <w:tc>
          <w:tcPr>
            <w:tcW w:w="1277" w:type="dxa"/>
          </w:tcPr>
          <w:p>
            <w:pPr>
              <w:pStyle w:val="TableParagraph"/>
              <w:rPr>
                <w:rFonts w:ascii="Times New Roman"/>
                <w:sz w:val="20"/>
              </w:rPr>
            </w:pPr>
          </w:p>
        </w:tc>
        <w:tc>
          <w:tcPr>
            <w:tcW w:w="965" w:type="dxa"/>
          </w:tcPr>
          <w:p>
            <w:pPr>
              <w:pStyle w:val="TableParagraph"/>
              <w:rPr>
                <w:rFonts w:ascii="Times New Roman"/>
                <w:sz w:val="20"/>
              </w:rPr>
            </w:pPr>
          </w:p>
        </w:tc>
      </w:tr>
    </w:tbl>
    <w:p>
      <w:pPr>
        <w:spacing w:after="0"/>
        <w:rPr>
          <w:rFonts w:ascii="Times New Roman"/>
          <w:sz w:val="20"/>
        </w:rPr>
        <w:sectPr>
          <w:pgSz w:w="16840" w:h="11910" w:orient="landscape"/>
          <w:pgMar w:header="880" w:footer="1195" w:top="1180" w:bottom="1380" w:left="1320" w:right="1420"/>
        </w:sectPr>
      </w:pPr>
    </w:p>
    <w:p>
      <w:pPr>
        <w:pStyle w:val="BodyText"/>
        <w:spacing w:before="68"/>
        <w:ind w:left="118"/>
      </w:pPr>
      <w:r>
        <w:rPr>
          <w:w w:val="100"/>
        </w:rPr>
        <w:t> </w:t>
      </w:r>
    </w:p>
    <w:p>
      <w:pPr>
        <w:pStyle w:val="BodyText"/>
        <w:tabs>
          <w:tab w:pos="684" w:val="left" w:leader="none"/>
        </w:tabs>
        <w:spacing w:line="295" w:lineRule="auto" w:before="65"/>
        <w:ind w:left="118" w:right="890"/>
      </w:pPr>
      <w:r>
        <w:rPr>
          <w:rFonts w:ascii="Calibri" w:eastAsia="Calibri"/>
          <w:b/>
        </w:rPr>
        <w:t>(</w:t>
      </w:r>
      <w:r>
        <w:rPr/>
        <w:t>二</w:t>
      </w:r>
      <w:r>
        <w:rPr>
          <w:rFonts w:ascii="Calibri" w:eastAsia="Calibri"/>
          <w:b/>
        </w:rPr>
        <w:t>)</w:t>
        <w:tab/>
      </w:r>
      <w:r>
        <w:rPr/>
        <w:t>公司资产或项目存在盈利预测，且报告期仍处在盈利预测期间，公司就资产或项目是否达到原盈利预测及其原因作出说明 </w:t>
      </w:r>
    </w:p>
    <w:p>
      <w:pPr>
        <w:pStyle w:val="BodyText"/>
        <w:spacing w:line="212" w:lineRule="exact"/>
        <w:ind w:left="118"/>
      </w:pPr>
      <w:r>
        <w:rPr>
          <w:spacing w:val="-2"/>
        </w:rPr>
        <w:t>□已达到 □未达到 √不适用</w:t>
      </w:r>
      <w:r>
        <w:rPr>
          <w:spacing w:val="-3"/>
        </w:rPr>
        <w:t> </w:t>
      </w:r>
      <w:r>
        <w:rPr/>
        <w:t> </w:t>
      </w:r>
    </w:p>
    <w:p>
      <w:pPr>
        <w:pStyle w:val="BodyText"/>
        <w:spacing w:before="2"/>
        <w:ind w:left="118"/>
      </w:pPr>
      <w:r>
        <w:rPr>
          <w:w w:val="100"/>
        </w:rPr>
        <w:t> </w:t>
      </w:r>
    </w:p>
    <w:p>
      <w:pPr>
        <w:pStyle w:val="BodyText"/>
        <w:tabs>
          <w:tab w:pos="684" w:val="left" w:leader="none"/>
        </w:tabs>
        <w:spacing w:before="65"/>
        <w:ind w:left="118"/>
      </w:pPr>
      <w:r>
        <w:rPr>
          <w:rFonts w:ascii="Calibri" w:eastAsia="Calibri"/>
          <w:b/>
        </w:rPr>
        <w:t>(</w:t>
      </w:r>
      <w:r>
        <w:rPr/>
        <w:t>三</w:t>
      </w:r>
      <w:r>
        <w:rPr>
          <w:rFonts w:ascii="Calibri" w:eastAsia="Calibri"/>
          <w:b/>
        </w:rPr>
        <w:t>)</w:t>
        <w:tab/>
      </w:r>
      <w:r>
        <w:rPr/>
        <w:t>业绩承诺的完成情况及其对商誉减值测试的影响</w:t>
      </w:r>
    </w:p>
    <w:p>
      <w:pPr>
        <w:pStyle w:val="BodyText"/>
        <w:spacing w:before="62"/>
        <w:ind w:left="118"/>
      </w:pPr>
      <w:r>
        <w:rPr>
          <w:spacing w:val="-1"/>
        </w:rPr>
        <w:t>□适用 √不适用</w:t>
      </w:r>
      <w:r>
        <w:rPr>
          <w:spacing w:val="-3"/>
        </w:rPr>
        <w:t> </w:t>
      </w:r>
      <w:r>
        <w:rPr/>
        <w:t> </w:t>
      </w:r>
    </w:p>
    <w:p>
      <w:pPr>
        <w:pStyle w:val="BodyText"/>
        <w:spacing w:before="4"/>
        <w:ind w:left="118"/>
      </w:pPr>
      <w:r>
        <w:rPr>
          <w:w w:val="100"/>
        </w:rPr>
        <w:t> </w:t>
      </w:r>
    </w:p>
    <w:p>
      <w:pPr>
        <w:pStyle w:val="BodyText"/>
        <w:spacing w:before="2"/>
        <w:ind w:left="118"/>
      </w:pPr>
      <w:r>
        <w:rPr>
          <w:w w:val="100"/>
        </w:rPr>
        <w:t> </w:t>
      </w:r>
    </w:p>
    <w:p>
      <w:pPr>
        <w:pStyle w:val="BodyText"/>
        <w:spacing w:before="5"/>
        <w:ind w:left="118"/>
      </w:pPr>
      <w:r>
        <w:rPr>
          <w:w w:val="100"/>
        </w:rPr>
        <w:t> </w:t>
      </w:r>
    </w:p>
    <w:p>
      <w:pPr>
        <w:pStyle w:val="BodyText"/>
        <w:spacing w:before="62"/>
        <w:ind w:left="118"/>
      </w:pPr>
      <w:r>
        <w:rPr/>
        <w:t>二、报告期内控股股东及其他关联方非经营性占用资金情况 </w:t>
      </w:r>
    </w:p>
    <w:p>
      <w:pPr>
        <w:pStyle w:val="BodyText"/>
        <w:spacing w:line="295" w:lineRule="auto" w:before="65"/>
        <w:ind w:left="118" w:right="7253"/>
      </w:pPr>
      <w:r>
        <w:rPr/>
        <w:t>□适用 √不适用三、违规担保情况 </w:t>
      </w:r>
    </w:p>
    <w:p>
      <w:pPr>
        <w:pStyle w:val="BodyText"/>
        <w:spacing w:before="3"/>
        <w:ind w:left="118"/>
      </w:pPr>
      <w:r>
        <w:rPr>
          <w:spacing w:val="-1"/>
        </w:rPr>
        <w:t>□适用 √不适用</w:t>
      </w:r>
      <w:r>
        <w:rPr>
          <w:spacing w:val="-3"/>
        </w:rPr>
        <w:t> </w:t>
      </w:r>
      <w:r>
        <w:rPr/>
        <w:t> </w:t>
      </w:r>
    </w:p>
    <w:p>
      <w:pPr>
        <w:pStyle w:val="BodyText"/>
        <w:spacing w:before="2"/>
        <w:ind w:left="118"/>
      </w:pPr>
      <w:r>
        <w:rPr>
          <w:w w:val="100"/>
        </w:rPr>
        <w:t> </w:t>
      </w:r>
    </w:p>
    <w:p>
      <w:pPr>
        <w:pStyle w:val="BodyText"/>
        <w:spacing w:before="65"/>
        <w:ind w:left="118"/>
      </w:pPr>
      <w:r>
        <w:rPr/>
        <w:t>四、公司董事会对会计师事务所“非标准意见审计报告”的说明 </w:t>
      </w:r>
    </w:p>
    <w:p>
      <w:pPr>
        <w:pStyle w:val="BodyText"/>
        <w:spacing w:before="62"/>
        <w:ind w:left="118"/>
      </w:pPr>
      <w:r>
        <w:rPr>
          <w:spacing w:val="-1"/>
        </w:rPr>
        <w:t>□适用 √不适用</w:t>
      </w:r>
      <w:r>
        <w:rPr>
          <w:spacing w:val="-3"/>
        </w:rPr>
        <w:t> </w:t>
      </w:r>
      <w:r>
        <w:rPr/>
        <w:t> </w:t>
      </w:r>
    </w:p>
    <w:p>
      <w:pPr>
        <w:pStyle w:val="BodyText"/>
        <w:spacing w:before="4"/>
        <w:ind w:left="118"/>
      </w:pPr>
      <w:r>
        <w:rPr>
          <w:w w:val="100"/>
        </w:rPr>
        <w:t> </w:t>
      </w:r>
    </w:p>
    <w:p>
      <w:pPr>
        <w:pStyle w:val="BodyText"/>
        <w:spacing w:before="63"/>
        <w:ind w:left="118"/>
      </w:pPr>
      <w:r>
        <w:rPr/>
        <w:t>五、公司对会计政策、会计估计变更或重大会计差错更正原因和影响的分析说明 </w:t>
      </w:r>
    </w:p>
    <w:p>
      <w:pPr>
        <w:pStyle w:val="BodyText"/>
        <w:spacing w:before="62"/>
        <w:ind w:left="118"/>
      </w:pPr>
      <w:r>
        <w:rPr/>
        <w:t>（一）公司对会计政策、会计估计变更原因及影响的分析说明</w:t>
      </w:r>
    </w:p>
    <w:p>
      <w:pPr>
        <w:pStyle w:val="BodyText"/>
        <w:spacing w:before="64"/>
        <w:ind w:left="118"/>
      </w:pPr>
      <w:r>
        <w:rPr>
          <w:spacing w:val="11"/>
        </w:rPr>
        <w:t>□适用 √不适用</w:t>
      </w:r>
      <w:r>
        <w:rPr>
          <w:spacing w:val="-3"/>
        </w:rPr>
        <w:t> </w:t>
      </w:r>
      <w:r>
        <w:rPr/>
        <w:t> </w:t>
      </w:r>
    </w:p>
    <w:p>
      <w:pPr>
        <w:pStyle w:val="BodyText"/>
        <w:spacing w:before="2"/>
        <w:ind w:left="118"/>
      </w:pPr>
      <w:r>
        <w:rPr>
          <w:w w:val="100"/>
        </w:rPr>
        <w:t> </w:t>
      </w:r>
    </w:p>
    <w:p>
      <w:pPr>
        <w:pStyle w:val="BodyText"/>
        <w:spacing w:before="65"/>
        <w:ind w:left="118"/>
      </w:pPr>
      <w:r>
        <w:rPr/>
        <w:t>（二）公司对重大会计差错更正原因及影响的分析说明</w:t>
      </w:r>
    </w:p>
    <w:p>
      <w:pPr>
        <w:pStyle w:val="BodyText"/>
        <w:spacing w:before="62"/>
        <w:ind w:left="118"/>
      </w:pPr>
      <w:r>
        <w:rPr>
          <w:spacing w:val="11"/>
        </w:rPr>
        <w:t>□适用 √不适用</w:t>
      </w:r>
      <w:r>
        <w:rPr>
          <w:spacing w:val="-3"/>
        </w:rPr>
        <w:t> </w:t>
      </w:r>
      <w:r>
        <w:rPr/>
        <w:t> </w:t>
      </w:r>
    </w:p>
    <w:p>
      <w:pPr>
        <w:pStyle w:val="BodyText"/>
        <w:spacing w:before="5"/>
        <w:ind w:left="118"/>
      </w:pPr>
      <w:r>
        <w:rPr>
          <w:w w:val="100"/>
        </w:rPr>
        <w:t> </w:t>
      </w:r>
    </w:p>
    <w:p>
      <w:pPr>
        <w:pStyle w:val="BodyText"/>
        <w:spacing w:before="62"/>
        <w:ind w:left="118"/>
      </w:pPr>
      <w:r>
        <w:rPr/>
        <w:t>（三）与前任会计师事务所进行的沟通情况</w:t>
      </w:r>
    </w:p>
    <w:p>
      <w:pPr>
        <w:pStyle w:val="BodyText"/>
        <w:spacing w:before="65"/>
        <w:ind w:left="118"/>
      </w:pPr>
      <w:r>
        <w:rPr>
          <w:spacing w:val="11"/>
        </w:rPr>
        <w:t>□适用 √不适用</w:t>
      </w:r>
      <w:r>
        <w:rPr>
          <w:spacing w:val="-3"/>
        </w:rPr>
        <w:t> </w:t>
      </w:r>
      <w:r>
        <w:rPr/>
        <w:t> </w:t>
      </w:r>
    </w:p>
    <w:p>
      <w:pPr>
        <w:pStyle w:val="BodyText"/>
        <w:spacing w:before="2"/>
        <w:ind w:left="118"/>
      </w:pPr>
      <w:r>
        <w:rPr>
          <w:w w:val="100"/>
        </w:rPr>
        <w:t> </w:t>
      </w:r>
    </w:p>
    <w:p>
      <w:pPr>
        <w:pStyle w:val="BodyText"/>
        <w:spacing w:before="64"/>
        <w:ind w:left="118"/>
      </w:pPr>
      <w:r>
        <w:rPr/>
        <w:t>（四）其他说明</w:t>
      </w:r>
    </w:p>
    <w:p>
      <w:pPr>
        <w:pStyle w:val="BodyText"/>
        <w:spacing w:before="62"/>
        <w:ind w:left="118"/>
      </w:pPr>
      <w:r>
        <w:rPr>
          <w:spacing w:val="11"/>
        </w:rPr>
        <w:t>□适用 √不适用</w:t>
      </w:r>
      <w:r>
        <w:rPr>
          <w:spacing w:val="-3"/>
        </w:rPr>
        <w:t> </w:t>
      </w:r>
      <w:r>
        <w:rPr/>
        <w:t> </w:t>
      </w:r>
    </w:p>
    <w:p>
      <w:pPr>
        <w:pStyle w:val="BodyText"/>
        <w:spacing w:before="5"/>
        <w:ind w:left="118"/>
      </w:pPr>
      <w:r>
        <w:rPr>
          <w:w w:val="100"/>
        </w:rPr>
        <w:t> </w:t>
      </w:r>
    </w:p>
    <w:p>
      <w:pPr>
        <w:pStyle w:val="BodyText"/>
        <w:spacing w:before="62"/>
        <w:ind w:left="118"/>
      </w:pPr>
      <w:r>
        <w:rPr/>
        <w:t>六、聘任、解聘会计师事务所情况 </w:t>
      </w:r>
    </w:p>
    <w:p>
      <w:pPr>
        <w:pStyle w:val="BodyText"/>
        <w:spacing w:before="65"/>
        <w:ind w:left="0" w:right="107"/>
        <w:jc w:val="right"/>
      </w:pPr>
      <w:r>
        <w:rPr>
          <w:spacing w:val="7"/>
        </w:rPr>
        <w:t>单位：万元 币种：人民币</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07"/>
        <w:gridCol w:w="4717"/>
      </w:tblGrid>
      <w:tr>
        <w:trPr>
          <w:trHeight w:val="273" w:hRule="atLeast"/>
        </w:trPr>
        <w:tc>
          <w:tcPr>
            <w:tcW w:w="4107" w:type="dxa"/>
          </w:tcPr>
          <w:p>
            <w:pPr>
              <w:pStyle w:val="TableParagraph"/>
              <w:spacing w:line="252" w:lineRule="exact" w:before="1"/>
              <w:ind w:left="107"/>
              <w:rPr>
                <w:sz w:val="21"/>
              </w:rPr>
            </w:pPr>
            <w:r>
              <w:rPr>
                <w:w w:val="100"/>
                <w:sz w:val="21"/>
              </w:rPr>
              <w:t> </w:t>
            </w:r>
          </w:p>
        </w:tc>
        <w:tc>
          <w:tcPr>
            <w:tcW w:w="4717" w:type="dxa"/>
          </w:tcPr>
          <w:p>
            <w:pPr>
              <w:pStyle w:val="TableParagraph"/>
              <w:spacing w:line="252" w:lineRule="exact" w:before="1"/>
              <w:ind w:left="239" w:right="228"/>
              <w:jc w:val="center"/>
              <w:rPr>
                <w:sz w:val="21"/>
              </w:rPr>
            </w:pPr>
            <w:r>
              <w:rPr>
                <w:sz w:val="21"/>
              </w:rPr>
              <w:t>现聘任</w:t>
            </w:r>
          </w:p>
        </w:tc>
      </w:tr>
      <w:tr>
        <w:trPr>
          <w:trHeight w:val="270" w:hRule="atLeast"/>
        </w:trPr>
        <w:tc>
          <w:tcPr>
            <w:tcW w:w="4107" w:type="dxa"/>
          </w:tcPr>
          <w:p>
            <w:pPr>
              <w:pStyle w:val="TableParagraph"/>
              <w:spacing w:line="250" w:lineRule="exact" w:before="1"/>
              <w:ind w:left="107"/>
              <w:rPr>
                <w:sz w:val="21"/>
              </w:rPr>
            </w:pPr>
            <w:r>
              <w:rPr>
                <w:spacing w:val="-1"/>
                <w:sz w:val="21"/>
              </w:rPr>
              <w:t>境内会计师事务所名称</w:t>
            </w:r>
            <w:r>
              <w:rPr>
                <w:sz w:val="21"/>
              </w:rPr>
              <w:t> </w:t>
            </w:r>
          </w:p>
        </w:tc>
        <w:tc>
          <w:tcPr>
            <w:tcW w:w="4717" w:type="dxa"/>
          </w:tcPr>
          <w:p>
            <w:pPr>
              <w:pStyle w:val="TableParagraph"/>
              <w:spacing w:line="250" w:lineRule="exact" w:before="1"/>
              <w:ind w:left="239" w:right="228"/>
              <w:jc w:val="center"/>
              <w:rPr>
                <w:sz w:val="21"/>
              </w:rPr>
            </w:pPr>
            <w:r>
              <w:rPr>
                <w:sz w:val="21"/>
              </w:rPr>
              <w:t>普华永道中天会计师事务所（特殊普通合伙）</w:t>
            </w:r>
          </w:p>
        </w:tc>
      </w:tr>
      <w:tr>
        <w:trPr>
          <w:trHeight w:val="273" w:hRule="atLeast"/>
        </w:trPr>
        <w:tc>
          <w:tcPr>
            <w:tcW w:w="4107" w:type="dxa"/>
          </w:tcPr>
          <w:p>
            <w:pPr>
              <w:pStyle w:val="TableParagraph"/>
              <w:spacing w:line="250" w:lineRule="exact" w:before="4"/>
              <w:ind w:left="107"/>
              <w:rPr>
                <w:sz w:val="21"/>
              </w:rPr>
            </w:pPr>
            <w:r>
              <w:rPr>
                <w:spacing w:val="-1"/>
                <w:sz w:val="21"/>
              </w:rPr>
              <w:t>境内会计师事务所报酬</w:t>
            </w:r>
            <w:r>
              <w:rPr>
                <w:sz w:val="21"/>
              </w:rPr>
              <w:t> </w:t>
            </w:r>
          </w:p>
        </w:tc>
        <w:tc>
          <w:tcPr>
            <w:tcW w:w="4717" w:type="dxa"/>
          </w:tcPr>
          <w:p>
            <w:pPr>
              <w:pStyle w:val="TableParagraph"/>
              <w:spacing w:line="238" w:lineRule="exact"/>
              <w:ind w:left="239" w:right="228"/>
              <w:jc w:val="center"/>
              <w:rPr>
                <w:rFonts w:ascii="Times New Roman"/>
                <w:sz w:val="21"/>
              </w:rPr>
            </w:pPr>
            <w:r>
              <w:rPr>
                <w:rFonts w:ascii="Times New Roman"/>
                <w:sz w:val="21"/>
              </w:rPr>
              <w:t>990</w:t>
            </w:r>
          </w:p>
        </w:tc>
      </w:tr>
      <w:tr>
        <w:trPr>
          <w:trHeight w:val="273" w:hRule="atLeast"/>
        </w:trPr>
        <w:tc>
          <w:tcPr>
            <w:tcW w:w="4107" w:type="dxa"/>
          </w:tcPr>
          <w:p>
            <w:pPr>
              <w:pStyle w:val="TableParagraph"/>
              <w:spacing w:line="252" w:lineRule="exact" w:before="1"/>
              <w:ind w:left="107"/>
              <w:rPr>
                <w:sz w:val="21"/>
              </w:rPr>
            </w:pPr>
            <w:r>
              <w:rPr>
                <w:spacing w:val="-1"/>
                <w:sz w:val="21"/>
              </w:rPr>
              <w:t>境内会计师事务所审计年限 </w:t>
            </w:r>
          </w:p>
        </w:tc>
        <w:tc>
          <w:tcPr>
            <w:tcW w:w="4717" w:type="dxa"/>
          </w:tcPr>
          <w:p>
            <w:pPr>
              <w:pStyle w:val="TableParagraph"/>
              <w:spacing w:line="252" w:lineRule="exact" w:before="1"/>
              <w:ind w:left="239" w:right="228"/>
              <w:jc w:val="center"/>
              <w:rPr>
                <w:sz w:val="21"/>
              </w:rPr>
            </w:pPr>
            <w:r>
              <w:rPr>
                <w:rFonts w:ascii="Times New Roman" w:eastAsia="Times New Roman"/>
                <w:sz w:val="21"/>
              </w:rPr>
              <w:t>5</w:t>
            </w:r>
            <w:r>
              <w:rPr>
                <w:rFonts w:ascii="Times New Roman" w:eastAsia="Times New Roman"/>
                <w:spacing w:val="-10"/>
                <w:sz w:val="21"/>
              </w:rPr>
              <w:t> </w:t>
            </w:r>
            <w:r>
              <w:rPr>
                <w:sz w:val="21"/>
              </w:rPr>
              <w:t>年</w:t>
            </w:r>
          </w:p>
        </w:tc>
      </w:tr>
      <w:tr>
        <w:trPr>
          <w:trHeight w:val="270" w:hRule="atLeast"/>
        </w:trPr>
        <w:tc>
          <w:tcPr>
            <w:tcW w:w="4107" w:type="dxa"/>
          </w:tcPr>
          <w:p>
            <w:pPr>
              <w:pStyle w:val="TableParagraph"/>
              <w:spacing w:line="250" w:lineRule="exact" w:before="1"/>
              <w:ind w:left="107"/>
              <w:rPr>
                <w:sz w:val="21"/>
              </w:rPr>
            </w:pPr>
            <w:r>
              <w:rPr>
                <w:spacing w:val="-1"/>
                <w:sz w:val="21"/>
              </w:rPr>
              <w:t>境内会计师事务所注册会计师姓名</w:t>
            </w:r>
            <w:r>
              <w:rPr>
                <w:sz w:val="21"/>
              </w:rPr>
              <w:t> </w:t>
            </w:r>
          </w:p>
        </w:tc>
        <w:tc>
          <w:tcPr>
            <w:tcW w:w="4717" w:type="dxa"/>
          </w:tcPr>
          <w:p>
            <w:pPr>
              <w:pStyle w:val="TableParagraph"/>
              <w:spacing w:line="250" w:lineRule="exact" w:before="1"/>
              <w:ind w:left="237" w:right="228"/>
              <w:jc w:val="center"/>
              <w:rPr>
                <w:sz w:val="21"/>
              </w:rPr>
            </w:pPr>
            <w:r>
              <w:rPr>
                <w:sz w:val="21"/>
              </w:rPr>
              <w:t>张津、周唯</w:t>
            </w:r>
          </w:p>
        </w:tc>
      </w:tr>
      <w:tr>
        <w:trPr>
          <w:trHeight w:val="546" w:hRule="atLeast"/>
        </w:trPr>
        <w:tc>
          <w:tcPr>
            <w:tcW w:w="4107" w:type="dxa"/>
          </w:tcPr>
          <w:p>
            <w:pPr>
              <w:pStyle w:val="TableParagraph"/>
              <w:spacing w:line="270" w:lineRule="atLeast"/>
              <w:ind w:left="107" w:right="97"/>
              <w:rPr>
                <w:sz w:val="21"/>
              </w:rPr>
            </w:pPr>
            <w:r>
              <w:rPr>
                <w:sz w:val="21"/>
              </w:rPr>
              <w:t>境内会计师事务所注册会计师审计服务的连续年限 </w:t>
            </w:r>
          </w:p>
        </w:tc>
        <w:tc>
          <w:tcPr>
            <w:tcW w:w="4717" w:type="dxa"/>
          </w:tcPr>
          <w:p>
            <w:pPr>
              <w:pStyle w:val="TableParagraph"/>
              <w:spacing w:before="3"/>
              <w:ind w:left="239" w:right="228"/>
              <w:jc w:val="center"/>
              <w:rPr>
                <w:sz w:val="21"/>
              </w:rPr>
            </w:pPr>
            <w:r>
              <w:rPr>
                <w:rFonts w:ascii="Times New Roman" w:eastAsia="Times New Roman"/>
                <w:sz w:val="21"/>
              </w:rPr>
              <w:t>5</w:t>
            </w:r>
            <w:r>
              <w:rPr>
                <w:rFonts w:ascii="Times New Roman" w:eastAsia="Times New Roman"/>
                <w:spacing w:val="-10"/>
                <w:sz w:val="21"/>
              </w:rPr>
              <w:t> </w:t>
            </w:r>
            <w:r>
              <w:rPr>
                <w:sz w:val="21"/>
              </w:rPr>
              <w:t>年</w:t>
            </w:r>
          </w:p>
        </w:tc>
      </w:tr>
    </w:tbl>
    <w:p>
      <w:pPr>
        <w:pStyle w:val="BodyText"/>
        <w:spacing w:before="2"/>
        <w:ind w:left="0"/>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1"/>
        <w:gridCol w:w="2943"/>
        <w:gridCol w:w="2941"/>
      </w:tblGrid>
      <w:tr>
        <w:trPr>
          <w:trHeight w:val="273" w:hRule="atLeast"/>
        </w:trPr>
        <w:tc>
          <w:tcPr>
            <w:tcW w:w="2941" w:type="dxa"/>
          </w:tcPr>
          <w:p>
            <w:pPr>
              <w:pStyle w:val="TableParagraph"/>
              <w:spacing w:line="252" w:lineRule="exact" w:before="1"/>
              <w:ind w:left="107"/>
              <w:rPr>
                <w:sz w:val="21"/>
              </w:rPr>
            </w:pPr>
            <w:r>
              <w:rPr>
                <w:w w:val="100"/>
                <w:sz w:val="21"/>
              </w:rPr>
              <w:t> </w:t>
            </w:r>
          </w:p>
        </w:tc>
        <w:tc>
          <w:tcPr>
            <w:tcW w:w="2943" w:type="dxa"/>
          </w:tcPr>
          <w:p>
            <w:pPr>
              <w:pStyle w:val="TableParagraph"/>
              <w:spacing w:line="252" w:lineRule="exact" w:before="1"/>
              <w:ind w:left="1292" w:right="1181"/>
              <w:jc w:val="center"/>
              <w:rPr>
                <w:sz w:val="21"/>
              </w:rPr>
            </w:pPr>
            <w:r>
              <w:rPr>
                <w:sz w:val="21"/>
              </w:rPr>
              <w:t>名称 </w:t>
            </w:r>
          </w:p>
        </w:tc>
        <w:tc>
          <w:tcPr>
            <w:tcW w:w="2941" w:type="dxa"/>
          </w:tcPr>
          <w:p>
            <w:pPr>
              <w:pStyle w:val="TableParagraph"/>
              <w:spacing w:line="252" w:lineRule="exact" w:before="1"/>
              <w:ind w:left="1290" w:right="1181"/>
              <w:jc w:val="center"/>
              <w:rPr>
                <w:sz w:val="21"/>
              </w:rPr>
            </w:pPr>
            <w:r>
              <w:rPr>
                <w:sz w:val="21"/>
              </w:rPr>
              <w:t>报酬 </w:t>
            </w:r>
          </w:p>
        </w:tc>
      </w:tr>
      <w:tr>
        <w:trPr>
          <w:trHeight w:val="273" w:hRule="atLeast"/>
        </w:trPr>
        <w:tc>
          <w:tcPr>
            <w:tcW w:w="2941" w:type="dxa"/>
          </w:tcPr>
          <w:p>
            <w:pPr>
              <w:pStyle w:val="TableParagraph"/>
              <w:spacing w:line="252" w:lineRule="exact" w:before="1"/>
              <w:ind w:left="107"/>
              <w:rPr>
                <w:sz w:val="21"/>
              </w:rPr>
            </w:pPr>
            <w:r>
              <w:rPr>
                <w:sz w:val="21"/>
              </w:rPr>
              <w:t>保荐人 </w:t>
            </w:r>
          </w:p>
        </w:tc>
        <w:tc>
          <w:tcPr>
            <w:tcW w:w="2943" w:type="dxa"/>
          </w:tcPr>
          <w:p>
            <w:pPr>
              <w:pStyle w:val="TableParagraph"/>
              <w:spacing w:line="252" w:lineRule="exact" w:before="1"/>
              <w:ind w:left="107"/>
              <w:rPr>
                <w:sz w:val="21"/>
              </w:rPr>
            </w:pPr>
            <w:r>
              <w:rPr>
                <w:spacing w:val="-1"/>
                <w:sz w:val="21"/>
              </w:rPr>
              <w:t>中国国际金融股份有限公司 </w:t>
            </w:r>
          </w:p>
        </w:tc>
        <w:tc>
          <w:tcPr>
            <w:tcW w:w="2941" w:type="dxa"/>
          </w:tcPr>
          <w:p>
            <w:pPr>
              <w:pStyle w:val="TableParagraph"/>
              <w:spacing w:line="252" w:lineRule="exact" w:before="1"/>
              <w:ind w:right="-15"/>
              <w:jc w:val="right"/>
              <w:rPr>
                <w:sz w:val="21"/>
              </w:rPr>
            </w:pPr>
            <w:r>
              <w:rPr>
                <w:sz w:val="21"/>
              </w:rPr>
              <w:t>0 </w:t>
            </w:r>
          </w:p>
        </w:tc>
      </w:tr>
    </w:tbl>
    <w:p>
      <w:pPr>
        <w:pStyle w:val="BodyText"/>
        <w:spacing w:before="1"/>
        <w:ind w:left="118"/>
      </w:pPr>
      <w:r>
        <w:rPr>
          <w:w w:val="100"/>
        </w:rPr>
        <w:t> </w:t>
      </w:r>
    </w:p>
    <w:p>
      <w:pPr>
        <w:pStyle w:val="BodyText"/>
        <w:spacing w:before="2"/>
        <w:ind w:left="118"/>
      </w:pPr>
      <w:r>
        <w:rPr>
          <w:spacing w:val="-1"/>
        </w:rPr>
        <w:t>聘任、解聘会计师事务所的情况说明</w:t>
      </w:r>
      <w:r>
        <w:rPr/>
        <w:t> </w:t>
      </w:r>
    </w:p>
    <w:p>
      <w:pPr>
        <w:spacing w:after="0"/>
        <w:sectPr>
          <w:headerReference w:type="default" r:id="rId49"/>
          <w:footerReference w:type="default" r:id="rId50"/>
          <w:pgSz w:w="11910" w:h="16840"/>
          <w:pgMar w:header="880" w:footer="1195" w:top="1440" w:bottom="1380" w:left="1680" w:right="1060"/>
        </w:sectPr>
      </w:pPr>
    </w:p>
    <w:p>
      <w:pPr>
        <w:pStyle w:val="BodyText"/>
        <w:spacing w:before="68"/>
        <w:ind w:left="118"/>
      </w:pPr>
      <w:r>
        <w:rPr>
          <w:spacing w:val="-1"/>
        </w:rPr>
        <w:t>√适用 □不适用</w:t>
      </w:r>
      <w:r>
        <w:rPr>
          <w:spacing w:val="-3"/>
        </w:rPr>
        <w:t> </w:t>
      </w:r>
      <w:r>
        <w:rPr/>
        <w:t> </w:t>
      </w:r>
    </w:p>
    <w:p>
      <w:pPr>
        <w:pStyle w:val="BodyText"/>
        <w:spacing w:before="5"/>
        <w:ind w:left="538"/>
      </w:pPr>
      <w:r>
        <w:rPr>
          <w:rFonts w:ascii="Times New Roman" w:eastAsia="Times New Roman"/>
          <w:spacing w:val="-1"/>
        </w:rPr>
        <w:t>2022</w:t>
      </w:r>
      <w:r>
        <w:rPr>
          <w:rFonts w:ascii="Times New Roman" w:eastAsia="Times New Roman"/>
          <w:spacing w:val="-12"/>
        </w:rPr>
        <w:t> </w:t>
      </w:r>
      <w:r>
        <w:rPr>
          <w:spacing w:val="-27"/>
        </w:rPr>
        <w:t>年 </w:t>
      </w:r>
      <w:r>
        <w:rPr>
          <w:rFonts w:ascii="Times New Roman" w:eastAsia="Times New Roman"/>
        </w:rPr>
        <w:t>6</w:t>
      </w:r>
      <w:r>
        <w:rPr>
          <w:rFonts w:ascii="Times New Roman" w:eastAsia="Times New Roman"/>
          <w:spacing w:val="-12"/>
        </w:rPr>
        <w:t> </w:t>
      </w:r>
      <w:r>
        <w:rPr>
          <w:spacing w:val="-27"/>
        </w:rPr>
        <w:t>月 </w:t>
      </w:r>
      <w:r>
        <w:rPr>
          <w:rFonts w:ascii="Times New Roman" w:eastAsia="Times New Roman"/>
        </w:rPr>
        <w:t>23</w:t>
      </w:r>
      <w:r>
        <w:rPr>
          <w:rFonts w:ascii="Times New Roman" w:eastAsia="Times New Roman"/>
          <w:spacing w:val="-10"/>
        </w:rPr>
        <w:t> </w:t>
      </w:r>
      <w:r>
        <w:rPr>
          <w:spacing w:val="-8"/>
        </w:rPr>
        <w:t>日，公司召开 </w:t>
      </w:r>
      <w:r>
        <w:rPr>
          <w:rFonts w:ascii="Times New Roman" w:eastAsia="Times New Roman"/>
        </w:rPr>
        <w:t>2021</w:t>
      </w:r>
      <w:r>
        <w:rPr>
          <w:rFonts w:ascii="Times New Roman" w:eastAsia="Times New Roman"/>
          <w:spacing w:val="-10"/>
        </w:rPr>
        <w:t> </w:t>
      </w:r>
      <w:r>
        <w:rPr/>
        <w:t>年年度股东大会，审议并通过了《关于续聘富士康工业互</w:t>
      </w:r>
    </w:p>
    <w:p>
      <w:pPr>
        <w:pStyle w:val="BodyText"/>
        <w:spacing w:before="139"/>
        <w:ind w:left="118"/>
      </w:pPr>
      <w:r>
        <w:rPr>
          <w:spacing w:val="2"/>
        </w:rPr>
        <w:t>联网股份有限公司 </w:t>
      </w:r>
      <w:r>
        <w:rPr>
          <w:rFonts w:ascii="Times New Roman" w:eastAsia="Times New Roman"/>
        </w:rPr>
        <w:t>2022</w:t>
      </w:r>
      <w:r>
        <w:rPr>
          <w:rFonts w:ascii="Times New Roman" w:eastAsia="Times New Roman"/>
          <w:spacing w:val="46"/>
        </w:rPr>
        <w:t> </w:t>
      </w:r>
      <w:r>
        <w:rPr/>
        <w:t>年度会计师事务所的议案》，同意续聘普华永道中天会计师事务所（特</w:t>
      </w:r>
    </w:p>
    <w:p>
      <w:pPr>
        <w:pStyle w:val="BodyText"/>
        <w:spacing w:before="139"/>
        <w:ind w:left="118"/>
      </w:pPr>
      <w:r>
        <w:rPr>
          <w:spacing w:val="-1"/>
        </w:rPr>
        <w:t>殊普通合伙</w:t>
      </w:r>
      <w:r>
        <w:rPr/>
        <w:t>）</w:t>
      </w:r>
      <w:r>
        <w:rPr>
          <w:spacing w:val="-14"/>
        </w:rPr>
        <w:t>为公司 </w:t>
      </w:r>
      <w:r>
        <w:rPr>
          <w:rFonts w:ascii="Times New Roman" w:eastAsia="Times New Roman"/>
        </w:rPr>
        <w:t>2022</w:t>
      </w:r>
      <w:r>
        <w:rPr>
          <w:rFonts w:ascii="Times New Roman" w:eastAsia="Times New Roman"/>
          <w:spacing w:val="-12"/>
        </w:rPr>
        <w:t> </w:t>
      </w:r>
      <w:r>
        <w:rPr/>
        <w:t>年度财务审计机构和内部控制审计机构。 </w:t>
      </w:r>
    </w:p>
    <w:p>
      <w:pPr>
        <w:pStyle w:val="BodyText"/>
        <w:spacing w:before="141"/>
        <w:ind w:left="118"/>
      </w:pPr>
      <w:r>
        <w:rPr>
          <w:w w:val="100"/>
        </w:rPr>
        <w:t> </w:t>
      </w:r>
    </w:p>
    <w:p>
      <w:pPr>
        <w:pStyle w:val="BodyText"/>
        <w:spacing w:before="2"/>
        <w:ind w:left="118"/>
      </w:pPr>
      <w:r>
        <w:rPr>
          <w:spacing w:val="-1"/>
        </w:rPr>
        <w:t>审计期间改聘会计师事务所的情况说明</w:t>
      </w:r>
      <w:r>
        <w:rPr/>
        <w:t> </w:t>
      </w:r>
    </w:p>
    <w:p>
      <w:pPr>
        <w:pStyle w:val="BodyText"/>
        <w:spacing w:before="2"/>
        <w:ind w:left="118"/>
      </w:pPr>
      <w:r>
        <w:rPr>
          <w:spacing w:val="11"/>
        </w:rPr>
        <w:t>□适用 √不适用</w:t>
      </w:r>
      <w:r>
        <w:rPr>
          <w:spacing w:val="-3"/>
        </w:rPr>
        <w:t> </w:t>
      </w:r>
      <w:r>
        <w:rPr/>
        <w:t> </w:t>
      </w:r>
    </w:p>
    <w:p>
      <w:pPr>
        <w:pStyle w:val="BodyText"/>
        <w:spacing w:before="65"/>
        <w:ind w:left="118"/>
      </w:pPr>
      <w:r>
        <w:rPr/>
        <w:t>七、面临退市风险的情况 </w:t>
      </w:r>
    </w:p>
    <w:p>
      <w:pPr>
        <w:pStyle w:val="BodyText"/>
        <w:spacing w:before="62"/>
        <w:ind w:left="118"/>
      </w:pPr>
      <w:r>
        <w:rPr/>
        <w:t>(一)导致退市风险警示的原因</w:t>
      </w:r>
    </w:p>
    <w:p>
      <w:pPr>
        <w:pStyle w:val="BodyText"/>
        <w:spacing w:before="65"/>
        <w:ind w:left="118"/>
      </w:pPr>
      <w:r>
        <w:rPr>
          <w:spacing w:val="11"/>
        </w:rPr>
        <w:t>□适用 √不适用</w:t>
      </w:r>
      <w:r>
        <w:rPr>
          <w:spacing w:val="-3"/>
        </w:rPr>
        <w:t> </w:t>
      </w:r>
      <w:r>
        <w:rPr/>
        <w:t> </w:t>
      </w:r>
    </w:p>
    <w:p>
      <w:pPr>
        <w:pStyle w:val="BodyText"/>
        <w:spacing w:before="2"/>
        <w:ind w:left="118"/>
      </w:pPr>
      <w:r>
        <w:rPr>
          <w:w w:val="100"/>
        </w:rPr>
        <w:t> </w:t>
      </w:r>
    </w:p>
    <w:p>
      <w:pPr>
        <w:pStyle w:val="BodyText"/>
        <w:spacing w:before="65"/>
        <w:ind w:left="118"/>
      </w:pPr>
      <w:r>
        <w:rPr/>
        <w:t>(二)公司拟采取的应对措施</w:t>
      </w:r>
    </w:p>
    <w:p>
      <w:pPr>
        <w:pStyle w:val="BodyText"/>
        <w:spacing w:before="62"/>
        <w:ind w:left="118"/>
      </w:pPr>
      <w:r>
        <w:rPr>
          <w:spacing w:val="-1"/>
        </w:rPr>
        <w:t>□适用 √不适用</w:t>
      </w:r>
      <w:r>
        <w:rPr>
          <w:spacing w:val="-3"/>
        </w:rPr>
        <w:t> </w:t>
      </w:r>
      <w:r>
        <w:rPr/>
        <w:t> </w:t>
      </w:r>
    </w:p>
    <w:p>
      <w:pPr>
        <w:pStyle w:val="BodyText"/>
        <w:spacing w:before="4"/>
        <w:ind w:left="118"/>
      </w:pPr>
      <w:r>
        <w:rPr>
          <w:w w:val="100"/>
        </w:rPr>
        <w:t> </w:t>
      </w:r>
    </w:p>
    <w:p>
      <w:pPr>
        <w:pStyle w:val="BodyText"/>
        <w:spacing w:before="63"/>
        <w:ind w:left="118"/>
      </w:pPr>
      <w:r>
        <w:rPr/>
        <w:t>(三)面临终止上市的情况和原因 </w:t>
      </w:r>
    </w:p>
    <w:p>
      <w:pPr>
        <w:pStyle w:val="BodyText"/>
        <w:spacing w:before="64"/>
        <w:ind w:left="118"/>
      </w:pPr>
      <w:r>
        <w:rPr>
          <w:spacing w:val="11"/>
        </w:rPr>
        <w:t>□适用 √不适用</w:t>
      </w:r>
      <w:r>
        <w:rPr>
          <w:spacing w:val="-3"/>
        </w:rPr>
        <w:t> </w:t>
      </w:r>
      <w:r>
        <w:rPr/>
        <w:t> </w:t>
      </w:r>
    </w:p>
    <w:p>
      <w:pPr>
        <w:pStyle w:val="BodyText"/>
        <w:spacing w:before="2"/>
        <w:ind w:left="118"/>
      </w:pPr>
      <w:r>
        <w:rPr>
          <w:w w:val="100"/>
        </w:rPr>
        <w:t> </w:t>
      </w:r>
    </w:p>
    <w:p>
      <w:pPr>
        <w:pStyle w:val="BodyText"/>
        <w:spacing w:before="65"/>
        <w:ind w:left="118"/>
      </w:pPr>
      <w:r>
        <w:rPr/>
        <w:t>八、破产重整相关事项</w:t>
      </w:r>
    </w:p>
    <w:p>
      <w:pPr>
        <w:pStyle w:val="BodyText"/>
        <w:spacing w:before="62"/>
        <w:ind w:left="118"/>
      </w:pPr>
      <w:r>
        <w:rPr>
          <w:spacing w:val="-1"/>
        </w:rPr>
        <w:t>□适用 √不适用</w:t>
      </w:r>
      <w:r>
        <w:rPr>
          <w:spacing w:val="-3"/>
        </w:rPr>
        <w:t> </w:t>
      </w:r>
      <w:r>
        <w:rPr/>
        <w:t> </w:t>
      </w:r>
    </w:p>
    <w:p>
      <w:pPr>
        <w:pStyle w:val="BodyText"/>
        <w:spacing w:before="5"/>
        <w:ind w:left="118"/>
      </w:pPr>
      <w:r>
        <w:rPr>
          <w:w w:val="100"/>
        </w:rPr>
        <w:t> </w:t>
      </w:r>
    </w:p>
    <w:p>
      <w:pPr>
        <w:pStyle w:val="BodyText"/>
        <w:spacing w:before="62"/>
        <w:ind w:left="118"/>
      </w:pPr>
      <w:r>
        <w:rPr/>
        <w:t>九、重大诉讼、仲裁事项</w:t>
      </w:r>
    </w:p>
    <w:p>
      <w:pPr>
        <w:pStyle w:val="BodyText"/>
        <w:spacing w:before="64"/>
        <w:ind w:left="118"/>
      </w:pPr>
      <w:r>
        <w:rPr>
          <w:spacing w:val="-1"/>
        </w:rPr>
        <w:t>□本年度公司有重大诉讼、仲裁事项 √本年度公司无重大诉讼、仲裁事项</w:t>
      </w:r>
      <w:r>
        <w:rPr>
          <w:spacing w:val="-3"/>
        </w:rPr>
        <w:t> </w:t>
      </w:r>
      <w:r>
        <w:rPr/>
        <w:t> </w:t>
      </w:r>
    </w:p>
    <w:p>
      <w:pPr>
        <w:pStyle w:val="BodyText"/>
        <w:spacing w:before="2"/>
        <w:ind w:left="118"/>
      </w:pPr>
      <w:r>
        <w:rPr>
          <w:w w:val="100"/>
        </w:rPr>
        <w:t> </w:t>
      </w:r>
    </w:p>
    <w:p>
      <w:pPr>
        <w:pStyle w:val="BodyText"/>
        <w:spacing w:before="5"/>
        <w:ind w:left="118"/>
      </w:pPr>
      <w:r>
        <w:rPr>
          <w:w w:val="100"/>
        </w:rPr>
        <w:t> </w:t>
      </w:r>
    </w:p>
    <w:p>
      <w:pPr>
        <w:pStyle w:val="BodyText"/>
        <w:spacing w:line="244" w:lineRule="auto" w:before="62"/>
        <w:ind w:left="538" w:right="212" w:hanging="420"/>
      </w:pPr>
      <w:r>
        <w:rPr/>
        <w:t>十、上市公司及其董事、监事、高级管理人员、控股股东、实际控制人涉嫌违法违规、受到处</w:t>
      </w:r>
      <w:r>
        <w:rPr>
          <w:spacing w:val="1"/>
        </w:rPr>
        <w:t> </w:t>
      </w:r>
      <w:r>
        <w:rPr/>
        <w:t>罚及整改情况</w:t>
      </w:r>
    </w:p>
    <w:p>
      <w:pPr>
        <w:pStyle w:val="BodyText"/>
        <w:spacing w:before="56"/>
        <w:ind w:left="118"/>
      </w:pPr>
      <w:r>
        <w:rPr>
          <w:spacing w:val="-1"/>
        </w:rPr>
        <w:t>□适用 √不适用</w:t>
      </w:r>
      <w:r>
        <w:rPr>
          <w:spacing w:val="-3"/>
        </w:rPr>
        <w:t> </w:t>
      </w:r>
      <w:r>
        <w:rPr/>
        <w:t> </w:t>
      </w:r>
    </w:p>
    <w:p>
      <w:pPr>
        <w:pStyle w:val="BodyText"/>
        <w:spacing w:before="2"/>
        <w:ind w:left="118"/>
      </w:pPr>
      <w:r>
        <w:rPr>
          <w:w w:val="100"/>
        </w:rPr>
        <w:t> </w:t>
      </w:r>
    </w:p>
    <w:p>
      <w:pPr>
        <w:pStyle w:val="BodyText"/>
        <w:spacing w:before="65"/>
        <w:ind w:left="118"/>
      </w:pPr>
      <w:r>
        <w:rPr/>
        <w:t>十一、报告期内公司及其控股股东、实际控制人诚信状况的说明</w:t>
      </w:r>
    </w:p>
    <w:p>
      <w:pPr>
        <w:pStyle w:val="BodyText"/>
        <w:spacing w:before="62"/>
        <w:ind w:left="118"/>
      </w:pPr>
      <w:r>
        <w:rPr>
          <w:spacing w:val="11"/>
        </w:rPr>
        <w:t>□适用 √不适用</w:t>
      </w:r>
      <w:r>
        <w:rPr>
          <w:spacing w:val="-3"/>
        </w:rPr>
        <w:t> </w:t>
      </w:r>
      <w:r>
        <w:rPr/>
        <w:t> </w:t>
      </w:r>
    </w:p>
    <w:p>
      <w:pPr>
        <w:pStyle w:val="BodyText"/>
        <w:spacing w:before="5"/>
        <w:ind w:left="118"/>
      </w:pPr>
      <w:r>
        <w:rPr>
          <w:w w:val="100"/>
        </w:rPr>
        <w:t> </w:t>
      </w:r>
    </w:p>
    <w:p>
      <w:pPr>
        <w:pStyle w:val="BodyText"/>
        <w:spacing w:before="62"/>
        <w:ind w:left="118"/>
      </w:pPr>
      <w:r>
        <w:rPr/>
        <w:t>十二、重大关联交易</w:t>
      </w:r>
    </w:p>
    <w:p>
      <w:pPr>
        <w:pStyle w:val="BodyText"/>
        <w:spacing w:before="64"/>
        <w:ind w:left="118"/>
      </w:pPr>
      <w:r>
        <w:rPr>
          <w:rFonts w:ascii="Calibri" w:eastAsia="Calibri"/>
          <w:b/>
        </w:rPr>
        <w:t>(</w:t>
      </w:r>
      <w:r>
        <w:rPr/>
        <w:t>一</w:t>
      </w:r>
      <w:r>
        <w:rPr>
          <w:rFonts w:ascii="Calibri" w:eastAsia="Calibri"/>
          <w:b/>
        </w:rPr>
        <w:t>)</w:t>
      </w:r>
      <w:r>
        <w:rPr/>
        <w:t>与日常经营相关的关联交易</w:t>
      </w:r>
    </w:p>
    <w:p>
      <w:pPr>
        <w:pStyle w:val="BodyText"/>
        <w:spacing w:before="62"/>
        <w:ind w:left="118"/>
      </w:pPr>
      <w:r>
        <w:rPr/>
        <w:t>1、 已在临时公告披露且后续实施无进展或变化的事项 </w:t>
      </w:r>
    </w:p>
    <w:p>
      <w:pPr>
        <w:pStyle w:val="BodyText"/>
        <w:spacing w:before="66"/>
        <w:ind w:left="118"/>
      </w:pPr>
      <w:r>
        <w:rPr>
          <w:spacing w:val="-1"/>
        </w:rPr>
        <w:t>√适用 □不适用</w:t>
      </w:r>
      <w:r>
        <w:rPr>
          <w:spacing w:val="-3"/>
        </w:rPr>
        <w:t> </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88"/>
        <w:gridCol w:w="4436"/>
      </w:tblGrid>
      <w:tr>
        <w:trPr>
          <w:trHeight w:val="273" w:hRule="atLeast"/>
        </w:trPr>
        <w:tc>
          <w:tcPr>
            <w:tcW w:w="4388" w:type="dxa"/>
          </w:tcPr>
          <w:p>
            <w:pPr>
              <w:pStyle w:val="TableParagraph"/>
              <w:spacing w:line="252" w:lineRule="exact" w:before="1"/>
              <w:ind w:left="1808" w:right="1694"/>
              <w:jc w:val="center"/>
              <w:rPr>
                <w:sz w:val="21"/>
              </w:rPr>
            </w:pPr>
            <w:r>
              <w:rPr>
                <w:spacing w:val="-1"/>
                <w:sz w:val="21"/>
              </w:rPr>
              <w:t>事项概述</w:t>
            </w:r>
            <w:r>
              <w:rPr>
                <w:sz w:val="21"/>
              </w:rPr>
              <w:t> </w:t>
            </w:r>
          </w:p>
        </w:tc>
        <w:tc>
          <w:tcPr>
            <w:tcW w:w="4436" w:type="dxa"/>
          </w:tcPr>
          <w:p>
            <w:pPr>
              <w:pStyle w:val="TableParagraph"/>
              <w:spacing w:line="252" w:lineRule="exact" w:before="1"/>
              <w:ind w:left="1830" w:right="1720"/>
              <w:jc w:val="center"/>
              <w:rPr>
                <w:sz w:val="21"/>
              </w:rPr>
            </w:pPr>
            <w:r>
              <w:rPr>
                <w:spacing w:val="-1"/>
                <w:sz w:val="21"/>
              </w:rPr>
              <w:t>查询索引</w:t>
            </w:r>
            <w:r>
              <w:rPr>
                <w:sz w:val="21"/>
              </w:rPr>
              <w:t> </w:t>
            </w:r>
          </w:p>
        </w:tc>
      </w:tr>
      <w:tr>
        <w:trPr>
          <w:trHeight w:val="818" w:hRule="atLeast"/>
        </w:trPr>
        <w:tc>
          <w:tcPr>
            <w:tcW w:w="4388" w:type="dxa"/>
          </w:tcPr>
          <w:p>
            <w:pPr>
              <w:pStyle w:val="TableParagraph"/>
              <w:spacing w:before="1"/>
              <w:ind w:left="107"/>
              <w:rPr>
                <w:rFonts w:ascii="Times New Roman" w:eastAsia="Times New Roman"/>
                <w:sz w:val="21"/>
              </w:rPr>
            </w:pPr>
            <w:r>
              <w:rPr>
                <w:spacing w:val="2"/>
                <w:sz w:val="21"/>
              </w:rPr>
              <w:t>《富士康工业互联网股份有限公司关于 </w:t>
            </w:r>
            <w:r>
              <w:rPr>
                <w:rFonts w:ascii="Times New Roman" w:eastAsia="Times New Roman"/>
                <w:sz w:val="21"/>
              </w:rPr>
              <w:t>2022</w:t>
            </w:r>
          </w:p>
          <w:p>
            <w:pPr>
              <w:pStyle w:val="TableParagraph"/>
              <w:spacing w:before="4"/>
              <w:ind w:left="107"/>
              <w:rPr>
                <w:sz w:val="21"/>
              </w:rPr>
            </w:pPr>
            <w:r>
              <w:rPr>
                <w:sz w:val="21"/>
              </w:rPr>
              <w:t>年度日常关联交易预计的公告》</w:t>
            </w:r>
          </w:p>
        </w:tc>
        <w:tc>
          <w:tcPr>
            <w:tcW w:w="4436" w:type="dxa"/>
          </w:tcPr>
          <w:p>
            <w:pPr>
              <w:pStyle w:val="TableParagraph"/>
              <w:spacing w:line="244" w:lineRule="auto" w:before="1"/>
              <w:ind w:left="105" w:right="93"/>
              <w:rPr>
                <w:rFonts w:ascii="Times New Roman" w:eastAsia="Times New Roman"/>
                <w:sz w:val="21"/>
              </w:rPr>
            </w:pPr>
            <w:r>
              <w:rPr>
                <w:sz w:val="21"/>
              </w:rPr>
              <w:t>详见上海证券交易所网站（</w:t>
            </w:r>
            <w:hyperlink r:id="rId15">
              <w:r>
                <w:rPr>
                  <w:rFonts w:ascii="Times New Roman" w:eastAsia="Times New Roman"/>
                  <w:sz w:val="21"/>
                </w:rPr>
                <w:t>www.sse.com.cn</w:t>
              </w:r>
            </w:hyperlink>
            <w:r>
              <w:rPr>
                <w:sz w:val="21"/>
              </w:rPr>
              <w:t>）</w:t>
            </w:r>
            <w:r>
              <w:rPr>
                <w:spacing w:val="-102"/>
                <w:sz w:val="21"/>
              </w:rPr>
              <w:t> </w:t>
            </w:r>
            <w:r>
              <w:rPr>
                <w:sz w:val="21"/>
              </w:rPr>
              <w:t>及指定媒体披露的公告（</w:t>
            </w:r>
            <w:r>
              <w:rPr>
                <w:spacing w:val="6"/>
                <w:sz w:val="21"/>
              </w:rPr>
              <w:t>公告编号：临 </w:t>
            </w:r>
            <w:r>
              <w:rPr>
                <w:rFonts w:ascii="Times New Roman" w:eastAsia="Times New Roman"/>
                <w:sz w:val="21"/>
              </w:rPr>
              <w:t>2022-</w:t>
            </w:r>
          </w:p>
          <w:p>
            <w:pPr>
              <w:pStyle w:val="TableParagraph"/>
              <w:spacing w:line="248" w:lineRule="exact"/>
              <w:ind w:left="105"/>
              <w:rPr>
                <w:sz w:val="21"/>
              </w:rPr>
            </w:pPr>
            <w:r>
              <w:rPr>
                <w:rFonts w:ascii="Times New Roman" w:eastAsia="Times New Roman"/>
                <w:sz w:val="21"/>
              </w:rPr>
              <w:t>020</w:t>
            </w:r>
            <w:r>
              <w:rPr>
                <w:rFonts w:ascii="Times New Roman" w:eastAsia="Times New Roman"/>
                <w:spacing w:val="-11"/>
                <w:sz w:val="21"/>
              </w:rPr>
              <w:t> </w:t>
            </w:r>
            <w:r>
              <w:rPr>
                <w:sz w:val="21"/>
              </w:rPr>
              <w:t>号）</w:t>
            </w:r>
          </w:p>
        </w:tc>
      </w:tr>
    </w:tbl>
    <w:p>
      <w:pPr>
        <w:pStyle w:val="BodyText"/>
        <w:spacing w:before="1"/>
        <w:ind w:left="118"/>
      </w:pPr>
      <w:r>
        <w:rPr>
          <w:w w:val="100"/>
        </w:rPr>
        <w:t> </w:t>
      </w:r>
    </w:p>
    <w:p>
      <w:pPr>
        <w:pStyle w:val="BodyText"/>
        <w:spacing w:before="62"/>
        <w:ind w:left="118"/>
      </w:pPr>
      <w:r>
        <w:rPr/>
        <w:t>2、 已在临时公告披露，但有后续实施的进展或变化的事项 </w:t>
      </w:r>
    </w:p>
    <w:p>
      <w:pPr>
        <w:pStyle w:val="BodyText"/>
        <w:spacing w:before="65"/>
        <w:ind w:left="118"/>
      </w:pPr>
      <w:r>
        <w:rPr>
          <w:spacing w:val="11"/>
        </w:rPr>
        <w:t>□适用 √不适用</w:t>
      </w:r>
      <w:r>
        <w:rPr>
          <w:spacing w:val="-3"/>
        </w:rPr>
        <w:t> </w:t>
      </w:r>
      <w:r>
        <w:rPr/>
        <w:t> </w:t>
      </w:r>
    </w:p>
    <w:p>
      <w:pPr>
        <w:pStyle w:val="BodyText"/>
        <w:spacing w:before="2"/>
        <w:ind w:left="118"/>
      </w:pPr>
      <w:r>
        <w:rPr>
          <w:w w:val="100"/>
        </w:rPr>
        <w:t> </w:t>
      </w:r>
    </w:p>
    <w:p>
      <w:pPr>
        <w:spacing w:after="0"/>
        <w:sectPr>
          <w:pgSz w:w="11910" w:h="16840"/>
          <w:pgMar w:header="880" w:footer="1195" w:top="1440" w:bottom="1380" w:left="1680" w:right="1060"/>
        </w:sectPr>
      </w:pPr>
    </w:p>
    <w:p>
      <w:pPr>
        <w:pStyle w:val="BodyText"/>
        <w:spacing w:before="68"/>
        <w:ind w:left="118"/>
      </w:pPr>
      <w:r>
        <w:rPr/>
        <w:t>3、 临时公告未披露的事项 </w:t>
      </w:r>
    </w:p>
    <w:p>
      <w:pPr>
        <w:pStyle w:val="BodyText"/>
        <w:spacing w:before="65"/>
        <w:ind w:left="118"/>
      </w:pPr>
      <w:r>
        <w:rPr>
          <w:spacing w:val="-1"/>
        </w:rPr>
        <w:t>□适用 √不适用</w:t>
      </w:r>
      <w:r>
        <w:rPr>
          <w:spacing w:val="-3"/>
        </w:rPr>
        <w:t> </w:t>
      </w:r>
      <w:r>
        <w:rPr/>
        <w:t> </w:t>
      </w:r>
    </w:p>
    <w:p>
      <w:pPr>
        <w:pStyle w:val="BodyText"/>
        <w:spacing w:before="62"/>
        <w:ind w:left="118"/>
      </w:pPr>
      <w:r>
        <w:rPr/>
        <w:t>(二)资产或股权收购、出售发生的关联交易 </w:t>
      </w:r>
    </w:p>
    <w:p>
      <w:pPr>
        <w:pStyle w:val="BodyText"/>
        <w:spacing w:before="65"/>
        <w:ind w:left="118"/>
      </w:pPr>
      <w:r>
        <w:rPr/>
        <w:t>1、 已在临时公告披露且后续实施无进展或变化的事项 </w:t>
      </w:r>
    </w:p>
    <w:p>
      <w:pPr>
        <w:pStyle w:val="BodyText"/>
        <w:spacing w:before="62" w:after="3"/>
        <w:ind w:left="118"/>
      </w:pPr>
      <w:r>
        <w:rPr>
          <w:spacing w:val="-1"/>
        </w:rPr>
        <w:t>√适用 □不适用</w:t>
      </w:r>
      <w:r>
        <w:rPr>
          <w:spacing w:val="-3"/>
        </w:rPr>
        <w:t> </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270" w:hRule="atLeast"/>
        </w:trPr>
        <w:tc>
          <w:tcPr>
            <w:tcW w:w="4412" w:type="dxa"/>
          </w:tcPr>
          <w:p>
            <w:pPr>
              <w:pStyle w:val="TableParagraph"/>
              <w:spacing w:line="250" w:lineRule="exact" w:before="1"/>
              <w:ind w:left="1555" w:right="1441"/>
              <w:jc w:val="center"/>
              <w:rPr>
                <w:sz w:val="21"/>
              </w:rPr>
            </w:pPr>
            <w:r>
              <w:rPr>
                <w:spacing w:val="-1"/>
                <w:sz w:val="21"/>
              </w:rPr>
              <w:t>事项概述</w:t>
            </w:r>
            <w:r>
              <w:rPr>
                <w:sz w:val="21"/>
              </w:rPr>
              <w:t> </w:t>
            </w:r>
          </w:p>
        </w:tc>
        <w:tc>
          <w:tcPr>
            <w:tcW w:w="4412" w:type="dxa"/>
          </w:tcPr>
          <w:p>
            <w:pPr>
              <w:pStyle w:val="TableParagraph"/>
              <w:spacing w:line="250" w:lineRule="exact" w:before="1"/>
              <w:ind w:left="1555" w:right="1440"/>
              <w:jc w:val="center"/>
              <w:rPr>
                <w:sz w:val="21"/>
              </w:rPr>
            </w:pPr>
            <w:r>
              <w:rPr>
                <w:spacing w:val="-1"/>
                <w:sz w:val="21"/>
              </w:rPr>
              <w:t>查询索引</w:t>
            </w:r>
            <w:r>
              <w:rPr>
                <w:sz w:val="21"/>
              </w:rPr>
              <w:t> </w:t>
            </w:r>
          </w:p>
        </w:tc>
      </w:tr>
      <w:tr>
        <w:trPr>
          <w:trHeight w:val="818" w:hRule="atLeast"/>
        </w:trPr>
        <w:tc>
          <w:tcPr>
            <w:tcW w:w="4412" w:type="dxa"/>
          </w:tcPr>
          <w:p>
            <w:pPr>
              <w:pStyle w:val="TableParagraph"/>
              <w:spacing w:line="242" w:lineRule="auto" w:before="3"/>
              <w:ind w:left="107" w:right="99"/>
              <w:rPr>
                <w:sz w:val="21"/>
              </w:rPr>
            </w:pPr>
            <w:r>
              <w:rPr>
                <w:sz w:val="21"/>
              </w:rPr>
              <w:t>《富士康工业互联网股份有限公司关于全资子公司受让股权暨关联交易的公告》</w:t>
            </w:r>
          </w:p>
        </w:tc>
        <w:tc>
          <w:tcPr>
            <w:tcW w:w="4412" w:type="dxa"/>
          </w:tcPr>
          <w:p>
            <w:pPr>
              <w:pStyle w:val="TableParagraph"/>
              <w:spacing w:line="242" w:lineRule="auto" w:before="3"/>
              <w:ind w:left="107" w:right="93"/>
              <w:rPr>
                <w:rFonts w:ascii="Times New Roman" w:eastAsia="Times New Roman"/>
                <w:sz w:val="21"/>
              </w:rPr>
            </w:pPr>
            <w:r>
              <w:rPr>
                <w:sz w:val="21"/>
              </w:rPr>
              <w:t>详见上海证券交易所网站（</w:t>
            </w:r>
            <w:hyperlink r:id="rId15">
              <w:r>
                <w:rPr>
                  <w:rFonts w:ascii="Times New Roman" w:eastAsia="Times New Roman"/>
                  <w:sz w:val="21"/>
                </w:rPr>
                <w:t>www.sse.com.cn</w:t>
              </w:r>
            </w:hyperlink>
            <w:r>
              <w:rPr>
                <w:sz w:val="21"/>
              </w:rPr>
              <w:t>）</w:t>
            </w:r>
            <w:r>
              <w:rPr>
                <w:spacing w:val="-102"/>
                <w:sz w:val="21"/>
              </w:rPr>
              <w:t> </w:t>
            </w:r>
            <w:r>
              <w:rPr>
                <w:sz w:val="21"/>
              </w:rPr>
              <w:t>及指定媒体披露的公告（</w:t>
            </w:r>
            <w:r>
              <w:rPr>
                <w:spacing w:val="1"/>
                <w:sz w:val="21"/>
              </w:rPr>
              <w:t>公告编号：临 </w:t>
            </w:r>
            <w:r>
              <w:rPr>
                <w:rFonts w:ascii="Times New Roman" w:eastAsia="Times New Roman"/>
                <w:sz w:val="21"/>
              </w:rPr>
              <w:t>2022-</w:t>
            </w:r>
          </w:p>
          <w:p>
            <w:pPr>
              <w:pStyle w:val="TableParagraph"/>
              <w:spacing w:line="250" w:lineRule="exact" w:before="1"/>
              <w:ind w:left="107"/>
              <w:rPr>
                <w:sz w:val="21"/>
              </w:rPr>
            </w:pPr>
            <w:r>
              <w:rPr>
                <w:rFonts w:ascii="Times New Roman" w:eastAsia="Times New Roman"/>
                <w:sz w:val="21"/>
              </w:rPr>
              <w:t>093</w:t>
            </w:r>
            <w:r>
              <w:rPr>
                <w:rFonts w:ascii="Times New Roman" w:eastAsia="Times New Roman"/>
                <w:spacing w:val="-11"/>
                <w:sz w:val="21"/>
              </w:rPr>
              <w:t> </w:t>
            </w:r>
            <w:r>
              <w:rPr>
                <w:sz w:val="21"/>
              </w:rPr>
              <w:t>号）</w:t>
            </w:r>
          </w:p>
        </w:tc>
      </w:tr>
    </w:tbl>
    <w:p>
      <w:pPr>
        <w:pStyle w:val="BodyText"/>
        <w:spacing w:before="1"/>
        <w:ind w:left="118"/>
      </w:pPr>
      <w:r>
        <w:rPr>
          <w:w w:val="100"/>
        </w:rPr>
        <w:t> </w:t>
      </w:r>
    </w:p>
    <w:p>
      <w:pPr>
        <w:pStyle w:val="BodyText"/>
        <w:spacing w:before="64"/>
        <w:ind w:left="118"/>
      </w:pPr>
      <w:r>
        <w:rPr/>
        <w:t>2、 已在临时公告披露，但有后续实施的进展或变化的事项 </w:t>
      </w:r>
    </w:p>
    <w:p>
      <w:pPr>
        <w:pStyle w:val="BodyText"/>
        <w:spacing w:before="63"/>
        <w:ind w:left="118"/>
      </w:pPr>
      <w:r>
        <w:rPr>
          <w:spacing w:val="11"/>
        </w:rPr>
        <w:t>□适用 √不适用</w:t>
      </w:r>
      <w:r>
        <w:rPr>
          <w:spacing w:val="-3"/>
        </w:rPr>
        <w:t> </w:t>
      </w:r>
      <w:r>
        <w:rPr/>
        <w:t> </w:t>
      </w:r>
    </w:p>
    <w:p>
      <w:pPr>
        <w:pStyle w:val="BodyText"/>
        <w:spacing w:before="5"/>
        <w:ind w:left="118"/>
      </w:pPr>
      <w:r>
        <w:rPr>
          <w:w w:val="100"/>
        </w:rPr>
        <w:t> </w:t>
      </w:r>
    </w:p>
    <w:p>
      <w:pPr>
        <w:pStyle w:val="BodyText"/>
        <w:spacing w:before="62"/>
        <w:ind w:left="118"/>
      </w:pPr>
      <w:r>
        <w:rPr/>
        <w:t>3、 临时公告未披露的事项 </w:t>
      </w:r>
    </w:p>
    <w:p>
      <w:pPr>
        <w:pStyle w:val="BodyText"/>
        <w:spacing w:before="64"/>
        <w:ind w:left="118"/>
      </w:pPr>
      <w:r>
        <w:rPr>
          <w:spacing w:val="-1"/>
        </w:rPr>
        <w:t>□适用 √不适用</w:t>
      </w:r>
      <w:r>
        <w:rPr>
          <w:spacing w:val="-3"/>
        </w:rPr>
        <w:t> </w:t>
      </w:r>
      <w:r>
        <w:rPr/>
        <w:t> </w:t>
      </w:r>
    </w:p>
    <w:p>
      <w:pPr>
        <w:pStyle w:val="BodyText"/>
        <w:spacing w:before="3"/>
        <w:ind w:left="118"/>
      </w:pPr>
      <w:r>
        <w:rPr>
          <w:w w:val="100"/>
        </w:rPr>
        <w:t> </w:t>
      </w:r>
    </w:p>
    <w:p>
      <w:pPr>
        <w:pStyle w:val="BodyText"/>
        <w:spacing w:before="4"/>
        <w:ind w:left="118"/>
      </w:pPr>
      <w:r>
        <w:rPr>
          <w:w w:val="100"/>
        </w:rPr>
        <w:t> </w:t>
      </w:r>
    </w:p>
    <w:p>
      <w:pPr>
        <w:pStyle w:val="BodyText"/>
        <w:spacing w:before="62"/>
        <w:ind w:left="118"/>
      </w:pPr>
      <w:r>
        <w:rPr/>
        <w:t>4、 涉及业绩约定的，应当披露报告期内的业绩实现情况 </w:t>
      </w:r>
    </w:p>
    <w:p>
      <w:pPr>
        <w:pStyle w:val="BodyText"/>
        <w:spacing w:before="62"/>
        <w:ind w:left="118"/>
      </w:pPr>
      <w:r>
        <w:rPr>
          <w:spacing w:val="11"/>
        </w:rPr>
        <w:t>□适用 √不适用</w:t>
      </w:r>
      <w:r>
        <w:rPr>
          <w:spacing w:val="-3"/>
        </w:rPr>
        <w:t> </w:t>
      </w:r>
      <w:r>
        <w:rPr/>
        <w:t> </w:t>
      </w:r>
    </w:p>
    <w:p>
      <w:pPr>
        <w:pStyle w:val="BodyText"/>
        <w:spacing w:before="5"/>
        <w:ind w:left="118"/>
      </w:pPr>
      <w:r>
        <w:rPr>
          <w:w w:val="100"/>
        </w:rPr>
        <w:t> </w:t>
      </w:r>
    </w:p>
    <w:p>
      <w:pPr>
        <w:pStyle w:val="BodyText"/>
        <w:spacing w:before="62"/>
        <w:ind w:left="118"/>
      </w:pPr>
      <w:r>
        <w:rPr>
          <w:rFonts w:ascii="Calibri" w:eastAsia="Calibri"/>
          <w:b/>
        </w:rPr>
        <w:t>(</w:t>
      </w:r>
      <w:r>
        <w:rPr/>
        <w:t>三</w:t>
      </w:r>
      <w:r>
        <w:rPr>
          <w:rFonts w:ascii="Calibri" w:eastAsia="Calibri"/>
          <w:b/>
        </w:rPr>
        <w:t>)</w:t>
      </w:r>
      <w:r>
        <w:rPr/>
        <w:t>共同对外投资的重大关联交易</w:t>
      </w:r>
    </w:p>
    <w:p>
      <w:pPr>
        <w:pStyle w:val="BodyText"/>
        <w:spacing w:before="65"/>
        <w:ind w:left="118"/>
      </w:pPr>
      <w:r>
        <w:rPr/>
        <w:t>1、 已在临时公告披露且后续实施无进展或变化的事项 </w:t>
      </w:r>
    </w:p>
    <w:p>
      <w:pPr>
        <w:pStyle w:val="BodyText"/>
        <w:spacing w:before="62"/>
        <w:ind w:left="118"/>
      </w:pPr>
      <w:r>
        <w:rPr>
          <w:spacing w:val="-1"/>
        </w:rPr>
        <w:t>□适用 √不适用</w:t>
      </w:r>
      <w:r>
        <w:rPr>
          <w:spacing w:val="-3"/>
        </w:rPr>
        <w:t> </w:t>
      </w:r>
      <w:r>
        <w:rPr/>
        <w:t> </w:t>
      </w:r>
    </w:p>
    <w:p>
      <w:pPr>
        <w:pStyle w:val="BodyText"/>
        <w:spacing w:before="64"/>
        <w:ind w:left="118"/>
      </w:pPr>
      <w:r>
        <w:rPr/>
        <w:t>2、 已在临时公告披露，但有后续实施的进展或变化的事项 </w:t>
      </w:r>
    </w:p>
    <w:p>
      <w:pPr>
        <w:pStyle w:val="BodyText"/>
        <w:spacing w:before="63"/>
        <w:ind w:left="118"/>
      </w:pPr>
      <w:r>
        <w:rPr>
          <w:spacing w:val="11"/>
        </w:rPr>
        <w:t>□适用 √不适用</w:t>
      </w:r>
      <w:r>
        <w:rPr>
          <w:spacing w:val="-3"/>
        </w:rPr>
        <w:t> </w:t>
      </w:r>
      <w:r>
        <w:rPr/>
        <w:t> </w:t>
      </w:r>
    </w:p>
    <w:p>
      <w:pPr>
        <w:pStyle w:val="BodyText"/>
        <w:spacing w:before="4"/>
        <w:ind w:left="118"/>
      </w:pPr>
      <w:r>
        <w:rPr>
          <w:w w:val="100"/>
        </w:rPr>
        <w:t> </w:t>
      </w:r>
    </w:p>
    <w:p>
      <w:pPr>
        <w:pStyle w:val="BodyText"/>
        <w:spacing w:before="62"/>
        <w:ind w:left="118"/>
      </w:pPr>
      <w:r>
        <w:rPr/>
        <w:t>3、 临时公告未披露的事项 </w:t>
      </w:r>
    </w:p>
    <w:p>
      <w:pPr>
        <w:pStyle w:val="BodyText"/>
        <w:spacing w:before="65"/>
        <w:ind w:left="118"/>
      </w:pPr>
      <w:r>
        <w:rPr>
          <w:spacing w:val="-1"/>
        </w:rPr>
        <w:t>□适用 √不适用</w:t>
      </w:r>
      <w:r>
        <w:rPr>
          <w:spacing w:val="-3"/>
        </w:rPr>
        <w:t> </w:t>
      </w:r>
      <w:r>
        <w:rPr/>
        <w:t> </w:t>
      </w:r>
    </w:p>
    <w:p>
      <w:pPr>
        <w:pStyle w:val="BodyText"/>
        <w:spacing w:before="2"/>
        <w:ind w:left="118"/>
      </w:pPr>
      <w:r>
        <w:rPr>
          <w:w w:val="100"/>
        </w:rPr>
        <w:t> </w:t>
      </w:r>
    </w:p>
    <w:p>
      <w:pPr>
        <w:pStyle w:val="BodyText"/>
        <w:spacing w:before="5"/>
        <w:ind w:left="118"/>
      </w:pPr>
      <w:r>
        <w:rPr>
          <w:w w:val="100"/>
        </w:rPr>
        <w:t> </w:t>
      </w:r>
    </w:p>
    <w:p>
      <w:pPr>
        <w:pStyle w:val="BodyText"/>
        <w:spacing w:before="62"/>
        <w:ind w:left="118"/>
      </w:pPr>
      <w:r>
        <w:rPr>
          <w:rFonts w:ascii="Calibri" w:eastAsia="Calibri"/>
          <w:b/>
        </w:rPr>
        <w:t>(</w:t>
      </w:r>
      <w:r>
        <w:rPr/>
        <w:t>四</w:t>
      </w:r>
      <w:r>
        <w:rPr>
          <w:rFonts w:ascii="Calibri" w:eastAsia="Calibri"/>
          <w:b/>
        </w:rPr>
        <w:t>)</w:t>
      </w:r>
      <w:r>
        <w:rPr/>
        <w:t>关联债权债务往来</w:t>
      </w:r>
    </w:p>
    <w:p>
      <w:pPr>
        <w:pStyle w:val="BodyText"/>
        <w:spacing w:before="64"/>
        <w:ind w:left="118"/>
      </w:pPr>
      <w:r>
        <w:rPr/>
        <w:t>1、 已在临时公告披露且后续实施无进展或变化的事项 </w:t>
      </w:r>
    </w:p>
    <w:p>
      <w:pPr>
        <w:pStyle w:val="BodyText"/>
        <w:spacing w:before="62"/>
        <w:ind w:left="118"/>
      </w:pPr>
      <w:r>
        <w:rPr>
          <w:spacing w:val="-1"/>
        </w:rPr>
        <w:t>□适用 √不适用</w:t>
      </w:r>
      <w:r>
        <w:rPr>
          <w:spacing w:val="-3"/>
        </w:rPr>
        <w:t> </w:t>
      </w:r>
      <w:r>
        <w:rPr/>
        <w:t> </w:t>
      </w:r>
    </w:p>
    <w:p>
      <w:pPr>
        <w:pStyle w:val="BodyText"/>
        <w:spacing w:before="65"/>
        <w:ind w:left="118"/>
      </w:pPr>
      <w:r>
        <w:rPr/>
        <w:t>2、 已在临时公告披露，但有后续实施的进展或变化的事项 </w:t>
      </w:r>
    </w:p>
    <w:p>
      <w:pPr>
        <w:pStyle w:val="BodyText"/>
        <w:spacing w:before="62"/>
        <w:ind w:left="118"/>
      </w:pPr>
      <w:r>
        <w:rPr>
          <w:spacing w:val="11"/>
        </w:rPr>
        <w:t>□适用 √不适用</w:t>
      </w:r>
      <w:r>
        <w:rPr>
          <w:spacing w:val="-3"/>
        </w:rPr>
        <w:t> </w:t>
      </w:r>
      <w:r>
        <w:rPr/>
        <w:t> </w:t>
      </w:r>
    </w:p>
    <w:p>
      <w:pPr>
        <w:pStyle w:val="BodyText"/>
        <w:spacing w:before="5"/>
        <w:ind w:left="118"/>
      </w:pPr>
      <w:r>
        <w:rPr>
          <w:w w:val="100"/>
        </w:rPr>
        <w:t> </w:t>
      </w:r>
    </w:p>
    <w:p>
      <w:pPr>
        <w:pStyle w:val="BodyText"/>
        <w:spacing w:before="62"/>
        <w:ind w:left="118"/>
      </w:pPr>
      <w:r>
        <w:rPr/>
        <w:t>3、 临时公告未披露的事项 </w:t>
      </w:r>
    </w:p>
    <w:p>
      <w:pPr>
        <w:pStyle w:val="BodyText"/>
        <w:spacing w:before="65"/>
        <w:ind w:left="118"/>
      </w:pPr>
      <w:r>
        <w:rPr>
          <w:spacing w:val="-1"/>
        </w:rPr>
        <w:t>□适用 √不适用</w:t>
      </w:r>
      <w:r>
        <w:rPr>
          <w:spacing w:val="-3"/>
        </w:rPr>
        <w:t> </w:t>
      </w:r>
      <w:r>
        <w:rPr/>
        <w:t> </w:t>
      </w:r>
    </w:p>
    <w:p>
      <w:pPr>
        <w:pStyle w:val="BodyText"/>
        <w:spacing w:before="62"/>
        <w:ind w:left="118"/>
      </w:pPr>
      <w:r>
        <w:rPr/>
        <w:t>(五)公司与存在关联关系的财务公司、公司控股财务公司与关联方之间的金融业务 </w:t>
      </w:r>
    </w:p>
    <w:p>
      <w:pPr>
        <w:pStyle w:val="BodyText"/>
        <w:spacing w:before="65"/>
        <w:ind w:left="118"/>
      </w:pPr>
      <w:r>
        <w:rPr>
          <w:spacing w:val="-1"/>
        </w:rPr>
        <w:t>□适用 √不适用</w:t>
      </w:r>
      <w:r>
        <w:rPr>
          <w:spacing w:val="-3"/>
        </w:rPr>
        <w:t> </w:t>
      </w:r>
      <w:r>
        <w:rPr/>
        <w:t> </w:t>
      </w:r>
    </w:p>
    <w:p>
      <w:pPr>
        <w:pStyle w:val="BodyText"/>
        <w:spacing w:before="2"/>
        <w:ind w:left="118"/>
      </w:pPr>
      <w:r>
        <w:rPr>
          <w:w w:val="100"/>
        </w:rPr>
        <w:t> </w:t>
      </w:r>
    </w:p>
    <w:p>
      <w:pPr>
        <w:spacing w:before="62"/>
        <w:ind w:left="118" w:right="0" w:firstLine="0"/>
        <w:jc w:val="left"/>
        <w:rPr>
          <w:sz w:val="21"/>
        </w:rPr>
      </w:pPr>
      <w:r>
        <w:rPr>
          <w:rFonts w:ascii="Calibri" w:eastAsia="Calibri"/>
          <w:b/>
          <w:sz w:val="21"/>
        </w:rPr>
        <w:t>(</w:t>
      </w:r>
      <w:r>
        <w:rPr>
          <w:sz w:val="21"/>
        </w:rPr>
        <w:t>六</w:t>
      </w:r>
      <w:r>
        <w:rPr>
          <w:rFonts w:ascii="Calibri" w:eastAsia="Calibri"/>
          <w:b/>
          <w:sz w:val="21"/>
        </w:rPr>
        <w:t>)</w:t>
      </w:r>
      <w:r>
        <w:rPr>
          <w:sz w:val="21"/>
        </w:rPr>
        <w:t>其他</w:t>
      </w:r>
    </w:p>
    <w:p>
      <w:pPr>
        <w:pStyle w:val="BodyText"/>
        <w:spacing w:before="64"/>
        <w:ind w:left="118"/>
      </w:pPr>
      <w:r>
        <w:rPr>
          <w:spacing w:val="11"/>
        </w:rPr>
        <w:t>□适用 √不适用</w:t>
      </w:r>
      <w:r>
        <w:rPr>
          <w:spacing w:val="-3"/>
        </w:rPr>
        <w:t> </w:t>
      </w:r>
      <w:r>
        <w:rPr/>
        <w:t> </w:t>
      </w:r>
    </w:p>
    <w:p>
      <w:pPr>
        <w:pStyle w:val="BodyText"/>
        <w:spacing w:before="2"/>
        <w:ind w:left="118"/>
      </w:pPr>
      <w:r>
        <w:rPr>
          <w:w w:val="100"/>
        </w:rPr>
        <w:t> </w:t>
      </w:r>
    </w:p>
    <w:p>
      <w:pPr>
        <w:spacing w:after="0"/>
        <w:sectPr>
          <w:pgSz w:w="11910" w:h="16840"/>
          <w:pgMar w:header="880" w:footer="1195" w:top="1440" w:bottom="1380" w:left="1680" w:right="1060"/>
        </w:sectPr>
      </w:pPr>
    </w:p>
    <w:p>
      <w:pPr>
        <w:pStyle w:val="BodyText"/>
        <w:spacing w:line="297" w:lineRule="auto" w:before="68"/>
        <w:ind w:left="259" w:right="6303" w:hanging="142"/>
      </w:pPr>
      <w:r>
        <w:rPr/>
        <w:t>十三、重大合同及其履行情况</w:t>
      </w:r>
      <w:r>
        <w:rPr>
          <w:spacing w:val="-6"/>
        </w:rPr>
        <w:t>(一) 托管、承包、租赁事项</w:t>
      </w:r>
    </w:p>
    <w:p>
      <w:pPr>
        <w:pStyle w:val="BodyText"/>
        <w:spacing w:line="267" w:lineRule="exact"/>
        <w:ind w:left="118"/>
      </w:pPr>
      <w:r>
        <w:rPr/>
        <w:t>1、 托管情况 </w:t>
      </w:r>
    </w:p>
    <w:p>
      <w:pPr>
        <w:pStyle w:val="BodyText"/>
        <w:spacing w:before="64"/>
        <w:ind w:left="118"/>
      </w:pPr>
      <w:r>
        <w:rPr>
          <w:spacing w:val="-1"/>
        </w:rPr>
        <w:t>□适用 √不适用</w:t>
      </w:r>
      <w:r>
        <w:rPr>
          <w:spacing w:val="-3"/>
        </w:rPr>
        <w:t> </w:t>
      </w:r>
      <w:r>
        <w:rPr/>
        <w:t> </w:t>
      </w:r>
    </w:p>
    <w:p>
      <w:pPr>
        <w:pStyle w:val="BodyText"/>
        <w:spacing w:before="3"/>
        <w:ind w:left="118"/>
      </w:pPr>
      <w:r>
        <w:rPr>
          <w:w w:val="100"/>
        </w:rPr>
        <w:t> </w:t>
      </w:r>
    </w:p>
    <w:p>
      <w:pPr>
        <w:pStyle w:val="BodyText"/>
        <w:spacing w:before="64"/>
        <w:ind w:left="118"/>
      </w:pPr>
      <w:r>
        <w:rPr/>
        <w:t>2、 承包情况 </w:t>
      </w:r>
    </w:p>
    <w:p>
      <w:pPr>
        <w:pStyle w:val="BodyText"/>
        <w:spacing w:before="62"/>
        <w:ind w:left="118"/>
      </w:pPr>
      <w:r>
        <w:rPr>
          <w:spacing w:val="-1"/>
        </w:rPr>
        <w:t>□适用 √不适用</w:t>
      </w:r>
      <w:r>
        <w:rPr>
          <w:spacing w:val="-3"/>
        </w:rPr>
        <w:t> </w:t>
      </w:r>
      <w:r>
        <w:rPr/>
        <w:t> </w:t>
      </w:r>
    </w:p>
    <w:p>
      <w:pPr>
        <w:pStyle w:val="BodyText"/>
        <w:spacing w:before="5"/>
        <w:ind w:left="118"/>
      </w:pPr>
      <w:r>
        <w:rPr>
          <w:w w:val="100"/>
        </w:rPr>
        <w:t> </w:t>
      </w:r>
    </w:p>
    <w:p>
      <w:pPr>
        <w:pStyle w:val="BodyText"/>
        <w:spacing w:before="2"/>
        <w:ind w:left="118"/>
      </w:pPr>
      <w:r>
        <w:rPr>
          <w:w w:val="100"/>
        </w:rPr>
        <w:t> </w:t>
      </w:r>
    </w:p>
    <w:p>
      <w:pPr>
        <w:pStyle w:val="BodyText"/>
        <w:spacing w:before="4"/>
        <w:ind w:left="118"/>
      </w:pPr>
      <w:r>
        <w:rPr>
          <w:w w:val="100"/>
        </w:rPr>
        <w:t> </w:t>
      </w:r>
    </w:p>
    <w:p>
      <w:pPr>
        <w:pStyle w:val="BodyText"/>
        <w:spacing w:before="63"/>
        <w:ind w:left="118"/>
      </w:pPr>
      <w:r>
        <w:rPr/>
        <w:t>3、 租赁情况 </w:t>
      </w:r>
    </w:p>
    <w:p>
      <w:pPr>
        <w:pStyle w:val="BodyText"/>
        <w:spacing w:before="64"/>
        <w:ind w:left="118"/>
      </w:pPr>
      <w:r>
        <w:rPr>
          <w:spacing w:val="-1"/>
        </w:rPr>
        <w:t>□适用 √不适用</w:t>
      </w:r>
      <w:r>
        <w:rPr>
          <w:spacing w:val="-3"/>
        </w:rPr>
        <w:t> </w:t>
      </w:r>
      <w:r>
        <w:rPr/>
        <w:t> </w:t>
      </w:r>
    </w:p>
    <w:p>
      <w:pPr>
        <w:pStyle w:val="BodyText"/>
        <w:spacing w:before="3"/>
        <w:ind w:left="118"/>
      </w:pPr>
      <w:r>
        <w:rPr>
          <w:w w:val="100"/>
        </w:rPr>
        <w:t> </w:t>
      </w:r>
    </w:p>
    <w:p>
      <w:pPr>
        <w:spacing w:after="0"/>
        <w:sectPr>
          <w:pgSz w:w="11910" w:h="16840"/>
          <w:pgMar w:header="880" w:footer="1195" w:top="1440" w:bottom="1380" w:left="1680" w:right="1060"/>
        </w:sectPr>
      </w:pPr>
    </w:p>
    <w:p>
      <w:pPr>
        <w:pStyle w:val="BodyText"/>
        <w:spacing w:before="128"/>
        <w:ind w:left="259"/>
      </w:pPr>
      <w:bookmarkStart w:name="OLE_LINK2" w:id="8"/>
      <w:bookmarkEnd w:id="8"/>
      <w:r>
        <w:rPr/>
      </w:r>
      <w:bookmarkStart w:name="OLE_LINK3" w:id="9"/>
      <w:bookmarkEnd w:id="9"/>
      <w:r>
        <w:rPr/>
      </w:r>
      <w:r>
        <w:rPr>
          <w:spacing w:val="-6"/>
        </w:rPr>
        <w:t>(二) 担保情况</w:t>
      </w:r>
    </w:p>
    <w:p>
      <w:pPr>
        <w:pStyle w:val="BodyText"/>
        <w:spacing w:before="65"/>
        <w:ind w:left="118"/>
      </w:pPr>
      <w:r>
        <w:rPr>
          <w:spacing w:val="-1"/>
        </w:rPr>
        <w:t>√适用 □不适用</w:t>
      </w:r>
      <w:r>
        <w:rPr>
          <w:spacing w:val="-3"/>
        </w:rPr>
        <w:t> </w:t>
      </w:r>
      <w:r>
        <w:rPr/>
        <w:t> </w:t>
      </w:r>
    </w:p>
    <w:p>
      <w:pPr>
        <w:pStyle w:val="BodyText"/>
        <w:spacing w:before="2" w:after="4"/>
        <w:ind w:left="6428"/>
      </w:pPr>
      <w:r>
        <w:rPr>
          <w:spacing w:val="5"/>
        </w:rPr>
        <w:t>单位: 千元 币种: 人民币</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9"/>
        <w:gridCol w:w="583"/>
        <w:gridCol w:w="581"/>
        <w:gridCol w:w="649"/>
        <w:gridCol w:w="584"/>
        <w:gridCol w:w="582"/>
        <w:gridCol w:w="251"/>
        <w:gridCol w:w="333"/>
        <w:gridCol w:w="583"/>
        <w:gridCol w:w="585"/>
        <w:gridCol w:w="583"/>
        <w:gridCol w:w="583"/>
        <w:gridCol w:w="651"/>
        <w:gridCol w:w="583"/>
        <w:gridCol w:w="585"/>
        <w:gridCol w:w="571"/>
      </w:tblGrid>
      <w:tr>
        <w:trPr>
          <w:trHeight w:val="292" w:hRule="atLeast"/>
        </w:trPr>
        <w:tc>
          <w:tcPr>
            <w:tcW w:w="8846" w:type="dxa"/>
            <w:gridSpan w:val="16"/>
          </w:tcPr>
          <w:p>
            <w:pPr>
              <w:pStyle w:val="TableParagraph"/>
              <w:spacing w:line="262" w:lineRule="exact" w:before="10"/>
              <w:ind w:left="2347" w:right="2257"/>
              <w:jc w:val="center"/>
              <w:rPr>
                <w:sz w:val="21"/>
              </w:rPr>
            </w:pPr>
            <w:r>
              <w:rPr>
                <w:spacing w:val="-1"/>
                <w:sz w:val="21"/>
              </w:rPr>
              <w:t>公司对外担保情况</w:t>
            </w:r>
            <w:r>
              <w:rPr>
                <w:sz w:val="21"/>
              </w:rPr>
              <w:t>（不包括对子公司的担保） </w:t>
            </w:r>
          </w:p>
        </w:tc>
      </w:tr>
      <w:tr>
        <w:trPr>
          <w:trHeight w:val="1907" w:hRule="atLeast"/>
        </w:trPr>
        <w:tc>
          <w:tcPr>
            <w:tcW w:w="559" w:type="dxa"/>
          </w:tcPr>
          <w:p>
            <w:pPr>
              <w:pStyle w:val="TableParagraph"/>
              <w:rPr>
                <w:sz w:val="20"/>
              </w:rPr>
            </w:pPr>
          </w:p>
          <w:p>
            <w:pPr>
              <w:pStyle w:val="TableParagraph"/>
              <w:rPr>
                <w:sz w:val="20"/>
              </w:rPr>
            </w:pPr>
          </w:p>
          <w:p>
            <w:pPr>
              <w:pStyle w:val="TableParagraph"/>
              <w:spacing w:line="242" w:lineRule="auto" w:before="170"/>
              <w:ind w:left="172" w:right="57" w:hanging="106"/>
              <w:rPr>
                <w:sz w:val="21"/>
              </w:rPr>
            </w:pPr>
            <w:r>
              <w:rPr>
                <w:spacing w:val="-1"/>
                <w:sz w:val="21"/>
              </w:rPr>
              <w:t>担保</w:t>
            </w:r>
            <w:r>
              <w:rPr>
                <w:sz w:val="21"/>
              </w:rPr>
              <w:t>方 </w:t>
            </w:r>
          </w:p>
        </w:tc>
        <w:tc>
          <w:tcPr>
            <w:tcW w:w="583" w:type="dxa"/>
          </w:tcPr>
          <w:p>
            <w:pPr>
              <w:pStyle w:val="TableParagraph"/>
              <w:spacing w:line="242" w:lineRule="auto" w:before="137"/>
              <w:ind w:left="79" w:right="69"/>
              <w:jc w:val="both"/>
              <w:rPr>
                <w:sz w:val="21"/>
              </w:rPr>
            </w:pPr>
            <w:r>
              <w:rPr>
                <w:spacing w:val="-1"/>
                <w:sz w:val="21"/>
              </w:rPr>
              <w:t>担保方与上市公司的关</w:t>
            </w:r>
            <w:r>
              <w:rPr>
                <w:sz w:val="21"/>
              </w:rPr>
              <w:t>系 </w:t>
            </w:r>
          </w:p>
        </w:tc>
        <w:tc>
          <w:tcPr>
            <w:tcW w:w="581" w:type="dxa"/>
          </w:tcPr>
          <w:p>
            <w:pPr>
              <w:pStyle w:val="TableParagraph"/>
              <w:rPr>
                <w:sz w:val="20"/>
              </w:rPr>
            </w:pPr>
          </w:p>
          <w:p>
            <w:pPr>
              <w:pStyle w:val="TableParagraph"/>
              <w:rPr>
                <w:sz w:val="20"/>
              </w:rPr>
            </w:pPr>
          </w:p>
          <w:p>
            <w:pPr>
              <w:pStyle w:val="TableParagraph"/>
              <w:spacing w:line="242" w:lineRule="auto" w:before="170"/>
              <w:ind w:left="81" w:right="-44"/>
              <w:rPr>
                <w:sz w:val="21"/>
              </w:rPr>
            </w:pPr>
            <w:r>
              <w:rPr>
                <w:sz w:val="21"/>
              </w:rPr>
              <w:t>被担保方 </w:t>
            </w:r>
          </w:p>
        </w:tc>
        <w:tc>
          <w:tcPr>
            <w:tcW w:w="649" w:type="dxa"/>
          </w:tcPr>
          <w:p>
            <w:pPr>
              <w:pStyle w:val="TableParagraph"/>
              <w:rPr>
                <w:sz w:val="20"/>
              </w:rPr>
            </w:pPr>
          </w:p>
          <w:p>
            <w:pPr>
              <w:pStyle w:val="TableParagraph"/>
              <w:rPr>
                <w:sz w:val="20"/>
              </w:rPr>
            </w:pPr>
          </w:p>
          <w:p>
            <w:pPr>
              <w:pStyle w:val="TableParagraph"/>
              <w:spacing w:line="242" w:lineRule="auto" w:before="170"/>
              <w:ind w:left="115" w:right="-15"/>
              <w:rPr>
                <w:sz w:val="21"/>
              </w:rPr>
            </w:pPr>
            <w:r>
              <w:rPr>
                <w:sz w:val="21"/>
              </w:rPr>
              <w:t>担保金额 </w:t>
            </w:r>
          </w:p>
        </w:tc>
        <w:tc>
          <w:tcPr>
            <w:tcW w:w="584" w:type="dxa"/>
          </w:tcPr>
          <w:p>
            <w:pPr>
              <w:pStyle w:val="TableParagraph"/>
              <w:spacing w:line="242" w:lineRule="auto" w:before="1"/>
              <w:ind w:left="81" w:right="68"/>
              <w:jc w:val="both"/>
              <w:rPr>
                <w:sz w:val="21"/>
              </w:rPr>
            </w:pPr>
            <w:r>
              <w:rPr>
                <w:spacing w:val="-1"/>
                <w:sz w:val="21"/>
              </w:rPr>
              <w:t>担保发生日期</w:t>
            </w:r>
            <w:r>
              <w:rPr>
                <w:sz w:val="21"/>
              </w:rPr>
              <w:t>(协</w:t>
            </w:r>
            <w:r>
              <w:rPr>
                <w:spacing w:val="-8"/>
                <w:sz w:val="21"/>
              </w:rPr>
              <w:t>议签</w:t>
            </w:r>
          </w:p>
          <w:p>
            <w:pPr>
              <w:pStyle w:val="TableParagraph"/>
              <w:spacing w:line="270" w:lineRule="atLeast"/>
              <w:ind w:left="133" w:right="18" w:firstLine="52"/>
              <w:rPr>
                <w:sz w:val="21"/>
              </w:rPr>
            </w:pPr>
            <w:r>
              <w:rPr>
                <w:sz w:val="21"/>
              </w:rPr>
              <w:t>署</w:t>
            </w:r>
            <w:r>
              <w:rPr>
                <w:spacing w:val="-1"/>
                <w:sz w:val="21"/>
              </w:rPr>
              <w:t>日)</w:t>
            </w:r>
            <w:r>
              <w:rPr>
                <w:sz w:val="21"/>
              </w:rPr>
              <w:t> </w:t>
            </w:r>
          </w:p>
        </w:tc>
        <w:tc>
          <w:tcPr>
            <w:tcW w:w="582" w:type="dxa"/>
          </w:tcPr>
          <w:p>
            <w:pPr>
              <w:pStyle w:val="TableParagraph"/>
              <w:rPr>
                <w:sz w:val="20"/>
              </w:rPr>
            </w:pPr>
          </w:p>
          <w:p>
            <w:pPr>
              <w:pStyle w:val="TableParagraph"/>
              <w:spacing w:before="7"/>
              <w:rPr>
                <w:sz w:val="22"/>
              </w:rPr>
            </w:pPr>
          </w:p>
          <w:p>
            <w:pPr>
              <w:pStyle w:val="TableParagraph"/>
              <w:spacing w:line="242" w:lineRule="auto"/>
              <w:ind w:left="77" w:right="-44"/>
              <w:jc w:val="center"/>
              <w:rPr>
                <w:sz w:val="21"/>
              </w:rPr>
            </w:pPr>
            <w:r>
              <w:rPr>
                <w:sz w:val="21"/>
              </w:rPr>
              <w:t>担保起始日 </w:t>
            </w:r>
          </w:p>
        </w:tc>
        <w:tc>
          <w:tcPr>
            <w:tcW w:w="584" w:type="dxa"/>
            <w:gridSpan w:val="2"/>
          </w:tcPr>
          <w:p>
            <w:pPr>
              <w:pStyle w:val="TableParagraph"/>
              <w:rPr>
                <w:sz w:val="20"/>
              </w:rPr>
            </w:pPr>
          </w:p>
          <w:p>
            <w:pPr>
              <w:pStyle w:val="TableParagraph"/>
              <w:spacing w:before="7"/>
              <w:rPr>
                <w:sz w:val="22"/>
              </w:rPr>
            </w:pPr>
          </w:p>
          <w:p>
            <w:pPr>
              <w:pStyle w:val="TableParagraph"/>
              <w:spacing w:line="242" w:lineRule="auto"/>
              <w:ind w:left="76" w:right="-29"/>
              <w:jc w:val="center"/>
              <w:rPr>
                <w:sz w:val="21"/>
              </w:rPr>
            </w:pPr>
            <w:r>
              <w:rPr>
                <w:sz w:val="21"/>
              </w:rPr>
              <w:t>担保到期日 </w:t>
            </w:r>
          </w:p>
        </w:tc>
        <w:tc>
          <w:tcPr>
            <w:tcW w:w="583" w:type="dxa"/>
          </w:tcPr>
          <w:p>
            <w:pPr>
              <w:pStyle w:val="TableParagraph"/>
              <w:rPr>
                <w:sz w:val="20"/>
              </w:rPr>
            </w:pPr>
          </w:p>
          <w:p>
            <w:pPr>
              <w:pStyle w:val="TableParagraph"/>
              <w:rPr>
                <w:sz w:val="20"/>
              </w:rPr>
            </w:pPr>
          </w:p>
          <w:p>
            <w:pPr>
              <w:pStyle w:val="TableParagraph"/>
              <w:spacing w:line="242" w:lineRule="auto" w:before="170"/>
              <w:ind w:left="73" w:right="-29"/>
              <w:rPr>
                <w:sz w:val="21"/>
              </w:rPr>
            </w:pPr>
            <w:r>
              <w:rPr>
                <w:sz w:val="21"/>
              </w:rPr>
              <w:t>担保类型 </w:t>
            </w:r>
          </w:p>
        </w:tc>
        <w:tc>
          <w:tcPr>
            <w:tcW w:w="585" w:type="dxa"/>
          </w:tcPr>
          <w:p>
            <w:pPr>
              <w:pStyle w:val="TableParagraph"/>
              <w:rPr>
                <w:sz w:val="20"/>
              </w:rPr>
            </w:pPr>
          </w:p>
          <w:p>
            <w:pPr>
              <w:pStyle w:val="TableParagraph"/>
              <w:spacing w:line="244" w:lineRule="auto" w:before="152"/>
              <w:ind w:left="177" w:right="78" w:hanging="106"/>
              <w:rPr>
                <w:sz w:val="21"/>
              </w:rPr>
            </w:pPr>
            <w:r>
              <w:rPr>
                <w:spacing w:val="-1"/>
                <w:sz w:val="21"/>
              </w:rPr>
              <w:t>担保</w:t>
            </w:r>
            <w:r>
              <w:rPr>
                <w:sz w:val="21"/>
              </w:rPr>
              <w:t>物</w:t>
            </w:r>
          </w:p>
          <w:p>
            <w:pPr>
              <w:pStyle w:val="TableParagraph"/>
              <w:spacing w:line="244" w:lineRule="auto"/>
              <w:ind w:left="71" w:right="-29"/>
              <w:rPr>
                <w:sz w:val="21"/>
              </w:rPr>
            </w:pPr>
            <w:r>
              <w:rPr>
                <w:sz w:val="21"/>
              </w:rPr>
              <w:t>（如</w:t>
            </w:r>
            <w:r>
              <w:rPr>
                <w:spacing w:val="-1"/>
                <w:sz w:val="21"/>
              </w:rPr>
              <w:t>有</w:t>
            </w:r>
            <w:r>
              <w:rPr>
                <w:sz w:val="21"/>
              </w:rPr>
              <w:t>） </w:t>
            </w:r>
          </w:p>
        </w:tc>
        <w:tc>
          <w:tcPr>
            <w:tcW w:w="583" w:type="dxa"/>
          </w:tcPr>
          <w:p>
            <w:pPr>
              <w:pStyle w:val="TableParagraph"/>
              <w:spacing w:before="5"/>
              <w:rPr>
                <w:sz w:val="21"/>
              </w:rPr>
            </w:pPr>
          </w:p>
          <w:p>
            <w:pPr>
              <w:pStyle w:val="TableParagraph"/>
              <w:spacing w:line="242" w:lineRule="auto"/>
              <w:ind w:left="69" w:right="-29"/>
              <w:jc w:val="both"/>
              <w:rPr>
                <w:sz w:val="21"/>
              </w:rPr>
            </w:pPr>
            <w:r>
              <w:rPr>
                <w:sz w:val="21"/>
              </w:rPr>
              <w:t>担保是否已经履行完毕 </w:t>
            </w:r>
          </w:p>
        </w:tc>
        <w:tc>
          <w:tcPr>
            <w:tcW w:w="583" w:type="dxa"/>
          </w:tcPr>
          <w:p>
            <w:pPr>
              <w:pStyle w:val="TableParagraph"/>
              <w:rPr>
                <w:sz w:val="20"/>
              </w:rPr>
            </w:pPr>
          </w:p>
          <w:p>
            <w:pPr>
              <w:pStyle w:val="TableParagraph"/>
              <w:spacing w:before="7"/>
              <w:rPr>
                <w:sz w:val="22"/>
              </w:rPr>
            </w:pPr>
          </w:p>
          <w:p>
            <w:pPr>
              <w:pStyle w:val="TableParagraph"/>
              <w:spacing w:line="242" w:lineRule="auto"/>
              <w:ind w:left="67" w:right="-29"/>
              <w:jc w:val="both"/>
              <w:rPr>
                <w:sz w:val="21"/>
              </w:rPr>
            </w:pPr>
            <w:r>
              <w:rPr>
                <w:sz w:val="21"/>
              </w:rPr>
              <w:t>担保是否逾期 </w:t>
            </w:r>
          </w:p>
        </w:tc>
        <w:tc>
          <w:tcPr>
            <w:tcW w:w="651" w:type="dxa"/>
          </w:tcPr>
          <w:p>
            <w:pPr>
              <w:pStyle w:val="TableParagraph"/>
              <w:rPr>
                <w:sz w:val="20"/>
              </w:rPr>
            </w:pPr>
          </w:p>
          <w:p>
            <w:pPr>
              <w:pStyle w:val="TableParagraph"/>
              <w:spacing w:before="7"/>
              <w:rPr>
                <w:sz w:val="22"/>
              </w:rPr>
            </w:pPr>
          </w:p>
          <w:p>
            <w:pPr>
              <w:pStyle w:val="TableParagraph"/>
              <w:spacing w:line="242" w:lineRule="auto"/>
              <w:ind w:left="101" w:right="11"/>
              <w:jc w:val="both"/>
              <w:rPr>
                <w:sz w:val="21"/>
              </w:rPr>
            </w:pPr>
            <w:r>
              <w:rPr>
                <w:sz w:val="21"/>
              </w:rPr>
              <w:t>担保逾期金额 </w:t>
            </w:r>
          </w:p>
        </w:tc>
        <w:tc>
          <w:tcPr>
            <w:tcW w:w="583" w:type="dxa"/>
          </w:tcPr>
          <w:p>
            <w:pPr>
              <w:pStyle w:val="TableParagraph"/>
              <w:rPr>
                <w:sz w:val="20"/>
              </w:rPr>
            </w:pPr>
          </w:p>
          <w:p>
            <w:pPr>
              <w:pStyle w:val="TableParagraph"/>
              <w:spacing w:before="7"/>
              <w:rPr>
                <w:sz w:val="22"/>
              </w:rPr>
            </w:pPr>
          </w:p>
          <w:p>
            <w:pPr>
              <w:pStyle w:val="TableParagraph"/>
              <w:spacing w:line="242" w:lineRule="auto"/>
              <w:ind w:left="65" w:right="83"/>
              <w:jc w:val="both"/>
              <w:rPr>
                <w:sz w:val="21"/>
              </w:rPr>
            </w:pPr>
            <w:r>
              <w:rPr>
                <w:spacing w:val="-1"/>
                <w:sz w:val="21"/>
              </w:rPr>
              <w:t>反担保情</w:t>
            </w:r>
            <w:r>
              <w:rPr>
                <w:sz w:val="21"/>
              </w:rPr>
              <w:t>况 </w:t>
            </w:r>
          </w:p>
        </w:tc>
        <w:tc>
          <w:tcPr>
            <w:tcW w:w="585" w:type="dxa"/>
          </w:tcPr>
          <w:p>
            <w:pPr>
              <w:pStyle w:val="TableParagraph"/>
              <w:rPr>
                <w:sz w:val="20"/>
              </w:rPr>
            </w:pPr>
          </w:p>
          <w:p>
            <w:pPr>
              <w:pStyle w:val="TableParagraph"/>
              <w:spacing w:line="242" w:lineRule="auto" w:before="152"/>
              <w:ind w:left="63" w:right="-15"/>
              <w:jc w:val="both"/>
              <w:rPr>
                <w:sz w:val="21"/>
              </w:rPr>
            </w:pPr>
            <w:r>
              <w:rPr>
                <w:sz w:val="21"/>
              </w:rPr>
              <w:t>是否为关联方担保 </w:t>
            </w:r>
          </w:p>
        </w:tc>
        <w:tc>
          <w:tcPr>
            <w:tcW w:w="571" w:type="dxa"/>
          </w:tcPr>
          <w:p>
            <w:pPr>
              <w:pStyle w:val="TableParagraph"/>
              <w:rPr>
                <w:sz w:val="20"/>
              </w:rPr>
            </w:pPr>
          </w:p>
          <w:p>
            <w:pPr>
              <w:pStyle w:val="TableParagraph"/>
              <w:rPr>
                <w:sz w:val="20"/>
              </w:rPr>
            </w:pPr>
          </w:p>
          <w:p>
            <w:pPr>
              <w:pStyle w:val="TableParagraph"/>
              <w:spacing w:line="242" w:lineRule="auto" w:before="170"/>
              <w:ind w:left="54" w:right="-29"/>
              <w:rPr>
                <w:sz w:val="21"/>
              </w:rPr>
            </w:pPr>
            <w:r>
              <w:rPr>
                <w:sz w:val="21"/>
              </w:rPr>
              <w:t>关联关系 </w:t>
            </w:r>
          </w:p>
        </w:tc>
      </w:tr>
      <w:tr>
        <w:trPr>
          <w:trHeight w:val="292" w:hRule="atLeast"/>
        </w:trPr>
        <w:tc>
          <w:tcPr>
            <w:tcW w:w="559" w:type="dxa"/>
          </w:tcPr>
          <w:p>
            <w:pPr>
              <w:pStyle w:val="TableParagraph"/>
              <w:spacing w:before="1"/>
              <w:ind w:left="28"/>
              <w:rPr>
                <w:sz w:val="21"/>
              </w:rPr>
            </w:pPr>
            <w:r>
              <w:rPr>
                <w:w w:val="100"/>
                <w:sz w:val="21"/>
              </w:rPr>
              <w:t> </w:t>
            </w:r>
          </w:p>
        </w:tc>
        <w:tc>
          <w:tcPr>
            <w:tcW w:w="583" w:type="dxa"/>
          </w:tcPr>
          <w:p>
            <w:pPr>
              <w:pStyle w:val="TableParagraph"/>
              <w:spacing w:before="1"/>
              <w:ind w:left="28"/>
              <w:rPr>
                <w:sz w:val="21"/>
              </w:rPr>
            </w:pPr>
            <w:r>
              <w:rPr>
                <w:w w:val="100"/>
                <w:sz w:val="21"/>
              </w:rPr>
              <w:t> </w:t>
            </w:r>
            <w:r>
              <w:rPr>
                <w:sz w:val="21"/>
              </w:rPr>
              <w:t> </w:t>
            </w:r>
            <w:r>
              <w:rPr>
                <w:color w:val="FFC000"/>
                <w:w w:val="100"/>
                <w:sz w:val="21"/>
              </w:rPr>
              <w:t> </w:t>
            </w:r>
          </w:p>
        </w:tc>
        <w:tc>
          <w:tcPr>
            <w:tcW w:w="581" w:type="dxa"/>
          </w:tcPr>
          <w:p>
            <w:pPr>
              <w:pStyle w:val="TableParagraph"/>
              <w:spacing w:before="1"/>
              <w:ind w:left="31"/>
              <w:rPr>
                <w:sz w:val="21"/>
              </w:rPr>
            </w:pPr>
            <w:r>
              <w:rPr>
                <w:w w:val="100"/>
                <w:sz w:val="21"/>
              </w:rPr>
              <w:t> </w:t>
            </w:r>
          </w:p>
        </w:tc>
        <w:tc>
          <w:tcPr>
            <w:tcW w:w="649" w:type="dxa"/>
          </w:tcPr>
          <w:p>
            <w:pPr>
              <w:pStyle w:val="TableParagraph"/>
              <w:spacing w:before="1"/>
              <w:ind w:right="-15"/>
              <w:jc w:val="right"/>
              <w:rPr>
                <w:sz w:val="21"/>
              </w:rPr>
            </w:pPr>
            <w:r>
              <w:rPr>
                <w:w w:val="100"/>
                <w:sz w:val="21"/>
              </w:rPr>
              <w:t> </w:t>
            </w:r>
          </w:p>
        </w:tc>
        <w:tc>
          <w:tcPr>
            <w:tcW w:w="584" w:type="dxa"/>
          </w:tcPr>
          <w:p>
            <w:pPr>
              <w:pStyle w:val="TableParagraph"/>
              <w:spacing w:before="1"/>
              <w:ind w:left="30"/>
              <w:rPr>
                <w:sz w:val="21"/>
              </w:rPr>
            </w:pPr>
            <w:r>
              <w:rPr>
                <w:w w:val="100"/>
                <w:sz w:val="21"/>
              </w:rPr>
              <w:t> </w:t>
            </w:r>
          </w:p>
        </w:tc>
        <w:tc>
          <w:tcPr>
            <w:tcW w:w="582" w:type="dxa"/>
          </w:tcPr>
          <w:p>
            <w:pPr>
              <w:pStyle w:val="TableParagraph"/>
              <w:spacing w:before="1"/>
              <w:ind w:left="27"/>
              <w:rPr>
                <w:sz w:val="21"/>
              </w:rPr>
            </w:pPr>
            <w:r>
              <w:rPr>
                <w:w w:val="100"/>
                <w:sz w:val="21"/>
              </w:rPr>
              <w:t> </w:t>
            </w:r>
          </w:p>
        </w:tc>
        <w:tc>
          <w:tcPr>
            <w:tcW w:w="584" w:type="dxa"/>
            <w:gridSpan w:val="2"/>
          </w:tcPr>
          <w:p>
            <w:pPr>
              <w:pStyle w:val="TableParagraph"/>
              <w:spacing w:before="1"/>
              <w:ind w:left="28"/>
              <w:rPr>
                <w:sz w:val="21"/>
              </w:rPr>
            </w:pPr>
            <w:r>
              <w:rPr>
                <w:w w:val="100"/>
                <w:sz w:val="21"/>
              </w:rPr>
              <w:t> </w:t>
            </w:r>
          </w:p>
        </w:tc>
        <w:tc>
          <w:tcPr>
            <w:tcW w:w="583" w:type="dxa"/>
          </w:tcPr>
          <w:p>
            <w:pPr>
              <w:pStyle w:val="TableParagraph"/>
              <w:spacing w:before="1"/>
              <w:ind w:left="23"/>
              <w:rPr>
                <w:sz w:val="21"/>
              </w:rPr>
            </w:pPr>
            <w:r>
              <w:rPr>
                <w:w w:val="100"/>
                <w:sz w:val="21"/>
              </w:rPr>
              <w:t> </w:t>
            </w:r>
            <w:r>
              <w:rPr>
                <w:sz w:val="21"/>
              </w:rPr>
              <w:t> </w:t>
            </w:r>
            <w:r>
              <w:rPr>
                <w:color w:val="FFC000"/>
                <w:w w:val="100"/>
                <w:sz w:val="21"/>
              </w:rPr>
              <w:t> </w:t>
            </w:r>
          </w:p>
        </w:tc>
        <w:tc>
          <w:tcPr>
            <w:tcW w:w="585" w:type="dxa"/>
          </w:tcPr>
          <w:p>
            <w:pPr>
              <w:pStyle w:val="TableParagraph"/>
              <w:spacing w:before="1"/>
              <w:ind w:left="21"/>
              <w:rPr>
                <w:sz w:val="21"/>
              </w:rPr>
            </w:pPr>
            <w:r>
              <w:rPr>
                <w:w w:val="100"/>
                <w:sz w:val="21"/>
              </w:rPr>
              <w:t> </w:t>
            </w:r>
          </w:p>
        </w:tc>
        <w:tc>
          <w:tcPr>
            <w:tcW w:w="583" w:type="dxa"/>
          </w:tcPr>
          <w:p>
            <w:pPr>
              <w:pStyle w:val="TableParagraph"/>
              <w:spacing w:before="1"/>
              <w:ind w:left="19"/>
              <w:rPr>
                <w:sz w:val="21"/>
              </w:rPr>
            </w:pPr>
            <w:r>
              <w:rPr>
                <w:w w:val="100"/>
                <w:sz w:val="21"/>
              </w:rPr>
              <w:t> </w:t>
            </w:r>
            <w:r>
              <w:rPr>
                <w:sz w:val="21"/>
              </w:rPr>
              <w:t> </w:t>
            </w:r>
            <w:r>
              <w:rPr>
                <w:color w:val="FFC000"/>
                <w:w w:val="100"/>
                <w:sz w:val="21"/>
              </w:rPr>
              <w:t> </w:t>
            </w:r>
          </w:p>
        </w:tc>
        <w:tc>
          <w:tcPr>
            <w:tcW w:w="583" w:type="dxa"/>
          </w:tcPr>
          <w:p>
            <w:pPr>
              <w:pStyle w:val="TableParagraph"/>
              <w:spacing w:before="1"/>
              <w:ind w:left="17"/>
              <w:rPr>
                <w:sz w:val="21"/>
              </w:rPr>
            </w:pPr>
            <w:r>
              <w:rPr>
                <w:w w:val="100"/>
                <w:sz w:val="21"/>
              </w:rPr>
              <w:t> </w:t>
            </w:r>
            <w:r>
              <w:rPr>
                <w:sz w:val="21"/>
              </w:rPr>
              <w:t> </w:t>
            </w:r>
            <w:r>
              <w:rPr>
                <w:color w:val="FFC000"/>
                <w:w w:val="100"/>
                <w:sz w:val="21"/>
              </w:rPr>
              <w:t> </w:t>
            </w:r>
          </w:p>
        </w:tc>
        <w:tc>
          <w:tcPr>
            <w:tcW w:w="651" w:type="dxa"/>
          </w:tcPr>
          <w:p>
            <w:pPr>
              <w:pStyle w:val="TableParagraph"/>
              <w:spacing w:before="1"/>
              <w:ind w:right="11"/>
              <w:jc w:val="right"/>
              <w:rPr>
                <w:sz w:val="21"/>
              </w:rPr>
            </w:pPr>
            <w:r>
              <w:rPr>
                <w:w w:val="100"/>
                <w:sz w:val="21"/>
              </w:rPr>
              <w:t> </w:t>
            </w:r>
          </w:p>
        </w:tc>
        <w:tc>
          <w:tcPr>
            <w:tcW w:w="583" w:type="dxa"/>
          </w:tcPr>
          <w:p>
            <w:pPr>
              <w:pStyle w:val="TableParagraph"/>
              <w:spacing w:before="1"/>
              <w:ind w:left="15"/>
              <w:rPr>
                <w:sz w:val="21"/>
              </w:rPr>
            </w:pPr>
            <w:r>
              <w:rPr>
                <w:w w:val="100"/>
                <w:sz w:val="21"/>
              </w:rPr>
              <w:t> </w:t>
            </w:r>
          </w:p>
        </w:tc>
        <w:tc>
          <w:tcPr>
            <w:tcW w:w="585" w:type="dxa"/>
          </w:tcPr>
          <w:p>
            <w:pPr>
              <w:pStyle w:val="TableParagraph"/>
              <w:spacing w:before="1"/>
              <w:ind w:left="12"/>
              <w:rPr>
                <w:sz w:val="21"/>
              </w:rPr>
            </w:pPr>
            <w:r>
              <w:rPr>
                <w:w w:val="100"/>
                <w:sz w:val="21"/>
              </w:rPr>
              <w:t> </w:t>
            </w:r>
            <w:r>
              <w:rPr>
                <w:sz w:val="21"/>
              </w:rPr>
              <w:t> </w:t>
            </w:r>
            <w:r>
              <w:rPr>
                <w:color w:val="FFC000"/>
                <w:w w:val="100"/>
                <w:sz w:val="21"/>
              </w:rPr>
              <w:t> </w:t>
            </w:r>
          </w:p>
        </w:tc>
        <w:tc>
          <w:tcPr>
            <w:tcW w:w="571" w:type="dxa"/>
          </w:tcPr>
          <w:p>
            <w:pPr>
              <w:pStyle w:val="TableParagraph"/>
              <w:spacing w:before="1"/>
              <w:ind w:right="-29"/>
              <w:jc w:val="right"/>
              <w:rPr>
                <w:sz w:val="21"/>
              </w:rPr>
            </w:pPr>
            <w:r>
              <w:rPr>
                <w:w w:val="100"/>
                <w:sz w:val="21"/>
              </w:rPr>
              <w:t> </w:t>
            </w:r>
            <w:r>
              <w:rPr>
                <w:sz w:val="21"/>
              </w:rPr>
              <w:t> </w:t>
            </w:r>
            <w:r>
              <w:rPr>
                <w:color w:val="FFC000"/>
                <w:w w:val="100"/>
                <w:sz w:val="21"/>
              </w:rPr>
              <w:t> </w:t>
            </w:r>
          </w:p>
        </w:tc>
      </w:tr>
      <w:tr>
        <w:trPr>
          <w:trHeight w:val="292" w:hRule="atLeast"/>
        </w:trPr>
        <w:tc>
          <w:tcPr>
            <w:tcW w:w="559" w:type="dxa"/>
          </w:tcPr>
          <w:p>
            <w:pPr>
              <w:pStyle w:val="TableParagraph"/>
              <w:spacing w:before="1"/>
              <w:ind w:left="28"/>
              <w:rPr>
                <w:sz w:val="21"/>
              </w:rPr>
            </w:pPr>
            <w:r>
              <w:rPr>
                <w:w w:val="100"/>
                <w:sz w:val="21"/>
              </w:rPr>
              <w:t> </w:t>
            </w:r>
          </w:p>
        </w:tc>
        <w:tc>
          <w:tcPr>
            <w:tcW w:w="583" w:type="dxa"/>
          </w:tcPr>
          <w:p>
            <w:pPr>
              <w:pStyle w:val="TableParagraph"/>
              <w:spacing w:before="1"/>
              <w:ind w:left="28"/>
              <w:rPr>
                <w:sz w:val="21"/>
              </w:rPr>
            </w:pPr>
            <w:r>
              <w:rPr>
                <w:w w:val="100"/>
                <w:sz w:val="21"/>
              </w:rPr>
              <w:t> </w:t>
            </w:r>
            <w:r>
              <w:rPr>
                <w:sz w:val="21"/>
              </w:rPr>
              <w:t> </w:t>
            </w:r>
            <w:r>
              <w:rPr>
                <w:color w:val="FFC000"/>
                <w:w w:val="100"/>
                <w:sz w:val="21"/>
              </w:rPr>
              <w:t> </w:t>
            </w:r>
          </w:p>
        </w:tc>
        <w:tc>
          <w:tcPr>
            <w:tcW w:w="581" w:type="dxa"/>
          </w:tcPr>
          <w:p>
            <w:pPr>
              <w:pStyle w:val="TableParagraph"/>
              <w:spacing w:before="1"/>
              <w:ind w:left="31"/>
              <w:rPr>
                <w:sz w:val="21"/>
              </w:rPr>
            </w:pPr>
            <w:r>
              <w:rPr>
                <w:w w:val="100"/>
                <w:sz w:val="21"/>
              </w:rPr>
              <w:t> </w:t>
            </w:r>
          </w:p>
        </w:tc>
        <w:tc>
          <w:tcPr>
            <w:tcW w:w="649" w:type="dxa"/>
          </w:tcPr>
          <w:p>
            <w:pPr>
              <w:pStyle w:val="TableParagraph"/>
              <w:spacing w:before="1"/>
              <w:ind w:right="-15"/>
              <w:jc w:val="right"/>
              <w:rPr>
                <w:sz w:val="21"/>
              </w:rPr>
            </w:pPr>
            <w:r>
              <w:rPr>
                <w:w w:val="100"/>
                <w:sz w:val="21"/>
              </w:rPr>
              <w:t> </w:t>
            </w:r>
          </w:p>
        </w:tc>
        <w:tc>
          <w:tcPr>
            <w:tcW w:w="584" w:type="dxa"/>
          </w:tcPr>
          <w:p>
            <w:pPr>
              <w:pStyle w:val="TableParagraph"/>
              <w:spacing w:before="1"/>
              <w:ind w:left="30"/>
              <w:rPr>
                <w:sz w:val="21"/>
              </w:rPr>
            </w:pPr>
            <w:r>
              <w:rPr>
                <w:w w:val="100"/>
                <w:sz w:val="21"/>
              </w:rPr>
              <w:t> </w:t>
            </w:r>
          </w:p>
        </w:tc>
        <w:tc>
          <w:tcPr>
            <w:tcW w:w="582" w:type="dxa"/>
          </w:tcPr>
          <w:p>
            <w:pPr>
              <w:pStyle w:val="TableParagraph"/>
              <w:spacing w:before="1"/>
              <w:ind w:left="27"/>
              <w:rPr>
                <w:sz w:val="21"/>
              </w:rPr>
            </w:pPr>
            <w:r>
              <w:rPr>
                <w:w w:val="100"/>
                <w:sz w:val="21"/>
              </w:rPr>
              <w:t> </w:t>
            </w:r>
          </w:p>
        </w:tc>
        <w:tc>
          <w:tcPr>
            <w:tcW w:w="584" w:type="dxa"/>
            <w:gridSpan w:val="2"/>
          </w:tcPr>
          <w:p>
            <w:pPr>
              <w:pStyle w:val="TableParagraph"/>
              <w:spacing w:before="1"/>
              <w:ind w:left="28"/>
              <w:rPr>
                <w:sz w:val="21"/>
              </w:rPr>
            </w:pPr>
            <w:r>
              <w:rPr>
                <w:w w:val="100"/>
                <w:sz w:val="21"/>
              </w:rPr>
              <w:t> </w:t>
            </w:r>
          </w:p>
        </w:tc>
        <w:tc>
          <w:tcPr>
            <w:tcW w:w="583" w:type="dxa"/>
          </w:tcPr>
          <w:p>
            <w:pPr>
              <w:pStyle w:val="TableParagraph"/>
              <w:spacing w:before="1"/>
              <w:ind w:left="23"/>
              <w:rPr>
                <w:sz w:val="21"/>
              </w:rPr>
            </w:pPr>
            <w:r>
              <w:rPr>
                <w:w w:val="100"/>
                <w:sz w:val="21"/>
              </w:rPr>
              <w:t> </w:t>
            </w:r>
            <w:r>
              <w:rPr>
                <w:sz w:val="21"/>
              </w:rPr>
              <w:t> </w:t>
            </w:r>
            <w:r>
              <w:rPr>
                <w:color w:val="FFC000"/>
                <w:w w:val="100"/>
                <w:sz w:val="21"/>
              </w:rPr>
              <w:t> </w:t>
            </w:r>
          </w:p>
        </w:tc>
        <w:tc>
          <w:tcPr>
            <w:tcW w:w="585" w:type="dxa"/>
          </w:tcPr>
          <w:p>
            <w:pPr>
              <w:pStyle w:val="TableParagraph"/>
              <w:spacing w:before="1"/>
              <w:ind w:left="21"/>
              <w:rPr>
                <w:sz w:val="21"/>
              </w:rPr>
            </w:pPr>
            <w:r>
              <w:rPr>
                <w:w w:val="100"/>
                <w:sz w:val="21"/>
              </w:rPr>
              <w:t> </w:t>
            </w:r>
          </w:p>
        </w:tc>
        <w:tc>
          <w:tcPr>
            <w:tcW w:w="583" w:type="dxa"/>
          </w:tcPr>
          <w:p>
            <w:pPr>
              <w:pStyle w:val="TableParagraph"/>
              <w:spacing w:before="1"/>
              <w:ind w:left="19"/>
              <w:rPr>
                <w:sz w:val="21"/>
              </w:rPr>
            </w:pPr>
            <w:r>
              <w:rPr>
                <w:w w:val="100"/>
                <w:sz w:val="21"/>
              </w:rPr>
              <w:t> </w:t>
            </w:r>
            <w:r>
              <w:rPr>
                <w:sz w:val="21"/>
              </w:rPr>
              <w:t> </w:t>
            </w:r>
            <w:r>
              <w:rPr>
                <w:color w:val="FFC000"/>
                <w:w w:val="100"/>
                <w:sz w:val="21"/>
              </w:rPr>
              <w:t> </w:t>
            </w:r>
          </w:p>
        </w:tc>
        <w:tc>
          <w:tcPr>
            <w:tcW w:w="583" w:type="dxa"/>
          </w:tcPr>
          <w:p>
            <w:pPr>
              <w:pStyle w:val="TableParagraph"/>
              <w:spacing w:before="1"/>
              <w:ind w:left="17"/>
              <w:rPr>
                <w:sz w:val="21"/>
              </w:rPr>
            </w:pPr>
            <w:r>
              <w:rPr>
                <w:w w:val="100"/>
                <w:sz w:val="21"/>
              </w:rPr>
              <w:t> </w:t>
            </w:r>
            <w:r>
              <w:rPr>
                <w:sz w:val="21"/>
              </w:rPr>
              <w:t> </w:t>
            </w:r>
            <w:r>
              <w:rPr>
                <w:color w:val="FFC000"/>
                <w:w w:val="100"/>
                <w:sz w:val="21"/>
              </w:rPr>
              <w:t> </w:t>
            </w:r>
          </w:p>
        </w:tc>
        <w:tc>
          <w:tcPr>
            <w:tcW w:w="651" w:type="dxa"/>
          </w:tcPr>
          <w:p>
            <w:pPr>
              <w:pStyle w:val="TableParagraph"/>
              <w:spacing w:before="1"/>
              <w:ind w:right="11"/>
              <w:jc w:val="right"/>
              <w:rPr>
                <w:sz w:val="21"/>
              </w:rPr>
            </w:pPr>
            <w:r>
              <w:rPr>
                <w:w w:val="100"/>
                <w:sz w:val="21"/>
              </w:rPr>
              <w:t> </w:t>
            </w:r>
          </w:p>
        </w:tc>
        <w:tc>
          <w:tcPr>
            <w:tcW w:w="583" w:type="dxa"/>
          </w:tcPr>
          <w:p>
            <w:pPr>
              <w:pStyle w:val="TableParagraph"/>
              <w:spacing w:before="1"/>
              <w:ind w:left="15"/>
              <w:rPr>
                <w:sz w:val="21"/>
              </w:rPr>
            </w:pPr>
            <w:r>
              <w:rPr>
                <w:w w:val="100"/>
                <w:sz w:val="21"/>
              </w:rPr>
              <w:t> </w:t>
            </w:r>
          </w:p>
        </w:tc>
        <w:tc>
          <w:tcPr>
            <w:tcW w:w="585" w:type="dxa"/>
          </w:tcPr>
          <w:p>
            <w:pPr>
              <w:pStyle w:val="TableParagraph"/>
              <w:spacing w:before="1"/>
              <w:ind w:left="12"/>
              <w:rPr>
                <w:sz w:val="21"/>
              </w:rPr>
            </w:pPr>
            <w:r>
              <w:rPr>
                <w:w w:val="100"/>
                <w:sz w:val="21"/>
              </w:rPr>
              <w:t> </w:t>
            </w:r>
            <w:r>
              <w:rPr>
                <w:sz w:val="21"/>
              </w:rPr>
              <w:t> </w:t>
            </w:r>
            <w:r>
              <w:rPr>
                <w:color w:val="FFC000"/>
                <w:w w:val="100"/>
                <w:sz w:val="21"/>
              </w:rPr>
              <w:t> </w:t>
            </w:r>
          </w:p>
        </w:tc>
        <w:tc>
          <w:tcPr>
            <w:tcW w:w="571" w:type="dxa"/>
          </w:tcPr>
          <w:p>
            <w:pPr>
              <w:pStyle w:val="TableParagraph"/>
              <w:spacing w:before="1"/>
              <w:ind w:right="-29"/>
              <w:jc w:val="right"/>
              <w:rPr>
                <w:sz w:val="21"/>
              </w:rPr>
            </w:pPr>
            <w:r>
              <w:rPr>
                <w:w w:val="100"/>
                <w:sz w:val="21"/>
              </w:rPr>
              <w:t> </w:t>
            </w:r>
            <w:r>
              <w:rPr>
                <w:sz w:val="21"/>
              </w:rPr>
              <w:t> </w:t>
            </w:r>
            <w:r>
              <w:rPr>
                <w:color w:val="FFC000"/>
                <w:w w:val="100"/>
                <w:sz w:val="21"/>
              </w:rPr>
              <w:t> </w:t>
            </w:r>
          </w:p>
        </w:tc>
      </w:tr>
      <w:tr>
        <w:trPr>
          <w:trHeight w:val="545" w:hRule="atLeast"/>
        </w:trPr>
        <w:tc>
          <w:tcPr>
            <w:tcW w:w="3789" w:type="dxa"/>
            <w:gridSpan w:val="7"/>
          </w:tcPr>
          <w:p>
            <w:pPr>
              <w:pStyle w:val="TableParagraph"/>
              <w:spacing w:before="1"/>
              <w:ind w:left="28"/>
              <w:rPr>
                <w:sz w:val="21"/>
              </w:rPr>
            </w:pPr>
            <w:r>
              <w:rPr>
                <w:sz w:val="21"/>
              </w:rPr>
              <w:t>报告期内担保发生额合计（不包括对子</w:t>
            </w:r>
          </w:p>
          <w:p>
            <w:pPr>
              <w:pStyle w:val="TableParagraph"/>
              <w:spacing w:line="250" w:lineRule="exact" w:before="5"/>
              <w:ind w:left="28"/>
              <w:rPr>
                <w:sz w:val="21"/>
              </w:rPr>
            </w:pPr>
            <w:r>
              <w:rPr>
                <w:spacing w:val="-1"/>
                <w:sz w:val="21"/>
              </w:rPr>
              <w:t>公司的担保</w:t>
            </w:r>
            <w:r>
              <w:rPr>
                <w:sz w:val="21"/>
              </w:rPr>
              <w:t>） </w:t>
            </w:r>
          </w:p>
        </w:tc>
        <w:tc>
          <w:tcPr>
            <w:tcW w:w="5057" w:type="dxa"/>
            <w:gridSpan w:val="9"/>
          </w:tcPr>
          <w:p>
            <w:pPr>
              <w:pStyle w:val="TableParagraph"/>
              <w:spacing w:before="1"/>
              <w:ind w:right="19"/>
              <w:jc w:val="right"/>
              <w:rPr>
                <w:sz w:val="21"/>
              </w:rPr>
            </w:pPr>
            <w:r>
              <w:rPr>
                <w:w w:val="100"/>
                <w:sz w:val="21"/>
              </w:rPr>
              <w:t> </w:t>
            </w:r>
          </w:p>
        </w:tc>
      </w:tr>
      <w:tr>
        <w:trPr>
          <w:trHeight w:val="544" w:hRule="atLeast"/>
        </w:trPr>
        <w:tc>
          <w:tcPr>
            <w:tcW w:w="3789" w:type="dxa"/>
            <w:gridSpan w:val="7"/>
          </w:tcPr>
          <w:p>
            <w:pPr>
              <w:pStyle w:val="TableParagraph"/>
              <w:spacing w:before="1"/>
              <w:ind w:left="28"/>
              <w:rPr>
                <w:sz w:val="21"/>
              </w:rPr>
            </w:pPr>
            <w:r>
              <w:rPr>
                <w:spacing w:val="-1"/>
                <w:sz w:val="21"/>
              </w:rPr>
              <w:t>报告期末担保余额合计</w:t>
            </w:r>
            <w:r>
              <w:rPr>
                <w:sz w:val="21"/>
              </w:rPr>
              <w:t>（A）（不包括对</w:t>
            </w:r>
          </w:p>
          <w:p>
            <w:pPr>
              <w:pStyle w:val="TableParagraph"/>
              <w:spacing w:line="250" w:lineRule="exact" w:before="4"/>
              <w:ind w:left="28"/>
              <w:rPr>
                <w:sz w:val="21"/>
              </w:rPr>
            </w:pPr>
            <w:r>
              <w:rPr>
                <w:spacing w:val="-1"/>
                <w:sz w:val="21"/>
              </w:rPr>
              <w:t>子公司的担保</w:t>
            </w:r>
            <w:r>
              <w:rPr>
                <w:sz w:val="21"/>
              </w:rPr>
              <w:t>） </w:t>
            </w:r>
          </w:p>
        </w:tc>
        <w:tc>
          <w:tcPr>
            <w:tcW w:w="5057" w:type="dxa"/>
            <w:gridSpan w:val="9"/>
          </w:tcPr>
          <w:p>
            <w:pPr>
              <w:pStyle w:val="TableParagraph"/>
              <w:spacing w:before="1"/>
              <w:ind w:right="19"/>
              <w:jc w:val="right"/>
              <w:rPr>
                <w:sz w:val="21"/>
              </w:rPr>
            </w:pPr>
            <w:r>
              <w:rPr>
                <w:w w:val="100"/>
                <w:sz w:val="21"/>
              </w:rPr>
              <w:t> </w:t>
            </w:r>
          </w:p>
        </w:tc>
      </w:tr>
      <w:tr>
        <w:trPr>
          <w:trHeight w:val="309" w:hRule="atLeast"/>
        </w:trPr>
        <w:tc>
          <w:tcPr>
            <w:tcW w:w="8846" w:type="dxa"/>
            <w:gridSpan w:val="16"/>
          </w:tcPr>
          <w:p>
            <w:pPr>
              <w:pStyle w:val="TableParagraph"/>
              <w:spacing w:before="20"/>
              <w:ind w:left="2261" w:right="2257"/>
              <w:jc w:val="center"/>
              <w:rPr>
                <w:sz w:val="21"/>
              </w:rPr>
            </w:pPr>
            <w:r>
              <w:rPr>
                <w:spacing w:val="-1"/>
                <w:sz w:val="21"/>
              </w:rPr>
              <w:t>公司及其子公司对子公司的担保情况</w:t>
            </w:r>
            <w:r>
              <w:rPr>
                <w:sz w:val="21"/>
              </w:rPr>
              <w:t> </w:t>
            </w:r>
          </w:p>
        </w:tc>
      </w:tr>
      <w:tr>
        <w:trPr>
          <w:trHeight w:val="306" w:hRule="atLeast"/>
        </w:trPr>
        <w:tc>
          <w:tcPr>
            <w:tcW w:w="3789" w:type="dxa"/>
            <w:gridSpan w:val="7"/>
          </w:tcPr>
          <w:p>
            <w:pPr>
              <w:pStyle w:val="TableParagraph"/>
              <w:spacing w:before="1"/>
              <w:ind w:left="28"/>
              <w:rPr>
                <w:sz w:val="21"/>
              </w:rPr>
            </w:pPr>
            <w:r>
              <w:rPr>
                <w:spacing w:val="-1"/>
                <w:sz w:val="21"/>
              </w:rPr>
              <w:t>报告期内对子公司担保发生额合计</w:t>
            </w:r>
            <w:r>
              <w:rPr>
                <w:color w:val="FF0000"/>
                <w:sz w:val="21"/>
              </w:rPr>
              <w:t> </w:t>
            </w:r>
          </w:p>
        </w:tc>
        <w:tc>
          <w:tcPr>
            <w:tcW w:w="5057" w:type="dxa"/>
            <w:gridSpan w:val="9"/>
          </w:tcPr>
          <w:p>
            <w:pPr>
              <w:pStyle w:val="TableParagraph"/>
              <w:spacing w:line="235" w:lineRule="exact"/>
              <w:ind w:right="123"/>
              <w:jc w:val="right"/>
              <w:rPr>
                <w:rFonts w:ascii="Times New Roman"/>
                <w:sz w:val="21"/>
              </w:rPr>
            </w:pPr>
            <w:r>
              <w:rPr>
                <w:rFonts w:ascii="Times New Roman"/>
                <w:sz w:val="21"/>
              </w:rPr>
              <w:t>3,482,300</w:t>
            </w:r>
          </w:p>
        </w:tc>
      </w:tr>
      <w:tr>
        <w:trPr>
          <w:trHeight w:val="309" w:hRule="atLeast"/>
        </w:trPr>
        <w:tc>
          <w:tcPr>
            <w:tcW w:w="3789" w:type="dxa"/>
            <w:gridSpan w:val="7"/>
          </w:tcPr>
          <w:p>
            <w:pPr>
              <w:pStyle w:val="TableParagraph"/>
              <w:spacing w:before="3"/>
              <w:ind w:left="28"/>
              <w:rPr>
                <w:sz w:val="21"/>
              </w:rPr>
            </w:pPr>
            <w:r>
              <w:rPr>
                <w:spacing w:val="-1"/>
                <w:sz w:val="21"/>
              </w:rPr>
              <w:t>报告期末对子公司担保余额合计</w:t>
            </w:r>
            <w:r>
              <w:rPr>
                <w:sz w:val="21"/>
              </w:rPr>
              <w:t>（B）</w:t>
            </w:r>
            <w:r>
              <w:rPr>
                <w:color w:val="FF0000"/>
                <w:sz w:val="21"/>
              </w:rPr>
              <w:t> </w:t>
            </w:r>
          </w:p>
        </w:tc>
        <w:tc>
          <w:tcPr>
            <w:tcW w:w="5057" w:type="dxa"/>
            <w:gridSpan w:val="9"/>
          </w:tcPr>
          <w:p>
            <w:pPr>
              <w:pStyle w:val="TableParagraph"/>
              <w:spacing w:line="237" w:lineRule="exact"/>
              <w:ind w:right="123"/>
              <w:jc w:val="right"/>
              <w:rPr>
                <w:rFonts w:ascii="Times New Roman"/>
                <w:sz w:val="21"/>
              </w:rPr>
            </w:pPr>
            <w:r>
              <w:rPr>
                <w:rFonts w:ascii="Times New Roman"/>
                <w:sz w:val="21"/>
              </w:rPr>
              <w:t>7,661,060</w:t>
            </w:r>
          </w:p>
        </w:tc>
      </w:tr>
      <w:tr>
        <w:trPr>
          <w:trHeight w:val="306" w:hRule="atLeast"/>
        </w:trPr>
        <w:tc>
          <w:tcPr>
            <w:tcW w:w="8846" w:type="dxa"/>
            <w:gridSpan w:val="16"/>
          </w:tcPr>
          <w:p>
            <w:pPr>
              <w:pStyle w:val="TableParagraph"/>
              <w:spacing w:before="18"/>
              <w:ind w:left="2161" w:right="2257"/>
              <w:jc w:val="center"/>
              <w:rPr>
                <w:sz w:val="21"/>
              </w:rPr>
            </w:pPr>
            <w:r>
              <w:rPr>
                <w:spacing w:val="-1"/>
                <w:sz w:val="21"/>
              </w:rPr>
              <w:t>公司担保总额情况</w:t>
            </w:r>
            <w:r>
              <w:rPr>
                <w:sz w:val="21"/>
              </w:rPr>
              <w:t>（包括对子公司的担保）</w:t>
            </w:r>
          </w:p>
        </w:tc>
      </w:tr>
      <w:tr>
        <w:trPr>
          <w:trHeight w:val="470" w:hRule="atLeast"/>
        </w:trPr>
        <w:tc>
          <w:tcPr>
            <w:tcW w:w="3789" w:type="dxa"/>
            <w:gridSpan w:val="7"/>
          </w:tcPr>
          <w:p>
            <w:pPr>
              <w:pStyle w:val="TableParagraph"/>
              <w:spacing w:before="1"/>
              <w:ind w:left="28"/>
              <w:rPr>
                <w:sz w:val="21"/>
              </w:rPr>
            </w:pPr>
            <w:r>
              <w:rPr>
                <w:spacing w:val="-1"/>
                <w:sz w:val="21"/>
              </w:rPr>
              <w:t>担保总额</w:t>
            </w:r>
            <w:r>
              <w:rPr>
                <w:sz w:val="21"/>
              </w:rPr>
              <w:t>（A+B） </w:t>
            </w:r>
          </w:p>
        </w:tc>
        <w:tc>
          <w:tcPr>
            <w:tcW w:w="5057" w:type="dxa"/>
            <w:gridSpan w:val="9"/>
          </w:tcPr>
          <w:p>
            <w:pPr>
              <w:pStyle w:val="TableParagraph"/>
              <w:spacing w:line="235" w:lineRule="exact"/>
              <w:ind w:right="123"/>
              <w:jc w:val="right"/>
              <w:rPr>
                <w:rFonts w:ascii="Times New Roman"/>
                <w:sz w:val="21"/>
              </w:rPr>
            </w:pPr>
            <w:r>
              <w:rPr>
                <w:rFonts w:ascii="Times New Roman"/>
                <w:sz w:val="21"/>
              </w:rPr>
              <w:t>7,661,060</w:t>
            </w:r>
          </w:p>
        </w:tc>
      </w:tr>
      <w:tr>
        <w:trPr>
          <w:trHeight w:val="309" w:hRule="atLeast"/>
        </w:trPr>
        <w:tc>
          <w:tcPr>
            <w:tcW w:w="3789" w:type="dxa"/>
            <w:gridSpan w:val="7"/>
          </w:tcPr>
          <w:p>
            <w:pPr>
              <w:pStyle w:val="TableParagraph"/>
              <w:spacing w:before="1"/>
              <w:ind w:left="28"/>
              <w:rPr>
                <w:sz w:val="21"/>
              </w:rPr>
            </w:pPr>
            <w:r>
              <w:rPr>
                <w:spacing w:val="-1"/>
                <w:sz w:val="21"/>
              </w:rPr>
              <w:t>担保总额占公司净资产的比例(%)</w:t>
            </w:r>
            <w:r>
              <w:rPr>
                <w:sz w:val="21"/>
              </w:rPr>
              <w:t> </w:t>
            </w:r>
          </w:p>
        </w:tc>
        <w:tc>
          <w:tcPr>
            <w:tcW w:w="5057" w:type="dxa"/>
            <w:gridSpan w:val="9"/>
          </w:tcPr>
          <w:p>
            <w:pPr>
              <w:pStyle w:val="TableParagraph"/>
              <w:spacing w:line="235" w:lineRule="exact"/>
              <w:ind w:right="123"/>
              <w:jc w:val="right"/>
              <w:rPr>
                <w:rFonts w:ascii="Times New Roman"/>
                <w:sz w:val="21"/>
              </w:rPr>
            </w:pPr>
            <w:r>
              <w:rPr>
                <w:rFonts w:ascii="Times New Roman"/>
                <w:sz w:val="21"/>
              </w:rPr>
              <w:t>5.9</w:t>
            </w:r>
          </w:p>
        </w:tc>
      </w:tr>
      <w:tr>
        <w:trPr>
          <w:trHeight w:val="306" w:hRule="atLeast"/>
        </w:trPr>
        <w:tc>
          <w:tcPr>
            <w:tcW w:w="8846" w:type="dxa"/>
            <w:gridSpan w:val="16"/>
          </w:tcPr>
          <w:p>
            <w:pPr>
              <w:pStyle w:val="TableParagraph"/>
              <w:spacing w:before="1"/>
              <w:ind w:left="28"/>
              <w:rPr>
                <w:sz w:val="21"/>
              </w:rPr>
            </w:pPr>
            <w:r>
              <w:rPr>
                <w:sz w:val="21"/>
              </w:rPr>
              <w:t>其中：</w:t>
            </w:r>
          </w:p>
        </w:tc>
      </w:tr>
      <w:tr>
        <w:trPr>
          <w:trHeight w:val="544" w:hRule="atLeast"/>
        </w:trPr>
        <w:tc>
          <w:tcPr>
            <w:tcW w:w="3789" w:type="dxa"/>
            <w:gridSpan w:val="7"/>
          </w:tcPr>
          <w:p>
            <w:pPr>
              <w:pStyle w:val="TableParagraph"/>
              <w:spacing w:before="1"/>
              <w:ind w:left="28"/>
              <w:rPr>
                <w:sz w:val="21"/>
              </w:rPr>
            </w:pPr>
            <w:r>
              <w:rPr>
                <w:spacing w:val="-1"/>
                <w:sz w:val="21"/>
              </w:rPr>
              <w:t>为股东、实际控制人及其关联方提供担</w:t>
            </w:r>
          </w:p>
          <w:p>
            <w:pPr>
              <w:pStyle w:val="TableParagraph"/>
              <w:spacing w:line="250" w:lineRule="exact" w:before="5"/>
              <w:ind w:left="28"/>
              <w:rPr>
                <w:sz w:val="21"/>
              </w:rPr>
            </w:pPr>
            <w:r>
              <w:rPr>
                <w:spacing w:val="-1"/>
                <w:sz w:val="21"/>
              </w:rPr>
              <w:t>保的金额</w:t>
            </w:r>
            <w:r>
              <w:rPr>
                <w:sz w:val="21"/>
              </w:rPr>
              <w:t>（C） </w:t>
            </w:r>
          </w:p>
        </w:tc>
        <w:tc>
          <w:tcPr>
            <w:tcW w:w="5057" w:type="dxa"/>
            <w:gridSpan w:val="9"/>
          </w:tcPr>
          <w:p>
            <w:pPr>
              <w:pStyle w:val="TableParagraph"/>
              <w:spacing w:line="235" w:lineRule="exact"/>
              <w:ind w:right="125"/>
              <w:jc w:val="right"/>
              <w:rPr>
                <w:rFonts w:ascii="Times New Roman"/>
                <w:sz w:val="21"/>
              </w:rPr>
            </w:pPr>
            <w:r>
              <w:rPr>
                <w:rFonts w:ascii="Times New Roman"/>
                <w:w w:val="100"/>
                <w:sz w:val="21"/>
              </w:rPr>
              <w:t>0</w:t>
            </w:r>
          </w:p>
        </w:tc>
      </w:tr>
      <w:tr>
        <w:trPr>
          <w:trHeight w:val="546" w:hRule="atLeast"/>
        </w:trPr>
        <w:tc>
          <w:tcPr>
            <w:tcW w:w="3789" w:type="dxa"/>
            <w:gridSpan w:val="7"/>
          </w:tcPr>
          <w:p>
            <w:pPr>
              <w:pStyle w:val="TableParagraph"/>
              <w:spacing w:line="270" w:lineRule="atLeast"/>
              <w:ind w:left="28" w:right="68"/>
              <w:rPr>
                <w:sz w:val="21"/>
              </w:rPr>
            </w:pPr>
            <w:r>
              <w:rPr>
                <w:sz w:val="21"/>
              </w:rPr>
              <w:t>直接或间接为资产负债率超过70%的被担保对象提供的债务担保金额（D） </w:t>
            </w:r>
          </w:p>
        </w:tc>
        <w:tc>
          <w:tcPr>
            <w:tcW w:w="5057" w:type="dxa"/>
            <w:gridSpan w:val="9"/>
          </w:tcPr>
          <w:p>
            <w:pPr>
              <w:pStyle w:val="TableParagraph"/>
              <w:spacing w:line="237" w:lineRule="exact"/>
              <w:ind w:right="123"/>
              <w:jc w:val="right"/>
              <w:rPr>
                <w:rFonts w:ascii="Times New Roman"/>
                <w:sz w:val="21"/>
              </w:rPr>
            </w:pPr>
            <w:r>
              <w:rPr>
                <w:rFonts w:ascii="Times New Roman"/>
                <w:sz w:val="21"/>
              </w:rPr>
              <w:t>7,661,060</w:t>
            </w:r>
          </w:p>
        </w:tc>
      </w:tr>
      <w:tr>
        <w:trPr>
          <w:trHeight w:val="544" w:hRule="atLeast"/>
        </w:trPr>
        <w:tc>
          <w:tcPr>
            <w:tcW w:w="3789" w:type="dxa"/>
            <w:gridSpan w:val="7"/>
          </w:tcPr>
          <w:p>
            <w:pPr>
              <w:pStyle w:val="TableParagraph"/>
              <w:spacing w:before="1"/>
              <w:ind w:left="28"/>
              <w:rPr>
                <w:sz w:val="21"/>
              </w:rPr>
            </w:pPr>
            <w:r>
              <w:rPr>
                <w:spacing w:val="-1"/>
                <w:sz w:val="21"/>
              </w:rPr>
              <w:t>担保总额超过净资产</w:t>
            </w:r>
            <w:r>
              <w:rPr>
                <w:sz w:val="21"/>
              </w:rPr>
              <w:t>50%部分的金额</w:t>
            </w:r>
          </w:p>
          <w:p>
            <w:pPr>
              <w:pStyle w:val="TableParagraph"/>
              <w:spacing w:line="252" w:lineRule="exact" w:before="2"/>
              <w:ind w:left="28"/>
              <w:rPr>
                <w:sz w:val="21"/>
              </w:rPr>
            </w:pPr>
            <w:r>
              <w:rPr>
                <w:sz w:val="21"/>
              </w:rPr>
              <w:t>（E） </w:t>
            </w:r>
          </w:p>
        </w:tc>
        <w:tc>
          <w:tcPr>
            <w:tcW w:w="5057" w:type="dxa"/>
            <w:gridSpan w:val="9"/>
          </w:tcPr>
          <w:p>
            <w:pPr>
              <w:pStyle w:val="TableParagraph"/>
              <w:spacing w:line="235" w:lineRule="exact"/>
              <w:ind w:right="125"/>
              <w:jc w:val="right"/>
              <w:rPr>
                <w:rFonts w:ascii="Times New Roman"/>
                <w:sz w:val="21"/>
              </w:rPr>
            </w:pPr>
            <w:r>
              <w:rPr>
                <w:rFonts w:ascii="Times New Roman"/>
                <w:w w:val="100"/>
                <w:sz w:val="21"/>
              </w:rPr>
              <w:t>0</w:t>
            </w:r>
          </w:p>
        </w:tc>
      </w:tr>
      <w:tr>
        <w:trPr>
          <w:trHeight w:val="306" w:hRule="atLeast"/>
        </w:trPr>
        <w:tc>
          <w:tcPr>
            <w:tcW w:w="3789" w:type="dxa"/>
            <w:gridSpan w:val="7"/>
          </w:tcPr>
          <w:p>
            <w:pPr>
              <w:pStyle w:val="TableParagraph"/>
              <w:spacing w:before="17"/>
              <w:ind w:left="28"/>
              <w:rPr>
                <w:sz w:val="21"/>
              </w:rPr>
            </w:pPr>
            <w:r>
              <w:rPr>
                <w:spacing w:val="-1"/>
                <w:sz w:val="21"/>
              </w:rPr>
              <w:t>上述三项担保金额合计</w:t>
            </w:r>
            <w:r>
              <w:rPr>
                <w:sz w:val="21"/>
              </w:rPr>
              <w:t>（C+D+E） </w:t>
            </w:r>
          </w:p>
        </w:tc>
        <w:tc>
          <w:tcPr>
            <w:tcW w:w="5057" w:type="dxa"/>
            <w:gridSpan w:val="9"/>
          </w:tcPr>
          <w:p>
            <w:pPr>
              <w:pStyle w:val="TableParagraph"/>
              <w:spacing w:line="235" w:lineRule="exact"/>
              <w:ind w:right="123"/>
              <w:jc w:val="right"/>
              <w:rPr>
                <w:rFonts w:ascii="Times New Roman"/>
                <w:sz w:val="21"/>
              </w:rPr>
            </w:pPr>
            <w:r>
              <w:rPr>
                <w:rFonts w:ascii="Times New Roman"/>
                <w:sz w:val="21"/>
              </w:rPr>
              <w:t>7,661,060</w:t>
            </w:r>
          </w:p>
        </w:tc>
      </w:tr>
      <w:tr>
        <w:trPr>
          <w:trHeight w:val="309" w:hRule="atLeast"/>
        </w:trPr>
        <w:tc>
          <w:tcPr>
            <w:tcW w:w="3789" w:type="dxa"/>
            <w:gridSpan w:val="7"/>
          </w:tcPr>
          <w:p>
            <w:pPr>
              <w:pStyle w:val="TableParagraph"/>
              <w:spacing w:before="20"/>
              <w:ind w:left="28"/>
              <w:rPr>
                <w:sz w:val="21"/>
              </w:rPr>
            </w:pPr>
            <w:r>
              <w:rPr>
                <w:spacing w:val="-1"/>
                <w:sz w:val="21"/>
              </w:rPr>
              <w:t>未到期担保可能承担连带清偿责任说明</w:t>
            </w:r>
            <w:r>
              <w:rPr>
                <w:sz w:val="21"/>
              </w:rPr>
              <w:t> </w:t>
            </w:r>
          </w:p>
        </w:tc>
        <w:tc>
          <w:tcPr>
            <w:tcW w:w="5057" w:type="dxa"/>
            <w:gridSpan w:val="9"/>
          </w:tcPr>
          <w:p>
            <w:pPr>
              <w:pStyle w:val="TableParagraph"/>
              <w:spacing w:before="1"/>
              <w:ind w:right="39"/>
              <w:jc w:val="right"/>
              <w:rPr>
                <w:sz w:val="21"/>
              </w:rPr>
            </w:pPr>
            <w:r>
              <w:rPr>
                <w:sz w:val="21"/>
              </w:rPr>
              <w:t>不适用</w:t>
            </w:r>
          </w:p>
        </w:tc>
      </w:tr>
      <w:tr>
        <w:trPr>
          <w:trHeight w:val="306" w:hRule="atLeast"/>
        </w:trPr>
        <w:tc>
          <w:tcPr>
            <w:tcW w:w="3789" w:type="dxa"/>
            <w:gridSpan w:val="7"/>
          </w:tcPr>
          <w:p>
            <w:pPr>
              <w:pStyle w:val="TableParagraph"/>
              <w:spacing w:before="1"/>
              <w:ind w:left="28"/>
              <w:rPr>
                <w:sz w:val="21"/>
              </w:rPr>
            </w:pPr>
            <w:r>
              <w:rPr>
                <w:spacing w:val="-1"/>
                <w:sz w:val="21"/>
              </w:rPr>
              <w:t>担保情况说明</w:t>
            </w:r>
            <w:r>
              <w:rPr>
                <w:sz w:val="21"/>
              </w:rPr>
              <w:t> </w:t>
            </w:r>
          </w:p>
        </w:tc>
        <w:tc>
          <w:tcPr>
            <w:tcW w:w="5057" w:type="dxa"/>
            <w:gridSpan w:val="9"/>
          </w:tcPr>
          <w:p>
            <w:pPr>
              <w:pStyle w:val="TableParagraph"/>
              <w:spacing w:before="1"/>
              <w:ind w:right="39"/>
              <w:jc w:val="right"/>
              <w:rPr>
                <w:sz w:val="21"/>
              </w:rPr>
            </w:pPr>
            <w:r>
              <w:rPr>
                <w:sz w:val="21"/>
              </w:rPr>
              <w:t>不适用</w:t>
            </w:r>
          </w:p>
        </w:tc>
      </w:tr>
    </w:tbl>
    <w:p>
      <w:pPr>
        <w:pStyle w:val="BodyText"/>
        <w:spacing w:line="364" w:lineRule="auto" w:before="1"/>
        <w:ind w:left="118" w:right="207" w:firstLine="419"/>
        <w:jc w:val="both"/>
      </w:pPr>
      <w:r>
        <w:rPr>
          <w:spacing w:val="-4"/>
        </w:rPr>
        <w:t>截止报告期末，公司为全资子公司 </w:t>
      </w:r>
      <w:r>
        <w:rPr>
          <w:rFonts w:ascii="Times New Roman" w:eastAsia="Times New Roman"/>
        </w:rPr>
        <w:t>CNTSG</w:t>
      </w:r>
      <w:r>
        <w:rPr>
          <w:rFonts w:ascii="Times New Roman" w:eastAsia="Times New Roman"/>
          <w:spacing w:val="-6"/>
        </w:rPr>
        <w:t> </w:t>
      </w:r>
      <w:r>
        <w:rPr>
          <w:spacing w:val="-5"/>
        </w:rPr>
        <w:t>实际提供担保发生额为 </w:t>
      </w:r>
      <w:r>
        <w:rPr>
          <w:rFonts w:ascii="Times New Roman" w:eastAsia="Times New Roman"/>
        </w:rPr>
        <w:t>11</w:t>
      </w:r>
      <w:r>
        <w:rPr>
          <w:rFonts w:ascii="Times New Roman" w:eastAsia="Times New Roman"/>
          <w:spacing w:val="-7"/>
        </w:rPr>
        <w:t> </w:t>
      </w:r>
      <w:r>
        <w:rPr>
          <w:spacing w:val="-8"/>
        </w:rPr>
        <w:t>亿美元，按 </w:t>
      </w:r>
      <w:r>
        <w:rPr>
          <w:rFonts w:ascii="Times New Roman" w:eastAsia="Times New Roman"/>
        </w:rPr>
        <w:t>2022</w:t>
      </w:r>
      <w:r>
        <w:rPr>
          <w:rFonts w:ascii="Times New Roman" w:eastAsia="Times New Roman"/>
          <w:spacing w:val="-5"/>
        </w:rPr>
        <w:t> </w:t>
      </w:r>
      <w:r>
        <w:rPr>
          <w:spacing w:val="-24"/>
        </w:rPr>
        <w:t>年 </w:t>
      </w:r>
      <w:r>
        <w:rPr>
          <w:rFonts w:ascii="Times New Roman" w:eastAsia="Times New Roman"/>
        </w:rPr>
        <w:t>12</w:t>
      </w:r>
      <w:r>
        <w:rPr>
          <w:rFonts w:ascii="Times New Roman" w:eastAsia="Times New Roman"/>
          <w:spacing w:val="-50"/>
        </w:rPr>
        <w:t> </w:t>
      </w:r>
      <w:r>
        <w:rPr>
          <w:spacing w:val="-19"/>
        </w:rPr>
        <w:t>月 </w:t>
      </w:r>
      <w:r>
        <w:rPr>
          <w:rFonts w:ascii="Times New Roman" w:eastAsia="Times New Roman"/>
          <w:spacing w:val="-1"/>
        </w:rPr>
        <w:t>31</w:t>
      </w:r>
      <w:r>
        <w:rPr>
          <w:rFonts w:ascii="Times New Roman" w:eastAsia="Times New Roman"/>
          <w:spacing w:val="2"/>
        </w:rPr>
        <w:t> </w:t>
      </w:r>
      <w:r>
        <w:rPr>
          <w:spacing w:val="-4"/>
        </w:rPr>
        <w:t>日美元兑人民币汇率 </w:t>
      </w:r>
      <w:r>
        <w:rPr>
          <w:rFonts w:ascii="Times New Roman" w:eastAsia="Times New Roman"/>
        </w:rPr>
        <w:t>1</w:t>
      </w:r>
      <w:r>
        <w:rPr/>
        <w:t>：</w:t>
      </w:r>
      <w:r>
        <w:rPr>
          <w:rFonts w:ascii="Times New Roman" w:eastAsia="Times New Roman"/>
        </w:rPr>
        <w:t>6.9646</w:t>
      </w:r>
      <w:r>
        <w:rPr>
          <w:rFonts w:ascii="Times New Roman" w:eastAsia="Times New Roman"/>
          <w:spacing w:val="4"/>
        </w:rPr>
        <w:t> </w:t>
      </w:r>
      <w:r>
        <w:rPr>
          <w:spacing w:val="-8"/>
        </w:rPr>
        <w:t>折算，为 </w:t>
      </w:r>
      <w:r>
        <w:rPr>
          <w:rFonts w:ascii="Times New Roman" w:eastAsia="Times New Roman"/>
        </w:rPr>
        <w:t>7,661,060</w:t>
      </w:r>
      <w:r>
        <w:rPr>
          <w:rFonts w:ascii="Times New Roman" w:eastAsia="Times New Roman"/>
          <w:spacing w:val="5"/>
        </w:rPr>
        <w:t> </w:t>
      </w:r>
      <w:r>
        <w:rPr/>
        <w:t>千元人民币。公司担保具体情况概述如下：</w:t>
      </w:r>
    </w:p>
    <w:p>
      <w:pPr>
        <w:pStyle w:val="ListParagraph"/>
        <w:numPr>
          <w:ilvl w:val="0"/>
          <w:numId w:val="28"/>
        </w:numPr>
        <w:tabs>
          <w:tab w:pos="1067" w:val="left" w:leader="none"/>
        </w:tabs>
        <w:spacing w:line="240" w:lineRule="auto" w:before="0" w:after="0"/>
        <w:ind w:left="1067" w:right="0" w:hanging="529"/>
        <w:jc w:val="both"/>
        <w:rPr>
          <w:sz w:val="21"/>
        </w:rPr>
      </w:pPr>
      <w:r>
        <w:rPr>
          <w:spacing w:val="-13"/>
          <w:sz w:val="21"/>
        </w:rPr>
        <w:t>公司于 </w:t>
      </w:r>
      <w:r>
        <w:rPr>
          <w:rFonts w:ascii="Times New Roman" w:eastAsia="Times New Roman"/>
          <w:sz w:val="21"/>
        </w:rPr>
        <w:t>2020</w:t>
      </w:r>
      <w:r>
        <w:rPr>
          <w:rFonts w:ascii="Times New Roman" w:eastAsia="Times New Roman"/>
          <w:spacing w:val="-9"/>
          <w:sz w:val="21"/>
        </w:rPr>
        <w:t> </w:t>
      </w:r>
      <w:r>
        <w:rPr>
          <w:spacing w:val="-25"/>
          <w:sz w:val="21"/>
        </w:rPr>
        <w:t>年 </w:t>
      </w:r>
      <w:r>
        <w:rPr>
          <w:rFonts w:ascii="Times New Roman" w:eastAsia="Times New Roman"/>
          <w:sz w:val="21"/>
        </w:rPr>
        <w:t>6</w:t>
      </w:r>
      <w:r>
        <w:rPr>
          <w:rFonts w:ascii="Times New Roman" w:eastAsia="Times New Roman"/>
          <w:spacing w:val="-12"/>
          <w:sz w:val="21"/>
        </w:rPr>
        <w:t> </w:t>
      </w:r>
      <w:r>
        <w:rPr>
          <w:spacing w:val="-26"/>
          <w:sz w:val="21"/>
        </w:rPr>
        <w:t>月 </w:t>
      </w:r>
      <w:r>
        <w:rPr>
          <w:rFonts w:ascii="Times New Roman" w:eastAsia="Times New Roman"/>
          <w:sz w:val="21"/>
        </w:rPr>
        <w:t>22</w:t>
      </w:r>
      <w:r>
        <w:rPr>
          <w:rFonts w:ascii="Times New Roman" w:eastAsia="Times New Roman"/>
          <w:spacing w:val="-10"/>
          <w:sz w:val="21"/>
        </w:rPr>
        <w:t> </w:t>
      </w:r>
      <w:r>
        <w:rPr>
          <w:sz w:val="21"/>
        </w:rPr>
        <w:t>日召开的第一届董事会第二十七次会议，</w:t>
      </w:r>
      <w:r>
        <w:rPr>
          <w:rFonts w:ascii="Times New Roman" w:eastAsia="Times New Roman"/>
          <w:sz w:val="21"/>
        </w:rPr>
        <w:t>2020</w:t>
      </w:r>
      <w:r>
        <w:rPr>
          <w:rFonts w:ascii="Times New Roman" w:eastAsia="Times New Roman"/>
          <w:spacing w:val="-9"/>
          <w:sz w:val="21"/>
        </w:rPr>
        <w:t> </w:t>
      </w:r>
      <w:r>
        <w:rPr>
          <w:spacing w:val="-26"/>
          <w:sz w:val="21"/>
        </w:rPr>
        <w:t>年 </w:t>
      </w:r>
      <w:r>
        <w:rPr>
          <w:rFonts w:ascii="Times New Roman" w:eastAsia="Times New Roman"/>
          <w:sz w:val="21"/>
        </w:rPr>
        <w:t>7</w:t>
      </w:r>
      <w:r>
        <w:rPr>
          <w:rFonts w:ascii="Times New Roman" w:eastAsia="Times New Roman"/>
          <w:spacing w:val="-10"/>
          <w:sz w:val="21"/>
        </w:rPr>
        <w:t> </w:t>
      </w:r>
      <w:r>
        <w:rPr>
          <w:spacing w:val="-25"/>
          <w:sz w:val="21"/>
        </w:rPr>
        <w:t>月 </w:t>
      </w:r>
      <w:r>
        <w:rPr>
          <w:rFonts w:ascii="Times New Roman" w:eastAsia="Times New Roman"/>
          <w:sz w:val="21"/>
        </w:rPr>
        <w:t>10</w:t>
      </w:r>
      <w:r>
        <w:rPr>
          <w:rFonts w:ascii="Times New Roman" w:eastAsia="Times New Roman"/>
          <w:spacing w:val="-10"/>
          <w:sz w:val="21"/>
        </w:rPr>
        <w:t> </w:t>
      </w:r>
      <w:r>
        <w:rPr>
          <w:sz w:val="21"/>
        </w:rPr>
        <w:t>日召开</w:t>
      </w:r>
    </w:p>
    <w:p>
      <w:pPr>
        <w:pStyle w:val="BodyText"/>
        <w:spacing w:line="364" w:lineRule="auto" w:before="139"/>
        <w:ind w:left="118" w:right="207"/>
        <w:jc w:val="both"/>
      </w:pPr>
      <w:r>
        <w:rPr>
          <w:spacing w:val="5"/>
        </w:rPr>
        <w:t>的 </w:t>
      </w:r>
      <w:r>
        <w:rPr>
          <w:rFonts w:ascii="Times New Roman" w:eastAsia="Times New Roman"/>
        </w:rPr>
        <w:t>2020</w:t>
      </w:r>
      <w:r>
        <w:rPr>
          <w:rFonts w:ascii="Times New Roman" w:eastAsia="Times New Roman"/>
          <w:spacing w:val="40"/>
        </w:rPr>
        <w:t> </w:t>
      </w:r>
      <w:r>
        <w:rPr/>
        <w:t>年第一次临时股东大会审议通过了《关于公司为境外子公司融资提供担保的议案》。公</w:t>
      </w:r>
      <w:r>
        <w:rPr>
          <w:spacing w:val="-6"/>
        </w:rPr>
        <w:t>司为全资子公司 </w:t>
      </w:r>
      <w:r>
        <w:rPr>
          <w:rFonts w:ascii="Times New Roman" w:eastAsia="Times New Roman"/>
        </w:rPr>
        <w:t>CNTSG</w:t>
      </w:r>
      <w:r>
        <w:rPr>
          <w:rFonts w:ascii="Times New Roman" w:eastAsia="Times New Roman"/>
          <w:spacing w:val="7"/>
        </w:rPr>
        <w:t> </w:t>
      </w:r>
      <w:r>
        <w:rPr>
          <w:spacing w:val="-3"/>
        </w:rPr>
        <w:t>在境外向银团申请不超过 </w:t>
      </w:r>
      <w:r>
        <w:rPr>
          <w:rFonts w:ascii="Times New Roman" w:eastAsia="Times New Roman"/>
        </w:rPr>
        <w:t>6</w:t>
      </w:r>
      <w:r>
        <w:rPr>
          <w:rFonts w:ascii="Times New Roman" w:eastAsia="Times New Roman"/>
          <w:spacing w:val="7"/>
        </w:rPr>
        <w:t> </w:t>
      </w:r>
      <w:r>
        <w:rPr/>
        <w:t>亿美元的贷款提供担保，本次担保实际发生</w:t>
      </w:r>
      <w:r>
        <w:rPr>
          <w:spacing w:val="-19"/>
        </w:rPr>
        <w:t>额为 </w:t>
      </w:r>
      <w:r>
        <w:rPr>
          <w:rFonts w:ascii="Times New Roman" w:eastAsia="Times New Roman"/>
        </w:rPr>
        <w:t>6</w:t>
      </w:r>
      <w:r>
        <w:rPr>
          <w:rFonts w:ascii="Times New Roman" w:eastAsia="Times New Roman"/>
          <w:spacing w:val="-10"/>
        </w:rPr>
        <w:t> </w:t>
      </w:r>
      <w:r>
        <w:rPr/>
        <w:t>亿美元。</w:t>
      </w:r>
    </w:p>
    <w:p>
      <w:pPr>
        <w:pStyle w:val="ListParagraph"/>
        <w:numPr>
          <w:ilvl w:val="0"/>
          <w:numId w:val="28"/>
        </w:numPr>
        <w:tabs>
          <w:tab w:pos="1067" w:val="left" w:leader="none"/>
        </w:tabs>
        <w:spacing w:line="269" w:lineRule="exact" w:before="0" w:after="0"/>
        <w:ind w:left="1067" w:right="0" w:hanging="529"/>
        <w:jc w:val="both"/>
        <w:rPr>
          <w:rFonts w:ascii="Times New Roman" w:eastAsia="Times New Roman"/>
          <w:sz w:val="21"/>
        </w:rPr>
      </w:pPr>
      <w:r>
        <w:rPr>
          <w:spacing w:val="-17"/>
          <w:sz w:val="21"/>
        </w:rPr>
        <w:t>公司于 </w:t>
      </w:r>
      <w:r>
        <w:rPr>
          <w:rFonts w:ascii="Times New Roman" w:eastAsia="Times New Roman"/>
          <w:sz w:val="21"/>
        </w:rPr>
        <w:t>2021</w:t>
      </w:r>
      <w:r>
        <w:rPr>
          <w:rFonts w:ascii="Times New Roman" w:eastAsia="Times New Roman"/>
          <w:spacing w:val="-21"/>
          <w:sz w:val="21"/>
        </w:rPr>
        <w:t> </w:t>
      </w:r>
      <w:r>
        <w:rPr>
          <w:spacing w:val="-32"/>
          <w:sz w:val="21"/>
        </w:rPr>
        <w:t>年 </w:t>
      </w:r>
      <w:r>
        <w:rPr>
          <w:rFonts w:ascii="Times New Roman" w:eastAsia="Times New Roman"/>
          <w:sz w:val="21"/>
        </w:rPr>
        <w:t>4</w:t>
      </w:r>
      <w:r>
        <w:rPr>
          <w:rFonts w:ascii="Times New Roman" w:eastAsia="Times New Roman"/>
          <w:spacing w:val="-24"/>
          <w:sz w:val="21"/>
        </w:rPr>
        <w:t> </w:t>
      </w:r>
      <w:r>
        <w:rPr>
          <w:spacing w:val="-32"/>
          <w:sz w:val="21"/>
        </w:rPr>
        <w:t>月 </w:t>
      </w:r>
      <w:r>
        <w:rPr>
          <w:rFonts w:ascii="Times New Roman" w:eastAsia="Times New Roman"/>
          <w:sz w:val="21"/>
        </w:rPr>
        <w:t>29</w:t>
      </w:r>
      <w:r>
        <w:rPr>
          <w:rFonts w:ascii="Times New Roman" w:eastAsia="Times New Roman"/>
          <w:spacing w:val="-22"/>
          <w:sz w:val="21"/>
        </w:rPr>
        <w:t> </w:t>
      </w:r>
      <w:r>
        <w:rPr>
          <w:sz w:val="21"/>
        </w:rPr>
        <w:t>日召开的第二届董事会第八次会议，</w:t>
      </w:r>
      <w:r>
        <w:rPr>
          <w:rFonts w:ascii="Times New Roman" w:eastAsia="Times New Roman"/>
          <w:sz w:val="21"/>
        </w:rPr>
        <w:t>2021</w:t>
      </w:r>
      <w:r>
        <w:rPr>
          <w:rFonts w:ascii="Times New Roman" w:eastAsia="Times New Roman"/>
          <w:spacing w:val="-23"/>
          <w:sz w:val="21"/>
        </w:rPr>
        <w:t> </w:t>
      </w:r>
      <w:r>
        <w:rPr>
          <w:spacing w:val="-33"/>
          <w:sz w:val="21"/>
        </w:rPr>
        <w:t>年 </w:t>
      </w:r>
      <w:r>
        <w:rPr>
          <w:rFonts w:ascii="Times New Roman" w:eastAsia="Times New Roman"/>
          <w:sz w:val="21"/>
        </w:rPr>
        <w:t>6</w:t>
      </w:r>
      <w:r>
        <w:rPr>
          <w:rFonts w:ascii="Times New Roman" w:eastAsia="Times New Roman"/>
          <w:spacing w:val="-23"/>
          <w:sz w:val="21"/>
        </w:rPr>
        <w:t> </w:t>
      </w:r>
      <w:r>
        <w:rPr>
          <w:spacing w:val="-33"/>
          <w:sz w:val="21"/>
        </w:rPr>
        <w:t>月 </w:t>
      </w:r>
      <w:r>
        <w:rPr>
          <w:rFonts w:ascii="Times New Roman" w:eastAsia="Times New Roman"/>
          <w:sz w:val="21"/>
        </w:rPr>
        <w:t>8</w:t>
      </w:r>
      <w:r>
        <w:rPr>
          <w:rFonts w:ascii="Times New Roman" w:eastAsia="Times New Roman"/>
          <w:spacing w:val="-21"/>
          <w:sz w:val="21"/>
        </w:rPr>
        <w:t> </w:t>
      </w:r>
      <w:r>
        <w:rPr>
          <w:spacing w:val="-14"/>
          <w:sz w:val="21"/>
        </w:rPr>
        <w:t>日召开的 </w:t>
      </w:r>
      <w:r>
        <w:rPr>
          <w:rFonts w:ascii="Times New Roman" w:eastAsia="Times New Roman"/>
          <w:sz w:val="21"/>
        </w:rPr>
        <w:t>2020</w:t>
      </w:r>
    </w:p>
    <w:p>
      <w:pPr>
        <w:pStyle w:val="BodyText"/>
        <w:spacing w:line="364" w:lineRule="auto" w:before="133"/>
        <w:ind w:left="118" w:right="208"/>
        <w:jc w:val="both"/>
      </w:pPr>
      <w:r>
        <w:rPr/>
        <w:t>年年度股东大会审议通过了《关于公司为境外全资子公司融资提供担保的议案》。公司拟为全资</w:t>
      </w:r>
      <w:r>
        <w:rPr>
          <w:spacing w:val="-14"/>
        </w:rPr>
        <w:t>子公司 </w:t>
      </w:r>
      <w:r>
        <w:rPr>
          <w:rFonts w:ascii="Times New Roman" w:eastAsia="Times New Roman"/>
          <w:spacing w:val="-1"/>
        </w:rPr>
        <w:t>CNTSG</w:t>
      </w:r>
      <w:r>
        <w:rPr>
          <w:rFonts w:ascii="Times New Roman" w:eastAsia="Times New Roman"/>
          <w:spacing w:val="-11"/>
        </w:rPr>
        <w:t> </w:t>
      </w:r>
      <w:r>
        <w:rPr>
          <w:spacing w:val="-5"/>
        </w:rPr>
        <w:t>在境外向银团申请不超过 </w:t>
      </w:r>
      <w:r>
        <w:rPr>
          <w:rFonts w:ascii="Times New Roman" w:eastAsia="Times New Roman"/>
        </w:rPr>
        <w:t>5</w:t>
      </w:r>
      <w:r>
        <w:rPr>
          <w:rFonts w:ascii="Times New Roman" w:eastAsia="Times New Roman"/>
          <w:spacing w:val="-12"/>
        </w:rPr>
        <w:t> </w:t>
      </w:r>
      <w:r>
        <w:rPr/>
        <w:t>亿美元的贷款提供担保，本次担保实际未发生。</w:t>
      </w:r>
    </w:p>
    <w:p>
      <w:pPr>
        <w:spacing w:after="0" w:line="364" w:lineRule="auto"/>
        <w:jc w:val="both"/>
        <w:sectPr>
          <w:pgSz w:w="11910" w:h="16840"/>
          <w:pgMar w:header="880" w:footer="1195" w:top="1440" w:bottom="1380" w:left="1680" w:right="1060"/>
        </w:sectPr>
      </w:pPr>
    </w:p>
    <w:p>
      <w:pPr>
        <w:pStyle w:val="ListParagraph"/>
        <w:numPr>
          <w:ilvl w:val="0"/>
          <w:numId w:val="28"/>
        </w:numPr>
        <w:tabs>
          <w:tab w:pos="1067" w:val="left" w:leader="none"/>
        </w:tabs>
        <w:spacing w:line="364" w:lineRule="auto" w:before="68" w:after="0"/>
        <w:ind w:left="118" w:right="207" w:firstLine="419"/>
        <w:jc w:val="both"/>
        <w:rPr>
          <w:sz w:val="21"/>
        </w:rPr>
      </w:pPr>
      <w:r>
        <w:rPr>
          <w:spacing w:val="-17"/>
          <w:sz w:val="21"/>
        </w:rPr>
        <w:t>公司于 </w:t>
      </w:r>
      <w:r>
        <w:rPr>
          <w:rFonts w:ascii="Times New Roman" w:eastAsia="Times New Roman"/>
          <w:sz w:val="21"/>
        </w:rPr>
        <w:t>2021</w:t>
      </w:r>
      <w:r>
        <w:rPr>
          <w:rFonts w:ascii="Times New Roman" w:eastAsia="Times New Roman"/>
          <w:spacing w:val="-20"/>
          <w:sz w:val="21"/>
        </w:rPr>
        <w:t> </w:t>
      </w:r>
      <w:r>
        <w:rPr>
          <w:spacing w:val="-33"/>
          <w:sz w:val="21"/>
        </w:rPr>
        <w:t>年 </w:t>
      </w:r>
      <w:r>
        <w:rPr>
          <w:rFonts w:ascii="Times New Roman" w:eastAsia="Times New Roman"/>
          <w:sz w:val="21"/>
        </w:rPr>
        <w:t>5</w:t>
      </w:r>
      <w:r>
        <w:rPr>
          <w:rFonts w:ascii="Times New Roman" w:eastAsia="Times New Roman"/>
          <w:spacing w:val="-23"/>
          <w:sz w:val="21"/>
        </w:rPr>
        <w:t> </w:t>
      </w:r>
      <w:r>
        <w:rPr>
          <w:spacing w:val="-33"/>
          <w:sz w:val="21"/>
        </w:rPr>
        <w:t>月 </w:t>
      </w:r>
      <w:r>
        <w:rPr>
          <w:rFonts w:ascii="Times New Roman" w:eastAsia="Times New Roman"/>
          <w:sz w:val="21"/>
        </w:rPr>
        <w:t>28</w:t>
      </w:r>
      <w:r>
        <w:rPr>
          <w:rFonts w:ascii="Times New Roman" w:eastAsia="Times New Roman"/>
          <w:spacing w:val="-21"/>
          <w:sz w:val="21"/>
        </w:rPr>
        <w:t> </w:t>
      </w:r>
      <w:r>
        <w:rPr>
          <w:sz w:val="21"/>
        </w:rPr>
        <w:t>日召开的第二届董事会第十次会议，</w:t>
      </w:r>
      <w:r>
        <w:rPr>
          <w:rFonts w:ascii="Times New Roman" w:eastAsia="Times New Roman"/>
          <w:sz w:val="21"/>
        </w:rPr>
        <w:t>2021</w:t>
      </w:r>
      <w:r>
        <w:rPr>
          <w:rFonts w:ascii="Times New Roman" w:eastAsia="Times New Roman"/>
          <w:spacing w:val="-24"/>
          <w:sz w:val="21"/>
        </w:rPr>
        <w:t> </w:t>
      </w:r>
      <w:r>
        <w:rPr>
          <w:spacing w:val="-32"/>
          <w:sz w:val="21"/>
        </w:rPr>
        <w:t>年 </w:t>
      </w:r>
      <w:r>
        <w:rPr>
          <w:rFonts w:ascii="Times New Roman" w:eastAsia="Times New Roman"/>
          <w:sz w:val="21"/>
        </w:rPr>
        <w:t>6</w:t>
      </w:r>
      <w:r>
        <w:rPr>
          <w:rFonts w:ascii="Times New Roman" w:eastAsia="Times New Roman"/>
          <w:spacing w:val="-24"/>
          <w:sz w:val="21"/>
        </w:rPr>
        <w:t> </w:t>
      </w:r>
      <w:r>
        <w:rPr>
          <w:spacing w:val="-32"/>
          <w:sz w:val="21"/>
        </w:rPr>
        <w:t>月 </w:t>
      </w:r>
      <w:r>
        <w:rPr>
          <w:rFonts w:ascii="Times New Roman" w:eastAsia="Times New Roman"/>
          <w:sz w:val="21"/>
        </w:rPr>
        <w:t>8</w:t>
      </w:r>
      <w:r>
        <w:rPr>
          <w:rFonts w:ascii="Times New Roman" w:eastAsia="Times New Roman"/>
          <w:spacing w:val="-22"/>
          <w:sz w:val="21"/>
        </w:rPr>
        <w:t> </w:t>
      </w:r>
      <w:r>
        <w:rPr>
          <w:spacing w:val="-14"/>
          <w:sz w:val="21"/>
        </w:rPr>
        <w:t>日召开的 </w:t>
      </w:r>
      <w:r>
        <w:rPr>
          <w:rFonts w:ascii="Times New Roman" w:eastAsia="Times New Roman"/>
          <w:sz w:val="21"/>
        </w:rPr>
        <w:t>2020</w:t>
      </w:r>
      <w:r>
        <w:rPr>
          <w:rFonts w:ascii="Times New Roman" w:eastAsia="Times New Roman"/>
          <w:spacing w:val="-50"/>
          <w:sz w:val="21"/>
        </w:rPr>
        <w:t> </w:t>
      </w:r>
      <w:r>
        <w:rPr>
          <w:sz w:val="21"/>
        </w:rPr>
        <w:t>年年度股东大会审议通过了《关于公司发行境外公司债务融资工具一般性授权的议案》。公司拟</w:t>
      </w:r>
      <w:r>
        <w:rPr>
          <w:spacing w:val="6"/>
          <w:sz w:val="21"/>
        </w:rPr>
        <w:t>为全资子公司</w:t>
      </w:r>
      <w:r>
        <w:rPr>
          <w:rFonts w:ascii="Times New Roman" w:eastAsia="Times New Roman"/>
          <w:sz w:val="21"/>
        </w:rPr>
        <w:t>CNTSG</w:t>
      </w:r>
      <w:r>
        <w:rPr>
          <w:rFonts w:ascii="Times New Roman" w:eastAsia="Times New Roman"/>
          <w:spacing w:val="-15"/>
          <w:sz w:val="21"/>
        </w:rPr>
        <w:t> </w:t>
      </w:r>
      <w:r>
        <w:rPr>
          <w:spacing w:val="-4"/>
          <w:sz w:val="21"/>
        </w:rPr>
        <w:t>在境外设立中期票据计划提供不超过 </w:t>
      </w:r>
      <w:r>
        <w:rPr>
          <w:rFonts w:ascii="Times New Roman" w:eastAsia="Times New Roman"/>
          <w:sz w:val="21"/>
        </w:rPr>
        <w:t>20</w:t>
      </w:r>
      <w:r>
        <w:rPr>
          <w:rFonts w:ascii="Times New Roman" w:eastAsia="Times New Roman"/>
          <w:spacing w:val="-17"/>
          <w:sz w:val="21"/>
        </w:rPr>
        <w:t> </w:t>
      </w:r>
      <w:r>
        <w:rPr>
          <w:sz w:val="21"/>
        </w:rPr>
        <w:t>亿美元的担保，本次担保实际未发生。</w:t>
      </w:r>
    </w:p>
    <w:p>
      <w:pPr>
        <w:pStyle w:val="ListParagraph"/>
        <w:numPr>
          <w:ilvl w:val="0"/>
          <w:numId w:val="28"/>
        </w:numPr>
        <w:tabs>
          <w:tab w:pos="1067" w:val="left" w:leader="none"/>
        </w:tabs>
        <w:spacing w:line="268" w:lineRule="exact" w:before="0" w:after="0"/>
        <w:ind w:left="1067" w:right="0" w:hanging="529"/>
        <w:jc w:val="both"/>
        <w:rPr>
          <w:sz w:val="21"/>
        </w:rPr>
      </w:pPr>
      <w:r>
        <w:rPr>
          <w:spacing w:val="-13"/>
          <w:sz w:val="21"/>
        </w:rPr>
        <w:t>公司于 </w:t>
      </w:r>
      <w:r>
        <w:rPr>
          <w:rFonts w:ascii="Times New Roman" w:eastAsia="Times New Roman"/>
          <w:sz w:val="21"/>
        </w:rPr>
        <w:t>2022</w:t>
      </w:r>
      <w:r>
        <w:rPr>
          <w:rFonts w:ascii="Times New Roman" w:eastAsia="Times New Roman"/>
          <w:spacing w:val="-8"/>
          <w:sz w:val="21"/>
        </w:rPr>
        <w:t> </w:t>
      </w:r>
      <w:r>
        <w:rPr>
          <w:spacing w:val="-25"/>
          <w:sz w:val="21"/>
        </w:rPr>
        <w:t>年 </w:t>
      </w:r>
      <w:r>
        <w:rPr>
          <w:rFonts w:ascii="Times New Roman" w:eastAsia="Times New Roman"/>
          <w:sz w:val="21"/>
        </w:rPr>
        <w:t>4</w:t>
      </w:r>
      <w:r>
        <w:rPr>
          <w:rFonts w:ascii="Times New Roman" w:eastAsia="Times New Roman"/>
          <w:spacing w:val="-12"/>
          <w:sz w:val="21"/>
        </w:rPr>
        <w:t> </w:t>
      </w:r>
      <w:r>
        <w:rPr>
          <w:spacing w:val="-26"/>
          <w:sz w:val="21"/>
        </w:rPr>
        <w:t>月 </w:t>
      </w:r>
      <w:r>
        <w:rPr>
          <w:rFonts w:ascii="Times New Roman" w:eastAsia="Times New Roman"/>
          <w:sz w:val="21"/>
        </w:rPr>
        <w:t>28</w:t>
      </w:r>
      <w:r>
        <w:rPr>
          <w:rFonts w:ascii="Times New Roman" w:eastAsia="Times New Roman"/>
          <w:spacing w:val="-10"/>
          <w:sz w:val="21"/>
        </w:rPr>
        <w:t> </w:t>
      </w:r>
      <w:r>
        <w:rPr>
          <w:sz w:val="21"/>
        </w:rPr>
        <w:t>日召开的第二届董事会第二十次会议，</w:t>
      </w:r>
      <w:r>
        <w:rPr>
          <w:rFonts w:ascii="Times New Roman" w:eastAsia="Times New Roman"/>
          <w:sz w:val="21"/>
        </w:rPr>
        <w:t>2022</w:t>
      </w:r>
      <w:r>
        <w:rPr>
          <w:rFonts w:ascii="Times New Roman" w:eastAsia="Times New Roman"/>
          <w:spacing w:val="-11"/>
          <w:sz w:val="21"/>
        </w:rPr>
        <w:t> </w:t>
      </w:r>
      <w:r>
        <w:rPr>
          <w:spacing w:val="-25"/>
          <w:sz w:val="21"/>
        </w:rPr>
        <w:t>年 </w:t>
      </w:r>
      <w:r>
        <w:rPr>
          <w:rFonts w:ascii="Times New Roman" w:eastAsia="Times New Roman"/>
          <w:sz w:val="21"/>
        </w:rPr>
        <w:t>6</w:t>
      </w:r>
      <w:r>
        <w:rPr>
          <w:rFonts w:ascii="Times New Roman" w:eastAsia="Times New Roman"/>
          <w:spacing w:val="-11"/>
          <w:sz w:val="21"/>
        </w:rPr>
        <w:t> </w:t>
      </w:r>
      <w:r>
        <w:rPr>
          <w:spacing w:val="-25"/>
          <w:sz w:val="21"/>
        </w:rPr>
        <w:t>月 </w:t>
      </w:r>
      <w:r>
        <w:rPr>
          <w:rFonts w:ascii="Times New Roman" w:eastAsia="Times New Roman"/>
          <w:sz w:val="21"/>
        </w:rPr>
        <w:t>23</w:t>
      </w:r>
      <w:r>
        <w:rPr>
          <w:rFonts w:ascii="Times New Roman" w:eastAsia="Times New Roman"/>
          <w:spacing w:val="-9"/>
          <w:sz w:val="21"/>
        </w:rPr>
        <w:t> </w:t>
      </w:r>
      <w:r>
        <w:rPr>
          <w:sz w:val="21"/>
        </w:rPr>
        <w:t>日召开的</w:t>
      </w:r>
    </w:p>
    <w:p>
      <w:pPr>
        <w:pStyle w:val="BodyText"/>
        <w:spacing w:line="364" w:lineRule="auto" w:before="139"/>
        <w:ind w:left="118" w:right="208"/>
        <w:jc w:val="both"/>
      </w:pPr>
      <w:r>
        <w:rPr>
          <w:rFonts w:ascii="Times New Roman" w:eastAsia="Times New Roman"/>
        </w:rPr>
        <w:t>2021</w:t>
      </w:r>
      <w:r>
        <w:rPr>
          <w:rFonts w:ascii="Times New Roman" w:eastAsia="Times New Roman"/>
          <w:spacing w:val="20"/>
        </w:rPr>
        <w:t> </w:t>
      </w:r>
      <w:r>
        <w:rPr/>
        <w:t>年年度股东大会审议通过了《关于公司为境外全资子公司融资提供担保的议案》。公司拟</w:t>
      </w:r>
      <w:r>
        <w:rPr>
          <w:spacing w:val="-6"/>
        </w:rPr>
        <w:t>为全资子公司 </w:t>
      </w:r>
      <w:r>
        <w:rPr>
          <w:rFonts w:ascii="Times New Roman" w:eastAsia="Times New Roman"/>
          <w:spacing w:val="-1"/>
        </w:rPr>
        <w:t>CNTSG</w:t>
      </w:r>
      <w:r>
        <w:rPr>
          <w:rFonts w:ascii="Times New Roman" w:eastAsia="Times New Roman"/>
          <w:spacing w:val="10"/>
        </w:rPr>
        <w:t> </w:t>
      </w:r>
      <w:r>
        <w:rPr>
          <w:spacing w:val="-3"/>
        </w:rPr>
        <w:t>在境外向银团申请不超过 </w:t>
      </w:r>
      <w:r>
        <w:rPr>
          <w:rFonts w:ascii="Times New Roman" w:eastAsia="Times New Roman"/>
        </w:rPr>
        <w:t>5</w:t>
      </w:r>
      <w:r>
        <w:rPr>
          <w:rFonts w:ascii="Times New Roman" w:eastAsia="Times New Roman"/>
          <w:spacing w:val="6"/>
        </w:rPr>
        <w:t> </w:t>
      </w:r>
      <w:r>
        <w:rPr/>
        <w:t>亿美元的贷款提供担保，本次担保实际发生额</w:t>
      </w:r>
      <w:r>
        <w:rPr>
          <w:spacing w:val="-27"/>
        </w:rPr>
        <w:t>为 </w:t>
      </w:r>
      <w:r>
        <w:rPr>
          <w:rFonts w:ascii="Times New Roman" w:eastAsia="Times New Roman"/>
        </w:rPr>
        <w:t>5</w:t>
      </w:r>
      <w:r>
        <w:rPr>
          <w:rFonts w:ascii="Times New Roman" w:eastAsia="Times New Roman"/>
          <w:spacing w:val="-12"/>
        </w:rPr>
        <w:t> </w:t>
      </w:r>
      <w:r>
        <w:rPr/>
        <w:t>亿美元。</w:t>
      </w:r>
    </w:p>
    <w:p>
      <w:pPr>
        <w:pStyle w:val="BodyText"/>
        <w:spacing w:before="59"/>
        <w:ind w:left="259"/>
        <w:jc w:val="both"/>
      </w:pPr>
      <w:r>
        <w:rPr>
          <w:spacing w:val="-6"/>
        </w:rPr>
        <w:t>(三) 委托他人进行现金资产管理的情况</w:t>
      </w:r>
    </w:p>
    <w:p>
      <w:pPr>
        <w:pStyle w:val="ListParagraph"/>
        <w:numPr>
          <w:ilvl w:val="0"/>
          <w:numId w:val="29"/>
        </w:numPr>
        <w:tabs>
          <w:tab w:pos="543" w:val="left" w:leader="none"/>
        </w:tabs>
        <w:spacing w:line="240" w:lineRule="auto" w:before="65" w:after="0"/>
        <w:ind w:left="542" w:right="0" w:hanging="425"/>
        <w:jc w:val="left"/>
        <w:rPr>
          <w:sz w:val="21"/>
        </w:rPr>
      </w:pPr>
      <w:r>
        <w:rPr>
          <w:sz w:val="21"/>
        </w:rPr>
        <w:t>委托理财情况 </w:t>
      </w:r>
    </w:p>
    <w:p>
      <w:pPr>
        <w:pStyle w:val="ListParagraph"/>
        <w:numPr>
          <w:ilvl w:val="0"/>
          <w:numId w:val="30"/>
        </w:numPr>
        <w:tabs>
          <w:tab w:pos="478" w:val="left" w:leader="none"/>
        </w:tabs>
        <w:spacing w:line="240" w:lineRule="auto" w:before="63" w:after="0"/>
        <w:ind w:left="478" w:right="0" w:hanging="360"/>
        <w:jc w:val="left"/>
        <w:rPr>
          <w:sz w:val="21"/>
        </w:rPr>
      </w:pPr>
      <w:r>
        <w:rPr>
          <w:sz w:val="21"/>
        </w:rPr>
        <w:t>委托理财总体情况</w:t>
      </w:r>
    </w:p>
    <w:p>
      <w:pPr>
        <w:pStyle w:val="BodyText"/>
        <w:spacing w:before="64"/>
        <w:ind w:left="118"/>
      </w:pPr>
      <w:r>
        <w:rPr>
          <w:spacing w:val="11"/>
        </w:rPr>
        <w:t>□适用 √不适用</w:t>
      </w:r>
      <w:r>
        <w:rPr>
          <w:spacing w:val="-3"/>
        </w:rPr>
        <w:t> </w:t>
      </w:r>
      <w:r>
        <w:rPr/>
        <w:t> </w:t>
      </w:r>
    </w:p>
    <w:p>
      <w:pPr>
        <w:pStyle w:val="BodyText"/>
        <w:spacing w:before="2"/>
        <w:ind w:left="118"/>
      </w:pPr>
      <w:r>
        <w:rPr>
          <w:w w:val="100"/>
        </w:rPr>
        <w:t> </w:t>
      </w:r>
    </w:p>
    <w:p>
      <w:pPr>
        <w:pStyle w:val="BodyText"/>
        <w:spacing w:before="5"/>
        <w:ind w:left="118"/>
      </w:pPr>
      <w:r>
        <w:rPr/>
        <w:t>其他情况 </w:t>
      </w:r>
    </w:p>
    <w:p>
      <w:pPr>
        <w:pStyle w:val="BodyText"/>
        <w:spacing w:before="2"/>
        <w:ind w:left="118"/>
      </w:pPr>
      <w:r>
        <w:rPr>
          <w:spacing w:val="11"/>
        </w:rPr>
        <w:t>□适用 √不适用</w:t>
      </w:r>
      <w:r>
        <w:rPr>
          <w:spacing w:val="-3"/>
        </w:rPr>
        <w:t> </w:t>
      </w:r>
      <w:r>
        <w:rPr/>
        <w:t> </w:t>
      </w:r>
    </w:p>
    <w:p>
      <w:pPr>
        <w:pStyle w:val="BodyText"/>
        <w:spacing w:before="2"/>
        <w:ind w:left="118"/>
      </w:pPr>
      <w:r>
        <w:rPr>
          <w:w w:val="100"/>
        </w:rPr>
        <w:t> </w:t>
      </w:r>
    </w:p>
    <w:p>
      <w:pPr>
        <w:pStyle w:val="ListParagraph"/>
        <w:numPr>
          <w:ilvl w:val="0"/>
          <w:numId w:val="30"/>
        </w:numPr>
        <w:tabs>
          <w:tab w:pos="478" w:val="left" w:leader="none"/>
        </w:tabs>
        <w:spacing w:line="240" w:lineRule="auto" w:before="65" w:after="0"/>
        <w:ind w:left="478" w:right="0" w:hanging="360"/>
        <w:jc w:val="left"/>
        <w:rPr>
          <w:sz w:val="21"/>
        </w:rPr>
      </w:pPr>
      <w:r>
        <w:rPr>
          <w:sz w:val="21"/>
        </w:rPr>
        <w:t>单项委托理财情况</w:t>
      </w:r>
    </w:p>
    <w:p>
      <w:pPr>
        <w:pStyle w:val="BodyText"/>
        <w:spacing w:line="244" w:lineRule="auto" w:before="62"/>
        <w:ind w:left="118" w:right="7155"/>
      </w:pPr>
      <w:r>
        <w:rPr>
          <w:spacing w:val="11"/>
        </w:rPr>
        <w:t>□适用 √不适用其</w:t>
      </w:r>
      <w:r>
        <w:rPr/>
        <w:t>他情况 </w:t>
      </w:r>
    </w:p>
    <w:p>
      <w:pPr>
        <w:pStyle w:val="BodyText"/>
        <w:spacing w:line="265" w:lineRule="exact"/>
        <w:ind w:left="118"/>
      </w:pPr>
      <w:r>
        <w:rPr>
          <w:spacing w:val="11"/>
        </w:rPr>
        <w:t>□适用 √不适用</w:t>
      </w:r>
      <w:r>
        <w:rPr>
          <w:spacing w:val="-3"/>
        </w:rPr>
        <w:t> </w:t>
      </w:r>
      <w:r>
        <w:rPr/>
        <w:t> </w:t>
      </w:r>
    </w:p>
    <w:p>
      <w:pPr>
        <w:pStyle w:val="BodyText"/>
        <w:spacing w:before="4"/>
        <w:ind w:left="118"/>
      </w:pPr>
      <w:r>
        <w:rPr>
          <w:w w:val="100"/>
        </w:rPr>
        <w:t> </w:t>
      </w:r>
    </w:p>
    <w:p>
      <w:pPr>
        <w:pStyle w:val="ListParagraph"/>
        <w:numPr>
          <w:ilvl w:val="0"/>
          <w:numId w:val="30"/>
        </w:numPr>
        <w:tabs>
          <w:tab w:pos="478" w:val="left" w:leader="none"/>
        </w:tabs>
        <w:spacing w:line="240" w:lineRule="auto" w:before="63" w:after="0"/>
        <w:ind w:left="478" w:right="0" w:hanging="360"/>
        <w:jc w:val="left"/>
        <w:rPr>
          <w:sz w:val="21"/>
        </w:rPr>
      </w:pPr>
      <w:r>
        <w:rPr>
          <w:sz w:val="21"/>
        </w:rPr>
        <w:t>委托理财减值准备</w:t>
      </w:r>
    </w:p>
    <w:p>
      <w:pPr>
        <w:pStyle w:val="BodyText"/>
        <w:spacing w:before="64"/>
        <w:ind w:left="118"/>
      </w:pPr>
      <w:r>
        <w:rPr>
          <w:spacing w:val="11"/>
        </w:rPr>
        <w:t>□适用 √不适用</w:t>
      </w:r>
      <w:r>
        <w:rPr>
          <w:spacing w:val="-3"/>
        </w:rPr>
        <w:t> </w:t>
      </w:r>
      <w:r>
        <w:rPr/>
        <w:t> </w:t>
      </w:r>
    </w:p>
    <w:p>
      <w:pPr>
        <w:pStyle w:val="BodyText"/>
        <w:spacing w:before="3"/>
        <w:ind w:left="118"/>
      </w:pPr>
      <w:r>
        <w:rPr>
          <w:w w:val="100"/>
        </w:rPr>
        <w:t> </w:t>
      </w:r>
    </w:p>
    <w:p>
      <w:pPr>
        <w:pStyle w:val="ListParagraph"/>
        <w:numPr>
          <w:ilvl w:val="0"/>
          <w:numId w:val="29"/>
        </w:numPr>
        <w:tabs>
          <w:tab w:pos="543" w:val="left" w:leader="none"/>
        </w:tabs>
        <w:spacing w:line="240" w:lineRule="auto" w:before="64" w:after="0"/>
        <w:ind w:left="542" w:right="0" w:hanging="425"/>
        <w:jc w:val="left"/>
        <w:rPr>
          <w:sz w:val="21"/>
        </w:rPr>
      </w:pPr>
      <w:r>
        <w:rPr>
          <w:sz w:val="21"/>
        </w:rPr>
        <w:t>委托贷款情况 </w:t>
      </w:r>
    </w:p>
    <w:p>
      <w:pPr>
        <w:pStyle w:val="ListParagraph"/>
        <w:numPr>
          <w:ilvl w:val="0"/>
          <w:numId w:val="31"/>
        </w:numPr>
        <w:tabs>
          <w:tab w:pos="478" w:val="left" w:leader="none"/>
        </w:tabs>
        <w:spacing w:line="240" w:lineRule="auto" w:before="62" w:after="0"/>
        <w:ind w:left="478" w:right="0" w:hanging="360"/>
        <w:jc w:val="left"/>
        <w:rPr>
          <w:sz w:val="21"/>
        </w:rPr>
      </w:pPr>
      <w:r>
        <w:rPr>
          <w:sz w:val="21"/>
        </w:rPr>
        <w:t>委托贷款总体情况</w:t>
      </w:r>
    </w:p>
    <w:p>
      <w:pPr>
        <w:pStyle w:val="BodyText"/>
        <w:spacing w:line="242" w:lineRule="auto" w:before="65"/>
        <w:ind w:left="118" w:right="7155"/>
      </w:pPr>
      <w:r>
        <w:rPr>
          <w:spacing w:val="11"/>
        </w:rPr>
        <w:t>□适用 √不适用其</w:t>
      </w:r>
      <w:r>
        <w:rPr/>
        <w:t>他情况 </w:t>
      </w:r>
    </w:p>
    <w:p>
      <w:pPr>
        <w:pStyle w:val="BodyText"/>
        <w:spacing w:before="1"/>
        <w:ind w:left="118"/>
      </w:pPr>
      <w:r>
        <w:rPr>
          <w:spacing w:val="11"/>
        </w:rPr>
        <w:t>□适用 √不适用</w:t>
      </w:r>
      <w:r>
        <w:rPr>
          <w:spacing w:val="-3"/>
        </w:rPr>
        <w:t> </w:t>
      </w:r>
      <w:r>
        <w:rPr/>
        <w:t> </w:t>
      </w:r>
    </w:p>
    <w:p>
      <w:pPr>
        <w:pStyle w:val="BodyText"/>
        <w:spacing w:before="2"/>
        <w:ind w:left="118"/>
      </w:pPr>
      <w:r>
        <w:rPr>
          <w:w w:val="100"/>
        </w:rPr>
        <w:t> </w:t>
      </w:r>
    </w:p>
    <w:p>
      <w:pPr>
        <w:pStyle w:val="ListParagraph"/>
        <w:numPr>
          <w:ilvl w:val="0"/>
          <w:numId w:val="31"/>
        </w:numPr>
        <w:tabs>
          <w:tab w:pos="478" w:val="left" w:leader="none"/>
        </w:tabs>
        <w:spacing w:line="240" w:lineRule="auto" w:before="65" w:after="0"/>
        <w:ind w:left="478" w:right="0" w:hanging="360"/>
        <w:jc w:val="left"/>
        <w:rPr>
          <w:sz w:val="21"/>
        </w:rPr>
      </w:pPr>
      <w:r>
        <w:rPr>
          <w:sz w:val="21"/>
        </w:rPr>
        <w:t>单项委托贷款情况</w:t>
      </w:r>
    </w:p>
    <w:p>
      <w:pPr>
        <w:pStyle w:val="BodyText"/>
        <w:spacing w:line="244" w:lineRule="auto" w:before="62"/>
        <w:ind w:left="118" w:right="7155"/>
      </w:pPr>
      <w:r>
        <w:rPr>
          <w:spacing w:val="11"/>
        </w:rPr>
        <w:t>□适用 √不适用其</w:t>
      </w:r>
      <w:r>
        <w:rPr/>
        <w:t>他情况 </w:t>
      </w:r>
    </w:p>
    <w:p>
      <w:pPr>
        <w:pStyle w:val="BodyText"/>
        <w:spacing w:line="266" w:lineRule="exact"/>
        <w:ind w:left="118"/>
      </w:pPr>
      <w:r>
        <w:rPr>
          <w:spacing w:val="11"/>
        </w:rPr>
        <w:t>□适用 √不适用</w:t>
      </w:r>
      <w:r>
        <w:rPr>
          <w:spacing w:val="-3"/>
        </w:rPr>
        <w:t> </w:t>
      </w:r>
      <w:r>
        <w:rPr/>
        <w:t> </w:t>
      </w:r>
    </w:p>
    <w:p>
      <w:pPr>
        <w:pStyle w:val="BodyText"/>
        <w:spacing w:before="4"/>
        <w:ind w:left="118"/>
      </w:pPr>
      <w:r>
        <w:rPr>
          <w:w w:val="100"/>
        </w:rPr>
        <w:t> </w:t>
      </w:r>
    </w:p>
    <w:p>
      <w:pPr>
        <w:pStyle w:val="ListParagraph"/>
        <w:numPr>
          <w:ilvl w:val="0"/>
          <w:numId w:val="31"/>
        </w:numPr>
        <w:tabs>
          <w:tab w:pos="478" w:val="left" w:leader="none"/>
        </w:tabs>
        <w:spacing w:line="240" w:lineRule="auto" w:before="62" w:after="0"/>
        <w:ind w:left="478" w:right="0" w:hanging="360"/>
        <w:jc w:val="left"/>
        <w:rPr>
          <w:sz w:val="21"/>
        </w:rPr>
      </w:pPr>
      <w:r>
        <w:rPr>
          <w:sz w:val="21"/>
        </w:rPr>
        <w:t>委托贷款减值准备</w:t>
      </w:r>
    </w:p>
    <w:p>
      <w:pPr>
        <w:pStyle w:val="BodyText"/>
        <w:spacing w:before="63"/>
        <w:ind w:left="118"/>
      </w:pPr>
      <w:r>
        <w:rPr>
          <w:spacing w:val="11"/>
        </w:rPr>
        <w:t>□适用 √不适用</w:t>
      </w:r>
      <w:r>
        <w:rPr>
          <w:spacing w:val="-3"/>
        </w:rPr>
        <w:t> </w:t>
      </w:r>
      <w:r>
        <w:rPr/>
        <w:t> </w:t>
      </w:r>
    </w:p>
    <w:p>
      <w:pPr>
        <w:pStyle w:val="BodyText"/>
        <w:spacing w:before="4"/>
        <w:ind w:left="118"/>
      </w:pPr>
      <w:r>
        <w:rPr>
          <w:w w:val="100"/>
        </w:rPr>
        <w:t> </w:t>
      </w:r>
    </w:p>
    <w:p>
      <w:pPr>
        <w:pStyle w:val="ListParagraph"/>
        <w:numPr>
          <w:ilvl w:val="0"/>
          <w:numId w:val="29"/>
        </w:numPr>
        <w:tabs>
          <w:tab w:pos="543" w:val="left" w:leader="none"/>
        </w:tabs>
        <w:spacing w:line="240" w:lineRule="auto" w:before="62" w:after="0"/>
        <w:ind w:left="542" w:right="0" w:hanging="425"/>
        <w:jc w:val="left"/>
        <w:rPr>
          <w:sz w:val="21"/>
        </w:rPr>
      </w:pPr>
      <w:r>
        <w:rPr>
          <w:sz w:val="21"/>
        </w:rPr>
        <w:t>其他情况 </w:t>
      </w:r>
    </w:p>
    <w:p>
      <w:pPr>
        <w:pStyle w:val="BodyText"/>
        <w:spacing w:before="65"/>
        <w:ind w:left="118"/>
      </w:pPr>
      <w:r>
        <w:rPr>
          <w:spacing w:val="11"/>
        </w:rPr>
        <w:t>□适用 √不适用</w:t>
      </w:r>
      <w:r>
        <w:rPr>
          <w:spacing w:val="-3"/>
        </w:rPr>
        <w:t> </w:t>
      </w:r>
      <w:r>
        <w:rPr/>
        <w:t> </w:t>
      </w:r>
    </w:p>
    <w:p>
      <w:pPr>
        <w:pStyle w:val="BodyText"/>
        <w:spacing w:before="2"/>
        <w:ind w:left="118"/>
      </w:pPr>
      <w:r>
        <w:rPr>
          <w:w w:val="100"/>
        </w:rPr>
        <w:t> </w:t>
      </w:r>
    </w:p>
    <w:p>
      <w:pPr>
        <w:spacing w:after="0"/>
        <w:sectPr>
          <w:pgSz w:w="11910" w:h="16840"/>
          <w:pgMar w:header="880" w:footer="1195" w:top="1440" w:bottom="1380" w:left="1680" w:right="1060"/>
        </w:sectPr>
      </w:pPr>
    </w:p>
    <w:p>
      <w:pPr>
        <w:pStyle w:val="BodyText"/>
        <w:spacing w:before="68"/>
        <w:ind w:left="0" w:right="7155"/>
        <w:jc w:val="right"/>
      </w:pPr>
      <w:r>
        <w:rPr>
          <w:spacing w:val="-6"/>
        </w:rPr>
        <w:t>(四) 其他重大合同</w:t>
      </w:r>
    </w:p>
    <w:p>
      <w:pPr>
        <w:pStyle w:val="BodyText"/>
        <w:spacing w:before="65"/>
        <w:ind w:left="0" w:right="7155"/>
        <w:jc w:val="right"/>
      </w:pPr>
      <w:r>
        <w:rPr>
          <w:spacing w:val="11"/>
        </w:rPr>
        <w:t>□适用 √不适用</w:t>
      </w:r>
      <w:r>
        <w:rPr>
          <w:spacing w:val="-3"/>
        </w:rPr>
        <w:t> </w:t>
      </w:r>
      <w:r>
        <w:rPr/>
        <w:t> </w:t>
      </w:r>
    </w:p>
    <w:p>
      <w:pPr>
        <w:pStyle w:val="BodyText"/>
        <w:spacing w:before="2"/>
        <w:ind w:left="118"/>
      </w:pPr>
      <w:r>
        <w:rPr>
          <w:w w:val="100"/>
        </w:rPr>
        <w:t> </w:t>
      </w:r>
    </w:p>
    <w:p>
      <w:pPr>
        <w:pStyle w:val="BodyText"/>
        <w:spacing w:before="65"/>
        <w:ind w:left="118"/>
      </w:pPr>
      <w:r>
        <w:rPr/>
        <w:t>十四、其他对投资者作出价值判断和投资决策有重大影响的重大事项的说明</w:t>
      </w:r>
    </w:p>
    <w:p>
      <w:pPr>
        <w:pStyle w:val="BodyText"/>
        <w:spacing w:before="62"/>
        <w:ind w:left="118"/>
      </w:pPr>
      <w:r>
        <w:rPr>
          <w:spacing w:val="-1"/>
        </w:rPr>
        <w:t>□适用 √不适用</w:t>
      </w:r>
      <w:r>
        <w:rPr/>
        <w:t> </w:t>
      </w:r>
    </w:p>
    <w:p>
      <w:pPr>
        <w:spacing w:after="0"/>
        <w:sectPr>
          <w:pgSz w:w="11910" w:h="16840"/>
          <w:pgMar w:header="880" w:footer="1195" w:top="1440" w:bottom="1380" w:left="1680" w:right="1060"/>
        </w:sectPr>
      </w:pPr>
    </w:p>
    <w:p>
      <w:pPr>
        <w:spacing w:before="48"/>
        <w:ind w:left="5147" w:right="5252" w:firstLine="0"/>
        <w:jc w:val="center"/>
        <w:rPr>
          <w:sz w:val="18"/>
        </w:rPr>
      </w:pPr>
      <w:r>
        <w:rPr/>
        <w:pict>
          <v:rect style="position:absolute;margin-left:70.559998pt;margin-top:15.119976pt;width:695.62pt;height:.72pt;mso-position-horizontal-relative:page;mso-position-vertical-relative:paragraph;z-index:-15723008;mso-wrap-distance-left:0;mso-wrap-distance-right:0" filled="true" fillcolor="#000000" stroked="false">
            <v:fill type="solid"/>
            <w10:wrap type="topAndBottom"/>
          </v:rect>
        </w:pict>
      </w:r>
      <w:r>
        <w:rPr>
          <w:rFonts w:ascii="Calibri" w:eastAsia="Calibri"/>
          <w:sz w:val="18"/>
        </w:rPr>
        <w:t>2022</w:t>
      </w:r>
      <w:r>
        <w:rPr>
          <w:rFonts w:ascii="Calibri" w:eastAsia="Calibri"/>
          <w:spacing w:val="5"/>
          <w:sz w:val="18"/>
        </w:rPr>
        <w:t> </w:t>
      </w:r>
      <w:r>
        <w:rPr>
          <w:sz w:val="18"/>
        </w:rPr>
        <w:t>年年度报告</w:t>
      </w:r>
    </w:p>
    <w:p>
      <w:pPr>
        <w:pStyle w:val="BodyText"/>
        <w:ind w:left="0"/>
        <w:rPr>
          <w:sz w:val="20"/>
        </w:rPr>
      </w:pPr>
    </w:p>
    <w:p>
      <w:pPr>
        <w:pStyle w:val="BodyText"/>
        <w:ind w:left="0"/>
        <w:rPr>
          <w:sz w:val="20"/>
        </w:rPr>
      </w:pPr>
    </w:p>
    <w:p>
      <w:pPr>
        <w:pStyle w:val="Heading1"/>
        <w:spacing w:line="240" w:lineRule="auto" w:before="99"/>
        <w:ind w:left="5168" w:right="5252"/>
      </w:pPr>
      <w:bookmarkStart w:name="_bookmark6" w:id="10"/>
      <w:bookmarkEnd w:id="10"/>
      <w:r>
        <w:rPr>
          <w:b w:val="0"/>
        </w:rPr>
      </w:r>
      <w:r>
        <w:rPr/>
        <w:t>第七节      股份变动及股东情况</w:t>
      </w:r>
    </w:p>
    <w:p>
      <w:pPr>
        <w:pStyle w:val="BodyText"/>
        <w:spacing w:before="3"/>
        <w:ind w:left="0"/>
        <w:rPr>
          <w:rFonts w:ascii="Microsoft JhengHei"/>
          <w:b/>
          <w:sz w:val="6"/>
        </w:rPr>
      </w:pPr>
    </w:p>
    <w:p>
      <w:pPr>
        <w:pStyle w:val="BodyText"/>
        <w:spacing w:before="72"/>
        <w:ind w:left="140"/>
      </w:pPr>
      <w:r>
        <w:rPr>
          <w:w w:val="100"/>
        </w:rPr>
        <w:t> </w:t>
      </w:r>
    </w:p>
    <w:p>
      <w:pPr>
        <w:pStyle w:val="BodyText"/>
        <w:spacing w:before="62"/>
        <w:ind w:left="140"/>
      </w:pPr>
      <w:r>
        <w:rPr>
          <w:spacing w:val="-10"/>
        </w:rPr>
        <w:t>一、 股本变动情况</w:t>
      </w:r>
    </w:p>
    <w:p>
      <w:pPr>
        <w:pStyle w:val="BodyText"/>
        <w:tabs>
          <w:tab w:pos="706" w:val="left" w:leader="none"/>
        </w:tabs>
        <w:spacing w:line="295" w:lineRule="auto" w:before="64"/>
        <w:ind w:left="140" w:right="12051"/>
      </w:pPr>
      <w:r>
        <w:rPr>
          <w:rFonts w:ascii="Calibri" w:eastAsia="Calibri"/>
          <w:b/>
        </w:rPr>
        <w:t>(</w:t>
      </w:r>
      <w:r>
        <w:rPr/>
        <w:t>一</w:t>
      </w:r>
      <w:r>
        <w:rPr>
          <w:rFonts w:ascii="Calibri" w:eastAsia="Calibri"/>
          <w:b/>
        </w:rPr>
        <w:t>)</w:t>
        <w:tab/>
      </w:r>
      <w:r>
        <w:rPr/>
        <w:t>股份变动情况表1、 股份变动情况表 </w:t>
      </w:r>
    </w:p>
    <w:p>
      <w:pPr>
        <w:pStyle w:val="BodyText"/>
        <w:spacing w:before="4"/>
        <w:ind w:left="13174"/>
      </w:pPr>
      <w:r>
        <w:rPr>
          <w:spacing w:val="-1"/>
        </w:rPr>
        <w:t>单位：股</w:t>
      </w:r>
      <w:r>
        <w:rPr/>
        <w:t> </w:t>
      </w: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3"/>
        <w:gridCol w:w="1705"/>
        <w:gridCol w:w="850"/>
        <w:gridCol w:w="852"/>
        <w:gridCol w:w="566"/>
        <w:gridCol w:w="1277"/>
        <w:gridCol w:w="1843"/>
        <w:gridCol w:w="1944"/>
        <w:gridCol w:w="1687"/>
        <w:gridCol w:w="737"/>
      </w:tblGrid>
      <w:tr>
        <w:trPr>
          <w:trHeight w:val="273" w:hRule="atLeast"/>
        </w:trPr>
        <w:tc>
          <w:tcPr>
            <w:tcW w:w="2403" w:type="dxa"/>
            <w:vMerge w:val="restart"/>
          </w:tcPr>
          <w:p>
            <w:pPr>
              <w:pStyle w:val="TableParagraph"/>
              <w:spacing w:before="1"/>
              <w:ind w:left="113"/>
              <w:jc w:val="center"/>
              <w:rPr>
                <w:sz w:val="21"/>
              </w:rPr>
            </w:pPr>
            <w:r>
              <w:rPr>
                <w:w w:val="100"/>
                <w:sz w:val="21"/>
              </w:rPr>
              <w:t> </w:t>
            </w:r>
          </w:p>
        </w:tc>
        <w:tc>
          <w:tcPr>
            <w:tcW w:w="2555" w:type="dxa"/>
            <w:gridSpan w:val="2"/>
          </w:tcPr>
          <w:p>
            <w:pPr>
              <w:pStyle w:val="TableParagraph"/>
              <w:spacing w:line="252" w:lineRule="exact" w:before="1"/>
              <w:ind w:left="750"/>
              <w:rPr>
                <w:sz w:val="21"/>
              </w:rPr>
            </w:pPr>
            <w:r>
              <w:rPr>
                <w:sz w:val="21"/>
              </w:rPr>
              <w:t>本次变动前 </w:t>
            </w:r>
          </w:p>
        </w:tc>
        <w:tc>
          <w:tcPr>
            <w:tcW w:w="6482" w:type="dxa"/>
            <w:gridSpan w:val="5"/>
          </w:tcPr>
          <w:p>
            <w:pPr>
              <w:pStyle w:val="TableParagraph"/>
              <w:spacing w:line="252" w:lineRule="exact" w:before="1"/>
              <w:ind w:left="2121" w:right="2007"/>
              <w:jc w:val="center"/>
              <w:rPr>
                <w:sz w:val="21"/>
              </w:rPr>
            </w:pPr>
            <w:r>
              <w:rPr>
                <w:spacing w:val="-1"/>
                <w:sz w:val="21"/>
              </w:rPr>
              <w:t>本次变动增减</w:t>
            </w:r>
            <w:r>
              <w:rPr>
                <w:sz w:val="21"/>
              </w:rPr>
              <w:t>（＋，－） </w:t>
            </w:r>
          </w:p>
        </w:tc>
        <w:tc>
          <w:tcPr>
            <w:tcW w:w="2424" w:type="dxa"/>
            <w:gridSpan w:val="2"/>
          </w:tcPr>
          <w:p>
            <w:pPr>
              <w:pStyle w:val="TableParagraph"/>
              <w:spacing w:line="252" w:lineRule="exact" w:before="1"/>
              <w:ind w:left="686"/>
              <w:rPr>
                <w:sz w:val="21"/>
              </w:rPr>
            </w:pPr>
            <w:r>
              <w:rPr>
                <w:sz w:val="21"/>
              </w:rPr>
              <w:t>本次变动后 </w:t>
            </w:r>
          </w:p>
        </w:tc>
      </w:tr>
      <w:tr>
        <w:trPr>
          <w:trHeight w:val="544" w:hRule="atLeast"/>
        </w:trPr>
        <w:tc>
          <w:tcPr>
            <w:tcW w:w="2403" w:type="dxa"/>
            <w:vMerge/>
            <w:tcBorders>
              <w:top w:val="nil"/>
            </w:tcBorders>
          </w:tcPr>
          <w:p>
            <w:pPr>
              <w:rPr>
                <w:sz w:val="2"/>
                <w:szCs w:val="2"/>
              </w:rPr>
            </w:pPr>
          </w:p>
        </w:tc>
        <w:tc>
          <w:tcPr>
            <w:tcW w:w="1705" w:type="dxa"/>
          </w:tcPr>
          <w:p>
            <w:pPr>
              <w:pStyle w:val="TableParagraph"/>
              <w:spacing w:before="137"/>
              <w:ind w:left="640"/>
              <w:rPr>
                <w:sz w:val="21"/>
              </w:rPr>
            </w:pPr>
            <w:r>
              <w:rPr>
                <w:sz w:val="21"/>
              </w:rPr>
              <w:t>数量 </w:t>
            </w:r>
          </w:p>
        </w:tc>
        <w:tc>
          <w:tcPr>
            <w:tcW w:w="850" w:type="dxa"/>
          </w:tcPr>
          <w:p>
            <w:pPr>
              <w:pStyle w:val="TableParagraph"/>
              <w:spacing w:before="1"/>
              <w:ind w:left="212"/>
              <w:rPr>
                <w:sz w:val="21"/>
              </w:rPr>
            </w:pPr>
            <w:r>
              <w:rPr>
                <w:sz w:val="21"/>
              </w:rPr>
              <w:t>比例</w:t>
            </w:r>
          </w:p>
          <w:p>
            <w:pPr>
              <w:pStyle w:val="TableParagraph"/>
              <w:spacing w:line="252" w:lineRule="exact" w:before="2"/>
              <w:ind w:left="265"/>
              <w:rPr>
                <w:sz w:val="21"/>
              </w:rPr>
            </w:pPr>
            <w:r>
              <w:rPr>
                <w:sz w:val="21"/>
              </w:rPr>
              <w:t>(%) </w:t>
            </w:r>
          </w:p>
        </w:tc>
        <w:tc>
          <w:tcPr>
            <w:tcW w:w="852" w:type="dxa"/>
          </w:tcPr>
          <w:p>
            <w:pPr>
              <w:pStyle w:val="TableParagraph"/>
              <w:spacing w:before="1"/>
              <w:ind w:left="109"/>
              <w:rPr>
                <w:sz w:val="21"/>
              </w:rPr>
            </w:pPr>
            <w:r>
              <w:rPr>
                <w:sz w:val="21"/>
              </w:rPr>
              <w:t>发行新</w:t>
            </w:r>
          </w:p>
          <w:p>
            <w:pPr>
              <w:pStyle w:val="TableParagraph"/>
              <w:spacing w:line="252" w:lineRule="exact" w:before="2"/>
              <w:ind w:left="318"/>
              <w:rPr>
                <w:sz w:val="21"/>
              </w:rPr>
            </w:pPr>
            <w:r>
              <w:rPr>
                <w:sz w:val="21"/>
              </w:rPr>
              <w:t>股 </w:t>
            </w:r>
          </w:p>
        </w:tc>
        <w:tc>
          <w:tcPr>
            <w:tcW w:w="566" w:type="dxa"/>
          </w:tcPr>
          <w:p>
            <w:pPr>
              <w:pStyle w:val="TableParagraph"/>
              <w:spacing w:before="1"/>
              <w:ind w:left="176"/>
              <w:rPr>
                <w:sz w:val="21"/>
              </w:rPr>
            </w:pPr>
            <w:r>
              <w:rPr>
                <w:w w:val="100"/>
                <w:sz w:val="21"/>
              </w:rPr>
              <w:t>送</w:t>
            </w:r>
          </w:p>
          <w:p>
            <w:pPr>
              <w:pStyle w:val="TableParagraph"/>
              <w:spacing w:line="252" w:lineRule="exact" w:before="2"/>
              <w:ind w:left="176"/>
              <w:rPr>
                <w:sz w:val="21"/>
              </w:rPr>
            </w:pPr>
            <w:r>
              <w:rPr>
                <w:sz w:val="21"/>
              </w:rPr>
              <w:t>股 </w:t>
            </w:r>
          </w:p>
        </w:tc>
        <w:tc>
          <w:tcPr>
            <w:tcW w:w="1277" w:type="dxa"/>
          </w:tcPr>
          <w:p>
            <w:pPr>
              <w:pStyle w:val="TableParagraph"/>
              <w:spacing w:before="137"/>
              <w:ind w:left="109"/>
              <w:rPr>
                <w:sz w:val="21"/>
              </w:rPr>
            </w:pPr>
            <w:r>
              <w:rPr>
                <w:sz w:val="21"/>
              </w:rPr>
              <w:t>公积金转股 </w:t>
            </w:r>
          </w:p>
        </w:tc>
        <w:tc>
          <w:tcPr>
            <w:tcW w:w="1843" w:type="dxa"/>
          </w:tcPr>
          <w:p>
            <w:pPr>
              <w:pStyle w:val="TableParagraph"/>
              <w:spacing w:before="137"/>
              <w:ind w:left="709"/>
              <w:rPr>
                <w:sz w:val="21"/>
              </w:rPr>
            </w:pPr>
            <w:r>
              <w:rPr>
                <w:sz w:val="21"/>
              </w:rPr>
              <w:t>其他 </w:t>
            </w:r>
          </w:p>
        </w:tc>
        <w:tc>
          <w:tcPr>
            <w:tcW w:w="1944" w:type="dxa"/>
          </w:tcPr>
          <w:p>
            <w:pPr>
              <w:pStyle w:val="TableParagraph"/>
              <w:spacing w:before="137"/>
              <w:ind w:left="793" w:right="681"/>
              <w:jc w:val="center"/>
              <w:rPr>
                <w:sz w:val="21"/>
              </w:rPr>
            </w:pPr>
            <w:r>
              <w:rPr>
                <w:sz w:val="21"/>
              </w:rPr>
              <w:t>小计 </w:t>
            </w:r>
          </w:p>
        </w:tc>
        <w:tc>
          <w:tcPr>
            <w:tcW w:w="1687" w:type="dxa"/>
          </w:tcPr>
          <w:p>
            <w:pPr>
              <w:pStyle w:val="TableParagraph"/>
              <w:spacing w:before="137"/>
              <w:ind w:left="633"/>
              <w:rPr>
                <w:sz w:val="21"/>
              </w:rPr>
            </w:pPr>
            <w:r>
              <w:rPr>
                <w:sz w:val="21"/>
              </w:rPr>
              <w:t>数量 </w:t>
            </w:r>
          </w:p>
        </w:tc>
        <w:tc>
          <w:tcPr>
            <w:tcW w:w="737" w:type="dxa"/>
          </w:tcPr>
          <w:p>
            <w:pPr>
              <w:pStyle w:val="TableParagraph"/>
              <w:spacing w:before="1"/>
              <w:ind w:left="158"/>
              <w:rPr>
                <w:sz w:val="21"/>
              </w:rPr>
            </w:pPr>
            <w:r>
              <w:rPr>
                <w:sz w:val="21"/>
              </w:rPr>
              <w:t>比例</w:t>
            </w:r>
          </w:p>
          <w:p>
            <w:pPr>
              <w:pStyle w:val="TableParagraph"/>
              <w:spacing w:line="252" w:lineRule="exact" w:before="2"/>
              <w:ind w:left="211"/>
              <w:rPr>
                <w:sz w:val="21"/>
              </w:rPr>
            </w:pPr>
            <w:r>
              <w:rPr>
                <w:sz w:val="21"/>
              </w:rPr>
              <w:t>(%) </w:t>
            </w:r>
          </w:p>
        </w:tc>
      </w:tr>
      <w:tr>
        <w:trPr>
          <w:trHeight w:val="270" w:hRule="atLeast"/>
        </w:trPr>
        <w:tc>
          <w:tcPr>
            <w:tcW w:w="2403" w:type="dxa"/>
          </w:tcPr>
          <w:p>
            <w:pPr>
              <w:pStyle w:val="TableParagraph"/>
              <w:spacing w:line="250" w:lineRule="exact" w:before="1"/>
              <w:ind w:left="107"/>
              <w:rPr>
                <w:sz w:val="21"/>
              </w:rPr>
            </w:pPr>
            <w:r>
              <w:rPr>
                <w:spacing w:val="-1"/>
                <w:sz w:val="21"/>
              </w:rPr>
              <w:t>一、有限售条件股份</w:t>
            </w:r>
            <w:r>
              <w:rPr>
                <w:sz w:val="21"/>
              </w:rPr>
              <w:t> </w:t>
            </w:r>
          </w:p>
        </w:tc>
        <w:tc>
          <w:tcPr>
            <w:tcW w:w="1705" w:type="dxa"/>
          </w:tcPr>
          <w:p>
            <w:pPr>
              <w:pStyle w:val="TableParagraph"/>
              <w:spacing w:line="235" w:lineRule="exact"/>
              <w:ind w:right="97"/>
              <w:jc w:val="right"/>
              <w:rPr>
                <w:rFonts w:ascii="Times New Roman"/>
                <w:sz w:val="21"/>
              </w:rPr>
            </w:pPr>
            <w:r>
              <w:rPr>
                <w:rFonts w:ascii="Times New Roman"/>
                <w:sz w:val="21"/>
              </w:rPr>
              <w:t>122,515,366</w:t>
            </w:r>
          </w:p>
        </w:tc>
        <w:tc>
          <w:tcPr>
            <w:tcW w:w="850" w:type="dxa"/>
          </w:tcPr>
          <w:p>
            <w:pPr>
              <w:pStyle w:val="TableParagraph"/>
              <w:spacing w:line="235" w:lineRule="exact"/>
              <w:ind w:right="94"/>
              <w:jc w:val="right"/>
              <w:rPr>
                <w:rFonts w:ascii="Times New Roman"/>
                <w:sz w:val="21"/>
              </w:rPr>
            </w:pPr>
            <w:r>
              <w:rPr>
                <w:rFonts w:ascii="Times New Roman"/>
                <w:sz w:val="21"/>
              </w:rPr>
              <w:t>0.62</w:t>
            </w:r>
          </w:p>
        </w:tc>
        <w:tc>
          <w:tcPr>
            <w:tcW w:w="852" w:type="dxa"/>
          </w:tcPr>
          <w:p>
            <w:pPr>
              <w:pStyle w:val="TableParagraph"/>
              <w:rPr>
                <w:rFonts w:ascii="Times New Roman"/>
                <w:sz w:val="20"/>
              </w:rPr>
            </w:pPr>
          </w:p>
        </w:tc>
        <w:tc>
          <w:tcPr>
            <w:tcW w:w="566" w:type="dxa"/>
          </w:tcPr>
          <w:p>
            <w:pPr>
              <w:pStyle w:val="TableParagraph"/>
              <w:rPr>
                <w:rFonts w:ascii="Times New Roman"/>
                <w:sz w:val="20"/>
              </w:rPr>
            </w:pPr>
          </w:p>
        </w:tc>
        <w:tc>
          <w:tcPr>
            <w:tcW w:w="1277" w:type="dxa"/>
          </w:tcPr>
          <w:p>
            <w:pPr>
              <w:pStyle w:val="TableParagraph"/>
              <w:rPr>
                <w:rFonts w:ascii="Times New Roman"/>
                <w:sz w:val="20"/>
              </w:rPr>
            </w:pPr>
          </w:p>
        </w:tc>
        <w:tc>
          <w:tcPr>
            <w:tcW w:w="1843" w:type="dxa"/>
          </w:tcPr>
          <w:p>
            <w:pPr>
              <w:pStyle w:val="TableParagraph"/>
              <w:spacing w:line="235" w:lineRule="exact"/>
              <w:ind w:right="95"/>
              <w:jc w:val="right"/>
              <w:rPr>
                <w:rFonts w:ascii="Times New Roman"/>
                <w:sz w:val="21"/>
              </w:rPr>
            </w:pPr>
            <w:r>
              <w:rPr>
                <w:rFonts w:ascii="Times New Roman"/>
                <w:sz w:val="21"/>
              </w:rPr>
              <w:t>-58,418,688</w:t>
            </w:r>
          </w:p>
        </w:tc>
        <w:tc>
          <w:tcPr>
            <w:tcW w:w="1944" w:type="dxa"/>
          </w:tcPr>
          <w:p>
            <w:pPr>
              <w:pStyle w:val="TableParagraph"/>
              <w:spacing w:line="235" w:lineRule="exact"/>
              <w:ind w:right="95"/>
              <w:jc w:val="right"/>
              <w:rPr>
                <w:rFonts w:ascii="Times New Roman"/>
                <w:sz w:val="21"/>
              </w:rPr>
            </w:pPr>
            <w:r>
              <w:rPr>
                <w:rFonts w:ascii="Times New Roman"/>
                <w:sz w:val="21"/>
              </w:rPr>
              <w:t>-58,418,688</w:t>
            </w:r>
          </w:p>
        </w:tc>
        <w:tc>
          <w:tcPr>
            <w:tcW w:w="1687" w:type="dxa"/>
          </w:tcPr>
          <w:p>
            <w:pPr>
              <w:pStyle w:val="TableParagraph"/>
              <w:spacing w:line="235" w:lineRule="exact"/>
              <w:ind w:right="93"/>
              <w:jc w:val="right"/>
              <w:rPr>
                <w:rFonts w:ascii="Times New Roman"/>
                <w:sz w:val="21"/>
              </w:rPr>
            </w:pPr>
            <w:r>
              <w:rPr>
                <w:rFonts w:ascii="Times New Roman"/>
                <w:sz w:val="21"/>
              </w:rPr>
              <w:t>64,096,678</w:t>
            </w:r>
          </w:p>
        </w:tc>
        <w:tc>
          <w:tcPr>
            <w:tcW w:w="737" w:type="dxa"/>
          </w:tcPr>
          <w:p>
            <w:pPr>
              <w:pStyle w:val="TableParagraph"/>
              <w:spacing w:line="235" w:lineRule="exact"/>
              <w:ind w:right="92"/>
              <w:jc w:val="right"/>
              <w:rPr>
                <w:rFonts w:ascii="Times New Roman"/>
                <w:sz w:val="21"/>
              </w:rPr>
            </w:pPr>
            <w:r>
              <w:rPr>
                <w:rFonts w:ascii="Times New Roman"/>
                <w:sz w:val="21"/>
              </w:rPr>
              <w:t>0.32</w:t>
            </w:r>
          </w:p>
        </w:tc>
      </w:tr>
      <w:tr>
        <w:trPr>
          <w:trHeight w:val="273" w:hRule="atLeast"/>
        </w:trPr>
        <w:tc>
          <w:tcPr>
            <w:tcW w:w="2403" w:type="dxa"/>
          </w:tcPr>
          <w:p>
            <w:pPr>
              <w:pStyle w:val="TableParagraph"/>
              <w:spacing w:line="250" w:lineRule="exact" w:before="3"/>
              <w:ind w:left="107"/>
              <w:rPr>
                <w:sz w:val="21"/>
              </w:rPr>
            </w:pPr>
            <w:r>
              <w:rPr>
                <w:sz w:val="21"/>
              </w:rPr>
              <w:t>1、国家持股 </w:t>
            </w:r>
          </w:p>
        </w:tc>
        <w:tc>
          <w:tcPr>
            <w:tcW w:w="1705" w:type="dxa"/>
          </w:tcPr>
          <w:p>
            <w:pPr>
              <w:pStyle w:val="TableParagraph"/>
              <w:rPr>
                <w:rFonts w:ascii="Times New Roman"/>
                <w:sz w:val="20"/>
              </w:rPr>
            </w:pPr>
          </w:p>
        </w:tc>
        <w:tc>
          <w:tcPr>
            <w:tcW w:w="850" w:type="dxa"/>
          </w:tcPr>
          <w:p>
            <w:pPr>
              <w:pStyle w:val="TableParagraph"/>
              <w:rPr>
                <w:rFonts w:ascii="Times New Roman"/>
                <w:sz w:val="20"/>
              </w:rPr>
            </w:pPr>
          </w:p>
        </w:tc>
        <w:tc>
          <w:tcPr>
            <w:tcW w:w="852" w:type="dxa"/>
          </w:tcPr>
          <w:p>
            <w:pPr>
              <w:pStyle w:val="TableParagraph"/>
              <w:rPr>
                <w:rFonts w:ascii="Times New Roman"/>
                <w:sz w:val="20"/>
              </w:rPr>
            </w:pPr>
          </w:p>
        </w:tc>
        <w:tc>
          <w:tcPr>
            <w:tcW w:w="566" w:type="dxa"/>
          </w:tcPr>
          <w:p>
            <w:pPr>
              <w:pStyle w:val="TableParagraph"/>
              <w:rPr>
                <w:rFonts w:ascii="Times New Roman"/>
                <w:sz w:val="20"/>
              </w:rPr>
            </w:pPr>
          </w:p>
        </w:tc>
        <w:tc>
          <w:tcPr>
            <w:tcW w:w="1277" w:type="dxa"/>
          </w:tcPr>
          <w:p>
            <w:pPr>
              <w:pStyle w:val="TableParagraph"/>
              <w:rPr>
                <w:rFonts w:ascii="Times New Roman"/>
                <w:sz w:val="20"/>
              </w:rPr>
            </w:pPr>
          </w:p>
        </w:tc>
        <w:tc>
          <w:tcPr>
            <w:tcW w:w="1843" w:type="dxa"/>
          </w:tcPr>
          <w:p>
            <w:pPr>
              <w:pStyle w:val="TableParagraph"/>
              <w:rPr>
                <w:rFonts w:ascii="Times New Roman"/>
                <w:sz w:val="20"/>
              </w:rPr>
            </w:pPr>
          </w:p>
        </w:tc>
        <w:tc>
          <w:tcPr>
            <w:tcW w:w="1944" w:type="dxa"/>
          </w:tcPr>
          <w:p>
            <w:pPr>
              <w:pStyle w:val="TableParagraph"/>
              <w:rPr>
                <w:rFonts w:ascii="Times New Roman"/>
                <w:sz w:val="20"/>
              </w:rPr>
            </w:pPr>
          </w:p>
        </w:tc>
        <w:tc>
          <w:tcPr>
            <w:tcW w:w="1687" w:type="dxa"/>
          </w:tcPr>
          <w:p>
            <w:pPr>
              <w:pStyle w:val="TableParagraph"/>
              <w:rPr>
                <w:rFonts w:ascii="Times New Roman"/>
                <w:sz w:val="20"/>
              </w:rPr>
            </w:pPr>
          </w:p>
        </w:tc>
        <w:tc>
          <w:tcPr>
            <w:tcW w:w="737" w:type="dxa"/>
          </w:tcPr>
          <w:p>
            <w:pPr>
              <w:pStyle w:val="TableParagraph"/>
              <w:rPr>
                <w:rFonts w:ascii="Times New Roman"/>
                <w:sz w:val="20"/>
              </w:rPr>
            </w:pPr>
          </w:p>
        </w:tc>
      </w:tr>
      <w:tr>
        <w:trPr>
          <w:trHeight w:val="273" w:hRule="atLeast"/>
        </w:trPr>
        <w:tc>
          <w:tcPr>
            <w:tcW w:w="2403" w:type="dxa"/>
          </w:tcPr>
          <w:p>
            <w:pPr>
              <w:pStyle w:val="TableParagraph"/>
              <w:spacing w:line="252" w:lineRule="exact" w:before="1"/>
              <w:ind w:left="107"/>
              <w:rPr>
                <w:sz w:val="21"/>
              </w:rPr>
            </w:pPr>
            <w:r>
              <w:rPr>
                <w:sz w:val="21"/>
              </w:rPr>
              <w:t>2、国有法人持股 </w:t>
            </w:r>
          </w:p>
        </w:tc>
        <w:tc>
          <w:tcPr>
            <w:tcW w:w="1705" w:type="dxa"/>
          </w:tcPr>
          <w:p>
            <w:pPr>
              <w:pStyle w:val="TableParagraph"/>
              <w:rPr>
                <w:rFonts w:ascii="Times New Roman"/>
                <w:sz w:val="20"/>
              </w:rPr>
            </w:pPr>
          </w:p>
        </w:tc>
        <w:tc>
          <w:tcPr>
            <w:tcW w:w="850" w:type="dxa"/>
          </w:tcPr>
          <w:p>
            <w:pPr>
              <w:pStyle w:val="TableParagraph"/>
              <w:rPr>
                <w:rFonts w:ascii="Times New Roman"/>
                <w:sz w:val="20"/>
              </w:rPr>
            </w:pPr>
          </w:p>
        </w:tc>
        <w:tc>
          <w:tcPr>
            <w:tcW w:w="852" w:type="dxa"/>
          </w:tcPr>
          <w:p>
            <w:pPr>
              <w:pStyle w:val="TableParagraph"/>
              <w:rPr>
                <w:rFonts w:ascii="Times New Roman"/>
                <w:sz w:val="20"/>
              </w:rPr>
            </w:pPr>
          </w:p>
        </w:tc>
        <w:tc>
          <w:tcPr>
            <w:tcW w:w="566" w:type="dxa"/>
          </w:tcPr>
          <w:p>
            <w:pPr>
              <w:pStyle w:val="TableParagraph"/>
              <w:rPr>
                <w:rFonts w:ascii="Times New Roman"/>
                <w:sz w:val="20"/>
              </w:rPr>
            </w:pPr>
          </w:p>
        </w:tc>
        <w:tc>
          <w:tcPr>
            <w:tcW w:w="1277" w:type="dxa"/>
          </w:tcPr>
          <w:p>
            <w:pPr>
              <w:pStyle w:val="TableParagraph"/>
              <w:rPr>
                <w:rFonts w:ascii="Times New Roman"/>
                <w:sz w:val="20"/>
              </w:rPr>
            </w:pPr>
          </w:p>
        </w:tc>
        <w:tc>
          <w:tcPr>
            <w:tcW w:w="1843" w:type="dxa"/>
          </w:tcPr>
          <w:p>
            <w:pPr>
              <w:pStyle w:val="TableParagraph"/>
              <w:rPr>
                <w:rFonts w:ascii="Times New Roman"/>
                <w:sz w:val="20"/>
              </w:rPr>
            </w:pPr>
          </w:p>
        </w:tc>
        <w:tc>
          <w:tcPr>
            <w:tcW w:w="1944" w:type="dxa"/>
          </w:tcPr>
          <w:p>
            <w:pPr>
              <w:pStyle w:val="TableParagraph"/>
              <w:rPr>
                <w:rFonts w:ascii="Times New Roman"/>
                <w:sz w:val="20"/>
              </w:rPr>
            </w:pPr>
          </w:p>
        </w:tc>
        <w:tc>
          <w:tcPr>
            <w:tcW w:w="1687" w:type="dxa"/>
          </w:tcPr>
          <w:p>
            <w:pPr>
              <w:pStyle w:val="TableParagraph"/>
              <w:rPr>
                <w:rFonts w:ascii="Times New Roman"/>
                <w:sz w:val="20"/>
              </w:rPr>
            </w:pPr>
          </w:p>
        </w:tc>
        <w:tc>
          <w:tcPr>
            <w:tcW w:w="737" w:type="dxa"/>
          </w:tcPr>
          <w:p>
            <w:pPr>
              <w:pStyle w:val="TableParagraph"/>
              <w:rPr>
                <w:rFonts w:ascii="Times New Roman"/>
                <w:sz w:val="20"/>
              </w:rPr>
            </w:pPr>
          </w:p>
        </w:tc>
      </w:tr>
      <w:tr>
        <w:trPr>
          <w:trHeight w:val="270" w:hRule="atLeast"/>
        </w:trPr>
        <w:tc>
          <w:tcPr>
            <w:tcW w:w="2403" w:type="dxa"/>
          </w:tcPr>
          <w:p>
            <w:pPr>
              <w:pStyle w:val="TableParagraph"/>
              <w:spacing w:line="250" w:lineRule="exact" w:before="1"/>
              <w:ind w:left="107"/>
              <w:rPr>
                <w:sz w:val="21"/>
              </w:rPr>
            </w:pPr>
            <w:r>
              <w:rPr>
                <w:sz w:val="21"/>
              </w:rPr>
              <w:t>3、其他内资持股 </w:t>
            </w:r>
          </w:p>
        </w:tc>
        <w:tc>
          <w:tcPr>
            <w:tcW w:w="1705" w:type="dxa"/>
          </w:tcPr>
          <w:p>
            <w:pPr>
              <w:pStyle w:val="TableParagraph"/>
              <w:rPr>
                <w:rFonts w:ascii="Times New Roman"/>
                <w:sz w:val="20"/>
              </w:rPr>
            </w:pPr>
          </w:p>
        </w:tc>
        <w:tc>
          <w:tcPr>
            <w:tcW w:w="850" w:type="dxa"/>
          </w:tcPr>
          <w:p>
            <w:pPr>
              <w:pStyle w:val="TableParagraph"/>
              <w:rPr>
                <w:rFonts w:ascii="Times New Roman"/>
                <w:sz w:val="20"/>
              </w:rPr>
            </w:pPr>
          </w:p>
        </w:tc>
        <w:tc>
          <w:tcPr>
            <w:tcW w:w="852" w:type="dxa"/>
          </w:tcPr>
          <w:p>
            <w:pPr>
              <w:pStyle w:val="TableParagraph"/>
              <w:rPr>
                <w:rFonts w:ascii="Times New Roman"/>
                <w:sz w:val="20"/>
              </w:rPr>
            </w:pPr>
          </w:p>
        </w:tc>
        <w:tc>
          <w:tcPr>
            <w:tcW w:w="566" w:type="dxa"/>
          </w:tcPr>
          <w:p>
            <w:pPr>
              <w:pStyle w:val="TableParagraph"/>
              <w:rPr>
                <w:rFonts w:ascii="Times New Roman"/>
                <w:sz w:val="20"/>
              </w:rPr>
            </w:pPr>
          </w:p>
        </w:tc>
        <w:tc>
          <w:tcPr>
            <w:tcW w:w="1277" w:type="dxa"/>
          </w:tcPr>
          <w:p>
            <w:pPr>
              <w:pStyle w:val="TableParagraph"/>
              <w:rPr>
                <w:rFonts w:ascii="Times New Roman"/>
                <w:sz w:val="20"/>
              </w:rPr>
            </w:pPr>
          </w:p>
        </w:tc>
        <w:tc>
          <w:tcPr>
            <w:tcW w:w="1843" w:type="dxa"/>
          </w:tcPr>
          <w:p>
            <w:pPr>
              <w:pStyle w:val="TableParagraph"/>
              <w:rPr>
                <w:rFonts w:ascii="Times New Roman"/>
                <w:sz w:val="20"/>
              </w:rPr>
            </w:pPr>
          </w:p>
        </w:tc>
        <w:tc>
          <w:tcPr>
            <w:tcW w:w="1944" w:type="dxa"/>
          </w:tcPr>
          <w:p>
            <w:pPr>
              <w:pStyle w:val="TableParagraph"/>
              <w:rPr>
                <w:rFonts w:ascii="Times New Roman"/>
                <w:sz w:val="20"/>
              </w:rPr>
            </w:pPr>
          </w:p>
        </w:tc>
        <w:tc>
          <w:tcPr>
            <w:tcW w:w="1687" w:type="dxa"/>
          </w:tcPr>
          <w:p>
            <w:pPr>
              <w:pStyle w:val="TableParagraph"/>
              <w:rPr>
                <w:rFonts w:ascii="Times New Roman"/>
                <w:sz w:val="20"/>
              </w:rPr>
            </w:pPr>
          </w:p>
        </w:tc>
        <w:tc>
          <w:tcPr>
            <w:tcW w:w="737" w:type="dxa"/>
          </w:tcPr>
          <w:p>
            <w:pPr>
              <w:pStyle w:val="TableParagraph"/>
              <w:rPr>
                <w:rFonts w:ascii="Times New Roman"/>
                <w:sz w:val="20"/>
              </w:rPr>
            </w:pPr>
          </w:p>
        </w:tc>
      </w:tr>
      <w:tr>
        <w:trPr>
          <w:trHeight w:val="547" w:hRule="atLeast"/>
        </w:trPr>
        <w:tc>
          <w:tcPr>
            <w:tcW w:w="2403" w:type="dxa"/>
          </w:tcPr>
          <w:p>
            <w:pPr>
              <w:pStyle w:val="TableParagraph"/>
              <w:spacing w:line="270" w:lineRule="atLeast"/>
              <w:ind w:left="107" w:right="180"/>
              <w:rPr>
                <w:sz w:val="21"/>
              </w:rPr>
            </w:pPr>
            <w:r>
              <w:rPr>
                <w:spacing w:val="-1"/>
                <w:sz w:val="21"/>
              </w:rPr>
              <w:t>其中：境内非国有法人</w:t>
            </w:r>
            <w:r>
              <w:rPr>
                <w:sz w:val="21"/>
              </w:rPr>
              <w:t>持股 </w:t>
            </w:r>
          </w:p>
        </w:tc>
        <w:tc>
          <w:tcPr>
            <w:tcW w:w="1705" w:type="dxa"/>
          </w:tcPr>
          <w:p>
            <w:pPr>
              <w:pStyle w:val="TableParagraph"/>
              <w:rPr>
                <w:rFonts w:ascii="Times New Roman"/>
                <w:sz w:val="20"/>
              </w:rPr>
            </w:pPr>
          </w:p>
        </w:tc>
        <w:tc>
          <w:tcPr>
            <w:tcW w:w="850" w:type="dxa"/>
          </w:tcPr>
          <w:p>
            <w:pPr>
              <w:pStyle w:val="TableParagraph"/>
              <w:rPr>
                <w:rFonts w:ascii="Times New Roman"/>
                <w:sz w:val="20"/>
              </w:rPr>
            </w:pPr>
          </w:p>
        </w:tc>
        <w:tc>
          <w:tcPr>
            <w:tcW w:w="852" w:type="dxa"/>
          </w:tcPr>
          <w:p>
            <w:pPr>
              <w:pStyle w:val="TableParagraph"/>
              <w:rPr>
                <w:rFonts w:ascii="Times New Roman"/>
                <w:sz w:val="20"/>
              </w:rPr>
            </w:pPr>
          </w:p>
        </w:tc>
        <w:tc>
          <w:tcPr>
            <w:tcW w:w="566" w:type="dxa"/>
          </w:tcPr>
          <w:p>
            <w:pPr>
              <w:pStyle w:val="TableParagraph"/>
              <w:rPr>
                <w:rFonts w:ascii="Times New Roman"/>
                <w:sz w:val="20"/>
              </w:rPr>
            </w:pPr>
          </w:p>
        </w:tc>
        <w:tc>
          <w:tcPr>
            <w:tcW w:w="1277" w:type="dxa"/>
          </w:tcPr>
          <w:p>
            <w:pPr>
              <w:pStyle w:val="TableParagraph"/>
              <w:rPr>
                <w:rFonts w:ascii="Times New Roman"/>
                <w:sz w:val="20"/>
              </w:rPr>
            </w:pPr>
          </w:p>
        </w:tc>
        <w:tc>
          <w:tcPr>
            <w:tcW w:w="1843" w:type="dxa"/>
          </w:tcPr>
          <w:p>
            <w:pPr>
              <w:pStyle w:val="TableParagraph"/>
              <w:rPr>
                <w:rFonts w:ascii="Times New Roman"/>
                <w:sz w:val="20"/>
              </w:rPr>
            </w:pPr>
          </w:p>
        </w:tc>
        <w:tc>
          <w:tcPr>
            <w:tcW w:w="1944" w:type="dxa"/>
          </w:tcPr>
          <w:p>
            <w:pPr>
              <w:pStyle w:val="TableParagraph"/>
              <w:rPr>
                <w:rFonts w:ascii="Times New Roman"/>
                <w:sz w:val="20"/>
              </w:rPr>
            </w:pPr>
          </w:p>
        </w:tc>
        <w:tc>
          <w:tcPr>
            <w:tcW w:w="1687" w:type="dxa"/>
          </w:tcPr>
          <w:p>
            <w:pPr>
              <w:pStyle w:val="TableParagraph"/>
              <w:rPr>
                <w:rFonts w:ascii="Times New Roman"/>
                <w:sz w:val="20"/>
              </w:rPr>
            </w:pPr>
          </w:p>
        </w:tc>
        <w:tc>
          <w:tcPr>
            <w:tcW w:w="737" w:type="dxa"/>
          </w:tcPr>
          <w:p>
            <w:pPr>
              <w:pStyle w:val="TableParagraph"/>
              <w:rPr>
                <w:rFonts w:ascii="Times New Roman"/>
                <w:sz w:val="20"/>
              </w:rPr>
            </w:pPr>
          </w:p>
        </w:tc>
      </w:tr>
      <w:tr>
        <w:trPr>
          <w:trHeight w:val="270" w:hRule="atLeast"/>
        </w:trPr>
        <w:tc>
          <w:tcPr>
            <w:tcW w:w="2403" w:type="dxa"/>
          </w:tcPr>
          <w:p>
            <w:pPr>
              <w:pStyle w:val="TableParagraph"/>
              <w:spacing w:line="250" w:lineRule="exact" w:before="1"/>
              <w:ind w:right="74"/>
              <w:jc w:val="right"/>
              <w:rPr>
                <w:sz w:val="21"/>
              </w:rPr>
            </w:pPr>
            <w:r>
              <w:rPr>
                <w:spacing w:val="-1"/>
                <w:sz w:val="21"/>
              </w:rPr>
              <w:t>境内自然人持股</w:t>
            </w:r>
            <w:r>
              <w:rPr>
                <w:sz w:val="21"/>
              </w:rPr>
              <w:t> </w:t>
            </w:r>
          </w:p>
        </w:tc>
        <w:tc>
          <w:tcPr>
            <w:tcW w:w="1705" w:type="dxa"/>
          </w:tcPr>
          <w:p>
            <w:pPr>
              <w:pStyle w:val="TableParagraph"/>
              <w:rPr>
                <w:rFonts w:ascii="Times New Roman"/>
                <w:sz w:val="20"/>
              </w:rPr>
            </w:pPr>
          </w:p>
        </w:tc>
        <w:tc>
          <w:tcPr>
            <w:tcW w:w="850" w:type="dxa"/>
          </w:tcPr>
          <w:p>
            <w:pPr>
              <w:pStyle w:val="TableParagraph"/>
              <w:rPr>
                <w:rFonts w:ascii="Times New Roman"/>
                <w:sz w:val="20"/>
              </w:rPr>
            </w:pPr>
          </w:p>
        </w:tc>
        <w:tc>
          <w:tcPr>
            <w:tcW w:w="852" w:type="dxa"/>
          </w:tcPr>
          <w:p>
            <w:pPr>
              <w:pStyle w:val="TableParagraph"/>
              <w:rPr>
                <w:rFonts w:ascii="Times New Roman"/>
                <w:sz w:val="20"/>
              </w:rPr>
            </w:pPr>
          </w:p>
        </w:tc>
        <w:tc>
          <w:tcPr>
            <w:tcW w:w="566" w:type="dxa"/>
          </w:tcPr>
          <w:p>
            <w:pPr>
              <w:pStyle w:val="TableParagraph"/>
              <w:rPr>
                <w:rFonts w:ascii="Times New Roman"/>
                <w:sz w:val="20"/>
              </w:rPr>
            </w:pPr>
          </w:p>
        </w:tc>
        <w:tc>
          <w:tcPr>
            <w:tcW w:w="1277" w:type="dxa"/>
          </w:tcPr>
          <w:p>
            <w:pPr>
              <w:pStyle w:val="TableParagraph"/>
              <w:rPr>
                <w:rFonts w:ascii="Times New Roman"/>
                <w:sz w:val="20"/>
              </w:rPr>
            </w:pPr>
          </w:p>
        </w:tc>
        <w:tc>
          <w:tcPr>
            <w:tcW w:w="1843" w:type="dxa"/>
          </w:tcPr>
          <w:p>
            <w:pPr>
              <w:pStyle w:val="TableParagraph"/>
              <w:rPr>
                <w:rFonts w:ascii="Times New Roman"/>
                <w:sz w:val="20"/>
              </w:rPr>
            </w:pPr>
          </w:p>
        </w:tc>
        <w:tc>
          <w:tcPr>
            <w:tcW w:w="1944" w:type="dxa"/>
          </w:tcPr>
          <w:p>
            <w:pPr>
              <w:pStyle w:val="TableParagraph"/>
              <w:rPr>
                <w:rFonts w:ascii="Times New Roman"/>
                <w:sz w:val="20"/>
              </w:rPr>
            </w:pPr>
          </w:p>
        </w:tc>
        <w:tc>
          <w:tcPr>
            <w:tcW w:w="1687" w:type="dxa"/>
          </w:tcPr>
          <w:p>
            <w:pPr>
              <w:pStyle w:val="TableParagraph"/>
              <w:rPr>
                <w:rFonts w:ascii="Times New Roman"/>
                <w:sz w:val="20"/>
              </w:rPr>
            </w:pPr>
          </w:p>
        </w:tc>
        <w:tc>
          <w:tcPr>
            <w:tcW w:w="737" w:type="dxa"/>
          </w:tcPr>
          <w:p>
            <w:pPr>
              <w:pStyle w:val="TableParagraph"/>
              <w:rPr>
                <w:rFonts w:ascii="Times New Roman"/>
                <w:sz w:val="20"/>
              </w:rPr>
            </w:pPr>
          </w:p>
        </w:tc>
      </w:tr>
      <w:tr>
        <w:trPr>
          <w:trHeight w:val="273" w:hRule="atLeast"/>
        </w:trPr>
        <w:tc>
          <w:tcPr>
            <w:tcW w:w="2403" w:type="dxa"/>
          </w:tcPr>
          <w:p>
            <w:pPr>
              <w:pStyle w:val="TableParagraph"/>
              <w:spacing w:line="252" w:lineRule="exact" w:before="1"/>
              <w:ind w:left="107"/>
              <w:rPr>
                <w:sz w:val="21"/>
              </w:rPr>
            </w:pPr>
            <w:r>
              <w:rPr>
                <w:sz w:val="21"/>
              </w:rPr>
              <w:t>4、外资持股 </w:t>
            </w:r>
          </w:p>
        </w:tc>
        <w:tc>
          <w:tcPr>
            <w:tcW w:w="1705" w:type="dxa"/>
          </w:tcPr>
          <w:p>
            <w:pPr>
              <w:pStyle w:val="TableParagraph"/>
              <w:rPr>
                <w:rFonts w:ascii="Times New Roman"/>
                <w:sz w:val="20"/>
              </w:rPr>
            </w:pPr>
          </w:p>
        </w:tc>
        <w:tc>
          <w:tcPr>
            <w:tcW w:w="850" w:type="dxa"/>
          </w:tcPr>
          <w:p>
            <w:pPr>
              <w:pStyle w:val="TableParagraph"/>
              <w:rPr>
                <w:rFonts w:ascii="Times New Roman"/>
                <w:sz w:val="20"/>
              </w:rPr>
            </w:pPr>
          </w:p>
        </w:tc>
        <w:tc>
          <w:tcPr>
            <w:tcW w:w="852" w:type="dxa"/>
          </w:tcPr>
          <w:p>
            <w:pPr>
              <w:pStyle w:val="TableParagraph"/>
              <w:rPr>
                <w:rFonts w:ascii="Times New Roman"/>
                <w:sz w:val="20"/>
              </w:rPr>
            </w:pPr>
          </w:p>
        </w:tc>
        <w:tc>
          <w:tcPr>
            <w:tcW w:w="566" w:type="dxa"/>
          </w:tcPr>
          <w:p>
            <w:pPr>
              <w:pStyle w:val="TableParagraph"/>
              <w:rPr>
                <w:rFonts w:ascii="Times New Roman"/>
                <w:sz w:val="20"/>
              </w:rPr>
            </w:pPr>
          </w:p>
        </w:tc>
        <w:tc>
          <w:tcPr>
            <w:tcW w:w="1277" w:type="dxa"/>
          </w:tcPr>
          <w:p>
            <w:pPr>
              <w:pStyle w:val="TableParagraph"/>
              <w:rPr>
                <w:rFonts w:ascii="Times New Roman"/>
                <w:sz w:val="20"/>
              </w:rPr>
            </w:pPr>
          </w:p>
        </w:tc>
        <w:tc>
          <w:tcPr>
            <w:tcW w:w="1843" w:type="dxa"/>
          </w:tcPr>
          <w:p>
            <w:pPr>
              <w:pStyle w:val="TableParagraph"/>
              <w:rPr>
                <w:rFonts w:ascii="Times New Roman"/>
                <w:sz w:val="20"/>
              </w:rPr>
            </w:pPr>
          </w:p>
        </w:tc>
        <w:tc>
          <w:tcPr>
            <w:tcW w:w="1944" w:type="dxa"/>
          </w:tcPr>
          <w:p>
            <w:pPr>
              <w:pStyle w:val="TableParagraph"/>
              <w:rPr>
                <w:rFonts w:ascii="Times New Roman"/>
                <w:sz w:val="20"/>
              </w:rPr>
            </w:pPr>
          </w:p>
        </w:tc>
        <w:tc>
          <w:tcPr>
            <w:tcW w:w="1687" w:type="dxa"/>
          </w:tcPr>
          <w:p>
            <w:pPr>
              <w:pStyle w:val="TableParagraph"/>
              <w:rPr>
                <w:rFonts w:ascii="Times New Roman"/>
                <w:sz w:val="20"/>
              </w:rPr>
            </w:pPr>
          </w:p>
        </w:tc>
        <w:tc>
          <w:tcPr>
            <w:tcW w:w="737" w:type="dxa"/>
          </w:tcPr>
          <w:p>
            <w:pPr>
              <w:pStyle w:val="TableParagraph"/>
              <w:rPr>
                <w:rFonts w:ascii="Times New Roman"/>
                <w:sz w:val="20"/>
              </w:rPr>
            </w:pPr>
          </w:p>
        </w:tc>
      </w:tr>
      <w:tr>
        <w:trPr>
          <w:trHeight w:val="270" w:hRule="atLeast"/>
        </w:trPr>
        <w:tc>
          <w:tcPr>
            <w:tcW w:w="2403" w:type="dxa"/>
          </w:tcPr>
          <w:p>
            <w:pPr>
              <w:pStyle w:val="TableParagraph"/>
              <w:spacing w:line="250" w:lineRule="exact" w:before="1"/>
              <w:ind w:left="107"/>
              <w:rPr>
                <w:sz w:val="21"/>
              </w:rPr>
            </w:pPr>
            <w:r>
              <w:rPr>
                <w:spacing w:val="-1"/>
                <w:sz w:val="21"/>
              </w:rPr>
              <w:t>其中：境外法人持股</w:t>
            </w:r>
            <w:r>
              <w:rPr>
                <w:sz w:val="21"/>
              </w:rPr>
              <w:t> </w:t>
            </w:r>
          </w:p>
        </w:tc>
        <w:tc>
          <w:tcPr>
            <w:tcW w:w="1705" w:type="dxa"/>
          </w:tcPr>
          <w:p>
            <w:pPr>
              <w:pStyle w:val="TableParagraph"/>
              <w:rPr>
                <w:rFonts w:ascii="Times New Roman"/>
                <w:sz w:val="20"/>
              </w:rPr>
            </w:pPr>
          </w:p>
        </w:tc>
        <w:tc>
          <w:tcPr>
            <w:tcW w:w="850" w:type="dxa"/>
          </w:tcPr>
          <w:p>
            <w:pPr>
              <w:pStyle w:val="TableParagraph"/>
              <w:rPr>
                <w:rFonts w:ascii="Times New Roman"/>
                <w:sz w:val="20"/>
              </w:rPr>
            </w:pPr>
          </w:p>
        </w:tc>
        <w:tc>
          <w:tcPr>
            <w:tcW w:w="852" w:type="dxa"/>
          </w:tcPr>
          <w:p>
            <w:pPr>
              <w:pStyle w:val="TableParagraph"/>
              <w:rPr>
                <w:rFonts w:ascii="Times New Roman"/>
                <w:sz w:val="20"/>
              </w:rPr>
            </w:pPr>
          </w:p>
        </w:tc>
        <w:tc>
          <w:tcPr>
            <w:tcW w:w="566" w:type="dxa"/>
          </w:tcPr>
          <w:p>
            <w:pPr>
              <w:pStyle w:val="TableParagraph"/>
              <w:rPr>
                <w:rFonts w:ascii="Times New Roman"/>
                <w:sz w:val="20"/>
              </w:rPr>
            </w:pPr>
          </w:p>
        </w:tc>
        <w:tc>
          <w:tcPr>
            <w:tcW w:w="1277" w:type="dxa"/>
          </w:tcPr>
          <w:p>
            <w:pPr>
              <w:pStyle w:val="TableParagraph"/>
              <w:rPr>
                <w:rFonts w:ascii="Times New Roman"/>
                <w:sz w:val="20"/>
              </w:rPr>
            </w:pPr>
          </w:p>
        </w:tc>
        <w:tc>
          <w:tcPr>
            <w:tcW w:w="1843" w:type="dxa"/>
          </w:tcPr>
          <w:p>
            <w:pPr>
              <w:pStyle w:val="TableParagraph"/>
              <w:rPr>
                <w:rFonts w:ascii="Times New Roman"/>
                <w:sz w:val="20"/>
              </w:rPr>
            </w:pPr>
          </w:p>
        </w:tc>
        <w:tc>
          <w:tcPr>
            <w:tcW w:w="1944" w:type="dxa"/>
          </w:tcPr>
          <w:p>
            <w:pPr>
              <w:pStyle w:val="TableParagraph"/>
              <w:rPr>
                <w:rFonts w:ascii="Times New Roman"/>
                <w:sz w:val="20"/>
              </w:rPr>
            </w:pPr>
          </w:p>
        </w:tc>
        <w:tc>
          <w:tcPr>
            <w:tcW w:w="1687" w:type="dxa"/>
          </w:tcPr>
          <w:p>
            <w:pPr>
              <w:pStyle w:val="TableParagraph"/>
              <w:rPr>
                <w:rFonts w:ascii="Times New Roman"/>
                <w:sz w:val="20"/>
              </w:rPr>
            </w:pPr>
          </w:p>
        </w:tc>
        <w:tc>
          <w:tcPr>
            <w:tcW w:w="737" w:type="dxa"/>
          </w:tcPr>
          <w:p>
            <w:pPr>
              <w:pStyle w:val="TableParagraph"/>
              <w:rPr>
                <w:rFonts w:ascii="Times New Roman"/>
                <w:sz w:val="20"/>
              </w:rPr>
            </w:pPr>
          </w:p>
        </w:tc>
      </w:tr>
      <w:tr>
        <w:trPr>
          <w:trHeight w:val="273" w:hRule="atLeast"/>
        </w:trPr>
        <w:tc>
          <w:tcPr>
            <w:tcW w:w="2403" w:type="dxa"/>
          </w:tcPr>
          <w:p>
            <w:pPr>
              <w:pStyle w:val="TableParagraph"/>
              <w:spacing w:line="250" w:lineRule="exact" w:before="3"/>
              <w:ind w:right="74"/>
              <w:jc w:val="right"/>
              <w:rPr>
                <w:sz w:val="21"/>
              </w:rPr>
            </w:pPr>
            <w:r>
              <w:rPr>
                <w:spacing w:val="-1"/>
                <w:sz w:val="21"/>
              </w:rPr>
              <w:t>境外自然人持股</w:t>
            </w:r>
            <w:r>
              <w:rPr>
                <w:sz w:val="21"/>
              </w:rPr>
              <w:t> </w:t>
            </w:r>
          </w:p>
        </w:tc>
        <w:tc>
          <w:tcPr>
            <w:tcW w:w="1705" w:type="dxa"/>
          </w:tcPr>
          <w:p>
            <w:pPr>
              <w:pStyle w:val="TableParagraph"/>
              <w:rPr>
                <w:rFonts w:ascii="Times New Roman"/>
                <w:sz w:val="20"/>
              </w:rPr>
            </w:pPr>
          </w:p>
        </w:tc>
        <w:tc>
          <w:tcPr>
            <w:tcW w:w="850" w:type="dxa"/>
          </w:tcPr>
          <w:p>
            <w:pPr>
              <w:pStyle w:val="TableParagraph"/>
              <w:rPr>
                <w:rFonts w:ascii="Times New Roman"/>
                <w:sz w:val="20"/>
              </w:rPr>
            </w:pPr>
          </w:p>
        </w:tc>
        <w:tc>
          <w:tcPr>
            <w:tcW w:w="852" w:type="dxa"/>
          </w:tcPr>
          <w:p>
            <w:pPr>
              <w:pStyle w:val="TableParagraph"/>
              <w:rPr>
                <w:rFonts w:ascii="Times New Roman"/>
                <w:sz w:val="20"/>
              </w:rPr>
            </w:pPr>
          </w:p>
        </w:tc>
        <w:tc>
          <w:tcPr>
            <w:tcW w:w="566" w:type="dxa"/>
          </w:tcPr>
          <w:p>
            <w:pPr>
              <w:pStyle w:val="TableParagraph"/>
              <w:rPr>
                <w:rFonts w:ascii="Times New Roman"/>
                <w:sz w:val="20"/>
              </w:rPr>
            </w:pPr>
          </w:p>
        </w:tc>
        <w:tc>
          <w:tcPr>
            <w:tcW w:w="1277" w:type="dxa"/>
          </w:tcPr>
          <w:p>
            <w:pPr>
              <w:pStyle w:val="TableParagraph"/>
              <w:rPr>
                <w:rFonts w:ascii="Times New Roman"/>
                <w:sz w:val="20"/>
              </w:rPr>
            </w:pPr>
          </w:p>
        </w:tc>
        <w:tc>
          <w:tcPr>
            <w:tcW w:w="1843" w:type="dxa"/>
          </w:tcPr>
          <w:p>
            <w:pPr>
              <w:pStyle w:val="TableParagraph"/>
              <w:rPr>
                <w:rFonts w:ascii="Times New Roman"/>
                <w:sz w:val="20"/>
              </w:rPr>
            </w:pPr>
          </w:p>
        </w:tc>
        <w:tc>
          <w:tcPr>
            <w:tcW w:w="1944" w:type="dxa"/>
          </w:tcPr>
          <w:p>
            <w:pPr>
              <w:pStyle w:val="TableParagraph"/>
              <w:rPr>
                <w:rFonts w:ascii="Times New Roman"/>
                <w:sz w:val="20"/>
              </w:rPr>
            </w:pPr>
          </w:p>
        </w:tc>
        <w:tc>
          <w:tcPr>
            <w:tcW w:w="1687" w:type="dxa"/>
          </w:tcPr>
          <w:p>
            <w:pPr>
              <w:pStyle w:val="TableParagraph"/>
              <w:rPr>
                <w:rFonts w:ascii="Times New Roman"/>
                <w:sz w:val="20"/>
              </w:rPr>
            </w:pPr>
          </w:p>
        </w:tc>
        <w:tc>
          <w:tcPr>
            <w:tcW w:w="737" w:type="dxa"/>
          </w:tcPr>
          <w:p>
            <w:pPr>
              <w:pStyle w:val="TableParagraph"/>
              <w:rPr>
                <w:rFonts w:ascii="Times New Roman"/>
                <w:sz w:val="20"/>
              </w:rPr>
            </w:pPr>
          </w:p>
        </w:tc>
      </w:tr>
      <w:tr>
        <w:trPr>
          <w:trHeight w:val="544" w:hRule="atLeast"/>
        </w:trPr>
        <w:tc>
          <w:tcPr>
            <w:tcW w:w="2403" w:type="dxa"/>
          </w:tcPr>
          <w:p>
            <w:pPr>
              <w:pStyle w:val="TableParagraph"/>
              <w:spacing w:before="1"/>
              <w:ind w:left="107"/>
              <w:rPr>
                <w:sz w:val="21"/>
              </w:rPr>
            </w:pPr>
            <w:r>
              <w:rPr>
                <w:sz w:val="21"/>
              </w:rPr>
              <w:t>二、无限售条件流通股</w:t>
            </w:r>
          </w:p>
          <w:p>
            <w:pPr>
              <w:pStyle w:val="TableParagraph"/>
              <w:spacing w:line="250" w:lineRule="exact" w:before="4"/>
              <w:ind w:left="107"/>
              <w:rPr>
                <w:sz w:val="21"/>
              </w:rPr>
            </w:pPr>
            <w:r>
              <w:rPr>
                <w:sz w:val="21"/>
              </w:rPr>
              <w:t>份 </w:t>
            </w:r>
          </w:p>
        </w:tc>
        <w:tc>
          <w:tcPr>
            <w:tcW w:w="1705" w:type="dxa"/>
          </w:tcPr>
          <w:p>
            <w:pPr>
              <w:pStyle w:val="TableParagraph"/>
              <w:spacing w:line="235" w:lineRule="exact"/>
              <w:ind w:right="97"/>
              <w:jc w:val="right"/>
              <w:rPr>
                <w:rFonts w:ascii="Times New Roman"/>
                <w:sz w:val="21"/>
              </w:rPr>
            </w:pPr>
            <w:r>
              <w:rPr>
                <w:rFonts w:ascii="Times New Roman"/>
                <w:sz w:val="21"/>
              </w:rPr>
              <w:t>19,742,555,075</w:t>
            </w:r>
          </w:p>
        </w:tc>
        <w:tc>
          <w:tcPr>
            <w:tcW w:w="850" w:type="dxa"/>
          </w:tcPr>
          <w:p>
            <w:pPr>
              <w:pStyle w:val="TableParagraph"/>
              <w:spacing w:line="235" w:lineRule="exact"/>
              <w:ind w:right="94"/>
              <w:jc w:val="right"/>
              <w:rPr>
                <w:rFonts w:ascii="Times New Roman"/>
                <w:sz w:val="21"/>
              </w:rPr>
            </w:pPr>
            <w:r>
              <w:rPr>
                <w:rFonts w:ascii="Times New Roman"/>
                <w:sz w:val="21"/>
              </w:rPr>
              <w:t>99.38</w:t>
            </w:r>
          </w:p>
        </w:tc>
        <w:tc>
          <w:tcPr>
            <w:tcW w:w="852" w:type="dxa"/>
          </w:tcPr>
          <w:p>
            <w:pPr>
              <w:pStyle w:val="TableParagraph"/>
              <w:rPr>
                <w:rFonts w:ascii="Times New Roman"/>
                <w:sz w:val="20"/>
              </w:rPr>
            </w:pPr>
          </w:p>
        </w:tc>
        <w:tc>
          <w:tcPr>
            <w:tcW w:w="566" w:type="dxa"/>
          </w:tcPr>
          <w:p>
            <w:pPr>
              <w:pStyle w:val="TableParagraph"/>
              <w:rPr>
                <w:rFonts w:ascii="Times New Roman"/>
                <w:sz w:val="20"/>
              </w:rPr>
            </w:pPr>
          </w:p>
        </w:tc>
        <w:tc>
          <w:tcPr>
            <w:tcW w:w="1277" w:type="dxa"/>
          </w:tcPr>
          <w:p>
            <w:pPr>
              <w:pStyle w:val="TableParagraph"/>
              <w:rPr>
                <w:rFonts w:ascii="Times New Roman"/>
                <w:sz w:val="20"/>
              </w:rPr>
            </w:pPr>
          </w:p>
        </w:tc>
        <w:tc>
          <w:tcPr>
            <w:tcW w:w="1843" w:type="dxa"/>
          </w:tcPr>
          <w:p>
            <w:pPr>
              <w:pStyle w:val="TableParagraph"/>
              <w:spacing w:line="235" w:lineRule="exact"/>
              <w:ind w:right="93"/>
              <w:jc w:val="right"/>
              <w:rPr>
                <w:rFonts w:ascii="Times New Roman"/>
                <w:sz w:val="21"/>
              </w:rPr>
            </w:pPr>
            <w:r>
              <w:rPr>
                <w:rFonts w:ascii="Times New Roman"/>
                <w:sz w:val="21"/>
              </w:rPr>
              <w:t>52,941,140</w:t>
            </w:r>
          </w:p>
        </w:tc>
        <w:tc>
          <w:tcPr>
            <w:tcW w:w="1944" w:type="dxa"/>
          </w:tcPr>
          <w:p>
            <w:pPr>
              <w:pStyle w:val="TableParagraph"/>
              <w:spacing w:line="235" w:lineRule="exact"/>
              <w:ind w:right="93"/>
              <w:jc w:val="right"/>
              <w:rPr>
                <w:rFonts w:ascii="Times New Roman"/>
                <w:sz w:val="21"/>
              </w:rPr>
            </w:pPr>
            <w:r>
              <w:rPr>
                <w:rFonts w:ascii="Times New Roman"/>
                <w:sz w:val="21"/>
              </w:rPr>
              <w:t>52,941,140</w:t>
            </w:r>
          </w:p>
        </w:tc>
        <w:tc>
          <w:tcPr>
            <w:tcW w:w="1687" w:type="dxa"/>
          </w:tcPr>
          <w:p>
            <w:pPr>
              <w:pStyle w:val="TableParagraph"/>
              <w:spacing w:line="235" w:lineRule="exact"/>
              <w:ind w:right="93"/>
              <w:jc w:val="right"/>
              <w:rPr>
                <w:rFonts w:ascii="Times New Roman"/>
                <w:sz w:val="21"/>
              </w:rPr>
            </w:pPr>
            <w:r>
              <w:rPr>
                <w:rFonts w:ascii="Times New Roman"/>
                <w:sz w:val="21"/>
              </w:rPr>
              <w:t>19,795,496,215</w:t>
            </w:r>
          </w:p>
        </w:tc>
        <w:tc>
          <w:tcPr>
            <w:tcW w:w="737" w:type="dxa"/>
          </w:tcPr>
          <w:p>
            <w:pPr>
              <w:pStyle w:val="TableParagraph"/>
              <w:spacing w:line="235" w:lineRule="exact"/>
              <w:ind w:right="92"/>
              <w:jc w:val="right"/>
              <w:rPr>
                <w:rFonts w:ascii="Times New Roman"/>
                <w:sz w:val="21"/>
              </w:rPr>
            </w:pPr>
            <w:r>
              <w:rPr>
                <w:rFonts w:ascii="Times New Roman"/>
                <w:sz w:val="21"/>
              </w:rPr>
              <w:t>99.68</w:t>
            </w:r>
          </w:p>
        </w:tc>
      </w:tr>
      <w:tr>
        <w:trPr>
          <w:trHeight w:val="273" w:hRule="atLeast"/>
        </w:trPr>
        <w:tc>
          <w:tcPr>
            <w:tcW w:w="2403" w:type="dxa"/>
          </w:tcPr>
          <w:p>
            <w:pPr>
              <w:pStyle w:val="TableParagraph"/>
              <w:spacing w:line="252" w:lineRule="exact" w:before="1"/>
              <w:ind w:left="107"/>
              <w:rPr>
                <w:sz w:val="21"/>
              </w:rPr>
            </w:pPr>
            <w:r>
              <w:rPr>
                <w:sz w:val="21"/>
              </w:rPr>
              <w:t>1、人民币普通股 </w:t>
            </w:r>
          </w:p>
        </w:tc>
        <w:tc>
          <w:tcPr>
            <w:tcW w:w="1705" w:type="dxa"/>
          </w:tcPr>
          <w:p>
            <w:pPr>
              <w:pStyle w:val="TableParagraph"/>
              <w:rPr>
                <w:rFonts w:ascii="Times New Roman"/>
                <w:sz w:val="20"/>
              </w:rPr>
            </w:pPr>
          </w:p>
        </w:tc>
        <w:tc>
          <w:tcPr>
            <w:tcW w:w="850" w:type="dxa"/>
          </w:tcPr>
          <w:p>
            <w:pPr>
              <w:pStyle w:val="TableParagraph"/>
              <w:rPr>
                <w:rFonts w:ascii="Times New Roman"/>
                <w:sz w:val="20"/>
              </w:rPr>
            </w:pPr>
          </w:p>
        </w:tc>
        <w:tc>
          <w:tcPr>
            <w:tcW w:w="852" w:type="dxa"/>
          </w:tcPr>
          <w:p>
            <w:pPr>
              <w:pStyle w:val="TableParagraph"/>
              <w:rPr>
                <w:rFonts w:ascii="Times New Roman"/>
                <w:sz w:val="20"/>
              </w:rPr>
            </w:pPr>
          </w:p>
        </w:tc>
        <w:tc>
          <w:tcPr>
            <w:tcW w:w="566" w:type="dxa"/>
          </w:tcPr>
          <w:p>
            <w:pPr>
              <w:pStyle w:val="TableParagraph"/>
              <w:rPr>
                <w:rFonts w:ascii="Times New Roman"/>
                <w:sz w:val="20"/>
              </w:rPr>
            </w:pPr>
          </w:p>
        </w:tc>
        <w:tc>
          <w:tcPr>
            <w:tcW w:w="1277" w:type="dxa"/>
          </w:tcPr>
          <w:p>
            <w:pPr>
              <w:pStyle w:val="TableParagraph"/>
              <w:rPr>
                <w:rFonts w:ascii="Times New Roman"/>
                <w:sz w:val="20"/>
              </w:rPr>
            </w:pPr>
          </w:p>
        </w:tc>
        <w:tc>
          <w:tcPr>
            <w:tcW w:w="1843" w:type="dxa"/>
          </w:tcPr>
          <w:p>
            <w:pPr>
              <w:pStyle w:val="TableParagraph"/>
              <w:rPr>
                <w:rFonts w:ascii="Times New Roman"/>
                <w:sz w:val="20"/>
              </w:rPr>
            </w:pPr>
          </w:p>
        </w:tc>
        <w:tc>
          <w:tcPr>
            <w:tcW w:w="1944" w:type="dxa"/>
          </w:tcPr>
          <w:p>
            <w:pPr>
              <w:pStyle w:val="TableParagraph"/>
              <w:rPr>
                <w:rFonts w:ascii="Times New Roman"/>
                <w:sz w:val="20"/>
              </w:rPr>
            </w:pPr>
          </w:p>
        </w:tc>
        <w:tc>
          <w:tcPr>
            <w:tcW w:w="1687" w:type="dxa"/>
          </w:tcPr>
          <w:p>
            <w:pPr>
              <w:pStyle w:val="TableParagraph"/>
              <w:rPr>
                <w:rFonts w:ascii="Times New Roman"/>
                <w:sz w:val="20"/>
              </w:rPr>
            </w:pPr>
          </w:p>
        </w:tc>
        <w:tc>
          <w:tcPr>
            <w:tcW w:w="737" w:type="dxa"/>
          </w:tcPr>
          <w:p>
            <w:pPr>
              <w:pStyle w:val="TableParagraph"/>
              <w:rPr>
                <w:rFonts w:ascii="Times New Roman"/>
                <w:sz w:val="20"/>
              </w:rPr>
            </w:pPr>
          </w:p>
        </w:tc>
      </w:tr>
      <w:tr>
        <w:trPr>
          <w:trHeight w:val="273" w:hRule="atLeast"/>
        </w:trPr>
        <w:tc>
          <w:tcPr>
            <w:tcW w:w="2403" w:type="dxa"/>
          </w:tcPr>
          <w:p>
            <w:pPr>
              <w:pStyle w:val="TableParagraph"/>
              <w:spacing w:line="253" w:lineRule="exact" w:before="1"/>
              <w:ind w:left="107"/>
              <w:rPr>
                <w:sz w:val="21"/>
              </w:rPr>
            </w:pPr>
            <w:r>
              <w:rPr>
                <w:sz w:val="21"/>
              </w:rPr>
              <w:t>2、境内上市的外资股 </w:t>
            </w:r>
          </w:p>
        </w:tc>
        <w:tc>
          <w:tcPr>
            <w:tcW w:w="1705" w:type="dxa"/>
          </w:tcPr>
          <w:p>
            <w:pPr>
              <w:pStyle w:val="TableParagraph"/>
              <w:rPr>
                <w:rFonts w:ascii="Times New Roman"/>
                <w:sz w:val="20"/>
              </w:rPr>
            </w:pPr>
          </w:p>
        </w:tc>
        <w:tc>
          <w:tcPr>
            <w:tcW w:w="850" w:type="dxa"/>
          </w:tcPr>
          <w:p>
            <w:pPr>
              <w:pStyle w:val="TableParagraph"/>
              <w:rPr>
                <w:rFonts w:ascii="Times New Roman"/>
                <w:sz w:val="20"/>
              </w:rPr>
            </w:pPr>
          </w:p>
        </w:tc>
        <w:tc>
          <w:tcPr>
            <w:tcW w:w="852" w:type="dxa"/>
          </w:tcPr>
          <w:p>
            <w:pPr>
              <w:pStyle w:val="TableParagraph"/>
              <w:rPr>
                <w:rFonts w:ascii="Times New Roman"/>
                <w:sz w:val="20"/>
              </w:rPr>
            </w:pPr>
          </w:p>
        </w:tc>
        <w:tc>
          <w:tcPr>
            <w:tcW w:w="566" w:type="dxa"/>
          </w:tcPr>
          <w:p>
            <w:pPr>
              <w:pStyle w:val="TableParagraph"/>
              <w:rPr>
                <w:rFonts w:ascii="Times New Roman"/>
                <w:sz w:val="20"/>
              </w:rPr>
            </w:pPr>
          </w:p>
        </w:tc>
        <w:tc>
          <w:tcPr>
            <w:tcW w:w="1277" w:type="dxa"/>
          </w:tcPr>
          <w:p>
            <w:pPr>
              <w:pStyle w:val="TableParagraph"/>
              <w:rPr>
                <w:rFonts w:ascii="Times New Roman"/>
                <w:sz w:val="20"/>
              </w:rPr>
            </w:pPr>
          </w:p>
        </w:tc>
        <w:tc>
          <w:tcPr>
            <w:tcW w:w="1843" w:type="dxa"/>
          </w:tcPr>
          <w:p>
            <w:pPr>
              <w:pStyle w:val="TableParagraph"/>
              <w:rPr>
                <w:rFonts w:ascii="Times New Roman"/>
                <w:sz w:val="20"/>
              </w:rPr>
            </w:pPr>
          </w:p>
        </w:tc>
        <w:tc>
          <w:tcPr>
            <w:tcW w:w="1944" w:type="dxa"/>
          </w:tcPr>
          <w:p>
            <w:pPr>
              <w:pStyle w:val="TableParagraph"/>
              <w:rPr>
                <w:rFonts w:ascii="Times New Roman"/>
                <w:sz w:val="20"/>
              </w:rPr>
            </w:pPr>
          </w:p>
        </w:tc>
        <w:tc>
          <w:tcPr>
            <w:tcW w:w="1687" w:type="dxa"/>
          </w:tcPr>
          <w:p>
            <w:pPr>
              <w:pStyle w:val="TableParagraph"/>
              <w:rPr>
                <w:rFonts w:ascii="Times New Roman"/>
                <w:sz w:val="20"/>
              </w:rPr>
            </w:pPr>
          </w:p>
        </w:tc>
        <w:tc>
          <w:tcPr>
            <w:tcW w:w="737" w:type="dxa"/>
          </w:tcPr>
          <w:p>
            <w:pPr>
              <w:pStyle w:val="TableParagraph"/>
              <w:rPr>
                <w:rFonts w:ascii="Times New Roman"/>
                <w:sz w:val="20"/>
              </w:rPr>
            </w:pPr>
          </w:p>
        </w:tc>
      </w:tr>
      <w:tr>
        <w:trPr>
          <w:trHeight w:val="270" w:hRule="atLeast"/>
        </w:trPr>
        <w:tc>
          <w:tcPr>
            <w:tcW w:w="2403" w:type="dxa"/>
          </w:tcPr>
          <w:p>
            <w:pPr>
              <w:pStyle w:val="TableParagraph"/>
              <w:spacing w:line="250" w:lineRule="exact" w:before="1"/>
              <w:ind w:left="107"/>
              <w:rPr>
                <w:sz w:val="21"/>
              </w:rPr>
            </w:pPr>
            <w:r>
              <w:rPr>
                <w:sz w:val="21"/>
              </w:rPr>
              <w:t>3、境外上市的外资股 </w:t>
            </w:r>
          </w:p>
        </w:tc>
        <w:tc>
          <w:tcPr>
            <w:tcW w:w="1705" w:type="dxa"/>
          </w:tcPr>
          <w:p>
            <w:pPr>
              <w:pStyle w:val="TableParagraph"/>
              <w:rPr>
                <w:rFonts w:ascii="Times New Roman"/>
                <w:sz w:val="20"/>
              </w:rPr>
            </w:pPr>
          </w:p>
        </w:tc>
        <w:tc>
          <w:tcPr>
            <w:tcW w:w="850" w:type="dxa"/>
          </w:tcPr>
          <w:p>
            <w:pPr>
              <w:pStyle w:val="TableParagraph"/>
              <w:rPr>
                <w:rFonts w:ascii="Times New Roman"/>
                <w:sz w:val="20"/>
              </w:rPr>
            </w:pPr>
          </w:p>
        </w:tc>
        <w:tc>
          <w:tcPr>
            <w:tcW w:w="852" w:type="dxa"/>
          </w:tcPr>
          <w:p>
            <w:pPr>
              <w:pStyle w:val="TableParagraph"/>
              <w:rPr>
                <w:rFonts w:ascii="Times New Roman"/>
                <w:sz w:val="20"/>
              </w:rPr>
            </w:pPr>
          </w:p>
        </w:tc>
        <w:tc>
          <w:tcPr>
            <w:tcW w:w="566" w:type="dxa"/>
          </w:tcPr>
          <w:p>
            <w:pPr>
              <w:pStyle w:val="TableParagraph"/>
              <w:rPr>
                <w:rFonts w:ascii="Times New Roman"/>
                <w:sz w:val="20"/>
              </w:rPr>
            </w:pPr>
          </w:p>
        </w:tc>
        <w:tc>
          <w:tcPr>
            <w:tcW w:w="1277" w:type="dxa"/>
          </w:tcPr>
          <w:p>
            <w:pPr>
              <w:pStyle w:val="TableParagraph"/>
              <w:rPr>
                <w:rFonts w:ascii="Times New Roman"/>
                <w:sz w:val="20"/>
              </w:rPr>
            </w:pPr>
          </w:p>
        </w:tc>
        <w:tc>
          <w:tcPr>
            <w:tcW w:w="1843" w:type="dxa"/>
          </w:tcPr>
          <w:p>
            <w:pPr>
              <w:pStyle w:val="TableParagraph"/>
              <w:rPr>
                <w:rFonts w:ascii="Times New Roman"/>
                <w:sz w:val="20"/>
              </w:rPr>
            </w:pPr>
          </w:p>
        </w:tc>
        <w:tc>
          <w:tcPr>
            <w:tcW w:w="1944" w:type="dxa"/>
          </w:tcPr>
          <w:p>
            <w:pPr>
              <w:pStyle w:val="TableParagraph"/>
              <w:rPr>
                <w:rFonts w:ascii="Times New Roman"/>
                <w:sz w:val="20"/>
              </w:rPr>
            </w:pPr>
          </w:p>
        </w:tc>
        <w:tc>
          <w:tcPr>
            <w:tcW w:w="1687" w:type="dxa"/>
          </w:tcPr>
          <w:p>
            <w:pPr>
              <w:pStyle w:val="TableParagraph"/>
              <w:rPr>
                <w:rFonts w:ascii="Times New Roman"/>
                <w:sz w:val="20"/>
              </w:rPr>
            </w:pPr>
          </w:p>
        </w:tc>
        <w:tc>
          <w:tcPr>
            <w:tcW w:w="737" w:type="dxa"/>
          </w:tcPr>
          <w:p>
            <w:pPr>
              <w:pStyle w:val="TableParagraph"/>
              <w:rPr>
                <w:rFonts w:ascii="Times New Roman"/>
                <w:sz w:val="20"/>
              </w:rPr>
            </w:pPr>
          </w:p>
        </w:tc>
      </w:tr>
      <w:tr>
        <w:trPr>
          <w:trHeight w:val="273" w:hRule="atLeast"/>
        </w:trPr>
        <w:tc>
          <w:tcPr>
            <w:tcW w:w="2403" w:type="dxa"/>
          </w:tcPr>
          <w:p>
            <w:pPr>
              <w:pStyle w:val="TableParagraph"/>
              <w:spacing w:line="252" w:lineRule="exact" w:before="1"/>
              <w:ind w:left="107"/>
              <w:rPr>
                <w:sz w:val="21"/>
              </w:rPr>
            </w:pPr>
            <w:r>
              <w:rPr>
                <w:sz w:val="21"/>
              </w:rPr>
              <w:t>4、其他 </w:t>
            </w:r>
          </w:p>
        </w:tc>
        <w:tc>
          <w:tcPr>
            <w:tcW w:w="1705" w:type="dxa"/>
          </w:tcPr>
          <w:p>
            <w:pPr>
              <w:pStyle w:val="TableParagraph"/>
              <w:rPr>
                <w:rFonts w:ascii="Times New Roman"/>
                <w:sz w:val="20"/>
              </w:rPr>
            </w:pPr>
          </w:p>
        </w:tc>
        <w:tc>
          <w:tcPr>
            <w:tcW w:w="850" w:type="dxa"/>
          </w:tcPr>
          <w:p>
            <w:pPr>
              <w:pStyle w:val="TableParagraph"/>
              <w:rPr>
                <w:rFonts w:ascii="Times New Roman"/>
                <w:sz w:val="20"/>
              </w:rPr>
            </w:pPr>
          </w:p>
        </w:tc>
        <w:tc>
          <w:tcPr>
            <w:tcW w:w="852" w:type="dxa"/>
          </w:tcPr>
          <w:p>
            <w:pPr>
              <w:pStyle w:val="TableParagraph"/>
              <w:rPr>
                <w:rFonts w:ascii="Times New Roman"/>
                <w:sz w:val="20"/>
              </w:rPr>
            </w:pPr>
          </w:p>
        </w:tc>
        <w:tc>
          <w:tcPr>
            <w:tcW w:w="566" w:type="dxa"/>
          </w:tcPr>
          <w:p>
            <w:pPr>
              <w:pStyle w:val="TableParagraph"/>
              <w:rPr>
                <w:rFonts w:ascii="Times New Roman"/>
                <w:sz w:val="20"/>
              </w:rPr>
            </w:pPr>
          </w:p>
        </w:tc>
        <w:tc>
          <w:tcPr>
            <w:tcW w:w="1277" w:type="dxa"/>
          </w:tcPr>
          <w:p>
            <w:pPr>
              <w:pStyle w:val="TableParagraph"/>
              <w:rPr>
                <w:rFonts w:ascii="Times New Roman"/>
                <w:sz w:val="20"/>
              </w:rPr>
            </w:pPr>
          </w:p>
        </w:tc>
        <w:tc>
          <w:tcPr>
            <w:tcW w:w="1843" w:type="dxa"/>
          </w:tcPr>
          <w:p>
            <w:pPr>
              <w:pStyle w:val="TableParagraph"/>
              <w:rPr>
                <w:rFonts w:ascii="Times New Roman"/>
                <w:sz w:val="20"/>
              </w:rPr>
            </w:pPr>
          </w:p>
        </w:tc>
        <w:tc>
          <w:tcPr>
            <w:tcW w:w="1944" w:type="dxa"/>
          </w:tcPr>
          <w:p>
            <w:pPr>
              <w:pStyle w:val="TableParagraph"/>
              <w:rPr>
                <w:rFonts w:ascii="Times New Roman"/>
                <w:sz w:val="20"/>
              </w:rPr>
            </w:pPr>
          </w:p>
        </w:tc>
        <w:tc>
          <w:tcPr>
            <w:tcW w:w="1687" w:type="dxa"/>
          </w:tcPr>
          <w:p>
            <w:pPr>
              <w:pStyle w:val="TableParagraph"/>
              <w:rPr>
                <w:rFonts w:ascii="Times New Roman"/>
                <w:sz w:val="20"/>
              </w:rPr>
            </w:pPr>
          </w:p>
        </w:tc>
        <w:tc>
          <w:tcPr>
            <w:tcW w:w="737" w:type="dxa"/>
          </w:tcPr>
          <w:p>
            <w:pPr>
              <w:pStyle w:val="TableParagraph"/>
              <w:rPr>
                <w:rFonts w:ascii="Times New Roman"/>
                <w:sz w:val="20"/>
              </w:rPr>
            </w:pPr>
          </w:p>
        </w:tc>
      </w:tr>
      <w:tr>
        <w:trPr>
          <w:trHeight w:val="273" w:hRule="atLeast"/>
        </w:trPr>
        <w:tc>
          <w:tcPr>
            <w:tcW w:w="2403" w:type="dxa"/>
          </w:tcPr>
          <w:p>
            <w:pPr>
              <w:pStyle w:val="TableParagraph"/>
              <w:spacing w:line="252" w:lineRule="exact" w:before="1"/>
              <w:ind w:left="107"/>
              <w:rPr>
                <w:sz w:val="21"/>
              </w:rPr>
            </w:pPr>
            <w:r>
              <w:rPr>
                <w:spacing w:val="-1"/>
                <w:sz w:val="21"/>
              </w:rPr>
              <w:t>三、股份总数</w:t>
            </w:r>
            <w:r>
              <w:rPr>
                <w:sz w:val="21"/>
              </w:rPr>
              <w:t> </w:t>
            </w:r>
          </w:p>
        </w:tc>
        <w:tc>
          <w:tcPr>
            <w:tcW w:w="1705" w:type="dxa"/>
          </w:tcPr>
          <w:p>
            <w:pPr>
              <w:pStyle w:val="TableParagraph"/>
              <w:spacing w:line="235" w:lineRule="exact"/>
              <w:ind w:left="107"/>
              <w:rPr>
                <w:rFonts w:ascii="Times New Roman"/>
                <w:sz w:val="21"/>
              </w:rPr>
            </w:pPr>
            <w:r>
              <w:rPr>
                <w:rFonts w:ascii="Times New Roman"/>
                <w:sz w:val="21"/>
              </w:rPr>
              <w:t>19,865,070,441</w:t>
            </w:r>
          </w:p>
        </w:tc>
        <w:tc>
          <w:tcPr>
            <w:tcW w:w="850" w:type="dxa"/>
          </w:tcPr>
          <w:p>
            <w:pPr>
              <w:pStyle w:val="TableParagraph"/>
              <w:spacing w:line="235" w:lineRule="exact"/>
              <w:ind w:left="104"/>
              <w:rPr>
                <w:rFonts w:ascii="Times New Roman"/>
                <w:sz w:val="21"/>
              </w:rPr>
            </w:pPr>
            <w:r>
              <w:rPr>
                <w:rFonts w:ascii="Times New Roman"/>
                <w:sz w:val="21"/>
              </w:rPr>
              <w:t>100</w:t>
            </w:r>
          </w:p>
        </w:tc>
        <w:tc>
          <w:tcPr>
            <w:tcW w:w="852" w:type="dxa"/>
          </w:tcPr>
          <w:p>
            <w:pPr>
              <w:pStyle w:val="TableParagraph"/>
              <w:rPr>
                <w:rFonts w:ascii="Times New Roman"/>
                <w:sz w:val="20"/>
              </w:rPr>
            </w:pPr>
          </w:p>
        </w:tc>
        <w:tc>
          <w:tcPr>
            <w:tcW w:w="566" w:type="dxa"/>
          </w:tcPr>
          <w:p>
            <w:pPr>
              <w:pStyle w:val="TableParagraph"/>
              <w:rPr>
                <w:rFonts w:ascii="Times New Roman"/>
                <w:sz w:val="20"/>
              </w:rPr>
            </w:pPr>
          </w:p>
        </w:tc>
        <w:tc>
          <w:tcPr>
            <w:tcW w:w="1277" w:type="dxa"/>
          </w:tcPr>
          <w:p>
            <w:pPr>
              <w:pStyle w:val="TableParagraph"/>
              <w:rPr>
                <w:rFonts w:ascii="Times New Roman"/>
                <w:sz w:val="20"/>
              </w:rPr>
            </w:pPr>
          </w:p>
        </w:tc>
        <w:tc>
          <w:tcPr>
            <w:tcW w:w="1843" w:type="dxa"/>
          </w:tcPr>
          <w:p>
            <w:pPr>
              <w:pStyle w:val="TableParagraph"/>
              <w:spacing w:line="235" w:lineRule="exact"/>
              <w:ind w:right="95"/>
              <w:jc w:val="right"/>
              <w:rPr>
                <w:rFonts w:ascii="Times New Roman"/>
                <w:sz w:val="21"/>
              </w:rPr>
            </w:pPr>
            <w:r>
              <w:rPr>
                <w:rFonts w:ascii="Times New Roman"/>
                <w:sz w:val="21"/>
              </w:rPr>
              <w:t>-5,477,548</w:t>
            </w:r>
          </w:p>
        </w:tc>
        <w:tc>
          <w:tcPr>
            <w:tcW w:w="1944" w:type="dxa"/>
          </w:tcPr>
          <w:p>
            <w:pPr>
              <w:pStyle w:val="TableParagraph"/>
              <w:spacing w:line="235" w:lineRule="exact"/>
              <w:ind w:right="95"/>
              <w:jc w:val="right"/>
              <w:rPr>
                <w:rFonts w:ascii="Times New Roman"/>
                <w:sz w:val="21"/>
              </w:rPr>
            </w:pPr>
            <w:r>
              <w:rPr>
                <w:rFonts w:ascii="Times New Roman"/>
                <w:sz w:val="21"/>
              </w:rPr>
              <w:t>-5,477,548</w:t>
            </w:r>
          </w:p>
        </w:tc>
        <w:tc>
          <w:tcPr>
            <w:tcW w:w="1687" w:type="dxa"/>
          </w:tcPr>
          <w:p>
            <w:pPr>
              <w:pStyle w:val="TableParagraph"/>
              <w:spacing w:line="235" w:lineRule="exact"/>
              <w:ind w:left="108"/>
              <w:rPr>
                <w:rFonts w:ascii="Times New Roman"/>
                <w:sz w:val="21"/>
              </w:rPr>
            </w:pPr>
            <w:r>
              <w:rPr>
                <w:rFonts w:ascii="Times New Roman"/>
                <w:sz w:val="21"/>
              </w:rPr>
              <w:t>19,859,592,893</w:t>
            </w:r>
          </w:p>
        </w:tc>
        <w:tc>
          <w:tcPr>
            <w:tcW w:w="737" w:type="dxa"/>
          </w:tcPr>
          <w:p>
            <w:pPr>
              <w:pStyle w:val="TableParagraph"/>
              <w:spacing w:line="235" w:lineRule="exact"/>
              <w:ind w:left="108"/>
              <w:rPr>
                <w:rFonts w:ascii="Times New Roman"/>
                <w:sz w:val="21"/>
              </w:rPr>
            </w:pPr>
            <w:r>
              <w:rPr>
                <w:rFonts w:ascii="Times New Roman"/>
                <w:sz w:val="21"/>
              </w:rPr>
              <w:t>100</w:t>
            </w:r>
          </w:p>
        </w:tc>
      </w:tr>
    </w:tbl>
    <w:p>
      <w:pPr>
        <w:spacing w:after="0" w:line="235" w:lineRule="exact"/>
        <w:rPr>
          <w:rFonts w:ascii="Times New Roman"/>
          <w:sz w:val="21"/>
        </w:rPr>
        <w:sectPr>
          <w:headerReference w:type="default" r:id="rId51"/>
          <w:footerReference w:type="default" r:id="rId52"/>
          <w:pgSz w:w="16840" w:h="11910" w:orient="landscape"/>
          <w:pgMar w:header="0" w:footer="1195" w:top="800" w:bottom="1380" w:left="1300" w:right="1300"/>
        </w:sectPr>
      </w:pPr>
    </w:p>
    <w:p>
      <w:pPr>
        <w:pStyle w:val="BodyText"/>
        <w:ind w:left="0"/>
        <w:rPr>
          <w:sz w:val="20"/>
        </w:rPr>
      </w:pPr>
    </w:p>
    <w:p>
      <w:pPr>
        <w:pStyle w:val="BodyText"/>
        <w:spacing w:before="5"/>
        <w:ind w:left="0"/>
        <w:rPr>
          <w:sz w:val="16"/>
        </w:rPr>
      </w:pPr>
    </w:p>
    <w:p>
      <w:pPr>
        <w:pStyle w:val="BodyText"/>
        <w:spacing w:before="1"/>
      </w:pPr>
      <w:r>
        <w:rPr/>
        <w:t>2、 股份变动情况说明 </w:t>
      </w:r>
    </w:p>
    <w:p>
      <w:pPr>
        <w:pStyle w:val="BodyText"/>
        <w:spacing w:before="64"/>
      </w:pPr>
      <w:r>
        <w:rPr>
          <w:spacing w:val="11"/>
        </w:rPr>
        <w:t>√适用 □不适用</w:t>
      </w:r>
      <w:r>
        <w:rPr>
          <w:spacing w:val="-3"/>
        </w:rPr>
        <w:t> </w:t>
      </w:r>
      <w:r>
        <w:rPr/>
        <w:t> </w:t>
      </w:r>
    </w:p>
    <w:p>
      <w:pPr>
        <w:pStyle w:val="ListParagraph"/>
        <w:numPr>
          <w:ilvl w:val="1"/>
          <w:numId w:val="29"/>
        </w:numPr>
        <w:tabs>
          <w:tab w:pos="899" w:val="left" w:leader="none"/>
        </w:tabs>
        <w:spacing w:line="240" w:lineRule="auto" w:before="2" w:after="0"/>
        <w:ind w:left="898" w:right="0" w:hanging="161"/>
        <w:jc w:val="left"/>
        <w:rPr>
          <w:sz w:val="21"/>
        </w:rPr>
      </w:pPr>
      <w:r>
        <w:rPr>
          <w:spacing w:val="14"/>
          <w:sz w:val="21"/>
        </w:rPr>
        <w:t>公司 </w:t>
      </w:r>
      <w:r>
        <w:rPr>
          <w:rFonts w:ascii="Times New Roman" w:eastAsia="Times New Roman"/>
          <w:sz w:val="21"/>
        </w:rPr>
        <w:t>2019</w:t>
      </w:r>
      <w:r>
        <w:rPr>
          <w:rFonts w:ascii="Times New Roman" w:eastAsia="Times New Roman"/>
          <w:spacing w:val="65"/>
          <w:sz w:val="21"/>
        </w:rPr>
        <w:t> </w:t>
      </w:r>
      <w:r>
        <w:rPr>
          <w:sz w:val="21"/>
        </w:rPr>
        <w:t>年股票期权与限制性股票激励计划剩余预留授予限制性股票第二期解锁条件成</w:t>
      </w:r>
    </w:p>
    <w:p>
      <w:pPr>
        <w:pStyle w:val="BodyText"/>
        <w:spacing w:before="142"/>
      </w:pPr>
      <w:r>
        <w:rPr>
          <w:spacing w:val="-6"/>
        </w:rPr>
        <w:t>就，对应解除限售股 </w:t>
      </w:r>
      <w:r>
        <w:rPr>
          <w:rFonts w:ascii="Times New Roman" w:eastAsia="Times New Roman"/>
        </w:rPr>
        <w:t>3,228,952</w:t>
      </w:r>
      <w:r>
        <w:rPr>
          <w:rFonts w:ascii="Times New Roman" w:eastAsia="Times New Roman"/>
          <w:spacing w:val="-12"/>
        </w:rPr>
        <w:t> </w:t>
      </w:r>
      <w:r>
        <w:rPr>
          <w:spacing w:val="-19"/>
        </w:rPr>
        <w:t>股于 </w:t>
      </w:r>
      <w:r>
        <w:rPr>
          <w:rFonts w:ascii="Times New Roman" w:eastAsia="Times New Roman"/>
        </w:rPr>
        <w:t>2022</w:t>
      </w:r>
      <w:r>
        <w:rPr>
          <w:rFonts w:ascii="Times New Roman" w:eastAsia="Times New Roman"/>
          <w:spacing w:val="-10"/>
        </w:rPr>
        <w:t> </w:t>
      </w:r>
      <w:r>
        <w:rPr>
          <w:spacing w:val="-27"/>
        </w:rPr>
        <w:t>年 </w:t>
      </w:r>
      <w:r>
        <w:rPr>
          <w:rFonts w:ascii="Times New Roman" w:eastAsia="Times New Roman"/>
        </w:rPr>
        <w:t>1</w:t>
      </w:r>
      <w:r>
        <w:rPr>
          <w:rFonts w:ascii="Times New Roman" w:eastAsia="Times New Roman"/>
          <w:spacing w:val="-12"/>
        </w:rPr>
        <w:t> </w:t>
      </w:r>
      <w:r>
        <w:rPr>
          <w:spacing w:val="-27"/>
        </w:rPr>
        <w:t>月 </w:t>
      </w:r>
      <w:r>
        <w:rPr>
          <w:rFonts w:ascii="Times New Roman" w:eastAsia="Times New Roman"/>
        </w:rPr>
        <w:t>19</w:t>
      </w:r>
      <w:r>
        <w:rPr>
          <w:rFonts w:ascii="Times New Roman" w:eastAsia="Times New Roman"/>
          <w:spacing w:val="-12"/>
        </w:rPr>
        <w:t> </w:t>
      </w:r>
      <w:r>
        <w:rPr/>
        <w:t>日上市流通；</w:t>
      </w:r>
    </w:p>
    <w:p>
      <w:pPr>
        <w:pStyle w:val="ListParagraph"/>
        <w:numPr>
          <w:ilvl w:val="1"/>
          <w:numId w:val="29"/>
        </w:numPr>
        <w:tabs>
          <w:tab w:pos="904" w:val="left" w:leader="none"/>
        </w:tabs>
        <w:spacing w:line="240" w:lineRule="auto" w:before="139" w:after="0"/>
        <w:ind w:left="903" w:right="0" w:hanging="166"/>
        <w:jc w:val="left"/>
        <w:rPr>
          <w:sz w:val="21"/>
        </w:rPr>
      </w:pPr>
      <w:r>
        <w:rPr>
          <w:spacing w:val="40"/>
          <w:sz w:val="21"/>
        </w:rPr>
        <w:t>公司 </w:t>
      </w:r>
      <w:r>
        <w:rPr>
          <w:rFonts w:ascii="Times New Roman" w:eastAsia="Times New Roman"/>
          <w:sz w:val="21"/>
        </w:rPr>
        <w:t>2019</w:t>
      </w:r>
      <w:r>
        <w:rPr>
          <w:rFonts w:ascii="Times New Roman" w:eastAsia="Times New Roman"/>
          <w:spacing w:val="6"/>
          <w:sz w:val="21"/>
        </w:rPr>
        <w:t>   </w:t>
      </w:r>
      <w:r>
        <w:rPr>
          <w:sz w:val="21"/>
        </w:rPr>
        <w:t>年股票期权与限制性股票激励计划首次授予股票期权第二个行权期有效期为</w:t>
      </w:r>
    </w:p>
    <w:p>
      <w:pPr>
        <w:pStyle w:val="BodyText"/>
        <w:spacing w:before="139"/>
        <w:rPr>
          <w:rFonts w:ascii="Times New Roman" w:eastAsia="Times New Roman"/>
        </w:rPr>
      </w:pPr>
      <w:r>
        <w:rPr>
          <w:rFonts w:ascii="Times New Roman" w:eastAsia="Times New Roman"/>
        </w:rPr>
        <w:t>2021</w:t>
      </w:r>
      <w:r>
        <w:rPr>
          <w:rFonts w:ascii="Times New Roman" w:eastAsia="Times New Roman"/>
          <w:spacing w:val="-7"/>
        </w:rPr>
        <w:t> </w:t>
      </w:r>
      <w:r>
        <w:rPr>
          <w:spacing w:val="-24"/>
        </w:rPr>
        <w:t>年 </w:t>
      </w:r>
      <w:r>
        <w:rPr>
          <w:rFonts w:ascii="Times New Roman" w:eastAsia="Times New Roman"/>
        </w:rPr>
        <w:t>6</w:t>
      </w:r>
      <w:r>
        <w:rPr>
          <w:rFonts w:ascii="Times New Roman" w:eastAsia="Times New Roman"/>
          <w:spacing w:val="-5"/>
        </w:rPr>
        <w:t> </w:t>
      </w:r>
      <w:r>
        <w:rPr>
          <w:spacing w:val="-24"/>
        </w:rPr>
        <w:t>月 </w:t>
      </w:r>
      <w:r>
        <w:rPr>
          <w:rFonts w:ascii="Times New Roman" w:eastAsia="Times New Roman"/>
        </w:rPr>
        <w:t>7</w:t>
      </w:r>
      <w:r>
        <w:rPr>
          <w:rFonts w:ascii="Times New Roman" w:eastAsia="Times New Roman"/>
          <w:spacing w:val="-5"/>
        </w:rPr>
        <w:t> </w:t>
      </w:r>
      <w:r>
        <w:rPr>
          <w:spacing w:val="-15"/>
        </w:rPr>
        <w:t>日至 </w:t>
      </w:r>
      <w:r>
        <w:rPr>
          <w:rFonts w:ascii="Times New Roman" w:eastAsia="Times New Roman"/>
        </w:rPr>
        <w:t>2022</w:t>
      </w:r>
      <w:r>
        <w:rPr>
          <w:rFonts w:ascii="Times New Roman" w:eastAsia="Times New Roman"/>
          <w:spacing w:val="-7"/>
        </w:rPr>
        <w:t> </w:t>
      </w:r>
      <w:r>
        <w:rPr>
          <w:spacing w:val="-23"/>
        </w:rPr>
        <w:t>年 </w:t>
      </w:r>
      <w:r>
        <w:rPr>
          <w:rFonts w:ascii="Times New Roman" w:eastAsia="Times New Roman"/>
        </w:rPr>
        <w:t>4</w:t>
      </w:r>
      <w:r>
        <w:rPr>
          <w:rFonts w:ascii="Times New Roman" w:eastAsia="Times New Roman"/>
          <w:spacing w:val="-7"/>
        </w:rPr>
        <w:t> </w:t>
      </w:r>
      <w:r>
        <w:rPr>
          <w:spacing w:val="-23"/>
        </w:rPr>
        <w:t>月 </w:t>
      </w:r>
      <w:r>
        <w:rPr>
          <w:rFonts w:ascii="Times New Roman" w:eastAsia="Times New Roman"/>
        </w:rPr>
        <w:t>30</w:t>
      </w:r>
      <w:r>
        <w:rPr>
          <w:rFonts w:ascii="Times New Roman" w:eastAsia="Times New Roman"/>
          <w:spacing w:val="-5"/>
        </w:rPr>
        <w:t> </w:t>
      </w:r>
      <w:r>
        <w:rPr>
          <w:spacing w:val="-3"/>
        </w:rPr>
        <w:t>日；首次授予股票期权第三个行权期有效期为 </w:t>
      </w:r>
      <w:r>
        <w:rPr>
          <w:rFonts w:ascii="Times New Roman" w:eastAsia="Times New Roman"/>
        </w:rPr>
        <w:t>2022</w:t>
      </w:r>
      <w:r>
        <w:rPr>
          <w:rFonts w:ascii="Times New Roman" w:eastAsia="Times New Roman"/>
          <w:spacing w:val="-5"/>
        </w:rPr>
        <w:t> </w:t>
      </w:r>
      <w:r>
        <w:rPr>
          <w:spacing w:val="-24"/>
        </w:rPr>
        <w:t>年 </w:t>
      </w:r>
      <w:r>
        <w:rPr>
          <w:rFonts w:ascii="Times New Roman" w:eastAsia="Times New Roman"/>
        </w:rPr>
        <w:t>6</w:t>
      </w:r>
      <w:r>
        <w:rPr>
          <w:rFonts w:ascii="Times New Roman" w:eastAsia="Times New Roman"/>
          <w:spacing w:val="-7"/>
        </w:rPr>
        <w:t> </w:t>
      </w:r>
      <w:r>
        <w:rPr>
          <w:spacing w:val="-23"/>
        </w:rPr>
        <w:t>月 </w:t>
      </w:r>
      <w:r>
        <w:rPr>
          <w:rFonts w:ascii="Times New Roman" w:eastAsia="Times New Roman"/>
        </w:rPr>
        <w:t>16</w:t>
      </w:r>
    </w:p>
    <w:p>
      <w:pPr>
        <w:pStyle w:val="BodyText"/>
        <w:spacing w:before="138"/>
        <w:rPr>
          <w:rFonts w:ascii="Times New Roman" w:eastAsia="Times New Roman"/>
        </w:rPr>
      </w:pPr>
      <w:r>
        <w:rPr>
          <w:spacing w:val="-18"/>
        </w:rPr>
        <w:t>日至 </w:t>
      </w:r>
      <w:r>
        <w:rPr>
          <w:rFonts w:ascii="Times New Roman" w:eastAsia="Times New Roman"/>
        </w:rPr>
        <w:t>2023</w:t>
      </w:r>
      <w:r>
        <w:rPr>
          <w:rFonts w:ascii="Times New Roman" w:eastAsia="Times New Roman"/>
          <w:spacing w:val="-11"/>
        </w:rPr>
        <w:t> </w:t>
      </w:r>
      <w:r>
        <w:rPr>
          <w:spacing w:val="-25"/>
        </w:rPr>
        <w:t>年 </w:t>
      </w:r>
      <w:r>
        <w:rPr>
          <w:rFonts w:ascii="Times New Roman" w:eastAsia="Times New Roman"/>
        </w:rPr>
        <w:t>4</w:t>
      </w:r>
      <w:r>
        <w:rPr>
          <w:rFonts w:ascii="Times New Roman" w:eastAsia="Times New Roman"/>
          <w:spacing w:val="-11"/>
        </w:rPr>
        <w:t> </w:t>
      </w:r>
      <w:r>
        <w:rPr>
          <w:spacing w:val="-25"/>
        </w:rPr>
        <w:t>月 </w:t>
      </w:r>
      <w:r>
        <w:rPr>
          <w:rFonts w:ascii="Times New Roman" w:eastAsia="Times New Roman"/>
        </w:rPr>
        <w:t>30</w:t>
      </w:r>
      <w:r>
        <w:rPr>
          <w:rFonts w:ascii="Times New Roman" w:eastAsia="Times New Roman"/>
          <w:spacing w:val="-12"/>
        </w:rPr>
        <w:t> </w:t>
      </w:r>
      <w:r>
        <w:rPr>
          <w:spacing w:val="-3"/>
        </w:rPr>
        <w:t>日；部分预留授予股票期权第二个行权期有效期为 </w:t>
      </w:r>
      <w:r>
        <w:rPr>
          <w:rFonts w:ascii="Times New Roman" w:eastAsia="Times New Roman"/>
        </w:rPr>
        <w:t>2021</w:t>
      </w:r>
      <w:r>
        <w:rPr>
          <w:rFonts w:ascii="Times New Roman" w:eastAsia="Times New Roman"/>
          <w:spacing w:val="-11"/>
        </w:rPr>
        <w:t> </w:t>
      </w:r>
      <w:r>
        <w:rPr>
          <w:spacing w:val="-25"/>
        </w:rPr>
        <w:t>年 </w:t>
      </w:r>
      <w:r>
        <w:rPr>
          <w:rFonts w:ascii="Times New Roman" w:eastAsia="Times New Roman"/>
        </w:rPr>
        <w:t>11</w:t>
      </w:r>
      <w:r>
        <w:rPr>
          <w:rFonts w:ascii="Times New Roman" w:eastAsia="Times New Roman"/>
          <w:spacing w:val="-11"/>
        </w:rPr>
        <w:t> </w:t>
      </w:r>
      <w:r>
        <w:rPr>
          <w:spacing w:val="-25"/>
        </w:rPr>
        <w:t>月 </w:t>
      </w:r>
      <w:r>
        <w:rPr>
          <w:rFonts w:ascii="Times New Roman" w:eastAsia="Times New Roman"/>
        </w:rPr>
        <w:t>1</w:t>
      </w:r>
      <w:r>
        <w:rPr>
          <w:rFonts w:ascii="Times New Roman" w:eastAsia="Times New Roman"/>
          <w:spacing w:val="-10"/>
        </w:rPr>
        <w:t> </w:t>
      </w:r>
      <w:r>
        <w:rPr>
          <w:spacing w:val="-18"/>
        </w:rPr>
        <w:t>日至 </w:t>
      </w:r>
      <w:r>
        <w:rPr>
          <w:rFonts w:ascii="Times New Roman" w:eastAsia="Times New Roman"/>
        </w:rPr>
        <w:t>2022</w:t>
      </w:r>
    </w:p>
    <w:p>
      <w:pPr>
        <w:pStyle w:val="BodyText"/>
        <w:spacing w:before="139"/>
        <w:rPr>
          <w:rFonts w:ascii="Times New Roman" w:eastAsia="Times New Roman"/>
        </w:rPr>
      </w:pPr>
      <w:r>
        <w:rPr>
          <w:spacing w:val="-29"/>
        </w:rPr>
        <w:t>年 </w:t>
      </w:r>
      <w:r>
        <w:rPr>
          <w:rFonts w:ascii="Times New Roman" w:eastAsia="Times New Roman"/>
        </w:rPr>
        <w:t>9</w:t>
      </w:r>
      <w:r>
        <w:rPr>
          <w:rFonts w:ascii="Times New Roman" w:eastAsia="Times New Roman"/>
          <w:spacing w:val="-16"/>
        </w:rPr>
        <w:t> </w:t>
      </w:r>
      <w:r>
        <w:rPr>
          <w:spacing w:val="-29"/>
        </w:rPr>
        <w:t>月 </w:t>
      </w:r>
      <w:r>
        <w:rPr>
          <w:rFonts w:ascii="Times New Roman" w:eastAsia="Times New Roman"/>
        </w:rPr>
        <w:t>11</w:t>
      </w:r>
      <w:r>
        <w:rPr>
          <w:rFonts w:ascii="Times New Roman" w:eastAsia="Times New Roman"/>
          <w:spacing w:val="-14"/>
        </w:rPr>
        <w:t> </w:t>
      </w:r>
      <w:r>
        <w:rPr>
          <w:spacing w:val="-3"/>
        </w:rPr>
        <w:t>日；部分预留授予股票期权第三个行权期有效期为 </w:t>
      </w:r>
      <w:r>
        <w:rPr>
          <w:rFonts w:ascii="Times New Roman" w:eastAsia="Times New Roman"/>
        </w:rPr>
        <w:t>2022</w:t>
      </w:r>
      <w:r>
        <w:rPr>
          <w:rFonts w:ascii="Times New Roman" w:eastAsia="Times New Roman"/>
          <w:spacing w:val="-16"/>
        </w:rPr>
        <w:t> </w:t>
      </w:r>
      <w:r>
        <w:rPr>
          <w:spacing w:val="-30"/>
        </w:rPr>
        <w:t>年 </w:t>
      </w:r>
      <w:r>
        <w:rPr>
          <w:rFonts w:ascii="Times New Roman" w:eastAsia="Times New Roman"/>
        </w:rPr>
        <w:t>11</w:t>
      </w:r>
      <w:r>
        <w:rPr>
          <w:rFonts w:ascii="Times New Roman" w:eastAsia="Times New Roman"/>
          <w:spacing w:val="-16"/>
        </w:rPr>
        <w:t> </w:t>
      </w:r>
      <w:r>
        <w:rPr>
          <w:spacing w:val="-29"/>
        </w:rPr>
        <w:t>月 </w:t>
      </w:r>
      <w:r>
        <w:rPr>
          <w:rFonts w:ascii="Times New Roman" w:eastAsia="Times New Roman"/>
        </w:rPr>
        <w:t>21</w:t>
      </w:r>
      <w:r>
        <w:rPr>
          <w:rFonts w:ascii="Times New Roman" w:eastAsia="Times New Roman"/>
          <w:spacing w:val="-15"/>
        </w:rPr>
        <w:t> </w:t>
      </w:r>
      <w:r>
        <w:rPr>
          <w:spacing w:val="-20"/>
        </w:rPr>
        <w:t>日至 </w:t>
      </w:r>
      <w:r>
        <w:rPr>
          <w:rFonts w:ascii="Times New Roman" w:eastAsia="Times New Roman"/>
        </w:rPr>
        <w:t>2023</w:t>
      </w:r>
      <w:r>
        <w:rPr>
          <w:rFonts w:ascii="Times New Roman" w:eastAsia="Times New Roman"/>
          <w:spacing w:val="-14"/>
        </w:rPr>
        <w:t> </w:t>
      </w:r>
      <w:r>
        <w:rPr>
          <w:spacing w:val="-30"/>
        </w:rPr>
        <w:t>年 </w:t>
      </w:r>
      <w:r>
        <w:rPr>
          <w:rFonts w:ascii="Times New Roman" w:eastAsia="Times New Roman"/>
        </w:rPr>
        <w:t>9</w:t>
      </w:r>
      <w:r>
        <w:rPr>
          <w:rFonts w:ascii="Times New Roman" w:eastAsia="Times New Roman"/>
          <w:spacing w:val="-16"/>
        </w:rPr>
        <w:t> </w:t>
      </w:r>
      <w:r>
        <w:rPr>
          <w:spacing w:val="-29"/>
        </w:rPr>
        <w:t>月 </w:t>
      </w:r>
      <w:r>
        <w:rPr>
          <w:rFonts w:ascii="Times New Roman" w:eastAsia="Times New Roman"/>
        </w:rPr>
        <w:t>11</w:t>
      </w:r>
    </w:p>
    <w:p>
      <w:pPr>
        <w:pStyle w:val="BodyText"/>
        <w:spacing w:before="142"/>
      </w:pPr>
      <w:r>
        <w:rPr>
          <w:spacing w:val="-3"/>
        </w:rPr>
        <w:t>日；剩余预留授予股票期权第一个行权期有效期为 </w:t>
      </w:r>
      <w:r>
        <w:rPr>
          <w:rFonts w:ascii="Times New Roman" w:eastAsia="Times New Roman"/>
        </w:rPr>
        <w:t>2021</w:t>
      </w:r>
      <w:r>
        <w:rPr>
          <w:rFonts w:ascii="Times New Roman" w:eastAsia="Times New Roman"/>
          <w:spacing w:val="-7"/>
        </w:rPr>
        <w:t> </w:t>
      </w:r>
      <w:r>
        <w:rPr>
          <w:spacing w:val="-22"/>
        </w:rPr>
        <w:t>年 </w:t>
      </w:r>
      <w:r>
        <w:rPr>
          <w:rFonts w:ascii="Times New Roman" w:eastAsia="Times New Roman"/>
        </w:rPr>
        <w:t>2</w:t>
      </w:r>
      <w:r>
        <w:rPr>
          <w:rFonts w:ascii="Times New Roman" w:eastAsia="Times New Roman"/>
          <w:spacing w:val="-7"/>
        </w:rPr>
        <w:t> </w:t>
      </w:r>
      <w:r>
        <w:rPr>
          <w:spacing w:val="-22"/>
        </w:rPr>
        <w:t>月 </w:t>
      </w:r>
      <w:r>
        <w:rPr>
          <w:rFonts w:ascii="Times New Roman" w:eastAsia="Times New Roman"/>
        </w:rPr>
        <w:t>9</w:t>
      </w:r>
      <w:r>
        <w:rPr>
          <w:rFonts w:ascii="Times New Roman" w:eastAsia="Times New Roman"/>
          <w:spacing w:val="-7"/>
        </w:rPr>
        <w:t> </w:t>
      </w:r>
      <w:r>
        <w:rPr>
          <w:spacing w:val="-16"/>
        </w:rPr>
        <w:t>日至 </w:t>
      </w:r>
      <w:r>
        <w:rPr>
          <w:rFonts w:ascii="Times New Roman" w:eastAsia="Times New Roman"/>
        </w:rPr>
        <w:t>2021</w:t>
      </w:r>
      <w:r>
        <w:rPr>
          <w:rFonts w:ascii="Times New Roman" w:eastAsia="Times New Roman"/>
          <w:spacing w:val="-6"/>
        </w:rPr>
        <w:t> </w:t>
      </w:r>
      <w:r>
        <w:rPr>
          <w:spacing w:val="-23"/>
        </w:rPr>
        <w:t>年 </w:t>
      </w:r>
      <w:r>
        <w:rPr>
          <w:rFonts w:ascii="Times New Roman" w:eastAsia="Times New Roman"/>
        </w:rPr>
        <w:t>12</w:t>
      </w:r>
      <w:r>
        <w:rPr>
          <w:rFonts w:ascii="Times New Roman" w:eastAsia="Times New Roman"/>
          <w:spacing w:val="-7"/>
        </w:rPr>
        <w:t> </w:t>
      </w:r>
      <w:r>
        <w:rPr>
          <w:spacing w:val="-22"/>
        </w:rPr>
        <w:t>月 </w:t>
      </w:r>
      <w:r>
        <w:rPr>
          <w:rFonts w:ascii="Times New Roman" w:eastAsia="Times New Roman"/>
        </w:rPr>
        <w:t>31</w:t>
      </w:r>
      <w:r>
        <w:rPr>
          <w:rFonts w:ascii="Times New Roman" w:eastAsia="Times New Roman"/>
          <w:spacing w:val="-5"/>
        </w:rPr>
        <w:t> </w:t>
      </w:r>
      <w:r>
        <w:rPr/>
        <w:t>日；剩余</w:t>
      </w:r>
    </w:p>
    <w:p>
      <w:pPr>
        <w:pStyle w:val="BodyText"/>
        <w:spacing w:before="139"/>
      </w:pPr>
      <w:r>
        <w:rPr>
          <w:spacing w:val="-3"/>
        </w:rPr>
        <w:t>预留授予股票期权第二个行权期有效期为 </w:t>
      </w:r>
      <w:r>
        <w:rPr>
          <w:rFonts w:ascii="Times New Roman" w:eastAsia="Times New Roman"/>
        </w:rPr>
        <w:t>2022</w:t>
      </w:r>
      <w:r>
        <w:rPr>
          <w:rFonts w:ascii="Times New Roman" w:eastAsia="Times New Roman"/>
          <w:spacing w:val="-4"/>
        </w:rPr>
        <w:t> </w:t>
      </w:r>
      <w:r>
        <w:rPr>
          <w:spacing w:val="-23"/>
        </w:rPr>
        <w:t>年 </w:t>
      </w:r>
      <w:r>
        <w:rPr>
          <w:rFonts w:ascii="Times New Roman" w:eastAsia="Times New Roman"/>
        </w:rPr>
        <w:t>2</w:t>
      </w:r>
      <w:r>
        <w:rPr>
          <w:rFonts w:ascii="Times New Roman" w:eastAsia="Times New Roman"/>
          <w:spacing w:val="-7"/>
        </w:rPr>
        <w:t> </w:t>
      </w:r>
      <w:r>
        <w:rPr>
          <w:spacing w:val="-22"/>
        </w:rPr>
        <w:t>月 </w:t>
      </w:r>
      <w:r>
        <w:rPr>
          <w:rFonts w:ascii="Times New Roman" w:eastAsia="Times New Roman"/>
        </w:rPr>
        <w:t>9</w:t>
      </w:r>
      <w:r>
        <w:rPr>
          <w:rFonts w:ascii="Times New Roman" w:eastAsia="Times New Roman"/>
          <w:spacing w:val="-7"/>
        </w:rPr>
        <w:t> </w:t>
      </w:r>
      <w:r>
        <w:rPr>
          <w:spacing w:val="-16"/>
        </w:rPr>
        <w:t>日至 </w:t>
      </w:r>
      <w:r>
        <w:rPr>
          <w:rFonts w:ascii="Times New Roman" w:eastAsia="Times New Roman"/>
        </w:rPr>
        <w:t>2022</w:t>
      </w:r>
      <w:r>
        <w:rPr>
          <w:rFonts w:ascii="Times New Roman" w:eastAsia="Times New Roman"/>
          <w:spacing w:val="-6"/>
        </w:rPr>
        <w:t> </w:t>
      </w:r>
      <w:r>
        <w:rPr>
          <w:spacing w:val="-23"/>
        </w:rPr>
        <w:t>年 </w:t>
      </w:r>
      <w:r>
        <w:rPr>
          <w:rFonts w:ascii="Times New Roman" w:eastAsia="Times New Roman"/>
        </w:rPr>
        <w:t>12</w:t>
      </w:r>
      <w:r>
        <w:rPr>
          <w:rFonts w:ascii="Times New Roman" w:eastAsia="Times New Roman"/>
          <w:spacing w:val="-4"/>
        </w:rPr>
        <w:t> </w:t>
      </w:r>
      <w:r>
        <w:rPr>
          <w:spacing w:val="-24"/>
        </w:rPr>
        <w:t>月 </w:t>
      </w:r>
      <w:r>
        <w:rPr>
          <w:rFonts w:ascii="Times New Roman" w:eastAsia="Times New Roman"/>
        </w:rPr>
        <w:t>31</w:t>
      </w:r>
      <w:r>
        <w:rPr>
          <w:rFonts w:ascii="Times New Roman" w:eastAsia="Times New Roman"/>
          <w:spacing w:val="-7"/>
        </w:rPr>
        <w:t> </w:t>
      </w:r>
      <w:r>
        <w:rPr/>
        <w:t>日；本报告期内，</w:t>
      </w:r>
    </w:p>
    <w:p>
      <w:pPr>
        <w:pStyle w:val="BodyText"/>
        <w:spacing w:before="139"/>
      </w:pPr>
      <w:r>
        <w:rPr>
          <w:spacing w:val="-3"/>
        </w:rPr>
        <w:t>股票期权激励对象行权且完成股份过户登记的数量为 </w:t>
      </w:r>
      <w:r>
        <w:rPr>
          <w:rFonts w:ascii="Times New Roman" w:eastAsia="Times New Roman"/>
        </w:rPr>
        <w:t>33,571</w:t>
      </w:r>
      <w:r>
        <w:rPr>
          <w:rFonts w:ascii="Times New Roman" w:eastAsia="Times New Roman"/>
          <w:spacing w:val="-12"/>
        </w:rPr>
        <w:t> </w:t>
      </w:r>
      <w:r>
        <w:rPr/>
        <w:t>股；</w:t>
      </w:r>
    </w:p>
    <w:p>
      <w:pPr>
        <w:pStyle w:val="ListParagraph"/>
        <w:numPr>
          <w:ilvl w:val="1"/>
          <w:numId w:val="29"/>
        </w:numPr>
        <w:tabs>
          <w:tab w:pos="898" w:val="left" w:leader="none"/>
        </w:tabs>
        <w:spacing w:line="240" w:lineRule="auto" w:before="139" w:after="0"/>
        <w:ind w:left="897" w:right="0" w:hanging="160"/>
        <w:jc w:val="left"/>
        <w:rPr>
          <w:sz w:val="21"/>
        </w:rPr>
      </w:pPr>
      <w:r>
        <w:rPr>
          <w:spacing w:val="15"/>
          <w:sz w:val="21"/>
        </w:rPr>
        <w:t>公司</w:t>
      </w:r>
      <w:r>
        <w:rPr>
          <w:rFonts w:ascii="Times New Roman" w:eastAsia="Times New Roman"/>
          <w:sz w:val="21"/>
        </w:rPr>
        <w:t>2019</w:t>
      </w:r>
      <w:r>
        <w:rPr>
          <w:rFonts w:ascii="Times New Roman" w:eastAsia="Times New Roman"/>
          <w:spacing w:val="-27"/>
          <w:sz w:val="21"/>
        </w:rPr>
        <w:t> </w:t>
      </w:r>
      <w:r>
        <w:rPr>
          <w:sz w:val="21"/>
        </w:rPr>
        <w:t>年股票期权与限制性股票激励计划首次授予限制性股票第三期解锁条件成就，对</w:t>
      </w:r>
    </w:p>
    <w:p>
      <w:pPr>
        <w:pStyle w:val="BodyText"/>
        <w:spacing w:before="141"/>
      </w:pPr>
      <w:r>
        <w:rPr>
          <w:spacing w:val="-8"/>
        </w:rPr>
        <w:t>应解除限售股 </w:t>
      </w:r>
      <w:r>
        <w:rPr>
          <w:rFonts w:ascii="Times New Roman" w:eastAsia="Times New Roman"/>
        </w:rPr>
        <w:t>26,287,452</w:t>
      </w:r>
      <w:r>
        <w:rPr>
          <w:rFonts w:ascii="Times New Roman" w:eastAsia="Times New Roman"/>
          <w:spacing w:val="-12"/>
        </w:rPr>
        <w:t> </w:t>
      </w:r>
      <w:r>
        <w:rPr>
          <w:spacing w:val="-18"/>
        </w:rPr>
        <w:t>股于 </w:t>
      </w:r>
      <w:r>
        <w:rPr>
          <w:rFonts w:ascii="Times New Roman" w:eastAsia="Times New Roman"/>
        </w:rPr>
        <w:t>2022</w:t>
      </w:r>
      <w:r>
        <w:rPr>
          <w:rFonts w:ascii="Times New Roman" w:eastAsia="Times New Roman"/>
          <w:spacing w:val="-10"/>
        </w:rPr>
        <w:t> </w:t>
      </w:r>
      <w:r>
        <w:rPr>
          <w:spacing w:val="-27"/>
        </w:rPr>
        <w:t>年 </w:t>
      </w:r>
      <w:r>
        <w:rPr>
          <w:rFonts w:ascii="Times New Roman" w:eastAsia="Times New Roman"/>
        </w:rPr>
        <w:t>5</w:t>
      </w:r>
      <w:r>
        <w:rPr>
          <w:rFonts w:ascii="Times New Roman" w:eastAsia="Times New Roman"/>
          <w:spacing w:val="-10"/>
        </w:rPr>
        <w:t> </w:t>
      </w:r>
      <w:r>
        <w:rPr>
          <w:spacing w:val="-28"/>
        </w:rPr>
        <w:t>月 </w:t>
      </w:r>
      <w:r>
        <w:rPr>
          <w:rFonts w:ascii="Times New Roman" w:eastAsia="Times New Roman"/>
        </w:rPr>
        <w:t>23</w:t>
      </w:r>
      <w:r>
        <w:rPr>
          <w:rFonts w:ascii="Times New Roman" w:eastAsia="Times New Roman"/>
          <w:spacing w:val="-12"/>
        </w:rPr>
        <w:t> </w:t>
      </w:r>
      <w:r>
        <w:rPr/>
        <w:t>日上市流通；</w:t>
      </w:r>
    </w:p>
    <w:p>
      <w:pPr>
        <w:pStyle w:val="ListParagraph"/>
        <w:numPr>
          <w:ilvl w:val="1"/>
          <w:numId w:val="29"/>
        </w:numPr>
        <w:tabs>
          <w:tab w:pos="921" w:val="left" w:leader="none"/>
        </w:tabs>
        <w:spacing w:line="240" w:lineRule="auto" w:before="139" w:after="0"/>
        <w:ind w:left="920" w:right="0" w:hanging="183"/>
        <w:jc w:val="left"/>
        <w:rPr>
          <w:sz w:val="21"/>
        </w:rPr>
      </w:pPr>
      <w:r>
        <w:rPr>
          <w:spacing w:val="17"/>
          <w:sz w:val="21"/>
        </w:rPr>
        <w:t>公司部分战略投资者获配的首次公开发行限售股锁定期届满， 有限售条件的股份</w:t>
      </w:r>
    </w:p>
    <w:p>
      <w:pPr>
        <w:pStyle w:val="BodyText"/>
        <w:spacing w:before="139"/>
      </w:pPr>
      <w:r>
        <w:rPr>
          <w:rFonts w:ascii="Times New Roman" w:eastAsia="Times New Roman"/>
        </w:rPr>
        <w:t>21,786,000</w:t>
      </w:r>
      <w:r>
        <w:rPr>
          <w:rFonts w:ascii="Times New Roman" w:eastAsia="Times New Roman"/>
          <w:spacing w:val="-10"/>
        </w:rPr>
        <w:t> </w:t>
      </w:r>
      <w:r>
        <w:rPr>
          <w:spacing w:val="-18"/>
        </w:rPr>
        <w:t>股于 </w:t>
      </w:r>
      <w:r>
        <w:rPr>
          <w:rFonts w:ascii="Times New Roman" w:eastAsia="Times New Roman"/>
        </w:rPr>
        <w:t>2022</w:t>
      </w:r>
      <w:r>
        <w:rPr>
          <w:rFonts w:ascii="Times New Roman" w:eastAsia="Times New Roman"/>
          <w:spacing w:val="-11"/>
        </w:rPr>
        <w:t> </w:t>
      </w:r>
      <w:r>
        <w:rPr>
          <w:spacing w:val="-27"/>
        </w:rPr>
        <w:t>年 </w:t>
      </w:r>
      <w:r>
        <w:rPr>
          <w:rFonts w:ascii="Times New Roman" w:eastAsia="Times New Roman"/>
        </w:rPr>
        <w:t>6</w:t>
      </w:r>
      <w:r>
        <w:rPr>
          <w:rFonts w:ascii="Times New Roman" w:eastAsia="Times New Roman"/>
          <w:spacing w:val="-12"/>
        </w:rPr>
        <w:t> </w:t>
      </w:r>
      <w:r>
        <w:rPr>
          <w:spacing w:val="-26"/>
        </w:rPr>
        <w:t>月 </w:t>
      </w:r>
      <w:r>
        <w:rPr>
          <w:rFonts w:ascii="Times New Roman" w:eastAsia="Times New Roman"/>
        </w:rPr>
        <w:t>8</w:t>
      </w:r>
      <w:r>
        <w:rPr>
          <w:rFonts w:ascii="Times New Roman" w:eastAsia="Times New Roman"/>
          <w:spacing w:val="-12"/>
        </w:rPr>
        <w:t> </w:t>
      </w:r>
      <w:r>
        <w:rPr/>
        <w:t>日上市流通；</w:t>
      </w:r>
    </w:p>
    <w:p>
      <w:pPr>
        <w:pStyle w:val="ListParagraph"/>
        <w:numPr>
          <w:ilvl w:val="1"/>
          <w:numId w:val="29"/>
        </w:numPr>
        <w:tabs>
          <w:tab w:pos="898" w:val="left" w:leader="none"/>
        </w:tabs>
        <w:spacing w:line="240" w:lineRule="auto" w:before="139" w:after="0"/>
        <w:ind w:left="897" w:right="0" w:hanging="160"/>
        <w:jc w:val="left"/>
        <w:rPr>
          <w:sz w:val="21"/>
        </w:rPr>
      </w:pPr>
      <w:r>
        <w:rPr>
          <w:spacing w:val="15"/>
          <w:sz w:val="21"/>
        </w:rPr>
        <w:t>公司</w:t>
      </w:r>
      <w:r>
        <w:rPr>
          <w:rFonts w:ascii="Times New Roman" w:eastAsia="Times New Roman"/>
          <w:sz w:val="21"/>
        </w:rPr>
        <w:t>2019</w:t>
      </w:r>
      <w:r>
        <w:rPr>
          <w:rFonts w:ascii="Times New Roman" w:eastAsia="Times New Roman"/>
          <w:spacing w:val="-27"/>
          <w:sz w:val="21"/>
        </w:rPr>
        <w:t> </w:t>
      </w:r>
      <w:r>
        <w:rPr>
          <w:sz w:val="21"/>
        </w:rPr>
        <w:t>年股票期权与限制性股票激励计划部分激励对象已离职或个人业绩考核未达标，</w:t>
      </w:r>
    </w:p>
    <w:p>
      <w:pPr>
        <w:pStyle w:val="BodyText"/>
        <w:spacing w:before="139"/>
      </w:pPr>
      <w:r>
        <w:rPr>
          <w:spacing w:val="-5"/>
        </w:rPr>
        <w:t>其已获授但尚未解除限售的 </w:t>
      </w:r>
      <w:r>
        <w:rPr>
          <w:rFonts w:ascii="Times New Roman" w:eastAsia="Times New Roman"/>
        </w:rPr>
        <w:t>4,068,559</w:t>
      </w:r>
      <w:r>
        <w:rPr>
          <w:rFonts w:ascii="Times New Roman" w:eastAsia="Times New Roman"/>
          <w:spacing w:val="-12"/>
        </w:rPr>
        <w:t> </w:t>
      </w:r>
      <w:r>
        <w:rPr>
          <w:spacing w:val="-7"/>
        </w:rPr>
        <w:t>股限制性股票于 </w:t>
      </w:r>
      <w:r>
        <w:rPr>
          <w:rFonts w:ascii="Times New Roman" w:eastAsia="Times New Roman"/>
        </w:rPr>
        <w:t>2022</w:t>
      </w:r>
      <w:r>
        <w:rPr>
          <w:rFonts w:ascii="Times New Roman" w:eastAsia="Times New Roman"/>
          <w:spacing w:val="-12"/>
        </w:rPr>
        <w:t> </w:t>
      </w:r>
      <w:r>
        <w:rPr>
          <w:spacing w:val="-27"/>
        </w:rPr>
        <w:t>年 </w:t>
      </w:r>
      <w:r>
        <w:rPr>
          <w:rFonts w:ascii="Times New Roman" w:eastAsia="Times New Roman"/>
        </w:rPr>
        <w:t>8</w:t>
      </w:r>
      <w:r>
        <w:rPr>
          <w:rFonts w:ascii="Times New Roman" w:eastAsia="Times New Roman"/>
          <w:spacing w:val="-12"/>
        </w:rPr>
        <w:t> </w:t>
      </w:r>
      <w:r>
        <w:rPr>
          <w:spacing w:val="-27"/>
        </w:rPr>
        <w:t>月 </w:t>
      </w:r>
      <w:r>
        <w:rPr>
          <w:rFonts w:ascii="Times New Roman" w:eastAsia="Times New Roman"/>
        </w:rPr>
        <w:t>23</w:t>
      </w:r>
      <w:r>
        <w:rPr>
          <w:rFonts w:ascii="Times New Roman" w:eastAsia="Times New Roman"/>
          <w:spacing w:val="-10"/>
        </w:rPr>
        <w:t> </w:t>
      </w:r>
      <w:r>
        <w:rPr/>
        <w:t>日由公司回购注销；</w:t>
      </w:r>
    </w:p>
    <w:p>
      <w:pPr>
        <w:pStyle w:val="ListParagraph"/>
        <w:numPr>
          <w:ilvl w:val="1"/>
          <w:numId w:val="29"/>
        </w:numPr>
        <w:tabs>
          <w:tab w:pos="899" w:val="left" w:leader="none"/>
        </w:tabs>
        <w:spacing w:line="240" w:lineRule="auto" w:before="142" w:after="0"/>
        <w:ind w:left="898" w:right="0" w:hanging="161"/>
        <w:jc w:val="left"/>
        <w:rPr>
          <w:sz w:val="21"/>
        </w:rPr>
      </w:pPr>
      <w:r>
        <w:rPr>
          <w:spacing w:val="14"/>
          <w:sz w:val="21"/>
        </w:rPr>
        <w:t>公司 </w:t>
      </w:r>
      <w:r>
        <w:rPr>
          <w:rFonts w:ascii="Times New Roman" w:eastAsia="Times New Roman"/>
          <w:sz w:val="21"/>
        </w:rPr>
        <w:t>2019</w:t>
      </w:r>
      <w:r>
        <w:rPr>
          <w:rFonts w:ascii="Times New Roman" w:eastAsia="Times New Roman"/>
          <w:spacing w:val="65"/>
          <w:sz w:val="21"/>
        </w:rPr>
        <w:t> </w:t>
      </w:r>
      <w:r>
        <w:rPr>
          <w:sz w:val="21"/>
        </w:rPr>
        <w:t>年股票期权与限制性股票激励计划部分预留授予限制性股票第三期解锁条件成</w:t>
      </w:r>
    </w:p>
    <w:p>
      <w:pPr>
        <w:pStyle w:val="BodyText"/>
        <w:spacing w:before="139"/>
      </w:pPr>
      <w:r>
        <w:rPr>
          <w:spacing w:val="-6"/>
        </w:rPr>
        <w:t>就，对应解除限售股 </w:t>
      </w:r>
      <w:r>
        <w:rPr>
          <w:rFonts w:ascii="Times New Roman" w:eastAsia="Times New Roman"/>
        </w:rPr>
        <w:t>1,605,165</w:t>
      </w:r>
      <w:r>
        <w:rPr>
          <w:rFonts w:ascii="Times New Roman" w:eastAsia="Times New Roman"/>
          <w:spacing w:val="-12"/>
        </w:rPr>
        <w:t> </w:t>
      </w:r>
      <w:r>
        <w:rPr>
          <w:spacing w:val="-19"/>
        </w:rPr>
        <w:t>股于 </w:t>
      </w:r>
      <w:r>
        <w:rPr>
          <w:rFonts w:ascii="Times New Roman" w:eastAsia="Times New Roman"/>
        </w:rPr>
        <w:t>2022</w:t>
      </w:r>
      <w:r>
        <w:rPr>
          <w:rFonts w:ascii="Times New Roman" w:eastAsia="Times New Roman"/>
          <w:spacing w:val="-10"/>
        </w:rPr>
        <w:t> </w:t>
      </w:r>
      <w:r>
        <w:rPr>
          <w:spacing w:val="-27"/>
        </w:rPr>
        <w:t>年 </w:t>
      </w:r>
      <w:r>
        <w:rPr>
          <w:rFonts w:ascii="Times New Roman" w:eastAsia="Times New Roman"/>
        </w:rPr>
        <w:t>9</w:t>
      </w:r>
      <w:r>
        <w:rPr>
          <w:rFonts w:ascii="Times New Roman" w:eastAsia="Times New Roman"/>
          <w:spacing w:val="-12"/>
        </w:rPr>
        <w:t> </w:t>
      </w:r>
      <w:r>
        <w:rPr>
          <w:spacing w:val="-27"/>
        </w:rPr>
        <w:t>月 </w:t>
      </w:r>
      <w:r>
        <w:rPr>
          <w:rFonts w:ascii="Times New Roman" w:eastAsia="Times New Roman"/>
        </w:rPr>
        <w:t>22</w:t>
      </w:r>
      <w:r>
        <w:rPr>
          <w:rFonts w:ascii="Times New Roman" w:eastAsia="Times New Roman"/>
          <w:spacing w:val="-12"/>
        </w:rPr>
        <w:t> </w:t>
      </w:r>
      <w:r>
        <w:rPr/>
        <w:t>日上市流通；</w:t>
      </w:r>
    </w:p>
    <w:p>
      <w:pPr>
        <w:pStyle w:val="ListParagraph"/>
        <w:numPr>
          <w:ilvl w:val="1"/>
          <w:numId w:val="29"/>
        </w:numPr>
        <w:tabs>
          <w:tab w:pos="898" w:val="left" w:leader="none"/>
        </w:tabs>
        <w:spacing w:line="240" w:lineRule="auto" w:before="139" w:after="0"/>
        <w:ind w:left="897" w:right="0" w:hanging="160"/>
        <w:jc w:val="left"/>
        <w:rPr>
          <w:sz w:val="21"/>
        </w:rPr>
      </w:pPr>
      <w:r>
        <w:rPr>
          <w:spacing w:val="15"/>
          <w:sz w:val="21"/>
        </w:rPr>
        <w:t>公司</w:t>
      </w:r>
      <w:r>
        <w:rPr>
          <w:rFonts w:ascii="Times New Roman" w:eastAsia="Times New Roman"/>
          <w:sz w:val="21"/>
        </w:rPr>
        <w:t>2019</w:t>
      </w:r>
      <w:r>
        <w:rPr>
          <w:rFonts w:ascii="Times New Roman" w:eastAsia="Times New Roman"/>
          <w:spacing w:val="-27"/>
          <w:sz w:val="21"/>
        </w:rPr>
        <w:t> </w:t>
      </w:r>
      <w:r>
        <w:rPr>
          <w:sz w:val="21"/>
        </w:rPr>
        <w:t>年股票期权与限制性股票激励计划部分激励对象已离职或个人业绩考核未达标，</w:t>
      </w:r>
    </w:p>
    <w:p>
      <w:pPr>
        <w:pStyle w:val="BodyText"/>
        <w:spacing w:before="139"/>
      </w:pPr>
      <w:r>
        <w:rPr>
          <w:spacing w:val="-5"/>
        </w:rPr>
        <w:t>其已获授但尚未解除限售的 </w:t>
      </w:r>
      <w:r>
        <w:rPr>
          <w:rFonts w:ascii="Times New Roman" w:eastAsia="Times New Roman"/>
        </w:rPr>
        <w:t>1,442,560</w:t>
      </w:r>
      <w:r>
        <w:rPr>
          <w:rFonts w:ascii="Times New Roman" w:eastAsia="Times New Roman"/>
          <w:spacing w:val="-12"/>
        </w:rPr>
        <w:t> </w:t>
      </w:r>
      <w:r>
        <w:rPr>
          <w:spacing w:val="-7"/>
        </w:rPr>
        <w:t>股限制性股票于 </w:t>
      </w:r>
      <w:r>
        <w:rPr>
          <w:rFonts w:ascii="Times New Roman" w:eastAsia="Times New Roman"/>
        </w:rPr>
        <w:t>2022</w:t>
      </w:r>
      <w:r>
        <w:rPr>
          <w:rFonts w:ascii="Times New Roman" w:eastAsia="Times New Roman"/>
          <w:spacing w:val="-12"/>
        </w:rPr>
        <w:t> </w:t>
      </w:r>
      <w:r>
        <w:rPr>
          <w:spacing w:val="-27"/>
        </w:rPr>
        <w:t>年 </w:t>
      </w:r>
      <w:r>
        <w:rPr>
          <w:rFonts w:ascii="Times New Roman" w:eastAsia="Times New Roman"/>
        </w:rPr>
        <w:t>12</w:t>
      </w:r>
      <w:r>
        <w:rPr>
          <w:rFonts w:ascii="Times New Roman" w:eastAsia="Times New Roman"/>
          <w:spacing w:val="-10"/>
        </w:rPr>
        <w:t> </w:t>
      </w:r>
      <w:r>
        <w:rPr>
          <w:spacing w:val="-27"/>
        </w:rPr>
        <w:t>月 </w:t>
      </w:r>
      <w:r>
        <w:rPr>
          <w:rFonts w:ascii="Times New Roman" w:eastAsia="Times New Roman"/>
        </w:rPr>
        <w:t>26</w:t>
      </w:r>
      <w:r>
        <w:rPr>
          <w:rFonts w:ascii="Times New Roman" w:eastAsia="Times New Roman"/>
          <w:spacing w:val="-12"/>
        </w:rPr>
        <w:t> </w:t>
      </w:r>
      <w:r>
        <w:rPr/>
        <w:t>日由公司回购注销。 </w:t>
      </w:r>
    </w:p>
    <w:p>
      <w:pPr>
        <w:pStyle w:val="BodyText"/>
        <w:spacing w:before="6"/>
        <w:ind w:left="0"/>
        <w:rPr>
          <w:sz w:val="15"/>
        </w:rPr>
      </w:pPr>
    </w:p>
    <w:p>
      <w:pPr>
        <w:pStyle w:val="BodyText"/>
        <w:spacing w:before="1"/>
      </w:pPr>
      <w:r>
        <w:rPr/>
        <w:t>3、 股份变动对最近一年和最近一期每股收益、每股净资产等财务指标的影响（如有） </w:t>
      </w:r>
    </w:p>
    <w:p>
      <w:pPr>
        <w:pStyle w:val="BodyText"/>
        <w:spacing w:before="64"/>
      </w:pPr>
      <w:r>
        <w:rPr>
          <w:spacing w:val="11"/>
        </w:rPr>
        <w:t>□适用 √不适用</w:t>
      </w:r>
      <w:r>
        <w:rPr>
          <w:spacing w:val="-3"/>
        </w:rPr>
        <w:t> </w:t>
      </w:r>
      <w:r>
        <w:rPr/>
        <w:t> </w:t>
      </w:r>
    </w:p>
    <w:p>
      <w:pPr>
        <w:pStyle w:val="BodyText"/>
        <w:spacing w:before="62"/>
      </w:pPr>
      <w:r>
        <w:rPr/>
        <w:t>4、 公司认为必要或证券监管机构要求披露的其他内容 </w:t>
      </w:r>
    </w:p>
    <w:p>
      <w:pPr>
        <w:pStyle w:val="BodyText"/>
        <w:spacing w:before="65"/>
      </w:pPr>
      <w:r>
        <w:rPr>
          <w:spacing w:val="11"/>
        </w:rPr>
        <w:t>□适用 √不适用</w:t>
      </w:r>
      <w:r>
        <w:rPr>
          <w:spacing w:val="-3"/>
        </w:rPr>
        <w:t> </w:t>
      </w:r>
      <w:r>
        <w:rPr/>
        <w:t> </w:t>
      </w:r>
    </w:p>
    <w:p>
      <w:pPr>
        <w:tabs>
          <w:tab w:pos="884" w:val="left" w:leader="none"/>
        </w:tabs>
        <w:spacing w:before="62"/>
        <w:ind w:left="318" w:right="0" w:firstLine="0"/>
        <w:jc w:val="left"/>
        <w:rPr>
          <w:sz w:val="21"/>
        </w:rPr>
      </w:pPr>
      <w:r>
        <w:rPr>
          <w:rFonts w:ascii="Calibri" w:eastAsia="Calibri"/>
          <w:b/>
          <w:sz w:val="21"/>
        </w:rPr>
        <w:t>(</w:t>
      </w:r>
      <w:r>
        <w:rPr>
          <w:sz w:val="21"/>
        </w:rPr>
        <w:t>二</w:t>
      </w:r>
      <w:r>
        <w:rPr>
          <w:rFonts w:ascii="Calibri" w:eastAsia="Calibri"/>
          <w:b/>
          <w:sz w:val="21"/>
        </w:rPr>
        <w:t>)</w:t>
        <w:tab/>
      </w:r>
      <w:r>
        <w:rPr>
          <w:sz w:val="21"/>
        </w:rPr>
        <w:t>限售股份变动情况</w:t>
      </w:r>
    </w:p>
    <w:p>
      <w:pPr>
        <w:pStyle w:val="BodyText"/>
        <w:spacing w:before="64"/>
      </w:pPr>
      <w:r>
        <w:rPr>
          <w:spacing w:val="-1"/>
        </w:rPr>
        <w:t>√适用 □不适用</w:t>
      </w:r>
      <w:r>
        <w:rPr>
          <w:spacing w:val="-3"/>
        </w:rPr>
        <w:t> </w:t>
      </w:r>
      <w:r>
        <w:rPr/>
        <w:t> </w:t>
      </w:r>
    </w:p>
    <w:p>
      <w:pPr>
        <w:pStyle w:val="BodyText"/>
        <w:spacing w:before="3" w:after="3"/>
        <w:ind w:left="0" w:right="1167"/>
        <w:jc w:val="right"/>
      </w:pPr>
      <w:r>
        <w:rPr>
          <w:spacing w:val="-1"/>
        </w:rPr>
        <w:t>单位: 股</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8"/>
        <w:gridCol w:w="1289"/>
        <w:gridCol w:w="1284"/>
        <w:gridCol w:w="1234"/>
        <w:gridCol w:w="1284"/>
        <w:gridCol w:w="1237"/>
        <w:gridCol w:w="1248"/>
      </w:tblGrid>
      <w:tr>
        <w:trPr>
          <w:trHeight w:val="545" w:hRule="atLeast"/>
        </w:trPr>
        <w:tc>
          <w:tcPr>
            <w:tcW w:w="1248" w:type="dxa"/>
          </w:tcPr>
          <w:p>
            <w:pPr>
              <w:pStyle w:val="TableParagraph"/>
              <w:spacing w:before="138"/>
              <w:ind w:left="203"/>
              <w:rPr>
                <w:sz w:val="21"/>
              </w:rPr>
            </w:pPr>
            <w:r>
              <w:rPr>
                <w:spacing w:val="-1"/>
                <w:sz w:val="21"/>
              </w:rPr>
              <w:t>股东名称</w:t>
            </w:r>
            <w:r>
              <w:rPr>
                <w:sz w:val="21"/>
              </w:rPr>
              <w:t> </w:t>
            </w:r>
          </w:p>
        </w:tc>
        <w:tc>
          <w:tcPr>
            <w:tcW w:w="1289" w:type="dxa"/>
          </w:tcPr>
          <w:p>
            <w:pPr>
              <w:pStyle w:val="TableParagraph"/>
              <w:spacing w:before="1"/>
              <w:ind w:left="96" w:right="92"/>
              <w:jc w:val="center"/>
              <w:rPr>
                <w:sz w:val="21"/>
              </w:rPr>
            </w:pPr>
            <w:r>
              <w:rPr>
                <w:sz w:val="21"/>
              </w:rPr>
              <w:t>年初限售股</w:t>
            </w:r>
          </w:p>
          <w:p>
            <w:pPr>
              <w:pStyle w:val="TableParagraph"/>
              <w:spacing w:line="252" w:lineRule="exact" w:before="2"/>
              <w:ind w:left="200" w:right="92"/>
              <w:jc w:val="center"/>
              <w:rPr>
                <w:sz w:val="21"/>
              </w:rPr>
            </w:pPr>
            <w:r>
              <w:rPr>
                <w:sz w:val="21"/>
              </w:rPr>
              <w:t>数 </w:t>
            </w:r>
          </w:p>
        </w:tc>
        <w:tc>
          <w:tcPr>
            <w:tcW w:w="1284" w:type="dxa"/>
          </w:tcPr>
          <w:p>
            <w:pPr>
              <w:pStyle w:val="TableParagraph"/>
              <w:spacing w:before="1"/>
              <w:ind w:left="115"/>
              <w:rPr>
                <w:sz w:val="21"/>
              </w:rPr>
            </w:pPr>
            <w:r>
              <w:rPr>
                <w:sz w:val="21"/>
              </w:rPr>
              <w:t>本年解除限</w:t>
            </w:r>
          </w:p>
          <w:p>
            <w:pPr>
              <w:pStyle w:val="TableParagraph"/>
              <w:spacing w:line="252" w:lineRule="exact" w:before="2"/>
              <w:ind w:left="326"/>
              <w:rPr>
                <w:sz w:val="21"/>
              </w:rPr>
            </w:pPr>
            <w:r>
              <w:rPr>
                <w:sz w:val="21"/>
              </w:rPr>
              <w:t>售股数 </w:t>
            </w:r>
          </w:p>
        </w:tc>
        <w:tc>
          <w:tcPr>
            <w:tcW w:w="1234" w:type="dxa"/>
          </w:tcPr>
          <w:p>
            <w:pPr>
              <w:pStyle w:val="TableParagraph"/>
              <w:spacing w:before="1"/>
              <w:ind w:left="196"/>
              <w:rPr>
                <w:sz w:val="21"/>
              </w:rPr>
            </w:pPr>
            <w:r>
              <w:rPr>
                <w:spacing w:val="-1"/>
                <w:sz w:val="21"/>
              </w:rPr>
              <w:t>本年增加</w:t>
            </w:r>
          </w:p>
          <w:p>
            <w:pPr>
              <w:pStyle w:val="TableParagraph"/>
              <w:spacing w:line="252" w:lineRule="exact" w:before="2"/>
              <w:ind w:left="196"/>
              <w:rPr>
                <w:sz w:val="21"/>
              </w:rPr>
            </w:pPr>
            <w:r>
              <w:rPr>
                <w:spacing w:val="-1"/>
                <w:sz w:val="21"/>
              </w:rPr>
              <w:t>限售股数</w:t>
            </w:r>
            <w:r>
              <w:rPr>
                <w:sz w:val="21"/>
              </w:rPr>
              <w:t> </w:t>
            </w:r>
          </w:p>
        </w:tc>
        <w:tc>
          <w:tcPr>
            <w:tcW w:w="1284" w:type="dxa"/>
          </w:tcPr>
          <w:p>
            <w:pPr>
              <w:pStyle w:val="TableParagraph"/>
              <w:spacing w:before="1"/>
              <w:ind w:left="115"/>
              <w:rPr>
                <w:sz w:val="21"/>
              </w:rPr>
            </w:pPr>
            <w:r>
              <w:rPr>
                <w:sz w:val="21"/>
              </w:rPr>
              <w:t>年末限售股</w:t>
            </w:r>
          </w:p>
          <w:p>
            <w:pPr>
              <w:pStyle w:val="TableParagraph"/>
              <w:spacing w:line="252" w:lineRule="exact" w:before="2"/>
              <w:ind w:left="535"/>
              <w:rPr>
                <w:sz w:val="21"/>
              </w:rPr>
            </w:pPr>
            <w:r>
              <w:rPr>
                <w:sz w:val="21"/>
              </w:rPr>
              <w:t>数 </w:t>
            </w:r>
          </w:p>
        </w:tc>
        <w:tc>
          <w:tcPr>
            <w:tcW w:w="1237" w:type="dxa"/>
          </w:tcPr>
          <w:p>
            <w:pPr>
              <w:pStyle w:val="TableParagraph"/>
              <w:spacing w:before="138"/>
              <w:ind w:left="196"/>
              <w:rPr>
                <w:sz w:val="21"/>
              </w:rPr>
            </w:pPr>
            <w:r>
              <w:rPr>
                <w:spacing w:val="-1"/>
                <w:sz w:val="21"/>
              </w:rPr>
              <w:t>限售原因</w:t>
            </w:r>
            <w:r>
              <w:rPr>
                <w:sz w:val="21"/>
              </w:rPr>
              <w:t> </w:t>
            </w:r>
          </w:p>
        </w:tc>
        <w:tc>
          <w:tcPr>
            <w:tcW w:w="1248" w:type="dxa"/>
          </w:tcPr>
          <w:p>
            <w:pPr>
              <w:pStyle w:val="TableParagraph"/>
              <w:spacing w:before="1"/>
              <w:ind w:left="203"/>
              <w:rPr>
                <w:sz w:val="21"/>
              </w:rPr>
            </w:pPr>
            <w:r>
              <w:rPr>
                <w:sz w:val="21"/>
              </w:rPr>
              <w:t>解除限售</w:t>
            </w:r>
          </w:p>
          <w:p>
            <w:pPr>
              <w:pStyle w:val="TableParagraph"/>
              <w:spacing w:line="252" w:lineRule="exact" w:before="2"/>
              <w:ind w:left="412"/>
              <w:rPr>
                <w:sz w:val="21"/>
              </w:rPr>
            </w:pPr>
            <w:r>
              <w:rPr>
                <w:sz w:val="21"/>
              </w:rPr>
              <w:t>日期 </w:t>
            </w:r>
          </w:p>
        </w:tc>
      </w:tr>
      <w:tr>
        <w:trPr>
          <w:trHeight w:val="1360" w:hRule="atLeast"/>
        </w:trPr>
        <w:tc>
          <w:tcPr>
            <w:tcW w:w="1248" w:type="dxa"/>
          </w:tcPr>
          <w:p>
            <w:pPr>
              <w:pStyle w:val="TableParagraph"/>
              <w:spacing w:line="242" w:lineRule="auto" w:before="1"/>
              <w:ind w:left="107" w:right="94"/>
              <w:jc w:val="both"/>
              <w:rPr>
                <w:sz w:val="21"/>
              </w:rPr>
            </w:pPr>
            <w:r>
              <w:rPr>
                <w:spacing w:val="-21"/>
                <w:sz w:val="21"/>
              </w:rPr>
              <w:t>义 乌 和 谐锦 弘 股 权投 资 合 伙</w:t>
            </w:r>
          </w:p>
          <w:p>
            <w:pPr>
              <w:pStyle w:val="TableParagraph"/>
              <w:spacing w:line="270" w:lineRule="atLeast"/>
              <w:ind w:left="107" w:right="94"/>
              <w:jc w:val="both"/>
              <w:rPr>
                <w:sz w:val="21"/>
              </w:rPr>
            </w:pPr>
            <w:r>
              <w:rPr>
                <w:spacing w:val="-24"/>
                <w:sz w:val="21"/>
              </w:rPr>
              <w:t>企 业 </w:t>
            </w:r>
            <w:r>
              <w:rPr>
                <w:spacing w:val="-3"/>
                <w:sz w:val="21"/>
              </w:rPr>
              <w:t>（</w:t>
            </w:r>
            <w:r>
              <w:rPr>
                <w:spacing w:val="-22"/>
                <w:sz w:val="21"/>
              </w:rPr>
              <w:t> 有</w:t>
            </w:r>
            <w:r>
              <w:rPr>
                <w:sz w:val="21"/>
              </w:rPr>
              <w:t>限合伙） </w:t>
            </w:r>
          </w:p>
        </w:tc>
        <w:tc>
          <w:tcPr>
            <w:tcW w:w="1289" w:type="dxa"/>
          </w:tcPr>
          <w:p>
            <w:pPr>
              <w:pStyle w:val="TableParagraph"/>
              <w:rPr>
                <w:sz w:val="22"/>
              </w:rPr>
            </w:pPr>
          </w:p>
          <w:p>
            <w:pPr>
              <w:pStyle w:val="TableParagraph"/>
              <w:spacing w:before="1"/>
              <w:rPr>
                <w:sz w:val="21"/>
              </w:rPr>
            </w:pPr>
          </w:p>
          <w:p>
            <w:pPr>
              <w:pStyle w:val="TableParagraph"/>
              <w:ind w:right="96"/>
              <w:jc w:val="right"/>
              <w:rPr>
                <w:rFonts w:ascii="Times New Roman"/>
                <w:sz w:val="21"/>
              </w:rPr>
            </w:pPr>
            <w:r>
              <w:rPr>
                <w:rFonts w:ascii="Times New Roman"/>
                <w:sz w:val="21"/>
              </w:rPr>
              <w:t>21,786,000</w:t>
            </w:r>
          </w:p>
        </w:tc>
        <w:tc>
          <w:tcPr>
            <w:tcW w:w="1284" w:type="dxa"/>
          </w:tcPr>
          <w:p>
            <w:pPr>
              <w:pStyle w:val="TableParagraph"/>
              <w:rPr>
                <w:sz w:val="22"/>
              </w:rPr>
            </w:pPr>
          </w:p>
          <w:p>
            <w:pPr>
              <w:pStyle w:val="TableParagraph"/>
              <w:spacing w:before="1"/>
              <w:rPr>
                <w:sz w:val="21"/>
              </w:rPr>
            </w:pPr>
          </w:p>
          <w:p>
            <w:pPr>
              <w:pStyle w:val="TableParagraph"/>
              <w:ind w:right="93"/>
              <w:jc w:val="right"/>
              <w:rPr>
                <w:rFonts w:ascii="Times New Roman"/>
                <w:sz w:val="21"/>
              </w:rPr>
            </w:pPr>
            <w:r>
              <w:rPr>
                <w:rFonts w:ascii="Times New Roman"/>
                <w:sz w:val="21"/>
              </w:rPr>
              <w:t>21,786,000</w:t>
            </w:r>
          </w:p>
        </w:tc>
        <w:tc>
          <w:tcPr>
            <w:tcW w:w="1234" w:type="dxa"/>
          </w:tcPr>
          <w:p>
            <w:pPr>
              <w:pStyle w:val="TableParagraph"/>
              <w:rPr>
                <w:sz w:val="22"/>
              </w:rPr>
            </w:pPr>
          </w:p>
          <w:p>
            <w:pPr>
              <w:pStyle w:val="TableParagraph"/>
              <w:spacing w:before="1"/>
              <w:rPr>
                <w:sz w:val="21"/>
              </w:rPr>
            </w:pPr>
          </w:p>
          <w:p>
            <w:pPr>
              <w:pStyle w:val="TableParagraph"/>
              <w:ind w:right="93"/>
              <w:jc w:val="right"/>
              <w:rPr>
                <w:rFonts w:ascii="Times New Roman"/>
                <w:sz w:val="21"/>
              </w:rPr>
            </w:pPr>
            <w:r>
              <w:rPr>
                <w:rFonts w:ascii="Times New Roman"/>
                <w:w w:val="100"/>
                <w:sz w:val="21"/>
              </w:rPr>
              <w:t>0</w:t>
            </w:r>
          </w:p>
        </w:tc>
        <w:tc>
          <w:tcPr>
            <w:tcW w:w="1284" w:type="dxa"/>
          </w:tcPr>
          <w:p>
            <w:pPr>
              <w:pStyle w:val="TableParagraph"/>
              <w:rPr>
                <w:sz w:val="22"/>
              </w:rPr>
            </w:pPr>
          </w:p>
          <w:p>
            <w:pPr>
              <w:pStyle w:val="TableParagraph"/>
              <w:spacing w:before="1"/>
              <w:rPr>
                <w:sz w:val="21"/>
              </w:rPr>
            </w:pPr>
          </w:p>
          <w:p>
            <w:pPr>
              <w:pStyle w:val="TableParagraph"/>
              <w:ind w:right="95"/>
              <w:jc w:val="right"/>
              <w:rPr>
                <w:rFonts w:ascii="Times New Roman"/>
                <w:sz w:val="21"/>
              </w:rPr>
            </w:pPr>
            <w:r>
              <w:rPr>
                <w:rFonts w:ascii="Times New Roman"/>
                <w:w w:val="100"/>
                <w:sz w:val="21"/>
              </w:rPr>
              <w:t>0</w:t>
            </w:r>
          </w:p>
        </w:tc>
        <w:tc>
          <w:tcPr>
            <w:tcW w:w="1237" w:type="dxa"/>
          </w:tcPr>
          <w:p>
            <w:pPr>
              <w:pStyle w:val="TableParagraph"/>
              <w:rPr>
                <w:sz w:val="20"/>
              </w:rPr>
            </w:pPr>
          </w:p>
          <w:p>
            <w:pPr>
              <w:pStyle w:val="TableParagraph"/>
              <w:spacing w:line="244" w:lineRule="auto" w:before="152"/>
              <w:ind w:left="511" w:right="185" w:hanging="315"/>
              <w:rPr>
                <w:sz w:val="21"/>
              </w:rPr>
            </w:pPr>
            <w:r>
              <w:rPr>
                <w:spacing w:val="-1"/>
                <w:sz w:val="21"/>
              </w:rPr>
              <w:t>首发限售</w:t>
            </w:r>
            <w:r>
              <w:rPr>
                <w:sz w:val="21"/>
              </w:rPr>
              <w:t>股</w:t>
            </w:r>
          </w:p>
        </w:tc>
        <w:tc>
          <w:tcPr>
            <w:tcW w:w="1248" w:type="dxa"/>
          </w:tcPr>
          <w:p>
            <w:pPr>
              <w:pStyle w:val="TableParagraph"/>
              <w:spacing w:before="11"/>
              <w:rPr>
                <w:sz w:val="31"/>
              </w:rPr>
            </w:pPr>
          </w:p>
          <w:p>
            <w:pPr>
              <w:pStyle w:val="TableParagraph"/>
              <w:spacing w:before="1"/>
              <w:ind w:left="107"/>
              <w:rPr>
                <w:sz w:val="21"/>
              </w:rPr>
            </w:pPr>
            <w:r>
              <w:rPr>
                <w:rFonts w:ascii="Times New Roman" w:eastAsia="Times New Roman"/>
                <w:sz w:val="21"/>
              </w:rPr>
              <w:t>2022</w:t>
            </w:r>
            <w:r>
              <w:rPr>
                <w:rFonts w:ascii="Times New Roman" w:eastAsia="Times New Roman"/>
                <w:spacing w:val="-26"/>
                <w:sz w:val="21"/>
              </w:rPr>
              <w:t> </w:t>
            </w:r>
            <w:r>
              <w:rPr>
                <w:spacing w:val="33"/>
                <w:sz w:val="21"/>
              </w:rPr>
              <w:t>年</w:t>
            </w:r>
            <w:r>
              <w:rPr>
                <w:rFonts w:ascii="Times New Roman" w:eastAsia="Times New Roman"/>
                <w:sz w:val="21"/>
              </w:rPr>
              <w:t>6</w:t>
            </w:r>
            <w:r>
              <w:rPr>
                <w:rFonts w:ascii="Times New Roman" w:eastAsia="Times New Roman"/>
                <w:spacing w:val="-28"/>
                <w:sz w:val="21"/>
              </w:rPr>
              <w:t> </w:t>
            </w:r>
            <w:r>
              <w:rPr>
                <w:sz w:val="21"/>
              </w:rPr>
              <w:t>月</w:t>
            </w:r>
          </w:p>
          <w:p>
            <w:pPr>
              <w:pStyle w:val="TableParagraph"/>
              <w:spacing w:before="4"/>
              <w:ind w:left="107"/>
              <w:rPr>
                <w:sz w:val="21"/>
              </w:rPr>
            </w:pPr>
            <w:r>
              <w:rPr>
                <w:rFonts w:ascii="Times New Roman" w:eastAsia="Times New Roman"/>
                <w:sz w:val="21"/>
              </w:rPr>
              <w:t>8</w:t>
            </w:r>
            <w:r>
              <w:rPr>
                <w:rFonts w:ascii="Times New Roman" w:eastAsia="Times New Roman"/>
                <w:spacing w:val="-10"/>
                <w:sz w:val="21"/>
              </w:rPr>
              <w:t> </w:t>
            </w:r>
            <w:r>
              <w:rPr>
                <w:sz w:val="21"/>
              </w:rPr>
              <w:t>日</w:t>
            </w:r>
          </w:p>
        </w:tc>
      </w:tr>
      <w:tr>
        <w:trPr>
          <w:trHeight w:val="1091" w:hRule="atLeast"/>
        </w:trPr>
        <w:tc>
          <w:tcPr>
            <w:tcW w:w="1248" w:type="dxa"/>
          </w:tcPr>
          <w:p>
            <w:pPr>
              <w:pStyle w:val="TableParagraph"/>
              <w:spacing w:line="242" w:lineRule="auto" w:before="3"/>
              <w:ind w:left="107" w:right="94"/>
              <w:jc w:val="both"/>
              <w:rPr>
                <w:sz w:val="21"/>
              </w:rPr>
            </w:pPr>
            <w:r>
              <w:rPr>
                <w:spacing w:val="-21"/>
                <w:sz w:val="21"/>
              </w:rPr>
              <w:t>首 次 授 予限 制 性 股票 激 励 对</w:t>
            </w:r>
          </w:p>
          <w:p>
            <w:pPr>
              <w:pStyle w:val="TableParagraph"/>
              <w:spacing w:line="252" w:lineRule="exact" w:before="1"/>
              <w:ind w:left="107"/>
              <w:rPr>
                <w:sz w:val="21"/>
              </w:rPr>
            </w:pPr>
            <w:r>
              <w:rPr>
                <w:sz w:val="21"/>
              </w:rPr>
              <w:t>象 </w:t>
            </w:r>
          </w:p>
        </w:tc>
        <w:tc>
          <w:tcPr>
            <w:tcW w:w="1289" w:type="dxa"/>
          </w:tcPr>
          <w:p>
            <w:pPr>
              <w:pStyle w:val="TableParagraph"/>
              <w:spacing w:before="8"/>
              <w:rPr>
                <w:sz w:val="32"/>
              </w:rPr>
            </w:pPr>
          </w:p>
          <w:p>
            <w:pPr>
              <w:pStyle w:val="TableParagraph"/>
              <w:ind w:right="96"/>
              <w:jc w:val="right"/>
              <w:rPr>
                <w:rFonts w:ascii="Times New Roman"/>
                <w:sz w:val="21"/>
              </w:rPr>
            </w:pPr>
            <w:r>
              <w:rPr>
                <w:rFonts w:ascii="Times New Roman"/>
                <w:sz w:val="21"/>
              </w:rPr>
              <w:t>82,236,175</w:t>
            </w:r>
          </w:p>
        </w:tc>
        <w:tc>
          <w:tcPr>
            <w:tcW w:w="1284" w:type="dxa"/>
          </w:tcPr>
          <w:p>
            <w:pPr>
              <w:pStyle w:val="TableParagraph"/>
              <w:spacing w:before="8"/>
              <w:rPr>
                <w:sz w:val="32"/>
              </w:rPr>
            </w:pPr>
          </w:p>
          <w:p>
            <w:pPr>
              <w:pStyle w:val="TableParagraph"/>
              <w:ind w:right="93"/>
              <w:jc w:val="right"/>
              <w:rPr>
                <w:rFonts w:ascii="Times New Roman"/>
                <w:sz w:val="21"/>
              </w:rPr>
            </w:pPr>
            <w:r>
              <w:rPr>
                <w:rFonts w:ascii="Times New Roman"/>
                <w:sz w:val="21"/>
              </w:rPr>
              <w:t>26,287,452</w:t>
            </w:r>
          </w:p>
        </w:tc>
        <w:tc>
          <w:tcPr>
            <w:tcW w:w="1234" w:type="dxa"/>
          </w:tcPr>
          <w:p>
            <w:pPr>
              <w:pStyle w:val="TableParagraph"/>
              <w:spacing w:before="8"/>
              <w:rPr>
                <w:sz w:val="32"/>
              </w:rPr>
            </w:pPr>
          </w:p>
          <w:p>
            <w:pPr>
              <w:pStyle w:val="TableParagraph"/>
              <w:ind w:right="93"/>
              <w:jc w:val="right"/>
              <w:rPr>
                <w:rFonts w:ascii="Times New Roman"/>
                <w:sz w:val="21"/>
              </w:rPr>
            </w:pPr>
            <w:r>
              <w:rPr>
                <w:rFonts w:ascii="Times New Roman"/>
                <w:w w:val="100"/>
                <w:sz w:val="21"/>
              </w:rPr>
              <w:t>0</w:t>
            </w:r>
          </w:p>
        </w:tc>
        <w:tc>
          <w:tcPr>
            <w:tcW w:w="1284" w:type="dxa"/>
          </w:tcPr>
          <w:p>
            <w:pPr>
              <w:pStyle w:val="TableParagraph"/>
              <w:spacing w:before="8"/>
              <w:rPr>
                <w:sz w:val="32"/>
              </w:rPr>
            </w:pPr>
          </w:p>
          <w:p>
            <w:pPr>
              <w:pStyle w:val="TableParagraph"/>
              <w:ind w:right="93"/>
              <w:jc w:val="right"/>
              <w:rPr>
                <w:rFonts w:ascii="Times New Roman"/>
                <w:sz w:val="21"/>
              </w:rPr>
            </w:pPr>
            <w:r>
              <w:rPr>
                <w:rFonts w:ascii="Times New Roman"/>
                <w:sz w:val="21"/>
              </w:rPr>
              <w:t>51,748,372</w:t>
            </w:r>
          </w:p>
        </w:tc>
        <w:tc>
          <w:tcPr>
            <w:tcW w:w="1237" w:type="dxa"/>
          </w:tcPr>
          <w:p>
            <w:pPr>
              <w:pStyle w:val="TableParagraph"/>
              <w:rPr>
                <w:sz w:val="20"/>
              </w:rPr>
            </w:pPr>
          </w:p>
          <w:p>
            <w:pPr>
              <w:pStyle w:val="TableParagraph"/>
              <w:spacing w:before="155"/>
              <w:ind w:left="196"/>
              <w:rPr>
                <w:sz w:val="21"/>
              </w:rPr>
            </w:pPr>
            <w:r>
              <w:rPr>
                <w:sz w:val="21"/>
              </w:rPr>
              <w:t>股权激励</w:t>
            </w:r>
          </w:p>
        </w:tc>
        <w:tc>
          <w:tcPr>
            <w:tcW w:w="1248" w:type="dxa"/>
          </w:tcPr>
          <w:p>
            <w:pPr>
              <w:pStyle w:val="TableParagraph"/>
              <w:spacing w:before="5"/>
              <w:rPr>
                <w:sz w:val="21"/>
              </w:rPr>
            </w:pPr>
          </w:p>
          <w:p>
            <w:pPr>
              <w:pStyle w:val="TableParagraph"/>
              <w:ind w:left="107"/>
              <w:rPr>
                <w:sz w:val="21"/>
              </w:rPr>
            </w:pPr>
            <w:r>
              <w:rPr>
                <w:rFonts w:ascii="Times New Roman" w:eastAsia="Times New Roman"/>
                <w:sz w:val="21"/>
              </w:rPr>
              <w:t>2022</w:t>
            </w:r>
            <w:r>
              <w:rPr>
                <w:rFonts w:ascii="Times New Roman" w:eastAsia="Times New Roman"/>
                <w:spacing w:val="-26"/>
                <w:sz w:val="21"/>
              </w:rPr>
              <w:t> </w:t>
            </w:r>
            <w:r>
              <w:rPr>
                <w:spacing w:val="33"/>
                <w:sz w:val="21"/>
              </w:rPr>
              <w:t>年</w:t>
            </w:r>
            <w:r>
              <w:rPr>
                <w:rFonts w:ascii="Times New Roman" w:eastAsia="Times New Roman"/>
                <w:sz w:val="21"/>
              </w:rPr>
              <w:t>5</w:t>
            </w:r>
            <w:r>
              <w:rPr>
                <w:rFonts w:ascii="Times New Roman" w:eastAsia="Times New Roman"/>
                <w:spacing w:val="-28"/>
                <w:sz w:val="21"/>
              </w:rPr>
              <w:t> </w:t>
            </w:r>
            <w:r>
              <w:rPr>
                <w:sz w:val="21"/>
              </w:rPr>
              <w:t>月</w:t>
            </w:r>
          </w:p>
          <w:p>
            <w:pPr>
              <w:pStyle w:val="TableParagraph"/>
              <w:spacing w:before="5"/>
              <w:ind w:left="107"/>
              <w:rPr>
                <w:sz w:val="21"/>
              </w:rPr>
            </w:pPr>
            <w:r>
              <w:rPr>
                <w:rFonts w:ascii="Times New Roman" w:eastAsia="Times New Roman"/>
                <w:sz w:val="21"/>
              </w:rPr>
              <w:t>23</w:t>
            </w:r>
            <w:r>
              <w:rPr>
                <w:rFonts w:ascii="Times New Roman" w:eastAsia="Times New Roman"/>
                <w:spacing w:val="-10"/>
                <w:sz w:val="21"/>
              </w:rPr>
              <w:t> </w:t>
            </w:r>
            <w:r>
              <w:rPr>
                <w:sz w:val="21"/>
              </w:rPr>
              <w:t>日</w:t>
            </w:r>
          </w:p>
        </w:tc>
      </w:tr>
    </w:tbl>
    <w:p>
      <w:pPr>
        <w:spacing w:after="0"/>
        <w:rPr>
          <w:sz w:val="21"/>
        </w:rPr>
        <w:sectPr>
          <w:headerReference w:type="default" r:id="rId53"/>
          <w:footerReference w:type="default" r:id="rId54"/>
          <w:pgSz w:w="11910" w:h="16840"/>
          <w:pgMar w:header="882" w:footer="1172" w:top="1100" w:bottom="1360" w:left="1480" w:right="0"/>
          <w:pgNumType w:start="98"/>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8"/>
        <w:gridCol w:w="1289"/>
        <w:gridCol w:w="1284"/>
        <w:gridCol w:w="1234"/>
        <w:gridCol w:w="1284"/>
        <w:gridCol w:w="1237"/>
        <w:gridCol w:w="1248"/>
      </w:tblGrid>
      <w:tr>
        <w:trPr>
          <w:trHeight w:val="1089" w:hRule="atLeast"/>
        </w:trPr>
        <w:tc>
          <w:tcPr>
            <w:tcW w:w="1248" w:type="dxa"/>
          </w:tcPr>
          <w:p>
            <w:pPr>
              <w:pStyle w:val="TableParagraph"/>
              <w:spacing w:line="242" w:lineRule="auto" w:before="3"/>
              <w:ind w:left="107" w:right="94"/>
              <w:jc w:val="both"/>
              <w:rPr>
                <w:sz w:val="21"/>
              </w:rPr>
            </w:pPr>
            <w:r>
              <w:rPr>
                <w:spacing w:val="-21"/>
                <w:sz w:val="21"/>
              </w:rPr>
              <w:t>部 分 预 留授 予 限 制性 股 票 激</w:t>
            </w:r>
          </w:p>
          <w:p>
            <w:pPr>
              <w:pStyle w:val="TableParagraph"/>
              <w:spacing w:line="250" w:lineRule="exact" w:before="1"/>
              <w:ind w:left="107"/>
              <w:rPr>
                <w:sz w:val="21"/>
              </w:rPr>
            </w:pPr>
            <w:r>
              <w:rPr>
                <w:sz w:val="21"/>
              </w:rPr>
              <w:t>励对象 </w:t>
            </w:r>
          </w:p>
        </w:tc>
        <w:tc>
          <w:tcPr>
            <w:tcW w:w="1289" w:type="dxa"/>
          </w:tcPr>
          <w:p>
            <w:pPr>
              <w:pStyle w:val="TableParagraph"/>
              <w:spacing w:before="8"/>
              <w:rPr>
                <w:sz w:val="32"/>
              </w:rPr>
            </w:pPr>
          </w:p>
          <w:p>
            <w:pPr>
              <w:pStyle w:val="TableParagraph"/>
              <w:ind w:right="96"/>
              <w:jc w:val="right"/>
              <w:rPr>
                <w:rFonts w:ascii="Times New Roman"/>
                <w:sz w:val="21"/>
              </w:rPr>
            </w:pPr>
            <w:r>
              <w:rPr>
                <w:rFonts w:ascii="Times New Roman"/>
                <w:sz w:val="21"/>
              </w:rPr>
              <w:t>5,270,235</w:t>
            </w:r>
          </w:p>
        </w:tc>
        <w:tc>
          <w:tcPr>
            <w:tcW w:w="1284" w:type="dxa"/>
          </w:tcPr>
          <w:p>
            <w:pPr>
              <w:pStyle w:val="TableParagraph"/>
              <w:spacing w:before="8"/>
              <w:rPr>
                <w:sz w:val="32"/>
              </w:rPr>
            </w:pPr>
          </w:p>
          <w:p>
            <w:pPr>
              <w:pStyle w:val="TableParagraph"/>
              <w:ind w:right="93"/>
              <w:jc w:val="right"/>
              <w:rPr>
                <w:rFonts w:ascii="Times New Roman"/>
                <w:sz w:val="21"/>
              </w:rPr>
            </w:pPr>
            <w:r>
              <w:rPr>
                <w:rFonts w:ascii="Times New Roman"/>
                <w:sz w:val="21"/>
              </w:rPr>
              <w:t>1,605,165</w:t>
            </w:r>
          </w:p>
        </w:tc>
        <w:tc>
          <w:tcPr>
            <w:tcW w:w="1234" w:type="dxa"/>
          </w:tcPr>
          <w:p>
            <w:pPr>
              <w:pStyle w:val="TableParagraph"/>
              <w:spacing w:before="8"/>
              <w:rPr>
                <w:sz w:val="32"/>
              </w:rPr>
            </w:pPr>
          </w:p>
          <w:p>
            <w:pPr>
              <w:pStyle w:val="TableParagraph"/>
              <w:ind w:right="93"/>
              <w:jc w:val="right"/>
              <w:rPr>
                <w:rFonts w:ascii="Times New Roman"/>
                <w:sz w:val="21"/>
              </w:rPr>
            </w:pPr>
            <w:r>
              <w:rPr>
                <w:rFonts w:ascii="Times New Roman"/>
                <w:w w:val="100"/>
                <w:sz w:val="21"/>
              </w:rPr>
              <w:t>0</w:t>
            </w:r>
          </w:p>
        </w:tc>
        <w:tc>
          <w:tcPr>
            <w:tcW w:w="1284" w:type="dxa"/>
          </w:tcPr>
          <w:p>
            <w:pPr>
              <w:pStyle w:val="TableParagraph"/>
              <w:spacing w:before="8"/>
              <w:rPr>
                <w:sz w:val="32"/>
              </w:rPr>
            </w:pPr>
          </w:p>
          <w:p>
            <w:pPr>
              <w:pStyle w:val="TableParagraph"/>
              <w:ind w:right="93"/>
              <w:jc w:val="right"/>
              <w:rPr>
                <w:rFonts w:ascii="Times New Roman"/>
                <w:sz w:val="21"/>
              </w:rPr>
            </w:pPr>
            <w:r>
              <w:rPr>
                <w:rFonts w:ascii="Times New Roman"/>
                <w:sz w:val="21"/>
              </w:rPr>
              <w:t>3,219,130</w:t>
            </w:r>
          </w:p>
        </w:tc>
        <w:tc>
          <w:tcPr>
            <w:tcW w:w="1237" w:type="dxa"/>
          </w:tcPr>
          <w:p>
            <w:pPr>
              <w:pStyle w:val="TableParagraph"/>
              <w:rPr>
                <w:rFonts w:ascii="Times New Roman"/>
                <w:sz w:val="20"/>
              </w:rPr>
            </w:pPr>
          </w:p>
        </w:tc>
        <w:tc>
          <w:tcPr>
            <w:tcW w:w="1248" w:type="dxa"/>
          </w:tcPr>
          <w:p>
            <w:pPr>
              <w:pStyle w:val="TableParagraph"/>
              <w:spacing w:before="5"/>
              <w:rPr>
                <w:sz w:val="21"/>
              </w:rPr>
            </w:pPr>
          </w:p>
          <w:p>
            <w:pPr>
              <w:pStyle w:val="TableParagraph"/>
              <w:spacing w:before="1"/>
              <w:ind w:left="107"/>
              <w:rPr>
                <w:sz w:val="21"/>
              </w:rPr>
            </w:pPr>
            <w:r>
              <w:rPr>
                <w:rFonts w:ascii="Times New Roman" w:eastAsia="Times New Roman"/>
                <w:sz w:val="21"/>
              </w:rPr>
              <w:t>2022</w:t>
            </w:r>
            <w:r>
              <w:rPr>
                <w:rFonts w:ascii="Times New Roman" w:eastAsia="Times New Roman"/>
                <w:spacing w:val="-26"/>
                <w:sz w:val="21"/>
              </w:rPr>
              <w:t> </w:t>
            </w:r>
            <w:r>
              <w:rPr>
                <w:spacing w:val="33"/>
                <w:sz w:val="21"/>
              </w:rPr>
              <w:t>年</w:t>
            </w:r>
            <w:r>
              <w:rPr>
                <w:rFonts w:ascii="Times New Roman" w:eastAsia="Times New Roman"/>
                <w:sz w:val="21"/>
              </w:rPr>
              <w:t>9</w:t>
            </w:r>
            <w:r>
              <w:rPr>
                <w:rFonts w:ascii="Times New Roman" w:eastAsia="Times New Roman"/>
                <w:spacing w:val="-28"/>
                <w:sz w:val="21"/>
              </w:rPr>
              <w:t> </w:t>
            </w:r>
            <w:r>
              <w:rPr>
                <w:sz w:val="21"/>
              </w:rPr>
              <w:t>月</w:t>
            </w:r>
          </w:p>
          <w:p>
            <w:pPr>
              <w:pStyle w:val="TableParagraph"/>
              <w:spacing w:before="4"/>
              <w:ind w:left="107"/>
              <w:rPr>
                <w:sz w:val="21"/>
              </w:rPr>
            </w:pPr>
            <w:r>
              <w:rPr>
                <w:rFonts w:ascii="Times New Roman" w:eastAsia="Times New Roman"/>
                <w:sz w:val="21"/>
              </w:rPr>
              <w:t>22</w:t>
            </w:r>
            <w:r>
              <w:rPr>
                <w:rFonts w:ascii="Times New Roman" w:eastAsia="Times New Roman"/>
                <w:spacing w:val="-10"/>
                <w:sz w:val="21"/>
              </w:rPr>
              <w:t> </w:t>
            </w:r>
            <w:r>
              <w:rPr>
                <w:sz w:val="21"/>
              </w:rPr>
              <w:t>日</w:t>
            </w:r>
          </w:p>
        </w:tc>
      </w:tr>
      <w:tr>
        <w:trPr>
          <w:trHeight w:val="1091" w:hRule="atLeast"/>
        </w:trPr>
        <w:tc>
          <w:tcPr>
            <w:tcW w:w="1248" w:type="dxa"/>
          </w:tcPr>
          <w:p>
            <w:pPr>
              <w:pStyle w:val="TableParagraph"/>
              <w:spacing w:line="242" w:lineRule="auto" w:before="3"/>
              <w:ind w:left="107" w:right="94"/>
              <w:jc w:val="both"/>
              <w:rPr>
                <w:sz w:val="21"/>
              </w:rPr>
            </w:pPr>
            <w:r>
              <w:rPr>
                <w:spacing w:val="-21"/>
                <w:sz w:val="21"/>
              </w:rPr>
              <w:t>剩 余 预 留授 予 限 制性 股 票 激</w:t>
            </w:r>
          </w:p>
          <w:p>
            <w:pPr>
              <w:pStyle w:val="TableParagraph"/>
              <w:spacing w:line="252" w:lineRule="exact" w:before="1"/>
              <w:ind w:left="107"/>
              <w:rPr>
                <w:sz w:val="21"/>
              </w:rPr>
            </w:pPr>
            <w:r>
              <w:rPr>
                <w:sz w:val="21"/>
              </w:rPr>
              <w:t>励对象 </w:t>
            </w:r>
          </w:p>
        </w:tc>
        <w:tc>
          <w:tcPr>
            <w:tcW w:w="1289" w:type="dxa"/>
          </w:tcPr>
          <w:p>
            <w:pPr>
              <w:pStyle w:val="TableParagraph"/>
              <w:spacing w:before="8"/>
              <w:rPr>
                <w:sz w:val="32"/>
              </w:rPr>
            </w:pPr>
          </w:p>
          <w:p>
            <w:pPr>
              <w:pStyle w:val="TableParagraph"/>
              <w:ind w:right="96"/>
              <w:jc w:val="right"/>
              <w:rPr>
                <w:rFonts w:ascii="Times New Roman"/>
                <w:sz w:val="21"/>
              </w:rPr>
            </w:pPr>
            <w:r>
              <w:rPr>
                <w:rFonts w:ascii="Times New Roman"/>
                <w:sz w:val="21"/>
              </w:rPr>
              <w:t>13,222,956</w:t>
            </w:r>
          </w:p>
        </w:tc>
        <w:tc>
          <w:tcPr>
            <w:tcW w:w="1284" w:type="dxa"/>
          </w:tcPr>
          <w:p>
            <w:pPr>
              <w:pStyle w:val="TableParagraph"/>
              <w:spacing w:before="8"/>
              <w:rPr>
                <w:sz w:val="32"/>
              </w:rPr>
            </w:pPr>
          </w:p>
          <w:p>
            <w:pPr>
              <w:pStyle w:val="TableParagraph"/>
              <w:ind w:right="93"/>
              <w:jc w:val="right"/>
              <w:rPr>
                <w:rFonts w:ascii="Times New Roman"/>
                <w:sz w:val="21"/>
              </w:rPr>
            </w:pPr>
            <w:r>
              <w:rPr>
                <w:rFonts w:ascii="Times New Roman"/>
                <w:sz w:val="21"/>
              </w:rPr>
              <w:t>3,228,952</w:t>
            </w:r>
          </w:p>
        </w:tc>
        <w:tc>
          <w:tcPr>
            <w:tcW w:w="1234" w:type="dxa"/>
          </w:tcPr>
          <w:p>
            <w:pPr>
              <w:pStyle w:val="TableParagraph"/>
              <w:spacing w:before="8"/>
              <w:rPr>
                <w:sz w:val="32"/>
              </w:rPr>
            </w:pPr>
          </w:p>
          <w:p>
            <w:pPr>
              <w:pStyle w:val="TableParagraph"/>
              <w:ind w:right="93"/>
              <w:jc w:val="right"/>
              <w:rPr>
                <w:rFonts w:ascii="Times New Roman"/>
                <w:sz w:val="21"/>
              </w:rPr>
            </w:pPr>
            <w:r>
              <w:rPr>
                <w:rFonts w:ascii="Times New Roman"/>
                <w:w w:val="100"/>
                <w:sz w:val="21"/>
              </w:rPr>
              <w:t>0</w:t>
            </w:r>
          </w:p>
        </w:tc>
        <w:tc>
          <w:tcPr>
            <w:tcW w:w="1284" w:type="dxa"/>
          </w:tcPr>
          <w:p>
            <w:pPr>
              <w:pStyle w:val="TableParagraph"/>
              <w:spacing w:before="8"/>
              <w:rPr>
                <w:sz w:val="32"/>
              </w:rPr>
            </w:pPr>
          </w:p>
          <w:p>
            <w:pPr>
              <w:pStyle w:val="TableParagraph"/>
              <w:ind w:right="93"/>
              <w:jc w:val="right"/>
              <w:rPr>
                <w:rFonts w:ascii="Times New Roman"/>
                <w:sz w:val="21"/>
              </w:rPr>
            </w:pPr>
            <w:r>
              <w:rPr>
                <w:rFonts w:ascii="Times New Roman"/>
                <w:sz w:val="21"/>
              </w:rPr>
              <w:t>9,129,176</w:t>
            </w:r>
          </w:p>
        </w:tc>
        <w:tc>
          <w:tcPr>
            <w:tcW w:w="1237" w:type="dxa"/>
          </w:tcPr>
          <w:p>
            <w:pPr>
              <w:pStyle w:val="TableParagraph"/>
              <w:rPr>
                <w:rFonts w:ascii="Times New Roman"/>
                <w:sz w:val="20"/>
              </w:rPr>
            </w:pPr>
          </w:p>
        </w:tc>
        <w:tc>
          <w:tcPr>
            <w:tcW w:w="1248" w:type="dxa"/>
          </w:tcPr>
          <w:p>
            <w:pPr>
              <w:pStyle w:val="TableParagraph"/>
              <w:spacing w:before="5"/>
              <w:rPr>
                <w:sz w:val="21"/>
              </w:rPr>
            </w:pPr>
          </w:p>
          <w:p>
            <w:pPr>
              <w:pStyle w:val="TableParagraph"/>
              <w:ind w:left="107"/>
              <w:rPr>
                <w:sz w:val="21"/>
              </w:rPr>
            </w:pPr>
            <w:r>
              <w:rPr>
                <w:rFonts w:ascii="Times New Roman" w:eastAsia="Times New Roman"/>
                <w:sz w:val="21"/>
              </w:rPr>
              <w:t>2022</w:t>
            </w:r>
            <w:r>
              <w:rPr>
                <w:rFonts w:ascii="Times New Roman" w:eastAsia="Times New Roman"/>
                <w:spacing w:val="-26"/>
                <w:sz w:val="21"/>
              </w:rPr>
              <w:t> </w:t>
            </w:r>
            <w:r>
              <w:rPr>
                <w:spacing w:val="33"/>
                <w:sz w:val="21"/>
              </w:rPr>
              <w:t>年</w:t>
            </w:r>
            <w:r>
              <w:rPr>
                <w:rFonts w:ascii="Times New Roman" w:eastAsia="Times New Roman"/>
                <w:sz w:val="21"/>
              </w:rPr>
              <w:t>1</w:t>
            </w:r>
            <w:r>
              <w:rPr>
                <w:rFonts w:ascii="Times New Roman" w:eastAsia="Times New Roman"/>
                <w:spacing w:val="-28"/>
                <w:sz w:val="21"/>
              </w:rPr>
              <w:t> </w:t>
            </w:r>
            <w:r>
              <w:rPr>
                <w:sz w:val="21"/>
              </w:rPr>
              <w:t>月</w:t>
            </w:r>
          </w:p>
          <w:p>
            <w:pPr>
              <w:pStyle w:val="TableParagraph"/>
              <w:spacing w:before="5"/>
              <w:ind w:left="107"/>
              <w:rPr>
                <w:sz w:val="21"/>
              </w:rPr>
            </w:pPr>
            <w:r>
              <w:rPr>
                <w:rFonts w:ascii="Times New Roman" w:eastAsia="Times New Roman"/>
                <w:sz w:val="21"/>
              </w:rPr>
              <w:t>19</w:t>
            </w:r>
            <w:r>
              <w:rPr>
                <w:rFonts w:ascii="Times New Roman" w:eastAsia="Times New Roman"/>
                <w:spacing w:val="-10"/>
                <w:sz w:val="21"/>
              </w:rPr>
              <w:t> </w:t>
            </w:r>
            <w:r>
              <w:rPr>
                <w:sz w:val="21"/>
              </w:rPr>
              <w:t>日</w:t>
            </w:r>
          </w:p>
        </w:tc>
      </w:tr>
      <w:tr>
        <w:trPr>
          <w:trHeight w:val="270" w:hRule="atLeast"/>
        </w:trPr>
        <w:tc>
          <w:tcPr>
            <w:tcW w:w="1248" w:type="dxa"/>
          </w:tcPr>
          <w:p>
            <w:pPr>
              <w:pStyle w:val="TableParagraph"/>
              <w:spacing w:line="250" w:lineRule="exact" w:before="1"/>
              <w:ind w:left="412"/>
              <w:rPr>
                <w:sz w:val="21"/>
              </w:rPr>
            </w:pPr>
            <w:r>
              <w:rPr>
                <w:sz w:val="21"/>
              </w:rPr>
              <w:t>合计 </w:t>
            </w:r>
          </w:p>
        </w:tc>
        <w:tc>
          <w:tcPr>
            <w:tcW w:w="1289" w:type="dxa"/>
          </w:tcPr>
          <w:p>
            <w:pPr>
              <w:pStyle w:val="TableParagraph"/>
              <w:spacing w:line="235" w:lineRule="exact"/>
              <w:ind w:right="96"/>
              <w:jc w:val="right"/>
              <w:rPr>
                <w:rFonts w:ascii="Times New Roman"/>
                <w:sz w:val="21"/>
              </w:rPr>
            </w:pPr>
            <w:r>
              <w:rPr>
                <w:rFonts w:ascii="Times New Roman"/>
                <w:sz w:val="21"/>
              </w:rPr>
              <w:t>122,515,366</w:t>
            </w:r>
          </w:p>
        </w:tc>
        <w:tc>
          <w:tcPr>
            <w:tcW w:w="1284" w:type="dxa"/>
          </w:tcPr>
          <w:p>
            <w:pPr>
              <w:pStyle w:val="TableParagraph"/>
              <w:spacing w:line="235" w:lineRule="exact"/>
              <w:ind w:right="93"/>
              <w:jc w:val="right"/>
              <w:rPr>
                <w:rFonts w:ascii="Times New Roman"/>
                <w:sz w:val="21"/>
              </w:rPr>
            </w:pPr>
            <w:r>
              <w:rPr>
                <w:rFonts w:ascii="Times New Roman"/>
                <w:sz w:val="21"/>
              </w:rPr>
              <w:t>52,907,569</w:t>
            </w:r>
          </w:p>
        </w:tc>
        <w:tc>
          <w:tcPr>
            <w:tcW w:w="1234" w:type="dxa"/>
          </w:tcPr>
          <w:p>
            <w:pPr>
              <w:pStyle w:val="TableParagraph"/>
              <w:spacing w:line="235" w:lineRule="exact"/>
              <w:ind w:right="93"/>
              <w:jc w:val="right"/>
              <w:rPr>
                <w:rFonts w:ascii="Times New Roman"/>
                <w:sz w:val="21"/>
              </w:rPr>
            </w:pPr>
            <w:r>
              <w:rPr>
                <w:rFonts w:ascii="Times New Roman"/>
                <w:w w:val="100"/>
                <w:sz w:val="21"/>
              </w:rPr>
              <w:t>0</w:t>
            </w:r>
          </w:p>
        </w:tc>
        <w:tc>
          <w:tcPr>
            <w:tcW w:w="1284" w:type="dxa"/>
          </w:tcPr>
          <w:p>
            <w:pPr>
              <w:pStyle w:val="TableParagraph"/>
              <w:spacing w:line="235" w:lineRule="exact"/>
              <w:ind w:right="93"/>
              <w:jc w:val="right"/>
              <w:rPr>
                <w:rFonts w:ascii="Times New Roman"/>
                <w:sz w:val="21"/>
              </w:rPr>
            </w:pPr>
            <w:r>
              <w:rPr>
                <w:rFonts w:ascii="Times New Roman"/>
                <w:sz w:val="21"/>
              </w:rPr>
              <w:t>64,096,678</w:t>
            </w:r>
          </w:p>
        </w:tc>
        <w:tc>
          <w:tcPr>
            <w:tcW w:w="1237" w:type="dxa"/>
          </w:tcPr>
          <w:p>
            <w:pPr>
              <w:pStyle w:val="TableParagraph"/>
              <w:spacing w:line="235" w:lineRule="exact"/>
              <w:ind w:left="7"/>
              <w:jc w:val="center"/>
              <w:rPr>
                <w:rFonts w:ascii="Times New Roman"/>
                <w:sz w:val="21"/>
              </w:rPr>
            </w:pPr>
            <w:r>
              <w:rPr>
                <w:rFonts w:ascii="Times New Roman"/>
                <w:w w:val="100"/>
                <w:sz w:val="21"/>
              </w:rPr>
              <w:t>/</w:t>
            </w:r>
          </w:p>
        </w:tc>
        <w:tc>
          <w:tcPr>
            <w:tcW w:w="1248" w:type="dxa"/>
          </w:tcPr>
          <w:p>
            <w:pPr>
              <w:pStyle w:val="TableParagraph"/>
              <w:spacing w:line="235" w:lineRule="exact"/>
              <w:ind w:left="10"/>
              <w:jc w:val="center"/>
              <w:rPr>
                <w:rFonts w:ascii="Times New Roman"/>
                <w:sz w:val="21"/>
              </w:rPr>
            </w:pPr>
            <w:r>
              <w:rPr>
                <w:rFonts w:ascii="Times New Roman"/>
                <w:w w:val="100"/>
                <w:sz w:val="21"/>
              </w:rPr>
              <w:t>/</w:t>
            </w:r>
          </w:p>
        </w:tc>
      </w:tr>
    </w:tbl>
    <w:p>
      <w:pPr>
        <w:pStyle w:val="BodyText"/>
        <w:spacing w:line="242" w:lineRule="auto" w:before="1"/>
        <w:ind w:right="1268"/>
        <w:jc w:val="both"/>
      </w:pPr>
      <w:r>
        <w:rPr/>
        <w:t>注：上表中报告期限售股份变动情况未体现限制性股票回购注销的情况。公司分别于 </w:t>
      </w:r>
      <w:r>
        <w:rPr>
          <w:rFonts w:ascii="Times New Roman" w:eastAsia="Times New Roman"/>
        </w:rPr>
        <w:t>2022 </w:t>
      </w:r>
      <w:r>
        <w:rPr/>
        <w:t>年 </w:t>
      </w:r>
      <w:r>
        <w:rPr>
          <w:rFonts w:ascii="Times New Roman" w:eastAsia="Times New Roman"/>
        </w:rPr>
        <w:t>8</w:t>
      </w:r>
      <w:r>
        <w:rPr>
          <w:rFonts w:ascii="Times New Roman" w:eastAsia="Times New Roman"/>
          <w:spacing w:val="1"/>
        </w:rPr>
        <w:t> </w:t>
      </w:r>
      <w:r>
        <w:rPr>
          <w:spacing w:val="28"/>
        </w:rPr>
        <w:t>月</w:t>
      </w:r>
      <w:r>
        <w:rPr>
          <w:rFonts w:ascii="Times New Roman" w:eastAsia="Times New Roman"/>
        </w:rPr>
        <w:t>23</w:t>
      </w:r>
      <w:r>
        <w:rPr>
          <w:rFonts w:ascii="Times New Roman" w:eastAsia="Times New Roman"/>
          <w:spacing w:val="-34"/>
        </w:rPr>
        <w:t> </w:t>
      </w:r>
      <w:r>
        <w:rPr/>
        <w:t>日、</w:t>
      </w:r>
      <w:r>
        <w:rPr>
          <w:rFonts w:ascii="Times New Roman" w:eastAsia="Times New Roman"/>
        </w:rPr>
        <w:t>2022</w:t>
      </w:r>
      <w:r>
        <w:rPr>
          <w:rFonts w:ascii="Times New Roman" w:eastAsia="Times New Roman"/>
          <w:spacing w:val="-34"/>
        </w:rPr>
        <w:t> </w:t>
      </w:r>
      <w:r>
        <w:rPr>
          <w:spacing w:val="28"/>
        </w:rPr>
        <w:t>年</w:t>
      </w:r>
      <w:r>
        <w:rPr>
          <w:rFonts w:ascii="Times New Roman" w:eastAsia="Times New Roman"/>
        </w:rPr>
        <w:t>12</w:t>
      </w:r>
      <w:r>
        <w:rPr>
          <w:rFonts w:ascii="Times New Roman" w:eastAsia="Times New Roman"/>
          <w:spacing w:val="-34"/>
        </w:rPr>
        <w:t> </w:t>
      </w:r>
      <w:r>
        <w:rPr>
          <w:spacing w:val="29"/>
        </w:rPr>
        <w:t>月</w:t>
      </w:r>
      <w:r>
        <w:rPr>
          <w:rFonts w:ascii="Times New Roman" w:eastAsia="Times New Roman"/>
        </w:rPr>
        <w:t>26</w:t>
      </w:r>
      <w:r>
        <w:rPr>
          <w:rFonts w:ascii="Times New Roman" w:eastAsia="Times New Roman"/>
          <w:spacing w:val="-34"/>
        </w:rPr>
        <w:t> </w:t>
      </w:r>
      <w:r>
        <w:rPr>
          <w:spacing w:val="1"/>
        </w:rPr>
        <w:t>日回购注销激励对象已获授但未达解锁条件的限制性股票</w:t>
      </w:r>
      <w:r>
        <w:rPr>
          <w:rFonts w:ascii="Times New Roman" w:eastAsia="Times New Roman"/>
        </w:rPr>
        <w:t>4,068,559</w:t>
      </w:r>
      <w:r>
        <w:rPr>
          <w:rFonts w:ascii="Times New Roman" w:eastAsia="Times New Roman"/>
          <w:spacing w:val="-32"/>
        </w:rPr>
        <w:t> </w:t>
      </w:r>
      <w:r>
        <w:rPr/>
        <w:t>股、</w:t>
      </w:r>
      <w:r>
        <w:rPr>
          <w:rFonts w:ascii="Times New Roman" w:eastAsia="Times New Roman"/>
        </w:rPr>
        <w:t>1,442,560</w:t>
      </w:r>
      <w:r>
        <w:rPr>
          <w:rFonts w:ascii="Times New Roman" w:eastAsia="Times New Roman"/>
          <w:spacing w:val="-12"/>
        </w:rPr>
        <w:t> </w:t>
      </w:r>
      <w:r>
        <w:rPr>
          <w:spacing w:val="-8"/>
        </w:rPr>
        <w:t>股，上述合计 </w:t>
      </w:r>
      <w:r>
        <w:rPr>
          <w:rFonts w:ascii="Times New Roman" w:eastAsia="Times New Roman"/>
        </w:rPr>
        <w:t>5,511,119</w:t>
      </w:r>
      <w:r>
        <w:rPr>
          <w:rFonts w:ascii="Times New Roman" w:eastAsia="Times New Roman"/>
          <w:spacing w:val="-12"/>
        </w:rPr>
        <w:t> </w:t>
      </w:r>
      <w:r>
        <w:rPr/>
        <w:t>股。</w:t>
      </w:r>
    </w:p>
    <w:p>
      <w:pPr>
        <w:pStyle w:val="BodyText"/>
        <w:spacing w:before="63"/>
      </w:pPr>
      <w:r>
        <w:rPr>
          <w:spacing w:val="-9"/>
        </w:rPr>
        <w:t>二、 证券发行与上市情况</w:t>
      </w:r>
    </w:p>
    <w:p>
      <w:pPr>
        <w:pStyle w:val="BodyText"/>
        <w:spacing w:before="63"/>
      </w:pPr>
      <w:r>
        <w:rPr/>
        <w:t>(一)截至报告期内证券发行情况</w:t>
      </w:r>
    </w:p>
    <w:p>
      <w:pPr>
        <w:pStyle w:val="BodyText"/>
        <w:spacing w:before="64"/>
      </w:pPr>
      <w:r>
        <w:rPr>
          <w:spacing w:val="-1"/>
        </w:rPr>
        <w:t>□适用 √不适用</w:t>
      </w:r>
      <w:r>
        <w:rPr>
          <w:spacing w:val="-3"/>
        </w:rPr>
        <w:t> </w:t>
      </w:r>
      <w:r>
        <w:rPr/>
        <w:t> </w:t>
      </w:r>
    </w:p>
    <w:p>
      <w:pPr>
        <w:pStyle w:val="BodyText"/>
        <w:spacing w:before="2"/>
      </w:pPr>
      <w:r>
        <w:rPr/>
        <w:t>截至报告期内证券发行情况的说明（存续期内利率不同的债券，请分别说明）： </w:t>
      </w:r>
    </w:p>
    <w:p>
      <w:pPr>
        <w:pStyle w:val="BodyText"/>
        <w:spacing w:before="5"/>
      </w:pPr>
      <w:r>
        <w:rPr>
          <w:spacing w:val="11"/>
        </w:rPr>
        <w:t>□适用 √不适用</w:t>
      </w:r>
      <w:r>
        <w:rPr>
          <w:spacing w:val="-3"/>
        </w:rPr>
        <w:t> </w:t>
      </w:r>
      <w:r>
        <w:rPr/>
        <w:t> </w:t>
      </w:r>
    </w:p>
    <w:p>
      <w:pPr>
        <w:pStyle w:val="BodyText"/>
        <w:spacing w:before="2"/>
      </w:pPr>
      <w:r>
        <w:rPr>
          <w:w w:val="100"/>
        </w:rPr>
        <w:t> </w:t>
      </w:r>
    </w:p>
    <w:p>
      <w:pPr>
        <w:pStyle w:val="BodyText"/>
        <w:spacing w:before="65"/>
      </w:pPr>
      <w:r>
        <w:rPr/>
        <w:t>(二)公司股份总数及股东结构变动及公司资产和负债结构的变动情况</w:t>
      </w:r>
    </w:p>
    <w:p>
      <w:pPr>
        <w:pStyle w:val="BodyText"/>
        <w:spacing w:before="62"/>
      </w:pPr>
      <w:r>
        <w:rPr>
          <w:spacing w:val="11"/>
        </w:rPr>
        <w:t>√适用 □不适用</w:t>
      </w:r>
      <w:r>
        <w:rPr>
          <w:spacing w:val="-3"/>
        </w:rPr>
        <w:t> </w:t>
      </w:r>
      <w:r>
        <w:rPr/>
        <w:t> </w:t>
      </w:r>
    </w:p>
    <w:p>
      <w:pPr>
        <w:pStyle w:val="BodyText"/>
        <w:spacing w:line="242" w:lineRule="auto" w:before="4"/>
        <w:ind w:right="1277"/>
      </w:pPr>
      <w:r>
        <w:rPr/>
        <w:t>公司股份总数及股东结构变动情况详见本节第（一）项的“股份变动情况表”和“股份变动情况说明”。公司实施的股权激励计划不会对股东结构及资产和负债结构产生重大影响。 </w:t>
      </w:r>
    </w:p>
    <w:p>
      <w:pPr>
        <w:pStyle w:val="BodyText"/>
        <w:spacing w:before="2"/>
      </w:pPr>
      <w:r>
        <w:rPr>
          <w:w w:val="100"/>
        </w:rPr>
        <w:t> </w:t>
      </w:r>
    </w:p>
    <w:p>
      <w:pPr>
        <w:pStyle w:val="BodyText"/>
        <w:spacing w:before="62"/>
      </w:pPr>
      <w:r>
        <w:rPr/>
        <w:t>(三)现存的内部职工股情况</w:t>
      </w:r>
    </w:p>
    <w:p>
      <w:pPr>
        <w:pStyle w:val="BodyText"/>
        <w:spacing w:before="64"/>
      </w:pPr>
      <w:r>
        <w:rPr>
          <w:spacing w:val="-1"/>
        </w:rPr>
        <w:t>□适用 √不适用</w:t>
      </w:r>
      <w:r>
        <w:rPr>
          <w:spacing w:val="-3"/>
        </w:rPr>
        <w:t> </w:t>
      </w:r>
      <w:r>
        <w:rPr/>
        <w:t> </w:t>
      </w:r>
    </w:p>
    <w:p>
      <w:pPr>
        <w:pStyle w:val="BodyText"/>
        <w:spacing w:before="63"/>
      </w:pPr>
      <w:r>
        <w:rPr>
          <w:spacing w:val="-9"/>
        </w:rPr>
        <w:t>三、 股东和实际控制人情况</w:t>
      </w:r>
    </w:p>
    <w:p>
      <w:pPr>
        <w:spacing w:before="62"/>
        <w:ind w:left="318" w:right="0" w:firstLine="0"/>
        <w:jc w:val="left"/>
        <w:rPr>
          <w:sz w:val="21"/>
        </w:rPr>
      </w:pPr>
      <w:r>
        <w:rPr>
          <w:rFonts w:ascii="Calibri" w:eastAsia="Calibri"/>
          <w:b/>
          <w:sz w:val="21"/>
        </w:rPr>
        <w:t>(</w:t>
      </w:r>
      <w:r>
        <w:rPr>
          <w:sz w:val="21"/>
        </w:rPr>
        <w:t>一</w:t>
      </w:r>
      <w:r>
        <w:rPr>
          <w:rFonts w:ascii="Calibri" w:eastAsia="Calibri"/>
          <w:b/>
          <w:spacing w:val="19"/>
          <w:sz w:val="21"/>
        </w:rPr>
        <w:t>) </w:t>
      </w:r>
      <w:r>
        <w:rPr>
          <w:sz w:val="21"/>
        </w:rPr>
        <w:t>股东总数</w:t>
      </w:r>
    </w:p>
    <w:p>
      <w:pPr>
        <w:pStyle w:val="BodyText"/>
        <w:spacing w:before="12"/>
        <w:ind w:left="0"/>
        <w:rPr>
          <w:sz w:val="4"/>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273" w:hRule="atLeast"/>
        </w:trPr>
        <w:tc>
          <w:tcPr>
            <w:tcW w:w="4412" w:type="dxa"/>
          </w:tcPr>
          <w:p>
            <w:pPr>
              <w:pStyle w:val="TableParagraph"/>
              <w:spacing w:line="252" w:lineRule="exact" w:before="1"/>
              <w:ind w:left="107"/>
              <w:rPr>
                <w:sz w:val="21"/>
              </w:rPr>
            </w:pPr>
            <w:r>
              <w:rPr>
                <w:sz w:val="21"/>
              </w:rPr>
              <w:t>截至报告期末普通股股东总数(户) </w:t>
            </w:r>
          </w:p>
        </w:tc>
        <w:tc>
          <w:tcPr>
            <w:tcW w:w="4412" w:type="dxa"/>
          </w:tcPr>
          <w:p>
            <w:pPr>
              <w:pStyle w:val="TableParagraph"/>
              <w:spacing w:line="235" w:lineRule="exact"/>
              <w:ind w:right="-15"/>
              <w:jc w:val="right"/>
              <w:rPr>
                <w:sz w:val="21"/>
              </w:rPr>
            </w:pPr>
            <w:r>
              <w:rPr>
                <w:rFonts w:ascii="Times New Roman"/>
                <w:sz w:val="21"/>
              </w:rPr>
              <w:t>178,028</w:t>
            </w:r>
            <w:r>
              <w:rPr>
                <w:sz w:val="21"/>
              </w:rPr>
              <w:t> </w:t>
            </w:r>
          </w:p>
        </w:tc>
      </w:tr>
      <w:tr>
        <w:trPr>
          <w:trHeight w:val="544" w:hRule="atLeast"/>
        </w:trPr>
        <w:tc>
          <w:tcPr>
            <w:tcW w:w="4412" w:type="dxa"/>
          </w:tcPr>
          <w:p>
            <w:pPr>
              <w:pStyle w:val="TableParagraph"/>
              <w:spacing w:before="1"/>
              <w:ind w:left="107"/>
              <w:rPr>
                <w:sz w:val="21"/>
              </w:rPr>
            </w:pPr>
            <w:r>
              <w:rPr>
                <w:sz w:val="21"/>
              </w:rPr>
              <w:t>年度报告披露日前上一月末的普通股股东总</w:t>
            </w:r>
          </w:p>
          <w:p>
            <w:pPr>
              <w:pStyle w:val="TableParagraph"/>
              <w:spacing w:line="252" w:lineRule="exact" w:before="2"/>
              <w:ind w:left="107"/>
              <w:rPr>
                <w:sz w:val="21"/>
              </w:rPr>
            </w:pPr>
            <w:r>
              <w:rPr>
                <w:sz w:val="21"/>
              </w:rPr>
              <w:t>数(户) </w:t>
            </w:r>
          </w:p>
        </w:tc>
        <w:tc>
          <w:tcPr>
            <w:tcW w:w="4412" w:type="dxa"/>
          </w:tcPr>
          <w:p>
            <w:pPr>
              <w:pStyle w:val="TableParagraph"/>
              <w:spacing w:line="235" w:lineRule="exact"/>
              <w:ind w:right="93"/>
              <w:jc w:val="right"/>
              <w:rPr>
                <w:rFonts w:ascii="Times New Roman"/>
                <w:sz w:val="21"/>
              </w:rPr>
            </w:pPr>
            <w:r>
              <w:rPr>
                <w:rFonts w:ascii="Times New Roman"/>
                <w:sz w:val="21"/>
              </w:rPr>
              <w:t>179,495</w:t>
            </w:r>
          </w:p>
        </w:tc>
      </w:tr>
      <w:tr>
        <w:trPr>
          <w:trHeight w:val="544" w:hRule="atLeast"/>
        </w:trPr>
        <w:tc>
          <w:tcPr>
            <w:tcW w:w="4412" w:type="dxa"/>
          </w:tcPr>
          <w:p>
            <w:pPr>
              <w:pStyle w:val="TableParagraph"/>
              <w:spacing w:before="1"/>
              <w:ind w:left="107"/>
              <w:rPr>
                <w:sz w:val="21"/>
              </w:rPr>
            </w:pPr>
            <w:r>
              <w:rPr>
                <w:sz w:val="21"/>
              </w:rPr>
              <w:t>截至报告期末表决权恢复的优先股股东总数</w:t>
            </w:r>
          </w:p>
          <w:p>
            <w:pPr>
              <w:pStyle w:val="TableParagraph"/>
              <w:spacing w:line="252" w:lineRule="exact" w:before="2"/>
              <w:ind w:left="107"/>
              <w:rPr>
                <w:sz w:val="21"/>
              </w:rPr>
            </w:pPr>
            <w:r>
              <w:rPr>
                <w:sz w:val="21"/>
              </w:rPr>
              <w:t>（户） </w:t>
            </w:r>
          </w:p>
        </w:tc>
        <w:tc>
          <w:tcPr>
            <w:tcW w:w="4412" w:type="dxa"/>
          </w:tcPr>
          <w:p>
            <w:pPr>
              <w:pStyle w:val="TableParagraph"/>
              <w:spacing w:before="1"/>
              <w:ind w:right="-15"/>
              <w:jc w:val="right"/>
              <w:rPr>
                <w:sz w:val="21"/>
              </w:rPr>
            </w:pPr>
            <w:r>
              <w:rPr>
                <w:sz w:val="21"/>
              </w:rPr>
              <w:t>0 </w:t>
            </w:r>
          </w:p>
        </w:tc>
      </w:tr>
      <w:tr>
        <w:trPr>
          <w:trHeight w:val="544" w:hRule="atLeast"/>
        </w:trPr>
        <w:tc>
          <w:tcPr>
            <w:tcW w:w="4412" w:type="dxa"/>
          </w:tcPr>
          <w:p>
            <w:pPr>
              <w:pStyle w:val="TableParagraph"/>
              <w:spacing w:before="1"/>
              <w:ind w:left="107"/>
              <w:rPr>
                <w:sz w:val="21"/>
              </w:rPr>
            </w:pPr>
            <w:r>
              <w:rPr>
                <w:sz w:val="21"/>
              </w:rPr>
              <w:t>年度报告披露日前上一月末表决权恢复的优</w:t>
            </w:r>
          </w:p>
          <w:p>
            <w:pPr>
              <w:pStyle w:val="TableParagraph"/>
              <w:spacing w:line="252" w:lineRule="exact" w:before="2"/>
              <w:ind w:left="107"/>
              <w:rPr>
                <w:sz w:val="21"/>
              </w:rPr>
            </w:pPr>
            <w:r>
              <w:rPr>
                <w:spacing w:val="-1"/>
                <w:sz w:val="21"/>
              </w:rPr>
              <w:t>先股股东总数</w:t>
            </w:r>
            <w:r>
              <w:rPr>
                <w:sz w:val="21"/>
              </w:rPr>
              <w:t>（户） </w:t>
            </w:r>
          </w:p>
        </w:tc>
        <w:tc>
          <w:tcPr>
            <w:tcW w:w="4412" w:type="dxa"/>
          </w:tcPr>
          <w:p>
            <w:pPr>
              <w:pStyle w:val="TableParagraph"/>
              <w:spacing w:before="1"/>
              <w:ind w:right="-15"/>
              <w:jc w:val="right"/>
              <w:rPr>
                <w:sz w:val="21"/>
              </w:rPr>
            </w:pPr>
            <w:r>
              <w:rPr>
                <w:sz w:val="21"/>
              </w:rPr>
              <w:t>0 </w:t>
            </w:r>
          </w:p>
        </w:tc>
      </w:tr>
    </w:tbl>
    <w:p>
      <w:pPr>
        <w:pStyle w:val="BodyText"/>
        <w:spacing w:before="1"/>
      </w:pPr>
      <w:r>
        <w:rPr>
          <w:w w:val="100"/>
        </w:rPr>
        <w:t> </w:t>
      </w:r>
    </w:p>
    <w:p>
      <w:pPr>
        <w:pStyle w:val="BodyText"/>
        <w:spacing w:before="5"/>
      </w:pPr>
      <w:r>
        <w:rPr>
          <w:w w:val="100"/>
        </w:rPr>
        <w:t> </w:t>
      </w:r>
    </w:p>
    <w:p>
      <w:pPr>
        <w:pStyle w:val="BodyText"/>
        <w:spacing w:before="62"/>
      </w:pPr>
      <w:r>
        <w:rPr>
          <w:rFonts w:ascii="Calibri" w:eastAsia="Calibri"/>
          <w:b/>
        </w:rPr>
        <w:t>(</w:t>
      </w:r>
      <w:r>
        <w:rPr/>
        <w:t>二</w:t>
      </w:r>
      <w:r>
        <w:rPr>
          <w:rFonts w:ascii="Calibri" w:eastAsia="Calibri"/>
          <w:b/>
          <w:spacing w:val="1"/>
        </w:rPr>
        <w:t>) </w:t>
      </w:r>
      <w:r>
        <w:rPr/>
        <w:t>截至报告期末前十名股东、前十名流通股东（或无限售条件股东）持股情况表</w:t>
      </w:r>
    </w:p>
    <w:p>
      <w:pPr>
        <w:pStyle w:val="BodyText"/>
        <w:spacing w:before="65"/>
        <w:ind w:left="8417"/>
      </w:pPr>
      <w:r>
        <w:rPr>
          <w:spacing w:val="-1"/>
        </w:rPr>
        <w:t>单位:股</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4"/>
        <w:gridCol w:w="1299"/>
        <w:gridCol w:w="1430"/>
        <w:gridCol w:w="905"/>
        <w:gridCol w:w="619"/>
        <w:gridCol w:w="1956"/>
        <w:gridCol w:w="919"/>
      </w:tblGrid>
      <w:tr>
        <w:trPr>
          <w:trHeight w:val="273" w:hRule="atLeast"/>
        </w:trPr>
        <w:tc>
          <w:tcPr>
            <w:tcW w:w="8822" w:type="dxa"/>
            <w:gridSpan w:val="7"/>
          </w:tcPr>
          <w:p>
            <w:pPr>
              <w:pStyle w:val="TableParagraph"/>
              <w:spacing w:line="252" w:lineRule="exact" w:before="1"/>
              <w:ind w:left="3504" w:right="3387"/>
              <w:jc w:val="center"/>
              <w:rPr>
                <w:sz w:val="21"/>
              </w:rPr>
            </w:pPr>
            <w:r>
              <w:rPr>
                <w:spacing w:val="-1"/>
                <w:sz w:val="21"/>
              </w:rPr>
              <w:t>前十名股东持股情况</w:t>
            </w:r>
            <w:r>
              <w:rPr>
                <w:sz w:val="21"/>
              </w:rPr>
              <w:t> </w:t>
            </w:r>
          </w:p>
        </w:tc>
      </w:tr>
      <w:tr>
        <w:trPr>
          <w:trHeight w:val="544" w:hRule="atLeast"/>
        </w:trPr>
        <w:tc>
          <w:tcPr>
            <w:tcW w:w="1694" w:type="dxa"/>
          </w:tcPr>
          <w:p>
            <w:pPr>
              <w:pStyle w:val="TableParagraph"/>
              <w:spacing w:before="1"/>
              <w:ind w:left="426"/>
              <w:rPr>
                <w:sz w:val="21"/>
              </w:rPr>
            </w:pPr>
            <w:r>
              <w:rPr>
                <w:spacing w:val="-1"/>
                <w:sz w:val="21"/>
              </w:rPr>
              <w:t>股东名称</w:t>
            </w:r>
            <w:r>
              <w:rPr>
                <w:sz w:val="21"/>
              </w:rPr>
              <w:t> </w:t>
            </w:r>
          </w:p>
          <w:p>
            <w:pPr>
              <w:pStyle w:val="TableParagraph"/>
              <w:spacing w:line="252" w:lineRule="exact" w:before="2"/>
              <w:ind w:left="426"/>
              <w:rPr>
                <w:sz w:val="21"/>
              </w:rPr>
            </w:pPr>
            <w:r>
              <w:rPr>
                <w:spacing w:val="-1"/>
                <w:sz w:val="21"/>
              </w:rPr>
              <w:t>（全称</w:t>
            </w:r>
            <w:r>
              <w:rPr>
                <w:sz w:val="21"/>
              </w:rPr>
              <w:t>） </w:t>
            </w:r>
          </w:p>
        </w:tc>
        <w:tc>
          <w:tcPr>
            <w:tcW w:w="1299" w:type="dxa"/>
          </w:tcPr>
          <w:p>
            <w:pPr>
              <w:pStyle w:val="TableParagraph"/>
              <w:spacing w:before="1"/>
              <w:ind w:left="122"/>
              <w:rPr>
                <w:sz w:val="21"/>
              </w:rPr>
            </w:pPr>
            <w:r>
              <w:rPr>
                <w:sz w:val="21"/>
              </w:rPr>
              <w:t>报告期内增</w:t>
            </w:r>
          </w:p>
          <w:p>
            <w:pPr>
              <w:pStyle w:val="TableParagraph"/>
              <w:spacing w:line="252" w:lineRule="exact" w:before="2"/>
              <w:ind w:left="543"/>
              <w:rPr>
                <w:sz w:val="21"/>
              </w:rPr>
            </w:pPr>
            <w:r>
              <w:rPr>
                <w:sz w:val="21"/>
              </w:rPr>
              <w:t>减 </w:t>
            </w:r>
          </w:p>
        </w:tc>
        <w:tc>
          <w:tcPr>
            <w:tcW w:w="1430" w:type="dxa"/>
          </w:tcPr>
          <w:p>
            <w:pPr>
              <w:pStyle w:val="TableParagraph"/>
              <w:spacing w:before="1"/>
              <w:ind w:left="171" w:right="158"/>
              <w:jc w:val="center"/>
              <w:rPr>
                <w:sz w:val="21"/>
              </w:rPr>
            </w:pPr>
            <w:r>
              <w:rPr>
                <w:sz w:val="21"/>
              </w:rPr>
              <w:t>期末持股数</w:t>
            </w:r>
          </w:p>
          <w:p>
            <w:pPr>
              <w:pStyle w:val="TableParagraph"/>
              <w:spacing w:line="252" w:lineRule="exact" w:before="2"/>
              <w:ind w:left="171" w:right="55"/>
              <w:jc w:val="center"/>
              <w:rPr>
                <w:sz w:val="21"/>
              </w:rPr>
            </w:pPr>
            <w:r>
              <w:rPr>
                <w:sz w:val="21"/>
              </w:rPr>
              <w:t>量 </w:t>
            </w:r>
          </w:p>
        </w:tc>
        <w:tc>
          <w:tcPr>
            <w:tcW w:w="905" w:type="dxa"/>
          </w:tcPr>
          <w:p>
            <w:pPr>
              <w:pStyle w:val="TableParagraph"/>
              <w:spacing w:before="1"/>
              <w:ind w:left="243"/>
              <w:rPr>
                <w:sz w:val="21"/>
              </w:rPr>
            </w:pPr>
            <w:r>
              <w:rPr>
                <w:sz w:val="21"/>
              </w:rPr>
              <w:t>比例</w:t>
            </w:r>
          </w:p>
          <w:p>
            <w:pPr>
              <w:pStyle w:val="TableParagraph"/>
              <w:spacing w:line="252" w:lineRule="exact" w:before="2"/>
              <w:ind w:left="296"/>
              <w:rPr>
                <w:sz w:val="21"/>
              </w:rPr>
            </w:pPr>
            <w:r>
              <w:rPr>
                <w:sz w:val="21"/>
              </w:rPr>
              <w:t>(%) </w:t>
            </w:r>
          </w:p>
        </w:tc>
        <w:tc>
          <w:tcPr>
            <w:tcW w:w="619" w:type="dxa"/>
          </w:tcPr>
          <w:p>
            <w:pPr>
              <w:pStyle w:val="TableParagraph"/>
              <w:spacing w:before="1"/>
              <w:ind w:left="204"/>
              <w:rPr>
                <w:sz w:val="21"/>
              </w:rPr>
            </w:pPr>
            <w:r>
              <w:rPr>
                <w:w w:val="100"/>
                <w:sz w:val="21"/>
              </w:rPr>
              <w:t>持</w:t>
            </w:r>
          </w:p>
          <w:p>
            <w:pPr>
              <w:pStyle w:val="TableParagraph"/>
              <w:spacing w:line="252" w:lineRule="exact" w:before="2"/>
              <w:ind w:left="204"/>
              <w:rPr>
                <w:sz w:val="21"/>
              </w:rPr>
            </w:pPr>
            <w:r>
              <w:rPr>
                <w:w w:val="100"/>
                <w:sz w:val="21"/>
              </w:rPr>
              <w:t>有</w:t>
            </w:r>
          </w:p>
        </w:tc>
        <w:tc>
          <w:tcPr>
            <w:tcW w:w="1956" w:type="dxa"/>
          </w:tcPr>
          <w:p>
            <w:pPr>
              <w:pStyle w:val="TableParagraph"/>
              <w:spacing w:before="1"/>
              <w:ind w:left="119" w:right="107"/>
              <w:jc w:val="center"/>
              <w:rPr>
                <w:sz w:val="21"/>
              </w:rPr>
            </w:pPr>
            <w:r>
              <w:rPr>
                <w:sz w:val="21"/>
              </w:rPr>
              <w:t>质押、标记或冻结</w:t>
            </w:r>
          </w:p>
          <w:p>
            <w:pPr>
              <w:pStyle w:val="TableParagraph"/>
              <w:spacing w:line="252" w:lineRule="exact" w:before="2"/>
              <w:ind w:left="119" w:right="6"/>
              <w:jc w:val="center"/>
              <w:rPr>
                <w:sz w:val="21"/>
              </w:rPr>
            </w:pPr>
            <w:r>
              <w:rPr>
                <w:sz w:val="21"/>
              </w:rPr>
              <w:t>情况 </w:t>
            </w:r>
          </w:p>
        </w:tc>
        <w:tc>
          <w:tcPr>
            <w:tcW w:w="919" w:type="dxa"/>
          </w:tcPr>
          <w:p>
            <w:pPr>
              <w:pStyle w:val="TableParagraph"/>
              <w:spacing w:before="1"/>
              <w:ind w:left="143"/>
              <w:rPr>
                <w:sz w:val="21"/>
              </w:rPr>
            </w:pPr>
            <w:r>
              <w:rPr>
                <w:sz w:val="21"/>
              </w:rPr>
              <w:t>股东性</w:t>
            </w:r>
          </w:p>
          <w:p>
            <w:pPr>
              <w:pStyle w:val="TableParagraph"/>
              <w:spacing w:line="252" w:lineRule="exact" w:before="2"/>
              <w:ind w:left="354"/>
              <w:rPr>
                <w:sz w:val="21"/>
              </w:rPr>
            </w:pPr>
            <w:r>
              <w:rPr>
                <w:sz w:val="21"/>
              </w:rPr>
              <w:t>质 </w:t>
            </w:r>
          </w:p>
        </w:tc>
      </w:tr>
    </w:tbl>
    <w:p>
      <w:pPr>
        <w:spacing w:after="0" w:line="252" w:lineRule="exact"/>
        <w:rPr>
          <w:sz w:val="21"/>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4"/>
        <w:gridCol w:w="1299"/>
        <w:gridCol w:w="1430"/>
        <w:gridCol w:w="905"/>
        <w:gridCol w:w="619"/>
        <w:gridCol w:w="792"/>
        <w:gridCol w:w="584"/>
        <w:gridCol w:w="581"/>
        <w:gridCol w:w="919"/>
      </w:tblGrid>
      <w:tr>
        <w:trPr>
          <w:trHeight w:val="2452" w:hRule="atLeast"/>
        </w:trPr>
        <w:tc>
          <w:tcPr>
            <w:tcW w:w="1694" w:type="dxa"/>
          </w:tcPr>
          <w:p>
            <w:pPr>
              <w:pStyle w:val="TableParagraph"/>
              <w:rPr>
                <w:rFonts w:ascii="Times New Roman"/>
                <w:sz w:val="20"/>
              </w:rPr>
            </w:pPr>
          </w:p>
        </w:tc>
        <w:tc>
          <w:tcPr>
            <w:tcW w:w="1299" w:type="dxa"/>
          </w:tcPr>
          <w:p>
            <w:pPr>
              <w:pStyle w:val="TableParagraph"/>
              <w:rPr>
                <w:rFonts w:ascii="Times New Roman"/>
                <w:sz w:val="20"/>
              </w:rPr>
            </w:pPr>
          </w:p>
        </w:tc>
        <w:tc>
          <w:tcPr>
            <w:tcW w:w="1430" w:type="dxa"/>
          </w:tcPr>
          <w:p>
            <w:pPr>
              <w:pStyle w:val="TableParagraph"/>
              <w:rPr>
                <w:rFonts w:ascii="Times New Roman"/>
                <w:sz w:val="20"/>
              </w:rPr>
            </w:pPr>
          </w:p>
        </w:tc>
        <w:tc>
          <w:tcPr>
            <w:tcW w:w="905" w:type="dxa"/>
          </w:tcPr>
          <w:p>
            <w:pPr>
              <w:pStyle w:val="TableParagraph"/>
              <w:rPr>
                <w:rFonts w:ascii="Times New Roman"/>
                <w:sz w:val="20"/>
              </w:rPr>
            </w:pPr>
          </w:p>
        </w:tc>
        <w:tc>
          <w:tcPr>
            <w:tcW w:w="619" w:type="dxa"/>
          </w:tcPr>
          <w:p>
            <w:pPr>
              <w:pStyle w:val="TableParagraph"/>
              <w:spacing w:line="242" w:lineRule="auto" w:before="3"/>
              <w:ind w:left="204" w:right="191"/>
              <w:jc w:val="both"/>
              <w:rPr>
                <w:sz w:val="21"/>
              </w:rPr>
            </w:pPr>
            <w:r>
              <w:rPr>
                <w:sz w:val="21"/>
              </w:rPr>
              <w:t>有限售条件股份</w:t>
            </w:r>
          </w:p>
          <w:p>
            <w:pPr>
              <w:pStyle w:val="TableParagraph"/>
              <w:spacing w:line="270" w:lineRule="atLeast"/>
              <w:ind w:left="204" w:right="85"/>
              <w:rPr>
                <w:sz w:val="21"/>
              </w:rPr>
            </w:pPr>
            <w:r>
              <w:rPr>
                <w:sz w:val="21"/>
              </w:rPr>
              <w:t>数量</w:t>
            </w:r>
            <w:r>
              <w:rPr>
                <w:color w:val="00AF50"/>
                <w:sz w:val="21"/>
              </w:rPr>
              <w:t> </w:t>
            </w:r>
          </w:p>
        </w:tc>
        <w:tc>
          <w:tcPr>
            <w:tcW w:w="792" w:type="dxa"/>
          </w:tcPr>
          <w:p>
            <w:pPr>
              <w:pStyle w:val="TableParagraph"/>
              <w:rPr>
                <w:sz w:val="20"/>
              </w:rPr>
            </w:pPr>
          </w:p>
          <w:p>
            <w:pPr>
              <w:pStyle w:val="TableParagraph"/>
              <w:rPr>
                <w:sz w:val="20"/>
              </w:rPr>
            </w:pPr>
          </w:p>
          <w:p>
            <w:pPr>
              <w:pStyle w:val="TableParagraph"/>
              <w:rPr>
                <w:sz w:val="20"/>
              </w:rPr>
            </w:pPr>
          </w:p>
          <w:p>
            <w:pPr>
              <w:pStyle w:val="TableParagraph"/>
              <w:spacing w:before="8"/>
              <w:rPr>
                <w:sz w:val="14"/>
              </w:rPr>
            </w:pPr>
          </w:p>
          <w:p>
            <w:pPr>
              <w:pStyle w:val="TableParagraph"/>
              <w:spacing w:line="242" w:lineRule="auto"/>
              <w:ind w:left="185" w:right="68"/>
              <w:rPr>
                <w:sz w:val="21"/>
              </w:rPr>
            </w:pPr>
            <w:r>
              <w:rPr>
                <w:sz w:val="21"/>
              </w:rPr>
              <w:t>股份状态 </w:t>
            </w:r>
          </w:p>
        </w:tc>
        <w:tc>
          <w:tcPr>
            <w:tcW w:w="1165" w:type="dxa"/>
            <w:gridSpan w:val="2"/>
          </w:tcPr>
          <w:p>
            <w:pPr>
              <w:pStyle w:val="TableParagraph"/>
              <w:rPr>
                <w:sz w:val="20"/>
              </w:rPr>
            </w:pPr>
          </w:p>
          <w:p>
            <w:pPr>
              <w:pStyle w:val="TableParagraph"/>
              <w:rPr>
                <w:sz w:val="20"/>
              </w:rPr>
            </w:pPr>
          </w:p>
          <w:p>
            <w:pPr>
              <w:pStyle w:val="TableParagraph"/>
              <w:rPr>
                <w:sz w:val="20"/>
              </w:rPr>
            </w:pPr>
          </w:p>
          <w:p>
            <w:pPr>
              <w:pStyle w:val="TableParagraph"/>
              <w:spacing w:before="1"/>
              <w:rPr>
                <w:sz w:val="25"/>
              </w:rPr>
            </w:pPr>
          </w:p>
          <w:p>
            <w:pPr>
              <w:pStyle w:val="TableParagraph"/>
              <w:spacing w:before="1"/>
              <w:ind w:left="371"/>
              <w:rPr>
                <w:sz w:val="21"/>
              </w:rPr>
            </w:pPr>
            <w:r>
              <w:rPr>
                <w:sz w:val="21"/>
              </w:rPr>
              <w:t>数量 </w:t>
            </w:r>
          </w:p>
        </w:tc>
        <w:tc>
          <w:tcPr>
            <w:tcW w:w="919" w:type="dxa"/>
          </w:tcPr>
          <w:p>
            <w:pPr>
              <w:pStyle w:val="TableParagraph"/>
              <w:rPr>
                <w:rFonts w:ascii="Times New Roman"/>
                <w:sz w:val="20"/>
              </w:rPr>
            </w:pPr>
          </w:p>
        </w:tc>
      </w:tr>
      <w:tr>
        <w:trPr>
          <w:trHeight w:val="724" w:hRule="atLeast"/>
        </w:trPr>
        <w:tc>
          <w:tcPr>
            <w:tcW w:w="1694" w:type="dxa"/>
          </w:tcPr>
          <w:p>
            <w:pPr>
              <w:pStyle w:val="TableParagraph"/>
              <w:spacing w:line="235" w:lineRule="exact"/>
              <w:ind w:left="107"/>
              <w:rPr>
                <w:rFonts w:ascii="Times New Roman"/>
                <w:sz w:val="21"/>
              </w:rPr>
            </w:pPr>
            <w:r>
              <w:rPr>
                <w:rFonts w:ascii="Times New Roman"/>
                <w:sz w:val="21"/>
              </w:rPr>
              <w:t>China</w:t>
            </w:r>
            <w:r>
              <w:rPr>
                <w:rFonts w:ascii="Times New Roman"/>
                <w:spacing w:val="-3"/>
                <w:sz w:val="21"/>
              </w:rPr>
              <w:t> </w:t>
            </w:r>
            <w:r>
              <w:rPr>
                <w:rFonts w:ascii="Times New Roman"/>
                <w:sz w:val="21"/>
              </w:rPr>
              <w:t>Galaxy</w:t>
            </w:r>
          </w:p>
          <w:p>
            <w:pPr>
              <w:pStyle w:val="TableParagraph"/>
              <w:spacing w:line="240" w:lineRule="exact"/>
              <w:ind w:left="107" w:right="694"/>
              <w:rPr>
                <w:rFonts w:ascii="Times New Roman"/>
                <w:sz w:val="21"/>
              </w:rPr>
            </w:pPr>
            <w:r>
              <w:rPr>
                <w:rFonts w:ascii="Times New Roman"/>
                <w:sz w:val="21"/>
              </w:rPr>
              <w:t>Enterprise</w:t>
            </w:r>
            <w:r>
              <w:rPr>
                <w:rFonts w:ascii="Times New Roman"/>
                <w:spacing w:val="-50"/>
                <w:sz w:val="21"/>
              </w:rPr>
              <w:t> </w:t>
            </w:r>
            <w:r>
              <w:rPr>
                <w:rFonts w:ascii="Times New Roman"/>
                <w:sz w:val="21"/>
              </w:rPr>
              <w:t>Limited</w:t>
            </w:r>
          </w:p>
        </w:tc>
        <w:tc>
          <w:tcPr>
            <w:tcW w:w="1299" w:type="dxa"/>
          </w:tcPr>
          <w:p>
            <w:pPr>
              <w:pStyle w:val="TableParagraph"/>
              <w:spacing w:before="5"/>
              <w:rPr>
                <w:sz w:val="18"/>
              </w:rPr>
            </w:pPr>
          </w:p>
          <w:p>
            <w:pPr>
              <w:pStyle w:val="TableParagraph"/>
              <w:ind w:right="95"/>
              <w:jc w:val="right"/>
              <w:rPr>
                <w:rFonts w:ascii="Times New Roman"/>
                <w:sz w:val="21"/>
              </w:rPr>
            </w:pPr>
            <w:r>
              <w:rPr>
                <w:rFonts w:ascii="Times New Roman"/>
                <w:w w:val="100"/>
                <w:sz w:val="21"/>
              </w:rPr>
              <w:t>0</w:t>
            </w:r>
          </w:p>
        </w:tc>
        <w:tc>
          <w:tcPr>
            <w:tcW w:w="1430" w:type="dxa"/>
          </w:tcPr>
          <w:p>
            <w:pPr>
              <w:pStyle w:val="TableParagraph"/>
              <w:spacing w:before="5"/>
              <w:rPr>
                <w:sz w:val="18"/>
              </w:rPr>
            </w:pPr>
          </w:p>
          <w:p>
            <w:pPr>
              <w:pStyle w:val="TableParagraph"/>
              <w:ind w:right="90"/>
              <w:jc w:val="right"/>
              <w:rPr>
                <w:rFonts w:ascii="Times New Roman"/>
                <w:sz w:val="21"/>
              </w:rPr>
            </w:pPr>
            <w:r>
              <w:rPr>
                <w:rFonts w:ascii="Times New Roman"/>
                <w:sz w:val="21"/>
              </w:rPr>
              <w:t>7,293,115,611</w:t>
            </w:r>
          </w:p>
        </w:tc>
        <w:tc>
          <w:tcPr>
            <w:tcW w:w="905" w:type="dxa"/>
          </w:tcPr>
          <w:p>
            <w:pPr>
              <w:pStyle w:val="TableParagraph"/>
              <w:spacing w:before="5"/>
              <w:rPr>
                <w:sz w:val="18"/>
              </w:rPr>
            </w:pPr>
          </w:p>
          <w:p>
            <w:pPr>
              <w:pStyle w:val="TableParagraph"/>
              <w:ind w:left="96" w:right="75"/>
              <w:jc w:val="center"/>
              <w:rPr>
                <w:rFonts w:ascii="Times New Roman"/>
                <w:sz w:val="21"/>
              </w:rPr>
            </w:pPr>
            <w:r>
              <w:rPr>
                <w:rFonts w:ascii="Times New Roman"/>
                <w:sz w:val="21"/>
              </w:rPr>
              <w:t>36.7234</w:t>
            </w:r>
          </w:p>
        </w:tc>
        <w:tc>
          <w:tcPr>
            <w:tcW w:w="619" w:type="dxa"/>
          </w:tcPr>
          <w:p>
            <w:pPr>
              <w:pStyle w:val="TableParagraph"/>
              <w:spacing w:before="5"/>
              <w:rPr>
                <w:sz w:val="18"/>
              </w:rPr>
            </w:pPr>
          </w:p>
          <w:p>
            <w:pPr>
              <w:pStyle w:val="TableParagraph"/>
              <w:ind w:right="95"/>
              <w:jc w:val="right"/>
              <w:rPr>
                <w:rFonts w:ascii="Times New Roman"/>
                <w:sz w:val="21"/>
              </w:rPr>
            </w:pPr>
            <w:r>
              <w:rPr>
                <w:rFonts w:ascii="Times New Roman"/>
                <w:w w:val="100"/>
                <w:sz w:val="21"/>
              </w:rPr>
              <w:t>0</w:t>
            </w:r>
          </w:p>
        </w:tc>
        <w:tc>
          <w:tcPr>
            <w:tcW w:w="792" w:type="dxa"/>
          </w:tcPr>
          <w:p>
            <w:pPr>
              <w:pStyle w:val="TableParagraph"/>
              <w:spacing w:before="8"/>
              <w:rPr>
                <w:sz w:val="17"/>
              </w:rPr>
            </w:pPr>
          </w:p>
          <w:p>
            <w:pPr>
              <w:pStyle w:val="TableParagraph"/>
              <w:ind w:left="11"/>
              <w:jc w:val="center"/>
              <w:rPr>
                <w:sz w:val="21"/>
              </w:rPr>
            </w:pPr>
            <w:r>
              <w:rPr>
                <w:w w:val="100"/>
                <w:sz w:val="21"/>
              </w:rPr>
              <w:t>无</w:t>
            </w:r>
          </w:p>
        </w:tc>
        <w:tc>
          <w:tcPr>
            <w:tcW w:w="1165" w:type="dxa"/>
            <w:gridSpan w:val="2"/>
          </w:tcPr>
          <w:p>
            <w:pPr>
              <w:pStyle w:val="TableParagraph"/>
              <w:spacing w:before="5"/>
              <w:rPr>
                <w:sz w:val="18"/>
              </w:rPr>
            </w:pPr>
          </w:p>
          <w:p>
            <w:pPr>
              <w:pStyle w:val="TableParagraph"/>
              <w:ind w:right="97"/>
              <w:jc w:val="right"/>
              <w:rPr>
                <w:rFonts w:ascii="Times New Roman"/>
                <w:sz w:val="21"/>
              </w:rPr>
            </w:pPr>
            <w:r>
              <w:rPr>
                <w:rFonts w:ascii="Times New Roman"/>
                <w:w w:val="100"/>
                <w:sz w:val="21"/>
              </w:rPr>
              <w:t>0</w:t>
            </w:r>
          </w:p>
        </w:tc>
        <w:tc>
          <w:tcPr>
            <w:tcW w:w="919" w:type="dxa"/>
          </w:tcPr>
          <w:p>
            <w:pPr>
              <w:pStyle w:val="TableParagraph"/>
              <w:spacing w:line="244" w:lineRule="auto" w:before="90"/>
              <w:ind w:left="106" w:right="167"/>
              <w:rPr>
                <w:sz w:val="21"/>
              </w:rPr>
            </w:pPr>
            <w:r>
              <w:rPr>
                <w:spacing w:val="-1"/>
                <w:sz w:val="21"/>
              </w:rPr>
              <w:t>境外法</w:t>
            </w:r>
            <w:r>
              <w:rPr>
                <w:sz w:val="21"/>
              </w:rPr>
              <w:t>人</w:t>
            </w:r>
          </w:p>
        </w:tc>
      </w:tr>
      <w:tr>
        <w:trPr>
          <w:trHeight w:val="816" w:hRule="atLeast"/>
        </w:trPr>
        <w:tc>
          <w:tcPr>
            <w:tcW w:w="1694" w:type="dxa"/>
          </w:tcPr>
          <w:p>
            <w:pPr>
              <w:pStyle w:val="TableParagraph"/>
              <w:spacing w:line="242" w:lineRule="auto" w:before="138"/>
              <w:ind w:left="107" w:right="100"/>
              <w:rPr>
                <w:sz w:val="21"/>
              </w:rPr>
            </w:pPr>
            <w:r>
              <w:rPr>
                <w:sz w:val="21"/>
              </w:rPr>
              <w:t>富泰华工业（深圳）有限公司</w:t>
            </w:r>
          </w:p>
        </w:tc>
        <w:tc>
          <w:tcPr>
            <w:tcW w:w="1299" w:type="dxa"/>
          </w:tcPr>
          <w:p>
            <w:pPr>
              <w:pStyle w:val="TableParagraph"/>
              <w:spacing w:before="12"/>
              <w:rPr>
                <w:sz w:val="21"/>
              </w:rPr>
            </w:pPr>
          </w:p>
          <w:p>
            <w:pPr>
              <w:pStyle w:val="TableParagraph"/>
              <w:ind w:right="95"/>
              <w:jc w:val="right"/>
              <w:rPr>
                <w:rFonts w:ascii="Times New Roman"/>
                <w:sz w:val="21"/>
              </w:rPr>
            </w:pPr>
            <w:r>
              <w:rPr>
                <w:rFonts w:ascii="Times New Roman"/>
                <w:w w:val="100"/>
                <w:sz w:val="21"/>
              </w:rPr>
              <w:t>0</w:t>
            </w:r>
          </w:p>
        </w:tc>
        <w:tc>
          <w:tcPr>
            <w:tcW w:w="1430" w:type="dxa"/>
          </w:tcPr>
          <w:p>
            <w:pPr>
              <w:pStyle w:val="TableParagraph"/>
              <w:spacing w:before="12"/>
              <w:rPr>
                <w:sz w:val="21"/>
              </w:rPr>
            </w:pPr>
          </w:p>
          <w:p>
            <w:pPr>
              <w:pStyle w:val="TableParagraph"/>
              <w:ind w:right="90"/>
              <w:jc w:val="right"/>
              <w:rPr>
                <w:rFonts w:ascii="Times New Roman"/>
                <w:sz w:val="21"/>
              </w:rPr>
            </w:pPr>
            <w:r>
              <w:rPr>
                <w:rFonts w:ascii="Times New Roman"/>
                <w:sz w:val="21"/>
              </w:rPr>
              <w:t>4,364,680,127</w:t>
            </w:r>
          </w:p>
        </w:tc>
        <w:tc>
          <w:tcPr>
            <w:tcW w:w="905" w:type="dxa"/>
          </w:tcPr>
          <w:p>
            <w:pPr>
              <w:pStyle w:val="TableParagraph"/>
              <w:spacing w:before="12"/>
              <w:rPr>
                <w:sz w:val="21"/>
              </w:rPr>
            </w:pPr>
          </w:p>
          <w:p>
            <w:pPr>
              <w:pStyle w:val="TableParagraph"/>
              <w:ind w:left="96" w:right="75"/>
              <w:jc w:val="center"/>
              <w:rPr>
                <w:rFonts w:ascii="Times New Roman"/>
                <w:sz w:val="21"/>
              </w:rPr>
            </w:pPr>
            <w:r>
              <w:rPr>
                <w:rFonts w:ascii="Times New Roman"/>
                <w:sz w:val="21"/>
              </w:rPr>
              <w:t>21.9777</w:t>
            </w:r>
          </w:p>
        </w:tc>
        <w:tc>
          <w:tcPr>
            <w:tcW w:w="619" w:type="dxa"/>
          </w:tcPr>
          <w:p>
            <w:pPr>
              <w:pStyle w:val="TableParagraph"/>
              <w:spacing w:before="12"/>
              <w:rPr>
                <w:sz w:val="21"/>
              </w:rPr>
            </w:pPr>
          </w:p>
          <w:p>
            <w:pPr>
              <w:pStyle w:val="TableParagraph"/>
              <w:ind w:right="95"/>
              <w:jc w:val="right"/>
              <w:rPr>
                <w:rFonts w:ascii="Times New Roman"/>
                <w:sz w:val="21"/>
              </w:rPr>
            </w:pPr>
            <w:r>
              <w:rPr>
                <w:rFonts w:ascii="Times New Roman"/>
                <w:w w:val="100"/>
                <w:sz w:val="21"/>
              </w:rPr>
              <w:t>0</w:t>
            </w:r>
          </w:p>
        </w:tc>
        <w:tc>
          <w:tcPr>
            <w:tcW w:w="792" w:type="dxa"/>
          </w:tcPr>
          <w:p>
            <w:pPr>
              <w:pStyle w:val="TableParagraph"/>
              <w:spacing w:before="5"/>
              <w:rPr>
                <w:sz w:val="21"/>
              </w:rPr>
            </w:pPr>
          </w:p>
          <w:p>
            <w:pPr>
              <w:pStyle w:val="TableParagraph"/>
              <w:ind w:left="11"/>
              <w:jc w:val="center"/>
              <w:rPr>
                <w:sz w:val="21"/>
              </w:rPr>
            </w:pPr>
            <w:r>
              <w:rPr>
                <w:w w:val="100"/>
                <w:sz w:val="21"/>
              </w:rPr>
              <w:t>无</w:t>
            </w:r>
          </w:p>
        </w:tc>
        <w:tc>
          <w:tcPr>
            <w:tcW w:w="1165" w:type="dxa"/>
            <w:gridSpan w:val="2"/>
          </w:tcPr>
          <w:p>
            <w:pPr>
              <w:pStyle w:val="TableParagraph"/>
              <w:spacing w:before="12"/>
              <w:rPr>
                <w:sz w:val="21"/>
              </w:rPr>
            </w:pPr>
          </w:p>
          <w:p>
            <w:pPr>
              <w:pStyle w:val="TableParagraph"/>
              <w:ind w:right="97"/>
              <w:jc w:val="right"/>
              <w:rPr>
                <w:rFonts w:ascii="Times New Roman"/>
                <w:sz w:val="21"/>
              </w:rPr>
            </w:pPr>
            <w:r>
              <w:rPr>
                <w:rFonts w:ascii="Times New Roman"/>
                <w:w w:val="100"/>
                <w:sz w:val="21"/>
              </w:rPr>
              <w:t>0</w:t>
            </w:r>
          </w:p>
        </w:tc>
        <w:tc>
          <w:tcPr>
            <w:tcW w:w="919" w:type="dxa"/>
          </w:tcPr>
          <w:p>
            <w:pPr>
              <w:pStyle w:val="TableParagraph"/>
              <w:spacing w:before="1"/>
              <w:ind w:left="106"/>
              <w:rPr>
                <w:sz w:val="21"/>
              </w:rPr>
            </w:pPr>
            <w:r>
              <w:rPr>
                <w:sz w:val="21"/>
              </w:rPr>
              <w:t>境内非</w:t>
            </w:r>
          </w:p>
          <w:p>
            <w:pPr>
              <w:pStyle w:val="TableParagraph"/>
              <w:spacing w:line="270" w:lineRule="atLeast"/>
              <w:ind w:left="106" w:right="167"/>
              <w:rPr>
                <w:sz w:val="21"/>
              </w:rPr>
            </w:pPr>
            <w:r>
              <w:rPr>
                <w:spacing w:val="-1"/>
                <w:sz w:val="21"/>
              </w:rPr>
              <w:t>国有法</w:t>
            </w:r>
            <w:r>
              <w:rPr>
                <w:sz w:val="21"/>
              </w:rPr>
              <w:t>人</w:t>
            </w:r>
          </w:p>
        </w:tc>
      </w:tr>
      <w:tr>
        <w:trPr>
          <w:trHeight w:val="726" w:hRule="atLeast"/>
        </w:trPr>
        <w:tc>
          <w:tcPr>
            <w:tcW w:w="1694" w:type="dxa"/>
          </w:tcPr>
          <w:p>
            <w:pPr>
              <w:pStyle w:val="TableParagraph"/>
              <w:spacing w:line="237" w:lineRule="auto"/>
              <w:ind w:left="107" w:right="390"/>
              <w:rPr>
                <w:rFonts w:ascii="Times New Roman"/>
                <w:sz w:val="21"/>
              </w:rPr>
            </w:pPr>
            <w:r>
              <w:rPr>
                <w:rFonts w:ascii="Times New Roman"/>
                <w:sz w:val="21"/>
              </w:rPr>
              <w:t>Ambit</w:t>
            </w:r>
            <w:r>
              <w:rPr>
                <w:rFonts w:ascii="Times New Roman"/>
                <w:spacing w:val="1"/>
                <w:sz w:val="21"/>
              </w:rPr>
              <w:t> </w:t>
            </w:r>
            <w:r>
              <w:rPr>
                <w:rFonts w:ascii="Times New Roman"/>
                <w:spacing w:val="-1"/>
                <w:sz w:val="21"/>
              </w:rPr>
              <w:t>Microsystems</w:t>
            </w:r>
          </w:p>
          <w:p>
            <w:pPr>
              <w:pStyle w:val="TableParagraph"/>
              <w:spacing w:line="229" w:lineRule="exact"/>
              <w:ind w:left="107"/>
              <w:rPr>
                <w:rFonts w:ascii="Times New Roman"/>
                <w:sz w:val="21"/>
              </w:rPr>
            </w:pPr>
            <w:r>
              <w:rPr>
                <w:rFonts w:ascii="Times New Roman"/>
                <w:sz w:val="21"/>
              </w:rPr>
              <w:t>(Cayman)</w:t>
            </w:r>
            <w:r>
              <w:rPr>
                <w:rFonts w:ascii="Times New Roman"/>
                <w:spacing w:val="-2"/>
                <w:sz w:val="21"/>
              </w:rPr>
              <w:t> </w:t>
            </w:r>
            <w:r>
              <w:rPr>
                <w:rFonts w:ascii="Times New Roman"/>
                <w:sz w:val="21"/>
              </w:rPr>
              <w:t>Ltd.</w:t>
            </w:r>
          </w:p>
        </w:tc>
        <w:tc>
          <w:tcPr>
            <w:tcW w:w="1299" w:type="dxa"/>
          </w:tcPr>
          <w:p>
            <w:pPr>
              <w:pStyle w:val="TableParagraph"/>
              <w:spacing w:before="5"/>
              <w:rPr>
                <w:sz w:val="18"/>
              </w:rPr>
            </w:pPr>
          </w:p>
          <w:p>
            <w:pPr>
              <w:pStyle w:val="TableParagraph"/>
              <w:ind w:right="95"/>
              <w:jc w:val="right"/>
              <w:rPr>
                <w:rFonts w:ascii="Times New Roman"/>
                <w:sz w:val="21"/>
              </w:rPr>
            </w:pPr>
            <w:r>
              <w:rPr>
                <w:rFonts w:ascii="Times New Roman"/>
                <w:w w:val="100"/>
                <w:sz w:val="21"/>
              </w:rPr>
              <w:t>0</w:t>
            </w:r>
          </w:p>
        </w:tc>
        <w:tc>
          <w:tcPr>
            <w:tcW w:w="1430" w:type="dxa"/>
          </w:tcPr>
          <w:p>
            <w:pPr>
              <w:pStyle w:val="TableParagraph"/>
              <w:spacing w:before="5"/>
              <w:rPr>
                <w:sz w:val="18"/>
              </w:rPr>
            </w:pPr>
          </w:p>
          <w:p>
            <w:pPr>
              <w:pStyle w:val="TableParagraph"/>
              <w:ind w:right="90"/>
              <w:jc w:val="right"/>
              <w:rPr>
                <w:rFonts w:ascii="Times New Roman"/>
                <w:sz w:val="21"/>
              </w:rPr>
            </w:pPr>
            <w:r>
              <w:rPr>
                <w:rFonts w:ascii="Times New Roman"/>
                <w:sz w:val="21"/>
              </w:rPr>
              <w:t>1,902,255,034</w:t>
            </w:r>
          </w:p>
        </w:tc>
        <w:tc>
          <w:tcPr>
            <w:tcW w:w="905" w:type="dxa"/>
          </w:tcPr>
          <w:p>
            <w:pPr>
              <w:pStyle w:val="TableParagraph"/>
              <w:spacing w:before="5"/>
              <w:rPr>
                <w:sz w:val="18"/>
              </w:rPr>
            </w:pPr>
          </w:p>
          <w:p>
            <w:pPr>
              <w:pStyle w:val="TableParagraph"/>
              <w:ind w:left="199" w:right="75"/>
              <w:jc w:val="center"/>
              <w:rPr>
                <w:rFonts w:ascii="Times New Roman"/>
                <w:sz w:val="21"/>
              </w:rPr>
            </w:pPr>
            <w:r>
              <w:rPr>
                <w:rFonts w:ascii="Times New Roman"/>
                <w:sz w:val="21"/>
              </w:rPr>
              <w:t>9.5785</w:t>
            </w:r>
          </w:p>
        </w:tc>
        <w:tc>
          <w:tcPr>
            <w:tcW w:w="619" w:type="dxa"/>
          </w:tcPr>
          <w:p>
            <w:pPr>
              <w:pStyle w:val="TableParagraph"/>
              <w:spacing w:before="5"/>
              <w:rPr>
                <w:sz w:val="18"/>
              </w:rPr>
            </w:pPr>
          </w:p>
          <w:p>
            <w:pPr>
              <w:pStyle w:val="TableParagraph"/>
              <w:ind w:right="95"/>
              <w:jc w:val="right"/>
              <w:rPr>
                <w:rFonts w:ascii="Times New Roman"/>
                <w:sz w:val="21"/>
              </w:rPr>
            </w:pPr>
            <w:r>
              <w:rPr>
                <w:rFonts w:ascii="Times New Roman"/>
                <w:w w:val="100"/>
                <w:sz w:val="21"/>
              </w:rPr>
              <w:t>0</w:t>
            </w:r>
          </w:p>
        </w:tc>
        <w:tc>
          <w:tcPr>
            <w:tcW w:w="792" w:type="dxa"/>
          </w:tcPr>
          <w:p>
            <w:pPr>
              <w:pStyle w:val="TableParagraph"/>
              <w:spacing w:before="11"/>
              <w:rPr>
                <w:sz w:val="17"/>
              </w:rPr>
            </w:pPr>
          </w:p>
          <w:p>
            <w:pPr>
              <w:pStyle w:val="TableParagraph"/>
              <w:ind w:left="11"/>
              <w:jc w:val="center"/>
              <w:rPr>
                <w:sz w:val="21"/>
              </w:rPr>
            </w:pPr>
            <w:r>
              <w:rPr>
                <w:w w:val="100"/>
                <w:sz w:val="21"/>
              </w:rPr>
              <w:t>无</w:t>
            </w:r>
          </w:p>
        </w:tc>
        <w:tc>
          <w:tcPr>
            <w:tcW w:w="1165" w:type="dxa"/>
            <w:gridSpan w:val="2"/>
          </w:tcPr>
          <w:p>
            <w:pPr>
              <w:pStyle w:val="TableParagraph"/>
              <w:spacing w:before="5"/>
              <w:rPr>
                <w:sz w:val="18"/>
              </w:rPr>
            </w:pPr>
          </w:p>
          <w:p>
            <w:pPr>
              <w:pStyle w:val="TableParagraph"/>
              <w:ind w:right="97"/>
              <w:jc w:val="right"/>
              <w:rPr>
                <w:rFonts w:ascii="Times New Roman"/>
                <w:sz w:val="21"/>
              </w:rPr>
            </w:pPr>
            <w:r>
              <w:rPr>
                <w:rFonts w:ascii="Times New Roman"/>
                <w:w w:val="100"/>
                <w:sz w:val="21"/>
              </w:rPr>
              <w:t>0</w:t>
            </w:r>
          </w:p>
        </w:tc>
        <w:tc>
          <w:tcPr>
            <w:tcW w:w="919" w:type="dxa"/>
          </w:tcPr>
          <w:p>
            <w:pPr>
              <w:pStyle w:val="TableParagraph"/>
              <w:spacing w:line="244" w:lineRule="auto" w:before="92"/>
              <w:ind w:left="106" w:right="167"/>
              <w:rPr>
                <w:sz w:val="21"/>
              </w:rPr>
            </w:pPr>
            <w:r>
              <w:rPr>
                <w:spacing w:val="-1"/>
                <w:sz w:val="21"/>
              </w:rPr>
              <w:t>境外法</w:t>
            </w:r>
            <w:r>
              <w:rPr>
                <w:sz w:val="21"/>
              </w:rPr>
              <w:t>人</w:t>
            </w:r>
          </w:p>
        </w:tc>
      </w:tr>
      <w:tr>
        <w:trPr>
          <w:trHeight w:val="815" w:hRule="atLeast"/>
        </w:trPr>
        <w:tc>
          <w:tcPr>
            <w:tcW w:w="1694" w:type="dxa"/>
          </w:tcPr>
          <w:p>
            <w:pPr>
              <w:pStyle w:val="TableParagraph"/>
              <w:spacing w:before="1"/>
              <w:ind w:left="107"/>
              <w:rPr>
                <w:sz w:val="21"/>
              </w:rPr>
            </w:pPr>
            <w:r>
              <w:rPr>
                <w:sz w:val="21"/>
              </w:rPr>
              <w:t>鸿富锦精密工业</w:t>
            </w:r>
          </w:p>
          <w:p>
            <w:pPr>
              <w:pStyle w:val="TableParagraph"/>
              <w:spacing w:before="2"/>
              <w:ind w:left="107"/>
              <w:rPr>
                <w:sz w:val="21"/>
              </w:rPr>
            </w:pPr>
            <w:r>
              <w:rPr>
                <w:sz w:val="21"/>
              </w:rPr>
              <w:t>（深圳）有限公</w:t>
            </w:r>
          </w:p>
          <w:p>
            <w:pPr>
              <w:pStyle w:val="TableParagraph"/>
              <w:spacing w:line="250" w:lineRule="exact" w:before="4"/>
              <w:ind w:left="107"/>
              <w:rPr>
                <w:sz w:val="21"/>
              </w:rPr>
            </w:pPr>
            <w:r>
              <w:rPr>
                <w:w w:val="100"/>
                <w:sz w:val="21"/>
              </w:rPr>
              <w:t>司</w:t>
            </w:r>
          </w:p>
        </w:tc>
        <w:tc>
          <w:tcPr>
            <w:tcW w:w="1299" w:type="dxa"/>
          </w:tcPr>
          <w:p>
            <w:pPr>
              <w:pStyle w:val="TableParagraph"/>
              <w:spacing w:before="12"/>
              <w:rPr>
                <w:sz w:val="21"/>
              </w:rPr>
            </w:pPr>
          </w:p>
          <w:p>
            <w:pPr>
              <w:pStyle w:val="TableParagraph"/>
              <w:ind w:right="95"/>
              <w:jc w:val="right"/>
              <w:rPr>
                <w:rFonts w:ascii="Times New Roman"/>
                <w:sz w:val="21"/>
              </w:rPr>
            </w:pPr>
            <w:r>
              <w:rPr>
                <w:rFonts w:ascii="Times New Roman"/>
                <w:w w:val="100"/>
                <w:sz w:val="21"/>
              </w:rPr>
              <w:t>0</w:t>
            </w:r>
          </w:p>
        </w:tc>
        <w:tc>
          <w:tcPr>
            <w:tcW w:w="1430" w:type="dxa"/>
          </w:tcPr>
          <w:p>
            <w:pPr>
              <w:pStyle w:val="TableParagraph"/>
              <w:spacing w:before="12"/>
              <w:rPr>
                <w:sz w:val="21"/>
              </w:rPr>
            </w:pPr>
          </w:p>
          <w:p>
            <w:pPr>
              <w:pStyle w:val="TableParagraph"/>
              <w:ind w:right="90"/>
              <w:jc w:val="right"/>
              <w:rPr>
                <w:rFonts w:ascii="Times New Roman"/>
                <w:sz w:val="21"/>
              </w:rPr>
            </w:pPr>
            <w:r>
              <w:rPr>
                <w:rFonts w:ascii="Times New Roman"/>
                <w:sz w:val="21"/>
              </w:rPr>
              <w:t>1,635,887,159</w:t>
            </w:r>
          </w:p>
        </w:tc>
        <w:tc>
          <w:tcPr>
            <w:tcW w:w="905" w:type="dxa"/>
          </w:tcPr>
          <w:p>
            <w:pPr>
              <w:pStyle w:val="TableParagraph"/>
              <w:spacing w:before="12"/>
              <w:rPr>
                <w:sz w:val="21"/>
              </w:rPr>
            </w:pPr>
          </w:p>
          <w:p>
            <w:pPr>
              <w:pStyle w:val="TableParagraph"/>
              <w:ind w:left="199" w:right="75"/>
              <w:jc w:val="center"/>
              <w:rPr>
                <w:rFonts w:ascii="Times New Roman"/>
                <w:sz w:val="21"/>
              </w:rPr>
            </w:pPr>
            <w:r>
              <w:rPr>
                <w:rFonts w:ascii="Times New Roman"/>
                <w:sz w:val="21"/>
              </w:rPr>
              <w:t>8.2373</w:t>
            </w:r>
          </w:p>
        </w:tc>
        <w:tc>
          <w:tcPr>
            <w:tcW w:w="619" w:type="dxa"/>
          </w:tcPr>
          <w:p>
            <w:pPr>
              <w:pStyle w:val="TableParagraph"/>
              <w:spacing w:before="12"/>
              <w:rPr>
                <w:sz w:val="21"/>
              </w:rPr>
            </w:pPr>
          </w:p>
          <w:p>
            <w:pPr>
              <w:pStyle w:val="TableParagraph"/>
              <w:ind w:right="95"/>
              <w:jc w:val="right"/>
              <w:rPr>
                <w:rFonts w:ascii="Times New Roman"/>
                <w:sz w:val="21"/>
              </w:rPr>
            </w:pPr>
            <w:r>
              <w:rPr>
                <w:rFonts w:ascii="Times New Roman"/>
                <w:w w:val="100"/>
                <w:sz w:val="21"/>
              </w:rPr>
              <w:t>0</w:t>
            </w:r>
          </w:p>
        </w:tc>
        <w:tc>
          <w:tcPr>
            <w:tcW w:w="792" w:type="dxa"/>
          </w:tcPr>
          <w:p>
            <w:pPr>
              <w:pStyle w:val="TableParagraph"/>
              <w:spacing w:before="3"/>
              <w:rPr>
                <w:sz w:val="21"/>
              </w:rPr>
            </w:pPr>
          </w:p>
          <w:p>
            <w:pPr>
              <w:pStyle w:val="TableParagraph"/>
              <w:ind w:left="11"/>
              <w:jc w:val="center"/>
              <w:rPr>
                <w:sz w:val="21"/>
              </w:rPr>
            </w:pPr>
            <w:r>
              <w:rPr>
                <w:w w:val="100"/>
                <w:sz w:val="21"/>
              </w:rPr>
              <w:t>无</w:t>
            </w:r>
          </w:p>
        </w:tc>
        <w:tc>
          <w:tcPr>
            <w:tcW w:w="1165" w:type="dxa"/>
            <w:gridSpan w:val="2"/>
          </w:tcPr>
          <w:p>
            <w:pPr>
              <w:pStyle w:val="TableParagraph"/>
              <w:spacing w:before="12"/>
              <w:rPr>
                <w:sz w:val="21"/>
              </w:rPr>
            </w:pPr>
          </w:p>
          <w:p>
            <w:pPr>
              <w:pStyle w:val="TableParagraph"/>
              <w:ind w:right="97"/>
              <w:jc w:val="right"/>
              <w:rPr>
                <w:rFonts w:ascii="Times New Roman"/>
                <w:sz w:val="21"/>
              </w:rPr>
            </w:pPr>
            <w:r>
              <w:rPr>
                <w:rFonts w:ascii="Times New Roman"/>
                <w:w w:val="100"/>
                <w:sz w:val="21"/>
              </w:rPr>
              <w:t>0</w:t>
            </w:r>
          </w:p>
        </w:tc>
        <w:tc>
          <w:tcPr>
            <w:tcW w:w="919" w:type="dxa"/>
          </w:tcPr>
          <w:p>
            <w:pPr>
              <w:pStyle w:val="TableParagraph"/>
              <w:spacing w:line="244" w:lineRule="auto" w:before="135"/>
              <w:ind w:left="106" w:right="167"/>
              <w:rPr>
                <w:sz w:val="21"/>
              </w:rPr>
            </w:pPr>
            <w:r>
              <w:rPr>
                <w:spacing w:val="-1"/>
                <w:sz w:val="21"/>
              </w:rPr>
              <w:t>国有法</w:t>
            </w:r>
            <w:r>
              <w:rPr>
                <w:sz w:val="21"/>
              </w:rPr>
              <w:t>人</w:t>
            </w:r>
          </w:p>
        </w:tc>
      </w:tr>
      <w:tr>
        <w:trPr>
          <w:trHeight w:val="817" w:hRule="atLeast"/>
        </w:trPr>
        <w:tc>
          <w:tcPr>
            <w:tcW w:w="1694" w:type="dxa"/>
          </w:tcPr>
          <w:p>
            <w:pPr>
              <w:pStyle w:val="TableParagraph"/>
              <w:spacing w:before="1"/>
              <w:ind w:left="107"/>
              <w:rPr>
                <w:sz w:val="21"/>
              </w:rPr>
            </w:pPr>
            <w:r>
              <w:rPr>
                <w:sz w:val="21"/>
              </w:rPr>
              <w:t>鸿富锦精密电子</w:t>
            </w:r>
          </w:p>
          <w:p>
            <w:pPr>
              <w:pStyle w:val="TableParagraph"/>
              <w:spacing w:line="270" w:lineRule="atLeast"/>
              <w:ind w:left="107" w:right="100"/>
              <w:rPr>
                <w:sz w:val="21"/>
              </w:rPr>
            </w:pPr>
            <w:r>
              <w:rPr>
                <w:sz w:val="21"/>
              </w:rPr>
              <w:t>（郑州）有限公司</w:t>
            </w:r>
          </w:p>
        </w:tc>
        <w:tc>
          <w:tcPr>
            <w:tcW w:w="1299" w:type="dxa"/>
          </w:tcPr>
          <w:p>
            <w:pPr>
              <w:pStyle w:val="TableParagraph"/>
              <w:spacing w:before="12"/>
              <w:rPr>
                <w:sz w:val="21"/>
              </w:rPr>
            </w:pPr>
          </w:p>
          <w:p>
            <w:pPr>
              <w:pStyle w:val="TableParagraph"/>
              <w:ind w:right="95"/>
              <w:jc w:val="right"/>
              <w:rPr>
                <w:rFonts w:ascii="Times New Roman"/>
                <w:sz w:val="21"/>
              </w:rPr>
            </w:pPr>
            <w:r>
              <w:rPr>
                <w:rFonts w:ascii="Times New Roman"/>
                <w:w w:val="100"/>
                <w:sz w:val="21"/>
              </w:rPr>
              <w:t>0</w:t>
            </w:r>
          </w:p>
        </w:tc>
        <w:tc>
          <w:tcPr>
            <w:tcW w:w="1430" w:type="dxa"/>
          </w:tcPr>
          <w:p>
            <w:pPr>
              <w:pStyle w:val="TableParagraph"/>
              <w:spacing w:before="12"/>
              <w:rPr>
                <w:sz w:val="21"/>
              </w:rPr>
            </w:pPr>
          </w:p>
          <w:p>
            <w:pPr>
              <w:pStyle w:val="TableParagraph"/>
              <w:ind w:right="90"/>
              <w:jc w:val="right"/>
              <w:rPr>
                <w:rFonts w:ascii="Times New Roman"/>
                <w:sz w:val="21"/>
              </w:rPr>
            </w:pPr>
            <w:r>
              <w:rPr>
                <w:rFonts w:ascii="Times New Roman"/>
                <w:sz w:val="21"/>
              </w:rPr>
              <w:t>597,861,110</w:t>
            </w:r>
          </w:p>
        </w:tc>
        <w:tc>
          <w:tcPr>
            <w:tcW w:w="905" w:type="dxa"/>
          </w:tcPr>
          <w:p>
            <w:pPr>
              <w:pStyle w:val="TableParagraph"/>
              <w:spacing w:before="12"/>
              <w:rPr>
                <w:sz w:val="21"/>
              </w:rPr>
            </w:pPr>
          </w:p>
          <w:p>
            <w:pPr>
              <w:pStyle w:val="TableParagraph"/>
              <w:ind w:left="199" w:right="75"/>
              <w:jc w:val="center"/>
              <w:rPr>
                <w:rFonts w:ascii="Times New Roman"/>
                <w:sz w:val="21"/>
              </w:rPr>
            </w:pPr>
            <w:r>
              <w:rPr>
                <w:rFonts w:ascii="Times New Roman"/>
                <w:sz w:val="21"/>
              </w:rPr>
              <w:t>3.0104</w:t>
            </w:r>
          </w:p>
        </w:tc>
        <w:tc>
          <w:tcPr>
            <w:tcW w:w="619" w:type="dxa"/>
          </w:tcPr>
          <w:p>
            <w:pPr>
              <w:pStyle w:val="TableParagraph"/>
              <w:spacing w:before="12"/>
              <w:rPr>
                <w:sz w:val="21"/>
              </w:rPr>
            </w:pPr>
          </w:p>
          <w:p>
            <w:pPr>
              <w:pStyle w:val="TableParagraph"/>
              <w:ind w:right="95"/>
              <w:jc w:val="right"/>
              <w:rPr>
                <w:rFonts w:ascii="Times New Roman"/>
                <w:sz w:val="21"/>
              </w:rPr>
            </w:pPr>
            <w:r>
              <w:rPr>
                <w:rFonts w:ascii="Times New Roman"/>
                <w:w w:val="100"/>
                <w:sz w:val="21"/>
              </w:rPr>
              <w:t>0</w:t>
            </w:r>
          </w:p>
        </w:tc>
        <w:tc>
          <w:tcPr>
            <w:tcW w:w="792" w:type="dxa"/>
          </w:tcPr>
          <w:p>
            <w:pPr>
              <w:pStyle w:val="TableParagraph"/>
              <w:spacing w:before="5"/>
              <w:rPr>
                <w:sz w:val="21"/>
              </w:rPr>
            </w:pPr>
          </w:p>
          <w:p>
            <w:pPr>
              <w:pStyle w:val="TableParagraph"/>
              <w:ind w:left="11"/>
              <w:jc w:val="center"/>
              <w:rPr>
                <w:sz w:val="21"/>
              </w:rPr>
            </w:pPr>
            <w:r>
              <w:rPr>
                <w:w w:val="100"/>
                <w:sz w:val="21"/>
              </w:rPr>
              <w:t>无</w:t>
            </w:r>
          </w:p>
        </w:tc>
        <w:tc>
          <w:tcPr>
            <w:tcW w:w="1165" w:type="dxa"/>
            <w:gridSpan w:val="2"/>
          </w:tcPr>
          <w:p>
            <w:pPr>
              <w:pStyle w:val="TableParagraph"/>
              <w:spacing w:before="12"/>
              <w:rPr>
                <w:sz w:val="21"/>
              </w:rPr>
            </w:pPr>
          </w:p>
          <w:p>
            <w:pPr>
              <w:pStyle w:val="TableParagraph"/>
              <w:ind w:right="97"/>
              <w:jc w:val="right"/>
              <w:rPr>
                <w:rFonts w:ascii="Times New Roman"/>
                <w:sz w:val="21"/>
              </w:rPr>
            </w:pPr>
            <w:r>
              <w:rPr>
                <w:rFonts w:ascii="Times New Roman"/>
                <w:w w:val="100"/>
                <w:sz w:val="21"/>
              </w:rPr>
              <w:t>0</w:t>
            </w:r>
          </w:p>
        </w:tc>
        <w:tc>
          <w:tcPr>
            <w:tcW w:w="919" w:type="dxa"/>
          </w:tcPr>
          <w:p>
            <w:pPr>
              <w:pStyle w:val="TableParagraph"/>
              <w:spacing w:before="1"/>
              <w:ind w:left="106"/>
              <w:rPr>
                <w:sz w:val="21"/>
              </w:rPr>
            </w:pPr>
            <w:r>
              <w:rPr>
                <w:sz w:val="21"/>
              </w:rPr>
              <w:t>境内非</w:t>
            </w:r>
          </w:p>
          <w:p>
            <w:pPr>
              <w:pStyle w:val="TableParagraph"/>
              <w:spacing w:line="270" w:lineRule="atLeast"/>
              <w:ind w:left="106" w:right="167"/>
              <w:rPr>
                <w:sz w:val="21"/>
              </w:rPr>
            </w:pPr>
            <w:r>
              <w:rPr>
                <w:spacing w:val="-1"/>
                <w:sz w:val="21"/>
              </w:rPr>
              <w:t>国有法</w:t>
            </w:r>
            <w:r>
              <w:rPr>
                <w:sz w:val="21"/>
              </w:rPr>
              <w:t>人</w:t>
            </w:r>
          </w:p>
        </w:tc>
      </w:tr>
      <w:tr>
        <w:trPr>
          <w:trHeight w:val="544" w:hRule="atLeast"/>
        </w:trPr>
        <w:tc>
          <w:tcPr>
            <w:tcW w:w="1694" w:type="dxa"/>
          </w:tcPr>
          <w:p>
            <w:pPr>
              <w:pStyle w:val="TableParagraph"/>
              <w:spacing w:before="1"/>
              <w:ind w:left="107"/>
              <w:rPr>
                <w:sz w:val="21"/>
              </w:rPr>
            </w:pPr>
            <w:r>
              <w:rPr>
                <w:sz w:val="21"/>
              </w:rPr>
              <w:t>香港中央结算有</w:t>
            </w:r>
          </w:p>
          <w:p>
            <w:pPr>
              <w:pStyle w:val="TableParagraph"/>
              <w:spacing w:line="252" w:lineRule="exact" w:before="2"/>
              <w:ind w:left="107"/>
              <w:rPr>
                <w:sz w:val="21"/>
              </w:rPr>
            </w:pPr>
            <w:r>
              <w:rPr>
                <w:sz w:val="21"/>
              </w:rPr>
              <w:t>限公司</w:t>
            </w:r>
          </w:p>
        </w:tc>
        <w:tc>
          <w:tcPr>
            <w:tcW w:w="1299" w:type="dxa"/>
          </w:tcPr>
          <w:p>
            <w:pPr>
              <w:pStyle w:val="TableParagraph"/>
              <w:spacing w:before="144"/>
              <w:ind w:right="94"/>
              <w:jc w:val="right"/>
              <w:rPr>
                <w:rFonts w:ascii="Times New Roman"/>
                <w:sz w:val="21"/>
              </w:rPr>
            </w:pPr>
            <w:r>
              <w:rPr>
                <w:rFonts w:ascii="Times New Roman"/>
                <w:sz w:val="21"/>
              </w:rPr>
              <w:t>73,103,484</w:t>
            </w:r>
          </w:p>
        </w:tc>
        <w:tc>
          <w:tcPr>
            <w:tcW w:w="1430" w:type="dxa"/>
          </w:tcPr>
          <w:p>
            <w:pPr>
              <w:pStyle w:val="TableParagraph"/>
              <w:spacing w:before="144"/>
              <w:ind w:right="90"/>
              <w:jc w:val="right"/>
              <w:rPr>
                <w:rFonts w:ascii="Times New Roman"/>
                <w:sz w:val="21"/>
              </w:rPr>
            </w:pPr>
            <w:r>
              <w:rPr>
                <w:rFonts w:ascii="Times New Roman"/>
                <w:sz w:val="21"/>
              </w:rPr>
              <w:t>568,749,360</w:t>
            </w:r>
          </w:p>
        </w:tc>
        <w:tc>
          <w:tcPr>
            <w:tcW w:w="905" w:type="dxa"/>
          </w:tcPr>
          <w:p>
            <w:pPr>
              <w:pStyle w:val="TableParagraph"/>
              <w:spacing w:before="144"/>
              <w:ind w:left="199" w:right="75"/>
              <w:jc w:val="center"/>
              <w:rPr>
                <w:rFonts w:ascii="Times New Roman"/>
                <w:sz w:val="21"/>
              </w:rPr>
            </w:pPr>
            <w:r>
              <w:rPr>
                <w:rFonts w:ascii="Times New Roman"/>
                <w:sz w:val="21"/>
              </w:rPr>
              <w:t>2.8639</w:t>
            </w:r>
          </w:p>
        </w:tc>
        <w:tc>
          <w:tcPr>
            <w:tcW w:w="619" w:type="dxa"/>
          </w:tcPr>
          <w:p>
            <w:pPr>
              <w:pStyle w:val="TableParagraph"/>
              <w:spacing w:before="144"/>
              <w:ind w:right="95"/>
              <w:jc w:val="right"/>
              <w:rPr>
                <w:rFonts w:ascii="Times New Roman"/>
                <w:sz w:val="21"/>
              </w:rPr>
            </w:pPr>
            <w:r>
              <w:rPr>
                <w:rFonts w:ascii="Times New Roman"/>
                <w:w w:val="100"/>
                <w:sz w:val="21"/>
              </w:rPr>
              <w:t>0</w:t>
            </w:r>
          </w:p>
        </w:tc>
        <w:tc>
          <w:tcPr>
            <w:tcW w:w="792" w:type="dxa"/>
          </w:tcPr>
          <w:p>
            <w:pPr>
              <w:pStyle w:val="TableParagraph"/>
              <w:spacing w:before="138"/>
              <w:ind w:left="11"/>
              <w:jc w:val="center"/>
              <w:rPr>
                <w:sz w:val="21"/>
              </w:rPr>
            </w:pPr>
            <w:r>
              <w:rPr>
                <w:w w:val="100"/>
                <w:sz w:val="21"/>
              </w:rPr>
              <w:t>无</w:t>
            </w:r>
          </w:p>
        </w:tc>
        <w:tc>
          <w:tcPr>
            <w:tcW w:w="1165" w:type="dxa"/>
            <w:gridSpan w:val="2"/>
          </w:tcPr>
          <w:p>
            <w:pPr>
              <w:pStyle w:val="TableParagraph"/>
              <w:spacing w:before="144"/>
              <w:ind w:right="97"/>
              <w:jc w:val="right"/>
              <w:rPr>
                <w:rFonts w:ascii="Times New Roman"/>
                <w:sz w:val="21"/>
              </w:rPr>
            </w:pPr>
            <w:r>
              <w:rPr>
                <w:rFonts w:ascii="Times New Roman"/>
                <w:w w:val="100"/>
                <w:sz w:val="21"/>
              </w:rPr>
              <w:t>0</w:t>
            </w:r>
          </w:p>
        </w:tc>
        <w:tc>
          <w:tcPr>
            <w:tcW w:w="919" w:type="dxa"/>
          </w:tcPr>
          <w:p>
            <w:pPr>
              <w:pStyle w:val="TableParagraph"/>
              <w:spacing w:before="138"/>
              <w:ind w:left="106"/>
              <w:rPr>
                <w:sz w:val="21"/>
              </w:rPr>
            </w:pPr>
            <w:r>
              <w:rPr>
                <w:sz w:val="21"/>
              </w:rPr>
              <w:t>其他</w:t>
            </w:r>
          </w:p>
        </w:tc>
      </w:tr>
      <w:tr>
        <w:trPr>
          <w:trHeight w:val="544" w:hRule="atLeast"/>
        </w:trPr>
        <w:tc>
          <w:tcPr>
            <w:tcW w:w="1694" w:type="dxa"/>
          </w:tcPr>
          <w:p>
            <w:pPr>
              <w:pStyle w:val="TableParagraph"/>
              <w:spacing w:before="24"/>
              <w:ind w:left="107" w:right="151"/>
              <w:rPr>
                <w:rFonts w:ascii="Times New Roman"/>
                <w:sz w:val="21"/>
              </w:rPr>
            </w:pPr>
            <w:r>
              <w:rPr>
                <w:rFonts w:ascii="Times New Roman"/>
                <w:sz w:val="21"/>
              </w:rPr>
              <w:t>Argyle Holdings</w:t>
            </w:r>
            <w:r>
              <w:rPr>
                <w:rFonts w:ascii="Times New Roman"/>
                <w:spacing w:val="-50"/>
                <w:sz w:val="21"/>
              </w:rPr>
              <w:t> </w:t>
            </w:r>
            <w:r>
              <w:rPr>
                <w:rFonts w:ascii="Times New Roman"/>
                <w:sz w:val="21"/>
              </w:rPr>
              <w:t>Limited</w:t>
            </w:r>
          </w:p>
        </w:tc>
        <w:tc>
          <w:tcPr>
            <w:tcW w:w="1299" w:type="dxa"/>
          </w:tcPr>
          <w:p>
            <w:pPr>
              <w:pStyle w:val="TableParagraph"/>
              <w:spacing w:before="144"/>
              <w:ind w:right="95"/>
              <w:jc w:val="right"/>
              <w:rPr>
                <w:rFonts w:ascii="Times New Roman"/>
                <w:sz w:val="21"/>
              </w:rPr>
            </w:pPr>
            <w:r>
              <w:rPr>
                <w:rFonts w:ascii="Times New Roman"/>
                <w:w w:val="100"/>
                <w:sz w:val="21"/>
              </w:rPr>
              <w:t>0</w:t>
            </w:r>
          </w:p>
        </w:tc>
        <w:tc>
          <w:tcPr>
            <w:tcW w:w="1430" w:type="dxa"/>
          </w:tcPr>
          <w:p>
            <w:pPr>
              <w:pStyle w:val="TableParagraph"/>
              <w:spacing w:before="144"/>
              <w:ind w:right="90"/>
              <w:jc w:val="right"/>
              <w:rPr>
                <w:rFonts w:ascii="Times New Roman"/>
                <w:sz w:val="21"/>
              </w:rPr>
            </w:pPr>
            <w:r>
              <w:rPr>
                <w:rFonts w:ascii="Times New Roman"/>
                <w:sz w:val="21"/>
              </w:rPr>
              <w:t>327,104,697</w:t>
            </w:r>
          </w:p>
        </w:tc>
        <w:tc>
          <w:tcPr>
            <w:tcW w:w="905" w:type="dxa"/>
          </w:tcPr>
          <w:p>
            <w:pPr>
              <w:pStyle w:val="TableParagraph"/>
              <w:spacing w:before="144"/>
              <w:ind w:left="199" w:right="75"/>
              <w:jc w:val="center"/>
              <w:rPr>
                <w:rFonts w:ascii="Times New Roman"/>
                <w:sz w:val="21"/>
              </w:rPr>
            </w:pPr>
            <w:r>
              <w:rPr>
                <w:rFonts w:ascii="Times New Roman"/>
                <w:sz w:val="21"/>
              </w:rPr>
              <w:t>1.6471</w:t>
            </w:r>
          </w:p>
        </w:tc>
        <w:tc>
          <w:tcPr>
            <w:tcW w:w="619" w:type="dxa"/>
          </w:tcPr>
          <w:p>
            <w:pPr>
              <w:pStyle w:val="TableParagraph"/>
              <w:spacing w:before="144"/>
              <w:ind w:right="95"/>
              <w:jc w:val="right"/>
              <w:rPr>
                <w:rFonts w:ascii="Times New Roman"/>
                <w:sz w:val="21"/>
              </w:rPr>
            </w:pPr>
            <w:r>
              <w:rPr>
                <w:rFonts w:ascii="Times New Roman"/>
                <w:w w:val="100"/>
                <w:sz w:val="21"/>
              </w:rPr>
              <w:t>0</w:t>
            </w:r>
          </w:p>
        </w:tc>
        <w:tc>
          <w:tcPr>
            <w:tcW w:w="792" w:type="dxa"/>
          </w:tcPr>
          <w:p>
            <w:pPr>
              <w:pStyle w:val="TableParagraph"/>
              <w:spacing w:before="138"/>
              <w:ind w:left="11"/>
              <w:jc w:val="center"/>
              <w:rPr>
                <w:sz w:val="21"/>
              </w:rPr>
            </w:pPr>
            <w:r>
              <w:rPr>
                <w:w w:val="100"/>
                <w:sz w:val="21"/>
              </w:rPr>
              <w:t>无</w:t>
            </w:r>
          </w:p>
        </w:tc>
        <w:tc>
          <w:tcPr>
            <w:tcW w:w="1165" w:type="dxa"/>
            <w:gridSpan w:val="2"/>
          </w:tcPr>
          <w:p>
            <w:pPr>
              <w:pStyle w:val="TableParagraph"/>
              <w:spacing w:before="144"/>
              <w:ind w:right="97"/>
              <w:jc w:val="right"/>
              <w:rPr>
                <w:rFonts w:ascii="Times New Roman"/>
                <w:sz w:val="21"/>
              </w:rPr>
            </w:pPr>
            <w:r>
              <w:rPr>
                <w:rFonts w:ascii="Times New Roman"/>
                <w:w w:val="100"/>
                <w:sz w:val="21"/>
              </w:rPr>
              <w:t>0</w:t>
            </w:r>
          </w:p>
        </w:tc>
        <w:tc>
          <w:tcPr>
            <w:tcW w:w="919" w:type="dxa"/>
          </w:tcPr>
          <w:p>
            <w:pPr>
              <w:pStyle w:val="TableParagraph"/>
              <w:spacing w:before="1"/>
              <w:ind w:left="106"/>
              <w:rPr>
                <w:sz w:val="21"/>
              </w:rPr>
            </w:pPr>
            <w:r>
              <w:rPr>
                <w:sz w:val="21"/>
              </w:rPr>
              <w:t>境外法</w:t>
            </w:r>
          </w:p>
          <w:p>
            <w:pPr>
              <w:pStyle w:val="TableParagraph"/>
              <w:spacing w:line="252" w:lineRule="exact" w:before="2"/>
              <w:ind w:left="106"/>
              <w:rPr>
                <w:sz w:val="21"/>
              </w:rPr>
            </w:pPr>
            <w:r>
              <w:rPr>
                <w:w w:val="100"/>
                <w:sz w:val="21"/>
              </w:rPr>
              <w:t>人</w:t>
            </w:r>
          </w:p>
        </w:tc>
      </w:tr>
      <w:tr>
        <w:trPr>
          <w:trHeight w:val="724" w:hRule="atLeast"/>
        </w:trPr>
        <w:tc>
          <w:tcPr>
            <w:tcW w:w="1694" w:type="dxa"/>
          </w:tcPr>
          <w:p>
            <w:pPr>
              <w:pStyle w:val="TableParagraph"/>
              <w:spacing w:line="235" w:lineRule="exact"/>
              <w:ind w:left="107"/>
              <w:rPr>
                <w:rFonts w:ascii="Times New Roman"/>
                <w:sz w:val="21"/>
              </w:rPr>
            </w:pPr>
            <w:r>
              <w:rPr>
                <w:rFonts w:ascii="Times New Roman"/>
                <w:sz w:val="21"/>
              </w:rPr>
              <w:t>Joy</w:t>
            </w:r>
            <w:r>
              <w:rPr>
                <w:rFonts w:ascii="Times New Roman"/>
                <w:spacing w:val="-4"/>
                <w:sz w:val="21"/>
              </w:rPr>
              <w:t> </w:t>
            </w:r>
            <w:r>
              <w:rPr>
                <w:rFonts w:ascii="Times New Roman"/>
                <w:sz w:val="21"/>
              </w:rPr>
              <w:t>Even</w:t>
            </w:r>
          </w:p>
          <w:p>
            <w:pPr>
              <w:pStyle w:val="TableParagraph"/>
              <w:spacing w:line="240" w:lineRule="exact"/>
              <w:ind w:left="107" w:right="786"/>
              <w:rPr>
                <w:rFonts w:ascii="Times New Roman"/>
                <w:sz w:val="21"/>
              </w:rPr>
            </w:pPr>
            <w:r>
              <w:rPr>
                <w:rFonts w:ascii="Times New Roman"/>
                <w:sz w:val="21"/>
              </w:rPr>
              <w:t>Holdings</w:t>
            </w:r>
            <w:r>
              <w:rPr>
                <w:rFonts w:ascii="Times New Roman"/>
                <w:spacing w:val="-50"/>
                <w:sz w:val="21"/>
              </w:rPr>
              <w:t> </w:t>
            </w:r>
            <w:r>
              <w:rPr>
                <w:rFonts w:ascii="Times New Roman"/>
                <w:sz w:val="21"/>
              </w:rPr>
              <w:t>Limited</w:t>
            </w:r>
          </w:p>
        </w:tc>
        <w:tc>
          <w:tcPr>
            <w:tcW w:w="1299" w:type="dxa"/>
          </w:tcPr>
          <w:p>
            <w:pPr>
              <w:pStyle w:val="TableParagraph"/>
              <w:spacing w:before="5"/>
              <w:rPr>
                <w:sz w:val="18"/>
              </w:rPr>
            </w:pPr>
          </w:p>
          <w:p>
            <w:pPr>
              <w:pStyle w:val="TableParagraph"/>
              <w:ind w:right="95"/>
              <w:jc w:val="right"/>
              <w:rPr>
                <w:rFonts w:ascii="Times New Roman"/>
                <w:sz w:val="21"/>
              </w:rPr>
            </w:pPr>
            <w:r>
              <w:rPr>
                <w:rFonts w:ascii="Times New Roman"/>
                <w:w w:val="100"/>
                <w:sz w:val="21"/>
              </w:rPr>
              <w:t>0</w:t>
            </w:r>
          </w:p>
        </w:tc>
        <w:tc>
          <w:tcPr>
            <w:tcW w:w="1430" w:type="dxa"/>
          </w:tcPr>
          <w:p>
            <w:pPr>
              <w:pStyle w:val="TableParagraph"/>
              <w:spacing w:before="5"/>
              <w:rPr>
                <w:sz w:val="18"/>
              </w:rPr>
            </w:pPr>
          </w:p>
          <w:p>
            <w:pPr>
              <w:pStyle w:val="TableParagraph"/>
              <w:ind w:right="90"/>
              <w:jc w:val="right"/>
              <w:rPr>
                <w:rFonts w:ascii="Times New Roman"/>
                <w:sz w:val="21"/>
              </w:rPr>
            </w:pPr>
            <w:r>
              <w:rPr>
                <w:rFonts w:ascii="Times New Roman"/>
                <w:sz w:val="21"/>
              </w:rPr>
              <w:t>247,590,604</w:t>
            </w:r>
          </w:p>
        </w:tc>
        <w:tc>
          <w:tcPr>
            <w:tcW w:w="905" w:type="dxa"/>
          </w:tcPr>
          <w:p>
            <w:pPr>
              <w:pStyle w:val="TableParagraph"/>
              <w:spacing w:before="5"/>
              <w:rPr>
                <w:sz w:val="18"/>
              </w:rPr>
            </w:pPr>
          </w:p>
          <w:p>
            <w:pPr>
              <w:pStyle w:val="TableParagraph"/>
              <w:ind w:left="199" w:right="75"/>
              <w:jc w:val="center"/>
              <w:rPr>
                <w:rFonts w:ascii="Times New Roman"/>
                <w:sz w:val="21"/>
              </w:rPr>
            </w:pPr>
            <w:r>
              <w:rPr>
                <w:rFonts w:ascii="Times New Roman"/>
                <w:sz w:val="21"/>
              </w:rPr>
              <w:t>1.2467</w:t>
            </w:r>
          </w:p>
        </w:tc>
        <w:tc>
          <w:tcPr>
            <w:tcW w:w="619" w:type="dxa"/>
          </w:tcPr>
          <w:p>
            <w:pPr>
              <w:pStyle w:val="TableParagraph"/>
              <w:spacing w:before="5"/>
              <w:rPr>
                <w:sz w:val="18"/>
              </w:rPr>
            </w:pPr>
          </w:p>
          <w:p>
            <w:pPr>
              <w:pStyle w:val="TableParagraph"/>
              <w:ind w:right="95"/>
              <w:jc w:val="right"/>
              <w:rPr>
                <w:rFonts w:ascii="Times New Roman"/>
                <w:sz w:val="21"/>
              </w:rPr>
            </w:pPr>
            <w:r>
              <w:rPr>
                <w:rFonts w:ascii="Times New Roman"/>
                <w:w w:val="100"/>
                <w:sz w:val="21"/>
              </w:rPr>
              <w:t>0</w:t>
            </w:r>
          </w:p>
        </w:tc>
        <w:tc>
          <w:tcPr>
            <w:tcW w:w="792" w:type="dxa"/>
          </w:tcPr>
          <w:p>
            <w:pPr>
              <w:pStyle w:val="TableParagraph"/>
              <w:spacing w:before="8"/>
              <w:rPr>
                <w:sz w:val="17"/>
              </w:rPr>
            </w:pPr>
          </w:p>
          <w:p>
            <w:pPr>
              <w:pStyle w:val="TableParagraph"/>
              <w:ind w:left="11"/>
              <w:jc w:val="center"/>
              <w:rPr>
                <w:sz w:val="21"/>
              </w:rPr>
            </w:pPr>
            <w:r>
              <w:rPr>
                <w:w w:val="100"/>
                <w:sz w:val="21"/>
              </w:rPr>
              <w:t>无</w:t>
            </w:r>
          </w:p>
        </w:tc>
        <w:tc>
          <w:tcPr>
            <w:tcW w:w="1165" w:type="dxa"/>
            <w:gridSpan w:val="2"/>
          </w:tcPr>
          <w:p>
            <w:pPr>
              <w:pStyle w:val="TableParagraph"/>
              <w:spacing w:before="5"/>
              <w:rPr>
                <w:sz w:val="18"/>
              </w:rPr>
            </w:pPr>
          </w:p>
          <w:p>
            <w:pPr>
              <w:pStyle w:val="TableParagraph"/>
              <w:ind w:right="97"/>
              <w:jc w:val="right"/>
              <w:rPr>
                <w:rFonts w:ascii="Times New Roman"/>
                <w:sz w:val="21"/>
              </w:rPr>
            </w:pPr>
            <w:r>
              <w:rPr>
                <w:rFonts w:ascii="Times New Roman"/>
                <w:w w:val="100"/>
                <w:sz w:val="21"/>
              </w:rPr>
              <w:t>0</w:t>
            </w:r>
          </w:p>
        </w:tc>
        <w:tc>
          <w:tcPr>
            <w:tcW w:w="919" w:type="dxa"/>
          </w:tcPr>
          <w:p>
            <w:pPr>
              <w:pStyle w:val="TableParagraph"/>
              <w:spacing w:line="242" w:lineRule="auto" w:before="92"/>
              <w:ind w:left="106" w:right="167"/>
              <w:rPr>
                <w:sz w:val="21"/>
              </w:rPr>
            </w:pPr>
            <w:r>
              <w:rPr>
                <w:spacing w:val="-1"/>
                <w:sz w:val="21"/>
              </w:rPr>
              <w:t>境外法</w:t>
            </w:r>
            <w:r>
              <w:rPr>
                <w:sz w:val="21"/>
              </w:rPr>
              <w:t>人</w:t>
            </w:r>
          </w:p>
        </w:tc>
      </w:tr>
      <w:tr>
        <w:trPr>
          <w:trHeight w:val="817" w:hRule="atLeast"/>
        </w:trPr>
        <w:tc>
          <w:tcPr>
            <w:tcW w:w="1694" w:type="dxa"/>
          </w:tcPr>
          <w:p>
            <w:pPr>
              <w:pStyle w:val="TableParagraph"/>
              <w:spacing w:before="1"/>
              <w:ind w:left="107"/>
              <w:rPr>
                <w:sz w:val="21"/>
              </w:rPr>
            </w:pPr>
            <w:r>
              <w:rPr>
                <w:sz w:val="21"/>
              </w:rPr>
              <w:t>深圳市恒创誉峰</w:t>
            </w:r>
          </w:p>
          <w:p>
            <w:pPr>
              <w:pStyle w:val="TableParagraph"/>
              <w:spacing w:line="270" w:lineRule="atLeast"/>
              <w:ind w:left="107" w:right="100"/>
              <w:rPr>
                <w:sz w:val="21"/>
              </w:rPr>
            </w:pPr>
            <w:r>
              <w:rPr>
                <w:sz w:val="21"/>
              </w:rPr>
              <w:t>咨询管理合伙企</w:t>
            </w:r>
            <w:r>
              <w:rPr>
                <w:spacing w:val="-2"/>
                <w:sz w:val="21"/>
              </w:rPr>
              <w:t>业（有限合伙</w:t>
            </w:r>
            <w:r>
              <w:rPr>
                <w:spacing w:val="-1"/>
                <w:sz w:val="21"/>
              </w:rPr>
              <w:t>）</w:t>
            </w:r>
          </w:p>
        </w:tc>
        <w:tc>
          <w:tcPr>
            <w:tcW w:w="1299" w:type="dxa"/>
          </w:tcPr>
          <w:p>
            <w:pPr>
              <w:pStyle w:val="TableParagraph"/>
              <w:spacing w:before="12"/>
              <w:rPr>
                <w:sz w:val="21"/>
              </w:rPr>
            </w:pPr>
          </w:p>
          <w:p>
            <w:pPr>
              <w:pStyle w:val="TableParagraph"/>
              <w:ind w:right="95"/>
              <w:jc w:val="right"/>
              <w:rPr>
                <w:rFonts w:ascii="Times New Roman"/>
                <w:sz w:val="21"/>
              </w:rPr>
            </w:pPr>
            <w:r>
              <w:rPr>
                <w:rFonts w:ascii="Times New Roman"/>
                <w:w w:val="100"/>
                <w:sz w:val="21"/>
              </w:rPr>
              <w:t>0</w:t>
            </w:r>
          </w:p>
        </w:tc>
        <w:tc>
          <w:tcPr>
            <w:tcW w:w="1430" w:type="dxa"/>
          </w:tcPr>
          <w:p>
            <w:pPr>
              <w:pStyle w:val="TableParagraph"/>
              <w:spacing w:before="12"/>
              <w:rPr>
                <w:sz w:val="21"/>
              </w:rPr>
            </w:pPr>
          </w:p>
          <w:p>
            <w:pPr>
              <w:pStyle w:val="TableParagraph"/>
              <w:ind w:right="90"/>
              <w:jc w:val="right"/>
              <w:rPr>
                <w:rFonts w:ascii="Times New Roman"/>
                <w:sz w:val="21"/>
              </w:rPr>
            </w:pPr>
            <w:r>
              <w:rPr>
                <w:rFonts w:ascii="Times New Roman"/>
                <w:sz w:val="21"/>
              </w:rPr>
              <w:t>194,630,872</w:t>
            </w:r>
          </w:p>
        </w:tc>
        <w:tc>
          <w:tcPr>
            <w:tcW w:w="905" w:type="dxa"/>
          </w:tcPr>
          <w:p>
            <w:pPr>
              <w:pStyle w:val="TableParagraph"/>
              <w:spacing w:before="12"/>
              <w:rPr>
                <w:sz w:val="21"/>
              </w:rPr>
            </w:pPr>
          </w:p>
          <w:p>
            <w:pPr>
              <w:pStyle w:val="TableParagraph"/>
              <w:ind w:left="199" w:right="75"/>
              <w:jc w:val="center"/>
              <w:rPr>
                <w:rFonts w:ascii="Times New Roman"/>
                <w:sz w:val="21"/>
              </w:rPr>
            </w:pPr>
            <w:r>
              <w:rPr>
                <w:rFonts w:ascii="Times New Roman"/>
                <w:sz w:val="21"/>
              </w:rPr>
              <w:t>0.9800</w:t>
            </w:r>
          </w:p>
        </w:tc>
        <w:tc>
          <w:tcPr>
            <w:tcW w:w="619" w:type="dxa"/>
          </w:tcPr>
          <w:p>
            <w:pPr>
              <w:pStyle w:val="TableParagraph"/>
              <w:spacing w:before="12"/>
              <w:rPr>
                <w:sz w:val="21"/>
              </w:rPr>
            </w:pPr>
          </w:p>
          <w:p>
            <w:pPr>
              <w:pStyle w:val="TableParagraph"/>
              <w:ind w:right="95"/>
              <w:jc w:val="right"/>
              <w:rPr>
                <w:rFonts w:ascii="Times New Roman"/>
                <w:sz w:val="21"/>
              </w:rPr>
            </w:pPr>
            <w:r>
              <w:rPr>
                <w:rFonts w:ascii="Times New Roman"/>
                <w:w w:val="100"/>
                <w:sz w:val="21"/>
              </w:rPr>
              <w:t>0</w:t>
            </w:r>
          </w:p>
        </w:tc>
        <w:tc>
          <w:tcPr>
            <w:tcW w:w="792" w:type="dxa"/>
          </w:tcPr>
          <w:p>
            <w:pPr>
              <w:pStyle w:val="TableParagraph"/>
              <w:spacing w:before="5"/>
              <w:rPr>
                <w:sz w:val="21"/>
              </w:rPr>
            </w:pPr>
          </w:p>
          <w:p>
            <w:pPr>
              <w:pStyle w:val="TableParagraph"/>
              <w:ind w:left="11"/>
              <w:jc w:val="center"/>
              <w:rPr>
                <w:sz w:val="21"/>
              </w:rPr>
            </w:pPr>
            <w:r>
              <w:rPr>
                <w:w w:val="100"/>
                <w:sz w:val="21"/>
              </w:rPr>
              <w:t>无</w:t>
            </w:r>
          </w:p>
        </w:tc>
        <w:tc>
          <w:tcPr>
            <w:tcW w:w="1165" w:type="dxa"/>
            <w:gridSpan w:val="2"/>
          </w:tcPr>
          <w:p>
            <w:pPr>
              <w:pStyle w:val="TableParagraph"/>
              <w:spacing w:before="12"/>
              <w:rPr>
                <w:sz w:val="21"/>
              </w:rPr>
            </w:pPr>
          </w:p>
          <w:p>
            <w:pPr>
              <w:pStyle w:val="TableParagraph"/>
              <w:ind w:right="97"/>
              <w:jc w:val="right"/>
              <w:rPr>
                <w:rFonts w:ascii="Times New Roman"/>
                <w:sz w:val="21"/>
              </w:rPr>
            </w:pPr>
            <w:r>
              <w:rPr>
                <w:rFonts w:ascii="Times New Roman"/>
                <w:w w:val="100"/>
                <w:sz w:val="21"/>
              </w:rPr>
              <w:t>0</w:t>
            </w:r>
          </w:p>
        </w:tc>
        <w:tc>
          <w:tcPr>
            <w:tcW w:w="919" w:type="dxa"/>
          </w:tcPr>
          <w:p>
            <w:pPr>
              <w:pStyle w:val="TableParagraph"/>
              <w:spacing w:before="1"/>
              <w:ind w:left="106"/>
              <w:rPr>
                <w:sz w:val="21"/>
              </w:rPr>
            </w:pPr>
            <w:r>
              <w:rPr>
                <w:sz w:val="21"/>
              </w:rPr>
              <w:t>境内非</w:t>
            </w:r>
          </w:p>
          <w:p>
            <w:pPr>
              <w:pStyle w:val="TableParagraph"/>
              <w:spacing w:line="270" w:lineRule="atLeast"/>
              <w:ind w:left="106" w:right="167"/>
              <w:rPr>
                <w:sz w:val="21"/>
              </w:rPr>
            </w:pPr>
            <w:r>
              <w:rPr>
                <w:spacing w:val="-1"/>
                <w:sz w:val="21"/>
              </w:rPr>
              <w:t>国有法</w:t>
            </w:r>
            <w:r>
              <w:rPr>
                <w:sz w:val="21"/>
              </w:rPr>
              <w:t>人</w:t>
            </w:r>
          </w:p>
        </w:tc>
      </w:tr>
      <w:tr>
        <w:trPr>
          <w:trHeight w:val="815" w:hRule="atLeast"/>
        </w:trPr>
        <w:tc>
          <w:tcPr>
            <w:tcW w:w="1694" w:type="dxa"/>
          </w:tcPr>
          <w:p>
            <w:pPr>
              <w:pStyle w:val="TableParagraph"/>
              <w:spacing w:line="244" w:lineRule="auto" w:before="135"/>
              <w:ind w:left="107" w:right="311"/>
              <w:rPr>
                <w:sz w:val="21"/>
              </w:rPr>
            </w:pPr>
            <w:r>
              <w:rPr>
                <w:spacing w:val="-1"/>
                <w:sz w:val="21"/>
              </w:rPr>
              <w:t>深超光电</w:t>
            </w:r>
            <w:r>
              <w:rPr>
                <w:sz w:val="21"/>
              </w:rPr>
              <w:t>（深</w:t>
            </w:r>
            <w:r>
              <w:rPr>
                <w:spacing w:val="-1"/>
                <w:sz w:val="21"/>
              </w:rPr>
              <w:t>圳</w:t>
            </w:r>
            <w:r>
              <w:rPr>
                <w:sz w:val="21"/>
              </w:rPr>
              <w:t>）有限公司</w:t>
            </w:r>
          </w:p>
        </w:tc>
        <w:tc>
          <w:tcPr>
            <w:tcW w:w="1299" w:type="dxa"/>
          </w:tcPr>
          <w:p>
            <w:pPr>
              <w:pStyle w:val="TableParagraph"/>
              <w:spacing w:before="12"/>
              <w:rPr>
                <w:sz w:val="21"/>
              </w:rPr>
            </w:pPr>
          </w:p>
          <w:p>
            <w:pPr>
              <w:pStyle w:val="TableParagraph"/>
              <w:ind w:right="94"/>
              <w:jc w:val="right"/>
              <w:rPr>
                <w:rFonts w:ascii="Times New Roman"/>
                <w:sz w:val="21"/>
              </w:rPr>
            </w:pPr>
            <w:r>
              <w:rPr>
                <w:rFonts w:ascii="Times New Roman"/>
                <w:sz w:val="21"/>
              </w:rPr>
              <w:t>-88,237,784</w:t>
            </w:r>
          </w:p>
        </w:tc>
        <w:tc>
          <w:tcPr>
            <w:tcW w:w="1430" w:type="dxa"/>
          </w:tcPr>
          <w:p>
            <w:pPr>
              <w:pStyle w:val="TableParagraph"/>
              <w:spacing w:before="12"/>
              <w:rPr>
                <w:sz w:val="21"/>
              </w:rPr>
            </w:pPr>
          </w:p>
          <w:p>
            <w:pPr>
              <w:pStyle w:val="TableParagraph"/>
              <w:ind w:right="90"/>
              <w:jc w:val="right"/>
              <w:rPr>
                <w:rFonts w:ascii="Times New Roman"/>
                <w:sz w:val="21"/>
              </w:rPr>
            </w:pPr>
            <w:r>
              <w:rPr>
                <w:rFonts w:ascii="Times New Roman"/>
                <w:sz w:val="21"/>
              </w:rPr>
              <w:t>167,448,780</w:t>
            </w:r>
          </w:p>
        </w:tc>
        <w:tc>
          <w:tcPr>
            <w:tcW w:w="905" w:type="dxa"/>
          </w:tcPr>
          <w:p>
            <w:pPr>
              <w:pStyle w:val="TableParagraph"/>
              <w:spacing w:before="12"/>
              <w:rPr>
                <w:sz w:val="21"/>
              </w:rPr>
            </w:pPr>
          </w:p>
          <w:p>
            <w:pPr>
              <w:pStyle w:val="TableParagraph"/>
              <w:ind w:left="199" w:right="75"/>
              <w:jc w:val="center"/>
              <w:rPr>
                <w:rFonts w:ascii="Times New Roman"/>
                <w:sz w:val="21"/>
              </w:rPr>
            </w:pPr>
            <w:r>
              <w:rPr>
                <w:rFonts w:ascii="Times New Roman"/>
                <w:sz w:val="21"/>
              </w:rPr>
              <w:t>0.8432</w:t>
            </w:r>
          </w:p>
        </w:tc>
        <w:tc>
          <w:tcPr>
            <w:tcW w:w="619" w:type="dxa"/>
          </w:tcPr>
          <w:p>
            <w:pPr>
              <w:pStyle w:val="TableParagraph"/>
              <w:spacing w:before="12"/>
              <w:rPr>
                <w:sz w:val="21"/>
              </w:rPr>
            </w:pPr>
          </w:p>
          <w:p>
            <w:pPr>
              <w:pStyle w:val="TableParagraph"/>
              <w:ind w:right="95"/>
              <w:jc w:val="right"/>
              <w:rPr>
                <w:rFonts w:ascii="Times New Roman"/>
                <w:sz w:val="21"/>
              </w:rPr>
            </w:pPr>
            <w:r>
              <w:rPr>
                <w:rFonts w:ascii="Times New Roman"/>
                <w:w w:val="100"/>
                <w:sz w:val="21"/>
              </w:rPr>
              <w:t>0</w:t>
            </w:r>
          </w:p>
        </w:tc>
        <w:tc>
          <w:tcPr>
            <w:tcW w:w="792" w:type="dxa"/>
          </w:tcPr>
          <w:p>
            <w:pPr>
              <w:pStyle w:val="TableParagraph"/>
              <w:spacing w:before="3"/>
              <w:rPr>
                <w:sz w:val="21"/>
              </w:rPr>
            </w:pPr>
          </w:p>
          <w:p>
            <w:pPr>
              <w:pStyle w:val="TableParagraph"/>
              <w:ind w:left="166" w:right="155"/>
              <w:jc w:val="center"/>
              <w:rPr>
                <w:sz w:val="21"/>
              </w:rPr>
            </w:pPr>
            <w:r>
              <w:rPr>
                <w:sz w:val="21"/>
              </w:rPr>
              <w:t>质押</w:t>
            </w:r>
          </w:p>
        </w:tc>
        <w:tc>
          <w:tcPr>
            <w:tcW w:w="1165" w:type="dxa"/>
            <w:gridSpan w:val="2"/>
          </w:tcPr>
          <w:p>
            <w:pPr>
              <w:pStyle w:val="TableParagraph"/>
              <w:spacing w:before="12"/>
              <w:rPr>
                <w:sz w:val="21"/>
              </w:rPr>
            </w:pPr>
          </w:p>
          <w:p>
            <w:pPr>
              <w:pStyle w:val="TableParagraph"/>
              <w:ind w:left="108"/>
              <w:rPr>
                <w:rFonts w:ascii="Times New Roman"/>
                <w:sz w:val="21"/>
              </w:rPr>
            </w:pPr>
            <w:r>
              <w:rPr>
                <w:rFonts w:ascii="Times New Roman"/>
                <w:sz w:val="21"/>
              </w:rPr>
              <w:t>70,000,000</w:t>
            </w:r>
          </w:p>
        </w:tc>
        <w:tc>
          <w:tcPr>
            <w:tcW w:w="919" w:type="dxa"/>
          </w:tcPr>
          <w:p>
            <w:pPr>
              <w:pStyle w:val="TableParagraph"/>
              <w:spacing w:line="242" w:lineRule="auto" w:before="1"/>
              <w:ind w:left="106" w:right="167"/>
              <w:rPr>
                <w:sz w:val="21"/>
              </w:rPr>
            </w:pPr>
            <w:r>
              <w:rPr>
                <w:spacing w:val="-1"/>
                <w:sz w:val="21"/>
              </w:rPr>
              <w:t>境内非国有法</w:t>
            </w:r>
          </w:p>
          <w:p>
            <w:pPr>
              <w:pStyle w:val="TableParagraph"/>
              <w:spacing w:line="250" w:lineRule="exact" w:before="1"/>
              <w:ind w:left="106"/>
              <w:rPr>
                <w:sz w:val="21"/>
              </w:rPr>
            </w:pPr>
            <w:r>
              <w:rPr>
                <w:w w:val="100"/>
                <w:sz w:val="21"/>
              </w:rPr>
              <w:t>人</w:t>
            </w:r>
          </w:p>
        </w:tc>
      </w:tr>
      <w:tr>
        <w:trPr>
          <w:trHeight w:val="273" w:hRule="atLeast"/>
        </w:trPr>
        <w:tc>
          <w:tcPr>
            <w:tcW w:w="8823" w:type="dxa"/>
            <w:gridSpan w:val="9"/>
          </w:tcPr>
          <w:p>
            <w:pPr>
              <w:pStyle w:val="TableParagraph"/>
              <w:spacing w:line="252" w:lineRule="exact" w:before="1"/>
              <w:ind w:left="2981" w:right="2865"/>
              <w:jc w:val="center"/>
              <w:rPr>
                <w:sz w:val="21"/>
              </w:rPr>
            </w:pPr>
            <w:r>
              <w:rPr>
                <w:spacing w:val="-1"/>
                <w:sz w:val="21"/>
              </w:rPr>
              <w:t>前十名无限售条件股东持股情况</w:t>
            </w:r>
            <w:r>
              <w:rPr>
                <w:color w:val="FF9900"/>
                <w:sz w:val="21"/>
              </w:rPr>
              <w:t> </w:t>
            </w:r>
          </w:p>
        </w:tc>
      </w:tr>
      <w:tr>
        <w:trPr>
          <w:trHeight w:val="270" w:hRule="atLeast"/>
        </w:trPr>
        <w:tc>
          <w:tcPr>
            <w:tcW w:w="2993" w:type="dxa"/>
            <w:gridSpan w:val="2"/>
            <w:vMerge w:val="restart"/>
          </w:tcPr>
          <w:p>
            <w:pPr>
              <w:pStyle w:val="TableParagraph"/>
              <w:spacing w:before="142"/>
              <w:ind w:left="1074"/>
              <w:rPr>
                <w:sz w:val="21"/>
              </w:rPr>
            </w:pPr>
            <w:r>
              <w:rPr>
                <w:spacing w:val="-1"/>
                <w:sz w:val="21"/>
              </w:rPr>
              <w:t>股东名称</w:t>
            </w:r>
            <w:r>
              <w:rPr>
                <w:color w:val="FF9900"/>
                <w:sz w:val="21"/>
              </w:rPr>
              <w:t> </w:t>
            </w:r>
          </w:p>
        </w:tc>
        <w:tc>
          <w:tcPr>
            <w:tcW w:w="2954" w:type="dxa"/>
            <w:gridSpan w:val="3"/>
            <w:vMerge w:val="restart"/>
          </w:tcPr>
          <w:p>
            <w:pPr>
              <w:pStyle w:val="TableParagraph"/>
              <w:spacing w:before="142"/>
              <w:ind w:left="112" w:right="-15"/>
              <w:rPr>
                <w:sz w:val="21"/>
              </w:rPr>
            </w:pPr>
            <w:r>
              <w:rPr>
                <w:spacing w:val="-1"/>
                <w:sz w:val="21"/>
              </w:rPr>
              <w:t>持有无限售条件流通股的数量</w:t>
            </w:r>
            <w:r>
              <w:rPr>
                <w:color w:val="FF9900"/>
                <w:sz w:val="21"/>
              </w:rPr>
              <w:t> </w:t>
            </w:r>
          </w:p>
        </w:tc>
        <w:tc>
          <w:tcPr>
            <w:tcW w:w="2876" w:type="dxa"/>
            <w:gridSpan w:val="4"/>
          </w:tcPr>
          <w:p>
            <w:pPr>
              <w:pStyle w:val="TableParagraph"/>
              <w:spacing w:line="250" w:lineRule="exact" w:before="1"/>
              <w:ind w:left="701"/>
              <w:rPr>
                <w:sz w:val="21"/>
              </w:rPr>
            </w:pPr>
            <w:r>
              <w:rPr>
                <w:spacing w:val="-1"/>
                <w:sz w:val="21"/>
              </w:rPr>
              <w:t>股份种类及数量</w:t>
            </w:r>
            <w:r>
              <w:rPr>
                <w:color w:val="FF9900"/>
                <w:sz w:val="21"/>
              </w:rPr>
              <w:t> </w:t>
            </w:r>
          </w:p>
        </w:tc>
      </w:tr>
      <w:tr>
        <w:trPr>
          <w:trHeight w:val="273" w:hRule="atLeast"/>
        </w:trPr>
        <w:tc>
          <w:tcPr>
            <w:tcW w:w="2993" w:type="dxa"/>
            <w:gridSpan w:val="2"/>
            <w:vMerge/>
            <w:tcBorders>
              <w:top w:val="nil"/>
            </w:tcBorders>
          </w:tcPr>
          <w:p>
            <w:pPr>
              <w:rPr>
                <w:sz w:val="2"/>
                <w:szCs w:val="2"/>
              </w:rPr>
            </w:pPr>
          </w:p>
        </w:tc>
        <w:tc>
          <w:tcPr>
            <w:tcW w:w="2954" w:type="dxa"/>
            <w:gridSpan w:val="3"/>
            <w:vMerge/>
            <w:tcBorders>
              <w:top w:val="nil"/>
            </w:tcBorders>
          </w:tcPr>
          <w:p>
            <w:pPr>
              <w:rPr>
                <w:sz w:val="2"/>
                <w:szCs w:val="2"/>
              </w:rPr>
            </w:pPr>
          </w:p>
        </w:tc>
        <w:tc>
          <w:tcPr>
            <w:tcW w:w="1376" w:type="dxa"/>
            <w:gridSpan w:val="2"/>
          </w:tcPr>
          <w:p>
            <w:pPr>
              <w:pStyle w:val="TableParagraph"/>
              <w:spacing w:line="250" w:lineRule="exact" w:before="3"/>
              <w:ind w:left="476"/>
              <w:rPr>
                <w:sz w:val="21"/>
              </w:rPr>
            </w:pPr>
            <w:r>
              <w:rPr>
                <w:sz w:val="21"/>
              </w:rPr>
              <w:t>种类</w:t>
            </w:r>
            <w:r>
              <w:rPr>
                <w:color w:val="008000"/>
                <w:sz w:val="21"/>
              </w:rPr>
              <w:t> </w:t>
            </w:r>
          </w:p>
        </w:tc>
        <w:tc>
          <w:tcPr>
            <w:tcW w:w="1500" w:type="dxa"/>
            <w:gridSpan w:val="2"/>
          </w:tcPr>
          <w:p>
            <w:pPr>
              <w:pStyle w:val="TableParagraph"/>
              <w:spacing w:line="250" w:lineRule="exact" w:before="3"/>
              <w:ind w:left="538"/>
              <w:rPr>
                <w:sz w:val="21"/>
              </w:rPr>
            </w:pPr>
            <w:r>
              <w:rPr>
                <w:sz w:val="21"/>
              </w:rPr>
              <w:t>数量</w:t>
            </w:r>
            <w:r>
              <w:rPr>
                <w:color w:val="008000"/>
                <w:sz w:val="21"/>
              </w:rPr>
              <w:t> </w:t>
            </w:r>
          </w:p>
        </w:tc>
      </w:tr>
      <w:tr>
        <w:trPr>
          <w:trHeight w:val="545" w:hRule="atLeast"/>
        </w:trPr>
        <w:tc>
          <w:tcPr>
            <w:tcW w:w="2993" w:type="dxa"/>
            <w:gridSpan w:val="2"/>
          </w:tcPr>
          <w:p>
            <w:pPr>
              <w:pStyle w:val="TableParagraph"/>
              <w:spacing w:before="25"/>
              <w:ind w:left="107" w:right="780"/>
              <w:rPr>
                <w:rFonts w:ascii="Times New Roman"/>
                <w:sz w:val="21"/>
              </w:rPr>
            </w:pPr>
            <w:r>
              <w:rPr>
                <w:rFonts w:ascii="Times New Roman"/>
                <w:sz w:val="21"/>
              </w:rPr>
              <w:t>China Galaxy Enterprise</w:t>
            </w:r>
            <w:r>
              <w:rPr>
                <w:rFonts w:ascii="Times New Roman"/>
                <w:spacing w:val="-50"/>
                <w:sz w:val="21"/>
              </w:rPr>
              <w:t> </w:t>
            </w:r>
            <w:r>
              <w:rPr>
                <w:rFonts w:ascii="Times New Roman"/>
                <w:sz w:val="21"/>
              </w:rPr>
              <w:t>Limited</w:t>
            </w:r>
          </w:p>
        </w:tc>
        <w:tc>
          <w:tcPr>
            <w:tcW w:w="2954" w:type="dxa"/>
            <w:gridSpan w:val="3"/>
          </w:tcPr>
          <w:p>
            <w:pPr>
              <w:pStyle w:val="TableParagraph"/>
              <w:spacing w:before="145"/>
              <w:ind w:left="1642"/>
              <w:rPr>
                <w:rFonts w:ascii="Times New Roman"/>
                <w:sz w:val="21"/>
              </w:rPr>
            </w:pPr>
            <w:r>
              <w:rPr>
                <w:rFonts w:ascii="Times New Roman"/>
                <w:sz w:val="21"/>
              </w:rPr>
              <w:t>7,293,115,611</w:t>
            </w:r>
          </w:p>
        </w:tc>
        <w:tc>
          <w:tcPr>
            <w:tcW w:w="1376" w:type="dxa"/>
            <w:gridSpan w:val="2"/>
          </w:tcPr>
          <w:p>
            <w:pPr>
              <w:pStyle w:val="TableParagraph"/>
              <w:spacing w:before="1"/>
              <w:ind w:left="143" w:right="132"/>
              <w:jc w:val="center"/>
              <w:rPr>
                <w:sz w:val="21"/>
              </w:rPr>
            </w:pPr>
            <w:r>
              <w:rPr>
                <w:sz w:val="21"/>
              </w:rPr>
              <w:t>人民币普通</w:t>
            </w:r>
          </w:p>
          <w:p>
            <w:pPr>
              <w:pStyle w:val="TableParagraph"/>
              <w:spacing w:line="250" w:lineRule="exact" w:before="5"/>
              <w:ind w:left="8"/>
              <w:jc w:val="center"/>
              <w:rPr>
                <w:sz w:val="21"/>
              </w:rPr>
            </w:pPr>
            <w:r>
              <w:rPr>
                <w:w w:val="100"/>
                <w:sz w:val="21"/>
              </w:rPr>
              <w:t>股</w:t>
            </w:r>
          </w:p>
        </w:tc>
        <w:tc>
          <w:tcPr>
            <w:tcW w:w="1500" w:type="dxa"/>
            <w:gridSpan w:val="2"/>
          </w:tcPr>
          <w:p>
            <w:pPr>
              <w:pStyle w:val="TableParagraph"/>
              <w:spacing w:before="145"/>
              <w:ind w:left="185"/>
              <w:rPr>
                <w:rFonts w:ascii="Times New Roman"/>
                <w:sz w:val="21"/>
              </w:rPr>
            </w:pPr>
            <w:r>
              <w:rPr>
                <w:rFonts w:ascii="Times New Roman"/>
                <w:sz w:val="21"/>
              </w:rPr>
              <w:t>7,293,115,611</w:t>
            </w:r>
          </w:p>
        </w:tc>
      </w:tr>
      <w:tr>
        <w:trPr>
          <w:trHeight w:val="544" w:hRule="atLeast"/>
        </w:trPr>
        <w:tc>
          <w:tcPr>
            <w:tcW w:w="2993" w:type="dxa"/>
            <w:gridSpan w:val="2"/>
          </w:tcPr>
          <w:p>
            <w:pPr>
              <w:pStyle w:val="TableParagraph"/>
              <w:spacing w:before="137"/>
              <w:ind w:left="107"/>
              <w:rPr>
                <w:sz w:val="21"/>
              </w:rPr>
            </w:pPr>
            <w:r>
              <w:rPr>
                <w:sz w:val="21"/>
              </w:rPr>
              <w:t>富泰华工业（深圳）有限公司</w:t>
            </w:r>
          </w:p>
        </w:tc>
        <w:tc>
          <w:tcPr>
            <w:tcW w:w="2954" w:type="dxa"/>
            <w:gridSpan w:val="3"/>
          </w:tcPr>
          <w:p>
            <w:pPr>
              <w:pStyle w:val="TableParagraph"/>
              <w:spacing w:before="147"/>
              <w:ind w:left="1642"/>
              <w:rPr>
                <w:rFonts w:ascii="Times New Roman"/>
                <w:sz w:val="21"/>
              </w:rPr>
            </w:pPr>
            <w:r>
              <w:rPr>
                <w:rFonts w:ascii="Times New Roman"/>
                <w:sz w:val="21"/>
              </w:rPr>
              <w:t>4,364,680,127</w:t>
            </w:r>
          </w:p>
        </w:tc>
        <w:tc>
          <w:tcPr>
            <w:tcW w:w="1376" w:type="dxa"/>
            <w:gridSpan w:val="2"/>
          </w:tcPr>
          <w:p>
            <w:pPr>
              <w:pStyle w:val="TableParagraph"/>
              <w:spacing w:before="1"/>
              <w:ind w:left="143" w:right="132"/>
              <w:jc w:val="center"/>
              <w:rPr>
                <w:sz w:val="21"/>
              </w:rPr>
            </w:pPr>
            <w:r>
              <w:rPr>
                <w:sz w:val="21"/>
              </w:rPr>
              <w:t>人民币普通</w:t>
            </w:r>
          </w:p>
          <w:p>
            <w:pPr>
              <w:pStyle w:val="TableParagraph"/>
              <w:spacing w:line="250" w:lineRule="exact" w:before="4"/>
              <w:ind w:left="8"/>
              <w:jc w:val="center"/>
              <w:rPr>
                <w:sz w:val="21"/>
              </w:rPr>
            </w:pPr>
            <w:r>
              <w:rPr>
                <w:w w:val="100"/>
                <w:sz w:val="21"/>
              </w:rPr>
              <w:t>股</w:t>
            </w:r>
          </w:p>
        </w:tc>
        <w:tc>
          <w:tcPr>
            <w:tcW w:w="1500" w:type="dxa"/>
            <w:gridSpan w:val="2"/>
          </w:tcPr>
          <w:p>
            <w:pPr>
              <w:pStyle w:val="TableParagraph"/>
              <w:spacing w:before="147"/>
              <w:ind w:left="185"/>
              <w:rPr>
                <w:rFonts w:ascii="Times New Roman"/>
                <w:sz w:val="21"/>
              </w:rPr>
            </w:pPr>
            <w:r>
              <w:rPr>
                <w:rFonts w:ascii="Times New Roman"/>
                <w:sz w:val="21"/>
              </w:rPr>
              <w:t>4,364,680,127</w:t>
            </w:r>
          </w:p>
        </w:tc>
      </w:tr>
      <w:tr>
        <w:trPr>
          <w:trHeight w:val="544" w:hRule="atLeast"/>
        </w:trPr>
        <w:tc>
          <w:tcPr>
            <w:tcW w:w="2993" w:type="dxa"/>
            <w:gridSpan w:val="2"/>
          </w:tcPr>
          <w:p>
            <w:pPr>
              <w:pStyle w:val="TableParagraph"/>
              <w:spacing w:before="24"/>
              <w:ind w:left="107" w:right="196"/>
              <w:rPr>
                <w:rFonts w:ascii="Times New Roman"/>
                <w:sz w:val="21"/>
              </w:rPr>
            </w:pPr>
            <w:r>
              <w:rPr>
                <w:rFonts w:ascii="Times New Roman"/>
                <w:sz w:val="21"/>
              </w:rPr>
              <w:t>Ambit Microsystems (Cayman)</w:t>
            </w:r>
            <w:r>
              <w:rPr>
                <w:rFonts w:ascii="Times New Roman"/>
                <w:spacing w:val="-50"/>
                <w:sz w:val="21"/>
              </w:rPr>
              <w:t> </w:t>
            </w:r>
            <w:r>
              <w:rPr>
                <w:rFonts w:ascii="Times New Roman"/>
                <w:sz w:val="21"/>
              </w:rPr>
              <w:t>Ltd.</w:t>
            </w:r>
          </w:p>
        </w:tc>
        <w:tc>
          <w:tcPr>
            <w:tcW w:w="2954" w:type="dxa"/>
            <w:gridSpan w:val="3"/>
          </w:tcPr>
          <w:p>
            <w:pPr>
              <w:pStyle w:val="TableParagraph"/>
              <w:spacing w:before="147"/>
              <w:ind w:left="1642"/>
              <w:rPr>
                <w:rFonts w:ascii="Times New Roman"/>
                <w:sz w:val="21"/>
              </w:rPr>
            </w:pPr>
            <w:r>
              <w:rPr>
                <w:rFonts w:ascii="Times New Roman"/>
                <w:sz w:val="21"/>
              </w:rPr>
              <w:t>1,902,255,034</w:t>
            </w:r>
          </w:p>
        </w:tc>
        <w:tc>
          <w:tcPr>
            <w:tcW w:w="1376" w:type="dxa"/>
            <w:gridSpan w:val="2"/>
          </w:tcPr>
          <w:p>
            <w:pPr>
              <w:pStyle w:val="TableParagraph"/>
              <w:spacing w:before="1"/>
              <w:ind w:left="143" w:right="132"/>
              <w:jc w:val="center"/>
              <w:rPr>
                <w:sz w:val="21"/>
              </w:rPr>
            </w:pPr>
            <w:r>
              <w:rPr>
                <w:sz w:val="21"/>
              </w:rPr>
              <w:t>人民币普通</w:t>
            </w:r>
          </w:p>
          <w:p>
            <w:pPr>
              <w:pStyle w:val="TableParagraph"/>
              <w:spacing w:line="250" w:lineRule="exact" w:before="4"/>
              <w:ind w:left="8"/>
              <w:jc w:val="center"/>
              <w:rPr>
                <w:sz w:val="21"/>
              </w:rPr>
            </w:pPr>
            <w:r>
              <w:rPr>
                <w:w w:val="100"/>
                <w:sz w:val="21"/>
              </w:rPr>
              <w:t>股</w:t>
            </w:r>
          </w:p>
        </w:tc>
        <w:tc>
          <w:tcPr>
            <w:tcW w:w="1500" w:type="dxa"/>
            <w:gridSpan w:val="2"/>
          </w:tcPr>
          <w:p>
            <w:pPr>
              <w:pStyle w:val="TableParagraph"/>
              <w:spacing w:before="147"/>
              <w:ind w:left="185"/>
              <w:rPr>
                <w:rFonts w:ascii="Times New Roman"/>
                <w:sz w:val="21"/>
              </w:rPr>
            </w:pPr>
            <w:r>
              <w:rPr>
                <w:rFonts w:ascii="Times New Roman"/>
                <w:sz w:val="21"/>
              </w:rPr>
              <w:t>1,902,255,034</w:t>
            </w:r>
          </w:p>
        </w:tc>
      </w:tr>
      <w:tr>
        <w:trPr>
          <w:trHeight w:val="546" w:hRule="atLeast"/>
        </w:trPr>
        <w:tc>
          <w:tcPr>
            <w:tcW w:w="2993" w:type="dxa"/>
            <w:gridSpan w:val="2"/>
          </w:tcPr>
          <w:p>
            <w:pPr>
              <w:pStyle w:val="TableParagraph"/>
              <w:spacing w:line="270" w:lineRule="atLeast"/>
              <w:ind w:left="107" w:right="139"/>
              <w:rPr>
                <w:sz w:val="21"/>
              </w:rPr>
            </w:pPr>
            <w:r>
              <w:rPr>
                <w:sz w:val="21"/>
              </w:rPr>
              <w:t>鸿富锦精密工业（深圳）有限公司</w:t>
            </w:r>
          </w:p>
        </w:tc>
        <w:tc>
          <w:tcPr>
            <w:tcW w:w="2954" w:type="dxa"/>
            <w:gridSpan w:val="3"/>
          </w:tcPr>
          <w:p>
            <w:pPr>
              <w:pStyle w:val="TableParagraph"/>
              <w:spacing w:before="147"/>
              <w:ind w:left="1642"/>
              <w:rPr>
                <w:rFonts w:ascii="Times New Roman"/>
                <w:sz w:val="21"/>
              </w:rPr>
            </w:pPr>
            <w:r>
              <w:rPr>
                <w:rFonts w:ascii="Times New Roman"/>
                <w:sz w:val="21"/>
              </w:rPr>
              <w:t>1,635,887,159</w:t>
            </w:r>
          </w:p>
        </w:tc>
        <w:tc>
          <w:tcPr>
            <w:tcW w:w="1376" w:type="dxa"/>
            <w:gridSpan w:val="2"/>
          </w:tcPr>
          <w:p>
            <w:pPr>
              <w:pStyle w:val="TableParagraph"/>
              <w:spacing w:line="270" w:lineRule="atLeast"/>
              <w:ind w:left="581" w:right="148" w:hanging="420"/>
              <w:rPr>
                <w:sz w:val="21"/>
              </w:rPr>
            </w:pPr>
            <w:r>
              <w:rPr>
                <w:sz w:val="21"/>
              </w:rPr>
              <w:t>人民币普通股</w:t>
            </w:r>
          </w:p>
        </w:tc>
        <w:tc>
          <w:tcPr>
            <w:tcW w:w="1500" w:type="dxa"/>
            <w:gridSpan w:val="2"/>
          </w:tcPr>
          <w:p>
            <w:pPr>
              <w:pStyle w:val="TableParagraph"/>
              <w:spacing w:before="147"/>
              <w:ind w:left="185"/>
              <w:rPr>
                <w:rFonts w:ascii="Times New Roman"/>
                <w:sz w:val="21"/>
              </w:rPr>
            </w:pPr>
            <w:r>
              <w:rPr>
                <w:rFonts w:ascii="Times New Roman"/>
                <w:sz w:val="21"/>
              </w:rPr>
              <w:t>1,635,887,159</w:t>
            </w:r>
          </w:p>
        </w:tc>
      </w:tr>
      <w:tr>
        <w:trPr>
          <w:trHeight w:val="544" w:hRule="atLeast"/>
        </w:trPr>
        <w:tc>
          <w:tcPr>
            <w:tcW w:w="2993" w:type="dxa"/>
            <w:gridSpan w:val="2"/>
          </w:tcPr>
          <w:p>
            <w:pPr>
              <w:pStyle w:val="TableParagraph"/>
              <w:spacing w:before="1"/>
              <w:ind w:left="107"/>
              <w:rPr>
                <w:sz w:val="21"/>
              </w:rPr>
            </w:pPr>
            <w:r>
              <w:rPr>
                <w:sz w:val="21"/>
              </w:rPr>
              <w:t>鸿富锦精密电子（郑州）有限</w:t>
            </w:r>
          </w:p>
          <w:p>
            <w:pPr>
              <w:pStyle w:val="TableParagraph"/>
              <w:spacing w:line="252" w:lineRule="exact" w:before="2"/>
              <w:ind w:left="107"/>
              <w:rPr>
                <w:sz w:val="21"/>
              </w:rPr>
            </w:pPr>
            <w:r>
              <w:rPr>
                <w:sz w:val="21"/>
              </w:rPr>
              <w:t>公司</w:t>
            </w:r>
          </w:p>
        </w:tc>
        <w:tc>
          <w:tcPr>
            <w:tcW w:w="2954" w:type="dxa"/>
            <w:gridSpan w:val="3"/>
          </w:tcPr>
          <w:p>
            <w:pPr>
              <w:pStyle w:val="TableParagraph"/>
              <w:spacing w:before="144"/>
              <w:ind w:left="1798"/>
              <w:rPr>
                <w:rFonts w:ascii="Times New Roman"/>
                <w:sz w:val="21"/>
              </w:rPr>
            </w:pPr>
            <w:r>
              <w:rPr>
                <w:rFonts w:ascii="Times New Roman"/>
                <w:sz w:val="21"/>
              </w:rPr>
              <w:t>597,861,110</w:t>
            </w:r>
          </w:p>
        </w:tc>
        <w:tc>
          <w:tcPr>
            <w:tcW w:w="1376" w:type="dxa"/>
            <w:gridSpan w:val="2"/>
          </w:tcPr>
          <w:p>
            <w:pPr>
              <w:pStyle w:val="TableParagraph"/>
              <w:spacing w:before="1"/>
              <w:ind w:left="143" w:right="132"/>
              <w:jc w:val="center"/>
              <w:rPr>
                <w:sz w:val="21"/>
              </w:rPr>
            </w:pPr>
            <w:r>
              <w:rPr>
                <w:sz w:val="21"/>
              </w:rPr>
              <w:t>人民币普通</w:t>
            </w:r>
          </w:p>
          <w:p>
            <w:pPr>
              <w:pStyle w:val="TableParagraph"/>
              <w:spacing w:line="252" w:lineRule="exact" w:before="2"/>
              <w:ind w:left="8"/>
              <w:jc w:val="center"/>
              <w:rPr>
                <w:sz w:val="21"/>
              </w:rPr>
            </w:pPr>
            <w:r>
              <w:rPr>
                <w:w w:val="100"/>
                <w:sz w:val="21"/>
              </w:rPr>
              <w:t>股</w:t>
            </w:r>
          </w:p>
        </w:tc>
        <w:tc>
          <w:tcPr>
            <w:tcW w:w="1500" w:type="dxa"/>
            <w:gridSpan w:val="2"/>
          </w:tcPr>
          <w:p>
            <w:pPr>
              <w:pStyle w:val="TableParagraph"/>
              <w:spacing w:before="144"/>
              <w:ind w:left="341"/>
              <w:rPr>
                <w:rFonts w:ascii="Times New Roman"/>
                <w:sz w:val="21"/>
              </w:rPr>
            </w:pPr>
            <w:r>
              <w:rPr>
                <w:rFonts w:ascii="Times New Roman"/>
                <w:sz w:val="21"/>
              </w:rPr>
              <w:t>597,861,110</w:t>
            </w:r>
          </w:p>
        </w:tc>
      </w:tr>
    </w:tbl>
    <w:p>
      <w:pPr>
        <w:spacing w:after="0"/>
        <w:rPr>
          <w:rFonts w:ascii="Times New Roman"/>
          <w:sz w:val="21"/>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93"/>
        <w:gridCol w:w="2954"/>
        <w:gridCol w:w="1375"/>
        <w:gridCol w:w="1499"/>
      </w:tblGrid>
      <w:tr>
        <w:trPr>
          <w:trHeight w:val="547" w:hRule="atLeast"/>
        </w:trPr>
        <w:tc>
          <w:tcPr>
            <w:tcW w:w="2993" w:type="dxa"/>
          </w:tcPr>
          <w:p>
            <w:pPr>
              <w:pStyle w:val="TableParagraph"/>
              <w:spacing w:before="138"/>
              <w:ind w:left="107"/>
              <w:rPr>
                <w:sz w:val="21"/>
              </w:rPr>
            </w:pPr>
            <w:r>
              <w:rPr>
                <w:sz w:val="21"/>
              </w:rPr>
              <w:t>香港中央结算有限公司</w:t>
            </w:r>
          </w:p>
        </w:tc>
        <w:tc>
          <w:tcPr>
            <w:tcW w:w="2954" w:type="dxa"/>
          </w:tcPr>
          <w:p>
            <w:pPr>
              <w:pStyle w:val="TableParagraph"/>
              <w:spacing w:before="147"/>
              <w:ind w:right="90"/>
              <w:jc w:val="right"/>
              <w:rPr>
                <w:rFonts w:ascii="Times New Roman"/>
                <w:sz w:val="21"/>
              </w:rPr>
            </w:pPr>
            <w:r>
              <w:rPr>
                <w:rFonts w:ascii="Times New Roman"/>
                <w:sz w:val="21"/>
              </w:rPr>
              <w:t>568,749,360</w:t>
            </w:r>
          </w:p>
        </w:tc>
        <w:tc>
          <w:tcPr>
            <w:tcW w:w="1375" w:type="dxa"/>
          </w:tcPr>
          <w:p>
            <w:pPr>
              <w:pStyle w:val="TableParagraph"/>
              <w:spacing w:line="270" w:lineRule="atLeast"/>
              <w:ind w:left="581" w:right="147" w:hanging="420"/>
              <w:rPr>
                <w:sz w:val="21"/>
              </w:rPr>
            </w:pPr>
            <w:r>
              <w:rPr>
                <w:sz w:val="21"/>
              </w:rPr>
              <w:t>人民币普通股</w:t>
            </w:r>
          </w:p>
        </w:tc>
        <w:tc>
          <w:tcPr>
            <w:tcW w:w="1499" w:type="dxa"/>
          </w:tcPr>
          <w:p>
            <w:pPr>
              <w:pStyle w:val="TableParagraph"/>
              <w:spacing w:before="147"/>
              <w:ind w:right="90"/>
              <w:jc w:val="right"/>
              <w:rPr>
                <w:rFonts w:ascii="Times New Roman"/>
                <w:sz w:val="21"/>
              </w:rPr>
            </w:pPr>
            <w:r>
              <w:rPr>
                <w:rFonts w:ascii="Times New Roman"/>
                <w:sz w:val="21"/>
              </w:rPr>
              <w:t>568,749,360</w:t>
            </w:r>
          </w:p>
        </w:tc>
      </w:tr>
      <w:tr>
        <w:trPr>
          <w:trHeight w:val="544" w:hRule="atLeast"/>
        </w:trPr>
        <w:tc>
          <w:tcPr>
            <w:tcW w:w="2993" w:type="dxa"/>
          </w:tcPr>
          <w:p>
            <w:pPr>
              <w:pStyle w:val="TableParagraph"/>
              <w:spacing w:before="144"/>
              <w:ind w:left="107"/>
              <w:rPr>
                <w:rFonts w:ascii="Times New Roman"/>
                <w:sz w:val="21"/>
              </w:rPr>
            </w:pPr>
            <w:r>
              <w:rPr>
                <w:rFonts w:ascii="Times New Roman"/>
                <w:sz w:val="21"/>
              </w:rPr>
              <w:t>Argyle</w:t>
            </w:r>
            <w:r>
              <w:rPr>
                <w:rFonts w:ascii="Times New Roman"/>
                <w:spacing w:val="-4"/>
                <w:sz w:val="21"/>
              </w:rPr>
              <w:t> </w:t>
            </w:r>
            <w:r>
              <w:rPr>
                <w:rFonts w:ascii="Times New Roman"/>
                <w:sz w:val="21"/>
              </w:rPr>
              <w:t>Holdings</w:t>
            </w:r>
            <w:r>
              <w:rPr>
                <w:rFonts w:ascii="Times New Roman"/>
                <w:spacing w:val="-3"/>
                <w:sz w:val="21"/>
              </w:rPr>
              <w:t> </w:t>
            </w:r>
            <w:r>
              <w:rPr>
                <w:rFonts w:ascii="Times New Roman"/>
                <w:sz w:val="21"/>
              </w:rPr>
              <w:t>Limited</w:t>
            </w:r>
          </w:p>
        </w:tc>
        <w:tc>
          <w:tcPr>
            <w:tcW w:w="2954" w:type="dxa"/>
          </w:tcPr>
          <w:p>
            <w:pPr>
              <w:pStyle w:val="TableParagraph"/>
              <w:spacing w:before="144"/>
              <w:ind w:right="90"/>
              <w:jc w:val="right"/>
              <w:rPr>
                <w:rFonts w:ascii="Times New Roman"/>
                <w:sz w:val="21"/>
              </w:rPr>
            </w:pPr>
            <w:r>
              <w:rPr>
                <w:rFonts w:ascii="Times New Roman"/>
                <w:sz w:val="21"/>
              </w:rPr>
              <w:t>327,104,697</w:t>
            </w:r>
          </w:p>
        </w:tc>
        <w:tc>
          <w:tcPr>
            <w:tcW w:w="1375" w:type="dxa"/>
          </w:tcPr>
          <w:p>
            <w:pPr>
              <w:pStyle w:val="TableParagraph"/>
              <w:spacing w:before="1"/>
              <w:ind w:left="143" w:right="131"/>
              <w:jc w:val="center"/>
              <w:rPr>
                <w:sz w:val="21"/>
              </w:rPr>
            </w:pPr>
            <w:r>
              <w:rPr>
                <w:sz w:val="21"/>
              </w:rPr>
              <w:t>人民币普通</w:t>
            </w:r>
          </w:p>
          <w:p>
            <w:pPr>
              <w:pStyle w:val="TableParagraph"/>
              <w:spacing w:line="252" w:lineRule="exact" w:before="2"/>
              <w:ind w:left="9"/>
              <w:jc w:val="center"/>
              <w:rPr>
                <w:sz w:val="21"/>
              </w:rPr>
            </w:pPr>
            <w:r>
              <w:rPr>
                <w:w w:val="100"/>
                <w:sz w:val="21"/>
              </w:rPr>
              <w:t>股</w:t>
            </w:r>
          </w:p>
        </w:tc>
        <w:tc>
          <w:tcPr>
            <w:tcW w:w="1499" w:type="dxa"/>
          </w:tcPr>
          <w:p>
            <w:pPr>
              <w:pStyle w:val="TableParagraph"/>
              <w:spacing w:before="144"/>
              <w:ind w:right="90"/>
              <w:jc w:val="right"/>
              <w:rPr>
                <w:rFonts w:ascii="Times New Roman"/>
                <w:sz w:val="21"/>
              </w:rPr>
            </w:pPr>
            <w:r>
              <w:rPr>
                <w:rFonts w:ascii="Times New Roman"/>
                <w:sz w:val="21"/>
              </w:rPr>
              <w:t>327,104,697</w:t>
            </w:r>
          </w:p>
        </w:tc>
      </w:tr>
      <w:tr>
        <w:trPr>
          <w:trHeight w:val="544" w:hRule="atLeast"/>
        </w:trPr>
        <w:tc>
          <w:tcPr>
            <w:tcW w:w="2993" w:type="dxa"/>
          </w:tcPr>
          <w:p>
            <w:pPr>
              <w:pStyle w:val="TableParagraph"/>
              <w:spacing w:before="144"/>
              <w:ind w:left="107"/>
              <w:rPr>
                <w:rFonts w:ascii="Times New Roman"/>
                <w:sz w:val="21"/>
              </w:rPr>
            </w:pPr>
            <w:r>
              <w:rPr>
                <w:rFonts w:ascii="Times New Roman"/>
                <w:sz w:val="21"/>
              </w:rPr>
              <w:t>Joy</w:t>
            </w:r>
            <w:r>
              <w:rPr>
                <w:rFonts w:ascii="Times New Roman"/>
                <w:spacing w:val="-7"/>
                <w:sz w:val="21"/>
              </w:rPr>
              <w:t> </w:t>
            </w:r>
            <w:r>
              <w:rPr>
                <w:rFonts w:ascii="Times New Roman"/>
                <w:sz w:val="21"/>
              </w:rPr>
              <w:t>Even</w:t>
            </w:r>
            <w:r>
              <w:rPr>
                <w:rFonts w:ascii="Times New Roman"/>
                <w:spacing w:val="-1"/>
                <w:sz w:val="21"/>
              </w:rPr>
              <w:t> </w:t>
            </w:r>
            <w:r>
              <w:rPr>
                <w:rFonts w:ascii="Times New Roman"/>
                <w:sz w:val="21"/>
              </w:rPr>
              <w:t>Holdings</w:t>
            </w:r>
            <w:r>
              <w:rPr>
                <w:rFonts w:ascii="Times New Roman"/>
                <w:spacing w:val="-1"/>
                <w:sz w:val="21"/>
              </w:rPr>
              <w:t> </w:t>
            </w:r>
            <w:r>
              <w:rPr>
                <w:rFonts w:ascii="Times New Roman"/>
                <w:sz w:val="21"/>
              </w:rPr>
              <w:t>Limited</w:t>
            </w:r>
          </w:p>
        </w:tc>
        <w:tc>
          <w:tcPr>
            <w:tcW w:w="2954" w:type="dxa"/>
          </w:tcPr>
          <w:p>
            <w:pPr>
              <w:pStyle w:val="TableParagraph"/>
              <w:spacing w:before="144"/>
              <w:ind w:right="90"/>
              <w:jc w:val="right"/>
              <w:rPr>
                <w:rFonts w:ascii="Times New Roman"/>
                <w:sz w:val="21"/>
              </w:rPr>
            </w:pPr>
            <w:r>
              <w:rPr>
                <w:rFonts w:ascii="Times New Roman"/>
                <w:sz w:val="21"/>
              </w:rPr>
              <w:t>247,590,604</w:t>
            </w:r>
          </w:p>
        </w:tc>
        <w:tc>
          <w:tcPr>
            <w:tcW w:w="1375" w:type="dxa"/>
          </w:tcPr>
          <w:p>
            <w:pPr>
              <w:pStyle w:val="TableParagraph"/>
              <w:spacing w:before="1"/>
              <w:ind w:left="143" w:right="131"/>
              <w:jc w:val="center"/>
              <w:rPr>
                <w:sz w:val="21"/>
              </w:rPr>
            </w:pPr>
            <w:r>
              <w:rPr>
                <w:sz w:val="21"/>
              </w:rPr>
              <w:t>人民币普通</w:t>
            </w:r>
          </w:p>
          <w:p>
            <w:pPr>
              <w:pStyle w:val="TableParagraph"/>
              <w:spacing w:line="252" w:lineRule="exact" w:before="2"/>
              <w:ind w:left="9"/>
              <w:jc w:val="center"/>
              <w:rPr>
                <w:sz w:val="21"/>
              </w:rPr>
            </w:pPr>
            <w:r>
              <w:rPr>
                <w:w w:val="100"/>
                <w:sz w:val="21"/>
              </w:rPr>
              <w:t>股</w:t>
            </w:r>
          </w:p>
        </w:tc>
        <w:tc>
          <w:tcPr>
            <w:tcW w:w="1499" w:type="dxa"/>
          </w:tcPr>
          <w:p>
            <w:pPr>
              <w:pStyle w:val="TableParagraph"/>
              <w:spacing w:before="144"/>
              <w:ind w:right="90"/>
              <w:jc w:val="right"/>
              <w:rPr>
                <w:rFonts w:ascii="Times New Roman"/>
                <w:sz w:val="21"/>
              </w:rPr>
            </w:pPr>
            <w:r>
              <w:rPr>
                <w:rFonts w:ascii="Times New Roman"/>
                <w:sz w:val="21"/>
              </w:rPr>
              <w:t>247,590,604</w:t>
            </w:r>
          </w:p>
        </w:tc>
      </w:tr>
      <w:tr>
        <w:trPr>
          <w:trHeight w:val="544" w:hRule="atLeast"/>
        </w:trPr>
        <w:tc>
          <w:tcPr>
            <w:tcW w:w="2993" w:type="dxa"/>
          </w:tcPr>
          <w:p>
            <w:pPr>
              <w:pStyle w:val="TableParagraph"/>
              <w:spacing w:before="1"/>
              <w:ind w:left="107"/>
              <w:rPr>
                <w:sz w:val="21"/>
              </w:rPr>
            </w:pPr>
            <w:r>
              <w:rPr>
                <w:sz w:val="21"/>
              </w:rPr>
              <w:t>深圳市恒创誉峰咨询管理合伙</w:t>
            </w:r>
          </w:p>
          <w:p>
            <w:pPr>
              <w:pStyle w:val="TableParagraph"/>
              <w:spacing w:line="252" w:lineRule="exact" w:before="2"/>
              <w:ind w:left="107"/>
              <w:rPr>
                <w:sz w:val="21"/>
              </w:rPr>
            </w:pPr>
            <w:r>
              <w:rPr>
                <w:sz w:val="21"/>
              </w:rPr>
              <w:t>企业（有限合伙）</w:t>
            </w:r>
          </w:p>
        </w:tc>
        <w:tc>
          <w:tcPr>
            <w:tcW w:w="2954" w:type="dxa"/>
          </w:tcPr>
          <w:p>
            <w:pPr>
              <w:pStyle w:val="TableParagraph"/>
              <w:spacing w:before="144"/>
              <w:ind w:right="90"/>
              <w:jc w:val="right"/>
              <w:rPr>
                <w:rFonts w:ascii="Times New Roman"/>
                <w:sz w:val="21"/>
              </w:rPr>
            </w:pPr>
            <w:r>
              <w:rPr>
                <w:rFonts w:ascii="Times New Roman"/>
                <w:sz w:val="21"/>
              </w:rPr>
              <w:t>194,630,872</w:t>
            </w:r>
          </w:p>
        </w:tc>
        <w:tc>
          <w:tcPr>
            <w:tcW w:w="1375" w:type="dxa"/>
          </w:tcPr>
          <w:p>
            <w:pPr>
              <w:pStyle w:val="TableParagraph"/>
              <w:spacing w:before="1"/>
              <w:ind w:left="143" w:right="131"/>
              <w:jc w:val="center"/>
              <w:rPr>
                <w:sz w:val="21"/>
              </w:rPr>
            </w:pPr>
            <w:r>
              <w:rPr>
                <w:sz w:val="21"/>
              </w:rPr>
              <w:t>人民币普通</w:t>
            </w:r>
          </w:p>
          <w:p>
            <w:pPr>
              <w:pStyle w:val="TableParagraph"/>
              <w:spacing w:line="252" w:lineRule="exact" w:before="2"/>
              <w:ind w:left="9"/>
              <w:jc w:val="center"/>
              <w:rPr>
                <w:sz w:val="21"/>
              </w:rPr>
            </w:pPr>
            <w:r>
              <w:rPr>
                <w:w w:val="100"/>
                <w:sz w:val="21"/>
              </w:rPr>
              <w:t>股</w:t>
            </w:r>
          </w:p>
        </w:tc>
        <w:tc>
          <w:tcPr>
            <w:tcW w:w="1499" w:type="dxa"/>
          </w:tcPr>
          <w:p>
            <w:pPr>
              <w:pStyle w:val="TableParagraph"/>
              <w:spacing w:before="144"/>
              <w:ind w:right="90"/>
              <w:jc w:val="right"/>
              <w:rPr>
                <w:rFonts w:ascii="Times New Roman"/>
                <w:sz w:val="21"/>
              </w:rPr>
            </w:pPr>
            <w:r>
              <w:rPr>
                <w:rFonts w:ascii="Times New Roman"/>
                <w:sz w:val="21"/>
              </w:rPr>
              <w:t>194,630,872</w:t>
            </w:r>
          </w:p>
        </w:tc>
      </w:tr>
      <w:tr>
        <w:trPr>
          <w:trHeight w:val="544" w:hRule="atLeast"/>
        </w:trPr>
        <w:tc>
          <w:tcPr>
            <w:tcW w:w="2993" w:type="dxa"/>
          </w:tcPr>
          <w:p>
            <w:pPr>
              <w:pStyle w:val="TableParagraph"/>
              <w:spacing w:before="137"/>
              <w:ind w:left="107"/>
              <w:rPr>
                <w:sz w:val="21"/>
              </w:rPr>
            </w:pPr>
            <w:r>
              <w:rPr>
                <w:spacing w:val="-1"/>
                <w:sz w:val="21"/>
              </w:rPr>
              <w:t>深超光电</w:t>
            </w:r>
            <w:r>
              <w:rPr>
                <w:sz w:val="21"/>
              </w:rPr>
              <w:t>（深圳）有限公司</w:t>
            </w:r>
          </w:p>
        </w:tc>
        <w:tc>
          <w:tcPr>
            <w:tcW w:w="2954" w:type="dxa"/>
          </w:tcPr>
          <w:p>
            <w:pPr>
              <w:pStyle w:val="TableParagraph"/>
              <w:spacing w:before="144"/>
              <w:ind w:right="90"/>
              <w:jc w:val="right"/>
              <w:rPr>
                <w:rFonts w:ascii="Times New Roman"/>
                <w:sz w:val="21"/>
              </w:rPr>
            </w:pPr>
            <w:r>
              <w:rPr>
                <w:rFonts w:ascii="Times New Roman"/>
                <w:sz w:val="21"/>
              </w:rPr>
              <w:t>167,448,780</w:t>
            </w:r>
          </w:p>
        </w:tc>
        <w:tc>
          <w:tcPr>
            <w:tcW w:w="1375" w:type="dxa"/>
          </w:tcPr>
          <w:p>
            <w:pPr>
              <w:pStyle w:val="TableParagraph"/>
              <w:spacing w:before="1"/>
              <w:ind w:left="143" w:right="131"/>
              <w:jc w:val="center"/>
              <w:rPr>
                <w:sz w:val="21"/>
              </w:rPr>
            </w:pPr>
            <w:r>
              <w:rPr>
                <w:sz w:val="21"/>
              </w:rPr>
              <w:t>人民币普通</w:t>
            </w:r>
          </w:p>
          <w:p>
            <w:pPr>
              <w:pStyle w:val="TableParagraph"/>
              <w:spacing w:line="250" w:lineRule="exact" w:before="4"/>
              <w:ind w:left="9"/>
              <w:jc w:val="center"/>
              <w:rPr>
                <w:sz w:val="21"/>
              </w:rPr>
            </w:pPr>
            <w:r>
              <w:rPr>
                <w:w w:val="100"/>
                <w:sz w:val="21"/>
              </w:rPr>
              <w:t>股</w:t>
            </w:r>
          </w:p>
        </w:tc>
        <w:tc>
          <w:tcPr>
            <w:tcW w:w="1499" w:type="dxa"/>
          </w:tcPr>
          <w:p>
            <w:pPr>
              <w:pStyle w:val="TableParagraph"/>
              <w:spacing w:before="144"/>
              <w:ind w:right="90"/>
              <w:jc w:val="right"/>
              <w:rPr>
                <w:rFonts w:ascii="Times New Roman"/>
                <w:sz w:val="21"/>
              </w:rPr>
            </w:pPr>
            <w:r>
              <w:rPr>
                <w:rFonts w:ascii="Times New Roman"/>
                <w:sz w:val="21"/>
              </w:rPr>
              <w:t>167,448,780</w:t>
            </w:r>
          </w:p>
        </w:tc>
      </w:tr>
      <w:tr>
        <w:trPr>
          <w:trHeight w:val="817" w:hRule="atLeast"/>
        </w:trPr>
        <w:tc>
          <w:tcPr>
            <w:tcW w:w="2993" w:type="dxa"/>
          </w:tcPr>
          <w:p>
            <w:pPr>
              <w:pStyle w:val="TableParagraph"/>
              <w:spacing w:line="242" w:lineRule="auto" w:before="138"/>
              <w:ind w:left="107" w:right="139"/>
              <w:rPr>
                <w:sz w:val="21"/>
              </w:rPr>
            </w:pPr>
            <w:r>
              <w:rPr>
                <w:sz w:val="21"/>
              </w:rPr>
              <w:t>前十名股东中回购专户情况说明</w:t>
            </w:r>
          </w:p>
        </w:tc>
        <w:tc>
          <w:tcPr>
            <w:tcW w:w="5828" w:type="dxa"/>
            <w:gridSpan w:val="3"/>
          </w:tcPr>
          <w:p>
            <w:pPr>
              <w:pStyle w:val="TableParagraph"/>
              <w:spacing w:line="244" w:lineRule="auto" w:before="1"/>
              <w:ind w:left="108" w:right="242"/>
              <w:rPr>
                <w:sz w:val="21"/>
              </w:rPr>
            </w:pPr>
            <w:r>
              <w:rPr>
                <w:sz w:val="21"/>
              </w:rPr>
              <w:t>截至本报告期末，富士康工业互联网股份有限公司回购专用</w:t>
            </w:r>
            <w:r>
              <w:rPr>
                <w:spacing w:val="-6"/>
                <w:sz w:val="21"/>
              </w:rPr>
              <w:t>证券账户持有本公司股份 </w:t>
            </w:r>
            <w:r>
              <w:rPr>
                <w:rFonts w:ascii="Times New Roman" w:eastAsia="Times New Roman"/>
                <w:sz w:val="21"/>
              </w:rPr>
              <w:t>125,977,669</w:t>
            </w:r>
            <w:r>
              <w:rPr>
                <w:rFonts w:ascii="Times New Roman" w:eastAsia="Times New Roman"/>
                <w:spacing w:val="-10"/>
                <w:sz w:val="21"/>
              </w:rPr>
              <w:t> </w:t>
            </w:r>
            <w:r>
              <w:rPr>
                <w:sz w:val="21"/>
              </w:rPr>
              <w:t>股，占总股本比例为</w:t>
            </w:r>
          </w:p>
          <w:p>
            <w:pPr>
              <w:pStyle w:val="TableParagraph"/>
              <w:spacing w:line="248" w:lineRule="exact"/>
              <w:ind w:left="108"/>
              <w:rPr>
                <w:sz w:val="21"/>
              </w:rPr>
            </w:pPr>
            <w:r>
              <w:rPr>
                <w:rFonts w:ascii="Times New Roman" w:eastAsia="Times New Roman"/>
                <w:sz w:val="21"/>
              </w:rPr>
              <w:t>0.63%</w:t>
            </w:r>
            <w:r>
              <w:rPr>
                <w:sz w:val="21"/>
              </w:rPr>
              <w:t>。</w:t>
            </w:r>
          </w:p>
        </w:tc>
      </w:tr>
      <w:tr>
        <w:trPr>
          <w:trHeight w:val="545" w:hRule="atLeast"/>
        </w:trPr>
        <w:tc>
          <w:tcPr>
            <w:tcW w:w="2993" w:type="dxa"/>
          </w:tcPr>
          <w:p>
            <w:pPr>
              <w:pStyle w:val="TableParagraph"/>
              <w:spacing w:before="1"/>
              <w:ind w:left="107"/>
              <w:rPr>
                <w:sz w:val="21"/>
              </w:rPr>
            </w:pPr>
            <w:r>
              <w:rPr>
                <w:spacing w:val="-1"/>
                <w:sz w:val="21"/>
              </w:rPr>
              <w:t>上述股东委托表决权、受托表</w:t>
            </w:r>
          </w:p>
          <w:p>
            <w:pPr>
              <w:pStyle w:val="TableParagraph"/>
              <w:spacing w:line="252" w:lineRule="exact" w:before="2"/>
              <w:ind w:left="107"/>
              <w:rPr>
                <w:sz w:val="21"/>
              </w:rPr>
            </w:pPr>
            <w:r>
              <w:rPr>
                <w:spacing w:val="-1"/>
                <w:sz w:val="21"/>
              </w:rPr>
              <w:t>决权、放弃表决权的说明</w:t>
            </w:r>
            <w:r>
              <w:rPr>
                <w:sz w:val="21"/>
              </w:rPr>
              <w:t> </w:t>
            </w:r>
          </w:p>
        </w:tc>
        <w:tc>
          <w:tcPr>
            <w:tcW w:w="5828" w:type="dxa"/>
            <w:gridSpan w:val="3"/>
          </w:tcPr>
          <w:p>
            <w:pPr>
              <w:pStyle w:val="TableParagraph"/>
              <w:spacing w:before="138"/>
              <w:ind w:left="108"/>
              <w:rPr>
                <w:sz w:val="21"/>
              </w:rPr>
            </w:pPr>
            <w:r>
              <w:rPr>
                <w:sz w:val="21"/>
              </w:rPr>
              <w:t>不适用 </w:t>
            </w:r>
          </w:p>
        </w:tc>
      </w:tr>
      <w:tr>
        <w:trPr>
          <w:trHeight w:val="1905" w:hRule="atLeast"/>
        </w:trPr>
        <w:tc>
          <w:tcPr>
            <w:tcW w:w="2993" w:type="dxa"/>
          </w:tcPr>
          <w:p>
            <w:pPr>
              <w:pStyle w:val="TableParagraph"/>
              <w:rPr>
                <w:sz w:val="20"/>
              </w:rPr>
            </w:pPr>
          </w:p>
          <w:p>
            <w:pPr>
              <w:pStyle w:val="TableParagraph"/>
              <w:rPr>
                <w:sz w:val="20"/>
              </w:rPr>
            </w:pPr>
          </w:p>
          <w:p>
            <w:pPr>
              <w:pStyle w:val="TableParagraph"/>
              <w:spacing w:line="242" w:lineRule="auto" w:before="170"/>
              <w:ind w:left="107" w:right="139"/>
              <w:rPr>
                <w:sz w:val="21"/>
              </w:rPr>
            </w:pPr>
            <w:r>
              <w:rPr>
                <w:sz w:val="21"/>
              </w:rPr>
              <w:t>上述股东关联关系或一致行动的说明 </w:t>
            </w:r>
          </w:p>
        </w:tc>
        <w:tc>
          <w:tcPr>
            <w:tcW w:w="5828" w:type="dxa"/>
            <w:gridSpan w:val="3"/>
          </w:tcPr>
          <w:p>
            <w:pPr>
              <w:pStyle w:val="TableParagraph"/>
              <w:spacing w:line="242" w:lineRule="auto" w:before="1"/>
              <w:ind w:left="108" w:right="88"/>
              <w:jc w:val="both"/>
              <w:rPr>
                <w:sz w:val="21"/>
              </w:rPr>
            </w:pPr>
            <w:r>
              <w:rPr>
                <w:rFonts w:ascii="Times New Roman" w:eastAsia="Times New Roman"/>
                <w:sz w:val="21"/>
              </w:rPr>
              <w:t>China</w:t>
            </w:r>
            <w:r>
              <w:rPr>
                <w:rFonts w:ascii="Times New Roman" w:eastAsia="Times New Roman"/>
                <w:spacing w:val="28"/>
                <w:sz w:val="21"/>
              </w:rPr>
              <w:t> </w:t>
            </w:r>
            <w:r>
              <w:rPr>
                <w:rFonts w:ascii="Times New Roman" w:eastAsia="Times New Roman"/>
                <w:sz w:val="21"/>
              </w:rPr>
              <w:t>Galaxy</w:t>
            </w:r>
            <w:r>
              <w:rPr>
                <w:rFonts w:ascii="Times New Roman" w:eastAsia="Times New Roman"/>
                <w:spacing w:val="26"/>
                <w:sz w:val="21"/>
              </w:rPr>
              <w:t> </w:t>
            </w:r>
            <w:r>
              <w:rPr>
                <w:rFonts w:ascii="Times New Roman" w:eastAsia="Times New Roman"/>
                <w:sz w:val="21"/>
              </w:rPr>
              <w:t>Enterprise</w:t>
            </w:r>
            <w:r>
              <w:rPr>
                <w:rFonts w:ascii="Times New Roman" w:eastAsia="Times New Roman"/>
                <w:spacing w:val="30"/>
                <w:sz w:val="21"/>
              </w:rPr>
              <w:t> </w:t>
            </w:r>
            <w:r>
              <w:rPr>
                <w:rFonts w:ascii="Times New Roman" w:eastAsia="Times New Roman"/>
                <w:sz w:val="21"/>
              </w:rPr>
              <w:t>Limited</w:t>
            </w:r>
            <w:r>
              <w:rPr>
                <w:sz w:val="21"/>
              </w:rPr>
              <w:t>、富泰华工业（深圳）有限公司、</w:t>
            </w:r>
            <w:r>
              <w:rPr>
                <w:rFonts w:ascii="Times New Roman" w:eastAsia="Times New Roman"/>
                <w:sz w:val="21"/>
              </w:rPr>
              <w:t>Ambit</w:t>
            </w:r>
            <w:r>
              <w:rPr>
                <w:rFonts w:ascii="Times New Roman" w:eastAsia="Times New Roman"/>
                <w:spacing w:val="8"/>
                <w:sz w:val="21"/>
              </w:rPr>
              <w:t> </w:t>
            </w:r>
            <w:r>
              <w:rPr>
                <w:rFonts w:ascii="Times New Roman" w:eastAsia="Times New Roman"/>
                <w:sz w:val="21"/>
              </w:rPr>
              <w:t>Microsystems</w:t>
            </w:r>
            <w:r>
              <w:rPr>
                <w:rFonts w:ascii="Times New Roman" w:eastAsia="Times New Roman"/>
                <w:spacing w:val="4"/>
                <w:sz w:val="21"/>
              </w:rPr>
              <w:t> (</w:t>
            </w:r>
            <w:r>
              <w:rPr>
                <w:rFonts w:ascii="Times New Roman" w:eastAsia="Times New Roman"/>
                <w:sz w:val="21"/>
              </w:rPr>
              <w:t>Cayman)</w:t>
            </w:r>
            <w:r>
              <w:rPr>
                <w:rFonts w:ascii="Times New Roman" w:eastAsia="Times New Roman"/>
                <w:spacing w:val="11"/>
                <w:sz w:val="21"/>
              </w:rPr>
              <w:t> </w:t>
            </w:r>
            <w:r>
              <w:rPr>
                <w:rFonts w:ascii="Times New Roman" w:eastAsia="Times New Roman"/>
                <w:sz w:val="21"/>
              </w:rPr>
              <w:t>Ltd.</w:t>
            </w:r>
            <w:r>
              <w:rPr>
                <w:sz w:val="21"/>
              </w:rPr>
              <w:t>、鸿富锦精密工业（深圳）有限公司、鸿富锦精密电子（郑州）</w:t>
            </w:r>
            <w:r>
              <w:rPr>
                <w:spacing w:val="2"/>
                <w:sz w:val="21"/>
              </w:rPr>
              <w:t>有限公司、</w:t>
            </w:r>
            <w:r>
              <w:rPr>
                <w:rFonts w:ascii="Times New Roman" w:eastAsia="Times New Roman"/>
                <w:sz w:val="21"/>
              </w:rPr>
              <w:t>Argyle</w:t>
            </w:r>
            <w:r>
              <w:rPr>
                <w:rFonts w:ascii="Times New Roman" w:eastAsia="Times New Roman"/>
                <w:spacing w:val="1"/>
                <w:sz w:val="21"/>
              </w:rPr>
              <w:t> </w:t>
            </w:r>
            <w:r>
              <w:rPr>
                <w:rFonts w:ascii="Times New Roman" w:eastAsia="Times New Roman"/>
                <w:sz w:val="21"/>
              </w:rPr>
              <w:t>Holdings</w:t>
            </w:r>
            <w:r>
              <w:rPr>
                <w:rFonts w:ascii="Times New Roman" w:eastAsia="Times New Roman"/>
                <w:spacing w:val="20"/>
                <w:sz w:val="21"/>
              </w:rPr>
              <w:t> </w:t>
            </w:r>
            <w:r>
              <w:rPr>
                <w:rFonts w:ascii="Times New Roman" w:eastAsia="Times New Roman"/>
                <w:sz w:val="21"/>
              </w:rPr>
              <w:t>Limited</w:t>
            </w:r>
            <w:r>
              <w:rPr>
                <w:sz w:val="21"/>
              </w:rPr>
              <w:t>、</w:t>
            </w:r>
            <w:r>
              <w:rPr>
                <w:rFonts w:ascii="Times New Roman" w:eastAsia="Times New Roman"/>
                <w:sz w:val="21"/>
              </w:rPr>
              <w:t>Joy</w:t>
            </w:r>
            <w:r>
              <w:rPr>
                <w:rFonts w:ascii="Times New Roman" w:eastAsia="Times New Roman"/>
                <w:spacing w:val="15"/>
                <w:sz w:val="21"/>
              </w:rPr>
              <w:t> </w:t>
            </w:r>
            <w:r>
              <w:rPr>
                <w:rFonts w:ascii="Times New Roman" w:eastAsia="Times New Roman"/>
                <w:sz w:val="21"/>
              </w:rPr>
              <w:t>Even</w:t>
            </w:r>
            <w:r>
              <w:rPr>
                <w:rFonts w:ascii="Times New Roman" w:eastAsia="Times New Roman"/>
                <w:spacing w:val="21"/>
                <w:sz w:val="21"/>
              </w:rPr>
              <w:t> </w:t>
            </w:r>
            <w:r>
              <w:rPr>
                <w:rFonts w:ascii="Times New Roman" w:eastAsia="Times New Roman"/>
                <w:sz w:val="21"/>
              </w:rPr>
              <w:t>Holdings</w:t>
            </w:r>
            <w:r>
              <w:rPr>
                <w:rFonts w:ascii="Times New Roman" w:eastAsia="Times New Roman"/>
                <w:spacing w:val="20"/>
                <w:sz w:val="21"/>
              </w:rPr>
              <w:t> </w:t>
            </w:r>
            <w:r>
              <w:rPr>
                <w:rFonts w:ascii="Times New Roman" w:eastAsia="Times New Roman"/>
                <w:sz w:val="21"/>
              </w:rPr>
              <w:t>Limited</w:t>
            </w:r>
            <w:r>
              <w:rPr>
                <w:rFonts w:ascii="Times New Roman" w:eastAsia="Times New Roman"/>
                <w:spacing w:val="-8"/>
                <w:sz w:val="21"/>
              </w:rPr>
              <w:t> </w:t>
            </w:r>
            <w:r>
              <w:rPr>
                <w:sz w:val="21"/>
              </w:rPr>
              <w:t>同受鸿海精密控制。除此之外，本公司未知其他上述股东之间是否存在关联关系，也未知其他股东之间是否属于《上市公司收购管理办</w:t>
            </w:r>
          </w:p>
          <w:p>
            <w:pPr>
              <w:pStyle w:val="TableParagraph"/>
              <w:spacing w:line="250" w:lineRule="exact" w:before="4"/>
              <w:ind w:left="108"/>
              <w:rPr>
                <w:sz w:val="21"/>
              </w:rPr>
            </w:pPr>
            <w:r>
              <w:rPr>
                <w:spacing w:val="-1"/>
                <w:sz w:val="21"/>
              </w:rPr>
              <w:t>法》中规定的一致行动人。</w:t>
            </w:r>
          </w:p>
        </w:tc>
      </w:tr>
      <w:tr>
        <w:trPr>
          <w:trHeight w:val="546" w:hRule="atLeast"/>
        </w:trPr>
        <w:tc>
          <w:tcPr>
            <w:tcW w:w="2993" w:type="dxa"/>
          </w:tcPr>
          <w:p>
            <w:pPr>
              <w:pStyle w:val="TableParagraph"/>
              <w:spacing w:before="1"/>
              <w:ind w:left="107"/>
              <w:rPr>
                <w:sz w:val="21"/>
              </w:rPr>
            </w:pPr>
            <w:r>
              <w:rPr>
                <w:sz w:val="21"/>
              </w:rPr>
              <w:t>表决权恢复的优先股股东及持</w:t>
            </w:r>
          </w:p>
          <w:p>
            <w:pPr>
              <w:pStyle w:val="TableParagraph"/>
              <w:spacing w:line="252" w:lineRule="exact" w:before="4"/>
              <w:ind w:left="107"/>
              <w:rPr>
                <w:sz w:val="21"/>
              </w:rPr>
            </w:pPr>
            <w:r>
              <w:rPr>
                <w:spacing w:val="-1"/>
                <w:sz w:val="21"/>
              </w:rPr>
              <w:t>股数量的说明</w:t>
            </w:r>
            <w:r>
              <w:rPr>
                <w:sz w:val="21"/>
              </w:rPr>
              <w:t> </w:t>
            </w:r>
          </w:p>
        </w:tc>
        <w:tc>
          <w:tcPr>
            <w:tcW w:w="5828" w:type="dxa"/>
            <w:gridSpan w:val="3"/>
          </w:tcPr>
          <w:p>
            <w:pPr>
              <w:pStyle w:val="TableParagraph"/>
              <w:spacing w:before="138"/>
              <w:ind w:left="108"/>
              <w:rPr>
                <w:sz w:val="21"/>
              </w:rPr>
            </w:pPr>
            <w:r>
              <w:rPr>
                <w:sz w:val="21"/>
              </w:rPr>
              <w:t>不适用 </w:t>
            </w:r>
          </w:p>
        </w:tc>
      </w:tr>
    </w:tbl>
    <w:p>
      <w:pPr>
        <w:pStyle w:val="BodyText"/>
        <w:spacing w:before="1"/>
      </w:pPr>
      <w:r>
        <w:rPr>
          <w:spacing w:val="-1"/>
        </w:rPr>
        <w:t>前十名有限售条件股东持股数量及限售条件</w:t>
      </w:r>
      <w:r>
        <w:rPr/>
        <w:t> </w:t>
      </w:r>
    </w:p>
    <w:p>
      <w:pPr>
        <w:pStyle w:val="BodyText"/>
        <w:spacing w:before="2"/>
      </w:pPr>
      <w:r>
        <w:rPr>
          <w:spacing w:val="-1"/>
        </w:rPr>
        <w:t>√适用 □不适用</w:t>
      </w:r>
      <w:r>
        <w:rPr>
          <w:spacing w:val="-3"/>
        </w:rPr>
        <w:t> </w:t>
      </w:r>
      <w:r>
        <w:rPr/>
        <w:t> </w:t>
      </w:r>
    </w:p>
    <w:p>
      <w:pPr>
        <w:pStyle w:val="BodyText"/>
        <w:spacing w:before="3" w:after="3"/>
        <w:ind w:left="8311"/>
      </w:pPr>
      <w:r>
        <w:rPr>
          <w:spacing w:val="-1"/>
        </w:rPr>
        <w:t>单位：股</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4"/>
        <w:gridCol w:w="1347"/>
        <w:gridCol w:w="1561"/>
        <w:gridCol w:w="1136"/>
        <w:gridCol w:w="1702"/>
        <w:gridCol w:w="2447"/>
      </w:tblGrid>
      <w:tr>
        <w:trPr>
          <w:trHeight w:val="544" w:hRule="atLeast"/>
        </w:trPr>
        <w:tc>
          <w:tcPr>
            <w:tcW w:w="634" w:type="dxa"/>
            <w:vMerge w:val="restart"/>
          </w:tcPr>
          <w:p>
            <w:pPr>
              <w:pStyle w:val="TableParagraph"/>
              <w:spacing w:before="10"/>
              <w:rPr>
                <w:sz w:val="21"/>
              </w:rPr>
            </w:pPr>
          </w:p>
          <w:p>
            <w:pPr>
              <w:pStyle w:val="TableParagraph"/>
              <w:spacing w:line="242" w:lineRule="auto"/>
              <w:ind w:left="210" w:right="199"/>
              <w:rPr>
                <w:sz w:val="21"/>
              </w:rPr>
            </w:pPr>
            <w:r>
              <w:rPr>
                <w:sz w:val="21"/>
              </w:rPr>
              <w:t>序号</w:t>
            </w:r>
          </w:p>
        </w:tc>
        <w:tc>
          <w:tcPr>
            <w:tcW w:w="1347" w:type="dxa"/>
            <w:vMerge w:val="restart"/>
            <w:tcBorders>
              <w:right w:val="single" w:sz="6" w:space="0" w:color="000000"/>
            </w:tcBorders>
          </w:tcPr>
          <w:p>
            <w:pPr>
              <w:pStyle w:val="TableParagraph"/>
              <w:spacing w:before="10"/>
              <w:rPr>
                <w:sz w:val="21"/>
              </w:rPr>
            </w:pPr>
          </w:p>
          <w:p>
            <w:pPr>
              <w:pStyle w:val="TableParagraph"/>
              <w:spacing w:line="242" w:lineRule="auto"/>
              <w:ind w:left="251" w:right="133" w:hanging="106"/>
              <w:rPr>
                <w:sz w:val="21"/>
              </w:rPr>
            </w:pPr>
            <w:r>
              <w:rPr>
                <w:spacing w:val="-1"/>
                <w:sz w:val="21"/>
              </w:rPr>
              <w:t>有限售条件</w:t>
            </w:r>
            <w:r>
              <w:rPr>
                <w:sz w:val="21"/>
              </w:rPr>
              <w:t>股东名称</w:t>
            </w:r>
          </w:p>
        </w:tc>
        <w:tc>
          <w:tcPr>
            <w:tcW w:w="1561" w:type="dxa"/>
            <w:vMerge w:val="restart"/>
            <w:tcBorders>
              <w:left w:val="single" w:sz="6" w:space="0" w:color="000000"/>
            </w:tcBorders>
          </w:tcPr>
          <w:p>
            <w:pPr>
              <w:pStyle w:val="TableParagraph"/>
              <w:spacing w:before="10"/>
              <w:rPr>
                <w:sz w:val="21"/>
              </w:rPr>
            </w:pPr>
          </w:p>
          <w:p>
            <w:pPr>
              <w:pStyle w:val="TableParagraph"/>
              <w:spacing w:line="242" w:lineRule="auto"/>
              <w:ind w:left="143" w:right="140"/>
              <w:rPr>
                <w:sz w:val="21"/>
              </w:rPr>
            </w:pPr>
            <w:r>
              <w:rPr>
                <w:spacing w:val="-1"/>
                <w:sz w:val="21"/>
              </w:rPr>
              <w:t>持有的有限售条件股份数量</w:t>
            </w:r>
          </w:p>
        </w:tc>
        <w:tc>
          <w:tcPr>
            <w:tcW w:w="2838" w:type="dxa"/>
            <w:gridSpan w:val="2"/>
          </w:tcPr>
          <w:p>
            <w:pPr>
              <w:pStyle w:val="TableParagraph"/>
              <w:spacing w:before="1"/>
              <w:ind w:left="141" w:right="138"/>
              <w:jc w:val="center"/>
              <w:rPr>
                <w:sz w:val="21"/>
              </w:rPr>
            </w:pPr>
            <w:r>
              <w:rPr>
                <w:spacing w:val="-1"/>
                <w:sz w:val="21"/>
              </w:rPr>
              <w:t>有限售条件股份可上市交易</w:t>
            </w:r>
          </w:p>
          <w:p>
            <w:pPr>
              <w:pStyle w:val="TableParagraph"/>
              <w:spacing w:line="250" w:lineRule="exact" w:before="4"/>
              <w:ind w:left="141" w:right="135"/>
              <w:jc w:val="center"/>
              <w:rPr>
                <w:sz w:val="21"/>
              </w:rPr>
            </w:pPr>
            <w:r>
              <w:rPr>
                <w:sz w:val="21"/>
              </w:rPr>
              <w:t>情况</w:t>
            </w:r>
          </w:p>
        </w:tc>
        <w:tc>
          <w:tcPr>
            <w:tcW w:w="2447" w:type="dxa"/>
            <w:vMerge w:val="restart"/>
          </w:tcPr>
          <w:p>
            <w:pPr>
              <w:pStyle w:val="TableParagraph"/>
              <w:rPr>
                <w:sz w:val="20"/>
              </w:rPr>
            </w:pPr>
          </w:p>
          <w:p>
            <w:pPr>
              <w:pStyle w:val="TableParagraph"/>
              <w:spacing w:before="157"/>
              <w:ind w:left="799"/>
              <w:rPr>
                <w:sz w:val="21"/>
              </w:rPr>
            </w:pPr>
            <w:r>
              <w:rPr>
                <w:sz w:val="21"/>
              </w:rPr>
              <w:t>限售条件</w:t>
            </w:r>
          </w:p>
        </w:tc>
      </w:tr>
      <w:tr>
        <w:trPr>
          <w:trHeight w:val="544" w:hRule="atLeast"/>
        </w:trPr>
        <w:tc>
          <w:tcPr>
            <w:tcW w:w="634" w:type="dxa"/>
            <w:vMerge/>
            <w:tcBorders>
              <w:top w:val="nil"/>
            </w:tcBorders>
          </w:tcPr>
          <w:p>
            <w:pPr>
              <w:rPr>
                <w:sz w:val="2"/>
                <w:szCs w:val="2"/>
              </w:rPr>
            </w:pPr>
          </w:p>
        </w:tc>
        <w:tc>
          <w:tcPr>
            <w:tcW w:w="1347" w:type="dxa"/>
            <w:vMerge/>
            <w:tcBorders>
              <w:top w:val="nil"/>
              <w:right w:val="single" w:sz="6" w:space="0" w:color="000000"/>
            </w:tcBorders>
          </w:tcPr>
          <w:p>
            <w:pPr>
              <w:rPr>
                <w:sz w:val="2"/>
                <w:szCs w:val="2"/>
              </w:rPr>
            </w:pPr>
          </w:p>
        </w:tc>
        <w:tc>
          <w:tcPr>
            <w:tcW w:w="1561" w:type="dxa"/>
            <w:vMerge/>
            <w:tcBorders>
              <w:top w:val="nil"/>
              <w:left w:val="single" w:sz="6" w:space="0" w:color="000000"/>
            </w:tcBorders>
          </w:tcPr>
          <w:p>
            <w:pPr>
              <w:rPr>
                <w:sz w:val="2"/>
                <w:szCs w:val="2"/>
              </w:rPr>
            </w:pPr>
          </w:p>
        </w:tc>
        <w:tc>
          <w:tcPr>
            <w:tcW w:w="1136" w:type="dxa"/>
          </w:tcPr>
          <w:p>
            <w:pPr>
              <w:pStyle w:val="TableParagraph"/>
              <w:spacing w:before="1"/>
              <w:ind w:left="142"/>
              <w:rPr>
                <w:sz w:val="21"/>
              </w:rPr>
            </w:pPr>
            <w:r>
              <w:rPr>
                <w:sz w:val="21"/>
              </w:rPr>
              <w:t>可上市交</w:t>
            </w:r>
          </w:p>
          <w:p>
            <w:pPr>
              <w:pStyle w:val="TableParagraph"/>
              <w:spacing w:line="250" w:lineRule="exact" w:before="4"/>
              <w:ind w:left="247"/>
              <w:rPr>
                <w:sz w:val="21"/>
              </w:rPr>
            </w:pPr>
            <w:r>
              <w:rPr>
                <w:sz w:val="21"/>
              </w:rPr>
              <w:t>易时间</w:t>
            </w:r>
          </w:p>
        </w:tc>
        <w:tc>
          <w:tcPr>
            <w:tcW w:w="1702" w:type="dxa"/>
          </w:tcPr>
          <w:p>
            <w:pPr>
              <w:pStyle w:val="TableParagraph"/>
              <w:spacing w:before="1"/>
              <w:ind w:left="92" w:right="89"/>
              <w:jc w:val="center"/>
              <w:rPr>
                <w:sz w:val="21"/>
              </w:rPr>
            </w:pPr>
            <w:r>
              <w:rPr>
                <w:sz w:val="21"/>
              </w:rPr>
              <w:t>新增可上市交易</w:t>
            </w:r>
          </w:p>
          <w:p>
            <w:pPr>
              <w:pStyle w:val="TableParagraph"/>
              <w:spacing w:line="250" w:lineRule="exact" w:before="4"/>
              <w:ind w:left="92" w:right="87"/>
              <w:jc w:val="center"/>
              <w:rPr>
                <w:sz w:val="21"/>
              </w:rPr>
            </w:pPr>
            <w:r>
              <w:rPr>
                <w:sz w:val="21"/>
              </w:rPr>
              <w:t>股份数量</w:t>
            </w:r>
          </w:p>
        </w:tc>
        <w:tc>
          <w:tcPr>
            <w:tcW w:w="2447" w:type="dxa"/>
            <w:vMerge/>
            <w:tcBorders>
              <w:top w:val="nil"/>
            </w:tcBorders>
          </w:tcPr>
          <w:p>
            <w:pPr>
              <w:rPr>
                <w:sz w:val="2"/>
                <w:szCs w:val="2"/>
              </w:rPr>
            </w:pPr>
          </w:p>
        </w:tc>
      </w:tr>
      <w:tr>
        <w:trPr>
          <w:trHeight w:val="544" w:hRule="atLeast"/>
        </w:trPr>
        <w:tc>
          <w:tcPr>
            <w:tcW w:w="634" w:type="dxa"/>
          </w:tcPr>
          <w:p>
            <w:pPr>
              <w:pStyle w:val="TableParagraph"/>
              <w:spacing w:line="235" w:lineRule="exact"/>
              <w:ind w:left="107"/>
              <w:rPr>
                <w:rFonts w:ascii="Times New Roman"/>
                <w:sz w:val="21"/>
              </w:rPr>
            </w:pPr>
            <w:r>
              <w:rPr>
                <w:rFonts w:ascii="Times New Roman"/>
                <w:w w:val="100"/>
                <w:sz w:val="21"/>
              </w:rPr>
              <w:t>1</w:t>
            </w:r>
          </w:p>
        </w:tc>
        <w:tc>
          <w:tcPr>
            <w:tcW w:w="1347" w:type="dxa"/>
            <w:tcBorders>
              <w:right w:val="single" w:sz="6" w:space="0" w:color="000000"/>
            </w:tcBorders>
          </w:tcPr>
          <w:p>
            <w:pPr>
              <w:pStyle w:val="TableParagraph"/>
              <w:spacing w:before="1"/>
              <w:ind w:left="107"/>
              <w:rPr>
                <w:sz w:val="21"/>
              </w:rPr>
            </w:pPr>
            <w:r>
              <w:rPr>
                <w:sz w:val="21"/>
              </w:rPr>
              <w:t>刘宗长</w:t>
            </w:r>
          </w:p>
        </w:tc>
        <w:tc>
          <w:tcPr>
            <w:tcW w:w="1561" w:type="dxa"/>
            <w:tcBorders>
              <w:left w:val="single" w:sz="6" w:space="0" w:color="000000"/>
            </w:tcBorders>
          </w:tcPr>
          <w:p>
            <w:pPr>
              <w:pStyle w:val="TableParagraph"/>
              <w:spacing w:line="235" w:lineRule="exact"/>
              <w:ind w:right="97"/>
              <w:jc w:val="right"/>
              <w:rPr>
                <w:rFonts w:ascii="Times New Roman"/>
                <w:sz w:val="21"/>
              </w:rPr>
            </w:pPr>
            <w:r>
              <w:rPr>
                <w:rFonts w:ascii="Times New Roman"/>
                <w:sz w:val="21"/>
              </w:rPr>
              <w:t>1,000,000</w:t>
            </w:r>
          </w:p>
        </w:tc>
        <w:tc>
          <w:tcPr>
            <w:tcW w:w="1136" w:type="dxa"/>
          </w:tcPr>
          <w:p>
            <w:pPr>
              <w:pStyle w:val="TableParagraph"/>
              <w:spacing w:before="1"/>
              <w:ind w:left="103"/>
              <w:rPr>
                <w:sz w:val="21"/>
              </w:rPr>
            </w:pPr>
            <w:r>
              <w:rPr>
                <w:sz w:val="21"/>
              </w:rPr>
              <w:t>不适用</w:t>
            </w:r>
          </w:p>
        </w:tc>
        <w:tc>
          <w:tcPr>
            <w:tcW w:w="1702" w:type="dxa"/>
          </w:tcPr>
          <w:p>
            <w:pPr>
              <w:pStyle w:val="TableParagraph"/>
              <w:spacing w:before="1"/>
              <w:ind w:right="96"/>
              <w:jc w:val="right"/>
              <w:rPr>
                <w:sz w:val="21"/>
              </w:rPr>
            </w:pPr>
            <w:r>
              <w:rPr>
                <w:sz w:val="21"/>
              </w:rPr>
              <w:t>不适用</w:t>
            </w:r>
          </w:p>
        </w:tc>
        <w:tc>
          <w:tcPr>
            <w:tcW w:w="2447" w:type="dxa"/>
          </w:tcPr>
          <w:p>
            <w:pPr>
              <w:pStyle w:val="TableParagraph"/>
              <w:spacing w:before="1"/>
              <w:ind w:left="105"/>
              <w:rPr>
                <w:sz w:val="21"/>
              </w:rPr>
            </w:pPr>
            <w:r>
              <w:rPr>
                <w:sz w:val="21"/>
              </w:rPr>
              <w:t>按公司股权激励管理办</w:t>
            </w:r>
          </w:p>
          <w:p>
            <w:pPr>
              <w:pStyle w:val="TableParagraph"/>
              <w:spacing w:line="250" w:lineRule="exact" w:before="4"/>
              <w:ind w:left="105"/>
              <w:rPr>
                <w:sz w:val="21"/>
              </w:rPr>
            </w:pPr>
            <w:r>
              <w:rPr>
                <w:sz w:val="21"/>
              </w:rPr>
              <w:t>法解除限售</w:t>
            </w:r>
          </w:p>
        </w:tc>
      </w:tr>
      <w:tr>
        <w:trPr>
          <w:trHeight w:val="544" w:hRule="atLeast"/>
        </w:trPr>
        <w:tc>
          <w:tcPr>
            <w:tcW w:w="634" w:type="dxa"/>
          </w:tcPr>
          <w:p>
            <w:pPr>
              <w:pStyle w:val="TableParagraph"/>
              <w:spacing w:line="235" w:lineRule="exact"/>
              <w:ind w:left="107"/>
              <w:rPr>
                <w:rFonts w:ascii="Times New Roman"/>
                <w:sz w:val="21"/>
              </w:rPr>
            </w:pPr>
            <w:r>
              <w:rPr>
                <w:rFonts w:ascii="Times New Roman"/>
                <w:w w:val="100"/>
                <w:sz w:val="21"/>
              </w:rPr>
              <w:t>2</w:t>
            </w:r>
          </w:p>
        </w:tc>
        <w:tc>
          <w:tcPr>
            <w:tcW w:w="1347" w:type="dxa"/>
            <w:tcBorders>
              <w:right w:val="single" w:sz="6" w:space="0" w:color="000000"/>
            </w:tcBorders>
          </w:tcPr>
          <w:p>
            <w:pPr>
              <w:pStyle w:val="TableParagraph"/>
              <w:spacing w:before="1"/>
              <w:ind w:left="107"/>
              <w:rPr>
                <w:sz w:val="21"/>
              </w:rPr>
            </w:pPr>
            <w:r>
              <w:rPr>
                <w:sz w:val="21"/>
              </w:rPr>
              <w:t>李伟宁</w:t>
            </w:r>
          </w:p>
        </w:tc>
        <w:tc>
          <w:tcPr>
            <w:tcW w:w="1561" w:type="dxa"/>
            <w:tcBorders>
              <w:left w:val="single" w:sz="6" w:space="0" w:color="000000"/>
            </w:tcBorders>
          </w:tcPr>
          <w:p>
            <w:pPr>
              <w:pStyle w:val="TableParagraph"/>
              <w:spacing w:line="235" w:lineRule="exact"/>
              <w:ind w:right="97"/>
              <w:jc w:val="right"/>
              <w:rPr>
                <w:rFonts w:ascii="Times New Roman"/>
                <w:sz w:val="21"/>
              </w:rPr>
            </w:pPr>
            <w:r>
              <w:rPr>
                <w:rFonts w:ascii="Times New Roman"/>
                <w:sz w:val="21"/>
              </w:rPr>
              <w:t>780,000</w:t>
            </w:r>
          </w:p>
        </w:tc>
        <w:tc>
          <w:tcPr>
            <w:tcW w:w="1136" w:type="dxa"/>
          </w:tcPr>
          <w:p>
            <w:pPr>
              <w:pStyle w:val="TableParagraph"/>
              <w:spacing w:before="1"/>
              <w:ind w:left="103"/>
              <w:rPr>
                <w:sz w:val="21"/>
              </w:rPr>
            </w:pPr>
            <w:r>
              <w:rPr>
                <w:sz w:val="21"/>
              </w:rPr>
              <w:t>不适用</w:t>
            </w:r>
          </w:p>
        </w:tc>
        <w:tc>
          <w:tcPr>
            <w:tcW w:w="1702" w:type="dxa"/>
          </w:tcPr>
          <w:p>
            <w:pPr>
              <w:pStyle w:val="TableParagraph"/>
              <w:spacing w:before="1"/>
              <w:ind w:right="96"/>
              <w:jc w:val="right"/>
              <w:rPr>
                <w:sz w:val="21"/>
              </w:rPr>
            </w:pPr>
            <w:r>
              <w:rPr>
                <w:sz w:val="21"/>
              </w:rPr>
              <w:t>不适用</w:t>
            </w:r>
          </w:p>
        </w:tc>
        <w:tc>
          <w:tcPr>
            <w:tcW w:w="2447" w:type="dxa"/>
          </w:tcPr>
          <w:p>
            <w:pPr>
              <w:pStyle w:val="TableParagraph"/>
              <w:spacing w:before="1"/>
              <w:ind w:left="105"/>
              <w:rPr>
                <w:sz w:val="21"/>
              </w:rPr>
            </w:pPr>
            <w:r>
              <w:rPr>
                <w:sz w:val="21"/>
              </w:rPr>
              <w:t>按公司股权激励管理办</w:t>
            </w:r>
          </w:p>
          <w:p>
            <w:pPr>
              <w:pStyle w:val="TableParagraph"/>
              <w:spacing w:line="250" w:lineRule="exact" w:before="4"/>
              <w:ind w:left="105"/>
              <w:rPr>
                <w:sz w:val="21"/>
              </w:rPr>
            </w:pPr>
            <w:r>
              <w:rPr>
                <w:sz w:val="21"/>
              </w:rPr>
              <w:t>法解除限售</w:t>
            </w:r>
          </w:p>
        </w:tc>
      </w:tr>
      <w:tr>
        <w:trPr>
          <w:trHeight w:val="546" w:hRule="atLeast"/>
        </w:trPr>
        <w:tc>
          <w:tcPr>
            <w:tcW w:w="634" w:type="dxa"/>
          </w:tcPr>
          <w:p>
            <w:pPr>
              <w:pStyle w:val="TableParagraph"/>
              <w:spacing w:line="237" w:lineRule="exact"/>
              <w:ind w:left="107"/>
              <w:rPr>
                <w:rFonts w:ascii="Times New Roman"/>
                <w:sz w:val="21"/>
              </w:rPr>
            </w:pPr>
            <w:r>
              <w:rPr>
                <w:rFonts w:ascii="Times New Roman"/>
                <w:w w:val="100"/>
                <w:sz w:val="21"/>
              </w:rPr>
              <w:t>3</w:t>
            </w:r>
          </w:p>
        </w:tc>
        <w:tc>
          <w:tcPr>
            <w:tcW w:w="1347" w:type="dxa"/>
            <w:tcBorders>
              <w:right w:val="single" w:sz="6" w:space="0" w:color="000000"/>
            </w:tcBorders>
          </w:tcPr>
          <w:p>
            <w:pPr>
              <w:pStyle w:val="TableParagraph"/>
              <w:spacing w:before="3"/>
              <w:ind w:left="107"/>
              <w:rPr>
                <w:sz w:val="21"/>
              </w:rPr>
            </w:pPr>
            <w:r>
              <w:rPr>
                <w:sz w:val="21"/>
              </w:rPr>
              <w:t>傅富明</w:t>
            </w:r>
          </w:p>
        </w:tc>
        <w:tc>
          <w:tcPr>
            <w:tcW w:w="1561" w:type="dxa"/>
            <w:tcBorders>
              <w:left w:val="single" w:sz="6" w:space="0" w:color="000000"/>
            </w:tcBorders>
          </w:tcPr>
          <w:p>
            <w:pPr>
              <w:pStyle w:val="TableParagraph"/>
              <w:spacing w:line="237" w:lineRule="exact"/>
              <w:ind w:right="97"/>
              <w:jc w:val="right"/>
              <w:rPr>
                <w:rFonts w:ascii="Times New Roman"/>
                <w:sz w:val="21"/>
              </w:rPr>
            </w:pPr>
            <w:r>
              <w:rPr>
                <w:rFonts w:ascii="Times New Roman"/>
                <w:sz w:val="21"/>
              </w:rPr>
              <w:t>768,000</w:t>
            </w:r>
          </w:p>
        </w:tc>
        <w:tc>
          <w:tcPr>
            <w:tcW w:w="1136" w:type="dxa"/>
          </w:tcPr>
          <w:p>
            <w:pPr>
              <w:pStyle w:val="TableParagraph"/>
              <w:spacing w:before="3"/>
              <w:ind w:left="103"/>
              <w:rPr>
                <w:sz w:val="21"/>
              </w:rPr>
            </w:pPr>
            <w:r>
              <w:rPr>
                <w:sz w:val="21"/>
              </w:rPr>
              <w:t>不适用</w:t>
            </w:r>
          </w:p>
        </w:tc>
        <w:tc>
          <w:tcPr>
            <w:tcW w:w="1702" w:type="dxa"/>
          </w:tcPr>
          <w:p>
            <w:pPr>
              <w:pStyle w:val="TableParagraph"/>
              <w:spacing w:before="3"/>
              <w:ind w:right="96"/>
              <w:jc w:val="right"/>
              <w:rPr>
                <w:sz w:val="21"/>
              </w:rPr>
            </w:pPr>
            <w:r>
              <w:rPr>
                <w:sz w:val="21"/>
              </w:rPr>
              <w:t>不适用</w:t>
            </w:r>
          </w:p>
        </w:tc>
        <w:tc>
          <w:tcPr>
            <w:tcW w:w="2447" w:type="dxa"/>
          </w:tcPr>
          <w:p>
            <w:pPr>
              <w:pStyle w:val="TableParagraph"/>
              <w:spacing w:line="270" w:lineRule="atLeast"/>
              <w:ind w:left="105" w:right="226"/>
              <w:rPr>
                <w:sz w:val="21"/>
              </w:rPr>
            </w:pPr>
            <w:r>
              <w:rPr>
                <w:spacing w:val="-1"/>
                <w:sz w:val="21"/>
              </w:rPr>
              <w:t>按公司股权激励管理办</w:t>
            </w:r>
            <w:r>
              <w:rPr>
                <w:sz w:val="21"/>
              </w:rPr>
              <w:t>法解除限售</w:t>
            </w:r>
          </w:p>
        </w:tc>
      </w:tr>
      <w:tr>
        <w:trPr>
          <w:trHeight w:val="544" w:hRule="atLeast"/>
        </w:trPr>
        <w:tc>
          <w:tcPr>
            <w:tcW w:w="634" w:type="dxa"/>
          </w:tcPr>
          <w:p>
            <w:pPr>
              <w:pStyle w:val="TableParagraph"/>
              <w:spacing w:line="235" w:lineRule="exact"/>
              <w:ind w:left="107"/>
              <w:rPr>
                <w:rFonts w:ascii="Times New Roman"/>
                <w:sz w:val="21"/>
              </w:rPr>
            </w:pPr>
            <w:r>
              <w:rPr>
                <w:rFonts w:ascii="Times New Roman"/>
                <w:w w:val="100"/>
                <w:sz w:val="21"/>
              </w:rPr>
              <w:t>4</w:t>
            </w:r>
          </w:p>
        </w:tc>
        <w:tc>
          <w:tcPr>
            <w:tcW w:w="1347" w:type="dxa"/>
            <w:tcBorders>
              <w:right w:val="single" w:sz="6" w:space="0" w:color="000000"/>
            </w:tcBorders>
          </w:tcPr>
          <w:p>
            <w:pPr>
              <w:pStyle w:val="TableParagraph"/>
              <w:spacing w:before="1"/>
              <w:ind w:left="107"/>
              <w:rPr>
                <w:sz w:val="21"/>
              </w:rPr>
            </w:pPr>
            <w:r>
              <w:rPr>
                <w:sz w:val="21"/>
              </w:rPr>
              <w:t>洪金生</w:t>
            </w:r>
          </w:p>
        </w:tc>
        <w:tc>
          <w:tcPr>
            <w:tcW w:w="1561" w:type="dxa"/>
            <w:tcBorders>
              <w:left w:val="single" w:sz="6" w:space="0" w:color="000000"/>
            </w:tcBorders>
          </w:tcPr>
          <w:p>
            <w:pPr>
              <w:pStyle w:val="TableParagraph"/>
              <w:spacing w:line="235" w:lineRule="exact"/>
              <w:ind w:right="97"/>
              <w:jc w:val="right"/>
              <w:rPr>
                <w:rFonts w:ascii="Times New Roman"/>
                <w:sz w:val="21"/>
              </w:rPr>
            </w:pPr>
            <w:r>
              <w:rPr>
                <w:rFonts w:ascii="Times New Roman"/>
                <w:sz w:val="21"/>
              </w:rPr>
              <w:t>657,000</w:t>
            </w:r>
          </w:p>
        </w:tc>
        <w:tc>
          <w:tcPr>
            <w:tcW w:w="1136" w:type="dxa"/>
          </w:tcPr>
          <w:p>
            <w:pPr>
              <w:pStyle w:val="TableParagraph"/>
              <w:spacing w:before="1"/>
              <w:ind w:left="103"/>
              <w:rPr>
                <w:sz w:val="21"/>
              </w:rPr>
            </w:pPr>
            <w:r>
              <w:rPr>
                <w:sz w:val="21"/>
              </w:rPr>
              <w:t>不适用</w:t>
            </w:r>
          </w:p>
        </w:tc>
        <w:tc>
          <w:tcPr>
            <w:tcW w:w="1702" w:type="dxa"/>
          </w:tcPr>
          <w:p>
            <w:pPr>
              <w:pStyle w:val="TableParagraph"/>
              <w:spacing w:before="1"/>
              <w:ind w:right="96"/>
              <w:jc w:val="right"/>
              <w:rPr>
                <w:sz w:val="21"/>
              </w:rPr>
            </w:pPr>
            <w:r>
              <w:rPr>
                <w:sz w:val="21"/>
              </w:rPr>
              <w:t>不适用</w:t>
            </w:r>
          </w:p>
        </w:tc>
        <w:tc>
          <w:tcPr>
            <w:tcW w:w="2447" w:type="dxa"/>
          </w:tcPr>
          <w:p>
            <w:pPr>
              <w:pStyle w:val="TableParagraph"/>
              <w:spacing w:before="1"/>
              <w:ind w:left="105"/>
              <w:rPr>
                <w:sz w:val="21"/>
              </w:rPr>
            </w:pPr>
            <w:r>
              <w:rPr>
                <w:sz w:val="21"/>
              </w:rPr>
              <w:t>按公司股权激励管理办</w:t>
            </w:r>
          </w:p>
          <w:p>
            <w:pPr>
              <w:pStyle w:val="TableParagraph"/>
              <w:spacing w:line="252" w:lineRule="exact" w:before="2"/>
              <w:ind w:left="105"/>
              <w:rPr>
                <w:sz w:val="21"/>
              </w:rPr>
            </w:pPr>
            <w:r>
              <w:rPr>
                <w:sz w:val="21"/>
              </w:rPr>
              <w:t>法解除限售</w:t>
            </w:r>
          </w:p>
        </w:tc>
      </w:tr>
      <w:tr>
        <w:trPr>
          <w:trHeight w:val="545" w:hRule="atLeast"/>
        </w:trPr>
        <w:tc>
          <w:tcPr>
            <w:tcW w:w="634" w:type="dxa"/>
          </w:tcPr>
          <w:p>
            <w:pPr>
              <w:pStyle w:val="TableParagraph"/>
              <w:spacing w:line="235" w:lineRule="exact"/>
              <w:ind w:left="107"/>
              <w:rPr>
                <w:rFonts w:ascii="Times New Roman"/>
                <w:sz w:val="21"/>
              </w:rPr>
            </w:pPr>
            <w:r>
              <w:rPr>
                <w:rFonts w:ascii="Times New Roman"/>
                <w:w w:val="100"/>
                <w:sz w:val="21"/>
              </w:rPr>
              <w:t>5</w:t>
            </w:r>
          </w:p>
        </w:tc>
        <w:tc>
          <w:tcPr>
            <w:tcW w:w="1347" w:type="dxa"/>
            <w:tcBorders>
              <w:right w:val="single" w:sz="6" w:space="0" w:color="000000"/>
            </w:tcBorders>
          </w:tcPr>
          <w:p>
            <w:pPr>
              <w:pStyle w:val="TableParagraph"/>
              <w:spacing w:before="1"/>
              <w:ind w:left="107"/>
              <w:rPr>
                <w:sz w:val="21"/>
              </w:rPr>
            </w:pPr>
            <w:r>
              <w:rPr>
                <w:sz w:val="21"/>
              </w:rPr>
              <w:t>赵进添</w:t>
            </w:r>
          </w:p>
        </w:tc>
        <w:tc>
          <w:tcPr>
            <w:tcW w:w="1561" w:type="dxa"/>
            <w:tcBorders>
              <w:left w:val="single" w:sz="6" w:space="0" w:color="000000"/>
            </w:tcBorders>
          </w:tcPr>
          <w:p>
            <w:pPr>
              <w:pStyle w:val="TableParagraph"/>
              <w:spacing w:line="235" w:lineRule="exact"/>
              <w:ind w:right="97"/>
              <w:jc w:val="right"/>
              <w:rPr>
                <w:rFonts w:ascii="Times New Roman"/>
                <w:sz w:val="21"/>
              </w:rPr>
            </w:pPr>
            <w:r>
              <w:rPr>
                <w:rFonts w:ascii="Times New Roman"/>
                <w:sz w:val="21"/>
              </w:rPr>
              <w:t>515,200</w:t>
            </w:r>
          </w:p>
        </w:tc>
        <w:tc>
          <w:tcPr>
            <w:tcW w:w="1136" w:type="dxa"/>
          </w:tcPr>
          <w:p>
            <w:pPr>
              <w:pStyle w:val="TableParagraph"/>
              <w:spacing w:before="1"/>
              <w:ind w:left="103"/>
              <w:rPr>
                <w:sz w:val="21"/>
              </w:rPr>
            </w:pPr>
            <w:r>
              <w:rPr>
                <w:sz w:val="21"/>
              </w:rPr>
              <w:t>不适用</w:t>
            </w:r>
          </w:p>
        </w:tc>
        <w:tc>
          <w:tcPr>
            <w:tcW w:w="1702" w:type="dxa"/>
          </w:tcPr>
          <w:p>
            <w:pPr>
              <w:pStyle w:val="TableParagraph"/>
              <w:spacing w:before="1"/>
              <w:ind w:right="96"/>
              <w:jc w:val="right"/>
              <w:rPr>
                <w:sz w:val="21"/>
              </w:rPr>
            </w:pPr>
            <w:r>
              <w:rPr>
                <w:sz w:val="21"/>
              </w:rPr>
              <w:t>不适用</w:t>
            </w:r>
          </w:p>
        </w:tc>
        <w:tc>
          <w:tcPr>
            <w:tcW w:w="2447" w:type="dxa"/>
          </w:tcPr>
          <w:p>
            <w:pPr>
              <w:pStyle w:val="TableParagraph"/>
              <w:spacing w:before="1"/>
              <w:ind w:left="105"/>
              <w:rPr>
                <w:sz w:val="21"/>
              </w:rPr>
            </w:pPr>
            <w:r>
              <w:rPr>
                <w:sz w:val="21"/>
              </w:rPr>
              <w:t>按公司股权激励管理办</w:t>
            </w:r>
          </w:p>
          <w:p>
            <w:pPr>
              <w:pStyle w:val="TableParagraph"/>
              <w:spacing w:line="252" w:lineRule="exact" w:before="2"/>
              <w:ind w:left="105"/>
              <w:rPr>
                <w:sz w:val="21"/>
              </w:rPr>
            </w:pPr>
            <w:r>
              <w:rPr>
                <w:sz w:val="21"/>
              </w:rPr>
              <w:t>法解除限售</w:t>
            </w:r>
          </w:p>
        </w:tc>
      </w:tr>
      <w:tr>
        <w:trPr>
          <w:trHeight w:val="544" w:hRule="atLeast"/>
        </w:trPr>
        <w:tc>
          <w:tcPr>
            <w:tcW w:w="634" w:type="dxa"/>
          </w:tcPr>
          <w:p>
            <w:pPr>
              <w:pStyle w:val="TableParagraph"/>
              <w:spacing w:line="235" w:lineRule="exact"/>
              <w:ind w:left="107"/>
              <w:rPr>
                <w:rFonts w:ascii="Times New Roman"/>
                <w:sz w:val="21"/>
              </w:rPr>
            </w:pPr>
            <w:r>
              <w:rPr>
                <w:rFonts w:ascii="Times New Roman"/>
                <w:w w:val="100"/>
                <w:sz w:val="21"/>
              </w:rPr>
              <w:t>6</w:t>
            </w:r>
          </w:p>
        </w:tc>
        <w:tc>
          <w:tcPr>
            <w:tcW w:w="1347" w:type="dxa"/>
            <w:tcBorders>
              <w:right w:val="single" w:sz="6" w:space="0" w:color="000000"/>
            </w:tcBorders>
          </w:tcPr>
          <w:p>
            <w:pPr>
              <w:pStyle w:val="TableParagraph"/>
              <w:spacing w:before="1"/>
              <w:ind w:left="107"/>
              <w:rPr>
                <w:sz w:val="21"/>
              </w:rPr>
            </w:pPr>
            <w:r>
              <w:rPr>
                <w:sz w:val="21"/>
              </w:rPr>
              <w:t>余志超</w:t>
            </w:r>
          </w:p>
        </w:tc>
        <w:tc>
          <w:tcPr>
            <w:tcW w:w="1561" w:type="dxa"/>
            <w:tcBorders>
              <w:left w:val="single" w:sz="6" w:space="0" w:color="000000"/>
            </w:tcBorders>
          </w:tcPr>
          <w:p>
            <w:pPr>
              <w:pStyle w:val="TableParagraph"/>
              <w:spacing w:line="235" w:lineRule="exact"/>
              <w:ind w:right="97"/>
              <w:jc w:val="right"/>
              <w:rPr>
                <w:rFonts w:ascii="Times New Roman"/>
                <w:sz w:val="21"/>
              </w:rPr>
            </w:pPr>
            <w:r>
              <w:rPr>
                <w:rFonts w:ascii="Times New Roman"/>
                <w:sz w:val="21"/>
              </w:rPr>
              <w:t>505,200</w:t>
            </w:r>
          </w:p>
        </w:tc>
        <w:tc>
          <w:tcPr>
            <w:tcW w:w="1136" w:type="dxa"/>
          </w:tcPr>
          <w:p>
            <w:pPr>
              <w:pStyle w:val="TableParagraph"/>
              <w:spacing w:before="1"/>
              <w:ind w:left="103"/>
              <w:rPr>
                <w:sz w:val="21"/>
              </w:rPr>
            </w:pPr>
            <w:r>
              <w:rPr>
                <w:sz w:val="21"/>
              </w:rPr>
              <w:t>不适用</w:t>
            </w:r>
          </w:p>
        </w:tc>
        <w:tc>
          <w:tcPr>
            <w:tcW w:w="1702" w:type="dxa"/>
          </w:tcPr>
          <w:p>
            <w:pPr>
              <w:pStyle w:val="TableParagraph"/>
              <w:spacing w:before="1"/>
              <w:ind w:right="96"/>
              <w:jc w:val="right"/>
              <w:rPr>
                <w:sz w:val="21"/>
              </w:rPr>
            </w:pPr>
            <w:r>
              <w:rPr>
                <w:sz w:val="21"/>
              </w:rPr>
              <w:t>不适用</w:t>
            </w:r>
          </w:p>
        </w:tc>
        <w:tc>
          <w:tcPr>
            <w:tcW w:w="2447" w:type="dxa"/>
          </w:tcPr>
          <w:p>
            <w:pPr>
              <w:pStyle w:val="TableParagraph"/>
              <w:spacing w:before="1"/>
              <w:ind w:left="105"/>
              <w:rPr>
                <w:sz w:val="21"/>
              </w:rPr>
            </w:pPr>
            <w:r>
              <w:rPr>
                <w:sz w:val="21"/>
              </w:rPr>
              <w:t>按公司股权激励管理办</w:t>
            </w:r>
          </w:p>
          <w:p>
            <w:pPr>
              <w:pStyle w:val="TableParagraph"/>
              <w:spacing w:line="252" w:lineRule="exact" w:before="2"/>
              <w:ind w:left="105"/>
              <w:rPr>
                <w:sz w:val="21"/>
              </w:rPr>
            </w:pPr>
            <w:r>
              <w:rPr>
                <w:sz w:val="21"/>
              </w:rPr>
              <w:t>法解除限售</w:t>
            </w:r>
          </w:p>
        </w:tc>
      </w:tr>
      <w:tr>
        <w:trPr>
          <w:trHeight w:val="1360" w:hRule="atLeast"/>
        </w:trPr>
        <w:tc>
          <w:tcPr>
            <w:tcW w:w="634" w:type="dxa"/>
          </w:tcPr>
          <w:p>
            <w:pPr>
              <w:pStyle w:val="TableParagraph"/>
              <w:spacing w:line="235" w:lineRule="exact"/>
              <w:ind w:left="107"/>
              <w:rPr>
                <w:rFonts w:ascii="Times New Roman"/>
                <w:sz w:val="21"/>
              </w:rPr>
            </w:pPr>
            <w:r>
              <w:rPr>
                <w:rFonts w:ascii="Times New Roman"/>
                <w:w w:val="100"/>
                <w:sz w:val="21"/>
              </w:rPr>
              <w:t>7</w:t>
            </w:r>
          </w:p>
        </w:tc>
        <w:tc>
          <w:tcPr>
            <w:tcW w:w="1347" w:type="dxa"/>
            <w:tcBorders>
              <w:right w:val="single" w:sz="6" w:space="0" w:color="000000"/>
            </w:tcBorders>
          </w:tcPr>
          <w:p>
            <w:pPr>
              <w:pStyle w:val="TableParagraph"/>
              <w:spacing w:line="242" w:lineRule="auto" w:before="1"/>
              <w:ind w:left="107" w:right="171"/>
              <w:rPr>
                <w:sz w:val="21"/>
              </w:rPr>
            </w:pPr>
            <w:r>
              <w:rPr>
                <w:spacing w:val="-1"/>
                <w:sz w:val="21"/>
              </w:rPr>
              <w:t>熊毅、向绪</w:t>
            </w:r>
            <w:r>
              <w:rPr>
                <w:sz w:val="21"/>
              </w:rPr>
              <w:t>宏、江小</w:t>
            </w:r>
            <w:r>
              <w:rPr>
                <w:spacing w:val="1"/>
                <w:sz w:val="21"/>
              </w:rPr>
              <w:t> </w:t>
            </w:r>
            <w:r>
              <w:rPr>
                <w:spacing w:val="-1"/>
                <w:sz w:val="21"/>
              </w:rPr>
              <w:t>将、杜平、</w:t>
            </w:r>
          </w:p>
          <w:p>
            <w:pPr>
              <w:pStyle w:val="TableParagraph"/>
              <w:spacing w:line="270" w:lineRule="atLeast"/>
              <w:ind w:left="107" w:right="171"/>
              <w:rPr>
                <w:sz w:val="21"/>
              </w:rPr>
            </w:pPr>
            <w:r>
              <w:rPr>
                <w:spacing w:val="-1"/>
                <w:sz w:val="21"/>
              </w:rPr>
              <w:t>姚辉、黄玖</w:t>
            </w:r>
            <w:r>
              <w:rPr>
                <w:sz w:val="21"/>
              </w:rPr>
              <w:t>明、薛波</w:t>
            </w:r>
          </w:p>
        </w:tc>
        <w:tc>
          <w:tcPr>
            <w:tcW w:w="1561" w:type="dxa"/>
            <w:tcBorders>
              <w:left w:val="single" w:sz="6" w:space="0" w:color="000000"/>
            </w:tcBorders>
          </w:tcPr>
          <w:p>
            <w:pPr>
              <w:pStyle w:val="TableParagraph"/>
              <w:spacing w:line="235" w:lineRule="exact"/>
              <w:ind w:right="97"/>
              <w:jc w:val="right"/>
              <w:rPr>
                <w:rFonts w:ascii="Times New Roman"/>
                <w:sz w:val="21"/>
              </w:rPr>
            </w:pPr>
            <w:r>
              <w:rPr>
                <w:rFonts w:ascii="Times New Roman"/>
                <w:sz w:val="21"/>
              </w:rPr>
              <w:t>491,200</w:t>
            </w:r>
          </w:p>
        </w:tc>
        <w:tc>
          <w:tcPr>
            <w:tcW w:w="1136" w:type="dxa"/>
          </w:tcPr>
          <w:p>
            <w:pPr>
              <w:pStyle w:val="TableParagraph"/>
              <w:spacing w:before="1"/>
              <w:ind w:left="103"/>
              <w:rPr>
                <w:sz w:val="21"/>
              </w:rPr>
            </w:pPr>
            <w:r>
              <w:rPr>
                <w:sz w:val="21"/>
              </w:rPr>
              <w:t>不适用</w:t>
            </w:r>
          </w:p>
        </w:tc>
        <w:tc>
          <w:tcPr>
            <w:tcW w:w="1702" w:type="dxa"/>
          </w:tcPr>
          <w:p>
            <w:pPr>
              <w:pStyle w:val="TableParagraph"/>
              <w:spacing w:before="1"/>
              <w:ind w:right="96"/>
              <w:jc w:val="right"/>
              <w:rPr>
                <w:sz w:val="21"/>
              </w:rPr>
            </w:pPr>
            <w:r>
              <w:rPr>
                <w:sz w:val="21"/>
              </w:rPr>
              <w:t>不适用</w:t>
            </w:r>
          </w:p>
        </w:tc>
        <w:tc>
          <w:tcPr>
            <w:tcW w:w="2447" w:type="dxa"/>
          </w:tcPr>
          <w:p>
            <w:pPr>
              <w:pStyle w:val="TableParagraph"/>
              <w:spacing w:line="244" w:lineRule="auto" w:before="1"/>
              <w:ind w:left="105" w:right="226"/>
              <w:rPr>
                <w:sz w:val="21"/>
              </w:rPr>
            </w:pPr>
            <w:r>
              <w:rPr>
                <w:spacing w:val="-1"/>
                <w:sz w:val="21"/>
              </w:rPr>
              <w:t>按公司股权激励管理办</w:t>
            </w:r>
            <w:r>
              <w:rPr>
                <w:sz w:val="21"/>
              </w:rPr>
              <w:t>法解除限售</w:t>
            </w:r>
          </w:p>
        </w:tc>
      </w:tr>
      <w:tr>
        <w:trPr>
          <w:trHeight w:val="546" w:hRule="atLeast"/>
        </w:trPr>
        <w:tc>
          <w:tcPr>
            <w:tcW w:w="634" w:type="dxa"/>
          </w:tcPr>
          <w:p>
            <w:pPr>
              <w:pStyle w:val="TableParagraph"/>
              <w:spacing w:line="237" w:lineRule="exact"/>
              <w:ind w:left="107"/>
              <w:rPr>
                <w:rFonts w:ascii="Times New Roman"/>
                <w:sz w:val="21"/>
              </w:rPr>
            </w:pPr>
            <w:r>
              <w:rPr>
                <w:rFonts w:ascii="Times New Roman"/>
                <w:w w:val="100"/>
                <w:sz w:val="21"/>
              </w:rPr>
              <w:t>8</w:t>
            </w:r>
          </w:p>
        </w:tc>
        <w:tc>
          <w:tcPr>
            <w:tcW w:w="1347" w:type="dxa"/>
            <w:tcBorders>
              <w:right w:val="single" w:sz="6" w:space="0" w:color="000000"/>
            </w:tcBorders>
          </w:tcPr>
          <w:p>
            <w:pPr>
              <w:pStyle w:val="TableParagraph"/>
              <w:spacing w:before="3"/>
              <w:ind w:left="107"/>
              <w:rPr>
                <w:sz w:val="21"/>
              </w:rPr>
            </w:pPr>
            <w:r>
              <w:rPr>
                <w:sz w:val="21"/>
              </w:rPr>
              <w:t>王雪松</w:t>
            </w:r>
          </w:p>
        </w:tc>
        <w:tc>
          <w:tcPr>
            <w:tcW w:w="1561" w:type="dxa"/>
            <w:tcBorders>
              <w:left w:val="single" w:sz="6" w:space="0" w:color="000000"/>
            </w:tcBorders>
          </w:tcPr>
          <w:p>
            <w:pPr>
              <w:pStyle w:val="TableParagraph"/>
              <w:spacing w:line="237" w:lineRule="exact"/>
              <w:ind w:right="97"/>
              <w:jc w:val="right"/>
              <w:rPr>
                <w:rFonts w:ascii="Times New Roman"/>
                <w:sz w:val="21"/>
              </w:rPr>
            </w:pPr>
            <w:r>
              <w:rPr>
                <w:rFonts w:ascii="Times New Roman"/>
                <w:sz w:val="21"/>
              </w:rPr>
              <w:t>490,400</w:t>
            </w:r>
          </w:p>
        </w:tc>
        <w:tc>
          <w:tcPr>
            <w:tcW w:w="1136" w:type="dxa"/>
          </w:tcPr>
          <w:p>
            <w:pPr>
              <w:pStyle w:val="TableParagraph"/>
              <w:spacing w:before="3"/>
              <w:ind w:left="103"/>
              <w:rPr>
                <w:sz w:val="21"/>
              </w:rPr>
            </w:pPr>
            <w:r>
              <w:rPr>
                <w:sz w:val="21"/>
              </w:rPr>
              <w:t>不适用</w:t>
            </w:r>
          </w:p>
        </w:tc>
        <w:tc>
          <w:tcPr>
            <w:tcW w:w="1702" w:type="dxa"/>
          </w:tcPr>
          <w:p>
            <w:pPr>
              <w:pStyle w:val="TableParagraph"/>
              <w:spacing w:before="3"/>
              <w:ind w:right="96"/>
              <w:jc w:val="right"/>
              <w:rPr>
                <w:sz w:val="21"/>
              </w:rPr>
            </w:pPr>
            <w:r>
              <w:rPr>
                <w:sz w:val="21"/>
              </w:rPr>
              <w:t>不适用</w:t>
            </w:r>
          </w:p>
        </w:tc>
        <w:tc>
          <w:tcPr>
            <w:tcW w:w="2447" w:type="dxa"/>
          </w:tcPr>
          <w:p>
            <w:pPr>
              <w:pStyle w:val="TableParagraph"/>
              <w:spacing w:line="270" w:lineRule="atLeast"/>
              <w:ind w:left="105" w:right="226"/>
              <w:rPr>
                <w:sz w:val="21"/>
              </w:rPr>
            </w:pPr>
            <w:r>
              <w:rPr>
                <w:spacing w:val="-1"/>
                <w:sz w:val="21"/>
              </w:rPr>
              <w:t>按公司股权激励管理办</w:t>
            </w:r>
            <w:r>
              <w:rPr>
                <w:sz w:val="21"/>
              </w:rPr>
              <w:t>法解除限售</w:t>
            </w:r>
          </w:p>
        </w:tc>
      </w:tr>
    </w:tbl>
    <w:p>
      <w:pPr>
        <w:spacing w:after="0" w:line="270" w:lineRule="atLeast"/>
        <w:rPr>
          <w:sz w:val="21"/>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4"/>
        <w:gridCol w:w="1347"/>
        <w:gridCol w:w="1561"/>
        <w:gridCol w:w="1136"/>
        <w:gridCol w:w="1702"/>
        <w:gridCol w:w="2447"/>
      </w:tblGrid>
      <w:tr>
        <w:trPr>
          <w:trHeight w:val="547" w:hRule="atLeast"/>
        </w:trPr>
        <w:tc>
          <w:tcPr>
            <w:tcW w:w="634" w:type="dxa"/>
          </w:tcPr>
          <w:p>
            <w:pPr>
              <w:pStyle w:val="TableParagraph"/>
              <w:spacing w:line="237" w:lineRule="exact"/>
              <w:ind w:left="107"/>
              <w:rPr>
                <w:rFonts w:ascii="Times New Roman"/>
                <w:sz w:val="21"/>
              </w:rPr>
            </w:pPr>
            <w:r>
              <w:rPr>
                <w:rFonts w:ascii="Times New Roman"/>
                <w:w w:val="100"/>
                <w:sz w:val="21"/>
              </w:rPr>
              <w:t>9</w:t>
            </w:r>
          </w:p>
        </w:tc>
        <w:tc>
          <w:tcPr>
            <w:tcW w:w="1347" w:type="dxa"/>
            <w:tcBorders>
              <w:right w:val="single" w:sz="6" w:space="0" w:color="000000"/>
            </w:tcBorders>
          </w:tcPr>
          <w:p>
            <w:pPr>
              <w:pStyle w:val="TableParagraph"/>
              <w:spacing w:before="3"/>
              <w:ind w:left="107"/>
              <w:rPr>
                <w:sz w:val="21"/>
              </w:rPr>
            </w:pPr>
            <w:r>
              <w:rPr>
                <w:sz w:val="21"/>
              </w:rPr>
              <w:t>郭俊宏</w:t>
            </w:r>
          </w:p>
        </w:tc>
        <w:tc>
          <w:tcPr>
            <w:tcW w:w="1561" w:type="dxa"/>
            <w:tcBorders>
              <w:left w:val="single" w:sz="6" w:space="0" w:color="000000"/>
            </w:tcBorders>
          </w:tcPr>
          <w:p>
            <w:pPr>
              <w:pStyle w:val="TableParagraph"/>
              <w:spacing w:line="237" w:lineRule="exact"/>
              <w:ind w:right="97"/>
              <w:jc w:val="right"/>
              <w:rPr>
                <w:rFonts w:ascii="Times New Roman"/>
                <w:sz w:val="21"/>
              </w:rPr>
            </w:pPr>
            <w:r>
              <w:rPr>
                <w:rFonts w:ascii="Times New Roman"/>
                <w:sz w:val="21"/>
              </w:rPr>
              <w:t>400,000</w:t>
            </w:r>
          </w:p>
        </w:tc>
        <w:tc>
          <w:tcPr>
            <w:tcW w:w="1136" w:type="dxa"/>
          </w:tcPr>
          <w:p>
            <w:pPr>
              <w:pStyle w:val="TableParagraph"/>
              <w:spacing w:before="3"/>
              <w:ind w:left="103"/>
              <w:rPr>
                <w:sz w:val="21"/>
              </w:rPr>
            </w:pPr>
            <w:r>
              <w:rPr>
                <w:sz w:val="21"/>
              </w:rPr>
              <w:t>不适用</w:t>
            </w:r>
          </w:p>
        </w:tc>
        <w:tc>
          <w:tcPr>
            <w:tcW w:w="1702" w:type="dxa"/>
          </w:tcPr>
          <w:p>
            <w:pPr>
              <w:pStyle w:val="TableParagraph"/>
              <w:spacing w:before="3"/>
              <w:ind w:right="96"/>
              <w:jc w:val="right"/>
              <w:rPr>
                <w:sz w:val="21"/>
              </w:rPr>
            </w:pPr>
            <w:r>
              <w:rPr>
                <w:sz w:val="21"/>
              </w:rPr>
              <w:t>不适用</w:t>
            </w:r>
          </w:p>
        </w:tc>
        <w:tc>
          <w:tcPr>
            <w:tcW w:w="2447" w:type="dxa"/>
          </w:tcPr>
          <w:p>
            <w:pPr>
              <w:pStyle w:val="TableParagraph"/>
              <w:spacing w:line="270" w:lineRule="atLeast"/>
              <w:ind w:left="105" w:right="226"/>
              <w:rPr>
                <w:sz w:val="21"/>
              </w:rPr>
            </w:pPr>
            <w:r>
              <w:rPr>
                <w:spacing w:val="-1"/>
                <w:sz w:val="21"/>
              </w:rPr>
              <w:t>按公司股权激励管理办</w:t>
            </w:r>
            <w:r>
              <w:rPr>
                <w:sz w:val="21"/>
              </w:rPr>
              <w:t>法解除限售</w:t>
            </w:r>
          </w:p>
        </w:tc>
      </w:tr>
      <w:tr>
        <w:trPr>
          <w:trHeight w:val="544" w:hRule="atLeast"/>
        </w:trPr>
        <w:tc>
          <w:tcPr>
            <w:tcW w:w="634" w:type="dxa"/>
          </w:tcPr>
          <w:p>
            <w:pPr>
              <w:pStyle w:val="TableParagraph"/>
              <w:spacing w:line="235" w:lineRule="exact"/>
              <w:ind w:left="107"/>
              <w:rPr>
                <w:rFonts w:ascii="Times New Roman"/>
                <w:sz w:val="21"/>
              </w:rPr>
            </w:pPr>
            <w:r>
              <w:rPr>
                <w:rFonts w:ascii="Times New Roman"/>
                <w:sz w:val="21"/>
              </w:rPr>
              <w:t>10</w:t>
            </w:r>
          </w:p>
        </w:tc>
        <w:tc>
          <w:tcPr>
            <w:tcW w:w="1347" w:type="dxa"/>
            <w:tcBorders>
              <w:right w:val="single" w:sz="6" w:space="0" w:color="000000"/>
            </w:tcBorders>
          </w:tcPr>
          <w:p>
            <w:pPr>
              <w:pStyle w:val="TableParagraph"/>
              <w:spacing w:before="1"/>
              <w:ind w:left="107"/>
              <w:rPr>
                <w:sz w:val="21"/>
              </w:rPr>
            </w:pPr>
            <w:r>
              <w:rPr>
                <w:sz w:val="21"/>
              </w:rPr>
              <w:t>李军旗</w:t>
            </w:r>
          </w:p>
        </w:tc>
        <w:tc>
          <w:tcPr>
            <w:tcW w:w="1561" w:type="dxa"/>
            <w:tcBorders>
              <w:left w:val="single" w:sz="6" w:space="0" w:color="000000"/>
            </w:tcBorders>
          </w:tcPr>
          <w:p>
            <w:pPr>
              <w:pStyle w:val="TableParagraph"/>
              <w:spacing w:line="235" w:lineRule="exact"/>
              <w:ind w:right="97"/>
              <w:jc w:val="right"/>
              <w:rPr>
                <w:rFonts w:ascii="Times New Roman"/>
                <w:sz w:val="21"/>
              </w:rPr>
            </w:pPr>
            <w:r>
              <w:rPr>
                <w:rFonts w:ascii="Times New Roman"/>
                <w:sz w:val="21"/>
              </w:rPr>
              <w:t>360,000</w:t>
            </w:r>
          </w:p>
        </w:tc>
        <w:tc>
          <w:tcPr>
            <w:tcW w:w="1136" w:type="dxa"/>
          </w:tcPr>
          <w:p>
            <w:pPr>
              <w:pStyle w:val="TableParagraph"/>
              <w:spacing w:before="1"/>
              <w:ind w:left="103"/>
              <w:rPr>
                <w:sz w:val="21"/>
              </w:rPr>
            </w:pPr>
            <w:r>
              <w:rPr>
                <w:sz w:val="21"/>
              </w:rPr>
              <w:t>不适用</w:t>
            </w:r>
          </w:p>
        </w:tc>
        <w:tc>
          <w:tcPr>
            <w:tcW w:w="1702" w:type="dxa"/>
          </w:tcPr>
          <w:p>
            <w:pPr>
              <w:pStyle w:val="TableParagraph"/>
              <w:spacing w:before="1"/>
              <w:ind w:right="96"/>
              <w:jc w:val="right"/>
              <w:rPr>
                <w:sz w:val="21"/>
              </w:rPr>
            </w:pPr>
            <w:r>
              <w:rPr>
                <w:sz w:val="21"/>
              </w:rPr>
              <w:t>不适用</w:t>
            </w:r>
          </w:p>
        </w:tc>
        <w:tc>
          <w:tcPr>
            <w:tcW w:w="2447" w:type="dxa"/>
          </w:tcPr>
          <w:p>
            <w:pPr>
              <w:pStyle w:val="TableParagraph"/>
              <w:spacing w:before="1"/>
              <w:ind w:left="105"/>
              <w:rPr>
                <w:sz w:val="21"/>
              </w:rPr>
            </w:pPr>
            <w:r>
              <w:rPr>
                <w:sz w:val="21"/>
              </w:rPr>
              <w:t>按公司股权激励管理办</w:t>
            </w:r>
          </w:p>
          <w:p>
            <w:pPr>
              <w:pStyle w:val="TableParagraph"/>
              <w:spacing w:line="252" w:lineRule="exact" w:before="2"/>
              <w:ind w:left="105"/>
              <w:rPr>
                <w:sz w:val="21"/>
              </w:rPr>
            </w:pPr>
            <w:r>
              <w:rPr>
                <w:sz w:val="21"/>
              </w:rPr>
              <w:t>法解除限售</w:t>
            </w:r>
          </w:p>
        </w:tc>
      </w:tr>
      <w:tr>
        <w:trPr>
          <w:trHeight w:val="815" w:hRule="atLeast"/>
        </w:trPr>
        <w:tc>
          <w:tcPr>
            <w:tcW w:w="1981" w:type="dxa"/>
            <w:gridSpan w:val="2"/>
            <w:tcBorders>
              <w:right w:val="single" w:sz="6" w:space="0" w:color="000000"/>
            </w:tcBorders>
          </w:tcPr>
          <w:p>
            <w:pPr>
              <w:pStyle w:val="TableParagraph"/>
              <w:spacing w:line="242" w:lineRule="auto" w:before="1"/>
              <w:ind w:left="107" w:right="384"/>
              <w:rPr>
                <w:sz w:val="21"/>
              </w:rPr>
            </w:pPr>
            <w:r>
              <w:rPr>
                <w:sz w:val="21"/>
              </w:rPr>
              <w:t>上述股东关联关系或一致行动的</w:t>
            </w:r>
          </w:p>
          <w:p>
            <w:pPr>
              <w:pStyle w:val="TableParagraph"/>
              <w:spacing w:line="250" w:lineRule="exact" w:before="1"/>
              <w:ind w:left="107"/>
              <w:rPr>
                <w:sz w:val="21"/>
              </w:rPr>
            </w:pPr>
            <w:r>
              <w:rPr>
                <w:sz w:val="21"/>
              </w:rPr>
              <w:t>说明</w:t>
            </w:r>
          </w:p>
        </w:tc>
        <w:tc>
          <w:tcPr>
            <w:tcW w:w="6846" w:type="dxa"/>
            <w:gridSpan w:val="4"/>
            <w:tcBorders>
              <w:left w:val="single" w:sz="6" w:space="0" w:color="000000"/>
            </w:tcBorders>
          </w:tcPr>
          <w:p>
            <w:pPr>
              <w:pStyle w:val="TableParagraph"/>
              <w:spacing w:line="242" w:lineRule="auto" w:before="1"/>
              <w:ind w:left="102" w:right="212"/>
              <w:rPr>
                <w:sz w:val="21"/>
              </w:rPr>
            </w:pPr>
            <w:r>
              <w:rPr>
                <w:sz w:val="21"/>
              </w:rPr>
              <w:t>本公司未知上述股东之间是否存在关联关系，也未知上述股东之间是否属于《上市公司收购管理办法》中规定的一致行动人。</w:t>
            </w:r>
          </w:p>
        </w:tc>
      </w:tr>
    </w:tbl>
    <w:p>
      <w:pPr>
        <w:pStyle w:val="BodyText"/>
        <w:spacing w:before="1"/>
      </w:pPr>
      <w:r>
        <w:rPr>
          <w:w w:val="100"/>
        </w:rPr>
        <w:t> </w:t>
      </w:r>
    </w:p>
    <w:p>
      <w:pPr>
        <w:pStyle w:val="BodyText"/>
        <w:spacing w:before="4"/>
      </w:pPr>
      <w:r>
        <w:rPr>
          <w:w w:val="100"/>
        </w:rPr>
        <w:t> </w:t>
      </w:r>
    </w:p>
    <w:p>
      <w:pPr>
        <w:spacing w:before="63"/>
        <w:ind w:left="318" w:right="0" w:firstLine="0"/>
        <w:jc w:val="left"/>
        <w:rPr>
          <w:sz w:val="21"/>
        </w:rPr>
      </w:pPr>
      <w:r>
        <w:rPr>
          <w:rFonts w:ascii="Calibri" w:eastAsia="Calibri"/>
          <w:b/>
          <w:sz w:val="21"/>
        </w:rPr>
        <w:t>(</w:t>
      </w:r>
      <w:r>
        <w:rPr>
          <w:sz w:val="21"/>
        </w:rPr>
        <w:t>三</w:t>
      </w:r>
      <w:r>
        <w:rPr>
          <w:rFonts w:ascii="Calibri" w:eastAsia="Calibri"/>
          <w:b/>
          <w:spacing w:val="21"/>
          <w:sz w:val="21"/>
        </w:rPr>
        <w:t>) </w:t>
      </w:r>
      <w:r>
        <w:rPr>
          <w:spacing w:val="-3"/>
          <w:sz w:val="21"/>
        </w:rPr>
        <w:t>战略投资者或一般法人因配售新股成为前 </w:t>
      </w:r>
      <w:r>
        <w:rPr>
          <w:rFonts w:ascii="Calibri" w:eastAsia="Calibri"/>
          <w:b/>
          <w:sz w:val="21"/>
        </w:rPr>
        <w:t>10</w:t>
      </w:r>
      <w:r>
        <w:rPr>
          <w:rFonts w:ascii="Calibri" w:eastAsia="Calibri"/>
          <w:b/>
          <w:spacing w:val="11"/>
          <w:sz w:val="21"/>
        </w:rPr>
        <w:t> </w:t>
      </w:r>
      <w:r>
        <w:rPr>
          <w:sz w:val="21"/>
        </w:rPr>
        <w:t>名股东</w:t>
      </w:r>
    </w:p>
    <w:p>
      <w:pPr>
        <w:pStyle w:val="BodyText"/>
        <w:spacing w:before="64"/>
      </w:pPr>
      <w:r>
        <w:rPr>
          <w:spacing w:val="-1"/>
        </w:rPr>
        <w:t>□适用 √不适用</w:t>
      </w:r>
      <w:r>
        <w:rPr>
          <w:spacing w:val="-3"/>
        </w:rPr>
        <w:t> </w:t>
      </w:r>
      <w:r>
        <w:rPr/>
        <w:t> </w:t>
      </w:r>
    </w:p>
    <w:p>
      <w:pPr>
        <w:pStyle w:val="BodyText"/>
        <w:spacing w:before="62"/>
      </w:pPr>
      <w:r>
        <w:rPr>
          <w:spacing w:val="-9"/>
        </w:rPr>
        <w:t>四、 控股股东及实际控制人情况</w:t>
      </w:r>
    </w:p>
    <w:p>
      <w:pPr>
        <w:spacing w:before="65"/>
        <w:ind w:left="318" w:right="0" w:firstLine="0"/>
        <w:jc w:val="left"/>
        <w:rPr>
          <w:sz w:val="21"/>
        </w:rPr>
      </w:pPr>
      <w:r>
        <w:rPr>
          <w:rFonts w:ascii="Calibri" w:eastAsia="Calibri"/>
          <w:b/>
          <w:sz w:val="21"/>
        </w:rPr>
        <w:t>(</w:t>
      </w:r>
      <w:r>
        <w:rPr>
          <w:sz w:val="21"/>
        </w:rPr>
        <w:t>一</w:t>
      </w:r>
      <w:r>
        <w:rPr>
          <w:rFonts w:ascii="Calibri" w:eastAsia="Calibri"/>
          <w:b/>
          <w:spacing w:val="16"/>
          <w:sz w:val="21"/>
        </w:rPr>
        <w:t>) </w:t>
      </w:r>
      <w:r>
        <w:rPr>
          <w:sz w:val="21"/>
        </w:rPr>
        <w:t>控股股东情况</w:t>
      </w:r>
    </w:p>
    <w:p>
      <w:pPr>
        <w:pStyle w:val="ListParagraph"/>
        <w:numPr>
          <w:ilvl w:val="0"/>
          <w:numId w:val="32"/>
        </w:numPr>
        <w:tabs>
          <w:tab w:pos="737" w:val="left" w:leader="none"/>
          <w:tab w:pos="738" w:val="left" w:leader="none"/>
        </w:tabs>
        <w:spacing w:line="240" w:lineRule="auto" w:before="63" w:after="0"/>
        <w:ind w:left="738" w:right="0" w:hanging="420"/>
        <w:jc w:val="left"/>
        <w:rPr>
          <w:sz w:val="21"/>
        </w:rPr>
      </w:pPr>
      <w:r>
        <w:rPr>
          <w:sz w:val="21"/>
        </w:rPr>
        <w:t>法人 </w:t>
      </w:r>
    </w:p>
    <w:p>
      <w:pPr>
        <w:pStyle w:val="BodyText"/>
        <w:spacing w:before="64"/>
      </w:pPr>
      <w:r>
        <w:rPr>
          <w:spacing w:val="-1"/>
        </w:rPr>
        <w:t>√适用 □不适用</w:t>
      </w:r>
      <w:r>
        <w:rPr>
          <w:spacing w:val="-3"/>
        </w:rPr>
        <w:t> </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81"/>
        <w:gridCol w:w="5542"/>
      </w:tblGrid>
      <w:tr>
        <w:trPr>
          <w:trHeight w:val="273" w:hRule="atLeast"/>
        </w:trPr>
        <w:tc>
          <w:tcPr>
            <w:tcW w:w="3281" w:type="dxa"/>
          </w:tcPr>
          <w:p>
            <w:pPr>
              <w:pStyle w:val="TableParagraph"/>
              <w:spacing w:line="252" w:lineRule="exact" w:before="1"/>
              <w:ind w:left="107"/>
              <w:rPr>
                <w:sz w:val="21"/>
              </w:rPr>
            </w:pPr>
            <w:r>
              <w:rPr>
                <w:sz w:val="21"/>
              </w:rPr>
              <w:t>名称 </w:t>
            </w:r>
          </w:p>
        </w:tc>
        <w:tc>
          <w:tcPr>
            <w:tcW w:w="5542" w:type="dxa"/>
          </w:tcPr>
          <w:p>
            <w:pPr>
              <w:pStyle w:val="TableParagraph"/>
              <w:spacing w:line="252" w:lineRule="exact" w:before="1"/>
              <w:ind w:left="108"/>
              <w:rPr>
                <w:sz w:val="21"/>
              </w:rPr>
            </w:pPr>
            <w:r>
              <w:rPr>
                <w:rFonts w:ascii="Times New Roman" w:eastAsia="Times New Roman"/>
                <w:sz w:val="21"/>
              </w:rPr>
              <w:t>China</w:t>
            </w:r>
            <w:r>
              <w:rPr>
                <w:rFonts w:ascii="Times New Roman" w:eastAsia="Times New Roman"/>
                <w:spacing w:val="-4"/>
                <w:sz w:val="21"/>
              </w:rPr>
              <w:t> </w:t>
            </w:r>
            <w:r>
              <w:rPr>
                <w:rFonts w:ascii="Times New Roman" w:eastAsia="Times New Roman"/>
                <w:sz w:val="21"/>
              </w:rPr>
              <w:t>Galaxy</w:t>
            </w:r>
            <w:r>
              <w:rPr>
                <w:rFonts w:ascii="Times New Roman" w:eastAsia="Times New Roman"/>
                <w:spacing w:val="-5"/>
                <w:sz w:val="21"/>
              </w:rPr>
              <w:t> </w:t>
            </w:r>
            <w:r>
              <w:rPr>
                <w:rFonts w:ascii="Times New Roman" w:eastAsia="Times New Roman"/>
                <w:sz w:val="21"/>
              </w:rPr>
              <w:t>Enterprises Limited</w:t>
            </w:r>
            <w:r>
              <w:rPr>
                <w:sz w:val="21"/>
              </w:rPr>
              <w:t>（中坚企业有限公司）</w:t>
            </w:r>
          </w:p>
        </w:tc>
      </w:tr>
      <w:tr>
        <w:trPr>
          <w:trHeight w:val="273" w:hRule="atLeast"/>
        </w:trPr>
        <w:tc>
          <w:tcPr>
            <w:tcW w:w="3281" w:type="dxa"/>
          </w:tcPr>
          <w:p>
            <w:pPr>
              <w:pStyle w:val="TableParagraph"/>
              <w:spacing w:line="252" w:lineRule="exact" w:before="1"/>
              <w:ind w:left="107"/>
              <w:rPr>
                <w:sz w:val="21"/>
              </w:rPr>
            </w:pPr>
            <w:r>
              <w:rPr>
                <w:spacing w:val="-1"/>
                <w:sz w:val="21"/>
              </w:rPr>
              <w:t>单位负责人或法定代表人</w:t>
            </w:r>
            <w:r>
              <w:rPr>
                <w:sz w:val="21"/>
              </w:rPr>
              <w:t> </w:t>
            </w:r>
          </w:p>
        </w:tc>
        <w:tc>
          <w:tcPr>
            <w:tcW w:w="5542" w:type="dxa"/>
          </w:tcPr>
          <w:p>
            <w:pPr>
              <w:pStyle w:val="TableParagraph"/>
              <w:spacing w:line="252" w:lineRule="exact" w:before="1"/>
              <w:ind w:left="108"/>
              <w:rPr>
                <w:sz w:val="21"/>
              </w:rPr>
            </w:pPr>
            <w:r>
              <w:rPr>
                <w:rFonts w:ascii="Times New Roman" w:eastAsia="Times New Roman"/>
                <w:sz w:val="21"/>
              </w:rPr>
              <w:t>Chow</w:t>
            </w:r>
            <w:r>
              <w:rPr>
                <w:rFonts w:ascii="Times New Roman" w:eastAsia="Times New Roman"/>
                <w:spacing w:val="-3"/>
                <w:sz w:val="21"/>
              </w:rPr>
              <w:t> </w:t>
            </w:r>
            <w:r>
              <w:rPr>
                <w:rFonts w:ascii="Times New Roman" w:eastAsia="Times New Roman"/>
                <w:sz w:val="21"/>
              </w:rPr>
              <w:t>Chung-Kai</w:t>
            </w:r>
            <w:r>
              <w:rPr>
                <w:rFonts w:ascii="Times New Roman" w:eastAsia="Times New Roman"/>
                <w:spacing w:val="-1"/>
                <w:sz w:val="21"/>
              </w:rPr>
              <w:t> </w:t>
            </w:r>
            <w:r>
              <w:rPr>
                <w:sz w:val="21"/>
              </w:rPr>
              <w:t>周宗恺</w:t>
            </w:r>
          </w:p>
        </w:tc>
      </w:tr>
      <w:tr>
        <w:trPr>
          <w:trHeight w:val="270" w:hRule="atLeast"/>
        </w:trPr>
        <w:tc>
          <w:tcPr>
            <w:tcW w:w="3281" w:type="dxa"/>
          </w:tcPr>
          <w:p>
            <w:pPr>
              <w:pStyle w:val="TableParagraph"/>
              <w:spacing w:line="250" w:lineRule="exact" w:before="1"/>
              <w:ind w:left="107"/>
              <w:rPr>
                <w:sz w:val="21"/>
              </w:rPr>
            </w:pPr>
            <w:r>
              <w:rPr>
                <w:spacing w:val="-1"/>
                <w:sz w:val="21"/>
              </w:rPr>
              <w:t>成立日期</w:t>
            </w:r>
            <w:r>
              <w:rPr>
                <w:sz w:val="21"/>
              </w:rPr>
              <w:t> </w:t>
            </w:r>
          </w:p>
        </w:tc>
        <w:tc>
          <w:tcPr>
            <w:tcW w:w="5542" w:type="dxa"/>
          </w:tcPr>
          <w:p>
            <w:pPr>
              <w:pStyle w:val="TableParagraph"/>
              <w:spacing w:line="250" w:lineRule="exact" w:before="1"/>
              <w:ind w:left="108"/>
              <w:rPr>
                <w:sz w:val="21"/>
              </w:rPr>
            </w:pPr>
            <w:r>
              <w:rPr>
                <w:rFonts w:ascii="Times New Roman" w:eastAsia="Times New Roman"/>
                <w:sz w:val="21"/>
              </w:rPr>
              <w:t>2007</w:t>
            </w:r>
            <w:r>
              <w:rPr>
                <w:rFonts w:ascii="Times New Roman" w:eastAsia="Times New Roman"/>
                <w:spacing w:val="-12"/>
                <w:sz w:val="21"/>
              </w:rPr>
              <w:t> </w:t>
            </w:r>
            <w:r>
              <w:rPr>
                <w:spacing w:val="-27"/>
                <w:sz w:val="21"/>
              </w:rPr>
              <w:t>年 </w:t>
            </w:r>
            <w:r>
              <w:rPr>
                <w:rFonts w:ascii="Times New Roman" w:eastAsia="Times New Roman"/>
                <w:sz w:val="21"/>
              </w:rPr>
              <w:t>11</w:t>
            </w:r>
            <w:r>
              <w:rPr>
                <w:rFonts w:ascii="Times New Roman" w:eastAsia="Times New Roman"/>
                <w:spacing w:val="-11"/>
                <w:sz w:val="21"/>
              </w:rPr>
              <w:t> </w:t>
            </w:r>
            <w:r>
              <w:rPr>
                <w:spacing w:val="-26"/>
                <w:sz w:val="21"/>
              </w:rPr>
              <w:t>月 </w:t>
            </w:r>
            <w:r>
              <w:rPr>
                <w:rFonts w:ascii="Times New Roman" w:eastAsia="Times New Roman"/>
                <w:sz w:val="21"/>
              </w:rPr>
              <w:t>29</w:t>
            </w:r>
            <w:r>
              <w:rPr>
                <w:rFonts w:ascii="Times New Roman" w:eastAsia="Times New Roman"/>
                <w:spacing w:val="-10"/>
                <w:sz w:val="21"/>
              </w:rPr>
              <w:t> </w:t>
            </w:r>
            <w:r>
              <w:rPr>
                <w:sz w:val="21"/>
              </w:rPr>
              <w:t>日</w:t>
            </w:r>
          </w:p>
        </w:tc>
      </w:tr>
      <w:tr>
        <w:trPr>
          <w:trHeight w:val="273" w:hRule="atLeast"/>
        </w:trPr>
        <w:tc>
          <w:tcPr>
            <w:tcW w:w="3281" w:type="dxa"/>
          </w:tcPr>
          <w:p>
            <w:pPr>
              <w:pStyle w:val="TableParagraph"/>
              <w:spacing w:line="252" w:lineRule="exact" w:before="1"/>
              <w:ind w:left="107"/>
              <w:rPr>
                <w:sz w:val="21"/>
              </w:rPr>
            </w:pPr>
            <w:r>
              <w:rPr>
                <w:spacing w:val="-1"/>
                <w:sz w:val="21"/>
              </w:rPr>
              <w:t>主要经营业务</w:t>
            </w:r>
            <w:r>
              <w:rPr>
                <w:sz w:val="21"/>
              </w:rPr>
              <w:t> </w:t>
            </w:r>
          </w:p>
        </w:tc>
        <w:tc>
          <w:tcPr>
            <w:tcW w:w="5542" w:type="dxa"/>
          </w:tcPr>
          <w:p>
            <w:pPr>
              <w:pStyle w:val="TableParagraph"/>
              <w:spacing w:line="252" w:lineRule="exact" w:before="1"/>
              <w:ind w:left="108"/>
              <w:rPr>
                <w:sz w:val="21"/>
              </w:rPr>
            </w:pPr>
            <w:r>
              <w:rPr>
                <w:sz w:val="21"/>
              </w:rPr>
              <w:t>投资控股</w:t>
            </w:r>
          </w:p>
        </w:tc>
      </w:tr>
      <w:tr>
        <w:trPr>
          <w:trHeight w:val="544" w:hRule="atLeast"/>
        </w:trPr>
        <w:tc>
          <w:tcPr>
            <w:tcW w:w="3281" w:type="dxa"/>
          </w:tcPr>
          <w:p>
            <w:pPr>
              <w:pStyle w:val="TableParagraph"/>
              <w:spacing w:before="1"/>
              <w:ind w:left="107"/>
              <w:rPr>
                <w:sz w:val="21"/>
              </w:rPr>
            </w:pPr>
            <w:r>
              <w:rPr>
                <w:sz w:val="21"/>
              </w:rPr>
              <w:t>报告期内控股和参股的其他境内</w:t>
            </w:r>
          </w:p>
          <w:p>
            <w:pPr>
              <w:pStyle w:val="TableParagraph"/>
              <w:spacing w:line="252" w:lineRule="exact" w:before="2"/>
              <w:ind w:left="107"/>
              <w:rPr>
                <w:sz w:val="21"/>
              </w:rPr>
            </w:pPr>
            <w:r>
              <w:rPr>
                <w:spacing w:val="-1"/>
                <w:sz w:val="21"/>
              </w:rPr>
              <w:t>外上市公司的股权情况</w:t>
            </w:r>
            <w:r>
              <w:rPr>
                <w:sz w:val="21"/>
              </w:rPr>
              <w:t> </w:t>
            </w:r>
          </w:p>
        </w:tc>
        <w:tc>
          <w:tcPr>
            <w:tcW w:w="5542" w:type="dxa"/>
          </w:tcPr>
          <w:p>
            <w:pPr>
              <w:pStyle w:val="TableParagraph"/>
              <w:spacing w:before="1"/>
              <w:ind w:left="108"/>
              <w:rPr>
                <w:sz w:val="21"/>
              </w:rPr>
            </w:pPr>
            <w:r>
              <w:rPr>
                <w:w w:val="100"/>
                <w:sz w:val="21"/>
              </w:rPr>
              <w:t>无</w:t>
            </w:r>
          </w:p>
        </w:tc>
      </w:tr>
      <w:tr>
        <w:trPr>
          <w:trHeight w:val="273" w:hRule="atLeast"/>
        </w:trPr>
        <w:tc>
          <w:tcPr>
            <w:tcW w:w="3281" w:type="dxa"/>
          </w:tcPr>
          <w:p>
            <w:pPr>
              <w:pStyle w:val="TableParagraph"/>
              <w:spacing w:line="252" w:lineRule="exact" w:before="1"/>
              <w:ind w:left="107"/>
              <w:rPr>
                <w:sz w:val="21"/>
              </w:rPr>
            </w:pPr>
            <w:r>
              <w:rPr>
                <w:spacing w:val="-1"/>
                <w:sz w:val="21"/>
              </w:rPr>
              <w:t>其他情况说明</w:t>
            </w:r>
            <w:r>
              <w:rPr>
                <w:sz w:val="21"/>
              </w:rPr>
              <w:t> </w:t>
            </w:r>
          </w:p>
        </w:tc>
        <w:tc>
          <w:tcPr>
            <w:tcW w:w="5542" w:type="dxa"/>
          </w:tcPr>
          <w:p>
            <w:pPr>
              <w:pStyle w:val="TableParagraph"/>
              <w:spacing w:line="252" w:lineRule="exact" w:before="1"/>
              <w:ind w:left="108"/>
              <w:rPr>
                <w:sz w:val="21"/>
              </w:rPr>
            </w:pPr>
            <w:r>
              <w:rPr>
                <w:sz w:val="21"/>
              </w:rPr>
              <w:t>不适用</w:t>
            </w:r>
          </w:p>
        </w:tc>
      </w:tr>
    </w:tbl>
    <w:p>
      <w:pPr>
        <w:pStyle w:val="BodyText"/>
        <w:spacing w:before="1"/>
      </w:pPr>
      <w:r>
        <w:rPr>
          <w:w w:val="100"/>
        </w:rPr>
        <w:t> </w:t>
      </w:r>
    </w:p>
    <w:p>
      <w:pPr>
        <w:pStyle w:val="ListParagraph"/>
        <w:numPr>
          <w:ilvl w:val="0"/>
          <w:numId w:val="32"/>
        </w:numPr>
        <w:tabs>
          <w:tab w:pos="737" w:val="left" w:leader="none"/>
          <w:tab w:pos="738" w:val="left" w:leader="none"/>
        </w:tabs>
        <w:spacing w:line="240" w:lineRule="auto" w:before="62" w:after="0"/>
        <w:ind w:left="738" w:right="0" w:hanging="420"/>
        <w:jc w:val="left"/>
        <w:rPr>
          <w:sz w:val="21"/>
        </w:rPr>
      </w:pPr>
      <w:r>
        <w:rPr>
          <w:sz w:val="21"/>
        </w:rPr>
        <w:t>自然人 </w:t>
      </w:r>
    </w:p>
    <w:p>
      <w:pPr>
        <w:pStyle w:val="BodyText"/>
        <w:spacing w:before="65"/>
      </w:pPr>
      <w:r>
        <w:rPr>
          <w:spacing w:val="-1"/>
        </w:rPr>
        <w:t>□适用 √不适用</w:t>
      </w:r>
      <w:r>
        <w:rPr>
          <w:spacing w:val="-3"/>
        </w:rPr>
        <w:t> </w:t>
      </w:r>
      <w:r>
        <w:rPr/>
        <w:t> </w:t>
      </w:r>
    </w:p>
    <w:p>
      <w:pPr>
        <w:pStyle w:val="ListParagraph"/>
        <w:numPr>
          <w:ilvl w:val="0"/>
          <w:numId w:val="32"/>
        </w:numPr>
        <w:tabs>
          <w:tab w:pos="737" w:val="left" w:leader="none"/>
          <w:tab w:pos="738" w:val="left" w:leader="none"/>
        </w:tabs>
        <w:spacing w:line="240" w:lineRule="auto" w:before="62" w:after="0"/>
        <w:ind w:left="738" w:right="0" w:hanging="420"/>
        <w:jc w:val="left"/>
        <w:rPr>
          <w:sz w:val="21"/>
        </w:rPr>
      </w:pPr>
      <w:r>
        <w:rPr>
          <w:sz w:val="21"/>
        </w:rPr>
        <w:t>公司不存在控股股东情况的特别说明 </w:t>
      </w:r>
    </w:p>
    <w:p>
      <w:pPr>
        <w:pStyle w:val="BodyText"/>
        <w:spacing w:before="65"/>
      </w:pPr>
      <w:r>
        <w:rPr>
          <w:spacing w:val="11"/>
        </w:rPr>
        <w:t>□适用 √不适用</w:t>
      </w:r>
      <w:r>
        <w:rPr>
          <w:spacing w:val="-3"/>
        </w:rPr>
        <w:t> </w:t>
      </w:r>
      <w:r>
        <w:rPr/>
        <w:t> </w:t>
      </w:r>
    </w:p>
    <w:p>
      <w:pPr>
        <w:pStyle w:val="BodyText"/>
        <w:spacing w:before="2"/>
      </w:pPr>
      <w:r>
        <w:rPr>
          <w:w w:val="100"/>
        </w:rPr>
        <w:t> </w:t>
      </w:r>
    </w:p>
    <w:p>
      <w:pPr>
        <w:pStyle w:val="ListParagraph"/>
        <w:numPr>
          <w:ilvl w:val="0"/>
          <w:numId w:val="32"/>
        </w:numPr>
        <w:tabs>
          <w:tab w:pos="737" w:val="left" w:leader="none"/>
          <w:tab w:pos="738" w:val="left" w:leader="none"/>
        </w:tabs>
        <w:spacing w:line="240" w:lineRule="auto" w:before="64" w:after="0"/>
        <w:ind w:left="738" w:right="0" w:hanging="420"/>
        <w:jc w:val="left"/>
        <w:rPr>
          <w:sz w:val="21"/>
        </w:rPr>
      </w:pPr>
      <w:r>
        <w:rPr>
          <w:sz w:val="21"/>
        </w:rPr>
        <w:t>报告期内控股股东变更情况的说明 </w:t>
      </w:r>
    </w:p>
    <w:p>
      <w:pPr>
        <w:pStyle w:val="BodyText"/>
        <w:spacing w:before="62"/>
      </w:pPr>
      <w:r>
        <w:rPr>
          <w:spacing w:val="11"/>
        </w:rPr>
        <w:t>□适用 √不适用</w:t>
      </w:r>
      <w:r>
        <w:rPr>
          <w:spacing w:val="-3"/>
        </w:rPr>
        <w:t> </w:t>
      </w:r>
      <w:r>
        <w:rPr/>
        <w:t> </w:t>
      </w:r>
    </w:p>
    <w:p>
      <w:pPr>
        <w:pStyle w:val="ListParagraph"/>
        <w:numPr>
          <w:ilvl w:val="0"/>
          <w:numId w:val="32"/>
        </w:numPr>
        <w:tabs>
          <w:tab w:pos="737" w:val="left" w:leader="none"/>
          <w:tab w:pos="738" w:val="left" w:leader="none"/>
        </w:tabs>
        <w:spacing w:line="240" w:lineRule="auto" w:before="65" w:after="0"/>
        <w:ind w:left="738" w:right="0" w:hanging="420"/>
        <w:jc w:val="left"/>
        <w:rPr>
          <w:sz w:val="21"/>
        </w:rPr>
      </w:pPr>
      <w:r>
        <w:rPr>
          <w:sz w:val="21"/>
        </w:rPr>
        <w:t>公司与控股股东之间的产权及控制关系的方框图 </w:t>
      </w:r>
    </w:p>
    <w:p>
      <w:pPr>
        <w:pStyle w:val="BodyText"/>
        <w:spacing w:before="62" w:after="2"/>
      </w:pPr>
      <w:r>
        <w:rPr>
          <w:spacing w:val="11"/>
        </w:rPr>
        <w:t>√适用 □不适用</w:t>
      </w:r>
      <w:r>
        <w:rPr>
          <w:spacing w:val="-3"/>
        </w:rPr>
        <w:t> </w:t>
      </w:r>
      <w:r>
        <w:rPr/>
        <w:t> </w:t>
      </w:r>
    </w:p>
    <w:p>
      <w:pPr>
        <w:pStyle w:val="BodyText"/>
        <w:ind w:left="1878"/>
        <w:rPr>
          <w:sz w:val="20"/>
        </w:rPr>
      </w:pPr>
      <w:r>
        <w:rPr>
          <w:sz w:val="20"/>
        </w:rPr>
        <w:drawing>
          <wp:inline distT="0" distB="0" distL="0" distR="0">
            <wp:extent cx="3190832" cy="2331720"/>
            <wp:effectExtent l="0" t="0" r="0" b="0"/>
            <wp:docPr id="17" name="image15.png"/>
            <wp:cNvGraphicFramePr>
              <a:graphicFrameLocks noChangeAspect="1"/>
            </wp:cNvGraphicFramePr>
            <a:graphic>
              <a:graphicData uri="http://schemas.openxmlformats.org/drawingml/2006/picture">
                <pic:pic>
                  <pic:nvPicPr>
                    <pic:cNvPr id="18" name="image15.png"/>
                    <pic:cNvPicPr/>
                  </pic:nvPicPr>
                  <pic:blipFill>
                    <a:blip r:embed="rId55" cstate="print"/>
                    <a:stretch>
                      <a:fillRect/>
                    </a:stretch>
                  </pic:blipFill>
                  <pic:spPr>
                    <a:xfrm>
                      <a:off x="0" y="0"/>
                      <a:ext cx="3190832" cy="2331720"/>
                    </a:xfrm>
                    <a:prstGeom prst="rect">
                      <a:avLst/>
                    </a:prstGeom>
                  </pic:spPr>
                </pic:pic>
              </a:graphicData>
            </a:graphic>
          </wp:inline>
        </w:drawing>
      </w:r>
      <w:r>
        <w:rPr>
          <w:sz w:val="20"/>
        </w:rPr>
      </w:r>
    </w:p>
    <w:p>
      <w:pPr>
        <w:pStyle w:val="BodyText"/>
        <w:spacing w:before="144"/>
        <w:ind w:left="0" w:right="2602"/>
        <w:jc w:val="right"/>
      </w:pPr>
      <w:r>
        <w:rPr>
          <w:w w:val="100"/>
        </w:rPr>
        <w:t> </w:t>
      </w:r>
    </w:p>
    <w:p>
      <w:pPr>
        <w:spacing w:after="0"/>
        <w:jc w:val="right"/>
        <w:sectPr>
          <w:pgSz w:w="11910" w:h="16840"/>
          <w:pgMar w:header="882" w:footer="1172" w:top="1120" w:bottom="1380" w:left="1480" w:right="0"/>
        </w:sectPr>
      </w:pPr>
    </w:p>
    <w:p>
      <w:pPr>
        <w:pStyle w:val="BodyText"/>
        <w:spacing w:before="7"/>
        <w:ind w:left="0"/>
        <w:rPr>
          <w:sz w:val="25"/>
        </w:rPr>
      </w:pPr>
    </w:p>
    <w:p>
      <w:pPr>
        <w:pStyle w:val="BodyText"/>
        <w:spacing w:before="72"/>
      </w:pPr>
      <w:r>
        <w:rPr>
          <w:w w:val="100"/>
        </w:rPr>
        <w:t> </w:t>
      </w:r>
    </w:p>
    <w:p>
      <w:pPr>
        <w:spacing w:before="65"/>
        <w:ind w:left="318" w:right="0" w:firstLine="0"/>
        <w:jc w:val="left"/>
        <w:rPr>
          <w:sz w:val="21"/>
        </w:rPr>
      </w:pPr>
      <w:r>
        <w:rPr>
          <w:rFonts w:ascii="Calibri" w:eastAsia="Calibri"/>
          <w:b/>
          <w:sz w:val="21"/>
        </w:rPr>
        <w:t>(</w:t>
      </w:r>
      <w:r>
        <w:rPr>
          <w:sz w:val="21"/>
        </w:rPr>
        <w:t>二</w:t>
      </w:r>
      <w:r>
        <w:rPr>
          <w:rFonts w:ascii="Calibri" w:eastAsia="Calibri"/>
          <w:b/>
          <w:spacing w:val="16"/>
          <w:sz w:val="21"/>
        </w:rPr>
        <w:t>) </w:t>
      </w:r>
      <w:r>
        <w:rPr>
          <w:sz w:val="21"/>
        </w:rPr>
        <w:t>实际控制人情况</w:t>
      </w:r>
    </w:p>
    <w:p>
      <w:pPr>
        <w:pStyle w:val="ListParagraph"/>
        <w:numPr>
          <w:ilvl w:val="0"/>
          <w:numId w:val="33"/>
        </w:numPr>
        <w:tabs>
          <w:tab w:pos="742" w:val="left" w:leader="none"/>
          <w:tab w:pos="743" w:val="left" w:leader="none"/>
        </w:tabs>
        <w:spacing w:line="240" w:lineRule="auto" w:before="62" w:after="0"/>
        <w:ind w:left="742" w:right="0" w:hanging="425"/>
        <w:jc w:val="left"/>
        <w:rPr>
          <w:sz w:val="21"/>
        </w:rPr>
      </w:pPr>
      <w:r>
        <w:rPr>
          <w:sz w:val="21"/>
        </w:rPr>
        <w:t>法人 </w:t>
      </w:r>
    </w:p>
    <w:p>
      <w:pPr>
        <w:pStyle w:val="BodyText"/>
        <w:spacing w:before="65"/>
      </w:pPr>
      <w:r>
        <w:rPr>
          <w:spacing w:val="-1"/>
        </w:rPr>
        <w:t>□适用 √不适用</w:t>
      </w:r>
      <w:r>
        <w:rPr>
          <w:spacing w:val="-3"/>
        </w:rPr>
        <w:t> </w:t>
      </w:r>
      <w:r>
        <w:rPr/>
        <w:t> </w:t>
      </w:r>
    </w:p>
    <w:p>
      <w:pPr>
        <w:pStyle w:val="ListParagraph"/>
        <w:numPr>
          <w:ilvl w:val="0"/>
          <w:numId w:val="33"/>
        </w:numPr>
        <w:tabs>
          <w:tab w:pos="742" w:val="left" w:leader="none"/>
          <w:tab w:pos="743" w:val="left" w:leader="none"/>
        </w:tabs>
        <w:spacing w:line="240" w:lineRule="auto" w:before="62" w:after="0"/>
        <w:ind w:left="742" w:right="0" w:hanging="425"/>
        <w:jc w:val="left"/>
        <w:rPr>
          <w:sz w:val="21"/>
        </w:rPr>
      </w:pPr>
      <w:r>
        <w:rPr>
          <w:sz w:val="21"/>
        </w:rPr>
        <w:t>自然人 </w:t>
      </w:r>
    </w:p>
    <w:p>
      <w:pPr>
        <w:pStyle w:val="BodyText"/>
        <w:spacing w:before="64"/>
      </w:pPr>
      <w:r>
        <w:rPr>
          <w:spacing w:val="-1"/>
        </w:rPr>
        <w:t>□适用 √不适用</w:t>
      </w:r>
      <w:r>
        <w:rPr>
          <w:spacing w:val="-3"/>
        </w:rPr>
        <w:t> </w:t>
      </w:r>
      <w:r>
        <w:rPr/>
        <w:t> </w:t>
      </w:r>
    </w:p>
    <w:p>
      <w:pPr>
        <w:pStyle w:val="ListParagraph"/>
        <w:numPr>
          <w:ilvl w:val="0"/>
          <w:numId w:val="33"/>
        </w:numPr>
        <w:tabs>
          <w:tab w:pos="742" w:val="left" w:leader="none"/>
          <w:tab w:pos="743" w:val="left" w:leader="none"/>
        </w:tabs>
        <w:spacing w:line="240" w:lineRule="auto" w:before="62" w:after="0"/>
        <w:ind w:left="742" w:right="0" w:hanging="425"/>
        <w:jc w:val="left"/>
        <w:rPr>
          <w:sz w:val="21"/>
        </w:rPr>
      </w:pPr>
      <w:r>
        <w:rPr>
          <w:sz w:val="21"/>
        </w:rPr>
        <w:t>公司不存在实际控制人情况的特别说明 </w:t>
      </w:r>
    </w:p>
    <w:p>
      <w:pPr>
        <w:pStyle w:val="BodyText"/>
        <w:spacing w:before="65"/>
      </w:pPr>
      <w:r>
        <w:rPr>
          <w:spacing w:val="11"/>
        </w:rPr>
        <w:t>√适用 □不适用</w:t>
      </w:r>
      <w:r>
        <w:rPr>
          <w:spacing w:val="-3"/>
        </w:rPr>
        <w:t> </w:t>
      </w:r>
      <w:r>
        <w:rPr/>
        <w:t> </w:t>
      </w:r>
    </w:p>
    <w:p>
      <w:pPr>
        <w:pStyle w:val="BodyText"/>
        <w:spacing w:line="244" w:lineRule="auto" w:before="2"/>
        <w:ind w:right="1438"/>
      </w:pPr>
      <w:r>
        <w:rPr>
          <w:spacing w:val="-3"/>
        </w:rPr>
        <w:t>本公司控股股东中坚公司为一家投资控股型公司，由鸿海精密间接持有其 </w:t>
      </w:r>
      <w:r>
        <w:rPr/>
        <w:t>100%的权益。截至本报告公告日，因鸿海精密不存在实际控制人，故而本公司不存在实际控制人。 </w:t>
      </w:r>
    </w:p>
    <w:p>
      <w:pPr>
        <w:pStyle w:val="BodyText"/>
        <w:spacing w:line="265" w:lineRule="exact"/>
      </w:pPr>
      <w:r>
        <w:rPr>
          <w:w w:val="100"/>
        </w:rPr>
        <w:t> </w:t>
      </w:r>
    </w:p>
    <w:p>
      <w:pPr>
        <w:pStyle w:val="ListParagraph"/>
        <w:numPr>
          <w:ilvl w:val="0"/>
          <w:numId w:val="33"/>
        </w:numPr>
        <w:tabs>
          <w:tab w:pos="742" w:val="left" w:leader="none"/>
          <w:tab w:pos="743" w:val="left" w:leader="none"/>
        </w:tabs>
        <w:spacing w:line="240" w:lineRule="auto" w:before="65" w:after="0"/>
        <w:ind w:left="742" w:right="0" w:hanging="425"/>
        <w:jc w:val="left"/>
        <w:rPr>
          <w:sz w:val="21"/>
        </w:rPr>
      </w:pPr>
      <w:r>
        <w:rPr>
          <w:sz w:val="21"/>
        </w:rPr>
        <w:t>报告期内公司控制权发生变更的情况说明 </w:t>
      </w:r>
    </w:p>
    <w:p>
      <w:pPr>
        <w:pStyle w:val="BodyText"/>
        <w:spacing w:before="62"/>
      </w:pPr>
      <w:r>
        <w:rPr>
          <w:spacing w:val="11"/>
        </w:rPr>
        <w:t>□适用 √不适用</w:t>
      </w:r>
      <w:r>
        <w:rPr>
          <w:spacing w:val="-3"/>
        </w:rPr>
        <w:t> </w:t>
      </w:r>
      <w:r>
        <w:rPr/>
        <w:t> </w:t>
      </w:r>
    </w:p>
    <w:p>
      <w:pPr>
        <w:pStyle w:val="BodyText"/>
        <w:spacing w:before="5"/>
      </w:pPr>
      <w:r>
        <w:rPr>
          <w:w w:val="100"/>
        </w:rPr>
        <w:t> </w:t>
      </w:r>
    </w:p>
    <w:p>
      <w:pPr>
        <w:pStyle w:val="ListParagraph"/>
        <w:numPr>
          <w:ilvl w:val="0"/>
          <w:numId w:val="33"/>
        </w:numPr>
        <w:tabs>
          <w:tab w:pos="742" w:val="left" w:leader="none"/>
          <w:tab w:pos="743" w:val="left" w:leader="none"/>
        </w:tabs>
        <w:spacing w:line="240" w:lineRule="auto" w:before="62" w:after="0"/>
        <w:ind w:left="742" w:right="0" w:hanging="425"/>
        <w:jc w:val="left"/>
        <w:rPr>
          <w:sz w:val="21"/>
        </w:rPr>
      </w:pPr>
      <w:r>
        <w:rPr>
          <w:sz w:val="21"/>
        </w:rPr>
        <w:t>公司与实际控制人之间的产权及控制关系的方框图 </w:t>
      </w:r>
    </w:p>
    <w:p>
      <w:pPr>
        <w:pStyle w:val="BodyText"/>
        <w:spacing w:before="65"/>
      </w:pPr>
      <w:r>
        <w:rPr>
          <w:spacing w:val="11"/>
        </w:rPr>
        <w:t>□适用 √不适用</w:t>
      </w:r>
      <w:r>
        <w:rPr>
          <w:spacing w:val="-3"/>
        </w:rPr>
        <w:t> </w:t>
      </w:r>
      <w:r>
        <w:rPr/>
        <w:t> </w:t>
      </w:r>
    </w:p>
    <w:p>
      <w:pPr>
        <w:pStyle w:val="BodyText"/>
        <w:spacing w:before="2"/>
      </w:pPr>
      <w:r>
        <w:rPr>
          <w:w w:val="100"/>
        </w:rPr>
        <w:t> </w:t>
      </w:r>
    </w:p>
    <w:p>
      <w:pPr>
        <w:pStyle w:val="ListParagraph"/>
        <w:numPr>
          <w:ilvl w:val="0"/>
          <w:numId w:val="33"/>
        </w:numPr>
        <w:tabs>
          <w:tab w:pos="742" w:val="left" w:leader="none"/>
          <w:tab w:pos="743" w:val="left" w:leader="none"/>
        </w:tabs>
        <w:spacing w:line="240" w:lineRule="auto" w:before="64" w:after="0"/>
        <w:ind w:left="742" w:right="0" w:hanging="425"/>
        <w:jc w:val="left"/>
        <w:rPr>
          <w:sz w:val="21"/>
        </w:rPr>
      </w:pPr>
      <w:r>
        <w:rPr>
          <w:sz w:val="21"/>
        </w:rPr>
        <w:t>实际控制人通过信托或其他资产管理方式控制公司 </w:t>
      </w:r>
    </w:p>
    <w:p>
      <w:pPr>
        <w:pStyle w:val="BodyText"/>
        <w:spacing w:before="62"/>
      </w:pPr>
      <w:r>
        <w:rPr>
          <w:spacing w:val="11"/>
        </w:rPr>
        <w:t>□适用 √不适用</w:t>
      </w:r>
      <w:r>
        <w:rPr>
          <w:spacing w:val="-3"/>
        </w:rPr>
        <w:t> </w:t>
      </w:r>
      <w:r>
        <w:rPr/>
        <w:t> </w:t>
      </w:r>
    </w:p>
    <w:p>
      <w:pPr>
        <w:pStyle w:val="BodyText"/>
        <w:spacing w:before="3"/>
      </w:pPr>
      <w:r>
        <w:rPr>
          <w:w w:val="100"/>
        </w:rPr>
        <w:t> </w:t>
      </w:r>
    </w:p>
    <w:p>
      <w:pPr>
        <w:pStyle w:val="BodyText"/>
        <w:spacing w:before="64"/>
      </w:pPr>
      <w:r>
        <w:rPr>
          <w:rFonts w:ascii="Calibri" w:eastAsia="Calibri"/>
          <w:b/>
        </w:rPr>
        <w:t>(</w:t>
      </w:r>
      <w:r>
        <w:rPr/>
        <w:t>三</w:t>
      </w:r>
      <w:r>
        <w:rPr>
          <w:rFonts w:ascii="Calibri" w:eastAsia="Calibri"/>
          <w:b/>
          <w:spacing w:val="17"/>
        </w:rPr>
        <w:t>) </w:t>
      </w:r>
      <w:r>
        <w:rPr/>
        <w:t>控股股东及实际控制人其他情况介绍</w:t>
      </w:r>
    </w:p>
    <w:p>
      <w:pPr>
        <w:pStyle w:val="BodyText"/>
        <w:spacing w:before="62"/>
      </w:pPr>
      <w:r>
        <w:rPr>
          <w:spacing w:val="11"/>
        </w:rPr>
        <w:t>□适用 √不适用</w:t>
      </w:r>
      <w:r>
        <w:rPr>
          <w:spacing w:val="-3"/>
        </w:rPr>
        <w:t> </w:t>
      </w:r>
      <w:r>
        <w:rPr/>
        <w:t> </w:t>
      </w:r>
    </w:p>
    <w:p>
      <w:pPr>
        <w:pStyle w:val="BodyText"/>
        <w:spacing w:before="5"/>
      </w:pPr>
      <w:r>
        <w:rPr>
          <w:w w:val="100"/>
        </w:rPr>
        <w:t> </w:t>
      </w:r>
    </w:p>
    <w:p>
      <w:pPr>
        <w:pStyle w:val="BodyText"/>
        <w:spacing w:line="244" w:lineRule="auto" w:before="62"/>
        <w:ind w:left="769" w:right="1277" w:hanging="452"/>
      </w:pPr>
      <w:r>
        <w:rPr/>
        <w:t>五、 公司控股股东或第一大股东及其一致行动人累计质押股份数量占其所持公司股份数量比例</w:t>
      </w:r>
      <w:r>
        <w:rPr>
          <w:spacing w:val="-15"/>
        </w:rPr>
        <w:t>达到 </w:t>
      </w:r>
      <w:r>
        <w:rPr>
          <w:rFonts w:ascii="Arial" w:eastAsia="Arial"/>
          <w:b/>
        </w:rPr>
        <w:t>80%</w:t>
      </w:r>
      <w:r>
        <w:rPr/>
        <w:t>以上</w:t>
      </w:r>
    </w:p>
    <w:p>
      <w:pPr>
        <w:pStyle w:val="BodyText"/>
        <w:spacing w:before="56"/>
      </w:pPr>
      <w:r>
        <w:rPr>
          <w:spacing w:val="-1"/>
        </w:rPr>
        <w:t>□适用 √不适用</w:t>
      </w:r>
      <w:r>
        <w:rPr>
          <w:spacing w:val="-3"/>
        </w:rPr>
        <w:t> </w:t>
      </w:r>
      <w:r>
        <w:rPr/>
        <w:t> </w:t>
      </w:r>
    </w:p>
    <w:p>
      <w:pPr>
        <w:pStyle w:val="BodyText"/>
        <w:spacing w:before="65"/>
      </w:pPr>
      <w:r>
        <w:rPr>
          <w:spacing w:val="-9"/>
        </w:rPr>
        <w:t>六、 其他持股在百分之十以上的法人股东</w:t>
      </w:r>
    </w:p>
    <w:p>
      <w:pPr>
        <w:pStyle w:val="BodyText"/>
        <w:spacing w:before="62"/>
      </w:pPr>
      <w:r>
        <w:rPr>
          <w:spacing w:val="-1"/>
        </w:rPr>
        <w:t>√适用 □不适用</w:t>
      </w:r>
      <w:r>
        <w:rPr>
          <w:spacing w:val="-3"/>
        </w:rPr>
        <w:t> </w:t>
      </w:r>
      <w:r>
        <w:rPr/>
        <w:t> </w:t>
      </w:r>
    </w:p>
    <w:p>
      <w:pPr>
        <w:pStyle w:val="BodyText"/>
        <w:spacing w:before="4"/>
        <w:ind w:left="6839"/>
      </w:pPr>
      <w:r>
        <w:rPr>
          <w:spacing w:val="8"/>
        </w:rPr>
        <w:t>单位：万元 币种：美元</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1"/>
        <w:gridCol w:w="1366"/>
        <w:gridCol w:w="1226"/>
        <w:gridCol w:w="2155"/>
        <w:gridCol w:w="1090"/>
        <w:gridCol w:w="1514"/>
      </w:tblGrid>
      <w:tr>
        <w:trPr>
          <w:trHeight w:val="817" w:hRule="atLeast"/>
        </w:trPr>
        <w:tc>
          <w:tcPr>
            <w:tcW w:w="1471" w:type="dxa"/>
          </w:tcPr>
          <w:p>
            <w:pPr>
              <w:pStyle w:val="TableParagraph"/>
              <w:spacing w:line="244" w:lineRule="auto" w:before="137"/>
              <w:ind w:left="628" w:right="196" w:hanging="420"/>
              <w:rPr>
                <w:sz w:val="21"/>
              </w:rPr>
            </w:pPr>
            <w:r>
              <w:rPr>
                <w:sz w:val="21"/>
              </w:rPr>
              <w:t>法人股东名称 </w:t>
            </w:r>
          </w:p>
        </w:tc>
        <w:tc>
          <w:tcPr>
            <w:tcW w:w="1366" w:type="dxa"/>
          </w:tcPr>
          <w:p>
            <w:pPr>
              <w:pStyle w:val="TableParagraph"/>
              <w:spacing w:before="1"/>
              <w:ind w:left="155"/>
              <w:rPr>
                <w:sz w:val="21"/>
              </w:rPr>
            </w:pPr>
            <w:r>
              <w:rPr>
                <w:sz w:val="21"/>
              </w:rPr>
              <w:t>单位负责人</w:t>
            </w:r>
          </w:p>
          <w:p>
            <w:pPr>
              <w:pStyle w:val="TableParagraph"/>
              <w:spacing w:line="270" w:lineRule="atLeast"/>
              <w:ind w:left="576" w:right="144" w:hanging="421"/>
              <w:rPr>
                <w:sz w:val="21"/>
              </w:rPr>
            </w:pPr>
            <w:r>
              <w:rPr>
                <w:sz w:val="21"/>
              </w:rPr>
              <w:t>或法定代表人 </w:t>
            </w:r>
          </w:p>
        </w:tc>
        <w:tc>
          <w:tcPr>
            <w:tcW w:w="1226" w:type="dxa"/>
          </w:tcPr>
          <w:p>
            <w:pPr>
              <w:pStyle w:val="TableParagraph"/>
              <w:spacing w:before="5"/>
              <w:rPr>
                <w:sz w:val="21"/>
              </w:rPr>
            </w:pPr>
          </w:p>
          <w:p>
            <w:pPr>
              <w:pStyle w:val="TableParagraph"/>
              <w:ind w:left="192"/>
              <w:rPr>
                <w:sz w:val="21"/>
              </w:rPr>
            </w:pPr>
            <w:r>
              <w:rPr>
                <w:spacing w:val="-1"/>
                <w:sz w:val="21"/>
              </w:rPr>
              <w:t>成立日期</w:t>
            </w:r>
            <w:r>
              <w:rPr>
                <w:sz w:val="21"/>
              </w:rPr>
              <w:t> </w:t>
            </w:r>
          </w:p>
        </w:tc>
        <w:tc>
          <w:tcPr>
            <w:tcW w:w="2155" w:type="dxa"/>
          </w:tcPr>
          <w:p>
            <w:pPr>
              <w:pStyle w:val="TableParagraph"/>
              <w:spacing w:line="244" w:lineRule="auto" w:before="137"/>
              <w:ind w:left="867" w:right="541" w:hanging="212"/>
              <w:rPr>
                <w:sz w:val="21"/>
              </w:rPr>
            </w:pPr>
            <w:r>
              <w:rPr>
                <w:sz w:val="21"/>
              </w:rPr>
              <w:t>组织机构代码 </w:t>
            </w:r>
          </w:p>
        </w:tc>
        <w:tc>
          <w:tcPr>
            <w:tcW w:w="1090" w:type="dxa"/>
          </w:tcPr>
          <w:p>
            <w:pPr>
              <w:pStyle w:val="TableParagraph"/>
              <w:spacing w:before="5"/>
              <w:rPr>
                <w:sz w:val="21"/>
              </w:rPr>
            </w:pPr>
          </w:p>
          <w:p>
            <w:pPr>
              <w:pStyle w:val="TableParagraph"/>
              <w:ind w:right="8"/>
              <w:jc w:val="right"/>
              <w:rPr>
                <w:sz w:val="21"/>
              </w:rPr>
            </w:pPr>
            <w:r>
              <w:rPr>
                <w:spacing w:val="-1"/>
                <w:sz w:val="21"/>
              </w:rPr>
              <w:t>注册资本</w:t>
            </w:r>
            <w:r>
              <w:rPr>
                <w:sz w:val="21"/>
              </w:rPr>
              <w:t> </w:t>
            </w:r>
          </w:p>
        </w:tc>
        <w:tc>
          <w:tcPr>
            <w:tcW w:w="1514" w:type="dxa"/>
          </w:tcPr>
          <w:p>
            <w:pPr>
              <w:pStyle w:val="TableParagraph"/>
              <w:spacing w:before="1"/>
              <w:ind w:left="126"/>
              <w:rPr>
                <w:sz w:val="21"/>
              </w:rPr>
            </w:pPr>
            <w:r>
              <w:rPr>
                <w:sz w:val="21"/>
              </w:rPr>
              <w:t>主要经营业务</w:t>
            </w:r>
          </w:p>
          <w:p>
            <w:pPr>
              <w:pStyle w:val="TableParagraph"/>
              <w:spacing w:line="270" w:lineRule="atLeast"/>
              <w:ind w:left="546" w:right="113" w:hanging="420"/>
              <w:rPr>
                <w:sz w:val="21"/>
              </w:rPr>
            </w:pPr>
            <w:r>
              <w:rPr>
                <w:spacing w:val="-1"/>
                <w:sz w:val="21"/>
              </w:rPr>
              <w:t>或管理活动等</w:t>
            </w:r>
            <w:r>
              <w:rPr>
                <w:sz w:val="21"/>
              </w:rPr>
              <w:t>情况 </w:t>
            </w:r>
          </w:p>
        </w:tc>
      </w:tr>
      <w:tr>
        <w:trPr>
          <w:trHeight w:val="270" w:hRule="atLeast"/>
        </w:trPr>
        <w:tc>
          <w:tcPr>
            <w:tcW w:w="1471" w:type="dxa"/>
            <w:tcBorders>
              <w:bottom w:val="nil"/>
            </w:tcBorders>
          </w:tcPr>
          <w:p>
            <w:pPr>
              <w:pStyle w:val="TableParagraph"/>
              <w:rPr>
                <w:rFonts w:ascii="Times New Roman"/>
                <w:sz w:val="20"/>
              </w:rPr>
            </w:pPr>
          </w:p>
        </w:tc>
        <w:tc>
          <w:tcPr>
            <w:tcW w:w="1366" w:type="dxa"/>
            <w:tcBorders>
              <w:bottom w:val="nil"/>
            </w:tcBorders>
          </w:tcPr>
          <w:p>
            <w:pPr>
              <w:pStyle w:val="TableParagraph"/>
              <w:rPr>
                <w:rFonts w:ascii="Times New Roman"/>
                <w:sz w:val="20"/>
              </w:rPr>
            </w:pPr>
          </w:p>
        </w:tc>
        <w:tc>
          <w:tcPr>
            <w:tcW w:w="1226" w:type="dxa"/>
            <w:tcBorders>
              <w:bottom w:val="nil"/>
            </w:tcBorders>
          </w:tcPr>
          <w:p>
            <w:pPr>
              <w:pStyle w:val="TableParagraph"/>
              <w:rPr>
                <w:rFonts w:ascii="Times New Roman"/>
                <w:sz w:val="20"/>
              </w:rPr>
            </w:pPr>
          </w:p>
        </w:tc>
        <w:tc>
          <w:tcPr>
            <w:tcW w:w="2155" w:type="dxa"/>
            <w:tcBorders>
              <w:bottom w:val="nil"/>
            </w:tcBorders>
          </w:tcPr>
          <w:p>
            <w:pPr>
              <w:pStyle w:val="TableParagraph"/>
              <w:rPr>
                <w:rFonts w:ascii="Times New Roman"/>
                <w:sz w:val="20"/>
              </w:rPr>
            </w:pPr>
          </w:p>
        </w:tc>
        <w:tc>
          <w:tcPr>
            <w:tcW w:w="1090" w:type="dxa"/>
            <w:tcBorders>
              <w:bottom w:val="nil"/>
            </w:tcBorders>
          </w:tcPr>
          <w:p>
            <w:pPr>
              <w:pStyle w:val="TableParagraph"/>
              <w:rPr>
                <w:rFonts w:ascii="Times New Roman"/>
                <w:sz w:val="20"/>
              </w:rPr>
            </w:pPr>
          </w:p>
        </w:tc>
        <w:tc>
          <w:tcPr>
            <w:tcW w:w="1514" w:type="dxa"/>
            <w:tcBorders>
              <w:bottom w:val="nil"/>
            </w:tcBorders>
          </w:tcPr>
          <w:p>
            <w:pPr>
              <w:pStyle w:val="TableParagraph"/>
              <w:spacing w:line="250" w:lineRule="exact" w:before="1"/>
              <w:ind w:left="106"/>
              <w:rPr>
                <w:sz w:val="21"/>
              </w:rPr>
            </w:pPr>
            <w:r>
              <w:rPr>
                <w:spacing w:val="-21"/>
                <w:sz w:val="21"/>
              </w:rPr>
              <w:t>笔 记 本 计 算</w:t>
            </w:r>
          </w:p>
        </w:tc>
      </w:tr>
      <w:tr>
        <w:trPr>
          <w:trHeight w:val="272" w:hRule="atLeast"/>
        </w:trPr>
        <w:tc>
          <w:tcPr>
            <w:tcW w:w="1471" w:type="dxa"/>
            <w:tcBorders>
              <w:top w:val="nil"/>
              <w:bottom w:val="nil"/>
            </w:tcBorders>
          </w:tcPr>
          <w:p>
            <w:pPr>
              <w:pStyle w:val="TableParagraph"/>
              <w:rPr>
                <w:rFonts w:ascii="Times New Roman"/>
                <w:sz w:val="20"/>
              </w:rPr>
            </w:pPr>
          </w:p>
        </w:tc>
        <w:tc>
          <w:tcPr>
            <w:tcW w:w="1366" w:type="dxa"/>
            <w:tcBorders>
              <w:top w:val="nil"/>
              <w:bottom w:val="nil"/>
            </w:tcBorders>
          </w:tcPr>
          <w:p>
            <w:pPr>
              <w:pStyle w:val="TableParagraph"/>
              <w:rPr>
                <w:rFonts w:ascii="Times New Roman"/>
                <w:sz w:val="20"/>
              </w:rPr>
            </w:pPr>
          </w:p>
        </w:tc>
        <w:tc>
          <w:tcPr>
            <w:tcW w:w="1226" w:type="dxa"/>
            <w:tcBorders>
              <w:top w:val="nil"/>
              <w:bottom w:val="nil"/>
            </w:tcBorders>
          </w:tcPr>
          <w:p>
            <w:pPr>
              <w:pStyle w:val="TableParagraph"/>
              <w:rPr>
                <w:rFonts w:ascii="Times New Roman"/>
                <w:sz w:val="20"/>
              </w:rPr>
            </w:pPr>
          </w:p>
        </w:tc>
        <w:tc>
          <w:tcPr>
            <w:tcW w:w="2155" w:type="dxa"/>
            <w:tcBorders>
              <w:top w:val="nil"/>
              <w:bottom w:val="nil"/>
            </w:tcBorders>
          </w:tcPr>
          <w:p>
            <w:pPr>
              <w:pStyle w:val="TableParagraph"/>
              <w:rPr>
                <w:rFonts w:ascii="Times New Roman"/>
                <w:sz w:val="20"/>
              </w:rPr>
            </w:pPr>
          </w:p>
        </w:tc>
        <w:tc>
          <w:tcPr>
            <w:tcW w:w="1090" w:type="dxa"/>
            <w:tcBorders>
              <w:top w:val="nil"/>
              <w:bottom w:val="nil"/>
            </w:tcBorders>
          </w:tcPr>
          <w:p>
            <w:pPr>
              <w:pStyle w:val="TableParagraph"/>
              <w:rPr>
                <w:rFonts w:ascii="Times New Roman"/>
                <w:sz w:val="20"/>
              </w:rPr>
            </w:pPr>
          </w:p>
        </w:tc>
        <w:tc>
          <w:tcPr>
            <w:tcW w:w="1514" w:type="dxa"/>
            <w:tcBorders>
              <w:top w:val="nil"/>
              <w:bottom w:val="nil"/>
            </w:tcBorders>
          </w:tcPr>
          <w:p>
            <w:pPr>
              <w:pStyle w:val="TableParagraph"/>
              <w:spacing w:line="251" w:lineRule="exact" w:before="1"/>
              <w:ind w:left="106"/>
              <w:rPr>
                <w:sz w:val="21"/>
              </w:rPr>
            </w:pPr>
            <w:r>
              <w:rPr>
                <w:sz w:val="21"/>
              </w:rPr>
              <w:t>机、微型计算</w:t>
            </w:r>
          </w:p>
        </w:tc>
      </w:tr>
      <w:tr>
        <w:trPr>
          <w:trHeight w:val="272" w:hRule="atLeast"/>
        </w:trPr>
        <w:tc>
          <w:tcPr>
            <w:tcW w:w="1471" w:type="dxa"/>
            <w:tcBorders>
              <w:top w:val="nil"/>
              <w:bottom w:val="nil"/>
            </w:tcBorders>
          </w:tcPr>
          <w:p>
            <w:pPr>
              <w:pStyle w:val="TableParagraph"/>
              <w:rPr>
                <w:rFonts w:ascii="Times New Roman"/>
                <w:sz w:val="20"/>
              </w:rPr>
            </w:pPr>
          </w:p>
        </w:tc>
        <w:tc>
          <w:tcPr>
            <w:tcW w:w="1366" w:type="dxa"/>
            <w:tcBorders>
              <w:top w:val="nil"/>
              <w:bottom w:val="nil"/>
            </w:tcBorders>
          </w:tcPr>
          <w:p>
            <w:pPr>
              <w:pStyle w:val="TableParagraph"/>
              <w:rPr>
                <w:rFonts w:ascii="Times New Roman"/>
                <w:sz w:val="20"/>
              </w:rPr>
            </w:pPr>
          </w:p>
        </w:tc>
        <w:tc>
          <w:tcPr>
            <w:tcW w:w="1226" w:type="dxa"/>
            <w:tcBorders>
              <w:top w:val="nil"/>
              <w:bottom w:val="nil"/>
            </w:tcBorders>
          </w:tcPr>
          <w:p>
            <w:pPr>
              <w:pStyle w:val="TableParagraph"/>
              <w:rPr>
                <w:rFonts w:ascii="Times New Roman"/>
                <w:sz w:val="20"/>
              </w:rPr>
            </w:pPr>
          </w:p>
        </w:tc>
        <w:tc>
          <w:tcPr>
            <w:tcW w:w="2155" w:type="dxa"/>
            <w:tcBorders>
              <w:top w:val="nil"/>
              <w:bottom w:val="nil"/>
            </w:tcBorders>
          </w:tcPr>
          <w:p>
            <w:pPr>
              <w:pStyle w:val="TableParagraph"/>
              <w:rPr>
                <w:rFonts w:ascii="Times New Roman"/>
                <w:sz w:val="20"/>
              </w:rPr>
            </w:pPr>
          </w:p>
        </w:tc>
        <w:tc>
          <w:tcPr>
            <w:tcW w:w="1090" w:type="dxa"/>
            <w:tcBorders>
              <w:top w:val="nil"/>
              <w:bottom w:val="nil"/>
            </w:tcBorders>
          </w:tcPr>
          <w:p>
            <w:pPr>
              <w:pStyle w:val="TableParagraph"/>
              <w:rPr>
                <w:rFonts w:ascii="Times New Roman"/>
                <w:sz w:val="20"/>
              </w:rPr>
            </w:pPr>
          </w:p>
        </w:tc>
        <w:tc>
          <w:tcPr>
            <w:tcW w:w="1514" w:type="dxa"/>
            <w:tcBorders>
              <w:top w:val="nil"/>
              <w:bottom w:val="nil"/>
            </w:tcBorders>
          </w:tcPr>
          <w:p>
            <w:pPr>
              <w:pStyle w:val="TableParagraph"/>
              <w:spacing w:line="250" w:lineRule="exact" w:before="2"/>
              <w:ind w:left="106"/>
              <w:rPr>
                <w:sz w:val="21"/>
              </w:rPr>
            </w:pPr>
            <w:r>
              <w:rPr>
                <w:sz w:val="21"/>
              </w:rPr>
              <w:t>机、音视频播</w:t>
            </w:r>
          </w:p>
        </w:tc>
      </w:tr>
      <w:tr>
        <w:trPr>
          <w:trHeight w:val="817" w:hRule="atLeast"/>
        </w:trPr>
        <w:tc>
          <w:tcPr>
            <w:tcW w:w="1471" w:type="dxa"/>
            <w:tcBorders>
              <w:top w:val="nil"/>
              <w:bottom w:val="nil"/>
            </w:tcBorders>
          </w:tcPr>
          <w:p>
            <w:pPr>
              <w:pStyle w:val="TableParagraph"/>
              <w:spacing w:before="1"/>
              <w:ind w:left="107"/>
              <w:rPr>
                <w:sz w:val="21"/>
              </w:rPr>
            </w:pPr>
            <w:r>
              <w:rPr>
                <w:spacing w:val="40"/>
                <w:sz w:val="21"/>
              </w:rPr>
              <w:t>富泰华工业</w:t>
            </w:r>
            <w:r>
              <w:rPr>
                <w:spacing w:val="-55"/>
                <w:sz w:val="21"/>
              </w:rPr>
              <w:t> </w:t>
            </w:r>
          </w:p>
          <w:p>
            <w:pPr>
              <w:pStyle w:val="TableParagraph"/>
              <w:spacing w:line="270" w:lineRule="atLeast"/>
              <w:ind w:left="107" w:right="43"/>
              <w:rPr>
                <w:sz w:val="21"/>
              </w:rPr>
            </w:pPr>
            <w:r>
              <w:rPr>
                <w:spacing w:val="50"/>
                <w:sz w:val="21"/>
              </w:rPr>
              <w:t>（深圳）</w:t>
            </w:r>
            <w:r>
              <w:rPr>
                <w:sz w:val="21"/>
              </w:rPr>
              <w:t>有限公司</w:t>
            </w:r>
          </w:p>
        </w:tc>
        <w:tc>
          <w:tcPr>
            <w:tcW w:w="1366" w:type="dxa"/>
            <w:tcBorders>
              <w:top w:val="nil"/>
              <w:bottom w:val="nil"/>
            </w:tcBorders>
          </w:tcPr>
          <w:p>
            <w:pPr>
              <w:pStyle w:val="TableParagraph"/>
              <w:spacing w:before="6"/>
              <w:rPr>
                <w:sz w:val="21"/>
              </w:rPr>
            </w:pPr>
          </w:p>
          <w:p>
            <w:pPr>
              <w:pStyle w:val="TableParagraph"/>
              <w:ind w:left="107"/>
              <w:rPr>
                <w:sz w:val="21"/>
              </w:rPr>
            </w:pPr>
            <w:r>
              <w:rPr>
                <w:sz w:val="21"/>
              </w:rPr>
              <w:t>李维旋</w:t>
            </w:r>
          </w:p>
        </w:tc>
        <w:tc>
          <w:tcPr>
            <w:tcW w:w="1226" w:type="dxa"/>
            <w:tcBorders>
              <w:top w:val="nil"/>
              <w:bottom w:val="nil"/>
            </w:tcBorders>
          </w:tcPr>
          <w:p>
            <w:pPr>
              <w:pStyle w:val="TableParagraph"/>
              <w:spacing w:before="139"/>
              <w:ind w:left="108"/>
              <w:rPr>
                <w:rFonts w:ascii="Times New Roman" w:eastAsia="Times New Roman"/>
                <w:sz w:val="21"/>
              </w:rPr>
            </w:pPr>
            <w:r>
              <w:rPr>
                <w:rFonts w:ascii="Times New Roman" w:eastAsia="Times New Roman"/>
                <w:sz w:val="21"/>
              </w:rPr>
              <w:t>2007</w:t>
            </w:r>
            <w:r>
              <w:rPr>
                <w:rFonts w:ascii="Times New Roman" w:eastAsia="Times New Roman"/>
                <w:spacing w:val="25"/>
                <w:sz w:val="21"/>
              </w:rPr>
              <w:t> </w:t>
            </w:r>
            <w:r>
              <w:rPr>
                <w:spacing w:val="21"/>
                <w:sz w:val="21"/>
              </w:rPr>
              <w:t>年 </w:t>
            </w:r>
            <w:r>
              <w:rPr>
                <w:rFonts w:ascii="Times New Roman" w:eastAsia="Times New Roman"/>
                <w:sz w:val="21"/>
              </w:rPr>
              <w:t>3</w:t>
            </w:r>
          </w:p>
          <w:p>
            <w:pPr>
              <w:pStyle w:val="TableParagraph"/>
              <w:spacing w:before="4"/>
              <w:ind w:left="108"/>
              <w:rPr>
                <w:sz w:val="21"/>
              </w:rPr>
            </w:pPr>
            <w:r>
              <w:rPr>
                <w:spacing w:val="-27"/>
                <w:sz w:val="21"/>
              </w:rPr>
              <w:t>月 </w:t>
            </w:r>
            <w:r>
              <w:rPr>
                <w:rFonts w:ascii="Times New Roman" w:eastAsia="Times New Roman"/>
                <w:sz w:val="21"/>
              </w:rPr>
              <w:t>14</w:t>
            </w:r>
            <w:r>
              <w:rPr>
                <w:rFonts w:ascii="Times New Roman" w:eastAsia="Times New Roman"/>
                <w:spacing w:val="-10"/>
                <w:sz w:val="21"/>
              </w:rPr>
              <w:t> </w:t>
            </w:r>
            <w:r>
              <w:rPr>
                <w:sz w:val="21"/>
              </w:rPr>
              <w:t>日</w:t>
            </w:r>
          </w:p>
        </w:tc>
        <w:tc>
          <w:tcPr>
            <w:tcW w:w="2155" w:type="dxa"/>
            <w:tcBorders>
              <w:top w:val="nil"/>
              <w:bottom w:val="nil"/>
            </w:tcBorders>
          </w:tcPr>
          <w:p>
            <w:pPr>
              <w:pStyle w:val="TableParagraph"/>
              <w:rPr>
                <w:sz w:val="22"/>
              </w:rPr>
            </w:pPr>
          </w:p>
          <w:p>
            <w:pPr>
              <w:pStyle w:val="TableParagraph"/>
              <w:ind w:left="108"/>
              <w:rPr>
                <w:rFonts w:ascii="Times New Roman"/>
                <w:sz w:val="21"/>
              </w:rPr>
            </w:pPr>
            <w:r>
              <w:rPr>
                <w:rFonts w:ascii="Times New Roman"/>
                <w:sz w:val="21"/>
              </w:rPr>
              <w:t>91440300799229243N</w:t>
            </w:r>
          </w:p>
        </w:tc>
        <w:tc>
          <w:tcPr>
            <w:tcW w:w="1090" w:type="dxa"/>
            <w:tcBorders>
              <w:top w:val="nil"/>
              <w:bottom w:val="nil"/>
            </w:tcBorders>
          </w:tcPr>
          <w:p>
            <w:pPr>
              <w:pStyle w:val="TableParagraph"/>
              <w:rPr>
                <w:sz w:val="22"/>
              </w:rPr>
            </w:pPr>
          </w:p>
          <w:p>
            <w:pPr>
              <w:pStyle w:val="TableParagraph"/>
              <w:ind w:right="95"/>
              <w:jc w:val="right"/>
              <w:rPr>
                <w:rFonts w:ascii="Times New Roman"/>
                <w:sz w:val="21"/>
              </w:rPr>
            </w:pPr>
            <w:r>
              <w:rPr>
                <w:rFonts w:ascii="Times New Roman"/>
                <w:sz w:val="21"/>
              </w:rPr>
              <w:t>37,000</w:t>
            </w:r>
          </w:p>
        </w:tc>
        <w:tc>
          <w:tcPr>
            <w:tcW w:w="1514" w:type="dxa"/>
            <w:tcBorders>
              <w:top w:val="nil"/>
              <w:bottom w:val="nil"/>
            </w:tcBorders>
          </w:tcPr>
          <w:p>
            <w:pPr>
              <w:pStyle w:val="TableParagraph"/>
              <w:spacing w:before="1"/>
              <w:ind w:left="106"/>
              <w:rPr>
                <w:sz w:val="21"/>
              </w:rPr>
            </w:pPr>
            <w:r>
              <w:rPr>
                <w:sz w:val="21"/>
              </w:rPr>
              <w:t>发器、微型计</w:t>
            </w:r>
          </w:p>
          <w:p>
            <w:pPr>
              <w:pStyle w:val="TableParagraph"/>
              <w:spacing w:line="270" w:lineRule="atLeast"/>
              <w:ind w:left="106" w:right="84"/>
              <w:rPr>
                <w:sz w:val="21"/>
              </w:rPr>
            </w:pPr>
            <w:r>
              <w:rPr>
                <w:sz w:val="21"/>
              </w:rPr>
              <w:t>算机及其机构件、零配件等</w:t>
            </w:r>
          </w:p>
        </w:tc>
      </w:tr>
      <w:tr>
        <w:trPr>
          <w:trHeight w:val="272" w:hRule="atLeast"/>
        </w:trPr>
        <w:tc>
          <w:tcPr>
            <w:tcW w:w="1471" w:type="dxa"/>
            <w:tcBorders>
              <w:top w:val="nil"/>
              <w:bottom w:val="nil"/>
            </w:tcBorders>
          </w:tcPr>
          <w:p>
            <w:pPr>
              <w:pStyle w:val="TableParagraph"/>
              <w:rPr>
                <w:rFonts w:ascii="Times New Roman"/>
                <w:sz w:val="20"/>
              </w:rPr>
            </w:pPr>
          </w:p>
        </w:tc>
        <w:tc>
          <w:tcPr>
            <w:tcW w:w="1366" w:type="dxa"/>
            <w:tcBorders>
              <w:top w:val="nil"/>
              <w:bottom w:val="nil"/>
            </w:tcBorders>
          </w:tcPr>
          <w:p>
            <w:pPr>
              <w:pStyle w:val="TableParagraph"/>
              <w:rPr>
                <w:rFonts w:ascii="Times New Roman"/>
                <w:sz w:val="20"/>
              </w:rPr>
            </w:pPr>
          </w:p>
        </w:tc>
        <w:tc>
          <w:tcPr>
            <w:tcW w:w="1226" w:type="dxa"/>
            <w:tcBorders>
              <w:top w:val="nil"/>
              <w:bottom w:val="nil"/>
            </w:tcBorders>
          </w:tcPr>
          <w:p>
            <w:pPr>
              <w:pStyle w:val="TableParagraph"/>
              <w:rPr>
                <w:rFonts w:ascii="Times New Roman"/>
                <w:sz w:val="20"/>
              </w:rPr>
            </w:pPr>
          </w:p>
        </w:tc>
        <w:tc>
          <w:tcPr>
            <w:tcW w:w="2155" w:type="dxa"/>
            <w:tcBorders>
              <w:top w:val="nil"/>
              <w:bottom w:val="nil"/>
            </w:tcBorders>
          </w:tcPr>
          <w:p>
            <w:pPr>
              <w:pStyle w:val="TableParagraph"/>
              <w:rPr>
                <w:rFonts w:ascii="Times New Roman"/>
                <w:sz w:val="20"/>
              </w:rPr>
            </w:pPr>
          </w:p>
        </w:tc>
        <w:tc>
          <w:tcPr>
            <w:tcW w:w="1090" w:type="dxa"/>
            <w:tcBorders>
              <w:top w:val="nil"/>
              <w:bottom w:val="nil"/>
            </w:tcBorders>
          </w:tcPr>
          <w:p>
            <w:pPr>
              <w:pStyle w:val="TableParagraph"/>
              <w:rPr>
                <w:rFonts w:ascii="Times New Roman"/>
                <w:sz w:val="20"/>
              </w:rPr>
            </w:pPr>
          </w:p>
        </w:tc>
        <w:tc>
          <w:tcPr>
            <w:tcW w:w="1514" w:type="dxa"/>
            <w:tcBorders>
              <w:top w:val="nil"/>
              <w:bottom w:val="nil"/>
            </w:tcBorders>
          </w:tcPr>
          <w:p>
            <w:pPr>
              <w:pStyle w:val="TableParagraph"/>
              <w:spacing w:line="250" w:lineRule="exact" w:before="2"/>
              <w:ind w:left="106"/>
              <w:rPr>
                <w:sz w:val="21"/>
              </w:rPr>
            </w:pPr>
            <w:r>
              <w:rPr>
                <w:spacing w:val="-21"/>
                <w:sz w:val="21"/>
              </w:rPr>
              <w:t>的 制 造 与 销</w:t>
            </w:r>
          </w:p>
        </w:tc>
      </w:tr>
      <w:tr>
        <w:trPr>
          <w:trHeight w:val="272" w:hRule="atLeast"/>
        </w:trPr>
        <w:tc>
          <w:tcPr>
            <w:tcW w:w="1471" w:type="dxa"/>
            <w:tcBorders>
              <w:top w:val="nil"/>
              <w:bottom w:val="nil"/>
            </w:tcBorders>
          </w:tcPr>
          <w:p>
            <w:pPr>
              <w:pStyle w:val="TableParagraph"/>
              <w:rPr>
                <w:rFonts w:ascii="Times New Roman"/>
                <w:sz w:val="20"/>
              </w:rPr>
            </w:pPr>
          </w:p>
        </w:tc>
        <w:tc>
          <w:tcPr>
            <w:tcW w:w="1366" w:type="dxa"/>
            <w:tcBorders>
              <w:top w:val="nil"/>
              <w:bottom w:val="nil"/>
            </w:tcBorders>
          </w:tcPr>
          <w:p>
            <w:pPr>
              <w:pStyle w:val="TableParagraph"/>
              <w:rPr>
                <w:rFonts w:ascii="Times New Roman"/>
                <w:sz w:val="20"/>
              </w:rPr>
            </w:pPr>
          </w:p>
        </w:tc>
        <w:tc>
          <w:tcPr>
            <w:tcW w:w="1226" w:type="dxa"/>
            <w:tcBorders>
              <w:top w:val="nil"/>
              <w:bottom w:val="nil"/>
            </w:tcBorders>
          </w:tcPr>
          <w:p>
            <w:pPr>
              <w:pStyle w:val="TableParagraph"/>
              <w:rPr>
                <w:rFonts w:ascii="Times New Roman"/>
                <w:sz w:val="20"/>
              </w:rPr>
            </w:pPr>
          </w:p>
        </w:tc>
        <w:tc>
          <w:tcPr>
            <w:tcW w:w="2155" w:type="dxa"/>
            <w:tcBorders>
              <w:top w:val="nil"/>
              <w:bottom w:val="nil"/>
            </w:tcBorders>
          </w:tcPr>
          <w:p>
            <w:pPr>
              <w:pStyle w:val="TableParagraph"/>
              <w:rPr>
                <w:rFonts w:ascii="Times New Roman"/>
                <w:sz w:val="20"/>
              </w:rPr>
            </w:pPr>
          </w:p>
        </w:tc>
        <w:tc>
          <w:tcPr>
            <w:tcW w:w="1090" w:type="dxa"/>
            <w:tcBorders>
              <w:top w:val="nil"/>
              <w:bottom w:val="nil"/>
            </w:tcBorders>
          </w:tcPr>
          <w:p>
            <w:pPr>
              <w:pStyle w:val="TableParagraph"/>
              <w:rPr>
                <w:rFonts w:ascii="Times New Roman"/>
                <w:sz w:val="20"/>
              </w:rPr>
            </w:pPr>
          </w:p>
        </w:tc>
        <w:tc>
          <w:tcPr>
            <w:tcW w:w="1514" w:type="dxa"/>
            <w:tcBorders>
              <w:top w:val="nil"/>
              <w:bottom w:val="nil"/>
            </w:tcBorders>
          </w:tcPr>
          <w:p>
            <w:pPr>
              <w:pStyle w:val="TableParagraph"/>
              <w:spacing w:line="251" w:lineRule="exact" w:before="1"/>
              <w:ind w:left="106"/>
              <w:rPr>
                <w:sz w:val="21"/>
              </w:rPr>
            </w:pPr>
            <w:r>
              <w:rPr>
                <w:sz w:val="21"/>
              </w:rPr>
              <w:t>售，手机整机</w:t>
            </w:r>
          </w:p>
        </w:tc>
      </w:tr>
      <w:tr>
        <w:trPr>
          <w:trHeight w:val="272" w:hRule="atLeast"/>
        </w:trPr>
        <w:tc>
          <w:tcPr>
            <w:tcW w:w="1471" w:type="dxa"/>
            <w:tcBorders>
              <w:top w:val="nil"/>
            </w:tcBorders>
          </w:tcPr>
          <w:p>
            <w:pPr>
              <w:pStyle w:val="TableParagraph"/>
              <w:rPr>
                <w:rFonts w:ascii="Times New Roman"/>
                <w:sz w:val="20"/>
              </w:rPr>
            </w:pPr>
          </w:p>
        </w:tc>
        <w:tc>
          <w:tcPr>
            <w:tcW w:w="1366" w:type="dxa"/>
            <w:tcBorders>
              <w:top w:val="nil"/>
            </w:tcBorders>
          </w:tcPr>
          <w:p>
            <w:pPr>
              <w:pStyle w:val="TableParagraph"/>
              <w:rPr>
                <w:rFonts w:ascii="Times New Roman"/>
                <w:sz w:val="20"/>
              </w:rPr>
            </w:pPr>
          </w:p>
        </w:tc>
        <w:tc>
          <w:tcPr>
            <w:tcW w:w="1226" w:type="dxa"/>
            <w:tcBorders>
              <w:top w:val="nil"/>
            </w:tcBorders>
          </w:tcPr>
          <w:p>
            <w:pPr>
              <w:pStyle w:val="TableParagraph"/>
              <w:rPr>
                <w:rFonts w:ascii="Times New Roman"/>
                <w:sz w:val="20"/>
              </w:rPr>
            </w:pPr>
          </w:p>
        </w:tc>
        <w:tc>
          <w:tcPr>
            <w:tcW w:w="2155" w:type="dxa"/>
            <w:tcBorders>
              <w:top w:val="nil"/>
            </w:tcBorders>
          </w:tcPr>
          <w:p>
            <w:pPr>
              <w:pStyle w:val="TableParagraph"/>
              <w:rPr>
                <w:rFonts w:ascii="Times New Roman"/>
                <w:sz w:val="20"/>
              </w:rPr>
            </w:pPr>
          </w:p>
        </w:tc>
        <w:tc>
          <w:tcPr>
            <w:tcW w:w="1090" w:type="dxa"/>
            <w:tcBorders>
              <w:top w:val="nil"/>
            </w:tcBorders>
          </w:tcPr>
          <w:p>
            <w:pPr>
              <w:pStyle w:val="TableParagraph"/>
              <w:rPr>
                <w:rFonts w:ascii="Times New Roman"/>
                <w:sz w:val="20"/>
              </w:rPr>
            </w:pPr>
          </w:p>
        </w:tc>
        <w:tc>
          <w:tcPr>
            <w:tcW w:w="1514" w:type="dxa"/>
            <w:tcBorders>
              <w:top w:val="nil"/>
            </w:tcBorders>
          </w:tcPr>
          <w:p>
            <w:pPr>
              <w:pStyle w:val="TableParagraph"/>
              <w:spacing w:line="250" w:lineRule="exact" w:before="2"/>
              <w:ind w:left="106"/>
              <w:rPr>
                <w:sz w:val="21"/>
              </w:rPr>
            </w:pPr>
            <w:r>
              <w:rPr>
                <w:sz w:val="21"/>
              </w:rPr>
              <w:t>的组装与销售</w:t>
            </w:r>
          </w:p>
        </w:tc>
      </w:tr>
      <w:tr>
        <w:trPr>
          <w:trHeight w:val="273" w:hRule="atLeast"/>
        </w:trPr>
        <w:tc>
          <w:tcPr>
            <w:tcW w:w="1471" w:type="dxa"/>
          </w:tcPr>
          <w:p>
            <w:pPr>
              <w:pStyle w:val="TableParagraph"/>
              <w:spacing w:line="252" w:lineRule="exact" w:before="1"/>
              <w:ind w:left="107"/>
              <w:rPr>
                <w:sz w:val="21"/>
              </w:rPr>
            </w:pPr>
            <w:r>
              <w:rPr>
                <w:spacing w:val="-1"/>
                <w:sz w:val="21"/>
              </w:rPr>
              <w:t>情况说明</w:t>
            </w:r>
            <w:r>
              <w:rPr>
                <w:sz w:val="21"/>
              </w:rPr>
              <w:t> </w:t>
            </w:r>
          </w:p>
        </w:tc>
        <w:tc>
          <w:tcPr>
            <w:tcW w:w="7351" w:type="dxa"/>
            <w:gridSpan w:val="5"/>
          </w:tcPr>
          <w:p>
            <w:pPr>
              <w:pStyle w:val="TableParagraph"/>
              <w:spacing w:line="252" w:lineRule="exact" w:before="1"/>
              <w:ind w:left="107"/>
              <w:rPr>
                <w:sz w:val="21"/>
              </w:rPr>
            </w:pPr>
            <w:r>
              <w:rPr>
                <w:sz w:val="21"/>
              </w:rPr>
              <w:t>不适用 </w:t>
            </w:r>
          </w:p>
        </w:tc>
      </w:tr>
    </w:tbl>
    <w:p>
      <w:pPr>
        <w:pStyle w:val="BodyText"/>
        <w:spacing w:before="1"/>
      </w:pPr>
      <w:r>
        <w:rPr>
          <w:w w:val="100"/>
        </w:rPr>
        <w:t> </w:t>
      </w:r>
    </w:p>
    <w:p>
      <w:pPr>
        <w:pStyle w:val="BodyText"/>
        <w:spacing w:before="64"/>
      </w:pPr>
      <w:r>
        <w:rPr>
          <w:spacing w:val="-9"/>
        </w:rPr>
        <w:t>七、 股份限制减持情况说明</w:t>
      </w:r>
    </w:p>
    <w:p>
      <w:pPr>
        <w:pStyle w:val="BodyText"/>
        <w:spacing w:before="62"/>
      </w:pPr>
      <w:r>
        <w:rPr>
          <w:spacing w:val="-1"/>
        </w:rPr>
        <w:t>□适用 √不适用</w:t>
      </w:r>
      <w:r>
        <w:rPr>
          <w:spacing w:val="-3"/>
        </w:rPr>
        <w:t> </w:t>
      </w:r>
      <w:r>
        <w:rPr/>
        <w:t> </w:t>
      </w:r>
    </w:p>
    <w:p>
      <w:pPr>
        <w:pStyle w:val="BodyText"/>
        <w:spacing w:before="5"/>
      </w:pPr>
      <w:r>
        <w:rPr>
          <w:w w:val="100"/>
        </w:rPr>
        <w:t> </w:t>
      </w:r>
    </w:p>
    <w:p>
      <w:pPr>
        <w:spacing w:after="0"/>
        <w:sectPr>
          <w:pgSz w:w="11910" w:h="16840"/>
          <w:pgMar w:header="882" w:footer="1172" w:top="1120" w:bottom="1380" w:left="1480" w:right="0"/>
        </w:sectPr>
      </w:pPr>
    </w:p>
    <w:p>
      <w:pPr>
        <w:pStyle w:val="BodyText"/>
        <w:spacing w:before="7"/>
        <w:ind w:left="0"/>
        <w:rPr>
          <w:sz w:val="25"/>
        </w:rPr>
      </w:pPr>
    </w:p>
    <w:p>
      <w:pPr>
        <w:pStyle w:val="BodyText"/>
        <w:spacing w:before="72"/>
      </w:pPr>
      <w:r>
        <w:rPr>
          <w:spacing w:val="-9"/>
        </w:rPr>
        <w:t>八、 股份回购在报告期的具体实施情况</w:t>
      </w:r>
    </w:p>
    <w:p>
      <w:pPr>
        <w:pStyle w:val="BodyText"/>
        <w:spacing w:before="65"/>
      </w:pPr>
      <w:r>
        <w:rPr>
          <w:spacing w:val="-1"/>
        </w:rPr>
        <w:t>√适用 □不适用</w:t>
      </w:r>
      <w:r>
        <w:rPr>
          <w:spacing w:val="-3"/>
        </w:rPr>
        <w:t> </w:t>
      </w:r>
      <w:r>
        <w:rPr/>
        <w:t> </w:t>
      </w:r>
    </w:p>
    <w:p>
      <w:pPr>
        <w:pStyle w:val="BodyText"/>
        <w:spacing w:before="2" w:after="4"/>
        <w:ind w:left="6839"/>
      </w:pPr>
      <w:r>
        <w:rPr>
          <w:spacing w:val="7"/>
        </w:rPr>
        <w:t>单位：元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86"/>
        <w:gridCol w:w="5538"/>
      </w:tblGrid>
      <w:tr>
        <w:trPr>
          <w:trHeight w:val="270" w:hRule="atLeast"/>
        </w:trPr>
        <w:tc>
          <w:tcPr>
            <w:tcW w:w="3286" w:type="dxa"/>
          </w:tcPr>
          <w:p>
            <w:pPr>
              <w:pStyle w:val="TableParagraph"/>
              <w:spacing w:line="250" w:lineRule="exact" w:before="1"/>
              <w:ind w:left="107"/>
              <w:rPr>
                <w:sz w:val="21"/>
              </w:rPr>
            </w:pPr>
            <w:r>
              <w:rPr>
                <w:spacing w:val="-1"/>
                <w:sz w:val="21"/>
              </w:rPr>
              <w:t>回购股份方案名称</w:t>
            </w:r>
            <w:r>
              <w:rPr>
                <w:sz w:val="21"/>
              </w:rPr>
              <w:t> </w:t>
            </w:r>
          </w:p>
        </w:tc>
        <w:tc>
          <w:tcPr>
            <w:tcW w:w="5538" w:type="dxa"/>
          </w:tcPr>
          <w:p>
            <w:pPr>
              <w:pStyle w:val="TableParagraph"/>
              <w:spacing w:line="250" w:lineRule="exact" w:before="1"/>
              <w:ind w:left="107"/>
              <w:rPr>
                <w:rFonts w:ascii="Times New Roman" w:eastAsia="Times New Roman"/>
                <w:sz w:val="21"/>
              </w:rPr>
            </w:pPr>
            <w:r>
              <w:rPr>
                <w:sz w:val="21"/>
              </w:rPr>
              <w:t>以集中竞价交易方式回购股份</w:t>
            </w:r>
            <w:r>
              <w:rPr>
                <w:rFonts w:ascii="Times New Roman" w:eastAsia="Times New Roman"/>
                <w:w w:val="402"/>
                <w:sz w:val="21"/>
              </w:rPr>
              <w:t> </w:t>
            </w:r>
          </w:p>
        </w:tc>
      </w:tr>
      <w:tr>
        <w:trPr>
          <w:trHeight w:val="273" w:hRule="atLeast"/>
        </w:trPr>
        <w:tc>
          <w:tcPr>
            <w:tcW w:w="3286" w:type="dxa"/>
          </w:tcPr>
          <w:p>
            <w:pPr>
              <w:pStyle w:val="TableParagraph"/>
              <w:spacing w:line="250" w:lineRule="exact" w:before="3"/>
              <w:ind w:left="107"/>
              <w:rPr>
                <w:sz w:val="21"/>
              </w:rPr>
            </w:pPr>
            <w:r>
              <w:rPr>
                <w:spacing w:val="-1"/>
                <w:sz w:val="21"/>
              </w:rPr>
              <w:t>回购股份方案披露时间</w:t>
            </w:r>
            <w:r>
              <w:rPr>
                <w:sz w:val="21"/>
              </w:rPr>
              <w:t> </w:t>
            </w:r>
          </w:p>
        </w:tc>
        <w:tc>
          <w:tcPr>
            <w:tcW w:w="5538" w:type="dxa"/>
          </w:tcPr>
          <w:p>
            <w:pPr>
              <w:pStyle w:val="TableParagraph"/>
              <w:spacing w:line="250" w:lineRule="exact" w:before="3"/>
              <w:ind w:left="107"/>
              <w:rPr>
                <w:sz w:val="21"/>
              </w:rPr>
            </w:pPr>
            <w:r>
              <w:rPr>
                <w:rFonts w:ascii="Times New Roman" w:eastAsia="Times New Roman"/>
                <w:sz w:val="21"/>
              </w:rPr>
              <w:t>2021</w:t>
            </w:r>
            <w:r>
              <w:rPr>
                <w:rFonts w:ascii="Times New Roman" w:eastAsia="Times New Roman"/>
                <w:spacing w:val="-11"/>
                <w:sz w:val="21"/>
              </w:rPr>
              <w:t> </w:t>
            </w:r>
            <w:r>
              <w:rPr>
                <w:spacing w:val="-27"/>
                <w:sz w:val="21"/>
              </w:rPr>
              <w:t>年 </w:t>
            </w:r>
            <w:r>
              <w:rPr>
                <w:rFonts w:ascii="Times New Roman" w:eastAsia="Times New Roman"/>
                <w:sz w:val="21"/>
              </w:rPr>
              <w:t>9</w:t>
            </w:r>
            <w:r>
              <w:rPr>
                <w:rFonts w:ascii="Times New Roman" w:eastAsia="Times New Roman"/>
                <w:spacing w:val="-9"/>
                <w:sz w:val="21"/>
              </w:rPr>
              <w:t> </w:t>
            </w:r>
            <w:r>
              <w:rPr>
                <w:spacing w:val="-27"/>
                <w:sz w:val="21"/>
              </w:rPr>
              <w:t>月 </w:t>
            </w:r>
            <w:r>
              <w:rPr>
                <w:rFonts w:ascii="Times New Roman" w:eastAsia="Times New Roman"/>
                <w:sz w:val="21"/>
              </w:rPr>
              <w:t>23</w:t>
            </w:r>
            <w:r>
              <w:rPr>
                <w:rFonts w:ascii="Times New Roman" w:eastAsia="Times New Roman"/>
                <w:spacing w:val="-11"/>
                <w:sz w:val="21"/>
              </w:rPr>
              <w:t> </w:t>
            </w:r>
            <w:r>
              <w:rPr>
                <w:sz w:val="21"/>
              </w:rPr>
              <w:t>日</w:t>
            </w:r>
          </w:p>
        </w:tc>
      </w:tr>
      <w:tr>
        <w:trPr>
          <w:trHeight w:val="1634" w:hRule="atLeast"/>
        </w:trPr>
        <w:tc>
          <w:tcPr>
            <w:tcW w:w="3286" w:type="dxa"/>
          </w:tcPr>
          <w:p>
            <w:pPr>
              <w:pStyle w:val="TableParagraph"/>
              <w:spacing w:line="244" w:lineRule="auto" w:before="1"/>
              <w:ind w:left="107" w:right="97"/>
              <w:rPr>
                <w:sz w:val="21"/>
              </w:rPr>
            </w:pPr>
            <w:r>
              <w:rPr>
                <w:sz w:val="21"/>
              </w:rPr>
              <w:t>拟回购股份数量及占总股本的比例(%) </w:t>
            </w:r>
          </w:p>
        </w:tc>
        <w:tc>
          <w:tcPr>
            <w:tcW w:w="5538" w:type="dxa"/>
          </w:tcPr>
          <w:p>
            <w:pPr>
              <w:pStyle w:val="TableParagraph"/>
              <w:spacing w:before="1"/>
              <w:ind w:left="107"/>
              <w:jc w:val="both"/>
              <w:rPr>
                <w:sz w:val="21"/>
              </w:rPr>
            </w:pPr>
            <w:r>
              <w:rPr>
                <w:spacing w:val="26"/>
                <w:sz w:val="21"/>
              </w:rPr>
              <w:t>按照回购资金总额上限</w:t>
            </w:r>
            <w:r>
              <w:rPr>
                <w:sz w:val="21"/>
              </w:rPr>
              <w:t>（</w:t>
            </w:r>
            <w:r>
              <w:rPr>
                <w:spacing w:val="-70"/>
                <w:sz w:val="21"/>
              </w:rPr>
              <w:t> </w:t>
            </w:r>
            <w:r>
              <w:rPr>
                <w:rFonts w:ascii="Times New Roman" w:eastAsia="Times New Roman"/>
                <w:sz w:val="21"/>
              </w:rPr>
              <w:t>15</w:t>
            </w:r>
            <w:r>
              <w:rPr>
                <w:rFonts w:ascii="Times New Roman" w:eastAsia="Times New Roman"/>
                <w:spacing w:val="75"/>
                <w:sz w:val="21"/>
              </w:rPr>
              <w:t> </w:t>
            </w:r>
            <w:r>
              <w:rPr>
                <w:spacing w:val="28"/>
                <w:sz w:val="21"/>
              </w:rPr>
              <w:t>亿元</w:t>
            </w:r>
            <w:r>
              <w:rPr>
                <w:sz w:val="21"/>
              </w:rPr>
              <w:t>）</w:t>
            </w:r>
            <w:r>
              <w:rPr>
                <w:spacing w:val="9"/>
                <w:sz w:val="21"/>
              </w:rPr>
              <w:t> 及回购价格上限</w:t>
            </w:r>
          </w:p>
          <w:p>
            <w:pPr>
              <w:pStyle w:val="TableParagraph"/>
              <w:spacing w:line="242" w:lineRule="auto" w:before="4"/>
              <w:ind w:left="107" w:right="91"/>
              <w:jc w:val="both"/>
              <w:rPr>
                <w:sz w:val="21"/>
              </w:rPr>
            </w:pPr>
            <w:r>
              <w:rPr>
                <w:sz w:val="21"/>
              </w:rPr>
              <w:t>（</w:t>
            </w:r>
            <w:r>
              <w:rPr>
                <w:rFonts w:ascii="Times New Roman" w:eastAsia="Times New Roman"/>
                <w:sz w:val="21"/>
              </w:rPr>
              <w:t>17.95</w:t>
            </w:r>
            <w:r>
              <w:rPr>
                <w:rFonts w:ascii="Times New Roman" w:eastAsia="Times New Roman"/>
                <w:spacing w:val="31"/>
                <w:sz w:val="21"/>
              </w:rPr>
              <w:t> </w:t>
            </w:r>
            <w:r>
              <w:rPr>
                <w:sz w:val="21"/>
              </w:rPr>
              <w:t>元</w:t>
            </w:r>
            <w:r>
              <w:rPr>
                <w:rFonts w:ascii="Times New Roman" w:eastAsia="Times New Roman"/>
                <w:sz w:val="21"/>
              </w:rPr>
              <w:t>/</w:t>
            </w:r>
            <w:r>
              <w:rPr>
                <w:sz w:val="21"/>
              </w:rPr>
              <w:t>股）测算，预计回购数量约为 </w:t>
            </w:r>
            <w:r>
              <w:rPr>
                <w:rFonts w:ascii="Times New Roman" w:eastAsia="Times New Roman"/>
                <w:sz w:val="21"/>
              </w:rPr>
              <w:t>8,356.55</w:t>
            </w:r>
            <w:r>
              <w:rPr>
                <w:rFonts w:ascii="Times New Roman" w:eastAsia="Times New Roman"/>
                <w:spacing w:val="31"/>
                <w:sz w:val="21"/>
              </w:rPr>
              <w:t> </w:t>
            </w:r>
            <w:r>
              <w:rPr>
                <w:sz w:val="21"/>
              </w:rPr>
              <w:t>万股，</w:t>
            </w:r>
            <w:r>
              <w:rPr>
                <w:spacing w:val="-103"/>
                <w:sz w:val="21"/>
              </w:rPr>
              <w:t> </w:t>
            </w:r>
            <w:r>
              <w:rPr>
                <w:sz w:val="21"/>
              </w:rPr>
              <w:t>占回购方案披露日公司总股本 </w:t>
            </w:r>
            <w:r>
              <w:rPr>
                <w:rFonts w:ascii="Times New Roman" w:eastAsia="Times New Roman"/>
                <w:sz w:val="21"/>
              </w:rPr>
              <w:t>0.42</w:t>
            </w:r>
            <w:r>
              <w:rPr>
                <w:sz w:val="21"/>
              </w:rPr>
              <w:t>；按照回购资金总额下限（</w:t>
            </w:r>
            <w:r>
              <w:rPr>
                <w:rFonts w:ascii="Times New Roman" w:eastAsia="Times New Roman"/>
                <w:sz w:val="21"/>
              </w:rPr>
              <w:t>10</w:t>
            </w:r>
            <w:r>
              <w:rPr>
                <w:rFonts w:ascii="Times New Roman" w:eastAsia="Times New Roman"/>
                <w:spacing w:val="31"/>
                <w:sz w:val="21"/>
              </w:rPr>
              <w:t> </w:t>
            </w:r>
            <w:r>
              <w:rPr>
                <w:sz w:val="21"/>
              </w:rPr>
              <w:t>亿元）及回购价格上限（</w:t>
            </w:r>
            <w:r>
              <w:rPr>
                <w:rFonts w:ascii="Times New Roman" w:eastAsia="Times New Roman"/>
                <w:sz w:val="21"/>
              </w:rPr>
              <w:t>17.95</w:t>
            </w:r>
            <w:r>
              <w:rPr>
                <w:rFonts w:ascii="Times New Roman" w:eastAsia="Times New Roman"/>
                <w:spacing w:val="32"/>
                <w:sz w:val="21"/>
              </w:rPr>
              <w:t> </w:t>
            </w:r>
            <w:r>
              <w:rPr>
                <w:sz w:val="21"/>
              </w:rPr>
              <w:t>元</w:t>
            </w:r>
            <w:r>
              <w:rPr>
                <w:rFonts w:ascii="Times New Roman" w:eastAsia="Times New Roman"/>
                <w:sz w:val="21"/>
              </w:rPr>
              <w:t>/</w:t>
            </w:r>
            <w:r>
              <w:rPr>
                <w:sz w:val="21"/>
              </w:rPr>
              <w:t>股）测算，预计</w:t>
            </w:r>
            <w:r>
              <w:rPr>
                <w:spacing w:val="-2"/>
                <w:sz w:val="21"/>
              </w:rPr>
              <w:t>可回购股份数量为 </w:t>
            </w:r>
            <w:r>
              <w:rPr>
                <w:rFonts w:ascii="Times New Roman" w:eastAsia="Times New Roman"/>
                <w:sz w:val="21"/>
              </w:rPr>
              <w:t>5,571.03</w:t>
            </w:r>
            <w:r>
              <w:rPr>
                <w:rFonts w:ascii="Times New Roman" w:eastAsia="Times New Roman"/>
                <w:spacing w:val="22"/>
                <w:sz w:val="21"/>
              </w:rPr>
              <w:t> </w:t>
            </w:r>
            <w:r>
              <w:rPr>
                <w:sz w:val="21"/>
              </w:rPr>
              <w:t>万股，占回购方案披露日公司</w:t>
            </w:r>
          </w:p>
          <w:p>
            <w:pPr>
              <w:pStyle w:val="TableParagraph"/>
              <w:spacing w:line="250" w:lineRule="exact" w:before="3"/>
              <w:ind w:left="107"/>
              <w:jc w:val="both"/>
              <w:rPr>
                <w:sz w:val="21"/>
              </w:rPr>
            </w:pPr>
            <w:r>
              <w:rPr>
                <w:spacing w:val="-8"/>
                <w:sz w:val="21"/>
              </w:rPr>
              <w:t>目前总股本的 </w:t>
            </w:r>
            <w:r>
              <w:rPr>
                <w:rFonts w:ascii="Times New Roman" w:eastAsia="Times New Roman"/>
                <w:sz w:val="21"/>
              </w:rPr>
              <w:t>0.28</w:t>
            </w:r>
            <w:r>
              <w:rPr>
                <w:sz w:val="21"/>
              </w:rPr>
              <w:t>。</w:t>
            </w:r>
          </w:p>
        </w:tc>
      </w:tr>
      <w:tr>
        <w:trPr>
          <w:trHeight w:val="273" w:hRule="atLeast"/>
        </w:trPr>
        <w:tc>
          <w:tcPr>
            <w:tcW w:w="3286" w:type="dxa"/>
          </w:tcPr>
          <w:p>
            <w:pPr>
              <w:pStyle w:val="TableParagraph"/>
              <w:spacing w:line="252" w:lineRule="exact" w:before="1"/>
              <w:ind w:left="107"/>
              <w:rPr>
                <w:sz w:val="21"/>
              </w:rPr>
            </w:pPr>
            <w:r>
              <w:rPr>
                <w:sz w:val="21"/>
              </w:rPr>
              <w:t>拟回购金额 </w:t>
            </w:r>
          </w:p>
        </w:tc>
        <w:tc>
          <w:tcPr>
            <w:tcW w:w="5538" w:type="dxa"/>
          </w:tcPr>
          <w:p>
            <w:pPr>
              <w:pStyle w:val="TableParagraph"/>
              <w:spacing w:line="252" w:lineRule="exact" w:before="1"/>
              <w:ind w:left="107"/>
              <w:rPr>
                <w:sz w:val="21"/>
              </w:rPr>
            </w:pPr>
            <w:r>
              <w:rPr>
                <w:spacing w:val="-9"/>
                <w:sz w:val="21"/>
              </w:rPr>
              <w:t>不超过人民币 </w:t>
            </w:r>
            <w:r>
              <w:rPr>
                <w:rFonts w:ascii="Times New Roman" w:eastAsia="Times New Roman"/>
                <w:spacing w:val="-1"/>
                <w:sz w:val="21"/>
              </w:rPr>
              <w:t>15</w:t>
            </w:r>
            <w:r>
              <w:rPr>
                <w:rFonts w:ascii="Times New Roman" w:eastAsia="Times New Roman"/>
                <w:spacing w:val="-12"/>
                <w:sz w:val="21"/>
              </w:rPr>
              <w:t> </w:t>
            </w:r>
            <w:r>
              <w:rPr>
                <w:spacing w:val="-6"/>
                <w:sz w:val="21"/>
              </w:rPr>
              <w:t>亿元且不低于人民币 </w:t>
            </w:r>
            <w:r>
              <w:rPr>
                <w:rFonts w:ascii="Times New Roman" w:eastAsia="Times New Roman"/>
                <w:sz w:val="21"/>
              </w:rPr>
              <w:t>10</w:t>
            </w:r>
            <w:r>
              <w:rPr>
                <w:rFonts w:ascii="Times New Roman" w:eastAsia="Times New Roman"/>
                <w:spacing w:val="-9"/>
                <w:sz w:val="21"/>
              </w:rPr>
              <w:t> </w:t>
            </w:r>
            <w:r>
              <w:rPr>
                <w:sz w:val="21"/>
              </w:rPr>
              <w:t>亿元</w:t>
            </w:r>
          </w:p>
        </w:tc>
      </w:tr>
      <w:tr>
        <w:trPr>
          <w:trHeight w:val="270" w:hRule="atLeast"/>
        </w:trPr>
        <w:tc>
          <w:tcPr>
            <w:tcW w:w="3286" w:type="dxa"/>
          </w:tcPr>
          <w:p>
            <w:pPr>
              <w:pStyle w:val="TableParagraph"/>
              <w:spacing w:line="250" w:lineRule="exact" w:before="1"/>
              <w:ind w:left="107"/>
              <w:rPr>
                <w:sz w:val="21"/>
              </w:rPr>
            </w:pPr>
            <w:r>
              <w:rPr>
                <w:sz w:val="21"/>
              </w:rPr>
              <w:t>拟回购期间 </w:t>
            </w:r>
          </w:p>
        </w:tc>
        <w:tc>
          <w:tcPr>
            <w:tcW w:w="5538" w:type="dxa"/>
          </w:tcPr>
          <w:p>
            <w:pPr>
              <w:pStyle w:val="TableParagraph"/>
              <w:spacing w:line="250" w:lineRule="exact" w:before="1"/>
              <w:ind w:left="107"/>
              <w:rPr>
                <w:sz w:val="21"/>
              </w:rPr>
            </w:pPr>
            <w:r>
              <w:rPr>
                <w:spacing w:val="-4"/>
                <w:sz w:val="21"/>
              </w:rPr>
              <w:t>公司董事会审议通过回购股份方案之日起不超过 </w:t>
            </w:r>
            <w:r>
              <w:rPr>
                <w:rFonts w:ascii="Times New Roman" w:eastAsia="Times New Roman"/>
                <w:sz w:val="21"/>
              </w:rPr>
              <w:t>12</w:t>
            </w:r>
            <w:r>
              <w:rPr>
                <w:rFonts w:ascii="Times New Roman" w:eastAsia="Times New Roman"/>
                <w:spacing w:val="-12"/>
                <w:sz w:val="21"/>
              </w:rPr>
              <w:t> </w:t>
            </w:r>
            <w:r>
              <w:rPr>
                <w:sz w:val="21"/>
              </w:rPr>
              <w:t>个月</w:t>
            </w:r>
          </w:p>
        </w:tc>
      </w:tr>
      <w:tr>
        <w:trPr>
          <w:trHeight w:val="273" w:hRule="atLeast"/>
        </w:trPr>
        <w:tc>
          <w:tcPr>
            <w:tcW w:w="3286" w:type="dxa"/>
          </w:tcPr>
          <w:p>
            <w:pPr>
              <w:pStyle w:val="TableParagraph"/>
              <w:spacing w:line="250" w:lineRule="exact" w:before="4"/>
              <w:ind w:left="107"/>
              <w:rPr>
                <w:sz w:val="21"/>
              </w:rPr>
            </w:pPr>
            <w:r>
              <w:rPr>
                <w:spacing w:val="-1"/>
                <w:sz w:val="21"/>
              </w:rPr>
              <w:t>回购用途</w:t>
            </w:r>
            <w:r>
              <w:rPr>
                <w:sz w:val="21"/>
              </w:rPr>
              <w:t> </w:t>
            </w:r>
          </w:p>
        </w:tc>
        <w:tc>
          <w:tcPr>
            <w:tcW w:w="5538" w:type="dxa"/>
          </w:tcPr>
          <w:p>
            <w:pPr>
              <w:pStyle w:val="TableParagraph"/>
              <w:spacing w:line="250" w:lineRule="exact" w:before="4"/>
              <w:ind w:left="107"/>
              <w:rPr>
                <w:sz w:val="21"/>
              </w:rPr>
            </w:pPr>
            <w:r>
              <w:rPr>
                <w:sz w:val="21"/>
              </w:rPr>
              <w:t>用于员工持股计划</w:t>
            </w:r>
          </w:p>
        </w:tc>
      </w:tr>
      <w:tr>
        <w:trPr>
          <w:trHeight w:val="273" w:hRule="atLeast"/>
        </w:trPr>
        <w:tc>
          <w:tcPr>
            <w:tcW w:w="3286" w:type="dxa"/>
          </w:tcPr>
          <w:p>
            <w:pPr>
              <w:pStyle w:val="TableParagraph"/>
              <w:spacing w:line="252" w:lineRule="exact" w:before="1"/>
              <w:ind w:left="107"/>
              <w:rPr>
                <w:sz w:val="21"/>
              </w:rPr>
            </w:pPr>
            <w:r>
              <w:rPr>
                <w:spacing w:val="-1"/>
                <w:sz w:val="21"/>
              </w:rPr>
              <w:t>已回购数量(股)</w:t>
            </w:r>
            <w:r>
              <w:rPr>
                <w:sz w:val="21"/>
              </w:rPr>
              <w:t> </w:t>
            </w:r>
          </w:p>
        </w:tc>
        <w:tc>
          <w:tcPr>
            <w:tcW w:w="5538" w:type="dxa"/>
          </w:tcPr>
          <w:p>
            <w:pPr>
              <w:pStyle w:val="TableParagraph"/>
              <w:spacing w:line="235" w:lineRule="exact"/>
              <w:ind w:left="107"/>
              <w:rPr>
                <w:rFonts w:ascii="Times New Roman"/>
                <w:sz w:val="21"/>
              </w:rPr>
            </w:pPr>
            <w:r>
              <w:rPr>
                <w:rFonts w:ascii="Times New Roman"/>
                <w:sz w:val="21"/>
              </w:rPr>
              <w:t>125,977,669</w:t>
            </w:r>
          </w:p>
        </w:tc>
      </w:tr>
      <w:tr>
        <w:trPr>
          <w:trHeight w:val="544" w:hRule="atLeast"/>
        </w:trPr>
        <w:tc>
          <w:tcPr>
            <w:tcW w:w="3286" w:type="dxa"/>
          </w:tcPr>
          <w:p>
            <w:pPr>
              <w:pStyle w:val="TableParagraph"/>
              <w:spacing w:before="1"/>
              <w:ind w:left="107"/>
              <w:rPr>
                <w:sz w:val="21"/>
              </w:rPr>
            </w:pPr>
            <w:r>
              <w:rPr>
                <w:sz w:val="21"/>
              </w:rPr>
              <w:t>已回购数量占股权激励计划所涉</w:t>
            </w:r>
          </w:p>
          <w:p>
            <w:pPr>
              <w:pStyle w:val="TableParagraph"/>
              <w:spacing w:line="252" w:lineRule="exact" w:before="2"/>
              <w:ind w:left="107"/>
              <w:rPr>
                <w:sz w:val="21"/>
              </w:rPr>
            </w:pPr>
            <w:r>
              <w:rPr>
                <w:spacing w:val="-1"/>
                <w:sz w:val="21"/>
              </w:rPr>
              <w:t>及的标的股票的比例(%</w:t>
            </w:r>
            <w:r>
              <w:rPr>
                <w:sz w:val="21"/>
              </w:rPr>
              <w:t>)（如有） </w:t>
            </w:r>
          </w:p>
        </w:tc>
        <w:tc>
          <w:tcPr>
            <w:tcW w:w="5538" w:type="dxa"/>
          </w:tcPr>
          <w:p>
            <w:pPr>
              <w:pStyle w:val="TableParagraph"/>
              <w:spacing w:before="1"/>
              <w:ind w:left="107"/>
              <w:rPr>
                <w:sz w:val="21"/>
              </w:rPr>
            </w:pPr>
            <w:r>
              <w:rPr>
                <w:sz w:val="21"/>
              </w:rPr>
              <w:t>不适用</w:t>
            </w:r>
          </w:p>
        </w:tc>
      </w:tr>
      <w:tr>
        <w:trPr>
          <w:trHeight w:val="544" w:hRule="atLeast"/>
        </w:trPr>
        <w:tc>
          <w:tcPr>
            <w:tcW w:w="3286" w:type="dxa"/>
          </w:tcPr>
          <w:p>
            <w:pPr>
              <w:pStyle w:val="TableParagraph"/>
              <w:spacing w:before="1"/>
              <w:ind w:left="107"/>
              <w:rPr>
                <w:sz w:val="21"/>
              </w:rPr>
            </w:pPr>
            <w:r>
              <w:rPr>
                <w:sz w:val="21"/>
              </w:rPr>
              <w:t>公司采用集中竞价交易方式减持</w:t>
            </w:r>
          </w:p>
          <w:p>
            <w:pPr>
              <w:pStyle w:val="TableParagraph"/>
              <w:spacing w:line="252" w:lineRule="exact" w:before="2"/>
              <w:ind w:left="107"/>
              <w:rPr>
                <w:sz w:val="21"/>
              </w:rPr>
            </w:pPr>
            <w:r>
              <w:rPr>
                <w:spacing w:val="-1"/>
                <w:sz w:val="21"/>
              </w:rPr>
              <w:t>回购股份的进展情况</w:t>
            </w:r>
            <w:r>
              <w:rPr>
                <w:sz w:val="21"/>
              </w:rPr>
              <w:t> </w:t>
            </w:r>
          </w:p>
        </w:tc>
        <w:tc>
          <w:tcPr>
            <w:tcW w:w="5538" w:type="dxa"/>
          </w:tcPr>
          <w:p>
            <w:pPr>
              <w:pStyle w:val="TableParagraph"/>
              <w:spacing w:before="1"/>
              <w:ind w:left="107"/>
              <w:rPr>
                <w:sz w:val="21"/>
              </w:rPr>
            </w:pPr>
            <w:r>
              <w:rPr>
                <w:sz w:val="21"/>
              </w:rPr>
              <w:t>不适用</w:t>
            </w:r>
          </w:p>
        </w:tc>
      </w:tr>
    </w:tbl>
    <w:p>
      <w:pPr>
        <w:pStyle w:val="BodyText"/>
        <w:spacing w:before="10"/>
        <w:ind w:left="0"/>
        <w:rPr>
          <w:sz w:val="19"/>
        </w:rPr>
      </w:pPr>
    </w:p>
    <w:p>
      <w:pPr>
        <w:pStyle w:val="Heading1"/>
        <w:ind w:left="3119"/>
        <w:jc w:val="left"/>
      </w:pPr>
      <w:bookmarkStart w:name="_bookmark7" w:id="11"/>
      <w:bookmarkEnd w:id="11"/>
      <w:r>
        <w:rPr>
          <w:b w:val="0"/>
        </w:rPr>
      </w:r>
      <w:r>
        <w:rPr/>
        <w:t>第八节      优先股相关情况</w:t>
      </w:r>
    </w:p>
    <w:p>
      <w:pPr>
        <w:pStyle w:val="BodyText"/>
        <w:spacing w:before="3"/>
        <w:ind w:left="0"/>
        <w:rPr>
          <w:rFonts w:ascii="Microsoft JhengHei"/>
          <w:b/>
          <w:sz w:val="6"/>
        </w:rPr>
      </w:pPr>
    </w:p>
    <w:p>
      <w:pPr>
        <w:pStyle w:val="BodyText"/>
        <w:spacing w:before="72"/>
      </w:pPr>
      <w:r>
        <w:rPr>
          <w:spacing w:val="-1"/>
        </w:rPr>
        <w:t>□适用 √不适用</w:t>
      </w:r>
      <w:r>
        <w:rPr>
          <w:spacing w:val="-3"/>
        </w:rPr>
        <w:t> </w:t>
      </w:r>
      <w:r>
        <w:rPr/>
        <w:t> </w:t>
      </w:r>
    </w:p>
    <w:p>
      <w:pPr>
        <w:pStyle w:val="BodyText"/>
        <w:spacing w:before="2"/>
      </w:pPr>
      <w:r>
        <w:rPr>
          <w:w w:val="100"/>
        </w:rPr>
        <w:t> </w:t>
      </w:r>
    </w:p>
    <w:p>
      <w:pPr>
        <w:pStyle w:val="BodyText"/>
        <w:spacing w:before="4"/>
      </w:pPr>
      <w:r>
        <w:rPr>
          <w:w w:val="100"/>
        </w:rPr>
        <w:t> </w:t>
      </w:r>
    </w:p>
    <w:p>
      <w:pPr>
        <w:pStyle w:val="BodyText"/>
        <w:spacing w:before="2"/>
      </w:pPr>
      <w:r>
        <w:rPr>
          <w:w w:val="100"/>
        </w:rPr>
        <w:t> </w:t>
      </w:r>
    </w:p>
    <w:p>
      <w:pPr>
        <w:pStyle w:val="BodyText"/>
        <w:spacing w:before="5"/>
      </w:pPr>
      <w:r>
        <w:rPr>
          <w:w w:val="100"/>
        </w:rPr>
        <w:t> </w:t>
      </w:r>
    </w:p>
    <w:p>
      <w:pPr>
        <w:pStyle w:val="BodyText"/>
        <w:spacing w:line="254" w:lineRule="exact" w:before="2"/>
      </w:pPr>
      <w:r>
        <w:rPr>
          <w:w w:val="100"/>
        </w:rPr>
        <w:t> </w:t>
      </w:r>
    </w:p>
    <w:p>
      <w:pPr>
        <w:pStyle w:val="Heading1"/>
        <w:spacing w:line="500" w:lineRule="exact"/>
        <w:ind w:left="3261"/>
        <w:jc w:val="left"/>
      </w:pPr>
      <w:bookmarkStart w:name="_bookmark8" w:id="12"/>
      <w:bookmarkEnd w:id="12"/>
      <w:r>
        <w:rPr>
          <w:b w:val="0"/>
        </w:rPr>
      </w:r>
      <w:r>
        <w:rPr/>
        <w:t>第九节      债券相关情况</w:t>
      </w:r>
    </w:p>
    <w:p>
      <w:pPr>
        <w:pStyle w:val="BodyText"/>
        <w:spacing w:before="4"/>
        <w:ind w:left="0"/>
        <w:rPr>
          <w:rFonts w:ascii="Microsoft JhengHei"/>
          <w:b/>
          <w:sz w:val="6"/>
        </w:rPr>
      </w:pPr>
    </w:p>
    <w:p>
      <w:pPr>
        <w:pStyle w:val="BodyText"/>
        <w:spacing w:before="71"/>
      </w:pPr>
      <w:r>
        <w:rPr/>
        <w:t>一、企业债券、公司债券和非金融企业债务融资工具 </w:t>
      </w:r>
    </w:p>
    <w:p>
      <w:pPr>
        <w:pStyle w:val="BodyText"/>
        <w:spacing w:before="62"/>
      </w:pPr>
      <w:r>
        <w:rPr>
          <w:spacing w:val="-1"/>
        </w:rPr>
        <w:t>□适用 √不适用</w:t>
      </w:r>
      <w:r>
        <w:rPr>
          <w:spacing w:val="-3"/>
        </w:rPr>
        <w:t> </w:t>
      </w:r>
      <w:r>
        <w:rPr/>
        <w:t> </w:t>
      </w:r>
    </w:p>
    <w:p>
      <w:pPr>
        <w:pStyle w:val="BodyText"/>
        <w:spacing w:before="5"/>
      </w:pPr>
      <w:r>
        <w:rPr>
          <w:w w:val="100"/>
        </w:rPr>
        <w:t> </w:t>
      </w:r>
    </w:p>
    <w:p>
      <w:pPr>
        <w:pStyle w:val="BodyText"/>
        <w:spacing w:before="62"/>
      </w:pPr>
      <w:r>
        <w:rPr/>
        <w:t>二、可转换公司债券情况 </w:t>
      </w:r>
    </w:p>
    <w:p>
      <w:pPr>
        <w:pStyle w:val="BodyText"/>
        <w:spacing w:before="65"/>
      </w:pPr>
      <w:r>
        <w:rPr>
          <w:spacing w:val="-1"/>
        </w:rPr>
        <w:t>□适用 √不适用</w:t>
      </w:r>
      <w:r>
        <w:rPr>
          <w:spacing w:val="-3"/>
        </w:rPr>
        <w:t> </w:t>
      </w:r>
      <w:r>
        <w:rPr/>
        <w:t> </w:t>
      </w:r>
    </w:p>
    <w:p>
      <w:pPr>
        <w:pStyle w:val="BodyText"/>
        <w:tabs>
          <w:tab w:pos="3198" w:val="left" w:leader="none"/>
        </w:tabs>
        <w:spacing w:before="2"/>
      </w:pPr>
      <w:r>
        <w:rPr>
          <w:w w:val="100"/>
        </w:rPr>
        <w:t> </w:t>
      </w:r>
      <w:r>
        <w:rPr/>
        <w:tab/>
      </w:r>
      <w:r>
        <w:rPr>
          <w:w w:val="100"/>
        </w:rPr>
        <w:t> </w:t>
      </w:r>
    </w:p>
    <w:p>
      <w:pPr>
        <w:spacing w:after="0"/>
        <w:sectPr>
          <w:pgSz w:w="11910" w:h="16840"/>
          <w:pgMar w:header="882" w:footer="1172" w:top="1120" w:bottom="1380" w:left="1480" w:right="0"/>
        </w:sectPr>
      </w:pPr>
    </w:p>
    <w:p>
      <w:pPr>
        <w:pStyle w:val="BodyText"/>
        <w:spacing w:before="2"/>
        <w:ind w:left="0"/>
        <w:rPr>
          <w:sz w:val="26"/>
        </w:rPr>
      </w:pPr>
    </w:p>
    <w:p>
      <w:pPr>
        <w:pStyle w:val="Heading1"/>
        <w:spacing w:line="485" w:lineRule="exact"/>
        <w:ind w:left="260" w:right="1215"/>
      </w:pPr>
      <w:bookmarkStart w:name="_bookmark9" w:id="13"/>
      <w:bookmarkEnd w:id="13"/>
      <w:r>
        <w:rPr>
          <w:b w:val="0"/>
        </w:rPr>
      </w:r>
      <w:r>
        <w:rPr/>
        <w:t>第十节      财务报告</w:t>
      </w:r>
    </w:p>
    <w:p>
      <w:pPr>
        <w:pStyle w:val="BodyText"/>
        <w:spacing w:before="3"/>
        <w:ind w:left="0"/>
        <w:rPr>
          <w:rFonts w:ascii="Microsoft JhengHei"/>
          <w:b/>
          <w:sz w:val="6"/>
        </w:rPr>
      </w:pPr>
    </w:p>
    <w:p>
      <w:pPr>
        <w:pStyle w:val="BodyText"/>
        <w:spacing w:before="72"/>
      </w:pPr>
      <w:r>
        <w:rPr>
          <w:spacing w:val="-17"/>
        </w:rPr>
        <w:t>一、 审计报告</w:t>
      </w:r>
      <w:r>
        <w:rPr/>
        <w:t> </w:t>
      </w:r>
    </w:p>
    <w:p>
      <w:pPr>
        <w:pStyle w:val="BodyText"/>
        <w:spacing w:before="64"/>
      </w:pPr>
      <w:r>
        <w:rPr>
          <w:spacing w:val="-1"/>
        </w:rPr>
        <w:t>√适用 □不适用</w:t>
      </w:r>
      <w:r>
        <w:rPr>
          <w:spacing w:val="-3"/>
        </w:rPr>
        <w:t> </w:t>
      </w:r>
      <w:r>
        <w:rPr/>
        <w:t> </w:t>
      </w:r>
    </w:p>
    <w:p>
      <w:pPr>
        <w:pStyle w:val="BodyText"/>
        <w:spacing w:before="2"/>
        <w:ind w:left="4257"/>
      </w:pPr>
      <w:r>
        <w:rPr/>
        <w:t>审计报告</w:t>
      </w:r>
    </w:p>
    <w:p>
      <w:pPr>
        <w:pStyle w:val="BodyText"/>
        <w:ind w:left="0"/>
        <w:rPr>
          <w:sz w:val="20"/>
        </w:rPr>
      </w:pPr>
    </w:p>
    <w:p>
      <w:pPr>
        <w:pStyle w:val="BodyText"/>
        <w:ind w:left="0"/>
        <w:rPr>
          <w:sz w:val="18"/>
        </w:rPr>
      </w:pPr>
    </w:p>
    <w:p>
      <w:pPr>
        <w:pStyle w:val="BodyText"/>
        <w:ind w:left="5759"/>
      </w:pPr>
      <w:r>
        <w:rPr>
          <w:spacing w:val="-1"/>
        </w:rPr>
        <w:t>普华永道中天审字</w:t>
      </w:r>
      <w:r>
        <w:rPr>
          <w:rFonts w:ascii="Times New Roman" w:eastAsia="Times New Roman"/>
        </w:rPr>
        <w:t>(2023)</w:t>
      </w:r>
      <w:r>
        <w:rPr>
          <w:spacing w:val="-27"/>
        </w:rPr>
        <w:t>第 </w:t>
      </w:r>
      <w:r>
        <w:rPr>
          <w:rFonts w:ascii="Times New Roman" w:eastAsia="Times New Roman"/>
        </w:rPr>
        <w:t>10011</w:t>
      </w:r>
      <w:r>
        <w:rPr>
          <w:rFonts w:ascii="Times New Roman" w:eastAsia="Times New Roman"/>
          <w:spacing w:val="-12"/>
        </w:rPr>
        <w:t> </w:t>
      </w:r>
      <w:r>
        <w:rPr/>
        <w:t>号</w:t>
      </w:r>
    </w:p>
    <w:p>
      <w:pPr>
        <w:pStyle w:val="BodyText"/>
        <w:spacing w:before="7"/>
        <w:ind w:left="0"/>
        <w:rPr>
          <w:sz w:val="13"/>
        </w:rPr>
      </w:pPr>
    </w:p>
    <w:p>
      <w:pPr>
        <w:pStyle w:val="BodyText"/>
        <w:spacing w:before="71"/>
      </w:pPr>
      <w:r>
        <w:rPr>
          <w:spacing w:val="-1"/>
        </w:rPr>
        <w:t>富士康工业互联网股份有限公司全体股东：</w:t>
      </w:r>
    </w:p>
    <w:p>
      <w:pPr>
        <w:pStyle w:val="BodyText"/>
        <w:spacing w:before="1"/>
        <w:ind w:left="0"/>
        <w:rPr>
          <w:sz w:val="19"/>
        </w:rPr>
      </w:pPr>
    </w:p>
    <w:p>
      <w:pPr>
        <w:pStyle w:val="BodyText"/>
        <w:ind w:left="884"/>
      </w:pPr>
      <w:r>
        <w:rPr>
          <w:spacing w:val="23"/>
        </w:rPr>
        <w:t>一、 审计意见</w:t>
      </w:r>
    </w:p>
    <w:p>
      <w:pPr>
        <w:pStyle w:val="BodyText"/>
        <w:spacing w:before="139"/>
        <w:ind w:left="733"/>
      </w:pPr>
      <w:r>
        <w:rPr/>
        <w:t>（一）</w:t>
      </w:r>
      <w:r>
        <w:rPr>
          <w:spacing w:val="12"/>
        </w:rPr>
        <w:t> 我们审计的内容</w:t>
      </w:r>
    </w:p>
    <w:p>
      <w:pPr>
        <w:pStyle w:val="BodyText"/>
        <w:spacing w:before="8"/>
        <w:ind w:left="0"/>
        <w:rPr>
          <w:sz w:val="14"/>
        </w:rPr>
      </w:pPr>
    </w:p>
    <w:p>
      <w:pPr>
        <w:pStyle w:val="BodyText"/>
        <w:ind w:left="884"/>
        <w:rPr>
          <w:rFonts w:ascii="Times New Roman" w:hAnsi="Times New Roman" w:eastAsia="Times New Roman"/>
        </w:rPr>
      </w:pPr>
      <w:r>
        <w:rPr/>
        <w:t>我们审计了富士康工业互联网股份有限公司</w:t>
      </w:r>
      <w:r>
        <w:rPr>
          <w:rFonts w:ascii="Times New Roman" w:hAnsi="Times New Roman" w:eastAsia="Times New Roman"/>
        </w:rPr>
        <w:t>(</w:t>
      </w:r>
      <w:r>
        <w:rPr/>
        <w:t>以下简称“贵公司”</w:t>
      </w:r>
      <w:r>
        <w:rPr>
          <w:rFonts w:ascii="Times New Roman" w:hAnsi="Times New Roman" w:eastAsia="Times New Roman"/>
        </w:rPr>
        <w:t>)</w:t>
      </w:r>
      <w:r>
        <w:rPr>
          <w:spacing w:val="3"/>
        </w:rPr>
        <w:t>的财务报表，包括</w:t>
      </w:r>
      <w:r>
        <w:rPr>
          <w:rFonts w:ascii="Times New Roman" w:hAnsi="Times New Roman" w:eastAsia="Times New Roman"/>
        </w:rPr>
        <w:t>2022</w:t>
      </w:r>
    </w:p>
    <w:p>
      <w:pPr>
        <w:pStyle w:val="BodyText"/>
        <w:spacing w:line="244" w:lineRule="auto" w:before="3"/>
        <w:ind w:right="1381"/>
      </w:pPr>
      <w:r>
        <w:rPr>
          <w:spacing w:val="-18"/>
        </w:rPr>
        <w:t>年 </w:t>
      </w:r>
      <w:r>
        <w:rPr>
          <w:rFonts w:ascii="Times New Roman" w:eastAsia="Times New Roman"/>
        </w:rPr>
        <w:t>12</w:t>
      </w:r>
      <w:r>
        <w:rPr>
          <w:rFonts w:ascii="Times New Roman" w:eastAsia="Times New Roman"/>
          <w:spacing w:val="5"/>
        </w:rPr>
        <w:t> </w:t>
      </w:r>
      <w:r>
        <w:rPr>
          <w:spacing w:val="-17"/>
        </w:rPr>
        <w:t>月 </w:t>
      </w:r>
      <w:r>
        <w:rPr>
          <w:rFonts w:ascii="Times New Roman" w:eastAsia="Times New Roman"/>
        </w:rPr>
        <w:t>31</w:t>
      </w:r>
      <w:r>
        <w:rPr>
          <w:rFonts w:ascii="Times New Roman" w:eastAsia="Times New Roman"/>
          <w:spacing w:val="5"/>
        </w:rPr>
        <w:t> </w:t>
      </w:r>
      <w:r>
        <w:rPr/>
        <w:t>日的合并及公司资产负债表，</w:t>
      </w:r>
      <w:r>
        <w:rPr>
          <w:rFonts w:ascii="Times New Roman" w:eastAsia="Times New Roman"/>
        </w:rPr>
        <w:t>2022</w:t>
      </w:r>
      <w:r>
        <w:rPr>
          <w:rFonts w:ascii="Times New Roman" w:eastAsia="Times New Roman"/>
          <w:spacing w:val="2"/>
        </w:rPr>
        <w:t> </w:t>
      </w:r>
      <w:r>
        <w:rPr/>
        <w:t>年度的合并及公司利润表、合并及公司现金流量表、合并及公司股东权益变动表以及财务报表附注。</w:t>
      </w:r>
    </w:p>
    <w:p>
      <w:pPr>
        <w:pStyle w:val="BodyText"/>
        <w:spacing w:before="7"/>
        <w:ind w:left="0"/>
        <w:rPr>
          <w:sz w:val="18"/>
        </w:rPr>
      </w:pPr>
    </w:p>
    <w:p>
      <w:pPr>
        <w:pStyle w:val="BodyText"/>
        <w:ind w:left="733"/>
      </w:pPr>
      <w:r>
        <w:rPr/>
        <w:t>（二）</w:t>
      </w:r>
      <w:r>
        <w:rPr>
          <w:spacing w:val="25"/>
        </w:rPr>
        <w:t> 我们的意见</w:t>
      </w:r>
    </w:p>
    <w:p>
      <w:pPr>
        <w:pStyle w:val="BodyText"/>
        <w:spacing w:before="5"/>
        <w:ind w:left="0"/>
        <w:rPr>
          <w:sz w:val="14"/>
        </w:rPr>
      </w:pPr>
    </w:p>
    <w:p>
      <w:pPr>
        <w:pStyle w:val="BodyText"/>
        <w:spacing w:line="242" w:lineRule="auto"/>
        <w:ind w:right="1380" w:firstLine="566"/>
        <w:jc w:val="both"/>
      </w:pPr>
      <w:r>
        <w:rPr/>
        <w:t>我们认为，后附的财务报表在所有重大方面按照企业会计准则的规定编制，公允反映了</w:t>
      </w:r>
      <w:r>
        <w:rPr>
          <w:spacing w:val="-16"/>
        </w:rPr>
        <w:t>贵公司 </w:t>
      </w:r>
      <w:r>
        <w:rPr>
          <w:rFonts w:ascii="Times New Roman" w:eastAsia="Times New Roman"/>
          <w:spacing w:val="-1"/>
        </w:rPr>
        <w:t>2022</w:t>
      </w:r>
      <w:r>
        <w:rPr>
          <w:rFonts w:ascii="Times New Roman" w:eastAsia="Times New Roman"/>
          <w:spacing w:val="-19"/>
        </w:rPr>
        <w:t> </w:t>
      </w:r>
      <w:r>
        <w:rPr>
          <w:spacing w:val="-30"/>
        </w:rPr>
        <w:t>年 </w:t>
      </w:r>
      <w:r>
        <w:rPr>
          <w:rFonts w:ascii="Times New Roman" w:eastAsia="Times New Roman"/>
        </w:rPr>
        <w:t>12</w:t>
      </w:r>
      <w:r>
        <w:rPr>
          <w:rFonts w:ascii="Times New Roman" w:eastAsia="Times New Roman"/>
          <w:spacing w:val="-19"/>
        </w:rPr>
        <w:t> </w:t>
      </w:r>
      <w:r>
        <w:rPr>
          <w:spacing w:val="-30"/>
        </w:rPr>
        <w:t>月 </w:t>
      </w:r>
      <w:r>
        <w:rPr>
          <w:rFonts w:ascii="Times New Roman" w:eastAsia="Times New Roman"/>
        </w:rPr>
        <w:t>31</w:t>
      </w:r>
      <w:r>
        <w:rPr>
          <w:rFonts w:ascii="Times New Roman" w:eastAsia="Times New Roman"/>
          <w:spacing w:val="-19"/>
        </w:rPr>
        <w:t> </w:t>
      </w:r>
      <w:r>
        <w:rPr>
          <w:spacing w:val="-5"/>
        </w:rPr>
        <w:t>日的合并及公司财务状况以及 </w:t>
      </w:r>
      <w:r>
        <w:rPr>
          <w:rFonts w:ascii="Times New Roman" w:eastAsia="Times New Roman"/>
        </w:rPr>
        <w:t>2022</w:t>
      </w:r>
      <w:r>
        <w:rPr>
          <w:rFonts w:ascii="Times New Roman" w:eastAsia="Times New Roman"/>
          <w:spacing w:val="-19"/>
        </w:rPr>
        <w:t> </w:t>
      </w:r>
      <w:r>
        <w:rPr/>
        <w:t>年度的合并及公司经营成果和现金流量。</w:t>
      </w:r>
    </w:p>
    <w:p>
      <w:pPr>
        <w:pStyle w:val="BodyText"/>
        <w:ind w:left="0"/>
        <w:rPr>
          <w:sz w:val="19"/>
        </w:rPr>
      </w:pPr>
    </w:p>
    <w:p>
      <w:pPr>
        <w:pStyle w:val="BodyText"/>
        <w:ind w:left="884"/>
      </w:pPr>
      <w:r>
        <w:rPr>
          <w:spacing w:val="12"/>
        </w:rPr>
        <w:t>二、 形成审计意见的基础</w:t>
      </w:r>
    </w:p>
    <w:p>
      <w:pPr>
        <w:pStyle w:val="BodyText"/>
        <w:spacing w:before="5"/>
        <w:ind w:left="0"/>
        <w:rPr>
          <w:sz w:val="14"/>
        </w:rPr>
      </w:pPr>
    </w:p>
    <w:p>
      <w:pPr>
        <w:pStyle w:val="BodyText"/>
        <w:spacing w:line="242" w:lineRule="auto"/>
        <w:ind w:right="1392" w:firstLine="566"/>
        <w:jc w:val="both"/>
      </w:pPr>
      <w:r>
        <w:rPr/>
        <w:t>我们按照中国注册会计师审计准则的规定执行了审计工作。审计报告的“注册会计师对财务报表审计的责任”部分进一步阐述了我们在这些准则下的责任。我们相信，我们获取的审计证据是充分、适当的，为发表审计意见提供了基础。</w:t>
      </w:r>
    </w:p>
    <w:p>
      <w:pPr>
        <w:pStyle w:val="BodyText"/>
        <w:ind w:left="0"/>
        <w:rPr>
          <w:sz w:val="19"/>
        </w:rPr>
      </w:pPr>
    </w:p>
    <w:p>
      <w:pPr>
        <w:pStyle w:val="BodyText"/>
        <w:spacing w:line="242" w:lineRule="auto"/>
        <w:ind w:right="1379" w:firstLine="619"/>
      </w:pPr>
      <w:r>
        <w:rPr/>
        <w:t>按照中国注册会计师职业道德守则，我们独立于贵公司，并履行了职业道德方面的其他责任。</w:t>
      </w:r>
    </w:p>
    <w:p>
      <w:pPr>
        <w:pStyle w:val="BodyText"/>
        <w:ind w:left="0"/>
        <w:rPr>
          <w:sz w:val="19"/>
        </w:rPr>
      </w:pPr>
    </w:p>
    <w:p>
      <w:pPr>
        <w:pStyle w:val="BodyText"/>
        <w:spacing w:before="1"/>
        <w:ind w:left="884"/>
      </w:pPr>
      <w:r>
        <w:rPr>
          <w:spacing w:val="18"/>
        </w:rPr>
        <w:t>三、 关键审计事项</w:t>
      </w:r>
    </w:p>
    <w:p>
      <w:pPr>
        <w:pStyle w:val="BodyText"/>
        <w:spacing w:line="242" w:lineRule="auto" w:before="122"/>
        <w:ind w:right="1174" w:firstLine="566"/>
      </w:pPr>
      <w:r>
        <w:rPr/>
        <w:t>关键审计事项是我们根据职业判断，认为对本期财务报表审计最为重要的事项。这些事</w:t>
      </w:r>
      <w:r>
        <w:rPr>
          <w:spacing w:val="78"/>
        </w:rPr>
        <w:t> </w:t>
      </w:r>
      <w:r>
        <w:rPr/>
        <w:t>项的应对以对财务报表整体进行审计并形成审计意见为背景，我们不对这些事项单独发表意见。</w:t>
      </w:r>
    </w:p>
    <w:p>
      <w:pPr>
        <w:pStyle w:val="BodyText"/>
        <w:ind w:left="0"/>
        <w:rPr>
          <w:sz w:val="19"/>
        </w:rPr>
      </w:pPr>
    </w:p>
    <w:p>
      <w:pPr>
        <w:pStyle w:val="BodyText"/>
        <w:ind w:left="937"/>
      </w:pPr>
      <w:r>
        <w:rPr/>
        <w:t>我们在审计中识别出的关键审计事项汇总如下：</w:t>
      </w:r>
    </w:p>
    <w:p>
      <w:pPr>
        <w:pStyle w:val="BodyText"/>
        <w:spacing w:before="1"/>
        <w:ind w:left="0"/>
        <w:rPr>
          <w:sz w:val="19"/>
        </w:rPr>
      </w:pPr>
    </w:p>
    <w:p>
      <w:pPr>
        <w:pStyle w:val="BodyText"/>
        <w:ind w:left="903"/>
      </w:pPr>
      <w:r>
        <w:rPr>
          <w:rFonts w:ascii="Times New Roman" w:eastAsia="Times New Roman"/>
        </w:rPr>
        <w:t>(</w:t>
      </w:r>
      <w:r>
        <w:rPr/>
        <w:t>一</w:t>
      </w:r>
      <w:r>
        <w:rPr>
          <w:rFonts w:ascii="Times New Roman" w:eastAsia="Times New Roman"/>
          <w:spacing w:val="32"/>
        </w:rPr>
        <w:t>) </w:t>
      </w:r>
      <w:r>
        <w:rPr/>
        <w:t>收入确认：销售产品</w:t>
      </w:r>
    </w:p>
    <w:p>
      <w:pPr>
        <w:pStyle w:val="BodyText"/>
        <w:spacing w:before="24"/>
        <w:ind w:left="903"/>
      </w:pPr>
      <w:r>
        <w:rPr>
          <w:rFonts w:ascii="Times New Roman" w:eastAsia="Times New Roman"/>
        </w:rPr>
        <w:t>(</w:t>
      </w:r>
      <w:r>
        <w:rPr/>
        <w:t>二</w:t>
      </w:r>
      <w:r>
        <w:rPr>
          <w:rFonts w:ascii="Times New Roman" w:eastAsia="Times New Roman"/>
          <w:spacing w:val="31"/>
        </w:rPr>
        <w:t>) </w:t>
      </w:r>
      <w:r>
        <w:rPr/>
        <w:t>存货跌价准备的计提</w:t>
      </w:r>
    </w:p>
    <w:p>
      <w:pPr>
        <w:pStyle w:val="BodyText"/>
        <w:ind w:left="0"/>
        <w:rPr>
          <w:sz w:val="20"/>
        </w:rPr>
      </w:pPr>
    </w:p>
    <w:p>
      <w:pPr>
        <w:pStyle w:val="BodyText"/>
        <w:spacing w:before="3"/>
        <w:ind w:left="0"/>
        <w:rPr>
          <w:sz w:val="13"/>
        </w:rPr>
      </w:pPr>
    </w:p>
    <w:tbl>
      <w:tblPr>
        <w:tblW w:w="0" w:type="auto"/>
        <w:jc w:val="left"/>
        <w:tblInd w:w="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53"/>
        <w:gridCol w:w="4105"/>
      </w:tblGrid>
      <w:tr>
        <w:trPr>
          <w:trHeight w:val="273" w:hRule="atLeast"/>
        </w:trPr>
        <w:tc>
          <w:tcPr>
            <w:tcW w:w="4253" w:type="dxa"/>
          </w:tcPr>
          <w:p>
            <w:pPr>
              <w:pStyle w:val="TableParagraph"/>
              <w:spacing w:line="252" w:lineRule="exact" w:before="1"/>
              <w:ind w:left="107"/>
              <w:rPr>
                <w:sz w:val="21"/>
              </w:rPr>
            </w:pPr>
            <w:r>
              <w:rPr>
                <w:sz w:val="21"/>
              </w:rPr>
              <w:t>关键审计事项</w:t>
            </w:r>
          </w:p>
        </w:tc>
        <w:tc>
          <w:tcPr>
            <w:tcW w:w="4105" w:type="dxa"/>
          </w:tcPr>
          <w:p>
            <w:pPr>
              <w:pStyle w:val="TableParagraph"/>
              <w:spacing w:line="252" w:lineRule="exact" w:before="1"/>
              <w:ind w:left="108"/>
              <w:rPr>
                <w:sz w:val="21"/>
              </w:rPr>
            </w:pPr>
            <w:r>
              <w:rPr>
                <w:sz w:val="21"/>
              </w:rPr>
              <w:t>我们在审计中如何应对关键审计事项</w:t>
            </w:r>
          </w:p>
        </w:tc>
      </w:tr>
      <w:tr>
        <w:trPr>
          <w:trHeight w:val="2085" w:hRule="atLeast"/>
        </w:trPr>
        <w:tc>
          <w:tcPr>
            <w:tcW w:w="4253" w:type="dxa"/>
          </w:tcPr>
          <w:p>
            <w:pPr>
              <w:pStyle w:val="TableParagraph"/>
              <w:spacing w:before="10"/>
              <w:rPr>
                <w:sz w:val="18"/>
              </w:rPr>
            </w:pPr>
          </w:p>
          <w:p>
            <w:pPr>
              <w:pStyle w:val="TableParagraph"/>
              <w:ind w:left="107"/>
              <w:rPr>
                <w:sz w:val="21"/>
              </w:rPr>
            </w:pPr>
            <w:r>
              <w:rPr>
                <w:rFonts w:ascii="Times New Roman" w:eastAsia="Times New Roman"/>
                <w:b/>
                <w:sz w:val="21"/>
              </w:rPr>
              <w:t>(</w:t>
            </w:r>
            <w:r>
              <w:rPr>
                <w:sz w:val="21"/>
              </w:rPr>
              <w:t>一</w:t>
            </w:r>
            <w:r>
              <w:rPr>
                <w:rFonts w:ascii="Times New Roman" w:eastAsia="Times New Roman"/>
                <w:b/>
                <w:sz w:val="21"/>
              </w:rPr>
              <w:t>)</w:t>
            </w:r>
            <w:r>
              <w:rPr>
                <w:sz w:val="21"/>
              </w:rPr>
              <w:t>收入确认：销售产品</w:t>
            </w:r>
          </w:p>
          <w:p>
            <w:pPr>
              <w:pStyle w:val="TableParagraph"/>
              <w:spacing w:before="1"/>
              <w:rPr>
                <w:sz w:val="19"/>
              </w:rPr>
            </w:pPr>
          </w:p>
          <w:p>
            <w:pPr>
              <w:pStyle w:val="TableParagraph"/>
              <w:spacing w:line="244" w:lineRule="auto"/>
              <w:ind w:left="107" w:right="88"/>
              <w:rPr>
                <w:rFonts w:ascii="Times New Roman" w:eastAsia="Times New Roman"/>
                <w:sz w:val="21"/>
              </w:rPr>
            </w:pPr>
            <w:r>
              <w:rPr>
                <w:sz w:val="21"/>
              </w:rPr>
              <w:t>财务报表附注三</w:t>
            </w:r>
            <w:r>
              <w:rPr>
                <w:rFonts w:ascii="Times New Roman" w:eastAsia="Times New Roman"/>
                <w:sz w:val="21"/>
              </w:rPr>
              <w:t>(21)</w:t>
            </w:r>
            <w:r>
              <w:rPr>
                <w:sz w:val="21"/>
              </w:rPr>
              <w:t>、附注三</w:t>
            </w:r>
            <w:r>
              <w:rPr>
                <w:rFonts w:ascii="Times New Roman" w:eastAsia="Times New Roman"/>
                <w:sz w:val="21"/>
              </w:rPr>
              <w:t>(27)(a)(iii)</w:t>
            </w:r>
            <w:r>
              <w:rPr>
                <w:sz w:val="21"/>
              </w:rPr>
              <w:t>及附注五</w:t>
            </w:r>
            <w:r>
              <w:rPr>
                <w:rFonts w:ascii="Times New Roman" w:eastAsia="Times New Roman"/>
                <w:sz w:val="21"/>
              </w:rPr>
              <w:t>(35)</w:t>
            </w:r>
          </w:p>
          <w:p>
            <w:pPr>
              <w:pStyle w:val="TableParagraph"/>
              <w:spacing w:before="4"/>
              <w:rPr>
                <w:sz w:val="17"/>
              </w:rPr>
            </w:pPr>
          </w:p>
          <w:p>
            <w:pPr>
              <w:pStyle w:val="TableParagraph"/>
              <w:spacing w:line="270" w:lineRule="atLeast"/>
              <w:ind w:left="107" w:right="91"/>
              <w:rPr>
                <w:sz w:val="21"/>
              </w:rPr>
            </w:pPr>
            <w:r>
              <w:rPr>
                <w:spacing w:val="10"/>
                <w:sz w:val="21"/>
              </w:rPr>
              <w:t>于 </w:t>
            </w:r>
            <w:r>
              <w:rPr>
                <w:rFonts w:ascii="Times New Roman" w:hAnsi="Times New Roman" w:eastAsia="Times New Roman"/>
                <w:sz w:val="21"/>
              </w:rPr>
              <w:t>2022</w:t>
            </w:r>
            <w:r>
              <w:rPr>
                <w:rFonts w:ascii="Times New Roman" w:hAnsi="Times New Roman" w:eastAsia="Times New Roman"/>
                <w:spacing w:val="48"/>
                <w:sz w:val="21"/>
              </w:rPr>
              <w:t> </w:t>
            </w:r>
            <w:r>
              <w:rPr>
                <w:spacing w:val="11"/>
                <w:sz w:val="21"/>
              </w:rPr>
              <w:t>年度，贵公司及子公司</w:t>
            </w:r>
            <w:r>
              <w:rPr>
                <w:rFonts w:ascii="Times New Roman" w:hAnsi="Times New Roman" w:eastAsia="Times New Roman"/>
                <w:spacing w:val="11"/>
                <w:sz w:val="21"/>
              </w:rPr>
              <w:t>(</w:t>
            </w:r>
            <w:r>
              <w:rPr>
                <w:spacing w:val="9"/>
                <w:sz w:val="21"/>
              </w:rPr>
              <w:t>以下合称</w:t>
            </w:r>
            <w:r>
              <w:rPr>
                <w:spacing w:val="-4"/>
                <w:sz w:val="21"/>
              </w:rPr>
              <w:t>“ 贵集团” </w:t>
            </w:r>
            <w:r>
              <w:rPr>
                <w:rFonts w:ascii="Times New Roman" w:hAnsi="Times New Roman" w:eastAsia="Times New Roman"/>
                <w:spacing w:val="-5"/>
                <w:sz w:val="21"/>
              </w:rPr>
              <w:t>) </w:t>
            </w:r>
            <w:r>
              <w:rPr>
                <w:spacing w:val="31"/>
                <w:sz w:val="21"/>
              </w:rPr>
              <w:t>的主营业务收入为人民币</w:t>
            </w:r>
          </w:p>
        </w:tc>
        <w:tc>
          <w:tcPr>
            <w:tcW w:w="4105" w:type="dxa"/>
          </w:tcPr>
          <w:p>
            <w:pPr>
              <w:pStyle w:val="TableParagraph"/>
              <w:rPr>
                <w:sz w:val="20"/>
              </w:rPr>
            </w:pPr>
          </w:p>
          <w:p>
            <w:pPr>
              <w:pStyle w:val="TableParagraph"/>
              <w:rPr>
                <w:sz w:val="20"/>
              </w:rPr>
            </w:pPr>
          </w:p>
          <w:p>
            <w:pPr>
              <w:pStyle w:val="TableParagraph"/>
              <w:spacing w:line="242" w:lineRule="auto" w:before="170"/>
              <w:ind w:left="108" w:right="93"/>
              <w:jc w:val="both"/>
              <w:rPr>
                <w:sz w:val="21"/>
              </w:rPr>
            </w:pPr>
            <w:r>
              <w:rPr>
                <w:sz w:val="21"/>
              </w:rPr>
              <w:t>我们了解、评估和测试与产品销售收入有关的内部控制，包括从产品定价、客户信</w:t>
            </w:r>
            <w:r>
              <w:rPr>
                <w:spacing w:val="15"/>
                <w:sz w:val="21"/>
              </w:rPr>
              <w:t>用管理、订单管理、销售发货、销售核</w:t>
            </w:r>
            <w:r>
              <w:rPr>
                <w:sz w:val="21"/>
              </w:rPr>
              <w:t>对、收入确认直至销售收款的完整业务流程中的关键控制，与产品销售收入确认相</w:t>
            </w:r>
          </w:p>
        </w:tc>
      </w:tr>
    </w:tbl>
    <w:p>
      <w:pPr>
        <w:spacing w:after="0" w:line="242" w:lineRule="auto"/>
        <w:jc w:val="both"/>
        <w:rPr>
          <w:sz w:val="21"/>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53"/>
        <w:gridCol w:w="4105"/>
      </w:tblGrid>
      <w:tr>
        <w:trPr>
          <w:trHeight w:val="4812" w:hRule="atLeast"/>
        </w:trPr>
        <w:tc>
          <w:tcPr>
            <w:tcW w:w="4253" w:type="dxa"/>
          </w:tcPr>
          <w:p>
            <w:pPr>
              <w:pStyle w:val="TableParagraph"/>
              <w:spacing w:line="242" w:lineRule="auto" w:before="3"/>
              <w:ind w:left="107" w:right="93"/>
              <w:jc w:val="both"/>
              <w:rPr>
                <w:sz w:val="21"/>
              </w:rPr>
            </w:pPr>
            <w:r>
              <w:rPr>
                <w:rFonts w:ascii="Times New Roman" w:eastAsia="Times New Roman"/>
                <w:spacing w:val="-1"/>
                <w:sz w:val="21"/>
              </w:rPr>
              <w:t>510,534,025</w:t>
            </w:r>
            <w:r>
              <w:rPr>
                <w:rFonts w:ascii="Times New Roman" w:eastAsia="Times New Roman"/>
                <w:spacing w:val="-8"/>
                <w:sz w:val="21"/>
              </w:rPr>
              <w:t> </w:t>
            </w:r>
            <w:r>
              <w:rPr>
                <w:sz w:val="21"/>
              </w:rPr>
              <w:t>千元，其中绝大部分为产品销售收入，包括通信及移动网络设备产品销售收</w:t>
            </w:r>
            <w:r>
              <w:rPr>
                <w:spacing w:val="15"/>
                <w:sz w:val="21"/>
              </w:rPr>
              <w:t>入 </w:t>
            </w:r>
            <w:r>
              <w:rPr>
                <w:rFonts w:ascii="Times New Roman" w:eastAsia="Times New Roman"/>
                <w:sz w:val="21"/>
              </w:rPr>
              <w:t>296,178,150</w:t>
            </w:r>
            <w:r>
              <w:rPr>
                <w:rFonts w:ascii="Times New Roman" w:eastAsia="Times New Roman"/>
                <w:spacing w:val="5"/>
                <w:sz w:val="21"/>
              </w:rPr>
              <w:t> </w:t>
            </w:r>
            <w:r>
              <w:rPr>
                <w:sz w:val="21"/>
              </w:rPr>
              <w:t>千元和云计算产品销售收入</w:t>
            </w:r>
          </w:p>
          <w:p>
            <w:pPr>
              <w:pStyle w:val="TableParagraph"/>
              <w:spacing w:before="1"/>
              <w:ind w:left="107"/>
              <w:jc w:val="both"/>
              <w:rPr>
                <w:sz w:val="21"/>
              </w:rPr>
            </w:pPr>
            <w:r>
              <w:rPr>
                <w:rFonts w:ascii="Times New Roman" w:eastAsia="Times New Roman"/>
                <w:sz w:val="21"/>
              </w:rPr>
              <w:t>212,444,087</w:t>
            </w:r>
            <w:r>
              <w:rPr>
                <w:rFonts w:ascii="Times New Roman" w:eastAsia="Times New Roman"/>
                <w:spacing w:val="-10"/>
                <w:sz w:val="21"/>
              </w:rPr>
              <w:t> </w:t>
            </w:r>
            <w:r>
              <w:rPr>
                <w:sz w:val="21"/>
              </w:rPr>
              <w:t>千元。</w:t>
            </w:r>
          </w:p>
          <w:p>
            <w:pPr>
              <w:pStyle w:val="TableParagraph"/>
              <w:spacing w:before="1"/>
              <w:rPr>
                <w:sz w:val="19"/>
              </w:rPr>
            </w:pPr>
          </w:p>
          <w:p>
            <w:pPr>
              <w:pStyle w:val="TableParagraph"/>
              <w:spacing w:line="242" w:lineRule="auto"/>
              <w:ind w:left="107" w:right="95"/>
              <w:jc w:val="both"/>
              <w:rPr>
                <w:sz w:val="21"/>
              </w:rPr>
            </w:pPr>
            <w:r>
              <w:rPr>
                <w:sz w:val="21"/>
              </w:rPr>
              <w:t>贵集团生产产品并销售予各地客户。对于境内销售，贵集团在将产品交付客户指定的承运人，或将产品按照协议合同规定运至约定交货地点并由客户确认接收后，确认收入。对于境外销售，贵集团根据销售合同或订单规定的国际贸易条款，将出口产品按照合同或订单规定办理出口报关手续并装船后或运至指定的交货地点后，确认收入。满足上述销售实现条件的情况下，客户具有自行销售产品的权利并承担该产品可能发生价格波动或毁损的风险。</w:t>
            </w:r>
          </w:p>
        </w:tc>
        <w:tc>
          <w:tcPr>
            <w:tcW w:w="4105" w:type="dxa"/>
          </w:tcPr>
          <w:p>
            <w:pPr>
              <w:pStyle w:val="TableParagraph"/>
              <w:spacing w:before="3"/>
              <w:ind w:left="108"/>
              <w:rPr>
                <w:sz w:val="21"/>
              </w:rPr>
            </w:pPr>
            <w:r>
              <w:rPr>
                <w:sz w:val="21"/>
              </w:rPr>
              <w:t>关的信息系统一般控制。</w:t>
            </w:r>
          </w:p>
          <w:p>
            <w:pPr>
              <w:pStyle w:val="TableParagraph"/>
              <w:spacing w:before="1"/>
              <w:rPr>
                <w:sz w:val="19"/>
              </w:rPr>
            </w:pPr>
          </w:p>
          <w:p>
            <w:pPr>
              <w:pStyle w:val="TableParagraph"/>
              <w:spacing w:line="242" w:lineRule="auto" w:before="1"/>
              <w:ind w:left="108" w:right="88"/>
              <w:jc w:val="both"/>
              <w:rPr>
                <w:sz w:val="21"/>
              </w:rPr>
            </w:pPr>
            <w:r>
              <w:rPr>
                <w:sz w:val="21"/>
              </w:rPr>
              <w:t>我们抽取了贵集团主要客户和供应商的销售及采购主合同，检查贵集团与客户和供应商的主要合作条款，包括订单开立、产品交付、开票及付款等，评估贵集团收入确认相关会计政策；检查并评估贵集团在</w:t>
            </w:r>
            <w:r>
              <w:rPr>
                <w:rFonts w:ascii="Times New Roman" w:hAnsi="Times New Roman" w:eastAsia="Times New Roman"/>
                <w:sz w:val="21"/>
              </w:rPr>
              <w:t>“Buy</w:t>
            </w:r>
            <w:r>
              <w:rPr>
                <w:rFonts w:ascii="Times New Roman" w:hAnsi="Times New Roman" w:eastAsia="Times New Roman"/>
                <w:spacing w:val="41"/>
                <w:sz w:val="21"/>
              </w:rPr>
              <w:t> </w:t>
            </w:r>
            <w:r>
              <w:rPr>
                <w:rFonts w:ascii="Times New Roman" w:hAnsi="Times New Roman" w:eastAsia="Times New Roman"/>
                <w:sz w:val="21"/>
              </w:rPr>
              <w:t>and</w:t>
            </w:r>
            <w:r>
              <w:rPr>
                <w:rFonts w:ascii="Times New Roman" w:hAnsi="Times New Roman" w:eastAsia="Times New Roman"/>
                <w:spacing w:val="47"/>
                <w:sz w:val="21"/>
              </w:rPr>
              <w:t> </w:t>
            </w:r>
            <w:r>
              <w:rPr>
                <w:rFonts w:ascii="Times New Roman" w:hAnsi="Times New Roman" w:eastAsia="Times New Roman"/>
                <w:sz w:val="21"/>
              </w:rPr>
              <w:t>Sell”</w:t>
            </w:r>
            <w:r>
              <w:rPr>
                <w:sz w:val="21"/>
              </w:rPr>
              <w:t>模式下对销售业务主要责任人的判断、存货一般风险及信用风险承担方的判断，以及独立确定价格能力的判断等。</w:t>
            </w:r>
          </w:p>
          <w:p>
            <w:pPr>
              <w:pStyle w:val="TableParagraph"/>
              <w:spacing w:before="3"/>
              <w:rPr>
                <w:sz w:val="19"/>
              </w:rPr>
            </w:pPr>
          </w:p>
          <w:p>
            <w:pPr>
              <w:pStyle w:val="TableParagraph"/>
              <w:spacing w:line="242" w:lineRule="auto"/>
              <w:ind w:left="108" w:right="88"/>
              <w:jc w:val="both"/>
              <w:rPr>
                <w:sz w:val="21"/>
              </w:rPr>
            </w:pPr>
            <w:r>
              <w:rPr>
                <w:sz w:val="21"/>
              </w:rPr>
              <w:t>我们采用抽样测试的方法，对不同地区、不同客户及不同销售模式下的产品销售收入进行测试并检查相关收入确认的支持性文件，如销售订单、出货单、货运单据及收货签收记录等。</w:t>
            </w:r>
          </w:p>
        </w:tc>
      </w:tr>
    </w:tbl>
    <w:p>
      <w:pPr>
        <w:pStyle w:val="BodyText"/>
        <w:ind w:left="0"/>
        <w:rPr>
          <w:sz w:val="20"/>
        </w:rPr>
      </w:pPr>
    </w:p>
    <w:p>
      <w:pPr>
        <w:pStyle w:val="BodyText"/>
        <w:spacing w:before="9"/>
        <w:ind w:left="0"/>
        <w:rPr>
          <w:sz w:val="17"/>
        </w:rPr>
      </w:pPr>
    </w:p>
    <w:p>
      <w:pPr>
        <w:pStyle w:val="BodyText"/>
        <w:ind w:left="1038"/>
        <w:rPr>
          <w:rFonts w:ascii="Times New Roman" w:eastAsia="Times New Roman"/>
          <w:b/>
        </w:rPr>
      </w:pPr>
      <w:r>
        <w:rPr>
          <w:spacing w:val="-12"/>
        </w:rPr>
        <w:t>三、 关键审计事项 </w:t>
      </w:r>
      <w:r>
        <w:rPr>
          <w:rFonts w:ascii="Times New Roman" w:eastAsia="Times New Roman"/>
          <w:b/>
        </w:rPr>
        <w:t>(</w:t>
      </w:r>
      <w:r>
        <w:rPr/>
        <w:t>续</w:t>
      </w:r>
      <w:r>
        <w:rPr>
          <w:rFonts w:ascii="Times New Roman" w:eastAsia="Times New Roman"/>
          <w:b/>
        </w:rPr>
        <w:t>)</w:t>
      </w:r>
    </w:p>
    <w:p>
      <w:pPr>
        <w:pStyle w:val="BodyText"/>
        <w:ind w:left="0"/>
        <w:rPr>
          <w:rFonts w:ascii="Times New Roman"/>
          <w:b/>
          <w:sz w:val="20"/>
        </w:rPr>
      </w:pPr>
    </w:p>
    <w:p>
      <w:pPr>
        <w:pStyle w:val="BodyText"/>
        <w:spacing w:before="7"/>
        <w:ind w:left="0"/>
        <w:rPr>
          <w:rFonts w:ascii="Times New Roman"/>
          <w:b/>
          <w:sz w:val="11"/>
        </w:rPr>
      </w:pPr>
    </w:p>
    <w:tbl>
      <w:tblPr>
        <w:tblW w:w="0" w:type="auto"/>
        <w:jc w:val="left"/>
        <w:tblInd w:w="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53"/>
        <w:gridCol w:w="4112"/>
      </w:tblGrid>
      <w:tr>
        <w:trPr>
          <w:trHeight w:val="273" w:hRule="atLeast"/>
        </w:trPr>
        <w:tc>
          <w:tcPr>
            <w:tcW w:w="4253" w:type="dxa"/>
          </w:tcPr>
          <w:p>
            <w:pPr>
              <w:pStyle w:val="TableParagraph"/>
              <w:spacing w:line="252" w:lineRule="exact" w:before="1"/>
              <w:ind w:left="107"/>
              <w:rPr>
                <w:sz w:val="21"/>
              </w:rPr>
            </w:pPr>
            <w:r>
              <w:rPr>
                <w:sz w:val="21"/>
              </w:rPr>
              <w:t>关键审计事项</w:t>
            </w:r>
          </w:p>
        </w:tc>
        <w:tc>
          <w:tcPr>
            <w:tcW w:w="4112" w:type="dxa"/>
          </w:tcPr>
          <w:p>
            <w:pPr>
              <w:pStyle w:val="TableParagraph"/>
              <w:spacing w:line="252" w:lineRule="exact" w:before="1"/>
              <w:ind w:left="108"/>
              <w:rPr>
                <w:sz w:val="21"/>
              </w:rPr>
            </w:pPr>
            <w:r>
              <w:rPr>
                <w:sz w:val="21"/>
              </w:rPr>
              <w:t>我们在审计中如何应对关键审计事项</w:t>
            </w:r>
          </w:p>
        </w:tc>
      </w:tr>
      <w:tr>
        <w:trPr>
          <w:trHeight w:val="4103" w:hRule="atLeast"/>
        </w:trPr>
        <w:tc>
          <w:tcPr>
            <w:tcW w:w="4253" w:type="dxa"/>
          </w:tcPr>
          <w:p>
            <w:pPr>
              <w:pStyle w:val="TableParagraph"/>
              <w:spacing w:before="1"/>
              <w:rPr>
                <w:rFonts w:ascii="Times New Roman"/>
                <w:b/>
                <w:sz w:val="21"/>
              </w:rPr>
            </w:pPr>
          </w:p>
          <w:p>
            <w:pPr>
              <w:pStyle w:val="TableParagraph"/>
              <w:spacing w:before="1"/>
              <w:ind w:left="107"/>
              <w:rPr>
                <w:rFonts w:ascii="Times New Roman" w:eastAsia="Times New Roman"/>
                <w:b/>
                <w:sz w:val="21"/>
              </w:rPr>
            </w:pPr>
            <w:r>
              <w:rPr>
                <w:rFonts w:ascii="Times New Roman" w:eastAsia="Times New Roman"/>
                <w:b/>
                <w:sz w:val="21"/>
              </w:rPr>
              <w:t>(</w:t>
            </w:r>
            <w:r>
              <w:rPr>
                <w:sz w:val="21"/>
              </w:rPr>
              <w:t>一</w:t>
            </w:r>
            <w:r>
              <w:rPr>
                <w:rFonts w:ascii="Times New Roman" w:eastAsia="Times New Roman"/>
                <w:b/>
                <w:sz w:val="21"/>
              </w:rPr>
              <w:t>)</w:t>
            </w:r>
            <w:r>
              <w:rPr>
                <w:sz w:val="21"/>
              </w:rPr>
              <w:t>收入确认：销售产品</w:t>
            </w:r>
            <w:r>
              <w:rPr>
                <w:rFonts w:ascii="Times New Roman" w:eastAsia="Times New Roman"/>
                <w:b/>
                <w:sz w:val="21"/>
              </w:rPr>
              <w:t>(</w:t>
            </w:r>
            <w:r>
              <w:rPr>
                <w:sz w:val="21"/>
              </w:rPr>
              <w:t>续</w:t>
            </w:r>
            <w:r>
              <w:rPr>
                <w:rFonts w:ascii="Times New Roman" w:eastAsia="Times New Roman"/>
                <w:b/>
                <w:sz w:val="21"/>
              </w:rPr>
              <w:t>)</w:t>
            </w:r>
          </w:p>
          <w:p>
            <w:pPr>
              <w:pStyle w:val="TableParagraph"/>
              <w:spacing w:before="2"/>
              <w:rPr>
                <w:rFonts w:ascii="Times New Roman"/>
                <w:b/>
                <w:sz w:val="21"/>
              </w:rPr>
            </w:pPr>
          </w:p>
          <w:p>
            <w:pPr>
              <w:pStyle w:val="TableParagraph"/>
              <w:spacing w:line="242" w:lineRule="auto" w:before="1"/>
              <w:ind w:left="107" w:right="91"/>
              <w:jc w:val="both"/>
              <w:rPr>
                <w:sz w:val="21"/>
              </w:rPr>
            </w:pPr>
            <w:r>
              <w:rPr>
                <w:sz w:val="21"/>
              </w:rPr>
              <w:t>由于贵集团的产品销售收入来源于向数量众多、分布于全球不同地区的客户提供的各种产品，不同交易模式下销售收入确认的时点不完全相同，具有一定的复杂性。另外，在</w:t>
            </w:r>
            <w:r>
              <w:rPr>
                <w:spacing w:val="10"/>
                <w:sz w:val="21"/>
              </w:rPr>
              <w:t>客户同时是部分原材料供应商的情况，即</w:t>
            </w:r>
            <w:r>
              <w:rPr>
                <w:rFonts w:ascii="Times New Roman" w:hAnsi="Times New Roman" w:eastAsia="Times New Roman"/>
                <w:sz w:val="21"/>
              </w:rPr>
              <w:t>“Buy</w:t>
            </w:r>
            <w:r>
              <w:rPr>
                <w:rFonts w:ascii="Times New Roman" w:hAnsi="Times New Roman" w:eastAsia="Times New Roman"/>
                <w:spacing w:val="12"/>
                <w:sz w:val="21"/>
              </w:rPr>
              <w:t> </w:t>
            </w:r>
            <w:r>
              <w:rPr>
                <w:rFonts w:ascii="Times New Roman" w:hAnsi="Times New Roman" w:eastAsia="Times New Roman"/>
                <w:sz w:val="21"/>
              </w:rPr>
              <w:t>and</w:t>
            </w:r>
            <w:r>
              <w:rPr>
                <w:rFonts w:ascii="Times New Roman" w:hAnsi="Times New Roman" w:eastAsia="Times New Roman"/>
                <w:spacing w:val="16"/>
                <w:sz w:val="21"/>
              </w:rPr>
              <w:t> </w:t>
            </w:r>
            <w:r>
              <w:rPr>
                <w:rFonts w:ascii="Times New Roman" w:hAnsi="Times New Roman" w:eastAsia="Times New Roman"/>
                <w:sz w:val="21"/>
              </w:rPr>
              <w:t>Sell”</w:t>
            </w:r>
            <w:r>
              <w:rPr>
                <w:sz w:val="21"/>
              </w:rPr>
              <w:t>模式下，销售收入按照总额确认在以下方面涉及重要会计判断：销售业务的主要责任人、存货一般风险的承担方、独立确定价格的能力，以及应付客户对价是否为向客户取得可明确区分的商品。因此我们将销售产品的收入确认作为关键审计事项。</w:t>
            </w:r>
          </w:p>
        </w:tc>
        <w:tc>
          <w:tcPr>
            <w:tcW w:w="4112" w:type="dxa"/>
          </w:tcPr>
          <w:p>
            <w:pPr>
              <w:pStyle w:val="TableParagraph"/>
              <w:rPr>
                <w:rFonts w:ascii="Times New Roman"/>
                <w:b/>
                <w:sz w:val="20"/>
              </w:rPr>
            </w:pPr>
          </w:p>
          <w:p>
            <w:pPr>
              <w:pStyle w:val="TableParagraph"/>
              <w:rPr>
                <w:rFonts w:ascii="Times New Roman"/>
                <w:b/>
                <w:sz w:val="20"/>
              </w:rPr>
            </w:pPr>
          </w:p>
          <w:p>
            <w:pPr>
              <w:pStyle w:val="TableParagraph"/>
              <w:spacing w:before="4"/>
              <w:rPr>
                <w:rFonts w:ascii="Times New Roman"/>
                <w:b/>
                <w:sz w:val="19"/>
              </w:rPr>
            </w:pPr>
          </w:p>
          <w:p>
            <w:pPr>
              <w:pStyle w:val="TableParagraph"/>
              <w:spacing w:line="242" w:lineRule="auto"/>
              <w:ind w:left="108" w:right="88"/>
              <w:jc w:val="both"/>
              <w:rPr>
                <w:sz w:val="21"/>
              </w:rPr>
            </w:pPr>
            <w:r>
              <w:rPr>
                <w:sz w:val="21"/>
              </w:rPr>
              <w:t>我们基于交易金额、性质和客户特点的考虑，以抽样的方式向特定客户函证应收账款的余额。</w:t>
            </w:r>
          </w:p>
          <w:p>
            <w:pPr>
              <w:pStyle w:val="TableParagraph"/>
              <w:spacing w:before="2"/>
              <w:rPr>
                <w:rFonts w:ascii="Times New Roman"/>
                <w:b/>
                <w:sz w:val="21"/>
              </w:rPr>
            </w:pPr>
          </w:p>
          <w:p>
            <w:pPr>
              <w:pStyle w:val="TableParagraph"/>
              <w:spacing w:line="242" w:lineRule="auto"/>
              <w:ind w:left="108" w:right="74"/>
              <w:jc w:val="both"/>
              <w:rPr>
                <w:sz w:val="21"/>
              </w:rPr>
            </w:pPr>
            <w:r>
              <w:rPr>
                <w:sz w:val="21"/>
              </w:rPr>
              <w:t>我们针对资产负债表日前后的产品销售收入进行测试，将收入确认记录与出货单、货运单据及收货签收记录进行核对，评估</w:t>
            </w:r>
            <w:r>
              <w:rPr>
                <w:spacing w:val="17"/>
                <w:sz w:val="21"/>
              </w:rPr>
              <w:t>相关销售收入是否确认在适当的会计期</w:t>
            </w:r>
            <w:r>
              <w:rPr>
                <w:sz w:val="21"/>
              </w:rPr>
              <w:t>间。</w:t>
            </w:r>
          </w:p>
          <w:p>
            <w:pPr>
              <w:pStyle w:val="TableParagraph"/>
              <w:spacing w:before="11"/>
              <w:rPr>
                <w:rFonts w:ascii="Times New Roman"/>
                <w:b/>
                <w:sz w:val="22"/>
              </w:rPr>
            </w:pPr>
          </w:p>
          <w:p>
            <w:pPr>
              <w:pStyle w:val="TableParagraph"/>
              <w:spacing w:line="240" w:lineRule="exact"/>
              <w:ind w:left="108" w:right="88"/>
              <w:jc w:val="both"/>
              <w:rPr>
                <w:sz w:val="21"/>
              </w:rPr>
            </w:pPr>
            <w:r>
              <w:rPr>
                <w:sz w:val="21"/>
              </w:rPr>
              <w:t>根据我们所执行的审计工作，我们发现贵集团的产品销售收入确认与贵集团的会计政策一致。</w:t>
            </w:r>
          </w:p>
        </w:tc>
      </w:tr>
    </w:tbl>
    <w:p>
      <w:pPr>
        <w:pStyle w:val="BodyText"/>
        <w:spacing w:before="11"/>
        <w:ind w:left="0"/>
        <w:rPr>
          <w:rFonts w:ascii="Times New Roman"/>
          <w:b/>
          <w:sz w:val="20"/>
        </w:rPr>
      </w:pPr>
    </w:p>
    <w:p>
      <w:pPr>
        <w:pStyle w:val="BodyText"/>
        <w:ind w:left="1158"/>
        <w:rPr>
          <w:rFonts w:ascii="Times New Roman" w:eastAsia="Times New Roman"/>
          <w:b/>
        </w:rPr>
      </w:pPr>
      <w:r>
        <w:rPr>
          <w:spacing w:val="-12"/>
        </w:rPr>
        <w:t>三、 关键审计事项 </w:t>
      </w:r>
      <w:r>
        <w:rPr>
          <w:rFonts w:ascii="Times New Roman" w:eastAsia="Times New Roman"/>
          <w:b/>
        </w:rPr>
        <w:t>(</w:t>
      </w:r>
      <w:r>
        <w:rPr/>
        <w:t>续</w:t>
      </w:r>
      <w:r>
        <w:rPr>
          <w:rFonts w:ascii="Times New Roman" w:eastAsia="Times New Roman"/>
          <w:b/>
        </w:rPr>
        <w:t>)</w:t>
      </w:r>
    </w:p>
    <w:p>
      <w:pPr>
        <w:pStyle w:val="BodyText"/>
        <w:spacing w:before="2"/>
        <w:ind w:left="0"/>
        <w:rPr>
          <w:rFonts w:ascii="Times New Roman"/>
          <w:b/>
        </w:rPr>
      </w:pPr>
    </w:p>
    <w:tbl>
      <w:tblPr>
        <w:tblW w:w="0" w:type="auto"/>
        <w:jc w:val="left"/>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9"/>
        <w:gridCol w:w="4403"/>
      </w:tblGrid>
      <w:tr>
        <w:trPr>
          <w:trHeight w:val="273" w:hRule="atLeast"/>
        </w:trPr>
        <w:tc>
          <w:tcPr>
            <w:tcW w:w="3829" w:type="dxa"/>
          </w:tcPr>
          <w:p>
            <w:pPr>
              <w:pStyle w:val="TableParagraph"/>
              <w:spacing w:line="250" w:lineRule="exact" w:before="3"/>
              <w:ind w:left="107"/>
              <w:rPr>
                <w:sz w:val="21"/>
              </w:rPr>
            </w:pPr>
            <w:r>
              <w:rPr>
                <w:sz w:val="21"/>
              </w:rPr>
              <w:t>关键审计事项</w:t>
            </w:r>
          </w:p>
        </w:tc>
        <w:tc>
          <w:tcPr>
            <w:tcW w:w="4403" w:type="dxa"/>
          </w:tcPr>
          <w:p>
            <w:pPr>
              <w:pStyle w:val="TableParagraph"/>
              <w:spacing w:line="250" w:lineRule="exact" w:before="3"/>
              <w:ind w:left="107"/>
              <w:rPr>
                <w:sz w:val="21"/>
              </w:rPr>
            </w:pPr>
            <w:r>
              <w:rPr>
                <w:sz w:val="21"/>
              </w:rPr>
              <w:t>我们在审计中如何应对关键审计事项</w:t>
            </w:r>
          </w:p>
        </w:tc>
      </w:tr>
      <w:tr>
        <w:trPr>
          <w:trHeight w:val="2358" w:hRule="atLeast"/>
        </w:trPr>
        <w:tc>
          <w:tcPr>
            <w:tcW w:w="3829" w:type="dxa"/>
          </w:tcPr>
          <w:p>
            <w:pPr>
              <w:pStyle w:val="TableParagraph"/>
              <w:spacing w:before="1"/>
              <w:rPr>
                <w:rFonts w:ascii="Times New Roman"/>
                <w:b/>
                <w:sz w:val="21"/>
              </w:rPr>
            </w:pPr>
          </w:p>
          <w:p>
            <w:pPr>
              <w:pStyle w:val="TableParagraph"/>
              <w:spacing w:before="1"/>
              <w:ind w:left="107"/>
              <w:rPr>
                <w:sz w:val="21"/>
              </w:rPr>
            </w:pPr>
            <w:r>
              <w:rPr>
                <w:rFonts w:ascii="Times New Roman" w:eastAsia="Times New Roman"/>
                <w:b/>
                <w:sz w:val="21"/>
              </w:rPr>
              <w:t>(</w:t>
            </w:r>
            <w:r>
              <w:rPr>
                <w:sz w:val="21"/>
              </w:rPr>
              <w:t>二</w:t>
            </w:r>
            <w:r>
              <w:rPr>
                <w:rFonts w:ascii="Times New Roman" w:eastAsia="Times New Roman"/>
                <w:b/>
                <w:sz w:val="21"/>
              </w:rPr>
              <w:t>)</w:t>
            </w:r>
            <w:r>
              <w:rPr>
                <w:sz w:val="21"/>
              </w:rPr>
              <w:t>存货跌价准备的计提</w:t>
            </w:r>
          </w:p>
          <w:p>
            <w:pPr>
              <w:pStyle w:val="TableParagraph"/>
              <w:spacing w:before="2"/>
              <w:rPr>
                <w:rFonts w:ascii="Times New Roman"/>
                <w:b/>
                <w:sz w:val="21"/>
              </w:rPr>
            </w:pPr>
          </w:p>
          <w:p>
            <w:pPr>
              <w:pStyle w:val="TableParagraph"/>
              <w:spacing w:before="1"/>
              <w:ind w:left="107"/>
              <w:rPr>
                <w:rFonts w:ascii="Times New Roman" w:eastAsia="Times New Roman"/>
                <w:sz w:val="21"/>
              </w:rPr>
            </w:pPr>
            <w:r>
              <w:rPr>
                <w:spacing w:val="7"/>
                <w:sz w:val="21"/>
              </w:rPr>
              <w:t>财务报表附注三</w:t>
            </w:r>
            <w:r>
              <w:rPr>
                <w:rFonts w:ascii="Times New Roman" w:eastAsia="Times New Roman"/>
                <w:sz w:val="21"/>
              </w:rPr>
              <w:t>(9)</w:t>
            </w:r>
            <w:r>
              <w:rPr>
                <w:spacing w:val="5"/>
                <w:sz w:val="21"/>
              </w:rPr>
              <w:t>、附注三</w:t>
            </w:r>
            <w:r>
              <w:rPr>
                <w:rFonts w:ascii="Times New Roman" w:eastAsia="Times New Roman"/>
                <w:sz w:val="21"/>
              </w:rPr>
              <w:t>(27)(b)(iii)</w:t>
            </w:r>
          </w:p>
          <w:p>
            <w:pPr>
              <w:pStyle w:val="TableParagraph"/>
              <w:spacing w:before="2"/>
              <w:ind w:left="107"/>
              <w:rPr>
                <w:rFonts w:ascii="Times New Roman" w:eastAsia="Times New Roman"/>
                <w:sz w:val="21"/>
              </w:rPr>
            </w:pPr>
            <w:r>
              <w:rPr>
                <w:sz w:val="21"/>
              </w:rPr>
              <w:t>及附注五</w:t>
            </w:r>
            <w:r>
              <w:rPr>
                <w:rFonts w:ascii="Times New Roman" w:eastAsia="Times New Roman"/>
                <w:sz w:val="21"/>
              </w:rPr>
              <w:t>(6)</w:t>
            </w:r>
          </w:p>
          <w:p>
            <w:pPr>
              <w:pStyle w:val="TableParagraph"/>
              <w:spacing w:before="1"/>
              <w:rPr>
                <w:rFonts w:ascii="Times New Roman"/>
                <w:b/>
                <w:sz w:val="20"/>
              </w:rPr>
            </w:pPr>
          </w:p>
          <w:p>
            <w:pPr>
              <w:pStyle w:val="TableParagraph"/>
              <w:spacing w:line="270" w:lineRule="atLeast"/>
              <w:ind w:left="107" w:right="93"/>
              <w:jc w:val="both"/>
              <w:rPr>
                <w:sz w:val="21"/>
              </w:rPr>
            </w:pPr>
            <w:r>
              <w:rPr>
                <w:spacing w:val="-31"/>
                <w:sz w:val="21"/>
              </w:rPr>
              <w:t>于 </w:t>
            </w:r>
            <w:r>
              <w:rPr>
                <w:rFonts w:ascii="Times New Roman" w:eastAsia="Times New Roman"/>
                <w:spacing w:val="-1"/>
                <w:sz w:val="21"/>
              </w:rPr>
              <w:t>2022</w:t>
            </w:r>
            <w:r>
              <w:rPr>
                <w:rFonts w:ascii="Times New Roman" w:eastAsia="Times New Roman"/>
                <w:spacing w:val="-14"/>
                <w:sz w:val="21"/>
              </w:rPr>
              <w:t> </w:t>
            </w:r>
            <w:r>
              <w:rPr>
                <w:spacing w:val="-30"/>
                <w:sz w:val="21"/>
              </w:rPr>
              <w:t>年 </w:t>
            </w:r>
            <w:r>
              <w:rPr>
                <w:rFonts w:ascii="Times New Roman" w:eastAsia="Times New Roman"/>
                <w:sz w:val="21"/>
              </w:rPr>
              <w:t>12</w:t>
            </w:r>
            <w:r>
              <w:rPr>
                <w:rFonts w:ascii="Times New Roman" w:eastAsia="Times New Roman"/>
                <w:spacing w:val="-14"/>
                <w:sz w:val="21"/>
              </w:rPr>
              <w:t> </w:t>
            </w:r>
            <w:r>
              <w:rPr>
                <w:spacing w:val="-30"/>
                <w:sz w:val="21"/>
              </w:rPr>
              <w:t>月 </w:t>
            </w:r>
            <w:r>
              <w:rPr>
                <w:rFonts w:ascii="Times New Roman" w:eastAsia="Times New Roman"/>
                <w:sz w:val="21"/>
              </w:rPr>
              <w:t>31</w:t>
            </w:r>
            <w:r>
              <w:rPr>
                <w:rFonts w:ascii="Times New Roman" w:eastAsia="Times New Roman"/>
                <w:spacing w:val="-13"/>
                <w:sz w:val="21"/>
              </w:rPr>
              <w:t> </w:t>
            </w:r>
            <w:r>
              <w:rPr>
                <w:sz w:val="21"/>
              </w:rPr>
              <w:t>日，贵集团存货账面余额及计提的存货跌价准备余额分别为</w:t>
            </w:r>
            <w:r>
              <w:rPr>
                <w:spacing w:val="-3"/>
                <w:sz w:val="21"/>
              </w:rPr>
              <w:t>人民币 </w:t>
            </w:r>
            <w:r>
              <w:rPr>
                <w:rFonts w:ascii="Times New Roman" w:eastAsia="Times New Roman"/>
                <w:sz w:val="21"/>
              </w:rPr>
              <w:t>78,632,489</w:t>
            </w:r>
            <w:r>
              <w:rPr>
                <w:rFonts w:ascii="Times New Roman" w:eastAsia="Times New Roman"/>
                <w:spacing w:val="28"/>
                <w:sz w:val="21"/>
              </w:rPr>
              <w:t> </w:t>
            </w:r>
            <w:r>
              <w:rPr>
                <w:spacing w:val="-2"/>
                <w:sz w:val="21"/>
              </w:rPr>
              <w:t>千元和 </w:t>
            </w:r>
            <w:r>
              <w:rPr>
                <w:rFonts w:ascii="Times New Roman" w:eastAsia="Times New Roman"/>
                <w:sz w:val="21"/>
              </w:rPr>
              <w:t>1,310,735</w:t>
            </w:r>
            <w:r>
              <w:rPr>
                <w:rFonts w:ascii="Times New Roman" w:eastAsia="Times New Roman"/>
                <w:spacing w:val="24"/>
                <w:sz w:val="21"/>
              </w:rPr>
              <w:t> </w:t>
            </w:r>
            <w:r>
              <w:rPr>
                <w:sz w:val="21"/>
              </w:rPr>
              <w:t>千</w:t>
            </w:r>
          </w:p>
        </w:tc>
        <w:tc>
          <w:tcPr>
            <w:tcW w:w="4403" w:type="dxa"/>
          </w:tcPr>
          <w:p>
            <w:pPr>
              <w:pStyle w:val="TableParagraph"/>
              <w:rPr>
                <w:rFonts w:ascii="Times New Roman"/>
                <w:b/>
                <w:sz w:val="20"/>
              </w:rPr>
            </w:pPr>
          </w:p>
          <w:p>
            <w:pPr>
              <w:pStyle w:val="TableParagraph"/>
              <w:rPr>
                <w:rFonts w:ascii="Times New Roman"/>
                <w:b/>
                <w:sz w:val="20"/>
              </w:rPr>
            </w:pPr>
          </w:p>
          <w:p>
            <w:pPr>
              <w:pStyle w:val="TableParagraph"/>
              <w:spacing w:before="1"/>
              <w:rPr>
                <w:rFonts w:ascii="Times New Roman"/>
                <w:b/>
                <w:sz w:val="23"/>
              </w:rPr>
            </w:pPr>
          </w:p>
          <w:p>
            <w:pPr>
              <w:pStyle w:val="TableParagraph"/>
              <w:spacing w:line="242" w:lineRule="auto"/>
              <w:ind w:left="107" w:right="94"/>
              <w:jc w:val="both"/>
              <w:rPr>
                <w:sz w:val="21"/>
              </w:rPr>
            </w:pPr>
            <w:r>
              <w:rPr>
                <w:sz w:val="21"/>
              </w:rPr>
              <w:t>我们了解贵集团与存货跌价准备计提有关的内部控制和评估过程。我们通过考虑与存货跌价准备有关的会计估计不确定性程度和其他固有风险因素的等级，以评估导致重大错报的固有风险。</w:t>
            </w:r>
          </w:p>
        </w:tc>
      </w:tr>
    </w:tbl>
    <w:p>
      <w:pPr>
        <w:spacing w:after="0" w:line="242" w:lineRule="auto"/>
        <w:jc w:val="both"/>
        <w:rPr>
          <w:sz w:val="21"/>
        </w:rPr>
        <w:sectPr>
          <w:pgSz w:w="11910" w:h="16840"/>
          <w:pgMar w:header="882" w:footer="1172" w:top="1120" w:bottom="1380" w:left="1480" w:right="0"/>
        </w:sectPr>
      </w:pPr>
    </w:p>
    <w:p>
      <w:pPr>
        <w:pStyle w:val="BodyText"/>
        <w:ind w:left="0"/>
        <w:rPr>
          <w:rFonts w:ascii="Times New Roman"/>
          <w:b/>
          <w:sz w:val="20"/>
        </w:rPr>
      </w:pPr>
    </w:p>
    <w:p>
      <w:pPr>
        <w:pStyle w:val="BodyText"/>
        <w:spacing w:before="7"/>
        <w:ind w:left="0"/>
        <w:rPr>
          <w:rFonts w:ascii="Times New Roman"/>
          <w:b/>
          <w:sz w:val="14"/>
        </w:rPr>
      </w:pPr>
    </w:p>
    <w:tbl>
      <w:tblPr>
        <w:tblW w:w="0" w:type="auto"/>
        <w:jc w:val="left"/>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9"/>
        <w:gridCol w:w="4403"/>
      </w:tblGrid>
      <w:tr>
        <w:trPr>
          <w:trHeight w:val="6929" w:hRule="atLeast"/>
        </w:trPr>
        <w:tc>
          <w:tcPr>
            <w:tcW w:w="3829" w:type="dxa"/>
          </w:tcPr>
          <w:p>
            <w:pPr>
              <w:pStyle w:val="TableParagraph"/>
              <w:spacing w:before="3"/>
              <w:ind w:left="107"/>
              <w:rPr>
                <w:sz w:val="21"/>
              </w:rPr>
            </w:pPr>
            <w:r>
              <w:rPr>
                <w:sz w:val="21"/>
              </w:rPr>
              <w:t>元。</w:t>
            </w:r>
          </w:p>
          <w:p>
            <w:pPr>
              <w:pStyle w:val="TableParagraph"/>
              <w:spacing w:before="3"/>
              <w:rPr>
                <w:rFonts w:ascii="Times New Roman"/>
                <w:b/>
                <w:sz w:val="21"/>
              </w:rPr>
            </w:pPr>
          </w:p>
          <w:p>
            <w:pPr>
              <w:pStyle w:val="TableParagraph"/>
              <w:spacing w:line="242" w:lineRule="auto" w:before="1"/>
              <w:ind w:left="107" w:right="99"/>
              <w:jc w:val="both"/>
              <w:rPr>
                <w:sz w:val="21"/>
              </w:rPr>
            </w:pPr>
            <w:r>
              <w:rPr>
                <w:sz w:val="21"/>
              </w:rPr>
              <w:t>贵集团对存货按成本与可变现净值孰低计量，包括对于超过一定期限库龄的存货以及过时或毁损的存货品类估计其可变现净值计提存货跌价准备。</w:t>
            </w:r>
          </w:p>
          <w:p>
            <w:pPr>
              <w:pStyle w:val="TableParagraph"/>
              <w:rPr>
                <w:rFonts w:ascii="Times New Roman"/>
                <w:b/>
                <w:sz w:val="21"/>
              </w:rPr>
            </w:pPr>
          </w:p>
          <w:p>
            <w:pPr>
              <w:pStyle w:val="TableParagraph"/>
              <w:spacing w:line="242" w:lineRule="auto" w:before="1"/>
              <w:ind w:left="107" w:right="96"/>
              <w:jc w:val="both"/>
              <w:rPr>
                <w:sz w:val="21"/>
              </w:rPr>
            </w:pPr>
            <w:r>
              <w:rPr>
                <w:sz w:val="21"/>
              </w:rPr>
              <w:t>由于贵集团存货金额重大、品类众多、存在过时或毁损的可能，且存货可变现净值的确定通常会涉及管理层的主观估计，具有一定程度的不确定性。因此我们将存货跌价准备的计提作为关键审计事项。</w:t>
            </w:r>
          </w:p>
        </w:tc>
        <w:tc>
          <w:tcPr>
            <w:tcW w:w="4403" w:type="dxa"/>
          </w:tcPr>
          <w:p>
            <w:pPr>
              <w:pStyle w:val="TableParagraph"/>
              <w:spacing w:line="242" w:lineRule="auto" w:before="3"/>
              <w:ind w:left="107" w:right="95"/>
              <w:jc w:val="both"/>
              <w:rPr>
                <w:sz w:val="21"/>
              </w:rPr>
            </w:pPr>
            <w:r>
              <w:rPr>
                <w:sz w:val="21"/>
              </w:rPr>
              <w:t>我们就本年度存货的实际报废及损失结果与以前年度计提的存货跌价准备相比较，以判断存货跌价准备政策是否存在管理层偏见，</w:t>
            </w:r>
            <w:r>
              <w:rPr>
                <w:spacing w:val="1"/>
                <w:sz w:val="21"/>
              </w:rPr>
              <w:t> </w:t>
            </w:r>
            <w:r>
              <w:rPr>
                <w:sz w:val="21"/>
              </w:rPr>
              <w:t>以及评价管理层评估过程的有效性。</w:t>
            </w:r>
          </w:p>
          <w:p>
            <w:pPr>
              <w:pStyle w:val="TableParagraph"/>
              <w:spacing w:before="1"/>
              <w:rPr>
                <w:rFonts w:ascii="Times New Roman"/>
                <w:b/>
                <w:sz w:val="21"/>
              </w:rPr>
            </w:pPr>
          </w:p>
          <w:p>
            <w:pPr>
              <w:pStyle w:val="TableParagraph"/>
              <w:spacing w:line="242" w:lineRule="auto" w:before="1"/>
              <w:ind w:left="107" w:right="94"/>
              <w:jc w:val="both"/>
              <w:rPr>
                <w:sz w:val="21"/>
              </w:rPr>
            </w:pPr>
            <w:r>
              <w:rPr>
                <w:sz w:val="21"/>
              </w:rPr>
              <w:t>我们评估和测试与存货跌价准备计提有关的关键控制，包括管理层用以估计存货跌价准备的报表系统一般控制、报表逻辑及报表自动计算。</w:t>
            </w:r>
          </w:p>
          <w:p>
            <w:pPr>
              <w:pStyle w:val="TableParagraph"/>
              <w:spacing w:before="3"/>
              <w:rPr>
                <w:rFonts w:ascii="Times New Roman"/>
                <w:b/>
                <w:sz w:val="21"/>
              </w:rPr>
            </w:pPr>
          </w:p>
          <w:p>
            <w:pPr>
              <w:pStyle w:val="TableParagraph"/>
              <w:spacing w:line="242" w:lineRule="auto"/>
              <w:ind w:left="107" w:right="82"/>
              <w:jc w:val="both"/>
              <w:rPr>
                <w:sz w:val="21"/>
              </w:rPr>
            </w:pPr>
            <w:r>
              <w:rPr>
                <w:sz w:val="21"/>
              </w:rPr>
              <w:t>我们在存货监盘过程中关注滞销、过量、陈旧或者损毁的存货项目，并在存在此类存货项目时，将相关存货清单与管理层存货跌价准备报表进行核对。</w:t>
            </w:r>
          </w:p>
          <w:p>
            <w:pPr>
              <w:pStyle w:val="TableParagraph"/>
              <w:spacing w:before="2"/>
              <w:rPr>
                <w:rFonts w:ascii="Times New Roman"/>
                <w:b/>
                <w:sz w:val="21"/>
              </w:rPr>
            </w:pPr>
          </w:p>
          <w:p>
            <w:pPr>
              <w:pStyle w:val="TableParagraph"/>
              <w:spacing w:line="242" w:lineRule="auto"/>
              <w:ind w:left="107" w:right="95"/>
              <w:jc w:val="both"/>
              <w:rPr>
                <w:sz w:val="21"/>
              </w:rPr>
            </w:pPr>
            <w:r>
              <w:rPr>
                <w:sz w:val="21"/>
              </w:rPr>
              <w:t>我们通过抽样测试的方式，将存货跌价准备报表系统中使用的可变现净值核对至最近销售情况和最近销售价格，以确定可变现净值估计的合理性。</w:t>
            </w:r>
          </w:p>
          <w:p>
            <w:pPr>
              <w:pStyle w:val="TableParagraph"/>
              <w:spacing w:before="3"/>
              <w:rPr>
                <w:rFonts w:ascii="Times New Roman"/>
                <w:b/>
                <w:sz w:val="21"/>
              </w:rPr>
            </w:pPr>
          </w:p>
          <w:p>
            <w:pPr>
              <w:pStyle w:val="TableParagraph"/>
              <w:spacing w:line="242" w:lineRule="auto"/>
              <w:ind w:left="107" w:right="95"/>
              <w:rPr>
                <w:sz w:val="21"/>
              </w:rPr>
            </w:pPr>
            <w:r>
              <w:rPr>
                <w:sz w:val="21"/>
              </w:rPr>
              <w:t>我们复核由可变现净值而计算的存货跌价准备的准确性。</w:t>
            </w:r>
          </w:p>
          <w:p>
            <w:pPr>
              <w:pStyle w:val="TableParagraph"/>
              <w:rPr>
                <w:rFonts w:ascii="Times New Roman"/>
                <w:b/>
                <w:sz w:val="21"/>
              </w:rPr>
            </w:pPr>
          </w:p>
          <w:p>
            <w:pPr>
              <w:pStyle w:val="TableParagraph"/>
              <w:ind w:left="107"/>
              <w:rPr>
                <w:sz w:val="21"/>
              </w:rPr>
            </w:pPr>
            <w:r>
              <w:rPr>
                <w:sz w:val="21"/>
              </w:rPr>
              <w:t>根据我们所执行的审计工作，我们发现贵集</w:t>
            </w:r>
          </w:p>
          <w:p>
            <w:pPr>
              <w:pStyle w:val="TableParagraph"/>
              <w:spacing w:line="270" w:lineRule="atLeast"/>
              <w:ind w:left="107" w:right="95"/>
              <w:rPr>
                <w:sz w:val="21"/>
              </w:rPr>
            </w:pPr>
            <w:r>
              <w:rPr>
                <w:sz w:val="21"/>
              </w:rPr>
              <w:t>团的存货跌价准备的计提可以被我们所获取的证据支持。</w:t>
            </w:r>
          </w:p>
        </w:tc>
      </w:tr>
    </w:tbl>
    <w:p>
      <w:pPr>
        <w:pStyle w:val="BodyText"/>
        <w:spacing w:before="9"/>
        <w:ind w:left="0"/>
        <w:rPr>
          <w:rFonts w:ascii="Times New Roman"/>
          <w:b/>
          <w:sz w:val="14"/>
        </w:rPr>
      </w:pPr>
    </w:p>
    <w:p>
      <w:pPr>
        <w:pStyle w:val="BodyText"/>
        <w:spacing w:before="71"/>
        <w:ind w:left="874"/>
        <w:jc w:val="both"/>
      </w:pPr>
      <w:r>
        <w:rPr>
          <w:spacing w:val="27"/>
        </w:rPr>
        <w:t>四、 其他信息</w:t>
      </w:r>
    </w:p>
    <w:p>
      <w:pPr>
        <w:pStyle w:val="BodyText"/>
        <w:spacing w:before="8"/>
        <w:ind w:left="0"/>
        <w:rPr>
          <w:sz w:val="14"/>
        </w:rPr>
      </w:pPr>
    </w:p>
    <w:p>
      <w:pPr>
        <w:pStyle w:val="BodyText"/>
        <w:spacing w:line="242" w:lineRule="auto"/>
        <w:ind w:right="1380" w:firstLine="566"/>
      </w:pPr>
      <w:r>
        <w:rPr>
          <w:spacing w:val="-1"/>
        </w:rPr>
        <w:t>贵公司管理层对其他信息负责。其他信息包括贵公司 </w:t>
      </w:r>
      <w:r>
        <w:rPr>
          <w:rFonts w:ascii="Times New Roman" w:eastAsia="Times New Roman"/>
        </w:rPr>
        <w:t>2022</w:t>
      </w:r>
      <w:r>
        <w:rPr>
          <w:rFonts w:ascii="Times New Roman" w:eastAsia="Times New Roman"/>
          <w:spacing w:val="20"/>
        </w:rPr>
        <w:t> </w:t>
      </w:r>
      <w:r>
        <w:rPr/>
        <w:t>年年度报告中涵盖的信息，但不包括财务报表和我们的审计报告。</w:t>
      </w:r>
    </w:p>
    <w:p>
      <w:pPr>
        <w:pStyle w:val="BodyText"/>
        <w:spacing w:before="10"/>
        <w:ind w:left="0"/>
        <w:rPr>
          <w:sz w:val="18"/>
        </w:rPr>
      </w:pPr>
    </w:p>
    <w:p>
      <w:pPr>
        <w:pStyle w:val="BodyText"/>
        <w:spacing w:line="244" w:lineRule="auto" w:before="1"/>
        <w:ind w:right="1393" w:firstLine="566"/>
      </w:pPr>
      <w:r>
        <w:rPr/>
        <w:t>我们对财务报表发表的审计意见不涵盖其他信息，我们也不对其他信息发表任何形式的鉴证结论。</w:t>
      </w:r>
    </w:p>
    <w:p>
      <w:pPr>
        <w:pStyle w:val="BodyText"/>
        <w:spacing w:before="7"/>
        <w:ind w:left="0"/>
        <w:rPr>
          <w:sz w:val="18"/>
        </w:rPr>
      </w:pPr>
    </w:p>
    <w:p>
      <w:pPr>
        <w:pStyle w:val="BodyText"/>
        <w:spacing w:line="242" w:lineRule="auto"/>
        <w:ind w:right="1392" w:firstLine="566"/>
        <w:jc w:val="both"/>
      </w:pPr>
      <w:r>
        <w:rPr/>
        <w:t>结合我们对财务报表的审计，我们的责任是阅读其他信息，在此过程中，考虑其他信息是否与财务报表或我们在审计过程中了解到的情况存在重大不一致或者似乎存在重大错报。基于我们已经执行的工作，如果我们确定其他信息存在重大错报，我们应当报告该事实。在这方面，我们无任何事项需要报告。</w:t>
      </w:r>
    </w:p>
    <w:p>
      <w:pPr>
        <w:pStyle w:val="BodyText"/>
        <w:spacing w:before="12"/>
        <w:ind w:left="0"/>
        <w:rPr>
          <w:sz w:val="18"/>
        </w:rPr>
      </w:pPr>
    </w:p>
    <w:p>
      <w:pPr>
        <w:pStyle w:val="BodyText"/>
        <w:ind w:left="874"/>
        <w:jc w:val="both"/>
      </w:pPr>
      <w:r>
        <w:rPr>
          <w:spacing w:val="5"/>
        </w:rPr>
        <w:t>五、 管理层和审计委员会对财务报表的责任</w:t>
      </w:r>
    </w:p>
    <w:p>
      <w:pPr>
        <w:pStyle w:val="BodyText"/>
        <w:spacing w:before="6"/>
        <w:ind w:left="0"/>
        <w:rPr>
          <w:sz w:val="14"/>
        </w:rPr>
      </w:pPr>
    </w:p>
    <w:p>
      <w:pPr>
        <w:pStyle w:val="BodyText"/>
        <w:spacing w:line="244" w:lineRule="auto"/>
        <w:ind w:right="1380" w:firstLine="566"/>
      </w:pPr>
      <w:r>
        <w:rPr/>
        <w:t>贵公司管理层负责按照企业会计准则的规定编制财务报表，使其实现公允反映</w:t>
      </w:r>
      <w:r>
        <w:rPr>
          <w:rFonts w:ascii="Times New Roman" w:eastAsia="Times New Roman"/>
        </w:rPr>
        <w:t>,</w:t>
      </w:r>
      <w:r>
        <w:rPr/>
        <w:t>并设计、执行和维护必要的内部控制，以使财务报表不存在由于舞弊或错误导致的重大错报。</w:t>
      </w:r>
    </w:p>
    <w:p>
      <w:pPr>
        <w:pStyle w:val="BodyText"/>
        <w:spacing w:before="7"/>
        <w:ind w:left="0"/>
        <w:rPr>
          <w:sz w:val="18"/>
        </w:rPr>
      </w:pPr>
    </w:p>
    <w:p>
      <w:pPr>
        <w:pStyle w:val="BodyText"/>
        <w:spacing w:line="242" w:lineRule="auto" w:before="1"/>
        <w:ind w:right="1384" w:firstLine="566"/>
        <w:jc w:val="both"/>
      </w:pPr>
      <w:r>
        <w:rPr/>
        <w:t>在编制财务报表时，管理层负责评估贵公司的持续经营能力，披露与持续经营相关的事项</w:t>
      </w:r>
      <w:r>
        <w:rPr>
          <w:rFonts w:ascii="Times New Roman" w:eastAsia="Times New Roman"/>
        </w:rPr>
        <w:t>(</w:t>
      </w:r>
      <w:r>
        <w:rPr/>
        <w:t>如适用</w:t>
      </w:r>
      <w:r>
        <w:rPr>
          <w:rFonts w:ascii="Times New Roman" w:eastAsia="Times New Roman"/>
        </w:rPr>
        <w:t>)</w:t>
      </w:r>
      <w:r>
        <w:rPr/>
        <w:t>，并运用持续经营假设，除非管理层计划清算贵公司、终止运营或别无其他现实的选择。</w:t>
      </w:r>
    </w:p>
    <w:p>
      <w:pPr>
        <w:pStyle w:val="BodyText"/>
        <w:spacing w:before="12"/>
        <w:ind w:left="0"/>
        <w:rPr>
          <w:sz w:val="18"/>
        </w:rPr>
      </w:pPr>
    </w:p>
    <w:p>
      <w:pPr>
        <w:pStyle w:val="BodyText"/>
        <w:spacing w:line="458" w:lineRule="auto"/>
        <w:ind w:left="874" w:right="5334" w:firstLine="9"/>
        <w:jc w:val="both"/>
      </w:pPr>
      <w:r>
        <w:rPr/>
        <w:t>审计委员会负责监督贵公司的财务报告过程。六、 注册会计师对财务报表审计的责任</w:t>
      </w:r>
    </w:p>
    <w:p>
      <w:pPr>
        <w:spacing w:after="0" w:line="458" w:lineRule="auto"/>
        <w:jc w:val="both"/>
        <w:sectPr>
          <w:pgSz w:w="11910" w:h="16840"/>
          <w:pgMar w:header="882" w:footer="1172" w:top="1120" w:bottom="1380" w:left="1480" w:right="0"/>
        </w:sectPr>
      </w:pPr>
    </w:p>
    <w:p>
      <w:pPr>
        <w:pStyle w:val="BodyText"/>
        <w:spacing w:before="7"/>
        <w:ind w:left="0"/>
        <w:rPr>
          <w:sz w:val="25"/>
        </w:rPr>
      </w:pPr>
    </w:p>
    <w:p>
      <w:pPr>
        <w:pStyle w:val="BodyText"/>
        <w:spacing w:line="242" w:lineRule="auto" w:before="72"/>
        <w:ind w:right="1184" w:firstLine="566"/>
      </w:pPr>
      <w:r>
        <w:rPr/>
        <w:t>我们的目标是对财务报表整体是否不存在由于舞弊或错误导致的重大错报获取合理保证，</w:t>
      </w:r>
      <w:r>
        <w:rPr>
          <w:spacing w:val="1"/>
        </w:rPr>
        <w:t> </w:t>
      </w:r>
      <w:r>
        <w:rPr/>
        <w:t>并出具包含审计意见的审计报告。合理保证是高水平的保证，但并不能保证按照审计准则执行</w:t>
      </w:r>
      <w:r>
        <w:rPr>
          <w:spacing w:val="4"/>
        </w:rPr>
        <w:t> </w:t>
      </w:r>
      <w:r>
        <w:rPr/>
        <w:t>的审计在某一重大错报存在时总能发现。错报可能由于舞弊或错误导致，如果合理预期错报单</w:t>
      </w:r>
      <w:r>
        <w:rPr>
          <w:spacing w:val="4"/>
        </w:rPr>
        <w:t> </w:t>
      </w:r>
      <w:r>
        <w:rPr/>
        <w:t>独或汇总起来可能影响财务报表使用者依据财务报表作出的经济决策，则通常认为错报是重大</w:t>
      </w:r>
      <w:r>
        <w:rPr>
          <w:spacing w:val="4"/>
        </w:rPr>
        <w:t> </w:t>
      </w:r>
      <w:r>
        <w:rPr/>
        <w:t>的。</w:t>
      </w:r>
    </w:p>
    <w:p>
      <w:pPr>
        <w:pStyle w:val="BodyText"/>
        <w:spacing w:before="1"/>
        <w:ind w:left="0"/>
        <w:rPr>
          <w:sz w:val="19"/>
        </w:rPr>
      </w:pPr>
    </w:p>
    <w:p>
      <w:pPr>
        <w:pStyle w:val="BodyText"/>
        <w:spacing w:line="244" w:lineRule="auto"/>
        <w:ind w:right="1393" w:firstLine="566"/>
      </w:pPr>
      <w:r>
        <w:rPr/>
        <w:t>在按照审计准则执行审计工作的过程中，我们运用职业判断，并保持职业怀疑。同时，</w:t>
      </w:r>
      <w:r>
        <w:rPr>
          <w:spacing w:val="1"/>
        </w:rPr>
        <w:t> </w:t>
      </w:r>
      <w:r>
        <w:rPr/>
        <w:t>我们也执行以下工作：</w:t>
      </w:r>
    </w:p>
    <w:p>
      <w:pPr>
        <w:pStyle w:val="BodyText"/>
        <w:spacing w:before="8"/>
        <w:ind w:left="0"/>
        <w:rPr>
          <w:sz w:val="18"/>
        </w:rPr>
      </w:pPr>
    </w:p>
    <w:p>
      <w:pPr>
        <w:pStyle w:val="BodyText"/>
        <w:tabs>
          <w:tab w:pos="1577" w:val="left" w:leader="none"/>
        </w:tabs>
        <w:ind w:left="884"/>
        <w:rPr>
          <w:rFonts w:ascii="Times New Roman" w:eastAsia="Times New Roman"/>
          <w:b/>
        </w:rPr>
      </w:pPr>
      <w:r>
        <w:rPr/>
        <w:t>六、</w:t>
        <w:tab/>
        <w:t>注册会计师对财务报表审计的责任</w:t>
      </w:r>
      <w:r>
        <w:rPr>
          <w:rFonts w:ascii="Times New Roman" w:eastAsia="Times New Roman"/>
          <w:b/>
        </w:rPr>
        <w:t>(</w:t>
      </w:r>
      <w:r>
        <w:rPr/>
        <w:t>续</w:t>
      </w:r>
      <w:r>
        <w:rPr>
          <w:rFonts w:ascii="Times New Roman" w:eastAsia="Times New Roman"/>
          <w:b/>
        </w:rPr>
        <w:t>)</w:t>
      </w:r>
    </w:p>
    <w:p>
      <w:pPr>
        <w:pStyle w:val="BodyText"/>
        <w:spacing w:before="3"/>
        <w:ind w:left="0"/>
        <w:rPr>
          <w:rFonts w:ascii="Times New Roman"/>
          <w:b/>
        </w:rPr>
      </w:pPr>
    </w:p>
    <w:p>
      <w:pPr>
        <w:pStyle w:val="BodyText"/>
        <w:spacing w:line="242" w:lineRule="auto"/>
        <w:ind w:right="1383" w:firstLine="511"/>
        <w:jc w:val="both"/>
      </w:pPr>
      <w:r>
        <w:rPr>
          <w:rFonts w:ascii="Times New Roman" w:eastAsia="Times New Roman"/>
        </w:rPr>
        <w:t>(</w:t>
      </w:r>
      <w:r>
        <w:rPr/>
        <w:t>一</w:t>
      </w:r>
      <w:r>
        <w:rPr>
          <w:rFonts w:ascii="Times New Roman" w:eastAsia="Times New Roman"/>
          <w:spacing w:val="13"/>
        </w:rPr>
        <w:t>) </w:t>
      </w:r>
      <w:r>
        <w:rPr/>
        <w:t>识别和评估由于舞弊或错误导致的财务报表重大错报风险；设计和实施审计程序以应对这些风险，并获取充分、适当的审计证据，作为发表审计意见的基础。由于舞弊可能涉及串通、伪造、故意遗漏、虚假陈述或凌驾于内部控制之上，未能发现由于舞弊导致的重大错报的风险高于未能发现由于错误导致的重大错报的风险。</w:t>
      </w:r>
    </w:p>
    <w:p>
      <w:pPr>
        <w:pStyle w:val="BodyText"/>
        <w:spacing w:before="2"/>
        <w:ind w:left="0"/>
        <w:rPr>
          <w:sz w:val="19"/>
        </w:rPr>
      </w:pPr>
    </w:p>
    <w:p>
      <w:pPr>
        <w:pStyle w:val="BodyText"/>
        <w:ind w:left="1273"/>
      </w:pPr>
      <w:r>
        <w:rPr>
          <w:rFonts w:ascii="Times New Roman" w:eastAsia="Times New Roman"/>
        </w:rPr>
        <w:t>(</w:t>
      </w:r>
      <w:r>
        <w:rPr/>
        <w:t>二</w:t>
      </w:r>
      <w:r>
        <w:rPr>
          <w:rFonts w:ascii="Times New Roman" w:eastAsia="Times New Roman"/>
          <w:spacing w:val="-3"/>
        </w:rPr>
        <w:t>) </w:t>
      </w:r>
      <w:r>
        <w:rPr/>
        <w:t>了解与审计相关的内部控制，以设计恰当的审计程序。</w:t>
      </w:r>
    </w:p>
    <w:p>
      <w:pPr>
        <w:pStyle w:val="BodyText"/>
        <w:spacing w:before="1"/>
        <w:ind w:left="0"/>
        <w:rPr>
          <w:sz w:val="19"/>
        </w:rPr>
      </w:pPr>
    </w:p>
    <w:p>
      <w:pPr>
        <w:pStyle w:val="BodyText"/>
        <w:ind w:left="829"/>
      </w:pPr>
      <w:r>
        <w:rPr>
          <w:rFonts w:ascii="Times New Roman" w:eastAsia="Times New Roman"/>
        </w:rPr>
        <w:t>(</w:t>
      </w:r>
      <w:r>
        <w:rPr/>
        <w:t>三</w:t>
      </w:r>
      <w:r>
        <w:rPr>
          <w:rFonts w:ascii="Times New Roman" w:eastAsia="Times New Roman"/>
          <w:spacing w:val="-3"/>
        </w:rPr>
        <w:t>) </w:t>
      </w:r>
      <w:r>
        <w:rPr/>
        <w:t>评价管理层选用会计政策的恰当性和作出会计估计及相关披露的合理性。</w:t>
      </w:r>
    </w:p>
    <w:p>
      <w:pPr>
        <w:pStyle w:val="BodyText"/>
        <w:spacing w:before="1"/>
        <w:ind w:left="0"/>
        <w:rPr>
          <w:sz w:val="19"/>
        </w:rPr>
      </w:pPr>
    </w:p>
    <w:p>
      <w:pPr>
        <w:pStyle w:val="BodyText"/>
        <w:spacing w:line="242" w:lineRule="auto"/>
        <w:ind w:right="1383" w:firstLine="566"/>
        <w:jc w:val="both"/>
      </w:pPr>
      <w:r>
        <w:rPr>
          <w:rFonts w:ascii="Times New Roman" w:eastAsia="Times New Roman"/>
        </w:rPr>
        <w:t>(</w:t>
      </w:r>
      <w:r>
        <w:rPr/>
        <w:t>四</w:t>
      </w:r>
      <w:r>
        <w:rPr>
          <w:rFonts w:ascii="Times New Roman" w:eastAsia="Times New Roman"/>
          <w:spacing w:val="18"/>
        </w:rPr>
        <w:t>) </w:t>
      </w:r>
      <w:r>
        <w:rPr/>
        <w:t>对管理层使用持续经营假设的恰当性得出结论。同时，根据获取的审计证据，就可能导致对贵公司持续经营能力产生重大疑虑的事项或情况是否存在重大不确定性得出结论。如果我们得出结论认为存在重大不确定性，审计准则要求我们在审计报告中提请报表使用者注意财务报表中的相关披露；如果披露不充分，我们应当发表非无保留意见。我们的结论基于截至审计报告日可获得的信息。然而，未来的事项或情况可能导致贵公司不能持续经营。</w:t>
      </w:r>
    </w:p>
    <w:p>
      <w:pPr>
        <w:pStyle w:val="BodyText"/>
        <w:spacing w:before="1"/>
        <w:ind w:left="0"/>
        <w:rPr>
          <w:sz w:val="19"/>
        </w:rPr>
      </w:pPr>
    </w:p>
    <w:p>
      <w:pPr>
        <w:pStyle w:val="BodyText"/>
        <w:spacing w:line="242" w:lineRule="auto"/>
        <w:ind w:right="1385" w:firstLine="511"/>
        <w:jc w:val="both"/>
      </w:pPr>
      <w:r>
        <w:rPr>
          <w:rFonts w:ascii="Times New Roman" w:eastAsia="Times New Roman"/>
        </w:rPr>
        <w:t>(</w:t>
      </w:r>
      <w:r>
        <w:rPr/>
        <w:t>五</w:t>
      </w:r>
      <w:r>
        <w:rPr>
          <w:rFonts w:ascii="Times New Roman" w:eastAsia="Times New Roman"/>
          <w:spacing w:val="11"/>
        </w:rPr>
        <w:t>) </w:t>
      </w:r>
      <w:r>
        <w:rPr/>
        <w:t>评价财务报表的总体列报</w:t>
      </w:r>
      <w:r>
        <w:rPr>
          <w:rFonts w:ascii="Times New Roman" w:eastAsia="Times New Roman"/>
        </w:rPr>
        <w:t>(</w:t>
      </w:r>
      <w:r>
        <w:rPr/>
        <w:t>包括披露</w:t>
      </w:r>
      <w:r>
        <w:rPr>
          <w:rFonts w:ascii="Times New Roman" w:eastAsia="Times New Roman"/>
        </w:rPr>
        <w:t>)</w:t>
      </w:r>
      <w:r>
        <w:rPr/>
        <w:t>、结构和内容，并评价财务报表是否公允反映相关交易和事项。</w:t>
      </w:r>
    </w:p>
    <w:p>
      <w:pPr>
        <w:pStyle w:val="BodyText"/>
        <w:spacing w:before="11"/>
        <w:ind w:left="0"/>
        <w:rPr>
          <w:sz w:val="18"/>
        </w:rPr>
      </w:pPr>
    </w:p>
    <w:p>
      <w:pPr>
        <w:pStyle w:val="BodyText"/>
        <w:spacing w:line="244" w:lineRule="auto" w:before="1"/>
        <w:ind w:right="1383" w:firstLine="511"/>
        <w:jc w:val="both"/>
      </w:pPr>
      <w:r>
        <w:rPr>
          <w:rFonts w:ascii="Times New Roman" w:eastAsia="Times New Roman"/>
        </w:rPr>
        <w:t>(</w:t>
      </w:r>
      <w:r>
        <w:rPr/>
        <w:t>六</w:t>
      </w:r>
      <w:r>
        <w:rPr>
          <w:rFonts w:ascii="Times New Roman" w:eastAsia="Times New Roman"/>
          <w:spacing w:val="13"/>
        </w:rPr>
        <w:t>) </w:t>
      </w:r>
      <w:r>
        <w:rPr/>
        <w:t>就贵公司中实体或业务活动的财务信息获取充分、适当的审计证据，以对合并财务报表发表审计意见。我们负责指导、监督和执行集团审计，并对审计意见承担全部责任。</w:t>
      </w:r>
    </w:p>
    <w:p>
      <w:pPr>
        <w:pStyle w:val="BodyText"/>
        <w:spacing w:before="7"/>
        <w:ind w:left="0"/>
        <w:rPr>
          <w:sz w:val="18"/>
        </w:rPr>
      </w:pPr>
    </w:p>
    <w:p>
      <w:pPr>
        <w:pStyle w:val="BodyText"/>
        <w:spacing w:line="242" w:lineRule="auto"/>
        <w:ind w:right="1393" w:firstLine="566"/>
      </w:pPr>
      <w:r>
        <w:rPr/>
        <w:t>我们与审计委员会就计划的审计范围、时间安排和重大审计发现等事项进行沟通，包括沟通我们在审计中识别出的值得关注的内部控制缺陷。</w:t>
      </w:r>
    </w:p>
    <w:p>
      <w:pPr>
        <w:pStyle w:val="BodyText"/>
        <w:spacing w:before="11"/>
        <w:ind w:left="0"/>
        <w:rPr>
          <w:sz w:val="18"/>
        </w:rPr>
      </w:pPr>
    </w:p>
    <w:p>
      <w:pPr>
        <w:pStyle w:val="BodyText"/>
        <w:spacing w:line="244" w:lineRule="auto"/>
        <w:ind w:right="1393" w:firstLine="566"/>
      </w:pPr>
      <w:r>
        <w:rPr/>
        <w:t>我们还就已遵守与独立性相关的职业道德要求向审计委员会提供声明，并与审计委员会沟通可能被合理认为影响我们独立性的所有关系和其他事项，以及相关的防范措施</w:t>
      </w:r>
      <w:r>
        <w:rPr>
          <w:rFonts w:ascii="Times New Roman" w:eastAsia="Times New Roman"/>
        </w:rPr>
        <w:t>(</w:t>
      </w:r>
      <w:r>
        <w:rPr/>
        <w:t>如适用</w:t>
      </w:r>
      <w:r>
        <w:rPr>
          <w:rFonts w:ascii="Times New Roman" w:eastAsia="Times New Roman"/>
        </w:rPr>
        <w:t>)</w:t>
      </w:r>
      <w:r>
        <w:rPr/>
        <w:t>。</w:t>
      </w:r>
    </w:p>
    <w:p>
      <w:pPr>
        <w:pStyle w:val="BodyText"/>
        <w:spacing w:before="7"/>
        <w:ind w:left="0"/>
        <w:rPr>
          <w:sz w:val="18"/>
        </w:rPr>
      </w:pPr>
    </w:p>
    <w:p>
      <w:pPr>
        <w:pStyle w:val="BodyText"/>
        <w:tabs>
          <w:tab w:pos="1577" w:val="left" w:leader="none"/>
        </w:tabs>
        <w:spacing w:before="1"/>
        <w:ind w:left="884"/>
        <w:rPr>
          <w:rFonts w:ascii="Times New Roman" w:eastAsia="Times New Roman"/>
          <w:b/>
        </w:rPr>
      </w:pPr>
      <w:r>
        <w:rPr/>
        <w:t>六、</w:t>
        <w:tab/>
        <w:t>注册会计师对财务报表审计的责任</w:t>
      </w:r>
      <w:r>
        <w:rPr>
          <w:rFonts w:ascii="Times New Roman" w:eastAsia="Times New Roman"/>
          <w:b/>
        </w:rPr>
        <w:t>(</w:t>
      </w:r>
      <w:r>
        <w:rPr/>
        <w:t>续</w:t>
      </w:r>
      <w:r>
        <w:rPr>
          <w:rFonts w:ascii="Times New Roman" w:eastAsia="Times New Roman"/>
          <w:b/>
        </w:rPr>
        <w:t>)</w:t>
      </w:r>
    </w:p>
    <w:p>
      <w:pPr>
        <w:pStyle w:val="BodyText"/>
        <w:spacing w:before="2"/>
        <w:ind w:left="0"/>
        <w:rPr>
          <w:rFonts w:ascii="Times New Roman"/>
          <w:b/>
        </w:rPr>
      </w:pPr>
    </w:p>
    <w:p>
      <w:pPr>
        <w:pStyle w:val="BodyText"/>
        <w:spacing w:line="242" w:lineRule="auto" w:before="1"/>
        <w:ind w:right="1181" w:firstLine="566"/>
      </w:pPr>
      <w:r>
        <w:rPr/>
        <w:t>从与审计委员会沟通过的事项中，我们确定哪些事项对本期财务报表审计最为重要，因</w:t>
      </w:r>
      <w:r>
        <w:rPr>
          <w:spacing w:val="71"/>
        </w:rPr>
        <w:t> </w:t>
      </w:r>
      <w:r>
        <w:rPr/>
        <w:t>而构成关键审计事项。我们在审计报告中描述这些事项，除非法律法规禁止公开披露这些事项，</w:t>
      </w:r>
      <w:r>
        <w:rPr>
          <w:spacing w:val="1"/>
        </w:rPr>
        <w:t> </w:t>
      </w:r>
      <w:r>
        <w:rPr/>
        <w:t>或在极少数情形下，如果合理预期在审计报告中沟通某事项造成的负面后果超过在公众利益方</w:t>
      </w:r>
      <w:r>
        <w:rPr>
          <w:spacing w:val="7"/>
        </w:rPr>
        <w:t> </w:t>
      </w:r>
      <w:r>
        <w:rPr/>
        <w:t>面产生的益处，我们确定不应在审计报告中沟通该事项。</w:t>
      </w:r>
    </w:p>
    <w:p>
      <w:pPr>
        <w:pStyle w:val="BodyText"/>
        <w:ind w:left="0"/>
        <w:rPr>
          <w:sz w:val="20"/>
        </w:rPr>
      </w:pPr>
    </w:p>
    <w:p>
      <w:pPr>
        <w:pStyle w:val="BodyText"/>
        <w:ind w:left="0"/>
        <w:rPr>
          <w:sz w:val="20"/>
        </w:rPr>
      </w:pPr>
    </w:p>
    <w:p>
      <w:pPr>
        <w:pStyle w:val="BodyText"/>
        <w:spacing w:before="10"/>
        <w:ind w:left="0"/>
        <w:rPr>
          <w:sz w:val="16"/>
        </w:rPr>
      </w:pPr>
    </w:p>
    <w:tbl>
      <w:tblPr>
        <w:tblW w:w="0" w:type="auto"/>
        <w:jc w:val="left"/>
        <w:tblInd w:w="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40"/>
        <w:gridCol w:w="2007"/>
        <w:gridCol w:w="2470"/>
      </w:tblGrid>
      <w:tr>
        <w:trPr>
          <w:trHeight w:val="526" w:hRule="atLeast"/>
        </w:trPr>
        <w:tc>
          <w:tcPr>
            <w:tcW w:w="3440" w:type="dxa"/>
          </w:tcPr>
          <w:p>
            <w:pPr>
              <w:pStyle w:val="TableParagraph"/>
              <w:ind w:left="200"/>
              <w:rPr>
                <w:sz w:val="21"/>
              </w:rPr>
            </w:pPr>
            <w:r>
              <w:rPr>
                <w:spacing w:val="-1"/>
                <w:sz w:val="21"/>
              </w:rPr>
              <w:t>普华永道中天会计师事务所</w:t>
            </w:r>
          </w:p>
          <w:p>
            <w:pPr>
              <w:pStyle w:val="TableParagraph"/>
              <w:spacing w:line="236" w:lineRule="exact" w:before="2"/>
              <w:ind w:left="200"/>
              <w:rPr>
                <w:rFonts w:ascii="Times New Roman" w:eastAsia="Times New Roman"/>
                <w:sz w:val="21"/>
              </w:rPr>
            </w:pPr>
            <w:r>
              <w:rPr>
                <w:rFonts w:ascii="Times New Roman" w:eastAsia="Times New Roman"/>
                <w:sz w:val="21"/>
              </w:rPr>
              <w:t>(</w:t>
            </w:r>
            <w:r>
              <w:rPr>
                <w:sz w:val="21"/>
              </w:rPr>
              <w:t>特殊普通合伙</w:t>
            </w:r>
            <w:r>
              <w:rPr>
                <w:rFonts w:ascii="Times New Roman" w:eastAsia="Times New Roman"/>
                <w:sz w:val="21"/>
              </w:rPr>
              <w:t>)</w:t>
            </w:r>
          </w:p>
        </w:tc>
        <w:tc>
          <w:tcPr>
            <w:tcW w:w="2007" w:type="dxa"/>
          </w:tcPr>
          <w:p>
            <w:pPr>
              <w:pStyle w:val="TableParagraph"/>
              <w:ind w:left="718"/>
              <w:rPr>
                <w:sz w:val="21"/>
              </w:rPr>
            </w:pPr>
            <w:r>
              <w:rPr>
                <w:sz w:val="21"/>
              </w:rPr>
              <w:t>注册会计师</w:t>
            </w:r>
          </w:p>
        </w:tc>
        <w:tc>
          <w:tcPr>
            <w:tcW w:w="2470" w:type="dxa"/>
          </w:tcPr>
          <w:p>
            <w:pPr>
              <w:pStyle w:val="TableParagraph"/>
              <w:tabs>
                <w:tab w:pos="1862" w:val="left" w:leader="none"/>
              </w:tabs>
              <w:spacing w:line="235" w:lineRule="exact" w:before="13"/>
              <w:ind w:left="237"/>
              <w:rPr>
                <w:rFonts w:ascii="Times New Roman"/>
                <w:sz w:val="21"/>
              </w:rPr>
            </w:pPr>
            <w:r>
              <w:rPr>
                <w:rFonts w:ascii="Times New Roman"/>
                <w:w w:val="100"/>
                <w:sz w:val="21"/>
                <w:u w:val="single"/>
              </w:rPr>
              <w:t> </w:t>
            </w:r>
            <w:r>
              <w:rPr>
                <w:rFonts w:ascii="Times New Roman"/>
                <w:sz w:val="21"/>
                <w:u w:val="single"/>
              </w:rPr>
              <w:tab/>
            </w:r>
          </w:p>
          <w:p>
            <w:pPr>
              <w:pStyle w:val="TableParagraph"/>
              <w:spacing w:line="258" w:lineRule="exact"/>
              <w:ind w:left="343"/>
              <w:rPr>
                <w:rFonts w:ascii="Times New Roman" w:eastAsia="Times New Roman"/>
                <w:sz w:val="21"/>
              </w:rPr>
            </w:pPr>
            <w:r>
              <w:rPr>
                <w:spacing w:val="25"/>
                <w:sz w:val="21"/>
              </w:rPr>
              <w:t>张 津 </w:t>
            </w:r>
            <w:r>
              <w:rPr>
                <w:rFonts w:ascii="Times New Roman" w:eastAsia="Times New Roman"/>
                <w:sz w:val="21"/>
              </w:rPr>
              <w:t>(</w:t>
            </w:r>
            <w:r>
              <w:rPr>
                <w:sz w:val="21"/>
              </w:rPr>
              <w:t>项目合伙人</w:t>
            </w:r>
            <w:r>
              <w:rPr>
                <w:rFonts w:ascii="Times New Roman" w:eastAsia="Times New Roman"/>
                <w:sz w:val="21"/>
              </w:rPr>
              <w:t>)</w:t>
            </w:r>
          </w:p>
        </w:tc>
      </w:tr>
    </w:tbl>
    <w:p>
      <w:pPr>
        <w:spacing w:after="0" w:line="258" w:lineRule="exact"/>
        <w:rPr>
          <w:rFonts w:ascii="Times New Roman" w:eastAsia="Times New Roman"/>
          <w:sz w:val="21"/>
        </w:rPr>
        <w:sectPr>
          <w:pgSz w:w="11910" w:h="16840"/>
          <w:pgMar w:header="882" w:footer="1172" w:top="1120" w:bottom="1380" w:left="1480" w:right="0"/>
        </w:sectPr>
      </w:pPr>
    </w:p>
    <w:tbl>
      <w:tblPr>
        <w:tblW w:w="0" w:type="auto"/>
        <w:jc w:val="left"/>
        <w:tblInd w:w="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25"/>
        <w:gridCol w:w="2471"/>
        <w:gridCol w:w="2014"/>
      </w:tblGrid>
      <w:tr>
        <w:trPr>
          <w:trHeight w:val="936" w:hRule="atLeast"/>
        </w:trPr>
        <w:tc>
          <w:tcPr>
            <w:tcW w:w="2925" w:type="dxa"/>
          </w:tcPr>
          <w:p>
            <w:pPr>
              <w:pStyle w:val="TableParagraph"/>
              <w:spacing w:before="9"/>
              <w:rPr>
                <w:sz w:val="31"/>
              </w:rPr>
            </w:pPr>
          </w:p>
          <w:p>
            <w:pPr>
              <w:pStyle w:val="TableParagraph"/>
              <w:ind w:left="146"/>
              <w:rPr>
                <w:sz w:val="21"/>
              </w:rPr>
            </w:pPr>
            <w:r>
              <w:rPr>
                <w:sz w:val="21"/>
              </w:rPr>
              <w:t>中国</w:t>
            </w:r>
            <w:r>
              <w:rPr>
                <w:rFonts w:ascii="Times New Roman" w:hAnsi="Times New Roman" w:eastAsia="Times New Roman"/>
                <w:sz w:val="21"/>
              </w:rPr>
              <w:t>•</w:t>
            </w:r>
            <w:r>
              <w:rPr>
                <w:sz w:val="21"/>
              </w:rPr>
              <w:t>上海市</w:t>
            </w:r>
          </w:p>
          <w:p>
            <w:pPr>
              <w:pStyle w:val="TableParagraph"/>
              <w:spacing w:line="236" w:lineRule="exact" w:before="5"/>
              <w:ind w:left="146"/>
              <w:rPr>
                <w:sz w:val="21"/>
              </w:rPr>
            </w:pPr>
            <w:r>
              <w:rPr>
                <w:rFonts w:ascii="Times New Roman" w:eastAsia="Times New Roman"/>
                <w:sz w:val="21"/>
              </w:rPr>
              <w:t>2023</w:t>
            </w:r>
            <w:r>
              <w:rPr>
                <w:rFonts w:ascii="Times New Roman" w:eastAsia="Times New Roman"/>
                <w:spacing w:val="-11"/>
                <w:sz w:val="21"/>
              </w:rPr>
              <w:t> </w:t>
            </w:r>
            <w:r>
              <w:rPr>
                <w:spacing w:val="-27"/>
                <w:sz w:val="21"/>
              </w:rPr>
              <w:t>年 </w:t>
            </w:r>
            <w:r>
              <w:rPr>
                <w:rFonts w:ascii="Times New Roman" w:eastAsia="Times New Roman"/>
                <w:sz w:val="21"/>
              </w:rPr>
              <w:t>3</w:t>
            </w:r>
            <w:r>
              <w:rPr>
                <w:rFonts w:ascii="Times New Roman" w:eastAsia="Times New Roman"/>
                <w:spacing w:val="-9"/>
                <w:sz w:val="21"/>
              </w:rPr>
              <w:t> </w:t>
            </w:r>
            <w:r>
              <w:rPr>
                <w:spacing w:val="-27"/>
                <w:sz w:val="21"/>
              </w:rPr>
              <w:t>月 </w:t>
            </w:r>
            <w:r>
              <w:rPr>
                <w:rFonts w:ascii="Times New Roman" w:eastAsia="Times New Roman"/>
                <w:sz w:val="21"/>
              </w:rPr>
              <w:t>14</w:t>
            </w:r>
            <w:r>
              <w:rPr>
                <w:rFonts w:ascii="Times New Roman" w:eastAsia="Times New Roman"/>
                <w:spacing w:val="-11"/>
                <w:sz w:val="21"/>
              </w:rPr>
              <w:t> </w:t>
            </w:r>
            <w:r>
              <w:rPr>
                <w:sz w:val="21"/>
              </w:rPr>
              <w:t>日</w:t>
            </w:r>
          </w:p>
        </w:tc>
        <w:tc>
          <w:tcPr>
            <w:tcW w:w="2471" w:type="dxa"/>
          </w:tcPr>
          <w:p>
            <w:pPr>
              <w:pStyle w:val="TableParagraph"/>
              <w:rPr>
                <w:sz w:val="20"/>
              </w:rPr>
            </w:pPr>
          </w:p>
          <w:p>
            <w:pPr>
              <w:pStyle w:val="TableParagraph"/>
              <w:spacing w:before="150"/>
              <w:ind w:left="1179"/>
              <w:rPr>
                <w:sz w:val="21"/>
              </w:rPr>
            </w:pPr>
            <w:r>
              <w:rPr>
                <w:sz w:val="21"/>
              </w:rPr>
              <w:t>注册会计师</w:t>
            </w:r>
          </w:p>
        </w:tc>
        <w:tc>
          <w:tcPr>
            <w:tcW w:w="2014" w:type="dxa"/>
          </w:tcPr>
          <w:p>
            <w:pPr>
              <w:pStyle w:val="TableParagraph"/>
              <w:spacing w:before="10"/>
              <w:rPr>
                <w:sz w:val="32"/>
              </w:rPr>
            </w:pPr>
          </w:p>
          <w:p>
            <w:pPr>
              <w:pStyle w:val="TableParagraph"/>
              <w:tabs>
                <w:tab w:pos="1860" w:val="left" w:leader="none"/>
              </w:tabs>
              <w:spacing w:line="235" w:lineRule="exact"/>
              <w:ind w:left="235"/>
              <w:rPr>
                <w:rFonts w:ascii="Times New Roman"/>
                <w:sz w:val="21"/>
              </w:rPr>
            </w:pPr>
            <w:r>
              <w:rPr>
                <w:rFonts w:ascii="Times New Roman"/>
                <w:w w:val="100"/>
                <w:sz w:val="21"/>
                <w:u w:val="single"/>
              </w:rPr>
              <w:t> </w:t>
            </w:r>
            <w:r>
              <w:rPr>
                <w:rFonts w:ascii="Times New Roman"/>
                <w:sz w:val="21"/>
                <w:u w:val="single"/>
              </w:rPr>
              <w:tab/>
            </w:r>
          </w:p>
          <w:p>
            <w:pPr>
              <w:pStyle w:val="TableParagraph"/>
              <w:tabs>
                <w:tab w:pos="1392" w:val="left" w:leader="none"/>
              </w:tabs>
              <w:spacing w:line="261" w:lineRule="exact"/>
              <w:ind w:left="866"/>
              <w:rPr>
                <w:sz w:val="21"/>
              </w:rPr>
            </w:pPr>
            <w:r>
              <w:rPr>
                <w:sz w:val="21"/>
              </w:rPr>
              <w:t>周</w:t>
              <w:tab/>
              <w:t>唯</w:t>
            </w:r>
          </w:p>
        </w:tc>
      </w:tr>
    </w:tbl>
    <w:p>
      <w:pPr>
        <w:pStyle w:val="BodyText"/>
        <w:spacing w:before="1"/>
        <w:ind w:left="0"/>
        <w:rPr>
          <w:sz w:val="12"/>
        </w:rPr>
      </w:pPr>
    </w:p>
    <w:p>
      <w:pPr>
        <w:pStyle w:val="BodyText"/>
        <w:spacing w:before="72"/>
      </w:pPr>
      <w:r>
        <w:rPr>
          <w:w w:val="100"/>
        </w:rPr>
        <w:t> </w:t>
      </w:r>
    </w:p>
    <w:p>
      <w:pPr>
        <w:pStyle w:val="BodyText"/>
        <w:tabs>
          <w:tab w:pos="3198" w:val="left" w:leader="none"/>
        </w:tabs>
        <w:spacing w:before="4"/>
      </w:pPr>
      <w:r>
        <w:rPr>
          <w:w w:val="100"/>
        </w:rPr>
        <w:t> </w:t>
      </w:r>
      <w:r>
        <w:rPr/>
        <w:tab/>
      </w:r>
      <w:r>
        <w:rPr>
          <w:w w:val="100"/>
        </w:rPr>
        <w:t> </w:t>
      </w:r>
    </w:p>
    <w:p>
      <w:pPr>
        <w:spacing w:after="0"/>
        <w:sectPr>
          <w:pgSz w:w="11910" w:h="16840"/>
          <w:pgMar w:header="882" w:footer="1172" w:top="1100" w:bottom="1380" w:left="1480" w:right="0"/>
        </w:sectPr>
      </w:pPr>
    </w:p>
    <w:p>
      <w:pPr>
        <w:pStyle w:val="BodyText"/>
        <w:spacing w:before="7"/>
        <w:ind w:left="0"/>
        <w:rPr>
          <w:sz w:val="25"/>
        </w:rPr>
      </w:pPr>
    </w:p>
    <w:p>
      <w:pPr>
        <w:spacing w:after="0"/>
        <w:rPr>
          <w:sz w:val="25"/>
        </w:rPr>
        <w:sectPr>
          <w:pgSz w:w="11910" w:h="16840"/>
          <w:pgMar w:header="882" w:footer="1172" w:top="1120" w:bottom="1380" w:left="1480" w:right="0"/>
        </w:sectPr>
      </w:pPr>
    </w:p>
    <w:p>
      <w:pPr>
        <w:pStyle w:val="BodyText"/>
        <w:spacing w:before="72"/>
      </w:pPr>
      <w:r>
        <w:rPr>
          <w:spacing w:val="-17"/>
        </w:rPr>
        <w:t>二、 财务报表</w:t>
      </w:r>
      <w:r>
        <w:rPr/>
        <w:t> </w:t>
      </w:r>
    </w:p>
    <w:p>
      <w:pPr>
        <w:pStyle w:val="BodyText"/>
        <w:ind w:left="0"/>
        <w:rPr>
          <w:sz w:val="20"/>
        </w:rPr>
      </w:pPr>
      <w:r>
        <w:rPr/>
        <w:br w:type="column"/>
      </w:r>
      <w:r>
        <w:rPr>
          <w:sz w:val="20"/>
        </w:rPr>
      </w:r>
    </w:p>
    <w:p>
      <w:pPr>
        <w:pStyle w:val="BodyText"/>
        <w:spacing w:line="295" w:lineRule="auto" w:before="145"/>
        <w:ind w:right="4717" w:firstLine="127"/>
      </w:pPr>
      <w:r>
        <w:rPr/>
        <w:t>合并资产负债表2022</w:t>
      </w:r>
      <w:r>
        <w:rPr>
          <w:spacing w:val="-37"/>
        </w:rPr>
        <w:t> 年 </w:t>
      </w:r>
      <w:r>
        <w:rPr/>
        <w:t>12</w:t>
      </w:r>
      <w:r>
        <w:rPr>
          <w:spacing w:val="-36"/>
        </w:rPr>
        <w:t> 月 </w:t>
      </w:r>
      <w:r>
        <w:rPr/>
        <w:t>31</w:t>
      </w:r>
      <w:r>
        <w:rPr>
          <w:spacing w:val="-27"/>
        </w:rPr>
        <w:t> 日</w:t>
      </w:r>
      <w:r>
        <w:rPr/>
        <w:t> </w:t>
      </w:r>
    </w:p>
    <w:p>
      <w:pPr>
        <w:spacing w:after="0" w:line="295" w:lineRule="auto"/>
        <w:sectPr>
          <w:type w:val="continuous"/>
          <w:pgSz w:w="11910" w:h="16840"/>
          <w:pgMar w:top="780" w:bottom="280" w:left="1480" w:right="0"/>
          <w:cols w:num="2" w:equalWidth="0">
            <w:col w:w="1731" w:space="1819"/>
            <w:col w:w="6880"/>
          </w:cols>
        </w:sectPr>
      </w:pPr>
    </w:p>
    <w:p>
      <w:pPr>
        <w:pStyle w:val="BodyText"/>
        <w:spacing w:line="217" w:lineRule="exact"/>
      </w:pPr>
      <w:r>
        <w:rPr>
          <w:spacing w:val="-1"/>
        </w:rPr>
        <w:t>编制单位: 富士康工业互联网股份有限公司</w:t>
      </w:r>
      <w:r>
        <w:rPr/>
        <w:t> </w:t>
      </w:r>
    </w:p>
    <w:p>
      <w:pPr>
        <w:pStyle w:val="BodyText"/>
        <w:spacing w:before="2" w:after="3"/>
        <w:ind w:left="6839"/>
      </w:pPr>
      <w:r>
        <w:rPr>
          <w:spacing w:val="7"/>
        </w:rPr>
        <w:t>单位:千元 币种:人民币</w:t>
      </w:r>
      <w:r>
        <w:rPr/>
        <w:t> </w:t>
      </w:r>
    </w:p>
    <w:tbl>
      <w:tblPr>
        <w:tblW w:w="0" w:type="auto"/>
        <w:jc w:val="left"/>
        <w:tblInd w:w="3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71"/>
        <w:gridCol w:w="1104"/>
        <w:gridCol w:w="2484"/>
        <w:gridCol w:w="2350"/>
      </w:tblGrid>
      <w:tr>
        <w:trPr>
          <w:trHeight w:val="273" w:hRule="atLeast"/>
        </w:trPr>
        <w:tc>
          <w:tcPr>
            <w:tcW w:w="2871" w:type="dxa"/>
          </w:tcPr>
          <w:p>
            <w:pPr>
              <w:pStyle w:val="TableParagraph"/>
              <w:spacing w:line="252" w:lineRule="exact" w:before="1"/>
              <w:ind w:left="1255" w:right="1141"/>
              <w:jc w:val="center"/>
              <w:rPr>
                <w:sz w:val="21"/>
              </w:rPr>
            </w:pPr>
            <w:r>
              <w:rPr>
                <w:sz w:val="21"/>
              </w:rPr>
              <w:t>项目 </w:t>
            </w:r>
          </w:p>
        </w:tc>
        <w:tc>
          <w:tcPr>
            <w:tcW w:w="1104" w:type="dxa"/>
          </w:tcPr>
          <w:p>
            <w:pPr>
              <w:pStyle w:val="TableParagraph"/>
              <w:spacing w:line="252" w:lineRule="exact" w:before="1"/>
              <w:ind w:left="340"/>
              <w:rPr>
                <w:sz w:val="21"/>
              </w:rPr>
            </w:pPr>
            <w:r>
              <w:rPr>
                <w:sz w:val="21"/>
              </w:rPr>
              <w:t>附注 </w:t>
            </w:r>
          </w:p>
        </w:tc>
        <w:tc>
          <w:tcPr>
            <w:tcW w:w="2484" w:type="dxa"/>
          </w:tcPr>
          <w:p>
            <w:pPr>
              <w:pStyle w:val="TableParagraph"/>
              <w:spacing w:line="252" w:lineRule="exact" w:before="1"/>
              <w:ind w:left="369"/>
              <w:rPr>
                <w:sz w:val="21"/>
              </w:rPr>
            </w:pPr>
            <w:r>
              <w:rPr>
                <w:sz w:val="21"/>
              </w:rPr>
              <w:t>2022</w:t>
            </w:r>
            <w:r>
              <w:rPr>
                <w:spacing w:val="-35"/>
                <w:sz w:val="21"/>
              </w:rPr>
              <w:t> 年 </w:t>
            </w:r>
            <w:r>
              <w:rPr>
                <w:sz w:val="21"/>
              </w:rPr>
              <w:t>12</w:t>
            </w:r>
            <w:r>
              <w:rPr>
                <w:spacing w:val="-35"/>
                <w:sz w:val="21"/>
              </w:rPr>
              <w:t> 月 </w:t>
            </w:r>
            <w:r>
              <w:rPr>
                <w:sz w:val="21"/>
              </w:rPr>
              <w:t>31</w:t>
            </w:r>
            <w:r>
              <w:rPr>
                <w:spacing w:val="-26"/>
                <w:sz w:val="21"/>
              </w:rPr>
              <w:t> 日 </w:t>
            </w:r>
          </w:p>
        </w:tc>
        <w:tc>
          <w:tcPr>
            <w:tcW w:w="2350" w:type="dxa"/>
          </w:tcPr>
          <w:p>
            <w:pPr>
              <w:pStyle w:val="TableParagraph"/>
              <w:spacing w:line="252" w:lineRule="exact" w:before="1"/>
              <w:ind w:left="302"/>
              <w:rPr>
                <w:sz w:val="21"/>
              </w:rPr>
            </w:pPr>
            <w:r>
              <w:rPr>
                <w:sz w:val="21"/>
              </w:rPr>
              <w:t>2021</w:t>
            </w:r>
            <w:r>
              <w:rPr>
                <w:spacing w:val="-35"/>
                <w:sz w:val="21"/>
              </w:rPr>
              <w:t> 年 </w:t>
            </w:r>
            <w:r>
              <w:rPr>
                <w:sz w:val="21"/>
              </w:rPr>
              <w:t>12</w:t>
            </w:r>
            <w:r>
              <w:rPr>
                <w:spacing w:val="-35"/>
                <w:sz w:val="21"/>
              </w:rPr>
              <w:t> 月 </w:t>
            </w:r>
            <w:r>
              <w:rPr>
                <w:sz w:val="21"/>
              </w:rPr>
              <w:t>31</w:t>
            </w:r>
            <w:r>
              <w:rPr>
                <w:spacing w:val="-26"/>
                <w:sz w:val="21"/>
              </w:rPr>
              <w:t> 日 </w:t>
            </w:r>
          </w:p>
        </w:tc>
      </w:tr>
      <w:tr>
        <w:trPr>
          <w:trHeight w:val="270" w:hRule="atLeast"/>
        </w:trPr>
        <w:tc>
          <w:tcPr>
            <w:tcW w:w="8809" w:type="dxa"/>
            <w:gridSpan w:val="4"/>
          </w:tcPr>
          <w:p>
            <w:pPr>
              <w:pStyle w:val="TableParagraph"/>
              <w:spacing w:line="250" w:lineRule="exact" w:before="1"/>
              <w:ind w:left="107"/>
              <w:rPr>
                <w:sz w:val="21"/>
              </w:rPr>
            </w:pPr>
            <w:r>
              <w:rPr>
                <w:sz w:val="21"/>
              </w:rPr>
              <w:t>流动资产：</w:t>
            </w:r>
            <w:r>
              <w:rPr>
                <w:color w:val="FF00FF"/>
                <w:sz w:val="21"/>
              </w:rPr>
              <w:t> </w:t>
            </w:r>
          </w:p>
        </w:tc>
      </w:tr>
      <w:tr>
        <w:trPr>
          <w:trHeight w:val="272" w:hRule="atLeast"/>
        </w:trPr>
        <w:tc>
          <w:tcPr>
            <w:tcW w:w="2871" w:type="dxa"/>
          </w:tcPr>
          <w:p>
            <w:pPr>
              <w:pStyle w:val="TableParagraph"/>
              <w:spacing w:line="250" w:lineRule="exact" w:before="3"/>
              <w:ind w:left="318"/>
              <w:rPr>
                <w:sz w:val="21"/>
              </w:rPr>
            </w:pPr>
            <w:r>
              <w:rPr>
                <w:spacing w:val="-1"/>
                <w:sz w:val="21"/>
              </w:rPr>
              <w:t>货币资金</w:t>
            </w:r>
            <w:r>
              <w:rPr>
                <w:sz w:val="21"/>
              </w:rPr>
              <w:t> </w:t>
            </w:r>
          </w:p>
        </w:tc>
        <w:tc>
          <w:tcPr>
            <w:tcW w:w="1104" w:type="dxa"/>
          </w:tcPr>
          <w:p>
            <w:pPr>
              <w:pStyle w:val="TableParagraph"/>
              <w:spacing w:line="250" w:lineRule="exact" w:before="3"/>
              <w:ind w:left="107"/>
              <w:rPr>
                <w:sz w:val="21"/>
              </w:rPr>
            </w:pPr>
            <w:r>
              <w:rPr>
                <w:sz w:val="21"/>
              </w:rPr>
              <w:t>七、1 </w:t>
            </w:r>
          </w:p>
        </w:tc>
        <w:tc>
          <w:tcPr>
            <w:tcW w:w="2484" w:type="dxa"/>
          </w:tcPr>
          <w:p>
            <w:pPr>
              <w:pStyle w:val="TableParagraph"/>
              <w:spacing w:before="10"/>
              <w:ind w:right="88"/>
              <w:jc w:val="right"/>
              <w:rPr>
                <w:rFonts w:ascii="Times New Roman"/>
                <w:sz w:val="21"/>
              </w:rPr>
            </w:pPr>
            <w:r>
              <w:rPr>
                <w:rFonts w:ascii="Times New Roman"/>
                <w:sz w:val="21"/>
              </w:rPr>
              <w:t>69,429,837</w:t>
            </w:r>
          </w:p>
        </w:tc>
        <w:tc>
          <w:tcPr>
            <w:tcW w:w="2350" w:type="dxa"/>
          </w:tcPr>
          <w:p>
            <w:pPr>
              <w:pStyle w:val="TableParagraph"/>
              <w:spacing w:before="10"/>
              <w:ind w:left="1294"/>
              <w:rPr>
                <w:rFonts w:ascii="Times New Roman"/>
                <w:sz w:val="21"/>
              </w:rPr>
            </w:pPr>
            <w:r>
              <w:rPr>
                <w:rFonts w:ascii="Times New Roman"/>
                <w:sz w:val="21"/>
              </w:rPr>
              <w:t>82,877,051</w:t>
            </w:r>
          </w:p>
        </w:tc>
      </w:tr>
      <w:tr>
        <w:trPr>
          <w:trHeight w:val="272" w:hRule="atLeast"/>
        </w:trPr>
        <w:tc>
          <w:tcPr>
            <w:tcW w:w="2871" w:type="dxa"/>
          </w:tcPr>
          <w:p>
            <w:pPr>
              <w:pStyle w:val="TableParagraph"/>
              <w:spacing w:line="252" w:lineRule="exact" w:before="1"/>
              <w:ind w:left="318"/>
              <w:rPr>
                <w:sz w:val="21"/>
              </w:rPr>
            </w:pPr>
            <w:r>
              <w:rPr>
                <w:sz w:val="21"/>
              </w:rPr>
              <w:t>结算备付金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1"/>
                <w:sz w:val="21"/>
              </w:rPr>
              <w:t>拆出资金</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1"/>
                <w:sz w:val="21"/>
              </w:rPr>
              <w:t>交易性金融资产</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1"/>
                <w:sz w:val="21"/>
              </w:rPr>
              <w:t>衍生金融资产</w:t>
            </w:r>
            <w:r>
              <w:rPr>
                <w:sz w:val="21"/>
              </w:rPr>
              <w:t> </w:t>
            </w:r>
          </w:p>
        </w:tc>
        <w:tc>
          <w:tcPr>
            <w:tcW w:w="1104" w:type="dxa"/>
          </w:tcPr>
          <w:p>
            <w:pPr>
              <w:pStyle w:val="TableParagraph"/>
              <w:spacing w:line="252" w:lineRule="exact" w:before="1"/>
              <w:ind w:left="107"/>
              <w:rPr>
                <w:sz w:val="21"/>
              </w:rPr>
            </w:pPr>
            <w:r>
              <w:rPr>
                <w:sz w:val="21"/>
              </w:rPr>
              <w:t>七、3 </w:t>
            </w:r>
          </w:p>
        </w:tc>
        <w:tc>
          <w:tcPr>
            <w:tcW w:w="2484" w:type="dxa"/>
          </w:tcPr>
          <w:p>
            <w:pPr>
              <w:pStyle w:val="TableParagraph"/>
              <w:spacing w:before="10"/>
              <w:ind w:right="88"/>
              <w:jc w:val="right"/>
              <w:rPr>
                <w:rFonts w:ascii="Times New Roman"/>
                <w:sz w:val="21"/>
              </w:rPr>
            </w:pPr>
            <w:r>
              <w:rPr>
                <w:rFonts w:ascii="Times New Roman"/>
                <w:sz w:val="21"/>
              </w:rPr>
              <w:t>15,621</w:t>
            </w:r>
          </w:p>
        </w:tc>
        <w:tc>
          <w:tcPr>
            <w:tcW w:w="2350" w:type="dxa"/>
          </w:tcPr>
          <w:p>
            <w:pPr>
              <w:pStyle w:val="TableParagraph"/>
              <w:spacing w:before="10"/>
              <w:ind w:right="90"/>
              <w:jc w:val="right"/>
              <w:rPr>
                <w:rFonts w:ascii="Times New Roman"/>
                <w:sz w:val="21"/>
              </w:rPr>
            </w:pPr>
            <w:r>
              <w:rPr>
                <w:rFonts w:ascii="Times New Roman"/>
                <w:sz w:val="21"/>
              </w:rPr>
              <w:t>246,014</w:t>
            </w:r>
          </w:p>
        </w:tc>
      </w:tr>
      <w:tr>
        <w:trPr>
          <w:trHeight w:val="272" w:hRule="atLeast"/>
        </w:trPr>
        <w:tc>
          <w:tcPr>
            <w:tcW w:w="2871" w:type="dxa"/>
          </w:tcPr>
          <w:p>
            <w:pPr>
              <w:pStyle w:val="TableParagraph"/>
              <w:spacing w:line="252" w:lineRule="exact" w:before="1"/>
              <w:ind w:left="318"/>
              <w:rPr>
                <w:sz w:val="21"/>
              </w:rPr>
            </w:pPr>
            <w:r>
              <w:rPr>
                <w:spacing w:val="-1"/>
                <w:sz w:val="21"/>
              </w:rPr>
              <w:t>应收票据</w:t>
            </w:r>
            <w:r>
              <w:rPr>
                <w:sz w:val="21"/>
              </w:rPr>
              <w:t> </w:t>
            </w:r>
          </w:p>
        </w:tc>
        <w:tc>
          <w:tcPr>
            <w:tcW w:w="1104" w:type="dxa"/>
          </w:tcPr>
          <w:p>
            <w:pPr>
              <w:pStyle w:val="TableParagraph"/>
              <w:spacing w:line="252" w:lineRule="exact" w:before="1"/>
              <w:ind w:left="107"/>
              <w:rPr>
                <w:sz w:val="21"/>
              </w:rPr>
            </w:pPr>
            <w:r>
              <w:rPr>
                <w:sz w:val="21"/>
              </w:rPr>
              <w:t>七、4 </w:t>
            </w:r>
          </w:p>
        </w:tc>
        <w:tc>
          <w:tcPr>
            <w:tcW w:w="2484" w:type="dxa"/>
          </w:tcPr>
          <w:p>
            <w:pPr>
              <w:pStyle w:val="TableParagraph"/>
              <w:spacing w:before="10"/>
              <w:ind w:right="88"/>
              <w:jc w:val="right"/>
              <w:rPr>
                <w:rFonts w:ascii="Times New Roman"/>
                <w:sz w:val="21"/>
              </w:rPr>
            </w:pPr>
            <w:r>
              <w:rPr>
                <w:rFonts w:ascii="Times New Roman"/>
                <w:sz w:val="21"/>
              </w:rPr>
              <w:t>16,862</w:t>
            </w:r>
          </w:p>
        </w:tc>
        <w:tc>
          <w:tcPr>
            <w:tcW w:w="2350" w:type="dxa"/>
          </w:tcPr>
          <w:p>
            <w:pPr>
              <w:pStyle w:val="TableParagraph"/>
              <w:spacing w:before="10"/>
              <w:ind w:right="90"/>
              <w:jc w:val="right"/>
              <w:rPr>
                <w:rFonts w:ascii="Times New Roman"/>
                <w:sz w:val="21"/>
              </w:rPr>
            </w:pPr>
            <w:r>
              <w:rPr>
                <w:rFonts w:ascii="Times New Roman"/>
                <w:sz w:val="21"/>
              </w:rPr>
              <w:t>4,146</w:t>
            </w:r>
          </w:p>
        </w:tc>
      </w:tr>
      <w:tr>
        <w:trPr>
          <w:trHeight w:val="271" w:hRule="atLeast"/>
        </w:trPr>
        <w:tc>
          <w:tcPr>
            <w:tcW w:w="2871" w:type="dxa"/>
          </w:tcPr>
          <w:p>
            <w:pPr>
              <w:pStyle w:val="TableParagraph"/>
              <w:spacing w:line="250" w:lineRule="exact" w:before="1"/>
              <w:ind w:left="318"/>
              <w:rPr>
                <w:sz w:val="21"/>
              </w:rPr>
            </w:pPr>
            <w:r>
              <w:rPr>
                <w:spacing w:val="-1"/>
                <w:sz w:val="21"/>
              </w:rPr>
              <w:t>应收账款</w:t>
            </w:r>
            <w:r>
              <w:rPr>
                <w:sz w:val="21"/>
              </w:rPr>
              <w:t> </w:t>
            </w:r>
          </w:p>
        </w:tc>
        <w:tc>
          <w:tcPr>
            <w:tcW w:w="1104" w:type="dxa"/>
          </w:tcPr>
          <w:p>
            <w:pPr>
              <w:pStyle w:val="TableParagraph"/>
              <w:spacing w:line="250" w:lineRule="exact" w:before="1"/>
              <w:ind w:left="107"/>
              <w:rPr>
                <w:sz w:val="21"/>
              </w:rPr>
            </w:pPr>
            <w:r>
              <w:rPr>
                <w:sz w:val="21"/>
              </w:rPr>
              <w:t>七、5 </w:t>
            </w:r>
          </w:p>
        </w:tc>
        <w:tc>
          <w:tcPr>
            <w:tcW w:w="2484" w:type="dxa"/>
          </w:tcPr>
          <w:p>
            <w:pPr>
              <w:pStyle w:val="TableParagraph"/>
              <w:spacing w:before="8"/>
              <w:ind w:right="88"/>
              <w:jc w:val="right"/>
              <w:rPr>
                <w:rFonts w:ascii="Times New Roman"/>
                <w:sz w:val="21"/>
              </w:rPr>
            </w:pPr>
            <w:r>
              <w:rPr>
                <w:rFonts w:ascii="Times New Roman"/>
                <w:sz w:val="21"/>
              </w:rPr>
              <w:t>97,672,920</w:t>
            </w:r>
          </w:p>
        </w:tc>
        <w:tc>
          <w:tcPr>
            <w:tcW w:w="2350" w:type="dxa"/>
          </w:tcPr>
          <w:p>
            <w:pPr>
              <w:pStyle w:val="TableParagraph"/>
              <w:spacing w:before="8"/>
              <w:ind w:left="1294"/>
              <w:rPr>
                <w:rFonts w:ascii="Times New Roman"/>
                <w:sz w:val="21"/>
              </w:rPr>
            </w:pPr>
            <w:r>
              <w:rPr>
                <w:rFonts w:ascii="Times New Roman"/>
                <w:sz w:val="21"/>
              </w:rPr>
              <w:t>87,029,697</w:t>
            </w:r>
          </w:p>
        </w:tc>
      </w:tr>
      <w:tr>
        <w:trPr>
          <w:trHeight w:val="272" w:hRule="atLeast"/>
        </w:trPr>
        <w:tc>
          <w:tcPr>
            <w:tcW w:w="2871" w:type="dxa"/>
          </w:tcPr>
          <w:p>
            <w:pPr>
              <w:pStyle w:val="TableParagraph"/>
              <w:spacing w:line="250" w:lineRule="exact" w:before="3"/>
              <w:ind w:left="318"/>
              <w:rPr>
                <w:sz w:val="21"/>
              </w:rPr>
            </w:pPr>
            <w:r>
              <w:rPr>
                <w:spacing w:val="-1"/>
                <w:sz w:val="21"/>
              </w:rPr>
              <w:t>应收款项融资</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1"/>
                <w:sz w:val="21"/>
              </w:rPr>
              <w:t>预付款项</w:t>
            </w:r>
            <w:r>
              <w:rPr>
                <w:sz w:val="21"/>
              </w:rPr>
              <w:t> </w:t>
            </w:r>
          </w:p>
        </w:tc>
        <w:tc>
          <w:tcPr>
            <w:tcW w:w="1104" w:type="dxa"/>
          </w:tcPr>
          <w:p>
            <w:pPr>
              <w:pStyle w:val="TableParagraph"/>
              <w:spacing w:line="252" w:lineRule="exact" w:before="1"/>
              <w:ind w:left="107"/>
              <w:rPr>
                <w:sz w:val="21"/>
              </w:rPr>
            </w:pPr>
            <w:r>
              <w:rPr>
                <w:sz w:val="21"/>
              </w:rPr>
              <w:t>七、7 </w:t>
            </w:r>
          </w:p>
        </w:tc>
        <w:tc>
          <w:tcPr>
            <w:tcW w:w="2484" w:type="dxa"/>
          </w:tcPr>
          <w:p>
            <w:pPr>
              <w:pStyle w:val="TableParagraph"/>
              <w:spacing w:before="10"/>
              <w:ind w:right="88"/>
              <w:jc w:val="right"/>
              <w:rPr>
                <w:rFonts w:ascii="Times New Roman"/>
                <w:sz w:val="21"/>
              </w:rPr>
            </w:pPr>
            <w:r>
              <w:rPr>
                <w:rFonts w:ascii="Times New Roman"/>
                <w:sz w:val="21"/>
              </w:rPr>
              <w:t>352,362</w:t>
            </w:r>
          </w:p>
        </w:tc>
        <w:tc>
          <w:tcPr>
            <w:tcW w:w="2350" w:type="dxa"/>
          </w:tcPr>
          <w:p>
            <w:pPr>
              <w:pStyle w:val="TableParagraph"/>
              <w:spacing w:before="10"/>
              <w:ind w:right="90"/>
              <w:jc w:val="right"/>
              <w:rPr>
                <w:rFonts w:ascii="Times New Roman"/>
                <w:sz w:val="21"/>
              </w:rPr>
            </w:pPr>
            <w:r>
              <w:rPr>
                <w:rFonts w:ascii="Times New Roman"/>
                <w:sz w:val="21"/>
              </w:rPr>
              <w:t>241,612</w:t>
            </w:r>
          </w:p>
        </w:tc>
      </w:tr>
      <w:tr>
        <w:trPr>
          <w:trHeight w:val="272" w:hRule="atLeast"/>
        </w:trPr>
        <w:tc>
          <w:tcPr>
            <w:tcW w:w="2871" w:type="dxa"/>
          </w:tcPr>
          <w:p>
            <w:pPr>
              <w:pStyle w:val="TableParagraph"/>
              <w:spacing w:line="252" w:lineRule="exact" w:before="1"/>
              <w:ind w:left="318"/>
              <w:rPr>
                <w:sz w:val="21"/>
              </w:rPr>
            </w:pPr>
            <w:r>
              <w:rPr>
                <w:spacing w:val="-1"/>
                <w:sz w:val="21"/>
              </w:rPr>
              <w:t>应收保费</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1"/>
                <w:sz w:val="21"/>
              </w:rPr>
              <w:t>应收分保账款</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1"/>
                <w:sz w:val="21"/>
              </w:rPr>
              <w:t>应收分保合同准备金</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z w:val="21"/>
              </w:rPr>
              <w:t>其他应收款 </w:t>
            </w:r>
          </w:p>
        </w:tc>
        <w:tc>
          <w:tcPr>
            <w:tcW w:w="1104" w:type="dxa"/>
          </w:tcPr>
          <w:p>
            <w:pPr>
              <w:pStyle w:val="TableParagraph"/>
              <w:spacing w:line="252" w:lineRule="exact" w:before="1"/>
              <w:ind w:left="107"/>
              <w:rPr>
                <w:sz w:val="21"/>
              </w:rPr>
            </w:pPr>
            <w:r>
              <w:rPr>
                <w:sz w:val="21"/>
              </w:rPr>
              <w:t>七、8 </w:t>
            </w:r>
          </w:p>
        </w:tc>
        <w:tc>
          <w:tcPr>
            <w:tcW w:w="2484" w:type="dxa"/>
          </w:tcPr>
          <w:p>
            <w:pPr>
              <w:pStyle w:val="TableParagraph"/>
              <w:spacing w:before="10"/>
              <w:ind w:right="88"/>
              <w:jc w:val="right"/>
              <w:rPr>
                <w:rFonts w:ascii="Times New Roman"/>
                <w:sz w:val="21"/>
              </w:rPr>
            </w:pPr>
            <w:r>
              <w:rPr>
                <w:rFonts w:ascii="Times New Roman"/>
                <w:sz w:val="21"/>
              </w:rPr>
              <w:t>1,878,878</w:t>
            </w:r>
          </w:p>
        </w:tc>
        <w:tc>
          <w:tcPr>
            <w:tcW w:w="2350" w:type="dxa"/>
          </w:tcPr>
          <w:p>
            <w:pPr>
              <w:pStyle w:val="TableParagraph"/>
              <w:spacing w:before="10"/>
              <w:ind w:left="1399"/>
              <w:rPr>
                <w:rFonts w:ascii="Times New Roman"/>
                <w:sz w:val="21"/>
              </w:rPr>
            </w:pPr>
            <w:r>
              <w:rPr>
                <w:rFonts w:ascii="Times New Roman"/>
                <w:sz w:val="21"/>
              </w:rPr>
              <w:t>2,516,749</w:t>
            </w:r>
          </w:p>
        </w:tc>
      </w:tr>
      <w:tr>
        <w:trPr>
          <w:trHeight w:val="270" w:hRule="atLeast"/>
        </w:trPr>
        <w:tc>
          <w:tcPr>
            <w:tcW w:w="2871" w:type="dxa"/>
          </w:tcPr>
          <w:p>
            <w:pPr>
              <w:pStyle w:val="TableParagraph"/>
              <w:spacing w:line="250" w:lineRule="exact" w:before="1"/>
              <w:ind w:left="318"/>
              <w:rPr>
                <w:sz w:val="21"/>
              </w:rPr>
            </w:pPr>
            <w:r>
              <w:rPr>
                <w:spacing w:val="-1"/>
                <w:sz w:val="21"/>
              </w:rPr>
              <w:t>其中：应收利息</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947"/>
              <w:rPr>
                <w:sz w:val="21"/>
              </w:rPr>
            </w:pPr>
            <w:r>
              <w:rPr>
                <w:spacing w:val="-1"/>
                <w:sz w:val="21"/>
              </w:rPr>
              <w:t>应收股利</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spacing w:line="237" w:lineRule="exact"/>
              <w:ind w:right="88"/>
              <w:jc w:val="right"/>
              <w:rPr>
                <w:rFonts w:ascii="Times New Roman"/>
                <w:sz w:val="21"/>
              </w:rPr>
            </w:pPr>
            <w:r>
              <w:rPr>
                <w:rFonts w:ascii="Times New Roman"/>
                <w:sz w:val="21"/>
              </w:rPr>
              <w:t>4,016</w:t>
            </w:r>
          </w:p>
        </w:tc>
        <w:tc>
          <w:tcPr>
            <w:tcW w:w="2350" w:type="dxa"/>
          </w:tcPr>
          <w:p>
            <w:pPr>
              <w:pStyle w:val="TableParagraph"/>
              <w:spacing w:line="237" w:lineRule="exact"/>
              <w:ind w:right="92"/>
              <w:jc w:val="right"/>
              <w:rPr>
                <w:rFonts w:ascii="Times New Roman"/>
                <w:sz w:val="21"/>
              </w:rPr>
            </w:pPr>
            <w:r>
              <w:rPr>
                <w:rFonts w:ascii="Times New Roman"/>
                <w:w w:val="100"/>
                <w:sz w:val="21"/>
              </w:rPr>
              <w:t>-</w:t>
            </w:r>
          </w:p>
        </w:tc>
      </w:tr>
      <w:tr>
        <w:trPr>
          <w:trHeight w:val="272" w:hRule="atLeast"/>
        </w:trPr>
        <w:tc>
          <w:tcPr>
            <w:tcW w:w="2871" w:type="dxa"/>
          </w:tcPr>
          <w:p>
            <w:pPr>
              <w:pStyle w:val="TableParagraph"/>
              <w:spacing w:line="252" w:lineRule="exact" w:before="1"/>
              <w:ind w:left="318"/>
              <w:rPr>
                <w:sz w:val="21"/>
              </w:rPr>
            </w:pPr>
            <w:r>
              <w:rPr>
                <w:spacing w:val="-1"/>
                <w:sz w:val="21"/>
              </w:rPr>
              <w:t>买入返售金融资产</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z w:val="21"/>
              </w:rPr>
              <w:t>存货 </w:t>
            </w:r>
          </w:p>
        </w:tc>
        <w:tc>
          <w:tcPr>
            <w:tcW w:w="1104" w:type="dxa"/>
          </w:tcPr>
          <w:p>
            <w:pPr>
              <w:pStyle w:val="TableParagraph"/>
              <w:spacing w:line="252" w:lineRule="exact" w:before="1"/>
              <w:ind w:left="107"/>
              <w:rPr>
                <w:sz w:val="21"/>
              </w:rPr>
            </w:pPr>
            <w:r>
              <w:rPr>
                <w:sz w:val="21"/>
              </w:rPr>
              <w:t>七、9 </w:t>
            </w:r>
          </w:p>
        </w:tc>
        <w:tc>
          <w:tcPr>
            <w:tcW w:w="2484" w:type="dxa"/>
          </w:tcPr>
          <w:p>
            <w:pPr>
              <w:pStyle w:val="TableParagraph"/>
              <w:spacing w:before="10"/>
              <w:ind w:right="88"/>
              <w:jc w:val="right"/>
              <w:rPr>
                <w:rFonts w:ascii="Times New Roman"/>
                <w:sz w:val="21"/>
              </w:rPr>
            </w:pPr>
            <w:r>
              <w:rPr>
                <w:rFonts w:ascii="Times New Roman"/>
                <w:sz w:val="21"/>
              </w:rPr>
              <w:t>77,321,754</w:t>
            </w:r>
          </w:p>
        </w:tc>
        <w:tc>
          <w:tcPr>
            <w:tcW w:w="2350" w:type="dxa"/>
          </w:tcPr>
          <w:p>
            <w:pPr>
              <w:pStyle w:val="TableParagraph"/>
              <w:spacing w:before="10"/>
              <w:ind w:left="1294"/>
              <w:rPr>
                <w:rFonts w:ascii="Times New Roman"/>
                <w:sz w:val="21"/>
              </w:rPr>
            </w:pPr>
            <w:r>
              <w:rPr>
                <w:rFonts w:ascii="Times New Roman"/>
                <w:sz w:val="21"/>
              </w:rPr>
              <w:t>71,927,837</w:t>
            </w:r>
          </w:p>
        </w:tc>
      </w:tr>
      <w:tr>
        <w:trPr>
          <w:trHeight w:val="270" w:hRule="atLeast"/>
        </w:trPr>
        <w:tc>
          <w:tcPr>
            <w:tcW w:w="2871" w:type="dxa"/>
          </w:tcPr>
          <w:p>
            <w:pPr>
              <w:pStyle w:val="TableParagraph"/>
              <w:spacing w:line="250" w:lineRule="exact" w:before="1"/>
              <w:ind w:left="318"/>
              <w:rPr>
                <w:sz w:val="21"/>
              </w:rPr>
            </w:pPr>
            <w:r>
              <w:rPr>
                <w:spacing w:val="-1"/>
                <w:sz w:val="21"/>
              </w:rPr>
              <w:t>合同资产</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318"/>
              <w:rPr>
                <w:sz w:val="21"/>
              </w:rPr>
            </w:pPr>
            <w:r>
              <w:rPr>
                <w:spacing w:val="-1"/>
                <w:sz w:val="21"/>
              </w:rPr>
              <w:t>持有待售资产</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1"/>
                <w:sz w:val="21"/>
              </w:rPr>
              <w:t>一年内到期的非流动资产</w:t>
            </w:r>
            <w:r>
              <w:rPr>
                <w:sz w:val="21"/>
              </w:rPr>
              <w:t> </w:t>
            </w:r>
          </w:p>
        </w:tc>
        <w:tc>
          <w:tcPr>
            <w:tcW w:w="1104" w:type="dxa"/>
          </w:tcPr>
          <w:p>
            <w:pPr>
              <w:pStyle w:val="TableParagraph"/>
              <w:spacing w:line="252" w:lineRule="exact" w:before="1"/>
              <w:ind w:left="107"/>
              <w:rPr>
                <w:sz w:val="21"/>
              </w:rPr>
            </w:pPr>
            <w:r>
              <w:rPr>
                <w:sz w:val="21"/>
              </w:rPr>
              <w:t>七、12 </w:t>
            </w:r>
          </w:p>
        </w:tc>
        <w:tc>
          <w:tcPr>
            <w:tcW w:w="2484" w:type="dxa"/>
          </w:tcPr>
          <w:p>
            <w:pPr>
              <w:pStyle w:val="TableParagraph"/>
              <w:spacing w:before="10"/>
              <w:ind w:right="88"/>
              <w:jc w:val="right"/>
              <w:rPr>
                <w:rFonts w:ascii="Times New Roman"/>
                <w:sz w:val="21"/>
              </w:rPr>
            </w:pPr>
            <w:r>
              <w:rPr>
                <w:rFonts w:ascii="Times New Roman"/>
                <w:sz w:val="21"/>
              </w:rPr>
              <w:t>10,000</w:t>
            </w:r>
          </w:p>
        </w:tc>
        <w:tc>
          <w:tcPr>
            <w:tcW w:w="2350" w:type="dxa"/>
          </w:tcPr>
          <w:p>
            <w:pPr>
              <w:pStyle w:val="TableParagraph"/>
              <w:spacing w:before="10"/>
              <w:ind w:right="90"/>
              <w:jc w:val="right"/>
              <w:rPr>
                <w:rFonts w:ascii="Times New Roman"/>
                <w:sz w:val="21"/>
              </w:rPr>
            </w:pPr>
            <w:r>
              <w:rPr>
                <w:rFonts w:ascii="Times New Roman"/>
                <w:sz w:val="21"/>
              </w:rPr>
              <w:t>31,518</w:t>
            </w:r>
          </w:p>
        </w:tc>
      </w:tr>
      <w:tr>
        <w:trPr>
          <w:trHeight w:val="272" w:hRule="atLeast"/>
        </w:trPr>
        <w:tc>
          <w:tcPr>
            <w:tcW w:w="2871" w:type="dxa"/>
          </w:tcPr>
          <w:p>
            <w:pPr>
              <w:pStyle w:val="TableParagraph"/>
              <w:spacing w:line="252" w:lineRule="exact" w:before="1"/>
              <w:ind w:left="318"/>
              <w:rPr>
                <w:sz w:val="21"/>
              </w:rPr>
            </w:pPr>
            <w:r>
              <w:rPr>
                <w:spacing w:val="-1"/>
                <w:sz w:val="21"/>
              </w:rPr>
              <w:t>其他流动资产</w:t>
            </w:r>
            <w:r>
              <w:rPr>
                <w:sz w:val="21"/>
              </w:rPr>
              <w:t> </w:t>
            </w:r>
          </w:p>
        </w:tc>
        <w:tc>
          <w:tcPr>
            <w:tcW w:w="1104" w:type="dxa"/>
          </w:tcPr>
          <w:p>
            <w:pPr>
              <w:pStyle w:val="TableParagraph"/>
              <w:spacing w:line="252" w:lineRule="exact" w:before="1"/>
              <w:ind w:left="107"/>
              <w:rPr>
                <w:sz w:val="21"/>
              </w:rPr>
            </w:pPr>
            <w:r>
              <w:rPr>
                <w:sz w:val="21"/>
              </w:rPr>
              <w:t>七、13 </w:t>
            </w:r>
          </w:p>
        </w:tc>
        <w:tc>
          <w:tcPr>
            <w:tcW w:w="2484" w:type="dxa"/>
          </w:tcPr>
          <w:p>
            <w:pPr>
              <w:pStyle w:val="TableParagraph"/>
              <w:spacing w:before="7"/>
              <w:ind w:right="88"/>
              <w:jc w:val="right"/>
              <w:rPr>
                <w:rFonts w:ascii="Times New Roman"/>
                <w:sz w:val="21"/>
              </w:rPr>
            </w:pPr>
            <w:r>
              <w:rPr>
                <w:rFonts w:ascii="Times New Roman"/>
                <w:sz w:val="21"/>
              </w:rPr>
              <w:t>2,241,624</w:t>
            </w:r>
          </w:p>
        </w:tc>
        <w:tc>
          <w:tcPr>
            <w:tcW w:w="2350" w:type="dxa"/>
          </w:tcPr>
          <w:p>
            <w:pPr>
              <w:pStyle w:val="TableParagraph"/>
              <w:spacing w:before="7"/>
              <w:ind w:left="1399"/>
              <w:rPr>
                <w:rFonts w:ascii="Times New Roman"/>
                <w:sz w:val="21"/>
              </w:rPr>
            </w:pPr>
            <w:r>
              <w:rPr>
                <w:rFonts w:ascii="Times New Roman"/>
                <w:sz w:val="21"/>
              </w:rPr>
              <w:t>2,283,751</w:t>
            </w:r>
          </w:p>
        </w:tc>
      </w:tr>
      <w:tr>
        <w:trPr>
          <w:trHeight w:val="270" w:hRule="atLeast"/>
        </w:trPr>
        <w:tc>
          <w:tcPr>
            <w:tcW w:w="2871" w:type="dxa"/>
          </w:tcPr>
          <w:p>
            <w:pPr>
              <w:pStyle w:val="TableParagraph"/>
              <w:spacing w:line="250" w:lineRule="exact" w:before="1"/>
              <w:ind w:left="527"/>
              <w:rPr>
                <w:sz w:val="21"/>
              </w:rPr>
            </w:pPr>
            <w:r>
              <w:rPr>
                <w:spacing w:val="-1"/>
                <w:sz w:val="21"/>
              </w:rPr>
              <w:t>流动资产合计</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spacing w:before="7"/>
              <w:ind w:right="88"/>
              <w:jc w:val="right"/>
              <w:rPr>
                <w:rFonts w:ascii="Times New Roman"/>
                <w:sz w:val="21"/>
              </w:rPr>
            </w:pPr>
            <w:r>
              <w:rPr>
                <w:rFonts w:ascii="Times New Roman"/>
                <w:sz w:val="21"/>
              </w:rPr>
              <w:t>248,939,858</w:t>
            </w:r>
          </w:p>
        </w:tc>
        <w:tc>
          <w:tcPr>
            <w:tcW w:w="2350" w:type="dxa"/>
          </w:tcPr>
          <w:p>
            <w:pPr>
              <w:pStyle w:val="TableParagraph"/>
              <w:spacing w:before="7"/>
              <w:ind w:left="1188"/>
              <w:rPr>
                <w:rFonts w:ascii="Times New Roman"/>
                <w:sz w:val="21"/>
              </w:rPr>
            </w:pPr>
            <w:r>
              <w:rPr>
                <w:rFonts w:ascii="Times New Roman"/>
                <w:sz w:val="21"/>
              </w:rPr>
              <w:t>247,158,375</w:t>
            </w:r>
          </w:p>
        </w:tc>
      </w:tr>
      <w:tr>
        <w:trPr>
          <w:trHeight w:val="272" w:hRule="atLeast"/>
        </w:trPr>
        <w:tc>
          <w:tcPr>
            <w:tcW w:w="8809" w:type="dxa"/>
            <w:gridSpan w:val="4"/>
          </w:tcPr>
          <w:p>
            <w:pPr>
              <w:pStyle w:val="TableParagraph"/>
              <w:spacing w:line="252" w:lineRule="exact" w:before="1"/>
              <w:ind w:left="107"/>
              <w:rPr>
                <w:sz w:val="21"/>
              </w:rPr>
            </w:pPr>
            <w:r>
              <w:rPr>
                <w:sz w:val="21"/>
              </w:rPr>
              <w:t>非流动资产：</w:t>
            </w:r>
            <w:r>
              <w:rPr>
                <w:color w:val="008000"/>
                <w:sz w:val="21"/>
              </w:rPr>
              <w:t> </w:t>
            </w:r>
          </w:p>
        </w:tc>
      </w:tr>
      <w:tr>
        <w:trPr>
          <w:trHeight w:val="273" w:hRule="atLeast"/>
        </w:trPr>
        <w:tc>
          <w:tcPr>
            <w:tcW w:w="2871" w:type="dxa"/>
          </w:tcPr>
          <w:p>
            <w:pPr>
              <w:pStyle w:val="TableParagraph"/>
              <w:spacing w:line="252" w:lineRule="exact" w:before="1"/>
              <w:ind w:left="318"/>
              <w:rPr>
                <w:sz w:val="21"/>
              </w:rPr>
            </w:pPr>
            <w:r>
              <w:rPr>
                <w:spacing w:val="-1"/>
                <w:sz w:val="21"/>
              </w:rPr>
              <w:t>发放贷款和垫款</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line="252" w:lineRule="exact" w:before="1"/>
              <w:ind w:right="-15"/>
              <w:jc w:val="right"/>
              <w:rPr>
                <w:sz w:val="21"/>
              </w:rPr>
            </w:pPr>
            <w:r>
              <w:rPr>
                <w:w w:val="100"/>
                <w:sz w:val="21"/>
              </w:rPr>
              <w:t> </w:t>
            </w:r>
          </w:p>
        </w:tc>
        <w:tc>
          <w:tcPr>
            <w:tcW w:w="2350" w:type="dxa"/>
          </w:tcPr>
          <w:p>
            <w:pPr>
              <w:pStyle w:val="TableParagraph"/>
              <w:spacing w:line="252" w:lineRule="exact" w:before="1"/>
              <w:ind w:right="-15"/>
              <w:jc w:val="right"/>
              <w:rPr>
                <w:sz w:val="21"/>
              </w:rPr>
            </w:pPr>
            <w:r>
              <w:rPr>
                <w:w w:val="100"/>
                <w:sz w:val="21"/>
              </w:rPr>
              <w:t> </w:t>
            </w:r>
          </w:p>
        </w:tc>
      </w:tr>
      <w:tr>
        <w:trPr>
          <w:trHeight w:val="270" w:hRule="atLeast"/>
        </w:trPr>
        <w:tc>
          <w:tcPr>
            <w:tcW w:w="2871" w:type="dxa"/>
          </w:tcPr>
          <w:p>
            <w:pPr>
              <w:pStyle w:val="TableParagraph"/>
              <w:spacing w:line="250" w:lineRule="exact" w:before="1"/>
              <w:ind w:left="318"/>
              <w:rPr>
                <w:sz w:val="21"/>
              </w:rPr>
            </w:pPr>
            <w:r>
              <w:rPr>
                <w:spacing w:val="-1"/>
                <w:sz w:val="21"/>
              </w:rPr>
              <w:t>债权投资</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1"/>
                <w:sz w:val="21"/>
              </w:rPr>
              <w:t>其他债权投资</w:t>
            </w:r>
            <w:r>
              <w:rPr>
                <w:sz w:val="21"/>
              </w:rPr>
              <w:t> </w:t>
            </w:r>
          </w:p>
        </w:tc>
        <w:tc>
          <w:tcPr>
            <w:tcW w:w="1104" w:type="dxa"/>
          </w:tcPr>
          <w:p>
            <w:pPr>
              <w:pStyle w:val="TableParagraph"/>
              <w:spacing w:line="250" w:lineRule="exact" w:before="3"/>
              <w:ind w:left="107"/>
              <w:rPr>
                <w:sz w:val="21"/>
              </w:rPr>
            </w:pPr>
            <w:r>
              <w:rPr>
                <w:sz w:val="21"/>
              </w:rPr>
              <w:t>七、15 </w:t>
            </w:r>
          </w:p>
        </w:tc>
        <w:tc>
          <w:tcPr>
            <w:tcW w:w="2484" w:type="dxa"/>
          </w:tcPr>
          <w:p>
            <w:pPr>
              <w:pStyle w:val="TableParagraph"/>
              <w:spacing w:before="10"/>
              <w:ind w:right="90"/>
              <w:jc w:val="right"/>
              <w:rPr>
                <w:rFonts w:ascii="Times New Roman"/>
                <w:sz w:val="21"/>
              </w:rPr>
            </w:pPr>
            <w:r>
              <w:rPr>
                <w:rFonts w:ascii="Times New Roman"/>
                <w:w w:val="100"/>
                <w:sz w:val="21"/>
              </w:rPr>
              <w:t>-</w:t>
            </w:r>
          </w:p>
        </w:tc>
        <w:tc>
          <w:tcPr>
            <w:tcW w:w="2350" w:type="dxa"/>
          </w:tcPr>
          <w:p>
            <w:pPr>
              <w:pStyle w:val="TableParagraph"/>
              <w:spacing w:before="10"/>
              <w:ind w:right="90"/>
              <w:jc w:val="right"/>
              <w:rPr>
                <w:rFonts w:ascii="Times New Roman"/>
                <w:sz w:val="21"/>
              </w:rPr>
            </w:pPr>
            <w:r>
              <w:rPr>
                <w:rFonts w:ascii="Times New Roman"/>
                <w:sz w:val="21"/>
              </w:rPr>
              <w:t>10,000</w:t>
            </w:r>
          </w:p>
        </w:tc>
      </w:tr>
      <w:tr>
        <w:trPr>
          <w:trHeight w:val="273" w:hRule="atLeast"/>
        </w:trPr>
        <w:tc>
          <w:tcPr>
            <w:tcW w:w="2871" w:type="dxa"/>
          </w:tcPr>
          <w:p>
            <w:pPr>
              <w:pStyle w:val="TableParagraph"/>
              <w:spacing w:line="252" w:lineRule="exact" w:before="1"/>
              <w:ind w:left="318"/>
              <w:rPr>
                <w:sz w:val="21"/>
              </w:rPr>
            </w:pPr>
            <w:r>
              <w:rPr>
                <w:sz w:val="21"/>
              </w:rPr>
              <w:t>长期应收款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1"/>
                <w:sz w:val="21"/>
              </w:rPr>
              <w:t>长期股权投资</w:t>
            </w:r>
            <w:r>
              <w:rPr>
                <w:sz w:val="21"/>
              </w:rPr>
              <w:t> </w:t>
            </w:r>
          </w:p>
        </w:tc>
        <w:tc>
          <w:tcPr>
            <w:tcW w:w="1104" w:type="dxa"/>
          </w:tcPr>
          <w:p>
            <w:pPr>
              <w:pStyle w:val="TableParagraph"/>
              <w:spacing w:line="252" w:lineRule="exact" w:before="1"/>
              <w:ind w:left="107"/>
              <w:rPr>
                <w:sz w:val="21"/>
              </w:rPr>
            </w:pPr>
            <w:r>
              <w:rPr>
                <w:sz w:val="21"/>
              </w:rPr>
              <w:t>七、17 </w:t>
            </w:r>
          </w:p>
        </w:tc>
        <w:tc>
          <w:tcPr>
            <w:tcW w:w="2484" w:type="dxa"/>
          </w:tcPr>
          <w:p>
            <w:pPr>
              <w:pStyle w:val="TableParagraph"/>
              <w:spacing w:before="10"/>
              <w:ind w:right="88"/>
              <w:jc w:val="right"/>
              <w:rPr>
                <w:rFonts w:ascii="Times New Roman"/>
                <w:sz w:val="21"/>
              </w:rPr>
            </w:pPr>
            <w:r>
              <w:rPr>
                <w:rFonts w:ascii="Times New Roman"/>
                <w:sz w:val="21"/>
              </w:rPr>
              <w:t>12,215,696</w:t>
            </w:r>
          </w:p>
        </w:tc>
        <w:tc>
          <w:tcPr>
            <w:tcW w:w="2350" w:type="dxa"/>
          </w:tcPr>
          <w:p>
            <w:pPr>
              <w:pStyle w:val="TableParagraph"/>
              <w:spacing w:before="10"/>
              <w:ind w:left="1399"/>
              <w:rPr>
                <w:rFonts w:ascii="Times New Roman"/>
                <w:sz w:val="21"/>
              </w:rPr>
            </w:pPr>
            <w:r>
              <w:rPr>
                <w:rFonts w:ascii="Times New Roman"/>
                <w:sz w:val="21"/>
              </w:rPr>
              <w:t>3,167,922</w:t>
            </w:r>
          </w:p>
        </w:tc>
      </w:tr>
      <w:tr>
        <w:trPr>
          <w:trHeight w:val="270" w:hRule="atLeast"/>
        </w:trPr>
        <w:tc>
          <w:tcPr>
            <w:tcW w:w="2871" w:type="dxa"/>
          </w:tcPr>
          <w:p>
            <w:pPr>
              <w:pStyle w:val="TableParagraph"/>
              <w:spacing w:line="250" w:lineRule="exact" w:before="1"/>
              <w:ind w:left="318"/>
              <w:rPr>
                <w:sz w:val="21"/>
              </w:rPr>
            </w:pPr>
            <w:r>
              <w:rPr>
                <w:spacing w:val="-1"/>
                <w:sz w:val="21"/>
              </w:rPr>
              <w:t>其他权益工具投资</w:t>
            </w:r>
            <w:r>
              <w:rPr>
                <w:sz w:val="21"/>
              </w:rPr>
              <w:t> </w:t>
            </w:r>
          </w:p>
        </w:tc>
        <w:tc>
          <w:tcPr>
            <w:tcW w:w="1104" w:type="dxa"/>
          </w:tcPr>
          <w:p>
            <w:pPr>
              <w:pStyle w:val="TableParagraph"/>
              <w:spacing w:line="250" w:lineRule="exact" w:before="1"/>
              <w:ind w:left="107"/>
              <w:rPr>
                <w:sz w:val="21"/>
              </w:rPr>
            </w:pPr>
            <w:r>
              <w:rPr>
                <w:sz w:val="21"/>
              </w:rPr>
              <w:t>七、18 </w:t>
            </w:r>
          </w:p>
        </w:tc>
        <w:tc>
          <w:tcPr>
            <w:tcW w:w="2484" w:type="dxa"/>
          </w:tcPr>
          <w:p>
            <w:pPr>
              <w:pStyle w:val="TableParagraph"/>
              <w:spacing w:before="7"/>
              <w:ind w:right="88"/>
              <w:jc w:val="right"/>
              <w:rPr>
                <w:rFonts w:ascii="Times New Roman"/>
                <w:sz w:val="21"/>
              </w:rPr>
            </w:pPr>
            <w:r>
              <w:rPr>
                <w:rFonts w:ascii="Times New Roman"/>
                <w:sz w:val="21"/>
              </w:rPr>
              <w:t>388,257</w:t>
            </w:r>
          </w:p>
        </w:tc>
        <w:tc>
          <w:tcPr>
            <w:tcW w:w="2350" w:type="dxa"/>
          </w:tcPr>
          <w:p>
            <w:pPr>
              <w:pStyle w:val="TableParagraph"/>
              <w:spacing w:before="7"/>
              <w:ind w:right="90"/>
              <w:jc w:val="right"/>
              <w:rPr>
                <w:rFonts w:ascii="Times New Roman"/>
                <w:sz w:val="21"/>
              </w:rPr>
            </w:pPr>
            <w:r>
              <w:rPr>
                <w:rFonts w:ascii="Times New Roman"/>
                <w:sz w:val="21"/>
              </w:rPr>
              <w:t>128,747</w:t>
            </w:r>
          </w:p>
        </w:tc>
      </w:tr>
      <w:tr>
        <w:trPr>
          <w:trHeight w:val="277" w:hRule="atLeast"/>
        </w:trPr>
        <w:tc>
          <w:tcPr>
            <w:tcW w:w="2871" w:type="dxa"/>
          </w:tcPr>
          <w:p>
            <w:pPr>
              <w:pStyle w:val="TableParagraph"/>
              <w:spacing w:line="255" w:lineRule="exact" w:before="3"/>
              <w:ind w:left="318"/>
              <w:rPr>
                <w:sz w:val="21"/>
              </w:rPr>
            </w:pPr>
            <w:r>
              <w:rPr>
                <w:spacing w:val="-1"/>
                <w:sz w:val="21"/>
              </w:rPr>
              <w:t>其他非流动金融资产</w:t>
            </w:r>
            <w:r>
              <w:rPr>
                <w:sz w:val="21"/>
              </w:rPr>
              <w:t> </w:t>
            </w:r>
          </w:p>
        </w:tc>
        <w:tc>
          <w:tcPr>
            <w:tcW w:w="1104" w:type="dxa"/>
          </w:tcPr>
          <w:p>
            <w:pPr>
              <w:pStyle w:val="TableParagraph"/>
              <w:spacing w:line="255" w:lineRule="exact" w:before="3"/>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1" w:hRule="atLeast"/>
        </w:trPr>
        <w:tc>
          <w:tcPr>
            <w:tcW w:w="2871" w:type="dxa"/>
          </w:tcPr>
          <w:p>
            <w:pPr>
              <w:pStyle w:val="TableParagraph"/>
              <w:spacing w:line="250" w:lineRule="exact" w:before="1"/>
              <w:ind w:left="318"/>
              <w:rPr>
                <w:sz w:val="21"/>
              </w:rPr>
            </w:pPr>
            <w:r>
              <w:rPr>
                <w:spacing w:val="-1"/>
                <w:sz w:val="21"/>
              </w:rPr>
              <w:t>投资性房地产</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318"/>
              <w:rPr>
                <w:sz w:val="21"/>
              </w:rPr>
            </w:pPr>
            <w:r>
              <w:rPr>
                <w:spacing w:val="-1"/>
                <w:sz w:val="21"/>
              </w:rPr>
              <w:t>固定资产</w:t>
            </w:r>
            <w:r>
              <w:rPr>
                <w:sz w:val="21"/>
              </w:rPr>
              <w:t> </w:t>
            </w:r>
          </w:p>
        </w:tc>
        <w:tc>
          <w:tcPr>
            <w:tcW w:w="1104" w:type="dxa"/>
          </w:tcPr>
          <w:p>
            <w:pPr>
              <w:pStyle w:val="TableParagraph"/>
              <w:spacing w:line="250" w:lineRule="exact" w:before="3"/>
              <w:ind w:left="107"/>
              <w:rPr>
                <w:sz w:val="21"/>
              </w:rPr>
            </w:pPr>
            <w:r>
              <w:rPr>
                <w:sz w:val="21"/>
              </w:rPr>
              <w:t>七、21 </w:t>
            </w:r>
          </w:p>
        </w:tc>
        <w:tc>
          <w:tcPr>
            <w:tcW w:w="2484" w:type="dxa"/>
          </w:tcPr>
          <w:p>
            <w:pPr>
              <w:pStyle w:val="TableParagraph"/>
              <w:spacing w:before="10"/>
              <w:ind w:right="88"/>
              <w:jc w:val="right"/>
              <w:rPr>
                <w:rFonts w:ascii="Times New Roman"/>
                <w:sz w:val="21"/>
              </w:rPr>
            </w:pPr>
            <w:r>
              <w:rPr>
                <w:rFonts w:ascii="Times New Roman"/>
                <w:sz w:val="21"/>
              </w:rPr>
              <w:t>15,937,003</w:t>
            </w:r>
          </w:p>
        </w:tc>
        <w:tc>
          <w:tcPr>
            <w:tcW w:w="2350" w:type="dxa"/>
          </w:tcPr>
          <w:p>
            <w:pPr>
              <w:pStyle w:val="TableParagraph"/>
              <w:spacing w:before="10"/>
              <w:ind w:left="1399"/>
              <w:rPr>
                <w:rFonts w:ascii="Times New Roman"/>
                <w:sz w:val="21"/>
              </w:rPr>
            </w:pPr>
            <w:r>
              <w:rPr>
                <w:rFonts w:ascii="Times New Roman"/>
                <w:sz w:val="21"/>
              </w:rPr>
              <w:t>9,493,537</w:t>
            </w:r>
          </w:p>
        </w:tc>
      </w:tr>
      <w:tr>
        <w:trPr>
          <w:trHeight w:val="273" w:hRule="atLeast"/>
        </w:trPr>
        <w:tc>
          <w:tcPr>
            <w:tcW w:w="2871" w:type="dxa"/>
          </w:tcPr>
          <w:p>
            <w:pPr>
              <w:pStyle w:val="TableParagraph"/>
              <w:spacing w:line="252" w:lineRule="exact" w:before="1"/>
              <w:ind w:left="318"/>
              <w:rPr>
                <w:sz w:val="21"/>
              </w:rPr>
            </w:pPr>
            <w:r>
              <w:rPr>
                <w:spacing w:val="-1"/>
                <w:sz w:val="21"/>
              </w:rPr>
              <w:t>在建工程</w:t>
            </w:r>
            <w:r>
              <w:rPr>
                <w:sz w:val="21"/>
              </w:rPr>
              <w:t> </w:t>
            </w:r>
          </w:p>
        </w:tc>
        <w:tc>
          <w:tcPr>
            <w:tcW w:w="1104" w:type="dxa"/>
          </w:tcPr>
          <w:p>
            <w:pPr>
              <w:pStyle w:val="TableParagraph"/>
              <w:spacing w:line="252" w:lineRule="exact" w:before="1"/>
              <w:ind w:left="107"/>
              <w:rPr>
                <w:sz w:val="21"/>
              </w:rPr>
            </w:pPr>
            <w:r>
              <w:rPr>
                <w:sz w:val="21"/>
              </w:rPr>
              <w:t>七、22 </w:t>
            </w:r>
          </w:p>
        </w:tc>
        <w:tc>
          <w:tcPr>
            <w:tcW w:w="2484" w:type="dxa"/>
          </w:tcPr>
          <w:p>
            <w:pPr>
              <w:pStyle w:val="TableParagraph"/>
              <w:spacing w:before="10"/>
              <w:ind w:right="88"/>
              <w:jc w:val="right"/>
              <w:rPr>
                <w:rFonts w:ascii="Times New Roman"/>
                <w:sz w:val="21"/>
              </w:rPr>
            </w:pPr>
            <w:r>
              <w:rPr>
                <w:rFonts w:ascii="Times New Roman"/>
                <w:sz w:val="21"/>
              </w:rPr>
              <w:t>701,408</w:t>
            </w:r>
          </w:p>
        </w:tc>
        <w:tc>
          <w:tcPr>
            <w:tcW w:w="2350" w:type="dxa"/>
          </w:tcPr>
          <w:p>
            <w:pPr>
              <w:pStyle w:val="TableParagraph"/>
              <w:spacing w:before="10"/>
              <w:ind w:left="1399"/>
              <w:rPr>
                <w:rFonts w:ascii="Times New Roman"/>
                <w:sz w:val="21"/>
              </w:rPr>
            </w:pPr>
            <w:r>
              <w:rPr>
                <w:rFonts w:ascii="Times New Roman"/>
                <w:sz w:val="21"/>
              </w:rPr>
              <w:t>1,414,692</w:t>
            </w:r>
          </w:p>
        </w:tc>
      </w:tr>
      <w:tr>
        <w:trPr>
          <w:trHeight w:val="270" w:hRule="atLeast"/>
        </w:trPr>
        <w:tc>
          <w:tcPr>
            <w:tcW w:w="2871" w:type="dxa"/>
          </w:tcPr>
          <w:p>
            <w:pPr>
              <w:pStyle w:val="TableParagraph"/>
              <w:spacing w:line="250" w:lineRule="exact" w:before="1"/>
              <w:ind w:left="318"/>
              <w:rPr>
                <w:sz w:val="21"/>
              </w:rPr>
            </w:pPr>
            <w:r>
              <w:rPr>
                <w:spacing w:val="-1"/>
                <w:sz w:val="21"/>
              </w:rPr>
              <w:t>生产性生物资产</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318"/>
              <w:rPr>
                <w:sz w:val="21"/>
              </w:rPr>
            </w:pPr>
            <w:r>
              <w:rPr>
                <w:spacing w:val="-1"/>
                <w:sz w:val="21"/>
              </w:rPr>
              <w:t>油气资产</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z w:val="21"/>
              </w:rPr>
              <w:t>使用权资产 </w:t>
            </w:r>
          </w:p>
        </w:tc>
        <w:tc>
          <w:tcPr>
            <w:tcW w:w="1104" w:type="dxa"/>
          </w:tcPr>
          <w:p>
            <w:pPr>
              <w:pStyle w:val="TableParagraph"/>
              <w:spacing w:line="252" w:lineRule="exact" w:before="1"/>
              <w:ind w:left="107"/>
              <w:rPr>
                <w:sz w:val="21"/>
              </w:rPr>
            </w:pPr>
            <w:r>
              <w:rPr>
                <w:sz w:val="21"/>
              </w:rPr>
              <w:t>七、25 </w:t>
            </w:r>
          </w:p>
        </w:tc>
        <w:tc>
          <w:tcPr>
            <w:tcW w:w="2484" w:type="dxa"/>
          </w:tcPr>
          <w:p>
            <w:pPr>
              <w:pStyle w:val="TableParagraph"/>
              <w:spacing w:before="10"/>
              <w:ind w:right="88"/>
              <w:jc w:val="right"/>
              <w:rPr>
                <w:rFonts w:ascii="Times New Roman"/>
                <w:sz w:val="21"/>
              </w:rPr>
            </w:pPr>
            <w:r>
              <w:rPr>
                <w:rFonts w:ascii="Times New Roman"/>
                <w:sz w:val="21"/>
              </w:rPr>
              <w:t>2,077,855</w:t>
            </w:r>
          </w:p>
        </w:tc>
        <w:tc>
          <w:tcPr>
            <w:tcW w:w="2350" w:type="dxa"/>
          </w:tcPr>
          <w:p>
            <w:pPr>
              <w:pStyle w:val="TableParagraph"/>
              <w:spacing w:before="10"/>
              <w:ind w:left="1399"/>
              <w:rPr>
                <w:rFonts w:ascii="Times New Roman"/>
                <w:sz w:val="21"/>
              </w:rPr>
            </w:pPr>
            <w:r>
              <w:rPr>
                <w:rFonts w:ascii="Times New Roman"/>
                <w:sz w:val="21"/>
              </w:rPr>
              <w:t>2,119,621</w:t>
            </w:r>
          </w:p>
        </w:tc>
      </w:tr>
      <w:tr>
        <w:trPr>
          <w:trHeight w:val="273" w:hRule="atLeast"/>
        </w:trPr>
        <w:tc>
          <w:tcPr>
            <w:tcW w:w="2871" w:type="dxa"/>
          </w:tcPr>
          <w:p>
            <w:pPr>
              <w:pStyle w:val="TableParagraph"/>
              <w:spacing w:line="252" w:lineRule="exact" w:before="1"/>
              <w:ind w:left="318"/>
              <w:rPr>
                <w:sz w:val="21"/>
              </w:rPr>
            </w:pPr>
            <w:r>
              <w:rPr>
                <w:spacing w:val="-1"/>
                <w:sz w:val="21"/>
              </w:rPr>
              <w:t>无形资产</w:t>
            </w:r>
            <w:r>
              <w:rPr>
                <w:sz w:val="21"/>
              </w:rPr>
              <w:t> </w:t>
            </w:r>
          </w:p>
        </w:tc>
        <w:tc>
          <w:tcPr>
            <w:tcW w:w="1104" w:type="dxa"/>
          </w:tcPr>
          <w:p>
            <w:pPr>
              <w:pStyle w:val="TableParagraph"/>
              <w:spacing w:line="252" w:lineRule="exact" w:before="1"/>
              <w:ind w:left="107"/>
              <w:rPr>
                <w:sz w:val="21"/>
              </w:rPr>
            </w:pPr>
            <w:r>
              <w:rPr>
                <w:sz w:val="21"/>
              </w:rPr>
              <w:t>七、26 </w:t>
            </w:r>
          </w:p>
        </w:tc>
        <w:tc>
          <w:tcPr>
            <w:tcW w:w="2484" w:type="dxa"/>
          </w:tcPr>
          <w:p>
            <w:pPr>
              <w:pStyle w:val="TableParagraph"/>
              <w:spacing w:before="10"/>
              <w:ind w:right="88"/>
              <w:jc w:val="right"/>
              <w:rPr>
                <w:rFonts w:ascii="Times New Roman"/>
                <w:sz w:val="21"/>
              </w:rPr>
            </w:pPr>
            <w:r>
              <w:rPr>
                <w:rFonts w:ascii="Times New Roman"/>
                <w:sz w:val="21"/>
              </w:rPr>
              <w:t>440,305</w:t>
            </w:r>
          </w:p>
        </w:tc>
        <w:tc>
          <w:tcPr>
            <w:tcW w:w="2350" w:type="dxa"/>
          </w:tcPr>
          <w:p>
            <w:pPr>
              <w:pStyle w:val="TableParagraph"/>
              <w:spacing w:before="10"/>
              <w:ind w:right="90"/>
              <w:jc w:val="right"/>
              <w:rPr>
                <w:rFonts w:ascii="Times New Roman"/>
                <w:sz w:val="21"/>
              </w:rPr>
            </w:pPr>
            <w:r>
              <w:rPr>
                <w:rFonts w:ascii="Times New Roman"/>
                <w:sz w:val="21"/>
              </w:rPr>
              <w:t>407,013</w:t>
            </w:r>
          </w:p>
        </w:tc>
      </w:tr>
      <w:tr>
        <w:trPr>
          <w:trHeight w:val="270" w:hRule="atLeast"/>
        </w:trPr>
        <w:tc>
          <w:tcPr>
            <w:tcW w:w="2871" w:type="dxa"/>
          </w:tcPr>
          <w:p>
            <w:pPr>
              <w:pStyle w:val="TableParagraph"/>
              <w:spacing w:line="250" w:lineRule="exact" w:before="1"/>
              <w:ind w:left="318"/>
              <w:rPr>
                <w:sz w:val="21"/>
              </w:rPr>
            </w:pPr>
            <w:r>
              <w:rPr>
                <w:spacing w:val="-1"/>
                <w:sz w:val="21"/>
              </w:rPr>
              <w:t>开发支出</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318"/>
              <w:rPr>
                <w:sz w:val="21"/>
              </w:rPr>
            </w:pPr>
            <w:r>
              <w:rPr>
                <w:sz w:val="21"/>
              </w:rPr>
              <w:t>商誉 </w:t>
            </w:r>
          </w:p>
        </w:tc>
        <w:tc>
          <w:tcPr>
            <w:tcW w:w="1104" w:type="dxa"/>
          </w:tcPr>
          <w:p>
            <w:pPr>
              <w:pStyle w:val="TableParagraph"/>
              <w:spacing w:line="250" w:lineRule="exact" w:before="3"/>
              <w:ind w:left="107"/>
              <w:rPr>
                <w:sz w:val="21"/>
              </w:rPr>
            </w:pPr>
            <w:r>
              <w:rPr>
                <w:sz w:val="21"/>
              </w:rPr>
              <w:t>七、28 </w:t>
            </w:r>
          </w:p>
        </w:tc>
        <w:tc>
          <w:tcPr>
            <w:tcW w:w="2484" w:type="dxa"/>
          </w:tcPr>
          <w:p>
            <w:pPr>
              <w:pStyle w:val="TableParagraph"/>
              <w:spacing w:line="237" w:lineRule="exact"/>
              <w:ind w:right="88"/>
              <w:jc w:val="right"/>
              <w:rPr>
                <w:rFonts w:ascii="Times New Roman"/>
                <w:sz w:val="21"/>
              </w:rPr>
            </w:pPr>
            <w:r>
              <w:rPr>
                <w:rFonts w:ascii="Times New Roman"/>
                <w:sz w:val="21"/>
              </w:rPr>
              <w:t>310,153</w:t>
            </w: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1"/>
                <w:sz w:val="21"/>
              </w:rPr>
              <w:t>长期待摊费用</w:t>
            </w:r>
            <w:r>
              <w:rPr>
                <w:sz w:val="21"/>
              </w:rPr>
              <w:t> </w:t>
            </w:r>
          </w:p>
        </w:tc>
        <w:tc>
          <w:tcPr>
            <w:tcW w:w="1104" w:type="dxa"/>
          </w:tcPr>
          <w:p>
            <w:pPr>
              <w:pStyle w:val="TableParagraph"/>
              <w:spacing w:line="252" w:lineRule="exact" w:before="1"/>
              <w:ind w:left="107"/>
              <w:rPr>
                <w:sz w:val="21"/>
              </w:rPr>
            </w:pPr>
            <w:r>
              <w:rPr>
                <w:sz w:val="21"/>
              </w:rPr>
              <w:t>七、29 </w:t>
            </w:r>
          </w:p>
        </w:tc>
        <w:tc>
          <w:tcPr>
            <w:tcW w:w="2484" w:type="dxa"/>
          </w:tcPr>
          <w:p>
            <w:pPr>
              <w:pStyle w:val="TableParagraph"/>
              <w:spacing w:before="10"/>
              <w:ind w:right="88"/>
              <w:jc w:val="right"/>
              <w:rPr>
                <w:rFonts w:ascii="Times New Roman"/>
                <w:sz w:val="21"/>
              </w:rPr>
            </w:pPr>
            <w:r>
              <w:rPr>
                <w:rFonts w:ascii="Times New Roman"/>
                <w:sz w:val="21"/>
              </w:rPr>
              <w:t>1,744,506</w:t>
            </w:r>
          </w:p>
        </w:tc>
        <w:tc>
          <w:tcPr>
            <w:tcW w:w="2350" w:type="dxa"/>
          </w:tcPr>
          <w:p>
            <w:pPr>
              <w:pStyle w:val="TableParagraph"/>
              <w:spacing w:before="10"/>
              <w:ind w:left="1399"/>
              <w:rPr>
                <w:rFonts w:ascii="Times New Roman"/>
                <w:sz w:val="21"/>
              </w:rPr>
            </w:pPr>
            <w:r>
              <w:rPr>
                <w:rFonts w:ascii="Times New Roman"/>
                <w:sz w:val="21"/>
              </w:rPr>
              <w:t>1,255,753</w:t>
            </w:r>
          </w:p>
        </w:tc>
      </w:tr>
      <w:tr>
        <w:trPr>
          <w:trHeight w:val="272" w:hRule="atLeast"/>
        </w:trPr>
        <w:tc>
          <w:tcPr>
            <w:tcW w:w="2871" w:type="dxa"/>
          </w:tcPr>
          <w:p>
            <w:pPr>
              <w:pStyle w:val="TableParagraph"/>
              <w:spacing w:line="252" w:lineRule="exact" w:before="1"/>
              <w:ind w:left="318"/>
              <w:rPr>
                <w:sz w:val="21"/>
              </w:rPr>
            </w:pPr>
            <w:r>
              <w:rPr>
                <w:spacing w:val="-1"/>
                <w:sz w:val="21"/>
              </w:rPr>
              <w:t>递延所得税资产</w:t>
            </w:r>
            <w:r>
              <w:rPr>
                <w:sz w:val="21"/>
              </w:rPr>
              <w:t> </w:t>
            </w:r>
          </w:p>
        </w:tc>
        <w:tc>
          <w:tcPr>
            <w:tcW w:w="1104" w:type="dxa"/>
          </w:tcPr>
          <w:p>
            <w:pPr>
              <w:pStyle w:val="TableParagraph"/>
              <w:spacing w:line="252" w:lineRule="exact" w:before="1"/>
              <w:ind w:left="107"/>
              <w:rPr>
                <w:sz w:val="21"/>
              </w:rPr>
            </w:pPr>
            <w:r>
              <w:rPr>
                <w:sz w:val="21"/>
              </w:rPr>
              <w:t>七、30 </w:t>
            </w:r>
          </w:p>
        </w:tc>
        <w:tc>
          <w:tcPr>
            <w:tcW w:w="2484" w:type="dxa"/>
          </w:tcPr>
          <w:p>
            <w:pPr>
              <w:pStyle w:val="TableParagraph"/>
              <w:spacing w:before="10"/>
              <w:ind w:right="88"/>
              <w:jc w:val="right"/>
              <w:rPr>
                <w:rFonts w:ascii="Times New Roman"/>
                <w:sz w:val="21"/>
              </w:rPr>
            </w:pPr>
            <w:r>
              <w:rPr>
                <w:rFonts w:ascii="Times New Roman"/>
                <w:sz w:val="21"/>
              </w:rPr>
              <w:t>954,625</w:t>
            </w:r>
          </w:p>
        </w:tc>
        <w:tc>
          <w:tcPr>
            <w:tcW w:w="2350" w:type="dxa"/>
          </w:tcPr>
          <w:p>
            <w:pPr>
              <w:pStyle w:val="TableParagraph"/>
              <w:spacing w:before="10"/>
              <w:ind w:left="1399"/>
              <w:rPr>
                <w:rFonts w:ascii="Times New Roman"/>
                <w:sz w:val="21"/>
              </w:rPr>
            </w:pPr>
            <w:r>
              <w:rPr>
                <w:rFonts w:ascii="Times New Roman"/>
                <w:sz w:val="21"/>
              </w:rPr>
              <w:t>1,030,287</w:t>
            </w:r>
          </w:p>
        </w:tc>
      </w:tr>
    </w:tbl>
    <w:p>
      <w:pPr>
        <w:spacing w:after="0"/>
        <w:rPr>
          <w:rFonts w:ascii="Times New Roman"/>
          <w:sz w:val="21"/>
        </w:rPr>
        <w:sectPr>
          <w:type w:val="continuous"/>
          <w:pgSz w:w="11910" w:h="16840"/>
          <w:pgMar w:top="780" w:bottom="280" w:left="1480" w:right="0"/>
        </w:sectPr>
      </w:pPr>
    </w:p>
    <w:p>
      <w:pPr>
        <w:pStyle w:val="BodyText"/>
        <w:ind w:left="0"/>
        <w:rPr>
          <w:sz w:val="20"/>
        </w:rPr>
      </w:pPr>
    </w:p>
    <w:p>
      <w:pPr>
        <w:pStyle w:val="BodyText"/>
        <w:spacing w:before="1"/>
        <w:ind w:left="0"/>
        <w:rPr>
          <w:sz w:val="11"/>
        </w:rPr>
      </w:pPr>
    </w:p>
    <w:tbl>
      <w:tblPr>
        <w:tblW w:w="0" w:type="auto"/>
        <w:jc w:val="left"/>
        <w:tblInd w:w="3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71"/>
        <w:gridCol w:w="1104"/>
        <w:gridCol w:w="2484"/>
        <w:gridCol w:w="2350"/>
      </w:tblGrid>
      <w:tr>
        <w:trPr>
          <w:trHeight w:val="273" w:hRule="atLeast"/>
        </w:trPr>
        <w:tc>
          <w:tcPr>
            <w:tcW w:w="2871" w:type="dxa"/>
          </w:tcPr>
          <w:p>
            <w:pPr>
              <w:pStyle w:val="TableParagraph"/>
              <w:spacing w:line="250" w:lineRule="exact" w:before="3"/>
              <w:ind w:left="318"/>
              <w:rPr>
                <w:sz w:val="21"/>
              </w:rPr>
            </w:pPr>
            <w:r>
              <w:rPr>
                <w:spacing w:val="-1"/>
                <w:sz w:val="21"/>
              </w:rPr>
              <w:t>其他非流动资产</w:t>
            </w:r>
            <w:r>
              <w:rPr>
                <w:sz w:val="21"/>
              </w:rPr>
              <w:t> </w:t>
            </w:r>
          </w:p>
        </w:tc>
        <w:tc>
          <w:tcPr>
            <w:tcW w:w="1104" w:type="dxa"/>
          </w:tcPr>
          <w:p>
            <w:pPr>
              <w:pStyle w:val="TableParagraph"/>
              <w:spacing w:line="250" w:lineRule="exact" w:before="3"/>
              <w:ind w:left="107"/>
              <w:rPr>
                <w:sz w:val="21"/>
              </w:rPr>
            </w:pPr>
            <w:r>
              <w:rPr>
                <w:sz w:val="21"/>
              </w:rPr>
              <w:t>七、31 </w:t>
            </w:r>
          </w:p>
        </w:tc>
        <w:tc>
          <w:tcPr>
            <w:tcW w:w="2484" w:type="dxa"/>
          </w:tcPr>
          <w:p>
            <w:pPr>
              <w:pStyle w:val="TableParagraph"/>
              <w:spacing w:before="10"/>
              <w:ind w:right="88"/>
              <w:jc w:val="right"/>
              <w:rPr>
                <w:rFonts w:ascii="Times New Roman"/>
                <w:sz w:val="21"/>
              </w:rPr>
            </w:pPr>
            <w:r>
              <w:rPr>
                <w:rFonts w:ascii="Times New Roman"/>
                <w:sz w:val="21"/>
              </w:rPr>
              <w:t>477,996</w:t>
            </w:r>
          </w:p>
        </w:tc>
        <w:tc>
          <w:tcPr>
            <w:tcW w:w="2350" w:type="dxa"/>
          </w:tcPr>
          <w:p>
            <w:pPr>
              <w:pStyle w:val="TableParagraph"/>
              <w:spacing w:before="10"/>
              <w:ind w:right="90"/>
              <w:jc w:val="right"/>
              <w:rPr>
                <w:rFonts w:ascii="Times New Roman"/>
                <w:sz w:val="21"/>
              </w:rPr>
            </w:pPr>
            <w:r>
              <w:rPr>
                <w:rFonts w:ascii="Times New Roman"/>
                <w:sz w:val="21"/>
              </w:rPr>
              <w:t>422,828</w:t>
            </w:r>
          </w:p>
        </w:tc>
      </w:tr>
      <w:tr>
        <w:trPr>
          <w:trHeight w:val="273" w:hRule="atLeast"/>
        </w:trPr>
        <w:tc>
          <w:tcPr>
            <w:tcW w:w="2871" w:type="dxa"/>
          </w:tcPr>
          <w:p>
            <w:pPr>
              <w:pStyle w:val="TableParagraph"/>
              <w:spacing w:line="252" w:lineRule="exact" w:before="1"/>
              <w:ind w:left="527"/>
              <w:rPr>
                <w:sz w:val="21"/>
              </w:rPr>
            </w:pPr>
            <w:r>
              <w:rPr>
                <w:sz w:val="21"/>
              </w:rPr>
              <w:t>非流动资产合计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35,247,804</w:t>
            </w:r>
          </w:p>
        </w:tc>
        <w:tc>
          <w:tcPr>
            <w:tcW w:w="2350" w:type="dxa"/>
          </w:tcPr>
          <w:p>
            <w:pPr>
              <w:pStyle w:val="TableParagraph"/>
              <w:spacing w:before="10"/>
              <w:ind w:left="1294"/>
              <w:rPr>
                <w:rFonts w:ascii="Times New Roman"/>
                <w:sz w:val="21"/>
              </w:rPr>
            </w:pPr>
            <w:r>
              <w:rPr>
                <w:rFonts w:ascii="Times New Roman"/>
                <w:sz w:val="21"/>
              </w:rPr>
              <w:t>19,450,400</w:t>
            </w:r>
          </w:p>
        </w:tc>
      </w:tr>
      <w:tr>
        <w:trPr>
          <w:trHeight w:val="272" w:hRule="atLeast"/>
        </w:trPr>
        <w:tc>
          <w:tcPr>
            <w:tcW w:w="2871" w:type="dxa"/>
          </w:tcPr>
          <w:p>
            <w:pPr>
              <w:pStyle w:val="TableParagraph"/>
              <w:spacing w:line="252" w:lineRule="exact" w:before="1"/>
              <w:ind w:left="738"/>
              <w:rPr>
                <w:sz w:val="21"/>
              </w:rPr>
            </w:pPr>
            <w:r>
              <w:rPr>
                <w:spacing w:val="-1"/>
                <w:sz w:val="21"/>
              </w:rPr>
              <w:t>资产总计</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284,187,662</w:t>
            </w:r>
          </w:p>
        </w:tc>
        <w:tc>
          <w:tcPr>
            <w:tcW w:w="2350" w:type="dxa"/>
          </w:tcPr>
          <w:p>
            <w:pPr>
              <w:pStyle w:val="TableParagraph"/>
              <w:spacing w:before="10"/>
              <w:ind w:left="1188"/>
              <w:rPr>
                <w:rFonts w:ascii="Times New Roman"/>
                <w:sz w:val="21"/>
              </w:rPr>
            </w:pPr>
            <w:r>
              <w:rPr>
                <w:rFonts w:ascii="Times New Roman"/>
                <w:sz w:val="21"/>
              </w:rPr>
              <w:t>266,608,775</w:t>
            </w:r>
          </w:p>
        </w:tc>
      </w:tr>
      <w:tr>
        <w:trPr>
          <w:trHeight w:val="270" w:hRule="atLeast"/>
        </w:trPr>
        <w:tc>
          <w:tcPr>
            <w:tcW w:w="8809" w:type="dxa"/>
            <w:gridSpan w:val="4"/>
          </w:tcPr>
          <w:p>
            <w:pPr>
              <w:pStyle w:val="TableParagraph"/>
              <w:spacing w:line="250" w:lineRule="exact" w:before="1"/>
              <w:ind w:left="107"/>
              <w:rPr>
                <w:sz w:val="21"/>
              </w:rPr>
            </w:pPr>
            <w:r>
              <w:rPr>
                <w:sz w:val="21"/>
              </w:rPr>
              <w:t>流动负债：</w:t>
            </w:r>
            <w:r>
              <w:rPr>
                <w:color w:val="FF00FF"/>
                <w:sz w:val="21"/>
              </w:rPr>
              <w:t> </w:t>
            </w:r>
          </w:p>
        </w:tc>
      </w:tr>
      <w:tr>
        <w:trPr>
          <w:trHeight w:val="272" w:hRule="atLeast"/>
        </w:trPr>
        <w:tc>
          <w:tcPr>
            <w:tcW w:w="2871" w:type="dxa"/>
          </w:tcPr>
          <w:p>
            <w:pPr>
              <w:pStyle w:val="TableParagraph"/>
              <w:spacing w:line="250" w:lineRule="exact" w:before="3"/>
              <w:ind w:left="318"/>
              <w:rPr>
                <w:sz w:val="21"/>
              </w:rPr>
            </w:pPr>
            <w:r>
              <w:rPr>
                <w:spacing w:val="-1"/>
                <w:sz w:val="21"/>
              </w:rPr>
              <w:t>短期借款</w:t>
            </w:r>
            <w:r>
              <w:rPr>
                <w:sz w:val="21"/>
              </w:rPr>
              <w:t> </w:t>
            </w:r>
          </w:p>
        </w:tc>
        <w:tc>
          <w:tcPr>
            <w:tcW w:w="1104" w:type="dxa"/>
          </w:tcPr>
          <w:p>
            <w:pPr>
              <w:pStyle w:val="TableParagraph"/>
              <w:spacing w:line="250" w:lineRule="exact" w:before="3"/>
              <w:ind w:left="107"/>
              <w:rPr>
                <w:sz w:val="21"/>
              </w:rPr>
            </w:pPr>
            <w:r>
              <w:rPr>
                <w:sz w:val="21"/>
              </w:rPr>
              <w:t>七、32 </w:t>
            </w:r>
          </w:p>
        </w:tc>
        <w:tc>
          <w:tcPr>
            <w:tcW w:w="2484" w:type="dxa"/>
          </w:tcPr>
          <w:p>
            <w:pPr>
              <w:pStyle w:val="TableParagraph"/>
              <w:spacing w:before="10"/>
              <w:ind w:right="88"/>
              <w:jc w:val="right"/>
              <w:rPr>
                <w:rFonts w:ascii="Times New Roman"/>
                <w:sz w:val="21"/>
              </w:rPr>
            </w:pPr>
            <w:r>
              <w:rPr>
                <w:rFonts w:ascii="Times New Roman"/>
                <w:sz w:val="21"/>
              </w:rPr>
              <w:t>50,497,692</w:t>
            </w:r>
          </w:p>
        </w:tc>
        <w:tc>
          <w:tcPr>
            <w:tcW w:w="2350" w:type="dxa"/>
          </w:tcPr>
          <w:p>
            <w:pPr>
              <w:pStyle w:val="TableParagraph"/>
              <w:spacing w:before="10"/>
              <w:ind w:left="1294"/>
              <w:rPr>
                <w:rFonts w:ascii="Times New Roman"/>
                <w:sz w:val="21"/>
              </w:rPr>
            </w:pPr>
            <w:r>
              <w:rPr>
                <w:rFonts w:ascii="Times New Roman"/>
                <w:sz w:val="21"/>
              </w:rPr>
              <w:t>52,136,654</w:t>
            </w:r>
          </w:p>
        </w:tc>
      </w:tr>
      <w:tr>
        <w:trPr>
          <w:trHeight w:val="272" w:hRule="atLeast"/>
        </w:trPr>
        <w:tc>
          <w:tcPr>
            <w:tcW w:w="2871" w:type="dxa"/>
          </w:tcPr>
          <w:p>
            <w:pPr>
              <w:pStyle w:val="TableParagraph"/>
              <w:spacing w:line="252" w:lineRule="exact" w:before="1"/>
              <w:ind w:left="318"/>
              <w:rPr>
                <w:sz w:val="21"/>
              </w:rPr>
            </w:pPr>
            <w:r>
              <w:rPr>
                <w:spacing w:val="-1"/>
                <w:sz w:val="21"/>
              </w:rPr>
              <w:t>向中央银行借款</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1"/>
                <w:sz w:val="21"/>
              </w:rPr>
              <w:t>拆入资金</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5" w:hRule="atLeast"/>
        </w:trPr>
        <w:tc>
          <w:tcPr>
            <w:tcW w:w="2871" w:type="dxa"/>
          </w:tcPr>
          <w:p>
            <w:pPr>
              <w:pStyle w:val="TableParagraph"/>
              <w:spacing w:line="252" w:lineRule="exact" w:before="3"/>
              <w:ind w:left="318"/>
              <w:rPr>
                <w:sz w:val="21"/>
              </w:rPr>
            </w:pPr>
            <w:r>
              <w:rPr>
                <w:spacing w:val="-1"/>
                <w:sz w:val="21"/>
              </w:rPr>
              <w:t>交易性金融负债</w:t>
            </w:r>
            <w:r>
              <w:rPr>
                <w:sz w:val="21"/>
              </w:rPr>
              <w:t> </w:t>
            </w:r>
          </w:p>
        </w:tc>
        <w:tc>
          <w:tcPr>
            <w:tcW w:w="1104" w:type="dxa"/>
          </w:tcPr>
          <w:p>
            <w:pPr>
              <w:pStyle w:val="TableParagraph"/>
              <w:spacing w:line="254"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1"/>
                <w:sz w:val="21"/>
              </w:rPr>
              <w:t>衍生金融负债</w:t>
            </w:r>
            <w:r>
              <w:rPr>
                <w:sz w:val="21"/>
              </w:rPr>
              <w:t> </w:t>
            </w:r>
          </w:p>
        </w:tc>
        <w:tc>
          <w:tcPr>
            <w:tcW w:w="1104" w:type="dxa"/>
          </w:tcPr>
          <w:p>
            <w:pPr>
              <w:pStyle w:val="TableParagraph"/>
              <w:spacing w:line="250" w:lineRule="exact" w:before="1"/>
              <w:ind w:left="107"/>
              <w:rPr>
                <w:sz w:val="21"/>
              </w:rPr>
            </w:pPr>
            <w:r>
              <w:rPr>
                <w:sz w:val="21"/>
              </w:rPr>
              <w:t>七、34 </w:t>
            </w:r>
          </w:p>
        </w:tc>
        <w:tc>
          <w:tcPr>
            <w:tcW w:w="2484" w:type="dxa"/>
          </w:tcPr>
          <w:p>
            <w:pPr>
              <w:pStyle w:val="TableParagraph"/>
              <w:spacing w:before="7"/>
              <w:ind w:right="88"/>
              <w:jc w:val="right"/>
              <w:rPr>
                <w:rFonts w:ascii="Times New Roman"/>
                <w:sz w:val="21"/>
              </w:rPr>
            </w:pPr>
            <w:r>
              <w:rPr>
                <w:rFonts w:ascii="Times New Roman"/>
                <w:sz w:val="21"/>
              </w:rPr>
              <w:t>102,072</w:t>
            </w:r>
          </w:p>
        </w:tc>
        <w:tc>
          <w:tcPr>
            <w:tcW w:w="2350" w:type="dxa"/>
          </w:tcPr>
          <w:p>
            <w:pPr>
              <w:pStyle w:val="TableParagraph"/>
              <w:spacing w:before="7"/>
              <w:ind w:right="90"/>
              <w:jc w:val="right"/>
              <w:rPr>
                <w:rFonts w:ascii="Times New Roman"/>
                <w:sz w:val="21"/>
              </w:rPr>
            </w:pPr>
            <w:r>
              <w:rPr>
                <w:rFonts w:ascii="Times New Roman"/>
                <w:sz w:val="21"/>
              </w:rPr>
              <w:t>13,889</w:t>
            </w:r>
          </w:p>
        </w:tc>
      </w:tr>
      <w:tr>
        <w:trPr>
          <w:trHeight w:val="272" w:hRule="atLeast"/>
        </w:trPr>
        <w:tc>
          <w:tcPr>
            <w:tcW w:w="2871" w:type="dxa"/>
          </w:tcPr>
          <w:p>
            <w:pPr>
              <w:pStyle w:val="TableParagraph"/>
              <w:spacing w:line="250" w:lineRule="exact" w:before="3"/>
              <w:ind w:left="318"/>
              <w:rPr>
                <w:sz w:val="21"/>
              </w:rPr>
            </w:pPr>
            <w:r>
              <w:rPr>
                <w:spacing w:val="-1"/>
                <w:sz w:val="21"/>
              </w:rPr>
              <w:t>应付票据</w:t>
            </w:r>
            <w:r>
              <w:rPr>
                <w:sz w:val="21"/>
              </w:rPr>
              <w:t> </w:t>
            </w:r>
          </w:p>
        </w:tc>
        <w:tc>
          <w:tcPr>
            <w:tcW w:w="1104" w:type="dxa"/>
          </w:tcPr>
          <w:p>
            <w:pPr>
              <w:pStyle w:val="TableParagraph"/>
              <w:spacing w:line="250" w:lineRule="exact" w:before="3"/>
              <w:ind w:left="107"/>
              <w:rPr>
                <w:sz w:val="21"/>
              </w:rPr>
            </w:pPr>
            <w:r>
              <w:rPr>
                <w:sz w:val="21"/>
              </w:rPr>
              <w:t>七、35 </w:t>
            </w:r>
          </w:p>
        </w:tc>
        <w:tc>
          <w:tcPr>
            <w:tcW w:w="2484" w:type="dxa"/>
          </w:tcPr>
          <w:p>
            <w:pPr>
              <w:pStyle w:val="TableParagraph"/>
              <w:spacing w:before="10"/>
              <w:ind w:right="90"/>
              <w:jc w:val="right"/>
              <w:rPr>
                <w:rFonts w:ascii="Times New Roman"/>
                <w:sz w:val="21"/>
              </w:rPr>
            </w:pPr>
            <w:r>
              <w:rPr>
                <w:rFonts w:ascii="Times New Roman"/>
                <w:w w:val="100"/>
                <w:sz w:val="21"/>
              </w:rPr>
              <w:t>-</w:t>
            </w:r>
          </w:p>
        </w:tc>
        <w:tc>
          <w:tcPr>
            <w:tcW w:w="2350" w:type="dxa"/>
          </w:tcPr>
          <w:p>
            <w:pPr>
              <w:pStyle w:val="TableParagraph"/>
              <w:spacing w:before="10"/>
              <w:ind w:right="90"/>
              <w:jc w:val="right"/>
              <w:rPr>
                <w:rFonts w:ascii="Times New Roman"/>
                <w:sz w:val="21"/>
              </w:rPr>
            </w:pPr>
            <w:r>
              <w:rPr>
                <w:rFonts w:ascii="Times New Roman"/>
                <w:sz w:val="21"/>
              </w:rPr>
              <w:t>250,000</w:t>
            </w:r>
          </w:p>
        </w:tc>
      </w:tr>
      <w:tr>
        <w:trPr>
          <w:trHeight w:val="272" w:hRule="atLeast"/>
        </w:trPr>
        <w:tc>
          <w:tcPr>
            <w:tcW w:w="2871" w:type="dxa"/>
          </w:tcPr>
          <w:p>
            <w:pPr>
              <w:pStyle w:val="TableParagraph"/>
              <w:spacing w:line="252" w:lineRule="exact" w:before="1"/>
              <w:ind w:left="318"/>
              <w:rPr>
                <w:sz w:val="21"/>
              </w:rPr>
            </w:pPr>
            <w:r>
              <w:rPr>
                <w:spacing w:val="-1"/>
                <w:sz w:val="21"/>
              </w:rPr>
              <w:t>应付账款</w:t>
            </w:r>
            <w:r>
              <w:rPr>
                <w:sz w:val="21"/>
              </w:rPr>
              <w:t> </w:t>
            </w:r>
          </w:p>
        </w:tc>
        <w:tc>
          <w:tcPr>
            <w:tcW w:w="1104" w:type="dxa"/>
          </w:tcPr>
          <w:p>
            <w:pPr>
              <w:pStyle w:val="TableParagraph"/>
              <w:spacing w:line="252" w:lineRule="exact" w:before="1"/>
              <w:ind w:left="107"/>
              <w:rPr>
                <w:sz w:val="21"/>
              </w:rPr>
            </w:pPr>
            <w:r>
              <w:rPr>
                <w:sz w:val="21"/>
              </w:rPr>
              <w:t>七、36 </w:t>
            </w:r>
          </w:p>
        </w:tc>
        <w:tc>
          <w:tcPr>
            <w:tcW w:w="2484" w:type="dxa"/>
          </w:tcPr>
          <w:p>
            <w:pPr>
              <w:pStyle w:val="TableParagraph"/>
              <w:spacing w:before="10"/>
              <w:ind w:right="88"/>
              <w:jc w:val="right"/>
              <w:rPr>
                <w:rFonts w:ascii="Times New Roman"/>
                <w:sz w:val="21"/>
              </w:rPr>
            </w:pPr>
            <w:r>
              <w:rPr>
                <w:rFonts w:ascii="Times New Roman"/>
                <w:sz w:val="21"/>
              </w:rPr>
              <w:t>69,278,939</w:t>
            </w:r>
          </w:p>
        </w:tc>
        <w:tc>
          <w:tcPr>
            <w:tcW w:w="2350" w:type="dxa"/>
          </w:tcPr>
          <w:p>
            <w:pPr>
              <w:pStyle w:val="TableParagraph"/>
              <w:spacing w:before="10"/>
              <w:ind w:left="1294"/>
              <w:rPr>
                <w:rFonts w:ascii="Times New Roman"/>
                <w:sz w:val="21"/>
              </w:rPr>
            </w:pPr>
            <w:r>
              <w:rPr>
                <w:rFonts w:ascii="Times New Roman"/>
                <w:sz w:val="21"/>
              </w:rPr>
              <w:t>71,736,730</w:t>
            </w:r>
          </w:p>
        </w:tc>
      </w:tr>
      <w:tr>
        <w:trPr>
          <w:trHeight w:val="273" w:hRule="atLeast"/>
        </w:trPr>
        <w:tc>
          <w:tcPr>
            <w:tcW w:w="2871" w:type="dxa"/>
          </w:tcPr>
          <w:p>
            <w:pPr>
              <w:pStyle w:val="TableParagraph"/>
              <w:spacing w:line="252" w:lineRule="exact" w:before="1"/>
              <w:ind w:left="318"/>
              <w:rPr>
                <w:sz w:val="21"/>
              </w:rPr>
            </w:pPr>
            <w:r>
              <w:rPr>
                <w:spacing w:val="-1"/>
                <w:sz w:val="21"/>
              </w:rPr>
              <w:t>预收款项</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1"/>
                <w:sz w:val="21"/>
              </w:rPr>
              <w:t>合同负债</w:t>
            </w:r>
            <w:r>
              <w:rPr>
                <w:sz w:val="21"/>
              </w:rPr>
              <w:t> </w:t>
            </w:r>
          </w:p>
        </w:tc>
        <w:tc>
          <w:tcPr>
            <w:tcW w:w="1104" w:type="dxa"/>
          </w:tcPr>
          <w:p>
            <w:pPr>
              <w:pStyle w:val="TableParagraph"/>
              <w:spacing w:line="250" w:lineRule="exact" w:before="1"/>
              <w:ind w:left="107"/>
              <w:rPr>
                <w:sz w:val="21"/>
              </w:rPr>
            </w:pPr>
            <w:r>
              <w:rPr>
                <w:sz w:val="21"/>
              </w:rPr>
              <w:t>七、38 </w:t>
            </w:r>
          </w:p>
        </w:tc>
        <w:tc>
          <w:tcPr>
            <w:tcW w:w="2484" w:type="dxa"/>
          </w:tcPr>
          <w:p>
            <w:pPr>
              <w:pStyle w:val="TableParagraph"/>
              <w:spacing w:before="7"/>
              <w:ind w:right="88"/>
              <w:jc w:val="right"/>
              <w:rPr>
                <w:rFonts w:ascii="Times New Roman"/>
                <w:sz w:val="21"/>
              </w:rPr>
            </w:pPr>
            <w:r>
              <w:rPr>
                <w:rFonts w:ascii="Times New Roman"/>
                <w:sz w:val="21"/>
              </w:rPr>
              <w:t>176,680</w:t>
            </w:r>
          </w:p>
        </w:tc>
        <w:tc>
          <w:tcPr>
            <w:tcW w:w="2350" w:type="dxa"/>
          </w:tcPr>
          <w:p>
            <w:pPr>
              <w:pStyle w:val="TableParagraph"/>
              <w:spacing w:before="7"/>
              <w:ind w:right="90"/>
              <w:jc w:val="right"/>
              <w:rPr>
                <w:rFonts w:ascii="Times New Roman"/>
                <w:sz w:val="21"/>
              </w:rPr>
            </w:pPr>
            <w:r>
              <w:rPr>
                <w:rFonts w:ascii="Times New Roman"/>
                <w:sz w:val="21"/>
              </w:rPr>
              <w:t>112,436</w:t>
            </w:r>
          </w:p>
        </w:tc>
      </w:tr>
      <w:tr>
        <w:trPr>
          <w:trHeight w:val="273" w:hRule="atLeast"/>
        </w:trPr>
        <w:tc>
          <w:tcPr>
            <w:tcW w:w="2871" w:type="dxa"/>
          </w:tcPr>
          <w:p>
            <w:pPr>
              <w:pStyle w:val="TableParagraph"/>
              <w:spacing w:line="250" w:lineRule="exact" w:before="4"/>
              <w:ind w:left="318"/>
              <w:rPr>
                <w:sz w:val="21"/>
              </w:rPr>
            </w:pPr>
            <w:r>
              <w:rPr>
                <w:spacing w:val="-1"/>
                <w:sz w:val="21"/>
              </w:rPr>
              <w:t>卖出回购金融资产款</w:t>
            </w:r>
            <w:r>
              <w:rPr>
                <w:sz w:val="21"/>
              </w:rPr>
              <w:t> </w:t>
            </w:r>
          </w:p>
        </w:tc>
        <w:tc>
          <w:tcPr>
            <w:tcW w:w="1104" w:type="dxa"/>
          </w:tcPr>
          <w:p>
            <w:pPr>
              <w:pStyle w:val="TableParagraph"/>
              <w:spacing w:line="250" w:lineRule="exact" w:before="4"/>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1"/>
                <w:sz w:val="21"/>
              </w:rPr>
              <w:t>吸收存款及同业存放</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1"/>
                <w:sz w:val="21"/>
              </w:rPr>
              <w:t>代理买卖证券款</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1"/>
                <w:sz w:val="21"/>
              </w:rPr>
              <w:t>代理承销证券款</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1"/>
                <w:sz w:val="21"/>
              </w:rPr>
              <w:t>应付职工薪酬</w:t>
            </w:r>
            <w:r>
              <w:rPr>
                <w:sz w:val="21"/>
              </w:rPr>
              <w:t> </w:t>
            </w:r>
          </w:p>
        </w:tc>
        <w:tc>
          <w:tcPr>
            <w:tcW w:w="1104" w:type="dxa"/>
          </w:tcPr>
          <w:p>
            <w:pPr>
              <w:pStyle w:val="TableParagraph"/>
              <w:spacing w:line="250" w:lineRule="exact" w:before="3"/>
              <w:ind w:left="107"/>
              <w:rPr>
                <w:sz w:val="21"/>
              </w:rPr>
            </w:pPr>
            <w:r>
              <w:rPr>
                <w:sz w:val="21"/>
              </w:rPr>
              <w:t>七、39 </w:t>
            </w:r>
          </w:p>
        </w:tc>
        <w:tc>
          <w:tcPr>
            <w:tcW w:w="2484" w:type="dxa"/>
          </w:tcPr>
          <w:p>
            <w:pPr>
              <w:pStyle w:val="TableParagraph"/>
              <w:spacing w:before="10"/>
              <w:ind w:right="88"/>
              <w:jc w:val="right"/>
              <w:rPr>
                <w:rFonts w:ascii="Times New Roman"/>
                <w:sz w:val="21"/>
              </w:rPr>
            </w:pPr>
            <w:r>
              <w:rPr>
                <w:rFonts w:ascii="Times New Roman"/>
                <w:sz w:val="21"/>
              </w:rPr>
              <w:t>4,954,450</w:t>
            </w:r>
          </w:p>
        </w:tc>
        <w:tc>
          <w:tcPr>
            <w:tcW w:w="2350" w:type="dxa"/>
          </w:tcPr>
          <w:p>
            <w:pPr>
              <w:pStyle w:val="TableParagraph"/>
              <w:spacing w:before="10"/>
              <w:ind w:left="1399"/>
              <w:rPr>
                <w:rFonts w:ascii="Times New Roman"/>
                <w:sz w:val="21"/>
              </w:rPr>
            </w:pPr>
            <w:r>
              <w:rPr>
                <w:rFonts w:ascii="Times New Roman"/>
                <w:sz w:val="21"/>
              </w:rPr>
              <w:t>4,889,968</w:t>
            </w:r>
          </w:p>
        </w:tc>
      </w:tr>
      <w:tr>
        <w:trPr>
          <w:trHeight w:val="273" w:hRule="atLeast"/>
        </w:trPr>
        <w:tc>
          <w:tcPr>
            <w:tcW w:w="2871" w:type="dxa"/>
          </w:tcPr>
          <w:p>
            <w:pPr>
              <w:pStyle w:val="TableParagraph"/>
              <w:spacing w:line="252" w:lineRule="exact" w:before="1"/>
              <w:ind w:left="318"/>
              <w:rPr>
                <w:sz w:val="21"/>
              </w:rPr>
            </w:pPr>
            <w:r>
              <w:rPr>
                <w:spacing w:val="-1"/>
                <w:sz w:val="21"/>
              </w:rPr>
              <w:t>应交税费</w:t>
            </w:r>
            <w:r>
              <w:rPr>
                <w:sz w:val="21"/>
              </w:rPr>
              <w:t> </w:t>
            </w:r>
          </w:p>
        </w:tc>
        <w:tc>
          <w:tcPr>
            <w:tcW w:w="1104" w:type="dxa"/>
          </w:tcPr>
          <w:p>
            <w:pPr>
              <w:pStyle w:val="TableParagraph"/>
              <w:spacing w:line="252" w:lineRule="exact" w:before="1"/>
              <w:ind w:left="107"/>
              <w:rPr>
                <w:sz w:val="21"/>
              </w:rPr>
            </w:pPr>
            <w:r>
              <w:rPr>
                <w:sz w:val="21"/>
              </w:rPr>
              <w:t>七、40 </w:t>
            </w:r>
          </w:p>
        </w:tc>
        <w:tc>
          <w:tcPr>
            <w:tcW w:w="2484" w:type="dxa"/>
          </w:tcPr>
          <w:p>
            <w:pPr>
              <w:pStyle w:val="TableParagraph"/>
              <w:spacing w:before="10"/>
              <w:ind w:right="88"/>
              <w:jc w:val="right"/>
              <w:rPr>
                <w:rFonts w:ascii="Times New Roman"/>
                <w:sz w:val="21"/>
              </w:rPr>
            </w:pPr>
            <w:r>
              <w:rPr>
                <w:rFonts w:ascii="Times New Roman"/>
                <w:sz w:val="21"/>
              </w:rPr>
              <w:t>1,237,028</w:t>
            </w:r>
          </w:p>
        </w:tc>
        <w:tc>
          <w:tcPr>
            <w:tcW w:w="2350" w:type="dxa"/>
          </w:tcPr>
          <w:p>
            <w:pPr>
              <w:pStyle w:val="TableParagraph"/>
              <w:spacing w:before="10"/>
              <w:ind w:left="1399"/>
              <w:rPr>
                <w:rFonts w:ascii="Times New Roman"/>
                <w:sz w:val="21"/>
              </w:rPr>
            </w:pPr>
            <w:r>
              <w:rPr>
                <w:rFonts w:ascii="Times New Roman"/>
                <w:sz w:val="21"/>
              </w:rPr>
              <w:t>1,865,047</w:t>
            </w:r>
          </w:p>
        </w:tc>
      </w:tr>
      <w:tr>
        <w:trPr>
          <w:trHeight w:val="270" w:hRule="atLeast"/>
        </w:trPr>
        <w:tc>
          <w:tcPr>
            <w:tcW w:w="2871" w:type="dxa"/>
          </w:tcPr>
          <w:p>
            <w:pPr>
              <w:pStyle w:val="TableParagraph"/>
              <w:spacing w:line="250" w:lineRule="exact" w:before="1"/>
              <w:ind w:left="318"/>
              <w:rPr>
                <w:sz w:val="21"/>
              </w:rPr>
            </w:pPr>
            <w:r>
              <w:rPr>
                <w:sz w:val="21"/>
              </w:rPr>
              <w:t>其他应付款 </w:t>
            </w:r>
          </w:p>
        </w:tc>
        <w:tc>
          <w:tcPr>
            <w:tcW w:w="1104" w:type="dxa"/>
          </w:tcPr>
          <w:p>
            <w:pPr>
              <w:pStyle w:val="TableParagraph"/>
              <w:spacing w:line="250" w:lineRule="exact" w:before="1"/>
              <w:ind w:left="107"/>
              <w:rPr>
                <w:sz w:val="21"/>
              </w:rPr>
            </w:pPr>
            <w:r>
              <w:rPr>
                <w:sz w:val="21"/>
              </w:rPr>
              <w:t>七、41 </w:t>
            </w:r>
          </w:p>
        </w:tc>
        <w:tc>
          <w:tcPr>
            <w:tcW w:w="2484" w:type="dxa"/>
          </w:tcPr>
          <w:p>
            <w:pPr>
              <w:pStyle w:val="TableParagraph"/>
              <w:spacing w:before="7"/>
              <w:ind w:right="88"/>
              <w:jc w:val="right"/>
              <w:rPr>
                <w:rFonts w:ascii="Times New Roman"/>
                <w:sz w:val="21"/>
              </w:rPr>
            </w:pPr>
            <w:r>
              <w:rPr>
                <w:rFonts w:ascii="Times New Roman"/>
                <w:sz w:val="21"/>
              </w:rPr>
              <w:t>16,901,025</w:t>
            </w:r>
          </w:p>
        </w:tc>
        <w:tc>
          <w:tcPr>
            <w:tcW w:w="2350" w:type="dxa"/>
          </w:tcPr>
          <w:p>
            <w:pPr>
              <w:pStyle w:val="TableParagraph"/>
              <w:spacing w:before="7"/>
              <w:ind w:left="1399"/>
              <w:rPr>
                <w:rFonts w:ascii="Times New Roman"/>
                <w:sz w:val="21"/>
              </w:rPr>
            </w:pPr>
            <w:r>
              <w:rPr>
                <w:rFonts w:ascii="Times New Roman"/>
                <w:sz w:val="21"/>
              </w:rPr>
              <w:t>8,808,538</w:t>
            </w:r>
          </w:p>
        </w:tc>
      </w:tr>
      <w:tr>
        <w:trPr>
          <w:trHeight w:val="273" w:hRule="atLeast"/>
        </w:trPr>
        <w:tc>
          <w:tcPr>
            <w:tcW w:w="2871" w:type="dxa"/>
          </w:tcPr>
          <w:p>
            <w:pPr>
              <w:pStyle w:val="TableParagraph"/>
              <w:spacing w:line="250" w:lineRule="exact" w:before="3"/>
              <w:ind w:left="318"/>
              <w:rPr>
                <w:sz w:val="21"/>
              </w:rPr>
            </w:pPr>
            <w:r>
              <w:rPr>
                <w:spacing w:val="-1"/>
                <w:sz w:val="21"/>
              </w:rPr>
              <w:t>其中：应付利息</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947"/>
              <w:rPr>
                <w:sz w:val="21"/>
              </w:rPr>
            </w:pPr>
            <w:r>
              <w:rPr>
                <w:spacing w:val="-1"/>
                <w:sz w:val="21"/>
              </w:rPr>
              <w:t>应付股利</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1"/>
                <w:sz w:val="21"/>
              </w:rPr>
              <w:t>应付手续费及佣金</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1"/>
                <w:sz w:val="21"/>
              </w:rPr>
              <w:t>应付分保账款</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1"/>
                <w:sz w:val="21"/>
              </w:rPr>
              <w:t>持有待售负债</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1"/>
                <w:sz w:val="21"/>
              </w:rPr>
              <w:t>一年内到期的非流动负债</w:t>
            </w:r>
            <w:r>
              <w:rPr>
                <w:sz w:val="21"/>
              </w:rPr>
              <w:t> </w:t>
            </w:r>
          </w:p>
        </w:tc>
        <w:tc>
          <w:tcPr>
            <w:tcW w:w="1104" w:type="dxa"/>
          </w:tcPr>
          <w:p>
            <w:pPr>
              <w:pStyle w:val="TableParagraph"/>
              <w:spacing w:line="252" w:lineRule="exact" w:before="1"/>
              <w:ind w:left="107"/>
              <w:rPr>
                <w:sz w:val="21"/>
              </w:rPr>
            </w:pPr>
            <w:r>
              <w:rPr>
                <w:sz w:val="21"/>
              </w:rPr>
              <w:t>七、43 </w:t>
            </w:r>
          </w:p>
        </w:tc>
        <w:tc>
          <w:tcPr>
            <w:tcW w:w="2484" w:type="dxa"/>
          </w:tcPr>
          <w:p>
            <w:pPr>
              <w:pStyle w:val="TableParagraph"/>
              <w:spacing w:before="10"/>
              <w:ind w:right="88"/>
              <w:jc w:val="right"/>
              <w:rPr>
                <w:rFonts w:ascii="Times New Roman"/>
                <w:sz w:val="21"/>
              </w:rPr>
            </w:pPr>
            <w:r>
              <w:rPr>
                <w:rFonts w:ascii="Times New Roman"/>
                <w:sz w:val="21"/>
              </w:rPr>
              <w:t>5,266,945</w:t>
            </w:r>
          </w:p>
        </w:tc>
        <w:tc>
          <w:tcPr>
            <w:tcW w:w="2350" w:type="dxa"/>
          </w:tcPr>
          <w:p>
            <w:pPr>
              <w:pStyle w:val="TableParagraph"/>
              <w:spacing w:before="10"/>
              <w:ind w:left="1399"/>
              <w:rPr>
                <w:rFonts w:ascii="Times New Roman"/>
                <w:sz w:val="21"/>
              </w:rPr>
            </w:pPr>
            <w:r>
              <w:rPr>
                <w:rFonts w:ascii="Times New Roman"/>
                <w:sz w:val="21"/>
              </w:rPr>
              <w:t>1,052,072</w:t>
            </w:r>
          </w:p>
        </w:tc>
      </w:tr>
      <w:tr>
        <w:trPr>
          <w:trHeight w:val="272" w:hRule="atLeast"/>
        </w:trPr>
        <w:tc>
          <w:tcPr>
            <w:tcW w:w="2871" w:type="dxa"/>
          </w:tcPr>
          <w:p>
            <w:pPr>
              <w:pStyle w:val="TableParagraph"/>
              <w:spacing w:line="252" w:lineRule="exact" w:before="1"/>
              <w:ind w:left="318"/>
              <w:rPr>
                <w:sz w:val="21"/>
              </w:rPr>
            </w:pPr>
            <w:r>
              <w:rPr>
                <w:spacing w:val="-1"/>
                <w:sz w:val="21"/>
              </w:rPr>
              <w:t>其他流动负债</w:t>
            </w:r>
            <w:r>
              <w:rPr>
                <w:sz w:val="21"/>
              </w:rPr>
              <w:t> </w:t>
            </w:r>
          </w:p>
        </w:tc>
        <w:tc>
          <w:tcPr>
            <w:tcW w:w="1104" w:type="dxa"/>
          </w:tcPr>
          <w:p>
            <w:pPr>
              <w:pStyle w:val="TableParagraph"/>
              <w:spacing w:line="252" w:lineRule="exact" w:before="1"/>
              <w:ind w:left="107"/>
              <w:rPr>
                <w:sz w:val="21"/>
              </w:rPr>
            </w:pPr>
            <w:r>
              <w:rPr>
                <w:sz w:val="21"/>
              </w:rPr>
              <w:t>七、44 </w:t>
            </w:r>
          </w:p>
        </w:tc>
        <w:tc>
          <w:tcPr>
            <w:tcW w:w="2484" w:type="dxa"/>
          </w:tcPr>
          <w:p>
            <w:pPr>
              <w:pStyle w:val="TableParagraph"/>
              <w:spacing w:before="10"/>
              <w:ind w:right="88"/>
              <w:jc w:val="right"/>
              <w:rPr>
                <w:rFonts w:ascii="Times New Roman"/>
                <w:sz w:val="21"/>
              </w:rPr>
            </w:pPr>
            <w:r>
              <w:rPr>
                <w:rFonts w:ascii="Times New Roman"/>
                <w:sz w:val="21"/>
              </w:rPr>
              <w:t>760,750</w:t>
            </w:r>
          </w:p>
        </w:tc>
        <w:tc>
          <w:tcPr>
            <w:tcW w:w="2350" w:type="dxa"/>
          </w:tcPr>
          <w:p>
            <w:pPr>
              <w:pStyle w:val="TableParagraph"/>
              <w:spacing w:before="10"/>
              <w:ind w:right="90"/>
              <w:jc w:val="right"/>
              <w:rPr>
                <w:rFonts w:ascii="Times New Roman"/>
                <w:sz w:val="21"/>
              </w:rPr>
            </w:pPr>
            <w:r>
              <w:rPr>
                <w:rFonts w:ascii="Times New Roman"/>
                <w:sz w:val="21"/>
              </w:rPr>
              <w:t>463,197</w:t>
            </w:r>
          </w:p>
        </w:tc>
      </w:tr>
      <w:tr>
        <w:trPr>
          <w:trHeight w:val="270" w:hRule="atLeast"/>
        </w:trPr>
        <w:tc>
          <w:tcPr>
            <w:tcW w:w="2871" w:type="dxa"/>
          </w:tcPr>
          <w:p>
            <w:pPr>
              <w:pStyle w:val="TableParagraph"/>
              <w:spacing w:line="250" w:lineRule="exact" w:before="1"/>
              <w:ind w:left="527"/>
              <w:rPr>
                <w:sz w:val="21"/>
              </w:rPr>
            </w:pPr>
            <w:r>
              <w:rPr>
                <w:spacing w:val="-1"/>
                <w:sz w:val="21"/>
              </w:rPr>
              <w:t>流动负债合计</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spacing w:before="7"/>
              <w:ind w:right="88"/>
              <w:jc w:val="right"/>
              <w:rPr>
                <w:rFonts w:ascii="Times New Roman"/>
                <w:sz w:val="21"/>
              </w:rPr>
            </w:pPr>
            <w:r>
              <w:rPr>
                <w:rFonts w:ascii="Times New Roman"/>
                <w:sz w:val="21"/>
              </w:rPr>
              <w:t>149,175,581</w:t>
            </w:r>
          </w:p>
        </w:tc>
        <w:tc>
          <w:tcPr>
            <w:tcW w:w="2350" w:type="dxa"/>
          </w:tcPr>
          <w:p>
            <w:pPr>
              <w:pStyle w:val="TableParagraph"/>
              <w:spacing w:before="7"/>
              <w:ind w:left="1188"/>
              <w:rPr>
                <w:rFonts w:ascii="Times New Roman"/>
                <w:sz w:val="21"/>
              </w:rPr>
            </w:pPr>
            <w:r>
              <w:rPr>
                <w:rFonts w:ascii="Times New Roman"/>
                <w:sz w:val="21"/>
              </w:rPr>
              <w:t>141,328,531</w:t>
            </w:r>
          </w:p>
        </w:tc>
      </w:tr>
      <w:tr>
        <w:trPr>
          <w:trHeight w:val="272" w:hRule="atLeast"/>
        </w:trPr>
        <w:tc>
          <w:tcPr>
            <w:tcW w:w="8809" w:type="dxa"/>
            <w:gridSpan w:val="4"/>
          </w:tcPr>
          <w:p>
            <w:pPr>
              <w:pStyle w:val="TableParagraph"/>
              <w:spacing w:line="250" w:lineRule="exact" w:before="3"/>
              <w:ind w:left="107"/>
              <w:rPr>
                <w:sz w:val="21"/>
              </w:rPr>
            </w:pPr>
            <w:r>
              <w:rPr>
                <w:sz w:val="21"/>
              </w:rPr>
              <w:t>非流动负债：</w:t>
            </w:r>
            <w:r>
              <w:rPr>
                <w:color w:val="008000"/>
                <w:sz w:val="21"/>
              </w:rPr>
              <w:t> </w:t>
            </w:r>
          </w:p>
        </w:tc>
      </w:tr>
      <w:tr>
        <w:trPr>
          <w:trHeight w:val="273" w:hRule="atLeast"/>
        </w:trPr>
        <w:tc>
          <w:tcPr>
            <w:tcW w:w="2871" w:type="dxa"/>
          </w:tcPr>
          <w:p>
            <w:pPr>
              <w:pStyle w:val="TableParagraph"/>
              <w:spacing w:line="252" w:lineRule="exact" w:before="1"/>
              <w:ind w:left="318"/>
              <w:rPr>
                <w:sz w:val="21"/>
              </w:rPr>
            </w:pPr>
            <w:r>
              <w:rPr>
                <w:spacing w:val="-1"/>
                <w:sz w:val="21"/>
              </w:rPr>
              <w:t>保险合同准备金</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line="252" w:lineRule="exact" w:before="1"/>
              <w:ind w:right="-15"/>
              <w:jc w:val="right"/>
              <w:rPr>
                <w:sz w:val="21"/>
              </w:rPr>
            </w:pPr>
            <w:r>
              <w:rPr>
                <w:w w:val="100"/>
                <w:sz w:val="21"/>
              </w:rPr>
              <w:t> </w:t>
            </w:r>
          </w:p>
        </w:tc>
        <w:tc>
          <w:tcPr>
            <w:tcW w:w="2350" w:type="dxa"/>
          </w:tcPr>
          <w:p>
            <w:pPr>
              <w:pStyle w:val="TableParagraph"/>
              <w:spacing w:line="252" w:lineRule="exact" w:before="1"/>
              <w:ind w:right="-15"/>
              <w:jc w:val="right"/>
              <w:rPr>
                <w:sz w:val="21"/>
              </w:rPr>
            </w:pPr>
            <w:r>
              <w:rPr>
                <w:w w:val="100"/>
                <w:sz w:val="21"/>
              </w:rPr>
              <w:t> </w:t>
            </w:r>
          </w:p>
        </w:tc>
      </w:tr>
      <w:tr>
        <w:trPr>
          <w:trHeight w:val="270" w:hRule="atLeast"/>
        </w:trPr>
        <w:tc>
          <w:tcPr>
            <w:tcW w:w="2871" w:type="dxa"/>
          </w:tcPr>
          <w:p>
            <w:pPr>
              <w:pStyle w:val="TableParagraph"/>
              <w:spacing w:line="250" w:lineRule="exact" w:before="1"/>
              <w:ind w:left="318"/>
              <w:rPr>
                <w:sz w:val="21"/>
              </w:rPr>
            </w:pPr>
            <w:r>
              <w:rPr>
                <w:spacing w:val="-1"/>
                <w:sz w:val="21"/>
              </w:rPr>
              <w:t>长期借款</w:t>
            </w:r>
            <w:r>
              <w:rPr>
                <w:sz w:val="21"/>
              </w:rPr>
              <w:t> </w:t>
            </w:r>
          </w:p>
        </w:tc>
        <w:tc>
          <w:tcPr>
            <w:tcW w:w="1104" w:type="dxa"/>
          </w:tcPr>
          <w:p>
            <w:pPr>
              <w:pStyle w:val="TableParagraph"/>
              <w:spacing w:line="250" w:lineRule="exact" w:before="1"/>
              <w:ind w:left="107"/>
              <w:rPr>
                <w:sz w:val="21"/>
              </w:rPr>
            </w:pPr>
            <w:r>
              <w:rPr>
                <w:sz w:val="21"/>
              </w:rPr>
              <w:t>七、45 </w:t>
            </w:r>
          </w:p>
        </w:tc>
        <w:tc>
          <w:tcPr>
            <w:tcW w:w="2484" w:type="dxa"/>
          </w:tcPr>
          <w:p>
            <w:pPr>
              <w:pStyle w:val="TableParagraph"/>
              <w:spacing w:before="7"/>
              <w:ind w:right="88"/>
              <w:jc w:val="right"/>
              <w:rPr>
                <w:rFonts w:ascii="Times New Roman"/>
                <w:sz w:val="21"/>
              </w:rPr>
            </w:pPr>
            <w:r>
              <w:rPr>
                <w:rFonts w:ascii="Times New Roman"/>
                <w:sz w:val="21"/>
              </w:rPr>
              <w:t>3,484,507</w:t>
            </w:r>
          </w:p>
        </w:tc>
        <w:tc>
          <w:tcPr>
            <w:tcW w:w="2350" w:type="dxa"/>
          </w:tcPr>
          <w:p>
            <w:pPr>
              <w:pStyle w:val="TableParagraph"/>
              <w:spacing w:before="7"/>
              <w:ind w:left="1399"/>
              <w:rPr>
                <w:rFonts w:ascii="Times New Roman"/>
                <w:sz w:val="21"/>
              </w:rPr>
            </w:pPr>
            <w:r>
              <w:rPr>
                <w:rFonts w:ascii="Times New Roman"/>
                <w:sz w:val="21"/>
              </w:rPr>
              <w:t>3,814,347</w:t>
            </w:r>
          </w:p>
        </w:tc>
      </w:tr>
      <w:tr>
        <w:trPr>
          <w:trHeight w:val="272" w:hRule="atLeast"/>
        </w:trPr>
        <w:tc>
          <w:tcPr>
            <w:tcW w:w="2871" w:type="dxa"/>
          </w:tcPr>
          <w:p>
            <w:pPr>
              <w:pStyle w:val="TableParagraph"/>
              <w:spacing w:line="250" w:lineRule="exact" w:before="3"/>
              <w:ind w:left="318"/>
              <w:rPr>
                <w:sz w:val="21"/>
              </w:rPr>
            </w:pPr>
            <w:r>
              <w:rPr>
                <w:spacing w:val="-1"/>
                <w:sz w:val="21"/>
              </w:rPr>
              <w:t>应付债券</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1"/>
                <w:sz w:val="21"/>
              </w:rPr>
              <w:t>其中：优先股</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947"/>
              <w:rPr>
                <w:sz w:val="21"/>
              </w:rPr>
            </w:pPr>
            <w:r>
              <w:rPr>
                <w:sz w:val="21"/>
              </w:rPr>
              <w:t>永续债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1"/>
                <w:sz w:val="21"/>
              </w:rPr>
              <w:t>租赁负债</w:t>
            </w:r>
            <w:r>
              <w:rPr>
                <w:sz w:val="21"/>
              </w:rPr>
              <w:t> </w:t>
            </w:r>
          </w:p>
        </w:tc>
        <w:tc>
          <w:tcPr>
            <w:tcW w:w="1104" w:type="dxa"/>
          </w:tcPr>
          <w:p>
            <w:pPr>
              <w:pStyle w:val="TableParagraph"/>
              <w:spacing w:line="250" w:lineRule="exact" w:before="1"/>
              <w:ind w:left="107"/>
              <w:rPr>
                <w:sz w:val="21"/>
              </w:rPr>
            </w:pPr>
            <w:r>
              <w:rPr>
                <w:sz w:val="21"/>
              </w:rPr>
              <w:t>七、47 </w:t>
            </w:r>
          </w:p>
        </w:tc>
        <w:tc>
          <w:tcPr>
            <w:tcW w:w="2484" w:type="dxa"/>
          </w:tcPr>
          <w:p>
            <w:pPr>
              <w:pStyle w:val="TableParagraph"/>
              <w:spacing w:before="7"/>
              <w:ind w:right="88"/>
              <w:jc w:val="right"/>
              <w:rPr>
                <w:rFonts w:ascii="Times New Roman"/>
                <w:sz w:val="21"/>
              </w:rPr>
            </w:pPr>
            <w:r>
              <w:rPr>
                <w:rFonts w:ascii="Times New Roman"/>
                <w:sz w:val="21"/>
              </w:rPr>
              <w:t>1,069,223</w:t>
            </w:r>
          </w:p>
        </w:tc>
        <w:tc>
          <w:tcPr>
            <w:tcW w:w="2350" w:type="dxa"/>
          </w:tcPr>
          <w:p>
            <w:pPr>
              <w:pStyle w:val="TableParagraph"/>
              <w:spacing w:before="7"/>
              <w:ind w:left="1399"/>
              <w:rPr>
                <w:rFonts w:ascii="Times New Roman"/>
                <w:sz w:val="21"/>
              </w:rPr>
            </w:pPr>
            <w:r>
              <w:rPr>
                <w:rFonts w:ascii="Times New Roman"/>
                <w:sz w:val="21"/>
              </w:rPr>
              <w:t>1,187,146</w:t>
            </w:r>
          </w:p>
        </w:tc>
      </w:tr>
      <w:tr>
        <w:trPr>
          <w:trHeight w:val="272" w:hRule="atLeast"/>
        </w:trPr>
        <w:tc>
          <w:tcPr>
            <w:tcW w:w="2871" w:type="dxa"/>
          </w:tcPr>
          <w:p>
            <w:pPr>
              <w:pStyle w:val="TableParagraph"/>
              <w:spacing w:line="250" w:lineRule="exact" w:before="3"/>
              <w:ind w:left="318"/>
              <w:rPr>
                <w:sz w:val="21"/>
              </w:rPr>
            </w:pPr>
            <w:r>
              <w:rPr>
                <w:sz w:val="21"/>
              </w:rPr>
              <w:t>长期应付款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1"/>
                <w:sz w:val="21"/>
              </w:rPr>
              <w:t>长期应付职工薪酬</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1"/>
                <w:sz w:val="21"/>
              </w:rPr>
              <w:t>预计负债</w:t>
            </w:r>
            <w:r>
              <w:rPr>
                <w:sz w:val="21"/>
              </w:rPr>
              <w:t> </w:t>
            </w:r>
          </w:p>
        </w:tc>
        <w:tc>
          <w:tcPr>
            <w:tcW w:w="1104" w:type="dxa"/>
          </w:tcPr>
          <w:p>
            <w:pPr>
              <w:pStyle w:val="TableParagraph"/>
              <w:spacing w:line="252" w:lineRule="exact" w:before="1"/>
              <w:ind w:left="107"/>
              <w:rPr>
                <w:sz w:val="21"/>
              </w:rPr>
            </w:pPr>
            <w:r>
              <w:rPr>
                <w:sz w:val="21"/>
              </w:rPr>
              <w:t>七、50 </w:t>
            </w:r>
          </w:p>
        </w:tc>
        <w:tc>
          <w:tcPr>
            <w:tcW w:w="2484" w:type="dxa"/>
          </w:tcPr>
          <w:p>
            <w:pPr>
              <w:pStyle w:val="TableParagraph"/>
              <w:spacing w:before="7"/>
              <w:ind w:right="88"/>
              <w:jc w:val="right"/>
              <w:rPr>
                <w:rFonts w:ascii="Times New Roman"/>
                <w:sz w:val="21"/>
              </w:rPr>
            </w:pPr>
            <w:r>
              <w:rPr>
                <w:rFonts w:ascii="Times New Roman"/>
                <w:sz w:val="21"/>
              </w:rPr>
              <w:t>498,020</w:t>
            </w:r>
          </w:p>
        </w:tc>
        <w:tc>
          <w:tcPr>
            <w:tcW w:w="2350" w:type="dxa"/>
          </w:tcPr>
          <w:p>
            <w:pPr>
              <w:pStyle w:val="TableParagraph"/>
              <w:spacing w:before="7"/>
              <w:ind w:right="90"/>
              <w:jc w:val="right"/>
              <w:rPr>
                <w:rFonts w:ascii="Times New Roman"/>
                <w:sz w:val="21"/>
              </w:rPr>
            </w:pPr>
            <w:r>
              <w:rPr>
                <w:rFonts w:ascii="Times New Roman"/>
                <w:sz w:val="21"/>
              </w:rPr>
              <w:t>437,165</w:t>
            </w:r>
          </w:p>
        </w:tc>
      </w:tr>
      <w:tr>
        <w:trPr>
          <w:trHeight w:val="271" w:hRule="atLeast"/>
        </w:trPr>
        <w:tc>
          <w:tcPr>
            <w:tcW w:w="2871" w:type="dxa"/>
          </w:tcPr>
          <w:p>
            <w:pPr>
              <w:pStyle w:val="TableParagraph"/>
              <w:spacing w:line="250" w:lineRule="exact" w:before="1"/>
              <w:ind w:left="318"/>
              <w:rPr>
                <w:sz w:val="21"/>
              </w:rPr>
            </w:pPr>
            <w:r>
              <w:rPr>
                <w:spacing w:val="-1"/>
                <w:sz w:val="21"/>
              </w:rPr>
              <w:t>递延收益</w:t>
            </w:r>
            <w:r>
              <w:rPr>
                <w:sz w:val="21"/>
              </w:rPr>
              <w:t> </w:t>
            </w:r>
          </w:p>
        </w:tc>
        <w:tc>
          <w:tcPr>
            <w:tcW w:w="1104" w:type="dxa"/>
          </w:tcPr>
          <w:p>
            <w:pPr>
              <w:pStyle w:val="TableParagraph"/>
              <w:spacing w:line="250" w:lineRule="exact" w:before="1"/>
              <w:ind w:left="107"/>
              <w:rPr>
                <w:sz w:val="21"/>
              </w:rPr>
            </w:pPr>
            <w:r>
              <w:rPr>
                <w:sz w:val="21"/>
              </w:rPr>
              <w:t>七、51 </w:t>
            </w:r>
          </w:p>
        </w:tc>
        <w:tc>
          <w:tcPr>
            <w:tcW w:w="2484" w:type="dxa"/>
          </w:tcPr>
          <w:p>
            <w:pPr>
              <w:pStyle w:val="TableParagraph"/>
              <w:spacing w:before="8"/>
              <w:ind w:right="88"/>
              <w:jc w:val="right"/>
              <w:rPr>
                <w:rFonts w:ascii="Times New Roman"/>
                <w:sz w:val="21"/>
              </w:rPr>
            </w:pPr>
            <w:r>
              <w:rPr>
                <w:rFonts w:ascii="Times New Roman"/>
                <w:sz w:val="21"/>
              </w:rPr>
              <w:t>356,678</w:t>
            </w:r>
          </w:p>
        </w:tc>
        <w:tc>
          <w:tcPr>
            <w:tcW w:w="2350" w:type="dxa"/>
          </w:tcPr>
          <w:p>
            <w:pPr>
              <w:pStyle w:val="TableParagraph"/>
              <w:spacing w:before="8"/>
              <w:ind w:right="90"/>
              <w:jc w:val="right"/>
              <w:rPr>
                <w:rFonts w:ascii="Times New Roman"/>
                <w:sz w:val="21"/>
              </w:rPr>
            </w:pPr>
            <w:r>
              <w:rPr>
                <w:rFonts w:ascii="Times New Roman"/>
                <w:sz w:val="21"/>
              </w:rPr>
              <w:t>303,703</w:t>
            </w:r>
          </w:p>
        </w:tc>
      </w:tr>
      <w:tr>
        <w:trPr>
          <w:trHeight w:val="273" w:hRule="atLeast"/>
        </w:trPr>
        <w:tc>
          <w:tcPr>
            <w:tcW w:w="2871" w:type="dxa"/>
          </w:tcPr>
          <w:p>
            <w:pPr>
              <w:pStyle w:val="TableParagraph"/>
              <w:spacing w:line="250" w:lineRule="exact" w:before="3"/>
              <w:ind w:left="318"/>
              <w:rPr>
                <w:sz w:val="21"/>
              </w:rPr>
            </w:pPr>
            <w:r>
              <w:rPr>
                <w:spacing w:val="-1"/>
                <w:sz w:val="21"/>
              </w:rPr>
              <w:t>递延所得税负债</w:t>
            </w:r>
            <w:r>
              <w:rPr>
                <w:sz w:val="21"/>
              </w:rPr>
              <w:t> </w:t>
            </w:r>
          </w:p>
        </w:tc>
        <w:tc>
          <w:tcPr>
            <w:tcW w:w="1104" w:type="dxa"/>
          </w:tcPr>
          <w:p>
            <w:pPr>
              <w:pStyle w:val="TableParagraph"/>
              <w:spacing w:line="250" w:lineRule="exact" w:before="3"/>
              <w:ind w:left="107"/>
              <w:rPr>
                <w:sz w:val="21"/>
              </w:rPr>
            </w:pPr>
            <w:r>
              <w:rPr>
                <w:sz w:val="21"/>
              </w:rPr>
              <w:t>七、30 </w:t>
            </w:r>
          </w:p>
        </w:tc>
        <w:tc>
          <w:tcPr>
            <w:tcW w:w="2484" w:type="dxa"/>
          </w:tcPr>
          <w:p>
            <w:pPr>
              <w:pStyle w:val="TableParagraph"/>
              <w:spacing w:before="10"/>
              <w:ind w:right="88"/>
              <w:jc w:val="right"/>
              <w:rPr>
                <w:rFonts w:ascii="Times New Roman"/>
                <w:sz w:val="21"/>
              </w:rPr>
            </w:pPr>
            <w:r>
              <w:rPr>
                <w:rFonts w:ascii="Times New Roman"/>
                <w:sz w:val="21"/>
              </w:rPr>
              <w:t>270,147</w:t>
            </w:r>
          </w:p>
        </w:tc>
        <w:tc>
          <w:tcPr>
            <w:tcW w:w="2350" w:type="dxa"/>
          </w:tcPr>
          <w:p>
            <w:pPr>
              <w:pStyle w:val="TableParagraph"/>
              <w:spacing w:before="10"/>
              <w:ind w:right="90"/>
              <w:jc w:val="right"/>
              <w:rPr>
                <w:rFonts w:ascii="Times New Roman"/>
                <w:sz w:val="21"/>
              </w:rPr>
            </w:pPr>
            <w:r>
              <w:rPr>
                <w:rFonts w:ascii="Times New Roman"/>
                <w:sz w:val="21"/>
              </w:rPr>
              <w:t>50,193</w:t>
            </w:r>
          </w:p>
        </w:tc>
      </w:tr>
      <w:tr>
        <w:trPr>
          <w:trHeight w:val="273" w:hRule="atLeast"/>
        </w:trPr>
        <w:tc>
          <w:tcPr>
            <w:tcW w:w="2871" w:type="dxa"/>
          </w:tcPr>
          <w:p>
            <w:pPr>
              <w:pStyle w:val="TableParagraph"/>
              <w:spacing w:line="252" w:lineRule="exact" w:before="1"/>
              <w:ind w:left="318"/>
              <w:rPr>
                <w:sz w:val="21"/>
              </w:rPr>
            </w:pPr>
            <w:r>
              <w:rPr>
                <w:spacing w:val="-1"/>
                <w:sz w:val="21"/>
              </w:rPr>
              <w:t>其他非流动负债</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527"/>
              <w:rPr>
                <w:sz w:val="21"/>
              </w:rPr>
            </w:pPr>
            <w:r>
              <w:rPr>
                <w:sz w:val="21"/>
              </w:rPr>
              <w:t>非流动负债合计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spacing w:before="7"/>
              <w:ind w:right="88"/>
              <w:jc w:val="right"/>
              <w:rPr>
                <w:rFonts w:ascii="Times New Roman"/>
                <w:sz w:val="21"/>
              </w:rPr>
            </w:pPr>
            <w:r>
              <w:rPr>
                <w:rFonts w:ascii="Times New Roman"/>
                <w:sz w:val="21"/>
              </w:rPr>
              <w:t>5,678,575</w:t>
            </w:r>
          </w:p>
        </w:tc>
        <w:tc>
          <w:tcPr>
            <w:tcW w:w="2350" w:type="dxa"/>
          </w:tcPr>
          <w:p>
            <w:pPr>
              <w:pStyle w:val="TableParagraph"/>
              <w:spacing w:before="7"/>
              <w:ind w:left="1399"/>
              <w:rPr>
                <w:rFonts w:ascii="Times New Roman"/>
                <w:sz w:val="21"/>
              </w:rPr>
            </w:pPr>
            <w:r>
              <w:rPr>
                <w:rFonts w:ascii="Times New Roman"/>
                <w:sz w:val="21"/>
              </w:rPr>
              <w:t>5,792,554</w:t>
            </w:r>
          </w:p>
        </w:tc>
      </w:tr>
      <w:tr>
        <w:trPr>
          <w:trHeight w:val="273" w:hRule="atLeast"/>
        </w:trPr>
        <w:tc>
          <w:tcPr>
            <w:tcW w:w="2871" w:type="dxa"/>
          </w:tcPr>
          <w:p>
            <w:pPr>
              <w:pStyle w:val="TableParagraph"/>
              <w:spacing w:line="250" w:lineRule="exact" w:before="3"/>
              <w:ind w:left="738"/>
              <w:rPr>
                <w:sz w:val="21"/>
              </w:rPr>
            </w:pPr>
            <w:r>
              <w:rPr>
                <w:spacing w:val="-1"/>
                <w:sz w:val="21"/>
              </w:rPr>
              <w:t>负债合计</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154,854,156</w:t>
            </w:r>
          </w:p>
        </w:tc>
        <w:tc>
          <w:tcPr>
            <w:tcW w:w="2350" w:type="dxa"/>
          </w:tcPr>
          <w:p>
            <w:pPr>
              <w:pStyle w:val="TableParagraph"/>
              <w:spacing w:before="10"/>
              <w:ind w:left="1188"/>
              <w:rPr>
                <w:rFonts w:ascii="Times New Roman"/>
                <w:sz w:val="21"/>
              </w:rPr>
            </w:pPr>
            <w:r>
              <w:rPr>
                <w:rFonts w:ascii="Times New Roman"/>
                <w:sz w:val="21"/>
              </w:rPr>
              <w:t>147,121,085</w:t>
            </w:r>
          </w:p>
        </w:tc>
      </w:tr>
      <w:tr>
        <w:trPr>
          <w:trHeight w:val="272" w:hRule="atLeast"/>
        </w:trPr>
        <w:tc>
          <w:tcPr>
            <w:tcW w:w="8809" w:type="dxa"/>
            <w:gridSpan w:val="4"/>
          </w:tcPr>
          <w:p>
            <w:pPr>
              <w:pStyle w:val="TableParagraph"/>
              <w:spacing w:line="252" w:lineRule="exact" w:before="1"/>
              <w:ind w:left="107"/>
              <w:rPr>
                <w:sz w:val="21"/>
              </w:rPr>
            </w:pPr>
            <w:r>
              <w:rPr>
                <w:sz w:val="21"/>
              </w:rPr>
              <w:t>所有者权益（或股东权益）：</w:t>
            </w:r>
            <w:r>
              <w:rPr>
                <w:color w:val="008000"/>
                <w:sz w:val="21"/>
              </w:rPr>
              <w:t> </w:t>
            </w:r>
          </w:p>
        </w:tc>
      </w:tr>
      <w:tr>
        <w:trPr>
          <w:trHeight w:val="273" w:hRule="atLeast"/>
        </w:trPr>
        <w:tc>
          <w:tcPr>
            <w:tcW w:w="2871" w:type="dxa"/>
          </w:tcPr>
          <w:p>
            <w:pPr>
              <w:pStyle w:val="TableParagraph"/>
              <w:spacing w:line="252" w:lineRule="exact" w:before="1"/>
              <w:ind w:left="318"/>
              <w:rPr>
                <w:sz w:val="21"/>
              </w:rPr>
            </w:pPr>
            <w:r>
              <w:rPr>
                <w:spacing w:val="-1"/>
                <w:sz w:val="21"/>
              </w:rPr>
              <w:t>实收资本</w:t>
            </w:r>
            <w:r>
              <w:rPr>
                <w:sz w:val="21"/>
              </w:rPr>
              <w:t>（或股本） </w:t>
            </w:r>
          </w:p>
        </w:tc>
        <w:tc>
          <w:tcPr>
            <w:tcW w:w="1104" w:type="dxa"/>
          </w:tcPr>
          <w:p>
            <w:pPr>
              <w:pStyle w:val="TableParagraph"/>
              <w:spacing w:line="252" w:lineRule="exact" w:before="1"/>
              <w:ind w:left="107"/>
              <w:rPr>
                <w:sz w:val="21"/>
              </w:rPr>
            </w:pPr>
            <w:r>
              <w:rPr>
                <w:sz w:val="21"/>
              </w:rPr>
              <w:t>七、53 </w:t>
            </w:r>
          </w:p>
        </w:tc>
        <w:tc>
          <w:tcPr>
            <w:tcW w:w="2484" w:type="dxa"/>
          </w:tcPr>
          <w:p>
            <w:pPr>
              <w:pStyle w:val="TableParagraph"/>
              <w:spacing w:before="10"/>
              <w:ind w:right="88"/>
              <w:jc w:val="right"/>
              <w:rPr>
                <w:rFonts w:ascii="Times New Roman"/>
                <w:sz w:val="21"/>
              </w:rPr>
            </w:pPr>
            <w:r>
              <w:rPr>
                <w:rFonts w:ascii="Times New Roman"/>
                <w:sz w:val="21"/>
              </w:rPr>
              <w:t>19,859,593</w:t>
            </w:r>
          </w:p>
        </w:tc>
        <w:tc>
          <w:tcPr>
            <w:tcW w:w="2350" w:type="dxa"/>
          </w:tcPr>
          <w:p>
            <w:pPr>
              <w:pStyle w:val="TableParagraph"/>
              <w:spacing w:before="10"/>
              <w:ind w:left="1294"/>
              <w:rPr>
                <w:rFonts w:ascii="Times New Roman"/>
                <w:sz w:val="21"/>
              </w:rPr>
            </w:pPr>
            <w:r>
              <w:rPr>
                <w:rFonts w:ascii="Times New Roman"/>
                <w:sz w:val="21"/>
              </w:rPr>
              <w:t>19,865,070</w:t>
            </w:r>
          </w:p>
        </w:tc>
      </w:tr>
      <w:tr>
        <w:trPr>
          <w:trHeight w:val="270" w:hRule="atLeast"/>
        </w:trPr>
        <w:tc>
          <w:tcPr>
            <w:tcW w:w="2871" w:type="dxa"/>
          </w:tcPr>
          <w:p>
            <w:pPr>
              <w:pStyle w:val="TableParagraph"/>
              <w:spacing w:line="250" w:lineRule="exact" w:before="1"/>
              <w:ind w:left="318"/>
              <w:rPr>
                <w:sz w:val="21"/>
              </w:rPr>
            </w:pPr>
            <w:r>
              <w:rPr>
                <w:spacing w:val="-1"/>
                <w:sz w:val="21"/>
              </w:rPr>
              <w:t>其他权益工具</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1"/>
                <w:sz w:val="21"/>
              </w:rPr>
              <w:t>其中：优先股</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947"/>
              <w:rPr>
                <w:sz w:val="21"/>
              </w:rPr>
            </w:pPr>
            <w:r>
              <w:rPr>
                <w:sz w:val="21"/>
              </w:rPr>
              <w:t>永续债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bl>
    <w:p>
      <w:pPr>
        <w:spacing w:after="0"/>
        <w:rPr>
          <w:rFonts w:ascii="Times New Roman"/>
          <w:sz w:val="20"/>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71"/>
        <w:gridCol w:w="1104"/>
        <w:gridCol w:w="2484"/>
        <w:gridCol w:w="2350"/>
      </w:tblGrid>
      <w:tr>
        <w:trPr>
          <w:trHeight w:val="273" w:hRule="atLeast"/>
        </w:trPr>
        <w:tc>
          <w:tcPr>
            <w:tcW w:w="2871" w:type="dxa"/>
          </w:tcPr>
          <w:p>
            <w:pPr>
              <w:pStyle w:val="TableParagraph"/>
              <w:spacing w:line="250" w:lineRule="exact" w:before="3"/>
              <w:ind w:left="318"/>
              <w:rPr>
                <w:sz w:val="21"/>
              </w:rPr>
            </w:pPr>
            <w:r>
              <w:rPr>
                <w:spacing w:val="-1"/>
                <w:sz w:val="21"/>
              </w:rPr>
              <w:t>资本公积</w:t>
            </w:r>
            <w:r>
              <w:rPr>
                <w:sz w:val="21"/>
              </w:rPr>
              <w:t> </w:t>
            </w:r>
          </w:p>
        </w:tc>
        <w:tc>
          <w:tcPr>
            <w:tcW w:w="1104" w:type="dxa"/>
          </w:tcPr>
          <w:p>
            <w:pPr>
              <w:pStyle w:val="TableParagraph"/>
              <w:spacing w:line="250" w:lineRule="exact" w:before="3"/>
              <w:ind w:left="107"/>
              <w:rPr>
                <w:sz w:val="21"/>
              </w:rPr>
            </w:pPr>
            <w:r>
              <w:rPr>
                <w:sz w:val="21"/>
              </w:rPr>
              <w:t>七、55 </w:t>
            </w:r>
          </w:p>
        </w:tc>
        <w:tc>
          <w:tcPr>
            <w:tcW w:w="2484" w:type="dxa"/>
          </w:tcPr>
          <w:p>
            <w:pPr>
              <w:pStyle w:val="TableParagraph"/>
              <w:spacing w:before="10"/>
              <w:ind w:right="88"/>
              <w:jc w:val="right"/>
              <w:rPr>
                <w:rFonts w:ascii="Times New Roman"/>
                <w:sz w:val="21"/>
              </w:rPr>
            </w:pPr>
            <w:r>
              <w:rPr>
                <w:rFonts w:ascii="Times New Roman"/>
                <w:sz w:val="21"/>
              </w:rPr>
              <w:t>28,491,199</w:t>
            </w:r>
          </w:p>
        </w:tc>
        <w:tc>
          <w:tcPr>
            <w:tcW w:w="2350" w:type="dxa"/>
          </w:tcPr>
          <w:p>
            <w:pPr>
              <w:pStyle w:val="TableParagraph"/>
              <w:spacing w:before="10"/>
              <w:ind w:right="90"/>
              <w:jc w:val="right"/>
              <w:rPr>
                <w:rFonts w:ascii="Times New Roman"/>
                <w:sz w:val="21"/>
              </w:rPr>
            </w:pPr>
            <w:r>
              <w:rPr>
                <w:rFonts w:ascii="Times New Roman"/>
                <w:sz w:val="21"/>
              </w:rPr>
              <w:t>28,297,428</w:t>
            </w:r>
          </w:p>
        </w:tc>
      </w:tr>
      <w:tr>
        <w:trPr>
          <w:trHeight w:val="273" w:hRule="atLeast"/>
        </w:trPr>
        <w:tc>
          <w:tcPr>
            <w:tcW w:w="2871" w:type="dxa"/>
          </w:tcPr>
          <w:p>
            <w:pPr>
              <w:pStyle w:val="TableParagraph"/>
              <w:spacing w:line="252" w:lineRule="exact" w:before="1"/>
              <w:ind w:left="318"/>
              <w:rPr>
                <w:sz w:val="21"/>
              </w:rPr>
            </w:pPr>
            <w:r>
              <w:rPr>
                <w:sz w:val="21"/>
              </w:rPr>
              <w:t>减：库存股 </w:t>
            </w:r>
          </w:p>
        </w:tc>
        <w:tc>
          <w:tcPr>
            <w:tcW w:w="1104" w:type="dxa"/>
          </w:tcPr>
          <w:p>
            <w:pPr>
              <w:pStyle w:val="TableParagraph"/>
              <w:spacing w:line="252" w:lineRule="exact" w:before="1"/>
              <w:ind w:left="107"/>
              <w:rPr>
                <w:sz w:val="21"/>
              </w:rPr>
            </w:pPr>
            <w:r>
              <w:rPr>
                <w:sz w:val="21"/>
              </w:rPr>
              <w:t>七、56 </w:t>
            </w:r>
          </w:p>
        </w:tc>
        <w:tc>
          <w:tcPr>
            <w:tcW w:w="2484" w:type="dxa"/>
          </w:tcPr>
          <w:p>
            <w:pPr>
              <w:pStyle w:val="TableParagraph"/>
              <w:spacing w:before="10"/>
              <w:ind w:right="87"/>
              <w:jc w:val="right"/>
              <w:rPr>
                <w:rFonts w:ascii="Times New Roman"/>
                <w:sz w:val="21"/>
              </w:rPr>
            </w:pPr>
            <w:r>
              <w:rPr>
                <w:rFonts w:ascii="Times New Roman"/>
                <w:sz w:val="21"/>
              </w:rPr>
              <w:t>(2,207,903)</w:t>
            </w:r>
          </w:p>
        </w:tc>
        <w:tc>
          <w:tcPr>
            <w:tcW w:w="2350" w:type="dxa"/>
          </w:tcPr>
          <w:p>
            <w:pPr>
              <w:pStyle w:val="TableParagraph"/>
              <w:spacing w:before="10"/>
              <w:ind w:right="89"/>
              <w:jc w:val="right"/>
              <w:rPr>
                <w:rFonts w:ascii="Times New Roman"/>
                <w:sz w:val="21"/>
              </w:rPr>
            </w:pPr>
            <w:r>
              <w:rPr>
                <w:rFonts w:ascii="Times New Roman"/>
                <w:sz w:val="21"/>
              </w:rPr>
              <w:t>(518,907)</w:t>
            </w:r>
          </w:p>
        </w:tc>
      </w:tr>
      <w:tr>
        <w:trPr>
          <w:trHeight w:val="272" w:hRule="atLeast"/>
        </w:trPr>
        <w:tc>
          <w:tcPr>
            <w:tcW w:w="2871" w:type="dxa"/>
          </w:tcPr>
          <w:p>
            <w:pPr>
              <w:pStyle w:val="TableParagraph"/>
              <w:spacing w:line="252" w:lineRule="exact" w:before="1"/>
              <w:ind w:left="318"/>
              <w:rPr>
                <w:sz w:val="21"/>
              </w:rPr>
            </w:pPr>
            <w:r>
              <w:rPr>
                <w:spacing w:val="-1"/>
                <w:sz w:val="21"/>
              </w:rPr>
              <w:t>其他综合收益</w:t>
            </w:r>
            <w:r>
              <w:rPr>
                <w:sz w:val="21"/>
              </w:rPr>
              <w:t> </w:t>
            </w:r>
          </w:p>
        </w:tc>
        <w:tc>
          <w:tcPr>
            <w:tcW w:w="1104" w:type="dxa"/>
          </w:tcPr>
          <w:p>
            <w:pPr>
              <w:pStyle w:val="TableParagraph"/>
              <w:spacing w:line="252" w:lineRule="exact" w:before="1"/>
              <w:ind w:left="107"/>
              <w:rPr>
                <w:sz w:val="21"/>
              </w:rPr>
            </w:pPr>
            <w:r>
              <w:rPr>
                <w:sz w:val="21"/>
              </w:rPr>
              <w:t>七、57 </w:t>
            </w:r>
          </w:p>
        </w:tc>
        <w:tc>
          <w:tcPr>
            <w:tcW w:w="2484" w:type="dxa"/>
          </w:tcPr>
          <w:p>
            <w:pPr>
              <w:pStyle w:val="TableParagraph"/>
              <w:spacing w:before="10"/>
              <w:ind w:right="88"/>
              <w:jc w:val="right"/>
              <w:rPr>
                <w:rFonts w:ascii="Times New Roman"/>
                <w:sz w:val="21"/>
              </w:rPr>
            </w:pPr>
            <w:r>
              <w:rPr>
                <w:rFonts w:ascii="Times New Roman"/>
                <w:sz w:val="21"/>
              </w:rPr>
              <w:t>1,088,790</w:t>
            </w:r>
          </w:p>
        </w:tc>
        <w:tc>
          <w:tcPr>
            <w:tcW w:w="2350" w:type="dxa"/>
          </w:tcPr>
          <w:p>
            <w:pPr>
              <w:pStyle w:val="TableParagraph"/>
              <w:spacing w:before="10"/>
              <w:ind w:right="89"/>
              <w:jc w:val="right"/>
              <w:rPr>
                <w:rFonts w:ascii="Times New Roman"/>
                <w:sz w:val="21"/>
              </w:rPr>
            </w:pPr>
            <w:r>
              <w:rPr>
                <w:rFonts w:ascii="Times New Roman"/>
                <w:sz w:val="21"/>
              </w:rPr>
              <w:t>(17,550)</w:t>
            </w:r>
          </w:p>
        </w:tc>
      </w:tr>
      <w:tr>
        <w:trPr>
          <w:trHeight w:val="270" w:hRule="atLeast"/>
        </w:trPr>
        <w:tc>
          <w:tcPr>
            <w:tcW w:w="2871" w:type="dxa"/>
          </w:tcPr>
          <w:p>
            <w:pPr>
              <w:pStyle w:val="TableParagraph"/>
              <w:spacing w:line="250" w:lineRule="exact" w:before="1"/>
              <w:ind w:left="318"/>
              <w:rPr>
                <w:sz w:val="21"/>
              </w:rPr>
            </w:pPr>
            <w:r>
              <w:rPr>
                <w:spacing w:val="-1"/>
                <w:sz w:val="21"/>
              </w:rPr>
              <w:t>专项储备</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1"/>
                <w:sz w:val="21"/>
              </w:rPr>
              <w:t>盈余公积</w:t>
            </w:r>
            <w:r>
              <w:rPr>
                <w:sz w:val="21"/>
              </w:rPr>
              <w:t> </w:t>
            </w:r>
          </w:p>
        </w:tc>
        <w:tc>
          <w:tcPr>
            <w:tcW w:w="1104" w:type="dxa"/>
          </w:tcPr>
          <w:p>
            <w:pPr>
              <w:pStyle w:val="TableParagraph"/>
              <w:spacing w:line="250" w:lineRule="exact" w:before="3"/>
              <w:ind w:left="107"/>
              <w:rPr>
                <w:sz w:val="21"/>
              </w:rPr>
            </w:pPr>
            <w:r>
              <w:rPr>
                <w:sz w:val="21"/>
              </w:rPr>
              <w:t>七、59 </w:t>
            </w:r>
          </w:p>
        </w:tc>
        <w:tc>
          <w:tcPr>
            <w:tcW w:w="2484" w:type="dxa"/>
          </w:tcPr>
          <w:p>
            <w:pPr>
              <w:pStyle w:val="TableParagraph"/>
              <w:spacing w:before="10"/>
              <w:ind w:right="88"/>
              <w:jc w:val="right"/>
              <w:rPr>
                <w:rFonts w:ascii="Times New Roman"/>
                <w:sz w:val="21"/>
              </w:rPr>
            </w:pPr>
            <w:r>
              <w:rPr>
                <w:rFonts w:ascii="Times New Roman"/>
                <w:sz w:val="21"/>
              </w:rPr>
              <w:t>3,809,459</w:t>
            </w:r>
          </w:p>
        </w:tc>
        <w:tc>
          <w:tcPr>
            <w:tcW w:w="2350" w:type="dxa"/>
          </w:tcPr>
          <w:p>
            <w:pPr>
              <w:pStyle w:val="TableParagraph"/>
              <w:spacing w:before="10"/>
              <w:ind w:right="90"/>
              <w:jc w:val="right"/>
              <w:rPr>
                <w:rFonts w:ascii="Times New Roman"/>
                <w:sz w:val="21"/>
              </w:rPr>
            </w:pPr>
            <w:r>
              <w:rPr>
                <w:rFonts w:ascii="Times New Roman"/>
                <w:sz w:val="21"/>
              </w:rPr>
              <w:t>2,771,638</w:t>
            </w:r>
          </w:p>
        </w:tc>
      </w:tr>
      <w:tr>
        <w:trPr>
          <w:trHeight w:val="272" w:hRule="atLeast"/>
        </w:trPr>
        <w:tc>
          <w:tcPr>
            <w:tcW w:w="2871" w:type="dxa"/>
          </w:tcPr>
          <w:p>
            <w:pPr>
              <w:pStyle w:val="TableParagraph"/>
              <w:spacing w:line="252" w:lineRule="exact" w:before="1"/>
              <w:ind w:left="318"/>
              <w:rPr>
                <w:sz w:val="21"/>
              </w:rPr>
            </w:pPr>
            <w:r>
              <w:rPr>
                <w:spacing w:val="-1"/>
                <w:sz w:val="21"/>
              </w:rPr>
              <w:t>一般风险准备</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z w:val="21"/>
              </w:rPr>
              <w:t>未分配利润 </w:t>
            </w:r>
          </w:p>
        </w:tc>
        <w:tc>
          <w:tcPr>
            <w:tcW w:w="1104" w:type="dxa"/>
          </w:tcPr>
          <w:p>
            <w:pPr>
              <w:pStyle w:val="TableParagraph"/>
              <w:spacing w:line="252" w:lineRule="exact" w:before="1"/>
              <w:ind w:left="107"/>
              <w:rPr>
                <w:sz w:val="21"/>
              </w:rPr>
            </w:pPr>
            <w:r>
              <w:rPr>
                <w:sz w:val="21"/>
              </w:rPr>
              <w:t>七、60 </w:t>
            </w:r>
          </w:p>
        </w:tc>
        <w:tc>
          <w:tcPr>
            <w:tcW w:w="2484" w:type="dxa"/>
          </w:tcPr>
          <w:p>
            <w:pPr>
              <w:pStyle w:val="TableParagraph"/>
              <w:spacing w:before="7"/>
              <w:ind w:right="88"/>
              <w:jc w:val="right"/>
              <w:rPr>
                <w:rFonts w:ascii="Times New Roman"/>
                <w:sz w:val="21"/>
              </w:rPr>
            </w:pPr>
            <w:r>
              <w:rPr>
                <w:rFonts w:ascii="Times New Roman"/>
                <w:sz w:val="21"/>
              </w:rPr>
              <w:t>77,934,054</w:t>
            </w:r>
          </w:p>
        </w:tc>
        <w:tc>
          <w:tcPr>
            <w:tcW w:w="2350" w:type="dxa"/>
          </w:tcPr>
          <w:p>
            <w:pPr>
              <w:pStyle w:val="TableParagraph"/>
              <w:spacing w:before="7"/>
              <w:ind w:right="90"/>
              <w:jc w:val="right"/>
              <w:rPr>
                <w:rFonts w:ascii="Times New Roman"/>
                <w:sz w:val="21"/>
              </w:rPr>
            </w:pPr>
            <w:r>
              <w:rPr>
                <w:rFonts w:ascii="Times New Roman"/>
                <w:sz w:val="21"/>
              </w:rPr>
              <w:t>68,782,923</w:t>
            </w:r>
          </w:p>
        </w:tc>
      </w:tr>
      <w:tr>
        <w:trPr>
          <w:trHeight w:val="544" w:hRule="atLeast"/>
        </w:trPr>
        <w:tc>
          <w:tcPr>
            <w:tcW w:w="2871" w:type="dxa"/>
          </w:tcPr>
          <w:p>
            <w:pPr>
              <w:pStyle w:val="TableParagraph"/>
              <w:spacing w:before="1"/>
              <w:ind w:left="318"/>
              <w:rPr>
                <w:sz w:val="21"/>
              </w:rPr>
            </w:pPr>
            <w:r>
              <w:rPr>
                <w:sz w:val="21"/>
              </w:rPr>
              <w:t>归属于母公司所有者权益</w:t>
            </w:r>
          </w:p>
          <w:p>
            <w:pPr>
              <w:pStyle w:val="TableParagraph"/>
              <w:spacing w:line="252" w:lineRule="exact" w:before="2"/>
              <w:ind w:left="107"/>
              <w:rPr>
                <w:sz w:val="21"/>
              </w:rPr>
            </w:pPr>
            <w:r>
              <w:rPr>
                <w:sz w:val="21"/>
              </w:rPr>
              <w:t>（或股东权益）合计 </w:t>
            </w:r>
          </w:p>
        </w:tc>
        <w:tc>
          <w:tcPr>
            <w:tcW w:w="1104" w:type="dxa"/>
          </w:tcPr>
          <w:p>
            <w:pPr>
              <w:pStyle w:val="TableParagraph"/>
              <w:spacing w:before="1"/>
              <w:ind w:left="107"/>
              <w:rPr>
                <w:sz w:val="21"/>
              </w:rPr>
            </w:pPr>
            <w:r>
              <w:rPr>
                <w:w w:val="100"/>
                <w:sz w:val="21"/>
              </w:rPr>
              <w:t> </w:t>
            </w:r>
          </w:p>
        </w:tc>
        <w:tc>
          <w:tcPr>
            <w:tcW w:w="2484" w:type="dxa"/>
          </w:tcPr>
          <w:p>
            <w:pPr>
              <w:pStyle w:val="TableParagraph"/>
              <w:spacing w:before="144"/>
              <w:ind w:right="88"/>
              <w:jc w:val="right"/>
              <w:rPr>
                <w:rFonts w:ascii="Times New Roman"/>
                <w:sz w:val="21"/>
              </w:rPr>
            </w:pPr>
            <w:r>
              <w:rPr>
                <w:rFonts w:ascii="Times New Roman"/>
                <w:sz w:val="21"/>
              </w:rPr>
              <w:t>128,975,192</w:t>
            </w:r>
          </w:p>
        </w:tc>
        <w:tc>
          <w:tcPr>
            <w:tcW w:w="2350" w:type="dxa"/>
          </w:tcPr>
          <w:p>
            <w:pPr>
              <w:pStyle w:val="TableParagraph"/>
              <w:spacing w:before="144"/>
              <w:ind w:right="90"/>
              <w:jc w:val="right"/>
              <w:rPr>
                <w:rFonts w:ascii="Times New Roman"/>
                <w:sz w:val="21"/>
              </w:rPr>
            </w:pPr>
            <w:r>
              <w:rPr>
                <w:rFonts w:ascii="Times New Roman"/>
                <w:sz w:val="21"/>
              </w:rPr>
              <w:t>119,180,602</w:t>
            </w:r>
          </w:p>
        </w:tc>
      </w:tr>
      <w:tr>
        <w:trPr>
          <w:trHeight w:val="270" w:hRule="atLeast"/>
        </w:trPr>
        <w:tc>
          <w:tcPr>
            <w:tcW w:w="2871" w:type="dxa"/>
          </w:tcPr>
          <w:p>
            <w:pPr>
              <w:pStyle w:val="TableParagraph"/>
              <w:spacing w:line="250" w:lineRule="exact" w:before="1"/>
              <w:ind w:left="318"/>
              <w:rPr>
                <w:sz w:val="21"/>
              </w:rPr>
            </w:pPr>
            <w:r>
              <w:rPr>
                <w:spacing w:val="-1"/>
                <w:sz w:val="21"/>
              </w:rPr>
              <w:t>少数股东权益</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spacing w:before="7"/>
              <w:ind w:right="88"/>
              <w:jc w:val="right"/>
              <w:rPr>
                <w:rFonts w:ascii="Times New Roman"/>
                <w:sz w:val="21"/>
              </w:rPr>
            </w:pPr>
            <w:r>
              <w:rPr>
                <w:rFonts w:ascii="Times New Roman"/>
                <w:sz w:val="21"/>
              </w:rPr>
              <w:t>358,314</w:t>
            </w:r>
          </w:p>
        </w:tc>
        <w:tc>
          <w:tcPr>
            <w:tcW w:w="2350" w:type="dxa"/>
          </w:tcPr>
          <w:p>
            <w:pPr>
              <w:pStyle w:val="TableParagraph"/>
              <w:spacing w:before="7"/>
              <w:ind w:right="90"/>
              <w:jc w:val="right"/>
              <w:rPr>
                <w:rFonts w:ascii="Times New Roman"/>
                <w:sz w:val="21"/>
              </w:rPr>
            </w:pPr>
            <w:r>
              <w:rPr>
                <w:rFonts w:ascii="Times New Roman"/>
                <w:sz w:val="21"/>
              </w:rPr>
              <w:t>307,088</w:t>
            </w:r>
          </w:p>
        </w:tc>
      </w:tr>
      <w:tr>
        <w:trPr>
          <w:trHeight w:val="546" w:hRule="atLeast"/>
        </w:trPr>
        <w:tc>
          <w:tcPr>
            <w:tcW w:w="2871" w:type="dxa"/>
          </w:tcPr>
          <w:p>
            <w:pPr>
              <w:pStyle w:val="TableParagraph"/>
              <w:spacing w:line="270" w:lineRule="atLeast"/>
              <w:ind w:left="107" w:right="223" w:firstLine="419"/>
              <w:rPr>
                <w:sz w:val="21"/>
              </w:rPr>
            </w:pPr>
            <w:r>
              <w:rPr>
                <w:sz w:val="21"/>
              </w:rPr>
              <w:t>所有者权益（或股东权益）合计 </w:t>
            </w:r>
          </w:p>
        </w:tc>
        <w:tc>
          <w:tcPr>
            <w:tcW w:w="1104" w:type="dxa"/>
          </w:tcPr>
          <w:p>
            <w:pPr>
              <w:pStyle w:val="TableParagraph"/>
              <w:spacing w:before="3"/>
              <w:ind w:left="107"/>
              <w:rPr>
                <w:sz w:val="21"/>
              </w:rPr>
            </w:pPr>
            <w:r>
              <w:rPr>
                <w:w w:val="100"/>
                <w:sz w:val="21"/>
              </w:rPr>
              <w:t> </w:t>
            </w:r>
          </w:p>
        </w:tc>
        <w:tc>
          <w:tcPr>
            <w:tcW w:w="2484" w:type="dxa"/>
          </w:tcPr>
          <w:p>
            <w:pPr>
              <w:pStyle w:val="TableParagraph"/>
              <w:spacing w:before="147"/>
              <w:ind w:right="88"/>
              <w:jc w:val="right"/>
              <w:rPr>
                <w:rFonts w:ascii="Times New Roman"/>
                <w:sz w:val="21"/>
              </w:rPr>
            </w:pPr>
            <w:r>
              <w:rPr>
                <w:rFonts w:ascii="Times New Roman"/>
                <w:sz w:val="21"/>
              </w:rPr>
              <w:t>129,333,506</w:t>
            </w:r>
          </w:p>
        </w:tc>
        <w:tc>
          <w:tcPr>
            <w:tcW w:w="2350" w:type="dxa"/>
          </w:tcPr>
          <w:p>
            <w:pPr>
              <w:pStyle w:val="TableParagraph"/>
              <w:spacing w:before="147"/>
              <w:ind w:right="90"/>
              <w:jc w:val="right"/>
              <w:rPr>
                <w:rFonts w:ascii="Times New Roman"/>
                <w:sz w:val="21"/>
              </w:rPr>
            </w:pPr>
            <w:r>
              <w:rPr>
                <w:rFonts w:ascii="Times New Roman"/>
                <w:sz w:val="21"/>
              </w:rPr>
              <w:t>119,487,690</w:t>
            </w:r>
          </w:p>
        </w:tc>
      </w:tr>
      <w:tr>
        <w:trPr>
          <w:trHeight w:val="544" w:hRule="atLeast"/>
        </w:trPr>
        <w:tc>
          <w:tcPr>
            <w:tcW w:w="2871" w:type="dxa"/>
          </w:tcPr>
          <w:p>
            <w:pPr>
              <w:pStyle w:val="TableParagraph"/>
              <w:spacing w:before="1"/>
              <w:ind w:left="738"/>
              <w:rPr>
                <w:sz w:val="21"/>
              </w:rPr>
            </w:pPr>
            <w:r>
              <w:rPr>
                <w:sz w:val="21"/>
              </w:rPr>
              <w:t>负债和所有者权益</w:t>
            </w:r>
          </w:p>
          <w:p>
            <w:pPr>
              <w:pStyle w:val="TableParagraph"/>
              <w:spacing w:line="252" w:lineRule="exact" w:before="2"/>
              <w:ind w:left="107"/>
              <w:rPr>
                <w:sz w:val="21"/>
              </w:rPr>
            </w:pPr>
            <w:r>
              <w:rPr>
                <w:sz w:val="21"/>
              </w:rPr>
              <w:t>（或股东权益）总计 </w:t>
            </w:r>
          </w:p>
        </w:tc>
        <w:tc>
          <w:tcPr>
            <w:tcW w:w="1104" w:type="dxa"/>
          </w:tcPr>
          <w:p>
            <w:pPr>
              <w:pStyle w:val="TableParagraph"/>
              <w:spacing w:before="1"/>
              <w:ind w:left="107"/>
              <w:rPr>
                <w:sz w:val="21"/>
              </w:rPr>
            </w:pPr>
            <w:r>
              <w:rPr>
                <w:w w:val="100"/>
                <w:sz w:val="21"/>
              </w:rPr>
              <w:t> </w:t>
            </w:r>
          </w:p>
        </w:tc>
        <w:tc>
          <w:tcPr>
            <w:tcW w:w="2484" w:type="dxa"/>
          </w:tcPr>
          <w:p>
            <w:pPr>
              <w:pStyle w:val="TableParagraph"/>
              <w:spacing w:before="144"/>
              <w:ind w:right="88"/>
              <w:jc w:val="right"/>
              <w:rPr>
                <w:rFonts w:ascii="Times New Roman"/>
                <w:sz w:val="21"/>
              </w:rPr>
            </w:pPr>
            <w:r>
              <w:rPr>
                <w:rFonts w:ascii="Times New Roman"/>
                <w:sz w:val="21"/>
              </w:rPr>
              <w:t>284,187,662</w:t>
            </w:r>
          </w:p>
        </w:tc>
        <w:tc>
          <w:tcPr>
            <w:tcW w:w="2350" w:type="dxa"/>
          </w:tcPr>
          <w:p>
            <w:pPr>
              <w:pStyle w:val="TableParagraph"/>
              <w:spacing w:before="144"/>
              <w:ind w:right="90"/>
              <w:jc w:val="right"/>
              <w:rPr>
                <w:rFonts w:ascii="Times New Roman"/>
                <w:sz w:val="21"/>
              </w:rPr>
            </w:pPr>
            <w:r>
              <w:rPr>
                <w:rFonts w:ascii="Times New Roman"/>
                <w:sz w:val="21"/>
              </w:rPr>
              <w:t>266,608,775</w:t>
            </w:r>
          </w:p>
        </w:tc>
      </w:tr>
    </w:tbl>
    <w:p>
      <w:pPr>
        <w:pStyle w:val="BodyText"/>
        <w:spacing w:before="1"/>
      </w:pPr>
      <w:r>
        <w:rPr>
          <w:w w:val="100"/>
        </w:rPr>
        <w:t> </w:t>
      </w:r>
    </w:p>
    <w:p>
      <w:pPr>
        <w:pStyle w:val="BodyText"/>
        <w:spacing w:before="4"/>
      </w:pPr>
      <w:r>
        <w:rPr>
          <w:spacing w:val="-2"/>
        </w:rPr>
        <w:t>公司负责人：李军旗 主管会计工作负责人：郭俊宏 会计机构负责人：黄昭期</w:t>
      </w:r>
      <w:r>
        <w:rPr>
          <w:color w:val="008000"/>
        </w:rPr>
        <w:t> </w:t>
      </w:r>
    </w:p>
    <w:p>
      <w:pPr>
        <w:pStyle w:val="BodyText"/>
        <w:spacing w:before="3"/>
      </w:pPr>
      <w:r>
        <w:rPr>
          <w:w w:val="100"/>
        </w:rPr>
        <w:t> </w:t>
      </w:r>
    </w:p>
    <w:p>
      <w:pPr>
        <w:pStyle w:val="BodyText"/>
        <w:spacing w:before="4"/>
      </w:pPr>
      <w:r>
        <w:rPr>
          <w:w w:val="100"/>
        </w:rPr>
        <w:t> </w:t>
      </w:r>
    </w:p>
    <w:p>
      <w:pPr>
        <w:pStyle w:val="BodyText"/>
        <w:spacing w:line="295" w:lineRule="auto" w:before="62"/>
        <w:ind w:left="3868" w:right="4717" w:hanging="106"/>
        <w:jc w:val="center"/>
      </w:pPr>
      <w:r>
        <w:rPr/>
        <w:t>母公司资产负债表2022</w:t>
      </w:r>
      <w:r>
        <w:rPr>
          <w:spacing w:val="-37"/>
        </w:rPr>
        <w:t> 年 </w:t>
      </w:r>
      <w:r>
        <w:rPr/>
        <w:t>12</w:t>
      </w:r>
      <w:r>
        <w:rPr>
          <w:spacing w:val="-36"/>
        </w:rPr>
        <w:t> 月 </w:t>
      </w:r>
      <w:r>
        <w:rPr/>
        <w:t>31</w:t>
      </w:r>
      <w:r>
        <w:rPr>
          <w:spacing w:val="-27"/>
        </w:rPr>
        <w:t> 日</w:t>
      </w:r>
      <w:r>
        <w:rPr/>
        <w:t> </w:t>
      </w:r>
    </w:p>
    <w:p>
      <w:pPr>
        <w:pStyle w:val="BodyText"/>
        <w:spacing w:line="212" w:lineRule="exact"/>
        <w:ind w:left="468" w:right="6055"/>
        <w:jc w:val="center"/>
      </w:pPr>
      <w:r>
        <w:rPr>
          <w:spacing w:val="-1"/>
        </w:rPr>
        <w:t>编制单位:富士康工业互联网股份有限公司</w:t>
      </w:r>
      <w:r>
        <w:rPr/>
        <w:t> </w:t>
      </w:r>
      <w:r>
        <w:rPr>
          <w:spacing w:val="-2"/>
        </w:rPr>
        <w:t> </w:t>
      </w:r>
      <w:r>
        <w:rPr>
          <w:w w:val="100"/>
        </w:rPr>
        <w:t> </w:t>
      </w:r>
    </w:p>
    <w:p>
      <w:pPr>
        <w:pStyle w:val="BodyText"/>
        <w:spacing w:before="2" w:after="4"/>
        <w:ind w:left="6675" w:right="1005"/>
        <w:jc w:val="center"/>
      </w:pPr>
      <w:r>
        <w:rPr>
          <w:spacing w:val="7"/>
        </w:rPr>
        <w:t>单位:千元 币种:人民币</w:t>
      </w:r>
      <w:r>
        <w:rPr/>
        <w:t> </w:t>
      </w:r>
    </w:p>
    <w:tbl>
      <w:tblPr>
        <w:tblW w:w="0" w:type="auto"/>
        <w:jc w:val="left"/>
        <w:tblInd w:w="3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71"/>
        <w:gridCol w:w="1104"/>
        <w:gridCol w:w="2484"/>
        <w:gridCol w:w="2350"/>
      </w:tblGrid>
      <w:tr>
        <w:trPr>
          <w:trHeight w:val="272" w:hRule="atLeast"/>
        </w:trPr>
        <w:tc>
          <w:tcPr>
            <w:tcW w:w="2871" w:type="dxa"/>
          </w:tcPr>
          <w:p>
            <w:pPr>
              <w:pStyle w:val="TableParagraph"/>
              <w:spacing w:line="252" w:lineRule="exact" w:before="1"/>
              <w:ind w:left="1255" w:right="1141"/>
              <w:jc w:val="center"/>
              <w:rPr>
                <w:sz w:val="21"/>
              </w:rPr>
            </w:pPr>
            <w:r>
              <w:rPr>
                <w:sz w:val="21"/>
              </w:rPr>
              <w:t>项目 </w:t>
            </w:r>
          </w:p>
        </w:tc>
        <w:tc>
          <w:tcPr>
            <w:tcW w:w="1104" w:type="dxa"/>
          </w:tcPr>
          <w:p>
            <w:pPr>
              <w:pStyle w:val="TableParagraph"/>
              <w:spacing w:line="252" w:lineRule="exact" w:before="1"/>
              <w:ind w:left="340"/>
              <w:rPr>
                <w:sz w:val="21"/>
              </w:rPr>
            </w:pPr>
            <w:r>
              <w:rPr>
                <w:sz w:val="21"/>
              </w:rPr>
              <w:t>附注 </w:t>
            </w:r>
          </w:p>
        </w:tc>
        <w:tc>
          <w:tcPr>
            <w:tcW w:w="2484" w:type="dxa"/>
          </w:tcPr>
          <w:p>
            <w:pPr>
              <w:pStyle w:val="TableParagraph"/>
              <w:spacing w:line="252" w:lineRule="exact" w:before="1"/>
              <w:ind w:left="369"/>
              <w:rPr>
                <w:sz w:val="21"/>
              </w:rPr>
            </w:pPr>
            <w:r>
              <w:rPr>
                <w:sz w:val="21"/>
              </w:rPr>
              <w:t>2022</w:t>
            </w:r>
            <w:r>
              <w:rPr>
                <w:spacing w:val="-35"/>
                <w:sz w:val="21"/>
              </w:rPr>
              <w:t> 年 </w:t>
            </w:r>
            <w:r>
              <w:rPr>
                <w:sz w:val="21"/>
              </w:rPr>
              <w:t>12</w:t>
            </w:r>
            <w:r>
              <w:rPr>
                <w:spacing w:val="-35"/>
                <w:sz w:val="21"/>
              </w:rPr>
              <w:t> 月 </w:t>
            </w:r>
            <w:r>
              <w:rPr>
                <w:sz w:val="21"/>
              </w:rPr>
              <w:t>31</w:t>
            </w:r>
            <w:r>
              <w:rPr>
                <w:spacing w:val="-26"/>
                <w:sz w:val="21"/>
              </w:rPr>
              <w:t> 日 </w:t>
            </w:r>
          </w:p>
        </w:tc>
        <w:tc>
          <w:tcPr>
            <w:tcW w:w="2350" w:type="dxa"/>
          </w:tcPr>
          <w:p>
            <w:pPr>
              <w:pStyle w:val="TableParagraph"/>
              <w:spacing w:line="252" w:lineRule="exact" w:before="1"/>
              <w:ind w:left="302"/>
              <w:rPr>
                <w:sz w:val="21"/>
              </w:rPr>
            </w:pPr>
            <w:r>
              <w:rPr>
                <w:sz w:val="21"/>
              </w:rPr>
              <w:t>2021</w:t>
            </w:r>
            <w:r>
              <w:rPr>
                <w:spacing w:val="-35"/>
                <w:sz w:val="21"/>
              </w:rPr>
              <w:t> 年 </w:t>
            </w:r>
            <w:r>
              <w:rPr>
                <w:sz w:val="21"/>
              </w:rPr>
              <w:t>12</w:t>
            </w:r>
            <w:r>
              <w:rPr>
                <w:spacing w:val="-35"/>
                <w:sz w:val="21"/>
              </w:rPr>
              <w:t> 月 </w:t>
            </w:r>
            <w:r>
              <w:rPr>
                <w:sz w:val="21"/>
              </w:rPr>
              <w:t>31</w:t>
            </w:r>
            <w:r>
              <w:rPr>
                <w:spacing w:val="-26"/>
                <w:sz w:val="21"/>
              </w:rPr>
              <w:t> 日 </w:t>
            </w:r>
          </w:p>
        </w:tc>
      </w:tr>
      <w:tr>
        <w:trPr>
          <w:trHeight w:val="270" w:hRule="atLeast"/>
        </w:trPr>
        <w:tc>
          <w:tcPr>
            <w:tcW w:w="8809" w:type="dxa"/>
            <w:gridSpan w:val="4"/>
          </w:tcPr>
          <w:p>
            <w:pPr>
              <w:pStyle w:val="TableParagraph"/>
              <w:spacing w:line="250" w:lineRule="exact" w:before="1"/>
              <w:ind w:left="107"/>
              <w:rPr>
                <w:sz w:val="21"/>
              </w:rPr>
            </w:pPr>
            <w:r>
              <w:rPr>
                <w:sz w:val="21"/>
              </w:rPr>
              <w:t>流动资产：</w:t>
            </w:r>
            <w:r>
              <w:rPr>
                <w:color w:val="FF00FF"/>
                <w:sz w:val="21"/>
              </w:rPr>
              <w:t> </w:t>
            </w:r>
          </w:p>
        </w:tc>
      </w:tr>
      <w:tr>
        <w:trPr>
          <w:trHeight w:val="272" w:hRule="atLeast"/>
        </w:trPr>
        <w:tc>
          <w:tcPr>
            <w:tcW w:w="2871" w:type="dxa"/>
          </w:tcPr>
          <w:p>
            <w:pPr>
              <w:pStyle w:val="TableParagraph"/>
              <w:spacing w:line="250" w:lineRule="exact" w:before="3"/>
              <w:ind w:left="318"/>
              <w:rPr>
                <w:sz w:val="21"/>
              </w:rPr>
            </w:pPr>
            <w:r>
              <w:rPr>
                <w:spacing w:val="-1"/>
                <w:sz w:val="21"/>
              </w:rPr>
              <w:t>货币资金</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10,500,490</w:t>
            </w:r>
          </w:p>
        </w:tc>
        <w:tc>
          <w:tcPr>
            <w:tcW w:w="2350" w:type="dxa"/>
          </w:tcPr>
          <w:p>
            <w:pPr>
              <w:pStyle w:val="TableParagraph"/>
              <w:spacing w:before="10"/>
              <w:ind w:left="1294"/>
              <w:rPr>
                <w:rFonts w:ascii="Times New Roman"/>
                <w:sz w:val="21"/>
              </w:rPr>
            </w:pPr>
            <w:r>
              <w:rPr>
                <w:rFonts w:ascii="Times New Roman"/>
                <w:sz w:val="21"/>
              </w:rPr>
              <w:t>17,579,390</w:t>
            </w:r>
          </w:p>
        </w:tc>
      </w:tr>
      <w:tr>
        <w:trPr>
          <w:trHeight w:val="273" w:hRule="atLeast"/>
        </w:trPr>
        <w:tc>
          <w:tcPr>
            <w:tcW w:w="2871" w:type="dxa"/>
          </w:tcPr>
          <w:p>
            <w:pPr>
              <w:pStyle w:val="TableParagraph"/>
              <w:spacing w:line="253" w:lineRule="exact" w:before="1"/>
              <w:ind w:left="318"/>
              <w:rPr>
                <w:sz w:val="21"/>
              </w:rPr>
            </w:pPr>
            <w:r>
              <w:rPr>
                <w:spacing w:val="-1"/>
                <w:sz w:val="21"/>
              </w:rPr>
              <w:t>交易性金融资产</w:t>
            </w:r>
            <w:r>
              <w:rPr>
                <w:sz w:val="21"/>
              </w:rPr>
              <w:t> </w:t>
            </w:r>
          </w:p>
        </w:tc>
        <w:tc>
          <w:tcPr>
            <w:tcW w:w="1104" w:type="dxa"/>
          </w:tcPr>
          <w:p>
            <w:pPr>
              <w:pStyle w:val="TableParagraph"/>
              <w:spacing w:line="253"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1"/>
                <w:sz w:val="21"/>
              </w:rPr>
              <w:t>衍生金融资产</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7"/>
              <w:ind w:right="90"/>
              <w:jc w:val="right"/>
              <w:rPr>
                <w:rFonts w:ascii="Times New Roman"/>
                <w:sz w:val="21"/>
              </w:rPr>
            </w:pPr>
            <w:r>
              <w:rPr>
                <w:rFonts w:ascii="Times New Roman"/>
                <w:w w:val="100"/>
                <w:sz w:val="21"/>
              </w:rPr>
              <w:t>-</w:t>
            </w:r>
          </w:p>
        </w:tc>
        <w:tc>
          <w:tcPr>
            <w:tcW w:w="2350" w:type="dxa"/>
          </w:tcPr>
          <w:p>
            <w:pPr>
              <w:pStyle w:val="TableParagraph"/>
              <w:spacing w:before="7"/>
              <w:ind w:right="92"/>
              <w:jc w:val="right"/>
              <w:rPr>
                <w:rFonts w:ascii="Times New Roman"/>
                <w:sz w:val="21"/>
              </w:rPr>
            </w:pPr>
            <w:r>
              <w:rPr>
                <w:rFonts w:ascii="Times New Roman"/>
                <w:w w:val="100"/>
                <w:sz w:val="21"/>
              </w:rPr>
              <w:t>-</w:t>
            </w:r>
          </w:p>
        </w:tc>
      </w:tr>
      <w:tr>
        <w:trPr>
          <w:trHeight w:val="270" w:hRule="atLeast"/>
        </w:trPr>
        <w:tc>
          <w:tcPr>
            <w:tcW w:w="2871" w:type="dxa"/>
          </w:tcPr>
          <w:p>
            <w:pPr>
              <w:pStyle w:val="TableParagraph"/>
              <w:spacing w:line="250" w:lineRule="exact" w:before="1"/>
              <w:ind w:left="318"/>
              <w:rPr>
                <w:sz w:val="21"/>
              </w:rPr>
            </w:pPr>
            <w:r>
              <w:rPr>
                <w:spacing w:val="-1"/>
                <w:sz w:val="21"/>
              </w:rPr>
              <w:t>应收票据</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1"/>
                <w:sz w:val="21"/>
              </w:rPr>
              <w:t>应收账款</w:t>
            </w:r>
            <w:r>
              <w:rPr>
                <w:sz w:val="21"/>
              </w:rPr>
              <w:t> </w:t>
            </w:r>
          </w:p>
        </w:tc>
        <w:tc>
          <w:tcPr>
            <w:tcW w:w="1104" w:type="dxa"/>
          </w:tcPr>
          <w:p>
            <w:pPr>
              <w:pStyle w:val="TableParagraph"/>
              <w:spacing w:line="250" w:lineRule="exact" w:before="3"/>
              <w:ind w:left="107"/>
              <w:rPr>
                <w:sz w:val="21"/>
              </w:rPr>
            </w:pPr>
            <w:r>
              <w:rPr>
                <w:spacing w:val="-1"/>
                <w:sz w:val="21"/>
              </w:rPr>
              <w:t>十七、</w:t>
            </w:r>
            <w:r>
              <w:rPr>
                <w:sz w:val="21"/>
              </w:rPr>
              <w:t>1 </w:t>
            </w:r>
          </w:p>
        </w:tc>
        <w:tc>
          <w:tcPr>
            <w:tcW w:w="2484" w:type="dxa"/>
          </w:tcPr>
          <w:p>
            <w:pPr>
              <w:pStyle w:val="TableParagraph"/>
              <w:spacing w:before="10"/>
              <w:ind w:right="88"/>
              <w:jc w:val="right"/>
              <w:rPr>
                <w:rFonts w:ascii="Times New Roman"/>
                <w:sz w:val="21"/>
              </w:rPr>
            </w:pPr>
            <w:r>
              <w:rPr>
                <w:rFonts w:ascii="Times New Roman"/>
                <w:sz w:val="21"/>
              </w:rPr>
              <w:t>69,112</w:t>
            </w:r>
          </w:p>
        </w:tc>
        <w:tc>
          <w:tcPr>
            <w:tcW w:w="2350" w:type="dxa"/>
          </w:tcPr>
          <w:p>
            <w:pPr>
              <w:pStyle w:val="TableParagraph"/>
              <w:spacing w:before="10"/>
              <w:ind w:right="90"/>
              <w:jc w:val="right"/>
              <w:rPr>
                <w:rFonts w:ascii="Times New Roman"/>
                <w:sz w:val="21"/>
              </w:rPr>
            </w:pPr>
            <w:r>
              <w:rPr>
                <w:rFonts w:ascii="Times New Roman"/>
                <w:sz w:val="21"/>
              </w:rPr>
              <w:t>66,392</w:t>
            </w:r>
          </w:p>
        </w:tc>
      </w:tr>
      <w:tr>
        <w:trPr>
          <w:trHeight w:val="273" w:hRule="atLeast"/>
        </w:trPr>
        <w:tc>
          <w:tcPr>
            <w:tcW w:w="2871" w:type="dxa"/>
          </w:tcPr>
          <w:p>
            <w:pPr>
              <w:pStyle w:val="TableParagraph"/>
              <w:spacing w:line="252" w:lineRule="exact" w:before="1"/>
              <w:ind w:left="318"/>
              <w:rPr>
                <w:sz w:val="21"/>
              </w:rPr>
            </w:pPr>
            <w:r>
              <w:rPr>
                <w:spacing w:val="-1"/>
                <w:sz w:val="21"/>
              </w:rPr>
              <w:t>应收款项融资</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1"/>
                <w:sz w:val="21"/>
              </w:rPr>
              <w:t>预付款项</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spacing w:before="7"/>
              <w:ind w:right="88"/>
              <w:jc w:val="right"/>
              <w:rPr>
                <w:rFonts w:ascii="Times New Roman"/>
                <w:sz w:val="21"/>
              </w:rPr>
            </w:pPr>
            <w:r>
              <w:rPr>
                <w:rFonts w:ascii="Times New Roman"/>
                <w:sz w:val="21"/>
              </w:rPr>
              <w:t>1,653</w:t>
            </w:r>
          </w:p>
        </w:tc>
        <w:tc>
          <w:tcPr>
            <w:tcW w:w="2350" w:type="dxa"/>
          </w:tcPr>
          <w:p>
            <w:pPr>
              <w:pStyle w:val="TableParagraph"/>
              <w:spacing w:before="7"/>
              <w:ind w:right="90"/>
              <w:jc w:val="right"/>
              <w:rPr>
                <w:rFonts w:ascii="Times New Roman"/>
                <w:sz w:val="21"/>
              </w:rPr>
            </w:pPr>
            <w:r>
              <w:rPr>
                <w:rFonts w:ascii="Times New Roman"/>
                <w:sz w:val="21"/>
              </w:rPr>
              <w:t>1,812</w:t>
            </w:r>
          </w:p>
        </w:tc>
      </w:tr>
      <w:tr>
        <w:trPr>
          <w:trHeight w:val="273" w:hRule="atLeast"/>
        </w:trPr>
        <w:tc>
          <w:tcPr>
            <w:tcW w:w="2871" w:type="dxa"/>
          </w:tcPr>
          <w:p>
            <w:pPr>
              <w:pStyle w:val="TableParagraph"/>
              <w:spacing w:line="250" w:lineRule="exact" w:before="3"/>
              <w:ind w:left="318"/>
              <w:rPr>
                <w:sz w:val="21"/>
              </w:rPr>
            </w:pPr>
            <w:r>
              <w:rPr>
                <w:sz w:val="21"/>
              </w:rPr>
              <w:t>其他应收款 </w:t>
            </w:r>
          </w:p>
        </w:tc>
        <w:tc>
          <w:tcPr>
            <w:tcW w:w="1104" w:type="dxa"/>
          </w:tcPr>
          <w:p>
            <w:pPr>
              <w:pStyle w:val="TableParagraph"/>
              <w:spacing w:line="250" w:lineRule="exact" w:before="3"/>
              <w:ind w:left="107"/>
              <w:rPr>
                <w:sz w:val="21"/>
              </w:rPr>
            </w:pPr>
            <w:r>
              <w:rPr>
                <w:spacing w:val="-1"/>
                <w:sz w:val="21"/>
              </w:rPr>
              <w:t>十七、</w:t>
            </w:r>
            <w:r>
              <w:rPr>
                <w:sz w:val="21"/>
              </w:rPr>
              <w:t>2 </w:t>
            </w:r>
          </w:p>
        </w:tc>
        <w:tc>
          <w:tcPr>
            <w:tcW w:w="2484" w:type="dxa"/>
          </w:tcPr>
          <w:p>
            <w:pPr>
              <w:pStyle w:val="TableParagraph"/>
              <w:spacing w:before="10"/>
              <w:ind w:right="88"/>
              <w:jc w:val="right"/>
              <w:rPr>
                <w:rFonts w:ascii="Times New Roman"/>
                <w:sz w:val="21"/>
              </w:rPr>
            </w:pPr>
            <w:r>
              <w:rPr>
                <w:rFonts w:ascii="Times New Roman"/>
                <w:sz w:val="21"/>
              </w:rPr>
              <w:t>310,655</w:t>
            </w:r>
          </w:p>
        </w:tc>
        <w:tc>
          <w:tcPr>
            <w:tcW w:w="2350" w:type="dxa"/>
          </w:tcPr>
          <w:p>
            <w:pPr>
              <w:pStyle w:val="TableParagraph"/>
              <w:spacing w:before="10"/>
              <w:ind w:left="1399"/>
              <w:rPr>
                <w:rFonts w:ascii="Times New Roman"/>
                <w:sz w:val="21"/>
              </w:rPr>
            </w:pPr>
            <w:r>
              <w:rPr>
                <w:rFonts w:ascii="Times New Roman"/>
                <w:sz w:val="21"/>
              </w:rPr>
              <w:t>9,277,463</w:t>
            </w:r>
          </w:p>
        </w:tc>
      </w:tr>
      <w:tr>
        <w:trPr>
          <w:trHeight w:val="273" w:hRule="atLeast"/>
        </w:trPr>
        <w:tc>
          <w:tcPr>
            <w:tcW w:w="2871" w:type="dxa"/>
          </w:tcPr>
          <w:p>
            <w:pPr>
              <w:pStyle w:val="TableParagraph"/>
              <w:spacing w:line="252" w:lineRule="exact" w:before="1"/>
              <w:ind w:left="318"/>
              <w:rPr>
                <w:sz w:val="21"/>
              </w:rPr>
            </w:pPr>
            <w:r>
              <w:rPr>
                <w:spacing w:val="-1"/>
                <w:sz w:val="21"/>
              </w:rPr>
              <w:t>其中：应收利息</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947"/>
              <w:rPr>
                <w:sz w:val="21"/>
              </w:rPr>
            </w:pPr>
            <w:r>
              <w:rPr>
                <w:spacing w:val="-1"/>
                <w:sz w:val="21"/>
              </w:rPr>
              <w:t>应收股利</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line="235" w:lineRule="exact"/>
              <w:ind w:right="88"/>
              <w:jc w:val="right"/>
              <w:rPr>
                <w:rFonts w:ascii="Times New Roman"/>
                <w:sz w:val="21"/>
              </w:rPr>
            </w:pPr>
            <w:r>
              <w:rPr>
                <w:rFonts w:ascii="Times New Roman"/>
                <w:sz w:val="21"/>
              </w:rPr>
              <w:t>4,016</w:t>
            </w:r>
          </w:p>
        </w:tc>
        <w:tc>
          <w:tcPr>
            <w:tcW w:w="2350" w:type="dxa"/>
          </w:tcPr>
          <w:p>
            <w:pPr>
              <w:pStyle w:val="TableParagraph"/>
              <w:spacing w:line="235" w:lineRule="exact"/>
              <w:ind w:left="1399"/>
              <w:rPr>
                <w:rFonts w:ascii="Times New Roman"/>
                <w:sz w:val="21"/>
              </w:rPr>
            </w:pPr>
            <w:r>
              <w:rPr>
                <w:rFonts w:ascii="Times New Roman"/>
                <w:sz w:val="21"/>
              </w:rPr>
              <w:t>7,100,000</w:t>
            </w:r>
          </w:p>
        </w:tc>
      </w:tr>
      <w:tr>
        <w:trPr>
          <w:trHeight w:val="270" w:hRule="atLeast"/>
        </w:trPr>
        <w:tc>
          <w:tcPr>
            <w:tcW w:w="2871" w:type="dxa"/>
          </w:tcPr>
          <w:p>
            <w:pPr>
              <w:pStyle w:val="TableParagraph"/>
              <w:spacing w:line="250" w:lineRule="exact" w:before="1"/>
              <w:ind w:left="318"/>
              <w:rPr>
                <w:sz w:val="21"/>
              </w:rPr>
            </w:pPr>
            <w:r>
              <w:rPr>
                <w:sz w:val="21"/>
              </w:rPr>
              <w:t>存货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1"/>
                <w:sz w:val="21"/>
              </w:rPr>
              <w:t>合同资产</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1"/>
                <w:sz w:val="21"/>
              </w:rPr>
              <w:t>持有待售资产</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5" w:hRule="atLeast"/>
        </w:trPr>
        <w:tc>
          <w:tcPr>
            <w:tcW w:w="2871" w:type="dxa"/>
          </w:tcPr>
          <w:p>
            <w:pPr>
              <w:pStyle w:val="TableParagraph"/>
              <w:spacing w:line="252" w:lineRule="exact" w:before="3"/>
              <w:ind w:left="318"/>
              <w:rPr>
                <w:sz w:val="21"/>
              </w:rPr>
            </w:pPr>
            <w:r>
              <w:rPr>
                <w:spacing w:val="-1"/>
                <w:sz w:val="21"/>
              </w:rPr>
              <w:t>一年内到期的非流动资产</w:t>
            </w:r>
            <w:r>
              <w:rPr>
                <w:sz w:val="21"/>
              </w:rPr>
              <w:t> </w:t>
            </w:r>
          </w:p>
        </w:tc>
        <w:tc>
          <w:tcPr>
            <w:tcW w:w="1104" w:type="dxa"/>
          </w:tcPr>
          <w:p>
            <w:pPr>
              <w:pStyle w:val="TableParagraph"/>
              <w:spacing w:line="255"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1"/>
                <w:sz w:val="21"/>
              </w:rPr>
              <w:t>其他流动资产</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468</w:t>
            </w:r>
          </w:p>
        </w:tc>
        <w:tc>
          <w:tcPr>
            <w:tcW w:w="2350" w:type="dxa"/>
          </w:tcPr>
          <w:p>
            <w:pPr>
              <w:pStyle w:val="TableParagraph"/>
              <w:spacing w:before="10"/>
              <w:ind w:right="90"/>
              <w:jc w:val="right"/>
              <w:rPr>
                <w:rFonts w:ascii="Times New Roman"/>
                <w:sz w:val="21"/>
              </w:rPr>
            </w:pPr>
            <w:r>
              <w:rPr>
                <w:rFonts w:ascii="Times New Roman"/>
                <w:sz w:val="21"/>
              </w:rPr>
              <w:t>305</w:t>
            </w:r>
          </w:p>
        </w:tc>
      </w:tr>
      <w:tr>
        <w:trPr>
          <w:trHeight w:val="270" w:hRule="atLeast"/>
        </w:trPr>
        <w:tc>
          <w:tcPr>
            <w:tcW w:w="2871" w:type="dxa"/>
          </w:tcPr>
          <w:p>
            <w:pPr>
              <w:pStyle w:val="TableParagraph"/>
              <w:spacing w:line="250" w:lineRule="exact" w:before="1"/>
              <w:ind w:left="527"/>
              <w:rPr>
                <w:sz w:val="21"/>
              </w:rPr>
            </w:pPr>
            <w:r>
              <w:rPr>
                <w:spacing w:val="-1"/>
                <w:sz w:val="21"/>
              </w:rPr>
              <w:t>流动资产合计</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spacing w:before="7"/>
              <w:ind w:right="88"/>
              <w:jc w:val="right"/>
              <w:rPr>
                <w:rFonts w:ascii="Times New Roman"/>
                <w:sz w:val="21"/>
              </w:rPr>
            </w:pPr>
            <w:r>
              <w:rPr>
                <w:rFonts w:ascii="Times New Roman"/>
                <w:sz w:val="21"/>
              </w:rPr>
              <w:t>10,882,378</w:t>
            </w:r>
          </w:p>
        </w:tc>
        <w:tc>
          <w:tcPr>
            <w:tcW w:w="2350" w:type="dxa"/>
          </w:tcPr>
          <w:p>
            <w:pPr>
              <w:pStyle w:val="TableParagraph"/>
              <w:spacing w:before="7"/>
              <w:ind w:left="1294"/>
              <w:rPr>
                <w:rFonts w:ascii="Times New Roman"/>
                <w:sz w:val="21"/>
              </w:rPr>
            </w:pPr>
            <w:r>
              <w:rPr>
                <w:rFonts w:ascii="Times New Roman"/>
                <w:sz w:val="21"/>
              </w:rPr>
              <w:t>26,925,362</w:t>
            </w:r>
          </w:p>
        </w:tc>
      </w:tr>
      <w:tr>
        <w:trPr>
          <w:trHeight w:val="273" w:hRule="atLeast"/>
        </w:trPr>
        <w:tc>
          <w:tcPr>
            <w:tcW w:w="8809" w:type="dxa"/>
            <w:gridSpan w:val="4"/>
          </w:tcPr>
          <w:p>
            <w:pPr>
              <w:pStyle w:val="TableParagraph"/>
              <w:spacing w:line="250" w:lineRule="exact" w:before="3"/>
              <w:ind w:left="107"/>
              <w:rPr>
                <w:sz w:val="21"/>
              </w:rPr>
            </w:pPr>
            <w:r>
              <w:rPr>
                <w:sz w:val="21"/>
              </w:rPr>
              <w:t>非流动资产：</w:t>
            </w:r>
            <w:r>
              <w:rPr>
                <w:color w:val="008000"/>
                <w:sz w:val="21"/>
              </w:rPr>
              <w:t> </w:t>
            </w:r>
          </w:p>
        </w:tc>
      </w:tr>
      <w:tr>
        <w:trPr>
          <w:trHeight w:val="272" w:hRule="atLeast"/>
        </w:trPr>
        <w:tc>
          <w:tcPr>
            <w:tcW w:w="2871" w:type="dxa"/>
          </w:tcPr>
          <w:p>
            <w:pPr>
              <w:pStyle w:val="TableParagraph"/>
              <w:spacing w:line="252" w:lineRule="exact" w:before="1"/>
              <w:ind w:left="318"/>
              <w:rPr>
                <w:sz w:val="21"/>
              </w:rPr>
            </w:pPr>
            <w:r>
              <w:rPr>
                <w:spacing w:val="-1"/>
                <w:sz w:val="21"/>
              </w:rPr>
              <w:t>债权投资</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line="252" w:lineRule="exact" w:before="1"/>
              <w:ind w:right="-15"/>
              <w:jc w:val="right"/>
              <w:rPr>
                <w:sz w:val="21"/>
              </w:rPr>
            </w:pPr>
            <w:r>
              <w:rPr>
                <w:w w:val="100"/>
                <w:sz w:val="21"/>
              </w:rPr>
              <w:t> </w:t>
            </w:r>
          </w:p>
        </w:tc>
        <w:tc>
          <w:tcPr>
            <w:tcW w:w="2350" w:type="dxa"/>
          </w:tcPr>
          <w:p>
            <w:pPr>
              <w:pStyle w:val="TableParagraph"/>
              <w:spacing w:line="252" w:lineRule="exact" w:before="1"/>
              <w:ind w:right="-15"/>
              <w:jc w:val="right"/>
              <w:rPr>
                <w:sz w:val="21"/>
              </w:rPr>
            </w:pPr>
            <w:r>
              <w:rPr>
                <w:w w:val="100"/>
                <w:sz w:val="21"/>
              </w:rPr>
              <w:t> </w:t>
            </w:r>
          </w:p>
        </w:tc>
      </w:tr>
      <w:tr>
        <w:trPr>
          <w:trHeight w:val="273" w:hRule="atLeast"/>
        </w:trPr>
        <w:tc>
          <w:tcPr>
            <w:tcW w:w="2871" w:type="dxa"/>
          </w:tcPr>
          <w:p>
            <w:pPr>
              <w:pStyle w:val="TableParagraph"/>
              <w:spacing w:line="252" w:lineRule="exact" w:before="1"/>
              <w:ind w:left="318"/>
              <w:rPr>
                <w:sz w:val="21"/>
              </w:rPr>
            </w:pPr>
            <w:r>
              <w:rPr>
                <w:spacing w:val="-1"/>
                <w:sz w:val="21"/>
              </w:rPr>
              <w:t>其他债权投资</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line="252" w:lineRule="exact" w:before="1"/>
              <w:ind w:right="-15"/>
              <w:jc w:val="right"/>
              <w:rPr>
                <w:sz w:val="21"/>
              </w:rPr>
            </w:pPr>
            <w:r>
              <w:rPr>
                <w:w w:val="100"/>
                <w:sz w:val="21"/>
              </w:rPr>
              <w:t> </w:t>
            </w:r>
          </w:p>
        </w:tc>
        <w:tc>
          <w:tcPr>
            <w:tcW w:w="2350" w:type="dxa"/>
          </w:tcPr>
          <w:p>
            <w:pPr>
              <w:pStyle w:val="TableParagraph"/>
              <w:spacing w:line="252" w:lineRule="exact" w:before="1"/>
              <w:ind w:right="-15"/>
              <w:jc w:val="right"/>
              <w:rPr>
                <w:sz w:val="21"/>
              </w:rPr>
            </w:pPr>
            <w:r>
              <w:rPr>
                <w:w w:val="100"/>
                <w:sz w:val="21"/>
              </w:rPr>
              <w:t> </w:t>
            </w:r>
          </w:p>
        </w:tc>
      </w:tr>
      <w:tr>
        <w:trPr>
          <w:trHeight w:val="270" w:hRule="atLeast"/>
        </w:trPr>
        <w:tc>
          <w:tcPr>
            <w:tcW w:w="2871" w:type="dxa"/>
          </w:tcPr>
          <w:p>
            <w:pPr>
              <w:pStyle w:val="TableParagraph"/>
              <w:spacing w:line="250" w:lineRule="exact" w:before="1"/>
              <w:ind w:left="318"/>
              <w:rPr>
                <w:sz w:val="21"/>
              </w:rPr>
            </w:pPr>
            <w:r>
              <w:rPr>
                <w:sz w:val="21"/>
              </w:rPr>
              <w:t>长期应收款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spacing w:line="250" w:lineRule="exact" w:before="1"/>
              <w:ind w:right="-15"/>
              <w:jc w:val="right"/>
              <w:rPr>
                <w:sz w:val="21"/>
              </w:rPr>
            </w:pPr>
            <w:r>
              <w:rPr>
                <w:w w:val="100"/>
                <w:sz w:val="21"/>
              </w:rPr>
              <w:t> </w:t>
            </w:r>
          </w:p>
        </w:tc>
        <w:tc>
          <w:tcPr>
            <w:tcW w:w="2350" w:type="dxa"/>
          </w:tcPr>
          <w:p>
            <w:pPr>
              <w:pStyle w:val="TableParagraph"/>
              <w:spacing w:line="250" w:lineRule="exact" w:before="1"/>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长期股权投资</w:t>
            </w:r>
            <w:r>
              <w:rPr>
                <w:sz w:val="21"/>
              </w:rPr>
              <w:t> </w:t>
            </w:r>
          </w:p>
        </w:tc>
        <w:tc>
          <w:tcPr>
            <w:tcW w:w="1104" w:type="dxa"/>
          </w:tcPr>
          <w:p>
            <w:pPr>
              <w:pStyle w:val="TableParagraph"/>
              <w:spacing w:line="250" w:lineRule="exact" w:before="3"/>
              <w:ind w:left="107"/>
              <w:rPr>
                <w:sz w:val="21"/>
              </w:rPr>
            </w:pPr>
            <w:r>
              <w:rPr>
                <w:spacing w:val="-1"/>
                <w:sz w:val="21"/>
              </w:rPr>
              <w:t>十七、</w:t>
            </w:r>
            <w:r>
              <w:rPr>
                <w:sz w:val="21"/>
              </w:rPr>
              <w:t>3 </w:t>
            </w:r>
          </w:p>
        </w:tc>
        <w:tc>
          <w:tcPr>
            <w:tcW w:w="2484" w:type="dxa"/>
          </w:tcPr>
          <w:p>
            <w:pPr>
              <w:pStyle w:val="TableParagraph"/>
              <w:spacing w:before="10"/>
              <w:ind w:right="88"/>
              <w:jc w:val="right"/>
              <w:rPr>
                <w:rFonts w:ascii="Times New Roman"/>
                <w:sz w:val="21"/>
              </w:rPr>
            </w:pPr>
            <w:r>
              <w:rPr>
                <w:rFonts w:ascii="Times New Roman"/>
                <w:sz w:val="21"/>
              </w:rPr>
              <w:t>63,618,710</w:t>
            </w:r>
          </w:p>
        </w:tc>
        <w:tc>
          <w:tcPr>
            <w:tcW w:w="2350" w:type="dxa"/>
          </w:tcPr>
          <w:p>
            <w:pPr>
              <w:pStyle w:val="TableParagraph"/>
              <w:spacing w:before="10"/>
              <w:ind w:left="1294"/>
              <w:rPr>
                <w:rFonts w:ascii="Times New Roman"/>
                <w:sz w:val="21"/>
              </w:rPr>
            </w:pPr>
            <w:r>
              <w:rPr>
                <w:rFonts w:ascii="Times New Roman"/>
                <w:sz w:val="21"/>
              </w:rPr>
              <w:t>48,432,259</w:t>
            </w:r>
          </w:p>
        </w:tc>
      </w:tr>
      <w:tr>
        <w:trPr>
          <w:trHeight w:val="272" w:hRule="atLeast"/>
        </w:trPr>
        <w:tc>
          <w:tcPr>
            <w:tcW w:w="2871" w:type="dxa"/>
          </w:tcPr>
          <w:p>
            <w:pPr>
              <w:pStyle w:val="TableParagraph"/>
              <w:spacing w:line="252" w:lineRule="exact" w:before="1"/>
              <w:ind w:left="318"/>
              <w:rPr>
                <w:sz w:val="21"/>
              </w:rPr>
            </w:pPr>
            <w:r>
              <w:rPr>
                <w:spacing w:val="-1"/>
                <w:sz w:val="21"/>
              </w:rPr>
              <w:t>其他权益工具投资</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41,000</w:t>
            </w:r>
          </w:p>
        </w:tc>
        <w:tc>
          <w:tcPr>
            <w:tcW w:w="2350" w:type="dxa"/>
          </w:tcPr>
          <w:p>
            <w:pPr>
              <w:pStyle w:val="TableParagraph"/>
              <w:spacing w:before="10"/>
              <w:ind w:right="92"/>
              <w:jc w:val="right"/>
              <w:rPr>
                <w:rFonts w:ascii="Times New Roman"/>
                <w:sz w:val="21"/>
              </w:rPr>
            </w:pPr>
            <w:r>
              <w:rPr>
                <w:rFonts w:ascii="Times New Roman"/>
                <w:w w:val="100"/>
                <w:sz w:val="21"/>
              </w:rPr>
              <w:t>-</w:t>
            </w:r>
          </w:p>
        </w:tc>
      </w:tr>
      <w:tr>
        <w:trPr>
          <w:trHeight w:val="272" w:hRule="atLeast"/>
        </w:trPr>
        <w:tc>
          <w:tcPr>
            <w:tcW w:w="2871" w:type="dxa"/>
          </w:tcPr>
          <w:p>
            <w:pPr>
              <w:pStyle w:val="TableParagraph"/>
              <w:spacing w:line="252" w:lineRule="exact" w:before="1"/>
              <w:ind w:left="318"/>
              <w:rPr>
                <w:sz w:val="21"/>
              </w:rPr>
            </w:pPr>
            <w:r>
              <w:rPr>
                <w:spacing w:val="-1"/>
                <w:sz w:val="21"/>
              </w:rPr>
              <w:t>其他非流动金融资产</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1"/>
                <w:sz w:val="21"/>
              </w:rPr>
              <w:t>投资性房地产</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bl>
    <w:p>
      <w:pPr>
        <w:spacing w:after="0"/>
        <w:rPr>
          <w:rFonts w:ascii="Times New Roman"/>
          <w:sz w:val="20"/>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71"/>
        <w:gridCol w:w="1104"/>
        <w:gridCol w:w="2484"/>
        <w:gridCol w:w="2350"/>
      </w:tblGrid>
      <w:tr>
        <w:trPr>
          <w:trHeight w:val="273" w:hRule="atLeast"/>
        </w:trPr>
        <w:tc>
          <w:tcPr>
            <w:tcW w:w="2871" w:type="dxa"/>
          </w:tcPr>
          <w:p>
            <w:pPr>
              <w:pStyle w:val="TableParagraph"/>
              <w:spacing w:line="250" w:lineRule="exact" w:before="3"/>
              <w:ind w:left="318"/>
              <w:rPr>
                <w:sz w:val="21"/>
              </w:rPr>
            </w:pPr>
            <w:r>
              <w:rPr>
                <w:spacing w:val="-1"/>
                <w:sz w:val="21"/>
              </w:rPr>
              <w:t>固定资产</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18,364</w:t>
            </w:r>
          </w:p>
        </w:tc>
        <w:tc>
          <w:tcPr>
            <w:tcW w:w="2350" w:type="dxa"/>
          </w:tcPr>
          <w:p>
            <w:pPr>
              <w:pStyle w:val="TableParagraph"/>
              <w:spacing w:before="10"/>
              <w:ind w:right="90"/>
              <w:jc w:val="right"/>
              <w:rPr>
                <w:rFonts w:ascii="Times New Roman"/>
                <w:sz w:val="21"/>
              </w:rPr>
            </w:pPr>
            <w:r>
              <w:rPr>
                <w:rFonts w:ascii="Times New Roman"/>
                <w:sz w:val="21"/>
              </w:rPr>
              <w:t>18,169</w:t>
            </w:r>
          </w:p>
        </w:tc>
      </w:tr>
      <w:tr>
        <w:trPr>
          <w:trHeight w:val="273" w:hRule="atLeast"/>
        </w:trPr>
        <w:tc>
          <w:tcPr>
            <w:tcW w:w="2871" w:type="dxa"/>
          </w:tcPr>
          <w:p>
            <w:pPr>
              <w:pStyle w:val="TableParagraph"/>
              <w:spacing w:line="252" w:lineRule="exact" w:before="1"/>
              <w:ind w:left="318"/>
              <w:rPr>
                <w:sz w:val="21"/>
              </w:rPr>
            </w:pPr>
            <w:r>
              <w:rPr>
                <w:spacing w:val="-1"/>
                <w:sz w:val="21"/>
              </w:rPr>
              <w:t>在建工程</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10"/>
              <w:ind w:right="90"/>
              <w:jc w:val="right"/>
              <w:rPr>
                <w:rFonts w:ascii="Times New Roman"/>
                <w:sz w:val="21"/>
              </w:rPr>
            </w:pPr>
            <w:r>
              <w:rPr>
                <w:rFonts w:ascii="Times New Roman"/>
                <w:w w:val="100"/>
                <w:sz w:val="21"/>
              </w:rPr>
              <w:t>-</w:t>
            </w:r>
          </w:p>
        </w:tc>
        <w:tc>
          <w:tcPr>
            <w:tcW w:w="2350" w:type="dxa"/>
          </w:tcPr>
          <w:p>
            <w:pPr>
              <w:pStyle w:val="TableParagraph"/>
              <w:spacing w:before="10"/>
              <w:ind w:right="92"/>
              <w:jc w:val="right"/>
              <w:rPr>
                <w:rFonts w:ascii="Times New Roman"/>
                <w:sz w:val="21"/>
              </w:rPr>
            </w:pPr>
            <w:r>
              <w:rPr>
                <w:rFonts w:ascii="Times New Roman"/>
                <w:w w:val="100"/>
                <w:sz w:val="21"/>
              </w:rPr>
              <w:t>-</w:t>
            </w:r>
          </w:p>
        </w:tc>
      </w:tr>
      <w:tr>
        <w:trPr>
          <w:trHeight w:val="272" w:hRule="atLeast"/>
        </w:trPr>
        <w:tc>
          <w:tcPr>
            <w:tcW w:w="2871" w:type="dxa"/>
          </w:tcPr>
          <w:p>
            <w:pPr>
              <w:pStyle w:val="TableParagraph"/>
              <w:spacing w:line="252" w:lineRule="exact" w:before="1"/>
              <w:ind w:left="318"/>
              <w:rPr>
                <w:sz w:val="21"/>
              </w:rPr>
            </w:pPr>
            <w:r>
              <w:rPr>
                <w:spacing w:val="-1"/>
                <w:sz w:val="21"/>
              </w:rPr>
              <w:t>生产性生物资产</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1"/>
                <w:sz w:val="21"/>
              </w:rPr>
              <w:t>油气资产</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z w:val="21"/>
              </w:rPr>
              <w:t>使用权资产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1,205</w:t>
            </w:r>
          </w:p>
        </w:tc>
        <w:tc>
          <w:tcPr>
            <w:tcW w:w="2350" w:type="dxa"/>
          </w:tcPr>
          <w:p>
            <w:pPr>
              <w:pStyle w:val="TableParagraph"/>
              <w:spacing w:before="10"/>
              <w:ind w:right="90"/>
              <w:jc w:val="right"/>
              <w:rPr>
                <w:rFonts w:ascii="Times New Roman"/>
                <w:sz w:val="21"/>
              </w:rPr>
            </w:pPr>
            <w:r>
              <w:rPr>
                <w:rFonts w:ascii="Times New Roman"/>
                <w:sz w:val="21"/>
              </w:rPr>
              <w:t>2,325</w:t>
            </w:r>
          </w:p>
        </w:tc>
      </w:tr>
      <w:tr>
        <w:trPr>
          <w:trHeight w:val="272" w:hRule="atLeast"/>
        </w:trPr>
        <w:tc>
          <w:tcPr>
            <w:tcW w:w="2871" w:type="dxa"/>
          </w:tcPr>
          <w:p>
            <w:pPr>
              <w:pStyle w:val="TableParagraph"/>
              <w:spacing w:line="252" w:lineRule="exact" w:before="1"/>
              <w:ind w:left="318"/>
              <w:rPr>
                <w:sz w:val="21"/>
              </w:rPr>
            </w:pPr>
            <w:r>
              <w:rPr>
                <w:spacing w:val="-1"/>
                <w:sz w:val="21"/>
              </w:rPr>
              <w:t>无形资产</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1,113</w:t>
            </w:r>
          </w:p>
        </w:tc>
        <w:tc>
          <w:tcPr>
            <w:tcW w:w="2350" w:type="dxa"/>
          </w:tcPr>
          <w:p>
            <w:pPr>
              <w:pStyle w:val="TableParagraph"/>
              <w:spacing w:before="10"/>
              <w:ind w:right="92"/>
              <w:jc w:val="right"/>
              <w:rPr>
                <w:rFonts w:ascii="Times New Roman"/>
                <w:sz w:val="21"/>
              </w:rPr>
            </w:pPr>
            <w:r>
              <w:rPr>
                <w:rFonts w:ascii="Times New Roman"/>
                <w:w w:val="100"/>
                <w:sz w:val="21"/>
              </w:rPr>
              <w:t>-</w:t>
            </w:r>
          </w:p>
        </w:tc>
      </w:tr>
      <w:tr>
        <w:trPr>
          <w:trHeight w:val="273" w:hRule="atLeast"/>
        </w:trPr>
        <w:tc>
          <w:tcPr>
            <w:tcW w:w="2871" w:type="dxa"/>
          </w:tcPr>
          <w:p>
            <w:pPr>
              <w:pStyle w:val="TableParagraph"/>
              <w:spacing w:line="252" w:lineRule="exact" w:before="1"/>
              <w:ind w:left="318"/>
              <w:rPr>
                <w:sz w:val="21"/>
              </w:rPr>
            </w:pPr>
            <w:r>
              <w:rPr>
                <w:spacing w:val="-1"/>
                <w:sz w:val="21"/>
              </w:rPr>
              <w:t>开发支出</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z w:val="21"/>
              </w:rPr>
              <w:t>商誉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spacing w:before="7"/>
              <w:ind w:right="90"/>
              <w:jc w:val="right"/>
              <w:rPr>
                <w:rFonts w:ascii="Times New Roman"/>
                <w:sz w:val="21"/>
              </w:rPr>
            </w:pPr>
            <w:r>
              <w:rPr>
                <w:rFonts w:ascii="Times New Roman"/>
                <w:w w:val="100"/>
                <w:sz w:val="21"/>
              </w:rPr>
              <w:t>-</w:t>
            </w:r>
          </w:p>
        </w:tc>
        <w:tc>
          <w:tcPr>
            <w:tcW w:w="2350" w:type="dxa"/>
          </w:tcPr>
          <w:p>
            <w:pPr>
              <w:pStyle w:val="TableParagraph"/>
              <w:spacing w:before="7"/>
              <w:ind w:right="92"/>
              <w:jc w:val="right"/>
              <w:rPr>
                <w:rFonts w:ascii="Times New Roman"/>
                <w:sz w:val="21"/>
              </w:rPr>
            </w:pPr>
            <w:r>
              <w:rPr>
                <w:rFonts w:ascii="Times New Roman"/>
                <w:w w:val="100"/>
                <w:sz w:val="21"/>
              </w:rPr>
              <w:t>-</w:t>
            </w:r>
          </w:p>
        </w:tc>
      </w:tr>
      <w:tr>
        <w:trPr>
          <w:trHeight w:val="272" w:hRule="atLeast"/>
        </w:trPr>
        <w:tc>
          <w:tcPr>
            <w:tcW w:w="2871" w:type="dxa"/>
          </w:tcPr>
          <w:p>
            <w:pPr>
              <w:pStyle w:val="TableParagraph"/>
              <w:spacing w:line="252" w:lineRule="exact" w:before="1"/>
              <w:ind w:left="318"/>
              <w:rPr>
                <w:sz w:val="21"/>
              </w:rPr>
            </w:pPr>
            <w:r>
              <w:rPr>
                <w:spacing w:val="-1"/>
                <w:sz w:val="21"/>
              </w:rPr>
              <w:t>长期待摊费用</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5,178</w:t>
            </w:r>
          </w:p>
        </w:tc>
        <w:tc>
          <w:tcPr>
            <w:tcW w:w="2350" w:type="dxa"/>
          </w:tcPr>
          <w:p>
            <w:pPr>
              <w:pStyle w:val="TableParagraph"/>
              <w:spacing w:before="10"/>
              <w:ind w:right="90"/>
              <w:jc w:val="right"/>
              <w:rPr>
                <w:rFonts w:ascii="Times New Roman"/>
                <w:sz w:val="21"/>
              </w:rPr>
            </w:pPr>
            <w:r>
              <w:rPr>
                <w:rFonts w:ascii="Times New Roman"/>
                <w:sz w:val="21"/>
              </w:rPr>
              <w:t>853</w:t>
            </w:r>
          </w:p>
        </w:tc>
      </w:tr>
      <w:tr>
        <w:trPr>
          <w:trHeight w:val="273" w:hRule="atLeast"/>
        </w:trPr>
        <w:tc>
          <w:tcPr>
            <w:tcW w:w="2871" w:type="dxa"/>
          </w:tcPr>
          <w:p>
            <w:pPr>
              <w:pStyle w:val="TableParagraph"/>
              <w:spacing w:line="252" w:lineRule="exact" w:before="1"/>
              <w:ind w:left="318"/>
              <w:rPr>
                <w:sz w:val="21"/>
              </w:rPr>
            </w:pPr>
            <w:r>
              <w:rPr>
                <w:spacing w:val="-1"/>
                <w:sz w:val="21"/>
              </w:rPr>
              <w:t>递延所得税资产</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13,874</w:t>
            </w:r>
          </w:p>
        </w:tc>
        <w:tc>
          <w:tcPr>
            <w:tcW w:w="2350" w:type="dxa"/>
          </w:tcPr>
          <w:p>
            <w:pPr>
              <w:pStyle w:val="TableParagraph"/>
              <w:spacing w:before="10"/>
              <w:ind w:right="90"/>
              <w:jc w:val="right"/>
              <w:rPr>
                <w:rFonts w:ascii="Times New Roman"/>
                <w:sz w:val="21"/>
              </w:rPr>
            </w:pPr>
            <w:r>
              <w:rPr>
                <w:rFonts w:ascii="Times New Roman"/>
                <w:sz w:val="21"/>
              </w:rPr>
              <w:t>15,544</w:t>
            </w:r>
          </w:p>
        </w:tc>
      </w:tr>
      <w:tr>
        <w:trPr>
          <w:trHeight w:val="270" w:hRule="atLeast"/>
        </w:trPr>
        <w:tc>
          <w:tcPr>
            <w:tcW w:w="2871" w:type="dxa"/>
          </w:tcPr>
          <w:p>
            <w:pPr>
              <w:pStyle w:val="TableParagraph"/>
              <w:spacing w:line="250" w:lineRule="exact" w:before="1"/>
              <w:ind w:left="318"/>
              <w:rPr>
                <w:sz w:val="21"/>
              </w:rPr>
            </w:pPr>
            <w:r>
              <w:rPr>
                <w:spacing w:val="-1"/>
                <w:sz w:val="21"/>
              </w:rPr>
              <w:t>其他非流动资产</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spacing w:before="7"/>
              <w:ind w:right="90"/>
              <w:jc w:val="right"/>
              <w:rPr>
                <w:rFonts w:ascii="Times New Roman"/>
                <w:sz w:val="21"/>
              </w:rPr>
            </w:pPr>
            <w:r>
              <w:rPr>
                <w:rFonts w:ascii="Times New Roman"/>
                <w:w w:val="100"/>
                <w:sz w:val="21"/>
              </w:rPr>
              <w:t>-</w:t>
            </w:r>
          </w:p>
        </w:tc>
        <w:tc>
          <w:tcPr>
            <w:tcW w:w="2350" w:type="dxa"/>
          </w:tcPr>
          <w:p>
            <w:pPr>
              <w:pStyle w:val="TableParagraph"/>
              <w:spacing w:before="7"/>
              <w:ind w:right="92"/>
              <w:jc w:val="right"/>
              <w:rPr>
                <w:rFonts w:ascii="Times New Roman"/>
                <w:sz w:val="21"/>
              </w:rPr>
            </w:pPr>
            <w:r>
              <w:rPr>
                <w:rFonts w:ascii="Times New Roman"/>
                <w:w w:val="100"/>
                <w:sz w:val="21"/>
              </w:rPr>
              <w:t>-</w:t>
            </w:r>
          </w:p>
        </w:tc>
      </w:tr>
      <w:tr>
        <w:trPr>
          <w:trHeight w:val="273" w:hRule="atLeast"/>
        </w:trPr>
        <w:tc>
          <w:tcPr>
            <w:tcW w:w="2871" w:type="dxa"/>
          </w:tcPr>
          <w:p>
            <w:pPr>
              <w:pStyle w:val="TableParagraph"/>
              <w:spacing w:line="250" w:lineRule="exact" w:before="3"/>
              <w:ind w:left="527"/>
              <w:rPr>
                <w:sz w:val="21"/>
              </w:rPr>
            </w:pPr>
            <w:r>
              <w:rPr>
                <w:sz w:val="21"/>
              </w:rPr>
              <w:t>非流动资产合计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63,699,444</w:t>
            </w:r>
          </w:p>
        </w:tc>
        <w:tc>
          <w:tcPr>
            <w:tcW w:w="2350" w:type="dxa"/>
          </w:tcPr>
          <w:p>
            <w:pPr>
              <w:pStyle w:val="TableParagraph"/>
              <w:spacing w:before="10"/>
              <w:ind w:left="1294"/>
              <w:rPr>
                <w:rFonts w:ascii="Times New Roman"/>
                <w:sz w:val="21"/>
              </w:rPr>
            </w:pPr>
            <w:r>
              <w:rPr>
                <w:rFonts w:ascii="Times New Roman"/>
                <w:sz w:val="21"/>
              </w:rPr>
              <w:t>48,469,150</w:t>
            </w:r>
          </w:p>
        </w:tc>
      </w:tr>
      <w:tr>
        <w:trPr>
          <w:trHeight w:val="272" w:hRule="atLeast"/>
        </w:trPr>
        <w:tc>
          <w:tcPr>
            <w:tcW w:w="2871" w:type="dxa"/>
          </w:tcPr>
          <w:p>
            <w:pPr>
              <w:pStyle w:val="TableParagraph"/>
              <w:spacing w:line="252" w:lineRule="exact" w:before="1"/>
              <w:ind w:left="738"/>
              <w:rPr>
                <w:sz w:val="21"/>
              </w:rPr>
            </w:pPr>
            <w:r>
              <w:rPr>
                <w:spacing w:val="-1"/>
                <w:sz w:val="21"/>
              </w:rPr>
              <w:t>资产总计</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74,581,822</w:t>
            </w:r>
          </w:p>
        </w:tc>
        <w:tc>
          <w:tcPr>
            <w:tcW w:w="2350" w:type="dxa"/>
          </w:tcPr>
          <w:p>
            <w:pPr>
              <w:pStyle w:val="TableParagraph"/>
              <w:spacing w:before="10"/>
              <w:ind w:left="1294"/>
              <w:rPr>
                <w:rFonts w:ascii="Times New Roman"/>
                <w:sz w:val="21"/>
              </w:rPr>
            </w:pPr>
            <w:r>
              <w:rPr>
                <w:rFonts w:ascii="Times New Roman"/>
                <w:sz w:val="21"/>
              </w:rPr>
              <w:t>75,394,512</w:t>
            </w:r>
          </w:p>
        </w:tc>
      </w:tr>
      <w:tr>
        <w:trPr>
          <w:trHeight w:val="273" w:hRule="atLeast"/>
        </w:trPr>
        <w:tc>
          <w:tcPr>
            <w:tcW w:w="8809" w:type="dxa"/>
            <w:gridSpan w:val="4"/>
          </w:tcPr>
          <w:p>
            <w:pPr>
              <w:pStyle w:val="TableParagraph"/>
              <w:spacing w:line="252" w:lineRule="exact" w:before="1"/>
              <w:ind w:left="107"/>
              <w:rPr>
                <w:sz w:val="21"/>
              </w:rPr>
            </w:pPr>
            <w:r>
              <w:rPr>
                <w:sz w:val="21"/>
              </w:rPr>
              <w:t>流动负债：</w:t>
            </w:r>
            <w:r>
              <w:rPr>
                <w:color w:val="FF00FF"/>
                <w:sz w:val="21"/>
              </w:rPr>
              <w:t> </w:t>
            </w:r>
          </w:p>
        </w:tc>
      </w:tr>
      <w:tr>
        <w:trPr>
          <w:trHeight w:val="270" w:hRule="atLeast"/>
        </w:trPr>
        <w:tc>
          <w:tcPr>
            <w:tcW w:w="2871" w:type="dxa"/>
          </w:tcPr>
          <w:p>
            <w:pPr>
              <w:pStyle w:val="TableParagraph"/>
              <w:spacing w:line="250" w:lineRule="exact" w:before="1"/>
              <w:ind w:left="318"/>
              <w:rPr>
                <w:sz w:val="21"/>
              </w:rPr>
            </w:pPr>
            <w:r>
              <w:rPr>
                <w:spacing w:val="-1"/>
                <w:sz w:val="21"/>
              </w:rPr>
              <w:t>短期借款</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spacing w:line="250" w:lineRule="exact" w:before="1"/>
              <w:ind w:right="-15"/>
              <w:jc w:val="right"/>
              <w:rPr>
                <w:sz w:val="21"/>
              </w:rPr>
            </w:pPr>
            <w:r>
              <w:rPr>
                <w:w w:val="100"/>
                <w:sz w:val="21"/>
              </w:rPr>
              <w:t> </w:t>
            </w:r>
          </w:p>
        </w:tc>
        <w:tc>
          <w:tcPr>
            <w:tcW w:w="2350" w:type="dxa"/>
          </w:tcPr>
          <w:p>
            <w:pPr>
              <w:pStyle w:val="TableParagraph"/>
              <w:spacing w:line="250" w:lineRule="exact" w:before="1"/>
              <w:ind w:right="-15"/>
              <w:jc w:val="right"/>
              <w:rPr>
                <w:sz w:val="21"/>
              </w:rPr>
            </w:pPr>
            <w:r>
              <w:rPr>
                <w:w w:val="100"/>
                <w:sz w:val="21"/>
              </w:rPr>
              <w:t> </w:t>
            </w:r>
          </w:p>
        </w:tc>
      </w:tr>
      <w:tr>
        <w:trPr>
          <w:trHeight w:val="272" w:hRule="atLeast"/>
        </w:trPr>
        <w:tc>
          <w:tcPr>
            <w:tcW w:w="2871" w:type="dxa"/>
          </w:tcPr>
          <w:p>
            <w:pPr>
              <w:pStyle w:val="TableParagraph"/>
              <w:spacing w:line="250" w:lineRule="exact" w:before="3"/>
              <w:ind w:left="318"/>
              <w:rPr>
                <w:sz w:val="21"/>
              </w:rPr>
            </w:pPr>
            <w:r>
              <w:rPr>
                <w:spacing w:val="-1"/>
                <w:sz w:val="21"/>
              </w:rPr>
              <w:t>交易性金融负债</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spacing w:line="250" w:lineRule="exact" w:before="3"/>
              <w:ind w:right="-15"/>
              <w:jc w:val="right"/>
              <w:rPr>
                <w:sz w:val="21"/>
              </w:rPr>
            </w:pPr>
            <w:r>
              <w:rPr>
                <w:w w:val="100"/>
                <w:sz w:val="21"/>
              </w:rPr>
              <w:t> </w:t>
            </w:r>
          </w:p>
        </w:tc>
        <w:tc>
          <w:tcPr>
            <w:tcW w:w="2350" w:type="dxa"/>
          </w:tcPr>
          <w:p>
            <w:pPr>
              <w:pStyle w:val="TableParagraph"/>
              <w:spacing w:line="250" w:lineRule="exact" w:before="3"/>
              <w:ind w:right="-15"/>
              <w:jc w:val="right"/>
              <w:rPr>
                <w:sz w:val="21"/>
              </w:rPr>
            </w:pPr>
            <w:r>
              <w:rPr>
                <w:w w:val="100"/>
                <w:sz w:val="21"/>
              </w:rPr>
              <w:t> </w:t>
            </w:r>
          </w:p>
        </w:tc>
      </w:tr>
      <w:tr>
        <w:trPr>
          <w:trHeight w:val="272" w:hRule="atLeast"/>
        </w:trPr>
        <w:tc>
          <w:tcPr>
            <w:tcW w:w="2871" w:type="dxa"/>
          </w:tcPr>
          <w:p>
            <w:pPr>
              <w:pStyle w:val="TableParagraph"/>
              <w:spacing w:line="252" w:lineRule="exact" w:before="1"/>
              <w:ind w:left="318"/>
              <w:rPr>
                <w:sz w:val="21"/>
              </w:rPr>
            </w:pPr>
            <w:r>
              <w:rPr>
                <w:spacing w:val="-1"/>
                <w:sz w:val="21"/>
              </w:rPr>
              <w:t>衍生金融负债</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1"/>
                <w:sz w:val="21"/>
              </w:rPr>
              <w:t>应付票据</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318"/>
              <w:rPr>
                <w:sz w:val="21"/>
              </w:rPr>
            </w:pPr>
            <w:r>
              <w:rPr>
                <w:spacing w:val="-1"/>
                <w:sz w:val="21"/>
              </w:rPr>
              <w:t>应付账款</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1"/>
                <w:sz w:val="21"/>
              </w:rPr>
              <w:t>预收款项</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1"/>
                <w:sz w:val="21"/>
              </w:rPr>
              <w:t>合同负债</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1"/>
                <w:sz w:val="21"/>
              </w:rPr>
              <w:t>应付职工薪酬</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spacing w:before="7"/>
              <w:ind w:right="88"/>
              <w:jc w:val="right"/>
              <w:rPr>
                <w:rFonts w:ascii="Times New Roman"/>
                <w:sz w:val="21"/>
              </w:rPr>
            </w:pPr>
            <w:r>
              <w:rPr>
                <w:rFonts w:ascii="Times New Roman"/>
                <w:sz w:val="21"/>
              </w:rPr>
              <w:t>16,419</w:t>
            </w:r>
          </w:p>
        </w:tc>
        <w:tc>
          <w:tcPr>
            <w:tcW w:w="2350" w:type="dxa"/>
          </w:tcPr>
          <w:p>
            <w:pPr>
              <w:pStyle w:val="TableParagraph"/>
              <w:spacing w:before="7"/>
              <w:ind w:right="90"/>
              <w:jc w:val="right"/>
              <w:rPr>
                <w:rFonts w:ascii="Times New Roman"/>
                <w:sz w:val="21"/>
              </w:rPr>
            </w:pPr>
            <w:r>
              <w:rPr>
                <w:rFonts w:ascii="Times New Roman"/>
                <w:sz w:val="21"/>
              </w:rPr>
              <w:t>12,590</w:t>
            </w:r>
          </w:p>
        </w:tc>
      </w:tr>
      <w:tr>
        <w:trPr>
          <w:trHeight w:val="272" w:hRule="atLeast"/>
        </w:trPr>
        <w:tc>
          <w:tcPr>
            <w:tcW w:w="2871" w:type="dxa"/>
          </w:tcPr>
          <w:p>
            <w:pPr>
              <w:pStyle w:val="TableParagraph"/>
              <w:spacing w:line="250" w:lineRule="exact" w:before="3"/>
              <w:ind w:left="318"/>
              <w:rPr>
                <w:sz w:val="21"/>
              </w:rPr>
            </w:pPr>
            <w:r>
              <w:rPr>
                <w:spacing w:val="-1"/>
                <w:sz w:val="21"/>
              </w:rPr>
              <w:t>应交税费</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104,644</w:t>
            </w:r>
          </w:p>
        </w:tc>
        <w:tc>
          <w:tcPr>
            <w:tcW w:w="2350" w:type="dxa"/>
          </w:tcPr>
          <w:p>
            <w:pPr>
              <w:pStyle w:val="TableParagraph"/>
              <w:spacing w:before="10"/>
              <w:ind w:right="90"/>
              <w:jc w:val="right"/>
              <w:rPr>
                <w:rFonts w:ascii="Times New Roman"/>
                <w:sz w:val="21"/>
              </w:rPr>
            </w:pPr>
            <w:r>
              <w:rPr>
                <w:rFonts w:ascii="Times New Roman"/>
                <w:sz w:val="21"/>
              </w:rPr>
              <w:t>159,959</w:t>
            </w:r>
          </w:p>
        </w:tc>
      </w:tr>
      <w:tr>
        <w:trPr>
          <w:trHeight w:val="273" w:hRule="atLeast"/>
        </w:trPr>
        <w:tc>
          <w:tcPr>
            <w:tcW w:w="2871" w:type="dxa"/>
          </w:tcPr>
          <w:p>
            <w:pPr>
              <w:pStyle w:val="TableParagraph"/>
              <w:spacing w:line="252" w:lineRule="exact" w:before="1"/>
              <w:ind w:left="318"/>
              <w:rPr>
                <w:sz w:val="21"/>
              </w:rPr>
            </w:pPr>
            <w:r>
              <w:rPr>
                <w:sz w:val="21"/>
              </w:rPr>
              <w:t>其他应付款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353,479</w:t>
            </w:r>
          </w:p>
        </w:tc>
        <w:tc>
          <w:tcPr>
            <w:tcW w:w="2350" w:type="dxa"/>
          </w:tcPr>
          <w:p>
            <w:pPr>
              <w:pStyle w:val="TableParagraph"/>
              <w:spacing w:before="10"/>
              <w:ind w:right="90"/>
              <w:jc w:val="right"/>
              <w:rPr>
                <w:rFonts w:ascii="Times New Roman"/>
                <w:sz w:val="21"/>
              </w:rPr>
            </w:pPr>
            <w:r>
              <w:rPr>
                <w:rFonts w:ascii="Times New Roman"/>
                <w:sz w:val="21"/>
              </w:rPr>
              <w:t>582,863</w:t>
            </w:r>
          </w:p>
        </w:tc>
      </w:tr>
      <w:tr>
        <w:trPr>
          <w:trHeight w:val="272" w:hRule="atLeast"/>
        </w:trPr>
        <w:tc>
          <w:tcPr>
            <w:tcW w:w="2871" w:type="dxa"/>
          </w:tcPr>
          <w:p>
            <w:pPr>
              <w:pStyle w:val="TableParagraph"/>
              <w:spacing w:line="252" w:lineRule="exact" w:before="1"/>
              <w:ind w:left="318"/>
              <w:rPr>
                <w:sz w:val="21"/>
              </w:rPr>
            </w:pPr>
            <w:r>
              <w:rPr>
                <w:spacing w:val="-1"/>
                <w:sz w:val="21"/>
              </w:rPr>
              <w:t>其中：应付利息</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1" w:hRule="atLeast"/>
        </w:trPr>
        <w:tc>
          <w:tcPr>
            <w:tcW w:w="2871" w:type="dxa"/>
          </w:tcPr>
          <w:p>
            <w:pPr>
              <w:pStyle w:val="TableParagraph"/>
              <w:spacing w:line="250" w:lineRule="exact" w:before="1"/>
              <w:ind w:left="947"/>
              <w:rPr>
                <w:sz w:val="21"/>
              </w:rPr>
            </w:pPr>
            <w:r>
              <w:rPr>
                <w:spacing w:val="-1"/>
                <w:sz w:val="21"/>
              </w:rPr>
              <w:t>应付股利</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1"/>
                <w:sz w:val="21"/>
              </w:rPr>
              <w:t>持有待售负债</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1"/>
                <w:sz w:val="21"/>
              </w:rPr>
              <w:t>一年内到期的非流动负债</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1,104</w:t>
            </w:r>
          </w:p>
        </w:tc>
        <w:tc>
          <w:tcPr>
            <w:tcW w:w="2350" w:type="dxa"/>
          </w:tcPr>
          <w:p>
            <w:pPr>
              <w:pStyle w:val="TableParagraph"/>
              <w:spacing w:before="10"/>
              <w:ind w:right="90"/>
              <w:jc w:val="right"/>
              <w:rPr>
                <w:rFonts w:ascii="Times New Roman"/>
                <w:sz w:val="21"/>
              </w:rPr>
            </w:pPr>
            <w:r>
              <w:rPr>
                <w:rFonts w:ascii="Times New Roman"/>
                <w:sz w:val="21"/>
              </w:rPr>
              <w:t>1,731</w:t>
            </w:r>
          </w:p>
        </w:tc>
      </w:tr>
      <w:tr>
        <w:trPr>
          <w:trHeight w:val="270" w:hRule="atLeast"/>
        </w:trPr>
        <w:tc>
          <w:tcPr>
            <w:tcW w:w="2871" w:type="dxa"/>
          </w:tcPr>
          <w:p>
            <w:pPr>
              <w:pStyle w:val="TableParagraph"/>
              <w:spacing w:line="250" w:lineRule="exact" w:before="1"/>
              <w:ind w:left="318"/>
              <w:rPr>
                <w:sz w:val="21"/>
              </w:rPr>
            </w:pPr>
            <w:r>
              <w:rPr>
                <w:spacing w:val="-1"/>
                <w:sz w:val="21"/>
              </w:rPr>
              <w:t>其他流动负债</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527"/>
              <w:rPr>
                <w:sz w:val="21"/>
              </w:rPr>
            </w:pPr>
            <w:r>
              <w:rPr>
                <w:spacing w:val="-1"/>
                <w:sz w:val="21"/>
              </w:rPr>
              <w:t>流动负债合计</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475,646</w:t>
            </w:r>
          </w:p>
        </w:tc>
        <w:tc>
          <w:tcPr>
            <w:tcW w:w="2350" w:type="dxa"/>
          </w:tcPr>
          <w:p>
            <w:pPr>
              <w:pStyle w:val="TableParagraph"/>
              <w:spacing w:before="10"/>
              <w:ind w:right="90"/>
              <w:jc w:val="right"/>
              <w:rPr>
                <w:rFonts w:ascii="Times New Roman"/>
                <w:sz w:val="21"/>
              </w:rPr>
            </w:pPr>
            <w:r>
              <w:rPr>
                <w:rFonts w:ascii="Times New Roman"/>
                <w:sz w:val="21"/>
              </w:rPr>
              <w:t>757,143</w:t>
            </w:r>
          </w:p>
        </w:tc>
      </w:tr>
      <w:tr>
        <w:trPr>
          <w:trHeight w:val="272" w:hRule="atLeast"/>
        </w:trPr>
        <w:tc>
          <w:tcPr>
            <w:tcW w:w="8809" w:type="dxa"/>
            <w:gridSpan w:val="4"/>
          </w:tcPr>
          <w:p>
            <w:pPr>
              <w:pStyle w:val="TableParagraph"/>
              <w:spacing w:line="252" w:lineRule="exact" w:before="1"/>
              <w:ind w:left="107"/>
              <w:rPr>
                <w:sz w:val="21"/>
              </w:rPr>
            </w:pPr>
            <w:r>
              <w:rPr>
                <w:sz w:val="21"/>
              </w:rPr>
              <w:t>非流动负债：</w:t>
            </w:r>
            <w:r>
              <w:rPr>
                <w:color w:val="008000"/>
                <w:sz w:val="21"/>
              </w:rPr>
              <w:t> </w:t>
            </w:r>
          </w:p>
        </w:tc>
      </w:tr>
      <w:tr>
        <w:trPr>
          <w:trHeight w:val="272" w:hRule="atLeast"/>
        </w:trPr>
        <w:tc>
          <w:tcPr>
            <w:tcW w:w="2871" w:type="dxa"/>
          </w:tcPr>
          <w:p>
            <w:pPr>
              <w:pStyle w:val="TableParagraph"/>
              <w:spacing w:line="252" w:lineRule="exact" w:before="1"/>
              <w:ind w:left="318"/>
              <w:rPr>
                <w:sz w:val="21"/>
              </w:rPr>
            </w:pPr>
            <w:r>
              <w:rPr>
                <w:spacing w:val="-1"/>
                <w:sz w:val="21"/>
              </w:rPr>
              <w:t>长期借款</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line="252" w:lineRule="exact" w:before="1"/>
              <w:ind w:right="-15"/>
              <w:jc w:val="right"/>
              <w:rPr>
                <w:sz w:val="21"/>
              </w:rPr>
            </w:pPr>
            <w:r>
              <w:rPr>
                <w:w w:val="100"/>
                <w:sz w:val="21"/>
              </w:rPr>
              <w:t> </w:t>
            </w:r>
          </w:p>
        </w:tc>
        <w:tc>
          <w:tcPr>
            <w:tcW w:w="2350" w:type="dxa"/>
          </w:tcPr>
          <w:p>
            <w:pPr>
              <w:pStyle w:val="TableParagraph"/>
              <w:spacing w:line="252" w:lineRule="exact" w:before="1"/>
              <w:ind w:right="-15"/>
              <w:jc w:val="right"/>
              <w:rPr>
                <w:sz w:val="21"/>
              </w:rPr>
            </w:pPr>
            <w:r>
              <w:rPr>
                <w:w w:val="100"/>
                <w:sz w:val="21"/>
              </w:rPr>
              <w:t> </w:t>
            </w:r>
          </w:p>
        </w:tc>
      </w:tr>
      <w:tr>
        <w:trPr>
          <w:trHeight w:val="270" w:hRule="atLeast"/>
        </w:trPr>
        <w:tc>
          <w:tcPr>
            <w:tcW w:w="2871" w:type="dxa"/>
          </w:tcPr>
          <w:p>
            <w:pPr>
              <w:pStyle w:val="TableParagraph"/>
              <w:spacing w:line="250" w:lineRule="exact" w:before="1"/>
              <w:ind w:left="318"/>
              <w:rPr>
                <w:sz w:val="21"/>
              </w:rPr>
            </w:pPr>
            <w:r>
              <w:rPr>
                <w:spacing w:val="-1"/>
                <w:sz w:val="21"/>
              </w:rPr>
              <w:t>应付债券</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1"/>
                <w:sz w:val="21"/>
              </w:rPr>
              <w:t>其中：优先股</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947"/>
              <w:rPr>
                <w:sz w:val="21"/>
              </w:rPr>
            </w:pPr>
            <w:r>
              <w:rPr>
                <w:sz w:val="21"/>
              </w:rPr>
              <w:t>永续债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1"/>
                <w:sz w:val="21"/>
              </w:rPr>
              <w:t>租赁负债</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158</w:t>
            </w:r>
          </w:p>
        </w:tc>
        <w:tc>
          <w:tcPr>
            <w:tcW w:w="2350" w:type="dxa"/>
          </w:tcPr>
          <w:p>
            <w:pPr>
              <w:pStyle w:val="TableParagraph"/>
              <w:spacing w:before="10"/>
              <w:ind w:right="90"/>
              <w:jc w:val="right"/>
              <w:rPr>
                <w:rFonts w:ascii="Times New Roman"/>
                <w:sz w:val="21"/>
              </w:rPr>
            </w:pPr>
            <w:r>
              <w:rPr>
                <w:rFonts w:ascii="Times New Roman"/>
                <w:sz w:val="21"/>
              </w:rPr>
              <w:t>891</w:t>
            </w:r>
          </w:p>
        </w:tc>
      </w:tr>
      <w:tr>
        <w:trPr>
          <w:trHeight w:val="270" w:hRule="atLeast"/>
        </w:trPr>
        <w:tc>
          <w:tcPr>
            <w:tcW w:w="2871" w:type="dxa"/>
          </w:tcPr>
          <w:p>
            <w:pPr>
              <w:pStyle w:val="TableParagraph"/>
              <w:spacing w:line="250" w:lineRule="exact" w:before="1"/>
              <w:ind w:left="318"/>
              <w:rPr>
                <w:sz w:val="21"/>
              </w:rPr>
            </w:pPr>
            <w:r>
              <w:rPr>
                <w:sz w:val="21"/>
              </w:rPr>
              <w:t>长期应付款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318"/>
              <w:rPr>
                <w:sz w:val="21"/>
              </w:rPr>
            </w:pPr>
            <w:r>
              <w:rPr>
                <w:spacing w:val="-1"/>
                <w:sz w:val="21"/>
              </w:rPr>
              <w:t>长期应付职工薪酬</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1"/>
                <w:sz w:val="21"/>
              </w:rPr>
              <w:t>预计负债</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1"/>
                <w:sz w:val="21"/>
              </w:rPr>
              <w:t>递延收益</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spacing w:before="7"/>
              <w:ind w:right="88"/>
              <w:jc w:val="right"/>
              <w:rPr>
                <w:rFonts w:ascii="Times New Roman"/>
                <w:sz w:val="21"/>
              </w:rPr>
            </w:pPr>
            <w:r>
              <w:rPr>
                <w:rFonts w:ascii="Times New Roman"/>
                <w:sz w:val="21"/>
              </w:rPr>
              <w:t>13,810</w:t>
            </w:r>
          </w:p>
        </w:tc>
        <w:tc>
          <w:tcPr>
            <w:tcW w:w="2350" w:type="dxa"/>
          </w:tcPr>
          <w:p>
            <w:pPr>
              <w:pStyle w:val="TableParagraph"/>
              <w:spacing w:before="7"/>
              <w:ind w:right="90"/>
              <w:jc w:val="right"/>
              <w:rPr>
                <w:rFonts w:ascii="Times New Roman"/>
                <w:sz w:val="21"/>
              </w:rPr>
            </w:pPr>
            <w:r>
              <w:rPr>
                <w:rFonts w:ascii="Times New Roman"/>
                <w:sz w:val="21"/>
              </w:rPr>
              <w:t>21,448</w:t>
            </w:r>
          </w:p>
        </w:tc>
      </w:tr>
      <w:tr>
        <w:trPr>
          <w:trHeight w:val="272" w:hRule="atLeast"/>
        </w:trPr>
        <w:tc>
          <w:tcPr>
            <w:tcW w:w="2871" w:type="dxa"/>
          </w:tcPr>
          <w:p>
            <w:pPr>
              <w:pStyle w:val="TableParagraph"/>
              <w:spacing w:line="250" w:lineRule="exact" w:before="3"/>
              <w:ind w:left="318"/>
              <w:rPr>
                <w:sz w:val="21"/>
              </w:rPr>
            </w:pPr>
            <w:r>
              <w:rPr>
                <w:spacing w:val="-1"/>
                <w:sz w:val="21"/>
              </w:rPr>
              <w:t>递延所得税负债</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2,873</w:t>
            </w:r>
          </w:p>
        </w:tc>
        <w:tc>
          <w:tcPr>
            <w:tcW w:w="2350" w:type="dxa"/>
          </w:tcPr>
          <w:p>
            <w:pPr>
              <w:pStyle w:val="TableParagraph"/>
              <w:spacing w:before="10"/>
              <w:ind w:right="90"/>
              <w:jc w:val="right"/>
              <w:rPr>
                <w:rFonts w:ascii="Times New Roman"/>
                <w:sz w:val="21"/>
              </w:rPr>
            </w:pPr>
            <w:r>
              <w:rPr>
                <w:rFonts w:ascii="Times New Roman"/>
                <w:sz w:val="21"/>
              </w:rPr>
              <w:t>17,321</w:t>
            </w:r>
          </w:p>
        </w:tc>
      </w:tr>
      <w:tr>
        <w:trPr>
          <w:trHeight w:val="273" w:hRule="atLeast"/>
        </w:trPr>
        <w:tc>
          <w:tcPr>
            <w:tcW w:w="2871" w:type="dxa"/>
          </w:tcPr>
          <w:p>
            <w:pPr>
              <w:pStyle w:val="TableParagraph"/>
              <w:spacing w:line="252" w:lineRule="exact" w:before="1"/>
              <w:ind w:left="318"/>
              <w:rPr>
                <w:sz w:val="21"/>
              </w:rPr>
            </w:pPr>
            <w:r>
              <w:rPr>
                <w:spacing w:val="-1"/>
                <w:sz w:val="21"/>
              </w:rPr>
              <w:t>其他非流动负债</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527"/>
              <w:rPr>
                <w:sz w:val="21"/>
              </w:rPr>
            </w:pPr>
            <w:r>
              <w:rPr>
                <w:sz w:val="21"/>
              </w:rPr>
              <w:t>非流动负债合计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16,841</w:t>
            </w:r>
          </w:p>
        </w:tc>
        <w:tc>
          <w:tcPr>
            <w:tcW w:w="2350" w:type="dxa"/>
          </w:tcPr>
          <w:p>
            <w:pPr>
              <w:pStyle w:val="TableParagraph"/>
              <w:spacing w:before="10"/>
              <w:ind w:right="90"/>
              <w:jc w:val="right"/>
              <w:rPr>
                <w:rFonts w:ascii="Times New Roman"/>
                <w:sz w:val="21"/>
              </w:rPr>
            </w:pPr>
            <w:r>
              <w:rPr>
                <w:rFonts w:ascii="Times New Roman"/>
                <w:sz w:val="21"/>
              </w:rPr>
              <w:t>39,660</w:t>
            </w:r>
          </w:p>
        </w:tc>
      </w:tr>
      <w:tr>
        <w:trPr>
          <w:trHeight w:val="270" w:hRule="atLeast"/>
        </w:trPr>
        <w:tc>
          <w:tcPr>
            <w:tcW w:w="2871" w:type="dxa"/>
          </w:tcPr>
          <w:p>
            <w:pPr>
              <w:pStyle w:val="TableParagraph"/>
              <w:spacing w:line="250" w:lineRule="exact" w:before="1"/>
              <w:ind w:left="738"/>
              <w:rPr>
                <w:sz w:val="21"/>
              </w:rPr>
            </w:pPr>
            <w:r>
              <w:rPr>
                <w:spacing w:val="-1"/>
                <w:sz w:val="21"/>
              </w:rPr>
              <w:t>负债合计</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spacing w:before="7"/>
              <w:ind w:right="88"/>
              <w:jc w:val="right"/>
              <w:rPr>
                <w:rFonts w:ascii="Times New Roman"/>
                <w:sz w:val="21"/>
              </w:rPr>
            </w:pPr>
            <w:r>
              <w:rPr>
                <w:rFonts w:ascii="Times New Roman"/>
                <w:sz w:val="21"/>
              </w:rPr>
              <w:t>492,487</w:t>
            </w:r>
          </w:p>
        </w:tc>
        <w:tc>
          <w:tcPr>
            <w:tcW w:w="2350" w:type="dxa"/>
          </w:tcPr>
          <w:p>
            <w:pPr>
              <w:pStyle w:val="TableParagraph"/>
              <w:spacing w:before="7"/>
              <w:ind w:right="90"/>
              <w:jc w:val="right"/>
              <w:rPr>
                <w:rFonts w:ascii="Times New Roman"/>
                <w:sz w:val="21"/>
              </w:rPr>
            </w:pPr>
            <w:r>
              <w:rPr>
                <w:rFonts w:ascii="Times New Roman"/>
                <w:sz w:val="21"/>
              </w:rPr>
              <w:t>796,803</w:t>
            </w:r>
          </w:p>
        </w:tc>
      </w:tr>
      <w:tr>
        <w:trPr>
          <w:trHeight w:val="273" w:hRule="atLeast"/>
        </w:trPr>
        <w:tc>
          <w:tcPr>
            <w:tcW w:w="8809" w:type="dxa"/>
            <w:gridSpan w:val="4"/>
          </w:tcPr>
          <w:p>
            <w:pPr>
              <w:pStyle w:val="TableParagraph"/>
              <w:spacing w:line="250" w:lineRule="exact" w:before="3"/>
              <w:ind w:left="107"/>
              <w:rPr>
                <w:sz w:val="21"/>
              </w:rPr>
            </w:pPr>
            <w:r>
              <w:rPr>
                <w:sz w:val="21"/>
              </w:rPr>
              <w:t>所有者权益（或股东权益）：</w:t>
            </w:r>
            <w:r>
              <w:rPr>
                <w:color w:val="008000"/>
                <w:sz w:val="21"/>
              </w:rPr>
              <w:t> </w:t>
            </w:r>
          </w:p>
        </w:tc>
      </w:tr>
      <w:tr>
        <w:trPr>
          <w:trHeight w:val="272" w:hRule="atLeast"/>
        </w:trPr>
        <w:tc>
          <w:tcPr>
            <w:tcW w:w="2871" w:type="dxa"/>
          </w:tcPr>
          <w:p>
            <w:pPr>
              <w:pStyle w:val="TableParagraph"/>
              <w:spacing w:line="252" w:lineRule="exact" w:before="1"/>
              <w:ind w:left="318"/>
              <w:rPr>
                <w:sz w:val="21"/>
              </w:rPr>
            </w:pPr>
            <w:r>
              <w:rPr>
                <w:spacing w:val="-1"/>
                <w:sz w:val="21"/>
              </w:rPr>
              <w:t>实收资本</w:t>
            </w:r>
            <w:r>
              <w:rPr>
                <w:sz w:val="21"/>
              </w:rPr>
              <w:t>（或股本）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19,859,593</w:t>
            </w:r>
          </w:p>
        </w:tc>
        <w:tc>
          <w:tcPr>
            <w:tcW w:w="2350" w:type="dxa"/>
          </w:tcPr>
          <w:p>
            <w:pPr>
              <w:pStyle w:val="TableParagraph"/>
              <w:spacing w:before="10"/>
              <w:ind w:left="1294"/>
              <w:rPr>
                <w:rFonts w:ascii="Times New Roman"/>
                <w:sz w:val="21"/>
              </w:rPr>
            </w:pPr>
            <w:r>
              <w:rPr>
                <w:rFonts w:ascii="Times New Roman"/>
                <w:sz w:val="21"/>
              </w:rPr>
              <w:t>19,865,070</w:t>
            </w:r>
          </w:p>
        </w:tc>
      </w:tr>
      <w:tr>
        <w:trPr>
          <w:trHeight w:val="272" w:hRule="atLeast"/>
        </w:trPr>
        <w:tc>
          <w:tcPr>
            <w:tcW w:w="2871" w:type="dxa"/>
          </w:tcPr>
          <w:p>
            <w:pPr>
              <w:pStyle w:val="TableParagraph"/>
              <w:spacing w:line="252" w:lineRule="exact" w:before="1"/>
              <w:ind w:left="318"/>
              <w:rPr>
                <w:sz w:val="21"/>
              </w:rPr>
            </w:pPr>
            <w:r>
              <w:rPr>
                <w:spacing w:val="-1"/>
                <w:sz w:val="21"/>
              </w:rPr>
              <w:t>其他权益工具</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1"/>
                <w:sz w:val="21"/>
              </w:rPr>
              <w:t>其中：优先股</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bl>
    <w:p>
      <w:pPr>
        <w:spacing w:after="0"/>
        <w:rPr>
          <w:rFonts w:ascii="Times New Roman"/>
          <w:sz w:val="20"/>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71"/>
        <w:gridCol w:w="1104"/>
        <w:gridCol w:w="2484"/>
        <w:gridCol w:w="2350"/>
      </w:tblGrid>
      <w:tr>
        <w:trPr>
          <w:trHeight w:val="273" w:hRule="atLeast"/>
        </w:trPr>
        <w:tc>
          <w:tcPr>
            <w:tcW w:w="2871" w:type="dxa"/>
          </w:tcPr>
          <w:p>
            <w:pPr>
              <w:pStyle w:val="TableParagraph"/>
              <w:spacing w:line="250" w:lineRule="exact" w:before="3"/>
              <w:ind w:left="947"/>
              <w:rPr>
                <w:sz w:val="21"/>
              </w:rPr>
            </w:pPr>
            <w:r>
              <w:rPr>
                <w:sz w:val="21"/>
              </w:rPr>
              <w:t>永续债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1"/>
                <w:sz w:val="21"/>
              </w:rPr>
              <w:t>资本公积</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39,220,148</w:t>
            </w:r>
          </w:p>
        </w:tc>
        <w:tc>
          <w:tcPr>
            <w:tcW w:w="2350" w:type="dxa"/>
          </w:tcPr>
          <w:p>
            <w:pPr>
              <w:pStyle w:val="TableParagraph"/>
              <w:spacing w:before="10"/>
              <w:ind w:right="90"/>
              <w:jc w:val="right"/>
              <w:rPr>
                <w:rFonts w:ascii="Times New Roman"/>
                <w:sz w:val="21"/>
              </w:rPr>
            </w:pPr>
            <w:r>
              <w:rPr>
                <w:rFonts w:ascii="Times New Roman"/>
                <w:sz w:val="21"/>
              </w:rPr>
              <w:t>39,027,334</w:t>
            </w:r>
          </w:p>
        </w:tc>
      </w:tr>
      <w:tr>
        <w:trPr>
          <w:trHeight w:val="272" w:hRule="atLeast"/>
        </w:trPr>
        <w:tc>
          <w:tcPr>
            <w:tcW w:w="2871" w:type="dxa"/>
          </w:tcPr>
          <w:p>
            <w:pPr>
              <w:pStyle w:val="TableParagraph"/>
              <w:spacing w:line="252" w:lineRule="exact" w:before="1"/>
              <w:ind w:left="318"/>
              <w:rPr>
                <w:sz w:val="21"/>
              </w:rPr>
            </w:pPr>
            <w:r>
              <w:rPr>
                <w:sz w:val="21"/>
              </w:rPr>
              <w:t>减：库存股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-1,708,710</w:t>
            </w:r>
          </w:p>
        </w:tc>
        <w:tc>
          <w:tcPr>
            <w:tcW w:w="2350" w:type="dxa"/>
          </w:tcPr>
          <w:p>
            <w:pPr>
              <w:pStyle w:val="TableParagraph"/>
              <w:spacing w:before="10"/>
              <w:ind w:right="93"/>
              <w:jc w:val="right"/>
              <w:rPr>
                <w:rFonts w:ascii="Times New Roman"/>
                <w:sz w:val="21"/>
              </w:rPr>
            </w:pPr>
            <w:r>
              <w:rPr>
                <w:rFonts w:ascii="Times New Roman"/>
                <w:sz w:val="21"/>
              </w:rPr>
              <w:t>-518,907</w:t>
            </w:r>
          </w:p>
        </w:tc>
      </w:tr>
      <w:tr>
        <w:trPr>
          <w:trHeight w:val="270" w:hRule="atLeast"/>
        </w:trPr>
        <w:tc>
          <w:tcPr>
            <w:tcW w:w="2871" w:type="dxa"/>
          </w:tcPr>
          <w:p>
            <w:pPr>
              <w:pStyle w:val="TableParagraph"/>
              <w:spacing w:line="250" w:lineRule="exact" w:before="1"/>
              <w:ind w:left="318"/>
              <w:rPr>
                <w:sz w:val="21"/>
              </w:rPr>
            </w:pPr>
            <w:r>
              <w:rPr>
                <w:spacing w:val="-1"/>
                <w:sz w:val="21"/>
              </w:rPr>
              <w:t>其他综合收益</w:t>
            </w:r>
            <w:r>
              <w:rPr>
                <w:sz w:val="21"/>
              </w:rPr>
              <w:t> </w:t>
            </w:r>
          </w:p>
        </w:tc>
        <w:tc>
          <w:tcPr>
            <w:tcW w:w="1104" w:type="dxa"/>
          </w:tcPr>
          <w:p>
            <w:pPr>
              <w:pStyle w:val="TableParagraph"/>
              <w:spacing w:line="250" w:lineRule="exact" w:before="1"/>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1"/>
                <w:sz w:val="21"/>
              </w:rPr>
              <w:t>专项储备</w:t>
            </w:r>
            <w:r>
              <w:rPr>
                <w:sz w:val="21"/>
              </w:rPr>
              <w:t> </w:t>
            </w:r>
          </w:p>
        </w:tc>
        <w:tc>
          <w:tcPr>
            <w:tcW w:w="1104" w:type="dxa"/>
          </w:tcPr>
          <w:p>
            <w:pPr>
              <w:pStyle w:val="TableParagraph"/>
              <w:spacing w:line="250" w:lineRule="exact" w:before="3"/>
              <w:ind w:left="107"/>
              <w:rPr>
                <w:sz w:val="21"/>
              </w:rPr>
            </w:pPr>
            <w:r>
              <w:rPr>
                <w:w w:val="100"/>
                <w:sz w:val="21"/>
              </w:rPr>
              <w:t> </w:t>
            </w: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1"/>
                <w:sz w:val="21"/>
              </w:rPr>
              <w:t>盈余公积</w:t>
            </w:r>
            <w:r>
              <w:rPr>
                <w:sz w:val="21"/>
              </w:rPr>
              <w:t>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10"/>
              <w:ind w:right="88"/>
              <w:jc w:val="right"/>
              <w:rPr>
                <w:rFonts w:ascii="Times New Roman"/>
                <w:sz w:val="21"/>
              </w:rPr>
            </w:pPr>
            <w:r>
              <w:rPr>
                <w:rFonts w:ascii="Times New Roman"/>
                <w:sz w:val="21"/>
              </w:rPr>
              <w:t>3,809,459</w:t>
            </w:r>
          </w:p>
        </w:tc>
        <w:tc>
          <w:tcPr>
            <w:tcW w:w="2350" w:type="dxa"/>
          </w:tcPr>
          <w:p>
            <w:pPr>
              <w:pStyle w:val="TableParagraph"/>
              <w:spacing w:before="10"/>
              <w:ind w:right="90"/>
              <w:jc w:val="right"/>
              <w:rPr>
                <w:rFonts w:ascii="Times New Roman"/>
                <w:sz w:val="21"/>
              </w:rPr>
            </w:pPr>
            <w:r>
              <w:rPr>
                <w:rFonts w:ascii="Times New Roman"/>
                <w:sz w:val="21"/>
              </w:rPr>
              <w:t>2,771,638</w:t>
            </w:r>
          </w:p>
        </w:tc>
      </w:tr>
      <w:tr>
        <w:trPr>
          <w:trHeight w:val="273" w:hRule="atLeast"/>
        </w:trPr>
        <w:tc>
          <w:tcPr>
            <w:tcW w:w="2871" w:type="dxa"/>
          </w:tcPr>
          <w:p>
            <w:pPr>
              <w:pStyle w:val="TableParagraph"/>
              <w:spacing w:line="252" w:lineRule="exact" w:before="1"/>
              <w:ind w:left="318"/>
              <w:rPr>
                <w:sz w:val="21"/>
              </w:rPr>
            </w:pPr>
            <w:r>
              <w:rPr>
                <w:sz w:val="21"/>
              </w:rPr>
              <w:t>未分配利润 </w:t>
            </w:r>
          </w:p>
        </w:tc>
        <w:tc>
          <w:tcPr>
            <w:tcW w:w="1104" w:type="dxa"/>
          </w:tcPr>
          <w:p>
            <w:pPr>
              <w:pStyle w:val="TableParagraph"/>
              <w:spacing w:line="252" w:lineRule="exact" w:before="1"/>
              <w:ind w:left="107"/>
              <w:rPr>
                <w:sz w:val="21"/>
              </w:rPr>
            </w:pPr>
            <w:r>
              <w:rPr>
                <w:w w:val="100"/>
                <w:sz w:val="21"/>
              </w:rPr>
              <w:t> </w:t>
            </w:r>
          </w:p>
        </w:tc>
        <w:tc>
          <w:tcPr>
            <w:tcW w:w="2484" w:type="dxa"/>
          </w:tcPr>
          <w:p>
            <w:pPr>
              <w:pStyle w:val="TableParagraph"/>
              <w:spacing w:before="7"/>
              <w:ind w:right="88"/>
              <w:jc w:val="right"/>
              <w:rPr>
                <w:rFonts w:ascii="Times New Roman"/>
                <w:sz w:val="21"/>
              </w:rPr>
            </w:pPr>
            <w:r>
              <w:rPr>
                <w:rFonts w:ascii="Times New Roman"/>
                <w:sz w:val="21"/>
              </w:rPr>
              <w:t>12,908,845</w:t>
            </w:r>
          </w:p>
        </w:tc>
        <w:tc>
          <w:tcPr>
            <w:tcW w:w="2350" w:type="dxa"/>
          </w:tcPr>
          <w:p>
            <w:pPr>
              <w:pStyle w:val="TableParagraph"/>
              <w:spacing w:before="7"/>
              <w:ind w:right="90"/>
              <w:jc w:val="right"/>
              <w:rPr>
                <w:rFonts w:ascii="Times New Roman"/>
                <w:sz w:val="21"/>
              </w:rPr>
            </w:pPr>
            <w:r>
              <w:rPr>
                <w:rFonts w:ascii="Times New Roman"/>
                <w:sz w:val="21"/>
              </w:rPr>
              <w:t>13,452,574</w:t>
            </w:r>
          </w:p>
        </w:tc>
      </w:tr>
      <w:tr>
        <w:trPr>
          <w:trHeight w:val="544" w:hRule="atLeast"/>
        </w:trPr>
        <w:tc>
          <w:tcPr>
            <w:tcW w:w="2871" w:type="dxa"/>
          </w:tcPr>
          <w:p>
            <w:pPr>
              <w:pStyle w:val="TableParagraph"/>
              <w:spacing w:before="1"/>
              <w:ind w:left="527"/>
              <w:rPr>
                <w:sz w:val="21"/>
              </w:rPr>
            </w:pPr>
            <w:r>
              <w:rPr>
                <w:sz w:val="21"/>
              </w:rPr>
              <w:t>所有者权益（或股东权</w:t>
            </w:r>
          </w:p>
          <w:p>
            <w:pPr>
              <w:pStyle w:val="TableParagraph"/>
              <w:spacing w:line="252" w:lineRule="exact" w:before="2"/>
              <w:ind w:left="107"/>
              <w:rPr>
                <w:sz w:val="21"/>
              </w:rPr>
            </w:pPr>
            <w:r>
              <w:rPr>
                <w:spacing w:val="-1"/>
                <w:sz w:val="21"/>
              </w:rPr>
              <w:t>益）</w:t>
            </w:r>
            <w:r>
              <w:rPr>
                <w:sz w:val="21"/>
              </w:rPr>
              <w:t>合计 </w:t>
            </w:r>
          </w:p>
        </w:tc>
        <w:tc>
          <w:tcPr>
            <w:tcW w:w="1104" w:type="dxa"/>
          </w:tcPr>
          <w:p>
            <w:pPr>
              <w:pStyle w:val="TableParagraph"/>
              <w:spacing w:before="1"/>
              <w:ind w:left="107"/>
              <w:rPr>
                <w:sz w:val="21"/>
              </w:rPr>
            </w:pPr>
            <w:r>
              <w:rPr>
                <w:w w:val="100"/>
                <w:sz w:val="21"/>
              </w:rPr>
              <w:t> </w:t>
            </w:r>
          </w:p>
        </w:tc>
        <w:tc>
          <w:tcPr>
            <w:tcW w:w="2484" w:type="dxa"/>
          </w:tcPr>
          <w:p>
            <w:pPr>
              <w:pStyle w:val="TableParagraph"/>
              <w:spacing w:before="144"/>
              <w:ind w:right="88"/>
              <w:jc w:val="right"/>
              <w:rPr>
                <w:rFonts w:ascii="Times New Roman"/>
                <w:sz w:val="21"/>
              </w:rPr>
            </w:pPr>
            <w:r>
              <w:rPr>
                <w:rFonts w:ascii="Times New Roman"/>
                <w:sz w:val="21"/>
              </w:rPr>
              <w:t>74,089,335</w:t>
            </w:r>
          </w:p>
        </w:tc>
        <w:tc>
          <w:tcPr>
            <w:tcW w:w="2350" w:type="dxa"/>
          </w:tcPr>
          <w:p>
            <w:pPr>
              <w:pStyle w:val="TableParagraph"/>
              <w:spacing w:before="144"/>
              <w:ind w:right="90"/>
              <w:jc w:val="right"/>
              <w:rPr>
                <w:rFonts w:ascii="Times New Roman"/>
                <w:sz w:val="21"/>
              </w:rPr>
            </w:pPr>
            <w:r>
              <w:rPr>
                <w:rFonts w:ascii="Times New Roman"/>
                <w:sz w:val="21"/>
              </w:rPr>
              <w:t>74,597,709</w:t>
            </w:r>
          </w:p>
        </w:tc>
      </w:tr>
      <w:tr>
        <w:trPr>
          <w:trHeight w:val="544" w:hRule="atLeast"/>
        </w:trPr>
        <w:tc>
          <w:tcPr>
            <w:tcW w:w="2871" w:type="dxa"/>
          </w:tcPr>
          <w:p>
            <w:pPr>
              <w:pStyle w:val="TableParagraph"/>
              <w:spacing w:before="1"/>
              <w:ind w:left="738"/>
              <w:rPr>
                <w:sz w:val="21"/>
              </w:rPr>
            </w:pPr>
            <w:r>
              <w:rPr>
                <w:sz w:val="21"/>
              </w:rPr>
              <w:t>负债和所有者权益</w:t>
            </w:r>
          </w:p>
          <w:p>
            <w:pPr>
              <w:pStyle w:val="TableParagraph"/>
              <w:spacing w:line="252" w:lineRule="exact" w:before="2"/>
              <w:ind w:left="107"/>
              <w:rPr>
                <w:sz w:val="21"/>
              </w:rPr>
            </w:pPr>
            <w:r>
              <w:rPr>
                <w:sz w:val="21"/>
              </w:rPr>
              <w:t>（或股东权益）总计 </w:t>
            </w:r>
          </w:p>
        </w:tc>
        <w:tc>
          <w:tcPr>
            <w:tcW w:w="1104" w:type="dxa"/>
          </w:tcPr>
          <w:p>
            <w:pPr>
              <w:pStyle w:val="TableParagraph"/>
              <w:spacing w:before="1"/>
              <w:ind w:left="107"/>
              <w:rPr>
                <w:sz w:val="21"/>
              </w:rPr>
            </w:pPr>
            <w:r>
              <w:rPr>
                <w:w w:val="100"/>
                <w:sz w:val="21"/>
              </w:rPr>
              <w:t> </w:t>
            </w:r>
          </w:p>
        </w:tc>
        <w:tc>
          <w:tcPr>
            <w:tcW w:w="2484" w:type="dxa"/>
          </w:tcPr>
          <w:p>
            <w:pPr>
              <w:pStyle w:val="TableParagraph"/>
              <w:spacing w:before="144"/>
              <w:ind w:right="88"/>
              <w:jc w:val="right"/>
              <w:rPr>
                <w:rFonts w:ascii="Times New Roman"/>
                <w:sz w:val="21"/>
              </w:rPr>
            </w:pPr>
            <w:r>
              <w:rPr>
                <w:rFonts w:ascii="Times New Roman"/>
                <w:sz w:val="21"/>
              </w:rPr>
              <w:t>74,581,822</w:t>
            </w:r>
          </w:p>
        </w:tc>
        <w:tc>
          <w:tcPr>
            <w:tcW w:w="2350" w:type="dxa"/>
          </w:tcPr>
          <w:p>
            <w:pPr>
              <w:pStyle w:val="TableParagraph"/>
              <w:spacing w:before="144"/>
              <w:ind w:right="90"/>
              <w:jc w:val="right"/>
              <w:rPr>
                <w:rFonts w:ascii="Times New Roman"/>
                <w:sz w:val="21"/>
              </w:rPr>
            </w:pPr>
            <w:r>
              <w:rPr>
                <w:rFonts w:ascii="Times New Roman"/>
                <w:sz w:val="21"/>
              </w:rPr>
              <w:t>75,394,512</w:t>
            </w:r>
          </w:p>
        </w:tc>
      </w:tr>
    </w:tbl>
    <w:p>
      <w:pPr>
        <w:pStyle w:val="BodyText"/>
        <w:spacing w:before="1"/>
      </w:pPr>
      <w:r>
        <w:rPr>
          <w:spacing w:val="-2"/>
        </w:rPr>
        <w:t>公司负责人：李军旗 主管会计工作负责人：郭俊宏 会计机构负责人：黄昭期</w:t>
      </w:r>
      <w:r>
        <w:rPr/>
        <w:t> </w:t>
      </w:r>
    </w:p>
    <w:p>
      <w:pPr>
        <w:pStyle w:val="BodyText"/>
        <w:spacing w:before="4"/>
      </w:pPr>
      <w:r>
        <w:rPr>
          <w:w w:val="100"/>
        </w:rPr>
        <w:t> </w:t>
      </w:r>
    </w:p>
    <w:p>
      <w:pPr>
        <w:pStyle w:val="BodyText"/>
        <w:spacing w:before="3"/>
      </w:pPr>
      <w:r>
        <w:rPr>
          <w:color w:val="FF0000"/>
          <w:w w:val="100"/>
        </w:rPr>
        <w:t> </w:t>
      </w:r>
    </w:p>
    <w:p>
      <w:pPr>
        <w:pStyle w:val="BodyText"/>
        <w:spacing w:line="295" w:lineRule="auto" w:before="65"/>
        <w:ind w:left="3973" w:right="4823" w:firstLine="232"/>
      </w:pPr>
      <w:r>
        <w:rPr/>
        <w:t>合并利润表2022</w:t>
      </w:r>
      <w:r>
        <w:rPr>
          <w:spacing w:val="-36"/>
        </w:rPr>
        <w:t> 年 </w:t>
      </w:r>
      <w:r>
        <w:rPr/>
        <w:t>1—12</w:t>
      </w:r>
      <w:r>
        <w:rPr>
          <w:spacing w:val="-28"/>
        </w:rPr>
        <w:t> 月</w:t>
      </w:r>
      <w:r>
        <w:rPr/>
        <w:t> </w:t>
      </w:r>
    </w:p>
    <w:p>
      <w:pPr>
        <w:pStyle w:val="BodyText"/>
        <w:spacing w:line="212" w:lineRule="exact"/>
        <w:ind w:left="6839"/>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1"/>
        <w:gridCol w:w="1479"/>
        <w:gridCol w:w="1959"/>
        <w:gridCol w:w="1967"/>
      </w:tblGrid>
      <w:tr>
        <w:trPr>
          <w:trHeight w:val="273" w:hRule="atLeast"/>
        </w:trPr>
        <w:tc>
          <w:tcPr>
            <w:tcW w:w="3421" w:type="dxa"/>
          </w:tcPr>
          <w:p>
            <w:pPr>
              <w:pStyle w:val="TableParagraph"/>
              <w:spacing w:line="252" w:lineRule="exact" w:before="1"/>
              <w:ind w:left="1512" w:right="1439"/>
              <w:jc w:val="center"/>
              <w:rPr>
                <w:sz w:val="21"/>
              </w:rPr>
            </w:pPr>
            <w:r>
              <w:rPr>
                <w:sz w:val="21"/>
              </w:rPr>
              <w:t>项目 </w:t>
            </w:r>
          </w:p>
        </w:tc>
        <w:tc>
          <w:tcPr>
            <w:tcW w:w="1479" w:type="dxa"/>
          </w:tcPr>
          <w:p>
            <w:pPr>
              <w:pStyle w:val="TableParagraph"/>
              <w:spacing w:line="252" w:lineRule="exact" w:before="1"/>
              <w:ind w:left="524"/>
              <w:rPr>
                <w:sz w:val="21"/>
              </w:rPr>
            </w:pPr>
            <w:r>
              <w:rPr>
                <w:sz w:val="21"/>
              </w:rPr>
              <w:t>附注 </w:t>
            </w:r>
          </w:p>
        </w:tc>
        <w:tc>
          <w:tcPr>
            <w:tcW w:w="1959" w:type="dxa"/>
          </w:tcPr>
          <w:p>
            <w:pPr>
              <w:pStyle w:val="TableParagraph"/>
              <w:spacing w:line="252" w:lineRule="exact" w:before="1"/>
              <w:ind w:left="529"/>
              <w:rPr>
                <w:sz w:val="21"/>
              </w:rPr>
            </w:pPr>
            <w:r>
              <w:rPr>
                <w:sz w:val="21"/>
              </w:rPr>
              <w:t>2022</w:t>
            </w:r>
            <w:r>
              <w:rPr>
                <w:spacing w:val="-18"/>
                <w:sz w:val="21"/>
              </w:rPr>
              <w:t> 年度 </w:t>
            </w:r>
          </w:p>
        </w:tc>
        <w:tc>
          <w:tcPr>
            <w:tcW w:w="1967" w:type="dxa"/>
          </w:tcPr>
          <w:p>
            <w:pPr>
              <w:pStyle w:val="TableParagraph"/>
              <w:spacing w:line="252" w:lineRule="exact" w:before="1"/>
              <w:ind w:left="531"/>
              <w:rPr>
                <w:sz w:val="21"/>
              </w:rPr>
            </w:pPr>
            <w:r>
              <w:rPr>
                <w:sz w:val="21"/>
              </w:rPr>
              <w:t>2021</w:t>
            </w:r>
            <w:r>
              <w:rPr>
                <w:spacing w:val="-18"/>
                <w:sz w:val="21"/>
              </w:rPr>
              <w:t> 年度 </w:t>
            </w:r>
          </w:p>
        </w:tc>
      </w:tr>
      <w:tr>
        <w:trPr>
          <w:trHeight w:val="270" w:hRule="atLeast"/>
        </w:trPr>
        <w:tc>
          <w:tcPr>
            <w:tcW w:w="3421" w:type="dxa"/>
          </w:tcPr>
          <w:p>
            <w:pPr>
              <w:pStyle w:val="TableParagraph"/>
              <w:spacing w:line="250" w:lineRule="exact" w:before="1"/>
              <w:ind w:left="107"/>
              <w:rPr>
                <w:sz w:val="21"/>
              </w:rPr>
            </w:pPr>
            <w:r>
              <w:rPr>
                <w:spacing w:val="-1"/>
                <w:sz w:val="21"/>
              </w:rPr>
              <w:t>一、营业总收入</w:t>
            </w:r>
            <w:r>
              <w:rPr>
                <w:sz w:val="21"/>
              </w:rPr>
              <w:t> </w:t>
            </w:r>
          </w:p>
        </w:tc>
        <w:tc>
          <w:tcPr>
            <w:tcW w:w="1479" w:type="dxa"/>
          </w:tcPr>
          <w:p>
            <w:pPr>
              <w:pStyle w:val="TableParagraph"/>
              <w:spacing w:line="250" w:lineRule="exact" w:before="1"/>
              <w:ind w:left="104"/>
              <w:rPr>
                <w:sz w:val="21"/>
              </w:rPr>
            </w:pPr>
            <w:r>
              <w:rPr>
                <w:w w:val="100"/>
                <w:sz w:val="21"/>
              </w:rPr>
              <w:t> </w:t>
            </w:r>
          </w:p>
        </w:tc>
        <w:tc>
          <w:tcPr>
            <w:tcW w:w="1959" w:type="dxa"/>
          </w:tcPr>
          <w:p>
            <w:pPr>
              <w:pStyle w:val="TableParagraph"/>
              <w:spacing w:before="7"/>
              <w:ind w:right="95"/>
              <w:jc w:val="right"/>
              <w:rPr>
                <w:rFonts w:ascii="Times New Roman"/>
                <w:sz w:val="21"/>
              </w:rPr>
            </w:pPr>
            <w:r>
              <w:rPr>
                <w:rFonts w:ascii="Times New Roman"/>
                <w:sz w:val="21"/>
              </w:rPr>
              <w:t>511,849,579</w:t>
            </w:r>
          </w:p>
        </w:tc>
        <w:tc>
          <w:tcPr>
            <w:tcW w:w="1967" w:type="dxa"/>
          </w:tcPr>
          <w:p>
            <w:pPr>
              <w:pStyle w:val="TableParagraph"/>
              <w:spacing w:before="7"/>
              <w:ind w:left="805"/>
              <w:rPr>
                <w:rFonts w:ascii="Times New Roman"/>
                <w:sz w:val="21"/>
              </w:rPr>
            </w:pPr>
            <w:r>
              <w:rPr>
                <w:rFonts w:ascii="Times New Roman"/>
                <w:sz w:val="21"/>
              </w:rPr>
              <w:t>439,557,195</w:t>
            </w:r>
          </w:p>
        </w:tc>
      </w:tr>
      <w:tr>
        <w:trPr>
          <w:trHeight w:val="273" w:hRule="atLeast"/>
        </w:trPr>
        <w:tc>
          <w:tcPr>
            <w:tcW w:w="3421" w:type="dxa"/>
          </w:tcPr>
          <w:p>
            <w:pPr>
              <w:pStyle w:val="TableParagraph"/>
              <w:spacing w:line="252" w:lineRule="exact" w:before="1"/>
              <w:ind w:left="107"/>
              <w:rPr>
                <w:sz w:val="21"/>
              </w:rPr>
            </w:pPr>
            <w:r>
              <w:rPr>
                <w:spacing w:val="-1"/>
                <w:sz w:val="21"/>
              </w:rPr>
              <w:t>其中：营业收入</w:t>
            </w:r>
            <w:r>
              <w:rPr>
                <w:sz w:val="21"/>
              </w:rPr>
              <w:t> </w:t>
            </w:r>
          </w:p>
        </w:tc>
        <w:tc>
          <w:tcPr>
            <w:tcW w:w="1479" w:type="dxa"/>
          </w:tcPr>
          <w:p>
            <w:pPr>
              <w:pStyle w:val="TableParagraph"/>
              <w:spacing w:line="252" w:lineRule="exact" w:before="1"/>
              <w:ind w:left="104"/>
              <w:rPr>
                <w:sz w:val="21"/>
              </w:rPr>
            </w:pPr>
            <w:r>
              <w:rPr>
                <w:sz w:val="21"/>
              </w:rPr>
              <w:t>七、61 </w:t>
            </w:r>
          </w:p>
        </w:tc>
        <w:tc>
          <w:tcPr>
            <w:tcW w:w="1959" w:type="dxa"/>
          </w:tcPr>
          <w:p>
            <w:pPr>
              <w:pStyle w:val="TableParagraph"/>
              <w:spacing w:line="252" w:lineRule="exact" w:before="1"/>
              <w:ind w:right="-29"/>
              <w:jc w:val="right"/>
              <w:rPr>
                <w:sz w:val="24"/>
              </w:rPr>
            </w:pPr>
            <w:r>
              <w:rPr>
                <w:sz w:val="21"/>
              </w:rPr>
              <w:t>511,849,579</w:t>
            </w:r>
            <w:r>
              <w:rPr>
                <w:sz w:val="24"/>
              </w:rPr>
              <w:t> </w:t>
            </w:r>
          </w:p>
        </w:tc>
        <w:tc>
          <w:tcPr>
            <w:tcW w:w="1967" w:type="dxa"/>
          </w:tcPr>
          <w:p>
            <w:pPr>
              <w:pStyle w:val="TableParagraph"/>
              <w:spacing w:line="252" w:lineRule="exact" w:before="1"/>
              <w:ind w:right="-15"/>
              <w:jc w:val="right"/>
              <w:rPr>
                <w:sz w:val="21"/>
              </w:rPr>
            </w:pPr>
            <w:r>
              <w:rPr>
                <w:sz w:val="21"/>
              </w:rPr>
              <w:t>439,557,195 </w:t>
            </w:r>
          </w:p>
        </w:tc>
      </w:tr>
      <w:tr>
        <w:trPr>
          <w:trHeight w:val="273" w:hRule="atLeast"/>
        </w:trPr>
        <w:tc>
          <w:tcPr>
            <w:tcW w:w="3421" w:type="dxa"/>
          </w:tcPr>
          <w:p>
            <w:pPr>
              <w:pStyle w:val="TableParagraph"/>
              <w:spacing w:line="252" w:lineRule="exact" w:before="1"/>
              <w:ind w:left="738"/>
              <w:rPr>
                <w:sz w:val="21"/>
              </w:rPr>
            </w:pPr>
            <w:r>
              <w:rPr>
                <w:spacing w:val="-1"/>
                <w:sz w:val="21"/>
              </w:rPr>
              <w:t>利息收入</w:t>
            </w:r>
            <w:r>
              <w:rPr>
                <w:sz w:val="21"/>
              </w:rPr>
              <w:t>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0" w:hRule="atLeast"/>
        </w:trPr>
        <w:tc>
          <w:tcPr>
            <w:tcW w:w="3421" w:type="dxa"/>
          </w:tcPr>
          <w:p>
            <w:pPr>
              <w:pStyle w:val="TableParagraph"/>
              <w:spacing w:line="250" w:lineRule="exact" w:before="1"/>
              <w:ind w:left="738"/>
              <w:rPr>
                <w:sz w:val="21"/>
              </w:rPr>
            </w:pPr>
            <w:r>
              <w:rPr>
                <w:spacing w:val="-1"/>
                <w:sz w:val="21"/>
              </w:rPr>
              <w:t>已赚保费</w:t>
            </w:r>
            <w:r>
              <w:rPr>
                <w:sz w:val="21"/>
              </w:rPr>
              <w:t> </w:t>
            </w:r>
          </w:p>
        </w:tc>
        <w:tc>
          <w:tcPr>
            <w:tcW w:w="1479" w:type="dxa"/>
          </w:tcPr>
          <w:p>
            <w:pPr>
              <w:pStyle w:val="TableParagraph"/>
              <w:spacing w:line="250" w:lineRule="exact"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2" w:lineRule="exact" w:before="1"/>
              <w:ind w:left="738"/>
              <w:rPr>
                <w:sz w:val="21"/>
              </w:rPr>
            </w:pPr>
            <w:r>
              <w:rPr>
                <w:spacing w:val="-1"/>
                <w:sz w:val="21"/>
              </w:rPr>
              <w:t>手续费及佣金收入</w:t>
            </w:r>
            <w:r>
              <w:rPr>
                <w:sz w:val="21"/>
              </w:rPr>
              <w:t>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2" w:lineRule="exact" w:before="1"/>
              <w:ind w:left="107"/>
              <w:rPr>
                <w:sz w:val="21"/>
              </w:rPr>
            </w:pPr>
            <w:r>
              <w:rPr>
                <w:spacing w:val="-1"/>
                <w:sz w:val="21"/>
              </w:rPr>
              <w:t>二、营业总成本</w:t>
            </w:r>
            <w:r>
              <w:rPr>
                <w:sz w:val="21"/>
              </w:rPr>
              <w:t>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spacing w:line="252" w:lineRule="exact" w:before="1"/>
              <w:ind w:right="-29"/>
              <w:jc w:val="right"/>
              <w:rPr>
                <w:sz w:val="24"/>
              </w:rPr>
            </w:pPr>
            <w:r>
              <w:rPr>
                <w:sz w:val="21"/>
              </w:rPr>
              <w:t>-490,934,601</w:t>
            </w:r>
            <w:r>
              <w:rPr>
                <w:sz w:val="24"/>
              </w:rPr>
              <w:t> </w:t>
            </w:r>
          </w:p>
        </w:tc>
        <w:tc>
          <w:tcPr>
            <w:tcW w:w="1967" w:type="dxa"/>
          </w:tcPr>
          <w:p>
            <w:pPr>
              <w:pStyle w:val="TableParagraph"/>
              <w:spacing w:line="252" w:lineRule="exact" w:before="1"/>
              <w:ind w:right="-15"/>
              <w:jc w:val="right"/>
              <w:rPr>
                <w:sz w:val="21"/>
              </w:rPr>
            </w:pPr>
            <w:r>
              <w:rPr>
                <w:sz w:val="21"/>
              </w:rPr>
              <w:t>-418,699,687 </w:t>
            </w:r>
          </w:p>
        </w:tc>
      </w:tr>
      <w:tr>
        <w:trPr>
          <w:trHeight w:val="270" w:hRule="atLeast"/>
        </w:trPr>
        <w:tc>
          <w:tcPr>
            <w:tcW w:w="3421" w:type="dxa"/>
          </w:tcPr>
          <w:p>
            <w:pPr>
              <w:pStyle w:val="TableParagraph"/>
              <w:spacing w:line="250" w:lineRule="exact" w:before="1"/>
              <w:ind w:left="107"/>
              <w:rPr>
                <w:sz w:val="21"/>
              </w:rPr>
            </w:pPr>
            <w:r>
              <w:rPr>
                <w:spacing w:val="-1"/>
                <w:sz w:val="21"/>
              </w:rPr>
              <w:t>其中：营业成本</w:t>
            </w:r>
            <w:r>
              <w:rPr>
                <w:sz w:val="21"/>
              </w:rPr>
              <w:t> </w:t>
            </w:r>
          </w:p>
        </w:tc>
        <w:tc>
          <w:tcPr>
            <w:tcW w:w="1479" w:type="dxa"/>
          </w:tcPr>
          <w:p>
            <w:pPr>
              <w:pStyle w:val="TableParagraph"/>
              <w:spacing w:line="250" w:lineRule="exact" w:before="1"/>
              <w:ind w:left="104"/>
              <w:rPr>
                <w:sz w:val="21"/>
              </w:rPr>
            </w:pPr>
            <w:r>
              <w:rPr>
                <w:sz w:val="21"/>
              </w:rPr>
              <w:t>七、61 </w:t>
            </w:r>
          </w:p>
        </w:tc>
        <w:tc>
          <w:tcPr>
            <w:tcW w:w="1959" w:type="dxa"/>
          </w:tcPr>
          <w:p>
            <w:pPr>
              <w:pStyle w:val="TableParagraph"/>
              <w:spacing w:before="7"/>
              <w:ind w:right="95"/>
              <w:jc w:val="right"/>
              <w:rPr>
                <w:rFonts w:ascii="Times New Roman"/>
                <w:sz w:val="21"/>
              </w:rPr>
            </w:pPr>
            <w:r>
              <w:rPr>
                <w:rFonts w:ascii="Times New Roman"/>
                <w:sz w:val="21"/>
              </w:rPr>
              <w:t>-474,677,783</w:t>
            </w:r>
          </w:p>
        </w:tc>
        <w:tc>
          <w:tcPr>
            <w:tcW w:w="1967" w:type="dxa"/>
          </w:tcPr>
          <w:p>
            <w:pPr>
              <w:pStyle w:val="TableParagraph"/>
              <w:spacing w:before="7"/>
              <w:ind w:left="735"/>
              <w:rPr>
                <w:rFonts w:ascii="Times New Roman"/>
                <w:sz w:val="21"/>
              </w:rPr>
            </w:pPr>
            <w:r>
              <w:rPr>
                <w:rFonts w:ascii="Times New Roman"/>
                <w:sz w:val="21"/>
              </w:rPr>
              <w:t>-403,041,967</w:t>
            </w:r>
          </w:p>
        </w:tc>
      </w:tr>
      <w:tr>
        <w:trPr>
          <w:trHeight w:val="273" w:hRule="atLeast"/>
        </w:trPr>
        <w:tc>
          <w:tcPr>
            <w:tcW w:w="3421" w:type="dxa"/>
          </w:tcPr>
          <w:p>
            <w:pPr>
              <w:pStyle w:val="TableParagraph"/>
              <w:spacing w:line="253" w:lineRule="exact" w:before="1"/>
              <w:ind w:left="738"/>
              <w:rPr>
                <w:sz w:val="21"/>
              </w:rPr>
            </w:pPr>
            <w:r>
              <w:rPr>
                <w:spacing w:val="-1"/>
                <w:sz w:val="21"/>
              </w:rPr>
              <w:t>利息支出</w:t>
            </w:r>
            <w:r>
              <w:rPr>
                <w:sz w:val="21"/>
              </w:rPr>
              <w:t> </w:t>
            </w:r>
          </w:p>
        </w:tc>
        <w:tc>
          <w:tcPr>
            <w:tcW w:w="1479" w:type="dxa"/>
          </w:tcPr>
          <w:p>
            <w:pPr>
              <w:pStyle w:val="TableParagraph"/>
              <w:spacing w:line="253" w:lineRule="exact"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0" w:hRule="atLeast"/>
        </w:trPr>
        <w:tc>
          <w:tcPr>
            <w:tcW w:w="3421" w:type="dxa"/>
          </w:tcPr>
          <w:p>
            <w:pPr>
              <w:pStyle w:val="TableParagraph"/>
              <w:spacing w:line="250" w:lineRule="exact" w:before="1"/>
              <w:ind w:left="738"/>
              <w:rPr>
                <w:sz w:val="21"/>
              </w:rPr>
            </w:pPr>
            <w:r>
              <w:rPr>
                <w:spacing w:val="-1"/>
                <w:sz w:val="21"/>
              </w:rPr>
              <w:t>手续费及佣金支出</w:t>
            </w:r>
            <w:r>
              <w:rPr>
                <w:sz w:val="21"/>
              </w:rPr>
              <w:t> </w:t>
            </w:r>
          </w:p>
        </w:tc>
        <w:tc>
          <w:tcPr>
            <w:tcW w:w="1479" w:type="dxa"/>
          </w:tcPr>
          <w:p>
            <w:pPr>
              <w:pStyle w:val="TableParagraph"/>
              <w:spacing w:line="250" w:lineRule="exact"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0" w:lineRule="exact" w:before="3"/>
              <w:ind w:left="738"/>
              <w:rPr>
                <w:sz w:val="21"/>
              </w:rPr>
            </w:pPr>
            <w:r>
              <w:rPr>
                <w:sz w:val="21"/>
              </w:rPr>
              <w:t>退保金 </w:t>
            </w:r>
          </w:p>
        </w:tc>
        <w:tc>
          <w:tcPr>
            <w:tcW w:w="1479" w:type="dxa"/>
          </w:tcPr>
          <w:p>
            <w:pPr>
              <w:pStyle w:val="TableParagraph"/>
              <w:spacing w:line="250" w:lineRule="exact" w:before="3"/>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2" w:lineRule="exact" w:before="1"/>
              <w:ind w:left="738"/>
              <w:rPr>
                <w:sz w:val="21"/>
              </w:rPr>
            </w:pPr>
            <w:r>
              <w:rPr>
                <w:spacing w:val="-1"/>
                <w:sz w:val="21"/>
              </w:rPr>
              <w:t>赔付支出净额</w:t>
            </w:r>
            <w:r>
              <w:rPr>
                <w:sz w:val="21"/>
              </w:rPr>
              <w:t>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0" w:hRule="atLeast"/>
        </w:trPr>
        <w:tc>
          <w:tcPr>
            <w:tcW w:w="3421" w:type="dxa"/>
          </w:tcPr>
          <w:p>
            <w:pPr>
              <w:pStyle w:val="TableParagraph"/>
              <w:spacing w:line="250" w:lineRule="exact" w:before="1"/>
              <w:ind w:left="738"/>
              <w:rPr>
                <w:sz w:val="21"/>
              </w:rPr>
            </w:pPr>
            <w:r>
              <w:rPr>
                <w:spacing w:val="-1"/>
                <w:sz w:val="21"/>
              </w:rPr>
              <w:t>提取保险责任准备金净额</w:t>
            </w:r>
            <w:r>
              <w:rPr>
                <w:sz w:val="21"/>
              </w:rPr>
              <w:t> </w:t>
            </w:r>
          </w:p>
        </w:tc>
        <w:tc>
          <w:tcPr>
            <w:tcW w:w="1479" w:type="dxa"/>
          </w:tcPr>
          <w:p>
            <w:pPr>
              <w:pStyle w:val="TableParagraph"/>
              <w:spacing w:line="250" w:lineRule="exact"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0" w:lineRule="exact" w:before="3"/>
              <w:ind w:left="738"/>
              <w:rPr>
                <w:sz w:val="21"/>
              </w:rPr>
            </w:pPr>
            <w:r>
              <w:rPr>
                <w:spacing w:val="-1"/>
                <w:sz w:val="21"/>
              </w:rPr>
              <w:t>保单红利支出</w:t>
            </w:r>
            <w:r>
              <w:rPr>
                <w:sz w:val="21"/>
              </w:rPr>
              <w:t> </w:t>
            </w:r>
          </w:p>
        </w:tc>
        <w:tc>
          <w:tcPr>
            <w:tcW w:w="1479" w:type="dxa"/>
          </w:tcPr>
          <w:p>
            <w:pPr>
              <w:pStyle w:val="TableParagraph"/>
              <w:spacing w:line="250" w:lineRule="exact" w:before="3"/>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2" w:lineRule="exact" w:before="1"/>
              <w:ind w:left="738"/>
              <w:rPr>
                <w:sz w:val="21"/>
              </w:rPr>
            </w:pPr>
            <w:r>
              <w:rPr>
                <w:spacing w:val="-1"/>
                <w:sz w:val="21"/>
              </w:rPr>
              <w:t>分保费用</w:t>
            </w:r>
            <w:r>
              <w:rPr>
                <w:sz w:val="21"/>
              </w:rPr>
              <w:t>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0" w:hRule="atLeast"/>
        </w:trPr>
        <w:tc>
          <w:tcPr>
            <w:tcW w:w="3421" w:type="dxa"/>
          </w:tcPr>
          <w:p>
            <w:pPr>
              <w:pStyle w:val="TableParagraph"/>
              <w:spacing w:line="250" w:lineRule="exact" w:before="1"/>
              <w:ind w:left="738"/>
              <w:rPr>
                <w:sz w:val="21"/>
              </w:rPr>
            </w:pPr>
            <w:r>
              <w:rPr>
                <w:sz w:val="21"/>
              </w:rPr>
              <w:t>税金及附加 </w:t>
            </w:r>
          </w:p>
        </w:tc>
        <w:tc>
          <w:tcPr>
            <w:tcW w:w="1479" w:type="dxa"/>
          </w:tcPr>
          <w:p>
            <w:pPr>
              <w:pStyle w:val="TableParagraph"/>
              <w:spacing w:line="250" w:lineRule="exact" w:before="1"/>
              <w:ind w:left="104"/>
              <w:rPr>
                <w:sz w:val="21"/>
              </w:rPr>
            </w:pPr>
            <w:r>
              <w:rPr>
                <w:sz w:val="21"/>
              </w:rPr>
              <w:t>七、62 </w:t>
            </w:r>
          </w:p>
        </w:tc>
        <w:tc>
          <w:tcPr>
            <w:tcW w:w="1959" w:type="dxa"/>
          </w:tcPr>
          <w:p>
            <w:pPr>
              <w:pStyle w:val="TableParagraph"/>
              <w:spacing w:before="7"/>
              <w:ind w:right="97"/>
              <w:jc w:val="right"/>
              <w:rPr>
                <w:rFonts w:ascii="Times New Roman"/>
                <w:sz w:val="21"/>
              </w:rPr>
            </w:pPr>
            <w:r>
              <w:rPr>
                <w:rFonts w:ascii="Times New Roman"/>
                <w:sz w:val="21"/>
              </w:rPr>
              <w:t>-486,119</w:t>
            </w:r>
          </w:p>
        </w:tc>
        <w:tc>
          <w:tcPr>
            <w:tcW w:w="1967" w:type="dxa"/>
          </w:tcPr>
          <w:p>
            <w:pPr>
              <w:pStyle w:val="TableParagraph"/>
              <w:spacing w:before="7"/>
              <w:ind w:left="1103"/>
              <w:rPr>
                <w:rFonts w:ascii="Times New Roman"/>
                <w:sz w:val="21"/>
              </w:rPr>
            </w:pPr>
            <w:r>
              <w:rPr>
                <w:rFonts w:ascii="Times New Roman"/>
                <w:sz w:val="21"/>
              </w:rPr>
              <w:t>-595,884</w:t>
            </w:r>
          </w:p>
        </w:tc>
      </w:tr>
      <w:tr>
        <w:trPr>
          <w:trHeight w:val="273" w:hRule="atLeast"/>
        </w:trPr>
        <w:tc>
          <w:tcPr>
            <w:tcW w:w="3421" w:type="dxa"/>
          </w:tcPr>
          <w:p>
            <w:pPr>
              <w:pStyle w:val="TableParagraph"/>
              <w:spacing w:line="252" w:lineRule="exact" w:before="1"/>
              <w:ind w:left="738"/>
              <w:rPr>
                <w:sz w:val="21"/>
              </w:rPr>
            </w:pPr>
            <w:r>
              <w:rPr>
                <w:spacing w:val="-1"/>
                <w:sz w:val="21"/>
              </w:rPr>
              <w:t>销售费用</w:t>
            </w:r>
            <w:r>
              <w:rPr>
                <w:sz w:val="21"/>
              </w:rPr>
              <w:t> </w:t>
            </w:r>
          </w:p>
        </w:tc>
        <w:tc>
          <w:tcPr>
            <w:tcW w:w="1479" w:type="dxa"/>
          </w:tcPr>
          <w:p>
            <w:pPr>
              <w:pStyle w:val="TableParagraph"/>
              <w:spacing w:line="252" w:lineRule="exact" w:before="1"/>
              <w:ind w:left="104"/>
              <w:rPr>
                <w:sz w:val="21"/>
              </w:rPr>
            </w:pPr>
            <w:r>
              <w:rPr>
                <w:sz w:val="21"/>
              </w:rPr>
              <w:t>七、63 </w:t>
            </w:r>
          </w:p>
        </w:tc>
        <w:tc>
          <w:tcPr>
            <w:tcW w:w="1959" w:type="dxa"/>
          </w:tcPr>
          <w:p>
            <w:pPr>
              <w:pStyle w:val="TableParagraph"/>
              <w:spacing w:before="10"/>
              <w:ind w:right="95"/>
              <w:jc w:val="right"/>
              <w:rPr>
                <w:rFonts w:ascii="Times New Roman"/>
                <w:sz w:val="21"/>
              </w:rPr>
            </w:pPr>
            <w:r>
              <w:rPr>
                <w:rFonts w:ascii="Times New Roman"/>
                <w:sz w:val="21"/>
              </w:rPr>
              <w:t>-1,057,828</w:t>
            </w:r>
          </w:p>
        </w:tc>
        <w:tc>
          <w:tcPr>
            <w:tcW w:w="1967" w:type="dxa"/>
          </w:tcPr>
          <w:p>
            <w:pPr>
              <w:pStyle w:val="TableParagraph"/>
              <w:spacing w:before="10"/>
              <w:ind w:left="1103"/>
              <w:rPr>
                <w:rFonts w:ascii="Times New Roman"/>
                <w:sz w:val="21"/>
              </w:rPr>
            </w:pPr>
            <w:r>
              <w:rPr>
                <w:rFonts w:ascii="Times New Roman"/>
                <w:sz w:val="21"/>
              </w:rPr>
              <w:t>-896,045</w:t>
            </w:r>
          </w:p>
        </w:tc>
      </w:tr>
      <w:tr>
        <w:trPr>
          <w:trHeight w:val="273" w:hRule="atLeast"/>
        </w:trPr>
        <w:tc>
          <w:tcPr>
            <w:tcW w:w="3421" w:type="dxa"/>
          </w:tcPr>
          <w:p>
            <w:pPr>
              <w:pStyle w:val="TableParagraph"/>
              <w:spacing w:line="252" w:lineRule="exact" w:before="1"/>
              <w:ind w:left="738"/>
              <w:rPr>
                <w:sz w:val="21"/>
              </w:rPr>
            </w:pPr>
            <w:r>
              <w:rPr>
                <w:spacing w:val="-1"/>
                <w:sz w:val="21"/>
              </w:rPr>
              <w:t>管理费用</w:t>
            </w:r>
            <w:r>
              <w:rPr>
                <w:sz w:val="21"/>
              </w:rPr>
              <w:t> </w:t>
            </w:r>
          </w:p>
        </w:tc>
        <w:tc>
          <w:tcPr>
            <w:tcW w:w="1479" w:type="dxa"/>
          </w:tcPr>
          <w:p>
            <w:pPr>
              <w:pStyle w:val="TableParagraph"/>
              <w:spacing w:line="252" w:lineRule="exact" w:before="1"/>
              <w:ind w:left="104"/>
              <w:rPr>
                <w:sz w:val="21"/>
              </w:rPr>
            </w:pPr>
            <w:r>
              <w:rPr>
                <w:sz w:val="21"/>
              </w:rPr>
              <w:t>七、64 </w:t>
            </w:r>
          </w:p>
        </w:tc>
        <w:tc>
          <w:tcPr>
            <w:tcW w:w="1959" w:type="dxa"/>
          </w:tcPr>
          <w:p>
            <w:pPr>
              <w:pStyle w:val="TableParagraph"/>
              <w:spacing w:before="10"/>
              <w:ind w:right="95"/>
              <w:jc w:val="right"/>
              <w:rPr>
                <w:rFonts w:ascii="Times New Roman"/>
                <w:sz w:val="21"/>
              </w:rPr>
            </w:pPr>
            <w:r>
              <w:rPr>
                <w:rFonts w:ascii="Times New Roman"/>
                <w:sz w:val="21"/>
              </w:rPr>
              <w:t>-3,828,399</w:t>
            </w:r>
          </w:p>
        </w:tc>
        <w:tc>
          <w:tcPr>
            <w:tcW w:w="1967" w:type="dxa"/>
          </w:tcPr>
          <w:p>
            <w:pPr>
              <w:pStyle w:val="TableParagraph"/>
              <w:spacing w:before="10"/>
              <w:ind w:left="947"/>
              <w:rPr>
                <w:rFonts w:ascii="Times New Roman"/>
                <w:sz w:val="21"/>
              </w:rPr>
            </w:pPr>
            <w:r>
              <w:rPr>
                <w:rFonts w:ascii="Times New Roman"/>
                <w:sz w:val="21"/>
              </w:rPr>
              <w:t>-4,157,148</w:t>
            </w:r>
          </w:p>
        </w:tc>
      </w:tr>
      <w:tr>
        <w:trPr>
          <w:trHeight w:val="270" w:hRule="atLeast"/>
        </w:trPr>
        <w:tc>
          <w:tcPr>
            <w:tcW w:w="3421" w:type="dxa"/>
          </w:tcPr>
          <w:p>
            <w:pPr>
              <w:pStyle w:val="TableParagraph"/>
              <w:spacing w:line="250" w:lineRule="exact" w:before="1"/>
              <w:ind w:left="738"/>
              <w:rPr>
                <w:sz w:val="21"/>
              </w:rPr>
            </w:pPr>
            <w:r>
              <w:rPr>
                <w:spacing w:val="-1"/>
                <w:sz w:val="21"/>
              </w:rPr>
              <w:t>研发费用</w:t>
            </w:r>
            <w:r>
              <w:rPr>
                <w:sz w:val="21"/>
              </w:rPr>
              <w:t> </w:t>
            </w:r>
          </w:p>
        </w:tc>
        <w:tc>
          <w:tcPr>
            <w:tcW w:w="1479" w:type="dxa"/>
          </w:tcPr>
          <w:p>
            <w:pPr>
              <w:pStyle w:val="TableParagraph"/>
              <w:spacing w:line="250" w:lineRule="exact" w:before="1"/>
              <w:ind w:left="104"/>
              <w:rPr>
                <w:sz w:val="21"/>
              </w:rPr>
            </w:pPr>
            <w:r>
              <w:rPr>
                <w:sz w:val="21"/>
              </w:rPr>
              <w:t>七、65 </w:t>
            </w:r>
          </w:p>
        </w:tc>
        <w:tc>
          <w:tcPr>
            <w:tcW w:w="1959" w:type="dxa"/>
          </w:tcPr>
          <w:p>
            <w:pPr>
              <w:pStyle w:val="TableParagraph"/>
              <w:spacing w:before="7"/>
              <w:ind w:right="95"/>
              <w:jc w:val="right"/>
              <w:rPr>
                <w:rFonts w:ascii="Times New Roman"/>
                <w:sz w:val="21"/>
              </w:rPr>
            </w:pPr>
            <w:r>
              <w:rPr>
                <w:rFonts w:ascii="Times New Roman"/>
                <w:sz w:val="21"/>
              </w:rPr>
              <w:t>-11,588,014</w:t>
            </w:r>
          </w:p>
        </w:tc>
        <w:tc>
          <w:tcPr>
            <w:tcW w:w="1967" w:type="dxa"/>
          </w:tcPr>
          <w:p>
            <w:pPr>
              <w:pStyle w:val="TableParagraph"/>
              <w:spacing w:before="7"/>
              <w:ind w:left="841"/>
              <w:rPr>
                <w:rFonts w:ascii="Times New Roman"/>
                <w:sz w:val="21"/>
              </w:rPr>
            </w:pPr>
            <w:r>
              <w:rPr>
                <w:rFonts w:ascii="Times New Roman"/>
                <w:sz w:val="21"/>
              </w:rPr>
              <w:t>-10,835,032</w:t>
            </w:r>
          </w:p>
        </w:tc>
      </w:tr>
      <w:tr>
        <w:trPr>
          <w:trHeight w:val="273" w:hRule="atLeast"/>
        </w:trPr>
        <w:tc>
          <w:tcPr>
            <w:tcW w:w="3421" w:type="dxa"/>
          </w:tcPr>
          <w:p>
            <w:pPr>
              <w:pStyle w:val="TableParagraph"/>
              <w:spacing w:line="252" w:lineRule="exact" w:before="1"/>
              <w:ind w:left="738"/>
              <w:rPr>
                <w:sz w:val="21"/>
              </w:rPr>
            </w:pPr>
            <w:r>
              <w:rPr>
                <w:spacing w:val="-1"/>
                <w:sz w:val="21"/>
              </w:rPr>
              <w:t>财务费用</w:t>
            </w:r>
            <w:r>
              <w:rPr>
                <w:sz w:val="21"/>
              </w:rPr>
              <w:t> </w:t>
            </w:r>
          </w:p>
        </w:tc>
        <w:tc>
          <w:tcPr>
            <w:tcW w:w="1479" w:type="dxa"/>
          </w:tcPr>
          <w:p>
            <w:pPr>
              <w:pStyle w:val="TableParagraph"/>
              <w:spacing w:line="252" w:lineRule="exact" w:before="1"/>
              <w:ind w:left="104"/>
              <w:rPr>
                <w:sz w:val="21"/>
              </w:rPr>
            </w:pPr>
            <w:r>
              <w:rPr>
                <w:sz w:val="21"/>
              </w:rPr>
              <w:t>七、66 </w:t>
            </w:r>
          </w:p>
        </w:tc>
        <w:tc>
          <w:tcPr>
            <w:tcW w:w="1959" w:type="dxa"/>
          </w:tcPr>
          <w:p>
            <w:pPr>
              <w:pStyle w:val="TableParagraph"/>
              <w:spacing w:before="10"/>
              <w:ind w:right="95"/>
              <w:jc w:val="right"/>
              <w:rPr>
                <w:rFonts w:ascii="Times New Roman"/>
                <w:sz w:val="21"/>
              </w:rPr>
            </w:pPr>
            <w:r>
              <w:rPr>
                <w:rFonts w:ascii="Times New Roman"/>
                <w:sz w:val="21"/>
              </w:rPr>
              <w:t>703,542</w:t>
            </w:r>
          </w:p>
        </w:tc>
        <w:tc>
          <w:tcPr>
            <w:tcW w:w="1967" w:type="dxa"/>
          </w:tcPr>
          <w:p>
            <w:pPr>
              <w:pStyle w:val="TableParagraph"/>
              <w:spacing w:before="10"/>
              <w:ind w:left="1175"/>
              <w:rPr>
                <w:rFonts w:ascii="Times New Roman"/>
                <w:sz w:val="21"/>
              </w:rPr>
            </w:pPr>
            <w:r>
              <w:rPr>
                <w:rFonts w:ascii="Times New Roman"/>
                <w:sz w:val="21"/>
              </w:rPr>
              <w:t>826,389</w:t>
            </w:r>
          </w:p>
        </w:tc>
      </w:tr>
      <w:tr>
        <w:trPr>
          <w:trHeight w:val="273" w:hRule="atLeast"/>
        </w:trPr>
        <w:tc>
          <w:tcPr>
            <w:tcW w:w="3421" w:type="dxa"/>
          </w:tcPr>
          <w:p>
            <w:pPr>
              <w:pStyle w:val="TableParagraph"/>
              <w:spacing w:line="252" w:lineRule="exact" w:before="1"/>
              <w:ind w:left="738"/>
              <w:rPr>
                <w:sz w:val="21"/>
              </w:rPr>
            </w:pPr>
            <w:r>
              <w:rPr>
                <w:sz w:val="21"/>
              </w:rPr>
              <w:t>其中：利息费用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spacing w:before="7"/>
              <w:ind w:right="95"/>
              <w:jc w:val="right"/>
              <w:rPr>
                <w:rFonts w:ascii="Times New Roman"/>
                <w:sz w:val="21"/>
              </w:rPr>
            </w:pPr>
            <w:r>
              <w:rPr>
                <w:rFonts w:ascii="Times New Roman"/>
                <w:sz w:val="21"/>
              </w:rPr>
              <w:t>-1,481,891</w:t>
            </w:r>
          </w:p>
        </w:tc>
        <w:tc>
          <w:tcPr>
            <w:tcW w:w="1967" w:type="dxa"/>
          </w:tcPr>
          <w:p>
            <w:pPr>
              <w:pStyle w:val="TableParagraph"/>
              <w:spacing w:before="7"/>
              <w:ind w:left="1103"/>
              <w:rPr>
                <w:rFonts w:ascii="Times New Roman"/>
                <w:sz w:val="21"/>
              </w:rPr>
            </w:pPr>
            <w:r>
              <w:rPr>
                <w:rFonts w:ascii="Times New Roman"/>
                <w:sz w:val="21"/>
              </w:rPr>
              <w:t>-492,427</w:t>
            </w:r>
          </w:p>
        </w:tc>
      </w:tr>
      <w:tr>
        <w:trPr>
          <w:trHeight w:val="271" w:hRule="atLeast"/>
        </w:trPr>
        <w:tc>
          <w:tcPr>
            <w:tcW w:w="3421" w:type="dxa"/>
          </w:tcPr>
          <w:p>
            <w:pPr>
              <w:pStyle w:val="TableParagraph"/>
              <w:spacing w:line="250" w:lineRule="exact" w:before="1"/>
              <w:ind w:left="1367"/>
              <w:rPr>
                <w:sz w:val="21"/>
              </w:rPr>
            </w:pPr>
            <w:r>
              <w:rPr>
                <w:spacing w:val="-1"/>
                <w:sz w:val="21"/>
              </w:rPr>
              <w:t>利息收入</w:t>
            </w:r>
            <w:r>
              <w:rPr>
                <w:sz w:val="21"/>
              </w:rPr>
              <w:t> </w:t>
            </w:r>
          </w:p>
        </w:tc>
        <w:tc>
          <w:tcPr>
            <w:tcW w:w="1479" w:type="dxa"/>
          </w:tcPr>
          <w:p>
            <w:pPr>
              <w:pStyle w:val="TableParagraph"/>
              <w:spacing w:line="250" w:lineRule="exact" w:before="1"/>
              <w:ind w:left="104"/>
              <w:rPr>
                <w:sz w:val="21"/>
              </w:rPr>
            </w:pPr>
            <w:r>
              <w:rPr>
                <w:w w:val="100"/>
                <w:sz w:val="21"/>
              </w:rPr>
              <w:t> </w:t>
            </w:r>
          </w:p>
        </w:tc>
        <w:tc>
          <w:tcPr>
            <w:tcW w:w="1959" w:type="dxa"/>
          </w:tcPr>
          <w:p>
            <w:pPr>
              <w:pStyle w:val="TableParagraph"/>
              <w:spacing w:before="8"/>
              <w:ind w:right="95"/>
              <w:jc w:val="right"/>
              <w:rPr>
                <w:rFonts w:ascii="Times New Roman"/>
                <w:sz w:val="21"/>
              </w:rPr>
            </w:pPr>
            <w:r>
              <w:rPr>
                <w:rFonts w:ascii="Times New Roman"/>
                <w:sz w:val="21"/>
              </w:rPr>
              <w:t>1,821,304</w:t>
            </w:r>
          </w:p>
        </w:tc>
        <w:tc>
          <w:tcPr>
            <w:tcW w:w="1967" w:type="dxa"/>
          </w:tcPr>
          <w:p>
            <w:pPr>
              <w:pStyle w:val="TableParagraph"/>
              <w:spacing w:before="8"/>
              <w:ind w:left="1016"/>
              <w:rPr>
                <w:rFonts w:ascii="Times New Roman"/>
                <w:sz w:val="21"/>
              </w:rPr>
            </w:pPr>
            <w:r>
              <w:rPr>
                <w:rFonts w:ascii="Times New Roman"/>
                <w:sz w:val="21"/>
              </w:rPr>
              <w:t>1,793,476</w:t>
            </w:r>
          </w:p>
        </w:tc>
      </w:tr>
      <w:tr>
        <w:trPr>
          <w:trHeight w:val="273" w:hRule="atLeast"/>
        </w:trPr>
        <w:tc>
          <w:tcPr>
            <w:tcW w:w="3421" w:type="dxa"/>
          </w:tcPr>
          <w:p>
            <w:pPr>
              <w:pStyle w:val="TableParagraph"/>
              <w:spacing w:line="252" w:lineRule="exact" w:before="1"/>
              <w:ind w:left="318"/>
              <w:rPr>
                <w:sz w:val="21"/>
              </w:rPr>
            </w:pPr>
            <w:r>
              <w:rPr>
                <w:spacing w:val="-1"/>
                <w:sz w:val="21"/>
              </w:rPr>
              <w:t>加：其他收益</w:t>
            </w:r>
            <w:r>
              <w:rPr>
                <w:sz w:val="21"/>
              </w:rPr>
              <w:t> </w:t>
            </w:r>
          </w:p>
        </w:tc>
        <w:tc>
          <w:tcPr>
            <w:tcW w:w="1479" w:type="dxa"/>
          </w:tcPr>
          <w:p>
            <w:pPr>
              <w:pStyle w:val="TableParagraph"/>
              <w:spacing w:line="252" w:lineRule="exact" w:before="1"/>
              <w:ind w:left="104"/>
              <w:rPr>
                <w:sz w:val="21"/>
              </w:rPr>
            </w:pPr>
            <w:r>
              <w:rPr>
                <w:sz w:val="21"/>
              </w:rPr>
              <w:t>七、67 </w:t>
            </w:r>
          </w:p>
        </w:tc>
        <w:tc>
          <w:tcPr>
            <w:tcW w:w="1959" w:type="dxa"/>
          </w:tcPr>
          <w:p>
            <w:pPr>
              <w:pStyle w:val="TableParagraph"/>
              <w:spacing w:before="10"/>
              <w:ind w:right="95"/>
              <w:jc w:val="right"/>
              <w:rPr>
                <w:rFonts w:ascii="Times New Roman"/>
                <w:sz w:val="21"/>
              </w:rPr>
            </w:pPr>
            <w:r>
              <w:rPr>
                <w:rFonts w:ascii="Times New Roman"/>
                <w:sz w:val="21"/>
              </w:rPr>
              <w:t>1,876,971</w:t>
            </w:r>
          </w:p>
        </w:tc>
        <w:tc>
          <w:tcPr>
            <w:tcW w:w="1967" w:type="dxa"/>
          </w:tcPr>
          <w:p>
            <w:pPr>
              <w:pStyle w:val="TableParagraph"/>
              <w:spacing w:before="10"/>
              <w:ind w:left="1016"/>
              <w:rPr>
                <w:rFonts w:ascii="Times New Roman"/>
                <w:sz w:val="21"/>
              </w:rPr>
            </w:pPr>
            <w:r>
              <w:rPr>
                <w:rFonts w:ascii="Times New Roman"/>
                <w:sz w:val="21"/>
              </w:rPr>
              <w:t>1,371,300</w:t>
            </w:r>
          </w:p>
        </w:tc>
      </w:tr>
      <w:tr>
        <w:trPr>
          <w:trHeight w:val="544" w:hRule="atLeast"/>
        </w:trPr>
        <w:tc>
          <w:tcPr>
            <w:tcW w:w="3421" w:type="dxa"/>
          </w:tcPr>
          <w:p>
            <w:pPr>
              <w:pStyle w:val="TableParagraph"/>
              <w:spacing w:before="1"/>
              <w:ind w:left="738"/>
              <w:rPr>
                <w:sz w:val="21"/>
              </w:rPr>
            </w:pPr>
            <w:r>
              <w:rPr>
                <w:spacing w:val="-1"/>
                <w:sz w:val="21"/>
              </w:rPr>
              <w:t>投资收益</w:t>
            </w:r>
            <w:r>
              <w:rPr>
                <w:sz w:val="21"/>
              </w:rPr>
              <w:t>（损失以“－”号</w:t>
            </w:r>
          </w:p>
          <w:p>
            <w:pPr>
              <w:pStyle w:val="TableParagraph"/>
              <w:spacing w:line="252" w:lineRule="exact" w:before="2"/>
              <w:ind w:left="107"/>
              <w:rPr>
                <w:sz w:val="21"/>
              </w:rPr>
            </w:pPr>
            <w:r>
              <w:rPr>
                <w:sz w:val="21"/>
              </w:rPr>
              <w:t>填列） </w:t>
            </w:r>
          </w:p>
        </w:tc>
        <w:tc>
          <w:tcPr>
            <w:tcW w:w="1479" w:type="dxa"/>
          </w:tcPr>
          <w:p>
            <w:pPr>
              <w:pStyle w:val="TableParagraph"/>
              <w:spacing w:before="1"/>
              <w:ind w:left="104"/>
              <w:rPr>
                <w:sz w:val="21"/>
              </w:rPr>
            </w:pPr>
            <w:r>
              <w:rPr>
                <w:sz w:val="21"/>
              </w:rPr>
              <w:t>七、68 </w:t>
            </w:r>
          </w:p>
        </w:tc>
        <w:tc>
          <w:tcPr>
            <w:tcW w:w="1959" w:type="dxa"/>
          </w:tcPr>
          <w:p>
            <w:pPr>
              <w:pStyle w:val="TableParagraph"/>
              <w:spacing w:before="144"/>
              <w:ind w:right="95"/>
              <w:jc w:val="right"/>
              <w:rPr>
                <w:rFonts w:ascii="Times New Roman"/>
                <w:sz w:val="21"/>
              </w:rPr>
            </w:pPr>
            <w:r>
              <w:rPr>
                <w:rFonts w:ascii="Times New Roman"/>
                <w:sz w:val="21"/>
              </w:rPr>
              <w:t>30,264</w:t>
            </w:r>
          </w:p>
        </w:tc>
        <w:tc>
          <w:tcPr>
            <w:tcW w:w="1967" w:type="dxa"/>
          </w:tcPr>
          <w:p>
            <w:pPr>
              <w:pStyle w:val="TableParagraph"/>
              <w:spacing w:before="144"/>
              <w:ind w:left="1175"/>
              <w:rPr>
                <w:rFonts w:ascii="Times New Roman"/>
                <w:sz w:val="21"/>
              </w:rPr>
            </w:pPr>
            <w:r>
              <w:rPr>
                <w:rFonts w:ascii="Times New Roman"/>
                <w:sz w:val="21"/>
              </w:rPr>
              <w:t>979,147</w:t>
            </w:r>
          </w:p>
        </w:tc>
      </w:tr>
      <w:tr>
        <w:trPr>
          <w:trHeight w:val="544" w:hRule="atLeast"/>
        </w:trPr>
        <w:tc>
          <w:tcPr>
            <w:tcW w:w="3421" w:type="dxa"/>
          </w:tcPr>
          <w:p>
            <w:pPr>
              <w:pStyle w:val="TableParagraph"/>
              <w:spacing w:before="1"/>
              <w:ind w:left="738"/>
              <w:rPr>
                <w:sz w:val="21"/>
              </w:rPr>
            </w:pPr>
            <w:r>
              <w:rPr>
                <w:spacing w:val="-1"/>
                <w:sz w:val="21"/>
              </w:rPr>
              <w:t>其中：对联营企业和合营企</w:t>
            </w:r>
          </w:p>
          <w:p>
            <w:pPr>
              <w:pStyle w:val="TableParagraph"/>
              <w:spacing w:line="250" w:lineRule="exact" w:before="4"/>
              <w:ind w:left="107"/>
              <w:rPr>
                <w:sz w:val="21"/>
              </w:rPr>
            </w:pPr>
            <w:r>
              <w:rPr>
                <w:spacing w:val="-1"/>
                <w:sz w:val="21"/>
              </w:rPr>
              <w:t>业的投资收益</w:t>
            </w:r>
            <w:r>
              <w:rPr>
                <w:sz w:val="21"/>
              </w:rPr>
              <w:t> </w:t>
            </w:r>
          </w:p>
        </w:tc>
        <w:tc>
          <w:tcPr>
            <w:tcW w:w="1479" w:type="dxa"/>
          </w:tcPr>
          <w:p>
            <w:pPr>
              <w:pStyle w:val="TableParagraph"/>
              <w:spacing w:before="1"/>
              <w:ind w:left="104"/>
              <w:rPr>
                <w:sz w:val="21"/>
              </w:rPr>
            </w:pPr>
            <w:r>
              <w:rPr>
                <w:w w:val="100"/>
                <w:sz w:val="21"/>
              </w:rPr>
              <w:t> </w:t>
            </w:r>
          </w:p>
        </w:tc>
        <w:tc>
          <w:tcPr>
            <w:tcW w:w="1959" w:type="dxa"/>
          </w:tcPr>
          <w:p>
            <w:pPr>
              <w:pStyle w:val="TableParagraph"/>
              <w:spacing w:before="144"/>
              <w:ind w:right="95"/>
              <w:jc w:val="right"/>
              <w:rPr>
                <w:rFonts w:ascii="Times New Roman"/>
                <w:sz w:val="21"/>
              </w:rPr>
            </w:pPr>
            <w:r>
              <w:rPr>
                <w:rFonts w:ascii="Times New Roman"/>
                <w:sz w:val="21"/>
              </w:rPr>
              <w:t>2,637</w:t>
            </w:r>
          </w:p>
        </w:tc>
        <w:tc>
          <w:tcPr>
            <w:tcW w:w="1967" w:type="dxa"/>
          </w:tcPr>
          <w:p>
            <w:pPr>
              <w:pStyle w:val="TableParagraph"/>
              <w:spacing w:before="144"/>
              <w:ind w:left="1278"/>
              <w:rPr>
                <w:rFonts w:ascii="Times New Roman"/>
                <w:sz w:val="21"/>
              </w:rPr>
            </w:pPr>
            <w:r>
              <w:rPr>
                <w:rFonts w:ascii="Times New Roman"/>
                <w:sz w:val="21"/>
              </w:rPr>
              <w:t>14,046</w:t>
            </w:r>
          </w:p>
        </w:tc>
      </w:tr>
      <w:tr>
        <w:trPr>
          <w:trHeight w:val="544" w:hRule="atLeast"/>
        </w:trPr>
        <w:tc>
          <w:tcPr>
            <w:tcW w:w="3421" w:type="dxa"/>
          </w:tcPr>
          <w:p>
            <w:pPr>
              <w:pStyle w:val="TableParagraph"/>
              <w:spacing w:before="1"/>
              <w:ind w:left="1262"/>
              <w:rPr>
                <w:sz w:val="21"/>
              </w:rPr>
            </w:pPr>
            <w:r>
              <w:rPr>
                <w:sz w:val="21"/>
              </w:rPr>
              <w:t>以摊余成本计量的金</w:t>
            </w:r>
          </w:p>
          <w:p>
            <w:pPr>
              <w:pStyle w:val="TableParagraph"/>
              <w:spacing w:line="250" w:lineRule="exact" w:before="4"/>
              <w:ind w:left="107"/>
              <w:rPr>
                <w:sz w:val="21"/>
              </w:rPr>
            </w:pPr>
            <w:r>
              <w:rPr>
                <w:spacing w:val="-1"/>
                <w:sz w:val="21"/>
              </w:rPr>
              <w:t>融资产终止确认收益</w:t>
            </w:r>
            <w:r>
              <w:rPr>
                <w:sz w:val="21"/>
              </w:rPr>
              <w:t>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738"/>
              <w:rPr>
                <w:sz w:val="21"/>
              </w:rPr>
            </w:pPr>
            <w:r>
              <w:rPr>
                <w:spacing w:val="-1"/>
                <w:sz w:val="21"/>
              </w:rPr>
              <w:t>汇兑收益</w:t>
            </w:r>
            <w:r>
              <w:rPr>
                <w:sz w:val="21"/>
              </w:rPr>
              <w:t>（损失以“－”号</w:t>
            </w:r>
          </w:p>
          <w:p>
            <w:pPr>
              <w:pStyle w:val="TableParagraph"/>
              <w:spacing w:line="250" w:lineRule="exact" w:before="4"/>
              <w:ind w:left="107"/>
              <w:rPr>
                <w:sz w:val="21"/>
              </w:rPr>
            </w:pPr>
            <w:r>
              <w:rPr>
                <w:sz w:val="21"/>
              </w:rPr>
              <w:t>填列）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bl>
    <w:p>
      <w:pPr>
        <w:spacing w:after="0"/>
        <w:rPr>
          <w:rFonts w:ascii="Times New Roman"/>
          <w:sz w:val="20"/>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1"/>
        <w:gridCol w:w="1479"/>
        <w:gridCol w:w="1959"/>
        <w:gridCol w:w="1967"/>
      </w:tblGrid>
      <w:tr>
        <w:trPr>
          <w:trHeight w:val="547" w:hRule="atLeast"/>
        </w:trPr>
        <w:tc>
          <w:tcPr>
            <w:tcW w:w="3421" w:type="dxa"/>
          </w:tcPr>
          <w:p>
            <w:pPr>
              <w:pStyle w:val="TableParagraph"/>
              <w:spacing w:line="270" w:lineRule="atLeast"/>
              <w:ind w:left="107" w:right="356" w:firstLine="631"/>
              <w:rPr>
                <w:sz w:val="21"/>
              </w:rPr>
            </w:pPr>
            <w:r>
              <w:rPr>
                <w:sz w:val="21"/>
              </w:rPr>
              <w:t>净敞口套期收益（损失以“-”号填列） </w:t>
            </w:r>
          </w:p>
        </w:tc>
        <w:tc>
          <w:tcPr>
            <w:tcW w:w="1479" w:type="dxa"/>
          </w:tcPr>
          <w:p>
            <w:pPr>
              <w:pStyle w:val="TableParagraph"/>
              <w:spacing w:before="3"/>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743" w:hRule="atLeast"/>
        </w:trPr>
        <w:tc>
          <w:tcPr>
            <w:tcW w:w="3421" w:type="dxa"/>
          </w:tcPr>
          <w:p>
            <w:pPr>
              <w:pStyle w:val="TableParagraph"/>
              <w:spacing w:line="244" w:lineRule="auto" w:before="99"/>
              <w:ind w:left="107" w:right="147" w:firstLine="631"/>
              <w:rPr>
                <w:sz w:val="21"/>
              </w:rPr>
            </w:pPr>
            <w:r>
              <w:rPr>
                <w:spacing w:val="-1"/>
                <w:sz w:val="21"/>
              </w:rPr>
              <w:t>公允价值变动收益</w:t>
            </w:r>
            <w:r>
              <w:rPr>
                <w:sz w:val="21"/>
              </w:rPr>
              <w:t>（损失以“－”号填列） </w:t>
            </w:r>
          </w:p>
        </w:tc>
        <w:tc>
          <w:tcPr>
            <w:tcW w:w="1479" w:type="dxa"/>
          </w:tcPr>
          <w:p>
            <w:pPr>
              <w:pStyle w:val="TableParagraph"/>
              <w:spacing w:before="1"/>
              <w:ind w:left="104"/>
              <w:rPr>
                <w:sz w:val="21"/>
              </w:rPr>
            </w:pPr>
            <w:r>
              <w:rPr>
                <w:sz w:val="21"/>
              </w:rPr>
              <w:t>七、70 </w:t>
            </w:r>
          </w:p>
        </w:tc>
        <w:tc>
          <w:tcPr>
            <w:tcW w:w="1959" w:type="dxa"/>
          </w:tcPr>
          <w:p>
            <w:pPr>
              <w:pStyle w:val="TableParagraph"/>
              <w:spacing w:before="12"/>
              <w:rPr>
                <w:sz w:val="18"/>
              </w:rPr>
            </w:pPr>
          </w:p>
          <w:p>
            <w:pPr>
              <w:pStyle w:val="TableParagraph"/>
              <w:ind w:right="97"/>
              <w:jc w:val="right"/>
              <w:rPr>
                <w:rFonts w:ascii="Times New Roman"/>
                <w:sz w:val="21"/>
              </w:rPr>
            </w:pPr>
            <w:r>
              <w:rPr>
                <w:rFonts w:ascii="Times New Roman"/>
                <w:sz w:val="21"/>
              </w:rPr>
              <w:t>-70,113</w:t>
            </w:r>
          </w:p>
        </w:tc>
        <w:tc>
          <w:tcPr>
            <w:tcW w:w="1967" w:type="dxa"/>
          </w:tcPr>
          <w:p>
            <w:pPr>
              <w:pStyle w:val="TableParagraph"/>
              <w:spacing w:before="12"/>
              <w:rPr>
                <w:sz w:val="18"/>
              </w:rPr>
            </w:pPr>
          </w:p>
          <w:p>
            <w:pPr>
              <w:pStyle w:val="TableParagraph"/>
              <w:ind w:right="98"/>
              <w:jc w:val="right"/>
              <w:rPr>
                <w:rFonts w:ascii="Times New Roman"/>
                <w:sz w:val="21"/>
              </w:rPr>
            </w:pPr>
            <w:r>
              <w:rPr>
                <w:rFonts w:ascii="Times New Roman"/>
                <w:sz w:val="21"/>
              </w:rPr>
              <w:t>-481,483</w:t>
            </w:r>
          </w:p>
        </w:tc>
      </w:tr>
      <w:tr>
        <w:trPr>
          <w:trHeight w:val="544" w:hRule="atLeast"/>
        </w:trPr>
        <w:tc>
          <w:tcPr>
            <w:tcW w:w="3421" w:type="dxa"/>
          </w:tcPr>
          <w:p>
            <w:pPr>
              <w:pStyle w:val="TableParagraph"/>
              <w:spacing w:before="1"/>
              <w:ind w:left="738"/>
              <w:rPr>
                <w:sz w:val="21"/>
              </w:rPr>
            </w:pPr>
            <w:r>
              <w:rPr>
                <w:sz w:val="21"/>
              </w:rPr>
              <w:t>信用减值损失（损失以</w:t>
            </w:r>
          </w:p>
          <w:p>
            <w:pPr>
              <w:pStyle w:val="TableParagraph"/>
              <w:spacing w:line="252" w:lineRule="exact" w:before="2"/>
              <w:ind w:left="107"/>
              <w:rPr>
                <w:sz w:val="21"/>
              </w:rPr>
            </w:pPr>
            <w:r>
              <w:rPr>
                <w:sz w:val="21"/>
              </w:rPr>
              <w:t>“-”号填列） </w:t>
            </w:r>
          </w:p>
        </w:tc>
        <w:tc>
          <w:tcPr>
            <w:tcW w:w="1479" w:type="dxa"/>
          </w:tcPr>
          <w:p>
            <w:pPr>
              <w:pStyle w:val="TableParagraph"/>
              <w:spacing w:before="1"/>
              <w:ind w:left="104"/>
              <w:rPr>
                <w:sz w:val="21"/>
              </w:rPr>
            </w:pPr>
            <w:r>
              <w:rPr>
                <w:sz w:val="21"/>
              </w:rPr>
              <w:t>七、71 </w:t>
            </w:r>
          </w:p>
        </w:tc>
        <w:tc>
          <w:tcPr>
            <w:tcW w:w="1959" w:type="dxa"/>
          </w:tcPr>
          <w:p>
            <w:pPr>
              <w:pStyle w:val="TableParagraph"/>
              <w:spacing w:before="144"/>
              <w:ind w:right="95"/>
              <w:jc w:val="right"/>
              <w:rPr>
                <w:rFonts w:ascii="Times New Roman"/>
                <w:sz w:val="21"/>
              </w:rPr>
            </w:pPr>
            <w:r>
              <w:rPr>
                <w:rFonts w:ascii="Times New Roman"/>
                <w:sz w:val="21"/>
              </w:rPr>
              <w:t>180,094</w:t>
            </w:r>
          </w:p>
        </w:tc>
        <w:tc>
          <w:tcPr>
            <w:tcW w:w="1967" w:type="dxa"/>
          </w:tcPr>
          <w:p>
            <w:pPr>
              <w:pStyle w:val="TableParagraph"/>
              <w:spacing w:before="144"/>
              <w:ind w:right="95"/>
              <w:jc w:val="right"/>
              <w:rPr>
                <w:rFonts w:ascii="Times New Roman"/>
                <w:sz w:val="21"/>
              </w:rPr>
            </w:pPr>
            <w:r>
              <w:rPr>
                <w:rFonts w:ascii="Times New Roman"/>
                <w:sz w:val="21"/>
              </w:rPr>
              <w:t>65,111</w:t>
            </w:r>
          </w:p>
        </w:tc>
      </w:tr>
      <w:tr>
        <w:trPr>
          <w:trHeight w:val="544" w:hRule="atLeast"/>
        </w:trPr>
        <w:tc>
          <w:tcPr>
            <w:tcW w:w="3421" w:type="dxa"/>
          </w:tcPr>
          <w:p>
            <w:pPr>
              <w:pStyle w:val="TableParagraph"/>
              <w:spacing w:before="1"/>
              <w:ind w:left="738"/>
              <w:rPr>
                <w:sz w:val="21"/>
              </w:rPr>
            </w:pPr>
            <w:r>
              <w:rPr>
                <w:sz w:val="21"/>
              </w:rPr>
              <w:t>资产减值损失（损失以</w:t>
            </w:r>
          </w:p>
          <w:p>
            <w:pPr>
              <w:pStyle w:val="TableParagraph"/>
              <w:spacing w:line="252" w:lineRule="exact" w:before="2"/>
              <w:ind w:left="107"/>
              <w:rPr>
                <w:sz w:val="21"/>
              </w:rPr>
            </w:pPr>
            <w:r>
              <w:rPr>
                <w:sz w:val="21"/>
              </w:rPr>
              <w:t>“-”号填列） </w:t>
            </w:r>
          </w:p>
        </w:tc>
        <w:tc>
          <w:tcPr>
            <w:tcW w:w="1479" w:type="dxa"/>
          </w:tcPr>
          <w:p>
            <w:pPr>
              <w:pStyle w:val="TableParagraph"/>
              <w:spacing w:before="1"/>
              <w:ind w:left="104"/>
              <w:rPr>
                <w:sz w:val="21"/>
              </w:rPr>
            </w:pPr>
            <w:r>
              <w:rPr>
                <w:sz w:val="21"/>
              </w:rPr>
              <w:t>七、72 </w:t>
            </w:r>
          </w:p>
        </w:tc>
        <w:tc>
          <w:tcPr>
            <w:tcW w:w="1959" w:type="dxa"/>
          </w:tcPr>
          <w:p>
            <w:pPr>
              <w:pStyle w:val="TableParagraph"/>
              <w:spacing w:before="144"/>
              <w:ind w:right="95"/>
              <w:jc w:val="right"/>
              <w:rPr>
                <w:rFonts w:ascii="Times New Roman"/>
                <w:sz w:val="21"/>
              </w:rPr>
            </w:pPr>
            <w:r>
              <w:rPr>
                <w:rFonts w:ascii="Times New Roman"/>
                <w:sz w:val="21"/>
              </w:rPr>
              <w:t>-1,068,668</w:t>
            </w:r>
          </w:p>
        </w:tc>
        <w:tc>
          <w:tcPr>
            <w:tcW w:w="1967" w:type="dxa"/>
          </w:tcPr>
          <w:p>
            <w:pPr>
              <w:pStyle w:val="TableParagraph"/>
              <w:spacing w:before="144"/>
              <w:ind w:right="98"/>
              <w:jc w:val="right"/>
              <w:rPr>
                <w:rFonts w:ascii="Times New Roman"/>
                <w:sz w:val="21"/>
              </w:rPr>
            </w:pPr>
            <w:r>
              <w:rPr>
                <w:rFonts w:ascii="Times New Roman"/>
                <w:sz w:val="21"/>
              </w:rPr>
              <w:t>-407,573</w:t>
            </w:r>
          </w:p>
        </w:tc>
      </w:tr>
      <w:tr>
        <w:trPr>
          <w:trHeight w:val="544" w:hRule="atLeast"/>
        </w:trPr>
        <w:tc>
          <w:tcPr>
            <w:tcW w:w="3421" w:type="dxa"/>
          </w:tcPr>
          <w:p>
            <w:pPr>
              <w:pStyle w:val="TableParagraph"/>
              <w:spacing w:before="1"/>
              <w:ind w:left="738"/>
              <w:rPr>
                <w:sz w:val="21"/>
              </w:rPr>
            </w:pPr>
            <w:r>
              <w:rPr>
                <w:sz w:val="21"/>
              </w:rPr>
              <w:t>资产处置收益（损失以</w:t>
            </w:r>
          </w:p>
          <w:p>
            <w:pPr>
              <w:pStyle w:val="TableParagraph"/>
              <w:spacing w:line="250" w:lineRule="exact" w:before="4"/>
              <w:ind w:left="107"/>
              <w:rPr>
                <w:sz w:val="21"/>
              </w:rPr>
            </w:pPr>
            <w:r>
              <w:rPr>
                <w:sz w:val="21"/>
              </w:rPr>
              <w:t>“－”号填列） </w:t>
            </w:r>
          </w:p>
        </w:tc>
        <w:tc>
          <w:tcPr>
            <w:tcW w:w="1479" w:type="dxa"/>
          </w:tcPr>
          <w:p>
            <w:pPr>
              <w:pStyle w:val="TableParagraph"/>
              <w:spacing w:before="1"/>
              <w:ind w:left="104"/>
              <w:rPr>
                <w:sz w:val="21"/>
              </w:rPr>
            </w:pPr>
            <w:r>
              <w:rPr>
                <w:sz w:val="21"/>
              </w:rPr>
              <w:t>七、73 </w:t>
            </w:r>
          </w:p>
        </w:tc>
        <w:tc>
          <w:tcPr>
            <w:tcW w:w="1959" w:type="dxa"/>
          </w:tcPr>
          <w:p>
            <w:pPr>
              <w:pStyle w:val="TableParagraph"/>
              <w:spacing w:before="144"/>
              <w:ind w:right="95"/>
              <w:jc w:val="right"/>
              <w:rPr>
                <w:rFonts w:ascii="Times New Roman"/>
                <w:sz w:val="21"/>
              </w:rPr>
            </w:pPr>
            <w:r>
              <w:rPr>
                <w:rFonts w:ascii="Times New Roman"/>
                <w:sz w:val="21"/>
              </w:rPr>
              <w:t>8,825</w:t>
            </w:r>
          </w:p>
        </w:tc>
        <w:tc>
          <w:tcPr>
            <w:tcW w:w="1967" w:type="dxa"/>
          </w:tcPr>
          <w:p>
            <w:pPr>
              <w:pStyle w:val="TableParagraph"/>
              <w:spacing w:before="144"/>
              <w:ind w:right="95"/>
              <w:jc w:val="right"/>
              <w:rPr>
                <w:rFonts w:ascii="Times New Roman"/>
                <w:sz w:val="21"/>
              </w:rPr>
            </w:pPr>
            <w:r>
              <w:rPr>
                <w:rFonts w:ascii="Times New Roman"/>
                <w:sz w:val="21"/>
              </w:rPr>
              <w:t>13,590</w:t>
            </w:r>
          </w:p>
        </w:tc>
      </w:tr>
      <w:tr>
        <w:trPr>
          <w:trHeight w:val="544" w:hRule="atLeast"/>
        </w:trPr>
        <w:tc>
          <w:tcPr>
            <w:tcW w:w="3421" w:type="dxa"/>
          </w:tcPr>
          <w:p>
            <w:pPr>
              <w:pStyle w:val="TableParagraph"/>
              <w:spacing w:before="1"/>
              <w:ind w:left="107"/>
              <w:rPr>
                <w:sz w:val="21"/>
              </w:rPr>
            </w:pPr>
            <w:r>
              <w:rPr>
                <w:sz w:val="21"/>
              </w:rPr>
              <w:t>三、营业利润（亏损以“－”号填</w:t>
            </w:r>
          </w:p>
          <w:p>
            <w:pPr>
              <w:pStyle w:val="TableParagraph"/>
              <w:spacing w:line="250" w:lineRule="exact" w:before="4"/>
              <w:ind w:left="107"/>
              <w:rPr>
                <w:sz w:val="21"/>
              </w:rPr>
            </w:pPr>
            <w:r>
              <w:rPr>
                <w:sz w:val="21"/>
              </w:rPr>
              <w:t>列） </w:t>
            </w:r>
          </w:p>
        </w:tc>
        <w:tc>
          <w:tcPr>
            <w:tcW w:w="1479" w:type="dxa"/>
          </w:tcPr>
          <w:p>
            <w:pPr>
              <w:pStyle w:val="TableParagraph"/>
              <w:spacing w:before="1"/>
              <w:ind w:left="104"/>
              <w:rPr>
                <w:sz w:val="21"/>
              </w:rPr>
            </w:pPr>
            <w:r>
              <w:rPr>
                <w:w w:val="100"/>
                <w:sz w:val="21"/>
              </w:rPr>
              <w:t> </w:t>
            </w:r>
          </w:p>
        </w:tc>
        <w:tc>
          <w:tcPr>
            <w:tcW w:w="1959" w:type="dxa"/>
          </w:tcPr>
          <w:p>
            <w:pPr>
              <w:pStyle w:val="TableParagraph"/>
              <w:spacing w:before="144"/>
              <w:ind w:right="95"/>
              <w:jc w:val="right"/>
              <w:rPr>
                <w:rFonts w:ascii="Times New Roman"/>
                <w:sz w:val="21"/>
              </w:rPr>
            </w:pPr>
            <w:r>
              <w:rPr>
                <w:rFonts w:ascii="Times New Roman"/>
                <w:sz w:val="21"/>
              </w:rPr>
              <w:t>21,872,351</w:t>
            </w:r>
          </w:p>
        </w:tc>
        <w:tc>
          <w:tcPr>
            <w:tcW w:w="1967" w:type="dxa"/>
          </w:tcPr>
          <w:p>
            <w:pPr>
              <w:pStyle w:val="TableParagraph"/>
              <w:spacing w:before="144"/>
              <w:ind w:right="95"/>
              <w:jc w:val="right"/>
              <w:rPr>
                <w:rFonts w:ascii="Times New Roman"/>
                <w:sz w:val="21"/>
              </w:rPr>
            </w:pPr>
            <w:r>
              <w:rPr>
                <w:rFonts w:ascii="Times New Roman"/>
                <w:sz w:val="21"/>
              </w:rPr>
              <w:t>22,397,600</w:t>
            </w:r>
          </w:p>
        </w:tc>
      </w:tr>
      <w:tr>
        <w:trPr>
          <w:trHeight w:val="273" w:hRule="atLeast"/>
        </w:trPr>
        <w:tc>
          <w:tcPr>
            <w:tcW w:w="3421" w:type="dxa"/>
          </w:tcPr>
          <w:p>
            <w:pPr>
              <w:pStyle w:val="TableParagraph"/>
              <w:spacing w:line="252" w:lineRule="exact" w:before="1"/>
              <w:ind w:left="318"/>
              <w:rPr>
                <w:sz w:val="21"/>
              </w:rPr>
            </w:pPr>
            <w:r>
              <w:rPr>
                <w:spacing w:val="-1"/>
                <w:sz w:val="21"/>
              </w:rPr>
              <w:t>加：营业外收入</w:t>
            </w:r>
            <w:r>
              <w:rPr>
                <w:sz w:val="21"/>
              </w:rPr>
              <w:t> </w:t>
            </w:r>
          </w:p>
        </w:tc>
        <w:tc>
          <w:tcPr>
            <w:tcW w:w="1479" w:type="dxa"/>
          </w:tcPr>
          <w:p>
            <w:pPr>
              <w:pStyle w:val="TableParagraph"/>
              <w:spacing w:line="252" w:lineRule="exact" w:before="1"/>
              <w:ind w:left="104"/>
              <w:rPr>
                <w:sz w:val="21"/>
              </w:rPr>
            </w:pPr>
            <w:r>
              <w:rPr>
                <w:sz w:val="21"/>
              </w:rPr>
              <w:t>七、74 </w:t>
            </w:r>
          </w:p>
        </w:tc>
        <w:tc>
          <w:tcPr>
            <w:tcW w:w="1959" w:type="dxa"/>
          </w:tcPr>
          <w:p>
            <w:pPr>
              <w:pStyle w:val="TableParagraph"/>
              <w:spacing w:before="10"/>
              <w:ind w:right="95"/>
              <w:jc w:val="right"/>
              <w:rPr>
                <w:rFonts w:ascii="Times New Roman"/>
                <w:sz w:val="21"/>
              </w:rPr>
            </w:pPr>
            <w:r>
              <w:rPr>
                <w:rFonts w:ascii="Times New Roman"/>
                <w:sz w:val="21"/>
              </w:rPr>
              <w:t>121,232</w:t>
            </w:r>
          </w:p>
        </w:tc>
        <w:tc>
          <w:tcPr>
            <w:tcW w:w="1967" w:type="dxa"/>
          </w:tcPr>
          <w:p>
            <w:pPr>
              <w:pStyle w:val="TableParagraph"/>
              <w:spacing w:before="10"/>
              <w:ind w:right="95"/>
              <w:jc w:val="right"/>
              <w:rPr>
                <w:rFonts w:ascii="Times New Roman"/>
                <w:sz w:val="21"/>
              </w:rPr>
            </w:pPr>
            <w:r>
              <w:rPr>
                <w:rFonts w:ascii="Times New Roman"/>
                <w:sz w:val="21"/>
              </w:rPr>
              <w:t>83,798</w:t>
            </w:r>
          </w:p>
        </w:tc>
      </w:tr>
      <w:tr>
        <w:trPr>
          <w:trHeight w:val="271" w:hRule="atLeast"/>
        </w:trPr>
        <w:tc>
          <w:tcPr>
            <w:tcW w:w="3421" w:type="dxa"/>
          </w:tcPr>
          <w:p>
            <w:pPr>
              <w:pStyle w:val="TableParagraph"/>
              <w:spacing w:line="250" w:lineRule="exact" w:before="1"/>
              <w:ind w:left="318"/>
              <w:rPr>
                <w:sz w:val="21"/>
              </w:rPr>
            </w:pPr>
            <w:r>
              <w:rPr>
                <w:spacing w:val="-1"/>
                <w:sz w:val="21"/>
              </w:rPr>
              <w:t>减：营业外支出</w:t>
            </w:r>
            <w:r>
              <w:rPr>
                <w:sz w:val="21"/>
              </w:rPr>
              <w:t> </w:t>
            </w:r>
          </w:p>
        </w:tc>
        <w:tc>
          <w:tcPr>
            <w:tcW w:w="1479" w:type="dxa"/>
          </w:tcPr>
          <w:p>
            <w:pPr>
              <w:pStyle w:val="TableParagraph"/>
              <w:spacing w:line="250" w:lineRule="exact" w:before="1"/>
              <w:ind w:left="104"/>
              <w:rPr>
                <w:sz w:val="21"/>
              </w:rPr>
            </w:pPr>
            <w:r>
              <w:rPr>
                <w:sz w:val="21"/>
              </w:rPr>
              <w:t>七、75 </w:t>
            </w:r>
          </w:p>
        </w:tc>
        <w:tc>
          <w:tcPr>
            <w:tcW w:w="1959" w:type="dxa"/>
          </w:tcPr>
          <w:p>
            <w:pPr>
              <w:pStyle w:val="TableParagraph"/>
              <w:spacing w:before="8"/>
              <w:ind w:right="97"/>
              <w:jc w:val="right"/>
              <w:rPr>
                <w:rFonts w:ascii="Times New Roman"/>
                <w:sz w:val="21"/>
              </w:rPr>
            </w:pPr>
            <w:r>
              <w:rPr>
                <w:rFonts w:ascii="Times New Roman"/>
                <w:sz w:val="21"/>
              </w:rPr>
              <w:t>-30,581</w:t>
            </w:r>
          </w:p>
        </w:tc>
        <w:tc>
          <w:tcPr>
            <w:tcW w:w="1967" w:type="dxa"/>
          </w:tcPr>
          <w:p>
            <w:pPr>
              <w:pStyle w:val="TableParagraph"/>
              <w:spacing w:before="8"/>
              <w:ind w:right="98"/>
              <w:jc w:val="right"/>
              <w:rPr>
                <w:rFonts w:ascii="Times New Roman"/>
                <w:sz w:val="21"/>
              </w:rPr>
            </w:pPr>
            <w:r>
              <w:rPr>
                <w:rFonts w:ascii="Times New Roman"/>
                <w:sz w:val="21"/>
              </w:rPr>
              <w:t>-163,652</w:t>
            </w:r>
          </w:p>
        </w:tc>
      </w:tr>
      <w:tr>
        <w:trPr>
          <w:trHeight w:val="546" w:hRule="atLeast"/>
        </w:trPr>
        <w:tc>
          <w:tcPr>
            <w:tcW w:w="3421" w:type="dxa"/>
          </w:tcPr>
          <w:p>
            <w:pPr>
              <w:pStyle w:val="TableParagraph"/>
              <w:spacing w:line="270" w:lineRule="atLeast"/>
              <w:ind w:left="107" w:right="147"/>
              <w:rPr>
                <w:sz w:val="21"/>
              </w:rPr>
            </w:pPr>
            <w:r>
              <w:rPr>
                <w:sz w:val="21"/>
              </w:rPr>
              <w:t>四、利润总额（亏损总额以“－”</w:t>
            </w:r>
            <w:r>
              <w:rPr>
                <w:spacing w:val="-102"/>
                <w:sz w:val="21"/>
              </w:rPr>
              <w:t> </w:t>
            </w:r>
            <w:r>
              <w:rPr>
                <w:sz w:val="21"/>
              </w:rPr>
              <w:t>号填列） </w:t>
            </w:r>
          </w:p>
        </w:tc>
        <w:tc>
          <w:tcPr>
            <w:tcW w:w="1479" w:type="dxa"/>
          </w:tcPr>
          <w:p>
            <w:pPr>
              <w:pStyle w:val="TableParagraph"/>
              <w:spacing w:before="3"/>
              <w:ind w:left="104"/>
              <w:rPr>
                <w:sz w:val="21"/>
              </w:rPr>
            </w:pPr>
            <w:r>
              <w:rPr>
                <w:w w:val="100"/>
                <w:sz w:val="21"/>
              </w:rPr>
              <w:t> </w:t>
            </w:r>
          </w:p>
        </w:tc>
        <w:tc>
          <w:tcPr>
            <w:tcW w:w="1959" w:type="dxa"/>
          </w:tcPr>
          <w:p>
            <w:pPr>
              <w:pStyle w:val="TableParagraph"/>
              <w:spacing w:before="147"/>
              <w:ind w:right="95"/>
              <w:jc w:val="right"/>
              <w:rPr>
                <w:rFonts w:ascii="Times New Roman"/>
                <w:sz w:val="21"/>
              </w:rPr>
            </w:pPr>
            <w:r>
              <w:rPr>
                <w:rFonts w:ascii="Times New Roman"/>
                <w:sz w:val="21"/>
              </w:rPr>
              <w:t>21,963,002</w:t>
            </w:r>
          </w:p>
        </w:tc>
        <w:tc>
          <w:tcPr>
            <w:tcW w:w="1967" w:type="dxa"/>
          </w:tcPr>
          <w:p>
            <w:pPr>
              <w:pStyle w:val="TableParagraph"/>
              <w:spacing w:before="147"/>
              <w:ind w:right="95"/>
              <w:jc w:val="right"/>
              <w:rPr>
                <w:rFonts w:ascii="Times New Roman"/>
                <w:sz w:val="21"/>
              </w:rPr>
            </w:pPr>
            <w:r>
              <w:rPr>
                <w:rFonts w:ascii="Times New Roman"/>
                <w:sz w:val="21"/>
              </w:rPr>
              <w:t>22,317,746</w:t>
            </w:r>
          </w:p>
        </w:tc>
      </w:tr>
      <w:tr>
        <w:trPr>
          <w:trHeight w:val="270" w:hRule="atLeast"/>
        </w:trPr>
        <w:tc>
          <w:tcPr>
            <w:tcW w:w="3421" w:type="dxa"/>
          </w:tcPr>
          <w:p>
            <w:pPr>
              <w:pStyle w:val="TableParagraph"/>
              <w:spacing w:line="250" w:lineRule="exact" w:before="1"/>
              <w:ind w:left="318"/>
              <w:rPr>
                <w:sz w:val="21"/>
              </w:rPr>
            </w:pPr>
            <w:r>
              <w:rPr>
                <w:spacing w:val="-1"/>
                <w:sz w:val="21"/>
              </w:rPr>
              <w:t>减：所得税费用</w:t>
            </w:r>
            <w:r>
              <w:rPr>
                <w:sz w:val="21"/>
              </w:rPr>
              <w:t> </w:t>
            </w:r>
          </w:p>
        </w:tc>
        <w:tc>
          <w:tcPr>
            <w:tcW w:w="1479" w:type="dxa"/>
          </w:tcPr>
          <w:p>
            <w:pPr>
              <w:pStyle w:val="TableParagraph"/>
              <w:spacing w:line="250" w:lineRule="exact" w:before="1"/>
              <w:ind w:left="104"/>
              <w:rPr>
                <w:sz w:val="21"/>
              </w:rPr>
            </w:pPr>
            <w:r>
              <w:rPr>
                <w:sz w:val="21"/>
              </w:rPr>
              <w:t>七、76 </w:t>
            </w:r>
          </w:p>
        </w:tc>
        <w:tc>
          <w:tcPr>
            <w:tcW w:w="1959" w:type="dxa"/>
          </w:tcPr>
          <w:p>
            <w:pPr>
              <w:pStyle w:val="TableParagraph"/>
              <w:spacing w:before="7"/>
              <w:ind w:right="95"/>
              <w:jc w:val="right"/>
              <w:rPr>
                <w:rFonts w:ascii="Times New Roman"/>
                <w:sz w:val="21"/>
              </w:rPr>
            </w:pPr>
            <w:r>
              <w:rPr>
                <w:rFonts w:ascii="Times New Roman"/>
                <w:sz w:val="21"/>
              </w:rPr>
              <w:t>-1,879,113</w:t>
            </w:r>
          </w:p>
        </w:tc>
        <w:tc>
          <w:tcPr>
            <w:tcW w:w="1967" w:type="dxa"/>
          </w:tcPr>
          <w:p>
            <w:pPr>
              <w:pStyle w:val="TableParagraph"/>
              <w:spacing w:before="7"/>
              <w:ind w:right="95"/>
              <w:jc w:val="right"/>
              <w:rPr>
                <w:rFonts w:ascii="Times New Roman"/>
                <w:sz w:val="21"/>
              </w:rPr>
            </w:pPr>
            <w:r>
              <w:rPr>
                <w:rFonts w:ascii="Times New Roman"/>
                <w:sz w:val="21"/>
              </w:rPr>
              <w:t>-2,293,010</w:t>
            </w:r>
          </w:p>
        </w:tc>
      </w:tr>
      <w:tr>
        <w:trPr>
          <w:trHeight w:val="544" w:hRule="atLeast"/>
        </w:trPr>
        <w:tc>
          <w:tcPr>
            <w:tcW w:w="3421" w:type="dxa"/>
          </w:tcPr>
          <w:p>
            <w:pPr>
              <w:pStyle w:val="TableParagraph"/>
              <w:spacing w:before="1"/>
              <w:ind w:left="107"/>
              <w:rPr>
                <w:sz w:val="21"/>
              </w:rPr>
            </w:pPr>
            <w:r>
              <w:rPr>
                <w:spacing w:val="-1"/>
                <w:sz w:val="21"/>
              </w:rPr>
              <w:t>五、净利润</w:t>
            </w:r>
            <w:r>
              <w:rPr>
                <w:sz w:val="21"/>
              </w:rPr>
              <w:t>（净亏损以“－”号填</w:t>
            </w:r>
          </w:p>
          <w:p>
            <w:pPr>
              <w:pStyle w:val="TableParagraph"/>
              <w:spacing w:line="250" w:lineRule="exact" w:before="4"/>
              <w:ind w:left="107"/>
              <w:rPr>
                <w:sz w:val="21"/>
              </w:rPr>
            </w:pPr>
            <w:r>
              <w:rPr>
                <w:sz w:val="21"/>
              </w:rPr>
              <w:t>列） </w:t>
            </w:r>
          </w:p>
        </w:tc>
        <w:tc>
          <w:tcPr>
            <w:tcW w:w="1479" w:type="dxa"/>
          </w:tcPr>
          <w:p>
            <w:pPr>
              <w:pStyle w:val="TableParagraph"/>
              <w:spacing w:before="1"/>
              <w:ind w:left="104"/>
              <w:rPr>
                <w:sz w:val="21"/>
              </w:rPr>
            </w:pPr>
            <w:r>
              <w:rPr>
                <w:w w:val="100"/>
                <w:sz w:val="21"/>
              </w:rPr>
              <w:t> </w:t>
            </w:r>
          </w:p>
        </w:tc>
        <w:tc>
          <w:tcPr>
            <w:tcW w:w="1959" w:type="dxa"/>
          </w:tcPr>
          <w:p>
            <w:pPr>
              <w:pStyle w:val="TableParagraph"/>
              <w:spacing w:before="147"/>
              <w:ind w:right="95"/>
              <w:jc w:val="right"/>
              <w:rPr>
                <w:rFonts w:ascii="Times New Roman"/>
                <w:sz w:val="21"/>
              </w:rPr>
            </w:pPr>
            <w:r>
              <w:rPr>
                <w:rFonts w:ascii="Times New Roman"/>
                <w:sz w:val="21"/>
              </w:rPr>
              <w:t>20,083,889</w:t>
            </w:r>
          </w:p>
        </w:tc>
        <w:tc>
          <w:tcPr>
            <w:tcW w:w="1967" w:type="dxa"/>
          </w:tcPr>
          <w:p>
            <w:pPr>
              <w:pStyle w:val="TableParagraph"/>
              <w:spacing w:before="147"/>
              <w:ind w:right="95"/>
              <w:jc w:val="right"/>
              <w:rPr>
                <w:rFonts w:ascii="Times New Roman"/>
                <w:sz w:val="21"/>
              </w:rPr>
            </w:pPr>
            <w:r>
              <w:rPr>
                <w:rFonts w:ascii="Times New Roman"/>
                <w:sz w:val="21"/>
              </w:rPr>
              <w:t>20,024,736</w:t>
            </w:r>
          </w:p>
        </w:tc>
      </w:tr>
      <w:tr>
        <w:trPr>
          <w:trHeight w:val="273" w:hRule="atLeast"/>
        </w:trPr>
        <w:tc>
          <w:tcPr>
            <w:tcW w:w="8826" w:type="dxa"/>
            <w:gridSpan w:val="4"/>
          </w:tcPr>
          <w:p>
            <w:pPr>
              <w:pStyle w:val="TableParagraph"/>
              <w:spacing w:line="250" w:lineRule="exact" w:before="3"/>
              <w:ind w:left="107"/>
              <w:rPr>
                <w:sz w:val="21"/>
              </w:rPr>
            </w:pPr>
            <w:r>
              <w:rPr>
                <w:sz w:val="21"/>
              </w:rPr>
              <w:t>（一）按经营持续性分类 </w:t>
            </w:r>
          </w:p>
        </w:tc>
      </w:tr>
      <w:tr>
        <w:trPr>
          <w:trHeight w:val="544" w:hRule="atLeast"/>
        </w:trPr>
        <w:tc>
          <w:tcPr>
            <w:tcW w:w="3421" w:type="dxa"/>
          </w:tcPr>
          <w:p>
            <w:pPr>
              <w:pStyle w:val="TableParagraph"/>
              <w:spacing w:before="1"/>
              <w:ind w:left="527"/>
              <w:rPr>
                <w:sz w:val="21"/>
              </w:rPr>
            </w:pPr>
            <w:r>
              <w:rPr>
                <w:sz w:val="21"/>
              </w:rPr>
              <w:t>1.持续经营净利润（净亏损以</w:t>
            </w:r>
          </w:p>
          <w:p>
            <w:pPr>
              <w:pStyle w:val="TableParagraph"/>
              <w:spacing w:line="250" w:lineRule="exact" w:before="4"/>
              <w:ind w:left="107"/>
              <w:rPr>
                <w:sz w:val="21"/>
              </w:rPr>
            </w:pPr>
            <w:r>
              <w:rPr>
                <w:sz w:val="21"/>
              </w:rPr>
              <w:t>“－”号填列） </w:t>
            </w:r>
          </w:p>
        </w:tc>
        <w:tc>
          <w:tcPr>
            <w:tcW w:w="1479" w:type="dxa"/>
          </w:tcPr>
          <w:p>
            <w:pPr>
              <w:pStyle w:val="TableParagraph"/>
              <w:spacing w:before="1"/>
              <w:ind w:left="104"/>
              <w:rPr>
                <w:sz w:val="21"/>
              </w:rPr>
            </w:pPr>
            <w:r>
              <w:rPr>
                <w:w w:val="100"/>
                <w:sz w:val="21"/>
              </w:rPr>
              <w:t> </w:t>
            </w:r>
          </w:p>
        </w:tc>
        <w:tc>
          <w:tcPr>
            <w:tcW w:w="1959" w:type="dxa"/>
          </w:tcPr>
          <w:p>
            <w:pPr>
              <w:pStyle w:val="TableParagraph"/>
              <w:spacing w:before="144"/>
              <w:ind w:right="95"/>
              <w:jc w:val="right"/>
              <w:rPr>
                <w:rFonts w:ascii="Times New Roman"/>
                <w:sz w:val="21"/>
              </w:rPr>
            </w:pPr>
            <w:r>
              <w:rPr>
                <w:rFonts w:ascii="Times New Roman"/>
                <w:sz w:val="21"/>
              </w:rPr>
              <w:t>20,083,889</w:t>
            </w:r>
          </w:p>
        </w:tc>
        <w:tc>
          <w:tcPr>
            <w:tcW w:w="1967" w:type="dxa"/>
          </w:tcPr>
          <w:p>
            <w:pPr>
              <w:pStyle w:val="TableParagraph"/>
              <w:spacing w:before="144"/>
              <w:ind w:right="95"/>
              <w:jc w:val="right"/>
              <w:rPr>
                <w:rFonts w:ascii="Times New Roman"/>
                <w:sz w:val="21"/>
              </w:rPr>
            </w:pPr>
            <w:r>
              <w:rPr>
                <w:rFonts w:ascii="Times New Roman"/>
                <w:sz w:val="21"/>
              </w:rPr>
              <w:t>20,024,736</w:t>
            </w:r>
          </w:p>
        </w:tc>
      </w:tr>
      <w:tr>
        <w:trPr>
          <w:trHeight w:val="544" w:hRule="atLeast"/>
        </w:trPr>
        <w:tc>
          <w:tcPr>
            <w:tcW w:w="3421" w:type="dxa"/>
          </w:tcPr>
          <w:p>
            <w:pPr>
              <w:pStyle w:val="TableParagraph"/>
              <w:spacing w:before="1"/>
              <w:ind w:left="527"/>
              <w:rPr>
                <w:sz w:val="21"/>
              </w:rPr>
            </w:pPr>
            <w:r>
              <w:rPr>
                <w:sz w:val="21"/>
              </w:rPr>
              <w:t>2.终止经营净利润（净亏损以</w:t>
            </w:r>
          </w:p>
          <w:p>
            <w:pPr>
              <w:pStyle w:val="TableParagraph"/>
              <w:spacing w:line="250" w:lineRule="exact" w:before="4"/>
              <w:ind w:left="107"/>
              <w:rPr>
                <w:sz w:val="21"/>
              </w:rPr>
            </w:pPr>
            <w:r>
              <w:rPr>
                <w:sz w:val="21"/>
              </w:rPr>
              <w:t>“－”号填列）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8826" w:type="dxa"/>
            <w:gridSpan w:val="4"/>
          </w:tcPr>
          <w:p>
            <w:pPr>
              <w:pStyle w:val="TableParagraph"/>
              <w:spacing w:line="252" w:lineRule="exact" w:before="1"/>
              <w:ind w:left="107"/>
              <w:rPr>
                <w:sz w:val="21"/>
              </w:rPr>
            </w:pPr>
            <w:r>
              <w:rPr>
                <w:sz w:val="21"/>
              </w:rPr>
              <w:t>（二）按所有权归属分类 </w:t>
            </w:r>
          </w:p>
        </w:tc>
      </w:tr>
      <w:tr>
        <w:trPr>
          <w:trHeight w:val="544" w:hRule="atLeast"/>
        </w:trPr>
        <w:tc>
          <w:tcPr>
            <w:tcW w:w="3421" w:type="dxa"/>
          </w:tcPr>
          <w:p>
            <w:pPr>
              <w:pStyle w:val="TableParagraph"/>
              <w:spacing w:before="1"/>
              <w:ind w:left="527"/>
              <w:rPr>
                <w:sz w:val="21"/>
              </w:rPr>
            </w:pPr>
            <w:r>
              <w:rPr>
                <w:sz w:val="21"/>
              </w:rPr>
              <w:t>1.归属于母公司股东的净利润</w:t>
            </w:r>
          </w:p>
          <w:p>
            <w:pPr>
              <w:pStyle w:val="TableParagraph"/>
              <w:spacing w:line="250" w:lineRule="exact" w:before="5"/>
              <w:ind w:left="107"/>
              <w:rPr>
                <w:sz w:val="21"/>
              </w:rPr>
            </w:pPr>
            <w:r>
              <w:rPr>
                <w:sz w:val="21"/>
              </w:rPr>
              <w:t>（净亏损以“-”号填列） </w:t>
            </w:r>
          </w:p>
        </w:tc>
        <w:tc>
          <w:tcPr>
            <w:tcW w:w="1479" w:type="dxa"/>
          </w:tcPr>
          <w:p>
            <w:pPr>
              <w:pStyle w:val="TableParagraph"/>
              <w:spacing w:before="1"/>
              <w:ind w:left="104"/>
              <w:rPr>
                <w:sz w:val="21"/>
              </w:rPr>
            </w:pPr>
            <w:r>
              <w:rPr>
                <w:w w:val="100"/>
                <w:sz w:val="21"/>
              </w:rPr>
              <w:t> </w:t>
            </w:r>
          </w:p>
        </w:tc>
        <w:tc>
          <w:tcPr>
            <w:tcW w:w="1959" w:type="dxa"/>
          </w:tcPr>
          <w:p>
            <w:pPr>
              <w:pStyle w:val="TableParagraph"/>
              <w:spacing w:before="145"/>
              <w:ind w:right="95"/>
              <w:jc w:val="right"/>
              <w:rPr>
                <w:rFonts w:ascii="Times New Roman"/>
                <w:sz w:val="21"/>
              </w:rPr>
            </w:pPr>
            <w:r>
              <w:rPr>
                <w:rFonts w:ascii="Times New Roman"/>
                <w:sz w:val="21"/>
              </w:rPr>
              <w:t>20,073,072</w:t>
            </w:r>
          </w:p>
        </w:tc>
        <w:tc>
          <w:tcPr>
            <w:tcW w:w="1967" w:type="dxa"/>
          </w:tcPr>
          <w:p>
            <w:pPr>
              <w:pStyle w:val="TableParagraph"/>
              <w:spacing w:before="145"/>
              <w:ind w:right="95"/>
              <w:jc w:val="right"/>
              <w:rPr>
                <w:rFonts w:ascii="Times New Roman"/>
                <w:sz w:val="21"/>
              </w:rPr>
            </w:pPr>
            <w:r>
              <w:rPr>
                <w:rFonts w:ascii="Times New Roman"/>
                <w:sz w:val="21"/>
              </w:rPr>
              <w:t>20,009,751</w:t>
            </w:r>
          </w:p>
        </w:tc>
      </w:tr>
      <w:tr>
        <w:trPr>
          <w:trHeight w:val="544" w:hRule="atLeast"/>
        </w:trPr>
        <w:tc>
          <w:tcPr>
            <w:tcW w:w="3421" w:type="dxa"/>
          </w:tcPr>
          <w:p>
            <w:pPr>
              <w:pStyle w:val="TableParagraph"/>
              <w:spacing w:before="1"/>
              <w:ind w:left="527"/>
              <w:rPr>
                <w:sz w:val="21"/>
              </w:rPr>
            </w:pPr>
            <w:r>
              <w:rPr>
                <w:sz w:val="21"/>
              </w:rPr>
              <w:t>2.少数股东损益（净亏损以</w:t>
            </w:r>
          </w:p>
          <w:p>
            <w:pPr>
              <w:pStyle w:val="TableParagraph"/>
              <w:spacing w:line="250" w:lineRule="exact" w:before="4"/>
              <w:ind w:left="107"/>
              <w:rPr>
                <w:sz w:val="21"/>
              </w:rPr>
            </w:pPr>
            <w:r>
              <w:rPr>
                <w:sz w:val="21"/>
              </w:rPr>
              <w:t>“-”号填列） </w:t>
            </w:r>
          </w:p>
        </w:tc>
        <w:tc>
          <w:tcPr>
            <w:tcW w:w="1479" w:type="dxa"/>
          </w:tcPr>
          <w:p>
            <w:pPr>
              <w:pStyle w:val="TableParagraph"/>
              <w:spacing w:before="1"/>
              <w:ind w:left="104"/>
              <w:rPr>
                <w:sz w:val="21"/>
              </w:rPr>
            </w:pPr>
            <w:r>
              <w:rPr>
                <w:w w:val="100"/>
                <w:sz w:val="21"/>
              </w:rPr>
              <w:t> </w:t>
            </w:r>
          </w:p>
        </w:tc>
        <w:tc>
          <w:tcPr>
            <w:tcW w:w="1959" w:type="dxa"/>
          </w:tcPr>
          <w:p>
            <w:pPr>
              <w:pStyle w:val="TableParagraph"/>
              <w:spacing w:before="144"/>
              <w:ind w:right="95"/>
              <w:jc w:val="right"/>
              <w:rPr>
                <w:rFonts w:ascii="Times New Roman"/>
                <w:sz w:val="21"/>
              </w:rPr>
            </w:pPr>
            <w:r>
              <w:rPr>
                <w:rFonts w:ascii="Times New Roman"/>
                <w:sz w:val="21"/>
              </w:rPr>
              <w:t>10,817</w:t>
            </w:r>
          </w:p>
        </w:tc>
        <w:tc>
          <w:tcPr>
            <w:tcW w:w="1967" w:type="dxa"/>
          </w:tcPr>
          <w:p>
            <w:pPr>
              <w:pStyle w:val="TableParagraph"/>
              <w:spacing w:before="144"/>
              <w:ind w:right="95"/>
              <w:jc w:val="right"/>
              <w:rPr>
                <w:rFonts w:ascii="Times New Roman"/>
                <w:sz w:val="21"/>
              </w:rPr>
            </w:pPr>
            <w:r>
              <w:rPr>
                <w:rFonts w:ascii="Times New Roman"/>
                <w:sz w:val="21"/>
              </w:rPr>
              <w:t>14,985</w:t>
            </w:r>
          </w:p>
        </w:tc>
      </w:tr>
      <w:tr>
        <w:trPr>
          <w:trHeight w:val="273" w:hRule="atLeast"/>
        </w:trPr>
        <w:tc>
          <w:tcPr>
            <w:tcW w:w="3421" w:type="dxa"/>
          </w:tcPr>
          <w:p>
            <w:pPr>
              <w:pStyle w:val="TableParagraph"/>
              <w:spacing w:line="252" w:lineRule="exact" w:before="1"/>
              <w:ind w:left="107"/>
              <w:rPr>
                <w:sz w:val="21"/>
              </w:rPr>
            </w:pPr>
            <w:r>
              <w:rPr>
                <w:spacing w:val="-1"/>
                <w:sz w:val="21"/>
              </w:rPr>
              <w:t>六、其他综合收益的税后净额</w:t>
            </w:r>
            <w:r>
              <w:rPr>
                <w:sz w:val="21"/>
              </w:rPr>
              <w:t> </w:t>
            </w:r>
          </w:p>
        </w:tc>
        <w:tc>
          <w:tcPr>
            <w:tcW w:w="1479" w:type="dxa"/>
          </w:tcPr>
          <w:p>
            <w:pPr>
              <w:pStyle w:val="TableParagraph"/>
              <w:spacing w:line="252" w:lineRule="exact" w:before="1"/>
              <w:ind w:left="104"/>
              <w:rPr>
                <w:sz w:val="21"/>
              </w:rPr>
            </w:pPr>
            <w:r>
              <w:rPr>
                <w:sz w:val="21"/>
              </w:rPr>
              <w:t>七、77 </w:t>
            </w:r>
          </w:p>
        </w:tc>
        <w:tc>
          <w:tcPr>
            <w:tcW w:w="1959" w:type="dxa"/>
          </w:tcPr>
          <w:p>
            <w:pPr>
              <w:pStyle w:val="TableParagraph"/>
              <w:spacing w:before="10"/>
              <w:ind w:right="95"/>
              <w:jc w:val="right"/>
              <w:rPr>
                <w:rFonts w:ascii="Times New Roman"/>
                <w:sz w:val="21"/>
              </w:rPr>
            </w:pPr>
            <w:r>
              <w:rPr>
                <w:rFonts w:ascii="Times New Roman"/>
                <w:sz w:val="21"/>
              </w:rPr>
              <w:t>1,106,340</w:t>
            </w:r>
          </w:p>
        </w:tc>
        <w:tc>
          <w:tcPr>
            <w:tcW w:w="1967" w:type="dxa"/>
          </w:tcPr>
          <w:p>
            <w:pPr>
              <w:pStyle w:val="TableParagraph"/>
              <w:spacing w:before="10"/>
              <w:ind w:right="98"/>
              <w:jc w:val="right"/>
              <w:rPr>
                <w:rFonts w:ascii="Times New Roman"/>
                <w:sz w:val="21"/>
              </w:rPr>
            </w:pPr>
            <w:r>
              <w:rPr>
                <w:rFonts w:ascii="Times New Roman"/>
                <w:sz w:val="21"/>
              </w:rPr>
              <w:t>-442,464</w:t>
            </w:r>
          </w:p>
        </w:tc>
      </w:tr>
      <w:tr>
        <w:trPr>
          <w:trHeight w:val="544" w:hRule="atLeast"/>
        </w:trPr>
        <w:tc>
          <w:tcPr>
            <w:tcW w:w="3421" w:type="dxa"/>
          </w:tcPr>
          <w:p>
            <w:pPr>
              <w:pStyle w:val="TableParagraph"/>
              <w:spacing w:before="1"/>
              <w:ind w:left="318"/>
              <w:rPr>
                <w:sz w:val="21"/>
              </w:rPr>
            </w:pPr>
            <w:r>
              <w:rPr>
                <w:sz w:val="21"/>
              </w:rPr>
              <w:t>（一）归属母公司所有者的其他</w:t>
            </w:r>
          </w:p>
          <w:p>
            <w:pPr>
              <w:pStyle w:val="TableParagraph"/>
              <w:spacing w:line="252" w:lineRule="exact" w:before="2"/>
              <w:ind w:left="107"/>
              <w:rPr>
                <w:sz w:val="21"/>
              </w:rPr>
            </w:pPr>
            <w:r>
              <w:rPr>
                <w:spacing w:val="-1"/>
                <w:sz w:val="21"/>
              </w:rPr>
              <w:t>综合收益的税后净额</w:t>
            </w:r>
            <w:r>
              <w:rPr>
                <w:sz w:val="21"/>
              </w:rPr>
              <w:t> </w:t>
            </w:r>
          </w:p>
        </w:tc>
        <w:tc>
          <w:tcPr>
            <w:tcW w:w="1479" w:type="dxa"/>
          </w:tcPr>
          <w:p>
            <w:pPr>
              <w:pStyle w:val="TableParagraph"/>
              <w:spacing w:before="1"/>
              <w:ind w:left="104"/>
              <w:rPr>
                <w:sz w:val="21"/>
              </w:rPr>
            </w:pPr>
            <w:r>
              <w:rPr>
                <w:w w:val="100"/>
                <w:sz w:val="21"/>
              </w:rPr>
              <w:t> </w:t>
            </w:r>
          </w:p>
        </w:tc>
        <w:tc>
          <w:tcPr>
            <w:tcW w:w="1959" w:type="dxa"/>
          </w:tcPr>
          <w:p>
            <w:pPr>
              <w:pStyle w:val="TableParagraph"/>
              <w:spacing w:before="144"/>
              <w:ind w:right="95"/>
              <w:jc w:val="right"/>
              <w:rPr>
                <w:rFonts w:ascii="Times New Roman"/>
                <w:sz w:val="21"/>
              </w:rPr>
            </w:pPr>
            <w:r>
              <w:rPr>
                <w:rFonts w:ascii="Times New Roman"/>
                <w:sz w:val="21"/>
              </w:rPr>
              <w:t>1,106,340</w:t>
            </w:r>
          </w:p>
        </w:tc>
        <w:tc>
          <w:tcPr>
            <w:tcW w:w="1967" w:type="dxa"/>
          </w:tcPr>
          <w:p>
            <w:pPr>
              <w:pStyle w:val="TableParagraph"/>
              <w:spacing w:before="144"/>
              <w:ind w:right="98"/>
              <w:jc w:val="right"/>
              <w:rPr>
                <w:rFonts w:ascii="Times New Roman"/>
                <w:sz w:val="21"/>
              </w:rPr>
            </w:pPr>
            <w:r>
              <w:rPr>
                <w:rFonts w:ascii="Times New Roman"/>
                <w:sz w:val="21"/>
              </w:rPr>
              <w:t>-442,464</w:t>
            </w:r>
          </w:p>
        </w:tc>
      </w:tr>
      <w:tr>
        <w:trPr>
          <w:trHeight w:val="544" w:hRule="atLeast"/>
        </w:trPr>
        <w:tc>
          <w:tcPr>
            <w:tcW w:w="3421" w:type="dxa"/>
          </w:tcPr>
          <w:p>
            <w:pPr>
              <w:pStyle w:val="TableParagraph"/>
              <w:spacing w:before="1"/>
              <w:ind w:left="527"/>
              <w:rPr>
                <w:sz w:val="21"/>
              </w:rPr>
            </w:pPr>
            <w:r>
              <w:rPr>
                <w:sz w:val="21"/>
              </w:rPr>
              <w:t>1．不能重分类进损益的其他</w:t>
            </w:r>
          </w:p>
          <w:p>
            <w:pPr>
              <w:pStyle w:val="TableParagraph"/>
              <w:spacing w:line="250" w:lineRule="exact" w:before="4"/>
              <w:ind w:left="107"/>
              <w:rPr>
                <w:sz w:val="21"/>
              </w:rPr>
            </w:pPr>
            <w:r>
              <w:rPr>
                <w:spacing w:val="-1"/>
                <w:sz w:val="21"/>
              </w:rPr>
              <w:t>综合收益</w:t>
            </w:r>
            <w:r>
              <w:rPr>
                <w:sz w:val="21"/>
              </w:rPr>
              <w:t>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318"/>
              <w:rPr>
                <w:sz w:val="21"/>
              </w:rPr>
            </w:pPr>
            <w:r>
              <w:rPr>
                <w:sz w:val="21"/>
              </w:rPr>
              <w:t>（1）重新计量设定受益计划变</w:t>
            </w:r>
          </w:p>
          <w:p>
            <w:pPr>
              <w:pStyle w:val="TableParagraph"/>
              <w:spacing w:line="250" w:lineRule="exact" w:before="4"/>
              <w:ind w:left="107"/>
              <w:rPr>
                <w:sz w:val="21"/>
              </w:rPr>
            </w:pPr>
            <w:r>
              <w:rPr>
                <w:sz w:val="21"/>
              </w:rPr>
              <w:t>动额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318"/>
              <w:rPr>
                <w:sz w:val="21"/>
              </w:rPr>
            </w:pPr>
            <w:r>
              <w:rPr>
                <w:sz w:val="21"/>
              </w:rPr>
              <w:t>（2）权益法下不能转损益的其</w:t>
            </w:r>
          </w:p>
          <w:p>
            <w:pPr>
              <w:pStyle w:val="TableParagraph"/>
              <w:spacing w:line="250" w:lineRule="exact" w:before="4"/>
              <w:ind w:left="107"/>
              <w:rPr>
                <w:sz w:val="21"/>
              </w:rPr>
            </w:pPr>
            <w:r>
              <w:rPr>
                <w:sz w:val="21"/>
              </w:rPr>
              <w:t>他综合收益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5" w:hRule="atLeast"/>
        </w:trPr>
        <w:tc>
          <w:tcPr>
            <w:tcW w:w="3421" w:type="dxa"/>
          </w:tcPr>
          <w:p>
            <w:pPr>
              <w:pStyle w:val="TableParagraph"/>
              <w:spacing w:before="1"/>
              <w:ind w:left="318"/>
              <w:rPr>
                <w:sz w:val="21"/>
              </w:rPr>
            </w:pPr>
            <w:r>
              <w:rPr>
                <w:sz w:val="21"/>
              </w:rPr>
              <w:t>（3）其他权益工具投资公允价</w:t>
            </w:r>
          </w:p>
          <w:p>
            <w:pPr>
              <w:pStyle w:val="TableParagraph"/>
              <w:spacing w:line="250" w:lineRule="exact" w:before="5"/>
              <w:ind w:left="107"/>
              <w:rPr>
                <w:sz w:val="21"/>
              </w:rPr>
            </w:pPr>
            <w:r>
              <w:rPr>
                <w:sz w:val="21"/>
              </w:rPr>
              <w:t>值变动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line="270" w:lineRule="atLeast"/>
              <w:ind w:left="107" w:right="252" w:firstLine="211"/>
              <w:rPr>
                <w:sz w:val="21"/>
              </w:rPr>
            </w:pPr>
            <w:r>
              <w:rPr>
                <w:spacing w:val="-1"/>
                <w:sz w:val="21"/>
              </w:rPr>
              <w:t>（4）</w:t>
            </w:r>
            <w:r>
              <w:rPr>
                <w:sz w:val="21"/>
              </w:rPr>
              <w:t>企业自身信用风险公允价值变动 </w:t>
            </w:r>
          </w:p>
        </w:tc>
        <w:tc>
          <w:tcPr>
            <w:tcW w:w="1479" w:type="dxa"/>
          </w:tcPr>
          <w:p>
            <w:pPr>
              <w:pStyle w:val="TableParagraph"/>
              <w:spacing w:before="3"/>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6" w:hRule="atLeast"/>
        </w:trPr>
        <w:tc>
          <w:tcPr>
            <w:tcW w:w="3421" w:type="dxa"/>
          </w:tcPr>
          <w:p>
            <w:pPr>
              <w:pStyle w:val="TableParagraph"/>
              <w:spacing w:line="270" w:lineRule="atLeast"/>
              <w:ind w:left="107" w:right="255" w:firstLine="419"/>
              <w:rPr>
                <w:sz w:val="21"/>
              </w:rPr>
            </w:pPr>
            <w:r>
              <w:rPr>
                <w:spacing w:val="-1"/>
                <w:sz w:val="21"/>
              </w:rPr>
              <w:t>2．</w:t>
            </w:r>
            <w:r>
              <w:rPr>
                <w:sz w:val="21"/>
              </w:rPr>
              <w:t>将重分类进损益的其他综合收益 </w:t>
            </w:r>
          </w:p>
        </w:tc>
        <w:tc>
          <w:tcPr>
            <w:tcW w:w="1479" w:type="dxa"/>
          </w:tcPr>
          <w:p>
            <w:pPr>
              <w:pStyle w:val="TableParagraph"/>
              <w:spacing w:before="3"/>
              <w:ind w:left="104"/>
              <w:rPr>
                <w:sz w:val="21"/>
              </w:rPr>
            </w:pPr>
            <w:r>
              <w:rPr>
                <w:w w:val="100"/>
                <w:sz w:val="21"/>
              </w:rPr>
              <w:t> </w:t>
            </w:r>
          </w:p>
        </w:tc>
        <w:tc>
          <w:tcPr>
            <w:tcW w:w="1959" w:type="dxa"/>
          </w:tcPr>
          <w:p>
            <w:pPr>
              <w:pStyle w:val="TableParagraph"/>
              <w:spacing w:before="147"/>
              <w:ind w:right="95"/>
              <w:jc w:val="right"/>
              <w:rPr>
                <w:rFonts w:ascii="Times New Roman"/>
                <w:sz w:val="21"/>
              </w:rPr>
            </w:pPr>
            <w:r>
              <w:rPr>
                <w:rFonts w:ascii="Times New Roman"/>
                <w:sz w:val="21"/>
              </w:rPr>
              <w:t>1,106,340</w:t>
            </w:r>
          </w:p>
        </w:tc>
        <w:tc>
          <w:tcPr>
            <w:tcW w:w="1967" w:type="dxa"/>
          </w:tcPr>
          <w:p>
            <w:pPr>
              <w:pStyle w:val="TableParagraph"/>
              <w:spacing w:before="147"/>
              <w:ind w:right="98"/>
              <w:jc w:val="right"/>
              <w:rPr>
                <w:rFonts w:ascii="Times New Roman"/>
                <w:sz w:val="21"/>
              </w:rPr>
            </w:pPr>
            <w:r>
              <w:rPr>
                <w:rFonts w:ascii="Times New Roman"/>
                <w:sz w:val="21"/>
              </w:rPr>
              <w:t>-442,464</w:t>
            </w:r>
          </w:p>
        </w:tc>
      </w:tr>
      <w:tr>
        <w:trPr>
          <w:trHeight w:val="544" w:hRule="atLeast"/>
        </w:trPr>
        <w:tc>
          <w:tcPr>
            <w:tcW w:w="3421" w:type="dxa"/>
          </w:tcPr>
          <w:p>
            <w:pPr>
              <w:pStyle w:val="TableParagraph"/>
              <w:spacing w:before="1"/>
              <w:ind w:left="318"/>
              <w:rPr>
                <w:sz w:val="21"/>
              </w:rPr>
            </w:pPr>
            <w:r>
              <w:rPr>
                <w:sz w:val="21"/>
              </w:rPr>
              <w:t>（1）权益法下可转损益的其他</w:t>
            </w:r>
          </w:p>
          <w:p>
            <w:pPr>
              <w:pStyle w:val="TableParagraph"/>
              <w:spacing w:line="252" w:lineRule="exact" w:before="2"/>
              <w:ind w:left="107"/>
              <w:rPr>
                <w:sz w:val="21"/>
              </w:rPr>
            </w:pPr>
            <w:r>
              <w:rPr>
                <w:spacing w:val="-1"/>
                <w:sz w:val="21"/>
              </w:rPr>
              <w:t>综合收益</w:t>
            </w:r>
            <w:r>
              <w:rPr>
                <w:sz w:val="21"/>
              </w:rPr>
              <w:t> </w:t>
            </w:r>
          </w:p>
        </w:tc>
        <w:tc>
          <w:tcPr>
            <w:tcW w:w="1479" w:type="dxa"/>
          </w:tcPr>
          <w:p>
            <w:pPr>
              <w:pStyle w:val="TableParagraph"/>
              <w:spacing w:before="1"/>
              <w:ind w:left="104"/>
              <w:rPr>
                <w:sz w:val="21"/>
              </w:rPr>
            </w:pPr>
            <w:r>
              <w:rPr>
                <w:w w:val="100"/>
                <w:sz w:val="21"/>
              </w:rPr>
              <w:t> </w:t>
            </w:r>
          </w:p>
        </w:tc>
        <w:tc>
          <w:tcPr>
            <w:tcW w:w="1959" w:type="dxa"/>
          </w:tcPr>
          <w:p>
            <w:pPr>
              <w:pStyle w:val="TableParagraph"/>
              <w:spacing w:before="144"/>
              <w:ind w:right="95"/>
              <w:jc w:val="right"/>
              <w:rPr>
                <w:rFonts w:ascii="Times New Roman"/>
                <w:sz w:val="21"/>
              </w:rPr>
            </w:pPr>
            <w:r>
              <w:rPr>
                <w:rFonts w:ascii="Times New Roman"/>
                <w:sz w:val="21"/>
              </w:rPr>
              <w:t>2,690</w:t>
            </w:r>
          </w:p>
        </w:tc>
        <w:tc>
          <w:tcPr>
            <w:tcW w:w="1967" w:type="dxa"/>
          </w:tcPr>
          <w:p>
            <w:pPr>
              <w:pStyle w:val="TableParagraph"/>
              <w:spacing w:before="144"/>
              <w:ind w:right="98"/>
              <w:jc w:val="right"/>
              <w:rPr>
                <w:rFonts w:ascii="Times New Roman"/>
                <w:sz w:val="21"/>
              </w:rPr>
            </w:pPr>
            <w:r>
              <w:rPr>
                <w:rFonts w:ascii="Times New Roman"/>
                <w:sz w:val="21"/>
              </w:rPr>
              <w:t>-656</w:t>
            </w:r>
          </w:p>
        </w:tc>
      </w:tr>
      <w:tr>
        <w:trPr>
          <w:trHeight w:val="544" w:hRule="atLeast"/>
        </w:trPr>
        <w:tc>
          <w:tcPr>
            <w:tcW w:w="3421" w:type="dxa"/>
          </w:tcPr>
          <w:p>
            <w:pPr>
              <w:pStyle w:val="TableParagraph"/>
              <w:spacing w:before="1"/>
              <w:ind w:left="318"/>
              <w:rPr>
                <w:sz w:val="21"/>
              </w:rPr>
            </w:pPr>
            <w:r>
              <w:rPr>
                <w:sz w:val="21"/>
              </w:rPr>
              <w:t>（2）其他债权投资公允价值变</w:t>
            </w:r>
          </w:p>
          <w:p>
            <w:pPr>
              <w:pStyle w:val="TableParagraph"/>
              <w:spacing w:line="252" w:lineRule="exact" w:before="2"/>
              <w:ind w:left="107"/>
              <w:rPr>
                <w:sz w:val="21"/>
              </w:rPr>
            </w:pPr>
            <w:r>
              <w:rPr>
                <w:sz w:val="21"/>
              </w:rPr>
              <w:t>动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bl>
    <w:p>
      <w:pPr>
        <w:spacing w:after="0"/>
        <w:rPr>
          <w:rFonts w:ascii="Times New Roman"/>
          <w:sz w:val="20"/>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1"/>
        <w:gridCol w:w="1479"/>
        <w:gridCol w:w="1959"/>
        <w:gridCol w:w="1967"/>
      </w:tblGrid>
      <w:tr>
        <w:trPr>
          <w:trHeight w:val="547" w:hRule="atLeast"/>
        </w:trPr>
        <w:tc>
          <w:tcPr>
            <w:tcW w:w="3421" w:type="dxa"/>
          </w:tcPr>
          <w:p>
            <w:pPr>
              <w:pStyle w:val="TableParagraph"/>
              <w:spacing w:line="270" w:lineRule="atLeast"/>
              <w:ind w:left="107" w:right="252" w:firstLine="211"/>
              <w:rPr>
                <w:sz w:val="21"/>
              </w:rPr>
            </w:pPr>
            <w:r>
              <w:rPr>
                <w:spacing w:val="-1"/>
                <w:sz w:val="21"/>
              </w:rPr>
              <w:t>（3）</w:t>
            </w:r>
            <w:r>
              <w:rPr>
                <w:sz w:val="21"/>
              </w:rPr>
              <w:t>金融资产重分类计入其他综合收益的金额 </w:t>
            </w:r>
          </w:p>
        </w:tc>
        <w:tc>
          <w:tcPr>
            <w:tcW w:w="1479" w:type="dxa"/>
          </w:tcPr>
          <w:p>
            <w:pPr>
              <w:pStyle w:val="TableParagraph"/>
              <w:spacing w:before="3"/>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318"/>
              <w:rPr>
                <w:sz w:val="21"/>
              </w:rPr>
            </w:pPr>
            <w:r>
              <w:rPr>
                <w:sz w:val="21"/>
              </w:rPr>
              <w:t>（4）其他债权投资信用减值准</w:t>
            </w:r>
          </w:p>
          <w:p>
            <w:pPr>
              <w:pStyle w:val="TableParagraph"/>
              <w:spacing w:line="252" w:lineRule="exact" w:before="2"/>
              <w:ind w:left="107"/>
              <w:rPr>
                <w:sz w:val="21"/>
              </w:rPr>
            </w:pPr>
            <w:r>
              <w:rPr>
                <w:sz w:val="21"/>
              </w:rPr>
              <w:t>备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0" w:hRule="atLeast"/>
        </w:trPr>
        <w:tc>
          <w:tcPr>
            <w:tcW w:w="3421" w:type="dxa"/>
          </w:tcPr>
          <w:p>
            <w:pPr>
              <w:pStyle w:val="TableParagraph"/>
              <w:spacing w:line="250" w:lineRule="exact" w:before="1"/>
              <w:ind w:left="318"/>
              <w:rPr>
                <w:sz w:val="21"/>
              </w:rPr>
            </w:pPr>
            <w:r>
              <w:rPr>
                <w:sz w:val="21"/>
              </w:rPr>
              <w:t>（5）现金流量套期储备 </w:t>
            </w:r>
          </w:p>
        </w:tc>
        <w:tc>
          <w:tcPr>
            <w:tcW w:w="1479" w:type="dxa"/>
          </w:tcPr>
          <w:p>
            <w:pPr>
              <w:pStyle w:val="TableParagraph"/>
              <w:spacing w:line="250" w:lineRule="exact" w:before="1"/>
              <w:ind w:left="104"/>
              <w:rPr>
                <w:sz w:val="21"/>
              </w:rPr>
            </w:pPr>
            <w:r>
              <w:rPr>
                <w:w w:val="100"/>
                <w:sz w:val="21"/>
              </w:rPr>
              <w:t> </w:t>
            </w:r>
          </w:p>
        </w:tc>
        <w:tc>
          <w:tcPr>
            <w:tcW w:w="1959" w:type="dxa"/>
          </w:tcPr>
          <w:p>
            <w:pPr>
              <w:pStyle w:val="TableParagraph"/>
              <w:spacing w:before="7"/>
              <w:ind w:right="97"/>
              <w:jc w:val="right"/>
              <w:rPr>
                <w:rFonts w:ascii="Times New Roman"/>
                <w:sz w:val="21"/>
              </w:rPr>
            </w:pPr>
            <w:r>
              <w:rPr>
                <w:rFonts w:ascii="Times New Roman"/>
                <w:sz w:val="21"/>
              </w:rPr>
              <w:t>-5,359</w:t>
            </w:r>
          </w:p>
        </w:tc>
        <w:tc>
          <w:tcPr>
            <w:tcW w:w="1967" w:type="dxa"/>
          </w:tcPr>
          <w:p>
            <w:pPr>
              <w:pStyle w:val="TableParagraph"/>
              <w:spacing w:before="7"/>
              <w:ind w:right="95"/>
              <w:jc w:val="right"/>
              <w:rPr>
                <w:rFonts w:ascii="Times New Roman"/>
                <w:sz w:val="21"/>
              </w:rPr>
            </w:pPr>
            <w:r>
              <w:rPr>
                <w:rFonts w:ascii="Times New Roman"/>
                <w:sz w:val="21"/>
              </w:rPr>
              <w:t>5,359</w:t>
            </w:r>
          </w:p>
        </w:tc>
      </w:tr>
      <w:tr>
        <w:trPr>
          <w:trHeight w:val="273" w:hRule="atLeast"/>
        </w:trPr>
        <w:tc>
          <w:tcPr>
            <w:tcW w:w="3421" w:type="dxa"/>
          </w:tcPr>
          <w:p>
            <w:pPr>
              <w:pStyle w:val="TableParagraph"/>
              <w:spacing w:line="252" w:lineRule="exact" w:before="1"/>
              <w:ind w:right="358"/>
              <w:jc w:val="right"/>
              <w:rPr>
                <w:sz w:val="21"/>
              </w:rPr>
            </w:pPr>
            <w:r>
              <w:rPr>
                <w:sz w:val="21"/>
              </w:rPr>
              <w:t>（6）外币财务报表折算差额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spacing w:before="10"/>
              <w:ind w:right="95"/>
              <w:jc w:val="right"/>
              <w:rPr>
                <w:rFonts w:ascii="Times New Roman"/>
                <w:sz w:val="21"/>
              </w:rPr>
            </w:pPr>
            <w:r>
              <w:rPr>
                <w:rFonts w:ascii="Times New Roman"/>
                <w:sz w:val="21"/>
              </w:rPr>
              <w:t>1,148,742</w:t>
            </w:r>
          </w:p>
        </w:tc>
        <w:tc>
          <w:tcPr>
            <w:tcW w:w="1967" w:type="dxa"/>
          </w:tcPr>
          <w:p>
            <w:pPr>
              <w:pStyle w:val="TableParagraph"/>
              <w:spacing w:before="10"/>
              <w:ind w:right="98"/>
              <w:jc w:val="right"/>
              <w:rPr>
                <w:rFonts w:ascii="Times New Roman"/>
                <w:sz w:val="21"/>
              </w:rPr>
            </w:pPr>
            <w:r>
              <w:rPr>
                <w:rFonts w:ascii="Times New Roman"/>
                <w:sz w:val="21"/>
              </w:rPr>
              <w:t>-486,900</w:t>
            </w:r>
          </w:p>
        </w:tc>
      </w:tr>
      <w:tr>
        <w:trPr>
          <w:trHeight w:val="273" w:hRule="atLeast"/>
        </w:trPr>
        <w:tc>
          <w:tcPr>
            <w:tcW w:w="3421" w:type="dxa"/>
          </w:tcPr>
          <w:p>
            <w:pPr>
              <w:pStyle w:val="TableParagraph"/>
              <w:spacing w:line="252" w:lineRule="exact" w:before="1"/>
              <w:ind w:left="318"/>
              <w:rPr>
                <w:sz w:val="21"/>
              </w:rPr>
            </w:pPr>
            <w:r>
              <w:rPr>
                <w:sz w:val="21"/>
              </w:rPr>
              <w:t>（7）其他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spacing w:before="10"/>
              <w:ind w:right="97"/>
              <w:jc w:val="right"/>
              <w:rPr>
                <w:rFonts w:ascii="Times New Roman"/>
                <w:sz w:val="21"/>
              </w:rPr>
            </w:pPr>
            <w:r>
              <w:rPr>
                <w:rFonts w:ascii="Times New Roman"/>
                <w:sz w:val="21"/>
              </w:rPr>
              <w:t>-39,733</w:t>
            </w:r>
          </w:p>
        </w:tc>
        <w:tc>
          <w:tcPr>
            <w:tcW w:w="1967" w:type="dxa"/>
          </w:tcPr>
          <w:p>
            <w:pPr>
              <w:pStyle w:val="TableParagraph"/>
              <w:spacing w:before="10"/>
              <w:ind w:right="95"/>
              <w:jc w:val="right"/>
              <w:rPr>
                <w:rFonts w:ascii="Times New Roman"/>
                <w:sz w:val="21"/>
              </w:rPr>
            </w:pPr>
            <w:r>
              <w:rPr>
                <w:rFonts w:ascii="Times New Roman"/>
                <w:sz w:val="21"/>
              </w:rPr>
              <w:t>39,733</w:t>
            </w:r>
          </w:p>
        </w:tc>
      </w:tr>
      <w:tr>
        <w:trPr>
          <w:trHeight w:val="544" w:hRule="atLeast"/>
        </w:trPr>
        <w:tc>
          <w:tcPr>
            <w:tcW w:w="3421" w:type="dxa"/>
          </w:tcPr>
          <w:p>
            <w:pPr>
              <w:pStyle w:val="TableParagraph"/>
              <w:spacing w:before="1"/>
              <w:ind w:left="318"/>
              <w:rPr>
                <w:sz w:val="21"/>
              </w:rPr>
            </w:pPr>
            <w:r>
              <w:rPr>
                <w:sz w:val="21"/>
              </w:rPr>
              <w:t>（二）归属于少数股东的其他综</w:t>
            </w:r>
          </w:p>
          <w:p>
            <w:pPr>
              <w:pStyle w:val="TableParagraph"/>
              <w:spacing w:line="252" w:lineRule="exact" w:before="2"/>
              <w:ind w:left="107"/>
              <w:rPr>
                <w:sz w:val="21"/>
              </w:rPr>
            </w:pPr>
            <w:r>
              <w:rPr>
                <w:spacing w:val="-1"/>
                <w:sz w:val="21"/>
              </w:rPr>
              <w:t>合收益的税后净额</w:t>
            </w:r>
            <w:r>
              <w:rPr>
                <w:sz w:val="21"/>
              </w:rPr>
              <w:t>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0" w:hRule="atLeast"/>
        </w:trPr>
        <w:tc>
          <w:tcPr>
            <w:tcW w:w="3421" w:type="dxa"/>
          </w:tcPr>
          <w:p>
            <w:pPr>
              <w:pStyle w:val="TableParagraph"/>
              <w:spacing w:line="250" w:lineRule="exact" w:before="1"/>
              <w:ind w:left="107"/>
              <w:rPr>
                <w:sz w:val="21"/>
              </w:rPr>
            </w:pPr>
            <w:r>
              <w:rPr>
                <w:spacing w:val="-1"/>
                <w:sz w:val="21"/>
              </w:rPr>
              <w:t>七、综合收益总额</w:t>
            </w:r>
            <w:r>
              <w:rPr>
                <w:sz w:val="21"/>
              </w:rPr>
              <w:t> </w:t>
            </w:r>
          </w:p>
        </w:tc>
        <w:tc>
          <w:tcPr>
            <w:tcW w:w="1479" w:type="dxa"/>
          </w:tcPr>
          <w:p>
            <w:pPr>
              <w:pStyle w:val="TableParagraph"/>
              <w:spacing w:line="250" w:lineRule="exact" w:before="1"/>
              <w:ind w:left="104"/>
              <w:rPr>
                <w:sz w:val="21"/>
              </w:rPr>
            </w:pPr>
            <w:r>
              <w:rPr>
                <w:w w:val="100"/>
                <w:sz w:val="21"/>
              </w:rPr>
              <w:t> </w:t>
            </w:r>
          </w:p>
        </w:tc>
        <w:tc>
          <w:tcPr>
            <w:tcW w:w="1959" w:type="dxa"/>
          </w:tcPr>
          <w:p>
            <w:pPr>
              <w:pStyle w:val="TableParagraph"/>
              <w:spacing w:before="7"/>
              <w:ind w:right="95"/>
              <w:jc w:val="right"/>
              <w:rPr>
                <w:rFonts w:ascii="Times New Roman"/>
                <w:sz w:val="21"/>
              </w:rPr>
            </w:pPr>
            <w:r>
              <w:rPr>
                <w:rFonts w:ascii="Times New Roman"/>
                <w:sz w:val="21"/>
              </w:rPr>
              <w:t>21,190,229</w:t>
            </w:r>
          </w:p>
        </w:tc>
        <w:tc>
          <w:tcPr>
            <w:tcW w:w="1967" w:type="dxa"/>
          </w:tcPr>
          <w:p>
            <w:pPr>
              <w:pStyle w:val="TableParagraph"/>
              <w:spacing w:before="7"/>
              <w:ind w:right="95"/>
              <w:jc w:val="right"/>
              <w:rPr>
                <w:rFonts w:ascii="Times New Roman"/>
                <w:sz w:val="21"/>
              </w:rPr>
            </w:pPr>
            <w:r>
              <w:rPr>
                <w:rFonts w:ascii="Times New Roman"/>
                <w:sz w:val="21"/>
              </w:rPr>
              <w:t>19,582,272</w:t>
            </w:r>
          </w:p>
        </w:tc>
      </w:tr>
      <w:tr>
        <w:trPr>
          <w:trHeight w:val="544" w:hRule="atLeast"/>
        </w:trPr>
        <w:tc>
          <w:tcPr>
            <w:tcW w:w="3421" w:type="dxa"/>
          </w:tcPr>
          <w:p>
            <w:pPr>
              <w:pStyle w:val="TableParagraph"/>
              <w:spacing w:line="270" w:lineRule="atLeast"/>
              <w:ind w:left="107" w:right="144" w:firstLine="211"/>
              <w:rPr>
                <w:sz w:val="21"/>
              </w:rPr>
            </w:pPr>
            <w:r>
              <w:rPr>
                <w:sz w:val="21"/>
              </w:rPr>
              <w:t>（一）归属于母公司所有者的综合收益总额 </w:t>
            </w:r>
          </w:p>
        </w:tc>
        <w:tc>
          <w:tcPr>
            <w:tcW w:w="1479" w:type="dxa"/>
          </w:tcPr>
          <w:p>
            <w:pPr>
              <w:pStyle w:val="TableParagraph"/>
              <w:spacing w:before="3"/>
              <w:ind w:left="104"/>
              <w:rPr>
                <w:sz w:val="21"/>
              </w:rPr>
            </w:pPr>
            <w:r>
              <w:rPr>
                <w:w w:val="100"/>
                <w:sz w:val="21"/>
              </w:rPr>
              <w:t> </w:t>
            </w:r>
          </w:p>
        </w:tc>
        <w:tc>
          <w:tcPr>
            <w:tcW w:w="1959" w:type="dxa"/>
          </w:tcPr>
          <w:p>
            <w:pPr>
              <w:pStyle w:val="TableParagraph"/>
              <w:spacing w:before="147"/>
              <w:ind w:right="95"/>
              <w:jc w:val="right"/>
              <w:rPr>
                <w:rFonts w:ascii="Times New Roman"/>
                <w:sz w:val="21"/>
              </w:rPr>
            </w:pPr>
            <w:r>
              <w:rPr>
                <w:rFonts w:ascii="Times New Roman"/>
                <w:sz w:val="21"/>
              </w:rPr>
              <w:t>21,179,412</w:t>
            </w:r>
          </w:p>
        </w:tc>
        <w:tc>
          <w:tcPr>
            <w:tcW w:w="1967" w:type="dxa"/>
          </w:tcPr>
          <w:p>
            <w:pPr>
              <w:pStyle w:val="TableParagraph"/>
              <w:spacing w:before="147"/>
              <w:ind w:right="95"/>
              <w:jc w:val="right"/>
              <w:rPr>
                <w:rFonts w:ascii="Times New Roman"/>
                <w:sz w:val="21"/>
              </w:rPr>
            </w:pPr>
            <w:r>
              <w:rPr>
                <w:rFonts w:ascii="Times New Roman"/>
                <w:sz w:val="21"/>
              </w:rPr>
              <w:t>19,567,287</w:t>
            </w:r>
          </w:p>
        </w:tc>
      </w:tr>
      <w:tr>
        <w:trPr>
          <w:trHeight w:val="547" w:hRule="atLeast"/>
        </w:trPr>
        <w:tc>
          <w:tcPr>
            <w:tcW w:w="3421" w:type="dxa"/>
          </w:tcPr>
          <w:p>
            <w:pPr>
              <w:pStyle w:val="TableParagraph"/>
              <w:spacing w:line="270" w:lineRule="atLeast"/>
              <w:ind w:left="107" w:right="144" w:firstLine="211"/>
              <w:rPr>
                <w:sz w:val="21"/>
              </w:rPr>
            </w:pPr>
            <w:r>
              <w:rPr>
                <w:sz w:val="21"/>
              </w:rPr>
              <w:t>（二）归属于少数股东的综合收益总额 </w:t>
            </w:r>
          </w:p>
        </w:tc>
        <w:tc>
          <w:tcPr>
            <w:tcW w:w="1479" w:type="dxa"/>
          </w:tcPr>
          <w:p>
            <w:pPr>
              <w:pStyle w:val="TableParagraph"/>
              <w:spacing w:before="3"/>
              <w:ind w:left="104"/>
              <w:rPr>
                <w:sz w:val="21"/>
              </w:rPr>
            </w:pPr>
            <w:r>
              <w:rPr>
                <w:w w:val="100"/>
                <w:sz w:val="21"/>
              </w:rPr>
              <w:t> </w:t>
            </w:r>
          </w:p>
        </w:tc>
        <w:tc>
          <w:tcPr>
            <w:tcW w:w="1959" w:type="dxa"/>
          </w:tcPr>
          <w:p>
            <w:pPr>
              <w:pStyle w:val="TableParagraph"/>
              <w:spacing w:before="147"/>
              <w:ind w:right="95"/>
              <w:jc w:val="right"/>
              <w:rPr>
                <w:rFonts w:ascii="Times New Roman"/>
                <w:sz w:val="21"/>
              </w:rPr>
            </w:pPr>
            <w:r>
              <w:rPr>
                <w:rFonts w:ascii="Times New Roman"/>
                <w:sz w:val="21"/>
              </w:rPr>
              <w:t>10,817</w:t>
            </w:r>
          </w:p>
        </w:tc>
        <w:tc>
          <w:tcPr>
            <w:tcW w:w="1967" w:type="dxa"/>
          </w:tcPr>
          <w:p>
            <w:pPr>
              <w:pStyle w:val="TableParagraph"/>
              <w:spacing w:before="147"/>
              <w:ind w:right="95"/>
              <w:jc w:val="right"/>
              <w:rPr>
                <w:rFonts w:ascii="Times New Roman"/>
                <w:sz w:val="21"/>
              </w:rPr>
            </w:pPr>
            <w:r>
              <w:rPr>
                <w:rFonts w:ascii="Times New Roman"/>
                <w:sz w:val="21"/>
              </w:rPr>
              <w:t>14,985</w:t>
            </w:r>
          </w:p>
        </w:tc>
      </w:tr>
      <w:tr>
        <w:trPr>
          <w:trHeight w:val="270" w:hRule="atLeast"/>
        </w:trPr>
        <w:tc>
          <w:tcPr>
            <w:tcW w:w="8826" w:type="dxa"/>
            <w:gridSpan w:val="4"/>
          </w:tcPr>
          <w:p>
            <w:pPr>
              <w:pStyle w:val="TableParagraph"/>
              <w:spacing w:line="250" w:lineRule="exact" w:before="1"/>
              <w:ind w:left="107"/>
              <w:rPr>
                <w:sz w:val="21"/>
              </w:rPr>
            </w:pPr>
            <w:r>
              <w:rPr>
                <w:spacing w:val="-1"/>
                <w:sz w:val="21"/>
              </w:rPr>
              <w:t>八、每股收益：</w:t>
            </w:r>
            <w:r>
              <w:rPr>
                <w:color w:val="008000"/>
                <w:sz w:val="21"/>
              </w:rPr>
              <w:t> </w:t>
            </w:r>
          </w:p>
        </w:tc>
      </w:tr>
      <w:tr>
        <w:trPr>
          <w:trHeight w:val="273" w:hRule="atLeast"/>
        </w:trPr>
        <w:tc>
          <w:tcPr>
            <w:tcW w:w="3421" w:type="dxa"/>
          </w:tcPr>
          <w:p>
            <w:pPr>
              <w:pStyle w:val="TableParagraph"/>
              <w:spacing w:line="252" w:lineRule="exact" w:before="1"/>
              <w:ind w:right="358"/>
              <w:jc w:val="right"/>
              <w:rPr>
                <w:sz w:val="21"/>
              </w:rPr>
            </w:pPr>
            <w:r>
              <w:rPr>
                <w:sz w:val="21"/>
              </w:rPr>
              <w:t>（一）基本每股收益(元/股)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spacing w:before="10"/>
              <w:ind w:right="95"/>
              <w:jc w:val="right"/>
              <w:rPr>
                <w:rFonts w:ascii="Times New Roman"/>
                <w:sz w:val="21"/>
              </w:rPr>
            </w:pPr>
            <w:r>
              <w:rPr>
                <w:rFonts w:ascii="Times New Roman"/>
                <w:sz w:val="21"/>
              </w:rPr>
              <w:t>1.02</w:t>
            </w:r>
          </w:p>
        </w:tc>
        <w:tc>
          <w:tcPr>
            <w:tcW w:w="1967" w:type="dxa"/>
          </w:tcPr>
          <w:p>
            <w:pPr>
              <w:pStyle w:val="TableParagraph"/>
              <w:spacing w:before="10"/>
              <w:ind w:right="95"/>
              <w:jc w:val="right"/>
              <w:rPr>
                <w:rFonts w:ascii="Times New Roman"/>
                <w:sz w:val="21"/>
              </w:rPr>
            </w:pPr>
            <w:r>
              <w:rPr>
                <w:rFonts w:ascii="Times New Roman"/>
                <w:sz w:val="21"/>
              </w:rPr>
              <w:t>1.01</w:t>
            </w:r>
          </w:p>
        </w:tc>
      </w:tr>
      <w:tr>
        <w:trPr>
          <w:trHeight w:val="273" w:hRule="atLeast"/>
        </w:trPr>
        <w:tc>
          <w:tcPr>
            <w:tcW w:w="3421" w:type="dxa"/>
          </w:tcPr>
          <w:p>
            <w:pPr>
              <w:pStyle w:val="TableParagraph"/>
              <w:spacing w:line="252" w:lineRule="exact" w:before="1"/>
              <w:ind w:right="358"/>
              <w:jc w:val="right"/>
              <w:rPr>
                <w:sz w:val="21"/>
              </w:rPr>
            </w:pPr>
            <w:r>
              <w:rPr>
                <w:sz w:val="21"/>
              </w:rPr>
              <w:t>（二）稀释每股收益(元/股)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spacing w:before="7"/>
              <w:ind w:right="95"/>
              <w:jc w:val="right"/>
              <w:rPr>
                <w:rFonts w:ascii="Times New Roman"/>
                <w:sz w:val="21"/>
              </w:rPr>
            </w:pPr>
            <w:r>
              <w:rPr>
                <w:rFonts w:ascii="Times New Roman"/>
                <w:sz w:val="21"/>
              </w:rPr>
              <w:t>1.02</w:t>
            </w:r>
          </w:p>
        </w:tc>
        <w:tc>
          <w:tcPr>
            <w:tcW w:w="1967" w:type="dxa"/>
          </w:tcPr>
          <w:p>
            <w:pPr>
              <w:pStyle w:val="TableParagraph"/>
              <w:spacing w:before="7"/>
              <w:ind w:right="95"/>
              <w:jc w:val="right"/>
              <w:rPr>
                <w:rFonts w:ascii="Times New Roman"/>
                <w:sz w:val="21"/>
              </w:rPr>
            </w:pPr>
            <w:r>
              <w:rPr>
                <w:rFonts w:ascii="Times New Roman"/>
                <w:sz w:val="21"/>
              </w:rPr>
              <w:t>1.01</w:t>
            </w:r>
          </w:p>
        </w:tc>
      </w:tr>
    </w:tbl>
    <w:p>
      <w:pPr>
        <w:pStyle w:val="BodyText"/>
        <w:spacing w:before="1"/>
      </w:pPr>
      <w:r>
        <w:rPr>
          <w:w w:val="100"/>
        </w:rPr>
        <w:t> </w:t>
      </w:r>
    </w:p>
    <w:p>
      <w:pPr>
        <w:pStyle w:val="BodyText"/>
        <w:spacing w:line="244" w:lineRule="auto" w:before="2"/>
        <w:ind w:right="1279"/>
      </w:pPr>
      <w:r>
        <w:rPr/>
        <w:t>本期发生同一控制下企业合并的，被合并方在合并前实现的净利润为：0</w:t>
      </w:r>
      <w:r>
        <w:rPr>
          <w:spacing w:val="-3"/>
        </w:rPr>
        <w:t> 元, 上期被合并方实现</w:t>
      </w:r>
      <w:r>
        <w:rPr/>
        <w:t>的净利润为： 0 元。</w:t>
      </w:r>
      <w:r>
        <w:rPr>
          <w:color w:val="FF0000"/>
        </w:rPr>
        <w:t> </w:t>
      </w:r>
    </w:p>
    <w:p>
      <w:pPr>
        <w:pStyle w:val="BodyText"/>
        <w:spacing w:line="265" w:lineRule="exact"/>
      </w:pPr>
      <w:r>
        <w:rPr>
          <w:spacing w:val="-2"/>
        </w:rPr>
        <w:t>公司负责人：李军旗 主管会计工作负责人：郭俊宏 会计机构负责人：黄昭期</w:t>
      </w:r>
      <w:r>
        <w:rPr/>
        <w:t> </w:t>
      </w:r>
    </w:p>
    <w:p>
      <w:pPr>
        <w:pStyle w:val="BodyText"/>
        <w:spacing w:before="5"/>
      </w:pPr>
      <w:r>
        <w:rPr>
          <w:color w:val="FF0000"/>
          <w:w w:val="100"/>
        </w:rPr>
        <w:t> </w:t>
      </w:r>
    </w:p>
    <w:p>
      <w:pPr>
        <w:pStyle w:val="BodyText"/>
        <w:spacing w:line="297" w:lineRule="auto" w:before="62"/>
        <w:ind w:left="3973" w:right="4823" w:hanging="106"/>
        <w:jc w:val="center"/>
      </w:pPr>
      <w:r>
        <w:rPr/>
        <w:t>母公司利润表</w:t>
      </w:r>
      <w:r>
        <w:rPr>
          <w:spacing w:val="1"/>
        </w:rPr>
        <w:t> </w:t>
      </w:r>
      <w:r>
        <w:rPr/>
        <w:t>2022</w:t>
      </w:r>
      <w:r>
        <w:rPr>
          <w:spacing w:val="-36"/>
        </w:rPr>
        <w:t> 年 </w:t>
      </w:r>
      <w:r>
        <w:rPr/>
        <w:t>1—12</w:t>
      </w:r>
      <w:r>
        <w:rPr>
          <w:spacing w:val="-28"/>
        </w:rPr>
        <w:t> 月</w:t>
      </w:r>
      <w:r>
        <w:rPr/>
        <w:t> </w:t>
      </w:r>
    </w:p>
    <w:p>
      <w:pPr>
        <w:pStyle w:val="BodyText"/>
        <w:spacing w:line="207" w:lineRule="exact"/>
        <w:ind w:left="6675" w:right="1005"/>
        <w:jc w:val="center"/>
      </w:pPr>
      <w:r>
        <w:rPr>
          <w:spacing w:val="7"/>
        </w:rPr>
        <w:t>单位:千元 币种:人民币</w:t>
      </w:r>
      <w:r>
        <w:rPr>
          <w:color w:val="FF0000"/>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1"/>
        <w:gridCol w:w="1479"/>
        <w:gridCol w:w="1959"/>
        <w:gridCol w:w="1967"/>
      </w:tblGrid>
      <w:tr>
        <w:trPr>
          <w:trHeight w:val="273" w:hRule="atLeast"/>
        </w:trPr>
        <w:tc>
          <w:tcPr>
            <w:tcW w:w="3421" w:type="dxa"/>
          </w:tcPr>
          <w:p>
            <w:pPr>
              <w:pStyle w:val="TableParagraph"/>
              <w:spacing w:line="250" w:lineRule="exact" w:before="3"/>
              <w:ind w:left="1512" w:right="1439"/>
              <w:jc w:val="center"/>
              <w:rPr>
                <w:sz w:val="21"/>
              </w:rPr>
            </w:pPr>
            <w:r>
              <w:rPr>
                <w:sz w:val="21"/>
              </w:rPr>
              <w:t>项目 </w:t>
            </w:r>
          </w:p>
        </w:tc>
        <w:tc>
          <w:tcPr>
            <w:tcW w:w="1479" w:type="dxa"/>
          </w:tcPr>
          <w:p>
            <w:pPr>
              <w:pStyle w:val="TableParagraph"/>
              <w:spacing w:line="250" w:lineRule="exact" w:before="3"/>
              <w:ind w:left="524"/>
              <w:rPr>
                <w:sz w:val="21"/>
              </w:rPr>
            </w:pPr>
            <w:r>
              <w:rPr>
                <w:sz w:val="21"/>
              </w:rPr>
              <w:t>附注 </w:t>
            </w:r>
          </w:p>
        </w:tc>
        <w:tc>
          <w:tcPr>
            <w:tcW w:w="1959" w:type="dxa"/>
          </w:tcPr>
          <w:p>
            <w:pPr>
              <w:pStyle w:val="TableParagraph"/>
              <w:spacing w:line="250" w:lineRule="exact" w:before="3"/>
              <w:ind w:left="529"/>
              <w:rPr>
                <w:sz w:val="21"/>
              </w:rPr>
            </w:pPr>
            <w:r>
              <w:rPr>
                <w:sz w:val="21"/>
              </w:rPr>
              <w:t>2022</w:t>
            </w:r>
            <w:r>
              <w:rPr>
                <w:spacing w:val="-18"/>
                <w:sz w:val="21"/>
              </w:rPr>
              <w:t> 年度 </w:t>
            </w:r>
          </w:p>
        </w:tc>
        <w:tc>
          <w:tcPr>
            <w:tcW w:w="1967" w:type="dxa"/>
          </w:tcPr>
          <w:p>
            <w:pPr>
              <w:pStyle w:val="TableParagraph"/>
              <w:spacing w:line="250" w:lineRule="exact" w:before="3"/>
              <w:ind w:left="531"/>
              <w:rPr>
                <w:sz w:val="21"/>
              </w:rPr>
            </w:pPr>
            <w:r>
              <w:rPr>
                <w:sz w:val="21"/>
              </w:rPr>
              <w:t>2021</w:t>
            </w:r>
            <w:r>
              <w:rPr>
                <w:spacing w:val="-18"/>
                <w:sz w:val="21"/>
              </w:rPr>
              <w:t> 年度 </w:t>
            </w:r>
          </w:p>
        </w:tc>
      </w:tr>
      <w:tr>
        <w:trPr>
          <w:trHeight w:val="273" w:hRule="atLeast"/>
        </w:trPr>
        <w:tc>
          <w:tcPr>
            <w:tcW w:w="3421" w:type="dxa"/>
          </w:tcPr>
          <w:p>
            <w:pPr>
              <w:pStyle w:val="TableParagraph"/>
              <w:spacing w:line="252" w:lineRule="exact" w:before="1"/>
              <w:ind w:left="88"/>
              <w:rPr>
                <w:sz w:val="21"/>
              </w:rPr>
            </w:pPr>
            <w:r>
              <w:rPr>
                <w:spacing w:val="-1"/>
                <w:sz w:val="21"/>
              </w:rPr>
              <w:t>一、营业收入</w:t>
            </w:r>
            <w:r>
              <w:rPr>
                <w:sz w:val="21"/>
              </w:rPr>
              <w:t> </w:t>
            </w:r>
          </w:p>
        </w:tc>
        <w:tc>
          <w:tcPr>
            <w:tcW w:w="1479" w:type="dxa"/>
          </w:tcPr>
          <w:p>
            <w:pPr>
              <w:pStyle w:val="TableParagraph"/>
              <w:spacing w:line="252" w:lineRule="exact" w:before="1"/>
              <w:ind w:left="104"/>
              <w:rPr>
                <w:sz w:val="21"/>
              </w:rPr>
            </w:pPr>
            <w:r>
              <w:rPr>
                <w:spacing w:val="-1"/>
                <w:sz w:val="21"/>
              </w:rPr>
              <w:t>十七、</w:t>
            </w:r>
            <w:r>
              <w:rPr>
                <w:sz w:val="21"/>
              </w:rPr>
              <w:t>4 </w:t>
            </w:r>
          </w:p>
        </w:tc>
        <w:tc>
          <w:tcPr>
            <w:tcW w:w="1959" w:type="dxa"/>
          </w:tcPr>
          <w:p>
            <w:pPr>
              <w:pStyle w:val="TableParagraph"/>
              <w:spacing w:before="10"/>
              <w:ind w:right="95"/>
              <w:jc w:val="right"/>
              <w:rPr>
                <w:rFonts w:ascii="Times New Roman"/>
                <w:sz w:val="21"/>
              </w:rPr>
            </w:pPr>
            <w:r>
              <w:rPr>
                <w:rFonts w:ascii="Times New Roman"/>
                <w:sz w:val="21"/>
              </w:rPr>
              <w:t>169,430</w:t>
            </w:r>
          </w:p>
        </w:tc>
        <w:tc>
          <w:tcPr>
            <w:tcW w:w="1967" w:type="dxa"/>
          </w:tcPr>
          <w:p>
            <w:pPr>
              <w:pStyle w:val="TableParagraph"/>
              <w:spacing w:before="10"/>
              <w:ind w:right="95"/>
              <w:jc w:val="right"/>
              <w:rPr>
                <w:rFonts w:ascii="Times New Roman"/>
                <w:sz w:val="21"/>
              </w:rPr>
            </w:pPr>
            <w:r>
              <w:rPr>
                <w:rFonts w:ascii="Times New Roman"/>
                <w:sz w:val="21"/>
              </w:rPr>
              <w:t>126,955</w:t>
            </w:r>
          </w:p>
        </w:tc>
      </w:tr>
      <w:tr>
        <w:trPr>
          <w:trHeight w:val="270" w:hRule="atLeast"/>
        </w:trPr>
        <w:tc>
          <w:tcPr>
            <w:tcW w:w="3421" w:type="dxa"/>
          </w:tcPr>
          <w:p>
            <w:pPr>
              <w:pStyle w:val="TableParagraph"/>
              <w:spacing w:line="250" w:lineRule="exact" w:before="1"/>
              <w:ind w:left="318"/>
              <w:rPr>
                <w:sz w:val="21"/>
              </w:rPr>
            </w:pPr>
            <w:r>
              <w:rPr>
                <w:spacing w:val="-1"/>
                <w:sz w:val="21"/>
              </w:rPr>
              <w:t>减：营业成本</w:t>
            </w:r>
            <w:r>
              <w:rPr>
                <w:sz w:val="21"/>
              </w:rPr>
              <w:t> </w:t>
            </w:r>
          </w:p>
        </w:tc>
        <w:tc>
          <w:tcPr>
            <w:tcW w:w="1479" w:type="dxa"/>
          </w:tcPr>
          <w:p>
            <w:pPr>
              <w:pStyle w:val="TableParagraph"/>
              <w:spacing w:line="250" w:lineRule="exact" w:before="1"/>
              <w:ind w:left="104"/>
              <w:rPr>
                <w:sz w:val="21"/>
              </w:rPr>
            </w:pPr>
            <w:r>
              <w:rPr>
                <w:spacing w:val="-1"/>
                <w:sz w:val="21"/>
              </w:rPr>
              <w:t>十七、</w:t>
            </w:r>
            <w:r>
              <w:rPr>
                <w:sz w:val="21"/>
              </w:rPr>
              <w:t>4 </w:t>
            </w:r>
          </w:p>
        </w:tc>
        <w:tc>
          <w:tcPr>
            <w:tcW w:w="1959" w:type="dxa"/>
          </w:tcPr>
          <w:p>
            <w:pPr>
              <w:pStyle w:val="TableParagraph"/>
              <w:spacing w:before="7"/>
              <w:ind w:right="97"/>
              <w:jc w:val="right"/>
              <w:rPr>
                <w:rFonts w:ascii="Times New Roman"/>
                <w:sz w:val="21"/>
              </w:rPr>
            </w:pPr>
            <w:r>
              <w:rPr>
                <w:rFonts w:ascii="Times New Roman"/>
                <w:sz w:val="21"/>
              </w:rPr>
              <w:t>-132,930</w:t>
            </w:r>
          </w:p>
        </w:tc>
        <w:tc>
          <w:tcPr>
            <w:tcW w:w="1967" w:type="dxa"/>
          </w:tcPr>
          <w:p>
            <w:pPr>
              <w:pStyle w:val="TableParagraph"/>
              <w:spacing w:before="7"/>
              <w:ind w:right="98"/>
              <w:jc w:val="right"/>
              <w:rPr>
                <w:rFonts w:ascii="Times New Roman"/>
                <w:sz w:val="21"/>
              </w:rPr>
            </w:pPr>
            <w:r>
              <w:rPr>
                <w:rFonts w:ascii="Times New Roman"/>
                <w:sz w:val="21"/>
              </w:rPr>
              <w:t>-102,763</w:t>
            </w:r>
          </w:p>
        </w:tc>
      </w:tr>
      <w:tr>
        <w:trPr>
          <w:trHeight w:val="340" w:hRule="atLeast"/>
        </w:trPr>
        <w:tc>
          <w:tcPr>
            <w:tcW w:w="3421" w:type="dxa"/>
          </w:tcPr>
          <w:p>
            <w:pPr>
              <w:pStyle w:val="TableParagraph"/>
              <w:spacing w:before="34"/>
              <w:ind w:left="738"/>
              <w:rPr>
                <w:sz w:val="21"/>
              </w:rPr>
            </w:pPr>
            <w:r>
              <w:rPr>
                <w:sz w:val="21"/>
              </w:rPr>
              <w:t>税金及附加 </w:t>
            </w:r>
          </w:p>
        </w:tc>
        <w:tc>
          <w:tcPr>
            <w:tcW w:w="1479" w:type="dxa"/>
          </w:tcPr>
          <w:p>
            <w:pPr>
              <w:pStyle w:val="TableParagraph"/>
              <w:spacing w:before="3"/>
              <w:ind w:left="104"/>
              <w:rPr>
                <w:sz w:val="21"/>
              </w:rPr>
            </w:pPr>
            <w:r>
              <w:rPr>
                <w:w w:val="100"/>
                <w:sz w:val="21"/>
              </w:rPr>
              <w:t> </w:t>
            </w:r>
          </w:p>
        </w:tc>
        <w:tc>
          <w:tcPr>
            <w:tcW w:w="1959" w:type="dxa"/>
          </w:tcPr>
          <w:p>
            <w:pPr>
              <w:pStyle w:val="TableParagraph"/>
              <w:spacing w:before="43"/>
              <w:ind w:right="97"/>
              <w:jc w:val="right"/>
              <w:rPr>
                <w:rFonts w:ascii="Times New Roman"/>
                <w:sz w:val="21"/>
              </w:rPr>
            </w:pPr>
            <w:r>
              <w:rPr>
                <w:rFonts w:ascii="Times New Roman"/>
                <w:sz w:val="21"/>
              </w:rPr>
              <w:t>-1,028</w:t>
            </w:r>
          </w:p>
        </w:tc>
        <w:tc>
          <w:tcPr>
            <w:tcW w:w="1967" w:type="dxa"/>
          </w:tcPr>
          <w:p>
            <w:pPr>
              <w:pStyle w:val="TableParagraph"/>
              <w:spacing w:before="43"/>
              <w:ind w:right="98"/>
              <w:jc w:val="right"/>
              <w:rPr>
                <w:rFonts w:ascii="Times New Roman"/>
                <w:sz w:val="21"/>
              </w:rPr>
            </w:pPr>
            <w:r>
              <w:rPr>
                <w:rFonts w:ascii="Times New Roman"/>
                <w:sz w:val="21"/>
              </w:rPr>
              <w:t>-160</w:t>
            </w:r>
          </w:p>
        </w:tc>
      </w:tr>
      <w:tr>
        <w:trPr>
          <w:trHeight w:val="270" w:hRule="atLeast"/>
        </w:trPr>
        <w:tc>
          <w:tcPr>
            <w:tcW w:w="3421" w:type="dxa"/>
          </w:tcPr>
          <w:p>
            <w:pPr>
              <w:pStyle w:val="TableParagraph"/>
              <w:spacing w:line="250" w:lineRule="exact" w:before="1"/>
              <w:ind w:left="738"/>
              <w:rPr>
                <w:sz w:val="21"/>
              </w:rPr>
            </w:pPr>
            <w:r>
              <w:rPr>
                <w:spacing w:val="-1"/>
                <w:sz w:val="21"/>
              </w:rPr>
              <w:t>销售费用</w:t>
            </w:r>
            <w:r>
              <w:rPr>
                <w:sz w:val="21"/>
              </w:rPr>
              <w:t> </w:t>
            </w:r>
          </w:p>
        </w:tc>
        <w:tc>
          <w:tcPr>
            <w:tcW w:w="1479" w:type="dxa"/>
          </w:tcPr>
          <w:p>
            <w:pPr>
              <w:pStyle w:val="TableParagraph"/>
              <w:spacing w:line="250" w:lineRule="exact" w:before="1"/>
              <w:ind w:left="104"/>
              <w:rPr>
                <w:sz w:val="21"/>
              </w:rPr>
            </w:pPr>
            <w:r>
              <w:rPr>
                <w:w w:val="100"/>
                <w:sz w:val="21"/>
              </w:rPr>
              <w:t> </w:t>
            </w:r>
          </w:p>
        </w:tc>
        <w:tc>
          <w:tcPr>
            <w:tcW w:w="1959" w:type="dxa"/>
          </w:tcPr>
          <w:p>
            <w:pPr>
              <w:pStyle w:val="TableParagraph"/>
              <w:spacing w:before="7"/>
              <w:ind w:right="96"/>
              <w:jc w:val="right"/>
              <w:rPr>
                <w:rFonts w:ascii="Times New Roman"/>
                <w:sz w:val="21"/>
              </w:rPr>
            </w:pPr>
            <w:r>
              <w:rPr>
                <w:rFonts w:ascii="Times New Roman"/>
                <w:w w:val="100"/>
                <w:sz w:val="21"/>
              </w:rPr>
              <w:t>-</w:t>
            </w:r>
          </w:p>
        </w:tc>
        <w:tc>
          <w:tcPr>
            <w:tcW w:w="1967" w:type="dxa"/>
          </w:tcPr>
          <w:p>
            <w:pPr>
              <w:pStyle w:val="TableParagraph"/>
              <w:spacing w:before="7"/>
              <w:ind w:right="97"/>
              <w:jc w:val="right"/>
              <w:rPr>
                <w:rFonts w:ascii="Times New Roman"/>
                <w:sz w:val="21"/>
              </w:rPr>
            </w:pPr>
            <w:r>
              <w:rPr>
                <w:rFonts w:ascii="Times New Roman"/>
                <w:w w:val="100"/>
                <w:sz w:val="21"/>
              </w:rPr>
              <w:t>-</w:t>
            </w:r>
          </w:p>
        </w:tc>
      </w:tr>
      <w:tr>
        <w:trPr>
          <w:trHeight w:val="273" w:hRule="atLeast"/>
        </w:trPr>
        <w:tc>
          <w:tcPr>
            <w:tcW w:w="3421" w:type="dxa"/>
          </w:tcPr>
          <w:p>
            <w:pPr>
              <w:pStyle w:val="TableParagraph"/>
              <w:spacing w:line="250" w:lineRule="exact" w:before="3"/>
              <w:ind w:left="738"/>
              <w:rPr>
                <w:sz w:val="21"/>
              </w:rPr>
            </w:pPr>
            <w:r>
              <w:rPr>
                <w:spacing w:val="-1"/>
                <w:sz w:val="21"/>
              </w:rPr>
              <w:t>管理费用</w:t>
            </w:r>
            <w:r>
              <w:rPr>
                <w:sz w:val="21"/>
              </w:rPr>
              <w:t> </w:t>
            </w:r>
          </w:p>
        </w:tc>
        <w:tc>
          <w:tcPr>
            <w:tcW w:w="1479" w:type="dxa"/>
          </w:tcPr>
          <w:p>
            <w:pPr>
              <w:pStyle w:val="TableParagraph"/>
              <w:spacing w:line="250" w:lineRule="exact" w:before="3"/>
              <w:ind w:left="104"/>
              <w:rPr>
                <w:sz w:val="21"/>
              </w:rPr>
            </w:pPr>
            <w:r>
              <w:rPr>
                <w:w w:val="100"/>
                <w:sz w:val="21"/>
              </w:rPr>
              <w:t> </w:t>
            </w:r>
          </w:p>
        </w:tc>
        <w:tc>
          <w:tcPr>
            <w:tcW w:w="1959" w:type="dxa"/>
          </w:tcPr>
          <w:p>
            <w:pPr>
              <w:pStyle w:val="TableParagraph"/>
              <w:spacing w:before="10"/>
              <w:ind w:right="97"/>
              <w:jc w:val="right"/>
              <w:rPr>
                <w:rFonts w:ascii="Times New Roman"/>
                <w:sz w:val="21"/>
              </w:rPr>
            </w:pPr>
            <w:r>
              <w:rPr>
                <w:rFonts w:ascii="Times New Roman"/>
                <w:sz w:val="21"/>
              </w:rPr>
              <w:t>-29,025</w:t>
            </w:r>
          </w:p>
        </w:tc>
        <w:tc>
          <w:tcPr>
            <w:tcW w:w="1967" w:type="dxa"/>
          </w:tcPr>
          <w:p>
            <w:pPr>
              <w:pStyle w:val="TableParagraph"/>
              <w:spacing w:before="10"/>
              <w:ind w:right="98"/>
              <w:jc w:val="right"/>
              <w:rPr>
                <w:rFonts w:ascii="Times New Roman"/>
                <w:sz w:val="21"/>
              </w:rPr>
            </w:pPr>
            <w:r>
              <w:rPr>
                <w:rFonts w:ascii="Times New Roman"/>
                <w:sz w:val="21"/>
              </w:rPr>
              <w:t>-20,048</w:t>
            </w:r>
          </w:p>
        </w:tc>
      </w:tr>
      <w:tr>
        <w:trPr>
          <w:trHeight w:val="273" w:hRule="atLeast"/>
        </w:trPr>
        <w:tc>
          <w:tcPr>
            <w:tcW w:w="3421" w:type="dxa"/>
          </w:tcPr>
          <w:p>
            <w:pPr>
              <w:pStyle w:val="TableParagraph"/>
              <w:spacing w:line="252" w:lineRule="exact" w:before="1"/>
              <w:ind w:left="738"/>
              <w:rPr>
                <w:sz w:val="21"/>
              </w:rPr>
            </w:pPr>
            <w:r>
              <w:rPr>
                <w:spacing w:val="-1"/>
                <w:sz w:val="21"/>
              </w:rPr>
              <w:t>研发费用</w:t>
            </w:r>
            <w:r>
              <w:rPr>
                <w:sz w:val="21"/>
              </w:rPr>
              <w:t>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spacing w:line="235" w:lineRule="exact"/>
              <w:ind w:right="96"/>
              <w:jc w:val="right"/>
              <w:rPr>
                <w:rFonts w:ascii="Times New Roman"/>
                <w:sz w:val="21"/>
              </w:rPr>
            </w:pPr>
            <w:r>
              <w:rPr>
                <w:rFonts w:ascii="Times New Roman"/>
                <w:w w:val="100"/>
                <w:sz w:val="21"/>
              </w:rPr>
              <w:t>-</w:t>
            </w:r>
          </w:p>
        </w:tc>
        <w:tc>
          <w:tcPr>
            <w:tcW w:w="1967" w:type="dxa"/>
          </w:tcPr>
          <w:p>
            <w:pPr>
              <w:pStyle w:val="TableParagraph"/>
              <w:spacing w:line="235" w:lineRule="exact"/>
              <w:ind w:right="97"/>
              <w:jc w:val="right"/>
              <w:rPr>
                <w:rFonts w:ascii="Times New Roman"/>
                <w:sz w:val="21"/>
              </w:rPr>
            </w:pPr>
            <w:r>
              <w:rPr>
                <w:rFonts w:ascii="Times New Roman"/>
                <w:w w:val="100"/>
                <w:sz w:val="21"/>
              </w:rPr>
              <w:t>-</w:t>
            </w:r>
          </w:p>
        </w:tc>
      </w:tr>
      <w:tr>
        <w:trPr>
          <w:trHeight w:val="270" w:hRule="atLeast"/>
        </w:trPr>
        <w:tc>
          <w:tcPr>
            <w:tcW w:w="3421" w:type="dxa"/>
          </w:tcPr>
          <w:p>
            <w:pPr>
              <w:pStyle w:val="TableParagraph"/>
              <w:spacing w:line="250" w:lineRule="exact" w:before="1"/>
              <w:ind w:left="738"/>
              <w:rPr>
                <w:sz w:val="21"/>
              </w:rPr>
            </w:pPr>
            <w:r>
              <w:rPr>
                <w:spacing w:val="-1"/>
                <w:sz w:val="21"/>
              </w:rPr>
              <w:t>财务收入</w:t>
            </w:r>
            <w:r>
              <w:rPr>
                <w:sz w:val="21"/>
              </w:rPr>
              <w:t> </w:t>
            </w:r>
          </w:p>
        </w:tc>
        <w:tc>
          <w:tcPr>
            <w:tcW w:w="1479" w:type="dxa"/>
          </w:tcPr>
          <w:p>
            <w:pPr>
              <w:pStyle w:val="TableParagraph"/>
              <w:spacing w:line="250" w:lineRule="exact" w:before="1"/>
              <w:ind w:left="104"/>
              <w:rPr>
                <w:sz w:val="21"/>
              </w:rPr>
            </w:pPr>
            <w:r>
              <w:rPr>
                <w:w w:val="100"/>
                <w:sz w:val="21"/>
              </w:rPr>
              <w:t> </w:t>
            </w:r>
          </w:p>
        </w:tc>
        <w:tc>
          <w:tcPr>
            <w:tcW w:w="1959" w:type="dxa"/>
          </w:tcPr>
          <w:p>
            <w:pPr>
              <w:pStyle w:val="TableParagraph"/>
              <w:spacing w:before="7"/>
              <w:ind w:right="95"/>
              <w:jc w:val="right"/>
              <w:rPr>
                <w:rFonts w:ascii="Times New Roman"/>
                <w:sz w:val="21"/>
              </w:rPr>
            </w:pPr>
            <w:r>
              <w:rPr>
                <w:rFonts w:ascii="Times New Roman"/>
                <w:sz w:val="21"/>
              </w:rPr>
              <w:t>452,310</w:t>
            </w:r>
          </w:p>
        </w:tc>
        <w:tc>
          <w:tcPr>
            <w:tcW w:w="1967" w:type="dxa"/>
          </w:tcPr>
          <w:p>
            <w:pPr>
              <w:pStyle w:val="TableParagraph"/>
              <w:spacing w:before="7"/>
              <w:ind w:right="95"/>
              <w:jc w:val="right"/>
              <w:rPr>
                <w:rFonts w:ascii="Times New Roman"/>
                <w:sz w:val="21"/>
              </w:rPr>
            </w:pPr>
            <w:r>
              <w:rPr>
                <w:rFonts w:ascii="Times New Roman"/>
                <w:sz w:val="21"/>
              </w:rPr>
              <w:t>537,153</w:t>
            </w:r>
          </w:p>
        </w:tc>
      </w:tr>
      <w:tr>
        <w:trPr>
          <w:trHeight w:val="273" w:hRule="atLeast"/>
        </w:trPr>
        <w:tc>
          <w:tcPr>
            <w:tcW w:w="3421" w:type="dxa"/>
          </w:tcPr>
          <w:p>
            <w:pPr>
              <w:pStyle w:val="TableParagraph"/>
              <w:spacing w:line="250" w:lineRule="exact" w:before="3"/>
              <w:ind w:right="1092"/>
              <w:jc w:val="right"/>
              <w:rPr>
                <w:sz w:val="21"/>
              </w:rPr>
            </w:pPr>
            <w:r>
              <w:rPr>
                <w:sz w:val="21"/>
              </w:rPr>
              <w:t>其中：利息费用 </w:t>
            </w:r>
          </w:p>
        </w:tc>
        <w:tc>
          <w:tcPr>
            <w:tcW w:w="1479" w:type="dxa"/>
          </w:tcPr>
          <w:p>
            <w:pPr>
              <w:pStyle w:val="TableParagraph"/>
              <w:spacing w:line="250" w:lineRule="exact" w:before="3"/>
              <w:ind w:left="104"/>
              <w:rPr>
                <w:sz w:val="21"/>
              </w:rPr>
            </w:pPr>
            <w:r>
              <w:rPr>
                <w:w w:val="100"/>
                <w:sz w:val="21"/>
              </w:rPr>
              <w:t> </w:t>
            </w:r>
          </w:p>
        </w:tc>
        <w:tc>
          <w:tcPr>
            <w:tcW w:w="1959" w:type="dxa"/>
          </w:tcPr>
          <w:p>
            <w:pPr>
              <w:pStyle w:val="TableParagraph"/>
              <w:spacing w:line="237" w:lineRule="exact"/>
              <w:ind w:right="96"/>
              <w:jc w:val="right"/>
              <w:rPr>
                <w:rFonts w:ascii="Times New Roman"/>
                <w:sz w:val="21"/>
              </w:rPr>
            </w:pPr>
            <w:r>
              <w:rPr>
                <w:rFonts w:ascii="Times New Roman"/>
                <w:w w:val="100"/>
                <w:sz w:val="21"/>
              </w:rPr>
              <w:t>-</w:t>
            </w:r>
          </w:p>
        </w:tc>
        <w:tc>
          <w:tcPr>
            <w:tcW w:w="1967" w:type="dxa"/>
          </w:tcPr>
          <w:p>
            <w:pPr>
              <w:pStyle w:val="TableParagraph"/>
              <w:spacing w:line="237" w:lineRule="exact"/>
              <w:ind w:right="97"/>
              <w:jc w:val="right"/>
              <w:rPr>
                <w:rFonts w:ascii="Times New Roman"/>
                <w:sz w:val="21"/>
              </w:rPr>
            </w:pPr>
            <w:r>
              <w:rPr>
                <w:rFonts w:ascii="Times New Roman"/>
                <w:w w:val="100"/>
                <w:sz w:val="21"/>
              </w:rPr>
              <w:t>-</w:t>
            </w:r>
          </w:p>
        </w:tc>
      </w:tr>
      <w:tr>
        <w:trPr>
          <w:trHeight w:val="273" w:hRule="atLeast"/>
        </w:trPr>
        <w:tc>
          <w:tcPr>
            <w:tcW w:w="3421" w:type="dxa"/>
          </w:tcPr>
          <w:p>
            <w:pPr>
              <w:pStyle w:val="TableParagraph"/>
              <w:spacing w:line="252" w:lineRule="exact" w:before="1"/>
              <w:ind w:right="1095"/>
              <w:jc w:val="right"/>
              <w:rPr>
                <w:sz w:val="21"/>
              </w:rPr>
            </w:pPr>
            <w:r>
              <w:rPr>
                <w:spacing w:val="-1"/>
                <w:sz w:val="21"/>
              </w:rPr>
              <w:t>利息收入</w:t>
            </w:r>
            <w:r>
              <w:rPr>
                <w:sz w:val="21"/>
              </w:rPr>
              <w:t>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spacing w:before="10"/>
              <w:ind w:right="95"/>
              <w:jc w:val="right"/>
              <w:rPr>
                <w:rFonts w:ascii="Times New Roman"/>
                <w:sz w:val="21"/>
              </w:rPr>
            </w:pPr>
            <w:r>
              <w:rPr>
                <w:rFonts w:ascii="Times New Roman"/>
                <w:sz w:val="21"/>
              </w:rPr>
              <w:t>503,203</w:t>
            </w:r>
          </w:p>
        </w:tc>
        <w:tc>
          <w:tcPr>
            <w:tcW w:w="1967" w:type="dxa"/>
          </w:tcPr>
          <w:p>
            <w:pPr>
              <w:pStyle w:val="TableParagraph"/>
              <w:spacing w:before="10"/>
              <w:ind w:right="95"/>
              <w:jc w:val="right"/>
              <w:rPr>
                <w:rFonts w:ascii="Times New Roman"/>
                <w:sz w:val="21"/>
              </w:rPr>
            </w:pPr>
            <w:r>
              <w:rPr>
                <w:rFonts w:ascii="Times New Roman"/>
                <w:sz w:val="21"/>
              </w:rPr>
              <w:t>537,338</w:t>
            </w:r>
          </w:p>
        </w:tc>
      </w:tr>
      <w:tr>
        <w:trPr>
          <w:trHeight w:val="270" w:hRule="atLeast"/>
        </w:trPr>
        <w:tc>
          <w:tcPr>
            <w:tcW w:w="3421" w:type="dxa"/>
          </w:tcPr>
          <w:p>
            <w:pPr>
              <w:pStyle w:val="TableParagraph"/>
              <w:spacing w:line="250" w:lineRule="exact" w:before="1"/>
              <w:ind w:left="318"/>
              <w:rPr>
                <w:sz w:val="21"/>
              </w:rPr>
            </w:pPr>
            <w:r>
              <w:rPr>
                <w:spacing w:val="-1"/>
                <w:sz w:val="21"/>
              </w:rPr>
              <w:t>加：其他收益</w:t>
            </w:r>
            <w:r>
              <w:rPr>
                <w:sz w:val="21"/>
              </w:rPr>
              <w:t> </w:t>
            </w:r>
          </w:p>
        </w:tc>
        <w:tc>
          <w:tcPr>
            <w:tcW w:w="1479" w:type="dxa"/>
          </w:tcPr>
          <w:p>
            <w:pPr>
              <w:pStyle w:val="TableParagraph"/>
              <w:spacing w:line="250" w:lineRule="exact" w:before="1"/>
              <w:ind w:left="104"/>
              <w:rPr>
                <w:sz w:val="21"/>
              </w:rPr>
            </w:pPr>
            <w:r>
              <w:rPr>
                <w:w w:val="100"/>
                <w:sz w:val="21"/>
              </w:rPr>
              <w:t> </w:t>
            </w:r>
          </w:p>
        </w:tc>
        <w:tc>
          <w:tcPr>
            <w:tcW w:w="1959" w:type="dxa"/>
          </w:tcPr>
          <w:p>
            <w:pPr>
              <w:pStyle w:val="TableParagraph"/>
              <w:spacing w:before="7"/>
              <w:ind w:right="95"/>
              <w:jc w:val="right"/>
              <w:rPr>
                <w:rFonts w:ascii="Times New Roman"/>
                <w:sz w:val="21"/>
              </w:rPr>
            </w:pPr>
            <w:r>
              <w:rPr>
                <w:rFonts w:ascii="Times New Roman"/>
                <w:sz w:val="21"/>
              </w:rPr>
              <w:t>19,948</w:t>
            </w:r>
          </w:p>
        </w:tc>
        <w:tc>
          <w:tcPr>
            <w:tcW w:w="1967" w:type="dxa"/>
          </w:tcPr>
          <w:p>
            <w:pPr>
              <w:pStyle w:val="TableParagraph"/>
              <w:spacing w:before="7"/>
              <w:ind w:right="95"/>
              <w:jc w:val="right"/>
              <w:rPr>
                <w:rFonts w:ascii="Times New Roman"/>
                <w:sz w:val="21"/>
              </w:rPr>
            </w:pPr>
            <w:r>
              <w:rPr>
                <w:rFonts w:ascii="Times New Roman"/>
                <w:sz w:val="21"/>
              </w:rPr>
              <w:t>1,802</w:t>
            </w:r>
          </w:p>
        </w:tc>
      </w:tr>
      <w:tr>
        <w:trPr>
          <w:trHeight w:val="544" w:hRule="atLeast"/>
        </w:trPr>
        <w:tc>
          <w:tcPr>
            <w:tcW w:w="3421" w:type="dxa"/>
          </w:tcPr>
          <w:p>
            <w:pPr>
              <w:pStyle w:val="TableParagraph"/>
              <w:spacing w:line="270" w:lineRule="atLeast"/>
              <w:ind w:left="107" w:right="147" w:firstLine="631"/>
              <w:rPr>
                <w:sz w:val="21"/>
              </w:rPr>
            </w:pPr>
            <w:r>
              <w:rPr>
                <w:spacing w:val="-1"/>
                <w:sz w:val="21"/>
              </w:rPr>
              <w:t>投资收益</w:t>
            </w:r>
            <w:r>
              <w:rPr>
                <w:sz w:val="21"/>
              </w:rPr>
              <w:t>（损失以“－”号填列） </w:t>
            </w:r>
          </w:p>
        </w:tc>
        <w:tc>
          <w:tcPr>
            <w:tcW w:w="1479" w:type="dxa"/>
          </w:tcPr>
          <w:p>
            <w:pPr>
              <w:pStyle w:val="TableParagraph"/>
              <w:spacing w:before="3"/>
              <w:ind w:left="104"/>
              <w:rPr>
                <w:sz w:val="21"/>
              </w:rPr>
            </w:pPr>
            <w:r>
              <w:rPr>
                <w:spacing w:val="-1"/>
                <w:sz w:val="21"/>
              </w:rPr>
              <w:t>十七、</w:t>
            </w:r>
            <w:r>
              <w:rPr>
                <w:sz w:val="21"/>
              </w:rPr>
              <w:t>5 </w:t>
            </w:r>
          </w:p>
        </w:tc>
        <w:tc>
          <w:tcPr>
            <w:tcW w:w="1959" w:type="dxa"/>
          </w:tcPr>
          <w:p>
            <w:pPr>
              <w:pStyle w:val="TableParagraph"/>
              <w:spacing w:before="147"/>
              <w:ind w:right="95"/>
              <w:jc w:val="right"/>
              <w:rPr>
                <w:rFonts w:ascii="Times New Roman"/>
                <w:sz w:val="21"/>
              </w:rPr>
            </w:pPr>
            <w:r>
              <w:rPr>
                <w:rFonts w:ascii="Times New Roman"/>
                <w:sz w:val="21"/>
              </w:rPr>
              <w:t>10,023,710</w:t>
            </w:r>
          </w:p>
        </w:tc>
        <w:tc>
          <w:tcPr>
            <w:tcW w:w="1967" w:type="dxa"/>
          </w:tcPr>
          <w:p>
            <w:pPr>
              <w:pStyle w:val="TableParagraph"/>
              <w:spacing w:before="147"/>
              <w:ind w:right="95"/>
              <w:jc w:val="right"/>
              <w:rPr>
                <w:rFonts w:ascii="Times New Roman"/>
                <w:sz w:val="21"/>
              </w:rPr>
            </w:pPr>
            <w:r>
              <w:rPr>
                <w:rFonts w:ascii="Times New Roman"/>
                <w:sz w:val="21"/>
              </w:rPr>
              <w:t>13,010,890</w:t>
            </w:r>
          </w:p>
        </w:tc>
      </w:tr>
      <w:tr>
        <w:trPr>
          <w:trHeight w:val="547" w:hRule="atLeast"/>
        </w:trPr>
        <w:tc>
          <w:tcPr>
            <w:tcW w:w="3421" w:type="dxa"/>
          </w:tcPr>
          <w:p>
            <w:pPr>
              <w:pStyle w:val="TableParagraph"/>
              <w:spacing w:line="270" w:lineRule="atLeast"/>
              <w:ind w:left="107" w:right="147" w:firstLine="631"/>
              <w:rPr>
                <w:sz w:val="21"/>
              </w:rPr>
            </w:pPr>
            <w:r>
              <w:rPr>
                <w:spacing w:val="-1"/>
                <w:sz w:val="21"/>
              </w:rPr>
              <w:t>其中：对联营企业和合营企</w:t>
            </w:r>
            <w:r>
              <w:rPr>
                <w:sz w:val="21"/>
              </w:rPr>
              <w:t>业的投资收益 </w:t>
            </w:r>
          </w:p>
        </w:tc>
        <w:tc>
          <w:tcPr>
            <w:tcW w:w="1479" w:type="dxa"/>
          </w:tcPr>
          <w:p>
            <w:pPr>
              <w:pStyle w:val="TableParagraph"/>
              <w:spacing w:before="4"/>
              <w:ind w:left="104"/>
              <w:rPr>
                <w:sz w:val="21"/>
              </w:rPr>
            </w:pPr>
            <w:r>
              <w:rPr>
                <w:w w:val="100"/>
                <w:sz w:val="21"/>
              </w:rPr>
              <w:t> </w:t>
            </w:r>
          </w:p>
        </w:tc>
        <w:tc>
          <w:tcPr>
            <w:tcW w:w="1959" w:type="dxa"/>
          </w:tcPr>
          <w:p>
            <w:pPr>
              <w:pStyle w:val="TableParagraph"/>
              <w:spacing w:before="147"/>
              <w:ind w:right="95"/>
              <w:jc w:val="right"/>
              <w:rPr>
                <w:rFonts w:ascii="Times New Roman"/>
                <w:sz w:val="21"/>
              </w:rPr>
            </w:pPr>
            <w:r>
              <w:rPr>
                <w:rFonts w:ascii="Times New Roman"/>
                <w:sz w:val="21"/>
              </w:rPr>
              <w:t>23,710</w:t>
            </w:r>
          </w:p>
        </w:tc>
        <w:tc>
          <w:tcPr>
            <w:tcW w:w="1967" w:type="dxa"/>
          </w:tcPr>
          <w:p>
            <w:pPr>
              <w:pStyle w:val="TableParagraph"/>
              <w:spacing w:before="147"/>
              <w:ind w:right="95"/>
              <w:jc w:val="right"/>
              <w:rPr>
                <w:rFonts w:ascii="Times New Roman"/>
                <w:sz w:val="21"/>
              </w:rPr>
            </w:pPr>
            <w:r>
              <w:rPr>
                <w:rFonts w:ascii="Times New Roman"/>
                <w:sz w:val="21"/>
              </w:rPr>
              <w:t>10,890</w:t>
            </w:r>
          </w:p>
        </w:tc>
      </w:tr>
      <w:tr>
        <w:trPr>
          <w:trHeight w:val="544" w:hRule="atLeast"/>
        </w:trPr>
        <w:tc>
          <w:tcPr>
            <w:tcW w:w="3421" w:type="dxa"/>
          </w:tcPr>
          <w:p>
            <w:pPr>
              <w:pStyle w:val="TableParagraph"/>
              <w:spacing w:before="1"/>
              <w:ind w:left="1262"/>
              <w:rPr>
                <w:sz w:val="21"/>
              </w:rPr>
            </w:pPr>
            <w:r>
              <w:rPr>
                <w:sz w:val="21"/>
              </w:rPr>
              <w:t>以摊余成本计量的金</w:t>
            </w:r>
          </w:p>
          <w:p>
            <w:pPr>
              <w:pStyle w:val="TableParagraph"/>
              <w:spacing w:line="252" w:lineRule="exact" w:before="2"/>
              <w:ind w:left="107"/>
              <w:rPr>
                <w:sz w:val="21"/>
              </w:rPr>
            </w:pPr>
            <w:r>
              <w:rPr>
                <w:spacing w:val="-1"/>
                <w:sz w:val="21"/>
              </w:rPr>
              <w:t>融资产终止确认收益</w:t>
            </w:r>
            <w:r>
              <w:rPr>
                <w:sz w:val="21"/>
              </w:rPr>
              <w:t>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738"/>
              <w:rPr>
                <w:sz w:val="21"/>
              </w:rPr>
            </w:pPr>
            <w:r>
              <w:rPr>
                <w:sz w:val="21"/>
              </w:rPr>
              <w:t>净敞口套期收益（损失以</w:t>
            </w:r>
          </w:p>
          <w:p>
            <w:pPr>
              <w:pStyle w:val="TableParagraph"/>
              <w:spacing w:line="252" w:lineRule="exact" w:before="2"/>
              <w:ind w:left="107"/>
              <w:rPr>
                <w:sz w:val="21"/>
              </w:rPr>
            </w:pPr>
            <w:r>
              <w:rPr>
                <w:sz w:val="21"/>
              </w:rPr>
              <w:t>“-”号填列）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738"/>
              <w:rPr>
                <w:sz w:val="21"/>
              </w:rPr>
            </w:pPr>
            <w:r>
              <w:rPr>
                <w:spacing w:val="-1"/>
                <w:sz w:val="21"/>
              </w:rPr>
              <w:t>公允价值变动收益</w:t>
            </w:r>
            <w:r>
              <w:rPr>
                <w:sz w:val="21"/>
              </w:rPr>
              <w:t>（损失以</w:t>
            </w:r>
          </w:p>
          <w:p>
            <w:pPr>
              <w:pStyle w:val="TableParagraph"/>
              <w:spacing w:line="252" w:lineRule="exact" w:before="2"/>
              <w:ind w:left="107"/>
              <w:rPr>
                <w:sz w:val="21"/>
              </w:rPr>
            </w:pPr>
            <w:r>
              <w:rPr>
                <w:sz w:val="21"/>
              </w:rPr>
              <w:t>“－”号填列） </w:t>
            </w:r>
          </w:p>
        </w:tc>
        <w:tc>
          <w:tcPr>
            <w:tcW w:w="1479" w:type="dxa"/>
          </w:tcPr>
          <w:p>
            <w:pPr>
              <w:pStyle w:val="TableParagraph"/>
              <w:spacing w:before="1"/>
              <w:ind w:left="104"/>
              <w:rPr>
                <w:sz w:val="21"/>
              </w:rPr>
            </w:pPr>
            <w:r>
              <w:rPr>
                <w:w w:val="100"/>
                <w:sz w:val="21"/>
              </w:rPr>
              <w:t> </w:t>
            </w:r>
          </w:p>
        </w:tc>
        <w:tc>
          <w:tcPr>
            <w:tcW w:w="1959" w:type="dxa"/>
          </w:tcPr>
          <w:p>
            <w:pPr>
              <w:pStyle w:val="TableParagraph"/>
              <w:spacing w:line="235" w:lineRule="exact"/>
              <w:ind w:right="96"/>
              <w:jc w:val="right"/>
              <w:rPr>
                <w:rFonts w:ascii="Times New Roman"/>
                <w:sz w:val="21"/>
              </w:rPr>
            </w:pPr>
            <w:r>
              <w:rPr>
                <w:rFonts w:ascii="Times New Roman"/>
                <w:w w:val="100"/>
                <w:sz w:val="21"/>
              </w:rPr>
              <w:t>-</w:t>
            </w:r>
          </w:p>
        </w:tc>
        <w:tc>
          <w:tcPr>
            <w:tcW w:w="1967" w:type="dxa"/>
          </w:tcPr>
          <w:p>
            <w:pPr>
              <w:pStyle w:val="TableParagraph"/>
              <w:spacing w:line="235" w:lineRule="exact"/>
              <w:ind w:right="97"/>
              <w:jc w:val="right"/>
              <w:rPr>
                <w:rFonts w:ascii="Times New Roman"/>
                <w:sz w:val="21"/>
              </w:rPr>
            </w:pPr>
            <w:r>
              <w:rPr>
                <w:rFonts w:ascii="Times New Roman"/>
                <w:w w:val="100"/>
                <w:sz w:val="21"/>
              </w:rPr>
              <w:t>-</w:t>
            </w:r>
          </w:p>
        </w:tc>
      </w:tr>
      <w:tr>
        <w:trPr>
          <w:trHeight w:val="544" w:hRule="atLeast"/>
        </w:trPr>
        <w:tc>
          <w:tcPr>
            <w:tcW w:w="3421" w:type="dxa"/>
          </w:tcPr>
          <w:p>
            <w:pPr>
              <w:pStyle w:val="TableParagraph"/>
              <w:spacing w:before="1"/>
              <w:ind w:left="738"/>
              <w:rPr>
                <w:sz w:val="21"/>
              </w:rPr>
            </w:pPr>
            <w:r>
              <w:rPr>
                <w:spacing w:val="-1"/>
                <w:sz w:val="21"/>
              </w:rPr>
              <w:t>信用减值损失</w:t>
            </w:r>
            <w:r>
              <w:rPr>
                <w:sz w:val="21"/>
              </w:rPr>
              <w:t>（损失以</w:t>
            </w:r>
          </w:p>
          <w:p>
            <w:pPr>
              <w:pStyle w:val="TableParagraph"/>
              <w:spacing w:line="250" w:lineRule="exact" w:before="4"/>
              <w:ind w:left="107"/>
              <w:rPr>
                <w:sz w:val="21"/>
              </w:rPr>
            </w:pPr>
            <w:r>
              <w:rPr>
                <w:sz w:val="21"/>
              </w:rPr>
              <w:t>“-”号填列） </w:t>
            </w:r>
          </w:p>
        </w:tc>
        <w:tc>
          <w:tcPr>
            <w:tcW w:w="1479" w:type="dxa"/>
          </w:tcPr>
          <w:p>
            <w:pPr>
              <w:pStyle w:val="TableParagraph"/>
              <w:spacing w:before="1"/>
              <w:ind w:left="104"/>
              <w:rPr>
                <w:sz w:val="21"/>
              </w:rPr>
            </w:pPr>
            <w:r>
              <w:rPr>
                <w:w w:val="100"/>
                <w:sz w:val="21"/>
              </w:rPr>
              <w:t> </w:t>
            </w:r>
          </w:p>
        </w:tc>
        <w:tc>
          <w:tcPr>
            <w:tcW w:w="1959" w:type="dxa"/>
          </w:tcPr>
          <w:p>
            <w:pPr>
              <w:pStyle w:val="TableParagraph"/>
              <w:spacing w:before="144"/>
              <w:ind w:right="95"/>
              <w:jc w:val="right"/>
              <w:rPr>
                <w:rFonts w:ascii="Times New Roman"/>
                <w:sz w:val="21"/>
              </w:rPr>
            </w:pPr>
            <w:r>
              <w:rPr>
                <w:rFonts w:ascii="Times New Roman"/>
                <w:sz w:val="21"/>
              </w:rPr>
              <w:t>988</w:t>
            </w:r>
          </w:p>
        </w:tc>
        <w:tc>
          <w:tcPr>
            <w:tcW w:w="1967" w:type="dxa"/>
          </w:tcPr>
          <w:p>
            <w:pPr>
              <w:pStyle w:val="TableParagraph"/>
              <w:spacing w:before="144"/>
              <w:ind w:right="95"/>
              <w:jc w:val="right"/>
              <w:rPr>
                <w:rFonts w:ascii="Times New Roman"/>
                <w:sz w:val="21"/>
              </w:rPr>
            </w:pPr>
            <w:r>
              <w:rPr>
                <w:rFonts w:ascii="Times New Roman"/>
                <w:sz w:val="21"/>
              </w:rPr>
              <w:t>1,904</w:t>
            </w:r>
          </w:p>
        </w:tc>
      </w:tr>
    </w:tbl>
    <w:p>
      <w:pPr>
        <w:spacing w:after="0"/>
        <w:jc w:val="right"/>
        <w:rPr>
          <w:rFonts w:ascii="Times New Roman"/>
          <w:sz w:val="21"/>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1"/>
        <w:gridCol w:w="1479"/>
        <w:gridCol w:w="1959"/>
        <w:gridCol w:w="1967"/>
      </w:tblGrid>
      <w:tr>
        <w:trPr>
          <w:trHeight w:val="547" w:hRule="atLeast"/>
        </w:trPr>
        <w:tc>
          <w:tcPr>
            <w:tcW w:w="3421" w:type="dxa"/>
          </w:tcPr>
          <w:p>
            <w:pPr>
              <w:pStyle w:val="TableParagraph"/>
              <w:spacing w:line="270" w:lineRule="atLeast"/>
              <w:ind w:left="107" w:right="567" w:firstLine="631"/>
              <w:rPr>
                <w:sz w:val="21"/>
              </w:rPr>
            </w:pPr>
            <w:r>
              <w:rPr>
                <w:spacing w:val="-1"/>
                <w:sz w:val="21"/>
              </w:rPr>
              <w:t>资产减值损失</w:t>
            </w:r>
            <w:r>
              <w:rPr>
                <w:sz w:val="21"/>
              </w:rPr>
              <w:t>（损失以“-”号填列） </w:t>
            </w:r>
          </w:p>
        </w:tc>
        <w:tc>
          <w:tcPr>
            <w:tcW w:w="1479" w:type="dxa"/>
          </w:tcPr>
          <w:p>
            <w:pPr>
              <w:pStyle w:val="TableParagraph"/>
              <w:spacing w:before="3"/>
              <w:ind w:left="104"/>
              <w:rPr>
                <w:sz w:val="21"/>
              </w:rPr>
            </w:pPr>
            <w:r>
              <w:rPr>
                <w:w w:val="100"/>
                <w:sz w:val="21"/>
              </w:rPr>
              <w:t> </w:t>
            </w:r>
          </w:p>
        </w:tc>
        <w:tc>
          <w:tcPr>
            <w:tcW w:w="1959" w:type="dxa"/>
          </w:tcPr>
          <w:p>
            <w:pPr>
              <w:pStyle w:val="TableParagraph"/>
              <w:spacing w:line="237" w:lineRule="exact"/>
              <w:ind w:right="96"/>
              <w:jc w:val="right"/>
              <w:rPr>
                <w:rFonts w:ascii="Times New Roman"/>
                <w:sz w:val="21"/>
              </w:rPr>
            </w:pPr>
            <w:r>
              <w:rPr>
                <w:rFonts w:ascii="Times New Roman"/>
                <w:w w:val="100"/>
                <w:sz w:val="21"/>
              </w:rPr>
              <w:t>-</w:t>
            </w:r>
          </w:p>
        </w:tc>
        <w:tc>
          <w:tcPr>
            <w:tcW w:w="1967" w:type="dxa"/>
          </w:tcPr>
          <w:p>
            <w:pPr>
              <w:pStyle w:val="TableParagraph"/>
              <w:spacing w:line="237" w:lineRule="exact"/>
              <w:ind w:right="97"/>
              <w:jc w:val="right"/>
              <w:rPr>
                <w:rFonts w:ascii="Times New Roman"/>
                <w:sz w:val="21"/>
              </w:rPr>
            </w:pPr>
            <w:r>
              <w:rPr>
                <w:rFonts w:ascii="Times New Roman"/>
                <w:w w:val="100"/>
                <w:sz w:val="21"/>
              </w:rPr>
              <w:t>-</w:t>
            </w:r>
          </w:p>
        </w:tc>
      </w:tr>
      <w:tr>
        <w:trPr>
          <w:trHeight w:val="544" w:hRule="atLeast"/>
        </w:trPr>
        <w:tc>
          <w:tcPr>
            <w:tcW w:w="3421" w:type="dxa"/>
          </w:tcPr>
          <w:p>
            <w:pPr>
              <w:pStyle w:val="TableParagraph"/>
              <w:spacing w:before="1"/>
              <w:ind w:left="738"/>
              <w:rPr>
                <w:sz w:val="21"/>
              </w:rPr>
            </w:pPr>
            <w:r>
              <w:rPr>
                <w:sz w:val="21"/>
              </w:rPr>
              <w:t>资产处置收益（损失以</w:t>
            </w:r>
          </w:p>
          <w:p>
            <w:pPr>
              <w:pStyle w:val="TableParagraph"/>
              <w:spacing w:line="252" w:lineRule="exact" w:before="2"/>
              <w:ind w:left="107"/>
              <w:rPr>
                <w:sz w:val="21"/>
              </w:rPr>
            </w:pPr>
            <w:r>
              <w:rPr>
                <w:sz w:val="21"/>
              </w:rPr>
              <w:t>“－”号填列） </w:t>
            </w:r>
          </w:p>
        </w:tc>
        <w:tc>
          <w:tcPr>
            <w:tcW w:w="1479" w:type="dxa"/>
          </w:tcPr>
          <w:p>
            <w:pPr>
              <w:pStyle w:val="TableParagraph"/>
              <w:spacing w:before="1"/>
              <w:ind w:left="104"/>
              <w:rPr>
                <w:sz w:val="21"/>
              </w:rPr>
            </w:pPr>
            <w:r>
              <w:rPr>
                <w:w w:val="100"/>
                <w:sz w:val="21"/>
              </w:rPr>
              <w:t> </w:t>
            </w:r>
          </w:p>
        </w:tc>
        <w:tc>
          <w:tcPr>
            <w:tcW w:w="1959" w:type="dxa"/>
          </w:tcPr>
          <w:p>
            <w:pPr>
              <w:pStyle w:val="TableParagraph"/>
              <w:spacing w:line="235" w:lineRule="exact"/>
              <w:ind w:right="96"/>
              <w:jc w:val="right"/>
              <w:rPr>
                <w:rFonts w:ascii="Times New Roman"/>
                <w:sz w:val="21"/>
              </w:rPr>
            </w:pPr>
            <w:r>
              <w:rPr>
                <w:rFonts w:ascii="Times New Roman"/>
                <w:w w:val="100"/>
                <w:sz w:val="21"/>
              </w:rPr>
              <w:t>-</w:t>
            </w:r>
          </w:p>
        </w:tc>
        <w:tc>
          <w:tcPr>
            <w:tcW w:w="1967" w:type="dxa"/>
          </w:tcPr>
          <w:p>
            <w:pPr>
              <w:pStyle w:val="TableParagraph"/>
              <w:spacing w:line="235" w:lineRule="exact"/>
              <w:ind w:right="97"/>
              <w:jc w:val="right"/>
              <w:rPr>
                <w:rFonts w:ascii="Times New Roman"/>
                <w:sz w:val="21"/>
              </w:rPr>
            </w:pPr>
            <w:r>
              <w:rPr>
                <w:rFonts w:ascii="Times New Roman"/>
                <w:w w:val="100"/>
                <w:sz w:val="21"/>
              </w:rPr>
              <w:t>-</w:t>
            </w:r>
          </w:p>
        </w:tc>
      </w:tr>
      <w:tr>
        <w:trPr>
          <w:trHeight w:val="544" w:hRule="atLeast"/>
        </w:trPr>
        <w:tc>
          <w:tcPr>
            <w:tcW w:w="3421" w:type="dxa"/>
          </w:tcPr>
          <w:p>
            <w:pPr>
              <w:pStyle w:val="TableParagraph"/>
              <w:spacing w:before="1"/>
              <w:ind w:left="88"/>
              <w:rPr>
                <w:sz w:val="21"/>
              </w:rPr>
            </w:pPr>
            <w:r>
              <w:rPr>
                <w:sz w:val="21"/>
              </w:rPr>
              <w:t>二、营业利润（亏损以“－”号填</w:t>
            </w:r>
          </w:p>
          <w:p>
            <w:pPr>
              <w:pStyle w:val="TableParagraph"/>
              <w:spacing w:line="252" w:lineRule="exact" w:before="2"/>
              <w:ind w:left="88"/>
              <w:rPr>
                <w:sz w:val="21"/>
              </w:rPr>
            </w:pPr>
            <w:r>
              <w:rPr>
                <w:sz w:val="21"/>
              </w:rPr>
              <w:t>列） </w:t>
            </w:r>
          </w:p>
        </w:tc>
        <w:tc>
          <w:tcPr>
            <w:tcW w:w="1479" w:type="dxa"/>
          </w:tcPr>
          <w:p>
            <w:pPr>
              <w:pStyle w:val="TableParagraph"/>
              <w:spacing w:before="1"/>
              <w:ind w:left="104"/>
              <w:rPr>
                <w:sz w:val="21"/>
              </w:rPr>
            </w:pPr>
            <w:r>
              <w:rPr>
                <w:w w:val="100"/>
                <w:sz w:val="21"/>
              </w:rPr>
              <w:t> </w:t>
            </w:r>
          </w:p>
        </w:tc>
        <w:tc>
          <w:tcPr>
            <w:tcW w:w="1959" w:type="dxa"/>
          </w:tcPr>
          <w:p>
            <w:pPr>
              <w:pStyle w:val="TableParagraph"/>
              <w:spacing w:before="144"/>
              <w:ind w:right="95"/>
              <w:jc w:val="right"/>
              <w:rPr>
                <w:rFonts w:ascii="Times New Roman"/>
                <w:sz w:val="21"/>
              </w:rPr>
            </w:pPr>
            <w:r>
              <w:rPr>
                <w:rFonts w:ascii="Times New Roman"/>
                <w:sz w:val="21"/>
              </w:rPr>
              <w:t>10,503,403</w:t>
            </w:r>
          </w:p>
        </w:tc>
        <w:tc>
          <w:tcPr>
            <w:tcW w:w="1967" w:type="dxa"/>
          </w:tcPr>
          <w:p>
            <w:pPr>
              <w:pStyle w:val="TableParagraph"/>
              <w:spacing w:before="144"/>
              <w:ind w:left="911"/>
              <w:rPr>
                <w:rFonts w:ascii="Times New Roman"/>
                <w:sz w:val="21"/>
              </w:rPr>
            </w:pPr>
            <w:r>
              <w:rPr>
                <w:rFonts w:ascii="Times New Roman"/>
                <w:sz w:val="21"/>
              </w:rPr>
              <w:t>13,555,733</w:t>
            </w:r>
          </w:p>
        </w:tc>
      </w:tr>
      <w:tr>
        <w:trPr>
          <w:trHeight w:val="270" w:hRule="atLeast"/>
        </w:trPr>
        <w:tc>
          <w:tcPr>
            <w:tcW w:w="3421" w:type="dxa"/>
          </w:tcPr>
          <w:p>
            <w:pPr>
              <w:pStyle w:val="TableParagraph"/>
              <w:spacing w:line="250" w:lineRule="exact" w:before="1"/>
              <w:ind w:left="318"/>
              <w:rPr>
                <w:sz w:val="21"/>
              </w:rPr>
            </w:pPr>
            <w:r>
              <w:rPr>
                <w:spacing w:val="-1"/>
                <w:sz w:val="21"/>
              </w:rPr>
              <w:t>加：营业外收入</w:t>
            </w:r>
            <w:r>
              <w:rPr>
                <w:sz w:val="21"/>
              </w:rPr>
              <w:t> </w:t>
            </w:r>
          </w:p>
        </w:tc>
        <w:tc>
          <w:tcPr>
            <w:tcW w:w="1479" w:type="dxa"/>
          </w:tcPr>
          <w:p>
            <w:pPr>
              <w:pStyle w:val="TableParagraph"/>
              <w:spacing w:line="250" w:lineRule="exact" w:before="1"/>
              <w:ind w:left="104"/>
              <w:rPr>
                <w:sz w:val="21"/>
              </w:rPr>
            </w:pPr>
            <w:r>
              <w:rPr>
                <w:w w:val="100"/>
                <w:sz w:val="21"/>
              </w:rPr>
              <w:t> </w:t>
            </w:r>
          </w:p>
        </w:tc>
        <w:tc>
          <w:tcPr>
            <w:tcW w:w="1959" w:type="dxa"/>
          </w:tcPr>
          <w:p>
            <w:pPr>
              <w:pStyle w:val="TableParagraph"/>
              <w:spacing w:line="235" w:lineRule="exact"/>
              <w:ind w:right="96"/>
              <w:jc w:val="right"/>
              <w:rPr>
                <w:rFonts w:ascii="Times New Roman"/>
                <w:sz w:val="21"/>
              </w:rPr>
            </w:pPr>
            <w:r>
              <w:rPr>
                <w:rFonts w:ascii="Times New Roman"/>
                <w:w w:val="100"/>
                <w:sz w:val="21"/>
              </w:rPr>
              <w:t>-</w:t>
            </w:r>
          </w:p>
        </w:tc>
        <w:tc>
          <w:tcPr>
            <w:tcW w:w="1967" w:type="dxa"/>
          </w:tcPr>
          <w:p>
            <w:pPr>
              <w:pStyle w:val="TableParagraph"/>
              <w:spacing w:line="235" w:lineRule="exact"/>
              <w:ind w:right="97"/>
              <w:jc w:val="right"/>
              <w:rPr>
                <w:rFonts w:ascii="Times New Roman"/>
                <w:sz w:val="21"/>
              </w:rPr>
            </w:pPr>
            <w:r>
              <w:rPr>
                <w:rFonts w:ascii="Times New Roman"/>
                <w:w w:val="100"/>
                <w:sz w:val="21"/>
              </w:rPr>
              <w:t>-</w:t>
            </w:r>
          </w:p>
        </w:tc>
      </w:tr>
      <w:tr>
        <w:trPr>
          <w:trHeight w:val="273" w:hRule="atLeast"/>
        </w:trPr>
        <w:tc>
          <w:tcPr>
            <w:tcW w:w="3421" w:type="dxa"/>
          </w:tcPr>
          <w:p>
            <w:pPr>
              <w:pStyle w:val="TableParagraph"/>
              <w:spacing w:line="250" w:lineRule="exact" w:before="3"/>
              <w:ind w:left="318"/>
              <w:rPr>
                <w:sz w:val="21"/>
              </w:rPr>
            </w:pPr>
            <w:r>
              <w:rPr>
                <w:spacing w:val="-1"/>
                <w:sz w:val="21"/>
              </w:rPr>
              <w:t>减：营业外支出</w:t>
            </w:r>
            <w:r>
              <w:rPr>
                <w:sz w:val="21"/>
              </w:rPr>
              <w:t> </w:t>
            </w:r>
          </w:p>
        </w:tc>
        <w:tc>
          <w:tcPr>
            <w:tcW w:w="1479" w:type="dxa"/>
          </w:tcPr>
          <w:p>
            <w:pPr>
              <w:pStyle w:val="TableParagraph"/>
              <w:spacing w:line="250" w:lineRule="exact" w:before="3"/>
              <w:ind w:left="104"/>
              <w:rPr>
                <w:sz w:val="21"/>
              </w:rPr>
            </w:pPr>
            <w:r>
              <w:rPr>
                <w:w w:val="100"/>
                <w:sz w:val="21"/>
              </w:rPr>
              <w:t> </w:t>
            </w:r>
          </w:p>
        </w:tc>
        <w:tc>
          <w:tcPr>
            <w:tcW w:w="1959" w:type="dxa"/>
          </w:tcPr>
          <w:p>
            <w:pPr>
              <w:pStyle w:val="TableParagraph"/>
              <w:spacing w:before="10"/>
              <w:ind w:right="96"/>
              <w:jc w:val="right"/>
              <w:rPr>
                <w:rFonts w:ascii="Times New Roman"/>
                <w:sz w:val="21"/>
              </w:rPr>
            </w:pPr>
            <w:r>
              <w:rPr>
                <w:rFonts w:ascii="Times New Roman"/>
                <w:w w:val="100"/>
                <w:sz w:val="21"/>
              </w:rPr>
              <w:t>-</w:t>
            </w:r>
          </w:p>
        </w:tc>
        <w:tc>
          <w:tcPr>
            <w:tcW w:w="1967" w:type="dxa"/>
          </w:tcPr>
          <w:p>
            <w:pPr>
              <w:pStyle w:val="TableParagraph"/>
              <w:spacing w:before="10"/>
              <w:ind w:left="1103"/>
              <w:rPr>
                <w:rFonts w:ascii="Times New Roman"/>
                <w:sz w:val="21"/>
              </w:rPr>
            </w:pPr>
            <w:r>
              <w:rPr>
                <w:rFonts w:ascii="Times New Roman"/>
                <w:sz w:val="21"/>
              </w:rPr>
              <w:t>-100,316</w:t>
            </w:r>
          </w:p>
        </w:tc>
      </w:tr>
      <w:tr>
        <w:trPr>
          <w:trHeight w:val="544" w:hRule="atLeast"/>
        </w:trPr>
        <w:tc>
          <w:tcPr>
            <w:tcW w:w="3421" w:type="dxa"/>
          </w:tcPr>
          <w:p>
            <w:pPr>
              <w:pStyle w:val="TableParagraph"/>
              <w:spacing w:before="1"/>
              <w:ind w:left="88"/>
              <w:rPr>
                <w:sz w:val="21"/>
              </w:rPr>
            </w:pPr>
            <w:r>
              <w:rPr>
                <w:sz w:val="21"/>
              </w:rPr>
              <w:t>三、利润总额（亏损总额以“－”</w:t>
            </w:r>
          </w:p>
          <w:p>
            <w:pPr>
              <w:pStyle w:val="TableParagraph"/>
              <w:spacing w:line="250" w:lineRule="exact" w:before="4"/>
              <w:ind w:left="88"/>
              <w:rPr>
                <w:sz w:val="21"/>
              </w:rPr>
            </w:pPr>
            <w:r>
              <w:rPr>
                <w:spacing w:val="-1"/>
                <w:sz w:val="21"/>
              </w:rPr>
              <w:t>号填列</w:t>
            </w:r>
            <w:r>
              <w:rPr>
                <w:sz w:val="21"/>
              </w:rPr>
              <w:t>） </w:t>
            </w:r>
          </w:p>
        </w:tc>
        <w:tc>
          <w:tcPr>
            <w:tcW w:w="1479" w:type="dxa"/>
          </w:tcPr>
          <w:p>
            <w:pPr>
              <w:pStyle w:val="TableParagraph"/>
              <w:spacing w:before="1"/>
              <w:ind w:left="104"/>
              <w:rPr>
                <w:sz w:val="21"/>
              </w:rPr>
            </w:pPr>
            <w:r>
              <w:rPr>
                <w:w w:val="100"/>
                <w:sz w:val="21"/>
              </w:rPr>
              <w:t> </w:t>
            </w:r>
          </w:p>
        </w:tc>
        <w:tc>
          <w:tcPr>
            <w:tcW w:w="1959" w:type="dxa"/>
          </w:tcPr>
          <w:p>
            <w:pPr>
              <w:pStyle w:val="TableParagraph"/>
              <w:spacing w:before="144"/>
              <w:ind w:right="95"/>
              <w:jc w:val="right"/>
              <w:rPr>
                <w:rFonts w:ascii="Times New Roman"/>
                <w:sz w:val="21"/>
              </w:rPr>
            </w:pPr>
            <w:r>
              <w:rPr>
                <w:rFonts w:ascii="Times New Roman"/>
                <w:sz w:val="21"/>
              </w:rPr>
              <w:t>10,503,403</w:t>
            </w:r>
          </w:p>
        </w:tc>
        <w:tc>
          <w:tcPr>
            <w:tcW w:w="1967" w:type="dxa"/>
          </w:tcPr>
          <w:p>
            <w:pPr>
              <w:pStyle w:val="TableParagraph"/>
              <w:spacing w:before="144"/>
              <w:ind w:left="911"/>
              <w:rPr>
                <w:rFonts w:ascii="Times New Roman"/>
                <w:sz w:val="21"/>
              </w:rPr>
            </w:pPr>
            <w:r>
              <w:rPr>
                <w:rFonts w:ascii="Times New Roman"/>
                <w:sz w:val="21"/>
              </w:rPr>
              <w:t>13,455,417</w:t>
            </w:r>
          </w:p>
        </w:tc>
      </w:tr>
      <w:tr>
        <w:trPr>
          <w:trHeight w:val="273" w:hRule="atLeast"/>
        </w:trPr>
        <w:tc>
          <w:tcPr>
            <w:tcW w:w="3421" w:type="dxa"/>
          </w:tcPr>
          <w:p>
            <w:pPr>
              <w:pStyle w:val="TableParagraph"/>
              <w:spacing w:line="252" w:lineRule="exact" w:before="1"/>
              <w:ind w:left="508"/>
              <w:rPr>
                <w:sz w:val="21"/>
              </w:rPr>
            </w:pPr>
            <w:r>
              <w:rPr>
                <w:sz w:val="21"/>
              </w:rPr>
              <w:t>减：所得税费用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spacing w:before="10"/>
              <w:ind w:right="97"/>
              <w:jc w:val="right"/>
              <w:rPr>
                <w:rFonts w:ascii="Times New Roman"/>
                <w:sz w:val="21"/>
              </w:rPr>
            </w:pPr>
            <w:r>
              <w:rPr>
                <w:rFonts w:ascii="Times New Roman"/>
                <w:sz w:val="21"/>
              </w:rPr>
              <w:t>-125,191</w:t>
            </w:r>
          </w:p>
        </w:tc>
        <w:tc>
          <w:tcPr>
            <w:tcW w:w="1967" w:type="dxa"/>
          </w:tcPr>
          <w:p>
            <w:pPr>
              <w:pStyle w:val="TableParagraph"/>
              <w:spacing w:before="10"/>
              <w:ind w:left="1103"/>
              <w:rPr>
                <w:rFonts w:ascii="Times New Roman"/>
                <w:sz w:val="21"/>
              </w:rPr>
            </w:pPr>
            <w:r>
              <w:rPr>
                <w:rFonts w:ascii="Times New Roman"/>
                <w:sz w:val="21"/>
              </w:rPr>
              <w:t>-113,390</w:t>
            </w:r>
          </w:p>
        </w:tc>
      </w:tr>
      <w:tr>
        <w:trPr>
          <w:trHeight w:val="544" w:hRule="atLeast"/>
        </w:trPr>
        <w:tc>
          <w:tcPr>
            <w:tcW w:w="3421" w:type="dxa"/>
          </w:tcPr>
          <w:p>
            <w:pPr>
              <w:pStyle w:val="TableParagraph"/>
              <w:spacing w:before="1"/>
              <w:ind w:left="88"/>
              <w:rPr>
                <w:sz w:val="21"/>
              </w:rPr>
            </w:pPr>
            <w:r>
              <w:rPr>
                <w:sz w:val="21"/>
              </w:rPr>
              <w:t>四、净利润（净亏损以“－”号填</w:t>
            </w:r>
          </w:p>
          <w:p>
            <w:pPr>
              <w:pStyle w:val="TableParagraph"/>
              <w:spacing w:line="252" w:lineRule="exact" w:before="2"/>
              <w:ind w:left="88"/>
              <w:rPr>
                <w:sz w:val="21"/>
              </w:rPr>
            </w:pPr>
            <w:r>
              <w:rPr>
                <w:sz w:val="21"/>
              </w:rPr>
              <w:t>列） </w:t>
            </w:r>
          </w:p>
        </w:tc>
        <w:tc>
          <w:tcPr>
            <w:tcW w:w="1479" w:type="dxa"/>
          </w:tcPr>
          <w:p>
            <w:pPr>
              <w:pStyle w:val="TableParagraph"/>
              <w:spacing w:before="1"/>
              <w:ind w:left="104"/>
              <w:rPr>
                <w:sz w:val="21"/>
              </w:rPr>
            </w:pPr>
            <w:r>
              <w:rPr>
                <w:w w:val="100"/>
                <w:sz w:val="21"/>
              </w:rPr>
              <w:t> </w:t>
            </w:r>
          </w:p>
        </w:tc>
        <w:tc>
          <w:tcPr>
            <w:tcW w:w="1959" w:type="dxa"/>
          </w:tcPr>
          <w:p>
            <w:pPr>
              <w:pStyle w:val="TableParagraph"/>
              <w:spacing w:before="144"/>
              <w:ind w:right="95"/>
              <w:jc w:val="right"/>
              <w:rPr>
                <w:rFonts w:ascii="Times New Roman"/>
                <w:sz w:val="21"/>
              </w:rPr>
            </w:pPr>
            <w:r>
              <w:rPr>
                <w:rFonts w:ascii="Times New Roman"/>
                <w:sz w:val="21"/>
              </w:rPr>
              <w:t>10,378,212</w:t>
            </w:r>
          </w:p>
        </w:tc>
        <w:tc>
          <w:tcPr>
            <w:tcW w:w="1967" w:type="dxa"/>
          </w:tcPr>
          <w:p>
            <w:pPr>
              <w:pStyle w:val="TableParagraph"/>
              <w:spacing w:before="144"/>
              <w:ind w:left="911"/>
              <w:rPr>
                <w:rFonts w:ascii="Times New Roman"/>
                <w:sz w:val="21"/>
              </w:rPr>
            </w:pPr>
            <w:r>
              <w:rPr>
                <w:rFonts w:ascii="Times New Roman"/>
                <w:sz w:val="21"/>
              </w:rPr>
              <w:t>13,342,027</w:t>
            </w:r>
          </w:p>
        </w:tc>
      </w:tr>
      <w:tr>
        <w:trPr>
          <w:trHeight w:val="544" w:hRule="atLeast"/>
        </w:trPr>
        <w:tc>
          <w:tcPr>
            <w:tcW w:w="3421" w:type="dxa"/>
          </w:tcPr>
          <w:p>
            <w:pPr>
              <w:pStyle w:val="TableParagraph"/>
              <w:spacing w:before="1"/>
              <w:ind w:left="335"/>
              <w:rPr>
                <w:sz w:val="21"/>
              </w:rPr>
            </w:pPr>
            <w:r>
              <w:rPr>
                <w:sz w:val="21"/>
              </w:rPr>
              <w:t>（一）持续经营净利润（净亏损</w:t>
            </w:r>
          </w:p>
          <w:p>
            <w:pPr>
              <w:pStyle w:val="TableParagraph"/>
              <w:spacing w:line="250" w:lineRule="exact" w:before="5"/>
              <w:ind w:left="107"/>
              <w:rPr>
                <w:sz w:val="21"/>
              </w:rPr>
            </w:pPr>
            <w:r>
              <w:rPr>
                <w:sz w:val="21"/>
              </w:rPr>
              <w:t>以“－”号填列） </w:t>
            </w:r>
          </w:p>
        </w:tc>
        <w:tc>
          <w:tcPr>
            <w:tcW w:w="1479" w:type="dxa"/>
          </w:tcPr>
          <w:p>
            <w:pPr>
              <w:pStyle w:val="TableParagraph"/>
              <w:spacing w:before="1"/>
              <w:ind w:left="104"/>
              <w:rPr>
                <w:sz w:val="21"/>
              </w:rPr>
            </w:pPr>
            <w:r>
              <w:rPr>
                <w:w w:val="100"/>
                <w:sz w:val="21"/>
              </w:rPr>
              <w:t> </w:t>
            </w:r>
          </w:p>
        </w:tc>
        <w:tc>
          <w:tcPr>
            <w:tcW w:w="1959" w:type="dxa"/>
          </w:tcPr>
          <w:p>
            <w:pPr>
              <w:pStyle w:val="TableParagraph"/>
              <w:spacing w:before="145"/>
              <w:ind w:right="95"/>
              <w:jc w:val="right"/>
              <w:rPr>
                <w:rFonts w:ascii="Times New Roman"/>
                <w:sz w:val="21"/>
              </w:rPr>
            </w:pPr>
            <w:r>
              <w:rPr>
                <w:rFonts w:ascii="Times New Roman"/>
                <w:sz w:val="21"/>
              </w:rPr>
              <w:t>10,378,212</w:t>
            </w:r>
          </w:p>
        </w:tc>
        <w:tc>
          <w:tcPr>
            <w:tcW w:w="1967" w:type="dxa"/>
          </w:tcPr>
          <w:p>
            <w:pPr>
              <w:pStyle w:val="TableParagraph"/>
              <w:spacing w:before="145"/>
              <w:ind w:left="911"/>
              <w:rPr>
                <w:rFonts w:ascii="Times New Roman"/>
                <w:sz w:val="21"/>
              </w:rPr>
            </w:pPr>
            <w:r>
              <w:rPr>
                <w:rFonts w:ascii="Times New Roman"/>
                <w:sz w:val="21"/>
              </w:rPr>
              <w:t>13,342,027</w:t>
            </w:r>
          </w:p>
        </w:tc>
      </w:tr>
      <w:tr>
        <w:trPr>
          <w:trHeight w:val="544" w:hRule="atLeast"/>
        </w:trPr>
        <w:tc>
          <w:tcPr>
            <w:tcW w:w="3421" w:type="dxa"/>
          </w:tcPr>
          <w:p>
            <w:pPr>
              <w:pStyle w:val="TableParagraph"/>
              <w:spacing w:before="1"/>
              <w:ind w:left="335"/>
              <w:rPr>
                <w:sz w:val="21"/>
              </w:rPr>
            </w:pPr>
            <w:r>
              <w:rPr>
                <w:sz w:val="21"/>
              </w:rPr>
              <w:t>（二）终止经营净利润（净亏损</w:t>
            </w:r>
          </w:p>
          <w:p>
            <w:pPr>
              <w:pStyle w:val="TableParagraph"/>
              <w:spacing w:line="250" w:lineRule="exact" w:before="4"/>
              <w:ind w:left="107"/>
              <w:rPr>
                <w:sz w:val="21"/>
              </w:rPr>
            </w:pPr>
            <w:r>
              <w:rPr>
                <w:spacing w:val="-1"/>
                <w:sz w:val="21"/>
              </w:rPr>
              <w:t>以“－”号填列</w:t>
            </w:r>
            <w:r>
              <w:rPr>
                <w:sz w:val="21"/>
              </w:rPr>
              <w:t>）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2" w:lineRule="exact" w:before="1"/>
              <w:ind w:left="67"/>
              <w:rPr>
                <w:sz w:val="21"/>
              </w:rPr>
            </w:pPr>
            <w:r>
              <w:rPr>
                <w:spacing w:val="-1"/>
                <w:sz w:val="21"/>
              </w:rPr>
              <w:t>五、其他综合收益的税后净额</w:t>
            </w:r>
            <w:r>
              <w:rPr>
                <w:sz w:val="21"/>
              </w:rPr>
              <w:t>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318"/>
              <w:rPr>
                <w:sz w:val="21"/>
              </w:rPr>
            </w:pPr>
            <w:r>
              <w:rPr>
                <w:sz w:val="21"/>
              </w:rPr>
              <w:t>（一）不能重分类进损益的其他</w:t>
            </w:r>
          </w:p>
          <w:p>
            <w:pPr>
              <w:pStyle w:val="TableParagraph"/>
              <w:spacing w:line="252" w:lineRule="exact" w:before="2"/>
              <w:ind w:left="107"/>
              <w:rPr>
                <w:sz w:val="21"/>
              </w:rPr>
            </w:pPr>
            <w:r>
              <w:rPr>
                <w:spacing w:val="-1"/>
                <w:sz w:val="21"/>
              </w:rPr>
              <w:t>综合收益</w:t>
            </w:r>
            <w:r>
              <w:rPr>
                <w:sz w:val="21"/>
              </w:rPr>
              <w:t>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527"/>
              <w:rPr>
                <w:sz w:val="21"/>
              </w:rPr>
            </w:pPr>
            <w:r>
              <w:rPr>
                <w:sz w:val="21"/>
              </w:rPr>
              <w:t>1.重新计量设定受益计划变动</w:t>
            </w:r>
          </w:p>
          <w:p>
            <w:pPr>
              <w:pStyle w:val="TableParagraph"/>
              <w:spacing w:line="250" w:lineRule="exact" w:before="4"/>
              <w:ind w:left="107"/>
              <w:rPr>
                <w:sz w:val="21"/>
              </w:rPr>
            </w:pPr>
            <w:r>
              <w:rPr>
                <w:sz w:val="21"/>
              </w:rPr>
              <w:t>额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527"/>
              <w:rPr>
                <w:sz w:val="21"/>
              </w:rPr>
            </w:pPr>
            <w:r>
              <w:rPr>
                <w:sz w:val="21"/>
              </w:rPr>
              <w:t>2.权益法下不能转损益的其他</w:t>
            </w:r>
          </w:p>
          <w:p>
            <w:pPr>
              <w:pStyle w:val="TableParagraph"/>
              <w:spacing w:line="250" w:lineRule="exact" w:before="4"/>
              <w:ind w:left="107"/>
              <w:rPr>
                <w:sz w:val="21"/>
              </w:rPr>
            </w:pPr>
            <w:r>
              <w:rPr>
                <w:spacing w:val="-1"/>
                <w:sz w:val="21"/>
              </w:rPr>
              <w:t>综合收益</w:t>
            </w:r>
            <w:r>
              <w:rPr>
                <w:sz w:val="21"/>
              </w:rPr>
              <w:t>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527"/>
              <w:rPr>
                <w:sz w:val="21"/>
              </w:rPr>
            </w:pPr>
            <w:r>
              <w:rPr>
                <w:sz w:val="21"/>
              </w:rPr>
              <w:t>3.其他权益工具投资公允价值</w:t>
            </w:r>
          </w:p>
          <w:p>
            <w:pPr>
              <w:pStyle w:val="TableParagraph"/>
              <w:spacing w:line="250" w:lineRule="exact" w:before="4"/>
              <w:ind w:left="107"/>
              <w:rPr>
                <w:sz w:val="21"/>
              </w:rPr>
            </w:pPr>
            <w:r>
              <w:rPr>
                <w:sz w:val="21"/>
              </w:rPr>
              <w:t>变动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527"/>
              <w:rPr>
                <w:sz w:val="21"/>
              </w:rPr>
            </w:pPr>
            <w:r>
              <w:rPr>
                <w:sz w:val="21"/>
              </w:rPr>
              <w:t>4.企业自身信用风险公允价值</w:t>
            </w:r>
          </w:p>
          <w:p>
            <w:pPr>
              <w:pStyle w:val="TableParagraph"/>
              <w:spacing w:line="250" w:lineRule="exact" w:before="5"/>
              <w:ind w:left="107"/>
              <w:rPr>
                <w:sz w:val="21"/>
              </w:rPr>
            </w:pPr>
            <w:r>
              <w:rPr>
                <w:sz w:val="21"/>
              </w:rPr>
              <w:t>变动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6" w:hRule="atLeast"/>
        </w:trPr>
        <w:tc>
          <w:tcPr>
            <w:tcW w:w="3421" w:type="dxa"/>
          </w:tcPr>
          <w:p>
            <w:pPr>
              <w:pStyle w:val="TableParagraph"/>
              <w:spacing w:line="270" w:lineRule="atLeast"/>
              <w:ind w:left="107" w:right="144" w:firstLine="211"/>
              <w:rPr>
                <w:sz w:val="21"/>
              </w:rPr>
            </w:pPr>
            <w:r>
              <w:rPr>
                <w:sz w:val="21"/>
              </w:rPr>
              <w:t>（二）将重分类进损益的其他综合收益 </w:t>
            </w:r>
          </w:p>
        </w:tc>
        <w:tc>
          <w:tcPr>
            <w:tcW w:w="1479" w:type="dxa"/>
          </w:tcPr>
          <w:p>
            <w:pPr>
              <w:pStyle w:val="TableParagraph"/>
              <w:spacing w:before="3"/>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527"/>
              <w:rPr>
                <w:sz w:val="21"/>
              </w:rPr>
            </w:pPr>
            <w:r>
              <w:rPr>
                <w:sz w:val="21"/>
              </w:rPr>
              <w:t>1.权益法下可转损益的其他综</w:t>
            </w:r>
          </w:p>
          <w:p>
            <w:pPr>
              <w:pStyle w:val="TableParagraph"/>
              <w:spacing w:line="252" w:lineRule="exact" w:before="2"/>
              <w:ind w:left="107"/>
              <w:rPr>
                <w:sz w:val="21"/>
              </w:rPr>
            </w:pPr>
            <w:r>
              <w:rPr>
                <w:sz w:val="21"/>
              </w:rPr>
              <w:t>合收益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0" w:hRule="atLeast"/>
        </w:trPr>
        <w:tc>
          <w:tcPr>
            <w:tcW w:w="3421" w:type="dxa"/>
          </w:tcPr>
          <w:p>
            <w:pPr>
              <w:pStyle w:val="TableParagraph"/>
              <w:spacing w:line="250" w:lineRule="exact" w:before="1"/>
              <w:ind w:right="43"/>
              <w:jc w:val="right"/>
              <w:rPr>
                <w:sz w:val="21"/>
              </w:rPr>
            </w:pPr>
            <w:r>
              <w:rPr>
                <w:sz w:val="21"/>
              </w:rPr>
              <w:t>2.其他债权投资公允价值变动 </w:t>
            </w:r>
          </w:p>
        </w:tc>
        <w:tc>
          <w:tcPr>
            <w:tcW w:w="1479" w:type="dxa"/>
          </w:tcPr>
          <w:p>
            <w:pPr>
              <w:pStyle w:val="TableParagraph"/>
              <w:spacing w:line="250" w:lineRule="exact"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527"/>
              <w:rPr>
                <w:sz w:val="21"/>
              </w:rPr>
            </w:pPr>
            <w:r>
              <w:rPr>
                <w:sz w:val="21"/>
              </w:rPr>
              <w:t>3.金融资产重分类计入其他综</w:t>
            </w:r>
          </w:p>
          <w:p>
            <w:pPr>
              <w:pStyle w:val="TableParagraph"/>
              <w:spacing w:line="250" w:lineRule="exact" w:before="4"/>
              <w:ind w:left="107"/>
              <w:rPr>
                <w:sz w:val="21"/>
              </w:rPr>
            </w:pPr>
            <w:r>
              <w:rPr>
                <w:spacing w:val="-1"/>
                <w:sz w:val="21"/>
              </w:rPr>
              <w:t>合收益的金额</w:t>
            </w:r>
            <w:r>
              <w:rPr>
                <w:sz w:val="21"/>
              </w:rPr>
              <w:t> </w:t>
            </w:r>
          </w:p>
        </w:tc>
        <w:tc>
          <w:tcPr>
            <w:tcW w:w="1479" w:type="dxa"/>
          </w:tcPr>
          <w:p>
            <w:pPr>
              <w:pStyle w:val="TableParagraph"/>
              <w:spacing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0" w:lineRule="exact" w:before="3"/>
              <w:ind w:right="43"/>
              <w:jc w:val="right"/>
              <w:rPr>
                <w:sz w:val="21"/>
              </w:rPr>
            </w:pPr>
            <w:r>
              <w:rPr>
                <w:sz w:val="21"/>
              </w:rPr>
              <w:t>4.其他债权投资信用减值准备 </w:t>
            </w:r>
          </w:p>
        </w:tc>
        <w:tc>
          <w:tcPr>
            <w:tcW w:w="1479" w:type="dxa"/>
          </w:tcPr>
          <w:p>
            <w:pPr>
              <w:pStyle w:val="TableParagraph"/>
              <w:spacing w:line="250" w:lineRule="exact" w:before="3"/>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2" w:lineRule="exact" w:before="1"/>
              <w:ind w:left="527"/>
              <w:rPr>
                <w:sz w:val="21"/>
              </w:rPr>
            </w:pPr>
            <w:r>
              <w:rPr>
                <w:sz w:val="21"/>
              </w:rPr>
              <w:t>5.现金流量套期储备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0" w:hRule="atLeast"/>
        </w:trPr>
        <w:tc>
          <w:tcPr>
            <w:tcW w:w="3421" w:type="dxa"/>
          </w:tcPr>
          <w:p>
            <w:pPr>
              <w:pStyle w:val="TableParagraph"/>
              <w:spacing w:line="250" w:lineRule="exact" w:before="1"/>
              <w:ind w:left="527"/>
              <w:rPr>
                <w:sz w:val="21"/>
              </w:rPr>
            </w:pPr>
            <w:r>
              <w:rPr>
                <w:sz w:val="21"/>
              </w:rPr>
              <w:t>6.外币财务报表折算差额 </w:t>
            </w:r>
          </w:p>
        </w:tc>
        <w:tc>
          <w:tcPr>
            <w:tcW w:w="1479" w:type="dxa"/>
          </w:tcPr>
          <w:p>
            <w:pPr>
              <w:pStyle w:val="TableParagraph"/>
              <w:spacing w:line="250" w:lineRule="exact" w:before="1"/>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0" w:lineRule="exact" w:before="3"/>
              <w:ind w:left="527"/>
              <w:rPr>
                <w:sz w:val="21"/>
              </w:rPr>
            </w:pPr>
            <w:r>
              <w:rPr>
                <w:sz w:val="21"/>
              </w:rPr>
              <w:t>7.其他 </w:t>
            </w:r>
          </w:p>
        </w:tc>
        <w:tc>
          <w:tcPr>
            <w:tcW w:w="1479" w:type="dxa"/>
          </w:tcPr>
          <w:p>
            <w:pPr>
              <w:pStyle w:val="TableParagraph"/>
              <w:spacing w:line="250" w:lineRule="exact" w:before="3"/>
              <w:ind w:left="104"/>
              <w:rPr>
                <w:sz w:val="21"/>
              </w:rPr>
            </w:pPr>
            <w:r>
              <w:rPr>
                <w:w w:val="100"/>
                <w:sz w:val="21"/>
              </w:rPr>
              <w:t> </w:t>
            </w: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2" w:lineRule="exact" w:before="1"/>
              <w:ind w:left="88"/>
              <w:rPr>
                <w:sz w:val="21"/>
              </w:rPr>
            </w:pPr>
            <w:r>
              <w:rPr>
                <w:spacing w:val="-1"/>
                <w:sz w:val="21"/>
              </w:rPr>
              <w:t>六、综合收益总额</w:t>
            </w:r>
            <w:r>
              <w:rPr>
                <w:sz w:val="21"/>
              </w:rPr>
              <w:t>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spacing w:before="10"/>
              <w:ind w:right="95"/>
              <w:jc w:val="right"/>
              <w:rPr>
                <w:rFonts w:ascii="Times New Roman"/>
                <w:sz w:val="21"/>
              </w:rPr>
            </w:pPr>
            <w:r>
              <w:rPr>
                <w:rFonts w:ascii="Times New Roman"/>
                <w:sz w:val="21"/>
              </w:rPr>
              <w:t>10,378,212</w:t>
            </w:r>
          </w:p>
        </w:tc>
        <w:tc>
          <w:tcPr>
            <w:tcW w:w="1967" w:type="dxa"/>
          </w:tcPr>
          <w:p>
            <w:pPr>
              <w:pStyle w:val="TableParagraph"/>
              <w:spacing w:before="10"/>
              <w:ind w:left="911"/>
              <w:rPr>
                <w:rFonts w:ascii="Times New Roman"/>
                <w:sz w:val="21"/>
              </w:rPr>
            </w:pPr>
            <w:r>
              <w:rPr>
                <w:rFonts w:ascii="Times New Roman"/>
                <w:sz w:val="21"/>
              </w:rPr>
              <w:t>13,342,027</w:t>
            </w:r>
          </w:p>
        </w:tc>
      </w:tr>
      <w:tr>
        <w:trPr>
          <w:trHeight w:val="270" w:hRule="atLeast"/>
        </w:trPr>
        <w:tc>
          <w:tcPr>
            <w:tcW w:w="8826" w:type="dxa"/>
            <w:gridSpan w:val="4"/>
          </w:tcPr>
          <w:p>
            <w:pPr>
              <w:pStyle w:val="TableParagraph"/>
              <w:spacing w:line="250" w:lineRule="exact" w:before="1"/>
              <w:ind w:left="107"/>
              <w:rPr>
                <w:sz w:val="21"/>
              </w:rPr>
            </w:pPr>
            <w:r>
              <w:rPr>
                <w:sz w:val="21"/>
              </w:rPr>
              <w:t>七、每股收益： </w:t>
            </w:r>
          </w:p>
        </w:tc>
      </w:tr>
      <w:tr>
        <w:trPr>
          <w:trHeight w:val="273" w:hRule="atLeast"/>
        </w:trPr>
        <w:tc>
          <w:tcPr>
            <w:tcW w:w="3421" w:type="dxa"/>
          </w:tcPr>
          <w:p>
            <w:pPr>
              <w:pStyle w:val="TableParagraph"/>
              <w:spacing w:line="252" w:lineRule="exact" w:before="1"/>
              <w:ind w:left="508"/>
              <w:rPr>
                <w:sz w:val="21"/>
              </w:rPr>
            </w:pPr>
            <w:r>
              <w:rPr>
                <w:sz w:val="21"/>
              </w:rPr>
              <w:t>（一）基本每股收益(元/股)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spacing w:line="252" w:lineRule="exact" w:before="1"/>
              <w:ind w:right="-29"/>
              <w:jc w:val="right"/>
              <w:rPr>
                <w:sz w:val="24"/>
              </w:rPr>
            </w:pPr>
            <w:r>
              <w:rPr>
                <w:sz w:val="21"/>
              </w:rPr>
              <w:t>——</w:t>
            </w:r>
            <w:r>
              <w:rPr>
                <w:sz w:val="24"/>
              </w:rPr>
              <w:t> </w:t>
            </w:r>
          </w:p>
        </w:tc>
        <w:tc>
          <w:tcPr>
            <w:tcW w:w="1967" w:type="dxa"/>
          </w:tcPr>
          <w:p>
            <w:pPr>
              <w:pStyle w:val="TableParagraph"/>
              <w:spacing w:line="252" w:lineRule="exact" w:before="1"/>
              <w:ind w:right="-15"/>
              <w:jc w:val="right"/>
              <w:rPr>
                <w:sz w:val="21"/>
              </w:rPr>
            </w:pPr>
            <w:r>
              <w:rPr>
                <w:sz w:val="21"/>
              </w:rPr>
              <w:t>—— </w:t>
            </w:r>
          </w:p>
        </w:tc>
      </w:tr>
      <w:tr>
        <w:trPr>
          <w:trHeight w:val="273" w:hRule="atLeast"/>
        </w:trPr>
        <w:tc>
          <w:tcPr>
            <w:tcW w:w="3421" w:type="dxa"/>
          </w:tcPr>
          <w:p>
            <w:pPr>
              <w:pStyle w:val="TableParagraph"/>
              <w:spacing w:line="252" w:lineRule="exact" w:before="1"/>
              <w:ind w:left="508"/>
              <w:rPr>
                <w:sz w:val="21"/>
              </w:rPr>
            </w:pPr>
            <w:r>
              <w:rPr>
                <w:sz w:val="21"/>
              </w:rPr>
              <w:t>（二）稀释每股收益(元/股) </w:t>
            </w:r>
          </w:p>
        </w:tc>
        <w:tc>
          <w:tcPr>
            <w:tcW w:w="1479" w:type="dxa"/>
          </w:tcPr>
          <w:p>
            <w:pPr>
              <w:pStyle w:val="TableParagraph"/>
              <w:spacing w:line="252" w:lineRule="exact" w:before="1"/>
              <w:ind w:left="104"/>
              <w:rPr>
                <w:sz w:val="21"/>
              </w:rPr>
            </w:pPr>
            <w:r>
              <w:rPr>
                <w:w w:val="100"/>
                <w:sz w:val="21"/>
              </w:rPr>
              <w:t> </w:t>
            </w:r>
          </w:p>
        </w:tc>
        <w:tc>
          <w:tcPr>
            <w:tcW w:w="1959" w:type="dxa"/>
          </w:tcPr>
          <w:p>
            <w:pPr>
              <w:pStyle w:val="TableParagraph"/>
              <w:spacing w:line="252" w:lineRule="exact" w:before="1"/>
              <w:ind w:right="-15"/>
              <w:jc w:val="right"/>
              <w:rPr>
                <w:sz w:val="21"/>
              </w:rPr>
            </w:pPr>
            <w:r>
              <w:rPr>
                <w:sz w:val="21"/>
              </w:rPr>
              <w:t>—— </w:t>
            </w:r>
          </w:p>
        </w:tc>
        <w:tc>
          <w:tcPr>
            <w:tcW w:w="1967" w:type="dxa"/>
          </w:tcPr>
          <w:p>
            <w:pPr>
              <w:pStyle w:val="TableParagraph"/>
              <w:spacing w:line="252" w:lineRule="exact" w:before="1"/>
              <w:ind w:right="-15"/>
              <w:jc w:val="right"/>
              <w:rPr>
                <w:sz w:val="21"/>
              </w:rPr>
            </w:pPr>
            <w:r>
              <w:rPr>
                <w:sz w:val="21"/>
              </w:rPr>
              <w:t>—— </w:t>
            </w:r>
          </w:p>
        </w:tc>
      </w:tr>
    </w:tbl>
    <w:p>
      <w:pPr>
        <w:pStyle w:val="BodyText"/>
        <w:spacing w:before="1"/>
      </w:pPr>
      <w:r>
        <w:rPr>
          <w:w w:val="100"/>
        </w:rPr>
        <w:t> </w:t>
      </w:r>
    </w:p>
    <w:p>
      <w:pPr>
        <w:pStyle w:val="BodyText"/>
        <w:spacing w:before="2"/>
      </w:pPr>
      <w:r>
        <w:rPr>
          <w:spacing w:val="-2"/>
        </w:rPr>
        <w:t>公司负责人：李军旗 主管会计工作负责人：郭俊宏 会计机构负责人：黄昭期</w:t>
      </w:r>
      <w:r>
        <w:rPr/>
        <w:t> </w:t>
      </w:r>
    </w:p>
    <w:p>
      <w:pPr>
        <w:pStyle w:val="BodyText"/>
        <w:spacing w:before="5"/>
      </w:pPr>
      <w:r>
        <w:rPr>
          <w:color w:val="FF0000"/>
          <w:w w:val="100"/>
        </w:rPr>
        <w:t> </w:t>
      </w:r>
    </w:p>
    <w:p>
      <w:pPr>
        <w:pStyle w:val="BodyText"/>
        <w:spacing w:before="2"/>
      </w:pPr>
      <w:r>
        <w:rPr>
          <w:color w:val="FF0000"/>
          <w:w w:val="100"/>
        </w:rPr>
        <w:t> </w:t>
      </w:r>
    </w:p>
    <w:p>
      <w:pPr>
        <w:pStyle w:val="BodyText"/>
        <w:spacing w:before="4"/>
      </w:pPr>
      <w:r>
        <w:rPr>
          <w:color w:val="FF0000"/>
          <w:w w:val="100"/>
        </w:rPr>
        <w:t> </w:t>
      </w:r>
    </w:p>
    <w:p>
      <w:pPr>
        <w:pStyle w:val="BodyText"/>
        <w:spacing w:before="2"/>
        <w:ind w:left="364" w:right="1215"/>
        <w:jc w:val="center"/>
      </w:pPr>
      <w:r>
        <w:rPr/>
        <w:t>合并现金流量表 </w:t>
      </w:r>
    </w:p>
    <w:p>
      <w:pPr>
        <w:spacing w:after="0"/>
        <w:jc w:val="center"/>
        <w:sectPr>
          <w:pgSz w:w="11910" w:h="16840"/>
          <w:pgMar w:header="882" w:footer="1172" w:top="1120" w:bottom="1380" w:left="1480" w:right="0"/>
        </w:sectPr>
      </w:pPr>
    </w:p>
    <w:p>
      <w:pPr>
        <w:pStyle w:val="BodyText"/>
        <w:spacing w:before="7"/>
        <w:ind w:left="0"/>
        <w:rPr>
          <w:sz w:val="25"/>
        </w:rPr>
      </w:pPr>
    </w:p>
    <w:p>
      <w:pPr>
        <w:pStyle w:val="BodyText"/>
        <w:spacing w:before="72"/>
        <w:ind w:left="366" w:right="1215"/>
        <w:jc w:val="center"/>
      </w:pPr>
      <w:r>
        <w:rPr/>
        <w:t>2022</w:t>
      </w:r>
      <w:r>
        <w:rPr>
          <w:spacing w:val="-36"/>
        </w:rPr>
        <w:t> 年 </w:t>
      </w:r>
      <w:r>
        <w:rPr/>
        <w:t>1—12</w:t>
      </w:r>
      <w:r>
        <w:rPr>
          <w:spacing w:val="-28"/>
        </w:rPr>
        <w:t> 月</w:t>
      </w:r>
      <w:r>
        <w:rPr/>
        <w:t> </w:t>
      </w:r>
    </w:p>
    <w:p>
      <w:pPr>
        <w:pStyle w:val="BodyText"/>
        <w:spacing w:before="5"/>
        <w:ind w:left="6674" w:right="1215"/>
        <w:jc w:val="center"/>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5"/>
        <w:gridCol w:w="1526"/>
        <w:gridCol w:w="2118"/>
        <w:gridCol w:w="2111"/>
      </w:tblGrid>
      <w:tr>
        <w:trPr>
          <w:trHeight w:val="273" w:hRule="atLeast"/>
        </w:trPr>
        <w:tc>
          <w:tcPr>
            <w:tcW w:w="3065" w:type="dxa"/>
          </w:tcPr>
          <w:p>
            <w:pPr>
              <w:pStyle w:val="TableParagraph"/>
              <w:spacing w:line="250" w:lineRule="exact" w:before="3"/>
              <w:ind w:left="1353" w:right="1241"/>
              <w:jc w:val="center"/>
              <w:rPr>
                <w:sz w:val="21"/>
              </w:rPr>
            </w:pPr>
            <w:r>
              <w:rPr>
                <w:sz w:val="21"/>
              </w:rPr>
              <w:t>项目 </w:t>
            </w:r>
          </w:p>
        </w:tc>
        <w:tc>
          <w:tcPr>
            <w:tcW w:w="1526" w:type="dxa"/>
          </w:tcPr>
          <w:p>
            <w:pPr>
              <w:pStyle w:val="TableParagraph"/>
              <w:spacing w:line="250" w:lineRule="exact" w:before="3"/>
              <w:ind w:left="549"/>
              <w:rPr>
                <w:sz w:val="21"/>
              </w:rPr>
            </w:pPr>
            <w:r>
              <w:rPr>
                <w:sz w:val="21"/>
              </w:rPr>
              <w:t>附注 </w:t>
            </w:r>
          </w:p>
        </w:tc>
        <w:tc>
          <w:tcPr>
            <w:tcW w:w="2118" w:type="dxa"/>
          </w:tcPr>
          <w:p>
            <w:pPr>
              <w:pStyle w:val="TableParagraph"/>
              <w:spacing w:line="250" w:lineRule="exact" w:before="3"/>
              <w:ind w:left="636"/>
              <w:rPr>
                <w:sz w:val="21"/>
              </w:rPr>
            </w:pPr>
            <w:r>
              <w:rPr>
                <w:sz w:val="21"/>
              </w:rPr>
              <w:t>2022年度 </w:t>
            </w:r>
          </w:p>
        </w:tc>
        <w:tc>
          <w:tcPr>
            <w:tcW w:w="2111" w:type="dxa"/>
          </w:tcPr>
          <w:p>
            <w:pPr>
              <w:pStyle w:val="TableParagraph"/>
              <w:spacing w:line="250" w:lineRule="exact" w:before="3"/>
              <w:ind w:left="636"/>
              <w:rPr>
                <w:sz w:val="21"/>
              </w:rPr>
            </w:pPr>
            <w:r>
              <w:rPr>
                <w:sz w:val="21"/>
              </w:rPr>
              <w:t>2021年度 </w:t>
            </w:r>
          </w:p>
        </w:tc>
      </w:tr>
      <w:tr>
        <w:trPr>
          <w:trHeight w:val="273" w:hRule="atLeast"/>
        </w:trPr>
        <w:tc>
          <w:tcPr>
            <w:tcW w:w="8820" w:type="dxa"/>
            <w:gridSpan w:val="4"/>
          </w:tcPr>
          <w:p>
            <w:pPr>
              <w:pStyle w:val="TableParagraph"/>
              <w:spacing w:line="252" w:lineRule="exact" w:before="1"/>
              <w:ind w:left="107"/>
              <w:rPr>
                <w:sz w:val="21"/>
              </w:rPr>
            </w:pPr>
            <w:r>
              <w:rPr>
                <w:sz w:val="21"/>
              </w:rPr>
              <w:t>一、经营活动产生的现金流量： </w:t>
            </w:r>
          </w:p>
        </w:tc>
      </w:tr>
      <w:tr>
        <w:trPr>
          <w:trHeight w:val="544" w:hRule="atLeast"/>
        </w:trPr>
        <w:tc>
          <w:tcPr>
            <w:tcW w:w="3065" w:type="dxa"/>
          </w:tcPr>
          <w:p>
            <w:pPr>
              <w:pStyle w:val="TableParagraph"/>
              <w:spacing w:before="1"/>
              <w:ind w:left="318"/>
              <w:rPr>
                <w:sz w:val="21"/>
              </w:rPr>
            </w:pPr>
            <w:r>
              <w:rPr>
                <w:spacing w:val="-1"/>
                <w:sz w:val="21"/>
              </w:rPr>
              <w:t>销售商品、提供劳务收到的</w:t>
            </w:r>
          </w:p>
          <w:p>
            <w:pPr>
              <w:pStyle w:val="TableParagraph"/>
              <w:spacing w:line="252" w:lineRule="exact" w:before="2"/>
              <w:ind w:left="107"/>
              <w:rPr>
                <w:sz w:val="21"/>
              </w:rPr>
            </w:pPr>
            <w:r>
              <w:rPr>
                <w:sz w:val="21"/>
              </w:rPr>
              <w:t>现金 </w:t>
            </w:r>
          </w:p>
        </w:tc>
        <w:tc>
          <w:tcPr>
            <w:tcW w:w="1526" w:type="dxa"/>
          </w:tcPr>
          <w:p>
            <w:pPr>
              <w:pStyle w:val="TableParagraph"/>
              <w:spacing w:before="1"/>
              <w:ind w:left="105"/>
              <w:rPr>
                <w:sz w:val="21"/>
              </w:rPr>
            </w:pPr>
            <w:r>
              <w:rPr>
                <w:w w:val="100"/>
                <w:sz w:val="21"/>
              </w:rPr>
              <w:t> </w:t>
            </w:r>
          </w:p>
        </w:tc>
        <w:tc>
          <w:tcPr>
            <w:tcW w:w="2118" w:type="dxa"/>
          </w:tcPr>
          <w:p>
            <w:pPr>
              <w:pStyle w:val="TableParagraph"/>
              <w:spacing w:before="144"/>
              <w:ind w:right="91"/>
              <w:jc w:val="right"/>
              <w:rPr>
                <w:rFonts w:ascii="Times New Roman"/>
                <w:sz w:val="21"/>
              </w:rPr>
            </w:pPr>
            <w:r>
              <w:rPr>
                <w:rFonts w:ascii="Times New Roman"/>
                <w:sz w:val="21"/>
              </w:rPr>
              <w:t>516,357,456</w:t>
            </w:r>
          </w:p>
        </w:tc>
        <w:tc>
          <w:tcPr>
            <w:tcW w:w="2111" w:type="dxa"/>
          </w:tcPr>
          <w:p>
            <w:pPr>
              <w:pStyle w:val="TableParagraph"/>
              <w:spacing w:before="144"/>
              <w:ind w:right="89"/>
              <w:jc w:val="right"/>
              <w:rPr>
                <w:rFonts w:ascii="Times New Roman"/>
                <w:sz w:val="21"/>
              </w:rPr>
            </w:pPr>
            <w:r>
              <w:rPr>
                <w:rFonts w:ascii="Times New Roman"/>
                <w:sz w:val="21"/>
              </w:rPr>
              <w:t>450,521,140</w:t>
            </w:r>
          </w:p>
        </w:tc>
      </w:tr>
      <w:tr>
        <w:trPr>
          <w:trHeight w:val="544" w:hRule="atLeast"/>
        </w:trPr>
        <w:tc>
          <w:tcPr>
            <w:tcW w:w="3065" w:type="dxa"/>
          </w:tcPr>
          <w:p>
            <w:pPr>
              <w:pStyle w:val="TableParagraph"/>
              <w:spacing w:before="1"/>
              <w:ind w:left="318"/>
              <w:rPr>
                <w:sz w:val="21"/>
              </w:rPr>
            </w:pPr>
            <w:r>
              <w:rPr>
                <w:spacing w:val="-1"/>
                <w:sz w:val="21"/>
              </w:rPr>
              <w:t>客户存款和同业存放款项净</w:t>
            </w:r>
          </w:p>
          <w:p>
            <w:pPr>
              <w:pStyle w:val="TableParagraph"/>
              <w:spacing w:line="252" w:lineRule="exact" w:before="2"/>
              <w:ind w:left="107"/>
              <w:rPr>
                <w:sz w:val="21"/>
              </w:rPr>
            </w:pPr>
            <w:r>
              <w:rPr>
                <w:sz w:val="21"/>
              </w:rPr>
              <w:t>增加额 </w:t>
            </w:r>
          </w:p>
        </w:tc>
        <w:tc>
          <w:tcPr>
            <w:tcW w:w="1526" w:type="dxa"/>
          </w:tcPr>
          <w:p>
            <w:pPr>
              <w:pStyle w:val="TableParagraph"/>
              <w:spacing w:before="1"/>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3" w:hRule="atLeast"/>
        </w:trPr>
        <w:tc>
          <w:tcPr>
            <w:tcW w:w="3065" w:type="dxa"/>
          </w:tcPr>
          <w:p>
            <w:pPr>
              <w:pStyle w:val="TableParagraph"/>
              <w:spacing w:line="252" w:lineRule="exact" w:before="1"/>
              <w:ind w:left="318"/>
              <w:rPr>
                <w:sz w:val="21"/>
              </w:rPr>
            </w:pPr>
            <w:r>
              <w:rPr>
                <w:spacing w:val="-1"/>
                <w:sz w:val="21"/>
              </w:rPr>
              <w:t>向中央银行借款净增加额</w:t>
            </w:r>
            <w:r>
              <w:rPr>
                <w:sz w:val="21"/>
              </w:rPr>
              <w:t> </w:t>
            </w:r>
          </w:p>
        </w:tc>
        <w:tc>
          <w:tcPr>
            <w:tcW w:w="1526" w:type="dxa"/>
          </w:tcPr>
          <w:p>
            <w:pPr>
              <w:pStyle w:val="TableParagraph"/>
              <w:spacing w:line="252" w:lineRule="exact" w:before="1"/>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1"/>
                <w:sz w:val="21"/>
              </w:rPr>
              <w:t>向其他金融机构拆入资金净</w:t>
            </w:r>
          </w:p>
          <w:p>
            <w:pPr>
              <w:pStyle w:val="TableParagraph"/>
              <w:spacing w:line="252" w:lineRule="exact" w:before="2"/>
              <w:ind w:left="107"/>
              <w:rPr>
                <w:sz w:val="21"/>
              </w:rPr>
            </w:pPr>
            <w:r>
              <w:rPr>
                <w:sz w:val="21"/>
              </w:rPr>
              <w:t>增加额 </w:t>
            </w:r>
          </w:p>
        </w:tc>
        <w:tc>
          <w:tcPr>
            <w:tcW w:w="1526" w:type="dxa"/>
          </w:tcPr>
          <w:p>
            <w:pPr>
              <w:pStyle w:val="TableParagraph"/>
              <w:spacing w:before="1"/>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1"/>
                <w:sz w:val="21"/>
              </w:rPr>
              <w:t>收到原保险合同保费取得的</w:t>
            </w:r>
          </w:p>
          <w:p>
            <w:pPr>
              <w:pStyle w:val="TableParagraph"/>
              <w:spacing w:line="252" w:lineRule="exact" w:before="2"/>
              <w:ind w:left="107"/>
              <w:rPr>
                <w:sz w:val="21"/>
              </w:rPr>
            </w:pPr>
            <w:r>
              <w:rPr>
                <w:sz w:val="21"/>
              </w:rPr>
              <w:t>现金 </w:t>
            </w:r>
          </w:p>
        </w:tc>
        <w:tc>
          <w:tcPr>
            <w:tcW w:w="1526" w:type="dxa"/>
          </w:tcPr>
          <w:p>
            <w:pPr>
              <w:pStyle w:val="TableParagraph"/>
              <w:spacing w:before="1"/>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1" w:hRule="atLeast"/>
        </w:trPr>
        <w:tc>
          <w:tcPr>
            <w:tcW w:w="3065" w:type="dxa"/>
          </w:tcPr>
          <w:p>
            <w:pPr>
              <w:pStyle w:val="TableParagraph"/>
              <w:spacing w:line="250" w:lineRule="exact" w:before="1"/>
              <w:ind w:left="318"/>
              <w:rPr>
                <w:sz w:val="21"/>
              </w:rPr>
            </w:pPr>
            <w:r>
              <w:rPr>
                <w:spacing w:val="-1"/>
                <w:sz w:val="21"/>
              </w:rPr>
              <w:t>收到再保业务现金净额</w:t>
            </w:r>
            <w:r>
              <w:rPr>
                <w:sz w:val="21"/>
              </w:rPr>
              <w:t> </w:t>
            </w:r>
          </w:p>
        </w:tc>
        <w:tc>
          <w:tcPr>
            <w:tcW w:w="1526" w:type="dxa"/>
          </w:tcPr>
          <w:p>
            <w:pPr>
              <w:pStyle w:val="TableParagraph"/>
              <w:spacing w:line="250" w:lineRule="exact" w:before="1"/>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3" w:hRule="atLeast"/>
        </w:trPr>
        <w:tc>
          <w:tcPr>
            <w:tcW w:w="3065" w:type="dxa"/>
          </w:tcPr>
          <w:p>
            <w:pPr>
              <w:pStyle w:val="TableParagraph"/>
              <w:spacing w:line="250" w:lineRule="exact" w:before="3"/>
              <w:ind w:left="318"/>
              <w:rPr>
                <w:sz w:val="21"/>
              </w:rPr>
            </w:pPr>
            <w:r>
              <w:rPr>
                <w:spacing w:val="-1"/>
                <w:sz w:val="21"/>
              </w:rPr>
              <w:t>保户储金及投资款净增加额 </w:t>
            </w:r>
          </w:p>
        </w:tc>
        <w:tc>
          <w:tcPr>
            <w:tcW w:w="1526" w:type="dxa"/>
          </w:tcPr>
          <w:p>
            <w:pPr>
              <w:pStyle w:val="TableParagraph"/>
              <w:spacing w:line="250" w:lineRule="exact" w:before="3"/>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1"/>
                <w:sz w:val="21"/>
              </w:rPr>
              <w:t>收取利息、手续费及佣金的</w:t>
            </w:r>
          </w:p>
          <w:p>
            <w:pPr>
              <w:pStyle w:val="TableParagraph"/>
              <w:spacing w:line="250" w:lineRule="exact" w:before="4"/>
              <w:ind w:left="107"/>
              <w:rPr>
                <w:sz w:val="21"/>
              </w:rPr>
            </w:pPr>
            <w:r>
              <w:rPr>
                <w:sz w:val="21"/>
              </w:rPr>
              <w:t>现金 </w:t>
            </w:r>
          </w:p>
        </w:tc>
        <w:tc>
          <w:tcPr>
            <w:tcW w:w="1526" w:type="dxa"/>
          </w:tcPr>
          <w:p>
            <w:pPr>
              <w:pStyle w:val="TableParagraph"/>
              <w:spacing w:before="1"/>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3" w:hRule="atLeast"/>
        </w:trPr>
        <w:tc>
          <w:tcPr>
            <w:tcW w:w="3065" w:type="dxa"/>
          </w:tcPr>
          <w:p>
            <w:pPr>
              <w:pStyle w:val="TableParagraph"/>
              <w:spacing w:line="252" w:lineRule="exact" w:before="1"/>
              <w:ind w:left="318"/>
              <w:rPr>
                <w:sz w:val="21"/>
              </w:rPr>
            </w:pPr>
            <w:r>
              <w:rPr>
                <w:spacing w:val="-1"/>
                <w:sz w:val="21"/>
              </w:rPr>
              <w:t>拆入资金净增加额</w:t>
            </w:r>
            <w:r>
              <w:rPr>
                <w:sz w:val="21"/>
              </w:rPr>
              <w:t> </w:t>
            </w:r>
          </w:p>
        </w:tc>
        <w:tc>
          <w:tcPr>
            <w:tcW w:w="1526" w:type="dxa"/>
          </w:tcPr>
          <w:p>
            <w:pPr>
              <w:pStyle w:val="TableParagraph"/>
              <w:spacing w:line="252" w:lineRule="exact" w:before="1"/>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0" w:hRule="atLeast"/>
        </w:trPr>
        <w:tc>
          <w:tcPr>
            <w:tcW w:w="3065" w:type="dxa"/>
          </w:tcPr>
          <w:p>
            <w:pPr>
              <w:pStyle w:val="TableParagraph"/>
              <w:spacing w:line="250" w:lineRule="exact" w:before="1"/>
              <w:ind w:left="318"/>
              <w:rPr>
                <w:sz w:val="21"/>
              </w:rPr>
            </w:pPr>
            <w:r>
              <w:rPr>
                <w:spacing w:val="-1"/>
                <w:sz w:val="21"/>
              </w:rPr>
              <w:t>回购业务资金净增加额</w:t>
            </w:r>
            <w:r>
              <w:rPr>
                <w:sz w:val="21"/>
              </w:rPr>
              <w:t> </w:t>
            </w:r>
          </w:p>
        </w:tc>
        <w:tc>
          <w:tcPr>
            <w:tcW w:w="1526" w:type="dxa"/>
          </w:tcPr>
          <w:p>
            <w:pPr>
              <w:pStyle w:val="TableParagraph"/>
              <w:spacing w:line="250" w:lineRule="exact" w:before="1"/>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6" w:hRule="atLeast"/>
        </w:trPr>
        <w:tc>
          <w:tcPr>
            <w:tcW w:w="3065" w:type="dxa"/>
          </w:tcPr>
          <w:p>
            <w:pPr>
              <w:pStyle w:val="TableParagraph"/>
              <w:spacing w:line="270" w:lineRule="atLeast"/>
              <w:ind w:left="107" w:right="211" w:firstLine="211"/>
              <w:rPr>
                <w:sz w:val="21"/>
              </w:rPr>
            </w:pPr>
            <w:r>
              <w:rPr>
                <w:spacing w:val="-1"/>
                <w:sz w:val="21"/>
              </w:rPr>
              <w:t>代理买卖证券收到的现金净</w:t>
            </w:r>
            <w:r>
              <w:rPr>
                <w:sz w:val="21"/>
              </w:rPr>
              <w:t>额 </w:t>
            </w:r>
          </w:p>
        </w:tc>
        <w:tc>
          <w:tcPr>
            <w:tcW w:w="1526" w:type="dxa"/>
          </w:tcPr>
          <w:p>
            <w:pPr>
              <w:pStyle w:val="TableParagraph"/>
              <w:spacing w:before="3"/>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0" w:hRule="atLeast"/>
        </w:trPr>
        <w:tc>
          <w:tcPr>
            <w:tcW w:w="3065" w:type="dxa"/>
          </w:tcPr>
          <w:p>
            <w:pPr>
              <w:pStyle w:val="TableParagraph"/>
              <w:spacing w:line="250" w:lineRule="exact" w:before="1"/>
              <w:ind w:left="318"/>
              <w:rPr>
                <w:sz w:val="21"/>
              </w:rPr>
            </w:pPr>
            <w:r>
              <w:rPr>
                <w:spacing w:val="-1"/>
                <w:sz w:val="21"/>
              </w:rPr>
              <w:t>收到的税费返还</w:t>
            </w:r>
            <w:r>
              <w:rPr>
                <w:sz w:val="21"/>
              </w:rPr>
              <w:t> </w:t>
            </w:r>
          </w:p>
        </w:tc>
        <w:tc>
          <w:tcPr>
            <w:tcW w:w="1526" w:type="dxa"/>
          </w:tcPr>
          <w:p>
            <w:pPr>
              <w:pStyle w:val="TableParagraph"/>
              <w:spacing w:line="250" w:lineRule="exact" w:before="1"/>
              <w:ind w:left="105"/>
              <w:rPr>
                <w:sz w:val="21"/>
              </w:rPr>
            </w:pPr>
            <w:r>
              <w:rPr>
                <w:w w:val="100"/>
                <w:sz w:val="21"/>
              </w:rPr>
              <w:t> </w:t>
            </w:r>
          </w:p>
        </w:tc>
        <w:tc>
          <w:tcPr>
            <w:tcW w:w="2118" w:type="dxa"/>
          </w:tcPr>
          <w:p>
            <w:pPr>
              <w:pStyle w:val="TableParagraph"/>
              <w:spacing w:before="7"/>
              <w:ind w:right="91"/>
              <w:jc w:val="right"/>
              <w:rPr>
                <w:rFonts w:ascii="Times New Roman"/>
                <w:sz w:val="21"/>
              </w:rPr>
            </w:pPr>
            <w:r>
              <w:rPr>
                <w:rFonts w:ascii="Times New Roman"/>
                <w:sz w:val="21"/>
              </w:rPr>
              <w:t>3,519,849</w:t>
            </w:r>
          </w:p>
        </w:tc>
        <w:tc>
          <w:tcPr>
            <w:tcW w:w="2111" w:type="dxa"/>
          </w:tcPr>
          <w:p>
            <w:pPr>
              <w:pStyle w:val="TableParagraph"/>
              <w:spacing w:before="7"/>
              <w:ind w:right="89"/>
              <w:jc w:val="right"/>
              <w:rPr>
                <w:rFonts w:ascii="Times New Roman"/>
                <w:sz w:val="21"/>
              </w:rPr>
            </w:pPr>
            <w:r>
              <w:rPr>
                <w:rFonts w:ascii="Times New Roman"/>
                <w:sz w:val="21"/>
              </w:rPr>
              <w:t>4,762,371</w:t>
            </w:r>
          </w:p>
        </w:tc>
      </w:tr>
      <w:tr>
        <w:trPr>
          <w:trHeight w:val="544" w:hRule="atLeast"/>
        </w:trPr>
        <w:tc>
          <w:tcPr>
            <w:tcW w:w="3065" w:type="dxa"/>
          </w:tcPr>
          <w:p>
            <w:pPr>
              <w:pStyle w:val="TableParagraph"/>
              <w:spacing w:before="1"/>
              <w:ind w:left="318"/>
              <w:rPr>
                <w:sz w:val="21"/>
              </w:rPr>
            </w:pPr>
            <w:r>
              <w:rPr>
                <w:spacing w:val="-1"/>
                <w:sz w:val="21"/>
              </w:rPr>
              <w:t>收到其他与经营活动有关的</w:t>
            </w:r>
          </w:p>
          <w:p>
            <w:pPr>
              <w:pStyle w:val="TableParagraph"/>
              <w:spacing w:line="250" w:lineRule="exact" w:before="4"/>
              <w:ind w:left="107"/>
              <w:rPr>
                <w:sz w:val="21"/>
              </w:rPr>
            </w:pPr>
            <w:r>
              <w:rPr>
                <w:sz w:val="21"/>
              </w:rPr>
              <w:t>现金 </w:t>
            </w:r>
          </w:p>
        </w:tc>
        <w:tc>
          <w:tcPr>
            <w:tcW w:w="1526" w:type="dxa"/>
          </w:tcPr>
          <w:p>
            <w:pPr>
              <w:pStyle w:val="TableParagraph"/>
              <w:spacing w:before="1"/>
              <w:ind w:left="105"/>
              <w:rPr>
                <w:sz w:val="21"/>
              </w:rPr>
            </w:pPr>
            <w:r>
              <w:rPr>
                <w:w w:val="100"/>
                <w:sz w:val="21"/>
              </w:rPr>
              <w:t> </w:t>
            </w:r>
          </w:p>
        </w:tc>
        <w:tc>
          <w:tcPr>
            <w:tcW w:w="2118" w:type="dxa"/>
          </w:tcPr>
          <w:p>
            <w:pPr>
              <w:pStyle w:val="TableParagraph"/>
              <w:spacing w:before="147"/>
              <w:ind w:right="91"/>
              <w:jc w:val="right"/>
              <w:rPr>
                <w:rFonts w:ascii="Times New Roman"/>
                <w:sz w:val="21"/>
              </w:rPr>
            </w:pPr>
            <w:r>
              <w:rPr>
                <w:rFonts w:ascii="Times New Roman"/>
                <w:sz w:val="21"/>
              </w:rPr>
              <w:t>9,666,137</w:t>
            </w:r>
          </w:p>
        </w:tc>
        <w:tc>
          <w:tcPr>
            <w:tcW w:w="2111" w:type="dxa"/>
          </w:tcPr>
          <w:p>
            <w:pPr>
              <w:pStyle w:val="TableParagraph"/>
              <w:spacing w:before="147"/>
              <w:ind w:right="89"/>
              <w:jc w:val="right"/>
              <w:rPr>
                <w:rFonts w:ascii="Times New Roman"/>
                <w:sz w:val="21"/>
              </w:rPr>
            </w:pPr>
            <w:r>
              <w:rPr>
                <w:rFonts w:ascii="Times New Roman"/>
                <w:sz w:val="21"/>
              </w:rPr>
              <w:t>7,164,413</w:t>
            </w:r>
          </w:p>
        </w:tc>
      </w:tr>
      <w:tr>
        <w:trPr>
          <w:trHeight w:val="273" w:hRule="atLeast"/>
        </w:trPr>
        <w:tc>
          <w:tcPr>
            <w:tcW w:w="3065" w:type="dxa"/>
          </w:tcPr>
          <w:p>
            <w:pPr>
              <w:pStyle w:val="TableParagraph"/>
              <w:spacing w:line="250" w:lineRule="exact" w:before="3"/>
              <w:ind w:left="527"/>
              <w:rPr>
                <w:sz w:val="21"/>
              </w:rPr>
            </w:pPr>
            <w:r>
              <w:rPr>
                <w:spacing w:val="-1"/>
                <w:sz w:val="21"/>
              </w:rPr>
              <w:t>经营活动现金流入小计</w:t>
            </w:r>
            <w:r>
              <w:rPr>
                <w:sz w:val="21"/>
              </w:rPr>
              <w:t> </w:t>
            </w:r>
          </w:p>
        </w:tc>
        <w:tc>
          <w:tcPr>
            <w:tcW w:w="1526" w:type="dxa"/>
          </w:tcPr>
          <w:p>
            <w:pPr>
              <w:pStyle w:val="TableParagraph"/>
              <w:spacing w:line="250" w:lineRule="exact" w:before="3"/>
              <w:ind w:left="105"/>
              <w:rPr>
                <w:sz w:val="21"/>
              </w:rPr>
            </w:pPr>
            <w:r>
              <w:rPr>
                <w:w w:val="100"/>
                <w:sz w:val="21"/>
              </w:rPr>
              <w:t> </w:t>
            </w:r>
          </w:p>
        </w:tc>
        <w:tc>
          <w:tcPr>
            <w:tcW w:w="2118" w:type="dxa"/>
          </w:tcPr>
          <w:p>
            <w:pPr>
              <w:pStyle w:val="TableParagraph"/>
              <w:spacing w:before="10"/>
              <w:ind w:right="91"/>
              <w:jc w:val="right"/>
              <w:rPr>
                <w:rFonts w:ascii="Times New Roman"/>
                <w:sz w:val="21"/>
              </w:rPr>
            </w:pPr>
            <w:r>
              <w:rPr>
                <w:rFonts w:ascii="Times New Roman"/>
                <w:sz w:val="21"/>
              </w:rPr>
              <w:t>529,543,442</w:t>
            </w:r>
          </w:p>
        </w:tc>
        <w:tc>
          <w:tcPr>
            <w:tcW w:w="2111" w:type="dxa"/>
          </w:tcPr>
          <w:p>
            <w:pPr>
              <w:pStyle w:val="TableParagraph"/>
              <w:spacing w:before="10"/>
              <w:ind w:right="89"/>
              <w:jc w:val="right"/>
              <w:rPr>
                <w:rFonts w:ascii="Times New Roman"/>
                <w:sz w:val="21"/>
              </w:rPr>
            </w:pPr>
            <w:r>
              <w:rPr>
                <w:rFonts w:ascii="Times New Roman"/>
                <w:sz w:val="21"/>
              </w:rPr>
              <w:t>462,447,924</w:t>
            </w:r>
          </w:p>
        </w:tc>
      </w:tr>
      <w:tr>
        <w:trPr>
          <w:trHeight w:val="544" w:hRule="atLeast"/>
        </w:trPr>
        <w:tc>
          <w:tcPr>
            <w:tcW w:w="3065" w:type="dxa"/>
          </w:tcPr>
          <w:p>
            <w:pPr>
              <w:pStyle w:val="TableParagraph"/>
              <w:spacing w:before="1"/>
              <w:ind w:left="318"/>
              <w:rPr>
                <w:sz w:val="21"/>
              </w:rPr>
            </w:pPr>
            <w:r>
              <w:rPr>
                <w:spacing w:val="-1"/>
                <w:sz w:val="21"/>
              </w:rPr>
              <w:t>购买商品、接受劳务支付的</w:t>
            </w:r>
          </w:p>
          <w:p>
            <w:pPr>
              <w:pStyle w:val="TableParagraph"/>
              <w:spacing w:line="250" w:lineRule="exact" w:before="5"/>
              <w:ind w:left="107"/>
              <w:rPr>
                <w:sz w:val="21"/>
              </w:rPr>
            </w:pPr>
            <w:r>
              <w:rPr>
                <w:sz w:val="21"/>
              </w:rPr>
              <w:t>现金 </w:t>
            </w:r>
          </w:p>
        </w:tc>
        <w:tc>
          <w:tcPr>
            <w:tcW w:w="1526" w:type="dxa"/>
          </w:tcPr>
          <w:p>
            <w:pPr>
              <w:pStyle w:val="TableParagraph"/>
              <w:spacing w:before="1"/>
              <w:ind w:left="105"/>
              <w:rPr>
                <w:sz w:val="21"/>
              </w:rPr>
            </w:pPr>
            <w:r>
              <w:rPr>
                <w:w w:val="100"/>
                <w:sz w:val="21"/>
              </w:rPr>
              <w:t> </w:t>
            </w:r>
          </w:p>
        </w:tc>
        <w:tc>
          <w:tcPr>
            <w:tcW w:w="2118" w:type="dxa"/>
          </w:tcPr>
          <w:p>
            <w:pPr>
              <w:pStyle w:val="TableParagraph"/>
              <w:spacing w:before="144"/>
              <w:ind w:right="91"/>
              <w:jc w:val="right"/>
              <w:rPr>
                <w:rFonts w:ascii="Times New Roman"/>
                <w:sz w:val="21"/>
              </w:rPr>
            </w:pPr>
            <w:r>
              <w:rPr>
                <w:rFonts w:ascii="Times New Roman"/>
                <w:sz w:val="21"/>
              </w:rPr>
              <w:t>-478,979,896</w:t>
            </w:r>
          </w:p>
        </w:tc>
        <w:tc>
          <w:tcPr>
            <w:tcW w:w="2111" w:type="dxa"/>
          </w:tcPr>
          <w:p>
            <w:pPr>
              <w:pStyle w:val="TableParagraph"/>
              <w:spacing w:before="144"/>
              <w:ind w:right="89"/>
              <w:jc w:val="right"/>
              <w:rPr>
                <w:rFonts w:ascii="Times New Roman"/>
                <w:sz w:val="21"/>
              </w:rPr>
            </w:pPr>
            <w:r>
              <w:rPr>
                <w:rFonts w:ascii="Times New Roman"/>
                <w:sz w:val="21"/>
              </w:rPr>
              <w:t>-419,360,435</w:t>
            </w:r>
          </w:p>
        </w:tc>
      </w:tr>
      <w:tr>
        <w:trPr>
          <w:trHeight w:val="273" w:hRule="atLeast"/>
        </w:trPr>
        <w:tc>
          <w:tcPr>
            <w:tcW w:w="3065" w:type="dxa"/>
          </w:tcPr>
          <w:p>
            <w:pPr>
              <w:pStyle w:val="TableParagraph"/>
              <w:spacing w:line="252" w:lineRule="exact" w:before="1"/>
              <w:ind w:left="318"/>
              <w:rPr>
                <w:sz w:val="21"/>
              </w:rPr>
            </w:pPr>
            <w:r>
              <w:rPr>
                <w:spacing w:val="-1"/>
                <w:sz w:val="21"/>
              </w:rPr>
              <w:t>客户贷款及垫款净增加额</w:t>
            </w:r>
            <w:r>
              <w:rPr>
                <w:sz w:val="21"/>
              </w:rPr>
              <w:t> </w:t>
            </w:r>
          </w:p>
        </w:tc>
        <w:tc>
          <w:tcPr>
            <w:tcW w:w="1526" w:type="dxa"/>
          </w:tcPr>
          <w:p>
            <w:pPr>
              <w:pStyle w:val="TableParagraph"/>
              <w:spacing w:line="252" w:lineRule="exact" w:before="1"/>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1"/>
                <w:sz w:val="21"/>
              </w:rPr>
              <w:t>存放中央银行和同业款项净</w:t>
            </w:r>
          </w:p>
          <w:p>
            <w:pPr>
              <w:pStyle w:val="TableParagraph"/>
              <w:spacing w:line="252" w:lineRule="exact" w:before="2"/>
              <w:ind w:left="107"/>
              <w:rPr>
                <w:sz w:val="21"/>
              </w:rPr>
            </w:pPr>
            <w:r>
              <w:rPr>
                <w:sz w:val="21"/>
              </w:rPr>
              <w:t>增加额 </w:t>
            </w:r>
          </w:p>
        </w:tc>
        <w:tc>
          <w:tcPr>
            <w:tcW w:w="1526" w:type="dxa"/>
          </w:tcPr>
          <w:p>
            <w:pPr>
              <w:pStyle w:val="TableParagraph"/>
              <w:spacing w:before="1"/>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1"/>
                <w:sz w:val="21"/>
              </w:rPr>
              <w:t>支付原保险合同赔付款项的</w:t>
            </w:r>
          </w:p>
          <w:p>
            <w:pPr>
              <w:pStyle w:val="TableParagraph"/>
              <w:spacing w:line="250" w:lineRule="exact" w:before="4"/>
              <w:ind w:left="107"/>
              <w:rPr>
                <w:sz w:val="21"/>
              </w:rPr>
            </w:pPr>
            <w:r>
              <w:rPr>
                <w:sz w:val="21"/>
              </w:rPr>
              <w:t>现金 </w:t>
            </w:r>
          </w:p>
        </w:tc>
        <w:tc>
          <w:tcPr>
            <w:tcW w:w="1526" w:type="dxa"/>
          </w:tcPr>
          <w:p>
            <w:pPr>
              <w:pStyle w:val="TableParagraph"/>
              <w:spacing w:before="1"/>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3" w:hRule="atLeast"/>
        </w:trPr>
        <w:tc>
          <w:tcPr>
            <w:tcW w:w="3065" w:type="dxa"/>
          </w:tcPr>
          <w:p>
            <w:pPr>
              <w:pStyle w:val="TableParagraph"/>
              <w:spacing w:line="252" w:lineRule="exact" w:before="1"/>
              <w:ind w:left="318"/>
              <w:rPr>
                <w:sz w:val="21"/>
              </w:rPr>
            </w:pPr>
            <w:r>
              <w:rPr>
                <w:spacing w:val="-1"/>
                <w:sz w:val="21"/>
              </w:rPr>
              <w:t>拆出资金净增加额</w:t>
            </w:r>
            <w:r>
              <w:rPr>
                <w:sz w:val="21"/>
              </w:rPr>
              <w:t> </w:t>
            </w:r>
          </w:p>
        </w:tc>
        <w:tc>
          <w:tcPr>
            <w:tcW w:w="1526" w:type="dxa"/>
          </w:tcPr>
          <w:p>
            <w:pPr>
              <w:pStyle w:val="TableParagraph"/>
              <w:spacing w:line="252" w:lineRule="exact" w:before="1"/>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1"/>
                <w:sz w:val="21"/>
              </w:rPr>
              <w:t>支付利息、手续费及佣金的</w:t>
            </w:r>
          </w:p>
          <w:p>
            <w:pPr>
              <w:pStyle w:val="TableParagraph"/>
              <w:spacing w:line="252" w:lineRule="exact" w:before="2"/>
              <w:ind w:left="107"/>
              <w:rPr>
                <w:sz w:val="21"/>
              </w:rPr>
            </w:pPr>
            <w:r>
              <w:rPr>
                <w:sz w:val="21"/>
              </w:rPr>
              <w:t>现金 </w:t>
            </w:r>
          </w:p>
        </w:tc>
        <w:tc>
          <w:tcPr>
            <w:tcW w:w="1526" w:type="dxa"/>
          </w:tcPr>
          <w:p>
            <w:pPr>
              <w:pStyle w:val="TableParagraph"/>
              <w:spacing w:before="1"/>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0" w:hRule="atLeast"/>
        </w:trPr>
        <w:tc>
          <w:tcPr>
            <w:tcW w:w="3065" w:type="dxa"/>
          </w:tcPr>
          <w:p>
            <w:pPr>
              <w:pStyle w:val="TableParagraph"/>
              <w:spacing w:line="250" w:lineRule="exact" w:before="1"/>
              <w:ind w:left="318"/>
              <w:rPr>
                <w:sz w:val="21"/>
              </w:rPr>
            </w:pPr>
            <w:r>
              <w:rPr>
                <w:spacing w:val="-1"/>
                <w:sz w:val="21"/>
              </w:rPr>
              <w:t>支付保单红利的现金</w:t>
            </w:r>
            <w:r>
              <w:rPr>
                <w:sz w:val="21"/>
              </w:rPr>
              <w:t> </w:t>
            </w:r>
          </w:p>
        </w:tc>
        <w:tc>
          <w:tcPr>
            <w:tcW w:w="1526" w:type="dxa"/>
          </w:tcPr>
          <w:p>
            <w:pPr>
              <w:pStyle w:val="TableParagraph"/>
              <w:spacing w:line="250" w:lineRule="exact" w:before="1"/>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6" w:hRule="atLeast"/>
        </w:trPr>
        <w:tc>
          <w:tcPr>
            <w:tcW w:w="3065" w:type="dxa"/>
          </w:tcPr>
          <w:p>
            <w:pPr>
              <w:pStyle w:val="TableParagraph"/>
              <w:spacing w:line="270" w:lineRule="atLeast"/>
              <w:ind w:left="107" w:right="211" w:firstLine="211"/>
              <w:rPr>
                <w:sz w:val="21"/>
              </w:rPr>
            </w:pPr>
            <w:r>
              <w:rPr>
                <w:spacing w:val="-1"/>
                <w:sz w:val="21"/>
              </w:rPr>
              <w:t>支付给职工及为职工支付的</w:t>
            </w:r>
            <w:r>
              <w:rPr>
                <w:sz w:val="21"/>
              </w:rPr>
              <w:t>现金 </w:t>
            </w:r>
          </w:p>
        </w:tc>
        <w:tc>
          <w:tcPr>
            <w:tcW w:w="1526" w:type="dxa"/>
          </w:tcPr>
          <w:p>
            <w:pPr>
              <w:pStyle w:val="TableParagraph"/>
              <w:spacing w:before="3"/>
              <w:ind w:left="105"/>
              <w:rPr>
                <w:sz w:val="21"/>
              </w:rPr>
            </w:pPr>
            <w:r>
              <w:rPr>
                <w:w w:val="100"/>
                <w:sz w:val="21"/>
              </w:rPr>
              <w:t> </w:t>
            </w:r>
          </w:p>
        </w:tc>
        <w:tc>
          <w:tcPr>
            <w:tcW w:w="2118" w:type="dxa"/>
          </w:tcPr>
          <w:p>
            <w:pPr>
              <w:pStyle w:val="TableParagraph"/>
              <w:spacing w:before="147"/>
              <w:ind w:right="91"/>
              <w:jc w:val="right"/>
              <w:rPr>
                <w:rFonts w:ascii="Times New Roman"/>
                <w:sz w:val="21"/>
              </w:rPr>
            </w:pPr>
            <w:r>
              <w:rPr>
                <w:rFonts w:ascii="Times New Roman"/>
                <w:sz w:val="21"/>
              </w:rPr>
              <w:t>-25,356,007</w:t>
            </w:r>
          </w:p>
        </w:tc>
        <w:tc>
          <w:tcPr>
            <w:tcW w:w="2111" w:type="dxa"/>
          </w:tcPr>
          <w:p>
            <w:pPr>
              <w:pStyle w:val="TableParagraph"/>
              <w:spacing w:before="147"/>
              <w:ind w:right="89"/>
              <w:jc w:val="right"/>
              <w:rPr>
                <w:rFonts w:ascii="Times New Roman"/>
                <w:sz w:val="21"/>
              </w:rPr>
            </w:pPr>
            <w:r>
              <w:rPr>
                <w:rFonts w:ascii="Times New Roman"/>
                <w:sz w:val="21"/>
              </w:rPr>
              <w:t>-24,931,687</w:t>
            </w:r>
          </w:p>
        </w:tc>
      </w:tr>
      <w:tr>
        <w:trPr>
          <w:trHeight w:val="270" w:hRule="atLeast"/>
        </w:trPr>
        <w:tc>
          <w:tcPr>
            <w:tcW w:w="3065" w:type="dxa"/>
          </w:tcPr>
          <w:p>
            <w:pPr>
              <w:pStyle w:val="TableParagraph"/>
              <w:spacing w:line="250" w:lineRule="exact" w:before="1"/>
              <w:ind w:left="318"/>
              <w:rPr>
                <w:sz w:val="21"/>
              </w:rPr>
            </w:pPr>
            <w:r>
              <w:rPr>
                <w:spacing w:val="-1"/>
                <w:sz w:val="21"/>
              </w:rPr>
              <w:t>支付的各项税费</w:t>
            </w:r>
            <w:r>
              <w:rPr>
                <w:sz w:val="21"/>
              </w:rPr>
              <w:t> </w:t>
            </w:r>
          </w:p>
        </w:tc>
        <w:tc>
          <w:tcPr>
            <w:tcW w:w="1526" w:type="dxa"/>
          </w:tcPr>
          <w:p>
            <w:pPr>
              <w:pStyle w:val="TableParagraph"/>
              <w:spacing w:line="250" w:lineRule="exact" w:before="1"/>
              <w:ind w:left="105"/>
              <w:rPr>
                <w:sz w:val="21"/>
              </w:rPr>
            </w:pPr>
            <w:r>
              <w:rPr>
                <w:w w:val="100"/>
                <w:sz w:val="21"/>
              </w:rPr>
              <w:t> </w:t>
            </w:r>
          </w:p>
        </w:tc>
        <w:tc>
          <w:tcPr>
            <w:tcW w:w="2118" w:type="dxa"/>
          </w:tcPr>
          <w:p>
            <w:pPr>
              <w:pStyle w:val="TableParagraph"/>
              <w:spacing w:before="7"/>
              <w:ind w:right="91"/>
              <w:jc w:val="right"/>
              <w:rPr>
                <w:rFonts w:ascii="Times New Roman"/>
                <w:sz w:val="21"/>
              </w:rPr>
            </w:pPr>
            <w:r>
              <w:rPr>
                <w:rFonts w:ascii="Times New Roman"/>
                <w:sz w:val="21"/>
              </w:rPr>
              <w:t>-3,286,100</w:t>
            </w:r>
          </w:p>
        </w:tc>
        <w:tc>
          <w:tcPr>
            <w:tcW w:w="2111" w:type="dxa"/>
          </w:tcPr>
          <w:p>
            <w:pPr>
              <w:pStyle w:val="TableParagraph"/>
              <w:spacing w:before="7"/>
              <w:ind w:right="89"/>
              <w:jc w:val="right"/>
              <w:rPr>
                <w:rFonts w:ascii="Times New Roman"/>
                <w:sz w:val="21"/>
              </w:rPr>
            </w:pPr>
            <w:r>
              <w:rPr>
                <w:rFonts w:ascii="Times New Roman"/>
                <w:sz w:val="21"/>
              </w:rPr>
              <w:t>-3,559,322</w:t>
            </w:r>
          </w:p>
        </w:tc>
      </w:tr>
      <w:tr>
        <w:trPr>
          <w:trHeight w:val="545" w:hRule="atLeast"/>
        </w:trPr>
        <w:tc>
          <w:tcPr>
            <w:tcW w:w="3065" w:type="dxa"/>
          </w:tcPr>
          <w:p>
            <w:pPr>
              <w:pStyle w:val="TableParagraph"/>
              <w:spacing w:before="1"/>
              <w:ind w:left="318"/>
              <w:rPr>
                <w:sz w:val="21"/>
              </w:rPr>
            </w:pPr>
            <w:r>
              <w:rPr>
                <w:spacing w:val="-1"/>
                <w:sz w:val="21"/>
              </w:rPr>
              <w:t>支付其他与经营活动有关的</w:t>
            </w:r>
          </w:p>
          <w:p>
            <w:pPr>
              <w:pStyle w:val="TableParagraph"/>
              <w:spacing w:line="250" w:lineRule="exact" w:before="5"/>
              <w:ind w:left="107"/>
              <w:rPr>
                <w:sz w:val="21"/>
              </w:rPr>
            </w:pPr>
            <w:r>
              <w:rPr>
                <w:sz w:val="21"/>
              </w:rPr>
              <w:t>现金 </w:t>
            </w:r>
          </w:p>
        </w:tc>
        <w:tc>
          <w:tcPr>
            <w:tcW w:w="1526" w:type="dxa"/>
          </w:tcPr>
          <w:p>
            <w:pPr>
              <w:pStyle w:val="TableParagraph"/>
              <w:spacing w:before="1"/>
              <w:ind w:left="105"/>
              <w:rPr>
                <w:sz w:val="21"/>
              </w:rPr>
            </w:pPr>
            <w:r>
              <w:rPr>
                <w:w w:val="100"/>
                <w:sz w:val="21"/>
              </w:rPr>
              <w:t> </w:t>
            </w:r>
          </w:p>
        </w:tc>
        <w:tc>
          <w:tcPr>
            <w:tcW w:w="2118" w:type="dxa"/>
          </w:tcPr>
          <w:p>
            <w:pPr>
              <w:pStyle w:val="TableParagraph"/>
              <w:spacing w:before="147"/>
              <w:ind w:right="91"/>
              <w:jc w:val="right"/>
              <w:rPr>
                <w:rFonts w:ascii="Times New Roman"/>
                <w:sz w:val="21"/>
              </w:rPr>
            </w:pPr>
            <w:r>
              <w:rPr>
                <w:rFonts w:ascii="Times New Roman"/>
                <w:sz w:val="21"/>
              </w:rPr>
              <w:t>-6,555,812</w:t>
            </w:r>
          </w:p>
        </w:tc>
        <w:tc>
          <w:tcPr>
            <w:tcW w:w="2111" w:type="dxa"/>
          </w:tcPr>
          <w:p>
            <w:pPr>
              <w:pStyle w:val="TableParagraph"/>
              <w:spacing w:before="147"/>
              <w:ind w:right="89"/>
              <w:jc w:val="right"/>
              <w:rPr>
                <w:rFonts w:ascii="Times New Roman"/>
                <w:sz w:val="21"/>
              </w:rPr>
            </w:pPr>
            <w:r>
              <w:rPr>
                <w:rFonts w:ascii="Times New Roman"/>
                <w:sz w:val="21"/>
              </w:rPr>
              <w:t>-5,871,895</w:t>
            </w:r>
          </w:p>
        </w:tc>
      </w:tr>
      <w:tr>
        <w:trPr>
          <w:trHeight w:val="273" w:hRule="atLeast"/>
        </w:trPr>
        <w:tc>
          <w:tcPr>
            <w:tcW w:w="3065" w:type="dxa"/>
          </w:tcPr>
          <w:p>
            <w:pPr>
              <w:pStyle w:val="TableParagraph"/>
              <w:spacing w:line="252" w:lineRule="exact" w:before="1"/>
              <w:ind w:left="527"/>
              <w:rPr>
                <w:sz w:val="21"/>
              </w:rPr>
            </w:pPr>
            <w:r>
              <w:rPr>
                <w:spacing w:val="-1"/>
                <w:sz w:val="21"/>
              </w:rPr>
              <w:t>经营活动现金流出小计</w:t>
            </w:r>
            <w:r>
              <w:rPr>
                <w:sz w:val="21"/>
              </w:rPr>
              <w:t> </w:t>
            </w:r>
          </w:p>
        </w:tc>
        <w:tc>
          <w:tcPr>
            <w:tcW w:w="1526" w:type="dxa"/>
          </w:tcPr>
          <w:p>
            <w:pPr>
              <w:pStyle w:val="TableParagraph"/>
              <w:spacing w:line="252" w:lineRule="exact" w:before="1"/>
              <w:ind w:left="105"/>
              <w:rPr>
                <w:sz w:val="21"/>
              </w:rPr>
            </w:pPr>
            <w:r>
              <w:rPr>
                <w:w w:val="100"/>
                <w:sz w:val="21"/>
              </w:rPr>
              <w:t> </w:t>
            </w:r>
          </w:p>
        </w:tc>
        <w:tc>
          <w:tcPr>
            <w:tcW w:w="2118" w:type="dxa"/>
          </w:tcPr>
          <w:p>
            <w:pPr>
              <w:pStyle w:val="TableParagraph"/>
              <w:spacing w:before="10"/>
              <w:ind w:right="91"/>
              <w:jc w:val="right"/>
              <w:rPr>
                <w:rFonts w:ascii="Times New Roman"/>
                <w:sz w:val="21"/>
              </w:rPr>
            </w:pPr>
            <w:r>
              <w:rPr>
                <w:rFonts w:ascii="Times New Roman"/>
                <w:sz w:val="21"/>
              </w:rPr>
              <w:t>-514,177,815</w:t>
            </w:r>
          </w:p>
        </w:tc>
        <w:tc>
          <w:tcPr>
            <w:tcW w:w="2111" w:type="dxa"/>
          </w:tcPr>
          <w:p>
            <w:pPr>
              <w:pStyle w:val="TableParagraph"/>
              <w:spacing w:before="10"/>
              <w:ind w:right="89"/>
              <w:jc w:val="right"/>
              <w:rPr>
                <w:rFonts w:ascii="Times New Roman"/>
                <w:sz w:val="21"/>
              </w:rPr>
            </w:pPr>
            <w:r>
              <w:rPr>
                <w:rFonts w:ascii="Times New Roman"/>
                <w:sz w:val="21"/>
              </w:rPr>
              <w:t>-453,723,339</w:t>
            </w:r>
          </w:p>
        </w:tc>
      </w:tr>
      <w:tr>
        <w:trPr>
          <w:trHeight w:val="544" w:hRule="atLeast"/>
        </w:trPr>
        <w:tc>
          <w:tcPr>
            <w:tcW w:w="3065" w:type="dxa"/>
          </w:tcPr>
          <w:p>
            <w:pPr>
              <w:pStyle w:val="TableParagraph"/>
              <w:spacing w:before="1"/>
              <w:ind w:left="738"/>
              <w:rPr>
                <w:sz w:val="21"/>
              </w:rPr>
            </w:pPr>
            <w:r>
              <w:rPr>
                <w:sz w:val="21"/>
              </w:rPr>
              <w:t>经营活动产生的现金流</w:t>
            </w:r>
          </w:p>
          <w:p>
            <w:pPr>
              <w:pStyle w:val="TableParagraph"/>
              <w:spacing w:line="250" w:lineRule="exact" w:before="4"/>
              <w:ind w:left="107"/>
              <w:rPr>
                <w:sz w:val="21"/>
              </w:rPr>
            </w:pPr>
            <w:r>
              <w:rPr>
                <w:sz w:val="21"/>
              </w:rPr>
              <w:t>量净额 </w:t>
            </w:r>
          </w:p>
        </w:tc>
        <w:tc>
          <w:tcPr>
            <w:tcW w:w="1526" w:type="dxa"/>
          </w:tcPr>
          <w:p>
            <w:pPr>
              <w:pStyle w:val="TableParagraph"/>
              <w:spacing w:before="1"/>
              <w:ind w:left="105"/>
              <w:rPr>
                <w:sz w:val="21"/>
              </w:rPr>
            </w:pPr>
            <w:r>
              <w:rPr>
                <w:sz w:val="21"/>
              </w:rPr>
              <w:t>七、78 </w:t>
            </w:r>
          </w:p>
        </w:tc>
        <w:tc>
          <w:tcPr>
            <w:tcW w:w="2118" w:type="dxa"/>
          </w:tcPr>
          <w:p>
            <w:pPr>
              <w:pStyle w:val="TableParagraph"/>
              <w:spacing w:before="144"/>
              <w:ind w:right="91"/>
              <w:jc w:val="right"/>
              <w:rPr>
                <w:rFonts w:ascii="Times New Roman"/>
                <w:sz w:val="21"/>
              </w:rPr>
            </w:pPr>
            <w:r>
              <w:rPr>
                <w:rFonts w:ascii="Times New Roman"/>
                <w:sz w:val="21"/>
              </w:rPr>
              <w:t>15,365,627</w:t>
            </w:r>
          </w:p>
        </w:tc>
        <w:tc>
          <w:tcPr>
            <w:tcW w:w="2111" w:type="dxa"/>
          </w:tcPr>
          <w:p>
            <w:pPr>
              <w:pStyle w:val="TableParagraph"/>
              <w:spacing w:before="144"/>
              <w:ind w:right="89"/>
              <w:jc w:val="right"/>
              <w:rPr>
                <w:rFonts w:ascii="Times New Roman"/>
                <w:sz w:val="21"/>
              </w:rPr>
            </w:pPr>
            <w:r>
              <w:rPr>
                <w:rFonts w:ascii="Times New Roman"/>
                <w:sz w:val="21"/>
              </w:rPr>
              <w:t>8,724,585</w:t>
            </w:r>
          </w:p>
        </w:tc>
      </w:tr>
      <w:tr>
        <w:trPr>
          <w:trHeight w:val="273" w:hRule="atLeast"/>
        </w:trPr>
        <w:tc>
          <w:tcPr>
            <w:tcW w:w="8820" w:type="dxa"/>
            <w:gridSpan w:val="4"/>
          </w:tcPr>
          <w:p>
            <w:pPr>
              <w:pStyle w:val="TableParagraph"/>
              <w:spacing w:line="252" w:lineRule="exact" w:before="1"/>
              <w:ind w:left="107"/>
              <w:rPr>
                <w:sz w:val="21"/>
              </w:rPr>
            </w:pPr>
            <w:r>
              <w:rPr>
                <w:sz w:val="21"/>
              </w:rPr>
              <w:t>二、投资活动产生的现金流量：</w:t>
            </w:r>
            <w:r>
              <w:rPr>
                <w:color w:val="008000"/>
                <w:sz w:val="21"/>
              </w:rPr>
              <w:t> </w:t>
            </w:r>
          </w:p>
        </w:tc>
      </w:tr>
      <w:tr>
        <w:trPr>
          <w:trHeight w:val="270" w:hRule="atLeast"/>
        </w:trPr>
        <w:tc>
          <w:tcPr>
            <w:tcW w:w="3065" w:type="dxa"/>
          </w:tcPr>
          <w:p>
            <w:pPr>
              <w:pStyle w:val="TableParagraph"/>
              <w:spacing w:line="250" w:lineRule="exact" w:before="1"/>
              <w:ind w:left="318"/>
              <w:rPr>
                <w:sz w:val="21"/>
              </w:rPr>
            </w:pPr>
            <w:r>
              <w:rPr>
                <w:spacing w:val="-1"/>
                <w:sz w:val="21"/>
              </w:rPr>
              <w:t>收回投资收到的现金</w:t>
            </w:r>
            <w:r>
              <w:rPr>
                <w:sz w:val="21"/>
              </w:rPr>
              <w:t> </w:t>
            </w:r>
          </w:p>
        </w:tc>
        <w:tc>
          <w:tcPr>
            <w:tcW w:w="1526" w:type="dxa"/>
          </w:tcPr>
          <w:p>
            <w:pPr>
              <w:pStyle w:val="TableParagraph"/>
              <w:spacing w:line="250" w:lineRule="exact" w:before="1"/>
              <w:ind w:left="105"/>
              <w:rPr>
                <w:sz w:val="21"/>
              </w:rPr>
            </w:pPr>
            <w:r>
              <w:rPr>
                <w:w w:val="100"/>
                <w:sz w:val="21"/>
              </w:rPr>
              <w:t> </w:t>
            </w:r>
          </w:p>
        </w:tc>
        <w:tc>
          <w:tcPr>
            <w:tcW w:w="2118" w:type="dxa"/>
          </w:tcPr>
          <w:p>
            <w:pPr>
              <w:pStyle w:val="TableParagraph"/>
              <w:spacing w:line="250" w:lineRule="exact" w:before="1"/>
              <w:ind w:right="-15"/>
              <w:jc w:val="right"/>
              <w:rPr>
                <w:sz w:val="21"/>
              </w:rPr>
            </w:pPr>
            <w:r>
              <w:rPr>
                <w:w w:val="100"/>
                <w:sz w:val="21"/>
              </w:rPr>
              <w:t> </w:t>
            </w:r>
          </w:p>
        </w:tc>
        <w:tc>
          <w:tcPr>
            <w:tcW w:w="2111" w:type="dxa"/>
          </w:tcPr>
          <w:p>
            <w:pPr>
              <w:pStyle w:val="TableParagraph"/>
              <w:spacing w:line="250" w:lineRule="exact" w:before="1"/>
              <w:ind w:right="-15"/>
              <w:jc w:val="right"/>
              <w:rPr>
                <w:sz w:val="21"/>
              </w:rPr>
            </w:pPr>
            <w:r>
              <w:rPr>
                <w:w w:val="100"/>
                <w:sz w:val="21"/>
              </w:rPr>
              <w:t> </w:t>
            </w:r>
          </w:p>
        </w:tc>
      </w:tr>
      <w:tr>
        <w:trPr>
          <w:trHeight w:val="273" w:hRule="atLeast"/>
        </w:trPr>
        <w:tc>
          <w:tcPr>
            <w:tcW w:w="3065" w:type="dxa"/>
          </w:tcPr>
          <w:p>
            <w:pPr>
              <w:pStyle w:val="TableParagraph"/>
              <w:spacing w:line="250" w:lineRule="exact" w:before="3"/>
              <w:ind w:left="318"/>
              <w:rPr>
                <w:sz w:val="21"/>
              </w:rPr>
            </w:pPr>
            <w:r>
              <w:rPr>
                <w:spacing w:val="-1"/>
                <w:sz w:val="21"/>
              </w:rPr>
              <w:t>取得投资收益收到的现金</w:t>
            </w:r>
            <w:r>
              <w:rPr>
                <w:sz w:val="21"/>
              </w:rPr>
              <w:t> </w:t>
            </w:r>
          </w:p>
        </w:tc>
        <w:tc>
          <w:tcPr>
            <w:tcW w:w="1526" w:type="dxa"/>
          </w:tcPr>
          <w:p>
            <w:pPr>
              <w:pStyle w:val="TableParagraph"/>
              <w:spacing w:line="250" w:lineRule="exact" w:before="3"/>
              <w:ind w:left="105"/>
              <w:rPr>
                <w:sz w:val="21"/>
              </w:rPr>
            </w:pPr>
            <w:r>
              <w:rPr>
                <w:w w:val="100"/>
                <w:sz w:val="21"/>
              </w:rPr>
              <w:t> </w:t>
            </w:r>
          </w:p>
        </w:tc>
        <w:tc>
          <w:tcPr>
            <w:tcW w:w="2118" w:type="dxa"/>
          </w:tcPr>
          <w:p>
            <w:pPr>
              <w:pStyle w:val="TableParagraph"/>
              <w:spacing w:before="10"/>
              <w:ind w:right="91"/>
              <w:jc w:val="right"/>
              <w:rPr>
                <w:rFonts w:ascii="Times New Roman"/>
                <w:sz w:val="21"/>
              </w:rPr>
            </w:pPr>
            <w:r>
              <w:rPr>
                <w:rFonts w:ascii="Times New Roman"/>
                <w:sz w:val="21"/>
              </w:rPr>
              <w:t>30,077</w:t>
            </w:r>
          </w:p>
        </w:tc>
        <w:tc>
          <w:tcPr>
            <w:tcW w:w="2111" w:type="dxa"/>
          </w:tcPr>
          <w:p>
            <w:pPr>
              <w:pStyle w:val="TableParagraph"/>
              <w:spacing w:before="10"/>
              <w:ind w:right="89"/>
              <w:jc w:val="right"/>
              <w:rPr>
                <w:rFonts w:ascii="Times New Roman"/>
                <w:sz w:val="21"/>
              </w:rPr>
            </w:pPr>
            <w:r>
              <w:rPr>
                <w:rFonts w:ascii="Times New Roman"/>
                <w:sz w:val="21"/>
              </w:rPr>
              <w:t>965,101</w:t>
            </w:r>
          </w:p>
        </w:tc>
      </w:tr>
      <w:tr>
        <w:trPr>
          <w:trHeight w:val="544" w:hRule="atLeast"/>
        </w:trPr>
        <w:tc>
          <w:tcPr>
            <w:tcW w:w="3065" w:type="dxa"/>
          </w:tcPr>
          <w:p>
            <w:pPr>
              <w:pStyle w:val="TableParagraph"/>
              <w:spacing w:before="1"/>
              <w:ind w:left="318"/>
              <w:rPr>
                <w:sz w:val="21"/>
              </w:rPr>
            </w:pPr>
            <w:r>
              <w:rPr>
                <w:spacing w:val="-1"/>
                <w:sz w:val="21"/>
              </w:rPr>
              <w:t>处置固定资产、无形资产和</w:t>
            </w:r>
          </w:p>
          <w:p>
            <w:pPr>
              <w:pStyle w:val="TableParagraph"/>
              <w:spacing w:line="250" w:lineRule="exact" w:before="4"/>
              <w:ind w:left="107"/>
              <w:rPr>
                <w:sz w:val="21"/>
              </w:rPr>
            </w:pPr>
            <w:r>
              <w:rPr>
                <w:spacing w:val="-1"/>
                <w:sz w:val="21"/>
              </w:rPr>
              <w:t>其他长期资产收回的现金净额</w:t>
            </w:r>
            <w:r>
              <w:rPr>
                <w:sz w:val="21"/>
              </w:rPr>
              <w:t> </w:t>
            </w:r>
          </w:p>
        </w:tc>
        <w:tc>
          <w:tcPr>
            <w:tcW w:w="1526" w:type="dxa"/>
          </w:tcPr>
          <w:p>
            <w:pPr>
              <w:pStyle w:val="TableParagraph"/>
              <w:spacing w:before="1"/>
              <w:ind w:left="105"/>
              <w:rPr>
                <w:sz w:val="21"/>
              </w:rPr>
            </w:pPr>
            <w:r>
              <w:rPr>
                <w:w w:val="100"/>
                <w:sz w:val="21"/>
              </w:rPr>
              <w:t> </w:t>
            </w:r>
          </w:p>
        </w:tc>
        <w:tc>
          <w:tcPr>
            <w:tcW w:w="2118" w:type="dxa"/>
          </w:tcPr>
          <w:p>
            <w:pPr>
              <w:pStyle w:val="TableParagraph"/>
              <w:spacing w:before="144"/>
              <w:ind w:right="91"/>
              <w:jc w:val="right"/>
              <w:rPr>
                <w:rFonts w:ascii="Times New Roman"/>
                <w:sz w:val="21"/>
              </w:rPr>
            </w:pPr>
            <w:r>
              <w:rPr>
                <w:rFonts w:ascii="Times New Roman"/>
                <w:sz w:val="21"/>
              </w:rPr>
              <w:t>46,566</w:t>
            </w:r>
          </w:p>
        </w:tc>
        <w:tc>
          <w:tcPr>
            <w:tcW w:w="2111" w:type="dxa"/>
          </w:tcPr>
          <w:p>
            <w:pPr>
              <w:pStyle w:val="TableParagraph"/>
              <w:spacing w:before="144"/>
              <w:ind w:right="89"/>
              <w:jc w:val="right"/>
              <w:rPr>
                <w:rFonts w:ascii="Times New Roman"/>
                <w:sz w:val="21"/>
              </w:rPr>
            </w:pPr>
            <w:r>
              <w:rPr>
                <w:rFonts w:ascii="Times New Roman"/>
                <w:sz w:val="21"/>
              </w:rPr>
              <w:t>53,791</w:t>
            </w:r>
          </w:p>
        </w:tc>
      </w:tr>
    </w:tbl>
    <w:p>
      <w:pPr>
        <w:spacing w:after="0"/>
        <w:jc w:val="right"/>
        <w:rPr>
          <w:rFonts w:ascii="Times New Roman"/>
          <w:sz w:val="21"/>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5"/>
        <w:gridCol w:w="1526"/>
        <w:gridCol w:w="2118"/>
        <w:gridCol w:w="2111"/>
      </w:tblGrid>
      <w:tr>
        <w:trPr>
          <w:trHeight w:val="547" w:hRule="atLeast"/>
        </w:trPr>
        <w:tc>
          <w:tcPr>
            <w:tcW w:w="3065" w:type="dxa"/>
          </w:tcPr>
          <w:p>
            <w:pPr>
              <w:pStyle w:val="TableParagraph"/>
              <w:spacing w:line="270" w:lineRule="atLeast"/>
              <w:ind w:left="107" w:right="211" w:firstLine="211"/>
              <w:rPr>
                <w:sz w:val="21"/>
              </w:rPr>
            </w:pPr>
            <w:r>
              <w:rPr>
                <w:spacing w:val="-1"/>
                <w:sz w:val="21"/>
              </w:rPr>
              <w:t>处置子公司及其他营业单位</w:t>
            </w:r>
            <w:r>
              <w:rPr>
                <w:sz w:val="21"/>
              </w:rPr>
              <w:t>收到的现金净额 </w:t>
            </w:r>
          </w:p>
        </w:tc>
        <w:tc>
          <w:tcPr>
            <w:tcW w:w="1526" w:type="dxa"/>
          </w:tcPr>
          <w:p>
            <w:pPr>
              <w:pStyle w:val="TableParagraph"/>
              <w:spacing w:before="3"/>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1"/>
                <w:sz w:val="21"/>
              </w:rPr>
              <w:t>收到其他与投资活动有关的</w:t>
            </w:r>
          </w:p>
          <w:p>
            <w:pPr>
              <w:pStyle w:val="TableParagraph"/>
              <w:spacing w:line="252" w:lineRule="exact" w:before="2"/>
              <w:ind w:left="107"/>
              <w:rPr>
                <w:sz w:val="21"/>
              </w:rPr>
            </w:pPr>
            <w:r>
              <w:rPr>
                <w:sz w:val="21"/>
              </w:rPr>
              <w:t>现金 </w:t>
            </w:r>
          </w:p>
        </w:tc>
        <w:tc>
          <w:tcPr>
            <w:tcW w:w="1526" w:type="dxa"/>
          </w:tcPr>
          <w:p>
            <w:pPr>
              <w:pStyle w:val="TableParagraph"/>
              <w:spacing w:before="1"/>
              <w:ind w:left="105"/>
              <w:rPr>
                <w:sz w:val="21"/>
              </w:rPr>
            </w:pPr>
            <w:r>
              <w:rPr>
                <w:w w:val="100"/>
                <w:sz w:val="21"/>
              </w:rPr>
              <w:t> </w:t>
            </w:r>
          </w:p>
        </w:tc>
        <w:tc>
          <w:tcPr>
            <w:tcW w:w="2118" w:type="dxa"/>
          </w:tcPr>
          <w:p>
            <w:pPr>
              <w:pStyle w:val="TableParagraph"/>
              <w:spacing w:before="144"/>
              <w:ind w:right="91"/>
              <w:jc w:val="right"/>
              <w:rPr>
                <w:rFonts w:ascii="Times New Roman"/>
                <w:sz w:val="21"/>
              </w:rPr>
            </w:pPr>
            <w:r>
              <w:rPr>
                <w:rFonts w:ascii="Times New Roman"/>
                <w:sz w:val="21"/>
              </w:rPr>
              <w:t>2,975,165</w:t>
            </w:r>
          </w:p>
        </w:tc>
        <w:tc>
          <w:tcPr>
            <w:tcW w:w="2111" w:type="dxa"/>
          </w:tcPr>
          <w:p>
            <w:pPr>
              <w:pStyle w:val="TableParagraph"/>
              <w:spacing w:before="144"/>
              <w:ind w:right="89"/>
              <w:jc w:val="right"/>
              <w:rPr>
                <w:rFonts w:ascii="Times New Roman"/>
                <w:sz w:val="21"/>
              </w:rPr>
            </w:pPr>
            <w:r>
              <w:rPr>
                <w:rFonts w:ascii="Times New Roman"/>
                <w:sz w:val="21"/>
              </w:rPr>
              <w:t>2,306,524</w:t>
            </w:r>
          </w:p>
        </w:tc>
      </w:tr>
      <w:tr>
        <w:trPr>
          <w:trHeight w:val="270" w:hRule="atLeast"/>
        </w:trPr>
        <w:tc>
          <w:tcPr>
            <w:tcW w:w="3065" w:type="dxa"/>
          </w:tcPr>
          <w:p>
            <w:pPr>
              <w:pStyle w:val="TableParagraph"/>
              <w:spacing w:line="250" w:lineRule="exact" w:before="1"/>
              <w:ind w:right="319"/>
              <w:jc w:val="right"/>
              <w:rPr>
                <w:sz w:val="21"/>
              </w:rPr>
            </w:pPr>
            <w:r>
              <w:rPr>
                <w:spacing w:val="-1"/>
                <w:sz w:val="21"/>
              </w:rPr>
              <w:t>投资活动现金流入小计</w:t>
            </w:r>
            <w:r>
              <w:rPr>
                <w:sz w:val="21"/>
              </w:rPr>
              <w:t> </w:t>
            </w:r>
          </w:p>
        </w:tc>
        <w:tc>
          <w:tcPr>
            <w:tcW w:w="1526" w:type="dxa"/>
          </w:tcPr>
          <w:p>
            <w:pPr>
              <w:pStyle w:val="TableParagraph"/>
              <w:spacing w:line="250" w:lineRule="exact" w:before="1"/>
              <w:ind w:left="105"/>
              <w:rPr>
                <w:sz w:val="21"/>
              </w:rPr>
            </w:pPr>
            <w:r>
              <w:rPr>
                <w:w w:val="100"/>
                <w:sz w:val="21"/>
              </w:rPr>
              <w:t> </w:t>
            </w:r>
          </w:p>
        </w:tc>
        <w:tc>
          <w:tcPr>
            <w:tcW w:w="2118" w:type="dxa"/>
          </w:tcPr>
          <w:p>
            <w:pPr>
              <w:pStyle w:val="TableParagraph"/>
              <w:spacing w:before="7"/>
              <w:ind w:right="91"/>
              <w:jc w:val="right"/>
              <w:rPr>
                <w:rFonts w:ascii="Times New Roman"/>
                <w:sz w:val="21"/>
              </w:rPr>
            </w:pPr>
            <w:r>
              <w:rPr>
                <w:rFonts w:ascii="Times New Roman"/>
                <w:sz w:val="21"/>
              </w:rPr>
              <w:t>3,051,808</w:t>
            </w:r>
          </w:p>
        </w:tc>
        <w:tc>
          <w:tcPr>
            <w:tcW w:w="2111" w:type="dxa"/>
          </w:tcPr>
          <w:p>
            <w:pPr>
              <w:pStyle w:val="TableParagraph"/>
              <w:spacing w:before="7"/>
              <w:ind w:right="89"/>
              <w:jc w:val="right"/>
              <w:rPr>
                <w:rFonts w:ascii="Times New Roman"/>
                <w:sz w:val="21"/>
              </w:rPr>
            </w:pPr>
            <w:r>
              <w:rPr>
                <w:rFonts w:ascii="Times New Roman"/>
                <w:sz w:val="21"/>
              </w:rPr>
              <w:t>3,325,416</w:t>
            </w:r>
          </w:p>
        </w:tc>
      </w:tr>
      <w:tr>
        <w:trPr>
          <w:trHeight w:val="544" w:hRule="atLeast"/>
        </w:trPr>
        <w:tc>
          <w:tcPr>
            <w:tcW w:w="3065" w:type="dxa"/>
          </w:tcPr>
          <w:p>
            <w:pPr>
              <w:pStyle w:val="TableParagraph"/>
              <w:spacing w:before="1"/>
              <w:ind w:left="318"/>
              <w:rPr>
                <w:sz w:val="21"/>
              </w:rPr>
            </w:pPr>
            <w:r>
              <w:rPr>
                <w:spacing w:val="-1"/>
                <w:sz w:val="21"/>
              </w:rPr>
              <w:t>购建固定资产、无形资产和</w:t>
            </w:r>
          </w:p>
          <w:p>
            <w:pPr>
              <w:pStyle w:val="TableParagraph"/>
              <w:spacing w:line="250" w:lineRule="exact" w:before="4"/>
              <w:ind w:left="107"/>
              <w:rPr>
                <w:sz w:val="21"/>
              </w:rPr>
            </w:pPr>
            <w:r>
              <w:rPr>
                <w:spacing w:val="-1"/>
                <w:sz w:val="21"/>
              </w:rPr>
              <w:t>其他长期资产支付的现金</w:t>
            </w:r>
            <w:r>
              <w:rPr>
                <w:sz w:val="21"/>
              </w:rPr>
              <w:t> </w:t>
            </w:r>
          </w:p>
        </w:tc>
        <w:tc>
          <w:tcPr>
            <w:tcW w:w="1526" w:type="dxa"/>
          </w:tcPr>
          <w:p>
            <w:pPr>
              <w:pStyle w:val="TableParagraph"/>
              <w:spacing w:before="1"/>
              <w:ind w:left="105"/>
              <w:rPr>
                <w:sz w:val="21"/>
              </w:rPr>
            </w:pPr>
            <w:r>
              <w:rPr>
                <w:w w:val="100"/>
                <w:sz w:val="21"/>
              </w:rPr>
              <w:t> </w:t>
            </w:r>
          </w:p>
        </w:tc>
        <w:tc>
          <w:tcPr>
            <w:tcW w:w="2118" w:type="dxa"/>
          </w:tcPr>
          <w:p>
            <w:pPr>
              <w:pStyle w:val="TableParagraph"/>
              <w:spacing w:before="147"/>
              <w:ind w:right="91"/>
              <w:jc w:val="right"/>
              <w:rPr>
                <w:rFonts w:ascii="Times New Roman"/>
                <w:sz w:val="21"/>
              </w:rPr>
            </w:pPr>
            <w:r>
              <w:rPr>
                <w:rFonts w:ascii="Times New Roman"/>
                <w:sz w:val="21"/>
              </w:rPr>
              <w:t>-8,093,290</w:t>
            </w:r>
          </w:p>
        </w:tc>
        <w:tc>
          <w:tcPr>
            <w:tcW w:w="2111" w:type="dxa"/>
          </w:tcPr>
          <w:p>
            <w:pPr>
              <w:pStyle w:val="TableParagraph"/>
              <w:spacing w:before="147"/>
              <w:ind w:right="89"/>
              <w:jc w:val="right"/>
              <w:rPr>
                <w:rFonts w:ascii="Times New Roman"/>
                <w:sz w:val="21"/>
              </w:rPr>
            </w:pPr>
            <w:r>
              <w:rPr>
                <w:rFonts w:ascii="Times New Roman"/>
                <w:sz w:val="21"/>
              </w:rPr>
              <w:t>-6,035,315</w:t>
            </w:r>
          </w:p>
        </w:tc>
      </w:tr>
      <w:tr>
        <w:trPr>
          <w:trHeight w:val="273" w:hRule="atLeast"/>
        </w:trPr>
        <w:tc>
          <w:tcPr>
            <w:tcW w:w="3065" w:type="dxa"/>
          </w:tcPr>
          <w:p>
            <w:pPr>
              <w:pStyle w:val="TableParagraph"/>
              <w:spacing w:line="250" w:lineRule="exact" w:before="3"/>
              <w:ind w:left="318"/>
              <w:rPr>
                <w:sz w:val="21"/>
              </w:rPr>
            </w:pPr>
            <w:r>
              <w:rPr>
                <w:spacing w:val="-1"/>
                <w:sz w:val="21"/>
              </w:rPr>
              <w:t>投资支付的现金</w:t>
            </w:r>
            <w:r>
              <w:rPr>
                <w:sz w:val="21"/>
              </w:rPr>
              <w:t> </w:t>
            </w:r>
          </w:p>
        </w:tc>
        <w:tc>
          <w:tcPr>
            <w:tcW w:w="1526" w:type="dxa"/>
          </w:tcPr>
          <w:p>
            <w:pPr>
              <w:pStyle w:val="TableParagraph"/>
              <w:spacing w:line="250" w:lineRule="exact" w:before="3"/>
              <w:ind w:left="105"/>
              <w:rPr>
                <w:sz w:val="21"/>
              </w:rPr>
            </w:pPr>
            <w:r>
              <w:rPr>
                <w:w w:val="100"/>
                <w:sz w:val="21"/>
              </w:rPr>
              <w:t> </w:t>
            </w:r>
          </w:p>
        </w:tc>
        <w:tc>
          <w:tcPr>
            <w:tcW w:w="2118" w:type="dxa"/>
          </w:tcPr>
          <w:p>
            <w:pPr>
              <w:pStyle w:val="TableParagraph"/>
              <w:spacing w:before="10"/>
              <w:ind w:right="91"/>
              <w:jc w:val="right"/>
              <w:rPr>
                <w:rFonts w:ascii="Times New Roman"/>
                <w:sz w:val="21"/>
              </w:rPr>
            </w:pPr>
            <w:r>
              <w:rPr>
                <w:rFonts w:ascii="Times New Roman"/>
                <w:sz w:val="21"/>
              </w:rPr>
              <w:t>-9,236,384</w:t>
            </w:r>
          </w:p>
        </w:tc>
        <w:tc>
          <w:tcPr>
            <w:tcW w:w="2111" w:type="dxa"/>
          </w:tcPr>
          <w:p>
            <w:pPr>
              <w:pStyle w:val="TableParagraph"/>
              <w:spacing w:before="10"/>
              <w:ind w:right="89"/>
              <w:jc w:val="right"/>
              <w:rPr>
                <w:rFonts w:ascii="Times New Roman"/>
                <w:sz w:val="21"/>
              </w:rPr>
            </w:pPr>
            <w:r>
              <w:rPr>
                <w:rFonts w:ascii="Times New Roman"/>
                <w:sz w:val="21"/>
              </w:rPr>
              <w:t>-1,798,609</w:t>
            </w:r>
          </w:p>
        </w:tc>
      </w:tr>
      <w:tr>
        <w:trPr>
          <w:trHeight w:val="273" w:hRule="atLeast"/>
        </w:trPr>
        <w:tc>
          <w:tcPr>
            <w:tcW w:w="3065" w:type="dxa"/>
          </w:tcPr>
          <w:p>
            <w:pPr>
              <w:pStyle w:val="TableParagraph"/>
              <w:spacing w:line="252" w:lineRule="exact" w:before="1"/>
              <w:ind w:left="318"/>
              <w:rPr>
                <w:sz w:val="21"/>
              </w:rPr>
            </w:pPr>
            <w:r>
              <w:rPr>
                <w:spacing w:val="-1"/>
                <w:sz w:val="21"/>
              </w:rPr>
              <w:t>质押贷款净增加额</w:t>
            </w:r>
            <w:r>
              <w:rPr>
                <w:sz w:val="21"/>
              </w:rPr>
              <w:t> </w:t>
            </w:r>
          </w:p>
        </w:tc>
        <w:tc>
          <w:tcPr>
            <w:tcW w:w="1526" w:type="dxa"/>
          </w:tcPr>
          <w:p>
            <w:pPr>
              <w:pStyle w:val="TableParagraph"/>
              <w:spacing w:line="252" w:lineRule="exact" w:before="1"/>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1"/>
                <w:sz w:val="21"/>
              </w:rPr>
              <w:t>取得子公司及其他营业单位</w:t>
            </w:r>
          </w:p>
          <w:p>
            <w:pPr>
              <w:pStyle w:val="TableParagraph"/>
              <w:spacing w:line="252" w:lineRule="exact" w:before="2"/>
              <w:ind w:left="107"/>
              <w:rPr>
                <w:sz w:val="21"/>
              </w:rPr>
            </w:pPr>
            <w:r>
              <w:rPr>
                <w:spacing w:val="-1"/>
                <w:sz w:val="21"/>
              </w:rPr>
              <w:t>支付的现金净额</w:t>
            </w:r>
            <w:r>
              <w:rPr>
                <w:sz w:val="21"/>
              </w:rPr>
              <w:t> </w:t>
            </w:r>
          </w:p>
        </w:tc>
        <w:tc>
          <w:tcPr>
            <w:tcW w:w="1526" w:type="dxa"/>
          </w:tcPr>
          <w:p>
            <w:pPr>
              <w:pStyle w:val="TableParagraph"/>
              <w:spacing w:before="1"/>
              <w:ind w:left="105"/>
              <w:rPr>
                <w:sz w:val="21"/>
              </w:rPr>
            </w:pPr>
            <w:r>
              <w:rPr>
                <w:w w:val="100"/>
                <w:sz w:val="21"/>
              </w:rPr>
              <w:t> </w:t>
            </w:r>
          </w:p>
        </w:tc>
        <w:tc>
          <w:tcPr>
            <w:tcW w:w="2118" w:type="dxa"/>
          </w:tcPr>
          <w:p>
            <w:pPr>
              <w:pStyle w:val="TableParagraph"/>
              <w:spacing w:before="144"/>
              <w:ind w:right="93"/>
              <w:jc w:val="right"/>
              <w:rPr>
                <w:rFonts w:ascii="Times New Roman"/>
                <w:sz w:val="21"/>
              </w:rPr>
            </w:pPr>
            <w:r>
              <w:rPr>
                <w:rFonts w:ascii="Times New Roman"/>
                <w:sz w:val="21"/>
              </w:rPr>
              <w:t>-342,454</w:t>
            </w:r>
          </w:p>
        </w:tc>
        <w:tc>
          <w:tcPr>
            <w:tcW w:w="2111" w:type="dxa"/>
          </w:tcPr>
          <w:p>
            <w:pPr>
              <w:pStyle w:val="TableParagraph"/>
              <w:spacing w:before="144"/>
              <w:ind w:right="91"/>
              <w:jc w:val="right"/>
              <w:rPr>
                <w:rFonts w:ascii="Times New Roman"/>
                <w:sz w:val="21"/>
              </w:rPr>
            </w:pPr>
            <w:r>
              <w:rPr>
                <w:rFonts w:ascii="Times New Roman"/>
                <w:w w:val="100"/>
                <w:sz w:val="21"/>
              </w:rPr>
              <w:t>-</w:t>
            </w:r>
          </w:p>
        </w:tc>
      </w:tr>
      <w:tr>
        <w:trPr>
          <w:trHeight w:val="544" w:hRule="atLeast"/>
        </w:trPr>
        <w:tc>
          <w:tcPr>
            <w:tcW w:w="3065" w:type="dxa"/>
          </w:tcPr>
          <w:p>
            <w:pPr>
              <w:pStyle w:val="TableParagraph"/>
              <w:spacing w:before="1"/>
              <w:ind w:left="318"/>
              <w:rPr>
                <w:sz w:val="21"/>
              </w:rPr>
            </w:pPr>
            <w:r>
              <w:rPr>
                <w:spacing w:val="-1"/>
                <w:sz w:val="21"/>
              </w:rPr>
              <w:t>支付其他与投资活动有关的</w:t>
            </w:r>
          </w:p>
          <w:p>
            <w:pPr>
              <w:pStyle w:val="TableParagraph"/>
              <w:spacing w:line="252" w:lineRule="exact" w:before="2"/>
              <w:ind w:left="107"/>
              <w:rPr>
                <w:sz w:val="21"/>
              </w:rPr>
            </w:pPr>
            <w:r>
              <w:rPr>
                <w:sz w:val="21"/>
              </w:rPr>
              <w:t>现金 </w:t>
            </w:r>
          </w:p>
        </w:tc>
        <w:tc>
          <w:tcPr>
            <w:tcW w:w="1526" w:type="dxa"/>
          </w:tcPr>
          <w:p>
            <w:pPr>
              <w:pStyle w:val="TableParagraph"/>
              <w:spacing w:before="1"/>
              <w:ind w:left="105"/>
              <w:rPr>
                <w:sz w:val="21"/>
              </w:rPr>
            </w:pPr>
            <w:r>
              <w:rPr>
                <w:w w:val="100"/>
                <w:sz w:val="21"/>
              </w:rPr>
              <w:t> </w:t>
            </w:r>
          </w:p>
        </w:tc>
        <w:tc>
          <w:tcPr>
            <w:tcW w:w="2118" w:type="dxa"/>
          </w:tcPr>
          <w:p>
            <w:pPr>
              <w:pStyle w:val="TableParagraph"/>
              <w:spacing w:before="144"/>
              <w:ind w:right="93"/>
              <w:jc w:val="right"/>
              <w:rPr>
                <w:rFonts w:ascii="Times New Roman"/>
                <w:sz w:val="21"/>
              </w:rPr>
            </w:pPr>
            <w:r>
              <w:rPr>
                <w:rFonts w:ascii="Times New Roman"/>
                <w:sz w:val="21"/>
              </w:rPr>
              <w:t>-687,182</w:t>
            </w:r>
          </w:p>
        </w:tc>
        <w:tc>
          <w:tcPr>
            <w:tcW w:w="2111" w:type="dxa"/>
          </w:tcPr>
          <w:p>
            <w:pPr>
              <w:pStyle w:val="TableParagraph"/>
              <w:spacing w:before="144"/>
              <w:ind w:right="89"/>
              <w:jc w:val="right"/>
              <w:rPr>
                <w:rFonts w:ascii="Times New Roman"/>
                <w:sz w:val="21"/>
              </w:rPr>
            </w:pPr>
            <w:r>
              <w:rPr>
                <w:rFonts w:ascii="Times New Roman"/>
                <w:sz w:val="21"/>
              </w:rPr>
              <w:t>-2,591,292</w:t>
            </w:r>
          </w:p>
        </w:tc>
      </w:tr>
      <w:tr>
        <w:trPr>
          <w:trHeight w:val="273" w:hRule="atLeast"/>
        </w:trPr>
        <w:tc>
          <w:tcPr>
            <w:tcW w:w="3065" w:type="dxa"/>
          </w:tcPr>
          <w:p>
            <w:pPr>
              <w:pStyle w:val="TableParagraph"/>
              <w:spacing w:line="252" w:lineRule="exact" w:before="1"/>
              <w:ind w:right="319"/>
              <w:jc w:val="right"/>
              <w:rPr>
                <w:sz w:val="21"/>
              </w:rPr>
            </w:pPr>
            <w:r>
              <w:rPr>
                <w:spacing w:val="-1"/>
                <w:sz w:val="21"/>
              </w:rPr>
              <w:t>投资活动现金流出小计</w:t>
            </w:r>
            <w:r>
              <w:rPr>
                <w:sz w:val="21"/>
              </w:rPr>
              <w:t> </w:t>
            </w:r>
          </w:p>
        </w:tc>
        <w:tc>
          <w:tcPr>
            <w:tcW w:w="1526" w:type="dxa"/>
          </w:tcPr>
          <w:p>
            <w:pPr>
              <w:pStyle w:val="TableParagraph"/>
              <w:spacing w:line="252" w:lineRule="exact" w:before="1"/>
              <w:ind w:left="105"/>
              <w:rPr>
                <w:sz w:val="21"/>
              </w:rPr>
            </w:pPr>
            <w:r>
              <w:rPr>
                <w:w w:val="100"/>
                <w:sz w:val="21"/>
              </w:rPr>
              <w:t> </w:t>
            </w:r>
          </w:p>
        </w:tc>
        <w:tc>
          <w:tcPr>
            <w:tcW w:w="2118" w:type="dxa"/>
          </w:tcPr>
          <w:p>
            <w:pPr>
              <w:pStyle w:val="TableParagraph"/>
              <w:spacing w:before="10"/>
              <w:ind w:right="91"/>
              <w:jc w:val="right"/>
              <w:rPr>
                <w:rFonts w:ascii="Times New Roman"/>
                <w:sz w:val="21"/>
              </w:rPr>
            </w:pPr>
            <w:r>
              <w:rPr>
                <w:rFonts w:ascii="Times New Roman"/>
                <w:sz w:val="21"/>
              </w:rPr>
              <w:t>-18,359,310</w:t>
            </w:r>
          </w:p>
        </w:tc>
        <w:tc>
          <w:tcPr>
            <w:tcW w:w="2111" w:type="dxa"/>
          </w:tcPr>
          <w:p>
            <w:pPr>
              <w:pStyle w:val="TableParagraph"/>
              <w:spacing w:before="10"/>
              <w:ind w:right="89"/>
              <w:jc w:val="right"/>
              <w:rPr>
                <w:rFonts w:ascii="Times New Roman"/>
                <w:sz w:val="21"/>
              </w:rPr>
            </w:pPr>
            <w:r>
              <w:rPr>
                <w:rFonts w:ascii="Times New Roman"/>
                <w:sz w:val="21"/>
              </w:rPr>
              <w:t>-10,425,216</w:t>
            </w:r>
          </w:p>
        </w:tc>
      </w:tr>
      <w:tr>
        <w:trPr>
          <w:trHeight w:val="544" w:hRule="atLeast"/>
        </w:trPr>
        <w:tc>
          <w:tcPr>
            <w:tcW w:w="3065" w:type="dxa"/>
          </w:tcPr>
          <w:p>
            <w:pPr>
              <w:pStyle w:val="TableParagraph"/>
              <w:spacing w:before="1"/>
              <w:ind w:left="738"/>
              <w:rPr>
                <w:sz w:val="21"/>
              </w:rPr>
            </w:pPr>
            <w:r>
              <w:rPr>
                <w:sz w:val="21"/>
              </w:rPr>
              <w:t>投资活动产生的现金流</w:t>
            </w:r>
          </w:p>
          <w:p>
            <w:pPr>
              <w:pStyle w:val="TableParagraph"/>
              <w:spacing w:line="252" w:lineRule="exact" w:before="2"/>
              <w:ind w:left="107"/>
              <w:rPr>
                <w:sz w:val="21"/>
              </w:rPr>
            </w:pPr>
            <w:r>
              <w:rPr>
                <w:sz w:val="21"/>
              </w:rPr>
              <w:t>量净额 </w:t>
            </w:r>
          </w:p>
        </w:tc>
        <w:tc>
          <w:tcPr>
            <w:tcW w:w="1526" w:type="dxa"/>
          </w:tcPr>
          <w:p>
            <w:pPr>
              <w:pStyle w:val="TableParagraph"/>
              <w:spacing w:before="1"/>
              <w:ind w:left="105"/>
              <w:rPr>
                <w:sz w:val="21"/>
              </w:rPr>
            </w:pPr>
            <w:r>
              <w:rPr>
                <w:sz w:val="21"/>
              </w:rPr>
              <w:t>七、78 </w:t>
            </w:r>
          </w:p>
        </w:tc>
        <w:tc>
          <w:tcPr>
            <w:tcW w:w="2118" w:type="dxa"/>
          </w:tcPr>
          <w:p>
            <w:pPr>
              <w:pStyle w:val="TableParagraph"/>
              <w:spacing w:before="144"/>
              <w:ind w:right="91"/>
              <w:jc w:val="right"/>
              <w:rPr>
                <w:rFonts w:ascii="Times New Roman"/>
                <w:sz w:val="21"/>
              </w:rPr>
            </w:pPr>
            <w:r>
              <w:rPr>
                <w:rFonts w:ascii="Times New Roman"/>
                <w:sz w:val="21"/>
              </w:rPr>
              <w:t>-15,307,502</w:t>
            </w:r>
          </w:p>
        </w:tc>
        <w:tc>
          <w:tcPr>
            <w:tcW w:w="2111" w:type="dxa"/>
          </w:tcPr>
          <w:p>
            <w:pPr>
              <w:pStyle w:val="TableParagraph"/>
              <w:spacing w:before="144"/>
              <w:ind w:right="89"/>
              <w:jc w:val="right"/>
              <w:rPr>
                <w:rFonts w:ascii="Times New Roman"/>
                <w:sz w:val="21"/>
              </w:rPr>
            </w:pPr>
            <w:r>
              <w:rPr>
                <w:rFonts w:ascii="Times New Roman"/>
                <w:sz w:val="21"/>
              </w:rPr>
              <w:t>-7,099,800</w:t>
            </w:r>
          </w:p>
        </w:tc>
      </w:tr>
      <w:tr>
        <w:trPr>
          <w:trHeight w:val="270" w:hRule="atLeast"/>
        </w:trPr>
        <w:tc>
          <w:tcPr>
            <w:tcW w:w="8820" w:type="dxa"/>
            <w:gridSpan w:val="4"/>
          </w:tcPr>
          <w:p>
            <w:pPr>
              <w:pStyle w:val="TableParagraph"/>
              <w:spacing w:line="250" w:lineRule="exact" w:before="1"/>
              <w:ind w:left="107"/>
              <w:rPr>
                <w:sz w:val="21"/>
              </w:rPr>
            </w:pPr>
            <w:r>
              <w:rPr>
                <w:sz w:val="21"/>
              </w:rPr>
              <w:t>三、筹资活动产生的现金流量：</w:t>
            </w:r>
            <w:r>
              <w:rPr>
                <w:color w:val="008000"/>
                <w:sz w:val="21"/>
              </w:rPr>
              <w:t> </w:t>
            </w:r>
          </w:p>
        </w:tc>
      </w:tr>
      <w:tr>
        <w:trPr>
          <w:trHeight w:val="273" w:hRule="atLeast"/>
        </w:trPr>
        <w:tc>
          <w:tcPr>
            <w:tcW w:w="3065" w:type="dxa"/>
          </w:tcPr>
          <w:p>
            <w:pPr>
              <w:pStyle w:val="TableParagraph"/>
              <w:spacing w:line="250" w:lineRule="exact" w:before="3"/>
              <w:ind w:left="318"/>
              <w:rPr>
                <w:sz w:val="21"/>
              </w:rPr>
            </w:pPr>
            <w:r>
              <w:rPr>
                <w:spacing w:val="-1"/>
                <w:sz w:val="21"/>
              </w:rPr>
              <w:t>吸收投资收到的现金</w:t>
            </w:r>
            <w:r>
              <w:rPr>
                <w:sz w:val="21"/>
              </w:rPr>
              <w:t> </w:t>
            </w:r>
          </w:p>
        </w:tc>
        <w:tc>
          <w:tcPr>
            <w:tcW w:w="1526" w:type="dxa"/>
          </w:tcPr>
          <w:p>
            <w:pPr>
              <w:pStyle w:val="TableParagraph"/>
              <w:spacing w:line="250" w:lineRule="exact" w:before="3"/>
              <w:ind w:left="105"/>
              <w:rPr>
                <w:sz w:val="21"/>
              </w:rPr>
            </w:pPr>
            <w:r>
              <w:rPr>
                <w:w w:val="100"/>
                <w:sz w:val="21"/>
              </w:rPr>
              <w:t> </w:t>
            </w:r>
          </w:p>
        </w:tc>
        <w:tc>
          <w:tcPr>
            <w:tcW w:w="2118" w:type="dxa"/>
          </w:tcPr>
          <w:p>
            <w:pPr>
              <w:pStyle w:val="TableParagraph"/>
              <w:spacing w:before="10"/>
              <w:ind w:right="91"/>
              <w:jc w:val="right"/>
              <w:rPr>
                <w:rFonts w:ascii="Times New Roman"/>
                <w:sz w:val="21"/>
              </w:rPr>
            </w:pPr>
            <w:r>
              <w:rPr>
                <w:rFonts w:ascii="Times New Roman"/>
                <w:sz w:val="21"/>
              </w:rPr>
              <w:t>386</w:t>
            </w:r>
          </w:p>
        </w:tc>
        <w:tc>
          <w:tcPr>
            <w:tcW w:w="2111" w:type="dxa"/>
          </w:tcPr>
          <w:p>
            <w:pPr>
              <w:pStyle w:val="TableParagraph"/>
              <w:spacing w:before="10"/>
              <w:ind w:right="89"/>
              <w:jc w:val="right"/>
              <w:rPr>
                <w:rFonts w:ascii="Times New Roman"/>
                <w:sz w:val="21"/>
              </w:rPr>
            </w:pPr>
            <w:r>
              <w:rPr>
                <w:rFonts w:ascii="Times New Roman"/>
                <w:sz w:val="21"/>
              </w:rPr>
              <w:t>27,413</w:t>
            </w:r>
          </w:p>
        </w:tc>
      </w:tr>
      <w:tr>
        <w:trPr>
          <w:trHeight w:val="544" w:hRule="atLeast"/>
        </w:trPr>
        <w:tc>
          <w:tcPr>
            <w:tcW w:w="3065" w:type="dxa"/>
          </w:tcPr>
          <w:p>
            <w:pPr>
              <w:pStyle w:val="TableParagraph"/>
              <w:spacing w:before="1"/>
              <w:ind w:left="318"/>
              <w:rPr>
                <w:sz w:val="21"/>
              </w:rPr>
            </w:pPr>
            <w:r>
              <w:rPr>
                <w:spacing w:val="-1"/>
                <w:sz w:val="21"/>
              </w:rPr>
              <w:t>其中：子公司吸收少数股东</w:t>
            </w:r>
          </w:p>
          <w:p>
            <w:pPr>
              <w:pStyle w:val="TableParagraph"/>
              <w:spacing w:line="250" w:lineRule="exact" w:before="4"/>
              <w:ind w:left="107"/>
              <w:rPr>
                <w:sz w:val="21"/>
              </w:rPr>
            </w:pPr>
            <w:r>
              <w:rPr>
                <w:spacing w:val="-1"/>
                <w:sz w:val="21"/>
              </w:rPr>
              <w:t>投资收到的现金</w:t>
            </w:r>
            <w:r>
              <w:rPr>
                <w:sz w:val="21"/>
              </w:rPr>
              <w:t> </w:t>
            </w:r>
          </w:p>
        </w:tc>
        <w:tc>
          <w:tcPr>
            <w:tcW w:w="1526" w:type="dxa"/>
          </w:tcPr>
          <w:p>
            <w:pPr>
              <w:pStyle w:val="TableParagraph"/>
              <w:spacing w:before="1"/>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3" w:hRule="atLeast"/>
        </w:trPr>
        <w:tc>
          <w:tcPr>
            <w:tcW w:w="3065" w:type="dxa"/>
          </w:tcPr>
          <w:p>
            <w:pPr>
              <w:pStyle w:val="TableParagraph"/>
              <w:spacing w:line="252" w:lineRule="exact" w:before="1"/>
              <w:ind w:left="318"/>
              <w:rPr>
                <w:sz w:val="21"/>
              </w:rPr>
            </w:pPr>
            <w:r>
              <w:rPr>
                <w:spacing w:val="-1"/>
                <w:sz w:val="21"/>
              </w:rPr>
              <w:t>取得借款收到的现金</w:t>
            </w:r>
            <w:r>
              <w:rPr>
                <w:sz w:val="21"/>
              </w:rPr>
              <w:t> </w:t>
            </w:r>
          </w:p>
        </w:tc>
        <w:tc>
          <w:tcPr>
            <w:tcW w:w="1526" w:type="dxa"/>
          </w:tcPr>
          <w:p>
            <w:pPr>
              <w:pStyle w:val="TableParagraph"/>
              <w:spacing w:line="252" w:lineRule="exact" w:before="1"/>
              <w:ind w:left="105"/>
              <w:rPr>
                <w:sz w:val="21"/>
              </w:rPr>
            </w:pPr>
            <w:r>
              <w:rPr>
                <w:w w:val="100"/>
                <w:sz w:val="21"/>
              </w:rPr>
              <w:t> </w:t>
            </w:r>
          </w:p>
        </w:tc>
        <w:tc>
          <w:tcPr>
            <w:tcW w:w="2118" w:type="dxa"/>
          </w:tcPr>
          <w:p>
            <w:pPr>
              <w:pStyle w:val="TableParagraph"/>
              <w:spacing w:before="10"/>
              <w:ind w:right="91"/>
              <w:jc w:val="right"/>
              <w:rPr>
                <w:rFonts w:ascii="Times New Roman"/>
                <w:sz w:val="21"/>
              </w:rPr>
            </w:pPr>
            <w:r>
              <w:rPr>
                <w:rFonts w:ascii="Times New Roman"/>
                <w:sz w:val="21"/>
              </w:rPr>
              <w:t>148,244,502</w:t>
            </w:r>
          </w:p>
        </w:tc>
        <w:tc>
          <w:tcPr>
            <w:tcW w:w="2111" w:type="dxa"/>
          </w:tcPr>
          <w:p>
            <w:pPr>
              <w:pStyle w:val="TableParagraph"/>
              <w:spacing w:before="10"/>
              <w:ind w:right="89"/>
              <w:jc w:val="right"/>
              <w:rPr>
                <w:rFonts w:ascii="Times New Roman"/>
                <w:sz w:val="21"/>
              </w:rPr>
            </w:pPr>
            <w:r>
              <w:rPr>
                <w:rFonts w:ascii="Times New Roman"/>
                <w:sz w:val="21"/>
              </w:rPr>
              <w:t>157,283,504</w:t>
            </w:r>
          </w:p>
        </w:tc>
      </w:tr>
      <w:tr>
        <w:trPr>
          <w:trHeight w:val="544" w:hRule="atLeast"/>
        </w:trPr>
        <w:tc>
          <w:tcPr>
            <w:tcW w:w="3065" w:type="dxa"/>
          </w:tcPr>
          <w:p>
            <w:pPr>
              <w:pStyle w:val="TableParagraph"/>
              <w:spacing w:before="1"/>
              <w:ind w:left="318"/>
              <w:rPr>
                <w:sz w:val="21"/>
              </w:rPr>
            </w:pPr>
            <w:r>
              <w:rPr>
                <w:spacing w:val="-1"/>
                <w:sz w:val="21"/>
              </w:rPr>
              <w:t>收到其他与筹资活动有关的</w:t>
            </w:r>
          </w:p>
          <w:p>
            <w:pPr>
              <w:pStyle w:val="TableParagraph"/>
              <w:spacing w:line="252" w:lineRule="exact" w:before="2"/>
              <w:ind w:left="107"/>
              <w:rPr>
                <w:sz w:val="21"/>
              </w:rPr>
            </w:pPr>
            <w:r>
              <w:rPr>
                <w:sz w:val="21"/>
              </w:rPr>
              <w:t>现金 </w:t>
            </w:r>
          </w:p>
        </w:tc>
        <w:tc>
          <w:tcPr>
            <w:tcW w:w="1526" w:type="dxa"/>
          </w:tcPr>
          <w:p>
            <w:pPr>
              <w:pStyle w:val="TableParagraph"/>
              <w:spacing w:before="1"/>
              <w:ind w:left="105"/>
              <w:rPr>
                <w:sz w:val="21"/>
              </w:rPr>
            </w:pPr>
            <w:r>
              <w:rPr>
                <w:w w:val="100"/>
                <w:sz w:val="21"/>
              </w:rPr>
              <w:t> </w:t>
            </w:r>
          </w:p>
        </w:tc>
        <w:tc>
          <w:tcPr>
            <w:tcW w:w="2118" w:type="dxa"/>
          </w:tcPr>
          <w:p>
            <w:pPr>
              <w:pStyle w:val="TableParagraph"/>
              <w:spacing w:before="144"/>
              <w:ind w:right="91"/>
              <w:jc w:val="right"/>
              <w:rPr>
                <w:rFonts w:ascii="Times New Roman"/>
                <w:sz w:val="21"/>
              </w:rPr>
            </w:pPr>
            <w:r>
              <w:rPr>
                <w:rFonts w:ascii="Times New Roman"/>
                <w:sz w:val="21"/>
              </w:rPr>
              <w:t>837,281</w:t>
            </w:r>
          </w:p>
        </w:tc>
        <w:tc>
          <w:tcPr>
            <w:tcW w:w="2111" w:type="dxa"/>
          </w:tcPr>
          <w:p>
            <w:pPr>
              <w:pStyle w:val="TableParagraph"/>
              <w:spacing w:before="144"/>
              <w:ind w:right="91"/>
              <w:jc w:val="right"/>
              <w:rPr>
                <w:rFonts w:ascii="Times New Roman"/>
                <w:sz w:val="21"/>
              </w:rPr>
            </w:pPr>
            <w:r>
              <w:rPr>
                <w:rFonts w:ascii="Times New Roman"/>
                <w:w w:val="100"/>
                <w:sz w:val="21"/>
              </w:rPr>
              <w:t>-</w:t>
            </w:r>
          </w:p>
        </w:tc>
      </w:tr>
      <w:tr>
        <w:trPr>
          <w:trHeight w:val="273" w:hRule="atLeast"/>
        </w:trPr>
        <w:tc>
          <w:tcPr>
            <w:tcW w:w="3065" w:type="dxa"/>
          </w:tcPr>
          <w:p>
            <w:pPr>
              <w:pStyle w:val="TableParagraph"/>
              <w:spacing w:line="252" w:lineRule="exact" w:before="1"/>
              <w:ind w:right="319"/>
              <w:jc w:val="right"/>
              <w:rPr>
                <w:sz w:val="21"/>
              </w:rPr>
            </w:pPr>
            <w:r>
              <w:rPr>
                <w:spacing w:val="-1"/>
                <w:sz w:val="21"/>
              </w:rPr>
              <w:t>筹资活动现金流入小计</w:t>
            </w:r>
            <w:r>
              <w:rPr>
                <w:sz w:val="21"/>
              </w:rPr>
              <w:t> </w:t>
            </w:r>
          </w:p>
        </w:tc>
        <w:tc>
          <w:tcPr>
            <w:tcW w:w="1526" w:type="dxa"/>
          </w:tcPr>
          <w:p>
            <w:pPr>
              <w:pStyle w:val="TableParagraph"/>
              <w:spacing w:line="252" w:lineRule="exact" w:before="1"/>
              <w:ind w:left="105"/>
              <w:rPr>
                <w:sz w:val="21"/>
              </w:rPr>
            </w:pPr>
            <w:r>
              <w:rPr>
                <w:w w:val="100"/>
                <w:sz w:val="21"/>
              </w:rPr>
              <w:t> </w:t>
            </w:r>
          </w:p>
        </w:tc>
        <w:tc>
          <w:tcPr>
            <w:tcW w:w="2118" w:type="dxa"/>
          </w:tcPr>
          <w:p>
            <w:pPr>
              <w:pStyle w:val="TableParagraph"/>
              <w:spacing w:before="7"/>
              <w:ind w:right="91"/>
              <w:jc w:val="right"/>
              <w:rPr>
                <w:rFonts w:ascii="Times New Roman"/>
                <w:sz w:val="21"/>
              </w:rPr>
            </w:pPr>
            <w:r>
              <w:rPr>
                <w:rFonts w:ascii="Times New Roman"/>
                <w:sz w:val="21"/>
              </w:rPr>
              <w:t>149,082,169</w:t>
            </w:r>
          </w:p>
        </w:tc>
        <w:tc>
          <w:tcPr>
            <w:tcW w:w="2111" w:type="dxa"/>
          </w:tcPr>
          <w:p>
            <w:pPr>
              <w:pStyle w:val="TableParagraph"/>
              <w:spacing w:before="7"/>
              <w:ind w:right="89"/>
              <w:jc w:val="right"/>
              <w:rPr>
                <w:rFonts w:ascii="Times New Roman"/>
                <w:sz w:val="21"/>
              </w:rPr>
            </w:pPr>
            <w:r>
              <w:rPr>
                <w:rFonts w:ascii="Times New Roman"/>
                <w:sz w:val="21"/>
              </w:rPr>
              <w:t>157,310,917</w:t>
            </w:r>
          </w:p>
        </w:tc>
      </w:tr>
      <w:tr>
        <w:trPr>
          <w:trHeight w:val="270" w:hRule="atLeast"/>
        </w:trPr>
        <w:tc>
          <w:tcPr>
            <w:tcW w:w="3065" w:type="dxa"/>
          </w:tcPr>
          <w:p>
            <w:pPr>
              <w:pStyle w:val="TableParagraph"/>
              <w:spacing w:line="250" w:lineRule="exact" w:before="1"/>
              <w:ind w:left="318"/>
              <w:rPr>
                <w:sz w:val="21"/>
              </w:rPr>
            </w:pPr>
            <w:r>
              <w:rPr>
                <w:spacing w:val="-1"/>
                <w:sz w:val="21"/>
              </w:rPr>
              <w:t>偿还债务支付的现金</w:t>
            </w:r>
            <w:r>
              <w:rPr>
                <w:sz w:val="21"/>
              </w:rPr>
              <w:t> </w:t>
            </w:r>
          </w:p>
        </w:tc>
        <w:tc>
          <w:tcPr>
            <w:tcW w:w="1526" w:type="dxa"/>
          </w:tcPr>
          <w:p>
            <w:pPr>
              <w:pStyle w:val="TableParagraph"/>
              <w:spacing w:line="250" w:lineRule="exact" w:before="1"/>
              <w:ind w:left="105"/>
              <w:rPr>
                <w:sz w:val="21"/>
              </w:rPr>
            </w:pPr>
            <w:r>
              <w:rPr>
                <w:w w:val="100"/>
                <w:sz w:val="21"/>
              </w:rPr>
              <w:t> </w:t>
            </w:r>
          </w:p>
        </w:tc>
        <w:tc>
          <w:tcPr>
            <w:tcW w:w="2118" w:type="dxa"/>
          </w:tcPr>
          <w:p>
            <w:pPr>
              <w:pStyle w:val="TableParagraph"/>
              <w:spacing w:before="7"/>
              <w:ind w:right="91"/>
              <w:jc w:val="right"/>
              <w:rPr>
                <w:rFonts w:ascii="Times New Roman"/>
                <w:sz w:val="21"/>
              </w:rPr>
            </w:pPr>
            <w:r>
              <w:rPr>
                <w:rFonts w:ascii="Times New Roman"/>
                <w:sz w:val="21"/>
              </w:rPr>
              <w:t>-148,264,199</w:t>
            </w:r>
          </w:p>
        </w:tc>
        <w:tc>
          <w:tcPr>
            <w:tcW w:w="2111" w:type="dxa"/>
          </w:tcPr>
          <w:p>
            <w:pPr>
              <w:pStyle w:val="TableParagraph"/>
              <w:spacing w:before="7"/>
              <w:ind w:right="89"/>
              <w:jc w:val="right"/>
              <w:rPr>
                <w:rFonts w:ascii="Times New Roman"/>
                <w:sz w:val="21"/>
              </w:rPr>
            </w:pPr>
            <w:r>
              <w:rPr>
                <w:rFonts w:ascii="Times New Roman"/>
                <w:sz w:val="21"/>
              </w:rPr>
              <w:t>-144,780,429</w:t>
            </w:r>
          </w:p>
        </w:tc>
      </w:tr>
      <w:tr>
        <w:trPr>
          <w:trHeight w:val="544" w:hRule="atLeast"/>
        </w:trPr>
        <w:tc>
          <w:tcPr>
            <w:tcW w:w="3065" w:type="dxa"/>
          </w:tcPr>
          <w:p>
            <w:pPr>
              <w:pStyle w:val="TableParagraph"/>
              <w:spacing w:before="1"/>
              <w:ind w:left="318"/>
              <w:rPr>
                <w:sz w:val="21"/>
              </w:rPr>
            </w:pPr>
            <w:r>
              <w:rPr>
                <w:spacing w:val="-1"/>
                <w:sz w:val="21"/>
              </w:rPr>
              <w:t>分配股利、利润或偿付利息</w:t>
            </w:r>
          </w:p>
          <w:p>
            <w:pPr>
              <w:pStyle w:val="TableParagraph"/>
              <w:spacing w:line="250" w:lineRule="exact" w:before="5"/>
              <w:ind w:left="107"/>
              <w:rPr>
                <w:sz w:val="21"/>
              </w:rPr>
            </w:pPr>
            <w:r>
              <w:rPr>
                <w:sz w:val="21"/>
              </w:rPr>
              <w:t>支付的现金 </w:t>
            </w:r>
          </w:p>
        </w:tc>
        <w:tc>
          <w:tcPr>
            <w:tcW w:w="1526" w:type="dxa"/>
          </w:tcPr>
          <w:p>
            <w:pPr>
              <w:pStyle w:val="TableParagraph"/>
              <w:spacing w:before="1"/>
              <w:ind w:left="105"/>
              <w:rPr>
                <w:sz w:val="21"/>
              </w:rPr>
            </w:pPr>
            <w:r>
              <w:rPr>
                <w:w w:val="100"/>
                <w:sz w:val="21"/>
              </w:rPr>
              <w:t> </w:t>
            </w:r>
          </w:p>
        </w:tc>
        <w:tc>
          <w:tcPr>
            <w:tcW w:w="2118" w:type="dxa"/>
          </w:tcPr>
          <w:p>
            <w:pPr>
              <w:pStyle w:val="TableParagraph"/>
              <w:spacing w:before="144"/>
              <w:ind w:right="91"/>
              <w:jc w:val="right"/>
              <w:rPr>
                <w:rFonts w:ascii="Times New Roman"/>
                <w:sz w:val="21"/>
              </w:rPr>
            </w:pPr>
            <w:r>
              <w:rPr>
                <w:rFonts w:ascii="Times New Roman"/>
                <w:sz w:val="21"/>
              </w:rPr>
              <w:t>-11,089,755</w:t>
            </w:r>
          </w:p>
        </w:tc>
        <w:tc>
          <w:tcPr>
            <w:tcW w:w="2111" w:type="dxa"/>
          </w:tcPr>
          <w:p>
            <w:pPr>
              <w:pStyle w:val="TableParagraph"/>
              <w:spacing w:before="144"/>
              <w:ind w:right="89"/>
              <w:jc w:val="right"/>
              <w:rPr>
                <w:rFonts w:ascii="Times New Roman"/>
                <w:sz w:val="21"/>
              </w:rPr>
            </w:pPr>
            <w:r>
              <w:rPr>
                <w:rFonts w:ascii="Times New Roman"/>
                <w:sz w:val="21"/>
              </w:rPr>
              <w:t>-5,360,861</w:t>
            </w:r>
          </w:p>
        </w:tc>
      </w:tr>
      <w:tr>
        <w:trPr>
          <w:trHeight w:val="544" w:hRule="atLeast"/>
        </w:trPr>
        <w:tc>
          <w:tcPr>
            <w:tcW w:w="3065" w:type="dxa"/>
          </w:tcPr>
          <w:p>
            <w:pPr>
              <w:pStyle w:val="TableParagraph"/>
              <w:spacing w:before="1"/>
              <w:ind w:left="318"/>
              <w:rPr>
                <w:sz w:val="21"/>
              </w:rPr>
            </w:pPr>
            <w:r>
              <w:rPr>
                <w:spacing w:val="-1"/>
                <w:sz w:val="21"/>
              </w:rPr>
              <w:t>其中：子公司支付给少数股</w:t>
            </w:r>
          </w:p>
          <w:p>
            <w:pPr>
              <w:pStyle w:val="TableParagraph"/>
              <w:spacing w:line="250" w:lineRule="exact" w:before="4"/>
              <w:ind w:left="107"/>
              <w:rPr>
                <w:sz w:val="21"/>
              </w:rPr>
            </w:pPr>
            <w:r>
              <w:rPr>
                <w:spacing w:val="-1"/>
                <w:sz w:val="21"/>
              </w:rPr>
              <w:t>东的股利、利润</w:t>
            </w:r>
            <w:r>
              <w:rPr>
                <w:sz w:val="21"/>
              </w:rPr>
              <w:t> </w:t>
            </w:r>
          </w:p>
        </w:tc>
        <w:tc>
          <w:tcPr>
            <w:tcW w:w="1526" w:type="dxa"/>
          </w:tcPr>
          <w:p>
            <w:pPr>
              <w:pStyle w:val="TableParagraph"/>
              <w:spacing w:before="1"/>
              <w:ind w:left="105"/>
              <w:rPr>
                <w:sz w:val="21"/>
              </w:rPr>
            </w:pPr>
            <w:r>
              <w:rPr>
                <w:w w:val="100"/>
                <w:sz w:val="21"/>
              </w:rPr>
              <w:t> </w:t>
            </w: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6" w:hRule="atLeast"/>
        </w:trPr>
        <w:tc>
          <w:tcPr>
            <w:tcW w:w="3065" w:type="dxa"/>
          </w:tcPr>
          <w:p>
            <w:pPr>
              <w:pStyle w:val="TableParagraph"/>
              <w:spacing w:line="270" w:lineRule="atLeast"/>
              <w:ind w:left="107" w:right="211" w:firstLine="211"/>
              <w:rPr>
                <w:sz w:val="21"/>
              </w:rPr>
            </w:pPr>
            <w:r>
              <w:rPr>
                <w:spacing w:val="-1"/>
                <w:sz w:val="21"/>
              </w:rPr>
              <w:t>支付其他与筹资活动有关的</w:t>
            </w:r>
            <w:r>
              <w:rPr>
                <w:sz w:val="21"/>
              </w:rPr>
              <w:t>现金 </w:t>
            </w:r>
          </w:p>
        </w:tc>
        <w:tc>
          <w:tcPr>
            <w:tcW w:w="1526" w:type="dxa"/>
          </w:tcPr>
          <w:p>
            <w:pPr>
              <w:pStyle w:val="TableParagraph"/>
              <w:spacing w:before="3"/>
              <w:ind w:left="105"/>
              <w:rPr>
                <w:sz w:val="21"/>
              </w:rPr>
            </w:pPr>
            <w:r>
              <w:rPr>
                <w:w w:val="100"/>
                <w:sz w:val="21"/>
              </w:rPr>
              <w:t> </w:t>
            </w:r>
          </w:p>
        </w:tc>
        <w:tc>
          <w:tcPr>
            <w:tcW w:w="2118" w:type="dxa"/>
          </w:tcPr>
          <w:p>
            <w:pPr>
              <w:pStyle w:val="TableParagraph"/>
              <w:spacing w:before="147"/>
              <w:ind w:right="91"/>
              <w:jc w:val="right"/>
              <w:rPr>
                <w:rFonts w:ascii="Times New Roman"/>
                <w:sz w:val="21"/>
              </w:rPr>
            </w:pPr>
            <w:r>
              <w:rPr>
                <w:rFonts w:ascii="Times New Roman"/>
                <w:sz w:val="21"/>
              </w:rPr>
              <w:t>-3,796,671</w:t>
            </w:r>
          </w:p>
        </w:tc>
        <w:tc>
          <w:tcPr>
            <w:tcW w:w="2111" w:type="dxa"/>
          </w:tcPr>
          <w:p>
            <w:pPr>
              <w:pStyle w:val="TableParagraph"/>
              <w:spacing w:before="147"/>
              <w:ind w:right="89"/>
              <w:jc w:val="right"/>
              <w:rPr>
                <w:rFonts w:ascii="Times New Roman"/>
                <w:sz w:val="21"/>
              </w:rPr>
            </w:pPr>
            <w:r>
              <w:rPr>
                <w:rFonts w:ascii="Times New Roman"/>
                <w:sz w:val="21"/>
              </w:rPr>
              <w:t>-2,403,431</w:t>
            </w:r>
          </w:p>
        </w:tc>
      </w:tr>
      <w:tr>
        <w:trPr>
          <w:trHeight w:val="270" w:hRule="atLeast"/>
        </w:trPr>
        <w:tc>
          <w:tcPr>
            <w:tcW w:w="3065" w:type="dxa"/>
          </w:tcPr>
          <w:p>
            <w:pPr>
              <w:pStyle w:val="TableParagraph"/>
              <w:spacing w:line="250" w:lineRule="exact" w:before="1"/>
              <w:ind w:right="319"/>
              <w:jc w:val="right"/>
              <w:rPr>
                <w:sz w:val="21"/>
              </w:rPr>
            </w:pPr>
            <w:r>
              <w:rPr>
                <w:spacing w:val="-1"/>
                <w:sz w:val="21"/>
              </w:rPr>
              <w:t>筹资活动现金流出小计</w:t>
            </w:r>
            <w:r>
              <w:rPr>
                <w:sz w:val="21"/>
              </w:rPr>
              <w:t> </w:t>
            </w:r>
          </w:p>
        </w:tc>
        <w:tc>
          <w:tcPr>
            <w:tcW w:w="1526" w:type="dxa"/>
          </w:tcPr>
          <w:p>
            <w:pPr>
              <w:pStyle w:val="TableParagraph"/>
              <w:spacing w:line="250" w:lineRule="exact" w:before="1"/>
              <w:ind w:left="105"/>
              <w:rPr>
                <w:sz w:val="21"/>
              </w:rPr>
            </w:pPr>
            <w:r>
              <w:rPr>
                <w:w w:val="100"/>
                <w:sz w:val="21"/>
              </w:rPr>
              <w:t> </w:t>
            </w:r>
          </w:p>
        </w:tc>
        <w:tc>
          <w:tcPr>
            <w:tcW w:w="2118" w:type="dxa"/>
          </w:tcPr>
          <w:p>
            <w:pPr>
              <w:pStyle w:val="TableParagraph"/>
              <w:spacing w:before="7"/>
              <w:ind w:right="91"/>
              <w:jc w:val="right"/>
              <w:rPr>
                <w:rFonts w:ascii="Times New Roman"/>
                <w:sz w:val="21"/>
              </w:rPr>
            </w:pPr>
            <w:r>
              <w:rPr>
                <w:rFonts w:ascii="Times New Roman"/>
                <w:sz w:val="21"/>
              </w:rPr>
              <w:t>-163,150,625</w:t>
            </w:r>
          </w:p>
        </w:tc>
        <w:tc>
          <w:tcPr>
            <w:tcW w:w="2111" w:type="dxa"/>
          </w:tcPr>
          <w:p>
            <w:pPr>
              <w:pStyle w:val="TableParagraph"/>
              <w:spacing w:before="7"/>
              <w:ind w:right="89"/>
              <w:jc w:val="right"/>
              <w:rPr>
                <w:rFonts w:ascii="Times New Roman"/>
                <w:sz w:val="21"/>
              </w:rPr>
            </w:pPr>
            <w:r>
              <w:rPr>
                <w:rFonts w:ascii="Times New Roman"/>
                <w:sz w:val="21"/>
              </w:rPr>
              <w:t>-152,544,721</w:t>
            </w:r>
          </w:p>
        </w:tc>
      </w:tr>
      <w:tr>
        <w:trPr>
          <w:trHeight w:val="544" w:hRule="atLeast"/>
        </w:trPr>
        <w:tc>
          <w:tcPr>
            <w:tcW w:w="3065" w:type="dxa"/>
          </w:tcPr>
          <w:p>
            <w:pPr>
              <w:pStyle w:val="TableParagraph"/>
              <w:spacing w:before="1"/>
              <w:ind w:left="738"/>
              <w:rPr>
                <w:sz w:val="21"/>
              </w:rPr>
            </w:pPr>
            <w:r>
              <w:rPr>
                <w:sz w:val="21"/>
              </w:rPr>
              <w:t>筹资活动产生的现金流</w:t>
            </w:r>
          </w:p>
          <w:p>
            <w:pPr>
              <w:pStyle w:val="TableParagraph"/>
              <w:spacing w:line="250" w:lineRule="exact" w:before="4"/>
              <w:ind w:left="107"/>
              <w:rPr>
                <w:sz w:val="21"/>
              </w:rPr>
            </w:pPr>
            <w:r>
              <w:rPr>
                <w:sz w:val="21"/>
              </w:rPr>
              <w:t>量净额 </w:t>
            </w:r>
          </w:p>
        </w:tc>
        <w:tc>
          <w:tcPr>
            <w:tcW w:w="1526" w:type="dxa"/>
          </w:tcPr>
          <w:p>
            <w:pPr>
              <w:pStyle w:val="TableParagraph"/>
              <w:spacing w:before="1"/>
              <w:ind w:left="105"/>
              <w:rPr>
                <w:sz w:val="21"/>
              </w:rPr>
            </w:pPr>
            <w:r>
              <w:rPr>
                <w:sz w:val="21"/>
              </w:rPr>
              <w:t>七、78 </w:t>
            </w:r>
          </w:p>
        </w:tc>
        <w:tc>
          <w:tcPr>
            <w:tcW w:w="2118" w:type="dxa"/>
          </w:tcPr>
          <w:p>
            <w:pPr>
              <w:pStyle w:val="TableParagraph"/>
              <w:spacing w:before="147"/>
              <w:ind w:right="91"/>
              <w:jc w:val="right"/>
              <w:rPr>
                <w:rFonts w:ascii="Times New Roman"/>
                <w:sz w:val="21"/>
              </w:rPr>
            </w:pPr>
            <w:r>
              <w:rPr>
                <w:rFonts w:ascii="Times New Roman"/>
                <w:sz w:val="21"/>
              </w:rPr>
              <w:t>-14,068,456</w:t>
            </w:r>
          </w:p>
        </w:tc>
        <w:tc>
          <w:tcPr>
            <w:tcW w:w="2111" w:type="dxa"/>
          </w:tcPr>
          <w:p>
            <w:pPr>
              <w:pStyle w:val="TableParagraph"/>
              <w:spacing w:before="147"/>
              <w:ind w:right="89"/>
              <w:jc w:val="right"/>
              <w:rPr>
                <w:rFonts w:ascii="Times New Roman"/>
                <w:sz w:val="21"/>
              </w:rPr>
            </w:pPr>
            <w:r>
              <w:rPr>
                <w:rFonts w:ascii="Times New Roman"/>
                <w:sz w:val="21"/>
              </w:rPr>
              <w:t>4,766,196</w:t>
            </w:r>
          </w:p>
        </w:tc>
      </w:tr>
      <w:tr>
        <w:trPr>
          <w:trHeight w:val="544" w:hRule="atLeast"/>
        </w:trPr>
        <w:tc>
          <w:tcPr>
            <w:tcW w:w="3065" w:type="dxa"/>
          </w:tcPr>
          <w:p>
            <w:pPr>
              <w:pStyle w:val="TableParagraph"/>
              <w:spacing w:before="1"/>
              <w:ind w:left="107"/>
              <w:rPr>
                <w:sz w:val="21"/>
              </w:rPr>
            </w:pPr>
            <w:r>
              <w:rPr>
                <w:sz w:val="21"/>
              </w:rPr>
              <w:t>四、汇率变动对现金及现金等</w:t>
            </w:r>
          </w:p>
          <w:p>
            <w:pPr>
              <w:pStyle w:val="TableParagraph"/>
              <w:spacing w:line="250" w:lineRule="exact" w:before="4"/>
              <w:ind w:left="107"/>
              <w:rPr>
                <w:sz w:val="21"/>
              </w:rPr>
            </w:pPr>
            <w:r>
              <w:rPr>
                <w:sz w:val="21"/>
              </w:rPr>
              <w:t>价物的影响 </w:t>
            </w:r>
          </w:p>
        </w:tc>
        <w:tc>
          <w:tcPr>
            <w:tcW w:w="1526" w:type="dxa"/>
          </w:tcPr>
          <w:p>
            <w:pPr>
              <w:pStyle w:val="TableParagraph"/>
              <w:spacing w:before="1"/>
              <w:ind w:left="105"/>
              <w:rPr>
                <w:sz w:val="21"/>
              </w:rPr>
            </w:pPr>
            <w:r>
              <w:rPr>
                <w:w w:val="100"/>
                <w:sz w:val="21"/>
              </w:rPr>
              <w:t> </w:t>
            </w:r>
          </w:p>
        </w:tc>
        <w:tc>
          <w:tcPr>
            <w:tcW w:w="2118" w:type="dxa"/>
          </w:tcPr>
          <w:p>
            <w:pPr>
              <w:pStyle w:val="TableParagraph"/>
              <w:spacing w:before="147"/>
              <w:ind w:right="91"/>
              <w:jc w:val="right"/>
              <w:rPr>
                <w:rFonts w:ascii="Times New Roman"/>
                <w:sz w:val="21"/>
              </w:rPr>
            </w:pPr>
            <w:r>
              <w:rPr>
                <w:rFonts w:ascii="Times New Roman"/>
                <w:sz w:val="21"/>
              </w:rPr>
              <w:t>2,105,696</w:t>
            </w:r>
          </w:p>
        </w:tc>
        <w:tc>
          <w:tcPr>
            <w:tcW w:w="2111" w:type="dxa"/>
          </w:tcPr>
          <w:p>
            <w:pPr>
              <w:pStyle w:val="TableParagraph"/>
              <w:spacing w:before="147"/>
              <w:ind w:right="92"/>
              <w:jc w:val="right"/>
              <w:rPr>
                <w:rFonts w:ascii="Times New Roman"/>
                <w:sz w:val="21"/>
              </w:rPr>
            </w:pPr>
            <w:r>
              <w:rPr>
                <w:rFonts w:ascii="Times New Roman"/>
                <w:sz w:val="21"/>
              </w:rPr>
              <w:t>-613,101</w:t>
            </w:r>
          </w:p>
        </w:tc>
      </w:tr>
      <w:tr>
        <w:trPr>
          <w:trHeight w:val="546" w:hRule="atLeast"/>
        </w:trPr>
        <w:tc>
          <w:tcPr>
            <w:tcW w:w="3065" w:type="dxa"/>
          </w:tcPr>
          <w:p>
            <w:pPr>
              <w:pStyle w:val="TableParagraph"/>
              <w:spacing w:line="270" w:lineRule="atLeast"/>
              <w:ind w:left="107" w:right="204"/>
              <w:rPr>
                <w:sz w:val="21"/>
              </w:rPr>
            </w:pPr>
            <w:r>
              <w:rPr>
                <w:sz w:val="21"/>
              </w:rPr>
              <w:t>五、现金及现金等价物净增加额 </w:t>
            </w:r>
          </w:p>
        </w:tc>
        <w:tc>
          <w:tcPr>
            <w:tcW w:w="1526" w:type="dxa"/>
          </w:tcPr>
          <w:p>
            <w:pPr>
              <w:pStyle w:val="TableParagraph"/>
              <w:spacing w:before="3"/>
              <w:ind w:left="105"/>
              <w:rPr>
                <w:sz w:val="21"/>
              </w:rPr>
            </w:pPr>
            <w:r>
              <w:rPr>
                <w:w w:val="100"/>
                <w:sz w:val="21"/>
              </w:rPr>
              <w:t> </w:t>
            </w:r>
          </w:p>
        </w:tc>
        <w:tc>
          <w:tcPr>
            <w:tcW w:w="2118" w:type="dxa"/>
          </w:tcPr>
          <w:p>
            <w:pPr>
              <w:pStyle w:val="TableParagraph"/>
              <w:spacing w:before="147"/>
              <w:ind w:right="91"/>
              <w:jc w:val="right"/>
              <w:rPr>
                <w:rFonts w:ascii="Times New Roman"/>
                <w:sz w:val="21"/>
              </w:rPr>
            </w:pPr>
            <w:r>
              <w:rPr>
                <w:rFonts w:ascii="Times New Roman"/>
                <w:sz w:val="21"/>
              </w:rPr>
              <w:t>-11,904,635</w:t>
            </w:r>
          </w:p>
        </w:tc>
        <w:tc>
          <w:tcPr>
            <w:tcW w:w="2111" w:type="dxa"/>
          </w:tcPr>
          <w:p>
            <w:pPr>
              <w:pStyle w:val="TableParagraph"/>
              <w:spacing w:before="147"/>
              <w:ind w:right="89"/>
              <w:jc w:val="right"/>
              <w:rPr>
                <w:rFonts w:ascii="Times New Roman"/>
                <w:sz w:val="21"/>
              </w:rPr>
            </w:pPr>
            <w:r>
              <w:rPr>
                <w:rFonts w:ascii="Times New Roman"/>
                <w:sz w:val="21"/>
              </w:rPr>
              <w:t>5,777,880</w:t>
            </w:r>
          </w:p>
        </w:tc>
      </w:tr>
      <w:tr>
        <w:trPr>
          <w:trHeight w:val="544" w:hRule="atLeast"/>
        </w:trPr>
        <w:tc>
          <w:tcPr>
            <w:tcW w:w="3065" w:type="dxa"/>
          </w:tcPr>
          <w:p>
            <w:pPr>
              <w:pStyle w:val="TableParagraph"/>
              <w:spacing w:before="1"/>
              <w:ind w:left="318"/>
              <w:rPr>
                <w:sz w:val="21"/>
              </w:rPr>
            </w:pPr>
            <w:r>
              <w:rPr>
                <w:spacing w:val="-1"/>
                <w:sz w:val="21"/>
              </w:rPr>
              <w:t>加：期初现金及现金等价物</w:t>
            </w:r>
          </w:p>
          <w:p>
            <w:pPr>
              <w:pStyle w:val="TableParagraph"/>
              <w:spacing w:line="252" w:lineRule="exact" w:before="2"/>
              <w:ind w:left="107"/>
              <w:rPr>
                <w:sz w:val="21"/>
              </w:rPr>
            </w:pPr>
            <w:r>
              <w:rPr>
                <w:sz w:val="21"/>
              </w:rPr>
              <w:t>余额 </w:t>
            </w:r>
          </w:p>
        </w:tc>
        <w:tc>
          <w:tcPr>
            <w:tcW w:w="1526" w:type="dxa"/>
          </w:tcPr>
          <w:p>
            <w:pPr>
              <w:pStyle w:val="TableParagraph"/>
              <w:spacing w:before="1"/>
              <w:ind w:left="105"/>
              <w:rPr>
                <w:sz w:val="21"/>
              </w:rPr>
            </w:pPr>
            <w:r>
              <w:rPr>
                <w:w w:val="100"/>
                <w:sz w:val="21"/>
              </w:rPr>
              <w:t> </w:t>
            </w:r>
          </w:p>
        </w:tc>
        <w:tc>
          <w:tcPr>
            <w:tcW w:w="2118" w:type="dxa"/>
          </w:tcPr>
          <w:p>
            <w:pPr>
              <w:pStyle w:val="TableParagraph"/>
              <w:spacing w:before="144"/>
              <w:ind w:right="91"/>
              <w:jc w:val="right"/>
              <w:rPr>
                <w:rFonts w:ascii="Times New Roman"/>
                <w:sz w:val="21"/>
              </w:rPr>
            </w:pPr>
            <w:r>
              <w:rPr>
                <w:rFonts w:ascii="Times New Roman"/>
                <w:sz w:val="21"/>
              </w:rPr>
              <w:t>81,071,137</w:t>
            </w:r>
          </w:p>
        </w:tc>
        <w:tc>
          <w:tcPr>
            <w:tcW w:w="2111" w:type="dxa"/>
          </w:tcPr>
          <w:p>
            <w:pPr>
              <w:pStyle w:val="TableParagraph"/>
              <w:spacing w:before="144"/>
              <w:ind w:right="89"/>
              <w:jc w:val="right"/>
              <w:rPr>
                <w:rFonts w:ascii="Times New Roman"/>
                <w:sz w:val="21"/>
              </w:rPr>
            </w:pPr>
            <w:r>
              <w:rPr>
                <w:rFonts w:ascii="Times New Roman"/>
                <w:sz w:val="21"/>
              </w:rPr>
              <w:t>75,293,257</w:t>
            </w:r>
          </w:p>
        </w:tc>
      </w:tr>
      <w:tr>
        <w:trPr>
          <w:trHeight w:val="544" w:hRule="atLeast"/>
        </w:trPr>
        <w:tc>
          <w:tcPr>
            <w:tcW w:w="3065" w:type="dxa"/>
          </w:tcPr>
          <w:p>
            <w:pPr>
              <w:pStyle w:val="TableParagraph"/>
              <w:spacing w:before="1"/>
              <w:ind w:left="107"/>
              <w:rPr>
                <w:sz w:val="21"/>
              </w:rPr>
            </w:pPr>
            <w:r>
              <w:rPr>
                <w:sz w:val="21"/>
              </w:rPr>
              <w:t>六、期末现金及现金等价物余</w:t>
            </w:r>
          </w:p>
          <w:p>
            <w:pPr>
              <w:pStyle w:val="TableParagraph"/>
              <w:spacing w:line="252" w:lineRule="exact" w:before="2"/>
              <w:ind w:left="107"/>
              <w:rPr>
                <w:sz w:val="21"/>
              </w:rPr>
            </w:pPr>
            <w:r>
              <w:rPr>
                <w:sz w:val="21"/>
              </w:rPr>
              <w:t>额 </w:t>
            </w:r>
          </w:p>
        </w:tc>
        <w:tc>
          <w:tcPr>
            <w:tcW w:w="1526" w:type="dxa"/>
          </w:tcPr>
          <w:p>
            <w:pPr>
              <w:pStyle w:val="TableParagraph"/>
              <w:spacing w:before="1"/>
              <w:ind w:left="105"/>
              <w:rPr>
                <w:sz w:val="21"/>
              </w:rPr>
            </w:pPr>
            <w:r>
              <w:rPr>
                <w:w w:val="100"/>
                <w:sz w:val="21"/>
              </w:rPr>
              <w:t> </w:t>
            </w:r>
          </w:p>
        </w:tc>
        <w:tc>
          <w:tcPr>
            <w:tcW w:w="2118" w:type="dxa"/>
          </w:tcPr>
          <w:p>
            <w:pPr>
              <w:pStyle w:val="TableParagraph"/>
              <w:spacing w:before="144"/>
              <w:ind w:right="91"/>
              <w:jc w:val="right"/>
              <w:rPr>
                <w:rFonts w:ascii="Times New Roman"/>
                <w:sz w:val="21"/>
              </w:rPr>
            </w:pPr>
            <w:r>
              <w:rPr>
                <w:rFonts w:ascii="Times New Roman"/>
                <w:sz w:val="21"/>
              </w:rPr>
              <w:t>69,166,502</w:t>
            </w:r>
          </w:p>
        </w:tc>
        <w:tc>
          <w:tcPr>
            <w:tcW w:w="2111" w:type="dxa"/>
          </w:tcPr>
          <w:p>
            <w:pPr>
              <w:pStyle w:val="TableParagraph"/>
              <w:spacing w:before="144"/>
              <w:ind w:right="89"/>
              <w:jc w:val="right"/>
              <w:rPr>
                <w:rFonts w:ascii="Times New Roman"/>
                <w:sz w:val="21"/>
              </w:rPr>
            </w:pPr>
            <w:r>
              <w:rPr>
                <w:rFonts w:ascii="Times New Roman"/>
                <w:sz w:val="21"/>
              </w:rPr>
              <w:t>81,071,137</w:t>
            </w:r>
          </w:p>
        </w:tc>
      </w:tr>
    </w:tbl>
    <w:p>
      <w:pPr>
        <w:pStyle w:val="BodyText"/>
        <w:spacing w:before="1"/>
      </w:pPr>
      <w:r>
        <w:rPr>
          <w:w w:val="100"/>
        </w:rPr>
        <w:t> </w:t>
      </w:r>
    </w:p>
    <w:p>
      <w:pPr>
        <w:pStyle w:val="BodyText"/>
        <w:spacing w:before="2"/>
      </w:pPr>
      <w:r>
        <w:rPr>
          <w:spacing w:val="-2"/>
        </w:rPr>
        <w:t>公司负责人：李军旗 主管会计工作负责人：郭俊宏 会计机构负责人：黄昭期</w:t>
      </w:r>
      <w:r>
        <w:rPr>
          <w:color w:val="FF0000"/>
        </w:rPr>
        <w:t> </w:t>
      </w:r>
    </w:p>
    <w:p>
      <w:pPr>
        <w:pStyle w:val="BodyText"/>
        <w:spacing w:before="5"/>
      </w:pPr>
      <w:r>
        <w:rPr>
          <w:w w:val="100"/>
        </w:rPr>
        <w:t> </w:t>
      </w:r>
    </w:p>
    <w:p>
      <w:pPr>
        <w:pStyle w:val="BodyText"/>
        <w:spacing w:before="2"/>
        <w:ind w:left="0" w:right="849"/>
        <w:jc w:val="center"/>
      </w:pPr>
      <w:r>
        <w:rPr>
          <w:w w:val="100"/>
        </w:rPr>
        <w:t> </w:t>
      </w:r>
    </w:p>
    <w:p>
      <w:pPr>
        <w:pStyle w:val="BodyText"/>
        <w:spacing w:line="242" w:lineRule="auto" w:before="4"/>
        <w:ind w:left="3929" w:right="4781"/>
        <w:jc w:val="center"/>
      </w:pPr>
      <w:r>
        <w:rPr/>
        <w:t>母公司现金流量表2022</w:t>
      </w:r>
      <w:r>
        <w:rPr>
          <w:spacing w:val="-37"/>
        </w:rPr>
        <w:t> 年 </w:t>
      </w:r>
      <w:r>
        <w:rPr/>
        <w:t>1—12</w:t>
      </w:r>
      <w:r>
        <w:rPr>
          <w:spacing w:val="-28"/>
        </w:rPr>
        <w:t> 月</w:t>
      </w:r>
      <w:r>
        <w:rPr/>
        <w:t> </w:t>
      </w:r>
    </w:p>
    <w:p>
      <w:pPr>
        <w:pStyle w:val="BodyText"/>
        <w:spacing w:before="1"/>
        <w:ind w:left="6675" w:right="1005"/>
        <w:jc w:val="center"/>
      </w:pPr>
      <w:r>
        <w:rPr>
          <w:spacing w:val="7"/>
        </w:rPr>
        <w:t>单位:千元 币种:人民币</w:t>
      </w:r>
      <w:r>
        <w:rPr/>
        <w:t> </w:t>
      </w:r>
    </w:p>
    <w:p>
      <w:pPr>
        <w:spacing w:after="0"/>
        <w:jc w:val="cente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8"/>
        <w:gridCol w:w="1529"/>
        <w:gridCol w:w="2119"/>
        <w:gridCol w:w="2108"/>
      </w:tblGrid>
      <w:tr>
        <w:trPr>
          <w:trHeight w:val="273" w:hRule="atLeast"/>
        </w:trPr>
        <w:tc>
          <w:tcPr>
            <w:tcW w:w="3068" w:type="dxa"/>
          </w:tcPr>
          <w:p>
            <w:pPr>
              <w:pStyle w:val="TableParagraph"/>
              <w:spacing w:line="250" w:lineRule="exact" w:before="3"/>
              <w:ind w:left="1356" w:right="1242"/>
              <w:jc w:val="center"/>
              <w:rPr>
                <w:sz w:val="21"/>
              </w:rPr>
            </w:pPr>
            <w:r>
              <w:rPr>
                <w:sz w:val="21"/>
              </w:rPr>
              <w:t>项目 </w:t>
            </w:r>
          </w:p>
        </w:tc>
        <w:tc>
          <w:tcPr>
            <w:tcW w:w="1529" w:type="dxa"/>
          </w:tcPr>
          <w:p>
            <w:pPr>
              <w:pStyle w:val="TableParagraph"/>
              <w:spacing w:line="250" w:lineRule="exact" w:before="3"/>
              <w:ind w:left="549"/>
              <w:rPr>
                <w:sz w:val="21"/>
              </w:rPr>
            </w:pPr>
            <w:r>
              <w:rPr>
                <w:sz w:val="21"/>
              </w:rPr>
              <w:t>附注 </w:t>
            </w:r>
          </w:p>
        </w:tc>
        <w:tc>
          <w:tcPr>
            <w:tcW w:w="2119" w:type="dxa"/>
          </w:tcPr>
          <w:p>
            <w:pPr>
              <w:pStyle w:val="TableParagraph"/>
              <w:spacing w:line="250" w:lineRule="exact" w:before="3"/>
              <w:ind w:left="635"/>
              <w:rPr>
                <w:sz w:val="21"/>
              </w:rPr>
            </w:pPr>
            <w:r>
              <w:rPr>
                <w:sz w:val="21"/>
              </w:rPr>
              <w:t>2022年度 </w:t>
            </w:r>
          </w:p>
        </w:tc>
        <w:tc>
          <w:tcPr>
            <w:tcW w:w="2108" w:type="dxa"/>
          </w:tcPr>
          <w:p>
            <w:pPr>
              <w:pStyle w:val="TableParagraph"/>
              <w:spacing w:line="250" w:lineRule="exact" w:before="3"/>
              <w:ind w:left="629"/>
              <w:rPr>
                <w:sz w:val="21"/>
              </w:rPr>
            </w:pPr>
            <w:r>
              <w:rPr>
                <w:sz w:val="21"/>
              </w:rPr>
              <w:t>2021年度 </w:t>
            </w:r>
          </w:p>
        </w:tc>
      </w:tr>
      <w:tr>
        <w:trPr>
          <w:trHeight w:val="273" w:hRule="atLeast"/>
        </w:trPr>
        <w:tc>
          <w:tcPr>
            <w:tcW w:w="8824" w:type="dxa"/>
            <w:gridSpan w:val="4"/>
          </w:tcPr>
          <w:p>
            <w:pPr>
              <w:pStyle w:val="TableParagraph"/>
              <w:spacing w:line="252" w:lineRule="exact" w:before="1"/>
              <w:ind w:left="107"/>
              <w:rPr>
                <w:sz w:val="21"/>
              </w:rPr>
            </w:pPr>
            <w:r>
              <w:rPr>
                <w:sz w:val="21"/>
              </w:rPr>
              <w:t>一、经营活动产生的现金流量： </w:t>
            </w:r>
          </w:p>
        </w:tc>
      </w:tr>
      <w:tr>
        <w:trPr>
          <w:trHeight w:val="544" w:hRule="atLeast"/>
        </w:trPr>
        <w:tc>
          <w:tcPr>
            <w:tcW w:w="3068" w:type="dxa"/>
          </w:tcPr>
          <w:p>
            <w:pPr>
              <w:pStyle w:val="TableParagraph"/>
              <w:spacing w:before="1"/>
              <w:ind w:left="318"/>
              <w:rPr>
                <w:sz w:val="21"/>
              </w:rPr>
            </w:pPr>
            <w:r>
              <w:rPr>
                <w:spacing w:val="-1"/>
                <w:sz w:val="21"/>
              </w:rPr>
              <w:t>销售商品、提供劳务收到的</w:t>
            </w:r>
          </w:p>
          <w:p>
            <w:pPr>
              <w:pStyle w:val="TableParagraph"/>
              <w:spacing w:line="252" w:lineRule="exact" w:before="2"/>
              <w:ind w:left="107"/>
              <w:rPr>
                <w:sz w:val="21"/>
              </w:rPr>
            </w:pPr>
            <w:r>
              <w:rPr>
                <w:sz w:val="21"/>
              </w:rPr>
              <w:t>现金 </w:t>
            </w:r>
          </w:p>
        </w:tc>
        <w:tc>
          <w:tcPr>
            <w:tcW w:w="1529" w:type="dxa"/>
          </w:tcPr>
          <w:p>
            <w:pPr>
              <w:pStyle w:val="TableParagraph"/>
              <w:spacing w:before="1"/>
              <w:ind w:left="105"/>
              <w:rPr>
                <w:sz w:val="21"/>
              </w:rPr>
            </w:pPr>
            <w:r>
              <w:rPr>
                <w:w w:val="100"/>
                <w:sz w:val="21"/>
              </w:rPr>
              <w:t> </w:t>
            </w:r>
          </w:p>
        </w:tc>
        <w:tc>
          <w:tcPr>
            <w:tcW w:w="2119" w:type="dxa"/>
          </w:tcPr>
          <w:p>
            <w:pPr>
              <w:pStyle w:val="TableParagraph"/>
              <w:spacing w:before="144"/>
              <w:ind w:right="93"/>
              <w:jc w:val="right"/>
              <w:rPr>
                <w:rFonts w:ascii="Times New Roman"/>
                <w:sz w:val="21"/>
              </w:rPr>
            </w:pPr>
            <w:r>
              <w:rPr>
                <w:rFonts w:ascii="Times New Roman"/>
                <w:sz w:val="21"/>
              </w:rPr>
              <w:t>176,897</w:t>
            </w:r>
          </w:p>
        </w:tc>
        <w:tc>
          <w:tcPr>
            <w:tcW w:w="2108" w:type="dxa"/>
          </w:tcPr>
          <w:p>
            <w:pPr>
              <w:pStyle w:val="TableParagraph"/>
              <w:spacing w:before="144"/>
              <w:ind w:left="1318"/>
              <w:rPr>
                <w:rFonts w:ascii="Times New Roman"/>
                <w:sz w:val="21"/>
              </w:rPr>
            </w:pPr>
            <w:r>
              <w:rPr>
                <w:rFonts w:ascii="Times New Roman"/>
                <w:sz w:val="21"/>
              </w:rPr>
              <w:t>140,461</w:t>
            </w:r>
          </w:p>
        </w:tc>
      </w:tr>
      <w:tr>
        <w:trPr>
          <w:trHeight w:val="270" w:hRule="atLeast"/>
        </w:trPr>
        <w:tc>
          <w:tcPr>
            <w:tcW w:w="3068" w:type="dxa"/>
          </w:tcPr>
          <w:p>
            <w:pPr>
              <w:pStyle w:val="TableParagraph"/>
              <w:spacing w:line="250" w:lineRule="exact" w:before="1"/>
              <w:ind w:left="318"/>
              <w:rPr>
                <w:sz w:val="21"/>
              </w:rPr>
            </w:pPr>
            <w:r>
              <w:rPr>
                <w:spacing w:val="-1"/>
                <w:sz w:val="21"/>
              </w:rPr>
              <w:t>收到的税费返还</w:t>
            </w:r>
            <w:r>
              <w:rPr>
                <w:sz w:val="21"/>
              </w:rPr>
              <w:t> </w:t>
            </w:r>
          </w:p>
        </w:tc>
        <w:tc>
          <w:tcPr>
            <w:tcW w:w="1529" w:type="dxa"/>
          </w:tcPr>
          <w:p>
            <w:pPr>
              <w:pStyle w:val="TableParagraph"/>
              <w:spacing w:line="250" w:lineRule="exact" w:before="1"/>
              <w:ind w:left="105"/>
              <w:rPr>
                <w:sz w:val="21"/>
              </w:rPr>
            </w:pPr>
            <w:r>
              <w:rPr>
                <w:w w:val="100"/>
                <w:sz w:val="21"/>
              </w:rPr>
              <w:t> </w:t>
            </w:r>
          </w:p>
        </w:tc>
        <w:tc>
          <w:tcPr>
            <w:tcW w:w="2119" w:type="dxa"/>
          </w:tcPr>
          <w:p>
            <w:pPr>
              <w:pStyle w:val="TableParagraph"/>
              <w:rPr>
                <w:rFonts w:ascii="Times New Roman"/>
                <w:sz w:val="20"/>
              </w:rPr>
            </w:pPr>
          </w:p>
        </w:tc>
        <w:tc>
          <w:tcPr>
            <w:tcW w:w="2108" w:type="dxa"/>
          </w:tcPr>
          <w:p>
            <w:pPr>
              <w:pStyle w:val="TableParagraph"/>
              <w:rPr>
                <w:rFonts w:ascii="Times New Roman"/>
                <w:sz w:val="20"/>
              </w:rPr>
            </w:pPr>
          </w:p>
        </w:tc>
      </w:tr>
      <w:tr>
        <w:trPr>
          <w:trHeight w:val="546" w:hRule="atLeast"/>
        </w:trPr>
        <w:tc>
          <w:tcPr>
            <w:tcW w:w="3068" w:type="dxa"/>
          </w:tcPr>
          <w:p>
            <w:pPr>
              <w:pStyle w:val="TableParagraph"/>
              <w:spacing w:line="270" w:lineRule="atLeast"/>
              <w:ind w:left="107" w:right="214" w:firstLine="211"/>
              <w:rPr>
                <w:sz w:val="21"/>
              </w:rPr>
            </w:pPr>
            <w:r>
              <w:rPr>
                <w:spacing w:val="-1"/>
                <w:sz w:val="21"/>
              </w:rPr>
              <w:t>收到其他与经营活动有关的</w:t>
            </w:r>
            <w:r>
              <w:rPr>
                <w:sz w:val="21"/>
              </w:rPr>
              <w:t>现金 </w:t>
            </w:r>
          </w:p>
        </w:tc>
        <w:tc>
          <w:tcPr>
            <w:tcW w:w="1529" w:type="dxa"/>
          </w:tcPr>
          <w:p>
            <w:pPr>
              <w:pStyle w:val="TableParagraph"/>
              <w:spacing w:before="3"/>
              <w:ind w:left="105"/>
              <w:rPr>
                <w:sz w:val="21"/>
              </w:rPr>
            </w:pPr>
            <w:r>
              <w:rPr>
                <w:w w:val="100"/>
                <w:sz w:val="21"/>
              </w:rPr>
              <w:t> </w:t>
            </w:r>
          </w:p>
        </w:tc>
        <w:tc>
          <w:tcPr>
            <w:tcW w:w="2119" w:type="dxa"/>
          </w:tcPr>
          <w:p>
            <w:pPr>
              <w:pStyle w:val="TableParagraph"/>
              <w:spacing w:before="147"/>
              <w:ind w:right="93"/>
              <w:jc w:val="right"/>
              <w:rPr>
                <w:rFonts w:ascii="Times New Roman"/>
                <w:sz w:val="21"/>
              </w:rPr>
            </w:pPr>
            <w:r>
              <w:rPr>
                <w:rFonts w:ascii="Times New Roman"/>
                <w:sz w:val="21"/>
              </w:rPr>
              <w:t>817,592</w:t>
            </w:r>
          </w:p>
        </w:tc>
        <w:tc>
          <w:tcPr>
            <w:tcW w:w="2108" w:type="dxa"/>
          </w:tcPr>
          <w:p>
            <w:pPr>
              <w:pStyle w:val="TableParagraph"/>
              <w:spacing w:before="147"/>
              <w:ind w:left="1159"/>
              <w:rPr>
                <w:rFonts w:ascii="Times New Roman"/>
                <w:sz w:val="21"/>
              </w:rPr>
            </w:pPr>
            <w:r>
              <w:rPr>
                <w:rFonts w:ascii="Times New Roman"/>
                <w:sz w:val="21"/>
              </w:rPr>
              <w:t>1,271,828</w:t>
            </w:r>
          </w:p>
        </w:tc>
      </w:tr>
      <w:tr>
        <w:trPr>
          <w:trHeight w:val="270" w:hRule="atLeast"/>
        </w:trPr>
        <w:tc>
          <w:tcPr>
            <w:tcW w:w="3068" w:type="dxa"/>
          </w:tcPr>
          <w:p>
            <w:pPr>
              <w:pStyle w:val="TableParagraph"/>
              <w:spacing w:line="250" w:lineRule="exact" w:before="1"/>
              <w:ind w:right="322"/>
              <w:jc w:val="right"/>
              <w:rPr>
                <w:sz w:val="21"/>
              </w:rPr>
            </w:pPr>
            <w:r>
              <w:rPr>
                <w:spacing w:val="-1"/>
                <w:sz w:val="21"/>
              </w:rPr>
              <w:t>经营活动现金流入小计</w:t>
            </w:r>
            <w:r>
              <w:rPr>
                <w:sz w:val="21"/>
              </w:rPr>
              <w:t> </w:t>
            </w:r>
          </w:p>
        </w:tc>
        <w:tc>
          <w:tcPr>
            <w:tcW w:w="1529" w:type="dxa"/>
          </w:tcPr>
          <w:p>
            <w:pPr>
              <w:pStyle w:val="TableParagraph"/>
              <w:spacing w:line="250" w:lineRule="exact" w:before="1"/>
              <w:ind w:left="105"/>
              <w:rPr>
                <w:sz w:val="21"/>
              </w:rPr>
            </w:pPr>
            <w:r>
              <w:rPr>
                <w:w w:val="100"/>
                <w:sz w:val="21"/>
              </w:rPr>
              <w:t> </w:t>
            </w:r>
          </w:p>
        </w:tc>
        <w:tc>
          <w:tcPr>
            <w:tcW w:w="2119" w:type="dxa"/>
          </w:tcPr>
          <w:p>
            <w:pPr>
              <w:pStyle w:val="TableParagraph"/>
              <w:spacing w:before="7"/>
              <w:ind w:right="93"/>
              <w:jc w:val="right"/>
              <w:rPr>
                <w:rFonts w:ascii="Times New Roman"/>
                <w:sz w:val="21"/>
              </w:rPr>
            </w:pPr>
            <w:r>
              <w:rPr>
                <w:rFonts w:ascii="Times New Roman"/>
                <w:sz w:val="21"/>
              </w:rPr>
              <w:t>994,489</w:t>
            </w:r>
          </w:p>
        </w:tc>
        <w:tc>
          <w:tcPr>
            <w:tcW w:w="2108" w:type="dxa"/>
          </w:tcPr>
          <w:p>
            <w:pPr>
              <w:pStyle w:val="TableParagraph"/>
              <w:spacing w:before="7"/>
              <w:ind w:left="1159"/>
              <w:rPr>
                <w:rFonts w:ascii="Times New Roman"/>
                <w:sz w:val="21"/>
              </w:rPr>
            </w:pPr>
            <w:r>
              <w:rPr>
                <w:rFonts w:ascii="Times New Roman"/>
                <w:sz w:val="21"/>
              </w:rPr>
              <w:t>1,412,289</w:t>
            </w:r>
          </w:p>
        </w:tc>
      </w:tr>
      <w:tr>
        <w:trPr>
          <w:trHeight w:val="544" w:hRule="atLeast"/>
        </w:trPr>
        <w:tc>
          <w:tcPr>
            <w:tcW w:w="3068" w:type="dxa"/>
          </w:tcPr>
          <w:p>
            <w:pPr>
              <w:pStyle w:val="TableParagraph"/>
              <w:spacing w:before="1"/>
              <w:ind w:left="318"/>
              <w:rPr>
                <w:sz w:val="21"/>
              </w:rPr>
            </w:pPr>
            <w:r>
              <w:rPr>
                <w:spacing w:val="-1"/>
                <w:sz w:val="21"/>
              </w:rPr>
              <w:t>购买商品、接受劳务支付的</w:t>
            </w:r>
          </w:p>
          <w:p>
            <w:pPr>
              <w:pStyle w:val="TableParagraph"/>
              <w:spacing w:line="250" w:lineRule="exact" w:before="4"/>
              <w:ind w:left="107"/>
              <w:rPr>
                <w:sz w:val="21"/>
              </w:rPr>
            </w:pPr>
            <w:r>
              <w:rPr>
                <w:sz w:val="21"/>
              </w:rPr>
              <w:t>现金 </w:t>
            </w:r>
          </w:p>
        </w:tc>
        <w:tc>
          <w:tcPr>
            <w:tcW w:w="1529" w:type="dxa"/>
          </w:tcPr>
          <w:p>
            <w:pPr>
              <w:pStyle w:val="TableParagraph"/>
              <w:spacing w:before="1"/>
              <w:ind w:left="105"/>
              <w:rPr>
                <w:sz w:val="21"/>
              </w:rPr>
            </w:pPr>
            <w:r>
              <w:rPr>
                <w:w w:val="100"/>
                <w:sz w:val="21"/>
              </w:rPr>
              <w:t> </w:t>
            </w:r>
          </w:p>
        </w:tc>
        <w:tc>
          <w:tcPr>
            <w:tcW w:w="2119" w:type="dxa"/>
          </w:tcPr>
          <w:p>
            <w:pPr>
              <w:pStyle w:val="TableParagraph"/>
              <w:rPr>
                <w:rFonts w:ascii="Times New Roman"/>
                <w:sz w:val="20"/>
              </w:rPr>
            </w:pPr>
          </w:p>
        </w:tc>
        <w:tc>
          <w:tcPr>
            <w:tcW w:w="2108" w:type="dxa"/>
          </w:tcPr>
          <w:p>
            <w:pPr>
              <w:pStyle w:val="TableParagraph"/>
              <w:rPr>
                <w:rFonts w:ascii="Times New Roman"/>
                <w:sz w:val="20"/>
              </w:rPr>
            </w:pPr>
          </w:p>
        </w:tc>
      </w:tr>
      <w:tr>
        <w:trPr>
          <w:trHeight w:val="544" w:hRule="atLeast"/>
        </w:trPr>
        <w:tc>
          <w:tcPr>
            <w:tcW w:w="3068" w:type="dxa"/>
          </w:tcPr>
          <w:p>
            <w:pPr>
              <w:pStyle w:val="TableParagraph"/>
              <w:spacing w:line="270" w:lineRule="atLeast"/>
              <w:ind w:left="107" w:right="214" w:firstLine="211"/>
              <w:rPr>
                <w:sz w:val="21"/>
              </w:rPr>
            </w:pPr>
            <w:r>
              <w:rPr>
                <w:spacing w:val="-1"/>
                <w:sz w:val="21"/>
              </w:rPr>
              <w:t>支付给职工及为职工支付的</w:t>
            </w:r>
            <w:r>
              <w:rPr>
                <w:sz w:val="21"/>
              </w:rPr>
              <w:t>现金 </w:t>
            </w:r>
          </w:p>
        </w:tc>
        <w:tc>
          <w:tcPr>
            <w:tcW w:w="1529" w:type="dxa"/>
          </w:tcPr>
          <w:p>
            <w:pPr>
              <w:pStyle w:val="TableParagraph"/>
              <w:spacing w:before="3"/>
              <w:ind w:left="105"/>
              <w:rPr>
                <w:sz w:val="21"/>
              </w:rPr>
            </w:pPr>
            <w:r>
              <w:rPr>
                <w:w w:val="100"/>
                <w:sz w:val="21"/>
              </w:rPr>
              <w:t> </w:t>
            </w:r>
          </w:p>
        </w:tc>
        <w:tc>
          <w:tcPr>
            <w:tcW w:w="2119" w:type="dxa"/>
          </w:tcPr>
          <w:p>
            <w:pPr>
              <w:pStyle w:val="TableParagraph"/>
              <w:spacing w:before="147"/>
              <w:ind w:right="96"/>
              <w:jc w:val="right"/>
              <w:rPr>
                <w:rFonts w:ascii="Times New Roman"/>
                <w:sz w:val="21"/>
              </w:rPr>
            </w:pPr>
            <w:r>
              <w:rPr>
                <w:rFonts w:ascii="Times New Roman"/>
                <w:sz w:val="21"/>
              </w:rPr>
              <w:t>-115,522</w:t>
            </w:r>
          </w:p>
        </w:tc>
        <w:tc>
          <w:tcPr>
            <w:tcW w:w="2108" w:type="dxa"/>
          </w:tcPr>
          <w:p>
            <w:pPr>
              <w:pStyle w:val="TableParagraph"/>
              <w:spacing w:before="147"/>
              <w:ind w:left="1351"/>
              <w:rPr>
                <w:rFonts w:ascii="Times New Roman"/>
                <w:sz w:val="21"/>
              </w:rPr>
            </w:pPr>
            <w:r>
              <w:rPr>
                <w:rFonts w:ascii="Times New Roman"/>
                <w:sz w:val="21"/>
              </w:rPr>
              <w:t>-67,460</w:t>
            </w:r>
          </w:p>
        </w:tc>
      </w:tr>
      <w:tr>
        <w:trPr>
          <w:trHeight w:val="273" w:hRule="atLeast"/>
        </w:trPr>
        <w:tc>
          <w:tcPr>
            <w:tcW w:w="3068" w:type="dxa"/>
          </w:tcPr>
          <w:p>
            <w:pPr>
              <w:pStyle w:val="TableParagraph"/>
              <w:spacing w:line="250" w:lineRule="exact" w:before="3"/>
              <w:ind w:left="318"/>
              <w:rPr>
                <w:sz w:val="21"/>
              </w:rPr>
            </w:pPr>
            <w:r>
              <w:rPr>
                <w:spacing w:val="-1"/>
                <w:sz w:val="21"/>
              </w:rPr>
              <w:t>支付的各项税费</w:t>
            </w:r>
            <w:r>
              <w:rPr>
                <w:sz w:val="21"/>
              </w:rPr>
              <w:t> </w:t>
            </w:r>
          </w:p>
        </w:tc>
        <w:tc>
          <w:tcPr>
            <w:tcW w:w="1529" w:type="dxa"/>
          </w:tcPr>
          <w:p>
            <w:pPr>
              <w:pStyle w:val="TableParagraph"/>
              <w:spacing w:line="250" w:lineRule="exact" w:before="3"/>
              <w:ind w:left="105"/>
              <w:rPr>
                <w:sz w:val="21"/>
              </w:rPr>
            </w:pPr>
            <w:r>
              <w:rPr>
                <w:w w:val="100"/>
                <w:sz w:val="21"/>
              </w:rPr>
              <w:t> </w:t>
            </w:r>
          </w:p>
        </w:tc>
        <w:tc>
          <w:tcPr>
            <w:tcW w:w="2119" w:type="dxa"/>
          </w:tcPr>
          <w:p>
            <w:pPr>
              <w:pStyle w:val="TableParagraph"/>
              <w:spacing w:before="10"/>
              <w:ind w:right="96"/>
              <w:jc w:val="right"/>
              <w:rPr>
                <w:rFonts w:ascii="Times New Roman"/>
                <w:sz w:val="21"/>
              </w:rPr>
            </w:pPr>
            <w:r>
              <w:rPr>
                <w:rFonts w:ascii="Times New Roman"/>
                <w:sz w:val="21"/>
              </w:rPr>
              <w:t>-189,513</w:t>
            </w:r>
          </w:p>
        </w:tc>
        <w:tc>
          <w:tcPr>
            <w:tcW w:w="2108" w:type="dxa"/>
          </w:tcPr>
          <w:p>
            <w:pPr>
              <w:pStyle w:val="TableParagraph"/>
              <w:spacing w:before="10"/>
              <w:ind w:left="1246"/>
              <w:rPr>
                <w:rFonts w:ascii="Times New Roman"/>
                <w:sz w:val="21"/>
              </w:rPr>
            </w:pPr>
            <w:r>
              <w:rPr>
                <w:rFonts w:ascii="Times New Roman"/>
                <w:sz w:val="21"/>
              </w:rPr>
              <w:t>-122,815</w:t>
            </w:r>
          </w:p>
        </w:tc>
      </w:tr>
      <w:tr>
        <w:trPr>
          <w:trHeight w:val="545" w:hRule="atLeast"/>
        </w:trPr>
        <w:tc>
          <w:tcPr>
            <w:tcW w:w="3068" w:type="dxa"/>
          </w:tcPr>
          <w:p>
            <w:pPr>
              <w:pStyle w:val="TableParagraph"/>
              <w:spacing w:before="1"/>
              <w:ind w:left="318"/>
              <w:rPr>
                <w:sz w:val="21"/>
              </w:rPr>
            </w:pPr>
            <w:r>
              <w:rPr>
                <w:spacing w:val="-1"/>
                <w:sz w:val="21"/>
              </w:rPr>
              <w:t>支付其他与经营活动有关的</w:t>
            </w:r>
          </w:p>
          <w:p>
            <w:pPr>
              <w:pStyle w:val="TableParagraph"/>
              <w:spacing w:line="250" w:lineRule="exact" w:before="5"/>
              <w:ind w:left="107"/>
              <w:rPr>
                <w:sz w:val="21"/>
              </w:rPr>
            </w:pPr>
            <w:r>
              <w:rPr>
                <w:sz w:val="21"/>
              </w:rPr>
              <w:t>现金 </w:t>
            </w:r>
          </w:p>
        </w:tc>
        <w:tc>
          <w:tcPr>
            <w:tcW w:w="1529" w:type="dxa"/>
          </w:tcPr>
          <w:p>
            <w:pPr>
              <w:pStyle w:val="TableParagraph"/>
              <w:spacing w:before="1"/>
              <w:ind w:left="105"/>
              <w:rPr>
                <w:sz w:val="21"/>
              </w:rPr>
            </w:pPr>
            <w:r>
              <w:rPr>
                <w:w w:val="100"/>
                <w:sz w:val="21"/>
              </w:rPr>
              <w:t> </w:t>
            </w:r>
          </w:p>
        </w:tc>
        <w:tc>
          <w:tcPr>
            <w:tcW w:w="2119" w:type="dxa"/>
          </w:tcPr>
          <w:p>
            <w:pPr>
              <w:pStyle w:val="TableParagraph"/>
              <w:spacing w:before="145"/>
              <w:ind w:right="96"/>
              <w:jc w:val="right"/>
              <w:rPr>
                <w:rFonts w:ascii="Times New Roman"/>
                <w:sz w:val="21"/>
              </w:rPr>
            </w:pPr>
            <w:r>
              <w:rPr>
                <w:rFonts w:ascii="Times New Roman"/>
                <w:sz w:val="21"/>
              </w:rPr>
              <w:t>-14,623</w:t>
            </w:r>
          </w:p>
        </w:tc>
        <w:tc>
          <w:tcPr>
            <w:tcW w:w="2108" w:type="dxa"/>
          </w:tcPr>
          <w:p>
            <w:pPr>
              <w:pStyle w:val="TableParagraph"/>
              <w:spacing w:before="145"/>
              <w:ind w:left="1351"/>
              <w:rPr>
                <w:rFonts w:ascii="Times New Roman"/>
                <w:sz w:val="21"/>
              </w:rPr>
            </w:pPr>
            <w:r>
              <w:rPr>
                <w:rFonts w:ascii="Times New Roman"/>
                <w:sz w:val="21"/>
              </w:rPr>
              <w:t>-87,636</w:t>
            </w:r>
          </w:p>
        </w:tc>
      </w:tr>
      <w:tr>
        <w:trPr>
          <w:trHeight w:val="273" w:hRule="atLeast"/>
        </w:trPr>
        <w:tc>
          <w:tcPr>
            <w:tcW w:w="3068" w:type="dxa"/>
          </w:tcPr>
          <w:p>
            <w:pPr>
              <w:pStyle w:val="TableParagraph"/>
              <w:spacing w:line="252" w:lineRule="exact" w:before="1"/>
              <w:ind w:right="322"/>
              <w:jc w:val="right"/>
              <w:rPr>
                <w:sz w:val="21"/>
              </w:rPr>
            </w:pPr>
            <w:r>
              <w:rPr>
                <w:spacing w:val="-1"/>
                <w:sz w:val="21"/>
              </w:rPr>
              <w:t>经营活动现金流出小计</w:t>
            </w:r>
            <w:r>
              <w:rPr>
                <w:sz w:val="21"/>
              </w:rPr>
              <w:t> </w:t>
            </w:r>
          </w:p>
        </w:tc>
        <w:tc>
          <w:tcPr>
            <w:tcW w:w="1529" w:type="dxa"/>
          </w:tcPr>
          <w:p>
            <w:pPr>
              <w:pStyle w:val="TableParagraph"/>
              <w:spacing w:line="252" w:lineRule="exact" w:before="1"/>
              <w:ind w:left="105"/>
              <w:rPr>
                <w:sz w:val="21"/>
              </w:rPr>
            </w:pPr>
            <w:r>
              <w:rPr>
                <w:w w:val="100"/>
                <w:sz w:val="21"/>
              </w:rPr>
              <w:t> </w:t>
            </w:r>
          </w:p>
        </w:tc>
        <w:tc>
          <w:tcPr>
            <w:tcW w:w="2119" w:type="dxa"/>
          </w:tcPr>
          <w:p>
            <w:pPr>
              <w:pStyle w:val="TableParagraph"/>
              <w:spacing w:before="10"/>
              <w:ind w:right="96"/>
              <w:jc w:val="right"/>
              <w:rPr>
                <w:rFonts w:ascii="Times New Roman"/>
                <w:sz w:val="21"/>
              </w:rPr>
            </w:pPr>
            <w:r>
              <w:rPr>
                <w:rFonts w:ascii="Times New Roman"/>
                <w:sz w:val="21"/>
              </w:rPr>
              <w:t>-319,658</w:t>
            </w:r>
          </w:p>
        </w:tc>
        <w:tc>
          <w:tcPr>
            <w:tcW w:w="2108" w:type="dxa"/>
          </w:tcPr>
          <w:p>
            <w:pPr>
              <w:pStyle w:val="TableParagraph"/>
              <w:spacing w:before="10"/>
              <w:ind w:left="1246"/>
              <w:rPr>
                <w:rFonts w:ascii="Times New Roman"/>
                <w:sz w:val="21"/>
              </w:rPr>
            </w:pPr>
            <w:r>
              <w:rPr>
                <w:rFonts w:ascii="Times New Roman"/>
                <w:sz w:val="21"/>
              </w:rPr>
              <w:t>-277,911</w:t>
            </w:r>
          </w:p>
        </w:tc>
      </w:tr>
      <w:tr>
        <w:trPr>
          <w:trHeight w:val="544" w:hRule="atLeast"/>
        </w:trPr>
        <w:tc>
          <w:tcPr>
            <w:tcW w:w="3068" w:type="dxa"/>
          </w:tcPr>
          <w:p>
            <w:pPr>
              <w:pStyle w:val="TableParagraph"/>
              <w:spacing w:before="1"/>
              <w:ind w:left="318"/>
              <w:rPr>
                <w:sz w:val="21"/>
              </w:rPr>
            </w:pPr>
            <w:r>
              <w:rPr>
                <w:spacing w:val="-1"/>
                <w:sz w:val="21"/>
              </w:rPr>
              <w:t>经营活动产生的现金流量净</w:t>
            </w:r>
          </w:p>
          <w:p>
            <w:pPr>
              <w:pStyle w:val="TableParagraph"/>
              <w:spacing w:line="250" w:lineRule="exact" w:before="4"/>
              <w:ind w:left="107"/>
              <w:rPr>
                <w:sz w:val="21"/>
              </w:rPr>
            </w:pPr>
            <w:r>
              <w:rPr>
                <w:sz w:val="21"/>
              </w:rPr>
              <w:t>额 </w:t>
            </w:r>
          </w:p>
        </w:tc>
        <w:tc>
          <w:tcPr>
            <w:tcW w:w="1529" w:type="dxa"/>
          </w:tcPr>
          <w:p>
            <w:pPr>
              <w:pStyle w:val="TableParagraph"/>
              <w:spacing w:before="1"/>
              <w:ind w:left="105"/>
              <w:rPr>
                <w:sz w:val="21"/>
              </w:rPr>
            </w:pPr>
            <w:r>
              <w:rPr>
                <w:w w:val="100"/>
                <w:sz w:val="21"/>
              </w:rPr>
              <w:t> </w:t>
            </w:r>
          </w:p>
        </w:tc>
        <w:tc>
          <w:tcPr>
            <w:tcW w:w="2119" w:type="dxa"/>
          </w:tcPr>
          <w:p>
            <w:pPr>
              <w:pStyle w:val="TableParagraph"/>
              <w:spacing w:before="144"/>
              <w:ind w:right="93"/>
              <w:jc w:val="right"/>
              <w:rPr>
                <w:rFonts w:ascii="Times New Roman"/>
                <w:sz w:val="21"/>
              </w:rPr>
            </w:pPr>
            <w:r>
              <w:rPr>
                <w:rFonts w:ascii="Times New Roman"/>
                <w:sz w:val="21"/>
              </w:rPr>
              <w:t>674,831</w:t>
            </w:r>
          </w:p>
        </w:tc>
        <w:tc>
          <w:tcPr>
            <w:tcW w:w="2108" w:type="dxa"/>
          </w:tcPr>
          <w:p>
            <w:pPr>
              <w:pStyle w:val="TableParagraph"/>
              <w:spacing w:before="144"/>
              <w:ind w:left="1159"/>
              <w:rPr>
                <w:rFonts w:ascii="Times New Roman"/>
                <w:sz w:val="21"/>
              </w:rPr>
            </w:pPr>
            <w:r>
              <w:rPr>
                <w:rFonts w:ascii="Times New Roman"/>
                <w:sz w:val="21"/>
              </w:rPr>
              <w:t>1,134,378</w:t>
            </w:r>
          </w:p>
        </w:tc>
      </w:tr>
      <w:tr>
        <w:trPr>
          <w:trHeight w:val="273" w:hRule="atLeast"/>
        </w:trPr>
        <w:tc>
          <w:tcPr>
            <w:tcW w:w="8824" w:type="dxa"/>
            <w:gridSpan w:val="4"/>
          </w:tcPr>
          <w:p>
            <w:pPr>
              <w:pStyle w:val="TableParagraph"/>
              <w:spacing w:line="252" w:lineRule="exact" w:before="1"/>
              <w:ind w:left="107"/>
              <w:rPr>
                <w:sz w:val="21"/>
              </w:rPr>
            </w:pPr>
            <w:r>
              <w:rPr>
                <w:sz w:val="21"/>
              </w:rPr>
              <w:t>二、投资活动产生的现金流量：</w:t>
            </w:r>
            <w:r>
              <w:rPr>
                <w:color w:val="008000"/>
                <w:sz w:val="21"/>
              </w:rPr>
              <w:t> </w:t>
            </w:r>
          </w:p>
        </w:tc>
      </w:tr>
      <w:tr>
        <w:trPr>
          <w:trHeight w:val="270" w:hRule="atLeast"/>
        </w:trPr>
        <w:tc>
          <w:tcPr>
            <w:tcW w:w="3068" w:type="dxa"/>
          </w:tcPr>
          <w:p>
            <w:pPr>
              <w:pStyle w:val="TableParagraph"/>
              <w:spacing w:line="250" w:lineRule="exact" w:before="1"/>
              <w:ind w:left="318"/>
              <w:rPr>
                <w:sz w:val="21"/>
              </w:rPr>
            </w:pPr>
            <w:r>
              <w:rPr>
                <w:spacing w:val="-1"/>
                <w:sz w:val="21"/>
              </w:rPr>
              <w:t>收回投资收到的现金</w:t>
            </w:r>
            <w:r>
              <w:rPr>
                <w:sz w:val="21"/>
              </w:rPr>
              <w:t> </w:t>
            </w:r>
          </w:p>
        </w:tc>
        <w:tc>
          <w:tcPr>
            <w:tcW w:w="1529" w:type="dxa"/>
          </w:tcPr>
          <w:p>
            <w:pPr>
              <w:pStyle w:val="TableParagraph"/>
              <w:spacing w:line="250" w:lineRule="exact" w:before="1"/>
              <w:ind w:left="105"/>
              <w:rPr>
                <w:sz w:val="21"/>
              </w:rPr>
            </w:pPr>
            <w:r>
              <w:rPr>
                <w:w w:val="100"/>
                <w:sz w:val="21"/>
              </w:rPr>
              <w:t> </w:t>
            </w:r>
          </w:p>
        </w:tc>
        <w:tc>
          <w:tcPr>
            <w:tcW w:w="2119" w:type="dxa"/>
          </w:tcPr>
          <w:p>
            <w:pPr>
              <w:pStyle w:val="TableParagraph"/>
              <w:spacing w:line="250" w:lineRule="exact" w:before="1"/>
              <w:ind w:right="-15"/>
              <w:jc w:val="right"/>
              <w:rPr>
                <w:sz w:val="21"/>
              </w:rPr>
            </w:pPr>
            <w:r>
              <w:rPr>
                <w:w w:val="100"/>
                <w:sz w:val="21"/>
              </w:rPr>
              <w:t> </w:t>
            </w:r>
          </w:p>
        </w:tc>
        <w:tc>
          <w:tcPr>
            <w:tcW w:w="2108" w:type="dxa"/>
          </w:tcPr>
          <w:p>
            <w:pPr>
              <w:pStyle w:val="TableParagraph"/>
              <w:spacing w:line="250" w:lineRule="exact" w:before="1"/>
              <w:ind w:right="-15"/>
              <w:jc w:val="right"/>
              <w:rPr>
                <w:sz w:val="21"/>
              </w:rPr>
            </w:pPr>
            <w:r>
              <w:rPr>
                <w:w w:val="100"/>
                <w:sz w:val="21"/>
              </w:rPr>
              <w:t> </w:t>
            </w:r>
          </w:p>
        </w:tc>
      </w:tr>
      <w:tr>
        <w:trPr>
          <w:trHeight w:val="273" w:hRule="atLeast"/>
        </w:trPr>
        <w:tc>
          <w:tcPr>
            <w:tcW w:w="3068" w:type="dxa"/>
          </w:tcPr>
          <w:p>
            <w:pPr>
              <w:pStyle w:val="TableParagraph"/>
              <w:spacing w:line="252" w:lineRule="exact" w:before="1"/>
              <w:ind w:left="318"/>
              <w:rPr>
                <w:sz w:val="21"/>
              </w:rPr>
            </w:pPr>
            <w:r>
              <w:rPr>
                <w:spacing w:val="-1"/>
                <w:sz w:val="21"/>
              </w:rPr>
              <w:t>取得投资收益收到的现金</w:t>
            </w:r>
            <w:r>
              <w:rPr>
                <w:sz w:val="21"/>
              </w:rPr>
              <w:t> </w:t>
            </w:r>
          </w:p>
        </w:tc>
        <w:tc>
          <w:tcPr>
            <w:tcW w:w="1529" w:type="dxa"/>
          </w:tcPr>
          <w:p>
            <w:pPr>
              <w:pStyle w:val="TableParagraph"/>
              <w:spacing w:line="252" w:lineRule="exact" w:before="1"/>
              <w:ind w:left="105"/>
              <w:rPr>
                <w:sz w:val="21"/>
              </w:rPr>
            </w:pPr>
            <w:r>
              <w:rPr>
                <w:w w:val="100"/>
                <w:sz w:val="21"/>
              </w:rPr>
              <w:t> </w:t>
            </w:r>
          </w:p>
        </w:tc>
        <w:tc>
          <w:tcPr>
            <w:tcW w:w="2119" w:type="dxa"/>
          </w:tcPr>
          <w:p>
            <w:pPr>
              <w:pStyle w:val="TableParagraph"/>
              <w:spacing w:before="10"/>
              <w:ind w:right="93"/>
              <w:jc w:val="right"/>
              <w:rPr>
                <w:rFonts w:ascii="Times New Roman"/>
                <w:sz w:val="21"/>
              </w:rPr>
            </w:pPr>
            <w:r>
              <w:rPr>
                <w:rFonts w:ascii="Times New Roman"/>
                <w:sz w:val="21"/>
              </w:rPr>
              <w:t>17,100,000</w:t>
            </w:r>
          </w:p>
        </w:tc>
        <w:tc>
          <w:tcPr>
            <w:tcW w:w="2108" w:type="dxa"/>
          </w:tcPr>
          <w:p>
            <w:pPr>
              <w:pStyle w:val="TableParagraph"/>
              <w:spacing w:before="10"/>
              <w:ind w:left="1054"/>
              <w:rPr>
                <w:rFonts w:ascii="Times New Roman"/>
                <w:sz w:val="21"/>
              </w:rPr>
            </w:pPr>
            <w:r>
              <w:rPr>
                <w:rFonts w:ascii="Times New Roman"/>
                <w:sz w:val="21"/>
              </w:rPr>
              <w:t>10,900,000</w:t>
            </w:r>
          </w:p>
        </w:tc>
      </w:tr>
      <w:tr>
        <w:trPr>
          <w:trHeight w:val="544" w:hRule="atLeast"/>
        </w:trPr>
        <w:tc>
          <w:tcPr>
            <w:tcW w:w="3068" w:type="dxa"/>
          </w:tcPr>
          <w:p>
            <w:pPr>
              <w:pStyle w:val="TableParagraph"/>
              <w:spacing w:before="1"/>
              <w:ind w:left="318"/>
              <w:rPr>
                <w:sz w:val="21"/>
              </w:rPr>
            </w:pPr>
            <w:r>
              <w:rPr>
                <w:spacing w:val="-1"/>
                <w:sz w:val="21"/>
              </w:rPr>
              <w:t>处置固定资产、无形资产和</w:t>
            </w:r>
          </w:p>
          <w:p>
            <w:pPr>
              <w:pStyle w:val="TableParagraph"/>
              <w:spacing w:line="250" w:lineRule="exact" w:before="4"/>
              <w:ind w:left="107"/>
              <w:rPr>
                <w:sz w:val="21"/>
              </w:rPr>
            </w:pPr>
            <w:r>
              <w:rPr>
                <w:spacing w:val="-1"/>
                <w:sz w:val="21"/>
              </w:rPr>
              <w:t>其他长期资产收回的现金净额</w:t>
            </w:r>
            <w:r>
              <w:rPr>
                <w:sz w:val="21"/>
              </w:rPr>
              <w:t> </w:t>
            </w:r>
          </w:p>
        </w:tc>
        <w:tc>
          <w:tcPr>
            <w:tcW w:w="1529" w:type="dxa"/>
          </w:tcPr>
          <w:p>
            <w:pPr>
              <w:pStyle w:val="TableParagraph"/>
              <w:spacing w:before="1"/>
              <w:ind w:left="105"/>
              <w:rPr>
                <w:sz w:val="21"/>
              </w:rPr>
            </w:pPr>
            <w:r>
              <w:rPr>
                <w:w w:val="100"/>
                <w:sz w:val="21"/>
              </w:rPr>
              <w:t> </w:t>
            </w:r>
          </w:p>
        </w:tc>
        <w:tc>
          <w:tcPr>
            <w:tcW w:w="2119" w:type="dxa"/>
          </w:tcPr>
          <w:p>
            <w:pPr>
              <w:pStyle w:val="TableParagraph"/>
              <w:rPr>
                <w:rFonts w:ascii="Times New Roman"/>
                <w:sz w:val="20"/>
              </w:rPr>
            </w:pPr>
          </w:p>
        </w:tc>
        <w:tc>
          <w:tcPr>
            <w:tcW w:w="2108" w:type="dxa"/>
          </w:tcPr>
          <w:p>
            <w:pPr>
              <w:pStyle w:val="TableParagraph"/>
              <w:rPr>
                <w:rFonts w:ascii="Times New Roman"/>
                <w:sz w:val="20"/>
              </w:rPr>
            </w:pPr>
          </w:p>
        </w:tc>
      </w:tr>
      <w:tr>
        <w:trPr>
          <w:trHeight w:val="544" w:hRule="atLeast"/>
        </w:trPr>
        <w:tc>
          <w:tcPr>
            <w:tcW w:w="3068" w:type="dxa"/>
          </w:tcPr>
          <w:p>
            <w:pPr>
              <w:pStyle w:val="TableParagraph"/>
              <w:spacing w:before="1"/>
              <w:ind w:left="318"/>
              <w:rPr>
                <w:sz w:val="21"/>
              </w:rPr>
            </w:pPr>
            <w:r>
              <w:rPr>
                <w:spacing w:val="-1"/>
                <w:sz w:val="21"/>
              </w:rPr>
              <w:t>处置子公司及其他营业单位</w:t>
            </w:r>
          </w:p>
          <w:p>
            <w:pPr>
              <w:pStyle w:val="TableParagraph"/>
              <w:spacing w:line="250" w:lineRule="exact" w:before="4"/>
              <w:ind w:left="107"/>
              <w:rPr>
                <w:sz w:val="21"/>
              </w:rPr>
            </w:pPr>
            <w:r>
              <w:rPr>
                <w:spacing w:val="-1"/>
                <w:sz w:val="21"/>
              </w:rPr>
              <w:t>收到的现金净额</w:t>
            </w:r>
            <w:r>
              <w:rPr>
                <w:sz w:val="21"/>
              </w:rPr>
              <w:t> </w:t>
            </w:r>
          </w:p>
        </w:tc>
        <w:tc>
          <w:tcPr>
            <w:tcW w:w="1529" w:type="dxa"/>
          </w:tcPr>
          <w:p>
            <w:pPr>
              <w:pStyle w:val="TableParagraph"/>
              <w:spacing w:before="1"/>
              <w:ind w:left="105"/>
              <w:rPr>
                <w:sz w:val="21"/>
              </w:rPr>
            </w:pPr>
            <w:r>
              <w:rPr>
                <w:w w:val="100"/>
                <w:sz w:val="21"/>
              </w:rPr>
              <w:t> </w:t>
            </w:r>
          </w:p>
        </w:tc>
        <w:tc>
          <w:tcPr>
            <w:tcW w:w="2119" w:type="dxa"/>
          </w:tcPr>
          <w:p>
            <w:pPr>
              <w:pStyle w:val="TableParagraph"/>
              <w:rPr>
                <w:rFonts w:ascii="Times New Roman"/>
                <w:sz w:val="20"/>
              </w:rPr>
            </w:pPr>
          </w:p>
        </w:tc>
        <w:tc>
          <w:tcPr>
            <w:tcW w:w="2108" w:type="dxa"/>
          </w:tcPr>
          <w:p>
            <w:pPr>
              <w:pStyle w:val="TableParagraph"/>
              <w:rPr>
                <w:rFonts w:ascii="Times New Roman"/>
                <w:sz w:val="20"/>
              </w:rPr>
            </w:pPr>
          </w:p>
        </w:tc>
      </w:tr>
      <w:tr>
        <w:trPr>
          <w:trHeight w:val="544" w:hRule="atLeast"/>
        </w:trPr>
        <w:tc>
          <w:tcPr>
            <w:tcW w:w="3068" w:type="dxa"/>
          </w:tcPr>
          <w:p>
            <w:pPr>
              <w:pStyle w:val="TableParagraph"/>
              <w:spacing w:before="1"/>
              <w:ind w:left="318"/>
              <w:rPr>
                <w:sz w:val="21"/>
              </w:rPr>
            </w:pPr>
            <w:r>
              <w:rPr>
                <w:spacing w:val="-1"/>
                <w:sz w:val="21"/>
              </w:rPr>
              <w:t>收到其他与投资活动有关的</w:t>
            </w:r>
          </w:p>
          <w:p>
            <w:pPr>
              <w:pStyle w:val="TableParagraph"/>
              <w:spacing w:line="250" w:lineRule="exact" w:before="5"/>
              <w:ind w:left="107"/>
              <w:rPr>
                <w:sz w:val="21"/>
              </w:rPr>
            </w:pPr>
            <w:r>
              <w:rPr>
                <w:sz w:val="21"/>
              </w:rPr>
              <w:t>现金 </w:t>
            </w:r>
          </w:p>
        </w:tc>
        <w:tc>
          <w:tcPr>
            <w:tcW w:w="1529" w:type="dxa"/>
          </w:tcPr>
          <w:p>
            <w:pPr>
              <w:pStyle w:val="TableParagraph"/>
              <w:spacing w:before="1"/>
              <w:ind w:left="105"/>
              <w:rPr>
                <w:sz w:val="21"/>
              </w:rPr>
            </w:pPr>
            <w:r>
              <w:rPr>
                <w:w w:val="100"/>
                <w:sz w:val="21"/>
              </w:rPr>
              <w:t> </w:t>
            </w:r>
          </w:p>
        </w:tc>
        <w:tc>
          <w:tcPr>
            <w:tcW w:w="2119" w:type="dxa"/>
          </w:tcPr>
          <w:p>
            <w:pPr>
              <w:pStyle w:val="TableParagraph"/>
              <w:spacing w:before="144"/>
              <w:ind w:right="93"/>
              <w:jc w:val="right"/>
              <w:rPr>
                <w:rFonts w:ascii="Times New Roman"/>
                <w:sz w:val="21"/>
              </w:rPr>
            </w:pPr>
            <w:r>
              <w:rPr>
                <w:rFonts w:ascii="Times New Roman"/>
                <w:sz w:val="21"/>
              </w:rPr>
              <w:t>1,050,000</w:t>
            </w:r>
          </w:p>
        </w:tc>
        <w:tc>
          <w:tcPr>
            <w:tcW w:w="2108" w:type="dxa"/>
          </w:tcPr>
          <w:p>
            <w:pPr>
              <w:pStyle w:val="TableParagraph"/>
              <w:spacing w:before="144"/>
              <w:ind w:right="95"/>
              <w:jc w:val="right"/>
              <w:rPr>
                <w:rFonts w:ascii="Times New Roman"/>
                <w:sz w:val="21"/>
              </w:rPr>
            </w:pPr>
            <w:r>
              <w:rPr>
                <w:rFonts w:ascii="Times New Roman"/>
                <w:w w:val="100"/>
                <w:sz w:val="21"/>
              </w:rPr>
              <w:t>-</w:t>
            </w:r>
          </w:p>
        </w:tc>
      </w:tr>
      <w:tr>
        <w:trPr>
          <w:trHeight w:val="273" w:hRule="atLeast"/>
        </w:trPr>
        <w:tc>
          <w:tcPr>
            <w:tcW w:w="3068" w:type="dxa"/>
          </w:tcPr>
          <w:p>
            <w:pPr>
              <w:pStyle w:val="TableParagraph"/>
              <w:spacing w:line="252" w:lineRule="exact" w:before="1"/>
              <w:ind w:right="322"/>
              <w:jc w:val="right"/>
              <w:rPr>
                <w:sz w:val="21"/>
              </w:rPr>
            </w:pPr>
            <w:r>
              <w:rPr>
                <w:spacing w:val="-1"/>
                <w:sz w:val="21"/>
              </w:rPr>
              <w:t>投资活动现金流入小计</w:t>
            </w:r>
            <w:r>
              <w:rPr>
                <w:sz w:val="21"/>
              </w:rPr>
              <w:t> </w:t>
            </w:r>
          </w:p>
        </w:tc>
        <w:tc>
          <w:tcPr>
            <w:tcW w:w="1529" w:type="dxa"/>
          </w:tcPr>
          <w:p>
            <w:pPr>
              <w:pStyle w:val="TableParagraph"/>
              <w:spacing w:line="252" w:lineRule="exact" w:before="1"/>
              <w:ind w:left="105"/>
              <w:rPr>
                <w:sz w:val="21"/>
              </w:rPr>
            </w:pPr>
            <w:r>
              <w:rPr>
                <w:w w:val="100"/>
                <w:sz w:val="21"/>
              </w:rPr>
              <w:t> </w:t>
            </w:r>
          </w:p>
        </w:tc>
        <w:tc>
          <w:tcPr>
            <w:tcW w:w="2119" w:type="dxa"/>
          </w:tcPr>
          <w:p>
            <w:pPr>
              <w:pStyle w:val="TableParagraph"/>
              <w:spacing w:before="10"/>
              <w:ind w:right="93"/>
              <w:jc w:val="right"/>
              <w:rPr>
                <w:rFonts w:ascii="Times New Roman"/>
                <w:sz w:val="21"/>
              </w:rPr>
            </w:pPr>
            <w:r>
              <w:rPr>
                <w:rFonts w:ascii="Times New Roman"/>
                <w:sz w:val="21"/>
              </w:rPr>
              <w:t>18,150,000</w:t>
            </w:r>
          </w:p>
        </w:tc>
        <w:tc>
          <w:tcPr>
            <w:tcW w:w="2108" w:type="dxa"/>
          </w:tcPr>
          <w:p>
            <w:pPr>
              <w:pStyle w:val="TableParagraph"/>
              <w:spacing w:before="10"/>
              <w:ind w:left="1054"/>
              <w:rPr>
                <w:rFonts w:ascii="Times New Roman"/>
                <w:sz w:val="21"/>
              </w:rPr>
            </w:pPr>
            <w:r>
              <w:rPr>
                <w:rFonts w:ascii="Times New Roman"/>
                <w:sz w:val="21"/>
              </w:rPr>
              <w:t>10,900,000</w:t>
            </w:r>
          </w:p>
        </w:tc>
      </w:tr>
      <w:tr>
        <w:trPr>
          <w:trHeight w:val="544" w:hRule="atLeast"/>
        </w:trPr>
        <w:tc>
          <w:tcPr>
            <w:tcW w:w="3068" w:type="dxa"/>
          </w:tcPr>
          <w:p>
            <w:pPr>
              <w:pStyle w:val="TableParagraph"/>
              <w:spacing w:before="1"/>
              <w:ind w:left="318"/>
              <w:rPr>
                <w:sz w:val="21"/>
              </w:rPr>
            </w:pPr>
            <w:r>
              <w:rPr>
                <w:spacing w:val="-1"/>
                <w:sz w:val="21"/>
              </w:rPr>
              <w:t>购建固定资产、无形资产和</w:t>
            </w:r>
          </w:p>
          <w:p>
            <w:pPr>
              <w:pStyle w:val="TableParagraph"/>
              <w:spacing w:line="250" w:lineRule="exact" w:before="4"/>
              <w:ind w:left="107"/>
              <w:rPr>
                <w:sz w:val="21"/>
              </w:rPr>
            </w:pPr>
            <w:r>
              <w:rPr>
                <w:spacing w:val="-1"/>
                <w:sz w:val="21"/>
              </w:rPr>
              <w:t>其他长期资产支付的现金</w:t>
            </w:r>
            <w:r>
              <w:rPr>
                <w:sz w:val="21"/>
              </w:rPr>
              <w:t> </w:t>
            </w:r>
          </w:p>
        </w:tc>
        <w:tc>
          <w:tcPr>
            <w:tcW w:w="1529" w:type="dxa"/>
          </w:tcPr>
          <w:p>
            <w:pPr>
              <w:pStyle w:val="TableParagraph"/>
              <w:spacing w:before="1"/>
              <w:ind w:left="105"/>
              <w:rPr>
                <w:sz w:val="21"/>
              </w:rPr>
            </w:pPr>
            <w:r>
              <w:rPr>
                <w:w w:val="100"/>
                <w:sz w:val="21"/>
              </w:rPr>
              <w:t> </w:t>
            </w:r>
          </w:p>
        </w:tc>
        <w:tc>
          <w:tcPr>
            <w:tcW w:w="2119" w:type="dxa"/>
          </w:tcPr>
          <w:p>
            <w:pPr>
              <w:pStyle w:val="TableParagraph"/>
              <w:spacing w:before="144"/>
              <w:ind w:right="96"/>
              <w:jc w:val="right"/>
              <w:rPr>
                <w:rFonts w:ascii="Times New Roman"/>
                <w:sz w:val="21"/>
              </w:rPr>
            </w:pPr>
            <w:r>
              <w:rPr>
                <w:rFonts w:ascii="Times New Roman"/>
                <w:sz w:val="21"/>
              </w:rPr>
              <w:t>-11,394</w:t>
            </w:r>
          </w:p>
        </w:tc>
        <w:tc>
          <w:tcPr>
            <w:tcW w:w="2108" w:type="dxa"/>
          </w:tcPr>
          <w:p>
            <w:pPr>
              <w:pStyle w:val="TableParagraph"/>
              <w:spacing w:before="144"/>
              <w:ind w:left="1351"/>
              <w:rPr>
                <w:rFonts w:ascii="Times New Roman"/>
                <w:sz w:val="21"/>
              </w:rPr>
            </w:pPr>
            <w:r>
              <w:rPr>
                <w:rFonts w:ascii="Times New Roman"/>
                <w:sz w:val="21"/>
              </w:rPr>
              <w:t>-19,206</w:t>
            </w:r>
          </w:p>
        </w:tc>
      </w:tr>
      <w:tr>
        <w:trPr>
          <w:trHeight w:val="273" w:hRule="atLeast"/>
        </w:trPr>
        <w:tc>
          <w:tcPr>
            <w:tcW w:w="3068" w:type="dxa"/>
          </w:tcPr>
          <w:p>
            <w:pPr>
              <w:pStyle w:val="TableParagraph"/>
              <w:spacing w:line="252" w:lineRule="exact" w:before="1"/>
              <w:ind w:left="318"/>
              <w:rPr>
                <w:sz w:val="21"/>
              </w:rPr>
            </w:pPr>
            <w:r>
              <w:rPr>
                <w:spacing w:val="-1"/>
                <w:sz w:val="21"/>
              </w:rPr>
              <w:t>投资支付的现金</w:t>
            </w:r>
            <w:r>
              <w:rPr>
                <w:sz w:val="21"/>
              </w:rPr>
              <w:t> </w:t>
            </w:r>
          </w:p>
        </w:tc>
        <w:tc>
          <w:tcPr>
            <w:tcW w:w="1529" w:type="dxa"/>
          </w:tcPr>
          <w:p>
            <w:pPr>
              <w:pStyle w:val="TableParagraph"/>
              <w:spacing w:line="252" w:lineRule="exact" w:before="1"/>
              <w:ind w:left="105"/>
              <w:rPr>
                <w:sz w:val="21"/>
              </w:rPr>
            </w:pPr>
            <w:r>
              <w:rPr>
                <w:w w:val="100"/>
                <w:sz w:val="21"/>
              </w:rPr>
              <w:t> </w:t>
            </w:r>
          </w:p>
        </w:tc>
        <w:tc>
          <w:tcPr>
            <w:tcW w:w="2119" w:type="dxa"/>
          </w:tcPr>
          <w:p>
            <w:pPr>
              <w:pStyle w:val="TableParagraph"/>
              <w:spacing w:before="10"/>
              <w:ind w:right="93"/>
              <w:jc w:val="right"/>
              <w:rPr>
                <w:rFonts w:ascii="Times New Roman"/>
                <w:sz w:val="21"/>
              </w:rPr>
            </w:pPr>
            <w:r>
              <w:rPr>
                <w:rFonts w:ascii="Times New Roman"/>
                <w:sz w:val="21"/>
              </w:rPr>
              <w:t>-15,140,601</w:t>
            </w:r>
          </w:p>
        </w:tc>
        <w:tc>
          <w:tcPr>
            <w:tcW w:w="2108" w:type="dxa"/>
          </w:tcPr>
          <w:p>
            <w:pPr>
              <w:pStyle w:val="TableParagraph"/>
              <w:spacing w:before="10"/>
              <w:ind w:left="1090"/>
              <w:rPr>
                <w:rFonts w:ascii="Times New Roman"/>
                <w:sz w:val="21"/>
              </w:rPr>
            </w:pPr>
            <w:r>
              <w:rPr>
                <w:rFonts w:ascii="Times New Roman"/>
                <w:sz w:val="21"/>
              </w:rPr>
              <w:t>-8,002,000</w:t>
            </w:r>
          </w:p>
        </w:tc>
      </w:tr>
      <w:tr>
        <w:trPr>
          <w:trHeight w:val="544" w:hRule="atLeast"/>
        </w:trPr>
        <w:tc>
          <w:tcPr>
            <w:tcW w:w="3068" w:type="dxa"/>
          </w:tcPr>
          <w:p>
            <w:pPr>
              <w:pStyle w:val="TableParagraph"/>
              <w:spacing w:before="1"/>
              <w:ind w:left="318"/>
              <w:rPr>
                <w:sz w:val="21"/>
              </w:rPr>
            </w:pPr>
            <w:r>
              <w:rPr>
                <w:spacing w:val="-1"/>
                <w:sz w:val="21"/>
              </w:rPr>
              <w:t>取得子公司及其他营业单位</w:t>
            </w:r>
          </w:p>
          <w:p>
            <w:pPr>
              <w:pStyle w:val="TableParagraph"/>
              <w:spacing w:line="252" w:lineRule="exact" w:before="2"/>
              <w:ind w:left="107"/>
              <w:rPr>
                <w:sz w:val="21"/>
              </w:rPr>
            </w:pPr>
            <w:r>
              <w:rPr>
                <w:spacing w:val="-1"/>
                <w:sz w:val="21"/>
              </w:rPr>
              <w:t>支付的现金净额</w:t>
            </w:r>
            <w:r>
              <w:rPr>
                <w:sz w:val="21"/>
              </w:rPr>
              <w:t> </w:t>
            </w:r>
          </w:p>
        </w:tc>
        <w:tc>
          <w:tcPr>
            <w:tcW w:w="1529" w:type="dxa"/>
          </w:tcPr>
          <w:p>
            <w:pPr>
              <w:pStyle w:val="TableParagraph"/>
              <w:spacing w:before="1"/>
              <w:ind w:left="105"/>
              <w:rPr>
                <w:sz w:val="21"/>
              </w:rPr>
            </w:pPr>
            <w:r>
              <w:rPr>
                <w:w w:val="100"/>
                <w:sz w:val="21"/>
              </w:rPr>
              <w:t> </w:t>
            </w:r>
          </w:p>
        </w:tc>
        <w:tc>
          <w:tcPr>
            <w:tcW w:w="2119" w:type="dxa"/>
          </w:tcPr>
          <w:p>
            <w:pPr>
              <w:pStyle w:val="TableParagraph"/>
              <w:rPr>
                <w:rFonts w:ascii="Times New Roman"/>
                <w:sz w:val="20"/>
              </w:rPr>
            </w:pPr>
          </w:p>
        </w:tc>
        <w:tc>
          <w:tcPr>
            <w:tcW w:w="2108" w:type="dxa"/>
          </w:tcPr>
          <w:p>
            <w:pPr>
              <w:pStyle w:val="TableParagraph"/>
              <w:rPr>
                <w:rFonts w:ascii="Times New Roman"/>
                <w:sz w:val="20"/>
              </w:rPr>
            </w:pPr>
          </w:p>
        </w:tc>
      </w:tr>
      <w:tr>
        <w:trPr>
          <w:trHeight w:val="544" w:hRule="atLeast"/>
        </w:trPr>
        <w:tc>
          <w:tcPr>
            <w:tcW w:w="3068" w:type="dxa"/>
          </w:tcPr>
          <w:p>
            <w:pPr>
              <w:pStyle w:val="TableParagraph"/>
              <w:spacing w:before="1"/>
              <w:ind w:left="318"/>
              <w:rPr>
                <w:sz w:val="21"/>
              </w:rPr>
            </w:pPr>
            <w:r>
              <w:rPr>
                <w:spacing w:val="-1"/>
                <w:sz w:val="21"/>
              </w:rPr>
              <w:t>支付其他与投资活动有关的</w:t>
            </w:r>
          </w:p>
          <w:p>
            <w:pPr>
              <w:pStyle w:val="TableParagraph"/>
              <w:spacing w:line="252" w:lineRule="exact" w:before="2"/>
              <w:ind w:left="107"/>
              <w:rPr>
                <w:sz w:val="21"/>
              </w:rPr>
            </w:pPr>
            <w:r>
              <w:rPr>
                <w:sz w:val="21"/>
              </w:rPr>
              <w:t>现金 </w:t>
            </w:r>
          </w:p>
        </w:tc>
        <w:tc>
          <w:tcPr>
            <w:tcW w:w="1529" w:type="dxa"/>
          </w:tcPr>
          <w:p>
            <w:pPr>
              <w:pStyle w:val="TableParagraph"/>
              <w:spacing w:before="1"/>
              <w:ind w:left="105"/>
              <w:rPr>
                <w:sz w:val="21"/>
              </w:rPr>
            </w:pPr>
            <w:r>
              <w:rPr>
                <w:w w:val="100"/>
                <w:sz w:val="21"/>
              </w:rPr>
              <w:t> </w:t>
            </w:r>
          </w:p>
        </w:tc>
        <w:tc>
          <w:tcPr>
            <w:tcW w:w="2119" w:type="dxa"/>
          </w:tcPr>
          <w:p>
            <w:pPr>
              <w:pStyle w:val="TableParagraph"/>
              <w:spacing w:before="126"/>
              <w:ind w:right="95"/>
              <w:jc w:val="right"/>
              <w:rPr>
                <w:rFonts w:ascii="Times New Roman"/>
                <w:sz w:val="24"/>
              </w:rPr>
            </w:pPr>
            <w:r>
              <w:rPr>
                <w:rFonts w:ascii="Times New Roman"/>
                <w:w w:val="99"/>
                <w:sz w:val="24"/>
              </w:rPr>
              <w:t>-</w:t>
            </w:r>
          </w:p>
        </w:tc>
        <w:tc>
          <w:tcPr>
            <w:tcW w:w="2108" w:type="dxa"/>
          </w:tcPr>
          <w:p>
            <w:pPr>
              <w:pStyle w:val="TableParagraph"/>
              <w:spacing w:before="144"/>
              <w:ind w:left="1090"/>
              <w:rPr>
                <w:rFonts w:ascii="Times New Roman"/>
                <w:sz w:val="21"/>
              </w:rPr>
            </w:pPr>
            <w:r>
              <w:rPr>
                <w:rFonts w:ascii="Times New Roman"/>
                <w:sz w:val="21"/>
              </w:rPr>
              <w:t>-1,050,000</w:t>
            </w:r>
          </w:p>
        </w:tc>
      </w:tr>
      <w:tr>
        <w:trPr>
          <w:trHeight w:val="273" w:hRule="atLeast"/>
        </w:trPr>
        <w:tc>
          <w:tcPr>
            <w:tcW w:w="3068" w:type="dxa"/>
          </w:tcPr>
          <w:p>
            <w:pPr>
              <w:pStyle w:val="TableParagraph"/>
              <w:spacing w:line="252" w:lineRule="exact" w:before="1"/>
              <w:ind w:right="322"/>
              <w:jc w:val="right"/>
              <w:rPr>
                <w:sz w:val="21"/>
              </w:rPr>
            </w:pPr>
            <w:r>
              <w:rPr>
                <w:spacing w:val="-1"/>
                <w:sz w:val="21"/>
              </w:rPr>
              <w:t>投资活动现金流出小计</w:t>
            </w:r>
            <w:r>
              <w:rPr>
                <w:sz w:val="21"/>
              </w:rPr>
              <w:t> </w:t>
            </w:r>
          </w:p>
        </w:tc>
        <w:tc>
          <w:tcPr>
            <w:tcW w:w="1529" w:type="dxa"/>
          </w:tcPr>
          <w:p>
            <w:pPr>
              <w:pStyle w:val="TableParagraph"/>
              <w:spacing w:line="252" w:lineRule="exact" w:before="1"/>
              <w:ind w:left="105"/>
              <w:rPr>
                <w:sz w:val="21"/>
              </w:rPr>
            </w:pPr>
            <w:r>
              <w:rPr>
                <w:w w:val="100"/>
                <w:sz w:val="21"/>
              </w:rPr>
              <w:t> </w:t>
            </w:r>
          </w:p>
        </w:tc>
        <w:tc>
          <w:tcPr>
            <w:tcW w:w="2119" w:type="dxa"/>
          </w:tcPr>
          <w:p>
            <w:pPr>
              <w:pStyle w:val="TableParagraph"/>
              <w:spacing w:before="10"/>
              <w:ind w:right="93"/>
              <w:jc w:val="right"/>
              <w:rPr>
                <w:rFonts w:ascii="Times New Roman"/>
                <w:sz w:val="21"/>
              </w:rPr>
            </w:pPr>
            <w:r>
              <w:rPr>
                <w:rFonts w:ascii="Times New Roman"/>
                <w:sz w:val="21"/>
              </w:rPr>
              <w:t>-15,151,995</w:t>
            </w:r>
          </w:p>
        </w:tc>
        <w:tc>
          <w:tcPr>
            <w:tcW w:w="2108" w:type="dxa"/>
          </w:tcPr>
          <w:p>
            <w:pPr>
              <w:pStyle w:val="TableParagraph"/>
              <w:spacing w:before="10"/>
              <w:ind w:left="1090"/>
              <w:rPr>
                <w:rFonts w:ascii="Times New Roman"/>
                <w:sz w:val="21"/>
              </w:rPr>
            </w:pPr>
            <w:r>
              <w:rPr>
                <w:rFonts w:ascii="Times New Roman"/>
                <w:sz w:val="21"/>
              </w:rPr>
              <w:t>-9,071,206</w:t>
            </w:r>
          </w:p>
        </w:tc>
      </w:tr>
      <w:tr>
        <w:trPr>
          <w:trHeight w:val="544" w:hRule="atLeast"/>
        </w:trPr>
        <w:tc>
          <w:tcPr>
            <w:tcW w:w="3068" w:type="dxa"/>
          </w:tcPr>
          <w:p>
            <w:pPr>
              <w:pStyle w:val="TableParagraph"/>
              <w:spacing w:before="1"/>
              <w:ind w:left="738"/>
              <w:rPr>
                <w:sz w:val="21"/>
              </w:rPr>
            </w:pPr>
            <w:r>
              <w:rPr>
                <w:sz w:val="21"/>
              </w:rPr>
              <w:t>投资活动产生的现金流</w:t>
            </w:r>
          </w:p>
          <w:p>
            <w:pPr>
              <w:pStyle w:val="TableParagraph"/>
              <w:spacing w:line="252" w:lineRule="exact" w:before="2"/>
              <w:ind w:left="107"/>
              <w:rPr>
                <w:sz w:val="21"/>
              </w:rPr>
            </w:pPr>
            <w:r>
              <w:rPr>
                <w:sz w:val="21"/>
              </w:rPr>
              <w:t>量净额 </w:t>
            </w:r>
          </w:p>
        </w:tc>
        <w:tc>
          <w:tcPr>
            <w:tcW w:w="1529" w:type="dxa"/>
          </w:tcPr>
          <w:p>
            <w:pPr>
              <w:pStyle w:val="TableParagraph"/>
              <w:spacing w:before="1"/>
              <w:ind w:left="105"/>
              <w:rPr>
                <w:sz w:val="21"/>
              </w:rPr>
            </w:pPr>
            <w:r>
              <w:rPr>
                <w:w w:val="100"/>
                <w:sz w:val="21"/>
              </w:rPr>
              <w:t> </w:t>
            </w:r>
          </w:p>
        </w:tc>
        <w:tc>
          <w:tcPr>
            <w:tcW w:w="2119" w:type="dxa"/>
          </w:tcPr>
          <w:p>
            <w:pPr>
              <w:pStyle w:val="TableParagraph"/>
              <w:spacing w:before="144"/>
              <w:ind w:right="93"/>
              <w:jc w:val="right"/>
              <w:rPr>
                <w:rFonts w:ascii="Times New Roman"/>
                <w:sz w:val="21"/>
              </w:rPr>
            </w:pPr>
            <w:r>
              <w:rPr>
                <w:rFonts w:ascii="Times New Roman"/>
                <w:sz w:val="21"/>
              </w:rPr>
              <w:t>2,998,005</w:t>
            </w:r>
          </w:p>
        </w:tc>
        <w:tc>
          <w:tcPr>
            <w:tcW w:w="2108" w:type="dxa"/>
          </w:tcPr>
          <w:p>
            <w:pPr>
              <w:pStyle w:val="TableParagraph"/>
              <w:spacing w:before="144"/>
              <w:ind w:left="1159"/>
              <w:rPr>
                <w:rFonts w:ascii="Times New Roman"/>
                <w:sz w:val="21"/>
              </w:rPr>
            </w:pPr>
            <w:r>
              <w:rPr>
                <w:rFonts w:ascii="Times New Roman"/>
                <w:sz w:val="21"/>
              </w:rPr>
              <w:t>1,828,794</w:t>
            </w:r>
          </w:p>
        </w:tc>
      </w:tr>
      <w:tr>
        <w:trPr>
          <w:trHeight w:val="270" w:hRule="atLeast"/>
        </w:trPr>
        <w:tc>
          <w:tcPr>
            <w:tcW w:w="8824" w:type="dxa"/>
            <w:gridSpan w:val="4"/>
          </w:tcPr>
          <w:p>
            <w:pPr>
              <w:pStyle w:val="TableParagraph"/>
              <w:spacing w:line="250" w:lineRule="exact" w:before="1"/>
              <w:ind w:left="107"/>
              <w:rPr>
                <w:sz w:val="21"/>
              </w:rPr>
            </w:pPr>
            <w:r>
              <w:rPr>
                <w:sz w:val="21"/>
              </w:rPr>
              <w:t>三、筹资活动产生的现金流量：</w:t>
            </w:r>
            <w:r>
              <w:rPr>
                <w:color w:val="008000"/>
                <w:sz w:val="21"/>
              </w:rPr>
              <w:t> </w:t>
            </w:r>
          </w:p>
        </w:tc>
      </w:tr>
      <w:tr>
        <w:trPr>
          <w:trHeight w:val="273" w:hRule="atLeast"/>
        </w:trPr>
        <w:tc>
          <w:tcPr>
            <w:tcW w:w="3068" w:type="dxa"/>
          </w:tcPr>
          <w:p>
            <w:pPr>
              <w:pStyle w:val="TableParagraph"/>
              <w:spacing w:line="250" w:lineRule="exact" w:before="4"/>
              <w:ind w:left="318"/>
              <w:rPr>
                <w:sz w:val="21"/>
              </w:rPr>
            </w:pPr>
            <w:r>
              <w:rPr>
                <w:spacing w:val="-1"/>
                <w:sz w:val="21"/>
              </w:rPr>
              <w:t>吸收投资收到的现金</w:t>
            </w:r>
            <w:r>
              <w:rPr>
                <w:sz w:val="21"/>
              </w:rPr>
              <w:t> </w:t>
            </w:r>
          </w:p>
        </w:tc>
        <w:tc>
          <w:tcPr>
            <w:tcW w:w="1529" w:type="dxa"/>
          </w:tcPr>
          <w:p>
            <w:pPr>
              <w:pStyle w:val="TableParagraph"/>
              <w:spacing w:line="250" w:lineRule="exact" w:before="4"/>
              <w:ind w:left="105"/>
              <w:rPr>
                <w:sz w:val="21"/>
              </w:rPr>
            </w:pPr>
            <w:r>
              <w:rPr>
                <w:w w:val="100"/>
                <w:sz w:val="21"/>
              </w:rPr>
              <w:t> </w:t>
            </w:r>
          </w:p>
        </w:tc>
        <w:tc>
          <w:tcPr>
            <w:tcW w:w="2119" w:type="dxa"/>
          </w:tcPr>
          <w:p>
            <w:pPr>
              <w:pStyle w:val="TableParagraph"/>
              <w:spacing w:before="10"/>
              <w:ind w:right="93"/>
              <w:jc w:val="right"/>
              <w:rPr>
                <w:rFonts w:ascii="Times New Roman"/>
                <w:sz w:val="21"/>
              </w:rPr>
            </w:pPr>
            <w:r>
              <w:rPr>
                <w:rFonts w:ascii="Times New Roman"/>
                <w:sz w:val="21"/>
              </w:rPr>
              <w:t>386</w:t>
            </w:r>
          </w:p>
        </w:tc>
        <w:tc>
          <w:tcPr>
            <w:tcW w:w="2108" w:type="dxa"/>
          </w:tcPr>
          <w:p>
            <w:pPr>
              <w:pStyle w:val="TableParagraph"/>
              <w:spacing w:before="10"/>
              <w:ind w:right="93"/>
              <w:jc w:val="right"/>
              <w:rPr>
                <w:rFonts w:ascii="Times New Roman"/>
                <w:sz w:val="21"/>
              </w:rPr>
            </w:pPr>
            <w:r>
              <w:rPr>
                <w:rFonts w:ascii="Times New Roman"/>
                <w:sz w:val="21"/>
              </w:rPr>
              <w:t>27,413</w:t>
            </w:r>
          </w:p>
        </w:tc>
      </w:tr>
      <w:tr>
        <w:trPr>
          <w:trHeight w:val="273" w:hRule="atLeast"/>
        </w:trPr>
        <w:tc>
          <w:tcPr>
            <w:tcW w:w="3068" w:type="dxa"/>
          </w:tcPr>
          <w:p>
            <w:pPr>
              <w:pStyle w:val="TableParagraph"/>
              <w:spacing w:line="252" w:lineRule="exact" w:before="1"/>
              <w:ind w:left="318"/>
              <w:rPr>
                <w:sz w:val="21"/>
              </w:rPr>
            </w:pPr>
            <w:r>
              <w:rPr>
                <w:spacing w:val="-1"/>
                <w:sz w:val="21"/>
              </w:rPr>
              <w:t>取得借款收到的现金</w:t>
            </w:r>
            <w:r>
              <w:rPr>
                <w:sz w:val="21"/>
              </w:rPr>
              <w:t> </w:t>
            </w:r>
          </w:p>
        </w:tc>
        <w:tc>
          <w:tcPr>
            <w:tcW w:w="1529" w:type="dxa"/>
          </w:tcPr>
          <w:p>
            <w:pPr>
              <w:pStyle w:val="TableParagraph"/>
              <w:spacing w:line="252" w:lineRule="exact" w:before="1"/>
              <w:ind w:left="105"/>
              <w:rPr>
                <w:sz w:val="21"/>
              </w:rPr>
            </w:pPr>
            <w:r>
              <w:rPr>
                <w:w w:val="100"/>
                <w:sz w:val="21"/>
              </w:rPr>
              <w:t> </w:t>
            </w:r>
          </w:p>
        </w:tc>
        <w:tc>
          <w:tcPr>
            <w:tcW w:w="2119" w:type="dxa"/>
          </w:tcPr>
          <w:p>
            <w:pPr>
              <w:pStyle w:val="TableParagraph"/>
              <w:spacing w:before="10"/>
              <w:ind w:right="93"/>
              <w:jc w:val="right"/>
              <w:rPr>
                <w:rFonts w:ascii="Times New Roman"/>
                <w:sz w:val="21"/>
              </w:rPr>
            </w:pPr>
            <w:r>
              <w:rPr>
                <w:rFonts w:ascii="Times New Roman"/>
                <w:sz w:val="21"/>
              </w:rPr>
              <w:t>6,000,000</w:t>
            </w:r>
          </w:p>
        </w:tc>
        <w:tc>
          <w:tcPr>
            <w:tcW w:w="2108" w:type="dxa"/>
          </w:tcPr>
          <w:p>
            <w:pPr>
              <w:pStyle w:val="TableParagraph"/>
              <w:spacing w:before="10"/>
              <w:ind w:right="95"/>
              <w:jc w:val="right"/>
              <w:rPr>
                <w:rFonts w:ascii="Times New Roman"/>
                <w:sz w:val="21"/>
              </w:rPr>
            </w:pPr>
            <w:r>
              <w:rPr>
                <w:rFonts w:ascii="Times New Roman"/>
                <w:w w:val="100"/>
                <w:sz w:val="21"/>
              </w:rPr>
              <w:t>-</w:t>
            </w:r>
          </w:p>
        </w:tc>
      </w:tr>
      <w:tr>
        <w:trPr>
          <w:trHeight w:val="544" w:hRule="atLeast"/>
        </w:trPr>
        <w:tc>
          <w:tcPr>
            <w:tcW w:w="3068" w:type="dxa"/>
          </w:tcPr>
          <w:p>
            <w:pPr>
              <w:pStyle w:val="TableParagraph"/>
              <w:spacing w:before="1"/>
              <w:ind w:left="318"/>
              <w:rPr>
                <w:sz w:val="21"/>
              </w:rPr>
            </w:pPr>
            <w:r>
              <w:rPr>
                <w:spacing w:val="-1"/>
                <w:sz w:val="21"/>
              </w:rPr>
              <w:t>收到其他与筹资活动有关的</w:t>
            </w:r>
          </w:p>
          <w:p>
            <w:pPr>
              <w:pStyle w:val="TableParagraph"/>
              <w:spacing w:line="252" w:lineRule="exact" w:before="2"/>
              <w:ind w:left="107"/>
              <w:rPr>
                <w:sz w:val="21"/>
              </w:rPr>
            </w:pPr>
            <w:r>
              <w:rPr>
                <w:sz w:val="21"/>
              </w:rPr>
              <w:t>现金 </w:t>
            </w:r>
          </w:p>
        </w:tc>
        <w:tc>
          <w:tcPr>
            <w:tcW w:w="1529" w:type="dxa"/>
          </w:tcPr>
          <w:p>
            <w:pPr>
              <w:pStyle w:val="TableParagraph"/>
              <w:spacing w:before="1"/>
              <w:ind w:left="105"/>
              <w:rPr>
                <w:sz w:val="21"/>
              </w:rPr>
            </w:pPr>
            <w:r>
              <w:rPr>
                <w:w w:val="100"/>
                <w:sz w:val="21"/>
              </w:rPr>
              <w:t> </w:t>
            </w:r>
          </w:p>
        </w:tc>
        <w:tc>
          <w:tcPr>
            <w:tcW w:w="2119" w:type="dxa"/>
          </w:tcPr>
          <w:p>
            <w:pPr>
              <w:pStyle w:val="TableParagraph"/>
              <w:spacing w:before="144"/>
              <w:ind w:right="93"/>
              <w:jc w:val="right"/>
              <w:rPr>
                <w:rFonts w:ascii="Times New Roman"/>
                <w:sz w:val="21"/>
              </w:rPr>
            </w:pPr>
            <w:r>
              <w:rPr>
                <w:rFonts w:ascii="Times New Roman"/>
                <w:sz w:val="21"/>
              </w:rPr>
              <w:t>837,281</w:t>
            </w:r>
          </w:p>
        </w:tc>
        <w:tc>
          <w:tcPr>
            <w:tcW w:w="2108" w:type="dxa"/>
          </w:tcPr>
          <w:p>
            <w:pPr>
              <w:pStyle w:val="TableParagraph"/>
              <w:spacing w:before="144"/>
              <w:ind w:right="95"/>
              <w:jc w:val="right"/>
              <w:rPr>
                <w:rFonts w:ascii="Times New Roman"/>
                <w:sz w:val="21"/>
              </w:rPr>
            </w:pPr>
            <w:r>
              <w:rPr>
                <w:rFonts w:ascii="Times New Roman"/>
                <w:w w:val="100"/>
                <w:sz w:val="21"/>
              </w:rPr>
              <w:t>-</w:t>
            </w:r>
          </w:p>
        </w:tc>
      </w:tr>
      <w:tr>
        <w:trPr>
          <w:trHeight w:val="270" w:hRule="atLeast"/>
        </w:trPr>
        <w:tc>
          <w:tcPr>
            <w:tcW w:w="3068" w:type="dxa"/>
          </w:tcPr>
          <w:p>
            <w:pPr>
              <w:pStyle w:val="TableParagraph"/>
              <w:spacing w:line="250" w:lineRule="exact" w:before="1"/>
              <w:ind w:right="322"/>
              <w:jc w:val="right"/>
              <w:rPr>
                <w:sz w:val="21"/>
              </w:rPr>
            </w:pPr>
            <w:r>
              <w:rPr>
                <w:spacing w:val="-1"/>
                <w:sz w:val="21"/>
              </w:rPr>
              <w:t>筹资活动现金流入小计</w:t>
            </w:r>
            <w:r>
              <w:rPr>
                <w:sz w:val="21"/>
              </w:rPr>
              <w:t> </w:t>
            </w:r>
          </w:p>
        </w:tc>
        <w:tc>
          <w:tcPr>
            <w:tcW w:w="1529" w:type="dxa"/>
          </w:tcPr>
          <w:p>
            <w:pPr>
              <w:pStyle w:val="TableParagraph"/>
              <w:spacing w:line="250" w:lineRule="exact" w:before="1"/>
              <w:ind w:left="105"/>
              <w:rPr>
                <w:sz w:val="21"/>
              </w:rPr>
            </w:pPr>
            <w:r>
              <w:rPr>
                <w:w w:val="100"/>
                <w:sz w:val="21"/>
              </w:rPr>
              <w:t> </w:t>
            </w:r>
          </w:p>
        </w:tc>
        <w:tc>
          <w:tcPr>
            <w:tcW w:w="2119" w:type="dxa"/>
          </w:tcPr>
          <w:p>
            <w:pPr>
              <w:pStyle w:val="TableParagraph"/>
              <w:spacing w:before="7"/>
              <w:ind w:right="93"/>
              <w:jc w:val="right"/>
              <w:rPr>
                <w:rFonts w:ascii="Times New Roman"/>
                <w:sz w:val="21"/>
              </w:rPr>
            </w:pPr>
            <w:r>
              <w:rPr>
                <w:rFonts w:ascii="Times New Roman"/>
                <w:sz w:val="21"/>
              </w:rPr>
              <w:t>6,837,667</w:t>
            </w:r>
          </w:p>
        </w:tc>
        <w:tc>
          <w:tcPr>
            <w:tcW w:w="2108" w:type="dxa"/>
          </w:tcPr>
          <w:p>
            <w:pPr>
              <w:pStyle w:val="TableParagraph"/>
              <w:spacing w:before="7"/>
              <w:ind w:right="93"/>
              <w:jc w:val="right"/>
              <w:rPr>
                <w:rFonts w:ascii="Times New Roman"/>
                <w:sz w:val="21"/>
              </w:rPr>
            </w:pPr>
            <w:r>
              <w:rPr>
                <w:rFonts w:ascii="Times New Roman"/>
                <w:sz w:val="21"/>
              </w:rPr>
              <w:t>27,413</w:t>
            </w:r>
          </w:p>
        </w:tc>
      </w:tr>
      <w:tr>
        <w:trPr>
          <w:trHeight w:val="273" w:hRule="atLeast"/>
        </w:trPr>
        <w:tc>
          <w:tcPr>
            <w:tcW w:w="3068" w:type="dxa"/>
          </w:tcPr>
          <w:p>
            <w:pPr>
              <w:pStyle w:val="TableParagraph"/>
              <w:spacing w:line="250" w:lineRule="exact" w:before="3"/>
              <w:ind w:left="318"/>
              <w:rPr>
                <w:sz w:val="21"/>
              </w:rPr>
            </w:pPr>
            <w:r>
              <w:rPr>
                <w:spacing w:val="-1"/>
                <w:sz w:val="21"/>
              </w:rPr>
              <w:t>偿还债务支付的现金</w:t>
            </w:r>
            <w:r>
              <w:rPr>
                <w:sz w:val="21"/>
              </w:rPr>
              <w:t> </w:t>
            </w:r>
          </w:p>
        </w:tc>
        <w:tc>
          <w:tcPr>
            <w:tcW w:w="1529" w:type="dxa"/>
          </w:tcPr>
          <w:p>
            <w:pPr>
              <w:pStyle w:val="TableParagraph"/>
              <w:spacing w:line="250" w:lineRule="exact" w:before="3"/>
              <w:ind w:left="105"/>
              <w:rPr>
                <w:sz w:val="21"/>
              </w:rPr>
            </w:pPr>
            <w:r>
              <w:rPr>
                <w:w w:val="100"/>
                <w:sz w:val="21"/>
              </w:rPr>
              <w:t> </w:t>
            </w:r>
          </w:p>
        </w:tc>
        <w:tc>
          <w:tcPr>
            <w:tcW w:w="2119" w:type="dxa"/>
          </w:tcPr>
          <w:p>
            <w:pPr>
              <w:pStyle w:val="TableParagraph"/>
              <w:spacing w:before="10"/>
              <w:ind w:right="93"/>
              <w:jc w:val="right"/>
              <w:rPr>
                <w:rFonts w:ascii="Times New Roman"/>
                <w:sz w:val="21"/>
              </w:rPr>
            </w:pPr>
            <w:r>
              <w:rPr>
                <w:rFonts w:ascii="Times New Roman"/>
                <w:sz w:val="21"/>
              </w:rPr>
              <w:t>-6,000,000</w:t>
            </w:r>
          </w:p>
        </w:tc>
        <w:tc>
          <w:tcPr>
            <w:tcW w:w="2108" w:type="dxa"/>
          </w:tcPr>
          <w:p>
            <w:pPr>
              <w:pStyle w:val="TableParagraph"/>
              <w:spacing w:before="10"/>
              <w:ind w:right="96"/>
              <w:jc w:val="right"/>
              <w:rPr>
                <w:rFonts w:ascii="Times New Roman"/>
                <w:sz w:val="21"/>
              </w:rPr>
            </w:pPr>
            <w:r>
              <w:rPr>
                <w:rFonts w:ascii="Times New Roman"/>
                <w:w w:val="100"/>
                <w:sz w:val="21"/>
              </w:rPr>
              <w:t>0</w:t>
            </w:r>
          </w:p>
        </w:tc>
      </w:tr>
      <w:tr>
        <w:trPr>
          <w:trHeight w:val="544" w:hRule="atLeast"/>
        </w:trPr>
        <w:tc>
          <w:tcPr>
            <w:tcW w:w="3068" w:type="dxa"/>
          </w:tcPr>
          <w:p>
            <w:pPr>
              <w:pStyle w:val="TableParagraph"/>
              <w:spacing w:before="1"/>
              <w:ind w:left="318"/>
              <w:rPr>
                <w:sz w:val="21"/>
              </w:rPr>
            </w:pPr>
            <w:r>
              <w:rPr>
                <w:spacing w:val="-1"/>
                <w:sz w:val="21"/>
              </w:rPr>
              <w:t>分配股利、利润或偿付利息</w:t>
            </w:r>
          </w:p>
          <w:p>
            <w:pPr>
              <w:pStyle w:val="TableParagraph"/>
              <w:spacing w:line="250" w:lineRule="exact" w:before="4"/>
              <w:ind w:left="107"/>
              <w:rPr>
                <w:sz w:val="21"/>
              </w:rPr>
            </w:pPr>
            <w:r>
              <w:rPr>
                <w:sz w:val="21"/>
              </w:rPr>
              <w:t>支付的现金 </w:t>
            </w:r>
          </w:p>
        </w:tc>
        <w:tc>
          <w:tcPr>
            <w:tcW w:w="1529" w:type="dxa"/>
          </w:tcPr>
          <w:p>
            <w:pPr>
              <w:pStyle w:val="TableParagraph"/>
              <w:spacing w:before="1"/>
              <w:ind w:left="105"/>
              <w:rPr>
                <w:sz w:val="21"/>
              </w:rPr>
            </w:pPr>
            <w:r>
              <w:rPr>
                <w:w w:val="100"/>
                <w:sz w:val="21"/>
              </w:rPr>
              <w:t> </w:t>
            </w:r>
          </w:p>
        </w:tc>
        <w:tc>
          <w:tcPr>
            <w:tcW w:w="2119" w:type="dxa"/>
          </w:tcPr>
          <w:p>
            <w:pPr>
              <w:pStyle w:val="TableParagraph"/>
              <w:spacing w:before="144"/>
              <w:ind w:right="93"/>
              <w:jc w:val="right"/>
              <w:rPr>
                <w:rFonts w:ascii="Times New Roman"/>
                <w:sz w:val="21"/>
              </w:rPr>
            </w:pPr>
            <w:r>
              <w:rPr>
                <w:rFonts w:ascii="Times New Roman"/>
                <w:sz w:val="21"/>
              </w:rPr>
              <w:t>-9,941,783</w:t>
            </w:r>
          </w:p>
        </w:tc>
        <w:tc>
          <w:tcPr>
            <w:tcW w:w="2108" w:type="dxa"/>
          </w:tcPr>
          <w:p>
            <w:pPr>
              <w:pStyle w:val="TableParagraph"/>
              <w:spacing w:before="144"/>
              <w:ind w:left="1090"/>
              <w:rPr>
                <w:rFonts w:ascii="Times New Roman"/>
                <w:sz w:val="21"/>
              </w:rPr>
            </w:pPr>
            <w:r>
              <w:rPr>
                <w:rFonts w:ascii="Times New Roman"/>
                <w:sz w:val="21"/>
              </w:rPr>
              <w:t>-5,010,915</w:t>
            </w:r>
          </w:p>
        </w:tc>
      </w:tr>
      <w:tr>
        <w:trPr>
          <w:trHeight w:val="544" w:hRule="atLeast"/>
        </w:trPr>
        <w:tc>
          <w:tcPr>
            <w:tcW w:w="3068" w:type="dxa"/>
          </w:tcPr>
          <w:p>
            <w:pPr>
              <w:pStyle w:val="TableParagraph"/>
              <w:spacing w:before="1"/>
              <w:ind w:left="318"/>
              <w:rPr>
                <w:sz w:val="21"/>
              </w:rPr>
            </w:pPr>
            <w:r>
              <w:rPr>
                <w:spacing w:val="-1"/>
                <w:sz w:val="21"/>
              </w:rPr>
              <w:t>支付其他与筹资活动有关的</w:t>
            </w:r>
          </w:p>
          <w:p>
            <w:pPr>
              <w:pStyle w:val="TableParagraph"/>
              <w:spacing w:line="250" w:lineRule="exact" w:before="4"/>
              <w:ind w:left="107"/>
              <w:rPr>
                <w:sz w:val="21"/>
              </w:rPr>
            </w:pPr>
            <w:r>
              <w:rPr>
                <w:sz w:val="21"/>
              </w:rPr>
              <w:t>现金 </w:t>
            </w:r>
          </w:p>
        </w:tc>
        <w:tc>
          <w:tcPr>
            <w:tcW w:w="1529" w:type="dxa"/>
          </w:tcPr>
          <w:p>
            <w:pPr>
              <w:pStyle w:val="TableParagraph"/>
              <w:spacing w:before="1"/>
              <w:ind w:left="105"/>
              <w:rPr>
                <w:sz w:val="21"/>
              </w:rPr>
            </w:pPr>
            <w:r>
              <w:rPr>
                <w:w w:val="100"/>
                <w:sz w:val="21"/>
              </w:rPr>
              <w:t> </w:t>
            </w:r>
          </w:p>
        </w:tc>
        <w:tc>
          <w:tcPr>
            <w:tcW w:w="2119" w:type="dxa"/>
          </w:tcPr>
          <w:p>
            <w:pPr>
              <w:pStyle w:val="TableParagraph"/>
              <w:spacing w:before="144"/>
              <w:ind w:right="93"/>
              <w:jc w:val="right"/>
              <w:rPr>
                <w:rFonts w:ascii="Times New Roman"/>
                <w:sz w:val="21"/>
              </w:rPr>
            </w:pPr>
            <w:r>
              <w:rPr>
                <w:rFonts w:ascii="Times New Roman"/>
                <w:sz w:val="21"/>
              </w:rPr>
              <w:t>-1,590,948</w:t>
            </w:r>
          </w:p>
        </w:tc>
        <w:tc>
          <w:tcPr>
            <w:tcW w:w="2108" w:type="dxa"/>
          </w:tcPr>
          <w:p>
            <w:pPr>
              <w:pStyle w:val="TableParagraph"/>
              <w:spacing w:before="144"/>
              <w:ind w:left="1246"/>
              <w:rPr>
                <w:rFonts w:ascii="Times New Roman"/>
                <w:sz w:val="21"/>
              </w:rPr>
            </w:pPr>
            <w:r>
              <w:rPr>
                <w:rFonts w:ascii="Times New Roman"/>
                <w:sz w:val="21"/>
              </w:rPr>
              <w:t>-914,501</w:t>
            </w:r>
          </w:p>
        </w:tc>
      </w:tr>
    </w:tbl>
    <w:p>
      <w:pPr>
        <w:spacing w:after="0"/>
        <w:rPr>
          <w:rFonts w:ascii="Times New Roman"/>
          <w:sz w:val="21"/>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8"/>
        <w:gridCol w:w="1529"/>
        <w:gridCol w:w="2119"/>
        <w:gridCol w:w="2108"/>
      </w:tblGrid>
      <w:tr>
        <w:trPr>
          <w:trHeight w:val="273" w:hRule="atLeast"/>
        </w:trPr>
        <w:tc>
          <w:tcPr>
            <w:tcW w:w="3068" w:type="dxa"/>
          </w:tcPr>
          <w:p>
            <w:pPr>
              <w:pStyle w:val="TableParagraph"/>
              <w:spacing w:line="250" w:lineRule="exact" w:before="3"/>
              <w:ind w:left="527"/>
              <w:rPr>
                <w:sz w:val="21"/>
              </w:rPr>
            </w:pPr>
            <w:r>
              <w:rPr>
                <w:spacing w:val="-1"/>
                <w:sz w:val="21"/>
              </w:rPr>
              <w:t>筹资活动现金流出小计</w:t>
            </w:r>
            <w:r>
              <w:rPr>
                <w:sz w:val="21"/>
              </w:rPr>
              <w:t> </w:t>
            </w:r>
          </w:p>
        </w:tc>
        <w:tc>
          <w:tcPr>
            <w:tcW w:w="1529" w:type="dxa"/>
          </w:tcPr>
          <w:p>
            <w:pPr>
              <w:pStyle w:val="TableParagraph"/>
              <w:spacing w:line="250" w:lineRule="exact" w:before="3"/>
              <w:ind w:left="105"/>
              <w:rPr>
                <w:sz w:val="21"/>
              </w:rPr>
            </w:pPr>
            <w:r>
              <w:rPr>
                <w:w w:val="100"/>
                <w:sz w:val="21"/>
              </w:rPr>
              <w:t> </w:t>
            </w:r>
          </w:p>
        </w:tc>
        <w:tc>
          <w:tcPr>
            <w:tcW w:w="2119" w:type="dxa"/>
          </w:tcPr>
          <w:p>
            <w:pPr>
              <w:pStyle w:val="TableParagraph"/>
              <w:spacing w:before="10"/>
              <w:ind w:right="93"/>
              <w:jc w:val="right"/>
              <w:rPr>
                <w:rFonts w:ascii="Times New Roman"/>
                <w:sz w:val="21"/>
              </w:rPr>
            </w:pPr>
            <w:r>
              <w:rPr>
                <w:rFonts w:ascii="Times New Roman"/>
                <w:sz w:val="21"/>
              </w:rPr>
              <w:t>-17,532,731</w:t>
            </w:r>
          </w:p>
        </w:tc>
        <w:tc>
          <w:tcPr>
            <w:tcW w:w="2108" w:type="dxa"/>
          </w:tcPr>
          <w:p>
            <w:pPr>
              <w:pStyle w:val="TableParagraph"/>
              <w:spacing w:before="10"/>
              <w:ind w:right="93"/>
              <w:jc w:val="right"/>
              <w:rPr>
                <w:rFonts w:ascii="Times New Roman"/>
                <w:sz w:val="21"/>
              </w:rPr>
            </w:pPr>
            <w:r>
              <w:rPr>
                <w:rFonts w:ascii="Times New Roman"/>
                <w:sz w:val="21"/>
              </w:rPr>
              <w:t>-5,925,416</w:t>
            </w:r>
          </w:p>
        </w:tc>
      </w:tr>
      <w:tr>
        <w:trPr>
          <w:trHeight w:val="544" w:hRule="atLeast"/>
        </w:trPr>
        <w:tc>
          <w:tcPr>
            <w:tcW w:w="3068" w:type="dxa"/>
          </w:tcPr>
          <w:p>
            <w:pPr>
              <w:pStyle w:val="TableParagraph"/>
              <w:spacing w:before="1"/>
              <w:ind w:left="738"/>
              <w:rPr>
                <w:sz w:val="21"/>
              </w:rPr>
            </w:pPr>
            <w:r>
              <w:rPr>
                <w:sz w:val="21"/>
              </w:rPr>
              <w:t>筹资活动产生的现金流</w:t>
            </w:r>
          </w:p>
          <w:p>
            <w:pPr>
              <w:pStyle w:val="TableParagraph"/>
              <w:spacing w:line="250" w:lineRule="exact" w:before="4"/>
              <w:ind w:left="107"/>
              <w:rPr>
                <w:sz w:val="21"/>
              </w:rPr>
            </w:pPr>
            <w:r>
              <w:rPr>
                <w:sz w:val="21"/>
              </w:rPr>
              <w:t>量净额 </w:t>
            </w:r>
          </w:p>
        </w:tc>
        <w:tc>
          <w:tcPr>
            <w:tcW w:w="1529" w:type="dxa"/>
          </w:tcPr>
          <w:p>
            <w:pPr>
              <w:pStyle w:val="TableParagraph"/>
              <w:spacing w:before="1"/>
              <w:ind w:left="105"/>
              <w:rPr>
                <w:sz w:val="21"/>
              </w:rPr>
            </w:pPr>
            <w:r>
              <w:rPr>
                <w:w w:val="100"/>
                <w:sz w:val="21"/>
              </w:rPr>
              <w:t> </w:t>
            </w:r>
          </w:p>
        </w:tc>
        <w:tc>
          <w:tcPr>
            <w:tcW w:w="2119" w:type="dxa"/>
          </w:tcPr>
          <w:p>
            <w:pPr>
              <w:pStyle w:val="TableParagraph"/>
              <w:spacing w:before="144"/>
              <w:ind w:right="93"/>
              <w:jc w:val="right"/>
              <w:rPr>
                <w:rFonts w:ascii="Times New Roman"/>
                <w:sz w:val="21"/>
              </w:rPr>
            </w:pPr>
            <w:r>
              <w:rPr>
                <w:rFonts w:ascii="Times New Roman"/>
                <w:sz w:val="21"/>
              </w:rPr>
              <w:t>-10,695,064</w:t>
            </w:r>
          </w:p>
        </w:tc>
        <w:tc>
          <w:tcPr>
            <w:tcW w:w="2108" w:type="dxa"/>
          </w:tcPr>
          <w:p>
            <w:pPr>
              <w:pStyle w:val="TableParagraph"/>
              <w:spacing w:before="144"/>
              <w:ind w:right="93"/>
              <w:jc w:val="right"/>
              <w:rPr>
                <w:rFonts w:ascii="Times New Roman"/>
                <w:sz w:val="21"/>
              </w:rPr>
            </w:pPr>
            <w:r>
              <w:rPr>
                <w:rFonts w:ascii="Times New Roman"/>
                <w:sz w:val="21"/>
              </w:rPr>
              <w:t>-5,898,003</w:t>
            </w:r>
          </w:p>
        </w:tc>
      </w:tr>
      <w:tr>
        <w:trPr>
          <w:trHeight w:val="544" w:hRule="atLeast"/>
        </w:trPr>
        <w:tc>
          <w:tcPr>
            <w:tcW w:w="3068" w:type="dxa"/>
          </w:tcPr>
          <w:p>
            <w:pPr>
              <w:pStyle w:val="TableParagraph"/>
              <w:spacing w:before="1"/>
              <w:ind w:left="107"/>
              <w:rPr>
                <w:sz w:val="21"/>
              </w:rPr>
            </w:pPr>
            <w:r>
              <w:rPr>
                <w:sz w:val="21"/>
              </w:rPr>
              <w:t>四、汇率变动对现金及现金等</w:t>
            </w:r>
          </w:p>
          <w:p>
            <w:pPr>
              <w:pStyle w:val="TableParagraph"/>
              <w:spacing w:line="250" w:lineRule="exact" w:before="4"/>
              <w:ind w:left="107"/>
              <w:rPr>
                <w:sz w:val="21"/>
              </w:rPr>
            </w:pPr>
            <w:r>
              <w:rPr>
                <w:sz w:val="21"/>
              </w:rPr>
              <w:t>价物的影响 </w:t>
            </w:r>
          </w:p>
        </w:tc>
        <w:tc>
          <w:tcPr>
            <w:tcW w:w="1529" w:type="dxa"/>
          </w:tcPr>
          <w:p>
            <w:pPr>
              <w:pStyle w:val="TableParagraph"/>
              <w:spacing w:before="1"/>
              <w:ind w:left="105"/>
              <w:rPr>
                <w:sz w:val="21"/>
              </w:rPr>
            </w:pPr>
            <w:r>
              <w:rPr>
                <w:w w:val="100"/>
                <w:sz w:val="21"/>
              </w:rPr>
              <w:t> </w:t>
            </w:r>
          </w:p>
        </w:tc>
        <w:tc>
          <w:tcPr>
            <w:tcW w:w="2119" w:type="dxa"/>
          </w:tcPr>
          <w:p>
            <w:pPr>
              <w:pStyle w:val="TableParagraph"/>
              <w:rPr>
                <w:rFonts w:ascii="Times New Roman"/>
                <w:sz w:val="20"/>
              </w:rPr>
            </w:pPr>
          </w:p>
        </w:tc>
        <w:tc>
          <w:tcPr>
            <w:tcW w:w="2108" w:type="dxa"/>
          </w:tcPr>
          <w:p>
            <w:pPr>
              <w:pStyle w:val="TableParagraph"/>
              <w:rPr>
                <w:rFonts w:ascii="Times New Roman"/>
                <w:sz w:val="20"/>
              </w:rPr>
            </w:pPr>
          </w:p>
        </w:tc>
      </w:tr>
      <w:tr>
        <w:trPr>
          <w:trHeight w:val="544" w:hRule="atLeast"/>
        </w:trPr>
        <w:tc>
          <w:tcPr>
            <w:tcW w:w="3068" w:type="dxa"/>
          </w:tcPr>
          <w:p>
            <w:pPr>
              <w:pStyle w:val="TableParagraph"/>
              <w:spacing w:before="1"/>
              <w:ind w:left="107"/>
              <w:rPr>
                <w:sz w:val="21"/>
              </w:rPr>
            </w:pPr>
            <w:r>
              <w:rPr>
                <w:sz w:val="21"/>
              </w:rPr>
              <w:t>五、现金及现金等价物净增加</w:t>
            </w:r>
          </w:p>
          <w:p>
            <w:pPr>
              <w:pStyle w:val="TableParagraph"/>
              <w:spacing w:line="250" w:lineRule="exact" w:before="4"/>
              <w:ind w:left="107"/>
              <w:rPr>
                <w:sz w:val="21"/>
              </w:rPr>
            </w:pPr>
            <w:r>
              <w:rPr>
                <w:sz w:val="21"/>
              </w:rPr>
              <w:t>额 </w:t>
            </w:r>
          </w:p>
        </w:tc>
        <w:tc>
          <w:tcPr>
            <w:tcW w:w="1529" w:type="dxa"/>
          </w:tcPr>
          <w:p>
            <w:pPr>
              <w:pStyle w:val="TableParagraph"/>
              <w:spacing w:before="1"/>
              <w:ind w:left="105"/>
              <w:rPr>
                <w:sz w:val="21"/>
              </w:rPr>
            </w:pPr>
            <w:r>
              <w:rPr>
                <w:w w:val="100"/>
                <w:sz w:val="21"/>
              </w:rPr>
              <w:t> </w:t>
            </w:r>
          </w:p>
        </w:tc>
        <w:tc>
          <w:tcPr>
            <w:tcW w:w="2119" w:type="dxa"/>
          </w:tcPr>
          <w:p>
            <w:pPr>
              <w:pStyle w:val="TableParagraph"/>
              <w:spacing w:before="147"/>
              <w:ind w:right="93"/>
              <w:jc w:val="right"/>
              <w:rPr>
                <w:rFonts w:ascii="Times New Roman"/>
                <w:sz w:val="21"/>
              </w:rPr>
            </w:pPr>
            <w:r>
              <w:rPr>
                <w:rFonts w:ascii="Times New Roman"/>
                <w:sz w:val="21"/>
              </w:rPr>
              <w:t>-7,022,228</w:t>
            </w:r>
          </w:p>
        </w:tc>
        <w:tc>
          <w:tcPr>
            <w:tcW w:w="2108" w:type="dxa"/>
          </w:tcPr>
          <w:p>
            <w:pPr>
              <w:pStyle w:val="TableParagraph"/>
              <w:spacing w:before="147"/>
              <w:ind w:right="93"/>
              <w:jc w:val="right"/>
              <w:rPr>
                <w:rFonts w:ascii="Times New Roman"/>
                <w:sz w:val="21"/>
              </w:rPr>
            </w:pPr>
            <w:r>
              <w:rPr>
                <w:rFonts w:ascii="Times New Roman"/>
                <w:sz w:val="21"/>
              </w:rPr>
              <w:t>-2,934,831</w:t>
            </w:r>
          </w:p>
        </w:tc>
      </w:tr>
      <w:tr>
        <w:trPr>
          <w:trHeight w:val="546" w:hRule="atLeast"/>
        </w:trPr>
        <w:tc>
          <w:tcPr>
            <w:tcW w:w="3068" w:type="dxa"/>
          </w:tcPr>
          <w:p>
            <w:pPr>
              <w:pStyle w:val="TableParagraph"/>
              <w:spacing w:line="270" w:lineRule="atLeast"/>
              <w:ind w:left="107" w:right="214" w:firstLine="211"/>
              <w:rPr>
                <w:sz w:val="21"/>
              </w:rPr>
            </w:pPr>
            <w:r>
              <w:rPr>
                <w:spacing w:val="-1"/>
                <w:sz w:val="21"/>
              </w:rPr>
              <w:t>加：期初现金及现金等价物</w:t>
            </w:r>
            <w:r>
              <w:rPr>
                <w:sz w:val="21"/>
              </w:rPr>
              <w:t>余额 </w:t>
            </w:r>
          </w:p>
        </w:tc>
        <w:tc>
          <w:tcPr>
            <w:tcW w:w="1529" w:type="dxa"/>
          </w:tcPr>
          <w:p>
            <w:pPr>
              <w:pStyle w:val="TableParagraph"/>
              <w:spacing w:before="3"/>
              <w:ind w:left="105"/>
              <w:rPr>
                <w:sz w:val="21"/>
              </w:rPr>
            </w:pPr>
            <w:r>
              <w:rPr>
                <w:w w:val="100"/>
                <w:sz w:val="21"/>
              </w:rPr>
              <w:t> </w:t>
            </w:r>
          </w:p>
        </w:tc>
        <w:tc>
          <w:tcPr>
            <w:tcW w:w="2119" w:type="dxa"/>
          </w:tcPr>
          <w:p>
            <w:pPr>
              <w:pStyle w:val="TableParagraph"/>
              <w:spacing w:before="147"/>
              <w:ind w:right="93"/>
              <w:jc w:val="right"/>
              <w:rPr>
                <w:rFonts w:ascii="Times New Roman"/>
                <w:sz w:val="21"/>
              </w:rPr>
            </w:pPr>
            <w:r>
              <w:rPr>
                <w:rFonts w:ascii="Times New Roman"/>
                <w:sz w:val="21"/>
              </w:rPr>
              <w:t>17,512,431</w:t>
            </w:r>
          </w:p>
        </w:tc>
        <w:tc>
          <w:tcPr>
            <w:tcW w:w="2108" w:type="dxa"/>
          </w:tcPr>
          <w:p>
            <w:pPr>
              <w:pStyle w:val="TableParagraph"/>
              <w:spacing w:before="147"/>
              <w:ind w:right="93"/>
              <w:jc w:val="right"/>
              <w:rPr>
                <w:rFonts w:ascii="Times New Roman"/>
                <w:sz w:val="21"/>
              </w:rPr>
            </w:pPr>
            <w:r>
              <w:rPr>
                <w:rFonts w:ascii="Times New Roman"/>
                <w:sz w:val="21"/>
              </w:rPr>
              <w:t>20,447,262</w:t>
            </w:r>
          </w:p>
        </w:tc>
      </w:tr>
      <w:tr>
        <w:trPr>
          <w:trHeight w:val="544" w:hRule="atLeast"/>
        </w:trPr>
        <w:tc>
          <w:tcPr>
            <w:tcW w:w="3068" w:type="dxa"/>
          </w:tcPr>
          <w:p>
            <w:pPr>
              <w:pStyle w:val="TableParagraph"/>
              <w:spacing w:before="1"/>
              <w:ind w:left="107"/>
              <w:rPr>
                <w:sz w:val="21"/>
              </w:rPr>
            </w:pPr>
            <w:r>
              <w:rPr>
                <w:sz w:val="21"/>
              </w:rPr>
              <w:t>六、期末现金及现金等价物余</w:t>
            </w:r>
          </w:p>
          <w:p>
            <w:pPr>
              <w:pStyle w:val="TableParagraph"/>
              <w:spacing w:line="252" w:lineRule="exact" w:before="2"/>
              <w:ind w:left="107"/>
              <w:rPr>
                <w:sz w:val="21"/>
              </w:rPr>
            </w:pPr>
            <w:r>
              <w:rPr>
                <w:sz w:val="21"/>
              </w:rPr>
              <w:t>额 </w:t>
            </w:r>
          </w:p>
        </w:tc>
        <w:tc>
          <w:tcPr>
            <w:tcW w:w="1529" w:type="dxa"/>
          </w:tcPr>
          <w:p>
            <w:pPr>
              <w:pStyle w:val="TableParagraph"/>
              <w:spacing w:before="1"/>
              <w:ind w:left="105"/>
              <w:rPr>
                <w:sz w:val="21"/>
              </w:rPr>
            </w:pPr>
            <w:r>
              <w:rPr>
                <w:w w:val="100"/>
                <w:sz w:val="21"/>
              </w:rPr>
              <w:t> </w:t>
            </w:r>
          </w:p>
        </w:tc>
        <w:tc>
          <w:tcPr>
            <w:tcW w:w="2119" w:type="dxa"/>
          </w:tcPr>
          <w:p>
            <w:pPr>
              <w:pStyle w:val="TableParagraph"/>
              <w:spacing w:before="144"/>
              <w:ind w:right="93"/>
              <w:jc w:val="right"/>
              <w:rPr>
                <w:rFonts w:ascii="Times New Roman"/>
                <w:sz w:val="21"/>
              </w:rPr>
            </w:pPr>
            <w:r>
              <w:rPr>
                <w:rFonts w:ascii="Times New Roman"/>
                <w:sz w:val="21"/>
              </w:rPr>
              <w:t>10,490,203</w:t>
            </w:r>
          </w:p>
        </w:tc>
        <w:tc>
          <w:tcPr>
            <w:tcW w:w="2108" w:type="dxa"/>
          </w:tcPr>
          <w:p>
            <w:pPr>
              <w:pStyle w:val="TableParagraph"/>
              <w:spacing w:before="144"/>
              <w:ind w:right="93"/>
              <w:jc w:val="right"/>
              <w:rPr>
                <w:rFonts w:ascii="Times New Roman"/>
                <w:sz w:val="21"/>
              </w:rPr>
            </w:pPr>
            <w:r>
              <w:rPr>
                <w:rFonts w:ascii="Times New Roman"/>
                <w:sz w:val="21"/>
              </w:rPr>
              <w:t>17,512,431</w:t>
            </w:r>
          </w:p>
        </w:tc>
      </w:tr>
    </w:tbl>
    <w:p>
      <w:pPr>
        <w:pStyle w:val="BodyText"/>
        <w:spacing w:before="1"/>
      </w:pPr>
      <w:r>
        <w:rPr>
          <w:w w:val="100"/>
        </w:rPr>
        <w:t> </w:t>
      </w:r>
    </w:p>
    <w:p>
      <w:pPr>
        <w:pStyle w:val="BodyText"/>
        <w:spacing w:before="2"/>
      </w:pPr>
      <w:r>
        <w:rPr>
          <w:spacing w:val="-2"/>
        </w:rPr>
        <w:t>公司负责人：李军旗 主管会计工作负责人：郭俊宏 会计机构负责人：黄昭期</w:t>
      </w:r>
      <w:r>
        <w:rPr>
          <w:color w:val="FF0000"/>
        </w:rPr>
        <w:t> </w:t>
      </w:r>
    </w:p>
    <w:p>
      <w:pPr>
        <w:spacing w:after="0"/>
        <w:sectPr>
          <w:pgSz w:w="11910" w:h="16840"/>
          <w:pgMar w:header="882" w:footer="1172" w:top="1120" w:bottom="1380" w:left="1480" w:right="0"/>
        </w:sectPr>
      </w:pPr>
    </w:p>
    <w:p>
      <w:pPr>
        <w:pStyle w:val="BodyText"/>
        <w:ind w:left="0"/>
        <w:rPr>
          <w:sz w:val="20"/>
        </w:rPr>
      </w:pPr>
    </w:p>
    <w:p>
      <w:pPr>
        <w:pStyle w:val="BodyText"/>
        <w:spacing w:before="12"/>
        <w:ind w:left="0"/>
        <w:rPr>
          <w:sz w:val="26"/>
        </w:rPr>
      </w:pPr>
    </w:p>
    <w:p>
      <w:pPr>
        <w:pStyle w:val="BodyText"/>
        <w:spacing w:before="72"/>
        <w:ind w:left="0" w:right="873"/>
        <w:jc w:val="center"/>
      </w:pPr>
      <w:r>
        <w:rPr>
          <w:w w:val="100"/>
        </w:rPr>
        <w:t> </w:t>
      </w:r>
    </w:p>
    <w:p>
      <w:pPr>
        <w:pStyle w:val="BodyText"/>
        <w:spacing w:line="244" w:lineRule="auto" w:before="2"/>
        <w:ind w:left="3603" w:right="4476"/>
        <w:jc w:val="center"/>
      </w:pPr>
      <w:r>
        <w:rPr/>
        <w:t>合并所有者权益变动表2022</w:t>
      </w:r>
      <w:r>
        <w:rPr>
          <w:spacing w:val="-37"/>
        </w:rPr>
        <w:t> 年 </w:t>
      </w:r>
      <w:r>
        <w:rPr/>
        <w:t>1—12</w:t>
      </w:r>
      <w:r>
        <w:rPr>
          <w:spacing w:val="-28"/>
        </w:rPr>
        <w:t> 月</w:t>
      </w:r>
      <w:r>
        <w:rPr/>
        <w:t> </w:t>
      </w:r>
    </w:p>
    <w:p>
      <w:pPr>
        <w:pStyle w:val="BodyText"/>
        <w:spacing w:line="265" w:lineRule="exact" w:after="4"/>
        <w:ind w:left="6675" w:right="1005"/>
        <w:jc w:val="center"/>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4"/>
        <w:gridCol w:w="801"/>
        <w:gridCol w:w="259"/>
        <w:gridCol w:w="257"/>
        <w:gridCol w:w="260"/>
        <w:gridCol w:w="857"/>
        <w:gridCol w:w="557"/>
        <w:gridCol w:w="571"/>
        <w:gridCol w:w="259"/>
        <w:gridCol w:w="732"/>
        <w:gridCol w:w="259"/>
        <w:gridCol w:w="801"/>
        <w:gridCol w:w="259"/>
        <w:gridCol w:w="867"/>
        <w:gridCol w:w="605"/>
        <w:gridCol w:w="864"/>
      </w:tblGrid>
      <w:tr>
        <w:trPr>
          <w:trHeight w:val="239" w:hRule="atLeast"/>
        </w:trPr>
        <w:tc>
          <w:tcPr>
            <w:tcW w:w="614" w:type="dxa"/>
            <w:vMerge w:val="restart"/>
          </w:tcPr>
          <w:p>
            <w:pPr>
              <w:pStyle w:val="TableParagraph"/>
              <w:rPr>
                <w:sz w:val="18"/>
              </w:rPr>
            </w:pPr>
          </w:p>
          <w:p>
            <w:pPr>
              <w:pStyle w:val="TableParagraph"/>
              <w:rPr>
                <w:sz w:val="18"/>
              </w:rPr>
            </w:pPr>
          </w:p>
          <w:p>
            <w:pPr>
              <w:pStyle w:val="TableParagraph"/>
              <w:rPr>
                <w:sz w:val="18"/>
              </w:rPr>
            </w:pPr>
          </w:p>
          <w:p>
            <w:pPr>
              <w:pStyle w:val="TableParagraph"/>
              <w:spacing w:before="8"/>
              <w:rPr>
                <w:sz w:val="24"/>
              </w:rPr>
            </w:pPr>
          </w:p>
          <w:p>
            <w:pPr>
              <w:pStyle w:val="TableParagraph"/>
              <w:ind w:left="127"/>
              <w:rPr>
                <w:sz w:val="18"/>
              </w:rPr>
            </w:pPr>
            <w:r>
              <w:rPr>
                <w:sz w:val="18"/>
              </w:rPr>
              <w:t>项目 </w:t>
            </w:r>
          </w:p>
        </w:tc>
        <w:tc>
          <w:tcPr>
            <w:tcW w:w="8208" w:type="dxa"/>
            <w:gridSpan w:val="15"/>
          </w:tcPr>
          <w:p>
            <w:pPr>
              <w:pStyle w:val="TableParagraph"/>
              <w:spacing w:line="213" w:lineRule="exact" w:before="7"/>
              <w:ind w:left="1709"/>
              <w:jc w:val="center"/>
              <w:rPr>
                <w:sz w:val="21"/>
              </w:rPr>
            </w:pPr>
            <w:r>
              <w:rPr>
                <w:w w:val="100"/>
                <w:sz w:val="21"/>
              </w:rPr>
              <w:t> </w:t>
            </w:r>
            <w:r>
              <w:rPr>
                <w:spacing w:val="-1"/>
                <w:sz w:val="18"/>
              </w:rPr>
              <w:t>2022</w:t>
            </w:r>
            <w:r>
              <w:rPr>
                <w:spacing w:val="-15"/>
                <w:sz w:val="18"/>
              </w:rPr>
              <w:t> 年度</w:t>
            </w:r>
            <w:r>
              <w:rPr>
                <w:w w:val="100"/>
                <w:sz w:val="21"/>
              </w:rPr>
              <w:t> </w:t>
            </w:r>
          </w:p>
        </w:tc>
      </w:tr>
      <w:tr>
        <w:trPr>
          <w:trHeight w:val="539" w:hRule="atLeast"/>
        </w:trPr>
        <w:tc>
          <w:tcPr>
            <w:tcW w:w="614" w:type="dxa"/>
            <w:vMerge/>
            <w:tcBorders>
              <w:top w:val="nil"/>
            </w:tcBorders>
          </w:tcPr>
          <w:p>
            <w:pPr>
              <w:rPr>
                <w:sz w:val="2"/>
                <w:szCs w:val="2"/>
              </w:rPr>
            </w:pPr>
          </w:p>
        </w:tc>
        <w:tc>
          <w:tcPr>
            <w:tcW w:w="6739" w:type="dxa"/>
            <w:gridSpan w:val="13"/>
          </w:tcPr>
          <w:p>
            <w:pPr>
              <w:pStyle w:val="TableParagraph"/>
              <w:spacing w:before="153"/>
              <w:ind w:left="2412" w:right="2297"/>
              <w:jc w:val="center"/>
              <w:rPr>
                <w:sz w:val="21"/>
              </w:rPr>
            </w:pPr>
            <w:r>
              <w:rPr>
                <w:sz w:val="18"/>
              </w:rPr>
              <w:t>归属于母公司所有者权益</w:t>
            </w:r>
            <w:r>
              <w:rPr>
                <w:w w:val="100"/>
                <w:sz w:val="21"/>
              </w:rPr>
              <w:t> </w:t>
            </w:r>
          </w:p>
        </w:tc>
        <w:tc>
          <w:tcPr>
            <w:tcW w:w="605" w:type="dxa"/>
            <w:vMerge w:val="restart"/>
          </w:tcPr>
          <w:p>
            <w:pPr>
              <w:pStyle w:val="TableParagraph"/>
              <w:rPr>
                <w:sz w:val="18"/>
              </w:rPr>
            </w:pPr>
          </w:p>
          <w:p>
            <w:pPr>
              <w:pStyle w:val="TableParagraph"/>
              <w:rPr>
                <w:sz w:val="18"/>
              </w:rPr>
            </w:pPr>
          </w:p>
          <w:p>
            <w:pPr>
              <w:pStyle w:val="TableParagraph"/>
              <w:spacing w:before="4"/>
              <w:rPr>
                <w:sz w:val="14"/>
              </w:rPr>
            </w:pPr>
          </w:p>
          <w:p>
            <w:pPr>
              <w:pStyle w:val="TableParagraph"/>
              <w:spacing w:line="242" w:lineRule="auto"/>
              <w:ind w:left="124" w:right="18"/>
              <w:jc w:val="both"/>
              <w:rPr>
                <w:sz w:val="18"/>
              </w:rPr>
            </w:pPr>
            <w:r>
              <w:rPr>
                <w:sz w:val="18"/>
              </w:rPr>
              <w:t>少数股东权益 </w:t>
            </w:r>
          </w:p>
        </w:tc>
        <w:tc>
          <w:tcPr>
            <w:tcW w:w="864" w:type="dxa"/>
            <w:vMerge w:val="restart"/>
          </w:tcPr>
          <w:p>
            <w:pPr>
              <w:pStyle w:val="TableParagraph"/>
              <w:rPr>
                <w:sz w:val="18"/>
              </w:rPr>
            </w:pPr>
          </w:p>
          <w:p>
            <w:pPr>
              <w:pStyle w:val="TableParagraph"/>
              <w:rPr>
                <w:sz w:val="18"/>
              </w:rPr>
            </w:pPr>
          </w:p>
          <w:p>
            <w:pPr>
              <w:pStyle w:val="TableParagraph"/>
              <w:spacing w:before="4"/>
              <w:rPr>
                <w:sz w:val="14"/>
              </w:rPr>
            </w:pPr>
          </w:p>
          <w:p>
            <w:pPr>
              <w:pStyle w:val="TableParagraph"/>
              <w:spacing w:line="242" w:lineRule="auto"/>
              <w:ind w:left="162" w:right="149"/>
              <w:jc w:val="center"/>
              <w:rPr>
                <w:sz w:val="18"/>
              </w:rPr>
            </w:pPr>
            <w:r>
              <w:rPr>
                <w:spacing w:val="-2"/>
                <w:sz w:val="18"/>
              </w:rPr>
              <w:t>所有者权益合</w:t>
            </w:r>
            <w:r>
              <w:rPr>
                <w:sz w:val="18"/>
              </w:rPr>
              <w:t>计 </w:t>
            </w:r>
          </w:p>
        </w:tc>
      </w:tr>
      <w:tr>
        <w:trPr>
          <w:trHeight w:val="479" w:hRule="atLeast"/>
        </w:trPr>
        <w:tc>
          <w:tcPr>
            <w:tcW w:w="614" w:type="dxa"/>
            <w:vMerge/>
            <w:tcBorders>
              <w:top w:val="nil"/>
            </w:tcBorders>
          </w:tcPr>
          <w:p>
            <w:pPr>
              <w:rPr>
                <w:sz w:val="2"/>
                <w:szCs w:val="2"/>
              </w:rPr>
            </w:pPr>
          </w:p>
        </w:tc>
        <w:tc>
          <w:tcPr>
            <w:tcW w:w="801" w:type="dxa"/>
            <w:vMerge w:val="restart"/>
          </w:tcPr>
          <w:p>
            <w:pPr>
              <w:pStyle w:val="TableParagraph"/>
              <w:rPr>
                <w:sz w:val="18"/>
              </w:rPr>
            </w:pPr>
          </w:p>
          <w:p>
            <w:pPr>
              <w:pStyle w:val="TableParagraph"/>
              <w:spacing w:line="249" w:lineRule="auto" w:before="136"/>
              <w:ind w:left="175" w:right="72" w:hanging="46"/>
              <w:jc w:val="both"/>
              <w:rPr>
                <w:sz w:val="18"/>
              </w:rPr>
            </w:pPr>
            <w:r>
              <w:rPr>
                <w:sz w:val="18"/>
              </w:rPr>
              <w:t>实收资本(或股本) </w:t>
            </w:r>
          </w:p>
        </w:tc>
        <w:tc>
          <w:tcPr>
            <w:tcW w:w="776" w:type="dxa"/>
            <w:gridSpan w:val="3"/>
          </w:tcPr>
          <w:p>
            <w:pPr>
              <w:pStyle w:val="TableParagraph"/>
              <w:spacing w:before="7"/>
              <w:ind w:left="118"/>
              <w:rPr>
                <w:sz w:val="18"/>
              </w:rPr>
            </w:pPr>
            <w:r>
              <w:rPr>
                <w:sz w:val="18"/>
              </w:rPr>
              <w:t>其他权</w:t>
            </w:r>
          </w:p>
          <w:p>
            <w:pPr>
              <w:pStyle w:val="TableParagraph"/>
              <w:spacing w:line="213" w:lineRule="exact" w:before="9"/>
              <w:ind w:left="118"/>
              <w:rPr>
                <w:sz w:val="18"/>
              </w:rPr>
            </w:pPr>
            <w:r>
              <w:rPr>
                <w:sz w:val="18"/>
              </w:rPr>
              <w:t>益工具 </w:t>
            </w:r>
          </w:p>
        </w:tc>
        <w:tc>
          <w:tcPr>
            <w:tcW w:w="857" w:type="dxa"/>
            <w:vMerge w:val="restart"/>
          </w:tcPr>
          <w:p>
            <w:pPr>
              <w:pStyle w:val="TableParagraph"/>
              <w:rPr>
                <w:sz w:val="18"/>
              </w:rPr>
            </w:pPr>
          </w:p>
          <w:p>
            <w:pPr>
              <w:pStyle w:val="TableParagraph"/>
              <w:rPr>
                <w:sz w:val="20"/>
              </w:rPr>
            </w:pPr>
          </w:p>
          <w:p>
            <w:pPr>
              <w:pStyle w:val="TableParagraph"/>
              <w:spacing w:line="249" w:lineRule="auto"/>
              <w:ind w:left="338" w:right="146" w:hanging="180"/>
              <w:rPr>
                <w:sz w:val="18"/>
              </w:rPr>
            </w:pPr>
            <w:r>
              <w:rPr>
                <w:spacing w:val="-2"/>
                <w:sz w:val="18"/>
              </w:rPr>
              <w:t>资本公</w:t>
            </w:r>
            <w:r>
              <w:rPr>
                <w:sz w:val="18"/>
              </w:rPr>
              <w:t>积 </w:t>
            </w:r>
          </w:p>
        </w:tc>
        <w:tc>
          <w:tcPr>
            <w:tcW w:w="557" w:type="dxa"/>
            <w:vMerge w:val="restart"/>
          </w:tcPr>
          <w:p>
            <w:pPr>
              <w:pStyle w:val="TableParagraph"/>
              <w:spacing w:before="127"/>
              <w:ind w:left="187"/>
              <w:rPr>
                <w:sz w:val="18"/>
              </w:rPr>
            </w:pPr>
            <w:r>
              <w:rPr>
                <w:sz w:val="18"/>
              </w:rPr>
              <w:t>减</w:t>
            </w:r>
          </w:p>
          <w:p>
            <w:pPr>
              <w:pStyle w:val="TableParagraph"/>
              <w:spacing w:line="249" w:lineRule="auto" w:before="9"/>
              <w:ind w:left="187" w:right="87"/>
              <w:jc w:val="both"/>
              <w:rPr>
                <w:sz w:val="18"/>
              </w:rPr>
            </w:pPr>
            <w:r>
              <w:rPr>
                <w:sz w:val="18"/>
              </w:rPr>
              <w:t>：</w:t>
            </w:r>
            <w:r>
              <w:rPr>
                <w:spacing w:val="1"/>
                <w:sz w:val="18"/>
              </w:rPr>
              <w:t> </w:t>
            </w:r>
            <w:r>
              <w:rPr>
                <w:sz w:val="18"/>
              </w:rPr>
              <w:t>库存股 </w:t>
            </w:r>
          </w:p>
        </w:tc>
        <w:tc>
          <w:tcPr>
            <w:tcW w:w="571" w:type="dxa"/>
            <w:vMerge w:val="restart"/>
          </w:tcPr>
          <w:p>
            <w:pPr>
              <w:pStyle w:val="TableParagraph"/>
              <w:spacing w:line="249" w:lineRule="auto" w:before="7"/>
              <w:ind w:left="194" w:right="184"/>
              <w:jc w:val="both"/>
              <w:rPr>
                <w:sz w:val="18"/>
              </w:rPr>
            </w:pPr>
            <w:r>
              <w:rPr>
                <w:sz w:val="18"/>
              </w:rPr>
              <w:t>其他综合收</w:t>
            </w:r>
          </w:p>
          <w:p>
            <w:pPr>
              <w:pStyle w:val="TableParagraph"/>
              <w:spacing w:line="213" w:lineRule="exact"/>
              <w:ind w:left="194"/>
              <w:rPr>
                <w:sz w:val="18"/>
              </w:rPr>
            </w:pPr>
            <w:r>
              <w:rPr>
                <w:sz w:val="18"/>
              </w:rPr>
              <w:t>益 </w:t>
            </w:r>
          </w:p>
        </w:tc>
        <w:tc>
          <w:tcPr>
            <w:tcW w:w="259" w:type="dxa"/>
            <w:vMerge w:val="restart"/>
          </w:tcPr>
          <w:p>
            <w:pPr>
              <w:pStyle w:val="TableParagraph"/>
              <w:spacing w:before="3"/>
              <w:rPr>
                <w:sz w:val="19"/>
              </w:rPr>
            </w:pPr>
          </w:p>
          <w:p>
            <w:pPr>
              <w:pStyle w:val="TableParagraph"/>
              <w:spacing w:line="249" w:lineRule="auto"/>
              <w:ind w:left="105" w:right="-44"/>
              <w:jc w:val="both"/>
              <w:rPr>
                <w:sz w:val="18"/>
              </w:rPr>
            </w:pPr>
            <w:r>
              <w:rPr>
                <w:sz w:val="18"/>
              </w:rPr>
              <w:t>专项储备</w:t>
            </w:r>
          </w:p>
        </w:tc>
        <w:tc>
          <w:tcPr>
            <w:tcW w:w="732" w:type="dxa"/>
            <w:vMerge w:val="restart"/>
          </w:tcPr>
          <w:p>
            <w:pPr>
              <w:pStyle w:val="TableParagraph"/>
              <w:rPr>
                <w:sz w:val="18"/>
              </w:rPr>
            </w:pPr>
          </w:p>
          <w:p>
            <w:pPr>
              <w:pStyle w:val="TableParagraph"/>
              <w:rPr>
                <w:sz w:val="20"/>
              </w:rPr>
            </w:pPr>
          </w:p>
          <w:p>
            <w:pPr>
              <w:pStyle w:val="TableParagraph"/>
              <w:spacing w:line="249" w:lineRule="auto"/>
              <w:ind w:left="185" w:right="84"/>
              <w:rPr>
                <w:sz w:val="18"/>
              </w:rPr>
            </w:pPr>
            <w:r>
              <w:rPr>
                <w:sz w:val="18"/>
              </w:rPr>
              <w:t>盈余公积 </w:t>
            </w:r>
          </w:p>
        </w:tc>
        <w:tc>
          <w:tcPr>
            <w:tcW w:w="259" w:type="dxa"/>
            <w:vMerge w:val="restart"/>
          </w:tcPr>
          <w:p>
            <w:pPr>
              <w:pStyle w:val="TableParagraph"/>
              <w:spacing w:line="249" w:lineRule="auto" w:before="7"/>
              <w:ind w:left="108" w:right="-44"/>
              <w:jc w:val="both"/>
              <w:rPr>
                <w:sz w:val="18"/>
              </w:rPr>
            </w:pPr>
            <w:r>
              <w:rPr>
                <w:sz w:val="18"/>
              </w:rPr>
              <w:t>一般风险准</w:t>
            </w:r>
          </w:p>
          <w:p>
            <w:pPr>
              <w:pStyle w:val="TableParagraph"/>
              <w:spacing w:line="213" w:lineRule="exact"/>
              <w:ind w:left="108" w:right="-44"/>
              <w:rPr>
                <w:sz w:val="18"/>
              </w:rPr>
            </w:pPr>
            <w:r>
              <w:rPr>
                <w:sz w:val="18"/>
              </w:rPr>
              <w:t>备</w:t>
            </w:r>
          </w:p>
        </w:tc>
        <w:tc>
          <w:tcPr>
            <w:tcW w:w="801" w:type="dxa"/>
            <w:vMerge w:val="restart"/>
          </w:tcPr>
          <w:p>
            <w:pPr>
              <w:pStyle w:val="TableParagraph"/>
              <w:rPr>
                <w:sz w:val="18"/>
              </w:rPr>
            </w:pPr>
          </w:p>
          <w:p>
            <w:pPr>
              <w:pStyle w:val="TableParagraph"/>
              <w:rPr>
                <w:sz w:val="20"/>
              </w:rPr>
            </w:pPr>
          </w:p>
          <w:p>
            <w:pPr>
              <w:pStyle w:val="TableParagraph"/>
              <w:spacing w:line="249" w:lineRule="auto"/>
              <w:ind w:left="221" w:right="117" w:hanging="92"/>
              <w:rPr>
                <w:sz w:val="18"/>
              </w:rPr>
            </w:pPr>
            <w:r>
              <w:rPr>
                <w:spacing w:val="-1"/>
                <w:sz w:val="18"/>
              </w:rPr>
              <w:t>未分配</w:t>
            </w:r>
            <w:r>
              <w:rPr>
                <w:sz w:val="18"/>
              </w:rPr>
              <w:t>利润 </w:t>
            </w:r>
          </w:p>
        </w:tc>
        <w:tc>
          <w:tcPr>
            <w:tcW w:w="259" w:type="dxa"/>
            <w:vMerge w:val="restart"/>
          </w:tcPr>
          <w:p>
            <w:pPr>
              <w:pStyle w:val="TableParagraph"/>
              <w:rPr>
                <w:sz w:val="18"/>
              </w:rPr>
            </w:pPr>
          </w:p>
          <w:p>
            <w:pPr>
              <w:pStyle w:val="TableParagraph"/>
              <w:rPr>
                <w:sz w:val="20"/>
              </w:rPr>
            </w:pPr>
          </w:p>
          <w:p>
            <w:pPr>
              <w:pStyle w:val="TableParagraph"/>
              <w:spacing w:line="242" w:lineRule="auto"/>
              <w:ind w:left="109" w:right="-44"/>
              <w:rPr>
                <w:sz w:val="18"/>
              </w:rPr>
            </w:pPr>
            <w:r>
              <w:rPr>
                <w:sz w:val="18"/>
              </w:rPr>
              <w:t>其他</w:t>
            </w:r>
          </w:p>
        </w:tc>
        <w:tc>
          <w:tcPr>
            <w:tcW w:w="867" w:type="dxa"/>
            <w:vMerge w:val="restart"/>
          </w:tcPr>
          <w:p>
            <w:pPr>
              <w:pStyle w:val="TableParagraph"/>
              <w:rPr>
                <w:sz w:val="18"/>
              </w:rPr>
            </w:pPr>
          </w:p>
          <w:p>
            <w:pPr>
              <w:pStyle w:val="TableParagraph"/>
              <w:rPr>
                <w:sz w:val="18"/>
              </w:rPr>
            </w:pPr>
          </w:p>
          <w:p>
            <w:pPr>
              <w:pStyle w:val="TableParagraph"/>
              <w:spacing w:before="143"/>
              <w:ind w:left="253"/>
              <w:rPr>
                <w:sz w:val="18"/>
              </w:rPr>
            </w:pPr>
            <w:r>
              <w:rPr>
                <w:sz w:val="18"/>
              </w:rPr>
              <w:t>小计 </w:t>
            </w:r>
          </w:p>
        </w:tc>
        <w:tc>
          <w:tcPr>
            <w:tcW w:w="605" w:type="dxa"/>
            <w:vMerge/>
            <w:tcBorders>
              <w:top w:val="nil"/>
            </w:tcBorders>
          </w:tcPr>
          <w:p>
            <w:pPr>
              <w:rPr>
                <w:sz w:val="2"/>
                <w:szCs w:val="2"/>
              </w:rPr>
            </w:pPr>
          </w:p>
        </w:tc>
        <w:tc>
          <w:tcPr>
            <w:tcW w:w="864" w:type="dxa"/>
            <w:vMerge/>
            <w:tcBorders>
              <w:top w:val="nil"/>
            </w:tcBorders>
          </w:tcPr>
          <w:p>
            <w:pPr>
              <w:rPr>
                <w:sz w:val="2"/>
                <w:szCs w:val="2"/>
              </w:rPr>
            </w:pPr>
          </w:p>
        </w:tc>
      </w:tr>
      <w:tr>
        <w:trPr>
          <w:trHeight w:val="949" w:hRule="atLeast"/>
        </w:trPr>
        <w:tc>
          <w:tcPr>
            <w:tcW w:w="614" w:type="dxa"/>
            <w:vMerge/>
            <w:tcBorders>
              <w:top w:val="nil"/>
            </w:tcBorders>
          </w:tcPr>
          <w:p>
            <w:pPr>
              <w:rPr>
                <w:sz w:val="2"/>
                <w:szCs w:val="2"/>
              </w:rPr>
            </w:pPr>
          </w:p>
        </w:tc>
        <w:tc>
          <w:tcPr>
            <w:tcW w:w="801" w:type="dxa"/>
            <w:vMerge/>
            <w:tcBorders>
              <w:top w:val="nil"/>
            </w:tcBorders>
          </w:tcPr>
          <w:p>
            <w:pPr>
              <w:rPr>
                <w:sz w:val="2"/>
                <w:szCs w:val="2"/>
              </w:rPr>
            </w:pPr>
          </w:p>
        </w:tc>
        <w:tc>
          <w:tcPr>
            <w:tcW w:w="259" w:type="dxa"/>
          </w:tcPr>
          <w:p>
            <w:pPr>
              <w:pStyle w:val="TableParagraph"/>
              <w:spacing w:line="249" w:lineRule="auto" w:before="122"/>
              <w:ind w:left="108" w:right="-44"/>
              <w:jc w:val="both"/>
              <w:rPr>
                <w:sz w:val="18"/>
              </w:rPr>
            </w:pPr>
            <w:r>
              <w:rPr>
                <w:sz w:val="18"/>
              </w:rPr>
              <w:t>优先股</w:t>
            </w:r>
          </w:p>
        </w:tc>
        <w:tc>
          <w:tcPr>
            <w:tcW w:w="257" w:type="dxa"/>
          </w:tcPr>
          <w:p>
            <w:pPr>
              <w:pStyle w:val="TableParagraph"/>
              <w:spacing w:line="249" w:lineRule="auto" w:before="122"/>
              <w:ind w:left="106" w:right="-44"/>
              <w:jc w:val="both"/>
              <w:rPr>
                <w:sz w:val="18"/>
              </w:rPr>
            </w:pPr>
            <w:r>
              <w:rPr>
                <w:sz w:val="18"/>
              </w:rPr>
              <w:t>永续债</w:t>
            </w:r>
          </w:p>
        </w:tc>
        <w:tc>
          <w:tcPr>
            <w:tcW w:w="260" w:type="dxa"/>
          </w:tcPr>
          <w:p>
            <w:pPr>
              <w:pStyle w:val="TableParagraph"/>
              <w:spacing w:before="11"/>
              <w:rPr>
                <w:sz w:val="18"/>
              </w:rPr>
            </w:pPr>
          </w:p>
          <w:p>
            <w:pPr>
              <w:pStyle w:val="TableParagraph"/>
              <w:spacing w:line="249" w:lineRule="auto"/>
              <w:ind w:left="109" w:right="-44"/>
              <w:rPr>
                <w:sz w:val="18"/>
              </w:rPr>
            </w:pPr>
            <w:r>
              <w:rPr>
                <w:sz w:val="18"/>
              </w:rPr>
              <w:t>其他</w:t>
            </w:r>
          </w:p>
        </w:tc>
        <w:tc>
          <w:tcPr>
            <w:tcW w:w="857" w:type="dxa"/>
            <w:vMerge/>
            <w:tcBorders>
              <w:top w:val="nil"/>
            </w:tcBorders>
          </w:tcPr>
          <w:p>
            <w:pPr>
              <w:rPr>
                <w:sz w:val="2"/>
                <w:szCs w:val="2"/>
              </w:rPr>
            </w:pPr>
          </w:p>
        </w:tc>
        <w:tc>
          <w:tcPr>
            <w:tcW w:w="557" w:type="dxa"/>
            <w:vMerge/>
            <w:tcBorders>
              <w:top w:val="nil"/>
            </w:tcBorders>
          </w:tcPr>
          <w:p>
            <w:pPr>
              <w:rPr>
                <w:sz w:val="2"/>
                <w:szCs w:val="2"/>
              </w:rPr>
            </w:pPr>
          </w:p>
        </w:tc>
        <w:tc>
          <w:tcPr>
            <w:tcW w:w="571" w:type="dxa"/>
            <w:vMerge/>
            <w:tcBorders>
              <w:top w:val="nil"/>
            </w:tcBorders>
          </w:tcPr>
          <w:p>
            <w:pPr>
              <w:rPr>
                <w:sz w:val="2"/>
                <w:szCs w:val="2"/>
              </w:rPr>
            </w:pPr>
          </w:p>
        </w:tc>
        <w:tc>
          <w:tcPr>
            <w:tcW w:w="259" w:type="dxa"/>
            <w:vMerge/>
            <w:tcBorders>
              <w:top w:val="nil"/>
            </w:tcBorders>
          </w:tcPr>
          <w:p>
            <w:pPr>
              <w:rPr>
                <w:sz w:val="2"/>
                <w:szCs w:val="2"/>
              </w:rPr>
            </w:pPr>
          </w:p>
        </w:tc>
        <w:tc>
          <w:tcPr>
            <w:tcW w:w="732" w:type="dxa"/>
            <w:vMerge/>
            <w:tcBorders>
              <w:top w:val="nil"/>
            </w:tcBorders>
          </w:tcPr>
          <w:p>
            <w:pPr>
              <w:rPr>
                <w:sz w:val="2"/>
                <w:szCs w:val="2"/>
              </w:rPr>
            </w:pPr>
          </w:p>
        </w:tc>
        <w:tc>
          <w:tcPr>
            <w:tcW w:w="259" w:type="dxa"/>
            <w:vMerge/>
            <w:tcBorders>
              <w:top w:val="nil"/>
            </w:tcBorders>
          </w:tcPr>
          <w:p>
            <w:pPr>
              <w:rPr>
                <w:sz w:val="2"/>
                <w:szCs w:val="2"/>
              </w:rPr>
            </w:pPr>
          </w:p>
        </w:tc>
        <w:tc>
          <w:tcPr>
            <w:tcW w:w="801" w:type="dxa"/>
            <w:vMerge/>
            <w:tcBorders>
              <w:top w:val="nil"/>
            </w:tcBorders>
          </w:tcPr>
          <w:p>
            <w:pPr>
              <w:rPr>
                <w:sz w:val="2"/>
                <w:szCs w:val="2"/>
              </w:rPr>
            </w:pPr>
          </w:p>
        </w:tc>
        <w:tc>
          <w:tcPr>
            <w:tcW w:w="259" w:type="dxa"/>
            <w:vMerge/>
            <w:tcBorders>
              <w:top w:val="nil"/>
            </w:tcBorders>
          </w:tcPr>
          <w:p>
            <w:pPr>
              <w:rPr>
                <w:sz w:val="2"/>
                <w:szCs w:val="2"/>
              </w:rPr>
            </w:pPr>
          </w:p>
        </w:tc>
        <w:tc>
          <w:tcPr>
            <w:tcW w:w="867" w:type="dxa"/>
            <w:vMerge/>
            <w:tcBorders>
              <w:top w:val="nil"/>
            </w:tcBorders>
          </w:tcPr>
          <w:p>
            <w:pPr>
              <w:rPr>
                <w:sz w:val="2"/>
                <w:szCs w:val="2"/>
              </w:rPr>
            </w:pPr>
          </w:p>
        </w:tc>
        <w:tc>
          <w:tcPr>
            <w:tcW w:w="605" w:type="dxa"/>
            <w:vMerge/>
            <w:tcBorders>
              <w:top w:val="nil"/>
            </w:tcBorders>
          </w:tcPr>
          <w:p>
            <w:pPr>
              <w:rPr>
                <w:sz w:val="2"/>
                <w:szCs w:val="2"/>
              </w:rPr>
            </w:pPr>
          </w:p>
        </w:tc>
        <w:tc>
          <w:tcPr>
            <w:tcW w:w="864" w:type="dxa"/>
            <w:vMerge/>
            <w:tcBorders>
              <w:top w:val="nil"/>
            </w:tcBorders>
          </w:tcPr>
          <w:p>
            <w:pPr>
              <w:rPr>
                <w:sz w:val="2"/>
                <w:szCs w:val="2"/>
              </w:rPr>
            </w:pPr>
          </w:p>
        </w:tc>
      </w:tr>
      <w:tr>
        <w:trPr>
          <w:trHeight w:val="967" w:hRule="atLeast"/>
        </w:trPr>
        <w:tc>
          <w:tcPr>
            <w:tcW w:w="614" w:type="dxa"/>
          </w:tcPr>
          <w:p>
            <w:pPr>
              <w:pStyle w:val="TableParagraph"/>
              <w:spacing w:line="242" w:lineRule="auto"/>
              <w:ind w:left="107" w:right="44"/>
              <w:jc w:val="both"/>
              <w:rPr>
                <w:sz w:val="18"/>
              </w:rPr>
            </w:pPr>
            <w:r>
              <w:rPr>
                <w:sz w:val="18"/>
              </w:rPr>
              <w:t>一、上年年末余额 </w:t>
            </w:r>
          </w:p>
        </w:tc>
        <w:tc>
          <w:tcPr>
            <w:tcW w:w="801" w:type="dxa"/>
          </w:tcPr>
          <w:p>
            <w:pPr>
              <w:pStyle w:val="TableParagraph"/>
              <w:spacing w:before="5"/>
              <w:rPr>
                <w:sz w:val="18"/>
              </w:rPr>
            </w:pPr>
          </w:p>
          <w:p>
            <w:pPr>
              <w:pStyle w:val="TableParagraph"/>
              <w:ind w:right="92"/>
              <w:jc w:val="right"/>
              <w:rPr>
                <w:rFonts w:ascii="Times New Roman"/>
                <w:sz w:val="21"/>
              </w:rPr>
            </w:pPr>
            <w:r>
              <w:rPr>
                <w:rFonts w:ascii="Times New Roman"/>
                <w:sz w:val="21"/>
              </w:rPr>
              <w:t>19,865</w:t>
            </w:r>
          </w:p>
          <w:p>
            <w:pPr>
              <w:pStyle w:val="TableParagraph"/>
              <w:spacing w:before="1"/>
              <w:ind w:right="92"/>
              <w:jc w:val="right"/>
              <w:rPr>
                <w:rFonts w:ascii="Times New Roman"/>
                <w:sz w:val="21"/>
              </w:rPr>
            </w:pPr>
            <w:r>
              <w:rPr>
                <w:rFonts w:ascii="Times New Roman"/>
                <w:sz w:val="21"/>
              </w:rPr>
              <w:t>,070</w:t>
            </w:r>
          </w:p>
        </w:tc>
        <w:tc>
          <w:tcPr>
            <w:tcW w:w="259" w:type="dxa"/>
          </w:tcPr>
          <w:p>
            <w:pPr>
              <w:pStyle w:val="TableParagraph"/>
              <w:rPr>
                <w:rFonts w:ascii="Times New Roman"/>
                <w:sz w:val="20"/>
              </w:rPr>
            </w:pPr>
          </w:p>
        </w:tc>
        <w:tc>
          <w:tcPr>
            <w:tcW w:w="257" w:type="dxa"/>
          </w:tcPr>
          <w:p>
            <w:pPr>
              <w:pStyle w:val="TableParagraph"/>
              <w:rPr>
                <w:rFonts w:ascii="Times New Roman"/>
                <w:sz w:val="20"/>
              </w:rPr>
            </w:pPr>
          </w:p>
        </w:tc>
        <w:tc>
          <w:tcPr>
            <w:tcW w:w="260" w:type="dxa"/>
          </w:tcPr>
          <w:p>
            <w:pPr>
              <w:pStyle w:val="TableParagraph"/>
              <w:rPr>
                <w:rFonts w:ascii="Times New Roman"/>
                <w:sz w:val="20"/>
              </w:rPr>
            </w:pPr>
          </w:p>
        </w:tc>
        <w:tc>
          <w:tcPr>
            <w:tcW w:w="857" w:type="dxa"/>
          </w:tcPr>
          <w:p>
            <w:pPr>
              <w:pStyle w:val="TableParagraph"/>
              <w:spacing w:before="5"/>
              <w:rPr>
                <w:sz w:val="18"/>
              </w:rPr>
            </w:pPr>
          </w:p>
          <w:p>
            <w:pPr>
              <w:pStyle w:val="TableParagraph"/>
              <w:ind w:right="93"/>
              <w:jc w:val="right"/>
              <w:rPr>
                <w:rFonts w:ascii="Times New Roman"/>
                <w:sz w:val="21"/>
              </w:rPr>
            </w:pPr>
            <w:r>
              <w:rPr>
                <w:rFonts w:ascii="Times New Roman"/>
                <w:sz w:val="21"/>
              </w:rPr>
              <w:t>28,297,</w:t>
            </w:r>
          </w:p>
          <w:p>
            <w:pPr>
              <w:pStyle w:val="TableParagraph"/>
              <w:spacing w:before="1"/>
              <w:ind w:right="93"/>
              <w:jc w:val="right"/>
              <w:rPr>
                <w:rFonts w:ascii="Times New Roman"/>
                <w:sz w:val="21"/>
              </w:rPr>
            </w:pPr>
            <w:r>
              <w:rPr>
                <w:rFonts w:ascii="Times New Roman"/>
                <w:sz w:val="21"/>
              </w:rPr>
              <w:t>428</w:t>
            </w:r>
          </w:p>
        </w:tc>
        <w:tc>
          <w:tcPr>
            <w:tcW w:w="557" w:type="dxa"/>
          </w:tcPr>
          <w:p>
            <w:pPr>
              <w:pStyle w:val="TableParagraph"/>
              <w:spacing w:line="242" w:lineRule="auto"/>
              <w:ind w:left="134" w:right="93" w:firstLine="244"/>
              <w:jc w:val="right"/>
              <w:rPr>
                <w:rFonts w:ascii="Times New Roman"/>
                <w:sz w:val="21"/>
              </w:rPr>
            </w:pPr>
            <w:r>
              <w:rPr>
                <w:rFonts w:ascii="Times New Roman"/>
                <w:sz w:val="21"/>
              </w:rPr>
              <w:t>-</w:t>
            </w:r>
            <w:r>
              <w:rPr>
                <w:rFonts w:ascii="Times New Roman"/>
                <w:spacing w:val="-50"/>
                <w:sz w:val="21"/>
              </w:rPr>
              <w:t> </w:t>
            </w:r>
            <w:r>
              <w:rPr>
                <w:rFonts w:ascii="Times New Roman"/>
                <w:sz w:val="21"/>
              </w:rPr>
              <w:t>518</w:t>
            </w:r>
          </w:p>
          <w:p>
            <w:pPr>
              <w:pStyle w:val="TableParagraph"/>
              <w:spacing w:line="238" w:lineRule="exact"/>
              <w:ind w:right="93"/>
              <w:jc w:val="right"/>
              <w:rPr>
                <w:rFonts w:ascii="Times New Roman"/>
                <w:sz w:val="21"/>
              </w:rPr>
            </w:pPr>
            <w:r>
              <w:rPr>
                <w:rFonts w:ascii="Times New Roman"/>
                <w:sz w:val="21"/>
              </w:rPr>
              <w:t>,90</w:t>
            </w:r>
          </w:p>
          <w:p>
            <w:pPr>
              <w:pStyle w:val="TableParagraph"/>
              <w:spacing w:line="228" w:lineRule="exact"/>
              <w:ind w:right="95"/>
              <w:jc w:val="right"/>
              <w:rPr>
                <w:rFonts w:ascii="Times New Roman"/>
                <w:sz w:val="21"/>
              </w:rPr>
            </w:pPr>
            <w:r>
              <w:rPr>
                <w:rFonts w:ascii="Times New Roman"/>
                <w:w w:val="100"/>
                <w:sz w:val="21"/>
              </w:rPr>
              <w:t>7</w:t>
            </w:r>
          </w:p>
        </w:tc>
        <w:tc>
          <w:tcPr>
            <w:tcW w:w="571" w:type="dxa"/>
          </w:tcPr>
          <w:p>
            <w:pPr>
              <w:pStyle w:val="TableParagraph"/>
              <w:spacing w:line="241" w:lineRule="exact" w:before="116"/>
              <w:ind w:right="97"/>
              <w:jc w:val="right"/>
              <w:rPr>
                <w:rFonts w:ascii="Times New Roman"/>
                <w:sz w:val="21"/>
              </w:rPr>
            </w:pPr>
            <w:r>
              <w:rPr>
                <w:rFonts w:ascii="Times New Roman"/>
                <w:w w:val="100"/>
                <w:sz w:val="21"/>
              </w:rPr>
              <w:t>-</w:t>
            </w:r>
          </w:p>
          <w:p>
            <w:pPr>
              <w:pStyle w:val="TableParagraph"/>
              <w:spacing w:line="241" w:lineRule="exact"/>
              <w:ind w:right="95"/>
              <w:jc w:val="right"/>
              <w:rPr>
                <w:rFonts w:ascii="Times New Roman"/>
                <w:sz w:val="21"/>
              </w:rPr>
            </w:pPr>
            <w:r>
              <w:rPr>
                <w:rFonts w:ascii="Times New Roman"/>
                <w:sz w:val="21"/>
              </w:rPr>
              <w:t>17,</w:t>
            </w:r>
          </w:p>
          <w:p>
            <w:pPr>
              <w:pStyle w:val="TableParagraph"/>
              <w:spacing w:before="1"/>
              <w:ind w:right="95"/>
              <w:jc w:val="right"/>
              <w:rPr>
                <w:rFonts w:ascii="Times New Roman"/>
                <w:sz w:val="21"/>
              </w:rPr>
            </w:pPr>
            <w:r>
              <w:rPr>
                <w:rFonts w:ascii="Times New Roman"/>
                <w:sz w:val="21"/>
              </w:rPr>
              <w:t>550</w:t>
            </w:r>
          </w:p>
        </w:tc>
        <w:tc>
          <w:tcPr>
            <w:tcW w:w="259" w:type="dxa"/>
          </w:tcPr>
          <w:p>
            <w:pPr>
              <w:pStyle w:val="TableParagraph"/>
              <w:rPr>
                <w:rFonts w:ascii="Times New Roman"/>
                <w:sz w:val="20"/>
              </w:rPr>
            </w:pPr>
          </w:p>
        </w:tc>
        <w:tc>
          <w:tcPr>
            <w:tcW w:w="732" w:type="dxa"/>
          </w:tcPr>
          <w:p>
            <w:pPr>
              <w:pStyle w:val="TableParagraph"/>
              <w:spacing w:before="5"/>
              <w:rPr>
                <w:sz w:val="18"/>
              </w:rPr>
            </w:pPr>
          </w:p>
          <w:p>
            <w:pPr>
              <w:pStyle w:val="TableParagraph"/>
              <w:ind w:left="152"/>
              <w:rPr>
                <w:rFonts w:ascii="Times New Roman"/>
                <w:sz w:val="21"/>
              </w:rPr>
            </w:pPr>
            <w:r>
              <w:rPr>
                <w:rFonts w:ascii="Times New Roman"/>
                <w:sz w:val="21"/>
              </w:rPr>
              <w:t>2,771</w:t>
            </w:r>
          </w:p>
          <w:p>
            <w:pPr>
              <w:pStyle w:val="TableParagraph"/>
              <w:spacing w:before="1"/>
              <w:ind w:left="257"/>
              <w:rPr>
                <w:rFonts w:ascii="Times New Roman"/>
                <w:sz w:val="21"/>
              </w:rPr>
            </w:pPr>
            <w:r>
              <w:rPr>
                <w:rFonts w:ascii="Times New Roman"/>
                <w:sz w:val="21"/>
              </w:rPr>
              <w:t>,638</w:t>
            </w:r>
          </w:p>
        </w:tc>
        <w:tc>
          <w:tcPr>
            <w:tcW w:w="259" w:type="dxa"/>
          </w:tcPr>
          <w:p>
            <w:pPr>
              <w:pStyle w:val="TableParagraph"/>
              <w:rPr>
                <w:rFonts w:ascii="Times New Roman"/>
                <w:sz w:val="20"/>
              </w:rPr>
            </w:pPr>
          </w:p>
        </w:tc>
        <w:tc>
          <w:tcPr>
            <w:tcW w:w="801" w:type="dxa"/>
          </w:tcPr>
          <w:p>
            <w:pPr>
              <w:pStyle w:val="TableParagraph"/>
              <w:spacing w:before="5"/>
              <w:rPr>
                <w:sz w:val="18"/>
              </w:rPr>
            </w:pPr>
          </w:p>
          <w:p>
            <w:pPr>
              <w:pStyle w:val="TableParagraph"/>
              <w:ind w:right="91"/>
              <w:jc w:val="right"/>
              <w:rPr>
                <w:rFonts w:ascii="Times New Roman"/>
                <w:sz w:val="21"/>
              </w:rPr>
            </w:pPr>
            <w:r>
              <w:rPr>
                <w:rFonts w:ascii="Times New Roman"/>
                <w:sz w:val="21"/>
              </w:rPr>
              <w:t>68,782</w:t>
            </w:r>
          </w:p>
          <w:p>
            <w:pPr>
              <w:pStyle w:val="TableParagraph"/>
              <w:spacing w:before="1"/>
              <w:ind w:right="91"/>
              <w:jc w:val="right"/>
              <w:rPr>
                <w:rFonts w:ascii="Times New Roman"/>
                <w:sz w:val="21"/>
              </w:rPr>
            </w:pPr>
            <w:r>
              <w:rPr>
                <w:rFonts w:ascii="Times New Roman"/>
                <w:sz w:val="21"/>
              </w:rPr>
              <w:t>,923</w:t>
            </w:r>
          </w:p>
        </w:tc>
        <w:tc>
          <w:tcPr>
            <w:tcW w:w="259" w:type="dxa"/>
          </w:tcPr>
          <w:p>
            <w:pPr>
              <w:pStyle w:val="TableParagraph"/>
              <w:rPr>
                <w:rFonts w:ascii="Times New Roman"/>
                <w:sz w:val="20"/>
              </w:rPr>
            </w:pPr>
          </w:p>
        </w:tc>
        <w:tc>
          <w:tcPr>
            <w:tcW w:w="867" w:type="dxa"/>
          </w:tcPr>
          <w:p>
            <w:pPr>
              <w:pStyle w:val="TableParagraph"/>
              <w:spacing w:before="5"/>
              <w:rPr>
                <w:sz w:val="18"/>
              </w:rPr>
            </w:pPr>
          </w:p>
          <w:p>
            <w:pPr>
              <w:pStyle w:val="TableParagraph"/>
              <w:ind w:left="181"/>
              <w:rPr>
                <w:rFonts w:ascii="Times New Roman"/>
                <w:sz w:val="21"/>
              </w:rPr>
            </w:pPr>
            <w:r>
              <w:rPr>
                <w:rFonts w:ascii="Times New Roman"/>
                <w:sz w:val="21"/>
              </w:rPr>
              <w:t>119,18</w:t>
            </w:r>
          </w:p>
          <w:p>
            <w:pPr>
              <w:pStyle w:val="TableParagraph"/>
              <w:spacing w:before="1"/>
              <w:ind w:left="287"/>
              <w:rPr>
                <w:rFonts w:ascii="Times New Roman"/>
                <w:sz w:val="21"/>
              </w:rPr>
            </w:pPr>
            <w:r>
              <w:rPr>
                <w:rFonts w:ascii="Times New Roman"/>
                <w:sz w:val="21"/>
              </w:rPr>
              <w:t>0,602</w:t>
            </w:r>
          </w:p>
        </w:tc>
        <w:tc>
          <w:tcPr>
            <w:tcW w:w="605" w:type="dxa"/>
          </w:tcPr>
          <w:p>
            <w:pPr>
              <w:pStyle w:val="TableParagraph"/>
              <w:spacing w:before="5"/>
              <w:rPr>
                <w:sz w:val="18"/>
              </w:rPr>
            </w:pPr>
          </w:p>
          <w:p>
            <w:pPr>
              <w:pStyle w:val="TableParagraph"/>
              <w:ind w:left="131"/>
              <w:rPr>
                <w:rFonts w:ascii="Times New Roman"/>
                <w:sz w:val="21"/>
              </w:rPr>
            </w:pPr>
            <w:r>
              <w:rPr>
                <w:rFonts w:ascii="Times New Roman"/>
                <w:sz w:val="21"/>
              </w:rPr>
              <w:t>307,</w:t>
            </w:r>
          </w:p>
          <w:p>
            <w:pPr>
              <w:pStyle w:val="TableParagraph"/>
              <w:spacing w:before="1"/>
              <w:ind w:left="184"/>
              <w:rPr>
                <w:rFonts w:ascii="Times New Roman"/>
                <w:sz w:val="21"/>
              </w:rPr>
            </w:pPr>
            <w:r>
              <w:rPr>
                <w:rFonts w:ascii="Times New Roman"/>
                <w:sz w:val="21"/>
              </w:rPr>
              <w:t>088</w:t>
            </w:r>
          </w:p>
        </w:tc>
        <w:tc>
          <w:tcPr>
            <w:tcW w:w="864" w:type="dxa"/>
          </w:tcPr>
          <w:p>
            <w:pPr>
              <w:pStyle w:val="TableParagraph"/>
              <w:spacing w:before="5"/>
              <w:rPr>
                <w:sz w:val="18"/>
              </w:rPr>
            </w:pPr>
          </w:p>
          <w:p>
            <w:pPr>
              <w:pStyle w:val="TableParagraph"/>
              <w:ind w:left="179"/>
              <w:rPr>
                <w:rFonts w:ascii="Times New Roman"/>
                <w:sz w:val="21"/>
              </w:rPr>
            </w:pPr>
            <w:r>
              <w:rPr>
                <w:rFonts w:ascii="Times New Roman"/>
                <w:sz w:val="21"/>
              </w:rPr>
              <w:t>119,48</w:t>
            </w:r>
          </w:p>
          <w:p>
            <w:pPr>
              <w:pStyle w:val="TableParagraph"/>
              <w:spacing w:before="1"/>
              <w:ind w:left="284"/>
              <w:rPr>
                <w:rFonts w:ascii="Times New Roman"/>
                <w:sz w:val="21"/>
              </w:rPr>
            </w:pPr>
            <w:r>
              <w:rPr>
                <w:rFonts w:ascii="Times New Roman"/>
                <w:sz w:val="21"/>
              </w:rPr>
              <w:t>7,690</w:t>
            </w:r>
          </w:p>
        </w:tc>
      </w:tr>
      <w:tr>
        <w:trPr>
          <w:trHeight w:val="933" w:hRule="atLeast"/>
        </w:trPr>
        <w:tc>
          <w:tcPr>
            <w:tcW w:w="614" w:type="dxa"/>
          </w:tcPr>
          <w:p>
            <w:pPr>
              <w:pStyle w:val="TableParagraph"/>
              <w:spacing w:line="242" w:lineRule="auto"/>
              <w:ind w:left="107" w:right="134"/>
              <w:jc w:val="both"/>
              <w:rPr>
                <w:sz w:val="18"/>
              </w:rPr>
            </w:pPr>
            <w:r>
              <w:rPr>
                <w:spacing w:val="-2"/>
                <w:sz w:val="18"/>
              </w:rPr>
              <w:t>加：</w:t>
            </w:r>
            <w:r>
              <w:rPr>
                <w:spacing w:val="-88"/>
                <w:sz w:val="18"/>
              </w:rPr>
              <w:t> </w:t>
            </w:r>
            <w:r>
              <w:rPr>
                <w:spacing w:val="-2"/>
                <w:sz w:val="18"/>
              </w:rPr>
              <w:t>会计</w:t>
            </w:r>
            <w:r>
              <w:rPr>
                <w:spacing w:val="-9"/>
                <w:sz w:val="18"/>
              </w:rPr>
              <w:t>政策</w:t>
            </w:r>
          </w:p>
          <w:p>
            <w:pPr>
              <w:pStyle w:val="TableParagraph"/>
              <w:spacing w:line="213" w:lineRule="exact" w:before="2"/>
              <w:ind w:left="107"/>
              <w:rPr>
                <w:sz w:val="18"/>
              </w:rPr>
            </w:pPr>
            <w:r>
              <w:rPr>
                <w:spacing w:val="-1"/>
                <w:sz w:val="18"/>
              </w:rPr>
              <w:t>变更</w:t>
            </w:r>
            <w:r>
              <w:rPr>
                <w:sz w:val="18"/>
              </w:rPr>
              <w:t> </w:t>
            </w:r>
          </w:p>
        </w:tc>
        <w:tc>
          <w:tcPr>
            <w:tcW w:w="801" w:type="dxa"/>
          </w:tcPr>
          <w:p>
            <w:pPr>
              <w:pStyle w:val="TableParagraph"/>
              <w:rPr>
                <w:rFonts w:ascii="Times New Roman"/>
                <w:sz w:val="20"/>
              </w:rPr>
            </w:pPr>
          </w:p>
        </w:tc>
        <w:tc>
          <w:tcPr>
            <w:tcW w:w="259" w:type="dxa"/>
          </w:tcPr>
          <w:p>
            <w:pPr>
              <w:pStyle w:val="TableParagraph"/>
              <w:rPr>
                <w:rFonts w:ascii="Times New Roman"/>
                <w:sz w:val="20"/>
              </w:rPr>
            </w:pPr>
          </w:p>
        </w:tc>
        <w:tc>
          <w:tcPr>
            <w:tcW w:w="257" w:type="dxa"/>
          </w:tcPr>
          <w:p>
            <w:pPr>
              <w:pStyle w:val="TableParagraph"/>
              <w:rPr>
                <w:rFonts w:ascii="Times New Roman"/>
                <w:sz w:val="20"/>
              </w:rPr>
            </w:pPr>
          </w:p>
        </w:tc>
        <w:tc>
          <w:tcPr>
            <w:tcW w:w="260" w:type="dxa"/>
          </w:tcPr>
          <w:p>
            <w:pPr>
              <w:pStyle w:val="TableParagraph"/>
              <w:rPr>
                <w:rFonts w:ascii="Times New Roman"/>
                <w:sz w:val="20"/>
              </w:rPr>
            </w:pPr>
          </w:p>
        </w:tc>
        <w:tc>
          <w:tcPr>
            <w:tcW w:w="857" w:type="dxa"/>
          </w:tcPr>
          <w:p>
            <w:pPr>
              <w:pStyle w:val="TableParagraph"/>
              <w:rPr>
                <w:rFonts w:ascii="Times New Roman"/>
                <w:sz w:val="20"/>
              </w:rPr>
            </w:pPr>
          </w:p>
        </w:tc>
        <w:tc>
          <w:tcPr>
            <w:tcW w:w="557" w:type="dxa"/>
          </w:tcPr>
          <w:p>
            <w:pPr>
              <w:pStyle w:val="TableParagraph"/>
              <w:rPr>
                <w:rFonts w:ascii="Times New Roman"/>
                <w:sz w:val="20"/>
              </w:rPr>
            </w:pPr>
          </w:p>
        </w:tc>
        <w:tc>
          <w:tcPr>
            <w:tcW w:w="571" w:type="dxa"/>
          </w:tcPr>
          <w:p>
            <w:pPr>
              <w:pStyle w:val="TableParagraph"/>
              <w:rPr>
                <w:rFonts w:ascii="Times New Roman"/>
                <w:sz w:val="20"/>
              </w:rPr>
            </w:pPr>
          </w:p>
        </w:tc>
        <w:tc>
          <w:tcPr>
            <w:tcW w:w="259" w:type="dxa"/>
          </w:tcPr>
          <w:p>
            <w:pPr>
              <w:pStyle w:val="TableParagraph"/>
              <w:rPr>
                <w:rFonts w:ascii="Times New Roman"/>
                <w:sz w:val="20"/>
              </w:rPr>
            </w:pPr>
          </w:p>
        </w:tc>
        <w:tc>
          <w:tcPr>
            <w:tcW w:w="732" w:type="dxa"/>
          </w:tcPr>
          <w:p>
            <w:pPr>
              <w:pStyle w:val="TableParagraph"/>
              <w:rPr>
                <w:rFonts w:ascii="Times New Roman"/>
                <w:sz w:val="20"/>
              </w:rPr>
            </w:pPr>
          </w:p>
        </w:tc>
        <w:tc>
          <w:tcPr>
            <w:tcW w:w="259" w:type="dxa"/>
          </w:tcPr>
          <w:p>
            <w:pPr>
              <w:pStyle w:val="TableParagraph"/>
              <w:rPr>
                <w:rFonts w:ascii="Times New Roman"/>
                <w:sz w:val="20"/>
              </w:rPr>
            </w:pPr>
          </w:p>
        </w:tc>
        <w:tc>
          <w:tcPr>
            <w:tcW w:w="801" w:type="dxa"/>
          </w:tcPr>
          <w:p>
            <w:pPr>
              <w:pStyle w:val="TableParagraph"/>
              <w:rPr>
                <w:rFonts w:ascii="Times New Roman"/>
                <w:sz w:val="20"/>
              </w:rPr>
            </w:pPr>
          </w:p>
        </w:tc>
        <w:tc>
          <w:tcPr>
            <w:tcW w:w="259" w:type="dxa"/>
          </w:tcPr>
          <w:p>
            <w:pPr>
              <w:pStyle w:val="TableParagraph"/>
              <w:rPr>
                <w:rFonts w:ascii="Times New Roman"/>
                <w:sz w:val="20"/>
              </w:rPr>
            </w:pPr>
          </w:p>
        </w:tc>
        <w:tc>
          <w:tcPr>
            <w:tcW w:w="867" w:type="dxa"/>
          </w:tcPr>
          <w:p>
            <w:pPr>
              <w:pStyle w:val="TableParagraph"/>
              <w:rPr>
                <w:rFonts w:ascii="Times New Roman"/>
                <w:sz w:val="20"/>
              </w:rPr>
            </w:pPr>
          </w:p>
        </w:tc>
        <w:tc>
          <w:tcPr>
            <w:tcW w:w="605" w:type="dxa"/>
          </w:tcPr>
          <w:p>
            <w:pPr>
              <w:pStyle w:val="TableParagraph"/>
              <w:rPr>
                <w:rFonts w:ascii="Times New Roman"/>
                <w:sz w:val="20"/>
              </w:rPr>
            </w:pPr>
          </w:p>
        </w:tc>
        <w:tc>
          <w:tcPr>
            <w:tcW w:w="864" w:type="dxa"/>
          </w:tcPr>
          <w:p>
            <w:pPr>
              <w:pStyle w:val="TableParagraph"/>
              <w:rPr>
                <w:rFonts w:ascii="Times New Roman"/>
                <w:sz w:val="20"/>
              </w:rPr>
            </w:pPr>
          </w:p>
        </w:tc>
      </w:tr>
      <w:tr>
        <w:trPr>
          <w:trHeight w:val="933" w:hRule="atLeast"/>
        </w:trPr>
        <w:tc>
          <w:tcPr>
            <w:tcW w:w="614" w:type="dxa"/>
          </w:tcPr>
          <w:p>
            <w:pPr>
              <w:pStyle w:val="TableParagraph"/>
              <w:spacing w:before="3"/>
              <w:rPr>
                <w:sz w:val="17"/>
              </w:rPr>
            </w:pPr>
          </w:p>
          <w:p>
            <w:pPr>
              <w:pStyle w:val="TableParagraph"/>
              <w:spacing w:line="230" w:lineRule="atLeast"/>
              <w:ind w:left="107" w:right="134"/>
              <w:jc w:val="both"/>
              <w:rPr>
                <w:sz w:val="18"/>
              </w:rPr>
            </w:pPr>
            <w:r>
              <w:rPr>
                <w:spacing w:val="-2"/>
                <w:sz w:val="18"/>
              </w:rPr>
              <w:t>期差错更</w:t>
            </w:r>
            <w:r>
              <w:rPr>
                <w:sz w:val="18"/>
              </w:rPr>
              <w:t>正 </w:t>
            </w:r>
          </w:p>
        </w:tc>
        <w:tc>
          <w:tcPr>
            <w:tcW w:w="801" w:type="dxa"/>
          </w:tcPr>
          <w:p>
            <w:pPr>
              <w:pStyle w:val="TableParagraph"/>
              <w:rPr>
                <w:rFonts w:ascii="Times New Roman"/>
                <w:sz w:val="20"/>
              </w:rPr>
            </w:pPr>
          </w:p>
        </w:tc>
        <w:tc>
          <w:tcPr>
            <w:tcW w:w="259" w:type="dxa"/>
          </w:tcPr>
          <w:p>
            <w:pPr>
              <w:pStyle w:val="TableParagraph"/>
              <w:rPr>
                <w:rFonts w:ascii="Times New Roman"/>
                <w:sz w:val="20"/>
              </w:rPr>
            </w:pPr>
          </w:p>
        </w:tc>
        <w:tc>
          <w:tcPr>
            <w:tcW w:w="257" w:type="dxa"/>
          </w:tcPr>
          <w:p>
            <w:pPr>
              <w:pStyle w:val="TableParagraph"/>
              <w:rPr>
                <w:rFonts w:ascii="Times New Roman"/>
                <w:sz w:val="20"/>
              </w:rPr>
            </w:pPr>
          </w:p>
        </w:tc>
        <w:tc>
          <w:tcPr>
            <w:tcW w:w="260" w:type="dxa"/>
          </w:tcPr>
          <w:p>
            <w:pPr>
              <w:pStyle w:val="TableParagraph"/>
              <w:rPr>
                <w:rFonts w:ascii="Times New Roman"/>
                <w:sz w:val="20"/>
              </w:rPr>
            </w:pPr>
          </w:p>
        </w:tc>
        <w:tc>
          <w:tcPr>
            <w:tcW w:w="857" w:type="dxa"/>
          </w:tcPr>
          <w:p>
            <w:pPr>
              <w:pStyle w:val="TableParagraph"/>
              <w:rPr>
                <w:rFonts w:ascii="Times New Roman"/>
                <w:sz w:val="20"/>
              </w:rPr>
            </w:pPr>
          </w:p>
        </w:tc>
        <w:tc>
          <w:tcPr>
            <w:tcW w:w="557" w:type="dxa"/>
          </w:tcPr>
          <w:p>
            <w:pPr>
              <w:pStyle w:val="TableParagraph"/>
              <w:rPr>
                <w:rFonts w:ascii="Times New Roman"/>
                <w:sz w:val="20"/>
              </w:rPr>
            </w:pPr>
          </w:p>
        </w:tc>
        <w:tc>
          <w:tcPr>
            <w:tcW w:w="571" w:type="dxa"/>
          </w:tcPr>
          <w:p>
            <w:pPr>
              <w:pStyle w:val="TableParagraph"/>
              <w:rPr>
                <w:rFonts w:ascii="Times New Roman"/>
                <w:sz w:val="20"/>
              </w:rPr>
            </w:pPr>
          </w:p>
        </w:tc>
        <w:tc>
          <w:tcPr>
            <w:tcW w:w="259" w:type="dxa"/>
          </w:tcPr>
          <w:p>
            <w:pPr>
              <w:pStyle w:val="TableParagraph"/>
              <w:rPr>
                <w:rFonts w:ascii="Times New Roman"/>
                <w:sz w:val="20"/>
              </w:rPr>
            </w:pPr>
          </w:p>
        </w:tc>
        <w:tc>
          <w:tcPr>
            <w:tcW w:w="732" w:type="dxa"/>
          </w:tcPr>
          <w:p>
            <w:pPr>
              <w:pStyle w:val="TableParagraph"/>
              <w:rPr>
                <w:rFonts w:ascii="Times New Roman"/>
                <w:sz w:val="20"/>
              </w:rPr>
            </w:pPr>
          </w:p>
        </w:tc>
        <w:tc>
          <w:tcPr>
            <w:tcW w:w="259" w:type="dxa"/>
          </w:tcPr>
          <w:p>
            <w:pPr>
              <w:pStyle w:val="TableParagraph"/>
              <w:rPr>
                <w:rFonts w:ascii="Times New Roman"/>
                <w:sz w:val="20"/>
              </w:rPr>
            </w:pPr>
          </w:p>
        </w:tc>
        <w:tc>
          <w:tcPr>
            <w:tcW w:w="801" w:type="dxa"/>
          </w:tcPr>
          <w:p>
            <w:pPr>
              <w:pStyle w:val="TableParagraph"/>
              <w:rPr>
                <w:rFonts w:ascii="Times New Roman"/>
                <w:sz w:val="20"/>
              </w:rPr>
            </w:pPr>
          </w:p>
        </w:tc>
        <w:tc>
          <w:tcPr>
            <w:tcW w:w="259" w:type="dxa"/>
          </w:tcPr>
          <w:p>
            <w:pPr>
              <w:pStyle w:val="TableParagraph"/>
              <w:rPr>
                <w:rFonts w:ascii="Times New Roman"/>
                <w:sz w:val="20"/>
              </w:rPr>
            </w:pPr>
          </w:p>
        </w:tc>
        <w:tc>
          <w:tcPr>
            <w:tcW w:w="867" w:type="dxa"/>
          </w:tcPr>
          <w:p>
            <w:pPr>
              <w:pStyle w:val="TableParagraph"/>
              <w:rPr>
                <w:rFonts w:ascii="Times New Roman"/>
                <w:sz w:val="20"/>
              </w:rPr>
            </w:pPr>
          </w:p>
        </w:tc>
        <w:tc>
          <w:tcPr>
            <w:tcW w:w="605" w:type="dxa"/>
          </w:tcPr>
          <w:p>
            <w:pPr>
              <w:pStyle w:val="TableParagraph"/>
              <w:rPr>
                <w:rFonts w:ascii="Times New Roman"/>
                <w:sz w:val="20"/>
              </w:rPr>
            </w:pPr>
          </w:p>
        </w:tc>
        <w:tc>
          <w:tcPr>
            <w:tcW w:w="864" w:type="dxa"/>
          </w:tcPr>
          <w:p>
            <w:pPr>
              <w:pStyle w:val="TableParagraph"/>
              <w:rPr>
                <w:rFonts w:ascii="Times New Roman"/>
                <w:sz w:val="20"/>
              </w:rPr>
            </w:pPr>
          </w:p>
        </w:tc>
      </w:tr>
      <w:tr>
        <w:trPr>
          <w:trHeight w:val="1168" w:hRule="atLeast"/>
        </w:trPr>
        <w:tc>
          <w:tcPr>
            <w:tcW w:w="614" w:type="dxa"/>
          </w:tcPr>
          <w:p>
            <w:pPr>
              <w:pStyle w:val="TableParagraph"/>
              <w:spacing w:before="4"/>
              <w:rPr>
                <w:sz w:val="18"/>
              </w:rPr>
            </w:pPr>
          </w:p>
          <w:p>
            <w:pPr>
              <w:pStyle w:val="TableParagraph"/>
              <w:spacing w:line="242" w:lineRule="auto"/>
              <w:ind w:left="107" w:right="134"/>
              <w:jc w:val="both"/>
              <w:rPr>
                <w:sz w:val="18"/>
              </w:rPr>
            </w:pPr>
            <w:r>
              <w:rPr>
                <w:spacing w:val="-2"/>
                <w:sz w:val="18"/>
              </w:rPr>
              <w:t>一控制下</w:t>
            </w:r>
            <w:r>
              <w:rPr>
                <w:spacing w:val="-9"/>
                <w:sz w:val="18"/>
              </w:rPr>
              <w:t>企业</w:t>
            </w:r>
          </w:p>
          <w:p>
            <w:pPr>
              <w:pStyle w:val="TableParagraph"/>
              <w:spacing w:line="213" w:lineRule="exact" w:before="2"/>
              <w:ind w:left="107"/>
              <w:rPr>
                <w:sz w:val="18"/>
              </w:rPr>
            </w:pPr>
            <w:r>
              <w:rPr>
                <w:spacing w:val="-1"/>
                <w:sz w:val="18"/>
              </w:rPr>
              <w:t>合并</w:t>
            </w:r>
            <w:r>
              <w:rPr>
                <w:sz w:val="18"/>
              </w:rPr>
              <w:t> </w:t>
            </w:r>
          </w:p>
        </w:tc>
        <w:tc>
          <w:tcPr>
            <w:tcW w:w="801" w:type="dxa"/>
          </w:tcPr>
          <w:p>
            <w:pPr>
              <w:pStyle w:val="TableParagraph"/>
              <w:rPr>
                <w:rFonts w:ascii="Times New Roman"/>
                <w:sz w:val="20"/>
              </w:rPr>
            </w:pPr>
          </w:p>
        </w:tc>
        <w:tc>
          <w:tcPr>
            <w:tcW w:w="259" w:type="dxa"/>
          </w:tcPr>
          <w:p>
            <w:pPr>
              <w:pStyle w:val="TableParagraph"/>
              <w:rPr>
                <w:rFonts w:ascii="Times New Roman"/>
                <w:sz w:val="20"/>
              </w:rPr>
            </w:pPr>
          </w:p>
        </w:tc>
        <w:tc>
          <w:tcPr>
            <w:tcW w:w="257" w:type="dxa"/>
          </w:tcPr>
          <w:p>
            <w:pPr>
              <w:pStyle w:val="TableParagraph"/>
              <w:rPr>
                <w:rFonts w:ascii="Times New Roman"/>
                <w:sz w:val="20"/>
              </w:rPr>
            </w:pPr>
          </w:p>
        </w:tc>
        <w:tc>
          <w:tcPr>
            <w:tcW w:w="260" w:type="dxa"/>
          </w:tcPr>
          <w:p>
            <w:pPr>
              <w:pStyle w:val="TableParagraph"/>
              <w:rPr>
                <w:rFonts w:ascii="Times New Roman"/>
                <w:sz w:val="20"/>
              </w:rPr>
            </w:pPr>
          </w:p>
        </w:tc>
        <w:tc>
          <w:tcPr>
            <w:tcW w:w="857" w:type="dxa"/>
          </w:tcPr>
          <w:p>
            <w:pPr>
              <w:pStyle w:val="TableParagraph"/>
              <w:rPr>
                <w:rFonts w:ascii="Times New Roman"/>
                <w:sz w:val="20"/>
              </w:rPr>
            </w:pPr>
          </w:p>
        </w:tc>
        <w:tc>
          <w:tcPr>
            <w:tcW w:w="557" w:type="dxa"/>
          </w:tcPr>
          <w:p>
            <w:pPr>
              <w:pStyle w:val="TableParagraph"/>
              <w:rPr>
                <w:rFonts w:ascii="Times New Roman"/>
                <w:sz w:val="20"/>
              </w:rPr>
            </w:pPr>
          </w:p>
        </w:tc>
        <w:tc>
          <w:tcPr>
            <w:tcW w:w="571" w:type="dxa"/>
          </w:tcPr>
          <w:p>
            <w:pPr>
              <w:pStyle w:val="TableParagraph"/>
              <w:rPr>
                <w:rFonts w:ascii="Times New Roman"/>
                <w:sz w:val="20"/>
              </w:rPr>
            </w:pPr>
          </w:p>
        </w:tc>
        <w:tc>
          <w:tcPr>
            <w:tcW w:w="259" w:type="dxa"/>
          </w:tcPr>
          <w:p>
            <w:pPr>
              <w:pStyle w:val="TableParagraph"/>
              <w:rPr>
                <w:rFonts w:ascii="Times New Roman"/>
                <w:sz w:val="20"/>
              </w:rPr>
            </w:pPr>
          </w:p>
        </w:tc>
        <w:tc>
          <w:tcPr>
            <w:tcW w:w="732" w:type="dxa"/>
          </w:tcPr>
          <w:p>
            <w:pPr>
              <w:pStyle w:val="TableParagraph"/>
              <w:rPr>
                <w:rFonts w:ascii="Times New Roman"/>
                <w:sz w:val="20"/>
              </w:rPr>
            </w:pPr>
          </w:p>
        </w:tc>
        <w:tc>
          <w:tcPr>
            <w:tcW w:w="259" w:type="dxa"/>
          </w:tcPr>
          <w:p>
            <w:pPr>
              <w:pStyle w:val="TableParagraph"/>
              <w:rPr>
                <w:rFonts w:ascii="Times New Roman"/>
                <w:sz w:val="20"/>
              </w:rPr>
            </w:pPr>
          </w:p>
        </w:tc>
        <w:tc>
          <w:tcPr>
            <w:tcW w:w="801" w:type="dxa"/>
          </w:tcPr>
          <w:p>
            <w:pPr>
              <w:pStyle w:val="TableParagraph"/>
              <w:rPr>
                <w:rFonts w:ascii="Times New Roman"/>
                <w:sz w:val="20"/>
              </w:rPr>
            </w:pPr>
          </w:p>
        </w:tc>
        <w:tc>
          <w:tcPr>
            <w:tcW w:w="259" w:type="dxa"/>
          </w:tcPr>
          <w:p>
            <w:pPr>
              <w:pStyle w:val="TableParagraph"/>
              <w:rPr>
                <w:rFonts w:ascii="Times New Roman"/>
                <w:sz w:val="20"/>
              </w:rPr>
            </w:pPr>
          </w:p>
        </w:tc>
        <w:tc>
          <w:tcPr>
            <w:tcW w:w="867" w:type="dxa"/>
          </w:tcPr>
          <w:p>
            <w:pPr>
              <w:pStyle w:val="TableParagraph"/>
              <w:rPr>
                <w:rFonts w:ascii="Times New Roman"/>
                <w:sz w:val="20"/>
              </w:rPr>
            </w:pPr>
          </w:p>
        </w:tc>
        <w:tc>
          <w:tcPr>
            <w:tcW w:w="605" w:type="dxa"/>
          </w:tcPr>
          <w:p>
            <w:pPr>
              <w:pStyle w:val="TableParagraph"/>
              <w:rPr>
                <w:rFonts w:ascii="Times New Roman"/>
                <w:sz w:val="20"/>
              </w:rPr>
            </w:pPr>
          </w:p>
        </w:tc>
        <w:tc>
          <w:tcPr>
            <w:tcW w:w="864" w:type="dxa"/>
          </w:tcPr>
          <w:p>
            <w:pPr>
              <w:pStyle w:val="TableParagraph"/>
              <w:rPr>
                <w:rFonts w:ascii="Times New Roman"/>
                <w:sz w:val="20"/>
              </w:rPr>
            </w:pPr>
          </w:p>
        </w:tc>
      </w:tr>
      <w:tr>
        <w:trPr>
          <w:trHeight w:val="467" w:hRule="atLeast"/>
        </w:trPr>
        <w:tc>
          <w:tcPr>
            <w:tcW w:w="614" w:type="dxa"/>
          </w:tcPr>
          <w:p>
            <w:pPr>
              <w:pStyle w:val="TableParagraph"/>
              <w:spacing w:before="1"/>
              <w:rPr>
                <w:sz w:val="18"/>
              </w:rPr>
            </w:pPr>
          </w:p>
          <w:p>
            <w:pPr>
              <w:pStyle w:val="TableParagraph"/>
              <w:spacing w:line="215" w:lineRule="exact" w:before="1"/>
              <w:ind w:left="107"/>
              <w:rPr>
                <w:sz w:val="18"/>
              </w:rPr>
            </w:pPr>
            <w:r>
              <w:rPr>
                <w:sz w:val="18"/>
              </w:rPr>
              <w:t>他 </w:t>
            </w:r>
          </w:p>
        </w:tc>
        <w:tc>
          <w:tcPr>
            <w:tcW w:w="801" w:type="dxa"/>
          </w:tcPr>
          <w:p>
            <w:pPr>
              <w:pStyle w:val="TableParagraph"/>
              <w:rPr>
                <w:rFonts w:ascii="Times New Roman"/>
                <w:sz w:val="20"/>
              </w:rPr>
            </w:pPr>
          </w:p>
        </w:tc>
        <w:tc>
          <w:tcPr>
            <w:tcW w:w="259" w:type="dxa"/>
          </w:tcPr>
          <w:p>
            <w:pPr>
              <w:pStyle w:val="TableParagraph"/>
              <w:rPr>
                <w:rFonts w:ascii="Times New Roman"/>
                <w:sz w:val="20"/>
              </w:rPr>
            </w:pPr>
          </w:p>
        </w:tc>
        <w:tc>
          <w:tcPr>
            <w:tcW w:w="257" w:type="dxa"/>
          </w:tcPr>
          <w:p>
            <w:pPr>
              <w:pStyle w:val="TableParagraph"/>
              <w:rPr>
                <w:rFonts w:ascii="Times New Roman"/>
                <w:sz w:val="20"/>
              </w:rPr>
            </w:pPr>
          </w:p>
        </w:tc>
        <w:tc>
          <w:tcPr>
            <w:tcW w:w="260" w:type="dxa"/>
          </w:tcPr>
          <w:p>
            <w:pPr>
              <w:pStyle w:val="TableParagraph"/>
              <w:rPr>
                <w:rFonts w:ascii="Times New Roman"/>
                <w:sz w:val="20"/>
              </w:rPr>
            </w:pPr>
          </w:p>
        </w:tc>
        <w:tc>
          <w:tcPr>
            <w:tcW w:w="857" w:type="dxa"/>
          </w:tcPr>
          <w:p>
            <w:pPr>
              <w:pStyle w:val="TableParagraph"/>
              <w:rPr>
                <w:rFonts w:ascii="Times New Roman"/>
                <w:sz w:val="20"/>
              </w:rPr>
            </w:pPr>
          </w:p>
        </w:tc>
        <w:tc>
          <w:tcPr>
            <w:tcW w:w="557" w:type="dxa"/>
          </w:tcPr>
          <w:p>
            <w:pPr>
              <w:pStyle w:val="TableParagraph"/>
              <w:rPr>
                <w:rFonts w:ascii="Times New Roman"/>
                <w:sz w:val="20"/>
              </w:rPr>
            </w:pPr>
          </w:p>
        </w:tc>
        <w:tc>
          <w:tcPr>
            <w:tcW w:w="571" w:type="dxa"/>
          </w:tcPr>
          <w:p>
            <w:pPr>
              <w:pStyle w:val="TableParagraph"/>
              <w:rPr>
                <w:rFonts w:ascii="Times New Roman"/>
                <w:sz w:val="20"/>
              </w:rPr>
            </w:pPr>
          </w:p>
        </w:tc>
        <w:tc>
          <w:tcPr>
            <w:tcW w:w="259" w:type="dxa"/>
          </w:tcPr>
          <w:p>
            <w:pPr>
              <w:pStyle w:val="TableParagraph"/>
              <w:rPr>
                <w:rFonts w:ascii="Times New Roman"/>
                <w:sz w:val="20"/>
              </w:rPr>
            </w:pPr>
          </w:p>
        </w:tc>
        <w:tc>
          <w:tcPr>
            <w:tcW w:w="732" w:type="dxa"/>
          </w:tcPr>
          <w:p>
            <w:pPr>
              <w:pStyle w:val="TableParagraph"/>
              <w:rPr>
                <w:rFonts w:ascii="Times New Roman"/>
                <w:sz w:val="20"/>
              </w:rPr>
            </w:pPr>
          </w:p>
        </w:tc>
        <w:tc>
          <w:tcPr>
            <w:tcW w:w="259" w:type="dxa"/>
          </w:tcPr>
          <w:p>
            <w:pPr>
              <w:pStyle w:val="TableParagraph"/>
              <w:rPr>
                <w:rFonts w:ascii="Times New Roman"/>
                <w:sz w:val="20"/>
              </w:rPr>
            </w:pPr>
          </w:p>
        </w:tc>
        <w:tc>
          <w:tcPr>
            <w:tcW w:w="801" w:type="dxa"/>
          </w:tcPr>
          <w:p>
            <w:pPr>
              <w:pStyle w:val="TableParagraph"/>
              <w:rPr>
                <w:rFonts w:ascii="Times New Roman"/>
                <w:sz w:val="20"/>
              </w:rPr>
            </w:pPr>
          </w:p>
        </w:tc>
        <w:tc>
          <w:tcPr>
            <w:tcW w:w="259" w:type="dxa"/>
          </w:tcPr>
          <w:p>
            <w:pPr>
              <w:pStyle w:val="TableParagraph"/>
              <w:rPr>
                <w:rFonts w:ascii="Times New Roman"/>
                <w:sz w:val="20"/>
              </w:rPr>
            </w:pPr>
          </w:p>
        </w:tc>
        <w:tc>
          <w:tcPr>
            <w:tcW w:w="867" w:type="dxa"/>
          </w:tcPr>
          <w:p>
            <w:pPr>
              <w:pStyle w:val="TableParagraph"/>
              <w:rPr>
                <w:rFonts w:ascii="Times New Roman"/>
                <w:sz w:val="20"/>
              </w:rPr>
            </w:pPr>
          </w:p>
        </w:tc>
        <w:tc>
          <w:tcPr>
            <w:tcW w:w="605" w:type="dxa"/>
          </w:tcPr>
          <w:p>
            <w:pPr>
              <w:pStyle w:val="TableParagraph"/>
              <w:rPr>
                <w:rFonts w:ascii="Times New Roman"/>
                <w:sz w:val="20"/>
              </w:rPr>
            </w:pPr>
          </w:p>
        </w:tc>
        <w:tc>
          <w:tcPr>
            <w:tcW w:w="864" w:type="dxa"/>
          </w:tcPr>
          <w:p>
            <w:pPr>
              <w:pStyle w:val="TableParagraph"/>
              <w:rPr>
                <w:rFonts w:ascii="Times New Roman"/>
                <w:sz w:val="20"/>
              </w:rPr>
            </w:pPr>
          </w:p>
        </w:tc>
      </w:tr>
      <w:tr>
        <w:trPr>
          <w:trHeight w:val="964" w:hRule="atLeast"/>
        </w:trPr>
        <w:tc>
          <w:tcPr>
            <w:tcW w:w="614" w:type="dxa"/>
          </w:tcPr>
          <w:p>
            <w:pPr>
              <w:pStyle w:val="TableParagraph"/>
              <w:spacing w:line="242" w:lineRule="auto"/>
              <w:ind w:left="107" w:right="44"/>
              <w:jc w:val="both"/>
              <w:rPr>
                <w:sz w:val="18"/>
              </w:rPr>
            </w:pPr>
            <w:r>
              <w:rPr>
                <w:sz w:val="18"/>
              </w:rPr>
              <w:t>二、本年期初余额 </w:t>
            </w:r>
          </w:p>
        </w:tc>
        <w:tc>
          <w:tcPr>
            <w:tcW w:w="801" w:type="dxa"/>
          </w:tcPr>
          <w:p>
            <w:pPr>
              <w:pStyle w:val="TableParagraph"/>
              <w:spacing w:before="2"/>
              <w:rPr>
                <w:sz w:val="18"/>
              </w:rPr>
            </w:pPr>
          </w:p>
          <w:p>
            <w:pPr>
              <w:pStyle w:val="TableParagraph"/>
              <w:ind w:right="92"/>
              <w:jc w:val="right"/>
              <w:rPr>
                <w:rFonts w:ascii="Times New Roman"/>
                <w:sz w:val="21"/>
              </w:rPr>
            </w:pPr>
            <w:r>
              <w:rPr>
                <w:rFonts w:ascii="Times New Roman"/>
                <w:sz w:val="21"/>
              </w:rPr>
              <w:t>19,865</w:t>
            </w:r>
          </w:p>
          <w:p>
            <w:pPr>
              <w:pStyle w:val="TableParagraph"/>
              <w:spacing w:before="1"/>
              <w:ind w:right="92"/>
              <w:jc w:val="right"/>
              <w:rPr>
                <w:rFonts w:ascii="Times New Roman"/>
                <w:sz w:val="21"/>
              </w:rPr>
            </w:pPr>
            <w:r>
              <w:rPr>
                <w:rFonts w:ascii="Times New Roman"/>
                <w:sz w:val="21"/>
              </w:rPr>
              <w:t>,070</w:t>
            </w:r>
          </w:p>
        </w:tc>
        <w:tc>
          <w:tcPr>
            <w:tcW w:w="259" w:type="dxa"/>
          </w:tcPr>
          <w:p>
            <w:pPr>
              <w:pStyle w:val="TableParagraph"/>
              <w:rPr>
                <w:rFonts w:ascii="Times New Roman"/>
                <w:sz w:val="20"/>
              </w:rPr>
            </w:pPr>
          </w:p>
        </w:tc>
        <w:tc>
          <w:tcPr>
            <w:tcW w:w="257" w:type="dxa"/>
          </w:tcPr>
          <w:p>
            <w:pPr>
              <w:pStyle w:val="TableParagraph"/>
              <w:rPr>
                <w:rFonts w:ascii="Times New Roman"/>
                <w:sz w:val="20"/>
              </w:rPr>
            </w:pPr>
          </w:p>
        </w:tc>
        <w:tc>
          <w:tcPr>
            <w:tcW w:w="260" w:type="dxa"/>
          </w:tcPr>
          <w:p>
            <w:pPr>
              <w:pStyle w:val="TableParagraph"/>
              <w:rPr>
                <w:rFonts w:ascii="Times New Roman"/>
                <w:sz w:val="20"/>
              </w:rPr>
            </w:pPr>
          </w:p>
        </w:tc>
        <w:tc>
          <w:tcPr>
            <w:tcW w:w="857" w:type="dxa"/>
          </w:tcPr>
          <w:p>
            <w:pPr>
              <w:pStyle w:val="TableParagraph"/>
              <w:spacing w:before="2"/>
              <w:rPr>
                <w:sz w:val="18"/>
              </w:rPr>
            </w:pPr>
          </w:p>
          <w:p>
            <w:pPr>
              <w:pStyle w:val="TableParagraph"/>
              <w:ind w:right="93"/>
              <w:jc w:val="right"/>
              <w:rPr>
                <w:rFonts w:ascii="Times New Roman"/>
                <w:sz w:val="21"/>
              </w:rPr>
            </w:pPr>
            <w:r>
              <w:rPr>
                <w:rFonts w:ascii="Times New Roman"/>
                <w:sz w:val="21"/>
              </w:rPr>
              <w:t>28,297,</w:t>
            </w:r>
          </w:p>
          <w:p>
            <w:pPr>
              <w:pStyle w:val="TableParagraph"/>
              <w:spacing w:before="1"/>
              <w:ind w:right="93"/>
              <w:jc w:val="right"/>
              <w:rPr>
                <w:rFonts w:ascii="Times New Roman"/>
                <w:sz w:val="21"/>
              </w:rPr>
            </w:pPr>
            <w:r>
              <w:rPr>
                <w:rFonts w:ascii="Times New Roman"/>
                <w:sz w:val="21"/>
              </w:rPr>
              <w:t>428</w:t>
            </w:r>
          </w:p>
        </w:tc>
        <w:tc>
          <w:tcPr>
            <w:tcW w:w="557" w:type="dxa"/>
          </w:tcPr>
          <w:p>
            <w:pPr>
              <w:pStyle w:val="TableParagraph"/>
              <w:spacing w:line="237" w:lineRule="auto"/>
              <w:ind w:left="134" w:right="93" w:firstLine="244"/>
              <w:jc w:val="right"/>
              <w:rPr>
                <w:rFonts w:ascii="Times New Roman"/>
                <w:sz w:val="21"/>
              </w:rPr>
            </w:pPr>
            <w:r>
              <w:rPr>
                <w:rFonts w:ascii="Times New Roman"/>
                <w:sz w:val="21"/>
              </w:rPr>
              <w:t>-</w:t>
            </w:r>
            <w:r>
              <w:rPr>
                <w:rFonts w:ascii="Times New Roman"/>
                <w:spacing w:val="-50"/>
                <w:sz w:val="21"/>
              </w:rPr>
              <w:t> </w:t>
            </w:r>
            <w:r>
              <w:rPr>
                <w:rFonts w:ascii="Times New Roman"/>
                <w:sz w:val="21"/>
              </w:rPr>
              <w:t>518</w:t>
            </w:r>
          </w:p>
          <w:p>
            <w:pPr>
              <w:pStyle w:val="TableParagraph"/>
              <w:ind w:right="93"/>
              <w:jc w:val="right"/>
              <w:rPr>
                <w:rFonts w:ascii="Times New Roman"/>
                <w:sz w:val="21"/>
              </w:rPr>
            </w:pPr>
            <w:r>
              <w:rPr>
                <w:rFonts w:ascii="Times New Roman"/>
                <w:sz w:val="21"/>
              </w:rPr>
              <w:t>,90</w:t>
            </w:r>
          </w:p>
          <w:p>
            <w:pPr>
              <w:pStyle w:val="TableParagraph"/>
              <w:spacing w:line="226" w:lineRule="exact"/>
              <w:ind w:right="95"/>
              <w:jc w:val="right"/>
              <w:rPr>
                <w:rFonts w:ascii="Times New Roman"/>
                <w:sz w:val="21"/>
              </w:rPr>
            </w:pPr>
            <w:r>
              <w:rPr>
                <w:rFonts w:ascii="Times New Roman"/>
                <w:w w:val="100"/>
                <w:sz w:val="21"/>
              </w:rPr>
              <w:t>7</w:t>
            </w:r>
          </w:p>
        </w:tc>
        <w:tc>
          <w:tcPr>
            <w:tcW w:w="571" w:type="dxa"/>
          </w:tcPr>
          <w:p>
            <w:pPr>
              <w:pStyle w:val="TableParagraph"/>
              <w:spacing w:before="113"/>
              <w:ind w:right="97"/>
              <w:jc w:val="right"/>
              <w:rPr>
                <w:rFonts w:ascii="Times New Roman"/>
                <w:sz w:val="21"/>
              </w:rPr>
            </w:pPr>
            <w:r>
              <w:rPr>
                <w:rFonts w:ascii="Times New Roman"/>
                <w:w w:val="100"/>
                <w:sz w:val="21"/>
              </w:rPr>
              <w:t>-</w:t>
            </w:r>
          </w:p>
          <w:p>
            <w:pPr>
              <w:pStyle w:val="TableParagraph"/>
              <w:spacing w:line="241" w:lineRule="exact" w:before="1"/>
              <w:ind w:right="95"/>
              <w:jc w:val="right"/>
              <w:rPr>
                <w:rFonts w:ascii="Times New Roman"/>
                <w:sz w:val="21"/>
              </w:rPr>
            </w:pPr>
            <w:r>
              <w:rPr>
                <w:rFonts w:ascii="Times New Roman"/>
                <w:sz w:val="21"/>
              </w:rPr>
              <w:t>17,</w:t>
            </w:r>
          </w:p>
          <w:p>
            <w:pPr>
              <w:pStyle w:val="TableParagraph"/>
              <w:spacing w:line="241" w:lineRule="exact"/>
              <w:ind w:right="95"/>
              <w:jc w:val="right"/>
              <w:rPr>
                <w:rFonts w:ascii="Times New Roman"/>
                <w:sz w:val="21"/>
              </w:rPr>
            </w:pPr>
            <w:r>
              <w:rPr>
                <w:rFonts w:ascii="Times New Roman"/>
                <w:sz w:val="21"/>
              </w:rPr>
              <w:t>550</w:t>
            </w:r>
          </w:p>
        </w:tc>
        <w:tc>
          <w:tcPr>
            <w:tcW w:w="259" w:type="dxa"/>
          </w:tcPr>
          <w:p>
            <w:pPr>
              <w:pStyle w:val="TableParagraph"/>
              <w:rPr>
                <w:rFonts w:ascii="Times New Roman"/>
                <w:sz w:val="20"/>
              </w:rPr>
            </w:pPr>
          </w:p>
        </w:tc>
        <w:tc>
          <w:tcPr>
            <w:tcW w:w="732" w:type="dxa"/>
          </w:tcPr>
          <w:p>
            <w:pPr>
              <w:pStyle w:val="TableParagraph"/>
              <w:spacing w:before="2"/>
              <w:rPr>
                <w:sz w:val="18"/>
              </w:rPr>
            </w:pPr>
          </w:p>
          <w:p>
            <w:pPr>
              <w:pStyle w:val="TableParagraph"/>
              <w:ind w:left="152"/>
              <w:rPr>
                <w:rFonts w:ascii="Times New Roman"/>
                <w:sz w:val="21"/>
              </w:rPr>
            </w:pPr>
            <w:r>
              <w:rPr>
                <w:rFonts w:ascii="Times New Roman"/>
                <w:sz w:val="21"/>
              </w:rPr>
              <w:t>2,771</w:t>
            </w:r>
          </w:p>
          <w:p>
            <w:pPr>
              <w:pStyle w:val="TableParagraph"/>
              <w:spacing w:before="1"/>
              <w:ind w:left="257"/>
              <w:rPr>
                <w:rFonts w:ascii="Times New Roman"/>
                <w:sz w:val="21"/>
              </w:rPr>
            </w:pPr>
            <w:r>
              <w:rPr>
                <w:rFonts w:ascii="Times New Roman"/>
                <w:sz w:val="21"/>
              </w:rPr>
              <w:t>,638</w:t>
            </w:r>
          </w:p>
        </w:tc>
        <w:tc>
          <w:tcPr>
            <w:tcW w:w="259" w:type="dxa"/>
          </w:tcPr>
          <w:p>
            <w:pPr>
              <w:pStyle w:val="TableParagraph"/>
              <w:rPr>
                <w:rFonts w:ascii="Times New Roman"/>
                <w:sz w:val="20"/>
              </w:rPr>
            </w:pPr>
          </w:p>
        </w:tc>
        <w:tc>
          <w:tcPr>
            <w:tcW w:w="801" w:type="dxa"/>
          </w:tcPr>
          <w:p>
            <w:pPr>
              <w:pStyle w:val="TableParagraph"/>
              <w:spacing w:before="2"/>
              <w:rPr>
                <w:sz w:val="18"/>
              </w:rPr>
            </w:pPr>
          </w:p>
          <w:p>
            <w:pPr>
              <w:pStyle w:val="TableParagraph"/>
              <w:ind w:right="91"/>
              <w:jc w:val="right"/>
              <w:rPr>
                <w:rFonts w:ascii="Times New Roman"/>
                <w:sz w:val="21"/>
              </w:rPr>
            </w:pPr>
            <w:r>
              <w:rPr>
                <w:rFonts w:ascii="Times New Roman"/>
                <w:sz w:val="21"/>
              </w:rPr>
              <w:t>68,782</w:t>
            </w:r>
          </w:p>
          <w:p>
            <w:pPr>
              <w:pStyle w:val="TableParagraph"/>
              <w:spacing w:before="1"/>
              <w:ind w:right="91"/>
              <w:jc w:val="right"/>
              <w:rPr>
                <w:rFonts w:ascii="Times New Roman"/>
                <w:sz w:val="21"/>
              </w:rPr>
            </w:pPr>
            <w:r>
              <w:rPr>
                <w:rFonts w:ascii="Times New Roman"/>
                <w:sz w:val="21"/>
              </w:rPr>
              <w:t>,923</w:t>
            </w:r>
          </w:p>
        </w:tc>
        <w:tc>
          <w:tcPr>
            <w:tcW w:w="259" w:type="dxa"/>
          </w:tcPr>
          <w:p>
            <w:pPr>
              <w:pStyle w:val="TableParagraph"/>
              <w:rPr>
                <w:rFonts w:ascii="Times New Roman"/>
                <w:sz w:val="20"/>
              </w:rPr>
            </w:pPr>
          </w:p>
        </w:tc>
        <w:tc>
          <w:tcPr>
            <w:tcW w:w="867" w:type="dxa"/>
          </w:tcPr>
          <w:p>
            <w:pPr>
              <w:pStyle w:val="TableParagraph"/>
              <w:spacing w:before="2"/>
              <w:rPr>
                <w:sz w:val="18"/>
              </w:rPr>
            </w:pPr>
          </w:p>
          <w:p>
            <w:pPr>
              <w:pStyle w:val="TableParagraph"/>
              <w:ind w:left="181"/>
              <w:rPr>
                <w:rFonts w:ascii="Times New Roman"/>
                <w:sz w:val="21"/>
              </w:rPr>
            </w:pPr>
            <w:r>
              <w:rPr>
                <w:rFonts w:ascii="Times New Roman"/>
                <w:sz w:val="21"/>
              </w:rPr>
              <w:t>119,18</w:t>
            </w:r>
          </w:p>
          <w:p>
            <w:pPr>
              <w:pStyle w:val="TableParagraph"/>
              <w:spacing w:before="1"/>
              <w:ind w:left="287"/>
              <w:rPr>
                <w:rFonts w:ascii="Times New Roman"/>
                <w:sz w:val="21"/>
              </w:rPr>
            </w:pPr>
            <w:r>
              <w:rPr>
                <w:rFonts w:ascii="Times New Roman"/>
                <w:sz w:val="21"/>
              </w:rPr>
              <w:t>0,602</w:t>
            </w:r>
          </w:p>
        </w:tc>
        <w:tc>
          <w:tcPr>
            <w:tcW w:w="605" w:type="dxa"/>
          </w:tcPr>
          <w:p>
            <w:pPr>
              <w:pStyle w:val="TableParagraph"/>
              <w:spacing w:before="2"/>
              <w:rPr>
                <w:sz w:val="18"/>
              </w:rPr>
            </w:pPr>
          </w:p>
          <w:p>
            <w:pPr>
              <w:pStyle w:val="TableParagraph"/>
              <w:ind w:left="131"/>
              <w:rPr>
                <w:rFonts w:ascii="Times New Roman"/>
                <w:sz w:val="21"/>
              </w:rPr>
            </w:pPr>
            <w:r>
              <w:rPr>
                <w:rFonts w:ascii="Times New Roman"/>
                <w:sz w:val="21"/>
              </w:rPr>
              <w:t>307,</w:t>
            </w:r>
          </w:p>
          <w:p>
            <w:pPr>
              <w:pStyle w:val="TableParagraph"/>
              <w:spacing w:before="1"/>
              <w:ind w:left="184"/>
              <w:rPr>
                <w:rFonts w:ascii="Times New Roman"/>
                <w:sz w:val="21"/>
              </w:rPr>
            </w:pPr>
            <w:r>
              <w:rPr>
                <w:rFonts w:ascii="Times New Roman"/>
                <w:sz w:val="21"/>
              </w:rPr>
              <w:t>088</w:t>
            </w:r>
          </w:p>
        </w:tc>
        <w:tc>
          <w:tcPr>
            <w:tcW w:w="864" w:type="dxa"/>
          </w:tcPr>
          <w:p>
            <w:pPr>
              <w:pStyle w:val="TableParagraph"/>
              <w:spacing w:before="2"/>
              <w:rPr>
                <w:sz w:val="18"/>
              </w:rPr>
            </w:pPr>
          </w:p>
          <w:p>
            <w:pPr>
              <w:pStyle w:val="TableParagraph"/>
              <w:ind w:left="179"/>
              <w:rPr>
                <w:rFonts w:ascii="Times New Roman"/>
                <w:sz w:val="21"/>
              </w:rPr>
            </w:pPr>
            <w:r>
              <w:rPr>
                <w:rFonts w:ascii="Times New Roman"/>
                <w:sz w:val="21"/>
              </w:rPr>
              <w:t>119,48</w:t>
            </w:r>
          </w:p>
          <w:p>
            <w:pPr>
              <w:pStyle w:val="TableParagraph"/>
              <w:spacing w:before="1"/>
              <w:ind w:left="284"/>
              <w:rPr>
                <w:rFonts w:ascii="Times New Roman"/>
                <w:sz w:val="21"/>
              </w:rPr>
            </w:pPr>
            <w:r>
              <w:rPr>
                <w:rFonts w:ascii="Times New Roman"/>
                <w:sz w:val="21"/>
              </w:rPr>
              <w:t>7,690</w:t>
            </w:r>
          </w:p>
        </w:tc>
      </w:tr>
      <w:tr>
        <w:trPr>
          <w:trHeight w:val="2568" w:hRule="atLeast"/>
        </w:trPr>
        <w:tc>
          <w:tcPr>
            <w:tcW w:w="614" w:type="dxa"/>
          </w:tcPr>
          <w:p>
            <w:pPr>
              <w:pStyle w:val="TableParagraph"/>
              <w:spacing w:line="242" w:lineRule="auto"/>
              <w:ind w:left="107" w:right="134"/>
              <w:jc w:val="both"/>
              <w:rPr>
                <w:sz w:val="18"/>
              </w:rPr>
            </w:pPr>
            <w:r>
              <w:rPr>
                <w:spacing w:val="-2"/>
                <w:sz w:val="18"/>
              </w:rPr>
              <w:t>三、本期增减变动</w:t>
            </w:r>
            <w:r>
              <w:rPr>
                <w:spacing w:val="-9"/>
                <w:sz w:val="18"/>
              </w:rPr>
              <w:t>金额</w:t>
            </w:r>
          </w:p>
          <w:p>
            <w:pPr>
              <w:pStyle w:val="TableParagraph"/>
              <w:spacing w:line="242" w:lineRule="auto" w:before="4"/>
              <w:ind w:left="107" w:right="134"/>
              <w:jc w:val="both"/>
              <w:rPr>
                <w:sz w:val="18"/>
              </w:rPr>
            </w:pPr>
            <w:r>
              <w:rPr>
                <w:spacing w:val="-2"/>
                <w:sz w:val="18"/>
              </w:rPr>
              <w:t>（减少以</w:t>
            </w:r>
            <w:r>
              <w:rPr>
                <w:sz w:val="18"/>
              </w:rPr>
              <w:t>“－</w:t>
            </w:r>
          </w:p>
          <w:p>
            <w:pPr>
              <w:pStyle w:val="TableParagraph"/>
              <w:spacing w:line="230" w:lineRule="atLeast"/>
              <w:ind w:left="107" w:right="44"/>
              <w:rPr>
                <w:sz w:val="18"/>
              </w:rPr>
            </w:pPr>
            <w:r>
              <w:rPr>
                <w:sz w:val="18"/>
              </w:rPr>
              <w:t>”号填</w:t>
            </w:r>
            <w:r>
              <w:rPr>
                <w:spacing w:val="5"/>
                <w:sz w:val="18"/>
              </w:rPr>
              <w:t> </w:t>
            </w:r>
            <w:r>
              <w:rPr>
                <w:spacing w:val="-1"/>
                <w:sz w:val="18"/>
              </w:rPr>
              <w:t>列</w:t>
            </w:r>
            <w:r>
              <w:rPr>
                <w:sz w:val="18"/>
              </w:rPr>
              <w:t>） </w:t>
            </w:r>
          </w:p>
        </w:tc>
        <w:tc>
          <w:tcPr>
            <w:tcW w:w="801" w:type="dxa"/>
          </w:tcPr>
          <w:p>
            <w:pPr>
              <w:pStyle w:val="TableParagraph"/>
              <w:rPr>
                <w:sz w:val="22"/>
              </w:rPr>
            </w:pPr>
          </w:p>
          <w:p>
            <w:pPr>
              <w:pStyle w:val="TableParagraph"/>
              <w:rPr>
                <w:sz w:val="22"/>
              </w:rPr>
            </w:pPr>
          </w:p>
          <w:p>
            <w:pPr>
              <w:pStyle w:val="TableParagraph"/>
              <w:rPr>
                <w:sz w:val="22"/>
              </w:rPr>
            </w:pPr>
          </w:p>
          <w:p>
            <w:pPr>
              <w:pStyle w:val="TableParagraph"/>
              <w:spacing w:before="4"/>
              <w:rPr>
                <w:sz w:val="24"/>
              </w:rPr>
            </w:pPr>
          </w:p>
          <w:p>
            <w:pPr>
              <w:pStyle w:val="TableParagraph"/>
              <w:ind w:right="95"/>
              <w:jc w:val="right"/>
              <w:rPr>
                <w:rFonts w:ascii="Times New Roman"/>
                <w:sz w:val="21"/>
              </w:rPr>
            </w:pPr>
            <w:r>
              <w:rPr>
                <w:rFonts w:ascii="Times New Roman"/>
                <w:sz w:val="21"/>
              </w:rPr>
              <w:t>-5,477</w:t>
            </w:r>
          </w:p>
        </w:tc>
        <w:tc>
          <w:tcPr>
            <w:tcW w:w="259" w:type="dxa"/>
          </w:tcPr>
          <w:p>
            <w:pPr>
              <w:pStyle w:val="TableParagraph"/>
              <w:rPr>
                <w:sz w:val="22"/>
              </w:rPr>
            </w:pPr>
          </w:p>
          <w:p>
            <w:pPr>
              <w:pStyle w:val="TableParagraph"/>
              <w:rPr>
                <w:sz w:val="22"/>
              </w:rPr>
            </w:pPr>
          </w:p>
          <w:p>
            <w:pPr>
              <w:pStyle w:val="TableParagraph"/>
              <w:rPr>
                <w:sz w:val="22"/>
              </w:rPr>
            </w:pPr>
          </w:p>
          <w:p>
            <w:pPr>
              <w:pStyle w:val="TableParagraph"/>
              <w:spacing w:before="4"/>
              <w:rPr>
                <w:sz w:val="24"/>
              </w:rPr>
            </w:pPr>
          </w:p>
          <w:p>
            <w:pPr>
              <w:pStyle w:val="TableParagraph"/>
              <w:ind w:right="67"/>
              <w:jc w:val="right"/>
              <w:rPr>
                <w:rFonts w:ascii="Times New Roman"/>
                <w:sz w:val="21"/>
              </w:rPr>
            </w:pPr>
            <w:r>
              <w:rPr>
                <w:rFonts w:ascii="Times New Roman"/>
                <w:w w:val="100"/>
                <w:sz w:val="21"/>
              </w:rPr>
              <w:t>-</w:t>
            </w:r>
          </w:p>
        </w:tc>
        <w:tc>
          <w:tcPr>
            <w:tcW w:w="257" w:type="dxa"/>
          </w:tcPr>
          <w:p>
            <w:pPr>
              <w:pStyle w:val="TableParagraph"/>
              <w:rPr>
                <w:sz w:val="22"/>
              </w:rPr>
            </w:pPr>
          </w:p>
          <w:p>
            <w:pPr>
              <w:pStyle w:val="TableParagraph"/>
              <w:rPr>
                <w:sz w:val="22"/>
              </w:rPr>
            </w:pPr>
          </w:p>
          <w:p>
            <w:pPr>
              <w:pStyle w:val="TableParagraph"/>
              <w:rPr>
                <w:sz w:val="22"/>
              </w:rPr>
            </w:pPr>
          </w:p>
          <w:p>
            <w:pPr>
              <w:pStyle w:val="TableParagraph"/>
              <w:spacing w:before="4"/>
              <w:rPr>
                <w:sz w:val="24"/>
              </w:rPr>
            </w:pPr>
          </w:p>
          <w:p>
            <w:pPr>
              <w:pStyle w:val="TableParagraph"/>
              <w:ind w:right="68"/>
              <w:jc w:val="right"/>
              <w:rPr>
                <w:rFonts w:ascii="Times New Roman"/>
                <w:sz w:val="21"/>
              </w:rPr>
            </w:pPr>
            <w:r>
              <w:rPr>
                <w:rFonts w:ascii="Times New Roman"/>
                <w:w w:val="100"/>
                <w:sz w:val="21"/>
              </w:rPr>
              <w:t>-</w:t>
            </w:r>
          </w:p>
        </w:tc>
        <w:tc>
          <w:tcPr>
            <w:tcW w:w="260" w:type="dxa"/>
          </w:tcPr>
          <w:p>
            <w:pPr>
              <w:pStyle w:val="TableParagraph"/>
              <w:rPr>
                <w:sz w:val="22"/>
              </w:rPr>
            </w:pPr>
          </w:p>
          <w:p>
            <w:pPr>
              <w:pStyle w:val="TableParagraph"/>
              <w:rPr>
                <w:sz w:val="22"/>
              </w:rPr>
            </w:pPr>
          </w:p>
          <w:p>
            <w:pPr>
              <w:pStyle w:val="TableParagraph"/>
              <w:rPr>
                <w:sz w:val="22"/>
              </w:rPr>
            </w:pPr>
          </w:p>
          <w:p>
            <w:pPr>
              <w:pStyle w:val="TableParagraph"/>
              <w:spacing w:before="4"/>
              <w:rPr>
                <w:sz w:val="24"/>
              </w:rPr>
            </w:pPr>
          </w:p>
          <w:p>
            <w:pPr>
              <w:pStyle w:val="TableParagraph"/>
              <w:ind w:left="38"/>
              <w:jc w:val="center"/>
              <w:rPr>
                <w:rFonts w:ascii="Times New Roman"/>
                <w:sz w:val="21"/>
              </w:rPr>
            </w:pPr>
            <w:r>
              <w:rPr>
                <w:rFonts w:ascii="Times New Roman"/>
                <w:w w:val="100"/>
                <w:sz w:val="21"/>
              </w:rPr>
              <w:t>-</w:t>
            </w:r>
          </w:p>
        </w:tc>
        <w:tc>
          <w:tcPr>
            <w:tcW w:w="857" w:type="dxa"/>
          </w:tcPr>
          <w:p>
            <w:pPr>
              <w:pStyle w:val="TableParagraph"/>
              <w:rPr>
                <w:sz w:val="22"/>
              </w:rPr>
            </w:pPr>
          </w:p>
          <w:p>
            <w:pPr>
              <w:pStyle w:val="TableParagraph"/>
              <w:rPr>
                <w:sz w:val="22"/>
              </w:rPr>
            </w:pPr>
          </w:p>
          <w:p>
            <w:pPr>
              <w:pStyle w:val="TableParagraph"/>
              <w:rPr>
                <w:sz w:val="22"/>
              </w:rPr>
            </w:pPr>
          </w:p>
          <w:p>
            <w:pPr>
              <w:pStyle w:val="TableParagraph"/>
              <w:spacing w:line="241" w:lineRule="exact" w:before="191"/>
              <w:ind w:right="93"/>
              <w:jc w:val="right"/>
              <w:rPr>
                <w:rFonts w:ascii="Times New Roman"/>
                <w:sz w:val="21"/>
              </w:rPr>
            </w:pPr>
            <w:r>
              <w:rPr>
                <w:rFonts w:ascii="Times New Roman"/>
                <w:sz w:val="21"/>
              </w:rPr>
              <w:t>193,77</w:t>
            </w:r>
          </w:p>
          <w:p>
            <w:pPr>
              <w:pStyle w:val="TableParagraph"/>
              <w:spacing w:line="241" w:lineRule="exact"/>
              <w:ind w:right="95"/>
              <w:jc w:val="right"/>
              <w:rPr>
                <w:rFonts w:ascii="Times New Roman"/>
                <w:sz w:val="21"/>
              </w:rPr>
            </w:pPr>
            <w:r>
              <w:rPr>
                <w:rFonts w:ascii="Times New Roman"/>
                <w:w w:val="100"/>
                <w:sz w:val="21"/>
              </w:rPr>
              <w:t>1</w:t>
            </w:r>
          </w:p>
        </w:tc>
        <w:tc>
          <w:tcPr>
            <w:tcW w:w="557" w:type="dxa"/>
          </w:tcPr>
          <w:p>
            <w:pPr>
              <w:pStyle w:val="TableParagraph"/>
              <w:rPr>
                <w:sz w:val="22"/>
              </w:rPr>
            </w:pPr>
          </w:p>
          <w:p>
            <w:pPr>
              <w:pStyle w:val="TableParagraph"/>
              <w:rPr>
                <w:sz w:val="22"/>
              </w:rPr>
            </w:pPr>
          </w:p>
          <w:p>
            <w:pPr>
              <w:pStyle w:val="TableParagraph"/>
              <w:rPr>
                <w:sz w:val="18"/>
              </w:rPr>
            </w:pPr>
          </w:p>
          <w:p>
            <w:pPr>
              <w:pStyle w:val="TableParagraph"/>
              <w:ind w:left="379"/>
              <w:rPr>
                <w:rFonts w:ascii="Times New Roman"/>
                <w:sz w:val="21"/>
              </w:rPr>
            </w:pPr>
            <w:r>
              <w:rPr>
                <w:rFonts w:ascii="Times New Roman"/>
                <w:w w:val="100"/>
                <w:sz w:val="21"/>
              </w:rPr>
              <w:t>-</w:t>
            </w:r>
          </w:p>
          <w:p>
            <w:pPr>
              <w:pStyle w:val="TableParagraph"/>
              <w:spacing w:line="241" w:lineRule="exact" w:before="1"/>
              <w:ind w:left="187"/>
              <w:rPr>
                <w:rFonts w:ascii="Times New Roman"/>
                <w:sz w:val="21"/>
              </w:rPr>
            </w:pPr>
            <w:r>
              <w:rPr>
                <w:rFonts w:ascii="Times New Roman"/>
                <w:sz w:val="21"/>
              </w:rPr>
              <w:t>1,6</w:t>
            </w:r>
          </w:p>
          <w:p>
            <w:pPr>
              <w:pStyle w:val="TableParagraph"/>
              <w:spacing w:line="241" w:lineRule="exact"/>
              <w:ind w:left="187"/>
              <w:rPr>
                <w:rFonts w:ascii="Times New Roman"/>
                <w:sz w:val="21"/>
              </w:rPr>
            </w:pPr>
            <w:r>
              <w:rPr>
                <w:rFonts w:ascii="Times New Roman"/>
                <w:sz w:val="21"/>
              </w:rPr>
              <w:t>88,</w:t>
            </w:r>
          </w:p>
          <w:p>
            <w:pPr>
              <w:pStyle w:val="TableParagraph"/>
              <w:spacing w:before="1"/>
              <w:ind w:left="134"/>
              <w:rPr>
                <w:rFonts w:ascii="Times New Roman"/>
                <w:sz w:val="21"/>
              </w:rPr>
            </w:pPr>
            <w:r>
              <w:rPr>
                <w:rFonts w:ascii="Times New Roman"/>
                <w:sz w:val="21"/>
              </w:rPr>
              <w:t>996</w:t>
            </w:r>
          </w:p>
        </w:tc>
        <w:tc>
          <w:tcPr>
            <w:tcW w:w="571" w:type="dxa"/>
          </w:tcPr>
          <w:p>
            <w:pPr>
              <w:pStyle w:val="TableParagraph"/>
              <w:rPr>
                <w:sz w:val="22"/>
              </w:rPr>
            </w:pPr>
          </w:p>
          <w:p>
            <w:pPr>
              <w:pStyle w:val="TableParagraph"/>
              <w:rPr>
                <w:sz w:val="22"/>
              </w:rPr>
            </w:pPr>
          </w:p>
          <w:p>
            <w:pPr>
              <w:pStyle w:val="TableParagraph"/>
              <w:spacing w:before="5"/>
              <w:rPr>
                <w:sz w:val="27"/>
              </w:rPr>
            </w:pPr>
          </w:p>
          <w:p>
            <w:pPr>
              <w:pStyle w:val="TableParagraph"/>
              <w:ind w:left="199"/>
              <w:rPr>
                <w:rFonts w:ascii="Times New Roman"/>
                <w:sz w:val="21"/>
              </w:rPr>
            </w:pPr>
            <w:r>
              <w:rPr>
                <w:rFonts w:ascii="Times New Roman"/>
                <w:sz w:val="21"/>
              </w:rPr>
              <w:t>1,1</w:t>
            </w:r>
          </w:p>
          <w:p>
            <w:pPr>
              <w:pStyle w:val="TableParagraph"/>
              <w:spacing w:before="1"/>
              <w:ind w:left="199"/>
              <w:rPr>
                <w:rFonts w:ascii="Times New Roman"/>
                <w:sz w:val="21"/>
              </w:rPr>
            </w:pPr>
            <w:r>
              <w:rPr>
                <w:rFonts w:ascii="Times New Roman"/>
                <w:sz w:val="21"/>
              </w:rPr>
              <w:t>06,</w:t>
            </w:r>
          </w:p>
          <w:p>
            <w:pPr>
              <w:pStyle w:val="TableParagraph"/>
              <w:spacing w:before="1"/>
              <w:ind w:left="146"/>
              <w:rPr>
                <w:rFonts w:ascii="Times New Roman"/>
                <w:sz w:val="21"/>
              </w:rPr>
            </w:pPr>
            <w:r>
              <w:rPr>
                <w:rFonts w:ascii="Times New Roman"/>
                <w:sz w:val="21"/>
              </w:rPr>
              <w:t>340</w:t>
            </w:r>
          </w:p>
        </w:tc>
        <w:tc>
          <w:tcPr>
            <w:tcW w:w="259" w:type="dxa"/>
          </w:tcPr>
          <w:p>
            <w:pPr>
              <w:pStyle w:val="TableParagraph"/>
              <w:rPr>
                <w:sz w:val="22"/>
              </w:rPr>
            </w:pPr>
          </w:p>
          <w:p>
            <w:pPr>
              <w:pStyle w:val="TableParagraph"/>
              <w:rPr>
                <w:sz w:val="22"/>
              </w:rPr>
            </w:pPr>
          </w:p>
          <w:p>
            <w:pPr>
              <w:pStyle w:val="TableParagraph"/>
              <w:rPr>
                <w:sz w:val="22"/>
              </w:rPr>
            </w:pPr>
          </w:p>
          <w:p>
            <w:pPr>
              <w:pStyle w:val="TableParagraph"/>
              <w:spacing w:before="4"/>
              <w:rPr>
                <w:sz w:val="24"/>
              </w:rPr>
            </w:pPr>
          </w:p>
          <w:p>
            <w:pPr>
              <w:pStyle w:val="TableParagraph"/>
              <w:ind w:left="33"/>
              <w:jc w:val="center"/>
              <w:rPr>
                <w:rFonts w:ascii="Times New Roman"/>
                <w:sz w:val="21"/>
              </w:rPr>
            </w:pPr>
            <w:r>
              <w:rPr>
                <w:rFonts w:ascii="Times New Roman"/>
                <w:w w:val="100"/>
                <w:sz w:val="21"/>
              </w:rPr>
              <w:t>-</w:t>
            </w:r>
          </w:p>
        </w:tc>
        <w:tc>
          <w:tcPr>
            <w:tcW w:w="732" w:type="dxa"/>
          </w:tcPr>
          <w:p>
            <w:pPr>
              <w:pStyle w:val="TableParagraph"/>
              <w:rPr>
                <w:sz w:val="22"/>
              </w:rPr>
            </w:pPr>
          </w:p>
          <w:p>
            <w:pPr>
              <w:pStyle w:val="TableParagraph"/>
              <w:rPr>
                <w:sz w:val="22"/>
              </w:rPr>
            </w:pPr>
          </w:p>
          <w:p>
            <w:pPr>
              <w:pStyle w:val="TableParagraph"/>
              <w:rPr>
                <w:sz w:val="22"/>
              </w:rPr>
            </w:pPr>
          </w:p>
          <w:p>
            <w:pPr>
              <w:pStyle w:val="TableParagraph"/>
              <w:spacing w:line="241" w:lineRule="exact" w:before="191"/>
              <w:ind w:left="152"/>
              <w:rPr>
                <w:rFonts w:ascii="Times New Roman"/>
                <w:sz w:val="21"/>
              </w:rPr>
            </w:pPr>
            <w:r>
              <w:rPr>
                <w:rFonts w:ascii="Times New Roman"/>
                <w:sz w:val="21"/>
              </w:rPr>
              <w:t>1,037</w:t>
            </w:r>
          </w:p>
          <w:p>
            <w:pPr>
              <w:pStyle w:val="TableParagraph"/>
              <w:spacing w:line="241" w:lineRule="exact"/>
              <w:ind w:left="257"/>
              <w:rPr>
                <w:rFonts w:ascii="Times New Roman"/>
                <w:sz w:val="21"/>
              </w:rPr>
            </w:pPr>
            <w:r>
              <w:rPr>
                <w:rFonts w:ascii="Times New Roman"/>
                <w:sz w:val="21"/>
              </w:rPr>
              <w:t>,821</w:t>
            </w:r>
          </w:p>
        </w:tc>
        <w:tc>
          <w:tcPr>
            <w:tcW w:w="259" w:type="dxa"/>
          </w:tcPr>
          <w:p>
            <w:pPr>
              <w:pStyle w:val="TableParagraph"/>
              <w:rPr>
                <w:sz w:val="22"/>
              </w:rPr>
            </w:pPr>
          </w:p>
          <w:p>
            <w:pPr>
              <w:pStyle w:val="TableParagraph"/>
              <w:rPr>
                <w:sz w:val="22"/>
              </w:rPr>
            </w:pPr>
          </w:p>
          <w:p>
            <w:pPr>
              <w:pStyle w:val="TableParagraph"/>
              <w:rPr>
                <w:sz w:val="22"/>
              </w:rPr>
            </w:pPr>
          </w:p>
          <w:p>
            <w:pPr>
              <w:pStyle w:val="TableParagraph"/>
              <w:spacing w:before="4"/>
              <w:rPr>
                <w:sz w:val="24"/>
              </w:rPr>
            </w:pPr>
          </w:p>
          <w:p>
            <w:pPr>
              <w:pStyle w:val="TableParagraph"/>
              <w:ind w:left="39"/>
              <w:jc w:val="center"/>
              <w:rPr>
                <w:rFonts w:ascii="Times New Roman"/>
                <w:sz w:val="21"/>
              </w:rPr>
            </w:pPr>
            <w:r>
              <w:rPr>
                <w:rFonts w:ascii="Times New Roman"/>
                <w:w w:val="100"/>
                <w:sz w:val="21"/>
              </w:rPr>
              <w:t>-</w:t>
            </w:r>
          </w:p>
        </w:tc>
        <w:tc>
          <w:tcPr>
            <w:tcW w:w="801" w:type="dxa"/>
          </w:tcPr>
          <w:p>
            <w:pPr>
              <w:pStyle w:val="TableParagraph"/>
              <w:rPr>
                <w:sz w:val="22"/>
              </w:rPr>
            </w:pPr>
          </w:p>
          <w:p>
            <w:pPr>
              <w:pStyle w:val="TableParagraph"/>
              <w:rPr>
                <w:sz w:val="22"/>
              </w:rPr>
            </w:pPr>
          </w:p>
          <w:p>
            <w:pPr>
              <w:pStyle w:val="TableParagraph"/>
              <w:rPr>
                <w:sz w:val="22"/>
              </w:rPr>
            </w:pPr>
          </w:p>
          <w:p>
            <w:pPr>
              <w:pStyle w:val="TableParagraph"/>
              <w:spacing w:line="241" w:lineRule="exact" w:before="191"/>
              <w:ind w:right="91"/>
              <w:jc w:val="right"/>
              <w:rPr>
                <w:rFonts w:ascii="Times New Roman"/>
                <w:sz w:val="21"/>
              </w:rPr>
            </w:pPr>
            <w:r>
              <w:rPr>
                <w:rFonts w:ascii="Times New Roman"/>
                <w:sz w:val="21"/>
              </w:rPr>
              <w:t>9,151,</w:t>
            </w:r>
          </w:p>
          <w:p>
            <w:pPr>
              <w:pStyle w:val="TableParagraph"/>
              <w:spacing w:line="241" w:lineRule="exact"/>
              <w:ind w:right="91"/>
              <w:jc w:val="right"/>
              <w:rPr>
                <w:rFonts w:ascii="Times New Roman"/>
                <w:sz w:val="21"/>
              </w:rPr>
            </w:pPr>
            <w:r>
              <w:rPr>
                <w:rFonts w:ascii="Times New Roman"/>
                <w:sz w:val="21"/>
              </w:rPr>
              <w:t>131</w:t>
            </w:r>
          </w:p>
        </w:tc>
        <w:tc>
          <w:tcPr>
            <w:tcW w:w="259" w:type="dxa"/>
          </w:tcPr>
          <w:p>
            <w:pPr>
              <w:pStyle w:val="TableParagraph"/>
              <w:rPr>
                <w:sz w:val="22"/>
              </w:rPr>
            </w:pPr>
          </w:p>
          <w:p>
            <w:pPr>
              <w:pStyle w:val="TableParagraph"/>
              <w:rPr>
                <w:sz w:val="22"/>
              </w:rPr>
            </w:pPr>
          </w:p>
          <w:p>
            <w:pPr>
              <w:pStyle w:val="TableParagraph"/>
              <w:rPr>
                <w:sz w:val="22"/>
              </w:rPr>
            </w:pPr>
          </w:p>
          <w:p>
            <w:pPr>
              <w:pStyle w:val="TableParagraph"/>
              <w:spacing w:before="4"/>
              <w:rPr>
                <w:sz w:val="24"/>
              </w:rPr>
            </w:pPr>
          </w:p>
          <w:p>
            <w:pPr>
              <w:pStyle w:val="TableParagraph"/>
              <w:ind w:right="66"/>
              <w:jc w:val="right"/>
              <w:rPr>
                <w:rFonts w:ascii="Times New Roman"/>
                <w:sz w:val="21"/>
              </w:rPr>
            </w:pPr>
            <w:r>
              <w:rPr>
                <w:rFonts w:ascii="Times New Roman"/>
                <w:w w:val="100"/>
                <w:sz w:val="21"/>
              </w:rPr>
              <w:t>-</w:t>
            </w:r>
          </w:p>
        </w:tc>
        <w:tc>
          <w:tcPr>
            <w:tcW w:w="867" w:type="dxa"/>
          </w:tcPr>
          <w:p>
            <w:pPr>
              <w:pStyle w:val="TableParagraph"/>
              <w:rPr>
                <w:sz w:val="22"/>
              </w:rPr>
            </w:pPr>
          </w:p>
          <w:p>
            <w:pPr>
              <w:pStyle w:val="TableParagraph"/>
              <w:rPr>
                <w:sz w:val="22"/>
              </w:rPr>
            </w:pPr>
          </w:p>
          <w:p>
            <w:pPr>
              <w:pStyle w:val="TableParagraph"/>
              <w:rPr>
                <w:sz w:val="22"/>
              </w:rPr>
            </w:pPr>
          </w:p>
          <w:p>
            <w:pPr>
              <w:pStyle w:val="TableParagraph"/>
              <w:spacing w:line="241" w:lineRule="exact" w:before="191"/>
              <w:ind w:right="92"/>
              <w:jc w:val="right"/>
              <w:rPr>
                <w:rFonts w:ascii="Times New Roman"/>
                <w:sz w:val="21"/>
              </w:rPr>
            </w:pPr>
            <w:r>
              <w:rPr>
                <w:rFonts w:ascii="Times New Roman"/>
                <w:sz w:val="21"/>
              </w:rPr>
              <w:t>9,794,5</w:t>
            </w:r>
          </w:p>
          <w:p>
            <w:pPr>
              <w:pStyle w:val="TableParagraph"/>
              <w:spacing w:line="241" w:lineRule="exact"/>
              <w:ind w:right="94"/>
              <w:jc w:val="right"/>
              <w:rPr>
                <w:rFonts w:ascii="Times New Roman"/>
                <w:sz w:val="21"/>
              </w:rPr>
            </w:pPr>
            <w:r>
              <w:rPr>
                <w:rFonts w:ascii="Times New Roman"/>
                <w:sz w:val="21"/>
              </w:rPr>
              <w:t>90</w:t>
            </w:r>
          </w:p>
        </w:tc>
        <w:tc>
          <w:tcPr>
            <w:tcW w:w="605" w:type="dxa"/>
          </w:tcPr>
          <w:p>
            <w:pPr>
              <w:pStyle w:val="TableParagraph"/>
              <w:rPr>
                <w:sz w:val="22"/>
              </w:rPr>
            </w:pPr>
          </w:p>
          <w:p>
            <w:pPr>
              <w:pStyle w:val="TableParagraph"/>
              <w:rPr>
                <w:sz w:val="22"/>
              </w:rPr>
            </w:pPr>
          </w:p>
          <w:p>
            <w:pPr>
              <w:pStyle w:val="TableParagraph"/>
              <w:rPr>
                <w:sz w:val="22"/>
              </w:rPr>
            </w:pPr>
          </w:p>
          <w:p>
            <w:pPr>
              <w:pStyle w:val="TableParagraph"/>
              <w:spacing w:line="241" w:lineRule="exact" w:before="191"/>
              <w:ind w:right="91"/>
              <w:jc w:val="right"/>
              <w:rPr>
                <w:rFonts w:ascii="Times New Roman"/>
                <w:sz w:val="21"/>
              </w:rPr>
            </w:pPr>
            <w:r>
              <w:rPr>
                <w:rFonts w:ascii="Times New Roman"/>
                <w:sz w:val="21"/>
              </w:rPr>
              <w:t>51,2</w:t>
            </w:r>
          </w:p>
          <w:p>
            <w:pPr>
              <w:pStyle w:val="TableParagraph"/>
              <w:spacing w:line="241" w:lineRule="exact"/>
              <w:ind w:right="94"/>
              <w:jc w:val="right"/>
              <w:rPr>
                <w:rFonts w:ascii="Times New Roman"/>
                <w:sz w:val="21"/>
              </w:rPr>
            </w:pPr>
            <w:r>
              <w:rPr>
                <w:rFonts w:ascii="Times New Roman"/>
                <w:sz w:val="21"/>
              </w:rPr>
              <w:t>26</w:t>
            </w:r>
          </w:p>
        </w:tc>
        <w:tc>
          <w:tcPr>
            <w:tcW w:w="864" w:type="dxa"/>
          </w:tcPr>
          <w:p>
            <w:pPr>
              <w:pStyle w:val="TableParagraph"/>
              <w:rPr>
                <w:sz w:val="22"/>
              </w:rPr>
            </w:pPr>
          </w:p>
          <w:p>
            <w:pPr>
              <w:pStyle w:val="TableParagraph"/>
              <w:rPr>
                <w:sz w:val="22"/>
              </w:rPr>
            </w:pPr>
          </w:p>
          <w:p>
            <w:pPr>
              <w:pStyle w:val="TableParagraph"/>
              <w:rPr>
                <w:sz w:val="22"/>
              </w:rPr>
            </w:pPr>
          </w:p>
          <w:p>
            <w:pPr>
              <w:pStyle w:val="TableParagraph"/>
              <w:spacing w:line="241" w:lineRule="exact" w:before="191"/>
              <w:ind w:right="91"/>
              <w:jc w:val="right"/>
              <w:rPr>
                <w:rFonts w:ascii="Times New Roman"/>
                <w:sz w:val="21"/>
              </w:rPr>
            </w:pPr>
            <w:r>
              <w:rPr>
                <w:rFonts w:ascii="Times New Roman"/>
                <w:sz w:val="21"/>
              </w:rPr>
              <w:t>9,845,8</w:t>
            </w:r>
          </w:p>
          <w:p>
            <w:pPr>
              <w:pStyle w:val="TableParagraph"/>
              <w:spacing w:line="241" w:lineRule="exact"/>
              <w:ind w:right="94"/>
              <w:jc w:val="right"/>
              <w:rPr>
                <w:rFonts w:ascii="Times New Roman"/>
                <w:sz w:val="21"/>
              </w:rPr>
            </w:pPr>
            <w:r>
              <w:rPr>
                <w:rFonts w:ascii="Times New Roman"/>
                <w:sz w:val="21"/>
              </w:rPr>
              <w:t>16</w:t>
            </w:r>
          </w:p>
        </w:tc>
      </w:tr>
      <w:tr>
        <w:trPr>
          <w:trHeight w:val="1168" w:hRule="atLeast"/>
        </w:trPr>
        <w:tc>
          <w:tcPr>
            <w:tcW w:w="614" w:type="dxa"/>
          </w:tcPr>
          <w:p>
            <w:pPr>
              <w:pStyle w:val="TableParagraph"/>
              <w:ind w:left="107"/>
              <w:rPr>
                <w:sz w:val="18"/>
              </w:rPr>
            </w:pPr>
            <w:r>
              <w:rPr>
                <w:sz w:val="18"/>
              </w:rPr>
              <w:t>（一</w:t>
            </w:r>
          </w:p>
          <w:p>
            <w:pPr>
              <w:pStyle w:val="TableParagraph"/>
              <w:spacing w:line="242" w:lineRule="auto" w:before="4"/>
              <w:ind w:left="107" w:right="134"/>
              <w:jc w:val="both"/>
              <w:rPr>
                <w:sz w:val="18"/>
              </w:rPr>
            </w:pPr>
            <w:r>
              <w:rPr>
                <w:spacing w:val="-2"/>
                <w:sz w:val="18"/>
              </w:rPr>
              <w:t>）综合收</w:t>
            </w:r>
            <w:r>
              <w:rPr>
                <w:spacing w:val="-9"/>
                <w:sz w:val="18"/>
              </w:rPr>
              <w:t>益总</w:t>
            </w:r>
          </w:p>
          <w:p>
            <w:pPr>
              <w:pStyle w:val="TableParagraph"/>
              <w:spacing w:line="213" w:lineRule="exact" w:before="2"/>
              <w:ind w:left="107"/>
              <w:rPr>
                <w:sz w:val="18"/>
              </w:rPr>
            </w:pPr>
            <w:r>
              <w:rPr>
                <w:sz w:val="18"/>
              </w:rPr>
              <w:t>额 </w:t>
            </w:r>
          </w:p>
        </w:tc>
        <w:tc>
          <w:tcPr>
            <w:tcW w:w="801" w:type="dxa"/>
          </w:tcPr>
          <w:p>
            <w:pPr>
              <w:pStyle w:val="TableParagraph"/>
              <w:rPr>
                <w:sz w:val="22"/>
              </w:rPr>
            </w:pPr>
          </w:p>
          <w:p>
            <w:pPr>
              <w:pStyle w:val="TableParagraph"/>
              <w:spacing w:before="174"/>
              <w:ind w:right="94"/>
              <w:jc w:val="right"/>
              <w:rPr>
                <w:rFonts w:ascii="Times New Roman"/>
                <w:sz w:val="21"/>
              </w:rPr>
            </w:pPr>
            <w:r>
              <w:rPr>
                <w:rFonts w:ascii="Times New Roman"/>
                <w:w w:val="100"/>
                <w:sz w:val="21"/>
              </w:rPr>
              <w:t>-</w:t>
            </w:r>
          </w:p>
        </w:tc>
        <w:tc>
          <w:tcPr>
            <w:tcW w:w="259" w:type="dxa"/>
          </w:tcPr>
          <w:p>
            <w:pPr>
              <w:pStyle w:val="TableParagraph"/>
              <w:rPr>
                <w:rFonts w:ascii="Times New Roman"/>
                <w:sz w:val="20"/>
              </w:rPr>
            </w:pPr>
          </w:p>
        </w:tc>
        <w:tc>
          <w:tcPr>
            <w:tcW w:w="257" w:type="dxa"/>
          </w:tcPr>
          <w:p>
            <w:pPr>
              <w:pStyle w:val="TableParagraph"/>
              <w:rPr>
                <w:rFonts w:ascii="Times New Roman"/>
                <w:sz w:val="20"/>
              </w:rPr>
            </w:pPr>
          </w:p>
        </w:tc>
        <w:tc>
          <w:tcPr>
            <w:tcW w:w="260" w:type="dxa"/>
          </w:tcPr>
          <w:p>
            <w:pPr>
              <w:pStyle w:val="TableParagraph"/>
              <w:rPr>
                <w:rFonts w:ascii="Times New Roman"/>
                <w:sz w:val="20"/>
              </w:rPr>
            </w:pPr>
          </w:p>
        </w:tc>
        <w:tc>
          <w:tcPr>
            <w:tcW w:w="857" w:type="dxa"/>
          </w:tcPr>
          <w:p>
            <w:pPr>
              <w:pStyle w:val="TableParagraph"/>
              <w:rPr>
                <w:sz w:val="22"/>
              </w:rPr>
            </w:pPr>
          </w:p>
          <w:p>
            <w:pPr>
              <w:pStyle w:val="TableParagraph"/>
              <w:spacing w:before="174"/>
              <w:ind w:right="94"/>
              <w:jc w:val="right"/>
              <w:rPr>
                <w:rFonts w:ascii="Times New Roman"/>
                <w:sz w:val="21"/>
              </w:rPr>
            </w:pPr>
            <w:r>
              <w:rPr>
                <w:rFonts w:ascii="Times New Roman"/>
                <w:w w:val="100"/>
                <w:sz w:val="21"/>
              </w:rPr>
              <w:t>-</w:t>
            </w:r>
          </w:p>
        </w:tc>
        <w:tc>
          <w:tcPr>
            <w:tcW w:w="557" w:type="dxa"/>
          </w:tcPr>
          <w:p>
            <w:pPr>
              <w:pStyle w:val="TableParagraph"/>
              <w:rPr>
                <w:sz w:val="22"/>
              </w:rPr>
            </w:pPr>
          </w:p>
          <w:p>
            <w:pPr>
              <w:pStyle w:val="TableParagraph"/>
              <w:spacing w:before="174"/>
              <w:ind w:right="95"/>
              <w:jc w:val="right"/>
              <w:rPr>
                <w:rFonts w:ascii="Times New Roman"/>
                <w:sz w:val="21"/>
              </w:rPr>
            </w:pPr>
            <w:r>
              <w:rPr>
                <w:rFonts w:ascii="Times New Roman"/>
                <w:w w:val="100"/>
                <w:sz w:val="21"/>
              </w:rPr>
              <w:t>-</w:t>
            </w:r>
          </w:p>
        </w:tc>
        <w:tc>
          <w:tcPr>
            <w:tcW w:w="571" w:type="dxa"/>
          </w:tcPr>
          <w:p>
            <w:pPr>
              <w:pStyle w:val="TableParagraph"/>
              <w:spacing w:before="11"/>
              <w:rPr>
                <w:sz w:val="16"/>
              </w:rPr>
            </w:pPr>
          </w:p>
          <w:p>
            <w:pPr>
              <w:pStyle w:val="TableParagraph"/>
              <w:spacing w:line="241" w:lineRule="exact"/>
              <w:ind w:left="199"/>
              <w:rPr>
                <w:rFonts w:ascii="Times New Roman"/>
                <w:sz w:val="21"/>
              </w:rPr>
            </w:pPr>
            <w:r>
              <w:rPr>
                <w:rFonts w:ascii="Times New Roman"/>
                <w:sz w:val="21"/>
              </w:rPr>
              <w:t>1,1</w:t>
            </w:r>
          </w:p>
          <w:p>
            <w:pPr>
              <w:pStyle w:val="TableParagraph"/>
              <w:spacing w:line="241" w:lineRule="exact"/>
              <w:ind w:left="199"/>
              <w:rPr>
                <w:rFonts w:ascii="Times New Roman"/>
                <w:sz w:val="21"/>
              </w:rPr>
            </w:pPr>
            <w:r>
              <w:rPr>
                <w:rFonts w:ascii="Times New Roman"/>
                <w:sz w:val="21"/>
              </w:rPr>
              <w:t>06,</w:t>
            </w:r>
          </w:p>
          <w:p>
            <w:pPr>
              <w:pStyle w:val="TableParagraph"/>
              <w:spacing w:before="1"/>
              <w:ind w:left="146"/>
              <w:rPr>
                <w:rFonts w:ascii="Times New Roman"/>
                <w:sz w:val="21"/>
              </w:rPr>
            </w:pPr>
            <w:r>
              <w:rPr>
                <w:rFonts w:ascii="Times New Roman"/>
                <w:sz w:val="21"/>
              </w:rPr>
              <w:t>340</w:t>
            </w:r>
          </w:p>
        </w:tc>
        <w:tc>
          <w:tcPr>
            <w:tcW w:w="259" w:type="dxa"/>
          </w:tcPr>
          <w:p>
            <w:pPr>
              <w:pStyle w:val="TableParagraph"/>
              <w:rPr>
                <w:rFonts w:ascii="Times New Roman"/>
                <w:sz w:val="20"/>
              </w:rPr>
            </w:pPr>
          </w:p>
        </w:tc>
        <w:tc>
          <w:tcPr>
            <w:tcW w:w="732" w:type="dxa"/>
          </w:tcPr>
          <w:p>
            <w:pPr>
              <w:pStyle w:val="TableParagraph"/>
              <w:rPr>
                <w:sz w:val="22"/>
              </w:rPr>
            </w:pPr>
          </w:p>
          <w:p>
            <w:pPr>
              <w:pStyle w:val="TableParagraph"/>
              <w:spacing w:before="174"/>
              <w:ind w:right="94"/>
              <w:jc w:val="right"/>
              <w:rPr>
                <w:rFonts w:ascii="Times New Roman"/>
                <w:sz w:val="21"/>
              </w:rPr>
            </w:pPr>
            <w:r>
              <w:rPr>
                <w:rFonts w:ascii="Times New Roman"/>
                <w:w w:val="100"/>
                <w:sz w:val="21"/>
              </w:rPr>
              <w:t>-</w:t>
            </w:r>
          </w:p>
        </w:tc>
        <w:tc>
          <w:tcPr>
            <w:tcW w:w="259" w:type="dxa"/>
          </w:tcPr>
          <w:p>
            <w:pPr>
              <w:pStyle w:val="TableParagraph"/>
              <w:rPr>
                <w:rFonts w:ascii="Times New Roman"/>
                <w:sz w:val="20"/>
              </w:rPr>
            </w:pPr>
          </w:p>
        </w:tc>
        <w:tc>
          <w:tcPr>
            <w:tcW w:w="801" w:type="dxa"/>
          </w:tcPr>
          <w:p>
            <w:pPr>
              <w:pStyle w:val="TableParagraph"/>
              <w:spacing w:before="3"/>
              <w:rPr>
                <w:sz w:val="26"/>
              </w:rPr>
            </w:pPr>
          </w:p>
          <w:p>
            <w:pPr>
              <w:pStyle w:val="TableParagraph"/>
              <w:ind w:right="91"/>
              <w:jc w:val="right"/>
              <w:rPr>
                <w:rFonts w:ascii="Times New Roman"/>
                <w:sz w:val="21"/>
              </w:rPr>
            </w:pPr>
            <w:r>
              <w:rPr>
                <w:rFonts w:ascii="Times New Roman"/>
                <w:sz w:val="21"/>
              </w:rPr>
              <w:t>20,073</w:t>
            </w:r>
          </w:p>
          <w:p>
            <w:pPr>
              <w:pStyle w:val="TableParagraph"/>
              <w:spacing w:before="1"/>
              <w:ind w:right="91"/>
              <w:jc w:val="right"/>
              <w:rPr>
                <w:rFonts w:ascii="Times New Roman"/>
                <w:sz w:val="21"/>
              </w:rPr>
            </w:pPr>
            <w:r>
              <w:rPr>
                <w:rFonts w:ascii="Times New Roman"/>
                <w:sz w:val="21"/>
              </w:rPr>
              <w:t>,072</w:t>
            </w:r>
          </w:p>
        </w:tc>
        <w:tc>
          <w:tcPr>
            <w:tcW w:w="259" w:type="dxa"/>
          </w:tcPr>
          <w:p>
            <w:pPr>
              <w:pStyle w:val="TableParagraph"/>
              <w:rPr>
                <w:rFonts w:ascii="Times New Roman"/>
                <w:sz w:val="20"/>
              </w:rPr>
            </w:pPr>
          </w:p>
        </w:tc>
        <w:tc>
          <w:tcPr>
            <w:tcW w:w="867" w:type="dxa"/>
          </w:tcPr>
          <w:p>
            <w:pPr>
              <w:pStyle w:val="TableParagraph"/>
              <w:spacing w:before="3"/>
              <w:rPr>
                <w:sz w:val="26"/>
              </w:rPr>
            </w:pPr>
          </w:p>
          <w:p>
            <w:pPr>
              <w:pStyle w:val="TableParagraph"/>
              <w:ind w:right="92"/>
              <w:jc w:val="right"/>
              <w:rPr>
                <w:rFonts w:ascii="Times New Roman"/>
                <w:sz w:val="21"/>
              </w:rPr>
            </w:pPr>
            <w:r>
              <w:rPr>
                <w:rFonts w:ascii="Times New Roman"/>
                <w:sz w:val="21"/>
              </w:rPr>
              <w:t>21,179,</w:t>
            </w:r>
          </w:p>
          <w:p>
            <w:pPr>
              <w:pStyle w:val="TableParagraph"/>
              <w:spacing w:before="1"/>
              <w:ind w:right="92"/>
              <w:jc w:val="right"/>
              <w:rPr>
                <w:rFonts w:ascii="Times New Roman"/>
                <w:sz w:val="21"/>
              </w:rPr>
            </w:pPr>
            <w:r>
              <w:rPr>
                <w:rFonts w:ascii="Times New Roman"/>
                <w:sz w:val="21"/>
              </w:rPr>
              <w:t>412</w:t>
            </w:r>
          </w:p>
        </w:tc>
        <w:tc>
          <w:tcPr>
            <w:tcW w:w="605" w:type="dxa"/>
          </w:tcPr>
          <w:p>
            <w:pPr>
              <w:pStyle w:val="TableParagraph"/>
              <w:spacing w:before="3"/>
              <w:rPr>
                <w:sz w:val="26"/>
              </w:rPr>
            </w:pPr>
          </w:p>
          <w:p>
            <w:pPr>
              <w:pStyle w:val="TableParagraph"/>
              <w:ind w:right="91"/>
              <w:jc w:val="right"/>
              <w:rPr>
                <w:rFonts w:ascii="Times New Roman"/>
                <w:sz w:val="21"/>
              </w:rPr>
            </w:pPr>
            <w:r>
              <w:rPr>
                <w:rFonts w:ascii="Times New Roman"/>
                <w:sz w:val="21"/>
              </w:rPr>
              <w:t>10,8</w:t>
            </w:r>
          </w:p>
          <w:p>
            <w:pPr>
              <w:pStyle w:val="TableParagraph"/>
              <w:spacing w:before="1"/>
              <w:ind w:right="94"/>
              <w:jc w:val="right"/>
              <w:rPr>
                <w:rFonts w:ascii="Times New Roman"/>
                <w:sz w:val="21"/>
              </w:rPr>
            </w:pPr>
            <w:r>
              <w:rPr>
                <w:rFonts w:ascii="Times New Roman"/>
                <w:sz w:val="21"/>
              </w:rPr>
              <w:t>17</w:t>
            </w:r>
          </w:p>
        </w:tc>
        <w:tc>
          <w:tcPr>
            <w:tcW w:w="864" w:type="dxa"/>
          </w:tcPr>
          <w:p>
            <w:pPr>
              <w:pStyle w:val="TableParagraph"/>
              <w:spacing w:before="3"/>
              <w:rPr>
                <w:sz w:val="26"/>
              </w:rPr>
            </w:pPr>
          </w:p>
          <w:p>
            <w:pPr>
              <w:pStyle w:val="TableParagraph"/>
              <w:ind w:right="91"/>
              <w:jc w:val="right"/>
              <w:rPr>
                <w:rFonts w:ascii="Times New Roman"/>
                <w:sz w:val="21"/>
              </w:rPr>
            </w:pPr>
            <w:r>
              <w:rPr>
                <w:rFonts w:ascii="Times New Roman"/>
                <w:sz w:val="21"/>
              </w:rPr>
              <w:t>21,190,</w:t>
            </w:r>
          </w:p>
          <w:p>
            <w:pPr>
              <w:pStyle w:val="TableParagraph"/>
              <w:spacing w:before="1"/>
              <w:ind w:right="91"/>
              <w:jc w:val="right"/>
              <w:rPr>
                <w:rFonts w:ascii="Times New Roman"/>
                <w:sz w:val="21"/>
              </w:rPr>
            </w:pPr>
            <w:r>
              <w:rPr>
                <w:rFonts w:ascii="Times New Roman"/>
                <w:sz w:val="21"/>
              </w:rPr>
              <w:t>229</w:t>
            </w:r>
          </w:p>
        </w:tc>
      </w:tr>
      <w:tr>
        <w:trPr>
          <w:trHeight w:val="966" w:hRule="atLeast"/>
        </w:trPr>
        <w:tc>
          <w:tcPr>
            <w:tcW w:w="614" w:type="dxa"/>
          </w:tcPr>
          <w:p>
            <w:pPr>
              <w:pStyle w:val="TableParagraph"/>
              <w:ind w:left="107"/>
              <w:rPr>
                <w:sz w:val="18"/>
              </w:rPr>
            </w:pPr>
            <w:r>
              <w:rPr>
                <w:spacing w:val="-1"/>
                <w:sz w:val="18"/>
              </w:rPr>
              <w:t>（</w:t>
            </w:r>
            <w:r>
              <w:rPr>
                <w:sz w:val="18"/>
              </w:rPr>
              <w:t>二</w:t>
            </w:r>
          </w:p>
          <w:p>
            <w:pPr>
              <w:pStyle w:val="TableParagraph"/>
              <w:spacing w:line="242" w:lineRule="auto" w:before="2"/>
              <w:ind w:left="107" w:right="134"/>
              <w:jc w:val="both"/>
              <w:rPr>
                <w:sz w:val="18"/>
              </w:rPr>
            </w:pPr>
            <w:r>
              <w:rPr>
                <w:spacing w:val="-2"/>
                <w:sz w:val="18"/>
              </w:rPr>
              <w:t>）所有者</w:t>
            </w:r>
            <w:r>
              <w:rPr>
                <w:spacing w:val="-9"/>
                <w:sz w:val="18"/>
              </w:rPr>
              <w:t>投入</w:t>
            </w:r>
          </w:p>
        </w:tc>
        <w:tc>
          <w:tcPr>
            <w:tcW w:w="801" w:type="dxa"/>
          </w:tcPr>
          <w:p>
            <w:pPr>
              <w:pStyle w:val="TableParagraph"/>
              <w:spacing w:before="9"/>
              <w:rPr>
                <w:sz w:val="27"/>
              </w:rPr>
            </w:pPr>
          </w:p>
          <w:p>
            <w:pPr>
              <w:pStyle w:val="TableParagraph"/>
              <w:ind w:right="95"/>
              <w:jc w:val="right"/>
              <w:rPr>
                <w:rFonts w:ascii="Times New Roman"/>
                <w:sz w:val="21"/>
              </w:rPr>
            </w:pPr>
            <w:r>
              <w:rPr>
                <w:rFonts w:ascii="Times New Roman"/>
                <w:sz w:val="21"/>
              </w:rPr>
              <w:t>-5,477</w:t>
            </w:r>
          </w:p>
        </w:tc>
        <w:tc>
          <w:tcPr>
            <w:tcW w:w="259" w:type="dxa"/>
          </w:tcPr>
          <w:p>
            <w:pPr>
              <w:pStyle w:val="TableParagraph"/>
              <w:spacing w:before="9"/>
              <w:rPr>
                <w:sz w:val="27"/>
              </w:rPr>
            </w:pPr>
          </w:p>
          <w:p>
            <w:pPr>
              <w:pStyle w:val="TableParagraph"/>
              <w:ind w:right="67"/>
              <w:jc w:val="right"/>
              <w:rPr>
                <w:rFonts w:ascii="Times New Roman"/>
                <w:sz w:val="21"/>
              </w:rPr>
            </w:pPr>
            <w:r>
              <w:rPr>
                <w:rFonts w:ascii="Times New Roman"/>
                <w:w w:val="100"/>
                <w:sz w:val="21"/>
              </w:rPr>
              <w:t>-</w:t>
            </w:r>
          </w:p>
        </w:tc>
        <w:tc>
          <w:tcPr>
            <w:tcW w:w="257" w:type="dxa"/>
          </w:tcPr>
          <w:p>
            <w:pPr>
              <w:pStyle w:val="TableParagraph"/>
              <w:spacing w:before="9"/>
              <w:rPr>
                <w:sz w:val="27"/>
              </w:rPr>
            </w:pPr>
          </w:p>
          <w:p>
            <w:pPr>
              <w:pStyle w:val="TableParagraph"/>
              <w:ind w:right="68"/>
              <w:jc w:val="right"/>
              <w:rPr>
                <w:rFonts w:ascii="Times New Roman"/>
                <w:sz w:val="21"/>
              </w:rPr>
            </w:pPr>
            <w:r>
              <w:rPr>
                <w:rFonts w:ascii="Times New Roman"/>
                <w:w w:val="100"/>
                <w:sz w:val="21"/>
              </w:rPr>
              <w:t>-</w:t>
            </w:r>
          </w:p>
        </w:tc>
        <w:tc>
          <w:tcPr>
            <w:tcW w:w="260" w:type="dxa"/>
          </w:tcPr>
          <w:p>
            <w:pPr>
              <w:pStyle w:val="TableParagraph"/>
              <w:spacing w:before="9"/>
              <w:rPr>
                <w:sz w:val="27"/>
              </w:rPr>
            </w:pPr>
          </w:p>
          <w:p>
            <w:pPr>
              <w:pStyle w:val="TableParagraph"/>
              <w:ind w:left="38"/>
              <w:jc w:val="center"/>
              <w:rPr>
                <w:rFonts w:ascii="Times New Roman"/>
                <w:sz w:val="21"/>
              </w:rPr>
            </w:pPr>
            <w:r>
              <w:rPr>
                <w:rFonts w:ascii="Times New Roman"/>
                <w:w w:val="100"/>
                <w:sz w:val="21"/>
              </w:rPr>
              <w:t>-</w:t>
            </w:r>
          </w:p>
        </w:tc>
        <w:tc>
          <w:tcPr>
            <w:tcW w:w="857" w:type="dxa"/>
          </w:tcPr>
          <w:p>
            <w:pPr>
              <w:pStyle w:val="TableParagraph"/>
              <w:spacing w:before="5"/>
              <w:rPr>
                <w:sz w:val="18"/>
              </w:rPr>
            </w:pPr>
          </w:p>
          <w:p>
            <w:pPr>
              <w:pStyle w:val="TableParagraph"/>
              <w:spacing w:line="241" w:lineRule="exact"/>
              <w:ind w:right="93"/>
              <w:jc w:val="right"/>
              <w:rPr>
                <w:rFonts w:ascii="Times New Roman"/>
                <w:sz w:val="21"/>
              </w:rPr>
            </w:pPr>
            <w:r>
              <w:rPr>
                <w:rFonts w:ascii="Times New Roman"/>
                <w:sz w:val="21"/>
              </w:rPr>
              <w:t>193,77</w:t>
            </w:r>
          </w:p>
          <w:p>
            <w:pPr>
              <w:pStyle w:val="TableParagraph"/>
              <w:spacing w:line="241" w:lineRule="exact"/>
              <w:ind w:right="95"/>
              <w:jc w:val="right"/>
              <w:rPr>
                <w:rFonts w:ascii="Times New Roman"/>
                <w:sz w:val="21"/>
              </w:rPr>
            </w:pPr>
            <w:r>
              <w:rPr>
                <w:rFonts w:ascii="Times New Roman"/>
                <w:w w:val="100"/>
                <w:sz w:val="21"/>
              </w:rPr>
              <w:t>1</w:t>
            </w:r>
          </w:p>
        </w:tc>
        <w:tc>
          <w:tcPr>
            <w:tcW w:w="557" w:type="dxa"/>
          </w:tcPr>
          <w:p>
            <w:pPr>
              <w:pStyle w:val="TableParagraph"/>
              <w:spacing w:line="235" w:lineRule="exact"/>
              <w:ind w:right="95"/>
              <w:jc w:val="right"/>
              <w:rPr>
                <w:rFonts w:ascii="Times New Roman"/>
                <w:sz w:val="21"/>
              </w:rPr>
            </w:pPr>
            <w:r>
              <w:rPr>
                <w:rFonts w:ascii="Times New Roman"/>
                <w:w w:val="100"/>
                <w:sz w:val="21"/>
              </w:rPr>
              <w:t>-</w:t>
            </w:r>
          </w:p>
          <w:p>
            <w:pPr>
              <w:pStyle w:val="TableParagraph"/>
              <w:spacing w:line="241" w:lineRule="exact" w:before="1"/>
              <w:ind w:right="93"/>
              <w:jc w:val="right"/>
              <w:rPr>
                <w:rFonts w:ascii="Times New Roman"/>
                <w:sz w:val="21"/>
              </w:rPr>
            </w:pPr>
            <w:r>
              <w:rPr>
                <w:rFonts w:ascii="Times New Roman"/>
                <w:sz w:val="21"/>
              </w:rPr>
              <w:t>1,7</w:t>
            </w:r>
          </w:p>
          <w:p>
            <w:pPr>
              <w:pStyle w:val="TableParagraph"/>
              <w:spacing w:line="241" w:lineRule="exact"/>
              <w:ind w:right="93"/>
              <w:jc w:val="right"/>
              <w:rPr>
                <w:rFonts w:ascii="Times New Roman"/>
                <w:sz w:val="21"/>
              </w:rPr>
            </w:pPr>
            <w:r>
              <w:rPr>
                <w:rFonts w:ascii="Times New Roman"/>
                <w:sz w:val="21"/>
              </w:rPr>
              <w:t>20,</w:t>
            </w:r>
          </w:p>
          <w:p>
            <w:pPr>
              <w:pStyle w:val="TableParagraph"/>
              <w:spacing w:line="229" w:lineRule="exact" w:before="1"/>
              <w:ind w:right="93"/>
              <w:jc w:val="right"/>
              <w:rPr>
                <w:rFonts w:ascii="Times New Roman"/>
                <w:sz w:val="21"/>
              </w:rPr>
            </w:pPr>
            <w:r>
              <w:rPr>
                <w:rFonts w:ascii="Times New Roman"/>
                <w:sz w:val="21"/>
              </w:rPr>
              <w:t>245</w:t>
            </w:r>
          </w:p>
        </w:tc>
        <w:tc>
          <w:tcPr>
            <w:tcW w:w="571" w:type="dxa"/>
          </w:tcPr>
          <w:p>
            <w:pPr>
              <w:pStyle w:val="TableParagraph"/>
              <w:spacing w:before="9"/>
              <w:rPr>
                <w:sz w:val="27"/>
              </w:rPr>
            </w:pPr>
          </w:p>
          <w:p>
            <w:pPr>
              <w:pStyle w:val="TableParagraph"/>
              <w:ind w:right="97"/>
              <w:jc w:val="right"/>
              <w:rPr>
                <w:rFonts w:ascii="Times New Roman"/>
                <w:sz w:val="21"/>
              </w:rPr>
            </w:pPr>
            <w:r>
              <w:rPr>
                <w:rFonts w:ascii="Times New Roman"/>
                <w:w w:val="100"/>
                <w:sz w:val="21"/>
              </w:rPr>
              <w:t>-</w:t>
            </w:r>
          </w:p>
        </w:tc>
        <w:tc>
          <w:tcPr>
            <w:tcW w:w="259" w:type="dxa"/>
          </w:tcPr>
          <w:p>
            <w:pPr>
              <w:pStyle w:val="TableParagraph"/>
              <w:spacing w:before="9"/>
              <w:rPr>
                <w:sz w:val="27"/>
              </w:rPr>
            </w:pPr>
          </w:p>
          <w:p>
            <w:pPr>
              <w:pStyle w:val="TableParagraph"/>
              <w:ind w:left="33"/>
              <w:jc w:val="center"/>
              <w:rPr>
                <w:rFonts w:ascii="Times New Roman"/>
                <w:sz w:val="21"/>
              </w:rPr>
            </w:pPr>
            <w:r>
              <w:rPr>
                <w:rFonts w:ascii="Times New Roman"/>
                <w:w w:val="100"/>
                <w:sz w:val="21"/>
              </w:rPr>
              <w:t>-</w:t>
            </w:r>
          </w:p>
        </w:tc>
        <w:tc>
          <w:tcPr>
            <w:tcW w:w="732" w:type="dxa"/>
          </w:tcPr>
          <w:p>
            <w:pPr>
              <w:pStyle w:val="TableParagraph"/>
              <w:spacing w:before="9"/>
              <w:rPr>
                <w:sz w:val="27"/>
              </w:rPr>
            </w:pPr>
          </w:p>
          <w:p>
            <w:pPr>
              <w:pStyle w:val="TableParagraph"/>
              <w:ind w:right="94"/>
              <w:jc w:val="right"/>
              <w:rPr>
                <w:rFonts w:ascii="Times New Roman"/>
                <w:sz w:val="21"/>
              </w:rPr>
            </w:pPr>
            <w:r>
              <w:rPr>
                <w:rFonts w:ascii="Times New Roman"/>
                <w:w w:val="100"/>
                <w:sz w:val="21"/>
              </w:rPr>
              <w:t>-</w:t>
            </w:r>
          </w:p>
        </w:tc>
        <w:tc>
          <w:tcPr>
            <w:tcW w:w="259" w:type="dxa"/>
          </w:tcPr>
          <w:p>
            <w:pPr>
              <w:pStyle w:val="TableParagraph"/>
              <w:spacing w:before="9"/>
              <w:rPr>
                <w:sz w:val="27"/>
              </w:rPr>
            </w:pPr>
          </w:p>
          <w:p>
            <w:pPr>
              <w:pStyle w:val="TableParagraph"/>
              <w:ind w:left="39"/>
              <w:jc w:val="center"/>
              <w:rPr>
                <w:rFonts w:ascii="Times New Roman"/>
                <w:sz w:val="21"/>
              </w:rPr>
            </w:pPr>
            <w:r>
              <w:rPr>
                <w:rFonts w:ascii="Times New Roman"/>
                <w:w w:val="100"/>
                <w:sz w:val="21"/>
              </w:rPr>
              <w:t>-</w:t>
            </w:r>
          </w:p>
        </w:tc>
        <w:tc>
          <w:tcPr>
            <w:tcW w:w="801" w:type="dxa"/>
          </w:tcPr>
          <w:p>
            <w:pPr>
              <w:pStyle w:val="TableParagraph"/>
              <w:spacing w:before="9"/>
              <w:rPr>
                <w:sz w:val="27"/>
              </w:rPr>
            </w:pPr>
          </w:p>
          <w:p>
            <w:pPr>
              <w:pStyle w:val="TableParagraph"/>
              <w:ind w:right="93"/>
              <w:jc w:val="right"/>
              <w:rPr>
                <w:rFonts w:ascii="Times New Roman"/>
                <w:sz w:val="21"/>
              </w:rPr>
            </w:pPr>
            <w:r>
              <w:rPr>
                <w:rFonts w:ascii="Times New Roman"/>
                <w:w w:val="100"/>
                <w:sz w:val="21"/>
              </w:rPr>
              <w:t>-</w:t>
            </w:r>
          </w:p>
        </w:tc>
        <w:tc>
          <w:tcPr>
            <w:tcW w:w="259" w:type="dxa"/>
          </w:tcPr>
          <w:p>
            <w:pPr>
              <w:pStyle w:val="TableParagraph"/>
              <w:spacing w:before="9"/>
              <w:rPr>
                <w:sz w:val="27"/>
              </w:rPr>
            </w:pPr>
          </w:p>
          <w:p>
            <w:pPr>
              <w:pStyle w:val="TableParagraph"/>
              <w:ind w:right="66"/>
              <w:jc w:val="right"/>
              <w:rPr>
                <w:rFonts w:ascii="Times New Roman"/>
                <w:sz w:val="21"/>
              </w:rPr>
            </w:pPr>
            <w:r>
              <w:rPr>
                <w:rFonts w:ascii="Times New Roman"/>
                <w:w w:val="100"/>
                <w:sz w:val="21"/>
              </w:rPr>
              <w:t>-</w:t>
            </w:r>
          </w:p>
        </w:tc>
        <w:tc>
          <w:tcPr>
            <w:tcW w:w="867" w:type="dxa"/>
          </w:tcPr>
          <w:p>
            <w:pPr>
              <w:pStyle w:val="TableParagraph"/>
              <w:spacing w:before="113"/>
              <w:ind w:left="129" w:right="92" w:firstLine="562"/>
              <w:jc w:val="right"/>
              <w:rPr>
                <w:rFonts w:ascii="Times New Roman"/>
                <w:sz w:val="21"/>
              </w:rPr>
            </w:pPr>
            <w:r>
              <w:rPr>
                <w:rFonts w:ascii="Times New Roman"/>
                <w:sz w:val="21"/>
              </w:rPr>
              <w:t>-</w:t>
            </w:r>
            <w:r>
              <w:rPr>
                <w:rFonts w:ascii="Times New Roman"/>
                <w:spacing w:val="-50"/>
                <w:sz w:val="21"/>
              </w:rPr>
              <w:t> </w:t>
            </w:r>
            <w:r>
              <w:rPr>
                <w:rFonts w:ascii="Times New Roman"/>
                <w:sz w:val="21"/>
              </w:rPr>
              <w:t>1,531,9</w:t>
            </w:r>
          </w:p>
          <w:p>
            <w:pPr>
              <w:pStyle w:val="TableParagraph"/>
              <w:spacing w:before="2"/>
              <w:ind w:right="94"/>
              <w:jc w:val="right"/>
              <w:rPr>
                <w:rFonts w:ascii="Times New Roman"/>
                <w:sz w:val="21"/>
              </w:rPr>
            </w:pPr>
            <w:r>
              <w:rPr>
                <w:rFonts w:ascii="Times New Roman"/>
                <w:sz w:val="21"/>
              </w:rPr>
              <w:t>51</w:t>
            </w:r>
          </w:p>
        </w:tc>
        <w:tc>
          <w:tcPr>
            <w:tcW w:w="605" w:type="dxa"/>
          </w:tcPr>
          <w:p>
            <w:pPr>
              <w:pStyle w:val="TableParagraph"/>
              <w:spacing w:before="5"/>
              <w:rPr>
                <w:sz w:val="18"/>
              </w:rPr>
            </w:pPr>
          </w:p>
          <w:p>
            <w:pPr>
              <w:pStyle w:val="TableParagraph"/>
              <w:spacing w:line="241" w:lineRule="exact"/>
              <w:ind w:right="91"/>
              <w:jc w:val="right"/>
              <w:rPr>
                <w:rFonts w:ascii="Times New Roman"/>
                <w:sz w:val="21"/>
              </w:rPr>
            </w:pPr>
            <w:r>
              <w:rPr>
                <w:rFonts w:ascii="Times New Roman"/>
                <w:sz w:val="21"/>
              </w:rPr>
              <w:t>40,4</w:t>
            </w:r>
          </w:p>
          <w:p>
            <w:pPr>
              <w:pStyle w:val="TableParagraph"/>
              <w:spacing w:line="241" w:lineRule="exact"/>
              <w:ind w:right="94"/>
              <w:jc w:val="right"/>
              <w:rPr>
                <w:rFonts w:ascii="Times New Roman"/>
                <w:sz w:val="21"/>
              </w:rPr>
            </w:pPr>
            <w:r>
              <w:rPr>
                <w:rFonts w:ascii="Times New Roman"/>
                <w:sz w:val="21"/>
              </w:rPr>
              <w:t>09</w:t>
            </w:r>
          </w:p>
        </w:tc>
        <w:tc>
          <w:tcPr>
            <w:tcW w:w="864" w:type="dxa"/>
          </w:tcPr>
          <w:p>
            <w:pPr>
              <w:pStyle w:val="TableParagraph"/>
              <w:spacing w:before="113"/>
              <w:ind w:left="126" w:right="91" w:firstLine="561"/>
              <w:jc w:val="right"/>
              <w:rPr>
                <w:rFonts w:ascii="Times New Roman"/>
                <w:sz w:val="21"/>
              </w:rPr>
            </w:pPr>
            <w:r>
              <w:rPr>
                <w:rFonts w:ascii="Times New Roman"/>
                <w:sz w:val="21"/>
              </w:rPr>
              <w:t>-</w:t>
            </w:r>
            <w:r>
              <w:rPr>
                <w:rFonts w:ascii="Times New Roman"/>
                <w:spacing w:val="-50"/>
                <w:sz w:val="21"/>
              </w:rPr>
              <w:t> </w:t>
            </w:r>
            <w:r>
              <w:rPr>
                <w:rFonts w:ascii="Times New Roman"/>
                <w:sz w:val="21"/>
              </w:rPr>
              <w:t>1,491,5</w:t>
            </w:r>
          </w:p>
          <w:p>
            <w:pPr>
              <w:pStyle w:val="TableParagraph"/>
              <w:spacing w:before="2"/>
              <w:ind w:right="94"/>
              <w:jc w:val="right"/>
              <w:rPr>
                <w:rFonts w:ascii="Times New Roman"/>
                <w:sz w:val="21"/>
              </w:rPr>
            </w:pPr>
            <w:r>
              <w:rPr>
                <w:rFonts w:ascii="Times New Roman"/>
                <w:sz w:val="21"/>
              </w:rPr>
              <w:t>42</w:t>
            </w:r>
          </w:p>
        </w:tc>
      </w:tr>
    </w:tbl>
    <w:p>
      <w:pPr>
        <w:spacing w:after="0"/>
        <w:jc w:val="right"/>
        <w:rPr>
          <w:rFonts w:ascii="Times New Roman"/>
          <w:sz w:val="21"/>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4"/>
        <w:gridCol w:w="801"/>
        <w:gridCol w:w="259"/>
        <w:gridCol w:w="257"/>
        <w:gridCol w:w="260"/>
        <w:gridCol w:w="857"/>
        <w:gridCol w:w="557"/>
        <w:gridCol w:w="571"/>
        <w:gridCol w:w="259"/>
        <w:gridCol w:w="732"/>
        <w:gridCol w:w="259"/>
        <w:gridCol w:w="801"/>
        <w:gridCol w:w="259"/>
        <w:gridCol w:w="867"/>
        <w:gridCol w:w="605"/>
        <w:gridCol w:w="864"/>
      </w:tblGrid>
      <w:tr>
        <w:trPr>
          <w:trHeight w:val="700" w:hRule="atLeast"/>
        </w:trPr>
        <w:tc>
          <w:tcPr>
            <w:tcW w:w="614" w:type="dxa"/>
          </w:tcPr>
          <w:p>
            <w:pPr>
              <w:pStyle w:val="TableParagraph"/>
              <w:spacing w:before="2"/>
              <w:ind w:left="107"/>
              <w:rPr>
                <w:sz w:val="18"/>
              </w:rPr>
            </w:pPr>
            <w:r>
              <w:rPr>
                <w:sz w:val="18"/>
              </w:rPr>
              <w:t>和减</w:t>
            </w:r>
          </w:p>
          <w:p>
            <w:pPr>
              <w:pStyle w:val="TableParagraph"/>
              <w:spacing w:line="230" w:lineRule="atLeast"/>
              <w:ind w:left="107" w:right="134"/>
              <w:rPr>
                <w:sz w:val="18"/>
              </w:rPr>
            </w:pPr>
            <w:r>
              <w:rPr>
                <w:spacing w:val="-2"/>
                <w:sz w:val="18"/>
              </w:rPr>
              <w:t>少资</w:t>
            </w:r>
            <w:r>
              <w:rPr>
                <w:sz w:val="18"/>
              </w:rPr>
              <w:t>本 </w:t>
            </w: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rPr>
                <w:rFonts w:ascii="Times New Roman"/>
                <w:sz w:val="18"/>
              </w:rPr>
            </w:pPr>
          </w:p>
        </w:tc>
        <w:tc>
          <w:tcPr>
            <w:tcW w:w="557" w:type="dxa"/>
          </w:tcPr>
          <w:p>
            <w:pPr>
              <w:pStyle w:val="TableParagraph"/>
              <w:rPr>
                <w:rFonts w:ascii="Times New Roman"/>
                <w:sz w:val="18"/>
              </w:rPr>
            </w:pPr>
          </w:p>
        </w:tc>
        <w:tc>
          <w:tcPr>
            <w:tcW w:w="571" w:type="dxa"/>
          </w:tcPr>
          <w:p>
            <w:pPr>
              <w:pStyle w:val="TableParagraph"/>
              <w:rPr>
                <w:rFonts w:ascii="Times New Roman"/>
                <w:sz w:val="18"/>
              </w:rPr>
            </w:pPr>
          </w:p>
        </w:tc>
        <w:tc>
          <w:tcPr>
            <w:tcW w:w="259" w:type="dxa"/>
          </w:tcPr>
          <w:p>
            <w:pPr>
              <w:pStyle w:val="TableParagraph"/>
              <w:rPr>
                <w:rFonts w:ascii="Times New Roman"/>
                <w:sz w:val="18"/>
              </w:rPr>
            </w:pPr>
          </w:p>
        </w:tc>
        <w:tc>
          <w:tcPr>
            <w:tcW w:w="732" w:type="dxa"/>
          </w:tcPr>
          <w:p>
            <w:pPr>
              <w:pStyle w:val="TableParagraph"/>
              <w:rPr>
                <w:rFonts w:ascii="Times New Roman"/>
                <w:sz w:val="18"/>
              </w:rPr>
            </w:pPr>
          </w:p>
        </w:tc>
        <w:tc>
          <w:tcPr>
            <w:tcW w:w="259" w:type="dxa"/>
          </w:tcPr>
          <w:p>
            <w:pPr>
              <w:pStyle w:val="TableParagraph"/>
              <w:rPr>
                <w:rFonts w:ascii="Times New Roman"/>
                <w:sz w:val="18"/>
              </w:rPr>
            </w:pP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867" w:type="dxa"/>
          </w:tcPr>
          <w:p>
            <w:pPr>
              <w:pStyle w:val="TableParagraph"/>
              <w:rPr>
                <w:rFonts w:ascii="Times New Roman"/>
                <w:sz w:val="18"/>
              </w:rPr>
            </w:pPr>
          </w:p>
        </w:tc>
        <w:tc>
          <w:tcPr>
            <w:tcW w:w="605" w:type="dxa"/>
          </w:tcPr>
          <w:p>
            <w:pPr>
              <w:pStyle w:val="TableParagraph"/>
              <w:rPr>
                <w:rFonts w:ascii="Times New Roman"/>
                <w:sz w:val="18"/>
              </w:rPr>
            </w:pPr>
          </w:p>
        </w:tc>
        <w:tc>
          <w:tcPr>
            <w:tcW w:w="864" w:type="dxa"/>
          </w:tcPr>
          <w:p>
            <w:pPr>
              <w:pStyle w:val="TableParagraph"/>
              <w:rPr>
                <w:rFonts w:ascii="Times New Roman"/>
                <w:sz w:val="18"/>
              </w:rPr>
            </w:pPr>
          </w:p>
        </w:tc>
      </w:tr>
      <w:tr>
        <w:trPr>
          <w:trHeight w:val="1401" w:hRule="atLeast"/>
        </w:trPr>
        <w:tc>
          <w:tcPr>
            <w:tcW w:w="614" w:type="dxa"/>
          </w:tcPr>
          <w:p>
            <w:pPr>
              <w:pStyle w:val="TableParagraph"/>
              <w:spacing w:line="242" w:lineRule="auto" w:before="2"/>
              <w:ind w:left="107" w:right="134"/>
              <w:rPr>
                <w:sz w:val="18"/>
              </w:rPr>
            </w:pPr>
            <w:r>
              <w:rPr>
                <w:sz w:val="18"/>
              </w:rPr>
              <w:t>1．</w:t>
            </w:r>
            <w:r>
              <w:rPr>
                <w:spacing w:val="1"/>
                <w:sz w:val="18"/>
              </w:rPr>
              <w:t> </w:t>
            </w:r>
            <w:r>
              <w:rPr>
                <w:spacing w:val="-2"/>
                <w:sz w:val="18"/>
              </w:rPr>
              <w:t>所有者投入的普通</w:t>
            </w:r>
          </w:p>
          <w:p>
            <w:pPr>
              <w:pStyle w:val="TableParagraph"/>
              <w:spacing w:line="213" w:lineRule="exact" w:before="2"/>
              <w:ind w:left="107"/>
              <w:rPr>
                <w:sz w:val="18"/>
              </w:rPr>
            </w:pPr>
            <w:r>
              <w:rPr>
                <w:sz w:val="18"/>
              </w:rPr>
              <w:t>股 </w:t>
            </w: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rPr>
                <w:rFonts w:ascii="Times New Roman"/>
                <w:sz w:val="18"/>
              </w:rPr>
            </w:pPr>
          </w:p>
        </w:tc>
        <w:tc>
          <w:tcPr>
            <w:tcW w:w="557" w:type="dxa"/>
          </w:tcPr>
          <w:p>
            <w:pPr>
              <w:pStyle w:val="TableParagraph"/>
              <w:rPr>
                <w:rFonts w:ascii="Times New Roman"/>
                <w:sz w:val="18"/>
              </w:rPr>
            </w:pPr>
          </w:p>
        </w:tc>
        <w:tc>
          <w:tcPr>
            <w:tcW w:w="571" w:type="dxa"/>
          </w:tcPr>
          <w:p>
            <w:pPr>
              <w:pStyle w:val="TableParagraph"/>
              <w:rPr>
                <w:rFonts w:ascii="Times New Roman"/>
                <w:sz w:val="18"/>
              </w:rPr>
            </w:pPr>
          </w:p>
        </w:tc>
        <w:tc>
          <w:tcPr>
            <w:tcW w:w="259" w:type="dxa"/>
          </w:tcPr>
          <w:p>
            <w:pPr>
              <w:pStyle w:val="TableParagraph"/>
              <w:rPr>
                <w:rFonts w:ascii="Times New Roman"/>
                <w:sz w:val="18"/>
              </w:rPr>
            </w:pPr>
          </w:p>
        </w:tc>
        <w:tc>
          <w:tcPr>
            <w:tcW w:w="732" w:type="dxa"/>
          </w:tcPr>
          <w:p>
            <w:pPr>
              <w:pStyle w:val="TableParagraph"/>
              <w:rPr>
                <w:rFonts w:ascii="Times New Roman"/>
                <w:sz w:val="18"/>
              </w:rPr>
            </w:pPr>
          </w:p>
        </w:tc>
        <w:tc>
          <w:tcPr>
            <w:tcW w:w="259" w:type="dxa"/>
          </w:tcPr>
          <w:p>
            <w:pPr>
              <w:pStyle w:val="TableParagraph"/>
              <w:rPr>
                <w:rFonts w:ascii="Times New Roman"/>
                <w:sz w:val="18"/>
              </w:rPr>
            </w:pP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867" w:type="dxa"/>
          </w:tcPr>
          <w:p>
            <w:pPr>
              <w:pStyle w:val="TableParagraph"/>
              <w:rPr>
                <w:rFonts w:ascii="Times New Roman"/>
                <w:sz w:val="18"/>
              </w:rPr>
            </w:pPr>
          </w:p>
        </w:tc>
        <w:tc>
          <w:tcPr>
            <w:tcW w:w="605" w:type="dxa"/>
          </w:tcPr>
          <w:p>
            <w:pPr>
              <w:pStyle w:val="TableParagraph"/>
              <w:rPr>
                <w:rFonts w:ascii="Times New Roman"/>
                <w:sz w:val="18"/>
              </w:rPr>
            </w:pPr>
          </w:p>
        </w:tc>
        <w:tc>
          <w:tcPr>
            <w:tcW w:w="864" w:type="dxa"/>
          </w:tcPr>
          <w:p>
            <w:pPr>
              <w:pStyle w:val="TableParagraph"/>
              <w:rPr>
                <w:rFonts w:ascii="Times New Roman"/>
                <w:sz w:val="18"/>
              </w:rPr>
            </w:pPr>
          </w:p>
        </w:tc>
      </w:tr>
      <w:tr>
        <w:trPr>
          <w:trHeight w:val="1867" w:hRule="atLeast"/>
        </w:trPr>
        <w:tc>
          <w:tcPr>
            <w:tcW w:w="614" w:type="dxa"/>
          </w:tcPr>
          <w:p>
            <w:pPr>
              <w:pStyle w:val="TableParagraph"/>
              <w:spacing w:line="242" w:lineRule="auto"/>
              <w:ind w:left="107" w:right="134"/>
              <w:rPr>
                <w:sz w:val="18"/>
              </w:rPr>
            </w:pPr>
            <w:r>
              <w:rPr>
                <w:sz w:val="18"/>
              </w:rPr>
              <w:t>2．</w:t>
            </w:r>
            <w:r>
              <w:rPr>
                <w:spacing w:val="1"/>
                <w:sz w:val="18"/>
              </w:rPr>
              <w:t> </w:t>
            </w:r>
            <w:r>
              <w:rPr>
                <w:spacing w:val="-2"/>
                <w:sz w:val="18"/>
              </w:rPr>
              <w:t>其他权益工具持有者投</w:t>
            </w:r>
          </w:p>
          <w:p>
            <w:pPr>
              <w:pStyle w:val="TableParagraph"/>
              <w:spacing w:line="230" w:lineRule="atLeast"/>
              <w:ind w:left="107" w:right="134"/>
              <w:rPr>
                <w:sz w:val="18"/>
              </w:rPr>
            </w:pPr>
            <w:r>
              <w:rPr>
                <w:spacing w:val="-2"/>
                <w:sz w:val="18"/>
              </w:rPr>
              <w:t>入资</w:t>
            </w:r>
            <w:r>
              <w:rPr>
                <w:sz w:val="18"/>
              </w:rPr>
              <w:t>本 </w:t>
            </w: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rPr>
                <w:rFonts w:ascii="Times New Roman"/>
                <w:sz w:val="18"/>
              </w:rPr>
            </w:pPr>
          </w:p>
        </w:tc>
        <w:tc>
          <w:tcPr>
            <w:tcW w:w="557" w:type="dxa"/>
          </w:tcPr>
          <w:p>
            <w:pPr>
              <w:pStyle w:val="TableParagraph"/>
              <w:rPr>
                <w:rFonts w:ascii="Times New Roman"/>
                <w:sz w:val="18"/>
              </w:rPr>
            </w:pPr>
          </w:p>
        </w:tc>
        <w:tc>
          <w:tcPr>
            <w:tcW w:w="571" w:type="dxa"/>
          </w:tcPr>
          <w:p>
            <w:pPr>
              <w:pStyle w:val="TableParagraph"/>
              <w:rPr>
                <w:rFonts w:ascii="Times New Roman"/>
                <w:sz w:val="18"/>
              </w:rPr>
            </w:pPr>
          </w:p>
        </w:tc>
        <w:tc>
          <w:tcPr>
            <w:tcW w:w="259" w:type="dxa"/>
          </w:tcPr>
          <w:p>
            <w:pPr>
              <w:pStyle w:val="TableParagraph"/>
              <w:rPr>
                <w:rFonts w:ascii="Times New Roman"/>
                <w:sz w:val="18"/>
              </w:rPr>
            </w:pPr>
          </w:p>
        </w:tc>
        <w:tc>
          <w:tcPr>
            <w:tcW w:w="732" w:type="dxa"/>
          </w:tcPr>
          <w:p>
            <w:pPr>
              <w:pStyle w:val="TableParagraph"/>
              <w:rPr>
                <w:rFonts w:ascii="Times New Roman"/>
                <w:sz w:val="18"/>
              </w:rPr>
            </w:pPr>
          </w:p>
        </w:tc>
        <w:tc>
          <w:tcPr>
            <w:tcW w:w="259" w:type="dxa"/>
          </w:tcPr>
          <w:p>
            <w:pPr>
              <w:pStyle w:val="TableParagraph"/>
              <w:rPr>
                <w:rFonts w:ascii="Times New Roman"/>
                <w:sz w:val="18"/>
              </w:rPr>
            </w:pP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867" w:type="dxa"/>
          </w:tcPr>
          <w:p>
            <w:pPr>
              <w:pStyle w:val="TableParagraph"/>
              <w:rPr>
                <w:rFonts w:ascii="Times New Roman"/>
                <w:sz w:val="18"/>
              </w:rPr>
            </w:pPr>
          </w:p>
        </w:tc>
        <w:tc>
          <w:tcPr>
            <w:tcW w:w="605" w:type="dxa"/>
          </w:tcPr>
          <w:p>
            <w:pPr>
              <w:pStyle w:val="TableParagraph"/>
              <w:rPr>
                <w:rFonts w:ascii="Times New Roman"/>
                <w:sz w:val="18"/>
              </w:rPr>
            </w:pPr>
          </w:p>
        </w:tc>
        <w:tc>
          <w:tcPr>
            <w:tcW w:w="864" w:type="dxa"/>
          </w:tcPr>
          <w:p>
            <w:pPr>
              <w:pStyle w:val="TableParagraph"/>
              <w:rPr>
                <w:rFonts w:ascii="Times New Roman"/>
                <w:sz w:val="18"/>
              </w:rPr>
            </w:pPr>
          </w:p>
        </w:tc>
      </w:tr>
      <w:tr>
        <w:trPr>
          <w:trHeight w:val="1869" w:hRule="atLeast"/>
        </w:trPr>
        <w:tc>
          <w:tcPr>
            <w:tcW w:w="614" w:type="dxa"/>
          </w:tcPr>
          <w:p>
            <w:pPr>
              <w:pStyle w:val="TableParagraph"/>
              <w:spacing w:line="242" w:lineRule="auto" w:before="2"/>
              <w:ind w:left="107" w:right="134"/>
              <w:rPr>
                <w:sz w:val="18"/>
              </w:rPr>
            </w:pPr>
            <w:r>
              <w:rPr>
                <w:sz w:val="18"/>
              </w:rPr>
              <w:t>3．</w:t>
            </w:r>
            <w:r>
              <w:rPr>
                <w:spacing w:val="1"/>
                <w:sz w:val="18"/>
              </w:rPr>
              <w:t> </w:t>
            </w:r>
            <w:r>
              <w:rPr>
                <w:spacing w:val="-2"/>
                <w:sz w:val="18"/>
              </w:rPr>
              <w:t>股份支付计入所有者权</w:t>
            </w:r>
            <w:r>
              <w:rPr>
                <w:spacing w:val="-9"/>
                <w:sz w:val="18"/>
              </w:rPr>
              <w:t>益的</w:t>
            </w:r>
          </w:p>
          <w:p>
            <w:pPr>
              <w:pStyle w:val="TableParagraph"/>
              <w:spacing w:line="215" w:lineRule="exact" w:before="1"/>
              <w:ind w:left="107"/>
              <w:rPr>
                <w:sz w:val="18"/>
              </w:rPr>
            </w:pPr>
            <w:r>
              <w:rPr>
                <w:spacing w:val="-1"/>
                <w:sz w:val="18"/>
              </w:rPr>
              <w:t>金额</w:t>
            </w:r>
            <w:r>
              <w:rPr>
                <w:sz w:val="18"/>
              </w:rPr>
              <w:t> </w:t>
            </w:r>
          </w:p>
        </w:tc>
        <w:tc>
          <w:tcPr>
            <w:tcW w:w="801" w:type="dxa"/>
          </w:tcPr>
          <w:p>
            <w:pPr>
              <w:pStyle w:val="TableParagraph"/>
              <w:rPr>
                <w:sz w:val="22"/>
              </w:rPr>
            </w:pPr>
          </w:p>
          <w:p>
            <w:pPr>
              <w:pStyle w:val="TableParagraph"/>
              <w:rPr>
                <w:sz w:val="22"/>
              </w:rPr>
            </w:pPr>
          </w:p>
          <w:p>
            <w:pPr>
              <w:pStyle w:val="TableParagraph"/>
              <w:spacing w:before="12"/>
              <w:rPr>
                <w:sz w:val="18"/>
              </w:rPr>
            </w:pPr>
          </w:p>
          <w:p>
            <w:pPr>
              <w:pStyle w:val="TableParagraph"/>
              <w:ind w:right="95"/>
              <w:jc w:val="right"/>
              <w:rPr>
                <w:rFonts w:ascii="Times New Roman"/>
                <w:sz w:val="21"/>
              </w:rPr>
            </w:pPr>
            <w:r>
              <w:rPr>
                <w:rFonts w:ascii="Times New Roman"/>
                <w:sz w:val="21"/>
              </w:rPr>
              <w:t>34</w:t>
            </w: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rPr>
                <w:sz w:val="22"/>
              </w:rPr>
            </w:pPr>
          </w:p>
          <w:p>
            <w:pPr>
              <w:pStyle w:val="TableParagraph"/>
              <w:rPr>
                <w:sz w:val="22"/>
              </w:rPr>
            </w:pPr>
          </w:p>
          <w:p>
            <w:pPr>
              <w:pStyle w:val="TableParagraph"/>
              <w:spacing w:before="12"/>
              <w:rPr>
                <w:sz w:val="18"/>
              </w:rPr>
            </w:pPr>
          </w:p>
          <w:p>
            <w:pPr>
              <w:pStyle w:val="TableParagraph"/>
              <w:ind w:right="93"/>
              <w:jc w:val="right"/>
              <w:rPr>
                <w:rFonts w:ascii="Times New Roman"/>
                <w:sz w:val="21"/>
              </w:rPr>
            </w:pPr>
            <w:r>
              <w:rPr>
                <w:rFonts w:ascii="Times New Roman"/>
                <w:sz w:val="21"/>
              </w:rPr>
              <w:t>352</w:t>
            </w:r>
          </w:p>
        </w:tc>
        <w:tc>
          <w:tcPr>
            <w:tcW w:w="557" w:type="dxa"/>
          </w:tcPr>
          <w:p>
            <w:pPr>
              <w:pStyle w:val="TableParagraph"/>
              <w:rPr>
                <w:sz w:val="22"/>
              </w:rPr>
            </w:pPr>
          </w:p>
          <w:p>
            <w:pPr>
              <w:pStyle w:val="TableParagraph"/>
              <w:spacing w:before="3"/>
              <w:rPr>
                <w:sz w:val="22"/>
              </w:rPr>
            </w:pPr>
          </w:p>
          <w:p>
            <w:pPr>
              <w:pStyle w:val="TableParagraph"/>
              <w:spacing w:line="241" w:lineRule="exact"/>
              <w:ind w:right="93"/>
              <w:jc w:val="right"/>
              <w:rPr>
                <w:rFonts w:ascii="Times New Roman"/>
                <w:sz w:val="21"/>
              </w:rPr>
            </w:pPr>
            <w:r>
              <w:rPr>
                <w:rFonts w:ascii="Times New Roman"/>
                <w:sz w:val="21"/>
              </w:rPr>
              <w:t>185</w:t>
            </w:r>
          </w:p>
          <w:p>
            <w:pPr>
              <w:pStyle w:val="TableParagraph"/>
              <w:spacing w:line="241" w:lineRule="exact"/>
              <w:ind w:right="93"/>
              <w:jc w:val="right"/>
              <w:rPr>
                <w:rFonts w:ascii="Times New Roman"/>
                <w:sz w:val="21"/>
              </w:rPr>
            </w:pPr>
            <w:r>
              <w:rPr>
                <w:rFonts w:ascii="Times New Roman"/>
                <w:sz w:val="21"/>
              </w:rPr>
              <w:t>,23</w:t>
            </w:r>
          </w:p>
          <w:p>
            <w:pPr>
              <w:pStyle w:val="TableParagraph"/>
              <w:spacing w:before="1"/>
              <w:ind w:right="95"/>
              <w:jc w:val="right"/>
              <w:rPr>
                <w:rFonts w:ascii="Times New Roman"/>
                <w:sz w:val="21"/>
              </w:rPr>
            </w:pPr>
            <w:r>
              <w:rPr>
                <w:rFonts w:ascii="Times New Roman"/>
                <w:w w:val="100"/>
                <w:sz w:val="21"/>
              </w:rPr>
              <w:t>9</w:t>
            </w:r>
          </w:p>
        </w:tc>
        <w:tc>
          <w:tcPr>
            <w:tcW w:w="571" w:type="dxa"/>
          </w:tcPr>
          <w:p>
            <w:pPr>
              <w:pStyle w:val="TableParagraph"/>
              <w:rPr>
                <w:sz w:val="22"/>
              </w:rPr>
            </w:pPr>
          </w:p>
          <w:p>
            <w:pPr>
              <w:pStyle w:val="TableParagraph"/>
              <w:rPr>
                <w:sz w:val="22"/>
              </w:rPr>
            </w:pPr>
          </w:p>
          <w:p>
            <w:pPr>
              <w:pStyle w:val="TableParagraph"/>
              <w:spacing w:before="12"/>
              <w:rPr>
                <w:sz w:val="18"/>
              </w:rPr>
            </w:pPr>
          </w:p>
          <w:p>
            <w:pPr>
              <w:pStyle w:val="TableParagraph"/>
              <w:ind w:right="97"/>
              <w:jc w:val="right"/>
              <w:rPr>
                <w:rFonts w:ascii="Times New Roman"/>
                <w:sz w:val="21"/>
              </w:rPr>
            </w:pPr>
            <w:r>
              <w:rPr>
                <w:rFonts w:ascii="Times New Roman"/>
                <w:w w:val="100"/>
                <w:sz w:val="21"/>
              </w:rPr>
              <w:t>-</w:t>
            </w:r>
          </w:p>
        </w:tc>
        <w:tc>
          <w:tcPr>
            <w:tcW w:w="259" w:type="dxa"/>
          </w:tcPr>
          <w:p>
            <w:pPr>
              <w:pStyle w:val="TableParagraph"/>
              <w:rPr>
                <w:rFonts w:ascii="Times New Roman"/>
                <w:sz w:val="18"/>
              </w:rPr>
            </w:pPr>
          </w:p>
        </w:tc>
        <w:tc>
          <w:tcPr>
            <w:tcW w:w="732" w:type="dxa"/>
          </w:tcPr>
          <w:p>
            <w:pPr>
              <w:pStyle w:val="TableParagraph"/>
              <w:rPr>
                <w:sz w:val="22"/>
              </w:rPr>
            </w:pPr>
          </w:p>
          <w:p>
            <w:pPr>
              <w:pStyle w:val="TableParagraph"/>
              <w:rPr>
                <w:sz w:val="22"/>
              </w:rPr>
            </w:pPr>
          </w:p>
          <w:p>
            <w:pPr>
              <w:pStyle w:val="TableParagraph"/>
              <w:spacing w:before="12"/>
              <w:rPr>
                <w:sz w:val="18"/>
              </w:rPr>
            </w:pPr>
          </w:p>
          <w:p>
            <w:pPr>
              <w:pStyle w:val="TableParagraph"/>
              <w:ind w:right="94"/>
              <w:jc w:val="right"/>
              <w:rPr>
                <w:rFonts w:ascii="Times New Roman"/>
                <w:sz w:val="21"/>
              </w:rPr>
            </w:pPr>
            <w:r>
              <w:rPr>
                <w:rFonts w:ascii="Times New Roman"/>
                <w:w w:val="100"/>
                <w:sz w:val="21"/>
              </w:rPr>
              <w:t>-</w:t>
            </w:r>
          </w:p>
        </w:tc>
        <w:tc>
          <w:tcPr>
            <w:tcW w:w="259" w:type="dxa"/>
          </w:tcPr>
          <w:p>
            <w:pPr>
              <w:pStyle w:val="TableParagraph"/>
              <w:rPr>
                <w:rFonts w:ascii="Times New Roman"/>
                <w:sz w:val="18"/>
              </w:rPr>
            </w:pPr>
          </w:p>
        </w:tc>
        <w:tc>
          <w:tcPr>
            <w:tcW w:w="801" w:type="dxa"/>
          </w:tcPr>
          <w:p>
            <w:pPr>
              <w:pStyle w:val="TableParagraph"/>
              <w:rPr>
                <w:sz w:val="22"/>
              </w:rPr>
            </w:pPr>
          </w:p>
          <w:p>
            <w:pPr>
              <w:pStyle w:val="TableParagraph"/>
              <w:rPr>
                <w:sz w:val="22"/>
              </w:rPr>
            </w:pPr>
          </w:p>
          <w:p>
            <w:pPr>
              <w:pStyle w:val="TableParagraph"/>
              <w:spacing w:before="12"/>
              <w:rPr>
                <w:sz w:val="18"/>
              </w:rPr>
            </w:pPr>
          </w:p>
          <w:p>
            <w:pPr>
              <w:pStyle w:val="TableParagraph"/>
              <w:ind w:right="93"/>
              <w:jc w:val="right"/>
              <w:rPr>
                <w:rFonts w:ascii="Times New Roman"/>
                <w:sz w:val="21"/>
              </w:rPr>
            </w:pPr>
            <w:r>
              <w:rPr>
                <w:rFonts w:ascii="Times New Roman"/>
                <w:w w:val="100"/>
                <w:sz w:val="21"/>
              </w:rPr>
              <w:t>-</w:t>
            </w:r>
          </w:p>
        </w:tc>
        <w:tc>
          <w:tcPr>
            <w:tcW w:w="259" w:type="dxa"/>
          </w:tcPr>
          <w:p>
            <w:pPr>
              <w:pStyle w:val="TableParagraph"/>
              <w:rPr>
                <w:rFonts w:ascii="Times New Roman"/>
                <w:sz w:val="18"/>
              </w:rPr>
            </w:pPr>
          </w:p>
        </w:tc>
        <w:tc>
          <w:tcPr>
            <w:tcW w:w="867" w:type="dxa"/>
          </w:tcPr>
          <w:p>
            <w:pPr>
              <w:pStyle w:val="TableParagraph"/>
              <w:rPr>
                <w:sz w:val="22"/>
              </w:rPr>
            </w:pPr>
          </w:p>
          <w:p>
            <w:pPr>
              <w:pStyle w:val="TableParagraph"/>
              <w:spacing w:before="7"/>
              <w:rPr>
                <w:sz w:val="31"/>
              </w:rPr>
            </w:pPr>
          </w:p>
          <w:p>
            <w:pPr>
              <w:pStyle w:val="TableParagraph"/>
              <w:spacing w:before="1"/>
              <w:ind w:right="92"/>
              <w:jc w:val="right"/>
              <w:rPr>
                <w:rFonts w:ascii="Times New Roman"/>
                <w:sz w:val="21"/>
              </w:rPr>
            </w:pPr>
            <w:r>
              <w:rPr>
                <w:rFonts w:ascii="Times New Roman"/>
                <w:sz w:val="21"/>
              </w:rPr>
              <w:t>185,62</w:t>
            </w:r>
          </w:p>
          <w:p>
            <w:pPr>
              <w:pStyle w:val="TableParagraph"/>
              <w:spacing w:before="1"/>
              <w:ind w:right="94"/>
              <w:jc w:val="right"/>
              <w:rPr>
                <w:rFonts w:ascii="Times New Roman"/>
                <w:sz w:val="21"/>
              </w:rPr>
            </w:pPr>
            <w:r>
              <w:rPr>
                <w:rFonts w:ascii="Times New Roman"/>
                <w:w w:val="100"/>
                <w:sz w:val="21"/>
              </w:rPr>
              <w:t>5</w:t>
            </w:r>
          </w:p>
        </w:tc>
        <w:tc>
          <w:tcPr>
            <w:tcW w:w="605" w:type="dxa"/>
          </w:tcPr>
          <w:p>
            <w:pPr>
              <w:pStyle w:val="TableParagraph"/>
              <w:rPr>
                <w:sz w:val="22"/>
              </w:rPr>
            </w:pPr>
          </w:p>
          <w:p>
            <w:pPr>
              <w:pStyle w:val="TableParagraph"/>
              <w:rPr>
                <w:sz w:val="22"/>
              </w:rPr>
            </w:pPr>
          </w:p>
          <w:p>
            <w:pPr>
              <w:pStyle w:val="TableParagraph"/>
              <w:spacing w:before="12"/>
              <w:rPr>
                <w:sz w:val="18"/>
              </w:rPr>
            </w:pPr>
          </w:p>
          <w:p>
            <w:pPr>
              <w:pStyle w:val="TableParagraph"/>
              <w:ind w:right="93"/>
              <w:jc w:val="right"/>
              <w:rPr>
                <w:rFonts w:ascii="Times New Roman"/>
                <w:sz w:val="21"/>
              </w:rPr>
            </w:pPr>
            <w:r>
              <w:rPr>
                <w:rFonts w:ascii="Times New Roman"/>
                <w:w w:val="100"/>
                <w:sz w:val="21"/>
              </w:rPr>
              <w:t>-</w:t>
            </w:r>
          </w:p>
        </w:tc>
        <w:tc>
          <w:tcPr>
            <w:tcW w:w="864" w:type="dxa"/>
          </w:tcPr>
          <w:p>
            <w:pPr>
              <w:pStyle w:val="TableParagraph"/>
              <w:rPr>
                <w:sz w:val="22"/>
              </w:rPr>
            </w:pPr>
          </w:p>
          <w:p>
            <w:pPr>
              <w:pStyle w:val="TableParagraph"/>
              <w:spacing w:before="7"/>
              <w:rPr>
                <w:sz w:val="31"/>
              </w:rPr>
            </w:pPr>
          </w:p>
          <w:p>
            <w:pPr>
              <w:pStyle w:val="TableParagraph"/>
              <w:spacing w:before="1"/>
              <w:ind w:right="91"/>
              <w:jc w:val="right"/>
              <w:rPr>
                <w:rFonts w:ascii="Times New Roman"/>
                <w:sz w:val="21"/>
              </w:rPr>
            </w:pPr>
            <w:r>
              <w:rPr>
                <w:rFonts w:ascii="Times New Roman"/>
                <w:sz w:val="21"/>
              </w:rPr>
              <w:t>185,62</w:t>
            </w:r>
          </w:p>
          <w:p>
            <w:pPr>
              <w:pStyle w:val="TableParagraph"/>
              <w:spacing w:before="1"/>
              <w:ind w:right="94"/>
              <w:jc w:val="right"/>
              <w:rPr>
                <w:rFonts w:ascii="Times New Roman"/>
                <w:sz w:val="21"/>
              </w:rPr>
            </w:pPr>
            <w:r>
              <w:rPr>
                <w:rFonts w:ascii="Times New Roman"/>
                <w:w w:val="100"/>
                <w:sz w:val="21"/>
              </w:rPr>
              <w:t>5</w:t>
            </w:r>
          </w:p>
        </w:tc>
      </w:tr>
      <w:tr>
        <w:trPr>
          <w:trHeight w:val="964" w:hRule="atLeast"/>
        </w:trPr>
        <w:tc>
          <w:tcPr>
            <w:tcW w:w="614" w:type="dxa"/>
          </w:tcPr>
          <w:p>
            <w:pPr>
              <w:pStyle w:val="TableParagraph"/>
              <w:spacing w:line="242" w:lineRule="auto"/>
              <w:ind w:left="107" w:right="44"/>
              <w:rPr>
                <w:sz w:val="18"/>
              </w:rPr>
            </w:pPr>
            <w:r>
              <w:rPr>
                <w:sz w:val="18"/>
              </w:rPr>
              <w:t>4．</w:t>
            </w:r>
            <w:r>
              <w:rPr>
                <w:spacing w:val="1"/>
                <w:sz w:val="18"/>
              </w:rPr>
              <w:t> </w:t>
            </w:r>
            <w:r>
              <w:rPr>
                <w:sz w:val="18"/>
              </w:rPr>
              <w:t>其他 </w:t>
            </w:r>
          </w:p>
        </w:tc>
        <w:tc>
          <w:tcPr>
            <w:tcW w:w="801" w:type="dxa"/>
          </w:tcPr>
          <w:p>
            <w:pPr>
              <w:pStyle w:val="TableParagraph"/>
              <w:spacing w:before="9"/>
              <w:rPr>
                <w:sz w:val="27"/>
              </w:rPr>
            </w:pPr>
          </w:p>
          <w:p>
            <w:pPr>
              <w:pStyle w:val="TableParagraph"/>
              <w:spacing w:before="1"/>
              <w:ind w:right="95"/>
              <w:jc w:val="right"/>
              <w:rPr>
                <w:rFonts w:ascii="Times New Roman"/>
                <w:sz w:val="21"/>
              </w:rPr>
            </w:pPr>
            <w:r>
              <w:rPr>
                <w:rFonts w:ascii="Times New Roman"/>
                <w:sz w:val="21"/>
              </w:rPr>
              <w:t>-5,511</w:t>
            </w:r>
          </w:p>
        </w:tc>
        <w:tc>
          <w:tcPr>
            <w:tcW w:w="259" w:type="dxa"/>
          </w:tcPr>
          <w:p>
            <w:pPr>
              <w:pStyle w:val="TableParagraph"/>
              <w:spacing w:before="9"/>
              <w:rPr>
                <w:sz w:val="27"/>
              </w:rPr>
            </w:pPr>
          </w:p>
          <w:p>
            <w:pPr>
              <w:pStyle w:val="TableParagraph"/>
              <w:spacing w:before="1"/>
              <w:ind w:right="67"/>
              <w:jc w:val="right"/>
              <w:rPr>
                <w:rFonts w:ascii="Times New Roman"/>
                <w:sz w:val="21"/>
              </w:rPr>
            </w:pPr>
            <w:r>
              <w:rPr>
                <w:rFonts w:ascii="Times New Roman"/>
                <w:w w:val="100"/>
                <w:sz w:val="21"/>
              </w:rPr>
              <w:t>-</w:t>
            </w:r>
          </w:p>
        </w:tc>
        <w:tc>
          <w:tcPr>
            <w:tcW w:w="257" w:type="dxa"/>
          </w:tcPr>
          <w:p>
            <w:pPr>
              <w:pStyle w:val="TableParagraph"/>
              <w:spacing w:before="9"/>
              <w:rPr>
                <w:sz w:val="27"/>
              </w:rPr>
            </w:pPr>
          </w:p>
          <w:p>
            <w:pPr>
              <w:pStyle w:val="TableParagraph"/>
              <w:spacing w:before="1"/>
              <w:ind w:right="68"/>
              <w:jc w:val="right"/>
              <w:rPr>
                <w:rFonts w:ascii="Times New Roman"/>
                <w:sz w:val="21"/>
              </w:rPr>
            </w:pPr>
            <w:r>
              <w:rPr>
                <w:rFonts w:ascii="Times New Roman"/>
                <w:w w:val="100"/>
                <w:sz w:val="21"/>
              </w:rPr>
              <w:t>-</w:t>
            </w:r>
          </w:p>
        </w:tc>
        <w:tc>
          <w:tcPr>
            <w:tcW w:w="260" w:type="dxa"/>
          </w:tcPr>
          <w:p>
            <w:pPr>
              <w:pStyle w:val="TableParagraph"/>
              <w:spacing w:before="9"/>
              <w:rPr>
                <w:sz w:val="27"/>
              </w:rPr>
            </w:pPr>
          </w:p>
          <w:p>
            <w:pPr>
              <w:pStyle w:val="TableParagraph"/>
              <w:spacing w:before="1"/>
              <w:ind w:left="38"/>
              <w:jc w:val="center"/>
              <w:rPr>
                <w:rFonts w:ascii="Times New Roman"/>
                <w:sz w:val="21"/>
              </w:rPr>
            </w:pPr>
            <w:r>
              <w:rPr>
                <w:rFonts w:ascii="Times New Roman"/>
                <w:w w:val="100"/>
                <w:sz w:val="21"/>
              </w:rPr>
              <w:t>-</w:t>
            </w:r>
          </w:p>
        </w:tc>
        <w:tc>
          <w:tcPr>
            <w:tcW w:w="857" w:type="dxa"/>
          </w:tcPr>
          <w:p>
            <w:pPr>
              <w:pStyle w:val="TableParagraph"/>
              <w:spacing w:before="5"/>
              <w:rPr>
                <w:sz w:val="18"/>
              </w:rPr>
            </w:pPr>
          </w:p>
          <w:p>
            <w:pPr>
              <w:pStyle w:val="TableParagraph"/>
              <w:spacing w:line="241" w:lineRule="exact"/>
              <w:ind w:right="93"/>
              <w:jc w:val="right"/>
              <w:rPr>
                <w:rFonts w:ascii="Times New Roman"/>
                <w:sz w:val="21"/>
              </w:rPr>
            </w:pPr>
            <w:r>
              <w:rPr>
                <w:rFonts w:ascii="Times New Roman"/>
                <w:sz w:val="21"/>
              </w:rPr>
              <w:t>193,41</w:t>
            </w:r>
          </w:p>
          <w:p>
            <w:pPr>
              <w:pStyle w:val="TableParagraph"/>
              <w:spacing w:line="241" w:lineRule="exact"/>
              <w:ind w:right="95"/>
              <w:jc w:val="right"/>
              <w:rPr>
                <w:rFonts w:ascii="Times New Roman"/>
                <w:sz w:val="21"/>
              </w:rPr>
            </w:pPr>
            <w:r>
              <w:rPr>
                <w:rFonts w:ascii="Times New Roman"/>
                <w:w w:val="100"/>
                <w:sz w:val="21"/>
              </w:rPr>
              <w:t>9</w:t>
            </w:r>
          </w:p>
        </w:tc>
        <w:tc>
          <w:tcPr>
            <w:tcW w:w="557" w:type="dxa"/>
          </w:tcPr>
          <w:p>
            <w:pPr>
              <w:pStyle w:val="TableParagraph"/>
              <w:spacing w:line="235" w:lineRule="exact"/>
              <w:ind w:right="95"/>
              <w:jc w:val="right"/>
              <w:rPr>
                <w:rFonts w:ascii="Times New Roman"/>
                <w:sz w:val="21"/>
              </w:rPr>
            </w:pPr>
            <w:r>
              <w:rPr>
                <w:rFonts w:ascii="Times New Roman"/>
                <w:w w:val="100"/>
                <w:sz w:val="21"/>
              </w:rPr>
              <w:t>-</w:t>
            </w:r>
          </w:p>
          <w:p>
            <w:pPr>
              <w:pStyle w:val="TableParagraph"/>
              <w:spacing w:line="241" w:lineRule="exact" w:before="1"/>
              <w:ind w:right="93"/>
              <w:jc w:val="right"/>
              <w:rPr>
                <w:rFonts w:ascii="Times New Roman"/>
                <w:sz w:val="21"/>
              </w:rPr>
            </w:pPr>
            <w:r>
              <w:rPr>
                <w:rFonts w:ascii="Times New Roman"/>
                <w:sz w:val="21"/>
              </w:rPr>
              <w:t>1,9</w:t>
            </w:r>
          </w:p>
          <w:p>
            <w:pPr>
              <w:pStyle w:val="TableParagraph"/>
              <w:spacing w:line="241" w:lineRule="exact"/>
              <w:ind w:right="93"/>
              <w:jc w:val="right"/>
              <w:rPr>
                <w:rFonts w:ascii="Times New Roman"/>
                <w:sz w:val="21"/>
              </w:rPr>
            </w:pPr>
            <w:r>
              <w:rPr>
                <w:rFonts w:ascii="Times New Roman"/>
                <w:sz w:val="21"/>
              </w:rPr>
              <w:t>05,</w:t>
            </w:r>
          </w:p>
          <w:p>
            <w:pPr>
              <w:pStyle w:val="TableParagraph"/>
              <w:spacing w:line="226" w:lineRule="exact" w:before="1"/>
              <w:ind w:right="93"/>
              <w:jc w:val="right"/>
              <w:rPr>
                <w:rFonts w:ascii="Times New Roman"/>
                <w:sz w:val="21"/>
              </w:rPr>
            </w:pPr>
            <w:r>
              <w:rPr>
                <w:rFonts w:ascii="Times New Roman"/>
                <w:sz w:val="21"/>
              </w:rPr>
              <w:t>484</w:t>
            </w:r>
          </w:p>
        </w:tc>
        <w:tc>
          <w:tcPr>
            <w:tcW w:w="571" w:type="dxa"/>
          </w:tcPr>
          <w:p>
            <w:pPr>
              <w:pStyle w:val="TableParagraph"/>
              <w:spacing w:before="9"/>
              <w:rPr>
                <w:sz w:val="27"/>
              </w:rPr>
            </w:pPr>
          </w:p>
          <w:p>
            <w:pPr>
              <w:pStyle w:val="TableParagraph"/>
              <w:spacing w:before="1"/>
              <w:ind w:right="97"/>
              <w:jc w:val="right"/>
              <w:rPr>
                <w:rFonts w:ascii="Times New Roman"/>
                <w:sz w:val="21"/>
              </w:rPr>
            </w:pPr>
            <w:r>
              <w:rPr>
                <w:rFonts w:ascii="Times New Roman"/>
                <w:w w:val="100"/>
                <w:sz w:val="21"/>
              </w:rPr>
              <w:t>-</w:t>
            </w:r>
          </w:p>
        </w:tc>
        <w:tc>
          <w:tcPr>
            <w:tcW w:w="259" w:type="dxa"/>
          </w:tcPr>
          <w:p>
            <w:pPr>
              <w:pStyle w:val="TableParagraph"/>
              <w:spacing w:before="9"/>
              <w:rPr>
                <w:sz w:val="27"/>
              </w:rPr>
            </w:pPr>
          </w:p>
          <w:p>
            <w:pPr>
              <w:pStyle w:val="TableParagraph"/>
              <w:spacing w:before="1"/>
              <w:ind w:left="33"/>
              <w:jc w:val="center"/>
              <w:rPr>
                <w:rFonts w:ascii="Times New Roman"/>
                <w:sz w:val="21"/>
              </w:rPr>
            </w:pPr>
            <w:r>
              <w:rPr>
                <w:rFonts w:ascii="Times New Roman"/>
                <w:w w:val="100"/>
                <w:sz w:val="21"/>
              </w:rPr>
              <w:t>-</w:t>
            </w:r>
          </w:p>
        </w:tc>
        <w:tc>
          <w:tcPr>
            <w:tcW w:w="732" w:type="dxa"/>
          </w:tcPr>
          <w:p>
            <w:pPr>
              <w:pStyle w:val="TableParagraph"/>
              <w:spacing w:before="9"/>
              <w:rPr>
                <w:sz w:val="27"/>
              </w:rPr>
            </w:pPr>
          </w:p>
          <w:p>
            <w:pPr>
              <w:pStyle w:val="TableParagraph"/>
              <w:spacing w:before="1"/>
              <w:ind w:right="94"/>
              <w:jc w:val="right"/>
              <w:rPr>
                <w:rFonts w:ascii="Times New Roman"/>
                <w:sz w:val="21"/>
              </w:rPr>
            </w:pPr>
            <w:r>
              <w:rPr>
                <w:rFonts w:ascii="Times New Roman"/>
                <w:w w:val="100"/>
                <w:sz w:val="21"/>
              </w:rPr>
              <w:t>-</w:t>
            </w:r>
          </w:p>
        </w:tc>
        <w:tc>
          <w:tcPr>
            <w:tcW w:w="259" w:type="dxa"/>
          </w:tcPr>
          <w:p>
            <w:pPr>
              <w:pStyle w:val="TableParagraph"/>
              <w:spacing w:before="9"/>
              <w:rPr>
                <w:sz w:val="27"/>
              </w:rPr>
            </w:pPr>
          </w:p>
          <w:p>
            <w:pPr>
              <w:pStyle w:val="TableParagraph"/>
              <w:spacing w:before="1"/>
              <w:ind w:left="39"/>
              <w:jc w:val="center"/>
              <w:rPr>
                <w:rFonts w:ascii="Times New Roman"/>
                <w:sz w:val="21"/>
              </w:rPr>
            </w:pPr>
            <w:r>
              <w:rPr>
                <w:rFonts w:ascii="Times New Roman"/>
                <w:w w:val="100"/>
                <w:sz w:val="21"/>
              </w:rPr>
              <w:t>-</w:t>
            </w:r>
          </w:p>
        </w:tc>
        <w:tc>
          <w:tcPr>
            <w:tcW w:w="801" w:type="dxa"/>
          </w:tcPr>
          <w:p>
            <w:pPr>
              <w:pStyle w:val="TableParagraph"/>
              <w:spacing w:before="9"/>
              <w:rPr>
                <w:sz w:val="27"/>
              </w:rPr>
            </w:pPr>
          </w:p>
          <w:p>
            <w:pPr>
              <w:pStyle w:val="TableParagraph"/>
              <w:spacing w:before="1"/>
              <w:ind w:right="93"/>
              <w:jc w:val="right"/>
              <w:rPr>
                <w:rFonts w:ascii="Times New Roman"/>
                <w:sz w:val="21"/>
              </w:rPr>
            </w:pPr>
            <w:r>
              <w:rPr>
                <w:rFonts w:ascii="Times New Roman"/>
                <w:w w:val="100"/>
                <w:sz w:val="21"/>
              </w:rPr>
              <w:t>-</w:t>
            </w:r>
          </w:p>
        </w:tc>
        <w:tc>
          <w:tcPr>
            <w:tcW w:w="259" w:type="dxa"/>
          </w:tcPr>
          <w:p>
            <w:pPr>
              <w:pStyle w:val="TableParagraph"/>
              <w:spacing w:before="9"/>
              <w:rPr>
                <w:sz w:val="27"/>
              </w:rPr>
            </w:pPr>
          </w:p>
          <w:p>
            <w:pPr>
              <w:pStyle w:val="TableParagraph"/>
              <w:spacing w:before="1"/>
              <w:ind w:right="66"/>
              <w:jc w:val="right"/>
              <w:rPr>
                <w:rFonts w:ascii="Times New Roman"/>
                <w:sz w:val="21"/>
              </w:rPr>
            </w:pPr>
            <w:r>
              <w:rPr>
                <w:rFonts w:ascii="Times New Roman"/>
                <w:w w:val="100"/>
                <w:sz w:val="21"/>
              </w:rPr>
              <w:t>-</w:t>
            </w:r>
          </w:p>
        </w:tc>
        <w:tc>
          <w:tcPr>
            <w:tcW w:w="867" w:type="dxa"/>
          </w:tcPr>
          <w:p>
            <w:pPr>
              <w:pStyle w:val="TableParagraph"/>
              <w:spacing w:before="113"/>
              <w:ind w:left="129" w:right="92" w:firstLine="562"/>
              <w:jc w:val="right"/>
              <w:rPr>
                <w:rFonts w:ascii="Times New Roman"/>
                <w:sz w:val="21"/>
              </w:rPr>
            </w:pPr>
            <w:r>
              <w:rPr>
                <w:rFonts w:ascii="Times New Roman"/>
                <w:sz w:val="21"/>
              </w:rPr>
              <w:t>-</w:t>
            </w:r>
            <w:r>
              <w:rPr>
                <w:rFonts w:ascii="Times New Roman"/>
                <w:spacing w:val="-50"/>
                <w:sz w:val="21"/>
              </w:rPr>
              <w:t> </w:t>
            </w:r>
            <w:r>
              <w:rPr>
                <w:rFonts w:ascii="Times New Roman"/>
                <w:sz w:val="21"/>
              </w:rPr>
              <w:t>1,717,5</w:t>
            </w:r>
          </w:p>
          <w:p>
            <w:pPr>
              <w:pStyle w:val="TableParagraph"/>
              <w:spacing w:line="241" w:lineRule="exact"/>
              <w:ind w:right="94"/>
              <w:jc w:val="right"/>
              <w:rPr>
                <w:rFonts w:ascii="Times New Roman"/>
                <w:sz w:val="21"/>
              </w:rPr>
            </w:pPr>
            <w:r>
              <w:rPr>
                <w:rFonts w:ascii="Times New Roman"/>
                <w:sz w:val="21"/>
              </w:rPr>
              <w:t>76</w:t>
            </w:r>
          </w:p>
        </w:tc>
        <w:tc>
          <w:tcPr>
            <w:tcW w:w="605" w:type="dxa"/>
          </w:tcPr>
          <w:p>
            <w:pPr>
              <w:pStyle w:val="TableParagraph"/>
              <w:spacing w:before="5"/>
              <w:rPr>
                <w:sz w:val="18"/>
              </w:rPr>
            </w:pPr>
          </w:p>
          <w:p>
            <w:pPr>
              <w:pStyle w:val="TableParagraph"/>
              <w:spacing w:line="241" w:lineRule="exact"/>
              <w:ind w:right="91"/>
              <w:jc w:val="right"/>
              <w:rPr>
                <w:rFonts w:ascii="Times New Roman"/>
                <w:sz w:val="21"/>
              </w:rPr>
            </w:pPr>
            <w:r>
              <w:rPr>
                <w:rFonts w:ascii="Times New Roman"/>
                <w:sz w:val="21"/>
              </w:rPr>
              <w:t>40,4</w:t>
            </w:r>
          </w:p>
          <w:p>
            <w:pPr>
              <w:pStyle w:val="TableParagraph"/>
              <w:spacing w:line="241" w:lineRule="exact"/>
              <w:ind w:right="94"/>
              <w:jc w:val="right"/>
              <w:rPr>
                <w:rFonts w:ascii="Times New Roman"/>
                <w:sz w:val="21"/>
              </w:rPr>
            </w:pPr>
            <w:r>
              <w:rPr>
                <w:rFonts w:ascii="Times New Roman"/>
                <w:sz w:val="21"/>
              </w:rPr>
              <w:t>09</w:t>
            </w:r>
          </w:p>
        </w:tc>
        <w:tc>
          <w:tcPr>
            <w:tcW w:w="864" w:type="dxa"/>
          </w:tcPr>
          <w:p>
            <w:pPr>
              <w:pStyle w:val="TableParagraph"/>
              <w:spacing w:before="113"/>
              <w:ind w:left="126" w:right="91" w:firstLine="561"/>
              <w:jc w:val="right"/>
              <w:rPr>
                <w:rFonts w:ascii="Times New Roman"/>
                <w:sz w:val="21"/>
              </w:rPr>
            </w:pPr>
            <w:r>
              <w:rPr>
                <w:rFonts w:ascii="Times New Roman"/>
                <w:sz w:val="21"/>
              </w:rPr>
              <w:t>-</w:t>
            </w:r>
            <w:r>
              <w:rPr>
                <w:rFonts w:ascii="Times New Roman"/>
                <w:spacing w:val="-50"/>
                <w:sz w:val="21"/>
              </w:rPr>
              <w:t> </w:t>
            </w:r>
            <w:r>
              <w:rPr>
                <w:rFonts w:ascii="Times New Roman"/>
                <w:sz w:val="21"/>
              </w:rPr>
              <w:t>1,677,1</w:t>
            </w:r>
          </w:p>
          <w:p>
            <w:pPr>
              <w:pStyle w:val="TableParagraph"/>
              <w:spacing w:line="241" w:lineRule="exact"/>
              <w:ind w:right="94"/>
              <w:jc w:val="right"/>
              <w:rPr>
                <w:rFonts w:ascii="Times New Roman"/>
                <w:sz w:val="21"/>
              </w:rPr>
            </w:pPr>
            <w:r>
              <w:rPr>
                <w:rFonts w:ascii="Times New Roman"/>
                <w:sz w:val="21"/>
              </w:rPr>
              <w:t>67</w:t>
            </w:r>
          </w:p>
        </w:tc>
      </w:tr>
      <w:tr>
        <w:trPr>
          <w:trHeight w:val="935" w:hRule="atLeast"/>
        </w:trPr>
        <w:tc>
          <w:tcPr>
            <w:tcW w:w="614" w:type="dxa"/>
          </w:tcPr>
          <w:p>
            <w:pPr>
              <w:pStyle w:val="TableParagraph"/>
              <w:spacing w:before="2"/>
              <w:ind w:left="107"/>
              <w:rPr>
                <w:sz w:val="18"/>
              </w:rPr>
            </w:pPr>
            <w:r>
              <w:rPr>
                <w:spacing w:val="-1"/>
                <w:sz w:val="18"/>
              </w:rPr>
              <w:t>（</w:t>
            </w:r>
            <w:r>
              <w:rPr>
                <w:sz w:val="18"/>
              </w:rPr>
              <w:t>三</w:t>
            </w:r>
          </w:p>
          <w:p>
            <w:pPr>
              <w:pStyle w:val="TableParagraph"/>
              <w:spacing w:before="2"/>
              <w:ind w:left="107"/>
              <w:rPr>
                <w:sz w:val="18"/>
              </w:rPr>
            </w:pPr>
            <w:r>
              <w:rPr>
                <w:sz w:val="18"/>
              </w:rPr>
              <w:t>）利</w:t>
            </w:r>
          </w:p>
          <w:p>
            <w:pPr>
              <w:pStyle w:val="TableParagraph"/>
              <w:spacing w:line="230" w:lineRule="atLeast"/>
              <w:ind w:left="107" w:right="134"/>
              <w:rPr>
                <w:sz w:val="18"/>
              </w:rPr>
            </w:pPr>
            <w:r>
              <w:rPr>
                <w:spacing w:val="-2"/>
                <w:sz w:val="18"/>
              </w:rPr>
              <w:t>润分</w:t>
            </w:r>
            <w:r>
              <w:rPr>
                <w:sz w:val="18"/>
              </w:rPr>
              <w:t>配 </w:t>
            </w:r>
          </w:p>
        </w:tc>
        <w:tc>
          <w:tcPr>
            <w:tcW w:w="801" w:type="dxa"/>
          </w:tcPr>
          <w:p>
            <w:pPr>
              <w:pStyle w:val="TableParagraph"/>
              <w:spacing w:before="8"/>
              <w:rPr>
                <w:sz w:val="26"/>
              </w:rPr>
            </w:pPr>
          </w:p>
          <w:p>
            <w:pPr>
              <w:pStyle w:val="TableParagraph"/>
              <w:ind w:right="94"/>
              <w:jc w:val="right"/>
              <w:rPr>
                <w:rFonts w:ascii="Times New Roman"/>
                <w:sz w:val="21"/>
              </w:rPr>
            </w:pPr>
            <w:r>
              <w:rPr>
                <w:rFonts w:ascii="Times New Roman"/>
                <w:w w:val="100"/>
                <w:sz w:val="21"/>
              </w:rPr>
              <w:t>-</w:t>
            </w:r>
          </w:p>
        </w:tc>
        <w:tc>
          <w:tcPr>
            <w:tcW w:w="259" w:type="dxa"/>
          </w:tcPr>
          <w:p>
            <w:pPr>
              <w:pStyle w:val="TableParagraph"/>
              <w:spacing w:before="8"/>
              <w:rPr>
                <w:sz w:val="26"/>
              </w:rPr>
            </w:pPr>
          </w:p>
          <w:p>
            <w:pPr>
              <w:pStyle w:val="TableParagraph"/>
              <w:ind w:right="67"/>
              <w:jc w:val="right"/>
              <w:rPr>
                <w:rFonts w:ascii="Times New Roman"/>
                <w:sz w:val="21"/>
              </w:rPr>
            </w:pPr>
            <w:r>
              <w:rPr>
                <w:rFonts w:ascii="Times New Roman"/>
                <w:w w:val="100"/>
                <w:sz w:val="21"/>
              </w:rPr>
              <w:t>-</w:t>
            </w:r>
          </w:p>
        </w:tc>
        <w:tc>
          <w:tcPr>
            <w:tcW w:w="257" w:type="dxa"/>
          </w:tcPr>
          <w:p>
            <w:pPr>
              <w:pStyle w:val="TableParagraph"/>
              <w:spacing w:before="8"/>
              <w:rPr>
                <w:sz w:val="26"/>
              </w:rPr>
            </w:pPr>
          </w:p>
          <w:p>
            <w:pPr>
              <w:pStyle w:val="TableParagraph"/>
              <w:ind w:right="68"/>
              <w:jc w:val="right"/>
              <w:rPr>
                <w:rFonts w:ascii="Times New Roman"/>
                <w:sz w:val="21"/>
              </w:rPr>
            </w:pPr>
            <w:r>
              <w:rPr>
                <w:rFonts w:ascii="Times New Roman"/>
                <w:w w:val="100"/>
                <w:sz w:val="21"/>
              </w:rPr>
              <w:t>-</w:t>
            </w:r>
          </w:p>
        </w:tc>
        <w:tc>
          <w:tcPr>
            <w:tcW w:w="260" w:type="dxa"/>
          </w:tcPr>
          <w:p>
            <w:pPr>
              <w:pStyle w:val="TableParagraph"/>
              <w:spacing w:before="8"/>
              <w:rPr>
                <w:sz w:val="26"/>
              </w:rPr>
            </w:pPr>
          </w:p>
          <w:p>
            <w:pPr>
              <w:pStyle w:val="TableParagraph"/>
              <w:ind w:left="38"/>
              <w:jc w:val="center"/>
              <w:rPr>
                <w:rFonts w:ascii="Times New Roman"/>
                <w:sz w:val="21"/>
              </w:rPr>
            </w:pPr>
            <w:r>
              <w:rPr>
                <w:rFonts w:ascii="Times New Roman"/>
                <w:w w:val="100"/>
                <w:sz w:val="21"/>
              </w:rPr>
              <w:t>-</w:t>
            </w:r>
          </w:p>
        </w:tc>
        <w:tc>
          <w:tcPr>
            <w:tcW w:w="857" w:type="dxa"/>
          </w:tcPr>
          <w:p>
            <w:pPr>
              <w:pStyle w:val="TableParagraph"/>
              <w:spacing w:before="8"/>
              <w:rPr>
                <w:sz w:val="26"/>
              </w:rPr>
            </w:pPr>
          </w:p>
          <w:p>
            <w:pPr>
              <w:pStyle w:val="TableParagraph"/>
              <w:ind w:right="94"/>
              <w:jc w:val="right"/>
              <w:rPr>
                <w:rFonts w:ascii="Times New Roman"/>
                <w:sz w:val="21"/>
              </w:rPr>
            </w:pPr>
            <w:r>
              <w:rPr>
                <w:rFonts w:ascii="Times New Roman"/>
                <w:w w:val="100"/>
                <w:sz w:val="21"/>
              </w:rPr>
              <w:t>-</w:t>
            </w:r>
          </w:p>
        </w:tc>
        <w:tc>
          <w:tcPr>
            <w:tcW w:w="557" w:type="dxa"/>
          </w:tcPr>
          <w:p>
            <w:pPr>
              <w:pStyle w:val="TableParagraph"/>
              <w:spacing w:before="1"/>
              <w:rPr>
                <w:sz w:val="17"/>
              </w:rPr>
            </w:pPr>
          </w:p>
          <w:p>
            <w:pPr>
              <w:pStyle w:val="TableParagraph"/>
              <w:ind w:left="187"/>
              <w:rPr>
                <w:rFonts w:ascii="Times New Roman"/>
                <w:sz w:val="21"/>
              </w:rPr>
            </w:pPr>
            <w:r>
              <w:rPr>
                <w:rFonts w:ascii="Times New Roman"/>
                <w:sz w:val="21"/>
              </w:rPr>
              <w:t>31,</w:t>
            </w:r>
          </w:p>
          <w:p>
            <w:pPr>
              <w:pStyle w:val="TableParagraph"/>
              <w:spacing w:before="1"/>
              <w:ind w:left="134"/>
              <w:rPr>
                <w:rFonts w:ascii="Times New Roman"/>
                <w:sz w:val="21"/>
              </w:rPr>
            </w:pPr>
            <w:r>
              <w:rPr>
                <w:rFonts w:ascii="Times New Roman"/>
                <w:sz w:val="21"/>
              </w:rPr>
              <w:t>249</w:t>
            </w:r>
          </w:p>
        </w:tc>
        <w:tc>
          <w:tcPr>
            <w:tcW w:w="571" w:type="dxa"/>
          </w:tcPr>
          <w:p>
            <w:pPr>
              <w:pStyle w:val="TableParagraph"/>
              <w:spacing w:before="8"/>
              <w:rPr>
                <w:sz w:val="26"/>
              </w:rPr>
            </w:pPr>
          </w:p>
          <w:p>
            <w:pPr>
              <w:pStyle w:val="TableParagraph"/>
              <w:ind w:right="97"/>
              <w:jc w:val="right"/>
              <w:rPr>
                <w:rFonts w:ascii="Times New Roman"/>
                <w:sz w:val="21"/>
              </w:rPr>
            </w:pPr>
            <w:r>
              <w:rPr>
                <w:rFonts w:ascii="Times New Roman"/>
                <w:w w:val="100"/>
                <w:sz w:val="21"/>
              </w:rPr>
              <w:t>-</w:t>
            </w:r>
          </w:p>
        </w:tc>
        <w:tc>
          <w:tcPr>
            <w:tcW w:w="259" w:type="dxa"/>
          </w:tcPr>
          <w:p>
            <w:pPr>
              <w:pStyle w:val="TableParagraph"/>
              <w:spacing w:before="8"/>
              <w:rPr>
                <w:sz w:val="26"/>
              </w:rPr>
            </w:pPr>
          </w:p>
          <w:p>
            <w:pPr>
              <w:pStyle w:val="TableParagraph"/>
              <w:ind w:left="33"/>
              <w:jc w:val="center"/>
              <w:rPr>
                <w:rFonts w:ascii="Times New Roman"/>
                <w:sz w:val="21"/>
              </w:rPr>
            </w:pPr>
            <w:r>
              <w:rPr>
                <w:rFonts w:ascii="Times New Roman"/>
                <w:w w:val="100"/>
                <w:sz w:val="21"/>
              </w:rPr>
              <w:t>-</w:t>
            </w:r>
          </w:p>
        </w:tc>
        <w:tc>
          <w:tcPr>
            <w:tcW w:w="732" w:type="dxa"/>
          </w:tcPr>
          <w:p>
            <w:pPr>
              <w:pStyle w:val="TableParagraph"/>
              <w:spacing w:before="1"/>
              <w:rPr>
                <w:sz w:val="17"/>
              </w:rPr>
            </w:pPr>
          </w:p>
          <w:p>
            <w:pPr>
              <w:pStyle w:val="TableParagraph"/>
              <w:ind w:left="152"/>
              <w:rPr>
                <w:rFonts w:ascii="Times New Roman"/>
                <w:sz w:val="21"/>
              </w:rPr>
            </w:pPr>
            <w:r>
              <w:rPr>
                <w:rFonts w:ascii="Times New Roman"/>
                <w:sz w:val="21"/>
              </w:rPr>
              <w:t>1,037</w:t>
            </w:r>
          </w:p>
          <w:p>
            <w:pPr>
              <w:pStyle w:val="TableParagraph"/>
              <w:spacing w:before="1"/>
              <w:ind w:left="257"/>
              <w:rPr>
                <w:rFonts w:ascii="Times New Roman"/>
                <w:sz w:val="21"/>
              </w:rPr>
            </w:pPr>
            <w:r>
              <w:rPr>
                <w:rFonts w:ascii="Times New Roman"/>
                <w:sz w:val="21"/>
              </w:rPr>
              <w:t>,821</w:t>
            </w:r>
          </w:p>
        </w:tc>
        <w:tc>
          <w:tcPr>
            <w:tcW w:w="259" w:type="dxa"/>
          </w:tcPr>
          <w:p>
            <w:pPr>
              <w:pStyle w:val="TableParagraph"/>
              <w:spacing w:before="8"/>
              <w:rPr>
                <w:sz w:val="26"/>
              </w:rPr>
            </w:pPr>
          </w:p>
          <w:p>
            <w:pPr>
              <w:pStyle w:val="TableParagraph"/>
              <w:ind w:left="39"/>
              <w:jc w:val="center"/>
              <w:rPr>
                <w:rFonts w:ascii="Times New Roman"/>
                <w:sz w:val="21"/>
              </w:rPr>
            </w:pPr>
            <w:r>
              <w:rPr>
                <w:rFonts w:ascii="Times New Roman"/>
                <w:w w:val="100"/>
                <w:sz w:val="21"/>
              </w:rPr>
              <w:t>-</w:t>
            </w:r>
          </w:p>
        </w:tc>
        <w:tc>
          <w:tcPr>
            <w:tcW w:w="801" w:type="dxa"/>
          </w:tcPr>
          <w:p>
            <w:pPr>
              <w:pStyle w:val="TableParagraph"/>
              <w:spacing w:before="99"/>
              <w:ind w:left="116" w:right="91" w:firstLine="508"/>
              <w:jc w:val="right"/>
              <w:rPr>
                <w:rFonts w:ascii="Times New Roman"/>
                <w:sz w:val="21"/>
              </w:rPr>
            </w:pPr>
            <w:r>
              <w:rPr>
                <w:rFonts w:ascii="Times New Roman"/>
                <w:sz w:val="21"/>
              </w:rPr>
              <w:t>-</w:t>
            </w:r>
            <w:r>
              <w:rPr>
                <w:rFonts w:ascii="Times New Roman"/>
                <w:spacing w:val="-50"/>
                <w:sz w:val="21"/>
              </w:rPr>
              <w:t> </w:t>
            </w:r>
            <w:r>
              <w:rPr>
                <w:rFonts w:ascii="Times New Roman"/>
                <w:sz w:val="21"/>
              </w:rPr>
              <w:t>10,921</w:t>
            </w:r>
          </w:p>
          <w:p>
            <w:pPr>
              <w:pStyle w:val="TableParagraph"/>
              <w:ind w:right="91"/>
              <w:jc w:val="right"/>
              <w:rPr>
                <w:rFonts w:ascii="Times New Roman"/>
                <w:sz w:val="21"/>
              </w:rPr>
            </w:pPr>
            <w:r>
              <w:rPr>
                <w:rFonts w:ascii="Times New Roman"/>
                <w:sz w:val="21"/>
              </w:rPr>
              <w:t>,941</w:t>
            </w:r>
          </w:p>
        </w:tc>
        <w:tc>
          <w:tcPr>
            <w:tcW w:w="259" w:type="dxa"/>
          </w:tcPr>
          <w:p>
            <w:pPr>
              <w:pStyle w:val="TableParagraph"/>
              <w:spacing w:before="8"/>
              <w:rPr>
                <w:sz w:val="26"/>
              </w:rPr>
            </w:pPr>
          </w:p>
          <w:p>
            <w:pPr>
              <w:pStyle w:val="TableParagraph"/>
              <w:ind w:right="66"/>
              <w:jc w:val="right"/>
              <w:rPr>
                <w:rFonts w:ascii="Times New Roman"/>
                <w:sz w:val="21"/>
              </w:rPr>
            </w:pPr>
            <w:r>
              <w:rPr>
                <w:rFonts w:ascii="Times New Roman"/>
                <w:w w:val="100"/>
                <w:sz w:val="21"/>
              </w:rPr>
              <w:t>-</w:t>
            </w:r>
          </w:p>
        </w:tc>
        <w:tc>
          <w:tcPr>
            <w:tcW w:w="867" w:type="dxa"/>
          </w:tcPr>
          <w:p>
            <w:pPr>
              <w:pStyle w:val="TableParagraph"/>
              <w:spacing w:before="99"/>
              <w:ind w:left="129" w:right="92" w:firstLine="562"/>
              <w:jc w:val="right"/>
              <w:rPr>
                <w:rFonts w:ascii="Times New Roman"/>
                <w:sz w:val="21"/>
              </w:rPr>
            </w:pPr>
            <w:r>
              <w:rPr>
                <w:rFonts w:ascii="Times New Roman"/>
                <w:sz w:val="21"/>
              </w:rPr>
              <w:t>-</w:t>
            </w:r>
            <w:r>
              <w:rPr>
                <w:rFonts w:ascii="Times New Roman"/>
                <w:spacing w:val="-50"/>
                <w:sz w:val="21"/>
              </w:rPr>
              <w:t> </w:t>
            </w:r>
            <w:r>
              <w:rPr>
                <w:rFonts w:ascii="Times New Roman"/>
                <w:sz w:val="21"/>
              </w:rPr>
              <w:t>9,852,8</w:t>
            </w:r>
          </w:p>
          <w:p>
            <w:pPr>
              <w:pStyle w:val="TableParagraph"/>
              <w:ind w:right="94"/>
              <w:jc w:val="right"/>
              <w:rPr>
                <w:rFonts w:ascii="Times New Roman"/>
                <w:sz w:val="21"/>
              </w:rPr>
            </w:pPr>
            <w:r>
              <w:rPr>
                <w:rFonts w:ascii="Times New Roman"/>
                <w:sz w:val="21"/>
              </w:rPr>
              <w:t>71</w:t>
            </w:r>
          </w:p>
        </w:tc>
        <w:tc>
          <w:tcPr>
            <w:tcW w:w="605" w:type="dxa"/>
          </w:tcPr>
          <w:p>
            <w:pPr>
              <w:pStyle w:val="TableParagraph"/>
              <w:spacing w:before="8"/>
              <w:rPr>
                <w:sz w:val="26"/>
              </w:rPr>
            </w:pPr>
          </w:p>
          <w:p>
            <w:pPr>
              <w:pStyle w:val="TableParagraph"/>
              <w:ind w:right="93"/>
              <w:jc w:val="right"/>
              <w:rPr>
                <w:rFonts w:ascii="Times New Roman"/>
                <w:sz w:val="21"/>
              </w:rPr>
            </w:pPr>
            <w:r>
              <w:rPr>
                <w:rFonts w:ascii="Times New Roman"/>
                <w:w w:val="100"/>
                <w:sz w:val="21"/>
              </w:rPr>
              <w:t>-</w:t>
            </w:r>
          </w:p>
        </w:tc>
        <w:tc>
          <w:tcPr>
            <w:tcW w:w="864" w:type="dxa"/>
          </w:tcPr>
          <w:p>
            <w:pPr>
              <w:pStyle w:val="TableParagraph"/>
              <w:spacing w:before="99"/>
              <w:ind w:left="126" w:right="91" w:firstLine="561"/>
              <w:jc w:val="right"/>
              <w:rPr>
                <w:rFonts w:ascii="Times New Roman"/>
                <w:sz w:val="21"/>
              </w:rPr>
            </w:pPr>
            <w:r>
              <w:rPr>
                <w:rFonts w:ascii="Times New Roman"/>
                <w:sz w:val="21"/>
              </w:rPr>
              <w:t>-</w:t>
            </w:r>
            <w:r>
              <w:rPr>
                <w:rFonts w:ascii="Times New Roman"/>
                <w:spacing w:val="-50"/>
                <w:sz w:val="21"/>
              </w:rPr>
              <w:t> </w:t>
            </w:r>
            <w:r>
              <w:rPr>
                <w:rFonts w:ascii="Times New Roman"/>
                <w:sz w:val="21"/>
              </w:rPr>
              <w:t>9,852,8</w:t>
            </w:r>
          </w:p>
          <w:p>
            <w:pPr>
              <w:pStyle w:val="TableParagraph"/>
              <w:ind w:right="94"/>
              <w:jc w:val="right"/>
              <w:rPr>
                <w:rFonts w:ascii="Times New Roman"/>
                <w:sz w:val="21"/>
              </w:rPr>
            </w:pPr>
            <w:r>
              <w:rPr>
                <w:rFonts w:ascii="Times New Roman"/>
                <w:sz w:val="21"/>
              </w:rPr>
              <w:t>71</w:t>
            </w:r>
          </w:p>
        </w:tc>
      </w:tr>
      <w:tr>
        <w:trPr>
          <w:trHeight w:val="933" w:hRule="atLeast"/>
        </w:trPr>
        <w:tc>
          <w:tcPr>
            <w:tcW w:w="614" w:type="dxa"/>
          </w:tcPr>
          <w:p>
            <w:pPr>
              <w:pStyle w:val="TableParagraph"/>
              <w:spacing w:line="242" w:lineRule="auto"/>
              <w:ind w:left="107" w:right="134"/>
              <w:rPr>
                <w:sz w:val="18"/>
              </w:rPr>
            </w:pPr>
            <w:r>
              <w:rPr>
                <w:sz w:val="18"/>
              </w:rPr>
              <w:t>1．</w:t>
            </w:r>
            <w:r>
              <w:rPr>
                <w:spacing w:val="1"/>
                <w:sz w:val="18"/>
              </w:rPr>
              <w:t> </w:t>
            </w:r>
            <w:r>
              <w:rPr>
                <w:spacing w:val="-2"/>
                <w:sz w:val="18"/>
              </w:rPr>
              <w:t>提取</w:t>
            </w:r>
            <w:r>
              <w:rPr>
                <w:spacing w:val="-9"/>
                <w:sz w:val="18"/>
              </w:rPr>
              <w:t>盈余</w:t>
            </w:r>
          </w:p>
          <w:p>
            <w:pPr>
              <w:pStyle w:val="TableParagraph"/>
              <w:spacing w:line="213" w:lineRule="exact" w:before="2"/>
              <w:ind w:left="107"/>
              <w:rPr>
                <w:sz w:val="18"/>
              </w:rPr>
            </w:pPr>
            <w:r>
              <w:rPr>
                <w:spacing w:val="-1"/>
                <w:sz w:val="18"/>
              </w:rPr>
              <w:t>公积</w:t>
            </w:r>
            <w:r>
              <w:rPr>
                <w:sz w:val="18"/>
              </w:rPr>
              <w:t> </w:t>
            </w:r>
          </w:p>
        </w:tc>
        <w:tc>
          <w:tcPr>
            <w:tcW w:w="801" w:type="dxa"/>
          </w:tcPr>
          <w:p>
            <w:pPr>
              <w:pStyle w:val="TableParagraph"/>
              <w:spacing w:before="5"/>
              <w:rPr>
                <w:sz w:val="26"/>
              </w:rPr>
            </w:pPr>
          </w:p>
          <w:p>
            <w:pPr>
              <w:pStyle w:val="TableParagraph"/>
              <w:spacing w:before="1"/>
              <w:ind w:right="94"/>
              <w:jc w:val="right"/>
              <w:rPr>
                <w:rFonts w:ascii="Times New Roman"/>
                <w:sz w:val="21"/>
              </w:rPr>
            </w:pPr>
            <w:r>
              <w:rPr>
                <w:rFonts w:ascii="Times New Roman"/>
                <w:w w:val="100"/>
                <w:sz w:val="21"/>
              </w:rPr>
              <w:t>-</w:t>
            </w: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spacing w:before="5"/>
              <w:rPr>
                <w:sz w:val="26"/>
              </w:rPr>
            </w:pPr>
          </w:p>
          <w:p>
            <w:pPr>
              <w:pStyle w:val="TableParagraph"/>
              <w:spacing w:before="1"/>
              <w:ind w:right="94"/>
              <w:jc w:val="right"/>
              <w:rPr>
                <w:rFonts w:ascii="Times New Roman"/>
                <w:sz w:val="21"/>
              </w:rPr>
            </w:pPr>
            <w:r>
              <w:rPr>
                <w:rFonts w:ascii="Times New Roman"/>
                <w:w w:val="100"/>
                <w:sz w:val="21"/>
              </w:rPr>
              <w:t>-</w:t>
            </w:r>
          </w:p>
        </w:tc>
        <w:tc>
          <w:tcPr>
            <w:tcW w:w="557" w:type="dxa"/>
          </w:tcPr>
          <w:p>
            <w:pPr>
              <w:pStyle w:val="TableParagraph"/>
              <w:spacing w:before="5"/>
              <w:rPr>
                <w:sz w:val="26"/>
              </w:rPr>
            </w:pPr>
          </w:p>
          <w:p>
            <w:pPr>
              <w:pStyle w:val="TableParagraph"/>
              <w:spacing w:before="1"/>
              <w:ind w:right="95"/>
              <w:jc w:val="right"/>
              <w:rPr>
                <w:rFonts w:ascii="Times New Roman"/>
                <w:sz w:val="21"/>
              </w:rPr>
            </w:pPr>
            <w:r>
              <w:rPr>
                <w:rFonts w:ascii="Times New Roman"/>
                <w:w w:val="100"/>
                <w:sz w:val="21"/>
              </w:rPr>
              <w:t>-</w:t>
            </w:r>
          </w:p>
        </w:tc>
        <w:tc>
          <w:tcPr>
            <w:tcW w:w="571" w:type="dxa"/>
          </w:tcPr>
          <w:p>
            <w:pPr>
              <w:pStyle w:val="TableParagraph"/>
              <w:spacing w:before="5"/>
              <w:rPr>
                <w:sz w:val="26"/>
              </w:rPr>
            </w:pPr>
          </w:p>
          <w:p>
            <w:pPr>
              <w:pStyle w:val="TableParagraph"/>
              <w:spacing w:before="1"/>
              <w:ind w:right="97"/>
              <w:jc w:val="right"/>
              <w:rPr>
                <w:rFonts w:ascii="Times New Roman"/>
                <w:sz w:val="21"/>
              </w:rPr>
            </w:pPr>
            <w:r>
              <w:rPr>
                <w:rFonts w:ascii="Times New Roman"/>
                <w:w w:val="100"/>
                <w:sz w:val="21"/>
              </w:rPr>
              <w:t>-</w:t>
            </w:r>
          </w:p>
        </w:tc>
        <w:tc>
          <w:tcPr>
            <w:tcW w:w="259" w:type="dxa"/>
          </w:tcPr>
          <w:p>
            <w:pPr>
              <w:pStyle w:val="TableParagraph"/>
              <w:rPr>
                <w:rFonts w:ascii="Times New Roman"/>
                <w:sz w:val="18"/>
              </w:rPr>
            </w:pPr>
          </w:p>
        </w:tc>
        <w:tc>
          <w:tcPr>
            <w:tcW w:w="732" w:type="dxa"/>
          </w:tcPr>
          <w:p>
            <w:pPr>
              <w:pStyle w:val="TableParagraph"/>
              <w:spacing w:before="1"/>
              <w:rPr>
                <w:sz w:val="17"/>
              </w:rPr>
            </w:pPr>
          </w:p>
          <w:p>
            <w:pPr>
              <w:pStyle w:val="TableParagraph"/>
              <w:spacing w:line="241" w:lineRule="exact"/>
              <w:ind w:left="152"/>
              <w:rPr>
                <w:rFonts w:ascii="Times New Roman"/>
                <w:sz w:val="21"/>
              </w:rPr>
            </w:pPr>
            <w:r>
              <w:rPr>
                <w:rFonts w:ascii="Times New Roman"/>
                <w:sz w:val="21"/>
              </w:rPr>
              <w:t>1,037</w:t>
            </w:r>
          </w:p>
          <w:p>
            <w:pPr>
              <w:pStyle w:val="TableParagraph"/>
              <w:spacing w:line="241" w:lineRule="exact"/>
              <w:ind w:left="257"/>
              <w:rPr>
                <w:rFonts w:ascii="Times New Roman"/>
                <w:sz w:val="21"/>
              </w:rPr>
            </w:pPr>
            <w:r>
              <w:rPr>
                <w:rFonts w:ascii="Times New Roman"/>
                <w:sz w:val="21"/>
              </w:rPr>
              <w:t>,821</w:t>
            </w:r>
          </w:p>
        </w:tc>
        <w:tc>
          <w:tcPr>
            <w:tcW w:w="259" w:type="dxa"/>
          </w:tcPr>
          <w:p>
            <w:pPr>
              <w:pStyle w:val="TableParagraph"/>
              <w:rPr>
                <w:rFonts w:ascii="Times New Roman"/>
                <w:sz w:val="18"/>
              </w:rPr>
            </w:pPr>
          </w:p>
        </w:tc>
        <w:tc>
          <w:tcPr>
            <w:tcW w:w="801" w:type="dxa"/>
          </w:tcPr>
          <w:p>
            <w:pPr>
              <w:pStyle w:val="TableParagraph"/>
              <w:spacing w:before="96"/>
              <w:ind w:left="169" w:right="91" w:firstLine="456"/>
              <w:jc w:val="right"/>
              <w:rPr>
                <w:rFonts w:ascii="Times New Roman"/>
                <w:sz w:val="21"/>
              </w:rPr>
            </w:pPr>
            <w:r>
              <w:rPr>
                <w:rFonts w:ascii="Times New Roman"/>
                <w:sz w:val="21"/>
              </w:rPr>
              <w:t>-</w:t>
            </w:r>
            <w:r>
              <w:rPr>
                <w:rFonts w:ascii="Times New Roman"/>
                <w:spacing w:val="-50"/>
                <w:sz w:val="21"/>
              </w:rPr>
              <w:t> </w:t>
            </w:r>
            <w:r>
              <w:rPr>
                <w:rFonts w:ascii="Times New Roman"/>
                <w:sz w:val="21"/>
              </w:rPr>
              <w:t>1,037,</w:t>
            </w:r>
          </w:p>
          <w:p>
            <w:pPr>
              <w:pStyle w:val="TableParagraph"/>
              <w:spacing w:before="2"/>
              <w:ind w:right="91"/>
              <w:jc w:val="right"/>
              <w:rPr>
                <w:rFonts w:ascii="Times New Roman"/>
                <w:sz w:val="21"/>
              </w:rPr>
            </w:pPr>
            <w:r>
              <w:rPr>
                <w:rFonts w:ascii="Times New Roman"/>
                <w:sz w:val="21"/>
              </w:rPr>
              <w:t>821</w:t>
            </w:r>
          </w:p>
        </w:tc>
        <w:tc>
          <w:tcPr>
            <w:tcW w:w="259" w:type="dxa"/>
          </w:tcPr>
          <w:p>
            <w:pPr>
              <w:pStyle w:val="TableParagraph"/>
              <w:rPr>
                <w:rFonts w:ascii="Times New Roman"/>
                <w:sz w:val="18"/>
              </w:rPr>
            </w:pPr>
          </w:p>
        </w:tc>
        <w:tc>
          <w:tcPr>
            <w:tcW w:w="867" w:type="dxa"/>
          </w:tcPr>
          <w:p>
            <w:pPr>
              <w:pStyle w:val="TableParagraph"/>
              <w:spacing w:before="5"/>
              <w:rPr>
                <w:sz w:val="26"/>
              </w:rPr>
            </w:pPr>
          </w:p>
          <w:p>
            <w:pPr>
              <w:pStyle w:val="TableParagraph"/>
              <w:spacing w:before="1"/>
              <w:ind w:right="93"/>
              <w:jc w:val="right"/>
              <w:rPr>
                <w:rFonts w:ascii="Times New Roman"/>
                <w:sz w:val="21"/>
              </w:rPr>
            </w:pPr>
            <w:r>
              <w:rPr>
                <w:rFonts w:ascii="Times New Roman"/>
                <w:w w:val="100"/>
                <w:sz w:val="21"/>
              </w:rPr>
              <w:t>-</w:t>
            </w:r>
          </w:p>
        </w:tc>
        <w:tc>
          <w:tcPr>
            <w:tcW w:w="605" w:type="dxa"/>
          </w:tcPr>
          <w:p>
            <w:pPr>
              <w:pStyle w:val="TableParagraph"/>
              <w:spacing w:before="5"/>
              <w:rPr>
                <w:sz w:val="26"/>
              </w:rPr>
            </w:pPr>
          </w:p>
          <w:p>
            <w:pPr>
              <w:pStyle w:val="TableParagraph"/>
              <w:spacing w:before="1"/>
              <w:ind w:right="93"/>
              <w:jc w:val="right"/>
              <w:rPr>
                <w:rFonts w:ascii="Times New Roman"/>
                <w:sz w:val="21"/>
              </w:rPr>
            </w:pPr>
            <w:r>
              <w:rPr>
                <w:rFonts w:ascii="Times New Roman"/>
                <w:w w:val="100"/>
                <w:sz w:val="21"/>
              </w:rPr>
              <w:t>-</w:t>
            </w:r>
          </w:p>
        </w:tc>
        <w:tc>
          <w:tcPr>
            <w:tcW w:w="864" w:type="dxa"/>
          </w:tcPr>
          <w:p>
            <w:pPr>
              <w:pStyle w:val="TableParagraph"/>
              <w:spacing w:before="5"/>
              <w:rPr>
                <w:sz w:val="26"/>
              </w:rPr>
            </w:pPr>
          </w:p>
          <w:p>
            <w:pPr>
              <w:pStyle w:val="TableParagraph"/>
              <w:spacing w:before="1"/>
              <w:ind w:right="93"/>
              <w:jc w:val="right"/>
              <w:rPr>
                <w:rFonts w:ascii="Times New Roman"/>
                <w:sz w:val="21"/>
              </w:rPr>
            </w:pPr>
            <w:r>
              <w:rPr>
                <w:rFonts w:ascii="Times New Roman"/>
                <w:w w:val="100"/>
                <w:sz w:val="21"/>
              </w:rPr>
              <w:t>-</w:t>
            </w:r>
          </w:p>
        </w:tc>
      </w:tr>
      <w:tr>
        <w:trPr>
          <w:trHeight w:val="1166" w:hRule="atLeast"/>
        </w:trPr>
        <w:tc>
          <w:tcPr>
            <w:tcW w:w="614" w:type="dxa"/>
          </w:tcPr>
          <w:p>
            <w:pPr>
              <w:pStyle w:val="TableParagraph"/>
              <w:spacing w:line="242" w:lineRule="auto"/>
              <w:ind w:left="107" w:right="134"/>
              <w:rPr>
                <w:sz w:val="18"/>
              </w:rPr>
            </w:pPr>
            <w:r>
              <w:rPr>
                <w:sz w:val="18"/>
              </w:rPr>
              <w:t>2．</w:t>
            </w:r>
            <w:r>
              <w:rPr>
                <w:spacing w:val="1"/>
                <w:sz w:val="18"/>
              </w:rPr>
              <w:t> </w:t>
            </w:r>
            <w:r>
              <w:rPr>
                <w:spacing w:val="-2"/>
                <w:sz w:val="18"/>
              </w:rPr>
              <w:t>提取</w:t>
            </w:r>
            <w:r>
              <w:rPr>
                <w:spacing w:val="-9"/>
                <w:sz w:val="18"/>
              </w:rPr>
              <w:t>一般</w:t>
            </w:r>
          </w:p>
          <w:p>
            <w:pPr>
              <w:pStyle w:val="TableParagraph"/>
              <w:spacing w:line="230" w:lineRule="atLeast"/>
              <w:ind w:left="107" w:right="44"/>
              <w:rPr>
                <w:sz w:val="18"/>
              </w:rPr>
            </w:pPr>
            <w:r>
              <w:rPr>
                <w:sz w:val="18"/>
              </w:rPr>
              <w:t>风险</w:t>
            </w:r>
            <w:r>
              <w:rPr>
                <w:spacing w:val="-1"/>
                <w:sz w:val="18"/>
              </w:rPr>
              <w:t>准备</w:t>
            </w:r>
            <w:r>
              <w:rPr>
                <w:sz w:val="18"/>
              </w:rPr>
              <w:t> </w:t>
            </w: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rPr>
                <w:rFonts w:ascii="Times New Roman"/>
                <w:sz w:val="18"/>
              </w:rPr>
            </w:pPr>
          </w:p>
        </w:tc>
        <w:tc>
          <w:tcPr>
            <w:tcW w:w="557" w:type="dxa"/>
          </w:tcPr>
          <w:p>
            <w:pPr>
              <w:pStyle w:val="TableParagraph"/>
              <w:rPr>
                <w:rFonts w:ascii="Times New Roman"/>
                <w:sz w:val="18"/>
              </w:rPr>
            </w:pPr>
          </w:p>
        </w:tc>
        <w:tc>
          <w:tcPr>
            <w:tcW w:w="571" w:type="dxa"/>
          </w:tcPr>
          <w:p>
            <w:pPr>
              <w:pStyle w:val="TableParagraph"/>
              <w:rPr>
                <w:rFonts w:ascii="Times New Roman"/>
                <w:sz w:val="18"/>
              </w:rPr>
            </w:pPr>
          </w:p>
        </w:tc>
        <w:tc>
          <w:tcPr>
            <w:tcW w:w="259" w:type="dxa"/>
          </w:tcPr>
          <w:p>
            <w:pPr>
              <w:pStyle w:val="TableParagraph"/>
              <w:rPr>
                <w:rFonts w:ascii="Times New Roman"/>
                <w:sz w:val="18"/>
              </w:rPr>
            </w:pPr>
          </w:p>
        </w:tc>
        <w:tc>
          <w:tcPr>
            <w:tcW w:w="732" w:type="dxa"/>
          </w:tcPr>
          <w:p>
            <w:pPr>
              <w:pStyle w:val="TableParagraph"/>
              <w:rPr>
                <w:rFonts w:ascii="Times New Roman"/>
                <w:sz w:val="18"/>
              </w:rPr>
            </w:pPr>
          </w:p>
        </w:tc>
        <w:tc>
          <w:tcPr>
            <w:tcW w:w="259" w:type="dxa"/>
          </w:tcPr>
          <w:p>
            <w:pPr>
              <w:pStyle w:val="TableParagraph"/>
              <w:rPr>
                <w:rFonts w:ascii="Times New Roman"/>
                <w:sz w:val="18"/>
              </w:rPr>
            </w:pP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867" w:type="dxa"/>
          </w:tcPr>
          <w:p>
            <w:pPr>
              <w:pStyle w:val="TableParagraph"/>
              <w:rPr>
                <w:rFonts w:ascii="Times New Roman"/>
                <w:sz w:val="18"/>
              </w:rPr>
            </w:pPr>
          </w:p>
        </w:tc>
        <w:tc>
          <w:tcPr>
            <w:tcW w:w="605" w:type="dxa"/>
          </w:tcPr>
          <w:p>
            <w:pPr>
              <w:pStyle w:val="TableParagraph"/>
              <w:rPr>
                <w:rFonts w:ascii="Times New Roman"/>
                <w:sz w:val="18"/>
              </w:rPr>
            </w:pPr>
          </w:p>
        </w:tc>
        <w:tc>
          <w:tcPr>
            <w:tcW w:w="864" w:type="dxa"/>
          </w:tcPr>
          <w:p>
            <w:pPr>
              <w:pStyle w:val="TableParagraph"/>
              <w:rPr>
                <w:rFonts w:ascii="Times New Roman"/>
                <w:sz w:val="18"/>
              </w:rPr>
            </w:pPr>
          </w:p>
        </w:tc>
      </w:tr>
      <w:tr>
        <w:trPr>
          <w:trHeight w:val="1869" w:hRule="atLeast"/>
        </w:trPr>
        <w:tc>
          <w:tcPr>
            <w:tcW w:w="614" w:type="dxa"/>
          </w:tcPr>
          <w:p>
            <w:pPr>
              <w:pStyle w:val="TableParagraph"/>
              <w:spacing w:line="242" w:lineRule="auto"/>
              <w:ind w:left="107" w:right="134"/>
              <w:rPr>
                <w:sz w:val="18"/>
              </w:rPr>
            </w:pPr>
            <w:r>
              <w:rPr>
                <w:sz w:val="18"/>
              </w:rPr>
              <w:t>3．</w:t>
            </w:r>
            <w:r>
              <w:rPr>
                <w:spacing w:val="1"/>
                <w:sz w:val="18"/>
              </w:rPr>
              <w:t> </w:t>
            </w:r>
            <w:r>
              <w:rPr>
                <w:spacing w:val="-2"/>
                <w:sz w:val="18"/>
              </w:rPr>
              <w:t>对所</w:t>
            </w:r>
            <w:r>
              <w:rPr>
                <w:spacing w:val="-9"/>
                <w:sz w:val="18"/>
              </w:rPr>
              <w:t>有者</w:t>
            </w:r>
          </w:p>
          <w:p>
            <w:pPr>
              <w:pStyle w:val="TableParagraph"/>
              <w:spacing w:line="242" w:lineRule="auto" w:before="2"/>
              <w:ind w:left="107" w:right="134"/>
              <w:rPr>
                <w:sz w:val="18"/>
              </w:rPr>
            </w:pPr>
            <w:r>
              <w:rPr>
                <w:spacing w:val="-2"/>
                <w:sz w:val="18"/>
              </w:rPr>
              <w:t>（或</w:t>
            </w:r>
            <w:r>
              <w:rPr>
                <w:sz w:val="18"/>
              </w:rPr>
              <w:t>股</w:t>
            </w:r>
            <w:r>
              <w:rPr>
                <w:spacing w:val="1"/>
                <w:sz w:val="18"/>
              </w:rPr>
              <w:t> </w:t>
            </w:r>
            <w:r>
              <w:rPr>
                <w:spacing w:val="-2"/>
                <w:sz w:val="18"/>
              </w:rPr>
              <w:t>东）</w:t>
            </w:r>
            <w:r>
              <w:rPr>
                <w:spacing w:val="-87"/>
                <w:sz w:val="18"/>
              </w:rPr>
              <w:t> </w:t>
            </w:r>
            <w:r>
              <w:rPr>
                <w:spacing w:val="-9"/>
                <w:sz w:val="18"/>
              </w:rPr>
              <w:t>的分</w:t>
            </w:r>
          </w:p>
          <w:p>
            <w:pPr>
              <w:pStyle w:val="TableParagraph"/>
              <w:spacing w:line="215" w:lineRule="exact" w:before="2"/>
              <w:ind w:left="107"/>
              <w:rPr>
                <w:sz w:val="18"/>
              </w:rPr>
            </w:pPr>
            <w:r>
              <w:rPr>
                <w:sz w:val="18"/>
              </w:rPr>
              <w:t>配 </w:t>
            </w:r>
          </w:p>
        </w:tc>
        <w:tc>
          <w:tcPr>
            <w:tcW w:w="801" w:type="dxa"/>
          </w:tcPr>
          <w:p>
            <w:pPr>
              <w:pStyle w:val="TableParagraph"/>
              <w:rPr>
                <w:sz w:val="22"/>
              </w:rPr>
            </w:pPr>
          </w:p>
          <w:p>
            <w:pPr>
              <w:pStyle w:val="TableParagraph"/>
              <w:rPr>
                <w:sz w:val="22"/>
              </w:rPr>
            </w:pPr>
          </w:p>
          <w:p>
            <w:pPr>
              <w:pStyle w:val="TableParagraph"/>
              <w:spacing w:before="12"/>
              <w:rPr>
                <w:sz w:val="18"/>
              </w:rPr>
            </w:pPr>
          </w:p>
          <w:p>
            <w:pPr>
              <w:pStyle w:val="TableParagraph"/>
              <w:ind w:right="94"/>
              <w:jc w:val="right"/>
              <w:rPr>
                <w:rFonts w:ascii="Times New Roman"/>
                <w:sz w:val="21"/>
              </w:rPr>
            </w:pPr>
            <w:r>
              <w:rPr>
                <w:rFonts w:ascii="Times New Roman"/>
                <w:w w:val="100"/>
                <w:sz w:val="21"/>
              </w:rPr>
              <w:t>-</w:t>
            </w: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rPr>
                <w:sz w:val="22"/>
              </w:rPr>
            </w:pPr>
          </w:p>
          <w:p>
            <w:pPr>
              <w:pStyle w:val="TableParagraph"/>
              <w:rPr>
                <w:sz w:val="22"/>
              </w:rPr>
            </w:pPr>
          </w:p>
          <w:p>
            <w:pPr>
              <w:pStyle w:val="TableParagraph"/>
              <w:spacing w:before="12"/>
              <w:rPr>
                <w:sz w:val="18"/>
              </w:rPr>
            </w:pPr>
          </w:p>
          <w:p>
            <w:pPr>
              <w:pStyle w:val="TableParagraph"/>
              <w:ind w:right="94"/>
              <w:jc w:val="right"/>
              <w:rPr>
                <w:rFonts w:ascii="Times New Roman"/>
                <w:sz w:val="21"/>
              </w:rPr>
            </w:pPr>
            <w:r>
              <w:rPr>
                <w:rFonts w:ascii="Times New Roman"/>
                <w:w w:val="100"/>
                <w:sz w:val="21"/>
              </w:rPr>
              <w:t>-</w:t>
            </w:r>
          </w:p>
        </w:tc>
        <w:tc>
          <w:tcPr>
            <w:tcW w:w="557" w:type="dxa"/>
          </w:tcPr>
          <w:p>
            <w:pPr>
              <w:pStyle w:val="TableParagraph"/>
              <w:rPr>
                <w:sz w:val="22"/>
              </w:rPr>
            </w:pPr>
          </w:p>
          <w:p>
            <w:pPr>
              <w:pStyle w:val="TableParagraph"/>
              <w:rPr>
                <w:sz w:val="22"/>
              </w:rPr>
            </w:pPr>
          </w:p>
          <w:p>
            <w:pPr>
              <w:pStyle w:val="TableParagraph"/>
              <w:spacing w:before="12"/>
              <w:rPr>
                <w:sz w:val="18"/>
              </w:rPr>
            </w:pPr>
          </w:p>
          <w:p>
            <w:pPr>
              <w:pStyle w:val="TableParagraph"/>
              <w:ind w:right="95"/>
              <w:jc w:val="right"/>
              <w:rPr>
                <w:rFonts w:ascii="Times New Roman"/>
                <w:sz w:val="21"/>
              </w:rPr>
            </w:pPr>
            <w:r>
              <w:rPr>
                <w:rFonts w:ascii="Times New Roman"/>
                <w:w w:val="100"/>
                <w:sz w:val="21"/>
              </w:rPr>
              <w:t>-</w:t>
            </w:r>
          </w:p>
        </w:tc>
        <w:tc>
          <w:tcPr>
            <w:tcW w:w="571" w:type="dxa"/>
          </w:tcPr>
          <w:p>
            <w:pPr>
              <w:pStyle w:val="TableParagraph"/>
              <w:rPr>
                <w:sz w:val="22"/>
              </w:rPr>
            </w:pPr>
          </w:p>
          <w:p>
            <w:pPr>
              <w:pStyle w:val="TableParagraph"/>
              <w:rPr>
                <w:sz w:val="22"/>
              </w:rPr>
            </w:pPr>
          </w:p>
          <w:p>
            <w:pPr>
              <w:pStyle w:val="TableParagraph"/>
              <w:spacing w:before="12"/>
              <w:rPr>
                <w:sz w:val="18"/>
              </w:rPr>
            </w:pPr>
          </w:p>
          <w:p>
            <w:pPr>
              <w:pStyle w:val="TableParagraph"/>
              <w:ind w:right="97"/>
              <w:jc w:val="right"/>
              <w:rPr>
                <w:rFonts w:ascii="Times New Roman"/>
                <w:sz w:val="21"/>
              </w:rPr>
            </w:pPr>
            <w:r>
              <w:rPr>
                <w:rFonts w:ascii="Times New Roman"/>
                <w:w w:val="100"/>
                <w:sz w:val="21"/>
              </w:rPr>
              <w:t>-</w:t>
            </w:r>
          </w:p>
        </w:tc>
        <w:tc>
          <w:tcPr>
            <w:tcW w:w="259" w:type="dxa"/>
          </w:tcPr>
          <w:p>
            <w:pPr>
              <w:pStyle w:val="TableParagraph"/>
              <w:rPr>
                <w:rFonts w:ascii="Times New Roman"/>
                <w:sz w:val="18"/>
              </w:rPr>
            </w:pPr>
          </w:p>
        </w:tc>
        <w:tc>
          <w:tcPr>
            <w:tcW w:w="732" w:type="dxa"/>
          </w:tcPr>
          <w:p>
            <w:pPr>
              <w:pStyle w:val="TableParagraph"/>
              <w:rPr>
                <w:sz w:val="22"/>
              </w:rPr>
            </w:pPr>
          </w:p>
          <w:p>
            <w:pPr>
              <w:pStyle w:val="TableParagraph"/>
              <w:rPr>
                <w:sz w:val="22"/>
              </w:rPr>
            </w:pPr>
          </w:p>
          <w:p>
            <w:pPr>
              <w:pStyle w:val="TableParagraph"/>
              <w:spacing w:before="12"/>
              <w:rPr>
                <w:sz w:val="18"/>
              </w:rPr>
            </w:pPr>
          </w:p>
          <w:p>
            <w:pPr>
              <w:pStyle w:val="TableParagraph"/>
              <w:ind w:right="94"/>
              <w:jc w:val="right"/>
              <w:rPr>
                <w:rFonts w:ascii="Times New Roman"/>
                <w:sz w:val="21"/>
              </w:rPr>
            </w:pPr>
            <w:r>
              <w:rPr>
                <w:rFonts w:ascii="Times New Roman"/>
                <w:w w:val="100"/>
                <w:sz w:val="21"/>
              </w:rPr>
              <w:t>-</w:t>
            </w:r>
          </w:p>
        </w:tc>
        <w:tc>
          <w:tcPr>
            <w:tcW w:w="259" w:type="dxa"/>
          </w:tcPr>
          <w:p>
            <w:pPr>
              <w:pStyle w:val="TableParagraph"/>
              <w:rPr>
                <w:rFonts w:ascii="Times New Roman"/>
                <w:sz w:val="18"/>
              </w:rPr>
            </w:pPr>
          </w:p>
        </w:tc>
        <w:tc>
          <w:tcPr>
            <w:tcW w:w="801" w:type="dxa"/>
          </w:tcPr>
          <w:p>
            <w:pPr>
              <w:pStyle w:val="TableParagraph"/>
              <w:rPr>
                <w:sz w:val="22"/>
              </w:rPr>
            </w:pPr>
          </w:p>
          <w:p>
            <w:pPr>
              <w:pStyle w:val="TableParagraph"/>
              <w:spacing w:before="3"/>
              <w:rPr>
                <w:sz w:val="22"/>
              </w:rPr>
            </w:pPr>
          </w:p>
          <w:p>
            <w:pPr>
              <w:pStyle w:val="TableParagraph"/>
              <w:ind w:left="169" w:right="91" w:firstLine="456"/>
              <w:jc w:val="right"/>
              <w:rPr>
                <w:rFonts w:ascii="Times New Roman"/>
                <w:sz w:val="21"/>
              </w:rPr>
            </w:pPr>
            <w:r>
              <w:rPr>
                <w:rFonts w:ascii="Times New Roman"/>
                <w:sz w:val="21"/>
              </w:rPr>
              <w:t>-</w:t>
            </w:r>
            <w:r>
              <w:rPr>
                <w:rFonts w:ascii="Times New Roman"/>
                <w:spacing w:val="-50"/>
                <w:sz w:val="21"/>
              </w:rPr>
              <w:t> </w:t>
            </w:r>
            <w:r>
              <w:rPr>
                <w:rFonts w:ascii="Times New Roman"/>
                <w:sz w:val="21"/>
              </w:rPr>
              <w:t>9,890,</w:t>
            </w:r>
          </w:p>
          <w:p>
            <w:pPr>
              <w:pStyle w:val="TableParagraph"/>
              <w:ind w:right="91"/>
              <w:jc w:val="right"/>
              <w:rPr>
                <w:rFonts w:ascii="Times New Roman"/>
                <w:sz w:val="21"/>
              </w:rPr>
            </w:pPr>
            <w:r>
              <w:rPr>
                <w:rFonts w:ascii="Times New Roman"/>
                <w:sz w:val="21"/>
              </w:rPr>
              <w:t>945</w:t>
            </w:r>
          </w:p>
        </w:tc>
        <w:tc>
          <w:tcPr>
            <w:tcW w:w="259" w:type="dxa"/>
          </w:tcPr>
          <w:p>
            <w:pPr>
              <w:pStyle w:val="TableParagraph"/>
              <w:rPr>
                <w:rFonts w:ascii="Times New Roman"/>
                <w:sz w:val="18"/>
              </w:rPr>
            </w:pPr>
          </w:p>
        </w:tc>
        <w:tc>
          <w:tcPr>
            <w:tcW w:w="867" w:type="dxa"/>
          </w:tcPr>
          <w:p>
            <w:pPr>
              <w:pStyle w:val="TableParagraph"/>
              <w:rPr>
                <w:sz w:val="22"/>
              </w:rPr>
            </w:pPr>
          </w:p>
          <w:p>
            <w:pPr>
              <w:pStyle w:val="TableParagraph"/>
              <w:spacing w:before="3"/>
              <w:rPr>
                <w:sz w:val="22"/>
              </w:rPr>
            </w:pPr>
          </w:p>
          <w:p>
            <w:pPr>
              <w:pStyle w:val="TableParagraph"/>
              <w:ind w:left="129" w:right="92" w:firstLine="562"/>
              <w:jc w:val="right"/>
              <w:rPr>
                <w:rFonts w:ascii="Times New Roman"/>
                <w:sz w:val="21"/>
              </w:rPr>
            </w:pPr>
            <w:r>
              <w:rPr>
                <w:rFonts w:ascii="Times New Roman"/>
                <w:sz w:val="21"/>
              </w:rPr>
              <w:t>-</w:t>
            </w:r>
            <w:r>
              <w:rPr>
                <w:rFonts w:ascii="Times New Roman"/>
                <w:spacing w:val="-50"/>
                <w:sz w:val="21"/>
              </w:rPr>
              <w:t> </w:t>
            </w:r>
            <w:r>
              <w:rPr>
                <w:rFonts w:ascii="Times New Roman"/>
                <w:sz w:val="21"/>
              </w:rPr>
              <w:t>9,890,9</w:t>
            </w:r>
          </w:p>
          <w:p>
            <w:pPr>
              <w:pStyle w:val="TableParagraph"/>
              <w:ind w:right="94"/>
              <w:jc w:val="right"/>
              <w:rPr>
                <w:rFonts w:ascii="Times New Roman"/>
                <w:sz w:val="21"/>
              </w:rPr>
            </w:pPr>
            <w:r>
              <w:rPr>
                <w:rFonts w:ascii="Times New Roman"/>
                <w:sz w:val="21"/>
              </w:rPr>
              <w:t>45</w:t>
            </w:r>
          </w:p>
        </w:tc>
        <w:tc>
          <w:tcPr>
            <w:tcW w:w="605" w:type="dxa"/>
          </w:tcPr>
          <w:p>
            <w:pPr>
              <w:pStyle w:val="TableParagraph"/>
              <w:rPr>
                <w:sz w:val="22"/>
              </w:rPr>
            </w:pPr>
          </w:p>
          <w:p>
            <w:pPr>
              <w:pStyle w:val="TableParagraph"/>
              <w:rPr>
                <w:sz w:val="22"/>
              </w:rPr>
            </w:pPr>
          </w:p>
          <w:p>
            <w:pPr>
              <w:pStyle w:val="TableParagraph"/>
              <w:spacing w:before="12"/>
              <w:rPr>
                <w:sz w:val="18"/>
              </w:rPr>
            </w:pPr>
          </w:p>
          <w:p>
            <w:pPr>
              <w:pStyle w:val="TableParagraph"/>
              <w:ind w:right="93"/>
              <w:jc w:val="right"/>
              <w:rPr>
                <w:rFonts w:ascii="Times New Roman"/>
                <w:sz w:val="21"/>
              </w:rPr>
            </w:pPr>
            <w:r>
              <w:rPr>
                <w:rFonts w:ascii="Times New Roman"/>
                <w:w w:val="100"/>
                <w:sz w:val="21"/>
              </w:rPr>
              <w:t>-</w:t>
            </w:r>
          </w:p>
        </w:tc>
        <w:tc>
          <w:tcPr>
            <w:tcW w:w="864" w:type="dxa"/>
          </w:tcPr>
          <w:p>
            <w:pPr>
              <w:pStyle w:val="TableParagraph"/>
              <w:rPr>
                <w:sz w:val="22"/>
              </w:rPr>
            </w:pPr>
          </w:p>
          <w:p>
            <w:pPr>
              <w:pStyle w:val="TableParagraph"/>
              <w:spacing w:before="3"/>
              <w:rPr>
                <w:sz w:val="22"/>
              </w:rPr>
            </w:pPr>
          </w:p>
          <w:p>
            <w:pPr>
              <w:pStyle w:val="TableParagraph"/>
              <w:ind w:left="126" w:right="91" w:firstLine="561"/>
              <w:jc w:val="right"/>
              <w:rPr>
                <w:rFonts w:ascii="Times New Roman"/>
                <w:sz w:val="21"/>
              </w:rPr>
            </w:pPr>
            <w:r>
              <w:rPr>
                <w:rFonts w:ascii="Times New Roman"/>
                <w:sz w:val="21"/>
              </w:rPr>
              <w:t>-</w:t>
            </w:r>
            <w:r>
              <w:rPr>
                <w:rFonts w:ascii="Times New Roman"/>
                <w:spacing w:val="-50"/>
                <w:sz w:val="21"/>
              </w:rPr>
              <w:t> </w:t>
            </w:r>
            <w:r>
              <w:rPr>
                <w:rFonts w:ascii="Times New Roman"/>
                <w:sz w:val="21"/>
              </w:rPr>
              <w:t>9,890,9</w:t>
            </w:r>
          </w:p>
          <w:p>
            <w:pPr>
              <w:pStyle w:val="TableParagraph"/>
              <w:ind w:right="94"/>
              <w:jc w:val="right"/>
              <w:rPr>
                <w:rFonts w:ascii="Times New Roman"/>
                <w:sz w:val="21"/>
              </w:rPr>
            </w:pPr>
            <w:r>
              <w:rPr>
                <w:rFonts w:ascii="Times New Roman"/>
                <w:sz w:val="21"/>
              </w:rPr>
              <w:t>45</w:t>
            </w:r>
          </w:p>
        </w:tc>
      </w:tr>
      <w:tr>
        <w:trPr>
          <w:trHeight w:val="481" w:hRule="atLeast"/>
        </w:trPr>
        <w:tc>
          <w:tcPr>
            <w:tcW w:w="614" w:type="dxa"/>
          </w:tcPr>
          <w:p>
            <w:pPr>
              <w:pStyle w:val="TableParagraph"/>
              <w:spacing w:line="230" w:lineRule="exact"/>
              <w:ind w:left="107"/>
              <w:rPr>
                <w:sz w:val="18"/>
              </w:rPr>
            </w:pPr>
            <w:r>
              <w:rPr>
                <w:sz w:val="18"/>
              </w:rPr>
              <w:t>4．</w:t>
            </w:r>
          </w:p>
          <w:p>
            <w:pPr>
              <w:pStyle w:val="TableParagraph"/>
              <w:spacing w:line="229" w:lineRule="exact" w:before="2"/>
              <w:ind w:left="107"/>
              <w:rPr>
                <w:sz w:val="18"/>
              </w:rPr>
            </w:pPr>
            <w:r>
              <w:rPr>
                <w:sz w:val="18"/>
              </w:rPr>
              <w:t>其他 </w:t>
            </w:r>
          </w:p>
        </w:tc>
        <w:tc>
          <w:tcPr>
            <w:tcW w:w="801" w:type="dxa"/>
          </w:tcPr>
          <w:p>
            <w:pPr>
              <w:pStyle w:val="TableParagraph"/>
              <w:spacing w:before="113"/>
              <w:ind w:right="94"/>
              <w:jc w:val="right"/>
              <w:rPr>
                <w:rFonts w:ascii="Times New Roman"/>
                <w:sz w:val="21"/>
              </w:rPr>
            </w:pPr>
            <w:r>
              <w:rPr>
                <w:rFonts w:ascii="Times New Roman"/>
                <w:w w:val="100"/>
                <w:sz w:val="21"/>
              </w:rPr>
              <w:t>-</w:t>
            </w: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spacing w:before="113"/>
              <w:ind w:right="94"/>
              <w:jc w:val="right"/>
              <w:rPr>
                <w:rFonts w:ascii="Times New Roman"/>
                <w:sz w:val="21"/>
              </w:rPr>
            </w:pPr>
            <w:r>
              <w:rPr>
                <w:rFonts w:ascii="Times New Roman"/>
                <w:w w:val="100"/>
                <w:sz w:val="21"/>
              </w:rPr>
              <w:t>-</w:t>
            </w:r>
          </w:p>
        </w:tc>
        <w:tc>
          <w:tcPr>
            <w:tcW w:w="557" w:type="dxa"/>
          </w:tcPr>
          <w:p>
            <w:pPr>
              <w:pStyle w:val="TableParagraph"/>
              <w:spacing w:line="234" w:lineRule="exact"/>
              <w:ind w:left="187"/>
              <w:rPr>
                <w:rFonts w:ascii="Times New Roman"/>
                <w:sz w:val="21"/>
              </w:rPr>
            </w:pPr>
            <w:r>
              <w:rPr>
                <w:rFonts w:ascii="Times New Roman"/>
                <w:sz w:val="21"/>
              </w:rPr>
              <w:t>31,</w:t>
            </w:r>
          </w:p>
          <w:p>
            <w:pPr>
              <w:pStyle w:val="TableParagraph"/>
              <w:spacing w:line="228" w:lineRule="exact"/>
              <w:ind w:left="134"/>
              <w:rPr>
                <w:rFonts w:ascii="Times New Roman"/>
                <w:sz w:val="21"/>
              </w:rPr>
            </w:pPr>
            <w:r>
              <w:rPr>
                <w:rFonts w:ascii="Times New Roman"/>
                <w:sz w:val="21"/>
              </w:rPr>
              <w:t>249</w:t>
            </w:r>
          </w:p>
        </w:tc>
        <w:tc>
          <w:tcPr>
            <w:tcW w:w="571" w:type="dxa"/>
          </w:tcPr>
          <w:p>
            <w:pPr>
              <w:pStyle w:val="TableParagraph"/>
              <w:spacing w:before="113"/>
              <w:ind w:right="97"/>
              <w:jc w:val="right"/>
              <w:rPr>
                <w:rFonts w:ascii="Times New Roman"/>
                <w:sz w:val="21"/>
              </w:rPr>
            </w:pPr>
            <w:r>
              <w:rPr>
                <w:rFonts w:ascii="Times New Roman"/>
                <w:w w:val="100"/>
                <w:sz w:val="21"/>
              </w:rPr>
              <w:t>-</w:t>
            </w:r>
          </w:p>
        </w:tc>
        <w:tc>
          <w:tcPr>
            <w:tcW w:w="259" w:type="dxa"/>
          </w:tcPr>
          <w:p>
            <w:pPr>
              <w:pStyle w:val="TableParagraph"/>
              <w:rPr>
                <w:rFonts w:ascii="Times New Roman"/>
                <w:sz w:val="18"/>
              </w:rPr>
            </w:pPr>
          </w:p>
        </w:tc>
        <w:tc>
          <w:tcPr>
            <w:tcW w:w="732" w:type="dxa"/>
          </w:tcPr>
          <w:p>
            <w:pPr>
              <w:pStyle w:val="TableParagraph"/>
              <w:spacing w:before="113"/>
              <w:ind w:right="94"/>
              <w:jc w:val="right"/>
              <w:rPr>
                <w:rFonts w:ascii="Times New Roman"/>
                <w:sz w:val="21"/>
              </w:rPr>
            </w:pPr>
            <w:r>
              <w:rPr>
                <w:rFonts w:ascii="Times New Roman"/>
                <w:w w:val="100"/>
                <w:sz w:val="21"/>
              </w:rPr>
              <w:t>-</w:t>
            </w:r>
          </w:p>
        </w:tc>
        <w:tc>
          <w:tcPr>
            <w:tcW w:w="259" w:type="dxa"/>
          </w:tcPr>
          <w:p>
            <w:pPr>
              <w:pStyle w:val="TableParagraph"/>
              <w:rPr>
                <w:rFonts w:ascii="Times New Roman"/>
                <w:sz w:val="18"/>
              </w:rPr>
            </w:pPr>
          </w:p>
        </w:tc>
        <w:tc>
          <w:tcPr>
            <w:tcW w:w="801" w:type="dxa"/>
          </w:tcPr>
          <w:p>
            <w:pPr>
              <w:pStyle w:val="TableParagraph"/>
              <w:spacing w:before="113"/>
              <w:ind w:right="91"/>
              <w:jc w:val="right"/>
              <w:rPr>
                <w:rFonts w:ascii="Times New Roman"/>
                <w:sz w:val="21"/>
              </w:rPr>
            </w:pPr>
            <w:r>
              <w:rPr>
                <w:rFonts w:ascii="Times New Roman"/>
                <w:sz w:val="21"/>
              </w:rPr>
              <w:t>6,825</w:t>
            </w:r>
          </w:p>
        </w:tc>
        <w:tc>
          <w:tcPr>
            <w:tcW w:w="259" w:type="dxa"/>
          </w:tcPr>
          <w:p>
            <w:pPr>
              <w:pStyle w:val="TableParagraph"/>
              <w:rPr>
                <w:rFonts w:ascii="Times New Roman"/>
                <w:sz w:val="18"/>
              </w:rPr>
            </w:pPr>
          </w:p>
        </w:tc>
        <w:tc>
          <w:tcPr>
            <w:tcW w:w="867" w:type="dxa"/>
          </w:tcPr>
          <w:p>
            <w:pPr>
              <w:pStyle w:val="TableParagraph"/>
              <w:spacing w:before="113"/>
              <w:ind w:right="92"/>
              <w:jc w:val="right"/>
              <w:rPr>
                <w:rFonts w:ascii="Times New Roman"/>
                <w:sz w:val="21"/>
              </w:rPr>
            </w:pPr>
            <w:r>
              <w:rPr>
                <w:rFonts w:ascii="Times New Roman"/>
                <w:sz w:val="21"/>
              </w:rPr>
              <w:t>38,074</w:t>
            </w:r>
          </w:p>
        </w:tc>
        <w:tc>
          <w:tcPr>
            <w:tcW w:w="605" w:type="dxa"/>
          </w:tcPr>
          <w:p>
            <w:pPr>
              <w:pStyle w:val="TableParagraph"/>
              <w:spacing w:before="113"/>
              <w:ind w:right="93"/>
              <w:jc w:val="right"/>
              <w:rPr>
                <w:rFonts w:ascii="Times New Roman"/>
                <w:sz w:val="21"/>
              </w:rPr>
            </w:pPr>
            <w:r>
              <w:rPr>
                <w:rFonts w:ascii="Times New Roman"/>
                <w:w w:val="100"/>
                <w:sz w:val="21"/>
              </w:rPr>
              <w:t>-</w:t>
            </w:r>
          </w:p>
        </w:tc>
        <w:tc>
          <w:tcPr>
            <w:tcW w:w="864" w:type="dxa"/>
          </w:tcPr>
          <w:p>
            <w:pPr>
              <w:pStyle w:val="TableParagraph"/>
              <w:spacing w:before="113"/>
              <w:ind w:right="91"/>
              <w:jc w:val="right"/>
              <w:rPr>
                <w:rFonts w:ascii="Times New Roman"/>
                <w:sz w:val="21"/>
              </w:rPr>
            </w:pPr>
            <w:r>
              <w:rPr>
                <w:rFonts w:ascii="Times New Roman"/>
                <w:sz w:val="21"/>
              </w:rPr>
              <w:t>38,074</w:t>
            </w:r>
          </w:p>
        </w:tc>
      </w:tr>
      <w:tr>
        <w:trPr>
          <w:trHeight w:val="1401" w:hRule="atLeast"/>
        </w:trPr>
        <w:tc>
          <w:tcPr>
            <w:tcW w:w="614" w:type="dxa"/>
          </w:tcPr>
          <w:p>
            <w:pPr>
              <w:pStyle w:val="TableParagraph"/>
              <w:ind w:left="107"/>
              <w:rPr>
                <w:sz w:val="18"/>
              </w:rPr>
            </w:pPr>
            <w:r>
              <w:rPr>
                <w:spacing w:val="-1"/>
                <w:sz w:val="18"/>
              </w:rPr>
              <w:t>（</w:t>
            </w:r>
            <w:r>
              <w:rPr>
                <w:sz w:val="18"/>
              </w:rPr>
              <w:t>四</w:t>
            </w:r>
          </w:p>
          <w:p>
            <w:pPr>
              <w:pStyle w:val="TableParagraph"/>
              <w:spacing w:line="242" w:lineRule="auto" w:before="2"/>
              <w:ind w:left="107" w:right="134"/>
              <w:jc w:val="both"/>
              <w:rPr>
                <w:sz w:val="18"/>
              </w:rPr>
            </w:pPr>
            <w:r>
              <w:rPr>
                <w:spacing w:val="-2"/>
                <w:sz w:val="18"/>
              </w:rPr>
              <w:t>）所有者权益</w:t>
            </w:r>
            <w:r>
              <w:rPr>
                <w:spacing w:val="-9"/>
                <w:sz w:val="18"/>
              </w:rPr>
              <w:t>内部</w:t>
            </w:r>
          </w:p>
          <w:p>
            <w:pPr>
              <w:pStyle w:val="TableParagraph"/>
              <w:spacing w:line="215" w:lineRule="exact" w:before="1"/>
              <w:ind w:left="107"/>
              <w:rPr>
                <w:sz w:val="18"/>
              </w:rPr>
            </w:pPr>
            <w:r>
              <w:rPr>
                <w:spacing w:val="-1"/>
                <w:sz w:val="18"/>
              </w:rPr>
              <w:t>结转</w:t>
            </w:r>
            <w:r>
              <w:rPr>
                <w:sz w:val="18"/>
              </w:rPr>
              <w:t> </w:t>
            </w: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rPr>
                <w:rFonts w:ascii="Times New Roman"/>
                <w:sz w:val="18"/>
              </w:rPr>
            </w:pPr>
          </w:p>
        </w:tc>
        <w:tc>
          <w:tcPr>
            <w:tcW w:w="557" w:type="dxa"/>
          </w:tcPr>
          <w:p>
            <w:pPr>
              <w:pStyle w:val="TableParagraph"/>
              <w:rPr>
                <w:rFonts w:ascii="Times New Roman"/>
                <w:sz w:val="18"/>
              </w:rPr>
            </w:pPr>
          </w:p>
        </w:tc>
        <w:tc>
          <w:tcPr>
            <w:tcW w:w="571" w:type="dxa"/>
          </w:tcPr>
          <w:p>
            <w:pPr>
              <w:pStyle w:val="TableParagraph"/>
              <w:rPr>
                <w:rFonts w:ascii="Times New Roman"/>
                <w:sz w:val="18"/>
              </w:rPr>
            </w:pPr>
          </w:p>
        </w:tc>
        <w:tc>
          <w:tcPr>
            <w:tcW w:w="259" w:type="dxa"/>
          </w:tcPr>
          <w:p>
            <w:pPr>
              <w:pStyle w:val="TableParagraph"/>
              <w:rPr>
                <w:rFonts w:ascii="Times New Roman"/>
                <w:sz w:val="18"/>
              </w:rPr>
            </w:pPr>
          </w:p>
        </w:tc>
        <w:tc>
          <w:tcPr>
            <w:tcW w:w="732" w:type="dxa"/>
          </w:tcPr>
          <w:p>
            <w:pPr>
              <w:pStyle w:val="TableParagraph"/>
              <w:rPr>
                <w:rFonts w:ascii="Times New Roman"/>
                <w:sz w:val="18"/>
              </w:rPr>
            </w:pPr>
          </w:p>
        </w:tc>
        <w:tc>
          <w:tcPr>
            <w:tcW w:w="259" w:type="dxa"/>
          </w:tcPr>
          <w:p>
            <w:pPr>
              <w:pStyle w:val="TableParagraph"/>
              <w:rPr>
                <w:rFonts w:ascii="Times New Roman"/>
                <w:sz w:val="18"/>
              </w:rPr>
            </w:pP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867" w:type="dxa"/>
          </w:tcPr>
          <w:p>
            <w:pPr>
              <w:pStyle w:val="TableParagraph"/>
              <w:rPr>
                <w:rFonts w:ascii="Times New Roman"/>
                <w:sz w:val="18"/>
              </w:rPr>
            </w:pPr>
          </w:p>
        </w:tc>
        <w:tc>
          <w:tcPr>
            <w:tcW w:w="605" w:type="dxa"/>
          </w:tcPr>
          <w:p>
            <w:pPr>
              <w:pStyle w:val="TableParagraph"/>
              <w:rPr>
                <w:rFonts w:ascii="Times New Roman"/>
                <w:sz w:val="18"/>
              </w:rPr>
            </w:pPr>
          </w:p>
        </w:tc>
        <w:tc>
          <w:tcPr>
            <w:tcW w:w="864" w:type="dxa"/>
          </w:tcPr>
          <w:p>
            <w:pPr>
              <w:pStyle w:val="TableParagraph"/>
              <w:rPr>
                <w:rFonts w:ascii="Times New Roman"/>
                <w:sz w:val="18"/>
              </w:rPr>
            </w:pPr>
          </w:p>
        </w:tc>
      </w:tr>
    </w:tbl>
    <w:p>
      <w:pPr>
        <w:spacing w:after="0"/>
        <w:rPr>
          <w:rFonts w:ascii="Times New Roman"/>
          <w:sz w:val="18"/>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4"/>
        <w:gridCol w:w="801"/>
        <w:gridCol w:w="259"/>
        <w:gridCol w:w="257"/>
        <w:gridCol w:w="260"/>
        <w:gridCol w:w="857"/>
        <w:gridCol w:w="557"/>
        <w:gridCol w:w="571"/>
        <w:gridCol w:w="259"/>
        <w:gridCol w:w="732"/>
        <w:gridCol w:w="259"/>
        <w:gridCol w:w="801"/>
        <w:gridCol w:w="259"/>
        <w:gridCol w:w="867"/>
        <w:gridCol w:w="605"/>
        <w:gridCol w:w="864"/>
      </w:tblGrid>
      <w:tr>
        <w:trPr>
          <w:trHeight w:val="1869" w:hRule="atLeast"/>
        </w:trPr>
        <w:tc>
          <w:tcPr>
            <w:tcW w:w="614" w:type="dxa"/>
          </w:tcPr>
          <w:p>
            <w:pPr>
              <w:pStyle w:val="TableParagraph"/>
              <w:spacing w:line="242" w:lineRule="auto" w:before="2"/>
              <w:ind w:left="107" w:right="134"/>
              <w:rPr>
                <w:sz w:val="18"/>
              </w:rPr>
            </w:pPr>
            <w:r>
              <w:rPr>
                <w:sz w:val="18"/>
              </w:rPr>
              <w:t>1．</w:t>
            </w:r>
            <w:r>
              <w:rPr>
                <w:spacing w:val="1"/>
                <w:sz w:val="18"/>
              </w:rPr>
              <w:t> </w:t>
            </w:r>
            <w:r>
              <w:rPr>
                <w:spacing w:val="-2"/>
                <w:sz w:val="18"/>
              </w:rPr>
              <w:t>资本公积转增</w:t>
            </w:r>
            <w:r>
              <w:rPr>
                <w:spacing w:val="-9"/>
                <w:sz w:val="18"/>
              </w:rPr>
              <w:t>资本</w:t>
            </w:r>
          </w:p>
          <w:p>
            <w:pPr>
              <w:pStyle w:val="TableParagraph"/>
              <w:spacing w:line="230" w:lineRule="atLeast"/>
              <w:ind w:left="107" w:right="44"/>
              <w:rPr>
                <w:sz w:val="18"/>
              </w:rPr>
            </w:pPr>
            <w:r>
              <w:rPr>
                <w:sz w:val="18"/>
              </w:rPr>
              <w:t>（或股</w:t>
            </w:r>
            <w:r>
              <w:rPr>
                <w:spacing w:val="5"/>
                <w:sz w:val="18"/>
              </w:rPr>
              <w:t> </w:t>
            </w:r>
            <w:r>
              <w:rPr>
                <w:spacing w:val="-1"/>
                <w:sz w:val="18"/>
              </w:rPr>
              <w:t>本</w:t>
            </w:r>
            <w:r>
              <w:rPr>
                <w:sz w:val="18"/>
              </w:rPr>
              <w:t>） </w:t>
            </w: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rPr>
                <w:rFonts w:ascii="Times New Roman"/>
                <w:sz w:val="18"/>
              </w:rPr>
            </w:pPr>
          </w:p>
        </w:tc>
        <w:tc>
          <w:tcPr>
            <w:tcW w:w="557" w:type="dxa"/>
          </w:tcPr>
          <w:p>
            <w:pPr>
              <w:pStyle w:val="TableParagraph"/>
              <w:rPr>
                <w:rFonts w:ascii="Times New Roman"/>
                <w:sz w:val="18"/>
              </w:rPr>
            </w:pPr>
          </w:p>
        </w:tc>
        <w:tc>
          <w:tcPr>
            <w:tcW w:w="571" w:type="dxa"/>
          </w:tcPr>
          <w:p>
            <w:pPr>
              <w:pStyle w:val="TableParagraph"/>
              <w:rPr>
                <w:rFonts w:ascii="Times New Roman"/>
                <w:sz w:val="18"/>
              </w:rPr>
            </w:pPr>
          </w:p>
        </w:tc>
        <w:tc>
          <w:tcPr>
            <w:tcW w:w="259" w:type="dxa"/>
          </w:tcPr>
          <w:p>
            <w:pPr>
              <w:pStyle w:val="TableParagraph"/>
              <w:rPr>
                <w:rFonts w:ascii="Times New Roman"/>
                <w:sz w:val="18"/>
              </w:rPr>
            </w:pPr>
          </w:p>
        </w:tc>
        <w:tc>
          <w:tcPr>
            <w:tcW w:w="732" w:type="dxa"/>
          </w:tcPr>
          <w:p>
            <w:pPr>
              <w:pStyle w:val="TableParagraph"/>
              <w:rPr>
                <w:rFonts w:ascii="Times New Roman"/>
                <w:sz w:val="18"/>
              </w:rPr>
            </w:pPr>
          </w:p>
        </w:tc>
        <w:tc>
          <w:tcPr>
            <w:tcW w:w="259" w:type="dxa"/>
          </w:tcPr>
          <w:p>
            <w:pPr>
              <w:pStyle w:val="TableParagraph"/>
              <w:rPr>
                <w:rFonts w:ascii="Times New Roman"/>
                <w:sz w:val="18"/>
              </w:rPr>
            </w:pP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867" w:type="dxa"/>
          </w:tcPr>
          <w:p>
            <w:pPr>
              <w:pStyle w:val="TableParagraph"/>
              <w:rPr>
                <w:rFonts w:ascii="Times New Roman"/>
                <w:sz w:val="18"/>
              </w:rPr>
            </w:pPr>
          </w:p>
        </w:tc>
        <w:tc>
          <w:tcPr>
            <w:tcW w:w="605" w:type="dxa"/>
          </w:tcPr>
          <w:p>
            <w:pPr>
              <w:pStyle w:val="TableParagraph"/>
              <w:rPr>
                <w:rFonts w:ascii="Times New Roman"/>
                <w:sz w:val="18"/>
              </w:rPr>
            </w:pPr>
          </w:p>
        </w:tc>
        <w:tc>
          <w:tcPr>
            <w:tcW w:w="864" w:type="dxa"/>
          </w:tcPr>
          <w:p>
            <w:pPr>
              <w:pStyle w:val="TableParagraph"/>
              <w:rPr>
                <w:rFonts w:ascii="Times New Roman"/>
                <w:sz w:val="18"/>
              </w:rPr>
            </w:pPr>
          </w:p>
        </w:tc>
      </w:tr>
      <w:tr>
        <w:trPr>
          <w:trHeight w:val="1866" w:hRule="atLeast"/>
        </w:trPr>
        <w:tc>
          <w:tcPr>
            <w:tcW w:w="614" w:type="dxa"/>
          </w:tcPr>
          <w:p>
            <w:pPr>
              <w:pStyle w:val="TableParagraph"/>
              <w:spacing w:line="242" w:lineRule="auto"/>
              <w:ind w:left="107" w:right="134"/>
              <w:rPr>
                <w:sz w:val="18"/>
              </w:rPr>
            </w:pPr>
            <w:r>
              <w:rPr>
                <w:sz w:val="18"/>
              </w:rPr>
              <w:t>2．</w:t>
            </w:r>
            <w:r>
              <w:rPr>
                <w:spacing w:val="1"/>
                <w:sz w:val="18"/>
              </w:rPr>
              <w:t> </w:t>
            </w:r>
            <w:r>
              <w:rPr>
                <w:spacing w:val="-2"/>
                <w:sz w:val="18"/>
              </w:rPr>
              <w:t>盈余公积转增资本</w:t>
            </w:r>
          </w:p>
          <w:p>
            <w:pPr>
              <w:pStyle w:val="TableParagraph"/>
              <w:spacing w:line="242" w:lineRule="auto" w:before="1"/>
              <w:ind w:left="107" w:right="134"/>
              <w:rPr>
                <w:sz w:val="18"/>
              </w:rPr>
            </w:pPr>
            <w:r>
              <w:rPr>
                <w:spacing w:val="-2"/>
                <w:sz w:val="18"/>
              </w:rPr>
              <w:t>（或</w:t>
            </w:r>
            <w:r>
              <w:rPr>
                <w:sz w:val="18"/>
              </w:rPr>
              <w:t>股</w:t>
            </w:r>
          </w:p>
          <w:p>
            <w:pPr>
              <w:pStyle w:val="TableParagraph"/>
              <w:spacing w:line="213" w:lineRule="exact" w:before="2"/>
              <w:ind w:left="107"/>
              <w:rPr>
                <w:sz w:val="18"/>
              </w:rPr>
            </w:pPr>
            <w:r>
              <w:rPr>
                <w:sz w:val="18"/>
              </w:rPr>
              <w:t>本） </w:t>
            </w: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rPr>
                <w:rFonts w:ascii="Times New Roman"/>
                <w:sz w:val="18"/>
              </w:rPr>
            </w:pPr>
          </w:p>
        </w:tc>
        <w:tc>
          <w:tcPr>
            <w:tcW w:w="557" w:type="dxa"/>
          </w:tcPr>
          <w:p>
            <w:pPr>
              <w:pStyle w:val="TableParagraph"/>
              <w:rPr>
                <w:rFonts w:ascii="Times New Roman"/>
                <w:sz w:val="18"/>
              </w:rPr>
            </w:pPr>
          </w:p>
        </w:tc>
        <w:tc>
          <w:tcPr>
            <w:tcW w:w="571" w:type="dxa"/>
          </w:tcPr>
          <w:p>
            <w:pPr>
              <w:pStyle w:val="TableParagraph"/>
              <w:rPr>
                <w:rFonts w:ascii="Times New Roman"/>
                <w:sz w:val="18"/>
              </w:rPr>
            </w:pPr>
          </w:p>
        </w:tc>
        <w:tc>
          <w:tcPr>
            <w:tcW w:w="259" w:type="dxa"/>
          </w:tcPr>
          <w:p>
            <w:pPr>
              <w:pStyle w:val="TableParagraph"/>
              <w:rPr>
                <w:rFonts w:ascii="Times New Roman"/>
                <w:sz w:val="18"/>
              </w:rPr>
            </w:pPr>
          </w:p>
        </w:tc>
        <w:tc>
          <w:tcPr>
            <w:tcW w:w="732" w:type="dxa"/>
          </w:tcPr>
          <w:p>
            <w:pPr>
              <w:pStyle w:val="TableParagraph"/>
              <w:rPr>
                <w:rFonts w:ascii="Times New Roman"/>
                <w:sz w:val="18"/>
              </w:rPr>
            </w:pPr>
          </w:p>
        </w:tc>
        <w:tc>
          <w:tcPr>
            <w:tcW w:w="259" w:type="dxa"/>
          </w:tcPr>
          <w:p>
            <w:pPr>
              <w:pStyle w:val="TableParagraph"/>
              <w:rPr>
                <w:rFonts w:ascii="Times New Roman"/>
                <w:sz w:val="18"/>
              </w:rPr>
            </w:pP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867" w:type="dxa"/>
          </w:tcPr>
          <w:p>
            <w:pPr>
              <w:pStyle w:val="TableParagraph"/>
              <w:rPr>
                <w:rFonts w:ascii="Times New Roman"/>
                <w:sz w:val="18"/>
              </w:rPr>
            </w:pPr>
          </w:p>
        </w:tc>
        <w:tc>
          <w:tcPr>
            <w:tcW w:w="605" w:type="dxa"/>
          </w:tcPr>
          <w:p>
            <w:pPr>
              <w:pStyle w:val="TableParagraph"/>
              <w:rPr>
                <w:rFonts w:ascii="Times New Roman"/>
                <w:sz w:val="18"/>
              </w:rPr>
            </w:pPr>
          </w:p>
        </w:tc>
        <w:tc>
          <w:tcPr>
            <w:tcW w:w="864" w:type="dxa"/>
          </w:tcPr>
          <w:p>
            <w:pPr>
              <w:pStyle w:val="TableParagraph"/>
              <w:rPr>
                <w:rFonts w:ascii="Times New Roman"/>
                <w:sz w:val="18"/>
              </w:rPr>
            </w:pPr>
          </w:p>
        </w:tc>
      </w:tr>
      <w:tr>
        <w:trPr>
          <w:trHeight w:val="1166" w:hRule="atLeast"/>
        </w:trPr>
        <w:tc>
          <w:tcPr>
            <w:tcW w:w="614" w:type="dxa"/>
          </w:tcPr>
          <w:p>
            <w:pPr>
              <w:pStyle w:val="TableParagraph"/>
              <w:spacing w:line="242" w:lineRule="auto"/>
              <w:ind w:left="107" w:right="134"/>
              <w:rPr>
                <w:sz w:val="18"/>
              </w:rPr>
            </w:pPr>
            <w:r>
              <w:rPr>
                <w:sz w:val="18"/>
              </w:rPr>
              <w:t>3．</w:t>
            </w:r>
            <w:r>
              <w:rPr>
                <w:spacing w:val="1"/>
                <w:sz w:val="18"/>
              </w:rPr>
              <w:t> </w:t>
            </w:r>
            <w:r>
              <w:rPr>
                <w:spacing w:val="-2"/>
                <w:sz w:val="18"/>
              </w:rPr>
              <w:t>盈余</w:t>
            </w:r>
            <w:r>
              <w:rPr>
                <w:spacing w:val="-9"/>
                <w:sz w:val="18"/>
              </w:rPr>
              <w:t>公积</w:t>
            </w:r>
          </w:p>
          <w:p>
            <w:pPr>
              <w:pStyle w:val="TableParagraph"/>
              <w:spacing w:line="230" w:lineRule="atLeast"/>
              <w:ind w:left="107" w:right="44"/>
              <w:rPr>
                <w:sz w:val="18"/>
              </w:rPr>
            </w:pPr>
            <w:r>
              <w:rPr>
                <w:sz w:val="18"/>
              </w:rPr>
              <w:t>弥补</w:t>
            </w:r>
            <w:r>
              <w:rPr>
                <w:spacing w:val="-1"/>
                <w:sz w:val="18"/>
              </w:rPr>
              <w:t>亏损</w:t>
            </w:r>
            <w:r>
              <w:rPr>
                <w:sz w:val="18"/>
              </w:rPr>
              <w:t> </w:t>
            </w: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rPr>
                <w:rFonts w:ascii="Times New Roman"/>
                <w:sz w:val="18"/>
              </w:rPr>
            </w:pPr>
          </w:p>
        </w:tc>
        <w:tc>
          <w:tcPr>
            <w:tcW w:w="557" w:type="dxa"/>
          </w:tcPr>
          <w:p>
            <w:pPr>
              <w:pStyle w:val="TableParagraph"/>
              <w:rPr>
                <w:rFonts w:ascii="Times New Roman"/>
                <w:sz w:val="18"/>
              </w:rPr>
            </w:pPr>
          </w:p>
        </w:tc>
        <w:tc>
          <w:tcPr>
            <w:tcW w:w="571" w:type="dxa"/>
          </w:tcPr>
          <w:p>
            <w:pPr>
              <w:pStyle w:val="TableParagraph"/>
              <w:rPr>
                <w:rFonts w:ascii="Times New Roman"/>
                <w:sz w:val="18"/>
              </w:rPr>
            </w:pPr>
          </w:p>
        </w:tc>
        <w:tc>
          <w:tcPr>
            <w:tcW w:w="259" w:type="dxa"/>
          </w:tcPr>
          <w:p>
            <w:pPr>
              <w:pStyle w:val="TableParagraph"/>
              <w:rPr>
                <w:rFonts w:ascii="Times New Roman"/>
                <w:sz w:val="18"/>
              </w:rPr>
            </w:pPr>
          </w:p>
        </w:tc>
        <w:tc>
          <w:tcPr>
            <w:tcW w:w="732" w:type="dxa"/>
          </w:tcPr>
          <w:p>
            <w:pPr>
              <w:pStyle w:val="TableParagraph"/>
              <w:rPr>
                <w:rFonts w:ascii="Times New Roman"/>
                <w:sz w:val="18"/>
              </w:rPr>
            </w:pPr>
          </w:p>
        </w:tc>
        <w:tc>
          <w:tcPr>
            <w:tcW w:w="259" w:type="dxa"/>
          </w:tcPr>
          <w:p>
            <w:pPr>
              <w:pStyle w:val="TableParagraph"/>
              <w:rPr>
                <w:rFonts w:ascii="Times New Roman"/>
                <w:sz w:val="18"/>
              </w:rPr>
            </w:pP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867" w:type="dxa"/>
          </w:tcPr>
          <w:p>
            <w:pPr>
              <w:pStyle w:val="TableParagraph"/>
              <w:rPr>
                <w:rFonts w:ascii="Times New Roman"/>
                <w:sz w:val="18"/>
              </w:rPr>
            </w:pPr>
          </w:p>
        </w:tc>
        <w:tc>
          <w:tcPr>
            <w:tcW w:w="605" w:type="dxa"/>
          </w:tcPr>
          <w:p>
            <w:pPr>
              <w:pStyle w:val="TableParagraph"/>
              <w:rPr>
                <w:rFonts w:ascii="Times New Roman"/>
                <w:sz w:val="18"/>
              </w:rPr>
            </w:pPr>
          </w:p>
        </w:tc>
        <w:tc>
          <w:tcPr>
            <w:tcW w:w="864" w:type="dxa"/>
          </w:tcPr>
          <w:p>
            <w:pPr>
              <w:pStyle w:val="TableParagraph"/>
              <w:rPr>
                <w:rFonts w:ascii="Times New Roman"/>
                <w:sz w:val="18"/>
              </w:rPr>
            </w:pPr>
          </w:p>
        </w:tc>
      </w:tr>
      <w:tr>
        <w:trPr>
          <w:trHeight w:val="2102" w:hRule="atLeast"/>
        </w:trPr>
        <w:tc>
          <w:tcPr>
            <w:tcW w:w="614" w:type="dxa"/>
          </w:tcPr>
          <w:p>
            <w:pPr>
              <w:pStyle w:val="TableParagraph"/>
              <w:spacing w:line="242" w:lineRule="auto" w:before="2"/>
              <w:ind w:left="107" w:right="134"/>
              <w:rPr>
                <w:sz w:val="18"/>
              </w:rPr>
            </w:pPr>
            <w:r>
              <w:rPr>
                <w:sz w:val="18"/>
              </w:rPr>
              <w:t>4．</w:t>
            </w:r>
            <w:r>
              <w:rPr>
                <w:spacing w:val="1"/>
                <w:sz w:val="18"/>
              </w:rPr>
              <w:t> </w:t>
            </w:r>
            <w:r>
              <w:rPr>
                <w:spacing w:val="-2"/>
                <w:sz w:val="18"/>
              </w:rPr>
              <w:t>设定受益计划变动额结转留存收</w:t>
            </w:r>
          </w:p>
          <w:p>
            <w:pPr>
              <w:pStyle w:val="TableParagraph"/>
              <w:spacing w:line="213" w:lineRule="exact" w:before="4"/>
              <w:ind w:left="107"/>
              <w:rPr>
                <w:sz w:val="21"/>
              </w:rPr>
            </w:pPr>
            <w:r>
              <w:rPr>
                <w:sz w:val="18"/>
              </w:rPr>
              <w:t>益</w:t>
            </w:r>
            <w:r>
              <w:rPr>
                <w:w w:val="100"/>
                <w:sz w:val="21"/>
              </w:rPr>
              <w:t> </w:t>
            </w: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rPr>
                <w:rFonts w:ascii="Times New Roman"/>
                <w:sz w:val="18"/>
              </w:rPr>
            </w:pPr>
          </w:p>
        </w:tc>
        <w:tc>
          <w:tcPr>
            <w:tcW w:w="557" w:type="dxa"/>
          </w:tcPr>
          <w:p>
            <w:pPr>
              <w:pStyle w:val="TableParagraph"/>
              <w:rPr>
                <w:rFonts w:ascii="Times New Roman"/>
                <w:sz w:val="18"/>
              </w:rPr>
            </w:pPr>
          </w:p>
        </w:tc>
        <w:tc>
          <w:tcPr>
            <w:tcW w:w="571" w:type="dxa"/>
          </w:tcPr>
          <w:p>
            <w:pPr>
              <w:pStyle w:val="TableParagraph"/>
              <w:rPr>
                <w:rFonts w:ascii="Times New Roman"/>
                <w:sz w:val="18"/>
              </w:rPr>
            </w:pPr>
          </w:p>
        </w:tc>
        <w:tc>
          <w:tcPr>
            <w:tcW w:w="259" w:type="dxa"/>
          </w:tcPr>
          <w:p>
            <w:pPr>
              <w:pStyle w:val="TableParagraph"/>
              <w:rPr>
                <w:rFonts w:ascii="Times New Roman"/>
                <w:sz w:val="18"/>
              </w:rPr>
            </w:pPr>
          </w:p>
        </w:tc>
        <w:tc>
          <w:tcPr>
            <w:tcW w:w="732" w:type="dxa"/>
          </w:tcPr>
          <w:p>
            <w:pPr>
              <w:pStyle w:val="TableParagraph"/>
              <w:rPr>
                <w:rFonts w:ascii="Times New Roman"/>
                <w:sz w:val="18"/>
              </w:rPr>
            </w:pPr>
          </w:p>
        </w:tc>
        <w:tc>
          <w:tcPr>
            <w:tcW w:w="259" w:type="dxa"/>
          </w:tcPr>
          <w:p>
            <w:pPr>
              <w:pStyle w:val="TableParagraph"/>
              <w:rPr>
                <w:rFonts w:ascii="Times New Roman"/>
                <w:sz w:val="18"/>
              </w:rPr>
            </w:pP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867" w:type="dxa"/>
          </w:tcPr>
          <w:p>
            <w:pPr>
              <w:pStyle w:val="TableParagraph"/>
              <w:rPr>
                <w:rFonts w:ascii="Times New Roman"/>
                <w:sz w:val="18"/>
              </w:rPr>
            </w:pPr>
          </w:p>
        </w:tc>
        <w:tc>
          <w:tcPr>
            <w:tcW w:w="605" w:type="dxa"/>
          </w:tcPr>
          <w:p>
            <w:pPr>
              <w:pStyle w:val="TableParagraph"/>
              <w:rPr>
                <w:rFonts w:ascii="Times New Roman"/>
                <w:sz w:val="18"/>
              </w:rPr>
            </w:pPr>
          </w:p>
        </w:tc>
        <w:tc>
          <w:tcPr>
            <w:tcW w:w="864" w:type="dxa"/>
          </w:tcPr>
          <w:p>
            <w:pPr>
              <w:pStyle w:val="TableParagraph"/>
              <w:rPr>
                <w:rFonts w:ascii="Times New Roman"/>
                <w:sz w:val="18"/>
              </w:rPr>
            </w:pPr>
          </w:p>
        </w:tc>
      </w:tr>
      <w:tr>
        <w:trPr>
          <w:trHeight w:val="1634" w:hRule="atLeast"/>
        </w:trPr>
        <w:tc>
          <w:tcPr>
            <w:tcW w:w="614" w:type="dxa"/>
          </w:tcPr>
          <w:p>
            <w:pPr>
              <w:pStyle w:val="TableParagraph"/>
              <w:spacing w:line="242" w:lineRule="auto"/>
              <w:ind w:left="107" w:right="134"/>
              <w:rPr>
                <w:sz w:val="18"/>
              </w:rPr>
            </w:pPr>
            <w:r>
              <w:rPr>
                <w:sz w:val="18"/>
              </w:rPr>
              <w:t>5．</w:t>
            </w:r>
            <w:r>
              <w:rPr>
                <w:spacing w:val="1"/>
                <w:sz w:val="18"/>
              </w:rPr>
              <w:t> </w:t>
            </w:r>
            <w:r>
              <w:rPr>
                <w:spacing w:val="-2"/>
                <w:sz w:val="18"/>
              </w:rPr>
              <w:t>其他综合收益</w:t>
            </w:r>
            <w:r>
              <w:rPr>
                <w:spacing w:val="-9"/>
                <w:sz w:val="18"/>
              </w:rPr>
              <w:t>结转</w:t>
            </w:r>
          </w:p>
          <w:p>
            <w:pPr>
              <w:pStyle w:val="TableParagraph"/>
              <w:spacing w:line="230" w:lineRule="atLeast"/>
              <w:ind w:left="107" w:right="44"/>
              <w:rPr>
                <w:sz w:val="18"/>
              </w:rPr>
            </w:pPr>
            <w:r>
              <w:rPr>
                <w:sz w:val="18"/>
              </w:rPr>
              <w:t>留存</w:t>
            </w:r>
            <w:r>
              <w:rPr>
                <w:spacing w:val="-1"/>
                <w:sz w:val="18"/>
              </w:rPr>
              <w:t>收益</w:t>
            </w:r>
            <w:r>
              <w:rPr>
                <w:sz w:val="18"/>
              </w:rPr>
              <w:t> </w:t>
            </w: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rPr>
                <w:rFonts w:ascii="Times New Roman"/>
                <w:sz w:val="18"/>
              </w:rPr>
            </w:pPr>
          </w:p>
        </w:tc>
        <w:tc>
          <w:tcPr>
            <w:tcW w:w="557" w:type="dxa"/>
          </w:tcPr>
          <w:p>
            <w:pPr>
              <w:pStyle w:val="TableParagraph"/>
              <w:rPr>
                <w:rFonts w:ascii="Times New Roman"/>
                <w:sz w:val="18"/>
              </w:rPr>
            </w:pPr>
          </w:p>
        </w:tc>
        <w:tc>
          <w:tcPr>
            <w:tcW w:w="571" w:type="dxa"/>
          </w:tcPr>
          <w:p>
            <w:pPr>
              <w:pStyle w:val="TableParagraph"/>
              <w:rPr>
                <w:rFonts w:ascii="Times New Roman"/>
                <w:sz w:val="18"/>
              </w:rPr>
            </w:pPr>
          </w:p>
        </w:tc>
        <w:tc>
          <w:tcPr>
            <w:tcW w:w="259" w:type="dxa"/>
          </w:tcPr>
          <w:p>
            <w:pPr>
              <w:pStyle w:val="TableParagraph"/>
              <w:rPr>
                <w:rFonts w:ascii="Times New Roman"/>
                <w:sz w:val="18"/>
              </w:rPr>
            </w:pPr>
          </w:p>
        </w:tc>
        <w:tc>
          <w:tcPr>
            <w:tcW w:w="732" w:type="dxa"/>
          </w:tcPr>
          <w:p>
            <w:pPr>
              <w:pStyle w:val="TableParagraph"/>
              <w:rPr>
                <w:rFonts w:ascii="Times New Roman"/>
                <w:sz w:val="18"/>
              </w:rPr>
            </w:pPr>
          </w:p>
        </w:tc>
        <w:tc>
          <w:tcPr>
            <w:tcW w:w="259" w:type="dxa"/>
          </w:tcPr>
          <w:p>
            <w:pPr>
              <w:pStyle w:val="TableParagraph"/>
              <w:rPr>
                <w:rFonts w:ascii="Times New Roman"/>
                <w:sz w:val="18"/>
              </w:rPr>
            </w:pP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867" w:type="dxa"/>
          </w:tcPr>
          <w:p>
            <w:pPr>
              <w:pStyle w:val="TableParagraph"/>
              <w:rPr>
                <w:rFonts w:ascii="Times New Roman"/>
                <w:sz w:val="18"/>
              </w:rPr>
            </w:pPr>
          </w:p>
        </w:tc>
        <w:tc>
          <w:tcPr>
            <w:tcW w:w="605" w:type="dxa"/>
          </w:tcPr>
          <w:p>
            <w:pPr>
              <w:pStyle w:val="TableParagraph"/>
              <w:rPr>
                <w:rFonts w:ascii="Times New Roman"/>
                <w:sz w:val="18"/>
              </w:rPr>
            </w:pPr>
          </w:p>
        </w:tc>
        <w:tc>
          <w:tcPr>
            <w:tcW w:w="864" w:type="dxa"/>
          </w:tcPr>
          <w:p>
            <w:pPr>
              <w:pStyle w:val="TableParagraph"/>
              <w:rPr>
                <w:rFonts w:ascii="Times New Roman"/>
                <w:sz w:val="18"/>
              </w:rPr>
            </w:pPr>
          </w:p>
        </w:tc>
      </w:tr>
      <w:tr>
        <w:trPr>
          <w:trHeight w:val="467" w:hRule="atLeast"/>
        </w:trPr>
        <w:tc>
          <w:tcPr>
            <w:tcW w:w="614" w:type="dxa"/>
          </w:tcPr>
          <w:p>
            <w:pPr>
              <w:pStyle w:val="TableParagraph"/>
              <w:ind w:left="107"/>
              <w:rPr>
                <w:sz w:val="18"/>
              </w:rPr>
            </w:pPr>
            <w:r>
              <w:rPr>
                <w:sz w:val="18"/>
              </w:rPr>
              <w:t>6．</w:t>
            </w:r>
          </w:p>
          <w:p>
            <w:pPr>
              <w:pStyle w:val="TableParagraph"/>
              <w:spacing w:line="213" w:lineRule="exact" w:before="4"/>
              <w:ind w:left="107"/>
              <w:rPr>
                <w:sz w:val="18"/>
              </w:rPr>
            </w:pPr>
            <w:r>
              <w:rPr>
                <w:sz w:val="18"/>
              </w:rPr>
              <w:t>其他 </w:t>
            </w: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rPr>
                <w:rFonts w:ascii="Times New Roman"/>
                <w:sz w:val="18"/>
              </w:rPr>
            </w:pPr>
          </w:p>
        </w:tc>
        <w:tc>
          <w:tcPr>
            <w:tcW w:w="557" w:type="dxa"/>
          </w:tcPr>
          <w:p>
            <w:pPr>
              <w:pStyle w:val="TableParagraph"/>
              <w:rPr>
                <w:rFonts w:ascii="Times New Roman"/>
                <w:sz w:val="18"/>
              </w:rPr>
            </w:pPr>
          </w:p>
        </w:tc>
        <w:tc>
          <w:tcPr>
            <w:tcW w:w="571" w:type="dxa"/>
          </w:tcPr>
          <w:p>
            <w:pPr>
              <w:pStyle w:val="TableParagraph"/>
              <w:rPr>
                <w:rFonts w:ascii="Times New Roman"/>
                <w:sz w:val="18"/>
              </w:rPr>
            </w:pPr>
          </w:p>
        </w:tc>
        <w:tc>
          <w:tcPr>
            <w:tcW w:w="259" w:type="dxa"/>
          </w:tcPr>
          <w:p>
            <w:pPr>
              <w:pStyle w:val="TableParagraph"/>
              <w:rPr>
                <w:rFonts w:ascii="Times New Roman"/>
                <w:sz w:val="18"/>
              </w:rPr>
            </w:pPr>
          </w:p>
        </w:tc>
        <w:tc>
          <w:tcPr>
            <w:tcW w:w="732" w:type="dxa"/>
          </w:tcPr>
          <w:p>
            <w:pPr>
              <w:pStyle w:val="TableParagraph"/>
              <w:rPr>
                <w:rFonts w:ascii="Times New Roman"/>
                <w:sz w:val="18"/>
              </w:rPr>
            </w:pPr>
          </w:p>
        </w:tc>
        <w:tc>
          <w:tcPr>
            <w:tcW w:w="259" w:type="dxa"/>
          </w:tcPr>
          <w:p>
            <w:pPr>
              <w:pStyle w:val="TableParagraph"/>
              <w:rPr>
                <w:rFonts w:ascii="Times New Roman"/>
                <w:sz w:val="18"/>
              </w:rPr>
            </w:pP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867" w:type="dxa"/>
          </w:tcPr>
          <w:p>
            <w:pPr>
              <w:pStyle w:val="TableParagraph"/>
              <w:rPr>
                <w:rFonts w:ascii="Times New Roman"/>
                <w:sz w:val="18"/>
              </w:rPr>
            </w:pPr>
          </w:p>
        </w:tc>
        <w:tc>
          <w:tcPr>
            <w:tcW w:w="605" w:type="dxa"/>
          </w:tcPr>
          <w:p>
            <w:pPr>
              <w:pStyle w:val="TableParagraph"/>
              <w:rPr>
                <w:rFonts w:ascii="Times New Roman"/>
                <w:sz w:val="18"/>
              </w:rPr>
            </w:pPr>
          </w:p>
        </w:tc>
        <w:tc>
          <w:tcPr>
            <w:tcW w:w="864" w:type="dxa"/>
          </w:tcPr>
          <w:p>
            <w:pPr>
              <w:pStyle w:val="TableParagraph"/>
              <w:rPr>
                <w:rFonts w:ascii="Times New Roman"/>
                <w:sz w:val="18"/>
              </w:rPr>
            </w:pPr>
          </w:p>
        </w:tc>
      </w:tr>
      <w:tr>
        <w:trPr>
          <w:trHeight w:val="933" w:hRule="atLeast"/>
        </w:trPr>
        <w:tc>
          <w:tcPr>
            <w:tcW w:w="614" w:type="dxa"/>
          </w:tcPr>
          <w:p>
            <w:pPr>
              <w:pStyle w:val="TableParagraph"/>
              <w:spacing w:line="230" w:lineRule="exact"/>
              <w:ind w:left="107"/>
              <w:rPr>
                <w:sz w:val="18"/>
              </w:rPr>
            </w:pPr>
            <w:r>
              <w:rPr>
                <w:sz w:val="18"/>
              </w:rPr>
              <w:t>（五</w:t>
            </w:r>
          </w:p>
          <w:p>
            <w:pPr>
              <w:pStyle w:val="TableParagraph"/>
              <w:spacing w:line="242" w:lineRule="auto" w:before="2"/>
              <w:ind w:left="107" w:right="134"/>
              <w:rPr>
                <w:sz w:val="18"/>
              </w:rPr>
            </w:pPr>
            <w:r>
              <w:rPr>
                <w:spacing w:val="-2"/>
                <w:sz w:val="18"/>
              </w:rPr>
              <w:t>）专</w:t>
            </w:r>
            <w:r>
              <w:rPr>
                <w:spacing w:val="-9"/>
                <w:sz w:val="18"/>
              </w:rPr>
              <w:t>项储</w:t>
            </w:r>
          </w:p>
          <w:p>
            <w:pPr>
              <w:pStyle w:val="TableParagraph"/>
              <w:spacing w:line="213" w:lineRule="exact" w:before="2"/>
              <w:ind w:left="107"/>
              <w:rPr>
                <w:sz w:val="18"/>
              </w:rPr>
            </w:pPr>
            <w:r>
              <w:rPr>
                <w:sz w:val="18"/>
              </w:rPr>
              <w:t>备 </w:t>
            </w: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rPr>
                <w:rFonts w:ascii="Times New Roman"/>
                <w:sz w:val="18"/>
              </w:rPr>
            </w:pPr>
          </w:p>
        </w:tc>
        <w:tc>
          <w:tcPr>
            <w:tcW w:w="557" w:type="dxa"/>
          </w:tcPr>
          <w:p>
            <w:pPr>
              <w:pStyle w:val="TableParagraph"/>
              <w:rPr>
                <w:rFonts w:ascii="Times New Roman"/>
                <w:sz w:val="18"/>
              </w:rPr>
            </w:pPr>
          </w:p>
        </w:tc>
        <w:tc>
          <w:tcPr>
            <w:tcW w:w="571" w:type="dxa"/>
          </w:tcPr>
          <w:p>
            <w:pPr>
              <w:pStyle w:val="TableParagraph"/>
              <w:rPr>
                <w:rFonts w:ascii="Times New Roman"/>
                <w:sz w:val="18"/>
              </w:rPr>
            </w:pPr>
          </w:p>
        </w:tc>
        <w:tc>
          <w:tcPr>
            <w:tcW w:w="259" w:type="dxa"/>
          </w:tcPr>
          <w:p>
            <w:pPr>
              <w:pStyle w:val="TableParagraph"/>
              <w:rPr>
                <w:rFonts w:ascii="Times New Roman"/>
                <w:sz w:val="18"/>
              </w:rPr>
            </w:pPr>
          </w:p>
        </w:tc>
        <w:tc>
          <w:tcPr>
            <w:tcW w:w="732" w:type="dxa"/>
          </w:tcPr>
          <w:p>
            <w:pPr>
              <w:pStyle w:val="TableParagraph"/>
              <w:rPr>
                <w:rFonts w:ascii="Times New Roman"/>
                <w:sz w:val="18"/>
              </w:rPr>
            </w:pPr>
          </w:p>
        </w:tc>
        <w:tc>
          <w:tcPr>
            <w:tcW w:w="259" w:type="dxa"/>
          </w:tcPr>
          <w:p>
            <w:pPr>
              <w:pStyle w:val="TableParagraph"/>
              <w:rPr>
                <w:rFonts w:ascii="Times New Roman"/>
                <w:sz w:val="18"/>
              </w:rPr>
            </w:pP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867" w:type="dxa"/>
          </w:tcPr>
          <w:p>
            <w:pPr>
              <w:pStyle w:val="TableParagraph"/>
              <w:rPr>
                <w:rFonts w:ascii="Times New Roman"/>
                <w:sz w:val="18"/>
              </w:rPr>
            </w:pPr>
          </w:p>
        </w:tc>
        <w:tc>
          <w:tcPr>
            <w:tcW w:w="605" w:type="dxa"/>
          </w:tcPr>
          <w:p>
            <w:pPr>
              <w:pStyle w:val="TableParagraph"/>
              <w:rPr>
                <w:rFonts w:ascii="Times New Roman"/>
                <w:sz w:val="18"/>
              </w:rPr>
            </w:pPr>
          </w:p>
        </w:tc>
        <w:tc>
          <w:tcPr>
            <w:tcW w:w="864" w:type="dxa"/>
          </w:tcPr>
          <w:p>
            <w:pPr>
              <w:pStyle w:val="TableParagraph"/>
              <w:rPr>
                <w:rFonts w:ascii="Times New Roman"/>
                <w:sz w:val="18"/>
              </w:rPr>
            </w:pPr>
          </w:p>
        </w:tc>
      </w:tr>
      <w:tr>
        <w:trPr>
          <w:trHeight w:val="700" w:hRule="atLeast"/>
        </w:trPr>
        <w:tc>
          <w:tcPr>
            <w:tcW w:w="614" w:type="dxa"/>
          </w:tcPr>
          <w:p>
            <w:pPr>
              <w:pStyle w:val="TableParagraph"/>
              <w:spacing w:line="242" w:lineRule="auto"/>
              <w:ind w:left="107" w:right="134"/>
              <w:rPr>
                <w:sz w:val="18"/>
              </w:rPr>
            </w:pPr>
            <w:r>
              <w:rPr>
                <w:sz w:val="18"/>
              </w:rPr>
              <w:t>1．</w:t>
            </w:r>
            <w:r>
              <w:rPr>
                <w:spacing w:val="1"/>
                <w:sz w:val="18"/>
              </w:rPr>
              <w:t> </w:t>
            </w:r>
            <w:r>
              <w:rPr>
                <w:spacing w:val="-9"/>
                <w:sz w:val="18"/>
              </w:rPr>
              <w:t>本期</w:t>
            </w:r>
          </w:p>
          <w:p>
            <w:pPr>
              <w:pStyle w:val="TableParagraph"/>
              <w:spacing w:line="213" w:lineRule="exact" w:before="2"/>
              <w:ind w:left="107"/>
              <w:rPr>
                <w:sz w:val="18"/>
              </w:rPr>
            </w:pPr>
            <w:r>
              <w:rPr>
                <w:spacing w:val="-1"/>
                <w:sz w:val="18"/>
              </w:rPr>
              <w:t>提取</w:t>
            </w:r>
            <w:r>
              <w:rPr>
                <w:sz w:val="18"/>
              </w:rPr>
              <w:t> </w:t>
            </w: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rPr>
                <w:rFonts w:ascii="Times New Roman"/>
                <w:sz w:val="18"/>
              </w:rPr>
            </w:pPr>
          </w:p>
        </w:tc>
        <w:tc>
          <w:tcPr>
            <w:tcW w:w="557" w:type="dxa"/>
          </w:tcPr>
          <w:p>
            <w:pPr>
              <w:pStyle w:val="TableParagraph"/>
              <w:rPr>
                <w:rFonts w:ascii="Times New Roman"/>
                <w:sz w:val="18"/>
              </w:rPr>
            </w:pPr>
          </w:p>
        </w:tc>
        <w:tc>
          <w:tcPr>
            <w:tcW w:w="571" w:type="dxa"/>
          </w:tcPr>
          <w:p>
            <w:pPr>
              <w:pStyle w:val="TableParagraph"/>
              <w:rPr>
                <w:rFonts w:ascii="Times New Roman"/>
                <w:sz w:val="18"/>
              </w:rPr>
            </w:pPr>
          </w:p>
        </w:tc>
        <w:tc>
          <w:tcPr>
            <w:tcW w:w="259" w:type="dxa"/>
          </w:tcPr>
          <w:p>
            <w:pPr>
              <w:pStyle w:val="TableParagraph"/>
              <w:rPr>
                <w:rFonts w:ascii="Times New Roman"/>
                <w:sz w:val="18"/>
              </w:rPr>
            </w:pPr>
          </w:p>
        </w:tc>
        <w:tc>
          <w:tcPr>
            <w:tcW w:w="732" w:type="dxa"/>
          </w:tcPr>
          <w:p>
            <w:pPr>
              <w:pStyle w:val="TableParagraph"/>
              <w:rPr>
                <w:rFonts w:ascii="Times New Roman"/>
                <w:sz w:val="18"/>
              </w:rPr>
            </w:pPr>
          </w:p>
        </w:tc>
        <w:tc>
          <w:tcPr>
            <w:tcW w:w="259" w:type="dxa"/>
          </w:tcPr>
          <w:p>
            <w:pPr>
              <w:pStyle w:val="TableParagraph"/>
              <w:rPr>
                <w:rFonts w:ascii="Times New Roman"/>
                <w:sz w:val="18"/>
              </w:rPr>
            </w:pP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867" w:type="dxa"/>
          </w:tcPr>
          <w:p>
            <w:pPr>
              <w:pStyle w:val="TableParagraph"/>
              <w:rPr>
                <w:rFonts w:ascii="Times New Roman"/>
                <w:sz w:val="18"/>
              </w:rPr>
            </w:pPr>
          </w:p>
        </w:tc>
        <w:tc>
          <w:tcPr>
            <w:tcW w:w="605" w:type="dxa"/>
          </w:tcPr>
          <w:p>
            <w:pPr>
              <w:pStyle w:val="TableParagraph"/>
              <w:rPr>
                <w:rFonts w:ascii="Times New Roman"/>
                <w:sz w:val="18"/>
              </w:rPr>
            </w:pPr>
          </w:p>
        </w:tc>
        <w:tc>
          <w:tcPr>
            <w:tcW w:w="864" w:type="dxa"/>
          </w:tcPr>
          <w:p>
            <w:pPr>
              <w:pStyle w:val="TableParagraph"/>
              <w:rPr>
                <w:rFonts w:ascii="Times New Roman"/>
                <w:sz w:val="18"/>
              </w:rPr>
            </w:pPr>
          </w:p>
        </w:tc>
      </w:tr>
      <w:tr>
        <w:trPr>
          <w:trHeight w:val="701" w:hRule="atLeast"/>
        </w:trPr>
        <w:tc>
          <w:tcPr>
            <w:tcW w:w="614" w:type="dxa"/>
          </w:tcPr>
          <w:p>
            <w:pPr>
              <w:pStyle w:val="TableParagraph"/>
              <w:spacing w:line="242" w:lineRule="auto"/>
              <w:ind w:left="107" w:right="134"/>
              <w:rPr>
                <w:sz w:val="18"/>
              </w:rPr>
            </w:pPr>
            <w:r>
              <w:rPr>
                <w:sz w:val="18"/>
              </w:rPr>
              <w:t>2．</w:t>
            </w:r>
            <w:r>
              <w:rPr>
                <w:spacing w:val="1"/>
                <w:sz w:val="18"/>
              </w:rPr>
              <w:t> </w:t>
            </w:r>
            <w:r>
              <w:rPr>
                <w:spacing w:val="-9"/>
                <w:sz w:val="18"/>
              </w:rPr>
              <w:t>本期</w:t>
            </w:r>
          </w:p>
          <w:p>
            <w:pPr>
              <w:pStyle w:val="TableParagraph"/>
              <w:spacing w:line="213" w:lineRule="exact" w:before="2"/>
              <w:ind w:left="107"/>
              <w:rPr>
                <w:sz w:val="18"/>
              </w:rPr>
            </w:pPr>
            <w:r>
              <w:rPr>
                <w:spacing w:val="-1"/>
                <w:sz w:val="18"/>
              </w:rPr>
              <w:t>使用</w:t>
            </w:r>
            <w:r>
              <w:rPr>
                <w:sz w:val="18"/>
              </w:rPr>
              <w:t> </w:t>
            </w: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rPr>
                <w:rFonts w:ascii="Times New Roman"/>
                <w:sz w:val="18"/>
              </w:rPr>
            </w:pPr>
          </w:p>
        </w:tc>
        <w:tc>
          <w:tcPr>
            <w:tcW w:w="557" w:type="dxa"/>
          </w:tcPr>
          <w:p>
            <w:pPr>
              <w:pStyle w:val="TableParagraph"/>
              <w:rPr>
                <w:rFonts w:ascii="Times New Roman"/>
                <w:sz w:val="18"/>
              </w:rPr>
            </w:pPr>
          </w:p>
        </w:tc>
        <w:tc>
          <w:tcPr>
            <w:tcW w:w="571" w:type="dxa"/>
          </w:tcPr>
          <w:p>
            <w:pPr>
              <w:pStyle w:val="TableParagraph"/>
              <w:rPr>
                <w:rFonts w:ascii="Times New Roman"/>
                <w:sz w:val="18"/>
              </w:rPr>
            </w:pPr>
          </w:p>
        </w:tc>
        <w:tc>
          <w:tcPr>
            <w:tcW w:w="259" w:type="dxa"/>
          </w:tcPr>
          <w:p>
            <w:pPr>
              <w:pStyle w:val="TableParagraph"/>
              <w:rPr>
                <w:rFonts w:ascii="Times New Roman"/>
                <w:sz w:val="18"/>
              </w:rPr>
            </w:pPr>
          </w:p>
        </w:tc>
        <w:tc>
          <w:tcPr>
            <w:tcW w:w="732" w:type="dxa"/>
          </w:tcPr>
          <w:p>
            <w:pPr>
              <w:pStyle w:val="TableParagraph"/>
              <w:rPr>
                <w:rFonts w:ascii="Times New Roman"/>
                <w:sz w:val="18"/>
              </w:rPr>
            </w:pPr>
          </w:p>
        </w:tc>
        <w:tc>
          <w:tcPr>
            <w:tcW w:w="259" w:type="dxa"/>
          </w:tcPr>
          <w:p>
            <w:pPr>
              <w:pStyle w:val="TableParagraph"/>
              <w:rPr>
                <w:rFonts w:ascii="Times New Roman"/>
                <w:sz w:val="18"/>
              </w:rPr>
            </w:pP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867" w:type="dxa"/>
          </w:tcPr>
          <w:p>
            <w:pPr>
              <w:pStyle w:val="TableParagraph"/>
              <w:rPr>
                <w:rFonts w:ascii="Times New Roman"/>
                <w:sz w:val="18"/>
              </w:rPr>
            </w:pPr>
          </w:p>
        </w:tc>
        <w:tc>
          <w:tcPr>
            <w:tcW w:w="605" w:type="dxa"/>
          </w:tcPr>
          <w:p>
            <w:pPr>
              <w:pStyle w:val="TableParagraph"/>
              <w:rPr>
                <w:rFonts w:ascii="Times New Roman"/>
                <w:sz w:val="18"/>
              </w:rPr>
            </w:pPr>
          </w:p>
        </w:tc>
        <w:tc>
          <w:tcPr>
            <w:tcW w:w="864" w:type="dxa"/>
          </w:tcPr>
          <w:p>
            <w:pPr>
              <w:pStyle w:val="TableParagraph"/>
              <w:rPr>
                <w:rFonts w:ascii="Times New Roman"/>
                <w:sz w:val="18"/>
              </w:rPr>
            </w:pPr>
          </w:p>
        </w:tc>
      </w:tr>
      <w:tr>
        <w:trPr>
          <w:trHeight w:val="700" w:hRule="atLeast"/>
        </w:trPr>
        <w:tc>
          <w:tcPr>
            <w:tcW w:w="614" w:type="dxa"/>
          </w:tcPr>
          <w:p>
            <w:pPr>
              <w:pStyle w:val="TableParagraph"/>
              <w:spacing w:line="230" w:lineRule="exact"/>
              <w:ind w:left="107"/>
              <w:rPr>
                <w:sz w:val="18"/>
              </w:rPr>
            </w:pPr>
            <w:r>
              <w:rPr>
                <w:sz w:val="18"/>
              </w:rPr>
              <w:t>（六</w:t>
            </w:r>
          </w:p>
          <w:p>
            <w:pPr>
              <w:pStyle w:val="TableParagraph"/>
              <w:spacing w:before="2"/>
              <w:ind w:left="107"/>
              <w:rPr>
                <w:sz w:val="18"/>
              </w:rPr>
            </w:pPr>
            <w:r>
              <w:rPr>
                <w:sz w:val="18"/>
              </w:rPr>
              <w:t>）其</w:t>
            </w:r>
          </w:p>
          <w:p>
            <w:pPr>
              <w:pStyle w:val="TableParagraph"/>
              <w:spacing w:line="213" w:lineRule="exact" w:before="4"/>
              <w:ind w:left="107"/>
              <w:rPr>
                <w:sz w:val="18"/>
              </w:rPr>
            </w:pPr>
            <w:r>
              <w:rPr>
                <w:sz w:val="18"/>
              </w:rPr>
              <w:t>他 </w:t>
            </w: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rPr>
                <w:rFonts w:ascii="Times New Roman"/>
                <w:sz w:val="18"/>
              </w:rPr>
            </w:pPr>
          </w:p>
        </w:tc>
        <w:tc>
          <w:tcPr>
            <w:tcW w:w="557" w:type="dxa"/>
          </w:tcPr>
          <w:p>
            <w:pPr>
              <w:pStyle w:val="TableParagraph"/>
              <w:rPr>
                <w:rFonts w:ascii="Times New Roman"/>
                <w:sz w:val="18"/>
              </w:rPr>
            </w:pPr>
          </w:p>
        </w:tc>
        <w:tc>
          <w:tcPr>
            <w:tcW w:w="571" w:type="dxa"/>
          </w:tcPr>
          <w:p>
            <w:pPr>
              <w:pStyle w:val="TableParagraph"/>
              <w:rPr>
                <w:rFonts w:ascii="Times New Roman"/>
                <w:sz w:val="18"/>
              </w:rPr>
            </w:pPr>
          </w:p>
        </w:tc>
        <w:tc>
          <w:tcPr>
            <w:tcW w:w="259" w:type="dxa"/>
          </w:tcPr>
          <w:p>
            <w:pPr>
              <w:pStyle w:val="TableParagraph"/>
              <w:rPr>
                <w:rFonts w:ascii="Times New Roman"/>
                <w:sz w:val="18"/>
              </w:rPr>
            </w:pPr>
          </w:p>
        </w:tc>
        <w:tc>
          <w:tcPr>
            <w:tcW w:w="732" w:type="dxa"/>
          </w:tcPr>
          <w:p>
            <w:pPr>
              <w:pStyle w:val="TableParagraph"/>
              <w:rPr>
                <w:rFonts w:ascii="Times New Roman"/>
                <w:sz w:val="18"/>
              </w:rPr>
            </w:pPr>
          </w:p>
        </w:tc>
        <w:tc>
          <w:tcPr>
            <w:tcW w:w="259" w:type="dxa"/>
          </w:tcPr>
          <w:p>
            <w:pPr>
              <w:pStyle w:val="TableParagraph"/>
              <w:rPr>
                <w:rFonts w:ascii="Times New Roman"/>
                <w:sz w:val="18"/>
              </w:rPr>
            </w:pPr>
          </w:p>
        </w:tc>
        <w:tc>
          <w:tcPr>
            <w:tcW w:w="801" w:type="dxa"/>
          </w:tcPr>
          <w:p>
            <w:pPr>
              <w:pStyle w:val="TableParagraph"/>
              <w:rPr>
                <w:rFonts w:ascii="Times New Roman"/>
                <w:sz w:val="18"/>
              </w:rPr>
            </w:pPr>
          </w:p>
        </w:tc>
        <w:tc>
          <w:tcPr>
            <w:tcW w:w="259" w:type="dxa"/>
          </w:tcPr>
          <w:p>
            <w:pPr>
              <w:pStyle w:val="TableParagraph"/>
              <w:rPr>
                <w:rFonts w:ascii="Times New Roman"/>
                <w:sz w:val="18"/>
              </w:rPr>
            </w:pPr>
          </w:p>
        </w:tc>
        <w:tc>
          <w:tcPr>
            <w:tcW w:w="867" w:type="dxa"/>
          </w:tcPr>
          <w:p>
            <w:pPr>
              <w:pStyle w:val="TableParagraph"/>
              <w:rPr>
                <w:rFonts w:ascii="Times New Roman"/>
                <w:sz w:val="18"/>
              </w:rPr>
            </w:pPr>
          </w:p>
        </w:tc>
        <w:tc>
          <w:tcPr>
            <w:tcW w:w="605" w:type="dxa"/>
          </w:tcPr>
          <w:p>
            <w:pPr>
              <w:pStyle w:val="TableParagraph"/>
              <w:rPr>
                <w:rFonts w:ascii="Times New Roman"/>
                <w:sz w:val="18"/>
              </w:rPr>
            </w:pPr>
          </w:p>
        </w:tc>
        <w:tc>
          <w:tcPr>
            <w:tcW w:w="864" w:type="dxa"/>
          </w:tcPr>
          <w:p>
            <w:pPr>
              <w:pStyle w:val="TableParagraph"/>
              <w:rPr>
                <w:rFonts w:ascii="Times New Roman"/>
                <w:sz w:val="18"/>
              </w:rPr>
            </w:pPr>
          </w:p>
        </w:tc>
      </w:tr>
      <w:tr>
        <w:trPr>
          <w:trHeight w:val="966" w:hRule="atLeast"/>
        </w:trPr>
        <w:tc>
          <w:tcPr>
            <w:tcW w:w="614" w:type="dxa"/>
          </w:tcPr>
          <w:p>
            <w:pPr>
              <w:pStyle w:val="TableParagraph"/>
              <w:spacing w:line="242" w:lineRule="auto"/>
              <w:ind w:left="107" w:right="44"/>
              <w:jc w:val="both"/>
              <w:rPr>
                <w:sz w:val="18"/>
              </w:rPr>
            </w:pPr>
            <w:r>
              <w:rPr>
                <w:sz w:val="18"/>
              </w:rPr>
              <w:t>四、本期期末余额 </w:t>
            </w:r>
          </w:p>
        </w:tc>
        <w:tc>
          <w:tcPr>
            <w:tcW w:w="801" w:type="dxa"/>
          </w:tcPr>
          <w:p>
            <w:pPr>
              <w:pStyle w:val="TableParagraph"/>
              <w:spacing w:before="5"/>
              <w:rPr>
                <w:sz w:val="18"/>
              </w:rPr>
            </w:pPr>
          </w:p>
          <w:p>
            <w:pPr>
              <w:pStyle w:val="TableParagraph"/>
              <w:spacing w:line="241" w:lineRule="exact"/>
              <w:ind w:right="92"/>
              <w:jc w:val="right"/>
              <w:rPr>
                <w:rFonts w:ascii="Times New Roman"/>
                <w:sz w:val="21"/>
              </w:rPr>
            </w:pPr>
            <w:r>
              <w:rPr>
                <w:rFonts w:ascii="Times New Roman"/>
                <w:sz w:val="21"/>
              </w:rPr>
              <w:t>19,859</w:t>
            </w:r>
          </w:p>
          <w:p>
            <w:pPr>
              <w:pStyle w:val="TableParagraph"/>
              <w:spacing w:line="241" w:lineRule="exact"/>
              <w:ind w:right="92"/>
              <w:jc w:val="right"/>
              <w:rPr>
                <w:rFonts w:ascii="Times New Roman"/>
                <w:sz w:val="21"/>
              </w:rPr>
            </w:pPr>
            <w:r>
              <w:rPr>
                <w:rFonts w:ascii="Times New Roman"/>
                <w:sz w:val="21"/>
              </w:rPr>
              <w:t>,593</w:t>
            </w:r>
          </w:p>
        </w:tc>
        <w:tc>
          <w:tcPr>
            <w:tcW w:w="259" w:type="dxa"/>
          </w:tcPr>
          <w:p>
            <w:pPr>
              <w:pStyle w:val="TableParagraph"/>
              <w:rPr>
                <w:rFonts w:ascii="Times New Roman"/>
                <w:sz w:val="18"/>
              </w:rPr>
            </w:pPr>
          </w:p>
        </w:tc>
        <w:tc>
          <w:tcPr>
            <w:tcW w:w="257" w:type="dxa"/>
          </w:tcPr>
          <w:p>
            <w:pPr>
              <w:pStyle w:val="TableParagraph"/>
              <w:rPr>
                <w:rFonts w:ascii="Times New Roman"/>
                <w:sz w:val="18"/>
              </w:rPr>
            </w:pPr>
          </w:p>
        </w:tc>
        <w:tc>
          <w:tcPr>
            <w:tcW w:w="260" w:type="dxa"/>
          </w:tcPr>
          <w:p>
            <w:pPr>
              <w:pStyle w:val="TableParagraph"/>
              <w:rPr>
                <w:rFonts w:ascii="Times New Roman"/>
                <w:sz w:val="18"/>
              </w:rPr>
            </w:pPr>
          </w:p>
        </w:tc>
        <w:tc>
          <w:tcPr>
            <w:tcW w:w="857" w:type="dxa"/>
          </w:tcPr>
          <w:p>
            <w:pPr>
              <w:pStyle w:val="TableParagraph"/>
              <w:spacing w:before="5"/>
              <w:rPr>
                <w:sz w:val="18"/>
              </w:rPr>
            </w:pPr>
          </w:p>
          <w:p>
            <w:pPr>
              <w:pStyle w:val="TableParagraph"/>
              <w:spacing w:line="241" w:lineRule="exact"/>
              <w:ind w:right="93"/>
              <w:jc w:val="right"/>
              <w:rPr>
                <w:rFonts w:ascii="Times New Roman"/>
                <w:sz w:val="21"/>
              </w:rPr>
            </w:pPr>
            <w:r>
              <w:rPr>
                <w:rFonts w:ascii="Times New Roman"/>
                <w:sz w:val="21"/>
              </w:rPr>
              <w:t>28,491,</w:t>
            </w:r>
          </w:p>
          <w:p>
            <w:pPr>
              <w:pStyle w:val="TableParagraph"/>
              <w:spacing w:line="241" w:lineRule="exact"/>
              <w:ind w:right="93"/>
              <w:jc w:val="right"/>
              <w:rPr>
                <w:rFonts w:ascii="Times New Roman"/>
                <w:sz w:val="21"/>
              </w:rPr>
            </w:pPr>
            <w:r>
              <w:rPr>
                <w:rFonts w:ascii="Times New Roman"/>
                <w:sz w:val="21"/>
              </w:rPr>
              <w:t>199</w:t>
            </w:r>
          </w:p>
        </w:tc>
        <w:tc>
          <w:tcPr>
            <w:tcW w:w="557" w:type="dxa"/>
          </w:tcPr>
          <w:p>
            <w:pPr>
              <w:pStyle w:val="TableParagraph"/>
              <w:spacing w:line="235" w:lineRule="exact"/>
              <w:ind w:right="95"/>
              <w:jc w:val="right"/>
              <w:rPr>
                <w:rFonts w:ascii="Times New Roman"/>
                <w:sz w:val="21"/>
              </w:rPr>
            </w:pPr>
            <w:r>
              <w:rPr>
                <w:rFonts w:ascii="Times New Roman"/>
                <w:w w:val="100"/>
                <w:sz w:val="21"/>
              </w:rPr>
              <w:t>-</w:t>
            </w:r>
          </w:p>
          <w:p>
            <w:pPr>
              <w:pStyle w:val="TableParagraph"/>
              <w:spacing w:line="241" w:lineRule="exact" w:before="1"/>
              <w:ind w:right="93"/>
              <w:jc w:val="right"/>
              <w:rPr>
                <w:rFonts w:ascii="Times New Roman"/>
                <w:sz w:val="21"/>
              </w:rPr>
            </w:pPr>
            <w:r>
              <w:rPr>
                <w:rFonts w:ascii="Times New Roman"/>
                <w:sz w:val="21"/>
              </w:rPr>
              <w:t>2,2</w:t>
            </w:r>
          </w:p>
          <w:p>
            <w:pPr>
              <w:pStyle w:val="TableParagraph"/>
              <w:spacing w:line="241" w:lineRule="exact"/>
              <w:ind w:right="93"/>
              <w:jc w:val="right"/>
              <w:rPr>
                <w:rFonts w:ascii="Times New Roman"/>
                <w:sz w:val="21"/>
              </w:rPr>
            </w:pPr>
            <w:r>
              <w:rPr>
                <w:rFonts w:ascii="Times New Roman"/>
                <w:sz w:val="21"/>
              </w:rPr>
              <w:t>07,</w:t>
            </w:r>
          </w:p>
          <w:p>
            <w:pPr>
              <w:pStyle w:val="TableParagraph"/>
              <w:spacing w:line="229" w:lineRule="exact" w:before="1"/>
              <w:ind w:right="93"/>
              <w:jc w:val="right"/>
              <w:rPr>
                <w:rFonts w:ascii="Times New Roman"/>
                <w:sz w:val="21"/>
              </w:rPr>
            </w:pPr>
            <w:r>
              <w:rPr>
                <w:rFonts w:ascii="Times New Roman"/>
                <w:sz w:val="21"/>
              </w:rPr>
              <w:t>903</w:t>
            </w:r>
          </w:p>
        </w:tc>
        <w:tc>
          <w:tcPr>
            <w:tcW w:w="571" w:type="dxa"/>
          </w:tcPr>
          <w:p>
            <w:pPr>
              <w:pStyle w:val="TableParagraph"/>
              <w:spacing w:before="113"/>
              <w:ind w:left="199"/>
              <w:rPr>
                <w:rFonts w:ascii="Times New Roman"/>
                <w:sz w:val="21"/>
              </w:rPr>
            </w:pPr>
            <w:r>
              <w:rPr>
                <w:rFonts w:ascii="Times New Roman"/>
                <w:sz w:val="21"/>
              </w:rPr>
              <w:t>1,0</w:t>
            </w:r>
          </w:p>
          <w:p>
            <w:pPr>
              <w:pStyle w:val="TableParagraph"/>
              <w:spacing w:before="1"/>
              <w:ind w:left="199"/>
              <w:rPr>
                <w:rFonts w:ascii="Times New Roman"/>
                <w:sz w:val="21"/>
              </w:rPr>
            </w:pPr>
            <w:r>
              <w:rPr>
                <w:rFonts w:ascii="Times New Roman"/>
                <w:sz w:val="21"/>
              </w:rPr>
              <w:t>88,</w:t>
            </w:r>
          </w:p>
          <w:p>
            <w:pPr>
              <w:pStyle w:val="TableParagraph"/>
              <w:spacing w:before="1"/>
              <w:ind w:left="146"/>
              <w:rPr>
                <w:rFonts w:ascii="Times New Roman"/>
                <w:sz w:val="21"/>
              </w:rPr>
            </w:pPr>
            <w:r>
              <w:rPr>
                <w:rFonts w:ascii="Times New Roman"/>
                <w:sz w:val="21"/>
              </w:rPr>
              <w:t>790</w:t>
            </w:r>
          </w:p>
        </w:tc>
        <w:tc>
          <w:tcPr>
            <w:tcW w:w="259" w:type="dxa"/>
          </w:tcPr>
          <w:p>
            <w:pPr>
              <w:pStyle w:val="TableParagraph"/>
              <w:rPr>
                <w:rFonts w:ascii="Times New Roman"/>
                <w:sz w:val="18"/>
              </w:rPr>
            </w:pPr>
          </w:p>
        </w:tc>
        <w:tc>
          <w:tcPr>
            <w:tcW w:w="732" w:type="dxa"/>
          </w:tcPr>
          <w:p>
            <w:pPr>
              <w:pStyle w:val="TableParagraph"/>
              <w:spacing w:before="5"/>
              <w:rPr>
                <w:sz w:val="18"/>
              </w:rPr>
            </w:pPr>
          </w:p>
          <w:p>
            <w:pPr>
              <w:pStyle w:val="TableParagraph"/>
              <w:spacing w:line="241" w:lineRule="exact"/>
              <w:ind w:left="152"/>
              <w:rPr>
                <w:rFonts w:ascii="Times New Roman"/>
                <w:sz w:val="21"/>
              </w:rPr>
            </w:pPr>
            <w:r>
              <w:rPr>
                <w:rFonts w:ascii="Times New Roman"/>
                <w:sz w:val="21"/>
              </w:rPr>
              <w:t>3,809</w:t>
            </w:r>
          </w:p>
          <w:p>
            <w:pPr>
              <w:pStyle w:val="TableParagraph"/>
              <w:spacing w:line="241" w:lineRule="exact"/>
              <w:ind w:left="257"/>
              <w:rPr>
                <w:rFonts w:ascii="Times New Roman"/>
                <w:sz w:val="21"/>
              </w:rPr>
            </w:pPr>
            <w:r>
              <w:rPr>
                <w:rFonts w:ascii="Times New Roman"/>
                <w:sz w:val="21"/>
              </w:rPr>
              <w:t>,459</w:t>
            </w:r>
          </w:p>
        </w:tc>
        <w:tc>
          <w:tcPr>
            <w:tcW w:w="259" w:type="dxa"/>
          </w:tcPr>
          <w:p>
            <w:pPr>
              <w:pStyle w:val="TableParagraph"/>
              <w:rPr>
                <w:rFonts w:ascii="Times New Roman"/>
                <w:sz w:val="18"/>
              </w:rPr>
            </w:pPr>
          </w:p>
        </w:tc>
        <w:tc>
          <w:tcPr>
            <w:tcW w:w="801" w:type="dxa"/>
          </w:tcPr>
          <w:p>
            <w:pPr>
              <w:pStyle w:val="TableParagraph"/>
              <w:spacing w:before="5"/>
              <w:rPr>
                <w:sz w:val="18"/>
              </w:rPr>
            </w:pPr>
          </w:p>
          <w:p>
            <w:pPr>
              <w:pStyle w:val="TableParagraph"/>
              <w:spacing w:line="241" w:lineRule="exact"/>
              <w:ind w:right="91"/>
              <w:jc w:val="right"/>
              <w:rPr>
                <w:rFonts w:ascii="Times New Roman"/>
                <w:sz w:val="21"/>
              </w:rPr>
            </w:pPr>
            <w:r>
              <w:rPr>
                <w:rFonts w:ascii="Times New Roman"/>
                <w:sz w:val="21"/>
              </w:rPr>
              <w:t>77,934</w:t>
            </w:r>
          </w:p>
          <w:p>
            <w:pPr>
              <w:pStyle w:val="TableParagraph"/>
              <w:spacing w:line="241" w:lineRule="exact"/>
              <w:ind w:right="91"/>
              <w:jc w:val="right"/>
              <w:rPr>
                <w:rFonts w:ascii="Times New Roman"/>
                <w:sz w:val="21"/>
              </w:rPr>
            </w:pPr>
            <w:r>
              <w:rPr>
                <w:rFonts w:ascii="Times New Roman"/>
                <w:sz w:val="21"/>
              </w:rPr>
              <w:t>,054</w:t>
            </w:r>
          </w:p>
        </w:tc>
        <w:tc>
          <w:tcPr>
            <w:tcW w:w="259" w:type="dxa"/>
          </w:tcPr>
          <w:p>
            <w:pPr>
              <w:pStyle w:val="TableParagraph"/>
              <w:rPr>
                <w:rFonts w:ascii="Times New Roman"/>
                <w:sz w:val="18"/>
              </w:rPr>
            </w:pPr>
          </w:p>
        </w:tc>
        <w:tc>
          <w:tcPr>
            <w:tcW w:w="867" w:type="dxa"/>
          </w:tcPr>
          <w:p>
            <w:pPr>
              <w:pStyle w:val="TableParagraph"/>
              <w:spacing w:before="5"/>
              <w:rPr>
                <w:sz w:val="18"/>
              </w:rPr>
            </w:pPr>
          </w:p>
          <w:p>
            <w:pPr>
              <w:pStyle w:val="TableParagraph"/>
              <w:spacing w:line="241" w:lineRule="exact"/>
              <w:ind w:left="181"/>
              <w:rPr>
                <w:rFonts w:ascii="Times New Roman"/>
                <w:sz w:val="21"/>
              </w:rPr>
            </w:pPr>
            <w:r>
              <w:rPr>
                <w:rFonts w:ascii="Times New Roman"/>
                <w:sz w:val="21"/>
              </w:rPr>
              <w:t>128,97</w:t>
            </w:r>
          </w:p>
          <w:p>
            <w:pPr>
              <w:pStyle w:val="TableParagraph"/>
              <w:spacing w:line="241" w:lineRule="exact"/>
              <w:ind w:left="287"/>
              <w:rPr>
                <w:rFonts w:ascii="Times New Roman"/>
                <w:sz w:val="21"/>
              </w:rPr>
            </w:pPr>
            <w:r>
              <w:rPr>
                <w:rFonts w:ascii="Times New Roman"/>
                <w:sz w:val="21"/>
              </w:rPr>
              <w:t>5,192</w:t>
            </w:r>
          </w:p>
        </w:tc>
        <w:tc>
          <w:tcPr>
            <w:tcW w:w="605" w:type="dxa"/>
          </w:tcPr>
          <w:p>
            <w:pPr>
              <w:pStyle w:val="TableParagraph"/>
              <w:spacing w:before="5"/>
              <w:rPr>
                <w:sz w:val="18"/>
              </w:rPr>
            </w:pPr>
          </w:p>
          <w:p>
            <w:pPr>
              <w:pStyle w:val="TableParagraph"/>
              <w:spacing w:line="241" w:lineRule="exact"/>
              <w:ind w:left="131"/>
              <w:rPr>
                <w:rFonts w:ascii="Times New Roman"/>
                <w:sz w:val="21"/>
              </w:rPr>
            </w:pPr>
            <w:r>
              <w:rPr>
                <w:rFonts w:ascii="Times New Roman"/>
                <w:sz w:val="21"/>
              </w:rPr>
              <w:t>358,</w:t>
            </w:r>
          </w:p>
          <w:p>
            <w:pPr>
              <w:pStyle w:val="TableParagraph"/>
              <w:spacing w:line="241" w:lineRule="exact"/>
              <w:ind w:left="184"/>
              <w:rPr>
                <w:rFonts w:ascii="Times New Roman"/>
                <w:sz w:val="21"/>
              </w:rPr>
            </w:pPr>
            <w:r>
              <w:rPr>
                <w:rFonts w:ascii="Times New Roman"/>
                <w:sz w:val="21"/>
              </w:rPr>
              <w:t>314</w:t>
            </w:r>
          </w:p>
        </w:tc>
        <w:tc>
          <w:tcPr>
            <w:tcW w:w="864" w:type="dxa"/>
          </w:tcPr>
          <w:p>
            <w:pPr>
              <w:pStyle w:val="TableParagraph"/>
              <w:spacing w:before="5"/>
              <w:rPr>
                <w:sz w:val="18"/>
              </w:rPr>
            </w:pPr>
          </w:p>
          <w:p>
            <w:pPr>
              <w:pStyle w:val="TableParagraph"/>
              <w:spacing w:line="241" w:lineRule="exact"/>
              <w:ind w:left="179"/>
              <w:rPr>
                <w:rFonts w:ascii="Times New Roman"/>
                <w:sz w:val="21"/>
              </w:rPr>
            </w:pPr>
            <w:r>
              <w:rPr>
                <w:rFonts w:ascii="Times New Roman"/>
                <w:sz w:val="21"/>
              </w:rPr>
              <w:t>129,33</w:t>
            </w:r>
          </w:p>
          <w:p>
            <w:pPr>
              <w:pStyle w:val="TableParagraph"/>
              <w:spacing w:line="241" w:lineRule="exact"/>
              <w:ind w:left="284"/>
              <w:rPr>
                <w:rFonts w:ascii="Times New Roman"/>
                <w:sz w:val="21"/>
              </w:rPr>
            </w:pPr>
            <w:r>
              <w:rPr>
                <w:rFonts w:ascii="Times New Roman"/>
                <w:sz w:val="21"/>
              </w:rPr>
              <w:t>3,506</w:t>
            </w:r>
          </w:p>
        </w:tc>
      </w:tr>
    </w:tbl>
    <w:p>
      <w:pPr>
        <w:pStyle w:val="BodyText"/>
        <w:spacing w:before="1"/>
      </w:pPr>
      <w:r>
        <w:rPr>
          <w:w w:val="100"/>
        </w:rPr>
        <w:t> </w:t>
      </w:r>
    </w:p>
    <w:p>
      <w:pPr>
        <w:pStyle w:val="BodyText"/>
        <w:spacing w:before="2"/>
      </w:pPr>
      <w:r>
        <w:rPr>
          <w:w w:val="100"/>
        </w:rPr>
        <w:t> </w:t>
      </w:r>
    </w:p>
    <w:p>
      <w:pPr>
        <w:spacing w:after="0"/>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4"/>
        <w:gridCol w:w="748"/>
        <w:gridCol w:w="316"/>
        <w:gridCol w:w="316"/>
        <w:gridCol w:w="319"/>
        <w:gridCol w:w="748"/>
        <w:gridCol w:w="602"/>
        <w:gridCol w:w="602"/>
        <w:gridCol w:w="317"/>
        <w:gridCol w:w="691"/>
        <w:gridCol w:w="317"/>
        <w:gridCol w:w="751"/>
        <w:gridCol w:w="317"/>
        <w:gridCol w:w="810"/>
        <w:gridCol w:w="603"/>
        <w:gridCol w:w="809"/>
      </w:tblGrid>
      <w:tr>
        <w:trPr>
          <w:trHeight w:val="239" w:hRule="atLeast"/>
        </w:trPr>
        <w:tc>
          <w:tcPr>
            <w:tcW w:w="554" w:type="dxa"/>
            <w:vMerge w:val="restart"/>
          </w:tcPr>
          <w:p>
            <w:pPr>
              <w:pStyle w:val="TableParagraph"/>
              <w:rPr>
                <w:sz w:val="18"/>
              </w:rPr>
            </w:pPr>
          </w:p>
          <w:p>
            <w:pPr>
              <w:pStyle w:val="TableParagraph"/>
              <w:rPr>
                <w:sz w:val="18"/>
              </w:rPr>
            </w:pPr>
          </w:p>
          <w:p>
            <w:pPr>
              <w:pStyle w:val="TableParagraph"/>
              <w:rPr>
                <w:sz w:val="18"/>
              </w:rPr>
            </w:pPr>
          </w:p>
          <w:p>
            <w:pPr>
              <w:pStyle w:val="TableParagraph"/>
              <w:spacing w:before="8"/>
              <w:rPr>
                <w:sz w:val="12"/>
              </w:rPr>
            </w:pPr>
          </w:p>
          <w:p>
            <w:pPr>
              <w:pStyle w:val="TableParagraph"/>
              <w:spacing w:line="249" w:lineRule="auto" w:before="1"/>
              <w:ind w:left="187" w:right="85"/>
              <w:rPr>
                <w:sz w:val="18"/>
              </w:rPr>
            </w:pPr>
            <w:r>
              <w:rPr>
                <w:sz w:val="18"/>
              </w:rPr>
              <w:t>项目 </w:t>
            </w:r>
          </w:p>
        </w:tc>
        <w:tc>
          <w:tcPr>
            <w:tcW w:w="8266" w:type="dxa"/>
            <w:gridSpan w:val="15"/>
            <w:tcBorders>
              <w:bottom w:val="single" w:sz="6" w:space="0" w:color="000000"/>
            </w:tcBorders>
          </w:tcPr>
          <w:p>
            <w:pPr>
              <w:pStyle w:val="TableParagraph"/>
              <w:spacing w:line="210" w:lineRule="exact" w:before="9"/>
              <w:ind w:left="1713"/>
              <w:jc w:val="center"/>
              <w:rPr>
                <w:sz w:val="21"/>
              </w:rPr>
            </w:pPr>
            <w:r>
              <w:rPr>
                <w:w w:val="100"/>
                <w:sz w:val="21"/>
              </w:rPr>
              <w:t> </w:t>
            </w:r>
            <w:r>
              <w:rPr>
                <w:spacing w:val="-1"/>
                <w:sz w:val="18"/>
              </w:rPr>
              <w:t>2021</w:t>
            </w:r>
            <w:r>
              <w:rPr>
                <w:spacing w:val="-15"/>
                <w:sz w:val="18"/>
              </w:rPr>
              <w:t> 年度</w:t>
            </w:r>
            <w:r>
              <w:rPr>
                <w:w w:val="100"/>
                <w:sz w:val="21"/>
              </w:rPr>
              <w:t> </w:t>
            </w:r>
          </w:p>
        </w:tc>
      </w:tr>
      <w:tr>
        <w:trPr>
          <w:trHeight w:val="467" w:hRule="atLeast"/>
        </w:trPr>
        <w:tc>
          <w:tcPr>
            <w:tcW w:w="554" w:type="dxa"/>
            <w:vMerge/>
            <w:tcBorders>
              <w:top w:val="nil"/>
            </w:tcBorders>
          </w:tcPr>
          <w:p>
            <w:pPr>
              <w:rPr>
                <w:sz w:val="2"/>
                <w:szCs w:val="2"/>
              </w:rPr>
            </w:pPr>
          </w:p>
        </w:tc>
        <w:tc>
          <w:tcPr>
            <w:tcW w:w="6854" w:type="dxa"/>
            <w:gridSpan w:val="13"/>
            <w:tcBorders>
              <w:top w:val="single" w:sz="6" w:space="0" w:color="000000"/>
            </w:tcBorders>
          </w:tcPr>
          <w:p>
            <w:pPr>
              <w:pStyle w:val="TableParagraph"/>
              <w:spacing w:before="115"/>
              <w:ind w:left="2472" w:right="2352"/>
              <w:jc w:val="center"/>
              <w:rPr>
                <w:sz w:val="21"/>
              </w:rPr>
            </w:pPr>
            <w:r>
              <w:rPr>
                <w:sz w:val="18"/>
              </w:rPr>
              <w:t>归属于母公司所有者权益</w:t>
            </w:r>
            <w:r>
              <w:rPr>
                <w:w w:val="100"/>
                <w:sz w:val="21"/>
              </w:rPr>
              <w:t> </w:t>
            </w:r>
          </w:p>
        </w:tc>
        <w:tc>
          <w:tcPr>
            <w:tcW w:w="603" w:type="dxa"/>
            <w:vMerge w:val="restart"/>
            <w:tcBorders>
              <w:top w:val="single" w:sz="6" w:space="0" w:color="000000"/>
            </w:tcBorders>
          </w:tcPr>
          <w:p>
            <w:pPr>
              <w:pStyle w:val="TableParagraph"/>
              <w:rPr>
                <w:sz w:val="18"/>
              </w:rPr>
            </w:pPr>
          </w:p>
          <w:p>
            <w:pPr>
              <w:pStyle w:val="TableParagraph"/>
              <w:rPr>
                <w:sz w:val="18"/>
              </w:rPr>
            </w:pPr>
          </w:p>
          <w:p>
            <w:pPr>
              <w:pStyle w:val="TableParagraph"/>
              <w:spacing w:line="242" w:lineRule="auto" w:before="146"/>
              <w:ind w:left="124" w:right="16"/>
              <w:jc w:val="both"/>
              <w:rPr>
                <w:sz w:val="18"/>
              </w:rPr>
            </w:pPr>
            <w:r>
              <w:rPr>
                <w:sz w:val="18"/>
              </w:rPr>
              <w:t>少数股东权益 </w:t>
            </w:r>
          </w:p>
        </w:tc>
        <w:tc>
          <w:tcPr>
            <w:tcW w:w="809" w:type="dxa"/>
            <w:vMerge w:val="restart"/>
            <w:tcBorders>
              <w:top w:val="single" w:sz="6" w:space="0" w:color="000000"/>
            </w:tcBorders>
          </w:tcPr>
          <w:p>
            <w:pPr>
              <w:pStyle w:val="TableParagraph"/>
              <w:rPr>
                <w:sz w:val="18"/>
              </w:rPr>
            </w:pPr>
          </w:p>
          <w:p>
            <w:pPr>
              <w:pStyle w:val="TableParagraph"/>
              <w:rPr>
                <w:sz w:val="18"/>
              </w:rPr>
            </w:pPr>
          </w:p>
          <w:p>
            <w:pPr>
              <w:pStyle w:val="TableParagraph"/>
              <w:spacing w:line="242" w:lineRule="auto" w:before="146"/>
              <w:ind w:left="138" w:right="118"/>
              <w:jc w:val="center"/>
              <w:rPr>
                <w:sz w:val="18"/>
              </w:rPr>
            </w:pPr>
            <w:r>
              <w:rPr>
                <w:spacing w:val="-2"/>
                <w:sz w:val="18"/>
              </w:rPr>
              <w:t>所有者权益合</w:t>
            </w:r>
            <w:r>
              <w:rPr>
                <w:sz w:val="18"/>
              </w:rPr>
              <w:t>计 </w:t>
            </w:r>
          </w:p>
        </w:tc>
      </w:tr>
      <w:tr>
        <w:trPr>
          <w:trHeight w:val="479" w:hRule="atLeast"/>
        </w:trPr>
        <w:tc>
          <w:tcPr>
            <w:tcW w:w="554" w:type="dxa"/>
            <w:vMerge/>
            <w:tcBorders>
              <w:top w:val="nil"/>
            </w:tcBorders>
          </w:tcPr>
          <w:p>
            <w:pPr>
              <w:rPr>
                <w:sz w:val="2"/>
                <w:szCs w:val="2"/>
              </w:rPr>
            </w:pPr>
          </w:p>
        </w:tc>
        <w:tc>
          <w:tcPr>
            <w:tcW w:w="748" w:type="dxa"/>
            <w:vMerge w:val="restart"/>
          </w:tcPr>
          <w:p>
            <w:pPr>
              <w:pStyle w:val="TableParagraph"/>
              <w:spacing w:before="3"/>
              <w:rPr>
                <w:sz w:val="19"/>
              </w:rPr>
            </w:pPr>
          </w:p>
          <w:p>
            <w:pPr>
              <w:pStyle w:val="TableParagraph"/>
              <w:spacing w:line="249" w:lineRule="auto"/>
              <w:ind w:left="148" w:right="91" w:firstLine="45"/>
              <w:rPr>
                <w:sz w:val="18"/>
              </w:rPr>
            </w:pPr>
            <w:r>
              <w:rPr>
                <w:sz w:val="18"/>
              </w:rPr>
              <w:t>实收资本</w:t>
            </w:r>
            <w:r>
              <w:rPr>
                <w:spacing w:val="1"/>
                <w:sz w:val="18"/>
              </w:rPr>
              <w:t> </w:t>
            </w:r>
            <w:r>
              <w:rPr>
                <w:sz w:val="18"/>
              </w:rPr>
              <w:t>(或股</w:t>
            </w:r>
          </w:p>
          <w:p>
            <w:pPr>
              <w:pStyle w:val="TableParagraph"/>
              <w:spacing w:before="1"/>
              <w:ind w:left="237"/>
              <w:rPr>
                <w:sz w:val="18"/>
              </w:rPr>
            </w:pPr>
            <w:r>
              <w:rPr>
                <w:sz w:val="18"/>
              </w:rPr>
              <w:t>本) </w:t>
            </w:r>
          </w:p>
        </w:tc>
        <w:tc>
          <w:tcPr>
            <w:tcW w:w="951" w:type="dxa"/>
            <w:gridSpan w:val="3"/>
          </w:tcPr>
          <w:p>
            <w:pPr>
              <w:pStyle w:val="TableParagraph"/>
              <w:spacing w:before="7"/>
              <w:ind w:right="102"/>
              <w:jc w:val="right"/>
              <w:rPr>
                <w:sz w:val="18"/>
              </w:rPr>
            </w:pPr>
            <w:r>
              <w:rPr>
                <w:sz w:val="18"/>
              </w:rPr>
              <w:t>其他权益</w:t>
            </w:r>
          </w:p>
          <w:p>
            <w:pPr>
              <w:pStyle w:val="TableParagraph"/>
              <w:spacing w:line="213" w:lineRule="exact" w:before="9"/>
              <w:ind w:right="192"/>
              <w:jc w:val="right"/>
              <w:rPr>
                <w:sz w:val="18"/>
              </w:rPr>
            </w:pPr>
            <w:r>
              <w:rPr>
                <w:sz w:val="18"/>
              </w:rPr>
              <w:t>工具 </w:t>
            </w:r>
          </w:p>
        </w:tc>
        <w:tc>
          <w:tcPr>
            <w:tcW w:w="748" w:type="dxa"/>
            <w:vMerge w:val="restart"/>
          </w:tcPr>
          <w:p>
            <w:pPr>
              <w:pStyle w:val="TableParagraph"/>
              <w:rPr>
                <w:sz w:val="18"/>
              </w:rPr>
            </w:pPr>
          </w:p>
          <w:p>
            <w:pPr>
              <w:pStyle w:val="TableParagraph"/>
              <w:rPr>
                <w:sz w:val="20"/>
              </w:rPr>
            </w:pPr>
          </w:p>
          <w:p>
            <w:pPr>
              <w:pStyle w:val="TableParagraph"/>
              <w:spacing w:line="249" w:lineRule="auto"/>
              <w:ind w:left="195" w:right="90"/>
              <w:rPr>
                <w:sz w:val="18"/>
              </w:rPr>
            </w:pPr>
            <w:r>
              <w:rPr>
                <w:sz w:val="18"/>
              </w:rPr>
              <w:t>资本公积 </w:t>
            </w:r>
          </w:p>
        </w:tc>
        <w:tc>
          <w:tcPr>
            <w:tcW w:w="602" w:type="dxa"/>
            <w:vMerge w:val="restart"/>
          </w:tcPr>
          <w:p>
            <w:pPr>
              <w:pStyle w:val="TableParagraph"/>
              <w:rPr>
                <w:sz w:val="18"/>
              </w:rPr>
            </w:pPr>
          </w:p>
          <w:p>
            <w:pPr>
              <w:pStyle w:val="TableParagraph"/>
              <w:spacing w:line="249" w:lineRule="auto" w:before="136"/>
              <w:ind w:left="124" w:right="104"/>
              <w:jc w:val="both"/>
              <w:rPr>
                <w:sz w:val="18"/>
              </w:rPr>
            </w:pPr>
            <w:r>
              <w:rPr>
                <w:spacing w:val="-2"/>
                <w:sz w:val="18"/>
              </w:rPr>
              <w:t>减：</w:t>
            </w:r>
            <w:r>
              <w:rPr>
                <w:spacing w:val="-88"/>
                <w:sz w:val="18"/>
              </w:rPr>
              <w:t> </w:t>
            </w:r>
            <w:r>
              <w:rPr>
                <w:spacing w:val="-2"/>
                <w:sz w:val="18"/>
              </w:rPr>
              <w:t>库存</w:t>
            </w:r>
            <w:r>
              <w:rPr>
                <w:sz w:val="18"/>
              </w:rPr>
              <w:t>股 </w:t>
            </w:r>
          </w:p>
        </w:tc>
        <w:tc>
          <w:tcPr>
            <w:tcW w:w="602" w:type="dxa"/>
            <w:vMerge w:val="restart"/>
          </w:tcPr>
          <w:p>
            <w:pPr>
              <w:pStyle w:val="TableParagraph"/>
              <w:rPr>
                <w:sz w:val="18"/>
              </w:rPr>
            </w:pPr>
          </w:p>
          <w:p>
            <w:pPr>
              <w:pStyle w:val="TableParagraph"/>
              <w:spacing w:line="249" w:lineRule="auto" w:before="136"/>
              <w:ind w:left="124" w:right="15"/>
              <w:jc w:val="both"/>
              <w:rPr>
                <w:sz w:val="18"/>
              </w:rPr>
            </w:pPr>
            <w:r>
              <w:rPr>
                <w:sz w:val="18"/>
              </w:rPr>
              <w:t>其他综合收益 </w:t>
            </w:r>
          </w:p>
        </w:tc>
        <w:tc>
          <w:tcPr>
            <w:tcW w:w="317" w:type="dxa"/>
            <w:vMerge w:val="restart"/>
          </w:tcPr>
          <w:p>
            <w:pPr>
              <w:pStyle w:val="TableParagraph"/>
              <w:spacing w:before="3"/>
              <w:rPr>
                <w:sz w:val="19"/>
              </w:rPr>
            </w:pPr>
          </w:p>
          <w:p>
            <w:pPr>
              <w:pStyle w:val="TableParagraph"/>
              <w:spacing w:line="249" w:lineRule="auto"/>
              <w:ind w:left="112" w:right="12"/>
              <w:jc w:val="both"/>
              <w:rPr>
                <w:sz w:val="18"/>
              </w:rPr>
            </w:pPr>
            <w:r>
              <w:rPr>
                <w:sz w:val="18"/>
              </w:rPr>
              <w:t>专项储备</w:t>
            </w:r>
          </w:p>
        </w:tc>
        <w:tc>
          <w:tcPr>
            <w:tcW w:w="691" w:type="dxa"/>
            <w:vMerge w:val="restart"/>
          </w:tcPr>
          <w:p>
            <w:pPr>
              <w:pStyle w:val="TableParagraph"/>
              <w:rPr>
                <w:sz w:val="18"/>
              </w:rPr>
            </w:pPr>
          </w:p>
          <w:p>
            <w:pPr>
              <w:pStyle w:val="TableParagraph"/>
              <w:rPr>
                <w:sz w:val="20"/>
              </w:rPr>
            </w:pPr>
          </w:p>
          <w:p>
            <w:pPr>
              <w:pStyle w:val="TableParagraph"/>
              <w:spacing w:line="249" w:lineRule="auto"/>
              <w:ind w:left="168" w:right="60"/>
              <w:rPr>
                <w:sz w:val="18"/>
              </w:rPr>
            </w:pPr>
            <w:r>
              <w:rPr>
                <w:sz w:val="18"/>
              </w:rPr>
              <w:t>盈余公积 </w:t>
            </w:r>
          </w:p>
        </w:tc>
        <w:tc>
          <w:tcPr>
            <w:tcW w:w="317" w:type="dxa"/>
            <w:vMerge w:val="restart"/>
          </w:tcPr>
          <w:p>
            <w:pPr>
              <w:pStyle w:val="TableParagraph"/>
              <w:spacing w:line="249" w:lineRule="auto" w:before="7"/>
              <w:ind w:left="113" w:right="11"/>
              <w:jc w:val="both"/>
              <w:rPr>
                <w:sz w:val="18"/>
              </w:rPr>
            </w:pPr>
            <w:r>
              <w:rPr>
                <w:sz w:val="18"/>
              </w:rPr>
              <w:t>一般风险准</w:t>
            </w:r>
          </w:p>
          <w:p>
            <w:pPr>
              <w:pStyle w:val="TableParagraph"/>
              <w:spacing w:line="213" w:lineRule="exact"/>
              <w:ind w:left="113"/>
              <w:rPr>
                <w:sz w:val="18"/>
              </w:rPr>
            </w:pPr>
            <w:r>
              <w:rPr>
                <w:sz w:val="18"/>
              </w:rPr>
              <w:t>备</w:t>
            </w:r>
          </w:p>
        </w:tc>
        <w:tc>
          <w:tcPr>
            <w:tcW w:w="751" w:type="dxa"/>
            <w:vMerge w:val="restart"/>
          </w:tcPr>
          <w:p>
            <w:pPr>
              <w:pStyle w:val="TableParagraph"/>
              <w:rPr>
                <w:sz w:val="18"/>
              </w:rPr>
            </w:pPr>
          </w:p>
          <w:p>
            <w:pPr>
              <w:pStyle w:val="TableParagraph"/>
              <w:spacing w:line="249" w:lineRule="auto" w:before="136"/>
              <w:ind w:left="199" w:right="179"/>
              <w:jc w:val="both"/>
              <w:rPr>
                <w:sz w:val="18"/>
              </w:rPr>
            </w:pPr>
            <w:r>
              <w:rPr>
                <w:spacing w:val="-2"/>
                <w:sz w:val="18"/>
              </w:rPr>
              <w:t>未分配利</w:t>
            </w:r>
            <w:r>
              <w:rPr>
                <w:sz w:val="18"/>
              </w:rPr>
              <w:t>润 </w:t>
            </w:r>
          </w:p>
        </w:tc>
        <w:tc>
          <w:tcPr>
            <w:tcW w:w="317" w:type="dxa"/>
            <w:vMerge w:val="restart"/>
          </w:tcPr>
          <w:p>
            <w:pPr>
              <w:pStyle w:val="TableParagraph"/>
              <w:rPr>
                <w:sz w:val="18"/>
              </w:rPr>
            </w:pPr>
          </w:p>
          <w:p>
            <w:pPr>
              <w:pStyle w:val="TableParagraph"/>
              <w:rPr>
                <w:sz w:val="20"/>
              </w:rPr>
            </w:pPr>
          </w:p>
          <w:p>
            <w:pPr>
              <w:pStyle w:val="TableParagraph"/>
              <w:spacing w:line="242" w:lineRule="auto"/>
              <w:ind w:left="113" w:right="11"/>
              <w:rPr>
                <w:sz w:val="18"/>
              </w:rPr>
            </w:pPr>
            <w:r>
              <w:rPr>
                <w:sz w:val="18"/>
              </w:rPr>
              <w:t>其他</w:t>
            </w:r>
          </w:p>
        </w:tc>
        <w:tc>
          <w:tcPr>
            <w:tcW w:w="810" w:type="dxa"/>
            <w:vMerge w:val="restart"/>
          </w:tcPr>
          <w:p>
            <w:pPr>
              <w:pStyle w:val="TableParagraph"/>
              <w:rPr>
                <w:sz w:val="18"/>
              </w:rPr>
            </w:pPr>
          </w:p>
          <w:p>
            <w:pPr>
              <w:pStyle w:val="TableParagraph"/>
              <w:rPr>
                <w:sz w:val="18"/>
              </w:rPr>
            </w:pPr>
          </w:p>
          <w:p>
            <w:pPr>
              <w:pStyle w:val="TableParagraph"/>
              <w:spacing w:before="143"/>
              <w:ind w:left="228"/>
              <w:rPr>
                <w:sz w:val="18"/>
              </w:rPr>
            </w:pPr>
            <w:r>
              <w:rPr>
                <w:sz w:val="18"/>
              </w:rPr>
              <w:t>小计 </w:t>
            </w:r>
          </w:p>
        </w:tc>
        <w:tc>
          <w:tcPr>
            <w:tcW w:w="603" w:type="dxa"/>
            <w:vMerge/>
            <w:tcBorders>
              <w:top w:val="nil"/>
            </w:tcBorders>
          </w:tcPr>
          <w:p>
            <w:pPr>
              <w:rPr>
                <w:sz w:val="2"/>
                <w:szCs w:val="2"/>
              </w:rPr>
            </w:pPr>
          </w:p>
        </w:tc>
        <w:tc>
          <w:tcPr>
            <w:tcW w:w="809" w:type="dxa"/>
            <w:vMerge/>
            <w:tcBorders>
              <w:top w:val="nil"/>
            </w:tcBorders>
          </w:tcPr>
          <w:p>
            <w:pPr>
              <w:rPr>
                <w:sz w:val="2"/>
                <w:szCs w:val="2"/>
              </w:rPr>
            </w:pPr>
          </w:p>
        </w:tc>
      </w:tr>
      <w:tr>
        <w:trPr>
          <w:trHeight w:val="950" w:hRule="atLeast"/>
        </w:trPr>
        <w:tc>
          <w:tcPr>
            <w:tcW w:w="554" w:type="dxa"/>
            <w:vMerge/>
            <w:tcBorders>
              <w:top w:val="nil"/>
            </w:tcBorders>
          </w:tcPr>
          <w:p>
            <w:pPr>
              <w:rPr>
                <w:sz w:val="2"/>
                <w:szCs w:val="2"/>
              </w:rPr>
            </w:pPr>
          </w:p>
        </w:tc>
        <w:tc>
          <w:tcPr>
            <w:tcW w:w="748" w:type="dxa"/>
            <w:vMerge/>
            <w:tcBorders>
              <w:top w:val="nil"/>
            </w:tcBorders>
          </w:tcPr>
          <w:p>
            <w:pPr>
              <w:rPr>
                <w:sz w:val="2"/>
                <w:szCs w:val="2"/>
              </w:rPr>
            </w:pPr>
          </w:p>
        </w:tc>
        <w:tc>
          <w:tcPr>
            <w:tcW w:w="316" w:type="dxa"/>
          </w:tcPr>
          <w:p>
            <w:pPr>
              <w:pStyle w:val="TableParagraph"/>
              <w:spacing w:line="242" w:lineRule="auto" w:before="124"/>
              <w:ind w:left="108" w:right="15"/>
              <w:jc w:val="both"/>
              <w:rPr>
                <w:sz w:val="18"/>
              </w:rPr>
            </w:pPr>
            <w:r>
              <w:rPr>
                <w:sz w:val="18"/>
              </w:rPr>
              <w:t>优先股</w:t>
            </w:r>
          </w:p>
        </w:tc>
        <w:tc>
          <w:tcPr>
            <w:tcW w:w="316" w:type="dxa"/>
          </w:tcPr>
          <w:p>
            <w:pPr>
              <w:pStyle w:val="TableParagraph"/>
              <w:spacing w:line="242" w:lineRule="auto" w:before="124"/>
              <w:ind w:left="109" w:right="14"/>
              <w:jc w:val="both"/>
              <w:rPr>
                <w:sz w:val="18"/>
              </w:rPr>
            </w:pPr>
            <w:r>
              <w:rPr>
                <w:sz w:val="18"/>
              </w:rPr>
              <w:t>永续债</w:t>
            </w:r>
          </w:p>
        </w:tc>
        <w:tc>
          <w:tcPr>
            <w:tcW w:w="319" w:type="dxa"/>
          </w:tcPr>
          <w:p>
            <w:pPr>
              <w:pStyle w:val="TableParagraph"/>
              <w:spacing w:before="11"/>
              <w:rPr>
                <w:sz w:val="18"/>
              </w:rPr>
            </w:pPr>
          </w:p>
          <w:p>
            <w:pPr>
              <w:pStyle w:val="TableParagraph"/>
              <w:spacing w:line="242" w:lineRule="auto"/>
              <w:ind w:left="111" w:right="15"/>
              <w:rPr>
                <w:sz w:val="18"/>
              </w:rPr>
            </w:pPr>
            <w:r>
              <w:rPr>
                <w:sz w:val="18"/>
              </w:rPr>
              <w:t>其他</w:t>
            </w:r>
          </w:p>
        </w:tc>
        <w:tc>
          <w:tcPr>
            <w:tcW w:w="748" w:type="dxa"/>
            <w:vMerge/>
            <w:tcBorders>
              <w:top w:val="nil"/>
            </w:tcBorders>
          </w:tcPr>
          <w:p>
            <w:pPr>
              <w:rPr>
                <w:sz w:val="2"/>
                <w:szCs w:val="2"/>
              </w:rPr>
            </w:pPr>
          </w:p>
        </w:tc>
        <w:tc>
          <w:tcPr>
            <w:tcW w:w="602" w:type="dxa"/>
            <w:vMerge/>
            <w:tcBorders>
              <w:top w:val="nil"/>
            </w:tcBorders>
          </w:tcPr>
          <w:p>
            <w:pPr>
              <w:rPr>
                <w:sz w:val="2"/>
                <w:szCs w:val="2"/>
              </w:rPr>
            </w:pPr>
          </w:p>
        </w:tc>
        <w:tc>
          <w:tcPr>
            <w:tcW w:w="602" w:type="dxa"/>
            <w:vMerge/>
            <w:tcBorders>
              <w:top w:val="nil"/>
            </w:tcBorders>
          </w:tcPr>
          <w:p>
            <w:pPr>
              <w:rPr>
                <w:sz w:val="2"/>
                <w:szCs w:val="2"/>
              </w:rPr>
            </w:pPr>
          </w:p>
        </w:tc>
        <w:tc>
          <w:tcPr>
            <w:tcW w:w="317" w:type="dxa"/>
            <w:vMerge/>
            <w:tcBorders>
              <w:top w:val="nil"/>
            </w:tcBorders>
          </w:tcPr>
          <w:p>
            <w:pPr>
              <w:rPr>
                <w:sz w:val="2"/>
                <w:szCs w:val="2"/>
              </w:rPr>
            </w:pPr>
          </w:p>
        </w:tc>
        <w:tc>
          <w:tcPr>
            <w:tcW w:w="691" w:type="dxa"/>
            <w:vMerge/>
            <w:tcBorders>
              <w:top w:val="nil"/>
            </w:tcBorders>
          </w:tcPr>
          <w:p>
            <w:pPr>
              <w:rPr>
                <w:sz w:val="2"/>
                <w:szCs w:val="2"/>
              </w:rPr>
            </w:pPr>
          </w:p>
        </w:tc>
        <w:tc>
          <w:tcPr>
            <w:tcW w:w="317" w:type="dxa"/>
            <w:vMerge/>
            <w:tcBorders>
              <w:top w:val="nil"/>
            </w:tcBorders>
          </w:tcPr>
          <w:p>
            <w:pPr>
              <w:rPr>
                <w:sz w:val="2"/>
                <w:szCs w:val="2"/>
              </w:rPr>
            </w:pPr>
          </w:p>
        </w:tc>
        <w:tc>
          <w:tcPr>
            <w:tcW w:w="751" w:type="dxa"/>
            <w:vMerge/>
            <w:tcBorders>
              <w:top w:val="nil"/>
            </w:tcBorders>
          </w:tcPr>
          <w:p>
            <w:pPr>
              <w:rPr>
                <w:sz w:val="2"/>
                <w:szCs w:val="2"/>
              </w:rPr>
            </w:pPr>
          </w:p>
        </w:tc>
        <w:tc>
          <w:tcPr>
            <w:tcW w:w="317" w:type="dxa"/>
            <w:vMerge/>
            <w:tcBorders>
              <w:top w:val="nil"/>
            </w:tcBorders>
          </w:tcPr>
          <w:p>
            <w:pPr>
              <w:rPr>
                <w:sz w:val="2"/>
                <w:szCs w:val="2"/>
              </w:rPr>
            </w:pPr>
          </w:p>
        </w:tc>
        <w:tc>
          <w:tcPr>
            <w:tcW w:w="810" w:type="dxa"/>
            <w:vMerge/>
            <w:tcBorders>
              <w:top w:val="nil"/>
            </w:tcBorders>
          </w:tcPr>
          <w:p>
            <w:pPr>
              <w:rPr>
                <w:sz w:val="2"/>
                <w:szCs w:val="2"/>
              </w:rPr>
            </w:pPr>
          </w:p>
        </w:tc>
        <w:tc>
          <w:tcPr>
            <w:tcW w:w="603" w:type="dxa"/>
            <w:vMerge/>
            <w:tcBorders>
              <w:top w:val="nil"/>
            </w:tcBorders>
          </w:tcPr>
          <w:p>
            <w:pPr>
              <w:rPr>
                <w:sz w:val="2"/>
                <w:szCs w:val="2"/>
              </w:rPr>
            </w:pPr>
          </w:p>
        </w:tc>
        <w:tc>
          <w:tcPr>
            <w:tcW w:w="809" w:type="dxa"/>
            <w:vMerge/>
            <w:tcBorders>
              <w:top w:val="nil"/>
            </w:tcBorders>
          </w:tcPr>
          <w:p>
            <w:pPr>
              <w:rPr>
                <w:sz w:val="2"/>
                <w:szCs w:val="2"/>
              </w:rPr>
            </w:pPr>
          </w:p>
        </w:tc>
      </w:tr>
      <w:tr>
        <w:trPr>
          <w:trHeight w:val="1867" w:hRule="atLeast"/>
        </w:trPr>
        <w:tc>
          <w:tcPr>
            <w:tcW w:w="554" w:type="dxa"/>
          </w:tcPr>
          <w:p>
            <w:pPr>
              <w:pStyle w:val="TableParagraph"/>
              <w:spacing w:line="230" w:lineRule="exact"/>
              <w:ind w:left="107"/>
              <w:rPr>
                <w:sz w:val="18"/>
              </w:rPr>
            </w:pPr>
            <w:r>
              <w:rPr>
                <w:sz w:val="18"/>
              </w:rPr>
              <w:t>一</w:t>
            </w:r>
          </w:p>
          <w:p>
            <w:pPr>
              <w:pStyle w:val="TableParagraph"/>
              <w:spacing w:line="242" w:lineRule="auto" w:before="4"/>
              <w:ind w:left="107" w:right="254"/>
              <w:jc w:val="both"/>
              <w:rPr>
                <w:sz w:val="18"/>
              </w:rPr>
            </w:pPr>
            <w:r>
              <w:rPr>
                <w:sz w:val="18"/>
              </w:rPr>
              <w:t>、上年年末余</w:t>
            </w:r>
          </w:p>
          <w:p>
            <w:pPr>
              <w:pStyle w:val="TableParagraph"/>
              <w:spacing w:line="213" w:lineRule="exact" w:before="2"/>
              <w:ind w:left="107"/>
              <w:rPr>
                <w:sz w:val="18"/>
              </w:rPr>
            </w:pPr>
            <w:r>
              <w:rPr>
                <w:sz w:val="18"/>
              </w:rPr>
              <w:t>额 </w:t>
            </w:r>
          </w:p>
        </w:tc>
        <w:tc>
          <w:tcPr>
            <w:tcW w:w="748" w:type="dxa"/>
          </w:tcPr>
          <w:p>
            <w:pPr>
              <w:pStyle w:val="TableParagraph"/>
              <w:rPr>
                <w:sz w:val="22"/>
              </w:rPr>
            </w:pPr>
          </w:p>
          <w:p>
            <w:pPr>
              <w:pStyle w:val="TableParagraph"/>
              <w:spacing w:before="7"/>
              <w:rPr>
                <w:sz w:val="31"/>
              </w:rPr>
            </w:pPr>
          </w:p>
          <w:p>
            <w:pPr>
              <w:pStyle w:val="TableParagraph"/>
              <w:spacing w:line="241" w:lineRule="exact" w:before="1"/>
              <w:ind w:left="168"/>
              <w:rPr>
                <w:rFonts w:ascii="Times New Roman"/>
                <w:sz w:val="21"/>
              </w:rPr>
            </w:pPr>
            <w:r>
              <w:rPr>
                <w:rFonts w:ascii="Times New Roman"/>
                <w:sz w:val="21"/>
              </w:rPr>
              <w:t>19,87</w:t>
            </w:r>
          </w:p>
          <w:p>
            <w:pPr>
              <w:pStyle w:val="TableParagraph"/>
              <w:spacing w:line="241" w:lineRule="exact"/>
              <w:ind w:left="168"/>
              <w:rPr>
                <w:rFonts w:ascii="Times New Roman"/>
                <w:sz w:val="21"/>
              </w:rPr>
            </w:pPr>
            <w:r>
              <w:rPr>
                <w:rFonts w:ascii="Times New Roman"/>
                <w:sz w:val="21"/>
              </w:rPr>
              <w:t>0,646</w:t>
            </w:r>
          </w:p>
        </w:tc>
        <w:tc>
          <w:tcPr>
            <w:tcW w:w="316" w:type="dxa"/>
          </w:tcPr>
          <w:p>
            <w:pPr>
              <w:pStyle w:val="TableParagraph"/>
              <w:rPr>
                <w:rFonts w:ascii="Times New Roman"/>
                <w:sz w:val="18"/>
              </w:rPr>
            </w:pPr>
          </w:p>
        </w:tc>
        <w:tc>
          <w:tcPr>
            <w:tcW w:w="316" w:type="dxa"/>
          </w:tcPr>
          <w:p>
            <w:pPr>
              <w:pStyle w:val="TableParagraph"/>
              <w:rPr>
                <w:rFonts w:ascii="Times New Roman"/>
                <w:sz w:val="18"/>
              </w:rPr>
            </w:pPr>
          </w:p>
        </w:tc>
        <w:tc>
          <w:tcPr>
            <w:tcW w:w="319" w:type="dxa"/>
          </w:tcPr>
          <w:p>
            <w:pPr>
              <w:pStyle w:val="TableParagraph"/>
              <w:rPr>
                <w:rFonts w:ascii="Times New Roman"/>
                <w:sz w:val="18"/>
              </w:rPr>
            </w:pPr>
          </w:p>
        </w:tc>
        <w:tc>
          <w:tcPr>
            <w:tcW w:w="748" w:type="dxa"/>
          </w:tcPr>
          <w:p>
            <w:pPr>
              <w:pStyle w:val="TableParagraph"/>
              <w:rPr>
                <w:sz w:val="22"/>
              </w:rPr>
            </w:pPr>
          </w:p>
          <w:p>
            <w:pPr>
              <w:pStyle w:val="TableParagraph"/>
              <w:spacing w:before="7"/>
              <w:rPr>
                <w:sz w:val="31"/>
              </w:rPr>
            </w:pPr>
          </w:p>
          <w:p>
            <w:pPr>
              <w:pStyle w:val="TableParagraph"/>
              <w:spacing w:line="241" w:lineRule="exact" w:before="1"/>
              <w:ind w:left="168"/>
              <w:rPr>
                <w:rFonts w:ascii="Times New Roman"/>
                <w:sz w:val="21"/>
              </w:rPr>
            </w:pPr>
            <w:r>
              <w:rPr>
                <w:rFonts w:ascii="Times New Roman"/>
                <w:sz w:val="21"/>
              </w:rPr>
              <w:t>27,75</w:t>
            </w:r>
          </w:p>
          <w:p>
            <w:pPr>
              <w:pStyle w:val="TableParagraph"/>
              <w:spacing w:line="241" w:lineRule="exact"/>
              <w:ind w:left="168"/>
              <w:rPr>
                <w:rFonts w:ascii="Times New Roman"/>
                <w:sz w:val="21"/>
              </w:rPr>
            </w:pPr>
            <w:r>
              <w:rPr>
                <w:rFonts w:ascii="Times New Roman"/>
                <w:sz w:val="21"/>
              </w:rPr>
              <w:t>8,040</w:t>
            </w:r>
          </w:p>
        </w:tc>
        <w:tc>
          <w:tcPr>
            <w:tcW w:w="602" w:type="dxa"/>
          </w:tcPr>
          <w:p>
            <w:pPr>
              <w:pStyle w:val="TableParagraph"/>
              <w:rPr>
                <w:sz w:val="22"/>
              </w:rPr>
            </w:pPr>
          </w:p>
          <w:p>
            <w:pPr>
              <w:pStyle w:val="TableParagraph"/>
              <w:rPr>
                <w:sz w:val="22"/>
              </w:rPr>
            </w:pPr>
          </w:p>
          <w:p>
            <w:pPr>
              <w:pStyle w:val="TableParagraph"/>
              <w:ind w:left="131" w:right="73" w:firstLine="297"/>
              <w:rPr>
                <w:rFonts w:ascii="Times New Roman"/>
                <w:sz w:val="21"/>
              </w:rPr>
            </w:pPr>
            <w:r>
              <w:rPr>
                <w:rFonts w:ascii="Times New Roman"/>
                <w:sz w:val="21"/>
              </w:rPr>
              <w:t>-</w:t>
            </w:r>
            <w:r>
              <w:rPr>
                <w:rFonts w:ascii="Times New Roman"/>
                <w:spacing w:val="-50"/>
                <w:sz w:val="21"/>
              </w:rPr>
              <w:t> </w:t>
            </w:r>
            <w:r>
              <w:rPr>
                <w:rFonts w:ascii="Times New Roman"/>
                <w:sz w:val="21"/>
              </w:rPr>
              <w:t>808,</w:t>
            </w:r>
          </w:p>
          <w:p>
            <w:pPr>
              <w:pStyle w:val="TableParagraph"/>
              <w:spacing w:before="2"/>
              <w:ind w:left="184"/>
              <w:rPr>
                <w:rFonts w:ascii="Times New Roman"/>
                <w:sz w:val="21"/>
              </w:rPr>
            </w:pPr>
            <w:r>
              <w:rPr>
                <w:rFonts w:ascii="Times New Roman"/>
                <w:sz w:val="21"/>
              </w:rPr>
              <w:t>531</w:t>
            </w:r>
          </w:p>
        </w:tc>
        <w:tc>
          <w:tcPr>
            <w:tcW w:w="602" w:type="dxa"/>
          </w:tcPr>
          <w:p>
            <w:pPr>
              <w:pStyle w:val="TableParagraph"/>
              <w:rPr>
                <w:sz w:val="22"/>
              </w:rPr>
            </w:pPr>
          </w:p>
          <w:p>
            <w:pPr>
              <w:pStyle w:val="TableParagraph"/>
              <w:spacing w:before="7"/>
              <w:rPr>
                <w:sz w:val="31"/>
              </w:rPr>
            </w:pPr>
          </w:p>
          <w:p>
            <w:pPr>
              <w:pStyle w:val="TableParagraph"/>
              <w:spacing w:line="241" w:lineRule="exact" w:before="1"/>
              <w:ind w:left="131"/>
              <w:rPr>
                <w:rFonts w:ascii="Times New Roman"/>
                <w:sz w:val="21"/>
              </w:rPr>
            </w:pPr>
            <w:r>
              <w:rPr>
                <w:rFonts w:ascii="Times New Roman"/>
                <w:sz w:val="21"/>
              </w:rPr>
              <w:t>424,</w:t>
            </w:r>
          </w:p>
          <w:p>
            <w:pPr>
              <w:pStyle w:val="TableParagraph"/>
              <w:spacing w:line="241" w:lineRule="exact"/>
              <w:ind w:left="184"/>
              <w:rPr>
                <w:rFonts w:ascii="Times New Roman"/>
                <w:sz w:val="21"/>
              </w:rPr>
            </w:pPr>
            <w:r>
              <w:rPr>
                <w:rFonts w:ascii="Times New Roman"/>
                <w:sz w:val="21"/>
              </w:rPr>
              <w:t>914</w:t>
            </w:r>
          </w:p>
        </w:tc>
        <w:tc>
          <w:tcPr>
            <w:tcW w:w="317" w:type="dxa"/>
          </w:tcPr>
          <w:p>
            <w:pPr>
              <w:pStyle w:val="TableParagraph"/>
              <w:rPr>
                <w:rFonts w:ascii="Times New Roman"/>
                <w:sz w:val="18"/>
              </w:rPr>
            </w:pPr>
          </w:p>
        </w:tc>
        <w:tc>
          <w:tcPr>
            <w:tcW w:w="691" w:type="dxa"/>
          </w:tcPr>
          <w:p>
            <w:pPr>
              <w:pStyle w:val="TableParagraph"/>
              <w:rPr>
                <w:sz w:val="22"/>
              </w:rPr>
            </w:pPr>
          </w:p>
          <w:p>
            <w:pPr>
              <w:pStyle w:val="TableParagraph"/>
              <w:spacing w:before="7"/>
              <w:rPr>
                <w:sz w:val="31"/>
              </w:rPr>
            </w:pPr>
          </w:p>
          <w:p>
            <w:pPr>
              <w:pStyle w:val="TableParagraph"/>
              <w:spacing w:line="241" w:lineRule="exact" w:before="1"/>
              <w:ind w:left="113"/>
              <w:rPr>
                <w:rFonts w:ascii="Times New Roman"/>
                <w:sz w:val="21"/>
              </w:rPr>
            </w:pPr>
            <w:r>
              <w:rPr>
                <w:rFonts w:ascii="Times New Roman"/>
                <w:sz w:val="21"/>
              </w:rPr>
              <w:t>1,437</w:t>
            </w:r>
          </w:p>
          <w:p>
            <w:pPr>
              <w:pStyle w:val="TableParagraph"/>
              <w:spacing w:line="241" w:lineRule="exact"/>
              <w:ind w:left="218"/>
              <w:rPr>
                <w:rFonts w:ascii="Times New Roman"/>
                <w:sz w:val="21"/>
              </w:rPr>
            </w:pPr>
            <w:r>
              <w:rPr>
                <w:rFonts w:ascii="Times New Roman"/>
                <w:sz w:val="21"/>
              </w:rPr>
              <w:t>,435</w:t>
            </w:r>
          </w:p>
        </w:tc>
        <w:tc>
          <w:tcPr>
            <w:tcW w:w="317" w:type="dxa"/>
          </w:tcPr>
          <w:p>
            <w:pPr>
              <w:pStyle w:val="TableParagraph"/>
              <w:rPr>
                <w:rFonts w:ascii="Times New Roman"/>
                <w:sz w:val="18"/>
              </w:rPr>
            </w:pPr>
          </w:p>
        </w:tc>
        <w:tc>
          <w:tcPr>
            <w:tcW w:w="751" w:type="dxa"/>
          </w:tcPr>
          <w:p>
            <w:pPr>
              <w:pStyle w:val="TableParagraph"/>
              <w:rPr>
                <w:sz w:val="22"/>
              </w:rPr>
            </w:pPr>
          </w:p>
          <w:p>
            <w:pPr>
              <w:pStyle w:val="TableParagraph"/>
              <w:spacing w:before="7"/>
              <w:rPr>
                <w:sz w:val="31"/>
              </w:rPr>
            </w:pPr>
          </w:p>
          <w:p>
            <w:pPr>
              <w:pStyle w:val="TableParagraph"/>
              <w:spacing w:line="241" w:lineRule="exact" w:before="1"/>
              <w:ind w:left="173"/>
              <w:rPr>
                <w:rFonts w:ascii="Times New Roman"/>
                <w:sz w:val="21"/>
              </w:rPr>
            </w:pPr>
            <w:r>
              <w:rPr>
                <w:rFonts w:ascii="Times New Roman"/>
                <w:sz w:val="21"/>
              </w:rPr>
              <w:t>55,07</w:t>
            </w:r>
          </w:p>
          <w:p>
            <w:pPr>
              <w:pStyle w:val="TableParagraph"/>
              <w:spacing w:line="241" w:lineRule="exact"/>
              <w:ind w:left="173"/>
              <w:rPr>
                <w:rFonts w:ascii="Times New Roman"/>
                <w:sz w:val="21"/>
              </w:rPr>
            </w:pPr>
            <w:r>
              <w:rPr>
                <w:rFonts w:ascii="Times New Roman"/>
                <w:sz w:val="21"/>
              </w:rPr>
              <w:t>0,045</w:t>
            </w:r>
          </w:p>
        </w:tc>
        <w:tc>
          <w:tcPr>
            <w:tcW w:w="317" w:type="dxa"/>
          </w:tcPr>
          <w:p>
            <w:pPr>
              <w:pStyle w:val="TableParagraph"/>
              <w:rPr>
                <w:rFonts w:ascii="Times New Roman"/>
                <w:sz w:val="18"/>
              </w:rPr>
            </w:pPr>
          </w:p>
        </w:tc>
        <w:tc>
          <w:tcPr>
            <w:tcW w:w="810" w:type="dxa"/>
          </w:tcPr>
          <w:p>
            <w:pPr>
              <w:pStyle w:val="TableParagraph"/>
              <w:rPr>
                <w:sz w:val="22"/>
              </w:rPr>
            </w:pPr>
          </w:p>
          <w:p>
            <w:pPr>
              <w:pStyle w:val="TableParagraph"/>
              <w:spacing w:before="7"/>
              <w:rPr>
                <w:sz w:val="31"/>
              </w:rPr>
            </w:pPr>
          </w:p>
          <w:p>
            <w:pPr>
              <w:pStyle w:val="TableParagraph"/>
              <w:spacing w:line="241" w:lineRule="exact" w:before="1"/>
              <w:ind w:left="127"/>
              <w:rPr>
                <w:rFonts w:ascii="Times New Roman"/>
                <w:sz w:val="21"/>
              </w:rPr>
            </w:pPr>
            <w:r>
              <w:rPr>
                <w:rFonts w:ascii="Times New Roman"/>
                <w:sz w:val="21"/>
              </w:rPr>
              <w:t>103,75</w:t>
            </w:r>
          </w:p>
          <w:p>
            <w:pPr>
              <w:pStyle w:val="TableParagraph"/>
              <w:spacing w:line="241" w:lineRule="exact"/>
              <w:ind w:left="233"/>
              <w:rPr>
                <w:rFonts w:ascii="Times New Roman"/>
                <w:sz w:val="21"/>
              </w:rPr>
            </w:pPr>
            <w:r>
              <w:rPr>
                <w:rFonts w:ascii="Times New Roman"/>
                <w:sz w:val="21"/>
              </w:rPr>
              <w:t>2,549</w:t>
            </w:r>
          </w:p>
        </w:tc>
        <w:tc>
          <w:tcPr>
            <w:tcW w:w="603" w:type="dxa"/>
          </w:tcPr>
          <w:p>
            <w:pPr>
              <w:pStyle w:val="TableParagraph"/>
              <w:rPr>
                <w:sz w:val="22"/>
              </w:rPr>
            </w:pPr>
          </w:p>
          <w:p>
            <w:pPr>
              <w:pStyle w:val="TableParagraph"/>
              <w:spacing w:before="7"/>
              <w:rPr>
                <w:sz w:val="31"/>
              </w:rPr>
            </w:pPr>
          </w:p>
          <w:p>
            <w:pPr>
              <w:pStyle w:val="TableParagraph"/>
              <w:spacing w:line="241" w:lineRule="exact" w:before="1"/>
              <w:ind w:left="131"/>
              <w:rPr>
                <w:rFonts w:ascii="Times New Roman"/>
                <w:sz w:val="21"/>
              </w:rPr>
            </w:pPr>
            <w:r>
              <w:rPr>
                <w:rFonts w:ascii="Times New Roman"/>
                <w:sz w:val="21"/>
              </w:rPr>
              <w:t>288,</w:t>
            </w:r>
          </w:p>
          <w:p>
            <w:pPr>
              <w:pStyle w:val="TableParagraph"/>
              <w:spacing w:line="241" w:lineRule="exact"/>
              <w:ind w:left="184"/>
              <w:rPr>
                <w:rFonts w:ascii="Times New Roman"/>
                <w:sz w:val="21"/>
              </w:rPr>
            </w:pPr>
            <w:r>
              <w:rPr>
                <w:rFonts w:ascii="Times New Roman"/>
                <w:sz w:val="21"/>
              </w:rPr>
              <w:t>149</w:t>
            </w:r>
          </w:p>
        </w:tc>
        <w:tc>
          <w:tcPr>
            <w:tcW w:w="809" w:type="dxa"/>
          </w:tcPr>
          <w:p>
            <w:pPr>
              <w:pStyle w:val="TableParagraph"/>
              <w:rPr>
                <w:sz w:val="22"/>
              </w:rPr>
            </w:pPr>
          </w:p>
          <w:p>
            <w:pPr>
              <w:pStyle w:val="TableParagraph"/>
              <w:spacing w:before="7"/>
              <w:rPr>
                <w:sz w:val="31"/>
              </w:rPr>
            </w:pPr>
          </w:p>
          <w:p>
            <w:pPr>
              <w:pStyle w:val="TableParagraph"/>
              <w:spacing w:line="241" w:lineRule="exact" w:before="1"/>
              <w:ind w:left="126"/>
              <w:rPr>
                <w:rFonts w:ascii="Times New Roman"/>
                <w:sz w:val="21"/>
              </w:rPr>
            </w:pPr>
            <w:r>
              <w:rPr>
                <w:rFonts w:ascii="Times New Roman"/>
                <w:sz w:val="21"/>
              </w:rPr>
              <w:t>104,04</w:t>
            </w:r>
          </w:p>
          <w:p>
            <w:pPr>
              <w:pStyle w:val="TableParagraph"/>
              <w:spacing w:line="241" w:lineRule="exact"/>
              <w:ind w:left="231"/>
              <w:rPr>
                <w:rFonts w:ascii="Times New Roman"/>
                <w:sz w:val="21"/>
              </w:rPr>
            </w:pPr>
            <w:r>
              <w:rPr>
                <w:rFonts w:ascii="Times New Roman"/>
                <w:sz w:val="21"/>
              </w:rPr>
              <w:t>0,698</w:t>
            </w:r>
          </w:p>
        </w:tc>
      </w:tr>
      <w:tr>
        <w:trPr>
          <w:trHeight w:val="1869" w:hRule="atLeast"/>
        </w:trPr>
        <w:tc>
          <w:tcPr>
            <w:tcW w:w="554" w:type="dxa"/>
          </w:tcPr>
          <w:p>
            <w:pPr>
              <w:pStyle w:val="TableParagraph"/>
              <w:spacing w:before="2"/>
              <w:ind w:left="107"/>
              <w:rPr>
                <w:sz w:val="18"/>
              </w:rPr>
            </w:pPr>
            <w:r>
              <w:rPr>
                <w:sz w:val="18"/>
              </w:rPr>
              <w:t>加</w:t>
            </w:r>
          </w:p>
          <w:p>
            <w:pPr>
              <w:pStyle w:val="TableParagraph"/>
              <w:spacing w:line="242" w:lineRule="auto" w:before="2"/>
              <w:ind w:left="107" w:right="254"/>
              <w:jc w:val="both"/>
              <w:rPr>
                <w:sz w:val="18"/>
              </w:rPr>
            </w:pPr>
            <w:r>
              <w:rPr>
                <w:sz w:val="18"/>
              </w:rPr>
              <w:t>：</w:t>
            </w:r>
            <w:r>
              <w:rPr>
                <w:spacing w:val="-88"/>
                <w:sz w:val="18"/>
              </w:rPr>
              <w:t> </w:t>
            </w:r>
            <w:r>
              <w:rPr>
                <w:sz w:val="18"/>
              </w:rPr>
              <w:t>会计政策变</w:t>
            </w:r>
          </w:p>
          <w:p>
            <w:pPr>
              <w:pStyle w:val="TableParagraph"/>
              <w:spacing w:line="215" w:lineRule="exact" w:before="2"/>
              <w:ind w:left="107"/>
              <w:rPr>
                <w:sz w:val="18"/>
              </w:rPr>
            </w:pPr>
            <w:r>
              <w:rPr>
                <w:sz w:val="18"/>
              </w:rPr>
              <w:t>更 </w:t>
            </w:r>
          </w:p>
        </w:tc>
        <w:tc>
          <w:tcPr>
            <w:tcW w:w="748" w:type="dxa"/>
          </w:tcPr>
          <w:p>
            <w:pPr>
              <w:pStyle w:val="TableParagraph"/>
              <w:rPr>
                <w:rFonts w:ascii="Times New Roman"/>
                <w:sz w:val="18"/>
              </w:rPr>
            </w:pPr>
          </w:p>
        </w:tc>
        <w:tc>
          <w:tcPr>
            <w:tcW w:w="316" w:type="dxa"/>
          </w:tcPr>
          <w:p>
            <w:pPr>
              <w:pStyle w:val="TableParagraph"/>
              <w:rPr>
                <w:rFonts w:ascii="Times New Roman"/>
                <w:sz w:val="18"/>
              </w:rPr>
            </w:pPr>
          </w:p>
        </w:tc>
        <w:tc>
          <w:tcPr>
            <w:tcW w:w="316" w:type="dxa"/>
          </w:tcPr>
          <w:p>
            <w:pPr>
              <w:pStyle w:val="TableParagraph"/>
              <w:rPr>
                <w:rFonts w:ascii="Times New Roman"/>
                <w:sz w:val="18"/>
              </w:rPr>
            </w:pPr>
          </w:p>
        </w:tc>
        <w:tc>
          <w:tcPr>
            <w:tcW w:w="319" w:type="dxa"/>
          </w:tcPr>
          <w:p>
            <w:pPr>
              <w:pStyle w:val="TableParagraph"/>
              <w:rPr>
                <w:rFonts w:ascii="Times New Roman"/>
                <w:sz w:val="18"/>
              </w:rPr>
            </w:pPr>
          </w:p>
        </w:tc>
        <w:tc>
          <w:tcPr>
            <w:tcW w:w="748" w:type="dxa"/>
          </w:tcPr>
          <w:p>
            <w:pPr>
              <w:pStyle w:val="TableParagraph"/>
              <w:rPr>
                <w:rFonts w:ascii="Times New Roman"/>
                <w:sz w:val="18"/>
              </w:rPr>
            </w:pPr>
          </w:p>
        </w:tc>
        <w:tc>
          <w:tcPr>
            <w:tcW w:w="602" w:type="dxa"/>
          </w:tcPr>
          <w:p>
            <w:pPr>
              <w:pStyle w:val="TableParagraph"/>
              <w:rPr>
                <w:rFonts w:ascii="Times New Roman"/>
                <w:sz w:val="18"/>
              </w:rPr>
            </w:pPr>
          </w:p>
        </w:tc>
        <w:tc>
          <w:tcPr>
            <w:tcW w:w="602" w:type="dxa"/>
          </w:tcPr>
          <w:p>
            <w:pPr>
              <w:pStyle w:val="TableParagraph"/>
              <w:rPr>
                <w:rFonts w:ascii="Times New Roman"/>
                <w:sz w:val="18"/>
              </w:rPr>
            </w:pPr>
          </w:p>
        </w:tc>
        <w:tc>
          <w:tcPr>
            <w:tcW w:w="317" w:type="dxa"/>
          </w:tcPr>
          <w:p>
            <w:pPr>
              <w:pStyle w:val="TableParagraph"/>
              <w:rPr>
                <w:rFonts w:ascii="Times New Roman"/>
                <w:sz w:val="18"/>
              </w:rPr>
            </w:pPr>
          </w:p>
        </w:tc>
        <w:tc>
          <w:tcPr>
            <w:tcW w:w="691" w:type="dxa"/>
          </w:tcPr>
          <w:p>
            <w:pPr>
              <w:pStyle w:val="TableParagraph"/>
              <w:rPr>
                <w:rFonts w:ascii="Times New Roman"/>
                <w:sz w:val="18"/>
              </w:rPr>
            </w:pPr>
          </w:p>
        </w:tc>
        <w:tc>
          <w:tcPr>
            <w:tcW w:w="317" w:type="dxa"/>
          </w:tcPr>
          <w:p>
            <w:pPr>
              <w:pStyle w:val="TableParagraph"/>
              <w:rPr>
                <w:rFonts w:ascii="Times New Roman"/>
                <w:sz w:val="18"/>
              </w:rPr>
            </w:pPr>
          </w:p>
        </w:tc>
        <w:tc>
          <w:tcPr>
            <w:tcW w:w="751" w:type="dxa"/>
          </w:tcPr>
          <w:p>
            <w:pPr>
              <w:pStyle w:val="TableParagraph"/>
              <w:rPr>
                <w:rFonts w:ascii="Times New Roman"/>
                <w:sz w:val="18"/>
              </w:rPr>
            </w:pPr>
          </w:p>
        </w:tc>
        <w:tc>
          <w:tcPr>
            <w:tcW w:w="317" w:type="dxa"/>
          </w:tcPr>
          <w:p>
            <w:pPr>
              <w:pStyle w:val="TableParagraph"/>
              <w:rPr>
                <w:rFonts w:ascii="Times New Roman"/>
                <w:sz w:val="18"/>
              </w:rPr>
            </w:pPr>
          </w:p>
        </w:tc>
        <w:tc>
          <w:tcPr>
            <w:tcW w:w="810" w:type="dxa"/>
          </w:tcPr>
          <w:p>
            <w:pPr>
              <w:pStyle w:val="TableParagraph"/>
              <w:rPr>
                <w:rFonts w:ascii="Times New Roman"/>
                <w:sz w:val="18"/>
              </w:rPr>
            </w:pPr>
          </w:p>
        </w:tc>
        <w:tc>
          <w:tcPr>
            <w:tcW w:w="603" w:type="dxa"/>
          </w:tcPr>
          <w:p>
            <w:pPr>
              <w:pStyle w:val="TableParagraph"/>
              <w:rPr>
                <w:rFonts w:ascii="Times New Roman"/>
                <w:sz w:val="18"/>
              </w:rPr>
            </w:pPr>
          </w:p>
        </w:tc>
        <w:tc>
          <w:tcPr>
            <w:tcW w:w="809" w:type="dxa"/>
          </w:tcPr>
          <w:p>
            <w:pPr>
              <w:pStyle w:val="TableParagraph"/>
              <w:rPr>
                <w:rFonts w:ascii="Times New Roman"/>
                <w:sz w:val="18"/>
              </w:rPr>
            </w:pPr>
          </w:p>
        </w:tc>
      </w:tr>
      <w:tr>
        <w:trPr>
          <w:trHeight w:val="1401" w:hRule="atLeast"/>
        </w:trPr>
        <w:tc>
          <w:tcPr>
            <w:tcW w:w="554" w:type="dxa"/>
          </w:tcPr>
          <w:p>
            <w:pPr>
              <w:pStyle w:val="TableParagraph"/>
              <w:spacing w:before="1"/>
              <w:rPr>
                <w:sz w:val="18"/>
              </w:rPr>
            </w:pPr>
          </w:p>
          <w:p>
            <w:pPr>
              <w:pStyle w:val="TableParagraph"/>
              <w:spacing w:line="242" w:lineRule="auto" w:before="1"/>
              <w:ind w:left="107" w:right="254"/>
              <w:jc w:val="both"/>
              <w:rPr>
                <w:sz w:val="18"/>
              </w:rPr>
            </w:pPr>
            <w:r>
              <w:rPr>
                <w:sz w:val="18"/>
              </w:rPr>
              <w:t>期差错更</w:t>
            </w:r>
          </w:p>
          <w:p>
            <w:pPr>
              <w:pStyle w:val="TableParagraph"/>
              <w:spacing w:line="215" w:lineRule="exact" w:before="2"/>
              <w:ind w:left="107"/>
              <w:rPr>
                <w:sz w:val="18"/>
              </w:rPr>
            </w:pPr>
            <w:r>
              <w:rPr>
                <w:sz w:val="18"/>
              </w:rPr>
              <w:t>正 </w:t>
            </w:r>
          </w:p>
        </w:tc>
        <w:tc>
          <w:tcPr>
            <w:tcW w:w="748" w:type="dxa"/>
          </w:tcPr>
          <w:p>
            <w:pPr>
              <w:pStyle w:val="TableParagraph"/>
              <w:rPr>
                <w:rFonts w:ascii="Times New Roman"/>
                <w:sz w:val="18"/>
              </w:rPr>
            </w:pPr>
          </w:p>
        </w:tc>
        <w:tc>
          <w:tcPr>
            <w:tcW w:w="316" w:type="dxa"/>
          </w:tcPr>
          <w:p>
            <w:pPr>
              <w:pStyle w:val="TableParagraph"/>
              <w:rPr>
                <w:rFonts w:ascii="Times New Roman"/>
                <w:sz w:val="18"/>
              </w:rPr>
            </w:pPr>
          </w:p>
        </w:tc>
        <w:tc>
          <w:tcPr>
            <w:tcW w:w="316" w:type="dxa"/>
          </w:tcPr>
          <w:p>
            <w:pPr>
              <w:pStyle w:val="TableParagraph"/>
              <w:rPr>
                <w:rFonts w:ascii="Times New Roman"/>
                <w:sz w:val="18"/>
              </w:rPr>
            </w:pPr>
          </w:p>
        </w:tc>
        <w:tc>
          <w:tcPr>
            <w:tcW w:w="319" w:type="dxa"/>
          </w:tcPr>
          <w:p>
            <w:pPr>
              <w:pStyle w:val="TableParagraph"/>
              <w:rPr>
                <w:rFonts w:ascii="Times New Roman"/>
                <w:sz w:val="18"/>
              </w:rPr>
            </w:pPr>
          </w:p>
        </w:tc>
        <w:tc>
          <w:tcPr>
            <w:tcW w:w="748" w:type="dxa"/>
          </w:tcPr>
          <w:p>
            <w:pPr>
              <w:pStyle w:val="TableParagraph"/>
              <w:rPr>
                <w:rFonts w:ascii="Times New Roman"/>
                <w:sz w:val="18"/>
              </w:rPr>
            </w:pPr>
          </w:p>
        </w:tc>
        <w:tc>
          <w:tcPr>
            <w:tcW w:w="602" w:type="dxa"/>
          </w:tcPr>
          <w:p>
            <w:pPr>
              <w:pStyle w:val="TableParagraph"/>
              <w:rPr>
                <w:rFonts w:ascii="Times New Roman"/>
                <w:sz w:val="18"/>
              </w:rPr>
            </w:pPr>
          </w:p>
        </w:tc>
        <w:tc>
          <w:tcPr>
            <w:tcW w:w="602" w:type="dxa"/>
          </w:tcPr>
          <w:p>
            <w:pPr>
              <w:pStyle w:val="TableParagraph"/>
              <w:rPr>
                <w:rFonts w:ascii="Times New Roman"/>
                <w:sz w:val="18"/>
              </w:rPr>
            </w:pPr>
          </w:p>
        </w:tc>
        <w:tc>
          <w:tcPr>
            <w:tcW w:w="317" w:type="dxa"/>
          </w:tcPr>
          <w:p>
            <w:pPr>
              <w:pStyle w:val="TableParagraph"/>
              <w:rPr>
                <w:rFonts w:ascii="Times New Roman"/>
                <w:sz w:val="18"/>
              </w:rPr>
            </w:pPr>
          </w:p>
        </w:tc>
        <w:tc>
          <w:tcPr>
            <w:tcW w:w="691" w:type="dxa"/>
          </w:tcPr>
          <w:p>
            <w:pPr>
              <w:pStyle w:val="TableParagraph"/>
              <w:rPr>
                <w:rFonts w:ascii="Times New Roman"/>
                <w:sz w:val="18"/>
              </w:rPr>
            </w:pPr>
          </w:p>
        </w:tc>
        <w:tc>
          <w:tcPr>
            <w:tcW w:w="317" w:type="dxa"/>
          </w:tcPr>
          <w:p>
            <w:pPr>
              <w:pStyle w:val="TableParagraph"/>
              <w:rPr>
                <w:rFonts w:ascii="Times New Roman"/>
                <w:sz w:val="18"/>
              </w:rPr>
            </w:pPr>
          </w:p>
        </w:tc>
        <w:tc>
          <w:tcPr>
            <w:tcW w:w="751" w:type="dxa"/>
          </w:tcPr>
          <w:p>
            <w:pPr>
              <w:pStyle w:val="TableParagraph"/>
              <w:rPr>
                <w:rFonts w:ascii="Times New Roman"/>
                <w:sz w:val="18"/>
              </w:rPr>
            </w:pPr>
          </w:p>
        </w:tc>
        <w:tc>
          <w:tcPr>
            <w:tcW w:w="317" w:type="dxa"/>
          </w:tcPr>
          <w:p>
            <w:pPr>
              <w:pStyle w:val="TableParagraph"/>
              <w:rPr>
                <w:rFonts w:ascii="Times New Roman"/>
                <w:sz w:val="18"/>
              </w:rPr>
            </w:pPr>
          </w:p>
        </w:tc>
        <w:tc>
          <w:tcPr>
            <w:tcW w:w="810" w:type="dxa"/>
          </w:tcPr>
          <w:p>
            <w:pPr>
              <w:pStyle w:val="TableParagraph"/>
              <w:rPr>
                <w:rFonts w:ascii="Times New Roman"/>
                <w:sz w:val="18"/>
              </w:rPr>
            </w:pPr>
          </w:p>
        </w:tc>
        <w:tc>
          <w:tcPr>
            <w:tcW w:w="603" w:type="dxa"/>
          </w:tcPr>
          <w:p>
            <w:pPr>
              <w:pStyle w:val="TableParagraph"/>
              <w:rPr>
                <w:rFonts w:ascii="Times New Roman"/>
                <w:sz w:val="18"/>
              </w:rPr>
            </w:pPr>
          </w:p>
        </w:tc>
        <w:tc>
          <w:tcPr>
            <w:tcW w:w="809" w:type="dxa"/>
          </w:tcPr>
          <w:p>
            <w:pPr>
              <w:pStyle w:val="TableParagraph"/>
              <w:rPr>
                <w:rFonts w:ascii="Times New Roman"/>
                <w:sz w:val="18"/>
              </w:rPr>
            </w:pPr>
          </w:p>
        </w:tc>
      </w:tr>
      <w:tr>
        <w:trPr>
          <w:trHeight w:val="2100" w:hRule="atLeast"/>
        </w:trPr>
        <w:tc>
          <w:tcPr>
            <w:tcW w:w="554" w:type="dxa"/>
          </w:tcPr>
          <w:p>
            <w:pPr>
              <w:pStyle w:val="TableParagraph"/>
              <w:spacing w:before="2"/>
              <w:rPr>
                <w:sz w:val="18"/>
              </w:rPr>
            </w:pPr>
          </w:p>
          <w:p>
            <w:pPr>
              <w:pStyle w:val="TableParagraph"/>
              <w:spacing w:line="242" w:lineRule="auto"/>
              <w:ind w:left="107" w:right="254"/>
              <w:jc w:val="both"/>
              <w:rPr>
                <w:sz w:val="18"/>
              </w:rPr>
            </w:pPr>
            <w:r>
              <w:rPr>
                <w:sz w:val="18"/>
              </w:rPr>
              <w:t>一控制下企业合</w:t>
            </w:r>
          </w:p>
          <w:p>
            <w:pPr>
              <w:pStyle w:val="TableParagraph"/>
              <w:spacing w:line="213" w:lineRule="exact" w:before="4"/>
              <w:ind w:left="107"/>
              <w:rPr>
                <w:sz w:val="18"/>
              </w:rPr>
            </w:pPr>
            <w:r>
              <w:rPr>
                <w:sz w:val="18"/>
              </w:rPr>
              <w:t>并 </w:t>
            </w:r>
          </w:p>
        </w:tc>
        <w:tc>
          <w:tcPr>
            <w:tcW w:w="748" w:type="dxa"/>
          </w:tcPr>
          <w:p>
            <w:pPr>
              <w:pStyle w:val="TableParagraph"/>
              <w:rPr>
                <w:rFonts w:ascii="Times New Roman"/>
                <w:sz w:val="18"/>
              </w:rPr>
            </w:pPr>
          </w:p>
        </w:tc>
        <w:tc>
          <w:tcPr>
            <w:tcW w:w="316" w:type="dxa"/>
          </w:tcPr>
          <w:p>
            <w:pPr>
              <w:pStyle w:val="TableParagraph"/>
              <w:rPr>
                <w:rFonts w:ascii="Times New Roman"/>
                <w:sz w:val="18"/>
              </w:rPr>
            </w:pPr>
          </w:p>
        </w:tc>
        <w:tc>
          <w:tcPr>
            <w:tcW w:w="316" w:type="dxa"/>
          </w:tcPr>
          <w:p>
            <w:pPr>
              <w:pStyle w:val="TableParagraph"/>
              <w:rPr>
                <w:rFonts w:ascii="Times New Roman"/>
                <w:sz w:val="18"/>
              </w:rPr>
            </w:pPr>
          </w:p>
        </w:tc>
        <w:tc>
          <w:tcPr>
            <w:tcW w:w="319" w:type="dxa"/>
          </w:tcPr>
          <w:p>
            <w:pPr>
              <w:pStyle w:val="TableParagraph"/>
              <w:rPr>
                <w:rFonts w:ascii="Times New Roman"/>
                <w:sz w:val="18"/>
              </w:rPr>
            </w:pPr>
          </w:p>
        </w:tc>
        <w:tc>
          <w:tcPr>
            <w:tcW w:w="748" w:type="dxa"/>
          </w:tcPr>
          <w:p>
            <w:pPr>
              <w:pStyle w:val="TableParagraph"/>
              <w:rPr>
                <w:rFonts w:ascii="Times New Roman"/>
                <w:sz w:val="18"/>
              </w:rPr>
            </w:pPr>
          </w:p>
        </w:tc>
        <w:tc>
          <w:tcPr>
            <w:tcW w:w="602" w:type="dxa"/>
          </w:tcPr>
          <w:p>
            <w:pPr>
              <w:pStyle w:val="TableParagraph"/>
              <w:rPr>
                <w:rFonts w:ascii="Times New Roman"/>
                <w:sz w:val="18"/>
              </w:rPr>
            </w:pPr>
          </w:p>
        </w:tc>
        <w:tc>
          <w:tcPr>
            <w:tcW w:w="602" w:type="dxa"/>
          </w:tcPr>
          <w:p>
            <w:pPr>
              <w:pStyle w:val="TableParagraph"/>
              <w:rPr>
                <w:rFonts w:ascii="Times New Roman"/>
                <w:sz w:val="18"/>
              </w:rPr>
            </w:pPr>
          </w:p>
        </w:tc>
        <w:tc>
          <w:tcPr>
            <w:tcW w:w="317" w:type="dxa"/>
          </w:tcPr>
          <w:p>
            <w:pPr>
              <w:pStyle w:val="TableParagraph"/>
              <w:rPr>
                <w:rFonts w:ascii="Times New Roman"/>
                <w:sz w:val="18"/>
              </w:rPr>
            </w:pPr>
          </w:p>
        </w:tc>
        <w:tc>
          <w:tcPr>
            <w:tcW w:w="691" w:type="dxa"/>
          </w:tcPr>
          <w:p>
            <w:pPr>
              <w:pStyle w:val="TableParagraph"/>
              <w:rPr>
                <w:rFonts w:ascii="Times New Roman"/>
                <w:sz w:val="18"/>
              </w:rPr>
            </w:pPr>
          </w:p>
        </w:tc>
        <w:tc>
          <w:tcPr>
            <w:tcW w:w="317" w:type="dxa"/>
          </w:tcPr>
          <w:p>
            <w:pPr>
              <w:pStyle w:val="TableParagraph"/>
              <w:rPr>
                <w:rFonts w:ascii="Times New Roman"/>
                <w:sz w:val="18"/>
              </w:rPr>
            </w:pPr>
          </w:p>
        </w:tc>
        <w:tc>
          <w:tcPr>
            <w:tcW w:w="751" w:type="dxa"/>
          </w:tcPr>
          <w:p>
            <w:pPr>
              <w:pStyle w:val="TableParagraph"/>
              <w:rPr>
                <w:rFonts w:ascii="Times New Roman"/>
                <w:sz w:val="18"/>
              </w:rPr>
            </w:pPr>
          </w:p>
        </w:tc>
        <w:tc>
          <w:tcPr>
            <w:tcW w:w="317" w:type="dxa"/>
          </w:tcPr>
          <w:p>
            <w:pPr>
              <w:pStyle w:val="TableParagraph"/>
              <w:rPr>
                <w:rFonts w:ascii="Times New Roman"/>
                <w:sz w:val="18"/>
              </w:rPr>
            </w:pPr>
          </w:p>
        </w:tc>
        <w:tc>
          <w:tcPr>
            <w:tcW w:w="810" w:type="dxa"/>
          </w:tcPr>
          <w:p>
            <w:pPr>
              <w:pStyle w:val="TableParagraph"/>
              <w:rPr>
                <w:rFonts w:ascii="Times New Roman"/>
                <w:sz w:val="18"/>
              </w:rPr>
            </w:pPr>
          </w:p>
        </w:tc>
        <w:tc>
          <w:tcPr>
            <w:tcW w:w="603" w:type="dxa"/>
          </w:tcPr>
          <w:p>
            <w:pPr>
              <w:pStyle w:val="TableParagraph"/>
              <w:rPr>
                <w:rFonts w:ascii="Times New Roman"/>
                <w:sz w:val="18"/>
              </w:rPr>
            </w:pPr>
          </w:p>
        </w:tc>
        <w:tc>
          <w:tcPr>
            <w:tcW w:w="809" w:type="dxa"/>
          </w:tcPr>
          <w:p>
            <w:pPr>
              <w:pStyle w:val="TableParagraph"/>
              <w:rPr>
                <w:rFonts w:ascii="Times New Roman"/>
                <w:sz w:val="18"/>
              </w:rPr>
            </w:pPr>
          </w:p>
        </w:tc>
      </w:tr>
      <w:tr>
        <w:trPr>
          <w:trHeight w:val="467" w:hRule="atLeast"/>
        </w:trPr>
        <w:tc>
          <w:tcPr>
            <w:tcW w:w="554" w:type="dxa"/>
          </w:tcPr>
          <w:p>
            <w:pPr>
              <w:pStyle w:val="TableParagraph"/>
              <w:spacing w:before="4"/>
              <w:rPr>
                <w:sz w:val="18"/>
              </w:rPr>
            </w:pPr>
          </w:p>
          <w:p>
            <w:pPr>
              <w:pStyle w:val="TableParagraph"/>
              <w:spacing w:line="213" w:lineRule="exact"/>
              <w:ind w:left="107"/>
              <w:rPr>
                <w:sz w:val="18"/>
              </w:rPr>
            </w:pPr>
            <w:r>
              <w:rPr>
                <w:sz w:val="18"/>
              </w:rPr>
              <w:t>他 </w:t>
            </w:r>
          </w:p>
        </w:tc>
        <w:tc>
          <w:tcPr>
            <w:tcW w:w="748" w:type="dxa"/>
          </w:tcPr>
          <w:p>
            <w:pPr>
              <w:pStyle w:val="TableParagraph"/>
              <w:rPr>
                <w:rFonts w:ascii="Times New Roman"/>
                <w:sz w:val="18"/>
              </w:rPr>
            </w:pPr>
          </w:p>
        </w:tc>
        <w:tc>
          <w:tcPr>
            <w:tcW w:w="316" w:type="dxa"/>
          </w:tcPr>
          <w:p>
            <w:pPr>
              <w:pStyle w:val="TableParagraph"/>
              <w:rPr>
                <w:rFonts w:ascii="Times New Roman"/>
                <w:sz w:val="18"/>
              </w:rPr>
            </w:pPr>
          </w:p>
        </w:tc>
        <w:tc>
          <w:tcPr>
            <w:tcW w:w="316" w:type="dxa"/>
          </w:tcPr>
          <w:p>
            <w:pPr>
              <w:pStyle w:val="TableParagraph"/>
              <w:rPr>
                <w:rFonts w:ascii="Times New Roman"/>
                <w:sz w:val="18"/>
              </w:rPr>
            </w:pPr>
          </w:p>
        </w:tc>
        <w:tc>
          <w:tcPr>
            <w:tcW w:w="319" w:type="dxa"/>
          </w:tcPr>
          <w:p>
            <w:pPr>
              <w:pStyle w:val="TableParagraph"/>
              <w:rPr>
                <w:rFonts w:ascii="Times New Roman"/>
                <w:sz w:val="18"/>
              </w:rPr>
            </w:pPr>
          </w:p>
        </w:tc>
        <w:tc>
          <w:tcPr>
            <w:tcW w:w="748" w:type="dxa"/>
          </w:tcPr>
          <w:p>
            <w:pPr>
              <w:pStyle w:val="TableParagraph"/>
              <w:rPr>
                <w:rFonts w:ascii="Times New Roman"/>
                <w:sz w:val="18"/>
              </w:rPr>
            </w:pPr>
          </w:p>
        </w:tc>
        <w:tc>
          <w:tcPr>
            <w:tcW w:w="602" w:type="dxa"/>
          </w:tcPr>
          <w:p>
            <w:pPr>
              <w:pStyle w:val="TableParagraph"/>
              <w:rPr>
                <w:rFonts w:ascii="Times New Roman"/>
                <w:sz w:val="18"/>
              </w:rPr>
            </w:pPr>
          </w:p>
        </w:tc>
        <w:tc>
          <w:tcPr>
            <w:tcW w:w="602" w:type="dxa"/>
          </w:tcPr>
          <w:p>
            <w:pPr>
              <w:pStyle w:val="TableParagraph"/>
              <w:rPr>
                <w:rFonts w:ascii="Times New Roman"/>
                <w:sz w:val="18"/>
              </w:rPr>
            </w:pPr>
          </w:p>
        </w:tc>
        <w:tc>
          <w:tcPr>
            <w:tcW w:w="317" w:type="dxa"/>
          </w:tcPr>
          <w:p>
            <w:pPr>
              <w:pStyle w:val="TableParagraph"/>
              <w:rPr>
                <w:rFonts w:ascii="Times New Roman"/>
                <w:sz w:val="18"/>
              </w:rPr>
            </w:pPr>
          </w:p>
        </w:tc>
        <w:tc>
          <w:tcPr>
            <w:tcW w:w="691" w:type="dxa"/>
          </w:tcPr>
          <w:p>
            <w:pPr>
              <w:pStyle w:val="TableParagraph"/>
              <w:rPr>
                <w:rFonts w:ascii="Times New Roman"/>
                <w:sz w:val="18"/>
              </w:rPr>
            </w:pPr>
          </w:p>
        </w:tc>
        <w:tc>
          <w:tcPr>
            <w:tcW w:w="317" w:type="dxa"/>
          </w:tcPr>
          <w:p>
            <w:pPr>
              <w:pStyle w:val="TableParagraph"/>
              <w:rPr>
                <w:rFonts w:ascii="Times New Roman"/>
                <w:sz w:val="18"/>
              </w:rPr>
            </w:pPr>
          </w:p>
        </w:tc>
        <w:tc>
          <w:tcPr>
            <w:tcW w:w="751" w:type="dxa"/>
          </w:tcPr>
          <w:p>
            <w:pPr>
              <w:pStyle w:val="TableParagraph"/>
              <w:rPr>
                <w:rFonts w:ascii="Times New Roman"/>
                <w:sz w:val="18"/>
              </w:rPr>
            </w:pPr>
          </w:p>
        </w:tc>
        <w:tc>
          <w:tcPr>
            <w:tcW w:w="317" w:type="dxa"/>
          </w:tcPr>
          <w:p>
            <w:pPr>
              <w:pStyle w:val="TableParagraph"/>
              <w:rPr>
                <w:rFonts w:ascii="Times New Roman"/>
                <w:sz w:val="18"/>
              </w:rPr>
            </w:pPr>
          </w:p>
        </w:tc>
        <w:tc>
          <w:tcPr>
            <w:tcW w:w="810" w:type="dxa"/>
          </w:tcPr>
          <w:p>
            <w:pPr>
              <w:pStyle w:val="TableParagraph"/>
              <w:rPr>
                <w:rFonts w:ascii="Times New Roman"/>
                <w:sz w:val="18"/>
              </w:rPr>
            </w:pPr>
          </w:p>
        </w:tc>
        <w:tc>
          <w:tcPr>
            <w:tcW w:w="603" w:type="dxa"/>
          </w:tcPr>
          <w:p>
            <w:pPr>
              <w:pStyle w:val="TableParagraph"/>
              <w:rPr>
                <w:rFonts w:ascii="Times New Roman"/>
                <w:sz w:val="18"/>
              </w:rPr>
            </w:pPr>
          </w:p>
        </w:tc>
        <w:tc>
          <w:tcPr>
            <w:tcW w:w="809" w:type="dxa"/>
          </w:tcPr>
          <w:p>
            <w:pPr>
              <w:pStyle w:val="TableParagraph"/>
              <w:rPr>
                <w:rFonts w:ascii="Times New Roman"/>
                <w:sz w:val="18"/>
              </w:rPr>
            </w:pPr>
          </w:p>
        </w:tc>
      </w:tr>
      <w:tr>
        <w:trPr>
          <w:trHeight w:val="1867" w:hRule="atLeast"/>
        </w:trPr>
        <w:tc>
          <w:tcPr>
            <w:tcW w:w="554" w:type="dxa"/>
          </w:tcPr>
          <w:p>
            <w:pPr>
              <w:pStyle w:val="TableParagraph"/>
              <w:spacing w:line="230" w:lineRule="exact"/>
              <w:ind w:left="107"/>
              <w:rPr>
                <w:sz w:val="18"/>
              </w:rPr>
            </w:pPr>
            <w:r>
              <w:rPr>
                <w:sz w:val="18"/>
              </w:rPr>
              <w:t>二</w:t>
            </w:r>
          </w:p>
          <w:p>
            <w:pPr>
              <w:pStyle w:val="TableParagraph"/>
              <w:spacing w:line="242" w:lineRule="auto" w:before="2"/>
              <w:ind w:left="107" w:right="254"/>
              <w:jc w:val="both"/>
              <w:rPr>
                <w:sz w:val="18"/>
              </w:rPr>
            </w:pPr>
            <w:r>
              <w:rPr>
                <w:sz w:val="18"/>
              </w:rPr>
              <w:t>、本年期初余</w:t>
            </w:r>
          </w:p>
          <w:p>
            <w:pPr>
              <w:pStyle w:val="TableParagraph"/>
              <w:spacing w:line="213" w:lineRule="exact" w:before="4"/>
              <w:ind w:left="107"/>
              <w:rPr>
                <w:sz w:val="18"/>
              </w:rPr>
            </w:pPr>
            <w:r>
              <w:rPr>
                <w:sz w:val="18"/>
              </w:rPr>
              <w:t>额 </w:t>
            </w:r>
          </w:p>
        </w:tc>
        <w:tc>
          <w:tcPr>
            <w:tcW w:w="748" w:type="dxa"/>
          </w:tcPr>
          <w:p>
            <w:pPr>
              <w:pStyle w:val="TableParagraph"/>
              <w:rPr>
                <w:sz w:val="22"/>
              </w:rPr>
            </w:pPr>
          </w:p>
          <w:p>
            <w:pPr>
              <w:pStyle w:val="TableParagraph"/>
              <w:spacing w:before="5"/>
              <w:rPr>
                <w:sz w:val="31"/>
              </w:rPr>
            </w:pPr>
          </w:p>
          <w:p>
            <w:pPr>
              <w:pStyle w:val="TableParagraph"/>
              <w:ind w:left="168"/>
              <w:rPr>
                <w:rFonts w:ascii="Times New Roman"/>
                <w:sz w:val="21"/>
              </w:rPr>
            </w:pPr>
            <w:r>
              <w:rPr>
                <w:rFonts w:ascii="Times New Roman"/>
                <w:sz w:val="21"/>
              </w:rPr>
              <w:t>19,87</w:t>
            </w:r>
          </w:p>
          <w:p>
            <w:pPr>
              <w:pStyle w:val="TableParagraph"/>
              <w:spacing w:before="2"/>
              <w:ind w:left="168"/>
              <w:rPr>
                <w:rFonts w:ascii="Times New Roman"/>
                <w:sz w:val="21"/>
              </w:rPr>
            </w:pPr>
            <w:r>
              <w:rPr>
                <w:rFonts w:ascii="Times New Roman"/>
                <w:sz w:val="21"/>
              </w:rPr>
              <w:t>0,646</w:t>
            </w:r>
          </w:p>
        </w:tc>
        <w:tc>
          <w:tcPr>
            <w:tcW w:w="316" w:type="dxa"/>
          </w:tcPr>
          <w:p>
            <w:pPr>
              <w:pStyle w:val="TableParagraph"/>
              <w:rPr>
                <w:rFonts w:ascii="Times New Roman"/>
                <w:sz w:val="18"/>
              </w:rPr>
            </w:pPr>
          </w:p>
        </w:tc>
        <w:tc>
          <w:tcPr>
            <w:tcW w:w="316" w:type="dxa"/>
          </w:tcPr>
          <w:p>
            <w:pPr>
              <w:pStyle w:val="TableParagraph"/>
              <w:rPr>
                <w:rFonts w:ascii="Times New Roman"/>
                <w:sz w:val="18"/>
              </w:rPr>
            </w:pPr>
          </w:p>
        </w:tc>
        <w:tc>
          <w:tcPr>
            <w:tcW w:w="319" w:type="dxa"/>
          </w:tcPr>
          <w:p>
            <w:pPr>
              <w:pStyle w:val="TableParagraph"/>
              <w:rPr>
                <w:rFonts w:ascii="Times New Roman"/>
                <w:sz w:val="18"/>
              </w:rPr>
            </w:pPr>
          </w:p>
        </w:tc>
        <w:tc>
          <w:tcPr>
            <w:tcW w:w="748" w:type="dxa"/>
          </w:tcPr>
          <w:p>
            <w:pPr>
              <w:pStyle w:val="TableParagraph"/>
              <w:rPr>
                <w:sz w:val="22"/>
              </w:rPr>
            </w:pPr>
          </w:p>
          <w:p>
            <w:pPr>
              <w:pStyle w:val="TableParagraph"/>
              <w:spacing w:before="5"/>
              <w:rPr>
                <w:sz w:val="31"/>
              </w:rPr>
            </w:pPr>
          </w:p>
          <w:p>
            <w:pPr>
              <w:pStyle w:val="TableParagraph"/>
              <w:ind w:left="168"/>
              <w:rPr>
                <w:rFonts w:ascii="Times New Roman"/>
                <w:sz w:val="21"/>
              </w:rPr>
            </w:pPr>
            <w:r>
              <w:rPr>
                <w:rFonts w:ascii="Times New Roman"/>
                <w:sz w:val="21"/>
              </w:rPr>
              <w:t>27,75</w:t>
            </w:r>
          </w:p>
          <w:p>
            <w:pPr>
              <w:pStyle w:val="TableParagraph"/>
              <w:spacing w:before="2"/>
              <w:ind w:left="168"/>
              <w:rPr>
                <w:rFonts w:ascii="Times New Roman"/>
                <w:sz w:val="21"/>
              </w:rPr>
            </w:pPr>
            <w:r>
              <w:rPr>
                <w:rFonts w:ascii="Times New Roman"/>
                <w:sz w:val="21"/>
              </w:rPr>
              <w:t>8,040</w:t>
            </w:r>
          </w:p>
        </w:tc>
        <w:tc>
          <w:tcPr>
            <w:tcW w:w="602" w:type="dxa"/>
          </w:tcPr>
          <w:p>
            <w:pPr>
              <w:pStyle w:val="TableParagraph"/>
              <w:rPr>
                <w:sz w:val="22"/>
              </w:rPr>
            </w:pPr>
          </w:p>
          <w:p>
            <w:pPr>
              <w:pStyle w:val="TableParagraph"/>
              <w:rPr>
                <w:sz w:val="22"/>
              </w:rPr>
            </w:pPr>
          </w:p>
          <w:p>
            <w:pPr>
              <w:pStyle w:val="TableParagraph"/>
              <w:ind w:left="131" w:right="73" w:firstLine="297"/>
              <w:rPr>
                <w:rFonts w:ascii="Times New Roman"/>
                <w:sz w:val="21"/>
              </w:rPr>
            </w:pPr>
            <w:r>
              <w:rPr>
                <w:rFonts w:ascii="Times New Roman"/>
                <w:sz w:val="21"/>
              </w:rPr>
              <w:t>-</w:t>
            </w:r>
            <w:r>
              <w:rPr>
                <w:rFonts w:ascii="Times New Roman"/>
                <w:spacing w:val="-50"/>
                <w:sz w:val="21"/>
              </w:rPr>
              <w:t> </w:t>
            </w:r>
            <w:r>
              <w:rPr>
                <w:rFonts w:ascii="Times New Roman"/>
                <w:sz w:val="21"/>
              </w:rPr>
              <w:t>808,</w:t>
            </w:r>
          </w:p>
          <w:p>
            <w:pPr>
              <w:pStyle w:val="TableParagraph"/>
              <w:spacing w:before="1"/>
              <w:ind w:left="184"/>
              <w:rPr>
                <w:rFonts w:ascii="Times New Roman"/>
                <w:sz w:val="21"/>
              </w:rPr>
            </w:pPr>
            <w:r>
              <w:rPr>
                <w:rFonts w:ascii="Times New Roman"/>
                <w:sz w:val="21"/>
              </w:rPr>
              <w:t>531</w:t>
            </w:r>
          </w:p>
        </w:tc>
        <w:tc>
          <w:tcPr>
            <w:tcW w:w="602" w:type="dxa"/>
          </w:tcPr>
          <w:p>
            <w:pPr>
              <w:pStyle w:val="TableParagraph"/>
              <w:rPr>
                <w:sz w:val="22"/>
              </w:rPr>
            </w:pPr>
          </w:p>
          <w:p>
            <w:pPr>
              <w:pStyle w:val="TableParagraph"/>
              <w:spacing w:before="5"/>
              <w:rPr>
                <w:sz w:val="31"/>
              </w:rPr>
            </w:pPr>
          </w:p>
          <w:p>
            <w:pPr>
              <w:pStyle w:val="TableParagraph"/>
              <w:ind w:left="131"/>
              <w:rPr>
                <w:rFonts w:ascii="Times New Roman"/>
                <w:sz w:val="21"/>
              </w:rPr>
            </w:pPr>
            <w:r>
              <w:rPr>
                <w:rFonts w:ascii="Times New Roman"/>
                <w:sz w:val="21"/>
              </w:rPr>
              <w:t>424,</w:t>
            </w:r>
          </w:p>
          <w:p>
            <w:pPr>
              <w:pStyle w:val="TableParagraph"/>
              <w:spacing w:before="2"/>
              <w:ind w:left="184"/>
              <w:rPr>
                <w:rFonts w:ascii="Times New Roman"/>
                <w:sz w:val="21"/>
              </w:rPr>
            </w:pPr>
            <w:r>
              <w:rPr>
                <w:rFonts w:ascii="Times New Roman"/>
                <w:sz w:val="21"/>
              </w:rPr>
              <w:t>914</w:t>
            </w:r>
          </w:p>
        </w:tc>
        <w:tc>
          <w:tcPr>
            <w:tcW w:w="317" w:type="dxa"/>
          </w:tcPr>
          <w:p>
            <w:pPr>
              <w:pStyle w:val="TableParagraph"/>
              <w:rPr>
                <w:rFonts w:ascii="Times New Roman"/>
                <w:sz w:val="18"/>
              </w:rPr>
            </w:pPr>
          </w:p>
        </w:tc>
        <w:tc>
          <w:tcPr>
            <w:tcW w:w="691" w:type="dxa"/>
          </w:tcPr>
          <w:p>
            <w:pPr>
              <w:pStyle w:val="TableParagraph"/>
              <w:rPr>
                <w:sz w:val="22"/>
              </w:rPr>
            </w:pPr>
          </w:p>
          <w:p>
            <w:pPr>
              <w:pStyle w:val="TableParagraph"/>
              <w:spacing w:before="5"/>
              <w:rPr>
                <w:sz w:val="31"/>
              </w:rPr>
            </w:pPr>
          </w:p>
          <w:p>
            <w:pPr>
              <w:pStyle w:val="TableParagraph"/>
              <w:ind w:left="113"/>
              <w:rPr>
                <w:rFonts w:ascii="Times New Roman"/>
                <w:sz w:val="21"/>
              </w:rPr>
            </w:pPr>
            <w:r>
              <w:rPr>
                <w:rFonts w:ascii="Times New Roman"/>
                <w:sz w:val="21"/>
              </w:rPr>
              <w:t>1,437</w:t>
            </w:r>
          </w:p>
          <w:p>
            <w:pPr>
              <w:pStyle w:val="TableParagraph"/>
              <w:spacing w:before="2"/>
              <w:ind w:left="218"/>
              <w:rPr>
                <w:rFonts w:ascii="Times New Roman"/>
                <w:sz w:val="21"/>
              </w:rPr>
            </w:pPr>
            <w:r>
              <w:rPr>
                <w:rFonts w:ascii="Times New Roman"/>
                <w:sz w:val="21"/>
              </w:rPr>
              <w:t>,435</w:t>
            </w:r>
          </w:p>
        </w:tc>
        <w:tc>
          <w:tcPr>
            <w:tcW w:w="317" w:type="dxa"/>
          </w:tcPr>
          <w:p>
            <w:pPr>
              <w:pStyle w:val="TableParagraph"/>
              <w:rPr>
                <w:rFonts w:ascii="Times New Roman"/>
                <w:sz w:val="18"/>
              </w:rPr>
            </w:pPr>
          </w:p>
        </w:tc>
        <w:tc>
          <w:tcPr>
            <w:tcW w:w="751" w:type="dxa"/>
          </w:tcPr>
          <w:p>
            <w:pPr>
              <w:pStyle w:val="TableParagraph"/>
              <w:rPr>
                <w:sz w:val="22"/>
              </w:rPr>
            </w:pPr>
          </w:p>
          <w:p>
            <w:pPr>
              <w:pStyle w:val="TableParagraph"/>
              <w:spacing w:before="5"/>
              <w:rPr>
                <w:sz w:val="31"/>
              </w:rPr>
            </w:pPr>
          </w:p>
          <w:p>
            <w:pPr>
              <w:pStyle w:val="TableParagraph"/>
              <w:ind w:left="173"/>
              <w:rPr>
                <w:rFonts w:ascii="Times New Roman"/>
                <w:sz w:val="21"/>
              </w:rPr>
            </w:pPr>
            <w:r>
              <w:rPr>
                <w:rFonts w:ascii="Times New Roman"/>
                <w:sz w:val="21"/>
              </w:rPr>
              <w:t>55,07</w:t>
            </w:r>
          </w:p>
          <w:p>
            <w:pPr>
              <w:pStyle w:val="TableParagraph"/>
              <w:spacing w:before="2"/>
              <w:ind w:left="173"/>
              <w:rPr>
                <w:rFonts w:ascii="Times New Roman"/>
                <w:sz w:val="21"/>
              </w:rPr>
            </w:pPr>
            <w:r>
              <w:rPr>
                <w:rFonts w:ascii="Times New Roman"/>
                <w:sz w:val="21"/>
              </w:rPr>
              <w:t>0,045</w:t>
            </w:r>
          </w:p>
        </w:tc>
        <w:tc>
          <w:tcPr>
            <w:tcW w:w="317" w:type="dxa"/>
          </w:tcPr>
          <w:p>
            <w:pPr>
              <w:pStyle w:val="TableParagraph"/>
              <w:rPr>
                <w:rFonts w:ascii="Times New Roman"/>
                <w:sz w:val="18"/>
              </w:rPr>
            </w:pPr>
          </w:p>
        </w:tc>
        <w:tc>
          <w:tcPr>
            <w:tcW w:w="810" w:type="dxa"/>
          </w:tcPr>
          <w:p>
            <w:pPr>
              <w:pStyle w:val="TableParagraph"/>
              <w:rPr>
                <w:sz w:val="22"/>
              </w:rPr>
            </w:pPr>
          </w:p>
          <w:p>
            <w:pPr>
              <w:pStyle w:val="TableParagraph"/>
              <w:spacing w:before="5"/>
              <w:rPr>
                <w:sz w:val="31"/>
              </w:rPr>
            </w:pPr>
          </w:p>
          <w:p>
            <w:pPr>
              <w:pStyle w:val="TableParagraph"/>
              <w:ind w:left="127"/>
              <w:rPr>
                <w:rFonts w:ascii="Times New Roman"/>
                <w:sz w:val="21"/>
              </w:rPr>
            </w:pPr>
            <w:r>
              <w:rPr>
                <w:rFonts w:ascii="Times New Roman"/>
                <w:sz w:val="21"/>
              </w:rPr>
              <w:t>103,75</w:t>
            </w:r>
          </w:p>
          <w:p>
            <w:pPr>
              <w:pStyle w:val="TableParagraph"/>
              <w:spacing w:before="2"/>
              <w:ind w:left="233"/>
              <w:rPr>
                <w:rFonts w:ascii="Times New Roman"/>
                <w:sz w:val="21"/>
              </w:rPr>
            </w:pPr>
            <w:r>
              <w:rPr>
                <w:rFonts w:ascii="Times New Roman"/>
                <w:sz w:val="21"/>
              </w:rPr>
              <w:t>2,549</w:t>
            </w:r>
          </w:p>
        </w:tc>
        <w:tc>
          <w:tcPr>
            <w:tcW w:w="603" w:type="dxa"/>
          </w:tcPr>
          <w:p>
            <w:pPr>
              <w:pStyle w:val="TableParagraph"/>
              <w:rPr>
                <w:sz w:val="22"/>
              </w:rPr>
            </w:pPr>
          </w:p>
          <w:p>
            <w:pPr>
              <w:pStyle w:val="TableParagraph"/>
              <w:spacing w:before="5"/>
              <w:rPr>
                <w:sz w:val="31"/>
              </w:rPr>
            </w:pPr>
          </w:p>
          <w:p>
            <w:pPr>
              <w:pStyle w:val="TableParagraph"/>
              <w:ind w:left="131"/>
              <w:rPr>
                <w:rFonts w:ascii="Times New Roman"/>
                <w:sz w:val="21"/>
              </w:rPr>
            </w:pPr>
            <w:r>
              <w:rPr>
                <w:rFonts w:ascii="Times New Roman"/>
                <w:sz w:val="21"/>
              </w:rPr>
              <w:t>288,</w:t>
            </w:r>
          </w:p>
          <w:p>
            <w:pPr>
              <w:pStyle w:val="TableParagraph"/>
              <w:spacing w:before="2"/>
              <w:ind w:left="184"/>
              <w:rPr>
                <w:rFonts w:ascii="Times New Roman"/>
                <w:sz w:val="21"/>
              </w:rPr>
            </w:pPr>
            <w:r>
              <w:rPr>
                <w:rFonts w:ascii="Times New Roman"/>
                <w:sz w:val="21"/>
              </w:rPr>
              <w:t>149</w:t>
            </w:r>
          </w:p>
        </w:tc>
        <w:tc>
          <w:tcPr>
            <w:tcW w:w="809" w:type="dxa"/>
          </w:tcPr>
          <w:p>
            <w:pPr>
              <w:pStyle w:val="TableParagraph"/>
              <w:rPr>
                <w:sz w:val="22"/>
              </w:rPr>
            </w:pPr>
          </w:p>
          <w:p>
            <w:pPr>
              <w:pStyle w:val="TableParagraph"/>
              <w:spacing w:before="5"/>
              <w:rPr>
                <w:sz w:val="31"/>
              </w:rPr>
            </w:pPr>
          </w:p>
          <w:p>
            <w:pPr>
              <w:pStyle w:val="TableParagraph"/>
              <w:ind w:left="126"/>
              <w:rPr>
                <w:rFonts w:ascii="Times New Roman"/>
                <w:sz w:val="21"/>
              </w:rPr>
            </w:pPr>
            <w:r>
              <w:rPr>
                <w:rFonts w:ascii="Times New Roman"/>
                <w:sz w:val="21"/>
              </w:rPr>
              <w:t>104,04</w:t>
            </w:r>
          </w:p>
          <w:p>
            <w:pPr>
              <w:pStyle w:val="TableParagraph"/>
              <w:spacing w:before="2"/>
              <w:ind w:left="231"/>
              <w:rPr>
                <w:rFonts w:ascii="Times New Roman"/>
                <w:sz w:val="21"/>
              </w:rPr>
            </w:pPr>
            <w:r>
              <w:rPr>
                <w:rFonts w:ascii="Times New Roman"/>
                <w:sz w:val="21"/>
              </w:rPr>
              <w:t>0,698</w:t>
            </w:r>
          </w:p>
        </w:tc>
      </w:tr>
      <w:tr>
        <w:trPr>
          <w:trHeight w:val="1869" w:hRule="atLeast"/>
        </w:trPr>
        <w:tc>
          <w:tcPr>
            <w:tcW w:w="554" w:type="dxa"/>
          </w:tcPr>
          <w:p>
            <w:pPr>
              <w:pStyle w:val="TableParagraph"/>
              <w:spacing w:line="230" w:lineRule="exact"/>
              <w:ind w:left="107"/>
              <w:rPr>
                <w:sz w:val="18"/>
              </w:rPr>
            </w:pPr>
            <w:r>
              <w:rPr>
                <w:sz w:val="18"/>
              </w:rPr>
              <w:t>三</w:t>
            </w:r>
          </w:p>
          <w:p>
            <w:pPr>
              <w:pStyle w:val="TableParagraph"/>
              <w:spacing w:line="242" w:lineRule="auto" w:before="2"/>
              <w:ind w:left="107" w:right="254"/>
              <w:jc w:val="both"/>
              <w:rPr>
                <w:sz w:val="18"/>
              </w:rPr>
            </w:pPr>
            <w:r>
              <w:rPr>
                <w:sz w:val="18"/>
              </w:rPr>
              <w:t>、本期增减</w:t>
            </w:r>
          </w:p>
          <w:p>
            <w:pPr>
              <w:pStyle w:val="TableParagraph"/>
              <w:spacing w:line="230" w:lineRule="atLeast"/>
              <w:ind w:left="107" w:right="254"/>
              <w:rPr>
                <w:sz w:val="18"/>
              </w:rPr>
            </w:pPr>
            <w:r>
              <w:rPr>
                <w:sz w:val="18"/>
              </w:rPr>
              <w:t>变动</w:t>
            </w:r>
          </w:p>
        </w:tc>
        <w:tc>
          <w:tcPr>
            <w:tcW w:w="748" w:type="dxa"/>
          </w:tcPr>
          <w:p>
            <w:pPr>
              <w:pStyle w:val="TableParagraph"/>
              <w:rPr>
                <w:sz w:val="22"/>
              </w:rPr>
            </w:pPr>
          </w:p>
          <w:p>
            <w:pPr>
              <w:pStyle w:val="TableParagraph"/>
              <w:spacing w:before="7"/>
              <w:rPr>
                <w:sz w:val="31"/>
              </w:rPr>
            </w:pPr>
          </w:p>
          <w:p>
            <w:pPr>
              <w:pStyle w:val="TableParagraph"/>
              <w:spacing w:before="1"/>
              <w:ind w:left="168" w:right="77" w:firstLine="403"/>
              <w:rPr>
                <w:rFonts w:ascii="Times New Roman"/>
                <w:sz w:val="21"/>
              </w:rPr>
            </w:pPr>
            <w:r>
              <w:rPr>
                <w:rFonts w:ascii="Times New Roman"/>
                <w:sz w:val="21"/>
              </w:rPr>
              <w:t>-</w:t>
            </w:r>
            <w:r>
              <w:rPr>
                <w:rFonts w:ascii="Times New Roman"/>
                <w:spacing w:val="-50"/>
                <w:sz w:val="21"/>
              </w:rPr>
              <w:t> </w:t>
            </w:r>
            <w:r>
              <w:rPr>
                <w:rFonts w:ascii="Times New Roman"/>
                <w:sz w:val="21"/>
              </w:rPr>
              <w:t>5,576</w:t>
            </w:r>
          </w:p>
        </w:tc>
        <w:tc>
          <w:tcPr>
            <w:tcW w:w="316" w:type="dxa"/>
          </w:tcPr>
          <w:p>
            <w:pPr>
              <w:pStyle w:val="TableParagraph"/>
              <w:rPr>
                <w:sz w:val="22"/>
              </w:rPr>
            </w:pPr>
          </w:p>
          <w:p>
            <w:pPr>
              <w:pStyle w:val="TableParagraph"/>
              <w:rPr>
                <w:sz w:val="22"/>
              </w:rPr>
            </w:pPr>
          </w:p>
          <w:p>
            <w:pPr>
              <w:pStyle w:val="TableParagraph"/>
              <w:spacing w:before="12"/>
              <w:rPr>
                <w:sz w:val="18"/>
              </w:rPr>
            </w:pPr>
          </w:p>
          <w:p>
            <w:pPr>
              <w:pStyle w:val="TableParagraph"/>
              <w:ind w:left="140"/>
              <w:rPr>
                <w:rFonts w:ascii="Times New Roman"/>
                <w:sz w:val="21"/>
              </w:rPr>
            </w:pPr>
            <w:r>
              <w:rPr>
                <w:rFonts w:ascii="Times New Roman"/>
                <w:w w:val="100"/>
                <w:sz w:val="21"/>
              </w:rPr>
              <w:t>-</w:t>
            </w:r>
          </w:p>
        </w:tc>
        <w:tc>
          <w:tcPr>
            <w:tcW w:w="316" w:type="dxa"/>
          </w:tcPr>
          <w:p>
            <w:pPr>
              <w:pStyle w:val="TableParagraph"/>
              <w:rPr>
                <w:sz w:val="22"/>
              </w:rPr>
            </w:pPr>
          </w:p>
          <w:p>
            <w:pPr>
              <w:pStyle w:val="TableParagraph"/>
              <w:rPr>
                <w:sz w:val="22"/>
              </w:rPr>
            </w:pPr>
          </w:p>
          <w:p>
            <w:pPr>
              <w:pStyle w:val="TableParagraph"/>
              <w:spacing w:before="12"/>
              <w:rPr>
                <w:sz w:val="18"/>
              </w:rPr>
            </w:pPr>
          </w:p>
          <w:p>
            <w:pPr>
              <w:pStyle w:val="TableParagraph"/>
              <w:ind w:left="140"/>
              <w:rPr>
                <w:rFonts w:ascii="Times New Roman"/>
                <w:sz w:val="21"/>
              </w:rPr>
            </w:pPr>
            <w:r>
              <w:rPr>
                <w:rFonts w:ascii="Times New Roman"/>
                <w:w w:val="100"/>
                <w:sz w:val="21"/>
              </w:rPr>
              <w:t>-</w:t>
            </w:r>
          </w:p>
        </w:tc>
        <w:tc>
          <w:tcPr>
            <w:tcW w:w="319" w:type="dxa"/>
          </w:tcPr>
          <w:p>
            <w:pPr>
              <w:pStyle w:val="TableParagraph"/>
              <w:rPr>
                <w:sz w:val="22"/>
              </w:rPr>
            </w:pPr>
          </w:p>
          <w:p>
            <w:pPr>
              <w:pStyle w:val="TableParagraph"/>
              <w:rPr>
                <w:sz w:val="22"/>
              </w:rPr>
            </w:pPr>
          </w:p>
          <w:p>
            <w:pPr>
              <w:pStyle w:val="TableParagraph"/>
              <w:spacing w:before="12"/>
              <w:rPr>
                <w:sz w:val="18"/>
              </w:rPr>
            </w:pPr>
          </w:p>
          <w:p>
            <w:pPr>
              <w:pStyle w:val="TableParagraph"/>
              <w:ind w:left="144"/>
              <w:rPr>
                <w:rFonts w:ascii="Times New Roman"/>
                <w:sz w:val="21"/>
              </w:rPr>
            </w:pPr>
            <w:r>
              <w:rPr>
                <w:rFonts w:ascii="Times New Roman"/>
                <w:w w:val="100"/>
                <w:sz w:val="21"/>
              </w:rPr>
              <w:t>-</w:t>
            </w:r>
          </w:p>
        </w:tc>
        <w:tc>
          <w:tcPr>
            <w:tcW w:w="748" w:type="dxa"/>
          </w:tcPr>
          <w:p>
            <w:pPr>
              <w:pStyle w:val="TableParagraph"/>
              <w:rPr>
                <w:sz w:val="22"/>
              </w:rPr>
            </w:pPr>
          </w:p>
          <w:p>
            <w:pPr>
              <w:pStyle w:val="TableParagraph"/>
              <w:spacing w:before="7"/>
              <w:rPr>
                <w:sz w:val="31"/>
              </w:rPr>
            </w:pPr>
          </w:p>
          <w:p>
            <w:pPr>
              <w:pStyle w:val="TableParagraph"/>
              <w:spacing w:line="241" w:lineRule="exact" w:before="1"/>
              <w:ind w:right="91"/>
              <w:jc w:val="right"/>
              <w:rPr>
                <w:rFonts w:ascii="Times New Roman"/>
                <w:sz w:val="21"/>
              </w:rPr>
            </w:pPr>
            <w:r>
              <w:rPr>
                <w:rFonts w:ascii="Times New Roman"/>
                <w:sz w:val="21"/>
              </w:rPr>
              <w:t>539,3</w:t>
            </w:r>
          </w:p>
          <w:p>
            <w:pPr>
              <w:pStyle w:val="TableParagraph"/>
              <w:spacing w:line="241" w:lineRule="exact"/>
              <w:ind w:right="94"/>
              <w:jc w:val="right"/>
              <w:rPr>
                <w:rFonts w:ascii="Times New Roman"/>
                <w:sz w:val="21"/>
              </w:rPr>
            </w:pPr>
            <w:r>
              <w:rPr>
                <w:rFonts w:ascii="Times New Roman"/>
                <w:sz w:val="21"/>
              </w:rPr>
              <w:t>88</w:t>
            </w:r>
          </w:p>
        </w:tc>
        <w:tc>
          <w:tcPr>
            <w:tcW w:w="602" w:type="dxa"/>
          </w:tcPr>
          <w:p>
            <w:pPr>
              <w:pStyle w:val="TableParagraph"/>
              <w:rPr>
                <w:sz w:val="22"/>
              </w:rPr>
            </w:pPr>
          </w:p>
          <w:p>
            <w:pPr>
              <w:pStyle w:val="TableParagraph"/>
              <w:spacing w:before="7"/>
              <w:rPr>
                <w:sz w:val="31"/>
              </w:rPr>
            </w:pPr>
          </w:p>
          <w:p>
            <w:pPr>
              <w:pStyle w:val="TableParagraph"/>
              <w:spacing w:line="241" w:lineRule="exact" w:before="1"/>
              <w:ind w:left="131"/>
              <w:rPr>
                <w:rFonts w:ascii="Times New Roman"/>
                <w:sz w:val="21"/>
              </w:rPr>
            </w:pPr>
            <w:r>
              <w:rPr>
                <w:rFonts w:ascii="Times New Roman"/>
                <w:sz w:val="21"/>
              </w:rPr>
              <w:t>289,</w:t>
            </w:r>
          </w:p>
          <w:p>
            <w:pPr>
              <w:pStyle w:val="TableParagraph"/>
              <w:spacing w:line="241" w:lineRule="exact"/>
              <w:ind w:left="184"/>
              <w:rPr>
                <w:rFonts w:ascii="Times New Roman"/>
                <w:sz w:val="21"/>
              </w:rPr>
            </w:pPr>
            <w:r>
              <w:rPr>
                <w:rFonts w:ascii="Times New Roman"/>
                <w:sz w:val="21"/>
              </w:rPr>
              <w:t>624</w:t>
            </w:r>
          </w:p>
        </w:tc>
        <w:tc>
          <w:tcPr>
            <w:tcW w:w="602" w:type="dxa"/>
          </w:tcPr>
          <w:p>
            <w:pPr>
              <w:pStyle w:val="TableParagraph"/>
              <w:rPr>
                <w:sz w:val="22"/>
              </w:rPr>
            </w:pPr>
          </w:p>
          <w:p>
            <w:pPr>
              <w:pStyle w:val="TableParagraph"/>
              <w:rPr>
                <w:sz w:val="22"/>
              </w:rPr>
            </w:pPr>
          </w:p>
          <w:p>
            <w:pPr>
              <w:pStyle w:val="TableParagraph"/>
              <w:ind w:left="131" w:right="73" w:firstLine="297"/>
              <w:rPr>
                <w:rFonts w:ascii="Times New Roman"/>
                <w:sz w:val="21"/>
              </w:rPr>
            </w:pPr>
            <w:r>
              <w:rPr>
                <w:rFonts w:ascii="Times New Roman"/>
                <w:sz w:val="21"/>
              </w:rPr>
              <w:t>-</w:t>
            </w:r>
            <w:r>
              <w:rPr>
                <w:rFonts w:ascii="Times New Roman"/>
                <w:spacing w:val="-50"/>
                <w:sz w:val="21"/>
              </w:rPr>
              <w:t> </w:t>
            </w:r>
            <w:r>
              <w:rPr>
                <w:rFonts w:ascii="Times New Roman"/>
                <w:sz w:val="21"/>
              </w:rPr>
              <w:t>442,</w:t>
            </w:r>
          </w:p>
          <w:p>
            <w:pPr>
              <w:pStyle w:val="TableParagraph"/>
              <w:spacing w:before="2"/>
              <w:ind w:left="184"/>
              <w:rPr>
                <w:rFonts w:ascii="Times New Roman"/>
                <w:sz w:val="21"/>
              </w:rPr>
            </w:pPr>
            <w:r>
              <w:rPr>
                <w:rFonts w:ascii="Times New Roman"/>
                <w:sz w:val="21"/>
              </w:rPr>
              <w:t>464</w:t>
            </w:r>
          </w:p>
        </w:tc>
        <w:tc>
          <w:tcPr>
            <w:tcW w:w="317" w:type="dxa"/>
          </w:tcPr>
          <w:p>
            <w:pPr>
              <w:pStyle w:val="TableParagraph"/>
              <w:rPr>
                <w:sz w:val="22"/>
              </w:rPr>
            </w:pPr>
          </w:p>
          <w:p>
            <w:pPr>
              <w:pStyle w:val="TableParagraph"/>
              <w:rPr>
                <w:sz w:val="22"/>
              </w:rPr>
            </w:pPr>
          </w:p>
          <w:p>
            <w:pPr>
              <w:pStyle w:val="TableParagraph"/>
              <w:spacing w:before="12"/>
              <w:rPr>
                <w:sz w:val="18"/>
              </w:rPr>
            </w:pPr>
          </w:p>
          <w:p>
            <w:pPr>
              <w:pStyle w:val="TableParagraph"/>
              <w:ind w:left="146"/>
              <w:rPr>
                <w:rFonts w:ascii="Times New Roman"/>
                <w:sz w:val="21"/>
              </w:rPr>
            </w:pPr>
            <w:r>
              <w:rPr>
                <w:rFonts w:ascii="Times New Roman"/>
                <w:w w:val="100"/>
                <w:sz w:val="21"/>
              </w:rPr>
              <w:t>-</w:t>
            </w:r>
          </w:p>
        </w:tc>
        <w:tc>
          <w:tcPr>
            <w:tcW w:w="691" w:type="dxa"/>
          </w:tcPr>
          <w:p>
            <w:pPr>
              <w:pStyle w:val="TableParagraph"/>
              <w:rPr>
                <w:sz w:val="22"/>
              </w:rPr>
            </w:pPr>
          </w:p>
          <w:p>
            <w:pPr>
              <w:pStyle w:val="TableParagraph"/>
              <w:spacing w:before="7"/>
              <w:rPr>
                <w:sz w:val="31"/>
              </w:rPr>
            </w:pPr>
          </w:p>
          <w:p>
            <w:pPr>
              <w:pStyle w:val="TableParagraph"/>
              <w:spacing w:line="241" w:lineRule="exact" w:before="1"/>
              <w:ind w:left="113"/>
              <w:rPr>
                <w:rFonts w:ascii="Times New Roman"/>
                <w:sz w:val="21"/>
              </w:rPr>
            </w:pPr>
            <w:r>
              <w:rPr>
                <w:rFonts w:ascii="Times New Roman"/>
                <w:sz w:val="21"/>
              </w:rPr>
              <w:t>1,334</w:t>
            </w:r>
          </w:p>
          <w:p>
            <w:pPr>
              <w:pStyle w:val="TableParagraph"/>
              <w:spacing w:line="241" w:lineRule="exact"/>
              <w:ind w:left="218"/>
              <w:rPr>
                <w:rFonts w:ascii="Times New Roman"/>
                <w:sz w:val="21"/>
              </w:rPr>
            </w:pPr>
            <w:r>
              <w:rPr>
                <w:rFonts w:ascii="Times New Roman"/>
                <w:sz w:val="21"/>
              </w:rPr>
              <w:t>,203</w:t>
            </w:r>
          </w:p>
        </w:tc>
        <w:tc>
          <w:tcPr>
            <w:tcW w:w="317" w:type="dxa"/>
          </w:tcPr>
          <w:p>
            <w:pPr>
              <w:pStyle w:val="TableParagraph"/>
              <w:rPr>
                <w:sz w:val="22"/>
              </w:rPr>
            </w:pPr>
          </w:p>
          <w:p>
            <w:pPr>
              <w:pStyle w:val="TableParagraph"/>
              <w:rPr>
                <w:sz w:val="22"/>
              </w:rPr>
            </w:pPr>
          </w:p>
          <w:p>
            <w:pPr>
              <w:pStyle w:val="TableParagraph"/>
              <w:spacing w:before="12"/>
              <w:rPr>
                <w:sz w:val="18"/>
              </w:rPr>
            </w:pPr>
          </w:p>
          <w:p>
            <w:pPr>
              <w:pStyle w:val="TableParagraph"/>
              <w:ind w:left="146"/>
              <w:rPr>
                <w:rFonts w:ascii="Times New Roman"/>
                <w:sz w:val="21"/>
              </w:rPr>
            </w:pPr>
            <w:r>
              <w:rPr>
                <w:rFonts w:ascii="Times New Roman"/>
                <w:w w:val="100"/>
                <w:sz w:val="21"/>
              </w:rPr>
              <w:t>-</w:t>
            </w:r>
          </w:p>
        </w:tc>
        <w:tc>
          <w:tcPr>
            <w:tcW w:w="751" w:type="dxa"/>
          </w:tcPr>
          <w:p>
            <w:pPr>
              <w:pStyle w:val="TableParagraph"/>
              <w:rPr>
                <w:sz w:val="22"/>
              </w:rPr>
            </w:pPr>
          </w:p>
          <w:p>
            <w:pPr>
              <w:pStyle w:val="TableParagraph"/>
              <w:spacing w:before="7"/>
              <w:rPr>
                <w:sz w:val="31"/>
              </w:rPr>
            </w:pPr>
          </w:p>
          <w:p>
            <w:pPr>
              <w:pStyle w:val="TableParagraph"/>
              <w:spacing w:line="241" w:lineRule="exact" w:before="1"/>
              <w:ind w:left="173"/>
              <w:rPr>
                <w:rFonts w:ascii="Times New Roman"/>
                <w:sz w:val="21"/>
              </w:rPr>
            </w:pPr>
            <w:r>
              <w:rPr>
                <w:rFonts w:ascii="Times New Roman"/>
                <w:sz w:val="21"/>
              </w:rPr>
              <w:t>13,71</w:t>
            </w:r>
          </w:p>
          <w:p>
            <w:pPr>
              <w:pStyle w:val="TableParagraph"/>
              <w:spacing w:line="241" w:lineRule="exact"/>
              <w:ind w:left="173"/>
              <w:rPr>
                <w:rFonts w:ascii="Times New Roman"/>
                <w:sz w:val="21"/>
              </w:rPr>
            </w:pPr>
            <w:r>
              <w:rPr>
                <w:rFonts w:ascii="Times New Roman"/>
                <w:sz w:val="21"/>
              </w:rPr>
              <w:t>2,878</w:t>
            </w:r>
          </w:p>
        </w:tc>
        <w:tc>
          <w:tcPr>
            <w:tcW w:w="317" w:type="dxa"/>
          </w:tcPr>
          <w:p>
            <w:pPr>
              <w:pStyle w:val="TableParagraph"/>
              <w:rPr>
                <w:sz w:val="22"/>
              </w:rPr>
            </w:pPr>
          </w:p>
          <w:p>
            <w:pPr>
              <w:pStyle w:val="TableParagraph"/>
              <w:rPr>
                <w:sz w:val="22"/>
              </w:rPr>
            </w:pPr>
          </w:p>
          <w:p>
            <w:pPr>
              <w:pStyle w:val="TableParagraph"/>
              <w:spacing w:before="12"/>
              <w:rPr>
                <w:sz w:val="18"/>
              </w:rPr>
            </w:pPr>
          </w:p>
          <w:p>
            <w:pPr>
              <w:pStyle w:val="TableParagraph"/>
              <w:ind w:left="146"/>
              <w:rPr>
                <w:rFonts w:ascii="Times New Roman"/>
                <w:sz w:val="21"/>
              </w:rPr>
            </w:pPr>
            <w:r>
              <w:rPr>
                <w:rFonts w:ascii="Times New Roman"/>
                <w:w w:val="100"/>
                <w:sz w:val="21"/>
              </w:rPr>
              <w:t>-</w:t>
            </w:r>
          </w:p>
        </w:tc>
        <w:tc>
          <w:tcPr>
            <w:tcW w:w="810" w:type="dxa"/>
          </w:tcPr>
          <w:p>
            <w:pPr>
              <w:pStyle w:val="TableParagraph"/>
              <w:rPr>
                <w:sz w:val="22"/>
              </w:rPr>
            </w:pPr>
          </w:p>
          <w:p>
            <w:pPr>
              <w:pStyle w:val="TableParagraph"/>
              <w:spacing w:before="7"/>
              <w:rPr>
                <w:sz w:val="31"/>
              </w:rPr>
            </w:pPr>
          </w:p>
          <w:p>
            <w:pPr>
              <w:pStyle w:val="TableParagraph"/>
              <w:spacing w:line="241" w:lineRule="exact" w:before="1"/>
              <w:ind w:right="89"/>
              <w:jc w:val="right"/>
              <w:rPr>
                <w:rFonts w:ascii="Times New Roman"/>
                <w:sz w:val="21"/>
              </w:rPr>
            </w:pPr>
            <w:r>
              <w:rPr>
                <w:rFonts w:ascii="Times New Roman"/>
                <w:sz w:val="21"/>
              </w:rPr>
              <w:t>15,428</w:t>
            </w:r>
          </w:p>
          <w:p>
            <w:pPr>
              <w:pStyle w:val="TableParagraph"/>
              <w:spacing w:line="241" w:lineRule="exact"/>
              <w:ind w:right="89"/>
              <w:jc w:val="right"/>
              <w:rPr>
                <w:rFonts w:ascii="Times New Roman"/>
                <w:sz w:val="21"/>
              </w:rPr>
            </w:pPr>
            <w:r>
              <w:rPr>
                <w:rFonts w:ascii="Times New Roman"/>
                <w:sz w:val="21"/>
              </w:rPr>
              <w:t>,053</w:t>
            </w:r>
          </w:p>
        </w:tc>
        <w:tc>
          <w:tcPr>
            <w:tcW w:w="603" w:type="dxa"/>
          </w:tcPr>
          <w:p>
            <w:pPr>
              <w:pStyle w:val="TableParagraph"/>
              <w:rPr>
                <w:sz w:val="22"/>
              </w:rPr>
            </w:pPr>
          </w:p>
          <w:p>
            <w:pPr>
              <w:pStyle w:val="TableParagraph"/>
              <w:spacing w:before="7"/>
              <w:rPr>
                <w:sz w:val="31"/>
              </w:rPr>
            </w:pPr>
          </w:p>
          <w:p>
            <w:pPr>
              <w:pStyle w:val="TableParagraph"/>
              <w:spacing w:line="241" w:lineRule="exact" w:before="1"/>
              <w:ind w:right="89"/>
              <w:jc w:val="right"/>
              <w:rPr>
                <w:rFonts w:ascii="Times New Roman"/>
                <w:sz w:val="21"/>
              </w:rPr>
            </w:pPr>
            <w:r>
              <w:rPr>
                <w:rFonts w:ascii="Times New Roman"/>
                <w:sz w:val="21"/>
              </w:rPr>
              <w:t>18,9</w:t>
            </w:r>
          </w:p>
          <w:p>
            <w:pPr>
              <w:pStyle w:val="TableParagraph"/>
              <w:spacing w:line="241" w:lineRule="exact"/>
              <w:ind w:right="92"/>
              <w:jc w:val="right"/>
              <w:rPr>
                <w:rFonts w:ascii="Times New Roman"/>
                <w:sz w:val="21"/>
              </w:rPr>
            </w:pPr>
            <w:r>
              <w:rPr>
                <w:rFonts w:ascii="Times New Roman"/>
                <w:sz w:val="21"/>
              </w:rPr>
              <w:t>39</w:t>
            </w:r>
          </w:p>
        </w:tc>
        <w:tc>
          <w:tcPr>
            <w:tcW w:w="809" w:type="dxa"/>
          </w:tcPr>
          <w:p>
            <w:pPr>
              <w:pStyle w:val="TableParagraph"/>
              <w:rPr>
                <w:sz w:val="22"/>
              </w:rPr>
            </w:pPr>
          </w:p>
          <w:p>
            <w:pPr>
              <w:pStyle w:val="TableParagraph"/>
              <w:spacing w:before="7"/>
              <w:rPr>
                <w:sz w:val="31"/>
              </w:rPr>
            </w:pPr>
          </w:p>
          <w:p>
            <w:pPr>
              <w:pStyle w:val="TableParagraph"/>
              <w:spacing w:line="241" w:lineRule="exact" w:before="1"/>
              <w:ind w:right="89"/>
              <w:jc w:val="right"/>
              <w:rPr>
                <w:rFonts w:ascii="Times New Roman"/>
                <w:sz w:val="21"/>
              </w:rPr>
            </w:pPr>
            <w:r>
              <w:rPr>
                <w:rFonts w:ascii="Times New Roman"/>
                <w:sz w:val="21"/>
              </w:rPr>
              <w:t>15,446</w:t>
            </w:r>
          </w:p>
          <w:p>
            <w:pPr>
              <w:pStyle w:val="TableParagraph"/>
              <w:spacing w:line="241" w:lineRule="exact"/>
              <w:ind w:right="89"/>
              <w:jc w:val="right"/>
              <w:rPr>
                <w:rFonts w:ascii="Times New Roman"/>
                <w:sz w:val="21"/>
              </w:rPr>
            </w:pPr>
            <w:r>
              <w:rPr>
                <w:rFonts w:ascii="Times New Roman"/>
                <w:sz w:val="21"/>
              </w:rPr>
              <w:t>,992</w:t>
            </w:r>
          </w:p>
        </w:tc>
      </w:tr>
    </w:tbl>
    <w:p>
      <w:pPr>
        <w:spacing w:after="0" w:line="241" w:lineRule="exact"/>
        <w:jc w:val="right"/>
        <w:rPr>
          <w:rFonts w:ascii="Times New Roman"/>
          <w:sz w:val="21"/>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4"/>
        <w:gridCol w:w="748"/>
        <w:gridCol w:w="316"/>
        <w:gridCol w:w="316"/>
        <w:gridCol w:w="319"/>
        <w:gridCol w:w="748"/>
        <w:gridCol w:w="602"/>
        <w:gridCol w:w="602"/>
        <w:gridCol w:w="317"/>
        <w:gridCol w:w="691"/>
        <w:gridCol w:w="317"/>
        <w:gridCol w:w="751"/>
        <w:gridCol w:w="317"/>
        <w:gridCol w:w="810"/>
        <w:gridCol w:w="603"/>
        <w:gridCol w:w="809"/>
      </w:tblGrid>
      <w:tr>
        <w:trPr>
          <w:trHeight w:val="3035" w:hRule="atLeast"/>
        </w:trPr>
        <w:tc>
          <w:tcPr>
            <w:tcW w:w="554" w:type="dxa"/>
          </w:tcPr>
          <w:p>
            <w:pPr>
              <w:pStyle w:val="TableParagraph"/>
              <w:spacing w:line="242" w:lineRule="auto" w:before="2"/>
              <w:ind w:left="107" w:right="254"/>
              <w:rPr>
                <w:sz w:val="18"/>
              </w:rPr>
            </w:pPr>
            <w:r>
              <w:rPr>
                <w:sz w:val="18"/>
              </w:rPr>
              <w:t>金额</w:t>
            </w:r>
          </w:p>
          <w:p>
            <w:pPr>
              <w:pStyle w:val="TableParagraph"/>
              <w:spacing w:line="242" w:lineRule="auto"/>
              <w:ind w:left="107" w:right="254"/>
              <w:jc w:val="both"/>
              <w:rPr>
                <w:sz w:val="18"/>
              </w:rPr>
            </w:pPr>
            <w:r>
              <w:rPr>
                <w:sz w:val="18"/>
              </w:rPr>
              <w:t>（</w:t>
            </w:r>
            <w:r>
              <w:rPr>
                <w:spacing w:val="-88"/>
                <w:sz w:val="18"/>
              </w:rPr>
              <w:t> </w:t>
            </w:r>
            <w:r>
              <w:rPr>
                <w:sz w:val="18"/>
              </w:rPr>
              <w:t>减少以“</w:t>
            </w:r>
          </w:p>
          <w:p>
            <w:pPr>
              <w:pStyle w:val="TableParagraph"/>
              <w:spacing w:line="244" w:lineRule="auto" w:before="2"/>
              <w:ind w:left="107" w:right="237"/>
              <w:rPr>
                <w:sz w:val="18"/>
              </w:rPr>
            </w:pPr>
            <w:r>
              <w:rPr>
                <w:sz w:val="18"/>
              </w:rPr>
              <w:t>－</w:t>
            </w:r>
            <w:r>
              <w:rPr>
                <w:spacing w:val="-87"/>
                <w:sz w:val="18"/>
              </w:rPr>
              <w:t> </w:t>
            </w:r>
            <w:r>
              <w:rPr>
                <w:sz w:val="18"/>
              </w:rPr>
              <w:t>”</w:t>
            </w:r>
          </w:p>
          <w:p>
            <w:pPr>
              <w:pStyle w:val="TableParagraph"/>
              <w:spacing w:line="242" w:lineRule="auto"/>
              <w:ind w:left="107" w:right="254"/>
              <w:jc w:val="both"/>
              <w:rPr>
                <w:sz w:val="18"/>
              </w:rPr>
            </w:pPr>
            <w:r>
              <w:rPr>
                <w:sz w:val="18"/>
              </w:rPr>
              <w:t>号填列</w:t>
            </w:r>
          </w:p>
          <w:p>
            <w:pPr>
              <w:pStyle w:val="TableParagraph"/>
              <w:spacing w:line="213" w:lineRule="exact"/>
              <w:ind w:left="107"/>
              <w:rPr>
                <w:sz w:val="18"/>
              </w:rPr>
            </w:pPr>
            <w:r>
              <w:rPr>
                <w:sz w:val="18"/>
              </w:rPr>
              <w:t>） </w:t>
            </w:r>
          </w:p>
        </w:tc>
        <w:tc>
          <w:tcPr>
            <w:tcW w:w="748" w:type="dxa"/>
          </w:tcPr>
          <w:p>
            <w:pPr>
              <w:pStyle w:val="TableParagraph"/>
              <w:rPr>
                <w:rFonts w:ascii="Times New Roman"/>
                <w:sz w:val="18"/>
              </w:rPr>
            </w:pPr>
          </w:p>
        </w:tc>
        <w:tc>
          <w:tcPr>
            <w:tcW w:w="316" w:type="dxa"/>
          </w:tcPr>
          <w:p>
            <w:pPr>
              <w:pStyle w:val="TableParagraph"/>
              <w:rPr>
                <w:rFonts w:ascii="Times New Roman"/>
                <w:sz w:val="18"/>
              </w:rPr>
            </w:pPr>
          </w:p>
        </w:tc>
        <w:tc>
          <w:tcPr>
            <w:tcW w:w="316" w:type="dxa"/>
          </w:tcPr>
          <w:p>
            <w:pPr>
              <w:pStyle w:val="TableParagraph"/>
              <w:rPr>
                <w:rFonts w:ascii="Times New Roman"/>
                <w:sz w:val="18"/>
              </w:rPr>
            </w:pPr>
          </w:p>
        </w:tc>
        <w:tc>
          <w:tcPr>
            <w:tcW w:w="319" w:type="dxa"/>
          </w:tcPr>
          <w:p>
            <w:pPr>
              <w:pStyle w:val="TableParagraph"/>
              <w:rPr>
                <w:rFonts w:ascii="Times New Roman"/>
                <w:sz w:val="18"/>
              </w:rPr>
            </w:pPr>
          </w:p>
        </w:tc>
        <w:tc>
          <w:tcPr>
            <w:tcW w:w="748" w:type="dxa"/>
          </w:tcPr>
          <w:p>
            <w:pPr>
              <w:pStyle w:val="TableParagraph"/>
              <w:rPr>
                <w:rFonts w:ascii="Times New Roman"/>
                <w:sz w:val="18"/>
              </w:rPr>
            </w:pPr>
          </w:p>
        </w:tc>
        <w:tc>
          <w:tcPr>
            <w:tcW w:w="602" w:type="dxa"/>
          </w:tcPr>
          <w:p>
            <w:pPr>
              <w:pStyle w:val="TableParagraph"/>
              <w:rPr>
                <w:rFonts w:ascii="Times New Roman"/>
                <w:sz w:val="18"/>
              </w:rPr>
            </w:pPr>
          </w:p>
        </w:tc>
        <w:tc>
          <w:tcPr>
            <w:tcW w:w="602" w:type="dxa"/>
          </w:tcPr>
          <w:p>
            <w:pPr>
              <w:pStyle w:val="TableParagraph"/>
              <w:rPr>
                <w:rFonts w:ascii="Times New Roman"/>
                <w:sz w:val="18"/>
              </w:rPr>
            </w:pPr>
          </w:p>
        </w:tc>
        <w:tc>
          <w:tcPr>
            <w:tcW w:w="317" w:type="dxa"/>
          </w:tcPr>
          <w:p>
            <w:pPr>
              <w:pStyle w:val="TableParagraph"/>
              <w:rPr>
                <w:rFonts w:ascii="Times New Roman"/>
                <w:sz w:val="18"/>
              </w:rPr>
            </w:pPr>
          </w:p>
        </w:tc>
        <w:tc>
          <w:tcPr>
            <w:tcW w:w="691" w:type="dxa"/>
          </w:tcPr>
          <w:p>
            <w:pPr>
              <w:pStyle w:val="TableParagraph"/>
              <w:rPr>
                <w:rFonts w:ascii="Times New Roman"/>
                <w:sz w:val="18"/>
              </w:rPr>
            </w:pPr>
          </w:p>
        </w:tc>
        <w:tc>
          <w:tcPr>
            <w:tcW w:w="317" w:type="dxa"/>
          </w:tcPr>
          <w:p>
            <w:pPr>
              <w:pStyle w:val="TableParagraph"/>
              <w:rPr>
                <w:rFonts w:ascii="Times New Roman"/>
                <w:sz w:val="18"/>
              </w:rPr>
            </w:pPr>
          </w:p>
        </w:tc>
        <w:tc>
          <w:tcPr>
            <w:tcW w:w="751" w:type="dxa"/>
          </w:tcPr>
          <w:p>
            <w:pPr>
              <w:pStyle w:val="TableParagraph"/>
              <w:rPr>
                <w:rFonts w:ascii="Times New Roman"/>
                <w:sz w:val="18"/>
              </w:rPr>
            </w:pPr>
          </w:p>
        </w:tc>
        <w:tc>
          <w:tcPr>
            <w:tcW w:w="317" w:type="dxa"/>
          </w:tcPr>
          <w:p>
            <w:pPr>
              <w:pStyle w:val="TableParagraph"/>
              <w:rPr>
                <w:rFonts w:ascii="Times New Roman"/>
                <w:sz w:val="18"/>
              </w:rPr>
            </w:pPr>
          </w:p>
        </w:tc>
        <w:tc>
          <w:tcPr>
            <w:tcW w:w="810" w:type="dxa"/>
          </w:tcPr>
          <w:p>
            <w:pPr>
              <w:pStyle w:val="TableParagraph"/>
              <w:rPr>
                <w:rFonts w:ascii="Times New Roman"/>
                <w:sz w:val="18"/>
              </w:rPr>
            </w:pPr>
          </w:p>
        </w:tc>
        <w:tc>
          <w:tcPr>
            <w:tcW w:w="603" w:type="dxa"/>
          </w:tcPr>
          <w:p>
            <w:pPr>
              <w:pStyle w:val="TableParagraph"/>
              <w:rPr>
                <w:rFonts w:ascii="Times New Roman"/>
                <w:sz w:val="18"/>
              </w:rPr>
            </w:pPr>
          </w:p>
        </w:tc>
        <w:tc>
          <w:tcPr>
            <w:tcW w:w="809" w:type="dxa"/>
          </w:tcPr>
          <w:p>
            <w:pPr>
              <w:pStyle w:val="TableParagraph"/>
              <w:rPr>
                <w:rFonts w:ascii="Times New Roman"/>
                <w:sz w:val="18"/>
              </w:rPr>
            </w:pPr>
          </w:p>
        </w:tc>
      </w:tr>
      <w:tr>
        <w:trPr>
          <w:trHeight w:val="2102" w:hRule="atLeast"/>
        </w:trPr>
        <w:tc>
          <w:tcPr>
            <w:tcW w:w="554" w:type="dxa"/>
          </w:tcPr>
          <w:p>
            <w:pPr>
              <w:pStyle w:val="TableParagraph"/>
              <w:spacing w:line="242" w:lineRule="auto"/>
              <w:ind w:left="107" w:right="254"/>
              <w:rPr>
                <w:sz w:val="18"/>
              </w:rPr>
            </w:pPr>
            <w:r>
              <w:rPr>
                <w:sz w:val="18"/>
              </w:rPr>
              <w:t>（</w:t>
            </w:r>
            <w:r>
              <w:rPr>
                <w:spacing w:val="-87"/>
                <w:sz w:val="18"/>
              </w:rPr>
              <w:t> </w:t>
            </w:r>
            <w:r>
              <w:rPr>
                <w:sz w:val="18"/>
              </w:rPr>
              <w:t>一</w:t>
            </w:r>
          </w:p>
          <w:p>
            <w:pPr>
              <w:pStyle w:val="TableParagraph"/>
              <w:spacing w:line="242" w:lineRule="auto" w:before="2"/>
              <w:ind w:left="107" w:right="254"/>
              <w:jc w:val="both"/>
              <w:rPr>
                <w:sz w:val="18"/>
              </w:rPr>
            </w:pPr>
            <w:r>
              <w:rPr>
                <w:sz w:val="18"/>
              </w:rPr>
              <w:t>）</w:t>
            </w:r>
            <w:r>
              <w:rPr>
                <w:spacing w:val="-88"/>
                <w:sz w:val="18"/>
              </w:rPr>
              <w:t> </w:t>
            </w:r>
            <w:r>
              <w:rPr>
                <w:sz w:val="18"/>
              </w:rPr>
              <w:t>综合收益</w:t>
            </w:r>
          </w:p>
          <w:p>
            <w:pPr>
              <w:pStyle w:val="TableParagraph"/>
              <w:spacing w:line="230" w:lineRule="atLeast"/>
              <w:ind w:left="107" w:right="164"/>
              <w:rPr>
                <w:sz w:val="18"/>
              </w:rPr>
            </w:pPr>
            <w:r>
              <w:rPr>
                <w:sz w:val="18"/>
              </w:rPr>
              <w:t>总额 </w:t>
            </w:r>
          </w:p>
        </w:tc>
        <w:tc>
          <w:tcPr>
            <w:tcW w:w="748" w:type="dxa"/>
          </w:tcPr>
          <w:p>
            <w:pPr>
              <w:pStyle w:val="TableParagraph"/>
              <w:rPr>
                <w:sz w:val="22"/>
              </w:rPr>
            </w:pPr>
          </w:p>
          <w:p>
            <w:pPr>
              <w:pStyle w:val="TableParagraph"/>
              <w:rPr>
                <w:sz w:val="22"/>
              </w:rPr>
            </w:pPr>
          </w:p>
          <w:p>
            <w:pPr>
              <w:pStyle w:val="TableParagraph"/>
              <w:spacing w:before="2"/>
              <w:rPr>
                <w:sz w:val="28"/>
              </w:rPr>
            </w:pPr>
          </w:p>
          <w:p>
            <w:pPr>
              <w:pStyle w:val="TableParagraph"/>
              <w:ind w:right="94"/>
              <w:jc w:val="right"/>
              <w:rPr>
                <w:rFonts w:ascii="Times New Roman"/>
                <w:sz w:val="21"/>
              </w:rPr>
            </w:pPr>
            <w:r>
              <w:rPr>
                <w:rFonts w:ascii="Times New Roman"/>
                <w:w w:val="100"/>
                <w:sz w:val="21"/>
              </w:rPr>
              <w:t>-</w:t>
            </w:r>
          </w:p>
        </w:tc>
        <w:tc>
          <w:tcPr>
            <w:tcW w:w="316" w:type="dxa"/>
          </w:tcPr>
          <w:p>
            <w:pPr>
              <w:pStyle w:val="TableParagraph"/>
              <w:rPr>
                <w:rFonts w:ascii="Times New Roman"/>
                <w:sz w:val="18"/>
              </w:rPr>
            </w:pPr>
          </w:p>
        </w:tc>
        <w:tc>
          <w:tcPr>
            <w:tcW w:w="316" w:type="dxa"/>
          </w:tcPr>
          <w:p>
            <w:pPr>
              <w:pStyle w:val="TableParagraph"/>
              <w:rPr>
                <w:rFonts w:ascii="Times New Roman"/>
                <w:sz w:val="18"/>
              </w:rPr>
            </w:pPr>
          </w:p>
        </w:tc>
        <w:tc>
          <w:tcPr>
            <w:tcW w:w="319" w:type="dxa"/>
          </w:tcPr>
          <w:p>
            <w:pPr>
              <w:pStyle w:val="TableParagraph"/>
              <w:rPr>
                <w:rFonts w:ascii="Times New Roman"/>
                <w:sz w:val="18"/>
              </w:rPr>
            </w:pPr>
          </w:p>
        </w:tc>
        <w:tc>
          <w:tcPr>
            <w:tcW w:w="748" w:type="dxa"/>
          </w:tcPr>
          <w:p>
            <w:pPr>
              <w:pStyle w:val="TableParagraph"/>
              <w:rPr>
                <w:sz w:val="22"/>
              </w:rPr>
            </w:pPr>
          </w:p>
          <w:p>
            <w:pPr>
              <w:pStyle w:val="TableParagraph"/>
              <w:rPr>
                <w:sz w:val="22"/>
              </w:rPr>
            </w:pPr>
          </w:p>
          <w:p>
            <w:pPr>
              <w:pStyle w:val="TableParagraph"/>
              <w:spacing w:before="2"/>
              <w:rPr>
                <w:sz w:val="28"/>
              </w:rPr>
            </w:pPr>
          </w:p>
          <w:p>
            <w:pPr>
              <w:pStyle w:val="TableParagraph"/>
              <w:ind w:right="93"/>
              <w:jc w:val="right"/>
              <w:rPr>
                <w:rFonts w:ascii="Times New Roman"/>
                <w:sz w:val="21"/>
              </w:rPr>
            </w:pPr>
            <w:r>
              <w:rPr>
                <w:rFonts w:ascii="Times New Roman"/>
                <w:w w:val="100"/>
                <w:sz w:val="21"/>
              </w:rPr>
              <w:t>-</w:t>
            </w:r>
          </w:p>
        </w:tc>
        <w:tc>
          <w:tcPr>
            <w:tcW w:w="602" w:type="dxa"/>
          </w:tcPr>
          <w:p>
            <w:pPr>
              <w:pStyle w:val="TableParagraph"/>
              <w:rPr>
                <w:sz w:val="22"/>
              </w:rPr>
            </w:pPr>
          </w:p>
          <w:p>
            <w:pPr>
              <w:pStyle w:val="TableParagraph"/>
              <w:rPr>
                <w:sz w:val="22"/>
              </w:rPr>
            </w:pPr>
          </w:p>
          <w:p>
            <w:pPr>
              <w:pStyle w:val="TableParagraph"/>
              <w:spacing w:before="2"/>
              <w:rPr>
                <w:sz w:val="28"/>
              </w:rPr>
            </w:pPr>
          </w:p>
          <w:p>
            <w:pPr>
              <w:pStyle w:val="TableParagraph"/>
              <w:ind w:right="90"/>
              <w:jc w:val="right"/>
              <w:rPr>
                <w:rFonts w:ascii="Times New Roman"/>
                <w:sz w:val="21"/>
              </w:rPr>
            </w:pPr>
            <w:r>
              <w:rPr>
                <w:rFonts w:ascii="Times New Roman"/>
                <w:w w:val="100"/>
                <w:sz w:val="21"/>
              </w:rPr>
              <w:t>-</w:t>
            </w:r>
          </w:p>
        </w:tc>
        <w:tc>
          <w:tcPr>
            <w:tcW w:w="602" w:type="dxa"/>
          </w:tcPr>
          <w:p>
            <w:pPr>
              <w:pStyle w:val="TableParagraph"/>
              <w:rPr>
                <w:sz w:val="22"/>
              </w:rPr>
            </w:pPr>
          </w:p>
          <w:p>
            <w:pPr>
              <w:pStyle w:val="TableParagraph"/>
              <w:spacing w:before="3"/>
              <w:rPr>
                <w:sz w:val="31"/>
              </w:rPr>
            </w:pPr>
          </w:p>
          <w:p>
            <w:pPr>
              <w:pStyle w:val="TableParagraph"/>
              <w:ind w:left="131" w:right="73" w:firstLine="297"/>
              <w:rPr>
                <w:rFonts w:ascii="Times New Roman"/>
                <w:sz w:val="21"/>
              </w:rPr>
            </w:pPr>
            <w:r>
              <w:rPr>
                <w:rFonts w:ascii="Times New Roman"/>
                <w:sz w:val="21"/>
              </w:rPr>
              <w:t>-</w:t>
            </w:r>
            <w:r>
              <w:rPr>
                <w:rFonts w:ascii="Times New Roman"/>
                <w:spacing w:val="-50"/>
                <w:sz w:val="21"/>
              </w:rPr>
              <w:t> </w:t>
            </w:r>
            <w:r>
              <w:rPr>
                <w:rFonts w:ascii="Times New Roman"/>
                <w:sz w:val="21"/>
              </w:rPr>
              <w:t>442,</w:t>
            </w:r>
          </w:p>
          <w:p>
            <w:pPr>
              <w:pStyle w:val="TableParagraph"/>
              <w:spacing w:line="241" w:lineRule="exact"/>
              <w:ind w:left="184"/>
              <w:rPr>
                <w:rFonts w:ascii="Times New Roman"/>
                <w:sz w:val="21"/>
              </w:rPr>
            </w:pPr>
            <w:r>
              <w:rPr>
                <w:rFonts w:ascii="Times New Roman"/>
                <w:sz w:val="21"/>
              </w:rPr>
              <w:t>464</w:t>
            </w:r>
          </w:p>
        </w:tc>
        <w:tc>
          <w:tcPr>
            <w:tcW w:w="317" w:type="dxa"/>
          </w:tcPr>
          <w:p>
            <w:pPr>
              <w:pStyle w:val="TableParagraph"/>
              <w:rPr>
                <w:rFonts w:ascii="Times New Roman"/>
                <w:sz w:val="18"/>
              </w:rPr>
            </w:pPr>
          </w:p>
        </w:tc>
        <w:tc>
          <w:tcPr>
            <w:tcW w:w="691" w:type="dxa"/>
          </w:tcPr>
          <w:p>
            <w:pPr>
              <w:pStyle w:val="TableParagraph"/>
              <w:rPr>
                <w:sz w:val="22"/>
              </w:rPr>
            </w:pPr>
          </w:p>
          <w:p>
            <w:pPr>
              <w:pStyle w:val="TableParagraph"/>
              <w:rPr>
                <w:sz w:val="22"/>
              </w:rPr>
            </w:pPr>
          </w:p>
          <w:p>
            <w:pPr>
              <w:pStyle w:val="TableParagraph"/>
              <w:spacing w:before="2"/>
              <w:rPr>
                <w:sz w:val="28"/>
              </w:rPr>
            </w:pPr>
          </w:p>
          <w:p>
            <w:pPr>
              <w:pStyle w:val="TableParagraph"/>
              <w:ind w:right="92"/>
              <w:jc w:val="right"/>
              <w:rPr>
                <w:rFonts w:ascii="Times New Roman"/>
                <w:sz w:val="21"/>
              </w:rPr>
            </w:pPr>
            <w:r>
              <w:rPr>
                <w:rFonts w:ascii="Times New Roman"/>
                <w:w w:val="100"/>
                <w:sz w:val="21"/>
              </w:rPr>
              <w:t>-</w:t>
            </w:r>
          </w:p>
        </w:tc>
        <w:tc>
          <w:tcPr>
            <w:tcW w:w="317" w:type="dxa"/>
          </w:tcPr>
          <w:p>
            <w:pPr>
              <w:pStyle w:val="TableParagraph"/>
              <w:rPr>
                <w:rFonts w:ascii="Times New Roman"/>
                <w:sz w:val="18"/>
              </w:rPr>
            </w:pPr>
          </w:p>
        </w:tc>
        <w:tc>
          <w:tcPr>
            <w:tcW w:w="751" w:type="dxa"/>
          </w:tcPr>
          <w:p>
            <w:pPr>
              <w:pStyle w:val="TableParagraph"/>
              <w:rPr>
                <w:sz w:val="22"/>
              </w:rPr>
            </w:pPr>
          </w:p>
          <w:p>
            <w:pPr>
              <w:pStyle w:val="TableParagraph"/>
              <w:rPr>
                <w:sz w:val="22"/>
              </w:rPr>
            </w:pPr>
          </w:p>
          <w:p>
            <w:pPr>
              <w:pStyle w:val="TableParagraph"/>
              <w:spacing w:before="8"/>
              <w:rPr>
                <w:sz w:val="18"/>
              </w:rPr>
            </w:pPr>
          </w:p>
          <w:p>
            <w:pPr>
              <w:pStyle w:val="TableParagraph"/>
              <w:ind w:left="173"/>
              <w:rPr>
                <w:rFonts w:ascii="Times New Roman"/>
                <w:sz w:val="21"/>
              </w:rPr>
            </w:pPr>
            <w:r>
              <w:rPr>
                <w:rFonts w:ascii="Times New Roman"/>
                <w:sz w:val="21"/>
              </w:rPr>
              <w:t>20,00</w:t>
            </w:r>
          </w:p>
          <w:p>
            <w:pPr>
              <w:pStyle w:val="TableParagraph"/>
              <w:spacing w:before="1"/>
              <w:ind w:left="173"/>
              <w:rPr>
                <w:rFonts w:ascii="Times New Roman"/>
                <w:sz w:val="21"/>
              </w:rPr>
            </w:pPr>
            <w:r>
              <w:rPr>
                <w:rFonts w:ascii="Times New Roman"/>
                <w:sz w:val="21"/>
              </w:rPr>
              <w:t>9,751</w:t>
            </w:r>
          </w:p>
        </w:tc>
        <w:tc>
          <w:tcPr>
            <w:tcW w:w="317" w:type="dxa"/>
          </w:tcPr>
          <w:p>
            <w:pPr>
              <w:pStyle w:val="TableParagraph"/>
              <w:rPr>
                <w:rFonts w:ascii="Times New Roman"/>
                <w:sz w:val="18"/>
              </w:rPr>
            </w:pPr>
          </w:p>
        </w:tc>
        <w:tc>
          <w:tcPr>
            <w:tcW w:w="810" w:type="dxa"/>
          </w:tcPr>
          <w:p>
            <w:pPr>
              <w:pStyle w:val="TableParagraph"/>
              <w:rPr>
                <w:sz w:val="22"/>
              </w:rPr>
            </w:pPr>
          </w:p>
          <w:p>
            <w:pPr>
              <w:pStyle w:val="TableParagraph"/>
              <w:rPr>
                <w:sz w:val="22"/>
              </w:rPr>
            </w:pPr>
          </w:p>
          <w:p>
            <w:pPr>
              <w:pStyle w:val="TableParagraph"/>
              <w:spacing w:before="8"/>
              <w:rPr>
                <w:sz w:val="18"/>
              </w:rPr>
            </w:pPr>
          </w:p>
          <w:p>
            <w:pPr>
              <w:pStyle w:val="TableParagraph"/>
              <w:ind w:right="89"/>
              <w:jc w:val="right"/>
              <w:rPr>
                <w:rFonts w:ascii="Times New Roman"/>
                <w:sz w:val="21"/>
              </w:rPr>
            </w:pPr>
            <w:r>
              <w:rPr>
                <w:rFonts w:ascii="Times New Roman"/>
                <w:sz w:val="21"/>
              </w:rPr>
              <w:t>19,567</w:t>
            </w:r>
          </w:p>
          <w:p>
            <w:pPr>
              <w:pStyle w:val="TableParagraph"/>
              <w:spacing w:before="1"/>
              <w:ind w:right="89"/>
              <w:jc w:val="right"/>
              <w:rPr>
                <w:rFonts w:ascii="Times New Roman"/>
                <w:sz w:val="21"/>
              </w:rPr>
            </w:pPr>
            <w:r>
              <w:rPr>
                <w:rFonts w:ascii="Times New Roman"/>
                <w:sz w:val="21"/>
              </w:rPr>
              <w:t>,287</w:t>
            </w:r>
          </w:p>
        </w:tc>
        <w:tc>
          <w:tcPr>
            <w:tcW w:w="603" w:type="dxa"/>
          </w:tcPr>
          <w:p>
            <w:pPr>
              <w:pStyle w:val="TableParagraph"/>
              <w:rPr>
                <w:sz w:val="22"/>
              </w:rPr>
            </w:pPr>
          </w:p>
          <w:p>
            <w:pPr>
              <w:pStyle w:val="TableParagraph"/>
              <w:rPr>
                <w:sz w:val="22"/>
              </w:rPr>
            </w:pPr>
          </w:p>
          <w:p>
            <w:pPr>
              <w:pStyle w:val="TableParagraph"/>
              <w:spacing w:before="8"/>
              <w:rPr>
                <w:sz w:val="18"/>
              </w:rPr>
            </w:pPr>
          </w:p>
          <w:p>
            <w:pPr>
              <w:pStyle w:val="TableParagraph"/>
              <w:ind w:right="89"/>
              <w:jc w:val="right"/>
              <w:rPr>
                <w:rFonts w:ascii="Times New Roman"/>
                <w:sz w:val="21"/>
              </w:rPr>
            </w:pPr>
            <w:r>
              <w:rPr>
                <w:rFonts w:ascii="Times New Roman"/>
                <w:sz w:val="21"/>
              </w:rPr>
              <w:t>14,9</w:t>
            </w:r>
          </w:p>
          <w:p>
            <w:pPr>
              <w:pStyle w:val="TableParagraph"/>
              <w:spacing w:before="1"/>
              <w:ind w:right="92"/>
              <w:jc w:val="right"/>
              <w:rPr>
                <w:rFonts w:ascii="Times New Roman"/>
                <w:sz w:val="21"/>
              </w:rPr>
            </w:pPr>
            <w:r>
              <w:rPr>
                <w:rFonts w:ascii="Times New Roman"/>
                <w:sz w:val="21"/>
              </w:rPr>
              <w:t>85</w:t>
            </w:r>
          </w:p>
        </w:tc>
        <w:tc>
          <w:tcPr>
            <w:tcW w:w="809" w:type="dxa"/>
          </w:tcPr>
          <w:p>
            <w:pPr>
              <w:pStyle w:val="TableParagraph"/>
              <w:rPr>
                <w:sz w:val="22"/>
              </w:rPr>
            </w:pPr>
          </w:p>
          <w:p>
            <w:pPr>
              <w:pStyle w:val="TableParagraph"/>
              <w:rPr>
                <w:sz w:val="22"/>
              </w:rPr>
            </w:pPr>
          </w:p>
          <w:p>
            <w:pPr>
              <w:pStyle w:val="TableParagraph"/>
              <w:spacing w:before="8"/>
              <w:rPr>
                <w:sz w:val="18"/>
              </w:rPr>
            </w:pPr>
          </w:p>
          <w:p>
            <w:pPr>
              <w:pStyle w:val="TableParagraph"/>
              <w:ind w:right="89"/>
              <w:jc w:val="right"/>
              <w:rPr>
                <w:rFonts w:ascii="Times New Roman"/>
                <w:sz w:val="21"/>
              </w:rPr>
            </w:pPr>
            <w:r>
              <w:rPr>
                <w:rFonts w:ascii="Times New Roman"/>
                <w:sz w:val="21"/>
              </w:rPr>
              <w:t>19,582</w:t>
            </w:r>
          </w:p>
          <w:p>
            <w:pPr>
              <w:pStyle w:val="TableParagraph"/>
              <w:spacing w:before="1"/>
              <w:ind w:right="89"/>
              <w:jc w:val="right"/>
              <w:rPr>
                <w:rFonts w:ascii="Times New Roman"/>
                <w:sz w:val="21"/>
              </w:rPr>
            </w:pPr>
            <w:r>
              <w:rPr>
                <w:rFonts w:ascii="Times New Roman"/>
                <w:sz w:val="21"/>
              </w:rPr>
              <w:t>,272</w:t>
            </w:r>
          </w:p>
        </w:tc>
      </w:tr>
      <w:tr>
        <w:trPr>
          <w:trHeight w:val="3033" w:hRule="atLeast"/>
        </w:trPr>
        <w:tc>
          <w:tcPr>
            <w:tcW w:w="554" w:type="dxa"/>
          </w:tcPr>
          <w:p>
            <w:pPr>
              <w:pStyle w:val="TableParagraph"/>
              <w:spacing w:line="242" w:lineRule="auto"/>
              <w:ind w:left="107" w:right="254"/>
              <w:rPr>
                <w:sz w:val="18"/>
              </w:rPr>
            </w:pPr>
            <w:r>
              <w:rPr>
                <w:sz w:val="18"/>
              </w:rPr>
              <w:t>（</w:t>
            </w:r>
            <w:r>
              <w:rPr>
                <w:spacing w:val="-87"/>
                <w:sz w:val="18"/>
              </w:rPr>
              <w:t> </w:t>
            </w:r>
            <w:r>
              <w:rPr>
                <w:sz w:val="18"/>
              </w:rPr>
              <w:t>二</w:t>
            </w:r>
          </w:p>
          <w:p>
            <w:pPr>
              <w:pStyle w:val="TableParagraph"/>
              <w:spacing w:line="242" w:lineRule="auto"/>
              <w:ind w:left="107" w:right="254"/>
              <w:jc w:val="both"/>
              <w:rPr>
                <w:sz w:val="18"/>
              </w:rPr>
            </w:pPr>
            <w:r>
              <w:rPr>
                <w:sz w:val="18"/>
              </w:rPr>
              <w:t>）</w:t>
            </w:r>
            <w:r>
              <w:rPr>
                <w:spacing w:val="-88"/>
                <w:sz w:val="18"/>
              </w:rPr>
              <w:t> </w:t>
            </w:r>
            <w:r>
              <w:rPr>
                <w:sz w:val="18"/>
              </w:rPr>
              <w:t>所有者投入和减少</w:t>
            </w:r>
          </w:p>
          <w:p>
            <w:pPr>
              <w:pStyle w:val="TableParagraph"/>
              <w:spacing w:line="230" w:lineRule="atLeast"/>
              <w:ind w:left="107" w:right="164"/>
              <w:rPr>
                <w:sz w:val="18"/>
              </w:rPr>
            </w:pPr>
            <w:r>
              <w:rPr>
                <w:sz w:val="18"/>
              </w:rPr>
              <w:t>资本 </w:t>
            </w:r>
          </w:p>
        </w:tc>
        <w:tc>
          <w:tcPr>
            <w:tcW w:w="748" w:type="dxa"/>
          </w:tcPr>
          <w:p>
            <w:pPr>
              <w:pStyle w:val="TableParagraph"/>
              <w:rPr>
                <w:sz w:val="22"/>
              </w:rPr>
            </w:pPr>
          </w:p>
          <w:p>
            <w:pPr>
              <w:pStyle w:val="TableParagraph"/>
              <w:rPr>
                <w:sz w:val="22"/>
              </w:rPr>
            </w:pPr>
          </w:p>
          <w:p>
            <w:pPr>
              <w:pStyle w:val="TableParagraph"/>
              <w:rPr>
                <w:sz w:val="22"/>
              </w:rPr>
            </w:pPr>
          </w:p>
          <w:p>
            <w:pPr>
              <w:pStyle w:val="TableParagraph"/>
              <w:spacing w:before="12"/>
              <w:rPr>
                <w:sz w:val="32"/>
              </w:rPr>
            </w:pPr>
          </w:p>
          <w:p>
            <w:pPr>
              <w:pStyle w:val="TableParagraph"/>
              <w:ind w:left="168" w:right="77" w:firstLine="403"/>
              <w:rPr>
                <w:rFonts w:ascii="Times New Roman"/>
                <w:sz w:val="21"/>
              </w:rPr>
            </w:pPr>
            <w:r>
              <w:rPr>
                <w:rFonts w:ascii="Times New Roman"/>
                <w:sz w:val="21"/>
              </w:rPr>
              <w:t>-</w:t>
            </w:r>
            <w:r>
              <w:rPr>
                <w:rFonts w:ascii="Times New Roman"/>
                <w:spacing w:val="-50"/>
                <w:sz w:val="21"/>
              </w:rPr>
              <w:t> </w:t>
            </w:r>
            <w:r>
              <w:rPr>
                <w:rFonts w:ascii="Times New Roman"/>
                <w:sz w:val="21"/>
              </w:rPr>
              <w:t>5,576</w:t>
            </w:r>
          </w:p>
        </w:tc>
        <w:tc>
          <w:tcPr>
            <w:tcW w:w="316"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6"/>
              <w:rPr>
                <w:sz w:val="20"/>
              </w:rPr>
            </w:pPr>
          </w:p>
          <w:p>
            <w:pPr>
              <w:pStyle w:val="TableParagraph"/>
              <w:ind w:left="140"/>
              <w:rPr>
                <w:rFonts w:ascii="Times New Roman"/>
                <w:sz w:val="21"/>
              </w:rPr>
            </w:pPr>
            <w:r>
              <w:rPr>
                <w:rFonts w:ascii="Times New Roman"/>
                <w:w w:val="100"/>
                <w:sz w:val="21"/>
              </w:rPr>
              <w:t>-</w:t>
            </w:r>
          </w:p>
        </w:tc>
        <w:tc>
          <w:tcPr>
            <w:tcW w:w="316"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6"/>
              <w:rPr>
                <w:sz w:val="20"/>
              </w:rPr>
            </w:pPr>
          </w:p>
          <w:p>
            <w:pPr>
              <w:pStyle w:val="TableParagraph"/>
              <w:ind w:left="140"/>
              <w:rPr>
                <w:rFonts w:ascii="Times New Roman"/>
                <w:sz w:val="21"/>
              </w:rPr>
            </w:pPr>
            <w:r>
              <w:rPr>
                <w:rFonts w:ascii="Times New Roman"/>
                <w:w w:val="100"/>
                <w:sz w:val="21"/>
              </w:rPr>
              <w:t>-</w:t>
            </w:r>
          </w:p>
        </w:tc>
        <w:tc>
          <w:tcPr>
            <w:tcW w:w="319"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6"/>
              <w:rPr>
                <w:sz w:val="20"/>
              </w:rPr>
            </w:pPr>
          </w:p>
          <w:p>
            <w:pPr>
              <w:pStyle w:val="TableParagraph"/>
              <w:ind w:left="144"/>
              <w:rPr>
                <w:rFonts w:ascii="Times New Roman"/>
                <w:sz w:val="21"/>
              </w:rPr>
            </w:pPr>
            <w:r>
              <w:rPr>
                <w:rFonts w:ascii="Times New Roman"/>
                <w:w w:val="100"/>
                <w:sz w:val="21"/>
              </w:rPr>
              <w:t>-</w:t>
            </w:r>
          </w:p>
        </w:tc>
        <w:tc>
          <w:tcPr>
            <w:tcW w:w="748" w:type="dxa"/>
          </w:tcPr>
          <w:p>
            <w:pPr>
              <w:pStyle w:val="TableParagraph"/>
              <w:rPr>
                <w:sz w:val="22"/>
              </w:rPr>
            </w:pPr>
          </w:p>
          <w:p>
            <w:pPr>
              <w:pStyle w:val="TableParagraph"/>
              <w:rPr>
                <w:sz w:val="22"/>
              </w:rPr>
            </w:pPr>
          </w:p>
          <w:p>
            <w:pPr>
              <w:pStyle w:val="TableParagraph"/>
              <w:rPr>
                <w:sz w:val="22"/>
              </w:rPr>
            </w:pPr>
          </w:p>
          <w:p>
            <w:pPr>
              <w:pStyle w:val="TableParagraph"/>
              <w:spacing w:before="12"/>
              <w:rPr>
                <w:sz w:val="32"/>
              </w:rPr>
            </w:pPr>
          </w:p>
          <w:p>
            <w:pPr>
              <w:pStyle w:val="TableParagraph"/>
              <w:ind w:right="91"/>
              <w:jc w:val="right"/>
              <w:rPr>
                <w:rFonts w:ascii="Times New Roman"/>
                <w:sz w:val="21"/>
              </w:rPr>
            </w:pPr>
            <w:r>
              <w:rPr>
                <w:rFonts w:ascii="Times New Roman"/>
                <w:sz w:val="21"/>
              </w:rPr>
              <w:t>539,3</w:t>
            </w:r>
          </w:p>
          <w:p>
            <w:pPr>
              <w:pStyle w:val="TableParagraph"/>
              <w:spacing w:before="1"/>
              <w:ind w:right="94"/>
              <w:jc w:val="right"/>
              <w:rPr>
                <w:rFonts w:ascii="Times New Roman"/>
                <w:sz w:val="21"/>
              </w:rPr>
            </w:pPr>
            <w:r>
              <w:rPr>
                <w:rFonts w:ascii="Times New Roman"/>
                <w:sz w:val="21"/>
              </w:rPr>
              <w:t>88</w:t>
            </w:r>
          </w:p>
        </w:tc>
        <w:tc>
          <w:tcPr>
            <w:tcW w:w="602" w:type="dxa"/>
          </w:tcPr>
          <w:p>
            <w:pPr>
              <w:pStyle w:val="TableParagraph"/>
              <w:rPr>
                <w:sz w:val="22"/>
              </w:rPr>
            </w:pPr>
          </w:p>
          <w:p>
            <w:pPr>
              <w:pStyle w:val="TableParagraph"/>
              <w:rPr>
                <w:sz w:val="22"/>
              </w:rPr>
            </w:pPr>
          </w:p>
          <w:p>
            <w:pPr>
              <w:pStyle w:val="TableParagraph"/>
              <w:rPr>
                <w:sz w:val="22"/>
              </w:rPr>
            </w:pPr>
          </w:p>
          <w:p>
            <w:pPr>
              <w:pStyle w:val="TableParagraph"/>
              <w:spacing w:before="12"/>
              <w:rPr>
                <w:sz w:val="32"/>
              </w:rPr>
            </w:pPr>
          </w:p>
          <w:p>
            <w:pPr>
              <w:pStyle w:val="TableParagraph"/>
              <w:ind w:left="131"/>
              <w:rPr>
                <w:rFonts w:ascii="Times New Roman"/>
                <w:sz w:val="21"/>
              </w:rPr>
            </w:pPr>
            <w:r>
              <w:rPr>
                <w:rFonts w:ascii="Times New Roman"/>
                <w:sz w:val="21"/>
              </w:rPr>
              <w:t>266,</w:t>
            </w:r>
          </w:p>
          <w:p>
            <w:pPr>
              <w:pStyle w:val="TableParagraph"/>
              <w:spacing w:before="1"/>
              <w:ind w:left="184"/>
              <w:rPr>
                <w:rFonts w:ascii="Times New Roman"/>
                <w:sz w:val="21"/>
              </w:rPr>
            </w:pPr>
            <w:r>
              <w:rPr>
                <w:rFonts w:ascii="Times New Roman"/>
                <w:sz w:val="21"/>
              </w:rPr>
              <w:t>044</w:t>
            </w:r>
          </w:p>
        </w:tc>
        <w:tc>
          <w:tcPr>
            <w:tcW w:w="602"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6"/>
              <w:rPr>
                <w:sz w:val="20"/>
              </w:rPr>
            </w:pPr>
          </w:p>
          <w:p>
            <w:pPr>
              <w:pStyle w:val="TableParagraph"/>
              <w:ind w:right="90"/>
              <w:jc w:val="right"/>
              <w:rPr>
                <w:rFonts w:ascii="Times New Roman"/>
                <w:sz w:val="21"/>
              </w:rPr>
            </w:pPr>
            <w:r>
              <w:rPr>
                <w:rFonts w:ascii="Times New Roman"/>
                <w:w w:val="100"/>
                <w:sz w:val="21"/>
              </w:rPr>
              <w:t>-</w:t>
            </w:r>
          </w:p>
        </w:tc>
        <w:tc>
          <w:tcPr>
            <w:tcW w:w="317"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6"/>
              <w:rPr>
                <w:sz w:val="20"/>
              </w:rPr>
            </w:pPr>
          </w:p>
          <w:p>
            <w:pPr>
              <w:pStyle w:val="TableParagraph"/>
              <w:ind w:left="146"/>
              <w:rPr>
                <w:rFonts w:ascii="Times New Roman"/>
                <w:sz w:val="21"/>
              </w:rPr>
            </w:pPr>
            <w:r>
              <w:rPr>
                <w:rFonts w:ascii="Times New Roman"/>
                <w:w w:val="100"/>
                <w:sz w:val="21"/>
              </w:rPr>
              <w:t>-</w:t>
            </w:r>
          </w:p>
        </w:tc>
        <w:tc>
          <w:tcPr>
            <w:tcW w:w="691"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6"/>
              <w:rPr>
                <w:sz w:val="20"/>
              </w:rPr>
            </w:pPr>
          </w:p>
          <w:p>
            <w:pPr>
              <w:pStyle w:val="TableParagraph"/>
              <w:ind w:right="92"/>
              <w:jc w:val="right"/>
              <w:rPr>
                <w:rFonts w:ascii="Times New Roman"/>
                <w:sz w:val="21"/>
              </w:rPr>
            </w:pPr>
            <w:r>
              <w:rPr>
                <w:rFonts w:ascii="Times New Roman"/>
                <w:w w:val="100"/>
                <w:sz w:val="21"/>
              </w:rPr>
              <w:t>-</w:t>
            </w:r>
          </w:p>
        </w:tc>
        <w:tc>
          <w:tcPr>
            <w:tcW w:w="317"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6"/>
              <w:rPr>
                <w:sz w:val="20"/>
              </w:rPr>
            </w:pPr>
          </w:p>
          <w:p>
            <w:pPr>
              <w:pStyle w:val="TableParagraph"/>
              <w:ind w:left="146"/>
              <w:rPr>
                <w:rFonts w:ascii="Times New Roman"/>
                <w:sz w:val="21"/>
              </w:rPr>
            </w:pPr>
            <w:r>
              <w:rPr>
                <w:rFonts w:ascii="Times New Roman"/>
                <w:w w:val="100"/>
                <w:sz w:val="21"/>
              </w:rPr>
              <w:t>-</w:t>
            </w:r>
          </w:p>
        </w:tc>
        <w:tc>
          <w:tcPr>
            <w:tcW w:w="751"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6"/>
              <w:rPr>
                <w:sz w:val="20"/>
              </w:rPr>
            </w:pPr>
          </w:p>
          <w:p>
            <w:pPr>
              <w:pStyle w:val="TableParagraph"/>
              <w:ind w:right="92"/>
              <w:jc w:val="right"/>
              <w:rPr>
                <w:rFonts w:ascii="Times New Roman"/>
                <w:sz w:val="21"/>
              </w:rPr>
            </w:pPr>
            <w:r>
              <w:rPr>
                <w:rFonts w:ascii="Times New Roman"/>
                <w:w w:val="100"/>
                <w:sz w:val="21"/>
              </w:rPr>
              <w:t>-</w:t>
            </w:r>
          </w:p>
        </w:tc>
        <w:tc>
          <w:tcPr>
            <w:tcW w:w="317"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6"/>
              <w:rPr>
                <w:sz w:val="20"/>
              </w:rPr>
            </w:pPr>
          </w:p>
          <w:p>
            <w:pPr>
              <w:pStyle w:val="TableParagraph"/>
              <w:ind w:left="146"/>
              <w:rPr>
                <w:rFonts w:ascii="Times New Roman"/>
                <w:sz w:val="21"/>
              </w:rPr>
            </w:pPr>
            <w:r>
              <w:rPr>
                <w:rFonts w:ascii="Times New Roman"/>
                <w:w w:val="100"/>
                <w:sz w:val="21"/>
              </w:rPr>
              <w:t>-</w:t>
            </w:r>
          </w:p>
        </w:tc>
        <w:tc>
          <w:tcPr>
            <w:tcW w:w="810" w:type="dxa"/>
          </w:tcPr>
          <w:p>
            <w:pPr>
              <w:pStyle w:val="TableParagraph"/>
              <w:rPr>
                <w:sz w:val="22"/>
              </w:rPr>
            </w:pPr>
          </w:p>
          <w:p>
            <w:pPr>
              <w:pStyle w:val="TableParagraph"/>
              <w:rPr>
                <w:sz w:val="22"/>
              </w:rPr>
            </w:pPr>
          </w:p>
          <w:p>
            <w:pPr>
              <w:pStyle w:val="TableParagraph"/>
              <w:rPr>
                <w:sz w:val="22"/>
              </w:rPr>
            </w:pPr>
          </w:p>
          <w:p>
            <w:pPr>
              <w:pStyle w:val="TableParagraph"/>
              <w:spacing w:before="12"/>
              <w:rPr>
                <w:sz w:val="32"/>
              </w:rPr>
            </w:pPr>
          </w:p>
          <w:p>
            <w:pPr>
              <w:pStyle w:val="TableParagraph"/>
              <w:ind w:right="89"/>
              <w:jc w:val="right"/>
              <w:rPr>
                <w:rFonts w:ascii="Times New Roman"/>
                <w:sz w:val="21"/>
              </w:rPr>
            </w:pPr>
            <w:r>
              <w:rPr>
                <w:rFonts w:ascii="Times New Roman"/>
                <w:sz w:val="21"/>
              </w:rPr>
              <w:t>799,85</w:t>
            </w:r>
          </w:p>
          <w:p>
            <w:pPr>
              <w:pStyle w:val="TableParagraph"/>
              <w:spacing w:before="1"/>
              <w:ind w:right="91"/>
              <w:jc w:val="right"/>
              <w:rPr>
                <w:rFonts w:ascii="Times New Roman"/>
                <w:sz w:val="21"/>
              </w:rPr>
            </w:pPr>
            <w:r>
              <w:rPr>
                <w:rFonts w:ascii="Times New Roman"/>
                <w:w w:val="100"/>
                <w:sz w:val="21"/>
              </w:rPr>
              <w:t>6</w:t>
            </w:r>
          </w:p>
        </w:tc>
        <w:tc>
          <w:tcPr>
            <w:tcW w:w="603" w:type="dxa"/>
          </w:tcPr>
          <w:p>
            <w:pPr>
              <w:pStyle w:val="TableParagraph"/>
              <w:rPr>
                <w:sz w:val="22"/>
              </w:rPr>
            </w:pPr>
          </w:p>
          <w:p>
            <w:pPr>
              <w:pStyle w:val="TableParagraph"/>
              <w:rPr>
                <w:sz w:val="22"/>
              </w:rPr>
            </w:pPr>
          </w:p>
          <w:p>
            <w:pPr>
              <w:pStyle w:val="TableParagraph"/>
              <w:rPr>
                <w:sz w:val="22"/>
              </w:rPr>
            </w:pPr>
          </w:p>
          <w:p>
            <w:pPr>
              <w:pStyle w:val="TableParagraph"/>
              <w:spacing w:before="12"/>
              <w:rPr>
                <w:sz w:val="32"/>
              </w:rPr>
            </w:pPr>
          </w:p>
          <w:p>
            <w:pPr>
              <w:pStyle w:val="TableParagraph"/>
              <w:ind w:right="89"/>
              <w:jc w:val="right"/>
              <w:rPr>
                <w:rFonts w:ascii="Times New Roman"/>
                <w:sz w:val="21"/>
              </w:rPr>
            </w:pPr>
            <w:r>
              <w:rPr>
                <w:rFonts w:ascii="Times New Roman"/>
                <w:sz w:val="21"/>
              </w:rPr>
              <w:t>3,95</w:t>
            </w:r>
          </w:p>
          <w:p>
            <w:pPr>
              <w:pStyle w:val="TableParagraph"/>
              <w:spacing w:before="1"/>
              <w:ind w:right="92"/>
              <w:jc w:val="right"/>
              <w:rPr>
                <w:rFonts w:ascii="Times New Roman"/>
                <w:sz w:val="21"/>
              </w:rPr>
            </w:pPr>
            <w:r>
              <w:rPr>
                <w:rFonts w:ascii="Times New Roman"/>
                <w:w w:val="100"/>
                <w:sz w:val="21"/>
              </w:rPr>
              <w:t>4</w:t>
            </w:r>
          </w:p>
        </w:tc>
        <w:tc>
          <w:tcPr>
            <w:tcW w:w="809" w:type="dxa"/>
          </w:tcPr>
          <w:p>
            <w:pPr>
              <w:pStyle w:val="TableParagraph"/>
              <w:rPr>
                <w:sz w:val="22"/>
              </w:rPr>
            </w:pPr>
          </w:p>
          <w:p>
            <w:pPr>
              <w:pStyle w:val="TableParagraph"/>
              <w:rPr>
                <w:sz w:val="22"/>
              </w:rPr>
            </w:pPr>
          </w:p>
          <w:p>
            <w:pPr>
              <w:pStyle w:val="TableParagraph"/>
              <w:rPr>
                <w:sz w:val="22"/>
              </w:rPr>
            </w:pPr>
          </w:p>
          <w:p>
            <w:pPr>
              <w:pStyle w:val="TableParagraph"/>
              <w:spacing w:before="12"/>
              <w:rPr>
                <w:sz w:val="32"/>
              </w:rPr>
            </w:pPr>
          </w:p>
          <w:p>
            <w:pPr>
              <w:pStyle w:val="TableParagraph"/>
              <w:ind w:right="89"/>
              <w:jc w:val="right"/>
              <w:rPr>
                <w:rFonts w:ascii="Times New Roman"/>
                <w:sz w:val="21"/>
              </w:rPr>
            </w:pPr>
            <w:r>
              <w:rPr>
                <w:rFonts w:ascii="Times New Roman"/>
                <w:sz w:val="21"/>
              </w:rPr>
              <w:t>803,81</w:t>
            </w:r>
          </w:p>
          <w:p>
            <w:pPr>
              <w:pStyle w:val="TableParagraph"/>
              <w:spacing w:before="1"/>
              <w:ind w:right="92"/>
              <w:jc w:val="right"/>
              <w:rPr>
                <w:rFonts w:ascii="Times New Roman"/>
                <w:sz w:val="21"/>
              </w:rPr>
            </w:pPr>
            <w:r>
              <w:rPr>
                <w:rFonts w:ascii="Times New Roman"/>
                <w:w w:val="100"/>
                <w:sz w:val="21"/>
              </w:rPr>
              <w:t>0</w:t>
            </w:r>
          </w:p>
        </w:tc>
      </w:tr>
      <w:tr>
        <w:trPr>
          <w:trHeight w:val="2334" w:hRule="atLeast"/>
        </w:trPr>
        <w:tc>
          <w:tcPr>
            <w:tcW w:w="554" w:type="dxa"/>
          </w:tcPr>
          <w:p>
            <w:pPr>
              <w:pStyle w:val="TableParagraph"/>
              <w:spacing w:line="242" w:lineRule="auto"/>
              <w:ind w:left="107" w:right="163"/>
              <w:rPr>
                <w:sz w:val="18"/>
              </w:rPr>
            </w:pPr>
            <w:r>
              <w:rPr>
                <w:sz w:val="18"/>
              </w:rPr>
              <w:t>1．</w:t>
            </w:r>
            <w:r>
              <w:rPr>
                <w:spacing w:val="-87"/>
                <w:sz w:val="18"/>
              </w:rPr>
              <w:t> </w:t>
            </w:r>
            <w:r>
              <w:rPr>
                <w:sz w:val="18"/>
              </w:rPr>
              <w:t>所有者投入的普</w:t>
            </w:r>
          </w:p>
          <w:p>
            <w:pPr>
              <w:pStyle w:val="TableParagraph"/>
              <w:spacing w:line="230" w:lineRule="atLeast"/>
              <w:ind w:left="107" w:right="164"/>
              <w:rPr>
                <w:sz w:val="18"/>
              </w:rPr>
            </w:pPr>
            <w:r>
              <w:rPr>
                <w:sz w:val="18"/>
              </w:rPr>
              <w:t>通股 </w:t>
            </w:r>
          </w:p>
        </w:tc>
        <w:tc>
          <w:tcPr>
            <w:tcW w:w="748" w:type="dxa"/>
          </w:tcPr>
          <w:p>
            <w:pPr>
              <w:pStyle w:val="TableParagraph"/>
              <w:rPr>
                <w:rFonts w:ascii="Times New Roman"/>
                <w:sz w:val="18"/>
              </w:rPr>
            </w:pPr>
          </w:p>
        </w:tc>
        <w:tc>
          <w:tcPr>
            <w:tcW w:w="316" w:type="dxa"/>
          </w:tcPr>
          <w:p>
            <w:pPr>
              <w:pStyle w:val="TableParagraph"/>
              <w:rPr>
                <w:rFonts w:ascii="Times New Roman"/>
                <w:sz w:val="18"/>
              </w:rPr>
            </w:pPr>
          </w:p>
        </w:tc>
        <w:tc>
          <w:tcPr>
            <w:tcW w:w="316" w:type="dxa"/>
          </w:tcPr>
          <w:p>
            <w:pPr>
              <w:pStyle w:val="TableParagraph"/>
              <w:rPr>
                <w:rFonts w:ascii="Times New Roman"/>
                <w:sz w:val="18"/>
              </w:rPr>
            </w:pPr>
          </w:p>
        </w:tc>
        <w:tc>
          <w:tcPr>
            <w:tcW w:w="319" w:type="dxa"/>
          </w:tcPr>
          <w:p>
            <w:pPr>
              <w:pStyle w:val="TableParagraph"/>
              <w:rPr>
                <w:rFonts w:ascii="Times New Roman"/>
                <w:sz w:val="18"/>
              </w:rPr>
            </w:pPr>
          </w:p>
        </w:tc>
        <w:tc>
          <w:tcPr>
            <w:tcW w:w="748" w:type="dxa"/>
          </w:tcPr>
          <w:p>
            <w:pPr>
              <w:pStyle w:val="TableParagraph"/>
              <w:rPr>
                <w:rFonts w:ascii="Times New Roman"/>
                <w:sz w:val="18"/>
              </w:rPr>
            </w:pPr>
          </w:p>
        </w:tc>
        <w:tc>
          <w:tcPr>
            <w:tcW w:w="602" w:type="dxa"/>
          </w:tcPr>
          <w:p>
            <w:pPr>
              <w:pStyle w:val="TableParagraph"/>
              <w:rPr>
                <w:rFonts w:ascii="Times New Roman"/>
                <w:sz w:val="18"/>
              </w:rPr>
            </w:pPr>
          </w:p>
        </w:tc>
        <w:tc>
          <w:tcPr>
            <w:tcW w:w="602" w:type="dxa"/>
          </w:tcPr>
          <w:p>
            <w:pPr>
              <w:pStyle w:val="TableParagraph"/>
              <w:rPr>
                <w:rFonts w:ascii="Times New Roman"/>
                <w:sz w:val="18"/>
              </w:rPr>
            </w:pPr>
          </w:p>
        </w:tc>
        <w:tc>
          <w:tcPr>
            <w:tcW w:w="317" w:type="dxa"/>
          </w:tcPr>
          <w:p>
            <w:pPr>
              <w:pStyle w:val="TableParagraph"/>
              <w:rPr>
                <w:rFonts w:ascii="Times New Roman"/>
                <w:sz w:val="18"/>
              </w:rPr>
            </w:pPr>
          </w:p>
        </w:tc>
        <w:tc>
          <w:tcPr>
            <w:tcW w:w="691" w:type="dxa"/>
          </w:tcPr>
          <w:p>
            <w:pPr>
              <w:pStyle w:val="TableParagraph"/>
              <w:rPr>
                <w:rFonts w:ascii="Times New Roman"/>
                <w:sz w:val="18"/>
              </w:rPr>
            </w:pPr>
          </w:p>
        </w:tc>
        <w:tc>
          <w:tcPr>
            <w:tcW w:w="317" w:type="dxa"/>
          </w:tcPr>
          <w:p>
            <w:pPr>
              <w:pStyle w:val="TableParagraph"/>
              <w:rPr>
                <w:rFonts w:ascii="Times New Roman"/>
                <w:sz w:val="18"/>
              </w:rPr>
            </w:pPr>
          </w:p>
        </w:tc>
        <w:tc>
          <w:tcPr>
            <w:tcW w:w="751" w:type="dxa"/>
          </w:tcPr>
          <w:p>
            <w:pPr>
              <w:pStyle w:val="TableParagraph"/>
              <w:rPr>
                <w:rFonts w:ascii="Times New Roman"/>
                <w:sz w:val="18"/>
              </w:rPr>
            </w:pPr>
          </w:p>
        </w:tc>
        <w:tc>
          <w:tcPr>
            <w:tcW w:w="317" w:type="dxa"/>
          </w:tcPr>
          <w:p>
            <w:pPr>
              <w:pStyle w:val="TableParagraph"/>
              <w:rPr>
                <w:rFonts w:ascii="Times New Roman"/>
                <w:sz w:val="18"/>
              </w:rPr>
            </w:pPr>
          </w:p>
        </w:tc>
        <w:tc>
          <w:tcPr>
            <w:tcW w:w="810" w:type="dxa"/>
          </w:tcPr>
          <w:p>
            <w:pPr>
              <w:pStyle w:val="TableParagraph"/>
              <w:rPr>
                <w:rFonts w:ascii="Times New Roman"/>
                <w:sz w:val="18"/>
              </w:rPr>
            </w:pPr>
          </w:p>
        </w:tc>
        <w:tc>
          <w:tcPr>
            <w:tcW w:w="603" w:type="dxa"/>
          </w:tcPr>
          <w:p>
            <w:pPr>
              <w:pStyle w:val="TableParagraph"/>
              <w:rPr>
                <w:rFonts w:ascii="Times New Roman"/>
                <w:sz w:val="18"/>
              </w:rPr>
            </w:pPr>
          </w:p>
        </w:tc>
        <w:tc>
          <w:tcPr>
            <w:tcW w:w="809" w:type="dxa"/>
          </w:tcPr>
          <w:p>
            <w:pPr>
              <w:pStyle w:val="TableParagraph"/>
              <w:rPr>
                <w:rFonts w:ascii="Times New Roman"/>
                <w:sz w:val="18"/>
              </w:rPr>
            </w:pPr>
          </w:p>
        </w:tc>
      </w:tr>
      <w:tr>
        <w:trPr>
          <w:trHeight w:val="3268" w:hRule="atLeast"/>
        </w:trPr>
        <w:tc>
          <w:tcPr>
            <w:tcW w:w="554" w:type="dxa"/>
          </w:tcPr>
          <w:p>
            <w:pPr>
              <w:pStyle w:val="TableParagraph"/>
              <w:spacing w:line="242" w:lineRule="auto"/>
              <w:ind w:left="107" w:right="163"/>
              <w:rPr>
                <w:sz w:val="18"/>
              </w:rPr>
            </w:pPr>
            <w:r>
              <w:rPr>
                <w:sz w:val="18"/>
              </w:rPr>
              <w:t>2．</w:t>
            </w:r>
            <w:r>
              <w:rPr>
                <w:spacing w:val="-87"/>
                <w:sz w:val="18"/>
              </w:rPr>
              <w:t> </w:t>
            </w:r>
            <w:r>
              <w:rPr>
                <w:sz w:val="18"/>
              </w:rPr>
              <w:t>其他权益工具持有者投入资</w:t>
            </w:r>
          </w:p>
          <w:p>
            <w:pPr>
              <w:pStyle w:val="TableParagraph"/>
              <w:spacing w:line="213" w:lineRule="exact" w:before="8"/>
              <w:ind w:left="107"/>
              <w:rPr>
                <w:sz w:val="18"/>
              </w:rPr>
            </w:pPr>
            <w:r>
              <w:rPr>
                <w:sz w:val="18"/>
              </w:rPr>
              <w:t>本 </w:t>
            </w:r>
          </w:p>
        </w:tc>
        <w:tc>
          <w:tcPr>
            <w:tcW w:w="748" w:type="dxa"/>
          </w:tcPr>
          <w:p>
            <w:pPr>
              <w:pStyle w:val="TableParagraph"/>
              <w:rPr>
                <w:rFonts w:ascii="Times New Roman"/>
                <w:sz w:val="18"/>
              </w:rPr>
            </w:pPr>
          </w:p>
        </w:tc>
        <w:tc>
          <w:tcPr>
            <w:tcW w:w="316" w:type="dxa"/>
          </w:tcPr>
          <w:p>
            <w:pPr>
              <w:pStyle w:val="TableParagraph"/>
              <w:rPr>
                <w:rFonts w:ascii="Times New Roman"/>
                <w:sz w:val="18"/>
              </w:rPr>
            </w:pPr>
          </w:p>
        </w:tc>
        <w:tc>
          <w:tcPr>
            <w:tcW w:w="316" w:type="dxa"/>
          </w:tcPr>
          <w:p>
            <w:pPr>
              <w:pStyle w:val="TableParagraph"/>
              <w:rPr>
                <w:rFonts w:ascii="Times New Roman"/>
                <w:sz w:val="18"/>
              </w:rPr>
            </w:pPr>
          </w:p>
        </w:tc>
        <w:tc>
          <w:tcPr>
            <w:tcW w:w="319" w:type="dxa"/>
          </w:tcPr>
          <w:p>
            <w:pPr>
              <w:pStyle w:val="TableParagraph"/>
              <w:rPr>
                <w:rFonts w:ascii="Times New Roman"/>
                <w:sz w:val="18"/>
              </w:rPr>
            </w:pPr>
          </w:p>
        </w:tc>
        <w:tc>
          <w:tcPr>
            <w:tcW w:w="748" w:type="dxa"/>
          </w:tcPr>
          <w:p>
            <w:pPr>
              <w:pStyle w:val="TableParagraph"/>
              <w:rPr>
                <w:rFonts w:ascii="Times New Roman"/>
                <w:sz w:val="18"/>
              </w:rPr>
            </w:pPr>
          </w:p>
        </w:tc>
        <w:tc>
          <w:tcPr>
            <w:tcW w:w="602" w:type="dxa"/>
          </w:tcPr>
          <w:p>
            <w:pPr>
              <w:pStyle w:val="TableParagraph"/>
              <w:rPr>
                <w:rFonts w:ascii="Times New Roman"/>
                <w:sz w:val="18"/>
              </w:rPr>
            </w:pPr>
          </w:p>
        </w:tc>
        <w:tc>
          <w:tcPr>
            <w:tcW w:w="602" w:type="dxa"/>
          </w:tcPr>
          <w:p>
            <w:pPr>
              <w:pStyle w:val="TableParagraph"/>
              <w:rPr>
                <w:rFonts w:ascii="Times New Roman"/>
                <w:sz w:val="18"/>
              </w:rPr>
            </w:pPr>
          </w:p>
        </w:tc>
        <w:tc>
          <w:tcPr>
            <w:tcW w:w="317" w:type="dxa"/>
          </w:tcPr>
          <w:p>
            <w:pPr>
              <w:pStyle w:val="TableParagraph"/>
              <w:rPr>
                <w:rFonts w:ascii="Times New Roman"/>
                <w:sz w:val="18"/>
              </w:rPr>
            </w:pPr>
          </w:p>
        </w:tc>
        <w:tc>
          <w:tcPr>
            <w:tcW w:w="691" w:type="dxa"/>
          </w:tcPr>
          <w:p>
            <w:pPr>
              <w:pStyle w:val="TableParagraph"/>
              <w:rPr>
                <w:rFonts w:ascii="Times New Roman"/>
                <w:sz w:val="18"/>
              </w:rPr>
            </w:pPr>
          </w:p>
        </w:tc>
        <w:tc>
          <w:tcPr>
            <w:tcW w:w="317" w:type="dxa"/>
          </w:tcPr>
          <w:p>
            <w:pPr>
              <w:pStyle w:val="TableParagraph"/>
              <w:rPr>
                <w:rFonts w:ascii="Times New Roman"/>
                <w:sz w:val="18"/>
              </w:rPr>
            </w:pPr>
          </w:p>
        </w:tc>
        <w:tc>
          <w:tcPr>
            <w:tcW w:w="751" w:type="dxa"/>
          </w:tcPr>
          <w:p>
            <w:pPr>
              <w:pStyle w:val="TableParagraph"/>
              <w:rPr>
                <w:rFonts w:ascii="Times New Roman"/>
                <w:sz w:val="18"/>
              </w:rPr>
            </w:pPr>
          </w:p>
        </w:tc>
        <w:tc>
          <w:tcPr>
            <w:tcW w:w="317" w:type="dxa"/>
          </w:tcPr>
          <w:p>
            <w:pPr>
              <w:pStyle w:val="TableParagraph"/>
              <w:rPr>
                <w:rFonts w:ascii="Times New Roman"/>
                <w:sz w:val="18"/>
              </w:rPr>
            </w:pPr>
          </w:p>
        </w:tc>
        <w:tc>
          <w:tcPr>
            <w:tcW w:w="810" w:type="dxa"/>
          </w:tcPr>
          <w:p>
            <w:pPr>
              <w:pStyle w:val="TableParagraph"/>
              <w:rPr>
                <w:rFonts w:ascii="Times New Roman"/>
                <w:sz w:val="18"/>
              </w:rPr>
            </w:pPr>
          </w:p>
        </w:tc>
        <w:tc>
          <w:tcPr>
            <w:tcW w:w="603" w:type="dxa"/>
          </w:tcPr>
          <w:p>
            <w:pPr>
              <w:pStyle w:val="TableParagraph"/>
              <w:rPr>
                <w:rFonts w:ascii="Times New Roman"/>
                <w:sz w:val="18"/>
              </w:rPr>
            </w:pPr>
          </w:p>
        </w:tc>
        <w:tc>
          <w:tcPr>
            <w:tcW w:w="809" w:type="dxa"/>
          </w:tcPr>
          <w:p>
            <w:pPr>
              <w:pStyle w:val="TableParagraph"/>
              <w:rPr>
                <w:rFonts w:ascii="Times New Roman"/>
                <w:sz w:val="18"/>
              </w:rPr>
            </w:pPr>
          </w:p>
        </w:tc>
      </w:tr>
    </w:tbl>
    <w:p>
      <w:pPr>
        <w:spacing w:after="0"/>
        <w:rPr>
          <w:rFonts w:ascii="Times New Roman"/>
          <w:sz w:val="18"/>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4"/>
        <w:gridCol w:w="748"/>
        <w:gridCol w:w="316"/>
        <w:gridCol w:w="316"/>
        <w:gridCol w:w="319"/>
        <w:gridCol w:w="748"/>
        <w:gridCol w:w="602"/>
        <w:gridCol w:w="602"/>
        <w:gridCol w:w="317"/>
        <w:gridCol w:w="691"/>
        <w:gridCol w:w="317"/>
        <w:gridCol w:w="751"/>
        <w:gridCol w:w="317"/>
        <w:gridCol w:w="810"/>
        <w:gridCol w:w="603"/>
        <w:gridCol w:w="809"/>
      </w:tblGrid>
      <w:tr>
        <w:trPr>
          <w:trHeight w:val="3504" w:hRule="atLeast"/>
        </w:trPr>
        <w:tc>
          <w:tcPr>
            <w:tcW w:w="554" w:type="dxa"/>
          </w:tcPr>
          <w:p>
            <w:pPr>
              <w:pStyle w:val="TableParagraph"/>
              <w:spacing w:line="242" w:lineRule="auto" w:before="2"/>
              <w:ind w:left="107" w:right="163"/>
              <w:rPr>
                <w:sz w:val="18"/>
              </w:rPr>
            </w:pPr>
            <w:r>
              <w:rPr>
                <w:sz w:val="18"/>
              </w:rPr>
              <w:t>3．</w:t>
            </w:r>
            <w:r>
              <w:rPr>
                <w:spacing w:val="-87"/>
                <w:sz w:val="18"/>
              </w:rPr>
              <w:t> </w:t>
            </w:r>
            <w:r>
              <w:rPr>
                <w:sz w:val="18"/>
              </w:rPr>
              <w:t>股份支付计入所有者权益的</w:t>
            </w:r>
          </w:p>
          <w:p>
            <w:pPr>
              <w:pStyle w:val="TableParagraph"/>
              <w:spacing w:line="230" w:lineRule="atLeast"/>
              <w:ind w:left="107" w:right="164"/>
              <w:rPr>
                <w:sz w:val="18"/>
              </w:rPr>
            </w:pPr>
            <w:r>
              <w:rPr>
                <w:sz w:val="18"/>
              </w:rPr>
              <w:t>金额 </w:t>
            </w:r>
          </w:p>
        </w:tc>
        <w:tc>
          <w:tcPr>
            <w:tcW w:w="748"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1"/>
              <w:rPr>
                <w:sz w:val="16"/>
              </w:rPr>
            </w:pPr>
          </w:p>
          <w:p>
            <w:pPr>
              <w:pStyle w:val="TableParagraph"/>
              <w:ind w:right="92"/>
              <w:jc w:val="right"/>
              <w:rPr>
                <w:rFonts w:ascii="Times New Roman"/>
                <w:sz w:val="21"/>
              </w:rPr>
            </w:pPr>
            <w:r>
              <w:rPr>
                <w:rFonts w:ascii="Times New Roman"/>
                <w:sz w:val="21"/>
              </w:rPr>
              <w:t>2,334</w:t>
            </w:r>
          </w:p>
        </w:tc>
        <w:tc>
          <w:tcPr>
            <w:tcW w:w="316" w:type="dxa"/>
          </w:tcPr>
          <w:p>
            <w:pPr>
              <w:pStyle w:val="TableParagraph"/>
              <w:rPr>
                <w:rFonts w:ascii="Times New Roman"/>
                <w:sz w:val="20"/>
              </w:rPr>
            </w:pPr>
          </w:p>
        </w:tc>
        <w:tc>
          <w:tcPr>
            <w:tcW w:w="316" w:type="dxa"/>
          </w:tcPr>
          <w:p>
            <w:pPr>
              <w:pStyle w:val="TableParagraph"/>
              <w:rPr>
                <w:rFonts w:ascii="Times New Roman"/>
                <w:sz w:val="20"/>
              </w:rPr>
            </w:pPr>
          </w:p>
        </w:tc>
        <w:tc>
          <w:tcPr>
            <w:tcW w:w="319" w:type="dxa"/>
          </w:tcPr>
          <w:p>
            <w:pPr>
              <w:pStyle w:val="TableParagraph"/>
              <w:rPr>
                <w:rFonts w:ascii="Times New Roman"/>
                <w:sz w:val="20"/>
              </w:rPr>
            </w:pPr>
          </w:p>
        </w:tc>
        <w:tc>
          <w:tcPr>
            <w:tcW w:w="748"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4"/>
              <w:rPr>
                <w:sz w:val="29"/>
              </w:rPr>
            </w:pPr>
          </w:p>
          <w:p>
            <w:pPr>
              <w:pStyle w:val="TableParagraph"/>
              <w:ind w:right="91"/>
              <w:jc w:val="right"/>
              <w:rPr>
                <w:rFonts w:ascii="Times New Roman"/>
                <w:sz w:val="21"/>
              </w:rPr>
            </w:pPr>
            <w:r>
              <w:rPr>
                <w:rFonts w:ascii="Times New Roman"/>
                <w:sz w:val="21"/>
              </w:rPr>
              <w:t>24,96</w:t>
            </w:r>
          </w:p>
          <w:p>
            <w:pPr>
              <w:pStyle w:val="TableParagraph"/>
              <w:spacing w:before="1"/>
              <w:ind w:right="94"/>
              <w:jc w:val="right"/>
              <w:rPr>
                <w:rFonts w:ascii="Times New Roman"/>
                <w:sz w:val="21"/>
              </w:rPr>
            </w:pPr>
            <w:r>
              <w:rPr>
                <w:rFonts w:ascii="Times New Roman"/>
                <w:w w:val="100"/>
                <w:sz w:val="21"/>
              </w:rPr>
              <w:t>2</w:t>
            </w:r>
          </w:p>
        </w:tc>
        <w:tc>
          <w:tcPr>
            <w:tcW w:w="602"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4"/>
              <w:rPr>
                <w:sz w:val="29"/>
              </w:rPr>
            </w:pPr>
          </w:p>
          <w:p>
            <w:pPr>
              <w:pStyle w:val="TableParagraph"/>
              <w:ind w:left="131"/>
              <w:rPr>
                <w:rFonts w:ascii="Times New Roman"/>
                <w:sz w:val="21"/>
              </w:rPr>
            </w:pPr>
            <w:r>
              <w:rPr>
                <w:rFonts w:ascii="Times New Roman"/>
                <w:sz w:val="21"/>
              </w:rPr>
              <w:t>218,</w:t>
            </w:r>
          </w:p>
          <w:p>
            <w:pPr>
              <w:pStyle w:val="TableParagraph"/>
              <w:spacing w:before="1"/>
              <w:ind w:left="184"/>
              <w:rPr>
                <w:rFonts w:ascii="Times New Roman"/>
                <w:sz w:val="21"/>
              </w:rPr>
            </w:pPr>
            <w:r>
              <w:rPr>
                <w:rFonts w:ascii="Times New Roman"/>
                <w:sz w:val="21"/>
              </w:rPr>
              <w:t>570</w:t>
            </w:r>
          </w:p>
        </w:tc>
        <w:tc>
          <w:tcPr>
            <w:tcW w:w="602"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1"/>
              <w:rPr>
                <w:sz w:val="16"/>
              </w:rPr>
            </w:pPr>
          </w:p>
          <w:p>
            <w:pPr>
              <w:pStyle w:val="TableParagraph"/>
              <w:ind w:right="90"/>
              <w:jc w:val="right"/>
              <w:rPr>
                <w:rFonts w:ascii="Times New Roman"/>
                <w:sz w:val="21"/>
              </w:rPr>
            </w:pPr>
            <w:r>
              <w:rPr>
                <w:rFonts w:ascii="Times New Roman"/>
                <w:w w:val="100"/>
                <w:sz w:val="21"/>
              </w:rPr>
              <w:t>-</w:t>
            </w:r>
          </w:p>
        </w:tc>
        <w:tc>
          <w:tcPr>
            <w:tcW w:w="317" w:type="dxa"/>
          </w:tcPr>
          <w:p>
            <w:pPr>
              <w:pStyle w:val="TableParagraph"/>
              <w:rPr>
                <w:rFonts w:ascii="Times New Roman"/>
                <w:sz w:val="20"/>
              </w:rPr>
            </w:pPr>
          </w:p>
        </w:tc>
        <w:tc>
          <w:tcPr>
            <w:tcW w:w="691"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1"/>
              <w:rPr>
                <w:sz w:val="16"/>
              </w:rPr>
            </w:pPr>
          </w:p>
          <w:p>
            <w:pPr>
              <w:pStyle w:val="TableParagraph"/>
              <w:ind w:right="92"/>
              <w:jc w:val="right"/>
              <w:rPr>
                <w:rFonts w:ascii="Times New Roman"/>
                <w:sz w:val="21"/>
              </w:rPr>
            </w:pPr>
            <w:r>
              <w:rPr>
                <w:rFonts w:ascii="Times New Roman"/>
                <w:w w:val="100"/>
                <w:sz w:val="21"/>
              </w:rPr>
              <w:t>-</w:t>
            </w:r>
          </w:p>
        </w:tc>
        <w:tc>
          <w:tcPr>
            <w:tcW w:w="317" w:type="dxa"/>
          </w:tcPr>
          <w:p>
            <w:pPr>
              <w:pStyle w:val="TableParagraph"/>
              <w:rPr>
                <w:rFonts w:ascii="Times New Roman"/>
                <w:sz w:val="20"/>
              </w:rPr>
            </w:pPr>
          </w:p>
        </w:tc>
        <w:tc>
          <w:tcPr>
            <w:tcW w:w="751"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1"/>
              <w:rPr>
                <w:sz w:val="16"/>
              </w:rPr>
            </w:pPr>
          </w:p>
          <w:p>
            <w:pPr>
              <w:pStyle w:val="TableParagraph"/>
              <w:ind w:right="92"/>
              <w:jc w:val="right"/>
              <w:rPr>
                <w:rFonts w:ascii="Times New Roman"/>
                <w:sz w:val="21"/>
              </w:rPr>
            </w:pPr>
            <w:r>
              <w:rPr>
                <w:rFonts w:ascii="Times New Roman"/>
                <w:w w:val="100"/>
                <w:sz w:val="21"/>
              </w:rPr>
              <w:t>-</w:t>
            </w:r>
          </w:p>
        </w:tc>
        <w:tc>
          <w:tcPr>
            <w:tcW w:w="317" w:type="dxa"/>
          </w:tcPr>
          <w:p>
            <w:pPr>
              <w:pStyle w:val="TableParagraph"/>
              <w:rPr>
                <w:rFonts w:ascii="Times New Roman"/>
                <w:sz w:val="20"/>
              </w:rPr>
            </w:pPr>
          </w:p>
        </w:tc>
        <w:tc>
          <w:tcPr>
            <w:tcW w:w="810"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4"/>
              <w:rPr>
                <w:sz w:val="29"/>
              </w:rPr>
            </w:pPr>
          </w:p>
          <w:p>
            <w:pPr>
              <w:pStyle w:val="TableParagraph"/>
              <w:ind w:right="89"/>
              <w:jc w:val="right"/>
              <w:rPr>
                <w:rFonts w:ascii="Times New Roman"/>
                <w:sz w:val="21"/>
              </w:rPr>
            </w:pPr>
            <w:r>
              <w:rPr>
                <w:rFonts w:ascii="Times New Roman"/>
                <w:sz w:val="21"/>
              </w:rPr>
              <w:t>245,86</w:t>
            </w:r>
          </w:p>
          <w:p>
            <w:pPr>
              <w:pStyle w:val="TableParagraph"/>
              <w:spacing w:before="1"/>
              <w:ind w:right="91"/>
              <w:jc w:val="right"/>
              <w:rPr>
                <w:rFonts w:ascii="Times New Roman"/>
                <w:sz w:val="21"/>
              </w:rPr>
            </w:pPr>
            <w:r>
              <w:rPr>
                <w:rFonts w:ascii="Times New Roman"/>
                <w:w w:val="100"/>
                <w:sz w:val="21"/>
              </w:rPr>
              <w:t>6</w:t>
            </w:r>
          </w:p>
        </w:tc>
        <w:tc>
          <w:tcPr>
            <w:tcW w:w="603"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1"/>
              <w:rPr>
                <w:sz w:val="16"/>
              </w:rPr>
            </w:pPr>
          </w:p>
          <w:p>
            <w:pPr>
              <w:pStyle w:val="TableParagraph"/>
              <w:ind w:right="91"/>
              <w:jc w:val="right"/>
              <w:rPr>
                <w:rFonts w:ascii="Times New Roman"/>
                <w:sz w:val="21"/>
              </w:rPr>
            </w:pPr>
            <w:r>
              <w:rPr>
                <w:rFonts w:ascii="Times New Roman"/>
                <w:w w:val="100"/>
                <w:sz w:val="21"/>
              </w:rPr>
              <w:t>-</w:t>
            </w:r>
          </w:p>
        </w:tc>
        <w:tc>
          <w:tcPr>
            <w:tcW w:w="809"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4"/>
              <w:rPr>
                <w:sz w:val="29"/>
              </w:rPr>
            </w:pPr>
          </w:p>
          <w:p>
            <w:pPr>
              <w:pStyle w:val="TableParagraph"/>
              <w:ind w:right="89"/>
              <w:jc w:val="right"/>
              <w:rPr>
                <w:rFonts w:ascii="Times New Roman"/>
                <w:sz w:val="21"/>
              </w:rPr>
            </w:pPr>
            <w:r>
              <w:rPr>
                <w:rFonts w:ascii="Times New Roman"/>
                <w:sz w:val="21"/>
              </w:rPr>
              <w:t>245,86</w:t>
            </w:r>
          </w:p>
          <w:p>
            <w:pPr>
              <w:pStyle w:val="TableParagraph"/>
              <w:spacing w:before="1"/>
              <w:ind w:right="92"/>
              <w:jc w:val="right"/>
              <w:rPr>
                <w:rFonts w:ascii="Times New Roman"/>
                <w:sz w:val="21"/>
              </w:rPr>
            </w:pPr>
            <w:r>
              <w:rPr>
                <w:rFonts w:ascii="Times New Roman"/>
                <w:w w:val="100"/>
                <w:sz w:val="21"/>
              </w:rPr>
              <w:t>6</w:t>
            </w:r>
          </w:p>
        </w:tc>
      </w:tr>
      <w:tr>
        <w:trPr>
          <w:trHeight w:val="700" w:hRule="atLeast"/>
        </w:trPr>
        <w:tc>
          <w:tcPr>
            <w:tcW w:w="554" w:type="dxa"/>
          </w:tcPr>
          <w:p>
            <w:pPr>
              <w:pStyle w:val="TableParagraph"/>
              <w:ind w:left="107"/>
              <w:rPr>
                <w:sz w:val="18"/>
              </w:rPr>
            </w:pPr>
            <w:r>
              <w:rPr>
                <w:sz w:val="18"/>
              </w:rPr>
              <w:t>4．</w:t>
            </w:r>
          </w:p>
          <w:p>
            <w:pPr>
              <w:pStyle w:val="TableParagraph"/>
              <w:spacing w:line="230" w:lineRule="atLeast"/>
              <w:ind w:left="107" w:right="164"/>
              <w:rPr>
                <w:sz w:val="18"/>
              </w:rPr>
            </w:pPr>
            <w:r>
              <w:rPr>
                <w:sz w:val="18"/>
              </w:rPr>
              <w:t>其他 </w:t>
            </w:r>
          </w:p>
        </w:tc>
        <w:tc>
          <w:tcPr>
            <w:tcW w:w="748" w:type="dxa"/>
          </w:tcPr>
          <w:p>
            <w:pPr>
              <w:pStyle w:val="TableParagraph"/>
              <w:spacing w:before="101"/>
              <w:ind w:left="168" w:right="77" w:firstLine="403"/>
              <w:rPr>
                <w:rFonts w:ascii="Times New Roman"/>
                <w:sz w:val="21"/>
              </w:rPr>
            </w:pPr>
            <w:r>
              <w:rPr>
                <w:rFonts w:ascii="Times New Roman"/>
                <w:sz w:val="21"/>
              </w:rPr>
              <w:t>-</w:t>
            </w:r>
            <w:r>
              <w:rPr>
                <w:rFonts w:ascii="Times New Roman"/>
                <w:spacing w:val="-50"/>
                <w:sz w:val="21"/>
              </w:rPr>
              <w:t> </w:t>
            </w:r>
            <w:r>
              <w:rPr>
                <w:rFonts w:ascii="Times New Roman"/>
                <w:sz w:val="21"/>
              </w:rPr>
              <w:t>7,910</w:t>
            </w:r>
          </w:p>
        </w:tc>
        <w:tc>
          <w:tcPr>
            <w:tcW w:w="316" w:type="dxa"/>
          </w:tcPr>
          <w:p>
            <w:pPr>
              <w:pStyle w:val="TableParagraph"/>
              <w:spacing w:before="4"/>
              <w:rPr>
                <w:sz w:val="17"/>
              </w:rPr>
            </w:pPr>
          </w:p>
          <w:p>
            <w:pPr>
              <w:pStyle w:val="TableParagraph"/>
              <w:ind w:left="44"/>
              <w:jc w:val="center"/>
              <w:rPr>
                <w:rFonts w:ascii="Times New Roman"/>
                <w:sz w:val="21"/>
              </w:rPr>
            </w:pPr>
            <w:r>
              <w:rPr>
                <w:rFonts w:ascii="Times New Roman"/>
                <w:w w:val="100"/>
                <w:sz w:val="21"/>
              </w:rPr>
              <w:t>-</w:t>
            </w:r>
          </w:p>
        </w:tc>
        <w:tc>
          <w:tcPr>
            <w:tcW w:w="316" w:type="dxa"/>
          </w:tcPr>
          <w:p>
            <w:pPr>
              <w:pStyle w:val="TableParagraph"/>
              <w:spacing w:before="4"/>
              <w:rPr>
                <w:sz w:val="17"/>
              </w:rPr>
            </w:pPr>
          </w:p>
          <w:p>
            <w:pPr>
              <w:pStyle w:val="TableParagraph"/>
              <w:ind w:left="46"/>
              <w:jc w:val="center"/>
              <w:rPr>
                <w:rFonts w:ascii="Times New Roman"/>
                <w:sz w:val="21"/>
              </w:rPr>
            </w:pPr>
            <w:r>
              <w:rPr>
                <w:rFonts w:ascii="Times New Roman"/>
                <w:w w:val="100"/>
                <w:sz w:val="21"/>
              </w:rPr>
              <w:t>-</w:t>
            </w:r>
          </w:p>
        </w:tc>
        <w:tc>
          <w:tcPr>
            <w:tcW w:w="319" w:type="dxa"/>
          </w:tcPr>
          <w:p>
            <w:pPr>
              <w:pStyle w:val="TableParagraph"/>
              <w:spacing w:before="4"/>
              <w:rPr>
                <w:sz w:val="17"/>
              </w:rPr>
            </w:pPr>
          </w:p>
          <w:p>
            <w:pPr>
              <w:pStyle w:val="TableParagraph"/>
              <w:ind w:left="50"/>
              <w:jc w:val="center"/>
              <w:rPr>
                <w:rFonts w:ascii="Times New Roman"/>
                <w:sz w:val="21"/>
              </w:rPr>
            </w:pPr>
            <w:r>
              <w:rPr>
                <w:rFonts w:ascii="Times New Roman"/>
                <w:w w:val="100"/>
                <w:sz w:val="21"/>
              </w:rPr>
              <w:t>-</w:t>
            </w:r>
          </w:p>
        </w:tc>
        <w:tc>
          <w:tcPr>
            <w:tcW w:w="748" w:type="dxa"/>
          </w:tcPr>
          <w:p>
            <w:pPr>
              <w:pStyle w:val="TableParagraph"/>
              <w:spacing w:before="101"/>
              <w:ind w:right="91"/>
              <w:jc w:val="right"/>
              <w:rPr>
                <w:rFonts w:ascii="Times New Roman"/>
                <w:sz w:val="21"/>
              </w:rPr>
            </w:pPr>
            <w:r>
              <w:rPr>
                <w:rFonts w:ascii="Times New Roman"/>
                <w:sz w:val="21"/>
              </w:rPr>
              <w:t>514,4</w:t>
            </w:r>
          </w:p>
          <w:p>
            <w:pPr>
              <w:pStyle w:val="TableParagraph"/>
              <w:spacing w:before="2"/>
              <w:ind w:right="94"/>
              <w:jc w:val="right"/>
              <w:rPr>
                <w:rFonts w:ascii="Times New Roman"/>
                <w:sz w:val="21"/>
              </w:rPr>
            </w:pPr>
            <w:r>
              <w:rPr>
                <w:rFonts w:ascii="Times New Roman"/>
                <w:sz w:val="21"/>
              </w:rPr>
              <w:t>26</w:t>
            </w:r>
          </w:p>
        </w:tc>
        <w:tc>
          <w:tcPr>
            <w:tcW w:w="602" w:type="dxa"/>
          </w:tcPr>
          <w:p>
            <w:pPr>
              <w:pStyle w:val="TableParagraph"/>
              <w:spacing w:before="101"/>
              <w:ind w:right="89"/>
              <w:jc w:val="right"/>
              <w:rPr>
                <w:rFonts w:ascii="Times New Roman"/>
                <w:sz w:val="21"/>
              </w:rPr>
            </w:pPr>
            <w:r>
              <w:rPr>
                <w:rFonts w:ascii="Times New Roman"/>
                <w:sz w:val="21"/>
              </w:rPr>
              <w:t>47,4</w:t>
            </w:r>
          </w:p>
          <w:p>
            <w:pPr>
              <w:pStyle w:val="TableParagraph"/>
              <w:spacing w:before="2"/>
              <w:ind w:right="91"/>
              <w:jc w:val="right"/>
              <w:rPr>
                <w:rFonts w:ascii="Times New Roman"/>
                <w:sz w:val="21"/>
              </w:rPr>
            </w:pPr>
            <w:r>
              <w:rPr>
                <w:rFonts w:ascii="Times New Roman"/>
                <w:sz w:val="21"/>
              </w:rPr>
              <w:t>74</w:t>
            </w:r>
          </w:p>
        </w:tc>
        <w:tc>
          <w:tcPr>
            <w:tcW w:w="602" w:type="dxa"/>
          </w:tcPr>
          <w:p>
            <w:pPr>
              <w:pStyle w:val="TableParagraph"/>
              <w:spacing w:before="4"/>
              <w:rPr>
                <w:sz w:val="17"/>
              </w:rPr>
            </w:pPr>
          </w:p>
          <w:p>
            <w:pPr>
              <w:pStyle w:val="TableParagraph"/>
              <w:ind w:right="90"/>
              <w:jc w:val="right"/>
              <w:rPr>
                <w:rFonts w:ascii="Times New Roman"/>
                <w:sz w:val="21"/>
              </w:rPr>
            </w:pPr>
            <w:r>
              <w:rPr>
                <w:rFonts w:ascii="Times New Roman"/>
                <w:w w:val="100"/>
                <w:sz w:val="21"/>
              </w:rPr>
              <w:t>-</w:t>
            </w:r>
          </w:p>
        </w:tc>
        <w:tc>
          <w:tcPr>
            <w:tcW w:w="317" w:type="dxa"/>
          </w:tcPr>
          <w:p>
            <w:pPr>
              <w:pStyle w:val="TableParagraph"/>
              <w:spacing w:before="4"/>
              <w:rPr>
                <w:sz w:val="17"/>
              </w:rPr>
            </w:pPr>
          </w:p>
          <w:p>
            <w:pPr>
              <w:pStyle w:val="TableParagraph"/>
              <w:ind w:right="88"/>
              <w:jc w:val="right"/>
              <w:rPr>
                <w:rFonts w:ascii="Times New Roman"/>
                <w:sz w:val="21"/>
              </w:rPr>
            </w:pPr>
            <w:r>
              <w:rPr>
                <w:rFonts w:ascii="Times New Roman"/>
                <w:w w:val="100"/>
                <w:sz w:val="21"/>
              </w:rPr>
              <w:t>-</w:t>
            </w:r>
          </w:p>
        </w:tc>
        <w:tc>
          <w:tcPr>
            <w:tcW w:w="691" w:type="dxa"/>
          </w:tcPr>
          <w:p>
            <w:pPr>
              <w:pStyle w:val="TableParagraph"/>
              <w:spacing w:before="4"/>
              <w:rPr>
                <w:sz w:val="17"/>
              </w:rPr>
            </w:pPr>
          </w:p>
          <w:p>
            <w:pPr>
              <w:pStyle w:val="TableParagraph"/>
              <w:ind w:right="92"/>
              <w:jc w:val="right"/>
              <w:rPr>
                <w:rFonts w:ascii="Times New Roman"/>
                <w:sz w:val="21"/>
              </w:rPr>
            </w:pPr>
            <w:r>
              <w:rPr>
                <w:rFonts w:ascii="Times New Roman"/>
                <w:w w:val="100"/>
                <w:sz w:val="21"/>
              </w:rPr>
              <w:t>-</w:t>
            </w:r>
          </w:p>
        </w:tc>
        <w:tc>
          <w:tcPr>
            <w:tcW w:w="317" w:type="dxa"/>
          </w:tcPr>
          <w:p>
            <w:pPr>
              <w:pStyle w:val="TableParagraph"/>
              <w:spacing w:before="4"/>
              <w:rPr>
                <w:sz w:val="17"/>
              </w:rPr>
            </w:pPr>
          </w:p>
          <w:p>
            <w:pPr>
              <w:pStyle w:val="TableParagraph"/>
              <w:ind w:left="57"/>
              <w:jc w:val="center"/>
              <w:rPr>
                <w:rFonts w:ascii="Times New Roman"/>
                <w:sz w:val="21"/>
              </w:rPr>
            </w:pPr>
            <w:r>
              <w:rPr>
                <w:rFonts w:ascii="Times New Roman"/>
                <w:w w:val="100"/>
                <w:sz w:val="21"/>
              </w:rPr>
              <w:t>-</w:t>
            </w:r>
          </w:p>
        </w:tc>
        <w:tc>
          <w:tcPr>
            <w:tcW w:w="751" w:type="dxa"/>
          </w:tcPr>
          <w:p>
            <w:pPr>
              <w:pStyle w:val="TableParagraph"/>
              <w:spacing w:before="4"/>
              <w:rPr>
                <w:sz w:val="17"/>
              </w:rPr>
            </w:pPr>
          </w:p>
          <w:p>
            <w:pPr>
              <w:pStyle w:val="TableParagraph"/>
              <w:ind w:right="92"/>
              <w:jc w:val="right"/>
              <w:rPr>
                <w:rFonts w:ascii="Times New Roman"/>
                <w:sz w:val="21"/>
              </w:rPr>
            </w:pPr>
            <w:r>
              <w:rPr>
                <w:rFonts w:ascii="Times New Roman"/>
                <w:w w:val="100"/>
                <w:sz w:val="21"/>
              </w:rPr>
              <w:t>-</w:t>
            </w:r>
          </w:p>
        </w:tc>
        <w:tc>
          <w:tcPr>
            <w:tcW w:w="317" w:type="dxa"/>
          </w:tcPr>
          <w:p>
            <w:pPr>
              <w:pStyle w:val="TableParagraph"/>
              <w:spacing w:before="4"/>
              <w:rPr>
                <w:sz w:val="17"/>
              </w:rPr>
            </w:pPr>
          </w:p>
          <w:p>
            <w:pPr>
              <w:pStyle w:val="TableParagraph"/>
              <w:ind w:right="87"/>
              <w:jc w:val="right"/>
              <w:rPr>
                <w:rFonts w:ascii="Times New Roman"/>
                <w:sz w:val="21"/>
              </w:rPr>
            </w:pPr>
            <w:r>
              <w:rPr>
                <w:rFonts w:ascii="Times New Roman"/>
                <w:w w:val="100"/>
                <w:sz w:val="21"/>
              </w:rPr>
              <w:t>-</w:t>
            </w:r>
          </w:p>
        </w:tc>
        <w:tc>
          <w:tcPr>
            <w:tcW w:w="810" w:type="dxa"/>
          </w:tcPr>
          <w:p>
            <w:pPr>
              <w:pStyle w:val="TableParagraph"/>
              <w:spacing w:before="101"/>
              <w:ind w:right="89"/>
              <w:jc w:val="right"/>
              <w:rPr>
                <w:rFonts w:ascii="Times New Roman"/>
                <w:sz w:val="21"/>
              </w:rPr>
            </w:pPr>
            <w:r>
              <w:rPr>
                <w:rFonts w:ascii="Times New Roman"/>
                <w:sz w:val="21"/>
              </w:rPr>
              <w:t>553,99</w:t>
            </w:r>
          </w:p>
          <w:p>
            <w:pPr>
              <w:pStyle w:val="TableParagraph"/>
              <w:spacing w:before="2"/>
              <w:ind w:right="91"/>
              <w:jc w:val="right"/>
              <w:rPr>
                <w:rFonts w:ascii="Times New Roman"/>
                <w:sz w:val="21"/>
              </w:rPr>
            </w:pPr>
            <w:r>
              <w:rPr>
                <w:rFonts w:ascii="Times New Roman"/>
                <w:w w:val="100"/>
                <w:sz w:val="21"/>
              </w:rPr>
              <w:t>0</w:t>
            </w:r>
          </w:p>
        </w:tc>
        <w:tc>
          <w:tcPr>
            <w:tcW w:w="603" w:type="dxa"/>
          </w:tcPr>
          <w:p>
            <w:pPr>
              <w:pStyle w:val="TableParagraph"/>
              <w:spacing w:before="101"/>
              <w:ind w:right="89"/>
              <w:jc w:val="right"/>
              <w:rPr>
                <w:rFonts w:ascii="Times New Roman"/>
                <w:sz w:val="21"/>
              </w:rPr>
            </w:pPr>
            <w:r>
              <w:rPr>
                <w:rFonts w:ascii="Times New Roman"/>
                <w:sz w:val="21"/>
              </w:rPr>
              <w:t>3,95</w:t>
            </w:r>
          </w:p>
          <w:p>
            <w:pPr>
              <w:pStyle w:val="TableParagraph"/>
              <w:spacing w:before="2"/>
              <w:ind w:right="92"/>
              <w:jc w:val="right"/>
              <w:rPr>
                <w:rFonts w:ascii="Times New Roman"/>
                <w:sz w:val="21"/>
              </w:rPr>
            </w:pPr>
            <w:r>
              <w:rPr>
                <w:rFonts w:ascii="Times New Roman"/>
                <w:w w:val="100"/>
                <w:sz w:val="21"/>
              </w:rPr>
              <w:t>4</w:t>
            </w:r>
          </w:p>
        </w:tc>
        <w:tc>
          <w:tcPr>
            <w:tcW w:w="809" w:type="dxa"/>
          </w:tcPr>
          <w:p>
            <w:pPr>
              <w:pStyle w:val="TableParagraph"/>
              <w:spacing w:before="101"/>
              <w:ind w:right="89"/>
              <w:jc w:val="right"/>
              <w:rPr>
                <w:rFonts w:ascii="Times New Roman"/>
                <w:sz w:val="21"/>
              </w:rPr>
            </w:pPr>
            <w:r>
              <w:rPr>
                <w:rFonts w:ascii="Times New Roman"/>
                <w:sz w:val="21"/>
              </w:rPr>
              <w:t>557,94</w:t>
            </w:r>
          </w:p>
          <w:p>
            <w:pPr>
              <w:pStyle w:val="TableParagraph"/>
              <w:spacing w:before="2"/>
              <w:ind w:right="92"/>
              <w:jc w:val="right"/>
              <w:rPr>
                <w:rFonts w:ascii="Times New Roman"/>
                <w:sz w:val="21"/>
              </w:rPr>
            </w:pPr>
            <w:r>
              <w:rPr>
                <w:rFonts w:ascii="Times New Roman"/>
                <w:w w:val="100"/>
                <w:sz w:val="21"/>
              </w:rPr>
              <w:t>4</w:t>
            </w:r>
          </w:p>
        </w:tc>
      </w:tr>
      <w:tr>
        <w:trPr>
          <w:trHeight w:val="1634" w:hRule="atLeast"/>
        </w:trPr>
        <w:tc>
          <w:tcPr>
            <w:tcW w:w="554" w:type="dxa"/>
          </w:tcPr>
          <w:p>
            <w:pPr>
              <w:pStyle w:val="TableParagraph"/>
              <w:spacing w:line="242" w:lineRule="auto"/>
              <w:ind w:left="107" w:right="254"/>
              <w:rPr>
                <w:sz w:val="18"/>
              </w:rPr>
            </w:pPr>
            <w:r>
              <w:rPr>
                <w:sz w:val="18"/>
              </w:rPr>
              <w:t>（</w:t>
            </w:r>
            <w:r>
              <w:rPr>
                <w:spacing w:val="-87"/>
                <w:sz w:val="18"/>
              </w:rPr>
              <w:t> </w:t>
            </w:r>
            <w:r>
              <w:rPr>
                <w:sz w:val="18"/>
              </w:rPr>
              <w:t>三</w:t>
            </w:r>
          </w:p>
          <w:p>
            <w:pPr>
              <w:pStyle w:val="TableParagraph"/>
              <w:spacing w:line="242" w:lineRule="auto"/>
              <w:ind w:left="107" w:right="254"/>
              <w:jc w:val="both"/>
              <w:rPr>
                <w:sz w:val="18"/>
              </w:rPr>
            </w:pPr>
            <w:r>
              <w:rPr>
                <w:sz w:val="18"/>
              </w:rPr>
              <w:t>）</w:t>
            </w:r>
            <w:r>
              <w:rPr>
                <w:spacing w:val="-88"/>
                <w:sz w:val="18"/>
              </w:rPr>
              <w:t> </w:t>
            </w:r>
            <w:r>
              <w:rPr>
                <w:sz w:val="18"/>
              </w:rPr>
              <w:t>利润分</w:t>
            </w:r>
          </w:p>
          <w:p>
            <w:pPr>
              <w:pStyle w:val="TableParagraph"/>
              <w:spacing w:line="215" w:lineRule="exact" w:before="1"/>
              <w:ind w:left="107"/>
              <w:rPr>
                <w:sz w:val="18"/>
              </w:rPr>
            </w:pPr>
            <w:r>
              <w:rPr>
                <w:sz w:val="18"/>
              </w:rPr>
              <w:t>配 </w:t>
            </w:r>
          </w:p>
        </w:tc>
        <w:tc>
          <w:tcPr>
            <w:tcW w:w="748" w:type="dxa"/>
          </w:tcPr>
          <w:p>
            <w:pPr>
              <w:pStyle w:val="TableParagraph"/>
              <w:rPr>
                <w:sz w:val="22"/>
              </w:rPr>
            </w:pPr>
          </w:p>
          <w:p>
            <w:pPr>
              <w:pStyle w:val="TableParagraph"/>
              <w:spacing w:before="10"/>
              <w:rPr>
                <w:sz w:val="31"/>
              </w:rPr>
            </w:pPr>
          </w:p>
          <w:p>
            <w:pPr>
              <w:pStyle w:val="TableParagraph"/>
              <w:ind w:right="94"/>
              <w:jc w:val="right"/>
              <w:rPr>
                <w:rFonts w:ascii="Times New Roman"/>
                <w:sz w:val="21"/>
              </w:rPr>
            </w:pPr>
            <w:r>
              <w:rPr>
                <w:rFonts w:ascii="Times New Roman"/>
                <w:w w:val="100"/>
                <w:sz w:val="21"/>
              </w:rPr>
              <w:t>-</w:t>
            </w:r>
          </w:p>
        </w:tc>
        <w:tc>
          <w:tcPr>
            <w:tcW w:w="316" w:type="dxa"/>
          </w:tcPr>
          <w:p>
            <w:pPr>
              <w:pStyle w:val="TableParagraph"/>
              <w:rPr>
                <w:sz w:val="22"/>
              </w:rPr>
            </w:pPr>
          </w:p>
          <w:p>
            <w:pPr>
              <w:pStyle w:val="TableParagraph"/>
              <w:spacing w:before="10"/>
              <w:rPr>
                <w:sz w:val="31"/>
              </w:rPr>
            </w:pPr>
          </w:p>
          <w:p>
            <w:pPr>
              <w:pStyle w:val="TableParagraph"/>
              <w:ind w:left="44"/>
              <w:jc w:val="center"/>
              <w:rPr>
                <w:rFonts w:ascii="Times New Roman"/>
                <w:sz w:val="21"/>
              </w:rPr>
            </w:pPr>
            <w:r>
              <w:rPr>
                <w:rFonts w:ascii="Times New Roman"/>
                <w:w w:val="100"/>
                <w:sz w:val="21"/>
              </w:rPr>
              <w:t>-</w:t>
            </w:r>
          </w:p>
        </w:tc>
        <w:tc>
          <w:tcPr>
            <w:tcW w:w="316" w:type="dxa"/>
          </w:tcPr>
          <w:p>
            <w:pPr>
              <w:pStyle w:val="TableParagraph"/>
              <w:rPr>
                <w:sz w:val="22"/>
              </w:rPr>
            </w:pPr>
          </w:p>
          <w:p>
            <w:pPr>
              <w:pStyle w:val="TableParagraph"/>
              <w:spacing w:before="10"/>
              <w:rPr>
                <w:sz w:val="31"/>
              </w:rPr>
            </w:pPr>
          </w:p>
          <w:p>
            <w:pPr>
              <w:pStyle w:val="TableParagraph"/>
              <w:ind w:left="46"/>
              <w:jc w:val="center"/>
              <w:rPr>
                <w:rFonts w:ascii="Times New Roman"/>
                <w:sz w:val="21"/>
              </w:rPr>
            </w:pPr>
            <w:r>
              <w:rPr>
                <w:rFonts w:ascii="Times New Roman"/>
                <w:w w:val="100"/>
                <w:sz w:val="21"/>
              </w:rPr>
              <w:t>-</w:t>
            </w:r>
          </w:p>
        </w:tc>
        <w:tc>
          <w:tcPr>
            <w:tcW w:w="319" w:type="dxa"/>
          </w:tcPr>
          <w:p>
            <w:pPr>
              <w:pStyle w:val="TableParagraph"/>
              <w:rPr>
                <w:sz w:val="22"/>
              </w:rPr>
            </w:pPr>
          </w:p>
          <w:p>
            <w:pPr>
              <w:pStyle w:val="TableParagraph"/>
              <w:spacing w:before="10"/>
              <w:rPr>
                <w:sz w:val="31"/>
              </w:rPr>
            </w:pPr>
          </w:p>
          <w:p>
            <w:pPr>
              <w:pStyle w:val="TableParagraph"/>
              <w:ind w:left="50"/>
              <w:jc w:val="center"/>
              <w:rPr>
                <w:rFonts w:ascii="Times New Roman"/>
                <w:sz w:val="21"/>
              </w:rPr>
            </w:pPr>
            <w:r>
              <w:rPr>
                <w:rFonts w:ascii="Times New Roman"/>
                <w:w w:val="100"/>
                <w:sz w:val="21"/>
              </w:rPr>
              <w:t>-</w:t>
            </w:r>
          </w:p>
        </w:tc>
        <w:tc>
          <w:tcPr>
            <w:tcW w:w="748" w:type="dxa"/>
          </w:tcPr>
          <w:p>
            <w:pPr>
              <w:pStyle w:val="TableParagraph"/>
              <w:rPr>
                <w:sz w:val="22"/>
              </w:rPr>
            </w:pPr>
          </w:p>
          <w:p>
            <w:pPr>
              <w:pStyle w:val="TableParagraph"/>
              <w:spacing w:before="10"/>
              <w:rPr>
                <w:sz w:val="31"/>
              </w:rPr>
            </w:pPr>
          </w:p>
          <w:p>
            <w:pPr>
              <w:pStyle w:val="TableParagraph"/>
              <w:ind w:right="93"/>
              <w:jc w:val="right"/>
              <w:rPr>
                <w:rFonts w:ascii="Times New Roman"/>
                <w:sz w:val="21"/>
              </w:rPr>
            </w:pPr>
            <w:r>
              <w:rPr>
                <w:rFonts w:ascii="Times New Roman"/>
                <w:w w:val="100"/>
                <w:sz w:val="21"/>
              </w:rPr>
              <w:t>-</w:t>
            </w:r>
          </w:p>
        </w:tc>
        <w:tc>
          <w:tcPr>
            <w:tcW w:w="602" w:type="dxa"/>
          </w:tcPr>
          <w:p>
            <w:pPr>
              <w:pStyle w:val="TableParagraph"/>
              <w:rPr>
                <w:sz w:val="22"/>
              </w:rPr>
            </w:pPr>
          </w:p>
          <w:p>
            <w:pPr>
              <w:pStyle w:val="TableParagraph"/>
              <w:spacing w:before="5"/>
              <w:rPr>
                <w:sz w:val="22"/>
              </w:rPr>
            </w:pPr>
          </w:p>
          <w:p>
            <w:pPr>
              <w:pStyle w:val="TableParagraph"/>
              <w:spacing w:line="241" w:lineRule="exact"/>
              <w:ind w:right="89"/>
              <w:jc w:val="right"/>
              <w:rPr>
                <w:rFonts w:ascii="Times New Roman"/>
                <w:sz w:val="21"/>
              </w:rPr>
            </w:pPr>
            <w:r>
              <w:rPr>
                <w:rFonts w:ascii="Times New Roman"/>
                <w:sz w:val="21"/>
              </w:rPr>
              <w:t>23,5</w:t>
            </w:r>
          </w:p>
          <w:p>
            <w:pPr>
              <w:pStyle w:val="TableParagraph"/>
              <w:spacing w:line="241" w:lineRule="exact"/>
              <w:ind w:right="91"/>
              <w:jc w:val="right"/>
              <w:rPr>
                <w:rFonts w:ascii="Times New Roman"/>
                <w:sz w:val="21"/>
              </w:rPr>
            </w:pPr>
            <w:r>
              <w:rPr>
                <w:rFonts w:ascii="Times New Roman"/>
                <w:sz w:val="21"/>
              </w:rPr>
              <w:t>80</w:t>
            </w:r>
          </w:p>
        </w:tc>
        <w:tc>
          <w:tcPr>
            <w:tcW w:w="602" w:type="dxa"/>
          </w:tcPr>
          <w:p>
            <w:pPr>
              <w:pStyle w:val="TableParagraph"/>
              <w:rPr>
                <w:sz w:val="22"/>
              </w:rPr>
            </w:pPr>
          </w:p>
          <w:p>
            <w:pPr>
              <w:pStyle w:val="TableParagraph"/>
              <w:spacing w:before="10"/>
              <w:rPr>
                <w:sz w:val="31"/>
              </w:rPr>
            </w:pPr>
          </w:p>
          <w:p>
            <w:pPr>
              <w:pStyle w:val="TableParagraph"/>
              <w:ind w:right="90"/>
              <w:jc w:val="right"/>
              <w:rPr>
                <w:rFonts w:ascii="Times New Roman"/>
                <w:sz w:val="21"/>
              </w:rPr>
            </w:pPr>
            <w:r>
              <w:rPr>
                <w:rFonts w:ascii="Times New Roman"/>
                <w:w w:val="100"/>
                <w:sz w:val="21"/>
              </w:rPr>
              <w:t>-</w:t>
            </w:r>
          </w:p>
        </w:tc>
        <w:tc>
          <w:tcPr>
            <w:tcW w:w="317" w:type="dxa"/>
          </w:tcPr>
          <w:p>
            <w:pPr>
              <w:pStyle w:val="TableParagraph"/>
              <w:rPr>
                <w:sz w:val="22"/>
              </w:rPr>
            </w:pPr>
          </w:p>
          <w:p>
            <w:pPr>
              <w:pStyle w:val="TableParagraph"/>
              <w:spacing w:before="10"/>
              <w:rPr>
                <w:sz w:val="31"/>
              </w:rPr>
            </w:pPr>
          </w:p>
          <w:p>
            <w:pPr>
              <w:pStyle w:val="TableParagraph"/>
              <w:ind w:right="88"/>
              <w:jc w:val="right"/>
              <w:rPr>
                <w:rFonts w:ascii="Times New Roman"/>
                <w:sz w:val="21"/>
              </w:rPr>
            </w:pPr>
            <w:r>
              <w:rPr>
                <w:rFonts w:ascii="Times New Roman"/>
                <w:w w:val="100"/>
                <w:sz w:val="21"/>
              </w:rPr>
              <w:t>-</w:t>
            </w:r>
          </w:p>
        </w:tc>
        <w:tc>
          <w:tcPr>
            <w:tcW w:w="691" w:type="dxa"/>
          </w:tcPr>
          <w:p>
            <w:pPr>
              <w:pStyle w:val="TableParagraph"/>
              <w:rPr>
                <w:sz w:val="22"/>
              </w:rPr>
            </w:pPr>
          </w:p>
          <w:p>
            <w:pPr>
              <w:pStyle w:val="TableParagraph"/>
              <w:spacing w:before="5"/>
              <w:rPr>
                <w:sz w:val="22"/>
              </w:rPr>
            </w:pPr>
          </w:p>
          <w:p>
            <w:pPr>
              <w:pStyle w:val="TableParagraph"/>
              <w:spacing w:line="241" w:lineRule="exact"/>
              <w:ind w:left="113"/>
              <w:rPr>
                <w:rFonts w:ascii="Times New Roman"/>
                <w:sz w:val="21"/>
              </w:rPr>
            </w:pPr>
            <w:r>
              <w:rPr>
                <w:rFonts w:ascii="Times New Roman"/>
                <w:sz w:val="21"/>
              </w:rPr>
              <w:t>1,334</w:t>
            </w:r>
          </w:p>
          <w:p>
            <w:pPr>
              <w:pStyle w:val="TableParagraph"/>
              <w:spacing w:line="241" w:lineRule="exact"/>
              <w:ind w:left="218"/>
              <w:rPr>
                <w:rFonts w:ascii="Times New Roman"/>
                <w:sz w:val="21"/>
              </w:rPr>
            </w:pPr>
            <w:r>
              <w:rPr>
                <w:rFonts w:ascii="Times New Roman"/>
                <w:sz w:val="21"/>
              </w:rPr>
              <w:t>,203</w:t>
            </w:r>
          </w:p>
        </w:tc>
        <w:tc>
          <w:tcPr>
            <w:tcW w:w="317" w:type="dxa"/>
          </w:tcPr>
          <w:p>
            <w:pPr>
              <w:pStyle w:val="TableParagraph"/>
              <w:rPr>
                <w:sz w:val="22"/>
              </w:rPr>
            </w:pPr>
          </w:p>
          <w:p>
            <w:pPr>
              <w:pStyle w:val="TableParagraph"/>
              <w:spacing w:before="10"/>
              <w:rPr>
                <w:sz w:val="31"/>
              </w:rPr>
            </w:pPr>
          </w:p>
          <w:p>
            <w:pPr>
              <w:pStyle w:val="TableParagraph"/>
              <w:ind w:left="57"/>
              <w:jc w:val="center"/>
              <w:rPr>
                <w:rFonts w:ascii="Times New Roman"/>
                <w:sz w:val="21"/>
              </w:rPr>
            </w:pPr>
            <w:r>
              <w:rPr>
                <w:rFonts w:ascii="Times New Roman"/>
                <w:w w:val="100"/>
                <w:sz w:val="21"/>
              </w:rPr>
              <w:t>-</w:t>
            </w:r>
          </w:p>
        </w:tc>
        <w:tc>
          <w:tcPr>
            <w:tcW w:w="751" w:type="dxa"/>
          </w:tcPr>
          <w:p>
            <w:pPr>
              <w:pStyle w:val="TableParagraph"/>
              <w:rPr>
                <w:sz w:val="22"/>
              </w:rPr>
            </w:pPr>
          </w:p>
          <w:p>
            <w:pPr>
              <w:pStyle w:val="TableParagraph"/>
              <w:spacing w:before="165"/>
              <w:ind w:left="120" w:right="90" w:firstLine="456"/>
              <w:jc w:val="right"/>
              <w:rPr>
                <w:rFonts w:ascii="Times New Roman"/>
                <w:sz w:val="21"/>
              </w:rPr>
            </w:pPr>
            <w:r>
              <w:rPr>
                <w:rFonts w:ascii="Times New Roman"/>
                <w:sz w:val="21"/>
              </w:rPr>
              <w:t>-</w:t>
            </w:r>
            <w:r>
              <w:rPr>
                <w:rFonts w:ascii="Times New Roman"/>
                <w:spacing w:val="-50"/>
                <w:sz w:val="21"/>
              </w:rPr>
              <w:t> </w:t>
            </w:r>
            <w:r>
              <w:rPr>
                <w:rFonts w:ascii="Times New Roman"/>
                <w:sz w:val="21"/>
              </w:rPr>
              <w:t>6,296,</w:t>
            </w:r>
          </w:p>
          <w:p>
            <w:pPr>
              <w:pStyle w:val="TableParagraph"/>
              <w:spacing w:line="241" w:lineRule="exact"/>
              <w:ind w:right="90"/>
              <w:jc w:val="right"/>
              <w:rPr>
                <w:rFonts w:ascii="Times New Roman"/>
                <w:sz w:val="21"/>
              </w:rPr>
            </w:pPr>
            <w:r>
              <w:rPr>
                <w:rFonts w:ascii="Times New Roman"/>
                <w:sz w:val="21"/>
              </w:rPr>
              <w:t>873</w:t>
            </w:r>
          </w:p>
        </w:tc>
        <w:tc>
          <w:tcPr>
            <w:tcW w:w="317" w:type="dxa"/>
          </w:tcPr>
          <w:p>
            <w:pPr>
              <w:pStyle w:val="TableParagraph"/>
              <w:rPr>
                <w:sz w:val="22"/>
              </w:rPr>
            </w:pPr>
          </w:p>
          <w:p>
            <w:pPr>
              <w:pStyle w:val="TableParagraph"/>
              <w:spacing w:before="10"/>
              <w:rPr>
                <w:sz w:val="31"/>
              </w:rPr>
            </w:pPr>
          </w:p>
          <w:p>
            <w:pPr>
              <w:pStyle w:val="TableParagraph"/>
              <w:ind w:right="87"/>
              <w:jc w:val="right"/>
              <w:rPr>
                <w:rFonts w:ascii="Times New Roman"/>
                <w:sz w:val="21"/>
              </w:rPr>
            </w:pPr>
            <w:r>
              <w:rPr>
                <w:rFonts w:ascii="Times New Roman"/>
                <w:w w:val="100"/>
                <w:sz w:val="21"/>
              </w:rPr>
              <w:t>-</w:t>
            </w:r>
          </w:p>
        </w:tc>
        <w:tc>
          <w:tcPr>
            <w:tcW w:w="810" w:type="dxa"/>
          </w:tcPr>
          <w:p>
            <w:pPr>
              <w:pStyle w:val="TableParagraph"/>
              <w:rPr>
                <w:sz w:val="22"/>
              </w:rPr>
            </w:pPr>
          </w:p>
          <w:p>
            <w:pPr>
              <w:pStyle w:val="TableParagraph"/>
              <w:spacing w:before="165"/>
              <w:ind w:left="180" w:right="89" w:firstLine="456"/>
              <w:jc w:val="right"/>
              <w:rPr>
                <w:rFonts w:ascii="Times New Roman"/>
                <w:sz w:val="21"/>
              </w:rPr>
            </w:pPr>
            <w:r>
              <w:rPr>
                <w:rFonts w:ascii="Times New Roman"/>
                <w:sz w:val="21"/>
              </w:rPr>
              <w:t>-</w:t>
            </w:r>
            <w:r>
              <w:rPr>
                <w:rFonts w:ascii="Times New Roman"/>
                <w:spacing w:val="-50"/>
                <w:sz w:val="21"/>
              </w:rPr>
              <w:t> </w:t>
            </w:r>
            <w:r>
              <w:rPr>
                <w:rFonts w:ascii="Times New Roman"/>
                <w:sz w:val="21"/>
              </w:rPr>
              <w:t>4,939,</w:t>
            </w:r>
          </w:p>
          <w:p>
            <w:pPr>
              <w:pStyle w:val="TableParagraph"/>
              <w:spacing w:line="241" w:lineRule="exact"/>
              <w:ind w:right="89"/>
              <w:jc w:val="right"/>
              <w:rPr>
                <w:rFonts w:ascii="Times New Roman"/>
                <w:sz w:val="21"/>
              </w:rPr>
            </w:pPr>
            <w:r>
              <w:rPr>
                <w:rFonts w:ascii="Times New Roman"/>
                <w:sz w:val="21"/>
              </w:rPr>
              <w:t>090</w:t>
            </w:r>
          </w:p>
        </w:tc>
        <w:tc>
          <w:tcPr>
            <w:tcW w:w="603" w:type="dxa"/>
          </w:tcPr>
          <w:p>
            <w:pPr>
              <w:pStyle w:val="TableParagraph"/>
              <w:rPr>
                <w:sz w:val="22"/>
              </w:rPr>
            </w:pPr>
          </w:p>
          <w:p>
            <w:pPr>
              <w:pStyle w:val="TableParagraph"/>
              <w:spacing w:before="10"/>
              <w:rPr>
                <w:sz w:val="31"/>
              </w:rPr>
            </w:pPr>
          </w:p>
          <w:p>
            <w:pPr>
              <w:pStyle w:val="TableParagraph"/>
              <w:ind w:right="91"/>
              <w:jc w:val="right"/>
              <w:rPr>
                <w:rFonts w:ascii="Times New Roman"/>
                <w:sz w:val="21"/>
              </w:rPr>
            </w:pPr>
            <w:r>
              <w:rPr>
                <w:rFonts w:ascii="Times New Roman"/>
                <w:w w:val="100"/>
                <w:sz w:val="21"/>
              </w:rPr>
              <w:t>-</w:t>
            </w:r>
          </w:p>
        </w:tc>
        <w:tc>
          <w:tcPr>
            <w:tcW w:w="809" w:type="dxa"/>
          </w:tcPr>
          <w:p>
            <w:pPr>
              <w:pStyle w:val="TableParagraph"/>
              <w:rPr>
                <w:sz w:val="22"/>
              </w:rPr>
            </w:pPr>
          </w:p>
          <w:p>
            <w:pPr>
              <w:pStyle w:val="TableParagraph"/>
              <w:spacing w:before="165"/>
              <w:ind w:left="179" w:right="89" w:firstLine="456"/>
              <w:jc w:val="right"/>
              <w:rPr>
                <w:rFonts w:ascii="Times New Roman"/>
                <w:sz w:val="21"/>
              </w:rPr>
            </w:pPr>
            <w:r>
              <w:rPr>
                <w:rFonts w:ascii="Times New Roman"/>
                <w:sz w:val="21"/>
              </w:rPr>
              <w:t>-</w:t>
            </w:r>
            <w:r>
              <w:rPr>
                <w:rFonts w:ascii="Times New Roman"/>
                <w:spacing w:val="-50"/>
                <w:sz w:val="21"/>
              </w:rPr>
              <w:t> </w:t>
            </w:r>
            <w:r>
              <w:rPr>
                <w:rFonts w:ascii="Times New Roman"/>
                <w:sz w:val="21"/>
              </w:rPr>
              <w:t>4,939,</w:t>
            </w:r>
          </w:p>
          <w:p>
            <w:pPr>
              <w:pStyle w:val="TableParagraph"/>
              <w:spacing w:line="241" w:lineRule="exact"/>
              <w:ind w:right="89"/>
              <w:jc w:val="right"/>
              <w:rPr>
                <w:rFonts w:ascii="Times New Roman"/>
                <w:sz w:val="21"/>
              </w:rPr>
            </w:pPr>
            <w:r>
              <w:rPr>
                <w:rFonts w:ascii="Times New Roman"/>
                <w:sz w:val="21"/>
              </w:rPr>
              <w:t>090</w:t>
            </w:r>
          </w:p>
        </w:tc>
      </w:tr>
      <w:tr>
        <w:trPr>
          <w:trHeight w:val="1634" w:hRule="atLeast"/>
        </w:trPr>
        <w:tc>
          <w:tcPr>
            <w:tcW w:w="554" w:type="dxa"/>
          </w:tcPr>
          <w:p>
            <w:pPr>
              <w:pStyle w:val="TableParagraph"/>
              <w:spacing w:line="242" w:lineRule="auto"/>
              <w:ind w:left="107" w:right="163"/>
              <w:rPr>
                <w:sz w:val="18"/>
              </w:rPr>
            </w:pPr>
            <w:r>
              <w:rPr>
                <w:sz w:val="18"/>
              </w:rPr>
              <w:t>1．</w:t>
            </w:r>
            <w:r>
              <w:rPr>
                <w:spacing w:val="-87"/>
                <w:sz w:val="18"/>
              </w:rPr>
              <w:t> </w:t>
            </w:r>
            <w:r>
              <w:rPr>
                <w:sz w:val="18"/>
              </w:rPr>
              <w:t>提取盈余公</w:t>
            </w:r>
          </w:p>
          <w:p>
            <w:pPr>
              <w:pStyle w:val="TableParagraph"/>
              <w:spacing w:line="215" w:lineRule="exact" w:before="2"/>
              <w:ind w:left="107"/>
              <w:rPr>
                <w:sz w:val="18"/>
              </w:rPr>
            </w:pPr>
            <w:r>
              <w:rPr>
                <w:sz w:val="18"/>
              </w:rPr>
              <w:t>积 </w:t>
            </w:r>
          </w:p>
        </w:tc>
        <w:tc>
          <w:tcPr>
            <w:tcW w:w="748" w:type="dxa"/>
          </w:tcPr>
          <w:p>
            <w:pPr>
              <w:pStyle w:val="TableParagraph"/>
              <w:rPr>
                <w:sz w:val="22"/>
              </w:rPr>
            </w:pPr>
          </w:p>
          <w:p>
            <w:pPr>
              <w:pStyle w:val="TableParagraph"/>
              <w:spacing w:before="10"/>
              <w:rPr>
                <w:sz w:val="31"/>
              </w:rPr>
            </w:pPr>
          </w:p>
          <w:p>
            <w:pPr>
              <w:pStyle w:val="TableParagraph"/>
              <w:ind w:right="94"/>
              <w:jc w:val="right"/>
              <w:rPr>
                <w:rFonts w:ascii="Times New Roman"/>
                <w:sz w:val="21"/>
              </w:rPr>
            </w:pPr>
            <w:r>
              <w:rPr>
                <w:rFonts w:ascii="Times New Roman"/>
                <w:w w:val="100"/>
                <w:sz w:val="21"/>
              </w:rPr>
              <w:t>-</w:t>
            </w:r>
          </w:p>
        </w:tc>
        <w:tc>
          <w:tcPr>
            <w:tcW w:w="316" w:type="dxa"/>
          </w:tcPr>
          <w:p>
            <w:pPr>
              <w:pStyle w:val="TableParagraph"/>
              <w:rPr>
                <w:rFonts w:ascii="Times New Roman"/>
                <w:sz w:val="20"/>
              </w:rPr>
            </w:pPr>
          </w:p>
        </w:tc>
        <w:tc>
          <w:tcPr>
            <w:tcW w:w="316" w:type="dxa"/>
          </w:tcPr>
          <w:p>
            <w:pPr>
              <w:pStyle w:val="TableParagraph"/>
              <w:rPr>
                <w:rFonts w:ascii="Times New Roman"/>
                <w:sz w:val="20"/>
              </w:rPr>
            </w:pPr>
          </w:p>
        </w:tc>
        <w:tc>
          <w:tcPr>
            <w:tcW w:w="319" w:type="dxa"/>
          </w:tcPr>
          <w:p>
            <w:pPr>
              <w:pStyle w:val="TableParagraph"/>
              <w:rPr>
                <w:rFonts w:ascii="Times New Roman"/>
                <w:sz w:val="20"/>
              </w:rPr>
            </w:pPr>
          </w:p>
        </w:tc>
        <w:tc>
          <w:tcPr>
            <w:tcW w:w="748" w:type="dxa"/>
          </w:tcPr>
          <w:p>
            <w:pPr>
              <w:pStyle w:val="TableParagraph"/>
              <w:rPr>
                <w:sz w:val="22"/>
              </w:rPr>
            </w:pPr>
          </w:p>
          <w:p>
            <w:pPr>
              <w:pStyle w:val="TableParagraph"/>
              <w:spacing w:before="10"/>
              <w:rPr>
                <w:sz w:val="31"/>
              </w:rPr>
            </w:pPr>
          </w:p>
          <w:p>
            <w:pPr>
              <w:pStyle w:val="TableParagraph"/>
              <w:ind w:right="93"/>
              <w:jc w:val="right"/>
              <w:rPr>
                <w:rFonts w:ascii="Times New Roman"/>
                <w:sz w:val="21"/>
              </w:rPr>
            </w:pPr>
            <w:r>
              <w:rPr>
                <w:rFonts w:ascii="Times New Roman"/>
                <w:w w:val="100"/>
                <w:sz w:val="21"/>
              </w:rPr>
              <w:t>-</w:t>
            </w:r>
          </w:p>
        </w:tc>
        <w:tc>
          <w:tcPr>
            <w:tcW w:w="602" w:type="dxa"/>
          </w:tcPr>
          <w:p>
            <w:pPr>
              <w:pStyle w:val="TableParagraph"/>
              <w:rPr>
                <w:sz w:val="22"/>
              </w:rPr>
            </w:pPr>
          </w:p>
          <w:p>
            <w:pPr>
              <w:pStyle w:val="TableParagraph"/>
              <w:spacing w:before="10"/>
              <w:rPr>
                <w:sz w:val="31"/>
              </w:rPr>
            </w:pPr>
          </w:p>
          <w:p>
            <w:pPr>
              <w:pStyle w:val="TableParagraph"/>
              <w:ind w:right="90"/>
              <w:jc w:val="right"/>
              <w:rPr>
                <w:rFonts w:ascii="Times New Roman"/>
                <w:sz w:val="21"/>
              </w:rPr>
            </w:pPr>
            <w:r>
              <w:rPr>
                <w:rFonts w:ascii="Times New Roman"/>
                <w:w w:val="100"/>
                <w:sz w:val="21"/>
              </w:rPr>
              <w:t>-</w:t>
            </w:r>
          </w:p>
        </w:tc>
        <w:tc>
          <w:tcPr>
            <w:tcW w:w="602" w:type="dxa"/>
          </w:tcPr>
          <w:p>
            <w:pPr>
              <w:pStyle w:val="TableParagraph"/>
              <w:rPr>
                <w:sz w:val="22"/>
              </w:rPr>
            </w:pPr>
          </w:p>
          <w:p>
            <w:pPr>
              <w:pStyle w:val="TableParagraph"/>
              <w:spacing w:before="10"/>
              <w:rPr>
                <w:sz w:val="31"/>
              </w:rPr>
            </w:pPr>
          </w:p>
          <w:p>
            <w:pPr>
              <w:pStyle w:val="TableParagraph"/>
              <w:ind w:right="90"/>
              <w:jc w:val="right"/>
              <w:rPr>
                <w:rFonts w:ascii="Times New Roman"/>
                <w:sz w:val="21"/>
              </w:rPr>
            </w:pPr>
            <w:r>
              <w:rPr>
                <w:rFonts w:ascii="Times New Roman"/>
                <w:w w:val="100"/>
                <w:sz w:val="21"/>
              </w:rPr>
              <w:t>-</w:t>
            </w:r>
          </w:p>
        </w:tc>
        <w:tc>
          <w:tcPr>
            <w:tcW w:w="317" w:type="dxa"/>
          </w:tcPr>
          <w:p>
            <w:pPr>
              <w:pStyle w:val="TableParagraph"/>
              <w:rPr>
                <w:rFonts w:ascii="Times New Roman"/>
                <w:sz w:val="20"/>
              </w:rPr>
            </w:pPr>
          </w:p>
        </w:tc>
        <w:tc>
          <w:tcPr>
            <w:tcW w:w="691" w:type="dxa"/>
          </w:tcPr>
          <w:p>
            <w:pPr>
              <w:pStyle w:val="TableParagraph"/>
              <w:rPr>
                <w:sz w:val="22"/>
              </w:rPr>
            </w:pPr>
          </w:p>
          <w:p>
            <w:pPr>
              <w:pStyle w:val="TableParagraph"/>
              <w:spacing w:before="5"/>
              <w:rPr>
                <w:sz w:val="22"/>
              </w:rPr>
            </w:pPr>
          </w:p>
          <w:p>
            <w:pPr>
              <w:pStyle w:val="TableParagraph"/>
              <w:spacing w:line="241" w:lineRule="exact"/>
              <w:ind w:left="113"/>
              <w:rPr>
                <w:rFonts w:ascii="Times New Roman"/>
                <w:sz w:val="21"/>
              </w:rPr>
            </w:pPr>
            <w:r>
              <w:rPr>
                <w:rFonts w:ascii="Times New Roman"/>
                <w:sz w:val="21"/>
              </w:rPr>
              <w:t>1,334</w:t>
            </w:r>
          </w:p>
          <w:p>
            <w:pPr>
              <w:pStyle w:val="TableParagraph"/>
              <w:spacing w:line="241" w:lineRule="exact"/>
              <w:ind w:left="218"/>
              <w:rPr>
                <w:rFonts w:ascii="Times New Roman"/>
                <w:sz w:val="21"/>
              </w:rPr>
            </w:pPr>
            <w:r>
              <w:rPr>
                <w:rFonts w:ascii="Times New Roman"/>
                <w:sz w:val="21"/>
              </w:rPr>
              <w:t>,203</w:t>
            </w:r>
          </w:p>
        </w:tc>
        <w:tc>
          <w:tcPr>
            <w:tcW w:w="317" w:type="dxa"/>
          </w:tcPr>
          <w:p>
            <w:pPr>
              <w:pStyle w:val="TableParagraph"/>
              <w:rPr>
                <w:rFonts w:ascii="Times New Roman"/>
                <w:sz w:val="20"/>
              </w:rPr>
            </w:pPr>
          </w:p>
        </w:tc>
        <w:tc>
          <w:tcPr>
            <w:tcW w:w="751" w:type="dxa"/>
          </w:tcPr>
          <w:p>
            <w:pPr>
              <w:pStyle w:val="TableParagraph"/>
              <w:rPr>
                <w:sz w:val="22"/>
              </w:rPr>
            </w:pPr>
          </w:p>
          <w:p>
            <w:pPr>
              <w:pStyle w:val="TableParagraph"/>
              <w:spacing w:before="165"/>
              <w:ind w:left="120" w:right="90" w:firstLine="456"/>
              <w:jc w:val="right"/>
              <w:rPr>
                <w:rFonts w:ascii="Times New Roman"/>
                <w:sz w:val="21"/>
              </w:rPr>
            </w:pPr>
            <w:r>
              <w:rPr>
                <w:rFonts w:ascii="Times New Roman"/>
                <w:sz w:val="21"/>
              </w:rPr>
              <w:t>-</w:t>
            </w:r>
            <w:r>
              <w:rPr>
                <w:rFonts w:ascii="Times New Roman"/>
                <w:spacing w:val="-50"/>
                <w:sz w:val="21"/>
              </w:rPr>
              <w:t> </w:t>
            </w:r>
            <w:r>
              <w:rPr>
                <w:rFonts w:ascii="Times New Roman"/>
                <w:sz w:val="21"/>
              </w:rPr>
              <w:t>1,334,</w:t>
            </w:r>
          </w:p>
          <w:p>
            <w:pPr>
              <w:pStyle w:val="TableParagraph"/>
              <w:spacing w:line="241" w:lineRule="exact"/>
              <w:ind w:right="90"/>
              <w:jc w:val="right"/>
              <w:rPr>
                <w:rFonts w:ascii="Times New Roman"/>
                <w:sz w:val="21"/>
              </w:rPr>
            </w:pPr>
            <w:r>
              <w:rPr>
                <w:rFonts w:ascii="Times New Roman"/>
                <w:sz w:val="21"/>
              </w:rPr>
              <w:t>203</w:t>
            </w:r>
          </w:p>
        </w:tc>
        <w:tc>
          <w:tcPr>
            <w:tcW w:w="317" w:type="dxa"/>
          </w:tcPr>
          <w:p>
            <w:pPr>
              <w:pStyle w:val="TableParagraph"/>
              <w:rPr>
                <w:rFonts w:ascii="Times New Roman"/>
                <w:sz w:val="20"/>
              </w:rPr>
            </w:pPr>
          </w:p>
        </w:tc>
        <w:tc>
          <w:tcPr>
            <w:tcW w:w="810" w:type="dxa"/>
          </w:tcPr>
          <w:p>
            <w:pPr>
              <w:pStyle w:val="TableParagraph"/>
              <w:rPr>
                <w:sz w:val="22"/>
              </w:rPr>
            </w:pPr>
          </w:p>
          <w:p>
            <w:pPr>
              <w:pStyle w:val="TableParagraph"/>
              <w:spacing w:before="10"/>
              <w:rPr>
                <w:sz w:val="31"/>
              </w:rPr>
            </w:pPr>
          </w:p>
          <w:p>
            <w:pPr>
              <w:pStyle w:val="TableParagraph"/>
              <w:ind w:right="90"/>
              <w:jc w:val="right"/>
              <w:rPr>
                <w:rFonts w:ascii="Times New Roman"/>
                <w:sz w:val="21"/>
              </w:rPr>
            </w:pPr>
            <w:r>
              <w:rPr>
                <w:rFonts w:ascii="Times New Roman"/>
                <w:w w:val="100"/>
                <w:sz w:val="21"/>
              </w:rPr>
              <w:t>-</w:t>
            </w:r>
          </w:p>
        </w:tc>
        <w:tc>
          <w:tcPr>
            <w:tcW w:w="603" w:type="dxa"/>
          </w:tcPr>
          <w:p>
            <w:pPr>
              <w:pStyle w:val="TableParagraph"/>
              <w:rPr>
                <w:sz w:val="22"/>
              </w:rPr>
            </w:pPr>
          </w:p>
          <w:p>
            <w:pPr>
              <w:pStyle w:val="TableParagraph"/>
              <w:spacing w:before="10"/>
              <w:rPr>
                <w:sz w:val="31"/>
              </w:rPr>
            </w:pPr>
          </w:p>
          <w:p>
            <w:pPr>
              <w:pStyle w:val="TableParagraph"/>
              <w:ind w:right="91"/>
              <w:jc w:val="right"/>
              <w:rPr>
                <w:rFonts w:ascii="Times New Roman"/>
                <w:sz w:val="21"/>
              </w:rPr>
            </w:pPr>
            <w:r>
              <w:rPr>
                <w:rFonts w:ascii="Times New Roman"/>
                <w:w w:val="100"/>
                <w:sz w:val="21"/>
              </w:rPr>
              <w:t>-</w:t>
            </w:r>
          </w:p>
        </w:tc>
        <w:tc>
          <w:tcPr>
            <w:tcW w:w="809" w:type="dxa"/>
          </w:tcPr>
          <w:p>
            <w:pPr>
              <w:pStyle w:val="TableParagraph"/>
              <w:rPr>
                <w:sz w:val="22"/>
              </w:rPr>
            </w:pPr>
          </w:p>
          <w:p>
            <w:pPr>
              <w:pStyle w:val="TableParagraph"/>
              <w:spacing w:before="10"/>
              <w:rPr>
                <w:sz w:val="31"/>
              </w:rPr>
            </w:pPr>
          </w:p>
          <w:p>
            <w:pPr>
              <w:pStyle w:val="TableParagraph"/>
              <w:ind w:right="91"/>
              <w:jc w:val="right"/>
              <w:rPr>
                <w:rFonts w:ascii="Times New Roman"/>
                <w:sz w:val="21"/>
              </w:rPr>
            </w:pPr>
            <w:r>
              <w:rPr>
                <w:rFonts w:ascii="Times New Roman"/>
                <w:w w:val="100"/>
                <w:sz w:val="21"/>
              </w:rPr>
              <w:t>-</w:t>
            </w:r>
          </w:p>
        </w:tc>
      </w:tr>
      <w:tr>
        <w:trPr>
          <w:trHeight w:val="2099" w:hRule="atLeast"/>
        </w:trPr>
        <w:tc>
          <w:tcPr>
            <w:tcW w:w="554" w:type="dxa"/>
          </w:tcPr>
          <w:p>
            <w:pPr>
              <w:pStyle w:val="TableParagraph"/>
              <w:spacing w:line="242" w:lineRule="auto"/>
              <w:ind w:left="107" w:right="163"/>
              <w:rPr>
                <w:sz w:val="18"/>
              </w:rPr>
            </w:pPr>
            <w:r>
              <w:rPr>
                <w:sz w:val="18"/>
              </w:rPr>
              <w:t>2．</w:t>
            </w:r>
            <w:r>
              <w:rPr>
                <w:spacing w:val="-87"/>
                <w:sz w:val="18"/>
              </w:rPr>
              <w:t> </w:t>
            </w:r>
            <w:r>
              <w:rPr>
                <w:sz w:val="18"/>
              </w:rPr>
              <w:t>提取一般风险准</w:t>
            </w:r>
          </w:p>
          <w:p>
            <w:pPr>
              <w:pStyle w:val="TableParagraph"/>
              <w:spacing w:line="213" w:lineRule="exact" w:before="3"/>
              <w:ind w:left="107"/>
              <w:rPr>
                <w:sz w:val="18"/>
              </w:rPr>
            </w:pPr>
            <w:r>
              <w:rPr>
                <w:sz w:val="18"/>
              </w:rPr>
              <w:t>备 </w:t>
            </w:r>
          </w:p>
        </w:tc>
        <w:tc>
          <w:tcPr>
            <w:tcW w:w="748" w:type="dxa"/>
          </w:tcPr>
          <w:p>
            <w:pPr>
              <w:pStyle w:val="TableParagraph"/>
              <w:rPr>
                <w:rFonts w:ascii="Times New Roman"/>
                <w:sz w:val="20"/>
              </w:rPr>
            </w:pPr>
          </w:p>
        </w:tc>
        <w:tc>
          <w:tcPr>
            <w:tcW w:w="316" w:type="dxa"/>
          </w:tcPr>
          <w:p>
            <w:pPr>
              <w:pStyle w:val="TableParagraph"/>
              <w:rPr>
                <w:rFonts w:ascii="Times New Roman"/>
                <w:sz w:val="20"/>
              </w:rPr>
            </w:pPr>
          </w:p>
        </w:tc>
        <w:tc>
          <w:tcPr>
            <w:tcW w:w="316" w:type="dxa"/>
          </w:tcPr>
          <w:p>
            <w:pPr>
              <w:pStyle w:val="TableParagraph"/>
              <w:rPr>
                <w:rFonts w:ascii="Times New Roman"/>
                <w:sz w:val="20"/>
              </w:rPr>
            </w:pPr>
          </w:p>
        </w:tc>
        <w:tc>
          <w:tcPr>
            <w:tcW w:w="319" w:type="dxa"/>
          </w:tcPr>
          <w:p>
            <w:pPr>
              <w:pStyle w:val="TableParagraph"/>
              <w:rPr>
                <w:rFonts w:ascii="Times New Roman"/>
                <w:sz w:val="20"/>
              </w:rPr>
            </w:pPr>
          </w:p>
        </w:tc>
        <w:tc>
          <w:tcPr>
            <w:tcW w:w="748" w:type="dxa"/>
          </w:tcPr>
          <w:p>
            <w:pPr>
              <w:pStyle w:val="TableParagraph"/>
              <w:rPr>
                <w:rFonts w:ascii="Times New Roman"/>
                <w:sz w:val="20"/>
              </w:rPr>
            </w:pPr>
          </w:p>
        </w:tc>
        <w:tc>
          <w:tcPr>
            <w:tcW w:w="602" w:type="dxa"/>
          </w:tcPr>
          <w:p>
            <w:pPr>
              <w:pStyle w:val="TableParagraph"/>
              <w:rPr>
                <w:rFonts w:ascii="Times New Roman"/>
                <w:sz w:val="20"/>
              </w:rPr>
            </w:pPr>
          </w:p>
        </w:tc>
        <w:tc>
          <w:tcPr>
            <w:tcW w:w="602" w:type="dxa"/>
          </w:tcPr>
          <w:p>
            <w:pPr>
              <w:pStyle w:val="TableParagraph"/>
              <w:rPr>
                <w:rFonts w:ascii="Times New Roman"/>
                <w:sz w:val="20"/>
              </w:rPr>
            </w:pPr>
          </w:p>
        </w:tc>
        <w:tc>
          <w:tcPr>
            <w:tcW w:w="317" w:type="dxa"/>
          </w:tcPr>
          <w:p>
            <w:pPr>
              <w:pStyle w:val="TableParagraph"/>
              <w:rPr>
                <w:rFonts w:ascii="Times New Roman"/>
                <w:sz w:val="20"/>
              </w:rPr>
            </w:pPr>
          </w:p>
        </w:tc>
        <w:tc>
          <w:tcPr>
            <w:tcW w:w="691" w:type="dxa"/>
          </w:tcPr>
          <w:p>
            <w:pPr>
              <w:pStyle w:val="TableParagraph"/>
              <w:rPr>
                <w:rFonts w:ascii="Times New Roman"/>
                <w:sz w:val="20"/>
              </w:rPr>
            </w:pPr>
          </w:p>
        </w:tc>
        <w:tc>
          <w:tcPr>
            <w:tcW w:w="317" w:type="dxa"/>
          </w:tcPr>
          <w:p>
            <w:pPr>
              <w:pStyle w:val="TableParagraph"/>
              <w:rPr>
                <w:rFonts w:ascii="Times New Roman"/>
                <w:sz w:val="20"/>
              </w:rPr>
            </w:pPr>
          </w:p>
        </w:tc>
        <w:tc>
          <w:tcPr>
            <w:tcW w:w="751" w:type="dxa"/>
          </w:tcPr>
          <w:p>
            <w:pPr>
              <w:pStyle w:val="TableParagraph"/>
              <w:rPr>
                <w:rFonts w:ascii="Times New Roman"/>
                <w:sz w:val="20"/>
              </w:rPr>
            </w:pPr>
          </w:p>
        </w:tc>
        <w:tc>
          <w:tcPr>
            <w:tcW w:w="317" w:type="dxa"/>
          </w:tcPr>
          <w:p>
            <w:pPr>
              <w:pStyle w:val="TableParagraph"/>
              <w:rPr>
                <w:rFonts w:ascii="Times New Roman"/>
                <w:sz w:val="20"/>
              </w:rPr>
            </w:pPr>
          </w:p>
        </w:tc>
        <w:tc>
          <w:tcPr>
            <w:tcW w:w="810" w:type="dxa"/>
          </w:tcPr>
          <w:p>
            <w:pPr>
              <w:pStyle w:val="TableParagraph"/>
              <w:rPr>
                <w:rFonts w:ascii="Times New Roman"/>
                <w:sz w:val="20"/>
              </w:rPr>
            </w:pPr>
          </w:p>
        </w:tc>
        <w:tc>
          <w:tcPr>
            <w:tcW w:w="603" w:type="dxa"/>
          </w:tcPr>
          <w:p>
            <w:pPr>
              <w:pStyle w:val="TableParagraph"/>
              <w:rPr>
                <w:rFonts w:ascii="Times New Roman"/>
                <w:sz w:val="20"/>
              </w:rPr>
            </w:pPr>
          </w:p>
        </w:tc>
        <w:tc>
          <w:tcPr>
            <w:tcW w:w="809" w:type="dxa"/>
          </w:tcPr>
          <w:p>
            <w:pPr>
              <w:pStyle w:val="TableParagraph"/>
              <w:rPr>
                <w:rFonts w:ascii="Times New Roman"/>
                <w:sz w:val="20"/>
              </w:rPr>
            </w:pPr>
          </w:p>
        </w:tc>
      </w:tr>
      <w:tr>
        <w:trPr>
          <w:trHeight w:val="3036" w:hRule="atLeast"/>
        </w:trPr>
        <w:tc>
          <w:tcPr>
            <w:tcW w:w="554" w:type="dxa"/>
          </w:tcPr>
          <w:p>
            <w:pPr>
              <w:pStyle w:val="TableParagraph"/>
              <w:spacing w:line="242" w:lineRule="auto"/>
              <w:ind w:left="107" w:right="163"/>
              <w:rPr>
                <w:sz w:val="18"/>
              </w:rPr>
            </w:pPr>
            <w:r>
              <w:rPr>
                <w:sz w:val="18"/>
              </w:rPr>
              <w:t>3．</w:t>
            </w:r>
            <w:r>
              <w:rPr>
                <w:spacing w:val="-87"/>
                <w:sz w:val="18"/>
              </w:rPr>
              <w:t> </w:t>
            </w:r>
            <w:r>
              <w:rPr>
                <w:sz w:val="18"/>
              </w:rPr>
              <w:t>对所有者</w:t>
            </w:r>
          </w:p>
          <w:p>
            <w:pPr>
              <w:pStyle w:val="TableParagraph"/>
              <w:spacing w:line="242" w:lineRule="auto" w:before="4"/>
              <w:ind w:left="107" w:right="254"/>
              <w:jc w:val="both"/>
              <w:rPr>
                <w:sz w:val="18"/>
              </w:rPr>
            </w:pPr>
            <w:r>
              <w:rPr>
                <w:sz w:val="18"/>
              </w:rPr>
              <w:t>（</w:t>
            </w:r>
            <w:r>
              <w:rPr>
                <w:spacing w:val="-88"/>
                <w:sz w:val="18"/>
              </w:rPr>
              <w:t> </w:t>
            </w:r>
            <w:r>
              <w:rPr>
                <w:sz w:val="18"/>
              </w:rPr>
              <w:t>或股东</w:t>
            </w:r>
          </w:p>
          <w:p>
            <w:pPr>
              <w:pStyle w:val="TableParagraph"/>
              <w:spacing w:line="242" w:lineRule="auto" w:before="2"/>
              <w:ind w:left="107" w:right="254"/>
              <w:jc w:val="both"/>
              <w:rPr>
                <w:sz w:val="18"/>
              </w:rPr>
            </w:pPr>
            <w:r>
              <w:rPr>
                <w:sz w:val="18"/>
              </w:rPr>
              <w:t>）</w:t>
            </w:r>
            <w:r>
              <w:rPr>
                <w:spacing w:val="-88"/>
                <w:sz w:val="18"/>
              </w:rPr>
              <w:t> </w:t>
            </w:r>
            <w:r>
              <w:rPr>
                <w:sz w:val="18"/>
              </w:rPr>
              <w:t>的分</w:t>
            </w:r>
          </w:p>
          <w:p>
            <w:pPr>
              <w:pStyle w:val="TableParagraph"/>
              <w:spacing w:line="215" w:lineRule="exact"/>
              <w:ind w:left="107"/>
              <w:rPr>
                <w:sz w:val="18"/>
              </w:rPr>
            </w:pPr>
            <w:r>
              <w:rPr>
                <w:sz w:val="18"/>
              </w:rPr>
              <w:t>配 </w:t>
            </w:r>
          </w:p>
        </w:tc>
        <w:tc>
          <w:tcPr>
            <w:tcW w:w="748"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7"/>
              <w:rPr>
                <w:sz w:val="20"/>
              </w:rPr>
            </w:pPr>
          </w:p>
          <w:p>
            <w:pPr>
              <w:pStyle w:val="TableParagraph"/>
              <w:ind w:right="94"/>
              <w:jc w:val="right"/>
              <w:rPr>
                <w:rFonts w:ascii="Times New Roman"/>
                <w:sz w:val="21"/>
              </w:rPr>
            </w:pPr>
            <w:r>
              <w:rPr>
                <w:rFonts w:ascii="Times New Roman"/>
                <w:w w:val="100"/>
                <w:sz w:val="21"/>
              </w:rPr>
              <w:t>-</w:t>
            </w:r>
          </w:p>
        </w:tc>
        <w:tc>
          <w:tcPr>
            <w:tcW w:w="316" w:type="dxa"/>
          </w:tcPr>
          <w:p>
            <w:pPr>
              <w:pStyle w:val="TableParagraph"/>
              <w:rPr>
                <w:rFonts w:ascii="Times New Roman"/>
                <w:sz w:val="20"/>
              </w:rPr>
            </w:pPr>
          </w:p>
        </w:tc>
        <w:tc>
          <w:tcPr>
            <w:tcW w:w="316" w:type="dxa"/>
          </w:tcPr>
          <w:p>
            <w:pPr>
              <w:pStyle w:val="TableParagraph"/>
              <w:rPr>
                <w:rFonts w:ascii="Times New Roman"/>
                <w:sz w:val="20"/>
              </w:rPr>
            </w:pPr>
          </w:p>
        </w:tc>
        <w:tc>
          <w:tcPr>
            <w:tcW w:w="319" w:type="dxa"/>
          </w:tcPr>
          <w:p>
            <w:pPr>
              <w:pStyle w:val="TableParagraph"/>
              <w:rPr>
                <w:rFonts w:ascii="Times New Roman"/>
                <w:sz w:val="20"/>
              </w:rPr>
            </w:pPr>
          </w:p>
        </w:tc>
        <w:tc>
          <w:tcPr>
            <w:tcW w:w="748"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7"/>
              <w:rPr>
                <w:sz w:val="20"/>
              </w:rPr>
            </w:pPr>
          </w:p>
          <w:p>
            <w:pPr>
              <w:pStyle w:val="TableParagraph"/>
              <w:ind w:right="93"/>
              <w:jc w:val="right"/>
              <w:rPr>
                <w:rFonts w:ascii="Times New Roman"/>
                <w:sz w:val="21"/>
              </w:rPr>
            </w:pPr>
            <w:r>
              <w:rPr>
                <w:rFonts w:ascii="Times New Roman"/>
                <w:w w:val="100"/>
                <w:sz w:val="21"/>
              </w:rPr>
              <w:t>-</w:t>
            </w:r>
          </w:p>
        </w:tc>
        <w:tc>
          <w:tcPr>
            <w:tcW w:w="602"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7"/>
              <w:rPr>
                <w:sz w:val="20"/>
              </w:rPr>
            </w:pPr>
          </w:p>
          <w:p>
            <w:pPr>
              <w:pStyle w:val="TableParagraph"/>
              <w:ind w:right="90"/>
              <w:jc w:val="right"/>
              <w:rPr>
                <w:rFonts w:ascii="Times New Roman"/>
                <w:sz w:val="21"/>
              </w:rPr>
            </w:pPr>
            <w:r>
              <w:rPr>
                <w:rFonts w:ascii="Times New Roman"/>
                <w:w w:val="100"/>
                <w:sz w:val="21"/>
              </w:rPr>
              <w:t>-</w:t>
            </w:r>
          </w:p>
        </w:tc>
        <w:tc>
          <w:tcPr>
            <w:tcW w:w="602"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7"/>
              <w:rPr>
                <w:sz w:val="20"/>
              </w:rPr>
            </w:pPr>
          </w:p>
          <w:p>
            <w:pPr>
              <w:pStyle w:val="TableParagraph"/>
              <w:ind w:right="90"/>
              <w:jc w:val="right"/>
              <w:rPr>
                <w:rFonts w:ascii="Times New Roman"/>
                <w:sz w:val="21"/>
              </w:rPr>
            </w:pPr>
            <w:r>
              <w:rPr>
                <w:rFonts w:ascii="Times New Roman"/>
                <w:w w:val="100"/>
                <w:sz w:val="21"/>
              </w:rPr>
              <w:t>-</w:t>
            </w:r>
          </w:p>
        </w:tc>
        <w:tc>
          <w:tcPr>
            <w:tcW w:w="317" w:type="dxa"/>
          </w:tcPr>
          <w:p>
            <w:pPr>
              <w:pStyle w:val="TableParagraph"/>
              <w:rPr>
                <w:rFonts w:ascii="Times New Roman"/>
                <w:sz w:val="20"/>
              </w:rPr>
            </w:pPr>
          </w:p>
        </w:tc>
        <w:tc>
          <w:tcPr>
            <w:tcW w:w="691"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7"/>
              <w:rPr>
                <w:sz w:val="20"/>
              </w:rPr>
            </w:pPr>
          </w:p>
          <w:p>
            <w:pPr>
              <w:pStyle w:val="TableParagraph"/>
              <w:ind w:right="92"/>
              <w:jc w:val="right"/>
              <w:rPr>
                <w:rFonts w:ascii="Times New Roman"/>
                <w:sz w:val="21"/>
              </w:rPr>
            </w:pPr>
            <w:r>
              <w:rPr>
                <w:rFonts w:ascii="Times New Roman"/>
                <w:w w:val="100"/>
                <w:sz w:val="21"/>
              </w:rPr>
              <w:t>-</w:t>
            </w:r>
          </w:p>
        </w:tc>
        <w:tc>
          <w:tcPr>
            <w:tcW w:w="317" w:type="dxa"/>
          </w:tcPr>
          <w:p>
            <w:pPr>
              <w:pStyle w:val="TableParagraph"/>
              <w:rPr>
                <w:rFonts w:ascii="Times New Roman"/>
                <w:sz w:val="20"/>
              </w:rPr>
            </w:pPr>
          </w:p>
        </w:tc>
        <w:tc>
          <w:tcPr>
            <w:tcW w:w="751" w:type="dxa"/>
          </w:tcPr>
          <w:p>
            <w:pPr>
              <w:pStyle w:val="TableParagraph"/>
              <w:rPr>
                <w:sz w:val="22"/>
              </w:rPr>
            </w:pPr>
          </w:p>
          <w:p>
            <w:pPr>
              <w:pStyle w:val="TableParagraph"/>
              <w:rPr>
                <w:sz w:val="22"/>
              </w:rPr>
            </w:pPr>
          </w:p>
          <w:p>
            <w:pPr>
              <w:pStyle w:val="TableParagraph"/>
              <w:rPr>
                <w:sz w:val="22"/>
              </w:rPr>
            </w:pPr>
          </w:p>
          <w:p>
            <w:pPr>
              <w:pStyle w:val="TableParagraph"/>
              <w:spacing w:before="10"/>
              <w:rPr>
                <w:sz w:val="23"/>
              </w:rPr>
            </w:pPr>
          </w:p>
          <w:p>
            <w:pPr>
              <w:pStyle w:val="TableParagraph"/>
              <w:ind w:left="120" w:right="90" w:firstLine="456"/>
              <w:jc w:val="right"/>
              <w:rPr>
                <w:rFonts w:ascii="Times New Roman"/>
                <w:sz w:val="21"/>
              </w:rPr>
            </w:pPr>
            <w:r>
              <w:rPr>
                <w:rFonts w:ascii="Times New Roman"/>
                <w:sz w:val="21"/>
              </w:rPr>
              <w:t>-</w:t>
            </w:r>
            <w:r>
              <w:rPr>
                <w:rFonts w:ascii="Times New Roman"/>
                <w:spacing w:val="-50"/>
                <w:sz w:val="21"/>
              </w:rPr>
              <w:t> </w:t>
            </w:r>
            <w:r>
              <w:rPr>
                <w:rFonts w:ascii="Times New Roman"/>
                <w:sz w:val="21"/>
              </w:rPr>
              <w:t>4,966,</w:t>
            </w:r>
          </w:p>
          <w:p>
            <w:pPr>
              <w:pStyle w:val="TableParagraph"/>
              <w:spacing w:line="241" w:lineRule="exact"/>
              <w:ind w:right="90"/>
              <w:jc w:val="right"/>
              <w:rPr>
                <w:rFonts w:ascii="Times New Roman"/>
                <w:sz w:val="21"/>
              </w:rPr>
            </w:pPr>
            <w:r>
              <w:rPr>
                <w:rFonts w:ascii="Times New Roman"/>
                <w:sz w:val="21"/>
              </w:rPr>
              <w:t>790</w:t>
            </w:r>
          </w:p>
        </w:tc>
        <w:tc>
          <w:tcPr>
            <w:tcW w:w="317" w:type="dxa"/>
          </w:tcPr>
          <w:p>
            <w:pPr>
              <w:pStyle w:val="TableParagraph"/>
              <w:rPr>
                <w:rFonts w:ascii="Times New Roman"/>
                <w:sz w:val="20"/>
              </w:rPr>
            </w:pPr>
          </w:p>
        </w:tc>
        <w:tc>
          <w:tcPr>
            <w:tcW w:w="810" w:type="dxa"/>
          </w:tcPr>
          <w:p>
            <w:pPr>
              <w:pStyle w:val="TableParagraph"/>
              <w:rPr>
                <w:sz w:val="22"/>
              </w:rPr>
            </w:pPr>
          </w:p>
          <w:p>
            <w:pPr>
              <w:pStyle w:val="TableParagraph"/>
              <w:rPr>
                <w:sz w:val="22"/>
              </w:rPr>
            </w:pPr>
          </w:p>
          <w:p>
            <w:pPr>
              <w:pStyle w:val="TableParagraph"/>
              <w:rPr>
                <w:sz w:val="22"/>
              </w:rPr>
            </w:pPr>
          </w:p>
          <w:p>
            <w:pPr>
              <w:pStyle w:val="TableParagraph"/>
              <w:spacing w:before="10"/>
              <w:rPr>
                <w:sz w:val="23"/>
              </w:rPr>
            </w:pPr>
          </w:p>
          <w:p>
            <w:pPr>
              <w:pStyle w:val="TableParagraph"/>
              <w:ind w:left="180" w:right="89" w:firstLine="456"/>
              <w:jc w:val="right"/>
              <w:rPr>
                <w:rFonts w:ascii="Times New Roman"/>
                <w:sz w:val="21"/>
              </w:rPr>
            </w:pPr>
            <w:r>
              <w:rPr>
                <w:rFonts w:ascii="Times New Roman"/>
                <w:sz w:val="21"/>
              </w:rPr>
              <w:t>-</w:t>
            </w:r>
            <w:r>
              <w:rPr>
                <w:rFonts w:ascii="Times New Roman"/>
                <w:spacing w:val="-50"/>
                <w:sz w:val="21"/>
              </w:rPr>
              <w:t> </w:t>
            </w:r>
            <w:r>
              <w:rPr>
                <w:rFonts w:ascii="Times New Roman"/>
                <w:sz w:val="21"/>
              </w:rPr>
              <w:t>4,966,</w:t>
            </w:r>
          </w:p>
          <w:p>
            <w:pPr>
              <w:pStyle w:val="TableParagraph"/>
              <w:spacing w:line="241" w:lineRule="exact"/>
              <w:ind w:right="89"/>
              <w:jc w:val="right"/>
              <w:rPr>
                <w:rFonts w:ascii="Times New Roman"/>
                <w:sz w:val="21"/>
              </w:rPr>
            </w:pPr>
            <w:r>
              <w:rPr>
                <w:rFonts w:ascii="Times New Roman"/>
                <w:sz w:val="21"/>
              </w:rPr>
              <w:t>790</w:t>
            </w:r>
          </w:p>
        </w:tc>
        <w:tc>
          <w:tcPr>
            <w:tcW w:w="603"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7"/>
              <w:rPr>
                <w:sz w:val="20"/>
              </w:rPr>
            </w:pPr>
          </w:p>
          <w:p>
            <w:pPr>
              <w:pStyle w:val="TableParagraph"/>
              <w:ind w:right="91"/>
              <w:jc w:val="right"/>
              <w:rPr>
                <w:rFonts w:ascii="Times New Roman"/>
                <w:sz w:val="21"/>
              </w:rPr>
            </w:pPr>
            <w:r>
              <w:rPr>
                <w:rFonts w:ascii="Times New Roman"/>
                <w:w w:val="100"/>
                <w:sz w:val="21"/>
              </w:rPr>
              <w:t>-</w:t>
            </w:r>
          </w:p>
        </w:tc>
        <w:tc>
          <w:tcPr>
            <w:tcW w:w="809" w:type="dxa"/>
          </w:tcPr>
          <w:p>
            <w:pPr>
              <w:pStyle w:val="TableParagraph"/>
              <w:rPr>
                <w:sz w:val="22"/>
              </w:rPr>
            </w:pPr>
          </w:p>
          <w:p>
            <w:pPr>
              <w:pStyle w:val="TableParagraph"/>
              <w:rPr>
                <w:sz w:val="22"/>
              </w:rPr>
            </w:pPr>
          </w:p>
          <w:p>
            <w:pPr>
              <w:pStyle w:val="TableParagraph"/>
              <w:rPr>
                <w:sz w:val="22"/>
              </w:rPr>
            </w:pPr>
          </w:p>
          <w:p>
            <w:pPr>
              <w:pStyle w:val="TableParagraph"/>
              <w:spacing w:before="10"/>
              <w:rPr>
                <w:sz w:val="23"/>
              </w:rPr>
            </w:pPr>
          </w:p>
          <w:p>
            <w:pPr>
              <w:pStyle w:val="TableParagraph"/>
              <w:ind w:left="179" w:right="89" w:firstLine="456"/>
              <w:jc w:val="right"/>
              <w:rPr>
                <w:rFonts w:ascii="Times New Roman"/>
                <w:sz w:val="21"/>
              </w:rPr>
            </w:pPr>
            <w:r>
              <w:rPr>
                <w:rFonts w:ascii="Times New Roman"/>
                <w:sz w:val="21"/>
              </w:rPr>
              <w:t>-</w:t>
            </w:r>
            <w:r>
              <w:rPr>
                <w:rFonts w:ascii="Times New Roman"/>
                <w:spacing w:val="-50"/>
                <w:sz w:val="21"/>
              </w:rPr>
              <w:t> </w:t>
            </w:r>
            <w:r>
              <w:rPr>
                <w:rFonts w:ascii="Times New Roman"/>
                <w:sz w:val="21"/>
              </w:rPr>
              <w:t>4,966,</w:t>
            </w:r>
          </w:p>
          <w:p>
            <w:pPr>
              <w:pStyle w:val="TableParagraph"/>
              <w:spacing w:line="241" w:lineRule="exact"/>
              <w:ind w:right="89"/>
              <w:jc w:val="right"/>
              <w:rPr>
                <w:rFonts w:ascii="Times New Roman"/>
                <w:sz w:val="21"/>
              </w:rPr>
            </w:pPr>
            <w:r>
              <w:rPr>
                <w:rFonts w:ascii="Times New Roman"/>
                <w:sz w:val="21"/>
              </w:rPr>
              <w:t>790</w:t>
            </w:r>
          </w:p>
        </w:tc>
      </w:tr>
      <w:tr>
        <w:trPr>
          <w:trHeight w:val="700" w:hRule="atLeast"/>
        </w:trPr>
        <w:tc>
          <w:tcPr>
            <w:tcW w:w="554" w:type="dxa"/>
          </w:tcPr>
          <w:p>
            <w:pPr>
              <w:pStyle w:val="TableParagraph"/>
              <w:spacing w:line="230" w:lineRule="exact"/>
              <w:ind w:left="107"/>
              <w:rPr>
                <w:sz w:val="18"/>
              </w:rPr>
            </w:pPr>
            <w:r>
              <w:rPr>
                <w:sz w:val="18"/>
              </w:rPr>
              <w:t>4．</w:t>
            </w:r>
          </w:p>
          <w:p>
            <w:pPr>
              <w:pStyle w:val="TableParagraph"/>
              <w:spacing w:line="230" w:lineRule="atLeast"/>
              <w:ind w:left="107" w:right="164"/>
              <w:rPr>
                <w:sz w:val="18"/>
              </w:rPr>
            </w:pPr>
            <w:r>
              <w:rPr>
                <w:sz w:val="18"/>
              </w:rPr>
              <w:t>其他 </w:t>
            </w:r>
          </w:p>
        </w:tc>
        <w:tc>
          <w:tcPr>
            <w:tcW w:w="748" w:type="dxa"/>
          </w:tcPr>
          <w:p>
            <w:pPr>
              <w:pStyle w:val="TableParagraph"/>
              <w:spacing w:before="5"/>
              <w:rPr>
                <w:sz w:val="17"/>
              </w:rPr>
            </w:pPr>
          </w:p>
          <w:p>
            <w:pPr>
              <w:pStyle w:val="TableParagraph"/>
              <w:spacing w:before="1"/>
              <w:ind w:right="94"/>
              <w:jc w:val="right"/>
              <w:rPr>
                <w:rFonts w:ascii="Times New Roman"/>
                <w:sz w:val="21"/>
              </w:rPr>
            </w:pPr>
            <w:r>
              <w:rPr>
                <w:rFonts w:ascii="Times New Roman"/>
                <w:w w:val="100"/>
                <w:sz w:val="21"/>
              </w:rPr>
              <w:t>-</w:t>
            </w:r>
          </w:p>
        </w:tc>
        <w:tc>
          <w:tcPr>
            <w:tcW w:w="316" w:type="dxa"/>
          </w:tcPr>
          <w:p>
            <w:pPr>
              <w:pStyle w:val="TableParagraph"/>
              <w:rPr>
                <w:rFonts w:ascii="Times New Roman"/>
                <w:sz w:val="20"/>
              </w:rPr>
            </w:pPr>
          </w:p>
        </w:tc>
        <w:tc>
          <w:tcPr>
            <w:tcW w:w="316" w:type="dxa"/>
          </w:tcPr>
          <w:p>
            <w:pPr>
              <w:pStyle w:val="TableParagraph"/>
              <w:rPr>
                <w:rFonts w:ascii="Times New Roman"/>
                <w:sz w:val="20"/>
              </w:rPr>
            </w:pPr>
          </w:p>
        </w:tc>
        <w:tc>
          <w:tcPr>
            <w:tcW w:w="319" w:type="dxa"/>
          </w:tcPr>
          <w:p>
            <w:pPr>
              <w:pStyle w:val="TableParagraph"/>
              <w:rPr>
                <w:rFonts w:ascii="Times New Roman"/>
                <w:sz w:val="20"/>
              </w:rPr>
            </w:pPr>
          </w:p>
        </w:tc>
        <w:tc>
          <w:tcPr>
            <w:tcW w:w="748" w:type="dxa"/>
          </w:tcPr>
          <w:p>
            <w:pPr>
              <w:pStyle w:val="TableParagraph"/>
              <w:spacing w:before="5"/>
              <w:rPr>
                <w:sz w:val="17"/>
              </w:rPr>
            </w:pPr>
          </w:p>
          <w:p>
            <w:pPr>
              <w:pStyle w:val="TableParagraph"/>
              <w:spacing w:before="1"/>
              <w:ind w:right="93"/>
              <w:jc w:val="right"/>
              <w:rPr>
                <w:rFonts w:ascii="Times New Roman"/>
                <w:sz w:val="21"/>
              </w:rPr>
            </w:pPr>
            <w:r>
              <w:rPr>
                <w:rFonts w:ascii="Times New Roman"/>
                <w:w w:val="100"/>
                <w:sz w:val="21"/>
              </w:rPr>
              <w:t>-</w:t>
            </w:r>
          </w:p>
        </w:tc>
        <w:tc>
          <w:tcPr>
            <w:tcW w:w="602" w:type="dxa"/>
          </w:tcPr>
          <w:p>
            <w:pPr>
              <w:pStyle w:val="TableParagraph"/>
              <w:spacing w:before="101"/>
              <w:ind w:right="89"/>
              <w:jc w:val="right"/>
              <w:rPr>
                <w:rFonts w:ascii="Times New Roman"/>
                <w:sz w:val="21"/>
              </w:rPr>
            </w:pPr>
            <w:r>
              <w:rPr>
                <w:rFonts w:ascii="Times New Roman"/>
                <w:sz w:val="21"/>
              </w:rPr>
              <w:t>23,5</w:t>
            </w:r>
          </w:p>
          <w:p>
            <w:pPr>
              <w:pStyle w:val="TableParagraph"/>
              <w:spacing w:before="1"/>
              <w:ind w:right="91"/>
              <w:jc w:val="right"/>
              <w:rPr>
                <w:rFonts w:ascii="Times New Roman"/>
                <w:sz w:val="21"/>
              </w:rPr>
            </w:pPr>
            <w:r>
              <w:rPr>
                <w:rFonts w:ascii="Times New Roman"/>
                <w:sz w:val="21"/>
              </w:rPr>
              <w:t>80</w:t>
            </w:r>
          </w:p>
        </w:tc>
        <w:tc>
          <w:tcPr>
            <w:tcW w:w="602" w:type="dxa"/>
          </w:tcPr>
          <w:p>
            <w:pPr>
              <w:pStyle w:val="TableParagraph"/>
              <w:spacing w:before="5"/>
              <w:rPr>
                <w:sz w:val="17"/>
              </w:rPr>
            </w:pPr>
          </w:p>
          <w:p>
            <w:pPr>
              <w:pStyle w:val="TableParagraph"/>
              <w:spacing w:before="1"/>
              <w:ind w:right="90"/>
              <w:jc w:val="right"/>
              <w:rPr>
                <w:rFonts w:ascii="Times New Roman"/>
                <w:sz w:val="21"/>
              </w:rPr>
            </w:pPr>
            <w:r>
              <w:rPr>
                <w:rFonts w:ascii="Times New Roman"/>
                <w:w w:val="100"/>
                <w:sz w:val="21"/>
              </w:rPr>
              <w:t>-</w:t>
            </w:r>
          </w:p>
        </w:tc>
        <w:tc>
          <w:tcPr>
            <w:tcW w:w="317" w:type="dxa"/>
          </w:tcPr>
          <w:p>
            <w:pPr>
              <w:pStyle w:val="TableParagraph"/>
              <w:rPr>
                <w:rFonts w:ascii="Times New Roman"/>
                <w:sz w:val="20"/>
              </w:rPr>
            </w:pPr>
          </w:p>
        </w:tc>
        <w:tc>
          <w:tcPr>
            <w:tcW w:w="691" w:type="dxa"/>
          </w:tcPr>
          <w:p>
            <w:pPr>
              <w:pStyle w:val="TableParagraph"/>
              <w:spacing w:before="5"/>
              <w:rPr>
                <w:sz w:val="17"/>
              </w:rPr>
            </w:pPr>
          </w:p>
          <w:p>
            <w:pPr>
              <w:pStyle w:val="TableParagraph"/>
              <w:spacing w:before="1"/>
              <w:ind w:right="92"/>
              <w:jc w:val="right"/>
              <w:rPr>
                <w:rFonts w:ascii="Times New Roman"/>
                <w:sz w:val="21"/>
              </w:rPr>
            </w:pPr>
            <w:r>
              <w:rPr>
                <w:rFonts w:ascii="Times New Roman"/>
                <w:w w:val="100"/>
                <w:sz w:val="21"/>
              </w:rPr>
              <w:t>-</w:t>
            </w:r>
          </w:p>
        </w:tc>
        <w:tc>
          <w:tcPr>
            <w:tcW w:w="317" w:type="dxa"/>
          </w:tcPr>
          <w:p>
            <w:pPr>
              <w:pStyle w:val="TableParagraph"/>
              <w:rPr>
                <w:rFonts w:ascii="Times New Roman"/>
                <w:sz w:val="20"/>
              </w:rPr>
            </w:pPr>
          </w:p>
        </w:tc>
        <w:tc>
          <w:tcPr>
            <w:tcW w:w="751" w:type="dxa"/>
          </w:tcPr>
          <w:p>
            <w:pPr>
              <w:pStyle w:val="TableParagraph"/>
              <w:spacing w:before="5"/>
              <w:rPr>
                <w:sz w:val="17"/>
              </w:rPr>
            </w:pPr>
          </w:p>
          <w:p>
            <w:pPr>
              <w:pStyle w:val="TableParagraph"/>
              <w:spacing w:before="1"/>
              <w:ind w:right="90"/>
              <w:jc w:val="right"/>
              <w:rPr>
                <w:rFonts w:ascii="Times New Roman"/>
                <w:sz w:val="21"/>
              </w:rPr>
            </w:pPr>
            <w:r>
              <w:rPr>
                <w:rFonts w:ascii="Times New Roman"/>
                <w:sz w:val="21"/>
              </w:rPr>
              <w:t>4,120</w:t>
            </w:r>
          </w:p>
        </w:tc>
        <w:tc>
          <w:tcPr>
            <w:tcW w:w="317" w:type="dxa"/>
          </w:tcPr>
          <w:p>
            <w:pPr>
              <w:pStyle w:val="TableParagraph"/>
              <w:rPr>
                <w:rFonts w:ascii="Times New Roman"/>
                <w:sz w:val="20"/>
              </w:rPr>
            </w:pPr>
          </w:p>
        </w:tc>
        <w:tc>
          <w:tcPr>
            <w:tcW w:w="810" w:type="dxa"/>
          </w:tcPr>
          <w:p>
            <w:pPr>
              <w:pStyle w:val="TableParagraph"/>
              <w:spacing w:before="5"/>
              <w:rPr>
                <w:sz w:val="17"/>
              </w:rPr>
            </w:pPr>
          </w:p>
          <w:p>
            <w:pPr>
              <w:pStyle w:val="TableParagraph"/>
              <w:spacing w:before="1"/>
              <w:ind w:right="89"/>
              <w:jc w:val="right"/>
              <w:rPr>
                <w:rFonts w:ascii="Times New Roman"/>
                <w:sz w:val="21"/>
              </w:rPr>
            </w:pPr>
            <w:r>
              <w:rPr>
                <w:rFonts w:ascii="Times New Roman"/>
                <w:sz w:val="21"/>
              </w:rPr>
              <w:t>27,700</w:t>
            </w:r>
          </w:p>
        </w:tc>
        <w:tc>
          <w:tcPr>
            <w:tcW w:w="603" w:type="dxa"/>
          </w:tcPr>
          <w:p>
            <w:pPr>
              <w:pStyle w:val="TableParagraph"/>
              <w:spacing w:before="5"/>
              <w:rPr>
                <w:sz w:val="17"/>
              </w:rPr>
            </w:pPr>
          </w:p>
          <w:p>
            <w:pPr>
              <w:pStyle w:val="TableParagraph"/>
              <w:spacing w:before="1"/>
              <w:ind w:right="91"/>
              <w:jc w:val="right"/>
              <w:rPr>
                <w:rFonts w:ascii="Times New Roman"/>
                <w:sz w:val="21"/>
              </w:rPr>
            </w:pPr>
            <w:r>
              <w:rPr>
                <w:rFonts w:ascii="Times New Roman"/>
                <w:w w:val="100"/>
                <w:sz w:val="21"/>
              </w:rPr>
              <w:t>-</w:t>
            </w:r>
          </w:p>
        </w:tc>
        <w:tc>
          <w:tcPr>
            <w:tcW w:w="809" w:type="dxa"/>
          </w:tcPr>
          <w:p>
            <w:pPr>
              <w:pStyle w:val="TableParagraph"/>
              <w:spacing w:before="5"/>
              <w:rPr>
                <w:sz w:val="17"/>
              </w:rPr>
            </w:pPr>
          </w:p>
          <w:p>
            <w:pPr>
              <w:pStyle w:val="TableParagraph"/>
              <w:spacing w:before="1"/>
              <w:ind w:right="89"/>
              <w:jc w:val="right"/>
              <w:rPr>
                <w:rFonts w:ascii="Times New Roman"/>
                <w:sz w:val="21"/>
              </w:rPr>
            </w:pPr>
            <w:r>
              <w:rPr>
                <w:rFonts w:ascii="Times New Roman"/>
                <w:sz w:val="21"/>
              </w:rPr>
              <w:t>27,700</w:t>
            </w:r>
          </w:p>
        </w:tc>
      </w:tr>
      <w:tr>
        <w:trPr>
          <w:trHeight w:val="467" w:hRule="atLeast"/>
        </w:trPr>
        <w:tc>
          <w:tcPr>
            <w:tcW w:w="554" w:type="dxa"/>
          </w:tcPr>
          <w:p>
            <w:pPr>
              <w:pStyle w:val="TableParagraph"/>
              <w:spacing w:line="230" w:lineRule="exact"/>
              <w:ind w:left="107"/>
              <w:rPr>
                <w:sz w:val="18"/>
              </w:rPr>
            </w:pPr>
            <w:r>
              <w:rPr>
                <w:sz w:val="18"/>
              </w:rPr>
              <w:t>（</w:t>
            </w:r>
          </w:p>
          <w:p>
            <w:pPr>
              <w:pStyle w:val="TableParagraph"/>
              <w:spacing w:line="215" w:lineRule="exact" w:before="2"/>
              <w:ind w:left="107"/>
              <w:rPr>
                <w:sz w:val="18"/>
              </w:rPr>
            </w:pPr>
            <w:r>
              <w:rPr>
                <w:sz w:val="18"/>
              </w:rPr>
              <w:t>四</w:t>
            </w:r>
          </w:p>
        </w:tc>
        <w:tc>
          <w:tcPr>
            <w:tcW w:w="748" w:type="dxa"/>
          </w:tcPr>
          <w:p>
            <w:pPr>
              <w:pStyle w:val="TableParagraph"/>
              <w:rPr>
                <w:rFonts w:ascii="Times New Roman"/>
                <w:sz w:val="20"/>
              </w:rPr>
            </w:pPr>
          </w:p>
        </w:tc>
        <w:tc>
          <w:tcPr>
            <w:tcW w:w="316" w:type="dxa"/>
          </w:tcPr>
          <w:p>
            <w:pPr>
              <w:pStyle w:val="TableParagraph"/>
              <w:rPr>
                <w:rFonts w:ascii="Times New Roman"/>
                <w:sz w:val="20"/>
              </w:rPr>
            </w:pPr>
          </w:p>
        </w:tc>
        <w:tc>
          <w:tcPr>
            <w:tcW w:w="316" w:type="dxa"/>
          </w:tcPr>
          <w:p>
            <w:pPr>
              <w:pStyle w:val="TableParagraph"/>
              <w:rPr>
                <w:rFonts w:ascii="Times New Roman"/>
                <w:sz w:val="20"/>
              </w:rPr>
            </w:pPr>
          </w:p>
        </w:tc>
        <w:tc>
          <w:tcPr>
            <w:tcW w:w="319" w:type="dxa"/>
          </w:tcPr>
          <w:p>
            <w:pPr>
              <w:pStyle w:val="TableParagraph"/>
              <w:rPr>
                <w:rFonts w:ascii="Times New Roman"/>
                <w:sz w:val="20"/>
              </w:rPr>
            </w:pPr>
          </w:p>
        </w:tc>
        <w:tc>
          <w:tcPr>
            <w:tcW w:w="748" w:type="dxa"/>
          </w:tcPr>
          <w:p>
            <w:pPr>
              <w:pStyle w:val="TableParagraph"/>
              <w:rPr>
                <w:rFonts w:ascii="Times New Roman"/>
                <w:sz w:val="20"/>
              </w:rPr>
            </w:pPr>
          </w:p>
        </w:tc>
        <w:tc>
          <w:tcPr>
            <w:tcW w:w="602" w:type="dxa"/>
          </w:tcPr>
          <w:p>
            <w:pPr>
              <w:pStyle w:val="TableParagraph"/>
              <w:rPr>
                <w:rFonts w:ascii="Times New Roman"/>
                <w:sz w:val="20"/>
              </w:rPr>
            </w:pPr>
          </w:p>
        </w:tc>
        <w:tc>
          <w:tcPr>
            <w:tcW w:w="602" w:type="dxa"/>
          </w:tcPr>
          <w:p>
            <w:pPr>
              <w:pStyle w:val="TableParagraph"/>
              <w:rPr>
                <w:rFonts w:ascii="Times New Roman"/>
                <w:sz w:val="20"/>
              </w:rPr>
            </w:pPr>
          </w:p>
        </w:tc>
        <w:tc>
          <w:tcPr>
            <w:tcW w:w="317" w:type="dxa"/>
          </w:tcPr>
          <w:p>
            <w:pPr>
              <w:pStyle w:val="TableParagraph"/>
              <w:rPr>
                <w:rFonts w:ascii="Times New Roman"/>
                <w:sz w:val="20"/>
              </w:rPr>
            </w:pPr>
          </w:p>
        </w:tc>
        <w:tc>
          <w:tcPr>
            <w:tcW w:w="691" w:type="dxa"/>
          </w:tcPr>
          <w:p>
            <w:pPr>
              <w:pStyle w:val="TableParagraph"/>
              <w:rPr>
                <w:rFonts w:ascii="Times New Roman"/>
                <w:sz w:val="20"/>
              </w:rPr>
            </w:pPr>
          </w:p>
        </w:tc>
        <w:tc>
          <w:tcPr>
            <w:tcW w:w="317" w:type="dxa"/>
          </w:tcPr>
          <w:p>
            <w:pPr>
              <w:pStyle w:val="TableParagraph"/>
              <w:rPr>
                <w:rFonts w:ascii="Times New Roman"/>
                <w:sz w:val="20"/>
              </w:rPr>
            </w:pPr>
          </w:p>
        </w:tc>
        <w:tc>
          <w:tcPr>
            <w:tcW w:w="751" w:type="dxa"/>
          </w:tcPr>
          <w:p>
            <w:pPr>
              <w:pStyle w:val="TableParagraph"/>
              <w:rPr>
                <w:rFonts w:ascii="Times New Roman"/>
                <w:sz w:val="20"/>
              </w:rPr>
            </w:pPr>
          </w:p>
        </w:tc>
        <w:tc>
          <w:tcPr>
            <w:tcW w:w="317" w:type="dxa"/>
          </w:tcPr>
          <w:p>
            <w:pPr>
              <w:pStyle w:val="TableParagraph"/>
              <w:rPr>
                <w:rFonts w:ascii="Times New Roman"/>
                <w:sz w:val="20"/>
              </w:rPr>
            </w:pPr>
          </w:p>
        </w:tc>
        <w:tc>
          <w:tcPr>
            <w:tcW w:w="810" w:type="dxa"/>
          </w:tcPr>
          <w:p>
            <w:pPr>
              <w:pStyle w:val="TableParagraph"/>
              <w:rPr>
                <w:rFonts w:ascii="Times New Roman"/>
                <w:sz w:val="20"/>
              </w:rPr>
            </w:pPr>
          </w:p>
        </w:tc>
        <w:tc>
          <w:tcPr>
            <w:tcW w:w="603" w:type="dxa"/>
          </w:tcPr>
          <w:p>
            <w:pPr>
              <w:pStyle w:val="TableParagraph"/>
              <w:rPr>
                <w:rFonts w:ascii="Times New Roman"/>
                <w:sz w:val="20"/>
              </w:rPr>
            </w:pPr>
          </w:p>
        </w:tc>
        <w:tc>
          <w:tcPr>
            <w:tcW w:w="809" w:type="dxa"/>
          </w:tcPr>
          <w:p>
            <w:pPr>
              <w:pStyle w:val="TableParagraph"/>
              <w:rPr>
                <w:rFonts w:ascii="Times New Roman"/>
                <w:sz w:val="20"/>
              </w:rPr>
            </w:pPr>
          </w:p>
        </w:tc>
      </w:tr>
    </w:tbl>
    <w:p>
      <w:pPr>
        <w:spacing w:after="0"/>
        <w:rPr>
          <w:rFonts w:ascii="Times New Roman"/>
          <w:sz w:val="20"/>
        </w:rPr>
        <w:sectPr>
          <w:pgSz w:w="11910" w:h="16840"/>
          <w:pgMar w:header="882" w:footer="1172" w:top="1120" w:bottom="136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4"/>
        <w:gridCol w:w="748"/>
        <w:gridCol w:w="316"/>
        <w:gridCol w:w="316"/>
        <w:gridCol w:w="319"/>
        <w:gridCol w:w="748"/>
        <w:gridCol w:w="602"/>
        <w:gridCol w:w="602"/>
        <w:gridCol w:w="317"/>
        <w:gridCol w:w="691"/>
        <w:gridCol w:w="317"/>
        <w:gridCol w:w="751"/>
        <w:gridCol w:w="317"/>
        <w:gridCol w:w="810"/>
        <w:gridCol w:w="603"/>
        <w:gridCol w:w="809"/>
      </w:tblGrid>
      <w:tr>
        <w:trPr>
          <w:trHeight w:val="2335" w:hRule="atLeast"/>
        </w:trPr>
        <w:tc>
          <w:tcPr>
            <w:tcW w:w="554" w:type="dxa"/>
          </w:tcPr>
          <w:p>
            <w:pPr>
              <w:pStyle w:val="TableParagraph"/>
              <w:spacing w:line="242" w:lineRule="auto" w:before="2"/>
              <w:ind w:left="107" w:right="254"/>
              <w:jc w:val="both"/>
              <w:rPr>
                <w:sz w:val="18"/>
              </w:rPr>
            </w:pPr>
            <w:r>
              <w:rPr>
                <w:sz w:val="18"/>
              </w:rPr>
              <w:t>）</w:t>
            </w:r>
            <w:r>
              <w:rPr>
                <w:spacing w:val="-88"/>
                <w:sz w:val="18"/>
              </w:rPr>
              <w:t> </w:t>
            </w:r>
            <w:r>
              <w:rPr>
                <w:sz w:val="18"/>
              </w:rPr>
              <w:t>所有者权益内部</w:t>
            </w:r>
          </w:p>
          <w:p>
            <w:pPr>
              <w:pStyle w:val="TableParagraph"/>
              <w:spacing w:line="230" w:lineRule="atLeast"/>
              <w:ind w:left="107" w:right="164"/>
              <w:rPr>
                <w:sz w:val="18"/>
              </w:rPr>
            </w:pPr>
            <w:r>
              <w:rPr>
                <w:sz w:val="18"/>
              </w:rPr>
              <w:t>结转 </w:t>
            </w:r>
          </w:p>
        </w:tc>
        <w:tc>
          <w:tcPr>
            <w:tcW w:w="748" w:type="dxa"/>
          </w:tcPr>
          <w:p>
            <w:pPr>
              <w:pStyle w:val="TableParagraph"/>
              <w:rPr>
                <w:rFonts w:ascii="Times New Roman"/>
                <w:sz w:val="18"/>
              </w:rPr>
            </w:pPr>
          </w:p>
        </w:tc>
        <w:tc>
          <w:tcPr>
            <w:tcW w:w="316" w:type="dxa"/>
          </w:tcPr>
          <w:p>
            <w:pPr>
              <w:pStyle w:val="TableParagraph"/>
              <w:rPr>
                <w:rFonts w:ascii="Times New Roman"/>
                <w:sz w:val="18"/>
              </w:rPr>
            </w:pPr>
          </w:p>
        </w:tc>
        <w:tc>
          <w:tcPr>
            <w:tcW w:w="316" w:type="dxa"/>
          </w:tcPr>
          <w:p>
            <w:pPr>
              <w:pStyle w:val="TableParagraph"/>
              <w:rPr>
                <w:rFonts w:ascii="Times New Roman"/>
                <w:sz w:val="18"/>
              </w:rPr>
            </w:pPr>
          </w:p>
        </w:tc>
        <w:tc>
          <w:tcPr>
            <w:tcW w:w="319" w:type="dxa"/>
          </w:tcPr>
          <w:p>
            <w:pPr>
              <w:pStyle w:val="TableParagraph"/>
              <w:rPr>
                <w:rFonts w:ascii="Times New Roman"/>
                <w:sz w:val="18"/>
              </w:rPr>
            </w:pPr>
          </w:p>
        </w:tc>
        <w:tc>
          <w:tcPr>
            <w:tcW w:w="748" w:type="dxa"/>
          </w:tcPr>
          <w:p>
            <w:pPr>
              <w:pStyle w:val="TableParagraph"/>
              <w:rPr>
                <w:rFonts w:ascii="Times New Roman"/>
                <w:sz w:val="18"/>
              </w:rPr>
            </w:pPr>
          </w:p>
        </w:tc>
        <w:tc>
          <w:tcPr>
            <w:tcW w:w="602" w:type="dxa"/>
          </w:tcPr>
          <w:p>
            <w:pPr>
              <w:pStyle w:val="TableParagraph"/>
              <w:rPr>
                <w:rFonts w:ascii="Times New Roman"/>
                <w:sz w:val="18"/>
              </w:rPr>
            </w:pPr>
          </w:p>
        </w:tc>
        <w:tc>
          <w:tcPr>
            <w:tcW w:w="602" w:type="dxa"/>
          </w:tcPr>
          <w:p>
            <w:pPr>
              <w:pStyle w:val="TableParagraph"/>
              <w:rPr>
                <w:rFonts w:ascii="Times New Roman"/>
                <w:sz w:val="18"/>
              </w:rPr>
            </w:pPr>
          </w:p>
        </w:tc>
        <w:tc>
          <w:tcPr>
            <w:tcW w:w="317" w:type="dxa"/>
          </w:tcPr>
          <w:p>
            <w:pPr>
              <w:pStyle w:val="TableParagraph"/>
              <w:rPr>
                <w:rFonts w:ascii="Times New Roman"/>
                <w:sz w:val="18"/>
              </w:rPr>
            </w:pPr>
          </w:p>
        </w:tc>
        <w:tc>
          <w:tcPr>
            <w:tcW w:w="691" w:type="dxa"/>
          </w:tcPr>
          <w:p>
            <w:pPr>
              <w:pStyle w:val="TableParagraph"/>
              <w:rPr>
                <w:rFonts w:ascii="Times New Roman"/>
                <w:sz w:val="18"/>
              </w:rPr>
            </w:pPr>
          </w:p>
        </w:tc>
        <w:tc>
          <w:tcPr>
            <w:tcW w:w="317" w:type="dxa"/>
          </w:tcPr>
          <w:p>
            <w:pPr>
              <w:pStyle w:val="TableParagraph"/>
              <w:rPr>
                <w:rFonts w:ascii="Times New Roman"/>
                <w:sz w:val="18"/>
              </w:rPr>
            </w:pPr>
          </w:p>
        </w:tc>
        <w:tc>
          <w:tcPr>
            <w:tcW w:w="751" w:type="dxa"/>
          </w:tcPr>
          <w:p>
            <w:pPr>
              <w:pStyle w:val="TableParagraph"/>
              <w:rPr>
                <w:rFonts w:ascii="Times New Roman"/>
                <w:sz w:val="18"/>
              </w:rPr>
            </w:pPr>
          </w:p>
        </w:tc>
        <w:tc>
          <w:tcPr>
            <w:tcW w:w="317" w:type="dxa"/>
          </w:tcPr>
          <w:p>
            <w:pPr>
              <w:pStyle w:val="TableParagraph"/>
              <w:rPr>
                <w:rFonts w:ascii="Times New Roman"/>
                <w:sz w:val="18"/>
              </w:rPr>
            </w:pPr>
          </w:p>
        </w:tc>
        <w:tc>
          <w:tcPr>
            <w:tcW w:w="810" w:type="dxa"/>
          </w:tcPr>
          <w:p>
            <w:pPr>
              <w:pStyle w:val="TableParagraph"/>
              <w:rPr>
                <w:rFonts w:ascii="Times New Roman"/>
                <w:sz w:val="18"/>
              </w:rPr>
            </w:pPr>
          </w:p>
        </w:tc>
        <w:tc>
          <w:tcPr>
            <w:tcW w:w="603" w:type="dxa"/>
          </w:tcPr>
          <w:p>
            <w:pPr>
              <w:pStyle w:val="TableParagraph"/>
              <w:rPr>
                <w:rFonts w:ascii="Times New Roman"/>
                <w:sz w:val="18"/>
              </w:rPr>
            </w:pPr>
          </w:p>
        </w:tc>
        <w:tc>
          <w:tcPr>
            <w:tcW w:w="809" w:type="dxa"/>
          </w:tcPr>
          <w:p>
            <w:pPr>
              <w:pStyle w:val="TableParagraph"/>
              <w:rPr>
                <w:rFonts w:ascii="Times New Roman"/>
                <w:sz w:val="18"/>
              </w:rPr>
            </w:pPr>
          </w:p>
        </w:tc>
      </w:tr>
      <w:tr>
        <w:trPr>
          <w:trHeight w:val="3268" w:hRule="atLeast"/>
        </w:trPr>
        <w:tc>
          <w:tcPr>
            <w:tcW w:w="554" w:type="dxa"/>
          </w:tcPr>
          <w:p>
            <w:pPr>
              <w:pStyle w:val="TableParagraph"/>
              <w:spacing w:line="242" w:lineRule="auto"/>
              <w:ind w:left="107" w:right="163"/>
              <w:rPr>
                <w:sz w:val="18"/>
              </w:rPr>
            </w:pPr>
            <w:r>
              <w:rPr>
                <w:sz w:val="18"/>
              </w:rPr>
              <w:t>1．</w:t>
            </w:r>
            <w:r>
              <w:rPr>
                <w:spacing w:val="-87"/>
                <w:sz w:val="18"/>
              </w:rPr>
              <w:t> </w:t>
            </w:r>
            <w:r>
              <w:rPr>
                <w:sz w:val="18"/>
              </w:rPr>
              <w:t>资本公积转增资本</w:t>
            </w:r>
          </w:p>
          <w:p>
            <w:pPr>
              <w:pStyle w:val="TableParagraph"/>
              <w:spacing w:line="242" w:lineRule="auto" w:before="6"/>
              <w:ind w:left="107" w:right="254"/>
              <w:jc w:val="both"/>
              <w:rPr>
                <w:sz w:val="18"/>
              </w:rPr>
            </w:pPr>
            <w:r>
              <w:rPr>
                <w:sz w:val="18"/>
              </w:rPr>
              <w:t>（</w:t>
            </w:r>
            <w:r>
              <w:rPr>
                <w:spacing w:val="-88"/>
                <w:sz w:val="18"/>
              </w:rPr>
              <w:t> </w:t>
            </w:r>
            <w:r>
              <w:rPr>
                <w:sz w:val="18"/>
              </w:rPr>
              <w:t>或股本</w:t>
            </w:r>
          </w:p>
          <w:p>
            <w:pPr>
              <w:pStyle w:val="TableParagraph"/>
              <w:spacing w:line="213" w:lineRule="exact" w:before="2"/>
              <w:ind w:left="107"/>
              <w:rPr>
                <w:sz w:val="18"/>
              </w:rPr>
            </w:pPr>
            <w:r>
              <w:rPr>
                <w:sz w:val="18"/>
              </w:rPr>
              <w:t>） </w:t>
            </w:r>
          </w:p>
        </w:tc>
        <w:tc>
          <w:tcPr>
            <w:tcW w:w="748" w:type="dxa"/>
          </w:tcPr>
          <w:p>
            <w:pPr>
              <w:pStyle w:val="TableParagraph"/>
              <w:rPr>
                <w:rFonts w:ascii="Times New Roman"/>
                <w:sz w:val="18"/>
              </w:rPr>
            </w:pPr>
          </w:p>
        </w:tc>
        <w:tc>
          <w:tcPr>
            <w:tcW w:w="316" w:type="dxa"/>
          </w:tcPr>
          <w:p>
            <w:pPr>
              <w:pStyle w:val="TableParagraph"/>
              <w:rPr>
                <w:rFonts w:ascii="Times New Roman"/>
                <w:sz w:val="18"/>
              </w:rPr>
            </w:pPr>
          </w:p>
        </w:tc>
        <w:tc>
          <w:tcPr>
            <w:tcW w:w="316" w:type="dxa"/>
          </w:tcPr>
          <w:p>
            <w:pPr>
              <w:pStyle w:val="TableParagraph"/>
              <w:rPr>
                <w:rFonts w:ascii="Times New Roman"/>
                <w:sz w:val="18"/>
              </w:rPr>
            </w:pPr>
          </w:p>
        </w:tc>
        <w:tc>
          <w:tcPr>
            <w:tcW w:w="319" w:type="dxa"/>
          </w:tcPr>
          <w:p>
            <w:pPr>
              <w:pStyle w:val="TableParagraph"/>
              <w:rPr>
                <w:rFonts w:ascii="Times New Roman"/>
                <w:sz w:val="18"/>
              </w:rPr>
            </w:pPr>
          </w:p>
        </w:tc>
        <w:tc>
          <w:tcPr>
            <w:tcW w:w="748" w:type="dxa"/>
          </w:tcPr>
          <w:p>
            <w:pPr>
              <w:pStyle w:val="TableParagraph"/>
              <w:rPr>
                <w:rFonts w:ascii="Times New Roman"/>
                <w:sz w:val="18"/>
              </w:rPr>
            </w:pPr>
          </w:p>
        </w:tc>
        <w:tc>
          <w:tcPr>
            <w:tcW w:w="602" w:type="dxa"/>
          </w:tcPr>
          <w:p>
            <w:pPr>
              <w:pStyle w:val="TableParagraph"/>
              <w:rPr>
                <w:rFonts w:ascii="Times New Roman"/>
                <w:sz w:val="18"/>
              </w:rPr>
            </w:pPr>
          </w:p>
        </w:tc>
        <w:tc>
          <w:tcPr>
            <w:tcW w:w="602" w:type="dxa"/>
          </w:tcPr>
          <w:p>
            <w:pPr>
              <w:pStyle w:val="TableParagraph"/>
              <w:rPr>
                <w:rFonts w:ascii="Times New Roman"/>
                <w:sz w:val="18"/>
              </w:rPr>
            </w:pPr>
          </w:p>
        </w:tc>
        <w:tc>
          <w:tcPr>
            <w:tcW w:w="317" w:type="dxa"/>
          </w:tcPr>
          <w:p>
            <w:pPr>
              <w:pStyle w:val="TableParagraph"/>
              <w:rPr>
                <w:rFonts w:ascii="Times New Roman"/>
                <w:sz w:val="18"/>
              </w:rPr>
            </w:pPr>
          </w:p>
        </w:tc>
        <w:tc>
          <w:tcPr>
            <w:tcW w:w="691" w:type="dxa"/>
          </w:tcPr>
          <w:p>
            <w:pPr>
              <w:pStyle w:val="TableParagraph"/>
              <w:rPr>
                <w:rFonts w:ascii="Times New Roman"/>
                <w:sz w:val="18"/>
              </w:rPr>
            </w:pPr>
          </w:p>
        </w:tc>
        <w:tc>
          <w:tcPr>
            <w:tcW w:w="317" w:type="dxa"/>
          </w:tcPr>
          <w:p>
            <w:pPr>
              <w:pStyle w:val="TableParagraph"/>
              <w:rPr>
                <w:rFonts w:ascii="Times New Roman"/>
                <w:sz w:val="18"/>
              </w:rPr>
            </w:pPr>
          </w:p>
        </w:tc>
        <w:tc>
          <w:tcPr>
            <w:tcW w:w="751" w:type="dxa"/>
          </w:tcPr>
          <w:p>
            <w:pPr>
              <w:pStyle w:val="TableParagraph"/>
              <w:rPr>
                <w:rFonts w:ascii="Times New Roman"/>
                <w:sz w:val="18"/>
              </w:rPr>
            </w:pPr>
          </w:p>
        </w:tc>
        <w:tc>
          <w:tcPr>
            <w:tcW w:w="317" w:type="dxa"/>
          </w:tcPr>
          <w:p>
            <w:pPr>
              <w:pStyle w:val="TableParagraph"/>
              <w:rPr>
                <w:rFonts w:ascii="Times New Roman"/>
                <w:sz w:val="18"/>
              </w:rPr>
            </w:pPr>
          </w:p>
        </w:tc>
        <w:tc>
          <w:tcPr>
            <w:tcW w:w="810" w:type="dxa"/>
          </w:tcPr>
          <w:p>
            <w:pPr>
              <w:pStyle w:val="TableParagraph"/>
              <w:rPr>
                <w:rFonts w:ascii="Times New Roman"/>
                <w:sz w:val="18"/>
              </w:rPr>
            </w:pPr>
          </w:p>
        </w:tc>
        <w:tc>
          <w:tcPr>
            <w:tcW w:w="603" w:type="dxa"/>
          </w:tcPr>
          <w:p>
            <w:pPr>
              <w:pStyle w:val="TableParagraph"/>
              <w:rPr>
                <w:rFonts w:ascii="Times New Roman"/>
                <w:sz w:val="18"/>
              </w:rPr>
            </w:pPr>
          </w:p>
        </w:tc>
        <w:tc>
          <w:tcPr>
            <w:tcW w:w="809" w:type="dxa"/>
          </w:tcPr>
          <w:p>
            <w:pPr>
              <w:pStyle w:val="TableParagraph"/>
              <w:rPr>
                <w:rFonts w:ascii="Times New Roman"/>
                <w:sz w:val="18"/>
              </w:rPr>
            </w:pPr>
          </w:p>
        </w:tc>
      </w:tr>
      <w:tr>
        <w:trPr>
          <w:trHeight w:val="3268" w:hRule="atLeast"/>
        </w:trPr>
        <w:tc>
          <w:tcPr>
            <w:tcW w:w="554" w:type="dxa"/>
          </w:tcPr>
          <w:p>
            <w:pPr>
              <w:pStyle w:val="TableParagraph"/>
              <w:spacing w:line="242" w:lineRule="auto"/>
              <w:ind w:left="107" w:right="163"/>
              <w:rPr>
                <w:sz w:val="18"/>
              </w:rPr>
            </w:pPr>
            <w:r>
              <w:rPr>
                <w:sz w:val="18"/>
              </w:rPr>
              <w:t>2．</w:t>
            </w:r>
            <w:r>
              <w:rPr>
                <w:spacing w:val="-87"/>
                <w:sz w:val="18"/>
              </w:rPr>
              <w:t> </w:t>
            </w:r>
            <w:r>
              <w:rPr>
                <w:sz w:val="18"/>
              </w:rPr>
              <w:t>盈余公积转增资本</w:t>
            </w:r>
          </w:p>
          <w:p>
            <w:pPr>
              <w:pStyle w:val="TableParagraph"/>
              <w:spacing w:line="242" w:lineRule="auto" w:before="6"/>
              <w:ind w:left="107" w:right="254"/>
              <w:jc w:val="both"/>
              <w:rPr>
                <w:sz w:val="18"/>
              </w:rPr>
            </w:pPr>
            <w:r>
              <w:rPr>
                <w:sz w:val="18"/>
              </w:rPr>
              <w:t>（</w:t>
            </w:r>
            <w:r>
              <w:rPr>
                <w:spacing w:val="-88"/>
                <w:sz w:val="18"/>
              </w:rPr>
              <w:t> </w:t>
            </w:r>
            <w:r>
              <w:rPr>
                <w:sz w:val="18"/>
              </w:rPr>
              <w:t>或股本</w:t>
            </w:r>
          </w:p>
          <w:p>
            <w:pPr>
              <w:pStyle w:val="TableParagraph"/>
              <w:spacing w:line="213" w:lineRule="exact" w:before="2"/>
              <w:ind w:left="107"/>
              <w:rPr>
                <w:sz w:val="18"/>
              </w:rPr>
            </w:pPr>
            <w:r>
              <w:rPr>
                <w:sz w:val="18"/>
              </w:rPr>
              <w:t>） </w:t>
            </w:r>
          </w:p>
        </w:tc>
        <w:tc>
          <w:tcPr>
            <w:tcW w:w="748" w:type="dxa"/>
          </w:tcPr>
          <w:p>
            <w:pPr>
              <w:pStyle w:val="TableParagraph"/>
              <w:rPr>
                <w:rFonts w:ascii="Times New Roman"/>
                <w:sz w:val="18"/>
              </w:rPr>
            </w:pPr>
          </w:p>
        </w:tc>
        <w:tc>
          <w:tcPr>
            <w:tcW w:w="316" w:type="dxa"/>
          </w:tcPr>
          <w:p>
            <w:pPr>
              <w:pStyle w:val="TableParagraph"/>
              <w:rPr>
                <w:rFonts w:ascii="Times New Roman"/>
                <w:sz w:val="18"/>
              </w:rPr>
            </w:pPr>
          </w:p>
        </w:tc>
        <w:tc>
          <w:tcPr>
            <w:tcW w:w="316" w:type="dxa"/>
          </w:tcPr>
          <w:p>
            <w:pPr>
              <w:pStyle w:val="TableParagraph"/>
              <w:rPr>
                <w:rFonts w:ascii="Times New Roman"/>
                <w:sz w:val="18"/>
              </w:rPr>
            </w:pPr>
          </w:p>
        </w:tc>
        <w:tc>
          <w:tcPr>
            <w:tcW w:w="319" w:type="dxa"/>
          </w:tcPr>
          <w:p>
            <w:pPr>
              <w:pStyle w:val="TableParagraph"/>
              <w:rPr>
                <w:rFonts w:ascii="Times New Roman"/>
                <w:sz w:val="18"/>
              </w:rPr>
            </w:pPr>
          </w:p>
        </w:tc>
        <w:tc>
          <w:tcPr>
            <w:tcW w:w="748" w:type="dxa"/>
          </w:tcPr>
          <w:p>
            <w:pPr>
              <w:pStyle w:val="TableParagraph"/>
              <w:rPr>
                <w:rFonts w:ascii="Times New Roman"/>
                <w:sz w:val="18"/>
              </w:rPr>
            </w:pPr>
          </w:p>
        </w:tc>
        <w:tc>
          <w:tcPr>
            <w:tcW w:w="602" w:type="dxa"/>
          </w:tcPr>
          <w:p>
            <w:pPr>
              <w:pStyle w:val="TableParagraph"/>
              <w:rPr>
                <w:rFonts w:ascii="Times New Roman"/>
                <w:sz w:val="18"/>
              </w:rPr>
            </w:pPr>
          </w:p>
        </w:tc>
        <w:tc>
          <w:tcPr>
            <w:tcW w:w="602" w:type="dxa"/>
          </w:tcPr>
          <w:p>
            <w:pPr>
              <w:pStyle w:val="TableParagraph"/>
              <w:rPr>
                <w:rFonts w:ascii="Times New Roman"/>
                <w:sz w:val="18"/>
              </w:rPr>
            </w:pPr>
          </w:p>
        </w:tc>
        <w:tc>
          <w:tcPr>
            <w:tcW w:w="317" w:type="dxa"/>
          </w:tcPr>
          <w:p>
            <w:pPr>
              <w:pStyle w:val="TableParagraph"/>
              <w:rPr>
                <w:rFonts w:ascii="Times New Roman"/>
                <w:sz w:val="18"/>
              </w:rPr>
            </w:pPr>
          </w:p>
        </w:tc>
        <w:tc>
          <w:tcPr>
            <w:tcW w:w="691" w:type="dxa"/>
          </w:tcPr>
          <w:p>
            <w:pPr>
              <w:pStyle w:val="TableParagraph"/>
              <w:rPr>
                <w:rFonts w:ascii="Times New Roman"/>
                <w:sz w:val="18"/>
              </w:rPr>
            </w:pPr>
          </w:p>
        </w:tc>
        <w:tc>
          <w:tcPr>
            <w:tcW w:w="317" w:type="dxa"/>
          </w:tcPr>
          <w:p>
            <w:pPr>
              <w:pStyle w:val="TableParagraph"/>
              <w:rPr>
                <w:rFonts w:ascii="Times New Roman"/>
                <w:sz w:val="18"/>
              </w:rPr>
            </w:pPr>
          </w:p>
        </w:tc>
        <w:tc>
          <w:tcPr>
            <w:tcW w:w="751" w:type="dxa"/>
          </w:tcPr>
          <w:p>
            <w:pPr>
              <w:pStyle w:val="TableParagraph"/>
              <w:rPr>
                <w:rFonts w:ascii="Times New Roman"/>
                <w:sz w:val="18"/>
              </w:rPr>
            </w:pPr>
          </w:p>
        </w:tc>
        <w:tc>
          <w:tcPr>
            <w:tcW w:w="317" w:type="dxa"/>
          </w:tcPr>
          <w:p>
            <w:pPr>
              <w:pStyle w:val="TableParagraph"/>
              <w:rPr>
                <w:rFonts w:ascii="Times New Roman"/>
                <w:sz w:val="18"/>
              </w:rPr>
            </w:pPr>
          </w:p>
        </w:tc>
        <w:tc>
          <w:tcPr>
            <w:tcW w:w="810" w:type="dxa"/>
          </w:tcPr>
          <w:p>
            <w:pPr>
              <w:pStyle w:val="TableParagraph"/>
              <w:rPr>
                <w:rFonts w:ascii="Times New Roman"/>
                <w:sz w:val="18"/>
              </w:rPr>
            </w:pPr>
          </w:p>
        </w:tc>
        <w:tc>
          <w:tcPr>
            <w:tcW w:w="603" w:type="dxa"/>
          </w:tcPr>
          <w:p>
            <w:pPr>
              <w:pStyle w:val="TableParagraph"/>
              <w:rPr>
                <w:rFonts w:ascii="Times New Roman"/>
                <w:sz w:val="18"/>
              </w:rPr>
            </w:pPr>
          </w:p>
        </w:tc>
        <w:tc>
          <w:tcPr>
            <w:tcW w:w="809" w:type="dxa"/>
          </w:tcPr>
          <w:p>
            <w:pPr>
              <w:pStyle w:val="TableParagraph"/>
              <w:rPr>
                <w:rFonts w:ascii="Times New Roman"/>
                <w:sz w:val="18"/>
              </w:rPr>
            </w:pPr>
          </w:p>
        </w:tc>
      </w:tr>
      <w:tr>
        <w:trPr>
          <w:trHeight w:val="2102" w:hRule="atLeast"/>
        </w:trPr>
        <w:tc>
          <w:tcPr>
            <w:tcW w:w="554" w:type="dxa"/>
          </w:tcPr>
          <w:p>
            <w:pPr>
              <w:pStyle w:val="TableParagraph"/>
              <w:spacing w:line="242" w:lineRule="auto"/>
              <w:ind w:left="107" w:right="163"/>
              <w:rPr>
                <w:sz w:val="18"/>
              </w:rPr>
            </w:pPr>
            <w:r>
              <w:rPr>
                <w:sz w:val="18"/>
              </w:rPr>
              <w:t>3．</w:t>
            </w:r>
            <w:r>
              <w:rPr>
                <w:spacing w:val="-87"/>
                <w:sz w:val="18"/>
              </w:rPr>
              <w:t> </w:t>
            </w:r>
            <w:r>
              <w:rPr>
                <w:sz w:val="18"/>
              </w:rPr>
              <w:t>盈余公积弥补亏</w:t>
            </w:r>
          </w:p>
          <w:p>
            <w:pPr>
              <w:pStyle w:val="TableParagraph"/>
              <w:spacing w:line="215" w:lineRule="exact" w:before="4"/>
              <w:ind w:left="107"/>
              <w:rPr>
                <w:sz w:val="18"/>
              </w:rPr>
            </w:pPr>
            <w:r>
              <w:rPr>
                <w:sz w:val="18"/>
              </w:rPr>
              <w:t>损 </w:t>
            </w:r>
          </w:p>
        </w:tc>
        <w:tc>
          <w:tcPr>
            <w:tcW w:w="748" w:type="dxa"/>
          </w:tcPr>
          <w:p>
            <w:pPr>
              <w:pStyle w:val="TableParagraph"/>
              <w:rPr>
                <w:rFonts w:ascii="Times New Roman"/>
                <w:sz w:val="18"/>
              </w:rPr>
            </w:pPr>
          </w:p>
        </w:tc>
        <w:tc>
          <w:tcPr>
            <w:tcW w:w="316" w:type="dxa"/>
          </w:tcPr>
          <w:p>
            <w:pPr>
              <w:pStyle w:val="TableParagraph"/>
              <w:rPr>
                <w:rFonts w:ascii="Times New Roman"/>
                <w:sz w:val="18"/>
              </w:rPr>
            </w:pPr>
          </w:p>
        </w:tc>
        <w:tc>
          <w:tcPr>
            <w:tcW w:w="316" w:type="dxa"/>
          </w:tcPr>
          <w:p>
            <w:pPr>
              <w:pStyle w:val="TableParagraph"/>
              <w:rPr>
                <w:rFonts w:ascii="Times New Roman"/>
                <w:sz w:val="18"/>
              </w:rPr>
            </w:pPr>
          </w:p>
        </w:tc>
        <w:tc>
          <w:tcPr>
            <w:tcW w:w="319" w:type="dxa"/>
          </w:tcPr>
          <w:p>
            <w:pPr>
              <w:pStyle w:val="TableParagraph"/>
              <w:rPr>
                <w:rFonts w:ascii="Times New Roman"/>
                <w:sz w:val="18"/>
              </w:rPr>
            </w:pPr>
          </w:p>
        </w:tc>
        <w:tc>
          <w:tcPr>
            <w:tcW w:w="748" w:type="dxa"/>
          </w:tcPr>
          <w:p>
            <w:pPr>
              <w:pStyle w:val="TableParagraph"/>
              <w:rPr>
                <w:rFonts w:ascii="Times New Roman"/>
                <w:sz w:val="18"/>
              </w:rPr>
            </w:pPr>
          </w:p>
        </w:tc>
        <w:tc>
          <w:tcPr>
            <w:tcW w:w="602" w:type="dxa"/>
          </w:tcPr>
          <w:p>
            <w:pPr>
              <w:pStyle w:val="TableParagraph"/>
              <w:rPr>
                <w:rFonts w:ascii="Times New Roman"/>
                <w:sz w:val="18"/>
              </w:rPr>
            </w:pPr>
          </w:p>
        </w:tc>
        <w:tc>
          <w:tcPr>
            <w:tcW w:w="602" w:type="dxa"/>
          </w:tcPr>
          <w:p>
            <w:pPr>
              <w:pStyle w:val="TableParagraph"/>
              <w:rPr>
                <w:rFonts w:ascii="Times New Roman"/>
                <w:sz w:val="18"/>
              </w:rPr>
            </w:pPr>
          </w:p>
        </w:tc>
        <w:tc>
          <w:tcPr>
            <w:tcW w:w="317" w:type="dxa"/>
          </w:tcPr>
          <w:p>
            <w:pPr>
              <w:pStyle w:val="TableParagraph"/>
              <w:rPr>
                <w:rFonts w:ascii="Times New Roman"/>
                <w:sz w:val="18"/>
              </w:rPr>
            </w:pPr>
          </w:p>
        </w:tc>
        <w:tc>
          <w:tcPr>
            <w:tcW w:w="691" w:type="dxa"/>
          </w:tcPr>
          <w:p>
            <w:pPr>
              <w:pStyle w:val="TableParagraph"/>
              <w:rPr>
                <w:rFonts w:ascii="Times New Roman"/>
                <w:sz w:val="18"/>
              </w:rPr>
            </w:pPr>
          </w:p>
        </w:tc>
        <w:tc>
          <w:tcPr>
            <w:tcW w:w="317" w:type="dxa"/>
          </w:tcPr>
          <w:p>
            <w:pPr>
              <w:pStyle w:val="TableParagraph"/>
              <w:rPr>
                <w:rFonts w:ascii="Times New Roman"/>
                <w:sz w:val="18"/>
              </w:rPr>
            </w:pPr>
          </w:p>
        </w:tc>
        <w:tc>
          <w:tcPr>
            <w:tcW w:w="751" w:type="dxa"/>
          </w:tcPr>
          <w:p>
            <w:pPr>
              <w:pStyle w:val="TableParagraph"/>
              <w:rPr>
                <w:rFonts w:ascii="Times New Roman"/>
                <w:sz w:val="18"/>
              </w:rPr>
            </w:pPr>
          </w:p>
        </w:tc>
        <w:tc>
          <w:tcPr>
            <w:tcW w:w="317" w:type="dxa"/>
          </w:tcPr>
          <w:p>
            <w:pPr>
              <w:pStyle w:val="TableParagraph"/>
              <w:rPr>
                <w:rFonts w:ascii="Times New Roman"/>
                <w:sz w:val="18"/>
              </w:rPr>
            </w:pPr>
          </w:p>
        </w:tc>
        <w:tc>
          <w:tcPr>
            <w:tcW w:w="810" w:type="dxa"/>
          </w:tcPr>
          <w:p>
            <w:pPr>
              <w:pStyle w:val="TableParagraph"/>
              <w:rPr>
                <w:rFonts w:ascii="Times New Roman"/>
                <w:sz w:val="18"/>
              </w:rPr>
            </w:pPr>
          </w:p>
        </w:tc>
        <w:tc>
          <w:tcPr>
            <w:tcW w:w="603" w:type="dxa"/>
          </w:tcPr>
          <w:p>
            <w:pPr>
              <w:pStyle w:val="TableParagraph"/>
              <w:rPr>
                <w:rFonts w:ascii="Times New Roman"/>
                <w:sz w:val="18"/>
              </w:rPr>
            </w:pPr>
          </w:p>
        </w:tc>
        <w:tc>
          <w:tcPr>
            <w:tcW w:w="809" w:type="dxa"/>
          </w:tcPr>
          <w:p>
            <w:pPr>
              <w:pStyle w:val="TableParagraph"/>
              <w:rPr>
                <w:rFonts w:ascii="Times New Roman"/>
                <w:sz w:val="18"/>
              </w:rPr>
            </w:pPr>
          </w:p>
        </w:tc>
      </w:tr>
      <w:tr>
        <w:trPr>
          <w:trHeight w:val="2800" w:hRule="atLeast"/>
        </w:trPr>
        <w:tc>
          <w:tcPr>
            <w:tcW w:w="554" w:type="dxa"/>
          </w:tcPr>
          <w:p>
            <w:pPr>
              <w:pStyle w:val="TableParagraph"/>
              <w:spacing w:line="242" w:lineRule="auto"/>
              <w:ind w:left="107" w:right="163"/>
              <w:rPr>
                <w:sz w:val="18"/>
              </w:rPr>
            </w:pPr>
            <w:r>
              <w:rPr>
                <w:sz w:val="18"/>
              </w:rPr>
              <w:t>4．</w:t>
            </w:r>
            <w:r>
              <w:rPr>
                <w:spacing w:val="-87"/>
                <w:sz w:val="18"/>
              </w:rPr>
              <w:t> </w:t>
            </w:r>
            <w:r>
              <w:rPr>
                <w:sz w:val="18"/>
              </w:rPr>
              <w:t>设定受益计划变动额结</w:t>
            </w:r>
          </w:p>
          <w:p>
            <w:pPr>
              <w:pStyle w:val="TableParagraph"/>
              <w:spacing w:line="213" w:lineRule="exact" w:before="5"/>
              <w:ind w:left="107"/>
              <w:rPr>
                <w:sz w:val="18"/>
              </w:rPr>
            </w:pPr>
            <w:r>
              <w:rPr>
                <w:sz w:val="18"/>
              </w:rPr>
              <w:t>转</w:t>
            </w:r>
          </w:p>
        </w:tc>
        <w:tc>
          <w:tcPr>
            <w:tcW w:w="748" w:type="dxa"/>
          </w:tcPr>
          <w:p>
            <w:pPr>
              <w:pStyle w:val="TableParagraph"/>
              <w:rPr>
                <w:rFonts w:ascii="Times New Roman"/>
                <w:sz w:val="18"/>
              </w:rPr>
            </w:pPr>
          </w:p>
        </w:tc>
        <w:tc>
          <w:tcPr>
            <w:tcW w:w="316" w:type="dxa"/>
          </w:tcPr>
          <w:p>
            <w:pPr>
              <w:pStyle w:val="TableParagraph"/>
              <w:rPr>
                <w:rFonts w:ascii="Times New Roman"/>
                <w:sz w:val="18"/>
              </w:rPr>
            </w:pPr>
          </w:p>
        </w:tc>
        <w:tc>
          <w:tcPr>
            <w:tcW w:w="316" w:type="dxa"/>
          </w:tcPr>
          <w:p>
            <w:pPr>
              <w:pStyle w:val="TableParagraph"/>
              <w:rPr>
                <w:rFonts w:ascii="Times New Roman"/>
                <w:sz w:val="18"/>
              </w:rPr>
            </w:pPr>
          </w:p>
        </w:tc>
        <w:tc>
          <w:tcPr>
            <w:tcW w:w="319" w:type="dxa"/>
          </w:tcPr>
          <w:p>
            <w:pPr>
              <w:pStyle w:val="TableParagraph"/>
              <w:rPr>
                <w:rFonts w:ascii="Times New Roman"/>
                <w:sz w:val="18"/>
              </w:rPr>
            </w:pPr>
          </w:p>
        </w:tc>
        <w:tc>
          <w:tcPr>
            <w:tcW w:w="748" w:type="dxa"/>
          </w:tcPr>
          <w:p>
            <w:pPr>
              <w:pStyle w:val="TableParagraph"/>
              <w:rPr>
                <w:rFonts w:ascii="Times New Roman"/>
                <w:sz w:val="18"/>
              </w:rPr>
            </w:pPr>
          </w:p>
        </w:tc>
        <w:tc>
          <w:tcPr>
            <w:tcW w:w="602" w:type="dxa"/>
          </w:tcPr>
          <w:p>
            <w:pPr>
              <w:pStyle w:val="TableParagraph"/>
              <w:rPr>
                <w:rFonts w:ascii="Times New Roman"/>
                <w:sz w:val="18"/>
              </w:rPr>
            </w:pPr>
          </w:p>
        </w:tc>
        <w:tc>
          <w:tcPr>
            <w:tcW w:w="602" w:type="dxa"/>
          </w:tcPr>
          <w:p>
            <w:pPr>
              <w:pStyle w:val="TableParagraph"/>
              <w:rPr>
                <w:rFonts w:ascii="Times New Roman"/>
                <w:sz w:val="18"/>
              </w:rPr>
            </w:pPr>
          </w:p>
        </w:tc>
        <w:tc>
          <w:tcPr>
            <w:tcW w:w="317" w:type="dxa"/>
          </w:tcPr>
          <w:p>
            <w:pPr>
              <w:pStyle w:val="TableParagraph"/>
              <w:rPr>
                <w:rFonts w:ascii="Times New Roman"/>
                <w:sz w:val="18"/>
              </w:rPr>
            </w:pPr>
          </w:p>
        </w:tc>
        <w:tc>
          <w:tcPr>
            <w:tcW w:w="691" w:type="dxa"/>
          </w:tcPr>
          <w:p>
            <w:pPr>
              <w:pStyle w:val="TableParagraph"/>
              <w:rPr>
                <w:rFonts w:ascii="Times New Roman"/>
                <w:sz w:val="18"/>
              </w:rPr>
            </w:pPr>
          </w:p>
        </w:tc>
        <w:tc>
          <w:tcPr>
            <w:tcW w:w="317" w:type="dxa"/>
          </w:tcPr>
          <w:p>
            <w:pPr>
              <w:pStyle w:val="TableParagraph"/>
              <w:rPr>
                <w:rFonts w:ascii="Times New Roman"/>
                <w:sz w:val="18"/>
              </w:rPr>
            </w:pPr>
          </w:p>
        </w:tc>
        <w:tc>
          <w:tcPr>
            <w:tcW w:w="751" w:type="dxa"/>
          </w:tcPr>
          <w:p>
            <w:pPr>
              <w:pStyle w:val="TableParagraph"/>
              <w:rPr>
                <w:rFonts w:ascii="Times New Roman"/>
                <w:sz w:val="18"/>
              </w:rPr>
            </w:pPr>
          </w:p>
        </w:tc>
        <w:tc>
          <w:tcPr>
            <w:tcW w:w="317" w:type="dxa"/>
          </w:tcPr>
          <w:p>
            <w:pPr>
              <w:pStyle w:val="TableParagraph"/>
              <w:rPr>
                <w:rFonts w:ascii="Times New Roman"/>
                <w:sz w:val="18"/>
              </w:rPr>
            </w:pPr>
          </w:p>
        </w:tc>
        <w:tc>
          <w:tcPr>
            <w:tcW w:w="810" w:type="dxa"/>
          </w:tcPr>
          <w:p>
            <w:pPr>
              <w:pStyle w:val="TableParagraph"/>
              <w:rPr>
                <w:rFonts w:ascii="Times New Roman"/>
                <w:sz w:val="18"/>
              </w:rPr>
            </w:pPr>
          </w:p>
        </w:tc>
        <w:tc>
          <w:tcPr>
            <w:tcW w:w="603" w:type="dxa"/>
          </w:tcPr>
          <w:p>
            <w:pPr>
              <w:pStyle w:val="TableParagraph"/>
              <w:rPr>
                <w:rFonts w:ascii="Times New Roman"/>
                <w:sz w:val="18"/>
              </w:rPr>
            </w:pPr>
          </w:p>
        </w:tc>
        <w:tc>
          <w:tcPr>
            <w:tcW w:w="809" w:type="dxa"/>
          </w:tcPr>
          <w:p>
            <w:pPr>
              <w:pStyle w:val="TableParagraph"/>
              <w:rPr>
                <w:rFonts w:ascii="Times New Roman"/>
                <w:sz w:val="18"/>
              </w:rPr>
            </w:pPr>
          </w:p>
        </w:tc>
      </w:tr>
    </w:tbl>
    <w:p>
      <w:pPr>
        <w:spacing w:after="0"/>
        <w:rPr>
          <w:rFonts w:ascii="Times New Roman"/>
          <w:sz w:val="18"/>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4"/>
        <w:gridCol w:w="748"/>
        <w:gridCol w:w="316"/>
        <w:gridCol w:w="316"/>
        <w:gridCol w:w="319"/>
        <w:gridCol w:w="748"/>
        <w:gridCol w:w="602"/>
        <w:gridCol w:w="602"/>
        <w:gridCol w:w="317"/>
        <w:gridCol w:w="691"/>
        <w:gridCol w:w="317"/>
        <w:gridCol w:w="751"/>
        <w:gridCol w:w="317"/>
        <w:gridCol w:w="810"/>
        <w:gridCol w:w="603"/>
        <w:gridCol w:w="809"/>
      </w:tblGrid>
      <w:tr>
        <w:trPr>
          <w:trHeight w:val="935" w:hRule="atLeast"/>
        </w:trPr>
        <w:tc>
          <w:tcPr>
            <w:tcW w:w="554" w:type="dxa"/>
          </w:tcPr>
          <w:p>
            <w:pPr>
              <w:pStyle w:val="TableParagraph"/>
              <w:spacing w:line="242" w:lineRule="auto" w:before="2"/>
              <w:ind w:left="107" w:right="254"/>
              <w:jc w:val="both"/>
              <w:rPr>
                <w:sz w:val="18"/>
              </w:rPr>
            </w:pPr>
            <w:r>
              <w:rPr>
                <w:sz w:val="18"/>
              </w:rPr>
              <w:t>留存收</w:t>
            </w:r>
          </w:p>
          <w:p>
            <w:pPr>
              <w:pStyle w:val="TableParagraph"/>
              <w:spacing w:line="215" w:lineRule="exact"/>
              <w:ind w:left="107"/>
              <w:rPr>
                <w:sz w:val="21"/>
              </w:rPr>
            </w:pPr>
            <w:r>
              <w:rPr>
                <w:sz w:val="18"/>
              </w:rPr>
              <w:t>益</w:t>
            </w:r>
            <w:r>
              <w:rPr>
                <w:w w:val="100"/>
                <w:sz w:val="21"/>
              </w:rPr>
              <w:t> </w:t>
            </w:r>
          </w:p>
        </w:tc>
        <w:tc>
          <w:tcPr>
            <w:tcW w:w="748" w:type="dxa"/>
          </w:tcPr>
          <w:p>
            <w:pPr>
              <w:pStyle w:val="TableParagraph"/>
              <w:rPr>
                <w:rFonts w:ascii="Times New Roman"/>
                <w:sz w:val="20"/>
              </w:rPr>
            </w:pPr>
          </w:p>
        </w:tc>
        <w:tc>
          <w:tcPr>
            <w:tcW w:w="316" w:type="dxa"/>
          </w:tcPr>
          <w:p>
            <w:pPr>
              <w:pStyle w:val="TableParagraph"/>
              <w:rPr>
                <w:rFonts w:ascii="Times New Roman"/>
                <w:sz w:val="20"/>
              </w:rPr>
            </w:pPr>
          </w:p>
        </w:tc>
        <w:tc>
          <w:tcPr>
            <w:tcW w:w="316" w:type="dxa"/>
          </w:tcPr>
          <w:p>
            <w:pPr>
              <w:pStyle w:val="TableParagraph"/>
              <w:rPr>
                <w:rFonts w:ascii="Times New Roman"/>
                <w:sz w:val="20"/>
              </w:rPr>
            </w:pPr>
          </w:p>
        </w:tc>
        <w:tc>
          <w:tcPr>
            <w:tcW w:w="319" w:type="dxa"/>
          </w:tcPr>
          <w:p>
            <w:pPr>
              <w:pStyle w:val="TableParagraph"/>
              <w:rPr>
                <w:rFonts w:ascii="Times New Roman"/>
                <w:sz w:val="20"/>
              </w:rPr>
            </w:pPr>
          </w:p>
        </w:tc>
        <w:tc>
          <w:tcPr>
            <w:tcW w:w="748" w:type="dxa"/>
          </w:tcPr>
          <w:p>
            <w:pPr>
              <w:pStyle w:val="TableParagraph"/>
              <w:rPr>
                <w:rFonts w:ascii="Times New Roman"/>
                <w:sz w:val="20"/>
              </w:rPr>
            </w:pPr>
          </w:p>
        </w:tc>
        <w:tc>
          <w:tcPr>
            <w:tcW w:w="602" w:type="dxa"/>
          </w:tcPr>
          <w:p>
            <w:pPr>
              <w:pStyle w:val="TableParagraph"/>
              <w:rPr>
                <w:rFonts w:ascii="Times New Roman"/>
                <w:sz w:val="20"/>
              </w:rPr>
            </w:pPr>
          </w:p>
        </w:tc>
        <w:tc>
          <w:tcPr>
            <w:tcW w:w="602" w:type="dxa"/>
          </w:tcPr>
          <w:p>
            <w:pPr>
              <w:pStyle w:val="TableParagraph"/>
              <w:rPr>
                <w:rFonts w:ascii="Times New Roman"/>
                <w:sz w:val="20"/>
              </w:rPr>
            </w:pPr>
          </w:p>
        </w:tc>
        <w:tc>
          <w:tcPr>
            <w:tcW w:w="317" w:type="dxa"/>
          </w:tcPr>
          <w:p>
            <w:pPr>
              <w:pStyle w:val="TableParagraph"/>
              <w:rPr>
                <w:rFonts w:ascii="Times New Roman"/>
                <w:sz w:val="20"/>
              </w:rPr>
            </w:pPr>
          </w:p>
        </w:tc>
        <w:tc>
          <w:tcPr>
            <w:tcW w:w="691" w:type="dxa"/>
          </w:tcPr>
          <w:p>
            <w:pPr>
              <w:pStyle w:val="TableParagraph"/>
              <w:rPr>
                <w:rFonts w:ascii="Times New Roman"/>
                <w:sz w:val="20"/>
              </w:rPr>
            </w:pPr>
          </w:p>
        </w:tc>
        <w:tc>
          <w:tcPr>
            <w:tcW w:w="317" w:type="dxa"/>
          </w:tcPr>
          <w:p>
            <w:pPr>
              <w:pStyle w:val="TableParagraph"/>
              <w:rPr>
                <w:rFonts w:ascii="Times New Roman"/>
                <w:sz w:val="20"/>
              </w:rPr>
            </w:pPr>
          </w:p>
        </w:tc>
        <w:tc>
          <w:tcPr>
            <w:tcW w:w="751" w:type="dxa"/>
          </w:tcPr>
          <w:p>
            <w:pPr>
              <w:pStyle w:val="TableParagraph"/>
              <w:rPr>
                <w:rFonts w:ascii="Times New Roman"/>
                <w:sz w:val="20"/>
              </w:rPr>
            </w:pPr>
          </w:p>
        </w:tc>
        <w:tc>
          <w:tcPr>
            <w:tcW w:w="317" w:type="dxa"/>
          </w:tcPr>
          <w:p>
            <w:pPr>
              <w:pStyle w:val="TableParagraph"/>
              <w:rPr>
                <w:rFonts w:ascii="Times New Roman"/>
                <w:sz w:val="20"/>
              </w:rPr>
            </w:pPr>
          </w:p>
        </w:tc>
        <w:tc>
          <w:tcPr>
            <w:tcW w:w="810" w:type="dxa"/>
          </w:tcPr>
          <w:p>
            <w:pPr>
              <w:pStyle w:val="TableParagraph"/>
              <w:rPr>
                <w:rFonts w:ascii="Times New Roman"/>
                <w:sz w:val="20"/>
              </w:rPr>
            </w:pPr>
          </w:p>
        </w:tc>
        <w:tc>
          <w:tcPr>
            <w:tcW w:w="603" w:type="dxa"/>
          </w:tcPr>
          <w:p>
            <w:pPr>
              <w:pStyle w:val="TableParagraph"/>
              <w:rPr>
                <w:rFonts w:ascii="Times New Roman"/>
                <w:sz w:val="20"/>
              </w:rPr>
            </w:pPr>
          </w:p>
        </w:tc>
        <w:tc>
          <w:tcPr>
            <w:tcW w:w="809" w:type="dxa"/>
          </w:tcPr>
          <w:p>
            <w:pPr>
              <w:pStyle w:val="TableParagraph"/>
              <w:rPr>
                <w:rFonts w:ascii="Times New Roman"/>
                <w:sz w:val="20"/>
              </w:rPr>
            </w:pPr>
          </w:p>
        </w:tc>
      </w:tr>
      <w:tr>
        <w:trPr>
          <w:trHeight w:val="3033" w:hRule="atLeast"/>
        </w:trPr>
        <w:tc>
          <w:tcPr>
            <w:tcW w:w="554" w:type="dxa"/>
          </w:tcPr>
          <w:p>
            <w:pPr>
              <w:pStyle w:val="TableParagraph"/>
              <w:spacing w:line="242" w:lineRule="auto"/>
              <w:ind w:left="107" w:right="163"/>
              <w:rPr>
                <w:sz w:val="18"/>
              </w:rPr>
            </w:pPr>
            <w:r>
              <w:rPr>
                <w:sz w:val="18"/>
              </w:rPr>
              <w:t>5．</w:t>
            </w:r>
            <w:r>
              <w:rPr>
                <w:spacing w:val="-87"/>
                <w:sz w:val="18"/>
              </w:rPr>
              <w:t> </w:t>
            </w:r>
            <w:r>
              <w:rPr>
                <w:sz w:val="18"/>
              </w:rPr>
              <w:t>其他综合收益结转留存收</w:t>
            </w:r>
          </w:p>
          <w:p>
            <w:pPr>
              <w:pStyle w:val="TableParagraph"/>
              <w:spacing w:line="213" w:lineRule="exact" w:before="6"/>
              <w:ind w:left="107"/>
              <w:rPr>
                <w:sz w:val="18"/>
              </w:rPr>
            </w:pPr>
            <w:r>
              <w:rPr>
                <w:sz w:val="18"/>
              </w:rPr>
              <w:t>益 </w:t>
            </w:r>
          </w:p>
        </w:tc>
        <w:tc>
          <w:tcPr>
            <w:tcW w:w="748" w:type="dxa"/>
          </w:tcPr>
          <w:p>
            <w:pPr>
              <w:pStyle w:val="TableParagraph"/>
              <w:rPr>
                <w:rFonts w:ascii="Times New Roman"/>
                <w:sz w:val="20"/>
              </w:rPr>
            </w:pPr>
          </w:p>
        </w:tc>
        <w:tc>
          <w:tcPr>
            <w:tcW w:w="316" w:type="dxa"/>
          </w:tcPr>
          <w:p>
            <w:pPr>
              <w:pStyle w:val="TableParagraph"/>
              <w:rPr>
                <w:rFonts w:ascii="Times New Roman"/>
                <w:sz w:val="20"/>
              </w:rPr>
            </w:pPr>
          </w:p>
        </w:tc>
        <w:tc>
          <w:tcPr>
            <w:tcW w:w="316" w:type="dxa"/>
          </w:tcPr>
          <w:p>
            <w:pPr>
              <w:pStyle w:val="TableParagraph"/>
              <w:rPr>
                <w:rFonts w:ascii="Times New Roman"/>
                <w:sz w:val="20"/>
              </w:rPr>
            </w:pPr>
          </w:p>
        </w:tc>
        <w:tc>
          <w:tcPr>
            <w:tcW w:w="319" w:type="dxa"/>
          </w:tcPr>
          <w:p>
            <w:pPr>
              <w:pStyle w:val="TableParagraph"/>
              <w:rPr>
                <w:rFonts w:ascii="Times New Roman"/>
                <w:sz w:val="20"/>
              </w:rPr>
            </w:pPr>
          </w:p>
        </w:tc>
        <w:tc>
          <w:tcPr>
            <w:tcW w:w="748" w:type="dxa"/>
          </w:tcPr>
          <w:p>
            <w:pPr>
              <w:pStyle w:val="TableParagraph"/>
              <w:rPr>
                <w:rFonts w:ascii="Times New Roman"/>
                <w:sz w:val="20"/>
              </w:rPr>
            </w:pPr>
          </w:p>
        </w:tc>
        <w:tc>
          <w:tcPr>
            <w:tcW w:w="602" w:type="dxa"/>
          </w:tcPr>
          <w:p>
            <w:pPr>
              <w:pStyle w:val="TableParagraph"/>
              <w:rPr>
                <w:rFonts w:ascii="Times New Roman"/>
                <w:sz w:val="20"/>
              </w:rPr>
            </w:pPr>
          </w:p>
        </w:tc>
        <w:tc>
          <w:tcPr>
            <w:tcW w:w="602" w:type="dxa"/>
          </w:tcPr>
          <w:p>
            <w:pPr>
              <w:pStyle w:val="TableParagraph"/>
              <w:rPr>
                <w:rFonts w:ascii="Times New Roman"/>
                <w:sz w:val="20"/>
              </w:rPr>
            </w:pPr>
          </w:p>
        </w:tc>
        <w:tc>
          <w:tcPr>
            <w:tcW w:w="317" w:type="dxa"/>
          </w:tcPr>
          <w:p>
            <w:pPr>
              <w:pStyle w:val="TableParagraph"/>
              <w:rPr>
                <w:rFonts w:ascii="Times New Roman"/>
                <w:sz w:val="20"/>
              </w:rPr>
            </w:pPr>
          </w:p>
        </w:tc>
        <w:tc>
          <w:tcPr>
            <w:tcW w:w="691" w:type="dxa"/>
          </w:tcPr>
          <w:p>
            <w:pPr>
              <w:pStyle w:val="TableParagraph"/>
              <w:rPr>
                <w:rFonts w:ascii="Times New Roman"/>
                <w:sz w:val="20"/>
              </w:rPr>
            </w:pPr>
          </w:p>
        </w:tc>
        <w:tc>
          <w:tcPr>
            <w:tcW w:w="317" w:type="dxa"/>
          </w:tcPr>
          <w:p>
            <w:pPr>
              <w:pStyle w:val="TableParagraph"/>
              <w:rPr>
                <w:rFonts w:ascii="Times New Roman"/>
                <w:sz w:val="20"/>
              </w:rPr>
            </w:pPr>
          </w:p>
        </w:tc>
        <w:tc>
          <w:tcPr>
            <w:tcW w:w="751" w:type="dxa"/>
          </w:tcPr>
          <w:p>
            <w:pPr>
              <w:pStyle w:val="TableParagraph"/>
              <w:rPr>
                <w:rFonts w:ascii="Times New Roman"/>
                <w:sz w:val="20"/>
              </w:rPr>
            </w:pPr>
          </w:p>
        </w:tc>
        <w:tc>
          <w:tcPr>
            <w:tcW w:w="317" w:type="dxa"/>
          </w:tcPr>
          <w:p>
            <w:pPr>
              <w:pStyle w:val="TableParagraph"/>
              <w:rPr>
                <w:rFonts w:ascii="Times New Roman"/>
                <w:sz w:val="20"/>
              </w:rPr>
            </w:pPr>
          </w:p>
        </w:tc>
        <w:tc>
          <w:tcPr>
            <w:tcW w:w="810" w:type="dxa"/>
          </w:tcPr>
          <w:p>
            <w:pPr>
              <w:pStyle w:val="TableParagraph"/>
              <w:rPr>
                <w:rFonts w:ascii="Times New Roman"/>
                <w:sz w:val="20"/>
              </w:rPr>
            </w:pPr>
          </w:p>
        </w:tc>
        <w:tc>
          <w:tcPr>
            <w:tcW w:w="603" w:type="dxa"/>
          </w:tcPr>
          <w:p>
            <w:pPr>
              <w:pStyle w:val="TableParagraph"/>
              <w:rPr>
                <w:rFonts w:ascii="Times New Roman"/>
                <w:sz w:val="20"/>
              </w:rPr>
            </w:pPr>
          </w:p>
        </w:tc>
        <w:tc>
          <w:tcPr>
            <w:tcW w:w="809" w:type="dxa"/>
          </w:tcPr>
          <w:p>
            <w:pPr>
              <w:pStyle w:val="TableParagraph"/>
              <w:rPr>
                <w:rFonts w:ascii="Times New Roman"/>
                <w:sz w:val="20"/>
              </w:rPr>
            </w:pPr>
          </w:p>
        </w:tc>
      </w:tr>
      <w:tr>
        <w:trPr>
          <w:trHeight w:val="700" w:hRule="atLeast"/>
        </w:trPr>
        <w:tc>
          <w:tcPr>
            <w:tcW w:w="554" w:type="dxa"/>
          </w:tcPr>
          <w:p>
            <w:pPr>
              <w:pStyle w:val="TableParagraph"/>
              <w:ind w:left="107"/>
              <w:rPr>
                <w:sz w:val="18"/>
              </w:rPr>
            </w:pPr>
            <w:r>
              <w:rPr>
                <w:sz w:val="18"/>
              </w:rPr>
              <w:t>6．</w:t>
            </w:r>
          </w:p>
          <w:p>
            <w:pPr>
              <w:pStyle w:val="TableParagraph"/>
              <w:spacing w:line="230" w:lineRule="atLeast"/>
              <w:ind w:left="107" w:right="164"/>
              <w:rPr>
                <w:sz w:val="18"/>
              </w:rPr>
            </w:pPr>
            <w:r>
              <w:rPr>
                <w:sz w:val="18"/>
              </w:rPr>
              <w:t>其他 </w:t>
            </w:r>
          </w:p>
        </w:tc>
        <w:tc>
          <w:tcPr>
            <w:tcW w:w="748" w:type="dxa"/>
          </w:tcPr>
          <w:p>
            <w:pPr>
              <w:pStyle w:val="TableParagraph"/>
              <w:rPr>
                <w:rFonts w:ascii="Times New Roman"/>
                <w:sz w:val="20"/>
              </w:rPr>
            </w:pPr>
          </w:p>
        </w:tc>
        <w:tc>
          <w:tcPr>
            <w:tcW w:w="316" w:type="dxa"/>
          </w:tcPr>
          <w:p>
            <w:pPr>
              <w:pStyle w:val="TableParagraph"/>
              <w:rPr>
                <w:rFonts w:ascii="Times New Roman"/>
                <w:sz w:val="20"/>
              </w:rPr>
            </w:pPr>
          </w:p>
        </w:tc>
        <w:tc>
          <w:tcPr>
            <w:tcW w:w="316" w:type="dxa"/>
          </w:tcPr>
          <w:p>
            <w:pPr>
              <w:pStyle w:val="TableParagraph"/>
              <w:rPr>
                <w:rFonts w:ascii="Times New Roman"/>
                <w:sz w:val="20"/>
              </w:rPr>
            </w:pPr>
          </w:p>
        </w:tc>
        <w:tc>
          <w:tcPr>
            <w:tcW w:w="319" w:type="dxa"/>
          </w:tcPr>
          <w:p>
            <w:pPr>
              <w:pStyle w:val="TableParagraph"/>
              <w:rPr>
                <w:rFonts w:ascii="Times New Roman"/>
                <w:sz w:val="20"/>
              </w:rPr>
            </w:pPr>
          </w:p>
        </w:tc>
        <w:tc>
          <w:tcPr>
            <w:tcW w:w="748" w:type="dxa"/>
          </w:tcPr>
          <w:p>
            <w:pPr>
              <w:pStyle w:val="TableParagraph"/>
              <w:rPr>
                <w:rFonts w:ascii="Times New Roman"/>
                <w:sz w:val="20"/>
              </w:rPr>
            </w:pPr>
          </w:p>
        </w:tc>
        <w:tc>
          <w:tcPr>
            <w:tcW w:w="602" w:type="dxa"/>
          </w:tcPr>
          <w:p>
            <w:pPr>
              <w:pStyle w:val="TableParagraph"/>
              <w:rPr>
                <w:rFonts w:ascii="Times New Roman"/>
                <w:sz w:val="20"/>
              </w:rPr>
            </w:pPr>
          </w:p>
        </w:tc>
        <w:tc>
          <w:tcPr>
            <w:tcW w:w="602" w:type="dxa"/>
          </w:tcPr>
          <w:p>
            <w:pPr>
              <w:pStyle w:val="TableParagraph"/>
              <w:rPr>
                <w:rFonts w:ascii="Times New Roman"/>
                <w:sz w:val="20"/>
              </w:rPr>
            </w:pPr>
          </w:p>
        </w:tc>
        <w:tc>
          <w:tcPr>
            <w:tcW w:w="317" w:type="dxa"/>
          </w:tcPr>
          <w:p>
            <w:pPr>
              <w:pStyle w:val="TableParagraph"/>
              <w:rPr>
                <w:rFonts w:ascii="Times New Roman"/>
                <w:sz w:val="20"/>
              </w:rPr>
            </w:pPr>
          </w:p>
        </w:tc>
        <w:tc>
          <w:tcPr>
            <w:tcW w:w="691" w:type="dxa"/>
          </w:tcPr>
          <w:p>
            <w:pPr>
              <w:pStyle w:val="TableParagraph"/>
              <w:rPr>
                <w:rFonts w:ascii="Times New Roman"/>
                <w:sz w:val="20"/>
              </w:rPr>
            </w:pPr>
          </w:p>
        </w:tc>
        <w:tc>
          <w:tcPr>
            <w:tcW w:w="317" w:type="dxa"/>
          </w:tcPr>
          <w:p>
            <w:pPr>
              <w:pStyle w:val="TableParagraph"/>
              <w:rPr>
                <w:rFonts w:ascii="Times New Roman"/>
                <w:sz w:val="20"/>
              </w:rPr>
            </w:pPr>
          </w:p>
        </w:tc>
        <w:tc>
          <w:tcPr>
            <w:tcW w:w="751" w:type="dxa"/>
          </w:tcPr>
          <w:p>
            <w:pPr>
              <w:pStyle w:val="TableParagraph"/>
              <w:rPr>
                <w:rFonts w:ascii="Times New Roman"/>
                <w:sz w:val="20"/>
              </w:rPr>
            </w:pPr>
          </w:p>
        </w:tc>
        <w:tc>
          <w:tcPr>
            <w:tcW w:w="317" w:type="dxa"/>
          </w:tcPr>
          <w:p>
            <w:pPr>
              <w:pStyle w:val="TableParagraph"/>
              <w:rPr>
                <w:rFonts w:ascii="Times New Roman"/>
                <w:sz w:val="20"/>
              </w:rPr>
            </w:pPr>
          </w:p>
        </w:tc>
        <w:tc>
          <w:tcPr>
            <w:tcW w:w="810" w:type="dxa"/>
          </w:tcPr>
          <w:p>
            <w:pPr>
              <w:pStyle w:val="TableParagraph"/>
              <w:rPr>
                <w:rFonts w:ascii="Times New Roman"/>
                <w:sz w:val="20"/>
              </w:rPr>
            </w:pPr>
          </w:p>
        </w:tc>
        <w:tc>
          <w:tcPr>
            <w:tcW w:w="603" w:type="dxa"/>
          </w:tcPr>
          <w:p>
            <w:pPr>
              <w:pStyle w:val="TableParagraph"/>
              <w:rPr>
                <w:rFonts w:ascii="Times New Roman"/>
                <w:sz w:val="20"/>
              </w:rPr>
            </w:pPr>
          </w:p>
        </w:tc>
        <w:tc>
          <w:tcPr>
            <w:tcW w:w="809" w:type="dxa"/>
          </w:tcPr>
          <w:p>
            <w:pPr>
              <w:pStyle w:val="TableParagraph"/>
              <w:rPr>
                <w:rFonts w:ascii="Times New Roman"/>
                <w:sz w:val="20"/>
              </w:rPr>
            </w:pPr>
          </w:p>
        </w:tc>
      </w:tr>
      <w:tr>
        <w:trPr>
          <w:trHeight w:val="1633" w:hRule="atLeast"/>
        </w:trPr>
        <w:tc>
          <w:tcPr>
            <w:tcW w:w="554" w:type="dxa"/>
          </w:tcPr>
          <w:p>
            <w:pPr>
              <w:pStyle w:val="TableParagraph"/>
              <w:spacing w:line="244" w:lineRule="auto"/>
              <w:ind w:left="107" w:right="254"/>
              <w:rPr>
                <w:sz w:val="18"/>
              </w:rPr>
            </w:pPr>
            <w:r>
              <w:rPr>
                <w:sz w:val="18"/>
              </w:rPr>
              <w:t>（</w:t>
            </w:r>
            <w:r>
              <w:rPr>
                <w:spacing w:val="-87"/>
                <w:sz w:val="18"/>
              </w:rPr>
              <w:t> </w:t>
            </w:r>
            <w:r>
              <w:rPr>
                <w:sz w:val="18"/>
              </w:rPr>
              <w:t>五</w:t>
            </w:r>
          </w:p>
          <w:p>
            <w:pPr>
              <w:pStyle w:val="TableParagraph"/>
              <w:spacing w:line="242" w:lineRule="auto"/>
              <w:ind w:left="107" w:right="254"/>
              <w:jc w:val="both"/>
              <w:rPr>
                <w:sz w:val="18"/>
              </w:rPr>
            </w:pPr>
            <w:r>
              <w:rPr>
                <w:sz w:val="18"/>
              </w:rPr>
              <w:t>）</w:t>
            </w:r>
            <w:r>
              <w:rPr>
                <w:spacing w:val="-88"/>
                <w:sz w:val="18"/>
              </w:rPr>
              <w:t> </w:t>
            </w:r>
            <w:r>
              <w:rPr>
                <w:sz w:val="18"/>
              </w:rPr>
              <w:t>专项储</w:t>
            </w:r>
          </w:p>
          <w:p>
            <w:pPr>
              <w:pStyle w:val="TableParagraph"/>
              <w:spacing w:line="213" w:lineRule="exact"/>
              <w:ind w:left="107"/>
              <w:rPr>
                <w:sz w:val="18"/>
              </w:rPr>
            </w:pPr>
            <w:r>
              <w:rPr>
                <w:sz w:val="18"/>
              </w:rPr>
              <w:t>备 </w:t>
            </w:r>
          </w:p>
        </w:tc>
        <w:tc>
          <w:tcPr>
            <w:tcW w:w="748" w:type="dxa"/>
          </w:tcPr>
          <w:p>
            <w:pPr>
              <w:pStyle w:val="TableParagraph"/>
              <w:rPr>
                <w:rFonts w:ascii="Times New Roman"/>
                <w:sz w:val="20"/>
              </w:rPr>
            </w:pPr>
          </w:p>
        </w:tc>
        <w:tc>
          <w:tcPr>
            <w:tcW w:w="316" w:type="dxa"/>
          </w:tcPr>
          <w:p>
            <w:pPr>
              <w:pStyle w:val="TableParagraph"/>
              <w:rPr>
                <w:rFonts w:ascii="Times New Roman"/>
                <w:sz w:val="20"/>
              </w:rPr>
            </w:pPr>
          </w:p>
        </w:tc>
        <w:tc>
          <w:tcPr>
            <w:tcW w:w="316" w:type="dxa"/>
          </w:tcPr>
          <w:p>
            <w:pPr>
              <w:pStyle w:val="TableParagraph"/>
              <w:rPr>
                <w:rFonts w:ascii="Times New Roman"/>
                <w:sz w:val="20"/>
              </w:rPr>
            </w:pPr>
          </w:p>
        </w:tc>
        <w:tc>
          <w:tcPr>
            <w:tcW w:w="319" w:type="dxa"/>
          </w:tcPr>
          <w:p>
            <w:pPr>
              <w:pStyle w:val="TableParagraph"/>
              <w:rPr>
                <w:rFonts w:ascii="Times New Roman"/>
                <w:sz w:val="20"/>
              </w:rPr>
            </w:pPr>
          </w:p>
        </w:tc>
        <w:tc>
          <w:tcPr>
            <w:tcW w:w="748" w:type="dxa"/>
          </w:tcPr>
          <w:p>
            <w:pPr>
              <w:pStyle w:val="TableParagraph"/>
              <w:rPr>
                <w:rFonts w:ascii="Times New Roman"/>
                <w:sz w:val="20"/>
              </w:rPr>
            </w:pPr>
          </w:p>
        </w:tc>
        <w:tc>
          <w:tcPr>
            <w:tcW w:w="602" w:type="dxa"/>
          </w:tcPr>
          <w:p>
            <w:pPr>
              <w:pStyle w:val="TableParagraph"/>
              <w:rPr>
                <w:rFonts w:ascii="Times New Roman"/>
                <w:sz w:val="20"/>
              </w:rPr>
            </w:pPr>
          </w:p>
        </w:tc>
        <w:tc>
          <w:tcPr>
            <w:tcW w:w="602" w:type="dxa"/>
          </w:tcPr>
          <w:p>
            <w:pPr>
              <w:pStyle w:val="TableParagraph"/>
              <w:rPr>
                <w:rFonts w:ascii="Times New Roman"/>
                <w:sz w:val="20"/>
              </w:rPr>
            </w:pPr>
          </w:p>
        </w:tc>
        <w:tc>
          <w:tcPr>
            <w:tcW w:w="317" w:type="dxa"/>
          </w:tcPr>
          <w:p>
            <w:pPr>
              <w:pStyle w:val="TableParagraph"/>
              <w:rPr>
                <w:rFonts w:ascii="Times New Roman"/>
                <w:sz w:val="20"/>
              </w:rPr>
            </w:pPr>
          </w:p>
        </w:tc>
        <w:tc>
          <w:tcPr>
            <w:tcW w:w="691" w:type="dxa"/>
          </w:tcPr>
          <w:p>
            <w:pPr>
              <w:pStyle w:val="TableParagraph"/>
              <w:rPr>
                <w:rFonts w:ascii="Times New Roman"/>
                <w:sz w:val="20"/>
              </w:rPr>
            </w:pPr>
          </w:p>
        </w:tc>
        <w:tc>
          <w:tcPr>
            <w:tcW w:w="317" w:type="dxa"/>
          </w:tcPr>
          <w:p>
            <w:pPr>
              <w:pStyle w:val="TableParagraph"/>
              <w:rPr>
                <w:rFonts w:ascii="Times New Roman"/>
                <w:sz w:val="20"/>
              </w:rPr>
            </w:pPr>
          </w:p>
        </w:tc>
        <w:tc>
          <w:tcPr>
            <w:tcW w:w="751" w:type="dxa"/>
          </w:tcPr>
          <w:p>
            <w:pPr>
              <w:pStyle w:val="TableParagraph"/>
              <w:rPr>
                <w:rFonts w:ascii="Times New Roman"/>
                <w:sz w:val="20"/>
              </w:rPr>
            </w:pPr>
          </w:p>
        </w:tc>
        <w:tc>
          <w:tcPr>
            <w:tcW w:w="317" w:type="dxa"/>
          </w:tcPr>
          <w:p>
            <w:pPr>
              <w:pStyle w:val="TableParagraph"/>
              <w:rPr>
                <w:rFonts w:ascii="Times New Roman"/>
                <w:sz w:val="20"/>
              </w:rPr>
            </w:pPr>
          </w:p>
        </w:tc>
        <w:tc>
          <w:tcPr>
            <w:tcW w:w="810" w:type="dxa"/>
          </w:tcPr>
          <w:p>
            <w:pPr>
              <w:pStyle w:val="TableParagraph"/>
              <w:rPr>
                <w:rFonts w:ascii="Times New Roman"/>
                <w:sz w:val="20"/>
              </w:rPr>
            </w:pPr>
          </w:p>
        </w:tc>
        <w:tc>
          <w:tcPr>
            <w:tcW w:w="603" w:type="dxa"/>
          </w:tcPr>
          <w:p>
            <w:pPr>
              <w:pStyle w:val="TableParagraph"/>
              <w:rPr>
                <w:rFonts w:ascii="Times New Roman"/>
                <w:sz w:val="20"/>
              </w:rPr>
            </w:pPr>
          </w:p>
        </w:tc>
        <w:tc>
          <w:tcPr>
            <w:tcW w:w="809" w:type="dxa"/>
          </w:tcPr>
          <w:p>
            <w:pPr>
              <w:pStyle w:val="TableParagraph"/>
              <w:rPr>
                <w:rFonts w:ascii="Times New Roman"/>
                <w:sz w:val="20"/>
              </w:rPr>
            </w:pPr>
          </w:p>
        </w:tc>
      </w:tr>
      <w:tr>
        <w:trPr>
          <w:trHeight w:val="1168" w:hRule="atLeast"/>
        </w:trPr>
        <w:tc>
          <w:tcPr>
            <w:tcW w:w="554" w:type="dxa"/>
          </w:tcPr>
          <w:p>
            <w:pPr>
              <w:pStyle w:val="TableParagraph"/>
              <w:spacing w:line="242" w:lineRule="auto"/>
              <w:ind w:left="107" w:right="163"/>
              <w:rPr>
                <w:sz w:val="18"/>
              </w:rPr>
            </w:pPr>
            <w:r>
              <w:rPr>
                <w:sz w:val="18"/>
              </w:rPr>
              <w:t>1．</w:t>
            </w:r>
            <w:r>
              <w:rPr>
                <w:spacing w:val="-87"/>
                <w:sz w:val="18"/>
              </w:rPr>
              <w:t> </w:t>
            </w:r>
            <w:r>
              <w:rPr>
                <w:sz w:val="18"/>
              </w:rPr>
              <w:t>本期提</w:t>
            </w:r>
          </w:p>
          <w:p>
            <w:pPr>
              <w:pStyle w:val="TableParagraph"/>
              <w:spacing w:line="215" w:lineRule="exact" w:before="2"/>
              <w:ind w:left="107"/>
              <w:rPr>
                <w:sz w:val="18"/>
              </w:rPr>
            </w:pPr>
            <w:r>
              <w:rPr>
                <w:sz w:val="18"/>
              </w:rPr>
              <w:t>取 </w:t>
            </w:r>
          </w:p>
        </w:tc>
        <w:tc>
          <w:tcPr>
            <w:tcW w:w="748" w:type="dxa"/>
          </w:tcPr>
          <w:p>
            <w:pPr>
              <w:pStyle w:val="TableParagraph"/>
              <w:rPr>
                <w:rFonts w:ascii="Times New Roman"/>
                <w:sz w:val="20"/>
              </w:rPr>
            </w:pPr>
          </w:p>
        </w:tc>
        <w:tc>
          <w:tcPr>
            <w:tcW w:w="316" w:type="dxa"/>
          </w:tcPr>
          <w:p>
            <w:pPr>
              <w:pStyle w:val="TableParagraph"/>
              <w:rPr>
                <w:rFonts w:ascii="Times New Roman"/>
                <w:sz w:val="20"/>
              </w:rPr>
            </w:pPr>
          </w:p>
        </w:tc>
        <w:tc>
          <w:tcPr>
            <w:tcW w:w="316" w:type="dxa"/>
          </w:tcPr>
          <w:p>
            <w:pPr>
              <w:pStyle w:val="TableParagraph"/>
              <w:rPr>
                <w:rFonts w:ascii="Times New Roman"/>
                <w:sz w:val="20"/>
              </w:rPr>
            </w:pPr>
          </w:p>
        </w:tc>
        <w:tc>
          <w:tcPr>
            <w:tcW w:w="319" w:type="dxa"/>
          </w:tcPr>
          <w:p>
            <w:pPr>
              <w:pStyle w:val="TableParagraph"/>
              <w:rPr>
                <w:rFonts w:ascii="Times New Roman"/>
                <w:sz w:val="20"/>
              </w:rPr>
            </w:pPr>
          </w:p>
        </w:tc>
        <w:tc>
          <w:tcPr>
            <w:tcW w:w="748" w:type="dxa"/>
          </w:tcPr>
          <w:p>
            <w:pPr>
              <w:pStyle w:val="TableParagraph"/>
              <w:rPr>
                <w:rFonts w:ascii="Times New Roman"/>
                <w:sz w:val="20"/>
              </w:rPr>
            </w:pPr>
          </w:p>
        </w:tc>
        <w:tc>
          <w:tcPr>
            <w:tcW w:w="602" w:type="dxa"/>
          </w:tcPr>
          <w:p>
            <w:pPr>
              <w:pStyle w:val="TableParagraph"/>
              <w:rPr>
                <w:rFonts w:ascii="Times New Roman"/>
                <w:sz w:val="20"/>
              </w:rPr>
            </w:pPr>
          </w:p>
        </w:tc>
        <w:tc>
          <w:tcPr>
            <w:tcW w:w="602" w:type="dxa"/>
          </w:tcPr>
          <w:p>
            <w:pPr>
              <w:pStyle w:val="TableParagraph"/>
              <w:rPr>
                <w:rFonts w:ascii="Times New Roman"/>
                <w:sz w:val="20"/>
              </w:rPr>
            </w:pPr>
          </w:p>
        </w:tc>
        <w:tc>
          <w:tcPr>
            <w:tcW w:w="317" w:type="dxa"/>
          </w:tcPr>
          <w:p>
            <w:pPr>
              <w:pStyle w:val="TableParagraph"/>
              <w:rPr>
                <w:rFonts w:ascii="Times New Roman"/>
                <w:sz w:val="20"/>
              </w:rPr>
            </w:pPr>
          </w:p>
        </w:tc>
        <w:tc>
          <w:tcPr>
            <w:tcW w:w="691" w:type="dxa"/>
          </w:tcPr>
          <w:p>
            <w:pPr>
              <w:pStyle w:val="TableParagraph"/>
              <w:rPr>
                <w:rFonts w:ascii="Times New Roman"/>
                <w:sz w:val="20"/>
              </w:rPr>
            </w:pPr>
          </w:p>
        </w:tc>
        <w:tc>
          <w:tcPr>
            <w:tcW w:w="317" w:type="dxa"/>
          </w:tcPr>
          <w:p>
            <w:pPr>
              <w:pStyle w:val="TableParagraph"/>
              <w:rPr>
                <w:rFonts w:ascii="Times New Roman"/>
                <w:sz w:val="20"/>
              </w:rPr>
            </w:pPr>
          </w:p>
        </w:tc>
        <w:tc>
          <w:tcPr>
            <w:tcW w:w="751" w:type="dxa"/>
          </w:tcPr>
          <w:p>
            <w:pPr>
              <w:pStyle w:val="TableParagraph"/>
              <w:rPr>
                <w:rFonts w:ascii="Times New Roman"/>
                <w:sz w:val="20"/>
              </w:rPr>
            </w:pPr>
          </w:p>
        </w:tc>
        <w:tc>
          <w:tcPr>
            <w:tcW w:w="317" w:type="dxa"/>
          </w:tcPr>
          <w:p>
            <w:pPr>
              <w:pStyle w:val="TableParagraph"/>
              <w:rPr>
                <w:rFonts w:ascii="Times New Roman"/>
                <w:sz w:val="20"/>
              </w:rPr>
            </w:pPr>
          </w:p>
        </w:tc>
        <w:tc>
          <w:tcPr>
            <w:tcW w:w="810" w:type="dxa"/>
          </w:tcPr>
          <w:p>
            <w:pPr>
              <w:pStyle w:val="TableParagraph"/>
              <w:rPr>
                <w:rFonts w:ascii="Times New Roman"/>
                <w:sz w:val="20"/>
              </w:rPr>
            </w:pPr>
          </w:p>
        </w:tc>
        <w:tc>
          <w:tcPr>
            <w:tcW w:w="603" w:type="dxa"/>
          </w:tcPr>
          <w:p>
            <w:pPr>
              <w:pStyle w:val="TableParagraph"/>
              <w:rPr>
                <w:rFonts w:ascii="Times New Roman"/>
                <w:sz w:val="20"/>
              </w:rPr>
            </w:pPr>
          </w:p>
        </w:tc>
        <w:tc>
          <w:tcPr>
            <w:tcW w:w="809" w:type="dxa"/>
          </w:tcPr>
          <w:p>
            <w:pPr>
              <w:pStyle w:val="TableParagraph"/>
              <w:rPr>
                <w:rFonts w:ascii="Times New Roman"/>
                <w:sz w:val="20"/>
              </w:rPr>
            </w:pPr>
          </w:p>
        </w:tc>
      </w:tr>
      <w:tr>
        <w:trPr>
          <w:trHeight w:val="1165" w:hRule="atLeast"/>
        </w:trPr>
        <w:tc>
          <w:tcPr>
            <w:tcW w:w="554" w:type="dxa"/>
          </w:tcPr>
          <w:p>
            <w:pPr>
              <w:pStyle w:val="TableParagraph"/>
              <w:spacing w:line="242" w:lineRule="auto"/>
              <w:ind w:left="107" w:right="163"/>
              <w:rPr>
                <w:sz w:val="18"/>
              </w:rPr>
            </w:pPr>
            <w:r>
              <w:rPr>
                <w:sz w:val="18"/>
              </w:rPr>
              <w:t>2．</w:t>
            </w:r>
            <w:r>
              <w:rPr>
                <w:spacing w:val="-87"/>
                <w:sz w:val="18"/>
              </w:rPr>
              <w:t> </w:t>
            </w:r>
            <w:r>
              <w:rPr>
                <w:sz w:val="18"/>
              </w:rPr>
              <w:t>本期使</w:t>
            </w:r>
          </w:p>
          <w:p>
            <w:pPr>
              <w:pStyle w:val="TableParagraph"/>
              <w:spacing w:line="213" w:lineRule="exact" w:before="1"/>
              <w:ind w:left="107"/>
              <w:rPr>
                <w:sz w:val="18"/>
              </w:rPr>
            </w:pPr>
            <w:r>
              <w:rPr>
                <w:sz w:val="18"/>
              </w:rPr>
              <w:t>用 </w:t>
            </w:r>
          </w:p>
        </w:tc>
        <w:tc>
          <w:tcPr>
            <w:tcW w:w="748" w:type="dxa"/>
          </w:tcPr>
          <w:p>
            <w:pPr>
              <w:pStyle w:val="TableParagraph"/>
              <w:rPr>
                <w:rFonts w:ascii="Times New Roman"/>
                <w:sz w:val="20"/>
              </w:rPr>
            </w:pPr>
          </w:p>
        </w:tc>
        <w:tc>
          <w:tcPr>
            <w:tcW w:w="316" w:type="dxa"/>
          </w:tcPr>
          <w:p>
            <w:pPr>
              <w:pStyle w:val="TableParagraph"/>
              <w:rPr>
                <w:rFonts w:ascii="Times New Roman"/>
                <w:sz w:val="20"/>
              </w:rPr>
            </w:pPr>
          </w:p>
        </w:tc>
        <w:tc>
          <w:tcPr>
            <w:tcW w:w="316" w:type="dxa"/>
          </w:tcPr>
          <w:p>
            <w:pPr>
              <w:pStyle w:val="TableParagraph"/>
              <w:rPr>
                <w:rFonts w:ascii="Times New Roman"/>
                <w:sz w:val="20"/>
              </w:rPr>
            </w:pPr>
          </w:p>
        </w:tc>
        <w:tc>
          <w:tcPr>
            <w:tcW w:w="319" w:type="dxa"/>
          </w:tcPr>
          <w:p>
            <w:pPr>
              <w:pStyle w:val="TableParagraph"/>
              <w:rPr>
                <w:rFonts w:ascii="Times New Roman"/>
                <w:sz w:val="20"/>
              </w:rPr>
            </w:pPr>
          </w:p>
        </w:tc>
        <w:tc>
          <w:tcPr>
            <w:tcW w:w="748" w:type="dxa"/>
          </w:tcPr>
          <w:p>
            <w:pPr>
              <w:pStyle w:val="TableParagraph"/>
              <w:rPr>
                <w:rFonts w:ascii="Times New Roman"/>
                <w:sz w:val="20"/>
              </w:rPr>
            </w:pPr>
          </w:p>
        </w:tc>
        <w:tc>
          <w:tcPr>
            <w:tcW w:w="602" w:type="dxa"/>
          </w:tcPr>
          <w:p>
            <w:pPr>
              <w:pStyle w:val="TableParagraph"/>
              <w:rPr>
                <w:rFonts w:ascii="Times New Roman"/>
                <w:sz w:val="20"/>
              </w:rPr>
            </w:pPr>
          </w:p>
        </w:tc>
        <w:tc>
          <w:tcPr>
            <w:tcW w:w="602" w:type="dxa"/>
          </w:tcPr>
          <w:p>
            <w:pPr>
              <w:pStyle w:val="TableParagraph"/>
              <w:rPr>
                <w:rFonts w:ascii="Times New Roman"/>
                <w:sz w:val="20"/>
              </w:rPr>
            </w:pPr>
          </w:p>
        </w:tc>
        <w:tc>
          <w:tcPr>
            <w:tcW w:w="317" w:type="dxa"/>
          </w:tcPr>
          <w:p>
            <w:pPr>
              <w:pStyle w:val="TableParagraph"/>
              <w:rPr>
                <w:rFonts w:ascii="Times New Roman"/>
                <w:sz w:val="20"/>
              </w:rPr>
            </w:pPr>
          </w:p>
        </w:tc>
        <w:tc>
          <w:tcPr>
            <w:tcW w:w="691" w:type="dxa"/>
          </w:tcPr>
          <w:p>
            <w:pPr>
              <w:pStyle w:val="TableParagraph"/>
              <w:rPr>
                <w:rFonts w:ascii="Times New Roman"/>
                <w:sz w:val="20"/>
              </w:rPr>
            </w:pPr>
          </w:p>
        </w:tc>
        <w:tc>
          <w:tcPr>
            <w:tcW w:w="317" w:type="dxa"/>
          </w:tcPr>
          <w:p>
            <w:pPr>
              <w:pStyle w:val="TableParagraph"/>
              <w:rPr>
                <w:rFonts w:ascii="Times New Roman"/>
                <w:sz w:val="20"/>
              </w:rPr>
            </w:pPr>
          </w:p>
        </w:tc>
        <w:tc>
          <w:tcPr>
            <w:tcW w:w="751" w:type="dxa"/>
          </w:tcPr>
          <w:p>
            <w:pPr>
              <w:pStyle w:val="TableParagraph"/>
              <w:rPr>
                <w:rFonts w:ascii="Times New Roman"/>
                <w:sz w:val="20"/>
              </w:rPr>
            </w:pPr>
          </w:p>
        </w:tc>
        <w:tc>
          <w:tcPr>
            <w:tcW w:w="317" w:type="dxa"/>
          </w:tcPr>
          <w:p>
            <w:pPr>
              <w:pStyle w:val="TableParagraph"/>
              <w:rPr>
                <w:rFonts w:ascii="Times New Roman"/>
                <w:sz w:val="20"/>
              </w:rPr>
            </w:pPr>
          </w:p>
        </w:tc>
        <w:tc>
          <w:tcPr>
            <w:tcW w:w="810" w:type="dxa"/>
          </w:tcPr>
          <w:p>
            <w:pPr>
              <w:pStyle w:val="TableParagraph"/>
              <w:rPr>
                <w:rFonts w:ascii="Times New Roman"/>
                <w:sz w:val="20"/>
              </w:rPr>
            </w:pPr>
          </w:p>
        </w:tc>
        <w:tc>
          <w:tcPr>
            <w:tcW w:w="603" w:type="dxa"/>
          </w:tcPr>
          <w:p>
            <w:pPr>
              <w:pStyle w:val="TableParagraph"/>
              <w:rPr>
                <w:rFonts w:ascii="Times New Roman"/>
                <w:sz w:val="20"/>
              </w:rPr>
            </w:pPr>
          </w:p>
        </w:tc>
        <w:tc>
          <w:tcPr>
            <w:tcW w:w="809" w:type="dxa"/>
          </w:tcPr>
          <w:p>
            <w:pPr>
              <w:pStyle w:val="TableParagraph"/>
              <w:rPr>
                <w:rFonts w:ascii="Times New Roman"/>
                <w:sz w:val="20"/>
              </w:rPr>
            </w:pPr>
          </w:p>
        </w:tc>
      </w:tr>
      <w:tr>
        <w:trPr>
          <w:trHeight w:val="1168" w:hRule="atLeast"/>
        </w:trPr>
        <w:tc>
          <w:tcPr>
            <w:tcW w:w="554" w:type="dxa"/>
          </w:tcPr>
          <w:p>
            <w:pPr>
              <w:pStyle w:val="TableParagraph"/>
              <w:spacing w:line="244" w:lineRule="auto"/>
              <w:ind w:left="107" w:right="254"/>
              <w:rPr>
                <w:sz w:val="18"/>
              </w:rPr>
            </w:pPr>
            <w:r>
              <w:rPr>
                <w:sz w:val="18"/>
              </w:rPr>
              <w:t>（</w:t>
            </w:r>
            <w:r>
              <w:rPr>
                <w:spacing w:val="-87"/>
                <w:sz w:val="18"/>
              </w:rPr>
              <w:t> </w:t>
            </w:r>
            <w:r>
              <w:rPr>
                <w:sz w:val="18"/>
              </w:rPr>
              <w:t>六</w:t>
            </w:r>
          </w:p>
          <w:p>
            <w:pPr>
              <w:pStyle w:val="TableParagraph"/>
              <w:spacing w:line="242" w:lineRule="auto"/>
              <w:ind w:left="107" w:right="254"/>
              <w:rPr>
                <w:sz w:val="18"/>
              </w:rPr>
            </w:pPr>
            <w:r>
              <w:rPr>
                <w:sz w:val="18"/>
              </w:rPr>
              <w:t>）</w:t>
            </w:r>
            <w:r>
              <w:rPr>
                <w:spacing w:val="-87"/>
                <w:sz w:val="18"/>
              </w:rPr>
              <w:t> </w:t>
            </w:r>
            <w:r>
              <w:rPr>
                <w:sz w:val="18"/>
              </w:rPr>
              <w:t>其</w:t>
            </w:r>
          </w:p>
          <w:p>
            <w:pPr>
              <w:pStyle w:val="TableParagraph"/>
              <w:spacing w:line="215" w:lineRule="exact"/>
              <w:ind w:left="107"/>
              <w:rPr>
                <w:sz w:val="18"/>
              </w:rPr>
            </w:pPr>
            <w:r>
              <w:rPr>
                <w:sz w:val="18"/>
              </w:rPr>
              <w:t>他 </w:t>
            </w:r>
          </w:p>
        </w:tc>
        <w:tc>
          <w:tcPr>
            <w:tcW w:w="748" w:type="dxa"/>
          </w:tcPr>
          <w:p>
            <w:pPr>
              <w:pStyle w:val="TableParagraph"/>
              <w:rPr>
                <w:rFonts w:ascii="Times New Roman"/>
                <w:sz w:val="20"/>
              </w:rPr>
            </w:pPr>
          </w:p>
        </w:tc>
        <w:tc>
          <w:tcPr>
            <w:tcW w:w="316" w:type="dxa"/>
          </w:tcPr>
          <w:p>
            <w:pPr>
              <w:pStyle w:val="TableParagraph"/>
              <w:rPr>
                <w:rFonts w:ascii="Times New Roman"/>
                <w:sz w:val="20"/>
              </w:rPr>
            </w:pPr>
          </w:p>
        </w:tc>
        <w:tc>
          <w:tcPr>
            <w:tcW w:w="316" w:type="dxa"/>
          </w:tcPr>
          <w:p>
            <w:pPr>
              <w:pStyle w:val="TableParagraph"/>
              <w:rPr>
                <w:rFonts w:ascii="Times New Roman"/>
                <w:sz w:val="20"/>
              </w:rPr>
            </w:pPr>
          </w:p>
        </w:tc>
        <w:tc>
          <w:tcPr>
            <w:tcW w:w="319" w:type="dxa"/>
          </w:tcPr>
          <w:p>
            <w:pPr>
              <w:pStyle w:val="TableParagraph"/>
              <w:rPr>
                <w:rFonts w:ascii="Times New Roman"/>
                <w:sz w:val="20"/>
              </w:rPr>
            </w:pPr>
          </w:p>
        </w:tc>
        <w:tc>
          <w:tcPr>
            <w:tcW w:w="748" w:type="dxa"/>
          </w:tcPr>
          <w:p>
            <w:pPr>
              <w:pStyle w:val="TableParagraph"/>
              <w:rPr>
                <w:rFonts w:ascii="Times New Roman"/>
                <w:sz w:val="20"/>
              </w:rPr>
            </w:pPr>
          </w:p>
        </w:tc>
        <w:tc>
          <w:tcPr>
            <w:tcW w:w="602" w:type="dxa"/>
          </w:tcPr>
          <w:p>
            <w:pPr>
              <w:pStyle w:val="TableParagraph"/>
              <w:rPr>
                <w:rFonts w:ascii="Times New Roman"/>
                <w:sz w:val="20"/>
              </w:rPr>
            </w:pPr>
          </w:p>
        </w:tc>
        <w:tc>
          <w:tcPr>
            <w:tcW w:w="602" w:type="dxa"/>
          </w:tcPr>
          <w:p>
            <w:pPr>
              <w:pStyle w:val="TableParagraph"/>
              <w:rPr>
                <w:rFonts w:ascii="Times New Roman"/>
                <w:sz w:val="20"/>
              </w:rPr>
            </w:pPr>
          </w:p>
        </w:tc>
        <w:tc>
          <w:tcPr>
            <w:tcW w:w="317" w:type="dxa"/>
          </w:tcPr>
          <w:p>
            <w:pPr>
              <w:pStyle w:val="TableParagraph"/>
              <w:rPr>
                <w:rFonts w:ascii="Times New Roman"/>
                <w:sz w:val="20"/>
              </w:rPr>
            </w:pPr>
          </w:p>
        </w:tc>
        <w:tc>
          <w:tcPr>
            <w:tcW w:w="691" w:type="dxa"/>
          </w:tcPr>
          <w:p>
            <w:pPr>
              <w:pStyle w:val="TableParagraph"/>
              <w:rPr>
                <w:rFonts w:ascii="Times New Roman"/>
                <w:sz w:val="20"/>
              </w:rPr>
            </w:pPr>
          </w:p>
        </w:tc>
        <w:tc>
          <w:tcPr>
            <w:tcW w:w="317" w:type="dxa"/>
          </w:tcPr>
          <w:p>
            <w:pPr>
              <w:pStyle w:val="TableParagraph"/>
              <w:rPr>
                <w:rFonts w:ascii="Times New Roman"/>
                <w:sz w:val="20"/>
              </w:rPr>
            </w:pPr>
          </w:p>
        </w:tc>
        <w:tc>
          <w:tcPr>
            <w:tcW w:w="751" w:type="dxa"/>
          </w:tcPr>
          <w:p>
            <w:pPr>
              <w:pStyle w:val="TableParagraph"/>
              <w:rPr>
                <w:rFonts w:ascii="Times New Roman"/>
                <w:sz w:val="20"/>
              </w:rPr>
            </w:pPr>
          </w:p>
        </w:tc>
        <w:tc>
          <w:tcPr>
            <w:tcW w:w="317" w:type="dxa"/>
          </w:tcPr>
          <w:p>
            <w:pPr>
              <w:pStyle w:val="TableParagraph"/>
              <w:rPr>
                <w:rFonts w:ascii="Times New Roman"/>
                <w:sz w:val="20"/>
              </w:rPr>
            </w:pPr>
          </w:p>
        </w:tc>
        <w:tc>
          <w:tcPr>
            <w:tcW w:w="810" w:type="dxa"/>
          </w:tcPr>
          <w:p>
            <w:pPr>
              <w:pStyle w:val="TableParagraph"/>
              <w:rPr>
                <w:rFonts w:ascii="Times New Roman"/>
                <w:sz w:val="20"/>
              </w:rPr>
            </w:pPr>
          </w:p>
        </w:tc>
        <w:tc>
          <w:tcPr>
            <w:tcW w:w="603" w:type="dxa"/>
          </w:tcPr>
          <w:p>
            <w:pPr>
              <w:pStyle w:val="TableParagraph"/>
              <w:rPr>
                <w:rFonts w:ascii="Times New Roman"/>
                <w:sz w:val="20"/>
              </w:rPr>
            </w:pPr>
          </w:p>
        </w:tc>
        <w:tc>
          <w:tcPr>
            <w:tcW w:w="809" w:type="dxa"/>
          </w:tcPr>
          <w:p>
            <w:pPr>
              <w:pStyle w:val="TableParagraph"/>
              <w:rPr>
                <w:rFonts w:ascii="Times New Roman"/>
                <w:sz w:val="20"/>
              </w:rPr>
            </w:pPr>
          </w:p>
        </w:tc>
      </w:tr>
      <w:tr>
        <w:trPr>
          <w:trHeight w:val="1867" w:hRule="atLeast"/>
        </w:trPr>
        <w:tc>
          <w:tcPr>
            <w:tcW w:w="554" w:type="dxa"/>
          </w:tcPr>
          <w:p>
            <w:pPr>
              <w:pStyle w:val="TableParagraph"/>
              <w:spacing w:line="230" w:lineRule="exact"/>
              <w:ind w:left="107"/>
              <w:rPr>
                <w:sz w:val="18"/>
              </w:rPr>
            </w:pPr>
            <w:r>
              <w:rPr>
                <w:sz w:val="18"/>
              </w:rPr>
              <w:t>四</w:t>
            </w:r>
          </w:p>
          <w:p>
            <w:pPr>
              <w:pStyle w:val="TableParagraph"/>
              <w:spacing w:line="242" w:lineRule="auto" w:before="2"/>
              <w:ind w:left="107" w:right="254"/>
              <w:jc w:val="both"/>
              <w:rPr>
                <w:sz w:val="18"/>
              </w:rPr>
            </w:pPr>
            <w:r>
              <w:rPr>
                <w:sz w:val="18"/>
              </w:rPr>
              <w:t>、本期期末余</w:t>
            </w:r>
          </w:p>
          <w:p>
            <w:pPr>
              <w:pStyle w:val="TableParagraph"/>
              <w:spacing w:line="213" w:lineRule="exact" w:before="4"/>
              <w:ind w:left="107"/>
              <w:rPr>
                <w:sz w:val="18"/>
              </w:rPr>
            </w:pPr>
            <w:r>
              <w:rPr>
                <w:sz w:val="18"/>
              </w:rPr>
              <w:t>额 </w:t>
            </w:r>
          </w:p>
        </w:tc>
        <w:tc>
          <w:tcPr>
            <w:tcW w:w="748" w:type="dxa"/>
          </w:tcPr>
          <w:p>
            <w:pPr>
              <w:pStyle w:val="TableParagraph"/>
              <w:rPr>
                <w:sz w:val="22"/>
              </w:rPr>
            </w:pPr>
          </w:p>
          <w:p>
            <w:pPr>
              <w:pStyle w:val="TableParagraph"/>
              <w:spacing w:before="5"/>
              <w:rPr>
                <w:sz w:val="31"/>
              </w:rPr>
            </w:pPr>
          </w:p>
          <w:p>
            <w:pPr>
              <w:pStyle w:val="TableParagraph"/>
              <w:ind w:left="168"/>
              <w:rPr>
                <w:rFonts w:ascii="Times New Roman"/>
                <w:sz w:val="21"/>
              </w:rPr>
            </w:pPr>
            <w:r>
              <w:rPr>
                <w:rFonts w:ascii="Times New Roman"/>
                <w:sz w:val="21"/>
              </w:rPr>
              <w:t>19,86</w:t>
            </w:r>
          </w:p>
          <w:p>
            <w:pPr>
              <w:pStyle w:val="TableParagraph"/>
              <w:spacing w:before="2"/>
              <w:ind w:left="168"/>
              <w:rPr>
                <w:rFonts w:ascii="Times New Roman"/>
                <w:sz w:val="21"/>
              </w:rPr>
            </w:pPr>
            <w:r>
              <w:rPr>
                <w:rFonts w:ascii="Times New Roman"/>
                <w:sz w:val="21"/>
              </w:rPr>
              <w:t>5,070</w:t>
            </w:r>
          </w:p>
        </w:tc>
        <w:tc>
          <w:tcPr>
            <w:tcW w:w="316" w:type="dxa"/>
          </w:tcPr>
          <w:p>
            <w:pPr>
              <w:pStyle w:val="TableParagraph"/>
              <w:rPr>
                <w:rFonts w:ascii="Times New Roman"/>
                <w:sz w:val="20"/>
              </w:rPr>
            </w:pPr>
          </w:p>
        </w:tc>
        <w:tc>
          <w:tcPr>
            <w:tcW w:w="316" w:type="dxa"/>
          </w:tcPr>
          <w:p>
            <w:pPr>
              <w:pStyle w:val="TableParagraph"/>
              <w:rPr>
                <w:rFonts w:ascii="Times New Roman"/>
                <w:sz w:val="20"/>
              </w:rPr>
            </w:pPr>
          </w:p>
        </w:tc>
        <w:tc>
          <w:tcPr>
            <w:tcW w:w="319" w:type="dxa"/>
          </w:tcPr>
          <w:p>
            <w:pPr>
              <w:pStyle w:val="TableParagraph"/>
              <w:rPr>
                <w:rFonts w:ascii="Times New Roman"/>
                <w:sz w:val="20"/>
              </w:rPr>
            </w:pPr>
          </w:p>
        </w:tc>
        <w:tc>
          <w:tcPr>
            <w:tcW w:w="748" w:type="dxa"/>
          </w:tcPr>
          <w:p>
            <w:pPr>
              <w:pStyle w:val="TableParagraph"/>
              <w:rPr>
                <w:sz w:val="22"/>
              </w:rPr>
            </w:pPr>
          </w:p>
          <w:p>
            <w:pPr>
              <w:pStyle w:val="TableParagraph"/>
              <w:spacing w:before="5"/>
              <w:rPr>
                <w:sz w:val="31"/>
              </w:rPr>
            </w:pPr>
          </w:p>
          <w:p>
            <w:pPr>
              <w:pStyle w:val="TableParagraph"/>
              <w:ind w:left="168"/>
              <w:rPr>
                <w:rFonts w:ascii="Times New Roman"/>
                <w:sz w:val="21"/>
              </w:rPr>
            </w:pPr>
            <w:r>
              <w:rPr>
                <w:rFonts w:ascii="Times New Roman"/>
                <w:sz w:val="21"/>
              </w:rPr>
              <w:t>28,29</w:t>
            </w:r>
          </w:p>
          <w:p>
            <w:pPr>
              <w:pStyle w:val="TableParagraph"/>
              <w:spacing w:before="2"/>
              <w:ind w:left="168"/>
              <w:rPr>
                <w:rFonts w:ascii="Times New Roman"/>
                <w:sz w:val="21"/>
              </w:rPr>
            </w:pPr>
            <w:r>
              <w:rPr>
                <w:rFonts w:ascii="Times New Roman"/>
                <w:sz w:val="21"/>
              </w:rPr>
              <w:t>7,428</w:t>
            </w:r>
          </w:p>
        </w:tc>
        <w:tc>
          <w:tcPr>
            <w:tcW w:w="602" w:type="dxa"/>
          </w:tcPr>
          <w:p>
            <w:pPr>
              <w:pStyle w:val="TableParagraph"/>
              <w:rPr>
                <w:sz w:val="22"/>
              </w:rPr>
            </w:pPr>
          </w:p>
          <w:p>
            <w:pPr>
              <w:pStyle w:val="TableParagraph"/>
              <w:rPr>
                <w:sz w:val="22"/>
              </w:rPr>
            </w:pPr>
          </w:p>
          <w:p>
            <w:pPr>
              <w:pStyle w:val="TableParagraph"/>
              <w:ind w:left="131" w:right="73" w:firstLine="297"/>
              <w:rPr>
                <w:rFonts w:ascii="Times New Roman"/>
                <w:sz w:val="21"/>
              </w:rPr>
            </w:pPr>
            <w:r>
              <w:rPr>
                <w:rFonts w:ascii="Times New Roman"/>
                <w:sz w:val="21"/>
              </w:rPr>
              <w:t>-</w:t>
            </w:r>
            <w:r>
              <w:rPr>
                <w:rFonts w:ascii="Times New Roman"/>
                <w:spacing w:val="-50"/>
                <w:sz w:val="21"/>
              </w:rPr>
              <w:t> </w:t>
            </w:r>
            <w:r>
              <w:rPr>
                <w:rFonts w:ascii="Times New Roman"/>
                <w:sz w:val="21"/>
              </w:rPr>
              <w:t>518,</w:t>
            </w:r>
          </w:p>
          <w:p>
            <w:pPr>
              <w:pStyle w:val="TableParagraph"/>
              <w:spacing w:before="1"/>
              <w:ind w:left="184"/>
              <w:rPr>
                <w:rFonts w:ascii="Times New Roman"/>
                <w:sz w:val="21"/>
              </w:rPr>
            </w:pPr>
            <w:r>
              <w:rPr>
                <w:rFonts w:ascii="Times New Roman"/>
                <w:sz w:val="21"/>
              </w:rPr>
              <w:t>907</w:t>
            </w:r>
          </w:p>
        </w:tc>
        <w:tc>
          <w:tcPr>
            <w:tcW w:w="602" w:type="dxa"/>
          </w:tcPr>
          <w:p>
            <w:pPr>
              <w:pStyle w:val="TableParagraph"/>
              <w:rPr>
                <w:sz w:val="22"/>
              </w:rPr>
            </w:pPr>
          </w:p>
          <w:p>
            <w:pPr>
              <w:pStyle w:val="TableParagraph"/>
              <w:rPr>
                <w:sz w:val="22"/>
              </w:rPr>
            </w:pPr>
          </w:p>
          <w:p>
            <w:pPr>
              <w:pStyle w:val="TableParagraph"/>
              <w:ind w:left="131" w:right="88" w:firstLine="297"/>
              <w:jc w:val="right"/>
              <w:rPr>
                <w:rFonts w:ascii="Times New Roman"/>
                <w:sz w:val="21"/>
              </w:rPr>
            </w:pPr>
            <w:r>
              <w:rPr>
                <w:rFonts w:ascii="Times New Roman"/>
                <w:sz w:val="21"/>
              </w:rPr>
              <w:t>-</w:t>
            </w:r>
            <w:r>
              <w:rPr>
                <w:rFonts w:ascii="Times New Roman"/>
                <w:spacing w:val="-50"/>
                <w:sz w:val="21"/>
              </w:rPr>
              <w:t> </w:t>
            </w:r>
            <w:r>
              <w:rPr>
                <w:rFonts w:ascii="Times New Roman"/>
                <w:sz w:val="21"/>
              </w:rPr>
              <w:t>17,5</w:t>
            </w:r>
          </w:p>
          <w:p>
            <w:pPr>
              <w:pStyle w:val="TableParagraph"/>
              <w:spacing w:before="1"/>
              <w:ind w:right="91"/>
              <w:jc w:val="right"/>
              <w:rPr>
                <w:rFonts w:ascii="Times New Roman"/>
                <w:sz w:val="21"/>
              </w:rPr>
            </w:pPr>
            <w:r>
              <w:rPr>
                <w:rFonts w:ascii="Times New Roman"/>
                <w:sz w:val="21"/>
              </w:rPr>
              <w:t>50</w:t>
            </w:r>
          </w:p>
        </w:tc>
        <w:tc>
          <w:tcPr>
            <w:tcW w:w="317" w:type="dxa"/>
          </w:tcPr>
          <w:p>
            <w:pPr>
              <w:pStyle w:val="TableParagraph"/>
              <w:rPr>
                <w:rFonts w:ascii="Times New Roman"/>
                <w:sz w:val="20"/>
              </w:rPr>
            </w:pPr>
          </w:p>
        </w:tc>
        <w:tc>
          <w:tcPr>
            <w:tcW w:w="691" w:type="dxa"/>
          </w:tcPr>
          <w:p>
            <w:pPr>
              <w:pStyle w:val="TableParagraph"/>
              <w:rPr>
                <w:sz w:val="22"/>
              </w:rPr>
            </w:pPr>
          </w:p>
          <w:p>
            <w:pPr>
              <w:pStyle w:val="TableParagraph"/>
              <w:spacing w:before="5"/>
              <w:rPr>
                <w:sz w:val="31"/>
              </w:rPr>
            </w:pPr>
          </w:p>
          <w:p>
            <w:pPr>
              <w:pStyle w:val="TableParagraph"/>
              <w:ind w:left="113"/>
              <w:rPr>
                <w:rFonts w:ascii="Times New Roman"/>
                <w:sz w:val="21"/>
              </w:rPr>
            </w:pPr>
            <w:r>
              <w:rPr>
                <w:rFonts w:ascii="Times New Roman"/>
                <w:sz w:val="21"/>
              </w:rPr>
              <w:t>2,771</w:t>
            </w:r>
          </w:p>
          <w:p>
            <w:pPr>
              <w:pStyle w:val="TableParagraph"/>
              <w:spacing w:before="2"/>
              <w:ind w:left="218"/>
              <w:rPr>
                <w:rFonts w:ascii="Times New Roman"/>
                <w:sz w:val="21"/>
              </w:rPr>
            </w:pPr>
            <w:r>
              <w:rPr>
                <w:rFonts w:ascii="Times New Roman"/>
                <w:sz w:val="21"/>
              </w:rPr>
              <w:t>,638</w:t>
            </w:r>
          </w:p>
        </w:tc>
        <w:tc>
          <w:tcPr>
            <w:tcW w:w="317" w:type="dxa"/>
          </w:tcPr>
          <w:p>
            <w:pPr>
              <w:pStyle w:val="TableParagraph"/>
              <w:rPr>
                <w:rFonts w:ascii="Times New Roman"/>
                <w:sz w:val="20"/>
              </w:rPr>
            </w:pPr>
          </w:p>
        </w:tc>
        <w:tc>
          <w:tcPr>
            <w:tcW w:w="751" w:type="dxa"/>
          </w:tcPr>
          <w:p>
            <w:pPr>
              <w:pStyle w:val="TableParagraph"/>
              <w:rPr>
                <w:sz w:val="22"/>
              </w:rPr>
            </w:pPr>
          </w:p>
          <w:p>
            <w:pPr>
              <w:pStyle w:val="TableParagraph"/>
              <w:spacing w:before="5"/>
              <w:rPr>
                <w:sz w:val="31"/>
              </w:rPr>
            </w:pPr>
          </w:p>
          <w:p>
            <w:pPr>
              <w:pStyle w:val="TableParagraph"/>
              <w:ind w:left="173"/>
              <w:rPr>
                <w:rFonts w:ascii="Times New Roman"/>
                <w:sz w:val="21"/>
              </w:rPr>
            </w:pPr>
            <w:r>
              <w:rPr>
                <w:rFonts w:ascii="Times New Roman"/>
                <w:sz w:val="21"/>
              </w:rPr>
              <w:t>68,78</w:t>
            </w:r>
          </w:p>
          <w:p>
            <w:pPr>
              <w:pStyle w:val="TableParagraph"/>
              <w:spacing w:before="2"/>
              <w:ind w:left="173"/>
              <w:rPr>
                <w:rFonts w:ascii="Times New Roman"/>
                <w:sz w:val="21"/>
              </w:rPr>
            </w:pPr>
            <w:r>
              <w:rPr>
                <w:rFonts w:ascii="Times New Roman"/>
                <w:sz w:val="21"/>
              </w:rPr>
              <w:t>2,923</w:t>
            </w:r>
          </w:p>
        </w:tc>
        <w:tc>
          <w:tcPr>
            <w:tcW w:w="317" w:type="dxa"/>
          </w:tcPr>
          <w:p>
            <w:pPr>
              <w:pStyle w:val="TableParagraph"/>
              <w:rPr>
                <w:rFonts w:ascii="Times New Roman"/>
                <w:sz w:val="20"/>
              </w:rPr>
            </w:pPr>
          </w:p>
        </w:tc>
        <w:tc>
          <w:tcPr>
            <w:tcW w:w="810" w:type="dxa"/>
          </w:tcPr>
          <w:p>
            <w:pPr>
              <w:pStyle w:val="TableParagraph"/>
              <w:rPr>
                <w:sz w:val="22"/>
              </w:rPr>
            </w:pPr>
          </w:p>
          <w:p>
            <w:pPr>
              <w:pStyle w:val="TableParagraph"/>
              <w:spacing w:before="5"/>
              <w:rPr>
                <w:sz w:val="31"/>
              </w:rPr>
            </w:pPr>
          </w:p>
          <w:p>
            <w:pPr>
              <w:pStyle w:val="TableParagraph"/>
              <w:ind w:left="127"/>
              <w:rPr>
                <w:rFonts w:ascii="Times New Roman"/>
                <w:sz w:val="21"/>
              </w:rPr>
            </w:pPr>
            <w:r>
              <w:rPr>
                <w:rFonts w:ascii="Times New Roman"/>
                <w:sz w:val="21"/>
              </w:rPr>
              <w:t>119,18</w:t>
            </w:r>
          </w:p>
          <w:p>
            <w:pPr>
              <w:pStyle w:val="TableParagraph"/>
              <w:spacing w:before="2"/>
              <w:ind w:left="233"/>
              <w:rPr>
                <w:rFonts w:ascii="Times New Roman"/>
                <w:sz w:val="21"/>
              </w:rPr>
            </w:pPr>
            <w:r>
              <w:rPr>
                <w:rFonts w:ascii="Times New Roman"/>
                <w:sz w:val="21"/>
              </w:rPr>
              <w:t>0,602</w:t>
            </w:r>
          </w:p>
        </w:tc>
        <w:tc>
          <w:tcPr>
            <w:tcW w:w="603" w:type="dxa"/>
          </w:tcPr>
          <w:p>
            <w:pPr>
              <w:pStyle w:val="TableParagraph"/>
              <w:rPr>
                <w:sz w:val="22"/>
              </w:rPr>
            </w:pPr>
          </w:p>
          <w:p>
            <w:pPr>
              <w:pStyle w:val="TableParagraph"/>
              <w:spacing w:before="5"/>
              <w:rPr>
                <w:sz w:val="31"/>
              </w:rPr>
            </w:pPr>
          </w:p>
          <w:p>
            <w:pPr>
              <w:pStyle w:val="TableParagraph"/>
              <w:ind w:left="131"/>
              <w:rPr>
                <w:rFonts w:ascii="Times New Roman"/>
                <w:sz w:val="21"/>
              </w:rPr>
            </w:pPr>
            <w:r>
              <w:rPr>
                <w:rFonts w:ascii="Times New Roman"/>
                <w:sz w:val="21"/>
              </w:rPr>
              <w:t>307,</w:t>
            </w:r>
          </w:p>
          <w:p>
            <w:pPr>
              <w:pStyle w:val="TableParagraph"/>
              <w:spacing w:before="2"/>
              <w:ind w:left="184"/>
              <w:rPr>
                <w:rFonts w:ascii="Times New Roman"/>
                <w:sz w:val="21"/>
              </w:rPr>
            </w:pPr>
            <w:r>
              <w:rPr>
                <w:rFonts w:ascii="Times New Roman"/>
                <w:sz w:val="21"/>
              </w:rPr>
              <w:t>088</w:t>
            </w:r>
          </w:p>
        </w:tc>
        <w:tc>
          <w:tcPr>
            <w:tcW w:w="809" w:type="dxa"/>
          </w:tcPr>
          <w:p>
            <w:pPr>
              <w:pStyle w:val="TableParagraph"/>
              <w:rPr>
                <w:sz w:val="22"/>
              </w:rPr>
            </w:pPr>
          </w:p>
          <w:p>
            <w:pPr>
              <w:pStyle w:val="TableParagraph"/>
              <w:spacing w:before="5"/>
              <w:rPr>
                <w:sz w:val="31"/>
              </w:rPr>
            </w:pPr>
          </w:p>
          <w:p>
            <w:pPr>
              <w:pStyle w:val="TableParagraph"/>
              <w:ind w:left="126"/>
              <w:rPr>
                <w:rFonts w:ascii="Times New Roman"/>
                <w:sz w:val="21"/>
              </w:rPr>
            </w:pPr>
            <w:r>
              <w:rPr>
                <w:rFonts w:ascii="Times New Roman"/>
                <w:sz w:val="21"/>
              </w:rPr>
              <w:t>119,48</w:t>
            </w:r>
          </w:p>
          <w:p>
            <w:pPr>
              <w:pStyle w:val="TableParagraph"/>
              <w:spacing w:before="2"/>
              <w:ind w:left="231"/>
              <w:rPr>
                <w:rFonts w:ascii="Times New Roman"/>
                <w:sz w:val="21"/>
              </w:rPr>
            </w:pPr>
            <w:r>
              <w:rPr>
                <w:rFonts w:ascii="Times New Roman"/>
                <w:sz w:val="21"/>
              </w:rPr>
              <w:t>7,690</w:t>
            </w:r>
          </w:p>
        </w:tc>
      </w:tr>
    </w:tbl>
    <w:p>
      <w:pPr>
        <w:pStyle w:val="BodyText"/>
        <w:spacing w:before="1"/>
      </w:pPr>
      <w:r>
        <w:rPr>
          <w:spacing w:val="-2"/>
        </w:rPr>
        <w:t>公司负责人：李军旗 主管会计工作负责人：郭俊宏 会计机构负责人：黄昭期</w:t>
      </w:r>
      <w:r>
        <w:rPr>
          <w:color w:val="FF0000"/>
        </w:rPr>
        <w:t> </w:t>
      </w:r>
    </w:p>
    <w:p>
      <w:pPr>
        <w:pStyle w:val="BodyText"/>
        <w:spacing w:before="4"/>
      </w:pPr>
      <w:r>
        <w:rPr>
          <w:w w:val="100"/>
        </w:rPr>
        <w:t> </w:t>
      </w:r>
    </w:p>
    <w:p>
      <w:pPr>
        <w:pStyle w:val="BodyText"/>
        <w:spacing w:before="3"/>
      </w:pPr>
      <w:r>
        <w:rPr>
          <w:w w:val="100"/>
        </w:rPr>
        <w:t> </w:t>
      </w:r>
    </w:p>
    <w:p>
      <w:pPr>
        <w:pStyle w:val="BodyText"/>
        <w:spacing w:line="242" w:lineRule="auto" w:before="4"/>
        <w:ind w:left="3603" w:right="4476"/>
        <w:jc w:val="center"/>
      </w:pPr>
      <w:r>
        <w:rPr/>
        <w:t>母公司所有者权益变动表2022</w:t>
      </w:r>
      <w:r>
        <w:rPr>
          <w:spacing w:val="-37"/>
        </w:rPr>
        <w:t> 年 </w:t>
      </w:r>
      <w:r>
        <w:rPr/>
        <w:t>1—12</w:t>
      </w:r>
      <w:r>
        <w:rPr>
          <w:spacing w:val="-28"/>
        </w:rPr>
        <w:t> 月</w:t>
      </w:r>
      <w:r>
        <w:rPr/>
        <w:t> </w:t>
      </w:r>
    </w:p>
    <w:p>
      <w:pPr>
        <w:pStyle w:val="BodyText"/>
        <w:spacing w:before="1"/>
        <w:ind w:left="6675" w:right="1005"/>
        <w:jc w:val="center"/>
      </w:pPr>
      <w:r>
        <w:rPr/>
        <w:pict>
          <v:shape style="position:absolute;margin-left:92.543999pt;margin-top:13.549956pt;width:503.3pt;height:12.75pt;mso-position-horizontal-relative:page;mso-position-vertical-relative:paragraph;z-index:1573478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51"/>
                    <w:gridCol w:w="7600"/>
                  </w:tblGrid>
                  <w:tr>
                    <w:trPr>
                      <w:trHeight w:val="234" w:hRule="atLeast"/>
                    </w:trPr>
                    <w:tc>
                      <w:tcPr>
                        <w:tcW w:w="2451" w:type="dxa"/>
                      </w:tcPr>
                      <w:p>
                        <w:pPr>
                          <w:pStyle w:val="TableParagraph"/>
                          <w:spacing w:line="215" w:lineRule="exact"/>
                          <w:ind w:left="1068" w:right="972"/>
                          <w:jc w:val="center"/>
                          <w:rPr>
                            <w:sz w:val="18"/>
                          </w:rPr>
                        </w:pPr>
                        <w:r>
                          <w:rPr>
                            <w:sz w:val="18"/>
                          </w:rPr>
                          <w:t>项目 </w:t>
                        </w:r>
                      </w:p>
                    </w:tc>
                    <w:tc>
                      <w:tcPr>
                        <w:tcW w:w="7600" w:type="dxa"/>
                        <w:tcBorders>
                          <w:right w:val="nil"/>
                        </w:tcBorders>
                      </w:tcPr>
                      <w:p>
                        <w:pPr>
                          <w:pStyle w:val="TableParagraph"/>
                          <w:spacing w:line="215" w:lineRule="exact"/>
                          <w:ind w:right="1299"/>
                          <w:jc w:val="right"/>
                          <w:rPr>
                            <w:sz w:val="21"/>
                          </w:rPr>
                        </w:pPr>
                        <w:r>
                          <w:rPr>
                            <w:w w:val="100"/>
                            <w:sz w:val="21"/>
                          </w:rPr>
                          <w:t> </w:t>
                        </w:r>
                        <w:r>
                          <w:rPr>
                            <w:spacing w:val="-1"/>
                            <w:sz w:val="18"/>
                          </w:rPr>
                          <w:t>2022</w:t>
                        </w:r>
                        <w:r>
                          <w:rPr>
                            <w:spacing w:val="-15"/>
                            <w:sz w:val="18"/>
                          </w:rPr>
                          <w:t> 年度</w:t>
                        </w:r>
                        <w:r>
                          <w:rPr>
                            <w:w w:val="100"/>
                            <w:sz w:val="21"/>
                          </w:rPr>
                          <w:t> </w:t>
                        </w:r>
                      </w:p>
                    </w:tc>
                  </w:tr>
                </w:tbl>
                <w:p>
                  <w:pPr>
                    <w:pStyle w:val="BodyText"/>
                    <w:ind w:left="0"/>
                  </w:pPr>
                </w:p>
              </w:txbxContent>
            </v:textbox>
            <w10:wrap type="none"/>
          </v:shape>
        </w:pict>
      </w:r>
      <w:r>
        <w:rPr>
          <w:spacing w:val="7"/>
        </w:rPr>
        <w:t>单位:千元 币种:人民币</w:t>
      </w:r>
      <w:r>
        <w:rPr/>
        <w:t> </w:t>
      </w:r>
    </w:p>
    <w:p>
      <w:pPr>
        <w:spacing w:after="0"/>
        <w:jc w:val="center"/>
        <w:sectPr>
          <w:pgSz w:w="11910" w:h="16840"/>
          <w:pgMar w:header="882" w:footer="1172" w:top="1120" w:bottom="1380" w:left="1480" w:right="0"/>
        </w:sectPr>
      </w:pPr>
    </w:p>
    <w:p>
      <w:pPr>
        <w:pStyle w:val="BodyText"/>
        <w:ind w:left="0"/>
        <w:rPr>
          <w:sz w:val="20"/>
        </w:rPr>
      </w:pPr>
      <w:r>
        <w:rPr/>
        <w:pict>
          <v:shape style="position:absolute;margin-left:92.543999pt;margin-top:76.199982pt;width:503.3pt;height:632.9pt;mso-position-horizontal-relative:page;mso-position-vertical-relative:page;z-index:1573529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51"/>
                    <w:gridCol w:w="1078"/>
                    <w:gridCol w:w="1050"/>
                    <w:gridCol w:w="1078"/>
                    <w:gridCol w:w="1092"/>
                    <w:gridCol w:w="1037"/>
                    <w:gridCol w:w="1063"/>
                    <w:gridCol w:w="1023"/>
                    <w:gridCol w:w="180"/>
                  </w:tblGrid>
                  <w:tr>
                    <w:trPr>
                      <w:trHeight w:val="316" w:hRule="atLeast"/>
                    </w:trPr>
                    <w:tc>
                      <w:tcPr>
                        <w:tcW w:w="2451" w:type="dxa"/>
                        <w:vMerge w:val="restart"/>
                      </w:tcPr>
                      <w:p>
                        <w:pPr>
                          <w:pStyle w:val="TableParagraph"/>
                          <w:rPr>
                            <w:rFonts w:ascii="Times New Roman"/>
                            <w:sz w:val="18"/>
                          </w:rPr>
                        </w:pPr>
                      </w:p>
                    </w:tc>
                    <w:tc>
                      <w:tcPr>
                        <w:tcW w:w="1078" w:type="dxa"/>
                        <w:vMerge w:val="restart"/>
                      </w:tcPr>
                      <w:p>
                        <w:pPr>
                          <w:pStyle w:val="TableParagraph"/>
                          <w:spacing w:line="244" w:lineRule="auto" w:before="77"/>
                          <w:ind w:left="174" w:right="81"/>
                          <w:rPr>
                            <w:sz w:val="18"/>
                          </w:rPr>
                        </w:pPr>
                        <w:r>
                          <w:rPr>
                            <w:sz w:val="18"/>
                          </w:rPr>
                          <w:t>实收资本</w:t>
                        </w:r>
                        <w:r>
                          <w:rPr>
                            <w:spacing w:val="1"/>
                            <w:sz w:val="18"/>
                          </w:rPr>
                          <w:t> </w:t>
                        </w:r>
                        <w:r>
                          <w:rPr>
                            <w:sz w:val="18"/>
                          </w:rPr>
                          <w:t>(或股本) </w:t>
                        </w:r>
                      </w:p>
                    </w:tc>
                    <w:tc>
                      <w:tcPr>
                        <w:tcW w:w="3220" w:type="dxa"/>
                        <w:gridSpan w:val="3"/>
                      </w:tcPr>
                      <w:p>
                        <w:pPr>
                          <w:pStyle w:val="TableParagraph"/>
                          <w:spacing w:before="43"/>
                          <w:ind w:left="1067"/>
                          <w:rPr>
                            <w:sz w:val="18"/>
                          </w:rPr>
                        </w:pPr>
                        <w:r>
                          <w:rPr>
                            <w:sz w:val="18"/>
                          </w:rPr>
                          <w:t>其他权益工具 </w:t>
                        </w:r>
                      </w:p>
                    </w:tc>
                    <w:tc>
                      <w:tcPr>
                        <w:tcW w:w="1037" w:type="dxa"/>
                        <w:vMerge w:val="restart"/>
                      </w:tcPr>
                      <w:p>
                        <w:pPr>
                          <w:pStyle w:val="TableParagraph"/>
                          <w:spacing w:before="2"/>
                          <w:rPr>
                            <w:sz w:val="15"/>
                          </w:rPr>
                        </w:pPr>
                      </w:p>
                      <w:p>
                        <w:pPr>
                          <w:pStyle w:val="TableParagraph"/>
                          <w:ind w:left="156"/>
                          <w:rPr>
                            <w:sz w:val="18"/>
                          </w:rPr>
                        </w:pPr>
                        <w:r>
                          <w:rPr>
                            <w:sz w:val="18"/>
                          </w:rPr>
                          <w:t>资本公积 </w:t>
                        </w:r>
                      </w:p>
                    </w:tc>
                    <w:tc>
                      <w:tcPr>
                        <w:tcW w:w="1063" w:type="dxa"/>
                        <w:vMerge w:val="restart"/>
                      </w:tcPr>
                      <w:p>
                        <w:pPr>
                          <w:pStyle w:val="TableParagraph"/>
                          <w:spacing w:line="244" w:lineRule="auto" w:before="77"/>
                          <w:ind w:left="437" w:right="164" w:hanging="272"/>
                          <w:rPr>
                            <w:sz w:val="18"/>
                          </w:rPr>
                        </w:pPr>
                        <w:r>
                          <w:rPr>
                            <w:spacing w:val="-1"/>
                            <w:sz w:val="18"/>
                          </w:rPr>
                          <w:t>减：库存</w:t>
                        </w:r>
                        <w:r>
                          <w:rPr>
                            <w:sz w:val="18"/>
                          </w:rPr>
                          <w:t>股 </w:t>
                        </w:r>
                      </w:p>
                    </w:tc>
                    <w:tc>
                      <w:tcPr>
                        <w:tcW w:w="1023" w:type="dxa"/>
                        <w:vMerge w:val="restart"/>
                      </w:tcPr>
                      <w:p>
                        <w:pPr>
                          <w:pStyle w:val="TableParagraph"/>
                          <w:spacing w:line="244" w:lineRule="auto" w:before="77"/>
                          <w:ind w:left="329" w:right="141" w:hanging="180"/>
                          <w:rPr>
                            <w:sz w:val="18"/>
                          </w:rPr>
                        </w:pPr>
                        <w:r>
                          <w:rPr>
                            <w:spacing w:val="-1"/>
                            <w:sz w:val="18"/>
                          </w:rPr>
                          <w:t>其他综合</w:t>
                        </w:r>
                        <w:r>
                          <w:rPr>
                            <w:sz w:val="18"/>
                          </w:rPr>
                          <w:t>收益 </w:t>
                        </w:r>
                      </w:p>
                    </w:tc>
                    <w:tc>
                      <w:tcPr>
                        <w:tcW w:w="180" w:type="dxa"/>
                        <w:vMerge w:val="restart"/>
                        <w:tcBorders>
                          <w:right w:val="nil"/>
                        </w:tcBorders>
                      </w:tcPr>
                      <w:p>
                        <w:pPr>
                          <w:pStyle w:val="TableParagraph"/>
                          <w:rPr>
                            <w:rFonts w:ascii="Times New Roman"/>
                            <w:sz w:val="18"/>
                          </w:rPr>
                        </w:pPr>
                      </w:p>
                    </w:tc>
                  </w:tr>
                  <w:tr>
                    <w:trPr>
                      <w:trHeight w:val="292" w:hRule="atLeast"/>
                    </w:trPr>
                    <w:tc>
                      <w:tcPr>
                        <w:tcW w:w="2451" w:type="dxa"/>
                        <w:vMerge/>
                        <w:tcBorders>
                          <w:top w:val="nil"/>
                        </w:tcBorders>
                      </w:tcPr>
                      <w:p>
                        <w:pPr>
                          <w:rPr>
                            <w:sz w:val="2"/>
                            <w:szCs w:val="2"/>
                          </w:rPr>
                        </w:pPr>
                      </w:p>
                    </w:tc>
                    <w:tc>
                      <w:tcPr>
                        <w:tcW w:w="1078" w:type="dxa"/>
                        <w:vMerge/>
                        <w:tcBorders>
                          <w:top w:val="nil"/>
                        </w:tcBorders>
                      </w:tcPr>
                      <w:p>
                        <w:pPr>
                          <w:rPr>
                            <w:sz w:val="2"/>
                            <w:szCs w:val="2"/>
                          </w:rPr>
                        </w:pPr>
                      </w:p>
                    </w:tc>
                    <w:tc>
                      <w:tcPr>
                        <w:tcW w:w="1050" w:type="dxa"/>
                      </w:tcPr>
                      <w:p>
                        <w:pPr>
                          <w:pStyle w:val="TableParagraph"/>
                          <w:spacing w:before="31"/>
                          <w:ind w:left="253"/>
                          <w:rPr>
                            <w:sz w:val="18"/>
                          </w:rPr>
                        </w:pPr>
                        <w:r>
                          <w:rPr>
                            <w:sz w:val="18"/>
                          </w:rPr>
                          <w:t>优先股 </w:t>
                        </w:r>
                      </w:p>
                    </w:tc>
                    <w:tc>
                      <w:tcPr>
                        <w:tcW w:w="1078" w:type="dxa"/>
                      </w:tcPr>
                      <w:p>
                        <w:pPr>
                          <w:pStyle w:val="TableParagraph"/>
                          <w:spacing w:before="31"/>
                          <w:ind w:left="267"/>
                          <w:rPr>
                            <w:sz w:val="18"/>
                          </w:rPr>
                        </w:pPr>
                        <w:r>
                          <w:rPr>
                            <w:sz w:val="18"/>
                          </w:rPr>
                          <w:t>永续债 </w:t>
                        </w:r>
                      </w:p>
                    </w:tc>
                    <w:tc>
                      <w:tcPr>
                        <w:tcW w:w="1092" w:type="dxa"/>
                      </w:tcPr>
                      <w:p>
                        <w:pPr>
                          <w:pStyle w:val="TableParagraph"/>
                          <w:spacing w:before="31"/>
                          <w:ind w:left="362"/>
                          <w:rPr>
                            <w:sz w:val="18"/>
                          </w:rPr>
                        </w:pPr>
                        <w:r>
                          <w:rPr>
                            <w:sz w:val="18"/>
                          </w:rPr>
                          <w:t>其他 </w:t>
                        </w:r>
                      </w:p>
                    </w:tc>
                    <w:tc>
                      <w:tcPr>
                        <w:tcW w:w="1037" w:type="dxa"/>
                        <w:vMerge/>
                        <w:tcBorders>
                          <w:top w:val="nil"/>
                        </w:tcBorders>
                      </w:tcPr>
                      <w:p>
                        <w:pPr>
                          <w:rPr>
                            <w:sz w:val="2"/>
                            <w:szCs w:val="2"/>
                          </w:rPr>
                        </w:pPr>
                      </w:p>
                    </w:tc>
                    <w:tc>
                      <w:tcPr>
                        <w:tcW w:w="1063" w:type="dxa"/>
                        <w:vMerge/>
                        <w:tcBorders>
                          <w:top w:val="nil"/>
                        </w:tcBorders>
                      </w:tcPr>
                      <w:p>
                        <w:pPr>
                          <w:rPr>
                            <w:sz w:val="2"/>
                            <w:szCs w:val="2"/>
                          </w:rPr>
                        </w:pPr>
                      </w:p>
                    </w:tc>
                    <w:tc>
                      <w:tcPr>
                        <w:tcW w:w="1023" w:type="dxa"/>
                        <w:vMerge/>
                        <w:tcBorders>
                          <w:top w:val="nil"/>
                        </w:tcBorders>
                      </w:tcPr>
                      <w:p>
                        <w:pPr>
                          <w:rPr>
                            <w:sz w:val="2"/>
                            <w:szCs w:val="2"/>
                          </w:rPr>
                        </w:pPr>
                      </w:p>
                    </w:tc>
                    <w:tc>
                      <w:tcPr>
                        <w:tcW w:w="180" w:type="dxa"/>
                        <w:vMerge/>
                        <w:tcBorders>
                          <w:top w:val="nil"/>
                          <w:right w:val="nil"/>
                        </w:tcBorders>
                      </w:tcPr>
                      <w:p>
                        <w:pPr>
                          <w:rPr>
                            <w:sz w:val="2"/>
                            <w:szCs w:val="2"/>
                          </w:rPr>
                        </w:pPr>
                      </w:p>
                    </w:tc>
                  </w:tr>
                  <w:tr>
                    <w:trPr>
                      <w:trHeight w:val="484" w:hRule="atLeast"/>
                    </w:trPr>
                    <w:tc>
                      <w:tcPr>
                        <w:tcW w:w="2451" w:type="dxa"/>
                      </w:tcPr>
                      <w:p>
                        <w:pPr>
                          <w:pStyle w:val="TableParagraph"/>
                          <w:spacing w:before="2"/>
                          <w:ind w:left="107"/>
                          <w:rPr>
                            <w:sz w:val="18"/>
                          </w:rPr>
                        </w:pPr>
                        <w:r>
                          <w:rPr>
                            <w:spacing w:val="-1"/>
                            <w:sz w:val="18"/>
                          </w:rPr>
                          <w:t>一、上年年末余额 </w:t>
                        </w:r>
                      </w:p>
                    </w:tc>
                    <w:tc>
                      <w:tcPr>
                        <w:tcW w:w="1078" w:type="dxa"/>
                      </w:tcPr>
                      <w:p>
                        <w:pPr>
                          <w:pStyle w:val="TableParagraph"/>
                          <w:spacing w:line="236" w:lineRule="exact"/>
                          <w:ind w:right="96"/>
                          <w:jc w:val="right"/>
                          <w:rPr>
                            <w:rFonts w:ascii="Times New Roman"/>
                            <w:sz w:val="21"/>
                          </w:rPr>
                        </w:pPr>
                        <w:r>
                          <w:rPr>
                            <w:rFonts w:ascii="Times New Roman"/>
                            <w:sz w:val="21"/>
                          </w:rPr>
                          <w:t>19,865,07</w:t>
                        </w:r>
                      </w:p>
                      <w:p>
                        <w:pPr>
                          <w:pStyle w:val="TableParagraph"/>
                          <w:spacing w:line="228" w:lineRule="exact"/>
                          <w:ind w:right="99"/>
                          <w:jc w:val="right"/>
                          <w:rPr>
                            <w:rFonts w:ascii="Times New Roman"/>
                            <w:sz w:val="21"/>
                          </w:rPr>
                        </w:pPr>
                        <w:r>
                          <w:rPr>
                            <w:rFonts w:ascii="Times New Roman"/>
                            <w:w w:val="100"/>
                            <w:sz w:val="21"/>
                          </w:rPr>
                          <w:t>0</w:t>
                        </w: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spacing w:line="236" w:lineRule="exact"/>
                          <w:ind w:right="95"/>
                          <w:jc w:val="right"/>
                          <w:rPr>
                            <w:rFonts w:ascii="Times New Roman"/>
                            <w:sz w:val="21"/>
                          </w:rPr>
                        </w:pPr>
                        <w:r>
                          <w:rPr>
                            <w:rFonts w:ascii="Times New Roman"/>
                            <w:sz w:val="21"/>
                          </w:rPr>
                          <w:t>39,027,3</w:t>
                        </w:r>
                      </w:p>
                      <w:p>
                        <w:pPr>
                          <w:pStyle w:val="TableParagraph"/>
                          <w:spacing w:line="228" w:lineRule="exact"/>
                          <w:ind w:right="97"/>
                          <w:jc w:val="right"/>
                          <w:rPr>
                            <w:rFonts w:ascii="Times New Roman"/>
                            <w:sz w:val="21"/>
                          </w:rPr>
                        </w:pPr>
                        <w:r>
                          <w:rPr>
                            <w:rFonts w:ascii="Times New Roman"/>
                            <w:sz w:val="21"/>
                          </w:rPr>
                          <w:t>34</w:t>
                        </w:r>
                      </w:p>
                    </w:tc>
                    <w:tc>
                      <w:tcPr>
                        <w:tcW w:w="1063" w:type="dxa"/>
                      </w:tcPr>
                      <w:p>
                        <w:pPr>
                          <w:pStyle w:val="TableParagraph"/>
                          <w:spacing w:before="115"/>
                          <w:ind w:right="99"/>
                          <w:jc w:val="right"/>
                          <w:rPr>
                            <w:rFonts w:ascii="Times New Roman"/>
                            <w:sz w:val="21"/>
                          </w:rPr>
                        </w:pPr>
                        <w:r>
                          <w:rPr>
                            <w:rFonts w:ascii="Times New Roman"/>
                            <w:sz w:val="21"/>
                          </w:rPr>
                          <w:t>-518,907</w:t>
                        </w:r>
                      </w:p>
                    </w:tc>
                    <w:tc>
                      <w:tcPr>
                        <w:tcW w:w="1023" w:type="dxa"/>
                      </w:tcPr>
                      <w:p>
                        <w:pPr>
                          <w:pStyle w:val="TableParagraph"/>
                          <w:spacing w:before="115"/>
                          <w:ind w:right="96"/>
                          <w:jc w:val="right"/>
                          <w:rPr>
                            <w:rFonts w:ascii="Times New Roman"/>
                            <w:sz w:val="21"/>
                          </w:rPr>
                        </w:pPr>
                        <w:r>
                          <w:rPr>
                            <w:rFonts w:ascii="Times New Roman"/>
                            <w:w w:val="100"/>
                            <w:sz w:val="21"/>
                          </w:rPr>
                          <w:t>-</w:t>
                        </w:r>
                      </w:p>
                    </w:tc>
                    <w:tc>
                      <w:tcPr>
                        <w:tcW w:w="180" w:type="dxa"/>
                        <w:tcBorders>
                          <w:right w:val="nil"/>
                        </w:tcBorders>
                      </w:tcPr>
                      <w:p>
                        <w:pPr>
                          <w:pStyle w:val="TableParagraph"/>
                          <w:rPr>
                            <w:rFonts w:ascii="Times New Roman"/>
                            <w:sz w:val="18"/>
                          </w:rPr>
                        </w:pPr>
                      </w:p>
                    </w:tc>
                  </w:tr>
                  <w:tr>
                    <w:trPr>
                      <w:trHeight w:val="241" w:hRule="atLeast"/>
                    </w:trPr>
                    <w:tc>
                      <w:tcPr>
                        <w:tcW w:w="2451" w:type="dxa"/>
                      </w:tcPr>
                      <w:p>
                        <w:pPr>
                          <w:pStyle w:val="TableParagraph"/>
                          <w:spacing w:line="222" w:lineRule="exact"/>
                          <w:ind w:left="107"/>
                          <w:rPr>
                            <w:sz w:val="18"/>
                          </w:rPr>
                        </w:pPr>
                        <w:r>
                          <w:rPr>
                            <w:spacing w:val="-1"/>
                            <w:sz w:val="18"/>
                          </w:rPr>
                          <w:t>加：会计政策变更</w:t>
                        </w:r>
                        <w:r>
                          <w:rPr>
                            <w:sz w:val="18"/>
                          </w:rPr>
                          <w:t> </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3" w:type="dxa"/>
                      </w:tcPr>
                      <w:p>
                        <w:pPr>
                          <w:pStyle w:val="TableParagraph"/>
                          <w:rPr>
                            <w:rFonts w:ascii="Times New Roman"/>
                            <w:sz w:val="16"/>
                          </w:rPr>
                        </w:pPr>
                      </w:p>
                    </w:tc>
                    <w:tc>
                      <w:tcPr>
                        <w:tcW w:w="180" w:type="dxa"/>
                        <w:tcBorders>
                          <w:right w:val="nil"/>
                        </w:tcBorders>
                      </w:tcPr>
                      <w:p>
                        <w:pPr>
                          <w:pStyle w:val="TableParagraph"/>
                          <w:rPr>
                            <w:rFonts w:ascii="Times New Roman"/>
                            <w:sz w:val="16"/>
                          </w:rPr>
                        </w:pPr>
                      </w:p>
                    </w:tc>
                  </w:tr>
                  <w:tr>
                    <w:trPr>
                      <w:trHeight w:val="239" w:hRule="atLeast"/>
                    </w:trPr>
                    <w:tc>
                      <w:tcPr>
                        <w:tcW w:w="2451" w:type="dxa"/>
                      </w:tcPr>
                      <w:p>
                        <w:pPr>
                          <w:pStyle w:val="TableParagraph"/>
                          <w:spacing w:line="220" w:lineRule="exact"/>
                          <w:ind w:left="527"/>
                          <w:rPr>
                            <w:sz w:val="18"/>
                          </w:rPr>
                        </w:pPr>
                        <w:r>
                          <w:rPr>
                            <w:sz w:val="18"/>
                          </w:rPr>
                          <w:t>前期差错更正 </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3" w:type="dxa"/>
                      </w:tcPr>
                      <w:p>
                        <w:pPr>
                          <w:pStyle w:val="TableParagraph"/>
                          <w:rPr>
                            <w:rFonts w:ascii="Times New Roman"/>
                            <w:sz w:val="16"/>
                          </w:rPr>
                        </w:pPr>
                      </w:p>
                    </w:tc>
                    <w:tc>
                      <w:tcPr>
                        <w:tcW w:w="180" w:type="dxa"/>
                        <w:tcBorders>
                          <w:right w:val="nil"/>
                        </w:tcBorders>
                      </w:tcPr>
                      <w:p>
                        <w:pPr>
                          <w:pStyle w:val="TableParagraph"/>
                          <w:rPr>
                            <w:rFonts w:ascii="Times New Roman"/>
                            <w:sz w:val="16"/>
                          </w:rPr>
                        </w:pPr>
                      </w:p>
                    </w:tc>
                  </w:tr>
                  <w:tr>
                    <w:trPr>
                      <w:trHeight w:val="241" w:hRule="atLeast"/>
                    </w:trPr>
                    <w:tc>
                      <w:tcPr>
                        <w:tcW w:w="2451" w:type="dxa"/>
                      </w:tcPr>
                      <w:p>
                        <w:pPr>
                          <w:pStyle w:val="TableParagraph"/>
                          <w:spacing w:line="220" w:lineRule="exact" w:before="2"/>
                          <w:ind w:left="527"/>
                          <w:rPr>
                            <w:sz w:val="18"/>
                          </w:rPr>
                        </w:pPr>
                        <w:r>
                          <w:rPr>
                            <w:sz w:val="18"/>
                          </w:rPr>
                          <w:t>其他 </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3" w:type="dxa"/>
                      </w:tcPr>
                      <w:p>
                        <w:pPr>
                          <w:pStyle w:val="TableParagraph"/>
                          <w:rPr>
                            <w:rFonts w:ascii="Times New Roman"/>
                            <w:sz w:val="16"/>
                          </w:rPr>
                        </w:pPr>
                      </w:p>
                    </w:tc>
                    <w:tc>
                      <w:tcPr>
                        <w:tcW w:w="180" w:type="dxa"/>
                        <w:tcBorders>
                          <w:right w:val="nil"/>
                        </w:tcBorders>
                      </w:tcPr>
                      <w:p>
                        <w:pPr>
                          <w:pStyle w:val="TableParagraph"/>
                          <w:rPr>
                            <w:rFonts w:ascii="Times New Roman"/>
                            <w:sz w:val="16"/>
                          </w:rPr>
                        </w:pPr>
                      </w:p>
                    </w:tc>
                  </w:tr>
                  <w:tr>
                    <w:trPr>
                      <w:trHeight w:val="484" w:hRule="atLeast"/>
                    </w:trPr>
                    <w:tc>
                      <w:tcPr>
                        <w:tcW w:w="2451" w:type="dxa"/>
                      </w:tcPr>
                      <w:p>
                        <w:pPr>
                          <w:pStyle w:val="TableParagraph"/>
                          <w:ind w:left="107"/>
                          <w:rPr>
                            <w:sz w:val="18"/>
                          </w:rPr>
                        </w:pPr>
                        <w:r>
                          <w:rPr>
                            <w:spacing w:val="-1"/>
                            <w:sz w:val="18"/>
                          </w:rPr>
                          <w:t>二、本年期初余额 </w:t>
                        </w:r>
                      </w:p>
                    </w:tc>
                    <w:tc>
                      <w:tcPr>
                        <w:tcW w:w="1078" w:type="dxa"/>
                      </w:tcPr>
                      <w:p>
                        <w:pPr>
                          <w:pStyle w:val="TableParagraph"/>
                          <w:spacing w:line="235" w:lineRule="exact"/>
                          <w:ind w:right="96"/>
                          <w:jc w:val="right"/>
                          <w:rPr>
                            <w:rFonts w:ascii="Times New Roman"/>
                            <w:sz w:val="21"/>
                          </w:rPr>
                        </w:pPr>
                        <w:r>
                          <w:rPr>
                            <w:rFonts w:ascii="Times New Roman"/>
                            <w:sz w:val="21"/>
                          </w:rPr>
                          <w:t>19,865,07</w:t>
                        </w:r>
                      </w:p>
                      <w:p>
                        <w:pPr>
                          <w:pStyle w:val="TableParagraph"/>
                          <w:spacing w:line="229" w:lineRule="exact" w:before="1"/>
                          <w:ind w:right="99"/>
                          <w:jc w:val="right"/>
                          <w:rPr>
                            <w:rFonts w:ascii="Times New Roman"/>
                            <w:sz w:val="21"/>
                          </w:rPr>
                        </w:pPr>
                        <w:r>
                          <w:rPr>
                            <w:rFonts w:ascii="Times New Roman"/>
                            <w:w w:val="100"/>
                            <w:sz w:val="21"/>
                          </w:rPr>
                          <w:t>0</w:t>
                        </w: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spacing w:line="235" w:lineRule="exact"/>
                          <w:ind w:right="95"/>
                          <w:jc w:val="right"/>
                          <w:rPr>
                            <w:rFonts w:ascii="Times New Roman"/>
                            <w:sz w:val="21"/>
                          </w:rPr>
                        </w:pPr>
                        <w:r>
                          <w:rPr>
                            <w:rFonts w:ascii="Times New Roman"/>
                            <w:sz w:val="21"/>
                          </w:rPr>
                          <w:t>39,027,3</w:t>
                        </w:r>
                      </w:p>
                      <w:p>
                        <w:pPr>
                          <w:pStyle w:val="TableParagraph"/>
                          <w:spacing w:line="229" w:lineRule="exact" w:before="1"/>
                          <w:ind w:right="97"/>
                          <w:jc w:val="right"/>
                          <w:rPr>
                            <w:rFonts w:ascii="Times New Roman"/>
                            <w:sz w:val="21"/>
                          </w:rPr>
                        </w:pPr>
                        <w:r>
                          <w:rPr>
                            <w:rFonts w:ascii="Times New Roman"/>
                            <w:sz w:val="21"/>
                          </w:rPr>
                          <w:t>34</w:t>
                        </w:r>
                      </w:p>
                    </w:tc>
                    <w:tc>
                      <w:tcPr>
                        <w:tcW w:w="1063" w:type="dxa"/>
                      </w:tcPr>
                      <w:p>
                        <w:pPr>
                          <w:pStyle w:val="TableParagraph"/>
                          <w:spacing w:before="115"/>
                          <w:ind w:right="99"/>
                          <w:jc w:val="right"/>
                          <w:rPr>
                            <w:rFonts w:ascii="Times New Roman"/>
                            <w:sz w:val="21"/>
                          </w:rPr>
                        </w:pPr>
                        <w:r>
                          <w:rPr>
                            <w:rFonts w:ascii="Times New Roman"/>
                            <w:sz w:val="21"/>
                          </w:rPr>
                          <w:t>-518,907</w:t>
                        </w:r>
                      </w:p>
                    </w:tc>
                    <w:tc>
                      <w:tcPr>
                        <w:tcW w:w="1023" w:type="dxa"/>
                      </w:tcPr>
                      <w:p>
                        <w:pPr>
                          <w:pStyle w:val="TableParagraph"/>
                          <w:spacing w:before="115"/>
                          <w:ind w:right="96"/>
                          <w:jc w:val="right"/>
                          <w:rPr>
                            <w:rFonts w:ascii="Times New Roman"/>
                            <w:sz w:val="21"/>
                          </w:rPr>
                        </w:pPr>
                        <w:r>
                          <w:rPr>
                            <w:rFonts w:ascii="Times New Roman"/>
                            <w:w w:val="100"/>
                            <w:sz w:val="21"/>
                          </w:rPr>
                          <w:t>-</w:t>
                        </w:r>
                      </w:p>
                    </w:tc>
                    <w:tc>
                      <w:tcPr>
                        <w:tcW w:w="180" w:type="dxa"/>
                        <w:tcBorders>
                          <w:right w:val="nil"/>
                        </w:tcBorders>
                      </w:tcPr>
                      <w:p>
                        <w:pPr>
                          <w:pStyle w:val="TableParagraph"/>
                          <w:rPr>
                            <w:rFonts w:ascii="Times New Roman"/>
                            <w:sz w:val="18"/>
                          </w:rPr>
                        </w:pPr>
                      </w:p>
                    </w:tc>
                  </w:tr>
                  <w:tr>
                    <w:trPr>
                      <w:trHeight w:val="482" w:hRule="atLeast"/>
                    </w:trPr>
                    <w:tc>
                      <w:tcPr>
                        <w:tcW w:w="2451" w:type="dxa"/>
                      </w:tcPr>
                      <w:p>
                        <w:pPr>
                          <w:pStyle w:val="TableParagraph"/>
                          <w:ind w:left="107"/>
                          <w:rPr>
                            <w:sz w:val="18"/>
                          </w:rPr>
                        </w:pPr>
                        <w:r>
                          <w:rPr>
                            <w:spacing w:val="-1"/>
                            <w:sz w:val="18"/>
                          </w:rPr>
                          <w:t>三、本期增减变动金额</w:t>
                        </w:r>
                        <w:r>
                          <w:rPr>
                            <w:sz w:val="18"/>
                          </w:rPr>
                          <w:t>（减</w:t>
                        </w:r>
                      </w:p>
                      <w:p>
                        <w:pPr>
                          <w:pStyle w:val="TableParagraph"/>
                          <w:spacing w:line="229" w:lineRule="exact" w:before="2"/>
                          <w:ind w:left="107"/>
                          <w:rPr>
                            <w:sz w:val="18"/>
                          </w:rPr>
                        </w:pPr>
                        <w:r>
                          <w:rPr>
                            <w:sz w:val="18"/>
                          </w:rPr>
                          <w:t>少以“－”号填列） </w:t>
                        </w:r>
                      </w:p>
                    </w:tc>
                    <w:tc>
                      <w:tcPr>
                        <w:tcW w:w="1078" w:type="dxa"/>
                      </w:tcPr>
                      <w:p>
                        <w:pPr>
                          <w:pStyle w:val="TableParagraph"/>
                          <w:spacing w:before="113"/>
                          <w:ind w:right="99"/>
                          <w:jc w:val="right"/>
                          <w:rPr>
                            <w:rFonts w:ascii="Times New Roman"/>
                            <w:sz w:val="21"/>
                          </w:rPr>
                        </w:pPr>
                        <w:r>
                          <w:rPr>
                            <w:rFonts w:ascii="Times New Roman"/>
                            <w:sz w:val="21"/>
                          </w:rPr>
                          <w:t>-5,477</w:t>
                        </w:r>
                      </w:p>
                    </w:tc>
                    <w:tc>
                      <w:tcPr>
                        <w:tcW w:w="1050" w:type="dxa"/>
                      </w:tcPr>
                      <w:p>
                        <w:pPr>
                          <w:pStyle w:val="TableParagraph"/>
                          <w:spacing w:before="113"/>
                          <w:ind w:right="97"/>
                          <w:jc w:val="right"/>
                          <w:rPr>
                            <w:rFonts w:ascii="Times New Roman"/>
                            <w:sz w:val="21"/>
                          </w:rPr>
                        </w:pPr>
                        <w:r>
                          <w:rPr>
                            <w:rFonts w:ascii="Times New Roman"/>
                            <w:w w:val="100"/>
                            <w:sz w:val="21"/>
                          </w:rPr>
                          <w:t>-</w:t>
                        </w:r>
                      </w:p>
                    </w:tc>
                    <w:tc>
                      <w:tcPr>
                        <w:tcW w:w="1078" w:type="dxa"/>
                      </w:tcPr>
                      <w:p>
                        <w:pPr>
                          <w:pStyle w:val="TableParagraph"/>
                          <w:spacing w:before="113"/>
                          <w:ind w:right="97"/>
                          <w:jc w:val="right"/>
                          <w:rPr>
                            <w:rFonts w:ascii="Times New Roman"/>
                            <w:sz w:val="21"/>
                          </w:rPr>
                        </w:pPr>
                        <w:r>
                          <w:rPr>
                            <w:rFonts w:ascii="Times New Roman"/>
                            <w:w w:val="100"/>
                            <w:sz w:val="21"/>
                          </w:rPr>
                          <w:t>-</w:t>
                        </w:r>
                      </w:p>
                    </w:tc>
                    <w:tc>
                      <w:tcPr>
                        <w:tcW w:w="1092" w:type="dxa"/>
                      </w:tcPr>
                      <w:p>
                        <w:pPr>
                          <w:pStyle w:val="TableParagraph"/>
                          <w:spacing w:before="113"/>
                          <w:ind w:right="97"/>
                          <w:jc w:val="right"/>
                          <w:rPr>
                            <w:rFonts w:ascii="Times New Roman"/>
                            <w:sz w:val="21"/>
                          </w:rPr>
                        </w:pPr>
                        <w:r>
                          <w:rPr>
                            <w:rFonts w:ascii="Times New Roman"/>
                            <w:w w:val="100"/>
                            <w:sz w:val="21"/>
                          </w:rPr>
                          <w:t>-</w:t>
                        </w:r>
                      </w:p>
                    </w:tc>
                    <w:tc>
                      <w:tcPr>
                        <w:tcW w:w="1037" w:type="dxa"/>
                      </w:tcPr>
                      <w:p>
                        <w:pPr>
                          <w:pStyle w:val="TableParagraph"/>
                          <w:spacing w:before="113"/>
                          <w:ind w:right="95"/>
                          <w:jc w:val="right"/>
                          <w:rPr>
                            <w:rFonts w:ascii="Times New Roman"/>
                            <w:sz w:val="21"/>
                          </w:rPr>
                        </w:pPr>
                        <w:r>
                          <w:rPr>
                            <w:rFonts w:ascii="Times New Roman"/>
                            <w:sz w:val="21"/>
                          </w:rPr>
                          <w:t>192,814</w:t>
                        </w:r>
                      </w:p>
                    </w:tc>
                    <w:tc>
                      <w:tcPr>
                        <w:tcW w:w="1063" w:type="dxa"/>
                      </w:tcPr>
                      <w:p>
                        <w:pPr>
                          <w:pStyle w:val="TableParagraph"/>
                          <w:spacing w:line="234" w:lineRule="exact"/>
                          <w:ind w:right="98"/>
                          <w:jc w:val="right"/>
                          <w:rPr>
                            <w:rFonts w:ascii="Times New Roman"/>
                            <w:sz w:val="21"/>
                          </w:rPr>
                        </w:pPr>
                        <w:r>
                          <w:rPr>
                            <w:rFonts w:ascii="Times New Roman"/>
                            <w:w w:val="100"/>
                            <w:sz w:val="21"/>
                          </w:rPr>
                          <w:t>-</w:t>
                        </w:r>
                      </w:p>
                      <w:p>
                        <w:pPr>
                          <w:pStyle w:val="TableParagraph"/>
                          <w:spacing w:line="228" w:lineRule="exact"/>
                          <w:ind w:right="97"/>
                          <w:jc w:val="right"/>
                          <w:rPr>
                            <w:rFonts w:ascii="Times New Roman"/>
                            <w:sz w:val="21"/>
                          </w:rPr>
                        </w:pPr>
                        <w:r>
                          <w:rPr>
                            <w:rFonts w:ascii="Times New Roman"/>
                            <w:sz w:val="21"/>
                          </w:rPr>
                          <w:t>1,189,803</w:t>
                        </w:r>
                      </w:p>
                    </w:tc>
                    <w:tc>
                      <w:tcPr>
                        <w:tcW w:w="1023" w:type="dxa"/>
                      </w:tcPr>
                      <w:p>
                        <w:pPr>
                          <w:pStyle w:val="TableParagraph"/>
                          <w:spacing w:before="113"/>
                          <w:ind w:right="96"/>
                          <w:jc w:val="right"/>
                          <w:rPr>
                            <w:rFonts w:ascii="Times New Roman"/>
                            <w:sz w:val="21"/>
                          </w:rPr>
                        </w:pPr>
                        <w:r>
                          <w:rPr>
                            <w:rFonts w:ascii="Times New Roman"/>
                            <w:w w:val="100"/>
                            <w:sz w:val="21"/>
                          </w:rPr>
                          <w:t>-</w:t>
                        </w:r>
                      </w:p>
                    </w:tc>
                    <w:tc>
                      <w:tcPr>
                        <w:tcW w:w="180" w:type="dxa"/>
                        <w:tcBorders>
                          <w:right w:val="nil"/>
                        </w:tcBorders>
                      </w:tcPr>
                      <w:p>
                        <w:pPr>
                          <w:pStyle w:val="TableParagraph"/>
                          <w:rPr>
                            <w:rFonts w:ascii="Times New Roman"/>
                            <w:sz w:val="18"/>
                          </w:rPr>
                        </w:pPr>
                      </w:p>
                    </w:tc>
                  </w:tr>
                  <w:tr>
                    <w:trPr>
                      <w:trHeight w:val="481" w:hRule="atLeast"/>
                    </w:trPr>
                    <w:tc>
                      <w:tcPr>
                        <w:tcW w:w="2451" w:type="dxa"/>
                      </w:tcPr>
                      <w:p>
                        <w:pPr>
                          <w:pStyle w:val="TableParagraph"/>
                          <w:ind w:left="107"/>
                          <w:rPr>
                            <w:sz w:val="18"/>
                          </w:rPr>
                        </w:pPr>
                        <w:r>
                          <w:rPr>
                            <w:sz w:val="18"/>
                          </w:rPr>
                          <w:t>（一）综合收益总额 </w:t>
                        </w:r>
                      </w:p>
                    </w:tc>
                    <w:tc>
                      <w:tcPr>
                        <w:tcW w:w="1078" w:type="dxa"/>
                      </w:tcPr>
                      <w:p>
                        <w:pPr>
                          <w:pStyle w:val="TableParagraph"/>
                          <w:spacing w:before="115"/>
                          <w:ind w:right="98"/>
                          <w:jc w:val="right"/>
                          <w:rPr>
                            <w:rFonts w:ascii="Times New Roman"/>
                            <w:sz w:val="21"/>
                          </w:rPr>
                        </w:pPr>
                        <w:r>
                          <w:rPr>
                            <w:rFonts w:ascii="Times New Roman"/>
                            <w:w w:val="100"/>
                            <w:sz w:val="21"/>
                          </w:rPr>
                          <w:t>-</w:t>
                        </w: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spacing w:before="115"/>
                          <w:ind w:right="96"/>
                          <w:jc w:val="right"/>
                          <w:rPr>
                            <w:rFonts w:ascii="Times New Roman"/>
                            <w:sz w:val="21"/>
                          </w:rPr>
                        </w:pPr>
                        <w:r>
                          <w:rPr>
                            <w:rFonts w:ascii="Times New Roman"/>
                            <w:w w:val="100"/>
                            <w:sz w:val="21"/>
                          </w:rPr>
                          <w:t>-</w:t>
                        </w:r>
                      </w:p>
                    </w:tc>
                    <w:tc>
                      <w:tcPr>
                        <w:tcW w:w="1063" w:type="dxa"/>
                      </w:tcPr>
                      <w:p>
                        <w:pPr>
                          <w:pStyle w:val="TableParagraph"/>
                          <w:spacing w:before="115"/>
                          <w:ind w:right="98"/>
                          <w:jc w:val="right"/>
                          <w:rPr>
                            <w:rFonts w:ascii="Times New Roman"/>
                            <w:sz w:val="21"/>
                          </w:rPr>
                        </w:pPr>
                        <w:r>
                          <w:rPr>
                            <w:rFonts w:ascii="Times New Roman"/>
                            <w:w w:val="100"/>
                            <w:sz w:val="21"/>
                          </w:rPr>
                          <w:t>-</w:t>
                        </w:r>
                      </w:p>
                    </w:tc>
                    <w:tc>
                      <w:tcPr>
                        <w:tcW w:w="1023" w:type="dxa"/>
                      </w:tcPr>
                      <w:p>
                        <w:pPr>
                          <w:pStyle w:val="TableParagraph"/>
                          <w:rPr>
                            <w:rFonts w:ascii="Times New Roman"/>
                            <w:sz w:val="18"/>
                          </w:rPr>
                        </w:pPr>
                      </w:p>
                    </w:tc>
                    <w:tc>
                      <w:tcPr>
                        <w:tcW w:w="180" w:type="dxa"/>
                        <w:tcBorders>
                          <w:right w:val="nil"/>
                        </w:tcBorders>
                      </w:tcPr>
                      <w:p>
                        <w:pPr>
                          <w:pStyle w:val="TableParagraph"/>
                          <w:rPr>
                            <w:rFonts w:ascii="Times New Roman"/>
                            <w:sz w:val="18"/>
                          </w:rPr>
                        </w:pPr>
                      </w:p>
                    </w:tc>
                  </w:tr>
                  <w:tr>
                    <w:trPr>
                      <w:trHeight w:val="724" w:hRule="atLeast"/>
                    </w:trPr>
                    <w:tc>
                      <w:tcPr>
                        <w:tcW w:w="2451" w:type="dxa"/>
                      </w:tcPr>
                      <w:p>
                        <w:pPr>
                          <w:pStyle w:val="TableParagraph"/>
                          <w:spacing w:line="242" w:lineRule="auto" w:before="2"/>
                          <w:ind w:left="107" w:right="171"/>
                          <w:rPr>
                            <w:sz w:val="18"/>
                          </w:rPr>
                        </w:pPr>
                        <w:r>
                          <w:rPr>
                            <w:spacing w:val="-1"/>
                            <w:sz w:val="18"/>
                          </w:rPr>
                          <w:t>（二）所有者投入和减少资</w:t>
                        </w:r>
                        <w:r>
                          <w:rPr>
                            <w:sz w:val="18"/>
                          </w:rPr>
                          <w:t>本 </w:t>
                        </w:r>
                      </w:p>
                    </w:tc>
                    <w:tc>
                      <w:tcPr>
                        <w:tcW w:w="1078" w:type="dxa"/>
                      </w:tcPr>
                      <w:p>
                        <w:pPr>
                          <w:pStyle w:val="TableParagraph"/>
                          <w:spacing w:before="5"/>
                          <w:rPr>
                            <w:sz w:val="18"/>
                          </w:rPr>
                        </w:pPr>
                      </w:p>
                      <w:p>
                        <w:pPr>
                          <w:pStyle w:val="TableParagraph"/>
                          <w:ind w:right="99"/>
                          <w:jc w:val="right"/>
                          <w:rPr>
                            <w:rFonts w:ascii="Times New Roman"/>
                            <w:sz w:val="21"/>
                          </w:rPr>
                        </w:pPr>
                        <w:r>
                          <w:rPr>
                            <w:rFonts w:ascii="Times New Roman"/>
                            <w:sz w:val="21"/>
                          </w:rPr>
                          <w:t>-5,477</w:t>
                        </w:r>
                      </w:p>
                    </w:tc>
                    <w:tc>
                      <w:tcPr>
                        <w:tcW w:w="1050" w:type="dxa"/>
                      </w:tcPr>
                      <w:p>
                        <w:pPr>
                          <w:pStyle w:val="TableParagraph"/>
                          <w:spacing w:before="5"/>
                          <w:rPr>
                            <w:sz w:val="18"/>
                          </w:rPr>
                        </w:pPr>
                      </w:p>
                      <w:p>
                        <w:pPr>
                          <w:pStyle w:val="TableParagraph"/>
                          <w:ind w:right="97"/>
                          <w:jc w:val="right"/>
                          <w:rPr>
                            <w:rFonts w:ascii="Times New Roman"/>
                            <w:sz w:val="21"/>
                          </w:rPr>
                        </w:pPr>
                        <w:r>
                          <w:rPr>
                            <w:rFonts w:ascii="Times New Roman"/>
                            <w:w w:val="100"/>
                            <w:sz w:val="21"/>
                          </w:rPr>
                          <w:t>-</w:t>
                        </w:r>
                      </w:p>
                    </w:tc>
                    <w:tc>
                      <w:tcPr>
                        <w:tcW w:w="1078" w:type="dxa"/>
                      </w:tcPr>
                      <w:p>
                        <w:pPr>
                          <w:pStyle w:val="TableParagraph"/>
                          <w:spacing w:before="5"/>
                          <w:rPr>
                            <w:sz w:val="18"/>
                          </w:rPr>
                        </w:pPr>
                      </w:p>
                      <w:p>
                        <w:pPr>
                          <w:pStyle w:val="TableParagraph"/>
                          <w:ind w:right="97"/>
                          <w:jc w:val="right"/>
                          <w:rPr>
                            <w:rFonts w:ascii="Times New Roman"/>
                            <w:sz w:val="21"/>
                          </w:rPr>
                        </w:pPr>
                        <w:r>
                          <w:rPr>
                            <w:rFonts w:ascii="Times New Roman"/>
                            <w:w w:val="100"/>
                            <w:sz w:val="21"/>
                          </w:rPr>
                          <w:t>-</w:t>
                        </w:r>
                      </w:p>
                    </w:tc>
                    <w:tc>
                      <w:tcPr>
                        <w:tcW w:w="1092" w:type="dxa"/>
                      </w:tcPr>
                      <w:p>
                        <w:pPr>
                          <w:pStyle w:val="TableParagraph"/>
                          <w:spacing w:before="5"/>
                          <w:rPr>
                            <w:sz w:val="18"/>
                          </w:rPr>
                        </w:pPr>
                      </w:p>
                      <w:p>
                        <w:pPr>
                          <w:pStyle w:val="TableParagraph"/>
                          <w:ind w:right="97"/>
                          <w:jc w:val="right"/>
                          <w:rPr>
                            <w:rFonts w:ascii="Times New Roman"/>
                            <w:sz w:val="21"/>
                          </w:rPr>
                        </w:pPr>
                        <w:r>
                          <w:rPr>
                            <w:rFonts w:ascii="Times New Roman"/>
                            <w:w w:val="100"/>
                            <w:sz w:val="21"/>
                          </w:rPr>
                          <w:t>-</w:t>
                        </w:r>
                      </w:p>
                    </w:tc>
                    <w:tc>
                      <w:tcPr>
                        <w:tcW w:w="1037" w:type="dxa"/>
                      </w:tcPr>
                      <w:p>
                        <w:pPr>
                          <w:pStyle w:val="TableParagraph"/>
                          <w:spacing w:before="5"/>
                          <w:rPr>
                            <w:sz w:val="18"/>
                          </w:rPr>
                        </w:pPr>
                      </w:p>
                      <w:p>
                        <w:pPr>
                          <w:pStyle w:val="TableParagraph"/>
                          <w:ind w:right="95"/>
                          <w:jc w:val="right"/>
                          <w:rPr>
                            <w:rFonts w:ascii="Times New Roman"/>
                            <w:sz w:val="21"/>
                          </w:rPr>
                        </w:pPr>
                        <w:r>
                          <w:rPr>
                            <w:rFonts w:ascii="Times New Roman"/>
                            <w:sz w:val="21"/>
                          </w:rPr>
                          <w:t>192,814</w:t>
                        </w:r>
                      </w:p>
                    </w:tc>
                    <w:tc>
                      <w:tcPr>
                        <w:tcW w:w="1063" w:type="dxa"/>
                      </w:tcPr>
                      <w:p>
                        <w:pPr>
                          <w:pStyle w:val="TableParagraph"/>
                          <w:spacing w:before="115"/>
                          <w:ind w:left="111" w:right="82" w:firstLine="770"/>
                          <w:rPr>
                            <w:rFonts w:ascii="Times New Roman"/>
                            <w:sz w:val="21"/>
                          </w:rPr>
                        </w:pPr>
                        <w:r>
                          <w:rPr>
                            <w:rFonts w:ascii="Times New Roman"/>
                            <w:sz w:val="21"/>
                          </w:rPr>
                          <w:t>-</w:t>
                        </w:r>
                        <w:r>
                          <w:rPr>
                            <w:rFonts w:ascii="Times New Roman"/>
                            <w:spacing w:val="-50"/>
                            <w:sz w:val="21"/>
                          </w:rPr>
                          <w:t> </w:t>
                        </w:r>
                        <w:r>
                          <w:rPr>
                            <w:rFonts w:ascii="Times New Roman"/>
                            <w:sz w:val="21"/>
                          </w:rPr>
                          <w:t>1,221,052</w:t>
                        </w:r>
                      </w:p>
                    </w:tc>
                    <w:tc>
                      <w:tcPr>
                        <w:tcW w:w="1023" w:type="dxa"/>
                      </w:tcPr>
                      <w:p>
                        <w:pPr>
                          <w:pStyle w:val="TableParagraph"/>
                          <w:spacing w:before="5"/>
                          <w:rPr>
                            <w:sz w:val="18"/>
                          </w:rPr>
                        </w:pPr>
                      </w:p>
                      <w:p>
                        <w:pPr>
                          <w:pStyle w:val="TableParagraph"/>
                          <w:ind w:right="96"/>
                          <w:jc w:val="right"/>
                          <w:rPr>
                            <w:rFonts w:ascii="Times New Roman"/>
                            <w:sz w:val="21"/>
                          </w:rPr>
                        </w:pPr>
                        <w:r>
                          <w:rPr>
                            <w:rFonts w:ascii="Times New Roman"/>
                            <w:w w:val="100"/>
                            <w:sz w:val="21"/>
                          </w:rPr>
                          <w:t>-</w:t>
                        </w:r>
                      </w:p>
                    </w:tc>
                    <w:tc>
                      <w:tcPr>
                        <w:tcW w:w="180" w:type="dxa"/>
                        <w:tcBorders>
                          <w:right w:val="nil"/>
                        </w:tcBorders>
                      </w:tcPr>
                      <w:p>
                        <w:pPr>
                          <w:pStyle w:val="TableParagraph"/>
                          <w:rPr>
                            <w:rFonts w:ascii="Times New Roman"/>
                            <w:sz w:val="18"/>
                          </w:rPr>
                        </w:pPr>
                      </w:p>
                    </w:tc>
                  </w:tr>
                  <w:tr>
                    <w:trPr>
                      <w:trHeight w:val="242" w:hRule="atLeast"/>
                    </w:trPr>
                    <w:tc>
                      <w:tcPr>
                        <w:tcW w:w="2451" w:type="dxa"/>
                      </w:tcPr>
                      <w:p>
                        <w:pPr>
                          <w:pStyle w:val="TableParagraph"/>
                          <w:spacing w:line="220" w:lineRule="exact" w:before="2"/>
                          <w:ind w:left="107"/>
                          <w:rPr>
                            <w:sz w:val="18"/>
                          </w:rPr>
                        </w:pPr>
                        <w:r>
                          <w:rPr>
                            <w:sz w:val="18"/>
                          </w:rPr>
                          <w:t>1．所有者投入的普通股 </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3" w:type="dxa"/>
                      </w:tcPr>
                      <w:p>
                        <w:pPr>
                          <w:pStyle w:val="TableParagraph"/>
                          <w:rPr>
                            <w:rFonts w:ascii="Times New Roman"/>
                            <w:sz w:val="16"/>
                          </w:rPr>
                        </w:pPr>
                      </w:p>
                    </w:tc>
                    <w:tc>
                      <w:tcPr>
                        <w:tcW w:w="180" w:type="dxa"/>
                        <w:tcBorders>
                          <w:right w:val="nil"/>
                        </w:tcBorders>
                      </w:tcPr>
                      <w:p>
                        <w:pPr>
                          <w:pStyle w:val="TableParagraph"/>
                          <w:rPr>
                            <w:rFonts w:ascii="Times New Roman"/>
                            <w:sz w:val="16"/>
                          </w:rPr>
                        </w:pPr>
                      </w:p>
                    </w:tc>
                  </w:tr>
                  <w:tr>
                    <w:trPr>
                      <w:trHeight w:val="467" w:hRule="atLeast"/>
                    </w:trPr>
                    <w:tc>
                      <w:tcPr>
                        <w:tcW w:w="2451" w:type="dxa"/>
                      </w:tcPr>
                      <w:p>
                        <w:pPr>
                          <w:pStyle w:val="TableParagraph"/>
                          <w:ind w:left="107"/>
                          <w:rPr>
                            <w:sz w:val="18"/>
                          </w:rPr>
                        </w:pPr>
                        <w:r>
                          <w:rPr>
                            <w:sz w:val="18"/>
                          </w:rPr>
                          <w:t>2．其他权益工具持有者投</w:t>
                        </w:r>
                      </w:p>
                      <w:p>
                        <w:pPr>
                          <w:pStyle w:val="TableParagraph"/>
                          <w:spacing w:line="213" w:lineRule="exact" w:before="4"/>
                          <w:ind w:left="107"/>
                          <w:rPr>
                            <w:sz w:val="18"/>
                          </w:rPr>
                        </w:pPr>
                        <w:r>
                          <w:rPr>
                            <w:spacing w:val="-1"/>
                            <w:sz w:val="18"/>
                          </w:rPr>
                          <w:t>入资本</w:t>
                        </w:r>
                        <w:r>
                          <w:rPr>
                            <w:sz w:val="18"/>
                          </w:rPr>
                          <w:t> </w:t>
                        </w:r>
                      </w:p>
                    </w:tc>
                    <w:tc>
                      <w:tcPr>
                        <w:tcW w:w="1078" w:type="dxa"/>
                      </w:tcPr>
                      <w:p>
                        <w:pPr>
                          <w:pStyle w:val="TableParagraph"/>
                          <w:rPr>
                            <w:rFonts w:ascii="Times New Roman"/>
                            <w:sz w:val="18"/>
                          </w:rPr>
                        </w:pP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rPr>
                            <w:rFonts w:ascii="Times New Roman"/>
                            <w:sz w:val="18"/>
                          </w:rPr>
                        </w:pPr>
                      </w:p>
                    </w:tc>
                    <w:tc>
                      <w:tcPr>
                        <w:tcW w:w="1063" w:type="dxa"/>
                      </w:tcPr>
                      <w:p>
                        <w:pPr>
                          <w:pStyle w:val="TableParagraph"/>
                          <w:rPr>
                            <w:rFonts w:ascii="Times New Roman"/>
                            <w:sz w:val="18"/>
                          </w:rPr>
                        </w:pPr>
                      </w:p>
                    </w:tc>
                    <w:tc>
                      <w:tcPr>
                        <w:tcW w:w="1023" w:type="dxa"/>
                      </w:tcPr>
                      <w:p>
                        <w:pPr>
                          <w:pStyle w:val="TableParagraph"/>
                          <w:rPr>
                            <w:rFonts w:ascii="Times New Roman"/>
                            <w:sz w:val="18"/>
                          </w:rPr>
                        </w:pPr>
                      </w:p>
                    </w:tc>
                    <w:tc>
                      <w:tcPr>
                        <w:tcW w:w="180" w:type="dxa"/>
                        <w:tcBorders>
                          <w:right w:val="nil"/>
                        </w:tcBorders>
                      </w:tcPr>
                      <w:p>
                        <w:pPr>
                          <w:pStyle w:val="TableParagraph"/>
                          <w:rPr>
                            <w:rFonts w:ascii="Times New Roman"/>
                            <w:sz w:val="18"/>
                          </w:rPr>
                        </w:pPr>
                      </w:p>
                    </w:tc>
                  </w:tr>
                  <w:tr>
                    <w:trPr>
                      <w:trHeight w:val="467" w:hRule="atLeast"/>
                    </w:trPr>
                    <w:tc>
                      <w:tcPr>
                        <w:tcW w:w="2451" w:type="dxa"/>
                      </w:tcPr>
                      <w:p>
                        <w:pPr>
                          <w:pStyle w:val="TableParagraph"/>
                          <w:ind w:left="107"/>
                          <w:rPr>
                            <w:sz w:val="18"/>
                          </w:rPr>
                        </w:pPr>
                        <w:r>
                          <w:rPr>
                            <w:sz w:val="18"/>
                          </w:rPr>
                          <w:t>3．股份支付计入所有者权</w:t>
                        </w:r>
                      </w:p>
                      <w:p>
                        <w:pPr>
                          <w:pStyle w:val="TableParagraph"/>
                          <w:spacing w:line="215" w:lineRule="exact" w:before="2"/>
                          <w:ind w:left="107"/>
                          <w:rPr>
                            <w:sz w:val="18"/>
                          </w:rPr>
                        </w:pPr>
                        <w:r>
                          <w:rPr>
                            <w:spacing w:val="-1"/>
                            <w:sz w:val="18"/>
                          </w:rPr>
                          <w:t>益的金额</w:t>
                        </w:r>
                        <w:r>
                          <w:rPr>
                            <w:sz w:val="18"/>
                          </w:rPr>
                          <w:t> </w:t>
                        </w:r>
                      </w:p>
                    </w:tc>
                    <w:tc>
                      <w:tcPr>
                        <w:tcW w:w="1078" w:type="dxa"/>
                      </w:tcPr>
                      <w:p>
                        <w:pPr>
                          <w:pStyle w:val="TableParagraph"/>
                          <w:spacing w:before="106"/>
                          <w:ind w:right="99"/>
                          <w:jc w:val="right"/>
                          <w:rPr>
                            <w:rFonts w:ascii="Times New Roman"/>
                            <w:sz w:val="21"/>
                          </w:rPr>
                        </w:pPr>
                        <w:r>
                          <w:rPr>
                            <w:rFonts w:ascii="Times New Roman"/>
                            <w:sz w:val="21"/>
                          </w:rPr>
                          <w:t>34</w:t>
                        </w: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spacing w:before="106"/>
                          <w:ind w:right="95"/>
                          <w:jc w:val="right"/>
                          <w:rPr>
                            <w:rFonts w:ascii="Times New Roman"/>
                            <w:sz w:val="21"/>
                          </w:rPr>
                        </w:pPr>
                        <w:r>
                          <w:rPr>
                            <w:rFonts w:ascii="Times New Roman"/>
                            <w:sz w:val="21"/>
                          </w:rPr>
                          <w:t>352</w:t>
                        </w:r>
                      </w:p>
                    </w:tc>
                    <w:tc>
                      <w:tcPr>
                        <w:tcW w:w="1063" w:type="dxa"/>
                      </w:tcPr>
                      <w:p>
                        <w:pPr>
                          <w:pStyle w:val="TableParagraph"/>
                          <w:spacing w:before="106"/>
                          <w:ind w:right="97"/>
                          <w:jc w:val="right"/>
                          <w:rPr>
                            <w:rFonts w:ascii="Times New Roman"/>
                            <w:sz w:val="21"/>
                          </w:rPr>
                        </w:pPr>
                        <w:r>
                          <w:rPr>
                            <w:rFonts w:ascii="Times New Roman"/>
                            <w:sz w:val="21"/>
                          </w:rPr>
                          <w:t>185,239</w:t>
                        </w:r>
                      </w:p>
                    </w:tc>
                    <w:tc>
                      <w:tcPr>
                        <w:tcW w:w="1023" w:type="dxa"/>
                      </w:tcPr>
                      <w:p>
                        <w:pPr>
                          <w:pStyle w:val="TableParagraph"/>
                          <w:rPr>
                            <w:rFonts w:ascii="Times New Roman"/>
                            <w:sz w:val="18"/>
                          </w:rPr>
                        </w:pPr>
                      </w:p>
                    </w:tc>
                    <w:tc>
                      <w:tcPr>
                        <w:tcW w:w="180" w:type="dxa"/>
                        <w:tcBorders>
                          <w:right w:val="nil"/>
                        </w:tcBorders>
                      </w:tcPr>
                      <w:p>
                        <w:pPr>
                          <w:pStyle w:val="TableParagraph"/>
                          <w:rPr>
                            <w:rFonts w:ascii="Times New Roman"/>
                            <w:sz w:val="18"/>
                          </w:rPr>
                        </w:pPr>
                      </w:p>
                    </w:tc>
                  </w:tr>
                  <w:tr>
                    <w:trPr>
                      <w:trHeight w:val="724" w:hRule="atLeast"/>
                    </w:trPr>
                    <w:tc>
                      <w:tcPr>
                        <w:tcW w:w="2451" w:type="dxa"/>
                      </w:tcPr>
                      <w:p>
                        <w:pPr>
                          <w:pStyle w:val="TableParagraph"/>
                          <w:spacing w:line="230" w:lineRule="exact"/>
                          <w:ind w:left="107"/>
                          <w:rPr>
                            <w:sz w:val="18"/>
                          </w:rPr>
                        </w:pPr>
                        <w:r>
                          <w:rPr>
                            <w:sz w:val="18"/>
                          </w:rPr>
                          <w:t>4．其他 </w:t>
                        </w:r>
                      </w:p>
                    </w:tc>
                    <w:tc>
                      <w:tcPr>
                        <w:tcW w:w="1078" w:type="dxa"/>
                      </w:tcPr>
                      <w:p>
                        <w:pPr>
                          <w:pStyle w:val="TableParagraph"/>
                          <w:spacing w:before="2"/>
                          <w:rPr>
                            <w:sz w:val="18"/>
                          </w:rPr>
                        </w:pPr>
                      </w:p>
                      <w:p>
                        <w:pPr>
                          <w:pStyle w:val="TableParagraph"/>
                          <w:ind w:right="99"/>
                          <w:jc w:val="right"/>
                          <w:rPr>
                            <w:rFonts w:ascii="Times New Roman"/>
                            <w:sz w:val="21"/>
                          </w:rPr>
                        </w:pPr>
                        <w:r>
                          <w:rPr>
                            <w:rFonts w:ascii="Times New Roman"/>
                            <w:sz w:val="21"/>
                          </w:rPr>
                          <w:t>-5,511</w:t>
                        </w:r>
                      </w:p>
                    </w:tc>
                    <w:tc>
                      <w:tcPr>
                        <w:tcW w:w="1050" w:type="dxa"/>
                      </w:tcPr>
                      <w:p>
                        <w:pPr>
                          <w:pStyle w:val="TableParagraph"/>
                          <w:spacing w:before="2"/>
                          <w:rPr>
                            <w:sz w:val="18"/>
                          </w:rPr>
                        </w:pPr>
                      </w:p>
                      <w:p>
                        <w:pPr>
                          <w:pStyle w:val="TableParagraph"/>
                          <w:ind w:right="97"/>
                          <w:jc w:val="right"/>
                          <w:rPr>
                            <w:rFonts w:ascii="Times New Roman"/>
                            <w:sz w:val="21"/>
                          </w:rPr>
                        </w:pPr>
                        <w:r>
                          <w:rPr>
                            <w:rFonts w:ascii="Times New Roman"/>
                            <w:w w:val="100"/>
                            <w:sz w:val="21"/>
                          </w:rPr>
                          <w:t>-</w:t>
                        </w:r>
                      </w:p>
                    </w:tc>
                    <w:tc>
                      <w:tcPr>
                        <w:tcW w:w="1078" w:type="dxa"/>
                      </w:tcPr>
                      <w:p>
                        <w:pPr>
                          <w:pStyle w:val="TableParagraph"/>
                          <w:spacing w:before="2"/>
                          <w:rPr>
                            <w:sz w:val="18"/>
                          </w:rPr>
                        </w:pPr>
                      </w:p>
                      <w:p>
                        <w:pPr>
                          <w:pStyle w:val="TableParagraph"/>
                          <w:ind w:right="97"/>
                          <w:jc w:val="right"/>
                          <w:rPr>
                            <w:rFonts w:ascii="Times New Roman"/>
                            <w:sz w:val="21"/>
                          </w:rPr>
                        </w:pPr>
                        <w:r>
                          <w:rPr>
                            <w:rFonts w:ascii="Times New Roman"/>
                            <w:w w:val="100"/>
                            <w:sz w:val="21"/>
                          </w:rPr>
                          <w:t>-</w:t>
                        </w:r>
                      </w:p>
                    </w:tc>
                    <w:tc>
                      <w:tcPr>
                        <w:tcW w:w="1092" w:type="dxa"/>
                      </w:tcPr>
                      <w:p>
                        <w:pPr>
                          <w:pStyle w:val="TableParagraph"/>
                          <w:spacing w:before="2"/>
                          <w:rPr>
                            <w:sz w:val="18"/>
                          </w:rPr>
                        </w:pPr>
                      </w:p>
                      <w:p>
                        <w:pPr>
                          <w:pStyle w:val="TableParagraph"/>
                          <w:ind w:right="97"/>
                          <w:jc w:val="right"/>
                          <w:rPr>
                            <w:rFonts w:ascii="Times New Roman"/>
                            <w:sz w:val="21"/>
                          </w:rPr>
                        </w:pPr>
                        <w:r>
                          <w:rPr>
                            <w:rFonts w:ascii="Times New Roman"/>
                            <w:w w:val="100"/>
                            <w:sz w:val="21"/>
                          </w:rPr>
                          <w:t>-</w:t>
                        </w:r>
                      </w:p>
                    </w:tc>
                    <w:tc>
                      <w:tcPr>
                        <w:tcW w:w="1037" w:type="dxa"/>
                      </w:tcPr>
                      <w:p>
                        <w:pPr>
                          <w:pStyle w:val="TableParagraph"/>
                          <w:spacing w:before="2"/>
                          <w:rPr>
                            <w:sz w:val="18"/>
                          </w:rPr>
                        </w:pPr>
                      </w:p>
                      <w:p>
                        <w:pPr>
                          <w:pStyle w:val="TableParagraph"/>
                          <w:ind w:right="95"/>
                          <w:jc w:val="right"/>
                          <w:rPr>
                            <w:rFonts w:ascii="Times New Roman"/>
                            <w:sz w:val="21"/>
                          </w:rPr>
                        </w:pPr>
                        <w:r>
                          <w:rPr>
                            <w:rFonts w:ascii="Times New Roman"/>
                            <w:sz w:val="21"/>
                          </w:rPr>
                          <w:t>192,462</w:t>
                        </w:r>
                      </w:p>
                    </w:tc>
                    <w:tc>
                      <w:tcPr>
                        <w:tcW w:w="1063" w:type="dxa"/>
                      </w:tcPr>
                      <w:p>
                        <w:pPr>
                          <w:pStyle w:val="TableParagraph"/>
                          <w:spacing w:before="113"/>
                          <w:ind w:left="111" w:right="82" w:firstLine="770"/>
                          <w:rPr>
                            <w:rFonts w:ascii="Times New Roman"/>
                            <w:sz w:val="21"/>
                          </w:rPr>
                        </w:pPr>
                        <w:r>
                          <w:rPr>
                            <w:rFonts w:ascii="Times New Roman"/>
                            <w:sz w:val="21"/>
                          </w:rPr>
                          <w:t>-</w:t>
                        </w:r>
                        <w:r>
                          <w:rPr>
                            <w:rFonts w:ascii="Times New Roman"/>
                            <w:spacing w:val="-50"/>
                            <w:sz w:val="21"/>
                          </w:rPr>
                          <w:t> </w:t>
                        </w:r>
                        <w:r>
                          <w:rPr>
                            <w:rFonts w:ascii="Times New Roman"/>
                            <w:sz w:val="21"/>
                          </w:rPr>
                          <w:t>1,406,291</w:t>
                        </w:r>
                      </w:p>
                    </w:tc>
                    <w:tc>
                      <w:tcPr>
                        <w:tcW w:w="1023" w:type="dxa"/>
                      </w:tcPr>
                      <w:p>
                        <w:pPr>
                          <w:pStyle w:val="TableParagraph"/>
                          <w:spacing w:before="2"/>
                          <w:rPr>
                            <w:sz w:val="18"/>
                          </w:rPr>
                        </w:pPr>
                      </w:p>
                      <w:p>
                        <w:pPr>
                          <w:pStyle w:val="TableParagraph"/>
                          <w:ind w:right="96"/>
                          <w:jc w:val="right"/>
                          <w:rPr>
                            <w:rFonts w:ascii="Times New Roman"/>
                            <w:sz w:val="21"/>
                          </w:rPr>
                        </w:pPr>
                        <w:r>
                          <w:rPr>
                            <w:rFonts w:ascii="Times New Roman"/>
                            <w:w w:val="100"/>
                            <w:sz w:val="21"/>
                          </w:rPr>
                          <w:t>-</w:t>
                        </w:r>
                      </w:p>
                    </w:tc>
                    <w:tc>
                      <w:tcPr>
                        <w:tcW w:w="180" w:type="dxa"/>
                        <w:tcBorders>
                          <w:right w:val="nil"/>
                        </w:tcBorders>
                      </w:tcPr>
                      <w:p>
                        <w:pPr>
                          <w:pStyle w:val="TableParagraph"/>
                          <w:rPr>
                            <w:rFonts w:ascii="Times New Roman"/>
                            <w:sz w:val="18"/>
                          </w:rPr>
                        </w:pPr>
                      </w:p>
                    </w:tc>
                  </w:tr>
                  <w:tr>
                    <w:trPr>
                      <w:trHeight w:val="724" w:hRule="atLeast"/>
                    </w:trPr>
                    <w:tc>
                      <w:tcPr>
                        <w:tcW w:w="2451" w:type="dxa"/>
                      </w:tcPr>
                      <w:p>
                        <w:pPr>
                          <w:pStyle w:val="TableParagraph"/>
                          <w:spacing w:line="230" w:lineRule="exact"/>
                          <w:ind w:left="107"/>
                          <w:rPr>
                            <w:sz w:val="18"/>
                          </w:rPr>
                        </w:pPr>
                        <w:r>
                          <w:rPr>
                            <w:sz w:val="18"/>
                          </w:rPr>
                          <w:t>（三）利润分配 </w:t>
                        </w:r>
                      </w:p>
                    </w:tc>
                    <w:tc>
                      <w:tcPr>
                        <w:tcW w:w="1078" w:type="dxa"/>
                      </w:tcPr>
                      <w:p>
                        <w:pPr>
                          <w:pStyle w:val="TableParagraph"/>
                          <w:spacing w:before="2"/>
                          <w:rPr>
                            <w:sz w:val="18"/>
                          </w:rPr>
                        </w:pPr>
                      </w:p>
                      <w:p>
                        <w:pPr>
                          <w:pStyle w:val="TableParagraph"/>
                          <w:ind w:right="98"/>
                          <w:jc w:val="right"/>
                          <w:rPr>
                            <w:rFonts w:ascii="Times New Roman"/>
                            <w:sz w:val="21"/>
                          </w:rPr>
                        </w:pPr>
                        <w:r>
                          <w:rPr>
                            <w:rFonts w:ascii="Times New Roman"/>
                            <w:w w:val="100"/>
                            <w:sz w:val="21"/>
                          </w:rPr>
                          <w:t>-</w:t>
                        </w:r>
                      </w:p>
                    </w:tc>
                    <w:tc>
                      <w:tcPr>
                        <w:tcW w:w="1050" w:type="dxa"/>
                      </w:tcPr>
                      <w:p>
                        <w:pPr>
                          <w:pStyle w:val="TableParagraph"/>
                          <w:spacing w:before="2"/>
                          <w:rPr>
                            <w:sz w:val="18"/>
                          </w:rPr>
                        </w:pPr>
                      </w:p>
                      <w:p>
                        <w:pPr>
                          <w:pStyle w:val="TableParagraph"/>
                          <w:ind w:right="97"/>
                          <w:jc w:val="right"/>
                          <w:rPr>
                            <w:rFonts w:ascii="Times New Roman"/>
                            <w:sz w:val="21"/>
                          </w:rPr>
                        </w:pPr>
                        <w:r>
                          <w:rPr>
                            <w:rFonts w:ascii="Times New Roman"/>
                            <w:w w:val="100"/>
                            <w:sz w:val="21"/>
                          </w:rPr>
                          <w:t>-</w:t>
                        </w:r>
                      </w:p>
                    </w:tc>
                    <w:tc>
                      <w:tcPr>
                        <w:tcW w:w="1078" w:type="dxa"/>
                      </w:tcPr>
                      <w:p>
                        <w:pPr>
                          <w:pStyle w:val="TableParagraph"/>
                          <w:spacing w:before="2"/>
                          <w:rPr>
                            <w:sz w:val="18"/>
                          </w:rPr>
                        </w:pPr>
                      </w:p>
                      <w:p>
                        <w:pPr>
                          <w:pStyle w:val="TableParagraph"/>
                          <w:ind w:right="97"/>
                          <w:jc w:val="right"/>
                          <w:rPr>
                            <w:rFonts w:ascii="Times New Roman"/>
                            <w:sz w:val="21"/>
                          </w:rPr>
                        </w:pPr>
                        <w:r>
                          <w:rPr>
                            <w:rFonts w:ascii="Times New Roman"/>
                            <w:w w:val="100"/>
                            <w:sz w:val="21"/>
                          </w:rPr>
                          <w:t>-</w:t>
                        </w:r>
                      </w:p>
                    </w:tc>
                    <w:tc>
                      <w:tcPr>
                        <w:tcW w:w="1092" w:type="dxa"/>
                      </w:tcPr>
                      <w:p>
                        <w:pPr>
                          <w:pStyle w:val="TableParagraph"/>
                          <w:spacing w:before="2"/>
                          <w:rPr>
                            <w:sz w:val="18"/>
                          </w:rPr>
                        </w:pPr>
                      </w:p>
                      <w:p>
                        <w:pPr>
                          <w:pStyle w:val="TableParagraph"/>
                          <w:ind w:right="97"/>
                          <w:jc w:val="right"/>
                          <w:rPr>
                            <w:rFonts w:ascii="Times New Roman"/>
                            <w:sz w:val="21"/>
                          </w:rPr>
                        </w:pPr>
                        <w:r>
                          <w:rPr>
                            <w:rFonts w:ascii="Times New Roman"/>
                            <w:w w:val="100"/>
                            <w:sz w:val="21"/>
                          </w:rPr>
                          <w:t>-</w:t>
                        </w:r>
                      </w:p>
                    </w:tc>
                    <w:tc>
                      <w:tcPr>
                        <w:tcW w:w="1037" w:type="dxa"/>
                      </w:tcPr>
                      <w:p>
                        <w:pPr>
                          <w:pStyle w:val="TableParagraph"/>
                          <w:spacing w:before="2"/>
                          <w:rPr>
                            <w:sz w:val="18"/>
                          </w:rPr>
                        </w:pPr>
                      </w:p>
                      <w:p>
                        <w:pPr>
                          <w:pStyle w:val="TableParagraph"/>
                          <w:ind w:right="96"/>
                          <w:jc w:val="right"/>
                          <w:rPr>
                            <w:rFonts w:ascii="Times New Roman"/>
                            <w:sz w:val="21"/>
                          </w:rPr>
                        </w:pPr>
                        <w:r>
                          <w:rPr>
                            <w:rFonts w:ascii="Times New Roman"/>
                            <w:w w:val="100"/>
                            <w:sz w:val="21"/>
                          </w:rPr>
                          <w:t>-</w:t>
                        </w:r>
                      </w:p>
                    </w:tc>
                    <w:tc>
                      <w:tcPr>
                        <w:tcW w:w="1063" w:type="dxa"/>
                      </w:tcPr>
                      <w:p>
                        <w:pPr>
                          <w:pStyle w:val="TableParagraph"/>
                          <w:spacing w:before="2"/>
                          <w:rPr>
                            <w:sz w:val="18"/>
                          </w:rPr>
                        </w:pPr>
                      </w:p>
                      <w:p>
                        <w:pPr>
                          <w:pStyle w:val="TableParagraph"/>
                          <w:ind w:right="97"/>
                          <w:jc w:val="right"/>
                          <w:rPr>
                            <w:rFonts w:ascii="Times New Roman"/>
                            <w:sz w:val="21"/>
                          </w:rPr>
                        </w:pPr>
                        <w:r>
                          <w:rPr>
                            <w:rFonts w:ascii="Times New Roman"/>
                            <w:sz w:val="21"/>
                          </w:rPr>
                          <w:t>31,249</w:t>
                        </w:r>
                      </w:p>
                    </w:tc>
                    <w:tc>
                      <w:tcPr>
                        <w:tcW w:w="1023" w:type="dxa"/>
                      </w:tcPr>
                      <w:p>
                        <w:pPr>
                          <w:pStyle w:val="TableParagraph"/>
                          <w:spacing w:before="2"/>
                          <w:rPr>
                            <w:sz w:val="18"/>
                          </w:rPr>
                        </w:pPr>
                      </w:p>
                      <w:p>
                        <w:pPr>
                          <w:pStyle w:val="TableParagraph"/>
                          <w:ind w:right="96"/>
                          <w:jc w:val="right"/>
                          <w:rPr>
                            <w:rFonts w:ascii="Times New Roman"/>
                            <w:sz w:val="21"/>
                          </w:rPr>
                        </w:pPr>
                        <w:r>
                          <w:rPr>
                            <w:rFonts w:ascii="Times New Roman"/>
                            <w:w w:val="100"/>
                            <w:sz w:val="21"/>
                          </w:rPr>
                          <w:t>-</w:t>
                        </w:r>
                      </w:p>
                    </w:tc>
                    <w:tc>
                      <w:tcPr>
                        <w:tcW w:w="180" w:type="dxa"/>
                        <w:tcBorders>
                          <w:right w:val="nil"/>
                        </w:tcBorders>
                      </w:tcPr>
                      <w:p>
                        <w:pPr>
                          <w:pStyle w:val="TableParagraph"/>
                          <w:rPr>
                            <w:rFonts w:ascii="Times New Roman"/>
                            <w:sz w:val="18"/>
                          </w:rPr>
                        </w:pPr>
                      </w:p>
                    </w:tc>
                  </w:tr>
                  <w:tr>
                    <w:trPr>
                      <w:trHeight w:val="724" w:hRule="atLeast"/>
                    </w:trPr>
                    <w:tc>
                      <w:tcPr>
                        <w:tcW w:w="2451" w:type="dxa"/>
                      </w:tcPr>
                      <w:p>
                        <w:pPr>
                          <w:pStyle w:val="TableParagraph"/>
                          <w:spacing w:line="230" w:lineRule="exact"/>
                          <w:ind w:left="107"/>
                          <w:rPr>
                            <w:sz w:val="18"/>
                          </w:rPr>
                        </w:pPr>
                        <w:r>
                          <w:rPr>
                            <w:sz w:val="18"/>
                          </w:rPr>
                          <w:t>1．提取盈余公积 </w:t>
                        </w:r>
                      </w:p>
                    </w:tc>
                    <w:tc>
                      <w:tcPr>
                        <w:tcW w:w="1078" w:type="dxa"/>
                      </w:tcPr>
                      <w:p>
                        <w:pPr>
                          <w:pStyle w:val="TableParagraph"/>
                          <w:spacing w:before="2"/>
                          <w:rPr>
                            <w:sz w:val="18"/>
                          </w:rPr>
                        </w:pPr>
                      </w:p>
                      <w:p>
                        <w:pPr>
                          <w:pStyle w:val="TableParagraph"/>
                          <w:ind w:right="98"/>
                          <w:jc w:val="right"/>
                          <w:rPr>
                            <w:rFonts w:ascii="Times New Roman"/>
                            <w:sz w:val="21"/>
                          </w:rPr>
                        </w:pPr>
                        <w:r>
                          <w:rPr>
                            <w:rFonts w:ascii="Times New Roman"/>
                            <w:w w:val="100"/>
                            <w:sz w:val="21"/>
                          </w:rPr>
                          <w:t>-</w:t>
                        </w: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spacing w:before="2"/>
                          <w:rPr>
                            <w:sz w:val="18"/>
                          </w:rPr>
                        </w:pPr>
                      </w:p>
                      <w:p>
                        <w:pPr>
                          <w:pStyle w:val="TableParagraph"/>
                          <w:ind w:right="96"/>
                          <w:jc w:val="right"/>
                          <w:rPr>
                            <w:rFonts w:ascii="Times New Roman"/>
                            <w:sz w:val="21"/>
                          </w:rPr>
                        </w:pPr>
                        <w:r>
                          <w:rPr>
                            <w:rFonts w:ascii="Times New Roman"/>
                            <w:w w:val="100"/>
                            <w:sz w:val="21"/>
                          </w:rPr>
                          <w:t>-</w:t>
                        </w:r>
                      </w:p>
                    </w:tc>
                    <w:tc>
                      <w:tcPr>
                        <w:tcW w:w="1063" w:type="dxa"/>
                      </w:tcPr>
                      <w:p>
                        <w:pPr>
                          <w:pStyle w:val="TableParagraph"/>
                          <w:spacing w:before="2"/>
                          <w:rPr>
                            <w:sz w:val="18"/>
                          </w:rPr>
                        </w:pPr>
                      </w:p>
                      <w:p>
                        <w:pPr>
                          <w:pStyle w:val="TableParagraph"/>
                          <w:ind w:right="98"/>
                          <w:jc w:val="right"/>
                          <w:rPr>
                            <w:rFonts w:ascii="Times New Roman"/>
                            <w:sz w:val="21"/>
                          </w:rPr>
                        </w:pPr>
                        <w:r>
                          <w:rPr>
                            <w:rFonts w:ascii="Times New Roman"/>
                            <w:w w:val="100"/>
                            <w:sz w:val="21"/>
                          </w:rPr>
                          <w:t>-</w:t>
                        </w:r>
                      </w:p>
                    </w:tc>
                    <w:tc>
                      <w:tcPr>
                        <w:tcW w:w="1023" w:type="dxa"/>
                      </w:tcPr>
                      <w:p>
                        <w:pPr>
                          <w:pStyle w:val="TableParagraph"/>
                          <w:rPr>
                            <w:rFonts w:ascii="Times New Roman"/>
                            <w:sz w:val="18"/>
                          </w:rPr>
                        </w:pPr>
                      </w:p>
                    </w:tc>
                    <w:tc>
                      <w:tcPr>
                        <w:tcW w:w="180" w:type="dxa"/>
                        <w:tcBorders>
                          <w:right w:val="nil"/>
                        </w:tcBorders>
                      </w:tcPr>
                      <w:p>
                        <w:pPr>
                          <w:pStyle w:val="TableParagraph"/>
                          <w:rPr>
                            <w:rFonts w:ascii="Times New Roman"/>
                            <w:sz w:val="18"/>
                          </w:rPr>
                        </w:pPr>
                      </w:p>
                    </w:tc>
                  </w:tr>
                  <w:tr>
                    <w:trPr>
                      <w:trHeight w:val="724" w:hRule="atLeast"/>
                    </w:trPr>
                    <w:tc>
                      <w:tcPr>
                        <w:tcW w:w="2451" w:type="dxa"/>
                      </w:tcPr>
                      <w:p>
                        <w:pPr>
                          <w:pStyle w:val="TableParagraph"/>
                          <w:spacing w:line="242" w:lineRule="auto"/>
                          <w:ind w:left="107" w:right="260"/>
                          <w:rPr>
                            <w:sz w:val="18"/>
                          </w:rPr>
                        </w:pPr>
                        <w:r>
                          <w:rPr>
                            <w:spacing w:val="-1"/>
                            <w:sz w:val="18"/>
                          </w:rPr>
                          <w:t>2．对所有者</w:t>
                        </w:r>
                        <w:r>
                          <w:rPr>
                            <w:sz w:val="18"/>
                          </w:rPr>
                          <w:t>（或股东）的分配 </w:t>
                        </w:r>
                      </w:p>
                    </w:tc>
                    <w:tc>
                      <w:tcPr>
                        <w:tcW w:w="1078" w:type="dxa"/>
                      </w:tcPr>
                      <w:p>
                        <w:pPr>
                          <w:pStyle w:val="TableParagraph"/>
                          <w:spacing w:before="2"/>
                          <w:rPr>
                            <w:sz w:val="18"/>
                          </w:rPr>
                        </w:pPr>
                      </w:p>
                      <w:p>
                        <w:pPr>
                          <w:pStyle w:val="TableParagraph"/>
                          <w:ind w:right="98"/>
                          <w:jc w:val="right"/>
                          <w:rPr>
                            <w:rFonts w:ascii="Times New Roman"/>
                            <w:sz w:val="21"/>
                          </w:rPr>
                        </w:pPr>
                        <w:r>
                          <w:rPr>
                            <w:rFonts w:ascii="Times New Roman"/>
                            <w:w w:val="100"/>
                            <w:sz w:val="21"/>
                          </w:rPr>
                          <w:t>-</w:t>
                        </w: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spacing w:before="2"/>
                          <w:rPr>
                            <w:sz w:val="18"/>
                          </w:rPr>
                        </w:pPr>
                      </w:p>
                      <w:p>
                        <w:pPr>
                          <w:pStyle w:val="TableParagraph"/>
                          <w:ind w:right="96"/>
                          <w:jc w:val="right"/>
                          <w:rPr>
                            <w:rFonts w:ascii="Times New Roman"/>
                            <w:sz w:val="21"/>
                          </w:rPr>
                        </w:pPr>
                        <w:r>
                          <w:rPr>
                            <w:rFonts w:ascii="Times New Roman"/>
                            <w:w w:val="100"/>
                            <w:sz w:val="21"/>
                          </w:rPr>
                          <w:t>-</w:t>
                        </w:r>
                      </w:p>
                    </w:tc>
                    <w:tc>
                      <w:tcPr>
                        <w:tcW w:w="1063" w:type="dxa"/>
                      </w:tcPr>
                      <w:p>
                        <w:pPr>
                          <w:pStyle w:val="TableParagraph"/>
                          <w:spacing w:before="2"/>
                          <w:rPr>
                            <w:sz w:val="18"/>
                          </w:rPr>
                        </w:pPr>
                      </w:p>
                      <w:p>
                        <w:pPr>
                          <w:pStyle w:val="TableParagraph"/>
                          <w:ind w:right="98"/>
                          <w:jc w:val="right"/>
                          <w:rPr>
                            <w:rFonts w:ascii="Times New Roman"/>
                            <w:sz w:val="21"/>
                          </w:rPr>
                        </w:pPr>
                        <w:r>
                          <w:rPr>
                            <w:rFonts w:ascii="Times New Roman"/>
                            <w:w w:val="100"/>
                            <w:sz w:val="21"/>
                          </w:rPr>
                          <w:t>-</w:t>
                        </w:r>
                      </w:p>
                    </w:tc>
                    <w:tc>
                      <w:tcPr>
                        <w:tcW w:w="1023" w:type="dxa"/>
                      </w:tcPr>
                      <w:p>
                        <w:pPr>
                          <w:pStyle w:val="TableParagraph"/>
                          <w:rPr>
                            <w:rFonts w:ascii="Times New Roman"/>
                            <w:sz w:val="18"/>
                          </w:rPr>
                        </w:pPr>
                      </w:p>
                    </w:tc>
                    <w:tc>
                      <w:tcPr>
                        <w:tcW w:w="180" w:type="dxa"/>
                        <w:tcBorders>
                          <w:right w:val="nil"/>
                        </w:tcBorders>
                      </w:tcPr>
                      <w:p>
                        <w:pPr>
                          <w:pStyle w:val="TableParagraph"/>
                          <w:rPr>
                            <w:rFonts w:ascii="Times New Roman"/>
                            <w:sz w:val="18"/>
                          </w:rPr>
                        </w:pPr>
                      </w:p>
                    </w:tc>
                  </w:tr>
                  <w:tr>
                    <w:trPr>
                      <w:trHeight w:val="239" w:hRule="atLeast"/>
                    </w:trPr>
                    <w:tc>
                      <w:tcPr>
                        <w:tcW w:w="2451" w:type="dxa"/>
                      </w:tcPr>
                      <w:p>
                        <w:pPr>
                          <w:pStyle w:val="TableParagraph"/>
                          <w:spacing w:line="220" w:lineRule="exact"/>
                          <w:ind w:left="107"/>
                          <w:rPr>
                            <w:sz w:val="18"/>
                          </w:rPr>
                        </w:pPr>
                        <w:r>
                          <w:rPr>
                            <w:sz w:val="18"/>
                          </w:rPr>
                          <w:t>3．其他 </w:t>
                        </w:r>
                      </w:p>
                    </w:tc>
                    <w:tc>
                      <w:tcPr>
                        <w:tcW w:w="1078" w:type="dxa"/>
                      </w:tcPr>
                      <w:p>
                        <w:pPr>
                          <w:pStyle w:val="TableParagraph"/>
                          <w:spacing w:line="220" w:lineRule="exact"/>
                          <w:ind w:right="98"/>
                          <w:jc w:val="right"/>
                          <w:rPr>
                            <w:rFonts w:ascii="Times New Roman"/>
                            <w:sz w:val="21"/>
                          </w:rPr>
                        </w:pPr>
                        <w:r>
                          <w:rPr>
                            <w:rFonts w:ascii="Times New Roman"/>
                            <w:w w:val="100"/>
                            <w:sz w:val="21"/>
                          </w:rPr>
                          <w:t>-</w:t>
                        </w: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spacing w:line="220" w:lineRule="exact"/>
                          <w:ind w:right="96"/>
                          <w:jc w:val="right"/>
                          <w:rPr>
                            <w:rFonts w:ascii="Times New Roman"/>
                            <w:sz w:val="21"/>
                          </w:rPr>
                        </w:pPr>
                        <w:r>
                          <w:rPr>
                            <w:rFonts w:ascii="Times New Roman"/>
                            <w:w w:val="100"/>
                            <w:sz w:val="21"/>
                          </w:rPr>
                          <w:t>-</w:t>
                        </w:r>
                      </w:p>
                    </w:tc>
                    <w:tc>
                      <w:tcPr>
                        <w:tcW w:w="1063" w:type="dxa"/>
                      </w:tcPr>
                      <w:p>
                        <w:pPr>
                          <w:pStyle w:val="TableParagraph"/>
                          <w:spacing w:line="220" w:lineRule="exact"/>
                          <w:ind w:right="97"/>
                          <w:jc w:val="right"/>
                          <w:rPr>
                            <w:rFonts w:ascii="Times New Roman"/>
                            <w:sz w:val="21"/>
                          </w:rPr>
                        </w:pPr>
                        <w:r>
                          <w:rPr>
                            <w:rFonts w:ascii="Times New Roman"/>
                            <w:sz w:val="21"/>
                          </w:rPr>
                          <w:t>31,249</w:t>
                        </w:r>
                      </w:p>
                    </w:tc>
                    <w:tc>
                      <w:tcPr>
                        <w:tcW w:w="1023" w:type="dxa"/>
                      </w:tcPr>
                      <w:p>
                        <w:pPr>
                          <w:pStyle w:val="TableParagraph"/>
                          <w:rPr>
                            <w:rFonts w:ascii="Times New Roman"/>
                            <w:sz w:val="16"/>
                          </w:rPr>
                        </w:pPr>
                      </w:p>
                    </w:tc>
                    <w:tc>
                      <w:tcPr>
                        <w:tcW w:w="180" w:type="dxa"/>
                        <w:tcBorders>
                          <w:right w:val="nil"/>
                        </w:tcBorders>
                      </w:tcPr>
                      <w:p>
                        <w:pPr>
                          <w:pStyle w:val="TableParagraph"/>
                          <w:rPr>
                            <w:rFonts w:ascii="Times New Roman"/>
                            <w:sz w:val="16"/>
                          </w:rPr>
                        </w:pPr>
                      </w:p>
                    </w:tc>
                  </w:tr>
                  <w:tr>
                    <w:trPr>
                      <w:trHeight w:val="242" w:hRule="atLeast"/>
                    </w:trPr>
                    <w:tc>
                      <w:tcPr>
                        <w:tcW w:w="2451" w:type="dxa"/>
                      </w:tcPr>
                      <w:p>
                        <w:pPr>
                          <w:pStyle w:val="TableParagraph"/>
                          <w:spacing w:line="220" w:lineRule="exact" w:before="2"/>
                          <w:ind w:left="107"/>
                          <w:rPr>
                            <w:sz w:val="18"/>
                          </w:rPr>
                        </w:pPr>
                        <w:r>
                          <w:rPr>
                            <w:sz w:val="18"/>
                          </w:rPr>
                          <w:t>（四）所有者权益内部结转 </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3" w:type="dxa"/>
                      </w:tcPr>
                      <w:p>
                        <w:pPr>
                          <w:pStyle w:val="TableParagraph"/>
                          <w:rPr>
                            <w:rFonts w:ascii="Times New Roman"/>
                            <w:sz w:val="16"/>
                          </w:rPr>
                        </w:pPr>
                      </w:p>
                    </w:tc>
                    <w:tc>
                      <w:tcPr>
                        <w:tcW w:w="180" w:type="dxa"/>
                        <w:tcBorders>
                          <w:right w:val="nil"/>
                        </w:tcBorders>
                      </w:tcPr>
                      <w:p>
                        <w:pPr>
                          <w:pStyle w:val="TableParagraph"/>
                          <w:rPr>
                            <w:rFonts w:ascii="Times New Roman"/>
                            <w:sz w:val="16"/>
                          </w:rPr>
                        </w:pPr>
                      </w:p>
                    </w:tc>
                  </w:tr>
                  <w:tr>
                    <w:trPr>
                      <w:trHeight w:val="467" w:hRule="atLeast"/>
                    </w:trPr>
                    <w:tc>
                      <w:tcPr>
                        <w:tcW w:w="2451" w:type="dxa"/>
                      </w:tcPr>
                      <w:p>
                        <w:pPr>
                          <w:pStyle w:val="TableParagraph"/>
                          <w:spacing w:line="230" w:lineRule="exact"/>
                          <w:ind w:left="107"/>
                          <w:rPr>
                            <w:sz w:val="18"/>
                          </w:rPr>
                        </w:pPr>
                        <w:r>
                          <w:rPr>
                            <w:sz w:val="18"/>
                          </w:rPr>
                          <w:t>1．资本公积转增资本（或</w:t>
                        </w:r>
                      </w:p>
                      <w:p>
                        <w:pPr>
                          <w:pStyle w:val="TableParagraph"/>
                          <w:spacing w:line="213" w:lineRule="exact" w:before="4"/>
                          <w:ind w:left="107"/>
                          <w:rPr>
                            <w:sz w:val="18"/>
                          </w:rPr>
                        </w:pPr>
                        <w:r>
                          <w:rPr>
                            <w:spacing w:val="-1"/>
                            <w:sz w:val="18"/>
                          </w:rPr>
                          <w:t>股本</w:t>
                        </w:r>
                        <w:r>
                          <w:rPr>
                            <w:sz w:val="18"/>
                          </w:rPr>
                          <w:t>） </w:t>
                        </w:r>
                      </w:p>
                    </w:tc>
                    <w:tc>
                      <w:tcPr>
                        <w:tcW w:w="1078" w:type="dxa"/>
                      </w:tcPr>
                      <w:p>
                        <w:pPr>
                          <w:pStyle w:val="TableParagraph"/>
                          <w:rPr>
                            <w:rFonts w:ascii="Times New Roman"/>
                            <w:sz w:val="18"/>
                          </w:rPr>
                        </w:pP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rPr>
                            <w:rFonts w:ascii="Times New Roman"/>
                            <w:sz w:val="18"/>
                          </w:rPr>
                        </w:pPr>
                      </w:p>
                    </w:tc>
                    <w:tc>
                      <w:tcPr>
                        <w:tcW w:w="1063" w:type="dxa"/>
                      </w:tcPr>
                      <w:p>
                        <w:pPr>
                          <w:pStyle w:val="TableParagraph"/>
                          <w:rPr>
                            <w:rFonts w:ascii="Times New Roman"/>
                            <w:sz w:val="18"/>
                          </w:rPr>
                        </w:pPr>
                      </w:p>
                    </w:tc>
                    <w:tc>
                      <w:tcPr>
                        <w:tcW w:w="1023" w:type="dxa"/>
                      </w:tcPr>
                      <w:p>
                        <w:pPr>
                          <w:pStyle w:val="TableParagraph"/>
                          <w:rPr>
                            <w:rFonts w:ascii="Times New Roman"/>
                            <w:sz w:val="18"/>
                          </w:rPr>
                        </w:pPr>
                      </w:p>
                    </w:tc>
                    <w:tc>
                      <w:tcPr>
                        <w:tcW w:w="180" w:type="dxa"/>
                        <w:tcBorders>
                          <w:right w:val="nil"/>
                        </w:tcBorders>
                      </w:tcPr>
                      <w:p>
                        <w:pPr>
                          <w:pStyle w:val="TableParagraph"/>
                          <w:rPr>
                            <w:rFonts w:ascii="Times New Roman"/>
                            <w:sz w:val="18"/>
                          </w:rPr>
                        </w:pPr>
                      </w:p>
                    </w:tc>
                  </w:tr>
                  <w:tr>
                    <w:trPr>
                      <w:trHeight w:val="467" w:hRule="atLeast"/>
                    </w:trPr>
                    <w:tc>
                      <w:tcPr>
                        <w:tcW w:w="2451" w:type="dxa"/>
                      </w:tcPr>
                      <w:p>
                        <w:pPr>
                          <w:pStyle w:val="TableParagraph"/>
                          <w:spacing w:line="230" w:lineRule="exact"/>
                          <w:ind w:left="107"/>
                          <w:rPr>
                            <w:sz w:val="18"/>
                          </w:rPr>
                        </w:pPr>
                        <w:r>
                          <w:rPr>
                            <w:sz w:val="18"/>
                          </w:rPr>
                          <w:t>2．盈余公积转增资本（或</w:t>
                        </w:r>
                      </w:p>
                      <w:p>
                        <w:pPr>
                          <w:pStyle w:val="TableParagraph"/>
                          <w:spacing w:line="215" w:lineRule="exact" w:before="2"/>
                          <w:ind w:left="107"/>
                          <w:rPr>
                            <w:sz w:val="18"/>
                          </w:rPr>
                        </w:pPr>
                        <w:r>
                          <w:rPr>
                            <w:spacing w:val="-1"/>
                            <w:sz w:val="18"/>
                          </w:rPr>
                          <w:t>股本</w:t>
                        </w:r>
                        <w:r>
                          <w:rPr>
                            <w:sz w:val="18"/>
                          </w:rPr>
                          <w:t>） </w:t>
                        </w:r>
                      </w:p>
                    </w:tc>
                    <w:tc>
                      <w:tcPr>
                        <w:tcW w:w="1078" w:type="dxa"/>
                      </w:tcPr>
                      <w:p>
                        <w:pPr>
                          <w:pStyle w:val="TableParagraph"/>
                          <w:rPr>
                            <w:rFonts w:ascii="Times New Roman"/>
                            <w:sz w:val="18"/>
                          </w:rPr>
                        </w:pP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rPr>
                            <w:rFonts w:ascii="Times New Roman"/>
                            <w:sz w:val="18"/>
                          </w:rPr>
                        </w:pPr>
                      </w:p>
                    </w:tc>
                    <w:tc>
                      <w:tcPr>
                        <w:tcW w:w="1063" w:type="dxa"/>
                      </w:tcPr>
                      <w:p>
                        <w:pPr>
                          <w:pStyle w:val="TableParagraph"/>
                          <w:rPr>
                            <w:rFonts w:ascii="Times New Roman"/>
                            <w:sz w:val="18"/>
                          </w:rPr>
                        </w:pPr>
                      </w:p>
                    </w:tc>
                    <w:tc>
                      <w:tcPr>
                        <w:tcW w:w="1023" w:type="dxa"/>
                      </w:tcPr>
                      <w:p>
                        <w:pPr>
                          <w:pStyle w:val="TableParagraph"/>
                          <w:rPr>
                            <w:rFonts w:ascii="Times New Roman"/>
                            <w:sz w:val="18"/>
                          </w:rPr>
                        </w:pPr>
                      </w:p>
                    </w:tc>
                    <w:tc>
                      <w:tcPr>
                        <w:tcW w:w="180" w:type="dxa"/>
                        <w:tcBorders>
                          <w:right w:val="nil"/>
                        </w:tcBorders>
                      </w:tcPr>
                      <w:p>
                        <w:pPr>
                          <w:pStyle w:val="TableParagraph"/>
                          <w:rPr>
                            <w:rFonts w:ascii="Times New Roman"/>
                            <w:sz w:val="18"/>
                          </w:rPr>
                        </w:pPr>
                      </w:p>
                    </w:tc>
                  </w:tr>
                  <w:tr>
                    <w:trPr>
                      <w:trHeight w:val="239" w:hRule="atLeast"/>
                    </w:trPr>
                    <w:tc>
                      <w:tcPr>
                        <w:tcW w:w="2451" w:type="dxa"/>
                      </w:tcPr>
                      <w:p>
                        <w:pPr>
                          <w:pStyle w:val="TableParagraph"/>
                          <w:spacing w:line="220" w:lineRule="exact"/>
                          <w:ind w:left="107"/>
                          <w:rPr>
                            <w:sz w:val="18"/>
                          </w:rPr>
                        </w:pPr>
                        <w:r>
                          <w:rPr>
                            <w:sz w:val="18"/>
                          </w:rPr>
                          <w:t>3．盈余公积弥补亏损 </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3" w:type="dxa"/>
                      </w:tcPr>
                      <w:p>
                        <w:pPr>
                          <w:pStyle w:val="TableParagraph"/>
                          <w:rPr>
                            <w:rFonts w:ascii="Times New Roman"/>
                            <w:sz w:val="16"/>
                          </w:rPr>
                        </w:pPr>
                      </w:p>
                    </w:tc>
                    <w:tc>
                      <w:tcPr>
                        <w:tcW w:w="180" w:type="dxa"/>
                        <w:tcBorders>
                          <w:right w:val="nil"/>
                        </w:tcBorders>
                      </w:tcPr>
                      <w:p>
                        <w:pPr>
                          <w:pStyle w:val="TableParagraph"/>
                          <w:rPr>
                            <w:rFonts w:ascii="Times New Roman"/>
                            <w:sz w:val="16"/>
                          </w:rPr>
                        </w:pPr>
                      </w:p>
                    </w:tc>
                  </w:tr>
                  <w:tr>
                    <w:trPr>
                      <w:trHeight w:val="467" w:hRule="atLeast"/>
                    </w:trPr>
                    <w:tc>
                      <w:tcPr>
                        <w:tcW w:w="2451" w:type="dxa"/>
                      </w:tcPr>
                      <w:p>
                        <w:pPr>
                          <w:pStyle w:val="TableParagraph"/>
                          <w:spacing w:line="230" w:lineRule="atLeast"/>
                          <w:ind w:left="107" w:right="260"/>
                          <w:rPr>
                            <w:sz w:val="21"/>
                          </w:rPr>
                        </w:pPr>
                        <w:r>
                          <w:rPr>
                            <w:spacing w:val="-1"/>
                            <w:sz w:val="18"/>
                          </w:rPr>
                          <w:t>4．设定受益计划变动额结</w:t>
                        </w:r>
                        <w:r>
                          <w:rPr>
                            <w:sz w:val="18"/>
                          </w:rPr>
                          <w:t>转留存收益</w:t>
                        </w:r>
                        <w:r>
                          <w:rPr>
                            <w:w w:val="100"/>
                            <w:sz w:val="21"/>
                          </w:rPr>
                          <w:t> </w:t>
                        </w:r>
                      </w:p>
                    </w:tc>
                    <w:tc>
                      <w:tcPr>
                        <w:tcW w:w="1078" w:type="dxa"/>
                      </w:tcPr>
                      <w:p>
                        <w:pPr>
                          <w:pStyle w:val="TableParagraph"/>
                          <w:rPr>
                            <w:rFonts w:ascii="Times New Roman"/>
                            <w:sz w:val="18"/>
                          </w:rPr>
                        </w:pP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rPr>
                            <w:rFonts w:ascii="Times New Roman"/>
                            <w:sz w:val="18"/>
                          </w:rPr>
                        </w:pPr>
                      </w:p>
                    </w:tc>
                    <w:tc>
                      <w:tcPr>
                        <w:tcW w:w="1063" w:type="dxa"/>
                      </w:tcPr>
                      <w:p>
                        <w:pPr>
                          <w:pStyle w:val="TableParagraph"/>
                          <w:rPr>
                            <w:rFonts w:ascii="Times New Roman"/>
                            <w:sz w:val="18"/>
                          </w:rPr>
                        </w:pPr>
                      </w:p>
                    </w:tc>
                    <w:tc>
                      <w:tcPr>
                        <w:tcW w:w="1023" w:type="dxa"/>
                      </w:tcPr>
                      <w:p>
                        <w:pPr>
                          <w:pStyle w:val="TableParagraph"/>
                          <w:rPr>
                            <w:rFonts w:ascii="Times New Roman"/>
                            <w:sz w:val="18"/>
                          </w:rPr>
                        </w:pPr>
                      </w:p>
                    </w:tc>
                    <w:tc>
                      <w:tcPr>
                        <w:tcW w:w="180" w:type="dxa"/>
                        <w:tcBorders>
                          <w:right w:val="nil"/>
                        </w:tcBorders>
                      </w:tcPr>
                      <w:p>
                        <w:pPr>
                          <w:pStyle w:val="TableParagraph"/>
                          <w:rPr>
                            <w:rFonts w:ascii="Times New Roman"/>
                            <w:sz w:val="18"/>
                          </w:rPr>
                        </w:pPr>
                      </w:p>
                    </w:tc>
                  </w:tr>
                  <w:tr>
                    <w:trPr>
                      <w:trHeight w:val="467" w:hRule="atLeast"/>
                    </w:trPr>
                    <w:tc>
                      <w:tcPr>
                        <w:tcW w:w="2451" w:type="dxa"/>
                      </w:tcPr>
                      <w:p>
                        <w:pPr>
                          <w:pStyle w:val="TableParagraph"/>
                          <w:spacing w:line="230" w:lineRule="exact"/>
                          <w:ind w:left="107"/>
                          <w:rPr>
                            <w:sz w:val="18"/>
                          </w:rPr>
                        </w:pPr>
                        <w:r>
                          <w:rPr>
                            <w:sz w:val="18"/>
                          </w:rPr>
                          <w:t>5．其他综合收益结转留存</w:t>
                        </w:r>
                      </w:p>
                      <w:p>
                        <w:pPr>
                          <w:pStyle w:val="TableParagraph"/>
                          <w:spacing w:line="213" w:lineRule="exact" w:before="4"/>
                          <w:ind w:left="107"/>
                          <w:rPr>
                            <w:sz w:val="18"/>
                          </w:rPr>
                        </w:pPr>
                        <w:r>
                          <w:rPr>
                            <w:sz w:val="18"/>
                          </w:rPr>
                          <w:t>收益 </w:t>
                        </w:r>
                      </w:p>
                    </w:tc>
                    <w:tc>
                      <w:tcPr>
                        <w:tcW w:w="1078" w:type="dxa"/>
                      </w:tcPr>
                      <w:p>
                        <w:pPr>
                          <w:pStyle w:val="TableParagraph"/>
                          <w:rPr>
                            <w:rFonts w:ascii="Times New Roman"/>
                            <w:sz w:val="18"/>
                          </w:rPr>
                        </w:pP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rPr>
                            <w:rFonts w:ascii="Times New Roman"/>
                            <w:sz w:val="18"/>
                          </w:rPr>
                        </w:pPr>
                      </w:p>
                    </w:tc>
                    <w:tc>
                      <w:tcPr>
                        <w:tcW w:w="1063" w:type="dxa"/>
                      </w:tcPr>
                      <w:p>
                        <w:pPr>
                          <w:pStyle w:val="TableParagraph"/>
                          <w:rPr>
                            <w:rFonts w:ascii="Times New Roman"/>
                            <w:sz w:val="18"/>
                          </w:rPr>
                        </w:pPr>
                      </w:p>
                    </w:tc>
                    <w:tc>
                      <w:tcPr>
                        <w:tcW w:w="1023" w:type="dxa"/>
                      </w:tcPr>
                      <w:p>
                        <w:pPr>
                          <w:pStyle w:val="TableParagraph"/>
                          <w:rPr>
                            <w:rFonts w:ascii="Times New Roman"/>
                            <w:sz w:val="18"/>
                          </w:rPr>
                        </w:pPr>
                      </w:p>
                    </w:tc>
                    <w:tc>
                      <w:tcPr>
                        <w:tcW w:w="180" w:type="dxa"/>
                        <w:tcBorders>
                          <w:right w:val="nil"/>
                        </w:tcBorders>
                      </w:tcPr>
                      <w:p>
                        <w:pPr>
                          <w:pStyle w:val="TableParagraph"/>
                          <w:rPr>
                            <w:rFonts w:ascii="Times New Roman"/>
                            <w:sz w:val="18"/>
                          </w:rPr>
                        </w:pPr>
                      </w:p>
                    </w:tc>
                  </w:tr>
                  <w:tr>
                    <w:trPr>
                      <w:trHeight w:val="242" w:hRule="atLeast"/>
                    </w:trPr>
                    <w:tc>
                      <w:tcPr>
                        <w:tcW w:w="2451" w:type="dxa"/>
                      </w:tcPr>
                      <w:p>
                        <w:pPr>
                          <w:pStyle w:val="TableParagraph"/>
                          <w:spacing w:line="222" w:lineRule="exact"/>
                          <w:ind w:left="107"/>
                          <w:rPr>
                            <w:sz w:val="21"/>
                          </w:rPr>
                        </w:pPr>
                        <w:r>
                          <w:rPr>
                            <w:sz w:val="18"/>
                          </w:rPr>
                          <w:t>6．其他</w:t>
                        </w:r>
                        <w:r>
                          <w:rPr>
                            <w:w w:val="100"/>
                            <w:sz w:val="21"/>
                          </w:rPr>
                          <w:t> </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3" w:type="dxa"/>
                      </w:tcPr>
                      <w:p>
                        <w:pPr>
                          <w:pStyle w:val="TableParagraph"/>
                          <w:rPr>
                            <w:rFonts w:ascii="Times New Roman"/>
                            <w:sz w:val="16"/>
                          </w:rPr>
                        </w:pPr>
                      </w:p>
                    </w:tc>
                    <w:tc>
                      <w:tcPr>
                        <w:tcW w:w="180" w:type="dxa"/>
                        <w:tcBorders>
                          <w:right w:val="nil"/>
                        </w:tcBorders>
                      </w:tcPr>
                      <w:p>
                        <w:pPr>
                          <w:pStyle w:val="TableParagraph"/>
                          <w:rPr>
                            <w:rFonts w:ascii="Times New Roman"/>
                            <w:sz w:val="16"/>
                          </w:rPr>
                        </w:pPr>
                      </w:p>
                    </w:tc>
                  </w:tr>
                  <w:tr>
                    <w:trPr>
                      <w:trHeight w:val="239" w:hRule="atLeast"/>
                    </w:trPr>
                    <w:tc>
                      <w:tcPr>
                        <w:tcW w:w="2451" w:type="dxa"/>
                      </w:tcPr>
                      <w:p>
                        <w:pPr>
                          <w:pStyle w:val="TableParagraph"/>
                          <w:spacing w:line="217" w:lineRule="exact" w:before="2"/>
                          <w:ind w:left="107"/>
                          <w:rPr>
                            <w:sz w:val="18"/>
                          </w:rPr>
                        </w:pPr>
                        <w:r>
                          <w:rPr>
                            <w:sz w:val="18"/>
                          </w:rPr>
                          <w:t>（五）专项储备 </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3" w:type="dxa"/>
                      </w:tcPr>
                      <w:p>
                        <w:pPr>
                          <w:pStyle w:val="TableParagraph"/>
                          <w:rPr>
                            <w:rFonts w:ascii="Times New Roman"/>
                            <w:sz w:val="16"/>
                          </w:rPr>
                        </w:pPr>
                      </w:p>
                    </w:tc>
                    <w:tc>
                      <w:tcPr>
                        <w:tcW w:w="180" w:type="dxa"/>
                        <w:tcBorders>
                          <w:right w:val="nil"/>
                        </w:tcBorders>
                      </w:tcPr>
                      <w:p>
                        <w:pPr>
                          <w:pStyle w:val="TableParagraph"/>
                          <w:rPr>
                            <w:rFonts w:ascii="Times New Roman"/>
                            <w:sz w:val="16"/>
                          </w:rPr>
                        </w:pPr>
                      </w:p>
                    </w:tc>
                  </w:tr>
                  <w:tr>
                    <w:trPr>
                      <w:trHeight w:val="241" w:hRule="atLeast"/>
                    </w:trPr>
                    <w:tc>
                      <w:tcPr>
                        <w:tcW w:w="2451" w:type="dxa"/>
                      </w:tcPr>
                      <w:p>
                        <w:pPr>
                          <w:pStyle w:val="TableParagraph"/>
                          <w:spacing w:line="217" w:lineRule="exact" w:before="4"/>
                          <w:ind w:left="107"/>
                          <w:rPr>
                            <w:sz w:val="18"/>
                          </w:rPr>
                        </w:pPr>
                        <w:r>
                          <w:rPr>
                            <w:sz w:val="18"/>
                          </w:rPr>
                          <w:t>1．本期提取 </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3" w:type="dxa"/>
                      </w:tcPr>
                      <w:p>
                        <w:pPr>
                          <w:pStyle w:val="TableParagraph"/>
                          <w:rPr>
                            <w:rFonts w:ascii="Times New Roman"/>
                            <w:sz w:val="16"/>
                          </w:rPr>
                        </w:pPr>
                      </w:p>
                    </w:tc>
                    <w:tc>
                      <w:tcPr>
                        <w:tcW w:w="180" w:type="dxa"/>
                        <w:tcBorders>
                          <w:right w:val="nil"/>
                        </w:tcBorders>
                      </w:tcPr>
                      <w:p>
                        <w:pPr>
                          <w:pStyle w:val="TableParagraph"/>
                          <w:rPr>
                            <w:rFonts w:ascii="Times New Roman"/>
                            <w:sz w:val="16"/>
                          </w:rPr>
                        </w:pPr>
                      </w:p>
                    </w:tc>
                  </w:tr>
                  <w:tr>
                    <w:trPr>
                      <w:trHeight w:val="241" w:hRule="atLeast"/>
                    </w:trPr>
                    <w:tc>
                      <w:tcPr>
                        <w:tcW w:w="2451" w:type="dxa"/>
                      </w:tcPr>
                      <w:p>
                        <w:pPr>
                          <w:pStyle w:val="TableParagraph"/>
                          <w:spacing w:line="217" w:lineRule="exact" w:before="4"/>
                          <w:ind w:left="107"/>
                          <w:rPr>
                            <w:sz w:val="18"/>
                          </w:rPr>
                        </w:pPr>
                        <w:r>
                          <w:rPr>
                            <w:sz w:val="18"/>
                          </w:rPr>
                          <w:t>2．本期使用 </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3" w:type="dxa"/>
                      </w:tcPr>
                      <w:p>
                        <w:pPr>
                          <w:pStyle w:val="TableParagraph"/>
                          <w:rPr>
                            <w:rFonts w:ascii="Times New Roman"/>
                            <w:sz w:val="16"/>
                          </w:rPr>
                        </w:pPr>
                      </w:p>
                    </w:tc>
                    <w:tc>
                      <w:tcPr>
                        <w:tcW w:w="180" w:type="dxa"/>
                        <w:tcBorders>
                          <w:right w:val="nil"/>
                        </w:tcBorders>
                      </w:tcPr>
                      <w:p>
                        <w:pPr>
                          <w:pStyle w:val="TableParagraph"/>
                          <w:rPr>
                            <w:rFonts w:ascii="Times New Roman"/>
                            <w:sz w:val="16"/>
                          </w:rPr>
                        </w:pPr>
                      </w:p>
                    </w:tc>
                  </w:tr>
                  <w:tr>
                    <w:trPr>
                      <w:trHeight w:val="242" w:hRule="atLeast"/>
                    </w:trPr>
                    <w:tc>
                      <w:tcPr>
                        <w:tcW w:w="2451" w:type="dxa"/>
                      </w:tcPr>
                      <w:p>
                        <w:pPr>
                          <w:pStyle w:val="TableParagraph"/>
                          <w:spacing w:line="222" w:lineRule="exact"/>
                          <w:ind w:left="107"/>
                          <w:rPr>
                            <w:sz w:val="18"/>
                          </w:rPr>
                        </w:pPr>
                        <w:r>
                          <w:rPr>
                            <w:sz w:val="18"/>
                          </w:rPr>
                          <w:t>（六）其他 </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3" w:type="dxa"/>
                      </w:tcPr>
                      <w:p>
                        <w:pPr>
                          <w:pStyle w:val="TableParagraph"/>
                          <w:rPr>
                            <w:rFonts w:ascii="Times New Roman"/>
                            <w:sz w:val="16"/>
                          </w:rPr>
                        </w:pPr>
                      </w:p>
                    </w:tc>
                    <w:tc>
                      <w:tcPr>
                        <w:tcW w:w="180" w:type="dxa"/>
                        <w:tcBorders>
                          <w:right w:val="nil"/>
                        </w:tcBorders>
                      </w:tcPr>
                      <w:p>
                        <w:pPr>
                          <w:pStyle w:val="TableParagraph"/>
                          <w:rPr>
                            <w:rFonts w:ascii="Times New Roman"/>
                            <w:sz w:val="16"/>
                          </w:rPr>
                        </w:pPr>
                      </w:p>
                    </w:tc>
                  </w:tr>
                  <w:tr>
                    <w:trPr>
                      <w:trHeight w:val="481" w:hRule="atLeast"/>
                    </w:trPr>
                    <w:tc>
                      <w:tcPr>
                        <w:tcW w:w="2451" w:type="dxa"/>
                      </w:tcPr>
                      <w:p>
                        <w:pPr>
                          <w:pStyle w:val="TableParagraph"/>
                          <w:spacing w:line="230" w:lineRule="exact"/>
                          <w:ind w:left="107"/>
                          <w:rPr>
                            <w:sz w:val="18"/>
                          </w:rPr>
                        </w:pPr>
                        <w:r>
                          <w:rPr>
                            <w:spacing w:val="-1"/>
                            <w:sz w:val="18"/>
                          </w:rPr>
                          <w:t>四、本期期末余额</w:t>
                        </w:r>
                        <w:r>
                          <w:rPr>
                            <w:sz w:val="18"/>
                          </w:rPr>
                          <w:t> </w:t>
                        </w:r>
                      </w:p>
                    </w:tc>
                    <w:tc>
                      <w:tcPr>
                        <w:tcW w:w="1078" w:type="dxa"/>
                      </w:tcPr>
                      <w:p>
                        <w:pPr>
                          <w:pStyle w:val="TableParagraph"/>
                          <w:spacing w:line="235" w:lineRule="exact"/>
                          <w:ind w:right="96"/>
                          <w:jc w:val="right"/>
                          <w:rPr>
                            <w:rFonts w:ascii="Times New Roman"/>
                            <w:sz w:val="21"/>
                          </w:rPr>
                        </w:pPr>
                        <w:r>
                          <w:rPr>
                            <w:rFonts w:ascii="Times New Roman"/>
                            <w:sz w:val="21"/>
                          </w:rPr>
                          <w:t>19,859,59</w:t>
                        </w:r>
                      </w:p>
                      <w:p>
                        <w:pPr>
                          <w:pStyle w:val="TableParagraph"/>
                          <w:spacing w:line="226" w:lineRule="exact" w:before="1"/>
                          <w:ind w:right="99"/>
                          <w:jc w:val="right"/>
                          <w:rPr>
                            <w:rFonts w:ascii="Times New Roman"/>
                            <w:sz w:val="21"/>
                          </w:rPr>
                        </w:pPr>
                        <w:r>
                          <w:rPr>
                            <w:rFonts w:ascii="Times New Roman"/>
                            <w:w w:val="100"/>
                            <w:sz w:val="21"/>
                          </w:rPr>
                          <w:t>3</w:t>
                        </w: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spacing w:line="235" w:lineRule="exact"/>
                          <w:ind w:right="95"/>
                          <w:jc w:val="right"/>
                          <w:rPr>
                            <w:rFonts w:ascii="Times New Roman"/>
                            <w:sz w:val="21"/>
                          </w:rPr>
                        </w:pPr>
                        <w:r>
                          <w:rPr>
                            <w:rFonts w:ascii="Times New Roman"/>
                            <w:sz w:val="21"/>
                          </w:rPr>
                          <w:t>39,220,1</w:t>
                        </w:r>
                      </w:p>
                      <w:p>
                        <w:pPr>
                          <w:pStyle w:val="TableParagraph"/>
                          <w:spacing w:line="226" w:lineRule="exact" w:before="1"/>
                          <w:ind w:right="97"/>
                          <w:jc w:val="right"/>
                          <w:rPr>
                            <w:rFonts w:ascii="Times New Roman"/>
                            <w:sz w:val="21"/>
                          </w:rPr>
                        </w:pPr>
                        <w:r>
                          <w:rPr>
                            <w:rFonts w:ascii="Times New Roman"/>
                            <w:sz w:val="21"/>
                          </w:rPr>
                          <w:t>48</w:t>
                        </w:r>
                      </w:p>
                    </w:tc>
                    <w:tc>
                      <w:tcPr>
                        <w:tcW w:w="1063" w:type="dxa"/>
                      </w:tcPr>
                      <w:p>
                        <w:pPr>
                          <w:pStyle w:val="TableParagraph"/>
                          <w:spacing w:line="235" w:lineRule="exact"/>
                          <w:ind w:right="98"/>
                          <w:jc w:val="right"/>
                          <w:rPr>
                            <w:rFonts w:ascii="Times New Roman"/>
                            <w:sz w:val="21"/>
                          </w:rPr>
                        </w:pPr>
                        <w:r>
                          <w:rPr>
                            <w:rFonts w:ascii="Times New Roman"/>
                            <w:w w:val="100"/>
                            <w:sz w:val="21"/>
                          </w:rPr>
                          <w:t>-</w:t>
                        </w:r>
                      </w:p>
                      <w:p>
                        <w:pPr>
                          <w:pStyle w:val="TableParagraph"/>
                          <w:spacing w:line="226" w:lineRule="exact" w:before="1"/>
                          <w:ind w:right="97"/>
                          <w:jc w:val="right"/>
                          <w:rPr>
                            <w:rFonts w:ascii="Times New Roman"/>
                            <w:sz w:val="21"/>
                          </w:rPr>
                        </w:pPr>
                        <w:r>
                          <w:rPr>
                            <w:rFonts w:ascii="Times New Roman"/>
                            <w:sz w:val="21"/>
                          </w:rPr>
                          <w:t>1,708,710</w:t>
                        </w:r>
                      </w:p>
                    </w:tc>
                    <w:tc>
                      <w:tcPr>
                        <w:tcW w:w="1023" w:type="dxa"/>
                      </w:tcPr>
                      <w:p>
                        <w:pPr>
                          <w:pStyle w:val="TableParagraph"/>
                          <w:rPr>
                            <w:rFonts w:ascii="Times New Roman"/>
                            <w:sz w:val="18"/>
                          </w:rPr>
                        </w:pPr>
                      </w:p>
                    </w:tc>
                    <w:tc>
                      <w:tcPr>
                        <w:tcW w:w="180" w:type="dxa"/>
                        <w:tcBorders>
                          <w:right w:val="nil"/>
                        </w:tcBorders>
                      </w:tcPr>
                      <w:p>
                        <w:pPr>
                          <w:pStyle w:val="TableParagraph"/>
                          <w:rPr>
                            <w:rFonts w:ascii="Times New Roman"/>
                            <w:sz w:val="18"/>
                          </w:rPr>
                        </w:pPr>
                      </w:p>
                    </w:tc>
                  </w:tr>
                </w:tbl>
                <w:p>
                  <w:pPr>
                    <w:pStyle w:val="BodyText"/>
                    <w:ind w:left="0"/>
                  </w:pPr>
                </w:p>
              </w:txbxContent>
            </v:textbox>
            <w10:wrap type="none"/>
          </v:shape>
        </w:pic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19"/>
        </w:rPr>
      </w:pPr>
    </w:p>
    <w:p>
      <w:pPr>
        <w:pStyle w:val="BodyText"/>
        <w:spacing w:before="1"/>
      </w:pPr>
      <w:r>
        <w:rPr>
          <w:w w:val="100"/>
        </w:rPr>
        <w:t> </w:t>
      </w:r>
    </w:p>
    <w:p>
      <w:pPr>
        <w:pStyle w:val="BodyText"/>
        <w:spacing w:before="4"/>
      </w:pPr>
      <w:r>
        <w:rPr/>
        <w:pict>
          <v:shape style="position:absolute;margin-left:95.304001pt;margin-top:13.700033pt;width:500.75pt;height:29.8pt;mso-position-horizontal-relative:page;mso-position-vertical-relative:paragraph;z-index:15735808"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396"/>
                    <w:gridCol w:w="1078"/>
                    <w:gridCol w:w="3219"/>
                    <w:gridCol w:w="1038"/>
                    <w:gridCol w:w="1064"/>
                    <w:gridCol w:w="1024"/>
                    <w:gridCol w:w="179"/>
                  </w:tblGrid>
                  <w:tr>
                    <w:trPr>
                      <w:trHeight w:val="234" w:hRule="atLeast"/>
                    </w:trPr>
                    <w:tc>
                      <w:tcPr>
                        <w:tcW w:w="2396" w:type="dxa"/>
                        <w:vMerge w:val="restart"/>
                      </w:tcPr>
                      <w:p>
                        <w:pPr>
                          <w:pStyle w:val="TableParagraph"/>
                          <w:spacing w:before="11"/>
                          <w:rPr>
                            <w:sz w:val="12"/>
                          </w:rPr>
                        </w:pPr>
                      </w:p>
                      <w:p>
                        <w:pPr>
                          <w:pStyle w:val="TableParagraph"/>
                          <w:ind w:left="1039" w:right="941"/>
                          <w:jc w:val="center"/>
                          <w:rPr>
                            <w:sz w:val="18"/>
                          </w:rPr>
                        </w:pPr>
                        <w:r>
                          <w:rPr>
                            <w:sz w:val="18"/>
                          </w:rPr>
                          <w:t>项目 </w:t>
                        </w:r>
                      </w:p>
                    </w:tc>
                    <w:tc>
                      <w:tcPr>
                        <w:tcW w:w="7602" w:type="dxa"/>
                        <w:gridSpan w:val="6"/>
                        <w:tcBorders>
                          <w:right w:val="nil"/>
                        </w:tcBorders>
                      </w:tcPr>
                      <w:p>
                        <w:pPr>
                          <w:pStyle w:val="TableParagraph"/>
                          <w:spacing w:line="212" w:lineRule="exact" w:before="2"/>
                          <w:ind w:right="1319"/>
                          <w:jc w:val="right"/>
                          <w:rPr>
                            <w:sz w:val="18"/>
                          </w:rPr>
                        </w:pPr>
                        <w:r>
                          <w:rPr>
                            <w:spacing w:val="1"/>
                            <w:sz w:val="18"/>
                          </w:rPr>
                          <w:t> </w:t>
                        </w:r>
                        <w:r>
                          <w:rPr>
                            <w:spacing w:val="-1"/>
                            <w:sz w:val="18"/>
                          </w:rPr>
                          <w:t>2021</w:t>
                        </w:r>
                        <w:r>
                          <w:rPr>
                            <w:spacing w:val="-15"/>
                            <w:sz w:val="18"/>
                          </w:rPr>
                          <w:t> 年度</w:t>
                        </w:r>
                        <w:r>
                          <w:rPr>
                            <w:sz w:val="18"/>
                          </w:rPr>
                          <w:t> </w:t>
                        </w:r>
                      </w:p>
                    </w:tc>
                  </w:tr>
                  <w:tr>
                    <w:trPr>
                      <w:trHeight w:val="316" w:hRule="atLeast"/>
                    </w:trPr>
                    <w:tc>
                      <w:tcPr>
                        <w:tcW w:w="2396" w:type="dxa"/>
                        <w:vMerge/>
                        <w:tcBorders>
                          <w:top w:val="nil"/>
                        </w:tcBorders>
                      </w:tcPr>
                      <w:p>
                        <w:pPr>
                          <w:rPr>
                            <w:sz w:val="2"/>
                            <w:szCs w:val="2"/>
                          </w:rPr>
                        </w:pPr>
                      </w:p>
                    </w:tc>
                    <w:tc>
                      <w:tcPr>
                        <w:tcW w:w="1078" w:type="dxa"/>
                        <w:tcBorders>
                          <w:right w:val="single" w:sz="4" w:space="0" w:color="000000"/>
                        </w:tcBorders>
                      </w:tcPr>
                      <w:p>
                        <w:pPr>
                          <w:pStyle w:val="TableParagraph"/>
                          <w:rPr>
                            <w:rFonts w:ascii="Times New Roman"/>
                            <w:sz w:val="18"/>
                          </w:rPr>
                        </w:pPr>
                      </w:p>
                    </w:tc>
                    <w:tc>
                      <w:tcPr>
                        <w:tcW w:w="3219" w:type="dxa"/>
                        <w:tcBorders>
                          <w:left w:val="single" w:sz="4" w:space="0" w:color="000000"/>
                          <w:bottom w:val="single" w:sz="4" w:space="0" w:color="000000"/>
                        </w:tcBorders>
                      </w:tcPr>
                      <w:p>
                        <w:pPr>
                          <w:pStyle w:val="TableParagraph"/>
                          <w:spacing w:before="40"/>
                          <w:ind w:left="1069"/>
                          <w:rPr>
                            <w:sz w:val="18"/>
                          </w:rPr>
                        </w:pPr>
                        <w:r>
                          <w:rPr>
                            <w:sz w:val="18"/>
                          </w:rPr>
                          <w:t>其他权益工具 </w:t>
                        </w:r>
                      </w:p>
                    </w:tc>
                    <w:tc>
                      <w:tcPr>
                        <w:tcW w:w="1038" w:type="dxa"/>
                      </w:tcPr>
                      <w:p>
                        <w:pPr>
                          <w:pStyle w:val="TableParagraph"/>
                          <w:spacing w:before="40"/>
                          <w:ind w:left="157"/>
                          <w:rPr>
                            <w:sz w:val="18"/>
                          </w:rPr>
                        </w:pPr>
                        <w:r>
                          <w:rPr>
                            <w:sz w:val="18"/>
                          </w:rPr>
                          <w:t>资本公积 </w:t>
                        </w:r>
                      </w:p>
                    </w:tc>
                    <w:tc>
                      <w:tcPr>
                        <w:tcW w:w="1064" w:type="dxa"/>
                      </w:tcPr>
                      <w:p>
                        <w:pPr>
                          <w:pStyle w:val="TableParagraph"/>
                          <w:rPr>
                            <w:rFonts w:ascii="Times New Roman"/>
                            <w:sz w:val="18"/>
                          </w:rPr>
                        </w:pPr>
                      </w:p>
                    </w:tc>
                    <w:tc>
                      <w:tcPr>
                        <w:tcW w:w="1024" w:type="dxa"/>
                      </w:tcPr>
                      <w:p>
                        <w:pPr>
                          <w:pStyle w:val="TableParagraph"/>
                          <w:rPr>
                            <w:rFonts w:ascii="Times New Roman"/>
                            <w:sz w:val="18"/>
                          </w:rPr>
                        </w:pPr>
                      </w:p>
                    </w:tc>
                    <w:tc>
                      <w:tcPr>
                        <w:tcW w:w="179" w:type="dxa"/>
                        <w:tcBorders>
                          <w:right w:val="nil"/>
                        </w:tcBorders>
                      </w:tcPr>
                      <w:p>
                        <w:pPr>
                          <w:pStyle w:val="TableParagraph"/>
                          <w:rPr>
                            <w:rFonts w:ascii="Times New Roman"/>
                            <w:sz w:val="18"/>
                          </w:rPr>
                        </w:pPr>
                      </w:p>
                    </w:tc>
                  </w:tr>
                </w:tbl>
                <w:p>
                  <w:pPr>
                    <w:pStyle w:val="BodyText"/>
                    <w:ind w:left="0"/>
                  </w:pPr>
                </w:p>
              </w:txbxContent>
            </v:textbox>
            <w10:wrap type="none"/>
          </v:shape>
        </w:pict>
      </w:r>
      <w:r>
        <w:rPr>
          <w:w w:val="100"/>
        </w:rPr>
        <w:t> </w:t>
      </w:r>
    </w:p>
    <w:p>
      <w:pPr>
        <w:spacing w:after="0"/>
        <w:sectPr>
          <w:pgSz w:w="11910" w:h="16840"/>
          <w:pgMar w:header="882" w:footer="1172" w:top="1120" w:bottom="1380" w:left="1480" w:right="0"/>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7"/>
        <w:ind w:left="0"/>
        <w:rPr>
          <w:sz w:val="15"/>
        </w:rPr>
      </w:pPr>
    </w:p>
    <w:p>
      <w:pPr>
        <w:pStyle w:val="BodyText"/>
        <w:spacing w:before="72"/>
      </w:pPr>
      <w:r>
        <w:rPr/>
        <w:pict>
          <v:shape style="position:absolute;margin-left:95.304001pt;margin-top:-592.23999pt;width:500.75pt;height:595.8pt;mso-position-horizontal-relative:page;mso-position-vertical-relative:paragraph;z-index:1573632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396"/>
                    <w:gridCol w:w="1078"/>
                    <w:gridCol w:w="1052"/>
                    <w:gridCol w:w="1078"/>
                    <w:gridCol w:w="1090"/>
                    <w:gridCol w:w="1038"/>
                    <w:gridCol w:w="1064"/>
                    <w:gridCol w:w="1024"/>
                    <w:gridCol w:w="179"/>
                  </w:tblGrid>
                  <w:tr>
                    <w:trPr>
                      <w:trHeight w:val="467" w:hRule="atLeast"/>
                    </w:trPr>
                    <w:tc>
                      <w:tcPr>
                        <w:tcW w:w="2396" w:type="dxa"/>
                      </w:tcPr>
                      <w:p>
                        <w:pPr>
                          <w:pStyle w:val="TableParagraph"/>
                          <w:rPr>
                            <w:rFonts w:ascii="Times New Roman"/>
                            <w:sz w:val="18"/>
                          </w:rPr>
                        </w:pPr>
                      </w:p>
                    </w:tc>
                    <w:tc>
                      <w:tcPr>
                        <w:tcW w:w="1078" w:type="dxa"/>
                        <w:tcBorders>
                          <w:right w:val="single" w:sz="4" w:space="0" w:color="000000"/>
                        </w:tcBorders>
                      </w:tcPr>
                      <w:p>
                        <w:pPr>
                          <w:pStyle w:val="TableParagraph"/>
                          <w:spacing w:before="2"/>
                          <w:ind w:left="177"/>
                          <w:rPr>
                            <w:sz w:val="18"/>
                          </w:rPr>
                        </w:pPr>
                        <w:r>
                          <w:rPr>
                            <w:sz w:val="18"/>
                          </w:rPr>
                          <w:t>实收资本 </w:t>
                        </w:r>
                      </w:p>
                      <w:p>
                        <w:pPr>
                          <w:pStyle w:val="TableParagraph"/>
                          <w:spacing w:line="212" w:lineRule="exact" w:before="2"/>
                          <w:ind w:left="177"/>
                          <w:rPr>
                            <w:sz w:val="18"/>
                          </w:rPr>
                        </w:pPr>
                        <w:r>
                          <w:rPr>
                            <w:spacing w:val="-1"/>
                            <w:sz w:val="18"/>
                          </w:rPr>
                          <w:t>(或股本)</w:t>
                        </w:r>
                        <w:r>
                          <w:rPr>
                            <w:sz w:val="18"/>
                          </w:rPr>
                          <w:t> </w:t>
                        </w:r>
                      </w:p>
                    </w:tc>
                    <w:tc>
                      <w:tcPr>
                        <w:tcW w:w="1052" w:type="dxa"/>
                        <w:tcBorders>
                          <w:top w:val="single" w:sz="4" w:space="0" w:color="000000"/>
                          <w:left w:val="single" w:sz="4" w:space="0" w:color="000000"/>
                          <w:right w:val="single" w:sz="4" w:space="0" w:color="000000"/>
                        </w:tcBorders>
                      </w:tcPr>
                      <w:p>
                        <w:pPr>
                          <w:pStyle w:val="TableParagraph"/>
                          <w:spacing w:before="117"/>
                          <w:ind w:left="255"/>
                          <w:rPr>
                            <w:sz w:val="18"/>
                          </w:rPr>
                        </w:pPr>
                        <w:r>
                          <w:rPr>
                            <w:sz w:val="18"/>
                          </w:rPr>
                          <w:t>优先股 </w:t>
                        </w:r>
                      </w:p>
                    </w:tc>
                    <w:tc>
                      <w:tcPr>
                        <w:tcW w:w="1078" w:type="dxa"/>
                        <w:tcBorders>
                          <w:top w:val="single" w:sz="4" w:space="0" w:color="000000"/>
                          <w:left w:val="single" w:sz="4" w:space="0" w:color="000000"/>
                          <w:right w:val="single" w:sz="4" w:space="0" w:color="000000"/>
                        </w:tcBorders>
                      </w:tcPr>
                      <w:p>
                        <w:pPr>
                          <w:pStyle w:val="TableParagraph"/>
                          <w:spacing w:before="117"/>
                          <w:ind w:left="267"/>
                          <w:rPr>
                            <w:sz w:val="18"/>
                          </w:rPr>
                        </w:pPr>
                        <w:r>
                          <w:rPr>
                            <w:sz w:val="18"/>
                          </w:rPr>
                          <w:t>永续债 </w:t>
                        </w:r>
                      </w:p>
                    </w:tc>
                    <w:tc>
                      <w:tcPr>
                        <w:tcW w:w="1090" w:type="dxa"/>
                        <w:tcBorders>
                          <w:top w:val="single" w:sz="4" w:space="0" w:color="000000"/>
                          <w:left w:val="single" w:sz="4" w:space="0" w:color="000000"/>
                        </w:tcBorders>
                      </w:tcPr>
                      <w:p>
                        <w:pPr>
                          <w:pStyle w:val="TableParagraph"/>
                          <w:spacing w:before="117"/>
                          <w:ind w:left="363"/>
                          <w:rPr>
                            <w:sz w:val="18"/>
                          </w:rPr>
                        </w:pPr>
                        <w:r>
                          <w:rPr>
                            <w:sz w:val="18"/>
                          </w:rPr>
                          <w:t>其他 </w:t>
                        </w:r>
                      </w:p>
                    </w:tc>
                    <w:tc>
                      <w:tcPr>
                        <w:tcW w:w="1038" w:type="dxa"/>
                      </w:tcPr>
                      <w:p>
                        <w:pPr>
                          <w:pStyle w:val="TableParagraph"/>
                          <w:rPr>
                            <w:rFonts w:ascii="Times New Roman"/>
                            <w:sz w:val="18"/>
                          </w:rPr>
                        </w:pPr>
                      </w:p>
                    </w:tc>
                    <w:tc>
                      <w:tcPr>
                        <w:tcW w:w="1064" w:type="dxa"/>
                      </w:tcPr>
                      <w:p>
                        <w:pPr>
                          <w:pStyle w:val="TableParagraph"/>
                          <w:spacing w:before="2"/>
                          <w:ind w:left="147" w:right="141"/>
                          <w:jc w:val="center"/>
                          <w:rPr>
                            <w:sz w:val="18"/>
                          </w:rPr>
                        </w:pPr>
                        <w:r>
                          <w:rPr>
                            <w:sz w:val="18"/>
                          </w:rPr>
                          <w:t>减：库存</w:t>
                        </w:r>
                      </w:p>
                      <w:p>
                        <w:pPr>
                          <w:pStyle w:val="TableParagraph"/>
                          <w:spacing w:line="212" w:lineRule="exact" w:before="2"/>
                          <w:ind w:left="147" w:right="49"/>
                          <w:jc w:val="center"/>
                          <w:rPr>
                            <w:sz w:val="18"/>
                          </w:rPr>
                        </w:pPr>
                        <w:r>
                          <w:rPr>
                            <w:sz w:val="18"/>
                          </w:rPr>
                          <w:t>股 </w:t>
                        </w:r>
                      </w:p>
                    </w:tc>
                    <w:tc>
                      <w:tcPr>
                        <w:tcW w:w="1024" w:type="dxa"/>
                      </w:tcPr>
                      <w:p>
                        <w:pPr>
                          <w:pStyle w:val="TableParagraph"/>
                          <w:spacing w:before="2"/>
                          <w:ind w:right="139"/>
                          <w:jc w:val="right"/>
                          <w:rPr>
                            <w:sz w:val="18"/>
                          </w:rPr>
                        </w:pPr>
                        <w:r>
                          <w:rPr>
                            <w:sz w:val="18"/>
                          </w:rPr>
                          <w:t>其他综合</w:t>
                        </w:r>
                      </w:p>
                      <w:p>
                        <w:pPr>
                          <w:pStyle w:val="TableParagraph"/>
                          <w:spacing w:line="212" w:lineRule="exact" w:before="2"/>
                          <w:ind w:right="228"/>
                          <w:jc w:val="right"/>
                          <w:rPr>
                            <w:sz w:val="18"/>
                          </w:rPr>
                        </w:pPr>
                        <w:r>
                          <w:rPr>
                            <w:sz w:val="18"/>
                          </w:rPr>
                          <w:t>收益 </w:t>
                        </w:r>
                      </w:p>
                    </w:tc>
                    <w:tc>
                      <w:tcPr>
                        <w:tcW w:w="179" w:type="dxa"/>
                        <w:tcBorders>
                          <w:right w:val="nil"/>
                        </w:tcBorders>
                      </w:tcPr>
                      <w:p>
                        <w:pPr>
                          <w:pStyle w:val="TableParagraph"/>
                          <w:rPr>
                            <w:rFonts w:ascii="Times New Roman"/>
                            <w:sz w:val="18"/>
                          </w:rPr>
                        </w:pPr>
                      </w:p>
                    </w:tc>
                  </w:tr>
                  <w:tr>
                    <w:trPr>
                      <w:trHeight w:val="484" w:hRule="atLeast"/>
                    </w:trPr>
                    <w:tc>
                      <w:tcPr>
                        <w:tcW w:w="2396" w:type="dxa"/>
                      </w:tcPr>
                      <w:p>
                        <w:pPr>
                          <w:pStyle w:val="TableParagraph"/>
                          <w:spacing w:line="230" w:lineRule="exact"/>
                          <w:ind w:left="107"/>
                          <w:rPr>
                            <w:sz w:val="18"/>
                          </w:rPr>
                        </w:pPr>
                        <w:r>
                          <w:rPr>
                            <w:sz w:val="18"/>
                          </w:rPr>
                          <w:t>一、上年年末余额 </w:t>
                        </w:r>
                      </w:p>
                    </w:tc>
                    <w:tc>
                      <w:tcPr>
                        <w:tcW w:w="1078" w:type="dxa"/>
                        <w:tcBorders>
                          <w:right w:val="single" w:sz="4" w:space="0" w:color="000000"/>
                        </w:tcBorders>
                      </w:tcPr>
                      <w:p>
                        <w:pPr>
                          <w:pStyle w:val="TableParagraph"/>
                          <w:spacing w:line="235" w:lineRule="exact"/>
                          <w:ind w:left="107"/>
                          <w:rPr>
                            <w:rFonts w:ascii="Times New Roman"/>
                            <w:sz w:val="21"/>
                          </w:rPr>
                        </w:pPr>
                        <w:r>
                          <w:rPr>
                            <w:rFonts w:ascii="Times New Roman"/>
                            <w:sz w:val="21"/>
                          </w:rPr>
                          <w:t>19,870,64</w:t>
                        </w:r>
                      </w:p>
                      <w:p>
                        <w:pPr>
                          <w:pStyle w:val="TableParagraph"/>
                          <w:spacing w:line="229" w:lineRule="exact" w:before="1"/>
                          <w:ind w:left="107"/>
                          <w:rPr>
                            <w:rFonts w:ascii="Times New Roman"/>
                            <w:sz w:val="21"/>
                          </w:rPr>
                        </w:pPr>
                        <w:r>
                          <w:rPr>
                            <w:rFonts w:ascii="Times New Roman"/>
                            <w:w w:val="100"/>
                            <w:sz w:val="21"/>
                          </w:rPr>
                          <w:t>6</w:t>
                        </w:r>
                      </w:p>
                    </w:tc>
                    <w:tc>
                      <w:tcPr>
                        <w:tcW w:w="1052" w:type="dxa"/>
                        <w:tcBorders>
                          <w:left w:val="single" w:sz="4" w:space="0" w:color="000000"/>
                          <w:right w:val="single" w:sz="4" w:space="0" w:color="000000"/>
                        </w:tcBorders>
                      </w:tcPr>
                      <w:p>
                        <w:pPr>
                          <w:pStyle w:val="TableParagraph"/>
                          <w:rPr>
                            <w:rFonts w:ascii="Times New Roman"/>
                            <w:sz w:val="18"/>
                          </w:rPr>
                        </w:pPr>
                      </w:p>
                    </w:tc>
                    <w:tc>
                      <w:tcPr>
                        <w:tcW w:w="1078" w:type="dxa"/>
                        <w:tcBorders>
                          <w:left w:val="single" w:sz="4" w:space="0" w:color="000000"/>
                          <w:right w:val="single" w:sz="4" w:space="0" w:color="000000"/>
                        </w:tcBorders>
                      </w:tcPr>
                      <w:p>
                        <w:pPr>
                          <w:pStyle w:val="TableParagraph"/>
                          <w:rPr>
                            <w:rFonts w:ascii="Times New Roman"/>
                            <w:sz w:val="18"/>
                          </w:rPr>
                        </w:pPr>
                      </w:p>
                    </w:tc>
                    <w:tc>
                      <w:tcPr>
                        <w:tcW w:w="1090" w:type="dxa"/>
                        <w:tcBorders>
                          <w:left w:val="single" w:sz="4" w:space="0" w:color="000000"/>
                          <w:right w:val="single" w:sz="4" w:space="0" w:color="000000"/>
                        </w:tcBorders>
                      </w:tcPr>
                      <w:p>
                        <w:pPr>
                          <w:pStyle w:val="TableParagraph"/>
                          <w:rPr>
                            <w:rFonts w:ascii="Times New Roman"/>
                            <w:sz w:val="18"/>
                          </w:rPr>
                        </w:pPr>
                      </w:p>
                    </w:tc>
                    <w:tc>
                      <w:tcPr>
                        <w:tcW w:w="1038" w:type="dxa"/>
                        <w:tcBorders>
                          <w:left w:val="single" w:sz="4" w:space="0" w:color="000000"/>
                        </w:tcBorders>
                      </w:tcPr>
                      <w:p>
                        <w:pPr>
                          <w:pStyle w:val="TableParagraph"/>
                          <w:spacing w:line="235" w:lineRule="exact"/>
                          <w:ind w:left="108"/>
                          <w:rPr>
                            <w:rFonts w:ascii="Times New Roman"/>
                            <w:sz w:val="21"/>
                          </w:rPr>
                        </w:pPr>
                        <w:r>
                          <w:rPr>
                            <w:rFonts w:ascii="Times New Roman"/>
                            <w:sz w:val="21"/>
                          </w:rPr>
                          <w:t>38,508,3</w:t>
                        </w:r>
                      </w:p>
                      <w:p>
                        <w:pPr>
                          <w:pStyle w:val="TableParagraph"/>
                          <w:spacing w:line="229" w:lineRule="exact" w:before="1"/>
                          <w:ind w:left="108"/>
                          <w:rPr>
                            <w:rFonts w:ascii="Times New Roman"/>
                            <w:sz w:val="21"/>
                          </w:rPr>
                        </w:pPr>
                        <w:r>
                          <w:rPr>
                            <w:rFonts w:ascii="Times New Roman"/>
                            <w:sz w:val="21"/>
                          </w:rPr>
                          <w:t>86</w:t>
                        </w:r>
                      </w:p>
                    </w:tc>
                    <w:tc>
                      <w:tcPr>
                        <w:tcW w:w="1064" w:type="dxa"/>
                      </w:tcPr>
                      <w:p>
                        <w:pPr>
                          <w:pStyle w:val="TableParagraph"/>
                          <w:spacing w:before="115"/>
                          <w:ind w:left="105"/>
                          <w:rPr>
                            <w:rFonts w:ascii="Times New Roman"/>
                            <w:sz w:val="21"/>
                          </w:rPr>
                        </w:pPr>
                        <w:r>
                          <w:rPr>
                            <w:rFonts w:ascii="Times New Roman"/>
                            <w:sz w:val="21"/>
                          </w:rPr>
                          <w:t>-808,531</w:t>
                        </w:r>
                      </w:p>
                    </w:tc>
                    <w:tc>
                      <w:tcPr>
                        <w:tcW w:w="1024" w:type="dxa"/>
                      </w:tcPr>
                      <w:p>
                        <w:pPr>
                          <w:pStyle w:val="TableParagraph"/>
                          <w:spacing w:before="115"/>
                          <w:ind w:left="104"/>
                          <w:rPr>
                            <w:rFonts w:ascii="Times New Roman"/>
                            <w:sz w:val="21"/>
                          </w:rPr>
                        </w:pPr>
                        <w:r>
                          <w:rPr>
                            <w:rFonts w:ascii="Times New Roman"/>
                            <w:w w:val="100"/>
                            <w:sz w:val="21"/>
                          </w:rPr>
                          <w:t>-</w:t>
                        </w:r>
                      </w:p>
                    </w:tc>
                    <w:tc>
                      <w:tcPr>
                        <w:tcW w:w="179" w:type="dxa"/>
                        <w:tcBorders>
                          <w:right w:val="nil"/>
                        </w:tcBorders>
                      </w:tcPr>
                      <w:p>
                        <w:pPr>
                          <w:pStyle w:val="TableParagraph"/>
                          <w:rPr>
                            <w:rFonts w:ascii="Times New Roman"/>
                            <w:sz w:val="18"/>
                          </w:rPr>
                        </w:pPr>
                      </w:p>
                    </w:tc>
                  </w:tr>
                  <w:tr>
                    <w:trPr>
                      <w:trHeight w:val="241" w:hRule="atLeast"/>
                    </w:trPr>
                    <w:tc>
                      <w:tcPr>
                        <w:tcW w:w="2396" w:type="dxa"/>
                      </w:tcPr>
                      <w:p>
                        <w:pPr>
                          <w:pStyle w:val="TableParagraph"/>
                          <w:spacing w:line="222" w:lineRule="exact"/>
                          <w:ind w:left="107"/>
                          <w:rPr>
                            <w:sz w:val="18"/>
                          </w:rPr>
                        </w:pPr>
                        <w:r>
                          <w:rPr>
                            <w:sz w:val="18"/>
                          </w:rPr>
                          <w:t>加：会计政策变更 </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right w:val="single" w:sz="4" w:space="0" w:color="000000"/>
                        </w:tcBorders>
                      </w:tcPr>
                      <w:p>
                        <w:pPr>
                          <w:pStyle w:val="TableParagraph"/>
                          <w:rPr>
                            <w:rFonts w:ascii="Times New Roman"/>
                            <w:sz w:val="16"/>
                          </w:rPr>
                        </w:pPr>
                      </w:p>
                    </w:tc>
                    <w:tc>
                      <w:tcPr>
                        <w:tcW w:w="1038" w:type="dxa"/>
                        <w:tcBorders>
                          <w:left w:val="single" w:sz="4" w:space="0" w:color="000000"/>
                        </w:tcBorders>
                      </w:tcPr>
                      <w:p>
                        <w:pPr>
                          <w:pStyle w:val="TableParagraph"/>
                          <w:rPr>
                            <w:rFonts w:ascii="Times New Roman"/>
                            <w:sz w:val="16"/>
                          </w:rPr>
                        </w:pPr>
                      </w:p>
                    </w:tc>
                    <w:tc>
                      <w:tcPr>
                        <w:tcW w:w="1064" w:type="dxa"/>
                      </w:tcPr>
                      <w:p>
                        <w:pPr>
                          <w:pStyle w:val="TableParagraph"/>
                          <w:rPr>
                            <w:rFonts w:ascii="Times New Roman"/>
                            <w:sz w:val="16"/>
                          </w:rPr>
                        </w:pPr>
                      </w:p>
                    </w:tc>
                    <w:tc>
                      <w:tcPr>
                        <w:tcW w:w="1024" w:type="dxa"/>
                      </w:tcPr>
                      <w:p>
                        <w:pPr>
                          <w:pStyle w:val="TableParagraph"/>
                          <w:rPr>
                            <w:rFonts w:ascii="Times New Roman"/>
                            <w:sz w:val="16"/>
                          </w:rPr>
                        </w:pPr>
                      </w:p>
                    </w:tc>
                    <w:tc>
                      <w:tcPr>
                        <w:tcW w:w="179" w:type="dxa"/>
                        <w:tcBorders>
                          <w:right w:val="nil"/>
                        </w:tcBorders>
                      </w:tcPr>
                      <w:p>
                        <w:pPr>
                          <w:pStyle w:val="TableParagraph"/>
                          <w:rPr>
                            <w:rFonts w:ascii="Times New Roman"/>
                            <w:sz w:val="16"/>
                          </w:rPr>
                        </w:pPr>
                      </w:p>
                    </w:tc>
                  </w:tr>
                  <w:tr>
                    <w:trPr>
                      <w:trHeight w:val="239" w:hRule="atLeast"/>
                    </w:trPr>
                    <w:tc>
                      <w:tcPr>
                        <w:tcW w:w="2396" w:type="dxa"/>
                      </w:tcPr>
                      <w:p>
                        <w:pPr>
                          <w:pStyle w:val="TableParagraph"/>
                          <w:spacing w:line="219" w:lineRule="exact"/>
                          <w:ind w:left="527"/>
                          <w:rPr>
                            <w:sz w:val="18"/>
                          </w:rPr>
                        </w:pPr>
                        <w:r>
                          <w:rPr>
                            <w:sz w:val="18"/>
                          </w:rPr>
                          <w:t>前期差错更正 </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right w:val="single" w:sz="4" w:space="0" w:color="000000"/>
                        </w:tcBorders>
                      </w:tcPr>
                      <w:p>
                        <w:pPr>
                          <w:pStyle w:val="TableParagraph"/>
                          <w:rPr>
                            <w:rFonts w:ascii="Times New Roman"/>
                            <w:sz w:val="16"/>
                          </w:rPr>
                        </w:pPr>
                      </w:p>
                    </w:tc>
                    <w:tc>
                      <w:tcPr>
                        <w:tcW w:w="1038" w:type="dxa"/>
                        <w:tcBorders>
                          <w:left w:val="single" w:sz="4" w:space="0" w:color="000000"/>
                        </w:tcBorders>
                      </w:tcPr>
                      <w:p>
                        <w:pPr>
                          <w:pStyle w:val="TableParagraph"/>
                          <w:rPr>
                            <w:rFonts w:ascii="Times New Roman"/>
                            <w:sz w:val="16"/>
                          </w:rPr>
                        </w:pPr>
                      </w:p>
                    </w:tc>
                    <w:tc>
                      <w:tcPr>
                        <w:tcW w:w="1064" w:type="dxa"/>
                      </w:tcPr>
                      <w:p>
                        <w:pPr>
                          <w:pStyle w:val="TableParagraph"/>
                          <w:rPr>
                            <w:rFonts w:ascii="Times New Roman"/>
                            <w:sz w:val="16"/>
                          </w:rPr>
                        </w:pPr>
                      </w:p>
                    </w:tc>
                    <w:tc>
                      <w:tcPr>
                        <w:tcW w:w="1024" w:type="dxa"/>
                      </w:tcPr>
                      <w:p>
                        <w:pPr>
                          <w:pStyle w:val="TableParagraph"/>
                          <w:rPr>
                            <w:rFonts w:ascii="Times New Roman"/>
                            <w:sz w:val="16"/>
                          </w:rPr>
                        </w:pPr>
                      </w:p>
                    </w:tc>
                    <w:tc>
                      <w:tcPr>
                        <w:tcW w:w="179" w:type="dxa"/>
                        <w:tcBorders>
                          <w:right w:val="nil"/>
                        </w:tcBorders>
                      </w:tcPr>
                      <w:p>
                        <w:pPr>
                          <w:pStyle w:val="TableParagraph"/>
                          <w:rPr>
                            <w:rFonts w:ascii="Times New Roman"/>
                            <w:sz w:val="16"/>
                          </w:rPr>
                        </w:pPr>
                      </w:p>
                    </w:tc>
                  </w:tr>
                  <w:tr>
                    <w:trPr>
                      <w:trHeight w:val="241" w:hRule="atLeast"/>
                    </w:trPr>
                    <w:tc>
                      <w:tcPr>
                        <w:tcW w:w="2396" w:type="dxa"/>
                      </w:tcPr>
                      <w:p>
                        <w:pPr>
                          <w:pStyle w:val="TableParagraph"/>
                          <w:spacing w:line="220" w:lineRule="exact" w:before="2"/>
                          <w:ind w:left="527"/>
                          <w:rPr>
                            <w:sz w:val="18"/>
                          </w:rPr>
                        </w:pPr>
                        <w:r>
                          <w:rPr>
                            <w:sz w:val="18"/>
                          </w:rPr>
                          <w:t>其他 </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right w:val="single" w:sz="4" w:space="0" w:color="000000"/>
                        </w:tcBorders>
                      </w:tcPr>
                      <w:p>
                        <w:pPr>
                          <w:pStyle w:val="TableParagraph"/>
                          <w:rPr>
                            <w:rFonts w:ascii="Times New Roman"/>
                            <w:sz w:val="16"/>
                          </w:rPr>
                        </w:pPr>
                      </w:p>
                    </w:tc>
                    <w:tc>
                      <w:tcPr>
                        <w:tcW w:w="1038" w:type="dxa"/>
                        <w:tcBorders>
                          <w:left w:val="single" w:sz="4" w:space="0" w:color="000000"/>
                        </w:tcBorders>
                      </w:tcPr>
                      <w:p>
                        <w:pPr>
                          <w:pStyle w:val="TableParagraph"/>
                          <w:rPr>
                            <w:rFonts w:ascii="Times New Roman"/>
                            <w:sz w:val="16"/>
                          </w:rPr>
                        </w:pPr>
                      </w:p>
                    </w:tc>
                    <w:tc>
                      <w:tcPr>
                        <w:tcW w:w="1064" w:type="dxa"/>
                      </w:tcPr>
                      <w:p>
                        <w:pPr>
                          <w:pStyle w:val="TableParagraph"/>
                          <w:rPr>
                            <w:rFonts w:ascii="Times New Roman"/>
                            <w:sz w:val="16"/>
                          </w:rPr>
                        </w:pPr>
                      </w:p>
                    </w:tc>
                    <w:tc>
                      <w:tcPr>
                        <w:tcW w:w="1024" w:type="dxa"/>
                      </w:tcPr>
                      <w:p>
                        <w:pPr>
                          <w:pStyle w:val="TableParagraph"/>
                          <w:rPr>
                            <w:rFonts w:ascii="Times New Roman"/>
                            <w:sz w:val="16"/>
                          </w:rPr>
                        </w:pPr>
                      </w:p>
                    </w:tc>
                    <w:tc>
                      <w:tcPr>
                        <w:tcW w:w="179" w:type="dxa"/>
                        <w:tcBorders>
                          <w:right w:val="nil"/>
                        </w:tcBorders>
                      </w:tcPr>
                      <w:p>
                        <w:pPr>
                          <w:pStyle w:val="TableParagraph"/>
                          <w:rPr>
                            <w:rFonts w:ascii="Times New Roman"/>
                            <w:sz w:val="16"/>
                          </w:rPr>
                        </w:pPr>
                      </w:p>
                    </w:tc>
                  </w:tr>
                  <w:tr>
                    <w:trPr>
                      <w:trHeight w:val="484" w:hRule="atLeast"/>
                    </w:trPr>
                    <w:tc>
                      <w:tcPr>
                        <w:tcW w:w="2396" w:type="dxa"/>
                      </w:tcPr>
                      <w:p>
                        <w:pPr>
                          <w:pStyle w:val="TableParagraph"/>
                          <w:spacing w:before="2"/>
                          <w:ind w:left="107"/>
                          <w:rPr>
                            <w:sz w:val="18"/>
                          </w:rPr>
                        </w:pPr>
                        <w:r>
                          <w:rPr>
                            <w:sz w:val="18"/>
                          </w:rPr>
                          <w:t>二、本年期初余额 </w:t>
                        </w:r>
                      </w:p>
                    </w:tc>
                    <w:tc>
                      <w:tcPr>
                        <w:tcW w:w="1078" w:type="dxa"/>
                        <w:tcBorders>
                          <w:right w:val="single" w:sz="4" w:space="0" w:color="000000"/>
                        </w:tcBorders>
                      </w:tcPr>
                      <w:p>
                        <w:pPr>
                          <w:pStyle w:val="TableParagraph"/>
                          <w:spacing w:line="236" w:lineRule="exact"/>
                          <w:ind w:left="107"/>
                          <w:rPr>
                            <w:rFonts w:ascii="Times New Roman"/>
                            <w:sz w:val="21"/>
                          </w:rPr>
                        </w:pPr>
                        <w:r>
                          <w:rPr>
                            <w:rFonts w:ascii="Times New Roman"/>
                            <w:sz w:val="21"/>
                          </w:rPr>
                          <w:t>19,870,64</w:t>
                        </w:r>
                      </w:p>
                      <w:p>
                        <w:pPr>
                          <w:pStyle w:val="TableParagraph"/>
                          <w:spacing w:line="228" w:lineRule="exact"/>
                          <w:ind w:left="107"/>
                          <w:rPr>
                            <w:rFonts w:ascii="Times New Roman"/>
                            <w:sz w:val="21"/>
                          </w:rPr>
                        </w:pPr>
                        <w:r>
                          <w:rPr>
                            <w:rFonts w:ascii="Times New Roman"/>
                            <w:w w:val="100"/>
                            <w:sz w:val="21"/>
                          </w:rPr>
                          <w:t>6</w:t>
                        </w:r>
                      </w:p>
                    </w:tc>
                    <w:tc>
                      <w:tcPr>
                        <w:tcW w:w="1052" w:type="dxa"/>
                        <w:tcBorders>
                          <w:left w:val="single" w:sz="4" w:space="0" w:color="000000"/>
                          <w:right w:val="single" w:sz="4" w:space="0" w:color="000000"/>
                        </w:tcBorders>
                      </w:tcPr>
                      <w:p>
                        <w:pPr>
                          <w:pStyle w:val="TableParagraph"/>
                          <w:rPr>
                            <w:rFonts w:ascii="Times New Roman"/>
                            <w:sz w:val="18"/>
                          </w:rPr>
                        </w:pPr>
                      </w:p>
                    </w:tc>
                    <w:tc>
                      <w:tcPr>
                        <w:tcW w:w="1078" w:type="dxa"/>
                        <w:tcBorders>
                          <w:left w:val="single" w:sz="4" w:space="0" w:color="000000"/>
                          <w:right w:val="single" w:sz="4" w:space="0" w:color="000000"/>
                        </w:tcBorders>
                      </w:tcPr>
                      <w:p>
                        <w:pPr>
                          <w:pStyle w:val="TableParagraph"/>
                          <w:rPr>
                            <w:rFonts w:ascii="Times New Roman"/>
                            <w:sz w:val="18"/>
                          </w:rPr>
                        </w:pPr>
                      </w:p>
                    </w:tc>
                    <w:tc>
                      <w:tcPr>
                        <w:tcW w:w="1090" w:type="dxa"/>
                        <w:tcBorders>
                          <w:left w:val="single" w:sz="4" w:space="0" w:color="000000"/>
                          <w:right w:val="single" w:sz="4" w:space="0" w:color="000000"/>
                        </w:tcBorders>
                      </w:tcPr>
                      <w:p>
                        <w:pPr>
                          <w:pStyle w:val="TableParagraph"/>
                          <w:rPr>
                            <w:rFonts w:ascii="Times New Roman"/>
                            <w:sz w:val="18"/>
                          </w:rPr>
                        </w:pPr>
                      </w:p>
                    </w:tc>
                    <w:tc>
                      <w:tcPr>
                        <w:tcW w:w="1038" w:type="dxa"/>
                        <w:tcBorders>
                          <w:left w:val="single" w:sz="4" w:space="0" w:color="000000"/>
                        </w:tcBorders>
                      </w:tcPr>
                      <w:p>
                        <w:pPr>
                          <w:pStyle w:val="TableParagraph"/>
                          <w:spacing w:line="236" w:lineRule="exact"/>
                          <w:ind w:left="108"/>
                          <w:rPr>
                            <w:rFonts w:ascii="Times New Roman"/>
                            <w:sz w:val="21"/>
                          </w:rPr>
                        </w:pPr>
                        <w:r>
                          <w:rPr>
                            <w:rFonts w:ascii="Times New Roman"/>
                            <w:sz w:val="21"/>
                          </w:rPr>
                          <w:t>38,508,3</w:t>
                        </w:r>
                      </w:p>
                      <w:p>
                        <w:pPr>
                          <w:pStyle w:val="TableParagraph"/>
                          <w:spacing w:line="228" w:lineRule="exact"/>
                          <w:ind w:left="108"/>
                          <w:rPr>
                            <w:rFonts w:ascii="Times New Roman"/>
                            <w:sz w:val="21"/>
                          </w:rPr>
                        </w:pPr>
                        <w:r>
                          <w:rPr>
                            <w:rFonts w:ascii="Times New Roman"/>
                            <w:sz w:val="21"/>
                          </w:rPr>
                          <w:t>86</w:t>
                        </w:r>
                      </w:p>
                    </w:tc>
                    <w:tc>
                      <w:tcPr>
                        <w:tcW w:w="1064" w:type="dxa"/>
                      </w:tcPr>
                      <w:p>
                        <w:pPr>
                          <w:pStyle w:val="TableParagraph"/>
                          <w:spacing w:before="115"/>
                          <w:ind w:left="105"/>
                          <w:rPr>
                            <w:rFonts w:ascii="Times New Roman"/>
                            <w:sz w:val="21"/>
                          </w:rPr>
                        </w:pPr>
                        <w:r>
                          <w:rPr>
                            <w:rFonts w:ascii="Times New Roman"/>
                            <w:sz w:val="21"/>
                          </w:rPr>
                          <w:t>-808,531</w:t>
                        </w:r>
                      </w:p>
                    </w:tc>
                    <w:tc>
                      <w:tcPr>
                        <w:tcW w:w="1024" w:type="dxa"/>
                      </w:tcPr>
                      <w:p>
                        <w:pPr>
                          <w:pStyle w:val="TableParagraph"/>
                          <w:spacing w:before="115"/>
                          <w:ind w:left="104"/>
                          <w:rPr>
                            <w:rFonts w:ascii="Times New Roman"/>
                            <w:sz w:val="21"/>
                          </w:rPr>
                        </w:pPr>
                        <w:r>
                          <w:rPr>
                            <w:rFonts w:ascii="Times New Roman"/>
                            <w:w w:val="100"/>
                            <w:sz w:val="21"/>
                          </w:rPr>
                          <w:t>-</w:t>
                        </w:r>
                      </w:p>
                    </w:tc>
                    <w:tc>
                      <w:tcPr>
                        <w:tcW w:w="179" w:type="dxa"/>
                        <w:tcBorders>
                          <w:right w:val="nil"/>
                        </w:tcBorders>
                      </w:tcPr>
                      <w:p>
                        <w:pPr>
                          <w:pStyle w:val="TableParagraph"/>
                          <w:rPr>
                            <w:rFonts w:ascii="Times New Roman"/>
                            <w:sz w:val="18"/>
                          </w:rPr>
                        </w:pPr>
                      </w:p>
                    </w:tc>
                  </w:tr>
                  <w:tr>
                    <w:trPr>
                      <w:trHeight w:val="481" w:hRule="atLeast"/>
                    </w:trPr>
                    <w:tc>
                      <w:tcPr>
                        <w:tcW w:w="2396" w:type="dxa"/>
                      </w:tcPr>
                      <w:p>
                        <w:pPr>
                          <w:pStyle w:val="TableParagraph"/>
                          <w:spacing w:line="230" w:lineRule="exact"/>
                          <w:ind w:left="107"/>
                          <w:rPr>
                            <w:sz w:val="18"/>
                          </w:rPr>
                        </w:pPr>
                        <w:r>
                          <w:rPr>
                            <w:sz w:val="18"/>
                          </w:rPr>
                          <w:t>三、本期增减变动金额（减</w:t>
                        </w:r>
                      </w:p>
                      <w:p>
                        <w:pPr>
                          <w:pStyle w:val="TableParagraph"/>
                          <w:spacing w:line="229" w:lineRule="exact" w:before="2"/>
                          <w:ind w:left="107"/>
                          <w:rPr>
                            <w:sz w:val="18"/>
                          </w:rPr>
                        </w:pPr>
                        <w:r>
                          <w:rPr>
                            <w:sz w:val="18"/>
                          </w:rPr>
                          <w:t>少以“－”号填列） </w:t>
                        </w:r>
                      </w:p>
                    </w:tc>
                    <w:tc>
                      <w:tcPr>
                        <w:tcW w:w="1078" w:type="dxa"/>
                        <w:tcBorders>
                          <w:right w:val="single" w:sz="4" w:space="0" w:color="000000"/>
                        </w:tcBorders>
                      </w:tcPr>
                      <w:p>
                        <w:pPr>
                          <w:pStyle w:val="TableParagraph"/>
                          <w:spacing w:before="113"/>
                          <w:ind w:left="107"/>
                          <w:rPr>
                            <w:rFonts w:ascii="Times New Roman"/>
                            <w:sz w:val="21"/>
                          </w:rPr>
                        </w:pPr>
                        <w:r>
                          <w:rPr>
                            <w:rFonts w:ascii="Times New Roman"/>
                            <w:sz w:val="21"/>
                          </w:rPr>
                          <w:t>-5,576</w:t>
                        </w:r>
                      </w:p>
                    </w:tc>
                    <w:tc>
                      <w:tcPr>
                        <w:tcW w:w="1052" w:type="dxa"/>
                        <w:tcBorders>
                          <w:left w:val="single" w:sz="4" w:space="0" w:color="000000"/>
                          <w:right w:val="single" w:sz="4" w:space="0" w:color="000000"/>
                        </w:tcBorders>
                      </w:tcPr>
                      <w:p>
                        <w:pPr>
                          <w:pStyle w:val="TableParagraph"/>
                          <w:spacing w:before="106"/>
                          <w:ind w:left="109"/>
                          <w:rPr>
                            <w:sz w:val="24"/>
                          </w:rPr>
                        </w:pPr>
                        <w:r>
                          <w:rPr>
                            <w:sz w:val="21"/>
                          </w:rPr>
                          <w:t>-</w:t>
                        </w:r>
                        <w:r>
                          <w:rPr>
                            <w:sz w:val="24"/>
                          </w:rPr>
                          <w:t> </w:t>
                        </w:r>
                      </w:p>
                    </w:tc>
                    <w:tc>
                      <w:tcPr>
                        <w:tcW w:w="1078" w:type="dxa"/>
                        <w:tcBorders>
                          <w:left w:val="single" w:sz="4" w:space="0" w:color="000000"/>
                          <w:right w:val="single" w:sz="4" w:space="0" w:color="000000"/>
                        </w:tcBorders>
                      </w:tcPr>
                      <w:p>
                        <w:pPr>
                          <w:pStyle w:val="TableParagraph"/>
                          <w:spacing w:before="106"/>
                          <w:ind w:left="106"/>
                          <w:rPr>
                            <w:sz w:val="21"/>
                          </w:rPr>
                        </w:pPr>
                        <w:r>
                          <w:rPr>
                            <w:sz w:val="21"/>
                          </w:rPr>
                          <w:t>- </w:t>
                        </w:r>
                      </w:p>
                    </w:tc>
                    <w:tc>
                      <w:tcPr>
                        <w:tcW w:w="1090" w:type="dxa"/>
                        <w:tcBorders>
                          <w:left w:val="single" w:sz="4" w:space="0" w:color="000000"/>
                        </w:tcBorders>
                      </w:tcPr>
                      <w:p>
                        <w:pPr>
                          <w:pStyle w:val="TableParagraph"/>
                          <w:spacing w:before="106"/>
                          <w:ind w:left="106"/>
                          <w:rPr>
                            <w:sz w:val="21"/>
                          </w:rPr>
                        </w:pPr>
                        <w:r>
                          <w:rPr>
                            <w:sz w:val="21"/>
                          </w:rPr>
                          <w:t>- </w:t>
                        </w:r>
                      </w:p>
                    </w:tc>
                    <w:tc>
                      <w:tcPr>
                        <w:tcW w:w="1038" w:type="dxa"/>
                      </w:tcPr>
                      <w:p>
                        <w:pPr>
                          <w:pStyle w:val="TableParagraph"/>
                          <w:spacing w:before="113"/>
                          <w:ind w:left="105"/>
                          <w:rPr>
                            <w:rFonts w:ascii="Times New Roman"/>
                            <w:sz w:val="21"/>
                          </w:rPr>
                        </w:pPr>
                        <w:r>
                          <w:rPr>
                            <w:rFonts w:ascii="Times New Roman"/>
                            <w:sz w:val="21"/>
                          </w:rPr>
                          <w:t>518,948</w:t>
                        </w:r>
                      </w:p>
                    </w:tc>
                    <w:tc>
                      <w:tcPr>
                        <w:tcW w:w="1064" w:type="dxa"/>
                      </w:tcPr>
                      <w:p>
                        <w:pPr>
                          <w:pStyle w:val="TableParagraph"/>
                          <w:spacing w:before="113"/>
                          <w:ind w:left="105"/>
                          <w:rPr>
                            <w:rFonts w:ascii="Times New Roman"/>
                            <w:sz w:val="21"/>
                          </w:rPr>
                        </w:pPr>
                        <w:r>
                          <w:rPr>
                            <w:rFonts w:ascii="Times New Roman"/>
                            <w:sz w:val="21"/>
                          </w:rPr>
                          <w:t>289,624</w:t>
                        </w:r>
                      </w:p>
                    </w:tc>
                    <w:tc>
                      <w:tcPr>
                        <w:tcW w:w="1024" w:type="dxa"/>
                      </w:tcPr>
                      <w:p>
                        <w:pPr>
                          <w:pStyle w:val="TableParagraph"/>
                          <w:spacing w:before="106"/>
                          <w:ind w:left="104"/>
                          <w:rPr>
                            <w:sz w:val="24"/>
                          </w:rPr>
                        </w:pPr>
                        <w:r>
                          <w:rPr>
                            <w:sz w:val="21"/>
                          </w:rPr>
                          <w:t>-</w:t>
                        </w:r>
                        <w:r>
                          <w:rPr>
                            <w:sz w:val="24"/>
                          </w:rPr>
                          <w:t> </w:t>
                        </w:r>
                      </w:p>
                    </w:tc>
                    <w:tc>
                      <w:tcPr>
                        <w:tcW w:w="179" w:type="dxa"/>
                        <w:tcBorders>
                          <w:right w:val="nil"/>
                        </w:tcBorders>
                      </w:tcPr>
                      <w:p>
                        <w:pPr>
                          <w:pStyle w:val="TableParagraph"/>
                          <w:spacing w:before="106"/>
                          <w:ind w:right="-44"/>
                          <w:jc w:val="right"/>
                          <w:rPr>
                            <w:sz w:val="21"/>
                          </w:rPr>
                        </w:pPr>
                        <w:r>
                          <w:rPr>
                            <w:w w:val="100"/>
                            <w:sz w:val="21"/>
                          </w:rPr>
                          <w:t>-</w:t>
                        </w:r>
                      </w:p>
                    </w:tc>
                  </w:tr>
                  <w:tr>
                    <w:trPr>
                      <w:trHeight w:val="484" w:hRule="atLeast"/>
                    </w:trPr>
                    <w:tc>
                      <w:tcPr>
                        <w:tcW w:w="2396" w:type="dxa"/>
                      </w:tcPr>
                      <w:p>
                        <w:pPr>
                          <w:pStyle w:val="TableParagraph"/>
                          <w:spacing w:line="230" w:lineRule="exact"/>
                          <w:ind w:left="107"/>
                          <w:rPr>
                            <w:sz w:val="18"/>
                          </w:rPr>
                        </w:pPr>
                        <w:r>
                          <w:rPr>
                            <w:sz w:val="18"/>
                          </w:rPr>
                          <w:t>（一）综合收益总额 </w:t>
                        </w:r>
                      </w:p>
                    </w:tc>
                    <w:tc>
                      <w:tcPr>
                        <w:tcW w:w="1078" w:type="dxa"/>
                        <w:tcBorders>
                          <w:right w:val="single" w:sz="4" w:space="0" w:color="000000"/>
                        </w:tcBorders>
                      </w:tcPr>
                      <w:p>
                        <w:pPr>
                          <w:pStyle w:val="TableParagraph"/>
                          <w:spacing w:before="115"/>
                          <w:ind w:left="107"/>
                          <w:rPr>
                            <w:rFonts w:ascii="Times New Roman"/>
                            <w:sz w:val="21"/>
                          </w:rPr>
                        </w:pPr>
                        <w:r>
                          <w:rPr>
                            <w:rFonts w:ascii="Times New Roman"/>
                            <w:w w:val="100"/>
                            <w:sz w:val="21"/>
                          </w:rPr>
                          <w:t>-</w:t>
                        </w:r>
                      </w:p>
                    </w:tc>
                    <w:tc>
                      <w:tcPr>
                        <w:tcW w:w="1052" w:type="dxa"/>
                        <w:tcBorders>
                          <w:left w:val="single" w:sz="4" w:space="0" w:color="000000"/>
                          <w:right w:val="single" w:sz="4" w:space="0" w:color="000000"/>
                        </w:tcBorders>
                      </w:tcPr>
                      <w:p>
                        <w:pPr>
                          <w:pStyle w:val="TableParagraph"/>
                          <w:rPr>
                            <w:rFonts w:ascii="Times New Roman"/>
                            <w:sz w:val="18"/>
                          </w:rPr>
                        </w:pPr>
                      </w:p>
                    </w:tc>
                    <w:tc>
                      <w:tcPr>
                        <w:tcW w:w="1078" w:type="dxa"/>
                        <w:tcBorders>
                          <w:left w:val="single" w:sz="4" w:space="0" w:color="000000"/>
                          <w:right w:val="single" w:sz="4" w:space="0" w:color="000000"/>
                        </w:tcBorders>
                      </w:tcPr>
                      <w:p>
                        <w:pPr>
                          <w:pStyle w:val="TableParagraph"/>
                          <w:rPr>
                            <w:rFonts w:ascii="Times New Roman"/>
                            <w:sz w:val="18"/>
                          </w:rPr>
                        </w:pPr>
                      </w:p>
                    </w:tc>
                    <w:tc>
                      <w:tcPr>
                        <w:tcW w:w="1090" w:type="dxa"/>
                        <w:tcBorders>
                          <w:left w:val="single" w:sz="4" w:space="0" w:color="000000"/>
                        </w:tcBorders>
                      </w:tcPr>
                      <w:p>
                        <w:pPr>
                          <w:pStyle w:val="TableParagraph"/>
                          <w:rPr>
                            <w:rFonts w:ascii="Times New Roman"/>
                            <w:sz w:val="18"/>
                          </w:rPr>
                        </w:pPr>
                      </w:p>
                    </w:tc>
                    <w:tc>
                      <w:tcPr>
                        <w:tcW w:w="1038" w:type="dxa"/>
                      </w:tcPr>
                      <w:p>
                        <w:pPr>
                          <w:pStyle w:val="TableParagraph"/>
                          <w:spacing w:before="115"/>
                          <w:ind w:left="105"/>
                          <w:rPr>
                            <w:rFonts w:ascii="Times New Roman"/>
                            <w:sz w:val="21"/>
                          </w:rPr>
                        </w:pPr>
                        <w:r>
                          <w:rPr>
                            <w:rFonts w:ascii="Times New Roman"/>
                            <w:w w:val="100"/>
                            <w:sz w:val="21"/>
                          </w:rPr>
                          <w:t>-</w:t>
                        </w:r>
                      </w:p>
                    </w:tc>
                    <w:tc>
                      <w:tcPr>
                        <w:tcW w:w="1064" w:type="dxa"/>
                      </w:tcPr>
                      <w:p>
                        <w:pPr>
                          <w:pStyle w:val="TableParagraph"/>
                          <w:spacing w:before="115"/>
                          <w:ind w:left="105"/>
                          <w:rPr>
                            <w:rFonts w:ascii="Times New Roman"/>
                            <w:sz w:val="21"/>
                          </w:rPr>
                        </w:pPr>
                        <w:r>
                          <w:rPr>
                            <w:rFonts w:ascii="Times New Roman"/>
                            <w:w w:val="100"/>
                            <w:sz w:val="21"/>
                          </w:rPr>
                          <w:t>-</w:t>
                        </w:r>
                      </w:p>
                    </w:tc>
                    <w:tc>
                      <w:tcPr>
                        <w:tcW w:w="1024" w:type="dxa"/>
                      </w:tcPr>
                      <w:p>
                        <w:pPr>
                          <w:pStyle w:val="TableParagraph"/>
                          <w:spacing w:before="115"/>
                          <w:ind w:left="104"/>
                          <w:rPr>
                            <w:rFonts w:ascii="Times New Roman"/>
                            <w:sz w:val="21"/>
                          </w:rPr>
                        </w:pPr>
                        <w:r>
                          <w:rPr>
                            <w:rFonts w:ascii="Times New Roman"/>
                            <w:w w:val="100"/>
                            <w:sz w:val="21"/>
                          </w:rPr>
                          <w:t>-</w:t>
                        </w:r>
                      </w:p>
                    </w:tc>
                    <w:tc>
                      <w:tcPr>
                        <w:tcW w:w="179" w:type="dxa"/>
                        <w:tcBorders>
                          <w:right w:val="nil"/>
                        </w:tcBorders>
                      </w:tcPr>
                      <w:p>
                        <w:pPr>
                          <w:pStyle w:val="TableParagraph"/>
                          <w:rPr>
                            <w:rFonts w:ascii="Times New Roman"/>
                            <w:sz w:val="18"/>
                          </w:rPr>
                        </w:pPr>
                      </w:p>
                    </w:tc>
                  </w:tr>
                  <w:tr>
                    <w:trPr>
                      <w:trHeight w:val="467" w:hRule="atLeast"/>
                    </w:trPr>
                    <w:tc>
                      <w:tcPr>
                        <w:tcW w:w="2396" w:type="dxa"/>
                      </w:tcPr>
                      <w:p>
                        <w:pPr>
                          <w:pStyle w:val="TableParagraph"/>
                          <w:spacing w:line="230" w:lineRule="exact"/>
                          <w:ind w:left="107"/>
                          <w:rPr>
                            <w:sz w:val="18"/>
                          </w:rPr>
                        </w:pPr>
                        <w:r>
                          <w:rPr>
                            <w:sz w:val="18"/>
                          </w:rPr>
                          <w:t>（二）所有者投入和减少资</w:t>
                        </w:r>
                      </w:p>
                      <w:p>
                        <w:pPr>
                          <w:pStyle w:val="TableParagraph"/>
                          <w:spacing w:line="215" w:lineRule="exact" w:before="2"/>
                          <w:ind w:left="107"/>
                          <w:rPr>
                            <w:sz w:val="18"/>
                          </w:rPr>
                        </w:pPr>
                        <w:r>
                          <w:rPr>
                            <w:sz w:val="18"/>
                          </w:rPr>
                          <w:t>本 </w:t>
                        </w:r>
                      </w:p>
                    </w:tc>
                    <w:tc>
                      <w:tcPr>
                        <w:tcW w:w="1078" w:type="dxa"/>
                        <w:tcBorders>
                          <w:right w:val="single" w:sz="4" w:space="0" w:color="000000"/>
                        </w:tcBorders>
                      </w:tcPr>
                      <w:p>
                        <w:pPr>
                          <w:pStyle w:val="TableParagraph"/>
                          <w:spacing w:before="106"/>
                          <w:ind w:left="107"/>
                          <w:rPr>
                            <w:rFonts w:ascii="Times New Roman"/>
                            <w:sz w:val="21"/>
                          </w:rPr>
                        </w:pPr>
                        <w:r>
                          <w:rPr>
                            <w:rFonts w:ascii="Times New Roman"/>
                            <w:sz w:val="21"/>
                          </w:rPr>
                          <w:t>-5,576</w:t>
                        </w:r>
                      </w:p>
                    </w:tc>
                    <w:tc>
                      <w:tcPr>
                        <w:tcW w:w="1052" w:type="dxa"/>
                        <w:tcBorders>
                          <w:left w:val="single" w:sz="4" w:space="0" w:color="000000"/>
                          <w:right w:val="single" w:sz="4" w:space="0" w:color="000000"/>
                        </w:tcBorders>
                      </w:tcPr>
                      <w:p>
                        <w:pPr>
                          <w:pStyle w:val="TableParagraph"/>
                          <w:spacing w:before="106"/>
                          <w:ind w:left="109"/>
                          <w:rPr>
                            <w:rFonts w:ascii="Times New Roman"/>
                            <w:sz w:val="21"/>
                          </w:rPr>
                        </w:pPr>
                        <w:r>
                          <w:rPr>
                            <w:rFonts w:ascii="Times New Roman"/>
                            <w:w w:val="100"/>
                            <w:sz w:val="21"/>
                          </w:rPr>
                          <w:t>-</w:t>
                        </w:r>
                      </w:p>
                    </w:tc>
                    <w:tc>
                      <w:tcPr>
                        <w:tcW w:w="1078" w:type="dxa"/>
                        <w:tcBorders>
                          <w:left w:val="single" w:sz="4" w:space="0" w:color="000000"/>
                          <w:right w:val="single" w:sz="4" w:space="0" w:color="000000"/>
                        </w:tcBorders>
                      </w:tcPr>
                      <w:p>
                        <w:pPr>
                          <w:pStyle w:val="TableParagraph"/>
                          <w:spacing w:before="106"/>
                          <w:ind w:left="106"/>
                          <w:rPr>
                            <w:rFonts w:ascii="Times New Roman"/>
                            <w:sz w:val="21"/>
                          </w:rPr>
                        </w:pPr>
                        <w:r>
                          <w:rPr>
                            <w:rFonts w:ascii="Times New Roman"/>
                            <w:w w:val="100"/>
                            <w:sz w:val="21"/>
                          </w:rPr>
                          <w:t>-</w:t>
                        </w:r>
                      </w:p>
                    </w:tc>
                    <w:tc>
                      <w:tcPr>
                        <w:tcW w:w="1090" w:type="dxa"/>
                        <w:tcBorders>
                          <w:left w:val="single" w:sz="4" w:space="0" w:color="000000"/>
                        </w:tcBorders>
                      </w:tcPr>
                      <w:p>
                        <w:pPr>
                          <w:pStyle w:val="TableParagraph"/>
                          <w:spacing w:before="106"/>
                          <w:ind w:left="106"/>
                          <w:rPr>
                            <w:rFonts w:ascii="Times New Roman"/>
                            <w:sz w:val="21"/>
                          </w:rPr>
                        </w:pPr>
                        <w:r>
                          <w:rPr>
                            <w:rFonts w:ascii="Times New Roman"/>
                            <w:w w:val="100"/>
                            <w:sz w:val="21"/>
                          </w:rPr>
                          <w:t>-</w:t>
                        </w:r>
                      </w:p>
                    </w:tc>
                    <w:tc>
                      <w:tcPr>
                        <w:tcW w:w="1038" w:type="dxa"/>
                      </w:tcPr>
                      <w:p>
                        <w:pPr>
                          <w:pStyle w:val="TableParagraph"/>
                          <w:spacing w:before="106"/>
                          <w:ind w:left="105"/>
                          <w:rPr>
                            <w:rFonts w:ascii="Times New Roman"/>
                            <w:sz w:val="21"/>
                          </w:rPr>
                        </w:pPr>
                        <w:r>
                          <w:rPr>
                            <w:rFonts w:ascii="Times New Roman"/>
                            <w:sz w:val="21"/>
                          </w:rPr>
                          <w:t>518,948</w:t>
                        </w:r>
                      </w:p>
                    </w:tc>
                    <w:tc>
                      <w:tcPr>
                        <w:tcW w:w="1064" w:type="dxa"/>
                      </w:tcPr>
                      <w:p>
                        <w:pPr>
                          <w:pStyle w:val="TableParagraph"/>
                          <w:spacing w:before="106"/>
                          <w:ind w:left="105"/>
                          <w:rPr>
                            <w:rFonts w:ascii="Times New Roman"/>
                            <w:sz w:val="21"/>
                          </w:rPr>
                        </w:pPr>
                        <w:r>
                          <w:rPr>
                            <w:rFonts w:ascii="Times New Roman"/>
                            <w:sz w:val="21"/>
                          </w:rPr>
                          <w:t>266,044</w:t>
                        </w:r>
                      </w:p>
                    </w:tc>
                    <w:tc>
                      <w:tcPr>
                        <w:tcW w:w="1024" w:type="dxa"/>
                      </w:tcPr>
                      <w:p>
                        <w:pPr>
                          <w:pStyle w:val="TableParagraph"/>
                          <w:spacing w:before="106"/>
                          <w:ind w:left="104"/>
                          <w:rPr>
                            <w:rFonts w:ascii="Times New Roman"/>
                            <w:sz w:val="21"/>
                          </w:rPr>
                        </w:pPr>
                        <w:r>
                          <w:rPr>
                            <w:rFonts w:ascii="Times New Roman"/>
                            <w:w w:val="100"/>
                            <w:sz w:val="21"/>
                          </w:rPr>
                          <w:t>-</w:t>
                        </w:r>
                      </w:p>
                    </w:tc>
                    <w:tc>
                      <w:tcPr>
                        <w:tcW w:w="179" w:type="dxa"/>
                        <w:tcBorders>
                          <w:right w:val="nil"/>
                        </w:tcBorders>
                      </w:tcPr>
                      <w:p>
                        <w:pPr>
                          <w:pStyle w:val="TableParagraph"/>
                          <w:spacing w:before="106"/>
                          <w:ind w:right="-15"/>
                          <w:jc w:val="right"/>
                          <w:rPr>
                            <w:rFonts w:ascii="Times New Roman"/>
                            <w:sz w:val="21"/>
                          </w:rPr>
                        </w:pPr>
                        <w:r>
                          <w:rPr>
                            <w:rFonts w:ascii="Times New Roman"/>
                            <w:w w:val="100"/>
                            <w:sz w:val="21"/>
                          </w:rPr>
                          <w:t>-</w:t>
                        </w:r>
                      </w:p>
                    </w:tc>
                  </w:tr>
                  <w:tr>
                    <w:trPr>
                      <w:trHeight w:val="240" w:hRule="atLeast"/>
                    </w:trPr>
                    <w:tc>
                      <w:tcPr>
                        <w:tcW w:w="2396" w:type="dxa"/>
                      </w:tcPr>
                      <w:p>
                        <w:pPr>
                          <w:pStyle w:val="TableParagraph"/>
                          <w:spacing w:line="220" w:lineRule="exact"/>
                          <w:ind w:left="107"/>
                          <w:rPr>
                            <w:sz w:val="18"/>
                          </w:rPr>
                        </w:pPr>
                        <w:r>
                          <w:rPr>
                            <w:sz w:val="18"/>
                          </w:rPr>
                          <w:t>1．所有者投入的普通股 </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tcBorders>
                      </w:tcPr>
                      <w:p>
                        <w:pPr>
                          <w:pStyle w:val="TableParagraph"/>
                          <w:rPr>
                            <w:rFonts w:ascii="Times New Roman"/>
                            <w:sz w:val="16"/>
                          </w:rPr>
                        </w:pPr>
                      </w:p>
                    </w:tc>
                    <w:tc>
                      <w:tcPr>
                        <w:tcW w:w="1038" w:type="dxa"/>
                      </w:tcPr>
                      <w:p>
                        <w:pPr>
                          <w:pStyle w:val="TableParagraph"/>
                          <w:rPr>
                            <w:rFonts w:ascii="Times New Roman"/>
                            <w:sz w:val="16"/>
                          </w:rPr>
                        </w:pPr>
                      </w:p>
                    </w:tc>
                    <w:tc>
                      <w:tcPr>
                        <w:tcW w:w="1064" w:type="dxa"/>
                      </w:tcPr>
                      <w:p>
                        <w:pPr>
                          <w:pStyle w:val="TableParagraph"/>
                          <w:rPr>
                            <w:rFonts w:ascii="Times New Roman"/>
                            <w:sz w:val="16"/>
                          </w:rPr>
                        </w:pPr>
                      </w:p>
                    </w:tc>
                    <w:tc>
                      <w:tcPr>
                        <w:tcW w:w="1024" w:type="dxa"/>
                      </w:tcPr>
                      <w:p>
                        <w:pPr>
                          <w:pStyle w:val="TableParagraph"/>
                          <w:rPr>
                            <w:rFonts w:ascii="Times New Roman"/>
                            <w:sz w:val="16"/>
                          </w:rPr>
                        </w:pPr>
                      </w:p>
                    </w:tc>
                    <w:tc>
                      <w:tcPr>
                        <w:tcW w:w="179" w:type="dxa"/>
                        <w:tcBorders>
                          <w:right w:val="nil"/>
                        </w:tcBorders>
                      </w:tcPr>
                      <w:p>
                        <w:pPr>
                          <w:pStyle w:val="TableParagraph"/>
                          <w:rPr>
                            <w:rFonts w:ascii="Times New Roman"/>
                            <w:sz w:val="16"/>
                          </w:rPr>
                        </w:pPr>
                      </w:p>
                    </w:tc>
                  </w:tr>
                  <w:tr>
                    <w:trPr>
                      <w:trHeight w:val="467" w:hRule="atLeast"/>
                    </w:trPr>
                    <w:tc>
                      <w:tcPr>
                        <w:tcW w:w="2396" w:type="dxa"/>
                      </w:tcPr>
                      <w:p>
                        <w:pPr>
                          <w:pStyle w:val="TableParagraph"/>
                          <w:spacing w:line="230" w:lineRule="atLeast"/>
                          <w:ind w:left="107" w:right="200"/>
                          <w:rPr>
                            <w:sz w:val="18"/>
                          </w:rPr>
                        </w:pPr>
                        <w:r>
                          <w:rPr>
                            <w:spacing w:val="-1"/>
                            <w:sz w:val="18"/>
                          </w:rPr>
                          <w:t>2．其他权益工具持有者投</w:t>
                        </w:r>
                        <w:r>
                          <w:rPr>
                            <w:sz w:val="18"/>
                          </w:rPr>
                          <w:t>入资本 </w:t>
                        </w:r>
                      </w:p>
                    </w:tc>
                    <w:tc>
                      <w:tcPr>
                        <w:tcW w:w="1078" w:type="dxa"/>
                        <w:tcBorders>
                          <w:right w:val="single" w:sz="4" w:space="0" w:color="000000"/>
                        </w:tcBorders>
                      </w:tcPr>
                      <w:p>
                        <w:pPr>
                          <w:pStyle w:val="TableParagraph"/>
                          <w:rPr>
                            <w:rFonts w:ascii="Times New Roman"/>
                            <w:sz w:val="18"/>
                          </w:rPr>
                        </w:pPr>
                      </w:p>
                    </w:tc>
                    <w:tc>
                      <w:tcPr>
                        <w:tcW w:w="1052" w:type="dxa"/>
                        <w:tcBorders>
                          <w:left w:val="single" w:sz="4" w:space="0" w:color="000000"/>
                          <w:right w:val="single" w:sz="4" w:space="0" w:color="000000"/>
                        </w:tcBorders>
                      </w:tcPr>
                      <w:p>
                        <w:pPr>
                          <w:pStyle w:val="TableParagraph"/>
                          <w:rPr>
                            <w:rFonts w:ascii="Times New Roman"/>
                            <w:sz w:val="18"/>
                          </w:rPr>
                        </w:pPr>
                      </w:p>
                    </w:tc>
                    <w:tc>
                      <w:tcPr>
                        <w:tcW w:w="1078" w:type="dxa"/>
                        <w:tcBorders>
                          <w:left w:val="single" w:sz="4" w:space="0" w:color="000000"/>
                          <w:right w:val="single" w:sz="4" w:space="0" w:color="000000"/>
                        </w:tcBorders>
                      </w:tcPr>
                      <w:p>
                        <w:pPr>
                          <w:pStyle w:val="TableParagraph"/>
                          <w:rPr>
                            <w:rFonts w:ascii="Times New Roman"/>
                            <w:sz w:val="18"/>
                          </w:rPr>
                        </w:pPr>
                      </w:p>
                    </w:tc>
                    <w:tc>
                      <w:tcPr>
                        <w:tcW w:w="1090" w:type="dxa"/>
                        <w:tcBorders>
                          <w:left w:val="single" w:sz="4" w:space="0" w:color="000000"/>
                        </w:tcBorders>
                      </w:tcPr>
                      <w:p>
                        <w:pPr>
                          <w:pStyle w:val="TableParagraph"/>
                          <w:rPr>
                            <w:rFonts w:ascii="Times New Roman"/>
                            <w:sz w:val="18"/>
                          </w:rPr>
                        </w:pPr>
                      </w:p>
                    </w:tc>
                    <w:tc>
                      <w:tcPr>
                        <w:tcW w:w="1038" w:type="dxa"/>
                      </w:tcPr>
                      <w:p>
                        <w:pPr>
                          <w:pStyle w:val="TableParagraph"/>
                          <w:rPr>
                            <w:rFonts w:ascii="Times New Roman"/>
                            <w:sz w:val="18"/>
                          </w:rPr>
                        </w:pPr>
                      </w:p>
                    </w:tc>
                    <w:tc>
                      <w:tcPr>
                        <w:tcW w:w="1064" w:type="dxa"/>
                      </w:tcPr>
                      <w:p>
                        <w:pPr>
                          <w:pStyle w:val="TableParagraph"/>
                          <w:rPr>
                            <w:rFonts w:ascii="Times New Roman"/>
                            <w:sz w:val="18"/>
                          </w:rPr>
                        </w:pPr>
                      </w:p>
                    </w:tc>
                    <w:tc>
                      <w:tcPr>
                        <w:tcW w:w="1024" w:type="dxa"/>
                      </w:tcPr>
                      <w:p>
                        <w:pPr>
                          <w:pStyle w:val="TableParagraph"/>
                          <w:rPr>
                            <w:rFonts w:ascii="Times New Roman"/>
                            <w:sz w:val="18"/>
                          </w:rPr>
                        </w:pPr>
                      </w:p>
                    </w:tc>
                    <w:tc>
                      <w:tcPr>
                        <w:tcW w:w="179" w:type="dxa"/>
                        <w:tcBorders>
                          <w:right w:val="nil"/>
                        </w:tcBorders>
                      </w:tcPr>
                      <w:p>
                        <w:pPr>
                          <w:pStyle w:val="TableParagraph"/>
                          <w:rPr>
                            <w:rFonts w:ascii="Times New Roman"/>
                            <w:sz w:val="18"/>
                          </w:rPr>
                        </w:pPr>
                      </w:p>
                    </w:tc>
                  </w:tr>
                  <w:tr>
                    <w:trPr>
                      <w:trHeight w:val="467" w:hRule="atLeast"/>
                    </w:trPr>
                    <w:tc>
                      <w:tcPr>
                        <w:tcW w:w="2396" w:type="dxa"/>
                      </w:tcPr>
                      <w:p>
                        <w:pPr>
                          <w:pStyle w:val="TableParagraph"/>
                          <w:spacing w:line="230" w:lineRule="exact"/>
                          <w:ind w:left="107"/>
                          <w:rPr>
                            <w:sz w:val="18"/>
                          </w:rPr>
                        </w:pPr>
                        <w:r>
                          <w:rPr>
                            <w:sz w:val="18"/>
                          </w:rPr>
                          <w:t>3．股份支付计入所有者权</w:t>
                        </w:r>
                      </w:p>
                      <w:p>
                        <w:pPr>
                          <w:pStyle w:val="TableParagraph"/>
                          <w:spacing w:line="212" w:lineRule="exact" w:before="4"/>
                          <w:ind w:left="107"/>
                          <w:rPr>
                            <w:sz w:val="18"/>
                          </w:rPr>
                        </w:pPr>
                        <w:r>
                          <w:rPr>
                            <w:sz w:val="18"/>
                          </w:rPr>
                          <w:t>益的金额 </w:t>
                        </w:r>
                      </w:p>
                    </w:tc>
                    <w:tc>
                      <w:tcPr>
                        <w:tcW w:w="1078" w:type="dxa"/>
                        <w:tcBorders>
                          <w:right w:val="single" w:sz="4" w:space="0" w:color="000000"/>
                        </w:tcBorders>
                      </w:tcPr>
                      <w:p>
                        <w:pPr>
                          <w:pStyle w:val="TableParagraph"/>
                          <w:spacing w:before="106"/>
                          <w:ind w:left="107"/>
                          <w:rPr>
                            <w:rFonts w:ascii="Times New Roman"/>
                            <w:sz w:val="21"/>
                          </w:rPr>
                        </w:pPr>
                        <w:r>
                          <w:rPr>
                            <w:rFonts w:ascii="Times New Roman"/>
                            <w:sz w:val="21"/>
                          </w:rPr>
                          <w:t>2,334</w:t>
                        </w:r>
                      </w:p>
                    </w:tc>
                    <w:tc>
                      <w:tcPr>
                        <w:tcW w:w="1052" w:type="dxa"/>
                        <w:tcBorders>
                          <w:left w:val="single" w:sz="4" w:space="0" w:color="000000"/>
                          <w:right w:val="single" w:sz="4" w:space="0" w:color="000000"/>
                        </w:tcBorders>
                      </w:tcPr>
                      <w:p>
                        <w:pPr>
                          <w:pStyle w:val="TableParagraph"/>
                          <w:rPr>
                            <w:rFonts w:ascii="Times New Roman"/>
                            <w:sz w:val="18"/>
                          </w:rPr>
                        </w:pPr>
                      </w:p>
                    </w:tc>
                    <w:tc>
                      <w:tcPr>
                        <w:tcW w:w="1078" w:type="dxa"/>
                        <w:tcBorders>
                          <w:left w:val="single" w:sz="4" w:space="0" w:color="000000"/>
                          <w:right w:val="single" w:sz="4" w:space="0" w:color="000000"/>
                        </w:tcBorders>
                      </w:tcPr>
                      <w:p>
                        <w:pPr>
                          <w:pStyle w:val="TableParagraph"/>
                          <w:rPr>
                            <w:rFonts w:ascii="Times New Roman"/>
                            <w:sz w:val="18"/>
                          </w:rPr>
                        </w:pPr>
                      </w:p>
                    </w:tc>
                    <w:tc>
                      <w:tcPr>
                        <w:tcW w:w="1090" w:type="dxa"/>
                        <w:tcBorders>
                          <w:left w:val="single" w:sz="4" w:space="0" w:color="000000"/>
                        </w:tcBorders>
                      </w:tcPr>
                      <w:p>
                        <w:pPr>
                          <w:pStyle w:val="TableParagraph"/>
                          <w:rPr>
                            <w:rFonts w:ascii="Times New Roman"/>
                            <w:sz w:val="18"/>
                          </w:rPr>
                        </w:pPr>
                      </w:p>
                    </w:tc>
                    <w:tc>
                      <w:tcPr>
                        <w:tcW w:w="1038" w:type="dxa"/>
                      </w:tcPr>
                      <w:p>
                        <w:pPr>
                          <w:pStyle w:val="TableParagraph"/>
                          <w:spacing w:before="106"/>
                          <w:ind w:left="105"/>
                          <w:rPr>
                            <w:rFonts w:ascii="Times New Roman"/>
                            <w:sz w:val="21"/>
                          </w:rPr>
                        </w:pPr>
                        <w:r>
                          <w:rPr>
                            <w:rFonts w:ascii="Times New Roman"/>
                            <w:sz w:val="21"/>
                          </w:rPr>
                          <w:t>24,962</w:t>
                        </w:r>
                      </w:p>
                    </w:tc>
                    <w:tc>
                      <w:tcPr>
                        <w:tcW w:w="1064" w:type="dxa"/>
                      </w:tcPr>
                      <w:p>
                        <w:pPr>
                          <w:pStyle w:val="TableParagraph"/>
                          <w:spacing w:before="106"/>
                          <w:ind w:left="105"/>
                          <w:rPr>
                            <w:rFonts w:ascii="Times New Roman"/>
                            <w:sz w:val="21"/>
                          </w:rPr>
                        </w:pPr>
                        <w:r>
                          <w:rPr>
                            <w:rFonts w:ascii="Times New Roman"/>
                            <w:sz w:val="21"/>
                          </w:rPr>
                          <w:t>218,570</w:t>
                        </w:r>
                      </w:p>
                    </w:tc>
                    <w:tc>
                      <w:tcPr>
                        <w:tcW w:w="1024" w:type="dxa"/>
                      </w:tcPr>
                      <w:p>
                        <w:pPr>
                          <w:pStyle w:val="TableParagraph"/>
                          <w:rPr>
                            <w:rFonts w:ascii="Times New Roman"/>
                            <w:sz w:val="18"/>
                          </w:rPr>
                        </w:pPr>
                      </w:p>
                    </w:tc>
                    <w:tc>
                      <w:tcPr>
                        <w:tcW w:w="179" w:type="dxa"/>
                        <w:tcBorders>
                          <w:right w:val="nil"/>
                        </w:tcBorders>
                      </w:tcPr>
                      <w:p>
                        <w:pPr>
                          <w:pStyle w:val="TableParagraph"/>
                          <w:rPr>
                            <w:rFonts w:ascii="Times New Roman"/>
                            <w:sz w:val="18"/>
                          </w:rPr>
                        </w:pPr>
                      </w:p>
                    </w:tc>
                  </w:tr>
                  <w:tr>
                    <w:trPr>
                      <w:trHeight w:val="241" w:hRule="atLeast"/>
                    </w:trPr>
                    <w:tc>
                      <w:tcPr>
                        <w:tcW w:w="2396" w:type="dxa"/>
                      </w:tcPr>
                      <w:p>
                        <w:pPr>
                          <w:pStyle w:val="TableParagraph"/>
                          <w:spacing w:line="222" w:lineRule="exact"/>
                          <w:ind w:left="107"/>
                          <w:rPr>
                            <w:sz w:val="18"/>
                          </w:rPr>
                        </w:pPr>
                        <w:r>
                          <w:rPr>
                            <w:sz w:val="18"/>
                          </w:rPr>
                          <w:t>4．其他 </w:t>
                        </w:r>
                      </w:p>
                    </w:tc>
                    <w:tc>
                      <w:tcPr>
                        <w:tcW w:w="1078" w:type="dxa"/>
                        <w:tcBorders>
                          <w:right w:val="single" w:sz="4" w:space="0" w:color="000000"/>
                        </w:tcBorders>
                      </w:tcPr>
                      <w:p>
                        <w:pPr>
                          <w:pStyle w:val="TableParagraph"/>
                          <w:spacing w:line="222" w:lineRule="exact"/>
                          <w:ind w:left="107"/>
                          <w:rPr>
                            <w:rFonts w:ascii="Times New Roman"/>
                            <w:sz w:val="21"/>
                          </w:rPr>
                        </w:pPr>
                        <w:r>
                          <w:rPr>
                            <w:rFonts w:ascii="Times New Roman"/>
                            <w:sz w:val="21"/>
                          </w:rPr>
                          <w:t>-7,910</w:t>
                        </w:r>
                      </w:p>
                    </w:tc>
                    <w:tc>
                      <w:tcPr>
                        <w:tcW w:w="1052" w:type="dxa"/>
                        <w:tcBorders>
                          <w:left w:val="single" w:sz="4" w:space="0" w:color="000000"/>
                          <w:right w:val="single" w:sz="4" w:space="0" w:color="000000"/>
                        </w:tcBorders>
                      </w:tcPr>
                      <w:p>
                        <w:pPr>
                          <w:pStyle w:val="TableParagraph"/>
                          <w:spacing w:line="222" w:lineRule="exact"/>
                          <w:ind w:left="109"/>
                          <w:rPr>
                            <w:rFonts w:ascii="Times New Roman"/>
                            <w:sz w:val="21"/>
                          </w:rPr>
                        </w:pPr>
                        <w:r>
                          <w:rPr>
                            <w:rFonts w:ascii="Times New Roman"/>
                            <w:w w:val="100"/>
                            <w:sz w:val="21"/>
                          </w:rPr>
                          <w:t>-</w:t>
                        </w:r>
                      </w:p>
                    </w:tc>
                    <w:tc>
                      <w:tcPr>
                        <w:tcW w:w="1078" w:type="dxa"/>
                        <w:tcBorders>
                          <w:left w:val="single" w:sz="4" w:space="0" w:color="000000"/>
                          <w:right w:val="single" w:sz="4" w:space="0" w:color="000000"/>
                        </w:tcBorders>
                      </w:tcPr>
                      <w:p>
                        <w:pPr>
                          <w:pStyle w:val="TableParagraph"/>
                          <w:spacing w:line="222" w:lineRule="exact"/>
                          <w:ind w:left="106"/>
                          <w:rPr>
                            <w:rFonts w:ascii="Times New Roman"/>
                            <w:sz w:val="21"/>
                          </w:rPr>
                        </w:pPr>
                        <w:r>
                          <w:rPr>
                            <w:rFonts w:ascii="Times New Roman"/>
                            <w:w w:val="100"/>
                            <w:sz w:val="21"/>
                          </w:rPr>
                          <w:t>-</w:t>
                        </w:r>
                      </w:p>
                    </w:tc>
                    <w:tc>
                      <w:tcPr>
                        <w:tcW w:w="1090" w:type="dxa"/>
                        <w:tcBorders>
                          <w:left w:val="single" w:sz="4" w:space="0" w:color="000000"/>
                        </w:tcBorders>
                      </w:tcPr>
                      <w:p>
                        <w:pPr>
                          <w:pStyle w:val="TableParagraph"/>
                          <w:spacing w:line="222" w:lineRule="exact"/>
                          <w:ind w:left="106"/>
                          <w:rPr>
                            <w:rFonts w:ascii="Times New Roman"/>
                            <w:sz w:val="21"/>
                          </w:rPr>
                        </w:pPr>
                        <w:r>
                          <w:rPr>
                            <w:rFonts w:ascii="Times New Roman"/>
                            <w:w w:val="100"/>
                            <w:sz w:val="21"/>
                          </w:rPr>
                          <w:t>-</w:t>
                        </w:r>
                      </w:p>
                    </w:tc>
                    <w:tc>
                      <w:tcPr>
                        <w:tcW w:w="1038" w:type="dxa"/>
                      </w:tcPr>
                      <w:p>
                        <w:pPr>
                          <w:pStyle w:val="TableParagraph"/>
                          <w:spacing w:line="222" w:lineRule="exact"/>
                          <w:ind w:left="105"/>
                          <w:rPr>
                            <w:rFonts w:ascii="Times New Roman"/>
                            <w:sz w:val="21"/>
                          </w:rPr>
                        </w:pPr>
                        <w:r>
                          <w:rPr>
                            <w:rFonts w:ascii="Times New Roman"/>
                            <w:sz w:val="21"/>
                          </w:rPr>
                          <w:t>493,986</w:t>
                        </w:r>
                      </w:p>
                    </w:tc>
                    <w:tc>
                      <w:tcPr>
                        <w:tcW w:w="1064" w:type="dxa"/>
                      </w:tcPr>
                      <w:p>
                        <w:pPr>
                          <w:pStyle w:val="TableParagraph"/>
                          <w:spacing w:line="222" w:lineRule="exact"/>
                          <w:ind w:left="105"/>
                          <w:rPr>
                            <w:rFonts w:ascii="Times New Roman"/>
                            <w:sz w:val="21"/>
                          </w:rPr>
                        </w:pPr>
                        <w:r>
                          <w:rPr>
                            <w:rFonts w:ascii="Times New Roman"/>
                            <w:sz w:val="21"/>
                          </w:rPr>
                          <w:t>47,474</w:t>
                        </w:r>
                      </w:p>
                    </w:tc>
                    <w:tc>
                      <w:tcPr>
                        <w:tcW w:w="1024" w:type="dxa"/>
                      </w:tcPr>
                      <w:p>
                        <w:pPr>
                          <w:pStyle w:val="TableParagraph"/>
                          <w:spacing w:line="222" w:lineRule="exact"/>
                          <w:ind w:left="104"/>
                          <w:rPr>
                            <w:rFonts w:ascii="Times New Roman"/>
                            <w:sz w:val="21"/>
                          </w:rPr>
                        </w:pPr>
                        <w:r>
                          <w:rPr>
                            <w:rFonts w:ascii="Times New Roman"/>
                            <w:w w:val="100"/>
                            <w:sz w:val="21"/>
                          </w:rPr>
                          <w:t>-</w:t>
                        </w:r>
                      </w:p>
                    </w:tc>
                    <w:tc>
                      <w:tcPr>
                        <w:tcW w:w="179" w:type="dxa"/>
                        <w:tcBorders>
                          <w:right w:val="nil"/>
                        </w:tcBorders>
                      </w:tcPr>
                      <w:p>
                        <w:pPr>
                          <w:pStyle w:val="TableParagraph"/>
                          <w:spacing w:line="222" w:lineRule="exact"/>
                          <w:ind w:right="-15"/>
                          <w:jc w:val="right"/>
                          <w:rPr>
                            <w:rFonts w:ascii="Times New Roman"/>
                            <w:sz w:val="21"/>
                          </w:rPr>
                        </w:pPr>
                        <w:r>
                          <w:rPr>
                            <w:rFonts w:ascii="Times New Roman"/>
                            <w:w w:val="100"/>
                            <w:sz w:val="21"/>
                          </w:rPr>
                          <w:t>-</w:t>
                        </w:r>
                      </w:p>
                    </w:tc>
                  </w:tr>
                  <w:tr>
                    <w:trPr>
                      <w:trHeight w:val="724" w:hRule="atLeast"/>
                    </w:trPr>
                    <w:tc>
                      <w:tcPr>
                        <w:tcW w:w="2396" w:type="dxa"/>
                      </w:tcPr>
                      <w:p>
                        <w:pPr>
                          <w:pStyle w:val="TableParagraph"/>
                          <w:spacing w:line="230" w:lineRule="exact"/>
                          <w:ind w:left="107"/>
                          <w:rPr>
                            <w:sz w:val="18"/>
                          </w:rPr>
                        </w:pPr>
                        <w:r>
                          <w:rPr>
                            <w:sz w:val="18"/>
                          </w:rPr>
                          <w:t>（三）利润分配 </w:t>
                        </w:r>
                      </w:p>
                    </w:tc>
                    <w:tc>
                      <w:tcPr>
                        <w:tcW w:w="1078" w:type="dxa"/>
                        <w:tcBorders>
                          <w:right w:val="single" w:sz="4" w:space="0" w:color="000000"/>
                        </w:tcBorders>
                      </w:tcPr>
                      <w:p>
                        <w:pPr>
                          <w:pStyle w:val="TableParagraph"/>
                          <w:spacing w:before="5"/>
                          <w:rPr>
                            <w:sz w:val="18"/>
                          </w:rPr>
                        </w:pPr>
                      </w:p>
                      <w:p>
                        <w:pPr>
                          <w:pStyle w:val="TableParagraph"/>
                          <w:ind w:left="107"/>
                          <w:rPr>
                            <w:rFonts w:ascii="Times New Roman"/>
                            <w:sz w:val="21"/>
                          </w:rPr>
                        </w:pPr>
                        <w:r>
                          <w:rPr>
                            <w:rFonts w:ascii="Times New Roman"/>
                            <w:w w:val="100"/>
                            <w:sz w:val="21"/>
                          </w:rPr>
                          <w:t>-</w:t>
                        </w:r>
                      </w:p>
                    </w:tc>
                    <w:tc>
                      <w:tcPr>
                        <w:tcW w:w="1052" w:type="dxa"/>
                        <w:tcBorders>
                          <w:left w:val="single" w:sz="4" w:space="0" w:color="000000"/>
                          <w:right w:val="single" w:sz="4" w:space="0" w:color="000000"/>
                        </w:tcBorders>
                      </w:tcPr>
                      <w:p>
                        <w:pPr>
                          <w:pStyle w:val="TableParagraph"/>
                          <w:spacing w:before="5"/>
                          <w:rPr>
                            <w:sz w:val="18"/>
                          </w:rPr>
                        </w:pPr>
                      </w:p>
                      <w:p>
                        <w:pPr>
                          <w:pStyle w:val="TableParagraph"/>
                          <w:ind w:left="109"/>
                          <w:rPr>
                            <w:rFonts w:ascii="Times New Roman"/>
                            <w:sz w:val="21"/>
                          </w:rPr>
                        </w:pPr>
                        <w:r>
                          <w:rPr>
                            <w:rFonts w:ascii="Times New Roman"/>
                            <w:w w:val="100"/>
                            <w:sz w:val="21"/>
                          </w:rPr>
                          <w:t>-</w:t>
                        </w:r>
                      </w:p>
                    </w:tc>
                    <w:tc>
                      <w:tcPr>
                        <w:tcW w:w="1078" w:type="dxa"/>
                        <w:tcBorders>
                          <w:left w:val="single" w:sz="4" w:space="0" w:color="000000"/>
                          <w:right w:val="single" w:sz="4" w:space="0" w:color="000000"/>
                        </w:tcBorders>
                      </w:tcPr>
                      <w:p>
                        <w:pPr>
                          <w:pStyle w:val="TableParagraph"/>
                          <w:spacing w:before="5"/>
                          <w:rPr>
                            <w:sz w:val="18"/>
                          </w:rPr>
                        </w:pPr>
                      </w:p>
                      <w:p>
                        <w:pPr>
                          <w:pStyle w:val="TableParagraph"/>
                          <w:ind w:left="106"/>
                          <w:rPr>
                            <w:rFonts w:ascii="Times New Roman"/>
                            <w:sz w:val="21"/>
                          </w:rPr>
                        </w:pPr>
                        <w:r>
                          <w:rPr>
                            <w:rFonts w:ascii="Times New Roman"/>
                            <w:w w:val="100"/>
                            <w:sz w:val="21"/>
                          </w:rPr>
                          <w:t>-</w:t>
                        </w:r>
                      </w:p>
                    </w:tc>
                    <w:tc>
                      <w:tcPr>
                        <w:tcW w:w="1090" w:type="dxa"/>
                        <w:tcBorders>
                          <w:left w:val="single" w:sz="4" w:space="0" w:color="000000"/>
                        </w:tcBorders>
                      </w:tcPr>
                      <w:p>
                        <w:pPr>
                          <w:pStyle w:val="TableParagraph"/>
                          <w:spacing w:before="5"/>
                          <w:rPr>
                            <w:sz w:val="18"/>
                          </w:rPr>
                        </w:pPr>
                      </w:p>
                      <w:p>
                        <w:pPr>
                          <w:pStyle w:val="TableParagraph"/>
                          <w:ind w:left="106"/>
                          <w:rPr>
                            <w:rFonts w:ascii="Times New Roman"/>
                            <w:sz w:val="21"/>
                          </w:rPr>
                        </w:pPr>
                        <w:r>
                          <w:rPr>
                            <w:rFonts w:ascii="Times New Roman"/>
                            <w:w w:val="100"/>
                            <w:sz w:val="21"/>
                          </w:rPr>
                          <w:t>-</w:t>
                        </w:r>
                      </w:p>
                    </w:tc>
                    <w:tc>
                      <w:tcPr>
                        <w:tcW w:w="1038" w:type="dxa"/>
                      </w:tcPr>
                      <w:p>
                        <w:pPr>
                          <w:pStyle w:val="TableParagraph"/>
                          <w:spacing w:before="5"/>
                          <w:rPr>
                            <w:sz w:val="18"/>
                          </w:rPr>
                        </w:pPr>
                      </w:p>
                      <w:p>
                        <w:pPr>
                          <w:pStyle w:val="TableParagraph"/>
                          <w:ind w:left="105"/>
                          <w:rPr>
                            <w:rFonts w:ascii="Times New Roman"/>
                            <w:sz w:val="21"/>
                          </w:rPr>
                        </w:pPr>
                        <w:r>
                          <w:rPr>
                            <w:rFonts w:ascii="Times New Roman"/>
                            <w:w w:val="100"/>
                            <w:sz w:val="21"/>
                          </w:rPr>
                          <w:t>-</w:t>
                        </w:r>
                      </w:p>
                    </w:tc>
                    <w:tc>
                      <w:tcPr>
                        <w:tcW w:w="1064" w:type="dxa"/>
                      </w:tcPr>
                      <w:p>
                        <w:pPr>
                          <w:pStyle w:val="TableParagraph"/>
                          <w:spacing w:before="5"/>
                          <w:rPr>
                            <w:sz w:val="18"/>
                          </w:rPr>
                        </w:pPr>
                      </w:p>
                      <w:p>
                        <w:pPr>
                          <w:pStyle w:val="TableParagraph"/>
                          <w:ind w:left="105"/>
                          <w:rPr>
                            <w:rFonts w:ascii="Times New Roman"/>
                            <w:sz w:val="21"/>
                          </w:rPr>
                        </w:pPr>
                        <w:r>
                          <w:rPr>
                            <w:rFonts w:ascii="Times New Roman"/>
                            <w:sz w:val="21"/>
                          </w:rPr>
                          <w:t>23,580</w:t>
                        </w:r>
                      </w:p>
                    </w:tc>
                    <w:tc>
                      <w:tcPr>
                        <w:tcW w:w="1024" w:type="dxa"/>
                      </w:tcPr>
                      <w:p>
                        <w:pPr>
                          <w:pStyle w:val="TableParagraph"/>
                          <w:spacing w:before="5"/>
                          <w:rPr>
                            <w:sz w:val="18"/>
                          </w:rPr>
                        </w:pPr>
                      </w:p>
                      <w:p>
                        <w:pPr>
                          <w:pStyle w:val="TableParagraph"/>
                          <w:ind w:left="104"/>
                          <w:rPr>
                            <w:rFonts w:ascii="Times New Roman"/>
                            <w:sz w:val="21"/>
                          </w:rPr>
                        </w:pPr>
                        <w:r>
                          <w:rPr>
                            <w:rFonts w:ascii="Times New Roman"/>
                            <w:w w:val="100"/>
                            <w:sz w:val="21"/>
                          </w:rPr>
                          <w:t>-</w:t>
                        </w:r>
                      </w:p>
                    </w:tc>
                    <w:tc>
                      <w:tcPr>
                        <w:tcW w:w="179" w:type="dxa"/>
                        <w:tcBorders>
                          <w:right w:val="nil"/>
                        </w:tcBorders>
                      </w:tcPr>
                      <w:p>
                        <w:pPr>
                          <w:pStyle w:val="TableParagraph"/>
                          <w:spacing w:before="5"/>
                          <w:rPr>
                            <w:sz w:val="18"/>
                          </w:rPr>
                        </w:pPr>
                      </w:p>
                      <w:p>
                        <w:pPr>
                          <w:pStyle w:val="TableParagraph"/>
                          <w:ind w:right="-15"/>
                          <w:jc w:val="right"/>
                          <w:rPr>
                            <w:rFonts w:ascii="Times New Roman"/>
                            <w:sz w:val="21"/>
                          </w:rPr>
                        </w:pPr>
                        <w:r>
                          <w:rPr>
                            <w:rFonts w:ascii="Times New Roman"/>
                            <w:w w:val="100"/>
                            <w:sz w:val="21"/>
                          </w:rPr>
                          <w:t>-</w:t>
                        </w:r>
                      </w:p>
                    </w:tc>
                  </w:tr>
                  <w:tr>
                    <w:trPr>
                      <w:trHeight w:val="724" w:hRule="atLeast"/>
                    </w:trPr>
                    <w:tc>
                      <w:tcPr>
                        <w:tcW w:w="2396" w:type="dxa"/>
                      </w:tcPr>
                      <w:p>
                        <w:pPr>
                          <w:pStyle w:val="TableParagraph"/>
                          <w:spacing w:line="230" w:lineRule="exact"/>
                          <w:ind w:left="107"/>
                          <w:rPr>
                            <w:sz w:val="18"/>
                          </w:rPr>
                        </w:pPr>
                        <w:r>
                          <w:rPr>
                            <w:sz w:val="18"/>
                          </w:rPr>
                          <w:t>1．提取盈余公积 </w:t>
                        </w:r>
                      </w:p>
                    </w:tc>
                    <w:tc>
                      <w:tcPr>
                        <w:tcW w:w="1078" w:type="dxa"/>
                        <w:tcBorders>
                          <w:right w:val="single" w:sz="4" w:space="0" w:color="000000"/>
                        </w:tcBorders>
                      </w:tcPr>
                      <w:p>
                        <w:pPr>
                          <w:pStyle w:val="TableParagraph"/>
                          <w:spacing w:before="5"/>
                          <w:rPr>
                            <w:sz w:val="18"/>
                          </w:rPr>
                        </w:pPr>
                      </w:p>
                      <w:p>
                        <w:pPr>
                          <w:pStyle w:val="TableParagraph"/>
                          <w:ind w:left="107"/>
                          <w:rPr>
                            <w:rFonts w:ascii="Times New Roman"/>
                            <w:sz w:val="21"/>
                          </w:rPr>
                        </w:pPr>
                        <w:r>
                          <w:rPr>
                            <w:rFonts w:ascii="Times New Roman"/>
                            <w:w w:val="100"/>
                            <w:sz w:val="21"/>
                          </w:rPr>
                          <w:t>-</w:t>
                        </w:r>
                      </w:p>
                    </w:tc>
                    <w:tc>
                      <w:tcPr>
                        <w:tcW w:w="1052" w:type="dxa"/>
                        <w:tcBorders>
                          <w:left w:val="single" w:sz="4" w:space="0" w:color="000000"/>
                          <w:right w:val="single" w:sz="4" w:space="0" w:color="000000"/>
                        </w:tcBorders>
                      </w:tcPr>
                      <w:p>
                        <w:pPr>
                          <w:pStyle w:val="TableParagraph"/>
                          <w:rPr>
                            <w:rFonts w:ascii="Times New Roman"/>
                            <w:sz w:val="18"/>
                          </w:rPr>
                        </w:pPr>
                      </w:p>
                    </w:tc>
                    <w:tc>
                      <w:tcPr>
                        <w:tcW w:w="1078" w:type="dxa"/>
                        <w:tcBorders>
                          <w:left w:val="single" w:sz="4" w:space="0" w:color="000000"/>
                          <w:right w:val="single" w:sz="4" w:space="0" w:color="000000"/>
                        </w:tcBorders>
                      </w:tcPr>
                      <w:p>
                        <w:pPr>
                          <w:pStyle w:val="TableParagraph"/>
                          <w:rPr>
                            <w:rFonts w:ascii="Times New Roman"/>
                            <w:sz w:val="18"/>
                          </w:rPr>
                        </w:pPr>
                      </w:p>
                    </w:tc>
                    <w:tc>
                      <w:tcPr>
                        <w:tcW w:w="1090" w:type="dxa"/>
                        <w:tcBorders>
                          <w:left w:val="single" w:sz="4" w:space="0" w:color="000000"/>
                        </w:tcBorders>
                      </w:tcPr>
                      <w:p>
                        <w:pPr>
                          <w:pStyle w:val="TableParagraph"/>
                          <w:rPr>
                            <w:rFonts w:ascii="Times New Roman"/>
                            <w:sz w:val="18"/>
                          </w:rPr>
                        </w:pPr>
                      </w:p>
                    </w:tc>
                    <w:tc>
                      <w:tcPr>
                        <w:tcW w:w="1038" w:type="dxa"/>
                      </w:tcPr>
                      <w:p>
                        <w:pPr>
                          <w:pStyle w:val="TableParagraph"/>
                          <w:spacing w:before="5"/>
                          <w:rPr>
                            <w:sz w:val="18"/>
                          </w:rPr>
                        </w:pPr>
                      </w:p>
                      <w:p>
                        <w:pPr>
                          <w:pStyle w:val="TableParagraph"/>
                          <w:ind w:left="105"/>
                          <w:rPr>
                            <w:rFonts w:ascii="Times New Roman"/>
                            <w:sz w:val="21"/>
                          </w:rPr>
                        </w:pPr>
                        <w:r>
                          <w:rPr>
                            <w:rFonts w:ascii="Times New Roman"/>
                            <w:w w:val="100"/>
                            <w:sz w:val="21"/>
                          </w:rPr>
                          <w:t>-</w:t>
                        </w:r>
                      </w:p>
                    </w:tc>
                    <w:tc>
                      <w:tcPr>
                        <w:tcW w:w="1064" w:type="dxa"/>
                      </w:tcPr>
                      <w:p>
                        <w:pPr>
                          <w:pStyle w:val="TableParagraph"/>
                          <w:spacing w:before="5"/>
                          <w:rPr>
                            <w:sz w:val="18"/>
                          </w:rPr>
                        </w:pPr>
                      </w:p>
                      <w:p>
                        <w:pPr>
                          <w:pStyle w:val="TableParagraph"/>
                          <w:ind w:left="105"/>
                          <w:rPr>
                            <w:rFonts w:ascii="Times New Roman"/>
                            <w:sz w:val="21"/>
                          </w:rPr>
                        </w:pPr>
                        <w:r>
                          <w:rPr>
                            <w:rFonts w:ascii="Times New Roman"/>
                            <w:w w:val="100"/>
                            <w:sz w:val="21"/>
                          </w:rPr>
                          <w:t>-</w:t>
                        </w:r>
                      </w:p>
                    </w:tc>
                    <w:tc>
                      <w:tcPr>
                        <w:tcW w:w="1024" w:type="dxa"/>
                      </w:tcPr>
                      <w:p>
                        <w:pPr>
                          <w:pStyle w:val="TableParagraph"/>
                          <w:spacing w:before="5"/>
                          <w:rPr>
                            <w:sz w:val="18"/>
                          </w:rPr>
                        </w:pPr>
                      </w:p>
                      <w:p>
                        <w:pPr>
                          <w:pStyle w:val="TableParagraph"/>
                          <w:ind w:left="104"/>
                          <w:rPr>
                            <w:rFonts w:ascii="Times New Roman"/>
                            <w:sz w:val="21"/>
                          </w:rPr>
                        </w:pPr>
                        <w:r>
                          <w:rPr>
                            <w:rFonts w:ascii="Times New Roman"/>
                            <w:w w:val="100"/>
                            <w:sz w:val="21"/>
                          </w:rPr>
                          <w:t>-</w:t>
                        </w:r>
                      </w:p>
                    </w:tc>
                    <w:tc>
                      <w:tcPr>
                        <w:tcW w:w="179" w:type="dxa"/>
                        <w:tcBorders>
                          <w:right w:val="nil"/>
                        </w:tcBorders>
                      </w:tcPr>
                      <w:p>
                        <w:pPr>
                          <w:pStyle w:val="TableParagraph"/>
                          <w:rPr>
                            <w:rFonts w:ascii="Times New Roman"/>
                            <w:sz w:val="18"/>
                          </w:rPr>
                        </w:pPr>
                      </w:p>
                    </w:tc>
                  </w:tr>
                  <w:tr>
                    <w:trPr>
                      <w:trHeight w:val="724" w:hRule="atLeast"/>
                    </w:trPr>
                    <w:tc>
                      <w:tcPr>
                        <w:tcW w:w="2396" w:type="dxa"/>
                      </w:tcPr>
                      <w:p>
                        <w:pPr>
                          <w:pStyle w:val="TableParagraph"/>
                          <w:spacing w:line="244" w:lineRule="auto"/>
                          <w:ind w:left="107" w:right="200"/>
                          <w:rPr>
                            <w:sz w:val="18"/>
                          </w:rPr>
                        </w:pPr>
                        <w:r>
                          <w:rPr>
                            <w:spacing w:val="-1"/>
                            <w:sz w:val="18"/>
                          </w:rPr>
                          <w:t>2．对所有者</w:t>
                        </w:r>
                        <w:r>
                          <w:rPr>
                            <w:sz w:val="18"/>
                          </w:rPr>
                          <w:t>（或股东）的分配 </w:t>
                        </w:r>
                      </w:p>
                    </w:tc>
                    <w:tc>
                      <w:tcPr>
                        <w:tcW w:w="1078" w:type="dxa"/>
                        <w:tcBorders>
                          <w:right w:val="single" w:sz="4" w:space="0" w:color="000000"/>
                        </w:tcBorders>
                      </w:tcPr>
                      <w:p>
                        <w:pPr>
                          <w:pStyle w:val="TableParagraph"/>
                          <w:spacing w:before="5"/>
                          <w:rPr>
                            <w:sz w:val="18"/>
                          </w:rPr>
                        </w:pPr>
                      </w:p>
                      <w:p>
                        <w:pPr>
                          <w:pStyle w:val="TableParagraph"/>
                          <w:ind w:left="107"/>
                          <w:rPr>
                            <w:rFonts w:ascii="Times New Roman"/>
                            <w:sz w:val="21"/>
                          </w:rPr>
                        </w:pPr>
                        <w:r>
                          <w:rPr>
                            <w:rFonts w:ascii="Times New Roman"/>
                            <w:w w:val="100"/>
                            <w:sz w:val="21"/>
                          </w:rPr>
                          <w:t>-</w:t>
                        </w:r>
                      </w:p>
                    </w:tc>
                    <w:tc>
                      <w:tcPr>
                        <w:tcW w:w="1052" w:type="dxa"/>
                        <w:tcBorders>
                          <w:left w:val="single" w:sz="4" w:space="0" w:color="000000"/>
                          <w:right w:val="single" w:sz="4" w:space="0" w:color="000000"/>
                        </w:tcBorders>
                      </w:tcPr>
                      <w:p>
                        <w:pPr>
                          <w:pStyle w:val="TableParagraph"/>
                          <w:rPr>
                            <w:rFonts w:ascii="Times New Roman"/>
                            <w:sz w:val="18"/>
                          </w:rPr>
                        </w:pPr>
                      </w:p>
                    </w:tc>
                    <w:tc>
                      <w:tcPr>
                        <w:tcW w:w="1078" w:type="dxa"/>
                        <w:tcBorders>
                          <w:left w:val="single" w:sz="4" w:space="0" w:color="000000"/>
                          <w:right w:val="single" w:sz="4" w:space="0" w:color="000000"/>
                        </w:tcBorders>
                      </w:tcPr>
                      <w:p>
                        <w:pPr>
                          <w:pStyle w:val="TableParagraph"/>
                          <w:rPr>
                            <w:rFonts w:ascii="Times New Roman"/>
                            <w:sz w:val="18"/>
                          </w:rPr>
                        </w:pPr>
                      </w:p>
                    </w:tc>
                    <w:tc>
                      <w:tcPr>
                        <w:tcW w:w="1090" w:type="dxa"/>
                        <w:tcBorders>
                          <w:left w:val="single" w:sz="4" w:space="0" w:color="000000"/>
                        </w:tcBorders>
                      </w:tcPr>
                      <w:p>
                        <w:pPr>
                          <w:pStyle w:val="TableParagraph"/>
                          <w:rPr>
                            <w:rFonts w:ascii="Times New Roman"/>
                            <w:sz w:val="18"/>
                          </w:rPr>
                        </w:pPr>
                      </w:p>
                    </w:tc>
                    <w:tc>
                      <w:tcPr>
                        <w:tcW w:w="1038" w:type="dxa"/>
                      </w:tcPr>
                      <w:p>
                        <w:pPr>
                          <w:pStyle w:val="TableParagraph"/>
                          <w:spacing w:before="5"/>
                          <w:rPr>
                            <w:sz w:val="18"/>
                          </w:rPr>
                        </w:pPr>
                      </w:p>
                      <w:p>
                        <w:pPr>
                          <w:pStyle w:val="TableParagraph"/>
                          <w:ind w:left="105"/>
                          <w:rPr>
                            <w:rFonts w:ascii="Times New Roman"/>
                            <w:sz w:val="21"/>
                          </w:rPr>
                        </w:pPr>
                        <w:r>
                          <w:rPr>
                            <w:rFonts w:ascii="Times New Roman"/>
                            <w:w w:val="100"/>
                            <w:sz w:val="21"/>
                          </w:rPr>
                          <w:t>-</w:t>
                        </w:r>
                      </w:p>
                    </w:tc>
                    <w:tc>
                      <w:tcPr>
                        <w:tcW w:w="1064" w:type="dxa"/>
                      </w:tcPr>
                      <w:p>
                        <w:pPr>
                          <w:pStyle w:val="TableParagraph"/>
                          <w:spacing w:before="5"/>
                          <w:rPr>
                            <w:sz w:val="18"/>
                          </w:rPr>
                        </w:pPr>
                      </w:p>
                      <w:p>
                        <w:pPr>
                          <w:pStyle w:val="TableParagraph"/>
                          <w:ind w:left="105"/>
                          <w:rPr>
                            <w:rFonts w:ascii="Times New Roman"/>
                            <w:sz w:val="21"/>
                          </w:rPr>
                        </w:pPr>
                        <w:r>
                          <w:rPr>
                            <w:rFonts w:ascii="Times New Roman"/>
                            <w:w w:val="100"/>
                            <w:sz w:val="21"/>
                          </w:rPr>
                          <w:t>-</w:t>
                        </w:r>
                      </w:p>
                    </w:tc>
                    <w:tc>
                      <w:tcPr>
                        <w:tcW w:w="1024" w:type="dxa"/>
                      </w:tcPr>
                      <w:p>
                        <w:pPr>
                          <w:pStyle w:val="TableParagraph"/>
                          <w:rPr>
                            <w:rFonts w:ascii="Times New Roman"/>
                            <w:sz w:val="18"/>
                          </w:rPr>
                        </w:pPr>
                      </w:p>
                    </w:tc>
                    <w:tc>
                      <w:tcPr>
                        <w:tcW w:w="179" w:type="dxa"/>
                        <w:tcBorders>
                          <w:right w:val="nil"/>
                        </w:tcBorders>
                      </w:tcPr>
                      <w:p>
                        <w:pPr>
                          <w:pStyle w:val="TableParagraph"/>
                          <w:rPr>
                            <w:rFonts w:ascii="Times New Roman"/>
                            <w:sz w:val="18"/>
                          </w:rPr>
                        </w:pPr>
                      </w:p>
                    </w:tc>
                  </w:tr>
                  <w:tr>
                    <w:trPr>
                      <w:trHeight w:val="241" w:hRule="atLeast"/>
                    </w:trPr>
                    <w:tc>
                      <w:tcPr>
                        <w:tcW w:w="2396" w:type="dxa"/>
                      </w:tcPr>
                      <w:p>
                        <w:pPr>
                          <w:pStyle w:val="TableParagraph"/>
                          <w:spacing w:line="222" w:lineRule="exact"/>
                          <w:ind w:left="107"/>
                          <w:rPr>
                            <w:sz w:val="18"/>
                          </w:rPr>
                        </w:pPr>
                        <w:r>
                          <w:rPr>
                            <w:sz w:val="18"/>
                          </w:rPr>
                          <w:t>3．其他 </w:t>
                        </w:r>
                      </w:p>
                    </w:tc>
                    <w:tc>
                      <w:tcPr>
                        <w:tcW w:w="1078" w:type="dxa"/>
                        <w:tcBorders>
                          <w:right w:val="single" w:sz="4" w:space="0" w:color="000000"/>
                        </w:tcBorders>
                      </w:tcPr>
                      <w:p>
                        <w:pPr>
                          <w:pStyle w:val="TableParagraph"/>
                          <w:spacing w:line="222" w:lineRule="exact"/>
                          <w:ind w:left="107"/>
                          <w:rPr>
                            <w:rFonts w:ascii="Times New Roman"/>
                            <w:sz w:val="21"/>
                          </w:rPr>
                        </w:pPr>
                        <w:r>
                          <w:rPr>
                            <w:rFonts w:ascii="Times New Roman"/>
                            <w:w w:val="100"/>
                            <w:sz w:val="21"/>
                          </w:rPr>
                          <w:t>-</w:t>
                        </w: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tcBorders>
                      </w:tcPr>
                      <w:p>
                        <w:pPr>
                          <w:pStyle w:val="TableParagraph"/>
                          <w:rPr>
                            <w:rFonts w:ascii="Times New Roman"/>
                            <w:sz w:val="16"/>
                          </w:rPr>
                        </w:pPr>
                      </w:p>
                    </w:tc>
                    <w:tc>
                      <w:tcPr>
                        <w:tcW w:w="1038" w:type="dxa"/>
                      </w:tcPr>
                      <w:p>
                        <w:pPr>
                          <w:pStyle w:val="TableParagraph"/>
                          <w:spacing w:line="222" w:lineRule="exact"/>
                          <w:ind w:left="105"/>
                          <w:rPr>
                            <w:rFonts w:ascii="Times New Roman"/>
                            <w:sz w:val="21"/>
                          </w:rPr>
                        </w:pPr>
                        <w:r>
                          <w:rPr>
                            <w:rFonts w:ascii="Times New Roman"/>
                            <w:w w:val="100"/>
                            <w:sz w:val="21"/>
                          </w:rPr>
                          <w:t>-</w:t>
                        </w:r>
                      </w:p>
                    </w:tc>
                    <w:tc>
                      <w:tcPr>
                        <w:tcW w:w="1064" w:type="dxa"/>
                      </w:tcPr>
                      <w:p>
                        <w:pPr>
                          <w:pStyle w:val="TableParagraph"/>
                          <w:spacing w:line="222" w:lineRule="exact"/>
                          <w:ind w:left="105"/>
                          <w:rPr>
                            <w:rFonts w:ascii="Times New Roman"/>
                            <w:sz w:val="21"/>
                          </w:rPr>
                        </w:pPr>
                        <w:r>
                          <w:rPr>
                            <w:rFonts w:ascii="Times New Roman"/>
                            <w:sz w:val="21"/>
                          </w:rPr>
                          <w:t>23,580</w:t>
                        </w:r>
                      </w:p>
                    </w:tc>
                    <w:tc>
                      <w:tcPr>
                        <w:tcW w:w="1024" w:type="dxa"/>
                      </w:tcPr>
                      <w:p>
                        <w:pPr>
                          <w:pStyle w:val="TableParagraph"/>
                          <w:rPr>
                            <w:rFonts w:ascii="Times New Roman"/>
                            <w:sz w:val="16"/>
                          </w:rPr>
                        </w:pPr>
                      </w:p>
                    </w:tc>
                    <w:tc>
                      <w:tcPr>
                        <w:tcW w:w="179" w:type="dxa"/>
                        <w:tcBorders>
                          <w:right w:val="nil"/>
                        </w:tcBorders>
                      </w:tcPr>
                      <w:p>
                        <w:pPr>
                          <w:pStyle w:val="TableParagraph"/>
                          <w:rPr>
                            <w:rFonts w:ascii="Times New Roman"/>
                            <w:sz w:val="16"/>
                          </w:rPr>
                        </w:pPr>
                      </w:p>
                    </w:tc>
                  </w:tr>
                  <w:tr>
                    <w:trPr>
                      <w:trHeight w:val="241" w:hRule="atLeast"/>
                    </w:trPr>
                    <w:tc>
                      <w:tcPr>
                        <w:tcW w:w="2396" w:type="dxa"/>
                      </w:tcPr>
                      <w:p>
                        <w:pPr>
                          <w:pStyle w:val="TableParagraph"/>
                          <w:spacing w:line="222" w:lineRule="exact"/>
                          <w:ind w:left="107"/>
                          <w:rPr>
                            <w:sz w:val="18"/>
                          </w:rPr>
                        </w:pPr>
                        <w:r>
                          <w:rPr>
                            <w:sz w:val="18"/>
                          </w:rPr>
                          <w:t>（四）所有者权益内部结转 </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tcBorders>
                      </w:tcPr>
                      <w:p>
                        <w:pPr>
                          <w:pStyle w:val="TableParagraph"/>
                          <w:rPr>
                            <w:rFonts w:ascii="Times New Roman"/>
                            <w:sz w:val="16"/>
                          </w:rPr>
                        </w:pPr>
                      </w:p>
                    </w:tc>
                    <w:tc>
                      <w:tcPr>
                        <w:tcW w:w="1038" w:type="dxa"/>
                      </w:tcPr>
                      <w:p>
                        <w:pPr>
                          <w:pStyle w:val="TableParagraph"/>
                          <w:rPr>
                            <w:rFonts w:ascii="Times New Roman"/>
                            <w:sz w:val="16"/>
                          </w:rPr>
                        </w:pPr>
                      </w:p>
                    </w:tc>
                    <w:tc>
                      <w:tcPr>
                        <w:tcW w:w="1064" w:type="dxa"/>
                      </w:tcPr>
                      <w:p>
                        <w:pPr>
                          <w:pStyle w:val="TableParagraph"/>
                          <w:rPr>
                            <w:rFonts w:ascii="Times New Roman"/>
                            <w:sz w:val="16"/>
                          </w:rPr>
                        </w:pPr>
                      </w:p>
                    </w:tc>
                    <w:tc>
                      <w:tcPr>
                        <w:tcW w:w="1024" w:type="dxa"/>
                      </w:tcPr>
                      <w:p>
                        <w:pPr>
                          <w:pStyle w:val="TableParagraph"/>
                          <w:rPr>
                            <w:rFonts w:ascii="Times New Roman"/>
                            <w:sz w:val="16"/>
                          </w:rPr>
                        </w:pPr>
                      </w:p>
                    </w:tc>
                    <w:tc>
                      <w:tcPr>
                        <w:tcW w:w="179" w:type="dxa"/>
                        <w:tcBorders>
                          <w:right w:val="nil"/>
                        </w:tcBorders>
                      </w:tcPr>
                      <w:p>
                        <w:pPr>
                          <w:pStyle w:val="TableParagraph"/>
                          <w:rPr>
                            <w:rFonts w:ascii="Times New Roman"/>
                            <w:sz w:val="16"/>
                          </w:rPr>
                        </w:pPr>
                      </w:p>
                    </w:tc>
                  </w:tr>
                  <w:tr>
                    <w:trPr>
                      <w:trHeight w:val="467" w:hRule="atLeast"/>
                    </w:trPr>
                    <w:tc>
                      <w:tcPr>
                        <w:tcW w:w="2396" w:type="dxa"/>
                      </w:tcPr>
                      <w:p>
                        <w:pPr>
                          <w:pStyle w:val="TableParagraph"/>
                          <w:spacing w:line="230" w:lineRule="exact"/>
                          <w:ind w:left="107"/>
                          <w:rPr>
                            <w:sz w:val="18"/>
                          </w:rPr>
                        </w:pPr>
                        <w:r>
                          <w:rPr>
                            <w:sz w:val="18"/>
                          </w:rPr>
                          <w:t>1．资本公积转增资本（或</w:t>
                        </w:r>
                      </w:p>
                      <w:p>
                        <w:pPr>
                          <w:pStyle w:val="TableParagraph"/>
                          <w:spacing w:line="215" w:lineRule="exact" w:before="2"/>
                          <w:ind w:left="107"/>
                          <w:rPr>
                            <w:sz w:val="18"/>
                          </w:rPr>
                        </w:pPr>
                        <w:r>
                          <w:rPr>
                            <w:sz w:val="18"/>
                          </w:rPr>
                          <w:t>股本） </w:t>
                        </w:r>
                      </w:p>
                    </w:tc>
                    <w:tc>
                      <w:tcPr>
                        <w:tcW w:w="1078" w:type="dxa"/>
                        <w:tcBorders>
                          <w:right w:val="single" w:sz="4" w:space="0" w:color="000000"/>
                        </w:tcBorders>
                      </w:tcPr>
                      <w:p>
                        <w:pPr>
                          <w:pStyle w:val="TableParagraph"/>
                          <w:rPr>
                            <w:rFonts w:ascii="Times New Roman"/>
                            <w:sz w:val="18"/>
                          </w:rPr>
                        </w:pPr>
                      </w:p>
                    </w:tc>
                    <w:tc>
                      <w:tcPr>
                        <w:tcW w:w="1052" w:type="dxa"/>
                        <w:tcBorders>
                          <w:left w:val="single" w:sz="4" w:space="0" w:color="000000"/>
                          <w:right w:val="single" w:sz="4" w:space="0" w:color="000000"/>
                        </w:tcBorders>
                      </w:tcPr>
                      <w:p>
                        <w:pPr>
                          <w:pStyle w:val="TableParagraph"/>
                          <w:rPr>
                            <w:rFonts w:ascii="Times New Roman"/>
                            <w:sz w:val="18"/>
                          </w:rPr>
                        </w:pPr>
                      </w:p>
                    </w:tc>
                    <w:tc>
                      <w:tcPr>
                        <w:tcW w:w="1078" w:type="dxa"/>
                        <w:tcBorders>
                          <w:left w:val="single" w:sz="4" w:space="0" w:color="000000"/>
                          <w:right w:val="single" w:sz="4" w:space="0" w:color="000000"/>
                        </w:tcBorders>
                      </w:tcPr>
                      <w:p>
                        <w:pPr>
                          <w:pStyle w:val="TableParagraph"/>
                          <w:rPr>
                            <w:rFonts w:ascii="Times New Roman"/>
                            <w:sz w:val="18"/>
                          </w:rPr>
                        </w:pPr>
                      </w:p>
                    </w:tc>
                    <w:tc>
                      <w:tcPr>
                        <w:tcW w:w="1090" w:type="dxa"/>
                        <w:tcBorders>
                          <w:left w:val="single" w:sz="4" w:space="0" w:color="000000"/>
                        </w:tcBorders>
                      </w:tcPr>
                      <w:p>
                        <w:pPr>
                          <w:pStyle w:val="TableParagraph"/>
                          <w:rPr>
                            <w:rFonts w:ascii="Times New Roman"/>
                            <w:sz w:val="18"/>
                          </w:rPr>
                        </w:pPr>
                      </w:p>
                    </w:tc>
                    <w:tc>
                      <w:tcPr>
                        <w:tcW w:w="1038" w:type="dxa"/>
                      </w:tcPr>
                      <w:p>
                        <w:pPr>
                          <w:pStyle w:val="TableParagraph"/>
                          <w:rPr>
                            <w:rFonts w:ascii="Times New Roman"/>
                            <w:sz w:val="18"/>
                          </w:rPr>
                        </w:pPr>
                      </w:p>
                    </w:tc>
                    <w:tc>
                      <w:tcPr>
                        <w:tcW w:w="1064" w:type="dxa"/>
                      </w:tcPr>
                      <w:p>
                        <w:pPr>
                          <w:pStyle w:val="TableParagraph"/>
                          <w:rPr>
                            <w:rFonts w:ascii="Times New Roman"/>
                            <w:sz w:val="18"/>
                          </w:rPr>
                        </w:pPr>
                      </w:p>
                    </w:tc>
                    <w:tc>
                      <w:tcPr>
                        <w:tcW w:w="1024" w:type="dxa"/>
                      </w:tcPr>
                      <w:p>
                        <w:pPr>
                          <w:pStyle w:val="TableParagraph"/>
                          <w:rPr>
                            <w:rFonts w:ascii="Times New Roman"/>
                            <w:sz w:val="18"/>
                          </w:rPr>
                        </w:pPr>
                      </w:p>
                    </w:tc>
                    <w:tc>
                      <w:tcPr>
                        <w:tcW w:w="179" w:type="dxa"/>
                        <w:tcBorders>
                          <w:right w:val="nil"/>
                        </w:tcBorders>
                      </w:tcPr>
                      <w:p>
                        <w:pPr>
                          <w:pStyle w:val="TableParagraph"/>
                          <w:rPr>
                            <w:rFonts w:ascii="Times New Roman"/>
                            <w:sz w:val="18"/>
                          </w:rPr>
                        </w:pPr>
                      </w:p>
                    </w:tc>
                  </w:tr>
                  <w:tr>
                    <w:trPr>
                      <w:trHeight w:val="464" w:hRule="atLeast"/>
                    </w:trPr>
                    <w:tc>
                      <w:tcPr>
                        <w:tcW w:w="2396" w:type="dxa"/>
                      </w:tcPr>
                      <w:p>
                        <w:pPr>
                          <w:pStyle w:val="TableParagraph"/>
                          <w:spacing w:line="230" w:lineRule="exact"/>
                          <w:ind w:left="107"/>
                          <w:rPr>
                            <w:sz w:val="18"/>
                          </w:rPr>
                        </w:pPr>
                        <w:r>
                          <w:rPr>
                            <w:sz w:val="18"/>
                          </w:rPr>
                          <w:t>2．盈余公积转增资本（或</w:t>
                        </w:r>
                      </w:p>
                      <w:p>
                        <w:pPr>
                          <w:pStyle w:val="TableParagraph"/>
                          <w:spacing w:line="212" w:lineRule="exact" w:before="2"/>
                          <w:ind w:left="107"/>
                          <w:rPr>
                            <w:sz w:val="18"/>
                          </w:rPr>
                        </w:pPr>
                        <w:r>
                          <w:rPr>
                            <w:sz w:val="18"/>
                          </w:rPr>
                          <w:t>股本） </w:t>
                        </w:r>
                      </w:p>
                    </w:tc>
                    <w:tc>
                      <w:tcPr>
                        <w:tcW w:w="1078" w:type="dxa"/>
                        <w:tcBorders>
                          <w:right w:val="single" w:sz="4" w:space="0" w:color="000000"/>
                        </w:tcBorders>
                      </w:tcPr>
                      <w:p>
                        <w:pPr>
                          <w:pStyle w:val="TableParagraph"/>
                          <w:rPr>
                            <w:rFonts w:ascii="Times New Roman"/>
                            <w:sz w:val="18"/>
                          </w:rPr>
                        </w:pPr>
                      </w:p>
                    </w:tc>
                    <w:tc>
                      <w:tcPr>
                        <w:tcW w:w="1052" w:type="dxa"/>
                        <w:tcBorders>
                          <w:left w:val="single" w:sz="4" w:space="0" w:color="000000"/>
                          <w:right w:val="single" w:sz="4" w:space="0" w:color="000000"/>
                        </w:tcBorders>
                      </w:tcPr>
                      <w:p>
                        <w:pPr>
                          <w:pStyle w:val="TableParagraph"/>
                          <w:rPr>
                            <w:rFonts w:ascii="Times New Roman"/>
                            <w:sz w:val="18"/>
                          </w:rPr>
                        </w:pPr>
                      </w:p>
                    </w:tc>
                    <w:tc>
                      <w:tcPr>
                        <w:tcW w:w="1078" w:type="dxa"/>
                        <w:tcBorders>
                          <w:left w:val="single" w:sz="4" w:space="0" w:color="000000"/>
                          <w:right w:val="single" w:sz="4" w:space="0" w:color="000000"/>
                        </w:tcBorders>
                      </w:tcPr>
                      <w:p>
                        <w:pPr>
                          <w:pStyle w:val="TableParagraph"/>
                          <w:rPr>
                            <w:rFonts w:ascii="Times New Roman"/>
                            <w:sz w:val="18"/>
                          </w:rPr>
                        </w:pPr>
                      </w:p>
                    </w:tc>
                    <w:tc>
                      <w:tcPr>
                        <w:tcW w:w="1090" w:type="dxa"/>
                        <w:tcBorders>
                          <w:left w:val="single" w:sz="4" w:space="0" w:color="000000"/>
                        </w:tcBorders>
                      </w:tcPr>
                      <w:p>
                        <w:pPr>
                          <w:pStyle w:val="TableParagraph"/>
                          <w:rPr>
                            <w:rFonts w:ascii="Times New Roman"/>
                            <w:sz w:val="18"/>
                          </w:rPr>
                        </w:pPr>
                      </w:p>
                    </w:tc>
                    <w:tc>
                      <w:tcPr>
                        <w:tcW w:w="1038" w:type="dxa"/>
                      </w:tcPr>
                      <w:p>
                        <w:pPr>
                          <w:pStyle w:val="TableParagraph"/>
                          <w:rPr>
                            <w:rFonts w:ascii="Times New Roman"/>
                            <w:sz w:val="18"/>
                          </w:rPr>
                        </w:pPr>
                      </w:p>
                    </w:tc>
                    <w:tc>
                      <w:tcPr>
                        <w:tcW w:w="1064" w:type="dxa"/>
                      </w:tcPr>
                      <w:p>
                        <w:pPr>
                          <w:pStyle w:val="TableParagraph"/>
                          <w:rPr>
                            <w:rFonts w:ascii="Times New Roman"/>
                            <w:sz w:val="18"/>
                          </w:rPr>
                        </w:pPr>
                      </w:p>
                    </w:tc>
                    <w:tc>
                      <w:tcPr>
                        <w:tcW w:w="1024" w:type="dxa"/>
                      </w:tcPr>
                      <w:p>
                        <w:pPr>
                          <w:pStyle w:val="TableParagraph"/>
                          <w:rPr>
                            <w:rFonts w:ascii="Times New Roman"/>
                            <w:sz w:val="18"/>
                          </w:rPr>
                        </w:pPr>
                      </w:p>
                    </w:tc>
                    <w:tc>
                      <w:tcPr>
                        <w:tcW w:w="179" w:type="dxa"/>
                        <w:tcBorders>
                          <w:right w:val="nil"/>
                        </w:tcBorders>
                      </w:tcPr>
                      <w:p>
                        <w:pPr>
                          <w:pStyle w:val="TableParagraph"/>
                          <w:rPr>
                            <w:rFonts w:ascii="Times New Roman"/>
                            <w:sz w:val="18"/>
                          </w:rPr>
                        </w:pPr>
                      </w:p>
                    </w:tc>
                  </w:tr>
                  <w:tr>
                    <w:trPr>
                      <w:trHeight w:val="241" w:hRule="atLeast"/>
                    </w:trPr>
                    <w:tc>
                      <w:tcPr>
                        <w:tcW w:w="2396" w:type="dxa"/>
                      </w:tcPr>
                      <w:p>
                        <w:pPr>
                          <w:pStyle w:val="TableParagraph"/>
                          <w:spacing w:line="220" w:lineRule="exact" w:before="2"/>
                          <w:ind w:left="107"/>
                          <w:rPr>
                            <w:sz w:val="18"/>
                          </w:rPr>
                        </w:pPr>
                        <w:r>
                          <w:rPr>
                            <w:sz w:val="18"/>
                          </w:rPr>
                          <w:t>3．盈余公积弥补亏损 </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tcBorders>
                      </w:tcPr>
                      <w:p>
                        <w:pPr>
                          <w:pStyle w:val="TableParagraph"/>
                          <w:rPr>
                            <w:rFonts w:ascii="Times New Roman"/>
                            <w:sz w:val="16"/>
                          </w:rPr>
                        </w:pPr>
                      </w:p>
                    </w:tc>
                    <w:tc>
                      <w:tcPr>
                        <w:tcW w:w="1038" w:type="dxa"/>
                      </w:tcPr>
                      <w:p>
                        <w:pPr>
                          <w:pStyle w:val="TableParagraph"/>
                          <w:rPr>
                            <w:rFonts w:ascii="Times New Roman"/>
                            <w:sz w:val="16"/>
                          </w:rPr>
                        </w:pPr>
                      </w:p>
                    </w:tc>
                    <w:tc>
                      <w:tcPr>
                        <w:tcW w:w="1064" w:type="dxa"/>
                      </w:tcPr>
                      <w:p>
                        <w:pPr>
                          <w:pStyle w:val="TableParagraph"/>
                          <w:rPr>
                            <w:rFonts w:ascii="Times New Roman"/>
                            <w:sz w:val="16"/>
                          </w:rPr>
                        </w:pPr>
                      </w:p>
                    </w:tc>
                    <w:tc>
                      <w:tcPr>
                        <w:tcW w:w="1024" w:type="dxa"/>
                      </w:tcPr>
                      <w:p>
                        <w:pPr>
                          <w:pStyle w:val="TableParagraph"/>
                          <w:rPr>
                            <w:rFonts w:ascii="Times New Roman"/>
                            <w:sz w:val="16"/>
                          </w:rPr>
                        </w:pPr>
                      </w:p>
                    </w:tc>
                    <w:tc>
                      <w:tcPr>
                        <w:tcW w:w="179" w:type="dxa"/>
                        <w:tcBorders>
                          <w:right w:val="nil"/>
                        </w:tcBorders>
                      </w:tcPr>
                      <w:p>
                        <w:pPr>
                          <w:pStyle w:val="TableParagraph"/>
                          <w:rPr>
                            <w:rFonts w:ascii="Times New Roman"/>
                            <w:sz w:val="16"/>
                          </w:rPr>
                        </w:pPr>
                      </w:p>
                    </w:tc>
                  </w:tr>
                  <w:tr>
                    <w:trPr>
                      <w:trHeight w:val="467" w:hRule="atLeast"/>
                    </w:trPr>
                    <w:tc>
                      <w:tcPr>
                        <w:tcW w:w="2396" w:type="dxa"/>
                      </w:tcPr>
                      <w:p>
                        <w:pPr>
                          <w:pStyle w:val="TableParagraph"/>
                          <w:spacing w:line="230" w:lineRule="atLeast"/>
                          <w:ind w:left="107" w:right="200"/>
                          <w:rPr>
                            <w:sz w:val="21"/>
                          </w:rPr>
                        </w:pPr>
                        <w:r>
                          <w:rPr>
                            <w:spacing w:val="-1"/>
                            <w:sz w:val="18"/>
                          </w:rPr>
                          <w:t>4．设定受益计划变动额结</w:t>
                        </w:r>
                        <w:r>
                          <w:rPr>
                            <w:sz w:val="18"/>
                          </w:rPr>
                          <w:t>转留存收益</w:t>
                        </w:r>
                        <w:r>
                          <w:rPr>
                            <w:w w:val="100"/>
                            <w:sz w:val="21"/>
                          </w:rPr>
                          <w:t> </w:t>
                        </w:r>
                      </w:p>
                    </w:tc>
                    <w:tc>
                      <w:tcPr>
                        <w:tcW w:w="1078" w:type="dxa"/>
                        <w:tcBorders>
                          <w:right w:val="single" w:sz="4" w:space="0" w:color="000000"/>
                        </w:tcBorders>
                      </w:tcPr>
                      <w:p>
                        <w:pPr>
                          <w:pStyle w:val="TableParagraph"/>
                          <w:rPr>
                            <w:rFonts w:ascii="Times New Roman"/>
                            <w:sz w:val="18"/>
                          </w:rPr>
                        </w:pPr>
                      </w:p>
                    </w:tc>
                    <w:tc>
                      <w:tcPr>
                        <w:tcW w:w="1052" w:type="dxa"/>
                        <w:tcBorders>
                          <w:left w:val="single" w:sz="4" w:space="0" w:color="000000"/>
                          <w:right w:val="single" w:sz="4" w:space="0" w:color="000000"/>
                        </w:tcBorders>
                      </w:tcPr>
                      <w:p>
                        <w:pPr>
                          <w:pStyle w:val="TableParagraph"/>
                          <w:rPr>
                            <w:rFonts w:ascii="Times New Roman"/>
                            <w:sz w:val="18"/>
                          </w:rPr>
                        </w:pPr>
                      </w:p>
                    </w:tc>
                    <w:tc>
                      <w:tcPr>
                        <w:tcW w:w="1078" w:type="dxa"/>
                        <w:tcBorders>
                          <w:left w:val="single" w:sz="4" w:space="0" w:color="000000"/>
                          <w:right w:val="single" w:sz="4" w:space="0" w:color="000000"/>
                        </w:tcBorders>
                      </w:tcPr>
                      <w:p>
                        <w:pPr>
                          <w:pStyle w:val="TableParagraph"/>
                          <w:rPr>
                            <w:rFonts w:ascii="Times New Roman"/>
                            <w:sz w:val="18"/>
                          </w:rPr>
                        </w:pPr>
                      </w:p>
                    </w:tc>
                    <w:tc>
                      <w:tcPr>
                        <w:tcW w:w="1090" w:type="dxa"/>
                        <w:tcBorders>
                          <w:left w:val="single" w:sz="4" w:space="0" w:color="000000"/>
                        </w:tcBorders>
                      </w:tcPr>
                      <w:p>
                        <w:pPr>
                          <w:pStyle w:val="TableParagraph"/>
                          <w:rPr>
                            <w:rFonts w:ascii="Times New Roman"/>
                            <w:sz w:val="18"/>
                          </w:rPr>
                        </w:pPr>
                      </w:p>
                    </w:tc>
                    <w:tc>
                      <w:tcPr>
                        <w:tcW w:w="1038" w:type="dxa"/>
                      </w:tcPr>
                      <w:p>
                        <w:pPr>
                          <w:pStyle w:val="TableParagraph"/>
                          <w:rPr>
                            <w:rFonts w:ascii="Times New Roman"/>
                            <w:sz w:val="18"/>
                          </w:rPr>
                        </w:pPr>
                      </w:p>
                    </w:tc>
                    <w:tc>
                      <w:tcPr>
                        <w:tcW w:w="1064" w:type="dxa"/>
                      </w:tcPr>
                      <w:p>
                        <w:pPr>
                          <w:pStyle w:val="TableParagraph"/>
                          <w:rPr>
                            <w:rFonts w:ascii="Times New Roman"/>
                            <w:sz w:val="18"/>
                          </w:rPr>
                        </w:pPr>
                      </w:p>
                    </w:tc>
                    <w:tc>
                      <w:tcPr>
                        <w:tcW w:w="1024" w:type="dxa"/>
                      </w:tcPr>
                      <w:p>
                        <w:pPr>
                          <w:pStyle w:val="TableParagraph"/>
                          <w:rPr>
                            <w:rFonts w:ascii="Times New Roman"/>
                            <w:sz w:val="18"/>
                          </w:rPr>
                        </w:pPr>
                      </w:p>
                    </w:tc>
                    <w:tc>
                      <w:tcPr>
                        <w:tcW w:w="179" w:type="dxa"/>
                        <w:tcBorders>
                          <w:right w:val="nil"/>
                        </w:tcBorders>
                      </w:tcPr>
                      <w:p>
                        <w:pPr>
                          <w:pStyle w:val="TableParagraph"/>
                          <w:rPr>
                            <w:rFonts w:ascii="Times New Roman"/>
                            <w:sz w:val="18"/>
                          </w:rPr>
                        </w:pPr>
                      </w:p>
                    </w:tc>
                  </w:tr>
                  <w:tr>
                    <w:trPr>
                      <w:trHeight w:val="467" w:hRule="atLeast"/>
                    </w:trPr>
                    <w:tc>
                      <w:tcPr>
                        <w:tcW w:w="2396" w:type="dxa"/>
                      </w:tcPr>
                      <w:p>
                        <w:pPr>
                          <w:pStyle w:val="TableParagraph"/>
                          <w:spacing w:line="230" w:lineRule="exact"/>
                          <w:ind w:left="107"/>
                          <w:rPr>
                            <w:sz w:val="18"/>
                          </w:rPr>
                        </w:pPr>
                        <w:r>
                          <w:rPr>
                            <w:sz w:val="18"/>
                          </w:rPr>
                          <w:t>5．其他综合收益结转留存</w:t>
                        </w:r>
                      </w:p>
                      <w:p>
                        <w:pPr>
                          <w:pStyle w:val="TableParagraph"/>
                          <w:spacing w:line="213" w:lineRule="exact" w:before="4"/>
                          <w:ind w:left="107"/>
                          <w:rPr>
                            <w:sz w:val="18"/>
                          </w:rPr>
                        </w:pPr>
                        <w:r>
                          <w:rPr>
                            <w:sz w:val="18"/>
                          </w:rPr>
                          <w:t>收益 </w:t>
                        </w:r>
                      </w:p>
                    </w:tc>
                    <w:tc>
                      <w:tcPr>
                        <w:tcW w:w="1078" w:type="dxa"/>
                        <w:tcBorders>
                          <w:right w:val="single" w:sz="4" w:space="0" w:color="000000"/>
                        </w:tcBorders>
                      </w:tcPr>
                      <w:p>
                        <w:pPr>
                          <w:pStyle w:val="TableParagraph"/>
                          <w:rPr>
                            <w:rFonts w:ascii="Times New Roman"/>
                            <w:sz w:val="18"/>
                          </w:rPr>
                        </w:pPr>
                      </w:p>
                    </w:tc>
                    <w:tc>
                      <w:tcPr>
                        <w:tcW w:w="1052" w:type="dxa"/>
                        <w:tcBorders>
                          <w:left w:val="single" w:sz="4" w:space="0" w:color="000000"/>
                          <w:right w:val="single" w:sz="4" w:space="0" w:color="000000"/>
                        </w:tcBorders>
                      </w:tcPr>
                      <w:p>
                        <w:pPr>
                          <w:pStyle w:val="TableParagraph"/>
                          <w:rPr>
                            <w:rFonts w:ascii="Times New Roman"/>
                            <w:sz w:val="18"/>
                          </w:rPr>
                        </w:pPr>
                      </w:p>
                    </w:tc>
                    <w:tc>
                      <w:tcPr>
                        <w:tcW w:w="1078" w:type="dxa"/>
                        <w:tcBorders>
                          <w:left w:val="single" w:sz="4" w:space="0" w:color="000000"/>
                          <w:right w:val="single" w:sz="4" w:space="0" w:color="000000"/>
                        </w:tcBorders>
                      </w:tcPr>
                      <w:p>
                        <w:pPr>
                          <w:pStyle w:val="TableParagraph"/>
                          <w:rPr>
                            <w:rFonts w:ascii="Times New Roman"/>
                            <w:sz w:val="18"/>
                          </w:rPr>
                        </w:pPr>
                      </w:p>
                    </w:tc>
                    <w:tc>
                      <w:tcPr>
                        <w:tcW w:w="1090" w:type="dxa"/>
                        <w:tcBorders>
                          <w:left w:val="single" w:sz="4" w:space="0" w:color="000000"/>
                        </w:tcBorders>
                      </w:tcPr>
                      <w:p>
                        <w:pPr>
                          <w:pStyle w:val="TableParagraph"/>
                          <w:rPr>
                            <w:rFonts w:ascii="Times New Roman"/>
                            <w:sz w:val="18"/>
                          </w:rPr>
                        </w:pPr>
                      </w:p>
                    </w:tc>
                    <w:tc>
                      <w:tcPr>
                        <w:tcW w:w="1038" w:type="dxa"/>
                      </w:tcPr>
                      <w:p>
                        <w:pPr>
                          <w:pStyle w:val="TableParagraph"/>
                          <w:rPr>
                            <w:rFonts w:ascii="Times New Roman"/>
                            <w:sz w:val="18"/>
                          </w:rPr>
                        </w:pPr>
                      </w:p>
                    </w:tc>
                    <w:tc>
                      <w:tcPr>
                        <w:tcW w:w="1064" w:type="dxa"/>
                      </w:tcPr>
                      <w:p>
                        <w:pPr>
                          <w:pStyle w:val="TableParagraph"/>
                          <w:rPr>
                            <w:rFonts w:ascii="Times New Roman"/>
                            <w:sz w:val="18"/>
                          </w:rPr>
                        </w:pPr>
                      </w:p>
                    </w:tc>
                    <w:tc>
                      <w:tcPr>
                        <w:tcW w:w="1024" w:type="dxa"/>
                      </w:tcPr>
                      <w:p>
                        <w:pPr>
                          <w:pStyle w:val="TableParagraph"/>
                          <w:rPr>
                            <w:rFonts w:ascii="Times New Roman"/>
                            <w:sz w:val="18"/>
                          </w:rPr>
                        </w:pPr>
                      </w:p>
                    </w:tc>
                    <w:tc>
                      <w:tcPr>
                        <w:tcW w:w="179" w:type="dxa"/>
                        <w:tcBorders>
                          <w:right w:val="nil"/>
                        </w:tcBorders>
                      </w:tcPr>
                      <w:p>
                        <w:pPr>
                          <w:pStyle w:val="TableParagraph"/>
                          <w:rPr>
                            <w:rFonts w:ascii="Times New Roman"/>
                            <w:sz w:val="18"/>
                          </w:rPr>
                        </w:pPr>
                      </w:p>
                    </w:tc>
                  </w:tr>
                  <w:tr>
                    <w:trPr>
                      <w:trHeight w:val="241" w:hRule="atLeast"/>
                    </w:trPr>
                    <w:tc>
                      <w:tcPr>
                        <w:tcW w:w="2396" w:type="dxa"/>
                      </w:tcPr>
                      <w:p>
                        <w:pPr>
                          <w:pStyle w:val="TableParagraph"/>
                          <w:spacing w:line="222" w:lineRule="exact"/>
                          <w:ind w:left="107"/>
                          <w:rPr>
                            <w:sz w:val="21"/>
                          </w:rPr>
                        </w:pPr>
                        <w:r>
                          <w:rPr>
                            <w:sz w:val="18"/>
                          </w:rPr>
                          <w:t>6．其他</w:t>
                        </w:r>
                        <w:r>
                          <w:rPr>
                            <w:w w:val="100"/>
                            <w:sz w:val="21"/>
                          </w:rPr>
                          <w:t> </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tcBorders>
                      </w:tcPr>
                      <w:p>
                        <w:pPr>
                          <w:pStyle w:val="TableParagraph"/>
                          <w:rPr>
                            <w:rFonts w:ascii="Times New Roman"/>
                            <w:sz w:val="16"/>
                          </w:rPr>
                        </w:pPr>
                      </w:p>
                    </w:tc>
                    <w:tc>
                      <w:tcPr>
                        <w:tcW w:w="1038" w:type="dxa"/>
                      </w:tcPr>
                      <w:p>
                        <w:pPr>
                          <w:pStyle w:val="TableParagraph"/>
                          <w:rPr>
                            <w:rFonts w:ascii="Times New Roman"/>
                            <w:sz w:val="16"/>
                          </w:rPr>
                        </w:pPr>
                      </w:p>
                    </w:tc>
                    <w:tc>
                      <w:tcPr>
                        <w:tcW w:w="1064" w:type="dxa"/>
                      </w:tcPr>
                      <w:p>
                        <w:pPr>
                          <w:pStyle w:val="TableParagraph"/>
                          <w:rPr>
                            <w:rFonts w:ascii="Times New Roman"/>
                            <w:sz w:val="16"/>
                          </w:rPr>
                        </w:pPr>
                      </w:p>
                    </w:tc>
                    <w:tc>
                      <w:tcPr>
                        <w:tcW w:w="1024" w:type="dxa"/>
                      </w:tcPr>
                      <w:p>
                        <w:pPr>
                          <w:pStyle w:val="TableParagraph"/>
                          <w:rPr>
                            <w:rFonts w:ascii="Times New Roman"/>
                            <w:sz w:val="16"/>
                          </w:rPr>
                        </w:pPr>
                      </w:p>
                    </w:tc>
                    <w:tc>
                      <w:tcPr>
                        <w:tcW w:w="179" w:type="dxa"/>
                        <w:tcBorders>
                          <w:right w:val="nil"/>
                        </w:tcBorders>
                      </w:tcPr>
                      <w:p>
                        <w:pPr>
                          <w:pStyle w:val="TableParagraph"/>
                          <w:rPr>
                            <w:rFonts w:ascii="Times New Roman"/>
                            <w:sz w:val="16"/>
                          </w:rPr>
                        </w:pPr>
                      </w:p>
                    </w:tc>
                  </w:tr>
                  <w:tr>
                    <w:trPr>
                      <w:trHeight w:val="241" w:hRule="atLeast"/>
                    </w:trPr>
                    <w:tc>
                      <w:tcPr>
                        <w:tcW w:w="2396" w:type="dxa"/>
                      </w:tcPr>
                      <w:p>
                        <w:pPr>
                          <w:pStyle w:val="TableParagraph"/>
                          <w:spacing w:line="217" w:lineRule="exact" w:before="4"/>
                          <w:ind w:left="107"/>
                          <w:rPr>
                            <w:sz w:val="18"/>
                          </w:rPr>
                        </w:pPr>
                        <w:r>
                          <w:rPr>
                            <w:sz w:val="18"/>
                          </w:rPr>
                          <w:t>（五）专项储备 </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tcBorders>
                      </w:tcPr>
                      <w:p>
                        <w:pPr>
                          <w:pStyle w:val="TableParagraph"/>
                          <w:rPr>
                            <w:rFonts w:ascii="Times New Roman"/>
                            <w:sz w:val="16"/>
                          </w:rPr>
                        </w:pPr>
                      </w:p>
                    </w:tc>
                    <w:tc>
                      <w:tcPr>
                        <w:tcW w:w="1038" w:type="dxa"/>
                      </w:tcPr>
                      <w:p>
                        <w:pPr>
                          <w:pStyle w:val="TableParagraph"/>
                          <w:rPr>
                            <w:rFonts w:ascii="Times New Roman"/>
                            <w:sz w:val="16"/>
                          </w:rPr>
                        </w:pPr>
                      </w:p>
                    </w:tc>
                    <w:tc>
                      <w:tcPr>
                        <w:tcW w:w="1064" w:type="dxa"/>
                      </w:tcPr>
                      <w:p>
                        <w:pPr>
                          <w:pStyle w:val="TableParagraph"/>
                          <w:rPr>
                            <w:rFonts w:ascii="Times New Roman"/>
                            <w:sz w:val="16"/>
                          </w:rPr>
                        </w:pPr>
                      </w:p>
                    </w:tc>
                    <w:tc>
                      <w:tcPr>
                        <w:tcW w:w="1024" w:type="dxa"/>
                      </w:tcPr>
                      <w:p>
                        <w:pPr>
                          <w:pStyle w:val="TableParagraph"/>
                          <w:rPr>
                            <w:rFonts w:ascii="Times New Roman"/>
                            <w:sz w:val="16"/>
                          </w:rPr>
                        </w:pPr>
                      </w:p>
                    </w:tc>
                    <w:tc>
                      <w:tcPr>
                        <w:tcW w:w="179" w:type="dxa"/>
                        <w:tcBorders>
                          <w:right w:val="nil"/>
                        </w:tcBorders>
                      </w:tcPr>
                      <w:p>
                        <w:pPr>
                          <w:pStyle w:val="TableParagraph"/>
                          <w:rPr>
                            <w:rFonts w:ascii="Times New Roman"/>
                            <w:sz w:val="16"/>
                          </w:rPr>
                        </w:pPr>
                      </w:p>
                    </w:tc>
                  </w:tr>
                  <w:tr>
                    <w:trPr>
                      <w:trHeight w:val="239" w:hRule="atLeast"/>
                    </w:trPr>
                    <w:tc>
                      <w:tcPr>
                        <w:tcW w:w="2396" w:type="dxa"/>
                      </w:tcPr>
                      <w:p>
                        <w:pPr>
                          <w:pStyle w:val="TableParagraph"/>
                          <w:spacing w:line="217" w:lineRule="exact" w:before="2"/>
                          <w:ind w:left="107"/>
                          <w:rPr>
                            <w:sz w:val="18"/>
                          </w:rPr>
                        </w:pPr>
                        <w:r>
                          <w:rPr>
                            <w:sz w:val="18"/>
                          </w:rPr>
                          <w:t>1．本期提取 </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tcBorders>
                      </w:tcPr>
                      <w:p>
                        <w:pPr>
                          <w:pStyle w:val="TableParagraph"/>
                          <w:rPr>
                            <w:rFonts w:ascii="Times New Roman"/>
                            <w:sz w:val="16"/>
                          </w:rPr>
                        </w:pPr>
                      </w:p>
                    </w:tc>
                    <w:tc>
                      <w:tcPr>
                        <w:tcW w:w="1038" w:type="dxa"/>
                      </w:tcPr>
                      <w:p>
                        <w:pPr>
                          <w:pStyle w:val="TableParagraph"/>
                          <w:rPr>
                            <w:rFonts w:ascii="Times New Roman"/>
                            <w:sz w:val="16"/>
                          </w:rPr>
                        </w:pPr>
                      </w:p>
                    </w:tc>
                    <w:tc>
                      <w:tcPr>
                        <w:tcW w:w="1064" w:type="dxa"/>
                      </w:tcPr>
                      <w:p>
                        <w:pPr>
                          <w:pStyle w:val="TableParagraph"/>
                          <w:rPr>
                            <w:rFonts w:ascii="Times New Roman"/>
                            <w:sz w:val="16"/>
                          </w:rPr>
                        </w:pPr>
                      </w:p>
                    </w:tc>
                    <w:tc>
                      <w:tcPr>
                        <w:tcW w:w="1024" w:type="dxa"/>
                      </w:tcPr>
                      <w:p>
                        <w:pPr>
                          <w:pStyle w:val="TableParagraph"/>
                          <w:rPr>
                            <w:rFonts w:ascii="Times New Roman"/>
                            <w:sz w:val="16"/>
                          </w:rPr>
                        </w:pPr>
                      </w:p>
                    </w:tc>
                    <w:tc>
                      <w:tcPr>
                        <w:tcW w:w="179" w:type="dxa"/>
                        <w:tcBorders>
                          <w:right w:val="nil"/>
                        </w:tcBorders>
                      </w:tcPr>
                      <w:p>
                        <w:pPr>
                          <w:pStyle w:val="TableParagraph"/>
                          <w:rPr>
                            <w:rFonts w:ascii="Times New Roman"/>
                            <w:sz w:val="16"/>
                          </w:rPr>
                        </w:pPr>
                      </w:p>
                    </w:tc>
                  </w:tr>
                  <w:tr>
                    <w:trPr>
                      <w:trHeight w:val="242" w:hRule="atLeast"/>
                    </w:trPr>
                    <w:tc>
                      <w:tcPr>
                        <w:tcW w:w="2396" w:type="dxa"/>
                      </w:tcPr>
                      <w:p>
                        <w:pPr>
                          <w:pStyle w:val="TableParagraph"/>
                          <w:spacing w:line="217" w:lineRule="exact" w:before="5"/>
                          <w:ind w:left="107"/>
                          <w:rPr>
                            <w:sz w:val="18"/>
                          </w:rPr>
                        </w:pPr>
                        <w:r>
                          <w:rPr>
                            <w:sz w:val="18"/>
                          </w:rPr>
                          <w:t>2．本期使用 </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tcBorders>
                      </w:tcPr>
                      <w:p>
                        <w:pPr>
                          <w:pStyle w:val="TableParagraph"/>
                          <w:rPr>
                            <w:rFonts w:ascii="Times New Roman"/>
                            <w:sz w:val="16"/>
                          </w:rPr>
                        </w:pPr>
                      </w:p>
                    </w:tc>
                    <w:tc>
                      <w:tcPr>
                        <w:tcW w:w="1038" w:type="dxa"/>
                      </w:tcPr>
                      <w:p>
                        <w:pPr>
                          <w:pStyle w:val="TableParagraph"/>
                          <w:rPr>
                            <w:rFonts w:ascii="Times New Roman"/>
                            <w:sz w:val="16"/>
                          </w:rPr>
                        </w:pPr>
                      </w:p>
                    </w:tc>
                    <w:tc>
                      <w:tcPr>
                        <w:tcW w:w="1064" w:type="dxa"/>
                      </w:tcPr>
                      <w:p>
                        <w:pPr>
                          <w:pStyle w:val="TableParagraph"/>
                          <w:rPr>
                            <w:rFonts w:ascii="Times New Roman"/>
                            <w:sz w:val="16"/>
                          </w:rPr>
                        </w:pPr>
                      </w:p>
                    </w:tc>
                    <w:tc>
                      <w:tcPr>
                        <w:tcW w:w="1024" w:type="dxa"/>
                      </w:tcPr>
                      <w:p>
                        <w:pPr>
                          <w:pStyle w:val="TableParagraph"/>
                          <w:rPr>
                            <w:rFonts w:ascii="Times New Roman"/>
                            <w:sz w:val="16"/>
                          </w:rPr>
                        </w:pPr>
                      </w:p>
                    </w:tc>
                    <w:tc>
                      <w:tcPr>
                        <w:tcW w:w="179" w:type="dxa"/>
                        <w:tcBorders>
                          <w:right w:val="nil"/>
                        </w:tcBorders>
                      </w:tcPr>
                      <w:p>
                        <w:pPr>
                          <w:pStyle w:val="TableParagraph"/>
                          <w:rPr>
                            <w:rFonts w:ascii="Times New Roman"/>
                            <w:sz w:val="16"/>
                          </w:rPr>
                        </w:pPr>
                      </w:p>
                    </w:tc>
                  </w:tr>
                  <w:tr>
                    <w:trPr>
                      <w:trHeight w:val="241" w:hRule="atLeast"/>
                    </w:trPr>
                    <w:tc>
                      <w:tcPr>
                        <w:tcW w:w="2396" w:type="dxa"/>
                      </w:tcPr>
                      <w:p>
                        <w:pPr>
                          <w:pStyle w:val="TableParagraph"/>
                          <w:spacing w:line="220" w:lineRule="exact" w:before="2"/>
                          <w:ind w:left="107"/>
                          <w:rPr>
                            <w:sz w:val="18"/>
                          </w:rPr>
                        </w:pPr>
                        <w:r>
                          <w:rPr>
                            <w:sz w:val="18"/>
                          </w:rPr>
                          <w:t>（六）其他 </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tcBorders>
                      </w:tcPr>
                      <w:p>
                        <w:pPr>
                          <w:pStyle w:val="TableParagraph"/>
                          <w:rPr>
                            <w:rFonts w:ascii="Times New Roman"/>
                            <w:sz w:val="16"/>
                          </w:rPr>
                        </w:pPr>
                      </w:p>
                    </w:tc>
                    <w:tc>
                      <w:tcPr>
                        <w:tcW w:w="1038" w:type="dxa"/>
                      </w:tcPr>
                      <w:p>
                        <w:pPr>
                          <w:pStyle w:val="TableParagraph"/>
                          <w:rPr>
                            <w:rFonts w:ascii="Times New Roman"/>
                            <w:sz w:val="16"/>
                          </w:rPr>
                        </w:pPr>
                      </w:p>
                    </w:tc>
                    <w:tc>
                      <w:tcPr>
                        <w:tcW w:w="1064" w:type="dxa"/>
                      </w:tcPr>
                      <w:p>
                        <w:pPr>
                          <w:pStyle w:val="TableParagraph"/>
                          <w:rPr>
                            <w:rFonts w:ascii="Times New Roman"/>
                            <w:sz w:val="16"/>
                          </w:rPr>
                        </w:pPr>
                      </w:p>
                    </w:tc>
                    <w:tc>
                      <w:tcPr>
                        <w:tcW w:w="1024" w:type="dxa"/>
                      </w:tcPr>
                      <w:p>
                        <w:pPr>
                          <w:pStyle w:val="TableParagraph"/>
                          <w:rPr>
                            <w:rFonts w:ascii="Times New Roman"/>
                            <w:sz w:val="16"/>
                          </w:rPr>
                        </w:pPr>
                      </w:p>
                    </w:tc>
                    <w:tc>
                      <w:tcPr>
                        <w:tcW w:w="179" w:type="dxa"/>
                        <w:tcBorders>
                          <w:right w:val="nil"/>
                        </w:tcBorders>
                      </w:tcPr>
                      <w:p>
                        <w:pPr>
                          <w:pStyle w:val="TableParagraph"/>
                          <w:rPr>
                            <w:rFonts w:ascii="Times New Roman"/>
                            <w:sz w:val="16"/>
                          </w:rPr>
                        </w:pPr>
                      </w:p>
                    </w:tc>
                  </w:tr>
                  <w:tr>
                    <w:trPr>
                      <w:trHeight w:val="484" w:hRule="atLeast"/>
                    </w:trPr>
                    <w:tc>
                      <w:tcPr>
                        <w:tcW w:w="2396" w:type="dxa"/>
                      </w:tcPr>
                      <w:p>
                        <w:pPr>
                          <w:pStyle w:val="TableParagraph"/>
                          <w:spacing w:line="230" w:lineRule="exact"/>
                          <w:ind w:left="107"/>
                          <w:rPr>
                            <w:sz w:val="18"/>
                          </w:rPr>
                        </w:pPr>
                        <w:r>
                          <w:rPr>
                            <w:sz w:val="18"/>
                          </w:rPr>
                          <w:t>四、本期期末余额 </w:t>
                        </w:r>
                      </w:p>
                    </w:tc>
                    <w:tc>
                      <w:tcPr>
                        <w:tcW w:w="1078" w:type="dxa"/>
                        <w:tcBorders>
                          <w:right w:val="single" w:sz="4" w:space="0" w:color="000000"/>
                        </w:tcBorders>
                      </w:tcPr>
                      <w:p>
                        <w:pPr>
                          <w:pStyle w:val="TableParagraph"/>
                          <w:spacing w:line="235" w:lineRule="exact"/>
                          <w:ind w:left="107"/>
                          <w:rPr>
                            <w:rFonts w:ascii="Times New Roman"/>
                            <w:sz w:val="21"/>
                          </w:rPr>
                        </w:pPr>
                        <w:r>
                          <w:rPr>
                            <w:rFonts w:ascii="Times New Roman"/>
                            <w:sz w:val="21"/>
                          </w:rPr>
                          <w:t>19,865,07</w:t>
                        </w:r>
                      </w:p>
                      <w:p>
                        <w:pPr>
                          <w:pStyle w:val="TableParagraph"/>
                          <w:spacing w:line="229" w:lineRule="exact" w:before="1"/>
                          <w:ind w:left="107"/>
                          <w:rPr>
                            <w:rFonts w:ascii="Times New Roman"/>
                            <w:sz w:val="21"/>
                          </w:rPr>
                        </w:pPr>
                        <w:r>
                          <w:rPr>
                            <w:rFonts w:ascii="Times New Roman"/>
                            <w:w w:val="100"/>
                            <w:sz w:val="21"/>
                          </w:rPr>
                          <w:t>0</w:t>
                        </w:r>
                      </w:p>
                    </w:tc>
                    <w:tc>
                      <w:tcPr>
                        <w:tcW w:w="1052" w:type="dxa"/>
                        <w:tcBorders>
                          <w:left w:val="single" w:sz="4" w:space="0" w:color="000000"/>
                          <w:right w:val="single" w:sz="4" w:space="0" w:color="000000"/>
                        </w:tcBorders>
                      </w:tcPr>
                      <w:p>
                        <w:pPr>
                          <w:pStyle w:val="TableParagraph"/>
                          <w:rPr>
                            <w:rFonts w:ascii="Times New Roman"/>
                            <w:sz w:val="18"/>
                          </w:rPr>
                        </w:pPr>
                      </w:p>
                    </w:tc>
                    <w:tc>
                      <w:tcPr>
                        <w:tcW w:w="1078" w:type="dxa"/>
                        <w:tcBorders>
                          <w:left w:val="single" w:sz="4" w:space="0" w:color="000000"/>
                          <w:right w:val="single" w:sz="4" w:space="0" w:color="000000"/>
                        </w:tcBorders>
                      </w:tcPr>
                      <w:p>
                        <w:pPr>
                          <w:pStyle w:val="TableParagraph"/>
                          <w:rPr>
                            <w:rFonts w:ascii="Times New Roman"/>
                            <w:sz w:val="18"/>
                          </w:rPr>
                        </w:pPr>
                      </w:p>
                    </w:tc>
                    <w:tc>
                      <w:tcPr>
                        <w:tcW w:w="1090" w:type="dxa"/>
                        <w:tcBorders>
                          <w:left w:val="single" w:sz="4" w:space="0" w:color="000000"/>
                        </w:tcBorders>
                      </w:tcPr>
                      <w:p>
                        <w:pPr>
                          <w:pStyle w:val="TableParagraph"/>
                          <w:rPr>
                            <w:rFonts w:ascii="Times New Roman"/>
                            <w:sz w:val="18"/>
                          </w:rPr>
                        </w:pPr>
                      </w:p>
                    </w:tc>
                    <w:tc>
                      <w:tcPr>
                        <w:tcW w:w="1038" w:type="dxa"/>
                      </w:tcPr>
                      <w:p>
                        <w:pPr>
                          <w:pStyle w:val="TableParagraph"/>
                          <w:spacing w:line="235" w:lineRule="exact"/>
                          <w:ind w:left="105"/>
                          <w:rPr>
                            <w:rFonts w:ascii="Times New Roman"/>
                            <w:sz w:val="21"/>
                          </w:rPr>
                        </w:pPr>
                        <w:r>
                          <w:rPr>
                            <w:rFonts w:ascii="Times New Roman"/>
                            <w:sz w:val="21"/>
                          </w:rPr>
                          <w:t>39,027,3</w:t>
                        </w:r>
                      </w:p>
                      <w:p>
                        <w:pPr>
                          <w:pStyle w:val="TableParagraph"/>
                          <w:spacing w:line="229" w:lineRule="exact" w:before="1"/>
                          <w:ind w:left="105"/>
                          <w:rPr>
                            <w:rFonts w:ascii="Times New Roman"/>
                            <w:sz w:val="21"/>
                          </w:rPr>
                        </w:pPr>
                        <w:r>
                          <w:rPr>
                            <w:rFonts w:ascii="Times New Roman"/>
                            <w:sz w:val="21"/>
                          </w:rPr>
                          <w:t>34</w:t>
                        </w:r>
                      </w:p>
                    </w:tc>
                    <w:tc>
                      <w:tcPr>
                        <w:tcW w:w="1064" w:type="dxa"/>
                      </w:tcPr>
                      <w:p>
                        <w:pPr>
                          <w:pStyle w:val="TableParagraph"/>
                          <w:spacing w:before="115"/>
                          <w:ind w:left="105"/>
                          <w:rPr>
                            <w:rFonts w:ascii="Times New Roman"/>
                            <w:sz w:val="21"/>
                          </w:rPr>
                        </w:pPr>
                        <w:r>
                          <w:rPr>
                            <w:rFonts w:ascii="Times New Roman"/>
                            <w:sz w:val="21"/>
                          </w:rPr>
                          <w:t>-518,907</w:t>
                        </w:r>
                      </w:p>
                    </w:tc>
                    <w:tc>
                      <w:tcPr>
                        <w:tcW w:w="1024" w:type="dxa"/>
                      </w:tcPr>
                      <w:p>
                        <w:pPr>
                          <w:pStyle w:val="TableParagraph"/>
                          <w:spacing w:before="115"/>
                          <w:ind w:left="104"/>
                          <w:rPr>
                            <w:rFonts w:ascii="Times New Roman"/>
                            <w:sz w:val="21"/>
                          </w:rPr>
                        </w:pPr>
                        <w:r>
                          <w:rPr>
                            <w:rFonts w:ascii="Times New Roman"/>
                            <w:w w:val="100"/>
                            <w:sz w:val="21"/>
                          </w:rPr>
                          <w:t>-</w:t>
                        </w:r>
                      </w:p>
                    </w:tc>
                    <w:tc>
                      <w:tcPr>
                        <w:tcW w:w="179" w:type="dxa"/>
                        <w:tcBorders>
                          <w:right w:val="nil"/>
                        </w:tcBorders>
                      </w:tcPr>
                      <w:p>
                        <w:pPr>
                          <w:pStyle w:val="TableParagraph"/>
                          <w:rPr>
                            <w:rFonts w:ascii="Times New Roman"/>
                            <w:sz w:val="18"/>
                          </w:rPr>
                        </w:pPr>
                      </w:p>
                    </w:tc>
                  </w:tr>
                </w:tbl>
                <w:p>
                  <w:pPr>
                    <w:pStyle w:val="BodyText"/>
                    <w:ind w:left="0"/>
                  </w:pPr>
                </w:p>
              </w:txbxContent>
            </v:textbox>
            <w10:wrap type="none"/>
          </v:shape>
        </w:pict>
      </w:r>
      <w:r>
        <w:rPr>
          <w:spacing w:val="-2"/>
        </w:rPr>
        <w:t>公司负责人：李军旗 主管会计工作负责人：郭俊宏 会计机构负责人：黄昭期</w:t>
      </w:r>
      <w:r>
        <w:rPr>
          <w:color w:val="FF0000"/>
        </w:rPr>
        <w:t> </w:t>
      </w:r>
    </w:p>
    <w:p>
      <w:pPr>
        <w:pStyle w:val="BodyText"/>
        <w:spacing w:before="2"/>
      </w:pPr>
      <w:r>
        <w:rPr>
          <w:color w:val="FF0000"/>
          <w:w w:val="100"/>
        </w:rPr>
        <w:t> </w:t>
      </w:r>
    </w:p>
    <w:p>
      <w:pPr>
        <w:spacing w:after="0"/>
        <w:sectPr>
          <w:pgSz w:w="11910" w:h="16840"/>
          <w:pgMar w:header="882" w:footer="1172" w:top="1120" w:bottom="1380" w:left="1480" w:right="0"/>
        </w:sectPr>
      </w:pPr>
    </w:p>
    <w:p>
      <w:pPr>
        <w:pStyle w:val="BodyText"/>
        <w:spacing w:before="7"/>
        <w:ind w:left="0"/>
        <w:rPr>
          <w:sz w:val="25"/>
        </w:rPr>
      </w:pPr>
    </w:p>
    <w:p>
      <w:pPr>
        <w:pStyle w:val="BodyText"/>
        <w:spacing w:before="72"/>
      </w:pPr>
      <w:r>
        <w:rPr>
          <w:color w:val="FF0000"/>
          <w:w w:val="100"/>
        </w:rPr>
        <w:t> </w:t>
      </w:r>
    </w:p>
    <w:p>
      <w:pPr>
        <w:pStyle w:val="BodyText"/>
        <w:spacing w:before="65"/>
      </w:pPr>
      <w:r>
        <w:rPr>
          <w:spacing w:val="-14"/>
        </w:rPr>
        <w:t>三、 公司基本情况</w:t>
      </w:r>
      <w:r>
        <w:rPr/>
        <w:t> </w:t>
      </w:r>
    </w:p>
    <w:p>
      <w:pPr>
        <w:pStyle w:val="ListParagraph"/>
        <w:numPr>
          <w:ilvl w:val="0"/>
          <w:numId w:val="34"/>
        </w:numPr>
        <w:tabs>
          <w:tab w:pos="738" w:val="left" w:leader="none"/>
        </w:tabs>
        <w:spacing w:line="240" w:lineRule="auto" w:before="62" w:after="0"/>
        <w:ind w:left="738" w:right="0" w:hanging="420"/>
        <w:jc w:val="left"/>
        <w:rPr>
          <w:sz w:val="21"/>
        </w:rPr>
      </w:pPr>
      <w:r>
        <w:rPr>
          <w:sz w:val="21"/>
        </w:rPr>
        <w:t>公司概况</w:t>
      </w:r>
    </w:p>
    <w:p>
      <w:pPr>
        <w:pStyle w:val="BodyText"/>
        <w:spacing w:before="65"/>
      </w:pPr>
      <w:r>
        <w:rPr>
          <w:spacing w:val="11"/>
        </w:rPr>
        <w:t>√适用 □不适用</w:t>
      </w:r>
      <w:r>
        <w:rPr>
          <w:spacing w:val="-3"/>
        </w:rPr>
        <w:t> </w:t>
      </w:r>
      <w:r>
        <w:rPr/>
        <w:t> </w:t>
      </w:r>
    </w:p>
    <w:p>
      <w:pPr>
        <w:pStyle w:val="BodyText"/>
        <w:spacing w:line="244" w:lineRule="auto" w:before="2"/>
        <w:ind w:right="1438"/>
      </w:pPr>
      <w:r>
        <w:rPr>
          <w:spacing w:val="-3"/>
        </w:rPr>
        <w:t>富士康工业互联网股份有限公司(以下简称“本公司”)最初系由 </w:t>
      </w:r>
      <w:r>
        <w:rPr/>
        <w:t>Robot</w:t>
      </w:r>
      <w:r>
        <w:rPr>
          <w:spacing w:val="-3"/>
        </w:rPr>
        <w:t> </w:t>
      </w:r>
      <w:r>
        <w:rPr/>
        <w:t>Holding</w:t>
      </w:r>
      <w:r>
        <w:rPr>
          <w:spacing w:val="1"/>
        </w:rPr>
        <w:t> </w:t>
      </w:r>
      <w:r>
        <w:rPr/>
        <w:t>Co., Ltd.于</w:t>
      </w:r>
      <w:r>
        <w:rPr>
          <w:spacing w:val="-1"/>
        </w:rPr>
        <w:t>2015</w:t>
      </w:r>
      <w:r>
        <w:rPr>
          <w:spacing w:val="-36"/>
        </w:rPr>
        <w:t> 年 </w:t>
      </w:r>
      <w:r>
        <w:rPr/>
        <w:t>3</w:t>
      </w:r>
      <w:r>
        <w:rPr>
          <w:spacing w:val="-36"/>
        </w:rPr>
        <w:t> 月 </w:t>
      </w:r>
      <w:r>
        <w:rPr/>
        <w:t>6</w:t>
      </w:r>
      <w:r>
        <w:rPr>
          <w:spacing w:val="-8"/>
        </w:rPr>
        <w:t> 日在中华人民共和国广东省深圳市注册成立的外商独资企业，经批准的经营期限</w:t>
      </w:r>
    </w:p>
    <w:p>
      <w:pPr>
        <w:pStyle w:val="BodyText"/>
        <w:spacing w:line="244" w:lineRule="auto"/>
        <w:ind w:right="1388"/>
      </w:pPr>
      <w:r>
        <w:rPr>
          <w:spacing w:val="-27"/>
        </w:rPr>
        <w:t>为 </w:t>
      </w:r>
      <w:r>
        <w:rPr>
          <w:spacing w:val="-1"/>
        </w:rPr>
        <w:t>50</w:t>
      </w:r>
      <w:r>
        <w:rPr>
          <w:spacing w:val="-14"/>
        </w:rPr>
        <w:t> 年，注册资本为 </w:t>
      </w:r>
      <w:r>
        <w:rPr/>
        <w:t>15,000,000</w:t>
      </w:r>
      <w:r>
        <w:rPr>
          <w:spacing w:val="-14"/>
        </w:rPr>
        <w:t> 美元。</w:t>
      </w:r>
      <w:r>
        <w:rPr/>
        <w:t>Robot</w:t>
      </w:r>
      <w:r>
        <w:rPr>
          <w:spacing w:val="1"/>
        </w:rPr>
        <w:t> </w:t>
      </w:r>
      <w:r>
        <w:rPr/>
        <w:t>Holding Co.,</w:t>
      </w:r>
      <w:r>
        <w:rPr>
          <w:spacing w:val="-2"/>
        </w:rPr>
        <w:t> </w:t>
      </w:r>
      <w:r>
        <w:rPr/>
        <w:t>Ltd.为注册在中国台湾的鸿海精密工业股份有限公司(以下简称“鸿海精密”)间接全资持有。 </w:t>
      </w:r>
    </w:p>
    <w:p>
      <w:pPr>
        <w:pStyle w:val="BodyText"/>
        <w:spacing w:line="265" w:lineRule="exact"/>
      </w:pPr>
      <w:r>
        <w:rPr>
          <w:w w:val="100"/>
        </w:rPr>
        <w:t> </w:t>
      </w:r>
    </w:p>
    <w:p>
      <w:pPr>
        <w:pStyle w:val="BodyText"/>
        <w:spacing w:line="242" w:lineRule="auto"/>
        <w:ind w:right="1282"/>
      </w:pPr>
      <w:r>
        <w:rPr>
          <w:spacing w:val="-27"/>
        </w:rPr>
        <w:t>于 </w:t>
      </w:r>
      <w:r>
        <w:rPr>
          <w:spacing w:val="-1"/>
        </w:rPr>
        <w:t>2017</w:t>
      </w:r>
      <w:r>
        <w:rPr>
          <w:spacing w:val="-8"/>
        </w:rPr>
        <w:t> 年度内，本公司通过一系列股权变更，整体改制变更为股份有限公司。同年，鸿海精密</w:t>
      </w:r>
      <w:r>
        <w:rPr/>
        <w:t>将下属部分核心业务(通信网络设备、云服务设备、精密工具和工业机器人等)(“重组业务”)转</w:t>
      </w:r>
      <w:r>
        <w:rPr>
          <w:spacing w:val="-2"/>
        </w:rPr>
        <w:t>入本公司，本公司以增资扩股和支付现金的方式取得重组业务，并于 </w:t>
      </w:r>
      <w:r>
        <w:rPr/>
        <w:t>2017</w:t>
      </w:r>
      <w:r>
        <w:rPr>
          <w:spacing w:val="-36"/>
        </w:rPr>
        <w:t> 年 </w:t>
      </w:r>
      <w:r>
        <w:rPr/>
        <w:t>12</w:t>
      </w:r>
      <w:r>
        <w:rPr>
          <w:spacing w:val="-37"/>
        </w:rPr>
        <w:t> 月 </w:t>
      </w:r>
      <w:r>
        <w:rPr/>
        <w:t>31</w:t>
      </w:r>
      <w:r>
        <w:rPr>
          <w:spacing w:val="-12"/>
        </w:rPr>
        <w:t> 日完成重</w:t>
      </w:r>
      <w:r>
        <w:rPr/>
        <w:t>组(“重组”)。 </w:t>
      </w:r>
    </w:p>
    <w:p>
      <w:pPr>
        <w:pStyle w:val="BodyText"/>
        <w:spacing w:before="3"/>
      </w:pPr>
      <w:r>
        <w:rPr>
          <w:w w:val="100"/>
        </w:rPr>
        <w:t> </w:t>
      </w:r>
    </w:p>
    <w:p>
      <w:pPr>
        <w:pStyle w:val="BodyText"/>
        <w:spacing w:before="3"/>
      </w:pPr>
      <w:r>
        <w:rPr>
          <w:spacing w:val="-27"/>
        </w:rPr>
        <w:t>于 </w:t>
      </w:r>
      <w:r>
        <w:rPr>
          <w:spacing w:val="-1"/>
        </w:rPr>
        <w:t>2017</w:t>
      </w:r>
      <w:r>
        <w:rPr>
          <w:spacing w:val="-37"/>
        </w:rPr>
        <w:t> 年 </w:t>
      </w:r>
      <w:r>
        <w:rPr/>
        <w:t>12</w:t>
      </w:r>
      <w:r>
        <w:rPr>
          <w:spacing w:val="-37"/>
        </w:rPr>
        <w:t> 月 </w:t>
      </w:r>
      <w:r>
        <w:rPr/>
        <w:t>31</w:t>
      </w:r>
      <w:r>
        <w:rPr>
          <w:spacing w:val="-12"/>
        </w:rPr>
        <w:t> 日，本公司股本变更为 </w:t>
      </w:r>
      <w:r>
        <w:rPr/>
        <w:t>17,725,770,199</w:t>
      </w:r>
      <w:r>
        <w:rPr>
          <w:spacing w:val="-8"/>
        </w:rPr>
        <w:t> 元，股份总数变更为</w:t>
      </w:r>
    </w:p>
    <w:p>
      <w:pPr>
        <w:pStyle w:val="BodyText"/>
        <w:spacing w:line="242" w:lineRule="auto" w:before="4"/>
        <w:ind w:right="1438"/>
        <w:jc w:val="both"/>
      </w:pPr>
      <w:r>
        <w:rPr>
          <w:spacing w:val="-1"/>
        </w:rPr>
        <w:t>17,725,770,199</w:t>
      </w:r>
      <w:r>
        <w:rPr>
          <w:spacing w:val="-14"/>
        </w:rPr>
        <w:t> 股，每股面值 </w:t>
      </w:r>
      <w:r>
        <w:rPr/>
        <w:t>1</w:t>
      </w:r>
      <w:r>
        <w:rPr>
          <w:spacing w:val="-8"/>
        </w:rPr>
        <w:t> 元。重组完成后，本公司的控股股东为注册在中国香港的中坚</w:t>
      </w:r>
      <w:r>
        <w:rPr>
          <w:spacing w:val="-6"/>
        </w:rPr>
        <w:t>企业有限公司(英文名 </w:t>
      </w:r>
      <w:r>
        <w:rPr/>
        <w:t>China Galaxy</w:t>
      </w:r>
      <w:r>
        <w:rPr>
          <w:spacing w:val="-2"/>
        </w:rPr>
        <w:t> </w:t>
      </w:r>
      <w:r>
        <w:rPr/>
        <w:t>Enterprises</w:t>
      </w:r>
      <w:r>
        <w:rPr>
          <w:spacing w:val="-2"/>
        </w:rPr>
        <w:t> </w:t>
      </w:r>
      <w:r>
        <w:rPr/>
        <w:t>Limited，以下简称“中坚公司”)。中坚公司为鸿海精密间接全资持有。 </w:t>
      </w:r>
    </w:p>
    <w:p>
      <w:pPr>
        <w:pStyle w:val="BodyText"/>
        <w:spacing w:before="1"/>
      </w:pPr>
      <w:r>
        <w:rPr>
          <w:w w:val="100"/>
        </w:rPr>
        <w:t> </w:t>
      </w:r>
    </w:p>
    <w:p>
      <w:pPr>
        <w:pStyle w:val="BodyText"/>
        <w:spacing w:line="244" w:lineRule="auto" w:before="2"/>
        <w:ind w:right="1330"/>
      </w:pPr>
      <w:r>
        <w:rPr>
          <w:spacing w:val="-1"/>
        </w:rPr>
        <w:t>经中国证券监督管理委员会以“证监许可</w:t>
      </w:r>
      <w:r>
        <w:rPr/>
        <w:t>[2018]815</w:t>
      </w:r>
      <w:r>
        <w:rPr>
          <w:spacing w:val="-8"/>
        </w:rPr>
        <w:t> 号”文核准，本公司向社会公开发行人民币</w:t>
      </w:r>
      <w:r>
        <w:rPr>
          <w:spacing w:val="-14"/>
        </w:rPr>
        <w:t>普通股 </w:t>
      </w:r>
      <w:r>
        <w:rPr/>
        <w:t>1,969,530,023</w:t>
      </w:r>
      <w:r>
        <w:rPr>
          <w:spacing w:val="-19"/>
        </w:rPr>
        <w:t> 股，并于 </w:t>
      </w:r>
      <w:r>
        <w:rPr/>
        <w:t>2018</w:t>
      </w:r>
      <w:r>
        <w:rPr>
          <w:spacing w:val="-37"/>
        </w:rPr>
        <w:t> 年 </w:t>
      </w:r>
      <w:r>
        <w:rPr/>
        <w:t>6</w:t>
      </w:r>
      <w:r>
        <w:rPr>
          <w:spacing w:val="-37"/>
        </w:rPr>
        <w:t> 月 </w:t>
      </w:r>
      <w:r>
        <w:rPr/>
        <w:t>8</w:t>
      </w:r>
      <w:r>
        <w:rPr>
          <w:spacing w:val="-8"/>
        </w:rPr>
        <w:t> 日在上海证券交易所上市交易。公开发行完成</w:t>
      </w:r>
    </w:p>
    <w:p>
      <w:pPr>
        <w:pStyle w:val="BodyText"/>
        <w:spacing w:line="244" w:lineRule="auto"/>
        <w:ind w:right="1546"/>
      </w:pPr>
      <w:r>
        <w:rPr>
          <w:spacing w:val="-6"/>
        </w:rPr>
        <w:t>后，本公司股本变更为 </w:t>
      </w:r>
      <w:r>
        <w:rPr/>
        <w:t>19,695,300,222</w:t>
      </w:r>
      <w:r>
        <w:rPr>
          <w:spacing w:val="-13"/>
        </w:rPr>
        <w:t> 元，股份总数变更为 </w:t>
      </w:r>
      <w:r>
        <w:rPr/>
        <w:t>19,695,300,222</w:t>
      </w:r>
      <w:r>
        <w:rPr>
          <w:spacing w:val="-15"/>
        </w:rPr>
        <w:t> 股，每股面值 </w:t>
      </w:r>
      <w:r>
        <w:rPr/>
        <w:t>1</w:t>
      </w:r>
      <w:r>
        <w:rPr>
          <w:spacing w:val="-102"/>
        </w:rPr>
        <w:t> </w:t>
      </w:r>
      <w:r>
        <w:rPr/>
        <w:t>元。 </w:t>
      </w:r>
    </w:p>
    <w:p>
      <w:pPr>
        <w:pStyle w:val="BodyText"/>
        <w:spacing w:line="265" w:lineRule="exact"/>
      </w:pPr>
      <w:r>
        <w:rPr>
          <w:w w:val="100"/>
        </w:rPr>
        <w:t> </w:t>
      </w:r>
    </w:p>
    <w:p>
      <w:pPr>
        <w:pStyle w:val="BodyText"/>
      </w:pPr>
      <w:r>
        <w:rPr>
          <w:spacing w:val="-4"/>
        </w:rPr>
        <w:t>本公司根据《富士康工业互联网股份有限公司 </w:t>
      </w:r>
      <w:r>
        <w:rPr/>
        <w:t>2019</w:t>
      </w:r>
      <w:r>
        <w:rPr>
          <w:spacing w:val="-8"/>
        </w:rPr>
        <w:t> 年股票期权与限制性股票激励计划(草案修订</w:t>
      </w:r>
    </w:p>
    <w:p>
      <w:pPr>
        <w:pStyle w:val="BodyText"/>
        <w:spacing w:before="3"/>
      </w:pPr>
      <w:r>
        <w:rPr>
          <w:spacing w:val="-3"/>
        </w:rPr>
        <w:t>稿)》(以下简称“《激励计划(草案修订稿)》”)的相关规定和本公司 </w:t>
      </w:r>
      <w:r>
        <w:rPr/>
        <w:t>2019</w:t>
      </w:r>
      <w:r>
        <w:rPr>
          <w:spacing w:val="-8"/>
        </w:rPr>
        <w:t> 年第一次临时股东大</w:t>
      </w:r>
    </w:p>
    <w:p>
      <w:pPr>
        <w:pStyle w:val="BodyText"/>
        <w:spacing w:before="4"/>
      </w:pPr>
      <w:r>
        <w:rPr>
          <w:spacing w:val="-7"/>
        </w:rPr>
        <w:t>会授权，分别于 </w:t>
      </w:r>
      <w:r>
        <w:rPr/>
        <w:t>2019</w:t>
      </w:r>
      <w:r>
        <w:rPr>
          <w:spacing w:val="-36"/>
        </w:rPr>
        <w:t> 年 </w:t>
      </w:r>
      <w:r>
        <w:rPr/>
        <w:t>4</w:t>
      </w:r>
      <w:r>
        <w:rPr>
          <w:spacing w:val="-36"/>
        </w:rPr>
        <w:t> 月 </w:t>
      </w:r>
      <w:r>
        <w:rPr/>
        <w:t>30</w:t>
      </w:r>
      <w:r>
        <w:rPr>
          <w:spacing w:val="-19"/>
        </w:rPr>
        <w:t> 日、</w:t>
      </w:r>
      <w:r>
        <w:rPr/>
        <w:t>2019</w:t>
      </w:r>
      <w:r>
        <w:rPr>
          <w:spacing w:val="-36"/>
        </w:rPr>
        <w:t> 年 </w:t>
      </w:r>
      <w:r>
        <w:rPr/>
        <w:t>9</w:t>
      </w:r>
      <w:r>
        <w:rPr>
          <w:spacing w:val="-36"/>
        </w:rPr>
        <w:t> 月 </w:t>
      </w:r>
      <w:r>
        <w:rPr/>
        <w:t>11</w:t>
      </w:r>
      <w:r>
        <w:rPr>
          <w:spacing w:val="-19"/>
        </w:rPr>
        <w:t> 日、</w:t>
      </w:r>
      <w:r>
        <w:rPr/>
        <w:t>2019</w:t>
      </w:r>
      <w:r>
        <w:rPr>
          <w:spacing w:val="-36"/>
        </w:rPr>
        <w:t> 年 </w:t>
      </w:r>
      <w:r>
        <w:rPr/>
        <w:t>12</w:t>
      </w:r>
      <w:r>
        <w:rPr>
          <w:spacing w:val="-36"/>
        </w:rPr>
        <w:t> 月 </w:t>
      </w:r>
      <w:r>
        <w:rPr/>
        <w:t>31</w:t>
      </w:r>
      <w:r>
        <w:rPr>
          <w:spacing w:val="-8"/>
        </w:rPr>
        <w:t> 日召开董事会审议通过</w:t>
      </w:r>
    </w:p>
    <w:p>
      <w:pPr>
        <w:pStyle w:val="BodyText"/>
        <w:spacing w:before="3"/>
      </w:pPr>
      <w:r>
        <w:rPr>
          <w:spacing w:val="-7"/>
        </w:rPr>
        <w:t>授予计划，累计向 </w:t>
      </w:r>
      <w:r>
        <w:rPr/>
        <w:t>4,763</w:t>
      </w:r>
      <w:r>
        <w:rPr>
          <w:spacing w:val="-13"/>
        </w:rPr>
        <w:t> 名激励对象授予 </w:t>
      </w:r>
      <w:r>
        <w:rPr/>
        <w:t>179,319,758</w:t>
      </w:r>
      <w:r>
        <w:rPr>
          <w:spacing w:val="-8"/>
        </w:rPr>
        <w:t> 股限制性人民币普通股</w:t>
      </w:r>
      <w:r>
        <w:rPr/>
        <w:t>(A</w:t>
      </w:r>
      <w:r>
        <w:rPr>
          <w:spacing w:val="-9"/>
        </w:rPr>
        <w:t> 股)，累计向</w:t>
      </w:r>
    </w:p>
    <w:p>
      <w:pPr>
        <w:pStyle w:val="BodyText"/>
        <w:spacing w:before="4"/>
      </w:pPr>
      <w:r>
        <w:rPr/>
        <w:t>986</w:t>
      </w:r>
      <w:r>
        <w:rPr>
          <w:spacing w:val="-14"/>
        </w:rPr>
        <w:t> 名激励对象授予 </w:t>
      </w:r>
      <w:r>
        <w:rPr/>
        <w:t>32,433,776</w:t>
      </w:r>
      <w:r>
        <w:rPr>
          <w:spacing w:val="-13"/>
        </w:rPr>
        <w:t> 份股票期权。截止 </w:t>
      </w:r>
      <w:r>
        <w:rPr/>
        <w:t>2020</w:t>
      </w:r>
      <w:r>
        <w:rPr>
          <w:spacing w:val="-36"/>
        </w:rPr>
        <w:t> 年 </w:t>
      </w:r>
      <w:r>
        <w:rPr/>
        <w:t>4</w:t>
      </w:r>
      <w:r>
        <w:rPr>
          <w:spacing w:val="-37"/>
        </w:rPr>
        <w:t> 月 </w:t>
      </w:r>
      <w:r>
        <w:rPr/>
        <w:t>14</w:t>
      </w:r>
      <w:r>
        <w:rPr>
          <w:spacing w:val="-12"/>
        </w:rPr>
        <w:t> 日止，本公司累计收到 </w:t>
      </w:r>
      <w:r>
        <w:rPr/>
        <w:t>4,685</w:t>
      </w:r>
    </w:p>
    <w:p>
      <w:pPr>
        <w:pStyle w:val="BodyText"/>
        <w:spacing w:before="2"/>
      </w:pPr>
      <w:r>
        <w:rPr>
          <w:spacing w:val="-4"/>
        </w:rPr>
        <w:t>名实际认购人支付的限制性股票出资款共计人民币 </w:t>
      </w:r>
      <w:r>
        <w:rPr/>
        <w:t>1,061,613,656</w:t>
      </w:r>
      <w:r>
        <w:rPr>
          <w:spacing w:val="-8"/>
        </w:rPr>
        <w:t> 元，增加注册资本及股本人民</w:t>
      </w:r>
    </w:p>
    <w:p>
      <w:pPr>
        <w:pStyle w:val="BodyText"/>
        <w:spacing w:before="5"/>
      </w:pPr>
      <w:r>
        <w:rPr>
          <w:spacing w:val="-27"/>
        </w:rPr>
        <w:t>币 </w:t>
      </w:r>
      <w:r>
        <w:rPr>
          <w:spacing w:val="-1"/>
        </w:rPr>
        <w:t>176,642,773</w:t>
      </w:r>
      <w:r>
        <w:rPr>
          <w:spacing w:val="-12"/>
        </w:rPr>
        <w:t> 元，增加资本公积人民币 </w:t>
      </w:r>
      <w:r>
        <w:rPr/>
        <w:t>884,970,883</w:t>
      </w:r>
      <w:r>
        <w:rPr>
          <w:spacing w:val="-8"/>
        </w:rPr>
        <w:t> 元。上述增资完成后，本公司股本更变为</w:t>
      </w:r>
    </w:p>
    <w:p>
      <w:pPr>
        <w:pStyle w:val="BodyText"/>
        <w:spacing w:before="2"/>
      </w:pPr>
      <w:r>
        <w:rPr>
          <w:spacing w:val="-1"/>
        </w:rPr>
        <w:t>19,871,942,995</w:t>
      </w:r>
      <w:r>
        <w:rPr>
          <w:spacing w:val="-12"/>
        </w:rPr>
        <w:t> 元，股份总数变更为 </w:t>
      </w:r>
      <w:r>
        <w:rPr/>
        <w:t>19,871,942,995</w:t>
      </w:r>
      <w:r>
        <w:rPr>
          <w:spacing w:val="-19"/>
        </w:rPr>
        <w:t> 股，每股 </w:t>
      </w:r>
      <w:r>
        <w:rPr/>
        <w:t>1</w:t>
      </w:r>
      <w:r>
        <w:rPr>
          <w:spacing w:val="-18"/>
        </w:rPr>
        <w:t> 元。</w:t>
      </w:r>
      <w:r>
        <w:rPr/>
        <w:t> </w:t>
      </w:r>
    </w:p>
    <w:p>
      <w:pPr>
        <w:pStyle w:val="BodyText"/>
        <w:spacing w:before="4"/>
      </w:pPr>
      <w:r>
        <w:rPr>
          <w:w w:val="100"/>
        </w:rPr>
        <w:t> </w:t>
      </w:r>
    </w:p>
    <w:p>
      <w:pPr>
        <w:pStyle w:val="BodyText"/>
        <w:spacing w:before="3"/>
      </w:pPr>
      <w:r>
        <w:rPr>
          <w:spacing w:val="-27"/>
        </w:rPr>
        <w:t>于 </w:t>
      </w:r>
      <w:r>
        <w:rPr/>
        <w:t>2022</w:t>
      </w:r>
      <w:r>
        <w:rPr>
          <w:spacing w:val="-37"/>
        </w:rPr>
        <w:t> 年 </w:t>
      </w:r>
      <w:r>
        <w:rPr/>
        <w:t>12</w:t>
      </w:r>
      <w:r>
        <w:rPr>
          <w:spacing w:val="-36"/>
        </w:rPr>
        <w:t> 月 </w:t>
      </w:r>
      <w:r>
        <w:rPr/>
        <w:t>31</w:t>
      </w:r>
      <w:r>
        <w:rPr>
          <w:spacing w:val="-8"/>
        </w:rPr>
        <w:t> 日，因股票期权激励对象行权和限制性股票回购注销，本公司股本变更为</w:t>
      </w:r>
    </w:p>
    <w:p>
      <w:pPr>
        <w:pStyle w:val="BodyText"/>
        <w:spacing w:before="4"/>
      </w:pPr>
      <w:r>
        <w:rPr>
          <w:spacing w:val="-1"/>
        </w:rPr>
        <w:t>19,859,592,893</w:t>
      </w:r>
      <w:r>
        <w:rPr>
          <w:spacing w:val="-12"/>
        </w:rPr>
        <w:t> 元，股份总数变更为 </w:t>
      </w:r>
      <w:r>
        <w:rPr/>
        <w:t>19,859,592,893</w:t>
      </w:r>
      <w:r>
        <w:rPr>
          <w:spacing w:val="-7"/>
        </w:rPr>
        <w:t> 股，每股面值 </w:t>
      </w:r>
      <w:r>
        <w:rPr/>
        <w:t>1</w:t>
      </w:r>
      <w:r>
        <w:rPr>
          <w:spacing w:val="-19"/>
        </w:rPr>
        <w:t> 元。</w:t>
      </w:r>
      <w:r>
        <w:rPr/>
        <w:t> </w:t>
      </w:r>
    </w:p>
    <w:p>
      <w:pPr>
        <w:pStyle w:val="BodyText"/>
        <w:spacing w:before="2"/>
      </w:pPr>
      <w:r>
        <w:rPr>
          <w:w w:val="100"/>
        </w:rPr>
        <w:t> </w:t>
      </w:r>
    </w:p>
    <w:p>
      <w:pPr>
        <w:pStyle w:val="BodyText"/>
        <w:spacing w:line="242" w:lineRule="auto" w:before="5"/>
        <w:ind w:right="1277"/>
      </w:pPr>
      <w:r>
        <w:rPr/>
        <w:t>本公司的经营范围为：工业互联网技术研发；通讯系统研发；企业管理服务；从事电子产品及其零配件的进出口及相关配套业务(不涉及国营贸易管理商品，涉及配额、许可证管理及其它专项规定管理的商品，按国家有关规定办理申请)。 </w:t>
      </w:r>
    </w:p>
    <w:p>
      <w:pPr>
        <w:pStyle w:val="BodyText"/>
        <w:spacing w:before="1"/>
      </w:pPr>
      <w:r>
        <w:rPr>
          <w:w w:val="100"/>
        </w:rPr>
        <w:t> </w:t>
      </w:r>
    </w:p>
    <w:p>
      <w:pPr>
        <w:pStyle w:val="BodyText"/>
        <w:spacing w:before="2"/>
      </w:pPr>
      <w:r>
        <w:rPr>
          <w:spacing w:val="-4"/>
        </w:rPr>
        <w:t>本财务报表由本公司董事会于 </w:t>
      </w:r>
      <w:r>
        <w:rPr/>
        <w:t>2023</w:t>
      </w:r>
      <w:r>
        <w:rPr>
          <w:spacing w:val="-36"/>
        </w:rPr>
        <w:t> 年 </w:t>
      </w:r>
      <w:r>
        <w:rPr/>
        <w:t>3</w:t>
      </w:r>
      <w:r>
        <w:rPr>
          <w:spacing w:val="-37"/>
        </w:rPr>
        <w:t> 月 </w:t>
      </w:r>
      <w:r>
        <w:rPr/>
        <w:t>14</w:t>
      </w:r>
      <w:r>
        <w:rPr>
          <w:spacing w:val="-9"/>
        </w:rPr>
        <w:t> 日批准报出。</w:t>
      </w:r>
      <w:r>
        <w:rPr/>
        <w:t> </w:t>
      </w:r>
    </w:p>
    <w:p>
      <w:pPr>
        <w:pStyle w:val="BodyText"/>
        <w:spacing w:before="5"/>
      </w:pPr>
      <w:r>
        <w:rPr>
          <w:w w:val="100"/>
        </w:rPr>
        <w:t> </w:t>
      </w:r>
    </w:p>
    <w:p>
      <w:pPr>
        <w:pStyle w:val="ListParagraph"/>
        <w:numPr>
          <w:ilvl w:val="0"/>
          <w:numId w:val="34"/>
        </w:numPr>
        <w:tabs>
          <w:tab w:pos="738" w:val="left" w:leader="none"/>
        </w:tabs>
        <w:spacing w:line="240" w:lineRule="auto" w:before="62" w:after="0"/>
        <w:ind w:left="738" w:right="0" w:hanging="420"/>
        <w:jc w:val="left"/>
        <w:rPr>
          <w:sz w:val="21"/>
        </w:rPr>
      </w:pPr>
      <w:r>
        <w:rPr>
          <w:sz w:val="21"/>
        </w:rPr>
        <w:t>合并财务</w:t>
      </w:r>
      <w:r>
        <w:rPr>
          <w:sz w:val="21"/>
          <w:shd w:fill="FFFF00" w:color="auto" w:val="clear"/>
        </w:rPr>
        <w:t>报表范围</w:t>
      </w:r>
    </w:p>
    <w:p>
      <w:pPr>
        <w:pStyle w:val="BodyText"/>
        <w:spacing w:before="65"/>
      </w:pPr>
      <w:r>
        <w:rPr>
          <w:spacing w:val="11"/>
        </w:rPr>
        <w:t>√适用 □不适用</w:t>
      </w:r>
      <w:r>
        <w:rPr>
          <w:spacing w:val="-3"/>
        </w:rPr>
        <w:t> </w:t>
      </w:r>
      <w:r>
        <w:rPr/>
        <w:t> </w:t>
      </w:r>
    </w:p>
    <w:p>
      <w:pPr>
        <w:pStyle w:val="BodyText"/>
        <w:spacing w:before="2" w:after="3"/>
      </w:pPr>
      <w:r>
        <w:rPr>
          <w:w w:val="100"/>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2"/>
        <w:gridCol w:w="2674"/>
        <w:gridCol w:w="2674"/>
      </w:tblGrid>
      <w:tr>
        <w:trPr>
          <w:trHeight w:val="273" w:hRule="atLeast"/>
        </w:trPr>
        <w:tc>
          <w:tcPr>
            <w:tcW w:w="3262" w:type="dxa"/>
            <w:vMerge w:val="restart"/>
          </w:tcPr>
          <w:p>
            <w:pPr>
              <w:pStyle w:val="TableParagraph"/>
              <w:spacing w:before="1"/>
              <w:ind w:left="107"/>
              <w:rPr>
                <w:sz w:val="21"/>
              </w:rPr>
            </w:pPr>
            <w:r>
              <w:rPr>
                <w:sz w:val="21"/>
              </w:rPr>
              <w:t>子公司名称 </w:t>
            </w:r>
          </w:p>
        </w:tc>
        <w:tc>
          <w:tcPr>
            <w:tcW w:w="5348" w:type="dxa"/>
            <w:gridSpan w:val="2"/>
          </w:tcPr>
          <w:p>
            <w:pPr>
              <w:pStyle w:val="TableParagraph"/>
              <w:spacing w:line="252" w:lineRule="exact" w:before="1"/>
              <w:ind w:left="107"/>
              <w:rPr>
                <w:sz w:val="21"/>
              </w:rPr>
            </w:pPr>
            <w:r>
              <w:rPr>
                <w:spacing w:val="-1"/>
                <w:sz w:val="21"/>
              </w:rPr>
              <w:t>是否纳入合并财务报表范围 </w:t>
            </w:r>
          </w:p>
        </w:tc>
      </w:tr>
      <w:tr>
        <w:trPr>
          <w:trHeight w:val="270" w:hRule="atLeast"/>
        </w:trPr>
        <w:tc>
          <w:tcPr>
            <w:tcW w:w="3262" w:type="dxa"/>
            <w:vMerge/>
            <w:tcBorders>
              <w:top w:val="nil"/>
            </w:tcBorders>
          </w:tcPr>
          <w:p>
            <w:pPr>
              <w:rPr>
                <w:sz w:val="2"/>
                <w:szCs w:val="2"/>
              </w:rPr>
            </w:pPr>
          </w:p>
        </w:tc>
        <w:tc>
          <w:tcPr>
            <w:tcW w:w="2674" w:type="dxa"/>
          </w:tcPr>
          <w:p>
            <w:pPr>
              <w:pStyle w:val="TableParagraph"/>
              <w:spacing w:line="250" w:lineRule="exact" w:before="1"/>
              <w:ind w:left="107"/>
              <w:rPr>
                <w:sz w:val="21"/>
              </w:rPr>
            </w:pPr>
            <w:r>
              <w:rPr>
                <w:sz w:val="21"/>
              </w:rPr>
              <w:t>2022.12.31 </w:t>
            </w:r>
          </w:p>
        </w:tc>
        <w:tc>
          <w:tcPr>
            <w:tcW w:w="2674" w:type="dxa"/>
          </w:tcPr>
          <w:p>
            <w:pPr>
              <w:pStyle w:val="TableParagraph"/>
              <w:spacing w:line="250" w:lineRule="exact" w:before="1"/>
              <w:ind w:left="105"/>
              <w:rPr>
                <w:sz w:val="21"/>
              </w:rPr>
            </w:pPr>
            <w:r>
              <w:rPr>
                <w:sz w:val="21"/>
              </w:rPr>
              <w:t>2021.12.31 </w:t>
            </w:r>
          </w:p>
        </w:tc>
      </w:tr>
      <w:tr>
        <w:trPr>
          <w:trHeight w:val="544" w:hRule="atLeast"/>
        </w:trPr>
        <w:tc>
          <w:tcPr>
            <w:tcW w:w="3262" w:type="dxa"/>
          </w:tcPr>
          <w:p>
            <w:pPr>
              <w:pStyle w:val="TableParagraph"/>
              <w:spacing w:before="1"/>
              <w:ind w:left="107"/>
              <w:rPr>
                <w:sz w:val="21"/>
              </w:rPr>
            </w:pPr>
            <w:r>
              <w:rPr>
                <w:spacing w:val="-1"/>
                <w:sz w:val="21"/>
              </w:rPr>
              <w:t>富联国基(上海)电子有限公司 </w:t>
            </w:r>
          </w:p>
          <w:p>
            <w:pPr>
              <w:pStyle w:val="TableParagraph"/>
              <w:spacing w:line="250" w:lineRule="exact" w:before="4"/>
              <w:ind w:left="107"/>
              <w:rPr>
                <w:sz w:val="21"/>
              </w:rPr>
            </w:pPr>
            <w:r>
              <w:rPr>
                <w:sz w:val="21"/>
              </w:rPr>
              <w:t>(原名：国基电子(上海)有限公</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bl>
    <w:p>
      <w:pPr>
        <w:spacing w:after="0"/>
        <w:rPr>
          <w:sz w:val="21"/>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2"/>
        <w:gridCol w:w="2674"/>
        <w:gridCol w:w="2674"/>
      </w:tblGrid>
      <w:tr>
        <w:trPr>
          <w:trHeight w:val="273" w:hRule="atLeast"/>
        </w:trPr>
        <w:tc>
          <w:tcPr>
            <w:tcW w:w="3262" w:type="dxa"/>
          </w:tcPr>
          <w:p>
            <w:pPr>
              <w:pStyle w:val="TableParagraph"/>
              <w:spacing w:line="250" w:lineRule="exact" w:before="3"/>
              <w:ind w:left="107"/>
              <w:rPr>
                <w:sz w:val="21"/>
              </w:rPr>
            </w:pPr>
            <w:r>
              <w:rPr>
                <w:sz w:val="21"/>
              </w:rPr>
              <w:t>司) </w:t>
            </w:r>
          </w:p>
        </w:tc>
        <w:tc>
          <w:tcPr>
            <w:tcW w:w="2674" w:type="dxa"/>
          </w:tcPr>
          <w:p>
            <w:pPr>
              <w:pStyle w:val="TableParagraph"/>
              <w:rPr>
                <w:rFonts w:ascii="Times New Roman"/>
                <w:sz w:val="20"/>
              </w:rPr>
            </w:pPr>
          </w:p>
        </w:tc>
        <w:tc>
          <w:tcPr>
            <w:tcW w:w="2674" w:type="dxa"/>
          </w:tcPr>
          <w:p>
            <w:pPr>
              <w:pStyle w:val="TableParagraph"/>
              <w:rPr>
                <w:rFonts w:ascii="Times New Roman"/>
                <w:sz w:val="20"/>
              </w:rPr>
            </w:pPr>
          </w:p>
        </w:tc>
      </w:tr>
      <w:tr>
        <w:trPr>
          <w:trHeight w:val="273" w:hRule="atLeast"/>
        </w:trPr>
        <w:tc>
          <w:tcPr>
            <w:tcW w:w="3262" w:type="dxa"/>
          </w:tcPr>
          <w:p>
            <w:pPr>
              <w:pStyle w:val="TableParagraph"/>
              <w:spacing w:line="252" w:lineRule="exact" w:before="1"/>
              <w:ind w:left="107"/>
              <w:rPr>
                <w:sz w:val="21"/>
              </w:rPr>
            </w:pPr>
            <w:r>
              <w:rPr>
                <w:spacing w:val="-1"/>
                <w:sz w:val="21"/>
              </w:rPr>
              <w:t>基准精密工业(惠州)有限公司</w:t>
            </w:r>
            <w:r>
              <w:rPr>
                <w:sz w:val="21"/>
              </w:rPr>
              <w:t>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815" w:hRule="atLeast"/>
        </w:trPr>
        <w:tc>
          <w:tcPr>
            <w:tcW w:w="3262" w:type="dxa"/>
          </w:tcPr>
          <w:p>
            <w:pPr>
              <w:pStyle w:val="TableParagraph"/>
              <w:spacing w:line="242" w:lineRule="auto" w:before="1"/>
              <w:ind w:left="107" w:right="93"/>
              <w:rPr>
                <w:sz w:val="21"/>
              </w:rPr>
            </w:pPr>
            <w:r>
              <w:rPr>
                <w:sz w:val="21"/>
              </w:rPr>
              <w:t>富联百佳泰(北京)贸易有限公司</w:t>
            </w:r>
            <w:r>
              <w:rPr>
                <w:spacing w:val="1"/>
                <w:sz w:val="21"/>
              </w:rPr>
              <w:t> </w:t>
            </w:r>
            <w:r>
              <w:rPr>
                <w:sz w:val="21"/>
              </w:rPr>
              <w:t>(原名：百佳泰信息技术(北京)有</w:t>
            </w:r>
          </w:p>
          <w:p>
            <w:pPr>
              <w:pStyle w:val="TableParagraph"/>
              <w:spacing w:line="250" w:lineRule="exact" w:before="1"/>
              <w:ind w:left="107"/>
              <w:rPr>
                <w:sz w:val="21"/>
              </w:rPr>
            </w:pPr>
            <w:r>
              <w:rPr>
                <w:spacing w:val="-1"/>
                <w:sz w:val="21"/>
              </w:rPr>
              <w:t>限公司)</w:t>
            </w:r>
            <w:r>
              <w:rPr>
                <w:sz w:val="21"/>
              </w:rPr>
              <w:t>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pacing w:val="-1"/>
                <w:sz w:val="21"/>
              </w:rPr>
              <w:t>富联科技(济源)有限公司</w:t>
            </w:r>
            <w:r>
              <w:rPr>
                <w:sz w:val="21"/>
              </w:rPr>
              <w:t>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z w:val="21"/>
              </w:rPr>
              <w:t>Focus</w:t>
            </w:r>
            <w:r>
              <w:rPr>
                <w:spacing w:val="-4"/>
                <w:sz w:val="21"/>
              </w:rPr>
              <w:t> </w:t>
            </w:r>
            <w:r>
              <w:rPr>
                <w:sz w:val="21"/>
              </w:rPr>
              <w:t>PC Enterprises Limited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270" w:hRule="atLeast"/>
        </w:trPr>
        <w:tc>
          <w:tcPr>
            <w:tcW w:w="3262" w:type="dxa"/>
          </w:tcPr>
          <w:p>
            <w:pPr>
              <w:pStyle w:val="TableParagraph"/>
              <w:spacing w:line="250" w:lineRule="exact" w:before="1"/>
              <w:ind w:left="107"/>
              <w:rPr>
                <w:sz w:val="21"/>
              </w:rPr>
            </w:pPr>
            <w:r>
              <w:rPr>
                <w:spacing w:val="-1"/>
                <w:sz w:val="21"/>
              </w:rPr>
              <w:t>富联统合电子(杭州)有限公司</w:t>
            </w:r>
            <w:r>
              <w:rPr>
                <w:sz w:val="21"/>
              </w:rPr>
              <w:t> </w:t>
            </w:r>
            <w:r>
              <w:rPr>
                <w:spacing w:val="-2"/>
                <w:sz w:val="21"/>
              </w:rPr>
              <w:t> </w:t>
            </w:r>
            <w:r>
              <w:rPr>
                <w:w w:val="100"/>
                <w:sz w:val="21"/>
              </w:rPr>
              <w:t>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是 </w:t>
            </w:r>
          </w:p>
        </w:tc>
      </w:tr>
      <w:tr>
        <w:trPr>
          <w:trHeight w:val="817" w:hRule="atLeast"/>
        </w:trPr>
        <w:tc>
          <w:tcPr>
            <w:tcW w:w="3262" w:type="dxa"/>
          </w:tcPr>
          <w:p>
            <w:pPr>
              <w:pStyle w:val="TableParagraph"/>
              <w:spacing w:before="1"/>
              <w:ind w:left="107"/>
              <w:rPr>
                <w:sz w:val="21"/>
              </w:rPr>
            </w:pPr>
            <w:r>
              <w:rPr>
                <w:sz w:val="21"/>
              </w:rPr>
              <w:t>南宁富联富桂精密工业有限公司</w:t>
            </w:r>
          </w:p>
          <w:p>
            <w:pPr>
              <w:pStyle w:val="TableParagraph"/>
              <w:spacing w:line="270" w:lineRule="atLeast"/>
              <w:ind w:left="107" w:right="93"/>
              <w:rPr>
                <w:sz w:val="21"/>
              </w:rPr>
            </w:pPr>
            <w:r>
              <w:rPr>
                <w:sz w:val="21"/>
              </w:rPr>
              <w:t>(原名：南宁富桂精密工业有限公司)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544" w:hRule="atLeast"/>
        </w:trPr>
        <w:tc>
          <w:tcPr>
            <w:tcW w:w="3262" w:type="dxa"/>
          </w:tcPr>
          <w:p>
            <w:pPr>
              <w:pStyle w:val="TableParagraph"/>
              <w:spacing w:before="1"/>
              <w:ind w:left="107"/>
              <w:rPr>
                <w:sz w:val="21"/>
              </w:rPr>
            </w:pPr>
            <w:r>
              <w:rPr>
                <w:spacing w:val="-1"/>
                <w:sz w:val="21"/>
              </w:rPr>
              <w:t>富联国宙电子(上海)有限公司(原</w:t>
            </w:r>
          </w:p>
          <w:p>
            <w:pPr>
              <w:pStyle w:val="TableParagraph"/>
              <w:spacing w:line="252" w:lineRule="exact" w:before="2"/>
              <w:ind w:left="107"/>
              <w:rPr>
                <w:sz w:val="21"/>
              </w:rPr>
            </w:pPr>
            <w:r>
              <w:rPr>
                <w:spacing w:val="-1"/>
                <w:sz w:val="21"/>
              </w:rPr>
              <w:t>名：国宙电子(上海)有限公司)</w:t>
            </w:r>
            <w:r>
              <w:rPr>
                <w:sz w:val="21"/>
              </w:rPr>
              <w:t>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544" w:hRule="atLeast"/>
        </w:trPr>
        <w:tc>
          <w:tcPr>
            <w:tcW w:w="3262" w:type="dxa"/>
          </w:tcPr>
          <w:p>
            <w:pPr>
              <w:pStyle w:val="TableParagraph"/>
              <w:spacing w:before="1"/>
              <w:ind w:left="107"/>
              <w:rPr>
                <w:sz w:val="21"/>
              </w:rPr>
            </w:pPr>
            <w:r>
              <w:rPr>
                <w:sz w:val="21"/>
              </w:rPr>
              <w:t>富联富翼精密工业(东莞)有限公</w:t>
            </w:r>
          </w:p>
          <w:p>
            <w:pPr>
              <w:pStyle w:val="TableParagraph"/>
              <w:spacing w:line="250" w:lineRule="exact" w:before="5"/>
              <w:ind w:left="107"/>
              <w:rPr>
                <w:sz w:val="21"/>
              </w:rPr>
            </w:pPr>
            <w:r>
              <w:rPr>
                <w:sz w:val="21"/>
              </w:rPr>
              <w:t>司  </w:t>
            </w:r>
            <w:r>
              <w:rPr>
                <w:w w:val="100"/>
                <w:sz w:val="21"/>
              </w:rPr>
              <w:t> </w:t>
            </w:r>
            <w:r>
              <w:rPr>
                <w:spacing w:val="-2"/>
                <w:sz w:val="21"/>
              </w:rPr>
              <w:t> </w:t>
            </w:r>
            <w:r>
              <w:rPr>
                <w:w w:val="100"/>
                <w:sz w:val="21"/>
              </w:rPr>
              <w:t>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544" w:hRule="atLeast"/>
        </w:trPr>
        <w:tc>
          <w:tcPr>
            <w:tcW w:w="3262" w:type="dxa"/>
          </w:tcPr>
          <w:p>
            <w:pPr>
              <w:pStyle w:val="TableParagraph"/>
              <w:spacing w:before="1"/>
              <w:ind w:left="107"/>
              <w:rPr>
                <w:sz w:val="21"/>
              </w:rPr>
            </w:pPr>
            <w:r>
              <w:rPr>
                <w:spacing w:val="-1"/>
                <w:sz w:val="21"/>
              </w:rPr>
              <w:t>富联裕展科技(河南)有限公司(原</w:t>
            </w:r>
          </w:p>
          <w:p>
            <w:pPr>
              <w:pStyle w:val="TableParagraph"/>
              <w:spacing w:line="250" w:lineRule="exact" w:before="4"/>
              <w:ind w:left="107" w:right="-15"/>
              <w:rPr>
                <w:sz w:val="21"/>
              </w:rPr>
            </w:pPr>
            <w:r>
              <w:rPr>
                <w:spacing w:val="-1"/>
                <w:sz w:val="21"/>
              </w:rPr>
              <w:t>名：河南裕展精密科技有限公司)</w:t>
            </w:r>
            <w:r>
              <w:rPr>
                <w:sz w:val="21"/>
              </w:rPr>
              <w:t>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544" w:hRule="atLeast"/>
        </w:trPr>
        <w:tc>
          <w:tcPr>
            <w:tcW w:w="3262" w:type="dxa"/>
          </w:tcPr>
          <w:p>
            <w:pPr>
              <w:pStyle w:val="TableParagraph"/>
              <w:spacing w:before="1"/>
              <w:ind w:left="107"/>
              <w:rPr>
                <w:sz w:val="21"/>
              </w:rPr>
            </w:pPr>
            <w:r>
              <w:rPr>
                <w:spacing w:val="-1"/>
                <w:sz w:val="21"/>
              </w:rPr>
              <w:t>富联科技(晋城)有限公司(原名：</w:t>
            </w:r>
          </w:p>
          <w:p>
            <w:pPr>
              <w:pStyle w:val="TableParagraph"/>
              <w:spacing w:line="250" w:lineRule="exact" w:before="4"/>
              <w:ind w:left="107"/>
              <w:rPr>
                <w:sz w:val="21"/>
              </w:rPr>
            </w:pPr>
            <w:r>
              <w:rPr>
                <w:spacing w:val="-1"/>
                <w:sz w:val="21"/>
              </w:rPr>
              <w:t>晋城富泰华精密电子有限公司)</w:t>
            </w:r>
            <w:r>
              <w:rPr>
                <w:sz w:val="21"/>
              </w:rPr>
              <w:t>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817" w:hRule="atLeast"/>
        </w:trPr>
        <w:tc>
          <w:tcPr>
            <w:tcW w:w="3262" w:type="dxa"/>
          </w:tcPr>
          <w:p>
            <w:pPr>
              <w:pStyle w:val="TableParagraph"/>
              <w:spacing w:before="1"/>
              <w:ind w:left="107"/>
              <w:rPr>
                <w:sz w:val="21"/>
              </w:rPr>
            </w:pPr>
            <w:r>
              <w:rPr>
                <w:spacing w:val="-1"/>
                <w:sz w:val="21"/>
              </w:rPr>
              <w:t>富联精密电子(郑州)有限公司(原</w:t>
            </w:r>
          </w:p>
          <w:p>
            <w:pPr>
              <w:pStyle w:val="TableParagraph"/>
              <w:spacing w:line="270" w:lineRule="atLeast"/>
              <w:ind w:left="107" w:right="199"/>
              <w:rPr>
                <w:sz w:val="21"/>
              </w:rPr>
            </w:pPr>
            <w:r>
              <w:rPr>
                <w:spacing w:val="-1"/>
                <w:sz w:val="21"/>
              </w:rPr>
              <w:t>名：富泰华精密电子(郑州)有限</w:t>
            </w:r>
            <w:r>
              <w:rPr>
                <w:sz w:val="21"/>
              </w:rPr>
              <w:t>公司)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815" w:hRule="atLeast"/>
        </w:trPr>
        <w:tc>
          <w:tcPr>
            <w:tcW w:w="3262" w:type="dxa"/>
          </w:tcPr>
          <w:p>
            <w:pPr>
              <w:pStyle w:val="TableParagraph"/>
              <w:spacing w:before="1"/>
              <w:ind w:left="107"/>
              <w:rPr>
                <w:sz w:val="21"/>
              </w:rPr>
            </w:pPr>
            <w:r>
              <w:rPr>
                <w:spacing w:val="-1"/>
                <w:sz w:val="21"/>
              </w:rPr>
              <w:t>富联精密电子(天津)有限公司(原</w:t>
            </w:r>
          </w:p>
          <w:p>
            <w:pPr>
              <w:pStyle w:val="TableParagraph"/>
              <w:spacing w:line="270" w:lineRule="atLeast"/>
              <w:ind w:left="107" w:right="199"/>
              <w:rPr>
                <w:sz w:val="21"/>
              </w:rPr>
            </w:pPr>
            <w:r>
              <w:rPr>
                <w:spacing w:val="-1"/>
                <w:sz w:val="21"/>
              </w:rPr>
              <w:t>名：鸿富锦精密电子(天津)有限</w:t>
            </w:r>
            <w:r>
              <w:rPr>
                <w:sz w:val="21"/>
              </w:rPr>
              <w:t>公司)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273" w:hRule="atLeast"/>
        </w:trPr>
        <w:tc>
          <w:tcPr>
            <w:tcW w:w="3262" w:type="dxa"/>
          </w:tcPr>
          <w:p>
            <w:pPr>
              <w:pStyle w:val="TableParagraph"/>
              <w:spacing w:line="250" w:lineRule="exact" w:before="3"/>
              <w:ind w:left="107"/>
              <w:rPr>
                <w:sz w:val="21"/>
              </w:rPr>
            </w:pPr>
            <w:r>
              <w:rPr>
                <w:spacing w:val="-1"/>
                <w:sz w:val="21"/>
              </w:rPr>
              <w:t>深圳富联富桂精密工业有限公司</w:t>
            </w:r>
            <w:r>
              <w:rPr>
                <w:sz w:val="21"/>
              </w:rPr>
              <w:t> </w:t>
            </w:r>
          </w:p>
        </w:tc>
        <w:tc>
          <w:tcPr>
            <w:tcW w:w="2674" w:type="dxa"/>
          </w:tcPr>
          <w:p>
            <w:pPr>
              <w:pStyle w:val="TableParagraph"/>
              <w:spacing w:line="250" w:lineRule="exact" w:before="3"/>
              <w:ind w:left="107"/>
              <w:rPr>
                <w:sz w:val="21"/>
              </w:rPr>
            </w:pPr>
            <w:r>
              <w:rPr>
                <w:sz w:val="21"/>
              </w:rPr>
              <w:t>是 </w:t>
            </w:r>
          </w:p>
        </w:tc>
        <w:tc>
          <w:tcPr>
            <w:tcW w:w="2674" w:type="dxa"/>
          </w:tcPr>
          <w:p>
            <w:pPr>
              <w:pStyle w:val="TableParagraph"/>
              <w:spacing w:line="250" w:lineRule="exact" w:before="3"/>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pacing w:val="-1"/>
                <w:sz w:val="21"/>
              </w:rPr>
              <w:t>成都富联准刃科技有限公司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270" w:hRule="atLeast"/>
        </w:trPr>
        <w:tc>
          <w:tcPr>
            <w:tcW w:w="3262" w:type="dxa"/>
          </w:tcPr>
          <w:p>
            <w:pPr>
              <w:pStyle w:val="TableParagraph"/>
              <w:spacing w:line="250" w:lineRule="exact" w:before="1"/>
              <w:ind w:left="107"/>
              <w:rPr>
                <w:sz w:val="21"/>
              </w:rPr>
            </w:pPr>
            <w:r>
              <w:rPr>
                <w:spacing w:val="-1"/>
                <w:sz w:val="21"/>
              </w:rPr>
              <w:t>晋城富联鸿刃科技有限公司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是 </w:t>
            </w:r>
          </w:p>
        </w:tc>
      </w:tr>
      <w:tr>
        <w:trPr>
          <w:trHeight w:val="273" w:hRule="atLeast"/>
        </w:trPr>
        <w:tc>
          <w:tcPr>
            <w:tcW w:w="3262" w:type="dxa"/>
          </w:tcPr>
          <w:p>
            <w:pPr>
              <w:pStyle w:val="TableParagraph"/>
              <w:spacing w:line="250" w:lineRule="exact" w:before="3"/>
              <w:ind w:left="107"/>
              <w:rPr>
                <w:sz w:val="21"/>
              </w:rPr>
            </w:pPr>
            <w:r>
              <w:rPr>
                <w:spacing w:val="-1"/>
                <w:sz w:val="21"/>
              </w:rPr>
              <w:t>郑州富联鸿刃科技有限公司 </w:t>
            </w:r>
            <w:r>
              <w:rPr>
                <w:spacing w:val="-2"/>
                <w:sz w:val="21"/>
              </w:rPr>
              <w:t> </w:t>
            </w:r>
            <w:r>
              <w:rPr>
                <w:w w:val="100"/>
                <w:sz w:val="21"/>
              </w:rPr>
              <w:t> </w:t>
            </w:r>
          </w:p>
        </w:tc>
        <w:tc>
          <w:tcPr>
            <w:tcW w:w="2674" w:type="dxa"/>
          </w:tcPr>
          <w:p>
            <w:pPr>
              <w:pStyle w:val="TableParagraph"/>
              <w:spacing w:line="250" w:lineRule="exact" w:before="3"/>
              <w:ind w:left="107"/>
              <w:rPr>
                <w:sz w:val="21"/>
              </w:rPr>
            </w:pPr>
            <w:r>
              <w:rPr>
                <w:sz w:val="21"/>
              </w:rPr>
              <w:t>是 </w:t>
            </w:r>
          </w:p>
        </w:tc>
        <w:tc>
          <w:tcPr>
            <w:tcW w:w="2674" w:type="dxa"/>
          </w:tcPr>
          <w:p>
            <w:pPr>
              <w:pStyle w:val="TableParagraph"/>
              <w:spacing w:line="250" w:lineRule="exact" w:before="3"/>
              <w:ind w:left="105"/>
              <w:rPr>
                <w:sz w:val="21"/>
              </w:rPr>
            </w:pPr>
            <w:r>
              <w:rPr>
                <w:sz w:val="21"/>
              </w:rPr>
              <w:t>是 </w:t>
            </w:r>
          </w:p>
        </w:tc>
      </w:tr>
      <w:tr>
        <w:trPr>
          <w:trHeight w:val="818" w:hRule="atLeast"/>
        </w:trPr>
        <w:tc>
          <w:tcPr>
            <w:tcW w:w="3262" w:type="dxa"/>
          </w:tcPr>
          <w:p>
            <w:pPr>
              <w:pStyle w:val="TableParagraph"/>
              <w:spacing w:before="1"/>
              <w:ind w:left="107"/>
              <w:rPr>
                <w:sz w:val="21"/>
              </w:rPr>
            </w:pPr>
            <w:r>
              <w:rPr>
                <w:spacing w:val="-1"/>
                <w:sz w:val="21"/>
              </w:rPr>
              <w:t>富联裕展科技(深圳)有限公司(原</w:t>
            </w:r>
          </w:p>
          <w:p>
            <w:pPr>
              <w:pStyle w:val="TableParagraph"/>
              <w:spacing w:line="270" w:lineRule="atLeast"/>
              <w:ind w:left="107" w:right="197"/>
              <w:rPr>
                <w:sz w:val="21"/>
              </w:rPr>
            </w:pPr>
            <w:r>
              <w:rPr>
                <w:sz w:val="21"/>
              </w:rPr>
              <w:t>名：深圳市裕展精密科技有限公司)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544" w:hRule="atLeast"/>
        </w:trPr>
        <w:tc>
          <w:tcPr>
            <w:tcW w:w="3262" w:type="dxa"/>
          </w:tcPr>
          <w:p>
            <w:pPr>
              <w:pStyle w:val="TableParagraph"/>
              <w:spacing w:before="1"/>
              <w:ind w:left="107"/>
              <w:rPr>
                <w:sz w:val="21"/>
              </w:rPr>
            </w:pPr>
            <w:r>
              <w:rPr>
                <w:sz w:val="21"/>
              </w:rPr>
              <w:t>Foxconn Precision </w:t>
            </w:r>
          </w:p>
          <w:p>
            <w:pPr>
              <w:pStyle w:val="TableParagraph"/>
              <w:spacing w:line="252" w:lineRule="exact" w:before="2"/>
              <w:ind w:left="107"/>
              <w:rPr>
                <w:sz w:val="21"/>
              </w:rPr>
            </w:pPr>
            <w:r>
              <w:rPr>
                <w:sz w:val="21"/>
              </w:rPr>
              <w:t>International</w:t>
            </w:r>
            <w:r>
              <w:rPr>
                <w:spacing w:val="-3"/>
                <w:sz w:val="21"/>
              </w:rPr>
              <w:t> </w:t>
            </w:r>
            <w:r>
              <w:rPr>
                <w:sz w:val="21"/>
              </w:rPr>
              <w:t>Limited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815" w:hRule="atLeast"/>
        </w:trPr>
        <w:tc>
          <w:tcPr>
            <w:tcW w:w="3262" w:type="dxa"/>
          </w:tcPr>
          <w:p>
            <w:pPr>
              <w:pStyle w:val="TableParagraph"/>
              <w:spacing w:line="242" w:lineRule="auto" w:before="1"/>
              <w:ind w:left="107" w:right="93"/>
              <w:rPr>
                <w:sz w:val="21"/>
              </w:rPr>
            </w:pPr>
            <w:r>
              <w:rPr>
                <w:sz w:val="21"/>
              </w:rPr>
              <w:t>富联精密电子(贵阳)有限公司(原名：鸿富锦精密电子(贵阳)有限</w:t>
            </w:r>
          </w:p>
          <w:p>
            <w:pPr>
              <w:pStyle w:val="TableParagraph"/>
              <w:spacing w:line="250" w:lineRule="exact" w:before="1"/>
              <w:ind w:left="107"/>
              <w:rPr>
                <w:sz w:val="21"/>
              </w:rPr>
            </w:pPr>
            <w:r>
              <w:rPr>
                <w:sz w:val="21"/>
              </w:rPr>
              <w:t>公司)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914" w:hRule="atLeast"/>
        </w:trPr>
        <w:tc>
          <w:tcPr>
            <w:tcW w:w="3262" w:type="dxa"/>
          </w:tcPr>
          <w:p>
            <w:pPr>
              <w:pStyle w:val="TableParagraph"/>
              <w:spacing w:line="242" w:lineRule="auto" w:before="3"/>
              <w:ind w:left="107" w:right="93"/>
              <w:rPr>
                <w:sz w:val="21"/>
              </w:rPr>
            </w:pPr>
            <w:r>
              <w:rPr>
                <w:sz w:val="21"/>
              </w:rPr>
              <w:t>富联科技服务(天津)有限公司(原名：佰昌科技服务(天津)有限公司) </w:t>
            </w:r>
          </w:p>
        </w:tc>
        <w:tc>
          <w:tcPr>
            <w:tcW w:w="2674" w:type="dxa"/>
          </w:tcPr>
          <w:p>
            <w:pPr>
              <w:pStyle w:val="TableParagraph"/>
              <w:spacing w:before="3"/>
              <w:ind w:left="107"/>
              <w:rPr>
                <w:sz w:val="21"/>
              </w:rPr>
            </w:pPr>
            <w:r>
              <w:rPr>
                <w:sz w:val="21"/>
              </w:rPr>
              <w:t>是 </w:t>
            </w:r>
          </w:p>
        </w:tc>
        <w:tc>
          <w:tcPr>
            <w:tcW w:w="2674" w:type="dxa"/>
          </w:tcPr>
          <w:p>
            <w:pPr>
              <w:pStyle w:val="TableParagraph"/>
              <w:spacing w:before="3"/>
              <w:ind w:left="105"/>
              <w:rPr>
                <w:sz w:val="21"/>
              </w:rPr>
            </w:pPr>
            <w:r>
              <w:rPr>
                <w:sz w:val="21"/>
              </w:rPr>
              <w:t>是 </w:t>
            </w:r>
          </w:p>
        </w:tc>
      </w:tr>
      <w:tr>
        <w:trPr>
          <w:trHeight w:val="270" w:hRule="atLeast"/>
        </w:trPr>
        <w:tc>
          <w:tcPr>
            <w:tcW w:w="3262" w:type="dxa"/>
          </w:tcPr>
          <w:p>
            <w:pPr>
              <w:pStyle w:val="TableParagraph"/>
              <w:spacing w:line="250" w:lineRule="exact" w:before="1"/>
              <w:ind w:left="107"/>
              <w:rPr>
                <w:sz w:val="21"/>
              </w:rPr>
            </w:pPr>
            <w:r>
              <w:rPr>
                <w:spacing w:val="-1"/>
                <w:sz w:val="21"/>
              </w:rPr>
              <w:t>富华科精密工业(深圳)有限公司</w:t>
            </w:r>
            <w:r>
              <w:rPr>
                <w:sz w:val="21"/>
              </w:rPr>
              <w:t>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pacing w:val="-1"/>
                <w:sz w:val="21"/>
              </w:rPr>
              <w:t>富联科技(山西)有限公司</w:t>
            </w:r>
            <w:r>
              <w:rPr>
                <w:sz w:val="21"/>
              </w:rPr>
              <w:t>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270" w:hRule="atLeast"/>
        </w:trPr>
        <w:tc>
          <w:tcPr>
            <w:tcW w:w="3262" w:type="dxa"/>
          </w:tcPr>
          <w:p>
            <w:pPr>
              <w:pStyle w:val="TableParagraph"/>
              <w:spacing w:line="250" w:lineRule="exact" w:before="1"/>
              <w:ind w:left="107"/>
              <w:rPr>
                <w:sz w:val="21"/>
              </w:rPr>
            </w:pPr>
            <w:r>
              <w:rPr>
                <w:spacing w:val="-1"/>
                <w:sz w:val="21"/>
              </w:rPr>
              <w:t>重庆富桂电子有限公司</w:t>
            </w:r>
            <w:r>
              <w:rPr>
                <w:sz w:val="21"/>
              </w:rPr>
              <w:t>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是 </w:t>
            </w:r>
          </w:p>
        </w:tc>
      </w:tr>
      <w:tr>
        <w:trPr>
          <w:trHeight w:val="273" w:hRule="atLeast"/>
        </w:trPr>
        <w:tc>
          <w:tcPr>
            <w:tcW w:w="3262" w:type="dxa"/>
          </w:tcPr>
          <w:p>
            <w:pPr>
              <w:pStyle w:val="TableParagraph"/>
              <w:spacing w:line="250" w:lineRule="exact" w:before="3"/>
              <w:ind w:left="107"/>
              <w:rPr>
                <w:sz w:val="21"/>
              </w:rPr>
            </w:pPr>
            <w:r>
              <w:rPr>
                <w:spacing w:val="-1"/>
                <w:sz w:val="21"/>
              </w:rPr>
              <w:t>广西富梦创新科技有限责任公司</w:t>
            </w:r>
            <w:r>
              <w:rPr>
                <w:sz w:val="21"/>
              </w:rPr>
              <w:t> </w:t>
            </w:r>
          </w:p>
        </w:tc>
        <w:tc>
          <w:tcPr>
            <w:tcW w:w="2674" w:type="dxa"/>
          </w:tcPr>
          <w:p>
            <w:pPr>
              <w:pStyle w:val="TableParagraph"/>
              <w:spacing w:line="250" w:lineRule="exact" w:before="3"/>
              <w:ind w:left="107"/>
              <w:rPr>
                <w:sz w:val="21"/>
              </w:rPr>
            </w:pPr>
            <w:r>
              <w:rPr>
                <w:sz w:val="21"/>
              </w:rPr>
              <w:t>是 </w:t>
            </w:r>
          </w:p>
        </w:tc>
        <w:tc>
          <w:tcPr>
            <w:tcW w:w="2674" w:type="dxa"/>
          </w:tcPr>
          <w:p>
            <w:pPr>
              <w:pStyle w:val="TableParagraph"/>
              <w:spacing w:line="250" w:lineRule="exact" w:before="3"/>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pacing w:val="-1"/>
                <w:sz w:val="21"/>
              </w:rPr>
              <w:t>富联科技(鹤壁)有限公司</w:t>
            </w:r>
            <w:r>
              <w:rPr>
                <w:sz w:val="21"/>
              </w:rPr>
              <w:t>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270" w:hRule="atLeast"/>
        </w:trPr>
        <w:tc>
          <w:tcPr>
            <w:tcW w:w="3262" w:type="dxa"/>
          </w:tcPr>
          <w:p>
            <w:pPr>
              <w:pStyle w:val="TableParagraph"/>
              <w:spacing w:line="250" w:lineRule="exact" w:before="1"/>
              <w:ind w:left="107"/>
              <w:rPr>
                <w:sz w:val="21"/>
              </w:rPr>
            </w:pPr>
            <w:r>
              <w:rPr>
                <w:spacing w:val="-1"/>
                <w:sz w:val="21"/>
              </w:rPr>
              <w:t>富联科技(武汉)有限公司</w:t>
            </w:r>
            <w:r>
              <w:rPr>
                <w:sz w:val="21"/>
              </w:rPr>
              <w:t>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是 </w:t>
            </w:r>
          </w:p>
        </w:tc>
      </w:tr>
      <w:tr>
        <w:trPr>
          <w:trHeight w:val="546" w:hRule="atLeast"/>
        </w:trPr>
        <w:tc>
          <w:tcPr>
            <w:tcW w:w="3262" w:type="dxa"/>
          </w:tcPr>
          <w:p>
            <w:pPr>
              <w:pStyle w:val="TableParagraph"/>
              <w:spacing w:line="270" w:lineRule="atLeast"/>
              <w:ind w:left="107"/>
              <w:rPr>
                <w:sz w:val="21"/>
              </w:rPr>
            </w:pPr>
            <w:r>
              <w:rPr>
                <w:sz w:val="21"/>
              </w:rPr>
              <w:t>Cloud Network Technology</w:t>
            </w:r>
            <w:r>
              <w:rPr>
                <w:spacing w:val="1"/>
                <w:sz w:val="21"/>
              </w:rPr>
              <w:t> </w:t>
            </w:r>
            <w:r>
              <w:rPr>
                <w:sz w:val="21"/>
              </w:rPr>
              <w:t>Singapore</w:t>
            </w:r>
            <w:r>
              <w:rPr>
                <w:spacing w:val="-3"/>
                <w:sz w:val="21"/>
              </w:rPr>
              <w:t> </w:t>
            </w:r>
            <w:r>
              <w:rPr>
                <w:sz w:val="21"/>
              </w:rPr>
              <w:t>Pte. Ltd. </w:t>
            </w:r>
          </w:p>
        </w:tc>
        <w:tc>
          <w:tcPr>
            <w:tcW w:w="2674" w:type="dxa"/>
          </w:tcPr>
          <w:p>
            <w:pPr>
              <w:pStyle w:val="TableParagraph"/>
              <w:spacing w:before="3"/>
              <w:ind w:left="107"/>
              <w:rPr>
                <w:sz w:val="21"/>
              </w:rPr>
            </w:pPr>
            <w:r>
              <w:rPr>
                <w:sz w:val="21"/>
              </w:rPr>
              <w:t>是 </w:t>
            </w:r>
          </w:p>
        </w:tc>
        <w:tc>
          <w:tcPr>
            <w:tcW w:w="2674" w:type="dxa"/>
          </w:tcPr>
          <w:p>
            <w:pPr>
              <w:pStyle w:val="TableParagraph"/>
              <w:spacing w:before="3"/>
              <w:ind w:left="105"/>
              <w:rPr>
                <w:sz w:val="21"/>
              </w:rPr>
            </w:pPr>
            <w:r>
              <w:rPr>
                <w:sz w:val="21"/>
              </w:rPr>
              <w:t>是 </w:t>
            </w:r>
          </w:p>
        </w:tc>
      </w:tr>
      <w:tr>
        <w:trPr>
          <w:trHeight w:val="270" w:hRule="atLeast"/>
        </w:trPr>
        <w:tc>
          <w:tcPr>
            <w:tcW w:w="3262" w:type="dxa"/>
          </w:tcPr>
          <w:p>
            <w:pPr>
              <w:pStyle w:val="TableParagraph"/>
              <w:spacing w:line="250" w:lineRule="exact" w:before="1"/>
              <w:ind w:left="107"/>
              <w:rPr>
                <w:sz w:val="21"/>
              </w:rPr>
            </w:pPr>
            <w:r>
              <w:rPr>
                <w:sz w:val="21"/>
              </w:rPr>
              <w:t>Rich</w:t>
            </w:r>
            <w:r>
              <w:rPr>
                <w:spacing w:val="-2"/>
                <w:sz w:val="21"/>
              </w:rPr>
              <w:t> </w:t>
            </w:r>
            <w:r>
              <w:rPr>
                <w:sz w:val="21"/>
              </w:rPr>
              <w:t>Excel</w:t>
            </w:r>
            <w:r>
              <w:rPr>
                <w:spacing w:val="-1"/>
                <w:sz w:val="21"/>
              </w:rPr>
              <w:t> </w:t>
            </w:r>
            <w:r>
              <w:rPr>
                <w:sz w:val="21"/>
              </w:rPr>
              <w:t>International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是 </w:t>
            </w:r>
          </w:p>
        </w:tc>
      </w:tr>
    </w:tbl>
    <w:p>
      <w:pPr>
        <w:spacing w:after="0" w:line="250" w:lineRule="exact"/>
        <w:rPr>
          <w:sz w:val="21"/>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2"/>
        <w:gridCol w:w="2674"/>
        <w:gridCol w:w="2674"/>
      </w:tblGrid>
      <w:tr>
        <w:trPr>
          <w:trHeight w:val="273" w:hRule="atLeast"/>
        </w:trPr>
        <w:tc>
          <w:tcPr>
            <w:tcW w:w="3262" w:type="dxa"/>
          </w:tcPr>
          <w:p>
            <w:pPr>
              <w:pStyle w:val="TableParagraph"/>
              <w:spacing w:line="250" w:lineRule="exact" w:before="3"/>
              <w:ind w:left="107"/>
              <w:rPr>
                <w:sz w:val="21"/>
              </w:rPr>
            </w:pPr>
            <w:r>
              <w:rPr>
                <w:sz w:val="21"/>
              </w:rPr>
              <w:t>Limited </w:t>
            </w:r>
          </w:p>
        </w:tc>
        <w:tc>
          <w:tcPr>
            <w:tcW w:w="2674" w:type="dxa"/>
          </w:tcPr>
          <w:p>
            <w:pPr>
              <w:pStyle w:val="TableParagraph"/>
              <w:rPr>
                <w:rFonts w:ascii="Times New Roman"/>
                <w:sz w:val="20"/>
              </w:rPr>
            </w:pPr>
          </w:p>
        </w:tc>
        <w:tc>
          <w:tcPr>
            <w:tcW w:w="2674" w:type="dxa"/>
          </w:tcPr>
          <w:p>
            <w:pPr>
              <w:pStyle w:val="TableParagraph"/>
              <w:rPr>
                <w:rFonts w:ascii="Times New Roman"/>
                <w:sz w:val="20"/>
              </w:rPr>
            </w:pPr>
          </w:p>
        </w:tc>
      </w:tr>
      <w:tr>
        <w:trPr>
          <w:trHeight w:val="544" w:hRule="atLeast"/>
        </w:trPr>
        <w:tc>
          <w:tcPr>
            <w:tcW w:w="3262" w:type="dxa"/>
          </w:tcPr>
          <w:p>
            <w:pPr>
              <w:pStyle w:val="TableParagraph"/>
              <w:spacing w:before="1"/>
              <w:ind w:left="107"/>
              <w:rPr>
                <w:sz w:val="21"/>
              </w:rPr>
            </w:pPr>
            <w:r>
              <w:rPr>
                <w:sz w:val="21"/>
              </w:rPr>
              <w:t>Glory</w:t>
            </w:r>
            <w:r>
              <w:rPr>
                <w:spacing w:val="-3"/>
                <w:sz w:val="21"/>
              </w:rPr>
              <w:t> </w:t>
            </w:r>
            <w:r>
              <w:rPr>
                <w:sz w:val="21"/>
              </w:rPr>
              <w:t>Star</w:t>
            </w:r>
            <w:r>
              <w:rPr>
                <w:spacing w:val="1"/>
                <w:sz w:val="21"/>
              </w:rPr>
              <w:t> </w:t>
            </w:r>
            <w:r>
              <w:rPr>
                <w:sz w:val="21"/>
              </w:rPr>
              <w:t>Investments </w:t>
            </w:r>
          </w:p>
          <w:p>
            <w:pPr>
              <w:pStyle w:val="TableParagraph"/>
              <w:spacing w:line="250" w:lineRule="exact" w:before="4"/>
              <w:ind w:left="107"/>
              <w:rPr>
                <w:sz w:val="21"/>
              </w:rPr>
            </w:pPr>
            <w:r>
              <w:rPr>
                <w:sz w:val="21"/>
              </w:rPr>
              <w:t>Limited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544" w:hRule="atLeast"/>
        </w:trPr>
        <w:tc>
          <w:tcPr>
            <w:tcW w:w="3262" w:type="dxa"/>
          </w:tcPr>
          <w:p>
            <w:pPr>
              <w:pStyle w:val="TableParagraph"/>
              <w:spacing w:before="1"/>
              <w:ind w:left="107"/>
              <w:rPr>
                <w:sz w:val="21"/>
              </w:rPr>
            </w:pPr>
            <w:r>
              <w:rPr>
                <w:sz w:val="21"/>
              </w:rPr>
              <w:t>Ingrasys</w:t>
            </w:r>
            <w:r>
              <w:rPr>
                <w:spacing w:val="-2"/>
                <w:sz w:val="21"/>
              </w:rPr>
              <w:t> </w:t>
            </w:r>
            <w:r>
              <w:rPr>
                <w:sz w:val="21"/>
              </w:rPr>
              <w:t>(Singapore)Pte.   </w:t>
            </w:r>
          </w:p>
          <w:p>
            <w:pPr>
              <w:pStyle w:val="TableParagraph"/>
              <w:spacing w:line="250" w:lineRule="exact" w:before="4"/>
              <w:ind w:left="107"/>
              <w:rPr>
                <w:sz w:val="21"/>
              </w:rPr>
            </w:pPr>
            <w:r>
              <w:rPr>
                <w:sz w:val="21"/>
              </w:rPr>
              <w:t>Ltd. </w:t>
            </w:r>
            <w:r>
              <w:rPr>
                <w:spacing w:val="-2"/>
                <w:sz w:val="21"/>
              </w:rPr>
              <w:t> </w:t>
            </w:r>
            <w:r>
              <w:rPr>
                <w:w w:val="100"/>
                <w:sz w:val="21"/>
              </w:rPr>
              <w:t>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544" w:hRule="atLeast"/>
        </w:trPr>
        <w:tc>
          <w:tcPr>
            <w:tcW w:w="3262" w:type="dxa"/>
          </w:tcPr>
          <w:p>
            <w:pPr>
              <w:pStyle w:val="TableParagraph"/>
              <w:spacing w:before="1"/>
              <w:ind w:left="107"/>
              <w:rPr>
                <w:sz w:val="21"/>
              </w:rPr>
            </w:pPr>
            <w:r>
              <w:rPr>
                <w:sz w:val="21"/>
              </w:rPr>
              <w:t>Cloud</w:t>
            </w:r>
            <w:r>
              <w:rPr>
                <w:spacing w:val="-2"/>
                <w:sz w:val="21"/>
              </w:rPr>
              <w:t> </w:t>
            </w:r>
            <w:r>
              <w:rPr>
                <w:sz w:val="21"/>
              </w:rPr>
              <w:t>Network</w:t>
            </w:r>
            <w:r>
              <w:rPr>
                <w:spacing w:val="-2"/>
                <w:sz w:val="21"/>
              </w:rPr>
              <w:t> </w:t>
            </w:r>
            <w:r>
              <w:rPr>
                <w:sz w:val="21"/>
              </w:rPr>
              <w:t>Technology   </w:t>
            </w:r>
          </w:p>
          <w:p>
            <w:pPr>
              <w:pStyle w:val="TableParagraph"/>
              <w:spacing w:line="250" w:lineRule="exact" w:before="4"/>
              <w:ind w:left="107"/>
              <w:rPr>
                <w:sz w:val="21"/>
              </w:rPr>
            </w:pPr>
            <w:r>
              <w:rPr>
                <w:sz w:val="21"/>
              </w:rPr>
              <w:t>Kft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546" w:hRule="atLeast"/>
        </w:trPr>
        <w:tc>
          <w:tcPr>
            <w:tcW w:w="3262" w:type="dxa"/>
          </w:tcPr>
          <w:p>
            <w:pPr>
              <w:pStyle w:val="TableParagraph"/>
              <w:spacing w:line="270" w:lineRule="atLeast"/>
              <w:ind w:left="107"/>
              <w:rPr>
                <w:sz w:val="21"/>
              </w:rPr>
            </w:pPr>
            <w:r>
              <w:rPr>
                <w:sz w:val="21"/>
              </w:rPr>
              <w:t>Funing Precision</w:t>
            </w:r>
            <w:r>
              <w:rPr>
                <w:spacing w:val="105"/>
                <w:sz w:val="21"/>
              </w:rPr>
              <w:t> </w:t>
            </w:r>
            <w:r>
              <w:rPr>
                <w:sz w:val="21"/>
              </w:rPr>
              <w:t>Component</w:t>
            </w:r>
            <w:r>
              <w:rPr>
                <w:spacing w:val="1"/>
                <w:sz w:val="21"/>
              </w:rPr>
              <w:t> </w:t>
            </w:r>
            <w:r>
              <w:rPr>
                <w:sz w:val="21"/>
              </w:rPr>
              <w:t>Co., Ltd. </w:t>
            </w:r>
          </w:p>
        </w:tc>
        <w:tc>
          <w:tcPr>
            <w:tcW w:w="2674" w:type="dxa"/>
          </w:tcPr>
          <w:p>
            <w:pPr>
              <w:pStyle w:val="TableParagraph"/>
              <w:spacing w:before="3"/>
              <w:ind w:left="107"/>
              <w:rPr>
                <w:sz w:val="21"/>
              </w:rPr>
            </w:pPr>
            <w:r>
              <w:rPr>
                <w:sz w:val="21"/>
              </w:rPr>
              <w:t>是 </w:t>
            </w:r>
          </w:p>
        </w:tc>
        <w:tc>
          <w:tcPr>
            <w:tcW w:w="2674" w:type="dxa"/>
          </w:tcPr>
          <w:p>
            <w:pPr>
              <w:pStyle w:val="TableParagraph"/>
              <w:spacing w:before="3"/>
              <w:ind w:left="105"/>
              <w:rPr>
                <w:sz w:val="21"/>
              </w:rPr>
            </w:pPr>
            <w:r>
              <w:rPr>
                <w:sz w:val="21"/>
              </w:rPr>
              <w:t>是 </w:t>
            </w:r>
          </w:p>
        </w:tc>
      </w:tr>
      <w:tr>
        <w:trPr>
          <w:trHeight w:val="544" w:hRule="atLeast"/>
        </w:trPr>
        <w:tc>
          <w:tcPr>
            <w:tcW w:w="3262" w:type="dxa"/>
          </w:tcPr>
          <w:p>
            <w:pPr>
              <w:pStyle w:val="TableParagraph"/>
              <w:spacing w:before="1"/>
              <w:ind w:left="107"/>
              <w:rPr>
                <w:sz w:val="21"/>
              </w:rPr>
            </w:pPr>
            <w:r>
              <w:rPr>
                <w:sz w:val="21"/>
              </w:rPr>
              <w:t>Fuhong</w:t>
            </w:r>
            <w:r>
              <w:rPr>
                <w:spacing w:val="-1"/>
                <w:sz w:val="21"/>
              </w:rPr>
              <w:t> </w:t>
            </w:r>
            <w:r>
              <w:rPr>
                <w:sz w:val="21"/>
              </w:rPr>
              <w:t>Precision</w:t>
            </w:r>
            <w:r>
              <w:rPr>
                <w:spacing w:val="-1"/>
                <w:sz w:val="21"/>
              </w:rPr>
              <w:t> </w:t>
            </w:r>
            <w:r>
              <w:rPr>
                <w:sz w:val="21"/>
              </w:rPr>
              <w:t>Component   </w:t>
            </w:r>
          </w:p>
          <w:p>
            <w:pPr>
              <w:pStyle w:val="TableParagraph"/>
              <w:spacing w:line="252" w:lineRule="exact" w:before="2"/>
              <w:ind w:left="107"/>
              <w:rPr>
                <w:sz w:val="21"/>
              </w:rPr>
            </w:pPr>
            <w:r>
              <w:rPr>
                <w:sz w:val="21"/>
              </w:rPr>
              <w:t>(Bac</w:t>
            </w:r>
            <w:r>
              <w:rPr>
                <w:spacing w:val="-2"/>
                <w:sz w:val="21"/>
              </w:rPr>
              <w:t> </w:t>
            </w:r>
            <w:r>
              <w:rPr>
                <w:sz w:val="21"/>
              </w:rPr>
              <w:t>Giang)</w:t>
            </w:r>
            <w:r>
              <w:rPr>
                <w:spacing w:val="-1"/>
                <w:sz w:val="21"/>
              </w:rPr>
              <w:t> </w:t>
            </w:r>
            <w:r>
              <w:rPr>
                <w:sz w:val="21"/>
              </w:rPr>
              <w:t>Limited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270" w:hRule="atLeast"/>
        </w:trPr>
        <w:tc>
          <w:tcPr>
            <w:tcW w:w="3262" w:type="dxa"/>
          </w:tcPr>
          <w:p>
            <w:pPr>
              <w:pStyle w:val="TableParagraph"/>
              <w:spacing w:line="250" w:lineRule="exact" w:before="1"/>
              <w:ind w:left="107"/>
              <w:rPr>
                <w:sz w:val="21"/>
              </w:rPr>
            </w:pPr>
            <w:r>
              <w:rPr>
                <w:sz w:val="21"/>
              </w:rPr>
              <w:t>Mega Well</w:t>
            </w:r>
            <w:r>
              <w:rPr>
                <w:spacing w:val="-2"/>
                <w:sz w:val="21"/>
              </w:rPr>
              <w:t> </w:t>
            </w:r>
            <w:r>
              <w:rPr>
                <w:sz w:val="21"/>
              </w:rPr>
              <w:t>Limited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是 </w:t>
            </w:r>
          </w:p>
        </w:tc>
      </w:tr>
      <w:tr>
        <w:trPr>
          <w:trHeight w:val="545" w:hRule="atLeast"/>
        </w:trPr>
        <w:tc>
          <w:tcPr>
            <w:tcW w:w="3262" w:type="dxa"/>
          </w:tcPr>
          <w:p>
            <w:pPr>
              <w:pStyle w:val="TableParagraph"/>
              <w:spacing w:before="1"/>
              <w:ind w:left="107"/>
              <w:rPr>
                <w:sz w:val="21"/>
              </w:rPr>
            </w:pPr>
            <w:r>
              <w:rPr>
                <w:sz w:val="21"/>
              </w:rPr>
              <w:t>Foxconn</w:t>
            </w:r>
            <w:r>
              <w:rPr>
                <w:spacing w:val="-1"/>
                <w:sz w:val="21"/>
              </w:rPr>
              <w:t> </w:t>
            </w:r>
            <w:r>
              <w:rPr>
                <w:sz w:val="21"/>
              </w:rPr>
              <w:t>Technology</w:t>
            </w:r>
            <w:r>
              <w:rPr>
                <w:spacing w:val="-1"/>
                <w:sz w:val="21"/>
              </w:rPr>
              <w:t> </w:t>
            </w:r>
            <w:r>
              <w:rPr>
                <w:sz w:val="21"/>
              </w:rPr>
              <w:t>(India)   </w:t>
            </w:r>
          </w:p>
          <w:p>
            <w:pPr>
              <w:pStyle w:val="TableParagraph"/>
              <w:spacing w:line="250" w:lineRule="exact" w:before="5"/>
              <w:ind w:left="107"/>
              <w:rPr>
                <w:sz w:val="21"/>
              </w:rPr>
            </w:pPr>
            <w:r>
              <w:rPr>
                <w:sz w:val="21"/>
              </w:rPr>
              <w:t>Private</w:t>
            </w:r>
            <w:r>
              <w:rPr>
                <w:spacing w:val="-2"/>
                <w:sz w:val="21"/>
              </w:rPr>
              <w:t> </w:t>
            </w:r>
            <w:r>
              <w:rPr>
                <w:sz w:val="21"/>
              </w:rPr>
              <w:t>Limited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546" w:hRule="atLeast"/>
        </w:trPr>
        <w:tc>
          <w:tcPr>
            <w:tcW w:w="3262" w:type="dxa"/>
          </w:tcPr>
          <w:p>
            <w:pPr>
              <w:pStyle w:val="TableParagraph"/>
              <w:spacing w:line="270" w:lineRule="atLeast"/>
              <w:ind w:left="107" w:right="199"/>
              <w:rPr>
                <w:sz w:val="21"/>
              </w:rPr>
            </w:pPr>
            <w:r>
              <w:rPr>
                <w:sz w:val="21"/>
              </w:rPr>
              <w:t>Ingrasys Technology</w:t>
            </w:r>
            <w:r>
              <w:rPr>
                <w:spacing w:val="1"/>
                <w:sz w:val="21"/>
              </w:rPr>
              <w:t> </w:t>
            </w:r>
            <w:r>
              <w:rPr>
                <w:sz w:val="21"/>
              </w:rPr>
              <w:t>Korea,Inc. </w:t>
            </w:r>
          </w:p>
        </w:tc>
        <w:tc>
          <w:tcPr>
            <w:tcW w:w="2674" w:type="dxa"/>
          </w:tcPr>
          <w:p>
            <w:pPr>
              <w:pStyle w:val="TableParagraph"/>
              <w:spacing w:before="3"/>
              <w:ind w:left="107"/>
              <w:rPr>
                <w:sz w:val="21"/>
              </w:rPr>
            </w:pPr>
            <w:r>
              <w:rPr>
                <w:sz w:val="21"/>
              </w:rPr>
              <w:t>是 </w:t>
            </w:r>
          </w:p>
        </w:tc>
        <w:tc>
          <w:tcPr>
            <w:tcW w:w="2674" w:type="dxa"/>
          </w:tcPr>
          <w:p>
            <w:pPr>
              <w:pStyle w:val="TableParagraph"/>
              <w:spacing w:before="3"/>
              <w:ind w:left="105"/>
              <w:rPr>
                <w:sz w:val="21"/>
              </w:rPr>
            </w:pPr>
            <w:r>
              <w:rPr>
                <w:sz w:val="21"/>
              </w:rPr>
              <w:t>是 </w:t>
            </w:r>
          </w:p>
        </w:tc>
      </w:tr>
      <w:tr>
        <w:trPr>
          <w:trHeight w:val="270" w:hRule="atLeast"/>
        </w:trPr>
        <w:tc>
          <w:tcPr>
            <w:tcW w:w="3262" w:type="dxa"/>
          </w:tcPr>
          <w:p>
            <w:pPr>
              <w:pStyle w:val="TableParagraph"/>
              <w:spacing w:line="250" w:lineRule="exact" w:before="1"/>
              <w:ind w:left="107"/>
              <w:rPr>
                <w:sz w:val="21"/>
              </w:rPr>
            </w:pPr>
            <w:r>
              <w:rPr>
                <w:spacing w:val="-1"/>
                <w:sz w:val="21"/>
              </w:rPr>
              <w:t>日本裕展贸易株式会社</w:t>
            </w:r>
            <w:r>
              <w:rPr>
                <w:sz w:val="21"/>
              </w:rPr>
              <w:t>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是 </w:t>
            </w:r>
          </w:p>
        </w:tc>
      </w:tr>
      <w:tr>
        <w:trPr>
          <w:trHeight w:val="544" w:hRule="atLeast"/>
        </w:trPr>
        <w:tc>
          <w:tcPr>
            <w:tcW w:w="3262" w:type="dxa"/>
          </w:tcPr>
          <w:p>
            <w:pPr>
              <w:pStyle w:val="TableParagraph"/>
              <w:spacing w:before="1"/>
              <w:ind w:left="107"/>
              <w:rPr>
                <w:sz w:val="21"/>
              </w:rPr>
            </w:pPr>
            <w:r>
              <w:rPr>
                <w:sz w:val="21"/>
              </w:rPr>
              <w:t>Foxconn</w:t>
            </w:r>
            <w:r>
              <w:rPr>
                <w:spacing w:val="-1"/>
                <w:sz w:val="21"/>
              </w:rPr>
              <w:t> </w:t>
            </w:r>
            <w:r>
              <w:rPr>
                <w:sz w:val="21"/>
              </w:rPr>
              <w:t>Industrial</w:t>
            </w:r>
            <w:r>
              <w:rPr>
                <w:spacing w:val="104"/>
                <w:sz w:val="21"/>
              </w:rPr>
              <w:t> </w:t>
            </w:r>
            <w:r>
              <w:rPr>
                <w:sz w:val="21"/>
              </w:rPr>
              <w:t>Internet </w:t>
            </w:r>
          </w:p>
          <w:p>
            <w:pPr>
              <w:pStyle w:val="TableParagraph"/>
              <w:spacing w:line="250" w:lineRule="exact" w:before="4"/>
              <w:ind w:left="107"/>
              <w:rPr>
                <w:sz w:val="21"/>
              </w:rPr>
            </w:pPr>
            <w:r>
              <w:rPr>
                <w:sz w:val="21"/>
              </w:rPr>
              <w:t>(Japan) Co.,Ltd. </w:t>
            </w:r>
            <w:r>
              <w:rPr>
                <w:spacing w:val="-2"/>
                <w:sz w:val="21"/>
              </w:rPr>
              <w:t> </w:t>
            </w:r>
            <w:r>
              <w:rPr>
                <w:w w:val="100"/>
                <w:sz w:val="21"/>
              </w:rPr>
              <w:t>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z w:val="21"/>
              </w:rPr>
              <w:t>Profit</w:t>
            </w:r>
            <w:r>
              <w:rPr>
                <w:spacing w:val="-1"/>
                <w:sz w:val="21"/>
              </w:rPr>
              <w:t> </w:t>
            </w:r>
            <w:r>
              <w:rPr>
                <w:sz w:val="21"/>
              </w:rPr>
              <w:t>New Limited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z w:val="21"/>
              </w:rPr>
              <w:t>IPL International</w:t>
            </w:r>
            <w:r>
              <w:rPr>
                <w:spacing w:val="-3"/>
                <w:sz w:val="21"/>
              </w:rPr>
              <w:t> </w:t>
            </w:r>
            <w:r>
              <w:rPr>
                <w:sz w:val="21"/>
              </w:rPr>
              <w:t>Limited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544" w:hRule="atLeast"/>
        </w:trPr>
        <w:tc>
          <w:tcPr>
            <w:tcW w:w="3262" w:type="dxa"/>
          </w:tcPr>
          <w:p>
            <w:pPr>
              <w:pStyle w:val="TableParagraph"/>
              <w:spacing w:before="1"/>
              <w:ind w:left="107"/>
              <w:rPr>
                <w:sz w:val="21"/>
              </w:rPr>
            </w:pPr>
            <w:r>
              <w:rPr>
                <w:sz w:val="21"/>
              </w:rPr>
              <w:t>Cloud</w:t>
            </w:r>
            <w:r>
              <w:rPr>
                <w:spacing w:val="-2"/>
                <w:sz w:val="21"/>
              </w:rPr>
              <w:t> </w:t>
            </w:r>
            <w:r>
              <w:rPr>
                <w:sz w:val="21"/>
              </w:rPr>
              <w:t>Network</w:t>
            </w:r>
            <w:r>
              <w:rPr>
                <w:spacing w:val="-2"/>
                <w:sz w:val="21"/>
              </w:rPr>
              <w:t> </w:t>
            </w:r>
            <w:r>
              <w:rPr>
                <w:sz w:val="21"/>
              </w:rPr>
              <w:t>Technology   </w:t>
            </w:r>
          </w:p>
          <w:p>
            <w:pPr>
              <w:pStyle w:val="TableParagraph"/>
              <w:spacing w:line="252" w:lineRule="exact" w:before="2"/>
              <w:ind w:left="107"/>
              <w:rPr>
                <w:sz w:val="21"/>
              </w:rPr>
            </w:pPr>
            <w:r>
              <w:rPr>
                <w:sz w:val="21"/>
              </w:rPr>
              <w:t>(Samoa)</w:t>
            </w:r>
            <w:r>
              <w:rPr>
                <w:spacing w:val="-2"/>
                <w:sz w:val="21"/>
              </w:rPr>
              <w:t> </w:t>
            </w:r>
            <w:r>
              <w:rPr>
                <w:sz w:val="21"/>
              </w:rPr>
              <w:t>Limited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544" w:hRule="atLeast"/>
        </w:trPr>
        <w:tc>
          <w:tcPr>
            <w:tcW w:w="3262" w:type="dxa"/>
          </w:tcPr>
          <w:p>
            <w:pPr>
              <w:pStyle w:val="TableParagraph"/>
              <w:spacing w:before="1"/>
              <w:ind w:left="107"/>
              <w:rPr>
                <w:sz w:val="21"/>
              </w:rPr>
            </w:pPr>
            <w:r>
              <w:rPr>
                <w:sz w:val="21"/>
              </w:rPr>
              <w:t>Scientific Atlanta</w:t>
            </w:r>
            <w:r>
              <w:rPr>
                <w:spacing w:val="1"/>
                <w:sz w:val="21"/>
              </w:rPr>
              <w:t> </w:t>
            </w:r>
            <w:r>
              <w:rPr>
                <w:sz w:val="21"/>
              </w:rPr>
              <w:t>de</w:t>
            </w:r>
            <w:r>
              <w:rPr>
                <w:spacing w:val="-3"/>
                <w:sz w:val="21"/>
              </w:rPr>
              <w:t> </w:t>
            </w:r>
            <w:r>
              <w:rPr>
                <w:sz w:val="21"/>
              </w:rPr>
              <w:t>Mexico </w:t>
            </w:r>
          </w:p>
          <w:p>
            <w:pPr>
              <w:pStyle w:val="TableParagraph"/>
              <w:spacing w:line="252" w:lineRule="exact" w:before="2"/>
              <w:ind w:left="107"/>
              <w:rPr>
                <w:sz w:val="21"/>
              </w:rPr>
            </w:pPr>
            <w:r>
              <w:rPr>
                <w:sz w:val="21"/>
              </w:rPr>
              <w:t>S. de</w:t>
            </w:r>
            <w:r>
              <w:rPr>
                <w:spacing w:val="-2"/>
                <w:sz w:val="21"/>
              </w:rPr>
              <w:t> </w:t>
            </w:r>
            <w:r>
              <w:rPr>
                <w:sz w:val="21"/>
              </w:rPr>
              <w:t>R.L</w:t>
            </w:r>
            <w:r>
              <w:rPr>
                <w:spacing w:val="-2"/>
                <w:sz w:val="21"/>
              </w:rPr>
              <w:t> </w:t>
            </w:r>
            <w:r>
              <w:rPr>
                <w:sz w:val="21"/>
              </w:rPr>
              <w:t>de</w:t>
            </w:r>
            <w:r>
              <w:rPr>
                <w:spacing w:val="1"/>
                <w:sz w:val="21"/>
              </w:rPr>
              <w:t> </w:t>
            </w:r>
            <w:r>
              <w:rPr>
                <w:sz w:val="21"/>
              </w:rPr>
              <w:t>C.V.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270" w:hRule="atLeast"/>
        </w:trPr>
        <w:tc>
          <w:tcPr>
            <w:tcW w:w="3262" w:type="dxa"/>
          </w:tcPr>
          <w:p>
            <w:pPr>
              <w:pStyle w:val="TableParagraph"/>
              <w:spacing w:line="250" w:lineRule="exact" w:before="1"/>
              <w:ind w:left="107"/>
              <w:rPr>
                <w:sz w:val="21"/>
              </w:rPr>
            </w:pPr>
            <w:r>
              <w:rPr>
                <w:sz w:val="21"/>
              </w:rPr>
              <w:t>NWE</w:t>
            </w:r>
            <w:r>
              <w:rPr>
                <w:spacing w:val="-2"/>
                <w:sz w:val="21"/>
              </w:rPr>
              <w:t> </w:t>
            </w:r>
            <w:r>
              <w:rPr>
                <w:sz w:val="21"/>
              </w:rPr>
              <w:t>Technology</w:t>
            </w:r>
            <w:r>
              <w:rPr>
                <w:spacing w:val="-1"/>
                <w:sz w:val="21"/>
              </w:rPr>
              <w:t> </w:t>
            </w:r>
            <w:r>
              <w:rPr>
                <w:sz w:val="21"/>
              </w:rPr>
              <w:t>Inc.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是 </w:t>
            </w:r>
          </w:p>
        </w:tc>
      </w:tr>
      <w:tr>
        <w:trPr>
          <w:trHeight w:val="273" w:hRule="atLeast"/>
        </w:trPr>
        <w:tc>
          <w:tcPr>
            <w:tcW w:w="3262" w:type="dxa"/>
          </w:tcPr>
          <w:p>
            <w:pPr>
              <w:pStyle w:val="TableParagraph"/>
              <w:spacing w:line="250" w:lineRule="exact" w:before="3"/>
              <w:ind w:left="107"/>
              <w:rPr>
                <w:sz w:val="21"/>
              </w:rPr>
            </w:pPr>
            <w:r>
              <w:rPr>
                <w:sz w:val="21"/>
              </w:rPr>
              <w:t>Foxconn</w:t>
            </w:r>
            <w:r>
              <w:rPr>
                <w:spacing w:val="-1"/>
                <w:sz w:val="21"/>
              </w:rPr>
              <w:t> </w:t>
            </w:r>
            <w:r>
              <w:rPr>
                <w:sz w:val="21"/>
              </w:rPr>
              <w:t>Technology CZ</w:t>
            </w:r>
            <w:r>
              <w:rPr>
                <w:spacing w:val="-3"/>
                <w:sz w:val="21"/>
              </w:rPr>
              <w:t> </w:t>
            </w:r>
            <w:r>
              <w:rPr>
                <w:sz w:val="21"/>
              </w:rPr>
              <w:t>s.r.o. </w:t>
            </w:r>
          </w:p>
        </w:tc>
        <w:tc>
          <w:tcPr>
            <w:tcW w:w="2674" w:type="dxa"/>
          </w:tcPr>
          <w:p>
            <w:pPr>
              <w:pStyle w:val="TableParagraph"/>
              <w:spacing w:line="250" w:lineRule="exact" w:before="3"/>
              <w:ind w:left="107"/>
              <w:rPr>
                <w:sz w:val="21"/>
              </w:rPr>
            </w:pPr>
            <w:r>
              <w:rPr>
                <w:sz w:val="21"/>
              </w:rPr>
              <w:t>是 </w:t>
            </w:r>
          </w:p>
        </w:tc>
        <w:tc>
          <w:tcPr>
            <w:tcW w:w="2674" w:type="dxa"/>
          </w:tcPr>
          <w:p>
            <w:pPr>
              <w:pStyle w:val="TableParagraph"/>
              <w:spacing w:line="250" w:lineRule="exact" w:before="3"/>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z w:val="21"/>
              </w:rPr>
              <w:t>Foxconn</w:t>
            </w:r>
            <w:r>
              <w:rPr>
                <w:spacing w:val="-1"/>
                <w:sz w:val="21"/>
              </w:rPr>
              <w:t> </w:t>
            </w:r>
            <w:r>
              <w:rPr>
                <w:sz w:val="21"/>
              </w:rPr>
              <w:t>CZ</w:t>
            </w:r>
            <w:r>
              <w:rPr>
                <w:spacing w:val="-1"/>
                <w:sz w:val="21"/>
              </w:rPr>
              <w:t> </w:t>
            </w:r>
            <w:r>
              <w:rPr>
                <w:sz w:val="21"/>
              </w:rPr>
              <w:t>s.r.o.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270" w:hRule="atLeast"/>
        </w:trPr>
        <w:tc>
          <w:tcPr>
            <w:tcW w:w="3262" w:type="dxa"/>
          </w:tcPr>
          <w:p>
            <w:pPr>
              <w:pStyle w:val="TableParagraph"/>
              <w:spacing w:line="250" w:lineRule="exact" w:before="1"/>
              <w:ind w:left="107"/>
              <w:rPr>
                <w:sz w:val="21"/>
              </w:rPr>
            </w:pPr>
            <w:r>
              <w:rPr>
                <w:sz w:val="21"/>
              </w:rPr>
              <w:t>NSG</w:t>
            </w:r>
            <w:r>
              <w:rPr>
                <w:spacing w:val="-2"/>
                <w:sz w:val="21"/>
              </w:rPr>
              <w:t> </w:t>
            </w:r>
            <w:r>
              <w:rPr>
                <w:sz w:val="21"/>
              </w:rPr>
              <w:t>Technology</w:t>
            </w:r>
            <w:r>
              <w:rPr>
                <w:spacing w:val="-1"/>
                <w:sz w:val="21"/>
              </w:rPr>
              <w:t> </w:t>
            </w:r>
            <w:r>
              <w:rPr>
                <w:sz w:val="21"/>
              </w:rPr>
              <w:t>Inc.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是 </w:t>
            </w:r>
          </w:p>
        </w:tc>
      </w:tr>
      <w:tr>
        <w:trPr>
          <w:trHeight w:val="273" w:hRule="atLeast"/>
        </w:trPr>
        <w:tc>
          <w:tcPr>
            <w:tcW w:w="3262" w:type="dxa"/>
          </w:tcPr>
          <w:p>
            <w:pPr>
              <w:pStyle w:val="TableParagraph"/>
              <w:spacing w:line="250" w:lineRule="exact" w:before="3"/>
              <w:ind w:left="107"/>
              <w:rPr>
                <w:sz w:val="21"/>
              </w:rPr>
            </w:pPr>
            <w:r>
              <w:rPr>
                <w:sz w:val="21"/>
              </w:rPr>
              <w:t>Ingrasys</w:t>
            </w:r>
            <w:r>
              <w:rPr>
                <w:spacing w:val="-2"/>
                <w:sz w:val="21"/>
              </w:rPr>
              <w:t> </w:t>
            </w:r>
            <w:r>
              <w:rPr>
                <w:sz w:val="21"/>
              </w:rPr>
              <w:t>Technology</w:t>
            </w:r>
            <w:r>
              <w:rPr>
                <w:spacing w:val="-1"/>
                <w:sz w:val="21"/>
              </w:rPr>
              <w:t> </w:t>
            </w:r>
            <w:r>
              <w:rPr>
                <w:sz w:val="21"/>
              </w:rPr>
              <w:t>USA</w:t>
            </w:r>
            <w:r>
              <w:rPr>
                <w:spacing w:val="-1"/>
                <w:sz w:val="21"/>
              </w:rPr>
              <w:t> </w:t>
            </w:r>
            <w:r>
              <w:rPr>
                <w:sz w:val="21"/>
              </w:rPr>
              <w:t>Inc. </w:t>
            </w:r>
          </w:p>
        </w:tc>
        <w:tc>
          <w:tcPr>
            <w:tcW w:w="2674" w:type="dxa"/>
          </w:tcPr>
          <w:p>
            <w:pPr>
              <w:pStyle w:val="TableParagraph"/>
              <w:spacing w:line="250" w:lineRule="exact" w:before="3"/>
              <w:ind w:left="107"/>
              <w:rPr>
                <w:sz w:val="21"/>
              </w:rPr>
            </w:pPr>
            <w:r>
              <w:rPr>
                <w:sz w:val="21"/>
              </w:rPr>
              <w:t>是 </w:t>
            </w:r>
          </w:p>
        </w:tc>
        <w:tc>
          <w:tcPr>
            <w:tcW w:w="2674" w:type="dxa"/>
          </w:tcPr>
          <w:p>
            <w:pPr>
              <w:pStyle w:val="TableParagraph"/>
              <w:spacing w:line="250" w:lineRule="exact" w:before="3"/>
              <w:ind w:left="105"/>
              <w:rPr>
                <w:sz w:val="21"/>
              </w:rPr>
            </w:pPr>
            <w:r>
              <w:rPr>
                <w:sz w:val="21"/>
              </w:rPr>
              <w:t>是 </w:t>
            </w:r>
          </w:p>
        </w:tc>
      </w:tr>
      <w:tr>
        <w:trPr>
          <w:trHeight w:val="544" w:hRule="atLeast"/>
        </w:trPr>
        <w:tc>
          <w:tcPr>
            <w:tcW w:w="3262" w:type="dxa"/>
          </w:tcPr>
          <w:p>
            <w:pPr>
              <w:pStyle w:val="TableParagraph"/>
              <w:spacing w:before="1"/>
              <w:ind w:left="107"/>
              <w:rPr>
                <w:sz w:val="21"/>
              </w:rPr>
            </w:pPr>
            <w:r>
              <w:rPr>
                <w:sz w:val="21"/>
              </w:rPr>
              <w:t>PCE Paragon Solutions</w:t>
            </w:r>
            <w:r>
              <w:rPr>
                <w:spacing w:val="-2"/>
                <w:sz w:val="21"/>
              </w:rPr>
              <w:t> </w:t>
            </w:r>
            <w:r>
              <w:rPr>
                <w:sz w:val="21"/>
              </w:rPr>
              <w:t>(USA) </w:t>
            </w:r>
          </w:p>
          <w:p>
            <w:pPr>
              <w:pStyle w:val="TableParagraph"/>
              <w:spacing w:line="250" w:lineRule="exact" w:before="4"/>
              <w:ind w:left="107"/>
              <w:rPr>
                <w:sz w:val="21"/>
              </w:rPr>
            </w:pPr>
            <w:r>
              <w:rPr>
                <w:sz w:val="21"/>
              </w:rPr>
              <w:t>Inc.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z w:val="21"/>
              </w:rPr>
              <w:t>Foxconn</w:t>
            </w:r>
            <w:r>
              <w:rPr>
                <w:spacing w:val="-1"/>
                <w:sz w:val="21"/>
              </w:rPr>
              <w:t> </w:t>
            </w:r>
            <w:r>
              <w:rPr>
                <w:sz w:val="21"/>
              </w:rPr>
              <w:t>Assembly</w:t>
            </w:r>
            <w:r>
              <w:rPr>
                <w:spacing w:val="-1"/>
                <w:sz w:val="21"/>
              </w:rPr>
              <w:t> </w:t>
            </w:r>
            <w:r>
              <w:rPr>
                <w:sz w:val="21"/>
              </w:rPr>
              <w:t>LLC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270" w:hRule="atLeast"/>
        </w:trPr>
        <w:tc>
          <w:tcPr>
            <w:tcW w:w="3262" w:type="dxa"/>
          </w:tcPr>
          <w:p>
            <w:pPr>
              <w:pStyle w:val="TableParagraph"/>
              <w:spacing w:line="250" w:lineRule="exact" w:before="1"/>
              <w:ind w:left="107"/>
              <w:rPr>
                <w:sz w:val="21"/>
              </w:rPr>
            </w:pPr>
            <w:r>
              <w:rPr>
                <w:sz w:val="21"/>
              </w:rPr>
              <w:t>NWEA</w:t>
            </w:r>
            <w:r>
              <w:rPr>
                <w:spacing w:val="-1"/>
                <w:sz w:val="21"/>
              </w:rPr>
              <w:t> </w:t>
            </w:r>
            <w:r>
              <w:rPr>
                <w:sz w:val="21"/>
              </w:rPr>
              <w:t>LLC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是 </w:t>
            </w:r>
          </w:p>
        </w:tc>
      </w:tr>
      <w:tr>
        <w:trPr>
          <w:trHeight w:val="546" w:hRule="atLeast"/>
        </w:trPr>
        <w:tc>
          <w:tcPr>
            <w:tcW w:w="3262" w:type="dxa"/>
          </w:tcPr>
          <w:p>
            <w:pPr>
              <w:pStyle w:val="TableParagraph"/>
              <w:spacing w:line="270" w:lineRule="atLeast"/>
              <w:ind w:left="107" w:right="304"/>
              <w:rPr>
                <w:sz w:val="21"/>
              </w:rPr>
            </w:pPr>
            <w:r>
              <w:rPr>
                <w:sz w:val="21"/>
              </w:rPr>
              <w:t>Cloud</w:t>
            </w:r>
            <w:r>
              <w:rPr>
                <w:spacing w:val="3"/>
                <w:sz w:val="21"/>
              </w:rPr>
              <w:t> </w:t>
            </w:r>
            <w:r>
              <w:rPr>
                <w:sz w:val="21"/>
              </w:rPr>
              <w:t>Network</w:t>
            </w:r>
            <w:r>
              <w:rPr>
                <w:spacing w:val="3"/>
                <w:sz w:val="21"/>
              </w:rPr>
              <w:t> </w:t>
            </w:r>
            <w:r>
              <w:rPr>
                <w:sz w:val="21"/>
              </w:rPr>
              <w:t>Technology</w:t>
            </w:r>
            <w:r>
              <w:rPr>
                <w:spacing w:val="1"/>
                <w:sz w:val="21"/>
              </w:rPr>
              <w:t> </w:t>
            </w:r>
            <w:r>
              <w:rPr>
                <w:sz w:val="21"/>
              </w:rPr>
              <w:t>USA Inc. </w:t>
            </w:r>
          </w:p>
        </w:tc>
        <w:tc>
          <w:tcPr>
            <w:tcW w:w="2674" w:type="dxa"/>
          </w:tcPr>
          <w:p>
            <w:pPr>
              <w:pStyle w:val="TableParagraph"/>
              <w:spacing w:before="3"/>
              <w:ind w:left="107"/>
              <w:rPr>
                <w:sz w:val="21"/>
              </w:rPr>
            </w:pPr>
            <w:r>
              <w:rPr>
                <w:sz w:val="21"/>
              </w:rPr>
              <w:t>是 </w:t>
            </w:r>
          </w:p>
        </w:tc>
        <w:tc>
          <w:tcPr>
            <w:tcW w:w="2674" w:type="dxa"/>
          </w:tcPr>
          <w:p>
            <w:pPr>
              <w:pStyle w:val="TableParagraph"/>
              <w:spacing w:before="3"/>
              <w:ind w:left="105"/>
              <w:rPr>
                <w:sz w:val="21"/>
              </w:rPr>
            </w:pPr>
            <w:r>
              <w:rPr>
                <w:sz w:val="21"/>
              </w:rPr>
              <w:t>是 </w:t>
            </w:r>
          </w:p>
        </w:tc>
      </w:tr>
      <w:tr>
        <w:trPr>
          <w:trHeight w:val="270" w:hRule="atLeast"/>
        </w:trPr>
        <w:tc>
          <w:tcPr>
            <w:tcW w:w="3262" w:type="dxa"/>
          </w:tcPr>
          <w:p>
            <w:pPr>
              <w:pStyle w:val="TableParagraph"/>
              <w:spacing w:line="250" w:lineRule="exact" w:before="1"/>
              <w:ind w:left="107"/>
              <w:rPr>
                <w:sz w:val="21"/>
              </w:rPr>
            </w:pPr>
            <w:r>
              <w:rPr>
                <w:spacing w:val="-1"/>
                <w:sz w:val="21"/>
              </w:rPr>
              <w:t>鸿佰科技股份有限公司</w:t>
            </w:r>
            <w:r>
              <w:rPr>
                <w:sz w:val="21"/>
              </w:rPr>
              <w:t>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pacing w:val="-1"/>
                <w:sz w:val="21"/>
              </w:rPr>
              <w:t>深圳精匠云创科技有限公司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z w:val="21"/>
              </w:rPr>
              <w:t>Likom</w:t>
            </w:r>
            <w:r>
              <w:rPr>
                <w:spacing w:val="-3"/>
                <w:sz w:val="21"/>
              </w:rPr>
              <w:t> </w:t>
            </w:r>
            <w:r>
              <w:rPr>
                <w:sz w:val="21"/>
              </w:rPr>
              <w:t>De Mexico S.A De</w:t>
            </w:r>
            <w:r>
              <w:rPr>
                <w:spacing w:val="-3"/>
                <w:sz w:val="21"/>
              </w:rPr>
              <w:t> </w:t>
            </w:r>
            <w:r>
              <w:rPr>
                <w:sz w:val="21"/>
              </w:rPr>
              <w:t>C.V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544" w:hRule="atLeast"/>
        </w:trPr>
        <w:tc>
          <w:tcPr>
            <w:tcW w:w="3262" w:type="dxa"/>
          </w:tcPr>
          <w:p>
            <w:pPr>
              <w:pStyle w:val="TableParagraph"/>
              <w:spacing w:before="1"/>
              <w:ind w:left="107"/>
              <w:rPr>
                <w:sz w:val="21"/>
              </w:rPr>
            </w:pPr>
            <w:r>
              <w:rPr>
                <w:sz w:val="21"/>
              </w:rPr>
              <w:t>深圳富联智能制造产业创新中心</w:t>
            </w:r>
          </w:p>
          <w:p>
            <w:pPr>
              <w:pStyle w:val="TableParagraph"/>
              <w:spacing w:line="252" w:lineRule="exact" w:before="2"/>
              <w:ind w:left="107"/>
              <w:rPr>
                <w:sz w:val="21"/>
              </w:rPr>
            </w:pPr>
            <w:r>
              <w:rPr>
                <w:spacing w:val="-1"/>
                <w:sz w:val="21"/>
              </w:rPr>
              <w:t>有限公司</w:t>
            </w:r>
            <w:r>
              <w:rPr>
                <w:sz w:val="21"/>
              </w:rPr>
              <w:t>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270" w:hRule="atLeast"/>
        </w:trPr>
        <w:tc>
          <w:tcPr>
            <w:tcW w:w="3262" w:type="dxa"/>
          </w:tcPr>
          <w:p>
            <w:pPr>
              <w:pStyle w:val="TableParagraph"/>
              <w:spacing w:line="250" w:lineRule="exact" w:before="1"/>
              <w:ind w:left="107"/>
              <w:rPr>
                <w:sz w:val="21"/>
              </w:rPr>
            </w:pPr>
            <w:r>
              <w:rPr>
                <w:spacing w:val="-1"/>
                <w:sz w:val="21"/>
              </w:rPr>
              <w:t>富联鸿智汇科技(深圳)有限公司</w:t>
            </w:r>
            <w:r>
              <w:rPr>
                <w:sz w:val="21"/>
              </w:rPr>
              <w:t>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是 </w:t>
            </w:r>
          </w:p>
        </w:tc>
      </w:tr>
      <w:tr>
        <w:trPr>
          <w:trHeight w:val="544" w:hRule="atLeast"/>
        </w:trPr>
        <w:tc>
          <w:tcPr>
            <w:tcW w:w="3262" w:type="dxa"/>
          </w:tcPr>
          <w:p>
            <w:pPr>
              <w:pStyle w:val="TableParagraph"/>
              <w:spacing w:before="1"/>
              <w:ind w:left="107"/>
              <w:rPr>
                <w:sz w:val="21"/>
              </w:rPr>
            </w:pPr>
            <w:r>
              <w:rPr>
                <w:sz w:val="21"/>
              </w:rPr>
              <w:t>富联富甲智创(深圳)科技有限公</w:t>
            </w:r>
          </w:p>
          <w:p>
            <w:pPr>
              <w:pStyle w:val="TableParagraph"/>
              <w:spacing w:line="250" w:lineRule="exact" w:before="4"/>
              <w:ind w:left="107"/>
              <w:rPr>
                <w:sz w:val="21"/>
              </w:rPr>
            </w:pPr>
            <w:r>
              <w:rPr>
                <w:sz w:val="21"/>
              </w:rPr>
              <w:t>司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273" w:hRule="atLeast"/>
        </w:trPr>
        <w:tc>
          <w:tcPr>
            <w:tcW w:w="3262" w:type="dxa"/>
          </w:tcPr>
          <w:p>
            <w:pPr>
              <w:pStyle w:val="TableParagraph"/>
              <w:spacing w:line="250" w:lineRule="exact" w:before="3"/>
              <w:ind w:left="107"/>
              <w:rPr>
                <w:sz w:val="21"/>
              </w:rPr>
            </w:pPr>
            <w:r>
              <w:rPr>
                <w:spacing w:val="-1"/>
                <w:sz w:val="21"/>
              </w:rPr>
              <w:t>富联富集云(深圳)科技有限公司</w:t>
            </w:r>
            <w:r>
              <w:rPr>
                <w:sz w:val="21"/>
              </w:rPr>
              <w:t> </w:t>
            </w:r>
          </w:p>
        </w:tc>
        <w:tc>
          <w:tcPr>
            <w:tcW w:w="2674" w:type="dxa"/>
          </w:tcPr>
          <w:p>
            <w:pPr>
              <w:pStyle w:val="TableParagraph"/>
              <w:spacing w:line="250" w:lineRule="exact" w:before="3"/>
              <w:ind w:left="107"/>
              <w:rPr>
                <w:sz w:val="21"/>
              </w:rPr>
            </w:pPr>
            <w:r>
              <w:rPr>
                <w:sz w:val="21"/>
              </w:rPr>
              <w:t>是 </w:t>
            </w:r>
          </w:p>
        </w:tc>
        <w:tc>
          <w:tcPr>
            <w:tcW w:w="2674" w:type="dxa"/>
          </w:tcPr>
          <w:p>
            <w:pPr>
              <w:pStyle w:val="TableParagraph"/>
              <w:spacing w:line="250" w:lineRule="exact" w:before="3"/>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pacing w:val="-1"/>
                <w:sz w:val="21"/>
              </w:rPr>
              <w:t>富联统合电子(海宁)有限公司</w:t>
            </w:r>
            <w:r>
              <w:rPr>
                <w:sz w:val="21"/>
              </w:rPr>
              <w:t>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270" w:hRule="atLeast"/>
        </w:trPr>
        <w:tc>
          <w:tcPr>
            <w:tcW w:w="3262" w:type="dxa"/>
          </w:tcPr>
          <w:p>
            <w:pPr>
              <w:pStyle w:val="TableParagraph"/>
              <w:spacing w:line="250" w:lineRule="exact" w:before="1"/>
              <w:ind w:left="107"/>
              <w:rPr>
                <w:sz w:val="21"/>
              </w:rPr>
            </w:pPr>
            <w:r>
              <w:rPr>
                <w:spacing w:val="-1"/>
                <w:sz w:val="21"/>
              </w:rPr>
              <w:t>富联智能工坊(郑州)有限公司</w:t>
            </w:r>
            <w:r>
              <w:rPr>
                <w:sz w:val="21"/>
              </w:rPr>
              <w:t>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pacing w:val="-1"/>
                <w:sz w:val="21"/>
              </w:rPr>
              <w:t>富联科技(兰考)有限公司</w:t>
            </w:r>
            <w:r>
              <w:rPr>
                <w:sz w:val="21"/>
              </w:rPr>
              <w:t>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z w:val="21"/>
              </w:rPr>
              <w:t>FII</w:t>
            </w:r>
            <w:r>
              <w:rPr>
                <w:spacing w:val="-1"/>
                <w:sz w:val="21"/>
              </w:rPr>
              <w:t> </w:t>
            </w:r>
            <w:r>
              <w:rPr>
                <w:sz w:val="21"/>
              </w:rPr>
              <w:t>USA</w:t>
            </w:r>
            <w:r>
              <w:rPr>
                <w:spacing w:val="-1"/>
                <w:sz w:val="21"/>
              </w:rPr>
              <w:t> </w:t>
            </w:r>
            <w:r>
              <w:rPr>
                <w:sz w:val="21"/>
              </w:rPr>
              <w:t>Inc.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bl>
    <w:p>
      <w:pPr>
        <w:spacing w:after="0" w:line="252" w:lineRule="exact"/>
        <w:rPr>
          <w:sz w:val="21"/>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2"/>
        <w:gridCol w:w="2674"/>
        <w:gridCol w:w="2674"/>
      </w:tblGrid>
      <w:tr>
        <w:trPr>
          <w:trHeight w:val="273" w:hRule="atLeast"/>
        </w:trPr>
        <w:tc>
          <w:tcPr>
            <w:tcW w:w="3262" w:type="dxa"/>
          </w:tcPr>
          <w:p>
            <w:pPr>
              <w:pStyle w:val="TableParagraph"/>
              <w:spacing w:line="250" w:lineRule="exact" w:before="3"/>
              <w:ind w:left="107"/>
              <w:rPr>
                <w:sz w:val="21"/>
              </w:rPr>
            </w:pPr>
            <w:r>
              <w:rPr>
                <w:sz w:val="21"/>
              </w:rPr>
              <w:t>ICSA,</w:t>
            </w:r>
            <w:r>
              <w:rPr>
                <w:spacing w:val="-1"/>
                <w:sz w:val="21"/>
              </w:rPr>
              <w:t> </w:t>
            </w:r>
            <w:r>
              <w:rPr>
                <w:sz w:val="21"/>
              </w:rPr>
              <w:t>Inc. </w:t>
            </w:r>
          </w:p>
        </w:tc>
        <w:tc>
          <w:tcPr>
            <w:tcW w:w="2674" w:type="dxa"/>
          </w:tcPr>
          <w:p>
            <w:pPr>
              <w:pStyle w:val="TableParagraph"/>
              <w:spacing w:line="250" w:lineRule="exact" w:before="3"/>
              <w:ind w:left="107"/>
              <w:rPr>
                <w:sz w:val="21"/>
              </w:rPr>
            </w:pPr>
            <w:r>
              <w:rPr>
                <w:sz w:val="21"/>
              </w:rPr>
              <w:t>是 </w:t>
            </w:r>
          </w:p>
        </w:tc>
        <w:tc>
          <w:tcPr>
            <w:tcW w:w="2674" w:type="dxa"/>
          </w:tcPr>
          <w:p>
            <w:pPr>
              <w:pStyle w:val="TableParagraph"/>
              <w:spacing w:line="250" w:lineRule="exact" w:before="3"/>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pacing w:val="-1"/>
                <w:sz w:val="21"/>
              </w:rPr>
              <w:t>富联智能工坊(太原)有限公司</w:t>
            </w:r>
            <w:r>
              <w:rPr>
                <w:sz w:val="21"/>
              </w:rPr>
              <w:t>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270" w:hRule="atLeast"/>
        </w:trPr>
        <w:tc>
          <w:tcPr>
            <w:tcW w:w="3262" w:type="dxa"/>
          </w:tcPr>
          <w:p>
            <w:pPr>
              <w:pStyle w:val="TableParagraph"/>
              <w:spacing w:line="250" w:lineRule="exact" w:before="1"/>
              <w:ind w:left="107"/>
              <w:rPr>
                <w:sz w:val="21"/>
              </w:rPr>
            </w:pPr>
            <w:r>
              <w:rPr>
                <w:spacing w:val="-1"/>
                <w:sz w:val="21"/>
              </w:rPr>
              <w:t>晋城鸿硕智能科技有限公司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是 </w:t>
            </w:r>
          </w:p>
        </w:tc>
      </w:tr>
      <w:tr>
        <w:trPr>
          <w:trHeight w:val="544" w:hRule="atLeast"/>
        </w:trPr>
        <w:tc>
          <w:tcPr>
            <w:tcW w:w="3262" w:type="dxa"/>
          </w:tcPr>
          <w:p>
            <w:pPr>
              <w:pStyle w:val="TableParagraph"/>
              <w:spacing w:line="270" w:lineRule="atLeast"/>
              <w:ind w:left="107" w:right="197"/>
              <w:rPr>
                <w:sz w:val="21"/>
              </w:rPr>
            </w:pPr>
            <w:r>
              <w:rPr>
                <w:sz w:val="21"/>
              </w:rPr>
              <w:t>深圳智造谷工业互联网创新中心有限公司 </w:t>
            </w:r>
          </w:p>
        </w:tc>
        <w:tc>
          <w:tcPr>
            <w:tcW w:w="2674" w:type="dxa"/>
          </w:tcPr>
          <w:p>
            <w:pPr>
              <w:pStyle w:val="TableParagraph"/>
              <w:spacing w:before="3"/>
              <w:ind w:left="107"/>
              <w:rPr>
                <w:sz w:val="21"/>
              </w:rPr>
            </w:pPr>
            <w:r>
              <w:rPr>
                <w:sz w:val="21"/>
              </w:rPr>
              <w:t>是 </w:t>
            </w:r>
          </w:p>
        </w:tc>
        <w:tc>
          <w:tcPr>
            <w:tcW w:w="2674" w:type="dxa"/>
          </w:tcPr>
          <w:p>
            <w:pPr>
              <w:pStyle w:val="TableParagraph"/>
              <w:spacing w:before="3"/>
              <w:ind w:left="105"/>
              <w:rPr>
                <w:sz w:val="21"/>
              </w:rPr>
            </w:pPr>
            <w:r>
              <w:rPr>
                <w:sz w:val="21"/>
              </w:rPr>
              <w:t>是 </w:t>
            </w:r>
          </w:p>
        </w:tc>
      </w:tr>
      <w:tr>
        <w:trPr>
          <w:trHeight w:val="546" w:hRule="atLeast"/>
        </w:trPr>
        <w:tc>
          <w:tcPr>
            <w:tcW w:w="3262" w:type="dxa"/>
          </w:tcPr>
          <w:p>
            <w:pPr>
              <w:pStyle w:val="TableParagraph"/>
              <w:spacing w:line="270" w:lineRule="atLeast"/>
              <w:ind w:left="107" w:right="197"/>
              <w:rPr>
                <w:sz w:val="21"/>
              </w:rPr>
            </w:pPr>
            <w:r>
              <w:rPr>
                <w:sz w:val="21"/>
              </w:rPr>
              <w:t>晋城鸿智纳米光机电研究院有限公司 </w:t>
            </w:r>
          </w:p>
        </w:tc>
        <w:tc>
          <w:tcPr>
            <w:tcW w:w="2674" w:type="dxa"/>
          </w:tcPr>
          <w:p>
            <w:pPr>
              <w:pStyle w:val="TableParagraph"/>
              <w:spacing w:before="3"/>
              <w:ind w:left="107"/>
              <w:rPr>
                <w:sz w:val="21"/>
              </w:rPr>
            </w:pPr>
            <w:r>
              <w:rPr>
                <w:sz w:val="21"/>
              </w:rPr>
              <w:t>是 </w:t>
            </w:r>
          </w:p>
        </w:tc>
        <w:tc>
          <w:tcPr>
            <w:tcW w:w="2674" w:type="dxa"/>
          </w:tcPr>
          <w:p>
            <w:pPr>
              <w:pStyle w:val="TableParagraph"/>
              <w:spacing w:before="3"/>
              <w:ind w:left="105"/>
              <w:rPr>
                <w:sz w:val="21"/>
              </w:rPr>
            </w:pPr>
            <w:r>
              <w:rPr>
                <w:sz w:val="21"/>
              </w:rPr>
              <w:t>是 </w:t>
            </w:r>
          </w:p>
        </w:tc>
      </w:tr>
      <w:tr>
        <w:trPr>
          <w:trHeight w:val="544" w:hRule="atLeast"/>
        </w:trPr>
        <w:tc>
          <w:tcPr>
            <w:tcW w:w="3262" w:type="dxa"/>
          </w:tcPr>
          <w:p>
            <w:pPr>
              <w:pStyle w:val="TableParagraph"/>
              <w:spacing w:before="1"/>
              <w:ind w:left="107"/>
              <w:rPr>
                <w:sz w:val="21"/>
              </w:rPr>
            </w:pPr>
            <w:r>
              <w:rPr>
                <w:sz w:val="21"/>
              </w:rPr>
              <w:t>晋城富士康智能制造职业培训学</w:t>
            </w:r>
          </w:p>
          <w:p>
            <w:pPr>
              <w:pStyle w:val="TableParagraph"/>
              <w:spacing w:line="252" w:lineRule="exact" w:before="2"/>
              <w:ind w:left="107"/>
              <w:rPr>
                <w:sz w:val="21"/>
              </w:rPr>
            </w:pPr>
            <w:r>
              <w:rPr>
                <w:sz w:val="21"/>
              </w:rPr>
              <w:t>校有限公司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815" w:hRule="atLeast"/>
        </w:trPr>
        <w:tc>
          <w:tcPr>
            <w:tcW w:w="3262" w:type="dxa"/>
          </w:tcPr>
          <w:p>
            <w:pPr>
              <w:pStyle w:val="TableParagraph"/>
              <w:spacing w:line="242" w:lineRule="auto" w:before="1"/>
              <w:ind w:left="107" w:right="93"/>
              <w:rPr>
                <w:sz w:val="21"/>
              </w:rPr>
            </w:pPr>
            <w:r>
              <w:rPr>
                <w:sz w:val="21"/>
              </w:rPr>
              <w:t>工业富联(福建)数字科技有限公司(原名：富智造(福建)数字科技</w:t>
            </w:r>
          </w:p>
          <w:p>
            <w:pPr>
              <w:pStyle w:val="TableParagraph"/>
              <w:spacing w:line="250" w:lineRule="exact" w:before="1"/>
              <w:ind w:left="107"/>
              <w:rPr>
                <w:sz w:val="21"/>
              </w:rPr>
            </w:pPr>
            <w:r>
              <w:rPr>
                <w:spacing w:val="-1"/>
                <w:sz w:val="21"/>
              </w:rPr>
              <w:t>有限公司)</w:t>
            </w:r>
            <w:r>
              <w:rPr>
                <w:sz w:val="21"/>
              </w:rPr>
              <w:t>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545" w:hRule="atLeast"/>
        </w:trPr>
        <w:tc>
          <w:tcPr>
            <w:tcW w:w="3262" w:type="dxa"/>
          </w:tcPr>
          <w:p>
            <w:pPr>
              <w:pStyle w:val="TableParagraph"/>
              <w:spacing w:before="1"/>
              <w:ind w:left="107"/>
              <w:rPr>
                <w:sz w:val="21"/>
              </w:rPr>
            </w:pPr>
            <w:r>
              <w:rPr>
                <w:sz w:val="21"/>
              </w:rPr>
              <w:t>工业富联(杭州)数据科技有限公</w:t>
            </w:r>
          </w:p>
          <w:p>
            <w:pPr>
              <w:pStyle w:val="TableParagraph"/>
              <w:spacing w:line="250" w:lineRule="exact" w:before="5"/>
              <w:ind w:left="107"/>
              <w:rPr>
                <w:sz w:val="21"/>
              </w:rPr>
            </w:pPr>
            <w:r>
              <w:rPr>
                <w:sz w:val="21"/>
              </w:rPr>
              <w:t>司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273" w:hRule="atLeast"/>
        </w:trPr>
        <w:tc>
          <w:tcPr>
            <w:tcW w:w="3262" w:type="dxa"/>
          </w:tcPr>
          <w:p>
            <w:pPr>
              <w:pStyle w:val="TableParagraph"/>
              <w:spacing w:line="250" w:lineRule="exact" w:before="3"/>
              <w:ind w:left="107"/>
              <w:rPr>
                <w:sz w:val="21"/>
              </w:rPr>
            </w:pPr>
            <w:r>
              <w:rPr>
                <w:spacing w:val="-1"/>
                <w:sz w:val="21"/>
              </w:rPr>
              <w:t>富裕精密组件有限公司</w:t>
            </w:r>
            <w:r>
              <w:rPr>
                <w:sz w:val="21"/>
              </w:rPr>
              <w:t> </w:t>
            </w:r>
          </w:p>
        </w:tc>
        <w:tc>
          <w:tcPr>
            <w:tcW w:w="2674" w:type="dxa"/>
          </w:tcPr>
          <w:p>
            <w:pPr>
              <w:pStyle w:val="TableParagraph"/>
              <w:spacing w:line="250" w:lineRule="exact" w:before="3"/>
              <w:ind w:left="107"/>
              <w:rPr>
                <w:sz w:val="21"/>
              </w:rPr>
            </w:pPr>
            <w:r>
              <w:rPr>
                <w:sz w:val="21"/>
              </w:rPr>
              <w:t>是 </w:t>
            </w:r>
          </w:p>
        </w:tc>
        <w:tc>
          <w:tcPr>
            <w:tcW w:w="2674" w:type="dxa"/>
          </w:tcPr>
          <w:p>
            <w:pPr>
              <w:pStyle w:val="TableParagraph"/>
              <w:spacing w:line="250" w:lineRule="exact" w:before="3"/>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pacing w:val="-1"/>
                <w:sz w:val="21"/>
              </w:rPr>
              <w:t>工业富联衡阳智造谷有限公司</w:t>
            </w:r>
            <w:r>
              <w:rPr>
                <w:sz w:val="21"/>
              </w:rPr>
              <w:t>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270" w:hRule="atLeast"/>
        </w:trPr>
        <w:tc>
          <w:tcPr>
            <w:tcW w:w="3262" w:type="dxa"/>
          </w:tcPr>
          <w:p>
            <w:pPr>
              <w:pStyle w:val="TableParagraph"/>
              <w:spacing w:line="250" w:lineRule="exact" w:before="1"/>
              <w:ind w:left="107"/>
              <w:rPr>
                <w:sz w:val="21"/>
              </w:rPr>
            </w:pPr>
            <w:r>
              <w:rPr>
                <w:sz w:val="21"/>
              </w:rPr>
              <w:t>Vault</w:t>
            </w:r>
            <w:r>
              <w:rPr>
                <w:spacing w:val="-3"/>
                <w:sz w:val="21"/>
              </w:rPr>
              <w:t> </w:t>
            </w:r>
            <w:r>
              <w:rPr>
                <w:sz w:val="21"/>
              </w:rPr>
              <w:t>DX s.r.o.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是 </w:t>
            </w:r>
          </w:p>
        </w:tc>
      </w:tr>
      <w:tr>
        <w:trPr>
          <w:trHeight w:val="273" w:hRule="atLeast"/>
        </w:trPr>
        <w:tc>
          <w:tcPr>
            <w:tcW w:w="3262" w:type="dxa"/>
          </w:tcPr>
          <w:p>
            <w:pPr>
              <w:pStyle w:val="TableParagraph"/>
              <w:spacing w:line="250" w:lineRule="exact" w:before="3"/>
              <w:ind w:left="107"/>
              <w:rPr>
                <w:sz w:val="21"/>
              </w:rPr>
            </w:pPr>
            <w:r>
              <w:rPr>
                <w:sz w:val="21"/>
              </w:rPr>
              <w:t>Safe</w:t>
            </w:r>
            <w:r>
              <w:rPr>
                <w:spacing w:val="-1"/>
                <w:sz w:val="21"/>
              </w:rPr>
              <w:t> </w:t>
            </w:r>
            <w:r>
              <w:rPr>
                <w:sz w:val="21"/>
              </w:rPr>
              <w:t>DX s.r.o </w:t>
            </w:r>
          </w:p>
        </w:tc>
        <w:tc>
          <w:tcPr>
            <w:tcW w:w="2674" w:type="dxa"/>
          </w:tcPr>
          <w:p>
            <w:pPr>
              <w:pStyle w:val="TableParagraph"/>
              <w:spacing w:line="250" w:lineRule="exact" w:before="3"/>
              <w:ind w:left="107"/>
              <w:rPr>
                <w:sz w:val="21"/>
              </w:rPr>
            </w:pPr>
            <w:r>
              <w:rPr>
                <w:sz w:val="21"/>
              </w:rPr>
              <w:t>是 </w:t>
            </w:r>
          </w:p>
        </w:tc>
        <w:tc>
          <w:tcPr>
            <w:tcW w:w="2674" w:type="dxa"/>
          </w:tcPr>
          <w:p>
            <w:pPr>
              <w:pStyle w:val="TableParagraph"/>
              <w:spacing w:line="250" w:lineRule="exact" w:before="3"/>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z w:val="21"/>
              </w:rPr>
              <w:t>LEAPSY</w:t>
            </w:r>
            <w:r>
              <w:rPr>
                <w:spacing w:val="-2"/>
                <w:sz w:val="21"/>
              </w:rPr>
              <w:t> </w:t>
            </w:r>
            <w:r>
              <w:rPr>
                <w:sz w:val="21"/>
              </w:rPr>
              <w:t>INTERNATIONAL</w:t>
            </w:r>
            <w:r>
              <w:rPr>
                <w:spacing w:val="-1"/>
                <w:sz w:val="21"/>
              </w:rPr>
              <w:t> </w:t>
            </w:r>
            <w:r>
              <w:rPr>
                <w:sz w:val="21"/>
              </w:rPr>
              <w:t>LTD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270" w:hRule="atLeast"/>
        </w:trPr>
        <w:tc>
          <w:tcPr>
            <w:tcW w:w="3262" w:type="dxa"/>
          </w:tcPr>
          <w:p>
            <w:pPr>
              <w:pStyle w:val="TableParagraph"/>
              <w:spacing w:line="250" w:lineRule="exact" w:before="1"/>
              <w:ind w:left="107"/>
              <w:rPr>
                <w:sz w:val="21"/>
              </w:rPr>
            </w:pPr>
            <w:r>
              <w:rPr>
                <w:spacing w:val="-1"/>
                <w:sz w:val="21"/>
              </w:rPr>
              <w:t>深圳宇博先进科技有限公司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pacing w:val="-1"/>
                <w:sz w:val="21"/>
              </w:rPr>
              <w:t>工业富联佛山智造谷有限公司</w:t>
            </w:r>
            <w:r>
              <w:rPr>
                <w:sz w:val="21"/>
              </w:rPr>
              <w:t>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pacing w:val="-1"/>
                <w:sz w:val="21"/>
              </w:rPr>
              <w:t>深圳市富联凌云光科技有限公司</w:t>
            </w:r>
            <w:r>
              <w:rPr>
                <w:sz w:val="21"/>
              </w:rPr>
              <w:t>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544" w:hRule="atLeast"/>
        </w:trPr>
        <w:tc>
          <w:tcPr>
            <w:tcW w:w="3262" w:type="dxa"/>
          </w:tcPr>
          <w:p>
            <w:pPr>
              <w:pStyle w:val="TableParagraph"/>
              <w:spacing w:before="1"/>
              <w:ind w:left="107"/>
              <w:rPr>
                <w:sz w:val="21"/>
              </w:rPr>
            </w:pPr>
            <w:r>
              <w:rPr>
                <w:sz w:val="21"/>
              </w:rPr>
              <w:t>富联云计算(天津)有限公司(原</w:t>
            </w:r>
          </w:p>
          <w:p>
            <w:pPr>
              <w:pStyle w:val="TableParagraph"/>
              <w:spacing w:line="252" w:lineRule="exact" w:before="2"/>
              <w:ind w:left="107" w:right="-15"/>
              <w:rPr>
                <w:sz w:val="21"/>
              </w:rPr>
            </w:pPr>
            <w:r>
              <w:rPr>
                <w:spacing w:val="-1"/>
                <w:sz w:val="21"/>
              </w:rPr>
              <w:t>名：富鸿云计算(天津)有限公司)</w:t>
            </w:r>
            <w:r>
              <w:rPr>
                <w:sz w:val="21"/>
              </w:rPr>
              <w:t>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815" w:hRule="atLeast"/>
        </w:trPr>
        <w:tc>
          <w:tcPr>
            <w:tcW w:w="3262" w:type="dxa"/>
          </w:tcPr>
          <w:p>
            <w:pPr>
              <w:pStyle w:val="TableParagraph"/>
              <w:spacing w:line="242" w:lineRule="auto" w:before="1"/>
              <w:ind w:left="107" w:right="93"/>
              <w:rPr>
                <w:sz w:val="21"/>
              </w:rPr>
            </w:pPr>
            <w:r>
              <w:rPr>
                <w:sz w:val="21"/>
              </w:rPr>
              <w:t>工业富联(佛山)产业示范基地有限公司(原名：佛山智造谷产业示</w:t>
            </w:r>
          </w:p>
          <w:p>
            <w:pPr>
              <w:pStyle w:val="TableParagraph"/>
              <w:spacing w:line="250" w:lineRule="exact" w:before="1"/>
              <w:ind w:left="107"/>
              <w:rPr>
                <w:sz w:val="21"/>
              </w:rPr>
            </w:pPr>
            <w:r>
              <w:rPr>
                <w:spacing w:val="-1"/>
                <w:sz w:val="21"/>
              </w:rPr>
              <w:t>范基地有限公司)</w:t>
            </w:r>
            <w:r>
              <w:rPr>
                <w:sz w:val="21"/>
              </w:rPr>
              <w:t>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818" w:hRule="atLeast"/>
        </w:trPr>
        <w:tc>
          <w:tcPr>
            <w:tcW w:w="3262" w:type="dxa"/>
          </w:tcPr>
          <w:p>
            <w:pPr>
              <w:pStyle w:val="TableParagraph"/>
              <w:spacing w:before="1"/>
              <w:ind w:left="107"/>
              <w:rPr>
                <w:sz w:val="21"/>
              </w:rPr>
            </w:pPr>
            <w:r>
              <w:rPr>
                <w:sz w:val="21"/>
              </w:rPr>
              <w:t>工业富联(佛山)创新中心有限公</w:t>
            </w:r>
          </w:p>
          <w:p>
            <w:pPr>
              <w:pStyle w:val="TableParagraph"/>
              <w:spacing w:line="270" w:lineRule="atLeast"/>
              <w:ind w:left="107" w:right="93"/>
              <w:rPr>
                <w:sz w:val="21"/>
              </w:rPr>
            </w:pPr>
            <w:r>
              <w:rPr>
                <w:sz w:val="21"/>
              </w:rPr>
              <w:t>司(原名：佛山智造谷创新中心有限公司)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815" w:hRule="atLeast"/>
        </w:trPr>
        <w:tc>
          <w:tcPr>
            <w:tcW w:w="3262" w:type="dxa"/>
          </w:tcPr>
          <w:p>
            <w:pPr>
              <w:pStyle w:val="TableParagraph"/>
              <w:spacing w:before="1"/>
              <w:ind w:left="107"/>
              <w:rPr>
                <w:sz w:val="21"/>
              </w:rPr>
            </w:pPr>
            <w:r>
              <w:rPr>
                <w:spacing w:val="-1"/>
                <w:sz w:val="21"/>
              </w:rPr>
              <w:t>富联裕展科技(衡阳)有限公司(原</w:t>
            </w:r>
          </w:p>
          <w:p>
            <w:pPr>
              <w:pStyle w:val="TableParagraph"/>
              <w:spacing w:line="270" w:lineRule="atLeast"/>
              <w:ind w:left="107" w:right="197"/>
              <w:rPr>
                <w:sz w:val="21"/>
              </w:rPr>
            </w:pPr>
            <w:r>
              <w:rPr>
                <w:sz w:val="21"/>
              </w:rPr>
              <w:t>名：衡阳市裕展精密科技有限公司)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273" w:hRule="atLeast"/>
        </w:trPr>
        <w:tc>
          <w:tcPr>
            <w:tcW w:w="3262" w:type="dxa"/>
          </w:tcPr>
          <w:p>
            <w:pPr>
              <w:pStyle w:val="TableParagraph"/>
              <w:spacing w:line="250" w:lineRule="exact" w:before="3"/>
              <w:ind w:left="107"/>
              <w:rPr>
                <w:sz w:val="21"/>
              </w:rPr>
            </w:pPr>
            <w:r>
              <w:rPr>
                <w:spacing w:val="-1"/>
                <w:sz w:val="21"/>
              </w:rPr>
              <w:t>富联科技(周口)有限公司</w:t>
            </w:r>
            <w:r>
              <w:rPr>
                <w:sz w:val="21"/>
              </w:rPr>
              <w:t> </w:t>
            </w:r>
          </w:p>
        </w:tc>
        <w:tc>
          <w:tcPr>
            <w:tcW w:w="2674" w:type="dxa"/>
          </w:tcPr>
          <w:p>
            <w:pPr>
              <w:pStyle w:val="TableParagraph"/>
              <w:spacing w:line="250" w:lineRule="exact" w:before="3"/>
              <w:ind w:left="107"/>
              <w:rPr>
                <w:sz w:val="21"/>
              </w:rPr>
            </w:pPr>
            <w:r>
              <w:rPr>
                <w:sz w:val="21"/>
              </w:rPr>
              <w:t>是 </w:t>
            </w:r>
          </w:p>
        </w:tc>
        <w:tc>
          <w:tcPr>
            <w:tcW w:w="2674" w:type="dxa"/>
          </w:tcPr>
          <w:p>
            <w:pPr>
              <w:pStyle w:val="TableParagraph"/>
              <w:spacing w:line="250" w:lineRule="exact" w:before="3"/>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pacing w:val="-1"/>
                <w:sz w:val="21"/>
              </w:rPr>
              <w:t>宇博先进科技股份有限公司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是 </w:t>
            </w:r>
          </w:p>
        </w:tc>
      </w:tr>
      <w:tr>
        <w:trPr>
          <w:trHeight w:val="544" w:hRule="atLeast"/>
        </w:trPr>
        <w:tc>
          <w:tcPr>
            <w:tcW w:w="3262" w:type="dxa"/>
          </w:tcPr>
          <w:p>
            <w:pPr>
              <w:pStyle w:val="TableParagraph"/>
              <w:spacing w:before="1"/>
              <w:ind w:left="107"/>
              <w:rPr>
                <w:sz w:val="21"/>
              </w:rPr>
            </w:pPr>
            <w:r>
              <w:rPr>
                <w:sz w:val="21"/>
              </w:rPr>
              <w:t>衡阳智造谷职业培训学校有限公</w:t>
            </w:r>
          </w:p>
          <w:p>
            <w:pPr>
              <w:pStyle w:val="TableParagraph"/>
              <w:spacing w:line="252" w:lineRule="exact" w:before="2"/>
              <w:ind w:left="107"/>
              <w:rPr>
                <w:sz w:val="21"/>
              </w:rPr>
            </w:pPr>
            <w:r>
              <w:rPr>
                <w:sz w:val="21"/>
              </w:rPr>
              <w:t>司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544" w:hRule="atLeast"/>
        </w:trPr>
        <w:tc>
          <w:tcPr>
            <w:tcW w:w="3262" w:type="dxa"/>
          </w:tcPr>
          <w:p>
            <w:pPr>
              <w:pStyle w:val="TableParagraph"/>
              <w:spacing w:before="1"/>
              <w:ind w:left="107"/>
              <w:rPr>
                <w:sz w:val="21"/>
              </w:rPr>
            </w:pPr>
            <w:r>
              <w:rPr>
                <w:sz w:val="21"/>
              </w:rPr>
              <w:t>Ingrasys</w:t>
            </w:r>
            <w:r>
              <w:rPr>
                <w:spacing w:val="-1"/>
                <w:sz w:val="21"/>
              </w:rPr>
              <w:t> </w:t>
            </w:r>
            <w:r>
              <w:rPr>
                <w:sz w:val="21"/>
              </w:rPr>
              <w:t>Technology</w:t>
            </w:r>
            <w:r>
              <w:rPr>
                <w:spacing w:val="-1"/>
                <w:sz w:val="21"/>
              </w:rPr>
              <w:t> </w:t>
            </w:r>
            <w:r>
              <w:rPr>
                <w:sz w:val="21"/>
              </w:rPr>
              <w:t>Mexico   </w:t>
            </w:r>
          </w:p>
          <w:p>
            <w:pPr>
              <w:pStyle w:val="TableParagraph"/>
              <w:spacing w:line="250" w:lineRule="exact" w:before="4"/>
              <w:ind w:left="107"/>
              <w:rPr>
                <w:sz w:val="21"/>
              </w:rPr>
            </w:pPr>
            <w:r>
              <w:rPr>
                <w:sz w:val="21"/>
              </w:rPr>
              <w:t>S.A.</w:t>
            </w:r>
            <w:r>
              <w:rPr>
                <w:spacing w:val="-1"/>
                <w:sz w:val="21"/>
              </w:rPr>
              <w:t> </w:t>
            </w:r>
            <w:r>
              <w:rPr>
                <w:sz w:val="21"/>
              </w:rPr>
              <w:t>de</w:t>
            </w:r>
            <w:r>
              <w:rPr>
                <w:spacing w:val="-1"/>
                <w:sz w:val="21"/>
              </w:rPr>
              <w:t> </w:t>
            </w:r>
            <w:r>
              <w:rPr>
                <w:sz w:val="21"/>
              </w:rPr>
              <w:t>C.V.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544" w:hRule="atLeast"/>
        </w:trPr>
        <w:tc>
          <w:tcPr>
            <w:tcW w:w="3262" w:type="dxa"/>
          </w:tcPr>
          <w:p>
            <w:pPr>
              <w:pStyle w:val="TableParagraph"/>
              <w:spacing w:before="1"/>
              <w:ind w:left="107"/>
              <w:rPr>
                <w:sz w:val="21"/>
              </w:rPr>
            </w:pPr>
            <w:r>
              <w:rPr>
                <w:sz w:val="21"/>
              </w:rPr>
              <w:t>Foxconn</w:t>
            </w:r>
            <w:r>
              <w:rPr>
                <w:spacing w:val="-1"/>
                <w:sz w:val="21"/>
              </w:rPr>
              <w:t> </w:t>
            </w:r>
            <w:r>
              <w:rPr>
                <w:sz w:val="21"/>
              </w:rPr>
              <w:t>Technology</w:t>
            </w:r>
            <w:r>
              <w:rPr>
                <w:spacing w:val="-1"/>
                <w:sz w:val="21"/>
              </w:rPr>
              <w:t> </w:t>
            </w:r>
            <w:r>
              <w:rPr>
                <w:sz w:val="21"/>
              </w:rPr>
              <w:t>Service   </w:t>
            </w:r>
          </w:p>
          <w:p>
            <w:pPr>
              <w:pStyle w:val="TableParagraph"/>
              <w:spacing w:line="250" w:lineRule="exact" w:before="5"/>
              <w:ind w:left="107"/>
              <w:rPr>
                <w:sz w:val="21"/>
              </w:rPr>
            </w:pPr>
            <w:r>
              <w:rPr>
                <w:sz w:val="21"/>
              </w:rPr>
              <w:t>and Logistics</w:t>
            </w:r>
            <w:r>
              <w:rPr>
                <w:spacing w:val="-3"/>
                <w:sz w:val="21"/>
              </w:rPr>
              <w:t> </w:t>
            </w:r>
            <w:r>
              <w:rPr>
                <w:sz w:val="21"/>
              </w:rPr>
              <w:t>Limited </w:t>
            </w:r>
          </w:p>
        </w:tc>
        <w:tc>
          <w:tcPr>
            <w:tcW w:w="2674" w:type="dxa"/>
          </w:tcPr>
          <w:p>
            <w:pPr>
              <w:pStyle w:val="TableParagraph"/>
              <w:spacing w:before="1"/>
              <w:ind w:left="107"/>
              <w:rPr>
                <w:sz w:val="21"/>
              </w:rPr>
            </w:pPr>
            <w:r>
              <w:rPr>
                <w:sz w:val="21"/>
              </w:rPr>
              <w:t>是 </w:t>
            </w:r>
          </w:p>
        </w:tc>
        <w:tc>
          <w:tcPr>
            <w:tcW w:w="2674" w:type="dxa"/>
          </w:tcPr>
          <w:p>
            <w:pPr>
              <w:pStyle w:val="TableParagraph"/>
              <w:spacing w:before="1"/>
              <w:ind w:left="105"/>
              <w:rPr>
                <w:sz w:val="21"/>
              </w:rPr>
            </w:pPr>
            <w:r>
              <w:rPr>
                <w:sz w:val="21"/>
              </w:rPr>
              <w:t>是 </w:t>
            </w:r>
          </w:p>
        </w:tc>
      </w:tr>
      <w:tr>
        <w:trPr>
          <w:trHeight w:val="273" w:hRule="atLeast"/>
        </w:trPr>
        <w:tc>
          <w:tcPr>
            <w:tcW w:w="3262" w:type="dxa"/>
          </w:tcPr>
          <w:p>
            <w:pPr>
              <w:pStyle w:val="TableParagraph"/>
              <w:spacing w:line="252" w:lineRule="exact" w:before="1"/>
              <w:ind w:left="107"/>
              <w:rPr>
                <w:sz w:val="21"/>
              </w:rPr>
            </w:pPr>
            <w:r>
              <w:rPr>
                <w:spacing w:val="-1"/>
                <w:sz w:val="21"/>
              </w:rPr>
              <w:t>富联精密科技(赣州)有限公司</w:t>
            </w:r>
            <w:r>
              <w:rPr>
                <w:sz w:val="21"/>
              </w:rPr>
              <w:t>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否 </w:t>
            </w:r>
          </w:p>
        </w:tc>
      </w:tr>
      <w:tr>
        <w:trPr>
          <w:trHeight w:val="270" w:hRule="atLeast"/>
        </w:trPr>
        <w:tc>
          <w:tcPr>
            <w:tcW w:w="3262" w:type="dxa"/>
          </w:tcPr>
          <w:p>
            <w:pPr>
              <w:pStyle w:val="TableParagraph"/>
              <w:spacing w:line="250" w:lineRule="exact" w:before="1"/>
              <w:ind w:left="107"/>
              <w:rPr>
                <w:sz w:val="21"/>
              </w:rPr>
            </w:pPr>
            <w:r>
              <w:rPr>
                <w:spacing w:val="-1"/>
                <w:sz w:val="21"/>
              </w:rPr>
              <w:t>深圳恒驱电机有限公司</w:t>
            </w:r>
            <w:r>
              <w:rPr>
                <w:sz w:val="21"/>
              </w:rPr>
              <w:t> </w:t>
            </w:r>
          </w:p>
        </w:tc>
        <w:tc>
          <w:tcPr>
            <w:tcW w:w="2674" w:type="dxa"/>
          </w:tcPr>
          <w:p>
            <w:pPr>
              <w:pStyle w:val="TableParagraph"/>
              <w:spacing w:line="250" w:lineRule="exact" w:before="1"/>
              <w:ind w:left="107"/>
              <w:rPr>
                <w:sz w:val="21"/>
              </w:rPr>
            </w:pPr>
            <w:r>
              <w:rPr>
                <w:sz w:val="21"/>
              </w:rPr>
              <w:t>是 </w:t>
            </w:r>
          </w:p>
        </w:tc>
        <w:tc>
          <w:tcPr>
            <w:tcW w:w="2674" w:type="dxa"/>
          </w:tcPr>
          <w:p>
            <w:pPr>
              <w:pStyle w:val="TableParagraph"/>
              <w:spacing w:line="250" w:lineRule="exact" w:before="1"/>
              <w:ind w:left="105"/>
              <w:rPr>
                <w:sz w:val="21"/>
              </w:rPr>
            </w:pPr>
            <w:r>
              <w:rPr>
                <w:sz w:val="21"/>
              </w:rPr>
              <w:t>否 </w:t>
            </w:r>
          </w:p>
        </w:tc>
      </w:tr>
      <w:tr>
        <w:trPr>
          <w:trHeight w:val="273" w:hRule="atLeast"/>
        </w:trPr>
        <w:tc>
          <w:tcPr>
            <w:tcW w:w="3262" w:type="dxa"/>
          </w:tcPr>
          <w:p>
            <w:pPr>
              <w:pStyle w:val="TableParagraph"/>
              <w:spacing w:line="250" w:lineRule="exact" w:before="3"/>
              <w:ind w:left="107"/>
              <w:rPr>
                <w:sz w:val="21"/>
              </w:rPr>
            </w:pPr>
            <w:r>
              <w:rPr>
                <w:spacing w:val="-1"/>
                <w:sz w:val="21"/>
              </w:rPr>
              <w:t>广东恒驱电机有限公司</w:t>
            </w:r>
            <w:r>
              <w:rPr>
                <w:sz w:val="21"/>
              </w:rPr>
              <w:t> </w:t>
            </w:r>
          </w:p>
        </w:tc>
        <w:tc>
          <w:tcPr>
            <w:tcW w:w="2674" w:type="dxa"/>
          </w:tcPr>
          <w:p>
            <w:pPr>
              <w:pStyle w:val="TableParagraph"/>
              <w:spacing w:line="250" w:lineRule="exact" w:before="3"/>
              <w:ind w:left="107"/>
              <w:rPr>
                <w:sz w:val="21"/>
              </w:rPr>
            </w:pPr>
            <w:r>
              <w:rPr>
                <w:sz w:val="21"/>
              </w:rPr>
              <w:t>是 </w:t>
            </w:r>
          </w:p>
        </w:tc>
        <w:tc>
          <w:tcPr>
            <w:tcW w:w="2674" w:type="dxa"/>
          </w:tcPr>
          <w:p>
            <w:pPr>
              <w:pStyle w:val="TableParagraph"/>
              <w:spacing w:line="250" w:lineRule="exact" w:before="3"/>
              <w:ind w:left="105"/>
              <w:rPr>
                <w:sz w:val="21"/>
              </w:rPr>
            </w:pPr>
            <w:r>
              <w:rPr>
                <w:sz w:val="21"/>
              </w:rPr>
              <w:t>否 </w:t>
            </w:r>
          </w:p>
        </w:tc>
      </w:tr>
      <w:tr>
        <w:trPr>
          <w:trHeight w:val="273" w:hRule="atLeast"/>
        </w:trPr>
        <w:tc>
          <w:tcPr>
            <w:tcW w:w="3262" w:type="dxa"/>
          </w:tcPr>
          <w:p>
            <w:pPr>
              <w:pStyle w:val="TableParagraph"/>
              <w:spacing w:line="252" w:lineRule="exact" w:before="1"/>
              <w:ind w:left="107"/>
              <w:rPr>
                <w:sz w:val="21"/>
              </w:rPr>
            </w:pPr>
            <w:r>
              <w:rPr>
                <w:spacing w:val="-1"/>
                <w:sz w:val="21"/>
              </w:rPr>
              <w:t>富联卓越科技(绍兴)有限公司</w:t>
            </w:r>
            <w:r>
              <w:rPr>
                <w:sz w:val="21"/>
              </w:rPr>
              <w:t> </w:t>
            </w:r>
          </w:p>
        </w:tc>
        <w:tc>
          <w:tcPr>
            <w:tcW w:w="2674" w:type="dxa"/>
          </w:tcPr>
          <w:p>
            <w:pPr>
              <w:pStyle w:val="TableParagraph"/>
              <w:spacing w:line="252" w:lineRule="exact" w:before="1"/>
              <w:ind w:left="107"/>
              <w:rPr>
                <w:sz w:val="21"/>
              </w:rPr>
            </w:pPr>
            <w:r>
              <w:rPr>
                <w:sz w:val="21"/>
              </w:rPr>
              <w:t>是 </w:t>
            </w:r>
          </w:p>
        </w:tc>
        <w:tc>
          <w:tcPr>
            <w:tcW w:w="2674" w:type="dxa"/>
          </w:tcPr>
          <w:p>
            <w:pPr>
              <w:pStyle w:val="TableParagraph"/>
              <w:spacing w:line="252" w:lineRule="exact" w:before="1"/>
              <w:ind w:left="105"/>
              <w:rPr>
                <w:sz w:val="21"/>
              </w:rPr>
            </w:pPr>
            <w:r>
              <w:rPr>
                <w:sz w:val="21"/>
              </w:rPr>
              <w:t>否 </w:t>
            </w:r>
          </w:p>
        </w:tc>
      </w:tr>
      <w:tr>
        <w:trPr>
          <w:trHeight w:val="270" w:hRule="atLeast"/>
        </w:trPr>
        <w:tc>
          <w:tcPr>
            <w:tcW w:w="3262" w:type="dxa"/>
          </w:tcPr>
          <w:p>
            <w:pPr>
              <w:pStyle w:val="TableParagraph"/>
              <w:spacing w:line="250" w:lineRule="exact" w:before="1"/>
              <w:ind w:left="107"/>
              <w:rPr>
                <w:sz w:val="21"/>
              </w:rPr>
            </w:pPr>
            <w:r>
              <w:rPr>
                <w:spacing w:val="-1"/>
                <w:sz w:val="21"/>
              </w:rPr>
              <w:t>廊坊裕展科技有限公司</w:t>
            </w:r>
            <w:r>
              <w:rPr>
                <w:sz w:val="21"/>
              </w:rPr>
              <w:t> </w:t>
            </w:r>
          </w:p>
        </w:tc>
        <w:tc>
          <w:tcPr>
            <w:tcW w:w="2674" w:type="dxa"/>
          </w:tcPr>
          <w:p>
            <w:pPr>
              <w:pStyle w:val="TableParagraph"/>
              <w:spacing w:line="250" w:lineRule="exact" w:before="1"/>
              <w:ind w:left="107"/>
              <w:rPr>
                <w:sz w:val="21"/>
              </w:rPr>
            </w:pPr>
            <w:r>
              <w:rPr>
                <w:sz w:val="21"/>
              </w:rPr>
              <w:t>否 </w:t>
            </w:r>
          </w:p>
        </w:tc>
        <w:tc>
          <w:tcPr>
            <w:tcW w:w="2674" w:type="dxa"/>
          </w:tcPr>
          <w:p>
            <w:pPr>
              <w:pStyle w:val="TableParagraph"/>
              <w:spacing w:line="250" w:lineRule="exact" w:before="1"/>
              <w:ind w:left="105"/>
              <w:rPr>
                <w:sz w:val="21"/>
              </w:rPr>
            </w:pPr>
            <w:r>
              <w:rPr>
                <w:sz w:val="21"/>
              </w:rPr>
              <w:t>是 </w:t>
            </w:r>
          </w:p>
        </w:tc>
      </w:tr>
      <w:tr>
        <w:trPr>
          <w:trHeight w:val="273" w:hRule="atLeast"/>
        </w:trPr>
        <w:tc>
          <w:tcPr>
            <w:tcW w:w="3262" w:type="dxa"/>
          </w:tcPr>
          <w:p>
            <w:pPr>
              <w:pStyle w:val="TableParagraph"/>
              <w:spacing w:line="250" w:lineRule="exact" w:before="3"/>
              <w:ind w:left="107"/>
              <w:rPr>
                <w:sz w:val="21"/>
              </w:rPr>
            </w:pPr>
            <w:r>
              <w:rPr>
                <w:spacing w:val="-1"/>
                <w:sz w:val="21"/>
              </w:rPr>
              <w:t>基准精密</w:t>
            </w:r>
            <w:r>
              <w:rPr>
                <w:sz w:val="21"/>
              </w:rPr>
              <w:t>（香港）有限公司 </w:t>
            </w:r>
          </w:p>
        </w:tc>
        <w:tc>
          <w:tcPr>
            <w:tcW w:w="2674" w:type="dxa"/>
          </w:tcPr>
          <w:p>
            <w:pPr>
              <w:pStyle w:val="TableParagraph"/>
              <w:spacing w:line="250" w:lineRule="exact" w:before="3"/>
              <w:ind w:left="107"/>
              <w:rPr>
                <w:sz w:val="21"/>
              </w:rPr>
            </w:pPr>
            <w:r>
              <w:rPr>
                <w:sz w:val="21"/>
              </w:rPr>
              <w:t>否 </w:t>
            </w:r>
          </w:p>
        </w:tc>
        <w:tc>
          <w:tcPr>
            <w:tcW w:w="2674" w:type="dxa"/>
          </w:tcPr>
          <w:p>
            <w:pPr>
              <w:pStyle w:val="TableParagraph"/>
              <w:spacing w:line="250" w:lineRule="exact" w:before="3"/>
              <w:ind w:left="105"/>
              <w:rPr>
                <w:sz w:val="21"/>
              </w:rPr>
            </w:pPr>
            <w:r>
              <w:rPr>
                <w:sz w:val="21"/>
              </w:rPr>
              <w:t>是 </w:t>
            </w:r>
          </w:p>
        </w:tc>
      </w:tr>
      <w:tr>
        <w:trPr>
          <w:trHeight w:val="544" w:hRule="atLeast"/>
        </w:trPr>
        <w:tc>
          <w:tcPr>
            <w:tcW w:w="3262" w:type="dxa"/>
          </w:tcPr>
          <w:p>
            <w:pPr>
              <w:pStyle w:val="TableParagraph"/>
              <w:spacing w:before="1"/>
              <w:ind w:left="107"/>
              <w:rPr>
                <w:sz w:val="21"/>
              </w:rPr>
            </w:pPr>
            <w:r>
              <w:rPr>
                <w:sz w:val="21"/>
              </w:rPr>
              <w:t>深圳智源工业互联网创新中心有</w:t>
            </w:r>
          </w:p>
          <w:p>
            <w:pPr>
              <w:pStyle w:val="TableParagraph"/>
              <w:spacing w:line="250" w:lineRule="exact" w:before="4"/>
              <w:ind w:left="107"/>
              <w:rPr>
                <w:sz w:val="21"/>
              </w:rPr>
            </w:pPr>
            <w:r>
              <w:rPr>
                <w:sz w:val="21"/>
              </w:rPr>
              <w:t>限公司 </w:t>
            </w:r>
          </w:p>
        </w:tc>
        <w:tc>
          <w:tcPr>
            <w:tcW w:w="2674" w:type="dxa"/>
          </w:tcPr>
          <w:p>
            <w:pPr>
              <w:pStyle w:val="TableParagraph"/>
              <w:spacing w:before="1"/>
              <w:ind w:left="107"/>
              <w:rPr>
                <w:sz w:val="21"/>
              </w:rPr>
            </w:pPr>
            <w:r>
              <w:rPr>
                <w:sz w:val="21"/>
              </w:rPr>
              <w:t>否 </w:t>
            </w:r>
          </w:p>
        </w:tc>
        <w:tc>
          <w:tcPr>
            <w:tcW w:w="2674" w:type="dxa"/>
          </w:tcPr>
          <w:p>
            <w:pPr>
              <w:pStyle w:val="TableParagraph"/>
              <w:spacing w:before="1"/>
              <w:ind w:left="105"/>
              <w:rPr>
                <w:sz w:val="21"/>
              </w:rPr>
            </w:pPr>
            <w:r>
              <w:rPr>
                <w:sz w:val="21"/>
              </w:rPr>
              <w:t>是 </w:t>
            </w:r>
          </w:p>
        </w:tc>
      </w:tr>
    </w:tbl>
    <w:p>
      <w:pPr>
        <w:spacing w:after="0"/>
        <w:rPr>
          <w:sz w:val="21"/>
        </w:rPr>
        <w:sectPr>
          <w:pgSz w:w="11910" w:h="16840"/>
          <w:pgMar w:header="882" w:footer="1172" w:top="1120" w:bottom="1380" w:left="1480" w:right="0"/>
        </w:sectPr>
      </w:pPr>
    </w:p>
    <w:p>
      <w:pPr>
        <w:pStyle w:val="BodyText"/>
        <w:spacing w:before="7"/>
        <w:ind w:left="0"/>
        <w:rPr>
          <w:sz w:val="25"/>
        </w:rPr>
      </w:pPr>
    </w:p>
    <w:p>
      <w:pPr>
        <w:pStyle w:val="BodyText"/>
        <w:spacing w:before="72"/>
      </w:pPr>
      <w:r>
        <w:rPr>
          <w:w w:val="100"/>
        </w:rPr>
        <w:t> </w:t>
      </w:r>
    </w:p>
    <w:p>
      <w:pPr>
        <w:pStyle w:val="BodyText"/>
        <w:spacing w:before="5"/>
      </w:pPr>
      <w:r>
        <w:rPr>
          <w:w w:val="100"/>
        </w:rPr>
        <w:t> </w:t>
      </w:r>
    </w:p>
    <w:p>
      <w:pPr>
        <w:pStyle w:val="BodyText"/>
        <w:spacing w:before="62"/>
      </w:pPr>
      <w:r>
        <w:rPr>
          <w:spacing w:val="-11"/>
        </w:rPr>
        <w:t>四、 财务报表的编制基础</w:t>
      </w:r>
      <w:r>
        <w:rPr/>
        <w:t> </w:t>
      </w:r>
    </w:p>
    <w:p>
      <w:pPr>
        <w:pStyle w:val="ListParagraph"/>
        <w:numPr>
          <w:ilvl w:val="0"/>
          <w:numId w:val="35"/>
        </w:numPr>
        <w:tabs>
          <w:tab w:pos="743" w:val="left" w:leader="none"/>
        </w:tabs>
        <w:spacing w:line="240" w:lineRule="auto" w:before="65" w:after="0"/>
        <w:ind w:left="742" w:right="0" w:hanging="425"/>
        <w:jc w:val="left"/>
        <w:rPr>
          <w:sz w:val="21"/>
        </w:rPr>
      </w:pPr>
      <w:r>
        <w:rPr>
          <w:sz w:val="21"/>
        </w:rPr>
        <w:t>编制基础</w:t>
      </w:r>
    </w:p>
    <w:p>
      <w:pPr>
        <w:pStyle w:val="BodyText"/>
        <w:spacing w:line="244" w:lineRule="auto" w:before="62"/>
        <w:ind w:right="1279"/>
      </w:pPr>
      <w:r>
        <w:rPr>
          <w:spacing w:val="-5"/>
        </w:rPr>
        <w:t>本财务报表按照财务部于 </w:t>
      </w:r>
      <w:r>
        <w:rPr/>
        <w:t>2006</w:t>
      </w:r>
      <w:r>
        <w:rPr>
          <w:spacing w:val="-36"/>
        </w:rPr>
        <w:t> 年 </w:t>
      </w:r>
      <w:r>
        <w:rPr/>
        <w:t>2</w:t>
      </w:r>
      <w:r>
        <w:rPr>
          <w:spacing w:val="-36"/>
        </w:rPr>
        <w:t> 月 </w:t>
      </w:r>
      <w:r>
        <w:rPr/>
        <w:t>15</w:t>
      </w:r>
      <w:r>
        <w:rPr>
          <w:spacing w:val="-8"/>
        </w:rPr>
        <w:t> 日及以后期间颁布的《企业会计准则——基本准则》以</w:t>
      </w:r>
      <w:r>
        <w:rPr/>
        <w:t>及各项具体会计准则及相关规定(以下合称“企业会计准则”)、以及中国证券监督管理委员会</w:t>
      </w:r>
    </w:p>
    <w:p>
      <w:pPr>
        <w:pStyle w:val="BodyText"/>
        <w:spacing w:line="265" w:lineRule="exact"/>
      </w:pPr>
      <w:r>
        <w:rPr>
          <w:spacing w:val="-4"/>
        </w:rPr>
        <w:t>《公开发行证券的公司信息披露编报规则第 </w:t>
      </w:r>
      <w:r>
        <w:rPr/>
        <w:t>15</w:t>
      </w:r>
      <w:r>
        <w:rPr>
          <w:spacing w:val="-8"/>
        </w:rPr>
        <w:t> 号——财务报告的一般规定》的披露规定编制。</w:t>
      </w:r>
      <w:r>
        <w:rPr/>
        <w:t> </w:t>
      </w:r>
    </w:p>
    <w:p>
      <w:pPr>
        <w:pStyle w:val="BodyText"/>
        <w:spacing w:before="4"/>
      </w:pPr>
      <w:r>
        <w:rPr>
          <w:w w:val="100"/>
        </w:rPr>
        <w:t> </w:t>
      </w:r>
    </w:p>
    <w:p>
      <w:pPr>
        <w:pStyle w:val="ListParagraph"/>
        <w:numPr>
          <w:ilvl w:val="0"/>
          <w:numId w:val="35"/>
        </w:numPr>
        <w:tabs>
          <w:tab w:pos="743" w:val="left" w:leader="none"/>
        </w:tabs>
        <w:spacing w:line="240" w:lineRule="auto" w:before="62" w:after="0"/>
        <w:ind w:left="742" w:right="0" w:hanging="425"/>
        <w:jc w:val="left"/>
        <w:rPr>
          <w:sz w:val="21"/>
        </w:rPr>
      </w:pPr>
      <w:r>
        <w:rPr>
          <w:sz w:val="21"/>
        </w:rPr>
        <w:t>持续经营</w:t>
      </w:r>
    </w:p>
    <w:p>
      <w:pPr>
        <w:pStyle w:val="BodyText"/>
        <w:spacing w:before="65"/>
      </w:pPr>
      <w:r>
        <w:rPr>
          <w:spacing w:val="11"/>
        </w:rPr>
        <w:t>√适用 □不适用</w:t>
      </w:r>
      <w:r>
        <w:rPr>
          <w:spacing w:val="-3"/>
        </w:rPr>
        <w:t> </w:t>
      </w:r>
      <w:r>
        <w:rPr/>
        <w:t> </w:t>
      </w:r>
    </w:p>
    <w:p>
      <w:pPr>
        <w:pStyle w:val="BodyText"/>
        <w:spacing w:before="2"/>
      </w:pPr>
      <w:r>
        <w:rPr>
          <w:spacing w:val="-1"/>
        </w:rPr>
        <w:t>本财务报表以持续经营为基础编制。</w:t>
      </w:r>
      <w:r>
        <w:rPr/>
        <w:t> </w:t>
      </w:r>
    </w:p>
    <w:p>
      <w:pPr>
        <w:pStyle w:val="BodyText"/>
        <w:spacing w:before="5"/>
      </w:pPr>
      <w:r>
        <w:rPr>
          <w:w w:val="100"/>
        </w:rPr>
        <w:t> </w:t>
      </w:r>
    </w:p>
    <w:p>
      <w:pPr>
        <w:pStyle w:val="BodyText"/>
        <w:spacing w:line="297" w:lineRule="auto" w:before="62"/>
        <w:ind w:right="7057"/>
      </w:pPr>
      <w:r>
        <w:rPr/>
        <w:t>五、 重要会计政策及会计估计具体会计政策和会计估计提示： </w:t>
      </w:r>
    </w:p>
    <w:p>
      <w:pPr>
        <w:pStyle w:val="BodyText"/>
        <w:spacing w:line="207" w:lineRule="exact"/>
      </w:pPr>
      <w:r>
        <w:rPr>
          <w:spacing w:val="-1"/>
        </w:rPr>
        <w:t>√适用 □不适用</w:t>
      </w:r>
      <w:r>
        <w:rPr>
          <w:spacing w:val="-3"/>
        </w:rPr>
        <w:t> </w:t>
      </w:r>
      <w:r>
        <w:rPr/>
        <w:t> </w:t>
      </w:r>
    </w:p>
    <w:p>
      <w:pPr>
        <w:pStyle w:val="BodyText"/>
        <w:spacing w:line="242" w:lineRule="auto" w:before="5"/>
        <w:ind w:right="1277" w:firstLine="419"/>
        <w:jc w:val="both"/>
      </w:pPr>
      <w:r>
        <w:rPr/>
        <w:t>本公司及子公司(以下合称“本集团”)根据生产经营特点确定具体会计政策和会计估计，主要体现在应收款项的预期信用损失的计量、存货的计价方法、固定资产折旧、无形资产和使用权资产摊销、收入的确认和计量等。 </w:t>
      </w:r>
    </w:p>
    <w:p>
      <w:pPr>
        <w:pStyle w:val="BodyText"/>
        <w:spacing w:before="1"/>
        <w:ind w:left="738"/>
      </w:pPr>
      <w:r>
        <w:rPr>
          <w:w w:val="100"/>
        </w:rPr>
        <w:t> </w:t>
      </w:r>
    </w:p>
    <w:p>
      <w:pPr>
        <w:pStyle w:val="BodyText"/>
        <w:spacing w:line="244" w:lineRule="auto" w:before="2"/>
        <w:ind w:right="1277" w:firstLine="419"/>
      </w:pPr>
      <w:r>
        <w:rPr/>
        <w:t>本集团在确定重要的会计政策时所运用的关键判断、重要会计估计及其关键假设详见第十节</w:t>
      </w:r>
      <w:r>
        <w:rPr>
          <w:spacing w:val="-1"/>
        </w:rPr>
        <w:t>财务报告 五、重要会计政策及会计估计 </w:t>
      </w:r>
      <w:r>
        <w:rPr/>
        <w:t>1、遵循企业会计准则的声明。 </w:t>
      </w:r>
    </w:p>
    <w:p>
      <w:pPr>
        <w:pStyle w:val="BodyText"/>
        <w:spacing w:line="265" w:lineRule="exact"/>
      </w:pPr>
      <w:r>
        <w:rPr>
          <w:w w:val="100"/>
        </w:rPr>
        <w:t> </w:t>
      </w:r>
    </w:p>
    <w:p>
      <w:pPr>
        <w:pStyle w:val="ListParagraph"/>
        <w:numPr>
          <w:ilvl w:val="0"/>
          <w:numId w:val="36"/>
        </w:numPr>
        <w:tabs>
          <w:tab w:pos="743" w:val="left" w:leader="none"/>
        </w:tabs>
        <w:spacing w:line="240" w:lineRule="auto" w:before="64" w:after="0"/>
        <w:ind w:left="742" w:right="0" w:hanging="425"/>
        <w:jc w:val="left"/>
        <w:rPr>
          <w:sz w:val="21"/>
        </w:rPr>
      </w:pPr>
      <w:r>
        <w:rPr>
          <w:sz w:val="21"/>
        </w:rPr>
        <w:t>遵循企业会计准则的声明</w:t>
      </w:r>
    </w:p>
    <w:p>
      <w:pPr>
        <w:pStyle w:val="BodyText"/>
        <w:spacing w:before="62"/>
        <w:ind w:left="529"/>
      </w:pPr>
      <w:r>
        <w:rPr>
          <w:spacing w:val="-14"/>
        </w:rPr>
        <w:t>本公司 </w:t>
      </w:r>
      <w:r>
        <w:rPr>
          <w:spacing w:val="-1"/>
        </w:rPr>
        <w:t>2022</w:t>
      </w:r>
      <w:r>
        <w:rPr>
          <w:spacing w:val="-10"/>
        </w:rPr>
        <w:t> 年度的财务报表符合企业会计准则的要求，真实、完整地反映了本公司 </w:t>
      </w:r>
      <w:r>
        <w:rPr/>
        <w:t>2022</w:t>
      </w:r>
      <w:r>
        <w:rPr>
          <w:spacing w:val="-27"/>
        </w:rPr>
        <w:t> 年</w:t>
      </w:r>
    </w:p>
    <w:p>
      <w:pPr>
        <w:pStyle w:val="BodyText"/>
        <w:spacing w:line="242" w:lineRule="auto" w:before="5"/>
        <w:ind w:right="1438"/>
      </w:pPr>
      <w:r>
        <w:rPr>
          <w:spacing w:val="-1"/>
        </w:rPr>
        <w:t>12</w:t>
      </w:r>
      <w:r>
        <w:rPr>
          <w:spacing w:val="-36"/>
        </w:rPr>
        <w:t> 月 </w:t>
      </w:r>
      <w:r>
        <w:rPr>
          <w:spacing w:val="-1"/>
        </w:rPr>
        <w:t>31</w:t>
      </w:r>
      <w:r>
        <w:rPr>
          <w:spacing w:val="-11"/>
        </w:rPr>
        <w:t> 日的合并及公司财务状况，以及 </w:t>
      </w:r>
      <w:r>
        <w:rPr/>
        <w:t>2022</w:t>
      </w:r>
      <w:r>
        <w:rPr>
          <w:spacing w:val="-8"/>
        </w:rPr>
        <w:t> 年度的合并及公司经营成果和现金流量等有关信</w:t>
      </w:r>
      <w:r>
        <w:rPr/>
        <w:t>息。 </w:t>
      </w:r>
    </w:p>
    <w:p>
      <w:pPr>
        <w:pStyle w:val="BodyText"/>
        <w:spacing w:before="2"/>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会计期间</w:t>
      </w:r>
    </w:p>
    <w:p>
      <w:pPr>
        <w:pStyle w:val="BodyText"/>
        <w:spacing w:before="64"/>
      </w:pPr>
      <w:r>
        <w:rPr>
          <w:spacing w:val="-5"/>
        </w:rPr>
        <w:t>本公司会计年度自公历 </w:t>
      </w:r>
      <w:r>
        <w:rPr/>
        <w:t>1</w:t>
      </w:r>
      <w:r>
        <w:rPr>
          <w:spacing w:val="-36"/>
        </w:rPr>
        <w:t> 月 </w:t>
      </w:r>
      <w:r>
        <w:rPr/>
        <w:t>1</w:t>
      </w:r>
      <w:r>
        <w:rPr>
          <w:spacing w:val="-22"/>
        </w:rPr>
        <w:t> 日起至 </w:t>
      </w:r>
      <w:r>
        <w:rPr/>
        <w:t>12</w:t>
      </w:r>
      <w:r>
        <w:rPr>
          <w:spacing w:val="-36"/>
        </w:rPr>
        <w:t> 月 </w:t>
      </w:r>
      <w:r>
        <w:rPr/>
        <w:t>31</w:t>
      </w:r>
      <w:r>
        <w:rPr>
          <w:spacing w:val="-14"/>
        </w:rPr>
        <w:t> 日止。 </w:t>
      </w:r>
    </w:p>
    <w:p>
      <w:pPr>
        <w:pStyle w:val="BodyText"/>
        <w:spacing w:before="2"/>
      </w:pPr>
      <w:r>
        <w:rPr>
          <w:w w:val="100"/>
        </w:rPr>
        <w:t> </w:t>
      </w:r>
    </w:p>
    <w:p>
      <w:pPr>
        <w:pStyle w:val="ListParagraph"/>
        <w:numPr>
          <w:ilvl w:val="0"/>
          <w:numId w:val="36"/>
        </w:numPr>
        <w:tabs>
          <w:tab w:pos="743" w:val="left" w:leader="none"/>
        </w:tabs>
        <w:spacing w:line="240" w:lineRule="auto" w:before="65" w:after="0"/>
        <w:ind w:left="742" w:right="0" w:hanging="425"/>
        <w:jc w:val="left"/>
        <w:rPr>
          <w:sz w:val="21"/>
        </w:rPr>
      </w:pPr>
      <w:r>
        <w:rPr>
          <w:sz w:val="21"/>
        </w:rPr>
        <w:t>营业周期</w:t>
      </w:r>
    </w:p>
    <w:p>
      <w:pPr>
        <w:pStyle w:val="BodyText"/>
        <w:spacing w:before="62"/>
      </w:pPr>
      <w:r>
        <w:rPr>
          <w:spacing w:val="11"/>
        </w:rPr>
        <w:t>□适用 √不适用</w:t>
      </w:r>
      <w:r>
        <w:rPr>
          <w:spacing w:val="-3"/>
        </w:rPr>
        <w:t> </w:t>
      </w:r>
      <w:r>
        <w:rPr/>
        <w:t> </w:t>
      </w:r>
    </w:p>
    <w:p>
      <w:pPr>
        <w:pStyle w:val="BodyText"/>
        <w:spacing w:before="5"/>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记账本位币</w:t>
      </w:r>
    </w:p>
    <w:p>
      <w:pPr>
        <w:pStyle w:val="BodyText"/>
        <w:spacing w:line="242" w:lineRule="auto" w:before="64"/>
        <w:ind w:right="1277" w:firstLine="211"/>
        <w:jc w:val="both"/>
      </w:pPr>
      <w:r>
        <w:rPr/>
        <w:t>本公司及子公司根据其经营所处经济环境中的主要货币确定为记账本位币。本公司及本集团中国境内子公司以人民币为记账本位币，本集团新加坡、美国地区子公司以美元为记账本位币，本集团中国香港地区子公司以美元或港币为记账本位币。本集团编制本财务报表时所采用的列报货币为人民币。 </w:t>
      </w:r>
    </w:p>
    <w:p>
      <w:pPr>
        <w:pStyle w:val="BodyText"/>
        <w:spacing w:before="4"/>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同一控制下和非同一控制下企业合并的会计处理方法</w:t>
      </w:r>
    </w:p>
    <w:p>
      <w:pPr>
        <w:pStyle w:val="BodyText"/>
        <w:spacing w:before="62"/>
      </w:pPr>
      <w:r>
        <w:rPr>
          <w:spacing w:val="11"/>
        </w:rPr>
        <w:t>√适用 □不适用</w:t>
      </w:r>
      <w:r>
        <w:rPr>
          <w:spacing w:val="-3"/>
        </w:rPr>
        <w:t> </w:t>
      </w:r>
      <w:r>
        <w:rPr/>
        <w:t> </w:t>
      </w:r>
    </w:p>
    <w:p>
      <w:pPr>
        <w:pStyle w:val="ListParagraph"/>
        <w:numPr>
          <w:ilvl w:val="0"/>
          <w:numId w:val="37"/>
        </w:numPr>
        <w:tabs>
          <w:tab w:pos="636" w:val="left" w:leader="none"/>
        </w:tabs>
        <w:spacing w:line="240" w:lineRule="auto" w:before="4" w:after="0"/>
        <w:ind w:left="635" w:right="0" w:hanging="318"/>
        <w:jc w:val="left"/>
        <w:rPr>
          <w:sz w:val="21"/>
        </w:rPr>
      </w:pPr>
      <w:r>
        <w:rPr>
          <w:spacing w:val="-1"/>
          <w:sz w:val="21"/>
        </w:rPr>
        <w:t>同一控制下的企业合并</w:t>
      </w:r>
      <w:r>
        <w:rPr>
          <w:sz w:val="21"/>
        </w:rPr>
        <w:t> </w:t>
      </w:r>
    </w:p>
    <w:p>
      <w:pPr>
        <w:pStyle w:val="BodyText"/>
        <w:tabs>
          <w:tab w:pos="737" w:val="left" w:leader="none"/>
        </w:tabs>
        <w:spacing w:before="3"/>
      </w:pPr>
      <w:r>
        <w:rPr>
          <w:w w:val="100"/>
        </w:rPr>
        <w:t> </w:t>
      </w:r>
      <w:r>
        <w:rPr/>
        <w:tab/>
      </w:r>
      <w:r>
        <w:rPr>
          <w:w w:val="100"/>
        </w:rPr>
        <w:t> </w:t>
      </w:r>
    </w:p>
    <w:p>
      <w:pPr>
        <w:pStyle w:val="BodyText"/>
        <w:spacing w:line="242" w:lineRule="auto" w:before="4"/>
        <w:ind w:right="1277"/>
        <w:jc w:val="both"/>
      </w:pPr>
      <w:r>
        <w:rPr>
          <w:w w:val="100"/>
        </w:rPr>
        <w:t> </w:t>
      </w:r>
      <w:r>
        <w:rPr/>
        <w:t>  </w:t>
      </w:r>
      <w:r>
        <w:rPr>
          <w:spacing w:val="-1"/>
        </w:rPr>
        <w:t> </w:t>
      </w:r>
      <w:r>
        <w:rPr/>
        <w:t>本集团支付的合并对价及取得的净资产均按账面价值计量。如被合并方是最终控制方以前年度从第三方收购来的，则以被合并方的资产、负债(包括最终控制方收购被合并方而形成的商誉)</w:t>
      </w:r>
      <w:r>
        <w:rPr>
          <w:spacing w:val="-103"/>
        </w:rPr>
        <w:t> </w:t>
      </w:r>
      <w:r>
        <w:rPr/>
        <w:t>在最终控制方合并财务报表中的账面价值为基础。本集团取得的净资产账面价值与支付的合并对价账面价值的差额，调整资本公积(股本溢价)；资本公积(股本溢价)不足以冲减的，调整留存收</w:t>
      </w:r>
    </w:p>
    <w:p>
      <w:pPr>
        <w:spacing w:after="0" w:line="242" w:lineRule="auto"/>
        <w:jc w:val="both"/>
        <w:sectPr>
          <w:pgSz w:w="11910" w:h="16840"/>
          <w:pgMar w:header="882" w:footer="1172" w:top="1120" w:bottom="1380" w:left="1480" w:right="0"/>
        </w:sectPr>
      </w:pPr>
    </w:p>
    <w:p>
      <w:pPr>
        <w:pStyle w:val="BodyText"/>
        <w:spacing w:before="7"/>
        <w:ind w:left="0"/>
        <w:rPr>
          <w:sz w:val="25"/>
        </w:rPr>
      </w:pPr>
    </w:p>
    <w:p>
      <w:pPr>
        <w:pStyle w:val="BodyText"/>
        <w:spacing w:line="244" w:lineRule="auto" w:before="72"/>
        <w:ind w:right="1277"/>
      </w:pPr>
      <w:r>
        <w:rPr/>
        <w:t>益。为进行企业合并发生的直接相关费用于发生时计入当期损益。为企业合并而发行权益性证券或债务性证券的交易费用，计入权益性证券或债务性证券的初始确认金额。 </w:t>
      </w:r>
    </w:p>
    <w:p>
      <w:pPr>
        <w:pStyle w:val="BodyText"/>
        <w:tabs>
          <w:tab w:pos="737" w:val="left" w:leader="none"/>
        </w:tabs>
        <w:spacing w:line="265" w:lineRule="exact"/>
      </w:pPr>
      <w:r>
        <w:rPr>
          <w:w w:val="100"/>
        </w:rPr>
        <w:t> </w:t>
      </w:r>
      <w:r>
        <w:rPr/>
        <w:tab/>
      </w:r>
      <w:r>
        <w:rPr>
          <w:w w:val="100"/>
        </w:rPr>
        <w:t> </w:t>
      </w:r>
    </w:p>
    <w:p>
      <w:pPr>
        <w:pStyle w:val="ListParagraph"/>
        <w:numPr>
          <w:ilvl w:val="0"/>
          <w:numId w:val="37"/>
        </w:numPr>
        <w:tabs>
          <w:tab w:pos="636" w:val="left" w:leader="none"/>
        </w:tabs>
        <w:spacing w:line="240" w:lineRule="auto" w:before="5" w:after="0"/>
        <w:ind w:left="635" w:right="0" w:hanging="318"/>
        <w:jc w:val="left"/>
        <w:rPr>
          <w:sz w:val="21"/>
        </w:rPr>
      </w:pPr>
      <w:r>
        <w:rPr>
          <w:spacing w:val="-1"/>
          <w:sz w:val="21"/>
        </w:rPr>
        <w:t>非同一控制下的企业合并</w:t>
      </w:r>
      <w:r>
        <w:rPr>
          <w:sz w:val="21"/>
        </w:rPr>
        <w:t> </w:t>
      </w:r>
    </w:p>
    <w:p>
      <w:pPr>
        <w:pStyle w:val="BodyText"/>
        <w:tabs>
          <w:tab w:pos="737" w:val="left" w:leader="none"/>
        </w:tabs>
        <w:spacing w:before="2"/>
      </w:pPr>
      <w:r>
        <w:rPr>
          <w:w w:val="100"/>
        </w:rPr>
        <w:t> </w:t>
      </w:r>
      <w:r>
        <w:rPr/>
        <w:tab/>
      </w:r>
      <w:r>
        <w:rPr>
          <w:w w:val="100"/>
        </w:rPr>
        <w:t> </w:t>
      </w:r>
    </w:p>
    <w:p>
      <w:pPr>
        <w:pStyle w:val="BodyText"/>
        <w:spacing w:line="242" w:lineRule="auto" w:before="4"/>
        <w:ind w:right="1277"/>
        <w:jc w:val="both"/>
      </w:pPr>
      <w:r>
        <w:rPr>
          <w:w w:val="100"/>
        </w:rPr>
        <w:t> </w:t>
      </w:r>
      <w:r>
        <w:rPr/>
        <w:t>  </w:t>
      </w:r>
      <w:r>
        <w:rPr>
          <w:spacing w:val="-1"/>
        </w:rPr>
        <w:t> </w:t>
      </w:r>
      <w:r>
        <w:rPr/>
        <w:t>本集团发生的合并成本及在合并中取得的可辨认净资产按购买日的公允价值计量。合并成本大于合并中取得的被购买方于购买日可辨认净资产公允价值份额的差额，确认为商誉；合并成本小于合并中取得的被购买方可辨认净资产公允价值份额的差额，计入当期损益。为进行企业合并发生的直接相关费用于发生时计入当期损益。为企业合并而发行权益性证券或债务性证券的交易费用，计入权益性证券或债务性证券的初始确认金额。 </w:t>
      </w:r>
    </w:p>
    <w:p>
      <w:pPr>
        <w:pStyle w:val="BodyText"/>
        <w:spacing w:before="2"/>
      </w:pPr>
      <w:r>
        <w:rPr>
          <w:w w:val="100"/>
        </w:rPr>
        <w:t> </w:t>
      </w:r>
    </w:p>
    <w:p>
      <w:pPr>
        <w:pStyle w:val="BodyText"/>
        <w:spacing w:before="5"/>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合并财务报表的编制方法</w:t>
      </w:r>
    </w:p>
    <w:p>
      <w:pPr>
        <w:pStyle w:val="BodyText"/>
        <w:spacing w:before="65"/>
      </w:pPr>
      <w:r>
        <w:rPr>
          <w:spacing w:val="11"/>
        </w:rPr>
        <w:t>√适用 □不适用</w:t>
      </w:r>
      <w:r>
        <w:rPr>
          <w:spacing w:val="-3"/>
        </w:rPr>
        <w:t> </w:t>
      </w:r>
      <w:r>
        <w:rPr/>
        <w:t> </w:t>
      </w:r>
    </w:p>
    <w:p>
      <w:pPr>
        <w:pStyle w:val="BodyText"/>
        <w:tabs>
          <w:tab w:pos="737" w:val="left" w:leader="none"/>
        </w:tabs>
        <w:spacing w:before="2"/>
      </w:pPr>
      <w:r>
        <w:rPr>
          <w:w w:val="100"/>
        </w:rPr>
        <w:t> </w:t>
      </w:r>
      <w:r>
        <w:rPr/>
        <w:tab/>
      </w:r>
      <w:r>
        <w:rPr/>
        <w:t>编制合并财务报表时，合并范围包括本公司及全部子公司。 </w:t>
      </w:r>
    </w:p>
    <w:p>
      <w:pPr>
        <w:pStyle w:val="BodyText"/>
        <w:tabs>
          <w:tab w:pos="737" w:val="left" w:leader="none"/>
        </w:tabs>
        <w:spacing w:before="5"/>
      </w:pPr>
      <w:r>
        <w:rPr>
          <w:w w:val="100"/>
        </w:rPr>
        <w:t> </w:t>
      </w:r>
      <w:r>
        <w:rPr/>
        <w:tab/>
      </w:r>
      <w:r>
        <w:rPr>
          <w:w w:val="100"/>
        </w:rPr>
        <w:t> </w:t>
      </w:r>
    </w:p>
    <w:p>
      <w:pPr>
        <w:pStyle w:val="BodyText"/>
        <w:spacing w:line="242" w:lineRule="auto" w:before="2"/>
        <w:ind w:right="1174"/>
        <w:jc w:val="both"/>
      </w:pPr>
      <w:r>
        <w:rPr>
          <w:w w:val="100"/>
        </w:rPr>
        <w:t> </w:t>
      </w:r>
      <w:r>
        <w:rPr/>
        <w:t>  </w:t>
      </w:r>
      <w:r>
        <w:rPr>
          <w:spacing w:val="-1"/>
        </w:rPr>
        <w:t> </w:t>
      </w:r>
      <w:r>
        <w:rPr/>
        <w:t>从取得子公司的实际控制权之日起，本集团开始将其纳入合并范围；从丧失实际控制权之日起停止纳入合并范围。对于同一控制下企业合并取得的子公司，自其与本公司同受最终控制方控制之日起纳入本公司合并范围，并将其在合并日前实现的净利润在合并利润表中单列项目反映。 </w:t>
      </w:r>
    </w:p>
    <w:p>
      <w:pPr>
        <w:pStyle w:val="BodyText"/>
        <w:spacing w:before="1"/>
        <w:jc w:val="both"/>
      </w:pPr>
      <w:r>
        <w:rPr>
          <w:w w:val="100"/>
        </w:rPr>
        <w:t> </w:t>
      </w:r>
      <w:r>
        <w:rPr/>
        <w:t>  </w:t>
      </w:r>
      <w:r>
        <w:rPr>
          <w:spacing w:val="-1"/>
        </w:rPr>
        <w:t> </w:t>
      </w:r>
      <w:r>
        <w:rPr>
          <w:w w:val="100"/>
        </w:rPr>
        <w:t> </w:t>
      </w:r>
    </w:p>
    <w:p>
      <w:pPr>
        <w:pStyle w:val="BodyText"/>
        <w:spacing w:line="242" w:lineRule="auto" w:before="4"/>
        <w:ind w:right="1277"/>
        <w:jc w:val="both"/>
      </w:pPr>
      <w:r>
        <w:rPr>
          <w:w w:val="100"/>
        </w:rPr>
        <w:t> </w:t>
      </w:r>
      <w:r>
        <w:rPr/>
        <w:t>  </w:t>
      </w:r>
      <w:r>
        <w:rPr>
          <w:spacing w:val="-1"/>
        </w:rPr>
        <w:t> </w:t>
      </w:r>
      <w:r>
        <w:rPr/>
        <w:t>在编制合并财务报表时，子公司与本公司采用的会计政策或会计期间不一致的，按照本公司的会计政策和会计期间对子公司财务报表进行必要的调整。对于非同一控制下企业合并取得的子公司，以购买日可辨认净资产公允价值为基础对其财务报表进行调整。 </w:t>
      </w:r>
    </w:p>
    <w:p>
      <w:pPr>
        <w:pStyle w:val="BodyText"/>
        <w:spacing w:before="1"/>
      </w:pPr>
      <w:r>
        <w:rPr>
          <w:w w:val="100"/>
        </w:rPr>
        <w:t> </w:t>
      </w:r>
    </w:p>
    <w:p>
      <w:pPr>
        <w:pStyle w:val="BodyText"/>
        <w:spacing w:line="242" w:lineRule="auto" w:before="4"/>
        <w:ind w:right="1277" w:firstLine="419"/>
      </w:pPr>
      <w:r>
        <w:rPr/>
        <w:t>集团内所有重大往来余额、交易及未实现利润在合并财务报表编制时予以抵销。子公司的股东权益、当期净损益及综合收益中不归属于本公司所拥有的部分分别作为少数股东权益、少数股东损益及归属于少数股东的综合收益总额在合并财务报表中股东权益、净利润及综合收益总额项下单独列示。子公司少数股东分担的当期亏损超过了少数股东在该子公司期初所有者权益中所享有的份额的，其余额冲减少数股东权益。本公司向子公司出售资产所发生的未实现内部交易损</w:t>
      </w:r>
      <w:r>
        <w:rPr>
          <w:spacing w:val="1"/>
        </w:rPr>
        <w:t> </w:t>
      </w:r>
      <w:r>
        <w:rPr/>
        <w:t>益，全额抵销归属于母公司股东的净利润；子公司向本公司出售资产所发生的未实现内部交易损益，按本公司对该子公司的分配比例在归属于母公司股东的净利润和少数股东损益之间分配抵</w:t>
      </w:r>
      <w:r>
        <w:rPr>
          <w:spacing w:val="1"/>
        </w:rPr>
        <w:t> </w:t>
      </w:r>
      <w:r>
        <w:rPr/>
        <w:t>销。子公司之间出售资产所发生的未实现内部交易损益，按照母公司对出售方子公司的分配比例在归属于母公司股东的净利润和少数股东损益之间分配抵销。 </w:t>
      </w:r>
    </w:p>
    <w:p>
      <w:pPr>
        <w:pStyle w:val="BodyText"/>
        <w:spacing w:before="5"/>
      </w:pPr>
      <w:r>
        <w:rPr>
          <w:w w:val="100"/>
        </w:rPr>
        <w:t> </w:t>
      </w:r>
    </w:p>
    <w:p>
      <w:pPr>
        <w:pStyle w:val="BodyText"/>
        <w:spacing w:line="242" w:lineRule="auto" w:before="5"/>
        <w:ind w:right="1277"/>
      </w:pPr>
      <w:r>
        <w:rPr/>
        <w:t>如果以本集团为会计主体与以本公司或子公司为会计主体对同一交易的认定不同时，从本集团的角度对该交易予以调整。 </w:t>
      </w:r>
    </w:p>
    <w:p>
      <w:pPr>
        <w:pStyle w:val="BodyText"/>
        <w:spacing w:before="1"/>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合营安排分类及共同经营会计处理方法</w:t>
      </w:r>
    </w:p>
    <w:p>
      <w:pPr>
        <w:pStyle w:val="BodyText"/>
        <w:spacing w:before="65"/>
      </w:pPr>
      <w:r>
        <w:rPr>
          <w:spacing w:val="11"/>
        </w:rPr>
        <w:t>□适用 √不适用</w:t>
      </w:r>
      <w:r>
        <w:rPr>
          <w:spacing w:val="-3"/>
        </w:rPr>
        <w:t> </w:t>
      </w:r>
      <w:r>
        <w:rPr/>
        <w:t> </w:t>
      </w:r>
    </w:p>
    <w:p>
      <w:pPr>
        <w:pStyle w:val="BodyText"/>
        <w:spacing w:before="3"/>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现金及现金等价物的确定标准</w:t>
      </w:r>
    </w:p>
    <w:p>
      <w:pPr>
        <w:pStyle w:val="Heading3"/>
        <w:spacing w:before="63"/>
        <w:ind w:left="318"/>
        <w:jc w:val="left"/>
      </w:pPr>
      <w:r>
        <w:rPr/>
        <w:t>现金及现金等价物是指库存现金，可随时用于支付的存款。</w:t>
      </w:r>
    </w:p>
    <w:p>
      <w:pPr>
        <w:pStyle w:val="BodyText"/>
        <w:spacing w:before="6"/>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外币业务和外币报表折算</w:t>
      </w:r>
    </w:p>
    <w:p>
      <w:pPr>
        <w:pStyle w:val="BodyText"/>
        <w:spacing w:line="242" w:lineRule="auto" w:before="65"/>
        <w:ind w:right="8215"/>
      </w:pPr>
      <w:r>
        <w:rPr>
          <w:spacing w:val="11"/>
        </w:rPr>
        <w:t>√适用 □不适用</w:t>
      </w:r>
      <w:r>
        <w:rPr/>
        <w:t>(a) 外币交易 </w:t>
      </w:r>
    </w:p>
    <w:p>
      <w:pPr>
        <w:pStyle w:val="BodyText"/>
        <w:tabs>
          <w:tab w:pos="737" w:val="left" w:leader="none"/>
        </w:tabs>
        <w:spacing w:before="1"/>
      </w:pPr>
      <w:r>
        <w:rPr>
          <w:w w:val="100"/>
        </w:rPr>
        <w:t> </w:t>
      </w:r>
      <w:r>
        <w:rPr/>
        <w:tab/>
      </w:r>
      <w:r>
        <w:rPr>
          <w:w w:val="100"/>
        </w:rPr>
        <w:t> </w:t>
      </w:r>
    </w:p>
    <w:p>
      <w:pPr>
        <w:pStyle w:val="BodyText"/>
        <w:tabs>
          <w:tab w:pos="737" w:val="left" w:leader="none"/>
        </w:tabs>
        <w:spacing w:before="2"/>
      </w:pPr>
      <w:r>
        <w:rPr>
          <w:w w:val="100"/>
        </w:rPr>
        <w:t> </w:t>
      </w:r>
      <w:r>
        <w:rPr/>
        <w:tab/>
      </w:r>
      <w:r>
        <w:rPr/>
        <w:t>外币交易按交易发生日的即期汇率将外币金额折算为记账本位币入账。 </w:t>
      </w:r>
    </w:p>
    <w:p>
      <w:pPr>
        <w:pStyle w:val="BodyText"/>
        <w:tabs>
          <w:tab w:pos="737" w:val="left" w:leader="none"/>
        </w:tabs>
        <w:spacing w:before="4"/>
      </w:pPr>
      <w:r>
        <w:rPr>
          <w:w w:val="100"/>
        </w:rPr>
        <w:t> </w:t>
      </w:r>
      <w:r>
        <w:rPr/>
        <w:tab/>
      </w:r>
      <w:r>
        <w:rPr>
          <w:w w:val="100"/>
        </w:rPr>
        <w:t> </w:t>
      </w:r>
    </w:p>
    <w:p>
      <w:pPr>
        <w:spacing w:after="0"/>
        <w:sectPr>
          <w:pgSz w:w="11910" w:h="16840"/>
          <w:pgMar w:header="882" w:footer="1172" w:top="1120" w:bottom="1380" w:left="1480" w:right="0"/>
        </w:sectPr>
      </w:pPr>
    </w:p>
    <w:p>
      <w:pPr>
        <w:pStyle w:val="BodyText"/>
        <w:spacing w:before="7"/>
        <w:ind w:left="0"/>
        <w:rPr>
          <w:sz w:val="25"/>
        </w:rPr>
      </w:pPr>
    </w:p>
    <w:p>
      <w:pPr>
        <w:pStyle w:val="BodyText"/>
        <w:spacing w:line="242" w:lineRule="auto" w:before="72"/>
        <w:ind w:right="1277"/>
        <w:jc w:val="both"/>
      </w:pPr>
      <w:r>
        <w:rPr>
          <w:w w:val="100"/>
        </w:rPr>
        <w:t> </w:t>
      </w:r>
      <w:r>
        <w:rPr/>
        <w:t>  </w:t>
      </w:r>
      <w:r>
        <w:rPr>
          <w:spacing w:val="-1"/>
        </w:rPr>
        <w:t> </w:t>
      </w:r>
      <w:r>
        <w:rPr/>
        <w:t>于资产负债表日，外币货币性项目采用资产负债表日的即期汇率折算为记账本位币。为购建符合借款费用资本化条件的资产而借入的外币专门借款产生的汇兑差额在资本化期间内予以资本化；为了规避外汇风险进行套期的套期工具的汇兑差额按套期会计方法处理；其他汇兑差额直接计入当期损益。以历史成本计量的外币非货币性项目，于资产负债表日采用交易发生日的即期汇率折算。汇率变动对现金的影响额在现金流量表中单独列示。 </w:t>
      </w:r>
    </w:p>
    <w:p>
      <w:pPr>
        <w:pStyle w:val="BodyText"/>
        <w:tabs>
          <w:tab w:pos="737" w:val="left" w:leader="none"/>
        </w:tabs>
        <w:spacing w:before="5"/>
      </w:pPr>
      <w:r>
        <w:rPr>
          <w:w w:val="100"/>
        </w:rPr>
        <w:t> </w:t>
      </w:r>
      <w:r>
        <w:rPr/>
        <w:tab/>
      </w:r>
      <w:r>
        <w:rPr>
          <w:w w:val="100"/>
        </w:rPr>
        <w:t> </w:t>
      </w:r>
    </w:p>
    <w:p>
      <w:pPr>
        <w:pStyle w:val="BodyText"/>
        <w:spacing w:before="2"/>
      </w:pPr>
      <w:r>
        <w:rPr/>
        <w:t>(b</w:t>
      </w:r>
      <w:r>
        <w:rPr>
          <w:spacing w:val="-1"/>
        </w:rPr>
        <w:t>) 外币财务报表的折算</w:t>
      </w:r>
      <w:r>
        <w:rPr/>
        <w:t> </w:t>
      </w:r>
    </w:p>
    <w:p>
      <w:pPr>
        <w:pStyle w:val="BodyText"/>
        <w:tabs>
          <w:tab w:pos="737" w:val="left" w:leader="none"/>
        </w:tabs>
        <w:spacing w:before="4"/>
      </w:pPr>
      <w:r>
        <w:rPr>
          <w:w w:val="100"/>
        </w:rPr>
        <w:t> </w:t>
      </w:r>
      <w:r>
        <w:rPr/>
        <w:tab/>
      </w:r>
      <w:r>
        <w:rPr>
          <w:w w:val="100"/>
        </w:rPr>
        <w:t> </w:t>
      </w:r>
    </w:p>
    <w:p>
      <w:pPr>
        <w:pStyle w:val="BodyText"/>
        <w:tabs>
          <w:tab w:pos="737" w:val="left" w:leader="none"/>
        </w:tabs>
        <w:spacing w:line="242" w:lineRule="auto" w:before="3"/>
        <w:ind w:right="1277"/>
      </w:pPr>
      <w:r>
        <w:rPr>
          <w:w w:val="100"/>
        </w:rPr>
        <w:t> </w:t>
      </w:r>
      <w:r>
        <w:rPr/>
        <w:tab/>
      </w:r>
      <w:r>
        <w:rPr/>
        <w:t>境外经营的资产负债表中的资产和负债项目，采用资产负债表日的即期汇率折算，股东权益中除未分配利润项目外，其他项目采用发生时的即期汇率折算。境外经营的利润表中的收入与费用项目，采用交易发生日的即期汇率折算。上述折算产生的外币报表折算差额，计入其他综合收益。境外经营的现金流量项目，采用现金流量发生日的即期汇率折算。汇率变动对现金的影响</w:t>
      </w:r>
      <w:r>
        <w:rPr>
          <w:spacing w:val="1"/>
        </w:rPr>
        <w:t> </w:t>
      </w:r>
      <w:r>
        <w:rPr/>
        <w:t>额，在现金流量表中单独列示。 </w:t>
      </w:r>
    </w:p>
    <w:p>
      <w:pPr>
        <w:pStyle w:val="BodyText"/>
        <w:spacing w:before="4"/>
      </w:pPr>
      <w:r>
        <w:rPr>
          <w:w w:val="100"/>
        </w:rPr>
        <w:t> </w:t>
      </w:r>
    </w:p>
    <w:p>
      <w:pPr>
        <w:pStyle w:val="ListParagraph"/>
        <w:numPr>
          <w:ilvl w:val="0"/>
          <w:numId w:val="36"/>
        </w:numPr>
        <w:tabs>
          <w:tab w:pos="743" w:val="left" w:leader="none"/>
        </w:tabs>
        <w:spacing w:line="240" w:lineRule="auto" w:before="63" w:after="0"/>
        <w:ind w:left="742" w:right="0" w:hanging="425"/>
        <w:jc w:val="left"/>
        <w:rPr>
          <w:sz w:val="21"/>
        </w:rPr>
      </w:pPr>
      <w:r>
        <w:rPr>
          <w:sz w:val="21"/>
        </w:rPr>
        <w:t>金融工具</w:t>
      </w:r>
    </w:p>
    <w:p>
      <w:pPr>
        <w:pStyle w:val="BodyText"/>
        <w:spacing w:before="64"/>
      </w:pPr>
      <w:r>
        <w:rPr>
          <w:spacing w:val="11"/>
        </w:rPr>
        <w:t>√适用 □不适用</w:t>
      </w:r>
      <w:r>
        <w:rPr>
          <w:spacing w:val="-3"/>
        </w:rPr>
        <w:t> </w:t>
      </w:r>
      <w:r>
        <w:rPr/>
        <w:t> </w:t>
      </w:r>
    </w:p>
    <w:p>
      <w:pPr>
        <w:pStyle w:val="BodyText"/>
        <w:spacing w:line="244" w:lineRule="auto" w:before="2"/>
        <w:ind w:right="1277"/>
      </w:pPr>
      <w:r>
        <w:rPr/>
        <w:t>金融工具，是指形成一方的金融资产并形成其他方的金融负债或权益工具的合同。当本集团成为金融工具合同的一方时，确认相关的金融资产或金融负债。 </w:t>
      </w:r>
    </w:p>
    <w:p>
      <w:pPr>
        <w:pStyle w:val="BodyText"/>
        <w:spacing w:line="265" w:lineRule="exact"/>
      </w:pPr>
      <w:r>
        <w:rPr>
          <w:w w:val="100"/>
        </w:rPr>
        <w:t> </w:t>
      </w:r>
    </w:p>
    <w:p>
      <w:pPr>
        <w:pStyle w:val="ListParagraph"/>
        <w:numPr>
          <w:ilvl w:val="0"/>
          <w:numId w:val="38"/>
        </w:numPr>
        <w:tabs>
          <w:tab w:pos="636" w:val="left" w:leader="none"/>
        </w:tabs>
        <w:spacing w:line="240" w:lineRule="auto" w:before="3" w:after="0"/>
        <w:ind w:left="635" w:right="0" w:hanging="318"/>
        <w:jc w:val="left"/>
        <w:rPr>
          <w:sz w:val="21"/>
        </w:rPr>
      </w:pPr>
      <w:r>
        <w:rPr>
          <w:spacing w:val="-1"/>
          <w:sz w:val="21"/>
        </w:rPr>
        <w:t>金融资产</w:t>
      </w:r>
      <w:r>
        <w:rPr>
          <w:sz w:val="21"/>
        </w:rPr>
        <w:t> </w:t>
      </w:r>
    </w:p>
    <w:p>
      <w:pPr>
        <w:pStyle w:val="BodyText"/>
        <w:tabs>
          <w:tab w:pos="737" w:val="left" w:leader="none"/>
        </w:tabs>
        <w:spacing w:before="4"/>
      </w:pPr>
      <w:r>
        <w:rPr>
          <w:w w:val="100"/>
        </w:rPr>
        <w:t> </w:t>
      </w:r>
      <w:r>
        <w:rPr/>
        <w:tab/>
      </w:r>
      <w:r>
        <w:rPr>
          <w:w w:val="100"/>
        </w:rPr>
        <w:t> </w:t>
      </w:r>
    </w:p>
    <w:p>
      <w:pPr>
        <w:pStyle w:val="ListParagraph"/>
        <w:numPr>
          <w:ilvl w:val="0"/>
          <w:numId w:val="39"/>
        </w:numPr>
        <w:tabs>
          <w:tab w:pos="636" w:val="left" w:leader="none"/>
        </w:tabs>
        <w:spacing w:line="240" w:lineRule="auto" w:before="2" w:after="0"/>
        <w:ind w:left="635" w:right="0" w:hanging="318"/>
        <w:jc w:val="left"/>
        <w:rPr>
          <w:sz w:val="21"/>
        </w:rPr>
      </w:pPr>
      <w:r>
        <w:rPr>
          <w:sz w:val="21"/>
        </w:rPr>
        <w:t>分类和计量 </w:t>
      </w:r>
    </w:p>
    <w:p>
      <w:pPr>
        <w:pStyle w:val="BodyText"/>
        <w:tabs>
          <w:tab w:pos="737" w:val="left" w:leader="none"/>
        </w:tabs>
        <w:spacing w:before="5"/>
      </w:pPr>
      <w:r>
        <w:rPr>
          <w:w w:val="100"/>
        </w:rPr>
        <w:t> </w:t>
      </w:r>
      <w:r>
        <w:rPr/>
        <w:tab/>
      </w:r>
      <w:r>
        <w:rPr>
          <w:w w:val="100"/>
        </w:rPr>
        <w:t> </w:t>
      </w:r>
    </w:p>
    <w:p>
      <w:pPr>
        <w:pStyle w:val="BodyText"/>
        <w:spacing w:line="242" w:lineRule="auto" w:before="2"/>
        <w:ind w:right="1277"/>
        <w:jc w:val="both"/>
      </w:pPr>
      <w:r>
        <w:rPr>
          <w:w w:val="100"/>
        </w:rPr>
        <w:t> </w:t>
      </w:r>
      <w:r>
        <w:rPr/>
        <w:t>  </w:t>
      </w:r>
      <w:r>
        <w:rPr>
          <w:spacing w:val="-1"/>
        </w:rPr>
        <w:t> </w:t>
      </w:r>
      <w:r>
        <w:rPr/>
        <w:t>本集团根据管理金融资产的业务模式和金融资产的合同现金流量特征，将金融资产划分为：</w:t>
      </w:r>
      <w:r>
        <w:rPr>
          <w:spacing w:val="-103"/>
        </w:rPr>
        <w:t> </w:t>
      </w:r>
      <w:r>
        <w:rPr/>
        <w:t>(1)</w:t>
      </w:r>
      <w:r>
        <w:rPr>
          <w:spacing w:val="-2"/>
        </w:rPr>
        <w:t> 以摊余成本计量的金融资产；(</w:t>
      </w:r>
      <w:r>
        <w:rPr/>
        <w:t>2</w:t>
      </w:r>
      <w:r>
        <w:rPr>
          <w:spacing w:val="-2"/>
        </w:rPr>
        <w:t>) 以公允价值计量且其变动计入其他综合收益的金融资产；</w:t>
      </w:r>
      <w:r>
        <w:rPr>
          <w:spacing w:val="-102"/>
        </w:rPr>
        <w:t> </w:t>
      </w:r>
      <w:r>
        <w:rPr/>
        <w:t>(3)</w:t>
      </w:r>
      <w:r>
        <w:rPr>
          <w:spacing w:val="-1"/>
        </w:rPr>
        <w:t> 以公允价值计量且其变动计入当期损益的金融资产。</w:t>
      </w:r>
      <w:r>
        <w:rPr/>
        <w:t> </w:t>
      </w:r>
    </w:p>
    <w:p>
      <w:pPr>
        <w:pStyle w:val="BodyText"/>
        <w:spacing w:before="4"/>
        <w:jc w:val="both"/>
      </w:pPr>
      <w:r>
        <w:rPr>
          <w:w w:val="100"/>
        </w:rPr>
        <w:t> </w:t>
      </w:r>
      <w:r>
        <w:rPr/>
        <w:t>  </w:t>
      </w:r>
      <w:r>
        <w:rPr>
          <w:spacing w:val="-1"/>
        </w:rPr>
        <w:t> </w:t>
      </w:r>
      <w:r>
        <w:rPr>
          <w:w w:val="100"/>
        </w:rPr>
        <w:t> </w:t>
      </w:r>
    </w:p>
    <w:p>
      <w:pPr>
        <w:pStyle w:val="BodyText"/>
        <w:spacing w:line="242" w:lineRule="auto" w:before="2"/>
        <w:ind w:right="1277"/>
        <w:jc w:val="both"/>
      </w:pPr>
      <w:r>
        <w:rPr>
          <w:w w:val="100"/>
        </w:rPr>
        <w:t> </w:t>
      </w:r>
      <w:r>
        <w:rPr/>
        <w:t>  </w:t>
      </w:r>
      <w:r>
        <w:rPr>
          <w:spacing w:val="-1"/>
        </w:rPr>
        <w:t> </w:t>
      </w:r>
      <w:r>
        <w:rPr/>
        <w:t>金融资产在初始确认时以公允价值计量。对于以公允价值计量且其变动计入当期损益的金融资产，相关交易费用直接计入当期损益；对于其他类别的金融资产，相关交易费用计入初始确认金额。因销售产品或提供劳务而产生的、未包含或不考虑重大融资成分的应收账款或应收票据，</w:t>
      </w:r>
      <w:r>
        <w:rPr>
          <w:spacing w:val="-103"/>
        </w:rPr>
        <w:t> </w:t>
      </w:r>
      <w:r>
        <w:rPr/>
        <w:t>本集团按照预期有权收取的对价金额作为初始确认金额。 </w:t>
      </w:r>
    </w:p>
    <w:p>
      <w:pPr>
        <w:pStyle w:val="BodyText"/>
        <w:tabs>
          <w:tab w:pos="737" w:val="left" w:leader="none"/>
        </w:tabs>
        <w:spacing w:before="2"/>
      </w:pPr>
      <w:r>
        <w:rPr>
          <w:w w:val="100"/>
        </w:rPr>
        <w:t> </w:t>
      </w:r>
      <w:r>
        <w:rPr/>
        <w:tab/>
      </w:r>
      <w:r>
        <w:rPr>
          <w:w w:val="100"/>
        </w:rPr>
        <w:t> </w:t>
      </w:r>
    </w:p>
    <w:p>
      <w:pPr>
        <w:pStyle w:val="BodyText"/>
        <w:tabs>
          <w:tab w:pos="737" w:val="left" w:leader="none"/>
        </w:tabs>
        <w:spacing w:before="5"/>
      </w:pPr>
      <w:r>
        <w:rPr>
          <w:w w:val="100"/>
        </w:rPr>
        <w:t> </w:t>
      </w:r>
      <w:r>
        <w:rPr/>
        <w:tab/>
      </w:r>
      <w:r>
        <w:rPr/>
        <w:t>- 债务工具 </w:t>
      </w:r>
    </w:p>
    <w:p>
      <w:pPr>
        <w:pStyle w:val="BodyText"/>
        <w:tabs>
          <w:tab w:pos="737" w:val="left" w:leader="none"/>
        </w:tabs>
        <w:spacing w:before="2"/>
      </w:pPr>
      <w:r>
        <w:rPr>
          <w:w w:val="100"/>
        </w:rPr>
        <w:t> </w:t>
      </w:r>
      <w:r>
        <w:rPr/>
        <w:tab/>
      </w:r>
      <w:r>
        <w:rPr>
          <w:w w:val="100"/>
        </w:rPr>
        <w:t> </w:t>
      </w:r>
    </w:p>
    <w:p>
      <w:pPr>
        <w:pStyle w:val="BodyText"/>
        <w:tabs>
          <w:tab w:pos="737" w:val="left" w:leader="none"/>
        </w:tabs>
        <w:spacing w:line="242" w:lineRule="auto" w:before="4"/>
        <w:ind w:right="1277"/>
      </w:pPr>
      <w:r>
        <w:rPr>
          <w:w w:val="100"/>
        </w:rPr>
        <w:t> </w:t>
      </w:r>
      <w:r>
        <w:rPr/>
        <w:tab/>
      </w:r>
      <w:r>
        <w:rPr/>
        <w:t>本集团持有的债务工具是指从发行方角度分析符合金融负债定义的工具，分别采用以下两种方式进行计量： </w:t>
      </w:r>
    </w:p>
    <w:p>
      <w:pPr>
        <w:pStyle w:val="BodyText"/>
        <w:tabs>
          <w:tab w:pos="737" w:val="left" w:leader="none"/>
        </w:tabs>
        <w:spacing w:before="2"/>
      </w:pPr>
      <w:r>
        <w:rPr>
          <w:w w:val="100"/>
        </w:rPr>
        <w:t> </w:t>
      </w:r>
      <w:r>
        <w:rPr/>
        <w:tab/>
      </w:r>
      <w:r>
        <w:rPr>
          <w:w w:val="100"/>
        </w:rPr>
        <w:t> </w:t>
      </w:r>
    </w:p>
    <w:p>
      <w:pPr>
        <w:pStyle w:val="BodyText"/>
        <w:tabs>
          <w:tab w:pos="737" w:val="left" w:leader="none"/>
        </w:tabs>
        <w:spacing w:before="2"/>
      </w:pPr>
      <w:r>
        <w:rPr>
          <w:w w:val="100"/>
        </w:rPr>
        <w:t> </w:t>
      </w:r>
      <w:r>
        <w:rPr/>
        <w:tab/>
      </w:r>
      <w:r>
        <w:rPr/>
        <w:t>以摊余成本计量： </w:t>
      </w:r>
    </w:p>
    <w:p>
      <w:pPr>
        <w:pStyle w:val="BodyText"/>
        <w:tabs>
          <w:tab w:pos="737" w:val="left" w:leader="none"/>
        </w:tabs>
        <w:spacing w:before="4"/>
      </w:pPr>
      <w:r>
        <w:rPr>
          <w:w w:val="100"/>
        </w:rPr>
        <w:t> </w:t>
      </w:r>
      <w:r>
        <w:rPr/>
        <w:tab/>
      </w:r>
      <w:r>
        <w:rPr>
          <w:w w:val="100"/>
        </w:rPr>
        <w:t> </w:t>
      </w:r>
    </w:p>
    <w:p>
      <w:pPr>
        <w:pStyle w:val="BodyText"/>
        <w:spacing w:line="242" w:lineRule="auto" w:before="3"/>
        <w:ind w:right="1277"/>
        <w:jc w:val="both"/>
      </w:pPr>
      <w:r>
        <w:rPr>
          <w:w w:val="100"/>
        </w:rPr>
        <w:t> </w:t>
      </w:r>
      <w:r>
        <w:rPr/>
        <w:t>  </w:t>
      </w:r>
      <w:r>
        <w:rPr>
          <w:spacing w:val="-1"/>
        </w:rPr>
        <w:t> </w:t>
      </w:r>
      <w:r>
        <w:rPr/>
        <w:t>本集团管理此类金融资产的业务模式为以收取合同现金流量为目标，且此类金融资产的合同现金流量特征与基本借贷安排相一致，即在特定日期产生的现金流量，仅为对本金和以未偿付本金金额为基础的利息的支付。本集团对于此类金融资产按照实际利率法确认利息收入。此类金融资产主要包括货币资金、应收票据、应收账款和其他应收款等。 </w:t>
      </w:r>
    </w:p>
    <w:p>
      <w:pPr>
        <w:pStyle w:val="BodyText"/>
        <w:spacing w:before="3"/>
      </w:pPr>
      <w:r>
        <w:rPr>
          <w:w w:val="100"/>
        </w:rPr>
        <w:t> </w:t>
      </w:r>
    </w:p>
    <w:p>
      <w:pPr>
        <w:pStyle w:val="BodyText"/>
        <w:tabs>
          <w:tab w:pos="737" w:val="left" w:leader="none"/>
        </w:tabs>
        <w:spacing w:before="2"/>
      </w:pPr>
      <w:r>
        <w:rPr>
          <w:w w:val="100"/>
        </w:rPr>
        <w:t> </w:t>
      </w:r>
      <w:r>
        <w:rPr/>
        <w:tab/>
      </w:r>
      <w:r>
        <w:rPr/>
        <w:t>以公允价值计量且其变动计入其他综合收益： </w:t>
      </w:r>
    </w:p>
    <w:p>
      <w:pPr>
        <w:pStyle w:val="BodyText"/>
        <w:tabs>
          <w:tab w:pos="737" w:val="left" w:leader="none"/>
        </w:tabs>
        <w:spacing w:before="4"/>
      </w:pPr>
      <w:r>
        <w:rPr>
          <w:w w:val="100"/>
        </w:rPr>
        <w:t> </w:t>
      </w:r>
      <w:r>
        <w:rPr/>
        <w:tab/>
      </w:r>
      <w:r>
        <w:rPr>
          <w:w w:val="100"/>
        </w:rPr>
        <w:t> </w:t>
      </w:r>
    </w:p>
    <w:p>
      <w:pPr>
        <w:pStyle w:val="BodyText"/>
        <w:spacing w:line="242" w:lineRule="auto" w:before="3"/>
        <w:ind w:right="1277"/>
        <w:jc w:val="both"/>
      </w:pPr>
      <w:r>
        <w:rPr>
          <w:w w:val="100"/>
        </w:rPr>
        <w:t> </w:t>
      </w:r>
      <w:r>
        <w:rPr/>
        <w:t>  </w:t>
      </w:r>
      <w:r>
        <w:rPr>
          <w:spacing w:val="-1"/>
        </w:rPr>
        <w:t> </w:t>
      </w:r>
      <w:r>
        <w:rPr/>
        <w:t>本集团管理此类金融资产的业务模式为既以收取合同现金流量为目标又以出售为目标，且此类金融资产的合同现金流量特征与基本借贷安排相一致。此类金融资产按照公允价值计量且其变动计入其他综合收益，但减值损失或利得、汇兑损益和按照实际利率法计算的利息收入计入当期损益。此类金融资产主要包括其他债权投资等。本集团自资产负债表日起一年内(含一年)到期的</w:t>
      </w:r>
    </w:p>
    <w:p>
      <w:pPr>
        <w:spacing w:after="0" w:line="242" w:lineRule="auto"/>
        <w:jc w:val="both"/>
        <w:sectPr>
          <w:pgSz w:w="11910" w:h="16840"/>
          <w:pgMar w:header="882" w:footer="1172" w:top="1120" w:bottom="1380" w:left="1480" w:right="0"/>
        </w:sectPr>
      </w:pPr>
    </w:p>
    <w:p>
      <w:pPr>
        <w:pStyle w:val="BodyText"/>
        <w:spacing w:before="7"/>
        <w:ind w:left="0"/>
        <w:rPr>
          <w:sz w:val="25"/>
        </w:rPr>
      </w:pPr>
    </w:p>
    <w:p>
      <w:pPr>
        <w:pStyle w:val="BodyText"/>
        <w:spacing w:line="244" w:lineRule="auto" w:before="72"/>
        <w:ind w:right="1279"/>
      </w:pPr>
      <w:r>
        <w:rPr/>
        <w:t>其他债权投资，列示为一年内到期的非流动资产；取得时期限在一年内(含一年)的其他债权投资列示为其他流动资产。 </w:t>
      </w:r>
    </w:p>
    <w:p>
      <w:pPr>
        <w:pStyle w:val="BodyText"/>
        <w:tabs>
          <w:tab w:pos="737" w:val="left" w:leader="none"/>
        </w:tabs>
        <w:spacing w:line="265" w:lineRule="exact"/>
      </w:pPr>
      <w:r>
        <w:rPr>
          <w:w w:val="100"/>
        </w:rPr>
        <w:t> </w:t>
      </w:r>
      <w:r>
        <w:rPr/>
        <w:tab/>
      </w:r>
      <w:r>
        <w:rPr>
          <w:w w:val="100"/>
        </w:rPr>
        <w:t> </w:t>
      </w:r>
    </w:p>
    <w:p>
      <w:pPr>
        <w:pStyle w:val="BodyText"/>
        <w:tabs>
          <w:tab w:pos="737" w:val="left" w:leader="none"/>
        </w:tabs>
        <w:spacing w:before="5"/>
      </w:pPr>
      <w:r>
        <w:rPr>
          <w:w w:val="100"/>
        </w:rPr>
        <w:t> </w:t>
      </w:r>
      <w:r>
        <w:rPr/>
        <w:tab/>
      </w:r>
      <w:r>
        <w:rPr/>
        <w:t>- 权益工具 </w:t>
      </w:r>
    </w:p>
    <w:p>
      <w:pPr>
        <w:pStyle w:val="BodyText"/>
        <w:tabs>
          <w:tab w:pos="737" w:val="left" w:leader="none"/>
        </w:tabs>
        <w:spacing w:before="2"/>
      </w:pPr>
      <w:r>
        <w:rPr>
          <w:w w:val="100"/>
        </w:rPr>
        <w:t> </w:t>
      </w:r>
      <w:r>
        <w:rPr/>
        <w:tab/>
      </w:r>
      <w:r>
        <w:rPr>
          <w:w w:val="100"/>
        </w:rPr>
        <w:t> </w:t>
      </w:r>
    </w:p>
    <w:p>
      <w:pPr>
        <w:pStyle w:val="BodyText"/>
        <w:spacing w:line="242" w:lineRule="auto" w:before="4"/>
        <w:ind w:right="1277"/>
        <w:jc w:val="both"/>
      </w:pPr>
      <w:r>
        <w:rPr>
          <w:w w:val="100"/>
        </w:rPr>
        <w:t> </w:t>
      </w:r>
      <w:r>
        <w:rPr/>
        <w:t>  </w:t>
      </w:r>
      <w:r>
        <w:rPr>
          <w:spacing w:val="-1"/>
        </w:rPr>
        <w:t> </w:t>
      </w:r>
      <w:r>
        <w:rPr/>
        <w:t>本集团将对其没有控制、共同控制和重大影响的权益工具投资按照公允价值计量且其变动计入当期损益，列示为交易性金融资产；自资产负债表日起预期持有超过一年的，列示为其他非流动金融资产。 </w:t>
      </w:r>
    </w:p>
    <w:p>
      <w:pPr>
        <w:pStyle w:val="BodyText"/>
        <w:spacing w:before="1"/>
      </w:pPr>
      <w:r>
        <w:rPr>
          <w:w w:val="100"/>
        </w:rPr>
        <w:t> </w:t>
      </w:r>
    </w:p>
    <w:p>
      <w:pPr>
        <w:pStyle w:val="BodyText"/>
        <w:spacing w:line="242" w:lineRule="auto" w:before="4"/>
        <w:ind w:right="1277"/>
      </w:pPr>
      <w:r>
        <w:rPr/>
        <w:t>此外，本集团将部分非交易性权益工具投资于初始确认时指定为以公允价值计量且其变动计入其他综合收益的金融资产，列示为其他权益工具投资。该类金融资产的相关股利收入计入当期损</w:t>
      </w:r>
      <w:r>
        <w:rPr>
          <w:spacing w:val="1"/>
        </w:rPr>
        <w:t> </w:t>
      </w:r>
      <w:r>
        <w:rPr/>
        <w:t>益。 </w:t>
      </w:r>
    </w:p>
    <w:p>
      <w:pPr>
        <w:pStyle w:val="BodyText"/>
        <w:tabs>
          <w:tab w:pos="737" w:val="left" w:leader="none"/>
        </w:tabs>
        <w:spacing w:before="1"/>
      </w:pPr>
      <w:r>
        <w:rPr>
          <w:w w:val="100"/>
        </w:rPr>
        <w:t> </w:t>
      </w:r>
      <w:r>
        <w:rPr/>
        <w:tab/>
      </w:r>
      <w:r>
        <w:rPr>
          <w:w w:val="100"/>
        </w:rPr>
        <w:t> </w:t>
      </w:r>
    </w:p>
    <w:p>
      <w:pPr>
        <w:pStyle w:val="ListParagraph"/>
        <w:numPr>
          <w:ilvl w:val="0"/>
          <w:numId w:val="39"/>
        </w:numPr>
        <w:tabs>
          <w:tab w:pos="742" w:val="left" w:leader="none"/>
          <w:tab w:pos="1157" w:val="left" w:leader="none"/>
        </w:tabs>
        <w:spacing w:line="240" w:lineRule="auto" w:before="5" w:after="0"/>
        <w:ind w:left="741" w:right="0" w:hanging="424"/>
        <w:jc w:val="left"/>
        <w:rPr>
          <w:sz w:val="21"/>
        </w:rPr>
      </w:pPr>
      <w:r>
        <w:rPr>
          <w:sz w:val="21"/>
        </w:rPr>
        <w:t>减值 </w:t>
      </w:r>
    </w:p>
    <w:p>
      <w:pPr>
        <w:pStyle w:val="BodyText"/>
        <w:tabs>
          <w:tab w:pos="737" w:val="left" w:leader="none"/>
        </w:tabs>
        <w:spacing w:before="2"/>
      </w:pPr>
      <w:r>
        <w:rPr>
          <w:w w:val="100"/>
        </w:rPr>
        <w:t> </w:t>
      </w:r>
      <w:r>
        <w:rPr/>
        <w:tab/>
      </w:r>
      <w:r>
        <w:rPr>
          <w:w w:val="100"/>
        </w:rPr>
        <w:t> </w:t>
      </w:r>
    </w:p>
    <w:p>
      <w:pPr>
        <w:pStyle w:val="BodyText"/>
        <w:tabs>
          <w:tab w:pos="737" w:val="left" w:leader="none"/>
        </w:tabs>
        <w:spacing w:line="242" w:lineRule="auto" w:before="5"/>
        <w:ind w:right="1277"/>
      </w:pPr>
      <w:r>
        <w:rPr>
          <w:w w:val="100"/>
        </w:rPr>
        <w:t> </w:t>
      </w:r>
      <w:r>
        <w:rPr/>
        <w:tab/>
      </w:r>
      <w:r>
        <w:rPr/>
        <w:t>本集团对于以摊余成本计量的金融资产、以公允价值计量且其变动计入其他综合收益的债务工具投资等，以预期信用损失为基础确认损失准备。 </w:t>
      </w:r>
    </w:p>
    <w:p>
      <w:pPr>
        <w:pStyle w:val="BodyText"/>
        <w:tabs>
          <w:tab w:pos="737" w:val="left" w:leader="none"/>
        </w:tabs>
        <w:spacing w:before="1"/>
      </w:pPr>
      <w:r>
        <w:rPr>
          <w:w w:val="100"/>
        </w:rPr>
        <w:t> </w:t>
      </w:r>
      <w:r>
        <w:rPr/>
        <w:tab/>
      </w:r>
      <w:r>
        <w:rPr>
          <w:w w:val="100"/>
        </w:rPr>
        <w:t> </w:t>
      </w:r>
    </w:p>
    <w:p>
      <w:pPr>
        <w:pStyle w:val="BodyText"/>
        <w:spacing w:line="242" w:lineRule="auto" w:before="2"/>
        <w:ind w:right="1174"/>
        <w:jc w:val="both"/>
      </w:pPr>
      <w:r>
        <w:rPr>
          <w:w w:val="100"/>
        </w:rPr>
        <w:t> </w:t>
      </w:r>
      <w:r>
        <w:rPr/>
        <w:t>  </w:t>
      </w:r>
      <w:r>
        <w:rPr>
          <w:spacing w:val="-1"/>
        </w:rPr>
        <w:t> </w:t>
      </w:r>
      <w:r>
        <w:rPr/>
        <w:t>本集团考虑在资产负债表日无须付出不必要的额外成本和努力即可获得的有关过去事项、当前状况以及对未来经济状况的预测等合理且有依据的信息，以发生违约的风险为权重，计算合同应收的现金流量与预期能收到的现金流量之间差额的现值的概率加权金额，确认预期信用损失。 </w:t>
      </w:r>
    </w:p>
    <w:p>
      <w:pPr>
        <w:pStyle w:val="BodyText"/>
        <w:spacing w:before="1"/>
        <w:jc w:val="both"/>
      </w:pPr>
      <w:r>
        <w:rPr>
          <w:w w:val="100"/>
        </w:rPr>
        <w:t> </w:t>
      </w:r>
      <w:r>
        <w:rPr/>
        <w:t>  </w:t>
      </w:r>
      <w:r>
        <w:rPr>
          <w:spacing w:val="-1"/>
        </w:rPr>
        <w:t> </w:t>
      </w:r>
      <w:r>
        <w:rPr>
          <w:w w:val="100"/>
        </w:rPr>
        <w:t> </w:t>
      </w:r>
    </w:p>
    <w:p>
      <w:pPr>
        <w:pStyle w:val="BodyText"/>
        <w:spacing w:line="242" w:lineRule="auto" w:before="5"/>
        <w:ind w:right="1277"/>
        <w:jc w:val="both"/>
      </w:pPr>
      <w:r>
        <w:rPr>
          <w:w w:val="100"/>
        </w:rPr>
        <w:t> </w:t>
      </w:r>
      <w:r>
        <w:rPr/>
        <w:t>  </w:t>
      </w:r>
      <w:r>
        <w:rPr>
          <w:spacing w:val="-1"/>
        </w:rPr>
        <w:t> </w:t>
      </w:r>
      <w:r>
        <w:rPr/>
        <w:t>对于因销售商品、提供劳务等日常经营活动形成的应收票据和应收账款，无论是否存在重大融资成分，本集团均按照整个存续期的预期信用损失计量损失准备。 </w:t>
      </w:r>
    </w:p>
    <w:p>
      <w:pPr>
        <w:pStyle w:val="BodyText"/>
        <w:spacing w:before="1"/>
      </w:pPr>
      <w:r>
        <w:rPr>
          <w:w w:val="100"/>
        </w:rPr>
        <w:t> </w:t>
      </w:r>
    </w:p>
    <w:p>
      <w:pPr>
        <w:pStyle w:val="BodyText"/>
        <w:tabs>
          <w:tab w:pos="737" w:val="left" w:leader="none"/>
        </w:tabs>
        <w:spacing w:line="242" w:lineRule="auto" w:before="2"/>
        <w:ind w:right="1277"/>
      </w:pPr>
      <w:r>
        <w:rPr>
          <w:w w:val="100"/>
        </w:rPr>
        <w:t> </w:t>
      </w:r>
      <w:r>
        <w:rPr/>
        <w:tab/>
      </w:r>
      <w:r>
        <w:rPr/>
        <w:t>除上述应收票据和应收账款外，于每个资产负债表日，本集团对处于不同阶段的金融工具的预期信用损失分别进行计量。金融工具自初始确认后信用风险未显著增加的，处于第一阶段，本</w:t>
      </w:r>
      <w:r>
        <w:rPr>
          <w:spacing w:val="-9"/>
        </w:rPr>
        <w:t>集团按照未来 </w:t>
      </w:r>
      <w:r>
        <w:rPr>
          <w:spacing w:val="-1"/>
        </w:rPr>
        <w:t>12</w:t>
      </w:r>
      <w:r>
        <w:rPr>
          <w:spacing w:val="-8"/>
        </w:rPr>
        <w:t> 个月内的预期信用损失计量损失准备；金融工具自初始确认后信用风险已显著</w:t>
      </w:r>
      <w:r>
        <w:rPr/>
        <w:t>增加但尚未发生信用减值的，处于第二阶段，本集团按照该工具整个存续期的预期信用损失计量损失准备；金融工具自初始确认后已经发生信用减值的，处于第三阶段，本集团按照该工具整个存续期的预期信用损失计量损失准备。 </w:t>
      </w:r>
    </w:p>
    <w:p>
      <w:pPr>
        <w:pStyle w:val="BodyText"/>
        <w:tabs>
          <w:tab w:pos="737" w:val="left" w:leader="none"/>
        </w:tabs>
        <w:spacing w:before="4"/>
      </w:pPr>
      <w:r>
        <w:rPr>
          <w:w w:val="100"/>
        </w:rPr>
        <w:t> </w:t>
      </w:r>
      <w:r>
        <w:rPr/>
        <w:tab/>
      </w:r>
      <w:r>
        <w:rPr>
          <w:w w:val="100"/>
        </w:rPr>
        <w:t> </w:t>
      </w:r>
    </w:p>
    <w:p>
      <w:pPr>
        <w:pStyle w:val="BodyText"/>
        <w:tabs>
          <w:tab w:pos="737" w:val="left" w:leader="none"/>
        </w:tabs>
        <w:spacing w:line="242" w:lineRule="auto" w:before="5"/>
        <w:ind w:right="1277"/>
      </w:pPr>
      <w:r>
        <w:rPr>
          <w:w w:val="100"/>
        </w:rPr>
        <w:t> </w:t>
      </w:r>
      <w:r>
        <w:rPr/>
        <w:tab/>
      </w:r>
      <w:r>
        <w:rPr/>
        <w:t>对于在资产负债表日具有较低信用风险的金融工具，本集团假设其信用风险自初始确认后并</w:t>
      </w:r>
      <w:r>
        <w:rPr>
          <w:spacing w:val="-3"/>
        </w:rPr>
        <w:t>未显著增加，认定为处于第一阶段的金融工具，按照未来 </w:t>
      </w:r>
      <w:r>
        <w:rPr/>
        <w:t>12</w:t>
      </w:r>
      <w:r>
        <w:rPr>
          <w:spacing w:val="-8"/>
        </w:rPr>
        <w:t> 个月内的预期信用损失计量损失准</w:t>
      </w:r>
      <w:r>
        <w:rPr/>
        <w:t>备。 </w:t>
      </w:r>
    </w:p>
    <w:p>
      <w:pPr>
        <w:pStyle w:val="BodyText"/>
        <w:tabs>
          <w:tab w:pos="737" w:val="left" w:leader="none"/>
        </w:tabs>
        <w:spacing w:before="1"/>
      </w:pPr>
      <w:r>
        <w:rPr>
          <w:w w:val="100"/>
        </w:rPr>
        <w:t> </w:t>
      </w:r>
      <w:r>
        <w:rPr/>
        <w:tab/>
      </w:r>
      <w:r>
        <w:rPr>
          <w:w w:val="100"/>
        </w:rPr>
        <w:t> </w:t>
      </w:r>
    </w:p>
    <w:p>
      <w:pPr>
        <w:pStyle w:val="BodyText"/>
        <w:spacing w:line="242" w:lineRule="auto" w:before="4"/>
        <w:ind w:right="1277"/>
        <w:jc w:val="both"/>
      </w:pPr>
      <w:r>
        <w:rPr>
          <w:w w:val="100"/>
        </w:rPr>
        <w:t> </w:t>
      </w:r>
      <w:r>
        <w:rPr/>
        <w:t>  </w:t>
      </w:r>
      <w:r>
        <w:rPr>
          <w:spacing w:val="-1"/>
        </w:rPr>
        <w:t> </w:t>
      </w:r>
      <w:r>
        <w:rPr/>
        <w:t>本集团对于处于第一阶段和第二阶段的金融工具，按照其未扣除减值准备的账面余额和实际利率计算利息收入。对于处于第三阶段的金融工具，按照其账面余额减已计提减值准备后的摊余成本和实际利率计算利息收入。 </w:t>
      </w:r>
    </w:p>
    <w:p>
      <w:pPr>
        <w:pStyle w:val="BodyText"/>
        <w:spacing w:before="1"/>
        <w:jc w:val="both"/>
      </w:pPr>
      <w:r>
        <w:rPr>
          <w:w w:val="100"/>
        </w:rPr>
        <w:t> </w:t>
      </w:r>
      <w:r>
        <w:rPr/>
        <w:t>  </w:t>
      </w:r>
      <w:r>
        <w:rPr>
          <w:spacing w:val="-1"/>
        </w:rPr>
        <w:t> </w:t>
      </w:r>
      <w:r>
        <w:rPr>
          <w:w w:val="100"/>
        </w:rPr>
        <w:t> </w:t>
      </w:r>
    </w:p>
    <w:p>
      <w:pPr>
        <w:pStyle w:val="BodyText"/>
        <w:spacing w:line="244" w:lineRule="auto" w:before="3"/>
        <w:ind w:right="1277"/>
        <w:jc w:val="both"/>
      </w:pPr>
      <w:r>
        <w:rPr>
          <w:w w:val="100"/>
        </w:rPr>
        <w:t> </w:t>
      </w:r>
      <w:r>
        <w:rPr/>
        <w:t>  </w:t>
      </w:r>
      <w:r>
        <w:rPr>
          <w:spacing w:val="-1"/>
        </w:rPr>
        <w:t> </w:t>
      </w:r>
      <w:r>
        <w:rPr/>
        <w:t>当单项金融资产无法以合理成本评估预期信用损失的信息时，本集团依据信用风险特征将应收款项划分为若干组合，在组合基础上计算预期信用损失，确定组合的依据和计提方式如下： </w:t>
      </w: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0"/>
        <w:gridCol w:w="7467"/>
      </w:tblGrid>
      <w:tr>
        <w:trPr>
          <w:trHeight w:val="552" w:hRule="atLeast"/>
        </w:trPr>
        <w:tc>
          <w:tcPr>
            <w:tcW w:w="1700" w:type="dxa"/>
          </w:tcPr>
          <w:p>
            <w:pPr>
              <w:pStyle w:val="TableParagraph"/>
              <w:spacing w:line="285" w:lineRule="exact"/>
              <w:ind w:left="200"/>
              <w:rPr>
                <w:sz w:val="24"/>
              </w:rPr>
            </w:pPr>
            <w:r>
              <w:rPr>
                <w:sz w:val="24"/>
              </w:rPr>
              <w:t>组合一</w:t>
            </w:r>
          </w:p>
        </w:tc>
        <w:tc>
          <w:tcPr>
            <w:tcW w:w="7467" w:type="dxa"/>
          </w:tcPr>
          <w:p>
            <w:pPr>
              <w:pStyle w:val="TableParagraph"/>
              <w:spacing w:line="271" w:lineRule="exact"/>
              <w:ind w:left="660"/>
              <w:rPr>
                <w:sz w:val="24"/>
              </w:rPr>
            </w:pPr>
            <w:r>
              <w:rPr>
                <w:sz w:val="24"/>
              </w:rPr>
              <w:t>应收银行存款利息、保证金</w:t>
            </w:r>
            <w:r>
              <w:rPr>
                <w:rFonts w:ascii="Arial MT" w:eastAsia="Arial MT"/>
                <w:sz w:val="24"/>
              </w:rPr>
              <w:t>(</w:t>
            </w:r>
            <w:r>
              <w:rPr>
                <w:sz w:val="24"/>
              </w:rPr>
              <w:t>含押金</w:t>
            </w:r>
            <w:r>
              <w:rPr>
                <w:rFonts w:ascii="Arial MT" w:eastAsia="Arial MT"/>
                <w:sz w:val="24"/>
              </w:rPr>
              <w:t>)</w:t>
            </w:r>
            <w:r>
              <w:rPr>
                <w:sz w:val="24"/>
              </w:rPr>
              <w:t>、退税款、在途资金、应</w:t>
            </w:r>
          </w:p>
          <w:p>
            <w:pPr>
              <w:pStyle w:val="TableParagraph"/>
              <w:spacing w:line="261" w:lineRule="exact"/>
              <w:ind w:left="660"/>
              <w:rPr>
                <w:sz w:val="24"/>
              </w:rPr>
            </w:pPr>
            <w:r>
              <w:rPr>
                <w:sz w:val="24"/>
              </w:rPr>
              <w:t>收集团内委托贷款及股利</w:t>
            </w:r>
          </w:p>
        </w:tc>
      </w:tr>
      <w:tr>
        <w:trPr>
          <w:trHeight w:val="279" w:hRule="atLeast"/>
        </w:trPr>
        <w:tc>
          <w:tcPr>
            <w:tcW w:w="1700" w:type="dxa"/>
          </w:tcPr>
          <w:p>
            <w:pPr>
              <w:pStyle w:val="TableParagraph"/>
              <w:spacing w:line="260" w:lineRule="exact"/>
              <w:ind w:left="200"/>
              <w:rPr>
                <w:sz w:val="24"/>
              </w:rPr>
            </w:pPr>
            <w:r>
              <w:rPr>
                <w:spacing w:val="-1"/>
                <w:sz w:val="24"/>
              </w:rPr>
              <w:t>组合二</w:t>
            </w:r>
            <w:r>
              <w:rPr>
                <w:sz w:val="24"/>
              </w:rPr>
              <w:t> </w:t>
            </w:r>
          </w:p>
        </w:tc>
        <w:tc>
          <w:tcPr>
            <w:tcW w:w="7467" w:type="dxa"/>
          </w:tcPr>
          <w:p>
            <w:pPr>
              <w:pStyle w:val="TableParagraph"/>
              <w:spacing w:line="260" w:lineRule="exact"/>
              <w:ind w:left="660"/>
              <w:rPr>
                <w:sz w:val="24"/>
              </w:rPr>
            </w:pPr>
            <w:r>
              <w:rPr>
                <w:sz w:val="24"/>
              </w:rPr>
              <w:t>银行承兑汇票 </w:t>
            </w:r>
          </w:p>
        </w:tc>
      </w:tr>
      <w:tr>
        <w:trPr>
          <w:trHeight w:val="259" w:hRule="atLeast"/>
        </w:trPr>
        <w:tc>
          <w:tcPr>
            <w:tcW w:w="1700" w:type="dxa"/>
          </w:tcPr>
          <w:p>
            <w:pPr>
              <w:pStyle w:val="TableParagraph"/>
              <w:spacing w:line="239" w:lineRule="exact"/>
              <w:ind w:left="200"/>
              <w:rPr>
                <w:sz w:val="24"/>
              </w:rPr>
            </w:pPr>
            <w:r>
              <w:rPr>
                <w:sz w:val="24"/>
              </w:rPr>
              <w:t>组合三</w:t>
            </w:r>
          </w:p>
        </w:tc>
        <w:tc>
          <w:tcPr>
            <w:tcW w:w="7467" w:type="dxa"/>
          </w:tcPr>
          <w:p>
            <w:pPr>
              <w:pStyle w:val="TableParagraph"/>
              <w:spacing w:line="239" w:lineRule="exact"/>
              <w:ind w:left="660"/>
              <w:rPr>
                <w:sz w:val="24"/>
              </w:rPr>
            </w:pPr>
            <w:r>
              <w:rPr>
                <w:sz w:val="24"/>
              </w:rPr>
              <w:t>除上述组合外的其他款项 </w:t>
            </w:r>
          </w:p>
        </w:tc>
      </w:tr>
    </w:tbl>
    <w:p>
      <w:pPr>
        <w:pStyle w:val="BodyText"/>
        <w:spacing w:before="25"/>
      </w:pPr>
      <w:r>
        <w:rPr>
          <w:w w:val="100"/>
        </w:rPr>
        <w:t> </w:t>
      </w:r>
    </w:p>
    <w:p>
      <w:pPr>
        <w:pStyle w:val="BodyText"/>
        <w:spacing w:line="242" w:lineRule="auto" w:before="4"/>
        <w:ind w:right="1277"/>
        <w:jc w:val="both"/>
      </w:pPr>
      <w:r>
        <w:rPr/>
        <w:t>对于划分为组合的应收账款和因销售商品、提供劳务等日常经营活动形成的应收票据，本集团参考历史信用损失经验，结合当前状况以及对未来经济状况的预测，编制应收账款逾期天数与整个存续期预期信用损失率对照表，计算预期信用损失。除此以外的应收票据和划分为组合的其他应</w:t>
      </w:r>
    </w:p>
    <w:p>
      <w:pPr>
        <w:spacing w:after="0" w:line="242" w:lineRule="auto"/>
        <w:jc w:val="both"/>
        <w:sectPr>
          <w:pgSz w:w="11910" w:h="16840"/>
          <w:pgMar w:header="882" w:footer="1172" w:top="1120" w:bottom="1380" w:left="1480" w:right="0"/>
        </w:sectPr>
      </w:pPr>
    </w:p>
    <w:p>
      <w:pPr>
        <w:pStyle w:val="BodyText"/>
        <w:spacing w:before="7"/>
        <w:ind w:left="0"/>
        <w:rPr>
          <w:sz w:val="25"/>
        </w:rPr>
      </w:pPr>
    </w:p>
    <w:p>
      <w:pPr>
        <w:pStyle w:val="BodyText"/>
        <w:spacing w:line="244" w:lineRule="auto" w:before="72"/>
        <w:ind w:right="1277"/>
      </w:pPr>
      <w:r>
        <w:rPr/>
        <w:t>收款，本集团参考历史信用损失经验，结合当前状况以及对未来经济状况的预测，通过违约风险</w:t>
      </w:r>
      <w:r>
        <w:rPr>
          <w:spacing w:val="-10"/>
        </w:rPr>
        <w:t>敞口和未来 </w:t>
      </w:r>
      <w:r>
        <w:rPr>
          <w:spacing w:val="-1"/>
        </w:rPr>
        <w:t>12</w:t>
      </w:r>
      <w:r>
        <w:rPr>
          <w:spacing w:val="-8"/>
        </w:rPr>
        <w:t> 个月内或整个存续期预期信用损失率，计算预期信用损失。</w:t>
      </w:r>
      <w:r>
        <w:rPr/>
        <w:t> </w:t>
      </w:r>
    </w:p>
    <w:p>
      <w:pPr>
        <w:pStyle w:val="BodyText"/>
        <w:spacing w:line="265" w:lineRule="exact"/>
      </w:pPr>
      <w:r>
        <w:rPr>
          <w:w w:val="100"/>
        </w:rPr>
        <w:t> </w:t>
      </w:r>
    </w:p>
    <w:p>
      <w:pPr>
        <w:pStyle w:val="BodyText"/>
        <w:spacing w:line="242" w:lineRule="auto" w:before="5"/>
        <w:ind w:right="1277"/>
      </w:pPr>
      <w:r>
        <w:rPr/>
        <w:t>本集团将计提或转回的损失准备计入当期损益。对于持有的以公允价值计量且其变动计入其他综合收益的债务工具，本集团将减值损失或利得计入当期损益的同时调整其他综合收益。 </w:t>
      </w:r>
    </w:p>
    <w:p>
      <w:pPr>
        <w:pStyle w:val="BodyText"/>
        <w:spacing w:before="1"/>
      </w:pPr>
      <w:r>
        <w:rPr>
          <w:w w:val="100"/>
        </w:rPr>
        <w:t> </w:t>
      </w:r>
    </w:p>
    <w:p>
      <w:pPr>
        <w:pStyle w:val="ListParagraph"/>
        <w:numPr>
          <w:ilvl w:val="0"/>
          <w:numId w:val="39"/>
        </w:numPr>
        <w:tabs>
          <w:tab w:pos="848" w:val="left" w:leader="none"/>
        </w:tabs>
        <w:spacing w:line="240" w:lineRule="auto" w:before="2" w:after="0"/>
        <w:ind w:left="847" w:right="0" w:hanging="530"/>
        <w:jc w:val="left"/>
        <w:rPr>
          <w:sz w:val="21"/>
        </w:rPr>
      </w:pPr>
      <w:r>
        <w:rPr>
          <w:sz w:val="21"/>
        </w:rPr>
        <w:t>终止确认 </w:t>
      </w:r>
    </w:p>
    <w:p>
      <w:pPr>
        <w:pStyle w:val="BodyText"/>
        <w:tabs>
          <w:tab w:pos="737" w:val="left" w:leader="none"/>
        </w:tabs>
        <w:spacing w:before="4"/>
      </w:pPr>
      <w:r>
        <w:rPr>
          <w:w w:val="100"/>
        </w:rPr>
        <w:t> </w:t>
      </w:r>
      <w:r>
        <w:rPr/>
        <w:tab/>
      </w:r>
      <w:r>
        <w:rPr>
          <w:w w:val="100"/>
        </w:rPr>
        <w:t> </w:t>
      </w:r>
    </w:p>
    <w:p>
      <w:pPr>
        <w:pStyle w:val="BodyText"/>
        <w:tabs>
          <w:tab w:pos="737" w:val="left" w:leader="none"/>
        </w:tabs>
        <w:spacing w:line="242" w:lineRule="auto" w:before="3"/>
        <w:ind w:right="1282"/>
      </w:pPr>
      <w:r>
        <w:rPr>
          <w:w w:val="100"/>
        </w:rPr>
        <w:t> </w:t>
      </w:r>
      <w:r>
        <w:rPr/>
        <w:tab/>
      </w:r>
      <w:r>
        <w:rPr/>
        <w:t>金融资产满足下列条件之一的，予以终止确认：(1)</w:t>
      </w:r>
      <w:r>
        <w:rPr>
          <w:spacing w:val="-3"/>
        </w:rPr>
        <w:t> 收取该金融资产现金流量的合同权利终</w:t>
      </w:r>
      <w:r>
        <w:rPr/>
        <w:t>止；(2) 该金融资产已转移，且本集团将金融资产所有权上几乎所有的风险和报酬转移给转入方</w:t>
      </w:r>
      <w:r>
        <w:rPr>
          <w:spacing w:val="-1"/>
        </w:rPr>
        <w:t>； (</w:t>
      </w:r>
      <w:r>
        <w:rPr/>
        <w:t>3)</w:t>
      </w:r>
      <w:r>
        <w:rPr>
          <w:spacing w:val="-2"/>
        </w:rPr>
        <w:t> 该金融资产已转移，虽然本集团既没有转移也没有保留金融资产所有权上几乎所有的风</w:t>
      </w:r>
      <w:r>
        <w:rPr/>
        <w:t>险和报酬，但是放弃了对该金融资产控制。 </w:t>
      </w:r>
    </w:p>
    <w:p>
      <w:pPr>
        <w:pStyle w:val="BodyText"/>
        <w:tabs>
          <w:tab w:pos="737" w:val="left" w:leader="none"/>
        </w:tabs>
        <w:spacing w:before="2"/>
      </w:pPr>
      <w:r>
        <w:rPr>
          <w:w w:val="100"/>
        </w:rPr>
        <w:t> </w:t>
      </w:r>
      <w:r>
        <w:rPr/>
        <w:tab/>
      </w:r>
      <w:r>
        <w:rPr>
          <w:w w:val="100"/>
        </w:rPr>
        <w:t> </w:t>
      </w:r>
    </w:p>
    <w:p>
      <w:pPr>
        <w:pStyle w:val="BodyText"/>
        <w:spacing w:line="242" w:lineRule="auto" w:before="5"/>
        <w:ind w:right="1277"/>
        <w:jc w:val="both"/>
      </w:pPr>
      <w:r>
        <w:rPr>
          <w:w w:val="100"/>
        </w:rPr>
        <w:t> </w:t>
      </w:r>
      <w:r>
        <w:rPr/>
        <w:t>  </w:t>
      </w:r>
      <w:r>
        <w:rPr>
          <w:spacing w:val="-1"/>
        </w:rPr>
        <w:t> </w:t>
      </w:r>
      <w:r>
        <w:rPr/>
        <w:t>其他权益工具投资终止确认时，其账面价值与收到的对价以及原直接计入其他综合收益的公允价值变动累计额之和的差额，计入留存收益；其余金融资产终止确认时，其账面价值与收到的对价以及原直接计入其他综合收益的公允价值变动累计额之和的差额，计入当期损益。 </w:t>
      </w:r>
    </w:p>
    <w:p>
      <w:pPr>
        <w:pStyle w:val="BodyText"/>
        <w:tabs>
          <w:tab w:pos="737" w:val="left" w:leader="none"/>
        </w:tabs>
        <w:spacing w:before="1"/>
      </w:pPr>
      <w:r>
        <w:rPr>
          <w:w w:val="100"/>
        </w:rPr>
        <w:t> </w:t>
      </w:r>
      <w:r>
        <w:rPr/>
        <w:tab/>
      </w:r>
      <w:r>
        <w:rPr>
          <w:w w:val="100"/>
        </w:rPr>
        <w:t> </w:t>
      </w:r>
    </w:p>
    <w:p>
      <w:pPr>
        <w:pStyle w:val="ListParagraph"/>
        <w:numPr>
          <w:ilvl w:val="0"/>
          <w:numId w:val="38"/>
        </w:numPr>
        <w:tabs>
          <w:tab w:pos="636" w:val="left" w:leader="none"/>
        </w:tabs>
        <w:spacing w:line="240" w:lineRule="auto" w:before="5" w:after="0"/>
        <w:ind w:left="635" w:right="0" w:hanging="318"/>
        <w:jc w:val="left"/>
        <w:rPr>
          <w:sz w:val="21"/>
        </w:rPr>
      </w:pPr>
      <w:r>
        <w:rPr>
          <w:spacing w:val="-1"/>
          <w:sz w:val="21"/>
        </w:rPr>
        <w:t>金融负债</w:t>
      </w:r>
      <w:r>
        <w:rPr>
          <w:sz w:val="21"/>
        </w:rPr>
        <w:t> </w:t>
      </w:r>
    </w:p>
    <w:p>
      <w:pPr>
        <w:pStyle w:val="BodyText"/>
        <w:tabs>
          <w:tab w:pos="737" w:val="left" w:leader="none"/>
        </w:tabs>
        <w:spacing w:before="2"/>
      </w:pPr>
      <w:r>
        <w:rPr>
          <w:w w:val="100"/>
        </w:rPr>
        <w:t> </w:t>
      </w:r>
      <w:r>
        <w:rPr/>
        <w:tab/>
      </w:r>
      <w:r>
        <w:rPr>
          <w:w w:val="100"/>
        </w:rPr>
        <w:t> </w:t>
      </w:r>
    </w:p>
    <w:p>
      <w:pPr>
        <w:pStyle w:val="BodyText"/>
        <w:tabs>
          <w:tab w:pos="737" w:val="left" w:leader="none"/>
        </w:tabs>
        <w:spacing w:line="244" w:lineRule="auto" w:before="2"/>
        <w:ind w:right="1277"/>
      </w:pPr>
      <w:r>
        <w:rPr>
          <w:w w:val="100"/>
        </w:rPr>
        <w:t> </w:t>
      </w:r>
      <w:r>
        <w:rPr/>
        <w:tab/>
      </w:r>
      <w:r>
        <w:rPr/>
        <w:t>金融负债于初始确认时分类为以摊余成本计量的金融负债和以公允价值计量且其变动计入当期损益的金融负债。 </w:t>
      </w:r>
    </w:p>
    <w:p>
      <w:pPr>
        <w:pStyle w:val="BodyText"/>
        <w:spacing w:line="265" w:lineRule="exact"/>
      </w:pPr>
      <w:r>
        <w:rPr>
          <w:w w:val="100"/>
        </w:rPr>
        <w:t> </w:t>
      </w:r>
    </w:p>
    <w:p>
      <w:pPr>
        <w:pStyle w:val="BodyText"/>
        <w:spacing w:line="242" w:lineRule="auto" w:before="4"/>
        <w:ind w:right="1277"/>
      </w:pPr>
      <w:r>
        <w:rPr/>
        <w:t>本集团的金融负债主要为以摊余成本计量的金融负债，包括应付票据、应付账款、其他应付款、借款及应付债券等。该类金融负债按其公允价值扣除交易费用后的金额进行初始计量，并采用实际利率法进行后续计量。期限在一年以下(含一年)的，列示为流动负债；期限在一年以上但自资产负债表日起一年内(含一年)到期的，列示为一年内到期的非流动负债；其余列示为非流动负</w:t>
      </w:r>
      <w:r>
        <w:rPr>
          <w:spacing w:val="1"/>
        </w:rPr>
        <w:t> </w:t>
      </w:r>
      <w:r>
        <w:rPr/>
        <w:t>债。 </w:t>
      </w:r>
    </w:p>
    <w:p>
      <w:pPr>
        <w:pStyle w:val="BodyText"/>
        <w:tabs>
          <w:tab w:pos="737" w:val="left" w:leader="none"/>
        </w:tabs>
        <w:spacing w:before="3"/>
      </w:pPr>
      <w:r>
        <w:rPr>
          <w:w w:val="100"/>
        </w:rPr>
        <w:t> </w:t>
      </w:r>
      <w:r>
        <w:rPr/>
        <w:tab/>
      </w:r>
      <w:r>
        <w:rPr>
          <w:w w:val="100"/>
        </w:rPr>
        <w:t> </w:t>
      </w:r>
    </w:p>
    <w:p>
      <w:pPr>
        <w:pStyle w:val="BodyText"/>
        <w:tabs>
          <w:tab w:pos="737" w:val="left" w:leader="none"/>
        </w:tabs>
        <w:spacing w:line="242" w:lineRule="auto" w:before="4"/>
        <w:ind w:right="1277"/>
      </w:pPr>
      <w:r>
        <w:rPr>
          <w:w w:val="100"/>
        </w:rPr>
        <w:t> </w:t>
      </w:r>
      <w:r>
        <w:rPr/>
        <w:tab/>
      </w:r>
      <w:r>
        <w:rPr/>
        <w:t>当金融负债的现时义务全部或部分已经解除时，本集团终止确认该金融负债或义务已解除的部分。终止确认部分的账面价值与支付的对价之间的差额，计入当期损益。 </w:t>
      </w:r>
    </w:p>
    <w:p>
      <w:pPr>
        <w:pStyle w:val="BodyText"/>
        <w:tabs>
          <w:tab w:pos="737" w:val="left" w:leader="none"/>
        </w:tabs>
        <w:spacing w:before="2"/>
      </w:pPr>
      <w:r>
        <w:rPr>
          <w:w w:val="100"/>
        </w:rPr>
        <w:t> </w:t>
      </w:r>
      <w:r>
        <w:rPr/>
        <w:tab/>
      </w:r>
      <w:r>
        <w:rPr>
          <w:w w:val="100"/>
        </w:rPr>
        <w:t> </w:t>
      </w:r>
    </w:p>
    <w:p>
      <w:pPr>
        <w:pStyle w:val="ListParagraph"/>
        <w:numPr>
          <w:ilvl w:val="0"/>
          <w:numId w:val="38"/>
        </w:numPr>
        <w:tabs>
          <w:tab w:pos="636" w:val="left" w:leader="none"/>
        </w:tabs>
        <w:spacing w:line="240" w:lineRule="auto" w:before="2" w:after="0"/>
        <w:ind w:left="635" w:right="0" w:hanging="318"/>
        <w:jc w:val="left"/>
        <w:rPr>
          <w:sz w:val="21"/>
        </w:rPr>
      </w:pPr>
      <w:r>
        <w:rPr>
          <w:spacing w:val="-1"/>
          <w:sz w:val="21"/>
        </w:rPr>
        <w:t>金融工具的公允价值确定</w:t>
      </w:r>
      <w:r>
        <w:rPr>
          <w:sz w:val="21"/>
        </w:rPr>
        <w:t> </w:t>
      </w:r>
    </w:p>
    <w:p>
      <w:pPr>
        <w:pStyle w:val="BodyText"/>
        <w:tabs>
          <w:tab w:pos="737" w:val="left" w:leader="none"/>
        </w:tabs>
        <w:spacing w:before="4"/>
      </w:pPr>
      <w:r>
        <w:rPr>
          <w:w w:val="100"/>
        </w:rPr>
        <w:t> </w:t>
      </w:r>
      <w:r>
        <w:rPr/>
        <w:tab/>
      </w:r>
      <w:r>
        <w:rPr>
          <w:w w:val="100"/>
        </w:rPr>
        <w:t> </w:t>
      </w:r>
    </w:p>
    <w:p>
      <w:pPr>
        <w:pStyle w:val="BodyText"/>
        <w:spacing w:line="242" w:lineRule="auto" w:before="3"/>
        <w:ind w:right="1277"/>
        <w:jc w:val="both"/>
      </w:pPr>
      <w:r>
        <w:rPr>
          <w:w w:val="100"/>
        </w:rPr>
        <w:t> </w:t>
      </w:r>
      <w:r>
        <w:rPr/>
        <w:t>  </w:t>
      </w:r>
      <w:r>
        <w:rPr>
          <w:spacing w:val="-1"/>
        </w:rPr>
        <w:t> </w:t>
      </w:r>
      <w:r>
        <w:rPr/>
        <w:t>存在活跃市场的金融工具，以活跃市场中的报价确定其公允价值。不存在活跃市场的金融工具，采用估值技术确定其公允价值。在估值时，本集团采用在当前情况下适用并且有足够可利用数据和其他信息支持的估值技术，选择与市场参与者在相关资产或负债的交易中所考虑的资产或负债特征相一致的输入值，并尽可能优先使用相关可观察输入值。在相关可观察输入值无法取得或取得不切实可行的情况下，使用不可观察输入值。 </w:t>
      </w:r>
    </w:p>
    <w:p>
      <w:pPr>
        <w:pStyle w:val="BodyText"/>
        <w:spacing w:before="4"/>
      </w:pPr>
      <w:r>
        <w:rPr>
          <w:w w:val="100"/>
        </w:rPr>
        <w:t> </w:t>
      </w:r>
    </w:p>
    <w:p>
      <w:pPr>
        <w:pStyle w:val="ListParagraph"/>
        <w:numPr>
          <w:ilvl w:val="0"/>
          <w:numId w:val="38"/>
        </w:numPr>
        <w:tabs>
          <w:tab w:pos="636" w:val="left" w:leader="none"/>
        </w:tabs>
        <w:spacing w:line="240" w:lineRule="auto" w:before="2" w:after="0"/>
        <w:ind w:left="635" w:right="0" w:hanging="318"/>
        <w:jc w:val="left"/>
        <w:rPr>
          <w:sz w:val="21"/>
        </w:rPr>
      </w:pPr>
      <w:r>
        <w:rPr>
          <w:spacing w:val="-1"/>
          <w:sz w:val="21"/>
        </w:rPr>
        <w:t>套期工具</w:t>
      </w:r>
      <w:r>
        <w:rPr>
          <w:sz w:val="21"/>
        </w:rPr>
        <w:t> </w:t>
      </w:r>
    </w:p>
    <w:p>
      <w:pPr>
        <w:pStyle w:val="BodyText"/>
        <w:tabs>
          <w:tab w:pos="737" w:val="left" w:leader="none"/>
        </w:tabs>
        <w:spacing w:before="3"/>
      </w:pPr>
      <w:r>
        <w:rPr>
          <w:w w:val="100"/>
        </w:rPr>
        <w:t> </w:t>
      </w:r>
      <w:r>
        <w:rPr/>
        <w:tab/>
      </w:r>
      <w:r>
        <w:rPr>
          <w:w w:val="100"/>
        </w:rPr>
        <w:t> </w:t>
      </w:r>
    </w:p>
    <w:p>
      <w:pPr>
        <w:pStyle w:val="BodyText"/>
        <w:tabs>
          <w:tab w:pos="737" w:val="left" w:leader="none"/>
        </w:tabs>
        <w:spacing w:line="242" w:lineRule="auto" w:before="4"/>
        <w:ind w:right="1277"/>
      </w:pPr>
      <w:r>
        <w:rPr>
          <w:w w:val="100"/>
        </w:rPr>
        <w:t> </w:t>
      </w:r>
      <w:r>
        <w:rPr/>
        <w:tab/>
      </w:r>
      <w:r>
        <w:rPr/>
        <w:t>为规避某些特定风险，本集团将某些金融工具指定为套期工具进行套期。满足规定条件的套期，本集团用套期会计方法进行处理。 </w:t>
      </w:r>
    </w:p>
    <w:p>
      <w:pPr>
        <w:pStyle w:val="BodyText"/>
        <w:tabs>
          <w:tab w:pos="737" w:val="left" w:leader="none"/>
        </w:tabs>
        <w:spacing w:before="2"/>
      </w:pPr>
      <w:r>
        <w:rPr>
          <w:w w:val="100"/>
        </w:rPr>
        <w:t> </w:t>
      </w:r>
      <w:r>
        <w:rPr/>
        <w:tab/>
      </w:r>
      <w:r>
        <w:rPr>
          <w:w w:val="100"/>
        </w:rPr>
        <w:t> </w:t>
      </w:r>
    </w:p>
    <w:p>
      <w:pPr>
        <w:pStyle w:val="BodyText"/>
        <w:tabs>
          <w:tab w:pos="737" w:val="left" w:leader="none"/>
        </w:tabs>
        <w:spacing w:line="244" w:lineRule="auto" w:before="2"/>
        <w:ind w:right="1277"/>
      </w:pPr>
      <w:r>
        <w:rPr>
          <w:w w:val="100"/>
        </w:rPr>
        <w:t> </w:t>
      </w:r>
      <w:r>
        <w:rPr/>
        <w:tab/>
      </w:r>
      <w:r>
        <w:rPr/>
        <w:t>衍生工具于合同签订日进行初始确认并按公允价值进行初始和后续计量。衍生工具的公允价值为正反映为资产，为负反映为负债。 </w:t>
      </w:r>
    </w:p>
    <w:p>
      <w:pPr>
        <w:pStyle w:val="BodyText"/>
        <w:tabs>
          <w:tab w:pos="737" w:val="left" w:leader="none"/>
        </w:tabs>
        <w:spacing w:line="265" w:lineRule="exact"/>
      </w:pPr>
      <w:r>
        <w:rPr>
          <w:w w:val="100"/>
        </w:rPr>
        <w:t> </w:t>
      </w:r>
      <w:r>
        <w:rPr/>
        <w:tab/>
      </w:r>
      <w:r>
        <w:rPr>
          <w:w w:val="100"/>
        </w:rPr>
        <w:t> </w:t>
      </w:r>
    </w:p>
    <w:p>
      <w:pPr>
        <w:pStyle w:val="BodyText"/>
        <w:tabs>
          <w:tab w:pos="737" w:val="left" w:leader="none"/>
        </w:tabs>
        <w:spacing w:line="242" w:lineRule="auto" w:before="4"/>
        <w:ind w:right="1277"/>
      </w:pPr>
      <w:r>
        <w:rPr>
          <w:w w:val="100"/>
        </w:rPr>
        <w:t> </w:t>
      </w:r>
      <w:r>
        <w:rPr/>
        <w:tab/>
      </w:r>
      <w:r>
        <w:rPr/>
        <w:t>本集团的套期主要系现金流量套期。衍生工具的公允价值变动的确认方法取决于该衍生工具是否被指定为且符合套期工具的要求，以及被套期项目的性质。本集团将某些衍生工具指定用</w:t>
      </w:r>
      <w:r>
        <w:rPr>
          <w:spacing w:val="1"/>
        </w:rPr>
        <w:t> </w:t>
      </w:r>
      <w:r>
        <w:rPr/>
        <w:t>于： </w:t>
      </w:r>
    </w:p>
    <w:p>
      <w:pPr>
        <w:spacing w:after="0" w:line="242" w:lineRule="auto"/>
        <w:sectPr>
          <w:pgSz w:w="11910" w:h="16840"/>
          <w:pgMar w:header="882" w:footer="1172" w:top="1120" w:bottom="1380" w:left="1480" w:right="0"/>
        </w:sectPr>
      </w:pPr>
    </w:p>
    <w:p>
      <w:pPr>
        <w:pStyle w:val="BodyText"/>
        <w:spacing w:before="7"/>
        <w:ind w:left="0"/>
        <w:rPr>
          <w:sz w:val="25"/>
        </w:rPr>
      </w:pPr>
    </w:p>
    <w:p>
      <w:pPr>
        <w:pStyle w:val="BodyText"/>
        <w:spacing w:before="72"/>
      </w:pPr>
      <w:r>
        <w:rPr>
          <w:w w:val="100"/>
        </w:rPr>
        <w:t> </w:t>
      </w:r>
    </w:p>
    <w:p>
      <w:pPr>
        <w:pStyle w:val="ListParagraph"/>
        <w:numPr>
          <w:ilvl w:val="0"/>
          <w:numId w:val="40"/>
        </w:numPr>
        <w:tabs>
          <w:tab w:pos="425" w:val="left" w:leader="none"/>
        </w:tabs>
        <w:spacing w:line="240" w:lineRule="auto" w:before="5" w:after="0"/>
        <w:ind w:left="424" w:right="0" w:hanging="107"/>
        <w:jc w:val="left"/>
        <w:rPr>
          <w:sz w:val="21"/>
        </w:rPr>
      </w:pPr>
      <w:r>
        <w:rPr>
          <w:spacing w:val="-1"/>
          <w:sz w:val="21"/>
        </w:rPr>
        <w:t>对已确认资产或负债、对极可能发生的预期交易进行现金流量套期；</w:t>
      </w:r>
      <w:r>
        <w:rPr>
          <w:sz w:val="21"/>
        </w:rPr>
        <w:t> </w:t>
      </w:r>
    </w:p>
    <w:p>
      <w:pPr>
        <w:pStyle w:val="ListParagraph"/>
        <w:numPr>
          <w:ilvl w:val="0"/>
          <w:numId w:val="40"/>
        </w:numPr>
        <w:tabs>
          <w:tab w:pos="425" w:val="left" w:leader="none"/>
        </w:tabs>
        <w:spacing w:line="240" w:lineRule="auto" w:before="2" w:after="0"/>
        <w:ind w:left="424" w:right="0" w:hanging="107"/>
        <w:jc w:val="left"/>
        <w:rPr>
          <w:sz w:val="21"/>
        </w:rPr>
      </w:pPr>
      <w:r>
        <w:rPr>
          <w:spacing w:val="-1"/>
          <w:sz w:val="21"/>
        </w:rPr>
        <w:t>对极可能发生的预期交易及其随后确认的资产组合进行现金流量套期；</w:t>
      </w:r>
      <w:r>
        <w:rPr>
          <w:sz w:val="21"/>
        </w:rPr>
        <w:t> </w:t>
      </w:r>
    </w:p>
    <w:p>
      <w:pPr>
        <w:pStyle w:val="BodyText"/>
        <w:spacing w:before="5"/>
        <w:jc w:val="both"/>
      </w:pPr>
      <w:r>
        <w:rPr>
          <w:w w:val="100"/>
        </w:rPr>
        <w:t> </w:t>
      </w:r>
      <w:r>
        <w:rPr/>
        <w:t>  </w:t>
      </w:r>
      <w:r>
        <w:rPr>
          <w:spacing w:val="-1"/>
        </w:rPr>
        <w:t> </w:t>
      </w:r>
      <w:r>
        <w:rPr>
          <w:w w:val="100"/>
        </w:rPr>
        <w:t> </w:t>
      </w:r>
    </w:p>
    <w:p>
      <w:pPr>
        <w:pStyle w:val="BodyText"/>
        <w:spacing w:line="242" w:lineRule="auto" w:before="2"/>
        <w:ind w:right="1277"/>
        <w:jc w:val="both"/>
      </w:pPr>
      <w:r>
        <w:rPr>
          <w:w w:val="100"/>
        </w:rPr>
        <w:t> </w:t>
      </w:r>
      <w:r>
        <w:rPr/>
        <w:t>  </w:t>
      </w:r>
      <w:r>
        <w:rPr>
          <w:spacing w:val="-1"/>
        </w:rPr>
        <w:t> </w:t>
      </w:r>
      <w:r>
        <w:rPr/>
        <w:t>在套期开始时，本集团完成了套期相关文档，内容包括被套期项目与套期工具的关系，以及各种套期交易对应的风险管理目标和策略。本集团也在套期开始时和开始后持续的记录了套期是否有效的评估，即套期工具是否能够很大程度上抵销被套期项目现金流量的变动。 </w:t>
      </w:r>
    </w:p>
    <w:p>
      <w:pPr>
        <w:pStyle w:val="BodyText"/>
        <w:tabs>
          <w:tab w:pos="737" w:val="left" w:leader="none"/>
        </w:tabs>
        <w:spacing w:before="3"/>
      </w:pPr>
      <w:r>
        <w:rPr>
          <w:w w:val="100"/>
        </w:rPr>
        <w:t> </w:t>
      </w:r>
      <w:r>
        <w:rPr/>
        <w:tab/>
      </w:r>
      <w:r>
        <w:rPr>
          <w:w w:val="100"/>
        </w:rPr>
        <w:t> </w:t>
      </w:r>
    </w:p>
    <w:p>
      <w:pPr>
        <w:pStyle w:val="BodyText"/>
        <w:tabs>
          <w:tab w:pos="737" w:val="left" w:leader="none"/>
        </w:tabs>
        <w:spacing w:before="2"/>
      </w:pPr>
      <w:r>
        <w:rPr>
          <w:w w:val="100"/>
        </w:rPr>
        <w:t> </w:t>
      </w:r>
      <w:r>
        <w:rPr/>
        <w:tab/>
      </w:r>
      <w:r>
        <w:rPr/>
        <w:t>套期有效性 </w:t>
      </w:r>
    </w:p>
    <w:p>
      <w:pPr>
        <w:pStyle w:val="BodyText"/>
        <w:tabs>
          <w:tab w:pos="737" w:val="left" w:leader="none"/>
        </w:tabs>
        <w:spacing w:before="5"/>
      </w:pPr>
      <w:r>
        <w:rPr>
          <w:w w:val="100"/>
        </w:rPr>
        <w:t> </w:t>
      </w:r>
      <w:r>
        <w:rPr/>
        <w:tab/>
      </w:r>
      <w:r>
        <w:rPr>
          <w:w w:val="100"/>
        </w:rPr>
        <w:t> </w:t>
      </w:r>
    </w:p>
    <w:p>
      <w:pPr>
        <w:pStyle w:val="BodyText"/>
        <w:tabs>
          <w:tab w:pos="737" w:val="left" w:leader="none"/>
        </w:tabs>
        <w:spacing w:before="2"/>
      </w:pPr>
      <w:r>
        <w:rPr>
          <w:w w:val="100"/>
        </w:rPr>
        <w:t> </w:t>
      </w:r>
      <w:r>
        <w:rPr/>
        <w:tab/>
      </w:r>
      <w:r>
        <w:rPr/>
        <w:t>套期同时满足下列条件的，本集团认定套期关系符合套期有效性要求： </w:t>
      </w:r>
    </w:p>
    <w:p>
      <w:pPr>
        <w:pStyle w:val="BodyText"/>
        <w:tabs>
          <w:tab w:pos="737" w:val="left" w:leader="none"/>
        </w:tabs>
        <w:spacing w:before="4"/>
      </w:pPr>
      <w:r>
        <w:rPr>
          <w:w w:val="100"/>
        </w:rPr>
        <w:t> </w:t>
      </w:r>
      <w:r>
        <w:rPr/>
        <w:tab/>
      </w:r>
      <w:r>
        <w:rPr>
          <w:w w:val="100"/>
        </w:rPr>
        <w:t> </w:t>
      </w:r>
    </w:p>
    <w:p>
      <w:pPr>
        <w:pStyle w:val="BodyText"/>
        <w:tabs>
          <w:tab w:pos="737" w:val="left" w:leader="none"/>
        </w:tabs>
        <w:spacing w:before="2"/>
      </w:pPr>
      <w:r>
        <w:rPr>
          <w:w w:val="100"/>
        </w:rPr>
        <w:t> </w:t>
      </w:r>
      <w:r>
        <w:rPr/>
        <w:tab/>
      </w:r>
      <w:r>
        <w:rPr>
          <w:spacing w:val="4"/>
        </w:rPr>
        <w:t>• 被套期项目和套期工具之间存在经济关系；</w:t>
      </w:r>
      <w:r>
        <w:rPr/>
        <w:t> </w:t>
      </w:r>
    </w:p>
    <w:p>
      <w:pPr>
        <w:pStyle w:val="ListParagraph"/>
        <w:numPr>
          <w:ilvl w:val="1"/>
          <w:numId w:val="40"/>
        </w:numPr>
        <w:tabs>
          <w:tab w:pos="845" w:val="left" w:leader="none"/>
        </w:tabs>
        <w:spacing w:line="240" w:lineRule="auto" w:before="5" w:after="0"/>
        <w:ind w:left="844" w:right="0" w:hanging="107"/>
        <w:jc w:val="left"/>
        <w:rPr>
          <w:sz w:val="21"/>
        </w:rPr>
      </w:pPr>
      <w:r>
        <w:rPr>
          <w:spacing w:val="-1"/>
          <w:sz w:val="21"/>
        </w:rPr>
        <w:t>被套期项目和套期工具经济关系产生的价值变动中，信用风险的影响不占主导地位；</w:t>
      </w:r>
      <w:r>
        <w:rPr>
          <w:sz w:val="21"/>
        </w:rPr>
        <w:t> </w:t>
      </w:r>
    </w:p>
    <w:p>
      <w:pPr>
        <w:pStyle w:val="ListParagraph"/>
        <w:numPr>
          <w:ilvl w:val="1"/>
          <w:numId w:val="40"/>
        </w:numPr>
        <w:tabs>
          <w:tab w:pos="845" w:val="left" w:leader="none"/>
        </w:tabs>
        <w:spacing w:line="244" w:lineRule="auto" w:before="3" w:after="0"/>
        <w:ind w:left="318" w:right="1277" w:firstLine="419"/>
        <w:jc w:val="left"/>
        <w:rPr>
          <w:sz w:val="21"/>
        </w:rPr>
      </w:pPr>
      <w:r>
        <w:rPr>
          <w:sz w:val="21"/>
        </w:rPr>
        <w:t>套期关系的套期比率，应当等于企业实际套期的被套期项目数量与对其进行套期的套期工具实际数量之比。 </w:t>
      </w:r>
    </w:p>
    <w:p>
      <w:pPr>
        <w:pStyle w:val="BodyText"/>
        <w:tabs>
          <w:tab w:pos="737" w:val="left" w:leader="none"/>
        </w:tabs>
        <w:spacing w:line="265" w:lineRule="exact"/>
      </w:pPr>
      <w:r>
        <w:rPr>
          <w:w w:val="100"/>
        </w:rPr>
        <w:t> </w:t>
      </w:r>
      <w:r>
        <w:rPr/>
        <w:tab/>
      </w:r>
      <w:r>
        <w:rPr>
          <w:w w:val="100"/>
        </w:rPr>
        <w:t> </w:t>
      </w:r>
    </w:p>
    <w:p>
      <w:pPr>
        <w:pStyle w:val="BodyText"/>
        <w:tabs>
          <w:tab w:pos="737" w:val="left" w:leader="none"/>
        </w:tabs>
        <w:spacing w:before="4"/>
      </w:pPr>
      <w:r>
        <w:rPr>
          <w:w w:val="100"/>
        </w:rPr>
        <w:t> </w:t>
      </w:r>
      <w:r>
        <w:rPr/>
        <w:tab/>
      </w:r>
      <w:r>
        <w:rPr/>
        <w:t>现金流量套期 </w:t>
      </w:r>
    </w:p>
    <w:p>
      <w:pPr>
        <w:pStyle w:val="BodyText"/>
        <w:tabs>
          <w:tab w:pos="737" w:val="left" w:leader="none"/>
        </w:tabs>
        <w:spacing w:before="2"/>
      </w:pPr>
      <w:r>
        <w:rPr>
          <w:w w:val="100"/>
        </w:rPr>
        <w:t> </w:t>
      </w:r>
      <w:r>
        <w:rPr/>
        <w:tab/>
      </w:r>
      <w:r>
        <w:rPr>
          <w:w w:val="100"/>
        </w:rPr>
        <w:t> </w:t>
      </w:r>
    </w:p>
    <w:p>
      <w:pPr>
        <w:pStyle w:val="BodyText"/>
        <w:spacing w:line="242" w:lineRule="auto" w:before="2"/>
        <w:ind w:right="1277"/>
        <w:jc w:val="both"/>
      </w:pPr>
      <w:r>
        <w:rPr>
          <w:w w:val="100"/>
        </w:rPr>
        <w:t> </w:t>
      </w:r>
      <w:r>
        <w:rPr/>
        <w:t>  </w:t>
      </w:r>
      <w:r>
        <w:rPr>
          <w:spacing w:val="-1"/>
        </w:rPr>
        <w:t> </w:t>
      </w:r>
      <w:r>
        <w:rPr/>
        <w:t>对于被指定现金流量套期的套期工具并符合相关要求的衍生工具，其公允价值变动中的套期有效部分，作为现金流量套期储备，确认为其他综合收益。套期无效部分相关的利得或损失确认为当期损益。 </w:t>
      </w:r>
    </w:p>
    <w:p>
      <w:pPr>
        <w:pStyle w:val="BodyText"/>
        <w:spacing w:before="4"/>
      </w:pPr>
      <w:r>
        <w:rPr>
          <w:w w:val="100"/>
        </w:rPr>
        <w:t> </w:t>
      </w:r>
    </w:p>
    <w:p>
      <w:pPr>
        <w:pStyle w:val="BodyText"/>
        <w:spacing w:line="242" w:lineRule="auto" w:before="2"/>
        <w:ind w:right="1277"/>
        <w:jc w:val="both"/>
      </w:pPr>
      <w:r>
        <w:rPr>
          <w:w w:val="100"/>
        </w:rPr>
        <w:t> </w:t>
      </w:r>
      <w:r>
        <w:rPr/>
        <w:t>  </w:t>
      </w:r>
      <w:r>
        <w:rPr>
          <w:spacing w:val="-1"/>
        </w:rPr>
        <w:t> </w:t>
      </w:r>
      <w:r>
        <w:rPr/>
        <w:t>如果被套期的预期交易随后确认为非金融资产或非金融负债，或非金融资产或非金融负债的预期交易形成适用公允价值套期的确定承诺时，则原在其他综合收益中确认的现金流量套期储备金额转出，计入该资产或负债的初始确认金额。其余现金流量套期在被套期的预期现金流量影响损益的相同期间，如预期销售发生时，将其他综合收益中确认的现金流量套期储备转出，计入当期损益。 </w:t>
      </w:r>
    </w:p>
    <w:p>
      <w:pPr>
        <w:pStyle w:val="BodyText"/>
        <w:spacing w:before="5"/>
        <w:jc w:val="both"/>
      </w:pPr>
      <w:r>
        <w:rPr>
          <w:w w:val="100"/>
        </w:rPr>
        <w:t> </w:t>
      </w:r>
      <w:r>
        <w:rPr/>
        <w:t>  </w:t>
      </w:r>
      <w:r>
        <w:rPr>
          <w:spacing w:val="-1"/>
        </w:rPr>
        <w:t> </w:t>
      </w:r>
      <w:r>
        <w:rPr>
          <w:w w:val="100"/>
        </w:rPr>
        <w:t> </w:t>
      </w:r>
    </w:p>
    <w:p>
      <w:pPr>
        <w:pStyle w:val="BodyText"/>
        <w:tabs>
          <w:tab w:pos="737" w:val="left" w:leader="none"/>
        </w:tabs>
        <w:spacing w:line="242" w:lineRule="auto" w:before="2"/>
        <w:ind w:right="1277"/>
      </w:pPr>
      <w:r>
        <w:rPr>
          <w:w w:val="100"/>
        </w:rPr>
        <w:t> </w:t>
      </w:r>
      <w:r>
        <w:rPr/>
        <w:tab/>
      </w:r>
      <w:r>
        <w:rPr/>
        <w:t>当套期工具到期、被出售或不再满足套期会计的标准时，现金流量套期储备中的已累计的利得或损失仍保留在权益中直到被套期项目影响损益的期间再确认为损益。当预期交易不会发生</w:t>
      </w:r>
      <w:r>
        <w:rPr>
          <w:spacing w:val="1"/>
        </w:rPr>
        <w:t> </w:t>
      </w:r>
      <w:r>
        <w:rPr/>
        <w:t>时，已确认在其他综合收益中的累计利得或损失立即重分类至当期损益。 </w:t>
      </w:r>
    </w:p>
    <w:p>
      <w:pPr>
        <w:pStyle w:val="BodyText"/>
        <w:spacing w:before="3"/>
      </w:pPr>
      <w:r>
        <w:rPr>
          <w:w w:val="100"/>
        </w:rPr>
        <w:t> </w:t>
      </w:r>
    </w:p>
    <w:p>
      <w:pPr>
        <w:pStyle w:val="BodyText"/>
        <w:spacing w:before="2"/>
      </w:pPr>
      <w:r>
        <w:rPr>
          <w:spacing w:val="-1"/>
        </w:rPr>
        <w:t>远期外汇合约及外汇期权的时间价值</w:t>
      </w:r>
      <w:r>
        <w:rPr/>
        <w:t> </w:t>
      </w:r>
    </w:p>
    <w:p>
      <w:pPr>
        <w:pStyle w:val="BodyText"/>
        <w:spacing w:before="5"/>
      </w:pPr>
      <w:r>
        <w:rPr>
          <w:w w:val="100"/>
        </w:rPr>
        <w:t> </w:t>
      </w:r>
    </w:p>
    <w:p>
      <w:pPr>
        <w:pStyle w:val="BodyText"/>
        <w:spacing w:line="242" w:lineRule="auto" w:before="2"/>
        <w:ind w:right="1277"/>
        <w:jc w:val="both"/>
      </w:pPr>
      <w:r>
        <w:rPr/>
        <w:t>对于远期外汇合约及外汇期权，本集团将即期价格变动和时间价值分开，仅就即期价格变动指定为套期工具，将时间价值的公允价值变动中与被套期项目相关的部分计入其他综合收益。同时，</w:t>
      </w:r>
      <w:r>
        <w:rPr>
          <w:spacing w:val="-103"/>
        </w:rPr>
        <w:t> </w:t>
      </w:r>
      <w:r>
        <w:rPr/>
        <w:t>本集团将套期开始日的时间价值中与被套期项目相关的部分，在套期关系影响损益的期间内进行摊销，摊销金额从其他综合收益中转出，确认为当期损益。 </w:t>
      </w:r>
    </w:p>
    <w:p>
      <w:pPr>
        <w:pStyle w:val="BodyText"/>
        <w:spacing w:before="2"/>
      </w:pPr>
      <w:r>
        <w:rPr>
          <w:w w:val="100"/>
        </w:rPr>
        <w:t> </w:t>
      </w:r>
    </w:p>
    <w:p>
      <w:pPr>
        <w:pStyle w:val="ListParagraph"/>
        <w:numPr>
          <w:ilvl w:val="0"/>
          <w:numId w:val="36"/>
        </w:numPr>
        <w:tabs>
          <w:tab w:pos="743" w:val="left" w:leader="none"/>
        </w:tabs>
        <w:spacing w:line="240" w:lineRule="auto" w:before="63" w:after="0"/>
        <w:ind w:left="742" w:right="0" w:hanging="425"/>
        <w:jc w:val="left"/>
        <w:rPr>
          <w:sz w:val="21"/>
        </w:rPr>
      </w:pPr>
      <w:r>
        <w:rPr>
          <w:sz w:val="21"/>
        </w:rPr>
        <w:t>应收票据 </w:t>
      </w:r>
    </w:p>
    <w:p>
      <w:pPr>
        <w:pStyle w:val="BodyText"/>
        <w:spacing w:before="65"/>
      </w:pPr>
      <w:r>
        <w:rPr/>
        <w:t>应收票据的预期信用损失的确定方法及会计处理方法 </w:t>
      </w:r>
    </w:p>
    <w:p>
      <w:pPr>
        <w:pStyle w:val="BodyText"/>
        <w:spacing w:before="62"/>
      </w:pPr>
      <w:r>
        <w:rPr>
          <w:spacing w:val="-1"/>
        </w:rPr>
        <w:t>□适用 √不适用</w:t>
      </w:r>
      <w:r>
        <w:rPr>
          <w:spacing w:val="-3"/>
        </w:rPr>
        <w:t> </w:t>
      </w:r>
      <w:r>
        <w:rPr/>
        <w:t> </w:t>
      </w:r>
    </w:p>
    <w:p>
      <w:pPr>
        <w:pStyle w:val="BodyText"/>
        <w:spacing w:before="4"/>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应收账款 </w:t>
      </w:r>
    </w:p>
    <w:p>
      <w:pPr>
        <w:pStyle w:val="BodyText"/>
        <w:spacing w:before="65"/>
      </w:pPr>
      <w:r>
        <w:rPr/>
        <w:t>应收账款的预期信用损失的确定方法及会计处理方法 </w:t>
      </w:r>
    </w:p>
    <w:p>
      <w:pPr>
        <w:pStyle w:val="BodyText"/>
        <w:spacing w:line="244" w:lineRule="auto" w:before="62"/>
        <w:ind w:right="8268"/>
      </w:pPr>
      <w:r>
        <w:rPr>
          <w:spacing w:val="6"/>
        </w:rPr>
        <w:t>√适用 □不适用详</w:t>
      </w:r>
      <w:r>
        <w:rPr>
          <w:spacing w:val="-27"/>
        </w:rPr>
        <w:t>见 </w:t>
      </w:r>
      <w:r>
        <w:rPr>
          <w:spacing w:val="-1"/>
        </w:rPr>
        <w:t>10</w:t>
      </w:r>
      <w:r>
        <w:rPr/>
        <w:t>、金融工具 </w:t>
      </w:r>
    </w:p>
    <w:p>
      <w:pPr>
        <w:pStyle w:val="BodyText"/>
        <w:spacing w:line="265" w:lineRule="exact"/>
      </w:pPr>
      <w:r>
        <w:rPr>
          <w:w w:val="100"/>
        </w:rPr>
        <w:t> </w:t>
      </w:r>
    </w:p>
    <w:p>
      <w:pPr>
        <w:spacing w:after="0" w:line="265" w:lineRule="exact"/>
        <w:sectPr>
          <w:pgSz w:w="11910" w:h="16840"/>
          <w:pgMar w:header="882" w:footer="1172" w:top="1120" w:bottom="1380" w:left="1480" w:right="0"/>
        </w:sectPr>
      </w:pPr>
    </w:p>
    <w:p>
      <w:pPr>
        <w:pStyle w:val="BodyText"/>
        <w:spacing w:before="7"/>
        <w:ind w:left="0"/>
        <w:rPr>
          <w:sz w:val="25"/>
        </w:rPr>
      </w:pPr>
    </w:p>
    <w:p>
      <w:pPr>
        <w:pStyle w:val="ListParagraph"/>
        <w:numPr>
          <w:ilvl w:val="0"/>
          <w:numId w:val="36"/>
        </w:numPr>
        <w:tabs>
          <w:tab w:pos="743" w:val="left" w:leader="none"/>
        </w:tabs>
        <w:spacing w:line="240" w:lineRule="auto" w:before="72" w:after="0"/>
        <w:ind w:left="742" w:right="0" w:hanging="425"/>
        <w:jc w:val="left"/>
        <w:rPr>
          <w:sz w:val="21"/>
        </w:rPr>
      </w:pPr>
      <w:r>
        <w:rPr>
          <w:sz w:val="21"/>
        </w:rPr>
        <w:t>应收款项融资</w:t>
      </w:r>
    </w:p>
    <w:p>
      <w:pPr>
        <w:pStyle w:val="BodyText"/>
        <w:spacing w:before="65"/>
      </w:pPr>
      <w:r>
        <w:rPr>
          <w:spacing w:val="-1"/>
        </w:rPr>
        <w:t>□适用 √不适用</w:t>
      </w:r>
      <w:r>
        <w:rPr>
          <w:spacing w:val="-3"/>
        </w:rPr>
        <w:t> </w:t>
      </w:r>
      <w:r>
        <w:rPr/>
        <w:t> </w:t>
      </w:r>
    </w:p>
    <w:p>
      <w:pPr>
        <w:pStyle w:val="BodyText"/>
        <w:spacing w:before="2"/>
      </w:pPr>
      <w:r>
        <w:rPr>
          <w:w w:val="100"/>
        </w:rPr>
        <w:t> </w:t>
      </w:r>
    </w:p>
    <w:p>
      <w:pPr>
        <w:pStyle w:val="ListParagraph"/>
        <w:numPr>
          <w:ilvl w:val="0"/>
          <w:numId w:val="36"/>
        </w:numPr>
        <w:tabs>
          <w:tab w:pos="743" w:val="left" w:leader="none"/>
        </w:tabs>
        <w:spacing w:line="240" w:lineRule="auto" w:before="65" w:after="0"/>
        <w:ind w:left="742" w:right="0" w:hanging="425"/>
        <w:jc w:val="left"/>
        <w:rPr>
          <w:sz w:val="21"/>
        </w:rPr>
      </w:pPr>
      <w:r>
        <w:rPr>
          <w:sz w:val="21"/>
        </w:rPr>
        <w:t>其他应收款</w:t>
      </w:r>
    </w:p>
    <w:p>
      <w:pPr>
        <w:pStyle w:val="BodyText"/>
        <w:spacing w:before="62"/>
      </w:pPr>
      <w:r>
        <w:rPr/>
        <w:t>其他应收款预期信用损失的确定方法及会计处理方法 </w:t>
      </w:r>
    </w:p>
    <w:p>
      <w:pPr>
        <w:pStyle w:val="BodyText"/>
        <w:spacing w:before="64"/>
      </w:pPr>
      <w:r>
        <w:rPr>
          <w:spacing w:val="-1"/>
        </w:rPr>
        <w:t>√适用 □不适用</w:t>
      </w:r>
      <w:r>
        <w:rPr>
          <w:spacing w:val="-3"/>
        </w:rPr>
        <w:t> </w:t>
      </w:r>
      <w:r>
        <w:rPr/>
        <w:t> </w:t>
      </w:r>
    </w:p>
    <w:p>
      <w:pPr>
        <w:pStyle w:val="BodyText"/>
        <w:spacing w:before="2"/>
      </w:pPr>
      <w:r>
        <w:rPr>
          <w:spacing w:val="-2"/>
        </w:rPr>
        <w:t>详见第十节 财务报告 五、重要会计政策及会计估计 </w:t>
      </w:r>
      <w:r>
        <w:rPr/>
        <w:t>10</w:t>
      </w:r>
      <w:r>
        <w:rPr>
          <w:spacing w:val="-1"/>
        </w:rPr>
        <w:t>、金融工具 </w:t>
      </w:r>
      <w:r>
        <w:rPr/>
        <w:t>（a）金融资产 </w:t>
      </w:r>
    </w:p>
    <w:p>
      <w:pPr>
        <w:pStyle w:val="BodyText"/>
        <w:spacing w:before="5"/>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存货</w:t>
      </w:r>
    </w:p>
    <w:p>
      <w:pPr>
        <w:pStyle w:val="BodyText"/>
        <w:spacing w:line="242" w:lineRule="auto" w:before="65"/>
        <w:ind w:right="8215"/>
      </w:pPr>
      <w:r>
        <w:rPr>
          <w:spacing w:val="11"/>
        </w:rPr>
        <w:t>√适用 □不适用</w:t>
      </w:r>
      <w:r>
        <w:rPr/>
        <w:t>(a) 分类 </w:t>
      </w:r>
    </w:p>
    <w:p>
      <w:pPr>
        <w:pStyle w:val="BodyText"/>
        <w:tabs>
          <w:tab w:pos="737" w:val="left" w:leader="none"/>
        </w:tabs>
        <w:spacing w:before="1"/>
      </w:pPr>
      <w:r>
        <w:rPr>
          <w:w w:val="100"/>
        </w:rPr>
        <w:t> </w:t>
      </w:r>
      <w:r>
        <w:rPr/>
        <w:tab/>
      </w:r>
      <w:r>
        <w:rPr>
          <w:w w:val="100"/>
        </w:rPr>
        <w:t> </w:t>
      </w:r>
    </w:p>
    <w:p>
      <w:pPr>
        <w:pStyle w:val="BodyText"/>
        <w:tabs>
          <w:tab w:pos="737" w:val="left" w:leader="none"/>
        </w:tabs>
        <w:spacing w:line="244" w:lineRule="auto" w:before="3"/>
        <w:ind w:right="1489"/>
      </w:pPr>
      <w:r>
        <w:rPr>
          <w:w w:val="100"/>
        </w:rPr>
        <w:t> </w:t>
      </w:r>
      <w:r>
        <w:rPr/>
        <w:tab/>
      </w:r>
      <w:r>
        <w:rPr/>
        <w:t>存货包括原材料、半成品、产成品、在途材料以及发出商品，按成本与可变现净值孰低计量。 </w:t>
      </w:r>
    </w:p>
    <w:p>
      <w:pPr>
        <w:pStyle w:val="BodyText"/>
        <w:tabs>
          <w:tab w:pos="737" w:val="left" w:leader="none"/>
        </w:tabs>
        <w:spacing w:line="265" w:lineRule="exact"/>
      </w:pPr>
      <w:r>
        <w:rPr>
          <w:w w:val="100"/>
        </w:rPr>
        <w:t> </w:t>
      </w:r>
      <w:r>
        <w:rPr/>
        <w:tab/>
      </w:r>
      <w:r>
        <w:rPr>
          <w:w w:val="100"/>
        </w:rPr>
        <w:t> </w:t>
      </w:r>
    </w:p>
    <w:p>
      <w:pPr>
        <w:pStyle w:val="ListParagraph"/>
        <w:numPr>
          <w:ilvl w:val="0"/>
          <w:numId w:val="41"/>
        </w:numPr>
        <w:tabs>
          <w:tab w:pos="636" w:val="left" w:leader="none"/>
        </w:tabs>
        <w:spacing w:line="240" w:lineRule="auto" w:before="4" w:after="0"/>
        <w:ind w:left="635" w:right="0" w:hanging="318"/>
        <w:jc w:val="left"/>
        <w:rPr>
          <w:sz w:val="21"/>
        </w:rPr>
      </w:pPr>
      <w:r>
        <w:rPr>
          <w:spacing w:val="-1"/>
          <w:sz w:val="21"/>
        </w:rPr>
        <w:t>发出存货的计价方法</w:t>
      </w:r>
      <w:r>
        <w:rPr>
          <w:sz w:val="21"/>
        </w:rPr>
        <w:t> </w:t>
      </w:r>
    </w:p>
    <w:p>
      <w:pPr>
        <w:pStyle w:val="BodyText"/>
        <w:tabs>
          <w:tab w:pos="737" w:val="left" w:leader="none"/>
        </w:tabs>
        <w:spacing w:before="2"/>
      </w:pPr>
      <w:r>
        <w:rPr>
          <w:w w:val="100"/>
        </w:rPr>
        <w:t> </w:t>
      </w:r>
      <w:r>
        <w:rPr/>
        <w:tab/>
      </w:r>
      <w:r>
        <w:rPr>
          <w:w w:val="100"/>
        </w:rPr>
        <w:t> </w:t>
      </w:r>
    </w:p>
    <w:p>
      <w:pPr>
        <w:pStyle w:val="BodyText"/>
        <w:tabs>
          <w:tab w:pos="737" w:val="left" w:leader="none"/>
        </w:tabs>
        <w:spacing w:line="242" w:lineRule="auto" w:before="5"/>
        <w:ind w:right="1277"/>
      </w:pPr>
      <w:r>
        <w:rPr>
          <w:w w:val="100"/>
        </w:rPr>
        <w:t> </w:t>
      </w:r>
      <w:r>
        <w:rPr/>
        <w:tab/>
      </w:r>
      <w:r>
        <w:rPr/>
        <w:t>存货发出时的成本按加权平均法核算，产成品、半成品和发出商品成本包括原材料、直接人工以及在正常生产能力下按系统的方法分配的制造费用。 </w:t>
      </w:r>
    </w:p>
    <w:p>
      <w:pPr>
        <w:pStyle w:val="BodyText"/>
        <w:spacing w:line="268" w:lineRule="exact"/>
      </w:pPr>
      <w:r>
        <w:rPr>
          <w:w w:val="100"/>
        </w:rPr>
        <w:t> </w:t>
      </w:r>
    </w:p>
    <w:p>
      <w:pPr>
        <w:pStyle w:val="ListParagraph"/>
        <w:numPr>
          <w:ilvl w:val="0"/>
          <w:numId w:val="41"/>
        </w:numPr>
        <w:tabs>
          <w:tab w:pos="636" w:val="left" w:leader="none"/>
        </w:tabs>
        <w:spacing w:line="240" w:lineRule="auto" w:before="4" w:after="0"/>
        <w:ind w:left="635" w:right="0" w:hanging="318"/>
        <w:jc w:val="left"/>
        <w:rPr>
          <w:sz w:val="21"/>
        </w:rPr>
      </w:pPr>
      <w:r>
        <w:rPr>
          <w:spacing w:val="-1"/>
          <w:sz w:val="21"/>
        </w:rPr>
        <w:t>存货可变现净值的确定依据及存货跌价准备的计提方法</w:t>
      </w:r>
      <w:r>
        <w:rPr>
          <w:sz w:val="21"/>
        </w:rPr>
        <w:t> </w:t>
      </w:r>
    </w:p>
    <w:p>
      <w:pPr>
        <w:pStyle w:val="BodyText"/>
        <w:tabs>
          <w:tab w:pos="737" w:val="left" w:leader="none"/>
        </w:tabs>
        <w:spacing w:before="3"/>
      </w:pPr>
      <w:r>
        <w:rPr>
          <w:w w:val="100"/>
        </w:rPr>
        <w:t> </w:t>
      </w:r>
      <w:r>
        <w:rPr/>
        <w:tab/>
      </w:r>
      <w:r>
        <w:rPr>
          <w:w w:val="100"/>
        </w:rPr>
        <w:t> </w:t>
      </w:r>
    </w:p>
    <w:p>
      <w:pPr>
        <w:pStyle w:val="BodyText"/>
        <w:tabs>
          <w:tab w:pos="737" w:val="left" w:leader="none"/>
        </w:tabs>
        <w:spacing w:line="242" w:lineRule="auto" w:before="4"/>
        <w:ind w:right="1277"/>
      </w:pPr>
      <w:r>
        <w:rPr>
          <w:w w:val="100"/>
        </w:rPr>
        <w:t> </w:t>
      </w:r>
      <w:r>
        <w:rPr/>
        <w:tab/>
      </w:r>
      <w:r>
        <w:rPr/>
        <w:t>存货跌价准备按存货成本高于其可变现净值的差额计提。可变现净值按日常活动中，以存货的估计售价减去至完工时估计将要发生的成本、估计的销售费用以及相关税费后的金额确定。 </w:t>
      </w:r>
    </w:p>
    <w:p>
      <w:pPr>
        <w:pStyle w:val="BodyText"/>
        <w:spacing w:before="1"/>
      </w:pPr>
      <w:r>
        <w:rPr>
          <w:w w:val="100"/>
        </w:rPr>
        <w:t> </w:t>
      </w:r>
    </w:p>
    <w:p>
      <w:pPr>
        <w:pStyle w:val="ListParagraph"/>
        <w:numPr>
          <w:ilvl w:val="0"/>
          <w:numId w:val="41"/>
        </w:numPr>
        <w:tabs>
          <w:tab w:pos="636" w:val="left" w:leader="none"/>
        </w:tabs>
        <w:spacing w:line="240" w:lineRule="auto" w:before="3" w:after="0"/>
        <w:ind w:left="635" w:right="0" w:hanging="318"/>
        <w:jc w:val="left"/>
        <w:rPr>
          <w:sz w:val="21"/>
        </w:rPr>
      </w:pPr>
      <w:r>
        <w:rPr>
          <w:spacing w:val="-1"/>
          <w:sz w:val="21"/>
        </w:rPr>
        <w:t>本集团的存货盘存制度采用永续盘存制。</w:t>
      </w:r>
      <w:r>
        <w:rPr>
          <w:sz w:val="21"/>
        </w:rPr>
        <w:t> </w:t>
      </w:r>
    </w:p>
    <w:p>
      <w:pPr>
        <w:pStyle w:val="BodyText"/>
        <w:spacing w:before="4"/>
      </w:pPr>
      <w:r>
        <w:rPr>
          <w:w w:val="100"/>
        </w:rPr>
        <w:t> </w:t>
      </w:r>
    </w:p>
    <w:p>
      <w:pPr>
        <w:pStyle w:val="ListParagraph"/>
        <w:numPr>
          <w:ilvl w:val="0"/>
          <w:numId w:val="36"/>
        </w:numPr>
        <w:tabs>
          <w:tab w:pos="743" w:val="left" w:leader="none"/>
        </w:tabs>
        <w:spacing w:line="240" w:lineRule="auto" w:before="63" w:after="0"/>
        <w:ind w:left="742" w:right="0" w:hanging="425"/>
        <w:jc w:val="left"/>
        <w:rPr>
          <w:sz w:val="21"/>
        </w:rPr>
      </w:pPr>
      <w:r>
        <w:rPr>
          <w:sz w:val="21"/>
        </w:rPr>
        <w:t>合同资产</w:t>
      </w:r>
    </w:p>
    <w:p>
      <w:pPr>
        <w:pStyle w:val="ListParagraph"/>
        <w:numPr>
          <w:ilvl w:val="0"/>
          <w:numId w:val="42"/>
        </w:numPr>
        <w:tabs>
          <w:tab w:pos="743" w:val="left" w:leader="none"/>
        </w:tabs>
        <w:spacing w:line="240" w:lineRule="auto" w:before="64" w:after="0"/>
        <w:ind w:left="742" w:right="0" w:hanging="425"/>
        <w:jc w:val="left"/>
        <w:rPr>
          <w:sz w:val="21"/>
        </w:rPr>
      </w:pPr>
      <w:r>
        <w:rPr>
          <w:sz w:val="21"/>
        </w:rPr>
        <w:t>合同资产的确认方法及标准 </w:t>
      </w:r>
    </w:p>
    <w:p>
      <w:pPr>
        <w:pStyle w:val="BodyText"/>
        <w:spacing w:before="62"/>
      </w:pPr>
      <w:r>
        <w:rPr>
          <w:spacing w:val="-1"/>
        </w:rPr>
        <w:t>□适用 √不适用</w:t>
      </w:r>
      <w:r>
        <w:rPr>
          <w:spacing w:val="-3"/>
        </w:rPr>
        <w:t> </w:t>
      </w:r>
      <w:r>
        <w:rPr/>
        <w:t> </w:t>
      </w:r>
    </w:p>
    <w:p>
      <w:pPr>
        <w:pStyle w:val="BodyText"/>
        <w:spacing w:before="5"/>
      </w:pPr>
      <w:r>
        <w:rPr>
          <w:w w:val="100"/>
        </w:rPr>
        <w:t> </w:t>
      </w:r>
    </w:p>
    <w:p>
      <w:pPr>
        <w:pStyle w:val="ListParagraph"/>
        <w:numPr>
          <w:ilvl w:val="0"/>
          <w:numId w:val="42"/>
        </w:numPr>
        <w:tabs>
          <w:tab w:pos="743" w:val="left" w:leader="none"/>
        </w:tabs>
        <w:spacing w:line="240" w:lineRule="auto" w:before="62" w:after="0"/>
        <w:ind w:left="742" w:right="0" w:hanging="425"/>
        <w:jc w:val="left"/>
        <w:rPr>
          <w:sz w:val="21"/>
        </w:rPr>
      </w:pPr>
      <w:r>
        <w:rPr>
          <w:sz w:val="21"/>
        </w:rPr>
        <w:t>合同资产预期信用损失的确定方法及会计处理方法 </w:t>
      </w:r>
    </w:p>
    <w:p>
      <w:pPr>
        <w:pStyle w:val="BodyText"/>
        <w:spacing w:before="64"/>
      </w:pPr>
      <w:r>
        <w:rPr>
          <w:spacing w:val="-1"/>
        </w:rPr>
        <w:t>□适用 √不适用</w:t>
      </w:r>
      <w:r>
        <w:rPr>
          <w:spacing w:val="-3"/>
        </w:rPr>
        <w:t> </w:t>
      </w:r>
      <w:r>
        <w:rPr/>
        <w:t> </w:t>
      </w:r>
    </w:p>
    <w:p>
      <w:pPr>
        <w:pStyle w:val="BodyText"/>
        <w:spacing w:before="3"/>
      </w:pPr>
      <w:r>
        <w:rPr>
          <w:w w:val="100"/>
        </w:rPr>
        <w:t> </w:t>
      </w:r>
    </w:p>
    <w:p>
      <w:pPr>
        <w:pStyle w:val="ListParagraph"/>
        <w:numPr>
          <w:ilvl w:val="0"/>
          <w:numId w:val="36"/>
        </w:numPr>
        <w:tabs>
          <w:tab w:pos="743" w:val="left" w:leader="none"/>
        </w:tabs>
        <w:spacing w:line="240" w:lineRule="auto" w:before="64" w:after="0"/>
        <w:ind w:left="742" w:right="0" w:hanging="425"/>
        <w:jc w:val="left"/>
        <w:rPr>
          <w:sz w:val="21"/>
        </w:rPr>
      </w:pPr>
      <w:r>
        <w:rPr>
          <w:sz w:val="21"/>
        </w:rPr>
        <w:t>持有待售资产</w:t>
      </w:r>
    </w:p>
    <w:p>
      <w:pPr>
        <w:pStyle w:val="BodyText"/>
        <w:spacing w:before="62"/>
      </w:pPr>
      <w:r>
        <w:rPr>
          <w:spacing w:val="11"/>
        </w:rPr>
        <w:t>□适用 √不适用</w:t>
      </w:r>
      <w:r>
        <w:rPr>
          <w:spacing w:val="-3"/>
        </w:rPr>
        <w:t> </w:t>
      </w:r>
      <w:r>
        <w:rPr/>
        <w:t> </w:t>
      </w:r>
    </w:p>
    <w:p>
      <w:pPr>
        <w:pStyle w:val="BodyText"/>
        <w:spacing w:before="5"/>
      </w:pPr>
      <w:r>
        <w:rPr>
          <w:w w:val="100"/>
        </w:rPr>
        <w:t> </w:t>
      </w:r>
    </w:p>
    <w:p>
      <w:pPr>
        <w:pStyle w:val="ListParagraph"/>
        <w:numPr>
          <w:ilvl w:val="0"/>
          <w:numId w:val="36"/>
        </w:numPr>
        <w:tabs>
          <w:tab w:pos="743" w:val="left" w:leader="none"/>
        </w:tabs>
        <w:spacing w:line="240" w:lineRule="auto" w:before="63" w:after="0"/>
        <w:ind w:left="742" w:right="0" w:hanging="425"/>
        <w:jc w:val="left"/>
        <w:rPr>
          <w:sz w:val="21"/>
        </w:rPr>
      </w:pPr>
      <w:r>
        <w:rPr>
          <w:sz w:val="21"/>
        </w:rPr>
        <w:t>债权投资</w:t>
      </w:r>
    </w:p>
    <w:p>
      <w:pPr>
        <w:pStyle w:val="BodyText"/>
        <w:spacing w:before="64"/>
      </w:pPr>
      <w:r>
        <w:rPr/>
        <w:t>(1).债权投资预期信用损失的确定方法及会计处理方法 </w:t>
      </w:r>
    </w:p>
    <w:p>
      <w:pPr>
        <w:pStyle w:val="BodyText"/>
        <w:spacing w:before="62"/>
      </w:pPr>
      <w:r>
        <w:rPr>
          <w:spacing w:val="-1"/>
        </w:rPr>
        <w:t>□适用 √不适用</w:t>
      </w:r>
      <w:r>
        <w:rPr>
          <w:spacing w:val="-3"/>
        </w:rPr>
        <w:t> </w:t>
      </w:r>
      <w:r>
        <w:rPr/>
        <w:t> </w:t>
      </w:r>
    </w:p>
    <w:p>
      <w:pPr>
        <w:pStyle w:val="BodyText"/>
        <w:spacing w:before="2"/>
      </w:pPr>
      <w:r>
        <w:rPr>
          <w:w w:val="100"/>
        </w:rPr>
        <w:t> </w:t>
      </w:r>
    </w:p>
    <w:p>
      <w:pPr>
        <w:pStyle w:val="ListParagraph"/>
        <w:numPr>
          <w:ilvl w:val="0"/>
          <w:numId w:val="36"/>
        </w:numPr>
        <w:tabs>
          <w:tab w:pos="743" w:val="left" w:leader="none"/>
        </w:tabs>
        <w:spacing w:line="240" w:lineRule="auto" w:before="65" w:after="0"/>
        <w:ind w:left="742" w:right="0" w:hanging="425"/>
        <w:jc w:val="left"/>
        <w:rPr>
          <w:sz w:val="21"/>
        </w:rPr>
      </w:pPr>
      <w:r>
        <w:rPr>
          <w:sz w:val="21"/>
        </w:rPr>
        <w:t>其他债权投资</w:t>
      </w:r>
    </w:p>
    <w:p>
      <w:pPr>
        <w:pStyle w:val="BodyText"/>
        <w:spacing w:before="62"/>
      </w:pPr>
      <w:r>
        <w:rPr/>
        <w:t>(1).其他债权投资预期信用损失的确定方法及会计处理方法 </w:t>
      </w:r>
    </w:p>
    <w:p>
      <w:pPr>
        <w:pStyle w:val="BodyText"/>
        <w:spacing w:before="65"/>
      </w:pPr>
      <w:r>
        <w:rPr>
          <w:spacing w:val="-1"/>
        </w:rPr>
        <w:t>□适用 √不适用</w:t>
      </w:r>
      <w:r>
        <w:rPr>
          <w:spacing w:val="-3"/>
        </w:rPr>
        <w:t> </w:t>
      </w:r>
      <w:r>
        <w:rPr/>
        <w:t> </w:t>
      </w:r>
    </w:p>
    <w:p>
      <w:pPr>
        <w:pStyle w:val="BodyText"/>
        <w:spacing w:before="2"/>
      </w:pPr>
      <w:r>
        <w:rPr>
          <w:w w:val="100"/>
        </w:rPr>
        <w:t> </w:t>
      </w:r>
    </w:p>
    <w:p>
      <w:pPr>
        <w:spacing w:after="0"/>
        <w:sectPr>
          <w:pgSz w:w="11910" w:h="16840"/>
          <w:pgMar w:header="882" w:footer="1172" w:top="1120" w:bottom="1380" w:left="1480" w:right="0"/>
        </w:sectPr>
      </w:pPr>
    </w:p>
    <w:p>
      <w:pPr>
        <w:pStyle w:val="BodyText"/>
        <w:spacing w:before="7"/>
        <w:ind w:left="0"/>
        <w:rPr>
          <w:sz w:val="25"/>
        </w:rPr>
      </w:pPr>
    </w:p>
    <w:p>
      <w:pPr>
        <w:pStyle w:val="ListParagraph"/>
        <w:numPr>
          <w:ilvl w:val="0"/>
          <w:numId w:val="36"/>
        </w:numPr>
        <w:tabs>
          <w:tab w:pos="743" w:val="left" w:leader="none"/>
        </w:tabs>
        <w:spacing w:line="240" w:lineRule="auto" w:before="72" w:after="0"/>
        <w:ind w:left="742" w:right="0" w:hanging="425"/>
        <w:jc w:val="left"/>
        <w:rPr>
          <w:sz w:val="21"/>
        </w:rPr>
      </w:pPr>
      <w:r>
        <w:rPr>
          <w:sz w:val="21"/>
        </w:rPr>
        <w:t>长期应收款</w:t>
      </w:r>
    </w:p>
    <w:p>
      <w:pPr>
        <w:pStyle w:val="ListParagraph"/>
        <w:numPr>
          <w:ilvl w:val="0"/>
          <w:numId w:val="43"/>
        </w:numPr>
        <w:tabs>
          <w:tab w:pos="743" w:val="left" w:leader="none"/>
        </w:tabs>
        <w:spacing w:line="240" w:lineRule="auto" w:before="65" w:after="0"/>
        <w:ind w:left="742" w:right="0" w:hanging="425"/>
        <w:jc w:val="left"/>
        <w:rPr>
          <w:sz w:val="21"/>
        </w:rPr>
      </w:pPr>
      <w:r>
        <w:rPr>
          <w:sz w:val="21"/>
        </w:rPr>
        <w:t>长期应收款预期信用损失的确定方法及会计处理方法 </w:t>
      </w:r>
    </w:p>
    <w:p>
      <w:pPr>
        <w:pStyle w:val="BodyText"/>
        <w:spacing w:before="62"/>
      </w:pPr>
      <w:r>
        <w:rPr>
          <w:spacing w:val="-1"/>
        </w:rPr>
        <w:t>□适用 √不适用</w:t>
      </w:r>
      <w:r>
        <w:rPr>
          <w:spacing w:val="-3"/>
        </w:rPr>
        <w:t> </w:t>
      </w:r>
      <w:r>
        <w:rPr/>
        <w:t> </w:t>
      </w:r>
    </w:p>
    <w:p>
      <w:pPr>
        <w:pStyle w:val="BodyText"/>
        <w:spacing w:before="5"/>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长期股权投资</w:t>
      </w:r>
    </w:p>
    <w:p>
      <w:pPr>
        <w:pStyle w:val="BodyText"/>
        <w:spacing w:before="64"/>
      </w:pPr>
      <w:r>
        <w:rPr>
          <w:spacing w:val="11"/>
        </w:rPr>
        <w:t>√适用 □不适用</w:t>
      </w:r>
      <w:r>
        <w:rPr>
          <w:spacing w:val="-3"/>
        </w:rPr>
        <w:t> </w:t>
      </w:r>
      <w:r>
        <w:rPr/>
        <w:t> </w:t>
      </w:r>
    </w:p>
    <w:p>
      <w:pPr>
        <w:pStyle w:val="BodyText"/>
        <w:tabs>
          <w:tab w:pos="737" w:val="left" w:leader="none"/>
        </w:tabs>
        <w:spacing w:before="2"/>
      </w:pPr>
      <w:r>
        <w:rPr>
          <w:w w:val="100"/>
        </w:rPr>
        <w:t> </w:t>
      </w:r>
      <w:r>
        <w:rPr/>
        <w:tab/>
      </w:r>
      <w:r>
        <w:rPr/>
        <w:t>长期股权投资包括本公司对子公司及本集团对联营企业的长期股权投资。 </w:t>
      </w:r>
    </w:p>
    <w:p>
      <w:pPr>
        <w:pStyle w:val="BodyText"/>
        <w:tabs>
          <w:tab w:pos="737" w:val="left" w:leader="none"/>
        </w:tabs>
        <w:spacing w:before="5"/>
      </w:pPr>
      <w:r>
        <w:rPr>
          <w:w w:val="100"/>
        </w:rPr>
        <w:t> </w:t>
      </w:r>
      <w:r>
        <w:rPr/>
        <w:tab/>
      </w:r>
      <w:r>
        <w:rPr>
          <w:w w:val="100"/>
        </w:rPr>
        <w:t> </w:t>
      </w:r>
    </w:p>
    <w:p>
      <w:pPr>
        <w:pStyle w:val="BodyText"/>
        <w:tabs>
          <w:tab w:pos="737" w:val="left" w:leader="none"/>
        </w:tabs>
        <w:spacing w:line="244" w:lineRule="auto" w:before="2"/>
        <w:ind w:right="1277"/>
      </w:pPr>
      <w:r>
        <w:rPr>
          <w:w w:val="100"/>
        </w:rPr>
        <w:t> </w:t>
      </w:r>
      <w:r>
        <w:rPr/>
        <w:tab/>
      </w:r>
      <w:r>
        <w:rPr/>
        <w:t>子公司为本公司能够对其实施控制的被投资单位。联营企业为本集团能够对其财务和经营决策具有重大影响的被投资单位。 </w:t>
      </w:r>
    </w:p>
    <w:p>
      <w:pPr>
        <w:pStyle w:val="BodyText"/>
        <w:tabs>
          <w:tab w:pos="737" w:val="left" w:leader="none"/>
        </w:tabs>
        <w:spacing w:line="265" w:lineRule="exact"/>
      </w:pPr>
      <w:r>
        <w:rPr>
          <w:w w:val="100"/>
        </w:rPr>
        <w:t> </w:t>
      </w:r>
      <w:r>
        <w:rPr/>
        <w:tab/>
      </w:r>
      <w:r>
        <w:rPr>
          <w:w w:val="100"/>
        </w:rPr>
        <w:t> </w:t>
      </w:r>
    </w:p>
    <w:p>
      <w:pPr>
        <w:pStyle w:val="BodyText"/>
        <w:tabs>
          <w:tab w:pos="737" w:val="left" w:leader="none"/>
        </w:tabs>
        <w:spacing w:line="242" w:lineRule="auto" w:before="5"/>
        <w:ind w:right="1277"/>
      </w:pPr>
      <w:r>
        <w:rPr>
          <w:w w:val="100"/>
        </w:rPr>
        <w:t> </w:t>
      </w:r>
      <w:r>
        <w:rPr/>
        <w:tab/>
      </w:r>
      <w:r>
        <w:rPr/>
        <w:t>对子公司的投资，在公司财务报表中按照成本法确定的金额列示，在编制合并财务报表时按权益法调整后进行合并；对联营企业投资采用权益法核算。 </w:t>
      </w:r>
    </w:p>
    <w:p>
      <w:pPr>
        <w:pStyle w:val="BodyText"/>
        <w:tabs>
          <w:tab w:pos="737" w:val="left" w:leader="none"/>
        </w:tabs>
        <w:spacing w:before="2"/>
      </w:pPr>
      <w:r>
        <w:rPr>
          <w:w w:val="100"/>
        </w:rPr>
        <w:t> </w:t>
      </w:r>
      <w:r>
        <w:rPr/>
        <w:tab/>
      </w:r>
      <w:r>
        <w:rPr>
          <w:w w:val="100"/>
        </w:rPr>
        <w:t> </w:t>
      </w:r>
    </w:p>
    <w:p>
      <w:pPr>
        <w:pStyle w:val="ListParagraph"/>
        <w:numPr>
          <w:ilvl w:val="0"/>
          <w:numId w:val="44"/>
        </w:numPr>
        <w:tabs>
          <w:tab w:pos="636" w:val="left" w:leader="none"/>
        </w:tabs>
        <w:spacing w:line="240" w:lineRule="auto" w:before="2" w:after="0"/>
        <w:ind w:left="635" w:right="0" w:hanging="318"/>
        <w:jc w:val="left"/>
        <w:rPr>
          <w:sz w:val="21"/>
        </w:rPr>
      </w:pPr>
      <w:r>
        <w:rPr>
          <w:spacing w:val="-1"/>
          <w:sz w:val="21"/>
        </w:rPr>
        <w:t>投资成本确定</w:t>
      </w:r>
      <w:r>
        <w:rPr>
          <w:sz w:val="21"/>
        </w:rPr>
        <w:t> </w:t>
      </w:r>
    </w:p>
    <w:p>
      <w:pPr>
        <w:pStyle w:val="BodyText"/>
        <w:tabs>
          <w:tab w:pos="737" w:val="left" w:leader="none"/>
        </w:tabs>
        <w:spacing w:before="4"/>
      </w:pPr>
      <w:r>
        <w:rPr>
          <w:w w:val="100"/>
        </w:rPr>
        <w:t> </w:t>
      </w:r>
      <w:r>
        <w:rPr/>
        <w:tab/>
      </w:r>
      <w:r>
        <w:rPr>
          <w:w w:val="100"/>
        </w:rPr>
        <w:t> </w:t>
      </w:r>
    </w:p>
    <w:p>
      <w:pPr>
        <w:pStyle w:val="BodyText"/>
        <w:spacing w:line="242" w:lineRule="auto" w:before="2"/>
        <w:ind w:right="1277"/>
        <w:jc w:val="both"/>
      </w:pPr>
      <w:r>
        <w:rPr>
          <w:w w:val="100"/>
        </w:rPr>
        <w:t> </w:t>
      </w:r>
      <w:r>
        <w:rPr/>
        <w:t>  </w:t>
      </w:r>
      <w:r>
        <w:rPr>
          <w:spacing w:val="-1"/>
        </w:rPr>
        <w:t> </w:t>
      </w:r>
      <w:r>
        <w:rPr/>
        <w:t>同一控制下企业合并形成的长期股权投资，在合并日按照被合并方所有者权益在最终控制方合并财务报表中的账面价值的份额作为投资成本；非同一控制下企业合并形成的长期股权投资，</w:t>
      </w:r>
      <w:r>
        <w:rPr>
          <w:spacing w:val="-103"/>
        </w:rPr>
        <w:t> </w:t>
      </w:r>
      <w:r>
        <w:rPr/>
        <w:t>按照合并成本作为长期股权投资的投资成本。 </w:t>
      </w:r>
    </w:p>
    <w:p>
      <w:pPr>
        <w:pStyle w:val="BodyText"/>
        <w:spacing w:before="1"/>
        <w:jc w:val="both"/>
      </w:pPr>
      <w:r>
        <w:rPr>
          <w:w w:val="100"/>
        </w:rPr>
        <w:t> </w:t>
      </w:r>
      <w:r>
        <w:rPr/>
        <w:t>  </w:t>
      </w:r>
      <w:r>
        <w:rPr>
          <w:spacing w:val="-1"/>
        </w:rPr>
        <w:t> </w:t>
      </w:r>
      <w:r>
        <w:rPr>
          <w:w w:val="100"/>
        </w:rPr>
        <w:t> </w:t>
      </w:r>
    </w:p>
    <w:p>
      <w:pPr>
        <w:pStyle w:val="BodyText"/>
        <w:spacing w:line="242" w:lineRule="auto" w:before="5"/>
        <w:ind w:right="1277"/>
        <w:jc w:val="both"/>
      </w:pPr>
      <w:r>
        <w:rPr>
          <w:w w:val="100"/>
        </w:rPr>
        <w:t> </w:t>
      </w:r>
      <w:r>
        <w:rPr/>
        <w:t>  </w:t>
      </w:r>
      <w:r>
        <w:rPr>
          <w:spacing w:val="-1"/>
        </w:rPr>
        <w:t> </w:t>
      </w:r>
      <w:r>
        <w:rPr/>
        <w:t>对于以企业合并以外的其他方式取得的长期股权投资，以支付现金取得的长期股权投资，按照实际支付的购买价款作为初始投资成本。 </w:t>
      </w:r>
    </w:p>
    <w:p>
      <w:pPr>
        <w:pStyle w:val="BodyText"/>
        <w:tabs>
          <w:tab w:pos="737" w:val="left" w:leader="none"/>
        </w:tabs>
        <w:spacing w:before="1"/>
      </w:pPr>
      <w:r>
        <w:rPr>
          <w:w w:val="100"/>
        </w:rPr>
        <w:t> </w:t>
      </w:r>
      <w:r>
        <w:rPr/>
        <w:tab/>
      </w:r>
      <w:r>
        <w:rPr>
          <w:w w:val="100"/>
        </w:rPr>
        <w:t> </w:t>
      </w:r>
    </w:p>
    <w:p>
      <w:pPr>
        <w:pStyle w:val="ListParagraph"/>
        <w:numPr>
          <w:ilvl w:val="0"/>
          <w:numId w:val="44"/>
        </w:numPr>
        <w:tabs>
          <w:tab w:pos="636" w:val="left" w:leader="none"/>
        </w:tabs>
        <w:spacing w:line="240" w:lineRule="auto" w:before="2" w:after="0"/>
        <w:ind w:left="635" w:right="0" w:hanging="318"/>
        <w:jc w:val="left"/>
        <w:rPr>
          <w:sz w:val="21"/>
        </w:rPr>
      </w:pPr>
      <w:r>
        <w:rPr>
          <w:spacing w:val="-1"/>
          <w:sz w:val="21"/>
        </w:rPr>
        <w:t>后续计量及损益确认方法</w:t>
      </w:r>
      <w:r>
        <w:rPr>
          <w:sz w:val="21"/>
        </w:rPr>
        <w:t> </w:t>
      </w:r>
    </w:p>
    <w:p>
      <w:pPr>
        <w:pStyle w:val="BodyText"/>
        <w:tabs>
          <w:tab w:pos="737" w:val="left" w:leader="none"/>
        </w:tabs>
        <w:spacing w:before="5"/>
      </w:pPr>
      <w:r>
        <w:rPr>
          <w:w w:val="100"/>
        </w:rPr>
        <w:t> </w:t>
      </w:r>
      <w:r>
        <w:rPr/>
        <w:tab/>
      </w:r>
      <w:r>
        <w:rPr>
          <w:w w:val="100"/>
        </w:rPr>
        <w:t> </w:t>
      </w:r>
    </w:p>
    <w:p>
      <w:pPr>
        <w:pStyle w:val="BodyText"/>
        <w:tabs>
          <w:tab w:pos="737" w:val="left" w:leader="none"/>
        </w:tabs>
        <w:spacing w:line="244" w:lineRule="auto" w:before="2"/>
        <w:ind w:right="1277"/>
      </w:pPr>
      <w:r>
        <w:rPr>
          <w:w w:val="100"/>
        </w:rPr>
        <w:t> </w:t>
      </w:r>
      <w:r>
        <w:rPr/>
        <w:tab/>
      </w:r>
      <w:r>
        <w:rPr/>
        <w:t>采用成本法核算的长期股权投资，按照初始投资成本计量，被投资单位宣告分派的现金股利或利润，确认为投资收益计入当期损益。 </w:t>
      </w:r>
    </w:p>
    <w:p>
      <w:pPr>
        <w:pStyle w:val="BodyText"/>
        <w:spacing w:line="265" w:lineRule="exact"/>
      </w:pPr>
      <w:r>
        <w:rPr>
          <w:w w:val="100"/>
        </w:rPr>
        <w:t> </w:t>
      </w:r>
    </w:p>
    <w:p>
      <w:pPr>
        <w:pStyle w:val="BodyText"/>
        <w:spacing w:line="242" w:lineRule="auto" w:before="4"/>
        <w:ind w:right="1277"/>
        <w:jc w:val="both"/>
      </w:pPr>
      <w:r>
        <w:rPr>
          <w:w w:val="100"/>
        </w:rPr>
        <w:t> </w:t>
      </w:r>
      <w:r>
        <w:rPr/>
        <w:t>  </w:t>
      </w:r>
      <w:r>
        <w:rPr>
          <w:spacing w:val="-1"/>
        </w:rPr>
        <w:t> </w:t>
      </w:r>
      <w:r>
        <w:rPr/>
        <w:t>采用权益法核算的长期股权投资，初始投资成本大于投资时应享有被投资单位可辨认净资产公允价值份额的，以初始投资成本作为长期股权投资成本；初始投资成本小于投资时应享有被投资单位可辨认净资产公允价值份额的，其差额计入当期损益，并相应调增长期股权投资成本。 </w:t>
      </w:r>
    </w:p>
    <w:p>
      <w:pPr>
        <w:pStyle w:val="BodyText"/>
        <w:spacing w:before="1"/>
        <w:jc w:val="both"/>
      </w:pPr>
      <w:r>
        <w:rPr>
          <w:w w:val="100"/>
        </w:rPr>
        <w:t> </w:t>
      </w:r>
      <w:r>
        <w:rPr/>
        <w:t>  </w:t>
      </w:r>
      <w:r>
        <w:rPr>
          <w:spacing w:val="-1"/>
        </w:rPr>
        <w:t> </w:t>
      </w:r>
      <w:r>
        <w:rPr>
          <w:w w:val="100"/>
        </w:rPr>
        <w:t> </w:t>
      </w:r>
    </w:p>
    <w:p>
      <w:pPr>
        <w:pStyle w:val="BodyText"/>
        <w:tabs>
          <w:tab w:pos="737" w:val="left" w:leader="none"/>
        </w:tabs>
        <w:spacing w:line="242" w:lineRule="auto" w:before="5"/>
        <w:ind w:right="1277"/>
      </w:pPr>
      <w:r>
        <w:rPr>
          <w:w w:val="100"/>
        </w:rPr>
        <w:t> </w:t>
      </w:r>
      <w:r>
        <w:rPr/>
        <w:tab/>
      </w:r>
      <w:r>
        <w:rPr/>
        <w:t>采用权益法核算的长期股权投资，本集团按应享有或应分担的被投资单位的净损益份额确认当期投资损益。确认被投资单位发生的净亏损，以长期股权投资的账面价值以及其他实质上构成对被投资单位净投资的长期权益减记至零为限，但本集团负有承担额外损失义务且符合预计负债确认条件的，继续确认预计将承担的损失金额。被投资单位除净损益、其他综合收益和利润分配以外所有者权益的其他变动，调整长期股权投资的账面价值并计入资本公积。被投资单位分派的利润或现金股利于宣告分派时按照本集团应分得的部分，相应减少长期股权投资的账面价值。本集团与被投资单位之间未实现的内部交易损益按照持股比例计算归属于本集团的部分，予以抵</w:t>
      </w:r>
      <w:r>
        <w:rPr>
          <w:spacing w:val="1"/>
        </w:rPr>
        <w:t> </w:t>
      </w:r>
      <w:r>
        <w:rPr/>
        <w:t>销，在此基础上确认投资损益。本集团与被投资单位发生的内部交易损失，其中属于资产减值损失的部分，相应的未实现损失不予抵销。 </w:t>
      </w:r>
    </w:p>
    <w:p>
      <w:pPr>
        <w:pStyle w:val="BodyText"/>
        <w:tabs>
          <w:tab w:pos="737" w:val="left" w:leader="none"/>
        </w:tabs>
        <w:spacing w:before="5"/>
      </w:pPr>
      <w:r>
        <w:rPr>
          <w:w w:val="100"/>
        </w:rPr>
        <w:t> </w:t>
      </w:r>
      <w:r>
        <w:rPr/>
        <w:tab/>
      </w:r>
      <w:r>
        <w:rPr>
          <w:w w:val="100"/>
        </w:rPr>
        <w:t> </w:t>
      </w:r>
    </w:p>
    <w:p>
      <w:pPr>
        <w:pStyle w:val="ListParagraph"/>
        <w:numPr>
          <w:ilvl w:val="0"/>
          <w:numId w:val="44"/>
        </w:numPr>
        <w:tabs>
          <w:tab w:pos="636" w:val="left" w:leader="none"/>
        </w:tabs>
        <w:spacing w:line="240" w:lineRule="auto" w:before="2" w:after="0"/>
        <w:ind w:left="635" w:right="0" w:hanging="318"/>
        <w:jc w:val="left"/>
        <w:rPr>
          <w:sz w:val="21"/>
        </w:rPr>
      </w:pPr>
      <w:r>
        <w:rPr>
          <w:spacing w:val="-1"/>
          <w:sz w:val="21"/>
        </w:rPr>
        <w:t>确定对被投资单位具有控制、重大影响的依据</w:t>
      </w:r>
      <w:r>
        <w:rPr>
          <w:sz w:val="21"/>
        </w:rPr>
        <w:t> </w:t>
      </w:r>
    </w:p>
    <w:p>
      <w:pPr>
        <w:pStyle w:val="BodyText"/>
        <w:tabs>
          <w:tab w:pos="737" w:val="left" w:leader="none"/>
        </w:tabs>
        <w:spacing w:before="4"/>
      </w:pPr>
      <w:r>
        <w:rPr>
          <w:w w:val="100"/>
        </w:rPr>
        <w:t> </w:t>
      </w:r>
      <w:r>
        <w:rPr/>
        <w:tab/>
      </w:r>
      <w:r>
        <w:rPr>
          <w:w w:val="100"/>
        </w:rPr>
        <w:t> </w:t>
      </w:r>
    </w:p>
    <w:p>
      <w:pPr>
        <w:pStyle w:val="BodyText"/>
        <w:tabs>
          <w:tab w:pos="737" w:val="left" w:leader="none"/>
        </w:tabs>
        <w:spacing w:line="244" w:lineRule="auto" w:before="3"/>
        <w:ind w:right="1277"/>
      </w:pPr>
      <w:r>
        <w:rPr>
          <w:w w:val="100"/>
        </w:rPr>
        <w:t> </w:t>
      </w:r>
      <w:r>
        <w:rPr/>
        <w:tab/>
      </w:r>
      <w:r>
        <w:rPr/>
        <w:t>控制是指拥有对被投资单位的权力，通过参与被投资单位的相关活动而享有可变回报，并且有能力运用对被投资单位的权力影响其回报金额。 </w:t>
      </w:r>
    </w:p>
    <w:p>
      <w:pPr>
        <w:pStyle w:val="BodyText"/>
        <w:tabs>
          <w:tab w:pos="737" w:val="left" w:leader="none"/>
        </w:tabs>
        <w:spacing w:line="265" w:lineRule="exact"/>
      </w:pPr>
      <w:r>
        <w:rPr>
          <w:w w:val="100"/>
        </w:rPr>
        <w:t> </w:t>
      </w:r>
      <w:r>
        <w:rPr/>
        <w:tab/>
      </w:r>
      <w:r>
        <w:rPr>
          <w:w w:val="100"/>
        </w:rPr>
        <w:t> </w:t>
      </w:r>
    </w:p>
    <w:p>
      <w:pPr>
        <w:pStyle w:val="BodyText"/>
        <w:tabs>
          <w:tab w:pos="737" w:val="left" w:leader="none"/>
        </w:tabs>
        <w:spacing w:line="242" w:lineRule="auto" w:before="4"/>
        <w:ind w:right="1277"/>
      </w:pPr>
      <w:r>
        <w:rPr>
          <w:w w:val="100"/>
        </w:rPr>
        <w:t> </w:t>
      </w:r>
      <w:r>
        <w:rPr/>
        <w:tab/>
      </w:r>
      <w:r>
        <w:rPr/>
        <w:t>重大影响是指对被投资单位的财务和经营政策有参与决策的权力，但并不能够控制或者与其他方一起共同控制这些政策的制定。 </w:t>
      </w:r>
    </w:p>
    <w:p>
      <w:pPr>
        <w:pStyle w:val="BodyText"/>
        <w:tabs>
          <w:tab w:pos="737" w:val="left" w:leader="none"/>
        </w:tabs>
        <w:spacing w:before="1"/>
      </w:pPr>
      <w:r>
        <w:rPr>
          <w:w w:val="100"/>
        </w:rPr>
        <w:t> </w:t>
      </w:r>
      <w:r>
        <w:rPr/>
        <w:tab/>
      </w:r>
      <w:r>
        <w:rPr>
          <w:w w:val="100"/>
        </w:rPr>
        <w:t> </w:t>
      </w:r>
    </w:p>
    <w:p>
      <w:pPr>
        <w:spacing w:after="0"/>
        <w:sectPr>
          <w:pgSz w:w="11910" w:h="16840"/>
          <w:pgMar w:header="882" w:footer="1172" w:top="1120" w:bottom="1380" w:left="1480" w:right="0"/>
        </w:sectPr>
      </w:pPr>
    </w:p>
    <w:p>
      <w:pPr>
        <w:pStyle w:val="BodyText"/>
        <w:spacing w:before="7"/>
        <w:ind w:left="0"/>
        <w:rPr>
          <w:sz w:val="25"/>
        </w:rPr>
      </w:pPr>
    </w:p>
    <w:p>
      <w:pPr>
        <w:pStyle w:val="ListParagraph"/>
        <w:numPr>
          <w:ilvl w:val="0"/>
          <w:numId w:val="44"/>
        </w:numPr>
        <w:tabs>
          <w:tab w:pos="636" w:val="left" w:leader="none"/>
        </w:tabs>
        <w:spacing w:line="240" w:lineRule="auto" w:before="72" w:after="0"/>
        <w:ind w:left="635" w:right="0" w:hanging="318"/>
        <w:jc w:val="left"/>
        <w:rPr>
          <w:sz w:val="21"/>
        </w:rPr>
      </w:pPr>
      <w:r>
        <w:rPr>
          <w:spacing w:val="-1"/>
          <w:sz w:val="21"/>
        </w:rPr>
        <w:t>长期股权投资减值</w:t>
      </w:r>
      <w:r>
        <w:rPr>
          <w:sz w:val="21"/>
        </w:rPr>
        <w:t> </w:t>
      </w:r>
    </w:p>
    <w:p>
      <w:pPr>
        <w:pStyle w:val="BodyText"/>
        <w:tabs>
          <w:tab w:pos="737" w:val="left" w:leader="none"/>
        </w:tabs>
        <w:spacing w:before="5"/>
      </w:pPr>
      <w:r>
        <w:rPr>
          <w:w w:val="100"/>
        </w:rPr>
        <w:t> </w:t>
      </w:r>
      <w:r>
        <w:rPr/>
        <w:tab/>
      </w:r>
      <w:r>
        <w:rPr>
          <w:w w:val="100"/>
        </w:rPr>
        <w:t> </w:t>
      </w:r>
    </w:p>
    <w:p>
      <w:pPr>
        <w:pStyle w:val="BodyText"/>
        <w:tabs>
          <w:tab w:pos="737" w:val="left" w:leader="none"/>
        </w:tabs>
        <w:spacing w:line="244" w:lineRule="auto" w:before="2"/>
        <w:ind w:right="1277"/>
      </w:pPr>
      <w:r>
        <w:rPr>
          <w:w w:val="100"/>
        </w:rPr>
        <w:t> </w:t>
      </w:r>
      <w:r>
        <w:rPr/>
        <w:tab/>
      </w:r>
      <w:r>
        <w:rPr/>
        <w:t>对子公司及联营企业的长期股权投资，当其可收回金额低于其账面价值时，账面价值减记至可收回金额。 </w:t>
      </w:r>
    </w:p>
    <w:p>
      <w:pPr>
        <w:pStyle w:val="BodyText"/>
        <w:spacing w:line="265" w:lineRule="exact"/>
      </w:pPr>
      <w:r>
        <w:rPr>
          <w:w w:val="100"/>
        </w:rPr>
        <w:t> </w:t>
      </w:r>
    </w:p>
    <w:p>
      <w:pPr>
        <w:pStyle w:val="ListParagraph"/>
        <w:numPr>
          <w:ilvl w:val="0"/>
          <w:numId w:val="36"/>
        </w:numPr>
        <w:tabs>
          <w:tab w:pos="743" w:val="left" w:leader="none"/>
        </w:tabs>
        <w:spacing w:line="295" w:lineRule="auto" w:before="65" w:after="0"/>
        <w:ind w:left="318" w:right="8414" w:firstLine="0"/>
        <w:jc w:val="left"/>
        <w:rPr>
          <w:sz w:val="21"/>
        </w:rPr>
      </w:pPr>
      <w:r>
        <w:rPr>
          <w:sz w:val="21"/>
        </w:rPr>
        <w:t>投资性房地产不适用 </w:t>
      </w:r>
    </w:p>
    <w:p>
      <w:pPr>
        <w:pStyle w:val="BodyText"/>
        <w:spacing w:line="212" w:lineRule="exact"/>
      </w:pPr>
      <w:r>
        <w:rPr>
          <w:w w:val="100"/>
        </w:rPr>
        <w:t> </w:t>
      </w:r>
    </w:p>
    <w:p>
      <w:pPr>
        <w:pStyle w:val="ListParagraph"/>
        <w:numPr>
          <w:ilvl w:val="0"/>
          <w:numId w:val="36"/>
        </w:numPr>
        <w:tabs>
          <w:tab w:pos="743" w:val="left" w:leader="none"/>
        </w:tabs>
        <w:spacing w:line="297" w:lineRule="auto" w:before="62" w:after="0"/>
        <w:ind w:left="318" w:right="8733" w:firstLine="0"/>
        <w:jc w:val="left"/>
        <w:rPr>
          <w:sz w:val="21"/>
        </w:rPr>
      </w:pPr>
      <w:r>
        <w:rPr>
          <w:sz w:val="21"/>
        </w:rPr>
        <w:t>固定资产(1).确认条件 </w:t>
      </w:r>
    </w:p>
    <w:p>
      <w:pPr>
        <w:pStyle w:val="BodyText"/>
        <w:spacing w:line="267" w:lineRule="exact"/>
      </w:pPr>
      <w:r>
        <w:rPr>
          <w:spacing w:val="-1"/>
        </w:rPr>
        <w:t>√适用 □不适用</w:t>
      </w:r>
      <w:r>
        <w:rPr>
          <w:spacing w:val="-3"/>
        </w:rPr>
        <w:t> </w:t>
      </w:r>
      <w:r>
        <w:rPr/>
        <w:t> </w:t>
      </w:r>
    </w:p>
    <w:p>
      <w:pPr>
        <w:pStyle w:val="BodyText"/>
        <w:spacing w:before="4"/>
      </w:pPr>
      <w:r>
        <w:rPr>
          <w:spacing w:val="-1"/>
        </w:rPr>
        <w:t>固定资产包括土地、房屋及建筑物、机器设备、运输工具、办公及电子设备以及其他设备等。</w:t>
      </w:r>
      <w:r>
        <w:rPr/>
        <w:t> </w:t>
      </w:r>
    </w:p>
    <w:p>
      <w:pPr>
        <w:pStyle w:val="BodyText"/>
        <w:spacing w:before="2"/>
      </w:pPr>
      <w:r>
        <w:rPr>
          <w:w w:val="100"/>
        </w:rPr>
        <w:t> </w:t>
      </w:r>
    </w:p>
    <w:p>
      <w:pPr>
        <w:pStyle w:val="BodyText"/>
        <w:spacing w:line="242" w:lineRule="auto" w:before="6"/>
        <w:ind w:right="1277"/>
      </w:pPr>
      <w:r>
        <w:rPr/>
        <w:t>固定资产在与其有关的经济利益很可能流入本集团、且其成本能够可靠计量时予以确认。购置或新建的固定资产按取得时的成本进行初始计量。 </w:t>
      </w:r>
    </w:p>
    <w:p>
      <w:pPr>
        <w:pStyle w:val="BodyText"/>
        <w:spacing w:before="1"/>
      </w:pPr>
      <w:r>
        <w:rPr>
          <w:w w:val="100"/>
        </w:rPr>
        <w:t> </w:t>
      </w:r>
    </w:p>
    <w:p>
      <w:pPr>
        <w:pStyle w:val="BodyText"/>
        <w:spacing w:line="242" w:lineRule="auto" w:before="2"/>
        <w:ind w:right="1277"/>
        <w:jc w:val="both"/>
      </w:pPr>
      <w:r>
        <w:rPr/>
        <w:t>与固定资产有关的后续支出，在相关的经济利益很可能流入本集团且其成本能够可靠计量时，计入固定资产成本；对于被替换的部分，终止确认其账面价值；所有其他后续支出于发生时计入当期损益。 </w:t>
      </w:r>
    </w:p>
    <w:p>
      <w:pPr>
        <w:pStyle w:val="BodyText"/>
        <w:spacing w:before="1"/>
      </w:pPr>
      <w:r>
        <w:rPr>
          <w:w w:val="100"/>
        </w:rPr>
        <w:t> </w:t>
      </w:r>
    </w:p>
    <w:p>
      <w:pPr>
        <w:pStyle w:val="ListParagraph"/>
        <w:numPr>
          <w:ilvl w:val="0"/>
          <w:numId w:val="43"/>
        </w:numPr>
        <w:tabs>
          <w:tab w:pos="743" w:val="left" w:leader="none"/>
        </w:tabs>
        <w:spacing w:line="240" w:lineRule="auto" w:before="64" w:after="0"/>
        <w:ind w:left="742" w:right="0" w:hanging="425"/>
        <w:jc w:val="left"/>
        <w:rPr>
          <w:sz w:val="21"/>
        </w:rPr>
      </w:pPr>
      <w:r>
        <w:rPr>
          <w:sz w:val="21"/>
        </w:rPr>
        <w:t>折旧方法 </w:t>
      </w:r>
    </w:p>
    <w:p>
      <w:pPr>
        <w:pStyle w:val="BodyText"/>
        <w:spacing w:before="62" w:after="4"/>
      </w:pPr>
      <w:r>
        <w:rPr>
          <w:spacing w:val="-1"/>
        </w:rPr>
        <w:t>√适用 □不适用</w:t>
      </w:r>
      <w:r>
        <w:rPr>
          <w:spacing w:val="-3"/>
        </w:rPr>
        <w:t> </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75"/>
        <w:gridCol w:w="1784"/>
        <w:gridCol w:w="1789"/>
        <w:gridCol w:w="1789"/>
        <w:gridCol w:w="1788"/>
      </w:tblGrid>
      <w:tr>
        <w:trPr>
          <w:trHeight w:val="273" w:hRule="atLeast"/>
        </w:trPr>
        <w:tc>
          <w:tcPr>
            <w:tcW w:w="1675" w:type="dxa"/>
          </w:tcPr>
          <w:p>
            <w:pPr>
              <w:pStyle w:val="TableParagraph"/>
              <w:spacing w:line="252" w:lineRule="exact" w:before="1"/>
              <w:ind w:left="626"/>
              <w:rPr>
                <w:sz w:val="21"/>
              </w:rPr>
            </w:pPr>
            <w:r>
              <w:rPr>
                <w:sz w:val="21"/>
              </w:rPr>
              <w:t>类别 </w:t>
            </w:r>
          </w:p>
        </w:tc>
        <w:tc>
          <w:tcPr>
            <w:tcW w:w="1784" w:type="dxa"/>
          </w:tcPr>
          <w:p>
            <w:pPr>
              <w:pStyle w:val="TableParagraph"/>
              <w:spacing w:line="252" w:lineRule="exact" w:before="1"/>
              <w:ind w:left="470"/>
              <w:rPr>
                <w:sz w:val="21"/>
              </w:rPr>
            </w:pPr>
            <w:r>
              <w:rPr>
                <w:spacing w:val="-1"/>
                <w:sz w:val="21"/>
              </w:rPr>
              <w:t>折旧方法</w:t>
            </w:r>
            <w:r>
              <w:rPr>
                <w:sz w:val="21"/>
              </w:rPr>
              <w:t> </w:t>
            </w:r>
          </w:p>
        </w:tc>
        <w:tc>
          <w:tcPr>
            <w:tcW w:w="1789" w:type="dxa"/>
          </w:tcPr>
          <w:p>
            <w:pPr>
              <w:pStyle w:val="TableParagraph"/>
              <w:spacing w:line="252" w:lineRule="exact" w:before="1"/>
              <w:ind w:left="158"/>
              <w:rPr>
                <w:sz w:val="21"/>
              </w:rPr>
            </w:pPr>
            <w:r>
              <w:rPr>
                <w:spacing w:val="-1"/>
                <w:sz w:val="21"/>
              </w:rPr>
              <w:t>折旧年限</w:t>
            </w:r>
            <w:r>
              <w:rPr>
                <w:sz w:val="21"/>
              </w:rPr>
              <w:t>（年） </w:t>
            </w:r>
          </w:p>
        </w:tc>
        <w:tc>
          <w:tcPr>
            <w:tcW w:w="1789" w:type="dxa"/>
          </w:tcPr>
          <w:p>
            <w:pPr>
              <w:pStyle w:val="TableParagraph"/>
              <w:spacing w:line="252" w:lineRule="exact" w:before="1"/>
              <w:ind w:left="577"/>
              <w:rPr>
                <w:sz w:val="21"/>
              </w:rPr>
            </w:pPr>
            <w:r>
              <w:rPr>
                <w:sz w:val="21"/>
              </w:rPr>
              <w:t>残值率 </w:t>
            </w:r>
          </w:p>
        </w:tc>
        <w:tc>
          <w:tcPr>
            <w:tcW w:w="1788" w:type="dxa"/>
          </w:tcPr>
          <w:p>
            <w:pPr>
              <w:pStyle w:val="TableParagraph"/>
              <w:spacing w:line="252" w:lineRule="exact" w:before="1"/>
              <w:ind w:left="471"/>
              <w:rPr>
                <w:sz w:val="21"/>
              </w:rPr>
            </w:pPr>
            <w:r>
              <w:rPr>
                <w:spacing w:val="-1"/>
                <w:sz w:val="21"/>
              </w:rPr>
              <w:t>年折旧率</w:t>
            </w:r>
            <w:r>
              <w:rPr>
                <w:sz w:val="21"/>
              </w:rPr>
              <w:t> </w:t>
            </w:r>
          </w:p>
        </w:tc>
      </w:tr>
      <w:tr>
        <w:trPr>
          <w:trHeight w:val="270" w:hRule="atLeast"/>
        </w:trPr>
        <w:tc>
          <w:tcPr>
            <w:tcW w:w="1675" w:type="dxa"/>
          </w:tcPr>
          <w:p>
            <w:pPr>
              <w:pStyle w:val="TableParagraph"/>
              <w:spacing w:line="250" w:lineRule="exact" w:before="1"/>
              <w:ind w:left="107"/>
              <w:rPr>
                <w:sz w:val="21"/>
              </w:rPr>
            </w:pPr>
            <w:r>
              <w:rPr>
                <w:spacing w:val="-1"/>
                <w:sz w:val="21"/>
              </w:rPr>
              <w:t>房屋及建筑物</w:t>
            </w:r>
            <w:r>
              <w:rPr>
                <w:sz w:val="21"/>
              </w:rPr>
              <w:t> </w:t>
            </w:r>
          </w:p>
        </w:tc>
        <w:tc>
          <w:tcPr>
            <w:tcW w:w="1784" w:type="dxa"/>
          </w:tcPr>
          <w:p>
            <w:pPr>
              <w:pStyle w:val="TableParagraph"/>
              <w:spacing w:line="250" w:lineRule="exact" w:before="1"/>
              <w:ind w:left="105"/>
              <w:rPr>
                <w:sz w:val="21"/>
              </w:rPr>
            </w:pPr>
            <w:r>
              <w:rPr>
                <w:sz w:val="21"/>
              </w:rPr>
              <w:t>年限平均法 </w:t>
            </w:r>
          </w:p>
        </w:tc>
        <w:tc>
          <w:tcPr>
            <w:tcW w:w="1789" w:type="dxa"/>
          </w:tcPr>
          <w:p>
            <w:pPr>
              <w:pStyle w:val="TableParagraph"/>
              <w:spacing w:line="250" w:lineRule="exact" w:before="1"/>
              <w:ind w:left="107"/>
              <w:rPr>
                <w:sz w:val="24"/>
              </w:rPr>
            </w:pPr>
            <w:r>
              <w:rPr>
                <w:sz w:val="21"/>
              </w:rPr>
              <w:t>20-30</w:t>
            </w:r>
            <w:r>
              <w:rPr>
                <w:spacing w:val="-28"/>
                <w:sz w:val="21"/>
              </w:rPr>
              <w:t> 年</w:t>
            </w:r>
            <w:r>
              <w:rPr>
                <w:sz w:val="24"/>
              </w:rPr>
              <w:t> </w:t>
            </w:r>
          </w:p>
        </w:tc>
        <w:tc>
          <w:tcPr>
            <w:tcW w:w="1789" w:type="dxa"/>
          </w:tcPr>
          <w:p>
            <w:pPr>
              <w:pStyle w:val="TableParagraph"/>
              <w:spacing w:line="250" w:lineRule="exact" w:before="1"/>
              <w:ind w:left="107"/>
              <w:rPr>
                <w:sz w:val="24"/>
              </w:rPr>
            </w:pPr>
            <w:r>
              <w:rPr>
                <w:spacing w:val="-1"/>
                <w:sz w:val="21"/>
              </w:rPr>
              <w:t>1</w:t>
            </w:r>
            <w:r>
              <w:rPr>
                <w:spacing w:val="-27"/>
                <w:sz w:val="21"/>
              </w:rPr>
              <w:t> 元</w:t>
            </w:r>
            <w:r>
              <w:rPr>
                <w:sz w:val="24"/>
              </w:rPr>
              <w:t> </w:t>
            </w:r>
          </w:p>
        </w:tc>
        <w:tc>
          <w:tcPr>
            <w:tcW w:w="1788" w:type="dxa"/>
          </w:tcPr>
          <w:p>
            <w:pPr>
              <w:pStyle w:val="TableParagraph"/>
              <w:spacing w:line="250" w:lineRule="exact" w:before="1"/>
              <w:ind w:left="106"/>
              <w:rPr>
                <w:sz w:val="21"/>
              </w:rPr>
            </w:pPr>
            <w:r>
              <w:rPr>
                <w:spacing w:val="-1"/>
                <w:sz w:val="21"/>
              </w:rPr>
              <w:t>3.3</w:t>
            </w:r>
            <w:r>
              <w:rPr>
                <w:spacing w:val="-19"/>
                <w:sz w:val="21"/>
              </w:rPr>
              <w:t>%至 </w:t>
            </w:r>
            <w:r>
              <w:rPr>
                <w:sz w:val="21"/>
              </w:rPr>
              <w:t>5.0% </w:t>
            </w:r>
          </w:p>
        </w:tc>
      </w:tr>
      <w:tr>
        <w:trPr>
          <w:trHeight w:val="544" w:hRule="atLeast"/>
        </w:trPr>
        <w:tc>
          <w:tcPr>
            <w:tcW w:w="1675" w:type="dxa"/>
          </w:tcPr>
          <w:p>
            <w:pPr>
              <w:pStyle w:val="TableParagraph"/>
              <w:spacing w:before="1"/>
              <w:ind w:left="107"/>
              <w:rPr>
                <w:sz w:val="21"/>
              </w:rPr>
            </w:pPr>
            <w:r>
              <w:rPr>
                <w:sz w:val="21"/>
              </w:rPr>
              <w:t>房屋及建筑物-</w:t>
            </w:r>
          </w:p>
          <w:p>
            <w:pPr>
              <w:pStyle w:val="TableParagraph"/>
              <w:spacing w:line="250" w:lineRule="exact" w:before="5"/>
              <w:ind w:left="107"/>
              <w:rPr>
                <w:sz w:val="21"/>
              </w:rPr>
            </w:pPr>
            <w:r>
              <w:rPr>
                <w:spacing w:val="-1"/>
                <w:sz w:val="21"/>
              </w:rPr>
              <w:t>附属设施</w:t>
            </w:r>
            <w:r>
              <w:rPr>
                <w:sz w:val="21"/>
              </w:rPr>
              <w:t> </w:t>
            </w:r>
          </w:p>
        </w:tc>
        <w:tc>
          <w:tcPr>
            <w:tcW w:w="1784" w:type="dxa"/>
          </w:tcPr>
          <w:p>
            <w:pPr>
              <w:pStyle w:val="TableParagraph"/>
              <w:spacing w:before="1"/>
              <w:ind w:left="105"/>
              <w:rPr>
                <w:sz w:val="21"/>
              </w:rPr>
            </w:pPr>
            <w:r>
              <w:rPr>
                <w:sz w:val="21"/>
              </w:rPr>
              <w:t>年限平均法 </w:t>
            </w:r>
          </w:p>
        </w:tc>
        <w:tc>
          <w:tcPr>
            <w:tcW w:w="1789" w:type="dxa"/>
          </w:tcPr>
          <w:p>
            <w:pPr>
              <w:pStyle w:val="TableParagraph"/>
              <w:spacing w:before="137"/>
              <w:ind w:left="107"/>
              <w:rPr>
                <w:sz w:val="21"/>
              </w:rPr>
            </w:pPr>
            <w:r>
              <w:rPr>
                <w:sz w:val="21"/>
              </w:rPr>
              <w:t>6-11</w:t>
            </w:r>
            <w:r>
              <w:rPr>
                <w:spacing w:val="-28"/>
                <w:sz w:val="21"/>
              </w:rPr>
              <w:t> 年</w:t>
            </w:r>
            <w:r>
              <w:rPr>
                <w:sz w:val="21"/>
              </w:rPr>
              <w:t> </w:t>
            </w:r>
          </w:p>
        </w:tc>
        <w:tc>
          <w:tcPr>
            <w:tcW w:w="1789" w:type="dxa"/>
          </w:tcPr>
          <w:p>
            <w:pPr>
              <w:pStyle w:val="TableParagraph"/>
              <w:spacing w:before="137"/>
              <w:ind w:left="107"/>
              <w:rPr>
                <w:sz w:val="21"/>
              </w:rPr>
            </w:pPr>
            <w:r>
              <w:rPr>
                <w:spacing w:val="-1"/>
                <w:sz w:val="21"/>
              </w:rPr>
              <w:t>1</w:t>
            </w:r>
            <w:r>
              <w:rPr>
                <w:spacing w:val="-27"/>
                <w:sz w:val="21"/>
              </w:rPr>
              <w:t> 元</w:t>
            </w:r>
            <w:r>
              <w:rPr>
                <w:sz w:val="21"/>
              </w:rPr>
              <w:t> </w:t>
            </w:r>
          </w:p>
        </w:tc>
        <w:tc>
          <w:tcPr>
            <w:tcW w:w="1788" w:type="dxa"/>
          </w:tcPr>
          <w:p>
            <w:pPr>
              <w:pStyle w:val="TableParagraph"/>
              <w:spacing w:before="1"/>
              <w:ind w:left="106"/>
              <w:rPr>
                <w:sz w:val="21"/>
              </w:rPr>
            </w:pPr>
            <w:r>
              <w:rPr>
                <w:spacing w:val="-1"/>
                <w:sz w:val="21"/>
              </w:rPr>
              <w:t>9.1</w:t>
            </w:r>
            <w:r>
              <w:rPr>
                <w:spacing w:val="-19"/>
                <w:sz w:val="21"/>
              </w:rPr>
              <w:t>%至 </w:t>
            </w:r>
            <w:r>
              <w:rPr>
                <w:sz w:val="21"/>
              </w:rPr>
              <w:t>16.7% </w:t>
            </w:r>
          </w:p>
        </w:tc>
      </w:tr>
      <w:tr>
        <w:trPr>
          <w:trHeight w:val="273" w:hRule="atLeast"/>
        </w:trPr>
        <w:tc>
          <w:tcPr>
            <w:tcW w:w="1675" w:type="dxa"/>
          </w:tcPr>
          <w:p>
            <w:pPr>
              <w:pStyle w:val="TableParagraph"/>
              <w:spacing w:line="252" w:lineRule="exact" w:before="1"/>
              <w:ind w:left="107"/>
              <w:rPr>
                <w:sz w:val="21"/>
              </w:rPr>
            </w:pPr>
            <w:r>
              <w:rPr>
                <w:spacing w:val="-1"/>
                <w:sz w:val="21"/>
              </w:rPr>
              <w:t>机器设备</w:t>
            </w:r>
            <w:r>
              <w:rPr>
                <w:sz w:val="21"/>
              </w:rPr>
              <w:t> </w:t>
            </w:r>
          </w:p>
        </w:tc>
        <w:tc>
          <w:tcPr>
            <w:tcW w:w="1784" w:type="dxa"/>
          </w:tcPr>
          <w:p>
            <w:pPr>
              <w:pStyle w:val="TableParagraph"/>
              <w:spacing w:line="252" w:lineRule="exact" w:before="1"/>
              <w:ind w:left="105"/>
              <w:rPr>
                <w:sz w:val="21"/>
              </w:rPr>
            </w:pPr>
            <w:r>
              <w:rPr>
                <w:sz w:val="21"/>
              </w:rPr>
              <w:t>年限平均法 </w:t>
            </w:r>
          </w:p>
        </w:tc>
        <w:tc>
          <w:tcPr>
            <w:tcW w:w="1789" w:type="dxa"/>
          </w:tcPr>
          <w:p>
            <w:pPr>
              <w:pStyle w:val="TableParagraph"/>
              <w:spacing w:line="252" w:lineRule="exact" w:before="1"/>
              <w:ind w:left="107"/>
              <w:rPr>
                <w:sz w:val="21"/>
              </w:rPr>
            </w:pPr>
            <w:r>
              <w:rPr>
                <w:sz w:val="21"/>
              </w:rPr>
              <w:t>3-12</w:t>
            </w:r>
            <w:r>
              <w:rPr>
                <w:spacing w:val="-28"/>
                <w:sz w:val="21"/>
              </w:rPr>
              <w:t> 年</w:t>
            </w:r>
            <w:r>
              <w:rPr>
                <w:sz w:val="21"/>
              </w:rPr>
              <w:t> </w:t>
            </w:r>
          </w:p>
        </w:tc>
        <w:tc>
          <w:tcPr>
            <w:tcW w:w="1789" w:type="dxa"/>
          </w:tcPr>
          <w:p>
            <w:pPr>
              <w:pStyle w:val="TableParagraph"/>
              <w:spacing w:line="252" w:lineRule="exact" w:before="1"/>
              <w:ind w:left="107"/>
              <w:rPr>
                <w:sz w:val="21"/>
              </w:rPr>
            </w:pPr>
            <w:r>
              <w:rPr>
                <w:spacing w:val="-1"/>
                <w:sz w:val="21"/>
              </w:rPr>
              <w:t>1</w:t>
            </w:r>
            <w:r>
              <w:rPr>
                <w:spacing w:val="-27"/>
                <w:sz w:val="21"/>
              </w:rPr>
              <w:t> 元</w:t>
            </w:r>
            <w:r>
              <w:rPr>
                <w:sz w:val="21"/>
              </w:rPr>
              <w:t> </w:t>
            </w:r>
          </w:p>
        </w:tc>
        <w:tc>
          <w:tcPr>
            <w:tcW w:w="1788" w:type="dxa"/>
          </w:tcPr>
          <w:p>
            <w:pPr>
              <w:pStyle w:val="TableParagraph"/>
              <w:spacing w:line="252" w:lineRule="exact" w:before="1"/>
              <w:ind w:left="106"/>
              <w:rPr>
                <w:sz w:val="21"/>
              </w:rPr>
            </w:pPr>
            <w:r>
              <w:rPr>
                <w:spacing w:val="-1"/>
                <w:sz w:val="21"/>
              </w:rPr>
              <w:t>8.3</w:t>
            </w:r>
            <w:r>
              <w:rPr>
                <w:spacing w:val="-19"/>
                <w:sz w:val="21"/>
              </w:rPr>
              <w:t>%至 </w:t>
            </w:r>
            <w:r>
              <w:rPr>
                <w:sz w:val="21"/>
              </w:rPr>
              <w:t>33.3% </w:t>
            </w:r>
          </w:p>
        </w:tc>
      </w:tr>
      <w:tr>
        <w:trPr>
          <w:trHeight w:val="273" w:hRule="atLeast"/>
        </w:trPr>
        <w:tc>
          <w:tcPr>
            <w:tcW w:w="1675" w:type="dxa"/>
          </w:tcPr>
          <w:p>
            <w:pPr>
              <w:pStyle w:val="TableParagraph"/>
              <w:spacing w:line="252" w:lineRule="exact" w:before="1"/>
              <w:ind w:left="107"/>
              <w:rPr>
                <w:sz w:val="21"/>
              </w:rPr>
            </w:pPr>
            <w:r>
              <w:rPr>
                <w:spacing w:val="-1"/>
                <w:sz w:val="21"/>
              </w:rPr>
              <w:t>运输工具</w:t>
            </w:r>
            <w:r>
              <w:rPr>
                <w:sz w:val="21"/>
              </w:rPr>
              <w:t> </w:t>
            </w:r>
          </w:p>
        </w:tc>
        <w:tc>
          <w:tcPr>
            <w:tcW w:w="1784" w:type="dxa"/>
          </w:tcPr>
          <w:p>
            <w:pPr>
              <w:pStyle w:val="TableParagraph"/>
              <w:spacing w:line="252" w:lineRule="exact" w:before="1"/>
              <w:ind w:left="105"/>
              <w:rPr>
                <w:sz w:val="21"/>
              </w:rPr>
            </w:pPr>
            <w:r>
              <w:rPr>
                <w:sz w:val="21"/>
              </w:rPr>
              <w:t>年限平均法 </w:t>
            </w:r>
          </w:p>
        </w:tc>
        <w:tc>
          <w:tcPr>
            <w:tcW w:w="1789" w:type="dxa"/>
          </w:tcPr>
          <w:p>
            <w:pPr>
              <w:pStyle w:val="TableParagraph"/>
              <w:spacing w:line="252" w:lineRule="exact" w:before="1"/>
              <w:ind w:left="107"/>
              <w:rPr>
                <w:sz w:val="21"/>
              </w:rPr>
            </w:pPr>
            <w:r>
              <w:rPr>
                <w:spacing w:val="-1"/>
                <w:sz w:val="21"/>
              </w:rPr>
              <w:t>5-6</w:t>
            </w:r>
            <w:r>
              <w:rPr>
                <w:spacing w:val="-26"/>
                <w:sz w:val="21"/>
              </w:rPr>
              <w:t> 年</w:t>
            </w:r>
            <w:r>
              <w:rPr>
                <w:sz w:val="21"/>
              </w:rPr>
              <w:t> </w:t>
            </w:r>
          </w:p>
        </w:tc>
        <w:tc>
          <w:tcPr>
            <w:tcW w:w="1789" w:type="dxa"/>
          </w:tcPr>
          <w:p>
            <w:pPr>
              <w:pStyle w:val="TableParagraph"/>
              <w:spacing w:line="252" w:lineRule="exact" w:before="1"/>
              <w:ind w:left="107"/>
              <w:rPr>
                <w:sz w:val="21"/>
              </w:rPr>
            </w:pPr>
            <w:r>
              <w:rPr>
                <w:spacing w:val="-1"/>
                <w:sz w:val="21"/>
              </w:rPr>
              <w:t>1</w:t>
            </w:r>
            <w:r>
              <w:rPr>
                <w:spacing w:val="-27"/>
                <w:sz w:val="21"/>
              </w:rPr>
              <w:t> 元</w:t>
            </w:r>
            <w:r>
              <w:rPr>
                <w:sz w:val="21"/>
              </w:rPr>
              <w:t> </w:t>
            </w:r>
          </w:p>
        </w:tc>
        <w:tc>
          <w:tcPr>
            <w:tcW w:w="1788" w:type="dxa"/>
          </w:tcPr>
          <w:p>
            <w:pPr>
              <w:pStyle w:val="TableParagraph"/>
              <w:spacing w:line="252" w:lineRule="exact" w:before="1"/>
              <w:ind w:left="106"/>
              <w:rPr>
                <w:sz w:val="21"/>
              </w:rPr>
            </w:pPr>
            <w:r>
              <w:rPr>
                <w:spacing w:val="-1"/>
                <w:sz w:val="21"/>
              </w:rPr>
              <w:t>16.7</w:t>
            </w:r>
            <w:r>
              <w:rPr>
                <w:spacing w:val="-18"/>
                <w:sz w:val="21"/>
              </w:rPr>
              <w:t>%至 </w:t>
            </w:r>
            <w:r>
              <w:rPr>
                <w:sz w:val="21"/>
              </w:rPr>
              <w:t>20.0% </w:t>
            </w:r>
          </w:p>
        </w:tc>
      </w:tr>
      <w:tr>
        <w:trPr>
          <w:trHeight w:val="544" w:hRule="atLeast"/>
        </w:trPr>
        <w:tc>
          <w:tcPr>
            <w:tcW w:w="1675" w:type="dxa"/>
          </w:tcPr>
          <w:p>
            <w:pPr>
              <w:pStyle w:val="TableParagraph"/>
              <w:spacing w:before="1"/>
              <w:ind w:left="107"/>
              <w:rPr>
                <w:sz w:val="21"/>
              </w:rPr>
            </w:pPr>
            <w:r>
              <w:rPr>
                <w:sz w:val="21"/>
              </w:rPr>
              <w:t>办公及电子设</w:t>
            </w:r>
          </w:p>
          <w:p>
            <w:pPr>
              <w:pStyle w:val="TableParagraph"/>
              <w:spacing w:line="252" w:lineRule="exact" w:before="2"/>
              <w:ind w:left="107"/>
              <w:rPr>
                <w:sz w:val="21"/>
              </w:rPr>
            </w:pPr>
            <w:r>
              <w:rPr>
                <w:sz w:val="21"/>
              </w:rPr>
              <w:t>备 </w:t>
            </w:r>
          </w:p>
        </w:tc>
        <w:tc>
          <w:tcPr>
            <w:tcW w:w="1784" w:type="dxa"/>
          </w:tcPr>
          <w:p>
            <w:pPr>
              <w:pStyle w:val="TableParagraph"/>
              <w:spacing w:before="1"/>
              <w:ind w:left="105"/>
              <w:rPr>
                <w:sz w:val="21"/>
              </w:rPr>
            </w:pPr>
            <w:r>
              <w:rPr>
                <w:sz w:val="21"/>
              </w:rPr>
              <w:t>年限平均法 </w:t>
            </w:r>
          </w:p>
        </w:tc>
        <w:tc>
          <w:tcPr>
            <w:tcW w:w="1789" w:type="dxa"/>
          </w:tcPr>
          <w:p>
            <w:pPr>
              <w:pStyle w:val="TableParagraph"/>
              <w:spacing w:before="135"/>
              <w:ind w:left="107"/>
              <w:rPr>
                <w:sz w:val="21"/>
              </w:rPr>
            </w:pPr>
            <w:r>
              <w:rPr>
                <w:spacing w:val="-1"/>
                <w:sz w:val="21"/>
              </w:rPr>
              <w:t>4-6</w:t>
            </w:r>
            <w:r>
              <w:rPr>
                <w:spacing w:val="-26"/>
                <w:sz w:val="21"/>
              </w:rPr>
              <w:t> 年</w:t>
            </w:r>
            <w:r>
              <w:rPr>
                <w:sz w:val="21"/>
              </w:rPr>
              <w:t> </w:t>
            </w:r>
          </w:p>
        </w:tc>
        <w:tc>
          <w:tcPr>
            <w:tcW w:w="1789" w:type="dxa"/>
          </w:tcPr>
          <w:p>
            <w:pPr>
              <w:pStyle w:val="TableParagraph"/>
              <w:spacing w:before="135"/>
              <w:ind w:left="107"/>
              <w:rPr>
                <w:sz w:val="21"/>
              </w:rPr>
            </w:pPr>
            <w:r>
              <w:rPr>
                <w:spacing w:val="-1"/>
                <w:sz w:val="21"/>
              </w:rPr>
              <w:t>1</w:t>
            </w:r>
            <w:r>
              <w:rPr>
                <w:spacing w:val="-27"/>
                <w:sz w:val="21"/>
              </w:rPr>
              <w:t> 元</w:t>
            </w:r>
            <w:r>
              <w:rPr>
                <w:sz w:val="21"/>
              </w:rPr>
              <w:t> </w:t>
            </w:r>
          </w:p>
        </w:tc>
        <w:tc>
          <w:tcPr>
            <w:tcW w:w="1788" w:type="dxa"/>
          </w:tcPr>
          <w:p>
            <w:pPr>
              <w:pStyle w:val="TableParagraph"/>
              <w:spacing w:before="1"/>
              <w:ind w:left="106"/>
              <w:rPr>
                <w:sz w:val="21"/>
              </w:rPr>
            </w:pPr>
            <w:r>
              <w:rPr>
                <w:spacing w:val="-1"/>
                <w:sz w:val="21"/>
              </w:rPr>
              <w:t>16.7</w:t>
            </w:r>
            <w:r>
              <w:rPr>
                <w:spacing w:val="-18"/>
                <w:sz w:val="21"/>
              </w:rPr>
              <w:t>%至 </w:t>
            </w:r>
            <w:r>
              <w:rPr>
                <w:sz w:val="21"/>
              </w:rPr>
              <w:t>25.0% </w:t>
            </w:r>
          </w:p>
        </w:tc>
      </w:tr>
      <w:tr>
        <w:trPr>
          <w:trHeight w:val="273" w:hRule="atLeast"/>
        </w:trPr>
        <w:tc>
          <w:tcPr>
            <w:tcW w:w="1675" w:type="dxa"/>
          </w:tcPr>
          <w:p>
            <w:pPr>
              <w:pStyle w:val="TableParagraph"/>
              <w:spacing w:line="252" w:lineRule="exact" w:before="1"/>
              <w:ind w:left="107"/>
              <w:rPr>
                <w:sz w:val="21"/>
              </w:rPr>
            </w:pPr>
            <w:r>
              <w:rPr>
                <w:spacing w:val="-1"/>
                <w:sz w:val="21"/>
              </w:rPr>
              <w:t>其他设备</w:t>
            </w:r>
            <w:r>
              <w:rPr>
                <w:sz w:val="21"/>
              </w:rPr>
              <w:t> </w:t>
            </w:r>
          </w:p>
        </w:tc>
        <w:tc>
          <w:tcPr>
            <w:tcW w:w="1784" w:type="dxa"/>
          </w:tcPr>
          <w:p>
            <w:pPr>
              <w:pStyle w:val="TableParagraph"/>
              <w:spacing w:line="252" w:lineRule="exact" w:before="1"/>
              <w:ind w:left="105"/>
              <w:rPr>
                <w:sz w:val="21"/>
              </w:rPr>
            </w:pPr>
            <w:r>
              <w:rPr>
                <w:sz w:val="21"/>
              </w:rPr>
              <w:t>年限平均法 </w:t>
            </w:r>
          </w:p>
        </w:tc>
        <w:tc>
          <w:tcPr>
            <w:tcW w:w="1789" w:type="dxa"/>
          </w:tcPr>
          <w:p>
            <w:pPr>
              <w:pStyle w:val="TableParagraph"/>
              <w:spacing w:line="252" w:lineRule="exact" w:before="1"/>
              <w:ind w:left="107"/>
              <w:rPr>
                <w:sz w:val="21"/>
              </w:rPr>
            </w:pPr>
            <w:r>
              <w:rPr>
                <w:spacing w:val="-1"/>
                <w:sz w:val="21"/>
              </w:rPr>
              <w:t>5-6</w:t>
            </w:r>
            <w:r>
              <w:rPr>
                <w:spacing w:val="-26"/>
                <w:sz w:val="21"/>
              </w:rPr>
              <w:t> 年</w:t>
            </w:r>
            <w:r>
              <w:rPr>
                <w:sz w:val="21"/>
              </w:rPr>
              <w:t> </w:t>
            </w:r>
          </w:p>
        </w:tc>
        <w:tc>
          <w:tcPr>
            <w:tcW w:w="1789" w:type="dxa"/>
          </w:tcPr>
          <w:p>
            <w:pPr>
              <w:pStyle w:val="TableParagraph"/>
              <w:spacing w:line="252" w:lineRule="exact" w:before="1"/>
              <w:ind w:left="107"/>
              <w:rPr>
                <w:sz w:val="21"/>
              </w:rPr>
            </w:pPr>
            <w:r>
              <w:rPr>
                <w:spacing w:val="-1"/>
                <w:sz w:val="21"/>
              </w:rPr>
              <w:t>1</w:t>
            </w:r>
            <w:r>
              <w:rPr>
                <w:spacing w:val="-27"/>
                <w:sz w:val="21"/>
              </w:rPr>
              <w:t> 元</w:t>
            </w:r>
            <w:r>
              <w:rPr>
                <w:sz w:val="21"/>
              </w:rPr>
              <w:t> </w:t>
            </w:r>
          </w:p>
        </w:tc>
        <w:tc>
          <w:tcPr>
            <w:tcW w:w="1788" w:type="dxa"/>
          </w:tcPr>
          <w:p>
            <w:pPr>
              <w:pStyle w:val="TableParagraph"/>
              <w:spacing w:line="252" w:lineRule="exact" w:before="1"/>
              <w:ind w:left="106"/>
              <w:rPr>
                <w:sz w:val="21"/>
              </w:rPr>
            </w:pPr>
            <w:r>
              <w:rPr>
                <w:spacing w:val="-1"/>
                <w:sz w:val="21"/>
              </w:rPr>
              <w:t>16.7</w:t>
            </w:r>
            <w:r>
              <w:rPr>
                <w:spacing w:val="-18"/>
                <w:sz w:val="21"/>
              </w:rPr>
              <w:t>%至 </w:t>
            </w:r>
            <w:r>
              <w:rPr>
                <w:sz w:val="21"/>
              </w:rPr>
              <w:t>20.0% </w:t>
            </w:r>
          </w:p>
        </w:tc>
      </w:tr>
    </w:tbl>
    <w:p>
      <w:pPr>
        <w:pStyle w:val="BodyText"/>
        <w:spacing w:line="242" w:lineRule="auto" w:before="1"/>
        <w:ind w:right="1277" w:firstLine="419"/>
        <w:jc w:val="both"/>
      </w:pPr>
      <w:r>
        <w:rPr/>
        <w:t>除具有永久性产权的土地外，其他固定资产折旧采用年限平均法并按其入账价值减去预计净残值后在预计使用寿命内计提。具有永久性产权的土地不计提折旧。对计提了减值准备的固定资产，则在未来期间按扣除减值准备后的账面价值及依据尚可使用年限确定折旧额。 </w:t>
      </w:r>
    </w:p>
    <w:p>
      <w:pPr>
        <w:pStyle w:val="BodyText"/>
        <w:spacing w:before="1"/>
        <w:ind w:left="738"/>
      </w:pPr>
      <w:r>
        <w:rPr>
          <w:w w:val="100"/>
        </w:rPr>
        <w:t> </w:t>
      </w:r>
    </w:p>
    <w:p>
      <w:pPr>
        <w:pStyle w:val="BodyText"/>
        <w:spacing w:line="266" w:lineRule="auto" w:before="31"/>
        <w:ind w:right="1277" w:firstLine="419"/>
      </w:pPr>
      <w:r>
        <w:rPr/>
        <w:t>除具有永久性产权的土地外，其他固定资产的预计使用寿命、净残值率及年折旧率列示如上表。 </w:t>
      </w:r>
    </w:p>
    <w:p>
      <w:pPr>
        <w:pStyle w:val="BodyText"/>
        <w:spacing w:before="8"/>
        <w:ind w:left="0"/>
      </w:pPr>
    </w:p>
    <w:p>
      <w:pPr>
        <w:pStyle w:val="Heading3"/>
        <w:spacing w:line="235" w:lineRule="auto" w:before="1"/>
        <w:ind w:left="318" w:right="1466" w:firstLine="479"/>
        <w:jc w:val="left"/>
      </w:pPr>
      <w:r>
        <w:rPr>
          <w:spacing w:val="-1"/>
        </w:rPr>
        <w:t>对固定资产的预计使用寿命、预计净残值和折旧方法于每年年度终了进行复核</w:t>
      </w:r>
      <w:r>
        <w:rPr/>
        <w:t>并作适当调整。</w:t>
      </w:r>
    </w:p>
    <w:p>
      <w:pPr>
        <w:pStyle w:val="BodyText"/>
        <w:spacing w:line="263" w:lineRule="exact"/>
        <w:ind w:left="738"/>
      </w:pPr>
      <w:r>
        <w:rPr>
          <w:w w:val="100"/>
        </w:rPr>
        <w:t> </w:t>
      </w:r>
    </w:p>
    <w:p>
      <w:pPr>
        <w:pStyle w:val="BodyText"/>
        <w:spacing w:before="4"/>
        <w:ind w:left="738"/>
      </w:pPr>
      <w:r>
        <w:rPr>
          <w:spacing w:val="-1"/>
        </w:rPr>
        <w:t>当固定资产的可收回金额低于其账面价值时，账面价值减记至可收回金额。</w:t>
      </w:r>
      <w:r>
        <w:rPr/>
        <w:t> </w:t>
      </w:r>
    </w:p>
    <w:p>
      <w:pPr>
        <w:pStyle w:val="BodyText"/>
        <w:spacing w:before="2"/>
        <w:ind w:left="738"/>
      </w:pPr>
      <w:r>
        <w:rPr>
          <w:w w:val="100"/>
        </w:rPr>
        <w:t> </w:t>
      </w:r>
    </w:p>
    <w:p>
      <w:pPr>
        <w:pStyle w:val="BodyText"/>
        <w:spacing w:line="242" w:lineRule="auto" w:before="5"/>
        <w:ind w:right="1277" w:firstLine="419"/>
      </w:pPr>
      <w:r>
        <w:rPr/>
        <w:t>当固定资产被处置、或者预期通过使用或处置不能产生经济利益时，终止确认该固定资产。固定资产出售、转让、报废或毁损的处置收入扣除其账面价值和相关税费后的金额计入当期损</w:t>
      </w:r>
      <w:r>
        <w:rPr>
          <w:spacing w:val="1"/>
        </w:rPr>
        <w:t> </w:t>
      </w:r>
      <w:r>
        <w:rPr/>
        <w:t>益。 </w:t>
      </w:r>
    </w:p>
    <w:p>
      <w:pPr>
        <w:pStyle w:val="BodyText"/>
      </w:pPr>
      <w:r>
        <w:rPr>
          <w:w w:val="100"/>
        </w:rPr>
        <w:t> </w:t>
      </w:r>
    </w:p>
    <w:p>
      <w:pPr>
        <w:spacing w:after="0"/>
        <w:sectPr>
          <w:pgSz w:w="11910" w:h="16840"/>
          <w:pgMar w:header="882" w:footer="1172" w:top="1120" w:bottom="1380" w:left="1480" w:right="0"/>
        </w:sectPr>
      </w:pPr>
    </w:p>
    <w:p>
      <w:pPr>
        <w:pStyle w:val="BodyText"/>
        <w:spacing w:before="7"/>
        <w:ind w:left="0"/>
        <w:rPr>
          <w:sz w:val="25"/>
        </w:rPr>
      </w:pPr>
    </w:p>
    <w:p>
      <w:pPr>
        <w:pStyle w:val="ListParagraph"/>
        <w:numPr>
          <w:ilvl w:val="0"/>
          <w:numId w:val="43"/>
        </w:numPr>
        <w:tabs>
          <w:tab w:pos="743" w:val="left" w:leader="none"/>
        </w:tabs>
        <w:spacing w:line="240" w:lineRule="auto" w:before="72" w:after="0"/>
        <w:ind w:left="742" w:right="0" w:hanging="425"/>
        <w:jc w:val="left"/>
        <w:rPr>
          <w:sz w:val="21"/>
        </w:rPr>
      </w:pPr>
      <w:r>
        <w:rPr>
          <w:sz w:val="21"/>
        </w:rPr>
        <w:t>融资租入固定资产的认定依据、计价和折旧方法 </w:t>
      </w:r>
    </w:p>
    <w:p>
      <w:pPr>
        <w:pStyle w:val="BodyText"/>
        <w:spacing w:before="65"/>
      </w:pPr>
      <w:r>
        <w:rPr>
          <w:spacing w:val="11"/>
        </w:rPr>
        <w:t>□适用 √不适用</w:t>
      </w:r>
      <w:r>
        <w:rPr>
          <w:spacing w:val="-3"/>
        </w:rPr>
        <w:t> </w:t>
      </w:r>
      <w:r>
        <w:rPr/>
        <w:t> </w:t>
      </w:r>
    </w:p>
    <w:p>
      <w:pPr>
        <w:pStyle w:val="BodyText"/>
        <w:spacing w:before="2"/>
      </w:pPr>
      <w:r>
        <w:rPr>
          <w:w w:val="100"/>
        </w:rPr>
        <w:t> </w:t>
      </w:r>
    </w:p>
    <w:p>
      <w:pPr>
        <w:pStyle w:val="ListParagraph"/>
        <w:numPr>
          <w:ilvl w:val="0"/>
          <w:numId w:val="36"/>
        </w:numPr>
        <w:tabs>
          <w:tab w:pos="743" w:val="left" w:leader="none"/>
        </w:tabs>
        <w:spacing w:line="240" w:lineRule="auto" w:before="65" w:after="0"/>
        <w:ind w:left="742" w:right="0" w:hanging="425"/>
        <w:jc w:val="left"/>
        <w:rPr>
          <w:sz w:val="21"/>
        </w:rPr>
      </w:pPr>
      <w:r>
        <w:rPr>
          <w:sz w:val="21"/>
        </w:rPr>
        <w:t>在建工程</w:t>
      </w:r>
    </w:p>
    <w:p>
      <w:pPr>
        <w:pStyle w:val="BodyText"/>
        <w:spacing w:before="62"/>
      </w:pPr>
      <w:r>
        <w:rPr>
          <w:spacing w:val="11"/>
        </w:rPr>
        <w:t>√适用 □不适用</w:t>
      </w:r>
      <w:r>
        <w:rPr>
          <w:spacing w:val="-3"/>
        </w:rPr>
        <w:t> </w:t>
      </w:r>
      <w:r>
        <w:rPr/>
        <w:t> </w:t>
      </w:r>
    </w:p>
    <w:p>
      <w:pPr>
        <w:pStyle w:val="BodyText"/>
        <w:spacing w:line="242" w:lineRule="auto" w:before="4"/>
        <w:ind w:right="1277"/>
        <w:jc w:val="both"/>
      </w:pPr>
      <w:r>
        <w:rPr/>
        <w:t>在建工程按实际发生的成本计量。实际成本包括建筑成本、安装成本、符合资本化条件的借款费用以及其他为使在建工程达到预定可使用状态所发生的必要支出。在建工程在达到预定可使用状态时，转入固定资产并自次月起开始计提折旧。当在建工程的可收回金额低于其账面价值时，账面价值减记至可收回金额 </w:t>
      </w:r>
    </w:p>
    <w:p>
      <w:pPr>
        <w:pStyle w:val="BodyText"/>
        <w:spacing w:before="3"/>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借款费用</w:t>
      </w:r>
    </w:p>
    <w:p>
      <w:pPr>
        <w:pStyle w:val="BodyText"/>
        <w:spacing w:before="65"/>
      </w:pPr>
      <w:r>
        <w:rPr>
          <w:spacing w:val="11"/>
        </w:rPr>
        <w:t>√适用 □不适用</w:t>
      </w:r>
      <w:r>
        <w:rPr>
          <w:spacing w:val="-3"/>
        </w:rPr>
        <w:t> </w:t>
      </w:r>
      <w:r>
        <w:rPr/>
        <w:t> </w:t>
      </w:r>
    </w:p>
    <w:p>
      <w:pPr>
        <w:pStyle w:val="BodyText"/>
        <w:spacing w:line="242" w:lineRule="auto" w:before="2"/>
        <w:ind w:right="1277"/>
        <w:jc w:val="both"/>
      </w:pPr>
      <w:r>
        <w:rPr>
          <w:w w:val="100"/>
        </w:rPr>
        <w:t> </w:t>
      </w:r>
      <w:r>
        <w:rPr/>
        <w:t>  </w:t>
      </w:r>
      <w:r>
        <w:rPr>
          <w:spacing w:val="-1"/>
        </w:rPr>
        <w:t> </w:t>
      </w:r>
      <w:r>
        <w:rPr/>
        <w:t>本集团发生的可直接归属于需要经过相当长时间的购建活动才能达到预定可使用状态之固定资产的购建的借款费用，在资产支出及借款费用已经发生、为使资产达到预定可使用状态所必要的购建活动已经开始时，开始资本化并计入该资产的成本。当购建的资产达到预定可使用状态时停止资本化，其后发生的借款费用计入当期损益。如果资产的购建活动发生非正常中断，并且中</w:t>
      </w:r>
      <w:r>
        <w:rPr>
          <w:spacing w:val="-8"/>
        </w:rPr>
        <w:t>断时间连续超过 </w:t>
      </w:r>
      <w:r>
        <w:rPr/>
        <w:t>3</w:t>
      </w:r>
      <w:r>
        <w:rPr>
          <w:spacing w:val="-8"/>
        </w:rPr>
        <w:t> 个月，暂停借款费用的资本化，直至资产的购建活动重新开始。</w:t>
      </w:r>
      <w:r>
        <w:rPr/>
        <w:t> </w:t>
      </w:r>
    </w:p>
    <w:p>
      <w:pPr>
        <w:pStyle w:val="BodyText"/>
        <w:spacing w:before="5"/>
      </w:pPr>
      <w:r>
        <w:rPr>
          <w:w w:val="100"/>
        </w:rPr>
        <w:t> </w:t>
      </w:r>
    </w:p>
    <w:p>
      <w:pPr>
        <w:pStyle w:val="BodyText"/>
        <w:spacing w:line="242" w:lineRule="auto" w:before="2"/>
        <w:ind w:right="1277"/>
        <w:jc w:val="both"/>
      </w:pPr>
      <w:r>
        <w:rPr>
          <w:w w:val="100"/>
        </w:rPr>
        <w:t> </w:t>
      </w:r>
      <w:r>
        <w:rPr/>
        <w:t>  </w:t>
      </w:r>
      <w:r>
        <w:rPr>
          <w:spacing w:val="-1"/>
        </w:rPr>
        <w:t> </w:t>
      </w:r>
      <w:r>
        <w:rPr/>
        <w:t>对于为购建符合资本化条件的资产而借入的专门借款，以专门借款当期实际发生的利息费用减去尚未动用的借款资金存入银行取得的利息收入或进行暂时性投资取得的投资收益后的金额确定专门借款借款费用的资本化金额。 </w:t>
      </w:r>
    </w:p>
    <w:p>
      <w:pPr>
        <w:pStyle w:val="BodyText"/>
        <w:spacing w:before="1"/>
        <w:jc w:val="both"/>
      </w:pPr>
      <w:r>
        <w:rPr>
          <w:w w:val="100"/>
        </w:rPr>
        <w:t> </w:t>
      </w:r>
      <w:r>
        <w:rPr/>
        <w:t>  </w:t>
      </w:r>
      <w:r>
        <w:rPr>
          <w:spacing w:val="-1"/>
        </w:rPr>
        <w:t> </w:t>
      </w:r>
      <w:r>
        <w:rPr>
          <w:w w:val="100"/>
        </w:rPr>
        <w:t> </w:t>
      </w:r>
    </w:p>
    <w:p>
      <w:pPr>
        <w:pStyle w:val="BodyText"/>
        <w:spacing w:line="242" w:lineRule="auto" w:before="4"/>
        <w:ind w:right="1277"/>
        <w:jc w:val="both"/>
      </w:pPr>
      <w:r>
        <w:rPr>
          <w:w w:val="100"/>
        </w:rPr>
        <w:t> </w:t>
      </w:r>
      <w:r>
        <w:rPr/>
        <w:t>  </w:t>
      </w:r>
      <w:r>
        <w:rPr>
          <w:spacing w:val="-1"/>
        </w:rPr>
        <w:t> </w:t>
      </w:r>
      <w:r>
        <w:rPr/>
        <w:t>对于为购建符合资本化条件的资产而占用的一般借款，按照累计资产支出超过专门借款部分的资本支出加权平均数乘以所占用一般借款的加权平均实际利率计算确定一般借款借款费用的资本化金额。实际利率为将借款在预期存续期间或适用的更短期间内的未来现金流量折现为该借款初始确认金额所使用的利率。 </w:t>
      </w:r>
    </w:p>
    <w:p>
      <w:pPr>
        <w:pStyle w:val="BodyText"/>
        <w:spacing w:before="3"/>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生物资产</w:t>
      </w:r>
    </w:p>
    <w:p>
      <w:pPr>
        <w:pStyle w:val="BodyText"/>
        <w:spacing w:before="65"/>
      </w:pPr>
      <w:r>
        <w:rPr>
          <w:spacing w:val="11"/>
        </w:rPr>
        <w:t>□适用 √不适用</w:t>
      </w:r>
      <w:r>
        <w:rPr>
          <w:spacing w:val="-3"/>
        </w:rPr>
        <w:t> </w:t>
      </w:r>
      <w:r>
        <w:rPr/>
        <w:t> </w:t>
      </w:r>
    </w:p>
    <w:p>
      <w:pPr>
        <w:pStyle w:val="BodyText"/>
        <w:spacing w:before="2"/>
      </w:pPr>
      <w:r>
        <w:rPr>
          <w:w w:val="100"/>
        </w:rPr>
        <w:t> </w:t>
      </w:r>
    </w:p>
    <w:p>
      <w:pPr>
        <w:pStyle w:val="ListParagraph"/>
        <w:numPr>
          <w:ilvl w:val="0"/>
          <w:numId w:val="36"/>
        </w:numPr>
        <w:tabs>
          <w:tab w:pos="743" w:val="left" w:leader="none"/>
        </w:tabs>
        <w:spacing w:line="240" w:lineRule="auto" w:before="64" w:after="0"/>
        <w:ind w:left="742" w:right="0" w:hanging="425"/>
        <w:jc w:val="left"/>
        <w:rPr>
          <w:sz w:val="21"/>
        </w:rPr>
      </w:pPr>
      <w:r>
        <w:rPr>
          <w:sz w:val="21"/>
        </w:rPr>
        <w:t>油气资产</w:t>
      </w:r>
    </w:p>
    <w:p>
      <w:pPr>
        <w:pStyle w:val="BodyText"/>
        <w:spacing w:before="63"/>
      </w:pPr>
      <w:r>
        <w:rPr>
          <w:spacing w:val="11"/>
        </w:rPr>
        <w:t>□适用 √不适用</w:t>
      </w:r>
      <w:r>
        <w:rPr>
          <w:spacing w:val="-3"/>
        </w:rPr>
        <w:t> </w:t>
      </w:r>
      <w:r>
        <w:rPr/>
        <w:t> </w:t>
      </w:r>
    </w:p>
    <w:p>
      <w:pPr>
        <w:pStyle w:val="BodyText"/>
        <w:spacing w:before="4"/>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使用权资产</w:t>
      </w:r>
    </w:p>
    <w:p>
      <w:pPr>
        <w:pStyle w:val="BodyText"/>
        <w:spacing w:before="65"/>
      </w:pPr>
      <w:r>
        <w:rPr>
          <w:spacing w:val="-1"/>
        </w:rPr>
        <w:t>√适用 □不适用</w:t>
      </w:r>
      <w:r>
        <w:rPr>
          <w:spacing w:val="-3"/>
        </w:rPr>
        <w:t> </w:t>
      </w:r>
      <w:r>
        <w:rPr/>
        <w:t> </w:t>
      </w:r>
    </w:p>
    <w:p>
      <w:pPr>
        <w:pStyle w:val="BodyText"/>
        <w:spacing w:before="2"/>
      </w:pPr>
      <w:r>
        <w:rPr>
          <w:spacing w:val="-2"/>
        </w:rPr>
        <w:t>详见第十节、财务报告 五、重要会计政策及会计估计 </w:t>
      </w:r>
      <w:r>
        <w:rPr/>
        <w:t>42.租赁 </w:t>
      </w:r>
    </w:p>
    <w:p>
      <w:pPr>
        <w:pStyle w:val="BodyText"/>
        <w:spacing w:before="4"/>
      </w:pPr>
      <w:r>
        <w:rPr>
          <w:w w:val="100"/>
        </w:rPr>
        <w:t> </w:t>
      </w:r>
    </w:p>
    <w:p>
      <w:pPr>
        <w:pStyle w:val="ListParagraph"/>
        <w:numPr>
          <w:ilvl w:val="0"/>
          <w:numId w:val="36"/>
        </w:numPr>
        <w:tabs>
          <w:tab w:pos="743" w:val="left" w:leader="none"/>
        </w:tabs>
        <w:spacing w:line="240" w:lineRule="auto" w:before="63" w:after="0"/>
        <w:ind w:left="742" w:right="0" w:hanging="425"/>
        <w:jc w:val="left"/>
        <w:rPr>
          <w:sz w:val="21"/>
        </w:rPr>
      </w:pPr>
      <w:r>
        <w:rPr>
          <w:sz w:val="21"/>
        </w:rPr>
        <w:t>无形资产</w:t>
      </w:r>
    </w:p>
    <w:p>
      <w:pPr>
        <w:pStyle w:val="ListParagraph"/>
        <w:numPr>
          <w:ilvl w:val="0"/>
          <w:numId w:val="45"/>
        </w:numPr>
        <w:tabs>
          <w:tab w:pos="746" w:val="left" w:leader="none"/>
        </w:tabs>
        <w:spacing w:line="240" w:lineRule="auto" w:before="65" w:after="0"/>
        <w:ind w:left="745" w:right="0" w:hanging="428"/>
        <w:jc w:val="left"/>
        <w:rPr>
          <w:sz w:val="21"/>
        </w:rPr>
      </w:pPr>
      <w:r>
        <w:rPr>
          <w:sz w:val="21"/>
        </w:rPr>
        <w:t>计价方法、使用寿命、减值测试 </w:t>
      </w:r>
    </w:p>
    <w:p>
      <w:pPr>
        <w:pStyle w:val="BodyText"/>
        <w:spacing w:before="62"/>
      </w:pPr>
      <w:r>
        <w:rPr>
          <w:spacing w:val="-1"/>
        </w:rPr>
        <w:t>√适用 □不适用</w:t>
      </w:r>
      <w:r>
        <w:rPr>
          <w:spacing w:val="-3"/>
        </w:rPr>
        <w:t> </w:t>
      </w:r>
      <w:r>
        <w:rPr/>
        <w:t> </w:t>
      </w:r>
    </w:p>
    <w:p>
      <w:pPr>
        <w:pStyle w:val="BodyText"/>
        <w:tabs>
          <w:tab w:pos="737" w:val="left" w:leader="none"/>
        </w:tabs>
        <w:spacing w:before="2"/>
      </w:pPr>
      <w:r>
        <w:rPr>
          <w:w w:val="100"/>
        </w:rPr>
        <w:t> </w:t>
      </w:r>
      <w:r>
        <w:rPr/>
        <w:tab/>
      </w:r>
      <w:r>
        <w:rPr/>
        <w:t>无形资产包括土地使用权、软件、商标和专利权等，以成本计量。 </w:t>
      </w:r>
    </w:p>
    <w:p>
      <w:pPr>
        <w:pStyle w:val="BodyText"/>
        <w:spacing w:before="5"/>
      </w:pPr>
      <w:r>
        <w:rPr>
          <w:w w:val="100"/>
        </w:rPr>
        <w:t> </w:t>
      </w:r>
    </w:p>
    <w:p>
      <w:pPr>
        <w:pStyle w:val="ListParagraph"/>
        <w:numPr>
          <w:ilvl w:val="0"/>
          <w:numId w:val="46"/>
        </w:numPr>
        <w:tabs>
          <w:tab w:pos="636" w:val="left" w:leader="none"/>
        </w:tabs>
        <w:spacing w:line="240" w:lineRule="auto" w:before="2" w:after="0"/>
        <w:ind w:left="635" w:right="0" w:hanging="318"/>
        <w:jc w:val="left"/>
        <w:rPr>
          <w:sz w:val="21"/>
        </w:rPr>
      </w:pPr>
      <w:r>
        <w:rPr>
          <w:sz w:val="21"/>
        </w:rPr>
        <w:t>土地使用权 </w:t>
      </w:r>
    </w:p>
    <w:p>
      <w:pPr>
        <w:pStyle w:val="BodyText"/>
        <w:tabs>
          <w:tab w:pos="737" w:val="left" w:leader="none"/>
        </w:tabs>
        <w:spacing w:before="4"/>
      </w:pPr>
      <w:r>
        <w:rPr>
          <w:w w:val="100"/>
        </w:rPr>
        <w:t> </w:t>
      </w:r>
      <w:r>
        <w:rPr/>
        <w:tab/>
      </w:r>
      <w:r>
        <w:rPr>
          <w:w w:val="100"/>
        </w:rPr>
        <w:t> </w:t>
      </w:r>
    </w:p>
    <w:p>
      <w:pPr>
        <w:pStyle w:val="BodyText"/>
        <w:tabs>
          <w:tab w:pos="737" w:val="left" w:leader="none"/>
        </w:tabs>
        <w:spacing w:line="244" w:lineRule="auto" w:before="2"/>
        <w:ind w:right="1280"/>
      </w:pPr>
      <w:r>
        <w:rPr>
          <w:w w:val="100"/>
        </w:rPr>
        <w:t> </w:t>
      </w:r>
      <w:r>
        <w:rPr/>
        <w:tab/>
      </w:r>
      <w:r>
        <w:rPr>
          <w:spacing w:val="-6"/>
        </w:rPr>
        <w:t>土地使用权按使用年限 </w:t>
      </w:r>
      <w:r>
        <w:rPr/>
        <w:t>20-50</w:t>
      </w:r>
      <w:r>
        <w:rPr>
          <w:spacing w:val="-8"/>
        </w:rPr>
        <w:t> 年平均摊销。外购土地使用权及建筑物的价款难以在土地使用</w:t>
      </w:r>
      <w:r>
        <w:rPr/>
        <w:t>权与建筑物之间合理分配的，全部作为固定资产。 </w:t>
      </w:r>
    </w:p>
    <w:p>
      <w:pPr>
        <w:pStyle w:val="BodyText"/>
        <w:tabs>
          <w:tab w:pos="737" w:val="left" w:leader="none"/>
        </w:tabs>
        <w:spacing w:line="265" w:lineRule="exact"/>
      </w:pPr>
      <w:r>
        <w:rPr>
          <w:w w:val="100"/>
        </w:rPr>
        <w:t> </w:t>
      </w:r>
      <w:r>
        <w:rPr/>
        <w:tab/>
      </w:r>
      <w:r>
        <w:rPr>
          <w:w w:val="100"/>
        </w:rPr>
        <w:t> </w:t>
      </w:r>
    </w:p>
    <w:p>
      <w:pPr>
        <w:spacing w:after="0" w:line="265" w:lineRule="exact"/>
        <w:sectPr>
          <w:pgSz w:w="11910" w:h="16840"/>
          <w:pgMar w:header="882" w:footer="1172" w:top="1120" w:bottom="1380" w:left="1480" w:right="0"/>
        </w:sectPr>
      </w:pPr>
    </w:p>
    <w:p>
      <w:pPr>
        <w:pStyle w:val="BodyText"/>
        <w:spacing w:before="7"/>
        <w:ind w:left="0"/>
        <w:rPr>
          <w:sz w:val="25"/>
        </w:rPr>
      </w:pPr>
    </w:p>
    <w:p>
      <w:pPr>
        <w:pStyle w:val="ListParagraph"/>
        <w:numPr>
          <w:ilvl w:val="0"/>
          <w:numId w:val="46"/>
        </w:numPr>
        <w:tabs>
          <w:tab w:pos="636" w:val="left" w:leader="none"/>
        </w:tabs>
        <w:spacing w:line="240" w:lineRule="auto" w:before="72" w:after="0"/>
        <w:ind w:left="635" w:right="0" w:hanging="318"/>
        <w:jc w:val="left"/>
        <w:rPr>
          <w:sz w:val="21"/>
        </w:rPr>
      </w:pPr>
      <w:r>
        <w:rPr>
          <w:sz w:val="21"/>
        </w:rPr>
        <w:t>软件 </w:t>
      </w:r>
    </w:p>
    <w:p>
      <w:pPr>
        <w:pStyle w:val="BodyText"/>
        <w:tabs>
          <w:tab w:pos="737" w:val="left" w:leader="none"/>
        </w:tabs>
        <w:spacing w:before="5"/>
      </w:pPr>
      <w:r>
        <w:rPr>
          <w:w w:val="100"/>
        </w:rPr>
        <w:t> </w:t>
      </w:r>
      <w:r>
        <w:rPr/>
        <w:tab/>
      </w:r>
      <w:r>
        <w:rPr>
          <w:w w:val="100"/>
        </w:rPr>
        <w:t> </w:t>
      </w:r>
    </w:p>
    <w:p>
      <w:pPr>
        <w:pStyle w:val="BodyText"/>
        <w:tabs>
          <w:tab w:pos="737" w:val="left" w:leader="none"/>
        </w:tabs>
        <w:spacing w:before="2"/>
      </w:pPr>
      <w:r>
        <w:rPr>
          <w:w w:val="100"/>
        </w:rPr>
        <w:t> </w:t>
      </w:r>
      <w:r>
        <w:rPr/>
        <w:tab/>
      </w:r>
      <w:r>
        <w:rPr>
          <w:spacing w:val="-4"/>
        </w:rPr>
        <w:t>软件按实际支付的价款入账，按预计可使用年限 </w:t>
      </w:r>
      <w:r>
        <w:rPr/>
        <w:t>3-7</w:t>
      </w:r>
      <w:r>
        <w:rPr>
          <w:spacing w:val="-9"/>
        </w:rPr>
        <w:t> 年平均摊销。</w:t>
      </w:r>
      <w:r>
        <w:rPr/>
        <w:t> </w:t>
      </w:r>
    </w:p>
    <w:p>
      <w:pPr>
        <w:pStyle w:val="BodyText"/>
        <w:tabs>
          <w:tab w:pos="737" w:val="left" w:leader="none"/>
        </w:tabs>
        <w:spacing w:before="5"/>
      </w:pPr>
      <w:r>
        <w:rPr>
          <w:w w:val="100"/>
        </w:rPr>
        <w:t> </w:t>
      </w:r>
      <w:r>
        <w:rPr/>
        <w:tab/>
      </w:r>
      <w:r>
        <w:rPr>
          <w:w w:val="100"/>
        </w:rPr>
        <w:t> </w:t>
      </w:r>
    </w:p>
    <w:p>
      <w:pPr>
        <w:pStyle w:val="ListParagraph"/>
        <w:numPr>
          <w:ilvl w:val="0"/>
          <w:numId w:val="46"/>
        </w:numPr>
        <w:tabs>
          <w:tab w:pos="636" w:val="left" w:leader="none"/>
        </w:tabs>
        <w:spacing w:line="240" w:lineRule="auto" w:before="2" w:after="0"/>
        <w:ind w:left="635" w:right="0" w:hanging="318"/>
        <w:jc w:val="left"/>
        <w:rPr>
          <w:sz w:val="21"/>
        </w:rPr>
      </w:pPr>
      <w:r>
        <w:rPr>
          <w:sz w:val="21"/>
        </w:rPr>
        <w:t>商标 </w:t>
      </w:r>
    </w:p>
    <w:p>
      <w:pPr>
        <w:pStyle w:val="BodyText"/>
        <w:tabs>
          <w:tab w:pos="737" w:val="left" w:leader="none"/>
        </w:tabs>
        <w:spacing w:before="4"/>
      </w:pPr>
      <w:r>
        <w:rPr>
          <w:w w:val="100"/>
        </w:rPr>
        <w:t> </w:t>
      </w:r>
      <w:r>
        <w:rPr/>
        <w:tab/>
      </w:r>
      <w:r>
        <w:rPr>
          <w:w w:val="100"/>
        </w:rPr>
        <w:t> </w:t>
      </w:r>
    </w:p>
    <w:p>
      <w:pPr>
        <w:pStyle w:val="BodyText"/>
        <w:tabs>
          <w:tab w:pos="737" w:val="left" w:leader="none"/>
        </w:tabs>
        <w:spacing w:before="2"/>
      </w:pPr>
      <w:r>
        <w:rPr>
          <w:w w:val="100"/>
        </w:rPr>
        <w:t> </w:t>
      </w:r>
      <w:r>
        <w:rPr/>
        <w:tab/>
      </w:r>
      <w:r>
        <w:rPr>
          <w:spacing w:val="-4"/>
        </w:rPr>
        <w:t>商标按实际支付的价款入账，按预计可使用年限 </w:t>
      </w:r>
      <w:r>
        <w:rPr/>
        <w:t>2-10</w:t>
      </w:r>
      <w:r>
        <w:rPr>
          <w:spacing w:val="-9"/>
        </w:rPr>
        <w:t> 年平均摊销。</w:t>
      </w:r>
      <w:r>
        <w:rPr/>
        <w:t> </w:t>
      </w:r>
    </w:p>
    <w:p>
      <w:pPr>
        <w:pStyle w:val="BodyText"/>
        <w:tabs>
          <w:tab w:pos="737" w:val="left" w:leader="none"/>
        </w:tabs>
        <w:spacing w:before="5"/>
      </w:pPr>
      <w:r>
        <w:rPr>
          <w:w w:val="100"/>
        </w:rPr>
        <w:t> </w:t>
      </w:r>
      <w:r>
        <w:rPr/>
        <w:tab/>
      </w:r>
      <w:r>
        <w:rPr>
          <w:w w:val="100"/>
        </w:rPr>
        <w:t> </w:t>
      </w:r>
    </w:p>
    <w:p>
      <w:pPr>
        <w:pStyle w:val="ListParagraph"/>
        <w:numPr>
          <w:ilvl w:val="0"/>
          <w:numId w:val="46"/>
        </w:numPr>
        <w:tabs>
          <w:tab w:pos="636" w:val="left" w:leader="none"/>
        </w:tabs>
        <w:spacing w:line="240" w:lineRule="auto" w:before="2" w:after="0"/>
        <w:ind w:left="635" w:right="0" w:hanging="318"/>
        <w:jc w:val="left"/>
        <w:rPr>
          <w:sz w:val="21"/>
        </w:rPr>
      </w:pPr>
      <w:r>
        <w:rPr>
          <w:sz w:val="21"/>
        </w:rPr>
        <w:t>专利权 </w:t>
      </w:r>
    </w:p>
    <w:p>
      <w:pPr>
        <w:pStyle w:val="BodyText"/>
        <w:tabs>
          <w:tab w:pos="737" w:val="left" w:leader="none"/>
        </w:tabs>
        <w:spacing w:before="5"/>
      </w:pPr>
      <w:r>
        <w:rPr>
          <w:w w:val="100"/>
        </w:rPr>
        <w:t> </w:t>
      </w:r>
      <w:r>
        <w:rPr/>
        <w:tab/>
      </w:r>
      <w:r>
        <w:rPr>
          <w:w w:val="100"/>
        </w:rPr>
        <w:t> </w:t>
      </w:r>
    </w:p>
    <w:p>
      <w:pPr>
        <w:pStyle w:val="BodyText"/>
        <w:tabs>
          <w:tab w:pos="737" w:val="left" w:leader="none"/>
        </w:tabs>
        <w:spacing w:before="2"/>
      </w:pPr>
      <w:r>
        <w:rPr>
          <w:w w:val="100"/>
        </w:rPr>
        <w:t> </w:t>
      </w:r>
      <w:r>
        <w:rPr/>
        <w:tab/>
      </w:r>
      <w:r>
        <w:rPr>
          <w:spacing w:val="-4"/>
        </w:rPr>
        <w:t>专利权按实际支付的价款入账，按预计可使用年限 </w:t>
      </w:r>
      <w:r>
        <w:rPr/>
        <w:t>2-10</w:t>
      </w:r>
      <w:r>
        <w:rPr>
          <w:spacing w:val="-9"/>
        </w:rPr>
        <w:t> 年平均摊销。</w:t>
      </w:r>
      <w:r>
        <w:rPr/>
        <w:t> </w:t>
      </w:r>
    </w:p>
    <w:p>
      <w:pPr>
        <w:pStyle w:val="BodyText"/>
        <w:tabs>
          <w:tab w:pos="737" w:val="left" w:leader="none"/>
        </w:tabs>
        <w:spacing w:before="4"/>
      </w:pPr>
      <w:r>
        <w:rPr>
          <w:w w:val="100"/>
        </w:rPr>
        <w:t> </w:t>
      </w:r>
      <w:r>
        <w:rPr/>
        <w:tab/>
      </w:r>
      <w:r>
        <w:rPr>
          <w:w w:val="100"/>
        </w:rPr>
        <w:t> </w:t>
      </w:r>
    </w:p>
    <w:p>
      <w:pPr>
        <w:pStyle w:val="ListParagraph"/>
        <w:numPr>
          <w:ilvl w:val="0"/>
          <w:numId w:val="46"/>
        </w:numPr>
        <w:tabs>
          <w:tab w:pos="636" w:val="left" w:leader="none"/>
        </w:tabs>
        <w:spacing w:line="240" w:lineRule="auto" w:before="2" w:after="0"/>
        <w:ind w:left="635" w:right="0" w:hanging="318"/>
        <w:jc w:val="left"/>
        <w:rPr>
          <w:sz w:val="21"/>
        </w:rPr>
      </w:pPr>
      <w:r>
        <w:rPr>
          <w:spacing w:val="-1"/>
          <w:sz w:val="21"/>
        </w:rPr>
        <w:t>定期复核使用寿命和摊销方法</w:t>
      </w:r>
      <w:r>
        <w:rPr>
          <w:sz w:val="21"/>
        </w:rPr>
        <w:t> </w:t>
      </w:r>
    </w:p>
    <w:p>
      <w:pPr>
        <w:pStyle w:val="BodyText"/>
        <w:tabs>
          <w:tab w:pos="737" w:val="left" w:leader="none"/>
        </w:tabs>
        <w:spacing w:before="5"/>
      </w:pPr>
      <w:r>
        <w:rPr>
          <w:w w:val="100"/>
        </w:rPr>
        <w:t> </w:t>
      </w:r>
      <w:r>
        <w:rPr/>
        <w:tab/>
      </w:r>
      <w:r>
        <w:rPr>
          <w:w w:val="100"/>
        </w:rPr>
        <w:t> </w:t>
      </w:r>
    </w:p>
    <w:p>
      <w:pPr>
        <w:pStyle w:val="BodyText"/>
        <w:tabs>
          <w:tab w:pos="737" w:val="left" w:leader="none"/>
        </w:tabs>
        <w:spacing w:line="244" w:lineRule="auto" w:before="3"/>
        <w:ind w:right="1277"/>
      </w:pPr>
      <w:r>
        <w:rPr>
          <w:w w:val="100"/>
        </w:rPr>
        <w:t> </w:t>
      </w:r>
      <w:r>
        <w:rPr/>
        <w:tab/>
      </w:r>
      <w:r>
        <w:rPr/>
        <w:t>对使用寿命有限的无形资产的预计使用寿命及摊销方法于每年年度终了进行复核并作适当调整。 </w:t>
      </w:r>
    </w:p>
    <w:p>
      <w:pPr>
        <w:pStyle w:val="BodyText"/>
        <w:tabs>
          <w:tab w:pos="737" w:val="left" w:leader="none"/>
        </w:tabs>
        <w:spacing w:line="265" w:lineRule="exact"/>
      </w:pPr>
      <w:r>
        <w:rPr>
          <w:w w:val="100"/>
        </w:rPr>
        <w:t> </w:t>
      </w:r>
      <w:r>
        <w:rPr/>
        <w:tab/>
      </w:r>
      <w:r>
        <w:rPr>
          <w:w w:val="100"/>
        </w:rPr>
        <w:t> </w:t>
      </w:r>
    </w:p>
    <w:p>
      <w:pPr>
        <w:pStyle w:val="BodyText"/>
        <w:tabs>
          <w:tab w:pos="737" w:val="left" w:leader="none"/>
        </w:tabs>
        <w:spacing w:before="4"/>
      </w:pPr>
      <w:r>
        <w:rPr>
          <w:w w:val="100"/>
        </w:rPr>
        <w:t> </w:t>
      </w:r>
      <w:r>
        <w:rPr/>
        <w:tab/>
      </w:r>
      <w:r>
        <w:rPr>
          <w:w w:val="100"/>
        </w:rPr>
        <w:t> </w:t>
      </w:r>
    </w:p>
    <w:p>
      <w:pPr>
        <w:pStyle w:val="ListParagraph"/>
        <w:numPr>
          <w:ilvl w:val="0"/>
          <w:numId w:val="46"/>
        </w:numPr>
        <w:tabs>
          <w:tab w:pos="636" w:val="left" w:leader="none"/>
        </w:tabs>
        <w:spacing w:line="240" w:lineRule="auto" w:before="2" w:after="0"/>
        <w:ind w:left="635" w:right="0" w:hanging="318"/>
        <w:jc w:val="left"/>
        <w:rPr>
          <w:sz w:val="21"/>
        </w:rPr>
      </w:pPr>
      <w:r>
        <w:rPr>
          <w:spacing w:val="-1"/>
          <w:sz w:val="21"/>
        </w:rPr>
        <w:t>无形资产减值</w:t>
      </w:r>
      <w:r>
        <w:rPr>
          <w:sz w:val="21"/>
        </w:rPr>
        <w:t> </w:t>
      </w:r>
    </w:p>
    <w:p>
      <w:pPr>
        <w:pStyle w:val="BodyText"/>
        <w:tabs>
          <w:tab w:pos="737" w:val="left" w:leader="none"/>
        </w:tabs>
        <w:spacing w:before="3"/>
      </w:pPr>
      <w:r>
        <w:rPr>
          <w:w w:val="100"/>
        </w:rPr>
        <w:t> </w:t>
      </w:r>
      <w:r>
        <w:rPr/>
        <w:tab/>
      </w:r>
      <w:r>
        <w:rPr>
          <w:w w:val="100"/>
        </w:rPr>
        <w:t> </w:t>
      </w:r>
    </w:p>
    <w:p>
      <w:pPr>
        <w:pStyle w:val="BodyText"/>
        <w:tabs>
          <w:tab w:pos="737" w:val="left" w:leader="none"/>
        </w:tabs>
        <w:spacing w:before="4"/>
      </w:pPr>
      <w:r>
        <w:rPr>
          <w:w w:val="100"/>
        </w:rPr>
        <w:t> </w:t>
      </w:r>
      <w:r>
        <w:rPr/>
        <w:tab/>
      </w:r>
      <w:r>
        <w:rPr/>
        <w:t>当无形资产的可收回金额低于其账面价值时，账面价值减记至可收回金额。 </w:t>
      </w:r>
    </w:p>
    <w:p>
      <w:pPr>
        <w:pStyle w:val="BodyText"/>
        <w:spacing w:before="2"/>
      </w:pPr>
      <w:r>
        <w:rPr>
          <w:w w:val="100"/>
        </w:rPr>
        <w:t> </w:t>
      </w:r>
    </w:p>
    <w:p>
      <w:pPr>
        <w:pStyle w:val="ListParagraph"/>
        <w:numPr>
          <w:ilvl w:val="0"/>
          <w:numId w:val="45"/>
        </w:numPr>
        <w:tabs>
          <w:tab w:pos="746" w:val="left" w:leader="none"/>
        </w:tabs>
        <w:spacing w:line="240" w:lineRule="auto" w:before="65" w:after="0"/>
        <w:ind w:left="745" w:right="0" w:hanging="428"/>
        <w:jc w:val="left"/>
        <w:rPr>
          <w:sz w:val="21"/>
        </w:rPr>
      </w:pPr>
      <w:r>
        <w:rPr>
          <w:sz w:val="21"/>
        </w:rPr>
        <w:t>内部研究开发支出会计政策 </w:t>
      </w:r>
    </w:p>
    <w:p>
      <w:pPr>
        <w:pStyle w:val="BodyText"/>
        <w:spacing w:before="62"/>
      </w:pPr>
      <w:r>
        <w:rPr>
          <w:spacing w:val="-1"/>
        </w:rPr>
        <w:t>√适用 □不适用</w:t>
      </w:r>
      <w:r>
        <w:rPr>
          <w:spacing w:val="-3"/>
        </w:rPr>
        <w:t> </w:t>
      </w:r>
      <w:r>
        <w:rPr/>
        <w:t> </w:t>
      </w:r>
    </w:p>
    <w:p>
      <w:pPr>
        <w:pStyle w:val="BodyText"/>
        <w:spacing w:line="242" w:lineRule="auto" w:before="4"/>
        <w:ind w:right="1277"/>
      </w:pPr>
      <w:r>
        <w:rPr/>
        <w:t>内部研究开发项目支出根据其性质以及研发活动最终形成无形资产是否具有较大不确定性，被分为研究阶段支出和开发阶段支出。 </w:t>
      </w:r>
    </w:p>
    <w:p>
      <w:pPr>
        <w:pStyle w:val="BodyText"/>
        <w:spacing w:before="2"/>
      </w:pPr>
      <w:r>
        <w:rPr>
          <w:w w:val="100"/>
        </w:rPr>
        <w:t> </w:t>
      </w:r>
    </w:p>
    <w:p>
      <w:pPr>
        <w:pStyle w:val="BodyText"/>
        <w:spacing w:line="242" w:lineRule="auto" w:before="2"/>
        <w:ind w:right="1277"/>
        <w:jc w:val="both"/>
      </w:pPr>
      <w:r>
        <w:rPr>
          <w:w w:val="100"/>
        </w:rPr>
        <w:t> </w:t>
      </w:r>
      <w:r>
        <w:rPr/>
        <w:t>  </w:t>
      </w:r>
      <w:r>
        <w:rPr>
          <w:spacing w:val="-1"/>
        </w:rPr>
        <w:t> </w:t>
      </w:r>
      <w:r>
        <w:rPr/>
        <w:t>为研究生产工艺而进行的有计划的调查、评价和选择阶段的支出为研究阶段的支出，于发生时计入当期损益；大规模生产之前，针对生产工艺最终应用的相关设计、测试阶段的支出为开发阶段的支出，同时满足下列条件的，予以资本化： </w:t>
      </w:r>
    </w:p>
    <w:p>
      <w:pPr>
        <w:pStyle w:val="BodyText"/>
        <w:spacing w:before="3"/>
      </w:pPr>
      <w:r>
        <w:rPr>
          <w:w w:val="100"/>
        </w:rPr>
        <w:t> </w:t>
      </w:r>
    </w:p>
    <w:p>
      <w:pPr>
        <w:pStyle w:val="ListParagraph"/>
        <w:numPr>
          <w:ilvl w:val="0"/>
          <w:numId w:val="40"/>
        </w:numPr>
        <w:tabs>
          <w:tab w:pos="425" w:val="left" w:leader="none"/>
        </w:tabs>
        <w:spacing w:line="240" w:lineRule="auto" w:before="3" w:after="0"/>
        <w:ind w:left="424" w:right="0" w:hanging="107"/>
        <w:jc w:val="left"/>
        <w:rPr>
          <w:sz w:val="21"/>
        </w:rPr>
      </w:pPr>
      <w:r>
        <w:rPr>
          <w:spacing w:val="-1"/>
          <w:sz w:val="21"/>
        </w:rPr>
        <w:t>生产工艺的开发已经技术团队进行充分论证；</w:t>
      </w:r>
      <w:r>
        <w:rPr>
          <w:sz w:val="21"/>
        </w:rPr>
        <w:t> </w:t>
      </w:r>
    </w:p>
    <w:p>
      <w:pPr>
        <w:pStyle w:val="ListParagraph"/>
        <w:numPr>
          <w:ilvl w:val="0"/>
          <w:numId w:val="40"/>
        </w:numPr>
        <w:tabs>
          <w:tab w:pos="425" w:val="left" w:leader="none"/>
        </w:tabs>
        <w:spacing w:line="240" w:lineRule="auto" w:before="4" w:after="0"/>
        <w:ind w:left="424" w:right="0" w:hanging="107"/>
        <w:jc w:val="left"/>
        <w:rPr>
          <w:sz w:val="21"/>
        </w:rPr>
      </w:pPr>
      <w:r>
        <w:rPr>
          <w:spacing w:val="-1"/>
          <w:sz w:val="21"/>
        </w:rPr>
        <w:t>管理层已批准生产工艺开发的预算；</w:t>
      </w:r>
      <w:r>
        <w:rPr>
          <w:sz w:val="21"/>
        </w:rPr>
        <w:t> </w:t>
      </w:r>
    </w:p>
    <w:p>
      <w:pPr>
        <w:pStyle w:val="ListParagraph"/>
        <w:numPr>
          <w:ilvl w:val="0"/>
          <w:numId w:val="40"/>
        </w:numPr>
        <w:tabs>
          <w:tab w:pos="425" w:val="left" w:leader="none"/>
        </w:tabs>
        <w:spacing w:line="240" w:lineRule="auto" w:before="2" w:after="0"/>
        <w:ind w:left="424" w:right="0" w:hanging="107"/>
        <w:jc w:val="left"/>
        <w:rPr>
          <w:sz w:val="21"/>
        </w:rPr>
      </w:pPr>
      <w:r>
        <w:rPr>
          <w:spacing w:val="-1"/>
          <w:sz w:val="21"/>
        </w:rPr>
        <w:t>前期市场调研的研究分析说明生产工艺所生产的产品具有市场推广能力；</w:t>
      </w:r>
      <w:r>
        <w:rPr>
          <w:sz w:val="21"/>
        </w:rPr>
        <w:t> </w:t>
      </w:r>
    </w:p>
    <w:p>
      <w:pPr>
        <w:pStyle w:val="ListParagraph"/>
        <w:numPr>
          <w:ilvl w:val="0"/>
          <w:numId w:val="40"/>
        </w:numPr>
        <w:tabs>
          <w:tab w:pos="425" w:val="left" w:leader="none"/>
        </w:tabs>
        <w:spacing w:line="240" w:lineRule="auto" w:before="5" w:after="0"/>
        <w:ind w:left="424" w:right="0" w:hanging="107"/>
        <w:jc w:val="left"/>
        <w:rPr>
          <w:sz w:val="21"/>
        </w:rPr>
      </w:pPr>
      <w:r>
        <w:rPr>
          <w:spacing w:val="-1"/>
          <w:sz w:val="21"/>
        </w:rPr>
        <w:t>有足够的技术和资金支持，以进行生产工艺的开发活动及后续的大规模生产；以及</w:t>
      </w:r>
      <w:r>
        <w:rPr>
          <w:sz w:val="21"/>
        </w:rPr>
        <w:t> </w:t>
      </w:r>
    </w:p>
    <w:p>
      <w:pPr>
        <w:pStyle w:val="ListParagraph"/>
        <w:numPr>
          <w:ilvl w:val="0"/>
          <w:numId w:val="40"/>
        </w:numPr>
        <w:tabs>
          <w:tab w:pos="425" w:val="left" w:leader="none"/>
        </w:tabs>
        <w:spacing w:line="240" w:lineRule="auto" w:before="2" w:after="0"/>
        <w:ind w:left="424" w:right="0" w:hanging="107"/>
        <w:jc w:val="left"/>
        <w:rPr>
          <w:sz w:val="21"/>
        </w:rPr>
      </w:pPr>
      <w:r>
        <w:rPr>
          <w:spacing w:val="-1"/>
          <w:sz w:val="21"/>
        </w:rPr>
        <w:t>生产工艺开发的支出能够可靠地归集。</w:t>
      </w:r>
      <w:r>
        <w:rPr>
          <w:sz w:val="21"/>
        </w:rPr>
        <w:t> </w:t>
      </w:r>
    </w:p>
    <w:p>
      <w:pPr>
        <w:pStyle w:val="BodyText"/>
        <w:spacing w:before="4"/>
        <w:jc w:val="both"/>
      </w:pPr>
      <w:r>
        <w:rPr>
          <w:w w:val="100"/>
        </w:rPr>
        <w:t> </w:t>
      </w:r>
      <w:r>
        <w:rPr/>
        <w:t>  </w:t>
      </w:r>
      <w:r>
        <w:rPr>
          <w:spacing w:val="-1"/>
        </w:rPr>
        <w:t> </w:t>
      </w:r>
      <w:r>
        <w:rPr>
          <w:w w:val="100"/>
        </w:rPr>
        <w:t> </w:t>
      </w:r>
    </w:p>
    <w:p>
      <w:pPr>
        <w:pStyle w:val="BodyText"/>
        <w:spacing w:line="242" w:lineRule="auto" w:before="3"/>
        <w:ind w:right="1277"/>
        <w:jc w:val="both"/>
      </w:pPr>
      <w:r>
        <w:rPr>
          <w:w w:val="100"/>
        </w:rPr>
        <w:t> </w:t>
      </w:r>
      <w:r>
        <w:rPr/>
        <w:t>  </w:t>
      </w:r>
      <w:r>
        <w:rPr>
          <w:spacing w:val="-1"/>
        </w:rPr>
        <w:t> </w:t>
      </w:r>
      <w:r>
        <w:rPr/>
        <w:t>不满足上述条件的开发阶段的支出，于发生时计入当期损益。以前期间已计入损益的开发支出不在以后期间重新确认为资产。已资本化的开发阶段的支出在资产负债表上列示为开发支出，</w:t>
      </w:r>
      <w:r>
        <w:rPr>
          <w:spacing w:val="-103"/>
        </w:rPr>
        <w:t> </w:t>
      </w:r>
      <w:r>
        <w:rPr/>
        <w:t>自该项目达到预定用途之日起转为无形资产。 </w:t>
      </w:r>
    </w:p>
    <w:p>
      <w:pPr>
        <w:pStyle w:val="BodyText"/>
        <w:spacing w:before="1"/>
      </w:pPr>
      <w:r>
        <w:rPr>
          <w:w w:val="100"/>
        </w:rPr>
        <w:t> </w:t>
      </w:r>
    </w:p>
    <w:p>
      <w:pPr>
        <w:pStyle w:val="ListParagraph"/>
        <w:numPr>
          <w:ilvl w:val="0"/>
          <w:numId w:val="36"/>
        </w:numPr>
        <w:tabs>
          <w:tab w:pos="743" w:val="left" w:leader="none"/>
        </w:tabs>
        <w:spacing w:line="240" w:lineRule="auto" w:before="64" w:after="0"/>
        <w:ind w:left="742" w:right="0" w:hanging="425"/>
        <w:jc w:val="left"/>
        <w:rPr>
          <w:sz w:val="21"/>
        </w:rPr>
      </w:pPr>
      <w:r>
        <w:rPr>
          <w:sz w:val="21"/>
        </w:rPr>
        <w:t>长期资产减值</w:t>
      </w:r>
    </w:p>
    <w:p>
      <w:pPr>
        <w:pStyle w:val="BodyText"/>
        <w:spacing w:before="63"/>
      </w:pPr>
      <w:r>
        <w:rPr>
          <w:spacing w:val="11"/>
        </w:rPr>
        <w:t>√适用 □不适用</w:t>
      </w:r>
      <w:r>
        <w:rPr>
          <w:spacing w:val="-3"/>
        </w:rPr>
        <w:t> </w:t>
      </w:r>
      <w:r>
        <w:rPr/>
        <w:t> </w:t>
      </w:r>
    </w:p>
    <w:p>
      <w:pPr>
        <w:pStyle w:val="BodyText"/>
        <w:spacing w:line="242" w:lineRule="auto" w:before="4"/>
        <w:ind w:right="1277" w:firstLine="419"/>
        <w:jc w:val="both"/>
      </w:pPr>
      <w:r>
        <w:rPr/>
        <w:t>固定资产、在建工程、使用权资产、使用寿命有限的无形资产、长期待摊费用及对子公司、联营企业的长期股权投资等，于资产负债表日存在减值迹象的，进行减值测试；尚未达到可使用状态的无形资产，无论是否存在减值迹象，至少每年进行减值测试。减值测试结果表明资产的可收回金额低于其账面价值的，按其差额计提减值准备并计入资产减值损失。可收回金额为资产的公允价值减去处置费用后的净额与资产预计未来现金流量的现值两者之间的较高者。资产减值准备按单项资产为基础计算并确认，如果难以对单项资产的可收回金额进行估计的，以该资产所属的资产组确定资产组的可收回金额。资产组是能够独立产生现金流入的最小资产组合。 </w:t>
      </w:r>
    </w:p>
    <w:p>
      <w:pPr>
        <w:spacing w:after="0" w:line="242" w:lineRule="auto"/>
        <w:jc w:val="both"/>
        <w:sectPr>
          <w:pgSz w:w="11910" w:h="16840"/>
          <w:pgMar w:header="882" w:footer="1172" w:top="1120" w:bottom="1380" w:left="1480" w:right="0"/>
        </w:sectPr>
      </w:pPr>
    </w:p>
    <w:p>
      <w:pPr>
        <w:pStyle w:val="BodyText"/>
        <w:spacing w:before="7"/>
        <w:ind w:left="0"/>
        <w:rPr>
          <w:sz w:val="25"/>
        </w:rPr>
      </w:pPr>
    </w:p>
    <w:p>
      <w:pPr>
        <w:pStyle w:val="BodyText"/>
        <w:spacing w:line="242" w:lineRule="auto" w:before="72"/>
        <w:ind w:right="1277" w:firstLine="419"/>
      </w:pPr>
      <w:r>
        <w:rPr/>
        <w:t>在财务报表中单独列示的商誉，无论是否存在减值迹象，至少每年进行减值测试。减值测试时，商誉的账面价值分摊至预期从企业合并的协同效应中受益的资产组或资产组组合。测试结果表明包含分摊商誉的资产组或资产组组合的可收回金额低于其账面价值的，确认相应的减值损</w:t>
      </w:r>
      <w:r>
        <w:rPr>
          <w:spacing w:val="1"/>
        </w:rPr>
        <w:t> </w:t>
      </w:r>
      <w:r>
        <w:rPr/>
        <w:t>失。减值损失金额先抵减分摊至该资产组或资产组组合的商誉的账面价值，再根据资产组或资产组组合中除商誉以外的其他各项资产的账面价值所占比重，按比例抵减其他各项资产的账面价</w:t>
      </w:r>
      <w:r>
        <w:rPr>
          <w:spacing w:val="1"/>
        </w:rPr>
        <w:t> </w:t>
      </w:r>
      <w:r>
        <w:rPr/>
        <w:t>值。 </w:t>
      </w:r>
    </w:p>
    <w:p>
      <w:pPr>
        <w:pStyle w:val="BodyText"/>
        <w:spacing w:before="4"/>
        <w:ind w:left="738"/>
      </w:pPr>
      <w:r>
        <w:rPr>
          <w:w w:val="100"/>
        </w:rPr>
        <w:t> </w:t>
      </w:r>
    </w:p>
    <w:p>
      <w:pPr>
        <w:pStyle w:val="BodyText"/>
        <w:spacing w:before="5"/>
        <w:ind w:left="738"/>
      </w:pPr>
      <w:r>
        <w:rPr>
          <w:spacing w:val="-1"/>
        </w:rPr>
        <w:t>上述资产减值损失一经确认，以后期间不予转回价值得以恢复的部分。</w:t>
      </w:r>
      <w:r>
        <w:rPr/>
        <w:t> </w:t>
      </w:r>
    </w:p>
    <w:p>
      <w:pPr>
        <w:pStyle w:val="BodyText"/>
        <w:spacing w:before="2"/>
      </w:pPr>
      <w:r>
        <w:rPr>
          <w:w w:val="100"/>
        </w:rPr>
        <w:t> </w:t>
      </w:r>
    </w:p>
    <w:p>
      <w:pPr>
        <w:pStyle w:val="ListParagraph"/>
        <w:numPr>
          <w:ilvl w:val="0"/>
          <w:numId w:val="36"/>
        </w:numPr>
        <w:tabs>
          <w:tab w:pos="743" w:val="left" w:leader="none"/>
        </w:tabs>
        <w:spacing w:line="240" w:lineRule="auto" w:before="64" w:after="0"/>
        <w:ind w:left="742" w:right="0" w:hanging="425"/>
        <w:jc w:val="left"/>
        <w:rPr>
          <w:sz w:val="21"/>
        </w:rPr>
      </w:pPr>
      <w:r>
        <w:rPr>
          <w:sz w:val="21"/>
        </w:rPr>
        <w:t>长期待摊费用</w:t>
      </w:r>
    </w:p>
    <w:p>
      <w:pPr>
        <w:pStyle w:val="BodyText"/>
        <w:spacing w:before="63"/>
      </w:pPr>
      <w:r>
        <w:rPr>
          <w:spacing w:val="11"/>
        </w:rPr>
        <w:t>√适用 □不适用</w:t>
      </w:r>
      <w:r>
        <w:rPr>
          <w:spacing w:val="-3"/>
        </w:rPr>
        <w:t> </w:t>
      </w:r>
      <w:r>
        <w:rPr/>
        <w:t> </w:t>
      </w:r>
    </w:p>
    <w:p>
      <w:pPr>
        <w:pStyle w:val="BodyText"/>
        <w:spacing w:line="242" w:lineRule="auto" w:before="4"/>
        <w:ind w:right="1277" w:firstLine="419"/>
        <w:jc w:val="both"/>
      </w:pPr>
      <w:r>
        <w:rPr/>
        <w:t>长期待摊费用包括使用权资产改良及其他已经发生但应由本年和以后各期负担的、分摊期限在一年以上的各项费用，按预计受益期间分期平均摊销，并以实际支出减去累计摊销后的净额列示。 </w:t>
      </w:r>
    </w:p>
    <w:p>
      <w:pPr>
        <w:pStyle w:val="BodyText"/>
        <w:spacing w:before="1"/>
      </w:pPr>
      <w:r>
        <w:rPr>
          <w:w w:val="100"/>
        </w:rPr>
        <w:t> </w:t>
      </w:r>
    </w:p>
    <w:p>
      <w:pPr>
        <w:pStyle w:val="ListParagraph"/>
        <w:numPr>
          <w:ilvl w:val="0"/>
          <w:numId w:val="36"/>
        </w:numPr>
        <w:tabs>
          <w:tab w:pos="743" w:val="left" w:leader="none"/>
        </w:tabs>
        <w:spacing w:line="240" w:lineRule="auto" w:before="65" w:after="0"/>
        <w:ind w:left="742" w:right="0" w:hanging="425"/>
        <w:jc w:val="left"/>
        <w:rPr>
          <w:sz w:val="21"/>
        </w:rPr>
      </w:pPr>
      <w:r>
        <w:rPr>
          <w:sz w:val="21"/>
        </w:rPr>
        <w:t>合同负债</w:t>
      </w:r>
    </w:p>
    <w:p>
      <w:pPr>
        <w:pStyle w:val="BodyText"/>
        <w:spacing w:before="62"/>
      </w:pPr>
      <w:r>
        <w:rPr/>
        <w:t>(1).合同负债的确认方法 </w:t>
      </w:r>
    </w:p>
    <w:p>
      <w:pPr>
        <w:pStyle w:val="BodyText"/>
        <w:spacing w:before="65"/>
      </w:pPr>
      <w:r>
        <w:rPr>
          <w:spacing w:val="-1"/>
        </w:rPr>
        <w:t>√适用 □不适用</w:t>
      </w:r>
      <w:r>
        <w:rPr>
          <w:spacing w:val="-3"/>
        </w:rPr>
        <w:t> </w:t>
      </w:r>
      <w:r>
        <w:rPr/>
        <w:t> </w:t>
      </w:r>
    </w:p>
    <w:p>
      <w:pPr>
        <w:pStyle w:val="BodyText"/>
        <w:spacing w:before="2"/>
      </w:pPr>
      <w:r>
        <w:rPr>
          <w:spacing w:val="-2"/>
        </w:rPr>
        <w:t>详见第十节财务报告 五、重要会计政策及会计估计 </w:t>
      </w:r>
      <w:r>
        <w:rPr/>
        <w:t>38、收入 </w:t>
      </w:r>
    </w:p>
    <w:p>
      <w:pPr>
        <w:pStyle w:val="BodyText"/>
        <w:spacing w:before="2"/>
      </w:pPr>
      <w:r>
        <w:rPr>
          <w:w w:val="100"/>
        </w:rPr>
        <w:t> </w:t>
      </w:r>
    </w:p>
    <w:p>
      <w:pPr>
        <w:pStyle w:val="ListParagraph"/>
        <w:numPr>
          <w:ilvl w:val="0"/>
          <w:numId w:val="36"/>
        </w:numPr>
        <w:tabs>
          <w:tab w:pos="743" w:val="left" w:leader="none"/>
        </w:tabs>
        <w:spacing w:line="240" w:lineRule="auto" w:before="65" w:after="0"/>
        <w:ind w:left="742" w:right="0" w:hanging="425"/>
        <w:jc w:val="left"/>
        <w:rPr>
          <w:sz w:val="21"/>
        </w:rPr>
      </w:pPr>
      <w:r>
        <w:rPr>
          <w:sz w:val="21"/>
        </w:rPr>
        <w:t>职工薪酬</w:t>
      </w:r>
    </w:p>
    <w:p>
      <w:pPr>
        <w:pStyle w:val="ListParagraph"/>
        <w:numPr>
          <w:ilvl w:val="0"/>
          <w:numId w:val="47"/>
        </w:numPr>
        <w:tabs>
          <w:tab w:pos="746" w:val="left" w:leader="none"/>
        </w:tabs>
        <w:spacing w:line="240" w:lineRule="auto" w:before="62" w:after="0"/>
        <w:ind w:left="745" w:right="0" w:hanging="428"/>
        <w:jc w:val="left"/>
        <w:rPr>
          <w:sz w:val="21"/>
        </w:rPr>
      </w:pPr>
      <w:r>
        <w:rPr>
          <w:sz w:val="21"/>
        </w:rPr>
        <w:t>短期薪酬的会计处理方法 </w:t>
      </w:r>
    </w:p>
    <w:p>
      <w:pPr>
        <w:pStyle w:val="BodyText"/>
        <w:spacing w:before="64"/>
      </w:pPr>
      <w:r>
        <w:rPr>
          <w:spacing w:val="11"/>
        </w:rPr>
        <w:t>√适用 □不适用</w:t>
      </w:r>
      <w:r>
        <w:rPr>
          <w:spacing w:val="-3"/>
        </w:rPr>
        <w:t> </w:t>
      </w:r>
      <w:r>
        <w:rPr/>
        <w:t> </w:t>
      </w:r>
    </w:p>
    <w:p>
      <w:pPr>
        <w:pStyle w:val="BodyText"/>
        <w:tabs>
          <w:tab w:pos="737" w:val="left" w:leader="none"/>
        </w:tabs>
        <w:spacing w:line="244" w:lineRule="auto" w:before="2"/>
        <w:ind w:right="1277"/>
      </w:pPr>
      <w:r>
        <w:rPr>
          <w:w w:val="100"/>
        </w:rPr>
        <w:t> </w:t>
      </w:r>
      <w:r>
        <w:rPr/>
        <w:tab/>
      </w:r>
      <w:r>
        <w:rPr/>
        <w:t>职工薪酬是本集团为获得职工提供的服务或解除劳动关系而给予的各种形式的报酬或补偿，</w:t>
      </w:r>
      <w:r>
        <w:rPr>
          <w:spacing w:val="-102"/>
        </w:rPr>
        <w:t> </w:t>
      </w:r>
      <w:r>
        <w:rPr/>
        <w:t>包括短期薪酬和离职后福利等。 </w:t>
      </w:r>
    </w:p>
    <w:p>
      <w:pPr>
        <w:pStyle w:val="BodyText"/>
        <w:tabs>
          <w:tab w:pos="737" w:val="left" w:leader="none"/>
        </w:tabs>
        <w:spacing w:line="265" w:lineRule="exact"/>
      </w:pPr>
      <w:r>
        <w:rPr>
          <w:w w:val="100"/>
        </w:rPr>
        <w:t> </w:t>
      </w:r>
      <w:r>
        <w:rPr/>
        <w:tab/>
      </w:r>
      <w:r>
        <w:rPr>
          <w:w w:val="100"/>
        </w:rPr>
        <w:t> </w:t>
      </w:r>
    </w:p>
    <w:p>
      <w:pPr>
        <w:pStyle w:val="ListParagraph"/>
        <w:numPr>
          <w:ilvl w:val="0"/>
          <w:numId w:val="48"/>
        </w:numPr>
        <w:tabs>
          <w:tab w:pos="636" w:val="left" w:leader="none"/>
        </w:tabs>
        <w:spacing w:line="240" w:lineRule="auto" w:before="5" w:after="0"/>
        <w:ind w:left="635" w:right="0" w:hanging="318"/>
        <w:jc w:val="left"/>
        <w:rPr>
          <w:sz w:val="21"/>
        </w:rPr>
      </w:pPr>
      <w:r>
        <w:rPr>
          <w:spacing w:val="-1"/>
          <w:sz w:val="21"/>
        </w:rPr>
        <w:t>短期薪酬</w:t>
      </w:r>
      <w:r>
        <w:rPr>
          <w:sz w:val="21"/>
        </w:rPr>
        <w:t> </w:t>
      </w:r>
    </w:p>
    <w:p>
      <w:pPr>
        <w:pStyle w:val="BodyText"/>
        <w:tabs>
          <w:tab w:pos="737" w:val="left" w:leader="none"/>
        </w:tabs>
        <w:spacing w:before="2"/>
      </w:pPr>
      <w:r>
        <w:rPr>
          <w:w w:val="100"/>
        </w:rPr>
        <w:t> </w:t>
      </w:r>
      <w:r>
        <w:rPr/>
        <w:tab/>
      </w:r>
      <w:r>
        <w:rPr>
          <w:w w:val="100"/>
        </w:rPr>
        <w:t> </w:t>
      </w:r>
    </w:p>
    <w:p>
      <w:pPr>
        <w:pStyle w:val="BodyText"/>
        <w:tabs>
          <w:tab w:pos="737" w:val="left" w:leader="none"/>
        </w:tabs>
        <w:spacing w:line="242" w:lineRule="auto" w:before="5"/>
        <w:ind w:right="1277"/>
      </w:pPr>
      <w:r>
        <w:rPr>
          <w:w w:val="100"/>
        </w:rPr>
        <w:t> </w:t>
      </w:r>
      <w:r>
        <w:rPr/>
        <w:tab/>
      </w:r>
      <w:r>
        <w:rPr/>
        <w:t>短期薪酬包括工资、奖金、津贴和补贴、职工福利费、医疗保险费、工伤保险费、生育保险费、住房公积金、工会和教育经费、中国台湾地区的全民健康保险、短期带薪缺勤等。本集团在职工提供服务的会计期间，将实际发生的短期薪酬确认为负债，并计入当期损益或相关资产成</w:t>
      </w:r>
      <w:r>
        <w:rPr>
          <w:spacing w:val="1"/>
        </w:rPr>
        <w:t> </w:t>
      </w:r>
      <w:r>
        <w:rPr/>
        <w:t>本。 </w:t>
      </w:r>
    </w:p>
    <w:p>
      <w:pPr>
        <w:pStyle w:val="BodyText"/>
        <w:tabs>
          <w:tab w:pos="737" w:val="left" w:leader="none"/>
          <w:tab w:pos="1157" w:val="left" w:leader="none"/>
        </w:tabs>
        <w:spacing w:before="2"/>
      </w:pPr>
      <w:r>
        <w:rPr>
          <w:w w:val="100"/>
        </w:rPr>
        <w:t> </w:t>
      </w:r>
      <w:r>
        <w:rPr/>
        <w:tab/>
      </w:r>
      <w:r>
        <w:rPr>
          <w:w w:val="100"/>
        </w:rPr>
        <w:t> </w:t>
      </w:r>
      <w:r>
        <w:rPr/>
        <w:tab/>
      </w:r>
      <w:r>
        <w:rPr>
          <w:w w:val="100"/>
        </w:rPr>
        <w:t> </w:t>
      </w:r>
    </w:p>
    <w:p>
      <w:pPr>
        <w:pStyle w:val="ListParagraph"/>
        <w:numPr>
          <w:ilvl w:val="0"/>
          <w:numId w:val="48"/>
        </w:numPr>
        <w:tabs>
          <w:tab w:pos="636" w:val="left" w:leader="none"/>
        </w:tabs>
        <w:spacing w:line="240" w:lineRule="auto" w:before="2" w:after="0"/>
        <w:ind w:left="635" w:right="0" w:hanging="318"/>
        <w:jc w:val="left"/>
        <w:rPr>
          <w:sz w:val="21"/>
        </w:rPr>
      </w:pPr>
      <w:r>
        <w:rPr>
          <w:spacing w:val="-1"/>
          <w:sz w:val="21"/>
        </w:rPr>
        <w:t>基本养老保险</w:t>
      </w:r>
      <w:r>
        <w:rPr>
          <w:sz w:val="21"/>
        </w:rPr>
        <w:t> </w:t>
      </w:r>
    </w:p>
    <w:p>
      <w:pPr>
        <w:pStyle w:val="BodyText"/>
        <w:tabs>
          <w:tab w:pos="737" w:val="left" w:leader="none"/>
        </w:tabs>
        <w:spacing w:before="5"/>
      </w:pPr>
      <w:r>
        <w:rPr>
          <w:w w:val="100"/>
        </w:rPr>
        <w:t> </w:t>
      </w:r>
      <w:r>
        <w:rPr/>
        <w:tab/>
      </w:r>
      <w:r>
        <w:rPr>
          <w:w w:val="100"/>
        </w:rPr>
        <w:t> </w:t>
      </w:r>
    </w:p>
    <w:p>
      <w:pPr>
        <w:pStyle w:val="BodyText"/>
        <w:spacing w:line="242" w:lineRule="auto" w:before="2"/>
        <w:ind w:right="1277"/>
        <w:jc w:val="both"/>
      </w:pPr>
      <w:r>
        <w:rPr>
          <w:w w:val="100"/>
        </w:rPr>
        <w:t> </w:t>
      </w:r>
      <w:r>
        <w:rPr/>
        <w:t>  </w:t>
      </w:r>
      <w:r>
        <w:rPr>
          <w:spacing w:val="-1"/>
        </w:rPr>
        <w:t> </w:t>
      </w:r>
      <w:r>
        <w:rPr/>
        <w:t>本集团职工参加了由当地劳动和社会保障部门组织实施的社会基本养老保险。本集团以当地规定的社会基本养老保险缴纳基数和比例，按月向当地社会基本养老保险经办机构缴纳养老保险费。职工退休后，当地劳动及社会保障部门有责任向已退休员工支付社会基本养老金。本集团在职工提供服务的会计期间，将根据上述社保规定计算应缴纳的金额确认为负债，并计入当期损益或相关资产成本。 </w:t>
      </w:r>
    </w:p>
    <w:p>
      <w:pPr>
        <w:pStyle w:val="BodyText"/>
        <w:spacing w:before="3"/>
      </w:pPr>
      <w:r>
        <w:rPr>
          <w:w w:val="100"/>
        </w:rPr>
        <w:t> </w:t>
      </w:r>
    </w:p>
    <w:p>
      <w:pPr>
        <w:pStyle w:val="ListParagraph"/>
        <w:numPr>
          <w:ilvl w:val="0"/>
          <w:numId w:val="47"/>
        </w:numPr>
        <w:tabs>
          <w:tab w:pos="746" w:val="left" w:leader="none"/>
        </w:tabs>
        <w:spacing w:line="240" w:lineRule="auto" w:before="64" w:after="0"/>
        <w:ind w:left="745" w:right="0" w:hanging="428"/>
        <w:jc w:val="left"/>
        <w:rPr>
          <w:sz w:val="21"/>
        </w:rPr>
      </w:pPr>
      <w:r>
        <w:rPr>
          <w:sz w:val="21"/>
        </w:rPr>
        <w:t>离职后福利的会计处理方法 </w:t>
      </w:r>
    </w:p>
    <w:p>
      <w:pPr>
        <w:pStyle w:val="BodyText"/>
        <w:spacing w:before="62"/>
      </w:pPr>
      <w:r>
        <w:rPr>
          <w:spacing w:val="11"/>
        </w:rPr>
        <w:t>√适用 □不适用</w:t>
      </w:r>
      <w:r>
        <w:rPr>
          <w:spacing w:val="-3"/>
        </w:rPr>
        <w:t> </w:t>
      </w:r>
      <w:r>
        <w:rPr/>
        <w:t> </w:t>
      </w:r>
    </w:p>
    <w:p>
      <w:pPr>
        <w:pStyle w:val="BodyText"/>
        <w:spacing w:line="242" w:lineRule="auto" w:before="5"/>
        <w:ind w:right="1277" w:firstLine="419"/>
        <w:jc w:val="both"/>
      </w:pPr>
      <w:r>
        <w:rPr/>
        <w:t>离职后福利计划分类为设定提存计划和设定受益计划。设定提存计划是本集团向独立的基金缴存固定费用后，不再承担进一步支付义务的离职后福利计划；设定受益计划是除设定提存计划以外的离职后福利计划。于报告期内，本集团的离职后福利主要是为员工缴纳的基本养老保险、失业保险和海外地区的退休金，均属于设定提存计划。 </w:t>
      </w:r>
    </w:p>
    <w:p>
      <w:pPr>
        <w:pStyle w:val="BodyText"/>
        <w:spacing w:before="2"/>
      </w:pPr>
      <w:r>
        <w:rPr>
          <w:w w:val="100"/>
        </w:rPr>
        <w:t> </w:t>
      </w:r>
    </w:p>
    <w:p>
      <w:pPr>
        <w:spacing w:after="0"/>
        <w:sectPr>
          <w:pgSz w:w="11910" w:h="16840"/>
          <w:pgMar w:header="882" w:footer="1172" w:top="1120" w:bottom="1380" w:left="1480" w:right="0"/>
        </w:sectPr>
      </w:pPr>
    </w:p>
    <w:p>
      <w:pPr>
        <w:pStyle w:val="BodyText"/>
        <w:spacing w:before="7"/>
        <w:ind w:left="0"/>
        <w:rPr>
          <w:sz w:val="25"/>
        </w:rPr>
      </w:pPr>
    </w:p>
    <w:p>
      <w:pPr>
        <w:pStyle w:val="ListParagraph"/>
        <w:numPr>
          <w:ilvl w:val="0"/>
          <w:numId w:val="47"/>
        </w:numPr>
        <w:tabs>
          <w:tab w:pos="746" w:val="left" w:leader="none"/>
        </w:tabs>
        <w:spacing w:line="240" w:lineRule="auto" w:before="72" w:after="0"/>
        <w:ind w:left="745" w:right="0" w:hanging="428"/>
        <w:jc w:val="left"/>
        <w:rPr>
          <w:sz w:val="21"/>
        </w:rPr>
      </w:pPr>
      <w:r>
        <w:rPr>
          <w:sz w:val="21"/>
        </w:rPr>
        <w:t>辞退福利的会计处理方法 </w:t>
      </w:r>
    </w:p>
    <w:p>
      <w:pPr>
        <w:pStyle w:val="BodyText"/>
        <w:spacing w:before="65"/>
      </w:pPr>
      <w:r>
        <w:rPr>
          <w:spacing w:val="11"/>
        </w:rPr>
        <w:t>□适用 √不适用</w:t>
      </w:r>
      <w:r>
        <w:rPr>
          <w:spacing w:val="-3"/>
        </w:rPr>
        <w:t> </w:t>
      </w:r>
      <w:r>
        <w:rPr/>
        <w:t> </w:t>
      </w:r>
    </w:p>
    <w:p>
      <w:pPr>
        <w:pStyle w:val="BodyText"/>
        <w:spacing w:before="2"/>
      </w:pPr>
      <w:r>
        <w:rPr>
          <w:w w:val="100"/>
        </w:rPr>
        <w:t> </w:t>
      </w:r>
    </w:p>
    <w:p>
      <w:pPr>
        <w:pStyle w:val="ListParagraph"/>
        <w:numPr>
          <w:ilvl w:val="0"/>
          <w:numId w:val="47"/>
        </w:numPr>
        <w:tabs>
          <w:tab w:pos="746" w:val="left" w:leader="none"/>
        </w:tabs>
        <w:spacing w:line="240" w:lineRule="auto" w:before="65" w:after="0"/>
        <w:ind w:left="745" w:right="0" w:hanging="428"/>
        <w:jc w:val="left"/>
        <w:rPr>
          <w:sz w:val="21"/>
        </w:rPr>
      </w:pPr>
      <w:r>
        <w:rPr>
          <w:sz w:val="21"/>
        </w:rPr>
        <w:t>其他长期职工福利的会计处理方法 </w:t>
      </w:r>
    </w:p>
    <w:p>
      <w:pPr>
        <w:pStyle w:val="BodyText"/>
        <w:spacing w:before="62"/>
      </w:pPr>
      <w:r>
        <w:rPr>
          <w:spacing w:val="11"/>
        </w:rPr>
        <w:t>□适用 √不适用</w:t>
      </w:r>
      <w:r>
        <w:rPr>
          <w:spacing w:val="-3"/>
        </w:rPr>
        <w:t> </w:t>
      </w:r>
      <w:r>
        <w:rPr/>
        <w:t> </w:t>
      </w:r>
    </w:p>
    <w:p>
      <w:pPr>
        <w:pStyle w:val="BodyText"/>
        <w:spacing w:before="4"/>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租赁负债</w:t>
      </w:r>
    </w:p>
    <w:p>
      <w:pPr>
        <w:pStyle w:val="BodyText"/>
        <w:spacing w:before="65"/>
      </w:pPr>
      <w:r>
        <w:rPr>
          <w:spacing w:val="-1"/>
        </w:rPr>
        <w:t>√适用 □不适用</w:t>
      </w:r>
      <w:r>
        <w:rPr>
          <w:spacing w:val="-3"/>
        </w:rPr>
        <w:t> </w:t>
      </w:r>
      <w:r>
        <w:rPr/>
        <w:t> </w:t>
      </w:r>
    </w:p>
    <w:p>
      <w:pPr>
        <w:pStyle w:val="BodyText"/>
        <w:spacing w:before="2"/>
      </w:pPr>
      <w:r>
        <w:rPr>
          <w:spacing w:val="-2"/>
        </w:rPr>
        <w:t>详见第十节财务报告 五、重要会计政策及会计估计 </w:t>
      </w:r>
      <w:r>
        <w:rPr/>
        <w:t>42、租赁 </w:t>
      </w:r>
    </w:p>
    <w:p>
      <w:pPr>
        <w:pStyle w:val="BodyText"/>
        <w:spacing w:before="5"/>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预计负债</w:t>
      </w:r>
    </w:p>
    <w:p>
      <w:pPr>
        <w:pStyle w:val="BodyText"/>
        <w:spacing w:before="64"/>
      </w:pPr>
      <w:r>
        <w:rPr>
          <w:spacing w:val="11"/>
        </w:rPr>
        <w:t>√适用 □不适用</w:t>
      </w:r>
      <w:r>
        <w:rPr>
          <w:spacing w:val="-3"/>
        </w:rPr>
        <w:t> </w:t>
      </w:r>
      <w:r>
        <w:rPr/>
        <w:t> </w:t>
      </w:r>
    </w:p>
    <w:p>
      <w:pPr>
        <w:pStyle w:val="BodyText"/>
        <w:spacing w:line="244" w:lineRule="auto" w:before="3"/>
        <w:ind w:right="1277" w:firstLine="419"/>
      </w:pPr>
      <w:r>
        <w:rPr/>
        <w:t>因产品质量保证、亏损合同等形成的现时义务，当履行该义务很可能导致经济利益的流出，</w:t>
      </w:r>
      <w:r>
        <w:rPr>
          <w:spacing w:val="-102"/>
        </w:rPr>
        <w:t> </w:t>
      </w:r>
      <w:r>
        <w:rPr/>
        <w:t>且其金额能够可靠计量时，确认为预计负债。 </w:t>
      </w:r>
    </w:p>
    <w:p>
      <w:pPr>
        <w:pStyle w:val="BodyText"/>
        <w:spacing w:line="265" w:lineRule="exact"/>
        <w:ind w:left="738"/>
      </w:pPr>
      <w:r>
        <w:rPr>
          <w:w w:val="100"/>
        </w:rPr>
        <w:t> </w:t>
      </w:r>
    </w:p>
    <w:p>
      <w:pPr>
        <w:pStyle w:val="BodyText"/>
        <w:spacing w:line="242" w:lineRule="auto" w:before="5"/>
        <w:ind w:right="1277" w:firstLine="419"/>
        <w:jc w:val="both"/>
      </w:pPr>
      <w:r>
        <w:rPr/>
        <w:t>预计负债按照履行相关现时义务所需支出的最佳估计数进行初始计量，并综合考虑与或有事项有关的风险、不确定性和货币时间价值等因素。货币时间价值影响重大的，通过对相关未来现金流出进行折现后确定最佳估计数；因随着时间推移所进行的折现还原而导致的预计负债账面价值的增加金额，确认为利息费用。 </w:t>
      </w:r>
    </w:p>
    <w:p>
      <w:pPr>
        <w:pStyle w:val="BodyText"/>
        <w:ind w:left="738"/>
      </w:pPr>
      <w:r>
        <w:rPr>
          <w:w w:val="100"/>
        </w:rPr>
        <w:t> </w:t>
      </w:r>
    </w:p>
    <w:p>
      <w:pPr>
        <w:pStyle w:val="BodyText"/>
        <w:spacing w:line="242" w:lineRule="auto" w:before="4"/>
        <w:ind w:right="1489" w:firstLine="419"/>
      </w:pPr>
      <w:r>
        <w:rPr/>
        <w:t>于资产负债表日，对预计负债的账面价值进行复核并作适当调整，以反映当前的最佳估计数。 </w:t>
      </w:r>
    </w:p>
    <w:p>
      <w:pPr>
        <w:pStyle w:val="BodyText"/>
        <w:spacing w:before="2"/>
        <w:ind w:left="738"/>
      </w:pPr>
      <w:r>
        <w:rPr>
          <w:w w:val="100"/>
        </w:rPr>
        <w:t> </w:t>
      </w:r>
    </w:p>
    <w:p>
      <w:pPr>
        <w:pStyle w:val="BodyText"/>
        <w:spacing w:before="2"/>
        <w:ind w:left="738"/>
      </w:pPr>
      <w:r>
        <w:rPr>
          <w:spacing w:val="-1"/>
        </w:rPr>
        <w:t>预期在资产负债表日起一年内需支付的预计负债，列报为流动负债。</w:t>
      </w:r>
      <w:r>
        <w:rPr/>
        <w:t> </w:t>
      </w:r>
    </w:p>
    <w:p>
      <w:pPr>
        <w:pStyle w:val="BodyText"/>
        <w:spacing w:before="4"/>
      </w:pPr>
      <w:r>
        <w:rPr>
          <w:w w:val="100"/>
        </w:rPr>
        <w:t> </w:t>
      </w:r>
    </w:p>
    <w:p>
      <w:pPr>
        <w:pStyle w:val="ListParagraph"/>
        <w:numPr>
          <w:ilvl w:val="0"/>
          <w:numId w:val="36"/>
        </w:numPr>
        <w:tabs>
          <w:tab w:pos="743" w:val="left" w:leader="none"/>
        </w:tabs>
        <w:spacing w:line="240" w:lineRule="auto" w:before="63" w:after="0"/>
        <w:ind w:left="742" w:right="0" w:hanging="425"/>
        <w:jc w:val="left"/>
        <w:rPr>
          <w:sz w:val="21"/>
        </w:rPr>
      </w:pPr>
      <w:r>
        <w:rPr>
          <w:sz w:val="21"/>
        </w:rPr>
        <w:t>股份支付</w:t>
      </w:r>
    </w:p>
    <w:p>
      <w:pPr>
        <w:pStyle w:val="BodyText"/>
        <w:spacing w:before="64"/>
      </w:pPr>
      <w:r>
        <w:rPr>
          <w:spacing w:val="11"/>
        </w:rPr>
        <w:t>√适用 □不适用</w:t>
      </w:r>
      <w:r>
        <w:rPr>
          <w:spacing w:val="-3"/>
        </w:rPr>
        <w:t> </w:t>
      </w:r>
      <w:r>
        <w:rPr/>
        <w:t> </w:t>
      </w:r>
    </w:p>
    <w:p>
      <w:pPr>
        <w:pStyle w:val="BodyText"/>
        <w:spacing w:before="2"/>
      </w:pPr>
      <w:r>
        <w:rPr>
          <w:w w:val="100"/>
        </w:rPr>
        <w:t> </w:t>
      </w:r>
    </w:p>
    <w:p>
      <w:pPr>
        <w:pStyle w:val="BodyText"/>
        <w:spacing w:line="242" w:lineRule="auto" w:before="5"/>
        <w:ind w:right="1277" w:firstLine="419"/>
        <w:jc w:val="both"/>
      </w:pPr>
      <w:r>
        <w:rPr/>
        <w:t>股份支付是为了获取职工提供服务而授予权益工具或者承担以权益工具为基础确定的负债的交易。权益工具包括本公司及子公司或本公司的母公司的权益工具。股份支付分为以权益结算的股份支付和以现金结算的股份支付。本集团实施的限制性股票计划及股票期权计划均作为以权益结算的股份支付进行核算。 </w:t>
      </w:r>
    </w:p>
    <w:p>
      <w:pPr>
        <w:pStyle w:val="BodyText"/>
        <w:spacing w:before="3"/>
        <w:ind w:left="738"/>
      </w:pPr>
      <w:r>
        <w:rPr>
          <w:w w:val="100"/>
        </w:rPr>
        <w:t> </w:t>
      </w:r>
    </w:p>
    <w:p>
      <w:pPr>
        <w:pStyle w:val="BodyText"/>
        <w:spacing w:line="242" w:lineRule="auto" w:before="2"/>
        <w:ind w:right="1277" w:firstLine="419"/>
        <w:jc w:val="both"/>
      </w:pPr>
      <w:r>
        <w:rPr/>
        <w:t>以权益结算的股份支付换取职工提供服务的，以授予职工权益工具的公允价值计量。授予后立即可行权的，在授予日按照公允价值计入当期损益，相应增加资本公积；完成等待期内的服务或达到规定业绩条件才可行权的，在等待期内每个资产负债表日，本集团根据最新取得的可行权职工人数变动、是否达到规定业绩条件等后续信息对可行权权益工具数量作出最佳估计，以此为基础，按照授予日的公允价值，将当期取得的服务计入当期损益，相应增加资本公积。 </w:t>
      </w:r>
    </w:p>
    <w:p>
      <w:pPr>
        <w:pStyle w:val="BodyText"/>
        <w:spacing w:before="5"/>
        <w:ind w:left="738"/>
      </w:pPr>
      <w:r>
        <w:rPr>
          <w:w w:val="100"/>
        </w:rPr>
        <w:t> </w:t>
      </w:r>
    </w:p>
    <w:p>
      <w:pPr>
        <w:pStyle w:val="BodyText"/>
        <w:spacing w:line="242" w:lineRule="auto" w:before="2"/>
        <w:ind w:right="1385" w:firstLine="419"/>
      </w:pPr>
      <w:r>
        <w:rPr/>
        <w:t>本集团根据不同情况，根据授予日股价、现金流量折现模型、布莱克-斯克尔斯期权定价模型、实施股权激励获得的对价等综合考虑确定所授予权益工具的公允价值。 </w:t>
      </w:r>
    </w:p>
    <w:p>
      <w:pPr>
        <w:pStyle w:val="BodyText"/>
        <w:spacing w:before="1"/>
        <w:ind w:left="738"/>
      </w:pPr>
      <w:r>
        <w:rPr>
          <w:w w:val="100"/>
        </w:rPr>
        <w:t> </w:t>
      </w:r>
    </w:p>
    <w:p>
      <w:pPr>
        <w:pStyle w:val="BodyText"/>
        <w:spacing w:line="242" w:lineRule="auto" w:before="2"/>
        <w:ind w:right="1277" w:firstLine="419"/>
        <w:jc w:val="both"/>
      </w:pPr>
      <w:r>
        <w:rPr/>
        <w:t>在满足业绩条件和服务期限条件的期间，应确认以权益结算的股份支付的成本或费用，并相应增加资本公积。可行权日之前，于每个资产负债表日为以权益结算的股份支付确认的累计金额反映了等待期已届满的部分以及本集团对最终可行权的权益工具数量的最佳估计。 </w:t>
      </w:r>
    </w:p>
    <w:p>
      <w:pPr>
        <w:pStyle w:val="BodyText"/>
        <w:spacing w:before="3"/>
        <w:ind w:left="738"/>
      </w:pPr>
      <w:r>
        <w:rPr>
          <w:w w:val="100"/>
        </w:rPr>
        <w:t> </w:t>
      </w:r>
    </w:p>
    <w:p>
      <w:pPr>
        <w:spacing w:after="0"/>
        <w:sectPr>
          <w:pgSz w:w="11910" w:h="16840"/>
          <w:pgMar w:header="882" w:footer="1172" w:top="1120" w:bottom="1380" w:left="1480" w:right="0"/>
        </w:sectPr>
      </w:pPr>
    </w:p>
    <w:p>
      <w:pPr>
        <w:pStyle w:val="BodyText"/>
        <w:spacing w:before="7"/>
        <w:ind w:left="0"/>
        <w:rPr>
          <w:sz w:val="25"/>
        </w:rPr>
      </w:pPr>
    </w:p>
    <w:p>
      <w:pPr>
        <w:pStyle w:val="BodyText"/>
        <w:spacing w:line="242" w:lineRule="auto" w:before="72"/>
        <w:ind w:right="1277" w:firstLine="419"/>
        <w:jc w:val="both"/>
      </w:pPr>
      <w:r>
        <w:rPr/>
        <w:t>对于最终未能达到可行权条件的股份支付，本集团不确认成本或费用，除非可行权条件是市场条件或非可行权条件，此时无论是否满足市场条件或非可行权条件，只要满足所有可行权条件中的非市场条件，即视为可行权。 </w:t>
      </w:r>
    </w:p>
    <w:p>
      <w:pPr>
        <w:pStyle w:val="BodyText"/>
        <w:spacing w:before="4"/>
        <w:ind w:left="738"/>
      </w:pPr>
      <w:r>
        <w:rPr>
          <w:w w:val="100"/>
        </w:rPr>
        <w:t> </w:t>
      </w:r>
    </w:p>
    <w:p>
      <w:pPr>
        <w:pStyle w:val="BodyText"/>
        <w:spacing w:line="242" w:lineRule="auto" w:before="2"/>
        <w:ind w:right="1277" w:firstLine="419"/>
      </w:pPr>
      <w:r>
        <w:rPr/>
        <w:t>本集团修改股份支付计划条款时，如果修改增加了所授予权益工具的公允价值，本集团根据修改前后的权益工具在修改日公允价值之间的差额相应确认取得服务的增加。如果本集团按照有利于职工的方式修改可行权条件，本集团按照修改后的可行权条件核算；如果本集团以不利于职工的方式修改可行权条件，核算时不予以考虑，除非本集团取消了部分或全部已授予的权益工</w:t>
      </w:r>
      <w:r>
        <w:rPr>
          <w:spacing w:val="1"/>
        </w:rPr>
        <w:t> </w:t>
      </w:r>
      <w:r>
        <w:rPr/>
        <w:t>具。如果本集团取消了所授予的权益工具，则于取消日作为加速行权处理，将原本应在剩余等待期内确认的金额立即计入当期损益，同时确认资本公积。 </w:t>
      </w:r>
    </w:p>
    <w:p>
      <w:pPr>
        <w:pStyle w:val="BodyText"/>
        <w:spacing w:before="4"/>
        <w:ind w:left="738"/>
      </w:pPr>
      <w:r>
        <w:rPr>
          <w:w w:val="100"/>
        </w:rPr>
        <w:t> </w:t>
      </w:r>
    </w:p>
    <w:p>
      <w:pPr>
        <w:pStyle w:val="BodyText"/>
        <w:spacing w:line="242" w:lineRule="auto" w:before="4"/>
        <w:ind w:right="1277" w:firstLine="419"/>
      </w:pPr>
      <w:r>
        <w:rPr/>
        <w:t>如果本集团需要按事先约定的回购价格回购未被解锁而失效或作废的限制性股票，本集团按照限制性股票的数量以及相应的回购价格确认负债及库存股票。 </w:t>
      </w:r>
    </w:p>
    <w:p>
      <w:pPr>
        <w:pStyle w:val="BodyText"/>
        <w:spacing w:before="1"/>
      </w:pPr>
      <w:r>
        <w:rPr>
          <w:w w:val="100"/>
        </w:rPr>
        <w:t> </w:t>
      </w:r>
    </w:p>
    <w:p>
      <w:pPr>
        <w:pStyle w:val="ListParagraph"/>
        <w:numPr>
          <w:ilvl w:val="0"/>
          <w:numId w:val="36"/>
        </w:numPr>
        <w:tabs>
          <w:tab w:pos="743" w:val="left" w:leader="none"/>
        </w:tabs>
        <w:spacing w:line="240" w:lineRule="auto" w:before="63" w:after="0"/>
        <w:ind w:left="742" w:right="0" w:hanging="425"/>
        <w:jc w:val="left"/>
        <w:rPr>
          <w:sz w:val="21"/>
        </w:rPr>
      </w:pPr>
      <w:r>
        <w:rPr>
          <w:sz w:val="21"/>
        </w:rPr>
        <w:t>优先股、永续债等其他金融工具</w:t>
      </w:r>
    </w:p>
    <w:p>
      <w:pPr>
        <w:pStyle w:val="BodyText"/>
        <w:spacing w:before="65"/>
      </w:pPr>
      <w:r>
        <w:rPr>
          <w:spacing w:val="11"/>
        </w:rPr>
        <w:t>□适用 √不适用</w:t>
      </w:r>
      <w:r>
        <w:rPr>
          <w:spacing w:val="-3"/>
        </w:rPr>
        <w:t> </w:t>
      </w:r>
      <w:r>
        <w:rPr/>
        <w:t> </w:t>
      </w:r>
    </w:p>
    <w:p>
      <w:pPr>
        <w:pStyle w:val="BodyText"/>
        <w:spacing w:before="2"/>
      </w:pPr>
      <w:r>
        <w:rPr>
          <w:w w:val="100"/>
        </w:rPr>
        <w:t> </w:t>
      </w:r>
    </w:p>
    <w:p>
      <w:pPr>
        <w:pStyle w:val="ListParagraph"/>
        <w:numPr>
          <w:ilvl w:val="0"/>
          <w:numId w:val="36"/>
        </w:numPr>
        <w:tabs>
          <w:tab w:pos="743" w:val="left" w:leader="none"/>
        </w:tabs>
        <w:spacing w:line="240" w:lineRule="auto" w:before="64" w:after="0"/>
        <w:ind w:left="742" w:right="0" w:hanging="425"/>
        <w:jc w:val="left"/>
        <w:rPr>
          <w:sz w:val="21"/>
        </w:rPr>
      </w:pPr>
      <w:r>
        <w:rPr>
          <w:sz w:val="21"/>
        </w:rPr>
        <w:t>收入</w:t>
      </w:r>
    </w:p>
    <w:p>
      <w:pPr>
        <w:pStyle w:val="ListParagraph"/>
        <w:numPr>
          <w:ilvl w:val="0"/>
          <w:numId w:val="49"/>
        </w:numPr>
        <w:tabs>
          <w:tab w:pos="746" w:val="left" w:leader="none"/>
        </w:tabs>
        <w:spacing w:line="240" w:lineRule="auto" w:before="62" w:after="0"/>
        <w:ind w:left="745" w:right="0" w:hanging="428"/>
        <w:jc w:val="left"/>
        <w:rPr>
          <w:sz w:val="21"/>
        </w:rPr>
      </w:pPr>
      <w:r>
        <w:rPr>
          <w:sz w:val="21"/>
        </w:rPr>
        <w:t>收入确认和计量所采用的会计政策 </w:t>
      </w:r>
    </w:p>
    <w:p>
      <w:pPr>
        <w:pStyle w:val="BodyText"/>
        <w:spacing w:before="63"/>
      </w:pPr>
      <w:r>
        <w:rPr>
          <w:spacing w:val="-1"/>
        </w:rPr>
        <w:t>√适用 □不适用</w:t>
      </w:r>
      <w:r>
        <w:rPr>
          <w:spacing w:val="-3"/>
        </w:rPr>
        <w:t> </w:t>
      </w:r>
      <w:r>
        <w:rPr/>
        <w:t> </w:t>
      </w:r>
    </w:p>
    <w:p>
      <w:pPr>
        <w:pStyle w:val="BodyText"/>
        <w:tabs>
          <w:tab w:pos="737" w:val="left" w:leader="none"/>
        </w:tabs>
        <w:spacing w:before="4"/>
      </w:pPr>
      <w:r>
        <w:rPr>
          <w:w w:val="100"/>
        </w:rPr>
        <w:t> </w:t>
      </w:r>
      <w:r>
        <w:rPr/>
        <w:tab/>
      </w:r>
      <w:r>
        <w:rPr/>
        <w:t>本集团在客户取得相关商品或服务的控制权时，按预期有权收取的对价金额确认收入。 </w:t>
      </w:r>
    </w:p>
    <w:p>
      <w:pPr>
        <w:pStyle w:val="BodyText"/>
        <w:tabs>
          <w:tab w:pos="737" w:val="left" w:leader="none"/>
        </w:tabs>
        <w:spacing w:before="2"/>
      </w:pPr>
      <w:r>
        <w:rPr>
          <w:w w:val="100"/>
        </w:rPr>
        <w:t> </w:t>
      </w:r>
      <w:r>
        <w:rPr/>
        <w:tab/>
      </w:r>
      <w:r>
        <w:rPr>
          <w:w w:val="100"/>
        </w:rPr>
        <w:t> </w:t>
      </w:r>
    </w:p>
    <w:p>
      <w:pPr>
        <w:pStyle w:val="ListParagraph"/>
        <w:numPr>
          <w:ilvl w:val="0"/>
          <w:numId w:val="50"/>
        </w:numPr>
        <w:tabs>
          <w:tab w:pos="636" w:val="left" w:leader="none"/>
        </w:tabs>
        <w:spacing w:line="240" w:lineRule="auto" w:before="5" w:after="0"/>
        <w:ind w:left="635" w:right="0" w:hanging="318"/>
        <w:jc w:val="left"/>
        <w:rPr>
          <w:sz w:val="21"/>
        </w:rPr>
      </w:pPr>
      <w:r>
        <w:rPr>
          <w:spacing w:val="-1"/>
          <w:sz w:val="21"/>
        </w:rPr>
        <w:t>销售产品</w:t>
      </w:r>
      <w:r>
        <w:rPr>
          <w:sz w:val="21"/>
        </w:rPr>
        <w:t> </w:t>
      </w:r>
    </w:p>
    <w:p>
      <w:pPr>
        <w:pStyle w:val="BodyText"/>
        <w:tabs>
          <w:tab w:pos="737" w:val="left" w:leader="none"/>
        </w:tabs>
        <w:spacing w:before="2"/>
      </w:pPr>
      <w:r>
        <w:rPr>
          <w:w w:val="100"/>
        </w:rPr>
        <w:t> </w:t>
      </w:r>
      <w:r>
        <w:rPr/>
        <w:tab/>
      </w:r>
      <w:r>
        <w:rPr>
          <w:w w:val="100"/>
        </w:rPr>
        <w:t> </w:t>
      </w:r>
    </w:p>
    <w:p>
      <w:pPr>
        <w:pStyle w:val="BodyText"/>
        <w:tabs>
          <w:tab w:pos="737" w:val="left" w:leader="none"/>
        </w:tabs>
        <w:spacing w:line="242" w:lineRule="auto" w:before="4"/>
        <w:ind w:right="1277"/>
      </w:pPr>
      <w:r>
        <w:rPr>
          <w:w w:val="100"/>
        </w:rPr>
        <w:t> </w:t>
      </w:r>
      <w:r>
        <w:rPr/>
        <w:tab/>
      </w:r>
      <w:r>
        <w:rPr/>
        <w:t>本集团生产产品并销售予各地客户。对于境内销售，本集团在将产品交付客户指定的承运</w:t>
      </w:r>
      <w:r>
        <w:rPr>
          <w:spacing w:val="1"/>
        </w:rPr>
        <w:t> </w:t>
      </w:r>
      <w:r>
        <w:rPr/>
        <w:t>人，或将产品按照协议合同规定运至约定交货地点并由客户确认接收后，确认收入。对于境外销售，本集团根据销售合同或订单规定的国际贸易条款，将出口产品按照合同或订单规定办理出口报关手续并装船后或运至指定的交货地点后，确认收入。满足上述销售实现条件的情况下，客户具有自行销售产品的权利并承担该产品可能发生价格波动或毁损的风险。 </w:t>
      </w:r>
    </w:p>
    <w:p>
      <w:pPr>
        <w:pStyle w:val="BodyText"/>
        <w:spacing w:before="3"/>
      </w:pPr>
      <w:r>
        <w:rPr>
          <w:w w:val="100"/>
        </w:rPr>
        <w:t> </w:t>
      </w:r>
    </w:p>
    <w:p>
      <w:pPr>
        <w:pStyle w:val="BodyText"/>
        <w:spacing w:line="242" w:lineRule="auto" w:before="4"/>
        <w:ind w:right="1488"/>
      </w:pPr>
      <w:r>
        <w:rPr/>
        <w:t>本集团给予客户的信用期根据客户的信用风险特征确定，与行业惯例一致，不存在重大融资成分。本集团根据产品为客户提供产品质量保证，并确认相应的预计负债。 </w:t>
      </w:r>
    </w:p>
    <w:p>
      <w:pPr>
        <w:pStyle w:val="BodyText"/>
        <w:spacing w:before="2"/>
      </w:pPr>
      <w:r>
        <w:rPr>
          <w:w w:val="100"/>
        </w:rPr>
        <w:t> </w:t>
      </w:r>
    </w:p>
    <w:p>
      <w:pPr>
        <w:pStyle w:val="BodyText"/>
        <w:spacing w:before="2"/>
      </w:pPr>
      <w:r>
        <w:rPr>
          <w:spacing w:val="-1"/>
        </w:rPr>
        <w:t>本集团已收或应收客户对价而应向客户转让产品的义务列示为合同负债。</w:t>
      </w:r>
      <w:r>
        <w:rPr/>
        <w:t> </w:t>
      </w:r>
    </w:p>
    <w:p>
      <w:pPr>
        <w:pStyle w:val="BodyText"/>
        <w:spacing w:before="4"/>
      </w:pPr>
      <w:r>
        <w:rPr>
          <w:w w:val="100"/>
        </w:rPr>
        <w:t> </w:t>
      </w:r>
    </w:p>
    <w:p>
      <w:pPr>
        <w:pStyle w:val="ListParagraph"/>
        <w:numPr>
          <w:ilvl w:val="0"/>
          <w:numId w:val="50"/>
        </w:numPr>
        <w:tabs>
          <w:tab w:pos="636" w:val="left" w:leader="none"/>
        </w:tabs>
        <w:spacing w:line="240" w:lineRule="auto" w:before="3" w:after="0"/>
        <w:ind w:left="635" w:right="0" w:hanging="318"/>
        <w:jc w:val="left"/>
        <w:rPr>
          <w:sz w:val="21"/>
        </w:rPr>
      </w:pPr>
      <w:r>
        <w:rPr>
          <w:spacing w:val="-1"/>
          <w:sz w:val="21"/>
        </w:rPr>
        <w:t>提供劳务</w:t>
      </w:r>
      <w:r>
        <w:rPr>
          <w:sz w:val="21"/>
        </w:rPr>
        <w:t> </w:t>
      </w:r>
    </w:p>
    <w:p>
      <w:pPr>
        <w:pStyle w:val="BodyText"/>
        <w:spacing w:before="4"/>
      </w:pPr>
      <w:r>
        <w:rPr>
          <w:w w:val="100"/>
        </w:rPr>
        <w:t> </w:t>
      </w:r>
    </w:p>
    <w:p>
      <w:pPr>
        <w:pStyle w:val="BodyText"/>
        <w:spacing w:before="2"/>
      </w:pPr>
      <w:r>
        <w:rPr>
          <w:spacing w:val="-1"/>
        </w:rPr>
        <w:t>本集团对外提供加工及研发服务，于劳务提供期间确认收入。</w:t>
      </w:r>
      <w:r>
        <w:rPr/>
        <w:t> </w:t>
      </w:r>
    </w:p>
    <w:p>
      <w:pPr>
        <w:pStyle w:val="BodyText"/>
        <w:spacing w:before="5"/>
      </w:pPr>
      <w:r>
        <w:rPr>
          <w:w w:val="100"/>
        </w:rPr>
        <w:t> </w:t>
      </w:r>
    </w:p>
    <w:p>
      <w:pPr>
        <w:pStyle w:val="BodyText"/>
        <w:spacing w:line="242" w:lineRule="auto" w:before="3"/>
        <w:ind w:right="1277"/>
        <w:jc w:val="both"/>
      </w:pPr>
      <w:r>
        <w:rPr/>
        <w:t>本集团按照已完成劳务的进度确认收入时，对于本集团已经取得无条件收款权的部分，确认为应收账款，其余部分确认为合同资产，并对应收账款和合同资产以预期信用损失为基础确认损失准备；如果本集团已收或应收的合同价款超过已完成的劳务，则将超过部分确认为合同负债。本集团对于同一合同下的合同资产和合同负债以净额列示。 </w:t>
      </w:r>
    </w:p>
    <w:p>
      <w:pPr>
        <w:pStyle w:val="BodyText"/>
        <w:spacing w:before="2"/>
        <w:jc w:val="both"/>
      </w:pPr>
      <w:r>
        <w:rPr>
          <w:w w:val="100"/>
        </w:rPr>
        <w:t> </w:t>
      </w:r>
      <w:r>
        <w:rPr/>
        <w:t>  </w:t>
      </w:r>
      <w:r>
        <w:rPr>
          <w:spacing w:val="-1"/>
        </w:rPr>
        <w:t> </w:t>
      </w:r>
      <w:r>
        <w:rPr>
          <w:w w:val="100"/>
        </w:rPr>
        <w:t> </w:t>
      </w:r>
    </w:p>
    <w:p>
      <w:pPr>
        <w:pStyle w:val="BodyText"/>
        <w:spacing w:line="242" w:lineRule="auto" w:before="2"/>
        <w:ind w:right="1277"/>
        <w:jc w:val="both"/>
      </w:pPr>
      <w:r>
        <w:rPr>
          <w:w w:val="100"/>
        </w:rPr>
        <w:t> </w:t>
      </w:r>
      <w:r>
        <w:rPr/>
        <w:t>  </w:t>
      </w:r>
      <w:r>
        <w:rPr>
          <w:spacing w:val="-1"/>
        </w:rPr>
        <w:t> </w:t>
      </w:r>
      <w:r>
        <w:rPr/>
        <w:t>合同成本包括合同履约成本和合同取得成本。本集团为提供加工劳务而发生的成本，确认为合同履约成本，并在确认收入时，按照已完成劳务的进度结转计入主营业务成本。如果合同履约成本的账面价值高于因提供该劳务预期能够取得的剩余对价减去估计将要发生的成本，本集团对超出的部分计提减值准备，并确认为资产减值损失。于资产负债表日，本集团对于合同履约成本</w:t>
      </w:r>
    </w:p>
    <w:p>
      <w:pPr>
        <w:spacing w:after="0" w:line="242" w:lineRule="auto"/>
        <w:jc w:val="both"/>
        <w:sectPr>
          <w:pgSz w:w="11910" w:h="16840"/>
          <w:pgMar w:header="882" w:footer="1172" w:top="1120" w:bottom="1380" w:left="1480" w:right="0"/>
        </w:sectPr>
      </w:pPr>
    </w:p>
    <w:p>
      <w:pPr>
        <w:pStyle w:val="BodyText"/>
        <w:spacing w:before="7"/>
        <w:ind w:left="0"/>
        <w:rPr>
          <w:sz w:val="25"/>
        </w:rPr>
      </w:pPr>
    </w:p>
    <w:p>
      <w:pPr>
        <w:pStyle w:val="BodyText"/>
        <w:spacing w:line="244" w:lineRule="auto" w:before="72"/>
        <w:ind w:right="1277"/>
      </w:pPr>
      <w:r>
        <w:rPr/>
        <w:t>根据其初始确认时摊销期限是否超过一年，以减去相关资产减值准备后的净额，分别列示为存货和其他非流动资产。 </w:t>
      </w:r>
    </w:p>
    <w:p>
      <w:pPr>
        <w:pStyle w:val="BodyText"/>
        <w:spacing w:line="265" w:lineRule="exact"/>
      </w:pPr>
      <w:r>
        <w:rPr>
          <w:w w:val="100"/>
        </w:rPr>
        <w:t> </w:t>
      </w:r>
    </w:p>
    <w:p>
      <w:pPr>
        <w:pStyle w:val="ListParagraph"/>
        <w:numPr>
          <w:ilvl w:val="0"/>
          <w:numId w:val="49"/>
        </w:numPr>
        <w:tabs>
          <w:tab w:pos="746" w:val="left" w:leader="none"/>
        </w:tabs>
        <w:spacing w:line="240" w:lineRule="auto" w:before="65" w:after="0"/>
        <w:ind w:left="745" w:right="0" w:hanging="428"/>
        <w:jc w:val="left"/>
        <w:rPr>
          <w:sz w:val="21"/>
        </w:rPr>
      </w:pPr>
      <w:r>
        <w:rPr>
          <w:sz w:val="21"/>
        </w:rPr>
        <w:t>同类业务采用不同经营模式导致收入确认会计政策存在差异的情况 </w:t>
      </w:r>
    </w:p>
    <w:p>
      <w:pPr>
        <w:pStyle w:val="BodyText"/>
        <w:spacing w:before="62"/>
      </w:pPr>
      <w:r>
        <w:rPr>
          <w:spacing w:val="-1"/>
        </w:rPr>
        <w:t>□适用 √不适用</w:t>
      </w:r>
      <w:r>
        <w:rPr>
          <w:spacing w:val="-3"/>
        </w:rPr>
        <w:t> </w:t>
      </w:r>
      <w:r>
        <w:rPr/>
        <w:t> </w:t>
      </w:r>
    </w:p>
    <w:p>
      <w:pPr>
        <w:pStyle w:val="BodyText"/>
        <w:spacing w:before="4"/>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合同成本</w:t>
      </w:r>
    </w:p>
    <w:p>
      <w:pPr>
        <w:pStyle w:val="BodyText"/>
        <w:spacing w:before="65"/>
      </w:pPr>
      <w:r>
        <w:rPr>
          <w:spacing w:val="-1"/>
        </w:rPr>
        <w:t>□适用 √不适用</w:t>
      </w:r>
      <w:r>
        <w:rPr>
          <w:spacing w:val="-3"/>
        </w:rPr>
        <w:t> </w:t>
      </w:r>
      <w:r>
        <w:rPr/>
        <w:t> </w:t>
      </w:r>
    </w:p>
    <w:p>
      <w:pPr>
        <w:pStyle w:val="BodyText"/>
        <w:spacing w:before="2"/>
      </w:pPr>
      <w:r>
        <w:rPr>
          <w:w w:val="100"/>
        </w:rPr>
        <w:t> </w:t>
      </w:r>
    </w:p>
    <w:p>
      <w:pPr>
        <w:pStyle w:val="ListParagraph"/>
        <w:numPr>
          <w:ilvl w:val="0"/>
          <w:numId w:val="36"/>
        </w:numPr>
        <w:tabs>
          <w:tab w:pos="743" w:val="left" w:leader="none"/>
        </w:tabs>
        <w:spacing w:line="240" w:lineRule="auto" w:before="65" w:after="0"/>
        <w:ind w:left="742" w:right="0" w:hanging="425"/>
        <w:jc w:val="left"/>
        <w:rPr>
          <w:sz w:val="21"/>
        </w:rPr>
      </w:pPr>
      <w:r>
        <w:rPr>
          <w:sz w:val="21"/>
        </w:rPr>
        <w:t>政府补助</w:t>
      </w:r>
    </w:p>
    <w:p>
      <w:pPr>
        <w:pStyle w:val="BodyText"/>
        <w:spacing w:before="62"/>
      </w:pPr>
      <w:r>
        <w:rPr>
          <w:spacing w:val="-1"/>
        </w:rPr>
        <w:t>√适用 □不适用</w:t>
      </w:r>
      <w:r>
        <w:rPr>
          <w:spacing w:val="-3"/>
        </w:rPr>
        <w:t> </w:t>
      </w:r>
      <w:r>
        <w:rPr/>
        <w:t> </w:t>
      </w:r>
    </w:p>
    <w:p>
      <w:pPr>
        <w:pStyle w:val="BodyText"/>
        <w:spacing w:line="242" w:lineRule="auto" w:before="4"/>
        <w:ind w:right="1277" w:firstLine="419"/>
      </w:pPr>
      <w:r>
        <w:rPr/>
        <w:t>政府补助为本集团从政府无偿取得的货币性资产或非货币性资产，包括税费返还、财政补贴等。 </w:t>
      </w:r>
    </w:p>
    <w:p>
      <w:pPr>
        <w:pStyle w:val="BodyText"/>
        <w:spacing w:before="2"/>
        <w:ind w:left="738"/>
      </w:pPr>
      <w:r>
        <w:rPr>
          <w:w w:val="100"/>
        </w:rPr>
        <w:t> </w:t>
      </w:r>
    </w:p>
    <w:p>
      <w:pPr>
        <w:pStyle w:val="BodyText"/>
        <w:spacing w:line="242" w:lineRule="auto" w:before="2"/>
        <w:ind w:right="1277" w:firstLine="419"/>
        <w:jc w:val="both"/>
      </w:pPr>
      <w:r>
        <w:rPr/>
        <w:t>政府补助在本集团能够满足其所附的条件并且能够收到时，予以确认。政府补助为货币性资产的，按照收到或应收的金额计量。政府补助为非货币性资产的，按照公允价值计量；公允价值不能可靠取得的，按照名义金额计量。 </w:t>
      </w:r>
    </w:p>
    <w:p>
      <w:pPr>
        <w:pStyle w:val="BodyText"/>
        <w:spacing w:before="3"/>
        <w:ind w:left="738"/>
      </w:pPr>
      <w:r>
        <w:rPr>
          <w:w w:val="100"/>
        </w:rPr>
        <w:t> </w:t>
      </w:r>
    </w:p>
    <w:p>
      <w:pPr>
        <w:pStyle w:val="BodyText"/>
        <w:spacing w:line="242" w:lineRule="auto" w:before="3"/>
        <w:ind w:right="1277" w:firstLine="419"/>
      </w:pPr>
      <w:r>
        <w:rPr/>
        <w:t>与资产相关的政府补助，是指本集团取得的、用于购建或以其他方式形成长期资产的政府补助。与收益相关的政府补助是指除与资产相关的政府补助之外的政府补助。 </w:t>
      </w:r>
    </w:p>
    <w:p>
      <w:pPr>
        <w:pStyle w:val="BodyText"/>
        <w:spacing w:before="1"/>
        <w:ind w:left="738"/>
      </w:pPr>
      <w:r>
        <w:rPr>
          <w:w w:val="100"/>
        </w:rPr>
        <w:t> </w:t>
      </w:r>
    </w:p>
    <w:p>
      <w:pPr>
        <w:pStyle w:val="BodyText"/>
        <w:spacing w:line="242" w:lineRule="auto" w:before="2"/>
        <w:ind w:right="1277" w:firstLine="419"/>
        <w:jc w:val="both"/>
      </w:pPr>
      <w:r>
        <w:rPr/>
        <w:t>与资产相关的政府补助，确认为递延收益并在相关资产使用寿命内按照合理、系统的方法分摊计入损益。与收益相关的政府补助，用于补偿以后期间的相关成本费用或损失的，确认为递延收益，并在确认相关成本费用或损失的期间，计入当期损益；若用于补偿已发生的相关成本费用或损失的，直接计入当期损益。本集团对同类政府补助采用相同的列报方式。 </w:t>
      </w:r>
    </w:p>
    <w:p>
      <w:pPr>
        <w:pStyle w:val="BodyText"/>
        <w:spacing w:before="3"/>
        <w:ind w:left="738"/>
      </w:pPr>
      <w:r>
        <w:rPr>
          <w:w w:val="100"/>
        </w:rPr>
        <w:t> </w:t>
      </w:r>
    </w:p>
    <w:p>
      <w:pPr>
        <w:pStyle w:val="BodyText"/>
        <w:spacing w:before="4"/>
        <w:ind w:left="738"/>
      </w:pPr>
      <w:r>
        <w:rPr>
          <w:spacing w:val="-1"/>
        </w:rPr>
        <w:t>与日常活动相关的政府补助纳入营业利润，与日常活动无关的政府补助计入营业外收支。</w:t>
      </w:r>
      <w:r>
        <w:rPr/>
        <w:t> </w:t>
      </w:r>
    </w:p>
    <w:p>
      <w:pPr>
        <w:pStyle w:val="BodyText"/>
        <w:spacing w:before="3"/>
      </w:pPr>
      <w:r>
        <w:rPr>
          <w:w w:val="100"/>
        </w:rPr>
        <w:t> </w:t>
      </w:r>
    </w:p>
    <w:p>
      <w:pPr>
        <w:pStyle w:val="ListParagraph"/>
        <w:numPr>
          <w:ilvl w:val="0"/>
          <w:numId w:val="36"/>
        </w:numPr>
        <w:tabs>
          <w:tab w:pos="743" w:val="left" w:leader="none"/>
        </w:tabs>
        <w:spacing w:line="240" w:lineRule="auto" w:before="64" w:after="0"/>
        <w:ind w:left="742" w:right="0" w:hanging="425"/>
        <w:jc w:val="left"/>
        <w:rPr>
          <w:sz w:val="21"/>
        </w:rPr>
      </w:pPr>
      <w:r>
        <w:rPr>
          <w:sz w:val="21"/>
        </w:rPr>
        <w:t>递延所得税资产</w:t>
      </w:r>
      <w:r>
        <w:rPr>
          <w:rFonts w:ascii="Calibri" w:eastAsia="Calibri"/>
          <w:b/>
          <w:sz w:val="21"/>
        </w:rPr>
        <w:t>/</w:t>
      </w:r>
      <w:r>
        <w:rPr>
          <w:sz w:val="21"/>
        </w:rPr>
        <w:t>递延所得税负债</w:t>
      </w:r>
    </w:p>
    <w:p>
      <w:pPr>
        <w:pStyle w:val="BodyText"/>
        <w:spacing w:before="62"/>
      </w:pPr>
      <w:r>
        <w:rPr>
          <w:spacing w:val="11"/>
        </w:rPr>
        <w:t>√适用 □不适用</w:t>
      </w:r>
      <w:r>
        <w:rPr>
          <w:spacing w:val="-3"/>
        </w:rPr>
        <w:t> </w:t>
      </w:r>
      <w:r>
        <w:rPr/>
        <w:t> </w:t>
      </w:r>
    </w:p>
    <w:p>
      <w:pPr>
        <w:pStyle w:val="BodyText"/>
        <w:spacing w:line="242" w:lineRule="auto" w:before="5"/>
        <w:ind w:right="1277" w:firstLine="419"/>
      </w:pPr>
      <w:r>
        <w:rPr/>
        <w:t>递延所得税资产和递延所得税负债根据资产和负债的计税基础与其账面价值的差额(暂时性差异)计算确认。对于按照税法规定能够于以后年度抵减应纳税所得额的可抵扣亏损，确认相应的递延所得税资产。对于商誉的初始确认产生的暂时性差异，不确认相应的递延所得税负债。对于既不影响会计利润也不影响应纳税所得额(或可抵扣亏损)，且初始确认的资产和负债未导致产生等额应纳税暂时性差异和可抵扣暂时性差异的非企业合并交易中产生的资产或负债的初始确认形成的暂时性差异，不确认相应的递延所得税资产和递延所得税负债。于资产负债表日，递延所得税资产和递延所得税负债，按照预期收回该资产或清偿该负债期间的适用税率计量。 </w:t>
      </w:r>
    </w:p>
    <w:p>
      <w:pPr>
        <w:pStyle w:val="BodyText"/>
        <w:spacing w:before="3"/>
        <w:ind w:left="738"/>
      </w:pPr>
      <w:r>
        <w:rPr>
          <w:w w:val="100"/>
        </w:rPr>
        <w:t> </w:t>
      </w:r>
    </w:p>
    <w:p>
      <w:pPr>
        <w:pStyle w:val="BodyText"/>
        <w:spacing w:line="242" w:lineRule="auto" w:before="5"/>
        <w:ind w:right="1277" w:firstLine="419"/>
      </w:pPr>
      <w:r>
        <w:rPr/>
        <w:t>递延所得税资产的确认以很可能取得用来抵扣可抵扣暂时性差异、可抵扣亏损和税款抵减的应纳税所得额为限。 </w:t>
      </w:r>
    </w:p>
    <w:p>
      <w:pPr>
        <w:pStyle w:val="BodyText"/>
        <w:spacing w:line="268" w:lineRule="exact"/>
        <w:ind w:left="738"/>
      </w:pPr>
      <w:r>
        <w:rPr>
          <w:w w:val="100"/>
        </w:rPr>
        <w:t> </w:t>
      </w:r>
    </w:p>
    <w:p>
      <w:pPr>
        <w:pStyle w:val="BodyText"/>
        <w:spacing w:line="242" w:lineRule="auto" w:before="5"/>
        <w:ind w:right="1277" w:firstLine="419"/>
        <w:jc w:val="both"/>
      </w:pPr>
      <w:r>
        <w:rPr/>
        <w:t>对与子公司、联营企业投资相关的应纳税暂时性差异，确认递延所得税负债，除非本集团能够控制该暂时性差异转回的时间且该暂时性差异在可预见的未来很可能不会转回。对与子公司、联营企业投资相关的可抵扣暂时性差异，当该暂时性差异在可预见的未来很可能转回且未来很可能获得用来抵扣可抵扣暂时性差异的应纳税所得额时，确认递延所得税资产。 </w:t>
      </w:r>
    </w:p>
    <w:p>
      <w:pPr>
        <w:pStyle w:val="BodyText"/>
        <w:spacing w:before="2"/>
        <w:ind w:left="738"/>
      </w:pPr>
      <w:r>
        <w:rPr>
          <w:w w:val="100"/>
        </w:rPr>
        <w:t> </w:t>
      </w:r>
    </w:p>
    <w:p>
      <w:pPr>
        <w:pStyle w:val="BodyText"/>
        <w:spacing w:before="3"/>
        <w:ind w:left="738"/>
      </w:pPr>
      <w:r>
        <w:rPr>
          <w:spacing w:val="-1"/>
        </w:rPr>
        <w:t>同时满足下列条件的递延所得税资产和递延所得税负债以抵销后的净额列示： </w:t>
      </w:r>
    </w:p>
    <w:p>
      <w:pPr>
        <w:pStyle w:val="BodyText"/>
        <w:spacing w:before="4"/>
      </w:pPr>
      <w:r>
        <w:rPr>
          <w:w w:val="100"/>
        </w:rPr>
        <w:t> </w:t>
      </w:r>
    </w:p>
    <w:p>
      <w:pPr>
        <w:spacing w:after="0"/>
        <w:sectPr>
          <w:pgSz w:w="11910" w:h="16840"/>
          <w:pgMar w:header="882" w:footer="1172" w:top="1120" w:bottom="1380" w:left="1480" w:right="0"/>
        </w:sectPr>
      </w:pPr>
    </w:p>
    <w:p>
      <w:pPr>
        <w:pStyle w:val="BodyText"/>
        <w:spacing w:before="7"/>
        <w:ind w:left="0"/>
        <w:rPr>
          <w:sz w:val="25"/>
        </w:rPr>
      </w:pPr>
    </w:p>
    <w:p>
      <w:pPr>
        <w:pStyle w:val="ListParagraph"/>
        <w:numPr>
          <w:ilvl w:val="0"/>
          <w:numId w:val="40"/>
        </w:numPr>
        <w:tabs>
          <w:tab w:pos="425" w:val="left" w:leader="none"/>
        </w:tabs>
        <w:spacing w:line="244" w:lineRule="auto" w:before="72" w:after="0"/>
        <w:ind w:left="318" w:right="1277" w:firstLine="0"/>
        <w:jc w:val="left"/>
        <w:rPr>
          <w:sz w:val="21"/>
        </w:rPr>
      </w:pPr>
      <w:r>
        <w:rPr>
          <w:sz w:val="21"/>
        </w:rPr>
        <w:t>递延所得税资产和递延所得税负债与同一税收征管部门对本集团内同一纳税主体征收的所得税相关； </w:t>
      </w:r>
    </w:p>
    <w:p>
      <w:pPr>
        <w:pStyle w:val="ListParagraph"/>
        <w:numPr>
          <w:ilvl w:val="0"/>
          <w:numId w:val="40"/>
        </w:numPr>
        <w:tabs>
          <w:tab w:pos="425" w:val="left" w:leader="none"/>
        </w:tabs>
        <w:spacing w:line="265" w:lineRule="exact" w:before="0" w:after="0"/>
        <w:ind w:left="424" w:right="0" w:hanging="107"/>
        <w:jc w:val="left"/>
        <w:rPr>
          <w:sz w:val="21"/>
        </w:rPr>
      </w:pPr>
      <w:r>
        <w:rPr>
          <w:spacing w:val="-1"/>
          <w:sz w:val="21"/>
        </w:rPr>
        <w:t>本集团内该纳税主体拥有以净额结算当期所得税资产及当期所得税负债的法定权利。</w:t>
      </w:r>
      <w:r>
        <w:rPr>
          <w:sz w:val="21"/>
        </w:rPr>
        <w:t> </w:t>
      </w:r>
    </w:p>
    <w:p>
      <w:pPr>
        <w:pStyle w:val="BodyText"/>
        <w:spacing w:before="5"/>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租赁</w:t>
      </w:r>
    </w:p>
    <w:p>
      <w:pPr>
        <w:pStyle w:val="ListParagraph"/>
        <w:numPr>
          <w:ilvl w:val="0"/>
          <w:numId w:val="51"/>
        </w:numPr>
        <w:tabs>
          <w:tab w:pos="746" w:val="left" w:leader="none"/>
        </w:tabs>
        <w:spacing w:line="240" w:lineRule="auto" w:before="64" w:after="0"/>
        <w:ind w:left="745" w:right="0" w:hanging="428"/>
        <w:jc w:val="left"/>
        <w:rPr>
          <w:sz w:val="21"/>
        </w:rPr>
      </w:pPr>
      <w:r>
        <w:rPr>
          <w:sz w:val="21"/>
        </w:rPr>
        <w:t>经营租赁的会计处理方法 </w:t>
      </w:r>
    </w:p>
    <w:p>
      <w:pPr>
        <w:pStyle w:val="BodyText"/>
        <w:spacing w:before="62"/>
      </w:pPr>
      <w:r>
        <w:rPr>
          <w:spacing w:val="11"/>
        </w:rPr>
        <w:t>√适用 □不适用</w:t>
      </w:r>
      <w:r>
        <w:rPr>
          <w:spacing w:val="-3"/>
        </w:rPr>
        <w:t> </w:t>
      </w:r>
      <w:r>
        <w:rPr/>
        <w:t> </w:t>
      </w:r>
    </w:p>
    <w:p>
      <w:pPr>
        <w:pStyle w:val="BodyText"/>
        <w:tabs>
          <w:tab w:pos="737" w:val="left" w:leader="none"/>
        </w:tabs>
        <w:spacing w:before="5"/>
      </w:pPr>
      <w:r>
        <w:rPr>
          <w:w w:val="100"/>
        </w:rPr>
        <w:t> </w:t>
      </w:r>
      <w:r>
        <w:rPr/>
        <w:tab/>
      </w:r>
      <w:r>
        <w:rPr/>
        <w:t>租赁，是指在一定期间内，出租人将资产的使用权让与承租人以获取对价的合同。 </w:t>
      </w:r>
    </w:p>
    <w:p>
      <w:pPr>
        <w:pStyle w:val="BodyText"/>
        <w:tabs>
          <w:tab w:pos="737" w:val="left" w:leader="none"/>
        </w:tabs>
        <w:spacing w:before="2"/>
      </w:pPr>
      <w:r>
        <w:rPr>
          <w:w w:val="100"/>
        </w:rPr>
        <w:t> </w:t>
      </w:r>
      <w:r>
        <w:rPr/>
        <w:tab/>
      </w:r>
      <w:r>
        <w:rPr>
          <w:w w:val="100"/>
        </w:rPr>
        <w:t> </w:t>
      </w:r>
    </w:p>
    <w:p>
      <w:pPr>
        <w:pStyle w:val="BodyText"/>
        <w:tabs>
          <w:tab w:pos="737" w:val="left" w:leader="none"/>
        </w:tabs>
        <w:spacing w:before="5"/>
      </w:pPr>
      <w:r>
        <w:rPr>
          <w:w w:val="100"/>
        </w:rPr>
        <w:t> </w:t>
      </w:r>
      <w:r>
        <w:rPr/>
        <w:tab/>
      </w:r>
      <w:r>
        <w:rPr/>
        <w:t>本集团作为承租人 </w:t>
      </w:r>
    </w:p>
    <w:p>
      <w:pPr>
        <w:pStyle w:val="BodyText"/>
        <w:spacing w:before="2"/>
      </w:pPr>
      <w:r>
        <w:rPr>
          <w:w w:val="100"/>
        </w:rPr>
        <w:t> </w:t>
      </w:r>
    </w:p>
    <w:p>
      <w:pPr>
        <w:pStyle w:val="BodyText"/>
        <w:spacing w:line="242" w:lineRule="auto" w:before="4"/>
        <w:ind w:right="1277"/>
        <w:jc w:val="both"/>
      </w:pPr>
      <w:r>
        <w:rPr>
          <w:w w:val="100"/>
        </w:rPr>
        <w:t> </w:t>
      </w:r>
      <w:r>
        <w:rPr/>
        <w:t>  </w:t>
      </w:r>
      <w:r>
        <w:rPr>
          <w:spacing w:val="-1"/>
        </w:rPr>
        <w:t> </w:t>
      </w:r>
      <w:r>
        <w:rPr/>
        <w:t>本集团于租赁期开始日确认使用权资产，并按尚未支付的租赁付款额的现值确认租赁负债。租赁付款额包括固定付款额，以及在合理确定将行使购买选择权或终止租赁选择权的情况下需支付的款项等。按销售额的一定比例确定的可变租金不纳入租赁付款额，在实际发生时计入当期损益。本集团将自资产负债表日起一年内(含一年)支付的租赁负债，列示为一年内到期的非流动负债。 </w:t>
      </w:r>
    </w:p>
    <w:p>
      <w:pPr>
        <w:pStyle w:val="BodyText"/>
        <w:spacing w:before="3"/>
      </w:pPr>
      <w:r>
        <w:rPr>
          <w:w w:val="100"/>
        </w:rPr>
        <w:t> </w:t>
      </w:r>
    </w:p>
    <w:p>
      <w:pPr>
        <w:pStyle w:val="BodyText"/>
        <w:spacing w:line="242" w:lineRule="auto" w:before="4"/>
        <w:ind w:right="1277"/>
        <w:jc w:val="both"/>
      </w:pPr>
      <w:r>
        <w:rPr>
          <w:w w:val="100"/>
        </w:rPr>
        <w:t> </w:t>
      </w:r>
      <w:r>
        <w:rPr/>
        <w:t>  </w:t>
      </w:r>
      <w:r>
        <w:rPr>
          <w:spacing w:val="-1"/>
        </w:rPr>
        <w:t> </w:t>
      </w:r>
      <w:r>
        <w:rPr/>
        <w:t>本集团的使用权资产包括租入的房屋及建筑物、机器设备及运输工具等。使用权资产按照成本进行初始计量，该成本包括租赁负债的初始计量金额、租赁期开始日或之前已支付的租赁付款额、初始直接费用等，并扣除已收到的租赁激励。本集团能够合理确定租赁期届满时取得租赁资产所有权的，在租赁资产剩余使用寿命内计提折旧；若无法合理确定租赁期届满时是否能够取得租赁资产所有权，则在租赁期与租赁资产剩余使用寿命两者孰短的期间内计提折旧。当可收回金额低于使用权资产的账面价值时，本集团将其账面价值减记至可收回金额。 </w:t>
      </w:r>
    </w:p>
    <w:p>
      <w:pPr>
        <w:pStyle w:val="BodyText"/>
        <w:spacing w:before="2"/>
        <w:jc w:val="both"/>
      </w:pPr>
      <w:r>
        <w:rPr>
          <w:w w:val="100"/>
        </w:rPr>
        <w:t> </w:t>
      </w:r>
      <w:r>
        <w:rPr/>
        <w:t>  </w:t>
      </w:r>
      <w:r>
        <w:rPr>
          <w:spacing w:val="-1"/>
        </w:rPr>
        <w:t> </w:t>
      </w:r>
      <w:r>
        <w:rPr>
          <w:w w:val="100"/>
        </w:rPr>
        <w:t> </w:t>
      </w:r>
    </w:p>
    <w:p>
      <w:pPr>
        <w:pStyle w:val="BodyText"/>
        <w:tabs>
          <w:tab w:pos="737" w:val="left" w:leader="none"/>
        </w:tabs>
        <w:spacing w:line="242" w:lineRule="auto" w:before="4"/>
        <w:ind w:right="1277"/>
      </w:pPr>
      <w:r>
        <w:rPr>
          <w:w w:val="100"/>
        </w:rPr>
        <w:t> </w:t>
      </w:r>
      <w:r>
        <w:rPr/>
        <w:tab/>
      </w:r>
      <w:r>
        <w:rPr>
          <w:spacing w:val="-7"/>
        </w:rPr>
        <w:t>对于租赁期不超过 </w:t>
      </w:r>
      <w:r>
        <w:rPr/>
        <w:t>12</w:t>
      </w:r>
      <w:r>
        <w:rPr>
          <w:spacing w:val="-8"/>
        </w:rPr>
        <w:t> 个月的短期租赁和单项资产全新时价值较低的低价值资产租赁，本集</w:t>
      </w:r>
      <w:r>
        <w:rPr/>
        <w:t>团选择不确认使用权资产和租赁负债，将相关租金支出在租赁期内各个期间按照直线法计入当期损益或相关资产成本。 </w:t>
      </w:r>
    </w:p>
    <w:p>
      <w:pPr>
        <w:pStyle w:val="BodyText"/>
        <w:tabs>
          <w:tab w:pos="737" w:val="left" w:leader="none"/>
        </w:tabs>
        <w:spacing w:before="2"/>
      </w:pPr>
      <w:r>
        <w:rPr>
          <w:w w:val="100"/>
        </w:rPr>
        <w:t> </w:t>
      </w:r>
      <w:r>
        <w:rPr/>
        <w:tab/>
      </w:r>
      <w:r>
        <w:rPr>
          <w:w w:val="100"/>
        </w:rPr>
        <w:t> </w:t>
      </w:r>
    </w:p>
    <w:p>
      <w:pPr>
        <w:pStyle w:val="BodyText"/>
        <w:spacing w:line="242" w:lineRule="auto" w:before="4"/>
        <w:ind w:right="1383"/>
        <w:jc w:val="both"/>
      </w:pPr>
      <w:r>
        <w:rPr>
          <w:w w:val="100"/>
        </w:rPr>
        <w:t> </w:t>
      </w:r>
      <w:r>
        <w:rPr/>
        <w:t>  </w:t>
      </w:r>
      <w:r>
        <w:rPr>
          <w:spacing w:val="-1"/>
        </w:rPr>
        <w:t> </w:t>
      </w:r>
      <w:r>
        <w:rPr/>
        <w:t>租赁发生变更且同时符合下列条件时，本集团将其作为一项单独租赁进行会计处理：(1)该租赁变更通过增加一项或多项租赁资产的使用权而扩大了租赁范围；(2)增加的对价与租赁范围扩大部分的单独价格按该合同情况调整后的金额相当。 </w:t>
      </w:r>
    </w:p>
    <w:p>
      <w:pPr>
        <w:pStyle w:val="BodyText"/>
        <w:spacing w:before="1"/>
        <w:jc w:val="both"/>
      </w:pPr>
      <w:r>
        <w:rPr>
          <w:w w:val="100"/>
        </w:rPr>
        <w:t> </w:t>
      </w:r>
      <w:r>
        <w:rPr/>
        <w:t>  </w:t>
      </w:r>
      <w:r>
        <w:rPr>
          <w:spacing w:val="-1"/>
        </w:rPr>
        <w:t> </w:t>
      </w:r>
      <w:r>
        <w:rPr>
          <w:w w:val="100"/>
        </w:rPr>
        <w:t> </w:t>
      </w:r>
    </w:p>
    <w:p>
      <w:pPr>
        <w:pStyle w:val="BodyText"/>
        <w:spacing w:line="242" w:lineRule="auto" w:before="4"/>
        <w:ind w:right="1277"/>
        <w:jc w:val="both"/>
      </w:pPr>
      <w:r>
        <w:rPr>
          <w:w w:val="100"/>
        </w:rPr>
        <w:t> </w:t>
      </w:r>
      <w:r>
        <w:rPr/>
        <w:t>  </w:t>
      </w:r>
      <w:r>
        <w:rPr>
          <w:spacing w:val="-1"/>
        </w:rPr>
        <w:t> </w:t>
      </w:r>
      <w:r>
        <w:rPr/>
        <w:t>当租赁变更未作为一项单独租赁进行会计处理时，除新合同变更采用简化方法外，本集团在租赁变更生效日重新确定租赁期，并采用修订后的折现率对变更后的租赁付款额进行折现，重新计量租赁负债。租赁变更导致租赁范围缩小或租赁期缩短的，本集团相应调减使用权资产的账面价值，并将部分终止或完全终止租赁的相关利得或损失计入当期损益。其他租赁变更导致租赁负债重新计量的，本集团相应调整使用权资产的账面价值。 </w:t>
      </w:r>
    </w:p>
    <w:p>
      <w:pPr>
        <w:pStyle w:val="BodyText"/>
        <w:spacing w:before="2"/>
      </w:pPr>
      <w:r>
        <w:rPr>
          <w:w w:val="100"/>
        </w:rPr>
        <w:t> </w:t>
      </w:r>
    </w:p>
    <w:p>
      <w:pPr>
        <w:pStyle w:val="BodyText"/>
        <w:tabs>
          <w:tab w:pos="737" w:val="left" w:leader="none"/>
        </w:tabs>
        <w:spacing w:line="242" w:lineRule="auto" w:before="5"/>
        <w:ind w:right="1278"/>
      </w:pPr>
      <w:r>
        <w:rPr>
          <w:w w:val="100"/>
        </w:rPr>
        <w:t> </w:t>
      </w:r>
      <w:r>
        <w:rPr/>
        <w:tab/>
      </w:r>
      <w:r>
        <w:rPr/>
        <w:t>对于由特殊原因引发的就现有租赁合同达成的租金减免，本集团选择采用简化方法，在达成协议解除原支付义务时将未折现的减免金额计入当期损益，并相应调整租赁负债。 </w:t>
      </w:r>
    </w:p>
    <w:p>
      <w:pPr>
        <w:pStyle w:val="BodyText"/>
        <w:tabs>
          <w:tab w:pos="737" w:val="left" w:leader="none"/>
        </w:tabs>
        <w:spacing w:line="269" w:lineRule="exact"/>
      </w:pPr>
      <w:r>
        <w:rPr>
          <w:w w:val="100"/>
        </w:rPr>
        <w:t> </w:t>
      </w:r>
      <w:r>
        <w:rPr/>
        <w:tab/>
      </w:r>
      <w:r>
        <w:rPr>
          <w:w w:val="100"/>
        </w:rPr>
        <w:t> </w:t>
      </w:r>
    </w:p>
    <w:p>
      <w:pPr>
        <w:pStyle w:val="BodyText"/>
        <w:tabs>
          <w:tab w:pos="737" w:val="left" w:leader="none"/>
        </w:tabs>
        <w:spacing w:before="4"/>
      </w:pPr>
      <w:r>
        <w:rPr>
          <w:w w:val="100"/>
        </w:rPr>
        <w:t> </w:t>
      </w:r>
      <w:r>
        <w:rPr/>
        <w:tab/>
      </w:r>
      <w:r>
        <w:rPr/>
        <w:t>本集团作为出租人 </w:t>
      </w:r>
    </w:p>
    <w:p>
      <w:pPr>
        <w:pStyle w:val="BodyText"/>
        <w:tabs>
          <w:tab w:pos="737" w:val="left" w:leader="none"/>
        </w:tabs>
        <w:spacing w:before="3"/>
      </w:pPr>
      <w:r>
        <w:rPr>
          <w:w w:val="100"/>
        </w:rPr>
        <w:t> </w:t>
      </w:r>
      <w:r>
        <w:rPr/>
        <w:tab/>
      </w:r>
      <w:r>
        <w:rPr>
          <w:w w:val="100"/>
        </w:rPr>
        <w:t> </w:t>
      </w:r>
    </w:p>
    <w:p>
      <w:pPr>
        <w:pStyle w:val="BodyText"/>
        <w:tabs>
          <w:tab w:pos="737" w:val="left" w:leader="none"/>
        </w:tabs>
        <w:spacing w:line="242" w:lineRule="auto" w:before="4"/>
        <w:ind w:right="1277"/>
      </w:pPr>
      <w:r>
        <w:rPr>
          <w:w w:val="100"/>
        </w:rPr>
        <w:t> </w:t>
      </w:r>
      <w:r>
        <w:rPr/>
        <w:tab/>
      </w:r>
      <w:r>
        <w:rPr/>
        <w:t>实质上转移了与租赁资产所有权有关的几乎全部风险和报酬的租赁为融资租赁。其他的租赁为经营租赁。 </w:t>
      </w:r>
    </w:p>
    <w:p>
      <w:pPr>
        <w:pStyle w:val="BodyText"/>
        <w:tabs>
          <w:tab w:pos="737" w:val="left" w:leader="none"/>
        </w:tabs>
        <w:spacing w:before="1"/>
      </w:pPr>
      <w:r>
        <w:rPr>
          <w:w w:val="100"/>
        </w:rPr>
        <w:t> </w:t>
      </w:r>
      <w:r>
        <w:rPr/>
        <w:tab/>
      </w:r>
      <w:r>
        <w:rPr>
          <w:w w:val="100"/>
        </w:rPr>
        <w:t> </w:t>
      </w:r>
    </w:p>
    <w:p>
      <w:pPr>
        <w:pStyle w:val="ListParagraph"/>
        <w:numPr>
          <w:ilvl w:val="0"/>
          <w:numId w:val="52"/>
        </w:numPr>
        <w:tabs>
          <w:tab w:pos="636" w:val="left" w:leader="none"/>
        </w:tabs>
        <w:spacing w:line="240" w:lineRule="auto" w:before="3" w:after="0"/>
        <w:ind w:left="635" w:right="0" w:hanging="318"/>
        <w:jc w:val="left"/>
        <w:rPr>
          <w:sz w:val="21"/>
        </w:rPr>
      </w:pPr>
      <w:r>
        <w:rPr>
          <w:spacing w:val="-1"/>
          <w:sz w:val="21"/>
        </w:rPr>
        <w:t>经营租赁</w:t>
      </w:r>
      <w:r>
        <w:rPr>
          <w:sz w:val="21"/>
        </w:rPr>
        <w:t> </w:t>
      </w:r>
    </w:p>
    <w:p>
      <w:pPr>
        <w:pStyle w:val="BodyText"/>
        <w:tabs>
          <w:tab w:pos="737" w:val="left" w:leader="none"/>
        </w:tabs>
        <w:spacing w:before="4"/>
      </w:pPr>
      <w:r>
        <w:rPr>
          <w:w w:val="100"/>
        </w:rPr>
        <w:t> </w:t>
      </w:r>
      <w:r>
        <w:rPr/>
        <w:tab/>
      </w:r>
      <w:r>
        <w:rPr>
          <w:w w:val="100"/>
        </w:rPr>
        <w:t> </w:t>
      </w:r>
    </w:p>
    <w:p>
      <w:pPr>
        <w:pStyle w:val="BodyText"/>
        <w:tabs>
          <w:tab w:pos="737" w:val="left" w:leader="none"/>
        </w:tabs>
        <w:spacing w:line="244" w:lineRule="auto" w:before="2"/>
        <w:ind w:right="1174"/>
      </w:pPr>
      <w:r>
        <w:rPr>
          <w:w w:val="100"/>
        </w:rPr>
        <w:t> </w:t>
      </w:r>
      <w:r>
        <w:rPr/>
        <w:tab/>
      </w:r>
      <w:r>
        <w:rPr/>
        <w:t>本集团经营租出自有的房屋建筑物、机器设备及运输工具时，经营租赁的租金收入在租赁期内按照直线法确认。本集团将按销售额的一定比例确定的可变租金在实际发生时计入租金收入。 </w:t>
      </w:r>
    </w:p>
    <w:p>
      <w:pPr>
        <w:spacing w:after="0" w:line="244" w:lineRule="auto"/>
        <w:sectPr>
          <w:pgSz w:w="11910" w:h="16840"/>
          <w:pgMar w:header="882" w:footer="1172" w:top="1120" w:bottom="1380" w:left="1480" w:right="0"/>
        </w:sectPr>
      </w:pPr>
    </w:p>
    <w:p>
      <w:pPr>
        <w:pStyle w:val="BodyText"/>
        <w:spacing w:before="7"/>
        <w:ind w:left="0"/>
        <w:rPr>
          <w:sz w:val="25"/>
        </w:rPr>
      </w:pPr>
    </w:p>
    <w:p>
      <w:pPr>
        <w:pStyle w:val="BodyText"/>
        <w:tabs>
          <w:tab w:pos="737" w:val="left" w:leader="none"/>
        </w:tabs>
        <w:spacing w:before="72"/>
      </w:pPr>
      <w:r>
        <w:rPr>
          <w:w w:val="100"/>
        </w:rPr>
        <w:t> </w:t>
      </w:r>
      <w:r>
        <w:rPr/>
        <w:tab/>
      </w:r>
      <w:r>
        <w:rPr>
          <w:w w:val="100"/>
        </w:rPr>
        <w:t> </w:t>
      </w:r>
    </w:p>
    <w:p>
      <w:pPr>
        <w:pStyle w:val="BodyText"/>
        <w:tabs>
          <w:tab w:pos="737" w:val="left" w:leader="none"/>
        </w:tabs>
        <w:spacing w:line="242" w:lineRule="auto" w:before="5"/>
        <w:ind w:right="1278"/>
      </w:pPr>
      <w:r>
        <w:rPr>
          <w:w w:val="100"/>
        </w:rPr>
        <w:t> </w:t>
      </w:r>
      <w:r>
        <w:rPr/>
        <w:tab/>
      </w:r>
      <w:r>
        <w:rPr/>
        <w:t>对于由特殊原因引发的现有租赁合同达成的租金减免，本集团选择采用简化方法，将减免的租金作为可变租金，在减免期间将减免金额计入当期损益。 </w:t>
      </w:r>
    </w:p>
    <w:p>
      <w:pPr>
        <w:pStyle w:val="BodyText"/>
        <w:tabs>
          <w:tab w:pos="737" w:val="left" w:leader="none"/>
        </w:tabs>
        <w:spacing w:before="1"/>
      </w:pPr>
      <w:r>
        <w:rPr>
          <w:w w:val="100"/>
        </w:rPr>
        <w:t> </w:t>
      </w:r>
      <w:r>
        <w:rPr/>
        <w:tab/>
      </w:r>
      <w:r>
        <w:rPr>
          <w:w w:val="100"/>
        </w:rPr>
        <w:t> </w:t>
      </w:r>
    </w:p>
    <w:p>
      <w:pPr>
        <w:pStyle w:val="BodyText"/>
        <w:tabs>
          <w:tab w:pos="737" w:val="left" w:leader="none"/>
        </w:tabs>
        <w:spacing w:line="244" w:lineRule="auto" w:before="2"/>
        <w:ind w:right="1174"/>
      </w:pPr>
      <w:r>
        <w:rPr>
          <w:w w:val="100"/>
        </w:rPr>
        <w:t> </w:t>
      </w:r>
      <w:r>
        <w:rPr/>
        <w:tab/>
      </w:r>
      <w:r>
        <w:rPr/>
        <w:t>除特殊原因直接引发的合同变更采用简化方法外，当租赁发生变更时，本集团自变更生效日起将其作为一项新租赁，并将与变更前租赁有关的预收或应收租赁收款额作为新租赁的收款额。 </w:t>
      </w:r>
    </w:p>
    <w:p>
      <w:pPr>
        <w:pStyle w:val="BodyText"/>
        <w:tabs>
          <w:tab w:pos="737" w:val="left" w:leader="none"/>
        </w:tabs>
        <w:spacing w:line="265" w:lineRule="exact"/>
      </w:pPr>
      <w:r>
        <w:rPr>
          <w:w w:val="100"/>
        </w:rPr>
        <w:t> </w:t>
      </w:r>
      <w:r>
        <w:rPr/>
        <w:tab/>
      </w:r>
      <w:r>
        <w:rPr>
          <w:w w:val="100"/>
        </w:rPr>
        <w:t> </w:t>
      </w:r>
    </w:p>
    <w:p>
      <w:pPr>
        <w:pStyle w:val="ListParagraph"/>
        <w:numPr>
          <w:ilvl w:val="0"/>
          <w:numId w:val="52"/>
        </w:numPr>
        <w:tabs>
          <w:tab w:pos="636" w:val="left" w:leader="none"/>
        </w:tabs>
        <w:spacing w:line="240" w:lineRule="auto" w:before="5" w:after="0"/>
        <w:ind w:left="635" w:right="0" w:hanging="318"/>
        <w:jc w:val="left"/>
        <w:rPr>
          <w:sz w:val="21"/>
        </w:rPr>
      </w:pPr>
      <w:r>
        <w:rPr>
          <w:spacing w:val="-1"/>
          <w:sz w:val="21"/>
        </w:rPr>
        <w:t>融资租赁</w:t>
      </w:r>
      <w:r>
        <w:rPr>
          <w:sz w:val="21"/>
        </w:rPr>
        <w:t> </w:t>
      </w:r>
    </w:p>
    <w:p>
      <w:pPr>
        <w:pStyle w:val="BodyText"/>
        <w:tabs>
          <w:tab w:pos="737" w:val="left" w:leader="none"/>
        </w:tabs>
        <w:spacing w:before="2"/>
      </w:pPr>
      <w:r>
        <w:rPr>
          <w:w w:val="100"/>
        </w:rPr>
        <w:t> </w:t>
      </w:r>
      <w:r>
        <w:rPr/>
        <w:tab/>
      </w:r>
      <w:r>
        <w:rPr>
          <w:w w:val="100"/>
        </w:rPr>
        <w:t> </w:t>
      </w:r>
    </w:p>
    <w:p>
      <w:pPr>
        <w:pStyle w:val="BodyText"/>
        <w:spacing w:line="242" w:lineRule="auto" w:before="5"/>
        <w:ind w:right="1277"/>
        <w:jc w:val="both"/>
      </w:pPr>
      <w:r>
        <w:rPr>
          <w:w w:val="100"/>
        </w:rPr>
        <w:t> </w:t>
      </w:r>
      <w:r>
        <w:rPr/>
        <w:t>  </w:t>
      </w:r>
      <w:r>
        <w:rPr>
          <w:spacing w:val="-1"/>
        </w:rPr>
        <w:t> </w:t>
      </w:r>
      <w:r>
        <w:rPr/>
        <w:t>于租赁期开始日，本集团对融资租赁确认应收融资租赁款，并终止确认相关资产。本集团将应收融资租赁款列示为长期应收款，自资产负债表日起一年内(含一年)收取的应收融资租赁款列示为一年内到期的非流动资产。 </w:t>
      </w:r>
    </w:p>
    <w:p>
      <w:pPr>
        <w:pStyle w:val="BodyText"/>
      </w:pPr>
      <w:r>
        <w:rPr>
          <w:w w:val="100"/>
        </w:rPr>
        <w:t> </w:t>
      </w:r>
    </w:p>
    <w:p>
      <w:pPr>
        <w:pStyle w:val="BodyText"/>
        <w:spacing w:before="5"/>
      </w:pPr>
      <w:r>
        <w:rPr>
          <w:w w:val="100"/>
        </w:rPr>
        <w:t> </w:t>
      </w:r>
    </w:p>
    <w:p>
      <w:pPr>
        <w:pStyle w:val="BodyText"/>
        <w:spacing w:before="3"/>
      </w:pPr>
      <w:r>
        <w:rPr>
          <w:w w:val="100"/>
        </w:rPr>
        <w:t> </w:t>
      </w:r>
    </w:p>
    <w:p>
      <w:pPr>
        <w:pStyle w:val="ListParagraph"/>
        <w:numPr>
          <w:ilvl w:val="0"/>
          <w:numId w:val="51"/>
        </w:numPr>
        <w:tabs>
          <w:tab w:pos="746" w:val="left" w:leader="none"/>
        </w:tabs>
        <w:spacing w:line="240" w:lineRule="auto" w:before="64" w:after="0"/>
        <w:ind w:left="745" w:right="0" w:hanging="428"/>
        <w:jc w:val="left"/>
        <w:rPr>
          <w:sz w:val="21"/>
        </w:rPr>
      </w:pPr>
      <w:r>
        <w:rPr>
          <w:sz w:val="21"/>
        </w:rPr>
        <w:t>融资租赁的会计处理方法 </w:t>
      </w:r>
    </w:p>
    <w:p>
      <w:pPr>
        <w:pStyle w:val="BodyText"/>
        <w:spacing w:before="62"/>
      </w:pPr>
      <w:r>
        <w:rPr>
          <w:spacing w:val="11"/>
        </w:rPr>
        <w:t>√适用 □不适用</w:t>
      </w:r>
      <w:r>
        <w:rPr>
          <w:spacing w:val="-3"/>
        </w:rPr>
        <w:t> </w:t>
      </w:r>
      <w:r>
        <w:rPr/>
        <w:t> </w:t>
      </w:r>
    </w:p>
    <w:p>
      <w:pPr>
        <w:pStyle w:val="BodyText"/>
        <w:spacing w:line="242" w:lineRule="auto" w:before="5"/>
        <w:ind w:right="1277"/>
        <w:jc w:val="both"/>
      </w:pPr>
      <w:r>
        <w:rPr/>
        <w:t>于租赁期开始日，本集团对融资租赁确认应收融资租赁款，并终止确认相关资产。本集团将应收融资租赁款列示为长期应收款，自资产负债表日起一年内(含一年)收取的应收融资租赁款列示为一年内到期的非流动资产。 </w:t>
      </w:r>
    </w:p>
    <w:p>
      <w:pPr>
        <w:pStyle w:val="BodyText"/>
        <w:spacing w:before="1"/>
      </w:pPr>
      <w:r>
        <w:rPr>
          <w:w w:val="100"/>
        </w:rPr>
        <w:t> </w:t>
      </w:r>
    </w:p>
    <w:p>
      <w:pPr>
        <w:pStyle w:val="ListParagraph"/>
        <w:numPr>
          <w:ilvl w:val="0"/>
          <w:numId w:val="51"/>
        </w:numPr>
        <w:tabs>
          <w:tab w:pos="746" w:val="left" w:leader="none"/>
        </w:tabs>
        <w:spacing w:line="240" w:lineRule="auto" w:before="62" w:after="0"/>
        <w:ind w:left="745" w:right="0" w:hanging="428"/>
        <w:jc w:val="left"/>
        <w:rPr>
          <w:sz w:val="21"/>
        </w:rPr>
      </w:pPr>
      <w:r>
        <w:rPr>
          <w:sz w:val="21"/>
        </w:rPr>
        <w:t>新租赁准则下租赁的确定方法及会计处理方法 </w:t>
      </w:r>
    </w:p>
    <w:p>
      <w:pPr>
        <w:pStyle w:val="BodyText"/>
        <w:spacing w:before="64"/>
      </w:pPr>
      <w:r>
        <w:rPr>
          <w:spacing w:val="-1"/>
        </w:rPr>
        <w:t>□适用 √不适用</w:t>
      </w:r>
      <w:r>
        <w:rPr>
          <w:spacing w:val="-3"/>
        </w:rPr>
        <w:t> </w:t>
      </w:r>
      <w:r>
        <w:rPr/>
        <w:t> </w:t>
      </w:r>
    </w:p>
    <w:p>
      <w:pPr>
        <w:pStyle w:val="BodyText"/>
        <w:spacing w:before="2"/>
      </w:pPr>
      <w:r>
        <w:rPr>
          <w:w w:val="100"/>
        </w:rPr>
        <w:t> </w:t>
      </w:r>
    </w:p>
    <w:p>
      <w:pPr>
        <w:pStyle w:val="ListParagraph"/>
        <w:numPr>
          <w:ilvl w:val="0"/>
          <w:numId w:val="36"/>
        </w:numPr>
        <w:tabs>
          <w:tab w:pos="743" w:val="left" w:leader="none"/>
        </w:tabs>
        <w:spacing w:line="240" w:lineRule="auto" w:before="65" w:after="0"/>
        <w:ind w:left="742" w:right="0" w:hanging="425"/>
        <w:jc w:val="left"/>
        <w:rPr>
          <w:sz w:val="21"/>
        </w:rPr>
      </w:pPr>
      <w:r>
        <w:rPr>
          <w:sz w:val="21"/>
        </w:rPr>
        <w:t>其他重要的会计政策和会计估计</w:t>
      </w:r>
    </w:p>
    <w:p>
      <w:pPr>
        <w:pStyle w:val="BodyText"/>
        <w:spacing w:before="62"/>
      </w:pPr>
      <w:r>
        <w:rPr>
          <w:spacing w:val="11"/>
        </w:rPr>
        <w:t>√适用 □不适用</w:t>
      </w:r>
      <w:r>
        <w:rPr>
          <w:spacing w:val="-3"/>
        </w:rPr>
        <w:t> </w:t>
      </w:r>
      <w:r>
        <w:rPr/>
        <w:t> </w:t>
      </w:r>
    </w:p>
    <w:p>
      <w:pPr>
        <w:pStyle w:val="BodyText"/>
        <w:tabs>
          <w:tab w:pos="737" w:val="left" w:leader="none"/>
        </w:tabs>
        <w:spacing w:line="242" w:lineRule="auto" w:before="5"/>
        <w:ind w:right="1277"/>
      </w:pPr>
      <w:r>
        <w:rPr>
          <w:w w:val="100"/>
        </w:rPr>
        <w:t> </w:t>
      </w:r>
      <w:r>
        <w:rPr/>
        <w:tab/>
      </w:r>
      <w:r>
        <w:rPr/>
        <w:t>本集团根据历史经验和其他因素，包括对未来事项的合理预期，对所采用的重要会计估计和关键判断进行持续的评价。 </w:t>
      </w:r>
    </w:p>
    <w:p>
      <w:pPr>
        <w:pStyle w:val="BodyText"/>
        <w:tabs>
          <w:tab w:pos="737" w:val="left" w:leader="none"/>
        </w:tabs>
        <w:spacing w:before="1"/>
      </w:pPr>
      <w:r>
        <w:rPr>
          <w:w w:val="100"/>
        </w:rPr>
        <w:t> </w:t>
      </w:r>
      <w:r>
        <w:rPr/>
        <w:tab/>
      </w:r>
      <w:r>
        <w:rPr>
          <w:w w:val="100"/>
        </w:rPr>
        <w:t> </w:t>
      </w:r>
    </w:p>
    <w:p>
      <w:pPr>
        <w:pStyle w:val="ListParagraph"/>
        <w:numPr>
          <w:ilvl w:val="0"/>
          <w:numId w:val="53"/>
        </w:numPr>
        <w:tabs>
          <w:tab w:pos="636" w:val="left" w:leader="none"/>
        </w:tabs>
        <w:spacing w:line="240" w:lineRule="auto" w:before="2" w:after="0"/>
        <w:ind w:left="635" w:right="0" w:hanging="318"/>
        <w:jc w:val="left"/>
        <w:rPr>
          <w:sz w:val="21"/>
        </w:rPr>
      </w:pPr>
      <w:r>
        <w:rPr>
          <w:spacing w:val="-1"/>
          <w:sz w:val="21"/>
        </w:rPr>
        <w:t>采用会计政策的关键判断</w:t>
      </w:r>
      <w:r>
        <w:rPr>
          <w:sz w:val="21"/>
        </w:rPr>
        <w:t> </w:t>
      </w:r>
    </w:p>
    <w:p>
      <w:pPr>
        <w:pStyle w:val="BodyText"/>
        <w:tabs>
          <w:tab w:pos="737" w:val="left" w:leader="none"/>
        </w:tabs>
        <w:spacing w:before="5"/>
      </w:pPr>
      <w:r>
        <w:rPr>
          <w:w w:val="100"/>
        </w:rPr>
        <w:t> </w:t>
      </w:r>
      <w:r>
        <w:rPr/>
        <w:tab/>
      </w:r>
      <w:r>
        <w:rPr>
          <w:w w:val="100"/>
        </w:rPr>
        <w:t> </w:t>
      </w:r>
    </w:p>
    <w:p>
      <w:pPr>
        <w:pStyle w:val="ListParagraph"/>
        <w:numPr>
          <w:ilvl w:val="0"/>
          <w:numId w:val="54"/>
        </w:numPr>
        <w:tabs>
          <w:tab w:pos="636" w:val="left" w:leader="none"/>
        </w:tabs>
        <w:spacing w:line="240" w:lineRule="auto" w:before="2" w:after="0"/>
        <w:ind w:left="635" w:right="0" w:hanging="318"/>
        <w:jc w:val="left"/>
        <w:rPr>
          <w:sz w:val="21"/>
        </w:rPr>
      </w:pPr>
      <w:r>
        <w:rPr>
          <w:spacing w:val="-1"/>
          <w:sz w:val="21"/>
        </w:rPr>
        <w:t>金融资产的分类</w:t>
      </w:r>
      <w:r>
        <w:rPr>
          <w:sz w:val="21"/>
        </w:rPr>
        <w:t> </w:t>
      </w:r>
    </w:p>
    <w:p>
      <w:pPr>
        <w:pStyle w:val="BodyText"/>
        <w:tabs>
          <w:tab w:pos="737" w:val="left" w:leader="none"/>
        </w:tabs>
        <w:spacing w:before="5"/>
      </w:pPr>
      <w:r>
        <w:rPr>
          <w:w w:val="100"/>
        </w:rPr>
        <w:t> </w:t>
      </w:r>
      <w:r>
        <w:rPr/>
        <w:tab/>
      </w:r>
      <w:r>
        <w:rPr>
          <w:w w:val="100"/>
        </w:rPr>
        <w:t> </w:t>
      </w:r>
    </w:p>
    <w:p>
      <w:pPr>
        <w:pStyle w:val="BodyText"/>
        <w:tabs>
          <w:tab w:pos="737" w:val="left" w:leader="none"/>
        </w:tabs>
        <w:spacing w:line="244" w:lineRule="auto" w:before="2"/>
        <w:ind w:right="1489"/>
      </w:pPr>
      <w:r>
        <w:rPr>
          <w:w w:val="100"/>
        </w:rPr>
        <w:t> </w:t>
      </w:r>
      <w:r>
        <w:rPr/>
        <w:tab/>
      </w:r>
      <w:r>
        <w:rPr/>
        <w:t>本集团在确定金融资产的分类时涉及的重大判断包括业务模式及合同现金流量特征的分析等。 </w:t>
      </w:r>
    </w:p>
    <w:p>
      <w:pPr>
        <w:pStyle w:val="BodyText"/>
        <w:tabs>
          <w:tab w:pos="737" w:val="left" w:leader="none"/>
        </w:tabs>
        <w:spacing w:line="265" w:lineRule="exact"/>
      </w:pPr>
      <w:r>
        <w:rPr>
          <w:w w:val="100"/>
        </w:rPr>
        <w:t> </w:t>
      </w:r>
      <w:r>
        <w:rPr/>
        <w:tab/>
      </w:r>
      <w:r>
        <w:rPr>
          <w:w w:val="100"/>
        </w:rPr>
        <w:t> </w:t>
      </w:r>
    </w:p>
    <w:p>
      <w:pPr>
        <w:pStyle w:val="BodyText"/>
        <w:spacing w:line="242" w:lineRule="auto" w:before="4"/>
        <w:ind w:right="1277"/>
        <w:jc w:val="both"/>
      </w:pPr>
      <w:r>
        <w:rPr>
          <w:w w:val="100"/>
        </w:rPr>
        <w:t> </w:t>
      </w:r>
      <w:r>
        <w:rPr/>
        <w:t>  </w:t>
      </w:r>
      <w:r>
        <w:rPr>
          <w:spacing w:val="-1"/>
        </w:rPr>
        <w:t> </w:t>
      </w:r>
      <w:r>
        <w:rPr/>
        <w:t>本集团在金融资产组合的层次上确定管理金融资产的业务模式，考虑的因素包括评价和向关键管理人员报告金融资产业绩的方式、影响金融资产业绩的风险及其管理方式、以及相关业务管理人员获得报酬的方式等。 </w:t>
      </w:r>
    </w:p>
    <w:p>
      <w:pPr>
        <w:pStyle w:val="BodyText"/>
        <w:spacing w:before="2"/>
        <w:jc w:val="both"/>
      </w:pPr>
      <w:r>
        <w:rPr>
          <w:w w:val="100"/>
        </w:rPr>
        <w:t> </w:t>
      </w:r>
      <w:r>
        <w:rPr/>
        <w:t>  </w:t>
      </w:r>
      <w:r>
        <w:rPr>
          <w:spacing w:val="-1"/>
        </w:rPr>
        <w:t> </w:t>
      </w:r>
      <w:r>
        <w:rPr>
          <w:w w:val="100"/>
        </w:rPr>
        <w:t> </w:t>
      </w:r>
    </w:p>
    <w:p>
      <w:pPr>
        <w:pStyle w:val="BodyText"/>
        <w:spacing w:line="242" w:lineRule="auto" w:before="2"/>
        <w:ind w:right="1277"/>
        <w:jc w:val="both"/>
      </w:pPr>
      <w:r>
        <w:rPr>
          <w:w w:val="100"/>
        </w:rPr>
        <w:t> </w:t>
      </w:r>
      <w:r>
        <w:rPr/>
        <w:t>  </w:t>
      </w:r>
      <w:r>
        <w:rPr>
          <w:spacing w:val="-1"/>
        </w:rPr>
        <w:t> </w:t>
      </w:r>
      <w:r>
        <w:rPr/>
        <w:t>本集团在评估金融资产的合同现金流量是否与基本借贷安排相一致时，存在以下主要判断：</w:t>
      </w:r>
      <w:r>
        <w:rPr>
          <w:spacing w:val="-103"/>
        </w:rPr>
        <w:t> </w:t>
      </w:r>
      <w:r>
        <w:rPr/>
        <w:t>本金是否可能因提前还款等原因导致在存续期内的时间分布或者金额发生变动；利息是否仅包括货币时间价值、信用风险、其他基本借贷风险以及成本和利润的对价。例如，提前偿付的金额是否仅反映了尚未支付的本金及以未偿付本金为基础的利息，以及因提前终止合同而支付的合理补偿。 </w:t>
      </w:r>
    </w:p>
    <w:p>
      <w:pPr>
        <w:pStyle w:val="BodyText"/>
        <w:tabs>
          <w:tab w:pos="737" w:val="left" w:leader="none"/>
        </w:tabs>
        <w:spacing w:before="4"/>
      </w:pPr>
      <w:r>
        <w:rPr>
          <w:w w:val="100"/>
        </w:rPr>
        <w:t> </w:t>
      </w:r>
      <w:r>
        <w:rPr/>
        <w:tab/>
      </w:r>
      <w:r>
        <w:rPr>
          <w:w w:val="100"/>
        </w:rPr>
        <w:t> </w:t>
      </w:r>
    </w:p>
    <w:p>
      <w:pPr>
        <w:pStyle w:val="ListParagraph"/>
        <w:numPr>
          <w:ilvl w:val="0"/>
          <w:numId w:val="54"/>
        </w:numPr>
        <w:tabs>
          <w:tab w:pos="742" w:val="left" w:leader="none"/>
        </w:tabs>
        <w:spacing w:line="240" w:lineRule="auto" w:before="2" w:after="0"/>
        <w:ind w:left="741" w:right="0" w:hanging="424"/>
        <w:jc w:val="left"/>
        <w:rPr>
          <w:sz w:val="21"/>
        </w:rPr>
      </w:pPr>
      <w:r>
        <w:rPr>
          <w:sz w:val="21"/>
        </w:rPr>
        <w:t>信用风险显著增加和已发生信用减值的判断 </w:t>
      </w:r>
    </w:p>
    <w:p>
      <w:pPr>
        <w:pStyle w:val="BodyText"/>
        <w:tabs>
          <w:tab w:pos="737" w:val="left" w:leader="none"/>
        </w:tabs>
        <w:spacing w:before="5"/>
      </w:pPr>
      <w:r>
        <w:rPr>
          <w:w w:val="100"/>
        </w:rPr>
        <w:t> </w:t>
      </w:r>
      <w:r>
        <w:rPr/>
        <w:tab/>
      </w:r>
      <w:r>
        <w:rPr>
          <w:w w:val="100"/>
        </w:rPr>
        <w:t> </w:t>
      </w:r>
    </w:p>
    <w:p>
      <w:pPr>
        <w:spacing w:after="0"/>
        <w:sectPr>
          <w:pgSz w:w="11910" w:h="16840"/>
          <w:pgMar w:header="882" w:footer="1172" w:top="1120" w:bottom="1380" w:left="1480" w:right="0"/>
        </w:sectPr>
      </w:pPr>
    </w:p>
    <w:p>
      <w:pPr>
        <w:pStyle w:val="BodyText"/>
        <w:spacing w:before="7"/>
        <w:ind w:left="0"/>
        <w:rPr>
          <w:sz w:val="25"/>
        </w:rPr>
      </w:pPr>
    </w:p>
    <w:p>
      <w:pPr>
        <w:pStyle w:val="BodyText"/>
        <w:tabs>
          <w:tab w:pos="737" w:val="left" w:leader="none"/>
        </w:tabs>
        <w:spacing w:line="244" w:lineRule="auto" w:before="72"/>
        <w:ind w:right="1277"/>
      </w:pPr>
      <w:r>
        <w:rPr>
          <w:w w:val="100"/>
        </w:rPr>
        <w:t> </w:t>
      </w:r>
      <w:r>
        <w:rPr/>
        <w:tab/>
      </w:r>
      <w:r>
        <w:rPr/>
        <w:t>本集团在区分金融工具所处的不同阶段时，对信用风险显著增加和已发生信用减值的判断如下： </w:t>
      </w:r>
    </w:p>
    <w:p>
      <w:pPr>
        <w:pStyle w:val="BodyText"/>
        <w:tabs>
          <w:tab w:pos="737" w:val="left" w:leader="none"/>
        </w:tabs>
        <w:spacing w:line="265" w:lineRule="exact"/>
      </w:pPr>
      <w:r>
        <w:rPr>
          <w:w w:val="100"/>
        </w:rPr>
        <w:t> </w:t>
      </w:r>
      <w:r>
        <w:rPr/>
        <w:tab/>
      </w:r>
      <w:r>
        <w:rPr>
          <w:w w:val="100"/>
        </w:rPr>
        <w:t> </w:t>
      </w:r>
    </w:p>
    <w:p>
      <w:pPr>
        <w:pStyle w:val="BodyText"/>
        <w:tabs>
          <w:tab w:pos="737" w:val="left" w:leader="none"/>
        </w:tabs>
        <w:spacing w:line="242" w:lineRule="auto" w:before="5"/>
        <w:ind w:right="1277"/>
      </w:pPr>
      <w:r>
        <w:rPr>
          <w:w w:val="100"/>
        </w:rPr>
        <w:t> </w:t>
      </w:r>
      <w:r>
        <w:rPr/>
        <w:tab/>
      </w:r>
      <w:r>
        <w:rPr>
          <w:spacing w:val="-3"/>
        </w:rPr>
        <w:t>本集团判断信用风险显著增加的主要标准为逾期天数超过 </w:t>
      </w:r>
      <w:r>
        <w:rPr/>
        <w:t>30</w:t>
      </w:r>
      <w:r>
        <w:rPr>
          <w:spacing w:val="-8"/>
        </w:rPr>
        <w:t> 日，或者以下一个或多个指标</w:t>
      </w:r>
      <w:r>
        <w:rPr/>
        <w:t>发生显著变化：债务人所处的经营环境、内外部信用评级、实际或预期经营成果的显著变化、担保物价值或担保方信用评级的显著下降从而将影响违约概率等。 </w:t>
      </w:r>
    </w:p>
    <w:p>
      <w:pPr>
        <w:pStyle w:val="BodyText"/>
        <w:tabs>
          <w:tab w:pos="737" w:val="left" w:leader="none"/>
        </w:tabs>
      </w:pPr>
      <w:r>
        <w:rPr>
          <w:w w:val="100"/>
        </w:rPr>
        <w:t> </w:t>
      </w:r>
      <w:r>
        <w:rPr/>
        <w:tab/>
      </w:r>
      <w:r>
        <w:rPr>
          <w:w w:val="100"/>
        </w:rPr>
        <w:t> </w:t>
      </w:r>
    </w:p>
    <w:p>
      <w:pPr>
        <w:pStyle w:val="BodyText"/>
        <w:tabs>
          <w:tab w:pos="737" w:val="left" w:leader="none"/>
        </w:tabs>
        <w:spacing w:line="242" w:lineRule="auto" w:before="5"/>
        <w:ind w:right="1383"/>
      </w:pPr>
      <w:r>
        <w:rPr>
          <w:w w:val="100"/>
        </w:rPr>
        <w:t> </w:t>
      </w:r>
      <w:r>
        <w:rPr/>
        <w:tab/>
      </w:r>
      <w:r>
        <w:rPr>
          <w:spacing w:val="-4"/>
        </w:rPr>
        <w:t>本集团判断已发生信用减值的主要标准为逾期天数超过 </w:t>
      </w:r>
      <w:r>
        <w:rPr/>
        <w:t>90</w:t>
      </w:r>
      <w:r>
        <w:rPr>
          <w:spacing w:val="-8"/>
        </w:rPr>
        <w:t> 日(即，已发生违约)，或者符合</w:t>
      </w:r>
      <w:r>
        <w:rPr/>
        <w:t>以下一个或多个条件：债务人发生重大财务困难，进行其他债务重组或很可能破产等。 </w:t>
      </w:r>
    </w:p>
    <w:p>
      <w:pPr>
        <w:pStyle w:val="BodyText"/>
        <w:spacing w:before="1"/>
      </w:pPr>
      <w:r>
        <w:rPr>
          <w:w w:val="100"/>
        </w:rPr>
        <w:t> </w:t>
      </w:r>
    </w:p>
    <w:p>
      <w:pPr>
        <w:pStyle w:val="ListParagraph"/>
        <w:numPr>
          <w:ilvl w:val="0"/>
          <w:numId w:val="54"/>
        </w:numPr>
        <w:tabs>
          <w:tab w:pos="848" w:val="left" w:leader="none"/>
        </w:tabs>
        <w:spacing w:line="240" w:lineRule="auto" w:before="2" w:after="0"/>
        <w:ind w:left="847" w:right="0" w:hanging="530"/>
        <w:jc w:val="left"/>
        <w:rPr>
          <w:sz w:val="21"/>
        </w:rPr>
      </w:pPr>
      <w:r>
        <w:rPr>
          <w:sz w:val="21"/>
        </w:rPr>
        <w:t>收入的确认 </w:t>
      </w:r>
    </w:p>
    <w:p>
      <w:pPr>
        <w:pStyle w:val="BodyText"/>
        <w:tabs>
          <w:tab w:pos="737" w:val="left" w:leader="none"/>
        </w:tabs>
        <w:spacing w:before="5"/>
      </w:pPr>
      <w:r>
        <w:rPr>
          <w:w w:val="100"/>
        </w:rPr>
        <w:t> </w:t>
      </w:r>
      <w:r>
        <w:rPr/>
        <w:tab/>
      </w:r>
      <w:r>
        <w:rPr>
          <w:w w:val="100"/>
        </w:rPr>
        <w:t> </w:t>
      </w:r>
    </w:p>
    <w:p>
      <w:pPr>
        <w:pStyle w:val="BodyText"/>
        <w:tabs>
          <w:tab w:pos="737" w:val="left" w:leader="none"/>
        </w:tabs>
        <w:spacing w:line="242" w:lineRule="auto" w:before="2"/>
        <w:ind w:right="1388"/>
      </w:pPr>
      <w:r>
        <w:rPr>
          <w:w w:val="100"/>
        </w:rPr>
        <w:t> </w:t>
      </w:r>
      <w:r>
        <w:rPr/>
        <w:tab/>
      </w:r>
      <w:r>
        <w:rPr>
          <w:spacing w:val="-1"/>
        </w:rPr>
        <w:t>本集团部分业务中存在客户同时是部分原材料供应商的情况(</w:t>
      </w:r>
      <w:r>
        <w:rPr/>
        <w:t>“Buy and</w:t>
      </w:r>
      <w:r>
        <w:rPr>
          <w:spacing w:val="1"/>
        </w:rPr>
        <w:t> </w:t>
      </w:r>
      <w:r>
        <w:rPr/>
        <w:t>Sell</w:t>
      </w:r>
      <w:r>
        <w:rPr>
          <w:spacing w:val="-9"/>
        </w:rPr>
        <w:t> 模式”)，这</w:t>
      </w:r>
      <w:r>
        <w:rPr>
          <w:spacing w:val="-25"/>
        </w:rPr>
        <w:t>种 </w:t>
      </w:r>
      <w:r>
        <w:rPr>
          <w:spacing w:val="-1"/>
        </w:rPr>
        <w:t>Buy</w:t>
      </w:r>
      <w:r>
        <w:rPr>
          <w:spacing w:val="6"/>
        </w:rPr>
        <w:t> </w:t>
      </w:r>
      <w:r>
        <w:rPr>
          <w:spacing w:val="-1"/>
        </w:rPr>
        <w:t>and</w:t>
      </w:r>
      <w:r>
        <w:rPr>
          <w:spacing w:val="6"/>
        </w:rPr>
        <w:t> </w:t>
      </w:r>
      <w:r>
        <w:rPr>
          <w:spacing w:val="-1"/>
        </w:rPr>
        <w:t>Sell</w:t>
      </w:r>
      <w:r>
        <w:rPr>
          <w:spacing w:val="-7"/>
        </w:rPr>
        <w:t> 模式是在电子产品制造行业中广泛存在的业务模式。本集团综合考虑以下情况</w:t>
      </w:r>
      <w:r>
        <w:rPr>
          <w:spacing w:val="5"/>
        </w:rPr>
        <w:t>，判断本集团在</w:t>
      </w:r>
      <w:r>
        <w:rPr/>
        <w:t>Buy and</w:t>
      </w:r>
      <w:r>
        <w:rPr>
          <w:spacing w:val="1"/>
        </w:rPr>
        <w:t> </w:t>
      </w:r>
      <w:r>
        <w:rPr/>
        <w:t>Sell</w:t>
      </w:r>
      <w:r>
        <w:rPr>
          <w:spacing w:val="-8"/>
        </w:rPr>
        <w:t> 模式下的业务中属于主要责任人，并相应根据销售交易对价的总</w:t>
      </w:r>
      <w:r>
        <w:rPr/>
        <w:t>额确认收入： </w:t>
      </w:r>
    </w:p>
    <w:p>
      <w:pPr>
        <w:pStyle w:val="BodyText"/>
        <w:spacing w:before="3"/>
      </w:pPr>
      <w:r>
        <w:rPr>
          <w:w w:val="100"/>
        </w:rPr>
        <w:t> </w:t>
      </w:r>
    </w:p>
    <w:p>
      <w:pPr>
        <w:pStyle w:val="ListParagraph"/>
        <w:numPr>
          <w:ilvl w:val="0"/>
          <w:numId w:val="40"/>
        </w:numPr>
        <w:tabs>
          <w:tab w:pos="425" w:val="left" w:leader="none"/>
        </w:tabs>
        <w:spacing w:line="242" w:lineRule="auto" w:before="5" w:after="0"/>
        <w:ind w:left="318" w:right="1277" w:firstLine="0"/>
        <w:jc w:val="left"/>
        <w:rPr>
          <w:sz w:val="21"/>
        </w:rPr>
      </w:pPr>
      <w:r>
        <w:rPr>
          <w:sz w:val="21"/>
        </w:rPr>
        <w:t>根据有关合同条款，本集团是主要责任人，负有向客户销售产品的首要责任，包括确保所销售的产品可以被客户接受； </w:t>
      </w:r>
    </w:p>
    <w:p>
      <w:pPr>
        <w:pStyle w:val="ListParagraph"/>
        <w:numPr>
          <w:ilvl w:val="0"/>
          <w:numId w:val="40"/>
        </w:numPr>
        <w:tabs>
          <w:tab w:pos="425" w:val="left" w:leader="none"/>
        </w:tabs>
        <w:spacing w:line="268" w:lineRule="exact" w:before="0" w:after="0"/>
        <w:ind w:left="424" w:right="0" w:hanging="107"/>
        <w:jc w:val="left"/>
        <w:rPr>
          <w:sz w:val="21"/>
        </w:rPr>
      </w:pPr>
      <w:r>
        <w:rPr>
          <w:spacing w:val="-1"/>
          <w:sz w:val="21"/>
        </w:rPr>
        <w:t>本集团在交易过程中承担了所交易的产品所有权上的主要风险和报酬；</w:t>
      </w:r>
      <w:r>
        <w:rPr>
          <w:sz w:val="21"/>
        </w:rPr>
        <w:t> </w:t>
      </w:r>
    </w:p>
    <w:p>
      <w:pPr>
        <w:pStyle w:val="ListParagraph"/>
        <w:numPr>
          <w:ilvl w:val="0"/>
          <w:numId w:val="40"/>
        </w:numPr>
        <w:tabs>
          <w:tab w:pos="425" w:val="left" w:leader="none"/>
        </w:tabs>
        <w:spacing w:line="240" w:lineRule="auto" w:before="4" w:after="0"/>
        <w:ind w:left="424" w:right="0" w:hanging="107"/>
        <w:jc w:val="left"/>
        <w:rPr>
          <w:sz w:val="21"/>
        </w:rPr>
      </w:pPr>
      <w:r>
        <w:rPr>
          <w:spacing w:val="-1"/>
          <w:sz w:val="21"/>
        </w:rPr>
        <w:t>本集团能够独立协商并确定对客户最终销售产品的销售价格；以及</w:t>
      </w:r>
      <w:r>
        <w:rPr>
          <w:sz w:val="21"/>
        </w:rPr>
        <w:t> </w:t>
      </w:r>
    </w:p>
    <w:p>
      <w:pPr>
        <w:pStyle w:val="ListParagraph"/>
        <w:numPr>
          <w:ilvl w:val="0"/>
          <w:numId w:val="40"/>
        </w:numPr>
        <w:tabs>
          <w:tab w:pos="425" w:val="left" w:leader="none"/>
        </w:tabs>
        <w:spacing w:line="240" w:lineRule="auto" w:before="2" w:after="0"/>
        <w:ind w:left="424" w:right="0" w:hanging="107"/>
        <w:jc w:val="left"/>
        <w:rPr>
          <w:sz w:val="21"/>
        </w:rPr>
      </w:pPr>
      <w:r>
        <w:rPr>
          <w:spacing w:val="-1"/>
          <w:sz w:val="21"/>
        </w:rPr>
        <w:t>本集团承担了与产品销售有关的主要信用风险。</w:t>
      </w:r>
      <w:r>
        <w:rPr>
          <w:sz w:val="21"/>
        </w:rPr>
        <w:t> </w:t>
      </w:r>
    </w:p>
    <w:p>
      <w:pPr>
        <w:pStyle w:val="BodyText"/>
        <w:spacing w:before="5"/>
      </w:pPr>
      <w:r>
        <w:rPr>
          <w:w w:val="100"/>
        </w:rPr>
        <w:t> </w:t>
      </w:r>
    </w:p>
    <w:p>
      <w:pPr>
        <w:pStyle w:val="BodyText"/>
        <w:spacing w:line="242" w:lineRule="auto" w:before="2"/>
        <w:ind w:right="1277"/>
        <w:jc w:val="both"/>
      </w:pPr>
      <w:r>
        <w:rPr/>
        <w:t>本集团在向客户采购原材料时，会产生应付客户对价。该等应付客户对价是为了向客户取得其他可明确区分商品的，采用与本集团其他采购相一致的方式确认所购买的商品。本集团向客户采购原材料的订单与向客户销售产品的订单不存在对应关系。 </w:t>
      </w:r>
    </w:p>
    <w:p>
      <w:pPr>
        <w:pStyle w:val="BodyText"/>
        <w:spacing w:before="3"/>
      </w:pPr>
      <w:r>
        <w:rPr>
          <w:w w:val="100"/>
        </w:rPr>
        <w:t> </w:t>
      </w:r>
    </w:p>
    <w:p>
      <w:pPr>
        <w:pStyle w:val="ListParagraph"/>
        <w:numPr>
          <w:ilvl w:val="0"/>
          <w:numId w:val="54"/>
        </w:numPr>
        <w:tabs>
          <w:tab w:pos="742" w:val="left" w:leader="none"/>
        </w:tabs>
        <w:spacing w:line="240" w:lineRule="auto" w:before="3" w:after="0"/>
        <w:ind w:left="741" w:right="0" w:hanging="424"/>
        <w:jc w:val="left"/>
        <w:rPr>
          <w:sz w:val="21"/>
        </w:rPr>
      </w:pPr>
      <w:r>
        <w:rPr>
          <w:sz w:val="21"/>
        </w:rPr>
        <w:t>附有产品质量保证的销售 </w:t>
      </w:r>
    </w:p>
    <w:p>
      <w:pPr>
        <w:pStyle w:val="BodyText"/>
        <w:tabs>
          <w:tab w:pos="737" w:val="left" w:leader="none"/>
        </w:tabs>
        <w:spacing w:before="4"/>
      </w:pPr>
      <w:r>
        <w:rPr>
          <w:w w:val="100"/>
        </w:rPr>
        <w:t> </w:t>
      </w:r>
      <w:r>
        <w:rPr/>
        <w:tab/>
      </w:r>
      <w:r>
        <w:rPr>
          <w:w w:val="100"/>
        </w:rPr>
        <w:t> </w:t>
      </w:r>
    </w:p>
    <w:p>
      <w:pPr>
        <w:pStyle w:val="BodyText"/>
        <w:spacing w:line="242" w:lineRule="auto" w:before="2"/>
        <w:ind w:right="1277"/>
        <w:jc w:val="both"/>
      </w:pPr>
      <w:r>
        <w:rPr>
          <w:w w:val="100"/>
        </w:rPr>
        <w:t> </w:t>
      </w:r>
      <w:r>
        <w:rPr/>
        <w:t>  </w:t>
      </w:r>
      <w:r>
        <w:rPr>
          <w:spacing w:val="-1"/>
        </w:rPr>
        <w:t> </w:t>
      </w:r>
      <w:r>
        <w:rPr/>
        <w:t>本集团为部分通信及移动网络设备、云计算产品提供一定约定期间的产品质量保证，该产品质量保证的期限和条款是按照与通信及移动网络设备、云计算产品相关的法律法规的要求而提供的，本集团并未因此提供任何额外的服务或额外的质量保证，故该产品质量保证不构成单独的履约义务。 </w:t>
      </w:r>
    </w:p>
    <w:p>
      <w:pPr>
        <w:pStyle w:val="BodyText"/>
        <w:tabs>
          <w:tab w:pos="737" w:val="left" w:leader="none"/>
        </w:tabs>
        <w:spacing w:before="3"/>
      </w:pPr>
      <w:r>
        <w:rPr>
          <w:w w:val="100"/>
        </w:rPr>
        <w:t> </w:t>
      </w:r>
      <w:r>
        <w:rPr/>
        <w:tab/>
      </w:r>
      <w:r>
        <w:rPr>
          <w:w w:val="100"/>
        </w:rPr>
        <w:t> </w:t>
      </w:r>
    </w:p>
    <w:p>
      <w:pPr>
        <w:pStyle w:val="ListParagraph"/>
        <w:numPr>
          <w:ilvl w:val="0"/>
          <w:numId w:val="53"/>
        </w:numPr>
        <w:tabs>
          <w:tab w:pos="636" w:val="left" w:leader="none"/>
        </w:tabs>
        <w:spacing w:line="240" w:lineRule="auto" w:before="4" w:after="0"/>
        <w:ind w:left="635" w:right="0" w:hanging="318"/>
        <w:jc w:val="left"/>
        <w:rPr>
          <w:sz w:val="21"/>
        </w:rPr>
      </w:pPr>
      <w:r>
        <w:rPr>
          <w:spacing w:val="-1"/>
          <w:sz w:val="21"/>
        </w:rPr>
        <w:t>重要会计估计及其关键假设 </w:t>
      </w:r>
    </w:p>
    <w:p>
      <w:pPr>
        <w:pStyle w:val="BodyText"/>
        <w:tabs>
          <w:tab w:pos="737" w:val="left" w:leader="none"/>
        </w:tabs>
        <w:spacing w:before="3"/>
      </w:pPr>
      <w:r>
        <w:rPr>
          <w:w w:val="100"/>
        </w:rPr>
        <w:t> </w:t>
      </w:r>
      <w:r>
        <w:rPr/>
        <w:tab/>
      </w:r>
      <w:r>
        <w:rPr>
          <w:w w:val="100"/>
        </w:rPr>
        <w:t> </w:t>
      </w:r>
    </w:p>
    <w:p>
      <w:pPr>
        <w:pStyle w:val="BodyText"/>
        <w:tabs>
          <w:tab w:pos="737" w:val="left" w:leader="none"/>
        </w:tabs>
        <w:spacing w:line="242" w:lineRule="auto" w:before="4"/>
        <w:ind w:right="1277"/>
      </w:pPr>
      <w:r>
        <w:rPr>
          <w:w w:val="100"/>
        </w:rPr>
        <w:t> </w:t>
      </w:r>
      <w:r>
        <w:rPr/>
        <w:tab/>
      </w:r>
      <w:r>
        <w:rPr/>
        <w:t>下列重要会计估计及关键假设存在会导致下一会计年度资产和负债的账面价值出现重大调整的重要风险： </w:t>
      </w:r>
    </w:p>
    <w:p>
      <w:pPr>
        <w:pStyle w:val="BodyText"/>
        <w:spacing w:before="1"/>
      </w:pPr>
      <w:r>
        <w:rPr>
          <w:w w:val="100"/>
        </w:rPr>
        <w:t> </w:t>
      </w:r>
    </w:p>
    <w:p>
      <w:pPr>
        <w:pStyle w:val="ListParagraph"/>
        <w:numPr>
          <w:ilvl w:val="0"/>
          <w:numId w:val="55"/>
        </w:numPr>
        <w:tabs>
          <w:tab w:pos="636" w:val="left" w:leader="none"/>
        </w:tabs>
        <w:spacing w:line="240" w:lineRule="auto" w:before="3" w:after="0"/>
        <w:ind w:left="635" w:right="0" w:hanging="318"/>
        <w:jc w:val="left"/>
        <w:rPr>
          <w:sz w:val="21"/>
        </w:rPr>
      </w:pPr>
      <w:r>
        <w:rPr>
          <w:spacing w:val="-1"/>
          <w:sz w:val="21"/>
        </w:rPr>
        <w:t>预期信用损失的计量</w:t>
      </w:r>
      <w:r>
        <w:rPr>
          <w:sz w:val="21"/>
        </w:rPr>
        <w:t> </w:t>
      </w:r>
    </w:p>
    <w:p>
      <w:pPr>
        <w:pStyle w:val="BodyText"/>
        <w:tabs>
          <w:tab w:pos="737" w:val="left" w:leader="none"/>
        </w:tabs>
        <w:spacing w:before="2"/>
      </w:pPr>
      <w:r>
        <w:rPr>
          <w:w w:val="100"/>
        </w:rPr>
        <w:t> </w:t>
      </w:r>
      <w:r>
        <w:rPr/>
        <w:tab/>
      </w:r>
      <w:r>
        <w:rPr>
          <w:w w:val="100"/>
        </w:rPr>
        <w:t> </w:t>
      </w:r>
    </w:p>
    <w:p>
      <w:pPr>
        <w:pStyle w:val="BodyText"/>
        <w:spacing w:line="242" w:lineRule="auto" w:before="5"/>
        <w:ind w:right="1277"/>
        <w:jc w:val="both"/>
      </w:pPr>
      <w:r>
        <w:rPr>
          <w:w w:val="100"/>
        </w:rPr>
        <w:t> </w:t>
      </w:r>
      <w:r>
        <w:rPr/>
        <w:t>  </w:t>
      </w:r>
      <w:r>
        <w:rPr>
          <w:spacing w:val="-1"/>
        </w:rPr>
        <w:t> </w:t>
      </w:r>
      <w:r>
        <w:rPr/>
        <w:t>本集团通过违约风险敞口和预期信用损失率计算预期信用损失，并基于违约概率和违约损失率确定预期信用损失率。在确定预期信用损失率时，本集团使用内部历史信用损失经验等数据，</w:t>
      </w:r>
      <w:r>
        <w:rPr>
          <w:spacing w:val="-103"/>
        </w:rPr>
        <w:t> </w:t>
      </w:r>
      <w:r>
        <w:rPr/>
        <w:t>并结合当前状况和前瞻性信息对历史数据进行调整。 </w:t>
      </w:r>
    </w:p>
    <w:p>
      <w:pPr>
        <w:pStyle w:val="BodyText"/>
        <w:spacing w:before="1"/>
      </w:pPr>
      <w:r>
        <w:rPr>
          <w:w w:val="100"/>
        </w:rPr>
        <w:t> </w:t>
      </w:r>
    </w:p>
    <w:p>
      <w:pPr>
        <w:pStyle w:val="BodyText"/>
        <w:spacing w:line="242" w:lineRule="auto" w:before="4"/>
        <w:ind w:right="1280" w:firstLine="419"/>
      </w:pPr>
      <w:r>
        <w:rPr>
          <w:spacing w:val="-3"/>
        </w:rPr>
        <w:t>在考虑前瞻性信息时，本集团考虑了不同的宏观经济情景。于 </w:t>
      </w:r>
      <w:r>
        <w:rPr/>
        <w:t>2022</w:t>
      </w:r>
      <w:r>
        <w:rPr>
          <w:spacing w:val="-8"/>
        </w:rPr>
        <w:t> 年度，“基准”、“不</w:t>
      </w:r>
      <w:r>
        <w:rPr>
          <w:spacing w:val="-4"/>
        </w:rPr>
        <w:t>利”及“有利”这三种经济情景的权重分别是 </w:t>
      </w:r>
      <w:r>
        <w:rPr/>
        <w:t>80%、10</w:t>
      </w:r>
      <w:r>
        <w:rPr>
          <w:spacing w:val="-18"/>
        </w:rPr>
        <w:t>%和 </w:t>
      </w:r>
      <w:r>
        <w:rPr/>
        <w:t>10%(2021</w:t>
      </w:r>
      <w:r>
        <w:rPr>
          <w:spacing w:val="-18"/>
        </w:rPr>
        <w:t> 年度</w:t>
      </w:r>
      <w:r>
        <w:rPr/>
        <w:t>：80%、10</w:t>
      </w:r>
      <w:r>
        <w:rPr>
          <w:spacing w:val="-19"/>
        </w:rPr>
        <w:t>%和 </w:t>
      </w:r>
      <w:r>
        <w:rPr/>
        <w:t>10%)。本集团定期监控并复核与预期信用损失计算相关的重要宏观经济假设和参数，包括经济下滑的风</w:t>
      </w:r>
      <w:r>
        <w:rPr>
          <w:spacing w:val="1"/>
        </w:rPr>
        <w:t> </w:t>
      </w:r>
      <w:r>
        <w:rPr>
          <w:spacing w:val="-1"/>
        </w:rPr>
        <w:t>险、外部市场环境、技术环境、客户情况的变化、国内生产总值和消费者物价指数等。</w:t>
      </w:r>
      <w:r>
        <w:rPr/>
        <w:t>2022</w:t>
      </w:r>
      <w:r>
        <w:rPr>
          <w:spacing w:val="-27"/>
        </w:rPr>
        <w:t> 年</w:t>
      </w:r>
    </w:p>
    <w:p>
      <w:pPr>
        <w:spacing w:after="0" w:line="242" w:lineRule="auto"/>
        <w:sectPr>
          <w:pgSz w:w="11910" w:h="16840"/>
          <w:pgMar w:header="882" w:footer="1172" w:top="1120" w:bottom="1380" w:left="1480" w:right="0"/>
        </w:sectPr>
      </w:pPr>
    </w:p>
    <w:p>
      <w:pPr>
        <w:pStyle w:val="BodyText"/>
        <w:spacing w:before="7"/>
        <w:ind w:left="0"/>
        <w:rPr>
          <w:sz w:val="25"/>
        </w:rPr>
      </w:pPr>
    </w:p>
    <w:p>
      <w:pPr>
        <w:pStyle w:val="BodyText"/>
        <w:spacing w:line="244" w:lineRule="auto" w:before="72"/>
        <w:ind w:right="1277"/>
      </w:pPr>
      <w:r>
        <w:rPr/>
        <w:t>度，本集团已考虑了不确定性因素，并相应更新了相关假设和参数，各情景中所使用的关键宏观经济参数列示如下： </w:t>
      </w:r>
    </w:p>
    <w:p>
      <w:pPr>
        <w:pStyle w:val="BodyText"/>
        <w:spacing w:line="265" w:lineRule="exact" w:after="37"/>
      </w:pPr>
      <w:r>
        <w:rPr>
          <w:w w:val="100"/>
        </w:rPr>
        <w:t> </w:t>
      </w:r>
    </w:p>
    <w:tbl>
      <w:tblPr>
        <w:tblW w:w="0" w:type="auto"/>
        <w:jc w:val="left"/>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5"/>
        <w:gridCol w:w="2223"/>
        <w:gridCol w:w="2070"/>
        <w:gridCol w:w="2278"/>
      </w:tblGrid>
      <w:tr>
        <w:trPr>
          <w:trHeight w:val="275" w:hRule="atLeast"/>
        </w:trPr>
        <w:tc>
          <w:tcPr>
            <w:tcW w:w="1905" w:type="dxa"/>
          </w:tcPr>
          <w:p>
            <w:pPr>
              <w:pStyle w:val="TableParagraph"/>
              <w:spacing w:line="256" w:lineRule="exact"/>
              <w:ind w:left="200"/>
              <w:rPr>
                <w:sz w:val="24"/>
              </w:rPr>
            </w:pPr>
            <w:r>
              <w:rPr>
                <w:sz w:val="24"/>
              </w:rPr>
              <w:t> </w:t>
            </w:r>
          </w:p>
        </w:tc>
        <w:tc>
          <w:tcPr>
            <w:tcW w:w="2223" w:type="dxa"/>
          </w:tcPr>
          <w:p>
            <w:pPr>
              <w:pStyle w:val="TableParagraph"/>
              <w:rPr>
                <w:rFonts w:ascii="Times New Roman"/>
                <w:sz w:val="20"/>
              </w:rPr>
            </w:pPr>
          </w:p>
        </w:tc>
        <w:tc>
          <w:tcPr>
            <w:tcW w:w="2070" w:type="dxa"/>
          </w:tcPr>
          <w:p>
            <w:pPr>
              <w:pStyle w:val="TableParagraph"/>
              <w:spacing w:line="256" w:lineRule="exact"/>
              <w:ind w:left="546"/>
              <w:rPr>
                <w:sz w:val="24"/>
              </w:rPr>
            </w:pPr>
            <w:r>
              <w:rPr>
                <w:sz w:val="24"/>
              </w:rPr>
              <w:t>经济情景 </w:t>
            </w:r>
          </w:p>
        </w:tc>
        <w:tc>
          <w:tcPr>
            <w:tcW w:w="2278" w:type="dxa"/>
          </w:tcPr>
          <w:p>
            <w:pPr>
              <w:pStyle w:val="TableParagraph"/>
              <w:rPr>
                <w:rFonts w:ascii="Times New Roman"/>
                <w:sz w:val="20"/>
              </w:rPr>
            </w:pPr>
          </w:p>
        </w:tc>
      </w:tr>
      <w:tr>
        <w:trPr>
          <w:trHeight w:val="310" w:hRule="atLeast"/>
        </w:trPr>
        <w:tc>
          <w:tcPr>
            <w:tcW w:w="1905" w:type="dxa"/>
          </w:tcPr>
          <w:p>
            <w:pPr>
              <w:pStyle w:val="TableParagraph"/>
              <w:spacing w:line="289" w:lineRule="exact" w:before="2"/>
              <w:ind w:left="200"/>
              <w:rPr>
                <w:sz w:val="24"/>
              </w:rPr>
            </w:pPr>
            <w:r>
              <w:rPr>
                <w:sz w:val="24"/>
              </w:rPr>
              <w:t> </w:t>
            </w:r>
          </w:p>
        </w:tc>
        <w:tc>
          <w:tcPr>
            <w:tcW w:w="2223" w:type="dxa"/>
          </w:tcPr>
          <w:p>
            <w:pPr>
              <w:pStyle w:val="TableParagraph"/>
              <w:spacing w:line="289" w:lineRule="exact" w:before="2"/>
              <w:ind w:right="-15"/>
              <w:jc w:val="right"/>
              <w:rPr>
                <w:sz w:val="24"/>
              </w:rPr>
            </w:pPr>
            <w:r>
              <w:rPr>
                <w:sz w:val="24"/>
              </w:rPr>
              <w:t>基准 </w:t>
            </w:r>
          </w:p>
        </w:tc>
        <w:tc>
          <w:tcPr>
            <w:tcW w:w="2070" w:type="dxa"/>
          </w:tcPr>
          <w:p>
            <w:pPr>
              <w:pStyle w:val="TableParagraph"/>
              <w:spacing w:line="289" w:lineRule="exact" w:before="2"/>
              <w:ind w:right="-15"/>
              <w:jc w:val="right"/>
              <w:rPr>
                <w:sz w:val="24"/>
              </w:rPr>
            </w:pPr>
            <w:r>
              <w:rPr>
                <w:sz w:val="24"/>
              </w:rPr>
              <w:t>不利 </w:t>
            </w:r>
          </w:p>
        </w:tc>
        <w:tc>
          <w:tcPr>
            <w:tcW w:w="2278" w:type="dxa"/>
          </w:tcPr>
          <w:p>
            <w:pPr>
              <w:pStyle w:val="TableParagraph"/>
              <w:spacing w:line="289" w:lineRule="exact" w:before="2"/>
              <w:ind w:right="198"/>
              <w:jc w:val="right"/>
              <w:rPr>
                <w:sz w:val="24"/>
              </w:rPr>
            </w:pPr>
            <w:r>
              <w:rPr>
                <w:sz w:val="24"/>
              </w:rPr>
              <w:t>有利 </w:t>
            </w:r>
          </w:p>
        </w:tc>
      </w:tr>
      <w:tr>
        <w:trPr>
          <w:trHeight w:val="295" w:hRule="atLeast"/>
        </w:trPr>
        <w:tc>
          <w:tcPr>
            <w:tcW w:w="1905" w:type="dxa"/>
          </w:tcPr>
          <w:p>
            <w:pPr>
              <w:pStyle w:val="TableParagraph"/>
              <w:spacing w:line="275" w:lineRule="exact" w:before="1"/>
              <w:ind w:left="200"/>
              <w:rPr>
                <w:sz w:val="24"/>
              </w:rPr>
            </w:pPr>
            <w:r>
              <w:rPr>
                <w:sz w:val="24"/>
              </w:rPr>
              <w:t> </w:t>
            </w:r>
          </w:p>
        </w:tc>
        <w:tc>
          <w:tcPr>
            <w:tcW w:w="2223" w:type="dxa"/>
          </w:tcPr>
          <w:p>
            <w:pPr>
              <w:pStyle w:val="TableParagraph"/>
              <w:spacing w:line="275" w:lineRule="exact" w:before="1"/>
              <w:ind w:right="-15"/>
              <w:jc w:val="right"/>
              <w:rPr>
                <w:sz w:val="24"/>
              </w:rPr>
            </w:pPr>
            <w:r>
              <w:rPr>
                <w:sz w:val="24"/>
              </w:rPr>
              <w:t> </w:t>
            </w:r>
          </w:p>
        </w:tc>
        <w:tc>
          <w:tcPr>
            <w:tcW w:w="2070" w:type="dxa"/>
          </w:tcPr>
          <w:p>
            <w:pPr>
              <w:pStyle w:val="TableParagraph"/>
              <w:spacing w:line="275" w:lineRule="exact" w:before="1"/>
              <w:ind w:right="-15"/>
              <w:jc w:val="right"/>
              <w:rPr>
                <w:sz w:val="24"/>
              </w:rPr>
            </w:pPr>
            <w:r>
              <w:rPr>
                <w:sz w:val="24"/>
              </w:rPr>
              <w:t> </w:t>
            </w:r>
          </w:p>
        </w:tc>
        <w:tc>
          <w:tcPr>
            <w:tcW w:w="2278" w:type="dxa"/>
          </w:tcPr>
          <w:p>
            <w:pPr>
              <w:pStyle w:val="TableParagraph"/>
              <w:spacing w:line="275" w:lineRule="exact" w:before="1"/>
              <w:ind w:right="198"/>
              <w:jc w:val="right"/>
              <w:rPr>
                <w:sz w:val="24"/>
              </w:rPr>
            </w:pPr>
            <w:r>
              <w:rPr>
                <w:sz w:val="24"/>
              </w:rPr>
              <w:t> </w:t>
            </w:r>
          </w:p>
        </w:tc>
      </w:tr>
      <w:tr>
        <w:trPr>
          <w:trHeight w:val="327" w:hRule="atLeast"/>
        </w:trPr>
        <w:tc>
          <w:tcPr>
            <w:tcW w:w="1905" w:type="dxa"/>
          </w:tcPr>
          <w:p>
            <w:pPr>
              <w:pStyle w:val="TableParagraph"/>
              <w:spacing w:line="290" w:lineRule="exact" w:before="17"/>
              <w:ind w:left="200"/>
              <w:rPr>
                <w:sz w:val="24"/>
              </w:rPr>
            </w:pPr>
            <w:r>
              <w:rPr>
                <w:sz w:val="24"/>
              </w:rPr>
              <w:t>全球生产总值 </w:t>
            </w:r>
          </w:p>
        </w:tc>
        <w:tc>
          <w:tcPr>
            <w:tcW w:w="2223" w:type="dxa"/>
          </w:tcPr>
          <w:p>
            <w:pPr>
              <w:pStyle w:val="TableParagraph"/>
              <w:spacing w:before="13"/>
              <w:ind w:left="1427"/>
              <w:rPr>
                <w:rFonts w:ascii="Arial MT"/>
                <w:sz w:val="24"/>
              </w:rPr>
            </w:pPr>
            <w:r>
              <w:rPr>
                <w:rFonts w:ascii="Arial MT"/>
                <w:sz w:val="24"/>
              </w:rPr>
              <w:t>1.70%</w:t>
            </w:r>
          </w:p>
        </w:tc>
        <w:tc>
          <w:tcPr>
            <w:tcW w:w="2070" w:type="dxa"/>
          </w:tcPr>
          <w:p>
            <w:pPr>
              <w:pStyle w:val="TableParagraph"/>
              <w:spacing w:before="13"/>
              <w:ind w:right="108"/>
              <w:jc w:val="right"/>
              <w:rPr>
                <w:rFonts w:ascii="Arial MT"/>
                <w:sz w:val="24"/>
              </w:rPr>
            </w:pPr>
            <w:r>
              <w:rPr>
                <w:rFonts w:ascii="Arial MT"/>
                <w:sz w:val="24"/>
              </w:rPr>
              <w:t>1.26%</w:t>
            </w:r>
          </w:p>
        </w:tc>
        <w:tc>
          <w:tcPr>
            <w:tcW w:w="2278" w:type="dxa"/>
          </w:tcPr>
          <w:p>
            <w:pPr>
              <w:pStyle w:val="TableParagraph"/>
              <w:spacing w:before="13"/>
              <w:ind w:right="316"/>
              <w:jc w:val="right"/>
              <w:rPr>
                <w:rFonts w:ascii="Arial MT"/>
                <w:sz w:val="24"/>
              </w:rPr>
            </w:pPr>
            <w:r>
              <w:rPr>
                <w:rFonts w:ascii="Arial MT"/>
                <w:sz w:val="24"/>
              </w:rPr>
              <w:t>2.14%</w:t>
            </w:r>
          </w:p>
        </w:tc>
      </w:tr>
      <w:tr>
        <w:trPr>
          <w:trHeight w:val="305" w:hRule="atLeast"/>
        </w:trPr>
        <w:tc>
          <w:tcPr>
            <w:tcW w:w="1905" w:type="dxa"/>
          </w:tcPr>
          <w:p>
            <w:pPr>
              <w:pStyle w:val="TableParagraph"/>
              <w:spacing w:line="283" w:lineRule="exact" w:before="2"/>
              <w:ind w:left="200"/>
              <w:rPr>
                <w:sz w:val="24"/>
              </w:rPr>
            </w:pPr>
            <w:r>
              <w:rPr>
                <w:sz w:val="24"/>
              </w:rPr>
              <w:t> </w:t>
            </w:r>
          </w:p>
        </w:tc>
        <w:tc>
          <w:tcPr>
            <w:tcW w:w="2223" w:type="dxa"/>
          </w:tcPr>
          <w:p>
            <w:pPr>
              <w:pStyle w:val="TableParagraph"/>
              <w:spacing w:line="283" w:lineRule="exact" w:before="2"/>
              <w:ind w:left="143"/>
              <w:rPr>
                <w:sz w:val="24"/>
              </w:rPr>
            </w:pPr>
            <w:r>
              <w:rPr>
                <w:sz w:val="24"/>
              </w:rPr>
              <w:t> </w:t>
            </w:r>
          </w:p>
        </w:tc>
        <w:tc>
          <w:tcPr>
            <w:tcW w:w="2070" w:type="dxa"/>
          </w:tcPr>
          <w:p>
            <w:pPr>
              <w:pStyle w:val="TableParagraph"/>
              <w:spacing w:line="283" w:lineRule="exact" w:before="2"/>
              <w:ind w:left="-8"/>
              <w:rPr>
                <w:sz w:val="24"/>
              </w:rPr>
            </w:pPr>
            <w:r>
              <w:rPr>
                <w:sz w:val="24"/>
              </w:rPr>
              <w:t> </w:t>
            </w:r>
          </w:p>
        </w:tc>
        <w:tc>
          <w:tcPr>
            <w:tcW w:w="2278" w:type="dxa"/>
          </w:tcPr>
          <w:p>
            <w:pPr>
              <w:pStyle w:val="TableParagraph"/>
              <w:spacing w:line="283" w:lineRule="exact" w:before="2"/>
              <w:ind w:left="-9"/>
              <w:rPr>
                <w:sz w:val="24"/>
              </w:rPr>
            </w:pPr>
            <w:r>
              <w:rPr>
                <w:sz w:val="24"/>
              </w:rPr>
              <w:t> </w:t>
            </w:r>
          </w:p>
        </w:tc>
      </w:tr>
      <w:tr>
        <w:trPr>
          <w:trHeight w:val="297" w:hRule="atLeast"/>
        </w:trPr>
        <w:tc>
          <w:tcPr>
            <w:tcW w:w="8476" w:type="dxa"/>
            <w:gridSpan w:val="4"/>
          </w:tcPr>
          <w:p>
            <w:pPr>
              <w:pStyle w:val="TableParagraph"/>
              <w:spacing w:line="271" w:lineRule="exact" w:before="6"/>
              <w:ind w:left="200"/>
              <w:rPr>
                <w:sz w:val="24"/>
              </w:rPr>
            </w:pPr>
            <w:r>
              <w:rPr>
                <w:rFonts w:ascii="Arial MT" w:eastAsia="Arial MT"/>
                <w:sz w:val="24"/>
              </w:rPr>
              <w:t>2021</w:t>
            </w:r>
            <w:r>
              <w:rPr>
                <w:rFonts w:ascii="Arial MT" w:eastAsia="Arial MT"/>
                <w:spacing w:val="-14"/>
                <w:sz w:val="24"/>
              </w:rPr>
              <w:t> </w:t>
            </w:r>
            <w:r>
              <w:rPr>
                <w:sz w:val="24"/>
              </w:rPr>
              <w:t>年度，本集团在各情景中所使用的关键宏观经济参数列示如下： </w:t>
            </w:r>
          </w:p>
        </w:tc>
      </w:tr>
    </w:tbl>
    <w:p>
      <w:pPr>
        <w:pStyle w:val="BodyText"/>
        <w:spacing w:before="9"/>
        <w:ind w:left="0"/>
        <w:rPr>
          <w:sz w:val="24"/>
        </w:rPr>
      </w:pPr>
    </w:p>
    <w:tbl>
      <w:tblPr>
        <w:tblW w:w="0" w:type="auto"/>
        <w:jc w:val="left"/>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47"/>
        <w:gridCol w:w="2223"/>
        <w:gridCol w:w="2071"/>
        <w:gridCol w:w="1636"/>
      </w:tblGrid>
      <w:tr>
        <w:trPr>
          <w:trHeight w:val="274" w:hRule="atLeast"/>
        </w:trPr>
        <w:tc>
          <w:tcPr>
            <w:tcW w:w="2547" w:type="dxa"/>
          </w:tcPr>
          <w:p>
            <w:pPr>
              <w:pStyle w:val="TableParagraph"/>
              <w:spacing w:line="255" w:lineRule="exact"/>
              <w:ind w:left="200"/>
              <w:rPr>
                <w:sz w:val="24"/>
              </w:rPr>
            </w:pPr>
            <w:r>
              <w:rPr>
                <w:sz w:val="24"/>
              </w:rPr>
              <w:t> </w:t>
            </w:r>
          </w:p>
        </w:tc>
        <w:tc>
          <w:tcPr>
            <w:tcW w:w="4294" w:type="dxa"/>
            <w:gridSpan w:val="2"/>
          </w:tcPr>
          <w:p>
            <w:pPr>
              <w:pStyle w:val="TableParagraph"/>
              <w:spacing w:line="255" w:lineRule="exact"/>
              <w:ind w:left="2127"/>
              <w:rPr>
                <w:sz w:val="24"/>
              </w:rPr>
            </w:pPr>
            <w:r>
              <w:rPr>
                <w:sz w:val="24"/>
              </w:rPr>
              <w:t>经济情景 </w:t>
            </w:r>
          </w:p>
        </w:tc>
        <w:tc>
          <w:tcPr>
            <w:tcW w:w="1636" w:type="dxa"/>
          </w:tcPr>
          <w:p>
            <w:pPr>
              <w:pStyle w:val="TableParagraph"/>
              <w:rPr>
                <w:rFonts w:ascii="Times New Roman"/>
                <w:sz w:val="20"/>
              </w:rPr>
            </w:pPr>
          </w:p>
        </w:tc>
      </w:tr>
      <w:tr>
        <w:trPr>
          <w:trHeight w:val="310" w:hRule="atLeast"/>
        </w:trPr>
        <w:tc>
          <w:tcPr>
            <w:tcW w:w="2547" w:type="dxa"/>
          </w:tcPr>
          <w:p>
            <w:pPr>
              <w:pStyle w:val="TableParagraph"/>
              <w:spacing w:line="290" w:lineRule="exact" w:before="1"/>
              <w:ind w:left="200"/>
              <w:rPr>
                <w:sz w:val="24"/>
              </w:rPr>
            </w:pPr>
            <w:r>
              <w:rPr>
                <w:sz w:val="24"/>
              </w:rPr>
              <w:t> </w:t>
            </w:r>
          </w:p>
        </w:tc>
        <w:tc>
          <w:tcPr>
            <w:tcW w:w="2223" w:type="dxa"/>
          </w:tcPr>
          <w:p>
            <w:pPr>
              <w:pStyle w:val="TableParagraph"/>
              <w:spacing w:line="290" w:lineRule="exact" w:before="1"/>
              <w:ind w:right="633"/>
              <w:jc w:val="right"/>
              <w:rPr>
                <w:sz w:val="24"/>
              </w:rPr>
            </w:pPr>
            <w:r>
              <w:rPr>
                <w:sz w:val="24"/>
              </w:rPr>
              <w:t>基准 </w:t>
            </w:r>
          </w:p>
        </w:tc>
        <w:tc>
          <w:tcPr>
            <w:tcW w:w="2071" w:type="dxa"/>
          </w:tcPr>
          <w:p>
            <w:pPr>
              <w:pStyle w:val="TableParagraph"/>
              <w:spacing w:line="290" w:lineRule="exact" w:before="1"/>
              <w:ind w:right="633"/>
              <w:jc w:val="right"/>
              <w:rPr>
                <w:sz w:val="24"/>
              </w:rPr>
            </w:pPr>
            <w:r>
              <w:rPr>
                <w:sz w:val="24"/>
              </w:rPr>
              <w:t>不利 </w:t>
            </w:r>
          </w:p>
        </w:tc>
        <w:tc>
          <w:tcPr>
            <w:tcW w:w="1636" w:type="dxa"/>
          </w:tcPr>
          <w:p>
            <w:pPr>
              <w:pStyle w:val="TableParagraph"/>
              <w:spacing w:line="290" w:lineRule="exact" w:before="1"/>
              <w:ind w:right="199"/>
              <w:jc w:val="right"/>
              <w:rPr>
                <w:sz w:val="24"/>
              </w:rPr>
            </w:pPr>
            <w:r>
              <w:rPr>
                <w:sz w:val="24"/>
              </w:rPr>
              <w:t>有利 </w:t>
            </w:r>
          </w:p>
        </w:tc>
      </w:tr>
      <w:tr>
        <w:trPr>
          <w:trHeight w:val="297" w:hRule="atLeast"/>
        </w:trPr>
        <w:tc>
          <w:tcPr>
            <w:tcW w:w="2547" w:type="dxa"/>
          </w:tcPr>
          <w:p>
            <w:pPr>
              <w:pStyle w:val="TableParagraph"/>
              <w:spacing w:line="275" w:lineRule="exact" w:before="2"/>
              <w:ind w:left="200"/>
              <w:rPr>
                <w:sz w:val="24"/>
              </w:rPr>
            </w:pPr>
            <w:r>
              <w:rPr>
                <w:sz w:val="24"/>
              </w:rPr>
              <w:t> </w:t>
            </w:r>
          </w:p>
        </w:tc>
        <w:tc>
          <w:tcPr>
            <w:tcW w:w="2223" w:type="dxa"/>
          </w:tcPr>
          <w:p>
            <w:pPr>
              <w:pStyle w:val="TableParagraph"/>
              <w:spacing w:line="275" w:lineRule="exact" w:before="2"/>
              <w:ind w:right="633"/>
              <w:jc w:val="right"/>
              <w:rPr>
                <w:sz w:val="24"/>
              </w:rPr>
            </w:pPr>
            <w:r>
              <w:rPr>
                <w:sz w:val="24"/>
              </w:rPr>
              <w:t> </w:t>
            </w:r>
          </w:p>
        </w:tc>
        <w:tc>
          <w:tcPr>
            <w:tcW w:w="2071" w:type="dxa"/>
          </w:tcPr>
          <w:p>
            <w:pPr>
              <w:pStyle w:val="TableParagraph"/>
              <w:spacing w:line="275" w:lineRule="exact" w:before="2"/>
              <w:ind w:right="633"/>
              <w:jc w:val="right"/>
              <w:rPr>
                <w:sz w:val="24"/>
              </w:rPr>
            </w:pPr>
            <w:r>
              <w:rPr>
                <w:sz w:val="24"/>
              </w:rPr>
              <w:t> </w:t>
            </w:r>
          </w:p>
        </w:tc>
        <w:tc>
          <w:tcPr>
            <w:tcW w:w="1636" w:type="dxa"/>
          </w:tcPr>
          <w:p>
            <w:pPr>
              <w:pStyle w:val="TableParagraph"/>
              <w:spacing w:line="275" w:lineRule="exact" w:before="2"/>
              <w:ind w:right="199"/>
              <w:jc w:val="right"/>
              <w:rPr>
                <w:sz w:val="24"/>
              </w:rPr>
            </w:pPr>
            <w:r>
              <w:rPr>
                <w:sz w:val="24"/>
              </w:rPr>
              <w:t> </w:t>
            </w:r>
          </w:p>
        </w:tc>
      </w:tr>
      <w:tr>
        <w:trPr>
          <w:trHeight w:val="291" w:hRule="atLeast"/>
        </w:trPr>
        <w:tc>
          <w:tcPr>
            <w:tcW w:w="2547" w:type="dxa"/>
          </w:tcPr>
          <w:p>
            <w:pPr>
              <w:pStyle w:val="TableParagraph"/>
              <w:spacing w:line="254" w:lineRule="exact" w:before="17"/>
              <w:ind w:left="200"/>
              <w:rPr>
                <w:sz w:val="24"/>
              </w:rPr>
            </w:pPr>
            <w:r>
              <w:rPr>
                <w:sz w:val="24"/>
              </w:rPr>
              <w:t>全球生产总值 </w:t>
            </w:r>
          </w:p>
        </w:tc>
        <w:tc>
          <w:tcPr>
            <w:tcW w:w="2223" w:type="dxa"/>
          </w:tcPr>
          <w:p>
            <w:pPr>
              <w:pStyle w:val="TableParagraph"/>
              <w:spacing w:line="258" w:lineRule="exact" w:before="13"/>
              <w:ind w:left="766" w:right="735"/>
              <w:jc w:val="center"/>
              <w:rPr>
                <w:rFonts w:ascii="Arial MT"/>
                <w:sz w:val="24"/>
              </w:rPr>
            </w:pPr>
            <w:r>
              <w:rPr>
                <w:rFonts w:ascii="Arial MT"/>
                <w:sz w:val="24"/>
              </w:rPr>
              <w:t>4.10%</w:t>
            </w:r>
          </w:p>
        </w:tc>
        <w:tc>
          <w:tcPr>
            <w:tcW w:w="2071" w:type="dxa"/>
          </w:tcPr>
          <w:p>
            <w:pPr>
              <w:pStyle w:val="TableParagraph"/>
              <w:spacing w:line="258" w:lineRule="exact" w:before="13"/>
              <w:ind w:left="634"/>
              <w:rPr>
                <w:rFonts w:ascii="Arial MT"/>
                <w:sz w:val="24"/>
              </w:rPr>
            </w:pPr>
            <w:r>
              <w:rPr>
                <w:rFonts w:ascii="Arial MT"/>
                <w:sz w:val="24"/>
              </w:rPr>
              <w:t>3.27%</w:t>
            </w:r>
          </w:p>
        </w:tc>
        <w:tc>
          <w:tcPr>
            <w:tcW w:w="1636" w:type="dxa"/>
          </w:tcPr>
          <w:p>
            <w:pPr>
              <w:pStyle w:val="TableParagraph"/>
              <w:spacing w:line="258" w:lineRule="exact" w:before="13"/>
              <w:ind w:right="317"/>
              <w:jc w:val="right"/>
              <w:rPr>
                <w:rFonts w:ascii="Arial MT"/>
                <w:sz w:val="24"/>
              </w:rPr>
            </w:pPr>
            <w:r>
              <w:rPr>
                <w:rFonts w:ascii="Arial MT"/>
                <w:sz w:val="24"/>
              </w:rPr>
              <w:t>4.93%</w:t>
            </w:r>
          </w:p>
        </w:tc>
      </w:tr>
    </w:tbl>
    <w:p>
      <w:pPr>
        <w:pStyle w:val="ListParagraph"/>
        <w:numPr>
          <w:ilvl w:val="0"/>
          <w:numId w:val="55"/>
        </w:numPr>
        <w:tabs>
          <w:tab w:pos="742" w:val="left" w:leader="none"/>
        </w:tabs>
        <w:spacing w:line="240" w:lineRule="auto" w:before="39" w:after="0"/>
        <w:ind w:left="741" w:right="0" w:hanging="424"/>
        <w:jc w:val="both"/>
        <w:rPr>
          <w:sz w:val="21"/>
        </w:rPr>
      </w:pPr>
      <w:r>
        <w:rPr>
          <w:spacing w:val="-1"/>
          <w:sz w:val="21"/>
        </w:rPr>
        <w:t>所得税和递延所得税</w:t>
      </w:r>
      <w:r>
        <w:rPr>
          <w:sz w:val="21"/>
        </w:rPr>
        <w:t> </w:t>
      </w:r>
    </w:p>
    <w:p>
      <w:pPr>
        <w:pStyle w:val="BodyText"/>
        <w:spacing w:before="2"/>
        <w:jc w:val="both"/>
      </w:pPr>
      <w:r>
        <w:rPr>
          <w:w w:val="100"/>
        </w:rPr>
        <w:t> </w:t>
      </w:r>
      <w:r>
        <w:rPr/>
        <w:t>  </w:t>
      </w:r>
      <w:r>
        <w:rPr>
          <w:spacing w:val="-1"/>
        </w:rPr>
        <w:t> </w:t>
      </w:r>
      <w:r>
        <w:rPr>
          <w:w w:val="100"/>
        </w:rPr>
        <w:t> </w:t>
      </w:r>
    </w:p>
    <w:p>
      <w:pPr>
        <w:pStyle w:val="BodyText"/>
        <w:spacing w:line="242" w:lineRule="auto" w:before="2"/>
        <w:ind w:right="1277"/>
        <w:jc w:val="both"/>
      </w:pPr>
      <w:r>
        <w:rPr>
          <w:w w:val="100"/>
        </w:rPr>
        <w:t> </w:t>
      </w:r>
      <w:r>
        <w:rPr/>
        <w:t>  </w:t>
      </w:r>
      <w:r>
        <w:rPr>
          <w:spacing w:val="-1"/>
        </w:rPr>
        <w:t> </w:t>
      </w:r>
      <w:r>
        <w:rPr/>
        <w:t>本集团在多个地区缴纳企业所得税。在正常的经营活动中，部分交易和事项的最终税务处理都存在不确定性。在计提各个地区的所得税费用时，本集团需要作出重大判断。如果这些税务事项的最终认定结果与最初入账的金额存在差异，该差异将对作出上述最终认定期间的所得税费用和递延所得税的金额产生影响。 </w:t>
      </w:r>
    </w:p>
    <w:p>
      <w:pPr>
        <w:pStyle w:val="BodyText"/>
        <w:spacing w:before="3"/>
        <w:jc w:val="both"/>
      </w:pPr>
      <w:r>
        <w:rPr>
          <w:w w:val="100"/>
        </w:rPr>
        <w:t> </w:t>
      </w:r>
      <w:r>
        <w:rPr/>
        <w:t>  </w:t>
      </w:r>
      <w:r>
        <w:rPr>
          <w:spacing w:val="-1"/>
        </w:rPr>
        <w:t> </w:t>
      </w:r>
      <w:r>
        <w:rPr>
          <w:w w:val="100"/>
        </w:rPr>
        <w:t> </w:t>
      </w:r>
    </w:p>
    <w:p>
      <w:pPr>
        <w:pStyle w:val="BodyText"/>
        <w:spacing w:line="242" w:lineRule="auto" w:before="5"/>
        <w:ind w:right="1277"/>
        <w:jc w:val="both"/>
      </w:pPr>
      <w:r>
        <w:rPr>
          <w:w w:val="100"/>
        </w:rPr>
        <w:t> </w:t>
      </w:r>
      <w:r>
        <w:rPr/>
        <w:t>  </w:t>
      </w:r>
      <w:r>
        <w:rPr>
          <w:spacing w:val="-1"/>
        </w:rPr>
        <w:t> </w:t>
      </w:r>
      <w:r>
        <w:rPr/>
        <w:t>递延所得税资产和递延所得税负债按照预期收回该资产或清偿该债务期间的适用所得税税率计量。预期适用所得税税率是根据有关现行的税务法规及本集团的实际情况而确定。 </w:t>
      </w:r>
    </w:p>
    <w:p>
      <w:pPr>
        <w:pStyle w:val="BodyText"/>
        <w:spacing w:before="1"/>
        <w:ind w:left="738"/>
      </w:pPr>
      <w:r>
        <w:rPr>
          <w:w w:val="100"/>
        </w:rPr>
        <w:t> </w:t>
      </w:r>
    </w:p>
    <w:p>
      <w:pPr>
        <w:pStyle w:val="BodyText"/>
        <w:spacing w:line="242" w:lineRule="auto" w:before="2"/>
        <w:ind w:right="1277" w:firstLine="419"/>
      </w:pPr>
      <w:r>
        <w:rPr/>
        <w:t>本集团部分子公司为高新技术企业。高新技术企业资质的有效期为三年，到期后需向相关政府部门重新提交高新技术企业认定申请。根据以往年度高新技术企业到期后重新认定的历史经验以及该等子公司的实际情况，本集团认为该等子公司于未来年度能够持续取得高新技术企业认</w:t>
      </w:r>
      <w:r>
        <w:rPr>
          <w:spacing w:val="1"/>
        </w:rPr>
        <w:t> </w:t>
      </w:r>
      <w:r>
        <w:rPr>
          <w:spacing w:val="-9"/>
        </w:rPr>
        <w:t>定，进而按照 </w:t>
      </w:r>
      <w:r>
        <w:rPr/>
        <w:t>15%的优惠税率计算其相应的递延所得税。倘若未来部分子公司于高新技术企业资</w:t>
      </w:r>
      <w:r>
        <w:rPr>
          <w:spacing w:val="-4"/>
        </w:rPr>
        <w:t>质到期后未能取得重新认定，则需按照 </w:t>
      </w:r>
      <w:r>
        <w:rPr/>
        <w:t>25%的法定税率计算所得税，进而将影响已确认的递延所得税资产、递延所得税负债及所得税费用。 </w:t>
      </w:r>
    </w:p>
    <w:p>
      <w:pPr>
        <w:pStyle w:val="BodyText"/>
        <w:spacing w:before="4"/>
      </w:pPr>
      <w:r>
        <w:rPr>
          <w:w w:val="100"/>
        </w:rPr>
        <w:t> </w:t>
      </w:r>
    </w:p>
    <w:p>
      <w:pPr>
        <w:pStyle w:val="BodyText"/>
        <w:spacing w:line="242" w:lineRule="auto" w:before="5"/>
        <w:ind w:right="1277" w:firstLine="419"/>
        <w:jc w:val="both"/>
      </w:pPr>
      <w:r>
        <w:rPr/>
        <w:t>对于能够结转以后年度的可抵扣亏损，本集团以未来期间很可能获得用来抵扣可抵扣亏损的应纳税所得额为限，确认相应的递延所得税资产。未来期间取得的应纳税所得额包括本集团通过正常的生产经营活动能够实现的应纳税所得额，以及以前期间产生的应纳税暂时性差异在未来期间转回时将增加的应纳税所得额。本集团在确定未来期间应纳税所得额取得的时间和金额时，需要运用估计和判断。如果实际情况与估计存在差异，可能导致对递延所得税资产的账面价值进行调整。 </w:t>
      </w:r>
    </w:p>
    <w:p>
      <w:pPr>
        <w:pStyle w:val="BodyText"/>
        <w:spacing w:before="1"/>
      </w:pPr>
      <w:r>
        <w:rPr>
          <w:w w:val="100"/>
        </w:rPr>
        <w:t> </w:t>
      </w:r>
    </w:p>
    <w:p>
      <w:pPr>
        <w:pStyle w:val="ListParagraph"/>
        <w:numPr>
          <w:ilvl w:val="0"/>
          <w:numId w:val="55"/>
        </w:numPr>
        <w:tabs>
          <w:tab w:pos="848" w:val="left" w:leader="none"/>
        </w:tabs>
        <w:spacing w:line="240" w:lineRule="auto" w:before="5" w:after="0"/>
        <w:ind w:left="847" w:right="0" w:hanging="530"/>
        <w:jc w:val="left"/>
        <w:rPr>
          <w:sz w:val="21"/>
        </w:rPr>
      </w:pPr>
      <w:r>
        <w:rPr>
          <w:sz w:val="21"/>
        </w:rPr>
        <w:t>存货可变现净值 </w:t>
      </w:r>
    </w:p>
    <w:p>
      <w:pPr>
        <w:pStyle w:val="BodyText"/>
        <w:tabs>
          <w:tab w:pos="737" w:val="left" w:leader="none"/>
        </w:tabs>
        <w:spacing w:before="3"/>
      </w:pPr>
      <w:r>
        <w:rPr>
          <w:w w:val="100"/>
        </w:rPr>
        <w:t> </w:t>
      </w:r>
      <w:r>
        <w:rPr/>
        <w:tab/>
      </w:r>
      <w:r>
        <w:rPr>
          <w:w w:val="100"/>
        </w:rPr>
        <w:t> </w:t>
      </w:r>
    </w:p>
    <w:p>
      <w:pPr>
        <w:pStyle w:val="BodyText"/>
        <w:spacing w:line="242" w:lineRule="auto" w:before="4"/>
        <w:ind w:right="1277"/>
        <w:jc w:val="both"/>
      </w:pPr>
      <w:r>
        <w:rPr>
          <w:w w:val="100"/>
        </w:rPr>
        <w:t> </w:t>
      </w:r>
      <w:r>
        <w:rPr/>
        <w:t>  </w:t>
      </w:r>
      <w:r>
        <w:rPr>
          <w:spacing w:val="-1"/>
        </w:rPr>
        <w:t> </w:t>
      </w:r>
      <w:r>
        <w:rPr/>
        <w:t>存货按成本与可变现净值孰低计量，包括对于超过一定期限库龄的存货以及过时或毁损的存货品类估计其可变现净值并计提存货跌价准备。可变现净值按日常活动中，以存货的估计售价减去至完工时估计将要发生的成本、估计的合同履约成本和销售费用以及相关税费后的金额确定。该些估计主要根据当时市况及过往经验作出，并会因技术革新、客户喜好及竞争对手面对市况转变所采取行动不同而产生重大差异。管理层于各资产负债表日重新评估该等估计。 </w:t>
      </w:r>
    </w:p>
    <w:p>
      <w:pPr>
        <w:pStyle w:val="BodyText"/>
        <w:tabs>
          <w:tab w:pos="737" w:val="left" w:leader="none"/>
        </w:tabs>
        <w:spacing w:before="2"/>
      </w:pPr>
      <w:r>
        <w:rPr>
          <w:w w:val="100"/>
        </w:rPr>
        <w:t> </w:t>
      </w:r>
      <w:r>
        <w:rPr/>
        <w:tab/>
      </w:r>
      <w:r>
        <w:rPr>
          <w:w w:val="100"/>
        </w:rPr>
        <w:t> </w:t>
      </w:r>
    </w:p>
    <w:p>
      <w:pPr>
        <w:pStyle w:val="ListParagraph"/>
        <w:numPr>
          <w:ilvl w:val="0"/>
          <w:numId w:val="55"/>
        </w:numPr>
        <w:tabs>
          <w:tab w:pos="742" w:val="left" w:leader="none"/>
          <w:tab w:pos="1157" w:val="left" w:leader="none"/>
        </w:tabs>
        <w:spacing w:line="240" w:lineRule="auto" w:before="5" w:after="0"/>
        <w:ind w:left="741" w:right="0" w:hanging="424"/>
        <w:jc w:val="left"/>
        <w:rPr>
          <w:sz w:val="21"/>
        </w:rPr>
      </w:pPr>
      <w:r>
        <w:rPr>
          <w:spacing w:val="-1"/>
          <w:sz w:val="21"/>
        </w:rPr>
        <w:t>固定资产及无形资产的预计净残值及使用寿命或预计受益期</w:t>
      </w:r>
      <w:r>
        <w:rPr>
          <w:sz w:val="21"/>
        </w:rPr>
        <w:t> </w:t>
      </w:r>
    </w:p>
    <w:p>
      <w:pPr>
        <w:pStyle w:val="BodyText"/>
        <w:tabs>
          <w:tab w:pos="737" w:val="left" w:leader="none"/>
        </w:tabs>
        <w:spacing w:before="2"/>
      </w:pPr>
      <w:r>
        <w:rPr>
          <w:w w:val="100"/>
        </w:rPr>
        <w:t> </w:t>
      </w:r>
      <w:r>
        <w:rPr/>
        <w:tab/>
      </w:r>
      <w:r>
        <w:rPr>
          <w:w w:val="100"/>
        </w:rPr>
        <w:t> </w:t>
      </w:r>
    </w:p>
    <w:p>
      <w:pPr>
        <w:spacing w:after="0"/>
        <w:sectPr>
          <w:pgSz w:w="11910" w:h="16840"/>
          <w:pgMar w:header="882" w:footer="1172" w:top="1120" w:bottom="1380" w:left="1480" w:right="0"/>
        </w:sectPr>
      </w:pPr>
    </w:p>
    <w:p>
      <w:pPr>
        <w:pStyle w:val="BodyText"/>
        <w:spacing w:before="7"/>
        <w:ind w:left="0"/>
        <w:rPr>
          <w:sz w:val="25"/>
        </w:rPr>
      </w:pPr>
    </w:p>
    <w:p>
      <w:pPr>
        <w:pStyle w:val="BodyText"/>
        <w:spacing w:line="242" w:lineRule="auto" w:before="72"/>
        <w:ind w:right="1277"/>
        <w:jc w:val="both"/>
      </w:pPr>
      <w:r>
        <w:rPr>
          <w:w w:val="100"/>
        </w:rPr>
        <w:t> </w:t>
      </w:r>
      <w:r>
        <w:rPr/>
        <w:t>  </w:t>
      </w:r>
      <w:r>
        <w:rPr>
          <w:spacing w:val="-1"/>
        </w:rPr>
        <w:t> </w:t>
      </w:r>
      <w:r>
        <w:rPr/>
        <w:t>本集团对固定资产及无形资产等的预计净残值及预计使用寿命作出了估计。该估计是根据同类性质、固定资产及无形资产的实际净残值和预计使用寿命的历史经验作出的，可能由于技术更新或其他原因产生重大改变。当净残值或预计使用寿命小于先前的估计时，本集团将增加折旧及摊销费用。 </w:t>
      </w:r>
    </w:p>
    <w:p>
      <w:pPr>
        <w:pStyle w:val="BodyText"/>
        <w:spacing w:before="3"/>
      </w:pPr>
      <w:r>
        <w:rPr>
          <w:w w:val="100"/>
        </w:rPr>
        <w:t> </w:t>
      </w:r>
    </w:p>
    <w:p>
      <w:pPr>
        <w:pStyle w:val="BodyText"/>
        <w:spacing w:before="5"/>
      </w:pPr>
      <w:r>
        <w:rPr>
          <w:w w:val="100"/>
        </w:rPr>
        <w:t> </w:t>
      </w:r>
    </w:p>
    <w:p>
      <w:pPr>
        <w:pStyle w:val="BodyText"/>
        <w:spacing w:before="2"/>
      </w:pPr>
      <w:r>
        <w:rPr>
          <w:w w:val="100"/>
        </w:rPr>
        <w:t> </w:t>
      </w:r>
    </w:p>
    <w:p>
      <w:pPr>
        <w:pStyle w:val="ListParagraph"/>
        <w:numPr>
          <w:ilvl w:val="0"/>
          <w:numId w:val="36"/>
        </w:numPr>
        <w:tabs>
          <w:tab w:pos="743" w:val="left" w:leader="none"/>
        </w:tabs>
        <w:spacing w:line="295" w:lineRule="auto" w:before="64" w:after="0"/>
        <w:ind w:left="318" w:right="6729" w:firstLine="0"/>
        <w:jc w:val="left"/>
        <w:rPr>
          <w:sz w:val="21"/>
        </w:rPr>
      </w:pPr>
      <w:r>
        <w:rPr>
          <w:sz w:val="21"/>
        </w:rPr>
        <w:t>重要会计政策和会计估计的变更(1).重要会计政策变更 </w:t>
      </w:r>
    </w:p>
    <w:p>
      <w:pPr>
        <w:pStyle w:val="BodyText"/>
        <w:spacing w:before="3"/>
      </w:pPr>
      <w:r>
        <w:rPr>
          <w:spacing w:val="-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BodyText"/>
        <w:spacing w:before="62"/>
      </w:pPr>
      <w:r>
        <w:rPr/>
        <w:t>(2).重要会计估计变更 </w:t>
      </w:r>
    </w:p>
    <w:p>
      <w:pPr>
        <w:pStyle w:val="BodyText"/>
        <w:spacing w:before="65"/>
      </w:pPr>
      <w:r>
        <w:rPr>
          <w:spacing w:val="-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BodyText"/>
        <w:spacing w:before="62"/>
      </w:pPr>
      <w:r>
        <w:rPr/>
        <w:t>(3).</w:t>
      </w:r>
      <w:r>
        <w:rPr>
          <w:rFonts w:ascii="Times New Roman" w:eastAsia="Times New Roman"/>
          <w:b/>
        </w:rPr>
        <w:t>2022</w:t>
      </w:r>
      <w:r>
        <w:rPr>
          <w:rFonts w:ascii="Times New Roman" w:eastAsia="Times New Roman"/>
          <w:b/>
          <w:spacing w:val="2"/>
        </w:rPr>
        <w:t> </w:t>
      </w:r>
      <w:r>
        <w:rPr/>
        <w:t>年起首次执行新会计准则或准则解释等涉及调整首次执行当年年初的财务报表 </w:t>
      </w:r>
    </w:p>
    <w:p>
      <w:pPr>
        <w:pStyle w:val="BodyText"/>
        <w:spacing w:before="64"/>
      </w:pPr>
      <w:r>
        <w:rPr>
          <w:spacing w:val="-1"/>
        </w:rPr>
        <w:t>□适用 √不适用</w:t>
      </w:r>
      <w:r>
        <w:rPr>
          <w:spacing w:val="-3"/>
        </w:rPr>
        <w:t> </w:t>
      </w:r>
      <w:r>
        <w:rPr/>
        <w:t> </w:t>
      </w:r>
    </w:p>
    <w:p>
      <w:pPr>
        <w:pStyle w:val="BodyText"/>
        <w:spacing w:before="3"/>
      </w:pPr>
      <w:r>
        <w:rPr>
          <w:w w:val="100"/>
        </w:rPr>
        <w:t> </w:t>
      </w:r>
    </w:p>
    <w:p>
      <w:pPr>
        <w:pStyle w:val="ListParagraph"/>
        <w:numPr>
          <w:ilvl w:val="0"/>
          <w:numId w:val="36"/>
        </w:numPr>
        <w:tabs>
          <w:tab w:pos="743" w:val="left" w:leader="none"/>
        </w:tabs>
        <w:spacing w:line="240" w:lineRule="auto" w:before="62" w:after="0"/>
        <w:ind w:left="742" w:right="0" w:hanging="425"/>
        <w:jc w:val="left"/>
        <w:rPr>
          <w:sz w:val="21"/>
        </w:rPr>
      </w:pPr>
      <w:r>
        <w:rPr>
          <w:sz w:val="21"/>
        </w:rPr>
        <w:t>其他</w:t>
      </w:r>
    </w:p>
    <w:p>
      <w:pPr>
        <w:pStyle w:val="BodyText"/>
        <w:spacing w:before="64"/>
      </w:pPr>
      <w:r>
        <w:rPr>
          <w:spacing w:val="11"/>
        </w:rPr>
        <w:t>□适用 √不适用</w:t>
      </w:r>
      <w:r>
        <w:rPr>
          <w:spacing w:val="-3"/>
        </w:rPr>
        <w:t> </w:t>
      </w:r>
      <w:r>
        <w:rPr/>
        <w:t> </w:t>
      </w:r>
    </w:p>
    <w:p>
      <w:pPr>
        <w:pStyle w:val="BodyText"/>
        <w:spacing w:before="2"/>
      </w:pPr>
      <w:r>
        <w:rPr>
          <w:w w:val="100"/>
        </w:rPr>
        <w:t> </w:t>
      </w:r>
    </w:p>
    <w:p>
      <w:pPr>
        <w:pStyle w:val="BodyText"/>
        <w:spacing w:before="65"/>
      </w:pPr>
      <w:r>
        <w:rPr>
          <w:spacing w:val="-22"/>
        </w:rPr>
        <w:t>六、 税项 </w:t>
      </w:r>
    </w:p>
    <w:p>
      <w:pPr>
        <w:pStyle w:val="ListParagraph"/>
        <w:numPr>
          <w:ilvl w:val="0"/>
          <w:numId w:val="56"/>
        </w:numPr>
        <w:tabs>
          <w:tab w:pos="743" w:val="left" w:leader="none"/>
        </w:tabs>
        <w:spacing w:line="297" w:lineRule="auto" w:before="62" w:after="0"/>
        <w:ind w:left="318" w:right="8109" w:firstLine="0"/>
        <w:jc w:val="left"/>
        <w:rPr>
          <w:sz w:val="21"/>
        </w:rPr>
      </w:pPr>
      <w:r>
        <w:rPr>
          <w:sz w:val="21"/>
        </w:rPr>
        <w:t>主要税种及税率主要税种及税率情况 </w:t>
      </w:r>
    </w:p>
    <w:p>
      <w:pPr>
        <w:pStyle w:val="BodyText"/>
        <w:spacing w:line="207" w:lineRule="exact" w:after="4"/>
      </w:pPr>
      <w:r>
        <w:rPr>
          <w:spacing w:val="-1"/>
        </w:rPr>
        <w:t>√适用 □不适用</w:t>
      </w:r>
      <w:r>
        <w:rPr>
          <w:spacing w:val="-3"/>
        </w:rPr>
        <w:t> </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13"/>
        <w:gridCol w:w="3068"/>
        <w:gridCol w:w="3044"/>
      </w:tblGrid>
      <w:tr>
        <w:trPr>
          <w:trHeight w:val="270" w:hRule="atLeast"/>
        </w:trPr>
        <w:tc>
          <w:tcPr>
            <w:tcW w:w="2713" w:type="dxa"/>
          </w:tcPr>
          <w:p>
            <w:pPr>
              <w:pStyle w:val="TableParagraph"/>
              <w:spacing w:line="250" w:lineRule="exact" w:before="1"/>
              <w:ind w:left="1177" w:right="1066"/>
              <w:jc w:val="center"/>
              <w:rPr>
                <w:sz w:val="21"/>
              </w:rPr>
            </w:pPr>
            <w:r>
              <w:rPr>
                <w:sz w:val="21"/>
              </w:rPr>
              <w:t>税种 </w:t>
            </w:r>
          </w:p>
        </w:tc>
        <w:tc>
          <w:tcPr>
            <w:tcW w:w="3068" w:type="dxa"/>
          </w:tcPr>
          <w:p>
            <w:pPr>
              <w:pStyle w:val="TableParagraph"/>
              <w:spacing w:line="250" w:lineRule="exact" w:before="1"/>
              <w:ind w:left="1112"/>
              <w:rPr>
                <w:sz w:val="21"/>
              </w:rPr>
            </w:pPr>
            <w:r>
              <w:rPr>
                <w:spacing w:val="-1"/>
                <w:sz w:val="21"/>
              </w:rPr>
              <w:t>计税依据</w:t>
            </w:r>
            <w:r>
              <w:rPr>
                <w:sz w:val="21"/>
              </w:rPr>
              <w:t> </w:t>
            </w:r>
          </w:p>
        </w:tc>
        <w:tc>
          <w:tcPr>
            <w:tcW w:w="3044" w:type="dxa"/>
          </w:tcPr>
          <w:p>
            <w:pPr>
              <w:pStyle w:val="TableParagraph"/>
              <w:spacing w:line="250" w:lineRule="exact" w:before="1"/>
              <w:ind w:left="1342" w:right="1231"/>
              <w:jc w:val="center"/>
              <w:rPr>
                <w:sz w:val="21"/>
              </w:rPr>
            </w:pPr>
            <w:r>
              <w:rPr>
                <w:sz w:val="21"/>
              </w:rPr>
              <w:t>税率 </w:t>
            </w:r>
          </w:p>
        </w:tc>
      </w:tr>
      <w:tr>
        <w:trPr>
          <w:trHeight w:val="1091" w:hRule="atLeast"/>
        </w:trPr>
        <w:tc>
          <w:tcPr>
            <w:tcW w:w="2713" w:type="dxa"/>
          </w:tcPr>
          <w:p>
            <w:pPr>
              <w:pStyle w:val="TableParagraph"/>
              <w:spacing w:before="3"/>
              <w:ind w:left="107"/>
              <w:rPr>
                <w:sz w:val="21"/>
              </w:rPr>
            </w:pPr>
            <w:r>
              <w:rPr>
                <w:sz w:val="21"/>
              </w:rPr>
              <w:t>增值税 </w:t>
            </w:r>
          </w:p>
        </w:tc>
        <w:tc>
          <w:tcPr>
            <w:tcW w:w="3068" w:type="dxa"/>
          </w:tcPr>
          <w:p>
            <w:pPr>
              <w:pStyle w:val="TableParagraph"/>
              <w:spacing w:line="242" w:lineRule="auto" w:before="3"/>
              <w:ind w:left="107" w:right="111"/>
              <w:rPr>
                <w:sz w:val="21"/>
              </w:rPr>
            </w:pPr>
            <w:r>
              <w:rPr>
                <w:spacing w:val="-1"/>
                <w:sz w:val="21"/>
              </w:rPr>
              <w:t>应纳税增值额(应纳税额按应纳</w:t>
            </w:r>
            <w:r>
              <w:rPr>
                <w:sz w:val="21"/>
              </w:rPr>
              <w:t>税销售额乘以适用税率扣除当期允许抵扣的进项税额后的余</w:t>
            </w:r>
          </w:p>
          <w:p>
            <w:pPr>
              <w:pStyle w:val="TableParagraph"/>
              <w:spacing w:line="252" w:lineRule="exact" w:before="1"/>
              <w:ind w:left="107"/>
              <w:rPr>
                <w:sz w:val="21"/>
              </w:rPr>
            </w:pPr>
            <w:r>
              <w:rPr>
                <w:spacing w:val="-1"/>
                <w:sz w:val="21"/>
              </w:rPr>
              <w:t>额计算)</w:t>
            </w:r>
            <w:r>
              <w:rPr>
                <w:sz w:val="21"/>
              </w:rPr>
              <w:t> </w:t>
            </w:r>
          </w:p>
        </w:tc>
        <w:tc>
          <w:tcPr>
            <w:tcW w:w="3044" w:type="dxa"/>
          </w:tcPr>
          <w:p>
            <w:pPr>
              <w:pStyle w:val="TableParagraph"/>
              <w:spacing w:before="3"/>
              <w:ind w:left="106"/>
              <w:rPr>
                <w:sz w:val="21"/>
              </w:rPr>
            </w:pPr>
            <w:r>
              <w:rPr>
                <w:sz w:val="21"/>
              </w:rPr>
              <w:t>3%-13% </w:t>
            </w:r>
          </w:p>
        </w:tc>
      </w:tr>
      <w:tr>
        <w:trPr>
          <w:trHeight w:val="270" w:hRule="atLeast"/>
        </w:trPr>
        <w:tc>
          <w:tcPr>
            <w:tcW w:w="2713" w:type="dxa"/>
          </w:tcPr>
          <w:p>
            <w:pPr>
              <w:pStyle w:val="TableParagraph"/>
              <w:spacing w:line="250" w:lineRule="exact" w:before="1"/>
              <w:ind w:left="107"/>
              <w:rPr>
                <w:sz w:val="21"/>
              </w:rPr>
            </w:pPr>
            <w:r>
              <w:rPr>
                <w:sz w:val="21"/>
              </w:rPr>
              <w:t>消费税 </w:t>
            </w:r>
          </w:p>
        </w:tc>
        <w:tc>
          <w:tcPr>
            <w:tcW w:w="3068" w:type="dxa"/>
          </w:tcPr>
          <w:p>
            <w:pPr>
              <w:pStyle w:val="TableParagraph"/>
              <w:spacing w:line="250" w:lineRule="exact" w:before="1"/>
              <w:ind w:left="107"/>
              <w:rPr>
                <w:sz w:val="21"/>
              </w:rPr>
            </w:pPr>
            <w:r>
              <w:rPr>
                <w:w w:val="100"/>
                <w:sz w:val="21"/>
              </w:rPr>
              <w:t> </w:t>
            </w:r>
          </w:p>
        </w:tc>
        <w:tc>
          <w:tcPr>
            <w:tcW w:w="3044" w:type="dxa"/>
          </w:tcPr>
          <w:p>
            <w:pPr>
              <w:pStyle w:val="TableParagraph"/>
              <w:spacing w:line="250" w:lineRule="exact" w:before="1"/>
              <w:ind w:left="106"/>
              <w:rPr>
                <w:sz w:val="21"/>
              </w:rPr>
            </w:pPr>
            <w:r>
              <w:rPr>
                <w:w w:val="100"/>
                <w:sz w:val="21"/>
              </w:rPr>
              <w:t> </w:t>
            </w:r>
          </w:p>
        </w:tc>
      </w:tr>
      <w:tr>
        <w:trPr>
          <w:trHeight w:val="273" w:hRule="atLeast"/>
        </w:trPr>
        <w:tc>
          <w:tcPr>
            <w:tcW w:w="2713" w:type="dxa"/>
          </w:tcPr>
          <w:p>
            <w:pPr>
              <w:pStyle w:val="TableParagraph"/>
              <w:spacing w:line="252" w:lineRule="exact" w:before="1"/>
              <w:ind w:left="107"/>
              <w:rPr>
                <w:sz w:val="21"/>
              </w:rPr>
            </w:pPr>
            <w:r>
              <w:rPr>
                <w:sz w:val="21"/>
              </w:rPr>
              <w:t>营业税 </w:t>
            </w:r>
          </w:p>
        </w:tc>
        <w:tc>
          <w:tcPr>
            <w:tcW w:w="3068" w:type="dxa"/>
          </w:tcPr>
          <w:p>
            <w:pPr>
              <w:pStyle w:val="TableParagraph"/>
              <w:spacing w:line="252" w:lineRule="exact" w:before="1"/>
              <w:ind w:left="107"/>
              <w:rPr>
                <w:sz w:val="21"/>
              </w:rPr>
            </w:pPr>
            <w:r>
              <w:rPr>
                <w:w w:val="100"/>
                <w:sz w:val="21"/>
              </w:rPr>
              <w:t> </w:t>
            </w:r>
          </w:p>
        </w:tc>
        <w:tc>
          <w:tcPr>
            <w:tcW w:w="3044" w:type="dxa"/>
          </w:tcPr>
          <w:p>
            <w:pPr>
              <w:pStyle w:val="TableParagraph"/>
              <w:spacing w:line="252" w:lineRule="exact" w:before="1"/>
              <w:ind w:left="106"/>
              <w:rPr>
                <w:sz w:val="21"/>
              </w:rPr>
            </w:pPr>
            <w:r>
              <w:rPr>
                <w:w w:val="100"/>
                <w:sz w:val="21"/>
              </w:rPr>
              <w:t> </w:t>
            </w:r>
          </w:p>
        </w:tc>
      </w:tr>
      <w:tr>
        <w:trPr>
          <w:trHeight w:val="270" w:hRule="atLeast"/>
        </w:trPr>
        <w:tc>
          <w:tcPr>
            <w:tcW w:w="2713" w:type="dxa"/>
          </w:tcPr>
          <w:p>
            <w:pPr>
              <w:pStyle w:val="TableParagraph"/>
              <w:spacing w:line="250" w:lineRule="exact" w:before="1"/>
              <w:ind w:left="107"/>
              <w:rPr>
                <w:sz w:val="21"/>
              </w:rPr>
            </w:pPr>
            <w:r>
              <w:rPr>
                <w:spacing w:val="-1"/>
                <w:sz w:val="21"/>
              </w:rPr>
              <w:t>城市维护建设税</w:t>
            </w:r>
            <w:r>
              <w:rPr>
                <w:sz w:val="21"/>
              </w:rPr>
              <w:t> </w:t>
            </w:r>
          </w:p>
        </w:tc>
        <w:tc>
          <w:tcPr>
            <w:tcW w:w="3068" w:type="dxa"/>
          </w:tcPr>
          <w:p>
            <w:pPr>
              <w:pStyle w:val="TableParagraph"/>
              <w:spacing w:line="250" w:lineRule="exact" w:before="1"/>
              <w:ind w:left="107"/>
              <w:rPr>
                <w:sz w:val="21"/>
              </w:rPr>
            </w:pPr>
            <w:r>
              <w:rPr>
                <w:spacing w:val="-1"/>
                <w:sz w:val="21"/>
              </w:rPr>
              <w:t>缴纳的增值税税额</w:t>
            </w:r>
            <w:r>
              <w:rPr>
                <w:sz w:val="21"/>
              </w:rPr>
              <w:t> </w:t>
            </w:r>
          </w:p>
        </w:tc>
        <w:tc>
          <w:tcPr>
            <w:tcW w:w="3044" w:type="dxa"/>
          </w:tcPr>
          <w:p>
            <w:pPr>
              <w:pStyle w:val="TableParagraph"/>
              <w:spacing w:line="250" w:lineRule="exact" w:before="1"/>
              <w:ind w:left="106"/>
              <w:rPr>
                <w:sz w:val="21"/>
              </w:rPr>
            </w:pPr>
            <w:r>
              <w:rPr>
                <w:sz w:val="21"/>
              </w:rPr>
              <w:t>5%-7% </w:t>
            </w:r>
          </w:p>
        </w:tc>
      </w:tr>
      <w:tr>
        <w:trPr>
          <w:trHeight w:val="273" w:hRule="atLeast"/>
        </w:trPr>
        <w:tc>
          <w:tcPr>
            <w:tcW w:w="2713" w:type="dxa"/>
          </w:tcPr>
          <w:p>
            <w:pPr>
              <w:pStyle w:val="TableParagraph"/>
              <w:spacing w:line="250" w:lineRule="exact" w:before="3"/>
              <w:ind w:left="107"/>
              <w:rPr>
                <w:sz w:val="21"/>
              </w:rPr>
            </w:pPr>
            <w:r>
              <w:rPr>
                <w:sz w:val="21"/>
              </w:rPr>
              <w:t>企业所得税 </w:t>
            </w:r>
          </w:p>
        </w:tc>
        <w:tc>
          <w:tcPr>
            <w:tcW w:w="3068" w:type="dxa"/>
          </w:tcPr>
          <w:p>
            <w:pPr>
              <w:pStyle w:val="TableParagraph"/>
              <w:spacing w:line="250" w:lineRule="exact" w:before="3"/>
              <w:ind w:left="107"/>
              <w:rPr>
                <w:sz w:val="21"/>
              </w:rPr>
            </w:pPr>
            <w:r>
              <w:rPr>
                <w:w w:val="100"/>
                <w:sz w:val="21"/>
              </w:rPr>
              <w:t> </w:t>
            </w:r>
          </w:p>
        </w:tc>
        <w:tc>
          <w:tcPr>
            <w:tcW w:w="3044" w:type="dxa"/>
          </w:tcPr>
          <w:p>
            <w:pPr>
              <w:pStyle w:val="TableParagraph"/>
              <w:spacing w:line="250" w:lineRule="exact" w:before="3"/>
              <w:ind w:left="106"/>
              <w:rPr>
                <w:sz w:val="21"/>
              </w:rPr>
            </w:pPr>
            <w:r>
              <w:rPr>
                <w:w w:val="100"/>
                <w:sz w:val="21"/>
              </w:rPr>
              <w:t> </w:t>
            </w:r>
          </w:p>
        </w:tc>
      </w:tr>
      <w:tr>
        <w:trPr>
          <w:trHeight w:val="273" w:hRule="atLeast"/>
        </w:trPr>
        <w:tc>
          <w:tcPr>
            <w:tcW w:w="2713" w:type="dxa"/>
          </w:tcPr>
          <w:p>
            <w:pPr>
              <w:pStyle w:val="TableParagraph"/>
              <w:spacing w:line="252" w:lineRule="exact" w:before="1"/>
              <w:ind w:left="107"/>
              <w:rPr>
                <w:sz w:val="21"/>
              </w:rPr>
            </w:pPr>
            <w:r>
              <w:rPr>
                <w:sz w:val="21"/>
              </w:rPr>
              <w:t>教育费附加 </w:t>
            </w:r>
          </w:p>
        </w:tc>
        <w:tc>
          <w:tcPr>
            <w:tcW w:w="3068" w:type="dxa"/>
          </w:tcPr>
          <w:p>
            <w:pPr>
              <w:pStyle w:val="TableParagraph"/>
              <w:spacing w:line="252" w:lineRule="exact" w:before="1"/>
              <w:ind w:left="107"/>
              <w:rPr>
                <w:sz w:val="21"/>
              </w:rPr>
            </w:pPr>
            <w:r>
              <w:rPr>
                <w:spacing w:val="-1"/>
                <w:sz w:val="21"/>
              </w:rPr>
              <w:t>缴纳的增值税税额</w:t>
            </w:r>
            <w:r>
              <w:rPr>
                <w:sz w:val="21"/>
              </w:rPr>
              <w:t> </w:t>
            </w:r>
          </w:p>
        </w:tc>
        <w:tc>
          <w:tcPr>
            <w:tcW w:w="3044" w:type="dxa"/>
          </w:tcPr>
          <w:p>
            <w:pPr>
              <w:pStyle w:val="TableParagraph"/>
              <w:spacing w:line="252" w:lineRule="exact" w:before="1"/>
              <w:ind w:left="106"/>
              <w:rPr>
                <w:sz w:val="21"/>
              </w:rPr>
            </w:pPr>
            <w:r>
              <w:rPr>
                <w:sz w:val="21"/>
              </w:rPr>
              <w:t>3% </w:t>
            </w:r>
          </w:p>
        </w:tc>
      </w:tr>
      <w:tr>
        <w:trPr>
          <w:trHeight w:val="270" w:hRule="atLeast"/>
        </w:trPr>
        <w:tc>
          <w:tcPr>
            <w:tcW w:w="2713" w:type="dxa"/>
          </w:tcPr>
          <w:p>
            <w:pPr>
              <w:pStyle w:val="TableParagraph"/>
              <w:spacing w:line="250" w:lineRule="exact" w:before="1"/>
              <w:ind w:left="107"/>
              <w:rPr>
                <w:sz w:val="21"/>
              </w:rPr>
            </w:pPr>
            <w:r>
              <w:rPr>
                <w:spacing w:val="-1"/>
                <w:sz w:val="21"/>
              </w:rPr>
              <w:t>地方教育费附加</w:t>
            </w:r>
            <w:r>
              <w:rPr>
                <w:sz w:val="21"/>
              </w:rPr>
              <w:t> </w:t>
            </w:r>
          </w:p>
        </w:tc>
        <w:tc>
          <w:tcPr>
            <w:tcW w:w="3068" w:type="dxa"/>
          </w:tcPr>
          <w:p>
            <w:pPr>
              <w:pStyle w:val="TableParagraph"/>
              <w:spacing w:line="250" w:lineRule="exact" w:before="1"/>
              <w:ind w:left="107"/>
              <w:rPr>
                <w:sz w:val="21"/>
              </w:rPr>
            </w:pPr>
            <w:r>
              <w:rPr>
                <w:spacing w:val="-1"/>
                <w:sz w:val="21"/>
              </w:rPr>
              <w:t>缴纳的增值税税额</w:t>
            </w:r>
            <w:r>
              <w:rPr>
                <w:sz w:val="21"/>
              </w:rPr>
              <w:t> </w:t>
            </w:r>
          </w:p>
        </w:tc>
        <w:tc>
          <w:tcPr>
            <w:tcW w:w="3044" w:type="dxa"/>
          </w:tcPr>
          <w:p>
            <w:pPr>
              <w:pStyle w:val="TableParagraph"/>
              <w:spacing w:line="250" w:lineRule="exact" w:before="1"/>
              <w:ind w:left="106"/>
              <w:rPr>
                <w:sz w:val="21"/>
              </w:rPr>
            </w:pPr>
            <w:r>
              <w:rPr>
                <w:sz w:val="21"/>
              </w:rPr>
              <w:t>2% </w:t>
            </w:r>
          </w:p>
        </w:tc>
      </w:tr>
      <w:tr>
        <w:trPr>
          <w:trHeight w:val="273" w:hRule="atLeast"/>
        </w:trPr>
        <w:tc>
          <w:tcPr>
            <w:tcW w:w="2713" w:type="dxa"/>
          </w:tcPr>
          <w:p>
            <w:pPr>
              <w:pStyle w:val="TableParagraph"/>
              <w:spacing w:line="250" w:lineRule="exact" w:before="4"/>
              <w:ind w:left="107"/>
              <w:rPr>
                <w:sz w:val="21"/>
              </w:rPr>
            </w:pPr>
            <w:r>
              <w:rPr>
                <w:sz w:val="21"/>
              </w:rPr>
              <w:t>-中国大陆 </w:t>
            </w:r>
          </w:p>
        </w:tc>
        <w:tc>
          <w:tcPr>
            <w:tcW w:w="3068" w:type="dxa"/>
          </w:tcPr>
          <w:p>
            <w:pPr>
              <w:pStyle w:val="TableParagraph"/>
              <w:spacing w:line="250" w:lineRule="exact" w:before="4"/>
              <w:ind w:left="107"/>
              <w:rPr>
                <w:sz w:val="21"/>
              </w:rPr>
            </w:pPr>
            <w:r>
              <w:rPr>
                <w:spacing w:val="-1"/>
                <w:sz w:val="21"/>
              </w:rPr>
              <w:t>应纳税所得额</w:t>
            </w:r>
            <w:r>
              <w:rPr>
                <w:sz w:val="21"/>
              </w:rPr>
              <w:t> </w:t>
            </w:r>
          </w:p>
        </w:tc>
        <w:tc>
          <w:tcPr>
            <w:tcW w:w="3044" w:type="dxa"/>
          </w:tcPr>
          <w:p>
            <w:pPr>
              <w:pStyle w:val="TableParagraph"/>
              <w:spacing w:line="250" w:lineRule="exact" w:before="4"/>
              <w:ind w:left="106"/>
              <w:rPr>
                <w:sz w:val="21"/>
              </w:rPr>
            </w:pPr>
            <w:r>
              <w:rPr>
                <w:sz w:val="21"/>
              </w:rPr>
              <w:t>15%，25% </w:t>
            </w:r>
          </w:p>
        </w:tc>
      </w:tr>
      <w:tr>
        <w:trPr>
          <w:trHeight w:val="273" w:hRule="atLeast"/>
        </w:trPr>
        <w:tc>
          <w:tcPr>
            <w:tcW w:w="2713" w:type="dxa"/>
          </w:tcPr>
          <w:p>
            <w:pPr>
              <w:pStyle w:val="TableParagraph"/>
              <w:spacing w:line="252" w:lineRule="exact" w:before="1"/>
              <w:ind w:left="107"/>
              <w:rPr>
                <w:sz w:val="21"/>
              </w:rPr>
            </w:pPr>
            <w:r>
              <w:rPr>
                <w:sz w:val="21"/>
              </w:rPr>
              <w:t>-中国港澳台地区 </w:t>
            </w:r>
          </w:p>
        </w:tc>
        <w:tc>
          <w:tcPr>
            <w:tcW w:w="3068" w:type="dxa"/>
          </w:tcPr>
          <w:p>
            <w:pPr>
              <w:pStyle w:val="TableParagraph"/>
              <w:spacing w:line="252" w:lineRule="exact" w:before="1"/>
              <w:ind w:left="107"/>
              <w:rPr>
                <w:sz w:val="21"/>
              </w:rPr>
            </w:pPr>
            <w:r>
              <w:rPr>
                <w:spacing w:val="-1"/>
                <w:sz w:val="21"/>
              </w:rPr>
              <w:t>应纳税所得额</w:t>
            </w:r>
            <w:r>
              <w:rPr>
                <w:sz w:val="21"/>
              </w:rPr>
              <w:t> </w:t>
            </w:r>
          </w:p>
        </w:tc>
        <w:tc>
          <w:tcPr>
            <w:tcW w:w="3044" w:type="dxa"/>
          </w:tcPr>
          <w:p>
            <w:pPr>
              <w:pStyle w:val="TableParagraph"/>
              <w:spacing w:line="252" w:lineRule="exact" w:before="1"/>
              <w:ind w:left="106"/>
              <w:rPr>
                <w:sz w:val="21"/>
              </w:rPr>
            </w:pPr>
            <w:r>
              <w:rPr>
                <w:sz w:val="21"/>
              </w:rPr>
              <w:t>16.5%，20% </w:t>
            </w:r>
          </w:p>
        </w:tc>
      </w:tr>
      <w:tr>
        <w:trPr>
          <w:trHeight w:val="270" w:hRule="atLeast"/>
        </w:trPr>
        <w:tc>
          <w:tcPr>
            <w:tcW w:w="2713" w:type="dxa"/>
          </w:tcPr>
          <w:p>
            <w:pPr>
              <w:pStyle w:val="TableParagraph"/>
              <w:spacing w:line="250" w:lineRule="exact" w:before="1"/>
              <w:ind w:left="107"/>
              <w:rPr>
                <w:sz w:val="21"/>
              </w:rPr>
            </w:pPr>
            <w:r>
              <w:rPr>
                <w:sz w:val="21"/>
              </w:rPr>
              <w:t>-海外地区 </w:t>
            </w:r>
          </w:p>
        </w:tc>
        <w:tc>
          <w:tcPr>
            <w:tcW w:w="3068" w:type="dxa"/>
          </w:tcPr>
          <w:p>
            <w:pPr>
              <w:pStyle w:val="TableParagraph"/>
              <w:spacing w:line="250" w:lineRule="exact" w:before="1"/>
              <w:ind w:left="107"/>
              <w:rPr>
                <w:sz w:val="21"/>
              </w:rPr>
            </w:pPr>
            <w:r>
              <w:rPr>
                <w:spacing w:val="-1"/>
                <w:sz w:val="21"/>
              </w:rPr>
              <w:t>应纳税所得额</w:t>
            </w:r>
            <w:r>
              <w:rPr>
                <w:sz w:val="21"/>
              </w:rPr>
              <w:t> </w:t>
            </w:r>
          </w:p>
        </w:tc>
        <w:tc>
          <w:tcPr>
            <w:tcW w:w="3044" w:type="dxa"/>
          </w:tcPr>
          <w:p>
            <w:pPr>
              <w:pStyle w:val="TableParagraph"/>
              <w:spacing w:line="250" w:lineRule="exact" w:before="1"/>
              <w:ind w:left="106"/>
              <w:rPr>
                <w:sz w:val="21"/>
              </w:rPr>
            </w:pPr>
            <w:r>
              <w:rPr>
                <w:sz w:val="21"/>
              </w:rPr>
              <w:t>0%-36.88% </w:t>
            </w:r>
          </w:p>
        </w:tc>
      </w:tr>
    </w:tbl>
    <w:p>
      <w:pPr>
        <w:pStyle w:val="BodyText"/>
        <w:spacing w:before="1"/>
      </w:pPr>
      <w:r>
        <w:rPr>
          <w:w w:val="100"/>
        </w:rPr>
        <w:t> </w:t>
      </w:r>
    </w:p>
    <w:p>
      <w:pPr>
        <w:pStyle w:val="BodyText"/>
        <w:spacing w:before="4"/>
      </w:pPr>
      <w:r>
        <w:rPr>
          <w:spacing w:val="-1"/>
        </w:rPr>
        <w:t>存在不同企业所得税税率纳税主体的，披露情况说明 </w:t>
      </w:r>
    </w:p>
    <w:p>
      <w:pPr>
        <w:pStyle w:val="BodyText"/>
        <w:spacing w:before="3" w:after="3"/>
      </w:pPr>
      <w:r>
        <w:rPr>
          <w:spacing w:val="-1"/>
        </w:rPr>
        <w:t>√适用 □不适用</w:t>
      </w:r>
      <w:r>
        <w:rPr>
          <w:spacing w:val="-3"/>
        </w:rPr>
        <w:t> </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89"/>
        <w:gridCol w:w="4335"/>
      </w:tblGrid>
      <w:tr>
        <w:trPr>
          <w:trHeight w:val="273" w:hRule="atLeast"/>
        </w:trPr>
        <w:tc>
          <w:tcPr>
            <w:tcW w:w="4489" w:type="dxa"/>
            <w:tcBorders>
              <w:bottom w:val="single" w:sz="6" w:space="0" w:color="000000"/>
              <w:right w:val="single" w:sz="6" w:space="0" w:color="000000"/>
            </w:tcBorders>
          </w:tcPr>
          <w:p>
            <w:pPr>
              <w:pStyle w:val="TableParagraph"/>
              <w:spacing w:line="252" w:lineRule="exact" w:before="1"/>
              <w:ind w:left="1648" w:right="1534"/>
              <w:jc w:val="center"/>
              <w:rPr>
                <w:sz w:val="21"/>
              </w:rPr>
            </w:pPr>
            <w:r>
              <w:rPr>
                <w:spacing w:val="-1"/>
                <w:sz w:val="21"/>
              </w:rPr>
              <w:t>纳税主体名称</w:t>
            </w:r>
            <w:r>
              <w:rPr>
                <w:sz w:val="21"/>
              </w:rPr>
              <w:t> </w:t>
            </w:r>
          </w:p>
        </w:tc>
        <w:tc>
          <w:tcPr>
            <w:tcW w:w="4335" w:type="dxa"/>
            <w:tcBorders>
              <w:left w:val="single" w:sz="6" w:space="0" w:color="000000"/>
              <w:bottom w:val="single" w:sz="6" w:space="0" w:color="000000"/>
            </w:tcBorders>
          </w:tcPr>
          <w:p>
            <w:pPr>
              <w:pStyle w:val="TableParagraph"/>
              <w:spacing w:line="252" w:lineRule="exact" w:before="1"/>
              <w:ind w:left="1374"/>
              <w:rPr>
                <w:sz w:val="21"/>
              </w:rPr>
            </w:pPr>
            <w:r>
              <w:rPr>
                <w:spacing w:val="-1"/>
                <w:sz w:val="21"/>
              </w:rPr>
              <w:t>所得税税率</w:t>
            </w:r>
            <w:r>
              <w:rPr>
                <w:sz w:val="21"/>
              </w:rPr>
              <w:t>（%） </w:t>
            </w:r>
          </w:p>
        </w:tc>
      </w:tr>
      <w:tr>
        <w:trPr>
          <w:trHeight w:val="270"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1"/>
                <w:sz w:val="21"/>
              </w:rPr>
              <w:t>富士康工业互联网股份有限公司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0.25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1"/>
                <w:sz w:val="21"/>
              </w:rPr>
              <w:t>南宁富联富桂精密工业有限公司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0.15 </w:t>
            </w:r>
          </w:p>
        </w:tc>
      </w:tr>
      <w:tr>
        <w:trPr>
          <w:trHeight w:val="273" w:hRule="atLeast"/>
        </w:trPr>
        <w:tc>
          <w:tcPr>
            <w:tcW w:w="4489" w:type="dxa"/>
            <w:tcBorders>
              <w:top w:val="single" w:sz="6" w:space="0" w:color="000000"/>
              <w:right w:val="single" w:sz="6" w:space="0" w:color="000000"/>
            </w:tcBorders>
          </w:tcPr>
          <w:p>
            <w:pPr>
              <w:pStyle w:val="TableParagraph"/>
              <w:spacing w:line="252" w:lineRule="exact" w:before="1"/>
              <w:ind w:left="107"/>
              <w:rPr>
                <w:sz w:val="21"/>
              </w:rPr>
            </w:pPr>
            <w:r>
              <w:rPr>
                <w:spacing w:val="-1"/>
                <w:sz w:val="21"/>
              </w:rPr>
              <w:t>重庆富桂电子有限公司</w:t>
            </w:r>
            <w:r>
              <w:rPr>
                <w:sz w:val="21"/>
              </w:rPr>
              <w:t> </w:t>
            </w:r>
          </w:p>
        </w:tc>
        <w:tc>
          <w:tcPr>
            <w:tcW w:w="4335" w:type="dxa"/>
            <w:tcBorders>
              <w:top w:val="single" w:sz="6" w:space="0" w:color="000000"/>
              <w:left w:val="single" w:sz="6" w:space="0" w:color="000000"/>
            </w:tcBorders>
          </w:tcPr>
          <w:p>
            <w:pPr>
              <w:pStyle w:val="TableParagraph"/>
              <w:spacing w:line="252" w:lineRule="exact" w:before="1"/>
              <w:ind w:right="-15"/>
              <w:jc w:val="right"/>
              <w:rPr>
                <w:sz w:val="21"/>
              </w:rPr>
            </w:pPr>
            <w:r>
              <w:rPr>
                <w:sz w:val="21"/>
              </w:rPr>
              <w:t>0.25 </w:t>
            </w:r>
          </w:p>
        </w:tc>
      </w:tr>
    </w:tbl>
    <w:p>
      <w:pPr>
        <w:spacing w:after="0" w:line="252" w:lineRule="exact"/>
        <w:jc w:val="right"/>
        <w:rPr>
          <w:sz w:val="21"/>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89"/>
        <w:gridCol w:w="4335"/>
      </w:tblGrid>
      <w:tr>
        <w:trPr>
          <w:trHeight w:val="273" w:hRule="atLeast"/>
        </w:trPr>
        <w:tc>
          <w:tcPr>
            <w:tcW w:w="4489" w:type="dxa"/>
            <w:tcBorders>
              <w:bottom w:val="single" w:sz="6" w:space="0" w:color="000000"/>
              <w:right w:val="single" w:sz="6" w:space="0" w:color="000000"/>
            </w:tcBorders>
          </w:tcPr>
          <w:p>
            <w:pPr>
              <w:pStyle w:val="TableParagraph"/>
              <w:spacing w:line="250" w:lineRule="exact" w:before="3"/>
              <w:ind w:left="107"/>
              <w:rPr>
                <w:sz w:val="21"/>
              </w:rPr>
            </w:pPr>
            <w:r>
              <w:rPr>
                <w:spacing w:val="-1"/>
                <w:sz w:val="21"/>
              </w:rPr>
              <w:t>广西富梦创新科技有限责任公司</w:t>
            </w:r>
            <w:r>
              <w:rPr>
                <w:sz w:val="21"/>
              </w:rPr>
              <w:t> </w:t>
            </w:r>
          </w:p>
        </w:tc>
        <w:tc>
          <w:tcPr>
            <w:tcW w:w="4335" w:type="dxa"/>
            <w:tcBorders>
              <w:left w:val="single" w:sz="6" w:space="0" w:color="000000"/>
              <w:bottom w:val="single" w:sz="6" w:space="0" w:color="000000"/>
            </w:tcBorders>
          </w:tcPr>
          <w:p>
            <w:pPr>
              <w:pStyle w:val="TableParagraph"/>
              <w:spacing w:line="250" w:lineRule="exact" w:before="3"/>
              <w:ind w:right="-15"/>
              <w:jc w:val="right"/>
              <w:rPr>
                <w:sz w:val="21"/>
              </w:rPr>
            </w:pPr>
            <w:r>
              <w:rPr>
                <w:sz w:val="21"/>
              </w:rPr>
              <w:t>0.025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富联精密电子(郑州)有限公司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0.15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富联科技</w:t>
            </w:r>
            <w:r>
              <w:rPr>
                <w:sz w:val="21"/>
              </w:rPr>
              <w:t>（山西）有限公司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0.15 </w:t>
            </w:r>
          </w:p>
        </w:tc>
      </w:tr>
      <w:tr>
        <w:trPr>
          <w:trHeight w:val="270"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1"/>
                <w:sz w:val="21"/>
              </w:rPr>
              <w:t>富联科技</w:t>
            </w:r>
            <w:r>
              <w:rPr>
                <w:sz w:val="21"/>
              </w:rPr>
              <w:t>（武汉）有限公司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0.15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富联科技</w:t>
            </w:r>
            <w:r>
              <w:rPr>
                <w:sz w:val="21"/>
              </w:rPr>
              <w:t>（鹤壁）有限公司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0.15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富联国宙电子</w:t>
            </w:r>
            <w:r>
              <w:rPr>
                <w:sz w:val="21"/>
              </w:rPr>
              <w:t>（上海）有限公司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0.25 </w:t>
            </w:r>
          </w:p>
        </w:tc>
      </w:tr>
      <w:tr>
        <w:trPr>
          <w:trHeight w:val="270"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1"/>
                <w:sz w:val="21"/>
              </w:rPr>
              <w:t>富联百佳泰(北京)贸易有限公司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0.025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1"/>
                <w:sz w:val="21"/>
              </w:rPr>
              <w:t>富联统合电子(杭州)有限公司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0.25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z w:val="21"/>
              </w:rPr>
              <w:t>Focus</w:t>
            </w:r>
            <w:r>
              <w:rPr>
                <w:spacing w:val="-4"/>
                <w:sz w:val="21"/>
              </w:rPr>
              <w:t> </w:t>
            </w:r>
            <w:r>
              <w:rPr>
                <w:sz w:val="21"/>
              </w:rPr>
              <w:t>PC Enterprises Limited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0.165 </w:t>
            </w:r>
          </w:p>
        </w:tc>
      </w:tr>
      <w:tr>
        <w:trPr>
          <w:trHeight w:val="544" w:hRule="atLeast"/>
        </w:trPr>
        <w:tc>
          <w:tcPr>
            <w:tcW w:w="4489" w:type="dxa"/>
            <w:tcBorders>
              <w:top w:val="single" w:sz="6" w:space="0" w:color="000000"/>
              <w:bottom w:val="single" w:sz="6" w:space="0" w:color="000000"/>
              <w:right w:val="single" w:sz="6" w:space="0" w:color="000000"/>
            </w:tcBorders>
          </w:tcPr>
          <w:p>
            <w:pPr>
              <w:pStyle w:val="TableParagraph"/>
              <w:spacing w:before="1"/>
              <w:ind w:left="107"/>
              <w:rPr>
                <w:sz w:val="21"/>
              </w:rPr>
            </w:pPr>
            <w:r>
              <w:rPr>
                <w:sz w:val="21"/>
              </w:rPr>
              <w:t>Cloud</w:t>
            </w:r>
            <w:r>
              <w:rPr>
                <w:spacing w:val="-3"/>
                <w:sz w:val="21"/>
              </w:rPr>
              <w:t> </w:t>
            </w:r>
            <w:r>
              <w:rPr>
                <w:sz w:val="21"/>
              </w:rPr>
              <w:t>Network</w:t>
            </w:r>
            <w:r>
              <w:rPr>
                <w:spacing w:val="-2"/>
                <w:sz w:val="21"/>
              </w:rPr>
              <w:t> </w:t>
            </w:r>
            <w:r>
              <w:rPr>
                <w:sz w:val="21"/>
              </w:rPr>
              <w:t>Technology  </w:t>
            </w:r>
            <w:r>
              <w:rPr>
                <w:spacing w:val="2"/>
                <w:sz w:val="21"/>
              </w:rPr>
              <w:t> </w:t>
            </w:r>
            <w:r>
              <w:rPr>
                <w:sz w:val="21"/>
              </w:rPr>
              <w:t>Singapore </w:t>
            </w:r>
          </w:p>
          <w:p>
            <w:pPr>
              <w:pStyle w:val="TableParagraph"/>
              <w:spacing w:line="250" w:lineRule="exact" w:before="4"/>
              <w:ind w:left="107"/>
              <w:rPr>
                <w:sz w:val="21"/>
              </w:rPr>
            </w:pPr>
            <w:r>
              <w:rPr>
                <w:sz w:val="21"/>
              </w:rPr>
              <w:t>Pte.</w:t>
            </w:r>
            <w:r>
              <w:rPr>
                <w:spacing w:val="-1"/>
                <w:sz w:val="21"/>
              </w:rPr>
              <w:t> </w:t>
            </w:r>
            <w:r>
              <w:rPr>
                <w:sz w:val="21"/>
              </w:rPr>
              <w:t>Ltd. </w:t>
            </w:r>
          </w:p>
        </w:tc>
        <w:tc>
          <w:tcPr>
            <w:tcW w:w="4335" w:type="dxa"/>
            <w:tcBorders>
              <w:top w:val="single" w:sz="6" w:space="0" w:color="000000"/>
              <w:left w:val="single" w:sz="6" w:space="0" w:color="000000"/>
              <w:bottom w:val="single" w:sz="6" w:space="0" w:color="000000"/>
            </w:tcBorders>
          </w:tcPr>
          <w:p>
            <w:pPr>
              <w:pStyle w:val="TableParagraph"/>
              <w:spacing w:before="137"/>
              <w:ind w:right="-15"/>
              <w:jc w:val="right"/>
              <w:rPr>
                <w:sz w:val="21"/>
              </w:rPr>
            </w:pPr>
            <w:r>
              <w:rPr>
                <w:sz w:val="21"/>
              </w:rPr>
              <w:t>0.17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z w:val="21"/>
              </w:rPr>
              <w:t>LIKOM</w:t>
            </w:r>
            <w:r>
              <w:rPr>
                <w:spacing w:val="-3"/>
                <w:sz w:val="21"/>
              </w:rPr>
              <w:t> </w:t>
            </w:r>
            <w:r>
              <w:rPr>
                <w:sz w:val="21"/>
              </w:rPr>
              <w:t>DE MEXICO S.A</w:t>
            </w:r>
            <w:r>
              <w:rPr>
                <w:spacing w:val="1"/>
                <w:sz w:val="21"/>
              </w:rPr>
              <w:t> </w:t>
            </w:r>
            <w:r>
              <w:rPr>
                <w:sz w:val="21"/>
              </w:rPr>
              <w:t>DE</w:t>
            </w:r>
            <w:r>
              <w:rPr>
                <w:spacing w:val="-3"/>
                <w:sz w:val="21"/>
              </w:rPr>
              <w:t> </w:t>
            </w:r>
            <w:r>
              <w:rPr>
                <w:sz w:val="21"/>
              </w:rPr>
              <w:t>C.V.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0.30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z w:val="21"/>
              </w:rPr>
              <w:t>Rich</w:t>
            </w:r>
            <w:r>
              <w:rPr>
                <w:spacing w:val="-2"/>
                <w:sz w:val="21"/>
              </w:rPr>
              <w:t> </w:t>
            </w:r>
            <w:r>
              <w:rPr>
                <w:sz w:val="21"/>
              </w:rPr>
              <w:t>Excel</w:t>
            </w:r>
            <w:r>
              <w:rPr>
                <w:spacing w:val="-1"/>
                <w:sz w:val="21"/>
              </w:rPr>
              <w:t> </w:t>
            </w:r>
            <w:r>
              <w:rPr>
                <w:sz w:val="21"/>
              </w:rPr>
              <w:t>International</w:t>
            </w:r>
            <w:r>
              <w:rPr>
                <w:spacing w:val="207"/>
                <w:sz w:val="21"/>
              </w:rPr>
              <w:t> </w:t>
            </w:r>
            <w:r>
              <w:rPr>
                <w:sz w:val="21"/>
              </w:rPr>
              <w:t>Limited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0.00 </w:t>
            </w:r>
          </w:p>
        </w:tc>
      </w:tr>
      <w:tr>
        <w:trPr>
          <w:trHeight w:val="271"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z w:val="21"/>
              </w:rPr>
              <w:t>FUNING</w:t>
            </w:r>
            <w:r>
              <w:rPr>
                <w:spacing w:val="207"/>
                <w:sz w:val="21"/>
              </w:rPr>
              <w:t> </w:t>
            </w:r>
            <w:r>
              <w:rPr>
                <w:sz w:val="21"/>
              </w:rPr>
              <w:t>Precision Component</w:t>
            </w:r>
            <w:r>
              <w:rPr>
                <w:spacing w:val="-4"/>
                <w:sz w:val="21"/>
              </w:rPr>
              <w:t> </w:t>
            </w:r>
            <w:r>
              <w:rPr>
                <w:sz w:val="21"/>
              </w:rPr>
              <w:t>Co.,</w:t>
            </w:r>
            <w:r>
              <w:rPr>
                <w:spacing w:val="-1"/>
                <w:sz w:val="21"/>
              </w:rPr>
              <w:t> </w:t>
            </w:r>
            <w:r>
              <w:rPr>
                <w:sz w:val="21"/>
              </w:rPr>
              <w:t>LTD.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0.10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z w:val="21"/>
              </w:rPr>
              <w:t>Glory</w:t>
            </w:r>
            <w:r>
              <w:rPr>
                <w:spacing w:val="-3"/>
                <w:sz w:val="21"/>
              </w:rPr>
              <w:t> </w:t>
            </w:r>
            <w:r>
              <w:rPr>
                <w:sz w:val="21"/>
              </w:rPr>
              <w:t>Star Investments</w:t>
            </w:r>
            <w:r>
              <w:rPr>
                <w:spacing w:val="-3"/>
                <w:sz w:val="21"/>
              </w:rPr>
              <w:t> </w:t>
            </w:r>
            <w:r>
              <w:rPr>
                <w:sz w:val="21"/>
              </w:rPr>
              <w:t>Limited </w:t>
            </w:r>
          </w:p>
        </w:tc>
        <w:tc>
          <w:tcPr>
            <w:tcW w:w="4335"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0.00 </w:t>
            </w:r>
          </w:p>
        </w:tc>
      </w:tr>
      <w:tr>
        <w:trPr>
          <w:trHeight w:val="544" w:hRule="atLeast"/>
        </w:trPr>
        <w:tc>
          <w:tcPr>
            <w:tcW w:w="4489" w:type="dxa"/>
            <w:tcBorders>
              <w:top w:val="single" w:sz="6" w:space="0" w:color="000000"/>
              <w:bottom w:val="single" w:sz="6" w:space="0" w:color="000000"/>
              <w:right w:val="single" w:sz="6" w:space="0" w:color="000000"/>
            </w:tcBorders>
          </w:tcPr>
          <w:p>
            <w:pPr>
              <w:pStyle w:val="TableParagraph"/>
              <w:spacing w:before="1"/>
              <w:ind w:left="107"/>
              <w:rPr>
                <w:sz w:val="21"/>
              </w:rPr>
            </w:pPr>
            <w:r>
              <w:rPr>
                <w:sz w:val="21"/>
              </w:rPr>
              <w:t>FUHONG</w:t>
            </w:r>
            <w:r>
              <w:rPr>
                <w:spacing w:val="209"/>
                <w:sz w:val="21"/>
              </w:rPr>
              <w:t> </w:t>
            </w:r>
            <w:r>
              <w:rPr>
                <w:sz w:val="21"/>
              </w:rPr>
              <w:t>Precision Component</w:t>
            </w:r>
            <w:r>
              <w:rPr>
                <w:spacing w:val="-3"/>
                <w:sz w:val="21"/>
              </w:rPr>
              <w:t> </w:t>
            </w:r>
            <w:r>
              <w:rPr>
                <w:sz w:val="21"/>
              </w:rPr>
              <w:t>(Bac Giang) </w:t>
            </w:r>
          </w:p>
          <w:p>
            <w:pPr>
              <w:pStyle w:val="TableParagraph"/>
              <w:spacing w:line="250" w:lineRule="exact" w:before="4"/>
              <w:ind w:left="107"/>
              <w:rPr>
                <w:sz w:val="21"/>
              </w:rPr>
            </w:pPr>
            <w:r>
              <w:rPr>
                <w:sz w:val="21"/>
              </w:rPr>
              <w:t>Limited </w:t>
            </w:r>
          </w:p>
        </w:tc>
        <w:tc>
          <w:tcPr>
            <w:tcW w:w="4335" w:type="dxa"/>
            <w:tcBorders>
              <w:top w:val="single" w:sz="6" w:space="0" w:color="000000"/>
              <w:left w:val="single" w:sz="6" w:space="0" w:color="000000"/>
              <w:bottom w:val="single" w:sz="6" w:space="0" w:color="000000"/>
            </w:tcBorders>
          </w:tcPr>
          <w:p>
            <w:pPr>
              <w:pStyle w:val="TableParagraph"/>
              <w:spacing w:before="137"/>
              <w:ind w:right="-15"/>
              <w:jc w:val="right"/>
              <w:rPr>
                <w:sz w:val="21"/>
              </w:rPr>
            </w:pPr>
            <w:r>
              <w:rPr>
                <w:sz w:val="21"/>
              </w:rPr>
              <w:t>0.10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z w:val="21"/>
              </w:rPr>
              <w:t>Ingrasys</w:t>
            </w:r>
            <w:r>
              <w:rPr>
                <w:spacing w:val="-2"/>
                <w:sz w:val="21"/>
              </w:rPr>
              <w:t> </w:t>
            </w:r>
            <w:r>
              <w:rPr>
                <w:sz w:val="21"/>
              </w:rPr>
              <w:t>(Singapore)</w:t>
            </w:r>
            <w:r>
              <w:rPr>
                <w:spacing w:val="-2"/>
                <w:sz w:val="21"/>
              </w:rPr>
              <w:t> </w:t>
            </w:r>
            <w:r>
              <w:rPr>
                <w:sz w:val="21"/>
              </w:rPr>
              <w:t>Pte.</w:t>
            </w:r>
            <w:r>
              <w:rPr>
                <w:spacing w:val="-1"/>
                <w:sz w:val="21"/>
              </w:rPr>
              <w:t> </w:t>
            </w:r>
            <w:r>
              <w:rPr>
                <w:sz w:val="21"/>
              </w:rPr>
              <w:t>Ltd.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0.17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鸿佰科技股份有限公司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0.20 </w:t>
            </w:r>
          </w:p>
        </w:tc>
      </w:tr>
      <w:tr>
        <w:trPr>
          <w:trHeight w:val="270"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z w:val="21"/>
              </w:rPr>
              <w:t>Mega Well</w:t>
            </w:r>
            <w:r>
              <w:rPr>
                <w:spacing w:val="-2"/>
                <w:sz w:val="21"/>
              </w:rPr>
              <w:t> </w:t>
            </w:r>
            <w:r>
              <w:rPr>
                <w:sz w:val="21"/>
              </w:rPr>
              <w:t>Limited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0.00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z w:val="21"/>
              </w:rPr>
              <w:t>Ingrasys</w:t>
            </w:r>
            <w:r>
              <w:rPr>
                <w:spacing w:val="-1"/>
                <w:sz w:val="21"/>
              </w:rPr>
              <w:t> </w:t>
            </w:r>
            <w:r>
              <w:rPr>
                <w:sz w:val="21"/>
              </w:rPr>
              <w:t>Technology Korea,</w:t>
            </w:r>
            <w:r>
              <w:rPr>
                <w:spacing w:val="207"/>
                <w:sz w:val="21"/>
              </w:rPr>
              <w:t> </w:t>
            </w:r>
            <w:r>
              <w:rPr>
                <w:sz w:val="21"/>
              </w:rPr>
              <w:t>Inc. </w:t>
            </w:r>
          </w:p>
        </w:tc>
        <w:tc>
          <w:tcPr>
            <w:tcW w:w="4335"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0.22 </w:t>
            </w:r>
          </w:p>
        </w:tc>
      </w:tr>
      <w:tr>
        <w:trPr>
          <w:trHeight w:val="544" w:hRule="atLeast"/>
        </w:trPr>
        <w:tc>
          <w:tcPr>
            <w:tcW w:w="4489" w:type="dxa"/>
            <w:tcBorders>
              <w:top w:val="single" w:sz="6" w:space="0" w:color="000000"/>
              <w:bottom w:val="single" w:sz="6" w:space="0" w:color="000000"/>
              <w:right w:val="single" w:sz="6" w:space="0" w:color="000000"/>
            </w:tcBorders>
          </w:tcPr>
          <w:p>
            <w:pPr>
              <w:pStyle w:val="TableParagraph"/>
              <w:spacing w:before="1"/>
              <w:ind w:left="107"/>
              <w:rPr>
                <w:sz w:val="21"/>
              </w:rPr>
            </w:pPr>
            <w:r>
              <w:rPr>
                <w:sz w:val="21"/>
              </w:rPr>
              <w:t>Foxconn Technology (India)</w:t>
            </w:r>
            <w:r>
              <w:rPr>
                <w:spacing w:val="207"/>
                <w:sz w:val="21"/>
              </w:rPr>
              <w:t> </w:t>
            </w:r>
            <w:r>
              <w:rPr>
                <w:sz w:val="21"/>
              </w:rPr>
              <w:t>Private </w:t>
            </w:r>
          </w:p>
          <w:p>
            <w:pPr>
              <w:pStyle w:val="TableParagraph"/>
              <w:spacing w:line="250" w:lineRule="exact" w:before="4"/>
              <w:ind w:left="107"/>
              <w:rPr>
                <w:sz w:val="21"/>
              </w:rPr>
            </w:pPr>
            <w:r>
              <w:rPr>
                <w:sz w:val="21"/>
              </w:rPr>
              <w:t>Limited </w:t>
            </w:r>
          </w:p>
        </w:tc>
        <w:tc>
          <w:tcPr>
            <w:tcW w:w="4335" w:type="dxa"/>
            <w:tcBorders>
              <w:top w:val="single" w:sz="6" w:space="0" w:color="000000"/>
              <w:left w:val="single" w:sz="6" w:space="0" w:color="000000"/>
              <w:bottom w:val="single" w:sz="6" w:space="0" w:color="000000"/>
            </w:tcBorders>
          </w:tcPr>
          <w:p>
            <w:pPr>
              <w:pStyle w:val="TableParagraph"/>
              <w:spacing w:before="137"/>
              <w:ind w:right="-15"/>
              <w:jc w:val="right"/>
              <w:rPr>
                <w:sz w:val="21"/>
              </w:rPr>
            </w:pPr>
            <w:r>
              <w:rPr>
                <w:sz w:val="21"/>
              </w:rPr>
              <w:t>0.22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z w:val="21"/>
              </w:rPr>
              <w:t>Profit</w:t>
            </w:r>
            <w:r>
              <w:rPr>
                <w:spacing w:val="-1"/>
                <w:sz w:val="21"/>
              </w:rPr>
              <w:t> </w:t>
            </w:r>
            <w:r>
              <w:rPr>
                <w:sz w:val="21"/>
              </w:rPr>
              <w:t>New Limited </w:t>
            </w:r>
          </w:p>
        </w:tc>
        <w:tc>
          <w:tcPr>
            <w:tcW w:w="4335"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0.00 </w:t>
            </w:r>
          </w:p>
        </w:tc>
      </w:tr>
      <w:tr>
        <w:trPr>
          <w:trHeight w:val="544" w:hRule="atLeast"/>
        </w:trPr>
        <w:tc>
          <w:tcPr>
            <w:tcW w:w="4489" w:type="dxa"/>
            <w:tcBorders>
              <w:top w:val="single" w:sz="6" w:space="0" w:color="000000"/>
              <w:bottom w:val="single" w:sz="6" w:space="0" w:color="000000"/>
              <w:right w:val="single" w:sz="6" w:space="0" w:color="000000"/>
            </w:tcBorders>
          </w:tcPr>
          <w:p>
            <w:pPr>
              <w:pStyle w:val="TableParagraph"/>
              <w:spacing w:before="1"/>
              <w:ind w:left="107"/>
              <w:rPr>
                <w:sz w:val="21"/>
              </w:rPr>
            </w:pPr>
            <w:r>
              <w:rPr>
                <w:sz w:val="21"/>
              </w:rPr>
              <w:t>Cloud</w:t>
            </w:r>
            <w:r>
              <w:rPr>
                <w:spacing w:val="206"/>
                <w:sz w:val="21"/>
              </w:rPr>
              <w:t> </w:t>
            </w:r>
            <w:r>
              <w:rPr>
                <w:sz w:val="21"/>
              </w:rPr>
              <w:t>Network Technology (Samoa) </w:t>
            </w:r>
          </w:p>
          <w:p>
            <w:pPr>
              <w:pStyle w:val="TableParagraph"/>
              <w:spacing w:line="250" w:lineRule="exact" w:before="4"/>
              <w:ind w:left="107"/>
              <w:rPr>
                <w:sz w:val="21"/>
              </w:rPr>
            </w:pPr>
            <w:r>
              <w:rPr>
                <w:sz w:val="21"/>
              </w:rPr>
              <w:t>Limited </w:t>
            </w:r>
          </w:p>
        </w:tc>
        <w:tc>
          <w:tcPr>
            <w:tcW w:w="4335" w:type="dxa"/>
            <w:tcBorders>
              <w:top w:val="single" w:sz="6" w:space="0" w:color="000000"/>
              <w:left w:val="single" w:sz="6" w:space="0" w:color="000000"/>
              <w:bottom w:val="single" w:sz="6" w:space="0" w:color="000000"/>
            </w:tcBorders>
          </w:tcPr>
          <w:p>
            <w:pPr>
              <w:pStyle w:val="TableParagraph"/>
              <w:spacing w:before="137"/>
              <w:ind w:right="-15"/>
              <w:jc w:val="right"/>
              <w:rPr>
                <w:sz w:val="21"/>
              </w:rPr>
            </w:pPr>
            <w:r>
              <w:rPr>
                <w:sz w:val="21"/>
              </w:rPr>
              <w:t>0.00 </w:t>
            </w:r>
          </w:p>
        </w:tc>
      </w:tr>
      <w:tr>
        <w:trPr>
          <w:trHeight w:val="544" w:hRule="atLeast"/>
        </w:trPr>
        <w:tc>
          <w:tcPr>
            <w:tcW w:w="4489" w:type="dxa"/>
            <w:tcBorders>
              <w:top w:val="single" w:sz="6" w:space="0" w:color="000000"/>
              <w:bottom w:val="single" w:sz="6" w:space="0" w:color="000000"/>
              <w:right w:val="single" w:sz="6" w:space="0" w:color="000000"/>
            </w:tcBorders>
          </w:tcPr>
          <w:p>
            <w:pPr>
              <w:pStyle w:val="TableParagraph"/>
              <w:spacing w:before="1"/>
              <w:ind w:left="107"/>
              <w:rPr>
                <w:sz w:val="21"/>
              </w:rPr>
            </w:pPr>
            <w:r>
              <w:rPr>
                <w:sz w:val="21"/>
              </w:rPr>
              <w:t>YUZHAN PRECISION TECHNOLOGY</w:t>
            </w:r>
            <w:r>
              <w:rPr>
                <w:spacing w:val="207"/>
                <w:sz w:val="21"/>
              </w:rPr>
              <w:t> </w:t>
            </w:r>
            <w:r>
              <w:rPr>
                <w:sz w:val="21"/>
              </w:rPr>
              <w:t>Japan </w:t>
            </w:r>
          </w:p>
          <w:p>
            <w:pPr>
              <w:pStyle w:val="TableParagraph"/>
              <w:spacing w:line="250" w:lineRule="exact" w:before="4"/>
              <w:ind w:left="107"/>
              <w:rPr>
                <w:sz w:val="21"/>
              </w:rPr>
            </w:pPr>
            <w:r>
              <w:rPr>
                <w:sz w:val="21"/>
              </w:rPr>
              <w:t>CO,.LTD. </w:t>
            </w:r>
          </w:p>
        </w:tc>
        <w:tc>
          <w:tcPr>
            <w:tcW w:w="4335" w:type="dxa"/>
            <w:tcBorders>
              <w:top w:val="single" w:sz="6" w:space="0" w:color="000000"/>
              <w:left w:val="single" w:sz="6" w:space="0" w:color="000000"/>
              <w:bottom w:val="single" w:sz="6" w:space="0" w:color="000000"/>
            </w:tcBorders>
          </w:tcPr>
          <w:p>
            <w:pPr>
              <w:pStyle w:val="TableParagraph"/>
              <w:spacing w:before="137"/>
              <w:ind w:right="-15"/>
              <w:jc w:val="right"/>
              <w:rPr>
                <w:sz w:val="21"/>
              </w:rPr>
            </w:pPr>
            <w:r>
              <w:rPr>
                <w:sz w:val="21"/>
              </w:rPr>
              <w:t>0.3688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z w:val="21"/>
              </w:rPr>
              <w:t>IPL International</w:t>
            </w:r>
            <w:r>
              <w:rPr>
                <w:spacing w:val="-3"/>
                <w:sz w:val="21"/>
              </w:rPr>
              <w:t> </w:t>
            </w:r>
            <w:r>
              <w:rPr>
                <w:sz w:val="21"/>
              </w:rPr>
              <w:t>Limited </w:t>
            </w:r>
          </w:p>
        </w:tc>
        <w:tc>
          <w:tcPr>
            <w:tcW w:w="4335"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0.00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z w:val="21"/>
              </w:rPr>
              <w:t>Cloud</w:t>
            </w:r>
            <w:r>
              <w:rPr>
                <w:spacing w:val="-3"/>
                <w:sz w:val="21"/>
              </w:rPr>
              <w:t> </w:t>
            </w:r>
            <w:r>
              <w:rPr>
                <w:sz w:val="21"/>
              </w:rPr>
              <w:t>Network</w:t>
            </w:r>
            <w:r>
              <w:rPr>
                <w:spacing w:val="-2"/>
                <w:sz w:val="21"/>
              </w:rPr>
              <w:t> </w:t>
            </w:r>
            <w:r>
              <w:rPr>
                <w:sz w:val="21"/>
              </w:rPr>
              <w:t>Technology</w:t>
            </w:r>
            <w:r>
              <w:rPr>
                <w:spacing w:val="1"/>
                <w:sz w:val="21"/>
              </w:rPr>
              <w:t> </w:t>
            </w:r>
            <w:r>
              <w:rPr>
                <w:sz w:val="21"/>
              </w:rPr>
              <w:t>Kft.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0.09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z w:val="21"/>
              </w:rPr>
              <w:t>Cloud</w:t>
            </w:r>
            <w:r>
              <w:rPr>
                <w:spacing w:val="-3"/>
                <w:sz w:val="21"/>
              </w:rPr>
              <w:t> </w:t>
            </w:r>
            <w:r>
              <w:rPr>
                <w:sz w:val="21"/>
              </w:rPr>
              <w:t>Network</w:t>
            </w:r>
            <w:r>
              <w:rPr>
                <w:spacing w:val="-2"/>
                <w:sz w:val="21"/>
              </w:rPr>
              <w:t> </w:t>
            </w:r>
            <w:r>
              <w:rPr>
                <w:sz w:val="21"/>
              </w:rPr>
              <w:t>Technology USA</w:t>
            </w:r>
            <w:r>
              <w:rPr>
                <w:spacing w:val="209"/>
                <w:sz w:val="21"/>
              </w:rPr>
              <w:t> </w:t>
            </w:r>
            <w:r>
              <w:rPr>
                <w:sz w:val="21"/>
              </w:rPr>
              <w:t>Inc.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0.29 </w:t>
            </w:r>
          </w:p>
        </w:tc>
      </w:tr>
      <w:tr>
        <w:trPr>
          <w:trHeight w:val="270"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z w:val="21"/>
              </w:rPr>
              <w:t>Foxconn</w:t>
            </w:r>
            <w:r>
              <w:rPr>
                <w:spacing w:val="-1"/>
                <w:sz w:val="21"/>
              </w:rPr>
              <w:t> </w:t>
            </w:r>
            <w:r>
              <w:rPr>
                <w:sz w:val="21"/>
              </w:rPr>
              <w:t>Assembly</w:t>
            </w:r>
            <w:r>
              <w:rPr>
                <w:spacing w:val="-1"/>
                <w:sz w:val="21"/>
              </w:rPr>
              <w:t> </w:t>
            </w:r>
            <w:r>
              <w:rPr>
                <w:sz w:val="21"/>
              </w:rPr>
              <w:t>LLC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0.21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z w:val="21"/>
              </w:rPr>
              <w:t>NWEA</w:t>
            </w:r>
            <w:r>
              <w:rPr>
                <w:spacing w:val="-1"/>
                <w:sz w:val="21"/>
              </w:rPr>
              <w:t> </w:t>
            </w:r>
            <w:r>
              <w:rPr>
                <w:sz w:val="21"/>
              </w:rPr>
              <w:t>LLC </w:t>
            </w:r>
          </w:p>
        </w:tc>
        <w:tc>
          <w:tcPr>
            <w:tcW w:w="4335"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0.2984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z w:val="21"/>
              </w:rPr>
              <w:t>Foxconn</w:t>
            </w:r>
            <w:r>
              <w:rPr>
                <w:spacing w:val="-1"/>
                <w:sz w:val="21"/>
              </w:rPr>
              <w:t> </w:t>
            </w:r>
            <w:r>
              <w:rPr>
                <w:sz w:val="21"/>
              </w:rPr>
              <w:t>CZ</w:t>
            </w:r>
            <w:r>
              <w:rPr>
                <w:spacing w:val="-1"/>
                <w:sz w:val="21"/>
              </w:rPr>
              <w:t> </w:t>
            </w:r>
            <w:r>
              <w:rPr>
                <w:sz w:val="21"/>
              </w:rPr>
              <w:t>s.r.o.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0.19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z w:val="21"/>
              </w:rPr>
              <w:t>Ingrasys</w:t>
            </w:r>
            <w:r>
              <w:rPr>
                <w:spacing w:val="-2"/>
                <w:sz w:val="21"/>
              </w:rPr>
              <w:t> </w:t>
            </w:r>
            <w:r>
              <w:rPr>
                <w:sz w:val="21"/>
              </w:rPr>
              <w:t>Technology</w:t>
            </w:r>
            <w:r>
              <w:rPr>
                <w:spacing w:val="-1"/>
                <w:sz w:val="21"/>
              </w:rPr>
              <w:t> </w:t>
            </w:r>
            <w:r>
              <w:rPr>
                <w:sz w:val="21"/>
              </w:rPr>
              <w:t>USA</w:t>
            </w:r>
            <w:r>
              <w:rPr>
                <w:spacing w:val="-1"/>
                <w:sz w:val="21"/>
              </w:rPr>
              <w:t> </w:t>
            </w:r>
            <w:r>
              <w:rPr>
                <w:sz w:val="21"/>
              </w:rPr>
              <w:t>Inc.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0.21 </w:t>
            </w:r>
          </w:p>
        </w:tc>
      </w:tr>
      <w:tr>
        <w:trPr>
          <w:trHeight w:val="270"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z w:val="21"/>
              </w:rPr>
              <w:t>Foxconn</w:t>
            </w:r>
            <w:r>
              <w:rPr>
                <w:spacing w:val="-1"/>
                <w:sz w:val="21"/>
              </w:rPr>
              <w:t> </w:t>
            </w:r>
            <w:r>
              <w:rPr>
                <w:sz w:val="21"/>
              </w:rPr>
              <w:t>Technology CZ</w:t>
            </w:r>
            <w:r>
              <w:rPr>
                <w:spacing w:val="-3"/>
                <w:sz w:val="21"/>
              </w:rPr>
              <w:t> </w:t>
            </w:r>
            <w:r>
              <w:rPr>
                <w:sz w:val="21"/>
              </w:rPr>
              <w:t>s.r.o.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0.19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z w:val="21"/>
              </w:rPr>
              <w:t>PCE</w:t>
            </w:r>
            <w:r>
              <w:rPr>
                <w:spacing w:val="-1"/>
                <w:sz w:val="21"/>
              </w:rPr>
              <w:t> </w:t>
            </w:r>
            <w:r>
              <w:rPr>
                <w:sz w:val="21"/>
              </w:rPr>
              <w:t>Paragon Solutions</w:t>
            </w:r>
            <w:r>
              <w:rPr>
                <w:spacing w:val="-3"/>
                <w:sz w:val="21"/>
              </w:rPr>
              <w:t> </w:t>
            </w:r>
            <w:r>
              <w:rPr>
                <w:sz w:val="21"/>
              </w:rPr>
              <w:t>(USA)</w:t>
            </w:r>
            <w:r>
              <w:rPr>
                <w:spacing w:val="207"/>
                <w:sz w:val="21"/>
              </w:rPr>
              <w:t> </w:t>
            </w:r>
            <w:r>
              <w:rPr>
                <w:sz w:val="21"/>
              </w:rPr>
              <w:t>Inc.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0.21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z w:val="21"/>
              </w:rPr>
              <w:t>NSG</w:t>
            </w:r>
            <w:r>
              <w:rPr>
                <w:spacing w:val="-2"/>
                <w:sz w:val="21"/>
              </w:rPr>
              <w:t> </w:t>
            </w:r>
            <w:r>
              <w:rPr>
                <w:sz w:val="21"/>
              </w:rPr>
              <w:t>Technology</w:t>
            </w:r>
            <w:r>
              <w:rPr>
                <w:spacing w:val="-1"/>
                <w:sz w:val="21"/>
              </w:rPr>
              <w:t> </w:t>
            </w:r>
            <w:r>
              <w:rPr>
                <w:sz w:val="21"/>
              </w:rPr>
              <w:t>Inc.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0.2798 </w:t>
            </w:r>
          </w:p>
        </w:tc>
      </w:tr>
      <w:tr>
        <w:trPr>
          <w:trHeight w:val="544" w:hRule="atLeast"/>
        </w:trPr>
        <w:tc>
          <w:tcPr>
            <w:tcW w:w="4489" w:type="dxa"/>
            <w:tcBorders>
              <w:top w:val="single" w:sz="6" w:space="0" w:color="000000"/>
              <w:bottom w:val="single" w:sz="6" w:space="0" w:color="000000"/>
              <w:right w:val="single" w:sz="6" w:space="0" w:color="000000"/>
            </w:tcBorders>
          </w:tcPr>
          <w:p>
            <w:pPr>
              <w:pStyle w:val="TableParagraph"/>
              <w:spacing w:before="1"/>
              <w:ind w:left="107"/>
              <w:rPr>
                <w:sz w:val="21"/>
              </w:rPr>
            </w:pPr>
            <w:r>
              <w:rPr>
                <w:sz w:val="21"/>
              </w:rPr>
              <w:t>Scientific-Atlanta de</w:t>
            </w:r>
            <w:r>
              <w:rPr>
                <w:spacing w:val="-2"/>
                <w:sz w:val="21"/>
              </w:rPr>
              <w:t> </w:t>
            </w:r>
            <w:r>
              <w:rPr>
                <w:sz w:val="21"/>
              </w:rPr>
              <w:t>Mexico</w:t>
            </w:r>
            <w:r>
              <w:rPr>
                <w:spacing w:val="209"/>
                <w:sz w:val="21"/>
              </w:rPr>
              <w:t> </w:t>
            </w:r>
            <w:r>
              <w:rPr>
                <w:sz w:val="21"/>
              </w:rPr>
              <w:t>S.</w:t>
            </w:r>
            <w:r>
              <w:rPr>
                <w:spacing w:val="1"/>
                <w:sz w:val="21"/>
              </w:rPr>
              <w:t> </w:t>
            </w:r>
            <w:r>
              <w:rPr>
                <w:sz w:val="21"/>
              </w:rPr>
              <w:t>de</w:t>
            </w:r>
            <w:r>
              <w:rPr>
                <w:spacing w:val="-2"/>
                <w:sz w:val="21"/>
              </w:rPr>
              <w:t> </w:t>
            </w:r>
            <w:r>
              <w:rPr>
                <w:sz w:val="21"/>
              </w:rPr>
              <w:t>R. </w:t>
            </w:r>
          </w:p>
          <w:p>
            <w:pPr>
              <w:pStyle w:val="TableParagraph"/>
              <w:spacing w:line="252" w:lineRule="exact" w:before="2"/>
              <w:ind w:left="107"/>
              <w:rPr>
                <w:sz w:val="21"/>
              </w:rPr>
            </w:pPr>
            <w:r>
              <w:rPr>
                <w:sz w:val="21"/>
              </w:rPr>
              <w:t>L. de</w:t>
            </w:r>
            <w:r>
              <w:rPr>
                <w:spacing w:val="-3"/>
                <w:sz w:val="21"/>
              </w:rPr>
              <w:t> </w:t>
            </w:r>
            <w:r>
              <w:rPr>
                <w:sz w:val="21"/>
              </w:rPr>
              <w:t>C. V. </w:t>
            </w:r>
          </w:p>
        </w:tc>
        <w:tc>
          <w:tcPr>
            <w:tcW w:w="4335" w:type="dxa"/>
            <w:tcBorders>
              <w:top w:val="single" w:sz="6" w:space="0" w:color="000000"/>
              <w:left w:val="single" w:sz="6" w:space="0" w:color="000000"/>
              <w:bottom w:val="single" w:sz="6" w:space="0" w:color="000000"/>
            </w:tcBorders>
          </w:tcPr>
          <w:p>
            <w:pPr>
              <w:pStyle w:val="TableParagraph"/>
              <w:spacing w:before="138"/>
              <w:ind w:right="-15"/>
              <w:jc w:val="right"/>
              <w:rPr>
                <w:sz w:val="21"/>
              </w:rPr>
            </w:pPr>
            <w:r>
              <w:rPr>
                <w:sz w:val="21"/>
              </w:rPr>
              <w:t>0.30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z w:val="21"/>
              </w:rPr>
              <w:t>NWE</w:t>
            </w:r>
            <w:r>
              <w:rPr>
                <w:spacing w:val="-2"/>
                <w:sz w:val="21"/>
              </w:rPr>
              <w:t> </w:t>
            </w:r>
            <w:r>
              <w:rPr>
                <w:sz w:val="21"/>
              </w:rPr>
              <w:t>Technology,Inc.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0.2984 </w:t>
            </w:r>
          </w:p>
        </w:tc>
      </w:tr>
      <w:tr>
        <w:trPr>
          <w:trHeight w:val="270"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z w:val="21"/>
              </w:rPr>
              <w:t>FII</w:t>
            </w:r>
            <w:r>
              <w:rPr>
                <w:spacing w:val="-1"/>
                <w:sz w:val="21"/>
              </w:rPr>
              <w:t> </w:t>
            </w:r>
            <w:r>
              <w:rPr>
                <w:sz w:val="21"/>
              </w:rPr>
              <w:t>USA</w:t>
            </w:r>
            <w:r>
              <w:rPr>
                <w:spacing w:val="-1"/>
                <w:sz w:val="21"/>
              </w:rPr>
              <w:t> </w:t>
            </w:r>
            <w:r>
              <w:rPr>
                <w:sz w:val="21"/>
              </w:rPr>
              <w:t>Inc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0.289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1"/>
                <w:sz w:val="21"/>
              </w:rPr>
              <w:t>富联国基</w:t>
            </w:r>
            <w:r>
              <w:rPr>
                <w:sz w:val="21"/>
              </w:rPr>
              <w:t>（上海）电子有限公司 </w:t>
            </w:r>
          </w:p>
        </w:tc>
        <w:tc>
          <w:tcPr>
            <w:tcW w:w="4335"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0.15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基准精密工业(惠州)有限公司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0.25 </w:t>
            </w:r>
          </w:p>
        </w:tc>
      </w:tr>
      <w:tr>
        <w:trPr>
          <w:trHeight w:val="544" w:hRule="atLeast"/>
        </w:trPr>
        <w:tc>
          <w:tcPr>
            <w:tcW w:w="4489" w:type="dxa"/>
            <w:tcBorders>
              <w:top w:val="single" w:sz="6" w:space="0" w:color="000000"/>
              <w:bottom w:val="single" w:sz="6" w:space="0" w:color="000000"/>
              <w:right w:val="single" w:sz="6" w:space="0" w:color="000000"/>
            </w:tcBorders>
          </w:tcPr>
          <w:p>
            <w:pPr>
              <w:pStyle w:val="TableParagraph"/>
              <w:spacing w:before="1"/>
              <w:ind w:left="107"/>
              <w:rPr>
                <w:sz w:val="21"/>
              </w:rPr>
            </w:pPr>
            <w:r>
              <w:rPr>
                <w:sz w:val="21"/>
              </w:rPr>
              <w:t>Foxconn</w:t>
            </w:r>
            <w:r>
              <w:rPr>
                <w:spacing w:val="-1"/>
                <w:sz w:val="21"/>
              </w:rPr>
              <w:t> </w:t>
            </w:r>
            <w:r>
              <w:rPr>
                <w:sz w:val="21"/>
              </w:rPr>
              <w:t>Industrial Internet</w:t>
            </w:r>
            <w:r>
              <w:rPr>
                <w:spacing w:val="206"/>
                <w:sz w:val="21"/>
              </w:rPr>
              <w:t> </w:t>
            </w:r>
            <w:r>
              <w:rPr>
                <w:sz w:val="21"/>
              </w:rPr>
              <w:t>(Japan) </w:t>
            </w:r>
          </w:p>
          <w:p>
            <w:pPr>
              <w:pStyle w:val="TableParagraph"/>
              <w:spacing w:line="250" w:lineRule="exact" w:before="4"/>
              <w:ind w:left="107"/>
              <w:rPr>
                <w:sz w:val="21"/>
              </w:rPr>
            </w:pPr>
            <w:r>
              <w:rPr>
                <w:sz w:val="21"/>
              </w:rPr>
              <w:t>Co,.Ltd.. </w:t>
            </w:r>
          </w:p>
        </w:tc>
        <w:tc>
          <w:tcPr>
            <w:tcW w:w="4335" w:type="dxa"/>
            <w:tcBorders>
              <w:top w:val="single" w:sz="6" w:space="0" w:color="000000"/>
              <w:left w:val="single" w:sz="6" w:space="0" w:color="000000"/>
              <w:bottom w:val="single" w:sz="6" w:space="0" w:color="000000"/>
            </w:tcBorders>
          </w:tcPr>
          <w:p>
            <w:pPr>
              <w:pStyle w:val="TableParagraph"/>
              <w:spacing w:before="137"/>
              <w:ind w:right="-15"/>
              <w:jc w:val="right"/>
              <w:rPr>
                <w:sz w:val="21"/>
              </w:rPr>
            </w:pPr>
            <w:r>
              <w:rPr>
                <w:sz w:val="21"/>
              </w:rPr>
              <w:t>0.3688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深圳精匠云创科技有限公司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0.15 </w:t>
            </w:r>
          </w:p>
        </w:tc>
      </w:tr>
      <w:tr>
        <w:trPr>
          <w:trHeight w:val="273" w:hRule="atLeast"/>
        </w:trPr>
        <w:tc>
          <w:tcPr>
            <w:tcW w:w="4489" w:type="dxa"/>
            <w:tcBorders>
              <w:top w:val="single" w:sz="6" w:space="0" w:color="000000"/>
              <w:right w:val="single" w:sz="6" w:space="0" w:color="000000"/>
            </w:tcBorders>
          </w:tcPr>
          <w:p>
            <w:pPr>
              <w:pStyle w:val="TableParagraph"/>
              <w:spacing w:line="252" w:lineRule="exact" w:before="1"/>
              <w:ind w:left="107"/>
              <w:rPr>
                <w:sz w:val="21"/>
              </w:rPr>
            </w:pPr>
            <w:r>
              <w:rPr>
                <w:spacing w:val="-1"/>
                <w:sz w:val="21"/>
              </w:rPr>
              <w:t>成都富联凖刃科技有限公司 </w:t>
            </w:r>
          </w:p>
        </w:tc>
        <w:tc>
          <w:tcPr>
            <w:tcW w:w="4335" w:type="dxa"/>
            <w:tcBorders>
              <w:top w:val="single" w:sz="6" w:space="0" w:color="000000"/>
              <w:left w:val="single" w:sz="6" w:space="0" w:color="000000"/>
            </w:tcBorders>
          </w:tcPr>
          <w:p>
            <w:pPr>
              <w:pStyle w:val="TableParagraph"/>
              <w:spacing w:line="252" w:lineRule="exact" w:before="1"/>
              <w:ind w:right="-15"/>
              <w:jc w:val="right"/>
              <w:rPr>
                <w:sz w:val="21"/>
              </w:rPr>
            </w:pPr>
            <w:r>
              <w:rPr>
                <w:sz w:val="21"/>
              </w:rPr>
              <w:t>0.15 </w:t>
            </w:r>
          </w:p>
        </w:tc>
      </w:tr>
    </w:tbl>
    <w:p>
      <w:pPr>
        <w:spacing w:after="0" w:line="252" w:lineRule="exact"/>
        <w:jc w:val="right"/>
        <w:rPr>
          <w:sz w:val="21"/>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89"/>
        <w:gridCol w:w="4335"/>
      </w:tblGrid>
      <w:tr>
        <w:trPr>
          <w:trHeight w:val="273" w:hRule="atLeast"/>
        </w:trPr>
        <w:tc>
          <w:tcPr>
            <w:tcW w:w="4489" w:type="dxa"/>
            <w:tcBorders>
              <w:bottom w:val="single" w:sz="6" w:space="0" w:color="000000"/>
              <w:right w:val="single" w:sz="6" w:space="0" w:color="000000"/>
            </w:tcBorders>
          </w:tcPr>
          <w:p>
            <w:pPr>
              <w:pStyle w:val="TableParagraph"/>
              <w:spacing w:line="250" w:lineRule="exact" w:before="3"/>
              <w:ind w:left="107"/>
              <w:rPr>
                <w:sz w:val="21"/>
              </w:rPr>
            </w:pPr>
            <w:r>
              <w:rPr>
                <w:spacing w:val="-1"/>
                <w:sz w:val="21"/>
              </w:rPr>
              <w:t>郑州富联鸿刃科技有限公司 </w:t>
            </w:r>
          </w:p>
        </w:tc>
        <w:tc>
          <w:tcPr>
            <w:tcW w:w="4335" w:type="dxa"/>
            <w:tcBorders>
              <w:left w:val="single" w:sz="6" w:space="0" w:color="000000"/>
              <w:bottom w:val="single" w:sz="6" w:space="0" w:color="000000"/>
            </w:tcBorders>
          </w:tcPr>
          <w:p>
            <w:pPr>
              <w:pStyle w:val="TableParagraph"/>
              <w:spacing w:line="250" w:lineRule="exact" w:before="3"/>
              <w:ind w:right="-15"/>
              <w:jc w:val="right"/>
              <w:rPr>
                <w:sz w:val="21"/>
              </w:rPr>
            </w:pPr>
            <w:r>
              <w:rPr>
                <w:sz w:val="21"/>
              </w:rPr>
              <w:t>0.25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晋城富联鸿刃科技有限公司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0.15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富联科技</w:t>
            </w:r>
            <w:r>
              <w:rPr>
                <w:sz w:val="21"/>
              </w:rPr>
              <w:t>（济源）有限公司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0.15 </w:t>
            </w:r>
          </w:p>
        </w:tc>
      </w:tr>
      <w:tr>
        <w:trPr>
          <w:trHeight w:val="270"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1"/>
                <w:sz w:val="21"/>
              </w:rPr>
              <w:t>富联精密电子(天津)有限公司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0.15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富联精密电子(贵阳)有限公司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0.15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富联科技服务</w:t>
            </w:r>
            <w:r>
              <w:rPr>
                <w:sz w:val="21"/>
              </w:rPr>
              <w:t>（天津）有限公司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0.25 </w:t>
            </w:r>
          </w:p>
        </w:tc>
      </w:tr>
      <w:tr>
        <w:trPr>
          <w:trHeight w:val="270"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1"/>
                <w:sz w:val="21"/>
              </w:rPr>
              <w:t>富联科技(晋城)有限公司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0.15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1"/>
                <w:sz w:val="21"/>
              </w:rPr>
              <w:t>富联裕展科技(河南)有限公司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0.15 </w:t>
            </w:r>
          </w:p>
        </w:tc>
      </w:tr>
      <w:tr>
        <w:trPr>
          <w:trHeight w:val="544" w:hRule="atLeast"/>
        </w:trPr>
        <w:tc>
          <w:tcPr>
            <w:tcW w:w="4489" w:type="dxa"/>
            <w:tcBorders>
              <w:top w:val="single" w:sz="6" w:space="0" w:color="000000"/>
              <w:bottom w:val="single" w:sz="6" w:space="0" w:color="000000"/>
              <w:right w:val="single" w:sz="6" w:space="0" w:color="000000"/>
            </w:tcBorders>
          </w:tcPr>
          <w:p>
            <w:pPr>
              <w:pStyle w:val="TableParagraph"/>
              <w:spacing w:before="1"/>
              <w:ind w:left="107"/>
              <w:rPr>
                <w:sz w:val="21"/>
              </w:rPr>
            </w:pPr>
            <w:r>
              <w:rPr>
                <w:sz w:val="21"/>
              </w:rPr>
              <w:t>Foxconn</w:t>
            </w:r>
            <w:r>
              <w:rPr>
                <w:spacing w:val="-1"/>
                <w:sz w:val="21"/>
              </w:rPr>
              <w:t> </w:t>
            </w:r>
            <w:r>
              <w:rPr>
                <w:sz w:val="21"/>
              </w:rPr>
              <w:t>Precision</w:t>
            </w:r>
            <w:r>
              <w:rPr>
                <w:spacing w:val="207"/>
                <w:sz w:val="21"/>
              </w:rPr>
              <w:t> </w:t>
            </w:r>
            <w:r>
              <w:rPr>
                <w:sz w:val="21"/>
              </w:rPr>
              <w:t>International </w:t>
            </w:r>
          </w:p>
          <w:p>
            <w:pPr>
              <w:pStyle w:val="TableParagraph"/>
              <w:spacing w:line="250" w:lineRule="exact" w:before="4"/>
              <w:ind w:left="107"/>
              <w:rPr>
                <w:sz w:val="21"/>
              </w:rPr>
            </w:pPr>
            <w:r>
              <w:rPr>
                <w:sz w:val="21"/>
              </w:rPr>
              <w:t>Limited </w:t>
            </w:r>
          </w:p>
        </w:tc>
        <w:tc>
          <w:tcPr>
            <w:tcW w:w="4335" w:type="dxa"/>
            <w:tcBorders>
              <w:top w:val="single" w:sz="6" w:space="0" w:color="000000"/>
              <w:left w:val="single" w:sz="6" w:space="0" w:color="000000"/>
              <w:bottom w:val="single" w:sz="6" w:space="0" w:color="000000"/>
            </w:tcBorders>
          </w:tcPr>
          <w:p>
            <w:pPr>
              <w:pStyle w:val="TableParagraph"/>
              <w:spacing w:before="137"/>
              <w:ind w:right="-15"/>
              <w:jc w:val="right"/>
              <w:rPr>
                <w:sz w:val="21"/>
              </w:rPr>
            </w:pPr>
            <w:r>
              <w:rPr>
                <w:sz w:val="21"/>
              </w:rPr>
              <w:t>0.165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1"/>
                <w:sz w:val="21"/>
              </w:rPr>
              <w:t>廊坊裕展科技有限公司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0.00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前海裕展(深圳)咨询管理有限公司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0.00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富联裕展科技(深圳)有限公司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0.15 </w:t>
            </w:r>
          </w:p>
        </w:tc>
      </w:tr>
      <w:tr>
        <w:trPr>
          <w:trHeight w:val="271"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1"/>
                <w:sz w:val="21"/>
              </w:rPr>
              <w:t>深圳富联富桂精密工业有限公司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0.25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1"/>
                <w:sz w:val="21"/>
              </w:rPr>
              <w:t>富华科精密工业(深圳)有限公司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0.25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富联富翼精密工业(东莞)有限公司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0.20 </w:t>
            </w:r>
          </w:p>
        </w:tc>
      </w:tr>
      <w:tr>
        <w:trPr>
          <w:trHeight w:val="270"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1"/>
                <w:sz w:val="21"/>
              </w:rPr>
              <w:t>深圳富联智能制造产业创新中心有限公司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0.25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1"/>
                <w:sz w:val="21"/>
              </w:rPr>
              <w:t>富联统合电子(海宁)有限公司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0.25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富联鸿智汇科技(深圳)有限公司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0.25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z w:val="21"/>
              </w:rPr>
              <w:t>Fuyu</w:t>
            </w:r>
            <w:r>
              <w:rPr>
                <w:spacing w:val="-2"/>
                <w:sz w:val="21"/>
              </w:rPr>
              <w:t> </w:t>
            </w:r>
            <w:r>
              <w:rPr>
                <w:sz w:val="21"/>
              </w:rPr>
              <w:t>Precision</w:t>
            </w:r>
            <w:r>
              <w:rPr>
                <w:spacing w:val="-1"/>
                <w:sz w:val="21"/>
              </w:rPr>
              <w:t> </w:t>
            </w:r>
            <w:r>
              <w:rPr>
                <w:sz w:val="21"/>
              </w:rPr>
              <w:t>Component</w:t>
            </w:r>
            <w:r>
              <w:rPr>
                <w:spacing w:val="207"/>
                <w:sz w:val="21"/>
              </w:rPr>
              <w:t> </w:t>
            </w:r>
            <w:r>
              <w:rPr>
                <w:sz w:val="21"/>
              </w:rPr>
              <w:t>Co.,Ltd.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0.00 </w:t>
            </w:r>
          </w:p>
        </w:tc>
      </w:tr>
      <w:tr>
        <w:trPr>
          <w:trHeight w:val="270"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z w:val="21"/>
              </w:rPr>
              <w:t>VaultDX</w:t>
            </w:r>
            <w:r>
              <w:rPr>
                <w:spacing w:val="-1"/>
                <w:sz w:val="21"/>
              </w:rPr>
              <w:t> </w:t>
            </w:r>
            <w:r>
              <w:rPr>
                <w:sz w:val="21"/>
              </w:rPr>
              <w:t>s.r.o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0.19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z w:val="21"/>
              </w:rPr>
              <w:t>SafeDX</w:t>
            </w:r>
            <w:r>
              <w:rPr>
                <w:spacing w:val="-1"/>
                <w:sz w:val="21"/>
              </w:rPr>
              <w:t> </w:t>
            </w:r>
            <w:r>
              <w:rPr>
                <w:sz w:val="21"/>
              </w:rPr>
              <w:t>s.r.o. </w:t>
            </w:r>
          </w:p>
        </w:tc>
        <w:tc>
          <w:tcPr>
            <w:tcW w:w="4335"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0.19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z w:val="21"/>
              </w:rPr>
              <w:t>ICSA,</w:t>
            </w:r>
            <w:r>
              <w:rPr>
                <w:spacing w:val="-1"/>
                <w:sz w:val="21"/>
              </w:rPr>
              <w:t> </w:t>
            </w:r>
            <w:r>
              <w:rPr>
                <w:sz w:val="21"/>
              </w:rPr>
              <w:t>Inc.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0.21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晋城鸿硕智能科技有限公司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0.25 </w:t>
            </w:r>
          </w:p>
        </w:tc>
      </w:tr>
      <w:tr>
        <w:trPr>
          <w:trHeight w:val="270"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1"/>
                <w:sz w:val="21"/>
              </w:rPr>
              <w:t>晋城鸿智纳米光机电研究院有限公司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0.25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晋城富士康智能制造职业培训学校有限公司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富联云计算(天津)有限公司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0.25 </w:t>
            </w:r>
          </w:p>
        </w:tc>
      </w:tr>
      <w:tr>
        <w:trPr>
          <w:trHeight w:val="270"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z w:val="21"/>
              </w:rPr>
              <w:t>LEAPSY</w:t>
            </w:r>
            <w:r>
              <w:rPr>
                <w:spacing w:val="-2"/>
                <w:sz w:val="21"/>
              </w:rPr>
              <w:t> </w:t>
            </w:r>
            <w:r>
              <w:rPr>
                <w:sz w:val="21"/>
              </w:rPr>
              <w:t>INTERNATIONAL</w:t>
            </w:r>
            <w:r>
              <w:rPr>
                <w:spacing w:val="-1"/>
                <w:sz w:val="21"/>
              </w:rPr>
              <w:t> </w:t>
            </w:r>
            <w:r>
              <w:rPr>
                <w:sz w:val="21"/>
              </w:rPr>
              <w:t>LTD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0.00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1"/>
                <w:sz w:val="21"/>
              </w:rPr>
              <w:t>深圳宇博先进科技有限公司 </w:t>
            </w:r>
          </w:p>
        </w:tc>
        <w:tc>
          <w:tcPr>
            <w:tcW w:w="4335"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0.25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宇博先进科技股份有限公司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0.20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周口市裕展精密科技有限公司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0.25 </w:t>
            </w:r>
          </w:p>
        </w:tc>
      </w:tr>
      <w:tr>
        <w:trPr>
          <w:trHeight w:val="270"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1"/>
                <w:sz w:val="21"/>
              </w:rPr>
              <w:t>富联裕展科技(衡阳)有限公司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0.25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1"/>
                <w:sz w:val="21"/>
              </w:rPr>
              <w:t>深圳市富联凌云光科技有限公司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0.25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富联智能工坊</w:t>
            </w:r>
            <w:r>
              <w:rPr>
                <w:sz w:val="21"/>
              </w:rPr>
              <w:t>（郑州）有限公司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富联科技</w:t>
            </w:r>
            <w:r>
              <w:rPr>
                <w:sz w:val="21"/>
              </w:rPr>
              <w:t>（兰考）有限公司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0.25 </w:t>
            </w:r>
          </w:p>
        </w:tc>
      </w:tr>
      <w:tr>
        <w:trPr>
          <w:trHeight w:val="270"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1"/>
                <w:sz w:val="21"/>
              </w:rPr>
              <w:t>富联富甲智创(深圳)科技有限公司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0.25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富联富集云(深圳)科技有限公司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0.25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深圳智造谷工业互联网创新中心有限公司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0.15 </w:t>
            </w:r>
          </w:p>
        </w:tc>
      </w:tr>
      <w:tr>
        <w:trPr>
          <w:trHeight w:val="271"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1"/>
                <w:sz w:val="21"/>
              </w:rPr>
              <w:t>工业富联(福建)数字科技有限公司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0.25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1"/>
                <w:sz w:val="21"/>
              </w:rPr>
              <w:t>工业富联(杭州)数据科技有限公司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0.25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工业富联衡阳智造谷有限公司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工业富联佛山智造谷有限公司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0.25 </w:t>
            </w:r>
          </w:p>
        </w:tc>
      </w:tr>
      <w:tr>
        <w:trPr>
          <w:trHeight w:val="270"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1"/>
                <w:sz w:val="21"/>
              </w:rPr>
              <w:t>工业富联(佛山)创新中心有限公司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sz w:val="21"/>
              </w:rPr>
              <w:t>0.25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1"/>
                <w:sz w:val="21"/>
              </w:rPr>
              <w:t>工业富联(佛山)产业示范基地有限公司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0.25 </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深圳恒驱电机有限公司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0.15 </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富联精密科技(赣州)有限公司</w:t>
            </w:r>
            <w:r>
              <w:rPr>
                <w:sz w:val="21"/>
              </w:rPr>
              <w:t> </w:t>
            </w:r>
          </w:p>
        </w:tc>
        <w:tc>
          <w:tcPr>
            <w:tcW w:w="4335"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sz w:val="21"/>
              </w:rPr>
              <w:t>0.25 </w:t>
            </w:r>
          </w:p>
        </w:tc>
      </w:tr>
      <w:tr>
        <w:trPr>
          <w:trHeight w:val="270" w:hRule="atLeast"/>
        </w:trPr>
        <w:tc>
          <w:tcPr>
            <w:tcW w:w="4489" w:type="dxa"/>
            <w:tcBorders>
              <w:top w:val="single" w:sz="6" w:space="0" w:color="000000"/>
              <w:right w:val="single" w:sz="6" w:space="0" w:color="000000"/>
            </w:tcBorders>
          </w:tcPr>
          <w:p>
            <w:pPr>
              <w:pStyle w:val="TableParagraph"/>
              <w:spacing w:line="250" w:lineRule="exact" w:before="1"/>
              <w:ind w:left="107"/>
              <w:rPr>
                <w:sz w:val="21"/>
              </w:rPr>
            </w:pPr>
            <w:r>
              <w:rPr>
                <w:spacing w:val="-1"/>
                <w:sz w:val="21"/>
              </w:rPr>
              <w:t>富联智能工坊(太原)有限公司</w:t>
            </w:r>
            <w:r>
              <w:rPr>
                <w:sz w:val="21"/>
              </w:rPr>
              <w:t> </w:t>
            </w:r>
          </w:p>
        </w:tc>
        <w:tc>
          <w:tcPr>
            <w:tcW w:w="4335" w:type="dxa"/>
            <w:tcBorders>
              <w:top w:val="single" w:sz="6" w:space="0" w:color="000000"/>
              <w:left w:val="single" w:sz="6" w:space="0" w:color="000000"/>
            </w:tcBorders>
          </w:tcPr>
          <w:p>
            <w:pPr>
              <w:pStyle w:val="TableParagraph"/>
              <w:spacing w:line="250" w:lineRule="exact" w:before="1"/>
              <w:ind w:right="-15"/>
              <w:jc w:val="right"/>
              <w:rPr>
                <w:sz w:val="21"/>
              </w:rPr>
            </w:pPr>
            <w:r>
              <w:rPr>
                <w:sz w:val="21"/>
              </w:rPr>
              <w:t>0.25 </w:t>
            </w:r>
          </w:p>
        </w:tc>
      </w:tr>
    </w:tbl>
    <w:p>
      <w:pPr>
        <w:spacing w:after="0" w:line="250" w:lineRule="exact"/>
        <w:jc w:val="right"/>
        <w:rPr>
          <w:sz w:val="21"/>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89"/>
        <w:gridCol w:w="4335"/>
      </w:tblGrid>
      <w:tr>
        <w:trPr>
          <w:trHeight w:val="547" w:hRule="atLeast"/>
        </w:trPr>
        <w:tc>
          <w:tcPr>
            <w:tcW w:w="4489" w:type="dxa"/>
            <w:tcBorders>
              <w:bottom w:val="single" w:sz="6" w:space="0" w:color="000000"/>
              <w:right w:val="single" w:sz="6" w:space="0" w:color="000000"/>
            </w:tcBorders>
          </w:tcPr>
          <w:p>
            <w:pPr>
              <w:pStyle w:val="TableParagraph"/>
              <w:spacing w:line="270" w:lineRule="atLeast"/>
              <w:ind w:left="107" w:right="294"/>
              <w:rPr>
                <w:sz w:val="21"/>
              </w:rPr>
            </w:pPr>
            <w:r>
              <w:rPr>
                <w:sz w:val="21"/>
              </w:rPr>
              <w:t>Foxconn Technology Service and</w:t>
            </w:r>
            <w:r>
              <w:rPr>
                <w:spacing w:val="1"/>
                <w:sz w:val="21"/>
              </w:rPr>
              <w:t> </w:t>
            </w:r>
            <w:r>
              <w:rPr>
                <w:sz w:val="21"/>
              </w:rPr>
              <w:t>Logistics</w:t>
            </w:r>
            <w:r>
              <w:rPr>
                <w:spacing w:val="-3"/>
                <w:sz w:val="21"/>
              </w:rPr>
              <w:t> </w:t>
            </w:r>
            <w:r>
              <w:rPr>
                <w:sz w:val="21"/>
              </w:rPr>
              <w:t>Limited </w:t>
            </w:r>
          </w:p>
        </w:tc>
        <w:tc>
          <w:tcPr>
            <w:tcW w:w="4335" w:type="dxa"/>
            <w:tcBorders>
              <w:left w:val="single" w:sz="6" w:space="0" w:color="000000"/>
              <w:bottom w:val="single" w:sz="6" w:space="0" w:color="000000"/>
            </w:tcBorders>
          </w:tcPr>
          <w:p>
            <w:pPr>
              <w:pStyle w:val="TableParagraph"/>
              <w:spacing w:before="138"/>
              <w:ind w:right="-15"/>
              <w:jc w:val="right"/>
              <w:rPr>
                <w:sz w:val="21"/>
              </w:rPr>
            </w:pPr>
            <w:r>
              <w:rPr>
                <w:sz w:val="21"/>
              </w:rPr>
              <w:t>0.30 </w:t>
            </w:r>
          </w:p>
        </w:tc>
      </w:tr>
      <w:tr>
        <w:trPr>
          <w:trHeight w:val="544" w:hRule="atLeast"/>
        </w:trPr>
        <w:tc>
          <w:tcPr>
            <w:tcW w:w="4489" w:type="dxa"/>
            <w:tcBorders>
              <w:top w:val="single" w:sz="6" w:space="0" w:color="000000"/>
              <w:bottom w:val="single" w:sz="6" w:space="0" w:color="000000"/>
              <w:right w:val="single" w:sz="6" w:space="0" w:color="000000"/>
            </w:tcBorders>
          </w:tcPr>
          <w:p>
            <w:pPr>
              <w:pStyle w:val="TableParagraph"/>
              <w:spacing w:before="1"/>
              <w:ind w:left="107"/>
              <w:rPr>
                <w:sz w:val="21"/>
              </w:rPr>
            </w:pPr>
            <w:r>
              <w:rPr>
                <w:sz w:val="21"/>
              </w:rPr>
              <w:t>Ingrasys Technology Mexico</w:t>
            </w:r>
            <w:r>
              <w:rPr>
                <w:spacing w:val="207"/>
                <w:sz w:val="21"/>
              </w:rPr>
              <w:t> </w:t>
            </w:r>
            <w:r>
              <w:rPr>
                <w:sz w:val="21"/>
              </w:rPr>
              <w:t>S.A. de </w:t>
            </w:r>
          </w:p>
          <w:p>
            <w:pPr>
              <w:pStyle w:val="TableParagraph"/>
              <w:spacing w:line="252" w:lineRule="exact" w:before="2"/>
              <w:ind w:left="107"/>
              <w:rPr>
                <w:sz w:val="21"/>
              </w:rPr>
            </w:pPr>
            <w:r>
              <w:rPr>
                <w:sz w:val="21"/>
              </w:rPr>
              <w:t>C.V. </w:t>
            </w:r>
          </w:p>
        </w:tc>
        <w:tc>
          <w:tcPr>
            <w:tcW w:w="4335" w:type="dxa"/>
            <w:tcBorders>
              <w:top w:val="single" w:sz="6" w:space="0" w:color="000000"/>
              <w:left w:val="single" w:sz="6" w:space="0" w:color="000000"/>
              <w:bottom w:val="single" w:sz="6" w:space="0" w:color="000000"/>
            </w:tcBorders>
          </w:tcPr>
          <w:p>
            <w:pPr>
              <w:pStyle w:val="TableParagraph"/>
              <w:spacing w:before="137"/>
              <w:ind w:right="-15"/>
              <w:jc w:val="right"/>
              <w:rPr>
                <w:sz w:val="21"/>
              </w:rPr>
            </w:pPr>
            <w:r>
              <w:rPr>
                <w:sz w:val="21"/>
              </w:rPr>
              <w:t>0.00 </w:t>
            </w:r>
          </w:p>
        </w:tc>
      </w:tr>
      <w:tr>
        <w:trPr>
          <w:trHeight w:val="273" w:hRule="atLeast"/>
        </w:trPr>
        <w:tc>
          <w:tcPr>
            <w:tcW w:w="4489" w:type="dxa"/>
            <w:tcBorders>
              <w:top w:val="single" w:sz="6" w:space="0" w:color="000000"/>
              <w:right w:val="single" w:sz="6" w:space="0" w:color="000000"/>
            </w:tcBorders>
          </w:tcPr>
          <w:p>
            <w:pPr>
              <w:pStyle w:val="TableParagraph"/>
              <w:spacing w:line="252" w:lineRule="exact" w:before="1"/>
              <w:ind w:left="107"/>
              <w:rPr>
                <w:sz w:val="21"/>
              </w:rPr>
            </w:pPr>
            <w:r>
              <w:rPr>
                <w:spacing w:val="-1"/>
                <w:sz w:val="21"/>
              </w:rPr>
              <w:t>衡阳智造谷职业培训学校有限公司</w:t>
            </w:r>
            <w:r>
              <w:rPr>
                <w:sz w:val="21"/>
              </w:rPr>
              <w:t> </w:t>
            </w:r>
          </w:p>
        </w:tc>
        <w:tc>
          <w:tcPr>
            <w:tcW w:w="4335" w:type="dxa"/>
            <w:tcBorders>
              <w:top w:val="single" w:sz="6" w:space="0" w:color="000000"/>
              <w:left w:val="single" w:sz="6" w:space="0" w:color="000000"/>
            </w:tcBorders>
          </w:tcPr>
          <w:p>
            <w:pPr>
              <w:pStyle w:val="TableParagraph"/>
              <w:spacing w:line="252" w:lineRule="exact" w:before="1"/>
              <w:ind w:right="-15"/>
              <w:jc w:val="right"/>
              <w:rPr>
                <w:sz w:val="21"/>
              </w:rPr>
            </w:pPr>
            <w:r>
              <w:rPr>
                <w:sz w:val="21"/>
              </w:rPr>
              <w:t>0.25 </w:t>
            </w:r>
          </w:p>
        </w:tc>
      </w:tr>
    </w:tbl>
    <w:p>
      <w:pPr>
        <w:pStyle w:val="BodyText"/>
        <w:ind w:left="0"/>
        <w:rPr>
          <w:sz w:val="20"/>
        </w:rPr>
      </w:pPr>
    </w:p>
    <w:p>
      <w:pPr>
        <w:pStyle w:val="BodyText"/>
        <w:spacing w:before="1"/>
        <w:ind w:left="0"/>
        <w:rPr>
          <w:sz w:val="25"/>
        </w:rPr>
      </w:pPr>
    </w:p>
    <w:p>
      <w:pPr>
        <w:pStyle w:val="ListParagraph"/>
        <w:numPr>
          <w:ilvl w:val="0"/>
          <w:numId w:val="56"/>
        </w:numPr>
        <w:tabs>
          <w:tab w:pos="743" w:val="left" w:leader="none"/>
        </w:tabs>
        <w:spacing w:line="240" w:lineRule="auto" w:before="71" w:after="0"/>
        <w:ind w:left="742" w:right="0" w:hanging="425"/>
        <w:jc w:val="left"/>
        <w:rPr>
          <w:sz w:val="21"/>
        </w:rPr>
      </w:pPr>
      <w:r>
        <w:rPr>
          <w:sz w:val="21"/>
        </w:rPr>
        <w:t>税收优惠</w:t>
      </w:r>
    </w:p>
    <w:p>
      <w:pPr>
        <w:pStyle w:val="BodyText"/>
        <w:spacing w:before="62"/>
      </w:pPr>
      <w:r>
        <w:rPr>
          <w:spacing w:val="11"/>
        </w:rPr>
        <w:t>√适用 □不适用</w:t>
      </w:r>
      <w:r>
        <w:rPr>
          <w:spacing w:val="-3"/>
        </w:rPr>
        <w:t> </w:t>
      </w:r>
      <w:r>
        <w:rPr/>
        <w:t> </w:t>
      </w:r>
    </w:p>
    <w:p>
      <w:pPr>
        <w:pStyle w:val="ListParagraph"/>
        <w:numPr>
          <w:ilvl w:val="0"/>
          <w:numId w:val="57"/>
        </w:numPr>
        <w:tabs>
          <w:tab w:pos="636" w:val="left" w:leader="none"/>
        </w:tabs>
        <w:spacing w:line="242" w:lineRule="auto" w:before="5" w:after="0"/>
        <w:ind w:left="318" w:right="1277" w:firstLine="0"/>
        <w:jc w:val="left"/>
        <w:rPr>
          <w:sz w:val="21"/>
        </w:rPr>
      </w:pPr>
      <w:r>
        <w:rPr>
          <w:sz w:val="21"/>
        </w:rPr>
        <w:t>根据国家税务总局颁布的《关于设备、器具扣除有关企业所得税政策的通知》(财税[2018]</w:t>
      </w:r>
      <w:r>
        <w:rPr>
          <w:spacing w:val="1"/>
          <w:sz w:val="21"/>
        </w:rPr>
        <w:t> </w:t>
      </w:r>
      <w:r>
        <w:rPr>
          <w:spacing w:val="-1"/>
          <w:sz w:val="21"/>
        </w:rPr>
        <w:t>54</w:t>
      </w:r>
      <w:r>
        <w:rPr>
          <w:spacing w:val="-8"/>
          <w:sz w:val="21"/>
        </w:rPr>
        <w:t> 号)及《关于延长部分税收优惠政策执行期限的公告》(财税</w:t>
      </w:r>
      <w:r>
        <w:rPr>
          <w:sz w:val="21"/>
        </w:rPr>
        <w:t>[2021]</w:t>
      </w:r>
      <w:r>
        <w:rPr>
          <w:spacing w:val="-3"/>
          <w:sz w:val="21"/>
        </w:rPr>
        <w:t> </w:t>
      </w:r>
      <w:r>
        <w:rPr>
          <w:sz w:val="21"/>
        </w:rPr>
        <w:t>6</w:t>
      </w:r>
      <w:r>
        <w:rPr>
          <w:spacing w:val="-8"/>
          <w:sz w:val="21"/>
        </w:rPr>
        <w:t> 号)等相关规定，本集团</w:t>
      </w:r>
    </w:p>
    <w:p>
      <w:pPr>
        <w:pStyle w:val="BodyText"/>
        <w:spacing w:line="242" w:lineRule="auto" w:before="1"/>
        <w:ind w:right="1280"/>
      </w:pPr>
      <w:r>
        <w:rPr>
          <w:spacing w:val="-27"/>
        </w:rPr>
        <w:t>在 </w:t>
      </w:r>
      <w:r>
        <w:rPr>
          <w:spacing w:val="-1"/>
        </w:rPr>
        <w:t>2018</w:t>
      </w:r>
      <w:r>
        <w:rPr>
          <w:spacing w:val="-37"/>
        </w:rPr>
        <w:t> 年 </w:t>
      </w:r>
      <w:r>
        <w:rPr/>
        <w:t>1</w:t>
      </w:r>
      <w:r>
        <w:rPr>
          <w:spacing w:val="-36"/>
        </w:rPr>
        <w:t> 月 </w:t>
      </w:r>
      <w:r>
        <w:rPr/>
        <w:t>1</w:t>
      </w:r>
      <w:r>
        <w:rPr>
          <w:spacing w:val="-27"/>
        </w:rPr>
        <w:t> 日至 </w:t>
      </w:r>
      <w:r>
        <w:rPr/>
        <w:t>2023</w:t>
      </w:r>
      <w:r>
        <w:rPr>
          <w:spacing w:val="-36"/>
        </w:rPr>
        <w:t> 年 </w:t>
      </w:r>
      <w:r>
        <w:rPr/>
        <w:t>12</w:t>
      </w:r>
      <w:r>
        <w:rPr>
          <w:spacing w:val="-35"/>
        </w:rPr>
        <w:t> 月 </w:t>
      </w:r>
      <w:r>
        <w:rPr/>
        <w:t>31</w:t>
      </w:r>
      <w:r>
        <w:rPr>
          <w:spacing w:val="-12"/>
        </w:rPr>
        <w:t> 日的期间内，新购买的低于 </w:t>
      </w:r>
      <w:r>
        <w:rPr/>
        <w:t>500</w:t>
      </w:r>
      <w:r>
        <w:rPr>
          <w:spacing w:val="-8"/>
        </w:rPr>
        <w:t> 万元的设备可于资产投入</w:t>
      </w:r>
      <w:r>
        <w:rPr/>
        <w:t>使用的次月一次性计入当期成本费用，在计算应纳税所得额时扣除，不再分年度计算折旧。 </w:t>
      </w:r>
    </w:p>
    <w:p>
      <w:pPr>
        <w:pStyle w:val="BodyText"/>
        <w:tabs>
          <w:tab w:pos="737" w:val="left" w:leader="none"/>
        </w:tabs>
        <w:spacing w:before="2"/>
      </w:pPr>
      <w:r>
        <w:rPr>
          <w:w w:val="100"/>
        </w:rPr>
        <w:t> </w:t>
      </w:r>
      <w:r>
        <w:rPr/>
        <w:tab/>
      </w:r>
      <w:r>
        <w:rPr>
          <w:w w:val="100"/>
        </w:rPr>
        <w:t> </w:t>
      </w:r>
    </w:p>
    <w:p>
      <w:pPr>
        <w:pStyle w:val="ListParagraph"/>
        <w:numPr>
          <w:ilvl w:val="0"/>
          <w:numId w:val="57"/>
        </w:numPr>
        <w:tabs>
          <w:tab w:pos="636" w:val="left" w:leader="none"/>
        </w:tabs>
        <w:spacing w:line="240" w:lineRule="auto" w:before="2" w:after="0"/>
        <w:ind w:left="635" w:right="0" w:hanging="318"/>
        <w:jc w:val="left"/>
        <w:rPr>
          <w:sz w:val="21"/>
        </w:rPr>
      </w:pPr>
      <w:r>
        <w:rPr>
          <w:spacing w:val="-1"/>
          <w:sz w:val="21"/>
        </w:rPr>
        <w:t>税收优惠及批文</w:t>
      </w:r>
      <w:r>
        <w:rPr>
          <w:sz w:val="21"/>
        </w:rPr>
        <w:t> </w:t>
      </w:r>
    </w:p>
    <w:p>
      <w:pPr>
        <w:pStyle w:val="BodyText"/>
        <w:tabs>
          <w:tab w:pos="737" w:val="left" w:leader="none"/>
        </w:tabs>
        <w:spacing w:before="5"/>
      </w:pPr>
      <w:r>
        <w:rPr>
          <w:w w:val="100"/>
        </w:rPr>
        <w:t> </w:t>
      </w:r>
      <w:r>
        <w:rPr/>
        <w:tab/>
      </w:r>
      <w:r>
        <w:rPr>
          <w:w w:val="100"/>
        </w:rPr>
        <w:t> </w:t>
      </w:r>
    </w:p>
    <w:p>
      <w:pPr>
        <w:pStyle w:val="ListParagraph"/>
        <w:numPr>
          <w:ilvl w:val="0"/>
          <w:numId w:val="58"/>
        </w:numPr>
        <w:tabs>
          <w:tab w:pos="636" w:val="left" w:leader="none"/>
        </w:tabs>
        <w:spacing w:line="244" w:lineRule="auto" w:before="2" w:after="0"/>
        <w:ind w:left="318" w:right="1387" w:firstLine="0"/>
        <w:jc w:val="left"/>
        <w:rPr>
          <w:sz w:val="21"/>
        </w:rPr>
      </w:pPr>
      <w:r>
        <w:rPr>
          <w:sz w:val="21"/>
        </w:rPr>
        <w:t>富联精密电子(郑州)有限公司(曾用名：富泰华精密电子(郑州)有限公司)系设立于河南省郑</w:t>
      </w:r>
      <w:r>
        <w:rPr>
          <w:spacing w:val="-4"/>
          <w:sz w:val="21"/>
        </w:rPr>
        <w:t>州市的有限责任公司。公司于 </w:t>
      </w:r>
      <w:r>
        <w:rPr>
          <w:sz w:val="21"/>
        </w:rPr>
        <w:t>2012</w:t>
      </w:r>
      <w:r>
        <w:rPr>
          <w:spacing w:val="-11"/>
          <w:sz w:val="21"/>
        </w:rPr>
        <w:t> 年被认定为高新技术企业，于 </w:t>
      </w:r>
      <w:r>
        <w:rPr>
          <w:sz w:val="21"/>
        </w:rPr>
        <w:t>2015</w:t>
      </w:r>
      <w:r>
        <w:rPr>
          <w:spacing w:val="-36"/>
          <w:sz w:val="21"/>
        </w:rPr>
        <w:t> 年 </w:t>
      </w:r>
      <w:r>
        <w:rPr>
          <w:sz w:val="21"/>
        </w:rPr>
        <w:t>11</w:t>
      </w:r>
      <w:r>
        <w:rPr>
          <w:spacing w:val="-18"/>
          <w:sz w:val="21"/>
        </w:rPr>
        <w:t> 月、</w:t>
      </w:r>
      <w:r>
        <w:rPr>
          <w:sz w:val="21"/>
        </w:rPr>
        <w:t>2018</w:t>
      </w:r>
      <w:r>
        <w:rPr>
          <w:spacing w:val="-36"/>
          <w:sz w:val="21"/>
        </w:rPr>
        <w:t> 年 </w:t>
      </w:r>
      <w:r>
        <w:rPr>
          <w:sz w:val="21"/>
        </w:rPr>
        <w:t>11</w:t>
      </w:r>
      <w:r>
        <w:rPr>
          <w:spacing w:val="-27"/>
          <w:sz w:val="21"/>
        </w:rPr>
        <w:t> 月</w:t>
      </w:r>
    </w:p>
    <w:p>
      <w:pPr>
        <w:pStyle w:val="BodyText"/>
        <w:spacing w:line="265" w:lineRule="exact"/>
      </w:pPr>
      <w:r>
        <w:rPr>
          <w:spacing w:val="-27"/>
        </w:rPr>
        <w:t>和 </w:t>
      </w:r>
      <w:r>
        <w:rPr/>
        <w:t>2021</w:t>
      </w:r>
      <w:r>
        <w:rPr>
          <w:spacing w:val="-37"/>
        </w:rPr>
        <w:t> 年 </w:t>
      </w:r>
      <w:r>
        <w:rPr/>
        <w:t>10</w:t>
      </w:r>
      <w:r>
        <w:rPr>
          <w:spacing w:val="-10"/>
        </w:rPr>
        <w:t> 月通过复审再次被认定为高新技术企业。经税务机关批准，该公司 </w:t>
      </w:r>
      <w:r>
        <w:rPr/>
        <w:t>2022</w:t>
      </w:r>
      <w:r>
        <w:rPr>
          <w:spacing w:val="-12"/>
        </w:rPr>
        <w:t> 年度实际</w:t>
      </w:r>
    </w:p>
    <w:p>
      <w:pPr>
        <w:pStyle w:val="BodyText"/>
        <w:spacing w:line="242" w:lineRule="auto" w:before="5"/>
        <w:ind w:right="1284"/>
      </w:pPr>
      <w:r>
        <w:rPr>
          <w:spacing w:val="-6"/>
        </w:rPr>
        <w:t>适用的企业所得税税率为 </w:t>
      </w:r>
      <w:r>
        <w:rPr/>
        <w:t>15%(2021</w:t>
      </w:r>
      <w:r>
        <w:rPr>
          <w:spacing w:val="-15"/>
        </w:rPr>
        <w:t> 年度：</w:t>
      </w:r>
      <w:r>
        <w:rPr/>
        <w:t>15%)。此外，根据财政部、国家税务总局及科技部颁布的《关于加大支持科技创新税前扣除力度的公告》(财政部 税务总局 科技部公告[2022]</w:t>
      </w:r>
      <w:r>
        <w:rPr>
          <w:spacing w:val="4"/>
        </w:rPr>
        <w:t> </w:t>
      </w:r>
      <w:r>
        <w:rPr/>
        <w:t>28</w:t>
      </w:r>
      <w:r>
        <w:rPr>
          <w:spacing w:val="1"/>
        </w:rPr>
        <w:t> </w:t>
      </w:r>
      <w:r>
        <w:rPr>
          <w:spacing w:val="-5"/>
        </w:rPr>
        <w:t>号)的相关规定，该子公司在 </w:t>
      </w:r>
      <w:r>
        <w:rPr/>
        <w:t>2022</w:t>
      </w:r>
      <w:r>
        <w:rPr>
          <w:spacing w:val="-37"/>
        </w:rPr>
        <w:t> 年 </w:t>
      </w:r>
      <w:r>
        <w:rPr/>
        <w:t>10</w:t>
      </w:r>
      <w:r>
        <w:rPr>
          <w:spacing w:val="-37"/>
        </w:rPr>
        <w:t> 月 </w:t>
      </w:r>
      <w:r>
        <w:rPr/>
        <w:t>1</w:t>
      </w:r>
      <w:r>
        <w:rPr>
          <w:spacing w:val="-27"/>
        </w:rPr>
        <w:t> 日至 </w:t>
      </w:r>
      <w:r>
        <w:rPr/>
        <w:t>2022</w:t>
      </w:r>
      <w:r>
        <w:rPr>
          <w:spacing w:val="-36"/>
        </w:rPr>
        <w:t> 年 </w:t>
      </w:r>
      <w:r>
        <w:rPr/>
        <w:t>12</w:t>
      </w:r>
      <w:r>
        <w:rPr>
          <w:spacing w:val="-37"/>
        </w:rPr>
        <w:t> 月 </w:t>
      </w:r>
      <w:r>
        <w:rPr/>
        <w:t>31</w:t>
      </w:r>
      <w:r>
        <w:rPr>
          <w:spacing w:val="-8"/>
        </w:rPr>
        <w:t> 日的期间内，新购置的设备可</w:t>
      </w:r>
      <w:r>
        <w:rPr>
          <w:spacing w:val="-27"/>
        </w:rPr>
        <w:t>于 </w:t>
      </w:r>
      <w:r>
        <w:rPr>
          <w:spacing w:val="-1"/>
        </w:rPr>
        <w:t>2022</w:t>
      </w:r>
      <w:r>
        <w:rPr>
          <w:spacing w:val="-10"/>
        </w:rPr>
        <w:t> 年一次性全额在计算应纳税所得额时扣除，并允许在税前实行 </w:t>
      </w:r>
      <w:r>
        <w:rPr/>
        <w:t>100%加计扣除。 </w:t>
      </w:r>
    </w:p>
    <w:p>
      <w:pPr>
        <w:pStyle w:val="BodyText"/>
        <w:spacing w:before="2"/>
      </w:pPr>
      <w:r>
        <w:rPr>
          <w:w w:val="100"/>
        </w:rPr>
        <w:t> </w:t>
      </w:r>
    </w:p>
    <w:p>
      <w:pPr>
        <w:pStyle w:val="ListParagraph"/>
        <w:numPr>
          <w:ilvl w:val="0"/>
          <w:numId w:val="58"/>
        </w:numPr>
        <w:tabs>
          <w:tab w:pos="636" w:val="left" w:leader="none"/>
        </w:tabs>
        <w:spacing w:line="242" w:lineRule="auto" w:before="2" w:after="0"/>
        <w:ind w:left="318" w:right="1387" w:firstLine="0"/>
        <w:jc w:val="left"/>
        <w:rPr>
          <w:sz w:val="21"/>
        </w:rPr>
      </w:pPr>
      <w:r>
        <w:rPr>
          <w:sz w:val="21"/>
        </w:rPr>
        <w:t>富联精密电子(天津)有限公司(曾用名：鸿富锦精密电子(天津)有限公司)系设立于天津市的</w:t>
      </w:r>
      <w:r>
        <w:rPr>
          <w:spacing w:val="-6"/>
          <w:sz w:val="21"/>
        </w:rPr>
        <w:t>有限责任公司。公司于 </w:t>
      </w:r>
      <w:r>
        <w:rPr>
          <w:spacing w:val="-1"/>
          <w:sz w:val="21"/>
        </w:rPr>
        <w:t>2012</w:t>
      </w:r>
      <w:r>
        <w:rPr>
          <w:spacing w:val="-11"/>
          <w:sz w:val="21"/>
        </w:rPr>
        <w:t> 年被认定为高新技术企业，于 </w:t>
      </w:r>
      <w:r>
        <w:rPr>
          <w:sz w:val="21"/>
        </w:rPr>
        <w:t>2015</w:t>
      </w:r>
      <w:r>
        <w:rPr>
          <w:spacing w:val="-36"/>
          <w:sz w:val="21"/>
        </w:rPr>
        <w:t> 年 </w:t>
      </w:r>
      <w:r>
        <w:rPr>
          <w:sz w:val="21"/>
        </w:rPr>
        <w:t>8</w:t>
      </w:r>
      <w:r>
        <w:rPr>
          <w:spacing w:val="-18"/>
          <w:sz w:val="21"/>
        </w:rPr>
        <w:t> 月、</w:t>
      </w:r>
      <w:r>
        <w:rPr>
          <w:sz w:val="21"/>
        </w:rPr>
        <w:t>2018</w:t>
      </w:r>
      <w:r>
        <w:rPr>
          <w:spacing w:val="-35"/>
          <w:sz w:val="21"/>
        </w:rPr>
        <w:t> 年 </w:t>
      </w:r>
      <w:r>
        <w:rPr>
          <w:sz w:val="21"/>
        </w:rPr>
        <w:t>11</w:t>
      </w:r>
      <w:r>
        <w:rPr>
          <w:spacing w:val="-27"/>
          <w:sz w:val="21"/>
        </w:rPr>
        <w:t> 月和 </w:t>
      </w:r>
      <w:r>
        <w:rPr>
          <w:sz w:val="21"/>
        </w:rPr>
        <w:t>2021</w:t>
      </w:r>
    </w:p>
    <w:p>
      <w:pPr>
        <w:pStyle w:val="BodyText"/>
        <w:spacing w:before="2"/>
      </w:pPr>
      <w:r>
        <w:rPr>
          <w:spacing w:val="-27"/>
        </w:rPr>
        <w:t>年 </w:t>
      </w:r>
      <w:r>
        <w:rPr>
          <w:spacing w:val="-1"/>
        </w:rPr>
        <w:t>10</w:t>
      </w:r>
      <w:r>
        <w:rPr>
          <w:spacing w:val="-10"/>
        </w:rPr>
        <w:t> 月通过复审再次被认定为高新技术企业。经税务机关批准，该公司 </w:t>
      </w:r>
      <w:r>
        <w:rPr/>
        <w:t>2022</w:t>
      </w:r>
      <w:r>
        <w:rPr>
          <w:spacing w:val="-8"/>
        </w:rPr>
        <w:t> 年度实际适用的企</w:t>
      </w:r>
    </w:p>
    <w:p>
      <w:pPr>
        <w:pStyle w:val="BodyText"/>
        <w:spacing w:line="242" w:lineRule="auto" w:before="2"/>
        <w:ind w:right="1282"/>
        <w:jc w:val="both"/>
      </w:pPr>
      <w:r>
        <w:rPr>
          <w:spacing w:val="-8"/>
        </w:rPr>
        <w:t>业所得税税率为 </w:t>
      </w:r>
      <w:r>
        <w:rPr/>
        <w:t>15%(2021</w:t>
      </w:r>
      <w:r>
        <w:rPr>
          <w:spacing w:val="-15"/>
        </w:rPr>
        <w:t> 年度：</w:t>
      </w:r>
      <w:r>
        <w:rPr/>
        <w:t>15%)。此外，根据财政部、国家税务总局及科技部颁布的《关</w:t>
      </w:r>
      <w:r>
        <w:rPr>
          <w:spacing w:val="-2"/>
        </w:rPr>
        <w:t>于加大支持科技创新税前扣除力度的公告》(财政部 税务总局 科技部公告[</w:t>
      </w:r>
      <w:r>
        <w:rPr/>
        <w:t>2022]</w:t>
      </w:r>
      <w:r>
        <w:rPr>
          <w:spacing w:val="1"/>
        </w:rPr>
        <w:t> </w:t>
      </w:r>
      <w:r>
        <w:rPr/>
        <w:t>28</w:t>
      </w:r>
      <w:r>
        <w:rPr>
          <w:spacing w:val="-10"/>
        </w:rPr>
        <w:t> 号)的相关</w:t>
      </w:r>
      <w:r>
        <w:rPr>
          <w:spacing w:val="-6"/>
        </w:rPr>
        <w:t>规定，该子公司在 </w:t>
      </w:r>
      <w:r>
        <w:rPr/>
        <w:t>2022</w:t>
      </w:r>
      <w:r>
        <w:rPr>
          <w:spacing w:val="-36"/>
        </w:rPr>
        <w:t> 年 </w:t>
      </w:r>
      <w:r>
        <w:rPr/>
        <w:t>10</w:t>
      </w:r>
      <w:r>
        <w:rPr>
          <w:spacing w:val="-36"/>
        </w:rPr>
        <w:t> 月 </w:t>
      </w:r>
      <w:r>
        <w:rPr/>
        <w:t>1</w:t>
      </w:r>
      <w:r>
        <w:rPr>
          <w:spacing w:val="-28"/>
        </w:rPr>
        <w:t> 日至 </w:t>
      </w:r>
      <w:r>
        <w:rPr/>
        <w:t>2022</w:t>
      </w:r>
      <w:r>
        <w:rPr>
          <w:spacing w:val="-36"/>
        </w:rPr>
        <w:t> 年 </w:t>
      </w:r>
      <w:r>
        <w:rPr/>
        <w:t>12</w:t>
      </w:r>
      <w:r>
        <w:rPr>
          <w:spacing w:val="-36"/>
        </w:rPr>
        <w:t> 月 </w:t>
      </w:r>
      <w:r>
        <w:rPr/>
        <w:t>31</w:t>
      </w:r>
      <w:r>
        <w:rPr>
          <w:spacing w:val="-11"/>
        </w:rPr>
        <w:t> 日的期间内，新购置的设备可于 </w:t>
      </w:r>
      <w:r>
        <w:rPr/>
        <w:t>2022</w:t>
      </w:r>
      <w:r>
        <w:rPr>
          <w:spacing w:val="-27"/>
        </w:rPr>
        <w:t> 年</w:t>
      </w:r>
      <w:r>
        <w:rPr>
          <w:spacing w:val="-3"/>
        </w:rPr>
        <w:t>一次性全额在计算应纳税所得额时扣除，并允许在税前实行 </w:t>
      </w:r>
      <w:r>
        <w:rPr/>
        <w:t>100%加计扣除。 </w:t>
      </w:r>
    </w:p>
    <w:p>
      <w:pPr>
        <w:pStyle w:val="BodyText"/>
        <w:spacing w:before="3"/>
        <w:jc w:val="both"/>
      </w:pPr>
      <w:r>
        <w:rPr>
          <w:w w:val="100"/>
        </w:rPr>
        <w:t> </w:t>
      </w:r>
      <w:r>
        <w:rPr/>
        <w:t>  </w:t>
      </w:r>
      <w:r>
        <w:rPr>
          <w:spacing w:val="-1"/>
        </w:rPr>
        <w:t> </w:t>
      </w:r>
      <w:r>
        <w:rPr>
          <w:w w:val="100"/>
        </w:rPr>
        <w:t> </w:t>
      </w:r>
    </w:p>
    <w:p>
      <w:pPr>
        <w:pStyle w:val="ListParagraph"/>
        <w:numPr>
          <w:ilvl w:val="0"/>
          <w:numId w:val="58"/>
        </w:numPr>
        <w:tabs>
          <w:tab w:pos="636" w:val="left" w:leader="none"/>
        </w:tabs>
        <w:spacing w:line="242" w:lineRule="auto" w:before="4" w:after="0"/>
        <w:ind w:left="318" w:right="1388" w:firstLine="0"/>
        <w:jc w:val="left"/>
        <w:rPr>
          <w:sz w:val="21"/>
        </w:rPr>
      </w:pPr>
      <w:r>
        <w:rPr>
          <w:sz w:val="21"/>
        </w:rPr>
        <w:t>南宁富联富桂精密工业有限公司(曾用名：南宁富桂精密工业有限公司)系设立于广西省南宁</w:t>
      </w:r>
      <w:r>
        <w:rPr>
          <w:spacing w:val="-5"/>
          <w:sz w:val="21"/>
        </w:rPr>
        <w:t>市的有限责任公司。公司自 </w:t>
      </w:r>
      <w:r>
        <w:rPr>
          <w:sz w:val="21"/>
        </w:rPr>
        <w:t>2012</w:t>
      </w:r>
      <w:r>
        <w:rPr>
          <w:spacing w:val="-8"/>
          <w:sz w:val="21"/>
        </w:rPr>
        <w:t> 年起享受西部大开发的优惠政策。经税务机关批准，该公司</w:t>
      </w:r>
    </w:p>
    <w:p>
      <w:pPr>
        <w:pStyle w:val="BodyText"/>
        <w:spacing w:before="2"/>
      </w:pPr>
      <w:r>
        <w:rPr>
          <w:spacing w:val="-1"/>
        </w:rPr>
        <w:t>2022</w:t>
      </w:r>
      <w:r>
        <w:rPr>
          <w:spacing w:val="-11"/>
        </w:rPr>
        <w:t> 年度实际适用的企业所得税税率为 </w:t>
      </w:r>
      <w:r>
        <w:rPr/>
        <w:t>15%(2021</w:t>
      </w:r>
      <w:r>
        <w:rPr>
          <w:spacing w:val="-15"/>
        </w:rPr>
        <w:t> 年度：</w:t>
      </w:r>
      <w:r>
        <w:rPr/>
        <w:t>15%)。 </w:t>
      </w:r>
    </w:p>
    <w:p>
      <w:pPr>
        <w:pStyle w:val="BodyText"/>
        <w:tabs>
          <w:tab w:pos="737" w:val="left" w:leader="none"/>
        </w:tabs>
        <w:spacing w:before="2"/>
      </w:pPr>
      <w:r>
        <w:rPr>
          <w:w w:val="100"/>
        </w:rPr>
        <w:t> </w:t>
      </w:r>
      <w:r>
        <w:rPr/>
        <w:tab/>
      </w:r>
      <w:r>
        <w:rPr>
          <w:w w:val="100"/>
        </w:rPr>
        <w:t> </w:t>
      </w:r>
    </w:p>
    <w:p>
      <w:pPr>
        <w:pStyle w:val="ListParagraph"/>
        <w:numPr>
          <w:ilvl w:val="0"/>
          <w:numId w:val="58"/>
        </w:numPr>
        <w:tabs>
          <w:tab w:pos="636" w:val="left" w:leader="none"/>
        </w:tabs>
        <w:spacing w:line="242" w:lineRule="auto" w:before="4" w:after="0"/>
        <w:ind w:left="318" w:right="1388" w:firstLine="0"/>
        <w:jc w:val="left"/>
        <w:rPr>
          <w:sz w:val="21"/>
        </w:rPr>
      </w:pPr>
      <w:r>
        <w:rPr>
          <w:sz w:val="21"/>
        </w:rPr>
        <w:t>富联国基(上海)电子有限公司(曾用名：国基电子(上海)有限公司)系设立于上海市的有限责</w:t>
      </w:r>
      <w:r>
        <w:rPr>
          <w:spacing w:val="-7"/>
          <w:sz w:val="21"/>
        </w:rPr>
        <w:t>任公司。公司于 </w:t>
      </w:r>
      <w:r>
        <w:rPr>
          <w:sz w:val="21"/>
        </w:rPr>
        <w:t>2012</w:t>
      </w:r>
      <w:r>
        <w:rPr>
          <w:spacing w:val="-12"/>
          <w:sz w:val="21"/>
        </w:rPr>
        <w:t> 年被认定为高新技术企业，于 </w:t>
      </w:r>
      <w:r>
        <w:rPr>
          <w:sz w:val="21"/>
        </w:rPr>
        <w:t>2015</w:t>
      </w:r>
      <w:r>
        <w:rPr>
          <w:spacing w:val="-36"/>
          <w:sz w:val="21"/>
        </w:rPr>
        <w:t> 年 </w:t>
      </w:r>
      <w:r>
        <w:rPr>
          <w:sz w:val="21"/>
        </w:rPr>
        <w:t>10</w:t>
      </w:r>
      <w:r>
        <w:rPr>
          <w:spacing w:val="-19"/>
          <w:sz w:val="21"/>
        </w:rPr>
        <w:t> 月、</w:t>
      </w:r>
      <w:r>
        <w:rPr>
          <w:sz w:val="21"/>
        </w:rPr>
        <w:t>2018</w:t>
      </w:r>
      <w:r>
        <w:rPr>
          <w:spacing w:val="-37"/>
          <w:sz w:val="21"/>
        </w:rPr>
        <w:t> 年 </w:t>
      </w:r>
      <w:r>
        <w:rPr>
          <w:sz w:val="21"/>
        </w:rPr>
        <w:t>11</w:t>
      </w:r>
      <w:r>
        <w:rPr>
          <w:spacing w:val="-27"/>
          <w:sz w:val="21"/>
        </w:rPr>
        <w:t> 月和 </w:t>
      </w:r>
      <w:r>
        <w:rPr>
          <w:sz w:val="21"/>
        </w:rPr>
        <w:t>2021</w:t>
      </w:r>
      <w:r>
        <w:rPr>
          <w:spacing w:val="-37"/>
          <w:sz w:val="21"/>
        </w:rPr>
        <w:t> 年 </w:t>
      </w:r>
      <w:r>
        <w:rPr>
          <w:sz w:val="21"/>
        </w:rPr>
        <w:t>11</w:t>
      </w:r>
    </w:p>
    <w:p>
      <w:pPr>
        <w:pStyle w:val="BodyText"/>
        <w:spacing w:before="1"/>
      </w:pPr>
      <w:r>
        <w:rPr>
          <w:spacing w:val="-3"/>
        </w:rPr>
        <w:t>月通过复审再次被认定为高新技术企业。经税务机关批准，该公司 </w:t>
      </w:r>
      <w:r>
        <w:rPr/>
        <w:t>2022</w:t>
      </w:r>
      <w:r>
        <w:rPr>
          <w:spacing w:val="-8"/>
        </w:rPr>
        <w:t> 年度实际适用的企业所</w:t>
      </w:r>
    </w:p>
    <w:p>
      <w:pPr>
        <w:pStyle w:val="BodyText"/>
        <w:spacing w:line="242" w:lineRule="auto" w:before="3"/>
        <w:ind w:right="1282"/>
      </w:pPr>
      <w:r>
        <w:rPr>
          <w:spacing w:val="-10"/>
        </w:rPr>
        <w:t>得税税率为 </w:t>
      </w:r>
      <w:r>
        <w:rPr>
          <w:spacing w:val="-1"/>
        </w:rPr>
        <w:t>15%(2021</w:t>
      </w:r>
      <w:r>
        <w:rPr>
          <w:spacing w:val="-18"/>
        </w:rPr>
        <w:t> 年度</w:t>
      </w:r>
      <w:r>
        <w:rPr/>
        <w:t>：15%)。此外，根据财政部、国家税务总局及科技部颁布的《关于加</w:t>
      </w:r>
      <w:r>
        <w:rPr>
          <w:spacing w:val="-1"/>
        </w:rPr>
        <w:t>大支持科技创新税前扣除力度的公告》(财政部 税务总局 科技部公告[</w:t>
      </w:r>
      <w:r>
        <w:rPr/>
        <w:t>2022]</w:t>
      </w:r>
      <w:r>
        <w:rPr>
          <w:spacing w:val="19"/>
        </w:rPr>
        <w:t> </w:t>
      </w:r>
      <w:r>
        <w:rPr/>
        <w:t>28</w:t>
      </w:r>
      <w:r>
        <w:rPr>
          <w:spacing w:val="-6"/>
        </w:rPr>
        <w:t> 号)的相关规</w:t>
      </w:r>
      <w:r>
        <w:rPr>
          <w:spacing w:val="1"/>
        </w:rPr>
        <w:t> </w:t>
      </w:r>
      <w:r>
        <w:rPr>
          <w:spacing w:val="-7"/>
        </w:rPr>
        <w:t>定，该子公司在 </w:t>
      </w:r>
      <w:r>
        <w:rPr/>
        <w:t>2022</w:t>
      </w:r>
      <w:r>
        <w:rPr>
          <w:spacing w:val="-36"/>
        </w:rPr>
        <w:t> 年 </w:t>
      </w:r>
      <w:r>
        <w:rPr/>
        <w:t>10</w:t>
      </w:r>
      <w:r>
        <w:rPr>
          <w:spacing w:val="-36"/>
        </w:rPr>
        <w:t> 月 </w:t>
      </w:r>
      <w:r>
        <w:rPr/>
        <w:t>1</w:t>
      </w:r>
      <w:r>
        <w:rPr>
          <w:spacing w:val="-28"/>
        </w:rPr>
        <w:t> 日至 </w:t>
      </w:r>
      <w:r>
        <w:rPr/>
        <w:t>2022</w:t>
      </w:r>
      <w:r>
        <w:rPr>
          <w:spacing w:val="-36"/>
        </w:rPr>
        <w:t> 年 </w:t>
      </w:r>
      <w:r>
        <w:rPr/>
        <w:t>12</w:t>
      </w:r>
      <w:r>
        <w:rPr>
          <w:spacing w:val="-37"/>
        </w:rPr>
        <w:t> 月 </w:t>
      </w:r>
      <w:r>
        <w:rPr/>
        <w:t>31</w:t>
      </w:r>
      <w:r>
        <w:rPr>
          <w:spacing w:val="-11"/>
        </w:rPr>
        <w:t> 日的期间内，新购置的设备可于 </w:t>
      </w:r>
      <w:r>
        <w:rPr/>
        <w:t>2022</w:t>
      </w:r>
      <w:r>
        <w:rPr>
          <w:spacing w:val="-19"/>
        </w:rPr>
        <w:t> 年一</w:t>
      </w:r>
      <w:r>
        <w:rPr>
          <w:spacing w:val="-3"/>
        </w:rPr>
        <w:t>次性全额在计算应纳税所得额时扣除，并允许在税前实行 </w:t>
      </w:r>
      <w:r>
        <w:rPr/>
        <w:t>100%加计扣除。 </w:t>
      </w:r>
    </w:p>
    <w:p>
      <w:pPr>
        <w:pStyle w:val="BodyText"/>
        <w:spacing w:before="3"/>
      </w:pPr>
      <w:r>
        <w:rPr>
          <w:w w:val="100"/>
        </w:rPr>
        <w:t> </w:t>
      </w:r>
    </w:p>
    <w:p>
      <w:pPr>
        <w:pStyle w:val="ListParagraph"/>
        <w:numPr>
          <w:ilvl w:val="0"/>
          <w:numId w:val="58"/>
        </w:numPr>
        <w:tabs>
          <w:tab w:pos="636" w:val="left" w:leader="none"/>
        </w:tabs>
        <w:spacing w:line="242" w:lineRule="auto" w:before="4" w:after="0"/>
        <w:ind w:left="318" w:right="1385" w:firstLine="0"/>
        <w:jc w:val="left"/>
        <w:rPr>
          <w:sz w:val="21"/>
        </w:rPr>
      </w:pPr>
      <w:r>
        <w:rPr>
          <w:sz w:val="21"/>
        </w:rPr>
        <w:t>晋城富联鸿刃科技有限公司(曾用名：晋城鸿刃科技有限公司)系设立于山西省晋城市的有限</w:t>
      </w:r>
      <w:r>
        <w:rPr>
          <w:spacing w:val="-7"/>
          <w:sz w:val="21"/>
        </w:rPr>
        <w:t>责任公司。公司于 </w:t>
      </w:r>
      <w:r>
        <w:rPr>
          <w:sz w:val="21"/>
        </w:rPr>
        <w:t>2016</w:t>
      </w:r>
      <w:r>
        <w:rPr>
          <w:spacing w:val="-11"/>
          <w:sz w:val="21"/>
        </w:rPr>
        <w:t> 年被认定为高新技术企业，于 </w:t>
      </w:r>
      <w:r>
        <w:rPr>
          <w:sz w:val="21"/>
        </w:rPr>
        <w:t>2019</w:t>
      </w:r>
      <w:r>
        <w:rPr>
          <w:spacing w:val="-37"/>
          <w:sz w:val="21"/>
        </w:rPr>
        <w:t> 年 </w:t>
      </w:r>
      <w:r>
        <w:rPr>
          <w:sz w:val="21"/>
        </w:rPr>
        <w:t>11</w:t>
      </w:r>
      <w:r>
        <w:rPr>
          <w:spacing w:val="-8"/>
          <w:sz w:val="21"/>
        </w:rPr>
        <w:t> 月通过复审再次被认定为高新</w:t>
      </w:r>
    </w:p>
    <w:p>
      <w:pPr>
        <w:pStyle w:val="BodyText"/>
        <w:spacing w:before="2"/>
      </w:pPr>
      <w:r>
        <w:rPr>
          <w:spacing w:val="-9"/>
        </w:rPr>
        <w:t>技术企业。于 </w:t>
      </w:r>
      <w:r>
        <w:rPr/>
        <w:t>2023</w:t>
      </w:r>
      <w:r>
        <w:rPr>
          <w:spacing w:val="-36"/>
        </w:rPr>
        <w:t> 年 </w:t>
      </w:r>
      <w:r>
        <w:rPr/>
        <w:t>1</w:t>
      </w:r>
      <w:r>
        <w:rPr>
          <w:spacing w:val="-37"/>
        </w:rPr>
        <w:t> 月 </w:t>
      </w:r>
      <w:r>
        <w:rPr/>
        <w:t>4</w:t>
      </w:r>
      <w:r>
        <w:rPr>
          <w:spacing w:val="-8"/>
        </w:rPr>
        <w:t> 日，全国高新技术企业认定管理工作领导小组办公室下发的《关于</w:t>
      </w:r>
    </w:p>
    <w:p>
      <w:pPr>
        <w:pStyle w:val="BodyText"/>
        <w:spacing w:before="2"/>
      </w:pPr>
      <w:r>
        <w:rPr>
          <w:spacing w:val="-7"/>
        </w:rPr>
        <w:t>对山西省认定机构 </w:t>
      </w:r>
      <w:r>
        <w:rPr/>
        <w:t>2022</w:t>
      </w:r>
      <w:r>
        <w:rPr>
          <w:spacing w:val="-8"/>
        </w:rPr>
        <w:t> 年认定的第二批高新技术企业进行备案的公告》中被公示为高新技术企</w:t>
      </w:r>
    </w:p>
    <w:p>
      <w:pPr>
        <w:pStyle w:val="BodyText"/>
        <w:spacing w:line="244" w:lineRule="auto" w:before="2"/>
        <w:ind w:right="1174"/>
      </w:pPr>
      <w:r>
        <w:rPr>
          <w:spacing w:val="-10"/>
        </w:rPr>
        <w:t>业。该公司 </w:t>
      </w:r>
      <w:r>
        <w:rPr>
          <w:spacing w:val="-1"/>
        </w:rPr>
        <w:t>2022</w:t>
      </w:r>
      <w:r>
        <w:rPr>
          <w:spacing w:val="-11"/>
        </w:rPr>
        <w:t> 年度实际适用的企业所得税税率为 </w:t>
      </w:r>
      <w:r>
        <w:rPr/>
        <w:t>15%(2021</w:t>
      </w:r>
      <w:r>
        <w:rPr>
          <w:spacing w:val="-15"/>
        </w:rPr>
        <w:t> 年度：</w:t>
      </w:r>
      <w:r>
        <w:rPr/>
        <w:t>15%)。此外，根据财政部、</w:t>
      </w:r>
      <w:r>
        <w:rPr>
          <w:spacing w:val="-1"/>
        </w:rPr>
        <w:t>国家税务总局及科技部颁布的《关于加大支持科技创新税前扣除力度的公告》(财政部 税务总局</w:t>
      </w:r>
      <w:r>
        <w:rPr/>
        <w:t> </w:t>
      </w:r>
    </w:p>
    <w:p>
      <w:pPr>
        <w:spacing w:after="0" w:line="244" w:lineRule="auto"/>
        <w:sectPr>
          <w:pgSz w:w="11910" w:h="16840"/>
          <w:pgMar w:header="882" w:footer="1172" w:top="1120" w:bottom="1380" w:left="1480" w:right="0"/>
        </w:sectPr>
      </w:pPr>
    </w:p>
    <w:p>
      <w:pPr>
        <w:pStyle w:val="BodyText"/>
        <w:spacing w:before="7"/>
        <w:ind w:left="0"/>
        <w:rPr>
          <w:sz w:val="25"/>
        </w:rPr>
      </w:pPr>
    </w:p>
    <w:p>
      <w:pPr>
        <w:pStyle w:val="BodyText"/>
        <w:spacing w:before="72"/>
      </w:pPr>
      <w:r>
        <w:rPr/>
        <w:t>科技部公告[2022]</w:t>
      </w:r>
      <w:r>
        <w:rPr>
          <w:spacing w:val="1"/>
        </w:rPr>
        <w:t> </w:t>
      </w:r>
      <w:r>
        <w:rPr/>
        <w:t>28</w:t>
      </w:r>
      <w:r>
        <w:rPr>
          <w:spacing w:val="-12"/>
        </w:rPr>
        <w:t> 号)的相关规定，该子公司在 </w:t>
      </w:r>
      <w:r>
        <w:rPr/>
        <w:t>2022</w:t>
      </w:r>
      <w:r>
        <w:rPr>
          <w:spacing w:val="-36"/>
        </w:rPr>
        <w:t> 年 </w:t>
      </w:r>
      <w:r>
        <w:rPr/>
        <w:t>10</w:t>
      </w:r>
      <w:r>
        <w:rPr>
          <w:spacing w:val="-36"/>
        </w:rPr>
        <w:t> 月 </w:t>
      </w:r>
      <w:r>
        <w:rPr/>
        <w:t>1</w:t>
      </w:r>
      <w:r>
        <w:rPr>
          <w:spacing w:val="-28"/>
        </w:rPr>
        <w:t> 日至 </w:t>
      </w:r>
      <w:r>
        <w:rPr/>
        <w:t>2022</w:t>
      </w:r>
      <w:r>
        <w:rPr>
          <w:spacing w:val="-36"/>
        </w:rPr>
        <w:t> 年 </w:t>
      </w:r>
      <w:r>
        <w:rPr/>
        <w:t>12</w:t>
      </w:r>
      <w:r>
        <w:rPr>
          <w:spacing w:val="-36"/>
        </w:rPr>
        <w:t> 月 </w:t>
      </w:r>
      <w:r>
        <w:rPr/>
        <w:t>31</w:t>
      </w:r>
      <w:r>
        <w:rPr>
          <w:spacing w:val="-14"/>
        </w:rPr>
        <w:t> 日的期</w:t>
      </w:r>
    </w:p>
    <w:p>
      <w:pPr>
        <w:pStyle w:val="BodyText"/>
        <w:spacing w:line="242" w:lineRule="auto" w:before="5"/>
        <w:ind w:right="1596"/>
      </w:pPr>
      <w:r>
        <w:rPr>
          <w:spacing w:val="-6"/>
        </w:rPr>
        <w:t>间内，新购置的设备可于 </w:t>
      </w:r>
      <w:r>
        <w:rPr/>
        <w:t>2022</w:t>
      </w:r>
      <w:r>
        <w:rPr>
          <w:spacing w:val="-8"/>
        </w:rPr>
        <w:t> 年一次性全额在计算应纳税所得额时扣除，并允许在税前实行</w:t>
      </w:r>
      <w:r>
        <w:rPr/>
        <w:t>100%加计扣除。 </w:t>
      </w:r>
    </w:p>
    <w:p>
      <w:pPr>
        <w:pStyle w:val="BodyText"/>
        <w:spacing w:before="1"/>
      </w:pPr>
      <w:r>
        <w:rPr>
          <w:w w:val="100"/>
        </w:rPr>
        <w:t> </w:t>
      </w:r>
    </w:p>
    <w:p>
      <w:pPr>
        <w:pStyle w:val="ListParagraph"/>
        <w:numPr>
          <w:ilvl w:val="0"/>
          <w:numId w:val="58"/>
        </w:numPr>
        <w:tabs>
          <w:tab w:pos="636" w:val="left" w:leader="none"/>
        </w:tabs>
        <w:spacing w:line="244" w:lineRule="auto" w:before="2" w:after="0"/>
        <w:ind w:left="318" w:right="1279" w:firstLine="0"/>
        <w:jc w:val="left"/>
        <w:rPr>
          <w:sz w:val="21"/>
        </w:rPr>
      </w:pPr>
      <w:r>
        <w:rPr>
          <w:sz w:val="21"/>
        </w:rPr>
        <w:t>成都富联准刃科技有限公司(曾用名：成都准刃科技有限公司)系设立于四川省成都市的有限</w:t>
      </w:r>
      <w:r>
        <w:rPr>
          <w:spacing w:val="-7"/>
          <w:sz w:val="21"/>
        </w:rPr>
        <w:t>责任公司。公司自 </w:t>
      </w:r>
      <w:r>
        <w:rPr>
          <w:sz w:val="21"/>
        </w:rPr>
        <w:t>2015</w:t>
      </w:r>
      <w:r>
        <w:rPr>
          <w:spacing w:val="-10"/>
          <w:sz w:val="21"/>
        </w:rPr>
        <w:t> 年起享受西部大开发的优惠政策。经税务机关批准，该公司 </w:t>
      </w:r>
      <w:r>
        <w:rPr>
          <w:sz w:val="21"/>
        </w:rPr>
        <w:t>2022</w:t>
      </w:r>
      <w:r>
        <w:rPr>
          <w:spacing w:val="-14"/>
          <w:sz w:val="21"/>
        </w:rPr>
        <w:t> 年度实</w:t>
      </w:r>
    </w:p>
    <w:p>
      <w:pPr>
        <w:pStyle w:val="BodyText"/>
        <w:spacing w:line="265" w:lineRule="exact"/>
      </w:pPr>
      <w:r>
        <w:rPr>
          <w:spacing w:val="-5"/>
        </w:rPr>
        <w:t>际适用的企业所得税税率为 </w:t>
      </w:r>
      <w:r>
        <w:rPr/>
        <w:t>15%(2021</w:t>
      </w:r>
      <w:r>
        <w:rPr>
          <w:spacing w:val="-14"/>
        </w:rPr>
        <w:t> 年度：</w:t>
      </w:r>
      <w:r>
        <w:rPr/>
        <w:t>15%)。 </w:t>
      </w:r>
    </w:p>
    <w:p>
      <w:pPr>
        <w:pStyle w:val="BodyText"/>
        <w:tabs>
          <w:tab w:pos="737" w:val="left" w:leader="none"/>
        </w:tabs>
        <w:spacing w:before="5"/>
      </w:pPr>
      <w:r>
        <w:rPr>
          <w:w w:val="100"/>
        </w:rPr>
        <w:t> </w:t>
      </w:r>
      <w:r>
        <w:rPr/>
        <w:tab/>
      </w:r>
      <w:r>
        <w:rPr>
          <w:w w:val="100"/>
        </w:rPr>
        <w:t> </w:t>
      </w:r>
    </w:p>
    <w:p>
      <w:pPr>
        <w:pStyle w:val="ListParagraph"/>
        <w:numPr>
          <w:ilvl w:val="0"/>
          <w:numId w:val="58"/>
        </w:numPr>
        <w:tabs>
          <w:tab w:pos="636" w:val="left" w:leader="none"/>
        </w:tabs>
        <w:spacing w:line="244" w:lineRule="auto" w:before="2" w:after="0"/>
        <w:ind w:left="318" w:right="1285" w:firstLine="0"/>
        <w:jc w:val="left"/>
        <w:rPr>
          <w:sz w:val="21"/>
        </w:rPr>
      </w:pPr>
      <w:r>
        <w:rPr>
          <w:sz w:val="21"/>
        </w:rPr>
        <w:t>富联科技(济源)有限公司(曾用名：富泰华精密电子(济源)有限公司)系设立于河南省济源市</w:t>
      </w:r>
      <w:r>
        <w:rPr>
          <w:spacing w:val="-6"/>
          <w:sz w:val="21"/>
        </w:rPr>
        <w:t>的有限责任公司。公司于 </w:t>
      </w:r>
      <w:r>
        <w:rPr>
          <w:sz w:val="21"/>
        </w:rPr>
        <w:t>2017</w:t>
      </w:r>
      <w:r>
        <w:rPr>
          <w:spacing w:val="-11"/>
          <w:sz w:val="21"/>
        </w:rPr>
        <w:t> 年被认定为高新技术企业，于 </w:t>
      </w:r>
      <w:r>
        <w:rPr>
          <w:sz w:val="21"/>
        </w:rPr>
        <w:t>2020</w:t>
      </w:r>
      <w:r>
        <w:rPr>
          <w:spacing w:val="-37"/>
          <w:sz w:val="21"/>
        </w:rPr>
        <w:t> 年 </w:t>
      </w:r>
      <w:r>
        <w:rPr>
          <w:sz w:val="21"/>
        </w:rPr>
        <w:t>9</w:t>
      </w:r>
      <w:r>
        <w:rPr>
          <w:spacing w:val="-8"/>
          <w:sz w:val="21"/>
        </w:rPr>
        <w:t> 月通过复审再次被认定为</w:t>
      </w:r>
    </w:p>
    <w:p>
      <w:pPr>
        <w:pStyle w:val="BodyText"/>
        <w:spacing w:line="242" w:lineRule="auto"/>
        <w:ind w:right="1277"/>
      </w:pPr>
      <w:r>
        <w:rPr>
          <w:spacing w:val="-4"/>
        </w:rPr>
        <w:t>高新技术企业。经税务机关批准，该公司 </w:t>
      </w:r>
      <w:r>
        <w:rPr/>
        <w:t>2022</w:t>
      </w:r>
      <w:r>
        <w:rPr>
          <w:spacing w:val="-10"/>
        </w:rPr>
        <w:t> 年度实际适用的企业所得税税率为 </w:t>
      </w:r>
      <w:r>
        <w:rPr/>
        <w:t>15%(2021</w:t>
      </w:r>
      <w:r>
        <w:rPr>
          <w:spacing w:val="-24"/>
        </w:rPr>
        <w:t> 年</w:t>
      </w:r>
      <w:r>
        <w:rPr/>
        <w:t>度：15%)。此外，根据财政部、国家税务总局及科技部颁布的《关于加大支持科技创新税前扣除</w:t>
      </w:r>
      <w:r>
        <w:rPr>
          <w:spacing w:val="-1"/>
        </w:rPr>
        <w:t>力度的公告》(财政部 税务总局 科技部公告[</w:t>
      </w:r>
      <w:r>
        <w:rPr/>
        <w:t>2022]</w:t>
      </w:r>
      <w:r>
        <w:rPr>
          <w:spacing w:val="1"/>
        </w:rPr>
        <w:t> </w:t>
      </w:r>
      <w:r>
        <w:rPr/>
        <w:t>28</w:t>
      </w:r>
      <w:r>
        <w:rPr>
          <w:spacing w:val="-11"/>
        </w:rPr>
        <w:t> 号)的相关规定，该子公司在 </w:t>
      </w:r>
      <w:r>
        <w:rPr/>
        <w:t>2022</w:t>
      </w:r>
      <w:r>
        <w:rPr>
          <w:spacing w:val="-37"/>
        </w:rPr>
        <w:t> 年 </w:t>
      </w:r>
      <w:r>
        <w:rPr/>
        <w:t>10</w:t>
      </w:r>
    </w:p>
    <w:p>
      <w:pPr>
        <w:pStyle w:val="BodyText"/>
        <w:spacing w:line="242" w:lineRule="auto"/>
        <w:ind w:right="1282"/>
      </w:pPr>
      <w:r>
        <w:rPr>
          <w:spacing w:val="-27"/>
        </w:rPr>
        <w:t>月 </w:t>
      </w:r>
      <w:r>
        <w:rPr>
          <w:spacing w:val="-1"/>
        </w:rPr>
        <w:t>1</w:t>
      </w:r>
      <w:r>
        <w:rPr>
          <w:spacing w:val="-28"/>
        </w:rPr>
        <w:t> 日至 </w:t>
      </w:r>
      <w:r>
        <w:rPr/>
        <w:t>2022</w:t>
      </w:r>
      <w:r>
        <w:rPr>
          <w:spacing w:val="-37"/>
        </w:rPr>
        <w:t> 年 </w:t>
      </w:r>
      <w:r>
        <w:rPr/>
        <w:t>12</w:t>
      </w:r>
      <w:r>
        <w:rPr>
          <w:spacing w:val="-36"/>
        </w:rPr>
        <w:t> 月 </w:t>
      </w:r>
      <w:r>
        <w:rPr/>
        <w:t>31</w:t>
      </w:r>
      <w:r>
        <w:rPr>
          <w:spacing w:val="-11"/>
        </w:rPr>
        <w:t> 日的期间内，新购置的设备可于 </w:t>
      </w:r>
      <w:r>
        <w:rPr/>
        <w:t>2022</w:t>
      </w:r>
      <w:r>
        <w:rPr>
          <w:spacing w:val="-8"/>
        </w:rPr>
        <w:t> 年一次性全额在计算应纳税所得</w:t>
      </w:r>
      <w:r>
        <w:rPr>
          <w:spacing w:val="-5"/>
        </w:rPr>
        <w:t>额时扣除，并允许在税前实行 </w:t>
      </w:r>
      <w:r>
        <w:rPr/>
        <w:t>100%加计扣除。 </w:t>
      </w:r>
    </w:p>
    <w:p>
      <w:pPr>
        <w:pStyle w:val="BodyText"/>
        <w:tabs>
          <w:tab w:pos="737" w:val="left" w:leader="none"/>
        </w:tabs>
        <w:spacing w:before="1"/>
      </w:pPr>
      <w:r>
        <w:rPr>
          <w:w w:val="100"/>
        </w:rPr>
        <w:t> </w:t>
      </w:r>
      <w:r>
        <w:rPr/>
        <w:tab/>
      </w:r>
      <w:r>
        <w:rPr>
          <w:w w:val="100"/>
        </w:rPr>
        <w:t> </w:t>
      </w:r>
    </w:p>
    <w:p>
      <w:pPr>
        <w:pStyle w:val="ListParagraph"/>
        <w:numPr>
          <w:ilvl w:val="0"/>
          <w:numId w:val="58"/>
        </w:numPr>
        <w:tabs>
          <w:tab w:pos="636" w:val="left" w:leader="none"/>
        </w:tabs>
        <w:spacing w:line="240" w:lineRule="auto" w:before="2" w:after="0"/>
        <w:ind w:left="635" w:right="0" w:hanging="318"/>
        <w:jc w:val="left"/>
        <w:rPr>
          <w:sz w:val="21"/>
        </w:rPr>
      </w:pPr>
      <w:r>
        <w:rPr>
          <w:spacing w:val="-3"/>
          <w:sz w:val="21"/>
        </w:rPr>
        <w:t>富联精密电子(贵阳)有限公司系设立于贵州省贵阳市的有限责任公司。公司自 </w:t>
      </w:r>
      <w:r>
        <w:rPr>
          <w:sz w:val="21"/>
        </w:rPr>
        <w:t>2018</w:t>
      </w:r>
      <w:r>
        <w:rPr>
          <w:spacing w:val="-12"/>
          <w:sz w:val="21"/>
        </w:rPr>
        <w:t> 年起享受</w:t>
      </w:r>
    </w:p>
    <w:p>
      <w:pPr>
        <w:pStyle w:val="BodyText"/>
        <w:spacing w:before="5"/>
      </w:pPr>
      <w:r>
        <w:rPr>
          <w:spacing w:val="-4"/>
        </w:rPr>
        <w:t>西部大开发的优惠政策。经税务机关批准，该公司 </w:t>
      </w:r>
      <w:r>
        <w:rPr/>
        <w:t>2022</w:t>
      </w:r>
      <w:r>
        <w:rPr>
          <w:spacing w:val="-8"/>
        </w:rPr>
        <w:t> 年度实际适用的企业所得税税率为</w:t>
      </w:r>
    </w:p>
    <w:p>
      <w:pPr>
        <w:pStyle w:val="BodyText"/>
        <w:spacing w:before="2"/>
      </w:pPr>
      <w:r>
        <w:rPr>
          <w:spacing w:val="-1"/>
        </w:rPr>
        <w:t>15%(2021</w:t>
      </w:r>
      <w:r>
        <w:rPr>
          <w:spacing w:val="-14"/>
        </w:rPr>
        <w:t> 年度：</w:t>
      </w:r>
      <w:r>
        <w:rPr/>
        <w:t>15%)。 </w:t>
      </w:r>
    </w:p>
    <w:p>
      <w:pPr>
        <w:pStyle w:val="BodyText"/>
        <w:spacing w:before="2"/>
      </w:pPr>
      <w:r>
        <w:rPr>
          <w:w w:val="100"/>
        </w:rPr>
        <w:t> </w:t>
      </w:r>
    </w:p>
    <w:p>
      <w:pPr>
        <w:pStyle w:val="ListParagraph"/>
        <w:numPr>
          <w:ilvl w:val="0"/>
          <w:numId w:val="58"/>
        </w:numPr>
        <w:tabs>
          <w:tab w:pos="636" w:val="left" w:leader="none"/>
        </w:tabs>
        <w:spacing w:line="242" w:lineRule="auto" w:before="4" w:after="0"/>
        <w:ind w:left="318" w:right="1385" w:firstLine="0"/>
        <w:jc w:val="left"/>
        <w:rPr>
          <w:sz w:val="21"/>
        </w:rPr>
      </w:pPr>
      <w:r>
        <w:rPr>
          <w:sz w:val="21"/>
        </w:rPr>
        <w:t>富联裕展科技(深圳)有限公司(曾用名：深圳市裕展精密科技有限公司)系设立于深圳市的有</w:t>
      </w:r>
      <w:r>
        <w:rPr>
          <w:spacing w:val="-7"/>
          <w:sz w:val="21"/>
        </w:rPr>
        <w:t>限责任公司。公司于 </w:t>
      </w:r>
      <w:r>
        <w:rPr>
          <w:sz w:val="21"/>
        </w:rPr>
        <w:t>2018</w:t>
      </w:r>
      <w:r>
        <w:rPr>
          <w:spacing w:val="-11"/>
          <w:sz w:val="21"/>
        </w:rPr>
        <w:t> 年被认定为高新技术企业，于 </w:t>
      </w:r>
      <w:r>
        <w:rPr>
          <w:sz w:val="21"/>
        </w:rPr>
        <w:t>2021</w:t>
      </w:r>
      <w:r>
        <w:rPr>
          <w:spacing w:val="-37"/>
          <w:sz w:val="21"/>
        </w:rPr>
        <w:t> 年 </w:t>
      </w:r>
      <w:r>
        <w:rPr>
          <w:sz w:val="21"/>
        </w:rPr>
        <w:t>12</w:t>
      </w:r>
      <w:r>
        <w:rPr>
          <w:spacing w:val="-8"/>
          <w:sz w:val="21"/>
        </w:rPr>
        <w:t> 月通过复审再次被认定为高</w:t>
      </w:r>
    </w:p>
    <w:p>
      <w:pPr>
        <w:pStyle w:val="BodyText"/>
        <w:spacing w:line="242" w:lineRule="auto" w:before="2"/>
        <w:ind w:right="1277"/>
        <w:jc w:val="both"/>
      </w:pPr>
      <w:r>
        <w:rPr>
          <w:spacing w:val="-4"/>
        </w:rPr>
        <w:t>新技术企业。经税务机关批准，该公司 </w:t>
      </w:r>
      <w:r>
        <w:rPr/>
        <w:t>2022</w:t>
      </w:r>
      <w:r>
        <w:rPr>
          <w:spacing w:val="-11"/>
        </w:rPr>
        <w:t> 年度实际适用的企业所得税税率为 </w:t>
      </w:r>
      <w:r>
        <w:rPr/>
        <w:t>15%(2021</w:t>
      </w:r>
      <w:r>
        <w:rPr>
          <w:spacing w:val="-14"/>
        </w:rPr>
        <w:t> 年度：</w:t>
      </w:r>
      <w:r>
        <w:rPr>
          <w:spacing w:val="-103"/>
        </w:rPr>
        <w:t> </w:t>
      </w:r>
      <w:r>
        <w:rPr/>
        <w:t>15%)。此外，根据财政部、国家税务总局及科技部颁布的《关于加大支持科技创新税前扣除力度</w:t>
      </w:r>
      <w:r>
        <w:rPr>
          <w:spacing w:val="-1"/>
        </w:rPr>
        <w:t>的公告》(财政部 税务总局 科技部公告[</w:t>
      </w:r>
      <w:r>
        <w:rPr/>
        <w:t>2022] 28</w:t>
      </w:r>
      <w:r>
        <w:rPr>
          <w:spacing w:val="-11"/>
        </w:rPr>
        <w:t> 号)的相关规定，该子公司在 </w:t>
      </w:r>
      <w:r>
        <w:rPr/>
        <w:t>2022</w:t>
      </w:r>
      <w:r>
        <w:rPr>
          <w:spacing w:val="-37"/>
        </w:rPr>
        <w:t> 年 </w:t>
      </w:r>
      <w:r>
        <w:rPr/>
        <w:t>10</w:t>
      </w:r>
      <w:r>
        <w:rPr>
          <w:spacing w:val="-37"/>
        </w:rPr>
        <w:t> 月 </w:t>
      </w:r>
      <w:r>
        <w:rPr/>
        <w:t>1</w:t>
      </w:r>
    </w:p>
    <w:p>
      <w:pPr>
        <w:pStyle w:val="BodyText"/>
        <w:spacing w:line="244" w:lineRule="auto"/>
        <w:ind w:right="1282"/>
        <w:jc w:val="both"/>
      </w:pPr>
      <w:r>
        <w:rPr>
          <w:spacing w:val="-19"/>
        </w:rPr>
        <w:t>日至 </w:t>
      </w:r>
      <w:r>
        <w:rPr>
          <w:spacing w:val="-1"/>
        </w:rPr>
        <w:t>2022</w:t>
      </w:r>
      <w:r>
        <w:rPr>
          <w:spacing w:val="-37"/>
        </w:rPr>
        <w:t> 年 </w:t>
      </w:r>
      <w:r>
        <w:rPr>
          <w:spacing w:val="-1"/>
        </w:rPr>
        <w:t>12</w:t>
      </w:r>
      <w:r>
        <w:rPr>
          <w:spacing w:val="-36"/>
        </w:rPr>
        <w:t> 月 </w:t>
      </w:r>
      <w:r>
        <w:rPr/>
        <w:t>31</w:t>
      </w:r>
      <w:r>
        <w:rPr>
          <w:spacing w:val="-11"/>
        </w:rPr>
        <w:t> 日的期间内，新购置的设备可于 </w:t>
      </w:r>
      <w:r>
        <w:rPr/>
        <w:t>2022</w:t>
      </w:r>
      <w:r>
        <w:rPr>
          <w:spacing w:val="-8"/>
        </w:rPr>
        <w:t> 年一次性全额在计算应纳税所得额时</w:t>
      </w:r>
      <w:r>
        <w:rPr>
          <w:spacing w:val="-5"/>
        </w:rPr>
        <w:t>扣除，并允许在税前实行 </w:t>
      </w:r>
      <w:r>
        <w:rPr/>
        <w:t>100%加计扣除。 </w:t>
      </w:r>
    </w:p>
    <w:p>
      <w:pPr>
        <w:pStyle w:val="BodyText"/>
        <w:spacing w:line="265" w:lineRule="exact"/>
        <w:jc w:val="both"/>
      </w:pPr>
      <w:r>
        <w:rPr>
          <w:w w:val="100"/>
        </w:rPr>
        <w:t> </w:t>
      </w:r>
      <w:r>
        <w:rPr/>
        <w:t>  </w:t>
      </w:r>
      <w:r>
        <w:rPr>
          <w:spacing w:val="-1"/>
        </w:rPr>
        <w:t> </w:t>
      </w:r>
      <w:r>
        <w:rPr>
          <w:w w:val="100"/>
        </w:rPr>
        <w:t> </w:t>
      </w:r>
    </w:p>
    <w:p>
      <w:pPr>
        <w:pStyle w:val="ListParagraph"/>
        <w:numPr>
          <w:ilvl w:val="0"/>
          <w:numId w:val="58"/>
        </w:numPr>
        <w:tabs>
          <w:tab w:pos="742" w:val="left" w:leader="none"/>
        </w:tabs>
        <w:spacing w:line="242" w:lineRule="auto" w:before="5" w:after="0"/>
        <w:ind w:left="318" w:right="1282" w:firstLine="0"/>
        <w:jc w:val="left"/>
        <w:rPr>
          <w:sz w:val="21"/>
        </w:rPr>
      </w:pPr>
      <w:r>
        <w:rPr>
          <w:spacing w:val="-1"/>
          <w:sz w:val="21"/>
        </w:rPr>
        <w:t>富联科技(晋城)有限公司(曾用名：晋城富泰华精密电子有限公司)系设立于山西省晋城市的</w:t>
      </w:r>
      <w:r>
        <w:rPr>
          <w:spacing w:val="-6"/>
          <w:sz w:val="21"/>
        </w:rPr>
        <w:t>有限责任公司。公司于 </w:t>
      </w:r>
      <w:r>
        <w:rPr>
          <w:sz w:val="21"/>
        </w:rPr>
        <w:t>2018</w:t>
      </w:r>
      <w:r>
        <w:rPr>
          <w:spacing w:val="-11"/>
          <w:sz w:val="21"/>
        </w:rPr>
        <w:t> 年被认定为高新技术企业，于 </w:t>
      </w:r>
      <w:r>
        <w:rPr>
          <w:sz w:val="21"/>
        </w:rPr>
        <w:t>2021</w:t>
      </w:r>
      <w:r>
        <w:rPr>
          <w:spacing w:val="-37"/>
          <w:sz w:val="21"/>
        </w:rPr>
        <w:t> 年 </w:t>
      </w:r>
      <w:r>
        <w:rPr>
          <w:sz w:val="21"/>
        </w:rPr>
        <w:t>12</w:t>
      </w:r>
      <w:r>
        <w:rPr>
          <w:spacing w:val="-8"/>
          <w:sz w:val="21"/>
        </w:rPr>
        <w:t> 月通过复审再次被认定为</w:t>
      </w:r>
    </w:p>
    <w:p>
      <w:pPr>
        <w:pStyle w:val="BodyText"/>
        <w:spacing w:line="242" w:lineRule="auto" w:before="1"/>
        <w:ind w:right="1277"/>
      </w:pPr>
      <w:r>
        <w:rPr>
          <w:spacing w:val="-4"/>
        </w:rPr>
        <w:t>高新技术企业。经税务机关批准，该公司 </w:t>
      </w:r>
      <w:r>
        <w:rPr/>
        <w:t>2022</w:t>
      </w:r>
      <w:r>
        <w:rPr>
          <w:spacing w:val="-10"/>
        </w:rPr>
        <w:t> 年度实际适用的企业所得税税率为 </w:t>
      </w:r>
      <w:r>
        <w:rPr/>
        <w:t>15%(2021</w:t>
      </w:r>
      <w:r>
        <w:rPr>
          <w:spacing w:val="-24"/>
        </w:rPr>
        <w:t> 年</w:t>
      </w:r>
      <w:r>
        <w:rPr/>
        <w:t>度：15%)。此外，根据财政部、国家税务总局及科技部颁布的《关于加大支持科技创新税前扣除</w:t>
      </w:r>
      <w:r>
        <w:rPr>
          <w:spacing w:val="-1"/>
        </w:rPr>
        <w:t>力度的公告》(财政部 税务总局 科技部公告[</w:t>
      </w:r>
      <w:r>
        <w:rPr/>
        <w:t>2022]</w:t>
      </w:r>
      <w:r>
        <w:rPr>
          <w:spacing w:val="1"/>
        </w:rPr>
        <w:t> </w:t>
      </w:r>
      <w:r>
        <w:rPr/>
        <w:t>28</w:t>
      </w:r>
      <w:r>
        <w:rPr>
          <w:spacing w:val="-11"/>
        </w:rPr>
        <w:t> 号)的相关规定，该子公司在 </w:t>
      </w:r>
      <w:r>
        <w:rPr/>
        <w:t>2022</w:t>
      </w:r>
      <w:r>
        <w:rPr>
          <w:spacing w:val="-37"/>
        </w:rPr>
        <w:t> 年 </w:t>
      </w:r>
      <w:r>
        <w:rPr/>
        <w:t>10</w:t>
      </w:r>
    </w:p>
    <w:p>
      <w:pPr>
        <w:pStyle w:val="BodyText"/>
        <w:spacing w:line="244" w:lineRule="auto" w:before="1"/>
        <w:ind w:right="1282"/>
      </w:pPr>
      <w:r>
        <w:rPr>
          <w:spacing w:val="-27"/>
        </w:rPr>
        <w:t>月 </w:t>
      </w:r>
      <w:r>
        <w:rPr>
          <w:spacing w:val="-1"/>
        </w:rPr>
        <w:t>1</w:t>
      </w:r>
      <w:r>
        <w:rPr>
          <w:spacing w:val="-28"/>
        </w:rPr>
        <w:t> 日至 </w:t>
      </w:r>
      <w:r>
        <w:rPr>
          <w:spacing w:val="-1"/>
        </w:rPr>
        <w:t>2022</w:t>
      </w:r>
      <w:r>
        <w:rPr>
          <w:spacing w:val="-36"/>
        </w:rPr>
        <w:t> 年 </w:t>
      </w:r>
      <w:r>
        <w:rPr/>
        <w:t>12</w:t>
      </w:r>
      <w:r>
        <w:rPr>
          <w:spacing w:val="-36"/>
        </w:rPr>
        <w:t> 月 </w:t>
      </w:r>
      <w:r>
        <w:rPr/>
        <w:t>31</w:t>
      </w:r>
      <w:r>
        <w:rPr>
          <w:spacing w:val="-11"/>
        </w:rPr>
        <w:t> 日的期间内，新购置的设备可于 </w:t>
      </w:r>
      <w:r>
        <w:rPr/>
        <w:t>2022</w:t>
      </w:r>
      <w:r>
        <w:rPr>
          <w:spacing w:val="-8"/>
        </w:rPr>
        <w:t> 年一次性全额在计算应纳税所得</w:t>
      </w:r>
      <w:r>
        <w:rPr>
          <w:spacing w:val="-5"/>
        </w:rPr>
        <w:t>额时扣除，并允许在税前实行 </w:t>
      </w:r>
      <w:r>
        <w:rPr/>
        <w:t>100%加计扣除。 </w:t>
      </w:r>
    </w:p>
    <w:p>
      <w:pPr>
        <w:pStyle w:val="BodyText"/>
        <w:spacing w:line="265" w:lineRule="exact"/>
      </w:pPr>
      <w:r>
        <w:rPr>
          <w:w w:val="100"/>
        </w:rPr>
        <w:t> </w:t>
      </w:r>
    </w:p>
    <w:p>
      <w:pPr>
        <w:pStyle w:val="ListParagraph"/>
        <w:numPr>
          <w:ilvl w:val="0"/>
          <w:numId w:val="58"/>
        </w:numPr>
        <w:tabs>
          <w:tab w:pos="742" w:val="left" w:leader="none"/>
        </w:tabs>
        <w:spacing w:line="242" w:lineRule="auto" w:before="5" w:after="0"/>
        <w:ind w:left="318" w:right="1282" w:firstLine="0"/>
        <w:jc w:val="both"/>
        <w:rPr>
          <w:sz w:val="21"/>
        </w:rPr>
      </w:pPr>
      <w:r>
        <w:rPr>
          <w:spacing w:val="-1"/>
          <w:sz w:val="21"/>
        </w:rPr>
        <w:t>富联裕展科技(河南)有限公司(曾用名：河南裕展精密科技有限公司)系设立于河南省郑州市</w:t>
      </w:r>
      <w:r>
        <w:rPr>
          <w:spacing w:val="-6"/>
          <w:sz w:val="21"/>
        </w:rPr>
        <w:t>的有限责任公司。公司于 </w:t>
      </w:r>
      <w:r>
        <w:rPr>
          <w:sz w:val="21"/>
        </w:rPr>
        <w:t>2018</w:t>
      </w:r>
      <w:r>
        <w:rPr>
          <w:spacing w:val="-11"/>
          <w:sz w:val="21"/>
        </w:rPr>
        <w:t> 年被认定为高新技术企业，于 </w:t>
      </w:r>
      <w:r>
        <w:rPr>
          <w:sz w:val="21"/>
        </w:rPr>
        <w:t>2021</w:t>
      </w:r>
      <w:r>
        <w:rPr>
          <w:spacing w:val="-37"/>
          <w:sz w:val="21"/>
        </w:rPr>
        <w:t> 年 </w:t>
      </w:r>
      <w:r>
        <w:rPr>
          <w:sz w:val="21"/>
        </w:rPr>
        <w:t>10</w:t>
      </w:r>
      <w:r>
        <w:rPr>
          <w:spacing w:val="-8"/>
          <w:sz w:val="21"/>
        </w:rPr>
        <w:t> 月通过复审再次被认定</w:t>
      </w:r>
    </w:p>
    <w:p>
      <w:pPr>
        <w:pStyle w:val="BodyText"/>
        <w:spacing w:line="242" w:lineRule="auto" w:before="1"/>
        <w:ind w:right="1277"/>
        <w:jc w:val="both"/>
      </w:pPr>
      <w:r>
        <w:rPr>
          <w:spacing w:val="-4"/>
        </w:rPr>
        <w:t>为高新技术企业。经税务机关批准，该公司 </w:t>
      </w:r>
      <w:r>
        <w:rPr/>
        <w:t>2022</w:t>
      </w:r>
      <w:r>
        <w:rPr>
          <w:spacing w:val="-11"/>
        </w:rPr>
        <w:t> 年度实际适用的企业所得税税率为 </w:t>
      </w:r>
      <w:r>
        <w:rPr/>
        <w:t>15%(2021</w:t>
      </w:r>
      <w:r>
        <w:rPr>
          <w:spacing w:val="-27"/>
        </w:rPr>
        <w:t> 年</w:t>
      </w:r>
      <w:r>
        <w:rPr/>
        <w:t>度：15%)。此外，根据财政部、国家税务总局及科技部颁布的《关于加大支持科技创新税前扣除</w:t>
      </w:r>
      <w:r>
        <w:rPr>
          <w:spacing w:val="-1"/>
        </w:rPr>
        <w:t>力度的公告》(财政部 税务总局 科技部公告[</w:t>
      </w:r>
      <w:r>
        <w:rPr/>
        <w:t>2022]</w:t>
      </w:r>
      <w:r>
        <w:rPr>
          <w:spacing w:val="1"/>
        </w:rPr>
        <w:t> </w:t>
      </w:r>
      <w:r>
        <w:rPr/>
        <w:t>28</w:t>
      </w:r>
      <w:r>
        <w:rPr>
          <w:spacing w:val="-11"/>
        </w:rPr>
        <w:t> 号)的相关规定，该子公司在 </w:t>
      </w:r>
      <w:r>
        <w:rPr/>
        <w:t>2022</w:t>
      </w:r>
      <w:r>
        <w:rPr>
          <w:spacing w:val="-37"/>
        </w:rPr>
        <w:t> 年 </w:t>
      </w:r>
      <w:r>
        <w:rPr/>
        <w:t>10</w:t>
      </w:r>
    </w:p>
    <w:p>
      <w:pPr>
        <w:pStyle w:val="BodyText"/>
        <w:spacing w:line="242" w:lineRule="auto" w:before="1"/>
        <w:ind w:right="1282"/>
        <w:jc w:val="both"/>
      </w:pPr>
      <w:r>
        <w:rPr>
          <w:spacing w:val="-27"/>
        </w:rPr>
        <w:t>月 </w:t>
      </w:r>
      <w:r>
        <w:rPr>
          <w:spacing w:val="-1"/>
        </w:rPr>
        <w:t>1</w:t>
      </w:r>
      <w:r>
        <w:rPr>
          <w:spacing w:val="-28"/>
        </w:rPr>
        <w:t> 日至 </w:t>
      </w:r>
      <w:r>
        <w:rPr/>
        <w:t>2022</w:t>
      </w:r>
      <w:r>
        <w:rPr>
          <w:spacing w:val="-37"/>
        </w:rPr>
        <w:t> 年 </w:t>
      </w:r>
      <w:r>
        <w:rPr/>
        <w:t>12</w:t>
      </w:r>
      <w:r>
        <w:rPr>
          <w:spacing w:val="-36"/>
        </w:rPr>
        <w:t> 月 </w:t>
      </w:r>
      <w:r>
        <w:rPr/>
        <w:t>31</w:t>
      </w:r>
      <w:r>
        <w:rPr>
          <w:spacing w:val="-11"/>
        </w:rPr>
        <w:t> 日的期间内，新购置的设备可于 </w:t>
      </w:r>
      <w:r>
        <w:rPr/>
        <w:t>2022</w:t>
      </w:r>
      <w:r>
        <w:rPr>
          <w:spacing w:val="-8"/>
        </w:rPr>
        <w:t> 年一次性全额在计算应纳税所得</w:t>
      </w:r>
      <w:r>
        <w:rPr>
          <w:spacing w:val="-5"/>
        </w:rPr>
        <w:t>额时扣除，并允许在税前实行 </w:t>
      </w:r>
      <w:r>
        <w:rPr/>
        <w:t>100%加计扣除。 </w:t>
      </w:r>
    </w:p>
    <w:p>
      <w:pPr>
        <w:pStyle w:val="BodyText"/>
        <w:spacing w:before="2"/>
        <w:jc w:val="both"/>
      </w:pPr>
      <w:r>
        <w:rPr>
          <w:w w:val="100"/>
        </w:rPr>
        <w:t> </w:t>
      </w:r>
      <w:r>
        <w:rPr/>
        <w:t>  </w:t>
      </w:r>
      <w:r>
        <w:rPr>
          <w:spacing w:val="-1"/>
        </w:rPr>
        <w:t> </w:t>
      </w:r>
      <w:r>
        <w:rPr>
          <w:w w:val="100"/>
        </w:rPr>
        <w:t> </w:t>
      </w:r>
    </w:p>
    <w:p>
      <w:pPr>
        <w:pStyle w:val="ListParagraph"/>
        <w:numPr>
          <w:ilvl w:val="0"/>
          <w:numId w:val="58"/>
        </w:numPr>
        <w:tabs>
          <w:tab w:pos="742" w:val="left" w:leader="none"/>
        </w:tabs>
        <w:spacing w:line="244" w:lineRule="auto" w:before="2" w:after="0"/>
        <w:ind w:left="318" w:right="1282" w:firstLine="0"/>
        <w:jc w:val="both"/>
        <w:rPr>
          <w:sz w:val="21"/>
        </w:rPr>
      </w:pPr>
      <w:r>
        <w:rPr>
          <w:sz w:val="21"/>
        </w:rPr>
        <w:t>富联科技(山西)有限公司(曾用名：山西裕鼎精密科技有限公司)系设立于山西省太原市的有</w:t>
      </w:r>
      <w:r>
        <w:rPr>
          <w:spacing w:val="-7"/>
          <w:sz w:val="21"/>
        </w:rPr>
        <w:t>限责任公司。公司于 </w:t>
      </w:r>
      <w:r>
        <w:rPr>
          <w:sz w:val="21"/>
        </w:rPr>
        <w:t>2019</w:t>
      </w:r>
      <w:r>
        <w:rPr>
          <w:spacing w:val="-11"/>
          <w:sz w:val="21"/>
        </w:rPr>
        <w:t> 年被认定为高新技术企业。于 </w:t>
      </w:r>
      <w:r>
        <w:rPr>
          <w:sz w:val="21"/>
        </w:rPr>
        <w:t>2022</w:t>
      </w:r>
      <w:r>
        <w:rPr>
          <w:spacing w:val="-37"/>
          <w:sz w:val="21"/>
        </w:rPr>
        <w:t> 年 </w:t>
      </w:r>
      <w:r>
        <w:rPr>
          <w:sz w:val="21"/>
        </w:rPr>
        <w:t>10</w:t>
      </w:r>
      <w:r>
        <w:rPr>
          <w:spacing w:val="-37"/>
          <w:sz w:val="21"/>
        </w:rPr>
        <w:t> 月 </w:t>
      </w:r>
      <w:r>
        <w:rPr>
          <w:sz w:val="21"/>
        </w:rPr>
        <w:t>12</w:t>
      </w:r>
      <w:r>
        <w:rPr>
          <w:spacing w:val="-8"/>
          <w:sz w:val="21"/>
        </w:rPr>
        <w:t> 日，在全国高新技术企</w:t>
      </w:r>
    </w:p>
    <w:p>
      <w:pPr>
        <w:pStyle w:val="BodyText"/>
        <w:spacing w:line="265" w:lineRule="exact"/>
        <w:jc w:val="both"/>
      </w:pPr>
      <w:r>
        <w:rPr>
          <w:spacing w:val="-4"/>
        </w:rPr>
        <w:t>业认定管理工作领导小组办公室下发的《关于对山西省 </w:t>
      </w:r>
      <w:r>
        <w:rPr/>
        <w:t>2022</w:t>
      </w:r>
      <w:r>
        <w:rPr>
          <w:spacing w:val="-8"/>
        </w:rPr>
        <w:t> 年认定的第一批高新技术企业进行</w:t>
      </w:r>
    </w:p>
    <w:p>
      <w:pPr>
        <w:pStyle w:val="BodyText"/>
        <w:spacing w:before="4"/>
        <w:jc w:val="both"/>
      </w:pPr>
      <w:r>
        <w:rPr>
          <w:spacing w:val="-4"/>
        </w:rPr>
        <w:t>备案公示的通知》中被公示为高新技术企业。该公司 </w:t>
      </w:r>
      <w:r>
        <w:rPr/>
        <w:t>2022</w:t>
      </w:r>
      <w:r>
        <w:rPr>
          <w:spacing w:val="-8"/>
        </w:rPr>
        <w:t> 年度实际适用的企业所得税税率为</w:t>
      </w:r>
    </w:p>
    <w:p>
      <w:pPr>
        <w:pStyle w:val="BodyText"/>
        <w:spacing w:line="244" w:lineRule="auto" w:before="2"/>
        <w:ind w:right="1335"/>
        <w:jc w:val="both"/>
      </w:pPr>
      <w:r>
        <w:rPr>
          <w:spacing w:val="-1"/>
        </w:rPr>
        <w:t>15%(2021</w:t>
      </w:r>
      <w:r>
        <w:rPr>
          <w:spacing w:val="-15"/>
        </w:rPr>
        <w:t> 年度：</w:t>
      </w:r>
      <w:r>
        <w:rPr/>
        <w:t>15%)。此外，根据财政部、国家税务总局及科技部颁布的《关于加大支持科技</w:t>
      </w:r>
      <w:r>
        <w:rPr>
          <w:spacing w:val="-2"/>
        </w:rPr>
        <w:t>创新税前扣除力度的公告》(财政部 税务总局 科技部公告</w:t>
      </w:r>
      <w:r>
        <w:rPr/>
        <w:t>[2022]</w:t>
      </w:r>
      <w:r>
        <w:rPr>
          <w:spacing w:val="1"/>
        </w:rPr>
        <w:t> </w:t>
      </w:r>
      <w:r>
        <w:rPr/>
        <w:t>28</w:t>
      </w:r>
      <w:r>
        <w:rPr>
          <w:spacing w:val="-8"/>
        </w:rPr>
        <w:t> 号)的相关规定，该子公司</w:t>
      </w:r>
    </w:p>
    <w:p>
      <w:pPr>
        <w:spacing w:after="0" w:line="244" w:lineRule="auto"/>
        <w:jc w:val="both"/>
        <w:sectPr>
          <w:pgSz w:w="11910" w:h="16840"/>
          <w:pgMar w:header="882" w:footer="1172" w:top="1120" w:bottom="1380" w:left="1480" w:right="0"/>
        </w:sectPr>
      </w:pPr>
    </w:p>
    <w:p>
      <w:pPr>
        <w:pStyle w:val="BodyText"/>
        <w:spacing w:before="7"/>
        <w:ind w:left="0"/>
        <w:rPr>
          <w:sz w:val="25"/>
        </w:rPr>
      </w:pPr>
    </w:p>
    <w:p>
      <w:pPr>
        <w:pStyle w:val="BodyText"/>
        <w:spacing w:line="244" w:lineRule="auto" w:before="72"/>
        <w:ind w:right="1284"/>
      </w:pPr>
      <w:r>
        <w:rPr>
          <w:spacing w:val="-27"/>
        </w:rPr>
        <w:t>在 </w:t>
      </w:r>
      <w:r>
        <w:rPr>
          <w:spacing w:val="-1"/>
        </w:rPr>
        <w:t>2022</w:t>
      </w:r>
      <w:r>
        <w:rPr>
          <w:spacing w:val="-37"/>
        </w:rPr>
        <w:t> 年 </w:t>
      </w:r>
      <w:r>
        <w:rPr/>
        <w:t>10</w:t>
      </w:r>
      <w:r>
        <w:rPr>
          <w:spacing w:val="-36"/>
        </w:rPr>
        <w:t> 月 </w:t>
      </w:r>
      <w:r>
        <w:rPr/>
        <w:t>1</w:t>
      </w:r>
      <w:r>
        <w:rPr>
          <w:spacing w:val="-27"/>
        </w:rPr>
        <w:t> 日至 </w:t>
      </w:r>
      <w:r>
        <w:rPr/>
        <w:t>2022</w:t>
      </w:r>
      <w:r>
        <w:rPr>
          <w:spacing w:val="-36"/>
        </w:rPr>
        <w:t> 年 </w:t>
      </w:r>
      <w:r>
        <w:rPr/>
        <w:t>12</w:t>
      </w:r>
      <w:r>
        <w:rPr>
          <w:spacing w:val="-36"/>
        </w:rPr>
        <w:t> 月 </w:t>
      </w:r>
      <w:r>
        <w:rPr/>
        <w:t>31</w:t>
      </w:r>
      <w:r>
        <w:rPr>
          <w:spacing w:val="-11"/>
        </w:rPr>
        <w:t> 日的期间内，新购置的设备可于 </w:t>
      </w:r>
      <w:r>
        <w:rPr/>
        <w:t>2022</w:t>
      </w:r>
      <w:r>
        <w:rPr>
          <w:spacing w:val="-8"/>
        </w:rPr>
        <w:t> 年一次性全额在计</w:t>
      </w:r>
      <w:r>
        <w:rPr>
          <w:spacing w:val="-4"/>
        </w:rPr>
        <w:t>算应纳税所得额时扣除，并允许在税前实行 </w:t>
      </w:r>
      <w:r>
        <w:rPr/>
        <w:t>100%加计扣除。 </w:t>
      </w:r>
    </w:p>
    <w:p>
      <w:pPr>
        <w:pStyle w:val="BodyText"/>
        <w:tabs>
          <w:tab w:pos="737" w:val="left" w:leader="none"/>
        </w:tabs>
        <w:spacing w:line="265" w:lineRule="exact"/>
      </w:pPr>
      <w:r>
        <w:rPr>
          <w:w w:val="100"/>
        </w:rPr>
        <w:t> </w:t>
      </w:r>
      <w:r>
        <w:rPr/>
        <w:tab/>
      </w:r>
      <w:r>
        <w:rPr>
          <w:w w:val="100"/>
        </w:rPr>
        <w:t> </w:t>
      </w:r>
    </w:p>
    <w:p>
      <w:pPr>
        <w:pStyle w:val="ListParagraph"/>
        <w:numPr>
          <w:ilvl w:val="0"/>
          <w:numId w:val="58"/>
        </w:numPr>
        <w:tabs>
          <w:tab w:pos="742" w:val="left" w:leader="none"/>
        </w:tabs>
        <w:spacing w:line="240" w:lineRule="auto" w:before="5" w:after="0"/>
        <w:ind w:left="741" w:right="0" w:hanging="424"/>
        <w:jc w:val="left"/>
        <w:rPr>
          <w:sz w:val="21"/>
        </w:rPr>
      </w:pPr>
      <w:r>
        <w:rPr>
          <w:spacing w:val="-3"/>
          <w:sz w:val="21"/>
        </w:rPr>
        <w:t>深圳精匠云创科技有限公司系设立于深圳市的有限责任公司。公司于 </w:t>
      </w:r>
      <w:r>
        <w:rPr>
          <w:sz w:val="21"/>
        </w:rPr>
        <w:t>2019</w:t>
      </w:r>
      <w:r>
        <w:rPr>
          <w:spacing w:val="-8"/>
          <w:sz w:val="21"/>
        </w:rPr>
        <w:t> 年被认定为高新</w:t>
      </w:r>
    </w:p>
    <w:p>
      <w:pPr>
        <w:pStyle w:val="BodyText"/>
        <w:spacing w:before="2"/>
      </w:pPr>
      <w:r>
        <w:rPr>
          <w:spacing w:val="-8"/>
        </w:rPr>
        <w:t>技术企业。于 </w:t>
      </w:r>
      <w:r>
        <w:rPr/>
        <w:t>2023</w:t>
      </w:r>
      <w:r>
        <w:rPr>
          <w:spacing w:val="-36"/>
        </w:rPr>
        <w:t> 年 </w:t>
      </w:r>
      <w:r>
        <w:rPr/>
        <w:t>2</w:t>
      </w:r>
      <w:r>
        <w:rPr>
          <w:spacing w:val="-37"/>
        </w:rPr>
        <w:t> 月 </w:t>
      </w:r>
      <w:r>
        <w:rPr/>
        <w:t>23</w:t>
      </w:r>
      <w:r>
        <w:rPr>
          <w:spacing w:val="-8"/>
        </w:rPr>
        <w:t> 日，全国高新技术企业认定管理工作领导小组办公室下发的《关于</w:t>
      </w:r>
    </w:p>
    <w:p>
      <w:pPr>
        <w:pStyle w:val="BodyText"/>
        <w:spacing w:before="4"/>
      </w:pPr>
      <w:r>
        <w:rPr>
          <w:spacing w:val="-7"/>
        </w:rPr>
        <w:t>对深圳市认定机构 </w:t>
      </w:r>
      <w:r>
        <w:rPr/>
        <w:t>2022</w:t>
      </w:r>
      <w:r>
        <w:rPr>
          <w:spacing w:val="-8"/>
        </w:rPr>
        <w:t> 年认定的高新技术企业进行补充备案的公告》中被公示为高新技术企</w:t>
      </w:r>
    </w:p>
    <w:p>
      <w:pPr>
        <w:pStyle w:val="BodyText"/>
        <w:spacing w:line="242" w:lineRule="auto" w:before="2"/>
        <w:ind w:right="1174"/>
      </w:pPr>
      <w:r>
        <w:rPr>
          <w:spacing w:val="-10"/>
        </w:rPr>
        <w:t>业。该公司 </w:t>
      </w:r>
      <w:r>
        <w:rPr>
          <w:spacing w:val="-1"/>
        </w:rPr>
        <w:t>2022</w:t>
      </w:r>
      <w:r>
        <w:rPr>
          <w:spacing w:val="-11"/>
        </w:rPr>
        <w:t> 年度实际适用的企业所得税税率为 </w:t>
      </w:r>
      <w:r>
        <w:rPr/>
        <w:t>15%(2021</w:t>
      </w:r>
      <w:r>
        <w:rPr>
          <w:spacing w:val="-15"/>
        </w:rPr>
        <w:t> 年度：</w:t>
      </w:r>
      <w:r>
        <w:rPr/>
        <w:t>15%)。此外，根据财政部、</w:t>
      </w:r>
      <w:r>
        <w:rPr>
          <w:spacing w:val="-1"/>
        </w:rPr>
        <w:t>国家税务总局及科技部颁布的《关于加大支持科技创新税前扣除力度的公告》(财政部 税务总局</w:t>
      </w:r>
      <w:r>
        <w:rPr/>
        <w:t>科技部公告[2022]</w:t>
      </w:r>
      <w:r>
        <w:rPr>
          <w:spacing w:val="1"/>
        </w:rPr>
        <w:t> </w:t>
      </w:r>
      <w:r>
        <w:rPr/>
        <w:t>28</w:t>
      </w:r>
      <w:r>
        <w:rPr>
          <w:spacing w:val="-12"/>
        </w:rPr>
        <w:t> 号)的相关规定，该子公司在 </w:t>
      </w:r>
      <w:r>
        <w:rPr/>
        <w:t>2022</w:t>
      </w:r>
      <w:r>
        <w:rPr>
          <w:spacing w:val="-37"/>
        </w:rPr>
        <w:t> 年 </w:t>
      </w:r>
      <w:r>
        <w:rPr/>
        <w:t>10</w:t>
      </w:r>
      <w:r>
        <w:rPr>
          <w:spacing w:val="-36"/>
        </w:rPr>
        <w:t> 月 </w:t>
      </w:r>
      <w:r>
        <w:rPr/>
        <w:t>1</w:t>
      </w:r>
      <w:r>
        <w:rPr>
          <w:spacing w:val="-28"/>
        </w:rPr>
        <w:t> 日至 </w:t>
      </w:r>
      <w:r>
        <w:rPr/>
        <w:t>2022</w:t>
      </w:r>
      <w:r>
        <w:rPr>
          <w:spacing w:val="-37"/>
        </w:rPr>
        <w:t> 年 </w:t>
      </w:r>
      <w:r>
        <w:rPr/>
        <w:t>12</w:t>
      </w:r>
      <w:r>
        <w:rPr>
          <w:spacing w:val="-36"/>
        </w:rPr>
        <w:t> 月 </w:t>
      </w:r>
      <w:r>
        <w:rPr/>
        <w:t>31</w:t>
      </w:r>
      <w:r>
        <w:rPr>
          <w:spacing w:val="-15"/>
        </w:rPr>
        <w:t> 日的期</w:t>
      </w:r>
    </w:p>
    <w:p>
      <w:pPr>
        <w:pStyle w:val="BodyText"/>
        <w:spacing w:line="242" w:lineRule="auto" w:before="3"/>
        <w:ind w:right="1596"/>
      </w:pPr>
      <w:r>
        <w:rPr>
          <w:spacing w:val="-6"/>
        </w:rPr>
        <w:t>间内，新购置的设备可于 </w:t>
      </w:r>
      <w:r>
        <w:rPr/>
        <w:t>2022</w:t>
      </w:r>
      <w:r>
        <w:rPr>
          <w:spacing w:val="-8"/>
        </w:rPr>
        <w:t> 年一次性全额在计算应纳税所得额时扣除，并允许在税前实行</w:t>
      </w:r>
      <w:r>
        <w:rPr/>
        <w:t>100%加计扣除。 </w:t>
      </w:r>
    </w:p>
    <w:p>
      <w:pPr>
        <w:pStyle w:val="BodyText"/>
        <w:tabs>
          <w:tab w:pos="737" w:val="left" w:leader="none"/>
        </w:tabs>
        <w:spacing w:before="2"/>
      </w:pPr>
      <w:r>
        <w:rPr>
          <w:w w:val="100"/>
        </w:rPr>
        <w:t> </w:t>
      </w:r>
      <w:r>
        <w:rPr/>
        <w:tab/>
      </w:r>
      <w:r>
        <w:rPr>
          <w:w w:val="100"/>
        </w:rPr>
        <w:t> </w:t>
      </w:r>
    </w:p>
    <w:p>
      <w:pPr>
        <w:pStyle w:val="ListParagraph"/>
        <w:numPr>
          <w:ilvl w:val="0"/>
          <w:numId w:val="58"/>
        </w:numPr>
        <w:tabs>
          <w:tab w:pos="742" w:val="left" w:leader="none"/>
        </w:tabs>
        <w:spacing w:line="244" w:lineRule="auto" w:before="2" w:after="0"/>
        <w:ind w:left="318" w:right="1279" w:firstLine="0"/>
        <w:jc w:val="both"/>
        <w:rPr>
          <w:sz w:val="21"/>
        </w:rPr>
      </w:pPr>
      <w:r>
        <w:rPr>
          <w:sz w:val="21"/>
        </w:rPr>
        <w:t>富联科技(鹤壁)有限公司(曾用名：鹤壁裕展精密科技有限公司)系设立于河南省鹤壁市的有</w:t>
      </w:r>
      <w:r>
        <w:rPr>
          <w:spacing w:val="-7"/>
          <w:sz w:val="21"/>
        </w:rPr>
        <w:t>限责任公司。公司于 </w:t>
      </w:r>
      <w:r>
        <w:rPr>
          <w:sz w:val="21"/>
        </w:rPr>
        <w:t>2020</w:t>
      </w:r>
      <w:r>
        <w:rPr>
          <w:spacing w:val="-10"/>
          <w:sz w:val="21"/>
        </w:rPr>
        <w:t> 年被认定为高新技术企业。经税务机关批准，该公司 </w:t>
      </w:r>
      <w:r>
        <w:rPr>
          <w:sz w:val="21"/>
        </w:rPr>
        <w:t>2022</w:t>
      </w:r>
      <w:r>
        <w:rPr>
          <w:spacing w:val="-10"/>
          <w:sz w:val="21"/>
        </w:rPr>
        <w:t> 年度实际适</w:t>
      </w:r>
    </w:p>
    <w:p>
      <w:pPr>
        <w:pStyle w:val="BodyText"/>
        <w:spacing w:line="242" w:lineRule="auto"/>
        <w:ind w:right="1332"/>
        <w:jc w:val="both"/>
      </w:pPr>
      <w:r>
        <w:rPr>
          <w:spacing w:val="-6"/>
        </w:rPr>
        <w:t>用的企业所得税税率为 </w:t>
      </w:r>
      <w:r>
        <w:rPr>
          <w:spacing w:val="-1"/>
        </w:rPr>
        <w:t>15%(2021</w:t>
      </w:r>
      <w:r>
        <w:rPr>
          <w:spacing w:val="-14"/>
        </w:rPr>
        <w:t> 年度：</w:t>
      </w:r>
      <w:r>
        <w:rPr/>
        <w:t>15%)。此外，根据财政部、国家税务总局及科技部颁布</w:t>
      </w:r>
      <w:r>
        <w:rPr>
          <w:spacing w:val="-1"/>
        </w:rPr>
        <w:t>的《关于加大支持科技创新税前扣除力度的公告》(财政部 税务总局 科技部公告[</w:t>
      </w:r>
      <w:r>
        <w:rPr/>
        <w:t>2022] 28</w:t>
      </w:r>
      <w:r>
        <w:rPr>
          <w:spacing w:val="-19"/>
        </w:rPr>
        <w:t> 号)</w:t>
      </w:r>
      <w:r>
        <w:rPr>
          <w:spacing w:val="-102"/>
        </w:rPr>
        <w:t> </w:t>
      </w:r>
      <w:r>
        <w:rPr>
          <w:spacing w:val="-5"/>
        </w:rPr>
        <w:t>的相关规定，该子公司在 </w:t>
      </w:r>
      <w:r>
        <w:rPr/>
        <w:t>2022</w:t>
      </w:r>
      <w:r>
        <w:rPr>
          <w:spacing w:val="-36"/>
        </w:rPr>
        <w:t> 年 </w:t>
      </w:r>
      <w:r>
        <w:rPr/>
        <w:t>10</w:t>
      </w:r>
      <w:r>
        <w:rPr>
          <w:spacing w:val="-36"/>
        </w:rPr>
        <w:t> 月 </w:t>
      </w:r>
      <w:r>
        <w:rPr/>
        <w:t>1</w:t>
      </w:r>
      <w:r>
        <w:rPr>
          <w:spacing w:val="-28"/>
        </w:rPr>
        <w:t> 日至 </w:t>
      </w:r>
      <w:r>
        <w:rPr/>
        <w:t>2022</w:t>
      </w:r>
      <w:r>
        <w:rPr>
          <w:spacing w:val="-36"/>
        </w:rPr>
        <w:t> 年 </w:t>
      </w:r>
      <w:r>
        <w:rPr/>
        <w:t>12</w:t>
      </w:r>
      <w:r>
        <w:rPr>
          <w:spacing w:val="-36"/>
        </w:rPr>
        <w:t> 月 </w:t>
      </w:r>
      <w:r>
        <w:rPr/>
        <w:t>31</w:t>
      </w:r>
      <w:r>
        <w:rPr>
          <w:spacing w:val="-8"/>
        </w:rPr>
        <w:t> 日的期间内，新购置的设备可于</w:t>
      </w:r>
    </w:p>
    <w:p>
      <w:pPr>
        <w:pStyle w:val="BodyText"/>
      </w:pPr>
      <w:r>
        <w:rPr>
          <w:spacing w:val="-1"/>
        </w:rPr>
        <w:t>2022</w:t>
      </w:r>
      <w:r>
        <w:rPr>
          <w:spacing w:val="-10"/>
        </w:rPr>
        <w:t> 年一次性全额在计算应纳税所得额时扣除，并允许在税前实行 </w:t>
      </w:r>
      <w:r>
        <w:rPr/>
        <w:t>100%加计扣除。 </w:t>
      </w:r>
    </w:p>
    <w:p>
      <w:pPr>
        <w:pStyle w:val="BodyText"/>
        <w:spacing w:before="2"/>
      </w:pPr>
      <w:r>
        <w:rPr>
          <w:w w:val="100"/>
        </w:rPr>
        <w:t> </w:t>
      </w:r>
    </w:p>
    <w:p>
      <w:pPr>
        <w:pStyle w:val="ListParagraph"/>
        <w:numPr>
          <w:ilvl w:val="0"/>
          <w:numId w:val="58"/>
        </w:numPr>
        <w:tabs>
          <w:tab w:pos="742" w:val="left" w:leader="none"/>
        </w:tabs>
        <w:spacing w:line="244" w:lineRule="auto" w:before="2" w:after="0"/>
        <w:ind w:left="318" w:right="1279" w:firstLine="0"/>
        <w:jc w:val="both"/>
        <w:rPr>
          <w:sz w:val="21"/>
        </w:rPr>
      </w:pPr>
      <w:r>
        <w:rPr>
          <w:sz w:val="21"/>
        </w:rPr>
        <w:t>富联科技(武汉)有限公司(曾用名：武汉裕展精密科技有限公司)系设立于湖北省武汉市的有</w:t>
      </w:r>
      <w:r>
        <w:rPr>
          <w:spacing w:val="-7"/>
          <w:sz w:val="21"/>
        </w:rPr>
        <w:t>限责任公司。公司于 </w:t>
      </w:r>
      <w:r>
        <w:rPr>
          <w:sz w:val="21"/>
        </w:rPr>
        <w:t>2021</w:t>
      </w:r>
      <w:r>
        <w:rPr>
          <w:spacing w:val="-10"/>
          <w:sz w:val="21"/>
        </w:rPr>
        <w:t> 年被认定为高新技术企业。经税务机关批准，该公司 </w:t>
      </w:r>
      <w:r>
        <w:rPr>
          <w:sz w:val="21"/>
        </w:rPr>
        <w:t>2022</w:t>
      </w:r>
      <w:r>
        <w:rPr>
          <w:spacing w:val="-10"/>
          <w:sz w:val="21"/>
        </w:rPr>
        <w:t> 年度实际适</w:t>
      </w:r>
    </w:p>
    <w:p>
      <w:pPr>
        <w:pStyle w:val="BodyText"/>
        <w:spacing w:line="242" w:lineRule="auto"/>
        <w:ind w:right="1332"/>
        <w:jc w:val="both"/>
      </w:pPr>
      <w:r>
        <w:rPr>
          <w:spacing w:val="-6"/>
        </w:rPr>
        <w:t>用的企业所得税税率为 </w:t>
      </w:r>
      <w:r>
        <w:rPr>
          <w:spacing w:val="-1"/>
        </w:rPr>
        <w:t>15%(2021</w:t>
      </w:r>
      <w:r>
        <w:rPr>
          <w:spacing w:val="-14"/>
        </w:rPr>
        <w:t> 年度：</w:t>
      </w:r>
      <w:r>
        <w:rPr/>
        <w:t>15%)。此外，根据财政部、国家税务总局及科技部颁布</w:t>
      </w:r>
      <w:r>
        <w:rPr>
          <w:spacing w:val="-1"/>
        </w:rPr>
        <w:t>的《关于加大支持科技创新税前扣除力度的公告》(财政部 税务总局 科技部公告[</w:t>
      </w:r>
      <w:r>
        <w:rPr/>
        <w:t>2022] 28</w:t>
      </w:r>
      <w:r>
        <w:rPr>
          <w:spacing w:val="-19"/>
        </w:rPr>
        <w:t> 号)</w:t>
      </w:r>
      <w:r>
        <w:rPr>
          <w:spacing w:val="-102"/>
        </w:rPr>
        <w:t> </w:t>
      </w:r>
      <w:r>
        <w:rPr>
          <w:spacing w:val="-5"/>
        </w:rPr>
        <w:t>的相关规定，该子公司在 </w:t>
      </w:r>
      <w:r>
        <w:rPr/>
        <w:t>2022</w:t>
      </w:r>
      <w:r>
        <w:rPr>
          <w:spacing w:val="-36"/>
        </w:rPr>
        <w:t> 年 </w:t>
      </w:r>
      <w:r>
        <w:rPr/>
        <w:t>10</w:t>
      </w:r>
      <w:r>
        <w:rPr>
          <w:spacing w:val="-36"/>
        </w:rPr>
        <w:t> 月 </w:t>
      </w:r>
      <w:r>
        <w:rPr/>
        <w:t>1</w:t>
      </w:r>
      <w:r>
        <w:rPr>
          <w:spacing w:val="-27"/>
        </w:rPr>
        <w:t> 日至 </w:t>
      </w:r>
      <w:r>
        <w:rPr/>
        <w:t>2022</w:t>
      </w:r>
      <w:r>
        <w:rPr>
          <w:spacing w:val="-36"/>
        </w:rPr>
        <w:t> 年 </w:t>
      </w:r>
      <w:r>
        <w:rPr/>
        <w:t>12</w:t>
      </w:r>
      <w:r>
        <w:rPr>
          <w:spacing w:val="-36"/>
        </w:rPr>
        <w:t> 月 </w:t>
      </w:r>
      <w:r>
        <w:rPr/>
        <w:t>31</w:t>
      </w:r>
      <w:r>
        <w:rPr>
          <w:spacing w:val="-8"/>
        </w:rPr>
        <w:t> 日的期间内，新购置的设备可于</w:t>
      </w:r>
    </w:p>
    <w:p>
      <w:pPr>
        <w:pStyle w:val="BodyText"/>
      </w:pPr>
      <w:r>
        <w:rPr>
          <w:spacing w:val="-1"/>
        </w:rPr>
        <w:t>2022</w:t>
      </w:r>
      <w:r>
        <w:rPr>
          <w:spacing w:val="-10"/>
        </w:rPr>
        <w:t> 年一次性全额在计算应纳税所得额时扣除，并允许在税前实行 </w:t>
      </w:r>
      <w:r>
        <w:rPr/>
        <w:t>100%加计扣除。 </w:t>
      </w:r>
    </w:p>
    <w:p>
      <w:pPr>
        <w:pStyle w:val="BodyText"/>
        <w:tabs>
          <w:tab w:pos="737" w:val="left" w:leader="none"/>
        </w:tabs>
        <w:spacing w:before="1"/>
      </w:pPr>
      <w:r>
        <w:rPr>
          <w:w w:val="100"/>
        </w:rPr>
        <w:t> </w:t>
      </w:r>
      <w:r>
        <w:rPr/>
        <w:tab/>
      </w:r>
      <w:r>
        <w:rPr>
          <w:w w:val="100"/>
        </w:rPr>
        <w:t> </w:t>
      </w:r>
    </w:p>
    <w:p>
      <w:pPr>
        <w:pStyle w:val="ListParagraph"/>
        <w:numPr>
          <w:ilvl w:val="0"/>
          <w:numId w:val="58"/>
        </w:numPr>
        <w:tabs>
          <w:tab w:pos="742" w:val="left" w:leader="none"/>
        </w:tabs>
        <w:spacing w:line="240" w:lineRule="auto" w:before="5" w:after="0"/>
        <w:ind w:left="741" w:right="0" w:hanging="424"/>
        <w:jc w:val="left"/>
        <w:rPr>
          <w:sz w:val="21"/>
        </w:rPr>
      </w:pPr>
      <w:r>
        <w:rPr>
          <w:spacing w:val="-3"/>
          <w:sz w:val="21"/>
        </w:rPr>
        <w:t>深圳智造谷工业互联网创新中心有限公司系设立于深圳市的有限责任公司。公司于 </w:t>
      </w:r>
      <w:r>
        <w:rPr>
          <w:sz w:val="21"/>
        </w:rPr>
        <w:t>2021</w:t>
      </w:r>
      <w:r>
        <w:rPr>
          <w:spacing w:val="-27"/>
          <w:sz w:val="21"/>
        </w:rPr>
        <w:t> 年</w:t>
      </w:r>
    </w:p>
    <w:p>
      <w:pPr>
        <w:pStyle w:val="BodyText"/>
        <w:spacing w:before="2"/>
      </w:pPr>
      <w:r>
        <w:rPr>
          <w:spacing w:val="-4"/>
        </w:rPr>
        <w:t>被认定为高新技术企业。经税务机关批准，该公司 </w:t>
      </w:r>
      <w:r>
        <w:rPr/>
        <w:t>2022</w:t>
      </w:r>
      <w:r>
        <w:rPr>
          <w:spacing w:val="-8"/>
        </w:rPr>
        <w:t> 年度实际适用的企业所得税税率为</w:t>
      </w:r>
    </w:p>
    <w:p>
      <w:pPr>
        <w:pStyle w:val="BodyText"/>
        <w:spacing w:line="242" w:lineRule="auto" w:before="5"/>
        <w:ind w:right="1284"/>
      </w:pPr>
      <w:r>
        <w:rPr>
          <w:spacing w:val="-1"/>
        </w:rPr>
        <w:t>15%(2021</w:t>
      </w:r>
      <w:r>
        <w:rPr>
          <w:spacing w:val="-15"/>
        </w:rPr>
        <w:t> 年度：</w:t>
      </w:r>
      <w:r>
        <w:rPr/>
        <w:t>15%)。此外，根据财政部、国家税务总局及科技部颁布的《关于加大支持科技</w:t>
      </w:r>
      <w:r>
        <w:rPr>
          <w:spacing w:val="-2"/>
        </w:rPr>
        <w:t>创新税前扣除力度的公告》(财政部 税务总局 科技部公告</w:t>
      </w:r>
      <w:r>
        <w:rPr/>
        <w:t>[2022]</w:t>
      </w:r>
      <w:r>
        <w:rPr>
          <w:spacing w:val="1"/>
        </w:rPr>
        <w:t> </w:t>
      </w:r>
      <w:r>
        <w:rPr/>
        <w:t>28</w:t>
      </w:r>
      <w:r>
        <w:rPr>
          <w:spacing w:val="-8"/>
        </w:rPr>
        <w:t> 号)的相关规定，该子公司</w:t>
      </w:r>
      <w:r>
        <w:rPr>
          <w:spacing w:val="-27"/>
        </w:rPr>
        <w:t>在 </w:t>
      </w:r>
      <w:r>
        <w:rPr>
          <w:spacing w:val="-1"/>
        </w:rPr>
        <w:t>2022</w:t>
      </w:r>
      <w:r>
        <w:rPr>
          <w:spacing w:val="-37"/>
        </w:rPr>
        <w:t> 年 </w:t>
      </w:r>
      <w:r>
        <w:rPr/>
        <w:t>10</w:t>
      </w:r>
      <w:r>
        <w:rPr>
          <w:spacing w:val="-36"/>
        </w:rPr>
        <w:t> 月 </w:t>
      </w:r>
      <w:r>
        <w:rPr/>
        <w:t>1</w:t>
      </w:r>
      <w:r>
        <w:rPr>
          <w:spacing w:val="-27"/>
        </w:rPr>
        <w:t> 日至 </w:t>
      </w:r>
      <w:r>
        <w:rPr/>
        <w:t>2022</w:t>
      </w:r>
      <w:r>
        <w:rPr>
          <w:spacing w:val="-36"/>
        </w:rPr>
        <w:t> 年 </w:t>
      </w:r>
      <w:r>
        <w:rPr/>
        <w:t>12</w:t>
      </w:r>
      <w:r>
        <w:rPr>
          <w:spacing w:val="-36"/>
        </w:rPr>
        <w:t> 月 </w:t>
      </w:r>
      <w:r>
        <w:rPr/>
        <w:t>31</w:t>
      </w:r>
      <w:r>
        <w:rPr>
          <w:spacing w:val="-11"/>
        </w:rPr>
        <w:t> 日的期间内，新购置的设备可于 </w:t>
      </w:r>
      <w:r>
        <w:rPr/>
        <w:t>2022</w:t>
      </w:r>
      <w:r>
        <w:rPr>
          <w:spacing w:val="-8"/>
        </w:rPr>
        <w:t> 年一次性全额在计</w:t>
      </w:r>
      <w:r>
        <w:rPr>
          <w:spacing w:val="-4"/>
        </w:rPr>
        <w:t>算应纳税所得额时扣除，并允许在税前实行 </w:t>
      </w:r>
      <w:r>
        <w:rPr/>
        <w:t>100%加计扣除。 </w:t>
      </w:r>
    </w:p>
    <w:p>
      <w:pPr>
        <w:pStyle w:val="BodyText"/>
        <w:tabs>
          <w:tab w:pos="737" w:val="left" w:leader="none"/>
        </w:tabs>
        <w:spacing w:before="2"/>
      </w:pPr>
      <w:r>
        <w:rPr>
          <w:w w:val="100"/>
        </w:rPr>
        <w:t> </w:t>
      </w:r>
      <w:r>
        <w:rPr/>
        <w:tab/>
      </w:r>
      <w:r>
        <w:rPr>
          <w:w w:val="100"/>
        </w:rPr>
        <w:t> </w:t>
      </w:r>
    </w:p>
    <w:p>
      <w:pPr>
        <w:pStyle w:val="ListParagraph"/>
        <w:numPr>
          <w:ilvl w:val="0"/>
          <w:numId w:val="58"/>
        </w:numPr>
        <w:tabs>
          <w:tab w:pos="742" w:val="left" w:leader="none"/>
        </w:tabs>
        <w:spacing w:line="242" w:lineRule="auto" w:before="2" w:after="0"/>
        <w:ind w:left="318" w:right="1277" w:firstLine="0"/>
        <w:jc w:val="left"/>
        <w:rPr>
          <w:sz w:val="21"/>
        </w:rPr>
      </w:pPr>
      <w:r>
        <w:rPr>
          <w:spacing w:val="-3"/>
          <w:sz w:val="21"/>
        </w:rPr>
        <w:t>深圳恒驱电机有限公司系设立于深圳市的有限责任公司。公司于 </w:t>
      </w:r>
      <w:r>
        <w:rPr>
          <w:sz w:val="21"/>
        </w:rPr>
        <w:t>2020</w:t>
      </w:r>
      <w:r>
        <w:rPr>
          <w:spacing w:val="-8"/>
          <w:sz w:val="21"/>
        </w:rPr>
        <w:t> 年被认定为高新技术</w:t>
      </w:r>
      <w:r>
        <w:rPr>
          <w:spacing w:val="-5"/>
          <w:sz w:val="21"/>
        </w:rPr>
        <w:t>企业。经税务机关批准，该公司 </w:t>
      </w:r>
      <w:r>
        <w:rPr>
          <w:sz w:val="21"/>
        </w:rPr>
        <w:t>2022</w:t>
      </w:r>
      <w:r>
        <w:rPr>
          <w:spacing w:val="-11"/>
          <w:sz w:val="21"/>
        </w:rPr>
        <w:t> 年度实际适用的企业所得税税率为 </w:t>
      </w:r>
      <w:r>
        <w:rPr>
          <w:sz w:val="21"/>
        </w:rPr>
        <w:t>15%。此外，根据财政</w:t>
      </w:r>
      <w:r>
        <w:rPr>
          <w:spacing w:val="-1"/>
          <w:sz w:val="21"/>
        </w:rPr>
        <w:t>部、国家税务总局及科技部颁布的《关于加大支持科技创新税前扣除力度的公告》(财政部 税务总局 科技部公告</w:t>
      </w:r>
      <w:r>
        <w:rPr>
          <w:sz w:val="21"/>
        </w:rPr>
        <w:t>[2022]</w:t>
      </w:r>
      <w:r>
        <w:rPr>
          <w:spacing w:val="-2"/>
          <w:sz w:val="21"/>
        </w:rPr>
        <w:t> </w:t>
      </w:r>
      <w:r>
        <w:rPr>
          <w:sz w:val="21"/>
        </w:rPr>
        <w:t>28</w:t>
      </w:r>
      <w:r>
        <w:rPr>
          <w:spacing w:val="-11"/>
          <w:sz w:val="21"/>
        </w:rPr>
        <w:t> 号)的相关规定，该子公司在 </w:t>
      </w:r>
      <w:r>
        <w:rPr>
          <w:sz w:val="21"/>
        </w:rPr>
        <w:t>2022</w:t>
      </w:r>
      <w:r>
        <w:rPr>
          <w:spacing w:val="-37"/>
          <w:sz w:val="21"/>
        </w:rPr>
        <w:t> 年 </w:t>
      </w:r>
      <w:r>
        <w:rPr>
          <w:sz w:val="21"/>
        </w:rPr>
        <w:t>10</w:t>
      </w:r>
      <w:r>
        <w:rPr>
          <w:spacing w:val="-36"/>
          <w:sz w:val="21"/>
        </w:rPr>
        <w:t> 月 </w:t>
      </w:r>
      <w:r>
        <w:rPr>
          <w:sz w:val="21"/>
        </w:rPr>
        <w:t>1</w:t>
      </w:r>
      <w:r>
        <w:rPr>
          <w:spacing w:val="-28"/>
          <w:sz w:val="21"/>
        </w:rPr>
        <w:t> 日至 </w:t>
      </w:r>
      <w:r>
        <w:rPr>
          <w:sz w:val="21"/>
        </w:rPr>
        <w:t>2022</w:t>
      </w:r>
      <w:r>
        <w:rPr>
          <w:spacing w:val="-36"/>
          <w:sz w:val="21"/>
        </w:rPr>
        <w:t> 年 </w:t>
      </w:r>
      <w:r>
        <w:rPr>
          <w:sz w:val="21"/>
        </w:rPr>
        <w:t>12</w:t>
      </w:r>
      <w:r>
        <w:rPr>
          <w:spacing w:val="-36"/>
          <w:sz w:val="21"/>
        </w:rPr>
        <w:t> 月 </w:t>
      </w:r>
      <w:r>
        <w:rPr>
          <w:sz w:val="21"/>
        </w:rPr>
        <w:t>31</w:t>
      </w:r>
    </w:p>
    <w:p>
      <w:pPr>
        <w:pStyle w:val="BodyText"/>
        <w:spacing w:line="244" w:lineRule="auto" w:before="3"/>
        <w:ind w:right="1385"/>
      </w:pPr>
      <w:r>
        <w:rPr>
          <w:spacing w:val="-5"/>
        </w:rPr>
        <w:t>日的期间内，新购置的设备可于 </w:t>
      </w:r>
      <w:r>
        <w:rPr/>
        <w:t>2022</w:t>
      </w:r>
      <w:r>
        <w:rPr>
          <w:spacing w:val="-8"/>
        </w:rPr>
        <w:t> 年一次性全额在计算应纳税所得额时扣除，并允许在税前</w:t>
      </w:r>
      <w:r>
        <w:rPr>
          <w:spacing w:val="-18"/>
        </w:rPr>
        <w:t>实行 </w:t>
      </w:r>
      <w:r>
        <w:rPr/>
        <w:t>100%加计扣除。 </w:t>
      </w:r>
    </w:p>
    <w:p>
      <w:pPr>
        <w:pStyle w:val="BodyText"/>
        <w:tabs>
          <w:tab w:pos="737" w:val="left" w:leader="none"/>
        </w:tabs>
        <w:spacing w:line="265" w:lineRule="exact"/>
      </w:pPr>
      <w:r>
        <w:rPr>
          <w:w w:val="100"/>
        </w:rPr>
        <w:t> </w:t>
      </w:r>
      <w:r>
        <w:rPr/>
        <w:tab/>
      </w:r>
      <w:r>
        <w:rPr>
          <w:w w:val="100"/>
        </w:rPr>
        <w:t> </w:t>
      </w:r>
    </w:p>
    <w:p>
      <w:pPr>
        <w:pStyle w:val="ListParagraph"/>
        <w:numPr>
          <w:ilvl w:val="0"/>
          <w:numId w:val="58"/>
        </w:numPr>
        <w:tabs>
          <w:tab w:pos="742" w:val="left" w:leader="none"/>
        </w:tabs>
        <w:spacing w:line="240" w:lineRule="auto" w:before="3" w:after="0"/>
        <w:ind w:left="741" w:right="0" w:hanging="424"/>
        <w:jc w:val="left"/>
        <w:rPr>
          <w:sz w:val="21"/>
        </w:rPr>
      </w:pPr>
      <w:r>
        <w:rPr>
          <w:spacing w:val="-1"/>
          <w:sz w:val="21"/>
        </w:rPr>
        <w:t>Cloud</w:t>
      </w:r>
      <w:r>
        <w:rPr>
          <w:spacing w:val="-2"/>
          <w:sz w:val="21"/>
        </w:rPr>
        <w:t> </w:t>
      </w:r>
      <w:r>
        <w:rPr>
          <w:spacing w:val="-1"/>
          <w:sz w:val="21"/>
        </w:rPr>
        <w:t>Network</w:t>
      </w:r>
      <w:r>
        <w:rPr>
          <w:spacing w:val="-2"/>
          <w:sz w:val="21"/>
        </w:rPr>
        <w:t> </w:t>
      </w:r>
      <w:r>
        <w:rPr>
          <w:sz w:val="21"/>
        </w:rPr>
        <w:t>Technology</w:t>
      </w:r>
      <w:r>
        <w:rPr>
          <w:spacing w:val="-2"/>
          <w:sz w:val="21"/>
        </w:rPr>
        <w:t> </w:t>
      </w:r>
      <w:r>
        <w:rPr>
          <w:sz w:val="21"/>
        </w:rPr>
        <w:t>Singapore</w:t>
      </w:r>
      <w:r>
        <w:rPr>
          <w:spacing w:val="1"/>
          <w:sz w:val="21"/>
        </w:rPr>
        <w:t> </w:t>
      </w:r>
      <w:r>
        <w:rPr>
          <w:sz w:val="21"/>
        </w:rPr>
        <w:t>Pte.</w:t>
      </w:r>
      <w:r>
        <w:rPr>
          <w:spacing w:val="2"/>
          <w:sz w:val="21"/>
        </w:rPr>
        <w:t> </w:t>
      </w:r>
      <w:r>
        <w:rPr>
          <w:sz w:val="21"/>
        </w:rPr>
        <w:t>Ltd.</w:t>
      </w:r>
      <w:r>
        <w:rPr>
          <w:spacing w:val="-4"/>
          <w:sz w:val="21"/>
        </w:rPr>
        <w:t> 系设立于新加坡的公司。公司自 </w:t>
      </w:r>
      <w:r>
        <w:rPr>
          <w:sz w:val="21"/>
        </w:rPr>
        <w:t>2022</w:t>
      </w:r>
      <w:r>
        <w:rPr>
          <w:spacing w:val="-28"/>
          <w:sz w:val="21"/>
        </w:rPr>
        <w:t> 年</w:t>
      </w:r>
    </w:p>
    <w:p>
      <w:pPr>
        <w:pStyle w:val="BodyText"/>
        <w:spacing w:line="242" w:lineRule="auto" w:before="4"/>
        <w:ind w:right="1337"/>
      </w:pPr>
      <w:r>
        <w:rPr>
          <w:spacing w:val="-1"/>
        </w:rPr>
        <w:t>9</w:t>
      </w:r>
      <w:r>
        <w:rPr>
          <w:spacing w:val="-36"/>
        </w:rPr>
        <w:t> 月 </w:t>
      </w:r>
      <w:r>
        <w:rPr>
          <w:spacing w:val="-1"/>
        </w:rPr>
        <w:t>1</w:t>
      </w:r>
      <w:r>
        <w:rPr>
          <w:spacing w:val="-9"/>
        </w:rPr>
        <w:t> 日起适用新加坡发展与扩张优惠(</w:t>
      </w:r>
      <w:r>
        <w:rPr/>
        <w:t>Development and</w:t>
      </w:r>
      <w:r>
        <w:rPr>
          <w:spacing w:val="-2"/>
        </w:rPr>
        <w:t> </w:t>
      </w:r>
      <w:r>
        <w:rPr/>
        <w:t>Expansion</w:t>
      </w:r>
      <w:r>
        <w:rPr>
          <w:spacing w:val="1"/>
        </w:rPr>
        <w:t> </w:t>
      </w:r>
      <w:r>
        <w:rPr/>
        <w:t>Incentive, “DEI”)，符</w:t>
      </w:r>
      <w:r>
        <w:rPr>
          <w:spacing w:val="-7"/>
        </w:rPr>
        <w:t>合条件的所得适用 </w:t>
      </w:r>
      <w:r>
        <w:rPr/>
        <w:t>5%企业所得税税率。 </w:t>
      </w:r>
    </w:p>
    <w:p>
      <w:pPr>
        <w:pStyle w:val="BodyText"/>
        <w:tabs>
          <w:tab w:pos="737" w:val="left" w:leader="none"/>
        </w:tabs>
        <w:spacing w:before="2"/>
      </w:pPr>
      <w:r>
        <w:rPr>
          <w:w w:val="100"/>
        </w:rPr>
        <w:t> </w:t>
      </w:r>
      <w:r>
        <w:rPr/>
        <w:tab/>
      </w:r>
      <w:r>
        <w:rPr>
          <w:w w:val="100"/>
        </w:rPr>
        <w:t> </w:t>
      </w:r>
    </w:p>
    <w:p>
      <w:pPr>
        <w:pStyle w:val="ListParagraph"/>
        <w:numPr>
          <w:ilvl w:val="0"/>
          <w:numId w:val="58"/>
        </w:numPr>
        <w:tabs>
          <w:tab w:pos="742" w:val="left" w:leader="none"/>
        </w:tabs>
        <w:spacing w:line="242" w:lineRule="auto" w:before="2" w:after="0"/>
        <w:ind w:left="318" w:right="1282" w:firstLine="0"/>
        <w:jc w:val="both"/>
        <w:rPr>
          <w:sz w:val="21"/>
        </w:rPr>
      </w:pPr>
      <w:r>
        <w:rPr>
          <w:spacing w:val="-1"/>
          <w:sz w:val="21"/>
        </w:rPr>
        <w:t>Ingrasys</w:t>
      </w:r>
      <w:r>
        <w:rPr>
          <w:sz w:val="21"/>
        </w:rPr>
        <w:t> (</w:t>
      </w:r>
      <w:r>
        <w:rPr>
          <w:spacing w:val="-1"/>
          <w:sz w:val="21"/>
        </w:rPr>
        <w:t>Singapore</w:t>
      </w:r>
      <w:r>
        <w:rPr>
          <w:sz w:val="21"/>
        </w:rPr>
        <w:t>) Pte</w:t>
      </w:r>
      <w:r>
        <w:rPr>
          <w:spacing w:val="1"/>
          <w:sz w:val="21"/>
        </w:rPr>
        <w:t>. </w:t>
      </w:r>
      <w:r>
        <w:rPr>
          <w:sz w:val="21"/>
        </w:rPr>
        <w:t>Ltd</w:t>
      </w:r>
      <w:r>
        <w:rPr>
          <w:spacing w:val="-4"/>
          <w:sz w:val="21"/>
        </w:rPr>
        <w:t>. 系设立于新加坡的公司。公司自 </w:t>
      </w:r>
      <w:r>
        <w:rPr>
          <w:sz w:val="21"/>
        </w:rPr>
        <w:t>2022</w:t>
      </w:r>
      <w:r>
        <w:rPr>
          <w:spacing w:val="-36"/>
          <w:sz w:val="21"/>
        </w:rPr>
        <w:t> 年 </w:t>
      </w:r>
      <w:r>
        <w:rPr>
          <w:sz w:val="21"/>
        </w:rPr>
        <w:t>9</w:t>
      </w:r>
      <w:r>
        <w:rPr>
          <w:spacing w:val="-36"/>
          <w:sz w:val="21"/>
        </w:rPr>
        <w:t> 月 </w:t>
      </w:r>
      <w:r>
        <w:rPr>
          <w:sz w:val="21"/>
        </w:rPr>
        <w:t>1</w:t>
      </w:r>
      <w:r>
        <w:rPr>
          <w:spacing w:val="-12"/>
          <w:sz w:val="21"/>
        </w:rPr>
        <w:t> 日起适用</w:t>
      </w:r>
      <w:r>
        <w:rPr>
          <w:sz w:val="21"/>
        </w:rPr>
        <w:t>新加坡发展与扩张优惠(Development</w:t>
      </w:r>
      <w:r>
        <w:rPr>
          <w:spacing w:val="-5"/>
          <w:sz w:val="21"/>
        </w:rPr>
        <w:t> </w:t>
      </w:r>
      <w:r>
        <w:rPr>
          <w:sz w:val="21"/>
        </w:rPr>
        <w:t>and</w:t>
      </w:r>
      <w:r>
        <w:rPr>
          <w:spacing w:val="-4"/>
          <w:sz w:val="21"/>
        </w:rPr>
        <w:t> </w:t>
      </w:r>
      <w:r>
        <w:rPr>
          <w:sz w:val="21"/>
        </w:rPr>
        <w:t>Expansion</w:t>
      </w:r>
      <w:r>
        <w:rPr>
          <w:spacing w:val="-1"/>
          <w:sz w:val="21"/>
        </w:rPr>
        <w:t> </w:t>
      </w:r>
      <w:r>
        <w:rPr>
          <w:sz w:val="21"/>
        </w:rPr>
        <w:t>Incentive</w:t>
      </w:r>
      <w:r>
        <w:rPr>
          <w:spacing w:val="-1"/>
          <w:sz w:val="21"/>
        </w:rPr>
        <w:t>, “</w:t>
      </w:r>
      <w:r>
        <w:rPr>
          <w:sz w:val="21"/>
        </w:rPr>
        <w:t>DEI”)，符合条件的所得适</w:t>
      </w:r>
      <w:r>
        <w:rPr>
          <w:spacing w:val="-27"/>
          <w:sz w:val="21"/>
        </w:rPr>
        <w:t>用 </w:t>
      </w:r>
      <w:r>
        <w:rPr>
          <w:sz w:val="21"/>
        </w:rPr>
        <w:t>5%企业所得税税率。 </w:t>
      </w:r>
    </w:p>
    <w:p>
      <w:pPr>
        <w:pStyle w:val="BodyText"/>
        <w:spacing w:before="3"/>
      </w:pPr>
      <w:r>
        <w:rPr>
          <w:w w:val="100"/>
        </w:rPr>
        <w:t> </w:t>
      </w:r>
    </w:p>
    <w:p>
      <w:pPr>
        <w:pStyle w:val="ListParagraph"/>
        <w:numPr>
          <w:ilvl w:val="0"/>
          <w:numId w:val="56"/>
        </w:numPr>
        <w:tabs>
          <w:tab w:pos="743" w:val="left" w:leader="none"/>
        </w:tabs>
        <w:spacing w:line="240" w:lineRule="auto" w:before="62" w:after="0"/>
        <w:ind w:left="742" w:right="0" w:hanging="425"/>
        <w:jc w:val="left"/>
        <w:rPr>
          <w:sz w:val="21"/>
        </w:rPr>
      </w:pPr>
      <w:r>
        <w:rPr>
          <w:sz w:val="21"/>
        </w:rPr>
        <w:t>其他 </w:t>
      </w:r>
    </w:p>
    <w:p>
      <w:pPr>
        <w:pStyle w:val="BodyText"/>
        <w:spacing w:before="64"/>
      </w:pPr>
      <w:r>
        <w:rPr>
          <w:spacing w:val="11"/>
        </w:rPr>
        <w:t>□适用 √不适用</w:t>
      </w:r>
      <w:r>
        <w:rPr>
          <w:spacing w:val="-3"/>
        </w:rPr>
        <w:t> </w:t>
      </w:r>
      <w:r>
        <w:rPr/>
        <w:t> </w:t>
      </w:r>
    </w:p>
    <w:p>
      <w:pPr>
        <w:spacing w:after="0"/>
        <w:sectPr>
          <w:pgSz w:w="11910" w:h="16840"/>
          <w:pgMar w:header="882" w:footer="1172" w:top="1120" w:bottom="1380" w:left="1480" w:right="0"/>
        </w:sectPr>
      </w:pPr>
    </w:p>
    <w:p>
      <w:pPr>
        <w:pStyle w:val="BodyText"/>
        <w:spacing w:before="7"/>
        <w:ind w:left="0"/>
        <w:rPr>
          <w:sz w:val="25"/>
        </w:rPr>
      </w:pPr>
    </w:p>
    <w:p>
      <w:pPr>
        <w:pStyle w:val="BodyText"/>
        <w:spacing w:before="72"/>
      </w:pPr>
      <w:r>
        <w:rPr>
          <w:w w:val="100"/>
        </w:rPr>
        <w:t> </w:t>
      </w:r>
    </w:p>
    <w:p>
      <w:pPr>
        <w:pStyle w:val="BodyText"/>
        <w:spacing w:line="295" w:lineRule="auto" w:before="65"/>
        <w:ind w:right="7571"/>
      </w:pPr>
      <w:r>
        <w:rPr>
          <w:spacing w:val="-12"/>
        </w:rPr>
        <w:t>七、 合并财务报表项目注释</w:t>
      </w:r>
      <w:r>
        <w:rPr/>
        <w:t>1</w:t>
      </w:r>
      <w:r>
        <w:rPr>
          <w:spacing w:val="-1"/>
        </w:rPr>
        <w:t>、 货币资金</w:t>
      </w:r>
    </w:p>
    <w:p>
      <w:pPr>
        <w:pStyle w:val="BodyText"/>
        <w:spacing w:before="3"/>
      </w:pPr>
      <w:r>
        <w:rPr>
          <w:spacing w:val="11"/>
        </w:rPr>
        <w:t>√适用 □不适用</w:t>
      </w:r>
      <w:r>
        <w:rPr>
          <w:spacing w:val="-3"/>
        </w:rPr>
        <w:t> </w:t>
      </w:r>
      <w:r>
        <w:rPr/>
        <w:t> </w:t>
      </w:r>
    </w:p>
    <w:p>
      <w:pPr>
        <w:pStyle w:val="BodyText"/>
        <w:spacing w:before="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16"/>
        <w:gridCol w:w="3293"/>
        <w:gridCol w:w="3315"/>
      </w:tblGrid>
      <w:tr>
        <w:trPr>
          <w:trHeight w:val="270" w:hRule="atLeast"/>
        </w:trPr>
        <w:tc>
          <w:tcPr>
            <w:tcW w:w="2216" w:type="dxa"/>
          </w:tcPr>
          <w:p>
            <w:pPr>
              <w:pStyle w:val="TableParagraph"/>
              <w:spacing w:line="250" w:lineRule="exact" w:before="1"/>
              <w:ind w:left="930" w:right="816"/>
              <w:jc w:val="center"/>
              <w:rPr>
                <w:sz w:val="21"/>
              </w:rPr>
            </w:pPr>
            <w:r>
              <w:rPr>
                <w:sz w:val="21"/>
              </w:rPr>
              <w:t>项目 </w:t>
            </w:r>
          </w:p>
        </w:tc>
        <w:tc>
          <w:tcPr>
            <w:tcW w:w="3293" w:type="dxa"/>
          </w:tcPr>
          <w:p>
            <w:pPr>
              <w:pStyle w:val="TableParagraph"/>
              <w:spacing w:line="250" w:lineRule="exact" w:before="1"/>
              <w:ind w:left="1258" w:right="1149"/>
              <w:jc w:val="center"/>
              <w:rPr>
                <w:sz w:val="21"/>
              </w:rPr>
            </w:pPr>
            <w:r>
              <w:rPr>
                <w:spacing w:val="-1"/>
                <w:sz w:val="21"/>
              </w:rPr>
              <w:t>期末余额</w:t>
            </w:r>
            <w:r>
              <w:rPr>
                <w:sz w:val="21"/>
              </w:rPr>
              <w:t> </w:t>
            </w:r>
          </w:p>
        </w:tc>
        <w:tc>
          <w:tcPr>
            <w:tcW w:w="3315" w:type="dxa"/>
          </w:tcPr>
          <w:p>
            <w:pPr>
              <w:pStyle w:val="TableParagraph"/>
              <w:spacing w:line="250" w:lineRule="exact" w:before="1"/>
              <w:ind w:left="1273" w:right="1156"/>
              <w:jc w:val="center"/>
              <w:rPr>
                <w:sz w:val="21"/>
              </w:rPr>
            </w:pPr>
            <w:r>
              <w:rPr>
                <w:spacing w:val="-1"/>
                <w:sz w:val="21"/>
              </w:rPr>
              <w:t>期初余额</w:t>
            </w:r>
            <w:r>
              <w:rPr>
                <w:sz w:val="21"/>
              </w:rPr>
              <w:t> </w:t>
            </w:r>
          </w:p>
        </w:tc>
      </w:tr>
      <w:tr>
        <w:trPr>
          <w:trHeight w:val="273" w:hRule="atLeast"/>
        </w:trPr>
        <w:tc>
          <w:tcPr>
            <w:tcW w:w="2216" w:type="dxa"/>
          </w:tcPr>
          <w:p>
            <w:pPr>
              <w:pStyle w:val="TableParagraph"/>
              <w:spacing w:line="250" w:lineRule="exact" w:before="3"/>
              <w:ind w:left="112"/>
              <w:rPr>
                <w:sz w:val="21"/>
              </w:rPr>
            </w:pPr>
            <w:r>
              <w:rPr>
                <w:spacing w:val="-1"/>
                <w:sz w:val="21"/>
              </w:rPr>
              <w:t>库存现金</w:t>
            </w:r>
            <w:r>
              <w:rPr>
                <w:sz w:val="21"/>
              </w:rPr>
              <w:t> </w:t>
            </w:r>
          </w:p>
        </w:tc>
        <w:tc>
          <w:tcPr>
            <w:tcW w:w="3293" w:type="dxa"/>
          </w:tcPr>
          <w:p>
            <w:pPr>
              <w:pStyle w:val="TableParagraph"/>
              <w:spacing w:line="237" w:lineRule="exact"/>
              <w:ind w:right="101"/>
              <w:jc w:val="right"/>
              <w:rPr>
                <w:rFonts w:ascii="Times New Roman"/>
                <w:sz w:val="21"/>
              </w:rPr>
            </w:pPr>
            <w:r>
              <w:rPr>
                <w:rFonts w:ascii="Times New Roman"/>
                <w:sz w:val="21"/>
              </w:rPr>
              <w:t>586</w:t>
            </w:r>
          </w:p>
        </w:tc>
        <w:tc>
          <w:tcPr>
            <w:tcW w:w="3315" w:type="dxa"/>
          </w:tcPr>
          <w:p>
            <w:pPr>
              <w:pStyle w:val="TableParagraph"/>
              <w:spacing w:line="237" w:lineRule="exact"/>
              <w:ind w:right="96"/>
              <w:jc w:val="right"/>
              <w:rPr>
                <w:rFonts w:ascii="Times New Roman"/>
                <w:sz w:val="21"/>
              </w:rPr>
            </w:pPr>
            <w:r>
              <w:rPr>
                <w:rFonts w:ascii="Times New Roman"/>
                <w:sz w:val="21"/>
              </w:rPr>
              <w:t>569</w:t>
            </w:r>
          </w:p>
        </w:tc>
      </w:tr>
      <w:tr>
        <w:trPr>
          <w:trHeight w:val="273" w:hRule="atLeast"/>
        </w:trPr>
        <w:tc>
          <w:tcPr>
            <w:tcW w:w="2216" w:type="dxa"/>
          </w:tcPr>
          <w:p>
            <w:pPr>
              <w:pStyle w:val="TableParagraph"/>
              <w:spacing w:line="252" w:lineRule="exact" w:before="1"/>
              <w:ind w:left="112"/>
              <w:rPr>
                <w:sz w:val="21"/>
              </w:rPr>
            </w:pPr>
            <w:r>
              <w:rPr>
                <w:spacing w:val="-1"/>
                <w:sz w:val="21"/>
              </w:rPr>
              <w:t>银行存款</w:t>
            </w:r>
            <w:r>
              <w:rPr>
                <w:sz w:val="21"/>
              </w:rPr>
              <w:t> </w:t>
            </w:r>
          </w:p>
        </w:tc>
        <w:tc>
          <w:tcPr>
            <w:tcW w:w="3293" w:type="dxa"/>
          </w:tcPr>
          <w:p>
            <w:pPr>
              <w:pStyle w:val="TableParagraph"/>
              <w:spacing w:line="235" w:lineRule="exact"/>
              <w:ind w:right="101"/>
              <w:jc w:val="right"/>
              <w:rPr>
                <w:rFonts w:ascii="Times New Roman"/>
                <w:sz w:val="21"/>
              </w:rPr>
            </w:pPr>
            <w:r>
              <w:rPr>
                <w:rFonts w:ascii="Times New Roman"/>
                <w:sz w:val="21"/>
              </w:rPr>
              <w:t>69,374,854</w:t>
            </w:r>
          </w:p>
        </w:tc>
        <w:tc>
          <w:tcPr>
            <w:tcW w:w="3315" w:type="dxa"/>
          </w:tcPr>
          <w:p>
            <w:pPr>
              <w:pStyle w:val="TableParagraph"/>
              <w:spacing w:line="235" w:lineRule="exact"/>
              <w:ind w:right="96"/>
              <w:jc w:val="right"/>
              <w:rPr>
                <w:rFonts w:ascii="Times New Roman"/>
                <w:sz w:val="21"/>
              </w:rPr>
            </w:pPr>
            <w:r>
              <w:rPr>
                <w:rFonts w:ascii="Times New Roman"/>
                <w:sz w:val="21"/>
              </w:rPr>
              <w:t>82,576,222</w:t>
            </w:r>
          </w:p>
        </w:tc>
      </w:tr>
      <w:tr>
        <w:trPr>
          <w:trHeight w:val="270" w:hRule="atLeast"/>
        </w:trPr>
        <w:tc>
          <w:tcPr>
            <w:tcW w:w="2216" w:type="dxa"/>
          </w:tcPr>
          <w:p>
            <w:pPr>
              <w:pStyle w:val="TableParagraph"/>
              <w:spacing w:line="250" w:lineRule="exact" w:before="1"/>
              <w:ind w:left="112"/>
              <w:rPr>
                <w:sz w:val="21"/>
              </w:rPr>
            </w:pPr>
            <w:r>
              <w:rPr>
                <w:spacing w:val="-1"/>
                <w:sz w:val="21"/>
              </w:rPr>
              <w:t>其他货币资金</w:t>
            </w:r>
            <w:r>
              <w:rPr>
                <w:sz w:val="21"/>
              </w:rPr>
              <w:t> </w:t>
            </w:r>
          </w:p>
        </w:tc>
        <w:tc>
          <w:tcPr>
            <w:tcW w:w="3293" w:type="dxa"/>
          </w:tcPr>
          <w:p>
            <w:pPr>
              <w:pStyle w:val="TableParagraph"/>
              <w:spacing w:line="235" w:lineRule="exact"/>
              <w:ind w:right="101"/>
              <w:jc w:val="right"/>
              <w:rPr>
                <w:rFonts w:ascii="Times New Roman"/>
                <w:sz w:val="21"/>
              </w:rPr>
            </w:pPr>
            <w:r>
              <w:rPr>
                <w:rFonts w:ascii="Times New Roman"/>
                <w:sz w:val="21"/>
              </w:rPr>
              <w:t>18,350</w:t>
            </w:r>
          </w:p>
        </w:tc>
        <w:tc>
          <w:tcPr>
            <w:tcW w:w="3315" w:type="dxa"/>
          </w:tcPr>
          <w:p>
            <w:pPr>
              <w:pStyle w:val="TableParagraph"/>
              <w:spacing w:line="235" w:lineRule="exact"/>
              <w:ind w:right="96"/>
              <w:jc w:val="right"/>
              <w:rPr>
                <w:rFonts w:ascii="Times New Roman"/>
                <w:sz w:val="21"/>
              </w:rPr>
            </w:pPr>
            <w:r>
              <w:rPr>
                <w:rFonts w:ascii="Times New Roman"/>
                <w:sz w:val="21"/>
              </w:rPr>
              <w:t>201,197</w:t>
            </w:r>
          </w:p>
        </w:tc>
      </w:tr>
      <w:tr>
        <w:trPr>
          <w:trHeight w:val="273" w:hRule="atLeast"/>
        </w:trPr>
        <w:tc>
          <w:tcPr>
            <w:tcW w:w="2216" w:type="dxa"/>
          </w:tcPr>
          <w:p>
            <w:pPr>
              <w:pStyle w:val="TableParagraph"/>
              <w:spacing w:line="250" w:lineRule="exact" w:before="3"/>
              <w:ind w:left="112"/>
              <w:rPr>
                <w:sz w:val="21"/>
              </w:rPr>
            </w:pPr>
            <w:r>
              <w:rPr>
                <w:spacing w:val="-1"/>
                <w:sz w:val="21"/>
              </w:rPr>
              <w:t>存款应收利息</w:t>
            </w:r>
            <w:r>
              <w:rPr>
                <w:sz w:val="21"/>
              </w:rPr>
              <w:t> </w:t>
            </w:r>
          </w:p>
        </w:tc>
        <w:tc>
          <w:tcPr>
            <w:tcW w:w="3293" w:type="dxa"/>
          </w:tcPr>
          <w:p>
            <w:pPr>
              <w:pStyle w:val="TableParagraph"/>
              <w:spacing w:line="237" w:lineRule="exact"/>
              <w:ind w:right="101"/>
              <w:jc w:val="right"/>
              <w:rPr>
                <w:rFonts w:ascii="Times New Roman"/>
                <w:sz w:val="21"/>
              </w:rPr>
            </w:pPr>
            <w:r>
              <w:rPr>
                <w:rFonts w:ascii="Times New Roman"/>
                <w:sz w:val="21"/>
              </w:rPr>
              <w:t>36,047</w:t>
            </w:r>
          </w:p>
        </w:tc>
        <w:tc>
          <w:tcPr>
            <w:tcW w:w="3315" w:type="dxa"/>
          </w:tcPr>
          <w:p>
            <w:pPr>
              <w:pStyle w:val="TableParagraph"/>
              <w:spacing w:line="237" w:lineRule="exact"/>
              <w:ind w:right="96"/>
              <w:jc w:val="right"/>
              <w:rPr>
                <w:rFonts w:ascii="Times New Roman"/>
                <w:sz w:val="21"/>
              </w:rPr>
            </w:pPr>
            <w:r>
              <w:rPr>
                <w:rFonts w:ascii="Times New Roman"/>
                <w:sz w:val="21"/>
              </w:rPr>
              <w:t>99,063</w:t>
            </w:r>
          </w:p>
        </w:tc>
      </w:tr>
      <w:tr>
        <w:trPr>
          <w:trHeight w:val="273" w:hRule="atLeast"/>
        </w:trPr>
        <w:tc>
          <w:tcPr>
            <w:tcW w:w="2216" w:type="dxa"/>
          </w:tcPr>
          <w:p>
            <w:pPr>
              <w:pStyle w:val="TableParagraph"/>
              <w:spacing w:line="252" w:lineRule="exact" w:before="1"/>
              <w:ind w:left="112"/>
              <w:rPr>
                <w:sz w:val="21"/>
              </w:rPr>
            </w:pPr>
            <w:r>
              <w:rPr>
                <w:sz w:val="21"/>
              </w:rPr>
              <w:t>合计 </w:t>
            </w:r>
          </w:p>
        </w:tc>
        <w:tc>
          <w:tcPr>
            <w:tcW w:w="3293" w:type="dxa"/>
          </w:tcPr>
          <w:p>
            <w:pPr>
              <w:pStyle w:val="TableParagraph"/>
              <w:spacing w:line="235" w:lineRule="exact"/>
              <w:ind w:right="101"/>
              <w:jc w:val="right"/>
              <w:rPr>
                <w:rFonts w:ascii="Times New Roman"/>
                <w:sz w:val="21"/>
              </w:rPr>
            </w:pPr>
            <w:r>
              <w:rPr>
                <w:rFonts w:ascii="Times New Roman"/>
                <w:sz w:val="21"/>
              </w:rPr>
              <w:t>69,429,837</w:t>
            </w:r>
          </w:p>
        </w:tc>
        <w:tc>
          <w:tcPr>
            <w:tcW w:w="3315" w:type="dxa"/>
          </w:tcPr>
          <w:p>
            <w:pPr>
              <w:pStyle w:val="TableParagraph"/>
              <w:spacing w:line="235" w:lineRule="exact"/>
              <w:ind w:right="96"/>
              <w:jc w:val="right"/>
              <w:rPr>
                <w:rFonts w:ascii="Times New Roman"/>
                <w:sz w:val="21"/>
              </w:rPr>
            </w:pPr>
            <w:r>
              <w:rPr>
                <w:rFonts w:ascii="Times New Roman"/>
                <w:sz w:val="21"/>
              </w:rPr>
              <w:t>82,877,051</w:t>
            </w:r>
          </w:p>
        </w:tc>
      </w:tr>
      <w:tr>
        <w:trPr>
          <w:trHeight w:val="544" w:hRule="atLeast"/>
        </w:trPr>
        <w:tc>
          <w:tcPr>
            <w:tcW w:w="2216" w:type="dxa"/>
          </w:tcPr>
          <w:p>
            <w:pPr>
              <w:pStyle w:val="TableParagraph"/>
              <w:spacing w:before="1"/>
              <w:ind w:left="371"/>
              <w:rPr>
                <w:sz w:val="21"/>
              </w:rPr>
            </w:pPr>
            <w:r>
              <w:rPr>
                <w:sz w:val="21"/>
              </w:rPr>
              <w:t>其中：存放在境外</w:t>
            </w:r>
          </w:p>
          <w:p>
            <w:pPr>
              <w:pStyle w:val="TableParagraph"/>
              <w:spacing w:line="252" w:lineRule="exact" w:before="2"/>
              <w:ind w:left="580"/>
              <w:rPr>
                <w:sz w:val="21"/>
              </w:rPr>
            </w:pPr>
            <w:r>
              <w:rPr>
                <w:sz w:val="21"/>
              </w:rPr>
              <w:t>的款项总额 </w:t>
            </w:r>
          </w:p>
        </w:tc>
        <w:tc>
          <w:tcPr>
            <w:tcW w:w="3293" w:type="dxa"/>
          </w:tcPr>
          <w:p>
            <w:pPr>
              <w:pStyle w:val="TableParagraph"/>
              <w:spacing w:line="235" w:lineRule="exact"/>
              <w:ind w:right="101"/>
              <w:jc w:val="right"/>
              <w:rPr>
                <w:rFonts w:ascii="Times New Roman"/>
                <w:sz w:val="21"/>
              </w:rPr>
            </w:pPr>
            <w:r>
              <w:rPr>
                <w:rFonts w:ascii="Times New Roman"/>
                <w:sz w:val="21"/>
              </w:rPr>
              <w:t>12,953,039</w:t>
            </w:r>
          </w:p>
        </w:tc>
        <w:tc>
          <w:tcPr>
            <w:tcW w:w="3315" w:type="dxa"/>
          </w:tcPr>
          <w:p>
            <w:pPr>
              <w:pStyle w:val="TableParagraph"/>
              <w:spacing w:line="235" w:lineRule="exact"/>
              <w:ind w:right="96"/>
              <w:jc w:val="right"/>
              <w:rPr>
                <w:rFonts w:ascii="Times New Roman"/>
                <w:sz w:val="21"/>
              </w:rPr>
            </w:pPr>
            <w:r>
              <w:rPr>
                <w:rFonts w:ascii="Times New Roman"/>
                <w:sz w:val="21"/>
              </w:rPr>
              <w:t>19,853,685</w:t>
            </w:r>
          </w:p>
        </w:tc>
      </w:tr>
    </w:tbl>
    <w:p>
      <w:pPr>
        <w:pStyle w:val="BodyText"/>
        <w:spacing w:before="1"/>
      </w:pPr>
      <w:r>
        <w:rPr>
          <w:spacing w:val="-1"/>
        </w:rPr>
        <w:t>其他说明</w:t>
      </w:r>
      <w:r>
        <w:rPr/>
        <w:t> </w:t>
      </w:r>
    </w:p>
    <w:p>
      <w:pPr>
        <w:pStyle w:val="BodyText"/>
        <w:spacing w:line="266" w:lineRule="auto" w:before="31"/>
        <w:ind w:right="1277"/>
      </w:pPr>
      <w:r>
        <w:rPr>
          <w:spacing w:val="-27"/>
        </w:rPr>
        <w:t>于 </w:t>
      </w:r>
      <w:r>
        <w:rPr/>
        <w:t>2022</w:t>
      </w:r>
      <w:r>
        <w:rPr>
          <w:spacing w:val="-36"/>
        </w:rPr>
        <w:t> 年 </w:t>
      </w:r>
      <w:r>
        <w:rPr/>
        <w:t>12</w:t>
      </w:r>
      <w:r>
        <w:rPr>
          <w:spacing w:val="-36"/>
        </w:rPr>
        <w:t> 月 </w:t>
      </w:r>
      <w:r>
        <w:rPr/>
        <w:t>31</w:t>
      </w:r>
      <w:r>
        <w:rPr>
          <w:spacing w:val="-12"/>
        </w:rPr>
        <w:t> 日，其他货币资金主要包括 </w:t>
      </w:r>
      <w:r>
        <w:rPr/>
        <w:t>18,150</w:t>
      </w:r>
      <w:r>
        <w:rPr>
          <w:spacing w:val="-8"/>
        </w:rPr>
        <w:t> 千元本集团向银行存入并由银行向海关开</w:t>
      </w:r>
      <w:r>
        <w:rPr>
          <w:spacing w:val="-1"/>
        </w:rPr>
        <w:t>具保函的保证金</w:t>
      </w:r>
      <w:r>
        <w:rPr/>
        <w:t>(2021</w:t>
      </w:r>
      <w:r>
        <w:rPr>
          <w:spacing w:val="-36"/>
        </w:rPr>
        <w:t> 年 </w:t>
      </w:r>
      <w:r>
        <w:rPr/>
        <w:t>12</w:t>
      </w:r>
      <w:r>
        <w:rPr>
          <w:spacing w:val="-36"/>
        </w:rPr>
        <w:t> 月 </w:t>
      </w:r>
      <w:r>
        <w:rPr/>
        <w:t>31</w:t>
      </w:r>
      <w:r>
        <w:rPr>
          <w:spacing w:val="-27"/>
        </w:rPr>
        <w:t> 日</w:t>
      </w:r>
      <w:r>
        <w:rPr/>
        <w:t>：166,197</w:t>
      </w:r>
      <w:r>
        <w:rPr>
          <w:spacing w:val="-12"/>
        </w:rPr>
        <w:t> 千元)。 </w:t>
      </w:r>
    </w:p>
    <w:p>
      <w:pPr>
        <w:pStyle w:val="BodyText"/>
        <w:spacing w:before="3"/>
      </w:pPr>
      <w:r>
        <w:rPr>
          <w:w w:val="100"/>
        </w:rPr>
        <w:t> </w:t>
      </w:r>
    </w:p>
    <w:p>
      <w:pPr>
        <w:pStyle w:val="BodyText"/>
        <w:spacing w:line="266" w:lineRule="auto" w:before="31"/>
        <w:ind w:right="1277"/>
      </w:pPr>
      <w:r>
        <w:rPr>
          <w:spacing w:val="-27"/>
        </w:rPr>
        <w:t>于 </w:t>
      </w:r>
      <w:r>
        <w:rPr/>
        <w:t>2021</w:t>
      </w:r>
      <w:r>
        <w:rPr>
          <w:spacing w:val="-36"/>
        </w:rPr>
        <w:t> 年 </w:t>
      </w:r>
      <w:r>
        <w:rPr/>
        <w:t>12</w:t>
      </w:r>
      <w:r>
        <w:rPr>
          <w:spacing w:val="-36"/>
        </w:rPr>
        <w:t> 月 </w:t>
      </w:r>
      <w:r>
        <w:rPr/>
        <w:t>31</w:t>
      </w:r>
      <w:r>
        <w:rPr>
          <w:spacing w:val="-12"/>
        </w:rPr>
        <w:t> 日，另有其他货币资金 </w:t>
      </w:r>
      <w:r>
        <w:rPr/>
        <w:t>34,000</w:t>
      </w:r>
      <w:r>
        <w:rPr>
          <w:spacing w:val="-8"/>
        </w:rPr>
        <w:t> 千元系本集团向银行存入用以进行远期结售汇</w:t>
      </w:r>
      <w:r>
        <w:rPr/>
        <w:t>业务的保证金。 </w:t>
      </w:r>
    </w:p>
    <w:p>
      <w:pPr>
        <w:pStyle w:val="BodyText"/>
        <w:spacing w:before="3"/>
      </w:pPr>
      <w:r>
        <w:rPr>
          <w:w w:val="100"/>
        </w:rPr>
        <w:t> </w:t>
      </w:r>
    </w:p>
    <w:p>
      <w:pPr>
        <w:pStyle w:val="BodyText"/>
        <w:spacing w:before="2"/>
      </w:pPr>
      <w:r>
        <w:rPr>
          <w:spacing w:val="-1"/>
        </w:rPr>
        <w:t>上述保函保证金、结汇保证金为受限制存款。</w:t>
      </w:r>
      <w:r>
        <w:rPr/>
        <w:t> </w:t>
      </w:r>
    </w:p>
    <w:p>
      <w:pPr>
        <w:pStyle w:val="BodyText"/>
        <w:spacing w:before="4"/>
      </w:pPr>
      <w:r>
        <w:rPr>
          <w:w w:val="100"/>
        </w:rPr>
        <w:t> </w:t>
      </w:r>
    </w:p>
    <w:p>
      <w:pPr>
        <w:pStyle w:val="BodyText"/>
        <w:spacing w:before="63"/>
      </w:pPr>
      <w:r>
        <w:rPr/>
        <w:t>2、 交易性金融资产</w:t>
      </w:r>
    </w:p>
    <w:p>
      <w:pPr>
        <w:pStyle w:val="BodyText"/>
        <w:spacing w:before="64"/>
      </w:pPr>
      <w:r>
        <w:rPr>
          <w:spacing w:val="-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BodyText"/>
        <w:spacing w:before="62"/>
      </w:pPr>
      <w:r>
        <w:rPr/>
        <w:t>3、 衍生金融资产</w:t>
      </w:r>
    </w:p>
    <w:p>
      <w:pPr>
        <w:pStyle w:val="BodyText"/>
        <w:spacing w:before="65"/>
      </w:pPr>
      <w:r>
        <w:rPr>
          <w:spacing w:val="-1"/>
        </w:rPr>
        <w:t>√适用 □不适用</w:t>
      </w:r>
      <w:r>
        <w:rPr>
          <w:spacing w:val="-3"/>
        </w:rPr>
        <w:t> </w:t>
      </w:r>
      <w:r>
        <w:rPr/>
        <w:t> </w:t>
      </w:r>
    </w:p>
    <w:p>
      <w:pPr>
        <w:pStyle w:val="BodyText"/>
        <w:spacing w:before="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0"/>
        <w:gridCol w:w="2621"/>
        <w:gridCol w:w="2643"/>
      </w:tblGrid>
      <w:tr>
        <w:trPr>
          <w:trHeight w:val="270" w:hRule="atLeast"/>
        </w:trPr>
        <w:tc>
          <w:tcPr>
            <w:tcW w:w="3560" w:type="dxa"/>
            <w:tcBorders>
              <w:bottom w:val="single" w:sz="6" w:space="0" w:color="000000"/>
              <w:right w:val="single" w:sz="6" w:space="0" w:color="000000"/>
            </w:tcBorders>
          </w:tcPr>
          <w:p>
            <w:pPr>
              <w:pStyle w:val="TableParagraph"/>
              <w:spacing w:line="250" w:lineRule="exact" w:before="1"/>
              <w:ind w:right="1449"/>
              <w:jc w:val="right"/>
              <w:rPr>
                <w:sz w:val="21"/>
              </w:rPr>
            </w:pPr>
            <w:r>
              <w:rPr>
                <w:sz w:val="21"/>
              </w:rPr>
              <w:t>项目 </w:t>
            </w:r>
          </w:p>
        </w:tc>
        <w:tc>
          <w:tcPr>
            <w:tcW w:w="2621" w:type="dxa"/>
            <w:tcBorders>
              <w:left w:val="single" w:sz="6" w:space="0" w:color="000000"/>
              <w:bottom w:val="single" w:sz="6" w:space="0" w:color="000000"/>
              <w:right w:val="single" w:sz="6" w:space="0" w:color="000000"/>
            </w:tcBorders>
          </w:tcPr>
          <w:p>
            <w:pPr>
              <w:pStyle w:val="TableParagraph"/>
              <w:spacing w:line="250" w:lineRule="exact" w:before="1"/>
              <w:ind w:left="887"/>
              <w:rPr>
                <w:sz w:val="21"/>
              </w:rPr>
            </w:pPr>
            <w:r>
              <w:rPr>
                <w:spacing w:val="-1"/>
                <w:sz w:val="21"/>
              </w:rPr>
              <w:t>期末余额</w:t>
            </w:r>
            <w:r>
              <w:rPr>
                <w:sz w:val="21"/>
              </w:rPr>
              <w:t> </w:t>
            </w:r>
          </w:p>
        </w:tc>
        <w:tc>
          <w:tcPr>
            <w:tcW w:w="2643" w:type="dxa"/>
            <w:tcBorders>
              <w:left w:val="single" w:sz="6" w:space="0" w:color="000000"/>
              <w:bottom w:val="single" w:sz="6" w:space="0" w:color="000000"/>
            </w:tcBorders>
          </w:tcPr>
          <w:p>
            <w:pPr>
              <w:pStyle w:val="TableParagraph"/>
              <w:spacing w:line="250" w:lineRule="exact" w:before="1"/>
              <w:ind w:left="897"/>
              <w:rPr>
                <w:sz w:val="21"/>
              </w:rPr>
            </w:pPr>
            <w:r>
              <w:rPr>
                <w:spacing w:val="-1"/>
                <w:sz w:val="21"/>
              </w:rPr>
              <w:t>期初余额</w:t>
            </w:r>
            <w:r>
              <w:rPr>
                <w:sz w:val="21"/>
              </w:rPr>
              <w:t> </w:t>
            </w:r>
          </w:p>
        </w:tc>
      </w:tr>
      <w:tr>
        <w:trPr>
          <w:trHeight w:val="623" w:hRule="atLeast"/>
        </w:trPr>
        <w:tc>
          <w:tcPr>
            <w:tcW w:w="3560" w:type="dxa"/>
            <w:tcBorders>
              <w:top w:val="single" w:sz="6" w:space="0" w:color="000000"/>
              <w:bottom w:val="single" w:sz="6" w:space="0" w:color="000000"/>
              <w:right w:val="single" w:sz="6" w:space="0" w:color="000000"/>
            </w:tcBorders>
          </w:tcPr>
          <w:p>
            <w:pPr>
              <w:pStyle w:val="TableParagraph"/>
              <w:spacing w:line="310" w:lineRule="atLeast"/>
              <w:ind w:left="107" w:right="237"/>
              <w:rPr>
                <w:sz w:val="21"/>
              </w:rPr>
            </w:pPr>
            <w:r>
              <w:rPr>
                <w:spacing w:val="-1"/>
                <w:sz w:val="24"/>
              </w:rPr>
              <w:t>衍生金融资产—远期外汇合约</w:t>
            </w:r>
            <w:r>
              <w:rPr>
                <w:rFonts w:ascii="Arial MT" w:hAnsi="Arial MT" w:eastAsia="Arial MT"/>
                <w:sz w:val="24"/>
              </w:rPr>
              <w:t>-</w:t>
            </w:r>
            <w:r>
              <w:rPr>
                <w:rFonts w:ascii="Arial MT" w:hAnsi="Arial MT" w:eastAsia="Arial MT"/>
                <w:spacing w:val="-64"/>
                <w:sz w:val="24"/>
              </w:rPr>
              <w:t> </w:t>
            </w:r>
            <w:r>
              <w:rPr>
                <w:sz w:val="24"/>
              </w:rPr>
              <w:t>套期工具</w:t>
            </w:r>
            <w:r>
              <w:rPr>
                <w:w w:val="100"/>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right="93"/>
              <w:jc w:val="right"/>
              <w:rPr>
                <w:rFonts w:ascii="Times New Roman"/>
                <w:sz w:val="21"/>
              </w:rPr>
            </w:pPr>
            <w:r>
              <w:rPr>
                <w:rFonts w:ascii="Times New Roman"/>
                <w:w w:val="100"/>
                <w:sz w:val="21"/>
              </w:rPr>
              <w:t>-</w:t>
            </w:r>
          </w:p>
        </w:tc>
        <w:tc>
          <w:tcPr>
            <w:tcW w:w="2643" w:type="dxa"/>
            <w:tcBorders>
              <w:top w:val="single" w:sz="6" w:space="0" w:color="000000"/>
              <w:left w:val="single" w:sz="6" w:space="0" w:color="000000"/>
              <w:bottom w:val="single" w:sz="6" w:space="0" w:color="000000"/>
            </w:tcBorders>
          </w:tcPr>
          <w:p>
            <w:pPr>
              <w:pStyle w:val="TableParagraph"/>
              <w:spacing w:line="237" w:lineRule="exact"/>
              <w:ind w:right="93"/>
              <w:jc w:val="right"/>
              <w:rPr>
                <w:rFonts w:ascii="Times New Roman"/>
                <w:sz w:val="21"/>
              </w:rPr>
            </w:pPr>
            <w:r>
              <w:rPr>
                <w:rFonts w:ascii="Times New Roman"/>
                <w:sz w:val="21"/>
              </w:rPr>
              <w:t>246,014</w:t>
            </w:r>
          </w:p>
        </w:tc>
      </w:tr>
      <w:tr>
        <w:trPr>
          <w:trHeight w:val="623" w:hRule="atLeast"/>
        </w:trPr>
        <w:tc>
          <w:tcPr>
            <w:tcW w:w="3560" w:type="dxa"/>
            <w:tcBorders>
              <w:top w:val="single" w:sz="6" w:space="0" w:color="000000"/>
              <w:bottom w:val="single" w:sz="6" w:space="0" w:color="000000"/>
              <w:right w:val="single" w:sz="6" w:space="0" w:color="000000"/>
            </w:tcBorders>
          </w:tcPr>
          <w:p>
            <w:pPr>
              <w:pStyle w:val="TableParagraph"/>
              <w:spacing w:line="307" w:lineRule="exact"/>
              <w:ind w:left="107"/>
              <w:rPr>
                <w:rFonts w:ascii="Arial MT" w:hAnsi="Arial MT" w:eastAsia="Arial MT"/>
                <w:sz w:val="24"/>
              </w:rPr>
            </w:pPr>
            <w:r>
              <w:rPr>
                <w:spacing w:val="-1"/>
                <w:sz w:val="24"/>
              </w:rPr>
              <w:t>衍生金融资产—远期外汇合约</w:t>
            </w:r>
            <w:r>
              <w:rPr>
                <w:rFonts w:ascii="Arial MT" w:hAnsi="Arial MT" w:eastAsia="Arial MT"/>
                <w:sz w:val="24"/>
              </w:rPr>
              <w:t>-</w:t>
            </w:r>
          </w:p>
          <w:p>
            <w:pPr>
              <w:pStyle w:val="TableParagraph"/>
              <w:spacing w:line="292" w:lineRule="exact" w:before="4"/>
              <w:ind w:left="107"/>
              <w:rPr>
                <w:sz w:val="21"/>
              </w:rPr>
            </w:pPr>
            <w:r>
              <w:rPr>
                <w:spacing w:val="-1"/>
                <w:sz w:val="24"/>
              </w:rPr>
              <w:t>非套期工具</w:t>
            </w:r>
            <w:r>
              <w:rPr>
                <w:w w:val="100"/>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1"/>
              <w:jc w:val="right"/>
              <w:rPr>
                <w:rFonts w:ascii="Times New Roman"/>
                <w:sz w:val="21"/>
              </w:rPr>
            </w:pPr>
            <w:r>
              <w:rPr>
                <w:rFonts w:ascii="Times New Roman"/>
                <w:sz w:val="21"/>
              </w:rPr>
              <w:t>15,621</w:t>
            </w:r>
          </w:p>
        </w:tc>
        <w:tc>
          <w:tcPr>
            <w:tcW w:w="2643" w:type="dxa"/>
            <w:tcBorders>
              <w:top w:val="single" w:sz="6" w:space="0" w:color="000000"/>
              <w:left w:val="single" w:sz="6" w:space="0" w:color="000000"/>
              <w:bottom w:val="single" w:sz="6" w:space="0" w:color="000000"/>
            </w:tcBorders>
          </w:tcPr>
          <w:p>
            <w:pPr>
              <w:pStyle w:val="TableParagraph"/>
              <w:spacing w:line="235" w:lineRule="exact"/>
              <w:ind w:right="95"/>
              <w:jc w:val="right"/>
              <w:rPr>
                <w:rFonts w:ascii="Times New Roman"/>
                <w:sz w:val="21"/>
              </w:rPr>
            </w:pPr>
            <w:r>
              <w:rPr>
                <w:rFonts w:ascii="Times New Roman"/>
                <w:w w:val="100"/>
                <w:sz w:val="21"/>
              </w:rPr>
              <w:t>-</w:t>
            </w:r>
          </w:p>
        </w:tc>
      </w:tr>
      <w:tr>
        <w:trPr>
          <w:trHeight w:val="620" w:hRule="atLeast"/>
        </w:trPr>
        <w:tc>
          <w:tcPr>
            <w:tcW w:w="3560" w:type="dxa"/>
            <w:tcBorders>
              <w:top w:val="single" w:sz="6" w:space="0" w:color="000000"/>
              <w:bottom w:val="single" w:sz="6" w:space="0" w:color="000000"/>
              <w:right w:val="single" w:sz="6" w:space="0" w:color="000000"/>
            </w:tcBorders>
          </w:tcPr>
          <w:p>
            <w:pPr>
              <w:pStyle w:val="TableParagraph"/>
              <w:spacing w:line="307" w:lineRule="exact"/>
              <w:ind w:left="107"/>
              <w:rPr>
                <w:sz w:val="24"/>
              </w:rPr>
            </w:pPr>
            <w:r>
              <w:rPr>
                <w:spacing w:val="-1"/>
                <w:sz w:val="24"/>
              </w:rPr>
              <w:t>衍生金融资产—外汇期权</w:t>
            </w:r>
            <w:r>
              <w:rPr>
                <w:rFonts w:ascii="Arial MT" w:hAnsi="Arial MT" w:eastAsia="Arial MT"/>
                <w:sz w:val="24"/>
              </w:rPr>
              <w:t>-</w:t>
            </w:r>
            <w:r>
              <w:rPr>
                <w:sz w:val="24"/>
              </w:rPr>
              <w:t>套期</w:t>
            </w:r>
          </w:p>
          <w:p>
            <w:pPr>
              <w:pStyle w:val="TableParagraph"/>
              <w:spacing w:line="289" w:lineRule="exact" w:before="4"/>
              <w:ind w:left="107"/>
              <w:rPr>
                <w:sz w:val="21"/>
              </w:rPr>
            </w:pPr>
            <w:r>
              <w:rPr>
                <w:sz w:val="24"/>
              </w:rPr>
              <w:t>工具</w:t>
            </w:r>
            <w:r>
              <w:rPr>
                <w:w w:val="100"/>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3"/>
              <w:jc w:val="right"/>
              <w:rPr>
                <w:rFonts w:ascii="Times New Roman"/>
                <w:sz w:val="21"/>
              </w:rPr>
            </w:pPr>
            <w:r>
              <w:rPr>
                <w:rFonts w:ascii="Times New Roman"/>
                <w:w w:val="100"/>
                <w:sz w:val="21"/>
              </w:rPr>
              <w:t>-</w:t>
            </w:r>
          </w:p>
        </w:tc>
        <w:tc>
          <w:tcPr>
            <w:tcW w:w="2643" w:type="dxa"/>
            <w:tcBorders>
              <w:top w:val="single" w:sz="6" w:space="0" w:color="000000"/>
              <w:left w:val="single" w:sz="6" w:space="0" w:color="000000"/>
              <w:bottom w:val="single" w:sz="6" w:space="0" w:color="000000"/>
            </w:tcBorders>
          </w:tcPr>
          <w:p>
            <w:pPr>
              <w:pStyle w:val="TableParagraph"/>
              <w:spacing w:line="235" w:lineRule="exact"/>
              <w:ind w:right="95"/>
              <w:jc w:val="right"/>
              <w:rPr>
                <w:rFonts w:ascii="Times New Roman"/>
                <w:sz w:val="21"/>
              </w:rPr>
            </w:pPr>
            <w:r>
              <w:rPr>
                <w:rFonts w:ascii="Times New Roman"/>
                <w:w w:val="100"/>
                <w:sz w:val="21"/>
              </w:rPr>
              <w:t>-</w:t>
            </w:r>
          </w:p>
        </w:tc>
      </w:tr>
      <w:tr>
        <w:trPr>
          <w:trHeight w:val="273" w:hRule="atLeast"/>
        </w:trPr>
        <w:tc>
          <w:tcPr>
            <w:tcW w:w="3560" w:type="dxa"/>
            <w:tcBorders>
              <w:top w:val="single" w:sz="6" w:space="0" w:color="000000"/>
              <w:right w:val="single" w:sz="6" w:space="0" w:color="000000"/>
            </w:tcBorders>
          </w:tcPr>
          <w:p>
            <w:pPr>
              <w:pStyle w:val="TableParagraph"/>
              <w:spacing w:line="252" w:lineRule="exact" w:before="1"/>
              <w:ind w:right="1449"/>
              <w:jc w:val="right"/>
              <w:rPr>
                <w:sz w:val="21"/>
              </w:rPr>
            </w:pPr>
            <w:r>
              <w:rPr>
                <w:sz w:val="21"/>
              </w:rPr>
              <w:t>合计 </w:t>
            </w:r>
          </w:p>
        </w:tc>
        <w:tc>
          <w:tcPr>
            <w:tcW w:w="2621" w:type="dxa"/>
            <w:tcBorders>
              <w:top w:val="single" w:sz="6" w:space="0" w:color="000000"/>
              <w:left w:val="single" w:sz="6" w:space="0" w:color="000000"/>
              <w:right w:val="single" w:sz="6" w:space="0" w:color="000000"/>
            </w:tcBorders>
          </w:tcPr>
          <w:p>
            <w:pPr>
              <w:pStyle w:val="TableParagraph"/>
              <w:spacing w:line="235" w:lineRule="exact"/>
              <w:ind w:right="91"/>
              <w:jc w:val="right"/>
              <w:rPr>
                <w:rFonts w:ascii="Times New Roman"/>
                <w:sz w:val="21"/>
              </w:rPr>
            </w:pPr>
            <w:r>
              <w:rPr>
                <w:rFonts w:ascii="Times New Roman"/>
                <w:sz w:val="21"/>
              </w:rPr>
              <w:t>15,621</w:t>
            </w:r>
          </w:p>
        </w:tc>
        <w:tc>
          <w:tcPr>
            <w:tcW w:w="2643" w:type="dxa"/>
            <w:tcBorders>
              <w:top w:val="single" w:sz="6" w:space="0" w:color="000000"/>
              <w:left w:val="single" w:sz="6" w:space="0" w:color="000000"/>
            </w:tcBorders>
          </w:tcPr>
          <w:p>
            <w:pPr>
              <w:pStyle w:val="TableParagraph"/>
              <w:spacing w:line="235" w:lineRule="exact"/>
              <w:ind w:right="93"/>
              <w:jc w:val="right"/>
              <w:rPr>
                <w:rFonts w:ascii="Times New Roman"/>
                <w:sz w:val="21"/>
              </w:rPr>
            </w:pPr>
            <w:r>
              <w:rPr>
                <w:rFonts w:ascii="Times New Roman"/>
                <w:sz w:val="21"/>
              </w:rPr>
              <w:t>246,014</w:t>
            </w:r>
          </w:p>
        </w:tc>
      </w:tr>
    </w:tbl>
    <w:p>
      <w:pPr>
        <w:pStyle w:val="BodyText"/>
        <w:spacing w:before="1"/>
      </w:pPr>
      <w:r>
        <w:rPr>
          <w:w w:val="100"/>
        </w:rPr>
        <w:t> </w:t>
      </w:r>
    </w:p>
    <w:p>
      <w:pPr>
        <w:pStyle w:val="BodyText"/>
        <w:spacing w:before="4"/>
      </w:pPr>
      <w:r>
        <w:rPr/>
        <w:t>其他说明： </w:t>
      </w:r>
    </w:p>
    <w:p>
      <w:pPr>
        <w:pStyle w:val="BodyText"/>
        <w:spacing w:before="3" w:after="33"/>
      </w:pPr>
      <w:r>
        <w:rPr>
          <w:w w:val="100"/>
        </w:rPr>
        <w:t> </w:t>
      </w:r>
    </w:p>
    <w:tbl>
      <w:tblPr>
        <w:tblW w:w="0" w:type="auto"/>
        <w:jc w:val="left"/>
        <w:tblInd w:w="2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6"/>
        <w:gridCol w:w="2855"/>
        <w:gridCol w:w="2508"/>
        <w:gridCol w:w="2990"/>
      </w:tblGrid>
      <w:tr>
        <w:trPr>
          <w:trHeight w:val="241" w:hRule="atLeast"/>
        </w:trPr>
        <w:tc>
          <w:tcPr>
            <w:tcW w:w="766" w:type="dxa"/>
          </w:tcPr>
          <w:p>
            <w:pPr>
              <w:pStyle w:val="TableParagraph"/>
              <w:spacing w:line="221" w:lineRule="exact"/>
              <w:ind w:left="200"/>
              <w:rPr>
                <w:sz w:val="21"/>
              </w:rPr>
            </w:pPr>
            <w:bookmarkStart w:name="Table100" w:id="14"/>
            <w:bookmarkEnd w:id="14"/>
            <w:r>
              <w:rPr/>
            </w:r>
            <w:r>
              <w:rPr>
                <w:sz w:val="21"/>
              </w:rPr>
              <w:t>(a) </w:t>
            </w:r>
          </w:p>
        </w:tc>
        <w:tc>
          <w:tcPr>
            <w:tcW w:w="2855" w:type="dxa"/>
          </w:tcPr>
          <w:p>
            <w:pPr>
              <w:pStyle w:val="TableParagraph"/>
              <w:spacing w:line="221" w:lineRule="exact"/>
              <w:ind w:left="163"/>
              <w:rPr>
                <w:sz w:val="21"/>
              </w:rPr>
            </w:pPr>
            <w:r>
              <w:rPr>
                <w:spacing w:val="-1"/>
                <w:sz w:val="21"/>
              </w:rPr>
              <w:t>远期外汇合约- 套期工具</w:t>
            </w:r>
            <w:r>
              <w:rPr>
                <w:sz w:val="21"/>
              </w:rPr>
              <w:t> </w:t>
            </w:r>
          </w:p>
        </w:tc>
        <w:tc>
          <w:tcPr>
            <w:tcW w:w="2508" w:type="dxa"/>
          </w:tcPr>
          <w:p>
            <w:pPr>
              <w:pStyle w:val="TableParagraph"/>
              <w:rPr>
                <w:rFonts w:ascii="Times New Roman"/>
                <w:sz w:val="16"/>
              </w:rPr>
            </w:pPr>
          </w:p>
        </w:tc>
        <w:tc>
          <w:tcPr>
            <w:tcW w:w="2990" w:type="dxa"/>
          </w:tcPr>
          <w:p>
            <w:pPr>
              <w:pStyle w:val="TableParagraph"/>
              <w:rPr>
                <w:rFonts w:ascii="Times New Roman"/>
                <w:sz w:val="16"/>
              </w:rPr>
            </w:pPr>
          </w:p>
        </w:tc>
      </w:tr>
      <w:tr>
        <w:trPr>
          <w:trHeight w:val="272" w:hRule="atLeast"/>
        </w:trPr>
        <w:tc>
          <w:tcPr>
            <w:tcW w:w="766" w:type="dxa"/>
          </w:tcPr>
          <w:p>
            <w:pPr>
              <w:pStyle w:val="TableParagraph"/>
              <w:spacing w:line="251" w:lineRule="exact" w:before="1"/>
              <w:ind w:left="200"/>
              <w:rPr>
                <w:sz w:val="21"/>
              </w:rPr>
            </w:pPr>
            <w:r>
              <w:rPr>
                <w:w w:val="100"/>
                <w:sz w:val="21"/>
              </w:rPr>
              <w:t> </w:t>
            </w:r>
          </w:p>
        </w:tc>
        <w:tc>
          <w:tcPr>
            <w:tcW w:w="2855" w:type="dxa"/>
          </w:tcPr>
          <w:p>
            <w:pPr>
              <w:pStyle w:val="TableParagraph"/>
              <w:spacing w:line="251" w:lineRule="exact" w:before="1"/>
              <w:ind w:left="146"/>
              <w:rPr>
                <w:sz w:val="21"/>
              </w:rPr>
            </w:pPr>
            <w:r>
              <w:rPr>
                <w:w w:val="100"/>
                <w:sz w:val="21"/>
              </w:rPr>
              <w:t> </w:t>
            </w:r>
          </w:p>
        </w:tc>
        <w:tc>
          <w:tcPr>
            <w:tcW w:w="2508" w:type="dxa"/>
          </w:tcPr>
          <w:p>
            <w:pPr>
              <w:pStyle w:val="TableParagraph"/>
              <w:rPr>
                <w:rFonts w:ascii="Times New Roman"/>
                <w:sz w:val="20"/>
              </w:rPr>
            </w:pPr>
          </w:p>
        </w:tc>
        <w:tc>
          <w:tcPr>
            <w:tcW w:w="2990" w:type="dxa"/>
          </w:tcPr>
          <w:p>
            <w:pPr>
              <w:pStyle w:val="TableParagraph"/>
              <w:rPr>
                <w:rFonts w:ascii="Times New Roman"/>
                <w:sz w:val="20"/>
              </w:rPr>
            </w:pPr>
          </w:p>
        </w:tc>
      </w:tr>
      <w:tr>
        <w:trPr>
          <w:trHeight w:val="272" w:hRule="atLeast"/>
        </w:trPr>
        <w:tc>
          <w:tcPr>
            <w:tcW w:w="766" w:type="dxa"/>
          </w:tcPr>
          <w:p>
            <w:pPr>
              <w:pStyle w:val="TableParagraph"/>
              <w:spacing w:line="250" w:lineRule="exact" w:before="2"/>
              <w:ind w:left="200"/>
              <w:rPr>
                <w:sz w:val="21"/>
              </w:rPr>
            </w:pPr>
            <w:r>
              <w:rPr>
                <w:w w:val="100"/>
                <w:sz w:val="21"/>
              </w:rPr>
              <w:t> </w:t>
            </w:r>
          </w:p>
        </w:tc>
        <w:tc>
          <w:tcPr>
            <w:tcW w:w="8353" w:type="dxa"/>
            <w:gridSpan w:val="3"/>
          </w:tcPr>
          <w:p>
            <w:pPr>
              <w:pStyle w:val="TableParagraph"/>
              <w:spacing w:line="250" w:lineRule="exact" w:before="2"/>
              <w:ind w:left="163"/>
              <w:rPr>
                <w:sz w:val="21"/>
              </w:rPr>
            </w:pPr>
            <w:r>
              <w:rPr>
                <w:spacing w:val="-1"/>
                <w:sz w:val="21"/>
              </w:rPr>
              <w:t>于 2022</w:t>
            </w:r>
            <w:r>
              <w:rPr>
                <w:spacing w:val="-8"/>
                <w:sz w:val="21"/>
              </w:rPr>
              <w:t> 年度，本集团适用套期工具的远期外汇合约的主要信息如下:</w:t>
            </w:r>
            <w:r>
              <w:rPr>
                <w:sz w:val="21"/>
              </w:rPr>
              <w:t> </w:t>
            </w:r>
          </w:p>
        </w:tc>
      </w:tr>
      <w:tr>
        <w:trPr>
          <w:trHeight w:val="271" w:hRule="atLeast"/>
        </w:trPr>
        <w:tc>
          <w:tcPr>
            <w:tcW w:w="766" w:type="dxa"/>
          </w:tcPr>
          <w:p>
            <w:pPr>
              <w:pStyle w:val="TableParagraph"/>
              <w:spacing w:line="250" w:lineRule="exact" w:before="1"/>
              <w:ind w:left="200"/>
              <w:rPr>
                <w:sz w:val="21"/>
              </w:rPr>
            </w:pPr>
            <w:r>
              <w:rPr>
                <w:w w:val="100"/>
                <w:sz w:val="21"/>
              </w:rPr>
              <w:t> </w:t>
            </w:r>
          </w:p>
        </w:tc>
        <w:tc>
          <w:tcPr>
            <w:tcW w:w="2855" w:type="dxa"/>
          </w:tcPr>
          <w:p>
            <w:pPr>
              <w:pStyle w:val="TableParagraph"/>
              <w:spacing w:line="250" w:lineRule="exact" w:before="1"/>
              <w:ind w:right="43"/>
              <w:jc w:val="center"/>
              <w:rPr>
                <w:sz w:val="21"/>
              </w:rPr>
            </w:pPr>
            <w:r>
              <w:rPr>
                <w:w w:val="100"/>
                <w:sz w:val="21"/>
              </w:rPr>
              <w:t> </w:t>
            </w:r>
          </w:p>
        </w:tc>
        <w:tc>
          <w:tcPr>
            <w:tcW w:w="2508" w:type="dxa"/>
          </w:tcPr>
          <w:p>
            <w:pPr>
              <w:pStyle w:val="TableParagraph"/>
              <w:rPr>
                <w:rFonts w:ascii="Times New Roman"/>
                <w:sz w:val="20"/>
              </w:rPr>
            </w:pPr>
          </w:p>
        </w:tc>
        <w:tc>
          <w:tcPr>
            <w:tcW w:w="2990" w:type="dxa"/>
          </w:tcPr>
          <w:p>
            <w:pPr>
              <w:pStyle w:val="TableParagraph"/>
              <w:spacing w:line="250" w:lineRule="exact" w:before="1"/>
              <w:ind w:left="199"/>
              <w:rPr>
                <w:sz w:val="21"/>
              </w:rPr>
            </w:pPr>
            <w:r>
              <w:rPr>
                <w:w w:val="100"/>
                <w:sz w:val="21"/>
              </w:rPr>
              <w:t> </w:t>
            </w:r>
          </w:p>
        </w:tc>
      </w:tr>
      <w:tr>
        <w:trPr>
          <w:trHeight w:val="272" w:hRule="atLeast"/>
        </w:trPr>
        <w:tc>
          <w:tcPr>
            <w:tcW w:w="766" w:type="dxa"/>
          </w:tcPr>
          <w:p>
            <w:pPr>
              <w:pStyle w:val="TableParagraph"/>
              <w:spacing w:line="251" w:lineRule="exact" w:before="1"/>
              <w:ind w:left="200"/>
              <w:rPr>
                <w:sz w:val="21"/>
              </w:rPr>
            </w:pPr>
            <w:r>
              <w:rPr>
                <w:w w:val="100"/>
                <w:sz w:val="21"/>
              </w:rPr>
              <w:t> </w:t>
            </w:r>
          </w:p>
        </w:tc>
        <w:tc>
          <w:tcPr>
            <w:tcW w:w="2855" w:type="dxa"/>
          </w:tcPr>
          <w:p>
            <w:pPr>
              <w:pStyle w:val="TableParagraph"/>
              <w:spacing w:line="251" w:lineRule="exact" w:before="1"/>
              <w:ind w:left="722"/>
              <w:rPr>
                <w:sz w:val="21"/>
              </w:rPr>
            </w:pPr>
            <w:r>
              <w:rPr>
                <w:spacing w:val="-1"/>
                <w:sz w:val="21"/>
              </w:rPr>
              <w:t>名义金额合计</w:t>
            </w:r>
            <w:r>
              <w:rPr>
                <w:sz w:val="21"/>
              </w:rPr>
              <w:t> </w:t>
            </w:r>
          </w:p>
        </w:tc>
        <w:tc>
          <w:tcPr>
            <w:tcW w:w="2508" w:type="dxa"/>
          </w:tcPr>
          <w:p>
            <w:pPr>
              <w:pStyle w:val="TableParagraph"/>
              <w:spacing w:line="251" w:lineRule="exact" w:before="1"/>
              <w:ind w:left="767"/>
              <w:rPr>
                <w:sz w:val="21"/>
              </w:rPr>
            </w:pPr>
            <w:r>
              <w:rPr>
                <w:sz w:val="21"/>
              </w:rPr>
              <w:t>到期日范围 </w:t>
            </w:r>
          </w:p>
        </w:tc>
        <w:tc>
          <w:tcPr>
            <w:tcW w:w="2990" w:type="dxa"/>
          </w:tcPr>
          <w:p>
            <w:pPr>
              <w:pStyle w:val="TableParagraph"/>
              <w:spacing w:line="251" w:lineRule="exact" w:before="1"/>
              <w:ind w:left="585"/>
              <w:rPr>
                <w:sz w:val="21"/>
              </w:rPr>
            </w:pPr>
            <w:r>
              <w:rPr>
                <w:spacing w:val="-1"/>
                <w:sz w:val="21"/>
              </w:rPr>
              <w:t>人民币兑美元汇率范围</w:t>
            </w:r>
            <w:r>
              <w:rPr>
                <w:sz w:val="21"/>
              </w:rPr>
              <w:t> </w:t>
            </w:r>
          </w:p>
        </w:tc>
      </w:tr>
      <w:tr>
        <w:trPr>
          <w:trHeight w:val="242" w:hRule="atLeast"/>
        </w:trPr>
        <w:tc>
          <w:tcPr>
            <w:tcW w:w="766" w:type="dxa"/>
          </w:tcPr>
          <w:p>
            <w:pPr>
              <w:pStyle w:val="TableParagraph"/>
              <w:spacing w:line="220" w:lineRule="exact" w:before="2"/>
              <w:ind w:left="200"/>
              <w:rPr>
                <w:sz w:val="21"/>
              </w:rPr>
            </w:pPr>
            <w:r>
              <w:rPr>
                <w:w w:val="100"/>
                <w:sz w:val="21"/>
              </w:rPr>
              <w:t> </w:t>
            </w:r>
          </w:p>
        </w:tc>
        <w:tc>
          <w:tcPr>
            <w:tcW w:w="2855" w:type="dxa"/>
          </w:tcPr>
          <w:p>
            <w:pPr>
              <w:pStyle w:val="TableParagraph"/>
              <w:spacing w:line="220" w:lineRule="exact" w:before="2"/>
              <w:ind w:right="43"/>
              <w:jc w:val="center"/>
              <w:rPr>
                <w:sz w:val="21"/>
              </w:rPr>
            </w:pPr>
            <w:r>
              <w:rPr>
                <w:w w:val="100"/>
                <w:sz w:val="21"/>
              </w:rPr>
              <w:t> </w:t>
            </w:r>
          </w:p>
        </w:tc>
        <w:tc>
          <w:tcPr>
            <w:tcW w:w="2508" w:type="dxa"/>
          </w:tcPr>
          <w:p>
            <w:pPr>
              <w:pStyle w:val="TableParagraph"/>
              <w:rPr>
                <w:rFonts w:ascii="Times New Roman"/>
                <w:sz w:val="16"/>
              </w:rPr>
            </w:pPr>
          </w:p>
        </w:tc>
        <w:tc>
          <w:tcPr>
            <w:tcW w:w="2990" w:type="dxa"/>
          </w:tcPr>
          <w:p>
            <w:pPr>
              <w:pStyle w:val="TableParagraph"/>
              <w:spacing w:line="220" w:lineRule="exact" w:before="2"/>
              <w:ind w:left="390"/>
              <w:jc w:val="center"/>
              <w:rPr>
                <w:sz w:val="21"/>
              </w:rPr>
            </w:pPr>
            <w:r>
              <w:rPr>
                <w:w w:val="100"/>
                <w:sz w:val="21"/>
              </w:rPr>
              <w:t> </w:t>
            </w:r>
          </w:p>
        </w:tc>
      </w:tr>
    </w:tbl>
    <w:p>
      <w:pPr>
        <w:spacing w:after="0" w:line="220" w:lineRule="exact"/>
        <w:jc w:val="center"/>
        <w:rPr>
          <w:sz w:val="21"/>
        </w:rPr>
        <w:sectPr>
          <w:pgSz w:w="11910" w:h="16840"/>
          <w:pgMar w:header="882" w:footer="1172" w:top="1120" w:bottom="1380" w:left="1480" w:right="0"/>
        </w:sectPr>
      </w:pPr>
    </w:p>
    <w:p>
      <w:pPr>
        <w:pStyle w:val="BodyText"/>
        <w:ind w:left="0"/>
        <w:rPr>
          <w:sz w:val="20"/>
        </w:rPr>
      </w:pPr>
    </w:p>
    <w:p>
      <w:pPr>
        <w:pStyle w:val="BodyText"/>
        <w:spacing w:before="5"/>
        <w:ind w:left="0"/>
        <w:rPr>
          <w:sz w:val="13"/>
        </w:rPr>
      </w:pPr>
    </w:p>
    <w:tbl>
      <w:tblPr>
        <w:tblW w:w="0" w:type="auto"/>
        <w:jc w:val="left"/>
        <w:tblInd w:w="2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4"/>
        <w:gridCol w:w="2801"/>
        <w:gridCol w:w="3085"/>
        <w:gridCol w:w="2337"/>
      </w:tblGrid>
      <w:tr>
        <w:trPr>
          <w:trHeight w:val="485" w:hRule="atLeast"/>
        </w:trPr>
        <w:tc>
          <w:tcPr>
            <w:tcW w:w="634" w:type="dxa"/>
          </w:tcPr>
          <w:p>
            <w:pPr>
              <w:pStyle w:val="TableParagraph"/>
              <w:spacing w:line="241" w:lineRule="exact"/>
              <w:ind w:left="200"/>
              <w:rPr>
                <w:sz w:val="21"/>
              </w:rPr>
            </w:pPr>
            <w:r>
              <w:rPr>
                <w:w w:val="100"/>
                <w:sz w:val="21"/>
              </w:rPr>
              <w:t> </w:t>
            </w:r>
          </w:p>
        </w:tc>
        <w:tc>
          <w:tcPr>
            <w:tcW w:w="2801" w:type="dxa"/>
          </w:tcPr>
          <w:p>
            <w:pPr>
              <w:pStyle w:val="TableParagraph"/>
              <w:spacing w:line="241" w:lineRule="exact"/>
              <w:ind w:left="272"/>
              <w:jc w:val="center"/>
              <w:rPr>
                <w:sz w:val="21"/>
              </w:rPr>
            </w:pPr>
            <w:r>
              <w:rPr>
                <w:w w:val="100"/>
                <w:sz w:val="21"/>
              </w:rPr>
              <w:t> </w:t>
            </w:r>
          </w:p>
          <w:p>
            <w:pPr>
              <w:pStyle w:val="TableParagraph"/>
              <w:spacing w:line="220" w:lineRule="exact" w:before="5"/>
              <w:ind w:left="366" w:right="92"/>
              <w:jc w:val="center"/>
              <w:rPr>
                <w:sz w:val="21"/>
              </w:rPr>
            </w:pPr>
            <w:r>
              <w:rPr>
                <w:spacing w:val="-11"/>
                <w:sz w:val="21"/>
              </w:rPr>
              <w:t>卖出美元 </w:t>
            </w:r>
            <w:r>
              <w:rPr>
                <w:sz w:val="21"/>
              </w:rPr>
              <w:t>5,490,000</w:t>
            </w:r>
            <w:r>
              <w:rPr>
                <w:spacing w:val="-19"/>
                <w:sz w:val="21"/>
              </w:rPr>
              <w:t> 千元</w:t>
            </w:r>
            <w:r>
              <w:rPr>
                <w:sz w:val="21"/>
              </w:rPr>
              <w:t> </w:t>
            </w:r>
          </w:p>
        </w:tc>
        <w:tc>
          <w:tcPr>
            <w:tcW w:w="3085" w:type="dxa"/>
          </w:tcPr>
          <w:p>
            <w:pPr>
              <w:pStyle w:val="TableParagraph"/>
              <w:spacing w:line="241" w:lineRule="exact"/>
              <w:ind w:left="55"/>
              <w:rPr>
                <w:sz w:val="21"/>
              </w:rPr>
            </w:pPr>
            <w:r>
              <w:rPr>
                <w:sz w:val="21"/>
              </w:rPr>
              <w:t>2022</w:t>
            </w:r>
            <w:r>
              <w:rPr>
                <w:spacing w:val="-36"/>
                <w:sz w:val="21"/>
              </w:rPr>
              <w:t> 年 </w:t>
            </w:r>
            <w:r>
              <w:rPr>
                <w:sz w:val="21"/>
              </w:rPr>
              <w:t>1</w:t>
            </w:r>
            <w:r>
              <w:rPr>
                <w:spacing w:val="-35"/>
                <w:sz w:val="21"/>
              </w:rPr>
              <w:t> 月 </w:t>
            </w:r>
            <w:r>
              <w:rPr>
                <w:sz w:val="21"/>
              </w:rPr>
              <w:t>20</w:t>
            </w:r>
            <w:r>
              <w:rPr>
                <w:spacing w:val="-27"/>
                <w:sz w:val="21"/>
              </w:rPr>
              <w:t> 日至 </w:t>
            </w:r>
            <w:r>
              <w:rPr>
                <w:sz w:val="21"/>
              </w:rPr>
              <w:t>2022</w:t>
            </w:r>
            <w:r>
              <w:rPr>
                <w:spacing w:val="-27"/>
                <w:sz w:val="21"/>
              </w:rPr>
              <w:t> 年</w:t>
            </w:r>
          </w:p>
          <w:p>
            <w:pPr>
              <w:pStyle w:val="TableParagraph"/>
              <w:spacing w:line="220" w:lineRule="exact" w:before="5"/>
              <w:ind w:left="843"/>
              <w:rPr>
                <w:sz w:val="21"/>
              </w:rPr>
            </w:pPr>
            <w:r>
              <w:rPr>
                <w:spacing w:val="-1"/>
                <w:sz w:val="21"/>
              </w:rPr>
              <w:t>12</w:t>
            </w:r>
            <w:r>
              <w:rPr>
                <w:spacing w:val="-36"/>
                <w:sz w:val="21"/>
              </w:rPr>
              <w:t> 月 </w:t>
            </w:r>
            <w:r>
              <w:rPr>
                <w:sz w:val="21"/>
              </w:rPr>
              <w:t>21</w:t>
            </w:r>
            <w:r>
              <w:rPr>
                <w:spacing w:val="-27"/>
                <w:sz w:val="21"/>
              </w:rPr>
              <w:t> 日</w:t>
            </w:r>
            <w:r>
              <w:rPr>
                <w:sz w:val="21"/>
              </w:rPr>
              <w:t> </w:t>
            </w:r>
          </w:p>
        </w:tc>
        <w:tc>
          <w:tcPr>
            <w:tcW w:w="2337" w:type="dxa"/>
          </w:tcPr>
          <w:p>
            <w:pPr>
              <w:pStyle w:val="TableParagraph"/>
              <w:spacing w:before="2"/>
              <w:rPr>
                <w:sz w:val="19"/>
              </w:rPr>
            </w:pPr>
          </w:p>
          <w:p>
            <w:pPr>
              <w:pStyle w:val="TableParagraph"/>
              <w:spacing w:line="220" w:lineRule="exact"/>
              <w:ind w:left="458"/>
              <w:rPr>
                <w:sz w:val="21"/>
              </w:rPr>
            </w:pPr>
            <w:r>
              <w:rPr>
                <w:spacing w:val="-1"/>
                <w:sz w:val="21"/>
              </w:rPr>
              <w:t>6.3710</w:t>
            </w:r>
            <w:r>
              <w:rPr>
                <w:spacing w:val="-35"/>
                <w:sz w:val="21"/>
              </w:rPr>
              <w:t> 至 </w:t>
            </w:r>
            <w:r>
              <w:rPr>
                <w:sz w:val="21"/>
              </w:rPr>
              <w:t>7.1860 </w:t>
            </w:r>
          </w:p>
        </w:tc>
      </w:tr>
    </w:tbl>
    <w:p>
      <w:pPr>
        <w:pStyle w:val="BodyText"/>
        <w:ind w:left="0"/>
        <w:rPr>
          <w:sz w:val="26"/>
        </w:rPr>
      </w:pPr>
    </w:p>
    <w:tbl>
      <w:tblPr>
        <w:tblW w:w="0" w:type="auto"/>
        <w:jc w:val="left"/>
        <w:tblInd w:w="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8"/>
        <w:gridCol w:w="8632"/>
      </w:tblGrid>
      <w:tr>
        <w:trPr>
          <w:trHeight w:val="5421" w:hRule="atLeast"/>
        </w:trPr>
        <w:tc>
          <w:tcPr>
            <w:tcW w:w="768" w:type="dxa"/>
          </w:tcPr>
          <w:p>
            <w:pPr>
              <w:pStyle w:val="TableParagraph"/>
              <w:spacing w:line="241" w:lineRule="exact"/>
              <w:ind w:right="140"/>
              <w:jc w:val="center"/>
              <w:rPr>
                <w:sz w:val="21"/>
              </w:rPr>
            </w:pPr>
            <w:r>
              <w:rPr>
                <w:w w:val="100"/>
                <w:sz w:val="21"/>
              </w:rPr>
              <w:t> </w:t>
            </w:r>
          </w:p>
        </w:tc>
        <w:tc>
          <w:tcPr>
            <w:tcW w:w="8632" w:type="dxa"/>
          </w:tcPr>
          <w:p>
            <w:pPr>
              <w:pStyle w:val="TableParagraph"/>
              <w:spacing w:line="241" w:lineRule="exact"/>
              <w:ind w:left="233"/>
              <w:jc w:val="both"/>
              <w:rPr>
                <w:sz w:val="21"/>
              </w:rPr>
            </w:pPr>
            <w:r>
              <w:rPr>
                <w:spacing w:val="-27"/>
                <w:sz w:val="21"/>
              </w:rPr>
              <w:t>于 </w:t>
            </w:r>
            <w:r>
              <w:rPr>
                <w:spacing w:val="-1"/>
                <w:sz w:val="21"/>
              </w:rPr>
              <w:t>2022</w:t>
            </w:r>
            <w:r>
              <w:rPr>
                <w:spacing w:val="-8"/>
                <w:sz w:val="21"/>
              </w:rPr>
              <w:t> 年度，本集团为管理外汇风险，将未来极可能发生的预期交易，及该预期交易产</w:t>
            </w:r>
          </w:p>
          <w:p>
            <w:pPr>
              <w:pStyle w:val="TableParagraph"/>
              <w:spacing w:line="242" w:lineRule="auto" w:before="2"/>
              <w:ind w:left="233" w:right="199"/>
              <w:jc w:val="both"/>
              <w:rPr>
                <w:sz w:val="21"/>
              </w:rPr>
            </w:pPr>
            <w:r>
              <w:rPr>
                <w:sz w:val="21"/>
              </w:rPr>
              <w:t>生的美元预期应收账款指定为被套期项目，将上述购入的远期外汇合约的即期要素的价值变动指定为现金流量套期的套期工具，将远期外汇合约的远期要素的公允价值变动中与被套期项目相关部分计入其他综合收益，并在相应期间内摊销计入当期损益。套期工具和被套期项目之间存在经济关系，该等远期外汇合约与对应以美元计价的金融资产的币种、金额等主要条款相匹配。套期工具和被套期项目的币种是一一对应的，因此本集团的套期比</w:t>
            </w:r>
            <w:r>
              <w:rPr>
                <w:spacing w:val="-18"/>
                <w:sz w:val="21"/>
              </w:rPr>
              <w:t>率是 </w:t>
            </w:r>
            <w:r>
              <w:rPr>
                <w:sz w:val="21"/>
              </w:rPr>
              <w:t>1：1。 </w:t>
            </w:r>
          </w:p>
          <w:p>
            <w:pPr>
              <w:pStyle w:val="TableParagraph"/>
              <w:spacing w:before="4"/>
              <w:ind w:left="233"/>
              <w:rPr>
                <w:sz w:val="21"/>
              </w:rPr>
            </w:pPr>
            <w:r>
              <w:rPr>
                <w:w w:val="100"/>
                <w:sz w:val="21"/>
              </w:rPr>
              <w:t> </w:t>
            </w:r>
          </w:p>
          <w:p>
            <w:pPr>
              <w:pStyle w:val="TableParagraph"/>
              <w:spacing w:line="242" w:lineRule="auto" w:before="4"/>
              <w:ind w:left="233" w:right="198"/>
              <w:jc w:val="both"/>
              <w:rPr>
                <w:sz w:val="21"/>
              </w:rPr>
            </w:pPr>
            <w:r>
              <w:rPr>
                <w:spacing w:val="-27"/>
                <w:sz w:val="21"/>
              </w:rPr>
              <w:t>于 </w:t>
            </w:r>
            <w:r>
              <w:rPr>
                <w:spacing w:val="-1"/>
                <w:sz w:val="21"/>
              </w:rPr>
              <w:t>2022</w:t>
            </w:r>
            <w:r>
              <w:rPr>
                <w:spacing w:val="-8"/>
                <w:sz w:val="21"/>
              </w:rPr>
              <w:t> 年度，作为现金流量套期工具的远期外汇合约，其即期要素的公允价值变动中的</w:t>
            </w:r>
            <w:r>
              <w:rPr>
                <w:spacing w:val="-1"/>
                <w:sz w:val="21"/>
              </w:rPr>
              <w:t>有效部分-</w:t>
            </w:r>
            <w:r>
              <w:rPr>
                <w:sz w:val="21"/>
              </w:rPr>
              <w:t>403,433</w:t>
            </w:r>
            <w:r>
              <w:rPr>
                <w:spacing w:val="-8"/>
                <w:sz w:val="21"/>
              </w:rPr>
              <w:t> 千元计入其他综合收益，即期要素在套期关系影响损益的期间自其他</w:t>
            </w:r>
            <w:r>
              <w:rPr>
                <w:spacing w:val="-5"/>
                <w:sz w:val="21"/>
              </w:rPr>
              <w:t>综合收益转入主营业务收入 </w:t>
            </w:r>
            <w:r>
              <w:rPr>
                <w:sz w:val="21"/>
              </w:rPr>
              <w:t>280,973</w:t>
            </w:r>
            <w:r>
              <w:rPr>
                <w:spacing w:val="-6"/>
                <w:sz w:val="21"/>
              </w:rPr>
              <w:t> 千元，转入财务费用 </w:t>
            </w:r>
            <w:r>
              <w:rPr>
                <w:sz w:val="21"/>
              </w:rPr>
              <w:t>116,154 千元，用于抵消被套</w:t>
            </w:r>
            <w:r>
              <w:rPr>
                <w:spacing w:val="-1"/>
                <w:sz w:val="21"/>
              </w:rPr>
              <w:t>期项目对当期损益的影响(</w:t>
            </w:r>
            <w:r>
              <w:rPr>
                <w:sz w:val="21"/>
              </w:rPr>
              <w:t>2021</w:t>
            </w:r>
            <w:r>
              <w:rPr>
                <w:spacing w:val="-8"/>
                <w:sz w:val="21"/>
              </w:rPr>
              <w:t> 年度：作为现金流量套期工具的远期外汇合约，其即期要</w:t>
            </w:r>
            <w:r>
              <w:rPr>
                <w:spacing w:val="-5"/>
                <w:sz w:val="21"/>
              </w:rPr>
              <w:t>素的公允价值变动中的有效部分 </w:t>
            </w:r>
            <w:r>
              <w:rPr>
                <w:sz w:val="21"/>
              </w:rPr>
              <w:t>142,961</w:t>
            </w:r>
            <w:r>
              <w:rPr>
                <w:spacing w:val="-8"/>
                <w:sz w:val="21"/>
              </w:rPr>
              <w:t> 千元计入其他综合收益，即期要素在套期关系影</w:t>
            </w:r>
          </w:p>
          <w:p>
            <w:pPr>
              <w:pStyle w:val="TableParagraph"/>
              <w:spacing w:line="242" w:lineRule="auto" w:before="3"/>
              <w:ind w:left="233" w:right="199"/>
              <w:rPr>
                <w:sz w:val="21"/>
              </w:rPr>
            </w:pPr>
            <w:r>
              <w:rPr>
                <w:spacing w:val="-4"/>
                <w:sz w:val="21"/>
              </w:rPr>
              <w:t>响损益的期间自其他综合收益转入主营业务收入 </w:t>
            </w:r>
            <w:r>
              <w:rPr>
                <w:sz w:val="21"/>
              </w:rPr>
              <w:t>51,245</w:t>
            </w:r>
            <w:r>
              <w:rPr>
                <w:spacing w:val="-12"/>
                <w:sz w:val="21"/>
              </w:rPr>
              <w:t> 千元，转入财务费用 </w:t>
            </w:r>
            <w:r>
              <w:rPr>
                <w:sz w:val="21"/>
              </w:rPr>
              <w:t>85,410</w:t>
            </w:r>
            <w:r>
              <w:rPr>
                <w:spacing w:val="-17"/>
                <w:sz w:val="21"/>
              </w:rPr>
              <w:t> 千元</w:t>
            </w:r>
            <w:r>
              <w:rPr>
                <w:spacing w:val="-3"/>
                <w:sz w:val="21"/>
              </w:rPr>
              <w:t>，用于抵消被套期项目对当期损益的影响)；远期要素的公允价值变动部分 </w:t>
            </w:r>
            <w:r>
              <w:rPr>
                <w:sz w:val="21"/>
              </w:rPr>
              <w:t>164,553</w:t>
            </w:r>
            <w:r>
              <w:rPr>
                <w:spacing w:val="-1"/>
                <w:sz w:val="21"/>
              </w:rPr>
              <w:t> 千元计入其他综合收益，远期要素在套期关系影响损益的期间自其他综合收益转入主营业务成本-65,581</w:t>
            </w:r>
            <w:r>
              <w:rPr>
                <w:spacing w:val="-8"/>
                <w:sz w:val="21"/>
              </w:rPr>
              <w:t> 千元，转入财务费用-</w:t>
            </w:r>
            <w:r>
              <w:rPr>
                <w:sz w:val="21"/>
              </w:rPr>
              <w:t>145,730</w:t>
            </w:r>
            <w:r>
              <w:rPr>
                <w:spacing w:val="-18"/>
                <w:sz w:val="21"/>
              </w:rPr>
              <w:t> 千元</w:t>
            </w:r>
            <w:r>
              <w:rPr>
                <w:sz w:val="21"/>
              </w:rPr>
              <w:t>(2021</w:t>
            </w:r>
            <w:r>
              <w:rPr>
                <w:spacing w:val="-8"/>
                <w:sz w:val="21"/>
              </w:rPr>
              <w:t> 年度：远期要素的公允价值变动部分</w:t>
            </w:r>
            <w:r>
              <w:rPr>
                <w:spacing w:val="-50"/>
                <w:sz w:val="21"/>
              </w:rPr>
              <w:t> </w:t>
            </w:r>
            <w:r>
              <w:rPr>
                <w:spacing w:val="-1"/>
                <w:sz w:val="21"/>
              </w:rPr>
              <w:t>363,481</w:t>
            </w:r>
            <w:r>
              <w:rPr>
                <w:spacing w:val="-8"/>
                <w:sz w:val="21"/>
              </w:rPr>
              <w:t> 千元计入其他综合收益，远期要素在套期关系影响损益的期间自其他综合收益</w:t>
            </w:r>
          </w:p>
          <w:p>
            <w:pPr>
              <w:pStyle w:val="TableParagraph"/>
              <w:spacing w:before="2"/>
              <w:ind w:left="233"/>
              <w:rPr>
                <w:sz w:val="21"/>
              </w:rPr>
            </w:pPr>
            <w:r>
              <w:rPr>
                <w:spacing w:val="-7"/>
                <w:sz w:val="21"/>
              </w:rPr>
              <w:t>转入主营业务成本 </w:t>
            </w:r>
            <w:r>
              <w:rPr>
                <w:spacing w:val="-1"/>
                <w:sz w:val="21"/>
              </w:rPr>
              <w:t>175,797</w:t>
            </w:r>
            <w:r>
              <w:rPr>
                <w:spacing w:val="-12"/>
                <w:sz w:val="21"/>
              </w:rPr>
              <w:t> 千元，转入财务费用 </w:t>
            </w:r>
            <w:r>
              <w:rPr>
                <w:sz w:val="21"/>
              </w:rPr>
              <w:t>140,926</w:t>
            </w:r>
            <w:r>
              <w:rPr>
                <w:spacing w:val="-12"/>
                <w:sz w:val="21"/>
              </w:rPr>
              <w:t> 千元)。</w:t>
            </w:r>
            <w:r>
              <w:rPr>
                <w:sz w:val="21"/>
              </w:rPr>
              <w:t> </w:t>
            </w:r>
          </w:p>
          <w:p>
            <w:pPr>
              <w:pStyle w:val="TableParagraph"/>
              <w:spacing w:line="255" w:lineRule="exact" w:before="4"/>
              <w:ind w:left="233"/>
              <w:rPr>
                <w:sz w:val="21"/>
              </w:rPr>
            </w:pPr>
            <w:r>
              <w:rPr>
                <w:w w:val="100"/>
                <w:sz w:val="21"/>
              </w:rPr>
              <w:t> </w:t>
            </w:r>
          </w:p>
        </w:tc>
      </w:tr>
      <w:tr>
        <w:trPr>
          <w:trHeight w:val="277" w:hRule="atLeast"/>
        </w:trPr>
        <w:tc>
          <w:tcPr>
            <w:tcW w:w="768" w:type="dxa"/>
          </w:tcPr>
          <w:p>
            <w:pPr>
              <w:pStyle w:val="TableParagraph"/>
              <w:spacing w:line="248" w:lineRule="exact" w:before="8"/>
              <w:ind w:left="90" w:right="39"/>
              <w:jc w:val="center"/>
              <w:rPr>
                <w:sz w:val="21"/>
              </w:rPr>
            </w:pPr>
            <w:r>
              <w:rPr>
                <w:sz w:val="21"/>
              </w:rPr>
              <w:t>(b) </w:t>
            </w:r>
          </w:p>
        </w:tc>
        <w:tc>
          <w:tcPr>
            <w:tcW w:w="8632" w:type="dxa"/>
          </w:tcPr>
          <w:p>
            <w:pPr>
              <w:pStyle w:val="TableParagraph"/>
              <w:spacing w:line="251" w:lineRule="exact" w:before="6"/>
              <w:ind w:left="163"/>
              <w:rPr>
                <w:sz w:val="21"/>
              </w:rPr>
            </w:pPr>
            <w:r>
              <w:rPr>
                <w:spacing w:val="-1"/>
                <w:sz w:val="21"/>
              </w:rPr>
              <w:t>远期外汇合约- 非套期工具</w:t>
            </w:r>
            <w:r>
              <w:rPr>
                <w:sz w:val="21"/>
              </w:rPr>
              <w:t> </w:t>
            </w:r>
          </w:p>
        </w:tc>
      </w:tr>
      <w:tr>
        <w:trPr>
          <w:trHeight w:val="271" w:hRule="atLeast"/>
        </w:trPr>
        <w:tc>
          <w:tcPr>
            <w:tcW w:w="768" w:type="dxa"/>
          </w:tcPr>
          <w:p>
            <w:pPr>
              <w:pStyle w:val="TableParagraph"/>
              <w:spacing w:line="251" w:lineRule="exact"/>
              <w:ind w:right="39"/>
              <w:jc w:val="center"/>
              <w:rPr>
                <w:sz w:val="21"/>
              </w:rPr>
            </w:pPr>
            <w:r>
              <w:rPr>
                <w:w w:val="100"/>
                <w:sz w:val="21"/>
              </w:rPr>
              <w:t> </w:t>
            </w:r>
            <w:r>
              <w:rPr>
                <w:sz w:val="21"/>
              </w:rPr>
              <w:t> </w:t>
            </w:r>
            <w:r>
              <w:rPr>
                <w:w w:val="100"/>
                <w:sz w:val="21"/>
              </w:rPr>
              <w:t> </w:t>
            </w:r>
          </w:p>
        </w:tc>
        <w:tc>
          <w:tcPr>
            <w:tcW w:w="8632" w:type="dxa"/>
          </w:tcPr>
          <w:p>
            <w:pPr>
              <w:pStyle w:val="TableParagraph"/>
              <w:spacing w:line="251" w:lineRule="exact"/>
              <w:ind w:left="147"/>
              <w:rPr>
                <w:sz w:val="21"/>
              </w:rPr>
            </w:pPr>
            <w:r>
              <w:rPr>
                <w:w w:val="100"/>
                <w:sz w:val="21"/>
              </w:rPr>
              <w:t> </w:t>
            </w:r>
            <w:r>
              <w:rPr>
                <w:sz w:val="21"/>
              </w:rPr>
              <w:t> </w:t>
            </w:r>
            <w:r>
              <w:rPr>
                <w:w w:val="100"/>
                <w:sz w:val="21"/>
              </w:rPr>
              <w:t> </w:t>
            </w:r>
          </w:p>
        </w:tc>
      </w:tr>
      <w:tr>
        <w:trPr>
          <w:trHeight w:val="3509" w:hRule="atLeast"/>
        </w:trPr>
        <w:tc>
          <w:tcPr>
            <w:tcW w:w="768" w:type="dxa"/>
          </w:tcPr>
          <w:p>
            <w:pPr>
              <w:pStyle w:val="TableParagraph"/>
              <w:spacing w:before="2"/>
              <w:ind w:right="39"/>
              <w:jc w:val="center"/>
              <w:rPr>
                <w:sz w:val="21"/>
              </w:rPr>
            </w:pPr>
            <w:r>
              <w:rPr>
                <w:w w:val="100"/>
                <w:sz w:val="21"/>
              </w:rPr>
              <w:t> </w:t>
            </w:r>
            <w:r>
              <w:rPr>
                <w:sz w:val="21"/>
              </w:rPr>
              <w:t> </w:t>
            </w:r>
            <w:r>
              <w:rPr>
                <w:w w:val="100"/>
                <w:sz w:val="21"/>
              </w:rPr>
              <w:t> </w:t>
            </w:r>
          </w:p>
        </w:tc>
        <w:tc>
          <w:tcPr>
            <w:tcW w:w="8632" w:type="dxa"/>
          </w:tcPr>
          <w:p>
            <w:pPr>
              <w:pStyle w:val="TableParagraph"/>
              <w:spacing w:before="2"/>
              <w:ind w:left="163"/>
              <w:rPr>
                <w:sz w:val="21"/>
              </w:rPr>
            </w:pPr>
            <w:r>
              <w:rPr>
                <w:spacing w:val="-27"/>
                <w:sz w:val="21"/>
              </w:rPr>
              <w:t>于 </w:t>
            </w:r>
            <w:r>
              <w:rPr>
                <w:sz w:val="21"/>
              </w:rPr>
              <w:t>2022</w:t>
            </w:r>
            <w:r>
              <w:rPr>
                <w:spacing w:val="-37"/>
                <w:sz w:val="21"/>
              </w:rPr>
              <w:t> 年 </w:t>
            </w:r>
            <w:r>
              <w:rPr>
                <w:sz w:val="21"/>
              </w:rPr>
              <w:t>12</w:t>
            </w:r>
            <w:r>
              <w:rPr>
                <w:spacing w:val="-36"/>
                <w:sz w:val="21"/>
              </w:rPr>
              <w:t> 月 </w:t>
            </w:r>
            <w:r>
              <w:rPr>
                <w:sz w:val="21"/>
              </w:rPr>
              <w:t>31</w:t>
            </w:r>
            <w:r>
              <w:rPr>
                <w:spacing w:val="-8"/>
                <w:sz w:val="21"/>
              </w:rPr>
              <w:t> 日，衍生金融资产主要为本集团持有的远期外汇合约，其名义金额</w:t>
            </w:r>
          </w:p>
          <w:p>
            <w:pPr>
              <w:pStyle w:val="TableParagraph"/>
              <w:spacing w:line="242" w:lineRule="auto" w:before="3"/>
              <w:ind w:left="163" w:right="585"/>
              <w:rPr>
                <w:sz w:val="21"/>
              </w:rPr>
            </w:pPr>
            <w:r>
              <w:rPr>
                <w:spacing w:val="-13"/>
                <w:sz w:val="21"/>
              </w:rPr>
              <w:t>为美元 </w:t>
            </w:r>
            <w:r>
              <w:rPr>
                <w:sz w:val="21"/>
              </w:rPr>
              <w:t>800,000</w:t>
            </w:r>
            <w:r>
              <w:rPr>
                <w:spacing w:val="-12"/>
                <w:sz w:val="21"/>
              </w:rPr>
              <w:t> 千元，到期日范围为 </w:t>
            </w:r>
            <w:r>
              <w:rPr>
                <w:sz w:val="21"/>
              </w:rPr>
              <w:t>2023</w:t>
            </w:r>
            <w:r>
              <w:rPr>
                <w:spacing w:val="-35"/>
                <w:sz w:val="21"/>
              </w:rPr>
              <w:t> 年 </w:t>
            </w:r>
            <w:r>
              <w:rPr>
                <w:sz w:val="21"/>
              </w:rPr>
              <w:t>1</w:t>
            </w:r>
            <w:r>
              <w:rPr>
                <w:spacing w:val="-36"/>
                <w:sz w:val="21"/>
              </w:rPr>
              <w:t> 月 </w:t>
            </w:r>
            <w:r>
              <w:rPr>
                <w:sz w:val="21"/>
              </w:rPr>
              <w:t>6</w:t>
            </w:r>
            <w:r>
              <w:rPr>
                <w:spacing w:val="-27"/>
                <w:sz w:val="21"/>
              </w:rPr>
              <w:t> 日到 </w:t>
            </w:r>
            <w:r>
              <w:rPr>
                <w:sz w:val="21"/>
              </w:rPr>
              <w:t>2</w:t>
            </w:r>
            <w:r>
              <w:rPr>
                <w:spacing w:val="-35"/>
                <w:sz w:val="21"/>
              </w:rPr>
              <w:t> 月 </w:t>
            </w:r>
            <w:r>
              <w:rPr>
                <w:sz w:val="21"/>
              </w:rPr>
              <w:t>13</w:t>
            </w:r>
            <w:r>
              <w:rPr>
                <w:spacing w:val="-18"/>
                <w:sz w:val="21"/>
              </w:rPr>
              <w:t> 日(</w:t>
            </w:r>
            <w:r>
              <w:rPr>
                <w:sz w:val="21"/>
              </w:rPr>
              <w:t>2021 年 12 月 31</w:t>
            </w:r>
            <w:r>
              <w:rPr>
                <w:spacing w:val="-102"/>
                <w:sz w:val="21"/>
              </w:rPr>
              <w:t> </w:t>
            </w:r>
            <w:r>
              <w:rPr>
                <w:sz w:val="21"/>
              </w:rPr>
              <w:t>日：无)。远期外汇合约包括根据合约确定的远期汇率与到期实际即期汇率之间的差额以净额进行结算的无本金远期外汇交易合约，以及根据合同约定未来某一时间交割一定外汇的远期购汇合约。本集团按照外汇市场公开报价折算到现值确定其公允价</w:t>
            </w:r>
          </w:p>
          <w:p>
            <w:pPr>
              <w:pStyle w:val="TableParagraph"/>
              <w:spacing w:before="3"/>
              <w:ind w:left="163"/>
              <w:rPr>
                <w:sz w:val="21"/>
              </w:rPr>
            </w:pPr>
            <w:r>
              <w:rPr>
                <w:sz w:val="21"/>
              </w:rPr>
              <w:t>值。 </w:t>
            </w:r>
            <w:r>
              <w:rPr>
                <w:spacing w:val="-2"/>
                <w:sz w:val="21"/>
              </w:rPr>
              <w:t> </w:t>
            </w:r>
            <w:r>
              <w:rPr>
                <w:w w:val="100"/>
                <w:sz w:val="21"/>
              </w:rPr>
              <w:t> </w:t>
            </w:r>
          </w:p>
          <w:p>
            <w:pPr>
              <w:pStyle w:val="TableParagraph"/>
              <w:spacing w:before="2"/>
              <w:ind w:left="163"/>
              <w:rPr>
                <w:sz w:val="21"/>
              </w:rPr>
            </w:pPr>
            <w:r>
              <w:rPr>
                <w:w w:val="100"/>
                <w:sz w:val="21"/>
              </w:rPr>
              <w:t> </w:t>
            </w:r>
          </w:p>
          <w:p>
            <w:pPr>
              <w:pStyle w:val="TableParagraph"/>
              <w:spacing w:before="4"/>
              <w:ind w:left="163"/>
              <w:rPr>
                <w:sz w:val="21"/>
              </w:rPr>
            </w:pPr>
            <w:r>
              <w:rPr>
                <w:spacing w:val="-27"/>
                <w:sz w:val="21"/>
              </w:rPr>
              <w:t>于 </w:t>
            </w:r>
            <w:r>
              <w:rPr>
                <w:sz w:val="21"/>
              </w:rPr>
              <w:t>2022</w:t>
            </w:r>
            <w:r>
              <w:rPr>
                <w:spacing w:val="-37"/>
                <w:sz w:val="21"/>
              </w:rPr>
              <w:t> 年 </w:t>
            </w:r>
            <w:r>
              <w:rPr>
                <w:sz w:val="21"/>
              </w:rPr>
              <w:t>12</w:t>
            </w:r>
            <w:r>
              <w:rPr>
                <w:spacing w:val="-36"/>
                <w:sz w:val="21"/>
              </w:rPr>
              <w:t> 月 </w:t>
            </w:r>
            <w:r>
              <w:rPr>
                <w:sz w:val="21"/>
              </w:rPr>
              <w:t>31</w:t>
            </w:r>
            <w:r>
              <w:rPr>
                <w:spacing w:val="-8"/>
                <w:sz w:val="21"/>
              </w:rPr>
              <w:t> 日，衍生金融负债主要为本集团持有的远期外汇合约，其名义金额</w:t>
            </w:r>
          </w:p>
          <w:p>
            <w:pPr>
              <w:pStyle w:val="TableParagraph"/>
              <w:spacing w:before="2"/>
              <w:ind w:left="163"/>
              <w:rPr>
                <w:sz w:val="21"/>
              </w:rPr>
            </w:pPr>
            <w:r>
              <w:rPr>
                <w:spacing w:val="-14"/>
                <w:sz w:val="21"/>
              </w:rPr>
              <w:t>为美元 </w:t>
            </w:r>
            <w:r>
              <w:rPr>
                <w:sz w:val="21"/>
              </w:rPr>
              <w:t>1,545,000</w:t>
            </w:r>
            <w:r>
              <w:rPr>
                <w:spacing w:val="-13"/>
                <w:sz w:val="21"/>
              </w:rPr>
              <w:t> 千元，到期日范围为 </w:t>
            </w:r>
            <w:r>
              <w:rPr>
                <w:sz w:val="21"/>
              </w:rPr>
              <w:t>2023</w:t>
            </w:r>
            <w:r>
              <w:rPr>
                <w:spacing w:val="-36"/>
                <w:sz w:val="21"/>
              </w:rPr>
              <w:t> 年 </w:t>
            </w:r>
            <w:r>
              <w:rPr>
                <w:sz w:val="21"/>
              </w:rPr>
              <w:t>1</w:t>
            </w:r>
            <w:r>
              <w:rPr>
                <w:spacing w:val="-36"/>
                <w:sz w:val="21"/>
              </w:rPr>
              <w:t> 月 </w:t>
            </w:r>
            <w:r>
              <w:rPr>
                <w:sz w:val="21"/>
              </w:rPr>
              <w:t>11</w:t>
            </w:r>
            <w:r>
              <w:rPr>
                <w:spacing w:val="-27"/>
                <w:sz w:val="21"/>
              </w:rPr>
              <w:t> 日到 </w:t>
            </w:r>
            <w:r>
              <w:rPr>
                <w:sz w:val="21"/>
              </w:rPr>
              <w:t>2023</w:t>
            </w:r>
            <w:r>
              <w:rPr>
                <w:spacing w:val="-36"/>
                <w:sz w:val="21"/>
              </w:rPr>
              <w:t> 年 </w:t>
            </w:r>
            <w:r>
              <w:rPr>
                <w:sz w:val="21"/>
              </w:rPr>
              <w:t>2</w:t>
            </w:r>
            <w:r>
              <w:rPr>
                <w:spacing w:val="-36"/>
                <w:sz w:val="21"/>
              </w:rPr>
              <w:t> 月 </w:t>
            </w:r>
            <w:r>
              <w:rPr>
                <w:sz w:val="21"/>
              </w:rPr>
              <w:t>24</w:t>
            </w:r>
            <w:r>
              <w:rPr>
                <w:spacing w:val="-28"/>
                <w:sz w:val="21"/>
              </w:rPr>
              <w:t> 日</w:t>
            </w:r>
            <w:r>
              <w:rPr>
                <w:sz w:val="21"/>
              </w:rPr>
              <w:t>(2021</w:t>
            </w:r>
          </w:p>
          <w:p>
            <w:pPr>
              <w:pStyle w:val="TableParagraph"/>
              <w:spacing w:line="242" w:lineRule="auto" w:before="5"/>
              <w:ind w:left="163" w:right="640"/>
              <w:jc w:val="both"/>
              <w:rPr>
                <w:sz w:val="21"/>
              </w:rPr>
            </w:pPr>
            <w:r>
              <w:rPr>
                <w:spacing w:val="-27"/>
                <w:sz w:val="21"/>
              </w:rPr>
              <w:t>年 </w:t>
            </w:r>
            <w:r>
              <w:rPr>
                <w:sz w:val="21"/>
              </w:rPr>
              <w:t>12</w:t>
            </w:r>
            <w:r>
              <w:rPr>
                <w:spacing w:val="-37"/>
                <w:sz w:val="21"/>
              </w:rPr>
              <w:t> 月 </w:t>
            </w:r>
            <w:r>
              <w:rPr>
                <w:sz w:val="21"/>
              </w:rPr>
              <w:t>31</w:t>
            </w:r>
            <w:r>
              <w:rPr>
                <w:spacing w:val="-19"/>
                <w:sz w:val="21"/>
              </w:rPr>
              <w:t> 日：美元 </w:t>
            </w:r>
            <w:r>
              <w:rPr>
                <w:sz w:val="21"/>
              </w:rPr>
              <w:t>150,000</w:t>
            </w:r>
            <w:r>
              <w:rPr>
                <w:spacing w:val="-14"/>
                <w:sz w:val="21"/>
              </w:rPr>
              <w:t> 千元，</w:t>
            </w:r>
            <w:r>
              <w:rPr>
                <w:sz w:val="21"/>
              </w:rPr>
              <w:t>2022</w:t>
            </w:r>
            <w:r>
              <w:rPr>
                <w:spacing w:val="-37"/>
                <w:sz w:val="21"/>
              </w:rPr>
              <w:t> 年 </w:t>
            </w:r>
            <w:r>
              <w:rPr>
                <w:sz w:val="21"/>
              </w:rPr>
              <w:t>1</w:t>
            </w:r>
            <w:r>
              <w:rPr>
                <w:spacing w:val="-36"/>
                <w:sz w:val="21"/>
              </w:rPr>
              <w:t> 月 </w:t>
            </w:r>
            <w:r>
              <w:rPr>
                <w:sz w:val="21"/>
              </w:rPr>
              <w:t>21</w:t>
            </w:r>
            <w:r>
              <w:rPr>
                <w:spacing w:val="-8"/>
                <w:sz w:val="21"/>
              </w:rPr>
              <w:t> 日)。远期外汇合约包括根据合约</w:t>
            </w:r>
            <w:r>
              <w:rPr>
                <w:sz w:val="21"/>
              </w:rPr>
              <w:t>确定的远期汇率与到期实际即期汇率之间的差额以净额进行结算的无本金远期外汇交易合约，以及根据合同约定未来某一时间交割一定外汇的远期购汇合约。本集团按照</w:t>
            </w:r>
          </w:p>
          <w:p>
            <w:pPr>
              <w:pStyle w:val="TableParagraph"/>
              <w:spacing w:line="220" w:lineRule="exact" w:before="1"/>
              <w:ind w:left="163"/>
              <w:rPr>
                <w:sz w:val="21"/>
              </w:rPr>
            </w:pPr>
            <w:r>
              <w:rPr>
                <w:spacing w:val="-1"/>
                <w:sz w:val="21"/>
              </w:rPr>
              <w:t>外汇市场公开报价折算到现值确定其公允价值。</w:t>
            </w:r>
            <w:r>
              <w:rPr>
                <w:sz w:val="21"/>
              </w:rPr>
              <w:t> </w:t>
            </w:r>
          </w:p>
        </w:tc>
      </w:tr>
    </w:tbl>
    <w:p>
      <w:pPr>
        <w:pStyle w:val="BodyText"/>
        <w:spacing w:before="34"/>
      </w:pPr>
      <w:r>
        <w:rPr>
          <w:w w:val="100"/>
        </w:rPr>
        <w:t> </w:t>
      </w:r>
    </w:p>
    <w:p>
      <w:pPr>
        <w:pStyle w:val="BodyText"/>
        <w:spacing w:before="62"/>
      </w:pPr>
      <w:r>
        <w:rPr/>
        <w:t>4、 应收票据 </w:t>
      </w:r>
    </w:p>
    <w:p>
      <w:pPr>
        <w:pStyle w:val="ListParagraph"/>
        <w:numPr>
          <w:ilvl w:val="0"/>
          <w:numId w:val="59"/>
        </w:numPr>
        <w:tabs>
          <w:tab w:pos="742" w:val="left" w:leader="none"/>
        </w:tabs>
        <w:spacing w:line="240" w:lineRule="auto" w:before="65" w:after="0"/>
        <w:ind w:left="741" w:right="0" w:hanging="424"/>
        <w:jc w:val="left"/>
        <w:rPr>
          <w:sz w:val="21"/>
        </w:rPr>
      </w:pPr>
      <w:r>
        <w:rPr>
          <w:sz w:val="21"/>
        </w:rPr>
        <w:t>应收票据分类列示 </w:t>
      </w:r>
    </w:p>
    <w:p>
      <w:pPr>
        <w:pStyle w:val="BodyText"/>
        <w:spacing w:before="62"/>
      </w:pPr>
      <w:r>
        <w:rPr>
          <w:spacing w:val="-1"/>
        </w:rPr>
        <w:t>□适用 √不适用</w:t>
      </w:r>
      <w:r>
        <w:rPr>
          <w:spacing w:val="-3"/>
        </w:rPr>
        <w:t> </w:t>
      </w:r>
      <w:r>
        <w:rPr/>
        <w:t> </w:t>
      </w:r>
    </w:p>
    <w:p>
      <w:pPr>
        <w:pStyle w:val="BodyText"/>
        <w:spacing w:before="5"/>
      </w:pPr>
      <w:r>
        <w:rPr>
          <w:w w:val="100"/>
        </w:rPr>
        <w:t> </w:t>
      </w:r>
    </w:p>
    <w:p>
      <w:pPr>
        <w:pStyle w:val="ListParagraph"/>
        <w:numPr>
          <w:ilvl w:val="0"/>
          <w:numId w:val="59"/>
        </w:numPr>
        <w:tabs>
          <w:tab w:pos="742" w:val="left" w:leader="none"/>
        </w:tabs>
        <w:spacing w:line="240" w:lineRule="auto" w:before="62" w:after="0"/>
        <w:ind w:left="741" w:right="0" w:hanging="424"/>
        <w:jc w:val="left"/>
        <w:rPr>
          <w:sz w:val="21"/>
        </w:rPr>
      </w:pPr>
      <w:r>
        <w:rPr>
          <w:sz w:val="21"/>
        </w:rPr>
        <w:t>期末公司已质押的应收票据 </w:t>
      </w:r>
    </w:p>
    <w:p>
      <w:pPr>
        <w:pStyle w:val="BodyText"/>
        <w:spacing w:before="64"/>
      </w:pPr>
      <w:r>
        <w:rPr>
          <w:spacing w:val="-1"/>
        </w:rPr>
        <w:t>□适用 √不适用</w:t>
      </w:r>
      <w:r>
        <w:rPr>
          <w:spacing w:val="-3"/>
        </w:rPr>
        <w:t> </w:t>
      </w:r>
      <w:r>
        <w:rPr/>
        <w:t> </w:t>
      </w:r>
    </w:p>
    <w:p>
      <w:pPr>
        <w:pStyle w:val="BodyText"/>
        <w:spacing w:before="2"/>
      </w:pPr>
      <w:r>
        <w:rPr>
          <w:w w:val="100"/>
        </w:rPr>
        <w:t> </w:t>
      </w:r>
    </w:p>
    <w:p>
      <w:pPr>
        <w:pStyle w:val="ListParagraph"/>
        <w:numPr>
          <w:ilvl w:val="0"/>
          <w:numId w:val="59"/>
        </w:numPr>
        <w:tabs>
          <w:tab w:pos="742" w:val="left" w:leader="none"/>
        </w:tabs>
        <w:spacing w:line="240" w:lineRule="auto" w:before="65" w:after="0"/>
        <w:ind w:left="741" w:right="0" w:hanging="424"/>
        <w:jc w:val="left"/>
        <w:rPr>
          <w:sz w:val="21"/>
        </w:rPr>
      </w:pPr>
      <w:r>
        <w:rPr>
          <w:sz w:val="21"/>
        </w:rPr>
        <w:t>期末公司已背书或贴现且在资产负债表日尚未到期的应收票据 </w:t>
      </w:r>
    </w:p>
    <w:p>
      <w:pPr>
        <w:pStyle w:val="BodyText"/>
        <w:spacing w:before="62"/>
      </w:pPr>
      <w:r>
        <w:rPr>
          <w:spacing w:val="-1"/>
        </w:rPr>
        <w:t>□适用 √不适用</w:t>
      </w:r>
      <w:r>
        <w:rPr/>
        <w:t> </w:t>
      </w:r>
    </w:p>
    <w:p>
      <w:pPr>
        <w:spacing w:after="0"/>
        <w:sectPr>
          <w:pgSz w:w="11910" w:h="16840"/>
          <w:pgMar w:header="882" w:footer="1172" w:top="1120" w:bottom="1380" w:left="1480" w:right="0"/>
        </w:sectPr>
      </w:pPr>
    </w:p>
    <w:p>
      <w:pPr>
        <w:pStyle w:val="BodyText"/>
        <w:spacing w:before="7"/>
        <w:ind w:left="0"/>
        <w:rPr>
          <w:sz w:val="25"/>
        </w:rPr>
      </w:pPr>
    </w:p>
    <w:p>
      <w:pPr>
        <w:pStyle w:val="ListParagraph"/>
        <w:numPr>
          <w:ilvl w:val="0"/>
          <w:numId w:val="59"/>
        </w:numPr>
        <w:tabs>
          <w:tab w:pos="742" w:val="left" w:leader="none"/>
        </w:tabs>
        <w:spacing w:line="240" w:lineRule="auto" w:before="72" w:after="0"/>
        <w:ind w:left="741" w:right="0" w:hanging="424"/>
        <w:jc w:val="left"/>
        <w:rPr>
          <w:sz w:val="21"/>
        </w:rPr>
      </w:pPr>
      <w:r>
        <w:rPr>
          <w:sz w:val="21"/>
        </w:rPr>
        <w:t>期末公司因出票人未履约而将其转应收账款的票据 </w:t>
      </w:r>
    </w:p>
    <w:p>
      <w:pPr>
        <w:pStyle w:val="BodyText"/>
        <w:spacing w:before="65"/>
      </w:pPr>
      <w:r>
        <w:rPr>
          <w:spacing w:val="-1"/>
        </w:rPr>
        <w:t>□适用 √不适用</w:t>
      </w:r>
      <w:r>
        <w:rPr/>
        <w:t> </w:t>
      </w:r>
    </w:p>
    <w:p>
      <w:pPr>
        <w:pStyle w:val="BodyText"/>
        <w:spacing w:before="11"/>
        <w:ind w:left="0"/>
        <w:rPr>
          <w:sz w:val="24"/>
        </w:rPr>
      </w:pPr>
    </w:p>
    <w:p>
      <w:pPr>
        <w:pStyle w:val="ListParagraph"/>
        <w:numPr>
          <w:ilvl w:val="0"/>
          <w:numId w:val="59"/>
        </w:numPr>
        <w:tabs>
          <w:tab w:pos="742" w:val="left" w:leader="none"/>
        </w:tabs>
        <w:spacing w:line="240" w:lineRule="auto" w:before="0" w:after="0"/>
        <w:ind w:left="741" w:right="0" w:hanging="424"/>
        <w:jc w:val="left"/>
        <w:rPr>
          <w:sz w:val="21"/>
        </w:rPr>
      </w:pPr>
      <w:r>
        <w:rPr>
          <w:sz w:val="21"/>
        </w:rPr>
        <w:t>按坏账计提方法分类披露 </w:t>
      </w:r>
    </w:p>
    <w:p>
      <w:pPr>
        <w:pStyle w:val="BodyText"/>
        <w:spacing w:before="65"/>
      </w:pPr>
      <w:r>
        <w:rPr>
          <w:spacing w:val="-1"/>
        </w:rPr>
        <w:t>□适用 √不适用</w:t>
      </w:r>
      <w:r>
        <w:rPr>
          <w:spacing w:val="-3"/>
        </w:rPr>
        <w:t> </w:t>
      </w:r>
      <w:r>
        <w:rPr/>
        <w:t> </w:t>
      </w:r>
    </w:p>
    <w:p>
      <w:pPr>
        <w:pStyle w:val="BodyText"/>
        <w:spacing w:before="2"/>
      </w:pPr>
      <w:r>
        <w:rPr>
          <w:w w:val="100"/>
        </w:rPr>
        <w:t> </w:t>
      </w:r>
    </w:p>
    <w:p>
      <w:pPr>
        <w:pStyle w:val="BodyText"/>
        <w:spacing w:before="5"/>
      </w:pPr>
      <w:r>
        <w:rPr>
          <w:spacing w:val="-1"/>
        </w:rPr>
        <w:t>按单项计提坏账准备：</w:t>
      </w:r>
      <w:r>
        <w:rPr/>
        <w:t> </w:t>
      </w:r>
    </w:p>
    <w:p>
      <w:pPr>
        <w:pStyle w:val="BodyText"/>
        <w:spacing w:before="2"/>
      </w:pPr>
      <w:r>
        <w:rPr>
          <w:spacing w:val="-1"/>
        </w:rPr>
        <w:t>□适用 √不适用</w:t>
      </w:r>
      <w:r>
        <w:rPr>
          <w:spacing w:val="-3"/>
        </w:rPr>
        <w:t> </w:t>
      </w:r>
      <w:r>
        <w:rPr/>
        <w:t> </w:t>
      </w:r>
    </w:p>
    <w:p>
      <w:pPr>
        <w:pStyle w:val="BodyText"/>
        <w:spacing w:before="4"/>
      </w:pPr>
      <w:r>
        <w:rPr>
          <w:w w:val="100"/>
        </w:rPr>
        <w:t> </w:t>
      </w:r>
    </w:p>
    <w:p>
      <w:pPr>
        <w:pStyle w:val="BodyText"/>
        <w:spacing w:before="2"/>
      </w:pPr>
      <w:r>
        <w:rPr>
          <w:w w:val="100"/>
        </w:rPr>
        <w:t> </w:t>
      </w:r>
    </w:p>
    <w:p>
      <w:pPr>
        <w:pStyle w:val="BodyText"/>
        <w:spacing w:before="5"/>
      </w:pPr>
      <w:r>
        <w:rPr/>
        <w:t>按组合计提坏账准备：</w:t>
      </w:r>
    </w:p>
    <w:p>
      <w:pPr>
        <w:pStyle w:val="BodyText"/>
        <w:spacing w:before="2"/>
      </w:pPr>
      <w:r>
        <w:rPr>
          <w:spacing w:val="-1"/>
        </w:rPr>
        <w:t>□适用 √不适用</w:t>
      </w:r>
      <w:r>
        <w:rPr>
          <w:spacing w:val="-3"/>
        </w:rPr>
        <w:t> </w:t>
      </w:r>
      <w:r>
        <w:rPr/>
        <w:t> </w:t>
      </w:r>
    </w:p>
    <w:p>
      <w:pPr>
        <w:pStyle w:val="BodyText"/>
        <w:ind w:left="0"/>
        <w:rPr>
          <w:sz w:val="20"/>
        </w:rPr>
      </w:pPr>
    </w:p>
    <w:p>
      <w:pPr>
        <w:pStyle w:val="BodyText"/>
        <w:spacing w:before="4"/>
        <w:ind w:left="0"/>
        <w:rPr>
          <w:sz w:val="20"/>
        </w:rPr>
      </w:pPr>
    </w:p>
    <w:p>
      <w:pPr>
        <w:pStyle w:val="BodyText"/>
      </w:pPr>
      <w:r>
        <w:rPr>
          <w:spacing w:val="-1"/>
        </w:rPr>
        <w:t>如按预期信用损失一般模型计提坏账准备，请参照其他应收款披露：</w:t>
      </w:r>
      <w:r>
        <w:rPr/>
        <w:t> </w:t>
      </w:r>
    </w:p>
    <w:p>
      <w:pPr>
        <w:pStyle w:val="BodyText"/>
        <w:spacing w:before="4"/>
      </w:pPr>
      <w:r>
        <w:rPr>
          <w:spacing w:val="-1"/>
        </w:rPr>
        <w:t>□适用 √不适用</w:t>
      </w:r>
      <w:r>
        <w:rPr>
          <w:spacing w:val="-3"/>
        </w:rPr>
        <w:t> </w:t>
      </w:r>
      <w:r>
        <w:rPr/>
        <w:t> </w:t>
      </w:r>
    </w:p>
    <w:p>
      <w:pPr>
        <w:pStyle w:val="BodyText"/>
        <w:spacing w:before="3"/>
      </w:pPr>
      <w:r>
        <w:rPr>
          <w:w w:val="100"/>
        </w:rPr>
        <w:t> </w:t>
      </w:r>
    </w:p>
    <w:p>
      <w:pPr>
        <w:pStyle w:val="BodyText"/>
        <w:spacing w:before="11"/>
        <w:ind w:left="0"/>
        <w:rPr>
          <w:sz w:val="24"/>
        </w:rPr>
      </w:pPr>
    </w:p>
    <w:p>
      <w:pPr>
        <w:pStyle w:val="ListParagraph"/>
        <w:numPr>
          <w:ilvl w:val="0"/>
          <w:numId w:val="59"/>
        </w:numPr>
        <w:tabs>
          <w:tab w:pos="742" w:val="left" w:leader="none"/>
        </w:tabs>
        <w:spacing w:line="240" w:lineRule="auto" w:before="0" w:after="0"/>
        <w:ind w:left="741" w:right="0" w:hanging="424"/>
        <w:jc w:val="left"/>
        <w:rPr>
          <w:sz w:val="21"/>
        </w:rPr>
      </w:pPr>
      <w:r>
        <w:rPr>
          <w:sz w:val="21"/>
        </w:rPr>
        <w:t>坏账准备的情况 </w:t>
      </w:r>
    </w:p>
    <w:p>
      <w:pPr>
        <w:pStyle w:val="BodyText"/>
        <w:spacing w:before="65"/>
      </w:pPr>
      <w:r>
        <w:rPr>
          <w:spacing w:val="-1"/>
        </w:rPr>
        <w:t>□适用 √不适用</w:t>
      </w:r>
      <w:r>
        <w:rPr/>
        <w:t> </w:t>
      </w:r>
    </w:p>
    <w:p>
      <w:pPr>
        <w:pStyle w:val="BodyText"/>
        <w:ind w:left="0"/>
        <w:rPr>
          <w:sz w:val="20"/>
        </w:rPr>
      </w:pPr>
    </w:p>
    <w:p>
      <w:pPr>
        <w:pStyle w:val="BodyText"/>
        <w:spacing w:before="11"/>
        <w:ind w:left="0"/>
        <w:rPr>
          <w:sz w:val="24"/>
        </w:rPr>
      </w:pPr>
    </w:p>
    <w:p>
      <w:pPr>
        <w:pStyle w:val="ListParagraph"/>
        <w:numPr>
          <w:ilvl w:val="0"/>
          <w:numId w:val="59"/>
        </w:numPr>
        <w:tabs>
          <w:tab w:pos="742" w:val="left" w:leader="none"/>
        </w:tabs>
        <w:spacing w:line="240" w:lineRule="auto" w:before="1" w:after="0"/>
        <w:ind w:left="741" w:right="0" w:hanging="424"/>
        <w:jc w:val="left"/>
        <w:rPr>
          <w:sz w:val="21"/>
        </w:rPr>
      </w:pPr>
      <w:r>
        <w:rPr>
          <w:sz w:val="21"/>
        </w:rPr>
        <w:t>本期实际核销的应收票据情况 </w:t>
      </w:r>
    </w:p>
    <w:p>
      <w:pPr>
        <w:pStyle w:val="BodyText"/>
        <w:spacing w:before="62"/>
      </w:pPr>
      <w:r>
        <w:rPr>
          <w:spacing w:val="-1"/>
        </w:rPr>
        <w:t>□适用 √不适用</w:t>
      </w:r>
      <w:r>
        <w:rPr/>
        <w:t> </w:t>
      </w:r>
    </w:p>
    <w:p>
      <w:pPr>
        <w:pStyle w:val="BodyText"/>
        <w:ind w:left="0"/>
        <w:rPr>
          <w:sz w:val="20"/>
        </w:rPr>
      </w:pPr>
    </w:p>
    <w:p>
      <w:pPr>
        <w:pStyle w:val="BodyText"/>
        <w:spacing w:before="8"/>
        <w:ind w:left="0"/>
        <w:rPr>
          <w:sz w:val="14"/>
        </w:rPr>
      </w:pPr>
    </w:p>
    <w:p>
      <w:pPr>
        <w:pStyle w:val="BodyText"/>
        <w:spacing w:before="72"/>
      </w:pPr>
      <w:r>
        <w:rPr>
          <w:spacing w:val="-1"/>
        </w:rPr>
        <w:t>其他说明</w:t>
      </w:r>
      <w:r>
        <w:rPr/>
        <w:t> </w:t>
      </w:r>
    </w:p>
    <w:p>
      <w:pPr>
        <w:pStyle w:val="BodyText"/>
        <w:spacing w:before="5"/>
      </w:pPr>
      <w:r>
        <w:rPr>
          <w:spacing w:val="-1"/>
        </w:rPr>
        <w:t>□适用 √不适用</w:t>
      </w:r>
      <w:r>
        <w:rPr>
          <w:spacing w:val="-3"/>
        </w:rPr>
        <w:t> </w:t>
      </w:r>
      <w:r>
        <w:rPr/>
        <w:t> </w:t>
      </w:r>
    </w:p>
    <w:p>
      <w:pPr>
        <w:pStyle w:val="BodyText"/>
        <w:spacing w:before="2"/>
      </w:pPr>
      <w:r>
        <w:rPr>
          <w:w w:val="100"/>
        </w:rPr>
        <w:t> </w:t>
      </w:r>
    </w:p>
    <w:p>
      <w:pPr>
        <w:pStyle w:val="BodyText"/>
        <w:spacing w:before="4"/>
      </w:pPr>
      <w:r>
        <w:rPr>
          <w:w w:val="100"/>
        </w:rPr>
        <w:t> </w:t>
      </w:r>
    </w:p>
    <w:p>
      <w:pPr>
        <w:pStyle w:val="BodyText"/>
        <w:spacing w:line="297" w:lineRule="auto" w:before="63"/>
        <w:ind w:right="8520"/>
      </w:pPr>
      <w:r>
        <w:rPr/>
        <w:t>5</w:t>
      </w:r>
      <w:r>
        <w:rPr>
          <w:spacing w:val="-1"/>
        </w:rPr>
        <w:t>、 应收账款</w:t>
      </w:r>
      <w:r>
        <w:rPr/>
        <w:t>(1).按账龄披露 </w:t>
      </w:r>
    </w:p>
    <w:p>
      <w:pPr>
        <w:pStyle w:val="BodyText"/>
        <w:spacing w:line="267" w:lineRule="exact"/>
      </w:pPr>
      <w:r>
        <w:rPr>
          <w:spacing w:val="-1"/>
        </w:rPr>
        <w:t>√适用 □不适用</w:t>
      </w:r>
      <w:r>
        <w:rPr>
          <w:spacing w:val="-3"/>
        </w:rPr>
        <w:t> </w:t>
      </w:r>
      <w:r>
        <w:rPr/>
        <w:t> </w:t>
      </w:r>
    </w:p>
    <w:p>
      <w:pPr>
        <w:pStyle w:val="BodyText"/>
        <w:spacing w:before="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35"/>
        <w:gridCol w:w="4489"/>
      </w:tblGrid>
      <w:tr>
        <w:trPr>
          <w:trHeight w:val="273" w:hRule="atLeast"/>
        </w:trPr>
        <w:tc>
          <w:tcPr>
            <w:tcW w:w="4335" w:type="dxa"/>
          </w:tcPr>
          <w:p>
            <w:pPr>
              <w:pStyle w:val="TableParagraph"/>
              <w:spacing w:line="252" w:lineRule="exact" w:before="1"/>
              <w:ind w:right="1841"/>
              <w:jc w:val="right"/>
              <w:rPr>
                <w:sz w:val="21"/>
              </w:rPr>
            </w:pPr>
            <w:r>
              <w:rPr>
                <w:sz w:val="21"/>
              </w:rPr>
              <w:t>账龄 </w:t>
            </w:r>
          </w:p>
        </w:tc>
        <w:tc>
          <w:tcPr>
            <w:tcW w:w="4489" w:type="dxa"/>
          </w:tcPr>
          <w:p>
            <w:pPr>
              <w:pStyle w:val="TableParagraph"/>
              <w:spacing w:line="252" w:lineRule="exact" w:before="1"/>
              <w:ind w:left="1649" w:right="1536"/>
              <w:jc w:val="center"/>
              <w:rPr>
                <w:sz w:val="21"/>
              </w:rPr>
            </w:pPr>
            <w:r>
              <w:rPr>
                <w:spacing w:val="-1"/>
                <w:sz w:val="21"/>
              </w:rPr>
              <w:t>期末账面余额</w:t>
            </w:r>
            <w:r>
              <w:rPr>
                <w:sz w:val="21"/>
              </w:rPr>
              <w:t> </w:t>
            </w:r>
          </w:p>
        </w:tc>
      </w:tr>
      <w:tr>
        <w:trPr>
          <w:trHeight w:val="273" w:hRule="atLeast"/>
        </w:trPr>
        <w:tc>
          <w:tcPr>
            <w:tcW w:w="8824" w:type="dxa"/>
            <w:gridSpan w:val="2"/>
          </w:tcPr>
          <w:p>
            <w:pPr>
              <w:pStyle w:val="TableParagraph"/>
              <w:spacing w:line="252" w:lineRule="exact" w:before="1"/>
              <w:ind w:left="107"/>
              <w:rPr>
                <w:sz w:val="21"/>
              </w:rPr>
            </w:pPr>
            <w:r>
              <w:rPr>
                <w:spacing w:val="-1"/>
                <w:sz w:val="21"/>
              </w:rPr>
              <w:t>1</w:t>
            </w:r>
            <w:r>
              <w:rPr>
                <w:spacing w:val="-14"/>
                <w:sz w:val="21"/>
              </w:rPr>
              <w:t> 年以内</w:t>
            </w:r>
            <w:r>
              <w:rPr>
                <w:color w:val="FF0000"/>
                <w:sz w:val="21"/>
              </w:rPr>
              <w:t> </w:t>
            </w:r>
          </w:p>
        </w:tc>
      </w:tr>
      <w:tr>
        <w:trPr>
          <w:trHeight w:val="270" w:hRule="atLeast"/>
        </w:trPr>
        <w:tc>
          <w:tcPr>
            <w:tcW w:w="8824" w:type="dxa"/>
            <w:gridSpan w:val="2"/>
          </w:tcPr>
          <w:p>
            <w:pPr>
              <w:pStyle w:val="TableParagraph"/>
              <w:spacing w:line="250" w:lineRule="exact" w:before="1"/>
              <w:ind w:left="107"/>
              <w:rPr>
                <w:sz w:val="21"/>
              </w:rPr>
            </w:pPr>
            <w:r>
              <w:rPr>
                <w:spacing w:val="-1"/>
                <w:sz w:val="21"/>
              </w:rPr>
              <w:t>其中：</w:t>
            </w:r>
            <w:r>
              <w:rPr>
                <w:sz w:val="21"/>
              </w:rPr>
              <w:t>1</w:t>
            </w:r>
            <w:r>
              <w:rPr>
                <w:spacing w:val="-10"/>
                <w:sz w:val="21"/>
              </w:rPr>
              <w:t> 年以内分项</w:t>
            </w:r>
            <w:r>
              <w:rPr>
                <w:sz w:val="21"/>
              </w:rPr>
              <w:t> </w:t>
            </w:r>
          </w:p>
        </w:tc>
      </w:tr>
      <w:tr>
        <w:trPr>
          <w:trHeight w:val="273" w:hRule="atLeast"/>
        </w:trPr>
        <w:tc>
          <w:tcPr>
            <w:tcW w:w="4335" w:type="dxa"/>
          </w:tcPr>
          <w:p>
            <w:pPr>
              <w:pStyle w:val="TableParagraph"/>
              <w:spacing w:line="252" w:lineRule="exact" w:before="1"/>
              <w:ind w:left="107"/>
              <w:rPr>
                <w:sz w:val="21"/>
              </w:rPr>
            </w:pPr>
            <w:r>
              <w:rPr>
                <w:spacing w:val="-1"/>
                <w:sz w:val="21"/>
              </w:rPr>
              <w:t>1</w:t>
            </w:r>
            <w:r>
              <w:rPr>
                <w:spacing w:val="-14"/>
                <w:sz w:val="21"/>
              </w:rPr>
              <w:t> 年以内</w:t>
            </w:r>
            <w:r>
              <w:rPr>
                <w:sz w:val="21"/>
              </w:rPr>
              <w:t> </w:t>
            </w:r>
          </w:p>
        </w:tc>
        <w:tc>
          <w:tcPr>
            <w:tcW w:w="4489" w:type="dxa"/>
          </w:tcPr>
          <w:p>
            <w:pPr>
              <w:pStyle w:val="TableParagraph"/>
              <w:spacing w:line="252" w:lineRule="exact" w:before="1"/>
              <w:ind w:right="-15"/>
              <w:jc w:val="right"/>
              <w:rPr>
                <w:sz w:val="21"/>
              </w:rPr>
            </w:pPr>
            <w:r>
              <w:rPr>
                <w:sz w:val="21"/>
              </w:rPr>
              <w:t>98,307,505 </w:t>
            </w:r>
          </w:p>
        </w:tc>
      </w:tr>
      <w:tr>
        <w:trPr>
          <w:trHeight w:val="273" w:hRule="atLeast"/>
        </w:trPr>
        <w:tc>
          <w:tcPr>
            <w:tcW w:w="4335" w:type="dxa"/>
          </w:tcPr>
          <w:p>
            <w:pPr>
              <w:pStyle w:val="TableParagraph"/>
              <w:spacing w:line="252" w:lineRule="exact" w:before="1"/>
              <w:ind w:left="107"/>
              <w:rPr>
                <w:sz w:val="21"/>
              </w:rPr>
            </w:pPr>
            <w:r>
              <w:rPr>
                <w:w w:val="100"/>
                <w:sz w:val="21"/>
              </w:rPr>
              <w:t> </w:t>
            </w:r>
          </w:p>
        </w:tc>
        <w:tc>
          <w:tcPr>
            <w:tcW w:w="4489" w:type="dxa"/>
          </w:tcPr>
          <w:p>
            <w:pPr>
              <w:pStyle w:val="TableParagraph"/>
              <w:spacing w:line="252" w:lineRule="exact" w:before="1"/>
              <w:ind w:right="-15"/>
              <w:jc w:val="right"/>
              <w:rPr>
                <w:sz w:val="21"/>
              </w:rPr>
            </w:pPr>
            <w:r>
              <w:rPr>
                <w:w w:val="100"/>
                <w:sz w:val="21"/>
              </w:rPr>
              <w:t> </w:t>
            </w:r>
          </w:p>
        </w:tc>
      </w:tr>
      <w:tr>
        <w:trPr>
          <w:trHeight w:val="270" w:hRule="atLeast"/>
        </w:trPr>
        <w:tc>
          <w:tcPr>
            <w:tcW w:w="4335" w:type="dxa"/>
          </w:tcPr>
          <w:p>
            <w:pPr>
              <w:pStyle w:val="TableParagraph"/>
              <w:spacing w:line="250" w:lineRule="exact" w:before="1"/>
              <w:ind w:left="107"/>
              <w:rPr>
                <w:sz w:val="21"/>
              </w:rPr>
            </w:pPr>
            <w:r>
              <w:rPr>
                <w:spacing w:val="-1"/>
                <w:sz w:val="21"/>
              </w:rPr>
              <w:t>1</w:t>
            </w:r>
            <w:r>
              <w:rPr>
                <w:spacing w:val="-10"/>
                <w:sz w:val="21"/>
              </w:rPr>
              <w:t> 年以内小计</w:t>
            </w:r>
            <w:r>
              <w:rPr>
                <w:sz w:val="21"/>
              </w:rPr>
              <w:t> </w:t>
            </w:r>
          </w:p>
        </w:tc>
        <w:tc>
          <w:tcPr>
            <w:tcW w:w="4489" w:type="dxa"/>
          </w:tcPr>
          <w:p>
            <w:pPr>
              <w:pStyle w:val="TableParagraph"/>
              <w:spacing w:line="250" w:lineRule="exact" w:before="1"/>
              <w:ind w:right="-15"/>
              <w:jc w:val="right"/>
              <w:rPr>
                <w:sz w:val="21"/>
              </w:rPr>
            </w:pPr>
            <w:r>
              <w:rPr>
                <w:sz w:val="21"/>
              </w:rPr>
              <w:t>98,307,505 </w:t>
            </w:r>
          </w:p>
        </w:tc>
      </w:tr>
      <w:tr>
        <w:trPr>
          <w:trHeight w:val="273" w:hRule="atLeast"/>
        </w:trPr>
        <w:tc>
          <w:tcPr>
            <w:tcW w:w="4335" w:type="dxa"/>
          </w:tcPr>
          <w:p>
            <w:pPr>
              <w:pStyle w:val="TableParagraph"/>
              <w:spacing w:line="252" w:lineRule="exact" w:before="1"/>
              <w:ind w:left="107"/>
              <w:rPr>
                <w:sz w:val="21"/>
              </w:rPr>
            </w:pPr>
            <w:r>
              <w:rPr>
                <w:sz w:val="21"/>
              </w:rPr>
              <w:t>1</w:t>
            </w:r>
            <w:r>
              <w:rPr>
                <w:spacing w:val="-36"/>
                <w:sz w:val="21"/>
              </w:rPr>
              <w:t> 至 </w:t>
            </w:r>
            <w:r>
              <w:rPr>
                <w:sz w:val="21"/>
              </w:rPr>
              <w:t>2</w:t>
            </w:r>
            <w:r>
              <w:rPr>
                <w:spacing w:val="-28"/>
                <w:sz w:val="21"/>
              </w:rPr>
              <w:t> 年</w:t>
            </w:r>
            <w:r>
              <w:rPr>
                <w:sz w:val="21"/>
              </w:rPr>
              <w:t> </w:t>
            </w:r>
          </w:p>
        </w:tc>
        <w:tc>
          <w:tcPr>
            <w:tcW w:w="4489" w:type="dxa"/>
          </w:tcPr>
          <w:p>
            <w:pPr>
              <w:pStyle w:val="TableParagraph"/>
              <w:spacing w:line="252" w:lineRule="exact" w:before="1"/>
              <w:ind w:right="-15"/>
              <w:jc w:val="right"/>
              <w:rPr>
                <w:sz w:val="21"/>
              </w:rPr>
            </w:pPr>
            <w:r>
              <w:rPr>
                <w:sz w:val="21"/>
              </w:rPr>
              <w:t>41,724 </w:t>
            </w:r>
          </w:p>
        </w:tc>
      </w:tr>
      <w:tr>
        <w:trPr>
          <w:trHeight w:val="270" w:hRule="atLeast"/>
        </w:trPr>
        <w:tc>
          <w:tcPr>
            <w:tcW w:w="4335" w:type="dxa"/>
          </w:tcPr>
          <w:p>
            <w:pPr>
              <w:pStyle w:val="TableParagraph"/>
              <w:spacing w:line="250" w:lineRule="exact" w:before="1"/>
              <w:ind w:left="107"/>
              <w:rPr>
                <w:sz w:val="21"/>
              </w:rPr>
            </w:pPr>
            <w:r>
              <w:rPr>
                <w:sz w:val="21"/>
              </w:rPr>
              <w:t>2</w:t>
            </w:r>
            <w:r>
              <w:rPr>
                <w:spacing w:val="-36"/>
                <w:sz w:val="21"/>
              </w:rPr>
              <w:t> 至 </w:t>
            </w:r>
            <w:r>
              <w:rPr>
                <w:sz w:val="21"/>
              </w:rPr>
              <w:t>3</w:t>
            </w:r>
            <w:r>
              <w:rPr>
                <w:spacing w:val="-28"/>
                <w:sz w:val="21"/>
              </w:rPr>
              <w:t> 年</w:t>
            </w:r>
            <w:r>
              <w:rPr>
                <w:sz w:val="21"/>
              </w:rPr>
              <w:t> </w:t>
            </w:r>
          </w:p>
        </w:tc>
        <w:tc>
          <w:tcPr>
            <w:tcW w:w="4489" w:type="dxa"/>
          </w:tcPr>
          <w:p>
            <w:pPr>
              <w:pStyle w:val="TableParagraph"/>
              <w:spacing w:line="250" w:lineRule="exact" w:before="1"/>
              <w:ind w:right="-15"/>
              <w:jc w:val="right"/>
              <w:rPr>
                <w:sz w:val="21"/>
              </w:rPr>
            </w:pPr>
            <w:r>
              <w:rPr>
                <w:sz w:val="21"/>
              </w:rPr>
              <w:t>5,052 </w:t>
            </w:r>
          </w:p>
        </w:tc>
      </w:tr>
      <w:tr>
        <w:trPr>
          <w:trHeight w:val="273" w:hRule="atLeast"/>
        </w:trPr>
        <w:tc>
          <w:tcPr>
            <w:tcW w:w="4335" w:type="dxa"/>
          </w:tcPr>
          <w:p>
            <w:pPr>
              <w:pStyle w:val="TableParagraph"/>
              <w:spacing w:line="250" w:lineRule="exact" w:before="3"/>
              <w:ind w:left="107"/>
              <w:rPr>
                <w:sz w:val="21"/>
              </w:rPr>
            </w:pPr>
            <w:r>
              <w:rPr>
                <w:spacing w:val="-1"/>
                <w:sz w:val="21"/>
              </w:rPr>
              <w:t>3</w:t>
            </w:r>
            <w:r>
              <w:rPr>
                <w:spacing w:val="-14"/>
                <w:sz w:val="21"/>
              </w:rPr>
              <w:t> 年以上</w:t>
            </w:r>
            <w:r>
              <w:rPr>
                <w:sz w:val="21"/>
              </w:rPr>
              <w:t> </w:t>
            </w:r>
          </w:p>
        </w:tc>
        <w:tc>
          <w:tcPr>
            <w:tcW w:w="4489" w:type="dxa"/>
          </w:tcPr>
          <w:p>
            <w:pPr>
              <w:pStyle w:val="TableParagraph"/>
              <w:spacing w:line="250" w:lineRule="exact" w:before="3"/>
              <w:ind w:right="-15"/>
              <w:jc w:val="right"/>
              <w:rPr>
                <w:sz w:val="21"/>
              </w:rPr>
            </w:pPr>
            <w:r>
              <w:rPr>
                <w:sz w:val="21"/>
              </w:rPr>
              <w:t>4,677 </w:t>
            </w:r>
          </w:p>
        </w:tc>
      </w:tr>
      <w:tr>
        <w:trPr>
          <w:trHeight w:val="273" w:hRule="atLeast"/>
        </w:trPr>
        <w:tc>
          <w:tcPr>
            <w:tcW w:w="4335" w:type="dxa"/>
          </w:tcPr>
          <w:p>
            <w:pPr>
              <w:pStyle w:val="TableParagraph"/>
              <w:spacing w:line="252" w:lineRule="exact" w:before="1"/>
              <w:ind w:right="1841"/>
              <w:jc w:val="right"/>
              <w:rPr>
                <w:sz w:val="21"/>
              </w:rPr>
            </w:pPr>
            <w:r>
              <w:rPr>
                <w:sz w:val="21"/>
              </w:rPr>
              <w:t>合计 </w:t>
            </w:r>
          </w:p>
        </w:tc>
        <w:tc>
          <w:tcPr>
            <w:tcW w:w="4489" w:type="dxa"/>
          </w:tcPr>
          <w:p>
            <w:pPr>
              <w:pStyle w:val="TableParagraph"/>
              <w:spacing w:line="252" w:lineRule="exact" w:before="1"/>
              <w:ind w:right="-15"/>
              <w:jc w:val="right"/>
              <w:rPr>
                <w:sz w:val="21"/>
              </w:rPr>
            </w:pPr>
            <w:r>
              <w:rPr>
                <w:sz w:val="21"/>
              </w:rPr>
              <w:t>98,358,958 </w:t>
            </w:r>
          </w:p>
        </w:tc>
      </w:tr>
    </w:tbl>
    <w:p>
      <w:pPr>
        <w:pStyle w:val="BodyText"/>
        <w:spacing w:before="1"/>
      </w:pPr>
      <w:r>
        <w:rPr>
          <w:w w:val="100"/>
        </w:rPr>
        <w:t> </w:t>
      </w:r>
    </w:p>
    <w:p>
      <w:pPr>
        <w:pStyle w:val="BodyText"/>
        <w:spacing w:before="2"/>
      </w:pPr>
      <w:r>
        <w:rPr>
          <w:w w:val="100"/>
        </w:rPr>
        <w:t> </w:t>
      </w:r>
    </w:p>
    <w:p>
      <w:pPr>
        <w:spacing w:after="0"/>
        <w:sectPr>
          <w:pgSz w:w="11910" w:h="16840"/>
          <w:pgMar w:header="882" w:footer="1172" w:top="1120" w:bottom="1380" w:left="1480" w:right="0"/>
        </w:sectPr>
      </w:pPr>
    </w:p>
    <w:p>
      <w:pPr>
        <w:pStyle w:val="BodyText"/>
        <w:spacing w:before="7"/>
        <w:ind w:left="0"/>
        <w:rPr>
          <w:sz w:val="25"/>
        </w:rPr>
      </w:pPr>
    </w:p>
    <w:p>
      <w:pPr>
        <w:spacing w:after="0"/>
        <w:rPr>
          <w:sz w:val="25"/>
        </w:rPr>
        <w:sectPr>
          <w:pgSz w:w="11910" w:h="16840"/>
          <w:pgMar w:header="882" w:footer="1172" w:top="1120" w:bottom="1380" w:left="1480" w:right="0"/>
        </w:sectPr>
      </w:pPr>
    </w:p>
    <w:p>
      <w:pPr>
        <w:pStyle w:val="BodyText"/>
        <w:spacing w:before="72"/>
      </w:pPr>
      <w:r>
        <w:rPr>
          <w:w w:val="100"/>
        </w:rPr>
        <w:t> </w:t>
      </w:r>
    </w:p>
    <w:p>
      <w:pPr>
        <w:pStyle w:val="ListParagraph"/>
        <w:numPr>
          <w:ilvl w:val="0"/>
          <w:numId w:val="60"/>
        </w:numPr>
        <w:tabs>
          <w:tab w:pos="746" w:val="left" w:leader="none"/>
        </w:tabs>
        <w:spacing w:line="240" w:lineRule="auto" w:before="65" w:after="0"/>
        <w:ind w:left="745" w:right="0" w:hanging="428"/>
        <w:jc w:val="left"/>
        <w:rPr>
          <w:sz w:val="21"/>
        </w:rPr>
      </w:pPr>
      <w:r>
        <w:rPr>
          <w:sz w:val="21"/>
        </w:rPr>
        <w:t>按坏账计提方法分类披露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1"/>
        <w:ind w:left="0"/>
        <w:rPr>
          <w:sz w:val="18"/>
        </w:rPr>
      </w:pPr>
    </w:p>
    <w:p>
      <w:pPr>
        <w:pStyle w:val="BodyText"/>
      </w:pPr>
      <w:r>
        <w:rPr>
          <w:spacing w:val="-2"/>
        </w:rPr>
        <w:t>单位：千元 币种：人民币</w:t>
      </w:r>
    </w:p>
    <w:p>
      <w:pPr>
        <w:spacing w:after="0"/>
        <w:sectPr>
          <w:type w:val="continuous"/>
          <w:pgSz w:w="11910" w:h="16840"/>
          <w:pgMar w:top="780" w:bottom="280" w:left="1480" w:right="0"/>
          <w:cols w:num="2" w:equalWidth="0">
            <w:col w:w="3210" w:space="3115"/>
            <w:col w:w="4105"/>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0"/>
        <w:gridCol w:w="1096"/>
        <w:gridCol w:w="557"/>
        <w:gridCol w:w="852"/>
        <w:gridCol w:w="557"/>
        <w:gridCol w:w="1095"/>
        <w:gridCol w:w="1097"/>
        <w:gridCol w:w="655"/>
        <w:gridCol w:w="852"/>
        <w:gridCol w:w="556"/>
        <w:gridCol w:w="1094"/>
      </w:tblGrid>
      <w:tr>
        <w:trPr>
          <w:trHeight w:val="273" w:hRule="atLeast"/>
        </w:trPr>
        <w:tc>
          <w:tcPr>
            <w:tcW w:w="410" w:type="dxa"/>
            <w:vMerge w:val="restart"/>
          </w:tcPr>
          <w:p>
            <w:pPr>
              <w:pStyle w:val="TableParagraph"/>
              <w:rPr>
                <w:sz w:val="20"/>
              </w:rPr>
            </w:pPr>
          </w:p>
          <w:p>
            <w:pPr>
              <w:pStyle w:val="TableParagraph"/>
              <w:rPr>
                <w:sz w:val="20"/>
              </w:rPr>
            </w:pPr>
          </w:p>
          <w:p>
            <w:pPr>
              <w:pStyle w:val="TableParagraph"/>
              <w:spacing w:line="244" w:lineRule="auto" w:before="179"/>
              <w:ind w:left="107" w:right="-29"/>
              <w:rPr>
                <w:sz w:val="21"/>
              </w:rPr>
            </w:pPr>
            <w:r>
              <w:rPr>
                <w:sz w:val="21"/>
              </w:rPr>
              <w:t>类别 </w:t>
            </w:r>
          </w:p>
        </w:tc>
        <w:tc>
          <w:tcPr>
            <w:tcW w:w="4157" w:type="dxa"/>
            <w:gridSpan w:val="5"/>
          </w:tcPr>
          <w:p>
            <w:pPr>
              <w:pStyle w:val="TableParagraph"/>
              <w:spacing w:line="252" w:lineRule="exact" w:before="1"/>
              <w:ind w:left="1693" w:right="1577"/>
              <w:jc w:val="center"/>
              <w:rPr>
                <w:sz w:val="21"/>
              </w:rPr>
            </w:pPr>
            <w:r>
              <w:rPr>
                <w:spacing w:val="-1"/>
                <w:sz w:val="21"/>
              </w:rPr>
              <w:t>期末余额</w:t>
            </w:r>
            <w:r>
              <w:rPr>
                <w:sz w:val="21"/>
              </w:rPr>
              <w:t> </w:t>
            </w:r>
          </w:p>
        </w:tc>
        <w:tc>
          <w:tcPr>
            <w:tcW w:w="4254" w:type="dxa"/>
            <w:gridSpan w:val="5"/>
          </w:tcPr>
          <w:p>
            <w:pPr>
              <w:pStyle w:val="TableParagraph"/>
              <w:spacing w:line="252" w:lineRule="exact" w:before="1"/>
              <w:ind w:left="1742" w:right="1626"/>
              <w:jc w:val="center"/>
              <w:rPr>
                <w:sz w:val="21"/>
              </w:rPr>
            </w:pPr>
            <w:r>
              <w:rPr>
                <w:spacing w:val="-1"/>
                <w:sz w:val="21"/>
              </w:rPr>
              <w:t>期初余额</w:t>
            </w:r>
            <w:r>
              <w:rPr>
                <w:sz w:val="21"/>
              </w:rPr>
              <w:t> </w:t>
            </w:r>
          </w:p>
        </w:tc>
      </w:tr>
      <w:tr>
        <w:trPr>
          <w:trHeight w:val="273" w:hRule="atLeast"/>
        </w:trPr>
        <w:tc>
          <w:tcPr>
            <w:tcW w:w="410" w:type="dxa"/>
            <w:vMerge/>
            <w:tcBorders>
              <w:top w:val="nil"/>
            </w:tcBorders>
          </w:tcPr>
          <w:p>
            <w:pPr>
              <w:rPr>
                <w:sz w:val="2"/>
                <w:szCs w:val="2"/>
              </w:rPr>
            </w:pPr>
          </w:p>
        </w:tc>
        <w:tc>
          <w:tcPr>
            <w:tcW w:w="1653" w:type="dxa"/>
            <w:gridSpan w:val="2"/>
          </w:tcPr>
          <w:p>
            <w:pPr>
              <w:pStyle w:val="TableParagraph"/>
              <w:spacing w:line="252" w:lineRule="exact" w:before="1"/>
              <w:ind w:left="405"/>
              <w:rPr>
                <w:sz w:val="21"/>
              </w:rPr>
            </w:pPr>
            <w:r>
              <w:rPr>
                <w:spacing w:val="-1"/>
                <w:sz w:val="21"/>
              </w:rPr>
              <w:t>账面余额</w:t>
            </w:r>
            <w:r>
              <w:rPr>
                <w:sz w:val="21"/>
              </w:rPr>
              <w:t> </w:t>
            </w:r>
          </w:p>
        </w:tc>
        <w:tc>
          <w:tcPr>
            <w:tcW w:w="1409" w:type="dxa"/>
            <w:gridSpan w:val="2"/>
          </w:tcPr>
          <w:p>
            <w:pPr>
              <w:pStyle w:val="TableParagraph"/>
              <w:spacing w:line="252" w:lineRule="exact" w:before="1"/>
              <w:ind w:left="284"/>
              <w:rPr>
                <w:sz w:val="21"/>
              </w:rPr>
            </w:pPr>
            <w:r>
              <w:rPr>
                <w:spacing w:val="-1"/>
                <w:sz w:val="21"/>
              </w:rPr>
              <w:t>坏账准备</w:t>
            </w:r>
            <w:r>
              <w:rPr>
                <w:sz w:val="21"/>
              </w:rPr>
              <w:t> </w:t>
            </w:r>
          </w:p>
        </w:tc>
        <w:tc>
          <w:tcPr>
            <w:tcW w:w="1095" w:type="dxa"/>
            <w:vMerge w:val="restart"/>
          </w:tcPr>
          <w:p>
            <w:pPr>
              <w:pStyle w:val="TableParagraph"/>
              <w:rPr>
                <w:sz w:val="20"/>
              </w:rPr>
            </w:pPr>
          </w:p>
          <w:p>
            <w:pPr>
              <w:pStyle w:val="TableParagraph"/>
              <w:spacing w:before="12"/>
              <w:rPr>
                <w:sz w:val="22"/>
              </w:rPr>
            </w:pPr>
          </w:p>
          <w:p>
            <w:pPr>
              <w:pStyle w:val="TableParagraph"/>
              <w:spacing w:line="244" w:lineRule="auto"/>
              <w:ind w:left="337" w:right="220"/>
              <w:rPr>
                <w:sz w:val="21"/>
              </w:rPr>
            </w:pPr>
            <w:r>
              <w:rPr>
                <w:sz w:val="21"/>
              </w:rPr>
              <w:t>账面价值 </w:t>
            </w:r>
          </w:p>
        </w:tc>
        <w:tc>
          <w:tcPr>
            <w:tcW w:w="1752" w:type="dxa"/>
            <w:gridSpan w:val="2"/>
          </w:tcPr>
          <w:p>
            <w:pPr>
              <w:pStyle w:val="TableParagraph"/>
              <w:spacing w:line="252" w:lineRule="exact" w:before="1"/>
              <w:ind w:left="456"/>
              <w:rPr>
                <w:sz w:val="21"/>
              </w:rPr>
            </w:pPr>
            <w:r>
              <w:rPr>
                <w:spacing w:val="-1"/>
                <w:sz w:val="21"/>
              </w:rPr>
              <w:t>账面余额</w:t>
            </w:r>
            <w:r>
              <w:rPr>
                <w:sz w:val="21"/>
              </w:rPr>
              <w:t> </w:t>
            </w:r>
          </w:p>
        </w:tc>
        <w:tc>
          <w:tcPr>
            <w:tcW w:w="1408" w:type="dxa"/>
            <w:gridSpan w:val="2"/>
          </w:tcPr>
          <w:p>
            <w:pPr>
              <w:pStyle w:val="TableParagraph"/>
              <w:spacing w:line="252" w:lineRule="exact" w:before="1"/>
              <w:ind w:left="284"/>
              <w:rPr>
                <w:sz w:val="21"/>
              </w:rPr>
            </w:pPr>
            <w:r>
              <w:rPr>
                <w:spacing w:val="-1"/>
                <w:sz w:val="21"/>
              </w:rPr>
              <w:t>坏账准备</w:t>
            </w:r>
            <w:r>
              <w:rPr>
                <w:sz w:val="21"/>
              </w:rPr>
              <w:t> </w:t>
            </w:r>
          </w:p>
        </w:tc>
        <w:tc>
          <w:tcPr>
            <w:tcW w:w="1094" w:type="dxa"/>
            <w:vMerge w:val="restart"/>
          </w:tcPr>
          <w:p>
            <w:pPr>
              <w:pStyle w:val="TableParagraph"/>
              <w:rPr>
                <w:sz w:val="20"/>
              </w:rPr>
            </w:pPr>
          </w:p>
          <w:p>
            <w:pPr>
              <w:pStyle w:val="TableParagraph"/>
              <w:spacing w:before="12"/>
              <w:rPr>
                <w:sz w:val="22"/>
              </w:rPr>
            </w:pPr>
          </w:p>
          <w:p>
            <w:pPr>
              <w:pStyle w:val="TableParagraph"/>
              <w:spacing w:line="244" w:lineRule="auto"/>
              <w:ind w:left="338" w:right="218"/>
              <w:rPr>
                <w:sz w:val="21"/>
              </w:rPr>
            </w:pPr>
            <w:r>
              <w:rPr>
                <w:sz w:val="21"/>
              </w:rPr>
              <w:t>账面价值 </w:t>
            </w:r>
          </w:p>
        </w:tc>
      </w:tr>
      <w:tr>
        <w:trPr>
          <w:trHeight w:val="1360" w:hRule="atLeast"/>
        </w:trPr>
        <w:tc>
          <w:tcPr>
            <w:tcW w:w="410" w:type="dxa"/>
            <w:vMerge/>
            <w:tcBorders>
              <w:top w:val="nil"/>
            </w:tcBorders>
          </w:tcPr>
          <w:p>
            <w:pPr>
              <w:rPr>
                <w:sz w:val="2"/>
                <w:szCs w:val="2"/>
              </w:rPr>
            </w:pPr>
          </w:p>
        </w:tc>
        <w:tc>
          <w:tcPr>
            <w:tcW w:w="1096" w:type="dxa"/>
          </w:tcPr>
          <w:p>
            <w:pPr>
              <w:pStyle w:val="TableParagraph"/>
              <w:rPr>
                <w:sz w:val="20"/>
              </w:rPr>
            </w:pPr>
          </w:p>
          <w:p>
            <w:pPr>
              <w:pStyle w:val="TableParagraph"/>
              <w:spacing w:before="7"/>
              <w:rPr>
                <w:sz w:val="22"/>
              </w:rPr>
            </w:pPr>
          </w:p>
          <w:p>
            <w:pPr>
              <w:pStyle w:val="TableParagraph"/>
              <w:ind w:left="336"/>
              <w:rPr>
                <w:sz w:val="21"/>
              </w:rPr>
            </w:pPr>
            <w:r>
              <w:rPr>
                <w:sz w:val="21"/>
              </w:rPr>
              <w:t>金额 </w:t>
            </w:r>
          </w:p>
        </w:tc>
        <w:tc>
          <w:tcPr>
            <w:tcW w:w="557" w:type="dxa"/>
          </w:tcPr>
          <w:p>
            <w:pPr>
              <w:pStyle w:val="TableParagraph"/>
              <w:spacing w:before="3"/>
              <w:rPr>
                <w:sz w:val="21"/>
              </w:rPr>
            </w:pPr>
          </w:p>
          <w:p>
            <w:pPr>
              <w:pStyle w:val="TableParagraph"/>
              <w:spacing w:line="242" w:lineRule="auto"/>
              <w:ind w:left="120" w:right="4" w:firstLine="50"/>
              <w:rPr>
                <w:sz w:val="21"/>
              </w:rPr>
            </w:pPr>
            <w:r>
              <w:rPr>
                <w:sz w:val="21"/>
              </w:rPr>
              <w:t>比例(%) </w:t>
            </w:r>
          </w:p>
        </w:tc>
        <w:tc>
          <w:tcPr>
            <w:tcW w:w="852" w:type="dxa"/>
          </w:tcPr>
          <w:p>
            <w:pPr>
              <w:pStyle w:val="TableParagraph"/>
              <w:rPr>
                <w:sz w:val="20"/>
              </w:rPr>
            </w:pPr>
          </w:p>
          <w:p>
            <w:pPr>
              <w:pStyle w:val="TableParagraph"/>
              <w:spacing w:before="7"/>
              <w:rPr>
                <w:sz w:val="22"/>
              </w:rPr>
            </w:pPr>
          </w:p>
          <w:p>
            <w:pPr>
              <w:pStyle w:val="TableParagraph"/>
              <w:ind w:right="97"/>
              <w:jc w:val="right"/>
              <w:rPr>
                <w:sz w:val="21"/>
              </w:rPr>
            </w:pPr>
            <w:r>
              <w:rPr>
                <w:sz w:val="21"/>
              </w:rPr>
              <w:t>金额 </w:t>
            </w:r>
          </w:p>
        </w:tc>
        <w:tc>
          <w:tcPr>
            <w:tcW w:w="557" w:type="dxa"/>
          </w:tcPr>
          <w:p>
            <w:pPr>
              <w:pStyle w:val="TableParagraph"/>
              <w:spacing w:line="242" w:lineRule="auto" w:before="1"/>
              <w:ind w:left="171" w:right="162"/>
              <w:jc w:val="both"/>
              <w:rPr>
                <w:sz w:val="21"/>
              </w:rPr>
            </w:pPr>
            <w:r>
              <w:rPr>
                <w:sz w:val="21"/>
              </w:rPr>
              <w:t>计提比例</w:t>
            </w:r>
          </w:p>
          <w:p>
            <w:pPr>
              <w:pStyle w:val="TableParagraph"/>
              <w:spacing w:line="250" w:lineRule="exact" w:before="2"/>
              <w:ind w:left="121"/>
              <w:rPr>
                <w:sz w:val="21"/>
              </w:rPr>
            </w:pPr>
            <w:r>
              <w:rPr>
                <w:sz w:val="21"/>
              </w:rPr>
              <w:t>(%) </w:t>
            </w:r>
          </w:p>
        </w:tc>
        <w:tc>
          <w:tcPr>
            <w:tcW w:w="1095" w:type="dxa"/>
            <w:vMerge/>
            <w:tcBorders>
              <w:top w:val="nil"/>
            </w:tcBorders>
          </w:tcPr>
          <w:p>
            <w:pPr>
              <w:rPr>
                <w:sz w:val="2"/>
                <w:szCs w:val="2"/>
              </w:rPr>
            </w:pPr>
          </w:p>
        </w:tc>
        <w:tc>
          <w:tcPr>
            <w:tcW w:w="1097" w:type="dxa"/>
          </w:tcPr>
          <w:p>
            <w:pPr>
              <w:pStyle w:val="TableParagraph"/>
              <w:rPr>
                <w:sz w:val="20"/>
              </w:rPr>
            </w:pPr>
          </w:p>
          <w:p>
            <w:pPr>
              <w:pStyle w:val="TableParagraph"/>
              <w:spacing w:before="7"/>
              <w:rPr>
                <w:sz w:val="22"/>
              </w:rPr>
            </w:pPr>
          </w:p>
          <w:p>
            <w:pPr>
              <w:pStyle w:val="TableParagraph"/>
              <w:ind w:left="336"/>
              <w:rPr>
                <w:sz w:val="21"/>
              </w:rPr>
            </w:pPr>
            <w:r>
              <w:rPr>
                <w:sz w:val="21"/>
              </w:rPr>
              <w:t>金额 </w:t>
            </w:r>
          </w:p>
        </w:tc>
        <w:tc>
          <w:tcPr>
            <w:tcW w:w="655" w:type="dxa"/>
          </w:tcPr>
          <w:p>
            <w:pPr>
              <w:pStyle w:val="TableParagraph"/>
              <w:rPr>
                <w:sz w:val="20"/>
              </w:rPr>
            </w:pPr>
          </w:p>
          <w:p>
            <w:pPr>
              <w:pStyle w:val="TableParagraph"/>
              <w:spacing w:line="242" w:lineRule="auto" w:before="152"/>
              <w:ind w:left="168" w:right="54" w:hanging="53"/>
              <w:rPr>
                <w:sz w:val="21"/>
              </w:rPr>
            </w:pPr>
            <w:r>
              <w:rPr>
                <w:sz w:val="21"/>
              </w:rPr>
              <w:t>比例(%) </w:t>
            </w:r>
          </w:p>
        </w:tc>
        <w:tc>
          <w:tcPr>
            <w:tcW w:w="852" w:type="dxa"/>
          </w:tcPr>
          <w:p>
            <w:pPr>
              <w:pStyle w:val="TableParagraph"/>
              <w:rPr>
                <w:sz w:val="20"/>
              </w:rPr>
            </w:pPr>
          </w:p>
          <w:p>
            <w:pPr>
              <w:pStyle w:val="TableParagraph"/>
              <w:spacing w:before="7"/>
              <w:rPr>
                <w:sz w:val="22"/>
              </w:rPr>
            </w:pPr>
          </w:p>
          <w:p>
            <w:pPr>
              <w:pStyle w:val="TableParagraph"/>
              <w:ind w:right="97"/>
              <w:jc w:val="right"/>
              <w:rPr>
                <w:sz w:val="21"/>
              </w:rPr>
            </w:pPr>
            <w:r>
              <w:rPr>
                <w:sz w:val="21"/>
              </w:rPr>
              <w:t>金额 </w:t>
            </w:r>
          </w:p>
        </w:tc>
        <w:tc>
          <w:tcPr>
            <w:tcW w:w="556" w:type="dxa"/>
          </w:tcPr>
          <w:p>
            <w:pPr>
              <w:pStyle w:val="TableParagraph"/>
              <w:spacing w:line="242" w:lineRule="auto" w:before="1"/>
              <w:ind w:left="171" w:right="160"/>
              <w:jc w:val="both"/>
              <w:rPr>
                <w:sz w:val="21"/>
              </w:rPr>
            </w:pPr>
            <w:r>
              <w:rPr>
                <w:sz w:val="21"/>
              </w:rPr>
              <w:t>计提比例</w:t>
            </w:r>
          </w:p>
          <w:p>
            <w:pPr>
              <w:pStyle w:val="TableParagraph"/>
              <w:spacing w:line="250" w:lineRule="exact" w:before="2"/>
              <w:ind w:left="121"/>
              <w:rPr>
                <w:sz w:val="21"/>
              </w:rPr>
            </w:pPr>
            <w:r>
              <w:rPr>
                <w:sz w:val="21"/>
              </w:rPr>
              <w:t>(%) </w:t>
            </w:r>
          </w:p>
        </w:tc>
        <w:tc>
          <w:tcPr>
            <w:tcW w:w="1094" w:type="dxa"/>
            <w:vMerge/>
            <w:tcBorders>
              <w:top w:val="nil"/>
            </w:tcBorders>
          </w:tcPr>
          <w:p>
            <w:pPr>
              <w:rPr>
                <w:sz w:val="2"/>
                <w:szCs w:val="2"/>
              </w:rPr>
            </w:pPr>
          </w:p>
        </w:tc>
      </w:tr>
      <w:tr>
        <w:trPr>
          <w:trHeight w:val="2452" w:hRule="atLeast"/>
        </w:trPr>
        <w:tc>
          <w:tcPr>
            <w:tcW w:w="410" w:type="dxa"/>
          </w:tcPr>
          <w:p>
            <w:pPr>
              <w:pStyle w:val="TableParagraph"/>
              <w:spacing w:line="242" w:lineRule="auto" w:before="1"/>
              <w:ind w:left="107" w:right="80"/>
              <w:jc w:val="both"/>
              <w:rPr>
                <w:sz w:val="21"/>
              </w:rPr>
            </w:pPr>
            <w:r>
              <w:rPr>
                <w:sz w:val="21"/>
              </w:rPr>
              <w:t>按单项计提坏账</w:t>
            </w:r>
          </w:p>
          <w:p>
            <w:pPr>
              <w:pStyle w:val="TableParagraph"/>
              <w:spacing w:line="270" w:lineRule="atLeast"/>
              <w:ind w:left="107" w:right="-29"/>
              <w:rPr>
                <w:sz w:val="21"/>
              </w:rPr>
            </w:pPr>
            <w:r>
              <w:rPr>
                <w:sz w:val="21"/>
              </w:rPr>
              <w:t>准备 </w:t>
            </w:r>
          </w:p>
        </w:tc>
        <w:tc>
          <w:tcPr>
            <w:tcW w:w="1096" w:type="dxa"/>
          </w:tcPr>
          <w:p>
            <w:pPr>
              <w:pStyle w:val="TableParagraph"/>
              <w:spacing w:line="235" w:lineRule="exact"/>
              <w:ind w:left="408"/>
              <w:rPr>
                <w:rFonts w:ascii="Times New Roman"/>
                <w:sz w:val="21"/>
              </w:rPr>
            </w:pPr>
            <w:r>
              <w:rPr>
                <w:rFonts w:ascii="Times New Roman"/>
                <w:sz w:val="21"/>
              </w:rPr>
              <w:t>70,072</w:t>
            </w:r>
          </w:p>
        </w:tc>
        <w:tc>
          <w:tcPr>
            <w:tcW w:w="557" w:type="dxa"/>
          </w:tcPr>
          <w:p>
            <w:pPr>
              <w:pStyle w:val="TableParagraph"/>
              <w:spacing w:line="235" w:lineRule="exact"/>
              <w:ind w:right="92"/>
              <w:jc w:val="right"/>
              <w:rPr>
                <w:rFonts w:ascii="Times New Roman"/>
                <w:sz w:val="21"/>
              </w:rPr>
            </w:pPr>
            <w:r>
              <w:rPr>
                <w:rFonts w:ascii="Times New Roman"/>
                <w:sz w:val="21"/>
              </w:rPr>
              <w:t>0.0</w:t>
            </w:r>
          </w:p>
          <w:p>
            <w:pPr>
              <w:pStyle w:val="TableParagraph"/>
              <w:spacing w:before="1"/>
              <w:ind w:right="95"/>
              <w:jc w:val="right"/>
              <w:rPr>
                <w:rFonts w:ascii="Times New Roman"/>
                <w:sz w:val="21"/>
              </w:rPr>
            </w:pPr>
            <w:r>
              <w:rPr>
                <w:rFonts w:ascii="Times New Roman"/>
                <w:w w:val="100"/>
                <w:sz w:val="21"/>
              </w:rPr>
              <w:t>1</w:t>
            </w:r>
          </w:p>
        </w:tc>
        <w:tc>
          <w:tcPr>
            <w:tcW w:w="852" w:type="dxa"/>
          </w:tcPr>
          <w:p>
            <w:pPr>
              <w:pStyle w:val="TableParagraph"/>
              <w:spacing w:line="235" w:lineRule="exact"/>
              <w:ind w:right="92"/>
              <w:jc w:val="right"/>
              <w:rPr>
                <w:rFonts w:ascii="Times New Roman"/>
                <w:sz w:val="21"/>
              </w:rPr>
            </w:pPr>
            <w:r>
              <w:rPr>
                <w:rFonts w:ascii="Times New Roman"/>
                <w:sz w:val="21"/>
              </w:rPr>
              <w:t>70,072</w:t>
            </w:r>
          </w:p>
        </w:tc>
        <w:tc>
          <w:tcPr>
            <w:tcW w:w="557" w:type="dxa"/>
          </w:tcPr>
          <w:p>
            <w:pPr>
              <w:pStyle w:val="TableParagraph"/>
              <w:spacing w:line="235" w:lineRule="exact"/>
              <w:ind w:left="116" w:right="75"/>
              <w:jc w:val="center"/>
              <w:rPr>
                <w:rFonts w:ascii="Times New Roman"/>
                <w:sz w:val="21"/>
              </w:rPr>
            </w:pPr>
            <w:r>
              <w:rPr>
                <w:rFonts w:ascii="Times New Roman"/>
                <w:sz w:val="21"/>
              </w:rPr>
              <w:t>100</w:t>
            </w:r>
          </w:p>
        </w:tc>
        <w:tc>
          <w:tcPr>
            <w:tcW w:w="1095" w:type="dxa"/>
          </w:tcPr>
          <w:p>
            <w:pPr>
              <w:pStyle w:val="TableParagraph"/>
              <w:spacing w:line="235" w:lineRule="exact"/>
              <w:ind w:right="95"/>
              <w:jc w:val="right"/>
              <w:rPr>
                <w:rFonts w:ascii="Times New Roman"/>
                <w:sz w:val="21"/>
              </w:rPr>
            </w:pPr>
            <w:r>
              <w:rPr>
                <w:rFonts w:ascii="Times New Roman"/>
                <w:w w:val="100"/>
                <w:sz w:val="21"/>
              </w:rPr>
              <w:t>0</w:t>
            </w:r>
          </w:p>
        </w:tc>
        <w:tc>
          <w:tcPr>
            <w:tcW w:w="1097" w:type="dxa"/>
          </w:tcPr>
          <w:p>
            <w:pPr>
              <w:pStyle w:val="TableParagraph"/>
              <w:spacing w:line="235" w:lineRule="exact"/>
              <w:ind w:left="408"/>
              <w:rPr>
                <w:rFonts w:ascii="Times New Roman"/>
                <w:sz w:val="21"/>
              </w:rPr>
            </w:pPr>
            <w:r>
              <w:rPr>
                <w:rFonts w:ascii="Times New Roman"/>
                <w:sz w:val="21"/>
              </w:rPr>
              <w:t>43,773</w:t>
            </w:r>
          </w:p>
        </w:tc>
        <w:tc>
          <w:tcPr>
            <w:tcW w:w="655" w:type="dxa"/>
          </w:tcPr>
          <w:p>
            <w:pPr>
              <w:pStyle w:val="TableParagraph"/>
              <w:spacing w:line="235" w:lineRule="exact"/>
              <w:ind w:left="159" w:right="78"/>
              <w:jc w:val="center"/>
              <w:rPr>
                <w:rFonts w:ascii="Times New Roman"/>
                <w:sz w:val="21"/>
              </w:rPr>
            </w:pPr>
            <w:r>
              <w:rPr>
                <w:rFonts w:ascii="Times New Roman"/>
                <w:sz w:val="21"/>
              </w:rPr>
              <w:t>0.01</w:t>
            </w:r>
          </w:p>
        </w:tc>
        <w:tc>
          <w:tcPr>
            <w:tcW w:w="852" w:type="dxa"/>
          </w:tcPr>
          <w:p>
            <w:pPr>
              <w:pStyle w:val="TableParagraph"/>
              <w:spacing w:line="235" w:lineRule="exact"/>
              <w:ind w:right="92"/>
              <w:jc w:val="right"/>
              <w:rPr>
                <w:rFonts w:ascii="Times New Roman"/>
                <w:sz w:val="21"/>
              </w:rPr>
            </w:pPr>
            <w:r>
              <w:rPr>
                <w:rFonts w:ascii="Times New Roman"/>
                <w:sz w:val="21"/>
              </w:rPr>
              <w:t>43,773</w:t>
            </w:r>
          </w:p>
        </w:tc>
        <w:tc>
          <w:tcPr>
            <w:tcW w:w="556" w:type="dxa"/>
          </w:tcPr>
          <w:p>
            <w:pPr>
              <w:pStyle w:val="TableParagraph"/>
              <w:spacing w:line="235" w:lineRule="exact"/>
              <w:ind w:left="116" w:right="74"/>
              <w:jc w:val="center"/>
              <w:rPr>
                <w:rFonts w:ascii="Times New Roman"/>
                <w:sz w:val="21"/>
              </w:rPr>
            </w:pPr>
            <w:r>
              <w:rPr>
                <w:rFonts w:ascii="Times New Roman"/>
                <w:sz w:val="21"/>
              </w:rPr>
              <w:t>100</w:t>
            </w:r>
          </w:p>
        </w:tc>
        <w:tc>
          <w:tcPr>
            <w:tcW w:w="1094" w:type="dxa"/>
          </w:tcPr>
          <w:p>
            <w:pPr>
              <w:pStyle w:val="TableParagraph"/>
              <w:spacing w:line="235" w:lineRule="exact"/>
              <w:ind w:right="93"/>
              <w:jc w:val="right"/>
              <w:rPr>
                <w:rFonts w:ascii="Times New Roman"/>
                <w:sz w:val="21"/>
              </w:rPr>
            </w:pPr>
            <w:r>
              <w:rPr>
                <w:rFonts w:ascii="Times New Roman"/>
                <w:w w:val="100"/>
                <w:sz w:val="21"/>
              </w:rPr>
              <w:t>0</w:t>
            </w:r>
          </w:p>
        </w:tc>
      </w:tr>
      <w:tr>
        <w:trPr>
          <w:trHeight w:val="2450" w:hRule="atLeast"/>
        </w:trPr>
        <w:tc>
          <w:tcPr>
            <w:tcW w:w="410" w:type="dxa"/>
          </w:tcPr>
          <w:p>
            <w:pPr>
              <w:pStyle w:val="TableParagraph"/>
              <w:spacing w:line="242" w:lineRule="auto" w:before="1"/>
              <w:ind w:left="107" w:right="80"/>
              <w:jc w:val="both"/>
              <w:rPr>
                <w:sz w:val="21"/>
              </w:rPr>
            </w:pPr>
            <w:r>
              <w:rPr>
                <w:sz w:val="21"/>
              </w:rPr>
              <w:t>按组合计提坏账准</w:t>
            </w:r>
          </w:p>
          <w:p>
            <w:pPr>
              <w:pStyle w:val="TableParagraph"/>
              <w:spacing w:line="250" w:lineRule="exact" w:before="5"/>
              <w:ind w:left="107" w:right="-29"/>
              <w:rPr>
                <w:sz w:val="21"/>
              </w:rPr>
            </w:pPr>
            <w:r>
              <w:rPr>
                <w:sz w:val="21"/>
              </w:rPr>
              <w:t>备 </w:t>
            </w:r>
          </w:p>
        </w:tc>
        <w:tc>
          <w:tcPr>
            <w:tcW w:w="1096" w:type="dxa"/>
          </w:tcPr>
          <w:p>
            <w:pPr>
              <w:pStyle w:val="TableParagraph"/>
              <w:spacing w:line="234" w:lineRule="exact"/>
              <w:ind w:right="95"/>
              <w:jc w:val="right"/>
              <w:rPr>
                <w:rFonts w:ascii="Times New Roman"/>
                <w:sz w:val="21"/>
              </w:rPr>
            </w:pPr>
            <w:r>
              <w:rPr>
                <w:rFonts w:ascii="Times New Roman"/>
                <w:sz w:val="21"/>
              </w:rPr>
              <w:t>98,288,88</w:t>
            </w:r>
          </w:p>
          <w:p>
            <w:pPr>
              <w:pStyle w:val="TableParagraph"/>
              <w:spacing w:line="241" w:lineRule="exact"/>
              <w:ind w:right="97"/>
              <w:jc w:val="right"/>
              <w:rPr>
                <w:rFonts w:ascii="Times New Roman"/>
                <w:sz w:val="21"/>
              </w:rPr>
            </w:pPr>
            <w:r>
              <w:rPr>
                <w:rFonts w:ascii="Times New Roman"/>
                <w:w w:val="100"/>
                <w:sz w:val="21"/>
              </w:rPr>
              <w:t>6</w:t>
            </w:r>
          </w:p>
        </w:tc>
        <w:tc>
          <w:tcPr>
            <w:tcW w:w="557" w:type="dxa"/>
          </w:tcPr>
          <w:p>
            <w:pPr>
              <w:pStyle w:val="TableParagraph"/>
              <w:spacing w:line="234" w:lineRule="exact"/>
              <w:ind w:right="92"/>
              <w:jc w:val="right"/>
              <w:rPr>
                <w:rFonts w:ascii="Times New Roman"/>
                <w:sz w:val="21"/>
              </w:rPr>
            </w:pPr>
            <w:r>
              <w:rPr>
                <w:rFonts w:ascii="Times New Roman"/>
                <w:sz w:val="21"/>
              </w:rPr>
              <w:t>0.9</w:t>
            </w:r>
          </w:p>
          <w:p>
            <w:pPr>
              <w:pStyle w:val="TableParagraph"/>
              <w:spacing w:line="241" w:lineRule="exact"/>
              <w:ind w:right="95"/>
              <w:jc w:val="right"/>
              <w:rPr>
                <w:rFonts w:ascii="Times New Roman"/>
                <w:sz w:val="21"/>
              </w:rPr>
            </w:pPr>
            <w:r>
              <w:rPr>
                <w:rFonts w:ascii="Times New Roman"/>
                <w:w w:val="100"/>
                <w:sz w:val="21"/>
              </w:rPr>
              <w:t>9</w:t>
            </w:r>
          </w:p>
        </w:tc>
        <w:tc>
          <w:tcPr>
            <w:tcW w:w="852" w:type="dxa"/>
          </w:tcPr>
          <w:p>
            <w:pPr>
              <w:pStyle w:val="TableParagraph"/>
              <w:spacing w:line="234" w:lineRule="exact"/>
              <w:ind w:right="92"/>
              <w:jc w:val="right"/>
              <w:rPr>
                <w:rFonts w:ascii="Times New Roman"/>
                <w:sz w:val="21"/>
              </w:rPr>
            </w:pPr>
            <w:r>
              <w:rPr>
                <w:rFonts w:ascii="Times New Roman"/>
                <w:sz w:val="21"/>
              </w:rPr>
              <w:t>615,96</w:t>
            </w:r>
          </w:p>
          <w:p>
            <w:pPr>
              <w:pStyle w:val="TableParagraph"/>
              <w:spacing w:line="241" w:lineRule="exact"/>
              <w:ind w:right="94"/>
              <w:jc w:val="right"/>
              <w:rPr>
                <w:rFonts w:ascii="Times New Roman"/>
                <w:sz w:val="21"/>
              </w:rPr>
            </w:pPr>
            <w:r>
              <w:rPr>
                <w:rFonts w:ascii="Times New Roman"/>
                <w:w w:val="100"/>
                <w:sz w:val="21"/>
              </w:rPr>
              <w:t>6</w:t>
            </w:r>
          </w:p>
        </w:tc>
        <w:tc>
          <w:tcPr>
            <w:tcW w:w="557" w:type="dxa"/>
          </w:tcPr>
          <w:p>
            <w:pPr>
              <w:pStyle w:val="TableParagraph"/>
              <w:spacing w:line="234" w:lineRule="exact"/>
              <w:ind w:right="92"/>
              <w:jc w:val="right"/>
              <w:rPr>
                <w:rFonts w:ascii="Times New Roman"/>
                <w:sz w:val="21"/>
              </w:rPr>
            </w:pPr>
            <w:r>
              <w:rPr>
                <w:rFonts w:ascii="Times New Roman"/>
                <w:sz w:val="21"/>
              </w:rPr>
              <w:t>0.6</w:t>
            </w:r>
          </w:p>
          <w:p>
            <w:pPr>
              <w:pStyle w:val="TableParagraph"/>
              <w:spacing w:line="241" w:lineRule="exact"/>
              <w:ind w:right="94"/>
              <w:jc w:val="right"/>
              <w:rPr>
                <w:rFonts w:ascii="Times New Roman"/>
                <w:sz w:val="21"/>
              </w:rPr>
            </w:pPr>
            <w:r>
              <w:rPr>
                <w:rFonts w:ascii="Times New Roman"/>
                <w:w w:val="100"/>
                <w:sz w:val="21"/>
              </w:rPr>
              <w:t>3</w:t>
            </w:r>
          </w:p>
        </w:tc>
        <w:tc>
          <w:tcPr>
            <w:tcW w:w="1095" w:type="dxa"/>
          </w:tcPr>
          <w:p>
            <w:pPr>
              <w:pStyle w:val="TableParagraph"/>
              <w:spacing w:line="234" w:lineRule="exact"/>
              <w:ind w:right="93"/>
              <w:jc w:val="right"/>
              <w:rPr>
                <w:rFonts w:ascii="Times New Roman"/>
                <w:sz w:val="21"/>
              </w:rPr>
            </w:pPr>
            <w:r>
              <w:rPr>
                <w:rFonts w:ascii="Times New Roman"/>
                <w:sz w:val="21"/>
              </w:rPr>
              <w:t>97,672,92</w:t>
            </w:r>
          </w:p>
          <w:p>
            <w:pPr>
              <w:pStyle w:val="TableParagraph"/>
              <w:spacing w:line="241" w:lineRule="exact"/>
              <w:ind w:right="95"/>
              <w:jc w:val="right"/>
              <w:rPr>
                <w:rFonts w:ascii="Times New Roman"/>
                <w:sz w:val="21"/>
              </w:rPr>
            </w:pPr>
            <w:r>
              <w:rPr>
                <w:rFonts w:ascii="Times New Roman"/>
                <w:w w:val="100"/>
                <w:sz w:val="21"/>
              </w:rPr>
              <w:t>0</w:t>
            </w:r>
          </w:p>
        </w:tc>
        <w:tc>
          <w:tcPr>
            <w:tcW w:w="1097" w:type="dxa"/>
          </w:tcPr>
          <w:p>
            <w:pPr>
              <w:pStyle w:val="TableParagraph"/>
              <w:spacing w:line="234" w:lineRule="exact"/>
              <w:ind w:right="95"/>
              <w:jc w:val="right"/>
              <w:rPr>
                <w:rFonts w:ascii="Times New Roman"/>
                <w:sz w:val="21"/>
              </w:rPr>
            </w:pPr>
            <w:r>
              <w:rPr>
                <w:rFonts w:ascii="Times New Roman"/>
                <w:sz w:val="21"/>
              </w:rPr>
              <w:t>87,774,57</w:t>
            </w:r>
          </w:p>
          <w:p>
            <w:pPr>
              <w:pStyle w:val="TableParagraph"/>
              <w:spacing w:line="241" w:lineRule="exact"/>
              <w:ind w:right="97"/>
              <w:jc w:val="right"/>
              <w:rPr>
                <w:rFonts w:ascii="Times New Roman"/>
                <w:sz w:val="21"/>
              </w:rPr>
            </w:pPr>
            <w:r>
              <w:rPr>
                <w:rFonts w:ascii="Times New Roman"/>
                <w:w w:val="100"/>
                <w:sz w:val="21"/>
              </w:rPr>
              <w:t>8</w:t>
            </w:r>
          </w:p>
        </w:tc>
        <w:tc>
          <w:tcPr>
            <w:tcW w:w="655" w:type="dxa"/>
          </w:tcPr>
          <w:p>
            <w:pPr>
              <w:pStyle w:val="TableParagraph"/>
              <w:spacing w:line="234" w:lineRule="exact"/>
              <w:ind w:right="95"/>
              <w:jc w:val="right"/>
              <w:rPr>
                <w:rFonts w:ascii="Times New Roman"/>
                <w:sz w:val="21"/>
              </w:rPr>
            </w:pPr>
            <w:r>
              <w:rPr>
                <w:rFonts w:ascii="Times New Roman"/>
                <w:sz w:val="21"/>
              </w:rPr>
              <w:t>99.9</w:t>
            </w:r>
          </w:p>
          <w:p>
            <w:pPr>
              <w:pStyle w:val="TableParagraph"/>
              <w:spacing w:line="241" w:lineRule="exact"/>
              <w:ind w:right="97"/>
              <w:jc w:val="right"/>
              <w:rPr>
                <w:rFonts w:ascii="Times New Roman"/>
                <w:sz w:val="21"/>
              </w:rPr>
            </w:pPr>
            <w:r>
              <w:rPr>
                <w:rFonts w:ascii="Times New Roman"/>
                <w:w w:val="100"/>
                <w:sz w:val="21"/>
              </w:rPr>
              <w:t>9</w:t>
            </w:r>
          </w:p>
        </w:tc>
        <w:tc>
          <w:tcPr>
            <w:tcW w:w="852" w:type="dxa"/>
          </w:tcPr>
          <w:p>
            <w:pPr>
              <w:pStyle w:val="TableParagraph"/>
              <w:spacing w:line="234" w:lineRule="exact"/>
              <w:ind w:right="92"/>
              <w:jc w:val="right"/>
              <w:rPr>
                <w:rFonts w:ascii="Times New Roman"/>
                <w:sz w:val="21"/>
              </w:rPr>
            </w:pPr>
            <w:r>
              <w:rPr>
                <w:rFonts w:ascii="Times New Roman"/>
                <w:sz w:val="21"/>
              </w:rPr>
              <w:t>744,88</w:t>
            </w:r>
          </w:p>
          <w:p>
            <w:pPr>
              <w:pStyle w:val="TableParagraph"/>
              <w:spacing w:line="241" w:lineRule="exact"/>
              <w:ind w:right="95"/>
              <w:jc w:val="right"/>
              <w:rPr>
                <w:rFonts w:ascii="Times New Roman"/>
                <w:sz w:val="21"/>
              </w:rPr>
            </w:pPr>
            <w:r>
              <w:rPr>
                <w:rFonts w:ascii="Times New Roman"/>
                <w:w w:val="100"/>
                <w:sz w:val="21"/>
              </w:rPr>
              <w:t>1</w:t>
            </w:r>
          </w:p>
        </w:tc>
        <w:tc>
          <w:tcPr>
            <w:tcW w:w="556" w:type="dxa"/>
          </w:tcPr>
          <w:p>
            <w:pPr>
              <w:pStyle w:val="TableParagraph"/>
              <w:spacing w:line="234" w:lineRule="exact"/>
              <w:ind w:right="91"/>
              <w:jc w:val="right"/>
              <w:rPr>
                <w:rFonts w:ascii="Times New Roman"/>
                <w:sz w:val="21"/>
              </w:rPr>
            </w:pPr>
            <w:r>
              <w:rPr>
                <w:rFonts w:ascii="Times New Roman"/>
                <w:sz w:val="21"/>
              </w:rPr>
              <w:t>0.8</w:t>
            </w:r>
          </w:p>
          <w:p>
            <w:pPr>
              <w:pStyle w:val="TableParagraph"/>
              <w:spacing w:line="241" w:lineRule="exact"/>
              <w:ind w:right="93"/>
              <w:jc w:val="right"/>
              <w:rPr>
                <w:rFonts w:ascii="Times New Roman"/>
                <w:sz w:val="21"/>
              </w:rPr>
            </w:pPr>
            <w:r>
              <w:rPr>
                <w:rFonts w:ascii="Times New Roman"/>
                <w:w w:val="100"/>
                <w:sz w:val="21"/>
              </w:rPr>
              <w:t>5</w:t>
            </w:r>
          </w:p>
        </w:tc>
        <w:tc>
          <w:tcPr>
            <w:tcW w:w="1094" w:type="dxa"/>
          </w:tcPr>
          <w:p>
            <w:pPr>
              <w:pStyle w:val="TableParagraph"/>
              <w:spacing w:line="234" w:lineRule="exact"/>
              <w:ind w:right="90"/>
              <w:jc w:val="right"/>
              <w:rPr>
                <w:rFonts w:ascii="Times New Roman"/>
                <w:sz w:val="21"/>
              </w:rPr>
            </w:pPr>
            <w:r>
              <w:rPr>
                <w:rFonts w:ascii="Times New Roman"/>
                <w:sz w:val="21"/>
              </w:rPr>
              <w:t>87,029,69</w:t>
            </w:r>
          </w:p>
          <w:p>
            <w:pPr>
              <w:pStyle w:val="TableParagraph"/>
              <w:spacing w:line="241" w:lineRule="exact"/>
              <w:ind w:right="93"/>
              <w:jc w:val="right"/>
              <w:rPr>
                <w:rFonts w:ascii="Times New Roman"/>
                <w:sz w:val="21"/>
              </w:rPr>
            </w:pPr>
            <w:r>
              <w:rPr>
                <w:rFonts w:ascii="Times New Roman"/>
                <w:w w:val="100"/>
                <w:sz w:val="21"/>
              </w:rPr>
              <w:t>7</w:t>
            </w:r>
          </w:p>
        </w:tc>
      </w:tr>
      <w:tr>
        <w:trPr>
          <w:trHeight w:val="544" w:hRule="atLeast"/>
        </w:trPr>
        <w:tc>
          <w:tcPr>
            <w:tcW w:w="410" w:type="dxa"/>
          </w:tcPr>
          <w:p>
            <w:pPr>
              <w:pStyle w:val="TableParagraph"/>
              <w:spacing w:before="1"/>
              <w:ind w:left="107"/>
              <w:rPr>
                <w:sz w:val="21"/>
              </w:rPr>
            </w:pPr>
            <w:r>
              <w:rPr>
                <w:w w:val="100"/>
                <w:sz w:val="21"/>
              </w:rPr>
              <w:t>合</w:t>
            </w:r>
          </w:p>
          <w:p>
            <w:pPr>
              <w:pStyle w:val="TableParagraph"/>
              <w:spacing w:line="250" w:lineRule="exact" w:before="4"/>
              <w:ind w:left="107" w:right="-29"/>
              <w:rPr>
                <w:sz w:val="21"/>
              </w:rPr>
            </w:pPr>
            <w:r>
              <w:rPr>
                <w:sz w:val="21"/>
              </w:rPr>
              <w:t>计 </w:t>
            </w:r>
          </w:p>
        </w:tc>
        <w:tc>
          <w:tcPr>
            <w:tcW w:w="1096" w:type="dxa"/>
          </w:tcPr>
          <w:p>
            <w:pPr>
              <w:pStyle w:val="TableParagraph"/>
              <w:spacing w:line="235" w:lineRule="exact"/>
              <w:ind w:right="95"/>
              <w:jc w:val="right"/>
              <w:rPr>
                <w:rFonts w:ascii="Times New Roman"/>
                <w:sz w:val="21"/>
              </w:rPr>
            </w:pPr>
            <w:r>
              <w:rPr>
                <w:rFonts w:ascii="Times New Roman"/>
                <w:sz w:val="21"/>
              </w:rPr>
              <w:t>98,358,95</w:t>
            </w:r>
          </w:p>
          <w:p>
            <w:pPr>
              <w:pStyle w:val="TableParagraph"/>
              <w:spacing w:before="1"/>
              <w:ind w:right="97"/>
              <w:jc w:val="right"/>
              <w:rPr>
                <w:rFonts w:ascii="Times New Roman"/>
                <w:sz w:val="21"/>
              </w:rPr>
            </w:pPr>
            <w:r>
              <w:rPr>
                <w:rFonts w:ascii="Times New Roman"/>
                <w:w w:val="100"/>
                <w:sz w:val="21"/>
              </w:rPr>
              <w:t>8</w:t>
            </w:r>
          </w:p>
        </w:tc>
        <w:tc>
          <w:tcPr>
            <w:tcW w:w="557" w:type="dxa"/>
          </w:tcPr>
          <w:p>
            <w:pPr>
              <w:pStyle w:val="TableParagraph"/>
              <w:spacing w:line="235" w:lineRule="exact"/>
              <w:ind w:left="7"/>
              <w:jc w:val="center"/>
              <w:rPr>
                <w:rFonts w:ascii="Times New Roman"/>
                <w:sz w:val="21"/>
              </w:rPr>
            </w:pPr>
            <w:r>
              <w:rPr>
                <w:rFonts w:ascii="Times New Roman"/>
                <w:w w:val="100"/>
                <w:sz w:val="21"/>
              </w:rPr>
              <w:t>/</w:t>
            </w:r>
          </w:p>
        </w:tc>
        <w:tc>
          <w:tcPr>
            <w:tcW w:w="852" w:type="dxa"/>
          </w:tcPr>
          <w:p>
            <w:pPr>
              <w:pStyle w:val="TableParagraph"/>
              <w:spacing w:line="235" w:lineRule="exact"/>
              <w:ind w:right="92"/>
              <w:jc w:val="right"/>
              <w:rPr>
                <w:rFonts w:ascii="Times New Roman"/>
                <w:sz w:val="21"/>
              </w:rPr>
            </w:pPr>
            <w:r>
              <w:rPr>
                <w:rFonts w:ascii="Times New Roman"/>
                <w:sz w:val="21"/>
              </w:rPr>
              <w:t>686,03</w:t>
            </w:r>
          </w:p>
          <w:p>
            <w:pPr>
              <w:pStyle w:val="TableParagraph"/>
              <w:spacing w:before="1"/>
              <w:ind w:right="94"/>
              <w:jc w:val="right"/>
              <w:rPr>
                <w:rFonts w:ascii="Times New Roman"/>
                <w:sz w:val="21"/>
              </w:rPr>
            </w:pPr>
            <w:r>
              <w:rPr>
                <w:rFonts w:ascii="Times New Roman"/>
                <w:w w:val="100"/>
                <w:sz w:val="21"/>
              </w:rPr>
              <w:t>8</w:t>
            </w:r>
          </w:p>
        </w:tc>
        <w:tc>
          <w:tcPr>
            <w:tcW w:w="557" w:type="dxa"/>
          </w:tcPr>
          <w:p>
            <w:pPr>
              <w:pStyle w:val="TableParagraph"/>
              <w:spacing w:line="235" w:lineRule="exact"/>
              <w:ind w:left="8"/>
              <w:jc w:val="center"/>
              <w:rPr>
                <w:rFonts w:ascii="Times New Roman"/>
                <w:sz w:val="21"/>
              </w:rPr>
            </w:pPr>
            <w:r>
              <w:rPr>
                <w:rFonts w:ascii="Times New Roman"/>
                <w:w w:val="100"/>
                <w:sz w:val="21"/>
              </w:rPr>
              <w:t>/</w:t>
            </w:r>
          </w:p>
        </w:tc>
        <w:tc>
          <w:tcPr>
            <w:tcW w:w="1095" w:type="dxa"/>
          </w:tcPr>
          <w:p>
            <w:pPr>
              <w:pStyle w:val="TableParagraph"/>
              <w:spacing w:line="235" w:lineRule="exact"/>
              <w:ind w:right="93"/>
              <w:jc w:val="right"/>
              <w:rPr>
                <w:rFonts w:ascii="Times New Roman"/>
                <w:sz w:val="21"/>
              </w:rPr>
            </w:pPr>
            <w:r>
              <w:rPr>
                <w:rFonts w:ascii="Times New Roman"/>
                <w:sz w:val="21"/>
              </w:rPr>
              <w:t>97,672,92</w:t>
            </w:r>
          </w:p>
          <w:p>
            <w:pPr>
              <w:pStyle w:val="TableParagraph"/>
              <w:spacing w:before="1"/>
              <w:ind w:right="95"/>
              <w:jc w:val="right"/>
              <w:rPr>
                <w:rFonts w:ascii="Times New Roman"/>
                <w:sz w:val="21"/>
              </w:rPr>
            </w:pPr>
            <w:r>
              <w:rPr>
                <w:rFonts w:ascii="Times New Roman"/>
                <w:w w:val="100"/>
                <w:sz w:val="21"/>
              </w:rPr>
              <w:t>0</w:t>
            </w:r>
          </w:p>
        </w:tc>
        <w:tc>
          <w:tcPr>
            <w:tcW w:w="1097" w:type="dxa"/>
          </w:tcPr>
          <w:p>
            <w:pPr>
              <w:pStyle w:val="TableParagraph"/>
              <w:spacing w:line="235" w:lineRule="exact"/>
              <w:ind w:right="95"/>
              <w:jc w:val="right"/>
              <w:rPr>
                <w:rFonts w:ascii="Times New Roman"/>
                <w:sz w:val="21"/>
              </w:rPr>
            </w:pPr>
            <w:r>
              <w:rPr>
                <w:rFonts w:ascii="Times New Roman"/>
                <w:sz w:val="21"/>
              </w:rPr>
              <w:t>87,818,35</w:t>
            </w:r>
          </w:p>
          <w:p>
            <w:pPr>
              <w:pStyle w:val="TableParagraph"/>
              <w:spacing w:before="1"/>
              <w:ind w:right="97"/>
              <w:jc w:val="right"/>
              <w:rPr>
                <w:rFonts w:ascii="Times New Roman"/>
                <w:sz w:val="21"/>
              </w:rPr>
            </w:pPr>
            <w:r>
              <w:rPr>
                <w:rFonts w:ascii="Times New Roman"/>
                <w:w w:val="100"/>
                <w:sz w:val="21"/>
              </w:rPr>
              <w:t>1</w:t>
            </w:r>
          </w:p>
        </w:tc>
        <w:tc>
          <w:tcPr>
            <w:tcW w:w="655" w:type="dxa"/>
          </w:tcPr>
          <w:p>
            <w:pPr>
              <w:pStyle w:val="TableParagraph"/>
              <w:spacing w:line="235" w:lineRule="exact"/>
              <w:ind w:left="5"/>
              <w:jc w:val="center"/>
              <w:rPr>
                <w:rFonts w:ascii="Times New Roman"/>
                <w:sz w:val="21"/>
              </w:rPr>
            </w:pPr>
            <w:r>
              <w:rPr>
                <w:rFonts w:ascii="Times New Roman"/>
                <w:w w:val="100"/>
                <w:sz w:val="21"/>
              </w:rPr>
              <w:t>/</w:t>
            </w:r>
          </w:p>
        </w:tc>
        <w:tc>
          <w:tcPr>
            <w:tcW w:w="852" w:type="dxa"/>
          </w:tcPr>
          <w:p>
            <w:pPr>
              <w:pStyle w:val="TableParagraph"/>
              <w:spacing w:line="235" w:lineRule="exact"/>
              <w:ind w:right="92"/>
              <w:jc w:val="right"/>
              <w:rPr>
                <w:rFonts w:ascii="Times New Roman"/>
                <w:sz w:val="21"/>
              </w:rPr>
            </w:pPr>
            <w:r>
              <w:rPr>
                <w:rFonts w:ascii="Times New Roman"/>
                <w:sz w:val="21"/>
              </w:rPr>
              <w:t>788,65</w:t>
            </w:r>
          </w:p>
          <w:p>
            <w:pPr>
              <w:pStyle w:val="TableParagraph"/>
              <w:spacing w:before="1"/>
              <w:ind w:right="95"/>
              <w:jc w:val="right"/>
              <w:rPr>
                <w:rFonts w:ascii="Times New Roman"/>
                <w:sz w:val="21"/>
              </w:rPr>
            </w:pPr>
            <w:r>
              <w:rPr>
                <w:rFonts w:ascii="Times New Roman"/>
                <w:w w:val="100"/>
                <w:sz w:val="21"/>
              </w:rPr>
              <w:t>4</w:t>
            </w:r>
          </w:p>
        </w:tc>
        <w:tc>
          <w:tcPr>
            <w:tcW w:w="556" w:type="dxa"/>
          </w:tcPr>
          <w:p>
            <w:pPr>
              <w:pStyle w:val="TableParagraph"/>
              <w:spacing w:line="235" w:lineRule="exact"/>
              <w:ind w:left="10"/>
              <w:jc w:val="center"/>
              <w:rPr>
                <w:rFonts w:ascii="Times New Roman"/>
                <w:sz w:val="21"/>
              </w:rPr>
            </w:pPr>
            <w:r>
              <w:rPr>
                <w:rFonts w:ascii="Times New Roman"/>
                <w:w w:val="100"/>
                <w:sz w:val="21"/>
              </w:rPr>
              <w:t>/</w:t>
            </w:r>
          </w:p>
        </w:tc>
        <w:tc>
          <w:tcPr>
            <w:tcW w:w="1094" w:type="dxa"/>
          </w:tcPr>
          <w:p>
            <w:pPr>
              <w:pStyle w:val="TableParagraph"/>
              <w:spacing w:line="235" w:lineRule="exact"/>
              <w:ind w:right="90"/>
              <w:jc w:val="right"/>
              <w:rPr>
                <w:rFonts w:ascii="Times New Roman"/>
                <w:sz w:val="21"/>
              </w:rPr>
            </w:pPr>
            <w:r>
              <w:rPr>
                <w:rFonts w:ascii="Times New Roman"/>
                <w:sz w:val="21"/>
              </w:rPr>
              <w:t>87,029,69</w:t>
            </w:r>
          </w:p>
          <w:p>
            <w:pPr>
              <w:pStyle w:val="TableParagraph"/>
              <w:spacing w:before="1"/>
              <w:ind w:right="93"/>
              <w:jc w:val="right"/>
              <w:rPr>
                <w:rFonts w:ascii="Times New Roman"/>
                <w:sz w:val="21"/>
              </w:rPr>
            </w:pPr>
            <w:r>
              <w:rPr>
                <w:rFonts w:ascii="Times New Roman"/>
                <w:w w:val="100"/>
                <w:sz w:val="21"/>
              </w:rPr>
              <w:t>7</w:t>
            </w:r>
          </w:p>
        </w:tc>
      </w:tr>
    </w:tbl>
    <w:p>
      <w:pPr>
        <w:spacing w:after="0"/>
        <w:jc w:val="right"/>
        <w:rPr>
          <w:rFonts w:ascii="Times New Roman"/>
          <w:sz w:val="21"/>
        </w:rPr>
        <w:sectPr>
          <w:type w:val="continuous"/>
          <w:pgSz w:w="11910" w:h="16840"/>
          <w:pgMar w:top="780" w:bottom="280" w:left="1480" w:right="0"/>
        </w:sectPr>
      </w:pPr>
    </w:p>
    <w:p>
      <w:pPr>
        <w:pStyle w:val="BodyText"/>
        <w:spacing w:before="1"/>
      </w:pPr>
      <w:r>
        <w:rPr>
          <w:w w:val="100"/>
        </w:rPr>
        <w:t> </w:t>
      </w:r>
    </w:p>
    <w:p>
      <w:pPr>
        <w:pStyle w:val="BodyText"/>
        <w:spacing w:before="4"/>
      </w:pPr>
      <w:r>
        <w:rPr>
          <w:spacing w:val="-1"/>
        </w:rPr>
        <w:t>按单项计提坏账准备：</w:t>
      </w:r>
      <w:r>
        <w:rPr/>
        <w:t> </w:t>
      </w:r>
    </w:p>
    <w:p>
      <w:pPr>
        <w:pStyle w:val="BodyText"/>
        <w:spacing w:before="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spacing w:before="12"/>
        <w:ind w:left="0"/>
        <w:rPr>
          <w:sz w:val="23"/>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2565" w:space="3643"/>
            <w:col w:w="4222"/>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8"/>
        <w:gridCol w:w="1656"/>
        <w:gridCol w:w="1661"/>
        <w:gridCol w:w="1656"/>
        <w:gridCol w:w="1802"/>
      </w:tblGrid>
      <w:tr>
        <w:trPr>
          <w:trHeight w:val="273" w:hRule="atLeast"/>
        </w:trPr>
        <w:tc>
          <w:tcPr>
            <w:tcW w:w="2048" w:type="dxa"/>
            <w:vMerge w:val="restart"/>
          </w:tcPr>
          <w:p>
            <w:pPr>
              <w:pStyle w:val="TableParagraph"/>
              <w:spacing w:before="142"/>
              <w:ind w:left="846" w:right="732"/>
              <w:jc w:val="center"/>
              <w:rPr>
                <w:sz w:val="21"/>
              </w:rPr>
            </w:pPr>
            <w:r>
              <w:rPr>
                <w:sz w:val="21"/>
              </w:rPr>
              <w:t>名称 </w:t>
            </w:r>
          </w:p>
        </w:tc>
        <w:tc>
          <w:tcPr>
            <w:tcW w:w="6775" w:type="dxa"/>
            <w:gridSpan w:val="4"/>
          </w:tcPr>
          <w:p>
            <w:pPr>
              <w:pStyle w:val="TableParagraph"/>
              <w:spacing w:line="252" w:lineRule="exact" w:before="1"/>
              <w:ind w:left="3001" w:right="2888"/>
              <w:jc w:val="center"/>
              <w:rPr>
                <w:sz w:val="21"/>
              </w:rPr>
            </w:pPr>
            <w:r>
              <w:rPr>
                <w:spacing w:val="-1"/>
                <w:sz w:val="21"/>
              </w:rPr>
              <w:t>期末余额</w:t>
            </w:r>
            <w:r>
              <w:rPr>
                <w:sz w:val="21"/>
              </w:rPr>
              <w:t> </w:t>
            </w:r>
          </w:p>
        </w:tc>
      </w:tr>
      <w:tr>
        <w:trPr>
          <w:trHeight w:val="273" w:hRule="atLeast"/>
        </w:trPr>
        <w:tc>
          <w:tcPr>
            <w:tcW w:w="2048" w:type="dxa"/>
            <w:vMerge/>
            <w:tcBorders>
              <w:top w:val="nil"/>
            </w:tcBorders>
          </w:tcPr>
          <w:p>
            <w:pPr>
              <w:rPr>
                <w:sz w:val="2"/>
                <w:szCs w:val="2"/>
              </w:rPr>
            </w:pPr>
          </w:p>
        </w:tc>
        <w:tc>
          <w:tcPr>
            <w:tcW w:w="1656" w:type="dxa"/>
          </w:tcPr>
          <w:p>
            <w:pPr>
              <w:pStyle w:val="TableParagraph"/>
              <w:spacing w:line="252" w:lineRule="exact" w:before="1"/>
              <w:ind w:left="407"/>
              <w:rPr>
                <w:sz w:val="21"/>
              </w:rPr>
            </w:pPr>
            <w:r>
              <w:rPr>
                <w:spacing w:val="-1"/>
                <w:sz w:val="21"/>
              </w:rPr>
              <w:t>账面余额</w:t>
            </w:r>
            <w:r>
              <w:rPr>
                <w:sz w:val="21"/>
              </w:rPr>
              <w:t> </w:t>
            </w:r>
          </w:p>
        </w:tc>
        <w:tc>
          <w:tcPr>
            <w:tcW w:w="1661" w:type="dxa"/>
          </w:tcPr>
          <w:p>
            <w:pPr>
              <w:pStyle w:val="TableParagraph"/>
              <w:spacing w:line="252" w:lineRule="exact" w:before="1"/>
              <w:ind w:left="407"/>
              <w:rPr>
                <w:sz w:val="21"/>
              </w:rPr>
            </w:pPr>
            <w:r>
              <w:rPr>
                <w:spacing w:val="-1"/>
                <w:sz w:val="21"/>
              </w:rPr>
              <w:t>坏账准备</w:t>
            </w:r>
            <w:r>
              <w:rPr>
                <w:sz w:val="21"/>
              </w:rPr>
              <w:t> </w:t>
            </w:r>
          </w:p>
        </w:tc>
        <w:tc>
          <w:tcPr>
            <w:tcW w:w="1656" w:type="dxa"/>
          </w:tcPr>
          <w:p>
            <w:pPr>
              <w:pStyle w:val="TableParagraph"/>
              <w:spacing w:line="252" w:lineRule="exact" w:before="1"/>
              <w:ind w:right="31"/>
              <w:jc w:val="right"/>
              <w:rPr>
                <w:sz w:val="21"/>
              </w:rPr>
            </w:pPr>
            <w:r>
              <w:rPr>
                <w:spacing w:val="-1"/>
                <w:sz w:val="21"/>
              </w:rPr>
              <w:t>计提比例</w:t>
            </w:r>
            <w:r>
              <w:rPr>
                <w:sz w:val="21"/>
              </w:rPr>
              <w:t>（%） </w:t>
            </w:r>
          </w:p>
        </w:tc>
        <w:tc>
          <w:tcPr>
            <w:tcW w:w="1802" w:type="dxa"/>
          </w:tcPr>
          <w:p>
            <w:pPr>
              <w:pStyle w:val="TableParagraph"/>
              <w:spacing w:line="252" w:lineRule="exact" w:before="1"/>
              <w:ind w:left="480"/>
              <w:rPr>
                <w:sz w:val="21"/>
              </w:rPr>
            </w:pPr>
            <w:r>
              <w:rPr>
                <w:spacing w:val="-1"/>
                <w:sz w:val="21"/>
              </w:rPr>
              <w:t>计提理由</w:t>
            </w:r>
            <w:r>
              <w:rPr>
                <w:sz w:val="21"/>
              </w:rPr>
              <w:t> </w:t>
            </w:r>
          </w:p>
        </w:tc>
      </w:tr>
      <w:tr>
        <w:trPr>
          <w:trHeight w:val="544" w:hRule="atLeast"/>
        </w:trPr>
        <w:tc>
          <w:tcPr>
            <w:tcW w:w="2048" w:type="dxa"/>
          </w:tcPr>
          <w:p>
            <w:pPr>
              <w:pStyle w:val="TableParagraph"/>
              <w:spacing w:before="1"/>
              <w:ind w:left="107"/>
              <w:rPr>
                <w:sz w:val="21"/>
              </w:rPr>
            </w:pPr>
            <w:r>
              <w:rPr>
                <w:spacing w:val="-12"/>
                <w:sz w:val="21"/>
              </w:rPr>
              <w:t>应收账款 </w:t>
            </w:r>
            <w:r>
              <w:rPr>
                <w:rFonts w:ascii="Times New Roman" w:eastAsia="Times New Roman"/>
                <w:sz w:val="21"/>
              </w:rPr>
              <w:t>1</w:t>
            </w:r>
            <w:r>
              <w:rPr>
                <w:sz w:val="21"/>
              </w:rPr>
              <w:t> </w:t>
            </w:r>
          </w:p>
        </w:tc>
        <w:tc>
          <w:tcPr>
            <w:tcW w:w="1656" w:type="dxa"/>
          </w:tcPr>
          <w:p>
            <w:pPr>
              <w:pStyle w:val="TableParagraph"/>
              <w:spacing w:line="235" w:lineRule="exact"/>
              <w:ind w:right="94"/>
              <w:jc w:val="right"/>
              <w:rPr>
                <w:rFonts w:ascii="Times New Roman"/>
                <w:sz w:val="21"/>
              </w:rPr>
            </w:pPr>
            <w:r>
              <w:rPr>
                <w:rFonts w:ascii="Times New Roman"/>
                <w:sz w:val="21"/>
              </w:rPr>
              <w:t>17,885</w:t>
            </w:r>
          </w:p>
        </w:tc>
        <w:tc>
          <w:tcPr>
            <w:tcW w:w="1661" w:type="dxa"/>
          </w:tcPr>
          <w:p>
            <w:pPr>
              <w:pStyle w:val="TableParagraph"/>
              <w:spacing w:line="235" w:lineRule="exact"/>
              <w:ind w:right="96"/>
              <w:jc w:val="right"/>
              <w:rPr>
                <w:rFonts w:ascii="Times New Roman"/>
                <w:sz w:val="21"/>
              </w:rPr>
            </w:pPr>
            <w:r>
              <w:rPr>
                <w:rFonts w:ascii="Times New Roman"/>
                <w:sz w:val="21"/>
              </w:rPr>
              <w:t>17,885</w:t>
            </w:r>
          </w:p>
        </w:tc>
        <w:tc>
          <w:tcPr>
            <w:tcW w:w="1656" w:type="dxa"/>
          </w:tcPr>
          <w:p>
            <w:pPr>
              <w:pStyle w:val="TableParagraph"/>
              <w:spacing w:line="235" w:lineRule="exact"/>
              <w:ind w:right="95"/>
              <w:jc w:val="right"/>
              <w:rPr>
                <w:rFonts w:ascii="Times New Roman"/>
                <w:sz w:val="21"/>
              </w:rPr>
            </w:pPr>
            <w:r>
              <w:rPr>
                <w:rFonts w:ascii="Times New Roman"/>
                <w:sz w:val="21"/>
              </w:rPr>
              <w:t>100%</w:t>
            </w:r>
          </w:p>
        </w:tc>
        <w:tc>
          <w:tcPr>
            <w:tcW w:w="1802" w:type="dxa"/>
          </w:tcPr>
          <w:p>
            <w:pPr>
              <w:pStyle w:val="TableParagraph"/>
              <w:spacing w:before="1"/>
              <w:ind w:left="108"/>
              <w:rPr>
                <w:sz w:val="21"/>
              </w:rPr>
            </w:pPr>
            <w:r>
              <w:rPr>
                <w:sz w:val="21"/>
              </w:rPr>
              <w:t>经评估，个别认</w:t>
            </w:r>
          </w:p>
          <w:p>
            <w:pPr>
              <w:pStyle w:val="TableParagraph"/>
              <w:spacing w:line="252" w:lineRule="exact" w:before="2"/>
              <w:ind w:left="108"/>
              <w:rPr>
                <w:sz w:val="21"/>
              </w:rPr>
            </w:pPr>
            <w:r>
              <w:rPr>
                <w:sz w:val="21"/>
              </w:rPr>
              <w:t>定 </w:t>
            </w:r>
          </w:p>
        </w:tc>
      </w:tr>
      <w:tr>
        <w:trPr>
          <w:trHeight w:val="545" w:hRule="atLeast"/>
        </w:trPr>
        <w:tc>
          <w:tcPr>
            <w:tcW w:w="2048" w:type="dxa"/>
          </w:tcPr>
          <w:p>
            <w:pPr>
              <w:pStyle w:val="TableParagraph"/>
              <w:spacing w:before="1"/>
              <w:ind w:left="107"/>
              <w:rPr>
                <w:sz w:val="21"/>
              </w:rPr>
            </w:pPr>
            <w:r>
              <w:rPr>
                <w:spacing w:val="-12"/>
                <w:sz w:val="21"/>
              </w:rPr>
              <w:t>应收账款 </w:t>
            </w:r>
            <w:r>
              <w:rPr>
                <w:rFonts w:ascii="Times New Roman" w:eastAsia="Times New Roman"/>
                <w:sz w:val="21"/>
              </w:rPr>
              <w:t>2</w:t>
            </w:r>
            <w:r>
              <w:rPr>
                <w:sz w:val="21"/>
              </w:rPr>
              <w:t> </w:t>
            </w:r>
          </w:p>
        </w:tc>
        <w:tc>
          <w:tcPr>
            <w:tcW w:w="1656" w:type="dxa"/>
          </w:tcPr>
          <w:p>
            <w:pPr>
              <w:pStyle w:val="TableParagraph"/>
              <w:spacing w:line="235" w:lineRule="exact"/>
              <w:ind w:right="94"/>
              <w:jc w:val="right"/>
              <w:rPr>
                <w:rFonts w:ascii="Times New Roman"/>
                <w:sz w:val="21"/>
              </w:rPr>
            </w:pPr>
            <w:r>
              <w:rPr>
                <w:rFonts w:ascii="Times New Roman"/>
                <w:sz w:val="21"/>
              </w:rPr>
              <w:t>12,783</w:t>
            </w:r>
          </w:p>
        </w:tc>
        <w:tc>
          <w:tcPr>
            <w:tcW w:w="1661" w:type="dxa"/>
          </w:tcPr>
          <w:p>
            <w:pPr>
              <w:pStyle w:val="TableParagraph"/>
              <w:spacing w:line="235" w:lineRule="exact"/>
              <w:ind w:right="96"/>
              <w:jc w:val="right"/>
              <w:rPr>
                <w:rFonts w:ascii="Times New Roman"/>
                <w:sz w:val="21"/>
              </w:rPr>
            </w:pPr>
            <w:r>
              <w:rPr>
                <w:rFonts w:ascii="Times New Roman"/>
                <w:sz w:val="21"/>
              </w:rPr>
              <w:t>12,783</w:t>
            </w:r>
          </w:p>
        </w:tc>
        <w:tc>
          <w:tcPr>
            <w:tcW w:w="1656" w:type="dxa"/>
          </w:tcPr>
          <w:p>
            <w:pPr>
              <w:pStyle w:val="TableParagraph"/>
              <w:spacing w:line="235" w:lineRule="exact"/>
              <w:ind w:right="95"/>
              <w:jc w:val="right"/>
              <w:rPr>
                <w:rFonts w:ascii="Times New Roman"/>
                <w:sz w:val="21"/>
              </w:rPr>
            </w:pPr>
            <w:r>
              <w:rPr>
                <w:rFonts w:ascii="Times New Roman"/>
                <w:sz w:val="21"/>
              </w:rPr>
              <w:t>100%</w:t>
            </w:r>
          </w:p>
        </w:tc>
        <w:tc>
          <w:tcPr>
            <w:tcW w:w="1802" w:type="dxa"/>
          </w:tcPr>
          <w:p>
            <w:pPr>
              <w:pStyle w:val="TableParagraph"/>
              <w:spacing w:before="1"/>
              <w:ind w:left="108"/>
              <w:rPr>
                <w:sz w:val="21"/>
              </w:rPr>
            </w:pPr>
            <w:r>
              <w:rPr>
                <w:sz w:val="21"/>
              </w:rPr>
              <w:t>经评估，个别认</w:t>
            </w:r>
          </w:p>
          <w:p>
            <w:pPr>
              <w:pStyle w:val="TableParagraph"/>
              <w:spacing w:line="252" w:lineRule="exact" w:before="2"/>
              <w:ind w:left="108"/>
              <w:rPr>
                <w:sz w:val="21"/>
              </w:rPr>
            </w:pPr>
            <w:r>
              <w:rPr>
                <w:sz w:val="21"/>
              </w:rPr>
              <w:t>定 </w:t>
            </w:r>
          </w:p>
        </w:tc>
      </w:tr>
      <w:tr>
        <w:trPr>
          <w:trHeight w:val="544" w:hRule="atLeast"/>
        </w:trPr>
        <w:tc>
          <w:tcPr>
            <w:tcW w:w="2048" w:type="dxa"/>
          </w:tcPr>
          <w:p>
            <w:pPr>
              <w:pStyle w:val="TableParagraph"/>
              <w:spacing w:before="1"/>
              <w:ind w:left="107"/>
              <w:rPr>
                <w:sz w:val="21"/>
              </w:rPr>
            </w:pPr>
            <w:r>
              <w:rPr>
                <w:spacing w:val="-12"/>
                <w:sz w:val="21"/>
              </w:rPr>
              <w:t>应收账款 </w:t>
            </w:r>
            <w:r>
              <w:rPr>
                <w:rFonts w:ascii="Times New Roman" w:eastAsia="Times New Roman"/>
                <w:sz w:val="21"/>
              </w:rPr>
              <w:t>3</w:t>
            </w:r>
            <w:r>
              <w:rPr>
                <w:sz w:val="21"/>
              </w:rPr>
              <w:t> </w:t>
            </w:r>
          </w:p>
        </w:tc>
        <w:tc>
          <w:tcPr>
            <w:tcW w:w="1656" w:type="dxa"/>
          </w:tcPr>
          <w:p>
            <w:pPr>
              <w:pStyle w:val="TableParagraph"/>
              <w:spacing w:line="235" w:lineRule="exact"/>
              <w:ind w:right="94"/>
              <w:jc w:val="right"/>
              <w:rPr>
                <w:rFonts w:ascii="Times New Roman"/>
                <w:sz w:val="21"/>
              </w:rPr>
            </w:pPr>
            <w:r>
              <w:rPr>
                <w:rFonts w:ascii="Times New Roman"/>
                <w:sz w:val="21"/>
              </w:rPr>
              <w:t>4,985</w:t>
            </w:r>
          </w:p>
        </w:tc>
        <w:tc>
          <w:tcPr>
            <w:tcW w:w="1661" w:type="dxa"/>
          </w:tcPr>
          <w:p>
            <w:pPr>
              <w:pStyle w:val="TableParagraph"/>
              <w:spacing w:line="235" w:lineRule="exact"/>
              <w:ind w:right="96"/>
              <w:jc w:val="right"/>
              <w:rPr>
                <w:rFonts w:ascii="Times New Roman"/>
                <w:sz w:val="21"/>
              </w:rPr>
            </w:pPr>
            <w:r>
              <w:rPr>
                <w:rFonts w:ascii="Times New Roman"/>
                <w:sz w:val="21"/>
              </w:rPr>
              <w:t>4,985</w:t>
            </w:r>
          </w:p>
        </w:tc>
        <w:tc>
          <w:tcPr>
            <w:tcW w:w="1656" w:type="dxa"/>
          </w:tcPr>
          <w:p>
            <w:pPr>
              <w:pStyle w:val="TableParagraph"/>
              <w:spacing w:line="235" w:lineRule="exact"/>
              <w:ind w:right="95"/>
              <w:jc w:val="right"/>
              <w:rPr>
                <w:rFonts w:ascii="Times New Roman"/>
                <w:sz w:val="21"/>
              </w:rPr>
            </w:pPr>
            <w:r>
              <w:rPr>
                <w:rFonts w:ascii="Times New Roman"/>
                <w:sz w:val="21"/>
              </w:rPr>
              <w:t>100%</w:t>
            </w:r>
          </w:p>
        </w:tc>
        <w:tc>
          <w:tcPr>
            <w:tcW w:w="1802" w:type="dxa"/>
          </w:tcPr>
          <w:p>
            <w:pPr>
              <w:pStyle w:val="TableParagraph"/>
              <w:spacing w:before="1"/>
              <w:ind w:left="108"/>
              <w:rPr>
                <w:sz w:val="21"/>
              </w:rPr>
            </w:pPr>
            <w:r>
              <w:rPr>
                <w:sz w:val="21"/>
              </w:rPr>
              <w:t>经评估，个别认</w:t>
            </w:r>
          </w:p>
          <w:p>
            <w:pPr>
              <w:pStyle w:val="TableParagraph"/>
              <w:spacing w:line="252" w:lineRule="exact" w:before="2"/>
              <w:ind w:left="108"/>
              <w:rPr>
                <w:sz w:val="21"/>
              </w:rPr>
            </w:pPr>
            <w:r>
              <w:rPr>
                <w:sz w:val="21"/>
              </w:rPr>
              <w:t>定 </w:t>
            </w:r>
          </w:p>
        </w:tc>
      </w:tr>
      <w:tr>
        <w:trPr>
          <w:trHeight w:val="544" w:hRule="atLeast"/>
        </w:trPr>
        <w:tc>
          <w:tcPr>
            <w:tcW w:w="2048" w:type="dxa"/>
          </w:tcPr>
          <w:p>
            <w:pPr>
              <w:pStyle w:val="TableParagraph"/>
              <w:spacing w:before="1"/>
              <w:ind w:left="107"/>
              <w:rPr>
                <w:sz w:val="21"/>
              </w:rPr>
            </w:pPr>
            <w:r>
              <w:rPr>
                <w:spacing w:val="-12"/>
                <w:sz w:val="21"/>
              </w:rPr>
              <w:t>应收账款 </w:t>
            </w:r>
            <w:r>
              <w:rPr>
                <w:rFonts w:ascii="Times New Roman" w:eastAsia="Times New Roman"/>
                <w:sz w:val="21"/>
              </w:rPr>
              <w:t>4</w:t>
            </w:r>
            <w:r>
              <w:rPr>
                <w:sz w:val="21"/>
              </w:rPr>
              <w:t> </w:t>
            </w:r>
          </w:p>
        </w:tc>
        <w:tc>
          <w:tcPr>
            <w:tcW w:w="1656" w:type="dxa"/>
          </w:tcPr>
          <w:p>
            <w:pPr>
              <w:pStyle w:val="TableParagraph"/>
              <w:spacing w:line="235" w:lineRule="exact"/>
              <w:ind w:right="94"/>
              <w:jc w:val="right"/>
              <w:rPr>
                <w:rFonts w:ascii="Times New Roman"/>
                <w:sz w:val="21"/>
              </w:rPr>
            </w:pPr>
            <w:r>
              <w:rPr>
                <w:rFonts w:ascii="Times New Roman"/>
                <w:sz w:val="21"/>
              </w:rPr>
              <w:t>4,461</w:t>
            </w:r>
          </w:p>
        </w:tc>
        <w:tc>
          <w:tcPr>
            <w:tcW w:w="1661" w:type="dxa"/>
          </w:tcPr>
          <w:p>
            <w:pPr>
              <w:pStyle w:val="TableParagraph"/>
              <w:spacing w:line="235" w:lineRule="exact"/>
              <w:ind w:right="96"/>
              <w:jc w:val="right"/>
              <w:rPr>
                <w:rFonts w:ascii="Times New Roman"/>
                <w:sz w:val="21"/>
              </w:rPr>
            </w:pPr>
            <w:r>
              <w:rPr>
                <w:rFonts w:ascii="Times New Roman"/>
                <w:sz w:val="21"/>
              </w:rPr>
              <w:t>4,461</w:t>
            </w:r>
          </w:p>
        </w:tc>
        <w:tc>
          <w:tcPr>
            <w:tcW w:w="1656" w:type="dxa"/>
          </w:tcPr>
          <w:p>
            <w:pPr>
              <w:pStyle w:val="TableParagraph"/>
              <w:spacing w:line="235" w:lineRule="exact"/>
              <w:ind w:right="95"/>
              <w:jc w:val="right"/>
              <w:rPr>
                <w:rFonts w:ascii="Times New Roman"/>
                <w:sz w:val="21"/>
              </w:rPr>
            </w:pPr>
            <w:r>
              <w:rPr>
                <w:rFonts w:ascii="Times New Roman"/>
                <w:sz w:val="21"/>
              </w:rPr>
              <w:t>100%</w:t>
            </w:r>
          </w:p>
        </w:tc>
        <w:tc>
          <w:tcPr>
            <w:tcW w:w="1802" w:type="dxa"/>
          </w:tcPr>
          <w:p>
            <w:pPr>
              <w:pStyle w:val="TableParagraph"/>
              <w:spacing w:before="1"/>
              <w:ind w:left="108"/>
              <w:rPr>
                <w:sz w:val="21"/>
              </w:rPr>
            </w:pPr>
            <w:r>
              <w:rPr>
                <w:sz w:val="21"/>
              </w:rPr>
              <w:t>经评估，个别认</w:t>
            </w:r>
          </w:p>
          <w:p>
            <w:pPr>
              <w:pStyle w:val="TableParagraph"/>
              <w:spacing w:line="250" w:lineRule="exact" w:before="4"/>
              <w:ind w:left="108"/>
              <w:rPr>
                <w:sz w:val="21"/>
              </w:rPr>
            </w:pPr>
            <w:r>
              <w:rPr>
                <w:sz w:val="21"/>
              </w:rPr>
              <w:t>定 </w:t>
            </w:r>
          </w:p>
        </w:tc>
      </w:tr>
      <w:tr>
        <w:trPr>
          <w:trHeight w:val="544" w:hRule="atLeast"/>
        </w:trPr>
        <w:tc>
          <w:tcPr>
            <w:tcW w:w="2048" w:type="dxa"/>
          </w:tcPr>
          <w:p>
            <w:pPr>
              <w:pStyle w:val="TableParagraph"/>
              <w:spacing w:before="1"/>
              <w:ind w:left="107"/>
              <w:rPr>
                <w:sz w:val="21"/>
              </w:rPr>
            </w:pPr>
            <w:r>
              <w:rPr>
                <w:spacing w:val="-12"/>
                <w:sz w:val="21"/>
              </w:rPr>
              <w:t>应收账款 </w:t>
            </w:r>
            <w:r>
              <w:rPr>
                <w:rFonts w:ascii="Times New Roman" w:eastAsia="Times New Roman"/>
                <w:sz w:val="21"/>
              </w:rPr>
              <w:t>5</w:t>
            </w:r>
            <w:r>
              <w:rPr>
                <w:sz w:val="21"/>
              </w:rPr>
              <w:t> </w:t>
            </w:r>
          </w:p>
        </w:tc>
        <w:tc>
          <w:tcPr>
            <w:tcW w:w="1656" w:type="dxa"/>
          </w:tcPr>
          <w:p>
            <w:pPr>
              <w:pStyle w:val="TableParagraph"/>
              <w:spacing w:line="235" w:lineRule="exact"/>
              <w:ind w:right="94"/>
              <w:jc w:val="right"/>
              <w:rPr>
                <w:rFonts w:ascii="Times New Roman"/>
                <w:sz w:val="21"/>
              </w:rPr>
            </w:pPr>
            <w:r>
              <w:rPr>
                <w:rFonts w:ascii="Times New Roman"/>
                <w:sz w:val="21"/>
              </w:rPr>
              <w:t>4,257</w:t>
            </w:r>
          </w:p>
        </w:tc>
        <w:tc>
          <w:tcPr>
            <w:tcW w:w="1661" w:type="dxa"/>
          </w:tcPr>
          <w:p>
            <w:pPr>
              <w:pStyle w:val="TableParagraph"/>
              <w:spacing w:line="235" w:lineRule="exact"/>
              <w:ind w:right="96"/>
              <w:jc w:val="right"/>
              <w:rPr>
                <w:rFonts w:ascii="Times New Roman"/>
                <w:sz w:val="21"/>
              </w:rPr>
            </w:pPr>
            <w:r>
              <w:rPr>
                <w:rFonts w:ascii="Times New Roman"/>
                <w:sz w:val="21"/>
              </w:rPr>
              <w:t>4,257</w:t>
            </w:r>
          </w:p>
        </w:tc>
        <w:tc>
          <w:tcPr>
            <w:tcW w:w="1656" w:type="dxa"/>
          </w:tcPr>
          <w:p>
            <w:pPr>
              <w:pStyle w:val="TableParagraph"/>
              <w:spacing w:line="235" w:lineRule="exact"/>
              <w:ind w:right="95"/>
              <w:jc w:val="right"/>
              <w:rPr>
                <w:rFonts w:ascii="Times New Roman"/>
                <w:sz w:val="21"/>
              </w:rPr>
            </w:pPr>
            <w:r>
              <w:rPr>
                <w:rFonts w:ascii="Times New Roman"/>
                <w:sz w:val="21"/>
              </w:rPr>
              <w:t>100%</w:t>
            </w:r>
          </w:p>
        </w:tc>
        <w:tc>
          <w:tcPr>
            <w:tcW w:w="1802" w:type="dxa"/>
          </w:tcPr>
          <w:p>
            <w:pPr>
              <w:pStyle w:val="TableParagraph"/>
              <w:spacing w:before="1"/>
              <w:ind w:left="108"/>
              <w:rPr>
                <w:sz w:val="21"/>
              </w:rPr>
            </w:pPr>
            <w:r>
              <w:rPr>
                <w:sz w:val="21"/>
              </w:rPr>
              <w:t>经评估，个别认</w:t>
            </w:r>
          </w:p>
          <w:p>
            <w:pPr>
              <w:pStyle w:val="TableParagraph"/>
              <w:spacing w:line="250" w:lineRule="exact" w:before="4"/>
              <w:ind w:left="108"/>
              <w:rPr>
                <w:sz w:val="21"/>
              </w:rPr>
            </w:pPr>
            <w:r>
              <w:rPr>
                <w:sz w:val="21"/>
              </w:rPr>
              <w:t>定 </w:t>
            </w:r>
          </w:p>
        </w:tc>
      </w:tr>
      <w:tr>
        <w:trPr>
          <w:trHeight w:val="544" w:hRule="atLeast"/>
        </w:trPr>
        <w:tc>
          <w:tcPr>
            <w:tcW w:w="2048" w:type="dxa"/>
          </w:tcPr>
          <w:p>
            <w:pPr>
              <w:pStyle w:val="TableParagraph"/>
              <w:spacing w:before="1"/>
              <w:ind w:left="107"/>
              <w:rPr>
                <w:sz w:val="21"/>
              </w:rPr>
            </w:pPr>
            <w:r>
              <w:rPr>
                <w:spacing w:val="-12"/>
                <w:sz w:val="21"/>
              </w:rPr>
              <w:t>应收账款 </w:t>
            </w:r>
            <w:r>
              <w:rPr>
                <w:rFonts w:ascii="Times New Roman" w:eastAsia="Times New Roman"/>
                <w:sz w:val="21"/>
              </w:rPr>
              <w:t>6</w:t>
            </w:r>
            <w:r>
              <w:rPr>
                <w:sz w:val="21"/>
              </w:rPr>
              <w:t> </w:t>
            </w:r>
          </w:p>
        </w:tc>
        <w:tc>
          <w:tcPr>
            <w:tcW w:w="1656" w:type="dxa"/>
          </w:tcPr>
          <w:p>
            <w:pPr>
              <w:pStyle w:val="TableParagraph"/>
              <w:spacing w:line="235" w:lineRule="exact"/>
              <w:ind w:right="94"/>
              <w:jc w:val="right"/>
              <w:rPr>
                <w:rFonts w:ascii="Times New Roman"/>
                <w:sz w:val="21"/>
              </w:rPr>
            </w:pPr>
            <w:r>
              <w:rPr>
                <w:rFonts w:ascii="Times New Roman"/>
                <w:sz w:val="21"/>
              </w:rPr>
              <w:t>2,065</w:t>
            </w:r>
          </w:p>
        </w:tc>
        <w:tc>
          <w:tcPr>
            <w:tcW w:w="1661" w:type="dxa"/>
          </w:tcPr>
          <w:p>
            <w:pPr>
              <w:pStyle w:val="TableParagraph"/>
              <w:spacing w:line="235" w:lineRule="exact"/>
              <w:ind w:right="96"/>
              <w:jc w:val="right"/>
              <w:rPr>
                <w:rFonts w:ascii="Times New Roman"/>
                <w:sz w:val="21"/>
              </w:rPr>
            </w:pPr>
            <w:r>
              <w:rPr>
                <w:rFonts w:ascii="Times New Roman"/>
                <w:sz w:val="21"/>
              </w:rPr>
              <w:t>2,065</w:t>
            </w:r>
          </w:p>
        </w:tc>
        <w:tc>
          <w:tcPr>
            <w:tcW w:w="1656" w:type="dxa"/>
          </w:tcPr>
          <w:p>
            <w:pPr>
              <w:pStyle w:val="TableParagraph"/>
              <w:spacing w:line="235" w:lineRule="exact"/>
              <w:ind w:right="95"/>
              <w:jc w:val="right"/>
              <w:rPr>
                <w:rFonts w:ascii="Times New Roman"/>
                <w:sz w:val="21"/>
              </w:rPr>
            </w:pPr>
            <w:r>
              <w:rPr>
                <w:rFonts w:ascii="Times New Roman"/>
                <w:sz w:val="21"/>
              </w:rPr>
              <w:t>100%</w:t>
            </w:r>
          </w:p>
        </w:tc>
        <w:tc>
          <w:tcPr>
            <w:tcW w:w="1802" w:type="dxa"/>
          </w:tcPr>
          <w:p>
            <w:pPr>
              <w:pStyle w:val="TableParagraph"/>
              <w:spacing w:before="1"/>
              <w:ind w:left="108"/>
              <w:rPr>
                <w:sz w:val="21"/>
              </w:rPr>
            </w:pPr>
            <w:r>
              <w:rPr>
                <w:sz w:val="21"/>
              </w:rPr>
              <w:t>经评估，个别认</w:t>
            </w:r>
          </w:p>
          <w:p>
            <w:pPr>
              <w:pStyle w:val="TableParagraph"/>
              <w:spacing w:line="250" w:lineRule="exact" w:before="4"/>
              <w:ind w:left="108"/>
              <w:rPr>
                <w:sz w:val="21"/>
              </w:rPr>
            </w:pPr>
            <w:r>
              <w:rPr>
                <w:sz w:val="21"/>
              </w:rPr>
              <w:t>定 </w:t>
            </w:r>
          </w:p>
        </w:tc>
      </w:tr>
    </w:tbl>
    <w:p>
      <w:pPr>
        <w:spacing w:after="0" w:line="250" w:lineRule="exact"/>
        <w:rPr>
          <w:sz w:val="21"/>
        </w:rPr>
        <w:sectPr>
          <w:type w:val="continuous"/>
          <w:pgSz w:w="11910" w:h="16840"/>
          <w:pgMar w:top="780" w:bottom="2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8"/>
        <w:gridCol w:w="1656"/>
        <w:gridCol w:w="1661"/>
        <w:gridCol w:w="1656"/>
        <w:gridCol w:w="1802"/>
      </w:tblGrid>
      <w:tr>
        <w:trPr>
          <w:trHeight w:val="547" w:hRule="atLeast"/>
        </w:trPr>
        <w:tc>
          <w:tcPr>
            <w:tcW w:w="2048" w:type="dxa"/>
          </w:tcPr>
          <w:p>
            <w:pPr>
              <w:pStyle w:val="TableParagraph"/>
              <w:spacing w:before="3"/>
              <w:ind w:left="107"/>
              <w:rPr>
                <w:sz w:val="21"/>
              </w:rPr>
            </w:pPr>
            <w:r>
              <w:rPr>
                <w:spacing w:val="-12"/>
                <w:sz w:val="21"/>
              </w:rPr>
              <w:t>应收账款 </w:t>
            </w:r>
            <w:r>
              <w:rPr>
                <w:rFonts w:ascii="Times New Roman" w:eastAsia="Times New Roman"/>
                <w:sz w:val="21"/>
              </w:rPr>
              <w:t>7</w:t>
            </w:r>
            <w:r>
              <w:rPr>
                <w:sz w:val="21"/>
              </w:rPr>
              <w:t> </w:t>
            </w:r>
          </w:p>
        </w:tc>
        <w:tc>
          <w:tcPr>
            <w:tcW w:w="1656" w:type="dxa"/>
          </w:tcPr>
          <w:p>
            <w:pPr>
              <w:pStyle w:val="TableParagraph"/>
              <w:spacing w:line="237" w:lineRule="exact"/>
              <w:ind w:right="94"/>
              <w:jc w:val="right"/>
              <w:rPr>
                <w:rFonts w:ascii="Times New Roman"/>
                <w:sz w:val="21"/>
              </w:rPr>
            </w:pPr>
            <w:r>
              <w:rPr>
                <w:rFonts w:ascii="Times New Roman"/>
                <w:sz w:val="21"/>
              </w:rPr>
              <w:t>1,976</w:t>
            </w:r>
          </w:p>
        </w:tc>
        <w:tc>
          <w:tcPr>
            <w:tcW w:w="1661" w:type="dxa"/>
          </w:tcPr>
          <w:p>
            <w:pPr>
              <w:pStyle w:val="TableParagraph"/>
              <w:spacing w:line="237" w:lineRule="exact"/>
              <w:ind w:right="96"/>
              <w:jc w:val="right"/>
              <w:rPr>
                <w:rFonts w:ascii="Times New Roman"/>
                <w:sz w:val="21"/>
              </w:rPr>
            </w:pPr>
            <w:r>
              <w:rPr>
                <w:rFonts w:ascii="Times New Roman"/>
                <w:sz w:val="21"/>
              </w:rPr>
              <w:t>1,976</w:t>
            </w:r>
          </w:p>
        </w:tc>
        <w:tc>
          <w:tcPr>
            <w:tcW w:w="1656" w:type="dxa"/>
          </w:tcPr>
          <w:p>
            <w:pPr>
              <w:pStyle w:val="TableParagraph"/>
              <w:spacing w:line="237" w:lineRule="exact"/>
              <w:ind w:right="95"/>
              <w:jc w:val="right"/>
              <w:rPr>
                <w:rFonts w:ascii="Times New Roman"/>
                <w:sz w:val="21"/>
              </w:rPr>
            </w:pPr>
            <w:r>
              <w:rPr>
                <w:rFonts w:ascii="Times New Roman"/>
                <w:sz w:val="21"/>
              </w:rPr>
              <w:t>100%</w:t>
            </w:r>
          </w:p>
        </w:tc>
        <w:tc>
          <w:tcPr>
            <w:tcW w:w="1802" w:type="dxa"/>
          </w:tcPr>
          <w:p>
            <w:pPr>
              <w:pStyle w:val="TableParagraph"/>
              <w:spacing w:line="270" w:lineRule="atLeast"/>
              <w:ind w:left="108" w:right="207"/>
              <w:rPr>
                <w:sz w:val="21"/>
              </w:rPr>
            </w:pPr>
            <w:r>
              <w:rPr>
                <w:sz w:val="21"/>
              </w:rPr>
              <w:t>经评估，个别认定 </w:t>
            </w:r>
          </w:p>
        </w:tc>
      </w:tr>
      <w:tr>
        <w:trPr>
          <w:trHeight w:val="544" w:hRule="atLeast"/>
        </w:trPr>
        <w:tc>
          <w:tcPr>
            <w:tcW w:w="2048" w:type="dxa"/>
          </w:tcPr>
          <w:p>
            <w:pPr>
              <w:pStyle w:val="TableParagraph"/>
              <w:spacing w:before="1"/>
              <w:ind w:left="107"/>
              <w:rPr>
                <w:sz w:val="21"/>
              </w:rPr>
            </w:pPr>
            <w:r>
              <w:rPr>
                <w:spacing w:val="-12"/>
                <w:sz w:val="21"/>
              </w:rPr>
              <w:t>应收账款 </w:t>
            </w:r>
            <w:r>
              <w:rPr>
                <w:rFonts w:ascii="Times New Roman" w:eastAsia="Times New Roman"/>
                <w:sz w:val="21"/>
              </w:rPr>
              <w:t>8</w:t>
            </w:r>
            <w:r>
              <w:rPr>
                <w:sz w:val="21"/>
              </w:rPr>
              <w:t> </w:t>
            </w:r>
          </w:p>
        </w:tc>
        <w:tc>
          <w:tcPr>
            <w:tcW w:w="1656" w:type="dxa"/>
          </w:tcPr>
          <w:p>
            <w:pPr>
              <w:pStyle w:val="TableParagraph"/>
              <w:spacing w:line="235" w:lineRule="exact"/>
              <w:ind w:right="94"/>
              <w:jc w:val="right"/>
              <w:rPr>
                <w:rFonts w:ascii="Times New Roman"/>
                <w:sz w:val="21"/>
              </w:rPr>
            </w:pPr>
            <w:r>
              <w:rPr>
                <w:rFonts w:ascii="Times New Roman"/>
                <w:sz w:val="21"/>
              </w:rPr>
              <w:t>1,851</w:t>
            </w:r>
          </w:p>
        </w:tc>
        <w:tc>
          <w:tcPr>
            <w:tcW w:w="1661" w:type="dxa"/>
          </w:tcPr>
          <w:p>
            <w:pPr>
              <w:pStyle w:val="TableParagraph"/>
              <w:spacing w:line="235" w:lineRule="exact"/>
              <w:ind w:right="96"/>
              <w:jc w:val="right"/>
              <w:rPr>
                <w:rFonts w:ascii="Times New Roman"/>
                <w:sz w:val="21"/>
              </w:rPr>
            </w:pPr>
            <w:r>
              <w:rPr>
                <w:rFonts w:ascii="Times New Roman"/>
                <w:sz w:val="21"/>
              </w:rPr>
              <w:t>1,851</w:t>
            </w:r>
          </w:p>
        </w:tc>
        <w:tc>
          <w:tcPr>
            <w:tcW w:w="1656" w:type="dxa"/>
          </w:tcPr>
          <w:p>
            <w:pPr>
              <w:pStyle w:val="TableParagraph"/>
              <w:spacing w:line="235" w:lineRule="exact"/>
              <w:ind w:right="95"/>
              <w:jc w:val="right"/>
              <w:rPr>
                <w:rFonts w:ascii="Times New Roman"/>
                <w:sz w:val="21"/>
              </w:rPr>
            </w:pPr>
            <w:r>
              <w:rPr>
                <w:rFonts w:ascii="Times New Roman"/>
                <w:sz w:val="21"/>
              </w:rPr>
              <w:t>100%</w:t>
            </w:r>
          </w:p>
        </w:tc>
        <w:tc>
          <w:tcPr>
            <w:tcW w:w="1802" w:type="dxa"/>
          </w:tcPr>
          <w:p>
            <w:pPr>
              <w:pStyle w:val="TableParagraph"/>
              <w:spacing w:before="1"/>
              <w:ind w:left="108"/>
              <w:rPr>
                <w:sz w:val="21"/>
              </w:rPr>
            </w:pPr>
            <w:r>
              <w:rPr>
                <w:sz w:val="21"/>
              </w:rPr>
              <w:t>经评估，个别认</w:t>
            </w:r>
          </w:p>
          <w:p>
            <w:pPr>
              <w:pStyle w:val="TableParagraph"/>
              <w:spacing w:line="252" w:lineRule="exact" w:before="2"/>
              <w:ind w:left="108"/>
              <w:rPr>
                <w:sz w:val="21"/>
              </w:rPr>
            </w:pPr>
            <w:r>
              <w:rPr>
                <w:sz w:val="21"/>
              </w:rPr>
              <w:t>定 </w:t>
            </w:r>
          </w:p>
        </w:tc>
      </w:tr>
      <w:tr>
        <w:trPr>
          <w:trHeight w:val="544" w:hRule="atLeast"/>
        </w:trPr>
        <w:tc>
          <w:tcPr>
            <w:tcW w:w="2048" w:type="dxa"/>
          </w:tcPr>
          <w:p>
            <w:pPr>
              <w:pStyle w:val="TableParagraph"/>
              <w:spacing w:before="1"/>
              <w:ind w:left="107"/>
              <w:rPr>
                <w:sz w:val="21"/>
              </w:rPr>
            </w:pPr>
            <w:r>
              <w:rPr>
                <w:spacing w:val="-12"/>
                <w:sz w:val="21"/>
              </w:rPr>
              <w:t>应收账款 </w:t>
            </w:r>
            <w:r>
              <w:rPr>
                <w:rFonts w:ascii="Times New Roman" w:eastAsia="Times New Roman"/>
                <w:sz w:val="21"/>
              </w:rPr>
              <w:t>9</w:t>
            </w:r>
            <w:r>
              <w:rPr>
                <w:sz w:val="21"/>
              </w:rPr>
              <w:t> </w:t>
            </w:r>
          </w:p>
        </w:tc>
        <w:tc>
          <w:tcPr>
            <w:tcW w:w="1656" w:type="dxa"/>
          </w:tcPr>
          <w:p>
            <w:pPr>
              <w:pStyle w:val="TableParagraph"/>
              <w:spacing w:line="235" w:lineRule="exact"/>
              <w:ind w:right="94"/>
              <w:jc w:val="right"/>
              <w:rPr>
                <w:rFonts w:ascii="Times New Roman"/>
                <w:sz w:val="21"/>
              </w:rPr>
            </w:pPr>
            <w:r>
              <w:rPr>
                <w:rFonts w:ascii="Times New Roman"/>
                <w:sz w:val="21"/>
              </w:rPr>
              <w:t>1,806</w:t>
            </w:r>
          </w:p>
        </w:tc>
        <w:tc>
          <w:tcPr>
            <w:tcW w:w="1661" w:type="dxa"/>
          </w:tcPr>
          <w:p>
            <w:pPr>
              <w:pStyle w:val="TableParagraph"/>
              <w:spacing w:line="235" w:lineRule="exact"/>
              <w:ind w:right="96"/>
              <w:jc w:val="right"/>
              <w:rPr>
                <w:rFonts w:ascii="Times New Roman"/>
                <w:sz w:val="21"/>
              </w:rPr>
            </w:pPr>
            <w:r>
              <w:rPr>
                <w:rFonts w:ascii="Times New Roman"/>
                <w:sz w:val="21"/>
              </w:rPr>
              <w:t>1,806</w:t>
            </w:r>
          </w:p>
        </w:tc>
        <w:tc>
          <w:tcPr>
            <w:tcW w:w="1656" w:type="dxa"/>
          </w:tcPr>
          <w:p>
            <w:pPr>
              <w:pStyle w:val="TableParagraph"/>
              <w:spacing w:line="235" w:lineRule="exact"/>
              <w:ind w:right="95"/>
              <w:jc w:val="right"/>
              <w:rPr>
                <w:rFonts w:ascii="Times New Roman"/>
                <w:sz w:val="21"/>
              </w:rPr>
            </w:pPr>
            <w:r>
              <w:rPr>
                <w:rFonts w:ascii="Times New Roman"/>
                <w:sz w:val="21"/>
              </w:rPr>
              <w:t>100%</w:t>
            </w:r>
          </w:p>
        </w:tc>
        <w:tc>
          <w:tcPr>
            <w:tcW w:w="1802" w:type="dxa"/>
          </w:tcPr>
          <w:p>
            <w:pPr>
              <w:pStyle w:val="TableParagraph"/>
              <w:spacing w:before="1"/>
              <w:ind w:left="108"/>
              <w:rPr>
                <w:sz w:val="21"/>
              </w:rPr>
            </w:pPr>
            <w:r>
              <w:rPr>
                <w:sz w:val="21"/>
              </w:rPr>
              <w:t>经评估，个别认</w:t>
            </w:r>
          </w:p>
          <w:p>
            <w:pPr>
              <w:pStyle w:val="TableParagraph"/>
              <w:spacing w:line="252" w:lineRule="exact" w:before="2"/>
              <w:ind w:left="108"/>
              <w:rPr>
                <w:sz w:val="21"/>
              </w:rPr>
            </w:pPr>
            <w:r>
              <w:rPr>
                <w:sz w:val="21"/>
              </w:rPr>
              <w:t>定 </w:t>
            </w:r>
          </w:p>
        </w:tc>
      </w:tr>
      <w:tr>
        <w:trPr>
          <w:trHeight w:val="544" w:hRule="atLeast"/>
        </w:trPr>
        <w:tc>
          <w:tcPr>
            <w:tcW w:w="2048" w:type="dxa"/>
          </w:tcPr>
          <w:p>
            <w:pPr>
              <w:pStyle w:val="TableParagraph"/>
              <w:spacing w:before="1"/>
              <w:ind w:left="107"/>
              <w:rPr>
                <w:sz w:val="21"/>
              </w:rPr>
            </w:pPr>
            <w:r>
              <w:rPr>
                <w:spacing w:val="-12"/>
                <w:sz w:val="21"/>
              </w:rPr>
              <w:t>应收账款 </w:t>
            </w:r>
            <w:r>
              <w:rPr>
                <w:rFonts w:ascii="Times New Roman" w:eastAsia="Times New Roman"/>
                <w:sz w:val="21"/>
              </w:rPr>
              <w:t>10</w:t>
            </w:r>
            <w:r>
              <w:rPr>
                <w:sz w:val="21"/>
              </w:rPr>
              <w:t> </w:t>
            </w:r>
          </w:p>
        </w:tc>
        <w:tc>
          <w:tcPr>
            <w:tcW w:w="1656" w:type="dxa"/>
          </w:tcPr>
          <w:p>
            <w:pPr>
              <w:pStyle w:val="TableParagraph"/>
              <w:spacing w:line="235" w:lineRule="exact"/>
              <w:ind w:right="94"/>
              <w:jc w:val="right"/>
              <w:rPr>
                <w:rFonts w:ascii="Times New Roman"/>
                <w:sz w:val="21"/>
              </w:rPr>
            </w:pPr>
            <w:r>
              <w:rPr>
                <w:rFonts w:ascii="Times New Roman"/>
                <w:sz w:val="21"/>
              </w:rPr>
              <w:t>1,579</w:t>
            </w:r>
          </w:p>
        </w:tc>
        <w:tc>
          <w:tcPr>
            <w:tcW w:w="1661" w:type="dxa"/>
          </w:tcPr>
          <w:p>
            <w:pPr>
              <w:pStyle w:val="TableParagraph"/>
              <w:spacing w:line="235" w:lineRule="exact"/>
              <w:ind w:right="96"/>
              <w:jc w:val="right"/>
              <w:rPr>
                <w:rFonts w:ascii="Times New Roman"/>
                <w:sz w:val="21"/>
              </w:rPr>
            </w:pPr>
            <w:r>
              <w:rPr>
                <w:rFonts w:ascii="Times New Roman"/>
                <w:sz w:val="21"/>
              </w:rPr>
              <w:t>1,579</w:t>
            </w:r>
          </w:p>
        </w:tc>
        <w:tc>
          <w:tcPr>
            <w:tcW w:w="1656" w:type="dxa"/>
          </w:tcPr>
          <w:p>
            <w:pPr>
              <w:pStyle w:val="TableParagraph"/>
              <w:spacing w:line="235" w:lineRule="exact"/>
              <w:ind w:right="95"/>
              <w:jc w:val="right"/>
              <w:rPr>
                <w:rFonts w:ascii="Times New Roman"/>
                <w:sz w:val="21"/>
              </w:rPr>
            </w:pPr>
            <w:r>
              <w:rPr>
                <w:rFonts w:ascii="Times New Roman"/>
                <w:sz w:val="21"/>
              </w:rPr>
              <w:t>100%</w:t>
            </w:r>
          </w:p>
        </w:tc>
        <w:tc>
          <w:tcPr>
            <w:tcW w:w="1802" w:type="dxa"/>
          </w:tcPr>
          <w:p>
            <w:pPr>
              <w:pStyle w:val="TableParagraph"/>
              <w:spacing w:before="1"/>
              <w:ind w:left="108"/>
              <w:rPr>
                <w:sz w:val="21"/>
              </w:rPr>
            </w:pPr>
            <w:r>
              <w:rPr>
                <w:sz w:val="21"/>
              </w:rPr>
              <w:t>经评估，个别认</w:t>
            </w:r>
          </w:p>
          <w:p>
            <w:pPr>
              <w:pStyle w:val="TableParagraph"/>
              <w:spacing w:line="252" w:lineRule="exact" w:before="2"/>
              <w:ind w:left="108"/>
              <w:rPr>
                <w:sz w:val="21"/>
              </w:rPr>
            </w:pPr>
            <w:r>
              <w:rPr>
                <w:sz w:val="21"/>
              </w:rPr>
              <w:t>定 </w:t>
            </w:r>
          </w:p>
        </w:tc>
      </w:tr>
      <w:tr>
        <w:trPr>
          <w:trHeight w:val="544" w:hRule="atLeast"/>
        </w:trPr>
        <w:tc>
          <w:tcPr>
            <w:tcW w:w="2048" w:type="dxa"/>
          </w:tcPr>
          <w:p>
            <w:pPr>
              <w:pStyle w:val="TableParagraph"/>
              <w:spacing w:before="1"/>
              <w:ind w:left="107"/>
              <w:rPr>
                <w:sz w:val="21"/>
              </w:rPr>
            </w:pPr>
            <w:r>
              <w:rPr>
                <w:spacing w:val="-12"/>
                <w:sz w:val="21"/>
              </w:rPr>
              <w:t>应收账款 </w:t>
            </w:r>
            <w:r>
              <w:rPr>
                <w:rFonts w:ascii="Times New Roman" w:eastAsia="Times New Roman"/>
                <w:sz w:val="21"/>
              </w:rPr>
              <w:t>11</w:t>
            </w:r>
            <w:r>
              <w:rPr>
                <w:sz w:val="21"/>
              </w:rPr>
              <w:t> </w:t>
            </w:r>
          </w:p>
        </w:tc>
        <w:tc>
          <w:tcPr>
            <w:tcW w:w="1656" w:type="dxa"/>
          </w:tcPr>
          <w:p>
            <w:pPr>
              <w:pStyle w:val="TableParagraph"/>
              <w:spacing w:line="235" w:lineRule="exact"/>
              <w:ind w:right="94"/>
              <w:jc w:val="right"/>
              <w:rPr>
                <w:rFonts w:ascii="Times New Roman"/>
                <w:sz w:val="21"/>
              </w:rPr>
            </w:pPr>
            <w:r>
              <w:rPr>
                <w:rFonts w:ascii="Times New Roman"/>
                <w:sz w:val="21"/>
              </w:rPr>
              <w:t>1,477</w:t>
            </w:r>
          </w:p>
        </w:tc>
        <w:tc>
          <w:tcPr>
            <w:tcW w:w="1661" w:type="dxa"/>
          </w:tcPr>
          <w:p>
            <w:pPr>
              <w:pStyle w:val="TableParagraph"/>
              <w:spacing w:line="235" w:lineRule="exact"/>
              <w:ind w:right="96"/>
              <w:jc w:val="right"/>
              <w:rPr>
                <w:rFonts w:ascii="Times New Roman"/>
                <w:sz w:val="21"/>
              </w:rPr>
            </w:pPr>
            <w:r>
              <w:rPr>
                <w:rFonts w:ascii="Times New Roman"/>
                <w:sz w:val="21"/>
              </w:rPr>
              <w:t>1,477</w:t>
            </w:r>
          </w:p>
        </w:tc>
        <w:tc>
          <w:tcPr>
            <w:tcW w:w="1656" w:type="dxa"/>
          </w:tcPr>
          <w:p>
            <w:pPr>
              <w:pStyle w:val="TableParagraph"/>
              <w:spacing w:line="235" w:lineRule="exact"/>
              <w:ind w:right="95"/>
              <w:jc w:val="right"/>
              <w:rPr>
                <w:rFonts w:ascii="Times New Roman"/>
                <w:sz w:val="21"/>
              </w:rPr>
            </w:pPr>
            <w:r>
              <w:rPr>
                <w:rFonts w:ascii="Times New Roman"/>
                <w:sz w:val="21"/>
              </w:rPr>
              <w:t>100%</w:t>
            </w:r>
          </w:p>
        </w:tc>
        <w:tc>
          <w:tcPr>
            <w:tcW w:w="1802" w:type="dxa"/>
          </w:tcPr>
          <w:p>
            <w:pPr>
              <w:pStyle w:val="TableParagraph"/>
              <w:spacing w:before="1"/>
              <w:ind w:left="108"/>
              <w:rPr>
                <w:sz w:val="21"/>
              </w:rPr>
            </w:pPr>
            <w:r>
              <w:rPr>
                <w:sz w:val="21"/>
              </w:rPr>
              <w:t>经评估，个别认</w:t>
            </w:r>
          </w:p>
          <w:p>
            <w:pPr>
              <w:pStyle w:val="TableParagraph"/>
              <w:spacing w:line="250" w:lineRule="exact" w:before="4"/>
              <w:ind w:left="108"/>
              <w:rPr>
                <w:sz w:val="21"/>
              </w:rPr>
            </w:pPr>
            <w:r>
              <w:rPr>
                <w:sz w:val="21"/>
              </w:rPr>
              <w:t>定 </w:t>
            </w:r>
          </w:p>
        </w:tc>
      </w:tr>
      <w:tr>
        <w:trPr>
          <w:trHeight w:val="544" w:hRule="atLeast"/>
        </w:trPr>
        <w:tc>
          <w:tcPr>
            <w:tcW w:w="2048" w:type="dxa"/>
          </w:tcPr>
          <w:p>
            <w:pPr>
              <w:pStyle w:val="TableParagraph"/>
              <w:spacing w:before="1"/>
              <w:ind w:left="107"/>
              <w:rPr>
                <w:sz w:val="21"/>
              </w:rPr>
            </w:pPr>
            <w:r>
              <w:rPr>
                <w:spacing w:val="-12"/>
                <w:sz w:val="21"/>
              </w:rPr>
              <w:t>应收账款 </w:t>
            </w:r>
            <w:r>
              <w:rPr>
                <w:rFonts w:ascii="Times New Roman" w:eastAsia="Times New Roman"/>
                <w:sz w:val="21"/>
              </w:rPr>
              <w:t>12</w:t>
            </w:r>
            <w:r>
              <w:rPr>
                <w:sz w:val="21"/>
              </w:rPr>
              <w:t> </w:t>
            </w:r>
          </w:p>
        </w:tc>
        <w:tc>
          <w:tcPr>
            <w:tcW w:w="1656" w:type="dxa"/>
          </w:tcPr>
          <w:p>
            <w:pPr>
              <w:pStyle w:val="TableParagraph"/>
              <w:spacing w:line="235" w:lineRule="exact"/>
              <w:ind w:right="94"/>
              <w:jc w:val="right"/>
              <w:rPr>
                <w:rFonts w:ascii="Times New Roman"/>
                <w:sz w:val="21"/>
              </w:rPr>
            </w:pPr>
            <w:r>
              <w:rPr>
                <w:rFonts w:ascii="Times New Roman"/>
                <w:sz w:val="21"/>
              </w:rPr>
              <w:t>1,413</w:t>
            </w:r>
          </w:p>
        </w:tc>
        <w:tc>
          <w:tcPr>
            <w:tcW w:w="1661" w:type="dxa"/>
          </w:tcPr>
          <w:p>
            <w:pPr>
              <w:pStyle w:val="TableParagraph"/>
              <w:spacing w:line="235" w:lineRule="exact"/>
              <w:ind w:right="96"/>
              <w:jc w:val="right"/>
              <w:rPr>
                <w:rFonts w:ascii="Times New Roman"/>
                <w:sz w:val="21"/>
              </w:rPr>
            </w:pPr>
            <w:r>
              <w:rPr>
                <w:rFonts w:ascii="Times New Roman"/>
                <w:sz w:val="21"/>
              </w:rPr>
              <w:t>1,413</w:t>
            </w:r>
          </w:p>
        </w:tc>
        <w:tc>
          <w:tcPr>
            <w:tcW w:w="1656" w:type="dxa"/>
          </w:tcPr>
          <w:p>
            <w:pPr>
              <w:pStyle w:val="TableParagraph"/>
              <w:spacing w:line="235" w:lineRule="exact"/>
              <w:ind w:right="95"/>
              <w:jc w:val="right"/>
              <w:rPr>
                <w:rFonts w:ascii="Times New Roman"/>
                <w:sz w:val="21"/>
              </w:rPr>
            </w:pPr>
            <w:r>
              <w:rPr>
                <w:rFonts w:ascii="Times New Roman"/>
                <w:sz w:val="21"/>
              </w:rPr>
              <w:t>100%</w:t>
            </w:r>
          </w:p>
        </w:tc>
        <w:tc>
          <w:tcPr>
            <w:tcW w:w="1802" w:type="dxa"/>
          </w:tcPr>
          <w:p>
            <w:pPr>
              <w:pStyle w:val="TableParagraph"/>
              <w:spacing w:before="1"/>
              <w:ind w:left="108"/>
              <w:rPr>
                <w:sz w:val="21"/>
              </w:rPr>
            </w:pPr>
            <w:r>
              <w:rPr>
                <w:sz w:val="21"/>
              </w:rPr>
              <w:t>经评估，个别认</w:t>
            </w:r>
          </w:p>
          <w:p>
            <w:pPr>
              <w:pStyle w:val="TableParagraph"/>
              <w:spacing w:line="250" w:lineRule="exact" w:before="4"/>
              <w:ind w:left="108"/>
              <w:rPr>
                <w:sz w:val="21"/>
              </w:rPr>
            </w:pPr>
            <w:r>
              <w:rPr>
                <w:sz w:val="21"/>
              </w:rPr>
              <w:t>定 </w:t>
            </w:r>
          </w:p>
        </w:tc>
      </w:tr>
      <w:tr>
        <w:trPr>
          <w:trHeight w:val="544" w:hRule="atLeast"/>
        </w:trPr>
        <w:tc>
          <w:tcPr>
            <w:tcW w:w="2048" w:type="dxa"/>
          </w:tcPr>
          <w:p>
            <w:pPr>
              <w:pStyle w:val="TableParagraph"/>
              <w:spacing w:before="1"/>
              <w:ind w:left="107"/>
              <w:rPr>
                <w:sz w:val="21"/>
              </w:rPr>
            </w:pPr>
            <w:r>
              <w:rPr>
                <w:spacing w:val="-12"/>
                <w:sz w:val="21"/>
              </w:rPr>
              <w:t>应收账款 </w:t>
            </w:r>
            <w:r>
              <w:rPr>
                <w:rFonts w:ascii="Times New Roman" w:eastAsia="Times New Roman"/>
                <w:sz w:val="21"/>
              </w:rPr>
              <w:t>13</w:t>
            </w:r>
            <w:r>
              <w:rPr>
                <w:sz w:val="21"/>
              </w:rPr>
              <w:t> </w:t>
            </w:r>
          </w:p>
        </w:tc>
        <w:tc>
          <w:tcPr>
            <w:tcW w:w="1656" w:type="dxa"/>
          </w:tcPr>
          <w:p>
            <w:pPr>
              <w:pStyle w:val="TableParagraph"/>
              <w:spacing w:line="235" w:lineRule="exact"/>
              <w:ind w:right="94"/>
              <w:jc w:val="right"/>
              <w:rPr>
                <w:rFonts w:ascii="Times New Roman"/>
                <w:sz w:val="21"/>
              </w:rPr>
            </w:pPr>
            <w:r>
              <w:rPr>
                <w:rFonts w:ascii="Times New Roman"/>
                <w:sz w:val="21"/>
              </w:rPr>
              <w:t>1,193</w:t>
            </w:r>
          </w:p>
        </w:tc>
        <w:tc>
          <w:tcPr>
            <w:tcW w:w="1661" w:type="dxa"/>
          </w:tcPr>
          <w:p>
            <w:pPr>
              <w:pStyle w:val="TableParagraph"/>
              <w:spacing w:line="235" w:lineRule="exact"/>
              <w:ind w:right="96"/>
              <w:jc w:val="right"/>
              <w:rPr>
                <w:rFonts w:ascii="Times New Roman"/>
                <w:sz w:val="21"/>
              </w:rPr>
            </w:pPr>
            <w:r>
              <w:rPr>
                <w:rFonts w:ascii="Times New Roman"/>
                <w:sz w:val="21"/>
              </w:rPr>
              <w:t>1,193</w:t>
            </w:r>
          </w:p>
        </w:tc>
        <w:tc>
          <w:tcPr>
            <w:tcW w:w="1656" w:type="dxa"/>
          </w:tcPr>
          <w:p>
            <w:pPr>
              <w:pStyle w:val="TableParagraph"/>
              <w:spacing w:line="223" w:lineRule="exact"/>
              <w:ind w:right="94"/>
              <w:jc w:val="right"/>
              <w:rPr>
                <w:rFonts w:ascii="Times New Roman"/>
                <w:sz w:val="20"/>
              </w:rPr>
            </w:pPr>
            <w:r>
              <w:rPr>
                <w:rFonts w:ascii="Times New Roman"/>
                <w:sz w:val="20"/>
              </w:rPr>
              <w:t>100%</w:t>
            </w:r>
          </w:p>
        </w:tc>
        <w:tc>
          <w:tcPr>
            <w:tcW w:w="1802" w:type="dxa"/>
          </w:tcPr>
          <w:p>
            <w:pPr>
              <w:pStyle w:val="TableParagraph"/>
              <w:spacing w:before="1"/>
              <w:ind w:left="108"/>
              <w:rPr>
                <w:sz w:val="21"/>
              </w:rPr>
            </w:pPr>
            <w:r>
              <w:rPr>
                <w:sz w:val="21"/>
              </w:rPr>
              <w:t>经评估，个别认</w:t>
            </w:r>
          </w:p>
          <w:p>
            <w:pPr>
              <w:pStyle w:val="TableParagraph"/>
              <w:spacing w:line="250" w:lineRule="exact" w:before="5"/>
              <w:ind w:left="108"/>
              <w:rPr>
                <w:sz w:val="21"/>
              </w:rPr>
            </w:pPr>
            <w:r>
              <w:rPr>
                <w:sz w:val="21"/>
              </w:rPr>
              <w:t>定 </w:t>
            </w:r>
          </w:p>
        </w:tc>
      </w:tr>
      <w:tr>
        <w:trPr>
          <w:trHeight w:val="544" w:hRule="atLeast"/>
        </w:trPr>
        <w:tc>
          <w:tcPr>
            <w:tcW w:w="2048" w:type="dxa"/>
          </w:tcPr>
          <w:p>
            <w:pPr>
              <w:pStyle w:val="TableParagraph"/>
              <w:spacing w:before="1"/>
              <w:ind w:left="107"/>
              <w:rPr>
                <w:sz w:val="21"/>
              </w:rPr>
            </w:pPr>
            <w:r>
              <w:rPr>
                <w:spacing w:val="-12"/>
                <w:sz w:val="21"/>
              </w:rPr>
              <w:t>应收账款 </w:t>
            </w:r>
            <w:r>
              <w:rPr>
                <w:rFonts w:ascii="Times New Roman" w:eastAsia="Times New Roman"/>
                <w:sz w:val="21"/>
              </w:rPr>
              <w:t>14</w:t>
            </w:r>
            <w:r>
              <w:rPr>
                <w:sz w:val="21"/>
              </w:rPr>
              <w:t> </w:t>
            </w:r>
          </w:p>
        </w:tc>
        <w:tc>
          <w:tcPr>
            <w:tcW w:w="1656" w:type="dxa"/>
          </w:tcPr>
          <w:p>
            <w:pPr>
              <w:pStyle w:val="TableParagraph"/>
              <w:spacing w:line="235" w:lineRule="exact"/>
              <w:ind w:right="94"/>
              <w:jc w:val="right"/>
              <w:rPr>
                <w:rFonts w:ascii="Times New Roman"/>
                <w:sz w:val="21"/>
              </w:rPr>
            </w:pPr>
            <w:r>
              <w:rPr>
                <w:rFonts w:ascii="Times New Roman"/>
                <w:sz w:val="21"/>
              </w:rPr>
              <w:t>1,114</w:t>
            </w:r>
          </w:p>
        </w:tc>
        <w:tc>
          <w:tcPr>
            <w:tcW w:w="1661" w:type="dxa"/>
          </w:tcPr>
          <w:p>
            <w:pPr>
              <w:pStyle w:val="TableParagraph"/>
              <w:spacing w:line="235" w:lineRule="exact"/>
              <w:ind w:right="96"/>
              <w:jc w:val="right"/>
              <w:rPr>
                <w:rFonts w:ascii="Times New Roman"/>
                <w:sz w:val="21"/>
              </w:rPr>
            </w:pPr>
            <w:r>
              <w:rPr>
                <w:rFonts w:ascii="Times New Roman"/>
                <w:sz w:val="21"/>
              </w:rPr>
              <w:t>1,114</w:t>
            </w:r>
          </w:p>
        </w:tc>
        <w:tc>
          <w:tcPr>
            <w:tcW w:w="1656" w:type="dxa"/>
          </w:tcPr>
          <w:p>
            <w:pPr>
              <w:pStyle w:val="TableParagraph"/>
              <w:spacing w:line="235" w:lineRule="exact"/>
              <w:ind w:right="95"/>
              <w:jc w:val="right"/>
              <w:rPr>
                <w:rFonts w:ascii="Times New Roman"/>
                <w:sz w:val="21"/>
              </w:rPr>
            </w:pPr>
            <w:r>
              <w:rPr>
                <w:rFonts w:ascii="Times New Roman"/>
                <w:sz w:val="21"/>
              </w:rPr>
              <w:t>100%</w:t>
            </w:r>
          </w:p>
        </w:tc>
        <w:tc>
          <w:tcPr>
            <w:tcW w:w="1802" w:type="dxa"/>
          </w:tcPr>
          <w:p>
            <w:pPr>
              <w:pStyle w:val="TableParagraph"/>
              <w:spacing w:before="1"/>
              <w:ind w:left="108"/>
              <w:rPr>
                <w:sz w:val="21"/>
              </w:rPr>
            </w:pPr>
            <w:r>
              <w:rPr>
                <w:sz w:val="21"/>
              </w:rPr>
              <w:t>经评估，个别认</w:t>
            </w:r>
          </w:p>
          <w:p>
            <w:pPr>
              <w:pStyle w:val="TableParagraph"/>
              <w:spacing w:line="250" w:lineRule="exact" w:before="4"/>
              <w:ind w:left="108"/>
              <w:rPr>
                <w:sz w:val="21"/>
              </w:rPr>
            </w:pPr>
            <w:r>
              <w:rPr>
                <w:sz w:val="21"/>
              </w:rPr>
              <w:t>定 </w:t>
            </w:r>
          </w:p>
        </w:tc>
      </w:tr>
      <w:tr>
        <w:trPr>
          <w:trHeight w:val="544" w:hRule="atLeast"/>
        </w:trPr>
        <w:tc>
          <w:tcPr>
            <w:tcW w:w="2048" w:type="dxa"/>
          </w:tcPr>
          <w:p>
            <w:pPr>
              <w:pStyle w:val="TableParagraph"/>
              <w:spacing w:before="3"/>
              <w:ind w:left="107"/>
              <w:rPr>
                <w:sz w:val="21"/>
              </w:rPr>
            </w:pPr>
            <w:r>
              <w:rPr>
                <w:spacing w:val="-12"/>
                <w:sz w:val="21"/>
              </w:rPr>
              <w:t>应收账款 </w:t>
            </w:r>
            <w:r>
              <w:rPr>
                <w:rFonts w:ascii="Times New Roman" w:eastAsia="Times New Roman"/>
                <w:sz w:val="21"/>
              </w:rPr>
              <w:t>15</w:t>
            </w:r>
            <w:r>
              <w:rPr>
                <w:sz w:val="21"/>
              </w:rPr>
              <w:t> </w:t>
            </w:r>
          </w:p>
        </w:tc>
        <w:tc>
          <w:tcPr>
            <w:tcW w:w="1656" w:type="dxa"/>
          </w:tcPr>
          <w:p>
            <w:pPr>
              <w:pStyle w:val="TableParagraph"/>
              <w:spacing w:line="237" w:lineRule="exact"/>
              <w:ind w:right="94"/>
              <w:jc w:val="right"/>
              <w:rPr>
                <w:rFonts w:ascii="Times New Roman"/>
                <w:sz w:val="21"/>
              </w:rPr>
            </w:pPr>
            <w:r>
              <w:rPr>
                <w:rFonts w:ascii="Times New Roman"/>
                <w:sz w:val="21"/>
              </w:rPr>
              <w:t>853</w:t>
            </w:r>
          </w:p>
        </w:tc>
        <w:tc>
          <w:tcPr>
            <w:tcW w:w="1661" w:type="dxa"/>
          </w:tcPr>
          <w:p>
            <w:pPr>
              <w:pStyle w:val="TableParagraph"/>
              <w:spacing w:line="237" w:lineRule="exact"/>
              <w:ind w:right="96"/>
              <w:jc w:val="right"/>
              <w:rPr>
                <w:rFonts w:ascii="Times New Roman"/>
                <w:sz w:val="21"/>
              </w:rPr>
            </w:pPr>
            <w:r>
              <w:rPr>
                <w:rFonts w:ascii="Times New Roman"/>
                <w:sz w:val="21"/>
              </w:rPr>
              <w:t>853</w:t>
            </w:r>
          </w:p>
        </w:tc>
        <w:tc>
          <w:tcPr>
            <w:tcW w:w="1656" w:type="dxa"/>
          </w:tcPr>
          <w:p>
            <w:pPr>
              <w:pStyle w:val="TableParagraph"/>
              <w:spacing w:line="237" w:lineRule="exact"/>
              <w:ind w:right="95"/>
              <w:jc w:val="right"/>
              <w:rPr>
                <w:rFonts w:ascii="Times New Roman"/>
                <w:sz w:val="21"/>
              </w:rPr>
            </w:pPr>
            <w:r>
              <w:rPr>
                <w:rFonts w:ascii="Times New Roman"/>
                <w:sz w:val="21"/>
              </w:rPr>
              <w:t>100%</w:t>
            </w:r>
          </w:p>
        </w:tc>
        <w:tc>
          <w:tcPr>
            <w:tcW w:w="1802" w:type="dxa"/>
          </w:tcPr>
          <w:p>
            <w:pPr>
              <w:pStyle w:val="TableParagraph"/>
              <w:spacing w:line="270" w:lineRule="atLeast"/>
              <w:ind w:left="108" w:right="207"/>
              <w:rPr>
                <w:sz w:val="21"/>
              </w:rPr>
            </w:pPr>
            <w:r>
              <w:rPr>
                <w:sz w:val="21"/>
              </w:rPr>
              <w:t>经评估，个别认定 </w:t>
            </w:r>
          </w:p>
        </w:tc>
      </w:tr>
      <w:tr>
        <w:trPr>
          <w:trHeight w:val="546" w:hRule="atLeast"/>
        </w:trPr>
        <w:tc>
          <w:tcPr>
            <w:tcW w:w="2048" w:type="dxa"/>
          </w:tcPr>
          <w:p>
            <w:pPr>
              <w:pStyle w:val="TableParagraph"/>
              <w:spacing w:before="3"/>
              <w:ind w:left="107"/>
              <w:rPr>
                <w:sz w:val="21"/>
              </w:rPr>
            </w:pPr>
            <w:r>
              <w:rPr>
                <w:spacing w:val="-12"/>
                <w:sz w:val="21"/>
              </w:rPr>
              <w:t>应收账款 </w:t>
            </w:r>
            <w:r>
              <w:rPr>
                <w:rFonts w:ascii="Times New Roman" w:eastAsia="Times New Roman"/>
                <w:sz w:val="21"/>
              </w:rPr>
              <w:t>16</w:t>
            </w:r>
            <w:r>
              <w:rPr>
                <w:sz w:val="21"/>
              </w:rPr>
              <w:t> </w:t>
            </w:r>
          </w:p>
        </w:tc>
        <w:tc>
          <w:tcPr>
            <w:tcW w:w="1656" w:type="dxa"/>
          </w:tcPr>
          <w:p>
            <w:pPr>
              <w:pStyle w:val="TableParagraph"/>
              <w:spacing w:line="237" w:lineRule="exact"/>
              <w:ind w:right="94"/>
              <w:jc w:val="right"/>
              <w:rPr>
                <w:rFonts w:ascii="Times New Roman"/>
                <w:sz w:val="21"/>
              </w:rPr>
            </w:pPr>
            <w:r>
              <w:rPr>
                <w:rFonts w:ascii="Times New Roman"/>
                <w:sz w:val="21"/>
              </w:rPr>
              <w:t>784</w:t>
            </w:r>
          </w:p>
        </w:tc>
        <w:tc>
          <w:tcPr>
            <w:tcW w:w="1661" w:type="dxa"/>
          </w:tcPr>
          <w:p>
            <w:pPr>
              <w:pStyle w:val="TableParagraph"/>
              <w:spacing w:line="237" w:lineRule="exact"/>
              <w:ind w:right="96"/>
              <w:jc w:val="right"/>
              <w:rPr>
                <w:rFonts w:ascii="Times New Roman"/>
                <w:sz w:val="21"/>
              </w:rPr>
            </w:pPr>
            <w:r>
              <w:rPr>
                <w:rFonts w:ascii="Times New Roman"/>
                <w:sz w:val="21"/>
              </w:rPr>
              <w:t>784</w:t>
            </w:r>
          </w:p>
        </w:tc>
        <w:tc>
          <w:tcPr>
            <w:tcW w:w="1656" w:type="dxa"/>
          </w:tcPr>
          <w:p>
            <w:pPr>
              <w:pStyle w:val="TableParagraph"/>
              <w:spacing w:line="237" w:lineRule="exact"/>
              <w:ind w:right="95"/>
              <w:jc w:val="right"/>
              <w:rPr>
                <w:rFonts w:ascii="Times New Roman"/>
                <w:sz w:val="21"/>
              </w:rPr>
            </w:pPr>
            <w:r>
              <w:rPr>
                <w:rFonts w:ascii="Times New Roman"/>
                <w:sz w:val="21"/>
              </w:rPr>
              <w:t>100%</w:t>
            </w:r>
          </w:p>
        </w:tc>
        <w:tc>
          <w:tcPr>
            <w:tcW w:w="1802" w:type="dxa"/>
          </w:tcPr>
          <w:p>
            <w:pPr>
              <w:pStyle w:val="TableParagraph"/>
              <w:spacing w:line="270" w:lineRule="atLeast"/>
              <w:ind w:left="108" w:right="207"/>
              <w:rPr>
                <w:sz w:val="21"/>
              </w:rPr>
            </w:pPr>
            <w:r>
              <w:rPr>
                <w:sz w:val="21"/>
              </w:rPr>
              <w:t>经评估，个别认定 </w:t>
            </w:r>
          </w:p>
        </w:tc>
      </w:tr>
      <w:tr>
        <w:trPr>
          <w:trHeight w:val="544" w:hRule="atLeast"/>
        </w:trPr>
        <w:tc>
          <w:tcPr>
            <w:tcW w:w="2048" w:type="dxa"/>
          </w:tcPr>
          <w:p>
            <w:pPr>
              <w:pStyle w:val="TableParagraph"/>
              <w:spacing w:before="1"/>
              <w:ind w:left="107"/>
              <w:rPr>
                <w:sz w:val="21"/>
              </w:rPr>
            </w:pPr>
            <w:r>
              <w:rPr>
                <w:sz w:val="21"/>
              </w:rPr>
              <w:t>其他 </w:t>
            </w:r>
          </w:p>
        </w:tc>
        <w:tc>
          <w:tcPr>
            <w:tcW w:w="1656" w:type="dxa"/>
          </w:tcPr>
          <w:p>
            <w:pPr>
              <w:pStyle w:val="TableParagraph"/>
              <w:spacing w:line="235" w:lineRule="exact"/>
              <w:ind w:right="94"/>
              <w:jc w:val="right"/>
              <w:rPr>
                <w:rFonts w:ascii="Times New Roman"/>
                <w:sz w:val="21"/>
              </w:rPr>
            </w:pPr>
            <w:r>
              <w:rPr>
                <w:rFonts w:ascii="Times New Roman"/>
                <w:sz w:val="21"/>
              </w:rPr>
              <w:t>9,590</w:t>
            </w:r>
          </w:p>
        </w:tc>
        <w:tc>
          <w:tcPr>
            <w:tcW w:w="1661" w:type="dxa"/>
          </w:tcPr>
          <w:p>
            <w:pPr>
              <w:pStyle w:val="TableParagraph"/>
              <w:spacing w:line="235" w:lineRule="exact"/>
              <w:ind w:right="96"/>
              <w:jc w:val="right"/>
              <w:rPr>
                <w:rFonts w:ascii="Times New Roman"/>
                <w:sz w:val="21"/>
              </w:rPr>
            </w:pPr>
            <w:r>
              <w:rPr>
                <w:rFonts w:ascii="Times New Roman"/>
                <w:sz w:val="21"/>
              </w:rPr>
              <w:t>9,590</w:t>
            </w:r>
          </w:p>
        </w:tc>
        <w:tc>
          <w:tcPr>
            <w:tcW w:w="1656" w:type="dxa"/>
          </w:tcPr>
          <w:p>
            <w:pPr>
              <w:pStyle w:val="TableParagraph"/>
              <w:spacing w:line="235" w:lineRule="exact"/>
              <w:ind w:right="95"/>
              <w:jc w:val="right"/>
              <w:rPr>
                <w:rFonts w:ascii="Times New Roman"/>
                <w:sz w:val="21"/>
              </w:rPr>
            </w:pPr>
            <w:r>
              <w:rPr>
                <w:rFonts w:ascii="Times New Roman"/>
                <w:sz w:val="21"/>
              </w:rPr>
              <w:t>100%</w:t>
            </w:r>
          </w:p>
        </w:tc>
        <w:tc>
          <w:tcPr>
            <w:tcW w:w="1802" w:type="dxa"/>
          </w:tcPr>
          <w:p>
            <w:pPr>
              <w:pStyle w:val="TableParagraph"/>
              <w:spacing w:before="1"/>
              <w:ind w:left="108"/>
              <w:rPr>
                <w:sz w:val="21"/>
              </w:rPr>
            </w:pPr>
            <w:r>
              <w:rPr>
                <w:sz w:val="21"/>
              </w:rPr>
              <w:t>经评估，个别认</w:t>
            </w:r>
          </w:p>
          <w:p>
            <w:pPr>
              <w:pStyle w:val="TableParagraph"/>
              <w:spacing w:line="252" w:lineRule="exact" w:before="2"/>
              <w:ind w:left="108"/>
              <w:rPr>
                <w:sz w:val="21"/>
              </w:rPr>
            </w:pPr>
            <w:r>
              <w:rPr>
                <w:sz w:val="21"/>
              </w:rPr>
              <w:t>定 </w:t>
            </w:r>
          </w:p>
        </w:tc>
      </w:tr>
      <w:tr>
        <w:trPr>
          <w:trHeight w:val="273" w:hRule="atLeast"/>
        </w:trPr>
        <w:tc>
          <w:tcPr>
            <w:tcW w:w="2048" w:type="dxa"/>
          </w:tcPr>
          <w:p>
            <w:pPr>
              <w:pStyle w:val="TableParagraph"/>
              <w:spacing w:line="252" w:lineRule="exact" w:before="1"/>
              <w:ind w:left="846" w:right="732"/>
              <w:jc w:val="center"/>
              <w:rPr>
                <w:sz w:val="21"/>
              </w:rPr>
            </w:pPr>
            <w:r>
              <w:rPr>
                <w:sz w:val="21"/>
              </w:rPr>
              <w:t>合计 </w:t>
            </w:r>
          </w:p>
        </w:tc>
        <w:tc>
          <w:tcPr>
            <w:tcW w:w="1656" w:type="dxa"/>
          </w:tcPr>
          <w:p>
            <w:pPr>
              <w:pStyle w:val="TableParagraph"/>
              <w:spacing w:line="235" w:lineRule="exact"/>
              <w:ind w:right="94"/>
              <w:jc w:val="right"/>
              <w:rPr>
                <w:rFonts w:ascii="Times New Roman"/>
                <w:sz w:val="21"/>
              </w:rPr>
            </w:pPr>
            <w:r>
              <w:rPr>
                <w:rFonts w:ascii="Times New Roman"/>
                <w:sz w:val="21"/>
              </w:rPr>
              <w:t>70,072</w:t>
            </w:r>
          </w:p>
        </w:tc>
        <w:tc>
          <w:tcPr>
            <w:tcW w:w="1661" w:type="dxa"/>
          </w:tcPr>
          <w:p>
            <w:pPr>
              <w:pStyle w:val="TableParagraph"/>
              <w:spacing w:line="235" w:lineRule="exact"/>
              <w:ind w:right="96"/>
              <w:jc w:val="right"/>
              <w:rPr>
                <w:rFonts w:ascii="Times New Roman"/>
                <w:sz w:val="21"/>
              </w:rPr>
            </w:pPr>
            <w:r>
              <w:rPr>
                <w:rFonts w:ascii="Times New Roman"/>
                <w:sz w:val="21"/>
              </w:rPr>
              <w:t>70,072</w:t>
            </w:r>
          </w:p>
        </w:tc>
        <w:tc>
          <w:tcPr>
            <w:tcW w:w="1656" w:type="dxa"/>
          </w:tcPr>
          <w:p>
            <w:pPr>
              <w:pStyle w:val="TableParagraph"/>
              <w:spacing w:line="235" w:lineRule="exact"/>
              <w:ind w:right="95"/>
              <w:jc w:val="right"/>
              <w:rPr>
                <w:rFonts w:ascii="Times New Roman"/>
                <w:sz w:val="21"/>
              </w:rPr>
            </w:pPr>
            <w:r>
              <w:rPr>
                <w:rFonts w:ascii="Times New Roman"/>
                <w:sz w:val="21"/>
              </w:rPr>
              <w:t>100%</w:t>
            </w:r>
          </w:p>
        </w:tc>
        <w:tc>
          <w:tcPr>
            <w:tcW w:w="1802" w:type="dxa"/>
          </w:tcPr>
          <w:p>
            <w:pPr>
              <w:pStyle w:val="TableParagraph"/>
              <w:spacing w:line="252" w:lineRule="exact" w:before="1"/>
              <w:ind w:left="880" w:right="766"/>
              <w:jc w:val="center"/>
              <w:rPr>
                <w:sz w:val="21"/>
              </w:rPr>
            </w:pPr>
            <w:r>
              <w:rPr>
                <w:sz w:val="21"/>
              </w:rPr>
              <w:t>/ </w:t>
            </w:r>
          </w:p>
        </w:tc>
      </w:tr>
    </w:tbl>
    <w:p>
      <w:pPr>
        <w:pStyle w:val="BodyText"/>
        <w:spacing w:before="1"/>
      </w:pPr>
      <w:r>
        <w:rPr>
          <w:w w:val="100"/>
        </w:rPr>
        <w:t> </w:t>
      </w:r>
    </w:p>
    <w:p>
      <w:pPr>
        <w:pStyle w:val="BodyText"/>
        <w:spacing w:before="2"/>
      </w:pPr>
      <w:r>
        <w:rPr>
          <w:spacing w:val="-1"/>
        </w:rPr>
        <w:t>按单项计提坏账准备的说明：</w:t>
      </w:r>
      <w:r>
        <w:rPr/>
        <w:t> </w:t>
      </w:r>
    </w:p>
    <w:p>
      <w:pPr>
        <w:pStyle w:val="BodyText"/>
        <w:spacing w:before="2"/>
      </w:pPr>
      <w:r>
        <w:rPr>
          <w:spacing w:val="-1"/>
        </w:rPr>
        <w:t>□适用 √不适用</w:t>
      </w:r>
      <w:r>
        <w:rPr>
          <w:spacing w:val="-3"/>
        </w:rPr>
        <w:t> </w:t>
      </w:r>
      <w:r>
        <w:rPr/>
        <w:t> </w:t>
      </w:r>
    </w:p>
    <w:p>
      <w:pPr>
        <w:pStyle w:val="BodyText"/>
        <w:spacing w:before="5"/>
      </w:pPr>
      <w:r>
        <w:rPr>
          <w:w w:val="100"/>
        </w:rPr>
        <w:t> </w:t>
      </w:r>
    </w:p>
    <w:p>
      <w:pPr>
        <w:pStyle w:val="BodyText"/>
        <w:spacing w:before="2"/>
      </w:pPr>
      <w:r>
        <w:rPr>
          <w:spacing w:val="-1"/>
        </w:rPr>
        <w:t>按组合计提坏账准备：</w:t>
      </w:r>
      <w:r>
        <w:rPr/>
        <w:t> </w:t>
      </w:r>
    </w:p>
    <w:p>
      <w:pPr>
        <w:pStyle w:val="BodyText"/>
        <w:spacing w:before="5"/>
      </w:pPr>
      <w:r>
        <w:rPr>
          <w:spacing w:val="-1"/>
        </w:rPr>
        <w:t>√适用 □不适用</w:t>
      </w:r>
      <w:r>
        <w:rPr>
          <w:spacing w:val="-3"/>
        </w:rPr>
        <w:t> </w:t>
      </w:r>
      <w:r>
        <w:rPr/>
        <w:t> </w:t>
      </w:r>
    </w:p>
    <w:p>
      <w:pPr>
        <w:pStyle w:val="BodyText"/>
        <w:spacing w:before="2"/>
      </w:pPr>
      <w:r>
        <w:rPr>
          <w:spacing w:val="-1"/>
        </w:rPr>
        <w:t>组合计提项目：按信用等级分类的客户组合</w:t>
      </w:r>
      <w:r>
        <w:rPr/>
        <w:t> </w:t>
      </w:r>
    </w:p>
    <w:p>
      <w:pPr>
        <w:pStyle w:val="BodyText"/>
        <w:spacing w:before="4"/>
        <w:ind w:left="6525"/>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3"/>
        <w:gridCol w:w="2254"/>
        <w:gridCol w:w="2293"/>
        <w:gridCol w:w="2236"/>
      </w:tblGrid>
      <w:tr>
        <w:trPr>
          <w:trHeight w:val="273" w:hRule="atLeast"/>
        </w:trPr>
        <w:tc>
          <w:tcPr>
            <w:tcW w:w="2043" w:type="dxa"/>
            <w:vMerge w:val="restart"/>
          </w:tcPr>
          <w:p>
            <w:pPr>
              <w:pStyle w:val="TableParagraph"/>
              <w:spacing w:before="142"/>
              <w:ind w:left="843" w:right="729"/>
              <w:jc w:val="center"/>
              <w:rPr>
                <w:sz w:val="21"/>
              </w:rPr>
            </w:pPr>
            <w:r>
              <w:rPr>
                <w:sz w:val="21"/>
              </w:rPr>
              <w:t>名称 </w:t>
            </w:r>
          </w:p>
        </w:tc>
        <w:tc>
          <w:tcPr>
            <w:tcW w:w="6783" w:type="dxa"/>
            <w:gridSpan w:val="3"/>
          </w:tcPr>
          <w:p>
            <w:pPr>
              <w:pStyle w:val="TableParagraph"/>
              <w:spacing w:line="250" w:lineRule="exact" w:before="3"/>
              <w:ind w:left="3003" w:right="2893"/>
              <w:jc w:val="center"/>
              <w:rPr>
                <w:sz w:val="21"/>
              </w:rPr>
            </w:pPr>
            <w:r>
              <w:rPr>
                <w:spacing w:val="-1"/>
                <w:sz w:val="21"/>
              </w:rPr>
              <w:t>期末余额</w:t>
            </w:r>
            <w:r>
              <w:rPr>
                <w:sz w:val="21"/>
              </w:rPr>
              <w:t> </w:t>
            </w:r>
          </w:p>
        </w:tc>
      </w:tr>
      <w:tr>
        <w:trPr>
          <w:trHeight w:val="273" w:hRule="atLeast"/>
        </w:trPr>
        <w:tc>
          <w:tcPr>
            <w:tcW w:w="2043" w:type="dxa"/>
            <w:vMerge/>
            <w:tcBorders>
              <w:top w:val="nil"/>
            </w:tcBorders>
          </w:tcPr>
          <w:p>
            <w:pPr>
              <w:rPr>
                <w:sz w:val="2"/>
                <w:szCs w:val="2"/>
              </w:rPr>
            </w:pPr>
          </w:p>
        </w:tc>
        <w:tc>
          <w:tcPr>
            <w:tcW w:w="2254" w:type="dxa"/>
          </w:tcPr>
          <w:p>
            <w:pPr>
              <w:pStyle w:val="TableParagraph"/>
              <w:spacing w:line="252" w:lineRule="exact" w:before="1"/>
              <w:ind w:left="705"/>
              <w:rPr>
                <w:sz w:val="21"/>
              </w:rPr>
            </w:pPr>
            <w:r>
              <w:rPr>
                <w:spacing w:val="-1"/>
                <w:sz w:val="21"/>
              </w:rPr>
              <w:t>应收账款</w:t>
            </w:r>
            <w:r>
              <w:rPr>
                <w:sz w:val="21"/>
              </w:rPr>
              <w:t> </w:t>
            </w:r>
          </w:p>
        </w:tc>
        <w:tc>
          <w:tcPr>
            <w:tcW w:w="2293" w:type="dxa"/>
          </w:tcPr>
          <w:p>
            <w:pPr>
              <w:pStyle w:val="TableParagraph"/>
              <w:spacing w:line="252" w:lineRule="exact" w:before="1"/>
              <w:ind w:left="722"/>
              <w:rPr>
                <w:sz w:val="21"/>
              </w:rPr>
            </w:pPr>
            <w:r>
              <w:rPr>
                <w:spacing w:val="-1"/>
                <w:sz w:val="21"/>
              </w:rPr>
              <w:t>坏账准备</w:t>
            </w:r>
            <w:r>
              <w:rPr>
                <w:sz w:val="21"/>
              </w:rPr>
              <w:t> </w:t>
            </w:r>
          </w:p>
        </w:tc>
        <w:tc>
          <w:tcPr>
            <w:tcW w:w="2236" w:type="dxa"/>
          </w:tcPr>
          <w:p>
            <w:pPr>
              <w:pStyle w:val="TableParagraph"/>
              <w:spacing w:line="252" w:lineRule="exact" w:before="1"/>
              <w:ind w:left="431"/>
              <w:rPr>
                <w:sz w:val="21"/>
              </w:rPr>
            </w:pPr>
            <w:r>
              <w:rPr>
                <w:spacing w:val="-1"/>
                <w:sz w:val="21"/>
              </w:rPr>
              <w:t>计提比例</w:t>
            </w:r>
            <w:r>
              <w:rPr>
                <w:sz w:val="21"/>
              </w:rPr>
              <w:t>（%） </w:t>
            </w:r>
          </w:p>
        </w:tc>
      </w:tr>
      <w:tr>
        <w:trPr>
          <w:trHeight w:val="270" w:hRule="atLeast"/>
        </w:trPr>
        <w:tc>
          <w:tcPr>
            <w:tcW w:w="2043" w:type="dxa"/>
          </w:tcPr>
          <w:p>
            <w:pPr>
              <w:pStyle w:val="TableParagraph"/>
              <w:spacing w:line="250" w:lineRule="exact" w:before="1"/>
              <w:ind w:left="107"/>
              <w:rPr>
                <w:sz w:val="21"/>
              </w:rPr>
            </w:pPr>
            <w:r>
              <w:rPr>
                <w:sz w:val="21"/>
              </w:rPr>
              <w:t>未逾期 </w:t>
            </w:r>
          </w:p>
        </w:tc>
        <w:tc>
          <w:tcPr>
            <w:tcW w:w="2254" w:type="dxa"/>
          </w:tcPr>
          <w:p>
            <w:pPr>
              <w:pStyle w:val="TableParagraph"/>
              <w:spacing w:line="235" w:lineRule="exact"/>
              <w:ind w:right="96"/>
              <w:jc w:val="right"/>
              <w:rPr>
                <w:rFonts w:ascii="Times New Roman"/>
                <w:sz w:val="21"/>
              </w:rPr>
            </w:pPr>
            <w:r>
              <w:rPr>
                <w:rFonts w:ascii="Times New Roman"/>
                <w:sz w:val="21"/>
              </w:rPr>
              <w:t>97,274,053</w:t>
            </w:r>
          </w:p>
        </w:tc>
        <w:tc>
          <w:tcPr>
            <w:tcW w:w="2293" w:type="dxa"/>
          </w:tcPr>
          <w:p>
            <w:pPr>
              <w:pStyle w:val="TableParagraph"/>
              <w:spacing w:before="7"/>
              <w:ind w:right="99"/>
              <w:jc w:val="right"/>
              <w:rPr>
                <w:rFonts w:ascii="Times New Roman"/>
                <w:sz w:val="21"/>
              </w:rPr>
            </w:pPr>
            <w:r>
              <w:rPr>
                <w:rFonts w:ascii="Times New Roman"/>
                <w:sz w:val="21"/>
              </w:rPr>
              <w:t>-592,154</w:t>
            </w:r>
          </w:p>
        </w:tc>
        <w:tc>
          <w:tcPr>
            <w:tcW w:w="2236" w:type="dxa"/>
          </w:tcPr>
          <w:p>
            <w:pPr>
              <w:pStyle w:val="TableParagraph"/>
              <w:spacing w:line="235" w:lineRule="exact"/>
              <w:ind w:right="95"/>
              <w:jc w:val="right"/>
              <w:rPr>
                <w:rFonts w:ascii="Times New Roman"/>
                <w:sz w:val="21"/>
              </w:rPr>
            </w:pPr>
            <w:r>
              <w:rPr>
                <w:rFonts w:ascii="Times New Roman"/>
                <w:sz w:val="21"/>
              </w:rPr>
              <w:t>0.61%</w:t>
            </w:r>
          </w:p>
        </w:tc>
      </w:tr>
      <w:tr>
        <w:trPr>
          <w:trHeight w:val="273" w:hRule="atLeast"/>
        </w:trPr>
        <w:tc>
          <w:tcPr>
            <w:tcW w:w="2043" w:type="dxa"/>
          </w:tcPr>
          <w:p>
            <w:pPr>
              <w:pStyle w:val="TableParagraph"/>
              <w:spacing w:line="252" w:lineRule="exact" w:before="1"/>
              <w:ind w:left="107"/>
              <w:rPr>
                <w:sz w:val="21"/>
              </w:rPr>
            </w:pPr>
            <w:r>
              <w:rPr>
                <w:spacing w:val="-1"/>
                <w:sz w:val="21"/>
              </w:rPr>
              <w:t>逾期一年以内</w:t>
            </w:r>
            <w:r>
              <w:rPr>
                <w:sz w:val="21"/>
              </w:rPr>
              <w:t> </w:t>
            </w:r>
          </w:p>
        </w:tc>
        <w:tc>
          <w:tcPr>
            <w:tcW w:w="2254" w:type="dxa"/>
          </w:tcPr>
          <w:p>
            <w:pPr>
              <w:pStyle w:val="TableParagraph"/>
              <w:spacing w:line="235" w:lineRule="exact"/>
              <w:ind w:right="96"/>
              <w:jc w:val="right"/>
              <w:rPr>
                <w:rFonts w:ascii="Times New Roman"/>
                <w:sz w:val="21"/>
              </w:rPr>
            </w:pPr>
            <w:r>
              <w:rPr>
                <w:rFonts w:ascii="Times New Roman"/>
                <w:sz w:val="21"/>
              </w:rPr>
              <w:t>984,185</w:t>
            </w:r>
          </w:p>
        </w:tc>
        <w:tc>
          <w:tcPr>
            <w:tcW w:w="2293" w:type="dxa"/>
          </w:tcPr>
          <w:p>
            <w:pPr>
              <w:pStyle w:val="TableParagraph"/>
              <w:spacing w:before="10"/>
              <w:ind w:right="99"/>
              <w:jc w:val="right"/>
              <w:rPr>
                <w:rFonts w:ascii="Times New Roman"/>
                <w:sz w:val="21"/>
              </w:rPr>
            </w:pPr>
            <w:r>
              <w:rPr>
                <w:rFonts w:ascii="Times New Roman"/>
                <w:sz w:val="21"/>
              </w:rPr>
              <w:t>-16,165</w:t>
            </w:r>
          </w:p>
        </w:tc>
        <w:tc>
          <w:tcPr>
            <w:tcW w:w="2236" w:type="dxa"/>
          </w:tcPr>
          <w:p>
            <w:pPr>
              <w:pStyle w:val="TableParagraph"/>
              <w:spacing w:line="235" w:lineRule="exact"/>
              <w:ind w:right="95"/>
              <w:jc w:val="right"/>
              <w:rPr>
                <w:rFonts w:ascii="Times New Roman"/>
                <w:sz w:val="21"/>
              </w:rPr>
            </w:pPr>
            <w:r>
              <w:rPr>
                <w:rFonts w:ascii="Times New Roman"/>
                <w:sz w:val="21"/>
              </w:rPr>
              <w:t>1.64%</w:t>
            </w:r>
          </w:p>
        </w:tc>
      </w:tr>
      <w:tr>
        <w:trPr>
          <w:trHeight w:val="273" w:hRule="atLeast"/>
        </w:trPr>
        <w:tc>
          <w:tcPr>
            <w:tcW w:w="2043" w:type="dxa"/>
          </w:tcPr>
          <w:p>
            <w:pPr>
              <w:pStyle w:val="TableParagraph"/>
              <w:spacing w:line="252" w:lineRule="exact" w:before="1"/>
              <w:ind w:left="107"/>
              <w:rPr>
                <w:sz w:val="21"/>
              </w:rPr>
            </w:pPr>
            <w:r>
              <w:rPr>
                <w:spacing w:val="-1"/>
                <w:sz w:val="21"/>
              </w:rPr>
              <w:t>逾期一到二年</w:t>
            </w:r>
            <w:r>
              <w:rPr>
                <w:sz w:val="21"/>
              </w:rPr>
              <w:t> </w:t>
            </w:r>
          </w:p>
        </w:tc>
        <w:tc>
          <w:tcPr>
            <w:tcW w:w="2254" w:type="dxa"/>
          </w:tcPr>
          <w:p>
            <w:pPr>
              <w:pStyle w:val="TableParagraph"/>
              <w:spacing w:line="235" w:lineRule="exact"/>
              <w:ind w:right="96"/>
              <w:jc w:val="right"/>
              <w:rPr>
                <w:rFonts w:ascii="Times New Roman"/>
                <w:sz w:val="21"/>
              </w:rPr>
            </w:pPr>
            <w:r>
              <w:rPr>
                <w:rFonts w:ascii="Times New Roman"/>
                <w:sz w:val="21"/>
              </w:rPr>
              <w:t>28,600</w:t>
            </w:r>
          </w:p>
        </w:tc>
        <w:tc>
          <w:tcPr>
            <w:tcW w:w="2293" w:type="dxa"/>
          </w:tcPr>
          <w:p>
            <w:pPr>
              <w:pStyle w:val="TableParagraph"/>
              <w:spacing w:before="10"/>
              <w:ind w:right="99"/>
              <w:jc w:val="right"/>
              <w:rPr>
                <w:rFonts w:ascii="Times New Roman"/>
                <w:sz w:val="21"/>
              </w:rPr>
            </w:pPr>
            <w:r>
              <w:rPr>
                <w:rFonts w:ascii="Times New Roman"/>
                <w:sz w:val="21"/>
              </w:rPr>
              <w:t>-6,151</w:t>
            </w:r>
          </w:p>
        </w:tc>
        <w:tc>
          <w:tcPr>
            <w:tcW w:w="2236" w:type="dxa"/>
          </w:tcPr>
          <w:p>
            <w:pPr>
              <w:pStyle w:val="TableParagraph"/>
              <w:spacing w:line="235" w:lineRule="exact"/>
              <w:ind w:right="95"/>
              <w:jc w:val="right"/>
              <w:rPr>
                <w:rFonts w:ascii="Times New Roman"/>
                <w:sz w:val="21"/>
              </w:rPr>
            </w:pPr>
            <w:r>
              <w:rPr>
                <w:rFonts w:ascii="Times New Roman"/>
                <w:sz w:val="21"/>
              </w:rPr>
              <w:t>21.51%</w:t>
            </w:r>
          </w:p>
        </w:tc>
      </w:tr>
      <w:tr>
        <w:trPr>
          <w:trHeight w:val="270" w:hRule="atLeast"/>
        </w:trPr>
        <w:tc>
          <w:tcPr>
            <w:tcW w:w="2043" w:type="dxa"/>
          </w:tcPr>
          <w:p>
            <w:pPr>
              <w:pStyle w:val="TableParagraph"/>
              <w:spacing w:line="250" w:lineRule="exact" w:before="1"/>
              <w:ind w:left="107"/>
              <w:rPr>
                <w:sz w:val="21"/>
              </w:rPr>
            </w:pPr>
            <w:r>
              <w:rPr>
                <w:spacing w:val="-1"/>
                <w:sz w:val="21"/>
              </w:rPr>
              <w:t>逾期二到三年</w:t>
            </w:r>
            <w:r>
              <w:rPr>
                <w:sz w:val="21"/>
              </w:rPr>
              <w:t> </w:t>
            </w:r>
          </w:p>
        </w:tc>
        <w:tc>
          <w:tcPr>
            <w:tcW w:w="2254" w:type="dxa"/>
          </w:tcPr>
          <w:p>
            <w:pPr>
              <w:pStyle w:val="TableParagraph"/>
              <w:spacing w:line="235" w:lineRule="exact"/>
              <w:ind w:right="96"/>
              <w:jc w:val="right"/>
              <w:rPr>
                <w:rFonts w:ascii="Times New Roman"/>
                <w:sz w:val="21"/>
              </w:rPr>
            </w:pPr>
            <w:r>
              <w:rPr>
                <w:rFonts w:ascii="Times New Roman"/>
                <w:sz w:val="21"/>
              </w:rPr>
              <w:t>2,048</w:t>
            </w:r>
          </w:p>
        </w:tc>
        <w:tc>
          <w:tcPr>
            <w:tcW w:w="2293" w:type="dxa"/>
          </w:tcPr>
          <w:p>
            <w:pPr>
              <w:pStyle w:val="TableParagraph"/>
              <w:spacing w:before="7"/>
              <w:ind w:right="99"/>
              <w:jc w:val="right"/>
              <w:rPr>
                <w:rFonts w:ascii="Times New Roman"/>
                <w:sz w:val="21"/>
              </w:rPr>
            </w:pPr>
            <w:r>
              <w:rPr>
                <w:rFonts w:ascii="Times New Roman"/>
                <w:sz w:val="21"/>
              </w:rPr>
              <w:t>-1,496</w:t>
            </w:r>
          </w:p>
        </w:tc>
        <w:tc>
          <w:tcPr>
            <w:tcW w:w="2236" w:type="dxa"/>
          </w:tcPr>
          <w:p>
            <w:pPr>
              <w:pStyle w:val="TableParagraph"/>
              <w:spacing w:line="235" w:lineRule="exact"/>
              <w:ind w:right="95"/>
              <w:jc w:val="right"/>
              <w:rPr>
                <w:rFonts w:ascii="Times New Roman"/>
                <w:sz w:val="21"/>
              </w:rPr>
            </w:pPr>
            <w:r>
              <w:rPr>
                <w:rFonts w:ascii="Times New Roman"/>
                <w:sz w:val="21"/>
              </w:rPr>
              <w:t>73.05%</w:t>
            </w:r>
          </w:p>
        </w:tc>
      </w:tr>
      <w:tr>
        <w:trPr>
          <w:trHeight w:val="273" w:hRule="atLeast"/>
        </w:trPr>
        <w:tc>
          <w:tcPr>
            <w:tcW w:w="2043" w:type="dxa"/>
          </w:tcPr>
          <w:p>
            <w:pPr>
              <w:pStyle w:val="TableParagraph"/>
              <w:spacing w:line="252" w:lineRule="exact" w:before="1"/>
              <w:ind w:left="843" w:right="729"/>
              <w:jc w:val="center"/>
              <w:rPr>
                <w:sz w:val="21"/>
              </w:rPr>
            </w:pPr>
            <w:r>
              <w:rPr>
                <w:sz w:val="21"/>
              </w:rPr>
              <w:t>合计 </w:t>
            </w:r>
          </w:p>
        </w:tc>
        <w:tc>
          <w:tcPr>
            <w:tcW w:w="2254" w:type="dxa"/>
          </w:tcPr>
          <w:p>
            <w:pPr>
              <w:pStyle w:val="TableParagraph"/>
              <w:spacing w:line="235" w:lineRule="exact"/>
              <w:ind w:right="96"/>
              <w:jc w:val="right"/>
              <w:rPr>
                <w:rFonts w:ascii="Times New Roman"/>
                <w:sz w:val="21"/>
              </w:rPr>
            </w:pPr>
            <w:r>
              <w:rPr>
                <w:rFonts w:ascii="Times New Roman"/>
                <w:sz w:val="21"/>
              </w:rPr>
              <w:t>98,288,886</w:t>
            </w:r>
          </w:p>
        </w:tc>
        <w:tc>
          <w:tcPr>
            <w:tcW w:w="2293" w:type="dxa"/>
          </w:tcPr>
          <w:p>
            <w:pPr>
              <w:pStyle w:val="TableParagraph"/>
              <w:spacing w:line="235" w:lineRule="exact"/>
              <w:ind w:right="99"/>
              <w:jc w:val="right"/>
              <w:rPr>
                <w:rFonts w:ascii="Times New Roman"/>
                <w:sz w:val="21"/>
              </w:rPr>
            </w:pPr>
            <w:r>
              <w:rPr>
                <w:rFonts w:ascii="Times New Roman"/>
                <w:sz w:val="21"/>
              </w:rPr>
              <w:t>-615,966</w:t>
            </w:r>
          </w:p>
        </w:tc>
        <w:tc>
          <w:tcPr>
            <w:tcW w:w="2236" w:type="dxa"/>
          </w:tcPr>
          <w:p>
            <w:pPr>
              <w:pStyle w:val="TableParagraph"/>
              <w:rPr>
                <w:rFonts w:ascii="Times New Roman"/>
                <w:sz w:val="20"/>
              </w:rPr>
            </w:pPr>
          </w:p>
        </w:tc>
      </w:tr>
    </w:tbl>
    <w:p>
      <w:pPr>
        <w:pStyle w:val="BodyText"/>
        <w:spacing w:before="1"/>
      </w:pPr>
      <w:r>
        <w:rPr>
          <w:w w:val="100"/>
        </w:rPr>
        <w:t> </w:t>
      </w:r>
    </w:p>
    <w:p>
      <w:pPr>
        <w:pStyle w:val="BodyText"/>
        <w:spacing w:before="5"/>
      </w:pPr>
      <w:r>
        <w:rPr>
          <w:spacing w:val="-1"/>
        </w:rPr>
        <w:t>按组合计提坏账的确认标准及说明：</w:t>
      </w:r>
      <w:r>
        <w:rPr/>
        <w:t> </w:t>
      </w:r>
    </w:p>
    <w:p>
      <w:pPr>
        <w:pStyle w:val="BodyText"/>
        <w:spacing w:before="2"/>
      </w:pPr>
      <w:r>
        <w:rPr>
          <w:spacing w:val="-1"/>
        </w:rPr>
        <w:t>□适用 √不适用</w:t>
      </w:r>
      <w:r>
        <w:rPr>
          <w:spacing w:val="-3"/>
        </w:rPr>
        <w:t> </w:t>
      </w:r>
      <w:r>
        <w:rPr/>
        <w:t> </w:t>
      </w:r>
    </w:p>
    <w:p>
      <w:pPr>
        <w:pStyle w:val="BodyText"/>
        <w:spacing w:before="2"/>
      </w:pPr>
      <w:r>
        <w:rPr>
          <w:w w:val="100"/>
        </w:rPr>
        <w:t> </w:t>
      </w:r>
    </w:p>
    <w:p>
      <w:pPr>
        <w:pStyle w:val="BodyText"/>
        <w:spacing w:before="5"/>
      </w:pPr>
      <w:r>
        <w:rPr>
          <w:spacing w:val="-1"/>
        </w:rPr>
        <w:t>如按预期信用损失一般模型计提坏账准备，请参照其他应收款披露：</w:t>
      </w:r>
      <w:r>
        <w:rPr/>
        <w:t> </w:t>
      </w:r>
    </w:p>
    <w:p>
      <w:pPr>
        <w:pStyle w:val="BodyText"/>
        <w:spacing w:before="2"/>
      </w:pPr>
      <w:r>
        <w:rPr>
          <w:spacing w:val="-1"/>
        </w:rPr>
        <w:t>□适用 √不适用</w:t>
      </w:r>
      <w:r>
        <w:rPr>
          <w:spacing w:val="-3"/>
        </w:rPr>
        <w:t> </w:t>
      </w:r>
      <w:r>
        <w:rPr/>
        <w:t> </w:t>
      </w:r>
    </w:p>
    <w:p>
      <w:pPr>
        <w:pStyle w:val="BodyText"/>
        <w:spacing w:before="5"/>
      </w:pPr>
      <w:r>
        <w:rPr>
          <w:w w:val="100"/>
        </w:rPr>
        <w:t> </w:t>
      </w:r>
    </w:p>
    <w:p>
      <w:pPr>
        <w:pStyle w:val="ListParagraph"/>
        <w:numPr>
          <w:ilvl w:val="0"/>
          <w:numId w:val="60"/>
        </w:numPr>
        <w:tabs>
          <w:tab w:pos="746" w:val="left" w:leader="none"/>
        </w:tabs>
        <w:spacing w:line="240" w:lineRule="auto" w:before="62" w:after="0"/>
        <w:ind w:left="745" w:right="0" w:hanging="428"/>
        <w:jc w:val="left"/>
        <w:rPr>
          <w:sz w:val="21"/>
        </w:rPr>
      </w:pPr>
      <w:r>
        <w:rPr>
          <w:sz w:val="21"/>
        </w:rPr>
        <w:t>坏账准备的情况 </w:t>
      </w:r>
    </w:p>
    <w:p>
      <w:pPr>
        <w:pStyle w:val="BodyText"/>
        <w:spacing w:before="64"/>
      </w:pPr>
      <w:r>
        <w:rPr>
          <w:spacing w:val="-1"/>
        </w:rPr>
        <w:t>□适用 √不适用</w:t>
      </w:r>
      <w:r>
        <w:rPr>
          <w:spacing w:val="-3"/>
        </w:rPr>
        <w:t> </w:t>
      </w:r>
      <w:r>
        <w:rPr/>
        <w:t> </w:t>
      </w:r>
    </w:p>
    <w:p>
      <w:pPr>
        <w:pStyle w:val="BodyText"/>
        <w:spacing w:before="2"/>
      </w:pPr>
      <w:r>
        <w:rPr>
          <w:spacing w:val="-1"/>
        </w:rPr>
        <w:t>其中本期坏账准备收回或转回金额重要的：</w:t>
      </w:r>
      <w:r>
        <w:rPr/>
        <w:t> </w:t>
      </w:r>
    </w:p>
    <w:p>
      <w:pPr>
        <w:pStyle w:val="BodyText"/>
        <w:spacing w:before="5"/>
      </w:pPr>
      <w:r>
        <w:rPr>
          <w:spacing w:val="-1"/>
        </w:rPr>
        <w:t>√适用 □不适用</w:t>
      </w:r>
      <w:r>
        <w:rPr>
          <w:spacing w:val="-3"/>
        </w:rPr>
        <w:t> </w:t>
      </w:r>
      <w:r>
        <w:rPr/>
        <w:t> </w:t>
      </w:r>
    </w:p>
    <w:p>
      <w:pPr>
        <w:spacing w:after="0"/>
        <w:sectPr>
          <w:pgSz w:w="11910" w:h="16840"/>
          <w:pgMar w:header="882" w:footer="1172" w:top="1120" w:bottom="1380" w:left="1480" w:right="0"/>
        </w:sectPr>
      </w:pPr>
    </w:p>
    <w:p>
      <w:pPr>
        <w:pStyle w:val="BodyText"/>
        <w:spacing w:before="7"/>
        <w:ind w:left="0"/>
        <w:rPr>
          <w:sz w:val="25"/>
        </w:rPr>
      </w:pPr>
    </w:p>
    <w:p>
      <w:pPr>
        <w:pStyle w:val="BodyText"/>
        <w:spacing w:before="7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37"/>
        <w:gridCol w:w="3344"/>
        <w:gridCol w:w="3344"/>
      </w:tblGrid>
      <w:tr>
        <w:trPr>
          <w:trHeight w:val="273" w:hRule="atLeast"/>
        </w:trPr>
        <w:tc>
          <w:tcPr>
            <w:tcW w:w="2137" w:type="dxa"/>
          </w:tcPr>
          <w:p>
            <w:pPr>
              <w:pStyle w:val="TableParagraph"/>
              <w:spacing w:line="252" w:lineRule="exact" w:before="1"/>
              <w:ind w:left="647"/>
              <w:rPr>
                <w:sz w:val="21"/>
              </w:rPr>
            </w:pPr>
            <w:r>
              <w:rPr>
                <w:spacing w:val="-1"/>
                <w:sz w:val="21"/>
              </w:rPr>
              <w:t>单位名称</w:t>
            </w:r>
            <w:r>
              <w:rPr>
                <w:sz w:val="21"/>
              </w:rPr>
              <w:t> </w:t>
            </w:r>
          </w:p>
        </w:tc>
        <w:tc>
          <w:tcPr>
            <w:tcW w:w="3344" w:type="dxa"/>
          </w:tcPr>
          <w:p>
            <w:pPr>
              <w:pStyle w:val="TableParagraph"/>
              <w:spacing w:line="252" w:lineRule="exact" w:before="1"/>
              <w:ind w:left="932"/>
              <w:rPr>
                <w:sz w:val="21"/>
              </w:rPr>
            </w:pPr>
            <w:r>
              <w:rPr>
                <w:spacing w:val="-1"/>
                <w:sz w:val="21"/>
              </w:rPr>
              <w:t>收回或转回金额</w:t>
            </w:r>
            <w:r>
              <w:rPr>
                <w:sz w:val="21"/>
              </w:rPr>
              <w:t> </w:t>
            </w:r>
          </w:p>
        </w:tc>
        <w:tc>
          <w:tcPr>
            <w:tcW w:w="3344" w:type="dxa"/>
          </w:tcPr>
          <w:p>
            <w:pPr>
              <w:pStyle w:val="TableParagraph"/>
              <w:spacing w:line="252" w:lineRule="exact" w:before="1"/>
              <w:ind w:left="1283" w:right="1173"/>
              <w:jc w:val="center"/>
              <w:rPr>
                <w:sz w:val="21"/>
              </w:rPr>
            </w:pPr>
            <w:r>
              <w:rPr>
                <w:spacing w:val="-1"/>
                <w:sz w:val="21"/>
              </w:rPr>
              <w:t>收回方式</w:t>
            </w:r>
            <w:r>
              <w:rPr>
                <w:sz w:val="21"/>
              </w:rPr>
              <w:t> </w:t>
            </w:r>
          </w:p>
        </w:tc>
      </w:tr>
      <w:tr>
        <w:trPr>
          <w:trHeight w:val="270" w:hRule="atLeast"/>
        </w:trPr>
        <w:tc>
          <w:tcPr>
            <w:tcW w:w="2137" w:type="dxa"/>
          </w:tcPr>
          <w:p>
            <w:pPr>
              <w:pStyle w:val="TableParagraph"/>
              <w:spacing w:line="250" w:lineRule="exact" w:before="1"/>
              <w:ind w:left="107"/>
              <w:rPr>
                <w:sz w:val="21"/>
              </w:rPr>
            </w:pPr>
            <w:r>
              <w:rPr>
                <w:spacing w:val="-1"/>
                <w:sz w:val="21"/>
              </w:rPr>
              <w:t>转回的坏账准备金额</w:t>
            </w:r>
            <w:r>
              <w:rPr>
                <w:sz w:val="21"/>
              </w:rPr>
              <w:t> </w:t>
            </w:r>
          </w:p>
        </w:tc>
        <w:tc>
          <w:tcPr>
            <w:tcW w:w="3344" w:type="dxa"/>
          </w:tcPr>
          <w:p>
            <w:pPr>
              <w:pStyle w:val="TableParagraph"/>
              <w:spacing w:line="235" w:lineRule="exact"/>
              <w:ind w:right="97"/>
              <w:jc w:val="right"/>
              <w:rPr>
                <w:rFonts w:ascii="Times New Roman"/>
                <w:sz w:val="21"/>
              </w:rPr>
            </w:pPr>
            <w:r>
              <w:rPr>
                <w:rFonts w:ascii="Times New Roman"/>
                <w:sz w:val="21"/>
              </w:rPr>
              <w:t>158,089</w:t>
            </w:r>
          </w:p>
        </w:tc>
        <w:tc>
          <w:tcPr>
            <w:tcW w:w="3344" w:type="dxa"/>
          </w:tcPr>
          <w:p>
            <w:pPr>
              <w:pStyle w:val="TableParagraph"/>
              <w:spacing w:line="250" w:lineRule="exact" w:before="1"/>
              <w:ind w:left="106"/>
              <w:rPr>
                <w:sz w:val="21"/>
              </w:rPr>
            </w:pPr>
            <w:r>
              <w:rPr>
                <w:w w:val="100"/>
                <w:sz w:val="21"/>
              </w:rPr>
              <w:t> </w:t>
            </w:r>
          </w:p>
        </w:tc>
      </w:tr>
      <w:tr>
        <w:trPr>
          <w:trHeight w:val="273" w:hRule="atLeast"/>
        </w:trPr>
        <w:tc>
          <w:tcPr>
            <w:tcW w:w="2137" w:type="dxa"/>
          </w:tcPr>
          <w:p>
            <w:pPr>
              <w:pStyle w:val="TableParagraph"/>
              <w:spacing w:line="252" w:lineRule="exact" w:before="1"/>
              <w:ind w:left="107"/>
              <w:rPr>
                <w:sz w:val="21"/>
              </w:rPr>
            </w:pPr>
            <w:r>
              <w:rPr>
                <w:w w:val="100"/>
                <w:sz w:val="21"/>
              </w:rPr>
              <w:t> </w:t>
            </w:r>
          </w:p>
        </w:tc>
        <w:tc>
          <w:tcPr>
            <w:tcW w:w="3344" w:type="dxa"/>
          </w:tcPr>
          <w:p>
            <w:pPr>
              <w:pStyle w:val="TableParagraph"/>
              <w:rPr>
                <w:rFonts w:ascii="Times New Roman"/>
                <w:sz w:val="20"/>
              </w:rPr>
            </w:pPr>
          </w:p>
        </w:tc>
        <w:tc>
          <w:tcPr>
            <w:tcW w:w="3344" w:type="dxa"/>
          </w:tcPr>
          <w:p>
            <w:pPr>
              <w:pStyle w:val="TableParagraph"/>
              <w:spacing w:line="252" w:lineRule="exact" w:before="1"/>
              <w:ind w:left="106"/>
              <w:rPr>
                <w:sz w:val="21"/>
              </w:rPr>
            </w:pPr>
            <w:r>
              <w:rPr>
                <w:w w:val="100"/>
                <w:sz w:val="21"/>
              </w:rPr>
              <w:t> </w:t>
            </w:r>
          </w:p>
        </w:tc>
      </w:tr>
      <w:tr>
        <w:trPr>
          <w:trHeight w:val="273" w:hRule="atLeast"/>
        </w:trPr>
        <w:tc>
          <w:tcPr>
            <w:tcW w:w="2137" w:type="dxa"/>
          </w:tcPr>
          <w:p>
            <w:pPr>
              <w:pStyle w:val="TableParagraph"/>
              <w:spacing w:line="252" w:lineRule="exact" w:before="1"/>
              <w:ind w:left="889" w:right="778"/>
              <w:jc w:val="center"/>
              <w:rPr>
                <w:sz w:val="21"/>
              </w:rPr>
            </w:pPr>
            <w:r>
              <w:rPr>
                <w:sz w:val="21"/>
              </w:rPr>
              <w:t>合计 </w:t>
            </w:r>
          </w:p>
        </w:tc>
        <w:tc>
          <w:tcPr>
            <w:tcW w:w="3344" w:type="dxa"/>
          </w:tcPr>
          <w:p>
            <w:pPr>
              <w:pStyle w:val="TableParagraph"/>
              <w:spacing w:line="235" w:lineRule="exact"/>
              <w:ind w:right="97"/>
              <w:jc w:val="right"/>
              <w:rPr>
                <w:rFonts w:ascii="Times New Roman"/>
                <w:sz w:val="21"/>
              </w:rPr>
            </w:pPr>
            <w:r>
              <w:rPr>
                <w:rFonts w:ascii="Times New Roman"/>
                <w:sz w:val="21"/>
              </w:rPr>
              <w:t>158,089</w:t>
            </w:r>
          </w:p>
        </w:tc>
        <w:tc>
          <w:tcPr>
            <w:tcW w:w="3344" w:type="dxa"/>
          </w:tcPr>
          <w:p>
            <w:pPr>
              <w:pStyle w:val="TableParagraph"/>
              <w:spacing w:line="252" w:lineRule="exact" w:before="1"/>
              <w:ind w:left="1284" w:right="1173"/>
              <w:jc w:val="center"/>
              <w:rPr>
                <w:sz w:val="21"/>
              </w:rPr>
            </w:pPr>
            <w:r>
              <w:rPr>
                <w:sz w:val="21"/>
              </w:rPr>
              <w:t>/ </w:t>
            </w:r>
          </w:p>
        </w:tc>
      </w:tr>
    </w:tbl>
    <w:p>
      <w:pPr>
        <w:pStyle w:val="BodyText"/>
        <w:spacing w:before="1"/>
      </w:pPr>
      <w:r>
        <w:rPr/>
        <w:t>其他说明： </w:t>
      </w:r>
    </w:p>
    <w:p>
      <w:pPr>
        <w:pStyle w:val="BodyText"/>
        <w:spacing w:before="2"/>
      </w:pPr>
      <w:r>
        <w:rPr>
          <w:spacing w:val="-1"/>
        </w:rPr>
        <w:t>2022</w:t>
      </w:r>
      <w:r>
        <w:rPr>
          <w:spacing w:val="-10"/>
        </w:rPr>
        <w:t> 年度，本集团无计提的坏账准备，转回的坏账准备金额为 </w:t>
      </w:r>
      <w:r>
        <w:rPr/>
        <w:t>158,089</w:t>
      </w:r>
      <w:r>
        <w:rPr>
          <w:spacing w:val="-15"/>
        </w:rPr>
        <w:t> 千元(</w:t>
      </w:r>
      <w:r>
        <w:rPr/>
        <w:t>2021</w:t>
      </w:r>
      <w:r>
        <w:rPr>
          <w:spacing w:val="-10"/>
        </w:rPr>
        <w:t> 年度：本集</w:t>
      </w:r>
    </w:p>
    <w:p>
      <w:pPr>
        <w:pStyle w:val="BodyText"/>
        <w:spacing w:before="5"/>
      </w:pPr>
      <w:r>
        <w:rPr>
          <w:spacing w:val="-4"/>
        </w:rPr>
        <w:t>团无计提的坏账准备，转回的坏账准备金额为 </w:t>
      </w:r>
      <w:r>
        <w:rPr/>
        <w:t>119,739</w:t>
      </w:r>
      <w:r>
        <w:rPr>
          <w:spacing w:val="-12"/>
        </w:rPr>
        <w:t> 千元)。</w:t>
      </w:r>
      <w:r>
        <w:rPr/>
        <w:t> </w:t>
      </w:r>
    </w:p>
    <w:p>
      <w:pPr>
        <w:pStyle w:val="BodyText"/>
        <w:spacing w:before="2"/>
      </w:pPr>
      <w:r>
        <w:rPr>
          <w:w w:val="100"/>
        </w:rPr>
        <w:t> </w:t>
      </w:r>
    </w:p>
    <w:p>
      <w:pPr>
        <w:pStyle w:val="ListParagraph"/>
        <w:numPr>
          <w:ilvl w:val="0"/>
          <w:numId w:val="60"/>
        </w:numPr>
        <w:tabs>
          <w:tab w:pos="746" w:val="left" w:leader="none"/>
        </w:tabs>
        <w:spacing w:line="240" w:lineRule="auto" w:before="64" w:after="0"/>
        <w:ind w:left="745" w:right="0" w:hanging="428"/>
        <w:jc w:val="left"/>
        <w:rPr>
          <w:sz w:val="21"/>
        </w:rPr>
      </w:pPr>
      <w:r>
        <w:rPr>
          <w:sz w:val="21"/>
        </w:rPr>
        <w:t>本期实际核销的应收账款情况 </w:t>
      </w:r>
    </w:p>
    <w:p>
      <w:pPr>
        <w:pStyle w:val="BodyText"/>
        <w:spacing w:before="62"/>
      </w:pPr>
      <w:r>
        <w:rPr>
          <w:spacing w:val="-1"/>
        </w:rPr>
        <w:t>√适用 □不适用</w:t>
      </w:r>
      <w:r>
        <w:rPr>
          <w:spacing w:val="-3"/>
        </w:rPr>
        <w:t> </w:t>
      </w:r>
      <w:r>
        <w:rPr/>
        <w:t> </w:t>
      </w:r>
    </w:p>
    <w:p>
      <w:pPr>
        <w:pStyle w:val="BodyText"/>
        <w:spacing w:before="3" w:after="3"/>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67"/>
        <w:gridCol w:w="4657"/>
      </w:tblGrid>
      <w:tr>
        <w:trPr>
          <w:trHeight w:val="273" w:hRule="atLeast"/>
        </w:trPr>
        <w:tc>
          <w:tcPr>
            <w:tcW w:w="4167" w:type="dxa"/>
          </w:tcPr>
          <w:p>
            <w:pPr>
              <w:pStyle w:val="TableParagraph"/>
              <w:spacing w:line="252" w:lineRule="exact" w:before="1"/>
              <w:ind w:left="1904" w:right="1792"/>
              <w:jc w:val="center"/>
              <w:rPr>
                <w:sz w:val="21"/>
              </w:rPr>
            </w:pPr>
            <w:r>
              <w:rPr>
                <w:sz w:val="21"/>
              </w:rPr>
              <w:t>项目 </w:t>
            </w:r>
          </w:p>
        </w:tc>
        <w:tc>
          <w:tcPr>
            <w:tcW w:w="4657" w:type="dxa"/>
          </w:tcPr>
          <w:p>
            <w:pPr>
              <w:pStyle w:val="TableParagraph"/>
              <w:spacing w:line="252" w:lineRule="exact" w:before="1"/>
              <w:ind w:left="1942" w:right="1828"/>
              <w:jc w:val="center"/>
              <w:rPr>
                <w:sz w:val="21"/>
              </w:rPr>
            </w:pPr>
            <w:r>
              <w:rPr>
                <w:spacing w:val="-1"/>
                <w:sz w:val="21"/>
              </w:rPr>
              <w:t>核销金额</w:t>
            </w:r>
            <w:r>
              <w:rPr>
                <w:sz w:val="21"/>
              </w:rPr>
              <w:t> </w:t>
            </w:r>
          </w:p>
        </w:tc>
      </w:tr>
      <w:tr>
        <w:trPr>
          <w:trHeight w:val="271" w:hRule="atLeast"/>
        </w:trPr>
        <w:tc>
          <w:tcPr>
            <w:tcW w:w="4167" w:type="dxa"/>
          </w:tcPr>
          <w:p>
            <w:pPr>
              <w:pStyle w:val="TableParagraph"/>
              <w:spacing w:line="250" w:lineRule="exact" w:before="1"/>
              <w:ind w:left="107"/>
              <w:rPr>
                <w:sz w:val="21"/>
              </w:rPr>
            </w:pPr>
            <w:r>
              <w:rPr>
                <w:spacing w:val="-1"/>
                <w:sz w:val="21"/>
              </w:rPr>
              <w:t>实际核销的应收账款</w:t>
            </w:r>
            <w:r>
              <w:rPr>
                <w:sz w:val="21"/>
              </w:rPr>
              <w:t> </w:t>
            </w:r>
          </w:p>
        </w:tc>
        <w:tc>
          <w:tcPr>
            <w:tcW w:w="4657" w:type="dxa"/>
          </w:tcPr>
          <w:p>
            <w:pPr>
              <w:pStyle w:val="TableParagraph"/>
              <w:spacing w:line="235" w:lineRule="exact"/>
              <w:ind w:right="93"/>
              <w:jc w:val="right"/>
              <w:rPr>
                <w:rFonts w:ascii="Times New Roman"/>
                <w:sz w:val="21"/>
              </w:rPr>
            </w:pPr>
            <w:r>
              <w:rPr>
                <w:rFonts w:ascii="Times New Roman"/>
                <w:sz w:val="21"/>
              </w:rPr>
              <w:t>1,754</w:t>
            </w:r>
          </w:p>
        </w:tc>
      </w:tr>
    </w:tbl>
    <w:p>
      <w:pPr>
        <w:pStyle w:val="BodyText"/>
        <w:spacing w:before="1"/>
      </w:pPr>
      <w:r>
        <w:rPr>
          <w:w w:val="100"/>
        </w:rPr>
        <w:t> </w:t>
      </w:r>
    </w:p>
    <w:p>
      <w:pPr>
        <w:pStyle w:val="BodyText"/>
        <w:spacing w:before="4"/>
      </w:pPr>
      <w:r>
        <w:rPr>
          <w:spacing w:val="-1"/>
        </w:rPr>
        <w:t>其中重要的应收账款核销情况</w:t>
      </w:r>
      <w:r>
        <w:rPr/>
        <w:t> </w:t>
      </w:r>
    </w:p>
    <w:p>
      <w:pPr>
        <w:pStyle w:val="BodyText"/>
        <w:spacing w:line="244" w:lineRule="auto" w:before="3"/>
        <w:ind w:right="8109"/>
      </w:pPr>
      <w:r>
        <w:rPr/>
        <w:t>□适用   √不适用应收账款核销说明： </w:t>
      </w:r>
    </w:p>
    <w:p>
      <w:pPr>
        <w:pStyle w:val="BodyText"/>
        <w:spacing w:line="265" w:lineRule="exact"/>
      </w:pPr>
      <w:r>
        <w:rPr>
          <w:spacing w:val="-1"/>
        </w:rPr>
        <w:t>√适用 □不适用</w:t>
      </w:r>
      <w:r>
        <w:rPr>
          <w:spacing w:val="-3"/>
        </w:rPr>
        <w:t> </w:t>
      </w:r>
      <w:r>
        <w:rPr/>
        <w:t> </w:t>
      </w:r>
    </w:p>
    <w:p>
      <w:pPr>
        <w:pStyle w:val="BodyText"/>
        <w:spacing w:before="4"/>
      </w:pPr>
      <w:r>
        <w:rPr/>
        <w:t>2022</w:t>
      </w:r>
      <w:r>
        <w:rPr>
          <w:spacing w:val="-11"/>
        </w:rPr>
        <w:t> 年度，本集团实际核销的应收账款账面余额为 </w:t>
      </w:r>
      <w:r>
        <w:rPr/>
        <w:t>1,754</w:t>
      </w:r>
      <w:r>
        <w:rPr>
          <w:spacing w:val="-12"/>
        </w:rPr>
        <w:t> 千元，坏账准备金额为 </w:t>
      </w:r>
      <w:r>
        <w:rPr/>
        <w:t>1,754</w:t>
      </w:r>
      <w:r>
        <w:rPr>
          <w:spacing w:val="-19"/>
        </w:rPr>
        <w:t> 千元</w:t>
      </w:r>
    </w:p>
    <w:p>
      <w:pPr>
        <w:pStyle w:val="BodyText"/>
        <w:spacing w:before="2"/>
      </w:pPr>
      <w:r>
        <w:rPr>
          <w:spacing w:val="-1"/>
        </w:rPr>
        <w:t>(2021</w:t>
      </w:r>
      <w:r>
        <w:rPr>
          <w:spacing w:val="-10"/>
        </w:rPr>
        <w:t> 年度：本集团实际核销的应收账款账面余额为 </w:t>
      </w:r>
      <w:r>
        <w:rPr/>
        <w:t>993</w:t>
      </w:r>
      <w:r>
        <w:rPr>
          <w:spacing w:val="-12"/>
        </w:rPr>
        <w:t> 千元，坏账准备金额为 </w:t>
      </w:r>
      <w:r>
        <w:rPr/>
        <w:t>993</w:t>
      </w:r>
      <w:r>
        <w:rPr>
          <w:spacing w:val="-12"/>
        </w:rPr>
        <w:t> 千元)。</w:t>
      </w:r>
      <w:r>
        <w:rPr/>
        <w:t> </w:t>
      </w:r>
    </w:p>
    <w:p>
      <w:pPr>
        <w:pStyle w:val="BodyText"/>
        <w:spacing w:before="5"/>
      </w:pPr>
      <w:r>
        <w:rPr>
          <w:w w:val="100"/>
        </w:rPr>
        <w:t> </w:t>
      </w:r>
    </w:p>
    <w:p>
      <w:pPr>
        <w:pStyle w:val="ListParagraph"/>
        <w:numPr>
          <w:ilvl w:val="0"/>
          <w:numId w:val="60"/>
        </w:numPr>
        <w:tabs>
          <w:tab w:pos="746" w:val="left" w:leader="none"/>
        </w:tabs>
        <w:spacing w:line="240" w:lineRule="auto" w:before="62" w:after="0"/>
        <w:ind w:left="745" w:right="0" w:hanging="428"/>
        <w:jc w:val="left"/>
        <w:rPr>
          <w:sz w:val="21"/>
        </w:rPr>
      </w:pPr>
      <w:r>
        <w:rPr>
          <w:sz w:val="21"/>
        </w:rPr>
        <w:t>按欠款方归集的期末余额前五名的应收账款情况 </w:t>
      </w:r>
    </w:p>
    <w:p>
      <w:pPr>
        <w:pStyle w:val="BodyText"/>
        <w:spacing w:before="64"/>
      </w:pPr>
      <w:r>
        <w:rPr>
          <w:spacing w:val="11"/>
        </w:rPr>
        <w:t>√适用 □不适用</w:t>
      </w:r>
      <w:r>
        <w:rPr>
          <w:spacing w:val="-3"/>
        </w:rPr>
        <w:t> </w:t>
      </w:r>
      <w:r>
        <w:rPr/>
        <w:t> </w:t>
      </w:r>
    </w:p>
    <w:p>
      <w:pPr>
        <w:pStyle w:val="BodyText"/>
        <w:spacing w:before="3" w:after="3"/>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4"/>
        <w:gridCol w:w="2203"/>
        <w:gridCol w:w="2203"/>
        <w:gridCol w:w="2203"/>
      </w:tblGrid>
      <w:tr>
        <w:trPr>
          <w:trHeight w:val="544" w:hRule="atLeast"/>
        </w:trPr>
        <w:tc>
          <w:tcPr>
            <w:tcW w:w="2204" w:type="dxa"/>
          </w:tcPr>
          <w:p>
            <w:pPr>
              <w:pStyle w:val="TableParagraph"/>
              <w:spacing w:before="138"/>
              <w:ind w:left="628"/>
              <w:rPr>
                <w:sz w:val="21"/>
              </w:rPr>
            </w:pPr>
            <w:r>
              <w:rPr>
                <w:spacing w:val="-1"/>
                <w:sz w:val="21"/>
              </w:rPr>
              <w:t>单位名称</w:t>
            </w:r>
            <w:r>
              <w:rPr>
                <w:sz w:val="21"/>
              </w:rPr>
              <w:t> </w:t>
            </w:r>
          </w:p>
        </w:tc>
        <w:tc>
          <w:tcPr>
            <w:tcW w:w="2203" w:type="dxa"/>
          </w:tcPr>
          <w:p>
            <w:pPr>
              <w:pStyle w:val="TableParagraph"/>
              <w:spacing w:before="138"/>
              <w:ind w:left="645"/>
              <w:rPr>
                <w:sz w:val="21"/>
              </w:rPr>
            </w:pPr>
            <w:r>
              <w:rPr>
                <w:spacing w:val="-1"/>
                <w:sz w:val="21"/>
              </w:rPr>
              <w:t>期末余额</w:t>
            </w:r>
            <w:r>
              <w:rPr>
                <w:sz w:val="21"/>
              </w:rPr>
              <w:t> </w:t>
            </w:r>
          </w:p>
        </w:tc>
        <w:tc>
          <w:tcPr>
            <w:tcW w:w="2203" w:type="dxa"/>
          </w:tcPr>
          <w:p>
            <w:pPr>
              <w:pStyle w:val="TableParagraph"/>
              <w:spacing w:before="1"/>
              <w:ind w:right="141"/>
              <w:jc w:val="right"/>
              <w:rPr>
                <w:sz w:val="21"/>
              </w:rPr>
            </w:pPr>
            <w:r>
              <w:rPr>
                <w:sz w:val="21"/>
              </w:rPr>
              <w:t>占应收账款期末余额</w:t>
            </w:r>
          </w:p>
          <w:p>
            <w:pPr>
              <w:pStyle w:val="TableParagraph"/>
              <w:spacing w:line="252" w:lineRule="exact" w:before="2"/>
              <w:ind w:right="196"/>
              <w:jc w:val="right"/>
              <w:rPr>
                <w:sz w:val="21"/>
              </w:rPr>
            </w:pPr>
            <w:r>
              <w:rPr>
                <w:spacing w:val="-1"/>
                <w:sz w:val="21"/>
              </w:rPr>
              <w:t>合计数的比例(%)</w:t>
            </w:r>
            <w:r>
              <w:rPr>
                <w:sz w:val="21"/>
              </w:rPr>
              <w:t> </w:t>
            </w:r>
          </w:p>
        </w:tc>
        <w:tc>
          <w:tcPr>
            <w:tcW w:w="2203" w:type="dxa"/>
          </w:tcPr>
          <w:p>
            <w:pPr>
              <w:pStyle w:val="TableParagraph"/>
              <w:spacing w:before="138"/>
              <w:ind w:left="261"/>
              <w:rPr>
                <w:sz w:val="21"/>
              </w:rPr>
            </w:pPr>
            <w:r>
              <w:rPr>
                <w:spacing w:val="-1"/>
                <w:sz w:val="21"/>
              </w:rPr>
              <w:t>坏账准备期末余额</w:t>
            </w:r>
            <w:r>
              <w:rPr>
                <w:sz w:val="21"/>
              </w:rPr>
              <w:t> </w:t>
            </w:r>
          </w:p>
        </w:tc>
      </w:tr>
      <w:tr>
        <w:trPr>
          <w:trHeight w:val="544" w:hRule="atLeast"/>
        </w:trPr>
        <w:tc>
          <w:tcPr>
            <w:tcW w:w="2204" w:type="dxa"/>
          </w:tcPr>
          <w:p>
            <w:pPr>
              <w:pStyle w:val="TableParagraph"/>
              <w:spacing w:before="1"/>
              <w:ind w:left="107"/>
              <w:rPr>
                <w:sz w:val="21"/>
              </w:rPr>
            </w:pPr>
            <w:r>
              <w:rPr>
                <w:sz w:val="21"/>
              </w:rPr>
              <w:t>余额前五名的应收</w:t>
            </w:r>
          </w:p>
          <w:p>
            <w:pPr>
              <w:pStyle w:val="TableParagraph"/>
              <w:spacing w:line="252" w:lineRule="exact" w:before="2"/>
              <w:ind w:left="107"/>
              <w:rPr>
                <w:sz w:val="21"/>
              </w:rPr>
            </w:pPr>
            <w:r>
              <w:rPr>
                <w:spacing w:val="-1"/>
                <w:sz w:val="21"/>
              </w:rPr>
              <w:t>账款总额</w:t>
            </w:r>
            <w:r>
              <w:rPr>
                <w:sz w:val="21"/>
              </w:rPr>
              <w:t> </w:t>
            </w:r>
          </w:p>
        </w:tc>
        <w:tc>
          <w:tcPr>
            <w:tcW w:w="2203" w:type="dxa"/>
          </w:tcPr>
          <w:p>
            <w:pPr>
              <w:pStyle w:val="TableParagraph"/>
              <w:spacing w:line="235" w:lineRule="exact"/>
              <w:ind w:right="165"/>
              <w:jc w:val="right"/>
              <w:rPr>
                <w:rFonts w:ascii="Times New Roman"/>
                <w:sz w:val="21"/>
              </w:rPr>
            </w:pPr>
            <w:r>
              <w:rPr>
                <w:rFonts w:ascii="Times New Roman"/>
                <w:sz w:val="21"/>
              </w:rPr>
              <w:t>64,690,819</w:t>
            </w:r>
          </w:p>
        </w:tc>
        <w:tc>
          <w:tcPr>
            <w:tcW w:w="2203" w:type="dxa"/>
          </w:tcPr>
          <w:p>
            <w:pPr>
              <w:pStyle w:val="TableParagraph"/>
              <w:spacing w:line="235" w:lineRule="exact"/>
              <w:ind w:right="92"/>
              <w:jc w:val="right"/>
              <w:rPr>
                <w:rFonts w:ascii="Times New Roman"/>
                <w:sz w:val="21"/>
              </w:rPr>
            </w:pPr>
            <w:r>
              <w:rPr>
                <w:rFonts w:ascii="Times New Roman"/>
                <w:sz w:val="21"/>
              </w:rPr>
              <w:t>66%</w:t>
            </w:r>
          </w:p>
        </w:tc>
        <w:tc>
          <w:tcPr>
            <w:tcW w:w="2203" w:type="dxa"/>
          </w:tcPr>
          <w:p>
            <w:pPr>
              <w:pStyle w:val="TableParagraph"/>
              <w:spacing w:line="235" w:lineRule="exact"/>
              <w:ind w:left="1414"/>
              <w:rPr>
                <w:rFonts w:ascii="Times New Roman"/>
                <w:sz w:val="21"/>
              </w:rPr>
            </w:pPr>
            <w:r>
              <w:rPr>
                <w:rFonts w:ascii="Times New Roman"/>
                <w:sz w:val="21"/>
              </w:rPr>
              <w:t>393,918</w:t>
            </w:r>
          </w:p>
        </w:tc>
      </w:tr>
      <w:tr>
        <w:trPr>
          <w:trHeight w:val="273" w:hRule="atLeast"/>
        </w:trPr>
        <w:tc>
          <w:tcPr>
            <w:tcW w:w="2204" w:type="dxa"/>
          </w:tcPr>
          <w:p>
            <w:pPr>
              <w:pStyle w:val="TableParagraph"/>
              <w:spacing w:line="252" w:lineRule="exact" w:before="1"/>
              <w:ind w:left="107"/>
              <w:rPr>
                <w:sz w:val="21"/>
              </w:rPr>
            </w:pPr>
            <w:r>
              <w:rPr>
                <w:w w:val="100"/>
                <w:sz w:val="21"/>
              </w:rPr>
              <w:t> </w:t>
            </w:r>
          </w:p>
        </w:tc>
        <w:tc>
          <w:tcPr>
            <w:tcW w:w="2203" w:type="dxa"/>
          </w:tcPr>
          <w:p>
            <w:pPr>
              <w:pStyle w:val="TableParagraph"/>
              <w:spacing w:line="252" w:lineRule="exact" w:before="1"/>
              <w:ind w:right="62"/>
              <w:jc w:val="right"/>
              <w:rPr>
                <w:sz w:val="21"/>
              </w:rPr>
            </w:pPr>
            <w:r>
              <w:rPr>
                <w:w w:val="100"/>
                <w:sz w:val="21"/>
              </w:rPr>
              <w:t> </w:t>
            </w:r>
          </w:p>
        </w:tc>
        <w:tc>
          <w:tcPr>
            <w:tcW w:w="2203" w:type="dxa"/>
          </w:tcPr>
          <w:p>
            <w:pPr>
              <w:pStyle w:val="TableParagraph"/>
              <w:spacing w:line="252" w:lineRule="exact" w:before="1"/>
              <w:ind w:right="-15"/>
              <w:jc w:val="right"/>
              <w:rPr>
                <w:sz w:val="21"/>
              </w:rPr>
            </w:pPr>
            <w:r>
              <w:rPr>
                <w:w w:val="100"/>
                <w:sz w:val="21"/>
              </w:rPr>
              <w:t> </w:t>
            </w:r>
          </w:p>
        </w:tc>
        <w:tc>
          <w:tcPr>
            <w:tcW w:w="2203" w:type="dxa"/>
          </w:tcPr>
          <w:p>
            <w:pPr>
              <w:pStyle w:val="TableParagraph"/>
              <w:spacing w:line="252" w:lineRule="exact" w:before="1"/>
              <w:ind w:right="-15"/>
              <w:jc w:val="right"/>
              <w:rPr>
                <w:sz w:val="21"/>
              </w:rPr>
            </w:pPr>
            <w:r>
              <w:rPr>
                <w:w w:val="100"/>
                <w:sz w:val="21"/>
              </w:rPr>
              <w:t> </w:t>
            </w:r>
          </w:p>
        </w:tc>
      </w:tr>
      <w:tr>
        <w:trPr>
          <w:trHeight w:val="270" w:hRule="atLeast"/>
        </w:trPr>
        <w:tc>
          <w:tcPr>
            <w:tcW w:w="2204" w:type="dxa"/>
          </w:tcPr>
          <w:p>
            <w:pPr>
              <w:pStyle w:val="TableParagraph"/>
              <w:spacing w:line="250" w:lineRule="exact" w:before="1"/>
              <w:ind w:left="870" w:right="864"/>
              <w:jc w:val="center"/>
              <w:rPr>
                <w:sz w:val="21"/>
              </w:rPr>
            </w:pPr>
            <w:r>
              <w:rPr>
                <w:sz w:val="21"/>
              </w:rPr>
              <w:t>合计 </w:t>
            </w:r>
          </w:p>
        </w:tc>
        <w:tc>
          <w:tcPr>
            <w:tcW w:w="2203" w:type="dxa"/>
          </w:tcPr>
          <w:p>
            <w:pPr>
              <w:pStyle w:val="TableParagraph"/>
              <w:spacing w:before="7"/>
              <w:ind w:right="93"/>
              <w:jc w:val="right"/>
              <w:rPr>
                <w:rFonts w:ascii="Times New Roman"/>
                <w:sz w:val="21"/>
              </w:rPr>
            </w:pPr>
            <w:r>
              <w:rPr>
                <w:rFonts w:ascii="Times New Roman"/>
                <w:sz w:val="21"/>
              </w:rPr>
              <w:t>64,690,819</w:t>
            </w:r>
          </w:p>
        </w:tc>
        <w:tc>
          <w:tcPr>
            <w:tcW w:w="2203" w:type="dxa"/>
          </w:tcPr>
          <w:p>
            <w:pPr>
              <w:pStyle w:val="TableParagraph"/>
              <w:spacing w:before="7"/>
              <w:ind w:right="92"/>
              <w:jc w:val="right"/>
              <w:rPr>
                <w:rFonts w:ascii="Times New Roman"/>
                <w:sz w:val="21"/>
              </w:rPr>
            </w:pPr>
            <w:r>
              <w:rPr>
                <w:rFonts w:ascii="Times New Roman"/>
                <w:sz w:val="21"/>
              </w:rPr>
              <w:t>66%</w:t>
            </w:r>
          </w:p>
        </w:tc>
        <w:tc>
          <w:tcPr>
            <w:tcW w:w="2203" w:type="dxa"/>
          </w:tcPr>
          <w:p>
            <w:pPr>
              <w:pStyle w:val="TableParagraph"/>
              <w:spacing w:before="7"/>
              <w:ind w:left="1414"/>
              <w:rPr>
                <w:rFonts w:ascii="Times New Roman"/>
                <w:sz w:val="21"/>
              </w:rPr>
            </w:pPr>
            <w:r>
              <w:rPr>
                <w:rFonts w:ascii="Times New Roman"/>
                <w:sz w:val="21"/>
              </w:rPr>
              <w:t>393,918</w:t>
            </w:r>
          </w:p>
        </w:tc>
      </w:tr>
    </w:tbl>
    <w:p>
      <w:pPr>
        <w:pStyle w:val="BodyText"/>
        <w:spacing w:before="1"/>
      </w:pPr>
      <w:r>
        <w:rPr>
          <w:w w:val="100"/>
        </w:rPr>
        <w:t> </w:t>
      </w:r>
    </w:p>
    <w:p>
      <w:pPr>
        <w:pStyle w:val="BodyText"/>
        <w:spacing w:line="242" w:lineRule="auto" w:before="4"/>
        <w:ind w:right="9160"/>
      </w:pPr>
      <w:r>
        <w:rPr/>
        <w:t>其他说明无 </w:t>
      </w:r>
    </w:p>
    <w:p>
      <w:pPr>
        <w:pStyle w:val="BodyText"/>
        <w:spacing w:before="2"/>
      </w:pPr>
      <w:r>
        <w:rPr>
          <w:w w:val="100"/>
        </w:rPr>
        <w:t> </w:t>
      </w:r>
    </w:p>
    <w:p>
      <w:pPr>
        <w:pStyle w:val="ListParagraph"/>
        <w:numPr>
          <w:ilvl w:val="0"/>
          <w:numId w:val="60"/>
        </w:numPr>
        <w:tabs>
          <w:tab w:pos="746" w:val="left" w:leader="none"/>
        </w:tabs>
        <w:spacing w:line="240" w:lineRule="auto" w:before="62" w:after="0"/>
        <w:ind w:left="745" w:right="0" w:hanging="428"/>
        <w:jc w:val="left"/>
        <w:rPr>
          <w:sz w:val="21"/>
        </w:rPr>
      </w:pPr>
      <w:r>
        <w:rPr>
          <w:sz w:val="21"/>
        </w:rPr>
        <w:t>因金融资产转移而终止确认的应收账款 </w:t>
      </w:r>
    </w:p>
    <w:p>
      <w:pPr>
        <w:pStyle w:val="BodyText"/>
        <w:spacing w:before="64"/>
      </w:pPr>
      <w:r>
        <w:rPr>
          <w:spacing w:val="11"/>
        </w:rPr>
        <w:t>√适用 □不适用</w:t>
      </w:r>
      <w:r>
        <w:rPr>
          <w:spacing w:val="-3"/>
        </w:rPr>
        <w:t> </w:t>
      </w:r>
      <w:r>
        <w:rPr/>
        <w:t> </w:t>
      </w:r>
    </w:p>
    <w:p>
      <w:pPr>
        <w:pStyle w:val="BodyText"/>
        <w:spacing w:line="230" w:lineRule="auto" w:before="11"/>
        <w:ind w:left="454" w:right="1592" w:firstLine="419"/>
      </w:pPr>
      <w:r>
        <w:rPr/>
        <w:t>于</w:t>
      </w:r>
      <w:r>
        <w:rPr>
          <w:rFonts w:ascii="Times New Roman" w:eastAsia="Times New Roman"/>
        </w:rPr>
        <w:t>2022</w:t>
      </w:r>
      <w:r>
        <w:rPr/>
        <w:t>年</w:t>
      </w:r>
      <w:r>
        <w:rPr>
          <w:rFonts w:ascii="Times New Roman" w:eastAsia="Times New Roman"/>
        </w:rPr>
        <w:t>12</w:t>
      </w:r>
      <w:r>
        <w:rPr/>
        <w:t>月</w:t>
      </w:r>
      <w:r>
        <w:rPr>
          <w:rFonts w:ascii="Times New Roman" w:eastAsia="Times New Roman"/>
        </w:rPr>
        <w:t>31</w:t>
      </w:r>
      <w:r>
        <w:rPr/>
        <w:t>日，本集团未对应收账款进行无追索权的保理(</w:t>
      </w:r>
      <w:r>
        <w:rPr>
          <w:rFonts w:ascii="Times New Roman" w:eastAsia="Times New Roman"/>
        </w:rPr>
        <w:t>2021</w:t>
      </w:r>
      <w:r>
        <w:rPr/>
        <w:t>年</w:t>
      </w:r>
      <w:r>
        <w:rPr>
          <w:rFonts w:ascii="Times New Roman" w:eastAsia="Times New Roman"/>
        </w:rPr>
        <w:t>12</w:t>
      </w:r>
      <w:r>
        <w:rPr/>
        <w:t>月</w:t>
      </w:r>
      <w:r>
        <w:rPr>
          <w:rFonts w:ascii="Times New Roman" w:eastAsia="Times New Roman"/>
        </w:rPr>
        <w:t>31</w:t>
      </w:r>
      <w:r>
        <w:rPr/>
        <w:t>日：终止确认的应收账款账面余额为</w:t>
      </w:r>
      <w:r>
        <w:rPr>
          <w:rFonts w:ascii="Times New Roman" w:eastAsia="Times New Roman"/>
        </w:rPr>
        <w:t>1,686,335</w:t>
      </w:r>
      <w:r>
        <w:rPr/>
        <w:t>千元，坏账准备为</w:t>
      </w:r>
      <w:r>
        <w:rPr>
          <w:rFonts w:ascii="Times New Roman" w:eastAsia="Times New Roman"/>
        </w:rPr>
        <w:t>17,522</w:t>
      </w:r>
      <w:r>
        <w:rPr/>
        <w:t>千元)。 </w:t>
      </w:r>
    </w:p>
    <w:p>
      <w:pPr>
        <w:pStyle w:val="BodyText"/>
        <w:spacing w:before="6"/>
        <w:ind w:left="0"/>
        <w:rPr>
          <w:sz w:val="23"/>
        </w:rPr>
      </w:pPr>
    </w:p>
    <w:p>
      <w:pPr>
        <w:pStyle w:val="ListParagraph"/>
        <w:numPr>
          <w:ilvl w:val="0"/>
          <w:numId w:val="60"/>
        </w:numPr>
        <w:tabs>
          <w:tab w:pos="746" w:val="left" w:leader="none"/>
        </w:tabs>
        <w:spacing w:line="240" w:lineRule="auto" w:before="0" w:after="0"/>
        <w:ind w:left="745" w:right="0" w:hanging="428"/>
        <w:jc w:val="left"/>
        <w:rPr>
          <w:sz w:val="21"/>
        </w:rPr>
      </w:pPr>
      <w:r>
        <w:rPr>
          <w:sz w:val="21"/>
        </w:rPr>
        <w:t>转移应收账款且继续涉入形成的资产、负债金额 </w:t>
      </w:r>
    </w:p>
    <w:p>
      <w:pPr>
        <w:pStyle w:val="BodyText"/>
        <w:spacing w:before="63"/>
      </w:pPr>
      <w:r>
        <w:rPr>
          <w:spacing w:val="11"/>
        </w:rPr>
        <w:t>□适用 √不适用</w:t>
      </w:r>
      <w:r>
        <w:rPr/>
        <w:t> </w:t>
      </w:r>
    </w:p>
    <w:p>
      <w:pPr>
        <w:pStyle w:val="BodyText"/>
        <w:spacing w:before="1"/>
        <w:ind w:left="0"/>
        <w:rPr>
          <w:sz w:val="19"/>
        </w:rPr>
      </w:pPr>
    </w:p>
    <w:p>
      <w:pPr>
        <w:pStyle w:val="BodyText"/>
      </w:pPr>
      <w:r>
        <w:rPr/>
        <w:t>其他说明： </w:t>
      </w:r>
    </w:p>
    <w:p>
      <w:pPr>
        <w:pStyle w:val="BodyText"/>
        <w:spacing w:before="4"/>
      </w:pPr>
      <w:r>
        <w:rPr>
          <w:spacing w:val="11"/>
        </w:rPr>
        <w:t>□适用 √不适用</w:t>
      </w:r>
      <w:r>
        <w:rPr>
          <w:spacing w:val="-3"/>
        </w:rPr>
        <w:t> </w:t>
      </w:r>
      <w:r>
        <w:rPr/>
        <w:t> </w:t>
      </w:r>
    </w:p>
    <w:p>
      <w:pPr>
        <w:pStyle w:val="BodyText"/>
        <w:spacing w:before="2"/>
      </w:pPr>
      <w:r>
        <w:rPr>
          <w:w w:val="100"/>
        </w:rPr>
        <w:t> </w:t>
      </w:r>
    </w:p>
    <w:p>
      <w:pPr>
        <w:pStyle w:val="BodyText"/>
        <w:spacing w:before="65"/>
      </w:pPr>
      <w:r>
        <w:rPr/>
        <w:t>6、 应收款项融资</w:t>
      </w:r>
    </w:p>
    <w:p>
      <w:pPr>
        <w:pStyle w:val="BodyText"/>
        <w:spacing w:before="62"/>
      </w:pPr>
      <w:r>
        <w:rPr>
          <w:spacing w:val="-1"/>
        </w:rPr>
        <w:t>□适用 √不适用</w:t>
      </w:r>
      <w:r>
        <w:rPr>
          <w:spacing w:val="-3"/>
        </w:rPr>
        <w:t> </w:t>
      </w:r>
      <w:r>
        <w:rPr/>
        <w:t> </w:t>
      </w:r>
    </w:p>
    <w:p>
      <w:pPr>
        <w:spacing w:after="0"/>
        <w:sectPr>
          <w:pgSz w:w="11910" w:h="16840"/>
          <w:pgMar w:header="882" w:footer="1172" w:top="1120" w:bottom="1380" w:left="1480" w:right="0"/>
        </w:sectPr>
      </w:pPr>
    </w:p>
    <w:p>
      <w:pPr>
        <w:pStyle w:val="BodyText"/>
        <w:spacing w:before="7"/>
        <w:ind w:left="0"/>
        <w:rPr>
          <w:sz w:val="25"/>
        </w:rPr>
      </w:pPr>
    </w:p>
    <w:p>
      <w:pPr>
        <w:pStyle w:val="BodyText"/>
        <w:spacing w:before="72"/>
      </w:pPr>
      <w:r>
        <w:rPr>
          <w:w w:val="100"/>
        </w:rPr>
        <w:t> </w:t>
      </w:r>
    </w:p>
    <w:p>
      <w:pPr>
        <w:pStyle w:val="BodyText"/>
        <w:spacing w:before="5"/>
      </w:pPr>
      <w:r>
        <w:rPr>
          <w:w w:val="100"/>
        </w:rPr>
        <w:t> </w:t>
      </w:r>
    </w:p>
    <w:p>
      <w:pPr>
        <w:pStyle w:val="BodyText"/>
        <w:spacing w:before="2"/>
      </w:pPr>
      <w:r>
        <w:rPr>
          <w:w w:val="100"/>
        </w:rPr>
        <w:t> </w:t>
      </w:r>
    </w:p>
    <w:p>
      <w:pPr>
        <w:pStyle w:val="BodyText"/>
        <w:spacing w:before="65"/>
      </w:pPr>
      <w:r>
        <w:rPr/>
        <w:t>7、 预付款项</w:t>
      </w:r>
    </w:p>
    <w:p>
      <w:pPr>
        <w:pStyle w:val="ListParagraph"/>
        <w:numPr>
          <w:ilvl w:val="0"/>
          <w:numId w:val="61"/>
        </w:numPr>
        <w:tabs>
          <w:tab w:pos="746" w:val="left" w:leader="none"/>
        </w:tabs>
        <w:spacing w:line="240" w:lineRule="auto" w:before="62" w:after="0"/>
        <w:ind w:left="745" w:right="0" w:hanging="428"/>
        <w:jc w:val="left"/>
        <w:rPr>
          <w:sz w:val="21"/>
        </w:rPr>
      </w:pPr>
      <w:r>
        <w:rPr>
          <w:sz w:val="21"/>
        </w:rPr>
        <w:t>预付款项按账龄列示 </w:t>
      </w:r>
    </w:p>
    <w:p>
      <w:pPr>
        <w:pStyle w:val="BodyText"/>
        <w:spacing w:before="64"/>
      </w:pPr>
      <w:r>
        <w:rPr>
          <w:spacing w:val="11"/>
        </w:rPr>
        <w:t>√适用 □不适用</w:t>
      </w:r>
      <w:r>
        <w:rPr>
          <w:spacing w:val="-3"/>
        </w:rPr>
        <w:t> </w:t>
      </w:r>
      <w:r>
        <w:rPr/>
        <w:t> </w:t>
      </w:r>
    </w:p>
    <w:p>
      <w:pPr>
        <w:pStyle w:val="BodyText"/>
        <w:spacing w:before="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9"/>
        <w:gridCol w:w="1878"/>
        <w:gridCol w:w="1863"/>
        <w:gridCol w:w="1860"/>
        <w:gridCol w:w="1875"/>
      </w:tblGrid>
      <w:tr>
        <w:trPr>
          <w:trHeight w:val="270" w:hRule="atLeast"/>
        </w:trPr>
        <w:tc>
          <w:tcPr>
            <w:tcW w:w="1349" w:type="dxa"/>
            <w:vMerge w:val="restart"/>
          </w:tcPr>
          <w:p>
            <w:pPr>
              <w:pStyle w:val="TableParagraph"/>
              <w:spacing w:before="142"/>
              <w:ind w:left="460"/>
              <w:rPr>
                <w:sz w:val="21"/>
              </w:rPr>
            </w:pPr>
            <w:r>
              <w:rPr>
                <w:sz w:val="21"/>
              </w:rPr>
              <w:t>账龄 </w:t>
            </w:r>
          </w:p>
        </w:tc>
        <w:tc>
          <w:tcPr>
            <w:tcW w:w="3741" w:type="dxa"/>
            <w:gridSpan w:val="2"/>
          </w:tcPr>
          <w:p>
            <w:pPr>
              <w:pStyle w:val="TableParagraph"/>
              <w:spacing w:line="250" w:lineRule="exact" w:before="1"/>
              <w:ind w:left="1479" w:right="1375"/>
              <w:jc w:val="center"/>
              <w:rPr>
                <w:sz w:val="21"/>
              </w:rPr>
            </w:pPr>
            <w:r>
              <w:rPr>
                <w:spacing w:val="-1"/>
                <w:sz w:val="21"/>
              </w:rPr>
              <w:t>期末余额</w:t>
            </w:r>
            <w:r>
              <w:rPr>
                <w:sz w:val="21"/>
              </w:rPr>
              <w:t> </w:t>
            </w:r>
          </w:p>
        </w:tc>
        <w:tc>
          <w:tcPr>
            <w:tcW w:w="3735" w:type="dxa"/>
            <w:gridSpan w:val="2"/>
          </w:tcPr>
          <w:p>
            <w:pPr>
              <w:pStyle w:val="TableParagraph"/>
              <w:spacing w:line="250" w:lineRule="exact" w:before="1"/>
              <w:ind w:left="1478" w:right="1370"/>
              <w:jc w:val="center"/>
              <w:rPr>
                <w:sz w:val="21"/>
              </w:rPr>
            </w:pPr>
            <w:r>
              <w:rPr>
                <w:spacing w:val="-1"/>
                <w:sz w:val="21"/>
              </w:rPr>
              <w:t>期初余额</w:t>
            </w:r>
            <w:r>
              <w:rPr>
                <w:sz w:val="21"/>
              </w:rPr>
              <w:t> </w:t>
            </w:r>
          </w:p>
        </w:tc>
      </w:tr>
      <w:tr>
        <w:trPr>
          <w:trHeight w:val="273" w:hRule="atLeast"/>
        </w:trPr>
        <w:tc>
          <w:tcPr>
            <w:tcW w:w="1349" w:type="dxa"/>
            <w:vMerge/>
            <w:tcBorders>
              <w:top w:val="nil"/>
            </w:tcBorders>
          </w:tcPr>
          <w:p>
            <w:pPr>
              <w:rPr>
                <w:sz w:val="2"/>
                <w:szCs w:val="2"/>
              </w:rPr>
            </w:pPr>
          </w:p>
        </w:tc>
        <w:tc>
          <w:tcPr>
            <w:tcW w:w="1878" w:type="dxa"/>
          </w:tcPr>
          <w:p>
            <w:pPr>
              <w:pStyle w:val="TableParagraph"/>
              <w:spacing w:line="250" w:lineRule="exact" w:before="3"/>
              <w:ind w:left="724"/>
              <w:rPr>
                <w:sz w:val="21"/>
              </w:rPr>
            </w:pPr>
            <w:r>
              <w:rPr>
                <w:sz w:val="21"/>
              </w:rPr>
              <w:t>金额 </w:t>
            </w:r>
          </w:p>
        </w:tc>
        <w:tc>
          <w:tcPr>
            <w:tcW w:w="1863" w:type="dxa"/>
          </w:tcPr>
          <w:p>
            <w:pPr>
              <w:pStyle w:val="TableParagraph"/>
              <w:spacing w:line="250" w:lineRule="exact" w:before="3"/>
              <w:ind w:left="560"/>
              <w:rPr>
                <w:sz w:val="21"/>
              </w:rPr>
            </w:pPr>
            <w:r>
              <w:rPr>
                <w:spacing w:val="-1"/>
                <w:sz w:val="21"/>
              </w:rPr>
              <w:t>比例(%)</w:t>
            </w:r>
            <w:r>
              <w:rPr>
                <w:sz w:val="21"/>
              </w:rPr>
              <w:t> </w:t>
            </w:r>
          </w:p>
        </w:tc>
        <w:tc>
          <w:tcPr>
            <w:tcW w:w="1860" w:type="dxa"/>
          </w:tcPr>
          <w:p>
            <w:pPr>
              <w:pStyle w:val="TableParagraph"/>
              <w:spacing w:line="250" w:lineRule="exact" w:before="3"/>
              <w:ind w:left="716"/>
              <w:rPr>
                <w:sz w:val="21"/>
              </w:rPr>
            </w:pPr>
            <w:r>
              <w:rPr>
                <w:sz w:val="21"/>
              </w:rPr>
              <w:t>金额 </w:t>
            </w:r>
          </w:p>
        </w:tc>
        <w:tc>
          <w:tcPr>
            <w:tcW w:w="1875" w:type="dxa"/>
          </w:tcPr>
          <w:p>
            <w:pPr>
              <w:pStyle w:val="TableParagraph"/>
              <w:spacing w:line="250" w:lineRule="exact" w:before="3"/>
              <w:ind w:left="565"/>
              <w:rPr>
                <w:sz w:val="21"/>
              </w:rPr>
            </w:pPr>
            <w:r>
              <w:rPr>
                <w:spacing w:val="-1"/>
                <w:sz w:val="21"/>
              </w:rPr>
              <w:t>比例(%)</w:t>
            </w:r>
            <w:r>
              <w:rPr>
                <w:sz w:val="21"/>
              </w:rPr>
              <w:t> </w:t>
            </w:r>
          </w:p>
        </w:tc>
      </w:tr>
      <w:tr>
        <w:trPr>
          <w:trHeight w:val="273" w:hRule="atLeast"/>
        </w:trPr>
        <w:tc>
          <w:tcPr>
            <w:tcW w:w="1349" w:type="dxa"/>
          </w:tcPr>
          <w:p>
            <w:pPr>
              <w:pStyle w:val="TableParagraph"/>
              <w:spacing w:line="252" w:lineRule="exact" w:before="1"/>
              <w:ind w:right="331"/>
              <w:jc w:val="right"/>
              <w:rPr>
                <w:sz w:val="21"/>
              </w:rPr>
            </w:pPr>
            <w:r>
              <w:rPr>
                <w:spacing w:val="-1"/>
                <w:sz w:val="21"/>
              </w:rPr>
              <w:t>1</w:t>
            </w:r>
            <w:r>
              <w:rPr>
                <w:spacing w:val="-14"/>
                <w:sz w:val="21"/>
              </w:rPr>
              <w:t> 年以内</w:t>
            </w:r>
            <w:r>
              <w:rPr>
                <w:sz w:val="21"/>
              </w:rPr>
              <w:t> </w:t>
            </w:r>
          </w:p>
        </w:tc>
        <w:tc>
          <w:tcPr>
            <w:tcW w:w="1878" w:type="dxa"/>
          </w:tcPr>
          <w:p>
            <w:pPr>
              <w:pStyle w:val="TableParagraph"/>
              <w:spacing w:line="235" w:lineRule="exact"/>
              <w:ind w:right="106"/>
              <w:jc w:val="right"/>
              <w:rPr>
                <w:rFonts w:ascii="Times New Roman"/>
                <w:sz w:val="21"/>
              </w:rPr>
            </w:pPr>
            <w:r>
              <w:rPr>
                <w:rFonts w:ascii="Times New Roman"/>
                <w:sz w:val="21"/>
              </w:rPr>
              <w:t>352,362</w:t>
            </w:r>
          </w:p>
        </w:tc>
        <w:tc>
          <w:tcPr>
            <w:tcW w:w="1863" w:type="dxa"/>
          </w:tcPr>
          <w:p>
            <w:pPr>
              <w:pStyle w:val="TableParagraph"/>
              <w:spacing w:line="235" w:lineRule="exact"/>
              <w:ind w:right="104"/>
              <w:jc w:val="right"/>
              <w:rPr>
                <w:rFonts w:ascii="Times New Roman"/>
                <w:sz w:val="21"/>
              </w:rPr>
            </w:pPr>
            <w:r>
              <w:rPr>
                <w:rFonts w:ascii="Times New Roman"/>
                <w:sz w:val="21"/>
              </w:rPr>
              <w:t>100%</w:t>
            </w:r>
          </w:p>
        </w:tc>
        <w:tc>
          <w:tcPr>
            <w:tcW w:w="1860" w:type="dxa"/>
          </w:tcPr>
          <w:p>
            <w:pPr>
              <w:pStyle w:val="TableParagraph"/>
              <w:spacing w:line="235" w:lineRule="exact"/>
              <w:ind w:right="104"/>
              <w:jc w:val="right"/>
              <w:rPr>
                <w:rFonts w:ascii="Times New Roman"/>
                <w:sz w:val="21"/>
              </w:rPr>
            </w:pPr>
            <w:r>
              <w:rPr>
                <w:rFonts w:ascii="Times New Roman"/>
                <w:sz w:val="21"/>
              </w:rPr>
              <w:t>241,612</w:t>
            </w:r>
          </w:p>
        </w:tc>
        <w:tc>
          <w:tcPr>
            <w:tcW w:w="1875" w:type="dxa"/>
          </w:tcPr>
          <w:p>
            <w:pPr>
              <w:pStyle w:val="TableParagraph"/>
              <w:spacing w:line="235" w:lineRule="exact"/>
              <w:ind w:right="103"/>
              <w:jc w:val="right"/>
              <w:rPr>
                <w:rFonts w:ascii="Times New Roman"/>
                <w:sz w:val="21"/>
              </w:rPr>
            </w:pPr>
            <w:r>
              <w:rPr>
                <w:rFonts w:ascii="Times New Roman"/>
                <w:sz w:val="21"/>
              </w:rPr>
              <w:t>100%</w:t>
            </w:r>
          </w:p>
        </w:tc>
      </w:tr>
      <w:tr>
        <w:trPr>
          <w:trHeight w:val="270" w:hRule="atLeast"/>
        </w:trPr>
        <w:tc>
          <w:tcPr>
            <w:tcW w:w="1349" w:type="dxa"/>
          </w:tcPr>
          <w:p>
            <w:pPr>
              <w:pStyle w:val="TableParagraph"/>
              <w:spacing w:line="250" w:lineRule="exact" w:before="1"/>
              <w:ind w:right="331"/>
              <w:jc w:val="right"/>
              <w:rPr>
                <w:sz w:val="21"/>
              </w:rPr>
            </w:pPr>
            <w:r>
              <w:rPr>
                <w:sz w:val="21"/>
              </w:rPr>
              <w:t>1</w:t>
            </w:r>
            <w:r>
              <w:rPr>
                <w:spacing w:val="-36"/>
                <w:sz w:val="21"/>
              </w:rPr>
              <w:t> 至 </w:t>
            </w:r>
            <w:r>
              <w:rPr>
                <w:sz w:val="21"/>
              </w:rPr>
              <w:t>2</w:t>
            </w:r>
            <w:r>
              <w:rPr>
                <w:spacing w:val="-28"/>
                <w:sz w:val="21"/>
              </w:rPr>
              <w:t> 年</w:t>
            </w:r>
            <w:r>
              <w:rPr>
                <w:sz w:val="21"/>
              </w:rPr>
              <w:t> </w:t>
            </w:r>
          </w:p>
        </w:tc>
        <w:tc>
          <w:tcPr>
            <w:tcW w:w="1878" w:type="dxa"/>
          </w:tcPr>
          <w:p>
            <w:pPr>
              <w:pStyle w:val="TableParagraph"/>
              <w:rPr>
                <w:rFonts w:ascii="Times New Roman"/>
                <w:sz w:val="20"/>
              </w:rPr>
            </w:pPr>
          </w:p>
        </w:tc>
        <w:tc>
          <w:tcPr>
            <w:tcW w:w="1863" w:type="dxa"/>
          </w:tcPr>
          <w:p>
            <w:pPr>
              <w:pStyle w:val="TableParagraph"/>
              <w:rPr>
                <w:rFonts w:ascii="Times New Roman"/>
                <w:sz w:val="20"/>
              </w:rPr>
            </w:pPr>
          </w:p>
        </w:tc>
        <w:tc>
          <w:tcPr>
            <w:tcW w:w="1860" w:type="dxa"/>
          </w:tcPr>
          <w:p>
            <w:pPr>
              <w:pStyle w:val="TableParagraph"/>
              <w:rPr>
                <w:rFonts w:ascii="Times New Roman"/>
                <w:sz w:val="20"/>
              </w:rPr>
            </w:pPr>
          </w:p>
        </w:tc>
        <w:tc>
          <w:tcPr>
            <w:tcW w:w="1875" w:type="dxa"/>
          </w:tcPr>
          <w:p>
            <w:pPr>
              <w:pStyle w:val="TableParagraph"/>
              <w:rPr>
                <w:rFonts w:ascii="Times New Roman"/>
                <w:sz w:val="20"/>
              </w:rPr>
            </w:pPr>
          </w:p>
        </w:tc>
      </w:tr>
      <w:tr>
        <w:trPr>
          <w:trHeight w:val="273" w:hRule="atLeast"/>
        </w:trPr>
        <w:tc>
          <w:tcPr>
            <w:tcW w:w="1349" w:type="dxa"/>
          </w:tcPr>
          <w:p>
            <w:pPr>
              <w:pStyle w:val="TableParagraph"/>
              <w:spacing w:line="252" w:lineRule="exact" w:before="1"/>
              <w:ind w:right="331"/>
              <w:jc w:val="right"/>
              <w:rPr>
                <w:sz w:val="21"/>
              </w:rPr>
            </w:pPr>
            <w:r>
              <w:rPr>
                <w:sz w:val="21"/>
              </w:rPr>
              <w:t>2</w:t>
            </w:r>
            <w:r>
              <w:rPr>
                <w:spacing w:val="-36"/>
                <w:sz w:val="21"/>
              </w:rPr>
              <w:t> 至 </w:t>
            </w:r>
            <w:r>
              <w:rPr>
                <w:sz w:val="21"/>
              </w:rPr>
              <w:t>3</w:t>
            </w:r>
            <w:r>
              <w:rPr>
                <w:spacing w:val="-28"/>
                <w:sz w:val="21"/>
              </w:rPr>
              <w:t> 年</w:t>
            </w:r>
            <w:r>
              <w:rPr>
                <w:sz w:val="21"/>
              </w:rPr>
              <w:t> </w:t>
            </w:r>
          </w:p>
        </w:tc>
        <w:tc>
          <w:tcPr>
            <w:tcW w:w="1878" w:type="dxa"/>
          </w:tcPr>
          <w:p>
            <w:pPr>
              <w:pStyle w:val="TableParagraph"/>
              <w:rPr>
                <w:rFonts w:ascii="Times New Roman"/>
                <w:sz w:val="20"/>
              </w:rPr>
            </w:pPr>
          </w:p>
        </w:tc>
        <w:tc>
          <w:tcPr>
            <w:tcW w:w="1863" w:type="dxa"/>
          </w:tcPr>
          <w:p>
            <w:pPr>
              <w:pStyle w:val="TableParagraph"/>
              <w:rPr>
                <w:rFonts w:ascii="Times New Roman"/>
                <w:sz w:val="20"/>
              </w:rPr>
            </w:pPr>
          </w:p>
        </w:tc>
        <w:tc>
          <w:tcPr>
            <w:tcW w:w="1860" w:type="dxa"/>
          </w:tcPr>
          <w:p>
            <w:pPr>
              <w:pStyle w:val="TableParagraph"/>
              <w:rPr>
                <w:rFonts w:ascii="Times New Roman"/>
                <w:sz w:val="20"/>
              </w:rPr>
            </w:pPr>
          </w:p>
        </w:tc>
        <w:tc>
          <w:tcPr>
            <w:tcW w:w="1875" w:type="dxa"/>
          </w:tcPr>
          <w:p>
            <w:pPr>
              <w:pStyle w:val="TableParagraph"/>
              <w:rPr>
                <w:rFonts w:ascii="Times New Roman"/>
                <w:sz w:val="20"/>
              </w:rPr>
            </w:pPr>
          </w:p>
        </w:tc>
      </w:tr>
      <w:tr>
        <w:trPr>
          <w:trHeight w:val="273" w:hRule="atLeast"/>
        </w:trPr>
        <w:tc>
          <w:tcPr>
            <w:tcW w:w="1349" w:type="dxa"/>
          </w:tcPr>
          <w:p>
            <w:pPr>
              <w:pStyle w:val="TableParagraph"/>
              <w:spacing w:line="252" w:lineRule="exact" w:before="1"/>
              <w:ind w:right="331"/>
              <w:jc w:val="right"/>
              <w:rPr>
                <w:sz w:val="21"/>
              </w:rPr>
            </w:pPr>
            <w:r>
              <w:rPr>
                <w:spacing w:val="-1"/>
                <w:sz w:val="21"/>
              </w:rPr>
              <w:t>3</w:t>
            </w:r>
            <w:r>
              <w:rPr>
                <w:spacing w:val="-14"/>
                <w:sz w:val="21"/>
              </w:rPr>
              <w:t> 年以上</w:t>
            </w:r>
            <w:r>
              <w:rPr>
                <w:sz w:val="21"/>
              </w:rPr>
              <w:t> </w:t>
            </w:r>
          </w:p>
        </w:tc>
        <w:tc>
          <w:tcPr>
            <w:tcW w:w="1878" w:type="dxa"/>
          </w:tcPr>
          <w:p>
            <w:pPr>
              <w:pStyle w:val="TableParagraph"/>
              <w:rPr>
                <w:rFonts w:ascii="Times New Roman"/>
                <w:sz w:val="20"/>
              </w:rPr>
            </w:pPr>
          </w:p>
        </w:tc>
        <w:tc>
          <w:tcPr>
            <w:tcW w:w="1863" w:type="dxa"/>
          </w:tcPr>
          <w:p>
            <w:pPr>
              <w:pStyle w:val="TableParagraph"/>
              <w:rPr>
                <w:rFonts w:ascii="Times New Roman"/>
                <w:sz w:val="20"/>
              </w:rPr>
            </w:pPr>
          </w:p>
        </w:tc>
        <w:tc>
          <w:tcPr>
            <w:tcW w:w="1860" w:type="dxa"/>
          </w:tcPr>
          <w:p>
            <w:pPr>
              <w:pStyle w:val="TableParagraph"/>
              <w:rPr>
                <w:rFonts w:ascii="Times New Roman"/>
                <w:sz w:val="20"/>
              </w:rPr>
            </w:pPr>
          </w:p>
        </w:tc>
        <w:tc>
          <w:tcPr>
            <w:tcW w:w="1875" w:type="dxa"/>
          </w:tcPr>
          <w:p>
            <w:pPr>
              <w:pStyle w:val="TableParagraph"/>
              <w:rPr>
                <w:rFonts w:ascii="Times New Roman"/>
                <w:sz w:val="20"/>
              </w:rPr>
            </w:pPr>
          </w:p>
        </w:tc>
      </w:tr>
      <w:tr>
        <w:trPr>
          <w:trHeight w:val="271" w:hRule="atLeast"/>
        </w:trPr>
        <w:tc>
          <w:tcPr>
            <w:tcW w:w="1349" w:type="dxa"/>
          </w:tcPr>
          <w:p>
            <w:pPr>
              <w:pStyle w:val="TableParagraph"/>
              <w:spacing w:line="250" w:lineRule="exact" w:before="1"/>
              <w:ind w:right="350"/>
              <w:jc w:val="right"/>
              <w:rPr>
                <w:sz w:val="21"/>
              </w:rPr>
            </w:pPr>
            <w:r>
              <w:rPr>
                <w:sz w:val="21"/>
              </w:rPr>
              <w:t>合计 </w:t>
            </w:r>
          </w:p>
        </w:tc>
        <w:tc>
          <w:tcPr>
            <w:tcW w:w="1878" w:type="dxa"/>
          </w:tcPr>
          <w:p>
            <w:pPr>
              <w:pStyle w:val="TableParagraph"/>
              <w:spacing w:before="8"/>
              <w:ind w:right="99"/>
              <w:jc w:val="right"/>
              <w:rPr>
                <w:rFonts w:ascii="Times New Roman"/>
                <w:sz w:val="21"/>
              </w:rPr>
            </w:pPr>
            <w:r>
              <w:rPr>
                <w:rFonts w:ascii="Times New Roman"/>
                <w:sz w:val="21"/>
              </w:rPr>
              <w:t>352,362</w:t>
            </w:r>
          </w:p>
        </w:tc>
        <w:tc>
          <w:tcPr>
            <w:tcW w:w="1863" w:type="dxa"/>
          </w:tcPr>
          <w:p>
            <w:pPr>
              <w:pStyle w:val="TableParagraph"/>
              <w:spacing w:before="8"/>
              <w:ind w:right="99"/>
              <w:jc w:val="right"/>
              <w:rPr>
                <w:rFonts w:ascii="Times New Roman"/>
                <w:sz w:val="21"/>
              </w:rPr>
            </w:pPr>
            <w:r>
              <w:rPr>
                <w:rFonts w:ascii="Times New Roman"/>
                <w:sz w:val="21"/>
              </w:rPr>
              <w:t>100%</w:t>
            </w:r>
          </w:p>
        </w:tc>
        <w:tc>
          <w:tcPr>
            <w:tcW w:w="1860" w:type="dxa"/>
          </w:tcPr>
          <w:p>
            <w:pPr>
              <w:pStyle w:val="TableParagraph"/>
              <w:spacing w:before="8"/>
              <w:ind w:right="99"/>
              <w:jc w:val="right"/>
              <w:rPr>
                <w:rFonts w:ascii="Times New Roman"/>
                <w:sz w:val="21"/>
              </w:rPr>
            </w:pPr>
            <w:r>
              <w:rPr>
                <w:rFonts w:ascii="Times New Roman"/>
                <w:sz w:val="21"/>
              </w:rPr>
              <w:t>241,612</w:t>
            </w:r>
          </w:p>
        </w:tc>
        <w:tc>
          <w:tcPr>
            <w:tcW w:w="1875" w:type="dxa"/>
          </w:tcPr>
          <w:p>
            <w:pPr>
              <w:pStyle w:val="TableParagraph"/>
              <w:spacing w:before="8"/>
              <w:ind w:right="96"/>
              <w:jc w:val="right"/>
              <w:rPr>
                <w:rFonts w:ascii="Times New Roman"/>
                <w:sz w:val="21"/>
              </w:rPr>
            </w:pPr>
            <w:r>
              <w:rPr>
                <w:rFonts w:ascii="Times New Roman"/>
                <w:sz w:val="21"/>
              </w:rPr>
              <w:t>100%</w:t>
            </w:r>
          </w:p>
        </w:tc>
      </w:tr>
    </w:tbl>
    <w:p>
      <w:pPr>
        <w:pStyle w:val="BodyText"/>
        <w:spacing w:before="1"/>
      </w:pPr>
      <w:r>
        <w:rPr>
          <w:spacing w:val="-12"/>
        </w:rPr>
        <w:t>账龄超过 </w:t>
      </w:r>
      <w:r>
        <w:rPr/>
        <w:t>1</w:t>
      </w:r>
      <w:r>
        <w:rPr>
          <w:spacing w:val="-8"/>
        </w:rPr>
        <w:t> 年且金额重要的预付款项未及时结算原因的说明：</w:t>
      </w:r>
      <w:r>
        <w:rPr/>
        <w:t> </w:t>
      </w:r>
    </w:p>
    <w:p>
      <w:pPr>
        <w:pStyle w:val="BodyText"/>
        <w:spacing w:before="4"/>
      </w:pPr>
      <w:r>
        <w:rPr>
          <w:spacing w:val="-27"/>
        </w:rPr>
        <w:t>于 </w:t>
      </w:r>
      <w:r>
        <w:rPr>
          <w:rFonts w:ascii="Times New Roman" w:eastAsia="Times New Roman"/>
          <w:spacing w:val="-1"/>
        </w:rPr>
        <w:t>2022</w:t>
      </w:r>
      <w:r>
        <w:rPr>
          <w:rFonts w:ascii="Times New Roman" w:eastAsia="Times New Roman"/>
          <w:spacing w:val="-12"/>
        </w:rPr>
        <w:t> </w:t>
      </w:r>
      <w:r>
        <w:rPr>
          <w:spacing w:val="-27"/>
        </w:rPr>
        <w:t>年 </w:t>
      </w:r>
      <w:r>
        <w:rPr>
          <w:rFonts w:ascii="Times New Roman" w:eastAsia="Times New Roman"/>
        </w:rPr>
        <w:t>12</w:t>
      </w:r>
      <w:r>
        <w:rPr>
          <w:rFonts w:ascii="Times New Roman" w:eastAsia="Times New Roman"/>
          <w:spacing w:val="-10"/>
        </w:rPr>
        <w:t> </w:t>
      </w:r>
      <w:r>
        <w:rPr>
          <w:spacing w:val="-26"/>
        </w:rPr>
        <w:t>月 </w:t>
      </w:r>
      <w:r>
        <w:rPr>
          <w:rFonts w:ascii="Times New Roman" w:eastAsia="Times New Roman"/>
        </w:rPr>
        <w:t>31</w:t>
      </w:r>
      <w:r>
        <w:rPr>
          <w:rFonts w:ascii="Times New Roman" w:eastAsia="Times New Roman"/>
          <w:spacing w:val="-12"/>
        </w:rPr>
        <w:t> </w:t>
      </w:r>
      <w:r>
        <w:rPr>
          <w:spacing w:val="-3"/>
        </w:rPr>
        <w:t>日，本集团无账龄超过一年的预付款项 (</w:t>
      </w:r>
      <w:r>
        <w:rPr>
          <w:rFonts w:ascii="Times New Roman" w:eastAsia="Times New Roman"/>
        </w:rPr>
        <w:t>2021</w:t>
      </w:r>
      <w:r>
        <w:rPr>
          <w:rFonts w:ascii="Times New Roman" w:eastAsia="Times New Roman"/>
          <w:spacing w:val="-10"/>
        </w:rPr>
        <w:t> </w:t>
      </w:r>
      <w:r>
        <w:rPr>
          <w:spacing w:val="-27"/>
        </w:rPr>
        <w:t>年 </w:t>
      </w:r>
      <w:r>
        <w:rPr>
          <w:rFonts w:ascii="Times New Roman" w:eastAsia="Times New Roman"/>
        </w:rPr>
        <w:t>12</w:t>
      </w:r>
      <w:r>
        <w:rPr>
          <w:rFonts w:ascii="Times New Roman" w:eastAsia="Times New Roman"/>
          <w:spacing w:val="-12"/>
        </w:rPr>
        <w:t> </w:t>
      </w:r>
      <w:r>
        <w:rPr>
          <w:spacing w:val="-27"/>
        </w:rPr>
        <w:t>月 </w:t>
      </w:r>
      <w:r>
        <w:rPr>
          <w:rFonts w:ascii="Times New Roman" w:eastAsia="Times New Roman"/>
        </w:rPr>
        <w:t>31</w:t>
      </w:r>
      <w:r>
        <w:rPr>
          <w:rFonts w:ascii="Times New Roman" w:eastAsia="Times New Roman"/>
          <w:spacing w:val="-12"/>
        </w:rPr>
        <w:t> </w:t>
      </w:r>
      <w:r>
        <w:rPr/>
        <w:t>日：无)。 </w:t>
      </w:r>
    </w:p>
    <w:p>
      <w:pPr>
        <w:pStyle w:val="BodyText"/>
        <w:spacing w:before="3"/>
      </w:pPr>
      <w:r>
        <w:rPr>
          <w:w w:val="100"/>
        </w:rPr>
        <w:t> </w:t>
      </w:r>
    </w:p>
    <w:p>
      <w:pPr>
        <w:pStyle w:val="ListParagraph"/>
        <w:numPr>
          <w:ilvl w:val="0"/>
          <w:numId w:val="61"/>
        </w:numPr>
        <w:tabs>
          <w:tab w:pos="746" w:val="left" w:leader="none"/>
        </w:tabs>
        <w:spacing w:line="240" w:lineRule="auto" w:before="64" w:after="0"/>
        <w:ind w:left="745" w:right="0" w:hanging="428"/>
        <w:jc w:val="left"/>
        <w:rPr>
          <w:sz w:val="21"/>
        </w:rPr>
      </w:pPr>
      <w:r>
        <w:rPr>
          <w:sz w:val="21"/>
        </w:rPr>
        <w:t>按预付对象归集的期末余额前五名的预付款情况 </w:t>
      </w:r>
    </w:p>
    <w:p>
      <w:pPr>
        <w:pStyle w:val="BodyText"/>
        <w:spacing w:before="62" w:after="4"/>
      </w:pPr>
      <w:r>
        <w:rPr>
          <w:spacing w:val="11"/>
        </w:rPr>
        <w:t>√适用 □不适用</w:t>
      </w:r>
      <w:r>
        <w:rPr>
          <w:spacing w:val="-3"/>
        </w:rPr>
        <w:t> </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36"/>
        <w:gridCol w:w="2941"/>
        <w:gridCol w:w="2939"/>
      </w:tblGrid>
      <w:tr>
        <w:trPr>
          <w:trHeight w:val="544" w:hRule="atLeast"/>
        </w:trPr>
        <w:tc>
          <w:tcPr>
            <w:tcW w:w="2936" w:type="dxa"/>
          </w:tcPr>
          <w:p>
            <w:pPr>
              <w:pStyle w:val="TableParagraph"/>
              <w:spacing w:before="138"/>
              <w:ind w:left="1030" w:right="1019"/>
              <w:jc w:val="center"/>
              <w:rPr>
                <w:sz w:val="21"/>
              </w:rPr>
            </w:pPr>
            <w:r>
              <w:rPr>
                <w:spacing w:val="-1"/>
                <w:sz w:val="21"/>
              </w:rPr>
              <w:t>单位名称</w:t>
            </w:r>
            <w:r>
              <w:rPr>
                <w:sz w:val="21"/>
              </w:rPr>
              <w:t> </w:t>
            </w:r>
          </w:p>
        </w:tc>
        <w:tc>
          <w:tcPr>
            <w:tcW w:w="2941" w:type="dxa"/>
          </w:tcPr>
          <w:p>
            <w:pPr>
              <w:pStyle w:val="TableParagraph"/>
              <w:spacing w:before="138"/>
              <w:ind w:left="1012"/>
              <w:rPr>
                <w:sz w:val="21"/>
              </w:rPr>
            </w:pPr>
            <w:r>
              <w:rPr>
                <w:spacing w:val="-1"/>
                <w:sz w:val="21"/>
              </w:rPr>
              <w:t>期末余额</w:t>
            </w:r>
            <w:r>
              <w:rPr>
                <w:sz w:val="21"/>
              </w:rPr>
              <w:t> </w:t>
            </w:r>
          </w:p>
        </w:tc>
        <w:tc>
          <w:tcPr>
            <w:tcW w:w="2939" w:type="dxa"/>
          </w:tcPr>
          <w:p>
            <w:pPr>
              <w:pStyle w:val="TableParagraph"/>
              <w:spacing w:before="1"/>
              <w:ind w:left="202"/>
              <w:rPr>
                <w:sz w:val="21"/>
              </w:rPr>
            </w:pPr>
            <w:r>
              <w:rPr>
                <w:spacing w:val="-1"/>
                <w:sz w:val="21"/>
              </w:rPr>
              <w:t>占预付款项期末余额合计数</w:t>
            </w:r>
          </w:p>
          <w:p>
            <w:pPr>
              <w:pStyle w:val="TableParagraph"/>
              <w:spacing w:line="252" w:lineRule="exact" w:before="2"/>
              <w:ind w:left="992"/>
              <w:rPr>
                <w:sz w:val="21"/>
              </w:rPr>
            </w:pPr>
            <w:r>
              <w:rPr>
                <w:sz w:val="21"/>
              </w:rPr>
              <w:t>的比例(%) </w:t>
            </w:r>
          </w:p>
        </w:tc>
      </w:tr>
      <w:tr>
        <w:trPr>
          <w:trHeight w:val="273" w:hRule="atLeast"/>
        </w:trPr>
        <w:tc>
          <w:tcPr>
            <w:tcW w:w="2936" w:type="dxa"/>
          </w:tcPr>
          <w:p>
            <w:pPr>
              <w:pStyle w:val="TableParagraph"/>
              <w:spacing w:line="252" w:lineRule="exact" w:before="1"/>
              <w:ind w:left="107"/>
              <w:rPr>
                <w:sz w:val="21"/>
              </w:rPr>
            </w:pPr>
            <w:r>
              <w:rPr>
                <w:spacing w:val="-1"/>
                <w:sz w:val="21"/>
              </w:rPr>
              <w:t>余额前五名的预付账款总额 </w:t>
            </w:r>
          </w:p>
        </w:tc>
        <w:tc>
          <w:tcPr>
            <w:tcW w:w="2941" w:type="dxa"/>
          </w:tcPr>
          <w:p>
            <w:pPr>
              <w:pStyle w:val="TableParagraph"/>
              <w:spacing w:line="235" w:lineRule="exact"/>
              <w:ind w:right="169"/>
              <w:jc w:val="right"/>
              <w:rPr>
                <w:rFonts w:ascii="Times New Roman"/>
                <w:sz w:val="21"/>
              </w:rPr>
            </w:pPr>
            <w:r>
              <w:rPr>
                <w:rFonts w:ascii="Times New Roman"/>
                <w:sz w:val="21"/>
              </w:rPr>
              <w:t>128,917</w:t>
            </w:r>
          </w:p>
        </w:tc>
        <w:tc>
          <w:tcPr>
            <w:tcW w:w="2939" w:type="dxa"/>
          </w:tcPr>
          <w:p>
            <w:pPr>
              <w:pStyle w:val="TableParagraph"/>
              <w:spacing w:line="235" w:lineRule="exact"/>
              <w:ind w:right="97"/>
              <w:jc w:val="right"/>
              <w:rPr>
                <w:rFonts w:ascii="Times New Roman"/>
                <w:sz w:val="21"/>
              </w:rPr>
            </w:pPr>
            <w:r>
              <w:rPr>
                <w:rFonts w:ascii="Times New Roman"/>
                <w:sz w:val="21"/>
              </w:rPr>
              <w:t>37%</w:t>
            </w:r>
          </w:p>
        </w:tc>
      </w:tr>
      <w:tr>
        <w:trPr>
          <w:trHeight w:val="270" w:hRule="atLeast"/>
        </w:trPr>
        <w:tc>
          <w:tcPr>
            <w:tcW w:w="2936" w:type="dxa"/>
          </w:tcPr>
          <w:p>
            <w:pPr>
              <w:pStyle w:val="TableParagraph"/>
              <w:spacing w:line="250" w:lineRule="exact" w:before="1"/>
              <w:ind w:left="107"/>
              <w:rPr>
                <w:sz w:val="21"/>
              </w:rPr>
            </w:pPr>
            <w:r>
              <w:rPr>
                <w:w w:val="100"/>
                <w:sz w:val="21"/>
              </w:rPr>
              <w:t> </w:t>
            </w:r>
          </w:p>
        </w:tc>
        <w:tc>
          <w:tcPr>
            <w:tcW w:w="2941" w:type="dxa"/>
          </w:tcPr>
          <w:p>
            <w:pPr>
              <w:pStyle w:val="TableParagraph"/>
              <w:rPr>
                <w:rFonts w:ascii="Times New Roman"/>
                <w:sz w:val="20"/>
              </w:rPr>
            </w:pPr>
          </w:p>
        </w:tc>
        <w:tc>
          <w:tcPr>
            <w:tcW w:w="2939" w:type="dxa"/>
          </w:tcPr>
          <w:p>
            <w:pPr>
              <w:pStyle w:val="TableParagraph"/>
              <w:rPr>
                <w:rFonts w:ascii="Times New Roman"/>
                <w:sz w:val="20"/>
              </w:rPr>
            </w:pPr>
          </w:p>
        </w:tc>
      </w:tr>
      <w:tr>
        <w:trPr>
          <w:trHeight w:val="273" w:hRule="atLeast"/>
        </w:trPr>
        <w:tc>
          <w:tcPr>
            <w:tcW w:w="2936" w:type="dxa"/>
          </w:tcPr>
          <w:p>
            <w:pPr>
              <w:pStyle w:val="TableParagraph"/>
              <w:spacing w:line="252" w:lineRule="exact" w:before="1"/>
              <w:ind w:left="1027" w:right="1019"/>
              <w:jc w:val="center"/>
              <w:rPr>
                <w:sz w:val="21"/>
              </w:rPr>
            </w:pPr>
            <w:r>
              <w:rPr>
                <w:sz w:val="21"/>
              </w:rPr>
              <w:t>合计 </w:t>
            </w:r>
          </w:p>
        </w:tc>
        <w:tc>
          <w:tcPr>
            <w:tcW w:w="2941" w:type="dxa"/>
          </w:tcPr>
          <w:p>
            <w:pPr>
              <w:pStyle w:val="TableParagraph"/>
              <w:spacing w:line="235" w:lineRule="exact"/>
              <w:ind w:right="169"/>
              <w:jc w:val="right"/>
              <w:rPr>
                <w:rFonts w:ascii="Times New Roman"/>
                <w:sz w:val="21"/>
              </w:rPr>
            </w:pPr>
            <w:r>
              <w:rPr>
                <w:rFonts w:ascii="Times New Roman"/>
                <w:sz w:val="21"/>
              </w:rPr>
              <w:t>128,917</w:t>
            </w:r>
          </w:p>
        </w:tc>
        <w:tc>
          <w:tcPr>
            <w:tcW w:w="2939" w:type="dxa"/>
          </w:tcPr>
          <w:p>
            <w:pPr>
              <w:pStyle w:val="TableParagraph"/>
              <w:rPr>
                <w:rFonts w:ascii="Times New Roman"/>
                <w:sz w:val="20"/>
              </w:rPr>
            </w:pPr>
          </w:p>
        </w:tc>
      </w:tr>
    </w:tbl>
    <w:p>
      <w:pPr>
        <w:pStyle w:val="BodyText"/>
        <w:spacing w:before="1"/>
      </w:pPr>
      <w:r>
        <w:rPr>
          <w:w w:val="100"/>
        </w:rPr>
        <w:t> </w:t>
      </w:r>
    </w:p>
    <w:p>
      <w:pPr>
        <w:pStyle w:val="BodyText"/>
        <w:spacing w:line="244" w:lineRule="auto" w:before="2"/>
        <w:ind w:right="9160"/>
      </w:pPr>
      <w:r>
        <w:rPr/>
        <w:t>其他说明无 </w:t>
      </w:r>
    </w:p>
    <w:p>
      <w:pPr>
        <w:pStyle w:val="BodyText"/>
        <w:spacing w:line="265" w:lineRule="exact"/>
      </w:pPr>
      <w:r>
        <w:rPr>
          <w:w w:val="100"/>
        </w:rPr>
        <w:t> </w:t>
      </w:r>
    </w:p>
    <w:p>
      <w:pPr>
        <w:pStyle w:val="BodyText"/>
        <w:spacing w:before="5"/>
      </w:pPr>
      <w:r>
        <w:rPr>
          <w:w w:val="100"/>
        </w:rPr>
        <w:t> </w:t>
      </w:r>
    </w:p>
    <w:p>
      <w:pPr>
        <w:pStyle w:val="BodyText"/>
        <w:spacing w:before="2"/>
      </w:pPr>
      <w:r>
        <w:rPr>
          <w:spacing w:val="-1"/>
        </w:rPr>
        <w:t>其他说明</w:t>
      </w:r>
      <w:r>
        <w:rPr/>
        <w:t> </w:t>
      </w:r>
    </w:p>
    <w:p>
      <w:pPr>
        <w:pStyle w:val="BodyText"/>
        <w:spacing w:before="5"/>
      </w:pPr>
      <w:r>
        <w:rPr>
          <w:spacing w:val="11"/>
        </w:rPr>
        <w:t>□适用 √不适用</w:t>
      </w:r>
      <w:r>
        <w:rPr>
          <w:spacing w:val="-3"/>
        </w:rPr>
        <w:t> </w:t>
      </w:r>
      <w:r>
        <w:rPr/>
        <w:t> </w:t>
      </w:r>
    </w:p>
    <w:p>
      <w:pPr>
        <w:pStyle w:val="BodyText"/>
        <w:spacing w:before="2"/>
      </w:pPr>
      <w:r>
        <w:rPr>
          <w:w w:val="100"/>
        </w:rPr>
        <w:t> </w:t>
      </w:r>
    </w:p>
    <w:p>
      <w:pPr>
        <w:pStyle w:val="BodyText"/>
        <w:spacing w:line="295" w:lineRule="auto" w:before="64"/>
        <w:ind w:right="8630"/>
      </w:pPr>
      <w:r>
        <w:rPr/>
        <w:t>8</w:t>
      </w:r>
      <w:r>
        <w:rPr>
          <w:spacing w:val="-3"/>
        </w:rPr>
        <w:t>、 其他应收款</w:t>
      </w:r>
      <w:r>
        <w:rPr/>
        <w:t>项目列示 </w:t>
      </w:r>
    </w:p>
    <w:p>
      <w:pPr>
        <w:pStyle w:val="BodyText"/>
        <w:spacing w:before="3"/>
      </w:pPr>
      <w:r>
        <w:rPr>
          <w:spacing w:val="-1"/>
        </w:rPr>
        <w:t>√适用 □不适用</w:t>
      </w:r>
      <w:r>
        <w:rPr>
          <w:spacing w:val="-3"/>
        </w:rPr>
        <w:t> </w:t>
      </w:r>
      <w:r>
        <w:rPr/>
        <w:t> </w:t>
      </w:r>
    </w:p>
    <w:p>
      <w:pPr>
        <w:pStyle w:val="BodyText"/>
        <w:spacing w:before="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3"/>
        <w:gridCol w:w="2863"/>
        <w:gridCol w:w="2846"/>
      </w:tblGrid>
      <w:tr>
        <w:trPr>
          <w:trHeight w:val="270" w:hRule="atLeast"/>
        </w:trPr>
        <w:tc>
          <w:tcPr>
            <w:tcW w:w="3113" w:type="dxa"/>
          </w:tcPr>
          <w:p>
            <w:pPr>
              <w:pStyle w:val="TableParagraph"/>
              <w:spacing w:line="250" w:lineRule="exact" w:before="1"/>
              <w:ind w:left="1378" w:right="1264"/>
              <w:jc w:val="center"/>
              <w:rPr>
                <w:sz w:val="21"/>
              </w:rPr>
            </w:pPr>
            <w:r>
              <w:rPr>
                <w:sz w:val="21"/>
              </w:rPr>
              <w:t>项目 </w:t>
            </w:r>
          </w:p>
        </w:tc>
        <w:tc>
          <w:tcPr>
            <w:tcW w:w="2863" w:type="dxa"/>
          </w:tcPr>
          <w:p>
            <w:pPr>
              <w:pStyle w:val="TableParagraph"/>
              <w:spacing w:line="250" w:lineRule="exact" w:before="1"/>
              <w:ind w:left="1010"/>
              <w:rPr>
                <w:sz w:val="21"/>
              </w:rPr>
            </w:pPr>
            <w:r>
              <w:rPr>
                <w:spacing w:val="-1"/>
                <w:sz w:val="21"/>
              </w:rPr>
              <w:t>期末余额</w:t>
            </w:r>
            <w:r>
              <w:rPr>
                <w:sz w:val="21"/>
              </w:rPr>
              <w:t> </w:t>
            </w:r>
          </w:p>
        </w:tc>
        <w:tc>
          <w:tcPr>
            <w:tcW w:w="2846" w:type="dxa"/>
          </w:tcPr>
          <w:p>
            <w:pPr>
              <w:pStyle w:val="TableParagraph"/>
              <w:spacing w:line="250" w:lineRule="exact" w:before="1"/>
              <w:ind w:left="1003"/>
              <w:rPr>
                <w:sz w:val="21"/>
              </w:rPr>
            </w:pPr>
            <w:r>
              <w:rPr>
                <w:spacing w:val="-1"/>
                <w:sz w:val="21"/>
              </w:rPr>
              <w:t>期初余额</w:t>
            </w:r>
            <w:r>
              <w:rPr>
                <w:sz w:val="21"/>
              </w:rPr>
              <w:t> </w:t>
            </w:r>
          </w:p>
        </w:tc>
      </w:tr>
      <w:tr>
        <w:trPr>
          <w:trHeight w:val="273" w:hRule="atLeast"/>
        </w:trPr>
        <w:tc>
          <w:tcPr>
            <w:tcW w:w="3113" w:type="dxa"/>
          </w:tcPr>
          <w:p>
            <w:pPr>
              <w:pStyle w:val="TableParagraph"/>
              <w:spacing w:line="250" w:lineRule="exact" w:before="3"/>
              <w:ind w:left="112"/>
              <w:rPr>
                <w:sz w:val="21"/>
              </w:rPr>
            </w:pPr>
            <w:r>
              <w:rPr>
                <w:spacing w:val="-1"/>
                <w:sz w:val="21"/>
              </w:rPr>
              <w:t>应收利息</w:t>
            </w:r>
            <w:r>
              <w:rPr>
                <w:sz w:val="21"/>
              </w:rPr>
              <w:t> </w:t>
            </w:r>
          </w:p>
        </w:tc>
        <w:tc>
          <w:tcPr>
            <w:tcW w:w="2863" w:type="dxa"/>
          </w:tcPr>
          <w:p>
            <w:pPr>
              <w:pStyle w:val="TableParagraph"/>
              <w:spacing w:line="250" w:lineRule="exact" w:before="3"/>
              <w:ind w:right="1"/>
              <w:jc w:val="right"/>
              <w:rPr>
                <w:sz w:val="21"/>
              </w:rPr>
            </w:pPr>
            <w:r>
              <w:rPr>
                <w:w w:val="100"/>
                <w:sz w:val="21"/>
              </w:rPr>
              <w:t> </w:t>
            </w:r>
          </w:p>
        </w:tc>
        <w:tc>
          <w:tcPr>
            <w:tcW w:w="2846" w:type="dxa"/>
          </w:tcPr>
          <w:p>
            <w:pPr>
              <w:pStyle w:val="TableParagraph"/>
              <w:spacing w:line="250" w:lineRule="exact" w:before="3"/>
              <w:jc w:val="right"/>
              <w:rPr>
                <w:sz w:val="21"/>
              </w:rPr>
            </w:pPr>
            <w:r>
              <w:rPr>
                <w:w w:val="100"/>
                <w:sz w:val="21"/>
              </w:rPr>
              <w:t> </w:t>
            </w:r>
          </w:p>
        </w:tc>
      </w:tr>
      <w:tr>
        <w:trPr>
          <w:trHeight w:val="273" w:hRule="atLeast"/>
        </w:trPr>
        <w:tc>
          <w:tcPr>
            <w:tcW w:w="3113" w:type="dxa"/>
          </w:tcPr>
          <w:p>
            <w:pPr>
              <w:pStyle w:val="TableParagraph"/>
              <w:spacing w:line="252" w:lineRule="exact" w:before="1"/>
              <w:ind w:left="112"/>
              <w:rPr>
                <w:sz w:val="21"/>
              </w:rPr>
            </w:pPr>
            <w:r>
              <w:rPr>
                <w:spacing w:val="-1"/>
                <w:sz w:val="21"/>
              </w:rPr>
              <w:t>应收股利</w:t>
            </w:r>
            <w:r>
              <w:rPr>
                <w:sz w:val="21"/>
              </w:rPr>
              <w:t> </w:t>
            </w:r>
          </w:p>
        </w:tc>
        <w:tc>
          <w:tcPr>
            <w:tcW w:w="2863" w:type="dxa"/>
          </w:tcPr>
          <w:p>
            <w:pPr>
              <w:pStyle w:val="TableParagraph"/>
              <w:spacing w:line="252" w:lineRule="exact" w:before="1"/>
              <w:ind w:right="1"/>
              <w:jc w:val="right"/>
              <w:rPr>
                <w:sz w:val="21"/>
              </w:rPr>
            </w:pPr>
            <w:r>
              <w:rPr>
                <w:w w:val="100"/>
                <w:sz w:val="21"/>
              </w:rPr>
              <w:t> </w:t>
            </w:r>
          </w:p>
        </w:tc>
        <w:tc>
          <w:tcPr>
            <w:tcW w:w="2846" w:type="dxa"/>
          </w:tcPr>
          <w:p>
            <w:pPr>
              <w:pStyle w:val="TableParagraph"/>
              <w:spacing w:line="252" w:lineRule="exact" w:before="1"/>
              <w:jc w:val="right"/>
              <w:rPr>
                <w:sz w:val="21"/>
              </w:rPr>
            </w:pPr>
            <w:r>
              <w:rPr>
                <w:w w:val="100"/>
                <w:sz w:val="21"/>
              </w:rPr>
              <w:t> </w:t>
            </w:r>
          </w:p>
        </w:tc>
      </w:tr>
      <w:tr>
        <w:trPr>
          <w:trHeight w:val="270" w:hRule="atLeast"/>
        </w:trPr>
        <w:tc>
          <w:tcPr>
            <w:tcW w:w="3113" w:type="dxa"/>
          </w:tcPr>
          <w:p>
            <w:pPr>
              <w:pStyle w:val="TableParagraph"/>
              <w:spacing w:line="250" w:lineRule="exact" w:before="1"/>
              <w:ind w:left="112"/>
              <w:rPr>
                <w:sz w:val="21"/>
              </w:rPr>
            </w:pPr>
            <w:r>
              <w:rPr>
                <w:sz w:val="21"/>
              </w:rPr>
              <w:t>其他应收款 </w:t>
            </w:r>
          </w:p>
        </w:tc>
        <w:tc>
          <w:tcPr>
            <w:tcW w:w="2863" w:type="dxa"/>
          </w:tcPr>
          <w:p>
            <w:pPr>
              <w:pStyle w:val="TableParagraph"/>
              <w:spacing w:line="235" w:lineRule="exact"/>
              <w:ind w:right="1"/>
              <w:jc w:val="right"/>
              <w:rPr>
                <w:sz w:val="21"/>
              </w:rPr>
            </w:pPr>
            <w:r>
              <w:rPr>
                <w:rFonts w:ascii="Times New Roman"/>
                <w:sz w:val="21"/>
              </w:rPr>
              <w:t>1,878,878</w:t>
            </w:r>
            <w:r>
              <w:rPr>
                <w:sz w:val="21"/>
              </w:rPr>
              <w:t> </w:t>
            </w:r>
          </w:p>
        </w:tc>
        <w:tc>
          <w:tcPr>
            <w:tcW w:w="2846" w:type="dxa"/>
          </w:tcPr>
          <w:p>
            <w:pPr>
              <w:pStyle w:val="TableParagraph"/>
              <w:spacing w:line="235" w:lineRule="exact"/>
              <w:jc w:val="right"/>
              <w:rPr>
                <w:sz w:val="21"/>
              </w:rPr>
            </w:pPr>
            <w:r>
              <w:rPr>
                <w:rFonts w:ascii="Times New Roman"/>
                <w:sz w:val="21"/>
              </w:rPr>
              <w:t>2,516,749</w:t>
            </w:r>
            <w:r>
              <w:rPr>
                <w:sz w:val="21"/>
              </w:rPr>
              <w:t> </w:t>
            </w:r>
          </w:p>
        </w:tc>
      </w:tr>
      <w:tr>
        <w:trPr>
          <w:trHeight w:val="273" w:hRule="atLeast"/>
        </w:trPr>
        <w:tc>
          <w:tcPr>
            <w:tcW w:w="3113" w:type="dxa"/>
          </w:tcPr>
          <w:p>
            <w:pPr>
              <w:pStyle w:val="TableParagraph"/>
              <w:spacing w:line="252" w:lineRule="exact" w:before="1"/>
              <w:ind w:left="112"/>
              <w:rPr>
                <w:sz w:val="21"/>
              </w:rPr>
            </w:pPr>
            <w:r>
              <w:rPr>
                <w:sz w:val="21"/>
              </w:rPr>
              <w:t>合计 </w:t>
            </w:r>
          </w:p>
        </w:tc>
        <w:tc>
          <w:tcPr>
            <w:tcW w:w="2863" w:type="dxa"/>
          </w:tcPr>
          <w:p>
            <w:pPr>
              <w:pStyle w:val="TableParagraph"/>
              <w:spacing w:line="235" w:lineRule="exact"/>
              <w:ind w:right="100"/>
              <w:jc w:val="right"/>
              <w:rPr>
                <w:rFonts w:ascii="Times New Roman"/>
                <w:sz w:val="21"/>
              </w:rPr>
            </w:pPr>
            <w:r>
              <w:rPr>
                <w:rFonts w:ascii="Times New Roman"/>
                <w:sz w:val="21"/>
              </w:rPr>
              <w:t>1,878,878</w:t>
            </w:r>
          </w:p>
        </w:tc>
        <w:tc>
          <w:tcPr>
            <w:tcW w:w="2846" w:type="dxa"/>
          </w:tcPr>
          <w:p>
            <w:pPr>
              <w:pStyle w:val="TableParagraph"/>
              <w:spacing w:line="235" w:lineRule="exact"/>
              <w:ind w:right="94"/>
              <w:jc w:val="right"/>
              <w:rPr>
                <w:rFonts w:ascii="Times New Roman"/>
                <w:sz w:val="21"/>
              </w:rPr>
            </w:pPr>
            <w:r>
              <w:rPr>
                <w:rFonts w:ascii="Times New Roman"/>
                <w:sz w:val="21"/>
              </w:rPr>
              <w:t>2,516,749</w:t>
            </w:r>
          </w:p>
        </w:tc>
      </w:tr>
    </w:tbl>
    <w:p>
      <w:pPr>
        <w:pStyle w:val="BodyText"/>
        <w:spacing w:before="1"/>
      </w:pPr>
      <w:r>
        <w:rPr>
          <w:w w:val="100"/>
        </w:rPr>
        <w:t> </w:t>
      </w:r>
    </w:p>
    <w:p>
      <w:pPr>
        <w:pStyle w:val="BodyText"/>
        <w:spacing w:before="4"/>
      </w:pPr>
      <w:r>
        <w:rPr/>
        <w:t>其他说明： </w:t>
      </w:r>
    </w:p>
    <w:p>
      <w:pPr>
        <w:pStyle w:val="BodyText"/>
        <w:spacing w:before="3"/>
      </w:pPr>
      <w:r>
        <w:rPr>
          <w:spacing w:val="-1"/>
        </w:rPr>
        <w:t>□适用 √不适用</w:t>
      </w:r>
      <w:r>
        <w:rPr>
          <w:spacing w:val="-3"/>
        </w:rPr>
        <w:t> </w:t>
      </w:r>
      <w:r>
        <w:rPr/>
        <w:t> </w:t>
      </w:r>
    </w:p>
    <w:p>
      <w:pPr>
        <w:pStyle w:val="BodyText"/>
        <w:spacing w:before="4"/>
      </w:pPr>
      <w:r>
        <w:rPr>
          <w:w w:val="100"/>
        </w:rPr>
        <w:t> </w:t>
      </w:r>
    </w:p>
    <w:p>
      <w:pPr>
        <w:spacing w:after="0"/>
        <w:sectPr>
          <w:pgSz w:w="11910" w:h="16840"/>
          <w:pgMar w:header="882" w:footer="1172" w:top="1120" w:bottom="1380" w:left="1480" w:right="0"/>
        </w:sectPr>
      </w:pPr>
    </w:p>
    <w:p>
      <w:pPr>
        <w:pStyle w:val="BodyText"/>
        <w:spacing w:before="7"/>
        <w:ind w:left="0"/>
        <w:rPr>
          <w:sz w:val="25"/>
        </w:rPr>
      </w:pPr>
    </w:p>
    <w:p>
      <w:pPr>
        <w:spacing w:after="0"/>
        <w:rPr>
          <w:sz w:val="25"/>
        </w:rPr>
        <w:sectPr>
          <w:pgSz w:w="11910" w:h="16840"/>
          <w:pgMar w:header="882" w:footer="1172" w:top="1120" w:bottom="1380" w:left="1480" w:right="0"/>
        </w:sectPr>
      </w:pPr>
    </w:p>
    <w:p>
      <w:pPr>
        <w:pStyle w:val="BodyText"/>
        <w:spacing w:before="72"/>
      </w:pPr>
      <w:r>
        <w:rPr/>
        <w:t>应收利息 </w:t>
      </w:r>
    </w:p>
    <w:p>
      <w:pPr>
        <w:pStyle w:val="BodyText"/>
        <w:spacing w:before="65"/>
      </w:pPr>
      <w:r>
        <w:rPr/>
        <w:t>(1).应收利息分类 </w:t>
      </w:r>
    </w:p>
    <w:p>
      <w:pPr>
        <w:pStyle w:val="BodyText"/>
        <w:spacing w:line="297" w:lineRule="auto" w:before="62"/>
        <w:ind w:right="1728"/>
      </w:pPr>
      <w:r>
        <w:rPr>
          <w:spacing w:val="-1"/>
        </w:rPr>
        <w:t>□适用 √不适用</w:t>
      </w:r>
      <w:r>
        <w:rPr/>
        <w:t>(2).重要逾期利息 </w:t>
      </w:r>
    </w:p>
    <w:p>
      <w:pPr>
        <w:pStyle w:val="BodyText"/>
        <w:spacing w:line="297" w:lineRule="auto"/>
        <w:ind w:right="1305"/>
      </w:pPr>
      <w:r>
        <w:rPr/>
        <w:t>□适用   √不适用(3).坏账准备计提情况 </w:t>
      </w:r>
    </w:p>
    <w:p>
      <w:pPr>
        <w:pStyle w:val="BodyText"/>
        <w:spacing w:line="267" w:lineRule="exact"/>
      </w:pPr>
      <w:r>
        <w:rPr>
          <w:spacing w:val="-1"/>
        </w:rPr>
        <w:t>□适用 √不适用</w:t>
      </w:r>
      <w:r>
        <w:rPr>
          <w:spacing w:val="-3"/>
        </w:rPr>
        <w:t> </w:t>
      </w:r>
      <w:r>
        <w:rPr/>
        <w:t> </w:t>
      </w:r>
    </w:p>
    <w:p>
      <w:pPr>
        <w:pStyle w:val="BodyText"/>
        <w:spacing w:before="2"/>
      </w:pPr>
      <w:r>
        <w:rPr>
          <w:w w:val="100"/>
        </w:rPr>
        <w:t> </w:t>
      </w:r>
    </w:p>
    <w:p>
      <w:pPr>
        <w:pStyle w:val="BodyText"/>
        <w:spacing w:before="2"/>
      </w:pPr>
      <w:r>
        <w:rPr/>
        <w:t>其他说明： </w:t>
      </w:r>
    </w:p>
    <w:p>
      <w:pPr>
        <w:pStyle w:val="BodyText"/>
        <w:spacing w:before="5"/>
      </w:pPr>
      <w:r>
        <w:rPr>
          <w:spacing w:val="11"/>
        </w:rPr>
        <w:t>□适用 √不适用</w:t>
      </w:r>
      <w:r>
        <w:rPr>
          <w:spacing w:val="-3"/>
        </w:rPr>
        <w:t> </w:t>
      </w:r>
      <w:r>
        <w:rPr/>
        <w:t> </w:t>
      </w:r>
    </w:p>
    <w:p>
      <w:pPr>
        <w:pStyle w:val="BodyText"/>
        <w:spacing w:before="2"/>
      </w:pPr>
      <w:r>
        <w:rPr>
          <w:w w:val="100"/>
        </w:rPr>
        <w:t> </w:t>
      </w:r>
    </w:p>
    <w:p>
      <w:pPr>
        <w:pStyle w:val="ListParagraph"/>
        <w:numPr>
          <w:ilvl w:val="0"/>
          <w:numId w:val="62"/>
        </w:numPr>
        <w:tabs>
          <w:tab w:pos="746" w:val="left" w:leader="none"/>
        </w:tabs>
        <w:spacing w:line="240" w:lineRule="auto" w:before="64" w:after="0"/>
        <w:ind w:left="745" w:right="0" w:hanging="428"/>
        <w:jc w:val="left"/>
        <w:rPr>
          <w:sz w:val="21"/>
        </w:rPr>
      </w:pPr>
      <w:r>
        <w:rPr>
          <w:sz w:val="21"/>
        </w:rPr>
        <w:t>应收股利 </w:t>
      </w:r>
    </w:p>
    <w:p>
      <w:pPr>
        <w:pStyle w:val="BodyText"/>
        <w:spacing w:before="63"/>
      </w:pPr>
      <w:r>
        <w:rPr>
          <w:spacing w:val="-1"/>
        </w:rPr>
        <w:t>□适用 √不适用</w:t>
      </w:r>
      <w:r>
        <w:rPr>
          <w:spacing w:val="-3"/>
        </w:rPr>
        <w:t> </w:t>
      </w:r>
      <w:r>
        <w:rPr/>
        <w:t> </w:t>
      </w:r>
    </w:p>
    <w:p>
      <w:pPr>
        <w:pStyle w:val="ListParagraph"/>
        <w:numPr>
          <w:ilvl w:val="0"/>
          <w:numId w:val="62"/>
        </w:numPr>
        <w:tabs>
          <w:tab w:pos="746" w:val="left" w:leader="none"/>
        </w:tabs>
        <w:spacing w:line="240" w:lineRule="auto" w:before="65" w:after="0"/>
        <w:ind w:left="745" w:right="0" w:hanging="428"/>
        <w:jc w:val="left"/>
        <w:rPr>
          <w:sz w:val="21"/>
        </w:rPr>
      </w:pPr>
      <w:r>
        <w:rPr>
          <w:spacing w:val="-6"/>
          <w:sz w:val="21"/>
        </w:rPr>
        <w:t>重要的账龄超过 </w:t>
      </w:r>
      <w:r>
        <w:rPr>
          <w:sz w:val="21"/>
        </w:rPr>
        <w:t>1</w:t>
      </w:r>
      <w:r>
        <w:rPr>
          <w:spacing w:val="-8"/>
          <w:sz w:val="21"/>
        </w:rPr>
        <w:t> 年的应收股利</w:t>
      </w:r>
      <w:r>
        <w:rPr>
          <w:sz w:val="21"/>
        </w:rPr>
        <w:t> </w:t>
      </w:r>
    </w:p>
    <w:p>
      <w:pPr>
        <w:pStyle w:val="BodyText"/>
        <w:spacing w:line="297" w:lineRule="auto" w:before="62"/>
        <w:ind w:right="1305"/>
      </w:pPr>
      <w:r>
        <w:rPr/>
        <w:t>□适用   √不适用(6).坏账准备计提情况 </w:t>
      </w:r>
    </w:p>
    <w:p>
      <w:pPr>
        <w:pStyle w:val="BodyText"/>
        <w:spacing w:line="267" w:lineRule="exact"/>
      </w:pPr>
      <w:r>
        <w:rPr>
          <w:spacing w:val="-1"/>
        </w:rPr>
        <w:t>□适用 √不适用</w:t>
      </w:r>
      <w:r>
        <w:rPr>
          <w:spacing w:val="-3"/>
        </w:rPr>
        <w:t> </w:t>
      </w:r>
      <w:r>
        <w:rPr/>
        <w:t> </w:t>
      </w:r>
    </w:p>
    <w:p>
      <w:pPr>
        <w:pStyle w:val="BodyText"/>
        <w:spacing w:before="4"/>
      </w:pPr>
      <w:r>
        <w:rPr>
          <w:w w:val="100"/>
        </w:rPr>
        <w:t> </w:t>
      </w:r>
    </w:p>
    <w:p>
      <w:pPr>
        <w:pStyle w:val="BodyText"/>
        <w:spacing w:before="3"/>
      </w:pPr>
      <w:r>
        <w:rPr/>
        <w:t>其他说明： </w:t>
      </w:r>
    </w:p>
    <w:p>
      <w:pPr>
        <w:pStyle w:val="BodyText"/>
        <w:spacing w:before="2"/>
      </w:pPr>
      <w:r>
        <w:rPr>
          <w:spacing w:val="-1"/>
        </w:rPr>
        <w:t>□适用 √不适用</w:t>
      </w:r>
      <w:r>
        <w:rPr>
          <w:spacing w:val="-3"/>
        </w:rPr>
        <w:t> </w:t>
      </w:r>
      <w:r>
        <w:rPr/>
        <w:t> </w:t>
      </w:r>
    </w:p>
    <w:p>
      <w:pPr>
        <w:pStyle w:val="BodyText"/>
        <w:spacing w:before="4"/>
      </w:pPr>
      <w:r>
        <w:rPr>
          <w:color w:val="FF0000"/>
          <w:w w:val="100"/>
        </w:rPr>
        <w:t> </w:t>
      </w:r>
    </w:p>
    <w:p>
      <w:pPr>
        <w:pStyle w:val="BodyText"/>
        <w:spacing w:line="297" w:lineRule="auto" w:before="62"/>
        <w:ind w:right="1939"/>
      </w:pPr>
      <w:r>
        <w:rPr/>
        <w:t>其他应收款</w:t>
      </w:r>
      <w:r>
        <w:rPr>
          <w:spacing w:val="15"/>
        </w:rPr>
        <w:t> </w:t>
      </w:r>
      <w:r>
        <w:rPr/>
        <w:t>(7).按账龄披露 </w:t>
      </w:r>
    </w:p>
    <w:p>
      <w:pPr>
        <w:pStyle w:val="BodyText"/>
        <w:spacing w:line="267" w:lineRule="exact"/>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3"/>
        <w:ind w:left="0"/>
        <w:rPr>
          <w:sz w:val="26"/>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3846" w:space="2464"/>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72"/>
        <w:gridCol w:w="4352"/>
      </w:tblGrid>
      <w:tr>
        <w:trPr>
          <w:trHeight w:val="273" w:hRule="atLeast"/>
        </w:trPr>
        <w:tc>
          <w:tcPr>
            <w:tcW w:w="4472" w:type="dxa"/>
          </w:tcPr>
          <w:p>
            <w:pPr>
              <w:pStyle w:val="TableParagraph"/>
              <w:spacing w:line="252" w:lineRule="exact" w:before="1"/>
              <w:ind w:right="1910"/>
              <w:jc w:val="right"/>
              <w:rPr>
                <w:sz w:val="21"/>
              </w:rPr>
            </w:pPr>
            <w:r>
              <w:rPr>
                <w:sz w:val="21"/>
              </w:rPr>
              <w:t>账龄 </w:t>
            </w:r>
          </w:p>
        </w:tc>
        <w:tc>
          <w:tcPr>
            <w:tcW w:w="4352" w:type="dxa"/>
          </w:tcPr>
          <w:p>
            <w:pPr>
              <w:pStyle w:val="TableParagraph"/>
              <w:spacing w:line="252" w:lineRule="exact" w:before="1"/>
              <w:ind w:left="1543"/>
              <w:rPr>
                <w:sz w:val="21"/>
              </w:rPr>
            </w:pPr>
            <w:r>
              <w:rPr>
                <w:spacing w:val="-1"/>
                <w:sz w:val="21"/>
              </w:rPr>
              <w:t>期末账面余额</w:t>
            </w:r>
            <w:r>
              <w:rPr>
                <w:sz w:val="21"/>
              </w:rPr>
              <w:t> </w:t>
            </w:r>
          </w:p>
        </w:tc>
      </w:tr>
      <w:tr>
        <w:trPr>
          <w:trHeight w:val="273" w:hRule="atLeast"/>
        </w:trPr>
        <w:tc>
          <w:tcPr>
            <w:tcW w:w="8824" w:type="dxa"/>
            <w:gridSpan w:val="2"/>
          </w:tcPr>
          <w:p>
            <w:pPr>
              <w:pStyle w:val="TableParagraph"/>
              <w:spacing w:line="252" w:lineRule="exact" w:before="1"/>
              <w:ind w:left="112"/>
              <w:rPr>
                <w:sz w:val="21"/>
              </w:rPr>
            </w:pPr>
            <w:r>
              <w:rPr>
                <w:spacing w:val="-1"/>
                <w:sz w:val="21"/>
              </w:rPr>
              <w:t>1</w:t>
            </w:r>
            <w:r>
              <w:rPr>
                <w:spacing w:val="-14"/>
                <w:sz w:val="21"/>
              </w:rPr>
              <w:t> 年以内</w:t>
            </w:r>
            <w:r>
              <w:rPr>
                <w:color w:val="FF0000"/>
                <w:sz w:val="21"/>
              </w:rPr>
              <w:t> </w:t>
            </w:r>
          </w:p>
        </w:tc>
      </w:tr>
      <w:tr>
        <w:trPr>
          <w:trHeight w:val="270" w:hRule="atLeast"/>
        </w:trPr>
        <w:tc>
          <w:tcPr>
            <w:tcW w:w="8824" w:type="dxa"/>
            <w:gridSpan w:val="2"/>
          </w:tcPr>
          <w:p>
            <w:pPr>
              <w:pStyle w:val="TableParagraph"/>
              <w:spacing w:line="250" w:lineRule="exact" w:before="1"/>
              <w:ind w:left="112"/>
              <w:rPr>
                <w:sz w:val="21"/>
              </w:rPr>
            </w:pPr>
            <w:r>
              <w:rPr>
                <w:spacing w:val="-1"/>
                <w:sz w:val="21"/>
              </w:rPr>
              <w:t>其中：</w:t>
            </w:r>
            <w:r>
              <w:rPr>
                <w:sz w:val="21"/>
              </w:rPr>
              <w:t>1</w:t>
            </w:r>
            <w:r>
              <w:rPr>
                <w:spacing w:val="-10"/>
                <w:sz w:val="21"/>
              </w:rPr>
              <w:t> 年以内分项</w:t>
            </w:r>
            <w:r>
              <w:rPr>
                <w:sz w:val="21"/>
              </w:rPr>
              <w:t> </w:t>
            </w:r>
          </w:p>
        </w:tc>
      </w:tr>
      <w:tr>
        <w:trPr>
          <w:trHeight w:val="273" w:hRule="atLeast"/>
        </w:trPr>
        <w:tc>
          <w:tcPr>
            <w:tcW w:w="4472" w:type="dxa"/>
          </w:tcPr>
          <w:p>
            <w:pPr>
              <w:pStyle w:val="TableParagraph"/>
              <w:spacing w:line="252" w:lineRule="exact" w:before="1"/>
              <w:ind w:left="112"/>
              <w:rPr>
                <w:sz w:val="21"/>
              </w:rPr>
            </w:pPr>
            <w:r>
              <w:rPr>
                <w:spacing w:val="-1"/>
                <w:sz w:val="21"/>
              </w:rPr>
              <w:t>1</w:t>
            </w:r>
            <w:r>
              <w:rPr>
                <w:spacing w:val="-14"/>
                <w:sz w:val="21"/>
              </w:rPr>
              <w:t> 年以内</w:t>
            </w:r>
            <w:r>
              <w:rPr>
                <w:sz w:val="21"/>
              </w:rPr>
              <w:t> </w:t>
            </w:r>
          </w:p>
        </w:tc>
        <w:tc>
          <w:tcPr>
            <w:tcW w:w="4352" w:type="dxa"/>
          </w:tcPr>
          <w:p>
            <w:pPr>
              <w:pStyle w:val="TableParagraph"/>
              <w:spacing w:line="235" w:lineRule="exact"/>
              <w:ind w:right="98"/>
              <w:jc w:val="right"/>
              <w:rPr>
                <w:rFonts w:ascii="Times New Roman"/>
                <w:sz w:val="21"/>
              </w:rPr>
            </w:pPr>
            <w:r>
              <w:rPr>
                <w:rFonts w:ascii="Times New Roman"/>
                <w:sz w:val="21"/>
              </w:rPr>
              <w:t>1,586,646</w:t>
            </w:r>
          </w:p>
        </w:tc>
      </w:tr>
      <w:tr>
        <w:trPr>
          <w:trHeight w:val="273" w:hRule="atLeast"/>
        </w:trPr>
        <w:tc>
          <w:tcPr>
            <w:tcW w:w="4472" w:type="dxa"/>
          </w:tcPr>
          <w:p>
            <w:pPr>
              <w:pStyle w:val="TableParagraph"/>
              <w:spacing w:line="252" w:lineRule="exact" w:before="1"/>
              <w:ind w:left="112"/>
              <w:rPr>
                <w:sz w:val="21"/>
              </w:rPr>
            </w:pPr>
            <w:r>
              <w:rPr>
                <w:w w:val="100"/>
                <w:sz w:val="21"/>
              </w:rPr>
              <w:t> </w:t>
            </w:r>
          </w:p>
        </w:tc>
        <w:tc>
          <w:tcPr>
            <w:tcW w:w="4352" w:type="dxa"/>
          </w:tcPr>
          <w:p>
            <w:pPr>
              <w:pStyle w:val="TableParagraph"/>
              <w:rPr>
                <w:rFonts w:ascii="Times New Roman"/>
                <w:sz w:val="20"/>
              </w:rPr>
            </w:pPr>
          </w:p>
        </w:tc>
      </w:tr>
      <w:tr>
        <w:trPr>
          <w:trHeight w:val="270" w:hRule="atLeast"/>
        </w:trPr>
        <w:tc>
          <w:tcPr>
            <w:tcW w:w="4472" w:type="dxa"/>
          </w:tcPr>
          <w:p>
            <w:pPr>
              <w:pStyle w:val="TableParagraph"/>
              <w:spacing w:line="250" w:lineRule="exact" w:before="1"/>
              <w:ind w:left="112"/>
              <w:rPr>
                <w:sz w:val="21"/>
              </w:rPr>
            </w:pPr>
            <w:r>
              <w:rPr>
                <w:spacing w:val="-1"/>
                <w:sz w:val="21"/>
              </w:rPr>
              <w:t>1</w:t>
            </w:r>
            <w:r>
              <w:rPr>
                <w:spacing w:val="-10"/>
                <w:sz w:val="21"/>
              </w:rPr>
              <w:t> 年以内小计</w:t>
            </w:r>
            <w:r>
              <w:rPr>
                <w:sz w:val="21"/>
              </w:rPr>
              <w:t> </w:t>
            </w:r>
          </w:p>
        </w:tc>
        <w:tc>
          <w:tcPr>
            <w:tcW w:w="4352" w:type="dxa"/>
          </w:tcPr>
          <w:p>
            <w:pPr>
              <w:pStyle w:val="TableParagraph"/>
              <w:spacing w:line="235" w:lineRule="exact"/>
              <w:ind w:right="98"/>
              <w:jc w:val="right"/>
              <w:rPr>
                <w:rFonts w:ascii="Times New Roman"/>
                <w:sz w:val="21"/>
              </w:rPr>
            </w:pPr>
            <w:r>
              <w:rPr>
                <w:rFonts w:ascii="Times New Roman"/>
                <w:sz w:val="21"/>
              </w:rPr>
              <w:t>1,586,646</w:t>
            </w:r>
          </w:p>
        </w:tc>
      </w:tr>
      <w:tr>
        <w:trPr>
          <w:trHeight w:val="273" w:hRule="atLeast"/>
        </w:trPr>
        <w:tc>
          <w:tcPr>
            <w:tcW w:w="4472" w:type="dxa"/>
          </w:tcPr>
          <w:p>
            <w:pPr>
              <w:pStyle w:val="TableParagraph"/>
              <w:spacing w:line="252" w:lineRule="exact" w:before="1"/>
              <w:ind w:left="112"/>
              <w:rPr>
                <w:sz w:val="21"/>
              </w:rPr>
            </w:pPr>
            <w:r>
              <w:rPr>
                <w:sz w:val="21"/>
              </w:rPr>
              <w:t>1</w:t>
            </w:r>
            <w:r>
              <w:rPr>
                <w:spacing w:val="-36"/>
                <w:sz w:val="21"/>
              </w:rPr>
              <w:t> 至 </w:t>
            </w:r>
            <w:r>
              <w:rPr>
                <w:sz w:val="21"/>
              </w:rPr>
              <w:t>2</w:t>
            </w:r>
            <w:r>
              <w:rPr>
                <w:spacing w:val="-28"/>
                <w:sz w:val="21"/>
              </w:rPr>
              <w:t> 年</w:t>
            </w:r>
            <w:r>
              <w:rPr>
                <w:sz w:val="21"/>
              </w:rPr>
              <w:t> </w:t>
            </w:r>
          </w:p>
        </w:tc>
        <w:tc>
          <w:tcPr>
            <w:tcW w:w="4352" w:type="dxa"/>
          </w:tcPr>
          <w:p>
            <w:pPr>
              <w:pStyle w:val="TableParagraph"/>
              <w:spacing w:line="235" w:lineRule="exact"/>
              <w:ind w:right="98"/>
              <w:jc w:val="right"/>
              <w:rPr>
                <w:rFonts w:ascii="Times New Roman"/>
                <w:sz w:val="21"/>
              </w:rPr>
            </w:pPr>
            <w:r>
              <w:rPr>
                <w:rFonts w:ascii="Times New Roman"/>
                <w:sz w:val="21"/>
              </w:rPr>
              <w:t>307,270</w:t>
            </w:r>
          </w:p>
        </w:tc>
      </w:tr>
      <w:tr>
        <w:trPr>
          <w:trHeight w:val="270" w:hRule="atLeast"/>
        </w:trPr>
        <w:tc>
          <w:tcPr>
            <w:tcW w:w="4472" w:type="dxa"/>
          </w:tcPr>
          <w:p>
            <w:pPr>
              <w:pStyle w:val="TableParagraph"/>
              <w:spacing w:line="250" w:lineRule="exact" w:before="1"/>
              <w:ind w:left="112"/>
              <w:rPr>
                <w:sz w:val="21"/>
              </w:rPr>
            </w:pPr>
            <w:r>
              <w:rPr>
                <w:sz w:val="21"/>
              </w:rPr>
              <w:t>2</w:t>
            </w:r>
            <w:r>
              <w:rPr>
                <w:spacing w:val="-36"/>
                <w:sz w:val="21"/>
              </w:rPr>
              <w:t> 至 </w:t>
            </w:r>
            <w:r>
              <w:rPr>
                <w:sz w:val="21"/>
              </w:rPr>
              <w:t>3</w:t>
            </w:r>
            <w:r>
              <w:rPr>
                <w:spacing w:val="-28"/>
                <w:sz w:val="21"/>
              </w:rPr>
              <w:t> 年</w:t>
            </w:r>
            <w:r>
              <w:rPr>
                <w:sz w:val="21"/>
              </w:rPr>
              <w:t> </w:t>
            </w:r>
          </w:p>
        </w:tc>
        <w:tc>
          <w:tcPr>
            <w:tcW w:w="4352" w:type="dxa"/>
          </w:tcPr>
          <w:p>
            <w:pPr>
              <w:pStyle w:val="TableParagraph"/>
              <w:spacing w:line="235" w:lineRule="exact"/>
              <w:ind w:right="98"/>
              <w:jc w:val="right"/>
              <w:rPr>
                <w:rFonts w:ascii="Times New Roman"/>
                <w:sz w:val="21"/>
              </w:rPr>
            </w:pPr>
            <w:r>
              <w:rPr>
                <w:rFonts w:ascii="Times New Roman"/>
                <w:sz w:val="21"/>
              </w:rPr>
              <w:t>950</w:t>
            </w:r>
          </w:p>
        </w:tc>
      </w:tr>
      <w:tr>
        <w:trPr>
          <w:trHeight w:val="273" w:hRule="atLeast"/>
        </w:trPr>
        <w:tc>
          <w:tcPr>
            <w:tcW w:w="4472" w:type="dxa"/>
          </w:tcPr>
          <w:p>
            <w:pPr>
              <w:pStyle w:val="TableParagraph"/>
              <w:spacing w:line="250" w:lineRule="exact" w:before="3"/>
              <w:ind w:left="112"/>
              <w:rPr>
                <w:sz w:val="21"/>
              </w:rPr>
            </w:pPr>
            <w:r>
              <w:rPr>
                <w:spacing w:val="-1"/>
                <w:sz w:val="21"/>
              </w:rPr>
              <w:t>3</w:t>
            </w:r>
            <w:r>
              <w:rPr>
                <w:spacing w:val="-14"/>
                <w:sz w:val="21"/>
              </w:rPr>
              <w:t> 年以上</w:t>
            </w:r>
            <w:r>
              <w:rPr>
                <w:sz w:val="21"/>
              </w:rPr>
              <w:t> </w:t>
            </w:r>
          </w:p>
        </w:tc>
        <w:tc>
          <w:tcPr>
            <w:tcW w:w="4352" w:type="dxa"/>
          </w:tcPr>
          <w:p>
            <w:pPr>
              <w:pStyle w:val="TableParagraph"/>
              <w:spacing w:line="237" w:lineRule="exact"/>
              <w:ind w:right="98"/>
              <w:jc w:val="right"/>
              <w:rPr>
                <w:rFonts w:ascii="Times New Roman"/>
                <w:sz w:val="21"/>
              </w:rPr>
            </w:pPr>
            <w:r>
              <w:rPr>
                <w:rFonts w:ascii="Times New Roman"/>
                <w:sz w:val="21"/>
              </w:rPr>
              <w:t>41,396</w:t>
            </w:r>
          </w:p>
        </w:tc>
      </w:tr>
      <w:tr>
        <w:trPr>
          <w:trHeight w:val="273" w:hRule="atLeast"/>
        </w:trPr>
        <w:tc>
          <w:tcPr>
            <w:tcW w:w="4472" w:type="dxa"/>
          </w:tcPr>
          <w:p>
            <w:pPr>
              <w:pStyle w:val="TableParagraph"/>
              <w:spacing w:line="252" w:lineRule="exact" w:before="1"/>
              <w:ind w:left="112"/>
              <w:rPr>
                <w:sz w:val="21"/>
              </w:rPr>
            </w:pPr>
            <w:r>
              <w:rPr>
                <w:w w:val="100"/>
                <w:sz w:val="21"/>
              </w:rPr>
              <w:t> </w:t>
            </w:r>
          </w:p>
        </w:tc>
        <w:tc>
          <w:tcPr>
            <w:tcW w:w="4352" w:type="dxa"/>
          </w:tcPr>
          <w:p>
            <w:pPr>
              <w:pStyle w:val="TableParagraph"/>
              <w:rPr>
                <w:rFonts w:ascii="Times New Roman"/>
                <w:sz w:val="20"/>
              </w:rPr>
            </w:pPr>
          </w:p>
        </w:tc>
      </w:tr>
      <w:tr>
        <w:trPr>
          <w:trHeight w:val="273" w:hRule="atLeast"/>
        </w:trPr>
        <w:tc>
          <w:tcPr>
            <w:tcW w:w="4472" w:type="dxa"/>
          </w:tcPr>
          <w:p>
            <w:pPr>
              <w:pStyle w:val="TableParagraph"/>
              <w:spacing w:line="252" w:lineRule="exact" w:before="1"/>
              <w:ind w:right="1910"/>
              <w:jc w:val="right"/>
              <w:rPr>
                <w:sz w:val="21"/>
              </w:rPr>
            </w:pPr>
            <w:r>
              <w:rPr>
                <w:sz w:val="21"/>
              </w:rPr>
              <w:t>合计 </w:t>
            </w:r>
          </w:p>
        </w:tc>
        <w:tc>
          <w:tcPr>
            <w:tcW w:w="4352" w:type="dxa"/>
          </w:tcPr>
          <w:p>
            <w:pPr>
              <w:pStyle w:val="TableParagraph"/>
              <w:spacing w:line="235" w:lineRule="exact"/>
              <w:ind w:right="98"/>
              <w:jc w:val="right"/>
              <w:rPr>
                <w:rFonts w:ascii="Times New Roman"/>
                <w:sz w:val="21"/>
              </w:rPr>
            </w:pPr>
            <w:r>
              <w:rPr>
                <w:rFonts w:ascii="Times New Roman"/>
                <w:sz w:val="21"/>
              </w:rPr>
              <w:t>1,936,262</w:t>
            </w:r>
          </w:p>
        </w:tc>
      </w:tr>
    </w:tbl>
    <w:p>
      <w:pPr>
        <w:spacing w:after="0" w:line="235" w:lineRule="exact"/>
        <w:jc w:val="right"/>
        <w:rPr>
          <w:rFonts w:ascii="Times New Roman"/>
          <w:sz w:val="21"/>
        </w:rPr>
        <w:sectPr>
          <w:type w:val="continuous"/>
          <w:pgSz w:w="11910" w:h="16840"/>
          <w:pgMar w:top="780" w:bottom="280" w:left="1480" w:right="0"/>
        </w:sectPr>
      </w:pPr>
    </w:p>
    <w:p>
      <w:pPr>
        <w:pStyle w:val="BodyText"/>
        <w:spacing w:before="1"/>
      </w:pPr>
      <w:r>
        <w:rPr>
          <w:w w:val="100"/>
        </w:rPr>
        <w:t> </w:t>
      </w:r>
    </w:p>
    <w:p>
      <w:pPr>
        <w:pStyle w:val="BodyText"/>
        <w:spacing w:before="3"/>
      </w:pPr>
      <w:r>
        <w:rPr>
          <w:w w:val="100"/>
        </w:rPr>
        <w:t> </w:t>
      </w:r>
    </w:p>
    <w:p>
      <w:pPr>
        <w:pStyle w:val="BodyText"/>
        <w:spacing w:before="4"/>
      </w:pPr>
      <w:r>
        <w:rPr>
          <w:w w:val="100"/>
        </w:rPr>
        <w:t> </w:t>
      </w:r>
    </w:p>
    <w:p>
      <w:pPr>
        <w:pStyle w:val="ListParagraph"/>
        <w:numPr>
          <w:ilvl w:val="0"/>
          <w:numId w:val="63"/>
        </w:numPr>
        <w:tabs>
          <w:tab w:pos="746" w:val="left" w:leader="none"/>
        </w:tabs>
        <w:spacing w:line="240" w:lineRule="auto" w:before="62" w:after="0"/>
        <w:ind w:left="745" w:right="0" w:hanging="428"/>
        <w:jc w:val="left"/>
        <w:rPr>
          <w:sz w:val="21"/>
        </w:rPr>
      </w:pPr>
      <w:r>
        <w:rPr>
          <w:sz w:val="21"/>
        </w:rPr>
        <w:t>按款项性质分类情况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9"/>
        <w:ind w:left="0"/>
        <w:rPr>
          <w:sz w:val="15"/>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2790" w:space="3302"/>
            <w:col w:w="4338"/>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1"/>
        <w:gridCol w:w="2907"/>
        <w:gridCol w:w="2917"/>
      </w:tblGrid>
      <w:tr>
        <w:trPr>
          <w:trHeight w:val="273" w:hRule="atLeast"/>
        </w:trPr>
        <w:tc>
          <w:tcPr>
            <w:tcW w:w="3001" w:type="dxa"/>
          </w:tcPr>
          <w:p>
            <w:pPr>
              <w:pStyle w:val="TableParagraph"/>
              <w:spacing w:line="250" w:lineRule="exact" w:before="3"/>
              <w:ind w:left="1079"/>
              <w:rPr>
                <w:sz w:val="21"/>
              </w:rPr>
            </w:pPr>
            <w:r>
              <w:rPr>
                <w:spacing w:val="-1"/>
                <w:sz w:val="21"/>
              </w:rPr>
              <w:t>款项性质</w:t>
            </w:r>
            <w:r>
              <w:rPr>
                <w:sz w:val="21"/>
              </w:rPr>
              <w:t> </w:t>
            </w:r>
          </w:p>
        </w:tc>
        <w:tc>
          <w:tcPr>
            <w:tcW w:w="2907" w:type="dxa"/>
          </w:tcPr>
          <w:p>
            <w:pPr>
              <w:pStyle w:val="TableParagraph"/>
              <w:spacing w:line="250" w:lineRule="exact" w:before="3"/>
              <w:ind w:left="822"/>
              <w:rPr>
                <w:sz w:val="21"/>
              </w:rPr>
            </w:pPr>
            <w:r>
              <w:rPr>
                <w:spacing w:val="-1"/>
                <w:sz w:val="21"/>
              </w:rPr>
              <w:t>期末账面余额</w:t>
            </w:r>
            <w:r>
              <w:rPr>
                <w:sz w:val="21"/>
              </w:rPr>
              <w:t> </w:t>
            </w:r>
          </w:p>
        </w:tc>
        <w:tc>
          <w:tcPr>
            <w:tcW w:w="2917" w:type="dxa"/>
          </w:tcPr>
          <w:p>
            <w:pPr>
              <w:pStyle w:val="TableParagraph"/>
              <w:spacing w:line="250" w:lineRule="exact" w:before="3"/>
              <w:ind w:left="827"/>
              <w:rPr>
                <w:sz w:val="21"/>
              </w:rPr>
            </w:pPr>
            <w:r>
              <w:rPr>
                <w:spacing w:val="-1"/>
                <w:sz w:val="21"/>
              </w:rPr>
              <w:t>期初账面余额</w:t>
            </w:r>
            <w:r>
              <w:rPr>
                <w:sz w:val="21"/>
              </w:rPr>
              <w:t> </w:t>
            </w:r>
          </w:p>
        </w:tc>
      </w:tr>
      <w:tr>
        <w:trPr>
          <w:trHeight w:val="273" w:hRule="atLeast"/>
        </w:trPr>
        <w:tc>
          <w:tcPr>
            <w:tcW w:w="3001" w:type="dxa"/>
          </w:tcPr>
          <w:p>
            <w:pPr>
              <w:pStyle w:val="TableParagraph"/>
              <w:spacing w:line="252" w:lineRule="exact" w:before="1"/>
              <w:ind w:left="107"/>
              <w:rPr>
                <w:sz w:val="21"/>
              </w:rPr>
            </w:pPr>
            <w:r>
              <w:rPr>
                <w:spacing w:val="-1"/>
                <w:sz w:val="21"/>
              </w:rPr>
              <w:t>应收政府补助</w:t>
            </w:r>
            <w:r>
              <w:rPr>
                <w:sz w:val="21"/>
              </w:rPr>
              <w:t> </w:t>
            </w:r>
          </w:p>
        </w:tc>
        <w:tc>
          <w:tcPr>
            <w:tcW w:w="2907" w:type="dxa"/>
          </w:tcPr>
          <w:p>
            <w:pPr>
              <w:pStyle w:val="TableParagraph"/>
              <w:spacing w:line="235" w:lineRule="exact"/>
              <w:ind w:right="94"/>
              <w:jc w:val="right"/>
              <w:rPr>
                <w:rFonts w:ascii="Times New Roman"/>
                <w:sz w:val="21"/>
              </w:rPr>
            </w:pPr>
            <w:r>
              <w:rPr>
                <w:rFonts w:ascii="Times New Roman"/>
                <w:sz w:val="21"/>
              </w:rPr>
              <w:t>910,540</w:t>
            </w:r>
          </w:p>
        </w:tc>
        <w:tc>
          <w:tcPr>
            <w:tcW w:w="2917" w:type="dxa"/>
          </w:tcPr>
          <w:p>
            <w:pPr>
              <w:pStyle w:val="TableParagraph"/>
              <w:spacing w:line="235" w:lineRule="exact"/>
              <w:ind w:right="96"/>
              <w:jc w:val="right"/>
              <w:rPr>
                <w:rFonts w:ascii="Times New Roman"/>
                <w:sz w:val="21"/>
              </w:rPr>
            </w:pPr>
            <w:r>
              <w:rPr>
                <w:rFonts w:ascii="Times New Roman"/>
                <w:w w:val="100"/>
                <w:sz w:val="21"/>
              </w:rPr>
              <w:t>-</w:t>
            </w:r>
          </w:p>
        </w:tc>
      </w:tr>
      <w:tr>
        <w:trPr>
          <w:trHeight w:val="270" w:hRule="atLeast"/>
        </w:trPr>
        <w:tc>
          <w:tcPr>
            <w:tcW w:w="3001" w:type="dxa"/>
          </w:tcPr>
          <w:p>
            <w:pPr>
              <w:pStyle w:val="TableParagraph"/>
              <w:spacing w:line="250" w:lineRule="exact" w:before="1"/>
              <w:ind w:left="107"/>
              <w:rPr>
                <w:sz w:val="21"/>
              </w:rPr>
            </w:pPr>
            <w:r>
              <w:rPr>
                <w:sz w:val="21"/>
              </w:rPr>
              <w:t>应收保证金 </w:t>
            </w:r>
          </w:p>
        </w:tc>
        <w:tc>
          <w:tcPr>
            <w:tcW w:w="2907" w:type="dxa"/>
          </w:tcPr>
          <w:p>
            <w:pPr>
              <w:pStyle w:val="TableParagraph"/>
              <w:spacing w:line="235" w:lineRule="exact"/>
              <w:ind w:right="94"/>
              <w:jc w:val="right"/>
              <w:rPr>
                <w:rFonts w:ascii="Times New Roman"/>
                <w:sz w:val="21"/>
              </w:rPr>
            </w:pPr>
            <w:r>
              <w:rPr>
                <w:rFonts w:ascii="Times New Roman"/>
                <w:sz w:val="21"/>
              </w:rPr>
              <w:t>336,538</w:t>
            </w:r>
          </w:p>
        </w:tc>
        <w:tc>
          <w:tcPr>
            <w:tcW w:w="2917" w:type="dxa"/>
          </w:tcPr>
          <w:p>
            <w:pPr>
              <w:pStyle w:val="TableParagraph"/>
              <w:spacing w:line="235" w:lineRule="exact"/>
              <w:ind w:right="94"/>
              <w:jc w:val="right"/>
              <w:rPr>
                <w:rFonts w:ascii="Times New Roman"/>
                <w:sz w:val="21"/>
              </w:rPr>
            </w:pPr>
            <w:r>
              <w:rPr>
                <w:rFonts w:ascii="Times New Roman"/>
                <w:sz w:val="21"/>
              </w:rPr>
              <w:t>1,943,698</w:t>
            </w:r>
          </w:p>
        </w:tc>
      </w:tr>
      <w:tr>
        <w:trPr>
          <w:trHeight w:val="273" w:hRule="atLeast"/>
        </w:trPr>
        <w:tc>
          <w:tcPr>
            <w:tcW w:w="3001" w:type="dxa"/>
          </w:tcPr>
          <w:p>
            <w:pPr>
              <w:pStyle w:val="TableParagraph"/>
              <w:spacing w:line="250" w:lineRule="exact" w:before="3"/>
              <w:ind w:left="107"/>
              <w:rPr>
                <w:sz w:val="21"/>
              </w:rPr>
            </w:pPr>
            <w:r>
              <w:rPr>
                <w:spacing w:val="-1"/>
                <w:sz w:val="21"/>
              </w:rPr>
              <w:t>应收租金返还</w:t>
            </w:r>
            <w:r>
              <w:rPr>
                <w:sz w:val="21"/>
              </w:rPr>
              <w:t> </w:t>
            </w:r>
          </w:p>
        </w:tc>
        <w:tc>
          <w:tcPr>
            <w:tcW w:w="2907" w:type="dxa"/>
          </w:tcPr>
          <w:p>
            <w:pPr>
              <w:pStyle w:val="TableParagraph"/>
              <w:spacing w:line="237" w:lineRule="exact"/>
              <w:ind w:right="94"/>
              <w:jc w:val="right"/>
              <w:rPr>
                <w:rFonts w:ascii="Times New Roman"/>
                <w:sz w:val="21"/>
              </w:rPr>
            </w:pPr>
            <w:r>
              <w:rPr>
                <w:rFonts w:ascii="Times New Roman"/>
                <w:sz w:val="21"/>
              </w:rPr>
              <w:t>134,993</w:t>
            </w:r>
          </w:p>
        </w:tc>
        <w:tc>
          <w:tcPr>
            <w:tcW w:w="2917" w:type="dxa"/>
          </w:tcPr>
          <w:p>
            <w:pPr>
              <w:pStyle w:val="TableParagraph"/>
              <w:spacing w:line="237" w:lineRule="exact"/>
              <w:ind w:right="94"/>
              <w:jc w:val="right"/>
              <w:rPr>
                <w:rFonts w:ascii="Times New Roman"/>
                <w:sz w:val="21"/>
              </w:rPr>
            </w:pPr>
            <w:r>
              <w:rPr>
                <w:rFonts w:ascii="Times New Roman"/>
                <w:sz w:val="21"/>
              </w:rPr>
              <w:t>244,070</w:t>
            </w:r>
          </w:p>
        </w:tc>
      </w:tr>
    </w:tbl>
    <w:p>
      <w:pPr>
        <w:spacing w:after="0" w:line="237" w:lineRule="exact"/>
        <w:jc w:val="right"/>
        <w:rPr>
          <w:rFonts w:ascii="Times New Roman"/>
          <w:sz w:val="21"/>
        </w:rPr>
        <w:sectPr>
          <w:type w:val="continuous"/>
          <w:pgSz w:w="11910" w:h="16840"/>
          <w:pgMar w:top="780" w:bottom="2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1"/>
        <w:gridCol w:w="2907"/>
        <w:gridCol w:w="2917"/>
      </w:tblGrid>
      <w:tr>
        <w:trPr>
          <w:trHeight w:val="273" w:hRule="atLeast"/>
        </w:trPr>
        <w:tc>
          <w:tcPr>
            <w:tcW w:w="3001" w:type="dxa"/>
          </w:tcPr>
          <w:p>
            <w:pPr>
              <w:pStyle w:val="TableParagraph"/>
              <w:spacing w:line="250" w:lineRule="exact" w:before="3"/>
              <w:ind w:left="107"/>
              <w:rPr>
                <w:sz w:val="21"/>
              </w:rPr>
            </w:pPr>
            <w:r>
              <w:rPr>
                <w:sz w:val="21"/>
              </w:rPr>
              <w:t>应收代付款 </w:t>
            </w:r>
          </w:p>
        </w:tc>
        <w:tc>
          <w:tcPr>
            <w:tcW w:w="2907" w:type="dxa"/>
          </w:tcPr>
          <w:p>
            <w:pPr>
              <w:pStyle w:val="TableParagraph"/>
              <w:spacing w:line="237" w:lineRule="exact"/>
              <w:ind w:right="94"/>
              <w:jc w:val="right"/>
              <w:rPr>
                <w:rFonts w:ascii="Times New Roman"/>
                <w:sz w:val="21"/>
              </w:rPr>
            </w:pPr>
            <w:r>
              <w:rPr>
                <w:rFonts w:ascii="Times New Roman"/>
                <w:sz w:val="21"/>
              </w:rPr>
              <w:t>96,632</w:t>
            </w:r>
          </w:p>
        </w:tc>
        <w:tc>
          <w:tcPr>
            <w:tcW w:w="2917" w:type="dxa"/>
          </w:tcPr>
          <w:p>
            <w:pPr>
              <w:pStyle w:val="TableParagraph"/>
              <w:spacing w:line="237" w:lineRule="exact"/>
              <w:ind w:right="94"/>
              <w:jc w:val="right"/>
              <w:rPr>
                <w:rFonts w:ascii="Times New Roman"/>
                <w:sz w:val="21"/>
              </w:rPr>
            </w:pPr>
            <w:r>
              <w:rPr>
                <w:rFonts w:ascii="Times New Roman"/>
                <w:sz w:val="21"/>
              </w:rPr>
              <w:t>113,631</w:t>
            </w:r>
          </w:p>
        </w:tc>
      </w:tr>
      <w:tr>
        <w:trPr>
          <w:trHeight w:val="273" w:hRule="atLeast"/>
        </w:trPr>
        <w:tc>
          <w:tcPr>
            <w:tcW w:w="3001" w:type="dxa"/>
          </w:tcPr>
          <w:p>
            <w:pPr>
              <w:pStyle w:val="TableParagraph"/>
              <w:spacing w:line="252" w:lineRule="exact" w:before="1"/>
              <w:ind w:left="107"/>
              <w:rPr>
                <w:sz w:val="21"/>
              </w:rPr>
            </w:pPr>
            <w:r>
              <w:rPr>
                <w:spacing w:val="-1"/>
                <w:sz w:val="21"/>
              </w:rPr>
              <w:t>应收关联方款项</w:t>
            </w:r>
            <w:r>
              <w:rPr>
                <w:sz w:val="21"/>
              </w:rPr>
              <w:t> </w:t>
            </w:r>
          </w:p>
        </w:tc>
        <w:tc>
          <w:tcPr>
            <w:tcW w:w="2907" w:type="dxa"/>
          </w:tcPr>
          <w:p>
            <w:pPr>
              <w:pStyle w:val="TableParagraph"/>
              <w:spacing w:line="235" w:lineRule="exact"/>
              <w:ind w:right="94"/>
              <w:jc w:val="right"/>
              <w:rPr>
                <w:rFonts w:ascii="Times New Roman"/>
                <w:sz w:val="21"/>
              </w:rPr>
            </w:pPr>
            <w:r>
              <w:rPr>
                <w:rFonts w:ascii="Times New Roman"/>
                <w:sz w:val="21"/>
              </w:rPr>
              <w:t>48,905</w:t>
            </w:r>
          </w:p>
        </w:tc>
        <w:tc>
          <w:tcPr>
            <w:tcW w:w="2917" w:type="dxa"/>
          </w:tcPr>
          <w:p>
            <w:pPr>
              <w:pStyle w:val="TableParagraph"/>
              <w:spacing w:line="235" w:lineRule="exact"/>
              <w:ind w:right="94"/>
              <w:jc w:val="right"/>
              <w:rPr>
                <w:rFonts w:ascii="Times New Roman"/>
                <w:sz w:val="21"/>
              </w:rPr>
            </w:pPr>
            <w:r>
              <w:rPr>
                <w:rFonts w:ascii="Times New Roman"/>
                <w:sz w:val="21"/>
              </w:rPr>
              <w:t>157,578</w:t>
            </w:r>
          </w:p>
        </w:tc>
      </w:tr>
      <w:tr>
        <w:trPr>
          <w:trHeight w:val="270" w:hRule="atLeast"/>
        </w:trPr>
        <w:tc>
          <w:tcPr>
            <w:tcW w:w="3001" w:type="dxa"/>
          </w:tcPr>
          <w:p>
            <w:pPr>
              <w:pStyle w:val="TableParagraph"/>
              <w:spacing w:line="250" w:lineRule="exact" w:before="1"/>
              <w:ind w:left="107"/>
              <w:rPr>
                <w:sz w:val="21"/>
              </w:rPr>
            </w:pPr>
            <w:r>
              <w:rPr>
                <w:sz w:val="21"/>
              </w:rPr>
              <w:t>应收退税款 </w:t>
            </w:r>
          </w:p>
        </w:tc>
        <w:tc>
          <w:tcPr>
            <w:tcW w:w="2907" w:type="dxa"/>
          </w:tcPr>
          <w:p>
            <w:pPr>
              <w:pStyle w:val="TableParagraph"/>
              <w:spacing w:line="235" w:lineRule="exact"/>
              <w:ind w:right="94"/>
              <w:jc w:val="right"/>
              <w:rPr>
                <w:rFonts w:ascii="Times New Roman"/>
                <w:sz w:val="21"/>
              </w:rPr>
            </w:pPr>
            <w:r>
              <w:rPr>
                <w:rFonts w:ascii="Times New Roman"/>
                <w:sz w:val="21"/>
              </w:rPr>
              <w:t>29,318</w:t>
            </w:r>
          </w:p>
        </w:tc>
        <w:tc>
          <w:tcPr>
            <w:tcW w:w="2917" w:type="dxa"/>
          </w:tcPr>
          <w:p>
            <w:pPr>
              <w:pStyle w:val="TableParagraph"/>
              <w:spacing w:line="235" w:lineRule="exact"/>
              <w:ind w:right="94"/>
              <w:jc w:val="right"/>
              <w:rPr>
                <w:rFonts w:ascii="Times New Roman"/>
                <w:sz w:val="21"/>
              </w:rPr>
            </w:pPr>
            <w:r>
              <w:rPr>
                <w:rFonts w:ascii="Times New Roman"/>
                <w:sz w:val="21"/>
              </w:rPr>
              <w:t>31,790</w:t>
            </w:r>
          </w:p>
        </w:tc>
      </w:tr>
      <w:tr>
        <w:trPr>
          <w:trHeight w:val="273" w:hRule="atLeast"/>
        </w:trPr>
        <w:tc>
          <w:tcPr>
            <w:tcW w:w="3001" w:type="dxa"/>
          </w:tcPr>
          <w:p>
            <w:pPr>
              <w:pStyle w:val="TableParagraph"/>
              <w:spacing w:line="250" w:lineRule="exact" w:before="3"/>
              <w:ind w:left="107"/>
              <w:rPr>
                <w:sz w:val="21"/>
              </w:rPr>
            </w:pPr>
            <w:r>
              <w:rPr>
                <w:sz w:val="21"/>
              </w:rPr>
              <w:t>其他 </w:t>
            </w:r>
          </w:p>
        </w:tc>
        <w:tc>
          <w:tcPr>
            <w:tcW w:w="2907" w:type="dxa"/>
          </w:tcPr>
          <w:p>
            <w:pPr>
              <w:pStyle w:val="TableParagraph"/>
              <w:spacing w:line="237" w:lineRule="exact"/>
              <w:ind w:right="94"/>
              <w:jc w:val="right"/>
              <w:rPr>
                <w:rFonts w:ascii="Times New Roman"/>
                <w:sz w:val="21"/>
              </w:rPr>
            </w:pPr>
            <w:r>
              <w:rPr>
                <w:rFonts w:ascii="Times New Roman"/>
                <w:sz w:val="21"/>
              </w:rPr>
              <w:t>379,336</w:t>
            </w:r>
          </w:p>
        </w:tc>
        <w:tc>
          <w:tcPr>
            <w:tcW w:w="2917" w:type="dxa"/>
          </w:tcPr>
          <w:p>
            <w:pPr>
              <w:pStyle w:val="TableParagraph"/>
              <w:spacing w:line="237" w:lineRule="exact"/>
              <w:ind w:right="94"/>
              <w:jc w:val="right"/>
              <w:rPr>
                <w:rFonts w:ascii="Times New Roman"/>
                <w:sz w:val="21"/>
              </w:rPr>
            </w:pPr>
            <w:r>
              <w:rPr>
                <w:rFonts w:ascii="Times New Roman"/>
                <w:sz w:val="21"/>
              </w:rPr>
              <w:t>105,371</w:t>
            </w:r>
          </w:p>
        </w:tc>
      </w:tr>
      <w:tr>
        <w:trPr>
          <w:trHeight w:val="273" w:hRule="atLeast"/>
        </w:trPr>
        <w:tc>
          <w:tcPr>
            <w:tcW w:w="3001" w:type="dxa"/>
          </w:tcPr>
          <w:p>
            <w:pPr>
              <w:pStyle w:val="TableParagraph"/>
              <w:spacing w:line="252" w:lineRule="exact" w:before="1"/>
              <w:ind w:left="107"/>
              <w:rPr>
                <w:sz w:val="21"/>
              </w:rPr>
            </w:pPr>
            <w:r>
              <w:rPr>
                <w:sz w:val="21"/>
              </w:rPr>
              <w:t>减：坏账准备 </w:t>
            </w:r>
          </w:p>
        </w:tc>
        <w:tc>
          <w:tcPr>
            <w:tcW w:w="2907" w:type="dxa"/>
          </w:tcPr>
          <w:p>
            <w:pPr>
              <w:pStyle w:val="TableParagraph"/>
              <w:spacing w:line="235" w:lineRule="exact"/>
              <w:ind w:right="96"/>
              <w:jc w:val="right"/>
              <w:rPr>
                <w:rFonts w:ascii="Times New Roman"/>
                <w:sz w:val="21"/>
              </w:rPr>
            </w:pPr>
            <w:r>
              <w:rPr>
                <w:rFonts w:ascii="Times New Roman"/>
                <w:sz w:val="21"/>
              </w:rPr>
              <w:t>-57,384</w:t>
            </w:r>
          </w:p>
        </w:tc>
        <w:tc>
          <w:tcPr>
            <w:tcW w:w="2917" w:type="dxa"/>
          </w:tcPr>
          <w:p>
            <w:pPr>
              <w:pStyle w:val="TableParagraph"/>
              <w:spacing w:line="235" w:lineRule="exact"/>
              <w:ind w:right="97"/>
              <w:jc w:val="right"/>
              <w:rPr>
                <w:rFonts w:ascii="Times New Roman"/>
                <w:sz w:val="21"/>
              </w:rPr>
            </w:pPr>
            <w:r>
              <w:rPr>
                <w:rFonts w:ascii="Times New Roman"/>
                <w:sz w:val="21"/>
              </w:rPr>
              <w:t>-79,389</w:t>
            </w:r>
          </w:p>
        </w:tc>
      </w:tr>
      <w:tr>
        <w:trPr>
          <w:trHeight w:val="270" w:hRule="atLeast"/>
        </w:trPr>
        <w:tc>
          <w:tcPr>
            <w:tcW w:w="3001" w:type="dxa"/>
          </w:tcPr>
          <w:p>
            <w:pPr>
              <w:pStyle w:val="TableParagraph"/>
              <w:spacing w:line="250" w:lineRule="exact" w:before="1"/>
              <w:ind w:left="1321" w:right="1210"/>
              <w:jc w:val="center"/>
              <w:rPr>
                <w:sz w:val="21"/>
              </w:rPr>
            </w:pPr>
            <w:r>
              <w:rPr>
                <w:sz w:val="21"/>
              </w:rPr>
              <w:t>合计 </w:t>
            </w:r>
          </w:p>
        </w:tc>
        <w:tc>
          <w:tcPr>
            <w:tcW w:w="2907" w:type="dxa"/>
          </w:tcPr>
          <w:p>
            <w:pPr>
              <w:pStyle w:val="TableParagraph"/>
              <w:spacing w:line="235" w:lineRule="exact"/>
              <w:ind w:right="94"/>
              <w:jc w:val="right"/>
              <w:rPr>
                <w:rFonts w:ascii="Times New Roman"/>
                <w:sz w:val="21"/>
              </w:rPr>
            </w:pPr>
            <w:r>
              <w:rPr>
                <w:rFonts w:ascii="Times New Roman"/>
                <w:sz w:val="21"/>
              </w:rPr>
              <w:t>1,878,878</w:t>
            </w:r>
          </w:p>
        </w:tc>
        <w:tc>
          <w:tcPr>
            <w:tcW w:w="2917" w:type="dxa"/>
          </w:tcPr>
          <w:p>
            <w:pPr>
              <w:pStyle w:val="TableParagraph"/>
              <w:spacing w:line="235" w:lineRule="exact"/>
              <w:ind w:right="94"/>
              <w:jc w:val="right"/>
              <w:rPr>
                <w:rFonts w:ascii="Times New Roman"/>
                <w:sz w:val="21"/>
              </w:rPr>
            </w:pPr>
            <w:r>
              <w:rPr>
                <w:rFonts w:ascii="Times New Roman"/>
                <w:sz w:val="21"/>
              </w:rPr>
              <w:t>2,516,749</w:t>
            </w:r>
          </w:p>
        </w:tc>
      </w:tr>
    </w:tbl>
    <w:p>
      <w:pPr>
        <w:pStyle w:val="BodyText"/>
        <w:spacing w:before="1"/>
      </w:pPr>
      <w:r>
        <w:rPr>
          <w:w w:val="100"/>
        </w:rPr>
        <w:t> </w:t>
      </w:r>
    </w:p>
    <w:p>
      <w:pPr>
        <w:pStyle w:val="ListParagraph"/>
        <w:numPr>
          <w:ilvl w:val="0"/>
          <w:numId w:val="63"/>
        </w:numPr>
        <w:tabs>
          <w:tab w:pos="746" w:val="left" w:leader="none"/>
        </w:tabs>
        <w:spacing w:line="240" w:lineRule="auto" w:before="64" w:after="0"/>
        <w:ind w:left="745" w:right="0" w:hanging="428"/>
        <w:jc w:val="left"/>
        <w:rPr>
          <w:sz w:val="21"/>
        </w:rPr>
      </w:pPr>
      <w:r>
        <w:rPr>
          <w:sz w:val="21"/>
        </w:rPr>
        <w:t>坏账准备计提情况 </w:t>
      </w:r>
    </w:p>
    <w:p>
      <w:pPr>
        <w:pStyle w:val="BodyText"/>
        <w:spacing w:before="63"/>
      </w:pPr>
      <w:r>
        <w:rPr>
          <w:spacing w:val="-1"/>
        </w:rPr>
        <w:t>√适用 □不适用</w:t>
      </w:r>
      <w:r>
        <w:rPr>
          <w:spacing w:val="-3"/>
        </w:rPr>
        <w:t> </w:t>
      </w:r>
      <w:r>
        <w:rPr/>
        <w:t> </w:t>
      </w:r>
    </w:p>
    <w:p>
      <w:pPr>
        <w:pStyle w:val="BodyText"/>
        <w:spacing w:before="4"/>
        <w:ind w:left="6525"/>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6"/>
        <w:gridCol w:w="1522"/>
        <w:gridCol w:w="1935"/>
        <w:gridCol w:w="1938"/>
        <w:gridCol w:w="1664"/>
      </w:tblGrid>
      <w:tr>
        <w:trPr>
          <w:trHeight w:val="273" w:hRule="atLeast"/>
        </w:trPr>
        <w:tc>
          <w:tcPr>
            <w:tcW w:w="1766" w:type="dxa"/>
            <w:vMerge w:val="restart"/>
          </w:tcPr>
          <w:p>
            <w:pPr>
              <w:pStyle w:val="TableParagraph"/>
              <w:rPr>
                <w:sz w:val="20"/>
              </w:rPr>
            </w:pPr>
          </w:p>
          <w:p>
            <w:pPr>
              <w:pStyle w:val="TableParagraph"/>
              <w:rPr>
                <w:sz w:val="20"/>
              </w:rPr>
            </w:pPr>
          </w:p>
          <w:p>
            <w:pPr>
              <w:pStyle w:val="TableParagraph"/>
              <w:spacing w:before="3"/>
              <w:rPr>
                <w:sz w:val="17"/>
              </w:rPr>
            </w:pPr>
          </w:p>
          <w:p>
            <w:pPr>
              <w:pStyle w:val="TableParagraph"/>
              <w:ind w:left="462"/>
              <w:rPr>
                <w:sz w:val="21"/>
              </w:rPr>
            </w:pPr>
            <w:r>
              <w:rPr>
                <w:spacing w:val="-1"/>
                <w:sz w:val="21"/>
              </w:rPr>
              <w:t>坏账准备</w:t>
            </w:r>
            <w:r>
              <w:rPr>
                <w:sz w:val="21"/>
              </w:rPr>
              <w:t> </w:t>
            </w:r>
          </w:p>
        </w:tc>
        <w:tc>
          <w:tcPr>
            <w:tcW w:w="1522" w:type="dxa"/>
          </w:tcPr>
          <w:p>
            <w:pPr>
              <w:pStyle w:val="TableParagraph"/>
              <w:spacing w:line="250" w:lineRule="exact" w:before="3"/>
              <w:ind w:left="341"/>
              <w:rPr>
                <w:sz w:val="21"/>
              </w:rPr>
            </w:pPr>
            <w:r>
              <w:rPr>
                <w:spacing w:val="-1"/>
                <w:sz w:val="21"/>
              </w:rPr>
              <w:t>第一阶段</w:t>
            </w:r>
            <w:r>
              <w:rPr>
                <w:sz w:val="21"/>
              </w:rPr>
              <w:t> </w:t>
            </w:r>
          </w:p>
        </w:tc>
        <w:tc>
          <w:tcPr>
            <w:tcW w:w="1935" w:type="dxa"/>
          </w:tcPr>
          <w:p>
            <w:pPr>
              <w:pStyle w:val="TableParagraph"/>
              <w:spacing w:line="250" w:lineRule="exact" w:before="3"/>
              <w:ind w:left="545"/>
              <w:rPr>
                <w:sz w:val="21"/>
              </w:rPr>
            </w:pPr>
            <w:r>
              <w:rPr>
                <w:spacing w:val="-1"/>
                <w:sz w:val="21"/>
              </w:rPr>
              <w:t>第二阶段</w:t>
            </w:r>
            <w:r>
              <w:rPr>
                <w:sz w:val="21"/>
              </w:rPr>
              <w:t> </w:t>
            </w:r>
          </w:p>
        </w:tc>
        <w:tc>
          <w:tcPr>
            <w:tcW w:w="1938" w:type="dxa"/>
          </w:tcPr>
          <w:p>
            <w:pPr>
              <w:pStyle w:val="TableParagraph"/>
              <w:spacing w:line="250" w:lineRule="exact" w:before="3"/>
              <w:ind w:left="547"/>
              <w:rPr>
                <w:sz w:val="21"/>
              </w:rPr>
            </w:pPr>
            <w:r>
              <w:rPr>
                <w:spacing w:val="-1"/>
                <w:sz w:val="21"/>
              </w:rPr>
              <w:t>第三阶段</w:t>
            </w:r>
            <w:r>
              <w:rPr>
                <w:sz w:val="21"/>
              </w:rPr>
              <w:t> </w:t>
            </w:r>
          </w:p>
        </w:tc>
        <w:tc>
          <w:tcPr>
            <w:tcW w:w="1664" w:type="dxa"/>
            <w:vMerge w:val="restart"/>
          </w:tcPr>
          <w:p>
            <w:pPr>
              <w:pStyle w:val="TableParagraph"/>
              <w:rPr>
                <w:sz w:val="20"/>
              </w:rPr>
            </w:pPr>
          </w:p>
          <w:p>
            <w:pPr>
              <w:pStyle w:val="TableParagraph"/>
              <w:rPr>
                <w:sz w:val="20"/>
              </w:rPr>
            </w:pPr>
          </w:p>
          <w:p>
            <w:pPr>
              <w:pStyle w:val="TableParagraph"/>
              <w:spacing w:before="3"/>
              <w:rPr>
                <w:sz w:val="17"/>
              </w:rPr>
            </w:pPr>
          </w:p>
          <w:p>
            <w:pPr>
              <w:pStyle w:val="TableParagraph"/>
              <w:ind w:left="621"/>
              <w:rPr>
                <w:sz w:val="21"/>
              </w:rPr>
            </w:pPr>
            <w:r>
              <w:rPr>
                <w:sz w:val="21"/>
              </w:rPr>
              <w:t>合计 </w:t>
            </w:r>
          </w:p>
        </w:tc>
      </w:tr>
      <w:tr>
        <w:trPr>
          <w:trHeight w:val="1454" w:hRule="atLeast"/>
        </w:trPr>
        <w:tc>
          <w:tcPr>
            <w:tcW w:w="1766" w:type="dxa"/>
            <w:vMerge/>
            <w:tcBorders>
              <w:top w:val="nil"/>
            </w:tcBorders>
          </w:tcPr>
          <w:p>
            <w:pPr>
              <w:rPr>
                <w:sz w:val="2"/>
                <w:szCs w:val="2"/>
              </w:rPr>
            </w:pPr>
          </w:p>
        </w:tc>
        <w:tc>
          <w:tcPr>
            <w:tcW w:w="1522" w:type="dxa"/>
          </w:tcPr>
          <w:p>
            <w:pPr>
              <w:pStyle w:val="TableParagraph"/>
              <w:rPr>
                <w:sz w:val="20"/>
              </w:rPr>
            </w:pPr>
          </w:p>
          <w:p>
            <w:pPr>
              <w:pStyle w:val="TableParagraph"/>
              <w:spacing w:before="6"/>
              <w:rPr>
                <w:sz w:val="15"/>
              </w:rPr>
            </w:pPr>
          </w:p>
          <w:p>
            <w:pPr>
              <w:pStyle w:val="TableParagraph"/>
              <w:spacing w:line="244" w:lineRule="auto"/>
              <w:ind w:left="235" w:right="117" w:hanging="107"/>
              <w:rPr>
                <w:sz w:val="21"/>
              </w:rPr>
            </w:pPr>
            <w:r>
              <w:rPr>
                <w:sz w:val="21"/>
              </w:rPr>
              <w:t>未来12个月预期信用损失 </w:t>
            </w:r>
          </w:p>
        </w:tc>
        <w:tc>
          <w:tcPr>
            <w:tcW w:w="1935" w:type="dxa"/>
          </w:tcPr>
          <w:p>
            <w:pPr>
              <w:pStyle w:val="TableParagraph"/>
              <w:spacing w:before="12"/>
              <w:rPr>
                <w:sz w:val="24"/>
              </w:rPr>
            </w:pPr>
          </w:p>
          <w:p>
            <w:pPr>
              <w:pStyle w:val="TableParagraph"/>
              <w:spacing w:line="242" w:lineRule="auto"/>
              <w:ind w:left="125" w:right="115"/>
              <w:jc w:val="center"/>
              <w:rPr>
                <w:sz w:val="21"/>
              </w:rPr>
            </w:pPr>
            <w:r>
              <w:rPr>
                <w:spacing w:val="-1"/>
                <w:sz w:val="21"/>
              </w:rPr>
              <w:t>整个存续期预期信</w:t>
            </w:r>
            <w:r>
              <w:rPr>
                <w:sz w:val="21"/>
              </w:rPr>
              <w:t>用损失(未发生信用减值) </w:t>
            </w:r>
          </w:p>
        </w:tc>
        <w:tc>
          <w:tcPr>
            <w:tcW w:w="1938" w:type="dxa"/>
          </w:tcPr>
          <w:p>
            <w:pPr>
              <w:pStyle w:val="TableParagraph"/>
              <w:spacing w:before="12"/>
              <w:rPr>
                <w:sz w:val="24"/>
              </w:rPr>
            </w:pPr>
          </w:p>
          <w:p>
            <w:pPr>
              <w:pStyle w:val="TableParagraph"/>
              <w:spacing w:line="242" w:lineRule="auto"/>
              <w:ind w:left="127" w:right="116"/>
              <w:jc w:val="center"/>
              <w:rPr>
                <w:sz w:val="21"/>
              </w:rPr>
            </w:pPr>
            <w:r>
              <w:rPr>
                <w:spacing w:val="-1"/>
                <w:sz w:val="21"/>
              </w:rPr>
              <w:t>整个存续期预期信</w:t>
            </w:r>
            <w:r>
              <w:rPr>
                <w:sz w:val="21"/>
              </w:rPr>
              <w:t>用损失(已发生信用减值) </w:t>
            </w:r>
          </w:p>
        </w:tc>
        <w:tc>
          <w:tcPr>
            <w:tcW w:w="1664" w:type="dxa"/>
            <w:vMerge/>
            <w:tcBorders>
              <w:top w:val="nil"/>
            </w:tcBorders>
          </w:tcPr>
          <w:p>
            <w:pPr>
              <w:rPr>
                <w:sz w:val="2"/>
                <w:szCs w:val="2"/>
              </w:rPr>
            </w:pPr>
          </w:p>
        </w:tc>
      </w:tr>
      <w:tr>
        <w:trPr>
          <w:trHeight w:val="544" w:hRule="atLeast"/>
        </w:trPr>
        <w:tc>
          <w:tcPr>
            <w:tcW w:w="1766" w:type="dxa"/>
          </w:tcPr>
          <w:p>
            <w:pPr>
              <w:pStyle w:val="TableParagraph"/>
              <w:spacing w:before="1"/>
              <w:ind w:left="107"/>
              <w:rPr>
                <w:sz w:val="21"/>
              </w:rPr>
            </w:pPr>
            <w:r>
              <w:rPr>
                <w:sz w:val="21"/>
              </w:rPr>
              <w:t>2022</w:t>
            </w:r>
            <w:r>
              <w:rPr>
                <w:spacing w:val="12"/>
                <w:sz w:val="21"/>
              </w:rPr>
              <w:t>年1月1</w:t>
            </w:r>
            <w:r>
              <w:rPr>
                <w:spacing w:val="14"/>
                <w:sz w:val="21"/>
              </w:rPr>
              <w:t>日余</w:t>
            </w:r>
          </w:p>
          <w:p>
            <w:pPr>
              <w:pStyle w:val="TableParagraph"/>
              <w:spacing w:line="252" w:lineRule="exact" w:before="2"/>
              <w:ind w:left="107"/>
              <w:rPr>
                <w:sz w:val="21"/>
              </w:rPr>
            </w:pPr>
            <w:r>
              <w:rPr>
                <w:sz w:val="21"/>
              </w:rPr>
              <w:t>额 </w:t>
            </w:r>
          </w:p>
        </w:tc>
        <w:tc>
          <w:tcPr>
            <w:tcW w:w="1522" w:type="dxa"/>
          </w:tcPr>
          <w:p>
            <w:pPr>
              <w:pStyle w:val="TableParagraph"/>
              <w:spacing w:line="235" w:lineRule="exact"/>
              <w:ind w:right="95"/>
              <w:jc w:val="right"/>
              <w:rPr>
                <w:rFonts w:ascii="Times New Roman"/>
                <w:sz w:val="21"/>
              </w:rPr>
            </w:pPr>
            <w:r>
              <w:rPr>
                <w:rFonts w:ascii="Times New Roman"/>
                <w:sz w:val="21"/>
              </w:rPr>
              <w:t>-35,758</w:t>
            </w:r>
          </w:p>
        </w:tc>
        <w:tc>
          <w:tcPr>
            <w:tcW w:w="1935" w:type="dxa"/>
          </w:tcPr>
          <w:p>
            <w:pPr>
              <w:pStyle w:val="TableParagraph"/>
              <w:rPr>
                <w:rFonts w:ascii="Times New Roman"/>
                <w:sz w:val="20"/>
              </w:rPr>
            </w:pPr>
          </w:p>
        </w:tc>
        <w:tc>
          <w:tcPr>
            <w:tcW w:w="1938" w:type="dxa"/>
          </w:tcPr>
          <w:p>
            <w:pPr>
              <w:pStyle w:val="TableParagraph"/>
              <w:spacing w:line="235" w:lineRule="exact"/>
              <w:ind w:right="97"/>
              <w:jc w:val="right"/>
              <w:rPr>
                <w:rFonts w:ascii="Times New Roman"/>
                <w:sz w:val="21"/>
              </w:rPr>
            </w:pPr>
            <w:r>
              <w:rPr>
                <w:rFonts w:ascii="Times New Roman"/>
                <w:sz w:val="21"/>
              </w:rPr>
              <w:t>-43,631</w:t>
            </w:r>
          </w:p>
        </w:tc>
        <w:tc>
          <w:tcPr>
            <w:tcW w:w="1664" w:type="dxa"/>
          </w:tcPr>
          <w:p>
            <w:pPr>
              <w:pStyle w:val="TableParagraph"/>
              <w:spacing w:line="235" w:lineRule="exact"/>
              <w:ind w:right="97"/>
              <w:jc w:val="right"/>
              <w:rPr>
                <w:rFonts w:ascii="Times New Roman"/>
                <w:sz w:val="21"/>
              </w:rPr>
            </w:pPr>
            <w:r>
              <w:rPr>
                <w:rFonts w:ascii="Times New Roman"/>
                <w:sz w:val="21"/>
              </w:rPr>
              <w:t>-79,389</w:t>
            </w:r>
          </w:p>
        </w:tc>
      </w:tr>
      <w:tr>
        <w:trPr>
          <w:trHeight w:val="544" w:hRule="atLeast"/>
        </w:trPr>
        <w:tc>
          <w:tcPr>
            <w:tcW w:w="1766" w:type="dxa"/>
          </w:tcPr>
          <w:p>
            <w:pPr>
              <w:pStyle w:val="TableParagraph"/>
              <w:spacing w:before="1"/>
              <w:ind w:left="107"/>
              <w:rPr>
                <w:sz w:val="21"/>
              </w:rPr>
            </w:pPr>
            <w:r>
              <w:rPr>
                <w:sz w:val="21"/>
              </w:rPr>
              <w:t>2022</w:t>
            </w:r>
            <w:r>
              <w:rPr>
                <w:spacing w:val="12"/>
                <w:sz w:val="21"/>
              </w:rPr>
              <w:t>年1月1</w:t>
            </w:r>
            <w:r>
              <w:rPr>
                <w:spacing w:val="14"/>
                <w:sz w:val="21"/>
              </w:rPr>
              <w:t>日余</w:t>
            </w:r>
          </w:p>
          <w:p>
            <w:pPr>
              <w:pStyle w:val="TableParagraph"/>
              <w:spacing w:line="252" w:lineRule="exact" w:before="2"/>
              <w:ind w:left="107"/>
              <w:rPr>
                <w:sz w:val="21"/>
              </w:rPr>
            </w:pPr>
            <w:r>
              <w:rPr>
                <w:spacing w:val="-1"/>
                <w:sz w:val="21"/>
              </w:rPr>
              <w:t>额在本期</w:t>
            </w:r>
            <w:r>
              <w:rPr>
                <w:sz w:val="21"/>
              </w:rPr>
              <w:t> </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8" w:type="dxa"/>
          </w:tcPr>
          <w:p>
            <w:pPr>
              <w:pStyle w:val="TableParagraph"/>
              <w:rPr>
                <w:rFonts w:ascii="Times New Roman"/>
                <w:sz w:val="20"/>
              </w:rPr>
            </w:pPr>
          </w:p>
        </w:tc>
        <w:tc>
          <w:tcPr>
            <w:tcW w:w="1664" w:type="dxa"/>
          </w:tcPr>
          <w:p>
            <w:pPr>
              <w:pStyle w:val="TableParagraph"/>
              <w:rPr>
                <w:rFonts w:ascii="Times New Roman"/>
                <w:sz w:val="20"/>
              </w:rPr>
            </w:pPr>
          </w:p>
        </w:tc>
      </w:tr>
      <w:tr>
        <w:trPr>
          <w:trHeight w:val="270" w:hRule="atLeast"/>
        </w:trPr>
        <w:tc>
          <w:tcPr>
            <w:tcW w:w="1766" w:type="dxa"/>
          </w:tcPr>
          <w:p>
            <w:pPr>
              <w:pStyle w:val="TableParagraph"/>
              <w:spacing w:line="250" w:lineRule="exact" w:before="1"/>
              <w:ind w:left="107"/>
              <w:rPr>
                <w:sz w:val="21"/>
              </w:rPr>
            </w:pPr>
            <w:r>
              <w:rPr>
                <w:sz w:val="21"/>
              </w:rPr>
              <w:t>--转入第二阶段 </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8" w:type="dxa"/>
          </w:tcPr>
          <w:p>
            <w:pPr>
              <w:pStyle w:val="TableParagraph"/>
              <w:rPr>
                <w:rFonts w:ascii="Times New Roman"/>
                <w:sz w:val="20"/>
              </w:rPr>
            </w:pPr>
          </w:p>
        </w:tc>
        <w:tc>
          <w:tcPr>
            <w:tcW w:w="1664" w:type="dxa"/>
          </w:tcPr>
          <w:p>
            <w:pPr>
              <w:pStyle w:val="TableParagraph"/>
              <w:rPr>
                <w:rFonts w:ascii="Times New Roman"/>
                <w:sz w:val="20"/>
              </w:rPr>
            </w:pPr>
          </w:p>
        </w:tc>
      </w:tr>
      <w:tr>
        <w:trPr>
          <w:trHeight w:val="273" w:hRule="atLeast"/>
        </w:trPr>
        <w:tc>
          <w:tcPr>
            <w:tcW w:w="1766" w:type="dxa"/>
          </w:tcPr>
          <w:p>
            <w:pPr>
              <w:pStyle w:val="TableParagraph"/>
              <w:spacing w:line="250" w:lineRule="exact" w:before="3"/>
              <w:ind w:left="107"/>
              <w:rPr>
                <w:sz w:val="21"/>
              </w:rPr>
            </w:pPr>
            <w:r>
              <w:rPr>
                <w:sz w:val="21"/>
              </w:rPr>
              <w:t>--转入第三阶段 </w:t>
            </w:r>
          </w:p>
        </w:tc>
        <w:tc>
          <w:tcPr>
            <w:tcW w:w="1522" w:type="dxa"/>
          </w:tcPr>
          <w:p>
            <w:pPr>
              <w:pStyle w:val="TableParagraph"/>
              <w:spacing w:line="237" w:lineRule="exact"/>
              <w:ind w:right="93"/>
              <w:jc w:val="right"/>
              <w:rPr>
                <w:rFonts w:ascii="Times New Roman"/>
                <w:sz w:val="21"/>
              </w:rPr>
            </w:pPr>
            <w:r>
              <w:rPr>
                <w:rFonts w:ascii="Times New Roman"/>
                <w:sz w:val="21"/>
              </w:rPr>
              <w:t>236</w:t>
            </w:r>
          </w:p>
        </w:tc>
        <w:tc>
          <w:tcPr>
            <w:tcW w:w="1935" w:type="dxa"/>
          </w:tcPr>
          <w:p>
            <w:pPr>
              <w:pStyle w:val="TableParagraph"/>
              <w:rPr>
                <w:rFonts w:ascii="Times New Roman"/>
                <w:sz w:val="20"/>
              </w:rPr>
            </w:pPr>
          </w:p>
        </w:tc>
        <w:tc>
          <w:tcPr>
            <w:tcW w:w="1938" w:type="dxa"/>
          </w:tcPr>
          <w:p>
            <w:pPr>
              <w:pStyle w:val="TableParagraph"/>
              <w:spacing w:line="237" w:lineRule="exact"/>
              <w:ind w:right="97"/>
              <w:jc w:val="right"/>
              <w:rPr>
                <w:rFonts w:ascii="Times New Roman"/>
                <w:sz w:val="21"/>
              </w:rPr>
            </w:pPr>
            <w:r>
              <w:rPr>
                <w:rFonts w:ascii="Times New Roman"/>
                <w:sz w:val="21"/>
              </w:rPr>
              <w:t>-236</w:t>
            </w:r>
          </w:p>
        </w:tc>
        <w:tc>
          <w:tcPr>
            <w:tcW w:w="1664" w:type="dxa"/>
          </w:tcPr>
          <w:p>
            <w:pPr>
              <w:pStyle w:val="TableParagraph"/>
              <w:spacing w:line="237" w:lineRule="exact"/>
              <w:ind w:right="96"/>
              <w:jc w:val="right"/>
              <w:rPr>
                <w:rFonts w:ascii="Times New Roman"/>
                <w:sz w:val="21"/>
              </w:rPr>
            </w:pPr>
            <w:r>
              <w:rPr>
                <w:rFonts w:ascii="Times New Roman"/>
                <w:w w:val="100"/>
                <w:sz w:val="21"/>
              </w:rPr>
              <w:t>-</w:t>
            </w:r>
          </w:p>
        </w:tc>
      </w:tr>
      <w:tr>
        <w:trPr>
          <w:trHeight w:val="273" w:hRule="atLeast"/>
        </w:trPr>
        <w:tc>
          <w:tcPr>
            <w:tcW w:w="1766" w:type="dxa"/>
          </w:tcPr>
          <w:p>
            <w:pPr>
              <w:pStyle w:val="TableParagraph"/>
              <w:spacing w:line="252" w:lineRule="exact" w:before="1"/>
              <w:ind w:left="107"/>
              <w:rPr>
                <w:sz w:val="21"/>
              </w:rPr>
            </w:pPr>
            <w:r>
              <w:rPr>
                <w:sz w:val="21"/>
              </w:rPr>
              <w:t>--转回第二阶段 </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8" w:type="dxa"/>
          </w:tcPr>
          <w:p>
            <w:pPr>
              <w:pStyle w:val="TableParagraph"/>
              <w:rPr>
                <w:rFonts w:ascii="Times New Roman"/>
                <w:sz w:val="20"/>
              </w:rPr>
            </w:pPr>
          </w:p>
        </w:tc>
        <w:tc>
          <w:tcPr>
            <w:tcW w:w="1664" w:type="dxa"/>
          </w:tcPr>
          <w:p>
            <w:pPr>
              <w:pStyle w:val="TableParagraph"/>
              <w:rPr>
                <w:rFonts w:ascii="Times New Roman"/>
                <w:sz w:val="20"/>
              </w:rPr>
            </w:pPr>
          </w:p>
        </w:tc>
      </w:tr>
      <w:tr>
        <w:trPr>
          <w:trHeight w:val="270" w:hRule="atLeast"/>
        </w:trPr>
        <w:tc>
          <w:tcPr>
            <w:tcW w:w="1766" w:type="dxa"/>
          </w:tcPr>
          <w:p>
            <w:pPr>
              <w:pStyle w:val="TableParagraph"/>
              <w:spacing w:line="250" w:lineRule="exact" w:before="1"/>
              <w:ind w:left="107"/>
              <w:rPr>
                <w:sz w:val="21"/>
              </w:rPr>
            </w:pPr>
            <w:r>
              <w:rPr>
                <w:sz w:val="21"/>
              </w:rPr>
              <w:t>--转回第一阶段 </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8" w:type="dxa"/>
          </w:tcPr>
          <w:p>
            <w:pPr>
              <w:pStyle w:val="TableParagraph"/>
              <w:rPr>
                <w:rFonts w:ascii="Times New Roman"/>
                <w:sz w:val="20"/>
              </w:rPr>
            </w:pPr>
          </w:p>
        </w:tc>
        <w:tc>
          <w:tcPr>
            <w:tcW w:w="1664" w:type="dxa"/>
          </w:tcPr>
          <w:p>
            <w:pPr>
              <w:pStyle w:val="TableParagraph"/>
              <w:rPr>
                <w:rFonts w:ascii="Times New Roman"/>
                <w:sz w:val="20"/>
              </w:rPr>
            </w:pPr>
          </w:p>
        </w:tc>
      </w:tr>
      <w:tr>
        <w:trPr>
          <w:trHeight w:val="273" w:hRule="atLeast"/>
        </w:trPr>
        <w:tc>
          <w:tcPr>
            <w:tcW w:w="1766" w:type="dxa"/>
          </w:tcPr>
          <w:p>
            <w:pPr>
              <w:pStyle w:val="TableParagraph"/>
              <w:spacing w:line="250" w:lineRule="exact" w:before="3"/>
              <w:ind w:left="107"/>
              <w:rPr>
                <w:sz w:val="21"/>
              </w:rPr>
            </w:pPr>
            <w:r>
              <w:rPr>
                <w:spacing w:val="-1"/>
                <w:sz w:val="21"/>
              </w:rPr>
              <w:t>本期计提</w:t>
            </w:r>
            <w:r>
              <w:rPr>
                <w:sz w:val="21"/>
              </w:rPr>
              <w:t> </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8" w:type="dxa"/>
          </w:tcPr>
          <w:p>
            <w:pPr>
              <w:pStyle w:val="TableParagraph"/>
              <w:spacing w:line="237" w:lineRule="exact"/>
              <w:ind w:right="97"/>
              <w:jc w:val="right"/>
              <w:rPr>
                <w:rFonts w:ascii="Times New Roman"/>
                <w:sz w:val="21"/>
              </w:rPr>
            </w:pPr>
            <w:r>
              <w:rPr>
                <w:rFonts w:ascii="Times New Roman"/>
                <w:sz w:val="21"/>
              </w:rPr>
              <w:t>-549</w:t>
            </w:r>
          </w:p>
        </w:tc>
        <w:tc>
          <w:tcPr>
            <w:tcW w:w="1664" w:type="dxa"/>
          </w:tcPr>
          <w:p>
            <w:pPr>
              <w:pStyle w:val="TableParagraph"/>
              <w:spacing w:line="237" w:lineRule="exact"/>
              <w:ind w:right="97"/>
              <w:jc w:val="right"/>
              <w:rPr>
                <w:rFonts w:ascii="Times New Roman"/>
                <w:sz w:val="21"/>
              </w:rPr>
            </w:pPr>
            <w:r>
              <w:rPr>
                <w:rFonts w:ascii="Times New Roman"/>
                <w:sz w:val="21"/>
              </w:rPr>
              <w:t>-549</w:t>
            </w:r>
          </w:p>
        </w:tc>
      </w:tr>
      <w:tr>
        <w:trPr>
          <w:trHeight w:val="273" w:hRule="atLeast"/>
        </w:trPr>
        <w:tc>
          <w:tcPr>
            <w:tcW w:w="1766" w:type="dxa"/>
          </w:tcPr>
          <w:p>
            <w:pPr>
              <w:pStyle w:val="TableParagraph"/>
              <w:spacing w:line="252" w:lineRule="exact" w:before="1"/>
              <w:ind w:left="107"/>
              <w:rPr>
                <w:sz w:val="21"/>
              </w:rPr>
            </w:pPr>
            <w:r>
              <w:rPr>
                <w:spacing w:val="-1"/>
                <w:sz w:val="21"/>
              </w:rPr>
              <w:t>本期转回</w:t>
            </w:r>
            <w:r>
              <w:rPr>
                <w:sz w:val="21"/>
              </w:rPr>
              <w:t> </w:t>
            </w:r>
          </w:p>
        </w:tc>
        <w:tc>
          <w:tcPr>
            <w:tcW w:w="1522" w:type="dxa"/>
          </w:tcPr>
          <w:p>
            <w:pPr>
              <w:pStyle w:val="TableParagraph"/>
              <w:spacing w:line="235" w:lineRule="exact"/>
              <w:ind w:right="93"/>
              <w:jc w:val="right"/>
              <w:rPr>
                <w:rFonts w:ascii="Times New Roman"/>
                <w:sz w:val="21"/>
              </w:rPr>
            </w:pPr>
            <w:r>
              <w:rPr>
                <w:rFonts w:ascii="Times New Roman"/>
                <w:sz w:val="21"/>
              </w:rPr>
              <w:t>19,534</w:t>
            </w:r>
          </w:p>
        </w:tc>
        <w:tc>
          <w:tcPr>
            <w:tcW w:w="1935" w:type="dxa"/>
          </w:tcPr>
          <w:p>
            <w:pPr>
              <w:pStyle w:val="TableParagraph"/>
              <w:rPr>
                <w:rFonts w:ascii="Times New Roman"/>
                <w:sz w:val="20"/>
              </w:rPr>
            </w:pPr>
          </w:p>
        </w:tc>
        <w:tc>
          <w:tcPr>
            <w:tcW w:w="1938" w:type="dxa"/>
          </w:tcPr>
          <w:p>
            <w:pPr>
              <w:pStyle w:val="TableParagraph"/>
              <w:spacing w:line="235" w:lineRule="exact"/>
              <w:ind w:right="94"/>
              <w:jc w:val="right"/>
              <w:rPr>
                <w:rFonts w:ascii="Times New Roman"/>
                <w:sz w:val="21"/>
              </w:rPr>
            </w:pPr>
            <w:r>
              <w:rPr>
                <w:rFonts w:ascii="Times New Roman"/>
                <w:sz w:val="21"/>
              </w:rPr>
              <w:t>3,020</w:t>
            </w:r>
          </w:p>
        </w:tc>
        <w:tc>
          <w:tcPr>
            <w:tcW w:w="1664" w:type="dxa"/>
          </w:tcPr>
          <w:p>
            <w:pPr>
              <w:pStyle w:val="TableParagraph"/>
              <w:spacing w:line="235" w:lineRule="exact"/>
              <w:ind w:right="94"/>
              <w:jc w:val="right"/>
              <w:rPr>
                <w:rFonts w:ascii="Times New Roman"/>
                <w:sz w:val="21"/>
              </w:rPr>
            </w:pPr>
            <w:r>
              <w:rPr>
                <w:rFonts w:ascii="Times New Roman"/>
                <w:sz w:val="21"/>
              </w:rPr>
              <w:t>22,554</w:t>
            </w:r>
          </w:p>
        </w:tc>
      </w:tr>
      <w:tr>
        <w:trPr>
          <w:trHeight w:val="270" w:hRule="atLeast"/>
        </w:trPr>
        <w:tc>
          <w:tcPr>
            <w:tcW w:w="1766" w:type="dxa"/>
          </w:tcPr>
          <w:p>
            <w:pPr>
              <w:pStyle w:val="TableParagraph"/>
              <w:spacing w:line="250" w:lineRule="exact" w:before="1"/>
              <w:ind w:left="107"/>
              <w:rPr>
                <w:sz w:val="21"/>
              </w:rPr>
            </w:pPr>
            <w:r>
              <w:rPr>
                <w:spacing w:val="-1"/>
                <w:sz w:val="21"/>
              </w:rPr>
              <w:t>本期转销</w:t>
            </w:r>
            <w:r>
              <w:rPr>
                <w:sz w:val="21"/>
              </w:rPr>
              <w:t> </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8" w:type="dxa"/>
          </w:tcPr>
          <w:p>
            <w:pPr>
              <w:pStyle w:val="TableParagraph"/>
              <w:rPr>
                <w:rFonts w:ascii="Times New Roman"/>
                <w:sz w:val="20"/>
              </w:rPr>
            </w:pPr>
          </w:p>
        </w:tc>
        <w:tc>
          <w:tcPr>
            <w:tcW w:w="1664" w:type="dxa"/>
          </w:tcPr>
          <w:p>
            <w:pPr>
              <w:pStyle w:val="TableParagraph"/>
              <w:rPr>
                <w:rFonts w:ascii="Times New Roman"/>
                <w:sz w:val="20"/>
              </w:rPr>
            </w:pPr>
          </w:p>
        </w:tc>
      </w:tr>
      <w:tr>
        <w:trPr>
          <w:trHeight w:val="273" w:hRule="atLeast"/>
        </w:trPr>
        <w:tc>
          <w:tcPr>
            <w:tcW w:w="1766" w:type="dxa"/>
          </w:tcPr>
          <w:p>
            <w:pPr>
              <w:pStyle w:val="TableParagraph"/>
              <w:spacing w:line="252" w:lineRule="exact" w:before="1"/>
              <w:ind w:left="107"/>
              <w:rPr>
                <w:sz w:val="21"/>
              </w:rPr>
            </w:pPr>
            <w:r>
              <w:rPr>
                <w:spacing w:val="-1"/>
                <w:sz w:val="21"/>
              </w:rPr>
              <w:t>本期核销</w:t>
            </w:r>
            <w:r>
              <w:rPr>
                <w:sz w:val="21"/>
              </w:rPr>
              <w:t> </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8" w:type="dxa"/>
          </w:tcPr>
          <w:p>
            <w:pPr>
              <w:pStyle w:val="TableParagraph"/>
              <w:rPr>
                <w:rFonts w:ascii="Times New Roman"/>
                <w:sz w:val="20"/>
              </w:rPr>
            </w:pPr>
          </w:p>
        </w:tc>
        <w:tc>
          <w:tcPr>
            <w:tcW w:w="1664" w:type="dxa"/>
          </w:tcPr>
          <w:p>
            <w:pPr>
              <w:pStyle w:val="TableParagraph"/>
              <w:rPr>
                <w:rFonts w:ascii="Times New Roman"/>
                <w:sz w:val="20"/>
              </w:rPr>
            </w:pPr>
          </w:p>
        </w:tc>
      </w:tr>
      <w:tr>
        <w:trPr>
          <w:trHeight w:val="273" w:hRule="atLeast"/>
        </w:trPr>
        <w:tc>
          <w:tcPr>
            <w:tcW w:w="1766" w:type="dxa"/>
          </w:tcPr>
          <w:p>
            <w:pPr>
              <w:pStyle w:val="TableParagraph"/>
              <w:spacing w:line="252" w:lineRule="exact" w:before="1"/>
              <w:ind w:left="107"/>
              <w:rPr>
                <w:sz w:val="21"/>
              </w:rPr>
            </w:pPr>
            <w:r>
              <w:rPr>
                <w:spacing w:val="-1"/>
                <w:sz w:val="21"/>
              </w:rPr>
              <w:t>其他变动</w:t>
            </w:r>
            <w:r>
              <w:rPr>
                <w:sz w:val="21"/>
              </w:rPr>
              <w:t> </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8" w:type="dxa"/>
          </w:tcPr>
          <w:p>
            <w:pPr>
              <w:pStyle w:val="TableParagraph"/>
              <w:rPr>
                <w:rFonts w:ascii="Times New Roman"/>
                <w:sz w:val="20"/>
              </w:rPr>
            </w:pPr>
          </w:p>
        </w:tc>
        <w:tc>
          <w:tcPr>
            <w:tcW w:w="1664" w:type="dxa"/>
          </w:tcPr>
          <w:p>
            <w:pPr>
              <w:pStyle w:val="TableParagraph"/>
              <w:rPr>
                <w:rFonts w:ascii="Times New Roman"/>
                <w:sz w:val="20"/>
              </w:rPr>
            </w:pPr>
          </w:p>
        </w:tc>
      </w:tr>
      <w:tr>
        <w:trPr>
          <w:trHeight w:val="544" w:hRule="atLeast"/>
        </w:trPr>
        <w:tc>
          <w:tcPr>
            <w:tcW w:w="1766" w:type="dxa"/>
          </w:tcPr>
          <w:p>
            <w:pPr>
              <w:pStyle w:val="TableParagraph"/>
              <w:spacing w:before="1"/>
              <w:ind w:left="107"/>
              <w:rPr>
                <w:sz w:val="21"/>
              </w:rPr>
            </w:pPr>
            <w:r>
              <w:rPr>
                <w:sz w:val="21"/>
              </w:rPr>
              <w:t>2022年12月31日</w:t>
            </w:r>
          </w:p>
          <w:p>
            <w:pPr>
              <w:pStyle w:val="TableParagraph"/>
              <w:spacing w:line="252" w:lineRule="exact" w:before="2"/>
              <w:ind w:left="107"/>
              <w:rPr>
                <w:sz w:val="21"/>
              </w:rPr>
            </w:pPr>
            <w:r>
              <w:rPr>
                <w:sz w:val="21"/>
              </w:rPr>
              <w:t>余额 </w:t>
            </w:r>
          </w:p>
        </w:tc>
        <w:tc>
          <w:tcPr>
            <w:tcW w:w="1522" w:type="dxa"/>
          </w:tcPr>
          <w:p>
            <w:pPr>
              <w:pStyle w:val="TableParagraph"/>
              <w:spacing w:line="235" w:lineRule="exact"/>
              <w:ind w:right="95"/>
              <w:jc w:val="right"/>
              <w:rPr>
                <w:rFonts w:ascii="Times New Roman"/>
                <w:sz w:val="21"/>
              </w:rPr>
            </w:pPr>
            <w:r>
              <w:rPr>
                <w:rFonts w:ascii="Times New Roman"/>
                <w:sz w:val="21"/>
              </w:rPr>
              <w:t>-15,988</w:t>
            </w:r>
          </w:p>
        </w:tc>
        <w:tc>
          <w:tcPr>
            <w:tcW w:w="1935" w:type="dxa"/>
          </w:tcPr>
          <w:p>
            <w:pPr>
              <w:pStyle w:val="TableParagraph"/>
              <w:rPr>
                <w:rFonts w:ascii="Times New Roman"/>
                <w:sz w:val="20"/>
              </w:rPr>
            </w:pPr>
          </w:p>
        </w:tc>
        <w:tc>
          <w:tcPr>
            <w:tcW w:w="1938" w:type="dxa"/>
          </w:tcPr>
          <w:p>
            <w:pPr>
              <w:pStyle w:val="TableParagraph"/>
              <w:spacing w:line="235" w:lineRule="exact"/>
              <w:ind w:right="97"/>
              <w:jc w:val="right"/>
              <w:rPr>
                <w:rFonts w:ascii="Times New Roman"/>
                <w:sz w:val="21"/>
              </w:rPr>
            </w:pPr>
            <w:r>
              <w:rPr>
                <w:rFonts w:ascii="Times New Roman"/>
                <w:sz w:val="21"/>
              </w:rPr>
              <w:t>-41,396</w:t>
            </w:r>
          </w:p>
        </w:tc>
        <w:tc>
          <w:tcPr>
            <w:tcW w:w="1664" w:type="dxa"/>
          </w:tcPr>
          <w:p>
            <w:pPr>
              <w:pStyle w:val="TableParagraph"/>
              <w:spacing w:line="235" w:lineRule="exact"/>
              <w:ind w:right="97"/>
              <w:jc w:val="right"/>
              <w:rPr>
                <w:rFonts w:ascii="Times New Roman"/>
                <w:sz w:val="21"/>
              </w:rPr>
            </w:pPr>
            <w:r>
              <w:rPr>
                <w:rFonts w:ascii="Times New Roman"/>
                <w:sz w:val="21"/>
              </w:rPr>
              <w:t>-57,384</w:t>
            </w:r>
          </w:p>
        </w:tc>
      </w:tr>
    </w:tbl>
    <w:p>
      <w:pPr>
        <w:pStyle w:val="BodyText"/>
        <w:spacing w:before="1"/>
      </w:pPr>
      <w:r>
        <w:rPr>
          <w:w w:val="100"/>
        </w:rPr>
        <w:t> </w:t>
      </w:r>
    </w:p>
    <w:p>
      <w:pPr>
        <w:pStyle w:val="BodyText"/>
        <w:spacing w:before="2"/>
      </w:pPr>
      <w:r>
        <w:rPr>
          <w:spacing w:val="-1"/>
        </w:rPr>
        <w:t>对本期发生损失准备变动的其他应收款账面余额显著变动的情况说明：</w:t>
      </w:r>
    </w:p>
    <w:p>
      <w:pPr>
        <w:pStyle w:val="BodyText"/>
        <w:spacing w:before="5"/>
      </w:pPr>
      <w:r>
        <w:rPr>
          <w:spacing w:val="-1"/>
        </w:rPr>
        <w:t>□适用 √不适用</w:t>
      </w:r>
      <w:r>
        <w:rPr>
          <w:spacing w:val="-3"/>
        </w:rPr>
        <w:t> </w:t>
      </w:r>
      <w:r>
        <w:rPr/>
        <w:t> </w:t>
      </w:r>
    </w:p>
    <w:p>
      <w:pPr>
        <w:pStyle w:val="BodyText"/>
        <w:spacing w:before="2"/>
      </w:pPr>
      <w:r>
        <w:rPr>
          <w:w w:val="100"/>
        </w:rPr>
        <w:t> </w:t>
      </w:r>
    </w:p>
    <w:p>
      <w:pPr>
        <w:pStyle w:val="BodyText"/>
        <w:spacing w:before="4"/>
      </w:pPr>
      <w:r>
        <w:rPr>
          <w:spacing w:val="-1"/>
        </w:rPr>
        <w:t>本期坏账准备计提金额以及评估金融工具的信用风险是否显著增加的采用依据：</w:t>
      </w:r>
      <w:r>
        <w:rPr/>
        <w:t> </w:t>
      </w:r>
    </w:p>
    <w:p>
      <w:pPr>
        <w:pStyle w:val="BodyText"/>
        <w:spacing w:before="2"/>
      </w:pPr>
      <w:r>
        <w:rPr>
          <w:spacing w:val="-1"/>
        </w:rPr>
        <w:t>□适用 √不适用</w:t>
      </w:r>
      <w:r>
        <w:rPr>
          <w:spacing w:val="-3"/>
        </w:rPr>
        <w:t> </w:t>
      </w:r>
      <w:r>
        <w:rPr/>
        <w:t> </w:t>
      </w:r>
    </w:p>
    <w:p>
      <w:pPr>
        <w:pStyle w:val="BodyText"/>
        <w:spacing w:before="5"/>
      </w:pPr>
      <w:r>
        <w:rPr>
          <w:w w:val="100"/>
        </w:rPr>
        <w:t> </w:t>
      </w:r>
    </w:p>
    <w:p>
      <w:pPr>
        <w:pStyle w:val="ListParagraph"/>
        <w:numPr>
          <w:ilvl w:val="0"/>
          <w:numId w:val="63"/>
        </w:numPr>
        <w:tabs>
          <w:tab w:pos="1157" w:val="left" w:leader="none"/>
          <w:tab w:pos="1158" w:val="left" w:leader="none"/>
        </w:tabs>
        <w:spacing w:line="240" w:lineRule="auto" w:before="63" w:after="0"/>
        <w:ind w:left="1158" w:right="0" w:hanging="840"/>
        <w:jc w:val="left"/>
        <w:rPr>
          <w:sz w:val="21"/>
        </w:rPr>
      </w:pPr>
      <w:r>
        <w:rPr>
          <w:sz w:val="21"/>
        </w:rPr>
        <w:t>坏账准备的情况 </w:t>
      </w:r>
    </w:p>
    <w:p>
      <w:pPr>
        <w:pStyle w:val="BodyText"/>
        <w:spacing w:before="64"/>
      </w:pPr>
      <w:r>
        <w:rPr>
          <w:spacing w:val="-1"/>
        </w:rPr>
        <w:t>√适用 □不适用</w:t>
      </w:r>
      <w:r>
        <w:rPr>
          <w:spacing w:val="-3"/>
        </w:rPr>
        <w:t> </w:t>
      </w:r>
      <w:r>
        <w:rPr/>
        <w:t> </w:t>
      </w:r>
    </w:p>
    <w:p>
      <w:pPr>
        <w:pStyle w:val="BodyText"/>
        <w:spacing w:before="2" w:after="4"/>
        <w:ind w:left="6746"/>
      </w:pPr>
      <w:r>
        <w:rPr>
          <w:spacing w:val="-2"/>
        </w:rPr>
        <w:t>单位：千元 币种：人民币</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5"/>
        <w:gridCol w:w="1206"/>
        <w:gridCol w:w="1306"/>
        <w:gridCol w:w="1201"/>
        <w:gridCol w:w="1208"/>
        <w:gridCol w:w="1201"/>
        <w:gridCol w:w="1200"/>
      </w:tblGrid>
      <w:tr>
        <w:trPr>
          <w:trHeight w:val="270" w:hRule="atLeast"/>
        </w:trPr>
        <w:tc>
          <w:tcPr>
            <w:tcW w:w="1505" w:type="dxa"/>
            <w:vMerge w:val="restart"/>
          </w:tcPr>
          <w:p>
            <w:pPr>
              <w:pStyle w:val="TableParagraph"/>
              <w:spacing w:before="7"/>
              <w:rPr>
                <w:sz w:val="21"/>
              </w:rPr>
            </w:pPr>
          </w:p>
          <w:p>
            <w:pPr>
              <w:pStyle w:val="TableParagraph"/>
              <w:spacing w:before="1"/>
              <w:ind w:left="542"/>
              <w:rPr>
                <w:sz w:val="21"/>
              </w:rPr>
            </w:pPr>
            <w:r>
              <w:rPr>
                <w:sz w:val="21"/>
              </w:rPr>
              <w:t>类别 </w:t>
            </w:r>
          </w:p>
        </w:tc>
        <w:tc>
          <w:tcPr>
            <w:tcW w:w="1206" w:type="dxa"/>
            <w:vMerge w:val="restart"/>
          </w:tcPr>
          <w:p>
            <w:pPr>
              <w:pStyle w:val="TableParagraph"/>
              <w:spacing w:before="7"/>
              <w:rPr>
                <w:sz w:val="21"/>
              </w:rPr>
            </w:pPr>
          </w:p>
          <w:p>
            <w:pPr>
              <w:pStyle w:val="TableParagraph"/>
              <w:spacing w:before="1"/>
              <w:ind w:left="181"/>
              <w:rPr>
                <w:sz w:val="21"/>
              </w:rPr>
            </w:pPr>
            <w:r>
              <w:rPr>
                <w:spacing w:val="-1"/>
                <w:sz w:val="21"/>
              </w:rPr>
              <w:t>期初余额</w:t>
            </w:r>
            <w:r>
              <w:rPr>
                <w:sz w:val="21"/>
              </w:rPr>
              <w:t> </w:t>
            </w:r>
          </w:p>
        </w:tc>
        <w:tc>
          <w:tcPr>
            <w:tcW w:w="4916" w:type="dxa"/>
            <w:gridSpan w:val="4"/>
          </w:tcPr>
          <w:p>
            <w:pPr>
              <w:pStyle w:val="TableParagraph"/>
              <w:spacing w:line="250" w:lineRule="exact" w:before="1"/>
              <w:ind w:left="1861" w:right="1750"/>
              <w:jc w:val="center"/>
              <w:rPr>
                <w:sz w:val="21"/>
              </w:rPr>
            </w:pPr>
            <w:r>
              <w:rPr>
                <w:spacing w:val="-1"/>
                <w:sz w:val="21"/>
              </w:rPr>
              <w:t>本期变动金额</w:t>
            </w:r>
            <w:r>
              <w:rPr>
                <w:sz w:val="21"/>
              </w:rPr>
              <w:t> </w:t>
            </w:r>
          </w:p>
        </w:tc>
        <w:tc>
          <w:tcPr>
            <w:tcW w:w="1200" w:type="dxa"/>
            <w:vMerge w:val="restart"/>
          </w:tcPr>
          <w:p>
            <w:pPr>
              <w:pStyle w:val="TableParagraph"/>
              <w:spacing w:before="7"/>
              <w:rPr>
                <w:sz w:val="21"/>
              </w:rPr>
            </w:pPr>
          </w:p>
          <w:p>
            <w:pPr>
              <w:pStyle w:val="TableParagraph"/>
              <w:spacing w:before="1"/>
              <w:ind w:left="176"/>
              <w:rPr>
                <w:sz w:val="21"/>
              </w:rPr>
            </w:pPr>
            <w:r>
              <w:rPr>
                <w:spacing w:val="-1"/>
                <w:sz w:val="21"/>
              </w:rPr>
              <w:t>期末余额</w:t>
            </w:r>
            <w:r>
              <w:rPr>
                <w:sz w:val="21"/>
              </w:rPr>
              <w:t> </w:t>
            </w:r>
          </w:p>
        </w:tc>
      </w:tr>
      <w:tr>
        <w:trPr>
          <w:trHeight w:val="544" w:hRule="atLeast"/>
        </w:trPr>
        <w:tc>
          <w:tcPr>
            <w:tcW w:w="1505" w:type="dxa"/>
            <w:vMerge/>
            <w:tcBorders>
              <w:top w:val="nil"/>
            </w:tcBorders>
          </w:tcPr>
          <w:p>
            <w:pPr>
              <w:rPr>
                <w:sz w:val="2"/>
                <w:szCs w:val="2"/>
              </w:rPr>
            </w:pPr>
          </w:p>
        </w:tc>
        <w:tc>
          <w:tcPr>
            <w:tcW w:w="1206" w:type="dxa"/>
            <w:vMerge/>
            <w:tcBorders>
              <w:top w:val="nil"/>
            </w:tcBorders>
          </w:tcPr>
          <w:p>
            <w:pPr>
              <w:rPr>
                <w:sz w:val="2"/>
                <w:szCs w:val="2"/>
              </w:rPr>
            </w:pPr>
          </w:p>
        </w:tc>
        <w:tc>
          <w:tcPr>
            <w:tcW w:w="1306" w:type="dxa"/>
          </w:tcPr>
          <w:p>
            <w:pPr>
              <w:pStyle w:val="TableParagraph"/>
              <w:spacing w:before="137"/>
              <w:ind w:left="440"/>
              <w:rPr>
                <w:sz w:val="21"/>
              </w:rPr>
            </w:pPr>
            <w:r>
              <w:rPr>
                <w:sz w:val="21"/>
              </w:rPr>
              <w:t>计提 </w:t>
            </w:r>
          </w:p>
        </w:tc>
        <w:tc>
          <w:tcPr>
            <w:tcW w:w="1201" w:type="dxa"/>
          </w:tcPr>
          <w:p>
            <w:pPr>
              <w:pStyle w:val="TableParagraph"/>
              <w:spacing w:before="1"/>
              <w:ind w:left="176"/>
              <w:rPr>
                <w:sz w:val="21"/>
              </w:rPr>
            </w:pPr>
            <w:r>
              <w:rPr>
                <w:sz w:val="21"/>
              </w:rPr>
              <w:t>收回或转</w:t>
            </w:r>
          </w:p>
          <w:p>
            <w:pPr>
              <w:pStyle w:val="TableParagraph"/>
              <w:spacing w:line="250" w:lineRule="exact" w:before="4"/>
              <w:ind w:left="490"/>
              <w:rPr>
                <w:sz w:val="21"/>
              </w:rPr>
            </w:pPr>
            <w:r>
              <w:rPr>
                <w:sz w:val="21"/>
              </w:rPr>
              <w:t>回 </w:t>
            </w:r>
          </w:p>
        </w:tc>
        <w:tc>
          <w:tcPr>
            <w:tcW w:w="1208" w:type="dxa"/>
          </w:tcPr>
          <w:p>
            <w:pPr>
              <w:pStyle w:val="TableParagraph"/>
              <w:spacing w:before="1"/>
              <w:ind w:left="180"/>
              <w:rPr>
                <w:sz w:val="21"/>
              </w:rPr>
            </w:pPr>
            <w:r>
              <w:rPr>
                <w:sz w:val="21"/>
              </w:rPr>
              <w:t>转销或核</w:t>
            </w:r>
          </w:p>
          <w:p>
            <w:pPr>
              <w:pStyle w:val="TableParagraph"/>
              <w:spacing w:line="250" w:lineRule="exact" w:before="4"/>
              <w:ind w:left="494"/>
              <w:rPr>
                <w:sz w:val="21"/>
              </w:rPr>
            </w:pPr>
            <w:r>
              <w:rPr>
                <w:sz w:val="21"/>
              </w:rPr>
              <w:t>销 </w:t>
            </w:r>
          </w:p>
        </w:tc>
        <w:tc>
          <w:tcPr>
            <w:tcW w:w="1201" w:type="dxa"/>
          </w:tcPr>
          <w:p>
            <w:pPr>
              <w:pStyle w:val="TableParagraph"/>
              <w:spacing w:before="137"/>
              <w:ind w:left="244"/>
              <w:rPr>
                <w:sz w:val="21"/>
              </w:rPr>
            </w:pPr>
            <w:r>
              <w:rPr>
                <w:spacing w:val="-1"/>
                <w:sz w:val="21"/>
              </w:rPr>
              <w:t>其他变动</w:t>
            </w:r>
            <w:r>
              <w:rPr>
                <w:sz w:val="21"/>
              </w:rPr>
              <w:t> </w:t>
            </w:r>
          </w:p>
        </w:tc>
        <w:tc>
          <w:tcPr>
            <w:tcW w:w="1200" w:type="dxa"/>
            <w:vMerge/>
            <w:tcBorders>
              <w:top w:val="nil"/>
            </w:tcBorders>
          </w:tcPr>
          <w:p>
            <w:pPr>
              <w:rPr>
                <w:sz w:val="2"/>
                <w:szCs w:val="2"/>
              </w:rPr>
            </w:pPr>
          </w:p>
        </w:tc>
      </w:tr>
      <w:tr>
        <w:trPr>
          <w:trHeight w:val="817" w:hRule="atLeast"/>
        </w:trPr>
        <w:tc>
          <w:tcPr>
            <w:tcW w:w="1505" w:type="dxa"/>
          </w:tcPr>
          <w:p>
            <w:pPr>
              <w:pStyle w:val="TableParagraph"/>
              <w:spacing w:line="242" w:lineRule="auto" w:before="3"/>
              <w:ind w:left="112" w:right="117"/>
              <w:rPr>
                <w:sz w:val="21"/>
              </w:rPr>
            </w:pPr>
            <w:r>
              <w:rPr>
                <w:spacing w:val="-1"/>
                <w:sz w:val="21"/>
              </w:rPr>
              <w:t>单项计提坏账准备的其他应</w:t>
            </w:r>
          </w:p>
          <w:p>
            <w:pPr>
              <w:pStyle w:val="TableParagraph"/>
              <w:spacing w:line="250" w:lineRule="exact" w:before="1"/>
              <w:ind w:left="112"/>
              <w:rPr>
                <w:sz w:val="21"/>
              </w:rPr>
            </w:pPr>
            <w:r>
              <w:rPr>
                <w:sz w:val="21"/>
              </w:rPr>
              <w:t>收款 </w:t>
            </w:r>
          </w:p>
        </w:tc>
        <w:tc>
          <w:tcPr>
            <w:tcW w:w="1206" w:type="dxa"/>
          </w:tcPr>
          <w:p>
            <w:pPr>
              <w:pStyle w:val="TableParagraph"/>
              <w:spacing w:line="237" w:lineRule="exact"/>
              <w:ind w:right="99"/>
              <w:jc w:val="right"/>
              <w:rPr>
                <w:rFonts w:ascii="Times New Roman"/>
                <w:sz w:val="21"/>
              </w:rPr>
            </w:pPr>
            <w:r>
              <w:rPr>
                <w:rFonts w:ascii="Times New Roman"/>
                <w:sz w:val="21"/>
              </w:rPr>
              <w:t>73,892</w:t>
            </w:r>
          </w:p>
        </w:tc>
        <w:tc>
          <w:tcPr>
            <w:tcW w:w="1306" w:type="dxa"/>
          </w:tcPr>
          <w:p>
            <w:pPr>
              <w:pStyle w:val="TableParagraph"/>
              <w:rPr>
                <w:rFonts w:ascii="Times New Roman"/>
                <w:sz w:val="20"/>
              </w:rPr>
            </w:pPr>
          </w:p>
        </w:tc>
        <w:tc>
          <w:tcPr>
            <w:tcW w:w="1201" w:type="dxa"/>
          </w:tcPr>
          <w:p>
            <w:pPr>
              <w:pStyle w:val="TableParagraph"/>
              <w:spacing w:line="237" w:lineRule="exact"/>
              <w:ind w:right="102"/>
              <w:jc w:val="right"/>
              <w:rPr>
                <w:rFonts w:ascii="Times New Roman"/>
                <w:sz w:val="21"/>
              </w:rPr>
            </w:pPr>
            <w:r>
              <w:rPr>
                <w:rFonts w:ascii="Times New Roman"/>
                <w:sz w:val="21"/>
              </w:rPr>
              <w:t>-18,997</w:t>
            </w:r>
          </w:p>
        </w:tc>
        <w:tc>
          <w:tcPr>
            <w:tcW w:w="1208" w:type="dxa"/>
          </w:tcPr>
          <w:p>
            <w:pPr>
              <w:pStyle w:val="TableParagraph"/>
              <w:rPr>
                <w:rFonts w:ascii="Times New Roman"/>
                <w:sz w:val="20"/>
              </w:rPr>
            </w:pPr>
          </w:p>
        </w:tc>
        <w:tc>
          <w:tcPr>
            <w:tcW w:w="1201" w:type="dxa"/>
          </w:tcPr>
          <w:p>
            <w:pPr>
              <w:pStyle w:val="TableParagraph"/>
              <w:rPr>
                <w:rFonts w:ascii="Times New Roman"/>
                <w:sz w:val="20"/>
              </w:rPr>
            </w:pPr>
          </w:p>
        </w:tc>
        <w:tc>
          <w:tcPr>
            <w:tcW w:w="1200" w:type="dxa"/>
          </w:tcPr>
          <w:p>
            <w:pPr>
              <w:pStyle w:val="TableParagraph"/>
              <w:spacing w:line="237" w:lineRule="exact"/>
              <w:ind w:right="101"/>
              <w:jc w:val="right"/>
              <w:rPr>
                <w:rFonts w:ascii="Times New Roman"/>
                <w:sz w:val="21"/>
              </w:rPr>
            </w:pPr>
            <w:r>
              <w:rPr>
                <w:rFonts w:ascii="Times New Roman"/>
                <w:sz w:val="21"/>
              </w:rPr>
              <w:t>54,895</w:t>
            </w:r>
          </w:p>
        </w:tc>
      </w:tr>
      <w:tr>
        <w:trPr>
          <w:trHeight w:val="273" w:hRule="atLeast"/>
        </w:trPr>
        <w:tc>
          <w:tcPr>
            <w:tcW w:w="1505" w:type="dxa"/>
          </w:tcPr>
          <w:p>
            <w:pPr>
              <w:pStyle w:val="TableParagraph"/>
              <w:spacing w:line="252" w:lineRule="exact" w:before="1"/>
              <w:ind w:left="112"/>
              <w:rPr>
                <w:sz w:val="21"/>
              </w:rPr>
            </w:pPr>
            <w:r>
              <w:rPr>
                <w:sz w:val="21"/>
              </w:rPr>
              <w:t>计提坏账准备</w:t>
            </w:r>
          </w:p>
        </w:tc>
        <w:tc>
          <w:tcPr>
            <w:tcW w:w="1206" w:type="dxa"/>
          </w:tcPr>
          <w:p>
            <w:pPr>
              <w:pStyle w:val="TableParagraph"/>
              <w:spacing w:line="235" w:lineRule="exact"/>
              <w:ind w:right="99"/>
              <w:jc w:val="right"/>
              <w:rPr>
                <w:rFonts w:ascii="Times New Roman"/>
                <w:sz w:val="21"/>
              </w:rPr>
            </w:pPr>
            <w:r>
              <w:rPr>
                <w:rFonts w:ascii="Times New Roman"/>
                <w:sz w:val="21"/>
              </w:rPr>
              <w:t>5,497</w:t>
            </w:r>
          </w:p>
        </w:tc>
        <w:tc>
          <w:tcPr>
            <w:tcW w:w="1306" w:type="dxa"/>
          </w:tcPr>
          <w:p>
            <w:pPr>
              <w:pStyle w:val="TableParagraph"/>
              <w:rPr>
                <w:rFonts w:ascii="Times New Roman"/>
                <w:sz w:val="20"/>
              </w:rPr>
            </w:pPr>
          </w:p>
        </w:tc>
        <w:tc>
          <w:tcPr>
            <w:tcW w:w="1201" w:type="dxa"/>
          </w:tcPr>
          <w:p>
            <w:pPr>
              <w:pStyle w:val="TableParagraph"/>
              <w:spacing w:line="235" w:lineRule="exact"/>
              <w:ind w:right="102"/>
              <w:jc w:val="right"/>
              <w:rPr>
                <w:rFonts w:ascii="Times New Roman"/>
                <w:sz w:val="21"/>
              </w:rPr>
            </w:pPr>
            <w:r>
              <w:rPr>
                <w:rFonts w:ascii="Times New Roman"/>
                <w:sz w:val="21"/>
              </w:rPr>
              <w:t>-3,008</w:t>
            </w:r>
          </w:p>
        </w:tc>
        <w:tc>
          <w:tcPr>
            <w:tcW w:w="1208" w:type="dxa"/>
          </w:tcPr>
          <w:p>
            <w:pPr>
              <w:pStyle w:val="TableParagraph"/>
              <w:rPr>
                <w:rFonts w:ascii="Times New Roman"/>
                <w:sz w:val="20"/>
              </w:rPr>
            </w:pPr>
          </w:p>
        </w:tc>
        <w:tc>
          <w:tcPr>
            <w:tcW w:w="1201" w:type="dxa"/>
          </w:tcPr>
          <w:p>
            <w:pPr>
              <w:pStyle w:val="TableParagraph"/>
              <w:rPr>
                <w:rFonts w:ascii="Times New Roman"/>
                <w:sz w:val="20"/>
              </w:rPr>
            </w:pPr>
          </w:p>
        </w:tc>
        <w:tc>
          <w:tcPr>
            <w:tcW w:w="1200" w:type="dxa"/>
          </w:tcPr>
          <w:p>
            <w:pPr>
              <w:pStyle w:val="TableParagraph"/>
              <w:spacing w:line="235" w:lineRule="exact"/>
              <w:ind w:right="101"/>
              <w:jc w:val="right"/>
              <w:rPr>
                <w:rFonts w:ascii="Times New Roman"/>
                <w:sz w:val="21"/>
              </w:rPr>
            </w:pPr>
            <w:r>
              <w:rPr>
                <w:rFonts w:ascii="Times New Roman"/>
                <w:sz w:val="21"/>
              </w:rPr>
              <w:t>2,489</w:t>
            </w:r>
          </w:p>
        </w:tc>
      </w:tr>
    </w:tbl>
    <w:p>
      <w:pPr>
        <w:spacing w:after="0" w:line="235" w:lineRule="exact"/>
        <w:jc w:val="right"/>
        <w:rPr>
          <w:rFonts w:ascii="Times New Roman"/>
          <w:sz w:val="21"/>
        </w:rPr>
        <w:sectPr>
          <w:pgSz w:w="11910" w:h="16840"/>
          <w:pgMar w:header="882" w:footer="1172"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5"/>
        <w:gridCol w:w="1206"/>
        <w:gridCol w:w="1306"/>
        <w:gridCol w:w="1201"/>
        <w:gridCol w:w="1208"/>
        <w:gridCol w:w="1201"/>
        <w:gridCol w:w="1200"/>
      </w:tblGrid>
      <w:tr>
        <w:trPr>
          <w:trHeight w:val="273" w:hRule="atLeast"/>
        </w:trPr>
        <w:tc>
          <w:tcPr>
            <w:tcW w:w="1505" w:type="dxa"/>
          </w:tcPr>
          <w:p>
            <w:pPr>
              <w:pStyle w:val="TableParagraph"/>
              <w:spacing w:line="250" w:lineRule="exact" w:before="3"/>
              <w:ind w:left="148" w:right="53"/>
              <w:jc w:val="center"/>
              <w:rPr>
                <w:sz w:val="21"/>
              </w:rPr>
            </w:pPr>
            <w:r>
              <w:rPr>
                <w:spacing w:val="-1"/>
                <w:sz w:val="21"/>
              </w:rPr>
              <w:t>的其他应收款</w:t>
            </w:r>
            <w:r>
              <w:rPr>
                <w:sz w:val="21"/>
              </w:rPr>
              <w:t> </w:t>
            </w:r>
          </w:p>
        </w:tc>
        <w:tc>
          <w:tcPr>
            <w:tcW w:w="1206" w:type="dxa"/>
          </w:tcPr>
          <w:p>
            <w:pPr>
              <w:pStyle w:val="TableParagraph"/>
              <w:rPr>
                <w:rFonts w:ascii="Times New Roman"/>
                <w:sz w:val="20"/>
              </w:rPr>
            </w:pPr>
          </w:p>
        </w:tc>
        <w:tc>
          <w:tcPr>
            <w:tcW w:w="1306" w:type="dxa"/>
          </w:tcPr>
          <w:p>
            <w:pPr>
              <w:pStyle w:val="TableParagraph"/>
              <w:rPr>
                <w:rFonts w:ascii="Times New Roman"/>
                <w:sz w:val="20"/>
              </w:rPr>
            </w:pPr>
          </w:p>
        </w:tc>
        <w:tc>
          <w:tcPr>
            <w:tcW w:w="1201" w:type="dxa"/>
          </w:tcPr>
          <w:p>
            <w:pPr>
              <w:pStyle w:val="TableParagraph"/>
              <w:rPr>
                <w:rFonts w:ascii="Times New Roman"/>
                <w:sz w:val="20"/>
              </w:rPr>
            </w:pPr>
          </w:p>
        </w:tc>
        <w:tc>
          <w:tcPr>
            <w:tcW w:w="1208" w:type="dxa"/>
          </w:tcPr>
          <w:p>
            <w:pPr>
              <w:pStyle w:val="TableParagraph"/>
              <w:rPr>
                <w:rFonts w:ascii="Times New Roman"/>
                <w:sz w:val="20"/>
              </w:rPr>
            </w:pPr>
          </w:p>
        </w:tc>
        <w:tc>
          <w:tcPr>
            <w:tcW w:w="1201" w:type="dxa"/>
          </w:tcPr>
          <w:p>
            <w:pPr>
              <w:pStyle w:val="TableParagraph"/>
              <w:rPr>
                <w:rFonts w:ascii="Times New Roman"/>
                <w:sz w:val="20"/>
              </w:rPr>
            </w:pPr>
          </w:p>
        </w:tc>
        <w:tc>
          <w:tcPr>
            <w:tcW w:w="1200" w:type="dxa"/>
          </w:tcPr>
          <w:p>
            <w:pPr>
              <w:pStyle w:val="TableParagraph"/>
              <w:rPr>
                <w:rFonts w:ascii="Times New Roman"/>
                <w:sz w:val="20"/>
              </w:rPr>
            </w:pPr>
          </w:p>
        </w:tc>
      </w:tr>
      <w:tr>
        <w:trPr>
          <w:trHeight w:val="273" w:hRule="atLeast"/>
        </w:trPr>
        <w:tc>
          <w:tcPr>
            <w:tcW w:w="1505" w:type="dxa"/>
          </w:tcPr>
          <w:p>
            <w:pPr>
              <w:pStyle w:val="TableParagraph"/>
              <w:spacing w:line="252" w:lineRule="exact" w:before="1"/>
              <w:ind w:left="148" w:right="34"/>
              <w:jc w:val="center"/>
              <w:rPr>
                <w:sz w:val="21"/>
              </w:rPr>
            </w:pPr>
            <w:r>
              <w:rPr>
                <w:sz w:val="21"/>
              </w:rPr>
              <w:t>合计 </w:t>
            </w:r>
          </w:p>
        </w:tc>
        <w:tc>
          <w:tcPr>
            <w:tcW w:w="1206" w:type="dxa"/>
          </w:tcPr>
          <w:p>
            <w:pPr>
              <w:pStyle w:val="TableParagraph"/>
              <w:spacing w:line="235" w:lineRule="exact"/>
              <w:ind w:left="513"/>
              <w:rPr>
                <w:rFonts w:ascii="Times New Roman"/>
                <w:sz w:val="21"/>
              </w:rPr>
            </w:pPr>
            <w:r>
              <w:rPr>
                <w:rFonts w:ascii="Times New Roman"/>
                <w:sz w:val="21"/>
              </w:rPr>
              <w:t>79,389</w:t>
            </w:r>
          </w:p>
        </w:tc>
        <w:tc>
          <w:tcPr>
            <w:tcW w:w="1306" w:type="dxa"/>
          </w:tcPr>
          <w:p>
            <w:pPr>
              <w:pStyle w:val="TableParagraph"/>
              <w:rPr>
                <w:rFonts w:ascii="Times New Roman"/>
                <w:sz w:val="20"/>
              </w:rPr>
            </w:pPr>
          </w:p>
        </w:tc>
        <w:tc>
          <w:tcPr>
            <w:tcW w:w="1201" w:type="dxa"/>
          </w:tcPr>
          <w:p>
            <w:pPr>
              <w:pStyle w:val="TableParagraph"/>
              <w:spacing w:line="235" w:lineRule="exact"/>
              <w:ind w:left="437"/>
              <w:rPr>
                <w:rFonts w:ascii="Times New Roman"/>
                <w:sz w:val="21"/>
              </w:rPr>
            </w:pPr>
            <w:r>
              <w:rPr>
                <w:rFonts w:ascii="Times New Roman"/>
                <w:sz w:val="21"/>
              </w:rPr>
              <w:t>-22,005</w:t>
            </w:r>
          </w:p>
        </w:tc>
        <w:tc>
          <w:tcPr>
            <w:tcW w:w="1208" w:type="dxa"/>
          </w:tcPr>
          <w:p>
            <w:pPr>
              <w:pStyle w:val="TableParagraph"/>
              <w:rPr>
                <w:rFonts w:ascii="Times New Roman"/>
                <w:sz w:val="20"/>
              </w:rPr>
            </w:pPr>
          </w:p>
        </w:tc>
        <w:tc>
          <w:tcPr>
            <w:tcW w:w="1201" w:type="dxa"/>
          </w:tcPr>
          <w:p>
            <w:pPr>
              <w:pStyle w:val="TableParagraph"/>
              <w:rPr>
                <w:rFonts w:ascii="Times New Roman"/>
                <w:sz w:val="20"/>
              </w:rPr>
            </w:pPr>
          </w:p>
        </w:tc>
        <w:tc>
          <w:tcPr>
            <w:tcW w:w="1200" w:type="dxa"/>
          </w:tcPr>
          <w:p>
            <w:pPr>
              <w:pStyle w:val="TableParagraph"/>
              <w:spacing w:line="235" w:lineRule="exact"/>
              <w:ind w:left="505"/>
              <w:rPr>
                <w:rFonts w:ascii="Times New Roman"/>
                <w:sz w:val="21"/>
              </w:rPr>
            </w:pPr>
            <w:r>
              <w:rPr>
                <w:rFonts w:ascii="Times New Roman"/>
                <w:sz w:val="21"/>
              </w:rPr>
              <w:t>57,384</w:t>
            </w:r>
          </w:p>
        </w:tc>
      </w:tr>
    </w:tbl>
    <w:p>
      <w:pPr>
        <w:spacing w:after="0" w:line="235" w:lineRule="exact"/>
        <w:rPr>
          <w:rFonts w:ascii="Times New Roman"/>
          <w:sz w:val="21"/>
        </w:rPr>
        <w:sectPr>
          <w:pgSz w:w="11910" w:h="16840"/>
          <w:pgMar w:header="882" w:footer="1172" w:top="1120" w:bottom="1380" w:left="1480" w:right="0"/>
        </w:sectPr>
      </w:pPr>
    </w:p>
    <w:p>
      <w:pPr>
        <w:pStyle w:val="BodyText"/>
        <w:spacing w:before="1"/>
      </w:pPr>
      <w:r>
        <w:rPr>
          <w:w w:val="100"/>
        </w:rPr>
        <w:t> </w:t>
      </w:r>
    </w:p>
    <w:p>
      <w:pPr>
        <w:pStyle w:val="BodyText"/>
        <w:spacing w:before="2"/>
      </w:pPr>
      <w:r>
        <w:rPr>
          <w:spacing w:val="-1"/>
        </w:rPr>
        <w:t>其中本期坏账准备转回或收回金额重要的：</w:t>
      </w:r>
      <w:r>
        <w:rPr/>
        <w:t> </w:t>
      </w:r>
    </w:p>
    <w:p>
      <w:pPr>
        <w:pStyle w:val="BodyText"/>
        <w:spacing w:before="5"/>
      </w:pPr>
      <w:r>
        <w:rPr>
          <w:spacing w:val="-1"/>
        </w:rPr>
        <w:t>□适用 √不适用</w:t>
      </w:r>
      <w:r>
        <w:rPr>
          <w:spacing w:val="-3"/>
        </w:rPr>
        <w:t> </w:t>
      </w:r>
      <w:r>
        <w:rPr/>
        <w:t> </w:t>
      </w:r>
    </w:p>
    <w:p>
      <w:pPr>
        <w:pStyle w:val="ListParagraph"/>
        <w:numPr>
          <w:ilvl w:val="0"/>
          <w:numId w:val="63"/>
        </w:numPr>
        <w:tabs>
          <w:tab w:pos="1157" w:val="left" w:leader="none"/>
          <w:tab w:pos="1158" w:val="left" w:leader="none"/>
        </w:tabs>
        <w:spacing w:line="240" w:lineRule="auto" w:before="62" w:after="0"/>
        <w:ind w:left="1158" w:right="0" w:hanging="840"/>
        <w:jc w:val="left"/>
        <w:rPr>
          <w:sz w:val="21"/>
        </w:rPr>
      </w:pPr>
      <w:r>
        <w:rPr>
          <w:sz w:val="21"/>
        </w:rPr>
        <w:t>本期实际核销的其他应收款情况 </w:t>
      </w:r>
    </w:p>
    <w:p>
      <w:pPr>
        <w:pStyle w:val="BodyText"/>
        <w:spacing w:before="64"/>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8"/>
        <w:ind w:left="0"/>
        <w:rPr>
          <w:sz w:val="15"/>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4456" w:space="1855"/>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95"/>
        <w:gridCol w:w="4429"/>
      </w:tblGrid>
      <w:tr>
        <w:trPr>
          <w:trHeight w:val="270" w:hRule="atLeast"/>
        </w:trPr>
        <w:tc>
          <w:tcPr>
            <w:tcW w:w="4395" w:type="dxa"/>
          </w:tcPr>
          <w:p>
            <w:pPr>
              <w:pStyle w:val="TableParagraph"/>
              <w:spacing w:line="250" w:lineRule="exact" w:before="1"/>
              <w:ind w:left="1984" w:right="1941"/>
              <w:jc w:val="center"/>
              <w:rPr>
                <w:sz w:val="21"/>
              </w:rPr>
            </w:pPr>
            <w:r>
              <w:rPr>
                <w:sz w:val="21"/>
              </w:rPr>
              <w:t>项目 </w:t>
            </w:r>
          </w:p>
        </w:tc>
        <w:tc>
          <w:tcPr>
            <w:tcW w:w="4429" w:type="dxa"/>
          </w:tcPr>
          <w:p>
            <w:pPr>
              <w:pStyle w:val="TableParagraph"/>
              <w:spacing w:line="250" w:lineRule="exact" w:before="1"/>
              <w:ind w:left="1791" w:right="1751"/>
              <w:jc w:val="center"/>
              <w:rPr>
                <w:sz w:val="21"/>
              </w:rPr>
            </w:pPr>
            <w:r>
              <w:rPr>
                <w:spacing w:val="-1"/>
                <w:sz w:val="21"/>
              </w:rPr>
              <w:t>核销金额</w:t>
            </w:r>
            <w:r>
              <w:rPr>
                <w:sz w:val="21"/>
              </w:rPr>
              <w:t> </w:t>
            </w:r>
          </w:p>
        </w:tc>
      </w:tr>
      <w:tr>
        <w:trPr>
          <w:trHeight w:val="273" w:hRule="atLeast"/>
        </w:trPr>
        <w:tc>
          <w:tcPr>
            <w:tcW w:w="4395" w:type="dxa"/>
          </w:tcPr>
          <w:p>
            <w:pPr>
              <w:pStyle w:val="TableParagraph"/>
              <w:spacing w:line="250" w:lineRule="exact" w:before="3"/>
              <w:ind w:left="30"/>
              <w:rPr>
                <w:sz w:val="21"/>
              </w:rPr>
            </w:pPr>
            <w:r>
              <w:rPr>
                <w:spacing w:val="-1"/>
                <w:sz w:val="21"/>
              </w:rPr>
              <w:t>实际核销的其他应收款</w:t>
            </w:r>
            <w:r>
              <w:rPr>
                <w:sz w:val="21"/>
              </w:rPr>
              <w:t> </w:t>
            </w:r>
          </w:p>
        </w:tc>
        <w:tc>
          <w:tcPr>
            <w:tcW w:w="4429" w:type="dxa"/>
          </w:tcPr>
          <w:p>
            <w:pPr>
              <w:pStyle w:val="TableParagraph"/>
              <w:spacing w:line="250" w:lineRule="exact" w:before="3"/>
              <w:ind w:right="-15"/>
              <w:jc w:val="right"/>
              <w:rPr>
                <w:sz w:val="21"/>
              </w:rPr>
            </w:pPr>
            <w:r>
              <w:rPr>
                <w:sz w:val="21"/>
              </w:rPr>
              <w:t>- </w:t>
            </w:r>
          </w:p>
        </w:tc>
      </w:tr>
    </w:tbl>
    <w:p>
      <w:pPr>
        <w:spacing w:after="0" w:line="250" w:lineRule="exact"/>
        <w:jc w:val="right"/>
        <w:rPr>
          <w:sz w:val="21"/>
        </w:rPr>
        <w:sectPr>
          <w:type w:val="continuous"/>
          <w:pgSz w:w="11910" w:h="16840"/>
          <w:pgMar w:top="780" w:bottom="280" w:left="1480" w:right="0"/>
        </w:sectPr>
      </w:pPr>
    </w:p>
    <w:p>
      <w:pPr>
        <w:pStyle w:val="BodyText"/>
        <w:spacing w:before="5"/>
      </w:pPr>
      <w:r>
        <w:rPr>
          <w:w w:val="100"/>
        </w:rPr>
        <w:t> </w:t>
      </w:r>
    </w:p>
    <w:p>
      <w:pPr>
        <w:pStyle w:val="BodyText"/>
        <w:spacing w:before="4"/>
      </w:pPr>
      <w:r>
        <w:rPr>
          <w:spacing w:val="-1"/>
        </w:rPr>
        <w:t>其中重要的其他应收款核销情况：</w:t>
      </w:r>
      <w:r>
        <w:rPr/>
        <w:t> </w:t>
      </w:r>
    </w:p>
    <w:p>
      <w:pPr>
        <w:pStyle w:val="BodyText"/>
        <w:spacing w:before="2"/>
      </w:pPr>
      <w:r>
        <w:rPr>
          <w:spacing w:val="-1"/>
        </w:rPr>
        <w:t>□适用 √不适用</w:t>
      </w:r>
      <w:r>
        <w:rPr>
          <w:spacing w:val="-3"/>
        </w:rPr>
        <w:t> </w:t>
      </w:r>
      <w:r>
        <w:rPr/>
        <w:t> </w:t>
      </w:r>
    </w:p>
    <w:p>
      <w:pPr>
        <w:pStyle w:val="BodyText"/>
        <w:spacing w:before="6"/>
      </w:pPr>
      <w:r>
        <w:rPr>
          <w:spacing w:val="-1"/>
        </w:rPr>
        <w:t>其他应收款核销说明：</w:t>
      </w:r>
      <w:r>
        <w:rPr/>
        <w:t> </w:t>
      </w:r>
    </w:p>
    <w:p>
      <w:pPr>
        <w:pStyle w:val="BodyText"/>
        <w:spacing w:before="2"/>
      </w:pPr>
      <w:r>
        <w:rPr>
          <w:spacing w:val="-1"/>
        </w:rPr>
        <w:t>√适用 □不适用</w:t>
      </w:r>
      <w:r>
        <w:rPr>
          <w:spacing w:val="-3"/>
        </w:rPr>
        <w:t> </w:t>
      </w:r>
      <w:r>
        <w:rPr/>
        <w:t> </w:t>
      </w:r>
    </w:p>
    <w:p>
      <w:pPr>
        <w:pStyle w:val="BodyText"/>
        <w:spacing w:before="4"/>
      </w:pPr>
      <w:r>
        <w:rPr>
          <w:spacing w:val="-27"/>
        </w:rPr>
        <w:t>于 </w:t>
      </w:r>
      <w:r>
        <w:rPr>
          <w:spacing w:val="-1"/>
        </w:rPr>
        <w:t>2022</w:t>
      </w:r>
      <w:r>
        <w:rPr>
          <w:spacing w:val="-8"/>
        </w:rPr>
        <w:t> 年度，无实际核销的其他应收款(</w:t>
      </w:r>
      <w:r>
        <w:rPr/>
        <w:t>2021</w:t>
      </w:r>
      <w:r>
        <w:rPr>
          <w:spacing w:val="-9"/>
        </w:rPr>
        <w:t> 年度：无)。</w:t>
      </w:r>
      <w:r>
        <w:rPr/>
        <w:t> </w:t>
      </w:r>
    </w:p>
    <w:p>
      <w:pPr>
        <w:pStyle w:val="BodyText"/>
        <w:spacing w:before="2"/>
      </w:pPr>
      <w:r>
        <w:rPr>
          <w:w w:val="100"/>
        </w:rPr>
        <w:t> </w:t>
      </w:r>
    </w:p>
    <w:p>
      <w:pPr>
        <w:pStyle w:val="ListParagraph"/>
        <w:numPr>
          <w:ilvl w:val="0"/>
          <w:numId w:val="63"/>
        </w:numPr>
        <w:tabs>
          <w:tab w:pos="1157" w:val="left" w:leader="none"/>
          <w:tab w:pos="1158" w:val="left" w:leader="none"/>
        </w:tabs>
        <w:spacing w:line="240" w:lineRule="auto" w:before="65" w:after="0"/>
        <w:ind w:left="1158" w:right="0" w:hanging="840"/>
        <w:jc w:val="left"/>
        <w:rPr>
          <w:sz w:val="21"/>
        </w:rPr>
      </w:pPr>
      <w:r>
        <w:rPr>
          <w:sz w:val="21"/>
        </w:rPr>
        <w:t>按欠款方归集的期末余额前五名的其他应收款情况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pPr>
    </w:p>
    <w:p>
      <w:pPr>
        <w:pStyle w:val="BodyText"/>
      </w:pPr>
      <w:r>
        <w:rPr>
          <w:spacing w:val="7"/>
        </w:rPr>
        <w:t>单位：千元 币种：人民币</w:t>
      </w:r>
      <w:r>
        <w:rPr/>
        <w:t> </w:t>
      </w:r>
    </w:p>
    <w:p>
      <w:pPr>
        <w:spacing w:after="0"/>
        <w:sectPr>
          <w:type w:val="continuous"/>
          <w:pgSz w:w="11910" w:h="16840"/>
          <w:pgMar w:top="780" w:bottom="280" w:left="1480" w:right="0"/>
          <w:cols w:num="2" w:equalWidth="0">
            <w:col w:w="5942" w:space="369"/>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6"/>
        <w:gridCol w:w="1344"/>
        <w:gridCol w:w="1219"/>
        <w:gridCol w:w="1320"/>
        <w:gridCol w:w="1750"/>
        <w:gridCol w:w="1663"/>
      </w:tblGrid>
      <w:tr>
        <w:trPr>
          <w:trHeight w:val="817" w:hRule="atLeast"/>
        </w:trPr>
        <w:tc>
          <w:tcPr>
            <w:tcW w:w="1526" w:type="dxa"/>
          </w:tcPr>
          <w:p>
            <w:pPr>
              <w:pStyle w:val="TableParagraph"/>
              <w:spacing w:before="5"/>
              <w:rPr>
                <w:sz w:val="21"/>
              </w:rPr>
            </w:pPr>
          </w:p>
          <w:p>
            <w:pPr>
              <w:pStyle w:val="TableParagraph"/>
              <w:ind w:left="324" w:right="315"/>
              <w:jc w:val="center"/>
              <w:rPr>
                <w:sz w:val="21"/>
              </w:rPr>
            </w:pPr>
            <w:r>
              <w:rPr>
                <w:spacing w:val="-1"/>
                <w:sz w:val="21"/>
              </w:rPr>
              <w:t>单位名称</w:t>
            </w:r>
            <w:r>
              <w:rPr>
                <w:sz w:val="21"/>
              </w:rPr>
              <w:t> </w:t>
            </w:r>
          </w:p>
        </w:tc>
        <w:tc>
          <w:tcPr>
            <w:tcW w:w="1344" w:type="dxa"/>
          </w:tcPr>
          <w:p>
            <w:pPr>
              <w:pStyle w:val="TableParagraph"/>
              <w:spacing w:before="5"/>
              <w:rPr>
                <w:sz w:val="21"/>
              </w:rPr>
            </w:pPr>
          </w:p>
          <w:p>
            <w:pPr>
              <w:pStyle w:val="TableParagraph"/>
              <w:ind w:left="110"/>
              <w:rPr>
                <w:sz w:val="21"/>
              </w:rPr>
            </w:pPr>
            <w:r>
              <w:rPr>
                <w:sz w:val="21"/>
              </w:rPr>
              <w:t>款项的性质 </w:t>
            </w:r>
          </w:p>
        </w:tc>
        <w:tc>
          <w:tcPr>
            <w:tcW w:w="1219" w:type="dxa"/>
          </w:tcPr>
          <w:p>
            <w:pPr>
              <w:pStyle w:val="TableParagraph"/>
              <w:spacing w:before="5"/>
              <w:rPr>
                <w:sz w:val="21"/>
              </w:rPr>
            </w:pPr>
          </w:p>
          <w:p>
            <w:pPr>
              <w:pStyle w:val="TableParagraph"/>
              <w:ind w:left="151"/>
              <w:rPr>
                <w:sz w:val="21"/>
              </w:rPr>
            </w:pPr>
            <w:r>
              <w:rPr>
                <w:spacing w:val="-1"/>
                <w:sz w:val="21"/>
              </w:rPr>
              <w:t>期末余额</w:t>
            </w:r>
            <w:r>
              <w:rPr>
                <w:sz w:val="21"/>
              </w:rPr>
              <w:t> </w:t>
            </w:r>
          </w:p>
        </w:tc>
        <w:tc>
          <w:tcPr>
            <w:tcW w:w="1320" w:type="dxa"/>
          </w:tcPr>
          <w:p>
            <w:pPr>
              <w:pStyle w:val="TableParagraph"/>
              <w:spacing w:before="5"/>
              <w:rPr>
                <w:sz w:val="21"/>
              </w:rPr>
            </w:pPr>
          </w:p>
          <w:p>
            <w:pPr>
              <w:pStyle w:val="TableParagraph"/>
              <w:ind w:left="414"/>
              <w:rPr>
                <w:sz w:val="21"/>
              </w:rPr>
            </w:pPr>
            <w:r>
              <w:rPr>
                <w:sz w:val="21"/>
              </w:rPr>
              <w:t>账龄 </w:t>
            </w:r>
          </w:p>
        </w:tc>
        <w:tc>
          <w:tcPr>
            <w:tcW w:w="1750" w:type="dxa"/>
          </w:tcPr>
          <w:p>
            <w:pPr>
              <w:pStyle w:val="TableParagraph"/>
              <w:spacing w:before="1"/>
              <w:ind w:left="140"/>
              <w:rPr>
                <w:sz w:val="21"/>
              </w:rPr>
            </w:pPr>
            <w:r>
              <w:rPr>
                <w:sz w:val="21"/>
              </w:rPr>
              <w:t>占其他应收款期</w:t>
            </w:r>
          </w:p>
          <w:p>
            <w:pPr>
              <w:pStyle w:val="TableParagraph"/>
              <w:spacing w:line="270" w:lineRule="atLeast"/>
              <w:ind w:left="507" w:right="123" w:hanging="368"/>
              <w:rPr>
                <w:sz w:val="21"/>
              </w:rPr>
            </w:pPr>
            <w:r>
              <w:rPr>
                <w:sz w:val="21"/>
              </w:rPr>
              <w:t>末余额合计数的比例(%) </w:t>
            </w:r>
          </w:p>
        </w:tc>
        <w:tc>
          <w:tcPr>
            <w:tcW w:w="1663" w:type="dxa"/>
          </w:tcPr>
          <w:p>
            <w:pPr>
              <w:pStyle w:val="TableParagraph"/>
              <w:spacing w:line="242" w:lineRule="auto" w:before="137"/>
              <w:ind w:left="411" w:right="293"/>
              <w:rPr>
                <w:sz w:val="21"/>
              </w:rPr>
            </w:pPr>
            <w:r>
              <w:rPr>
                <w:sz w:val="21"/>
              </w:rPr>
              <w:t>坏账准备期末余额 </w:t>
            </w:r>
          </w:p>
        </w:tc>
      </w:tr>
      <w:tr>
        <w:trPr>
          <w:trHeight w:val="544" w:hRule="atLeast"/>
        </w:trPr>
        <w:tc>
          <w:tcPr>
            <w:tcW w:w="1526" w:type="dxa"/>
          </w:tcPr>
          <w:p>
            <w:pPr>
              <w:pStyle w:val="TableParagraph"/>
              <w:spacing w:before="1"/>
              <w:ind w:left="107"/>
              <w:rPr>
                <w:sz w:val="21"/>
              </w:rPr>
            </w:pPr>
            <w:r>
              <w:rPr>
                <w:sz w:val="21"/>
              </w:rPr>
              <w:t>其他应收款 </w:t>
            </w:r>
          </w:p>
          <w:p>
            <w:pPr>
              <w:pStyle w:val="TableParagraph"/>
              <w:spacing w:line="252" w:lineRule="exact" w:before="2"/>
              <w:ind w:left="107"/>
              <w:rPr>
                <w:sz w:val="21"/>
              </w:rPr>
            </w:pPr>
            <w:r>
              <w:rPr>
                <w:sz w:val="21"/>
              </w:rPr>
              <w:t>1 </w:t>
            </w:r>
          </w:p>
        </w:tc>
        <w:tc>
          <w:tcPr>
            <w:tcW w:w="1344" w:type="dxa"/>
          </w:tcPr>
          <w:p>
            <w:pPr>
              <w:pStyle w:val="TableParagraph"/>
              <w:spacing w:before="1"/>
              <w:ind w:left="108"/>
              <w:rPr>
                <w:sz w:val="21"/>
              </w:rPr>
            </w:pPr>
            <w:r>
              <w:rPr>
                <w:sz w:val="21"/>
              </w:rPr>
              <w:t>应收政府补</w:t>
            </w:r>
          </w:p>
          <w:p>
            <w:pPr>
              <w:pStyle w:val="TableParagraph"/>
              <w:spacing w:line="252" w:lineRule="exact" w:before="2"/>
              <w:ind w:left="108"/>
              <w:rPr>
                <w:sz w:val="21"/>
              </w:rPr>
            </w:pPr>
            <w:r>
              <w:rPr>
                <w:sz w:val="21"/>
              </w:rPr>
              <w:t>助 </w:t>
            </w:r>
          </w:p>
        </w:tc>
        <w:tc>
          <w:tcPr>
            <w:tcW w:w="1219" w:type="dxa"/>
          </w:tcPr>
          <w:p>
            <w:pPr>
              <w:pStyle w:val="TableParagraph"/>
              <w:spacing w:line="235" w:lineRule="exact"/>
              <w:ind w:left="355"/>
              <w:rPr>
                <w:rFonts w:ascii="Times New Roman"/>
                <w:sz w:val="21"/>
              </w:rPr>
            </w:pPr>
            <w:r>
              <w:rPr>
                <w:rFonts w:ascii="Times New Roman"/>
                <w:sz w:val="21"/>
              </w:rPr>
              <w:t>910,540</w:t>
            </w:r>
          </w:p>
        </w:tc>
        <w:tc>
          <w:tcPr>
            <w:tcW w:w="1320" w:type="dxa"/>
          </w:tcPr>
          <w:p>
            <w:pPr>
              <w:pStyle w:val="TableParagraph"/>
              <w:spacing w:before="1"/>
              <w:ind w:left="108"/>
              <w:rPr>
                <w:sz w:val="21"/>
              </w:rPr>
            </w:pPr>
            <w:r>
              <w:rPr>
                <w:spacing w:val="-1"/>
                <w:sz w:val="21"/>
              </w:rPr>
              <w:t>一年以内</w:t>
            </w:r>
            <w:r>
              <w:rPr>
                <w:sz w:val="21"/>
              </w:rPr>
              <w:t> </w:t>
            </w:r>
          </w:p>
        </w:tc>
        <w:tc>
          <w:tcPr>
            <w:tcW w:w="1750" w:type="dxa"/>
          </w:tcPr>
          <w:p>
            <w:pPr>
              <w:pStyle w:val="TableParagraph"/>
              <w:spacing w:line="235" w:lineRule="exact"/>
              <w:ind w:right="91"/>
              <w:jc w:val="right"/>
              <w:rPr>
                <w:rFonts w:ascii="Times New Roman"/>
                <w:sz w:val="21"/>
              </w:rPr>
            </w:pPr>
            <w:r>
              <w:rPr>
                <w:rFonts w:ascii="Times New Roman"/>
                <w:sz w:val="21"/>
              </w:rPr>
              <w:t>47%</w:t>
            </w:r>
          </w:p>
        </w:tc>
        <w:tc>
          <w:tcPr>
            <w:tcW w:w="1663" w:type="dxa"/>
          </w:tcPr>
          <w:p>
            <w:pPr>
              <w:pStyle w:val="TableParagraph"/>
              <w:spacing w:line="235" w:lineRule="exact"/>
              <w:ind w:right="93"/>
              <w:jc w:val="right"/>
              <w:rPr>
                <w:rFonts w:ascii="Times New Roman"/>
                <w:sz w:val="21"/>
              </w:rPr>
            </w:pPr>
            <w:r>
              <w:rPr>
                <w:rFonts w:ascii="Times New Roman"/>
                <w:w w:val="100"/>
                <w:sz w:val="21"/>
              </w:rPr>
              <w:t>-</w:t>
            </w:r>
          </w:p>
        </w:tc>
      </w:tr>
      <w:tr>
        <w:trPr>
          <w:trHeight w:val="544" w:hRule="atLeast"/>
        </w:trPr>
        <w:tc>
          <w:tcPr>
            <w:tcW w:w="1526" w:type="dxa"/>
          </w:tcPr>
          <w:p>
            <w:pPr>
              <w:pStyle w:val="TableParagraph"/>
              <w:spacing w:before="1"/>
              <w:ind w:left="107"/>
              <w:rPr>
                <w:sz w:val="21"/>
              </w:rPr>
            </w:pPr>
            <w:r>
              <w:rPr>
                <w:sz w:val="21"/>
              </w:rPr>
              <w:t>其他应收款</w:t>
            </w:r>
          </w:p>
          <w:p>
            <w:pPr>
              <w:pStyle w:val="TableParagraph"/>
              <w:spacing w:line="252" w:lineRule="exact" w:before="2"/>
              <w:ind w:left="107"/>
              <w:rPr>
                <w:sz w:val="21"/>
              </w:rPr>
            </w:pPr>
            <w:r>
              <w:rPr>
                <w:sz w:val="21"/>
              </w:rPr>
              <w:t>2 </w:t>
            </w:r>
          </w:p>
        </w:tc>
        <w:tc>
          <w:tcPr>
            <w:tcW w:w="1344" w:type="dxa"/>
          </w:tcPr>
          <w:p>
            <w:pPr>
              <w:pStyle w:val="TableParagraph"/>
              <w:spacing w:before="1"/>
              <w:ind w:left="108"/>
              <w:rPr>
                <w:sz w:val="21"/>
              </w:rPr>
            </w:pPr>
            <w:r>
              <w:rPr>
                <w:sz w:val="21"/>
              </w:rPr>
              <w:t>应收保证金 </w:t>
            </w:r>
          </w:p>
        </w:tc>
        <w:tc>
          <w:tcPr>
            <w:tcW w:w="1219" w:type="dxa"/>
          </w:tcPr>
          <w:p>
            <w:pPr>
              <w:pStyle w:val="TableParagraph"/>
              <w:spacing w:line="235" w:lineRule="exact"/>
              <w:ind w:left="355"/>
              <w:rPr>
                <w:rFonts w:ascii="Times New Roman"/>
                <w:sz w:val="21"/>
              </w:rPr>
            </w:pPr>
            <w:r>
              <w:rPr>
                <w:rFonts w:ascii="Times New Roman"/>
                <w:sz w:val="21"/>
              </w:rPr>
              <w:t>174,788</w:t>
            </w:r>
          </w:p>
        </w:tc>
        <w:tc>
          <w:tcPr>
            <w:tcW w:w="1320" w:type="dxa"/>
          </w:tcPr>
          <w:p>
            <w:pPr>
              <w:pStyle w:val="TableParagraph"/>
              <w:spacing w:before="1"/>
              <w:ind w:left="108"/>
              <w:rPr>
                <w:sz w:val="21"/>
              </w:rPr>
            </w:pPr>
            <w:r>
              <w:rPr>
                <w:spacing w:val="-1"/>
                <w:sz w:val="21"/>
              </w:rPr>
              <w:t>一年以内</w:t>
            </w:r>
            <w:r>
              <w:rPr>
                <w:sz w:val="21"/>
              </w:rPr>
              <w:t> </w:t>
            </w:r>
          </w:p>
        </w:tc>
        <w:tc>
          <w:tcPr>
            <w:tcW w:w="1750" w:type="dxa"/>
          </w:tcPr>
          <w:p>
            <w:pPr>
              <w:pStyle w:val="TableParagraph"/>
              <w:spacing w:line="235" w:lineRule="exact"/>
              <w:ind w:right="94"/>
              <w:jc w:val="right"/>
              <w:rPr>
                <w:rFonts w:ascii="Times New Roman"/>
                <w:sz w:val="21"/>
              </w:rPr>
            </w:pPr>
            <w:r>
              <w:rPr>
                <w:rFonts w:ascii="Times New Roman"/>
                <w:sz w:val="21"/>
              </w:rPr>
              <w:t>9%</w:t>
            </w:r>
          </w:p>
        </w:tc>
        <w:tc>
          <w:tcPr>
            <w:tcW w:w="1663" w:type="dxa"/>
          </w:tcPr>
          <w:p>
            <w:pPr>
              <w:pStyle w:val="TableParagraph"/>
              <w:spacing w:line="235" w:lineRule="exact"/>
              <w:ind w:right="93"/>
              <w:jc w:val="right"/>
              <w:rPr>
                <w:rFonts w:ascii="Times New Roman"/>
                <w:sz w:val="21"/>
              </w:rPr>
            </w:pPr>
            <w:r>
              <w:rPr>
                <w:rFonts w:ascii="Times New Roman"/>
                <w:w w:val="100"/>
                <w:sz w:val="21"/>
              </w:rPr>
              <w:t>-</w:t>
            </w:r>
          </w:p>
        </w:tc>
      </w:tr>
      <w:tr>
        <w:trPr>
          <w:trHeight w:val="544" w:hRule="atLeast"/>
        </w:trPr>
        <w:tc>
          <w:tcPr>
            <w:tcW w:w="1526" w:type="dxa"/>
          </w:tcPr>
          <w:p>
            <w:pPr>
              <w:pStyle w:val="TableParagraph"/>
              <w:spacing w:before="1"/>
              <w:ind w:left="107"/>
              <w:rPr>
                <w:sz w:val="21"/>
              </w:rPr>
            </w:pPr>
            <w:r>
              <w:rPr>
                <w:sz w:val="21"/>
              </w:rPr>
              <w:t>其他应收款</w:t>
            </w:r>
          </w:p>
          <w:p>
            <w:pPr>
              <w:pStyle w:val="TableParagraph"/>
              <w:spacing w:line="252" w:lineRule="exact" w:before="2"/>
              <w:ind w:left="107"/>
              <w:rPr>
                <w:sz w:val="21"/>
              </w:rPr>
            </w:pPr>
            <w:r>
              <w:rPr>
                <w:sz w:val="21"/>
              </w:rPr>
              <w:t>3 </w:t>
            </w:r>
          </w:p>
        </w:tc>
        <w:tc>
          <w:tcPr>
            <w:tcW w:w="1344" w:type="dxa"/>
          </w:tcPr>
          <w:p>
            <w:pPr>
              <w:pStyle w:val="TableParagraph"/>
              <w:spacing w:before="1"/>
              <w:ind w:left="108"/>
              <w:rPr>
                <w:sz w:val="21"/>
              </w:rPr>
            </w:pPr>
            <w:r>
              <w:rPr>
                <w:sz w:val="21"/>
              </w:rPr>
              <w:t>应收保证金 </w:t>
            </w:r>
          </w:p>
        </w:tc>
        <w:tc>
          <w:tcPr>
            <w:tcW w:w="1219" w:type="dxa"/>
          </w:tcPr>
          <w:p>
            <w:pPr>
              <w:pStyle w:val="TableParagraph"/>
              <w:spacing w:line="235" w:lineRule="exact"/>
              <w:ind w:left="355"/>
              <w:rPr>
                <w:rFonts w:ascii="Times New Roman"/>
                <w:sz w:val="21"/>
              </w:rPr>
            </w:pPr>
            <w:r>
              <w:rPr>
                <w:rFonts w:ascii="Times New Roman"/>
                <w:sz w:val="21"/>
              </w:rPr>
              <w:t>159,800</w:t>
            </w:r>
          </w:p>
        </w:tc>
        <w:tc>
          <w:tcPr>
            <w:tcW w:w="1320" w:type="dxa"/>
          </w:tcPr>
          <w:p>
            <w:pPr>
              <w:pStyle w:val="TableParagraph"/>
              <w:spacing w:before="1"/>
              <w:ind w:left="108"/>
              <w:rPr>
                <w:sz w:val="21"/>
              </w:rPr>
            </w:pPr>
            <w:r>
              <w:rPr>
                <w:spacing w:val="-1"/>
                <w:sz w:val="21"/>
              </w:rPr>
              <w:t>一到二年</w:t>
            </w:r>
            <w:r>
              <w:rPr>
                <w:sz w:val="21"/>
              </w:rPr>
              <w:t> </w:t>
            </w:r>
          </w:p>
        </w:tc>
        <w:tc>
          <w:tcPr>
            <w:tcW w:w="1750" w:type="dxa"/>
          </w:tcPr>
          <w:p>
            <w:pPr>
              <w:pStyle w:val="TableParagraph"/>
              <w:spacing w:line="235" w:lineRule="exact"/>
              <w:ind w:right="94"/>
              <w:jc w:val="right"/>
              <w:rPr>
                <w:rFonts w:ascii="Times New Roman"/>
                <w:sz w:val="21"/>
              </w:rPr>
            </w:pPr>
            <w:r>
              <w:rPr>
                <w:rFonts w:ascii="Times New Roman"/>
                <w:sz w:val="21"/>
              </w:rPr>
              <w:t>8%</w:t>
            </w:r>
          </w:p>
        </w:tc>
        <w:tc>
          <w:tcPr>
            <w:tcW w:w="1663" w:type="dxa"/>
          </w:tcPr>
          <w:p>
            <w:pPr>
              <w:pStyle w:val="TableParagraph"/>
              <w:spacing w:line="235" w:lineRule="exact"/>
              <w:ind w:right="93"/>
              <w:jc w:val="right"/>
              <w:rPr>
                <w:rFonts w:ascii="Times New Roman"/>
                <w:sz w:val="21"/>
              </w:rPr>
            </w:pPr>
            <w:r>
              <w:rPr>
                <w:rFonts w:ascii="Times New Roman"/>
                <w:w w:val="100"/>
                <w:sz w:val="21"/>
              </w:rPr>
              <w:t>-</w:t>
            </w:r>
          </w:p>
        </w:tc>
      </w:tr>
      <w:tr>
        <w:trPr>
          <w:trHeight w:val="544" w:hRule="atLeast"/>
        </w:trPr>
        <w:tc>
          <w:tcPr>
            <w:tcW w:w="1526" w:type="dxa"/>
          </w:tcPr>
          <w:p>
            <w:pPr>
              <w:pStyle w:val="TableParagraph"/>
              <w:spacing w:before="1"/>
              <w:ind w:left="107"/>
              <w:rPr>
                <w:sz w:val="21"/>
              </w:rPr>
            </w:pPr>
            <w:r>
              <w:rPr>
                <w:sz w:val="21"/>
              </w:rPr>
              <w:t>其他应收款</w:t>
            </w:r>
          </w:p>
          <w:p>
            <w:pPr>
              <w:pStyle w:val="TableParagraph"/>
              <w:spacing w:line="250" w:lineRule="exact" w:before="4"/>
              <w:ind w:left="107"/>
              <w:rPr>
                <w:sz w:val="21"/>
              </w:rPr>
            </w:pPr>
            <w:r>
              <w:rPr>
                <w:sz w:val="21"/>
              </w:rPr>
              <w:t>4 </w:t>
            </w:r>
          </w:p>
        </w:tc>
        <w:tc>
          <w:tcPr>
            <w:tcW w:w="1344" w:type="dxa"/>
          </w:tcPr>
          <w:p>
            <w:pPr>
              <w:pStyle w:val="TableParagraph"/>
              <w:spacing w:before="1"/>
              <w:ind w:left="108"/>
              <w:rPr>
                <w:sz w:val="21"/>
              </w:rPr>
            </w:pPr>
            <w:r>
              <w:rPr>
                <w:spacing w:val="-1"/>
                <w:sz w:val="21"/>
              </w:rPr>
              <w:t>在途资金</w:t>
            </w:r>
            <w:r>
              <w:rPr>
                <w:sz w:val="21"/>
              </w:rPr>
              <w:t> </w:t>
            </w:r>
          </w:p>
        </w:tc>
        <w:tc>
          <w:tcPr>
            <w:tcW w:w="1219" w:type="dxa"/>
          </w:tcPr>
          <w:p>
            <w:pPr>
              <w:pStyle w:val="TableParagraph"/>
              <w:spacing w:line="235" w:lineRule="exact"/>
              <w:ind w:left="355"/>
              <w:rPr>
                <w:rFonts w:ascii="Times New Roman"/>
                <w:sz w:val="21"/>
              </w:rPr>
            </w:pPr>
            <w:r>
              <w:rPr>
                <w:rFonts w:ascii="Times New Roman"/>
                <w:sz w:val="21"/>
              </w:rPr>
              <w:t>139,372</w:t>
            </w:r>
          </w:p>
        </w:tc>
        <w:tc>
          <w:tcPr>
            <w:tcW w:w="1320" w:type="dxa"/>
          </w:tcPr>
          <w:p>
            <w:pPr>
              <w:pStyle w:val="TableParagraph"/>
              <w:spacing w:before="1"/>
              <w:ind w:left="108"/>
              <w:rPr>
                <w:sz w:val="21"/>
              </w:rPr>
            </w:pPr>
            <w:r>
              <w:rPr>
                <w:spacing w:val="-1"/>
                <w:sz w:val="21"/>
              </w:rPr>
              <w:t>一年以内</w:t>
            </w:r>
            <w:r>
              <w:rPr>
                <w:sz w:val="21"/>
              </w:rPr>
              <w:t> </w:t>
            </w:r>
          </w:p>
        </w:tc>
        <w:tc>
          <w:tcPr>
            <w:tcW w:w="1750" w:type="dxa"/>
          </w:tcPr>
          <w:p>
            <w:pPr>
              <w:pStyle w:val="TableParagraph"/>
              <w:spacing w:line="235" w:lineRule="exact"/>
              <w:ind w:right="94"/>
              <w:jc w:val="right"/>
              <w:rPr>
                <w:rFonts w:ascii="Times New Roman"/>
                <w:sz w:val="21"/>
              </w:rPr>
            </w:pPr>
            <w:r>
              <w:rPr>
                <w:rFonts w:ascii="Times New Roman"/>
                <w:sz w:val="21"/>
              </w:rPr>
              <w:t>7%</w:t>
            </w:r>
          </w:p>
        </w:tc>
        <w:tc>
          <w:tcPr>
            <w:tcW w:w="1663" w:type="dxa"/>
          </w:tcPr>
          <w:p>
            <w:pPr>
              <w:pStyle w:val="TableParagraph"/>
              <w:spacing w:line="235" w:lineRule="exact"/>
              <w:ind w:right="93"/>
              <w:jc w:val="right"/>
              <w:rPr>
                <w:rFonts w:ascii="Times New Roman"/>
                <w:sz w:val="21"/>
              </w:rPr>
            </w:pPr>
            <w:r>
              <w:rPr>
                <w:rFonts w:ascii="Times New Roman"/>
                <w:w w:val="100"/>
                <w:sz w:val="21"/>
              </w:rPr>
              <w:t>-</w:t>
            </w:r>
          </w:p>
        </w:tc>
      </w:tr>
      <w:tr>
        <w:trPr>
          <w:trHeight w:val="544" w:hRule="atLeast"/>
        </w:trPr>
        <w:tc>
          <w:tcPr>
            <w:tcW w:w="1526" w:type="dxa"/>
          </w:tcPr>
          <w:p>
            <w:pPr>
              <w:pStyle w:val="TableParagraph"/>
              <w:spacing w:before="1"/>
              <w:ind w:left="107"/>
              <w:rPr>
                <w:sz w:val="21"/>
              </w:rPr>
            </w:pPr>
            <w:r>
              <w:rPr>
                <w:sz w:val="21"/>
              </w:rPr>
              <w:t>其他应收款</w:t>
            </w:r>
          </w:p>
          <w:p>
            <w:pPr>
              <w:pStyle w:val="TableParagraph"/>
              <w:spacing w:line="250" w:lineRule="exact" w:before="4"/>
              <w:ind w:left="107"/>
              <w:rPr>
                <w:sz w:val="21"/>
              </w:rPr>
            </w:pPr>
            <w:r>
              <w:rPr>
                <w:sz w:val="21"/>
              </w:rPr>
              <w:t>5 </w:t>
            </w:r>
          </w:p>
        </w:tc>
        <w:tc>
          <w:tcPr>
            <w:tcW w:w="1344" w:type="dxa"/>
          </w:tcPr>
          <w:p>
            <w:pPr>
              <w:pStyle w:val="TableParagraph"/>
              <w:spacing w:before="1"/>
              <w:ind w:left="108"/>
              <w:rPr>
                <w:sz w:val="21"/>
              </w:rPr>
            </w:pPr>
            <w:r>
              <w:rPr>
                <w:sz w:val="21"/>
              </w:rPr>
              <w:t>应收租金返</w:t>
            </w:r>
          </w:p>
          <w:p>
            <w:pPr>
              <w:pStyle w:val="TableParagraph"/>
              <w:spacing w:line="250" w:lineRule="exact" w:before="4"/>
              <w:ind w:left="108"/>
              <w:rPr>
                <w:sz w:val="21"/>
              </w:rPr>
            </w:pPr>
            <w:r>
              <w:rPr>
                <w:sz w:val="21"/>
              </w:rPr>
              <w:t>还 </w:t>
            </w:r>
          </w:p>
        </w:tc>
        <w:tc>
          <w:tcPr>
            <w:tcW w:w="1219" w:type="dxa"/>
          </w:tcPr>
          <w:p>
            <w:pPr>
              <w:pStyle w:val="TableParagraph"/>
              <w:spacing w:line="235" w:lineRule="exact"/>
              <w:ind w:left="355"/>
              <w:rPr>
                <w:rFonts w:ascii="Times New Roman"/>
                <w:sz w:val="21"/>
              </w:rPr>
            </w:pPr>
            <w:r>
              <w:rPr>
                <w:rFonts w:ascii="Times New Roman"/>
                <w:sz w:val="21"/>
              </w:rPr>
              <w:t>134,993</w:t>
            </w:r>
          </w:p>
        </w:tc>
        <w:tc>
          <w:tcPr>
            <w:tcW w:w="1320" w:type="dxa"/>
          </w:tcPr>
          <w:p>
            <w:pPr>
              <w:pStyle w:val="TableParagraph"/>
              <w:spacing w:before="1"/>
              <w:ind w:left="108"/>
              <w:rPr>
                <w:sz w:val="21"/>
              </w:rPr>
            </w:pPr>
            <w:r>
              <w:rPr>
                <w:spacing w:val="-1"/>
                <w:sz w:val="21"/>
              </w:rPr>
              <w:t>一到二年</w:t>
            </w:r>
            <w:r>
              <w:rPr>
                <w:sz w:val="21"/>
              </w:rPr>
              <w:t> </w:t>
            </w:r>
          </w:p>
        </w:tc>
        <w:tc>
          <w:tcPr>
            <w:tcW w:w="1750" w:type="dxa"/>
          </w:tcPr>
          <w:p>
            <w:pPr>
              <w:pStyle w:val="TableParagraph"/>
              <w:spacing w:line="235" w:lineRule="exact"/>
              <w:ind w:right="94"/>
              <w:jc w:val="right"/>
              <w:rPr>
                <w:rFonts w:ascii="Times New Roman"/>
                <w:sz w:val="21"/>
              </w:rPr>
            </w:pPr>
            <w:r>
              <w:rPr>
                <w:rFonts w:ascii="Times New Roman"/>
                <w:sz w:val="21"/>
              </w:rPr>
              <w:t>7%</w:t>
            </w:r>
          </w:p>
        </w:tc>
        <w:tc>
          <w:tcPr>
            <w:tcW w:w="1663" w:type="dxa"/>
          </w:tcPr>
          <w:p>
            <w:pPr>
              <w:pStyle w:val="TableParagraph"/>
              <w:spacing w:line="235" w:lineRule="exact"/>
              <w:ind w:right="94"/>
              <w:jc w:val="right"/>
              <w:rPr>
                <w:rFonts w:ascii="Times New Roman"/>
                <w:sz w:val="21"/>
              </w:rPr>
            </w:pPr>
            <w:r>
              <w:rPr>
                <w:rFonts w:ascii="Times New Roman"/>
                <w:sz w:val="21"/>
              </w:rPr>
              <w:t>-13,499</w:t>
            </w:r>
          </w:p>
        </w:tc>
      </w:tr>
      <w:tr>
        <w:trPr>
          <w:trHeight w:val="273" w:hRule="atLeast"/>
        </w:trPr>
        <w:tc>
          <w:tcPr>
            <w:tcW w:w="1526" w:type="dxa"/>
          </w:tcPr>
          <w:p>
            <w:pPr>
              <w:pStyle w:val="TableParagraph"/>
              <w:spacing w:line="252" w:lineRule="exact" w:before="1"/>
              <w:ind w:left="322" w:right="315"/>
              <w:jc w:val="center"/>
              <w:rPr>
                <w:sz w:val="21"/>
              </w:rPr>
            </w:pPr>
            <w:r>
              <w:rPr>
                <w:sz w:val="21"/>
              </w:rPr>
              <w:t>合计 </w:t>
            </w:r>
          </w:p>
        </w:tc>
        <w:tc>
          <w:tcPr>
            <w:tcW w:w="1344" w:type="dxa"/>
          </w:tcPr>
          <w:p>
            <w:pPr>
              <w:pStyle w:val="TableParagraph"/>
              <w:spacing w:line="252" w:lineRule="exact" w:before="1"/>
              <w:ind w:left="617" w:right="572"/>
              <w:jc w:val="center"/>
              <w:rPr>
                <w:sz w:val="21"/>
              </w:rPr>
            </w:pPr>
            <w:r>
              <w:rPr>
                <w:sz w:val="21"/>
              </w:rPr>
              <w:t>/ </w:t>
            </w:r>
          </w:p>
        </w:tc>
        <w:tc>
          <w:tcPr>
            <w:tcW w:w="1219" w:type="dxa"/>
          </w:tcPr>
          <w:p>
            <w:pPr>
              <w:pStyle w:val="TableParagraph"/>
              <w:spacing w:line="235" w:lineRule="exact"/>
              <w:ind w:left="197"/>
              <w:rPr>
                <w:rFonts w:ascii="Times New Roman"/>
                <w:sz w:val="21"/>
              </w:rPr>
            </w:pPr>
            <w:r>
              <w:rPr>
                <w:rFonts w:ascii="Times New Roman"/>
                <w:sz w:val="21"/>
              </w:rPr>
              <w:t>1,519,493</w:t>
            </w:r>
          </w:p>
        </w:tc>
        <w:tc>
          <w:tcPr>
            <w:tcW w:w="1320" w:type="dxa"/>
          </w:tcPr>
          <w:p>
            <w:pPr>
              <w:pStyle w:val="TableParagraph"/>
              <w:spacing w:line="252" w:lineRule="exact" w:before="1"/>
              <w:ind w:left="605" w:right="559"/>
              <w:jc w:val="center"/>
              <w:rPr>
                <w:sz w:val="21"/>
              </w:rPr>
            </w:pPr>
            <w:r>
              <w:rPr>
                <w:sz w:val="21"/>
              </w:rPr>
              <w:t>/ </w:t>
            </w:r>
          </w:p>
        </w:tc>
        <w:tc>
          <w:tcPr>
            <w:tcW w:w="1750" w:type="dxa"/>
          </w:tcPr>
          <w:p>
            <w:pPr>
              <w:pStyle w:val="TableParagraph"/>
              <w:spacing w:line="235" w:lineRule="exact"/>
              <w:ind w:right="91"/>
              <w:jc w:val="right"/>
              <w:rPr>
                <w:rFonts w:ascii="Times New Roman"/>
                <w:sz w:val="21"/>
              </w:rPr>
            </w:pPr>
            <w:r>
              <w:rPr>
                <w:rFonts w:ascii="Times New Roman"/>
                <w:sz w:val="21"/>
              </w:rPr>
              <w:t>78%</w:t>
            </w:r>
          </w:p>
        </w:tc>
        <w:tc>
          <w:tcPr>
            <w:tcW w:w="1663" w:type="dxa"/>
          </w:tcPr>
          <w:p>
            <w:pPr>
              <w:pStyle w:val="TableParagraph"/>
              <w:spacing w:line="235" w:lineRule="exact"/>
              <w:ind w:right="94"/>
              <w:jc w:val="right"/>
              <w:rPr>
                <w:rFonts w:ascii="Times New Roman"/>
                <w:sz w:val="21"/>
              </w:rPr>
            </w:pPr>
            <w:r>
              <w:rPr>
                <w:rFonts w:ascii="Times New Roman"/>
                <w:sz w:val="21"/>
              </w:rPr>
              <w:t>-13,499</w:t>
            </w:r>
          </w:p>
        </w:tc>
      </w:tr>
    </w:tbl>
    <w:p>
      <w:pPr>
        <w:spacing w:after="0" w:line="235" w:lineRule="exact"/>
        <w:jc w:val="right"/>
        <w:rPr>
          <w:rFonts w:ascii="Times New Roman"/>
          <w:sz w:val="21"/>
        </w:rPr>
        <w:sectPr>
          <w:type w:val="continuous"/>
          <w:pgSz w:w="11910" w:h="16840"/>
          <w:pgMar w:top="780" w:bottom="280" w:left="1480" w:right="0"/>
        </w:sectPr>
      </w:pPr>
    </w:p>
    <w:p>
      <w:pPr>
        <w:pStyle w:val="BodyText"/>
        <w:spacing w:before="5"/>
      </w:pPr>
      <w:r>
        <w:rPr>
          <w:w w:val="100"/>
        </w:rPr>
        <w:t> </w:t>
      </w:r>
    </w:p>
    <w:p>
      <w:pPr>
        <w:pStyle w:val="ListParagraph"/>
        <w:numPr>
          <w:ilvl w:val="0"/>
          <w:numId w:val="63"/>
        </w:numPr>
        <w:tabs>
          <w:tab w:pos="1157" w:val="left" w:leader="none"/>
          <w:tab w:pos="1158" w:val="left" w:leader="none"/>
        </w:tabs>
        <w:spacing w:line="240" w:lineRule="auto" w:before="62" w:after="0"/>
        <w:ind w:left="1158" w:right="0" w:hanging="840"/>
        <w:jc w:val="left"/>
        <w:rPr>
          <w:sz w:val="21"/>
        </w:rPr>
      </w:pPr>
      <w:r>
        <w:rPr>
          <w:sz w:val="21"/>
        </w:rPr>
        <w:t>涉及政府补助的应收款项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72"/>
      </w:pPr>
      <w:r>
        <w:rPr>
          <w:spacing w:val="7"/>
        </w:rPr>
        <w:t>单位：千元 币种：人民币</w:t>
      </w:r>
      <w:r>
        <w:rPr/>
        <w:t> </w:t>
      </w:r>
    </w:p>
    <w:p>
      <w:pPr>
        <w:spacing w:after="0"/>
        <w:sectPr>
          <w:type w:val="continuous"/>
          <w:pgSz w:w="11910" w:h="16840"/>
          <w:pgMar w:top="780" w:bottom="280" w:left="1480" w:right="0"/>
          <w:cols w:num="2" w:equalWidth="0">
            <w:col w:w="3623" w:space="2687"/>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1560"/>
        <w:gridCol w:w="1740"/>
        <w:gridCol w:w="1598"/>
        <w:gridCol w:w="1863"/>
      </w:tblGrid>
      <w:tr>
        <w:trPr>
          <w:trHeight w:val="545" w:hRule="atLeast"/>
        </w:trPr>
        <w:tc>
          <w:tcPr>
            <w:tcW w:w="2062" w:type="dxa"/>
          </w:tcPr>
          <w:p>
            <w:pPr>
              <w:pStyle w:val="TableParagraph"/>
              <w:spacing w:before="138"/>
              <w:ind w:left="609"/>
              <w:rPr>
                <w:sz w:val="21"/>
              </w:rPr>
            </w:pPr>
            <w:r>
              <w:rPr>
                <w:spacing w:val="-1"/>
                <w:sz w:val="21"/>
              </w:rPr>
              <w:t>单位名称</w:t>
            </w:r>
            <w:r>
              <w:rPr>
                <w:sz w:val="21"/>
              </w:rPr>
              <w:t> </w:t>
            </w:r>
          </w:p>
        </w:tc>
        <w:tc>
          <w:tcPr>
            <w:tcW w:w="1560" w:type="dxa"/>
          </w:tcPr>
          <w:p>
            <w:pPr>
              <w:pStyle w:val="TableParagraph"/>
              <w:spacing w:before="1"/>
              <w:ind w:left="148"/>
              <w:rPr>
                <w:sz w:val="21"/>
              </w:rPr>
            </w:pPr>
            <w:r>
              <w:rPr>
                <w:sz w:val="21"/>
              </w:rPr>
              <w:t>政府补助项目</w:t>
            </w:r>
          </w:p>
          <w:p>
            <w:pPr>
              <w:pStyle w:val="TableParagraph"/>
              <w:spacing w:line="250" w:lineRule="exact" w:before="5"/>
              <w:ind w:left="568"/>
              <w:rPr>
                <w:sz w:val="21"/>
              </w:rPr>
            </w:pPr>
            <w:r>
              <w:rPr>
                <w:sz w:val="21"/>
              </w:rPr>
              <w:t>名称 </w:t>
            </w:r>
          </w:p>
        </w:tc>
        <w:tc>
          <w:tcPr>
            <w:tcW w:w="1740" w:type="dxa"/>
          </w:tcPr>
          <w:p>
            <w:pPr>
              <w:pStyle w:val="TableParagraph"/>
              <w:spacing w:before="138"/>
              <w:ind w:left="448"/>
              <w:rPr>
                <w:sz w:val="21"/>
              </w:rPr>
            </w:pPr>
            <w:r>
              <w:rPr>
                <w:spacing w:val="-1"/>
                <w:sz w:val="21"/>
              </w:rPr>
              <w:t>期末余额</w:t>
            </w:r>
            <w:r>
              <w:rPr>
                <w:sz w:val="21"/>
              </w:rPr>
              <w:t> </w:t>
            </w:r>
          </w:p>
        </w:tc>
        <w:tc>
          <w:tcPr>
            <w:tcW w:w="1598" w:type="dxa"/>
          </w:tcPr>
          <w:p>
            <w:pPr>
              <w:pStyle w:val="TableParagraph"/>
              <w:spacing w:before="138"/>
              <w:ind w:left="379"/>
              <w:rPr>
                <w:sz w:val="21"/>
              </w:rPr>
            </w:pPr>
            <w:r>
              <w:rPr>
                <w:spacing w:val="-1"/>
                <w:sz w:val="21"/>
              </w:rPr>
              <w:t>期末账龄</w:t>
            </w:r>
            <w:r>
              <w:rPr>
                <w:sz w:val="21"/>
              </w:rPr>
              <w:t> </w:t>
            </w:r>
          </w:p>
        </w:tc>
        <w:tc>
          <w:tcPr>
            <w:tcW w:w="1863" w:type="dxa"/>
          </w:tcPr>
          <w:p>
            <w:pPr>
              <w:pStyle w:val="TableParagraph"/>
              <w:spacing w:before="1"/>
              <w:ind w:left="301"/>
              <w:rPr>
                <w:sz w:val="21"/>
              </w:rPr>
            </w:pPr>
            <w:r>
              <w:rPr>
                <w:sz w:val="21"/>
              </w:rPr>
              <w:t>预计收取的时</w:t>
            </w:r>
          </w:p>
          <w:p>
            <w:pPr>
              <w:pStyle w:val="TableParagraph"/>
              <w:spacing w:line="250" w:lineRule="exact" w:before="5"/>
              <w:ind w:left="195"/>
              <w:rPr>
                <w:sz w:val="21"/>
              </w:rPr>
            </w:pPr>
            <w:r>
              <w:rPr>
                <w:spacing w:val="-1"/>
                <w:sz w:val="21"/>
              </w:rPr>
              <w:t>间、金额及依据</w:t>
            </w:r>
            <w:r>
              <w:rPr>
                <w:sz w:val="21"/>
              </w:rPr>
              <w:t> </w:t>
            </w:r>
          </w:p>
        </w:tc>
      </w:tr>
      <w:tr>
        <w:trPr>
          <w:trHeight w:val="818" w:hRule="atLeast"/>
        </w:trPr>
        <w:tc>
          <w:tcPr>
            <w:tcW w:w="2062" w:type="dxa"/>
          </w:tcPr>
          <w:p>
            <w:pPr>
              <w:pStyle w:val="TableParagraph"/>
              <w:spacing w:before="1"/>
              <w:ind w:left="107"/>
              <w:rPr>
                <w:sz w:val="21"/>
              </w:rPr>
            </w:pPr>
            <w:r>
              <w:rPr>
                <w:spacing w:val="-1"/>
                <w:sz w:val="21"/>
              </w:rPr>
              <w:t>某经济综合实验区</w:t>
            </w:r>
            <w:r>
              <w:rPr>
                <w:sz w:val="21"/>
              </w:rPr>
              <w:t> </w:t>
            </w:r>
          </w:p>
          <w:p>
            <w:pPr>
              <w:pStyle w:val="TableParagraph"/>
              <w:spacing w:before="4"/>
              <w:ind w:left="107"/>
              <w:rPr>
                <w:sz w:val="21"/>
              </w:rPr>
            </w:pPr>
            <w:r>
              <w:rPr>
                <w:w w:val="100"/>
                <w:sz w:val="21"/>
              </w:rPr>
              <w:t>   </w:t>
            </w:r>
            <w:r>
              <w:rPr>
                <w:spacing w:val="-1"/>
                <w:w w:val="100"/>
                <w:sz w:val="21"/>
              </w:rPr>
              <w:t> </w:t>
            </w:r>
            <w:r>
              <w:rPr>
                <w:sz w:val="21"/>
              </w:rPr>
              <w:t>管理委员会 </w:t>
            </w:r>
          </w:p>
        </w:tc>
        <w:tc>
          <w:tcPr>
            <w:tcW w:w="1560" w:type="dxa"/>
          </w:tcPr>
          <w:p>
            <w:pPr>
              <w:pStyle w:val="TableParagraph"/>
              <w:spacing w:line="244" w:lineRule="auto" w:before="1"/>
              <w:ind w:left="107" w:right="177"/>
              <w:rPr>
                <w:sz w:val="21"/>
              </w:rPr>
            </w:pPr>
            <w:r>
              <w:rPr>
                <w:spacing w:val="-1"/>
                <w:sz w:val="21"/>
              </w:rPr>
              <w:t>项目投资协议</w:t>
            </w:r>
            <w:r>
              <w:rPr>
                <w:sz w:val="21"/>
              </w:rPr>
              <w:t>奖励 </w:t>
            </w:r>
          </w:p>
        </w:tc>
        <w:tc>
          <w:tcPr>
            <w:tcW w:w="1740" w:type="dxa"/>
          </w:tcPr>
          <w:p>
            <w:pPr>
              <w:pStyle w:val="TableParagraph"/>
              <w:spacing w:line="235" w:lineRule="exact"/>
              <w:ind w:left="950"/>
              <w:rPr>
                <w:rFonts w:ascii="Times New Roman"/>
                <w:sz w:val="21"/>
              </w:rPr>
            </w:pPr>
            <w:r>
              <w:rPr>
                <w:rFonts w:ascii="Times New Roman"/>
                <w:sz w:val="21"/>
              </w:rPr>
              <w:t>910,540</w:t>
            </w:r>
          </w:p>
        </w:tc>
        <w:tc>
          <w:tcPr>
            <w:tcW w:w="1598" w:type="dxa"/>
          </w:tcPr>
          <w:p>
            <w:pPr>
              <w:pStyle w:val="TableParagraph"/>
              <w:spacing w:before="1"/>
              <w:ind w:left="650" w:right="-15"/>
              <w:rPr>
                <w:sz w:val="21"/>
              </w:rPr>
            </w:pPr>
            <w:r>
              <w:rPr>
                <w:spacing w:val="-1"/>
                <w:sz w:val="21"/>
              </w:rPr>
              <w:t>一年以内</w:t>
            </w:r>
            <w:r>
              <w:rPr>
                <w:sz w:val="21"/>
              </w:rPr>
              <w:t> </w:t>
            </w:r>
          </w:p>
        </w:tc>
        <w:tc>
          <w:tcPr>
            <w:tcW w:w="1863" w:type="dxa"/>
          </w:tcPr>
          <w:p>
            <w:pPr>
              <w:pStyle w:val="TableParagraph"/>
              <w:spacing w:before="1"/>
              <w:ind w:left="109"/>
              <w:rPr>
                <w:sz w:val="21"/>
              </w:rPr>
            </w:pPr>
            <w:r>
              <w:rPr>
                <w:sz w:val="21"/>
              </w:rPr>
              <w:t>根据相关协议，</w:t>
            </w:r>
          </w:p>
          <w:p>
            <w:pPr>
              <w:pStyle w:val="TableParagraph"/>
              <w:spacing w:line="270" w:lineRule="atLeast"/>
              <w:ind w:left="109" w:right="267"/>
              <w:rPr>
                <w:sz w:val="21"/>
              </w:rPr>
            </w:pPr>
            <w:r>
              <w:rPr>
                <w:sz w:val="21"/>
              </w:rPr>
              <w:t>预计全额于一年内收回 </w:t>
            </w:r>
          </w:p>
        </w:tc>
      </w:tr>
      <w:tr>
        <w:trPr>
          <w:trHeight w:val="270" w:hRule="atLeast"/>
        </w:trPr>
        <w:tc>
          <w:tcPr>
            <w:tcW w:w="2062" w:type="dxa"/>
          </w:tcPr>
          <w:p>
            <w:pPr>
              <w:pStyle w:val="TableParagraph"/>
              <w:spacing w:line="250" w:lineRule="exact" w:before="1"/>
              <w:ind w:left="107"/>
              <w:rPr>
                <w:sz w:val="21"/>
              </w:rPr>
            </w:pPr>
            <w:r>
              <w:rPr>
                <w:w w:val="100"/>
                <w:sz w:val="21"/>
              </w:rPr>
              <w:t> </w:t>
            </w:r>
          </w:p>
        </w:tc>
        <w:tc>
          <w:tcPr>
            <w:tcW w:w="1560" w:type="dxa"/>
          </w:tcPr>
          <w:p>
            <w:pPr>
              <w:pStyle w:val="TableParagraph"/>
              <w:spacing w:line="250" w:lineRule="exact" w:before="1"/>
              <w:ind w:left="107"/>
              <w:rPr>
                <w:sz w:val="21"/>
              </w:rPr>
            </w:pPr>
            <w:r>
              <w:rPr>
                <w:w w:val="100"/>
                <w:sz w:val="21"/>
              </w:rPr>
              <w:t> </w:t>
            </w:r>
          </w:p>
        </w:tc>
        <w:tc>
          <w:tcPr>
            <w:tcW w:w="1740" w:type="dxa"/>
          </w:tcPr>
          <w:p>
            <w:pPr>
              <w:pStyle w:val="TableParagraph"/>
              <w:spacing w:line="250" w:lineRule="exact" w:before="1"/>
              <w:ind w:right="-15"/>
              <w:jc w:val="right"/>
              <w:rPr>
                <w:sz w:val="21"/>
              </w:rPr>
            </w:pPr>
            <w:r>
              <w:rPr>
                <w:w w:val="100"/>
                <w:sz w:val="21"/>
              </w:rPr>
              <w:t> </w:t>
            </w:r>
          </w:p>
        </w:tc>
        <w:tc>
          <w:tcPr>
            <w:tcW w:w="1598" w:type="dxa"/>
          </w:tcPr>
          <w:p>
            <w:pPr>
              <w:pStyle w:val="TableParagraph"/>
              <w:spacing w:line="250" w:lineRule="exact" w:before="1"/>
              <w:ind w:left="108"/>
              <w:rPr>
                <w:sz w:val="21"/>
              </w:rPr>
            </w:pPr>
            <w:r>
              <w:rPr>
                <w:w w:val="100"/>
                <w:sz w:val="21"/>
              </w:rPr>
              <w:t> </w:t>
            </w:r>
          </w:p>
        </w:tc>
        <w:tc>
          <w:tcPr>
            <w:tcW w:w="1863" w:type="dxa"/>
          </w:tcPr>
          <w:p>
            <w:pPr>
              <w:pStyle w:val="TableParagraph"/>
              <w:spacing w:line="250" w:lineRule="exact" w:before="1"/>
              <w:ind w:left="109"/>
              <w:rPr>
                <w:sz w:val="21"/>
              </w:rPr>
            </w:pPr>
            <w:r>
              <w:rPr>
                <w:w w:val="100"/>
                <w:sz w:val="21"/>
              </w:rPr>
              <w:t> </w:t>
            </w:r>
          </w:p>
        </w:tc>
      </w:tr>
    </w:tbl>
    <w:p>
      <w:pPr>
        <w:pStyle w:val="BodyText"/>
        <w:spacing w:before="5"/>
      </w:pPr>
      <w:r>
        <w:rPr>
          <w:spacing w:val="-1"/>
        </w:rPr>
        <w:t>其他说明</w:t>
      </w:r>
      <w:r>
        <w:rPr/>
        <w:t> </w:t>
      </w:r>
    </w:p>
    <w:p>
      <w:pPr>
        <w:pStyle w:val="BodyText"/>
        <w:spacing w:before="4"/>
      </w:pPr>
      <w:r>
        <w:rPr>
          <w:spacing w:val="-3"/>
        </w:rPr>
        <w:t>截至本财务报告批准报出日止，本集团已实际收到相关应收政府补助人民币 </w:t>
      </w:r>
      <w:r>
        <w:rPr>
          <w:rFonts w:ascii="Times New Roman" w:eastAsia="Times New Roman"/>
        </w:rPr>
        <w:t>305,250</w:t>
      </w:r>
      <w:r>
        <w:rPr>
          <w:rFonts w:ascii="Times New Roman" w:eastAsia="Times New Roman"/>
          <w:spacing w:val="-12"/>
        </w:rPr>
        <w:t> </w:t>
      </w:r>
      <w:r>
        <w:rPr/>
        <w:t>千元。 </w:t>
      </w:r>
    </w:p>
    <w:p>
      <w:pPr>
        <w:spacing w:after="0"/>
        <w:sectPr>
          <w:type w:val="continuous"/>
          <w:pgSz w:w="11910" w:h="16840"/>
          <w:pgMar w:top="780" w:bottom="280" w:left="1480" w:right="0"/>
        </w:sectPr>
      </w:pPr>
    </w:p>
    <w:p>
      <w:pPr>
        <w:pStyle w:val="BodyText"/>
        <w:spacing w:before="7"/>
        <w:ind w:left="0"/>
        <w:rPr>
          <w:sz w:val="25"/>
        </w:rPr>
      </w:pPr>
    </w:p>
    <w:p>
      <w:pPr>
        <w:spacing w:after="0"/>
        <w:rPr>
          <w:sz w:val="25"/>
        </w:rPr>
        <w:sectPr>
          <w:pgSz w:w="11910" w:h="16840"/>
          <w:pgMar w:header="882" w:footer="1172" w:top="1120" w:bottom="1380" w:left="1480" w:right="0"/>
        </w:sectPr>
      </w:pPr>
    </w:p>
    <w:p>
      <w:pPr>
        <w:pStyle w:val="ListParagraph"/>
        <w:numPr>
          <w:ilvl w:val="0"/>
          <w:numId w:val="63"/>
        </w:numPr>
        <w:tabs>
          <w:tab w:pos="1157" w:val="left" w:leader="none"/>
          <w:tab w:pos="1158" w:val="left" w:leader="none"/>
        </w:tabs>
        <w:spacing w:line="240" w:lineRule="auto" w:before="72" w:after="0"/>
        <w:ind w:left="1158" w:right="0" w:hanging="840"/>
        <w:jc w:val="left"/>
        <w:rPr>
          <w:sz w:val="21"/>
        </w:rPr>
      </w:pPr>
      <w:r>
        <w:rPr>
          <w:sz w:val="21"/>
        </w:rPr>
        <w:t>因金融资产转移而终止确认的其他应收款 </w:t>
      </w:r>
    </w:p>
    <w:p>
      <w:pPr>
        <w:pStyle w:val="BodyText"/>
        <w:spacing w:before="65"/>
      </w:pPr>
      <w:r>
        <w:rPr>
          <w:spacing w:val="11"/>
        </w:rPr>
        <w:t>□适用 √不适用</w:t>
      </w:r>
      <w:r>
        <w:rPr>
          <w:spacing w:val="-3"/>
        </w:rPr>
        <w:t> </w:t>
      </w:r>
      <w:r>
        <w:rPr/>
        <w:t> </w:t>
      </w:r>
    </w:p>
    <w:p>
      <w:pPr>
        <w:pStyle w:val="BodyText"/>
        <w:spacing w:before="2"/>
      </w:pPr>
      <w:r>
        <w:rPr>
          <w:w w:val="100"/>
        </w:rPr>
        <w:t> </w:t>
      </w:r>
    </w:p>
    <w:p>
      <w:pPr>
        <w:pStyle w:val="ListParagraph"/>
        <w:numPr>
          <w:ilvl w:val="0"/>
          <w:numId w:val="63"/>
        </w:numPr>
        <w:tabs>
          <w:tab w:pos="1157" w:val="left" w:leader="none"/>
          <w:tab w:pos="1158" w:val="left" w:leader="none"/>
        </w:tabs>
        <w:spacing w:line="240" w:lineRule="auto" w:before="65" w:after="0"/>
        <w:ind w:left="1158" w:right="0" w:hanging="840"/>
        <w:jc w:val="left"/>
        <w:rPr>
          <w:sz w:val="21"/>
        </w:rPr>
      </w:pPr>
      <w:r>
        <w:rPr>
          <w:sz w:val="21"/>
        </w:rPr>
        <w:t>转移其他应收款且继续涉入形成的资产、负债的金额 </w:t>
      </w:r>
    </w:p>
    <w:p>
      <w:pPr>
        <w:pStyle w:val="BodyText"/>
        <w:spacing w:before="62"/>
      </w:pPr>
      <w:r>
        <w:rPr>
          <w:spacing w:val="11"/>
        </w:rPr>
        <w:t>□适用 √不适用</w:t>
      </w:r>
      <w:r>
        <w:rPr>
          <w:spacing w:val="-3"/>
        </w:rPr>
        <w:t> </w:t>
      </w:r>
      <w:r>
        <w:rPr/>
        <w:t> </w:t>
      </w:r>
    </w:p>
    <w:p>
      <w:pPr>
        <w:pStyle w:val="BodyText"/>
        <w:spacing w:before="4"/>
      </w:pPr>
      <w:r>
        <w:rPr>
          <w:w w:val="100"/>
        </w:rPr>
        <w:t> </w:t>
      </w:r>
    </w:p>
    <w:p>
      <w:pPr>
        <w:pStyle w:val="BodyText"/>
        <w:spacing w:before="2"/>
      </w:pPr>
      <w:r>
        <w:rPr/>
        <w:t>其他说明： </w:t>
      </w:r>
    </w:p>
    <w:p>
      <w:pPr>
        <w:pStyle w:val="BodyText"/>
        <w:spacing w:before="5"/>
      </w:pPr>
      <w:r>
        <w:rPr>
          <w:spacing w:val="11"/>
        </w:rPr>
        <w:t>□适用 √不适用</w:t>
      </w:r>
      <w:r>
        <w:rPr>
          <w:spacing w:val="-3"/>
        </w:rPr>
        <w:t> </w:t>
      </w:r>
      <w:r>
        <w:rPr/>
        <w:t> </w:t>
      </w:r>
    </w:p>
    <w:p>
      <w:pPr>
        <w:pStyle w:val="BodyText"/>
        <w:spacing w:before="2"/>
      </w:pPr>
      <w:r>
        <w:rPr>
          <w:w w:val="100"/>
        </w:rPr>
        <w:t> </w:t>
      </w:r>
    </w:p>
    <w:p>
      <w:pPr>
        <w:pStyle w:val="BodyText"/>
        <w:spacing w:before="65"/>
      </w:pPr>
      <w:r>
        <w:rPr/>
        <w:t>9、 存货</w:t>
      </w:r>
    </w:p>
    <w:p>
      <w:pPr>
        <w:pStyle w:val="ListParagraph"/>
        <w:numPr>
          <w:ilvl w:val="0"/>
          <w:numId w:val="64"/>
        </w:numPr>
        <w:tabs>
          <w:tab w:pos="746" w:val="left" w:leader="none"/>
        </w:tabs>
        <w:spacing w:line="240" w:lineRule="auto" w:before="62" w:after="0"/>
        <w:ind w:left="745" w:right="0" w:hanging="428"/>
        <w:jc w:val="left"/>
        <w:rPr>
          <w:sz w:val="21"/>
        </w:rPr>
      </w:pPr>
      <w:r>
        <w:rPr>
          <w:sz w:val="21"/>
        </w:rPr>
        <w:t>存货分类 </w:t>
      </w:r>
    </w:p>
    <w:p>
      <w:pPr>
        <w:pStyle w:val="BodyText"/>
        <w:spacing w:before="64"/>
      </w:pPr>
      <w:r>
        <w:rPr>
          <w:spacing w:val="-1"/>
        </w:rPr>
        <w:t>√适用 □不适用</w:t>
      </w:r>
      <w:r>
        <w:rPr>
          <w:spacing w:val="-3"/>
        </w:rPr>
        <w:t> </w:t>
      </w:r>
      <w:r>
        <w:rPr/>
        <w:t> </w:t>
      </w:r>
    </w:p>
    <w:p>
      <w:pPr>
        <w:pStyle w:val="BodyText"/>
        <w:spacing w:before="7"/>
        <w:ind w:left="0"/>
      </w:pPr>
    </w:p>
    <w:p>
      <w:pPr>
        <w:pStyle w:val="BodyText"/>
        <w:spacing w:before="1"/>
      </w:pPr>
      <w:r>
        <w:rPr>
          <w:w w:val="100"/>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2"/>
        <w:ind w:left="0"/>
        <w:rPr>
          <w:sz w:val="28"/>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6153" w:space="157"/>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2"/>
        <w:gridCol w:w="1356"/>
        <w:gridCol w:w="1581"/>
        <w:gridCol w:w="1361"/>
        <w:gridCol w:w="1195"/>
        <w:gridCol w:w="992"/>
        <w:gridCol w:w="1195"/>
      </w:tblGrid>
      <w:tr>
        <w:trPr>
          <w:trHeight w:val="273" w:hRule="atLeast"/>
        </w:trPr>
        <w:tc>
          <w:tcPr>
            <w:tcW w:w="1142" w:type="dxa"/>
            <w:vMerge w:val="restart"/>
          </w:tcPr>
          <w:p>
            <w:pPr>
              <w:pStyle w:val="TableParagraph"/>
              <w:rPr>
                <w:sz w:val="20"/>
              </w:rPr>
            </w:pPr>
          </w:p>
          <w:p>
            <w:pPr>
              <w:pStyle w:val="TableParagraph"/>
              <w:rPr>
                <w:sz w:val="20"/>
              </w:rPr>
            </w:pPr>
          </w:p>
          <w:p>
            <w:pPr>
              <w:pStyle w:val="TableParagraph"/>
              <w:spacing w:before="4"/>
              <w:rPr>
                <w:sz w:val="24"/>
              </w:rPr>
            </w:pPr>
          </w:p>
          <w:p>
            <w:pPr>
              <w:pStyle w:val="TableParagraph"/>
              <w:ind w:left="359"/>
              <w:rPr>
                <w:sz w:val="21"/>
              </w:rPr>
            </w:pPr>
            <w:r>
              <w:rPr>
                <w:sz w:val="21"/>
              </w:rPr>
              <w:t>项目 </w:t>
            </w:r>
          </w:p>
        </w:tc>
        <w:tc>
          <w:tcPr>
            <w:tcW w:w="4298" w:type="dxa"/>
            <w:gridSpan w:val="3"/>
          </w:tcPr>
          <w:p>
            <w:pPr>
              <w:pStyle w:val="TableParagraph"/>
              <w:spacing w:line="252" w:lineRule="exact" w:before="1"/>
              <w:ind w:left="1763" w:right="1648"/>
              <w:jc w:val="center"/>
              <w:rPr>
                <w:sz w:val="21"/>
              </w:rPr>
            </w:pPr>
            <w:r>
              <w:rPr>
                <w:spacing w:val="-1"/>
                <w:sz w:val="21"/>
              </w:rPr>
              <w:t>期末余额</w:t>
            </w:r>
            <w:r>
              <w:rPr>
                <w:sz w:val="21"/>
              </w:rPr>
              <w:t> </w:t>
            </w:r>
          </w:p>
        </w:tc>
        <w:tc>
          <w:tcPr>
            <w:tcW w:w="3382" w:type="dxa"/>
            <w:gridSpan w:val="3"/>
          </w:tcPr>
          <w:p>
            <w:pPr>
              <w:pStyle w:val="TableParagraph"/>
              <w:spacing w:line="252" w:lineRule="exact" w:before="1"/>
              <w:ind w:left="1308" w:right="1187"/>
              <w:jc w:val="center"/>
              <w:rPr>
                <w:sz w:val="21"/>
              </w:rPr>
            </w:pPr>
            <w:r>
              <w:rPr>
                <w:spacing w:val="-1"/>
                <w:sz w:val="21"/>
              </w:rPr>
              <w:t>期初余额</w:t>
            </w:r>
            <w:r>
              <w:rPr>
                <w:sz w:val="21"/>
              </w:rPr>
              <w:t> </w:t>
            </w:r>
          </w:p>
        </w:tc>
      </w:tr>
      <w:tr>
        <w:trPr>
          <w:trHeight w:val="1633" w:hRule="atLeast"/>
        </w:trPr>
        <w:tc>
          <w:tcPr>
            <w:tcW w:w="1142" w:type="dxa"/>
            <w:vMerge/>
            <w:tcBorders>
              <w:top w:val="nil"/>
            </w:tcBorders>
          </w:tcPr>
          <w:p>
            <w:pPr>
              <w:rPr>
                <w:sz w:val="2"/>
                <w:szCs w:val="2"/>
              </w:rPr>
            </w:pPr>
          </w:p>
        </w:tc>
        <w:tc>
          <w:tcPr>
            <w:tcW w:w="1356" w:type="dxa"/>
          </w:tcPr>
          <w:p>
            <w:pPr>
              <w:pStyle w:val="TableParagraph"/>
              <w:rPr>
                <w:sz w:val="20"/>
              </w:rPr>
            </w:pPr>
          </w:p>
          <w:p>
            <w:pPr>
              <w:pStyle w:val="TableParagraph"/>
              <w:rPr>
                <w:sz w:val="20"/>
              </w:rPr>
            </w:pPr>
          </w:p>
          <w:p>
            <w:pPr>
              <w:pStyle w:val="TableParagraph"/>
              <w:spacing w:before="170"/>
              <w:ind w:right="143"/>
              <w:jc w:val="right"/>
              <w:rPr>
                <w:sz w:val="21"/>
              </w:rPr>
            </w:pPr>
            <w:r>
              <w:rPr>
                <w:spacing w:val="-1"/>
                <w:sz w:val="21"/>
              </w:rPr>
              <w:t>账面余额</w:t>
            </w:r>
            <w:r>
              <w:rPr>
                <w:sz w:val="21"/>
              </w:rPr>
              <w:t> </w:t>
            </w:r>
          </w:p>
        </w:tc>
        <w:tc>
          <w:tcPr>
            <w:tcW w:w="1581" w:type="dxa"/>
          </w:tcPr>
          <w:p>
            <w:pPr>
              <w:pStyle w:val="TableParagraph"/>
              <w:rPr>
                <w:sz w:val="20"/>
              </w:rPr>
            </w:pPr>
          </w:p>
          <w:p>
            <w:pPr>
              <w:pStyle w:val="TableParagraph"/>
              <w:spacing w:before="152"/>
              <w:ind w:left="159"/>
              <w:rPr>
                <w:sz w:val="21"/>
              </w:rPr>
            </w:pPr>
            <w:r>
              <w:rPr>
                <w:sz w:val="21"/>
              </w:rPr>
              <w:t>存货跌价准备</w:t>
            </w:r>
          </w:p>
          <w:p>
            <w:pPr>
              <w:pStyle w:val="TableParagraph"/>
              <w:spacing w:line="242" w:lineRule="auto" w:before="5"/>
              <w:ind w:left="262" w:right="149" w:hanging="51"/>
              <w:rPr>
                <w:sz w:val="21"/>
              </w:rPr>
            </w:pPr>
            <w:r>
              <w:rPr>
                <w:sz w:val="21"/>
              </w:rPr>
              <w:t>/合同履约成本减值准备 </w:t>
            </w:r>
          </w:p>
        </w:tc>
        <w:tc>
          <w:tcPr>
            <w:tcW w:w="1361" w:type="dxa"/>
          </w:tcPr>
          <w:p>
            <w:pPr>
              <w:pStyle w:val="TableParagraph"/>
              <w:rPr>
                <w:sz w:val="20"/>
              </w:rPr>
            </w:pPr>
          </w:p>
          <w:p>
            <w:pPr>
              <w:pStyle w:val="TableParagraph"/>
              <w:rPr>
                <w:sz w:val="20"/>
              </w:rPr>
            </w:pPr>
          </w:p>
          <w:p>
            <w:pPr>
              <w:pStyle w:val="TableParagraph"/>
              <w:spacing w:before="170"/>
              <w:ind w:right="147"/>
              <w:jc w:val="right"/>
              <w:rPr>
                <w:sz w:val="21"/>
              </w:rPr>
            </w:pPr>
            <w:r>
              <w:rPr>
                <w:spacing w:val="-1"/>
                <w:sz w:val="21"/>
              </w:rPr>
              <w:t>账面价值</w:t>
            </w:r>
            <w:r>
              <w:rPr>
                <w:sz w:val="21"/>
              </w:rPr>
              <w:t> </w:t>
            </w:r>
          </w:p>
        </w:tc>
        <w:tc>
          <w:tcPr>
            <w:tcW w:w="1195" w:type="dxa"/>
          </w:tcPr>
          <w:p>
            <w:pPr>
              <w:pStyle w:val="TableParagraph"/>
              <w:rPr>
                <w:sz w:val="20"/>
              </w:rPr>
            </w:pPr>
          </w:p>
          <w:p>
            <w:pPr>
              <w:pStyle w:val="TableParagraph"/>
              <w:rPr>
                <w:sz w:val="20"/>
              </w:rPr>
            </w:pPr>
          </w:p>
          <w:p>
            <w:pPr>
              <w:pStyle w:val="TableParagraph"/>
              <w:spacing w:before="170"/>
              <w:ind w:right="60"/>
              <w:jc w:val="right"/>
              <w:rPr>
                <w:sz w:val="21"/>
              </w:rPr>
            </w:pPr>
            <w:r>
              <w:rPr>
                <w:spacing w:val="-1"/>
                <w:sz w:val="21"/>
              </w:rPr>
              <w:t>账面余额</w:t>
            </w:r>
            <w:r>
              <w:rPr>
                <w:sz w:val="21"/>
              </w:rPr>
              <w:t> </w:t>
            </w:r>
          </w:p>
        </w:tc>
        <w:tc>
          <w:tcPr>
            <w:tcW w:w="992" w:type="dxa"/>
          </w:tcPr>
          <w:p>
            <w:pPr>
              <w:pStyle w:val="TableParagraph"/>
              <w:spacing w:line="242" w:lineRule="auto" w:before="1"/>
              <w:ind w:left="126" w:right="116" w:firstLine="50"/>
              <w:jc w:val="both"/>
              <w:rPr>
                <w:sz w:val="21"/>
              </w:rPr>
            </w:pPr>
            <w:r>
              <w:rPr>
                <w:sz w:val="21"/>
              </w:rPr>
              <w:t>存货跌</w:t>
            </w:r>
            <w:r>
              <w:rPr>
                <w:spacing w:val="-1"/>
                <w:sz w:val="21"/>
              </w:rPr>
              <w:t>价准备/</w:t>
            </w:r>
            <w:r>
              <w:rPr>
                <w:spacing w:val="-103"/>
                <w:sz w:val="21"/>
              </w:rPr>
              <w:t> </w:t>
            </w:r>
            <w:r>
              <w:rPr>
                <w:sz w:val="21"/>
              </w:rPr>
              <w:t>合同履约成本减值准</w:t>
            </w:r>
          </w:p>
          <w:p>
            <w:pPr>
              <w:pStyle w:val="TableParagraph"/>
              <w:spacing w:line="252" w:lineRule="exact" w:before="2"/>
              <w:ind w:left="388"/>
              <w:rPr>
                <w:sz w:val="21"/>
              </w:rPr>
            </w:pPr>
            <w:r>
              <w:rPr>
                <w:sz w:val="21"/>
              </w:rPr>
              <w:t>备 </w:t>
            </w:r>
          </w:p>
        </w:tc>
        <w:tc>
          <w:tcPr>
            <w:tcW w:w="1195" w:type="dxa"/>
          </w:tcPr>
          <w:p>
            <w:pPr>
              <w:pStyle w:val="TableParagraph"/>
              <w:rPr>
                <w:sz w:val="20"/>
              </w:rPr>
            </w:pPr>
          </w:p>
          <w:p>
            <w:pPr>
              <w:pStyle w:val="TableParagraph"/>
              <w:rPr>
                <w:sz w:val="20"/>
              </w:rPr>
            </w:pPr>
          </w:p>
          <w:p>
            <w:pPr>
              <w:pStyle w:val="TableParagraph"/>
              <w:spacing w:before="170"/>
              <w:ind w:right="60"/>
              <w:jc w:val="right"/>
              <w:rPr>
                <w:sz w:val="21"/>
              </w:rPr>
            </w:pPr>
            <w:r>
              <w:rPr>
                <w:spacing w:val="-1"/>
                <w:sz w:val="21"/>
              </w:rPr>
              <w:t>账面价值</w:t>
            </w:r>
            <w:r>
              <w:rPr>
                <w:sz w:val="21"/>
              </w:rPr>
              <w:t> </w:t>
            </w:r>
          </w:p>
        </w:tc>
      </w:tr>
      <w:tr>
        <w:trPr>
          <w:trHeight w:val="270" w:hRule="atLeast"/>
        </w:trPr>
        <w:tc>
          <w:tcPr>
            <w:tcW w:w="1142" w:type="dxa"/>
          </w:tcPr>
          <w:p>
            <w:pPr>
              <w:pStyle w:val="TableParagraph"/>
              <w:spacing w:line="250" w:lineRule="exact" w:before="1"/>
              <w:ind w:left="107"/>
              <w:rPr>
                <w:sz w:val="21"/>
              </w:rPr>
            </w:pPr>
            <w:r>
              <w:rPr>
                <w:sz w:val="21"/>
              </w:rPr>
              <w:t>原材料 </w:t>
            </w:r>
          </w:p>
        </w:tc>
        <w:tc>
          <w:tcPr>
            <w:tcW w:w="1356" w:type="dxa"/>
          </w:tcPr>
          <w:p>
            <w:pPr>
              <w:pStyle w:val="TableParagraph"/>
              <w:spacing w:line="235" w:lineRule="exact"/>
              <w:ind w:right="100"/>
              <w:jc w:val="right"/>
              <w:rPr>
                <w:rFonts w:ascii="Times New Roman"/>
                <w:sz w:val="21"/>
              </w:rPr>
            </w:pPr>
            <w:r>
              <w:rPr>
                <w:rFonts w:ascii="Times New Roman"/>
                <w:sz w:val="21"/>
              </w:rPr>
              <w:t>39,483,022</w:t>
            </w:r>
          </w:p>
        </w:tc>
        <w:tc>
          <w:tcPr>
            <w:tcW w:w="1581" w:type="dxa"/>
          </w:tcPr>
          <w:p>
            <w:pPr>
              <w:pStyle w:val="TableParagraph"/>
              <w:spacing w:line="235" w:lineRule="exact"/>
              <w:ind w:right="97"/>
              <w:jc w:val="right"/>
              <w:rPr>
                <w:rFonts w:ascii="Times New Roman"/>
                <w:sz w:val="21"/>
              </w:rPr>
            </w:pPr>
            <w:r>
              <w:rPr>
                <w:rFonts w:ascii="Times New Roman"/>
                <w:sz w:val="21"/>
              </w:rPr>
              <w:t>1,067,705</w:t>
            </w:r>
          </w:p>
        </w:tc>
        <w:tc>
          <w:tcPr>
            <w:tcW w:w="1361" w:type="dxa"/>
          </w:tcPr>
          <w:p>
            <w:pPr>
              <w:pStyle w:val="TableParagraph"/>
              <w:spacing w:line="235" w:lineRule="exact"/>
              <w:ind w:right="99"/>
              <w:jc w:val="right"/>
              <w:rPr>
                <w:rFonts w:ascii="Times New Roman"/>
                <w:sz w:val="21"/>
              </w:rPr>
            </w:pPr>
            <w:r>
              <w:rPr>
                <w:rFonts w:ascii="Times New Roman"/>
                <w:sz w:val="21"/>
              </w:rPr>
              <w:t>38,415,317</w:t>
            </w:r>
          </w:p>
        </w:tc>
        <w:tc>
          <w:tcPr>
            <w:tcW w:w="1195" w:type="dxa"/>
          </w:tcPr>
          <w:p>
            <w:pPr>
              <w:pStyle w:val="TableParagraph"/>
              <w:spacing w:before="7"/>
              <w:ind w:right="96"/>
              <w:jc w:val="right"/>
              <w:rPr>
                <w:rFonts w:ascii="Times New Roman"/>
                <w:sz w:val="21"/>
              </w:rPr>
            </w:pPr>
            <w:r>
              <w:rPr>
                <w:rFonts w:ascii="Times New Roman"/>
                <w:sz w:val="21"/>
              </w:rPr>
              <w:t>38,727,604</w:t>
            </w:r>
          </w:p>
        </w:tc>
        <w:tc>
          <w:tcPr>
            <w:tcW w:w="992" w:type="dxa"/>
          </w:tcPr>
          <w:p>
            <w:pPr>
              <w:pStyle w:val="TableParagraph"/>
              <w:spacing w:before="7"/>
              <w:ind w:right="97"/>
              <w:jc w:val="right"/>
              <w:rPr>
                <w:rFonts w:ascii="Times New Roman"/>
                <w:sz w:val="21"/>
              </w:rPr>
            </w:pPr>
            <w:r>
              <w:rPr>
                <w:rFonts w:ascii="Times New Roman"/>
                <w:sz w:val="21"/>
              </w:rPr>
              <w:t>537,787</w:t>
            </w:r>
          </w:p>
        </w:tc>
        <w:tc>
          <w:tcPr>
            <w:tcW w:w="1195" w:type="dxa"/>
          </w:tcPr>
          <w:p>
            <w:pPr>
              <w:pStyle w:val="TableParagraph"/>
              <w:spacing w:before="7"/>
              <w:ind w:right="96"/>
              <w:jc w:val="right"/>
              <w:rPr>
                <w:rFonts w:ascii="Times New Roman"/>
                <w:sz w:val="21"/>
              </w:rPr>
            </w:pPr>
            <w:r>
              <w:rPr>
                <w:rFonts w:ascii="Times New Roman"/>
                <w:sz w:val="21"/>
              </w:rPr>
              <w:t>38,189,817</w:t>
            </w:r>
          </w:p>
        </w:tc>
      </w:tr>
      <w:tr>
        <w:trPr>
          <w:trHeight w:val="273" w:hRule="atLeast"/>
        </w:trPr>
        <w:tc>
          <w:tcPr>
            <w:tcW w:w="1142" w:type="dxa"/>
          </w:tcPr>
          <w:p>
            <w:pPr>
              <w:pStyle w:val="TableParagraph"/>
              <w:spacing w:line="250" w:lineRule="exact" w:before="3"/>
              <w:ind w:left="107"/>
              <w:rPr>
                <w:sz w:val="21"/>
              </w:rPr>
            </w:pPr>
            <w:r>
              <w:rPr>
                <w:sz w:val="21"/>
              </w:rPr>
              <w:t>产成品 </w:t>
            </w:r>
          </w:p>
        </w:tc>
        <w:tc>
          <w:tcPr>
            <w:tcW w:w="1356" w:type="dxa"/>
          </w:tcPr>
          <w:p>
            <w:pPr>
              <w:pStyle w:val="TableParagraph"/>
              <w:spacing w:line="237" w:lineRule="exact"/>
              <w:ind w:right="100"/>
              <w:jc w:val="right"/>
              <w:rPr>
                <w:rFonts w:ascii="Times New Roman"/>
                <w:sz w:val="21"/>
              </w:rPr>
            </w:pPr>
            <w:r>
              <w:rPr>
                <w:rFonts w:ascii="Times New Roman"/>
                <w:sz w:val="21"/>
              </w:rPr>
              <w:t>21,467,585</w:t>
            </w:r>
          </w:p>
        </w:tc>
        <w:tc>
          <w:tcPr>
            <w:tcW w:w="1581" w:type="dxa"/>
          </w:tcPr>
          <w:p>
            <w:pPr>
              <w:pStyle w:val="TableParagraph"/>
              <w:spacing w:line="237" w:lineRule="exact"/>
              <w:ind w:right="97"/>
              <w:jc w:val="right"/>
              <w:rPr>
                <w:rFonts w:ascii="Times New Roman"/>
                <w:sz w:val="21"/>
              </w:rPr>
            </w:pPr>
            <w:r>
              <w:rPr>
                <w:rFonts w:ascii="Times New Roman"/>
                <w:sz w:val="21"/>
              </w:rPr>
              <w:t>105,041</w:t>
            </w:r>
          </w:p>
        </w:tc>
        <w:tc>
          <w:tcPr>
            <w:tcW w:w="1361" w:type="dxa"/>
          </w:tcPr>
          <w:p>
            <w:pPr>
              <w:pStyle w:val="TableParagraph"/>
              <w:spacing w:line="237" w:lineRule="exact"/>
              <w:ind w:right="99"/>
              <w:jc w:val="right"/>
              <w:rPr>
                <w:rFonts w:ascii="Times New Roman"/>
                <w:sz w:val="21"/>
              </w:rPr>
            </w:pPr>
            <w:r>
              <w:rPr>
                <w:rFonts w:ascii="Times New Roman"/>
                <w:sz w:val="21"/>
              </w:rPr>
              <w:t>21,362,544</w:t>
            </w:r>
          </w:p>
        </w:tc>
        <w:tc>
          <w:tcPr>
            <w:tcW w:w="1195" w:type="dxa"/>
          </w:tcPr>
          <w:p>
            <w:pPr>
              <w:pStyle w:val="TableParagraph"/>
              <w:spacing w:before="10"/>
              <w:ind w:right="96"/>
              <w:jc w:val="right"/>
              <w:rPr>
                <w:rFonts w:ascii="Times New Roman"/>
                <w:sz w:val="21"/>
              </w:rPr>
            </w:pPr>
            <w:r>
              <w:rPr>
                <w:rFonts w:ascii="Times New Roman"/>
                <w:sz w:val="21"/>
              </w:rPr>
              <w:t>12,487,187</w:t>
            </w:r>
          </w:p>
        </w:tc>
        <w:tc>
          <w:tcPr>
            <w:tcW w:w="992" w:type="dxa"/>
          </w:tcPr>
          <w:p>
            <w:pPr>
              <w:pStyle w:val="TableParagraph"/>
              <w:spacing w:before="10"/>
              <w:ind w:right="97"/>
              <w:jc w:val="right"/>
              <w:rPr>
                <w:rFonts w:ascii="Times New Roman"/>
                <w:sz w:val="21"/>
              </w:rPr>
            </w:pPr>
            <w:r>
              <w:rPr>
                <w:rFonts w:ascii="Times New Roman"/>
                <w:sz w:val="21"/>
              </w:rPr>
              <w:t>138,174</w:t>
            </w:r>
          </w:p>
        </w:tc>
        <w:tc>
          <w:tcPr>
            <w:tcW w:w="1195" w:type="dxa"/>
          </w:tcPr>
          <w:p>
            <w:pPr>
              <w:pStyle w:val="TableParagraph"/>
              <w:spacing w:before="10"/>
              <w:ind w:right="96"/>
              <w:jc w:val="right"/>
              <w:rPr>
                <w:rFonts w:ascii="Times New Roman"/>
                <w:sz w:val="21"/>
              </w:rPr>
            </w:pPr>
            <w:r>
              <w:rPr>
                <w:rFonts w:ascii="Times New Roman"/>
                <w:sz w:val="21"/>
              </w:rPr>
              <w:t>12,349,013</w:t>
            </w:r>
          </w:p>
        </w:tc>
      </w:tr>
      <w:tr>
        <w:trPr>
          <w:trHeight w:val="273" w:hRule="atLeast"/>
        </w:trPr>
        <w:tc>
          <w:tcPr>
            <w:tcW w:w="1142" w:type="dxa"/>
          </w:tcPr>
          <w:p>
            <w:pPr>
              <w:pStyle w:val="TableParagraph"/>
              <w:spacing w:line="252" w:lineRule="exact" w:before="1"/>
              <w:ind w:left="107"/>
              <w:rPr>
                <w:sz w:val="21"/>
              </w:rPr>
            </w:pPr>
            <w:r>
              <w:rPr>
                <w:sz w:val="21"/>
              </w:rPr>
              <w:t>半成品 </w:t>
            </w:r>
          </w:p>
        </w:tc>
        <w:tc>
          <w:tcPr>
            <w:tcW w:w="1356" w:type="dxa"/>
          </w:tcPr>
          <w:p>
            <w:pPr>
              <w:pStyle w:val="TableParagraph"/>
              <w:spacing w:line="235" w:lineRule="exact"/>
              <w:ind w:right="100"/>
              <w:jc w:val="right"/>
              <w:rPr>
                <w:rFonts w:ascii="Times New Roman"/>
                <w:sz w:val="21"/>
              </w:rPr>
            </w:pPr>
            <w:r>
              <w:rPr>
                <w:rFonts w:ascii="Times New Roman"/>
                <w:sz w:val="21"/>
              </w:rPr>
              <w:t>10,442,565</w:t>
            </w:r>
          </w:p>
        </w:tc>
        <w:tc>
          <w:tcPr>
            <w:tcW w:w="1581" w:type="dxa"/>
          </w:tcPr>
          <w:p>
            <w:pPr>
              <w:pStyle w:val="TableParagraph"/>
              <w:spacing w:line="235" w:lineRule="exact"/>
              <w:ind w:right="97"/>
              <w:jc w:val="right"/>
              <w:rPr>
                <w:rFonts w:ascii="Times New Roman"/>
                <w:sz w:val="21"/>
              </w:rPr>
            </w:pPr>
            <w:r>
              <w:rPr>
                <w:rFonts w:ascii="Times New Roman"/>
                <w:sz w:val="21"/>
              </w:rPr>
              <w:t>137,989</w:t>
            </w:r>
          </w:p>
        </w:tc>
        <w:tc>
          <w:tcPr>
            <w:tcW w:w="1361" w:type="dxa"/>
          </w:tcPr>
          <w:p>
            <w:pPr>
              <w:pStyle w:val="TableParagraph"/>
              <w:spacing w:line="235" w:lineRule="exact"/>
              <w:ind w:right="99"/>
              <w:jc w:val="right"/>
              <w:rPr>
                <w:rFonts w:ascii="Times New Roman"/>
                <w:sz w:val="21"/>
              </w:rPr>
            </w:pPr>
            <w:r>
              <w:rPr>
                <w:rFonts w:ascii="Times New Roman"/>
                <w:sz w:val="21"/>
              </w:rPr>
              <w:t>10,304,576</w:t>
            </w:r>
          </w:p>
        </w:tc>
        <w:tc>
          <w:tcPr>
            <w:tcW w:w="1195" w:type="dxa"/>
          </w:tcPr>
          <w:p>
            <w:pPr>
              <w:pStyle w:val="TableParagraph"/>
              <w:spacing w:before="10"/>
              <w:ind w:right="96"/>
              <w:jc w:val="right"/>
              <w:rPr>
                <w:rFonts w:ascii="Times New Roman"/>
                <w:sz w:val="21"/>
              </w:rPr>
            </w:pPr>
            <w:r>
              <w:rPr>
                <w:rFonts w:ascii="Times New Roman"/>
                <w:sz w:val="21"/>
              </w:rPr>
              <w:t>10,107,941</w:t>
            </w:r>
          </w:p>
        </w:tc>
        <w:tc>
          <w:tcPr>
            <w:tcW w:w="992" w:type="dxa"/>
          </w:tcPr>
          <w:p>
            <w:pPr>
              <w:pStyle w:val="TableParagraph"/>
              <w:spacing w:before="10"/>
              <w:ind w:right="97"/>
              <w:jc w:val="right"/>
              <w:rPr>
                <w:rFonts w:ascii="Times New Roman"/>
                <w:sz w:val="21"/>
              </w:rPr>
            </w:pPr>
            <w:r>
              <w:rPr>
                <w:rFonts w:ascii="Times New Roman"/>
                <w:sz w:val="21"/>
              </w:rPr>
              <w:t>130,463</w:t>
            </w:r>
          </w:p>
        </w:tc>
        <w:tc>
          <w:tcPr>
            <w:tcW w:w="1195" w:type="dxa"/>
          </w:tcPr>
          <w:p>
            <w:pPr>
              <w:pStyle w:val="TableParagraph"/>
              <w:spacing w:before="10"/>
              <w:ind w:right="96"/>
              <w:jc w:val="right"/>
              <w:rPr>
                <w:rFonts w:ascii="Times New Roman"/>
                <w:sz w:val="21"/>
              </w:rPr>
            </w:pPr>
            <w:r>
              <w:rPr>
                <w:rFonts w:ascii="Times New Roman"/>
                <w:sz w:val="21"/>
              </w:rPr>
              <w:t>9,977,478</w:t>
            </w:r>
          </w:p>
        </w:tc>
      </w:tr>
      <w:tr>
        <w:trPr>
          <w:trHeight w:val="270" w:hRule="atLeast"/>
        </w:trPr>
        <w:tc>
          <w:tcPr>
            <w:tcW w:w="1142" w:type="dxa"/>
          </w:tcPr>
          <w:p>
            <w:pPr>
              <w:pStyle w:val="TableParagraph"/>
              <w:spacing w:line="250" w:lineRule="exact" w:before="1"/>
              <w:ind w:left="107"/>
              <w:rPr>
                <w:sz w:val="21"/>
              </w:rPr>
            </w:pPr>
            <w:r>
              <w:rPr>
                <w:spacing w:val="-1"/>
                <w:sz w:val="21"/>
              </w:rPr>
              <w:t>在途材料</w:t>
            </w:r>
            <w:r>
              <w:rPr>
                <w:sz w:val="21"/>
              </w:rPr>
              <w:t> </w:t>
            </w:r>
          </w:p>
        </w:tc>
        <w:tc>
          <w:tcPr>
            <w:tcW w:w="1356" w:type="dxa"/>
          </w:tcPr>
          <w:p>
            <w:pPr>
              <w:pStyle w:val="TableParagraph"/>
              <w:spacing w:line="235" w:lineRule="exact"/>
              <w:ind w:right="93"/>
              <w:jc w:val="right"/>
              <w:rPr>
                <w:rFonts w:ascii="Times New Roman"/>
                <w:sz w:val="21"/>
              </w:rPr>
            </w:pPr>
            <w:r>
              <w:rPr>
                <w:rFonts w:ascii="Times New Roman"/>
                <w:sz w:val="21"/>
              </w:rPr>
              <w:t>5,599,305</w:t>
            </w:r>
          </w:p>
        </w:tc>
        <w:tc>
          <w:tcPr>
            <w:tcW w:w="1581" w:type="dxa"/>
          </w:tcPr>
          <w:p>
            <w:pPr>
              <w:pStyle w:val="TableParagraph"/>
              <w:spacing w:line="235" w:lineRule="exact"/>
              <w:ind w:right="93"/>
              <w:jc w:val="right"/>
              <w:rPr>
                <w:rFonts w:ascii="Times New Roman"/>
                <w:sz w:val="21"/>
              </w:rPr>
            </w:pPr>
            <w:r>
              <w:rPr>
                <w:rFonts w:ascii="Times New Roman"/>
                <w:w w:val="100"/>
                <w:sz w:val="21"/>
              </w:rPr>
              <w:t>-</w:t>
            </w:r>
          </w:p>
        </w:tc>
        <w:tc>
          <w:tcPr>
            <w:tcW w:w="1361" w:type="dxa"/>
          </w:tcPr>
          <w:p>
            <w:pPr>
              <w:pStyle w:val="TableParagraph"/>
              <w:spacing w:line="235" w:lineRule="exact"/>
              <w:ind w:right="94"/>
              <w:jc w:val="right"/>
              <w:rPr>
                <w:rFonts w:ascii="Times New Roman"/>
                <w:sz w:val="21"/>
              </w:rPr>
            </w:pPr>
            <w:r>
              <w:rPr>
                <w:rFonts w:ascii="Times New Roman"/>
                <w:sz w:val="21"/>
              </w:rPr>
              <w:t>5,599,305</w:t>
            </w:r>
          </w:p>
        </w:tc>
        <w:tc>
          <w:tcPr>
            <w:tcW w:w="1195" w:type="dxa"/>
          </w:tcPr>
          <w:p>
            <w:pPr>
              <w:pStyle w:val="TableParagraph"/>
              <w:spacing w:before="7"/>
              <w:ind w:right="96"/>
              <w:jc w:val="right"/>
              <w:rPr>
                <w:rFonts w:ascii="Times New Roman"/>
                <w:sz w:val="21"/>
              </w:rPr>
            </w:pPr>
            <w:r>
              <w:rPr>
                <w:rFonts w:ascii="Times New Roman"/>
                <w:sz w:val="21"/>
              </w:rPr>
              <w:t>9,634,090</w:t>
            </w:r>
          </w:p>
        </w:tc>
        <w:tc>
          <w:tcPr>
            <w:tcW w:w="992" w:type="dxa"/>
          </w:tcPr>
          <w:p>
            <w:pPr>
              <w:pStyle w:val="TableParagraph"/>
              <w:spacing w:before="7"/>
              <w:ind w:right="98"/>
              <w:jc w:val="right"/>
              <w:rPr>
                <w:rFonts w:ascii="Times New Roman"/>
                <w:sz w:val="21"/>
              </w:rPr>
            </w:pPr>
            <w:r>
              <w:rPr>
                <w:rFonts w:ascii="Times New Roman"/>
                <w:w w:val="100"/>
                <w:sz w:val="21"/>
              </w:rPr>
              <w:t>-</w:t>
            </w:r>
          </w:p>
        </w:tc>
        <w:tc>
          <w:tcPr>
            <w:tcW w:w="1195" w:type="dxa"/>
          </w:tcPr>
          <w:p>
            <w:pPr>
              <w:pStyle w:val="TableParagraph"/>
              <w:spacing w:before="7"/>
              <w:ind w:right="96"/>
              <w:jc w:val="right"/>
              <w:rPr>
                <w:rFonts w:ascii="Times New Roman"/>
                <w:sz w:val="21"/>
              </w:rPr>
            </w:pPr>
            <w:r>
              <w:rPr>
                <w:rFonts w:ascii="Times New Roman"/>
                <w:sz w:val="21"/>
              </w:rPr>
              <w:t>9,634,090</w:t>
            </w:r>
          </w:p>
        </w:tc>
      </w:tr>
      <w:tr>
        <w:trPr>
          <w:trHeight w:val="273" w:hRule="atLeast"/>
        </w:trPr>
        <w:tc>
          <w:tcPr>
            <w:tcW w:w="1142" w:type="dxa"/>
          </w:tcPr>
          <w:p>
            <w:pPr>
              <w:pStyle w:val="TableParagraph"/>
              <w:spacing w:line="252" w:lineRule="exact" w:before="1"/>
              <w:ind w:left="107"/>
              <w:rPr>
                <w:sz w:val="21"/>
              </w:rPr>
            </w:pPr>
            <w:r>
              <w:rPr>
                <w:spacing w:val="-1"/>
                <w:sz w:val="21"/>
              </w:rPr>
              <w:t>发出商品</w:t>
            </w:r>
            <w:r>
              <w:rPr>
                <w:sz w:val="21"/>
              </w:rPr>
              <w:t> </w:t>
            </w:r>
          </w:p>
        </w:tc>
        <w:tc>
          <w:tcPr>
            <w:tcW w:w="1356" w:type="dxa"/>
          </w:tcPr>
          <w:p>
            <w:pPr>
              <w:pStyle w:val="TableParagraph"/>
              <w:spacing w:line="235" w:lineRule="exact"/>
              <w:ind w:right="93"/>
              <w:jc w:val="right"/>
              <w:rPr>
                <w:rFonts w:ascii="Times New Roman"/>
                <w:sz w:val="21"/>
              </w:rPr>
            </w:pPr>
            <w:r>
              <w:rPr>
                <w:rFonts w:ascii="Times New Roman"/>
                <w:sz w:val="21"/>
              </w:rPr>
              <w:t>1,640,012</w:t>
            </w:r>
          </w:p>
        </w:tc>
        <w:tc>
          <w:tcPr>
            <w:tcW w:w="1581" w:type="dxa"/>
          </w:tcPr>
          <w:p>
            <w:pPr>
              <w:pStyle w:val="TableParagraph"/>
              <w:spacing w:line="235" w:lineRule="exact"/>
              <w:ind w:right="93"/>
              <w:jc w:val="right"/>
              <w:rPr>
                <w:rFonts w:ascii="Times New Roman"/>
                <w:sz w:val="21"/>
              </w:rPr>
            </w:pPr>
            <w:r>
              <w:rPr>
                <w:rFonts w:ascii="Times New Roman"/>
                <w:w w:val="100"/>
                <w:sz w:val="21"/>
              </w:rPr>
              <w:t>-</w:t>
            </w:r>
          </w:p>
        </w:tc>
        <w:tc>
          <w:tcPr>
            <w:tcW w:w="1361" w:type="dxa"/>
          </w:tcPr>
          <w:p>
            <w:pPr>
              <w:pStyle w:val="TableParagraph"/>
              <w:spacing w:line="235" w:lineRule="exact"/>
              <w:ind w:right="94"/>
              <w:jc w:val="right"/>
              <w:rPr>
                <w:rFonts w:ascii="Times New Roman"/>
                <w:sz w:val="21"/>
              </w:rPr>
            </w:pPr>
            <w:r>
              <w:rPr>
                <w:rFonts w:ascii="Times New Roman"/>
                <w:sz w:val="21"/>
              </w:rPr>
              <w:t>1,640,012</w:t>
            </w:r>
          </w:p>
        </w:tc>
        <w:tc>
          <w:tcPr>
            <w:tcW w:w="1195" w:type="dxa"/>
          </w:tcPr>
          <w:p>
            <w:pPr>
              <w:pStyle w:val="TableParagraph"/>
              <w:spacing w:before="10"/>
              <w:ind w:right="96"/>
              <w:jc w:val="right"/>
              <w:rPr>
                <w:rFonts w:ascii="Times New Roman"/>
                <w:sz w:val="21"/>
              </w:rPr>
            </w:pPr>
            <w:r>
              <w:rPr>
                <w:rFonts w:ascii="Times New Roman"/>
                <w:sz w:val="21"/>
              </w:rPr>
              <w:t>1,760,692</w:t>
            </w:r>
          </w:p>
        </w:tc>
        <w:tc>
          <w:tcPr>
            <w:tcW w:w="992" w:type="dxa"/>
          </w:tcPr>
          <w:p>
            <w:pPr>
              <w:pStyle w:val="TableParagraph"/>
              <w:spacing w:before="10"/>
              <w:ind w:right="98"/>
              <w:jc w:val="right"/>
              <w:rPr>
                <w:rFonts w:ascii="Times New Roman"/>
                <w:sz w:val="21"/>
              </w:rPr>
            </w:pPr>
            <w:r>
              <w:rPr>
                <w:rFonts w:ascii="Times New Roman"/>
                <w:w w:val="100"/>
                <w:sz w:val="21"/>
              </w:rPr>
              <w:t>-</w:t>
            </w:r>
          </w:p>
        </w:tc>
        <w:tc>
          <w:tcPr>
            <w:tcW w:w="1195" w:type="dxa"/>
          </w:tcPr>
          <w:p>
            <w:pPr>
              <w:pStyle w:val="TableParagraph"/>
              <w:spacing w:before="10"/>
              <w:ind w:right="96"/>
              <w:jc w:val="right"/>
              <w:rPr>
                <w:rFonts w:ascii="Times New Roman"/>
                <w:sz w:val="21"/>
              </w:rPr>
            </w:pPr>
            <w:r>
              <w:rPr>
                <w:rFonts w:ascii="Times New Roman"/>
                <w:sz w:val="21"/>
              </w:rPr>
              <w:t>1,760,692</w:t>
            </w:r>
          </w:p>
        </w:tc>
      </w:tr>
      <w:tr>
        <w:trPr>
          <w:trHeight w:val="544" w:hRule="atLeast"/>
        </w:trPr>
        <w:tc>
          <w:tcPr>
            <w:tcW w:w="1142" w:type="dxa"/>
          </w:tcPr>
          <w:p>
            <w:pPr>
              <w:pStyle w:val="TableParagraph"/>
              <w:spacing w:before="1"/>
              <w:ind w:left="107"/>
              <w:rPr>
                <w:sz w:val="21"/>
              </w:rPr>
            </w:pPr>
            <w:r>
              <w:rPr>
                <w:sz w:val="21"/>
              </w:rPr>
              <w:t>合同履约</w:t>
            </w:r>
          </w:p>
          <w:p>
            <w:pPr>
              <w:pStyle w:val="TableParagraph"/>
              <w:spacing w:line="250" w:lineRule="exact" w:before="4"/>
              <w:ind w:left="107"/>
              <w:rPr>
                <w:sz w:val="21"/>
              </w:rPr>
            </w:pPr>
            <w:r>
              <w:rPr>
                <w:sz w:val="21"/>
              </w:rPr>
              <w:t>成本 </w:t>
            </w:r>
          </w:p>
        </w:tc>
        <w:tc>
          <w:tcPr>
            <w:tcW w:w="1356" w:type="dxa"/>
          </w:tcPr>
          <w:p>
            <w:pPr>
              <w:pStyle w:val="TableParagraph"/>
              <w:spacing w:line="235" w:lineRule="exact"/>
              <w:ind w:right="101"/>
              <w:jc w:val="right"/>
              <w:rPr>
                <w:rFonts w:ascii="Times New Roman"/>
                <w:sz w:val="21"/>
              </w:rPr>
            </w:pPr>
            <w:r>
              <w:rPr>
                <w:rFonts w:ascii="Times New Roman"/>
                <w:w w:val="100"/>
                <w:sz w:val="21"/>
              </w:rPr>
              <w:t>-</w:t>
            </w:r>
          </w:p>
        </w:tc>
        <w:tc>
          <w:tcPr>
            <w:tcW w:w="1581" w:type="dxa"/>
          </w:tcPr>
          <w:p>
            <w:pPr>
              <w:pStyle w:val="TableParagraph"/>
              <w:spacing w:line="235" w:lineRule="exact"/>
              <w:ind w:right="98"/>
              <w:jc w:val="right"/>
              <w:rPr>
                <w:rFonts w:ascii="Times New Roman"/>
                <w:sz w:val="21"/>
              </w:rPr>
            </w:pPr>
            <w:r>
              <w:rPr>
                <w:rFonts w:ascii="Times New Roman"/>
                <w:w w:val="100"/>
                <w:sz w:val="21"/>
              </w:rPr>
              <w:t>-</w:t>
            </w:r>
          </w:p>
        </w:tc>
        <w:tc>
          <w:tcPr>
            <w:tcW w:w="1361" w:type="dxa"/>
          </w:tcPr>
          <w:p>
            <w:pPr>
              <w:pStyle w:val="TableParagraph"/>
              <w:spacing w:line="235" w:lineRule="exact"/>
              <w:ind w:right="100"/>
              <w:jc w:val="right"/>
              <w:rPr>
                <w:rFonts w:ascii="Times New Roman"/>
                <w:sz w:val="21"/>
              </w:rPr>
            </w:pPr>
            <w:r>
              <w:rPr>
                <w:rFonts w:ascii="Times New Roman"/>
                <w:w w:val="100"/>
                <w:sz w:val="21"/>
              </w:rPr>
              <w:t>-</w:t>
            </w:r>
          </w:p>
        </w:tc>
        <w:tc>
          <w:tcPr>
            <w:tcW w:w="1195" w:type="dxa"/>
          </w:tcPr>
          <w:p>
            <w:pPr>
              <w:pStyle w:val="TableParagraph"/>
              <w:spacing w:before="144"/>
              <w:ind w:right="96"/>
              <w:jc w:val="right"/>
              <w:rPr>
                <w:rFonts w:ascii="Times New Roman"/>
                <w:sz w:val="21"/>
              </w:rPr>
            </w:pPr>
            <w:r>
              <w:rPr>
                <w:rFonts w:ascii="Times New Roman"/>
                <w:sz w:val="21"/>
              </w:rPr>
              <w:t>16,747</w:t>
            </w:r>
          </w:p>
        </w:tc>
        <w:tc>
          <w:tcPr>
            <w:tcW w:w="992" w:type="dxa"/>
          </w:tcPr>
          <w:p>
            <w:pPr>
              <w:pStyle w:val="TableParagraph"/>
              <w:spacing w:before="144"/>
              <w:ind w:right="98"/>
              <w:jc w:val="right"/>
              <w:rPr>
                <w:rFonts w:ascii="Times New Roman"/>
                <w:sz w:val="21"/>
              </w:rPr>
            </w:pPr>
            <w:r>
              <w:rPr>
                <w:rFonts w:ascii="Times New Roman"/>
                <w:w w:val="100"/>
                <w:sz w:val="21"/>
              </w:rPr>
              <w:t>-</w:t>
            </w:r>
          </w:p>
        </w:tc>
        <w:tc>
          <w:tcPr>
            <w:tcW w:w="1195" w:type="dxa"/>
          </w:tcPr>
          <w:p>
            <w:pPr>
              <w:pStyle w:val="TableParagraph"/>
              <w:spacing w:before="144"/>
              <w:ind w:right="96"/>
              <w:jc w:val="right"/>
              <w:rPr>
                <w:rFonts w:ascii="Times New Roman"/>
                <w:sz w:val="21"/>
              </w:rPr>
            </w:pPr>
            <w:r>
              <w:rPr>
                <w:rFonts w:ascii="Times New Roman"/>
                <w:sz w:val="21"/>
              </w:rPr>
              <w:t>16,747</w:t>
            </w:r>
          </w:p>
        </w:tc>
      </w:tr>
      <w:tr>
        <w:trPr>
          <w:trHeight w:val="273" w:hRule="atLeast"/>
        </w:trPr>
        <w:tc>
          <w:tcPr>
            <w:tcW w:w="1142" w:type="dxa"/>
          </w:tcPr>
          <w:p>
            <w:pPr>
              <w:pStyle w:val="TableParagraph"/>
              <w:spacing w:line="252" w:lineRule="exact" w:before="1"/>
              <w:ind w:left="107"/>
              <w:rPr>
                <w:sz w:val="21"/>
              </w:rPr>
            </w:pPr>
            <w:r>
              <w:rPr>
                <w:w w:val="100"/>
                <w:sz w:val="21"/>
              </w:rPr>
              <w:t> </w:t>
            </w:r>
          </w:p>
        </w:tc>
        <w:tc>
          <w:tcPr>
            <w:tcW w:w="1356" w:type="dxa"/>
          </w:tcPr>
          <w:p>
            <w:pPr>
              <w:pStyle w:val="TableParagraph"/>
              <w:rPr>
                <w:rFonts w:ascii="Times New Roman"/>
                <w:sz w:val="20"/>
              </w:rPr>
            </w:pPr>
          </w:p>
        </w:tc>
        <w:tc>
          <w:tcPr>
            <w:tcW w:w="1581" w:type="dxa"/>
          </w:tcPr>
          <w:p>
            <w:pPr>
              <w:pStyle w:val="TableParagraph"/>
              <w:rPr>
                <w:rFonts w:ascii="Times New Roman"/>
                <w:sz w:val="20"/>
              </w:rPr>
            </w:pPr>
          </w:p>
        </w:tc>
        <w:tc>
          <w:tcPr>
            <w:tcW w:w="1361" w:type="dxa"/>
          </w:tcPr>
          <w:p>
            <w:pPr>
              <w:pStyle w:val="TableParagraph"/>
              <w:rPr>
                <w:rFonts w:ascii="Times New Roman"/>
                <w:sz w:val="20"/>
              </w:rPr>
            </w:pPr>
          </w:p>
        </w:tc>
        <w:tc>
          <w:tcPr>
            <w:tcW w:w="1195" w:type="dxa"/>
          </w:tcPr>
          <w:p>
            <w:pPr>
              <w:pStyle w:val="TableParagraph"/>
              <w:rPr>
                <w:rFonts w:ascii="Times New Roman"/>
                <w:sz w:val="20"/>
              </w:rPr>
            </w:pPr>
          </w:p>
        </w:tc>
        <w:tc>
          <w:tcPr>
            <w:tcW w:w="992" w:type="dxa"/>
          </w:tcPr>
          <w:p>
            <w:pPr>
              <w:pStyle w:val="TableParagraph"/>
              <w:rPr>
                <w:rFonts w:ascii="Times New Roman"/>
                <w:sz w:val="20"/>
              </w:rPr>
            </w:pPr>
          </w:p>
        </w:tc>
        <w:tc>
          <w:tcPr>
            <w:tcW w:w="1195" w:type="dxa"/>
          </w:tcPr>
          <w:p>
            <w:pPr>
              <w:pStyle w:val="TableParagraph"/>
              <w:rPr>
                <w:rFonts w:ascii="Times New Roman"/>
                <w:sz w:val="20"/>
              </w:rPr>
            </w:pPr>
          </w:p>
        </w:tc>
      </w:tr>
      <w:tr>
        <w:trPr>
          <w:trHeight w:val="270" w:hRule="atLeast"/>
        </w:trPr>
        <w:tc>
          <w:tcPr>
            <w:tcW w:w="1142" w:type="dxa"/>
          </w:tcPr>
          <w:p>
            <w:pPr>
              <w:pStyle w:val="TableParagraph"/>
              <w:spacing w:line="250" w:lineRule="exact" w:before="1"/>
              <w:ind w:left="107"/>
              <w:rPr>
                <w:sz w:val="21"/>
              </w:rPr>
            </w:pPr>
            <w:r>
              <w:rPr>
                <w:w w:val="100"/>
                <w:sz w:val="21"/>
              </w:rPr>
              <w:t> </w:t>
            </w:r>
          </w:p>
        </w:tc>
        <w:tc>
          <w:tcPr>
            <w:tcW w:w="1356" w:type="dxa"/>
          </w:tcPr>
          <w:p>
            <w:pPr>
              <w:pStyle w:val="TableParagraph"/>
              <w:rPr>
                <w:rFonts w:ascii="Times New Roman"/>
                <w:sz w:val="20"/>
              </w:rPr>
            </w:pPr>
          </w:p>
        </w:tc>
        <w:tc>
          <w:tcPr>
            <w:tcW w:w="1581" w:type="dxa"/>
          </w:tcPr>
          <w:p>
            <w:pPr>
              <w:pStyle w:val="TableParagraph"/>
              <w:rPr>
                <w:rFonts w:ascii="Times New Roman"/>
                <w:sz w:val="20"/>
              </w:rPr>
            </w:pPr>
          </w:p>
        </w:tc>
        <w:tc>
          <w:tcPr>
            <w:tcW w:w="1361" w:type="dxa"/>
          </w:tcPr>
          <w:p>
            <w:pPr>
              <w:pStyle w:val="TableParagraph"/>
              <w:rPr>
                <w:rFonts w:ascii="Times New Roman"/>
                <w:sz w:val="20"/>
              </w:rPr>
            </w:pPr>
          </w:p>
        </w:tc>
        <w:tc>
          <w:tcPr>
            <w:tcW w:w="1195" w:type="dxa"/>
          </w:tcPr>
          <w:p>
            <w:pPr>
              <w:pStyle w:val="TableParagraph"/>
              <w:rPr>
                <w:rFonts w:ascii="Times New Roman"/>
                <w:sz w:val="20"/>
              </w:rPr>
            </w:pPr>
          </w:p>
        </w:tc>
        <w:tc>
          <w:tcPr>
            <w:tcW w:w="992" w:type="dxa"/>
          </w:tcPr>
          <w:p>
            <w:pPr>
              <w:pStyle w:val="TableParagraph"/>
              <w:rPr>
                <w:rFonts w:ascii="Times New Roman"/>
                <w:sz w:val="20"/>
              </w:rPr>
            </w:pPr>
          </w:p>
        </w:tc>
        <w:tc>
          <w:tcPr>
            <w:tcW w:w="1195" w:type="dxa"/>
          </w:tcPr>
          <w:p>
            <w:pPr>
              <w:pStyle w:val="TableParagraph"/>
              <w:rPr>
                <w:rFonts w:ascii="Times New Roman"/>
                <w:sz w:val="20"/>
              </w:rPr>
            </w:pPr>
          </w:p>
        </w:tc>
      </w:tr>
      <w:tr>
        <w:trPr>
          <w:trHeight w:val="273" w:hRule="atLeast"/>
        </w:trPr>
        <w:tc>
          <w:tcPr>
            <w:tcW w:w="1142" w:type="dxa"/>
          </w:tcPr>
          <w:p>
            <w:pPr>
              <w:pStyle w:val="TableParagraph"/>
              <w:spacing w:line="250" w:lineRule="exact" w:before="3"/>
              <w:ind w:left="357"/>
              <w:rPr>
                <w:sz w:val="21"/>
              </w:rPr>
            </w:pPr>
            <w:r>
              <w:rPr>
                <w:sz w:val="21"/>
              </w:rPr>
              <w:t>合计 </w:t>
            </w:r>
          </w:p>
        </w:tc>
        <w:tc>
          <w:tcPr>
            <w:tcW w:w="1356" w:type="dxa"/>
          </w:tcPr>
          <w:p>
            <w:pPr>
              <w:pStyle w:val="TableParagraph"/>
              <w:spacing w:line="237" w:lineRule="exact"/>
              <w:ind w:right="100"/>
              <w:jc w:val="right"/>
              <w:rPr>
                <w:rFonts w:ascii="Times New Roman"/>
                <w:sz w:val="21"/>
              </w:rPr>
            </w:pPr>
            <w:r>
              <w:rPr>
                <w:rFonts w:ascii="Times New Roman"/>
                <w:sz w:val="21"/>
              </w:rPr>
              <w:t>78,632,489</w:t>
            </w:r>
          </w:p>
        </w:tc>
        <w:tc>
          <w:tcPr>
            <w:tcW w:w="1581" w:type="dxa"/>
          </w:tcPr>
          <w:p>
            <w:pPr>
              <w:pStyle w:val="TableParagraph"/>
              <w:spacing w:line="237" w:lineRule="exact"/>
              <w:ind w:right="97"/>
              <w:jc w:val="right"/>
              <w:rPr>
                <w:rFonts w:ascii="Times New Roman"/>
                <w:sz w:val="21"/>
              </w:rPr>
            </w:pPr>
            <w:r>
              <w:rPr>
                <w:rFonts w:ascii="Times New Roman"/>
                <w:sz w:val="21"/>
              </w:rPr>
              <w:t>1,310,735</w:t>
            </w:r>
          </w:p>
        </w:tc>
        <w:tc>
          <w:tcPr>
            <w:tcW w:w="1361" w:type="dxa"/>
          </w:tcPr>
          <w:p>
            <w:pPr>
              <w:pStyle w:val="TableParagraph"/>
              <w:spacing w:line="237" w:lineRule="exact"/>
              <w:ind w:right="99"/>
              <w:jc w:val="right"/>
              <w:rPr>
                <w:rFonts w:ascii="Times New Roman"/>
                <w:sz w:val="21"/>
              </w:rPr>
            </w:pPr>
            <w:r>
              <w:rPr>
                <w:rFonts w:ascii="Times New Roman"/>
                <w:sz w:val="21"/>
              </w:rPr>
              <w:t>77,321,754</w:t>
            </w:r>
          </w:p>
        </w:tc>
        <w:tc>
          <w:tcPr>
            <w:tcW w:w="1195" w:type="dxa"/>
          </w:tcPr>
          <w:p>
            <w:pPr>
              <w:pStyle w:val="TableParagraph"/>
              <w:spacing w:line="237" w:lineRule="exact"/>
              <w:ind w:right="96"/>
              <w:jc w:val="right"/>
              <w:rPr>
                <w:rFonts w:ascii="Times New Roman"/>
                <w:sz w:val="21"/>
              </w:rPr>
            </w:pPr>
            <w:r>
              <w:rPr>
                <w:rFonts w:ascii="Times New Roman"/>
                <w:sz w:val="21"/>
              </w:rPr>
              <w:t>72,734,261</w:t>
            </w:r>
          </w:p>
        </w:tc>
        <w:tc>
          <w:tcPr>
            <w:tcW w:w="992" w:type="dxa"/>
          </w:tcPr>
          <w:p>
            <w:pPr>
              <w:pStyle w:val="TableParagraph"/>
              <w:spacing w:line="237" w:lineRule="exact"/>
              <w:ind w:right="97"/>
              <w:jc w:val="right"/>
              <w:rPr>
                <w:rFonts w:ascii="Times New Roman"/>
                <w:sz w:val="21"/>
              </w:rPr>
            </w:pPr>
            <w:r>
              <w:rPr>
                <w:rFonts w:ascii="Times New Roman"/>
                <w:sz w:val="21"/>
              </w:rPr>
              <w:t>806,424</w:t>
            </w:r>
          </w:p>
        </w:tc>
        <w:tc>
          <w:tcPr>
            <w:tcW w:w="1195" w:type="dxa"/>
          </w:tcPr>
          <w:p>
            <w:pPr>
              <w:pStyle w:val="TableParagraph"/>
              <w:spacing w:line="237" w:lineRule="exact"/>
              <w:ind w:right="96"/>
              <w:jc w:val="right"/>
              <w:rPr>
                <w:rFonts w:ascii="Times New Roman"/>
                <w:sz w:val="21"/>
              </w:rPr>
            </w:pPr>
            <w:r>
              <w:rPr>
                <w:rFonts w:ascii="Times New Roman"/>
                <w:sz w:val="21"/>
              </w:rPr>
              <w:t>71,927,837</w:t>
            </w:r>
          </w:p>
        </w:tc>
      </w:tr>
    </w:tbl>
    <w:p>
      <w:pPr>
        <w:spacing w:after="0" w:line="237" w:lineRule="exact"/>
        <w:jc w:val="right"/>
        <w:rPr>
          <w:rFonts w:ascii="Times New Roman"/>
          <w:sz w:val="21"/>
        </w:rPr>
        <w:sectPr>
          <w:type w:val="continuous"/>
          <w:pgSz w:w="11910" w:h="16840"/>
          <w:pgMar w:top="780" w:bottom="280" w:left="1480" w:right="0"/>
        </w:sectPr>
      </w:pPr>
    </w:p>
    <w:p>
      <w:pPr>
        <w:pStyle w:val="BodyText"/>
        <w:spacing w:before="1"/>
      </w:pPr>
      <w:r>
        <w:rPr>
          <w:w w:val="100"/>
        </w:rPr>
        <w:t> </w:t>
      </w:r>
    </w:p>
    <w:p>
      <w:pPr>
        <w:pStyle w:val="BodyText"/>
        <w:spacing w:before="4"/>
      </w:pPr>
      <w:r>
        <w:rPr>
          <w:color w:val="FF6600"/>
          <w:w w:val="100"/>
        </w:rPr>
        <w:t> </w:t>
      </w:r>
    </w:p>
    <w:p>
      <w:pPr>
        <w:pStyle w:val="ListParagraph"/>
        <w:numPr>
          <w:ilvl w:val="0"/>
          <w:numId w:val="64"/>
        </w:numPr>
        <w:tabs>
          <w:tab w:pos="746" w:val="left" w:leader="none"/>
        </w:tabs>
        <w:spacing w:line="240" w:lineRule="auto" w:before="63" w:after="0"/>
        <w:ind w:left="745" w:right="0" w:hanging="428"/>
        <w:jc w:val="left"/>
        <w:rPr>
          <w:sz w:val="21"/>
        </w:rPr>
      </w:pPr>
      <w:r>
        <w:rPr>
          <w:sz w:val="21"/>
        </w:rPr>
        <w:t>存货跌价准备及合同履约成本减值准备 </w:t>
      </w:r>
    </w:p>
    <w:p>
      <w:pPr>
        <w:pStyle w:val="BodyText"/>
        <w:spacing w:before="64"/>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spacing w:before="6"/>
        <w:ind w:left="0"/>
        <w:rPr>
          <w:sz w:val="14"/>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4475" w:space="1835"/>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0"/>
        <w:gridCol w:w="1275"/>
        <w:gridCol w:w="1339"/>
        <w:gridCol w:w="987"/>
        <w:gridCol w:w="1171"/>
        <w:gridCol w:w="752"/>
        <w:gridCol w:w="1560"/>
      </w:tblGrid>
      <w:tr>
        <w:trPr>
          <w:trHeight w:val="270" w:hRule="atLeast"/>
        </w:trPr>
        <w:tc>
          <w:tcPr>
            <w:tcW w:w="1740" w:type="dxa"/>
            <w:vMerge w:val="restart"/>
          </w:tcPr>
          <w:p>
            <w:pPr>
              <w:pStyle w:val="TableParagraph"/>
              <w:spacing w:before="7"/>
              <w:rPr>
                <w:sz w:val="21"/>
              </w:rPr>
            </w:pPr>
          </w:p>
          <w:p>
            <w:pPr>
              <w:pStyle w:val="TableParagraph"/>
              <w:spacing w:before="1"/>
              <w:ind w:left="659"/>
              <w:rPr>
                <w:sz w:val="21"/>
              </w:rPr>
            </w:pPr>
            <w:r>
              <w:rPr>
                <w:sz w:val="21"/>
              </w:rPr>
              <w:t>项目 </w:t>
            </w:r>
          </w:p>
        </w:tc>
        <w:tc>
          <w:tcPr>
            <w:tcW w:w="1275" w:type="dxa"/>
            <w:vMerge w:val="restart"/>
          </w:tcPr>
          <w:p>
            <w:pPr>
              <w:pStyle w:val="TableParagraph"/>
              <w:spacing w:before="7"/>
              <w:rPr>
                <w:sz w:val="21"/>
              </w:rPr>
            </w:pPr>
          </w:p>
          <w:p>
            <w:pPr>
              <w:pStyle w:val="TableParagraph"/>
              <w:spacing w:before="1"/>
              <w:ind w:left="215"/>
              <w:rPr>
                <w:sz w:val="21"/>
              </w:rPr>
            </w:pPr>
            <w:r>
              <w:rPr>
                <w:spacing w:val="-1"/>
                <w:sz w:val="21"/>
              </w:rPr>
              <w:t>期初余额</w:t>
            </w:r>
            <w:r>
              <w:rPr>
                <w:sz w:val="21"/>
              </w:rPr>
              <w:t> </w:t>
            </w:r>
          </w:p>
        </w:tc>
        <w:tc>
          <w:tcPr>
            <w:tcW w:w="2326" w:type="dxa"/>
            <w:gridSpan w:val="2"/>
          </w:tcPr>
          <w:p>
            <w:pPr>
              <w:pStyle w:val="TableParagraph"/>
              <w:spacing w:line="250" w:lineRule="exact" w:before="1"/>
              <w:ind w:left="530"/>
              <w:rPr>
                <w:sz w:val="21"/>
              </w:rPr>
            </w:pPr>
            <w:r>
              <w:rPr>
                <w:spacing w:val="-1"/>
                <w:sz w:val="21"/>
              </w:rPr>
              <w:t>本期增加金额</w:t>
            </w:r>
            <w:r>
              <w:rPr>
                <w:sz w:val="21"/>
              </w:rPr>
              <w:t> </w:t>
            </w:r>
          </w:p>
        </w:tc>
        <w:tc>
          <w:tcPr>
            <w:tcW w:w="1923" w:type="dxa"/>
            <w:gridSpan w:val="2"/>
          </w:tcPr>
          <w:p>
            <w:pPr>
              <w:pStyle w:val="TableParagraph"/>
              <w:spacing w:line="250" w:lineRule="exact" w:before="1"/>
              <w:ind w:left="328"/>
              <w:rPr>
                <w:sz w:val="21"/>
              </w:rPr>
            </w:pPr>
            <w:r>
              <w:rPr>
                <w:spacing w:val="-1"/>
                <w:sz w:val="21"/>
              </w:rPr>
              <w:t>本期减少金额</w:t>
            </w:r>
            <w:r>
              <w:rPr>
                <w:sz w:val="21"/>
              </w:rPr>
              <w:t> </w:t>
            </w:r>
          </w:p>
        </w:tc>
        <w:tc>
          <w:tcPr>
            <w:tcW w:w="1560" w:type="dxa"/>
            <w:vMerge w:val="restart"/>
          </w:tcPr>
          <w:p>
            <w:pPr>
              <w:pStyle w:val="TableParagraph"/>
              <w:spacing w:before="7"/>
              <w:rPr>
                <w:sz w:val="21"/>
              </w:rPr>
            </w:pPr>
          </w:p>
          <w:p>
            <w:pPr>
              <w:pStyle w:val="TableParagraph"/>
              <w:spacing w:before="1"/>
              <w:ind w:left="359"/>
              <w:rPr>
                <w:sz w:val="21"/>
              </w:rPr>
            </w:pPr>
            <w:r>
              <w:rPr>
                <w:spacing w:val="-1"/>
                <w:sz w:val="21"/>
              </w:rPr>
              <w:t>期末余额</w:t>
            </w:r>
            <w:r>
              <w:rPr>
                <w:sz w:val="21"/>
              </w:rPr>
              <w:t> </w:t>
            </w:r>
          </w:p>
        </w:tc>
      </w:tr>
      <w:tr>
        <w:trPr>
          <w:trHeight w:val="544" w:hRule="atLeast"/>
        </w:trPr>
        <w:tc>
          <w:tcPr>
            <w:tcW w:w="1740" w:type="dxa"/>
            <w:vMerge/>
            <w:tcBorders>
              <w:top w:val="nil"/>
            </w:tcBorders>
          </w:tcPr>
          <w:p>
            <w:pPr>
              <w:rPr>
                <w:sz w:val="2"/>
                <w:szCs w:val="2"/>
              </w:rPr>
            </w:pPr>
          </w:p>
        </w:tc>
        <w:tc>
          <w:tcPr>
            <w:tcW w:w="1275" w:type="dxa"/>
            <w:vMerge/>
            <w:tcBorders>
              <w:top w:val="nil"/>
            </w:tcBorders>
          </w:tcPr>
          <w:p>
            <w:pPr>
              <w:rPr>
                <w:sz w:val="2"/>
                <w:szCs w:val="2"/>
              </w:rPr>
            </w:pPr>
          </w:p>
        </w:tc>
        <w:tc>
          <w:tcPr>
            <w:tcW w:w="1339" w:type="dxa"/>
          </w:tcPr>
          <w:p>
            <w:pPr>
              <w:pStyle w:val="TableParagraph"/>
              <w:spacing w:before="138"/>
              <w:ind w:left="458"/>
              <w:rPr>
                <w:sz w:val="21"/>
              </w:rPr>
            </w:pPr>
            <w:r>
              <w:rPr>
                <w:sz w:val="21"/>
              </w:rPr>
              <w:t>计提 </w:t>
            </w:r>
          </w:p>
        </w:tc>
        <w:tc>
          <w:tcPr>
            <w:tcW w:w="987" w:type="dxa"/>
          </w:tcPr>
          <w:p>
            <w:pPr>
              <w:pStyle w:val="TableParagraph"/>
              <w:spacing w:before="138"/>
              <w:ind w:right="168"/>
              <w:jc w:val="right"/>
              <w:rPr>
                <w:sz w:val="21"/>
              </w:rPr>
            </w:pPr>
            <w:r>
              <w:rPr>
                <w:sz w:val="21"/>
              </w:rPr>
              <w:t>其他 </w:t>
            </w:r>
          </w:p>
        </w:tc>
        <w:tc>
          <w:tcPr>
            <w:tcW w:w="1171" w:type="dxa"/>
          </w:tcPr>
          <w:p>
            <w:pPr>
              <w:pStyle w:val="TableParagraph"/>
              <w:spacing w:before="1"/>
              <w:ind w:left="162"/>
              <w:rPr>
                <w:sz w:val="21"/>
              </w:rPr>
            </w:pPr>
            <w:r>
              <w:rPr>
                <w:sz w:val="21"/>
              </w:rPr>
              <w:t>转回或转</w:t>
            </w:r>
          </w:p>
          <w:p>
            <w:pPr>
              <w:pStyle w:val="TableParagraph"/>
              <w:spacing w:line="250" w:lineRule="exact" w:before="5"/>
              <w:ind w:left="477"/>
              <w:rPr>
                <w:sz w:val="21"/>
              </w:rPr>
            </w:pPr>
            <w:r>
              <w:rPr>
                <w:sz w:val="21"/>
              </w:rPr>
              <w:t>销 </w:t>
            </w:r>
          </w:p>
        </w:tc>
        <w:tc>
          <w:tcPr>
            <w:tcW w:w="752" w:type="dxa"/>
          </w:tcPr>
          <w:p>
            <w:pPr>
              <w:pStyle w:val="TableParagraph"/>
              <w:spacing w:before="138"/>
              <w:ind w:right="48"/>
              <w:jc w:val="right"/>
              <w:rPr>
                <w:sz w:val="21"/>
              </w:rPr>
            </w:pPr>
            <w:r>
              <w:rPr>
                <w:sz w:val="21"/>
              </w:rPr>
              <w:t>其他 </w:t>
            </w:r>
          </w:p>
        </w:tc>
        <w:tc>
          <w:tcPr>
            <w:tcW w:w="1560" w:type="dxa"/>
            <w:vMerge/>
            <w:tcBorders>
              <w:top w:val="nil"/>
            </w:tcBorders>
          </w:tcPr>
          <w:p>
            <w:pPr>
              <w:rPr>
                <w:sz w:val="2"/>
                <w:szCs w:val="2"/>
              </w:rPr>
            </w:pPr>
          </w:p>
        </w:tc>
      </w:tr>
      <w:tr>
        <w:trPr>
          <w:trHeight w:val="273" w:hRule="atLeast"/>
        </w:trPr>
        <w:tc>
          <w:tcPr>
            <w:tcW w:w="1740" w:type="dxa"/>
          </w:tcPr>
          <w:p>
            <w:pPr>
              <w:pStyle w:val="TableParagraph"/>
              <w:spacing w:line="250" w:lineRule="exact" w:before="3"/>
              <w:ind w:left="107"/>
              <w:rPr>
                <w:sz w:val="21"/>
              </w:rPr>
            </w:pPr>
            <w:r>
              <w:rPr>
                <w:sz w:val="21"/>
              </w:rPr>
              <w:t>原材料 </w:t>
            </w:r>
          </w:p>
        </w:tc>
        <w:tc>
          <w:tcPr>
            <w:tcW w:w="1275" w:type="dxa"/>
          </w:tcPr>
          <w:p>
            <w:pPr>
              <w:pStyle w:val="TableParagraph"/>
              <w:spacing w:line="237" w:lineRule="exact"/>
              <w:ind w:right="98"/>
              <w:jc w:val="right"/>
              <w:rPr>
                <w:rFonts w:ascii="Times New Roman"/>
                <w:sz w:val="21"/>
              </w:rPr>
            </w:pPr>
            <w:r>
              <w:rPr>
                <w:rFonts w:ascii="Times New Roman"/>
                <w:sz w:val="21"/>
              </w:rPr>
              <w:t>537,787</w:t>
            </w:r>
          </w:p>
        </w:tc>
        <w:tc>
          <w:tcPr>
            <w:tcW w:w="1339" w:type="dxa"/>
          </w:tcPr>
          <w:p>
            <w:pPr>
              <w:pStyle w:val="TableParagraph"/>
              <w:spacing w:line="237" w:lineRule="exact"/>
              <w:ind w:right="93"/>
              <w:jc w:val="right"/>
              <w:rPr>
                <w:rFonts w:ascii="Times New Roman"/>
                <w:sz w:val="21"/>
              </w:rPr>
            </w:pPr>
            <w:r>
              <w:rPr>
                <w:rFonts w:ascii="Times New Roman"/>
                <w:sz w:val="21"/>
              </w:rPr>
              <w:t>796,013</w:t>
            </w:r>
          </w:p>
        </w:tc>
        <w:tc>
          <w:tcPr>
            <w:tcW w:w="987" w:type="dxa"/>
          </w:tcPr>
          <w:p>
            <w:pPr>
              <w:pStyle w:val="TableParagraph"/>
              <w:spacing w:line="237" w:lineRule="exact"/>
              <w:ind w:right="96"/>
              <w:jc w:val="right"/>
              <w:rPr>
                <w:rFonts w:ascii="Times New Roman"/>
                <w:sz w:val="21"/>
              </w:rPr>
            </w:pPr>
            <w:r>
              <w:rPr>
                <w:rFonts w:ascii="Times New Roman"/>
                <w:sz w:val="21"/>
              </w:rPr>
              <w:t>16,506</w:t>
            </w:r>
          </w:p>
        </w:tc>
        <w:tc>
          <w:tcPr>
            <w:tcW w:w="1171" w:type="dxa"/>
          </w:tcPr>
          <w:p>
            <w:pPr>
              <w:pStyle w:val="TableParagraph"/>
              <w:spacing w:line="237" w:lineRule="exact"/>
              <w:ind w:right="96"/>
              <w:jc w:val="right"/>
              <w:rPr>
                <w:rFonts w:ascii="Times New Roman"/>
                <w:sz w:val="21"/>
              </w:rPr>
            </w:pPr>
            <w:r>
              <w:rPr>
                <w:rFonts w:ascii="Times New Roman"/>
                <w:sz w:val="21"/>
              </w:rPr>
              <w:t>282,601</w:t>
            </w:r>
          </w:p>
        </w:tc>
        <w:tc>
          <w:tcPr>
            <w:tcW w:w="752" w:type="dxa"/>
          </w:tcPr>
          <w:p>
            <w:pPr>
              <w:pStyle w:val="TableParagraph"/>
              <w:rPr>
                <w:rFonts w:ascii="Times New Roman"/>
                <w:sz w:val="20"/>
              </w:rPr>
            </w:pPr>
          </w:p>
        </w:tc>
        <w:tc>
          <w:tcPr>
            <w:tcW w:w="1560" w:type="dxa"/>
          </w:tcPr>
          <w:p>
            <w:pPr>
              <w:pStyle w:val="TableParagraph"/>
              <w:spacing w:line="237" w:lineRule="exact"/>
              <w:ind w:right="98"/>
              <w:jc w:val="right"/>
              <w:rPr>
                <w:rFonts w:ascii="Times New Roman"/>
                <w:sz w:val="21"/>
              </w:rPr>
            </w:pPr>
            <w:r>
              <w:rPr>
                <w:rFonts w:ascii="Times New Roman"/>
                <w:sz w:val="21"/>
              </w:rPr>
              <w:t>1,067,705</w:t>
            </w:r>
          </w:p>
        </w:tc>
      </w:tr>
      <w:tr>
        <w:trPr>
          <w:trHeight w:val="273" w:hRule="atLeast"/>
        </w:trPr>
        <w:tc>
          <w:tcPr>
            <w:tcW w:w="1740" w:type="dxa"/>
          </w:tcPr>
          <w:p>
            <w:pPr>
              <w:pStyle w:val="TableParagraph"/>
              <w:spacing w:line="252" w:lineRule="exact" w:before="1"/>
              <w:ind w:left="107"/>
              <w:rPr>
                <w:sz w:val="21"/>
              </w:rPr>
            </w:pPr>
            <w:r>
              <w:rPr>
                <w:sz w:val="21"/>
              </w:rPr>
              <w:t>半成品 </w:t>
            </w:r>
          </w:p>
        </w:tc>
        <w:tc>
          <w:tcPr>
            <w:tcW w:w="1275" w:type="dxa"/>
          </w:tcPr>
          <w:p>
            <w:pPr>
              <w:pStyle w:val="TableParagraph"/>
              <w:spacing w:line="235" w:lineRule="exact"/>
              <w:ind w:right="98"/>
              <w:jc w:val="right"/>
              <w:rPr>
                <w:rFonts w:ascii="Times New Roman"/>
                <w:sz w:val="21"/>
              </w:rPr>
            </w:pPr>
            <w:r>
              <w:rPr>
                <w:rFonts w:ascii="Times New Roman"/>
                <w:sz w:val="21"/>
              </w:rPr>
              <w:t>130,463</w:t>
            </w:r>
          </w:p>
        </w:tc>
        <w:tc>
          <w:tcPr>
            <w:tcW w:w="1339" w:type="dxa"/>
          </w:tcPr>
          <w:p>
            <w:pPr>
              <w:pStyle w:val="TableParagraph"/>
              <w:spacing w:line="235" w:lineRule="exact"/>
              <w:ind w:right="93"/>
              <w:jc w:val="right"/>
              <w:rPr>
                <w:rFonts w:ascii="Times New Roman"/>
                <w:sz w:val="21"/>
              </w:rPr>
            </w:pPr>
            <w:r>
              <w:rPr>
                <w:rFonts w:ascii="Times New Roman"/>
                <w:sz w:val="21"/>
              </w:rPr>
              <w:t>53,622</w:t>
            </w:r>
          </w:p>
        </w:tc>
        <w:tc>
          <w:tcPr>
            <w:tcW w:w="987" w:type="dxa"/>
          </w:tcPr>
          <w:p>
            <w:pPr>
              <w:pStyle w:val="TableParagraph"/>
              <w:rPr>
                <w:rFonts w:ascii="Times New Roman"/>
                <w:sz w:val="20"/>
              </w:rPr>
            </w:pPr>
          </w:p>
        </w:tc>
        <w:tc>
          <w:tcPr>
            <w:tcW w:w="1171" w:type="dxa"/>
          </w:tcPr>
          <w:p>
            <w:pPr>
              <w:pStyle w:val="TableParagraph"/>
              <w:spacing w:line="235" w:lineRule="exact"/>
              <w:ind w:right="96"/>
              <w:jc w:val="right"/>
              <w:rPr>
                <w:rFonts w:ascii="Times New Roman"/>
                <w:sz w:val="21"/>
              </w:rPr>
            </w:pPr>
            <w:r>
              <w:rPr>
                <w:rFonts w:ascii="Times New Roman"/>
                <w:sz w:val="21"/>
              </w:rPr>
              <w:t>45,974</w:t>
            </w:r>
          </w:p>
        </w:tc>
        <w:tc>
          <w:tcPr>
            <w:tcW w:w="752" w:type="dxa"/>
          </w:tcPr>
          <w:p>
            <w:pPr>
              <w:pStyle w:val="TableParagraph"/>
              <w:spacing w:line="235" w:lineRule="exact"/>
              <w:ind w:right="94"/>
              <w:jc w:val="right"/>
              <w:rPr>
                <w:rFonts w:ascii="Times New Roman"/>
                <w:sz w:val="21"/>
              </w:rPr>
            </w:pPr>
            <w:r>
              <w:rPr>
                <w:rFonts w:ascii="Times New Roman"/>
                <w:sz w:val="21"/>
              </w:rPr>
              <w:t>122</w:t>
            </w:r>
          </w:p>
        </w:tc>
        <w:tc>
          <w:tcPr>
            <w:tcW w:w="1560" w:type="dxa"/>
          </w:tcPr>
          <w:p>
            <w:pPr>
              <w:pStyle w:val="TableParagraph"/>
              <w:spacing w:line="235" w:lineRule="exact"/>
              <w:ind w:right="98"/>
              <w:jc w:val="right"/>
              <w:rPr>
                <w:rFonts w:ascii="Times New Roman"/>
                <w:sz w:val="21"/>
              </w:rPr>
            </w:pPr>
            <w:r>
              <w:rPr>
                <w:rFonts w:ascii="Times New Roman"/>
                <w:sz w:val="21"/>
              </w:rPr>
              <w:t>137,989</w:t>
            </w:r>
          </w:p>
        </w:tc>
      </w:tr>
      <w:tr>
        <w:trPr>
          <w:trHeight w:val="270" w:hRule="atLeast"/>
        </w:trPr>
        <w:tc>
          <w:tcPr>
            <w:tcW w:w="1740" w:type="dxa"/>
          </w:tcPr>
          <w:p>
            <w:pPr>
              <w:pStyle w:val="TableParagraph"/>
              <w:spacing w:line="250" w:lineRule="exact" w:before="1"/>
              <w:ind w:left="107"/>
              <w:rPr>
                <w:sz w:val="21"/>
              </w:rPr>
            </w:pPr>
            <w:r>
              <w:rPr>
                <w:spacing w:val="-1"/>
                <w:sz w:val="21"/>
              </w:rPr>
              <w:t>库存商品</w:t>
            </w:r>
            <w:r>
              <w:rPr>
                <w:sz w:val="21"/>
              </w:rPr>
              <w:t> </w:t>
            </w:r>
          </w:p>
        </w:tc>
        <w:tc>
          <w:tcPr>
            <w:tcW w:w="1275" w:type="dxa"/>
          </w:tcPr>
          <w:p>
            <w:pPr>
              <w:pStyle w:val="TableParagraph"/>
              <w:rPr>
                <w:rFonts w:ascii="Times New Roman"/>
                <w:sz w:val="20"/>
              </w:rPr>
            </w:pPr>
          </w:p>
        </w:tc>
        <w:tc>
          <w:tcPr>
            <w:tcW w:w="1339" w:type="dxa"/>
          </w:tcPr>
          <w:p>
            <w:pPr>
              <w:pStyle w:val="TableParagraph"/>
              <w:rPr>
                <w:rFonts w:ascii="Times New Roman"/>
                <w:sz w:val="20"/>
              </w:rPr>
            </w:pPr>
          </w:p>
        </w:tc>
        <w:tc>
          <w:tcPr>
            <w:tcW w:w="987" w:type="dxa"/>
          </w:tcPr>
          <w:p>
            <w:pPr>
              <w:pStyle w:val="TableParagraph"/>
              <w:rPr>
                <w:rFonts w:ascii="Times New Roman"/>
                <w:sz w:val="20"/>
              </w:rPr>
            </w:pPr>
          </w:p>
        </w:tc>
        <w:tc>
          <w:tcPr>
            <w:tcW w:w="1171" w:type="dxa"/>
          </w:tcPr>
          <w:p>
            <w:pPr>
              <w:pStyle w:val="TableParagraph"/>
              <w:rPr>
                <w:rFonts w:ascii="Times New Roman"/>
                <w:sz w:val="20"/>
              </w:rPr>
            </w:pPr>
          </w:p>
        </w:tc>
        <w:tc>
          <w:tcPr>
            <w:tcW w:w="752" w:type="dxa"/>
          </w:tcPr>
          <w:p>
            <w:pPr>
              <w:pStyle w:val="TableParagraph"/>
              <w:rPr>
                <w:rFonts w:ascii="Times New Roman"/>
                <w:sz w:val="20"/>
              </w:rPr>
            </w:pPr>
          </w:p>
        </w:tc>
        <w:tc>
          <w:tcPr>
            <w:tcW w:w="1560" w:type="dxa"/>
          </w:tcPr>
          <w:p>
            <w:pPr>
              <w:pStyle w:val="TableParagraph"/>
              <w:rPr>
                <w:rFonts w:ascii="Times New Roman"/>
                <w:sz w:val="20"/>
              </w:rPr>
            </w:pPr>
          </w:p>
        </w:tc>
      </w:tr>
      <w:tr>
        <w:trPr>
          <w:trHeight w:val="273" w:hRule="atLeast"/>
        </w:trPr>
        <w:tc>
          <w:tcPr>
            <w:tcW w:w="1740" w:type="dxa"/>
          </w:tcPr>
          <w:p>
            <w:pPr>
              <w:pStyle w:val="TableParagraph"/>
              <w:spacing w:line="252" w:lineRule="exact" w:before="1"/>
              <w:ind w:left="107"/>
              <w:rPr>
                <w:sz w:val="21"/>
              </w:rPr>
            </w:pPr>
            <w:r>
              <w:rPr>
                <w:sz w:val="21"/>
              </w:rPr>
              <w:t>产成品 </w:t>
            </w:r>
          </w:p>
        </w:tc>
        <w:tc>
          <w:tcPr>
            <w:tcW w:w="1275" w:type="dxa"/>
          </w:tcPr>
          <w:p>
            <w:pPr>
              <w:pStyle w:val="TableParagraph"/>
              <w:spacing w:before="10"/>
              <w:ind w:right="93"/>
              <w:jc w:val="right"/>
              <w:rPr>
                <w:rFonts w:ascii="Times New Roman"/>
                <w:sz w:val="21"/>
              </w:rPr>
            </w:pPr>
            <w:r>
              <w:rPr>
                <w:rFonts w:ascii="Times New Roman"/>
                <w:sz w:val="21"/>
              </w:rPr>
              <w:t>138,174</w:t>
            </w:r>
          </w:p>
        </w:tc>
        <w:tc>
          <w:tcPr>
            <w:tcW w:w="1339" w:type="dxa"/>
          </w:tcPr>
          <w:p>
            <w:pPr>
              <w:pStyle w:val="TableParagraph"/>
              <w:spacing w:before="10"/>
              <w:ind w:right="93"/>
              <w:jc w:val="right"/>
              <w:rPr>
                <w:rFonts w:ascii="Times New Roman"/>
                <w:sz w:val="21"/>
              </w:rPr>
            </w:pPr>
            <w:r>
              <w:rPr>
                <w:rFonts w:ascii="Times New Roman"/>
                <w:sz w:val="21"/>
              </w:rPr>
              <w:t>219,033</w:t>
            </w:r>
          </w:p>
        </w:tc>
        <w:tc>
          <w:tcPr>
            <w:tcW w:w="987" w:type="dxa"/>
          </w:tcPr>
          <w:p>
            <w:pPr>
              <w:pStyle w:val="TableParagraph"/>
              <w:spacing w:before="10"/>
              <w:ind w:right="96"/>
              <w:jc w:val="right"/>
              <w:rPr>
                <w:rFonts w:ascii="Times New Roman"/>
                <w:sz w:val="21"/>
              </w:rPr>
            </w:pPr>
            <w:r>
              <w:rPr>
                <w:rFonts w:ascii="Times New Roman"/>
                <w:sz w:val="21"/>
              </w:rPr>
              <w:t>19,515</w:t>
            </w:r>
          </w:p>
        </w:tc>
        <w:tc>
          <w:tcPr>
            <w:tcW w:w="1171" w:type="dxa"/>
          </w:tcPr>
          <w:p>
            <w:pPr>
              <w:pStyle w:val="TableParagraph"/>
              <w:spacing w:before="10"/>
              <w:ind w:right="96"/>
              <w:jc w:val="right"/>
              <w:rPr>
                <w:rFonts w:ascii="Times New Roman"/>
                <w:sz w:val="21"/>
              </w:rPr>
            </w:pPr>
            <w:r>
              <w:rPr>
                <w:rFonts w:ascii="Times New Roman"/>
                <w:sz w:val="21"/>
              </w:rPr>
              <w:t>271,681</w:t>
            </w:r>
          </w:p>
        </w:tc>
        <w:tc>
          <w:tcPr>
            <w:tcW w:w="752" w:type="dxa"/>
          </w:tcPr>
          <w:p>
            <w:pPr>
              <w:pStyle w:val="TableParagraph"/>
              <w:rPr>
                <w:rFonts w:ascii="Times New Roman"/>
                <w:sz w:val="20"/>
              </w:rPr>
            </w:pPr>
          </w:p>
        </w:tc>
        <w:tc>
          <w:tcPr>
            <w:tcW w:w="1560" w:type="dxa"/>
          </w:tcPr>
          <w:p>
            <w:pPr>
              <w:pStyle w:val="TableParagraph"/>
              <w:spacing w:before="10"/>
              <w:ind w:right="93"/>
              <w:jc w:val="right"/>
              <w:rPr>
                <w:rFonts w:ascii="Times New Roman"/>
                <w:sz w:val="21"/>
              </w:rPr>
            </w:pPr>
            <w:r>
              <w:rPr>
                <w:rFonts w:ascii="Times New Roman"/>
                <w:sz w:val="21"/>
              </w:rPr>
              <w:t>105,041</w:t>
            </w:r>
          </w:p>
        </w:tc>
      </w:tr>
      <w:tr>
        <w:trPr>
          <w:trHeight w:val="273" w:hRule="atLeast"/>
        </w:trPr>
        <w:tc>
          <w:tcPr>
            <w:tcW w:w="1740" w:type="dxa"/>
          </w:tcPr>
          <w:p>
            <w:pPr>
              <w:pStyle w:val="TableParagraph"/>
              <w:spacing w:line="252" w:lineRule="exact" w:before="1"/>
              <w:ind w:left="107"/>
              <w:rPr>
                <w:sz w:val="21"/>
              </w:rPr>
            </w:pPr>
            <w:r>
              <w:rPr>
                <w:spacing w:val="-1"/>
                <w:sz w:val="21"/>
              </w:rPr>
              <w:t>周转材料</w:t>
            </w:r>
            <w:r>
              <w:rPr>
                <w:sz w:val="21"/>
              </w:rPr>
              <w:t> </w:t>
            </w:r>
          </w:p>
        </w:tc>
        <w:tc>
          <w:tcPr>
            <w:tcW w:w="1275" w:type="dxa"/>
          </w:tcPr>
          <w:p>
            <w:pPr>
              <w:pStyle w:val="TableParagraph"/>
              <w:rPr>
                <w:rFonts w:ascii="Times New Roman"/>
                <w:sz w:val="20"/>
              </w:rPr>
            </w:pPr>
          </w:p>
        </w:tc>
        <w:tc>
          <w:tcPr>
            <w:tcW w:w="1339" w:type="dxa"/>
          </w:tcPr>
          <w:p>
            <w:pPr>
              <w:pStyle w:val="TableParagraph"/>
              <w:rPr>
                <w:rFonts w:ascii="Times New Roman"/>
                <w:sz w:val="20"/>
              </w:rPr>
            </w:pPr>
          </w:p>
        </w:tc>
        <w:tc>
          <w:tcPr>
            <w:tcW w:w="987" w:type="dxa"/>
          </w:tcPr>
          <w:p>
            <w:pPr>
              <w:pStyle w:val="TableParagraph"/>
              <w:rPr>
                <w:rFonts w:ascii="Times New Roman"/>
                <w:sz w:val="20"/>
              </w:rPr>
            </w:pPr>
          </w:p>
        </w:tc>
        <w:tc>
          <w:tcPr>
            <w:tcW w:w="1171" w:type="dxa"/>
          </w:tcPr>
          <w:p>
            <w:pPr>
              <w:pStyle w:val="TableParagraph"/>
              <w:rPr>
                <w:rFonts w:ascii="Times New Roman"/>
                <w:sz w:val="20"/>
              </w:rPr>
            </w:pPr>
          </w:p>
        </w:tc>
        <w:tc>
          <w:tcPr>
            <w:tcW w:w="752" w:type="dxa"/>
          </w:tcPr>
          <w:p>
            <w:pPr>
              <w:pStyle w:val="TableParagraph"/>
              <w:rPr>
                <w:rFonts w:ascii="Times New Roman"/>
                <w:sz w:val="20"/>
              </w:rPr>
            </w:pPr>
          </w:p>
        </w:tc>
        <w:tc>
          <w:tcPr>
            <w:tcW w:w="1560" w:type="dxa"/>
          </w:tcPr>
          <w:p>
            <w:pPr>
              <w:pStyle w:val="TableParagraph"/>
              <w:rPr>
                <w:rFonts w:ascii="Times New Roman"/>
                <w:sz w:val="20"/>
              </w:rPr>
            </w:pPr>
          </w:p>
        </w:tc>
      </w:tr>
      <w:tr>
        <w:trPr>
          <w:trHeight w:val="270" w:hRule="atLeast"/>
        </w:trPr>
        <w:tc>
          <w:tcPr>
            <w:tcW w:w="1740" w:type="dxa"/>
          </w:tcPr>
          <w:p>
            <w:pPr>
              <w:pStyle w:val="TableParagraph"/>
              <w:spacing w:line="250" w:lineRule="exact" w:before="1"/>
              <w:ind w:left="107"/>
              <w:rPr>
                <w:sz w:val="21"/>
              </w:rPr>
            </w:pPr>
            <w:r>
              <w:rPr>
                <w:spacing w:val="-1"/>
                <w:sz w:val="21"/>
              </w:rPr>
              <w:t>消耗性生物资产</w:t>
            </w:r>
            <w:r>
              <w:rPr>
                <w:sz w:val="21"/>
              </w:rPr>
              <w:t> </w:t>
            </w:r>
          </w:p>
        </w:tc>
        <w:tc>
          <w:tcPr>
            <w:tcW w:w="1275" w:type="dxa"/>
          </w:tcPr>
          <w:p>
            <w:pPr>
              <w:pStyle w:val="TableParagraph"/>
              <w:rPr>
                <w:rFonts w:ascii="Times New Roman"/>
                <w:sz w:val="20"/>
              </w:rPr>
            </w:pPr>
          </w:p>
        </w:tc>
        <w:tc>
          <w:tcPr>
            <w:tcW w:w="1339" w:type="dxa"/>
          </w:tcPr>
          <w:p>
            <w:pPr>
              <w:pStyle w:val="TableParagraph"/>
              <w:rPr>
                <w:rFonts w:ascii="Times New Roman"/>
                <w:sz w:val="20"/>
              </w:rPr>
            </w:pPr>
          </w:p>
        </w:tc>
        <w:tc>
          <w:tcPr>
            <w:tcW w:w="987" w:type="dxa"/>
          </w:tcPr>
          <w:p>
            <w:pPr>
              <w:pStyle w:val="TableParagraph"/>
              <w:rPr>
                <w:rFonts w:ascii="Times New Roman"/>
                <w:sz w:val="20"/>
              </w:rPr>
            </w:pPr>
          </w:p>
        </w:tc>
        <w:tc>
          <w:tcPr>
            <w:tcW w:w="1171" w:type="dxa"/>
          </w:tcPr>
          <w:p>
            <w:pPr>
              <w:pStyle w:val="TableParagraph"/>
              <w:rPr>
                <w:rFonts w:ascii="Times New Roman"/>
                <w:sz w:val="20"/>
              </w:rPr>
            </w:pPr>
          </w:p>
        </w:tc>
        <w:tc>
          <w:tcPr>
            <w:tcW w:w="752" w:type="dxa"/>
          </w:tcPr>
          <w:p>
            <w:pPr>
              <w:pStyle w:val="TableParagraph"/>
              <w:rPr>
                <w:rFonts w:ascii="Times New Roman"/>
                <w:sz w:val="20"/>
              </w:rPr>
            </w:pPr>
          </w:p>
        </w:tc>
        <w:tc>
          <w:tcPr>
            <w:tcW w:w="1560" w:type="dxa"/>
          </w:tcPr>
          <w:p>
            <w:pPr>
              <w:pStyle w:val="TableParagraph"/>
              <w:rPr>
                <w:rFonts w:ascii="Times New Roman"/>
                <w:sz w:val="20"/>
              </w:rPr>
            </w:pPr>
          </w:p>
        </w:tc>
      </w:tr>
      <w:tr>
        <w:trPr>
          <w:trHeight w:val="273" w:hRule="atLeast"/>
        </w:trPr>
        <w:tc>
          <w:tcPr>
            <w:tcW w:w="1740" w:type="dxa"/>
          </w:tcPr>
          <w:p>
            <w:pPr>
              <w:pStyle w:val="TableParagraph"/>
              <w:spacing w:line="252" w:lineRule="exact" w:before="1"/>
              <w:ind w:left="107"/>
              <w:rPr>
                <w:sz w:val="21"/>
              </w:rPr>
            </w:pPr>
            <w:r>
              <w:rPr>
                <w:spacing w:val="-1"/>
                <w:sz w:val="21"/>
              </w:rPr>
              <w:t>合同履约成本</w:t>
            </w:r>
            <w:r>
              <w:rPr>
                <w:sz w:val="21"/>
              </w:rPr>
              <w:t> </w:t>
            </w:r>
          </w:p>
        </w:tc>
        <w:tc>
          <w:tcPr>
            <w:tcW w:w="1275" w:type="dxa"/>
          </w:tcPr>
          <w:p>
            <w:pPr>
              <w:pStyle w:val="TableParagraph"/>
              <w:rPr>
                <w:rFonts w:ascii="Times New Roman"/>
                <w:sz w:val="20"/>
              </w:rPr>
            </w:pPr>
          </w:p>
        </w:tc>
        <w:tc>
          <w:tcPr>
            <w:tcW w:w="1339" w:type="dxa"/>
          </w:tcPr>
          <w:p>
            <w:pPr>
              <w:pStyle w:val="TableParagraph"/>
              <w:rPr>
                <w:rFonts w:ascii="Times New Roman"/>
                <w:sz w:val="20"/>
              </w:rPr>
            </w:pPr>
          </w:p>
        </w:tc>
        <w:tc>
          <w:tcPr>
            <w:tcW w:w="987" w:type="dxa"/>
          </w:tcPr>
          <w:p>
            <w:pPr>
              <w:pStyle w:val="TableParagraph"/>
              <w:rPr>
                <w:rFonts w:ascii="Times New Roman"/>
                <w:sz w:val="20"/>
              </w:rPr>
            </w:pPr>
          </w:p>
        </w:tc>
        <w:tc>
          <w:tcPr>
            <w:tcW w:w="1171" w:type="dxa"/>
          </w:tcPr>
          <w:p>
            <w:pPr>
              <w:pStyle w:val="TableParagraph"/>
              <w:rPr>
                <w:rFonts w:ascii="Times New Roman"/>
                <w:sz w:val="20"/>
              </w:rPr>
            </w:pPr>
          </w:p>
        </w:tc>
        <w:tc>
          <w:tcPr>
            <w:tcW w:w="752" w:type="dxa"/>
          </w:tcPr>
          <w:p>
            <w:pPr>
              <w:pStyle w:val="TableParagraph"/>
              <w:rPr>
                <w:rFonts w:ascii="Times New Roman"/>
                <w:sz w:val="20"/>
              </w:rPr>
            </w:pPr>
          </w:p>
        </w:tc>
        <w:tc>
          <w:tcPr>
            <w:tcW w:w="1560" w:type="dxa"/>
          </w:tcPr>
          <w:p>
            <w:pPr>
              <w:pStyle w:val="TableParagraph"/>
              <w:rPr>
                <w:rFonts w:ascii="Times New Roman"/>
                <w:sz w:val="20"/>
              </w:rPr>
            </w:pPr>
          </w:p>
        </w:tc>
      </w:tr>
      <w:tr>
        <w:trPr>
          <w:trHeight w:val="270" w:hRule="atLeast"/>
        </w:trPr>
        <w:tc>
          <w:tcPr>
            <w:tcW w:w="1740" w:type="dxa"/>
          </w:tcPr>
          <w:p>
            <w:pPr>
              <w:pStyle w:val="TableParagraph"/>
              <w:spacing w:line="250" w:lineRule="exact" w:before="1"/>
              <w:ind w:left="107"/>
              <w:rPr>
                <w:sz w:val="21"/>
              </w:rPr>
            </w:pPr>
            <w:r>
              <w:rPr>
                <w:w w:val="100"/>
                <w:sz w:val="21"/>
              </w:rPr>
              <w:t> </w:t>
            </w:r>
          </w:p>
        </w:tc>
        <w:tc>
          <w:tcPr>
            <w:tcW w:w="1275" w:type="dxa"/>
          </w:tcPr>
          <w:p>
            <w:pPr>
              <w:pStyle w:val="TableParagraph"/>
              <w:rPr>
                <w:rFonts w:ascii="Times New Roman"/>
                <w:sz w:val="20"/>
              </w:rPr>
            </w:pPr>
          </w:p>
        </w:tc>
        <w:tc>
          <w:tcPr>
            <w:tcW w:w="1339" w:type="dxa"/>
          </w:tcPr>
          <w:p>
            <w:pPr>
              <w:pStyle w:val="TableParagraph"/>
              <w:rPr>
                <w:rFonts w:ascii="Times New Roman"/>
                <w:sz w:val="20"/>
              </w:rPr>
            </w:pPr>
          </w:p>
        </w:tc>
        <w:tc>
          <w:tcPr>
            <w:tcW w:w="987" w:type="dxa"/>
          </w:tcPr>
          <w:p>
            <w:pPr>
              <w:pStyle w:val="TableParagraph"/>
              <w:rPr>
                <w:rFonts w:ascii="Times New Roman"/>
                <w:sz w:val="20"/>
              </w:rPr>
            </w:pPr>
          </w:p>
        </w:tc>
        <w:tc>
          <w:tcPr>
            <w:tcW w:w="1171" w:type="dxa"/>
          </w:tcPr>
          <w:p>
            <w:pPr>
              <w:pStyle w:val="TableParagraph"/>
              <w:rPr>
                <w:rFonts w:ascii="Times New Roman"/>
                <w:sz w:val="20"/>
              </w:rPr>
            </w:pPr>
          </w:p>
        </w:tc>
        <w:tc>
          <w:tcPr>
            <w:tcW w:w="752" w:type="dxa"/>
          </w:tcPr>
          <w:p>
            <w:pPr>
              <w:pStyle w:val="TableParagraph"/>
              <w:rPr>
                <w:rFonts w:ascii="Times New Roman"/>
                <w:sz w:val="20"/>
              </w:rPr>
            </w:pPr>
          </w:p>
        </w:tc>
        <w:tc>
          <w:tcPr>
            <w:tcW w:w="1560" w:type="dxa"/>
          </w:tcPr>
          <w:p>
            <w:pPr>
              <w:pStyle w:val="TableParagraph"/>
              <w:rPr>
                <w:rFonts w:ascii="Times New Roman"/>
                <w:sz w:val="20"/>
              </w:rPr>
            </w:pPr>
          </w:p>
        </w:tc>
      </w:tr>
      <w:tr>
        <w:trPr>
          <w:trHeight w:val="273" w:hRule="atLeast"/>
        </w:trPr>
        <w:tc>
          <w:tcPr>
            <w:tcW w:w="1740" w:type="dxa"/>
          </w:tcPr>
          <w:p>
            <w:pPr>
              <w:pStyle w:val="TableParagraph"/>
              <w:spacing w:line="250" w:lineRule="exact" w:before="3"/>
              <w:ind w:left="107"/>
              <w:rPr>
                <w:sz w:val="21"/>
              </w:rPr>
            </w:pPr>
            <w:r>
              <w:rPr>
                <w:w w:val="100"/>
                <w:sz w:val="21"/>
              </w:rPr>
              <w:t> </w:t>
            </w:r>
          </w:p>
        </w:tc>
        <w:tc>
          <w:tcPr>
            <w:tcW w:w="1275" w:type="dxa"/>
          </w:tcPr>
          <w:p>
            <w:pPr>
              <w:pStyle w:val="TableParagraph"/>
              <w:rPr>
                <w:rFonts w:ascii="Times New Roman"/>
                <w:sz w:val="20"/>
              </w:rPr>
            </w:pPr>
          </w:p>
        </w:tc>
        <w:tc>
          <w:tcPr>
            <w:tcW w:w="1339" w:type="dxa"/>
          </w:tcPr>
          <w:p>
            <w:pPr>
              <w:pStyle w:val="TableParagraph"/>
              <w:rPr>
                <w:rFonts w:ascii="Times New Roman"/>
                <w:sz w:val="20"/>
              </w:rPr>
            </w:pPr>
          </w:p>
        </w:tc>
        <w:tc>
          <w:tcPr>
            <w:tcW w:w="987" w:type="dxa"/>
          </w:tcPr>
          <w:p>
            <w:pPr>
              <w:pStyle w:val="TableParagraph"/>
              <w:rPr>
                <w:rFonts w:ascii="Times New Roman"/>
                <w:sz w:val="20"/>
              </w:rPr>
            </w:pPr>
          </w:p>
        </w:tc>
        <w:tc>
          <w:tcPr>
            <w:tcW w:w="1171" w:type="dxa"/>
          </w:tcPr>
          <w:p>
            <w:pPr>
              <w:pStyle w:val="TableParagraph"/>
              <w:rPr>
                <w:rFonts w:ascii="Times New Roman"/>
                <w:sz w:val="20"/>
              </w:rPr>
            </w:pPr>
          </w:p>
        </w:tc>
        <w:tc>
          <w:tcPr>
            <w:tcW w:w="752" w:type="dxa"/>
          </w:tcPr>
          <w:p>
            <w:pPr>
              <w:pStyle w:val="TableParagraph"/>
              <w:rPr>
                <w:rFonts w:ascii="Times New Roman"/>
                <w:sz w:val="20"/>
              </w:rPr>
            </w:pPr>
          </w:p>
        </w:tc>
        <w:tc>
          <w:tcPr>
            <w:tcW w:w="1560" w:type="dxa"/>
          </w:tcPr>
          <w:p>
            <w:pPr>
              <w:pStyle w:val="TableParagraph"/>
              <w:rPr>
                <w:rFonts w:ascii="Times New Roman"/>
                <w:sz w:val="20"/>
              </w:rPr>
            </w:pPr>
          </w:p>
        </w:tc>
      </w:tr>
    </w:tbl>
    <w:p>
      <w:pPr>
        <w:spacing w:after="0"/>
        <w:rPr>
          <w:rFonts w:ascii="Times New Roman"/>
          <w:sz w:val="20"/>
        </w:rPr>
        <w:sectPr>
          <w:type w:val="continuous"/>
          <w:pgSz w:w="11910" w:h="16840"/>
          <w:pgMar w:top="780" w:bottom="2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0"/>
        <w:gridCol w:w="1275"/>
        <w:gridCol w:w="1339"/>
        <w:gridCol w:w="987"/>
        <w:gridCol w:w="1171"/>
        <w:gridCol w:w="752"/>
        <w:gridCol w:w="1560"/>
      </w:tblGrid>
      <w:tr>
        <w:trPr>
          <w:trHeight w:val="273" w:hRule="atLeast"/>
        </w:trPr>
        <w:tc>
          <w:tcPr>
            <w:tcW w:w="1740" w:type="dxa"/>
          </w:tcPr>
          <w:p>
            <w:pPr>
              <w:pStyle w:val="TableParagraph"/>
              <w:spacing w:line="250" w:lineRule="exact" w:before="3"/>
              <w:ind w:left="659"/>
              <w:rPr>
                <w:sz w:val="21"/>
              </w:rPr>
            </w:pPr>
            <w:r>
              <w:rPr>
                <w:sz w:val="21"/>
              </w:rPr>
              <w:t>合计 </w:t>
            </w:r>
          </w:p>
        </w:tc>
        <w:tc>
          <w:tcPr>
            <w:tcW w:w="1275" w:type="dxa"/>
          </w:tcPr>
          <w:p>
            <w:pPr>
              <w:pStyle w:val="TableParagraph"/>
              <w:spacing w:line="237" w:lineRule="exact"/>
              <w:ind w:left="480"/>
              <w:rPr>
                <w:rFonts w:ascii="Times New Roman"/>
                <w:sz w:val="21"/>
              </w:rPr>
            </w:pPr>
            <w:r>
              <w:rPr>
                <w:rFonts w:ascii="Times New Roman"/>
                <w:sz w:val="21"/>
              </w:rPr>
              <w:t>806,424</w:t>
            </w:r>
          </w:p>
        </w:tc>
        <w:tc>
          <w:tcPr>
            <w:tcW w:w="1339" w:type="dxa"/>
          </w:tcPr>
          <w:p>
            <w:pPr>
              <w:pStyle w:val="TableParagraph"/>
              <w:spacing w:line="237" w:lineRule="exact"/>
              <w:ind w:left="390"/>
              <w:rPr>
                <w:rFonts w:ascii="Times New Roman"/>
                <w:sz w:val="21"/>
              </w:rPr>
            </w:pPr>
            <w:r>
              <w:rPr>
                <w:rFonts w:ascii="Times New Roman"/>
                <w:sz w:val="21"/>
              </w:rPr>
              <w:t>1,068,668</w:t>
            </w:r>
          </w:p>
        </w:tc>
        <w:tc>
          <w:tcPr>
            <w:tcW w:w="987" w:type="dxa"/>
          </w:tcPr>
          <w:p>
            <w:pPr>
              <w:pStyle w:val="TableParagraph"/>
              <w:spacing w:line="237" w:lineRule="exact"/>
              <w:ind w:left="297"/>
              <w:rPr>
                <w:rFonts w:ascii="Times New Roman"/>
                <w:sz w:val="21"/>
              </w:rPr>
            </w:pPr>
            <w:r>
              <w:rPr>
                <w:rFonts w:ascii="Times New Roman"/>
                <w:sz w:val="21"/>
              </w:rPr>
              <w:t>36,021</w:t>
            </w:r>
          </w:p>
        </w:tc>
        <w:tc>
          <w:tcPr>
            <w:tcW w:w="1171" w:type="dxa"/>
          </w:tcPr>
          <w:p>
            <w:pPr>
              <w:pStyle w:val="TableParagraph"/>
              <w:spacing w:line="237" w:lineRule="exact"/>
              <w:ind w:left="378"/>
              <w:rPr>
                <w:rFonts w:ascii="Times New Roman"/>
                <w:sz w:val="21"/>
              </w:rPr>
            </w:pPr>
            <w:r>
              <w:rPr>
                <w:rFonts w:ascii="Times New Roman"/>
                <w:sz w:val="21"/>
              </w:rPr>
              <w:t>600,256</w:t>
            </w:r>
          </w:p>
        </w:tc>
        <w:tc>
          <w:tcPr>
            <w:tcW w:w="752" w:type="dxa"/>
          </w:tcPr>
          <w:p>
            <w:pPr>
              <w:pStyle w:val="TableParagraph"/>
              <w:spacing w:line="237" w:lineRule="exact"/>
              <w:ind w:left="328"/>
              <w:rPr>
                <w:rFonts w:ascii="Times New Roman"/>
                <w:sz w:val="21"/>
              </w:rPr>
            </w:pPr>
            <w:r>
              <w:rPr>
                <w:rFonts w:ascii="Times New Roman"/>
                <w:sz w:val="21"/>
              </w:rPr>
              <w:t>122</w:t>
            </w:r>
          </w:p>
        </w:tc>
        <w:tc>
          <w:tcPr>
            <w:tcW w:w="1560" w:type="dxa"/>
          </w:tcPr>
          <w:p>
            <w:pPr>
              <w:pStyle w:val="TableParagraph"/>
              <w:spacing w:line="237" w:lineRule="exact"/>
              <w:ind w:left="606"/>
              <w:rPr>
                <w:rFonts w:ascii="Times New Roman"/>
                <w:sz w:val="21"/>
              </w:rPr>
            </w:pPr>
            <w:r>
              <w:rPr>
                <w:rFonts w:ascii="Times New Roman"/>
                <w:sz w:val="21"/>
              </w:rPr>
              <w:t>1,310,735</w:t>
            </w:r>
          </w:p>
        </w:tc>
      </w:tr>
    </w:tbl>
    <w:p>
      <w:pPr>
        <w:pStyle w:val="BodyText"/>
        <w:spacing w:before="1"/>
      </w:pPr>
      <w:r>
        <w:rPr>
          <w:w w:val="100"/>
        </w:rPr>
        <w:t> </w:t>
      </w:r>
    </w:p>
    <w:p>
      <w:pPr>
        <w:pStyle w:val="ListParagraph"/>
        <w:numPr>
          <w:ilvl w:val="0"/>
          <w:numId w:val="64"/>
        </w:numPr>
        <w:tabs>
          <w:tab w:pos="746" w:val="left" w:leader="none"/>
        </w:tabs>
        <w:spacing w:line="240" w:lineRule="auto" w:before="64" w:after="0"/>
        <w:ind w:left="745" w:right="0" w:hanging="428"/>
        <w:jc w:val="left"/>
        <w:rPr>
          <w:sz w:val="21"/>
        </w:rPr>
      </w:pPr>
      <w:r>
        <w:rPr>
          <w:sz w:val="21"/>
        </w:rPr>
        <w:t>存货期末余额含有借款费用资本化金额的说明 </w:t>
      </w:r>
    </w:p>
    <w:p>
      <w:pPr>
        <w:pStyle w:val="BodyText"/>
        <w:spacing w:before="63"/>
      </w:pPr>
      <w:r>
        <w:rPr>
          <w:spacing w:val="11"/>
        </w:rPr>
        <w:t>□适用 √不适用</w:t>
      </w:r>
      <w:r>
        <w:rPr>
          <w:spacing w:val="-3"/>
        </w:rPr>
        <w:t> </w:t>
      </w:r>
      <w:r>
        <w:rPr/>
        <w:t> </w:t>
      </w:r>
    </w:p>
    <w:p>
      <w:pPr>
        <w:pStyle w:val="BodyText"/>
        <w:spacing w:before="4"/>
      </w:pPr>
      <w:r>
        <w:rPr>
          <w:w w:val="100"/>
        </w:rPr>
        <w:t> </w:t>
      </w:r>
    </w:p>
    <w:p>
      <w:pPr>
        <w:pStyle w:val="ListParagraph"/>
        <w:numPr>
          <w:ilvl w:val="0"/>
          <w:numId w:val="64"/>
        </w:numPr>
        <w:tabs>
          <w:tab w:pos="746" w:val="left" w:leader="none"/>
        </w:tabs>
        <w:spacing w:line="240" w:lineRule="auto" w:before="62" w:after="0"/>
        <w:ind w:left="745" w:right="0" w:hanging="428"/>
        <w:jc w:val="left"/>
        <w:rPr>
          <w:sz w:val="21"/>
        </w:rPr>
      </w:pPr>
      <w:r>
        <w:rPr>
          <w:sz w:val="21"/>
        </w:rPr>
        <w:t>合同履约成本本期摊销金额的说明 </w:t>
      </w:r>
    </w:p>
    <w:p>
      <w:pPr>
        <w:pStyle w:val="BodyText"/>
        <w:spacing w:before="65"/>
      </w:pPr>
      <w:r>
        <w:rPr>
          <w:spacing w:val="-1"/>
        </w:rPr>
        <w:t>□适用 √不适用</w:t>
      </w:r>
      <w:r>
        <w:rPr>
          <w:spacing w:val="-3"/>
        </w:rPr>
        <w:t> </w:t>
      </w:r>
      <w:r>
        <w:rPr/>
        <w:t> </w:t>
      </w:r>
    </w:p>
    <w:p>
      <w:pPr>
        <w:pStyle w:val="BodyText"/>
        <w:spacing w:before="2"/>
      </w:pPr>
      <w:r>
        <w:rPr>
          <w:w w:val="100"/>
        </w:rPr>
        <w:t> </w:t>
      </w:r>
    </w:p>
    <w:p>
      <w:pPr>
        <w:pStyle w:val="BodyText"/>
        <w:spacing w:before="4"/>
      </w:pPr>
      <w:r>
        <w:rPr>
          <w:spacing w:val="-1"/>
        </w:rPr>
        <w:t>其他说明</w:t>
      </w:r>
      <w:r>
        <w:rPr/>
        <w:t> </w:t>
      </w:r>
    </w:p>
    <w:p>
      <w:pPr>
        <w:pStyle w:val="BodyText"/>
        <w:spacing w:before="3"/>
      </w:pPr>
      <w:r>
        <w:rPr>
          <w:spacing w:val="11"/>
        </w:rPr>
        <w:t>□适用 √不适用</w:t>
      </w:r>
      <w:r>
        <w:rPr>
          <w:spacing w:val="-3"/>
        </w:rPr>
        <w:t> </w:t>
      </w:r>
      <w:r>
        <w:rPr/>
        <w:t> </w:t>
      </w:r>
    </w:p>
    <w:p>
      <w:pPr>
        <w:pStyle w:val="BodyText"/>
        <w:spacing w:before="9"/>
        <w:ind w:left="0"/>
        <w:rPr>
          <w:sz w:val="23"/>
        </w:rPr>
      </w:pPr>
    </w:p>
    <w:p>
      <w:pPr>
        <w:pStyle w:val="BodyText"/>
        <w:spacing w:line="297" w:lineRule="auto"/>
        <w:ind w:right="8308"/>
      </w:pPr>
      <w:r>
        <w:rPr/>
        <w:t>10</w:t>
      </w:r>
      <w:r>
        <w:rPr>
          <w:spacing w:val="2"/>
        </w:rPr>
        <w:t>、 合同资产</w:t>
      </w:r>
      <w:r>
        <w:rPr/>
        <w:t>(1).合同资产情况 </w:t>
      </w:r>
    </w:p>
    <w:p>
      <w:pPr>
        <w:pStyle w:val="BodyText"/>
        <w:spacing w:line="267" w:lineRule="exact"/>
      </w:pPr>
      <w:r>
        <w:rPr>
          <w:spacing w:val="-1"/>
        </w:rPr>
        <w:t>□适用 √不适用</w:t>
      </w:r>
      <w:r>
        <w:rPr>
          <w:spacing w:val="-3"/>
        </w:rPr>
        <w:t> </w:t>
      </w:r>
      <w:r>
        <w:rPr/>
        <w:t> </w:t>
      </w:r>
    </w:p>
    <w:p>
      <w:pPr>
        <w:pStyle w:val="ListParagraph"/>
        <w:numPr>
          <w:ilvl w:val="0"/>
          <w:numId w:val="65"/>
        </w:numPr>
        <w:tabs>
          <w:tab w:pos="746" w:val="left" w:leader="none"/>
        </w:tabs>
        <w:spacing w:line="240" w:lineRule="auto" w:before="65" w:after="0"/>
        <w:ind w:left="745" w:right="0" w:hanging="428"/>
        <w:jc w:val="left"/>
        <w:rPr>
          <w:sz w:val="21"/>
        </w:rPr>
      </w:pPr>
      <w:r>
        <w:rPr>
          <w:sz w:val="21"/>
        </w:rPr>
        <w:t>报告期内账面价值发生重大变动的金额和原因 </w:t>
      </w:r>
    </w:p>
    <w:p>
      <w:pPr>
        <w:pStyle w:val="BodyText"/>
        <w:spacing w:before="62"/>
      </w:pPr>
      <w:r>
        <w:rPr>
          <w:spacing w:val="-1"/>
        </w:rPr>
        <w:t>□适用 √不适用</w:t>
      </w:r>
      <w:r>
        <w:rPr>
          <w:spacing w:val="-3"/>
        </w:rPr>
        <w:t> </w:t>
      </w:r>
      <w:r>
        <w:rPr/>
        <w:t> </w:t>
      </w:r>
    </w:p>
    <w:p>
      <w:pPr>
        <w:pStyle w:val="ListParagraph"/>
        <w:numPr>
          <w:ilvl w:val="0"/>
          <w:numId w:val="65"/>
        </w:numPr>
        <w:tabs>
          <w:tab w:pos="746" w:val="left" w:leader="none"/>
        </w:tabs>
        <w:spacing w:line="240" w:lineRule="auto" w:before="65" w:after="0"/>
        <w:ind w:left="745" w:right="0" w:hanging="428"/>
        <w:jc w:val="left"/>
        <w:rPr>
          <w:sz w:val="21"/>
        </w:rPr>
      </w:pPr>
      <w:r>
        <w:rPr>
          <w:sz w:val="21"/>
        </w:rPr>
        <w:t>本期合同资产计提减值准备情况 </w:t>
      </w:r>
    </w:p>
    <w:p>
      <w:pPr>
        <w:pStyle w:val="BodyText"/>
        <w:spacing w:before="62"/>
      </w:pPr>
      <w:r>
        <w:rPr>
          <w:spacing w:val="-1"/>
        </w:rPr>
        <w:t>□适用 √不适用</w:t>
      </w:r>
      <w:r>
        <w:rPr>
          <w:spacing w:val="-3"/>
        </w:rPr>
        <w:t> </w:t>
      </w:r>
      <w:r>
        <w:rPr/>
        <w:t> </w:t>
      </w:r>
    </w:p>
    <w:p>
      <w:pPr>
        <w:pStyle w:val="BodyText"/>
        <w:spacing w:before="2"/>
      </w:pPr>
      <w:r>
        <w:rPr>
          <w:spacing w:val="-1"/>
        </w:rPr>
        <w:t>如按预期信用损失一般模型计提坏账准备，请参照其他应收款披露：</w:t>
      </w:r>
      <w:r>
        <w:rPr/>
        <w:t> </w:t>
      </w:r>
    </w:p>
    <w:p>
      <w:pPr>
        <w:pStyle w:val="BodyText"/>
        <w:spacing w:before="4"/>
      </w:pPr>
      <w:r>
        <w:rPr>
          <w:spacing w:val="-1"/>
        </w:rPr>
        <w:t>□适用 √不适用</w:t>
      </w:r>
      <w:r>
        <w:rPr>
          <w:spacing w:val="-3"/>
        </w:rPr>
        <w:t> </w:t>
      </w:r>
      <w:r>
        <w:rPr/>
        <w:t> </w:t>
      </w:r>
    </w:p>
    <w:p>
      <w:pPr>
        <w:pStyle w:val="BodyText"/>
        <w:spacing w:before="3"/>
      </w:pPr>
      <w:r>
        <w:rPr>
          <w:w w:val="100"/>
        </w:rPr>
        <w:t> </w:t>
      </w:r>
    </w:p>
    <w:p>
      <w:pPr>
        <w:pStyle w:val="BodyText"/>
        <w:spacing w:before="4"/>
      </w:pPr>
      <w:r>
        <w:rPr/>
        <w:t>其他说明： </w:t>
      </w:r>
    </w:p>
    <w:p>
      <w:pPr>
        <w:pStyle w:val="BodyText"/>
        <w:spacing w:before="2"/>
      </w:pPr>
      <w:r>
        <w:rPr>
          <w:spacing w:val="-1"/>
        </w:rPr>
        <w:t>□适用 √不适用</w:t>
      </w:r>
      <w:r>
        <w:rPr>
          <w:spacing w:val="-3"/>
        </w:rPr>
        <w:t> </w:t>
      </w:r>
      <w:r>
        <w:rPr/>
        <w:t> </w:t>
      </w:r>
    </w:p>
    <w:p>
      <w:pPr>
        <w:pStyle w:val="BodyText"/>
        <w:spacing w:before="5"/>
      </w:pPr>
      <w:r>
        <w:rPr>
          <w:w w:val="100"/>
        </w:rPr>
        <w:t> </w:t>
      </w:r>
    </w:p>
    <w:p>
      <w:pPr>
        <w:pStyle w:val="BodyText"/>
        <w:spacing w:before="62"/>
      </w:pPr>
      <w:r>
        <w:rPr/>
        <w:t>11</w:t>
      </w:r>
      <w:r>
        <w:rPr>
          <w:spacing w:val="-5"/>
        </w:rPr>
        <w:t>、 持有待售资产</w:t>
      </w:r>
    </w:p>
    <w:p>
      <w:pPr>
        <w:pStyle w:val="BodyText"/>
        <w:spacing w:before="65"/>
      </w:pPr>
      <w:r>
        <w:rPr>
          <w:spacing w:val="-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BodyText"/>
        <w:spacing w:before="62"/>
      </w:pPr>
      <w:r>
        <w:rPr/>
        <w:t>12</w:t>
      </w:r>
      <w:r>
        <w:rPr>
          <w:spacing w:val="-5"/>
        </w:rPr>
        <w:t>、 一年内到期的非流动资产</w:t>
      </w:r>
    </w:p>
    <w:p>
      <w:pPr>
        <w:pStyle w:val="BodyText"/>
        <w:spacing w:before="64"/>
      </w:pPr>
      <w:r>
        <w:rPr>
          <w:spacing w:val="-1"/>
        </w:rPr>
        <w:t>□适用 √不适用</w:t>
      </w:r>
      <w:r>
        <w:rPr>
          <w:spacing w:val="-3"/>
        </w:rPr>
        <w:t> </w:t>
      </w:r>
      <w:r>
        <w:rPr/>
        <w:t> </w:t>
      </w:r>
    </w:p>
    <w:p>
      <w:pPr>
        <w:pStyle w:val="BodyText"/>
        <w:spacing w:before="2"/>
      </w:pPr>
      <w:r>
        <w:rPr>
          <w:spacing w:val="-1"/>
        </w:rPr>
        <w:t>期末重要的债权投资和其他债权投资：</w:t>
      </w:r>
      <w:r>
        <w:rPr/>
        <w:t> </w:t>
      </w:r>
    </w:p>
    <w:p>
      <w:pPr>
        <w:pStyle w:val="BodyText"/>
        <w:spacing w:line="242" w:lineRule="auto" w:before="5"/>
        <w:ind w:right="8320"/>
      </w:pPr>
      <w:r>
        <w:rPr/>
        <w:t>□适用 √不适用其他说明 </w:t>
      </w:r>
    </w:p>
    <w:p>
      <w:pPr>
        <w:pStyle w:val="BodyText"/>
        <w:spacing w:before="1"/>
      </w:pPr>
      <w:r>
        <w:rPr/>
        <w:t>无 </w:t>
      </w:r>
    </w:p>
    <w:p>
      <w:pPr>
        <w:pStyle w:val="BodyText"/>
        <w:spacing w:before="2"/>
      </w:pPr>
      <w:r>
        <w:rPr>
          <w:w w:val="100"/>
        </w:rPr>
        <w:t> </w:t>
      </w:r>
    </w:p>
    <w:p>
      <w:pPr>
        <w:pStyle w:val="BodyText"/>
        <w:spacing w:before="65"/>
      </w:pPr>
      <w:r>
        <w:rPr/>
        <w:t>13</w:t>
      </w:r>
      <w:r>
        <w:rPr>
          <w:spacing w:val="-5"/>
        </w:rPr>
        <w:t>、 其他流动资产</w:t>
      </w:r>
    </w:p>
    <w:p>
      <w:pPr>
        <w:pStyle w:val="BodyText"/>
        <w:spacing w:before="63"/>
      </w:pPr>
      <w:r>
        <w:rPr>
          <w:spacing w:val="-1"/>
        </w:rPr>
        <w:t>√适用 □不适用</w:t>
      </w:r>
      <w:r>
        <w:rPr>
          <w:spacing w:val="-3"/>
        </w:rPr>
        <w:t> </w:t>
      </w:r>
      <w:r>
        <w:rPr/>
        <w:t> </w:t>
      </w:r>
    </w:p>
    <w:p>
      <w:pPr>
        <w:pStyle w:val="BodyText"/>
        <w:spacing w:before="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05"/>
        <w:gridCol w:w="2847"/>
        <w:gridCol w:w="2773"/>
      </w:tblGrid>
      <w:tr>
        <w:trPr>
          <w:trHeight w:val="273" w:hRule="atLeast"/>
        </w:trPr>
        <w:tc>
          <w:tcPr>
            <w:tcW w:w="3205" w:type="dxa"/>
          </w:tcPr>
          <w:p>
            <w:pPr>
              <w:pStyle w:val="TableParagraph"/>
              <w:spacing w:line="252" w:lineRule="exact" w:before="1"/>
              <w:ind w:left="1369" w:right="1255"/>
              <w:jc w:val="center"/>
              <w:rPr>
                <w:sz w:val="21"/>
              </w:rPr>
            </w:pPr>
            <w:r>
              <w:rPr>
                <w:sz w:val="21"/>
              </w:rPr>
              <w:t>项目 </w:t>
            </w:r>
          </w:p>
        </w:tc>
        <w:tc>
          <w:tcPr>
            <w:tcW w:w="2847" w:type="dxa"/>
          </w:tcPr>
          <w:p>
            <w:pPr>
              <w:pStyle w:val="TableParagraph"/>
              <w:spacing w:line="252" w:lineRule="exact" w:before="1"/>
              <w:ind w:left="1000"/>
              <w:rPr>
                <w:sz w:val="21"/>
              </w:rPr>
            </w:pPr>
            <w:r>
              <w:rPr>
                <w:spacing w:val="-1"/>
                <w:sz w:val="21"/>
              </w:rPr>
              <w:t>期末余额</w:t>
            </w:r>
            <w:r>
              <w:rPr>
                <w:sz w:val="21"/>
              </w:rPr>
              <w:t> </w:t>
            </w:r>
          </w:p>
        </w:tc>
        <w:tc>
          <w:tcPr>
            <w:tcW w:w="2773" w:type="dxa"/>
          </w:tcPr>
          <w:p>
            <w:pPr>
              <w:pStyle w:val="TableParagraph"/>
              <w:spacing w:line="252" w:lineRule="exact" w:before="1"/>
              <w:ind w:left="964"/>
              <w:rPr>
                <w:sz w:val="21"/>
              </w:rPr>
            </w:pPr>
            <w:r>
              <w:rPr>
                <w:spacing w:val="-1"/>
                <w:sz w:val="21"/>
              </w:rPr>
              <w:t>期初余额</w:t>
            </w:r>
            <w:r>
              <w:rPr>
                <w:sz w:val="21"/>
              </w:rPr>
              <w:t> </w:t>
            </w:r>
          </w:p>
        </w:tc>
      </w:tr>
      <w:tr>
        <w:trPr>
          <w:trHeight w:val="270" w:hRule="atLeast"/>
        </w:trPr>
        <w:tc>
          <w:tcPr>
            <w:tcW w:w="3205" w:type="dxa"/>
          </w:tcPr>
          <w:p>
            <w:pPr>
              <w:pStyle w:val="TableParagraph"/>
              <w:spacing w:line="250" w:lineRule="exact" w:before="1"/>
              <w:ind w:left="107"/>
              <w:rPr>
                <w:sz w:val="21"/>
              </w:rPr>
            </w:pPr>
            <w:r>
              <w:rPr>
                <w:spacing w:val="-1"/>
                <w:sz w:val="21"/>
              </w:rPr>
              <w:t>合同取得成本</w:t>
            </w:r>
            <w:r>
              <w:rPr>
                <w:sz w:val="21"/>
              </w:rPr>
              <w:t> </w:t>
            </w:r>
          </w:p>
        </w:tc>
        <w:tc>
          <w:tcPr>
            <w:tcW w:w="2847" w:type="dxa"/>
          </w:tcPr>
          <w:p>
            <w:pPr>
              <w:pStyle w:val="TableParagraph"/>
              <w:spacing w:line="250" w:lineRule="exact" w:before="1"/>
              <w:ind w:right="-15"/>
              <w:jc w:val="right"/>
              <w:rPr>
                <w:sz w:val="21"/>
              </w:rPr>
            </w:pPr>
            <w:r>
              <w:rPr>
                <w:w w:val="100"/>
                <w:sz w:val="21"/>
              </w:rPr>
              <w:t> </w:t>
            </w:r>
          </w:p>
        </w:tc>
        <w:tc>
          <w:tcPr>
            <w:tcW w:w="2773" w:type="dxa"/>
          </w:tcPr>
          <w:p>
            <w:pPr>
              <w:pStyle w:val="TableParagraph"/>
              <w:spacing w:line="250" w:lineRule="exact" w:before="1"/>
              <w:ind w:right="-15"/>
              <w:jc w:val="right"/>
              <w:rPr>
                <w:sz w:val="21"/>
              </w:rPr>
            </w:pPr>
            <w:r>
              <w:rPr>
                <w:w w:val="100"/>
                <w:sz w:val="21"/>
              </w:rPr>
              <w:t> </w:t>
            </w:r>
          </w:p>
        </w:tc>
      </w:tr>
      <w:tr>
        <w:trPr>
          <w:trHeight w:val="273" w:hRule="atLeast"/>
        </w:trPr>
        <w:tc>
          <w:tcPr>
            <w:tcW w:w="3205" w:type="dxa"/>
          </w:tcPr>
          <w:p>
            <w:pPr>
              <w:pStyle w:val="TableParagraph"/>
              <w:spacing w:line="252" w:lineRule="exact" w:before="1"/>
              <w:ind w:left="107"/>
              <w:rPr>
                <w:sz w:val="21"/>
              </w:rPr>
            </w:pPr>
            <w:r>
              <w:rPr>
                <w:spacing w:val="-1"/>
                <w:sz w:val="21"/>
              </w:rPr>
              <w:t>应收退货成本</w:t>
            </w:r>
            <w:r>
              <w:rPr>
                <w:sz w:val="21"/>
              </w:rPr>
              <w:t> </w:t>
            </w:r>
          </w:p>
        </w:tc>
        <w:tc>
          <w:tcPr>
            <w:tcW w:w="2847" w:type="dxa"/>
          </w:tcPr>
          <w:p>
            <w:pPr>
              <w:pStyle w:val="TableParagraph"/>
              <w:rPr>
                <w:rFonts w:ascii="Times New Roman"/>
                <w:sz w:val="20"/>
              </w:rPr>
            </w:pPr>
          </w:p>
        </w:tc>
        <w:tc>
          <w:tcPr>
            <w:tcW w:w="2773" w:type="dxa"/>
          </w:tcPr>
          <w:p>
            <w:pPr>
              <w:pStyle w:val="TableParagraph"/>
              <w:rPr>
                <w:rFonts w:ascii="Times New Roman"/>
                <w:sz w:val="20"/>
              </w:rPr>
            </w:pPr>
          </w:p>
        </w:tc>
      </w:tr>
      <w:tr>
        <w:trPr>
          <w:trHeight w:val="273" w:hRule="atLeast"/>
        </w:trPr>
        <w:tc>
          <w:tcPr>
            <w:tcW w:w="3205" w:type="dxa"/>
          </w:tcPr>
          <w:p>
            <w:pPr>
              <w:pStyle w:val="TableParagraph"/>
              <w:spacing w:line="252" w:lineRule="exact" w:before="1"/>
              <w:ind w:left="-1"/>
              <w:rPr>
                <w:sz w:val="21"/>
              </w:rPr>
            </w:pPr>
            <w:r>
              <w:rPr>
                <w:spacing w:val="-1"/>
                <w:sz w:val="21"/>
              </w:rPr>
              <w:t>待抵扣进项税额</w:t>
            </w:r>
            <w:r>
              <w:rPr>
                <w:sz w:val="21"/>
              </w:rPr>
              <w:t> </w:t>
            </w:r>
          </w:p>
        </w:tc>
        <w:tc>
          <w:tcPr>
            <w:tcW w:w="2847" w:type="dxa"/>
          </w:tcPr>
          <w:p>
            <w:pPr>
              <w:pStyle w:val="TableParagraph"/>
              <w:spacing w:line="235" w:lineRule="exact"/>
              <w:ind w:right="96"/>
              <w:jc w:val="right"/>
              <w:rPr>
                <w:rFonts w:ascii="Times New Roman"/>
                <w:sz w:val="21"/>
              </w:rPr>
            </w:pPr>
            <w:r>
              <w:rPr>
                <w:rFonts w:ascii="Times New Roman"/>
                <w:sz w:val="21"/>
              </w:rPr>
              <w:t>1,950,939</w:t>
            </w:r>
          </w:p>
        </w:tc>
        <w:tc>
          <w:tcPr>
            <w:tcW w:w="2773" w:type="dxa"/>
          </w:tcPr>
          <w:p>
            <w:pPr>
              <w:pStyle w:val="TableParagraph"/>
              <w:spacing w:line="235" w:lineRule="exact"/>
              <w:ind w:right="94"/>
              <w:jc w:val="right"/>
              <w:rPr>
                <w:rFonts w:ascii="Times New Roman"/>
                <w:sz w:val="21"/>
              </w:rPr>
            </w:pPr>
            <w:r>
              <w:rPr>
                <w:rFonts w:ascii="Times New Roman"/>
                <w:sz w:val="21"/>
              </w:rPr>
              <w:t>2,155,772</w:t>
            </w:r>
          </w:p>
        </w:tc>
      </w:tr>
      <w:tr>
        <w:trPr>
          <w:trHeight w:val="270" w:hRule="atLeast"/>
        </w:trPr>
        <w:tc>
          <w:tcPr>
            <w:tcW w:w="3205" w:type="dxa"/>
          </w:tcPr>
          <w:p>
            <w:pPr>
              <w:pStyle w:val="TableParagraph"/>
              <w:spacing w:line="250" w:lineRule="exact" w:before="1"/>
              <w:ind w:left="-1"/>
              <w:rPr>
                <w:sz w:val="21"/>
              </w:rPr>
            </w:pPr>
            <w:r>
              <w:rPr>
                <w:sz w:val="21"/>
              </w:rPr>
              <w:t>待摊销模具 </w:t>
            </w:r>
          </w:p>
        </w:tc>
        <w:tc>
          <w:tcPr>
            <w:tcW w:w="2847" w:type="dxa"/>
          </w:tcPr>
          <w:p>
            <w:pPr>
              <w:pStyle w:val="TableParagraph"/>
              <w:spacing w:line="235" w:lineRule="exact"/>
              <w:ind w:right="96"/>
              <w:jc w:val="right"/>
              <w:rPr>
                <w:rFonts w:ascii="Times New Roman"/>
                <w:sz w:val="21"/>
              </w:rPr>
            </w:pPr>
            <w:r>
              <w:rPr>
                <w:rFonts w:ascii="Times New Roman"/>
                <w:sz w:val="21"/>
              </w:rPr>
              <w:t>71,813</w:t>
            </w:r>
          </w:p>
        </w:tc>
        <w:tc>
          <w:tcPr>
            <w:tcW w:w="2773" w:type="dxa"/>
          </w:tcPr>
          <w:p>
            <w:pPr>
              <w:pStyle w:val="TableParagraph"/>
              <w:spacing w:line="235" w:lineRule="exact"/>
              <w:ind w:right="94"/>
              <w:jc w:val="right"/>
              <w:rPr>
                <w:rFonts w:ascii="Times New Roman"/>
                <w:sz w:val="21"/>
              </w:rPr>
            </w:pPr>
            <w:r>
              <w:rPr>
                <w:rFonts w:ascii="Times New Roman"/>
                <w:sz w:val="21"/>
              </w:rPr>
              <w:t>79,753</w:t>
            </w:r>
          </w:p>
        </w:tc>
      </w:tr>
      <w:tr>
        <w:trPr>
          <w:trHeight w:val="273" w:hRule="atLeast"/>
        </w:trPr>
        <w:tc>
          <w:tcPr>
            <w:tcW w:w="3205" w:type="dxa"/>
          </w:tcPr>
          <w:p>
            <w:pPr>
              <w:pStyle w:val="TableParagraph"/>
              <w:spacing w:line="252" w:lineRule="exact" w:before="1"/>
              <w:ind w:left="-1"/>
              <w:rPr>
                <w:sz w:val="21"/>
              </w:rPr>
            </w:pPr>
            <w:r>
              <w:rPr>
                <w:spacing w:val="-1"/>
                <w:sz w:val="21"/>
              </w:rPr>
              <w:t>预缴企业所得税</w:t>
            </w:r>
            <w:r>
              <w:rPr>
                <w:sz w:val="21"/>
              </w:rPr>
              <w:t> </w:t>
            </w:r>
          </w:p>
        </w:tc>
        <w:tc>
          <w:tcPr>
            <w:tcW w:w="2847" w:type="dxa"/>
          </w:tcPr>
          <w:p>
            <w:pPr>
              <w:pStyle w:val="TableParagraph"/>
              <w:spacing w:line="235" w:lineRule="exact"/>
              <w:ind w:right="96"/>
              <w:jc w:val="right"/>
              <w:rPr>
                <w:rFonts w:ascii="Times New Roman"/>
                <w:sz w:val="21"/>
              </w:rPr>
            </w:pPr>
            <w:r>
              <w:rPr>
                <w:rFonts w:ascii="Times New Roman"/>
                <w:sz w:val="21"/>
              </w:rPr>
              <w:t>218,872</w:t>
            </w:r>
          </w:p>
        </w:tc>
        <w:tc>
          <w:tcPr>
            <w:tcW w:w="2773" w:type="dxa"/>
          </w:tcPr>
          <w:p>
            <w:pPr>
              <w:pStyle w:val="TableParagraph"/>
              <w:spacing w:line="235" w:lineRule="exact"/>
              <w:ind w:right="94"/>
              <w:jc w:val="right"/>
              <w:rPr>
                <w:rFonts w:ascii="Times New Roman"/>
                <w:sz w:val="21"/>
              </w:rPr>
            </w:pPr>
            <w:r>
              <w:rPr>
                <w:rFonts w:ascii="Times New Roman"/>
                <w:sz w:val="21"/>
              </w:rPr>
              <w:t>48,226</w:t>
            </w:r>
          </w:p>
        </w:tc>
      </w:tr>
      <w:tr>
        <w:trPr>
          <w:trHeight w:val="273" w:hRule="atLeast"/>
        </w:trPr>
        <w:tc>
          <w:tcPr>
            <w:tcW w:w="3205" w:type="dxa"/>
          </w:tcPr>
          <w:p>
            <w:pPr>
              <w:pStyle w:val="TableParagraph"/>
              <w:spacing w:line="252" w:lineRule="exact" w:before="1"/>
              <w:ind w:left="1313" w:right="1310"/>
              <w:jc w:val="center"/>
              <w:rPr>
                <w:sz w:val="21"/>
              </w:rPr>
            </w:pPr>
            <w:r>
              <w:rPr>
                <w:sz w:val="21"/>
              </w:rPr>
              <w:t>合计 </w:t>
            </w:r>
          </w:p>
        </w:tc>
        <w:tc>
          <w:tcPr>
            <w:tcW w:w="2847" w:type="dxa"/>
          </w:tcPr>
          <w:p>
            <w:pPr>
              <w:pStyle w:val="TableParagraph"/>
              <w:spacing w:line="235" w:lineRule="exact"/>
              <w:ind w:right="96"/>
              <w:jc w:val="right"/>
              <w:rPr>
                <w:rFonts w:ascii="Times New Roman"/>
                <w:sz w:val="21"/>
              </w:rPr>
            </w:pPr>
            <w:r>
              <w:rPr>
                <w:rFonts w:ascii="Times New Roman"/>
                <w:sz w:val="21"/>
              </w:rPr>
              <w:t>2,241,624</w:t>
            </w:r>
          </w:p>
        </w:tc>
        <w:tc>
          <w:tcPr>
            <w:tcW w:w="2773" w:type="dxa"/>
          </w:tcPr>
          <w:p>
            <w:pPr>
              <w:pStyle w:val="TableParagraph"/>
              <w:spacing w:line="235" w:lineRule="exact"/>
              <w:ind w:right="94"/>
              <w:jc w:val="right"/>
              <w:rPr>
                <w:rFonts w:ascii="Times New Roman"/>
                <w:sz w:val="21"/>
              </w:rPr>
            </w:pPr>
            <w:r>
              <w:rPr>
                <w:rFonts w:ascii="Times New Roman"/>
                <w:sz w:val="21"/>
              </w:rPr>
              <w:t>2,283,751</w:t>
            </w:r>
          </w:p>
        </w:tc>
      </w:tr>
    </w:tbl>
    <w:p>
      <w:pPr>
        <w:spacing w:after="0" w:line="235" w:lineRule="exact"/>
        <w:jc w:val="right"/>
        <w:rPr>
          <w:rFonts w:ascii="Times New Roman"/>
          <w:sz w:val="21"/>
        </w:rPr>
        <w:sectPr>
          <w:headerReference w:type="default" r:id="rId56"/>
          <w:footerReference w:type="default" r:id="rId57"/>
          <w:pgSz w:w="11910" w:h="16840"/>
          <w:pgMar w:header="882" w:footer="1548" w:top="1120" w:bottom="1740" w:left="1480" w:right="0"/>
        </w:sectPr>
      </w:pPr>
    </w:p>
    <w:p>
      <w:pPr>
        <w:pStyle w:val="BodyText"/>
        <w:spacing w:before="7"/>
        <w:ind w:left="0"/>
        <w:rPr>
          <w:sz w:val="25"/>
        </w:rPr>
      </w:pPr>
    </w:p>
    <w:p>
      <w:pPr>
        <w:pStyle w:val="BodyText"/>
        <w:spacing w:line="244" w:lineRule="auto" w:before="72"/>
        <w:ind w:right="9160"/>
      </w:pPr>
      <w:r>
        <w:rPr/>
        <w:t>其他说明无 </w:t>
      </w:r>
    </w:p>
    <w:p>
      <w:pPr>
        <w:pStyle w:val="BodyText"/>
        <w:spacing w:line="265" w:lineRule="exact"/>
      </w:pPr>
      <w:r>
        <w:rPr>
          <w:w w:val="100"/>
        </w:rPr>
        <w:t> </w:t>
      </w:r>
    </w:p>
    <w:p>
      <w:pPr>
        <w:pStyle w:val="BodyText"/>
        <w:spacing w:line="295" w:lineRule="auto" w:before="65"/>
        <w:ind w:right="8308"/>
      </w:pPr>
      <w:r>
        <w:rPr/>
        <w:t>14</w:t>
      </w:r>
      <w:r>
        <w:rPr>
          <w:spacing w:val="2"/>
        </w:rPr>
        <w:t>、 债权投资</w:t>
      </w:r>
      <w:r>
        <w:rPr/>
        <w:t>(1).债权投资情况 </w:t>
      </w:r>
    </w:p>
    <w:p>
      <w:pPr>
        <w:pStyle w:val="BodyText"/>
        <w:spacing w:before="2"/>
      </w:pPr>
      <w:r>
        <w:rPr>
          <w:spacing w:val="-1"/>
        </w:rPr>
        <w:t>□适用 √不适用</w:t>
      </w:r>
      <w:r>
        <w:rPr>
          <w:spacing w:val="-3"/>
        </w:rPr>
        <w:t> </w:t>
      </w:r>
      <w:r>
        <w:rPr/>
        <w:t> </w:t>
      </w:r>
    </w:p>
    <w:p>
      <w:pPr>
        <w:pStyle w:val="BodyText"/>
        <w:spacing w:before="63"/>
      </w:pPr>
      <w:r>
        <w:rPr/>
        <w:t>(2).期末重要的债权投资 </w:t>
      </w:r>
    </w:p>
    <w:p>
      <w:pPr>
        <w:pStyle w:val="BodyText"/>
        <w:spacing w:line="295" w:lineRule="auto" w:before="64"/>
        <w:ind w:right="7885"/>
      </w:pPr>
      <w:r>
        <w:rPr/>
        <w:t>□适用   √不适用(3).减值准备计提情况 </w:t>
      </w:r>
    </w:p>
    <w:p>
      <w:pPr>
        <w:pStyle w:val="BodyText"/>
        <w:spacing w:before="3"/>
      </w:pPr>
      <w:r>
        <w:rPr>
          <w:spacing w:val="-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BodyText"/>
        <w:spacing w:before="2"/>
      </w:pPr>
      <w:r>
        <w:rPr/>
        <w:t>本期减值准备计提金额以及评估金融工具的信用风险是否显著增加的采用依据</w:t>
      </w:r>
    </w:p>
    <w:p>
      <w:pPr>
        <w:pStyle w:val="BodyText"/>
        <w:spacing w:before="5"/>
      </w:pPr>
      <w:r>
        <w:rPr>
          <w:spacing w:val="-1"/>
        </w:rPr>
        <w:t>□适用 √不适用</w:t>
      </w:r>
      <w:r>
        <w:rPr>
          <w:spacing w:val="-3"/>
        </w:rPr>
        <w:t> </w:t>
      </w:r>
      <w:r>
        <w:rPr/>
        <w:t> </w:t>
      </w:r>
    </w:p>
    <w:p>
      <w:pPr>
        <w:pStyle w:val="BodyText"/>
        <w:spacing w:before="2"/>
      </w:pPr>
      <w:r>
        <w:rPr>
          <w:w w:val="100"/>
        </w:rPr>
        <w:t> </w:t>
      </w:r>
    </w:p>
    <w:p>
      <w:pPr>
        <w:pStyle w:val="BodyText"/>
        <w:spacing w:before="5"/>
      </w:pPr>
      <w:r>
        <w:rPr>
          <w:spacing w:val="-1"/>
        </w:rPr>
        <w:t>其他说明</w:t>
      </w:r>
      <w:r>
        <w:rPr/>
        <w:t> </w:t>
      </w:r>
    </w:p>
    <w:p>
      <w:pPr>
        <w:pStyle w:val="BodyText"/>
        <w:spacing w:before="2"/>
      </w:pPr>
      <w:r>
        <w:rPr>
          <w:spacing w:val="-1"/>
        </w:rPr>
        <w:t>□适用 √不适用</w:t>
      </w:r>
      <w:r>
        <w:rPr>
          <w:spacing w:val="-3"/>
        </w:rPr>
        <w:t> </w:t>
      </w:r>
      <w:r>
        <w:rPr/>
        <w:t> </w:t>
      </w:r>
    </w:p>
    <w:p>
      <w:pPr>
        <w:pStyle w:val="BodyText"/>
        <w:spacing w:before="4"/>
      </w:pPr>
      <w:r>
        <w:rPr>
          <w:w w:val="100"/>
        </w:rPr>
        <w:t> </w:t>
      </w:r>
    </w:p>
    <w:p>
      <w:pPr>
        <w:pStyle w:val="BodyText"/>
        <w:spacing w:line="295" w:lineRule="auto" w:before="62"/>
        <w:ind w:right="7885"/>
      </w:pPr>
      <w:r>
        <w:rPr/>
        <w:t>15</w:t>
      </w:r>
      <w:r>
        <w:rPr>
          <w:spacing w:val="1"/>
        </w:rPr>
        <w:t>、 其他债权投资</w:t>
      </w:r>
      <w:r>
        <w:rPr/>
        <w:t>(1).其他债权投资情况 </w:t>
      </w:r>
    </w:p>
    <w:p>
      <w:pPr>
        <w:pStyle w:val="BodyText"/>
        <w:spacing w:before="3"/>
      </w:pPr>
      <w:r>
        <w:rPr>
          <w:spacing w:val="-1"/>
        </w:rPr>
        <w:t>□适用 √不适用</w:t>
      </w:r>
      <w:r>
        <w:rPr>
          <w:spacing w:val="-3"/>
        </w:rPr>
        <w:t> </w:t>
      </w:r>
      <w:r>
        <w:rPr/>
        <w:t> </w:t>
      </w:r>
    </w:p>
    <w:p>
      <w:pPr>
        <w:pStyle w:val="ListParagraph"/>
        <w:numPr>
          <w:ilvl w:val="0"/>
          <w:numId w:val="66"/>
        </w:numPr>
        <w:tabs>
          <w:tab w:pos="746" w:val="left" w:leader="none"/>
        </w:tabs>
        <w:spacing w:line="240" w:lineRule="auto" w:before="62" w:after="0"/>
        <w:ind w:left="745" w:right="0" w:hanging="428"/>
        <w:jc w:val="left"/>
        <w:rPr>
          <w:sz w:val="21"/>
        </w:rPr>
      </w:pPr>
      <w:r>
        <w:rPr>
          <w:sz w:val="21"/>
        </w:rPr>
        <w:t>期末重要的其他债权投资 </w:t>
      </w:r>
    </w:p>
    <w:p>
      <w:pPr>
        <w:pStyle w:val="BodyText"/>
        <w:spacing w:line="295" w:lineRule="auto" w:before="65"/>
        <w:ind w:right="7885"/>
      </w:pPr>
      <w:r>
        <w:rPr/>
        <w:t>□适用   √不适用(3).减值准备计提情况 </w:t>
      </w:r>
    </w:p>
    <w:p>
      <w:pPr>
        <w:pStyle w:val="BodyText"/>
        <w:spacing w:before="3"/>
      </w:pPr>
      <w:r>
        <w:rPr>
          <w:spacing w:val="-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BodyText"/>
        <w:spacing w:before="2"/>
      </w:pPr>
      <w:r>
        <w:rPr>
          <w:spacing w:val="-1"/>
        </w:rPr>
        <w:t>本期减值准备计提金额以及评估金融工具的信用风险是否显著增加的采用依据</w:t>
      </w:r>
    </w:p>
    <w:p>
      <w:pPr>
        <w:pStyle w:val="BodyText"/>
        <w:spacing w:before="5"/>
      </w:pPr>
      <w:r>
        <w:rPr>
          <w:spacing w:val="-1"/>
        </w:rPr>
        <w:t>□适用 √不适用</w:t>
      </w:r>
      <w:r>
        <w:rPr>
          <w:spacing w:val="-3"/>
        </w:rPr>
        <w:t> </w:t>
      </w:r>
      <w:r>
        <w:rPr/>
        <w:t> </w:t>
      </w:r>
    </w:p>
    <w:p>
      <w:pPr>
        <w:pStyle w:val="BodyText"/>
        <w:spacing w:before="2"/>
      </w:pPr>
      <w:r>
        <w:rPr>
          <w:w w:val="100"/>
        </w:rPr>
        <w:t> </w:t>
      </w:r>
    </w:p>
    <w:p>
      <w:pPr>
        <w:pStyle w:val="BodyText"/>
        <w:spacing w:before="4"/>
      </w:pPr>
      <w:r>
        <w:rPr/>
        <w:t>其他说明： </w:t>
      </w:r>
    </w:p>
    <w:p>
      <w:pPr>
        <w:pStyle w:val="BodyText"/>
        <w:spacing w:before="3"/>
      </w:pPr>
      <w:r>
        <w:rPr>
          <w:spacing w:val="-1"/>
        </w:rPr>
        <w:t>□适用 √不适用</w:t>
      </w:r>
      <w:r>
        <w:rPr>
          <w:spacing w:val="-3"/>
        </w:rPr>
        <w:t> </w:t>
      </w:r>
      <w:r>
        <w:rPr/>
        <w:t> </w:t>
      </w:r>
    </w:p>
    <w:p>
      <w:pPr>
        <w:pStyle w:val="BodyText"/>
        <w:spacing w:before="4"/>
      </w:pPr>
      <w:r>
        <w:rPr>
          <w:w w:val="100"/>
        </w:rPr>
        <w:t> </w:t>
      </w:r>
    </w:p>
    <w:p>
      <w:pPr>
        <w:pStyle w:val="BodyText"/>
        <w:spacing w:line="297" w:lineRule="auto" w:before="62"/>
        <w:ind w:right="8097"/>
      </w:pPr>
      <w:r>
        <w:rPr/>
        <w:t>16</w:t>
      </w:r>
      <w:r>
        <w:rPr>
          <w:spacing w:val="1"/>
        </w:rPr>
        <w:t>、 长期应收款</w:t>
      </w:r>
      <w:r>
        <w:rPr/>
        <w:t>(1).长期应收款情况 </w:t>
      </w:r>
    </w:p>
    <w:p>
      <w:pPr>
        <w:pStyle w:val="BodyText"/>
        <w:spacing w:line="297" w:lineRule="auto"/>
        <w:ind w:right="7885"/>
      </w:pPr>
      <w:r>
        <w:rPr/>
        <w:t>□适用   √不适用(2).坏账准备计提情况 </w:t>
      </w:r>
    </w:p>
    <w:p>
      <w:pPr>
        <w:pStyle w:val="BodyText"/>
        <w:spacing w:line="267" w:lineRule="exact"/>
      </w:pPr>
      <w:r>
        <w:rPr>
          <w:spacing w:val="-1"/>
        </w:rPr>
        <w:t>□适用 √不适用</w:t>
      </w:r>
      <w:r>
        <w:rPr>
          <w:spacing w:val="-3"/>
        </w:rPr>
        <w:t> </w:t>
      </w:r>
      <w:r>
        <w:rPr/>
        <w:t> </w:t>
      </w:r>
    </w:p>
    <w:p>
      <w:pPr>
        <w:pStyle w:val="BodyText"/>
        <w:spacing w:before="2"/>
      </w:pPr>
      <w:r>
        <w:rPr>
          <w:w w:val="100"/>
        </w:rPr>
        <w:t> </w:t>
      </w:r>
    </w:p>
    <w:p>
      <w:pPr>
        <w:pStyle w:val="BodyText"/>
        <w:spacing w:before="2"/>
      </w:pPr>
      <w:r>
        <w:rPr>
          <w:w w:val="100"/>
        </w:rPr>
        <w:t> </w:t>
      </w:r>
    </w:p>
    <w:p>
      <w:pPr>
        <w:pStyle w:val="BodyText"/>
        <w:spacing w:before="3"/>
      </w:pPr>
      <w:r>
        <w:rPr>
          <w:spacing w:val="-1"/>
        </w:rPr>
        <w:t>本期坏账准备计提金额以及评估金融工具的信用风险是否显著增加的采用依据</w:t>
      </w:r>
    </w:p>
    <w:p>
      <w:pPr>
        <w:pStyle w:val="BodyText"/>
        <w:spacing w:before="4"/>
      </w:pPr>
      <w:r>
        <w:rPr>
          <w:spacing w:val="-1"/>
        </w:rPr>
        <w:t>□适用 √不适用</w:t>
      </w:r>
      <w:r>
        <w:rPr>
          <w:spacing w:val="-3"/>
        </w:rPr>
        <w:t> </w:t>
      </w:r>
      <w:r>
        <w:rPr/>
        <w:t> </w:t>
      </w:r>
    </w:p>
    <w:p>
      <w:pPr>
        <w:pStyle w:val="BodyText"/>
        <w:spacing w:before="2"/>
      </w:pPr>
      <w:r>
        <w:rPr>
          <w:w w:val="100"/>
        </w:rPr>
        <w:t> </w:t>
      </w:r>
    </w:p>
    <w:p>
      <w:pPr>
        <w:pStyle w:val="ListParagraph"/>
        <w:numPr>
          <w:ilvl w:val="0"/>
          <w:numId w:val="66"/>
        </w:numPr>
        <w:tabs>
          <w:tab w:pos="746" w:val="left" w:leader="none"/>
        </w:tabs>
        <w:spacing w:line="240" w:lineRule="auto" w:before="65" w:after="0"/>
        <w:ind w:left="745" w:right="0" w:hanging="428"/>
        <w:jc w:val="left"/>
        <w:rPr>
          <w:sz w:val="21"/>
        </w:rPr>
      </w:pPr>
      <w:r>
        <w:rPr>
          <w:sz w:val="21"/>
        </w:rPr>
        <w:t>因金融资产转移而终止确认的长期应收款 </w:t>
      </w:r>
    </w:p>
    <w:p>
      <w:pPr>
        <w:pStyle w:val="BodyText"/>
        <w:spacing w:before="62"/>
      </w:pPr>
      <w:r>
        <w:rPr>
          <w:spacing w:val="11"/>
        </w:rPr>
        <w:t>□适用 √不适用</w:t>
      </w:r>
      <w:r>
        <w:rPr>
          <w:spacing w:val="-3"/>
        </w:rPr>
        <w:t> </w:t>
      </w:r>
      <w:r>
        <w:rPr/>
        <w:t> </w:t>
      </w:r>
    </w:p>
    <w:p>
      <w:pPr>
        <w:spacing w:after="0"/>
        <w:sectPr>
          <w:pgSz w:w="11910" w:h="16840"/>
          <w:pgMar w:header="882" w:footer="1548" w:top="1120" w:bottom="1740" w:left="1480" w:right="0"/>
        </w:sectPr>
      </w:pPr>
    </w:p>
    <w:p>
      <w:pPr>
        <w:pStyle w:val="BodyText"/>
        <w:spacing w:before="7"/>
        <w:ind w:left="0"/>
        <w:rPr>
          <w:sz w:val="25"/>
        </w:rPr>
      </w:pPr>
    </w:p>
    <w:p>
      <w:pPr>
        <w:pStyle w:val="ListParagraph"/>
        <w:numPr>
          <w:ilvl w:val="0"/>
          <w:numId w:val="66"/>
        </w:numPr>
        <w:tabs>
          <w:tab w:pos="746" w:val="left" w:leader="none"/>
        </w:tabs>
        <w:spacing w:line="240" w:lineRule="auto" w:before="72" w:after="0"/>
        <w:ind w:left="745" w:right="0" w:hanging="428"/>
        <w:jc w:val="left"/>
        <w:rPr>
          <w:sz w:val="21"/>
        </w:rPr>
      </w:pPr>
      <w:r>
        <w:rPr>
          <w:sz w:val="21"/>
        </w:rPr>
        <w:t>转移长期应收款且继续涉入形成的资产、负债金额 </w:t>
      </w:r>
    </w:p>
    <w:p>
      <w:pPr>
        <w:pStyle w:val="BodyText"/>
        <w:spacing w:before="65"/>
      </w:pPr>
      <w:r>
        <w:rPr>
          <w:spacing w:val="11"/>
        </w:rPr>
        <w:t>□适用 √不适用</w:t>
      </w:r>
      <w:r>
        <w:rPr>
          <w:spacing w:val="-3"/>
        </w:rPr>
        <w:t> </w:t>
      </w:r>
      <w:r>
        <w:rPr/>
        <w:t> </w:t>
      </w:r>
    </w:p>
    <w:p>
      <w:pPr>
        <w:pStyle w:val="BodyText"/>
        <w:spacing w:before="2"/>
      </w:pPr>
      <w:r>
        <w:rPr>
          <w:w w:val="100"/>
        </w:rPr>
        <w:t> </w:t>
      </w:r>
    </w:p>
    <w:p>
      <w:pPr>
        <w:pStyle w:val="BodyText"/>
        <w:spacing w:before="5"/>
      </w:pPr>
      <w:r>
        <w:rPr>
          <w:spacing w:val="-1"/>
        </w:rPr>
        <w:t>其他说明</w:t>
      </w:r>
      <w:r>
        <w:rPr/>
        <w:t> </w:t>
      </w:r>
    </w:p>
    <w:p>
      <w:pPr>
        <w:pStyle w:val="BodyText"/>
        <w:spacing w:before="2"/>
      </w:pPr>
      <w:r>
        <w:rPr>
          <w:spacing w:val="-1"/>
        </w:rPr>
        <w:t>□适用 √不适用</w:t>
      </w:r>
      <w:r>
        <w:rPr>
          <w:spacing w:val="-3"/>
        </w:rPr>
        <w:t> </w:t>
      </w:r>
      <w:r>
        <w:rPr/>
        <w:t> </w:t>
      </w:r>
    </w:p>
    <w:p>
      <w:pPr>
        <w:pStyle w:val="BodyText"/>
        <w:spacing w:before="4"/>
      </w:pPr>
      <w:r>
        <w:rPr>
          <w:w w:val="100"/>
        </w:rPr>
        <w:t> </w:t>
      </w:r>
    </w:p>
    <w:p>
      <w:pPr>
        <w:pStyle w:val="BodyText"/>
        <w:spacing w:before="62"/>
      </w:pPr>
      <w:r>
        <w:rPr/>
        <w:t>17</w:t>
      </w:r>
      <w:r>
        <w:rPr>
          <w:spacing w:val="-5"/>
        </w:rPr>
        <w:t>、 长期股权投资</w:t>
      </w:r>
      <w:r>
        <w:rPr/>
        <w:t> </w:t>
      </w:r>
    </w:p>
    <w:p>
      <w:pPr>
        <w:pStyle w:val="BodyText"/>
        <w:spacing w:before="65"/>
      </w:pPr>
      <w:r>
        <w:rPr>
          <w:spacing w:val="-1"/>
        </w:rPr>
        <w:t>√适用 □不适用</w:t>
      </w:r>
      <w:r>
        <w:rPr>
          <w:spacing w:val="-3"/>
        </w:rPr>
        <w:t> </w:t>
      </w:r>
      <w:r>
        <w:rPr/>
        <w:t> </w:t>
      </w:r>
    </w:p>
    <w:p>
      <w:pPr>
        <w:pStyle w:val="BodyText"/>
        <w:spacing w:before="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4"/>
        <w:gridCol w:w="687"/>
        <w:gridCol w:w="690"/>
        <w:gridCol w:w="603"/>
        <w:gridCol w:w="718"/>
        <w:gridCol w:w="665"/>
        <w:gridCol w:w="637"/>
        <w:gridCol w:w="644"/>
        <w:gridCol w:w="714"/>
        <w:gridCol w:w="704"/>
        <w:gridCol w:w="741"/>
        <w:gridCol w:w="702"/>
        <w:gridCol w:w="575"/>
      </w:tblGrid>
      <w:tr>
        <w:trPr>
          <w:trHeight w:val="270" w:hRule="atLeast"/>
        </w:trPr>
        <w:tc>
          <w:tcPr>
            <w:tcW w:w="754" w:type="dxa"/>
            <w:vMerge w:val="restart"/>
          </w:tcPr>
          <w:p>
            <w:pPr>
              <w:pStyle w:val="TableParagraph"/>
              <w:rPr>
                <w:sz w:val="20"/>
              </w:rPr>
            </w:pPr>
          </w:p>
          <w:p>
            <w:pPr>
              <w:pStyle w:val="TableParagraph"/>
              <w:rPr>
                <w:sz w:val="20"/>
              </w:rPr>
            </w:pPr>
          </w:p>
          <w:p>
            <w:pPr>
              <w:pStyle w:val="TableParagraph"/>
              <w:spacing w:line="242" w:lineRule="auto" w:before="170"/>
              <w:ind w:left="165" w:right="154"/>
              <w:jc w:val="both"/>
              <w:rPr>
                <w:sz w:val="21"/>
              </w:rPr>
            </w:pPr>
            <w:r>
              <w:rPr>
                <w:spacing w:val="-1"/>
                <w:sz w:val="21"/>
              </w:rPr>
              <w:t>被投资单</w:t>
            </w:r>
            <w:r>
              <w:rPr>
                <w:sz w:val="21"/>
              </w:rPr>
              <w:t>位 </w:t>
            </w:r>
          </w:p>
        </w:tc>
        <w:tc>
          <w:tcPr>
            <w:tcW w:w="687" w:type="dxa"/>
            <w:vMerge w:val="restart"/>
          </w:tcPr>
          <w:p>
            <w:pPr>
              <w:pStyle w:val="TableParagraph"/>
              <w:rPr>
                <w:sz w:val="20"/>
              </w:rPr>
            </w:pPr>
          </w:p>
          <w:p>
            <w:pPr>
              <w:pStyle w:val="TableParagraph"/>
              <w:rPr>
                <w:sz w:val="20"/>
              </w:rPr>
            </w:pPr>
          </w:p>
          <w:p>
            <w:pPr>
              <w:pStyle w:val="TableParagraph"/>
              <w:spacing w:before="9"/>
              <w:rPr>
                <w:sz w:val="23"/>
              </w:rPr>
            </w:pPr>
          </w:p>
          <w:p>
            <w:pPr>
              <w:pStyle w:val="TableParagraph"/>
              <w:spacing w:line="244" w:lineRule="auto" w:before="1"/>
              <w:ind w:left="131" w:right="18"/>
              <w:rPr>
                <w:sz w:val="21"/>
              </w:rPr>
            </w:pPr>
            <w:r>
              <w:rPr>
                <w:sz w:val="21"/>
              </w:rPr>
              <w:t>期初余额 </w:t>
            </w:r>
          </w:p>
        </w:tc>
        <w:tc>
          <w:tcPr>
            <w:tcW w:w="6116" w:type="dxa"/>
            <w:gridSpan w:val="9"/>
          </w:tcPr>
          <w:p>
            <w:pPr>
              <w:pStyle w:val="TableParagraph"/>
              <w:spacing w:line="250" w:lineRule="exact" w:before="1"/>
              <w:ind w:left="2456" w:right="2355"/>
              <w:jc w:val="center"/>
              <w:rPr>
                <w:sz w:val="21"/>
              </w:rPr>
            </w:pPr>
            <w:r>
              <w:rPr>
                <w:spacing w:val="-1"/>
                <w:sz w:val="21"/>
              </w:rPr>
              <w:t>本期增减变动</w:t>
            </w:r>
            <w:r>
              <w:rPr>
                <w:sz w:val="21"/>
              </w:rPr>
              <w:t> </w:t>
            </w:r>
          </w:p>
        </w:tc>
        <w:tc>
          <w:tcPr>
            <w:tcW w:w="702" w:type="dxa"/>
            <w:vMerge w:val="restart"/>
          </w:tcPr>
          <w:p>
            <w:pPr>
              <w:pStyle w:val="TableParagraph"/>
              <w:rPr>
                <w:sz w:val="20"/>
              </w:rPr>
            </w:pPr>
          </w:p>
          <w:p>
            <w:pPr>
              <w:pStyle w:val="TableParagraph"/>
              <w:rPr>
                <w:sz w:val="20"/>
              </w:rPr>
            </w:pPr>
          </w:p>
          <w:p>
            <w:pPr>
              <w:pStyle w:val="TableParagraph"/>
              <w:spacing w:before="9"/>
              <w:rPr>
                <w:sz w:val="23"/>
              </w:rPr>
            </w:pPr>
          </w:p>
          <w:p>
            <w:pPr>
              <w:pStyle w:val="TableParagraph"/>
              <w:spacing w:line="244" w:lineRule="auto" w:before="1"/>
              <w:ind w:left="129" w:right="35"/>
              <w:rPr>
                <w:sz w:val="21"/>
              </w:rPr>
            </w:pPr>
            <w:r>
              <w:rPr>
                <w:sz w:val="21"/>
              </w:rPr>
              <w:t>期末余额 </w:t>
            </w:r>
          </w:p>
        </w:tc>
        <w:tc>
          <w:tcPr>
            <w:tcW w:w="575" w:type="dxa"/>
            <w:vMerge w:val="restart"/>
          </w:tcPr>
          <w:p>
            <w:pPr>
              <w:pStyle w:val="TableParagraph"/>
              <w:spacing w:line="242" w:lineRule="auto" w:before="1"/>
              <w:ind w:left="171" w:right="180"/>
              <w:jc w:val="both"/>
              <w:rPr>
                <w:sz w:val="21"/>
              </w:rPr>
            </w:pPr>
            <w:r>
              <w:rPr>
                <w:sz w:val="21"/>
              </w:rPr>
              <w:t>减值准备期末余</w:t>
            </w:r>
          </w:p>
          <w:p>
            <w:pPr>
              <w:pStyle w:val="TableParagraph"/>
              <w:spacing w:line="252" w:lineRule="exact" w:before="4"/>
              <w:ind w:left="171"/>
              <w:rPr>
                <w:sz w:val="21"/>
              </w:rPr>
            </w:pPr>
            <w:r>
              <w:rPr>
                <w:sz w:val="21"/>
              </w:rPr>
              <w:t>额 </w:t>
            </w:r>
          </w:p>
        </w:tc>
      </w:tr>
      <w:tr>
        <w:trPr>
          <w:trHeight w:val="1898" w:hRule="atLeast"/>
        </w:trPr>
        <w:tc>
          <w:tcPr>
            <w:tcW w:w="754" w:type="dxa"/>
            <w:vMerge/>
            <w:tcBorders>
              <w:top w:val="nil"/>
            </w:tcBorders>
          </w:tcPr>
          <w:p>
            <w:pPr>
              <w:rPr>
                <w:sz w:val="2"/>
                <w:szCs w:val="2"/>
              </w:rPr>
            </w:pPr>
          </w:p>
        </w:tc>
        <w:tc>
          <w:tcPr>
            <w:tcW w:w="687" w:type="dxa"/>
            <w:vMerge/>
            <w:tcBorders>
              <w:top w:val="nil"/>
            </w:tcBorders>
          </w:tcPr>
          <w:p>
            <w:pPr>
              <w:rPr>
                <w:sz w:val="2"/>
                <w:szCs w:val="2"/>
              </w:rPr>
            </w:pPr>
          </w:p>
        </w:tc>
        <w:tc>
          <w:tcPr>
            <w:tcW w:w="690" w:type="dxa"/>
          </w:tcPr>
          <w:p>
            <w:pPr>
              <w:pStyle w:val="TableParagraph"/>
              <w:rPr>
                <w:sz w:val="20"/>
              </w:rPr>
            </w:pPr>
          </w:p>
          <w:p>
            <w:pPr>
              <w:pStyle w:val="TableParagraph"/>
              <w:rPr>
                <w:sz w:val="20"/>
              </w:rPr>
            </w:pPr>
          </w:p>
          <w:p>
            <w:pPr>
              <w:pStyle w:val="TableParagraph"/>
              <w:spacing w:line="244" w:lineRule="auto" w:before="165"/>
              <w:ind w:left="130" w:right="21"/>
              <w:rPr>
                <w:sz w:val="21"/>
              </w:rPr>
            </w:pPr>
            <w:r>
              <w:rPr>
                <w:sz w:val="21"/>
              </w:rPr>
              <w:t>追加投资 </w:t>
            </w:r>
          </w:p>
        </w:tc>
        <w:tc>
          <w:tcPr>
            <w:tcW w:w="603" w:type="dxa"/>
          </w:tcPr>
          <w:p>
            <w:pPr>
              <w:pStyle w:val="TableParagraph"/>
              <w:rPr>
                <w:sz w:val="20"/>
              </w:rPr>
            </w:pPr>
          </w:p>
          <w:p>
            <w:pPr>
              <w:pStyle w:val="TableParagraph"/>
              <w:spacing w:line="242" w:lineRule="auto" w:before="150"/>
              <w:ind w:left="192" w:right="81"/>
              <w:jc w:val="both"/>
              <w:rPr>
                <w:sz w:val="21"/>
              </w:rPr>
            </w:pPr>
            <w:r>
              <w:rPr>
                <w:sz w:val="21"/>
              </w:rPr>
              <w:t>减少投资 </w:t>
            </w:r>
          </w:p>
        </w:tc>
        <w:tc>
          <w:tcPr>
            <w:tcW w:w="718" w:type="dxa"/>
          </w:tcPr>
          <w:p>
            <w:pPr>
              <w:pStyle w:val="TableParagraph"/>
              <w:spacing w:line="242" w:lineRule="auto" w:before="133"/>
              <w:ind w:left="143" w:right="139"/>
              <w:jc w:val="both"/>
              <w:rPr>
                <w:sz w:val="21"/>
              </w:rPr>
            </w:pPr>
            <w:r>
              <w:rPr>
                <w:spacing w:val="-1"/>
                <w:sz w:val="21"/>
              </w:rPr>
              <w:t>权益法下确认的投资损</w:t>
            </w:r>
            <w:r>
              <w:rPr>
                <w:sz w:val="21"/>
              </w:rPr>
              <w:t>益 </w:t>
            </w:r>
          </w:p>
        </w:tc>
        <w:tc>
          <w:tcPr>
            <w:tcW w:w="665" w:type="dxa"/>
          </w:tcPr>
          <w:p>
            <w:pPr>
              <w:pStyle w:val="TableParagraph"/>
              <w:rPr>
                <w:sz w:val="20"/>
              </w:rPr>
            </w:pPr>
          </w:p>
          <w:p>
            <w:pPr>
              <w:pStyle w:val="TableParagraph"/>
              <w:spacing w:line="242" w:lineRule="auto" w:before="150"/>
              <w:ind w:left="117" w:right="10"/>
              <w:jc w:val="both"/>
              <w:rPr>
                <w:sz w:val="21"/>
              </w:rPr>
            </w:pPr>
            <w:r>
              <w:rPr>
                <w:sz w:val="21"/>
              </w:rPr>
              <w:t>外币报表折算差异 </w:t>
            </w:r>
          </w:p>
        </w:tc>
        <w:tc>
          <w:tcPr>
            <w:tcW w:w="637" w:type="dxa"/>
          </w:tcPr>
          <w:p>
            <w:pPr>
              <w:pStyle w:val="TableParagraph"/>
              <w:rPr>
                <w:sz w:val="20"/>
              </w:rPr>
            </w:pPr>
          </w:p>
          <w:p>
            <w:pPr>
              <w:pStyle w:val="TableParagraph"/>
              <w:spacing w:line="242" w:lineRule="auto" w:before="150"/>
              <w:ind w:left="104" w:right="-15"/>
              <w:jc w:val="both"/>
              <w:rPr>
                <w:sz w:val="21"/>
              </w:rPr>
            </w:pPr>
            <w:r>
              <w:rPr>
                <w:sz w:val="21"/>
              </w:rPr>
              <w:t>其他综合收益调整 </w:t>
            </w:r>
          </w:p>
        </w:tc>
        <w:tc>
          <w:tcPr>
            <w:tcW w:w="644" w:type="dxa"/>
          </w:tcPr>
          <w:p>
            <w:pPr>
              <w:pStyle w:val="TableParagraph"/>
              <w:rPr>
                <w:sz w:val="20"/>
              </w:rPr>
            </w:pPr>
          </w:p>
          <w:p>
            <w:pPr>
              <w:pStyle w:val="TableParagraph"/>
              <w:spacing w:before="2"/>
              <w:rPr>
                <w:sz w:val="22"/>
              </w:rPr>
            </w:pPr>
          </w:p>
          <w:p>
            <w:pPr>
              <w:pStyle w:val="TableParagraph"/>
              <w:spacing w:line="242" w:lineRule="auto" w:before="1"/>
              <w:ind w:left="106" w:right="1"/>
              <w:jc w:val="both"/>
              <w:rPr>
                <w:sz w:val="21"/>
              </w:rPr>
            </w:pPr>
            <w:r>
              <w:rPr>
                <w:sz w:val="21"/>
              </w:rPr>
              <w:t>其他权益变动 </w:t>
            </w:r>
          </w:p>
        </w:tc>
        <w:tc>
          <w:tcPr>
            <w:tcW w:w="714" w:type="dxa"/>
          </w:tcPr>
          <w:p>
            <w:pPr>
              <w:pStyle w:val="TableParagraph"/>
              <w:spacing w:line="242" w:lineRule="auto" w:before="133"/>
              <w:ind w:left="141" w:right="137"/>
              <w:jc w:val="both"/>
              <w:rPr>
                <w:sz w:val="21"/>
              </w:rPr>
            </w:pPr>
            <w:r>
              <w:rPr>
                <w:spacing w:val="-1"/>
                <w:sz w:val="21"/>
              </w:rPr>
              <w:t>宣告发放现金股利或利</w:t>
            </w:r>
            <w:r>
              <w:rPr>
                <w:sz w:val="21"/>
              </w:rPr>
              <w:t>润 </w:t>
            </w:r>
          </w:p>
        </w:tc>
        <w:tc>
          <w:tcPr>
            <w:tcW w:w="704" w:type="dxa"/>
          </w:tcPr>
          <w:p>
            <w:pPr>
              <w:pStyle w:val="TableParagraph"/>
              <w:rPr>
                <w:sz w:val="20"/>
              </w:rPr>
            </w:pPr>
          </w:p>
          <w:p>
            <w:pPr>
              <w:pStyle w:val="TableParagraph"/>
              <w:spacing w:before="2"/>
              <w:rPr>
                <w:sz w:val="22"/>
              </w:rPr>
            </w:pPr>
          </w:p>
          <w:p>
            <w:pPr>
              <w:pStyle w:val="TableParagraph"/>
              <w:spacing w:line="242" w:lineRule="auto" w:before="1"/>
              <w:ind w:left="135" w:right="30"/>
              <w:jc w:val="both"/>
              <w:rPr>
                <w:sz w:val="21"/>
              </w:rPr>
            </w:pPr>
            <w:r>
              <w:rPr>
                <w:sz w:val="21"/>
              </w:rPr>
              <w:t>计提减值准备 </w:t>
            </w:r>
          </w:p>
        </w:tc>
        <w:tc>
          <w:tcPr>
            <w:tcW w:w="741" w:type="dxa"/>
          </w:tcPr>
          <w:p>
            <w:pPr>
              <w:pStyle w:val="TableParagraph"/>
              <w:rPr>
                <w:sz w:val="20"/>
              </w:rPr>
            </w:pPr>
          </w:p>
          <w:p>
            <w:pPr>
              <w:pStyle w:val="TableParagraph"/>
              <w:rPr>
                <w:sz w:val="20"/>
              </w:rPr>
            </w:pPr>
          </w:p>
          <w:p>
            <w:pPr>
              <w:pStyle w:val="TableParagraph"/>
              <w:spacing w:before="8"/>
              <w:rPr>
                <w:sz w:val="23"/>
              </w:rPr>
            </w:pPr>
          </w:p>
          <w:p>
            <w:pPr>
              <w:pStyle w:val="TableParagraph"/>
              <w:ind w:right="50"/>
              <w:jc w:val="right"/>
              <w:rPr>
                <w:sz w:val="21"/>
              </w:rPr>
            </w:pPr>
            <w:r>
              <w:rPr>
                <w:sz w:val="21"/>
              </w:rPr>
              <w:t>其他 </w:t>
            </w:r>
          </w:p>
        </w:tc>
        <w:tc>
          <w:tcPr>
            <w:tcW w:w="702" w:type="dxa"/>
            <w:vMerge/>
            <w:tcBorders>
              <w:top w:val="nil"/>
            </w:tcBorders>
          </w:tcPr>
          <w:p>
            <w:pPr>
              <w:rPr>
                <w:sz w:val="2"/>
                <w:szCs w:val="2"/>
              </w:rPr>
            </w:pPr>
          </w:p>
        </w:tc>
        <w:tc>
          <w:tcPr>
            <w:tcW w:w="575" w:type="dxa"/>
            <w:vMerge/>
            <w:tcBorders>
              <w:top w:val="nil"/>
            </w:tcBorders>
          </w:tcPr>
          <w:p>
            <w:pPr>
              <w:rPr>
                <w:sz w:val="2"/>
                <w:szCs w:val="2"/>
              </w:rPr>
            </w:pPr>
          </w:p>
        </w:tc>
      </w:tr>
      <w:tr>
        <w:trPr>
          <w:trHeight w:val="270" w:hRule="atLeast"/>
        </w:trPr>
        <w:tc>
          <w:tcPr>
            <w:tcW w:w="8834" w:type="dxa"/>
            <w:gridSpan w:val="13"/>
          </w:tcPr>
          <w:p>
            <w:pPr>
              <w:pStyle w:val="TableParagraph"/>
              <w:spacing w:line="250" w:lineRule="exact" w:before="1"/>
              <w:ind w:left="107"/>
              <w:rPr>
                <w:sz w:val="21"/>
              </w:rPr>
            </w:pPr>
            <w:r>
              <w:rPr>
                <w:sz w:val="21"/>
              </w:rPr>
              <w:t>一、合营企业 </w:t>
            </w:r>
          </w:p>
        </w:tc>
      </w:tr>
      <w:tr>
        <w:trPr>
          <w:trHeight w:val="273" w:hRule="atLeast"/>
        </w:trPr>
        <w:tc>
          <w:tcPr>
            <w:tcW w:w="754" w:type="dxa"/>
          </w:tcPr>
          <w:p>
            <w:pPr>
              <w:pStyle w:val="TableParagraph"/>
              <w:spacing w:line="252" w:lineRule="exact" w:before="1"/>
              <w:ind w:left="107"/>
              <w:rPr>
                <w:sz w:val="21"/>
              </w:rPr>
            </w:pPr>
            <w:r>
              <w:rPr>
                <w:w w:val="100"/>
                <w:sz w:val="21"/>
              </w:rPr>
              <w:t> </w:t>
            </w:r>
          </w:p>
        </w:tc>
        <w:tc>
          <w:tcPr>
            <w:tcW w:w="687" w:type="dxa"/>
          </w:tcPr>
          <w:p>
            <w:pPr>
              <w:pStyle w:val="TableParagraph"/>
              <w:spacing w:line="252" w:lineRule="exact" w:before="1"/>
              <w:ind w:right="-15"/>
              <w:jc w:val="right"/>
              <w:rPr>
                <w:sz w:val="21"/>
              </w:rPr>
            </w:pPr>
            <w:r>
              <w:rPr>
                <w:w w:val="100"/>
                <w:sz w:val="21"/>
              </w:rPr>
              <w:t> </w:t>
            </w:r>
          </w:p>
        </w:tc>
        <w:tc>
          <w:tcPr>
            <w:tcW w:w="690" w:type="dxa"/>
          </w:tcPr>
          <w:p>
            <w:pPr>
              <w:pStyle w:val="TableParagraph"/>
              <w:spacing w:line="252" w:lineRule="exact" w:before="1"/>
              <w:ind w:right="-15"/>
              <w:jc w:val="right"/>
              <w:rPr>
                <w:sz w:val="21"/>
              </w:rPr>
            </w:pPr>
            <w:r>
              <w:rPr>
                <w:w w:val="100"/>
                <w:sz w:val="21"/>
              </w:rPr>
              <w:t> </w:t>
            </w:r>
          </w:p>
        </w:tc>
        <w:tc>
          <w:tcPr>
            <w:tcW w:w="603" w:type="dxa"/>
          </w:tcPr>
          <w:p>
            <w:pPr>
              <w:pStyle w:val="TableParagraph"/>
              <w:spacing w:line="252" w:lineRule="exact" w:before="1"/>
              <w:ind w:right="-15"/>
              <w:jc w:val="right"/>
              <w:rPr>
                <w:sz w:val="21"/>
              </w:rPr>
            </w:pPr>
            <w:r>
              <w:rPr>
                <w:w w:val="100"/>
                <w:sz w:val="21"/>
              </w:rPr>
              <w:t> </w:t>
            </w:r>
          </w:p>
        </w:tc>
        <w:tc>
          <w:tcPr>
            <w:tcW w:w="718" w:type="dxa"/>
          </w:tcPr>
          <w:p>
            <w:pPr>
              <w:pStyle w:val="TableParagraph"/>
              <w:spacing w:line="252" w:lineRule="exact" w:before="1"/>
              <w:ind w:right="-15"/>
              <w:jc w:val="right"/>
              <w:rPr>
                <w:sz w:val="21"/>
              </w:rPr>
            </w:pPr>
            <w:r>
              <w:rPr>
                <w:w w:val="100"/>
                <w:sz w:val="21"/>
              </w:rPr>
              <w:t> </w:t>
            </w:r>
          </w:p>
        </w:tc>
        <w:tc>
          <w:tcPr>
            <w:tcW w:w="665" w:type="dxa"/>
          </w:tcPr>
          <w:p>
            <w:pPr>
              <w:pStyle w:val="TableParagraph"/>
              <w:spacing w:line="252" w:lineRule="exact" w:before="1"/>
              <w:ind w:right="-15"/>
              <w:jc w:val="right"/>
              <w:rPr>
                <w:sz w:val="21"/>
              </w:rPr>
            </w:pPr>
            <w:r>
              <w:rPr>
                <w:w w:val="100"/>
                <w:sz w:val="21"/>
              </w:rPr>
              <w:t> </w:t>
            </w:r>
          </w:p>
        </w:tc>
        <w:tc>
          <w:tcPr>
            <w:tcW w:w="637" w:type="dxa"/>
          </w:tcPr>
          <w:p>
            <w:pPr>
              <w:pStyle w:val="TableParagraph"/>
              <w:spacing w:line="252" w:lineRule="exact" w:before="1"/>
              <w:ind w:right="-15"/>
              <w:jc w:val="right"/>
              <w:rPr>
                <w:sz w:val="21"/>
              </w:rPr>
            </w:pPr>
            <w:r>
              <w:rPr>
                <w:w w:val="100"/>
                <w:sz w:val="21"/>
              </w:rPr>
              <w:t> </w:t>
            </w:r>
          </w:p>
        </w:tc>
        <w:tc>
          <w:tcPr>
            <w:tcW w:w="644" w:type="dxa"/>
          </w:tcPr>
          <w:p>
            <w:pPr>
              <w:pStyle w:val="TableParagraph"/>
              <w:spacing w:line="252" w:lineRule="exact" w:before="1"/>
              <w:ind w:right="-15"/>
              <w:jc w:val="right"/>
              <w:rPr>
                <w:sz w:val="21"/>
              </w:rPr>
            </w:pPr>
            <w:r>
              <w:rPr>
                <w:w w:val="100"/>
                <w:sz w:val="21"/>
              </w:rPr>
              <w:t> </w:t>
            </w:r>
          </w:p>
        </w:tc>
        <w:tc>
          <w:tcPr>
            <w:tcW w:w="714" w:type="dxa"/>
          </w:tcPr>
          <w:p>
            <w:pPr>
              <w:pStyle w:val="TableParagraph"/>
              <w:spacing w:line="252" w:lineRule="exact" w:before="1"/>
              <w:ind w:right="-15"/>
              <w:jc w:val="right"/>
              <w:rPr>
                <w:sz w:val="21"/>
              </w:rPr>
            </w:pPr>
            <w:r>
              <w:rPr>
                <w:w w:val="100"/>
                <w:sz w:val="21"/>
              </w:rPr>
              <w:t> </w:t>
            </w:r>
          </w:p>
        </w:tc>
        <w:tc>
          <w:tcPr>
            <w:tcW w:w="704" w:type="dxa"/>
          </w:tcPr>
          <w:p>
            <w:pPr>
              <w:pStyle w:val="TableParagraph"/>
              <w:spacing w:line="252" w:lineRule="exact" w:before="1"/>
              <w:ind w:right="-15"/>
              <w:jc w:val="right"/>
              <w:rPr>
                <w:sz w:val="21"/>
              </w:rPr>
            </w:pPr>
            <w:r>
              <w:rPr>
                <w:w w:val="100"/>
                <w:sz w:val="21"/>
              </w:rPr>
              <w:t> </w:t>
            </w:r>
          </w:p>
        </w:tc>
        <w:tc>
          <w:tcPr>
            <w:tcW w:w="741" w:type="dxa"/>
          </w:tcPr>
          <w:p>
            <w:pPr>
              <w:pStyle w:val="TableParagraph"/>
              <w:spacing w:line="252" w:lineRule="exact" w:before="1"/>
              <w:jc w:val="right"/>
              <w:rPr>
                <w:sz w:val="21"/>
              </w:rPr>
            </w:pPr>
            <w:r>
              <w:rPr>
                <w:w w:val="100"/>
                <w:sz w:val="21"/>
              </w:rPr>
              <w:t> </w:t>
            </w:r>
          </w:p>
        </w:tc>
        <w:tc>
          <w:tcPr>
            <w:tcW w:w="702" w:type="dxa"/>
          </w:tcPr>
          <w:p>
            <w:pPr>
              <w:pStyle w:val="TableParagraph"/>
              <w:spacing w:line="252" w:lineRule="exact" w:before="1"/>
              <w:ind w:right="1"/>
              <w:jc w:val="right"/>
              <w:rPr>
                <w:sz w:val="21"/>
              </w:rPr>
            </w:pPr>
            <w:r>
              <w:rPr>
                <w:w w:val="100"/>
                <w:sz w:val="21"/>
              </w:rPr>
              <w:t> </w:t>
            </w:r>
          </w:p>
        </w:tc>
        <w:tc>
          <w:tcPr>
            <w:tcW w:w="575" w:type="dxa"/>
          </w:tcPr>
          <w:p>
            <w:pPr>
              <w:pStyle w:val="TableParagraph"/>
              <w:spacing w:line="252" w:lineRule="exact" w:before="1"/>
              <w:jc w:val="right"/>
              <w:rPr>
                <w:sz w:val="21"/>
              </w:rPr>
            </w:pPr>
            <w:r>
              <w:rPr>
                <w:w w:val="100"/>
                <w:sz w:val="21"/>
              </w:rPr>
              <w:t> </w:t>
            </w:r>
          </w:p>
        </w:tc>
      </w:tr>
      <w:tr>
        <w:trPr>
          <w:trHeight w:val="273" w:hRule="atLeast"/>
        </w:trPr>
        <w:tc>
          <w:tcPr>
            <w:tcW w:w="754" w:type="dxa"/>
          </w:tcPr>
          <w:p>
            <w:pPr>
              <w:pStyle w:val="TableParagraph"/>
              <w:spacing w:line="252" w:lineRule="exact" w:before="1"/>
              <w:ind w:left="107"/>
              <w:rPr>
                <w:sz w:val="21"/>
              </w:rPr>
            </w:pPr>
            <w:r>
              <w:rPr>
                <w:w w:val="100"/>
                <w:sz w:val="21"/>
              </w:rPr>
              <w:t> </w:t>
            </w:r>
          </w:p>
        </w:tc>
        <w:tc>
          <w:tcPr>
            <w:tcW w:w="687" w:type="dxa"/>
          </w:tcPr>
          <w:p>
            <w:pPr>
              <w:pStyle w:val="TableParagraph"/>
              <w:spacing w:line="252" w:lineRule="exact" w:before="1"/>
              <w:ind w:right="-15"/>
              <w:jc w:val="right"/>
              <w:rPr>
                <w:sz w:val="21"/>
              </w:rPr>
            </w:pPr>
            <w:r>
              <w:rPr>
                <w:w w:val="100"/>
                <w:sz w:val="21"/>
              </w:rPr>
              <w:t> </w:t>
            </w:r>
          </w:p>
        </w:tc>
        <w:tc>
          <w:tcPr>
            <w:tcW w:w="690" w:type="dxa"/>
          </w:tcPr>
          <w:p>
            <w:pPr>
              <w:pStyle w:val="TableParagraph"/>
              <w:spacing w:line="252" w:lineRule="exact" w:before="1"/>
              <w:ind w:right="-15"/>
              <w:jc w:val="right"/>
              <w:rPr>
                <w:sz w:val="21"/>
              </w:rPr>
            </w:pPr>
            <w:r>
              <w:rPr>
                <w:w w:val="100"/>
                <w:sz w:val="21"/>
              </w:rPr>
              <w:t> </w:t>
            </w:r>
          </w:p>
        </w:tc>
        <w:tc>
          <w:tcPr>
            <w:tcW w:w="603" w:type="dxa"/>
          </w:tcPr>
          <w:p>
            <w:pPr>
              <w:pStyle w:val="TableParagraph"/>
              <w:spacing w:line="252" w:lineRule="exact" w:before="1"/>
              <w:ind w:right="-15"/>
              <w:jc w:val="right"/>
              <w:rPr>
                <w:sz w:val="21"/>
              </w:rPr>
            </w:pPr>
            <w:r>
              <w:rPr>
                <w:w w:val="100"/>
                <w:sz w:val="21"/>
              </w:rPr>
              <w:t> </w:t>
            </w:r>
          </w:p>
        </w:tc>
        <w:tc>
          <w:tcPr>
            <w:tcW w:w="718" w:type="dxa"/>
          </w:tcPr>
          <w:p>
            <w:pPr>
              <w:pStyle w:val="TableParagraph"/>
              <w:spacing w:line="252" w:lineRule="exact" w:before="1"/>
              <w:ind w:right="-15"/>
              <w:jc w:val="right"/>
              <w:rPr>
                <w:sz w:val="21"/>
              </w:rPr>
            </w:pPr>
            <w:r>
              <w:rPr>
                <w:w w:val="100"/>
                <w:sz w:val="21"/>
              </w:rPr>
              <w:t> </w:t>
            </w:r>
          </w:p>
        </w:tc>
        <w:tc>
          <w:tcPr>
            <w:tcW w:w="665" w:type="dxa"/>
          </w:tcPr>
          <w:p>
            <w:pPr>
              <w:pStyle w:val="TableParagraph"/>
              <w:spacing w:line="252" w:lineRule="exact" w:before="1"/>
              <w:ind w:right="-15"/>
              <w:jc w:val="right"/>
              <w:rPr>
                <w:sz w:val="21"/>
              </w:rPr>
            </w:pPr>
            <w:r>
              <w:rPr>
                <w:w w:val="100"/>
                <w:sz w:val="21"/>
              </w:rPr>
              <w:t> </w:t>
            </w:r>
          </w:p>
        </w:tc>
        <w:tc>
          <w:tcPr>
            <w:tcW w:w="637" w:type="dxa"/>
          </w:tcPr>
          <w:p>
            <w:pPr>
              <w:pStyle w:val="TableParagraph"/>
              <w:spacing w:line="252" w:lineRule="exact" w:before="1"/>
              <w:ind w:right="-15"/>
              <w:jc w:val="right"/>
              <w:rPr>
                <w:sz w:val="21"/>
              </w:rPr>
            </w:pPr>
            <w:r>
              <w:rPr>
                <w:w w:val="100"/>
                <w:sz w:val="21"/>
              </w:rPr>
              <w:t> </w:t>
            </w:r>
          </w:p>
        </w:tc>
        <w:tc>
          <w:tcPr>
            <w:tcW w:w="644" w:type="dxa"/>
          </w:tcPr>
          <w:p>
            <w:pPr>
              <w:pStyle w:val="TableParagraph"/>
              <w:spacing w:line="252" w:lineRule="exact" w:before="1"/>
              <w:ind w:right="-15"/>
              <w:jc w:val="right"/>
              <w:rPr>
                <w:sz w:val="21"/>
              </w:rPr>
            </w:pPr>
            <w:r>
              <w:rPr>
                <w:w w:val="100"/>
                <w:sz w:val="21"/>
              </w:rPr>
              <w:t> </w:t>
            </w:r>
          </w:p>
        </w:tc>
        <w:tc>
          <w:tcPr>
            <w:tcW w:w="714" w:type="dxa"/>
          </w:tcPr>
          <w:p>
            <w:pPr>
              <w:pStyle w:val="TableParagraph"/>
              <w:spacing w:line="252" w:lineRule="exact" w:before="1"/>
              <w:ind w:right="-15"/>
              <w:jc w:val="right"/>
              <w:rPr>
                <w:sz w:val="21"/>
              </w:rPr>
            </w:pPr>
            <w:r>
              <w:rPr>
                <w:w w:val="100"/>
                <w:sz w:val="21"/>
              </w:rPr>
              <w:t> </w:t>
            </w:r>
          </w:p>
        </w:tc>
        <w:tc>
          <w:tcPr>
            <w:tcW w:w="704" w:type="dxa"/>
          </w:tcPr>
          <w:p>
            <w:pPr>
              <w:pStyle w:val="TableParagraph"/>
              <w:spacing w:line="252" w:lineRule="exact" w:before="1"/>
              <w:ind w:right="-15"/>
              <w:jc w:val="right"/>
              <w:rPr>
                <w:sz w:val="21"/>
              </w:rPr>
            </w:pPr>
            <w:r>
              <w:rPr>
                <w:w w:val="100"/>
                <w:sz w:val="21"/>
              </w:rPr>
              <w:t> </w:t>
            </w:r>
          </w:p>
        </w:tc>
        <w:tc>
          <w:tcPr>
            <w:tcW w:w="741" w:type="dxa"/>
          </w:tcPr>
          <w:p>
            <w:pPr>
              <w:pStyle w:val="TableParagraph"/>
              <w:spacing w:line="252" w:lineRule="exact" w:before="1"/>
              <w:jc w:val="right"/>
              <w:rPr>
                <w:sz w:val="21"/>
              </w:rPr>
            </w:pPr>
            <w:r>
              <w:rPr>
                <w:w w:val="100"/>
                <w:sz w:val="21"/>
              </w:rPr>
              <w:t> </w:t>
            </w:r>
          </w:p>
        </w:tc>
        <w:tc>
          <w:tcPr>
            <w:tcW w:w="702" w:type="dxa"/>
          </w:tcPr>
          <w:p>
            <w:pPr>
              <w:pStyle w:val="TableParagraph"/>
              <w:spacing w:line="252" w:lineRule="exact" w:before="1"/>
              <w:ind w:right="1"/>
              <w:jc w:val="right"/>
              <w:rPr>
                <w:sz w:val="21"/>
              </w:rPr>
            </w:pPr>
            <w:r>
              <w:rPr>
                <w:w w:val="100"/>
                <w:sz w:val="21"/>
              </w:rPr>
              <w:t> </w:t>
            </w:r>
          </w:p>
        </w:tc>
        <w:tc>
          <w:tcPr>
            <w:tcW w:w="575" w:type="dxa"/>
          </w:tcPr>
          <w:p>
            <w:pPr>
              <w:pStyle w:val="TableParagraph"/>
              <w:spacing w:line="252" w:lineRule="exact" w:before="1"/>
              <w:jc w:val="right"/>
              <w:rPr>
                <w:sz w:val="21"/>
              </w:rPr>
            </w:pPr>
            <w:r>
              <w:rPr>
                <w:w w:val="100"/>
                <w:sz w:val="21"/>
              </w:rPr>
              <w:t> </w:t>
            </w:r>
          </w:p>
        </w:tc>
      </w:tr>
      <w:tr>
        <w:trPr>
          <w:trHeight w:val="270" w:hRule="atLeast"/>
        </w:trPr>
        <w:tc>
          <w:tcPr>
            <w:tcW w:w="754" w:type="dxa"/>
          </w:tcPr>
          <w:p>
            <w:pPr>
              <w:pStyle w:val="TableParagraph"/>
              <w:spacing w:line="250" w:lineRule="exact" w:before="1"/>
              <w:ind w:left="107"/>
              <w:rPr>
                <w:sz w:val="21"/>
              </w:rPr>
            </w:pPr>
            <w:r>
              <w:rPr>
                <w:sz w:val="21"/>
              </w:rPr>
              <w:t>小计 </w:t>
            </w:r>
          </w:p>
        </w:tc>
        <w:tc>
          <w:tcPr>
            <w:tcW w:w="687" w:type="dxa"/>
          </w:tcPr>
          <w:p>
            <w:pPr>
              <w:pStyle w:val="TableParagraph"/>
              <w:spacing w:line="250" w:lineRule="exact" w:before="1"/>
              <w:ind w:right="-15"/>
              <w:jc w:val="right"/>
              <w:rPr>
                <w:sz w:val="21"/>
              </w:rPr>
            </w:pPr>
            <w:r>
              <w:rPr>
                <w:w w:val="100"/>
                <w:sz w:val="21"/>
              </w:rPr>
              <w:t> </w:t>
            </w:r>
          </w:p>
        </w:tc>
        <w:tc>
          <w:tcPr>
            <w:tcW w:w="690" w:type="dxa"/>
          </w:tcPr>
          <w:p>
            <w:pPr>
              <w:pStyle w:val="TableParagraph"/>
              <w:spacing w:line="250" w:lineRule="exact" w:before="1"/>
              <w:ind w:right="-15"/>
              <w:jc w:val="right"/>
              <w:rPr>
                <w:sz w:val="21"/>
              </w:rPr>
            </w:pPr>
            <w:r>
              <w:rPr>
                <w:w w:val="100"/>
                <w:sz w:val="21"/>
              </w:rPr>
              <w:t> </w:t>
            </w:r>
          </w:p>
        </w:tc>
        <w:tc>
          <w:tcPr>
            <w:tcW w:w="603" w:type="dxa"/>
          </w:tcPr>
          <w:p>
            <w:pPr>
              <w:pStyle w:val="TableParagraph"/>
              <w:spacing w:line="250" w:lineRule="exact" w:before="1"/>
              <w:ind w:right="-15"/>
              <w:jc w:val="right"/>
              <w:rPr>
                <w:sz w:val="21"/>
              </w:rPr>
            </w:pPr>
            <w:r>
              <w:rPr>
                <w:w w:val="100"/>
                <w:sz w:val="21"/>
              </w:rPr>
              <w:t> </w:t>
            </w:r>
          </w:p>
        </w:tc>
        <w:tc>
          <w:tcPr>
            <w:tcW w:w="718" w:type="dxa"/>
          </w:tcPr>
          <w:p>
            <w:pPr>
              <w:pStyle w:val="TableParagraph"/>
              <w:spacing w:line="250" w:lineRule="exact" w:before="1"/>
              <w:ind w:right="-15"/>
              <w:jc w:val="right"/>
              <w:rPr>
                <w:sz w:val="21"/>
              </w:rPr>
            </w:pPr>
            <w:r>
              <w:rPr>
                <w:w w:val="100"/>
                <w:sz w:val="21"/>
              </w:rPr>
              <w:t> </w:t>
            </w:r>
          </w:p>
        </w:tc>
        <w:tc>
          <w:tcPr>
            <w:tcW w:w="665" w:type="dxa"/>
          </w:tcPr>
          <w:p>
            <w:pPr>
              <w:pStyle w:val="TableParagraph"/>
              <w:spacing w:line="250" w:lineRule="exact" w:before="1"/>
              <w:ind w:right="-15"/>
              <w:jc w:val="right"/>
              <w:rPr>
                <w:sz w:val="21"/>
              </w:rPr>
            </w:pPr>
            <w:r>
              <w:rPr>
                <w:w w:val="100"/>
                <w:sz w:val="21"/>
              </w:rPr>
              <w:t> </w:t>
            </w:r>
          </w:p>
        </w:tc>
        <w:tc>
          <w:tcPr>
            <w:tcW w:w="637" w:type="dxa"/>
          </w:tcPr>
          <w:p>
            <w:pPr>
              <w:pStyle w:val="TableParagraph"/>
              <w:spacing w:line="250" w:lineRule="exact" w:before="1"/>
              <w:ind w:right="-15"/>
              <w:jc w:val="right"/>
              <w:rPr>
                <w:sz w:val="21"/>
              </w:rPr>
            </w:pPr>
            <w:r>
              <w:rPr>
                <w:w w:val="100"/>
                <w:sz w:val="21"/>
              </w:rPr>
              <w:t> </w:t>
            </w:r>
          </w:p>
        </w:tc>
        <w:tc>
          <w:tcPr>
            <w:tcW w:w="644" w:type="dxa"/>
          </w:tcPr>
          <w:p>
            <w:pPr>
              <w:pStyle w:val="TableParagraph"/>
              <w:spacing w:line="250" w:lineRule="exact" w:before="1"/>
              <w:ind w:right="-15"/>
              <w:jc w:val="right"/>
              <w:rPr>
                <w:sz w:val="21"/>
              </w:rPr>
            </w:pPr>
            <w:r>
              <w:rPr>
                <w:w w:val="100"/>
                <w:sz w:val="21"/>
              </w:rPr>
              <w:t> </w:t>
            </w:r>
          </w:p>
        </w:tc>
        <w:tc>
          <w:tcPr>
            <w:tcW w:w="714" w:type="dxa"/>
          </w:tcPr>
          <w:p>
            <w:pPr>
              <w:pStyle w:val="TableParagraph"/>
              <w:spacing w:line="250" w:lineRule="exact" w:before="1"/>
              <w:ind w:right="-15"/>
              <w:jc w:val="right"/>
              <w:rPr>
                <w:sz w:val="21"/>
              </w:rPr>
            </w:pPr>
            <w:r>
              <w:rPr>
                <w:w w:val="100"/>
                <w:sz w:val="21"/>
              </w:rPr>
              <w:t> </w:t>
            </w:r>
          </w:p>
        </w:tc>
        <w:tc>
          <w:tcPr>
            <w:tcW w:w="704" w:type="dxa"/>
          </w:tcPr>
          <w:p>
            <w:pPr>
              <w:pStyle w:val="TableParagraph"/>
              <w:spacing w:line="250" w:lineRule="exact" w:before="1"/>
              <w:ind w:right="-15"/>
              <w:jc w:val="right"/>
              <w:rPr>
                <w:sz w:val="21"/>
              </w:rPr>
            </w:pPr>
            <w:r>
              <w:rPr>
                <w:w w:val="100"/>
                <w:sz w:val="21"/>
              </w:rPr>
              <w:t> </w:t>
            </w:r>
          </w:p>
        </w:tc>
        <w:tc>
          <w:tcPr>
            <w:tcW w:w="741" w:type="dxa"/>
          </w:tcPr>
          <w:p>
            <w:pPr>
              <w:pStyle w:val="TableParagraph"/>
              <w:spacing w:line="250" w:lineRule="exact" w:before="1"/>
              <w:jc w:val="right"/>
              <w:rPr>
                <w:sz w:val="21"/>
              </w:rPr>
            </w:pPr>
            <w:r>
              <w:rPr>
                <w:w w:val="100"/>
                <w:sz w:val="21"/>
              </w:rPr>
              <w:t> </w:t>
            </w:r>
          </w:p>
        </w:tc>
        <w:tc>
          <w:tcPr>
            <w:tcW w:w="702" w:type="dxa"/>
          </w:tcPr>
          <w:p>
            <w:pPr>
              <w:pStyle w:val="TableParagraph"/>
              <w:spacing w:line="250" w:lineRule="exact" w:before="1"/>
              <w:ind w:right="1"/>
              <w:jc w:val="right"/>
              <w:rPr>
                <w:sz w:val="21"/>
              </w:rPr>
            </w:pPr>
            <w:r>
              <w:rPr>
                <w:w w:val="100"/>
                <w:sz w:val="21"/>
              </w:rPr>
              <w:t> </w:t>
            </w:r>
          </w:p>
        </w:tc>
        <w:tc>
          <w:tcPr>
            <w:tcW w:w="575" w:type="dxa"/>
          </w:tcPr>
          <w:p>
            <w:pPr>
              <w:pStyle w:val="TableParagraph"/>
              <w:spacing w:line="250" w:lineRule="exact" w:before="1"/>
              <w:jc w:val="right"/>
              <w:rPr>
                <w:sz w:val="21"/>
              </w:rPr>
            </w:pPr>
            <w:r>
              <w:rPr>
                <w:w w:val="100"/>
                <w:sz w:val="21"/>
              </w:rPr>
              <w:t> </w:t>
            </w:r>
          </w:p>
        </w:tc>
      </w:tr>
      <w:tr>
        <w:trPr>
          <w:trHeight w:val="273" w:hRule="atLeast"/>
        </w:trPr>
        <w:tc>
          <w:tcPr>
            <w:tcW w:w="8834" w:type="dxa"/>
            <w:gridSpan w:val="13"/>
          </w:tcPr>
          <w:p>
            <w:pPr>
              <w:pStyle w:val="TableParagraph"/>
              <w:spacing w:line="252" w:lineRule="exact" w:before="1"/>
              <w:ind w:left="107"/>
              <w:rPr>
                <w:sz w:val="21"/>
              </w:rPr>
            </w:pPr>
            <w:r>
              <w:rPr>
                <w:spacing w:val="-1"/>
                <w:sz w:val="21"/>
              </w:rPr>
              <w:t>二、联营企业</w:t>
            </w:r>
            <w:r>
              <w:rPr>
                <w:sz w:val="21"/>
              </w:rPr>
              <w:t> </w:t>
            </w:r>
          </w:p>
        </w:tc>
      </w:tr>
      <w:tr>
        <w:trPr>
          <w:trHeight w:val="539" w:hRule="atLeast"/>
        </w:trPr>
        <w:tc>
          <w:tcPr>
            <w:tcW w:w="754" w:type="dxa"/>
            <w:tcBorders>
              <w:bottom w:val="nil"/>
            </w:tcBorders>
          </w:tcPr>
          <w:p>
            <w:pPr>
              <w:pStyle w:val="TableParagraph"/>
              <w:spacing w:before="1"/>
              <w:ind w:left="107"/>
              <w:rPr>
                <w:sz w:val="21"/>
              </w:rPr>
            </w:pPr>
            <w:r>
              <w:rPr>
                <w:sz w:val="21"/>
              </w:rPr>
              <w:t>AMAX</w:t>
            </w:r>
          </w:p>
          <w:p>
            <w:pPr>
              <w:pStyle w:val="TableParagraph"/>
              <w:spacing w:line="245" w:lineRule="exact" w:before="4"/>
              <w:ind w:left="107"/>
              <w:rPr>
                <w:sz w:val="21"/>
              </w:rPr>
            </w:pPr>
            <w:r>
              <w:rPr>
                <w:w w:val="100"/>
                <w:sz w:val="21"/>
              </w:rPr>
              <w:t> </w:t>
            </w:r>
            <w:r>
              <w:rPr>
                <w:sz w:val="21"/>
              </w:rPr>
              <w:t> </w:t>
            </w:r>
            <w:r>
              <w:rPr>
                <w:w w:val="100"/>
                <w:sz w:val="21"/>
              </w:rPr>
              <w:t> </w:t>
            </w:r>
            <w:r>
              <w:rPr>
                <w:sz w:val="21"/>
              </w:rPr>
              <w:t> </w:t>
            </w:r>
            <w:r>
              <w:rPr>
                <w:w w:val="100"/>
                <w:sz w:val="21"/>
              </w:rPr>
              <w:t> </w:t>
            </w:r>
          </w:p>
        </w:tc>
        <w:tc>
          <w:tcPr>
            <w:tcW w:w="687" w:type="dxa"/>
            <w:tcBorders>
              <w:bottom w:val="nil"/>
            </w:tcBorders>
          </w:tcPr>
          <w:p>
            <w:pPr>
              <w:pStyle w:val="TableParagraph"/>
              <w:spacing w:line="235" w:lineRule="exact"/>
              <w:ind w:left="210"/>
              <w:rPr>
                <w:rFonts w:ascii="Times New Roman"/>
                <w:sz w:val="21"/>
              </w:rPr>
            </w:pPr>
            <w:r>
              <w:rPr>
                <w:rFonts w:ascii="Times New Roman"/>
                <w:sz w:val="21"/>
              </w:rPr>
              <w:t>128,</w:t>
            </w:r>
          </w:p>
          <w:p>
            <w:pPr>
              <w:pStyle w:val="TableParagraph"/>
              <w:spacing w:before="1"/>
              <w:ind w:left="263"/>
              <w:rPr>
                <w:rFonts w:ascii="Times New Roman"/>
                <w:sz w:val="21"/>
              </w:rPr>
            </w:pPr>
            <w:r>
              <w:rPr>
                <w:rFonts w:ascii="Times New Roman"/>
                <w:sz w:val="21"/>
              </w:rPr>
              <w:t>883</w:t>
            </w:r>
          </w:p>
        </w:tc>
        <w:tc>
          <w:tcPr>
            <w:tcW w:w="690" w:type="dxa"/>
            <w:tcBorders>
              <w:bottom w:val="nil"/>
            </w:tcBorders>
          </w:tcPr>
          <w:p>
            <w:pPr>
              <w:pStyle w:val="TableParagraph"/>
              <w:spacing w:line="235" w:lineRule="exact"/>
              <w:ind w:left="349"/>
              <w:rPr>
                <w:rFonts w:ascii="Times New Roman"/>
                <w:sz w:val="21"/>
              </w:rPr>
            </w:pPr>
            <w:r>
              <w:rPr>
                <w:rFonts w:ascii="Times New Roman"/>
                <w:w w:val="100"/>
                <w:sz w:val="21"/>
              </w:rPr>
              <w:t>-</w:t>
            </w:r>
          </w:p>
        </w:tc>
        <w:tc>
          <w:tcPr>
            <w:tcW w:w="603" w:type="dxa"/>
            <w:tcBorders>
              <w:bottom w:val="nil"/>
            </w:tcBorders>
          </w:tcPr>
          <w:p>
            <w:pPr>
              <w:pStyle w:val="TableParagraph"/>
              <w:spacing w:line="235" w:lineRule="exact"/>
              <w:ind w:left="370"/>
              <w:rPr>
                <w:rFonts w:ascii="Times New Roman"/>
                <w:sz w:val="21"/>
              </w:rPr>
            </w:pPr>
            <w:r>
              <w:rPr>
                <w:rFonts w:ascii="Times New Roman"/>
                <w:w w:val="100"/>
                <w:sz w:val="21"/>
              </w:rPr>
              <w:t>-</w:t>
            </w:r>
          </w:p>
        </w:tc>
        <w:tc>
          <w:tcPr>
            <w:tcW w:w="718" w:type="dxa"/>
            <w:tcBorders>
              <w:bottom w:val="nil"/>
            </w:tcBorders>
          </w:tcPr>
          <w:p>
            <w:pPr>
              <w:pStyle w:val="TableParagraph"/>
              <w:spacing w:line="235" w:lineRule="exact"/>
              <w:ind w:right="98"/>
              <w:jc w:val="right"/>
              <w:rPr>
                <w:rFonts w:ascii="Times New Roman"/>
                <w:sz w:val="21"/>
              </w:rPr>
            </w:pPr>
            <w:r>
              <w:rPr>
                <w:rFonts w:ascii="Times New Roman"/>
                <w:sz w:val="21"/>
              </w:rPr>
              <w:t>10,47</w:t>
            </w:r>
          </w:p>
          <w:p>
            <w:pPr>
              <w:pStyle w:val="TableParagraph"/>
              <w:spacing w:before="1"/>
              <w:ind w:right="101"/>
              <w:jc w:val="right"/>
              <w:rPr>
                <w:rFonts w:ascii="Times New Roman"/>
                <w:sz w:val="21"/>
              </w:rPr>
            </w:pPr>
            <w:r>
              <w:rPr>
                <w:rFonts w:ascii="Times New Roman"/>
                <w:w w:val="100"/>
                <w:sz w:val="21"/>
              </w:rPr>
              <w:t>2</w:t>
            </w:r>
          </w:p>
        </w:tc>
        <w:tc>
          <w:tcPr>
            <w:tcW w:w="665" w:type="dxa"/>
            <w:tcBorders>
              <w:bottom w:val="nil"/>
            </w:tcBorders>
          </w:tcPr>
          <w:p>
            <w:pPr>
              <w:pStyle w:val="TableParagraph"/>
              <w:spacing w:line="235" w:lineRule="exact"/>
              <w:ind w:right="99"/>
              <w:jc w:val="right"/>
              <w:rPr>
                <w:rFonts w:ascii="Times New Roman"/>
                <w:sz w:val="21"/>
              </w:rPr>
            </w:pPr>
            <w:r>
              <w:rPr>
                <w:rFonts w:ascii="Times New Roman"/>
                <w:sz w:val="21"/>
              </w:rPr>
              <w:t>12,8</w:t>
            </w:r>
          </w:p>
          <w:p>
            <w:pPr>
              <w:pStyle w:val="TableParagraph"/>
              <w:spacing w:before="1"/>
              <w:ind w:right="101"/>
              <w:jc w:val="right"/>
              <w:rPr>
                <w:rFonts w:ascii="Times New Roman"/>
                <w:sz w:val="21"/>
              </w:rPr>
            </w:pPr>
            <w:r>
              <w:rPr>
                <w:rFonts w:ascii="Times New Roman"/>
                <w:sz w:val="21"/>
              </w:rPr>
              <w:t>43</w:t>
            </w:r>
          </w:p>
        </w:tc>
        <w:tc>
          <w:tcPr>
            <w:tcW w:w="637" w:type="dxa"/>
            <w:tcBorders>
              <w:bottom w:val="nil"/>
            </w:tcBorders>
          </w:tcPr>
          <w:p>
            <w:pPr>
              <w:pStyle w:val="TableParagraph"/>
              <w:spacing w:line="235" w:lineRule="exact"/>
              <w:ind w:right="97"/>
              <w:jc w:val="right"/>
              <w:rPr>
                <w:rFonts w:ascii="Times New Roman"/>
                <w:sz w:val="21"/>
              </w:rPr>
            </w:pPr>
            <w:r>
              <w:rPr>
                <w:rFonts w:ascii="Times New Roman"/>
                <w:sz w:val="21"/>
              </w:rPr>
              <w:t>2,69</w:t>
            </w:r>
          </w:p>
          <w:p>
            <w:pPr>
              <w:pStyle w:val="TableParagraph"/>
              <w:spacing w:before="1"/>
              <w:ind w:right="99"/>
              <w:jc w:val="right"/>
              <w:rPr>
                <w:rFonts w:ascii="Times New Roman"/>
                <w:sz w:val="21"/>
              </w:rPr>
            </w:pPr>
            <w:r>
              <w:rPr>
                <w:rFonts w:ascii="Times New Roman"/>
                <w:w w:val="100"/>
                <w:sz w:val="21"/>
              </w:rPr>
              <w:t>0</w:t>
            </w:r>
          </w:p>
        </w:tc>
        <w:tc>
          <w:tcPr>
            <w:tcW w:w="644" w:type="dxa"/>
            <w:vMerge w:val="restart"/>
          </w:tcPr>
          <w:p>
            <w:pPr>
              <w:pStyle w:val="TableParagraph"/>
              <w:rPr>
                <w:rFonts w:ascii="Times New Roman"/>
                <w:sz w:val="20"/>
              </w:rPr>
            </w:pPr>
          </w:p>
        </w:tc>
        <w:tc>
          <w:tcPr>
            <w:tcW w:w="714" w:type="dxa"/>
            <w:tcBorders>
              <w:bottom w:val="nil"/>
            </w:tcBorders>
          </w:tcPr>
          <w:p>
            <w:pPr>
              <w:pStyle w:val="TableParagraph"/>
              <w:spacing w:line="235" w:lineRule="exact"/>
              <w:ind w:right="100"/>
              <w:jc w:val="right"/>
              <w:rPr>
                <w:rFonts w:ascii="Times New Roman"/>
                <w:sz w:val="21"/>
              </w:rPr>
            </w:pPr>
            <w:r>
              <w:rPr>
                <w:rFonts w:ascii="Times New Roman"/>
                <w:w w:val="100"/>
                <w:sz w:val="21"/>
              </w:rPr>
              <w:t>-</w:t>
            </w:r>
          </w:p>
        </w:tc>
        <w:tc>
          <w:tcPr>
            <w:tcW w:w="704" w:type="dxa"/>
            <w:tcBorders>
              <w:bottom w:val="nil"/>
            </w:tcBorders>
          </w:tcPr>
          <w:p>
            <w:pPr>
              <w:pStyle w:val="TableParagraph"/>
              <w:spacing w:line="235" w:lineRule="exact"/>
              <w:ind w:left="519"/>
              <w:rPr>
                <w:rFonts w:ascii="Times New Roman"/>
                <w:sz w:val="21"/>
              </w:rPr>
            </w:pPr>
            <w:r>
              <w:rPr>
                <w:rFonts w:ascii="Times New Roman"/>
                <w:w w:val="100"/>
                <w:sz w:val="21"/>
              </w:rPr>
              <w:t>-</w:t>
            </w:r>
          </w:p>
        </w:tc>
        <w:tc>
          <w:tcPr>
            <w:tcW w:w="741" w:type="dxa"/>
            <w:tcBorders>
              <w:bottom w:val="nil"/>
            </w:tcBorders>
          </w:tcPr>
          <w:p>
            <w:pPr>
              <w:pStyle w:val="TableParagraph"/>
              <w:spacing w:line="235" w:lineRule="exact"/>
              <w:ind w:right="102"/>
              <w:jc w:val="right"/>
              <w:rPr>
                <w:rFonts w:ascii="Times New Roman"/>
                <w:sz w:val="21"/>
              </w:rPr>
            </w:pPr>
            <w:r>
              <w:rPr>
                <w:rFonts w:ascii="Times New Roman"/>
                <w:w w:val="100"/>
                <w:sz w:val="21"/>
              </w:rPr>
              <w:t>-</w:t>
            </w:r>
          </w:p>
        </w:tc>
        <w:tc>
          <w:tcPr>
            <w:tcW w:w="702" w:type="dxa"/>
            <w:tcBorders>
              <w:bottom w:val="nil"/>
            </w:tcBorders>
          </w:tcPr>
          <w:p>
            <w:pPr>
              <w:pStyle w:val="TableParagraph"/>
              <w:spacing w:line="235" w:lineRule="exact"/>
              <w:ind w:right="104"/>
              <w:jc w:val="right"/>
              <w:rPr>
                <w:rFonts w:ascii="Times New Roman"/>
                <w:sz w:val="21"/>
              </w:rPr>
            </w:pPr>
            <w:r>
              <w:rPr>
                <w:rFonts w:ascii="Times New Roman"/>
                <w:sz w:val="21"/>
              </w:rPr>
              <w:t>154,8</w:t>
            </w:r>
          </w:p>
          <w:p>
            <w:pPr>
              <w:pStyle w:val="TableParagraph"/>
              <w:spacing w:before="1"/>
              <w:ind w:right="107"/>
              <w:jc w:val="right"/>
              <w:rPr>
                <w:rFonts w:ascii="Times New Roman"/>
                <w:sz w:val="21"/>
              </w:rPr>
            </w:pPr>
            <w:r>
              <w:rPr>
                <w:rFonts w:ascii="Times New Roman"/>
                <w:sz w:val="21"/>
              </w:rPr>
              <w:t>88</w:t>
            </w:r>
          </w:p>
        </w:tc>
        <w:tc>
          <w:tcPr>
            <w:tcW w:w="575" w:type="dxa"/>
            <w:tcBorders>
              <w:bottom w:val="nil"/>
            </w:tcBorders>
          </w:tcPr>
          <w:p>
            <w:pPr>
              <w:pStyle w:val="TableParagraph"/>
              <w:spacing w:line="235" w:lineRule="exact"/>
              <w:ind w:left="334"/>
              <w:rPr>
                <w:rFonts w:ascii="Times New Roman"/>
                <w:sz w:val="21"/>
              </w:rPr>
            </w:pPr>
            <w:r>
              <w:rPr>
                <w:rFonts w:ascii="Times New Roman"/>
                <w:w w:val="100"/>
                <w:sz w:val="21"/>
              </w:rPr>
              <w:t>-</w:t>
            </w:r>
          </w:p>
        </w:tc>
      </w:tr>
      <w:tr>
        <w:trPr>
          <w:trHeight w:val="261" w:hRule="atLeast"/>
        </w:trPr>
        <w:tc>
          <w:tcPr>
            <w:tcW w:w="754" w:type="dxa"/>
            <w:tcBorders>
              <w:top w:val="nil"/>
              <w:bottom w:val="nil"/>
            </w:tcBorders>
          </w:tcPr>
          <w:p>
            <w:pPr>
              <w:pStyle w:val="TableParagraph"/>
              <w:spacing w:line="241" w:lineRule="exact"/>
              <w:ind w:left="107"/>
              <w:rPr>
                <w:sz w:val="21"/>
              </w:rPr>
            </w:pPr>
            <w:r>
              <w:rPr>
                <w:sz w:val="21"/>
              </w:rPr>
              <w:t>Engin</w:t>
            </w:r>
          </w:p>
        </w:tc>
        <w:tc>
          <w:tcPr>
            <w:tcW w:w="687" w:type="dxa"/>
            <w:tcBorders>
              <w:top w:val="nil"/>
              <w:bottom w:val="nil"/>
            </w:tcBorders>
          </w:tcPr>
          <w:p>
            <w:pPr>
              <w:pStyle w:val="TableParagraph"/>
              <w:rPr>
                <w:rFonts w:ascii="Times New Roman"/>
                <w:sz w:val="18"/>
              </w:rPr>
            </w:pPr>
          </w:p>
        </w:tc>
        <w:tc>
          <w:tcPr>
            <w:tcW w:w="690" w:type="dxa"/>
            <w:tcBorders>
              <w:top w:val="nil"/>
              <w:bottom w:val="nil"/>
            </w:tcBorders>
          </w:tcPr>
          <w:p>
            <w:pPr>
              <w:pStyle w:val="TableParagraph"/>
              <w:rPr>
                <w:rFonts w:ascii="Times New Roman"/>
                <w:sz w:val="18"/>
              </w:rPr>
            </w:pPr>
          </w:p>
        </w:tc>
        <w:tc>
          <w:tcPr>
            <w:tcW w:w="603" w:type="dxa"/>
            <w:tcBorders>
              <w:top w:val="nil"/>
              <w:bottom w:val="nil"/>
            </w:tcBorders>
          </w:tcPr>
          <w:p>
            <w:pPr>
              <w:pStyle w:val="TableParagraph"/>
              <w:rPr>
                <w:rFonts w:ascii="Times New Roman"/>
                <w:sz w:val="18"/>
              </w:rPr>
            </w:pPr>
          </w:p>
        </w:tc>
        <w:tc>
          <w:tcPr>
            <w:tcW w:w="718" w:type="dxa"/>
            <w:tcBorders>
              <w:top w:val="nil"/>
              <w:bottom w:val="nil"/>
            </w:tcBorders>
          </w:tcPr>
          <w:p>
            <w:pPr>
              <w:pStyle w:val="TableParagraph"/>
              <w:rPr>
                <w:rFonts w:ascii="Times New Roman"/>
                <w:sz w:val="18"/>
              </w:rPr>
            </w:pPr>
          </w:p>
        </w:tc>
        <w:tc>
          <w:tcPr>
            <w:tcW w:w="665" w:type="dxa"/>
            <w:tcBorders>
              <w:top w:val="nil"/>
              <w:bottom w:val="nil"/>
            </w:tcBorders>
          </w:tcPr>
          <w:p>
            <w:pPr>
              <w:pStyle w:val="TableParagraph"/>
              <w:rPr>
                <w:rFonts w:ascii="Times New Roman"/>
                <w:sz w:val="18"/>
              </w:rPr>
            </w:pPr>
          </w:p>
        </w:tc>
        <w:tc>
          <w:tcPr>
            <w:tcW w:w="637" w:type="dxa"/>
            <w:tcBorders>
              <w:top w:val="nil"/>
              <w:bottom w:val="nil"/>
            </w:tcBorders>
          </w:tcPr>
          <w:p>
            <w:pPr>
              <w:pStyle w:val="TableParagraph"/>
              <w:rPr>
                <w:rFonts w:ascii="Times New Roman"/>
                <w:sz w:val="18"/>
              </w:rPr>
            </w:pPr>
          </w:p>
        </w:tc>
        <w:tc>
          <w:tcPr>
            <w:tcW w:w="644" w:type="dxa"/>
            <w:vMerge/>
            <w:tcBorders>
              <w:top w:val="nil"/>
            </w:tcBorders>
          </w:tcPr>
          <w:p>
            <w:pPr>
              <w:rPr>
                <w:sz w:val="2"/>
                <w:szCs w:val="2"/>
              </w:rPr>
            </w:pPr>
          </w:p>
        </w:tc>
        <w:tc>
          <w:tcPr>
            <w:tcW w:w="714" w:type="dxa"/>
            <w:tcBorders>
              <w:top w:val="nil"/>
              <w:bottom w:val="nil"/>
            </w:tcBorders>
          </w:tcPr>
          <w:p>
            <w:pPr>
              <w:pStyle w:val="TableParagraph"/>
              <w:rPr>
                <w:rFonts w:ascii="Times New Roman"/>
                <w:sz w:val="18"/>
              </w:rPr>
            </w:pPr>
          </w:p>
        </w:tc>
        <w:tc>
          <w:tcPr>
            <w:tcW w:w="704" w:type="dxa"/>
            <w:tcBorders>
              <w:top w:val="nil"/>
              <w:bottom w:val="nil"/>
            </w:tcBorders>
          </w:tcPr>
          <w:p>
            <w:pPr>
              <w:pStyle w:val="TableParagraph"/>
              <w:rPr>
                <w:rFonts w:ascii="Times New Roman"/>
                <w:sz w:val="18"/>
              </w:rPr>
            </w:pPr>
          </w:p>
        </w:tc>
        <w:tc>
          <w:tcPr>
            <w:tcW w:w="741" w:type="dxa"/>
            <w:tcBorders>
              <w:top w:val="nil"/>
              <w:bottom w:val="nil"/>
            </w:tcBorders>
          </w:tcPr>
          <w:p>
            <w:pPr>
              <w:pStyle w:val="TableParagraph"/>
              <w:rPr>
                <w:rFonts w:ascii="Times New Roman"/>
                <w:sz w:val="18"/>
              </w:rPr>
            </w:pPr>
          </w:p>
        </w:tc>
        <w:tc>
          <w:tcPr>
            <w:tcW w:w="702" w:type="dxa"/>
            <w:tcBorders>
              <w:top w:val="nil"/>
              <w:bottom w:val="nil"/>
            </w:tcBorders>
          </w:tcPr>
          <w:p>
            <w:pPr>
              <w:pStyle w:val="TableParagraph"/>
              <w:rPr>
                <w:rFonts w:ascii="Times New Roman"/>
                <w:sz w:val="18"/>
              </w:rPr>
            </w:pPr>
          </w:p>
        </w:tc>
        <w:tc>
          <w:tcPr>
            <w:tcW w:w="575" w:type="dxa"/>
            <w:tcBorders>
              <w:top w:val="nil"/>
              <w:bottom w:val="nil"/>
            </w:tcBorders>
          </w:tcPr>
          <w:p>
            <w:pPr>
              <w:pStyle w:val="TableParagraph"/>
              <w:rPr>
                <w:rFonts w:ascii="Times New Roman"/>
                <w:sz w:val="18"/>
              </w:rPr>
            </w:pPr>
          </w:p>
        </w:tc>
      </w:tr>
      <w:tr>
        <w:trPr>
          <w:trHeight w:val="262" w:hRule="atLeast"/>
        </w:trPr>
        <w:tc>
          <w:tcPr>
            <w:tcW w:w="754" w:type="dxa"/>
            <w:tcBorders>
              <w:top w:val="nil"/>
              <w:bottom w:val="nil"/>
            </w:tcBorders>
          </w:tcPr>
          <w:p>
            <w:pPr>
              <w:pStyle w:val="TableParagraph"/>
              <w:spacing w:line="243" w:lineRule="exact"/>
              <w:ind w:left="107"/>
              <w:rPr>
                <w:sz w:val="21"/>
              </w:rPr>
            </w:pPr>
            <w:r>
              <w:rPr>
                <w:sz w:val="21"/>
              </w:rPr>
              <w:t>eerin</w:t>
            </w:r>
          </w:p>
        </w:tc>
        <w:tc>
          <w:tcPr>
            <w:tcW w:w="687" w:type="dxa"/>
            <w:tcBorders>
              <w:top w:val="nil"/>
              <w:bottom w:val="nil"/>
            </w:tcBorders>
          </w:tcPr>
          <w:p>
            <w:pPr>
              <w:pStyle w:val="TableParagraph"/>
              <w:rPr>
                <w:rFonts w:ascii="Times New Roman"/>
                <w:sz w:val="18"/>
              </w:rPr>
            </w:pPr>
          </w:p>
        </w:tc>
        <w:tc>
          <w:tcPr>
            <w:tcW w:w="690" w:type="dxa"/>
            <w:tcBorders>
              <w:top w:val="nil"/>
              <w:bottom w:val="nil"/>
            </w:tcBorders>
          </w:tcPr>
          <w:p>
            <w:pPr>
              <w:pStyle w:val="TableParagraph"/>
              <w:rPr>
                <w:rFonts w:ascii="Times New Roman"/>
                <w:sz w:val="18"/>
              </w:rPr>
            </w:pPr>
          </w:p>
        </w:tc>
        <w:tc>
          <w:tcPr>
            <w:tcW w:w="603" w:type="dxa"/>
            <w:tcBorders>
              <w:top w:val="nil"/>
              <w:bottom w:val="nil"/>
            </w:tcBorders>
          </w:tcPr>
          <w:p>
            <w:pPr>
              <w:pStyle w:val="TableParagraph"/>
              <w:rPr>
                <w:rFonts w:ascii="Times New Roman"/>
                <w:sz w:val="18"/>
              </w:rPr>
            </w:pPr>
          </w:p>
        </w:tc>
        <w:tc>
          <w:tcPr>
            <w:tcW w:w="718" w:type="dxa"/>
            <w:tcBorders>
              <w:top w:val="nil"/>
              <w:bottom w:val="nil"/>
            </w:tcBorders>
          </w:tcPr>
          <w:p>
            <w:pPr>
              <w:pStyle w:val="TableParagraph"/>
              <w:rPr>
                <w:rFonts w:ascii="Times New Roman"/>
                <w:sz w:val="18"/>
              </w:rPr>
            </w:pPr>
          </w:p>
        </w:tc>
        <w:tc>
          <w:tcPr>
            <w:tcW w:w="665" w:type="dxa"/>
            <w:tcBorders>
              <w:top w:val="nil"/>
              <w:bottom w:val="nil"/>
            </w:tcBorders>
          </w:tcPr>
          <w:p>
            <w:pPr>
              <w:pStyle w:val="TableParagraph"/>
              <w:rPr>
                <w:rFonts w:ascii="Times New Roman"/>
                <w:sz w:val="18"/>
              </w:rPr>
            </w:pPr>
          </w:p>
        </w:tc>
        <w:tc>
          <w:tcPr>
            <w:tcW w:w="637" w:type="dxa"/>
            <w:tcBorders>
              <w:top w:val="nil"/>
              <w:bottom w:val="nil"/>
            </w:tcBorders>
          </w:tcPr>
          <w:p>
            <w:pPr>
              <w:pStyle w:val="TableParagraph"/>
              <w:rPr>
                <w:rFonts w:ascii="Times New Roman"/>
                <w:sz w:val="18"/>
              </w:rPr>
            </w:pPr>
          </w:p>
        </w:tc>
        <w:tc>
          <w:tcPr>
            <w:tcW w:w="644" w:type="dxa"/>
            <w:vMerge/>
            <w:tcBorders>
              <w:top w:val="nil"/>
            </w:tcBorders>
          </w:tcPr>
          <w:p>
            <w:pPr>
              <w:rPr>
                <w:sz w:val="2"/>
                <w:szCs w:val="2"/>
              </w:rPr>
            </w:pPr>
          </w:p>
        </w:tc>
        <w:tc>
          <w:tcPr>
            <w:tcW w:w="714" w:type="dxa"/>
            <w:tcBorders>
              <w:top w:val="nil"/>
              <w:bottom w:val="nil"/>
            </w:tcBorders>
          </w:tcPr>
          <w:p>
            <w:pPr>
              <w:pStyle w:val="TableParagraph"/>
              <w:rPr>
                <w:rFonts w:ascii="Times New Roman"/>
                <w:sz w:val="18"/>
              </w:rPr>
            </w:pPr>
          </w:p>
        </w:tc>
        <w:tc>
          <w:tcPr>
            <w:tcW w:w="704" w:type="dxa"/>
            <w:tcBorders>
              <w:top w:val="nil"/>
              <w:bottom w:val="nil"/>
            </w:tcBorders>
          </w:tcPr>
          <w:p>
            <w:pPr>
              <w:pStyle w:val="TableParagraph"/>
              <w:rPr>
                <w:rFonts w:ascii="Times New Roman"/>
                <w:sz w:val="18"/>
              </w:rPr>
            </w:pPr>
          </w:p>
        </w:tc>
        <w:tc>
          <w:tcPr>
            <w:tcW w:w="741" w:type="dxa"/>
            <w:tcBorders>
              <w:top w:val="nil"/>
              <w:bottom w:val="nil"/>
            </w:tcBorders>
          </w:tcPr>
          <w:p>
            <w:pPr>
              <w:pStyle w:val="TableParagraph"/>
              <w:rPr>
                <w:rFonts w:ascii="Times New Roman"/>
                <w:sz w:val="18"/>
              </w:rPr>
            </w:pPr>
          </w:p>
        </w:tc>
        <w:tc>
          <w:tcPr>
            <w:tcW w:w="702" w:type="dxa"/>
            <w:tcBorders>
              <w:top w:val="nil"/>
              <w:bottom w:val="nil"/>
            </w:tcBorders>
          </w:tcPr>
          <w:p>
            <w:pPr>
              <w:pStyle w:val="TableParagraph"/>
              <w:rPr>
                <w:rFonts w:ascii="Times New Roman"/>
                <w:sz w:val="18"/>
              </w:rPr>
            </w:pPr>
          </w:p>
        </w:tc>
        <w:tc>
          <w:tcPr>
            <w:tcW w:w="575" w:type="dxa"/>
            <w:tcBorders>
              <w:top w:val="nil"/>
              <w:bottom w:val="nil"/>
            </w:tcBorders>
          </w:tcPr>
          <w:p>
            <w:pPr>
              <w:pStyle w:val="TableParagraph"/>
              <w:rPr>
                <w:rFonts w:ascii="Times New Roman"/>
                <w:sz w:val="18"/>
              </w:rPr>
            </w:pPr>
          </w:p>
        </w:tc>
      </w:tr>
      <w:tr>
        <w:trPr>
          <w:trHeight w:val="262" w:hRule="atLeast"/>
        </w:trPr>
        <w:tc>
          <w:tcPr>
            <w:tcW w:w="754" w:type="dxa"/>
            <w:tcBorders>
              <w:top w:val="nil"/>
              <w:bottom w:val="nil"/>
            </w:tcBorders>
          </w:tcPr>
          <w:p>
            <w:pPr>
              <w:pStyle w:val="TableParagraph"/>
              <w:spacing w:line="243" w:lineRule="exact"/>
              <w:ind w:left="107"/>
              <w:rPr>
                <w:sz w:val="21"/>
              </w:rPr>
            </w:pPr>
            <w:r>
              <w:rPr>
                <w:sz w:val="21"/>
              </w:rPr>
              <w:t>g </w:t>
            </w:r>
          </w:p>
        </w:tc>
        <w:tc>
          <w:tcPr>
            <w:tcW w:w="687" w:type="dxa"/>
            <w:tcBorders>
              <w:top w:val="nil"/>
              <w:bottom w:val="nil"/>
            </w:tcBorders>
          </w:tcPr>
          <w:p>
            <w:pPr>
              <w:pStyle w:val="TableParagraph"/>
              <w:rPr>
                <w:rFonts w:ascii="Times New Roman"/>
                <w:sz w:val="18"/>
              </w:rPr>
            </w:pPr>
          </w:p>
        </w:tc>
        <w:tc>
          <w:tcPr>
            <w:tcW w:w="690" w:type="dxa"/>
            <w:tcBorders>
              <w:top w:val="nil"/>
              <w:bottom w:val="nil"/>
            </w:tcBorders>
          </w:tcPr>
          <w:p>
            <w:pPr>
              <w:pStyle w:val="TableParagraph"/>
              <w:rPr>
                <w:rFonts w:ascii="Times New Roman"/>
                <w:sz w:val="18"/>
              </w:rPr>
            </w:pPr>
          </w:p>
        </w:tc>
        <w:tc>
          <w:tcPr>
            <w:tcW w:w="603" w:type="dxa"/>
            <w:tcBorders>
              <w:top w:val="nil"/>
              <w:bottom w:val="nil"/>
            </w:tcBorders>
          </w:tcPr>
          <w:p>
            <w:pPr>
              <w:pStyle w:val="TableParagraph"/>
              <w:rPr>
                <w:rFonts w:ascii="Times New Roman"/>
                <w:sz w:val="18"/>
              </w:rPr>
            </w:pPr>
          </w:p>
        </w:tc>
        <w:tc>
          <w:tcPr>
            <w:tcW w:w="718" w:type="dxa"/>
            <w:tcBorders>
              <w:top w:val="nil"/>
              <w:bottom w:val="nil"/>
            </w:tcBorders>
          </w:tcPr>
          <w:p>
            <w:pPr>
              <w:pStyle w:val="TableParagraph"/>
              <w:rPr>
                <w:rFonts w:ascii="Times New Roman"/>
                <w:sz w:val="18"/>
              </w:rPr>
            </w:pPr>
          </w:p>
        </w:tc>
        <w:tc>
          <w:tcPr>
            <w:tcW w:w="665" w:type="dxa"/>
            <w:tcBorders>
              <w:top w:val="nil"/>
              <w:bottom w:val="nil"/>
            </w:tcBorders>
          </w:tcPr>
          <w:p>
            <w:pPr>
              <w:pStyle w:val="TableParagraph"/>
              <w:rPr>
                <w:rFonts w:ascii="Times New Roman"/>
                <w:sz w:val="18"/>
              </w:rPr>
            </w:pPr>
          </w:p>
        </w:tc>
        <w:tc>
          <w:tcPr>
            <w:tcW w:w="637" w:type="dxa"/>
            <w:tcBorders>
              <w:top w:val="nil"/>
              <w:bottom w:val="nil"/>
            </w:tcBorders>
          </w:tcPr>
          <w:p>
            <w:pPr>
              <w:pStyle w:val="TableParagraph"/>
              <w:rPr>
                <w:rFonts w:ascii="Times New Roman"/>
                <w:sz w:val="18"/>
              </w:rPr>
            </w:pPr>
          </w:p>
        </w:tc>
        <w:tc>
          <w:tcPr>
            <w:tcW w:w="644" w:type="dxa"/>
            <w:vMerge/>
            <w:tcBorders>
              <w:top w:val="nil"/>
            </w:tcBorders>
          </w:tcPr>
          <w:p>
            <w:pPr>
              <w:rPr>
                <w:sz w:val="2"/>
                <w:szCs w:val="2"/>
              </w:rPr>
            </w:pPr>
          </w:p>
        </w:tc>
        <w:tc>
          <w:tcPr>
            <w:tcW w:w="714" w:type="dxa"/>
            <w:tcBorders>
              <w:top w:val="nil"/>
              <w:bottom w:val="nil"/>
            </w:tcBorders>
          </w:tcPr>
          <w:p>
            <w:pPr>
              <w:pStyle w:val="TableParagraph"/>
              <w:rPr>
                <w:rFonts w:ascii="Times New Roman"/>
                <w:sz w:val="18"/>
              </w:rPr>
            </w:pPr>
          </w:p>
        </w:tc>
        <w:tc>
          <w:tcPr>
            <w:tcW w:w="704" w:type="dxa"/>
            <w:tcBorders>
              <w:top w:val="nil"/>
              <w:bottom w:val="nil"/>
            </w:tcBorders>
          </w:tcPr>
          <w:p>
            <w:pPr>
              <w:pStyle w:val="TableParagraph"/>
              <w:rPr>
                <w:rFonts w:ascii="Times New Roman"/>
                <w:sz w:val="18"/>
              </w:rPr>
            </w:pPr>
          </w:p>
        </w:tc>
        <w:tc>
          <w:tcPr>
            <w:tcW w:w="741" w:type="dxa"/>
            <w:tcBorders>
              <w:top w:val="nil"/>
              <w:bottom w:val="nil"/>
            </w:tcBorders>
          </w:tcPr>
          <w:p>
            <w:pPr>
              <w:pStyle w:val="TableParagraph"/>
              <w:rPr>
                <w:rFonts w:ascii="Times New Roman"/>
                <w:sz w:val="18"/>
              </w:rPr>
            </w:pPr>
          </w:p>
        </w:tc>
        <w:tc>
          <w:tcPr>
            <w:tcW w:w="702" w:type="dxa"/>
            <w:tcBorders>
              <w:top w:val="nil"/>
              <w:bottom w:val="nil"/>
            </w:tcBorders>
          </w:tcPr>
          <w:p>
            <w:pPr>
              <w:pStyle w:val="TableParagraph"/>
              <w:rPr>
                <w:rFonts w:ascii="Times New Roman"/>
                <w:sz w:val="18"/>
              </w:rPr>
            </w:pPr>
          </w:p>
        </w:tc>
        <w:tc>
          <w:tcPr>
            <w:tcW w:w="575" w:type="dxa"/>
            <w:tcBorders>
              <w:top w:val="nil"/>
              <w:bottom w:val="nil"/>
            </w:tcBorders>
          </w:tcPr>
          <w:p>
            <w:pPr>
              <w:pStyle w:val="TableParagraph"/>
              <w:rPr>
                <w:rFonts w:ascii="Times New Roman"/>
                <w:sz w:val="18"/>
              </w:rPr>
            </w:pPr>
          </w:p>
        </w:tc>
      </w:tr>
      <w:tr>
        <w:trPr>
          <w:trHeight w:val="262" w:hRule="atLeast"/>
        </w:trPr>
        <w:tc>
          <w:tcPr>
            <w:tcW w:w="754" w:type="dxa"/>
            <w:tcBorders>
              <w:top w:val="nil"/>
              <w:bottom w:val="nil"/>
            </w:tcBorders>
          </w:tcPr>
          <w:p>
            <w:pPr>
              <w:pStyle w:val="TableParagraph"/>
              <w:spacing w:line="242" w:lineRule="exact"/>
              <w:ind w:left="107"/>
              <w:rPr>
                <w:sz w:val="21"/>
              </w:rPr>
            </w:pPr>
            <w:r>
              <w:rPr>
                <w:sz w:val="21"/>
              </w:rPr>
              <w:t>Corpo</w:t>
            </w:r>
          </w:p>
        </w:tc>
        <w:tc>
          <w:tcPr>
            <w:tcW w:w="687" w:type="dxa"/>
            <w:tcBorders>
              <w:top w:val="nil"/>
              <w:bottom w:val="nil"/>
            </w:tcBorders>
          </w:tcPr>
          <w:p>
            <w:pPr>
              <w:pStyle w:val="TableParagraph"/>
              <w:rPr>
                <w:rFonts w:ascii="Times New Roman"/>
                <w:sz w:val="18"/>
              </w:rPr>
            </w:pPr>
          </w:p>
        </w:tc>
        <w:tc>
          <w:tcPr>
            <w:tcW w:w="690" w:type="dxa"/>
            <w:tcBorders>
              <w:top w:val="nil"/>
              <w:bottom w:val="nil"/>
            </w:tcBorders>
          </w:tcPr>
          <w:p>
            <w:pPr>
              <w:pStyle w:val="TableParagraph"/>
              <w:rPr>
                <w:rFonts w:ascii="Times New Roman"/>
                <w:sz w:val="18"/>
              </w:rPr>
            </w:pPr>
          </w:p>
        </w:tc>
        <w:tc>
          <w:tcPr>
            <w:tcW w:w="603" w:type="dxa"/>
            <w:tcBorders>
              <w:top w:val="nil"/>
              <w:bottom w:val="nil"/>
            </w:tcBorders>
          </w:tcPr>
          <w:p>
            <w:pPr>
              <w:pStyle w:val="TableParagraph"/>
              <w:rPr>
                <w:rFonts w:ascii="Times New Roman"/>
                <w:sz w:val="18"/>
              </w:rPr>
            </w:pPr>
          </w:p>
        </w:tc>
        <w:tc>
          <w:tcPr>
            <w:tcW w:w="718" w:type="dxa"/>
            <w:tcBorders>
              <w:top w:val="nil"/>
              <w:bottom w:val="nil"/>
            </w:tcBorders>
          </w:tcPr>
          <w:p>
            <w:pPr>
              <w:pStyle w:val="TableParagraph"/>
              <w:rPr>
                <w:rFonts w:ascii="Times New Roman"/>
                <w:sz w:val="18"/>
              </w:rPr>
            </w:pPr>
          </w:p>
        </w:tc>
        <w:tc>
          <w:tcPr>
            <w:tcW w:w="665" w:type="dxa"/>
            <w:tcBorders>
              <w:top w:val="nil"/>
              <w:bottom w:val="nil"/>
            </w:tcBorders>
          </w:tcPr>
          <w:p>
            <w:pPr>
              <w:pStyle w:val="TableParagraph"/>
              <w:rPr>
                <w:rFonts w:ascii="Times New Roman"/>
                <w:sz w:val="18"/>
              </w:rPr>
            </w:pPr>
          </w:p>
        </w:tc>
        <w:tc>
          <w:tcPr>
            <w:tcW w:w="637" w:type="dxa"/>
            <w:tcBorders>
              <w:top w:val="nil"/>
              <w:bottom w:val="nil"/>
            </w:tcBorders>
          </w:tcPr>
          <w:p>
            <w:pPr>
              <w:pStyle w:val="TableParagraph"/>
              <w:rPr>
                <w:rFonts w:ascii="Times New Roman"/>
                <w:sz w:val="18"/>
              </w:rPr>
            </w:pPr>
          </w:p>
        </w:tc>
        <w:tc>
          <w:tcPr>
            <w:tcW w:w="644" w:type="dxa"/>
            <w:vMerge/>
            <w:tcBorders>
              <w:top w:val="nil"/>
            </w:tcBorders>
          </w:tcPr>
          <w:p>
            <w:pPr>
              <w:rPr>
                <w:sz w:val="2"/>
                <w:szCs w:val="2"/>
              </w:rPr>
            </w:pPr>
          </w:p>
        </w:tc>
        <w:tc>
          <w:tcPr>
            <w:tcW w:w="714" w:type="dxa"/>
            <w:tcBorders>
              <w:top w:val="nil"/>
              <w:bottom w:val="nil"/>
            </w:tcBorders>
          </w:tcPr>
          <w:p>
            <w:pPr>
              <w:pStyle w:val="TableParagraph"/>
              <w:rPr>
                <w:rFonts w:ascii="Times New Roman"/>
                <w:sz w:val="18"/>
              </w:rPr>
            </w:pPr>
          </w:p>
        </w:tc>
        <w:tc>
          <w:tcPr>
            <w:tcW w:w="704" w:type="dxa"/>
            <w:tcBorders>
              <w:top w:val="nil"/>
              <w:bottom w:val="nil"/>
            </w:tcBorders>
          </w:tcPr>
          <w:p>
            <w:pPr>
              <w:pStyle w:val="TableParagraph"/>
              <w:rPr>
                <w:rFonts w:ascii="Times New Roman"/>
                <w:sz w:val="18"/>
              </w:rPr>
            </w:pPr>
          </w:p>
        </w:tc>
        <w:tc>
          <w:tcPr>
            <w:tcW w:w="741" w:type="dxa"/>
            <w:tcBorders>
              <w:top w:val="nil"/>
              <w:bottom w:val="nil"/>
            </w:tcBorders>
          </w:tcPr>
          <w:p>
            <w:pPr>
              <w:pStyle w:val="TableParagraph"/>
              <w:rPr>
                <w:rFonts w:ascii="Times New Roman"/>
                <w:sz w:val="18"/>
              </w:rPr>
            </w:pPr>
          </w:p>
        </w:tc>
        <w:tc>
          <w:tcPr>
            <w:tcW w:w="702" w:type="dxa"/>
            <w:tcBorders>
              <w:top w:val="nil"/>
              <w:bottom w:val="nil"/>
            </w:tcBorders>
          </w:tcPr>
          <w:p>
            <w:pPr>
              <w:pStyle w:val="TableParagraph"/>
              <w:rPr>
                <w:rFonts w:ascii="Times New Roman"/>
                <w:sz w:val="18"/>
              </w:rPr>
            </w:pPr>
          </w:p>
        </w:tc>
        <w:tc>
          <w:tcPr>
            <w:tcW w:w="575" w:type="dxa"/>
            <w:tcBorders>
              <w:top w:val="nil"/>
              <w:bottom w:val="nil"/>
            </w:tcBorders>
          </w:tcPr>
          <w:p>
            <w:pPr>
              <w:pStyle w:val="TableParagraph"/>
              <w:rPr>
                <w:rFonts w:ascii="Times New Roman"/>
                <w:sz w:val="18"/>
              </w:rPr>
            </w:pPr>
          </w:p>
        </w:tc>
      </w:tr>
      <w:tr>
        <w:trPr>
          <w:trHeight w:val="262" w:hRule="atLeast"/>
        </w:trPr>
        <w:tc>
          <w:tcPr>
            <w:tcW w:w="754" w:type="dxa"/>
            <w:tcBorders>
              <w:top w:val="nil"/>
              <w:bottom w:val="nil"/>
            </w:tcBorders>
          </w:tcPr>
          <w:p>
            <w:pPr>
              <w:pStyle w:val="TableParagraph"/>
              <w:spacing w:line="242" w:lineRule="exact"/>
              <w:ind w:left="107"/>
              <w:rPr>
                <w:sz w:val="21"/>
              </w:rPr>
            </w:pPr>
            <w:r>
              <w:rPr>
                <w:sz w:val="21"/>
              </w:rPr>
              <w:t>ratio</w:t>
            </w:r>
          </w:p>
        </w:tc>
        <w:tc>
          <w:tcPr>
            <w:tcW w:w="687" w:type="dxa"/>
            <w:tcBorders>
              <w:top w:val="nil"/>
              <w:bottom w:val="nil"/>
            </w:tcBorders>
          </w:tcPr>
          <w:p>
            <w:pPr>
              <w:pStyle w:val="TableParagraph"/>
              <w:rPr>
                <w:rFonts w:ascii="Times New Roman"/>
                <w:sz w:val="18"/>
              </w:rPr>
            </w:pPr>
          </w:p>
        </w:tc>
        <w:tc>
          <w:tcPr>
            <w:tcW w:w="690" w:type="dxa"/>
            <w:tcBorders>
              <w:top w:val="nil"/>
              <w:bottom w:val="nil"/>
            </w:tcBorders>
          </w:tcPr>
          <w:p>
            <w:pPr>
              <w:pStyle w:val="TableParagraph"/>
              <w:rPr>
                <w:rFonts w:ascii="Times New Roman"/>
                <w:sz w:val="18"/>
              </w:rPr>
            </w:pPr>
          </w:p>
        </w:tc>
        <w:tc>
          <w:tcPr>
            <w:tcW w:w="603" w:type="dxa"/>
            <w:tcBorders>
              <w:top w:val="nil"/>
              <w:bottom w:val="nil"/>
            </w:tcBorders>
          </w:tcPr>
          <w:p>
            <w:pPr>
              <w:pStyle w:val="TableParagraph"/>
              <w:rPr>
                <w:rFonts w:ascii="Times New Roman"/>
                <w:sz w:val="18"/>
              </w:rPr>
            </w:pPr>
          </w:p>
        </w:tc>
        <w:tc>
          <w:tcPr>
            <w:tcW w:w="718" w:type="dxa"/>
            <w:tcBorders>
              <w:top w:val="nil"/>
              <w:bottom w:val="nil"/>
            </w:tcBorders>
          </w:tcPr>
          <w:p>
            <w:pPr>
              <w:pStyle w:val="TableParagraph"/>
              <w:rPr>
                <w:rFonts w:ascii="Times New Roman"/>
                <w:sz w:val="18"/>
              </w:rPr>
            </w:pPr>
          </w:p>
        </w:tc>
        <w:tc>
          <w:tcPr>
            <w:tcW w:w="665" w:type="dxa"/>
            <w:tcBorders>
              <w:top w:val="nil"/>
              <w:bottom w:val="nil"/>
            </w:tcBorders>
          </w:tcPr>
          <w:p>
            <w:pPr>
              <w:pStyle w:val="TableParagraph"/>
              <w:rPr>
                <w:rFonts w:ascii="Times New Roman"/>
                <w:sz w:val="18"/>
              </w:rPr>
            </w:pPr>
          </w:p>
        </w:tc>
        <w:tc>
          <w:tcPr>
            <w:tcW w:w="637" w:type="dxa"/>
            <w:tcBorders>
              <w:top w:val="nil"/>
              <w:bottom w:val="nil"/>
            </w:tcBorders>
          </w:tcPr>
          <w:p>
            <w:pPr>
              <w:pStyle w:val="TableParagraph"/>
              <w:rPr>
                <w:rFonts w:ascii="Times New Roman"/>
                <w:sz w:val="18"/>
              </w:rPr>
            </w:pPr>
          </w:p>
        </w:tc>
        <w:tc>
          <w:tcPr>
            <w:tcW w:w="644" w:type="dxa"/>
            <w:vMerge/>
            <w:tcBorders>
              <w:top w:val="nil"/>
            </w:tcBorders>
          </w:tcPr>
          <w:p>
            <w:pPr>
              <w:rPr>
                <w:sz w:val="2"/>
                <w:szCs w:val="2"/>
              </w:rPr>
            </w:pPr>
          </w:p>
        </w:tc>
        <w:tc>
          <w:tcPr>
            <w:tcW w:w="714" w:type="dxa"/>
            <w:tcBorders>
              <w:top w:val="nil"/>
              <w:bottom w:val="nil"/>
            </w:tcBorders>
          </w:tcPr>
          <w:p>
            <w:pPr>
              <w:pStyle w:val="TableParagraph"/>
              <w:rPr>
                <w:rFonts w:ascii="Times New Roman"/>
                <w:sz w:val="18"/>
              </w:rPr>
            </w:pPr>
          </w:p>
        </w:tc>
        <w:tc>
          <w:tcPr>
            <w:tcW w:w="704" w:type="dxa"/>
            <w:tcBorders>
              <w:top w:val="nil"/>
              <w:bottom w:val="nil"/>
            </w:tcBorders>
          </w:tcPr>
          <w:p>
            <w:pPr>
              <w:pStyle w:val="TableParagraph"/>
              <w:rPr>
                <w:rFonts w:ascii="Times New Roman"/>
                <w:sz w:val="18"/>
              </w:rPr>
            </w:pPr>
          </w:p>
        </w:tc>
        <w:tc>
          <w:tcPr>
            <w:tcW w:w="741" w:type="dxa"/>
            <w:tcBorders>
              <w:top w:val="nil"/>
              <w:bottom w:val="nil"/>
            </w:tcBorders>
          </w:tcPr>
          <w:p>
            <w:pPr>
              <w:pStyle w:val="TableParagraph"/>
              <w:rPr>
                <w:rFonts w:ascii="Times New Roman"/>
                <w:sz w:val="18"/>
              </w:rPr>
            </w:pPr>
          </w:p>
        </w:tc>
        <w:tc>
          <w:tcPr>
            <w:tcW w:w="702" w:type="dxa"/>
            <w:tcBorders>
              <w:top w:val="nil"/>
              <w:bottom w:val="nil"/>
            </w:tcBorders>
          </w:tcPr>
          <w:p>
            <w:pPr>
              <w:pStyle w:val="TableParagraph"/>
              <w:rPr>
                <w:rFonts w:ascii="Times New Roman"/>
                <w:sz w:val="18"/>
              </w:rPr>
            </w:pPr>
          </w:p>
        </w:tc>
        <w:tc>
          <w:tcPr>
            <w:tcW w:w="575" w:type="dxa"/>
            <w:tcBorders>
              <w:top w:val="nil"/>
              <w:bottom w:val="nil"/>
            </w:tcBorders>
          </w:tcPr>
          <w:p>
            <w:pPr>
              <w:pStyle w:val="TableParagraph"/>
              <w:rPr>
                <w:rFonts w:ascii="Times New Roman"/>
                <w:sz w:val="18"/>
              </w:rPr>
            </w:pPr>
          </w:p>
        </w:tc>
      </w:tr>
      <w:tr>
        <w:trPr>
          <w:trHeight w:val="268" w:hRule="atLeast"/>
        </w:trPr>
        <w:tc>
          <w:tcPr>
            <w:tcW w:w="754" w:type="dxa"/>
            <w:tcBorders>
              <w:top w:val="nil"/>
            </w:tcBorders>
          </w:tcPr>
          <w:p>
            <w:pPr>
              <w:pStyle w:val="TableParagraph"/>
              <w:spacing w:line="249" w:lineRule="exact"/>
              <w:ind w:left="107"/>
              <w:rPr>
                <w:sz w:val="21"/>
              </w:rPr>
            </w:pPr>
            <w:r>
              <w:rPr>
                <w:sz w:val="21"/>
              </w:rPr>
              <w:t>n </w:t>
            </w:r>
          </w:p>
        </w:tc>
        <w:tc>
          <w:tcPr>
            <w:tcW w:w="687" w:type="dxa"/>
            <w:tcBorders>
              <w:top w:val="nil"/>
            </w:tcBorders>
          </w:tcPr>
          <w:p>
            <w:pPr>
              <w:pStyle w:val="TableParagraph"/>
              <w:rPr>
                <w:rFonts w:ascii="Times New Roman"/>
                <w:sz w:val="18"/>
              </w:rPr>
            </w:pPr>
          </w:p>
        </w:tc>
        <w:tc>
          <w:tcPr>
            <w:tcW w:w="690" w:type="dxa"/>
            <w:tcBorders>
              <w:top w:val="nil"/>
            </w:tcBorders>
          </w:tcPr>
          <w:p>
            <w:pPr>
              <w:pStyle w:val="TableParagraph"/>
              <w:rPr>
                <w:rFonts w:ascii="Times New Roman"/>
                <w:sz w:val="18"/>
              </w:rPr>
            </w:pPr>
          </w:p>
        </w:tc>
        <w:tc>
          <w:tcPr>
            <w:tcW w:w="603" w:type="dxa"/>
            <w:tcBorders>
              <w:top w:val="nil"/>
            </w:tcBorders>
          </w:tcPr>
          <w:p>
            <w:pPr>
              <w:pStyle w:val="TableParagraph"/>
              <w:rPr>
                <w:rFonts w:ascii="Times New Roman"/>
                <w:sz w:val="18"/>
              </w:rPr>
            </w:pPr>
          </w:p>
        </w:tc>
        <w:tc>
          <w:tcPr>
            <w:tcW w:w="718" w:type="dxa"/>
            <w:tcBorders>
              <w:top w:val="nil"/>
            </w:tcBorders>
          </w:tcPr>
          <w:p>
            <w:pPr>
              <w:pStyle w:val="TableParagraph"/>
              <w:rPr>
                <w:rFonts w:ascii="Times New Roman"/>
                <w:sz w:val="18"/>
              </w:rPr>
            </w:pPr>
          </w:p>
        </w:tc>
        <w:tc>
          <w:tcPr>
            <w:tcW w:w="665" w:type="dxa"/>
            <w:tcBorders>
              <w:top w:val="nil"/>
            </w:tcBorders>
          </w:tcPr>
          <w:p>
            <w:pPr>
              <w:pStyle w:val="TableParagraph"/>
              <w:rPr>
                <w:rFonts w:ascii="Times New Roman"/>
                <w:sz w:val="18"/>
              </w:rPr>
            </w:pPr>
          </w:p>
        </w:tc>
        <w:tc>
          <w:tcPr>
            <w:tcW w:w="637" w:type="dxa"/>
            <w:tcBorders>
              <w:top w:val="nil"/>
            </w:tcBorders>
          </w:tcPr>
          <w:p>
            <w:pPr>
              <w:pStyle w:val="TableParagraph"/>
              <w:rPr>
                <w:rFonts w:ascii="Times New Roman"/>
                <w:sz w:val="18"/>
              </w:rPr>
            </w:pPr>
          </w:p>
        </w:tc>
        <w:tc>
          <w:tcPr>
            <w:tcW w:w="644" w:type="dxa"/>
            <w:vMerge/>
            <w:tcBorders>
              <w:top w:val="nil"/>
            </w:tcBorders>
          </w:tcPr>
          <w:p>
            <w:pPr>
              <w:rPr>
                <w:sz w:val="2"/>
                <w:szCs w:val="2"/>
              </w:rPr>
            </w:pPr>
          </w:p>
        </w:tc>
        <w:tc>
          <w:tcPr>
            <w:tcW w:w="714" w:type="dxa"/>
            <w:tcBorders>
              <w:top w:val="nil"/>
            </w:tcBorders>
          </w:tcPr>
          <w:p>
            <w:pPr>
              <w:pStyle w:val="TableParagraph"/>
              <w:rPr>
                <w:rFonts w:ascii="Times New Roman"/>
                <w:sz w:val="18"/>
              </w:rPr>
            </w:pPr>
          </w:p>
        </w:tc>
        <w:tc>
          <w:tcPr>
            <w:tcW w:w="704" w:type="dxa"/>
            <w:tcBorders>
              <w:top w:val="nil"/>
            </w:tcBorders>
          </w:tcPr>
          <w:p>
            <w:pPr>
              <w:pStyle w:val="TableParagraph"/>
              <w:rPr>
                <w:rFonts w:ascii="Times New Roman"/>
                <w:sz w:val="18"/>
              </w:rPr>
            </w:pPr>
          </w:p>
        </w:tc>
        <w:tc>
          <w:tcPr>
            <w:tcW w:w="741" w:type="dxa"/>
            <w:tcBorders>
              <w:top w:val="nil"/>
            </w:tcBorders>
          </w:tcPr>
          <w:p>
            <w:pPr>
              <w:pStyle w:val="TableParagraph"/>
              <w:rPr>
                <w:rFonts w:ascii="Times New Roman"/>
                <w:sz w:val="18"/>
              </w:rPr>
            </w:pPr>
          </w:p>
        </w:tc>
        <w:tc>
          <w:tcPr>
            <w:tcW w:w="702" w:type="dxa"/>
            <w:tcBorders>
              <w:top w:val="nil"/>
            </w:tcBorders>
          </w:tcPr>
          <w:p>
            <w:pPr>
              <w:pStyle w:val="TableParagraph"/>
              <w:rPr>
                <w:rFonts w:ascii="Times New Roman"/>
                <w:sz w:val="18"/>
              </w:rPr>
            </w:pPr>
          </w:p>
        </w:tc>
        <w:tc>
          <w:tcPr>
            <w:tcW w:w="575" w:type="dxa"/>
            <w:tcBorders>
              <w:top w:val="nil"/>
            </w:tcBorders>
          </w:tcPr>
          <w:p>
            <w:pPr>
              <w:pStyle w:val="TableParagraph"/>
              <w:rPr>
                <w:rFonts w:ascii="Times New Roman"/>
                <w:sz w:val="18"/>
              </w:rPr>
            </w:pPr>
          </w:p>
        </w:tc>
      </w:tr>
      <w:tr>
        <w:trPr>
          <w:trHeight w:val="237" w:hRule="atLeast"/>
        </w:trPr>
        <w:tc>
          <w:tcPr>
            <w:tcW w:w="754" w:type="dxa"/>
            <w:tcBorders>
              <w:bottom w:val="nil"/>
            </w:tcBorders>
          </w:tcPr>
          <w:p>
            <w:pPr>
              <w:pStyle w:val="TableParagraph"/>
              <w:spacing w:line="216" w:lineRule="exact" w:before="1"/>
              <w:ind w:left="107"/>
              <w:rPr>
                <w:sz w:val="21"/>
              </w:rPr>
            </w:pPr>
            <w:r>
              <w:rPr>
                <w:sz w:val="21"/>
              </w:rPr>
              <w:t>随锐</w:t>
            </w:r>
          </w:p>
        </w:tc>
        <w:tc>
          <w:tcPr>
            <w:tcW w:w="687" w:type="dxa"/>
            <w:tcBorders>
              <w:bottom w:val="nil"/>
            </w:tcBorders>
          </w:tcPr>
          <w:p>
            <w:pPr>
              <w:pStyle w:val="TableParagraph"/>
              <w:spacing w:line="217" w:lineRule="exact"/>
              <w:ind w:left="210"/>
              <w:rPr>
                <w:rFonts w:ascii="Times New Roman"/>
                <w:sz w:val="21"/>
              </w:rPr>
            </w:pPr>
            <w:r>
              <w:rPr>
                <w:rFonts w:ascii="Times New Roman"/>
                <w:sz w:val="21"/>
              </w:rPr>
              <w:t>290,</w:t>
            </w:r>
          </w:p>
        </w:tc>
        <w:tc>
          <w:tcPr>
            <w:tcW w:w="690" w:type="dxa"/>
            <w:tcBorders>
              <w:bottom w:val="nil"/>
            </w:tcBorders>
          </w:tcPr>
          <w:p>
            <w:pPr>
              <w:pStyle w:val="TableParagraph"/>
              <w:spacing w:line="217" w:lineRule="exact"/>
              <w:ind w:left="349"/>
              <w:rPr>
                <w:rFonts w:ascii="Times New Roman"/>
                <w:sz w:val="21"/>
              </w:rPr>
            </w:pPr>
            <w:r>
              <w:rPr>
                <w:rFonts w:ascii="Times New Roman"/>
                <w:w w:val="100"/>
                <w:sz w:val="21"/>
              </w:rPr>
              <w:t>-</w:t>
            </w:r>
          </w:p>
        </w:tc>
        <w:tc>
          <w:tcPr>
            <w:tcW w:w="603" w:type="dxa"/>
            <w:tcBorders>
              <w:bottom w:val="nil"/>
            </w:tcBorders>
          </w:tcPr>
          <w:p>
            <w:pPr>
              <w:pStyle w:val="TableParagraph"/>
              <w:spacing w:line="217" w:lineRule="exact"/>
              <w:ind w:left="264"/>
              <w:rPr>
                <w:rFonts w:ascii="Times New Roman"/>
                <w:sz w:val="21"/>
              </w:rPr>
            </w:pPr>
            <w:r>
              <w:rPr>
                <w:rFonts w:ascii="Times New Roman"/>
                <w:w w:val="100"/>
                <w:sz w:val="21"/>
              </w:rPr>
              <w:t>-</w:t>
            </w:r>
          </w:p>
        </w:tc>
        <w:tc>
          <w:tcPr>
            <w:tcW w:w="718" w:type="dxa"/>
            <w:tcBorders>
              <w:bottom w:val="nil"/>
            </w:tcBorders>
          </w:tcPr>
          <w:p>
            <w:pPr>
              <w:pStyle w:val="TableParagraph"/>
              <w:spacing w:line="217" w:lineRule="exact"/>
              <w:ind w:right="100"/>
              <w:jc w:val="right"/>
              <w:rPr>
                <w:rFonts w:ascii="Times New Roman"/>
                <w:sz w:val="21"/>
              </w:rPr>
            </w:pPr>
            <w:r>
              <w:rPr>
                <w:rFonts w:ascii="Times New Roman"/>
                <w:w w:val="100"/>
                <w:sz w:val="21"/>
              </w:rPr>
              <w:t>-</w:t>
            </w:r>
          </w:p>
        </w:tc>
        <w:tc>
          <w:tcPr>
            <w:tcW w:w="665" w:type="dxa"/>
            <w:tcBorders>
              <w:bottom w:val="nil"/>
            </w:tcBorders>
          </w:tcPr>
          <w:p>
            <w:pPr>
              <w:pStyle w:val="TableParagraph"/>
              <w:spacing w:line="217" w:lineRule="exact"/>
              <w:ind w:left="323"/>
              <w:rPr>
                <w:rFonts w:ascii="Times New Roman"/>
                <w:sz w:val="21"/>
              </w:rPr>
            </w:pPr>
            <w:r>
              <w:rPr>
                <w:rFonts w:ascii="Times New Roman"/>
                <w:w w:val="100"/>
                <w:sz w:val="21"/>
              </w:rPr>
              <w:t>-</w:t>
            </w:r>
          </w:p>
        </w:tc>
        <w:tc>
          <w:tcPr>
            <w:tcW w:w="637" w:type="dxa"/>
            <w:tcBorders>
              <w:bottom w:val="nil"/>
            </w:tcBorders>
          </w:tcPr>
          <w:p>
            <w:pPr>
              <w:pStyle w:val="TableParagraph"/>
              <w:spacing w:line="217" w:lineRule="exact"/>
              <w:ind w:left="296"/>
              <w:rPr>
                <w:rFonts w:ascii="Times New Roman"/>
                <w:sz w:val="21"/>
              </w:rPr>
            </w:pPr>
            <w:r>
              <w:rPr>
                <w:rFonts w:ascii="Times New Roman"/>
                <w:w w:val="100"/>
                <w:sz w:val="21"/>
              </w:rPr>
              <w:t>-</w:t>
            </w:r>
          </w:p>
        </w:tc>
        <w:tc>
          <w:tcPr>
            <w:tcW w:w="644" w:type="dxa"/>
            <w:vMerge w:val="restart"/>
          </w:tcPr>
          <w:p>
            <w:pPr>
              <w:pStyle w:val="TableParagraph"/>
              <w:rPr>
                <w:rFonts w:ascii="Times New Roman"/>
                <w:sz w:val="20"/>
              </w:rPr>
            </w:pPr>
          </w:p>
        </w:tc>
        <w:tc>
          <w:tcPr>
            <w:tcW w:w="714" w:type="dxa"/>
            <w:tcBorders>
              <w:bottom w:val="nil"/>
            </w:tcBorders>
          </w:tcPr>
          <w:p>
            <w:pPr>
              <w:pStyle w:val="TableParagraph"/>
              <w:spacing w:line="217" w:lineRule="exact"/>
              <w:ind w:right="100"/>
              <w:jc w:val="right"/>
              <w:rPr>
                <w:rFonts w:ascii="Times New Roman"/>
                <w:sz w:val="21"/>
              </w:rPr>
            </w:pPr>
            <w:r>
              <w:rPr>
                <w:rFonts w:ascii="Times New Roman"/>
                <w:w w:val="100"/>
                <w:sz w:val="21"/>
              </w:rPr>
              <w:t>-</w:t>
            </w:r>
          </w:p>
        </w:tc>
        <w:tc>
          <w:tcPr>
            <w:tcW w:w="704" w:type="dxa"/>
            <w:tcBorders>
              <w:bottom w:val="nil"/>
            </w:tcBorders>
          </w:tcPr>
          <w:p>
            <w:pPr>
              <w:pStyle w:val="TableParagraph"/>
              <w:spacing w:line="217" w:lineRule="exact"/>
              <w:ind w:left="519"/>
              <w:rPr>
                <w:rFonts w:ascii="Times New Roman"/>
                <w:sz w:val="21"/>
              </w:rPr>
            </w:pPr>
            <w:r>
              <w:rPr>
                <w:rFonts w:ascii="Times New Roman"/>
                <w:w w:val="100"/>
                <w:sz w:val="21"/>
              </w:rPr>
              <w:t>-</w:t>
            </w:r>
          </w:p>
        </w:tc>
        <w:tc>
          <w:tcPr>
            <w:tcW w:w="741" w:type="dxa"/>
            <w:tcBorders>
              <w:bottom w:val="nil"/>
            </w:tcBorders>
          </w:tcPr>
          <w:p>
            <w:pPr>
              <w:pStyle w:val="TableParagraph"/>
              <w:spacing w:line="217" w:lineRule="exact"/>
              <w:ind w:right="102"/>
              <w:jc w:val="right"/>
              <w:rPr>
                <w:rFonts w:ascii="Times New Roman"/>
                <w:sz w:val="21"/>
              </w:rPr>
            </w:pPr>
            <w:r>
              <w:rPr>
                <w:rFonts w:ascii="Times New Roman"/>
                <w:w w:val="100"/>
                <w:sz w:val="21"/>
              </w:rPr>
              <w:t>-</w:t>
            </w:r>
          </w:p>
        </w:tc>
        <w:tc>
          <w:tcPr>
            <w:tcW w:w="702" w:type="dxa"/>
            <w:tcBorders>
              <w:bottom w:val="nil"/>
            </w:tcBorders>
          </w:tcPr>
          <w:p>
            <w:pPr>
              <w:pStyle w:val="TableParagraph"/>
              <w:spacing w:line="217" w:lineRule="exact"/>
              <w:ind w:left="109"/>
              <w:rPr>
                <w:rFonts w:ascii="Times New Roman"/>
                <w:sz w:val="21"/>
              </w:rPr>
            </w:pPr>
            <w:r>
              <w:rPr>
                <w:rFonts w:ascii="Times New Roman"/>
                <w:sz w:val="21"/>
              </w:rPr>
              <w:t>262,8</w:t>
            </w:r>
          </w:p>
        </w:tc>
        <w:tc>
          <w:tcPr>
            <w:tcW w:w="575" w:type="dxa"/>
            <w:tcBorders>
              <w:bottom w:val="nil"/>
            </w:tcBorders>
          </w:tcPr>
          <w:p>
            <w:pPr>
              <w:pStyle w:val="TableParagraph"/>
              <w:spacing w:line="217" w:lineRule="exact"/>
              <w:ind w:left="228"/>
              <w:rPr>
                <w:rFonts w:ascii="Times New Roman"/>
                <w:sz w:val="21"/>
              </w:rPr>
            </w:pPr>
            <w:r>
              <w:rPr>
                <w:rFonts w:ascii="Times New Roman"/>
                <w:w w:val="100"/>
                <w:sz w:val="21"/>
              </w:rPr>
              <w:t>-</w:t>
            </w:r>
          </w:p>
        </w:tc>
      </w:tr>
      <w:tr>
        <w:trPr>
          <w:trHeight w:val="563" w:hRule="atLeast"/>
        </w:trPr>
        <w:tc>
          <w:tcPr>
            <w:tcW w:w="754" w:type="dxa"/>
            <w:tcBorders>
              <w:top w:val="nil"/>
              <w:bottom w:val="nil"/>
            </w:tcBorders>
          </w:tcPr>
          <w:p>
            <w:pPr>
              <w:pStyle w:val="TableParagraph"/>
              <w:spacing w:line="270" w:lineRule="atLeast" w:before="6"/>
              <w:ind w:left="107" w:right="211"/>
              <w:rPr>
                <w:sz w:val="21"/>
              </w:rPr>
            </w:pPr>
            <w:r>
              <w:rPr>
                <w:spacing w:val="-1"/>
                <w:sz w:val="21"/>
              </w:rPr>
              <w:t>科技集团</w:t>
            </w:r>
          </w:p>
        </w:tc>
        <w:tc>
          <w:tcPr>
            <w:tcW w:w="687" w:type="dxa"/>
            <w:tcBorders>
              <w:top w:val="nil"/>
              <w:bottom w:val="nil"/>
            </w:tcBorders>
          </w:tcPr>
          <w:p>
            <w:pPr>
              <w:pStyle w:val="TableParagraph"/>
              <w:spacing w:line="230" w:lineRule="exact"/>
              <w:ind w:left="263"/>
              <w:rPr>
                <w:rFonts w:ascii="Times New Roman"/>
                <w:sz w:val="21"/>
              </w:rPr>
            </w:pPr>
            <w:r>
              <w:rPr>
                <w:rFonts w:ascii="Times New Roman"/>
                <w:sz w:val="21"/>
              </w:rPr>
              <w:t>852</w:t>
            </w:r>
          </w:p>
        </w:tc>
        <w:tc>
          <w:tcPr>
            <w:tcW w:w="690" w:type="dxa"/>
            <w:tcBorders>
              <w:top w:val="nil"/>
              <w:bottom w:val="nil"/>
            </w:tcBorders>
          </w:tcPr>
          <w:p>
            <w:pPr>
              <w:pStyle w:val="TableParagraph"/>
              <w:rPr>
                <w:rFonts w:ascii="Times New Roman"/>
                <w:sz w:val="20"/>
              </w:rPr>
            </w:pPr>
          </w:p>
        </w:tc>
        <w:tc>
          <w:tcPr>
            <w:tcW w:w="603" w:type="dxa"/>
            <w:tcBorders>
              <w:top w:val="nil"/>
              <w:bottom w:val="nil"/>
            </w:tcBorders>
          </w:tcPr>
          <w:p>
            <w:pPr>
              <w:pStyle w:val="TableParagraph"/>
              <w:rPr>
                <w:rFonts w:ascii="Times New Roman"/>
                <w:sz w:val="20"/>
              </w:rPr>
            </w:pPr>
          </w:p>
        </w:tc>
        <w:tc>
          <w:tcPr>
            <w:tcW w:w="718" w:type="dxa"/>
            <w:tcBorders>
              <w:top w:val="nil"/>
              <w:bottom w:val="nil"/>
            </w:tcBorders>
          </w:tcPr>
          <w:p>
            <w:pPr>
              <w:pStyle w:val="TableParagraph"/>
              <w:spacing w:line="229" w:lineRule="exact"/>
              <w:ind w:right="98"/>
              <w:jc w:val="right"/>
              <w:rPr>
                <w:rFonts w:ascii="Times New Roman"/>
                <w:sz w:val="21"/>
              </w:rPr>
            </w:pPr>
            <w:r>
              <w:rPr>
                <w:rFonts w:ascii="Times New Roman"/>
                <w:sz w:val="21"/>
              </w:rPr>
              <w:t>27,98</w:t>
            </w:r>
          </w:p>
          <w:p>
            <w:pPr>
              <w:pStyle w:val="TableParagraph"/>
              <w:spacing w:line="241" w:lineRule="exact"/>
              <w:ind w:right="101"/>
              <w:jc w:val="right"/>
              <w:rPr>
                <w:rFonts w:ascii="Times New Roman"/>
                <w:sz w:val="21"/>
              </w:rPr>
            </w:pPr>
            <w:r>
              <w:rPr>
                <w:rFonts w:ascii="Times New Roman"/>
                <w:w w:val="100"/>
                <w:sz w:val="21"/>
              </w:rPr>
              <w:t>5</w:t>
            </w:r>
          </w:p>
        </w:tc>
        <w:tc>
          <w:tcPr>
            <w:tcW w:w="665" w:type="dxa"/>
            <w:tcBorders>
              <w:top w:val="nil"/>
              <w:bottom w:val="nil"/>
            </w:tcBorders>
          </w:tcPr>
          <w:p>
            <w:pPr>
              <w:pStyle w:val="TableParagraph"/>
              <w:rPr>
                <w:rFonts w:ascii="Times New Roman"/>
                <w:sz w:val="20"/>
              </w:rPr>
            </w:pPr>
          </w:p>
        </w:tc>
        <w:tc>
          <w:tcPr>
            <w:tcW w:w="637" w:type="dxa"/>
            <w:tcBorders>
              <w:top w:val="nil"/>
              <w:bottom w:val="nil"/>
            </w:tcBorders>
          </w:tcPr>
          <w:p>
            <w:pPr>
              <w:pStyle w:val="TableParagraph"/>
              <w:rPr>
                <w:rFonts w:ascii="Times New Roman"/>
                <w:sz w:val="20"/>
              </w:rPr>
            </w:pPr>
          </w:p>
        </w:tc>
        <w:tc>
          <w:tcPr>
            <w:tcW w:w="644" w:type="dxa"/>
            <w:vMerge/>
            <w:tcBorders>
              <w:top w:val="nil"/>
            </w:tcBorders>
          </w:tcPr>
          <w:p>
            <w:pPr>
              <w:rPr>
                <w:sz w:val="2"/>
                <w:szCs w:val="2"/>
              </w:rPr>
            </w:pPr>
          </w:p>
        </w:tc>
        <w:tc>
          <w:tcPr>
            <w:tcW w:w="714" w:type="dxa"/>
            <w:tcBorders>
              <w:top w:val="nil"/>
              <w:bottom w:val="nil"/>
            </w:tcBorders>
          </w:tcPr>
          <w:p>
            <w:pPr>
              <w:pStyle w:val="TableParagraph"/>
              <w:rPr>
                <w:rFonts w:ascii="Times New Roman"/>
                <w:sz w:val="20"/>
              </w:rPr>
            </w:pPr>
          </w:p>
        </w:tc>
        <w:tc>
          <w:tcPr>
            <w:tcW w:w="704" w:type="dxa"/>
            <w:tcBorders>
              <w:top w:val="nil"/>
              <w:bottom w:val="nil"/>
            </w:tcBorders>
          </w:tcPr>
          <w:p>
            <w:pPr>
              <w:pStyle w:val="TableParagraph"/>
              <w:rPr>
                <w:rFonts w:ascii="Times New Roman"/>
                <w:sz w:val="20"/>
              </w:rPr>
            </w:pPr>
          </w:p>
        </w:tc>
        <w:tc>
          <w:tcPr>
            <w:tcW w:w="741" w:type="dxa"/>
            <w:tcBorders>
              <w:top w:val="nil"/>
              <w:bottom w:val="nil"/>
            </w:tcBorders>
          </w:tcPr>
          <w:p>
            <w:pPr>
              <w:pStyle w:val="TableParagraph"/>
              <w:rPr>
                <w:rFonts w:ascii="Times New Roman"/>
                <w:sz w:val="20"/>
              </w:rPr>
            </w:pPr>
          </w:p>
        </w:tc>
        <w:tc>
          <w:tcPr>
            <w:tcW w:w="702" w:type="dxa"/>
            <w:tcBorders>
              <w:top w:val="nil"/>
              <w:bottom w:val="nil"/>
            </w:tcBorders>
          </w:tcPr>
          <w:p>
            <w:pPr>
              <w:pStyle w:val="TableParagraph"/>
              <w:spacing w:line="230" w:lineRule="exact"/>
              <w:ind w:left="371"/>
              <w:rPr>
                <w:rFonts w:ascii="Times New Roman"/>
                <w:sz w:val="21"/>
              </w:rPr>
            </w:pPr>
            <w:r>
              <w:rPr>
                <w:rFonts w:ascii="Times New Roman"/>
                <w:sz w:val="21"/>
              </w:rPr>
              <w:t>67</w:t>
            </w:r>
          </w:p>
        </w:tc>
        <w:tc>
          <w:tcPr>
            <w:tcW w:w="575" w:type="dxa"/>
            <w:tcBorders>
              <w:top w:val="nil"/>
              <w:bottom w:val="nil"/>
            </w:tcBorders>
          </w:tcPr>
          <w:p>
            <w:pPr>
              <w:pStyle w:val="TableParagraph"/>
              <w:rPr>
                <w:rFonts w:ascii="Times New Roman"/>
                <w:sz w:val="20"/>
              </w:rPr>
            </w:pPr>
          </w:p>
        </w:tc>
      </w:tr>
      <w:tr>
        <w:trPr>
          <w:trHeight w:val="262" w:hRule="atLeast"/>
        </w:trPr>
        <w:tc>
          <w:tcPr>
            <w:tcW w:w="754" w:type="dxa"/>
            <w:tcBorders>
              <w:top w:val="nil"/>
              <w:bottom w:val="nil"/>
            </w:tcBorders>
          </w:tcPr>
          <w:p>
            <w:pPr>
              <w:pStyle w:val="TableParagraph"/>
              <w:spacing w:line="242" w:lineRule="exact"/>
              <w:ind w:left="107"/>
              <w:rPr>
                <w:sz w:val="21"/>
              </w:rPr>
            </w:pPr>
            <w:r>
              <w:rPr>
                <w:sz w:val="21"/>
              </w:rPr>
              <w:t>股份</w:t>
            </w:r>
          </w:p>
        </w:tc>
        <w:tc>
          <w:tcPr>
            <w:tcW w:w="687" w:type="dxa"/>
            <w:tcBorders>
              <w:top w:val="nil"/>
              <w:bottom w:val="nil"/>
            </w:tcBorders>
          </w:tcPr>
          <w:p>
            <w:pPr>
              <w:pStyle w:val="TableParagraph"/>
              <w:rPr>
                <w:rFonts w:ascii="Times New Roman"/>
                <w:sz w:val="18"/>
              </w:rPr>
            </w:pPr>
          </w:p>
        </w:tc>
        <w:tc>
          <w:tcPr>
            <w:tcW w:w="690" w:type="dxa"/>
            <w:tcBorders>
              <w:top w:val="nil"/>
              <w:bottom w:val="nil"/>
            </w:tcBorders>
          </w:tcPr>
          <w:p>
            <w:pPr>
              <w:pStyle w:val="TableParagraph"/>
              <w:rPr>
                <w:rFonts w:ascii="Times New Roman"/>
                <w:sz w:val="18"/>
              </w:rPr>
            </w:pPr>
          </w:p>
        </w:tc>
        <w:tc>
          <w:tcPr>
            <w:tcW w:w="603" w:type="dxa"/>
            <w:tcBorders>
              <w:top w:val="nil"/>
              <w:bottom w:val="nil"/>
            </w:tcBorders>
          </w:tcPr>
          <w:p>
            <w:pPr>
              <w:pStyle w:val="TableParagraph"/>
              <w:rPr>
                <w:rFonts w:ascii="Times New Roman"/>
                <w:sz w:val="18"/>
              </w:rPr>
            </w:pPr>
          </w:p>
        </w:tc>
        <w:tc>
          <w:tcPr>
            <w:tcW w:w="718" w:type="dxa"/>
            <w:tcBorders>
              <w:top w:val="nil"/>
              <w:bottom w:val="nil"/>
            </w:tcBorders>
          </w:tcPr>
          <w:p>
            <w:pPr>
              <w:pStyle w:val="TableParagraph"/>
              <w:rPr>
                <w:rFonts w:ascii="Times New Roman"/>
                <w:sz w:val="18"/>
              </w:rPr>
            </w:pPr>
          </w:p>
        </w:tc>
        <w:tc>
          <w:tcPr>
            <w:tcW w:w="665" w:type="dxa"/>
            <w:tcBorders>
              <w:top w:val="nil"/>
              <w:bottom w:val="nil"/>
            </w:tcBorders>
          </w:tcPr>
          <w:p>
            <w:pPr>
              <w:pStyle w:val="TableParagraph"/>
              <w:rPr>
                <w:rFonts w:ascii="Times New Roman"/>
                <w:sz w:val="18"/>
              </w:rPr>
            </w:pPr>
          </w:p>
        </w:tc>
        <w:tc>
          <w:tcPr>
            <w:tcW w:w="637" w:type="dxa"/>
            <w:tcBorders>
              <w:top w:val="nil"/>
              <w:bottom w:val="nil"/>
            </w:tcBorders>
          </w:tcPr>
          <w:p>
            <w:pPr>
              <w:pStyle w:val="TableParagraph"/>
              <w:rPr>
                <w:rFonts w:ascii="Times New Roman"/>
                <w:sz w:val="18"/>
              </w:rPr>
            </w:pPr>
          </w:p>
        </w:tc>
        <w:tc>
          <w:tcPr>
            <w:tcW w:w="644" w:type="dxa"/>
            <w:vMerge/>
            <w:tcBorders>
              <w:top w:val="nil"/>
            </w:tcBorders>
          </w:tcPr>
          <w:p>
            <w:pPr>
              <w:rPr>
                <w:sz w:val="2"/>
                <w:szCs w:val="2"/>
              </w:rPr>
            </w:pPr>
          </w:p>
        </w:tc>
        <w:tc>
          <w:tcPr>
            <w:tcW w:w="714" w:type="dxa"/>
            <w:tcBorders>
              <w:top w:val="nil"/>
              <w:bottom w:val="nil"/>
            </w:tcBorders>
          </w:tcPr>
          <w:p>
            <w:pPr>
              <w:pStyle w:val="TableParagraph"/>
              <w:rPr>
                <w:rFonts w:ascii="Times New Roman"/>
                <w:sz w:val="18"/>
              </w:rPr>
            </w:pPr>
          </w:p>
        </w:tc>
        <w:tc>
          <w:tcPr>
            <w:tcW w:w="704" w:type="dxa"/>
            <w:tcBorders>
              <w:top w:val="nil"/>
              <w:bottom w:val="nil"/>
            </w:tcBorders>
          </w:tcPr>
          <w:p>
            <w:pPr>
              <w:pStyle w:val="TableParagraph"/>
              <w:rPr>
                <w:rFonts w:ascii="Times New Roman"/>
                <w:sz w:val="18"/>
              </w:rPr>
            </w:pPr>
          </w:p>
        </w:tc>
        <w:tc>
          <w:tcPr>
            <w:tcW w:w="741" w:type="dxa"/>
            <w:tcBorders>
              <w:top w:val="nil"/>
              <w:bottom w:val="nil"/>
            </w:tcBorders>
          </w:tcPr>
          <w:p>
            <w:pPr>
              <w:pStyle w:val="TableParagraph"/>
              <w:rPr>
                <w:rFonts w:ascii="Times New Roman"/>
                <w:sz w:val="18"/>
              </w:rPr>
            </w:pPr>
          </w:p>
        </w:tc>
        <w:tc>
          <w:tcPr>
            <w:tcW w:w="702" w:type="dxa"/>
            <w:tcBorders>
              <w:top w:val="nil"/>
              <w:bottom w:val="nil"/>
            </w:tcBorders>
          </w:tcPr>
          <w:p>
            <w:pPr>
              <w:pStyle w:val="TableParagraph"/>
              <w:rPr>
                <w:rFonts w:ascii="Times New Roman"/>
                <w:sz w:val="18"/>
              </w:rPr>
            </w:pPr>
          </w:p>
        </w:tc>
        <w:tc>
          <w:tcPr>
            <w:tcW w:w="575" w:type="dxa"/>
            <w:tcBorders>
              <w:top w:val="nil"/>
              <w:bottom w:val="nil"/>
            </w:tcBorders>
          </w:tcPr>
          <w:p>
            <w:pPr>
              <w:pStyle w:val="TableParagraph"/>
              <w:rPr>
                <w:rFonts w:ascii="Times New Roman"/>
                <w:sz w:val="18"/>
              </w:rPr>
            </w:pPr>
          </w:p>
        </w:tc>
      </w:tr>
      <w:tr>
        <w:trPr>
          <w:trHeight w:val="262" w:hRule="atLeast"/>
        </w:trPr>
        <w:tc>
          <w:tcPr>
            <w:tcW w:w="754" w:type="dxa"/>
            <w:tcBorders>
              <w:top w:val="nil"/>
              <w:bottom w:val="nil"/>
            </w:tcBorders>
          </w:tcPr>
          <w:p>
            <w:pPr>
              <w:pStyle w:val="TableParagraph"/>
              <w:spacing w:line="242" w:lineRule="exact"/>
              <w:ind w:left="107"/>
              <w:rPr>
                <w:sz w:val="21"/>
              </w:rPr>
            </w:pPr>
            <w:r>
              <w:rPr>
                <w:sz w:val="21"/>
              </w:rPr>
              <w:t>有限</w:t>
            </w:r>
          </w:p>
        </w:tc>
        <w:tc>
          <w:tcPr>
            <w:tcW w:w="687" w:type="dxa"/>
            <w:tcBorders>
              <w:top w:val="nil"/>
              <w:bottom w:val="nil"/>
            </w:tcBorders>
          </w:tcPr>
          <w:p>
            <w:pPr>
              <w:pStyle w:val="TableParagraph"/>
              <w:rPr>
                <w:rFonts w:ascii="Times New Roman"/>
                <w:sz w:val="18"/>
              </w:rPr>
            </w:pPr>
          </w:p>
        </w:tc>
        <w:tc>
          <w:tcPr>
            <w:tcW w:w="690" w:type="dxa"/>
            <w:tcBorders>
              <w:top w:val="nil"/>
              <w:bottom w:val="nil"/>
            </w:tcBorders>
          </w:tcPr>
          <w:p>
            <w:pPr>
              <w:pStyle w:val="TableParagraph"/>
              <w:rPr>
                <w:rFonts w:ascii="Times New Roman"/>
                <w:sz w:val="18"/>
              </w:rPr>
            </w:pPr>
          </w:p>
        </w:tc>
        <w:tc>
          <w:tcPr>
            <w:tcW w:w="603" w:type="dxa"/>
            <w:tcBorders>
              <w:top w:val="nil"/>
              <w:bottom w:val="nil"/>
            </w:tcBorders>
          </w:tcPr>
          <w:p>
            <w:pPr>
              <w:pStyle w:val="TableParagraph"/>
              <w:rPr>
                <w:rFonts w:ascii="Times New Roman"/>
                <w:sz w:val="18"/>
              </w:rPr>
            </w:pPr>
          </w:p>
        </w:tc>
        <w:tc>
          <w:tcPr>
            <w:tcW w:w="718" w:type="dxa"/>
            <w:tcBorders>
              <w:top w:val="nil"/>
              <w:bottom w:val="nil"/>
            </w:tcBorders>
          </w:tcPr>
          <w:p>
            <w:pPr>
              <w:pStyle w:val="TableParagraph"/>
              <w:rPr>
                <w:rFonts w:ascii="Times New Roman"/>
                <w:sz w:val="18"/>
              </w:rPr>
            </w:pPr>
          </w:p>
        </w:tc>
        <w:tc>
          <w:tcPr>
            <w:tcW w:w="665" w:type="dxa"/>
            <w:tcBorders>
              <w:top w:val="nil"/>
              <w:bottom w:val="nil"/>
            </w:tcBorders>
          </w:tcPr>
          <w:p>
            <w:pPr>
              <w:pStyle w:val="TableParagraph"/>
              <w:rPr>
                <w:rFonts w:ascii="Times New Roman"/>
                <w:sz w:val="18"/>
              </w:rPr>
            </w:pPr>
          </w:p>
        </w:tc>
        <w:tc>
          <w:tcPr>
            <w:tcW w:w="637" w:type="dxa"/>
            <w:tcBorders>
              <w:top w:val="nil"/>
              <w:bottom w:val="nil"/>
            </w:tcBorders>
          </w:tcPr>
          <w:p>
            <w:pPr>
              <w:pStyle w:val="TableParagraph"/>
              <w:rPr>
                <w:rFonts w:ascii="Times New Roman"/>
                <w:sz w:val="18"/>
              </w:rPr>
            </w:pPr>
          </w:p>
        </w:tc>
        <w:tc>
          <w:tcPr>
            <w:tcW w:w="644" w:type="dxa"/>
            <w:vMerge/>
            <w:tcBorders>
              <w:top w:val="nil"/>
            </w:tcBorders>
          </w:tcPr>
          <w:p>
            <w:pPr>
              <w:rPr>
                <w:sz w:val="2"/>
                <w:szCs w:val="2"/>
              </w:rPr>
            </w:pPr>
          </w:p>
        </w:tc>
        <w:tc>
          <w:tcPr>
            <w:tcW w:w="714" w:type="dxa"/>
            <w:tcBorders>
              <w:top w:val="nil"/>
              <w:bottom w:val="nil"/>
            </w:tcBorders>
          </w:tcPr>
          <w:p>
            <w:pPr>
              <w:pStyle w:val="TableParagraph"/>
              <w:rPr>
                <w:rFonts w:ascii="Times New Roman"/>
                <w:sz w:val="18"/>
              </w:rPr>
            </w:pPr>
          </w:p>
        </w:tc>
        <w:tc>
          <w:tcPr>
            <w:tcW w:w="704" w:type="dxa"/>
            <w:tcBorders>
              <w:top w:val="nil"/>
              <w:bottom w:val="nil"/>
            </w:tcBorders>
          </w:tcPr>
          <w:p>
            <w:pPr>
              <w:pStyle w:val="TableParagraph"/>
              <w:rPr>
                <w:rFonts w:ascii="Times New Roman"/>
                <w:sz w:val="18"/>
              </w:rPr>
            </w:pPr>
          </w:p>
        </w:tc>
        <w:tc>
          <w:tcPr>
            <w:tcW w:w="741" w:type="dxa"/>
            <w:tcBorders>
              <w:top w:val="nil"/>
              <w:bottom w:val="nil"/>
            </w:tcBorders>
          </w:tcPr>
          <w:p>
            <w:pPr>
              <w:pStyle w:val="TableParagraph"/>
              <w:rPr>
                <w:rFonts w:ascii="Times New Roman"/>
                <w:sz w:val="18"/>
              </w:rPr>
            </w:pPr>
          </w:p>
        </w:tc>
        <w:tc>
          <w:tcPr>
            <w:tcW w:w="702" w:type="dxa"/>
            <w:tcBorders>
              <w:top w:val="nil"/>
              <w:bottom w:val="nil"/>
            </w:tcBorders>
          </w:tcPr>
          <w:p>
            <w:pPr>
              <w:pStyle w:val="TableParagraph"/>
              <w:rPr>
                <w:rFonts w:ascii="Times New Roman"/>
                <w:sz w:val="18"/>
              </w:rPr>
            </w:pPr>
          </w:p>
        </w:tc>
        <w:tc>
          <w:tcPr>
            <w:tcW w:w="575" w:type="dxa"/>
            <w:tcBorders>
              <w:top w:val="nil"/>
              <w:bottom w:val="nil"/>
            </w:tcBorders>
          </w:tcPr>
          <w:p>
            <w:pPr>
              <w:pStyle w:val="TableParagraph"/>
              <w:rPr>
                <w:rFonts w:ascii="Times New Roman"/>
                <w:sz w:val="18"/>
              </w:rPr>
            </w:pPr>
          </w:p>
        </w:tc>
      </w:tr>
      <w:tr>
        <w:trPr>
          <w:trHeight w:val="268" w:hRule="atLeast"/>
        </w:trPr>
        <w:tc>
          <w:tcPr>
            <w:tcW w:w="754" w:type="dxa"/>
            <w:tcBorders>
              <w:top w:val="nil"/>
            </w:tcBorders>
          </w:tcPr>
          <w:p>
            <w:pPr>
              <w:pStyle w:val="TableParagraph"/>
              <w:spacing w:line="249" w:lineRule="exact"/>
              <w:ind w:left="107"/>
              <w:rPr>
                <w:sz w:val="21"/>
              </w:rPr>
            </w:pPr>
            <w:r>
              <w:rPr>
                <w:sz w:val="21"/>
              </w:rPr>
              <w:t>公司 </w:t>
            </w:r>
          </w:p>
        </w:tc>
        <w:tc>
          <w:tcPr>
            <w:tcW w:w="687" w:type="dxa"/>
            <w:tcBorders>
              <w:top w:val="nil"/>
            </w:tcBorders>
          </w:tcPr>
          <w:p>
            <w:pPr>
              <w:pStyle w:val="TableParagraph"/>
              <w:rPr>
                <w:rFonts w:ascii="Times New Roman"/>
                <w:sz w:val="18"/>
              </w:rPr>
            </w:pPr>
          </w:p>
        </w:tc>
        <w:tc>
          <w:tcPr>
            <w:tcW w:w="690" w:type="dxa"/>
            <w:tcBorders>
              <w:top w:val="nil"/>
            </w:tcBorders>
          </w:tcPr>
          <w:p>
            <w:pPr>
              <w:pStyle w:val="TableParagraph"/>
              <w:rPr>
                <w:rFonts w:ascii="Times New Roman"/>
                <w:sz w:val="18"/>
              </w:rPr>
            </w:pPr>
          </w:p>
        </w:tc>
        <w:tc>
          <w:tcPr>
            <w:tcW w:w="603" w:type="dxa"/>
            <w:tcBorders>
              <w:top w:val="nil"/>
            </w:tcBorders>
          </w:tcPr>
          <w:p>
            <w:pPr>
              <w:pStyle w:val="TableParagraph"/>
              <w:rPr>
                <w:rFonts w:ascii="Times New Roman"/>
                <w:sz w:val="18"/>
              </w:rPr>
            </w:pPr>
          </w:p>
        </w:tc>
        <w:tc>
          <w:tcPr>
            <w:tcW w:w="718" w:type="dxa"/>
            <w:tcBorders>
              <w:top w:val="nil"/>
            </w:tcBorders>
          </w:tcPr>
          <w:p>
            <w:pPr>
              <w:pStyle w:val="TableParagraph"/>
              <w:rPr>
                <w:rFonts w:ascii="Times New Roman"/>
                <w:sz w:val="18"/>
              </w:rPr>
            </w:pPr>
          </w:p>
        </w:tc>
        <w:tc>
          <w:tcPr>
            <w:tcW w:w="665" w:type="dxa"/>
            <w:tcBorders>
              <w:top w:val="nil"/>
            </w:tcBorders>
          </w:tcPr>
          <w:p>
            <w:pPr>
              <w:pStyle w:val="TableParagraph"/>
              <w:rPr>
                <w:rFonts w:ascii="Times New Roman"/>
                <w:sz w:val="18"/>
              </w:rPr>
            </w:pPr>
          </w:p>
        </w:tc>
        <w:tc>
          <w:tcPr>
            <w:tcW w:w="637" w:type="dxa"/>
            <w:tcBorders>
              <w:top w:val="nil"/>
            </w:tcBorders>
          </w:tcPr>
          <w:p>
            <w:pPr>
              <w:pStyle w:val="TableParagraph"/>
              <w:rPr>
                <w:rFonts w:ascii="Times New Roman"/>
                <w:sz w:val="18"/>
              </w:rPr>
            </w:pPr>
          </w:p>
        </w:tc>
        <w:tc>
          <w:tcPr>
            <w:tcW w:w="644" w:type="dxa"/>
            <w:vMerge/>
            <w:tcBorders>
              <w:top w:val="nil"/>
            </w:tcBorders>
          </w:tcPr>
          <w:p>
            <w:pPr>
              <w:rPr>
                <w:sz w:val="2"/>
                <w:szCs w:val="2"/>
              </w:rPr>
            </w:pPr>
          </w:p>
        </w:tc>
        <w:tc>
          <w:tcPr>
            <w:tcW w:w="714" w:type="dxa"/>
            <w:tcBorders>
              <w:top w:val="nil"/>
            </w:tcBorders>
          </w:tcPr>
          <w:p>
            <w:pPr>
              <w:pStyle w:val="TableParagraph"/>
              <w:rPr>
                <w:rFonts w:ascii="Times New Roman"/>
                <w:sz w:val="18"/>
              </w:rPr>
            </w:pPr>
          </w:p>
        </w:tc>
        <w:tc>
          <w:tcPr>
            <w:tcW w:w="704" w:type="dxa"/>
            <w:tcBorders>
              <w:top w:val="nil"/>
            </w:tcBorders>
          </w:tcPr>
          <w:p>
            <w:pPr>
              <w:pStyle w:val="TableParagraph"/>
              <w:rPr>
                <w:rFonts w:ascii="Times New Roman"/>
                <w:sz w:val="18"/>
              </w:rPr>
            </w:pPr>
          </w:p>
        </w:tc>
        <w:tc>
          <w:tcPr>
            <w:tcW w:w="741" w:type="dxa"/>
            <w:tcBorders>
              <w:top w:val="nil"/>
            </w:tcBorders>
          </w:tcPr>
          <w:p>
            <w:pPr>
              <w:pStyle w:val="TableParagraph"/>
              <w:rPr>
                <w:rFonts w:ascii="Times New Roman"/>
                <w:sz w:val="18"/>
              </w:rPr>
            </w:pPr>
          </w:p>
        </w:tc>
        <w:tc>
          <w:tcPr>
            <w:tcW w:w="702" w:type="dxa"/>
            <w:tcBorders>
              <w:top w:val="nil"/>
            </w:tcBorders>
          </w:tcPr>
          <w:p>
            <w:pPr>
              <w:pStyle w:val="TableParagraph"/>
              <w:rPr>
                <w:rFonts w:ascii="Times New Roman"/>
                <w:sz w:val="18"/>
              </w:rPr>
            </w:pPr>
          </w:p>
        </w:tc>
        <w:tc>
          <w:tcPr>
            <w:tcW w:w="575" w:type="dxa"/>
            <w:tcBorders>
              <w:top w:val="nil"/>
            </w:tcBorders>
          </w:tcPr>
          <w:p>
            <w:pPr>
              <w:pStyle w:val="TableParagraph"/>
              <w:rPr>
                <w:rFonts w:ascii="Times New Roman"/>
                <w:sz w:val="18"/>
              </w:rPr>
            </w:pPr>
          </w:p>
        </w:tc>
      </w:tr>
      <w:tr>
        <w:trPr>
          <w:trHeight w:val="539" w:hRule="atLeast"/>
        </w:trPr>
        <w:tc>
          <w:tcPr>
            <w:tcW w:w="754" w:type="dxa"/>
            <w:tcBorders>
              <w:bottom w:val="nil"/>
            </w:tcBorders>
          </w:tcPr>
          <w:p>
            <w:pPr>
              <w:pStyle w:val="TableParagraph"/>
              <w:spacing w:before="1"/>
              <w:ind w:left="107"/>
              <w:rPr>
                <w:sz w:val="21"/>
              </w:rPr>
            </w:pPr>
            <w:r>
              <w:rPr>
                <w:sz w:val="21"/>
              </w:rPr>
              <w:t>北京</w:t>
            </w:r>
          </w:p>
          <w:p>
            <w:pPr>
              <w:pStyle w:val="TableParagraph"/>
              <w:spacing w:line="245" w:lineRule="exact" w:before="4"/>
              <w:ind w:left="107"/>
              <w:rPr>
                <w:sz w:val="21"/>
              </w:rPr>
            </w:pPr>
            <w:r>
              <w:rPr>
                <w:sz w:val="21"/>
              </w:rPr>
              <w:t>天泽</w:t>
            </w:r>
          </w:p>
        </w:tc>
        <w:tc>
          <w:tcPr>
            <w:tcW w:w="687" w:type="dxa"/>
            <w:tcBorders>
              <w:bottom w:val="nil"/>
            </w:tcBorders>
          </w:tcPr>
          <w:p>
            <w:pPr>
              <w:pStyle w:val="TableParagraph"/>
              <w:spacing w:line="235" w:lineRule="exact"/>
              <w:ind w:left="210"/>
              <w:rPr>
                <w:rFonts w:ascii="Times New Roman"/>
                <w:sz w:val="21"/>
              </w:rPr>
            </w:pPr>
            <w:r>
              <w:rPr>
                <w:rFonts w:ascii="Times New Roman"/>
                <w:sz w:val="21"/>
              </w:rPr>
              <w:t>112,</w:t>
            </w:r>
          </w:p>
          <w:p>
            <w:pPr>
              <w:pStyle w:val="TableParagraph"/>
              <w:spacing w:before="1"/>
              <w:ind w:left="263"/>
              <w:rPr>
                <w:rFonts w:ascii="Times New Roman"/>
                <w:sz w:val="21"/>
              </w:rPr>
            </w:pPr>
            <w:r>
              <w:rPr>
                <w:rFonts w:ascii="Times New Roman"/>
                <w:sz w:val="21"/>
              </w:rPr>
              <w:t>885</w:t>
            </w:r>
          </w:p>
        </w:tc>
        <w:tc>
          <w:tcPr>
            <w:tcW w:w="690" w:type="dxa"/>
            <w:tcBorders>
              <w:bottom w:val="nil"/>
            </w:tcBorders>
          </w:tcPr>
          <w:p>
            <w:pPr>
              <w:pStyle w:val="TableParagraph"/>
              <w:spacing w:line="235" w:lineRule="exact"/>
              <w:ind w:left="349"/>
              <w:rPr>
                <w:rFonts w:ascii="Times New Roman"/>
                <w:sz w:val="21"/>
              </w:rPr>
            </w:pPr>
            <w:r>
              <w:rPr>
                <w:rFonts w:ascii="Times New Roman"/>
                <w:w w:val="100"/>
                <w:sz w:val="21"/>
              </w:rPr>
              <w:t>-</w:t>
            </w:r>
          </w:p>
        </w:tc>
        <w:tc>
          <w:tcPr>
            <w:tcW w:w="603" w:type="dxa"/>
            <w:tcBorders>
              <w:bottom w:val="nil"/>
            </w:tcBorders>
          </w:tcPr>
          <w:p>
            <w:pPr>
              <w:pStyle w:val="TableParagraph"/>
              <w:spacing w:line="235" w:lineRule="exact"/>
              <w:ind w:left="264"/>
              <w:rPr>
                <w:rFonts w:ascii="Times New Roman"/>
                <w:sz w:val="21"/>
              </w:rPr>
            </w:pPr>
            <w:r>
              <w:rPr>
                <w:rFonts w:ascii="Times New Roman"/>
                <w:w w:val="100"/>
                <w:sz w:val="21"/>
              </w:rPr>
              <w:t>-</w:t>
            </w:r>
          </w:p>
        </w:tc>
        <w:tc>
          <w:tcPr>
            <w:tcW w:w="718" w:type="dxa"/>
            <w:tcBorders>
              <w:bottom w:val="nil"/>
            </w:tcBorders>
          </w:tcPr>
          <w:p>
            <w:pPr>
              <w:pStyle w:val="TableParagraph"/>
              <w:ind w:left="131" w:right="84" w:firstLine="403"/>
              <w:rPr>
                <w:rFonts w:ascii="Times New Roman"/>
                <w:sz w:val="21"/>
              </w:rPr>
            </w:pPr>
            <w:r>
              <w:rPr>
                <w:rFonts w:ascii="Times New Roman"/>
                <w:sz w:val="21"/>
              </w:rPr>
              <w:t>-</w:t>
            </w:r>
            <w:r>
              <w:rPr>
                <w:rFonts w:ascii="Times New Roman"/>
                <w:spacing w:val="-50"/>
                <w:sz w:val="21"/>
              </w:rPr>
              <w:t> </w:t>
            </w:r>
            <w:r>
              <w:rPr>
                <w:rFonts w:ascii="Times New Roman"/>
                <w:sz w:val="21"/>
              </w:rPr>
              <w:t>2,316</w:t>
            </w:r>
          </w:p>
        </w:tc>
        <w:tc>
          <w:tcPr>
            <w:tcW w:w="665" w:type="dxa"/>
            <w:tcBorders>
              <w:bottom w:val="nil"/>
            </w:tcBorders>
          </w:tcPr>
          <w:p>
            <w:pPr>
              <w:pStyle w:val="TableParagraph"/>
              <w:spacing w:line="235" w:lineRule="exact"/>
              <w:ind w:left="323"/>
              <w:rPr>
                <w:rFonts w:ascii="Times New Roman"/>
                <w:sz w:val="21"/>
              </w:rPr>
            </w:pPr>
            <w:r>
              <w:rPr>
                <w:rFonts w:ascii="Times New Roman"/>
                <w:w w:val="100"/>
                <w:sz w:val="21"/>
              </w:rPr>
              <w:t>-</w:t>
            </w:r>
          </w:p>
        </w:tc>
        <w:tc>
          <w:tcPr>
            <w:tcW w:w="637" w:type="dxa"/>
            <w:tcBorders>
              <w:bottom w:val="nil"/>
            </w:tcBorders>
          </w:tcPr>
          <w:p>
            <w:pPr>
              <w:pStyle w:val="TableParagraph"/>
              <w:spacing w:line="235" w:lineRule="exact"/>
              <w:ind w:left="296"/>
              <w:rPr>
                <w:rFonts w:ascii="Times New Roman"/>
                <w:sz w:val="21"/>
              </w:rPr>
            </w:pPr>
            <w:r>
              <w:rPr>
                <w:rFonts w:ascii="Times New Roman"/>
                <w:w w:val="100"/>
                <w:sz w:val="21"/>
              </w:rPr>
              <w:t>-</w:t>
            </w:r>
          </w:p>
        </w:tc>
        <w:tc>
          <w:tcPr>
            <w:tcW w:w="644" w:type="dxa"/>
            <w:vMerge w:val="restart"/>
          </w:tcPr>
          <w:p>
            <w:pPr>
              <w:pStyle w:val="TableParagraph"/>
              <w:rPr>
                <w:rFonts w:ascii="Times New Roman"/>
                <w:sz w:val="20"/>
              </w:rPr>
            </w:pPr>
          </w:p>
        </w:tc>
        <w:tc>
          <w:tcPr>
            <w:tcW w:w="714" w:type="dxa"/>
            <w:tcBorders>
              <w:bottom w:val="nil"/>
            </w:tcBorders>
          </w:tcPr>
          <w:p>
            <w:pPr>
              <w:pStyle w:val="TableParagraph"/>
              <w:spacing w:line="235" w:lineRule="exact"/>
              <w:ind w:right="100"/>
              <w:jc w:val="right"/>
              <w:rPr>
                <w:rFonts w:ascii="Times New Roman"/>
                <w:sz w:val="21"/>
              </w:rPr>
            </w:pPr>
            <w:r>
              <w:rPr>
                <w:rFonts w:ascii="Times New Roman"/>
                <w:w w:val="100"/>
                <w:sz w:val="21"/>
              </w:rPr>
              <w:t>-</w:t>
            </w:r>
          </w:p>
        </w:tc>
        <w:tc>
          <w:tcPr>
            <w:tcW w:w="704" w:type="dxa"/>
            <w:tcBorders>
              <w:bottom w:val="nil"/>
            </w:tcBorders>
          </w:tcPr>
          <w:p>
            <w:pPr>
              <w:pStyle w:val="TableParagraph"/>
              <w:spacing w:line="235" w:lineRule="exact"/>
              <w:ind w:left="519"/>
              <w:rPr>
                <w:rFonts w:ascii="Times New Roman"/>
                <w:sz w:val="21"/>
              </w:rPr>
            </w:pPr>
            <w:r>
              <w:rPr>
                <w:rFonts w:ascii="Times New Roman"/>
                <w:w w:val="100"/>
                <w:sz w:val="21"/>
              </w:rPr>
              <w:t>-</w:t>
            </w:r>
          </w:p>
        </w:tc>
        <w:tc>
          <w:tcPr>
            <w:tcW w:w="741" w:type="dxa"/>
            <w:tcBorders>
              <w:bottom w:val="nil"/>
            </w:tcBorders>
          </w:tcPr>
          <w:p>
            <w:pPr>
              <w:pStyle w:val="TableParagraph"/>
              <w:spacing w:line="235" w:lineRule="exact"/>
              <w:ind w:right="102"/>
              <w:jc w:val="right"/>
              <w:rPr>
                <w:rFonts w:ascii="Times New Roman"/>
                <w:sz w:val="21"/>
              </w:rPr>
            </w:pPr>
            <w:r>
              <w:rPr>
                <w:rFonts w:ascii="Times New Roman"/>
                <w:w w:val="100"/>
                <w:sz w:val="21"/>
              </w:rPr>
              <w:t>-</w:t>
            </w:r>
          </w:p>
        </w:tc>
        <w:tc>
          <w:tcPr>
            <w:tcW w:w="702" w:type="dxa"/>
            <w:tcBorders>
              <w:bottom w:val="nil"/>
            </w:tcBorders>
          </w:tcPr>
          <w:p>
            <w:pPr>
              <w:pStyle w:val="TableParagraph"/>
              <w:spacing w:line="235" w:lineRule="exact"/>
              <w:ind w:right="104"/>
              <w:jc w:val="right"/>
              <w:rPr>
                <w:rFonts w:ascii="Times New Roman"/>
                <w:sz w:val="21"/>
              </w:rPr>
            </w:pPr>
            <w:r>
              <w:rPr>
                <w:rFonts w:ascii="Times New Roman"/>
                <w:sz w:val="21"/>
              </w:rPr>
              <w:t>110,5</w:t>
            </w:r>
          </w:p>
          <w:p>
            <w:pPr>
              <w:pStyle w:val="TableParagraph"/>
              <w:spacing w:before="1"/>
              <w:ind w:right="107"/>
              <w:jc w:val="right"/>
              <w:rPr>
                <w:rFonts w:ascii="Times New Roman"/>
                <w:sz w:val="21"/>
              </w:rPr>
            </w:pPr>
            <w:r>
              <w:rPr>
                <w:rFonts w:ascii="Times New Roman"/>
                <w:sz w:val="21"/>
              </w:rPr>
              <w:t>69</w:t>
            </w:r>
          </w:p>
        </w:tc>
        <w:tc>
          <w:tcPr>
            <w:tcW w:w="575" w:type="dxa"/>
            <w:tcBorders>
              <w:bottom w:val="nil"/>
            </w:tcBorders>
          </w:tcPr>
          <w:p>
            <w:pPr>
              <w:pStyle w:val="TableParagraph"/>
              <w:spacing w:line="235" w:lineRule="exact"/>
              <w:ind w:left="228"/>
              <w:rPr>
                <w:rFonts w:ascii="Times New Roman"/>
                <w:sz w:val="21"/>
              </w:rPr>
            </w:pPr>
            <w:r>
              <w:rPr>
                <w:rFonts w:ascii="Times New Roman"/>
                <w:w w:val="100"/>
                <w:sz w:val="21"/>
              </w:rPr>
              <w:t>-</w:t>
            </w:r>
          </w:p>
        </w:tc>
      </w:tr>
      <w:tr>
        <w:trPr>
          <w:trHeight w:val="262" w:hRule="atLeast"/>
        </w:trPr>
        <w:tc>
          <w:tcPr>
            <w:tcW w:w="754" w:type="dxa"/>
            <w:tcBorders>
              <w:top w:val="nil"/>
              <w:bottom w:val="nil"/>
            </w:tcBorders>
          </w:tcPr>
          <w:p>
            <w:pPr>
              <w:pStyle w:val="TableParagraph"/>
              <w:spacing w:line="243" w:lineRule="exact"/>
              <w:ind w:left="107"/>
              <w:rPr>
                <w:sz w:val="21"/>
              </w:rPr>
            </w:pPr>
            <w:r>
              <w:rPr>
                <w:sz w:val="21"/>
              </w:rPr>
              <w:t>智云</w:t>
            </w:r>
          </w:p>
        </w:tc>
        <w:tc>
          <w:tcPr>
            <w:tcW w:w="687" w:type="dxa"/>
            <w:tcBorders>
              <w:top w:val="nil"/>
              <w:bottom w:val="nil"/>
            </w:tcBorders>
          </w:tcPr>
          <w:p>
            <w:pPr>
              <w:pStyle w:val="TableParagraph"/>
              <w:rPr>
                <w:rFonts w:ascii="Times New Roman"/>
                <w:sz w:val="18"/>
              </w:rPr>
            </w:pPr>
          </w:p>
        </w:tc>
        <w:tc>
          <w:tcPr>
            <w:tcW w:w="690" w:type="dxa"/>
            <w:tcBorders>
              <w:top w:val="nil"/>
              <w:bottom w:val="nil"/>
            </w:tcBorders>
          </w:tcPr>
          <w:p>
            <w:pPr>
              <w:pStyle w:val="TableParagraph"/>
              <w:rPr>
                <w:rFonts w:ascii="Times New Roman"/>
                <w:sz w:val="18"/>
              </w:rPr>
            </w:pPr>
          </w:p>
        </w:tc>
        <w:tc>
          <w:tcPr>
            <w:tcW w:w="603" w:type="dxa"/>
            <w:tcBorders>
              <w:top w:val="nil"/>
              <w:bottom w:val="nil"/>
            </w:tcBorders>
          </w:tcPr>
          <w:p>
            <w:pPr>
              <w:pStyle w:val="TableParagraph"/>
              <w:rPr>
                <w:rFonts w:ascii="Times New Roman"/>
                <w:sz w:val="18"/>
              </w:rPr>
            </w:pPr>
          </w:p>
        </w:tc>
        <w:tc>
          <w:tcPr>
            <w:tcW w:w="718" w:type="dxa"/>
            <w:tcBorders>
              <w:top w:val="nil"/>
              <w:bottom w:val="nil"/>
            </w:tcBorders>
          </w:tcPr>
          <w:p>
            <w:pPr>
              <w:pStyle w:val="TableParagraph"/>
              <w:rPr>
                <w:rFonts w:ascii="Times New Roman"/>
                <w:sz w:val="18"/>
              </w:rPr>
            </w:pPr>
          </w:p>
        </w:tc>
        <w:tc>
          <w:tcPr>
            <w:tcW w:w="665" w:type="dxa"/>
            <w:tcBorders>
              <w:top w:val="nil"/>
              <w:bottom w:val="nil"/>
            </w:tcBorders>
          </w:tcPr>
          <w:p>
            <w:pPr>
              <w:pStyle w:val="TableParagraph"/>
              <w:rPr>
                <w:rFonts w:ascii="Times New Roman"/>
                <w:sz w:val="18"/>
              </w:rPr>
            </w:pPr>
          </w:p>
        </w:tc>
        <w:tc>
          <w:tcPr>
            <w:tcW w:w="637" w:type="dxa"/>
            <w:tcBorders>
              <w:top w:val="nil"/>
              <w:bottom w:val="nil"/>
            </w:tcBorders>
          </w:tcPr>
          <w:p>
            <w:pPr>
              <w:pStyle w:val="TableParagraph"/>
              <w:rPr>
                <w:rFonts w:ascii="Times New Roman"/>
                <w:sz w:val="18"/>
              </w:rPr>
            </w:pPr>
          </w:p>
        </w:tc>
        <w:tc>
          <w:tcPr>
            <w:tcW w:w="644" w:type="dxa"/>
            <w:vMerge/>
            <w:tcBorders>
              <w:top w:val="nil"/>
            </w:tcBorders>
          </w:tcPr>
          <w:p>
            <w:pPr>
              <w:rPr>
                <w:sz w:val="2"/>
                <w:szCs w:val="2"/>
              </w:rPr>
            </w:pPr>
          </w:p>
        </w:tc>
        <w:tc>
          <w:tcPr>
            <w:tcW w:w="714" w:type="dxa"/>
            <w:tcBorders>
              <w:top w:val="nil"/>
              <w:bottom w:val="nil"/>
            </w:tcBorders>
          </w:tcPr>
          <w:p>
            <w:pPr>
              <w:pStyle w:val="TableParagraph"/>
              <w:rPr>
                <w:rFonts w:ascii="Times New Roman"/>
                <w:sz w:val="18"/>
              </w:rPr>
            </w:pPr>
          </w:p>
        </w:tc>
        <w:tc>
          <w:tcPr>
            <w:tcW w:w="704" w:type="dxa"/>
            <w:tcBorders>
              <w:top w:val="nil"/>
              <w:bottom w:val="nil"/>
            </w:tcBorders>
          </w:tcPr>
          <w:p>
            <w:pPr>
              <w:pStyle w:val="TableParagraph"/>
              <w:rPr>
                <w:rFonts w:ascii="Times New Roman"/>
                <w:sz w:val="18"/>
              </w:rPr>
            </w:pPr>
          </w:p>
        </w:tc>
        <w:tc>
          <w:tcPr>
            <w:tcW w:w="741" w:type="dxa"/>
            <w:tcBorders>
              <w:top w:val="nil"/>
              <w:bottom w:val="nil"/>
            </w:tcBorders>
          </w:tcPr>
          <w:p>
            <w:pPr>
              <w:pStyle w:val="TableParagraph"/>
              <w:rPr>
                <w:rFonts w:ascii="Times New Roman"/>
                <w:sz w:val="18"/>
              </w:rPr>
            </w:pPr>
          </w:p>
        </w:tc>
        <w:tc>
          <w:tcPr>
            <w:tcW w:w="702" w:type="dxa"/>
            <w:tcBorders>
              <w:top w:val="nil"/>
              <w:bottom w:val="nil"/>
            </w:tcBorders>
          </w:tcPr>
          <w:p>
            <w:pPr>
              <w:pStyle w:val="TableParagraph"/>
              <w:rPr>
                <w:rFonts w:ascii="Times New Roman"/>
                <w:sz w:val="18"/>
              </w:rPr>
            </w:pPr>
          </w:p>
        </w:tc>
        <w:tc>
          <w:tcPr>
            <w:tcW w:w="575" w:type="dxa"/>
            <w:tcBorders>
              <w:top w:val="nil"/>
              <w:bottom w:val="nil"/>
            </w:tcBorders>
          </w:tcPr>
          <w:p>
            <w:pPr>
              <w:pStyle w:val="TableParagraph"/>
              <w:rPr>
                <w:rFonts w:ascii="Times New Roman"/>
                <w:sz w:val="18"/>
              </w:rPr>
            </w:pPr>
          </w:p>
        </w:tc>
      </w:tr>
      <w:tr>
        <w:trPr>
          <w:trHeight w:val="262" w:hRule="atLeast"/>
        </w:trPr>
        <w:tc>
          <w:tcPr>
            <w:tcW w:w="754" w:type="dxa"/>
            <w:tcBorders>
              <w:top w:val="nil"/>
              <w:bottom w:val="nil"/>
            </w:tcBorders>
          </w:tcPr>
          <w:p>
            <w:pPr>
              <w:pStyle w:val="TableParagraph"/>
              <w:spacing w:line="243" w:lineRule="exact"/>
              <w:ind w:left="107"/>
              <w:rPr>
                <w:sz w:val="21"/>
              </w:rPr>
            </w:pPr>
            <w:r>
              <w:rPr>
                <w:sz w:val="21"/>
              </w:rPr>
              <w:t>科技</w:t>
            </w:r>
          </w:p>
        </w:tc>
        <w:tc>
          <w:tcPr>
            <w:tcW w:w="687" w:type="dxa"/>
            <w:tcBorders>
              <w:top w:val="nil"/>
              <w:bottom w:val="nil"/>
            </w:tcBorders>
          </w:tcPr>
          <w:p>
            <w:pPr>
              <w:pStyle w:val="TableParagraph"/>
              <w:rPr>
                <w:rFonts w:ascii="Times New Roman"/>
                <w:sz w:val="18"/>
              </w:rPr>
            </w:pPr>
          </w:p>
        </w:tc>
        <w:tc>
          <w:tcPr>
            <w:tcW w:w="690" w:type="dxa"/>
            <w:tcBorders>
              <w:top w:val="nil"/>
              <w:bottom w:val="nil"/>
            </w:tcBorders>
          </w:tcPr>
          <w:p>
            <w:pPr>
              <w:pStyle w:val="TableParagraph"/>
              <w:rPr>
                <w:rFonts w:ascii="Times New Roman"/>
                <w:sz w:val="18"/>
              </w:rPr>
            </w:pPr>
          </w:p>
        </w:tc>
        <w:tc>
          <w:tcPr>
            <w:tcW w:w="603" w:type="dxa"/>
            <w:tcBorders>
              <w:top w:val="nil"/>
              <w:bottom w:val="nil"/>
            </w:tcBorders>
          </w:tcPr>
          <w:p>
            <w:pPr>
              <w:pStyle w:val="TableParagraph"/>
              <w:rPr>
                <w:rFonts w:ascii="Times New Roman"/>
                <w:sz w:val="18"/>
              </w:rPr>
            </w:pPr>
          </w:p>
        </w:tc>
        <w:tc>
          <w:tcPr>
            <w:tcW w:w="718" w:type="dxa"/>
            <w:tcBorders>
              <w:top w:val="nil"/>
              <w:bottom w:val="nil"/>
            </w:tcBorders>
          </w:tcPr>
          <w:p>
            <w:pPr>
              <w:pStyle w:val="TableParagraph"/>
              <w:rPr>
                <w:rFonts w:ascii="Times New Roman"/>
                <w:sz w:val="18"/>
              </w:rPr>
            </w:pPr>
          </w:p>
        </w:tc>
        <w:tc>
          <w:tcPr>
            <w:tcW w:w="665" w:type="dxa"/>
            <w:tcBorders>
              <w:top w:val="nil"/>
              <w:bottom w:val="nil"/>
            </w:tcBorders>
          </w:tcPr>
          <w:p>
            <w:pPr>
              <w:pStyle w:val="TableParagraph"/>
              <w:rPr>
                <w:rFonts w:ascii="Times New Roman"/>
                <w:sz w:val="18"/>
              </w:rPr>
            </w:pPr>
          </w:p>
        </w:tc>
        <w:tc>
          <w:tcPr>
            <w:tcW w:w="637" w:type="dxa"/>
            <w:tcBorders>
              <w:top w:val="nil"/>
              <w:bottom w:val="nil"/>
            </w:tcBorders>
          </w:tcPr>
          <w:p>
            <w:pPr>
              <w:pStyle w:val="TableParagraph"/>
              <w:rPr>
                <w:rFonts w:ascii="Times New Roman"/>
                <w:sz w:val="18"/>
              </w:rPr>
            </w:pPr>
          </w:p>
        </w:tc>
        <w:tc>
          <w:tcPr>
            <w:tcW w:w="644" w:type="dxa"/>
            <w:vMerge/>
            <w:tcBorders>
              <w:top w:val="nil"/>
            </w:tcBorders>
          </w:tcPr>
          <w:p>
            <w:pPr>
              <w:rPr>
                <w:sz w:val="2"/>
                <w:szCs w:val="2"/>
              </w:rPr>
            </w:pPr>
          </w:p>
        </w:tc>
        <w:tc>
          <w:tcPr>
            <w:tcW w:w="714" w:type="dxa"/>
            <w:tcBorders>
              <w:top w:val="nil"/>
              <w:bottom w:val="nil"/>
            </w:tcBorders>
          </w:tcPr>
          <w:p>
            <w:pPr>
              <w:pStyle w:val="TableParagraph"/>
              <w:rPr>
                <w:rFonts w:ascii="Times New Roman"/>
                <w:sz w:val="18"/>
              </w:rPr>
            </w:pPr>
          </w:p>
        </w:tc>
        <w:tc>
          <w:tcPr>
            <w:tcW w:w="704" w:type="dxa"/>
            <w:tcBorders>
              <w:top w:val="nil"/>
              <w:bottom w:val="nil"/>
            </w:tcBorders>
          </w:tcPr>
          <w:p>
            <w:pPr>
              <w:pStyle w:val="TableParagraph"/>
              <w:rPr>
                <w:rFonts w:ascii="Times New Roman"/>
                <w:sz w:val="18"/>
              </w:rPr>
            </w:pPr>
          </w:p>
        </w:tc>
        <w:tc>
          <w:tcPr>
            <w:tcW w:w="741" w:type="dxa"/>
            <w:tcBorders>
              <w:top w:val="nil"/>
              <w:bottom w:val="nil"/>
            </w:tcBorders>
          </w:tcPr>
          <w:p>
            <w:pPr>
              <w:pStyle w:val="TableParagraph"/>
              <w:rPr>
                <w:rFonts w:ascii="Times New Roman"/>
                <w:sz w:val="18"/>
              </w:rPr>
            </w:pPr>
          </w:p>
        </w:tc>
        <w:tc>
          <w:tcPr>
            <w:tcW w:w="702" w:type="dxa"/>
            <w:tcBorders>
              <w:top w:val="nil"/>
              <w:bottom w:val="nil"/>
            </w:tcBorders>
          </w:tcPr>
          <w:p>
            <w:pPr>
              <w:pStyle w:val="TableParagraph"/>
              <w:rPr>
                <w:rFonts w:ascii="Times New Roman"/>
                <w:sz w:val="18"/>
              </w:rPr>
            </w:pPr>
          </w:p>
        </w:tc>
        <w:tc>
          <w:tcPr>
            <w:tcW w:w="575" w:type="dxa"/>
            <w:tcBorders>
              <w:top w:val="nil"/>
              <w:bottom w:val="nil"/>
            </w:tcBorders>
          </w:tcPr>
          <w:p>
            <w:pPr>
              <w:pStyle w:val="TableParagraph"/>
              <w:rPr>
                <w:rFonts w:ascii="Times New Roman"/>
                <w:sz w:val="18"/>
              </w:rPr>
            </w:pPr>
          </w:p>
        </w:tc>
      </w:tr>
      <w:tr>
        <w:trPr>
          <w:trHeight w:val="261" w:hRule="atLeast"/>
        </w:trPr>
        <w:tc>
          <w:tcPr>
            <w:tcW w:w="754" w:type="dxa"/>
            <w:tcBorders>
              <w:top w:val="nil"/>
              <w:bottom w:val="nil"/>
            </w:tcBorders>
          </w:tcPr>
          <w:p>
            <w:pPr>
              <w:pStyle w:val="TableParagraph"/>
              <w:spacing w:line="241" w:lineRule="exact"/>
              <w:ind w:left="107"/>
              <w:rPr>
                <w:sz w:val="21"/>
              </w:rPr>
            </w:pPr>
            <w:r>
              <w:rPr>
                <w:sz w:val="21"/>
              </w:rPr>
              <w:t>有限</w:t>
            </w:r>
          </w:p>
        </w:tc>
        <w:tc>
          <w:tcPr>
            <w:tcW w:w="687" w:type="dxa"/>
            <w:tcBorders>
              <w:top w:val="nil"/>
              <w:bottom w:val="nil"/>
            </w:tcBorders>
          </w:tcPr>
          <w:p>
            <w:pPr>
              <w:pStyle w:val="TableParagraph"/>
              <w:rPr>
                <w:rFonts w:ascii="Times New Roman"/>
                <w:sz w:val="18"/>
              </w:rPr>
            </w:pPr>
          </w:p>
        </w:tc>
        <w:tc>
          <w:tcPr>
            <w:tcW w:w="690" w:type="dxa"/>
            <w:tcBorders>
              <w:top w:val="nil"/>
              <w:bottom w:val="nil"/>
            </w:tcBorders>
          </w:tcPr>
          <w:p>
            <w:pPr>
              <w:pStyle w:val="TableParagraph"/>
              <w:rPr>
                <w:rFonts w:ascii="Times New Roman"/>
                <w:sz w:val="18"/>
              </w:rPr>
            </w:pPr>
          </w:p>
        </w:tc>
        <w:tc>
          <w:tcPr>
            <w:tcW w:w="603" w:type="dxa"/>
            <w:tcBorders>
              <w:top w:val="nil"/>
              <w:bottom w:val="nil"/>
            </w:tcBorders>
          </w:tcPr>
          <w:p>
            <w:pPr>
              <w:pStyle w:val="TableParagraph"/>
              <w:rPr>
                <w:rFonts w:ascii="Times New Roman"/>
                <w:sz w:val="18"/>
              </w:rPr>
            </w:pPr>
          </w:p>
        </w:tc>
        <w:tc>
          <w:tcPr>
            <w:tcW w:w="718" w:type="dxa"/>
            <w:tcBorders>
              <w:top w:val="nil"/>
              <w:bottom w:val="nil"/>
            </w:tcBorders>
          </w:tcPr>
          <w:p>
            <w:pPr>
              <w:pStyle w:val="TableParagraph"/>
              <w:rPr>
                <w:rFonts w:ascii="Times New Roman"/>
                <w:sz w:val="18"/>
              </w:rPr>
            </w:pPr>
          </w:p>
        </w:tc>
        <w:tc>
          <w:tcPr>
            <w:tcW w:w="665" w:type="dxa"/>
            <w:tcBorders>
              <w:top w:val="nil"/>
              <w:bottom w:val="nil"/>
            </w:tcBorders>
          </w:tcPr>
          <w:p>
            <w:pPr>
              <w:pStyle w:val="TableParagraph"/>
              <w:rPr>
                <w:rFonts w:ascii="Times New Roman"/>
                <w:sz w:val="18"/>
              </w:rPr>
            </w:pPr>
          </w:p>
        </w:tc>
        <w:tc>
          <w:tcPr>
            <w:tcW w:w="637" w:type="dxa"/>
            <w:tcBorders>
              <w:top w:val="nil"/>
              <w:bottom w:val="nil"/>
            </w:tcBorders>
          </w:tcPr>
          <w:p>
            <w:pPr>
              <w:pStyle w:val="TableParagraph"/>
              <w:rPr>
                <w:rFonts w:ascii="Times New Roman"/>
                <w:sz w:val="18"/>
              </w:rPr>
            </w:pPr>
          </w:p>
        </w:tc>
        <w:tc>
          <w:tcPr>
            <w:tcW w:w="644" w:type="dxa"/>
            <w:vMerge/>
            <w:tcBorders>
              <w:top w:val="nil"/>
            </w:tcBorders>
          </w:tcPr>
          <w:p>
            <w:pPr>
              <w:rPr>
                <w:sz w:val="2"/>
                <w:szCs w:val="2"/>
              </w:rPr>
            </w:pPr>
          </w:p>
        </w:tc>
        <w:tc>
          <w:tcPr>
            <w:tcW w:w="714" w:type="dxa"/>
            <w:tcBorders>
              <w:top w:val="nil"/>
              <w:bottom w:val="nil"/>
            </w:tcBorders>
          </w:tcPr>
          <w:p>
            <w:pPr>
              <w:pStyle w:val="TableParagraph"/>
              <w:rPr>
                <w:rFonts w:ascii="Times New Roman"/>
                <w:sz w:val="18"/>
              </w:rPr>
            </w:pPr>
          </w:p>
        </w:tc>
        <w:tc>
          <w:tcPr>
            <w:tcW w:w="704" w:type="dxa"/>
            <w:tcBorders>
              <w:top w:val="nil"/>
              <w:bottom w:val="nil"/>
            </w:tcBorders>
          </w:tcPr>
          <w:p>
            <w:pPr>
              <w:pStyle w:val="TableParagraph"/>
              <w:rPr>
                <w:rFonts w:ascii="Times New Roman"/>
                <w:sz w:val="18"/>
              </w:rPr>
            </w:pPr>
          </w:p>
        </w:tc>
        <w:tc>
          <w:tcPr>
            <w:tcW w:w="741" w:type="dxa"/>
            <w:tcBorders>
              <w:top w:val="nil"/>
              <w:bottom w:val="nil"/>
            </w:tcBorders>
          </w:tcPr>
          <w:p>
            <w:pPr>
              <w:pStyle w:val="TableParagraph"/>
              <w:rPr>
                <w:rFonts w:ascii="Times New Roman"/>
                <w:sz w:val="18"/>
              </w:rPr>
            </w:pPr>
          </w:p>
        </w:tc>
        <w:tc>
          <w:tcPr>
            <w:tcW w:w="702" w:type="dxa"/>
            <w:tcBorders>
              <w:top w:val="nil"/>
              <w:bottom w:val="nil"/>
            </w:tcBorders>
          </w:tcPr>
          <w:p>
            <w:pPr>
              <w:pStyle w:val="TableParagraph"/>
              <w:rPr>
                <w:rFonts w:ascii="Times New Roman"/>
                <w:sz w:val="18"/>
              </w:rPr>
            </w:pPr>
          </w:p>
        </w:tc>
        <w:tc>
          <w:tcPr>
            <w:tcW w:w="575" w:type="dxa"/>
            <w:tcBorders>
              <w:top w:val="nil"/>
              <w:bottom w:val="nil"/>
            </w:tcBorders>
          </w:tcPr>
          <w:p>
            <w:pPr>
              <w:pStyle w:val="TableParagraph"/>
              <w:rPr>
                <w:rFonts w:ascii="Times New Roman"/>
                <w:sz w:val="18"/>
              </w:rPr>
            </w:pPr>
          </w:p>
        </w:tc>
      </w:tr>
      <w:tr>
        <w:trPr>
          <w:trHeight w:val="268" w:hRule="atLeast"/>
        </w:trPr>
        <w:tc>
          <w:tcPr>
            <w:tcW w:w="754" w:type="dxa"/>
            <w:tcBorders>
              <w:top w:val="nil"/>
            </w:tcBorders>
          </w:tcPr>
          <w:p>
            <w:pPr>
              <w:pStyle w:val="TableParagraph"/>
              <w:spacing w:line="249" w:lineRule="exact"/>
              <w:ind w:left="107"/>
              <w:rPr>
                <w:sz w:val="21"/>
              </w:rPr>
            </w:pPr>
            <w:r>
              <w:rPr>
                <w:sz w:val="21"/>
              </w:rPr>
              <w:t>公司 </w:t>
            </w:r>
          </w:p>
        </w:tc>
        <w:tc>
          <w:tcPr>
            <w:tcW w:w="687" w:type="dxa"/>
            <w:tcBorders>
              <w:top w:val="nil"/>
            </w:tcBorders>
          </w:tcPr>
          <w:p>
            <w:pPr>
              <w:pStyle w:val="TableParagraph"/>
              <w:rPr>
                <w:rFonts w:ascii="Times New Roman"/>
                <w:sz w:val="18"/>
              </w:rPr>
            </w:pPr>
          </w:p>
        </w:tc>
        <w:tc>
          <w:tcPr>
            <w:tcW w:w="690" w:type="dxa"/>
            <w:tcBorders>
              <w:top w:val="nil"/>
            </w:tcBorders>
          </w:tcPr>
          <w:p>
            <w:pPr>
              <w:pStyle w:val="TableParagraph"/>
              <w:rPr>
                <w:rFonts w:ascii="Times New Roman"/>
                <w:sz w:val="18"/>
              </w:rPr>
            </w:pPr>
          </w:p>
        </w:tc>
        <w:tc>
          <w:tcPr>
            <w:tcW w:w="603" w:type="dxa"/>
            <w:tcBorders>
              <w:top w:val="nil"/>
            </w:tcBorders>
          </w:tcPr>
          <w:p>
            <w:pPr>
              <w:pStyle w:val="TableParagraph"/>
              <w:rPr>
                <w:rFonts w:ascii="Times New Roman"/>
                <w:sz w:val="18"/>
              </w:rPr>
            </w:pPr>
          </w:p>
        </w:tc>
        <w:tc>
          <w:tcPr>
            <w:tcW w:w="718" w:type="dxa"/>
            <w:tcBorders>
              <w:top w:val="nil"/>
            </w:tcBorders>
          </w:tcPr>
          <w:p>
            <w:pPr>
              <w:pStyle w:val="TableParagraph"/>
              <w:rPr>
                <w:rFonts w:ascii="Times New Roman"/>
                <w:sz w:val="18"/>
              </w:rPr>
            </w:pPr>
          </w:p>
        </w:tc>
        <w:tc>
          <w:tcPr>
            <w:tcW w:w="665" w:type="dxa"/>
            <w:tcBorders>
              <w:top w:val="nil"/>
            </w:tcBorders>
          </w:tcPr>
          <w:p>
            <w:pPr>
              <w:pStyle w:val="TableParagraph"/>
              <w:rPr>
                <w:rFonts w:ascii="Times New Roman"/>
                <w:sz w:val="18"/>
              </w:rPr>
            </w:pPr>
          </w:p>
        </w:tc>
        <w:tc>
          <w:tcPr>
            <w:tcW w:w="637" w:type="dxa"/>
            <w:tcBorders>
              <w:top w:val="nil"/>
            </w:tcBorders>
          </w:tcPr>
          <w:p>
            <w:pPr>
              <w:pStyle w:val="TableParagraph"/>
              <w:rPr>
                <w:rFonts w:ascii="Times New Roman"/>
                <w:sz w:val="18"/>
              </w:rPr>
            </w:pPr>
          </w:p>
        </w:tc>
        <w:tc>
          <w:tcPr>
            <w:tcW w:w="644" w:type="dxa"/>
            <w:vMerge/>
            <w:tcBorders>
              <w:top w:val="nil"/>
            </w:tcBorders>
          </w:tcPr>
          <w:p>
            <w:pPr>
              <w:rPr>
                <w:sz w:val="2"/>
                <w:szCs w:val="2"/>
              </w:rPr>
            </w:pPr>
          </w:p>
        </w:tc>
        <w:tc>
          <w:tcPr>
            <w:tcW w:w="714" w:type="dxa"/>
            <w:tcBorders>
              <w:top w:val="nil"/>
            </w:tcBorders>
          </w:tcPr>
          <w:p>
            <w:pPr>
              <w:pStyle w:val="TableParagraph"/>
              <w:rPr>
                <w:rFonts w:ascii="Times New Roman"/>
                <w:sz w:val="18"/>
              </w:rPr>
            </w:pPr>
          </w:p>
        </w:tc>
        <w:tc>
          <w:tcPr>
            <w:tcW w:w="704" w:type="dxa"/>
            <w:tcBorders>
              <w:top w:val="nil"/>
            </w:tcBorders>
          </w:tcPr>
          <w:p>
            <w:pPr>
              <w:pStyle w:val="TableParagraph"/>
              <w:rPr>
                <w:rFonts w:ascii="Times New Roman"/>
                <w:sz w:val="18"/>
              </w:rPr>
            </w:pPr>
          </w:p>
        </w:tc>
        <w:tc>
          <w:tcPr>
            <w:tcW w:w="741" w:type="dxa"/>
            <w:tcBorders>
              <w:top w:val="nil"/>
            </w:tcBorders>
          </w:tcPr>
          <w:p>
            <w:pPr>
              <w:pStyle w:val="TableParagraph"/>
              <w:rPr>
                <w:rFonts w:ascii="Times New Roman"/>
                <w:sz w:val="18"/>
              </w:rPr>
            </w:pPr>
          </w:p>
        </w:tc>
        <w:tc>
          <w:tcPr>
            <w:tcW w:w="702" w:type="dxa"/>
            <w:tcBorders>
              <w:top w:val="nil"/>
            </w:tcBorders>
          </w:tcPr>
          <w:p>
            <w:pPr>
              <w:pStyle w:val="TableParagraph"/>
              <w:rPr>
                <w:rFonts w:ascii="Times New Roman"/>
                <w:sz w:val="18"/>
              </w:rPr>
            </w:pPr>
          </w:p>
        </w:tc>
        <w:tc>
          <w:tcPr>
            <w:tcW w:w="575" w:type="dxa"/>
            <w:tcBorders>
              <w:top w:val="nil"/>
            </w:tcBorders>
          </w:tcPr>
          <w:p>
            <w:pPr>
              <w:pStyle w:val="TableParagraph"/>
              <w:rPr>
                <w:rFonts w:ascii="Times New Roman"/>
                <w:sz w:val="18"/>
              </w:rPr>
            </w:pPr>
          </w:p>
        </w:tc>
      </w:tr>
      <w:tr>
        <w:trPr>
          <w:trHeight w:val="539" w:hRule="atLeast"/>
        </w:trPr>
        <w:tc>
          <w:tcPr>
            <w:tcW w:w="754" w:type="dxa"/>
            <w:tcBorders>
              <w:bottom w:val="nil"/>
            </w:tcBorders>
          </w:tcPr>
          <w:p>
            <w:pPr>
              <w:pStyle w:val="TableParagraph"/>
              <w:spacing w:before="1"/>
              <w:ind w:left="107"/>
              <w:rPr>
                <w:sz w:val="21"/>
              </w:rPr>
            </w:pPr>
            <w:r>
              <w:rPr>
                <w:sz w:val="21"/>
              </w:rPr>
              <w:t>上海</w:t>
            </w:r>
          </w:p>
          <w:p>
            <w:pPr>
              <w:pStyle w:val="TableParagraph"/>
              <w:spacing w:line="245" w:lineRule="exact" w:before="4"/>
              <w:ind w:left="107"/>
              <w:rPr>
                <w:sz w:val="21"/>
              </w:rPr>
            </w:pPr>
            <w:r>
              <w:rPr>
                <w:sz w:val="21"/>
              </w:rPr>
              <w:t>东方</w:t>
            </w:r>
          </w:p>
        </w:tc>
        <w:tc>
          <w:tcPr>
            <w:tcW w:w="687" w:type="dxa"/>
            <w:tcBorders>
              <w:bottom w:val="nil"/>
            </w:tcBorders>
          </w:tcPr>
          <w:p>
            <w:pPr>
              <w:pStyle w:val="TableParagraph"/>
              <w:spacing w:line="235" w:lineRule="exact"/>
              <w:ind w:right="94"/>
              <w:jc w:val="right"/>
              <w:rPr>
                <w:rFonts w:ascii="Times New Roman"/>
                <w:sz w:val="21"/>
              </w:rPr>
            </w:pPr>
            <w:r>
              <w:rPr>
                <w:rFonts w:ascii="Times New Roman"/>
                <w:sz w:val="21"/>
              </w:rPr>
              <w:t>15,0</w:t>
            </w:r>
          </w:p>
          <w:p>
            <w:pPr>
              <w:pStyle w:val="TableParagraph"/>
              <w:spacing w:before="1"/>
              <w:ind w:right="97"/>
              <w:jc w:val="right"/>
              <w:rPr>
                <w:rFonts w:ascii="Times New Roman"/>
                <w:sz w:val="21"/>
              </w:rPr>
            </w:pPr>
            <w:r>
              <w:rPr>
                <w:rFonts w:ascii="Times New Roman"/>
                <w:sz w:val="21"/>
              </w:rPr>
              <w:t>74</w:t>
            </w:r>
          </w:p>
        </w:tc>
        <w:tc>
          <w:tcPr>
            <w:tcW w:w="690" w:type="dxa"/>
            <w:tcBorders>
              <w:bottom w:val="nil"/>
            </w:tcBorders>
          </w:tcPr>
          <w:p>
            <w:pPr>
              <w:pStyle w:val="TableParagraph"/>
              <w:spacing w:line="235" w:lineRule="exact"/>
              <w:ind w:left="349"/>
              <w:rPr>
                <w:rFonts w:ascii="Times New Roman"/>
                <w:sz w:val="21"/>
              </w:rPr>
            </w:pPr>
            <w:r>
              <w:rPr>
                <w:rFonts w:ascii="Times New Roman"/>
                <w:w w:val="100"/>
                <w:sz w:val="21"/>
              </w:rPr>
              <w:t>-</w:t>
            </w:r>
          </w:p>
        </w:tc>
        <w:tc>
          <w:tcPr>
            <w:tcW w:w="603" w:type="dxa"/>
            <w:tcBorders>
              <w:bottom w:val="nil"/>
            </w:tcBorders>
          </w:tcPr>
          <w:p>
            <w:pPr>
              <w:pStyle w:val="TableParagraph"/>
              <w:spacing w:line="235" w:lineRule="exact"/>
              <w:ind w:left="264"/>
              <w:rPr>
                <w:rFonts w:ascii="Times New Roman"/>
                <w:sz w:val="21"/>
              </w:rPr>
            </w:pPr>
            <w:r>
              <w:rPr>
                <w:rFonts w:ascii="Times New Roman"/>
                <w:w w:val="100"/>
                <w:sz w:val="21"/>
              </w:rPr>
              <w:t>-</w:t>
            </w:r>
          </w:p>
        </w:tc>
        <w:tc>
          <w:tcPr>
            <w:tcW w:w="718" w:type="dxa"/>
            <w:tcBorders>
              <w:bottom w:val="nil"/>
            </w:tcBorders>
          </w:tcPr>
          <w:p>
            <w:pPr>
              <w:pStyle w:val="TableParagraph"/>
              <w:ind w:left="131" w:right="84" w:firstLine="403"/>
              <w:rPr>
                <w:rFonts w:ascii="Times New Roman"/>
                <w:sz w:val="21"/>
              </w:rPr>
            </w:pPr>
            <w:r>
              <w:rPr>
                <w:rFonts w:ascii="Times New Roman"/>
                <w:sz w:val="21"/>
              </w:rPr>
              <w:t>-</w:t>
            </w:r>
            <w:r>
              <w:rPr>
                <w:rFonts w:ascii="Times New Roman"/>
                <w:spacing w:val="-50"/>
                <w:sz w:val="21"/>
              </w:rPr>
              <w:t> </w:t>
            </w:r>
            <w:r>
              <w:rPr>
                <w:rFonts w:ascii="Times New Roman"/>
                <w:sz w:val="21"/>
              </w:rPr>
              <w:t>4,352</w:t>
            </w:r>
          </w:p>
        </w:tc>
        <w:tc>
          <w:tcPr>
            <w:tcW w:w="665" w:type="dxa"/>
            <w:tcBorders>
              <w:bottom w:val="nil"/>
            </w:tcBorders>
          </w:tcPr>
          <w:p>
            <w:pPr>
              <w:pStyle w:val="TableParagraph"/>
              <w:spacing w:line="235" w:lineRule="exact"/>
              <w:ind w:left="323"/>
              <w:rPr>
                <w:rFonts w:ascii="Times New Roman"/>
                <w:sz w:val="21"/>
              </w:rPr>
            </w:pPr>
            <w:r>
              <w:rPr>
                <w:rFonts w:ascii="Times New Roman"/>
                <w:w w:val="100"/>
                <w:sz w:val="21"/>
              </w:rPr>
              <w:t>-</w:t>
            </w:r>
          </w:p>
        </w:tc>
        <w:tc>
          <w:tcPr>
            <w:tcW w:w="637" w:type="dxa"/>
            <w:tcBorders>
              <w:bottom w:val="nil"/>
            </w:tcBorders>
          </w:tcPr>
          <w:p>
            <w:pPr>
              <w:pStyle w:val="TableParagraph"/>
              <w:spacing w:line="235" w:lineRule="exact"/>
              <w:ind w:left="296"/>
              <w:rPr>
                <w:rFonts w:ascii="Times New Roman"/>
                <w:sz w:val="21"/>
              </w:rPr>
            </w:pPr>
            <w:r>
              <w:rPr>
                <w:rFonts w:ascii="Times New Roman"/>
                <w:w w:val="100"/>
                <w:sz w:val="21"/>
              </w:rPr>
              <w:t>-</w:t>
            </w:r>
          </w:p>
        </w:tc>
        <w:tc>
          <w:tcPr>
            <w:tcW w:w="644" w:type="dxa"/>
            <w:vMerge w:val="restart"/>
          </w:tcPr>
          <w:p>
            <w:pPr>
              <w:pStyle w:val="TableParagraph"/>
              <w:rPr>
                <w:rFonts w:ascii="Times New Roman"/>
                <w:sz w:val="20"/>
              </w:rPr>
            </w:pPr>
          </w:p>
        </w:tc>
        <w:tc>
          <w:tcPr>
            <w:tcW w:w="714" w:type="dxa"/>
            <w:tcBorders>
              <w:bottom w:val="nil"/>
            </w:tcBorders>
          </w:tcPr>
          <w:p>
            <w:pPr>
              <w:pStyle w:val="TableParagraph"/>
              <w:spacing w:line="235" w:lineRule="exact"/>
              <w:ind w:right="100"/>
              <w:jc w:val="right"/>
              <w:rPr>
                <w:rFonts w:ascii="Times New Roman"/>
                <w:sz w:val="21"/>
              </w:rPr>
            </w:pPr>
            <w:r>
              <w:rPr>
                <w:rFonts w:ascii="Times New Roman"/>
                <w:w w:val="100"/>
                <w:sz w:val="21"/>
              </w:rPr>
              <w:t>-</w:t>
            </w:r>
          </w:p>
        </w:tc>
        <w:tc>
          <w:tcPr>
            <w:tcW w:w="704" w:type="dxa"/>
            <w:tcBorders>
              <w:bottom w:val="nil"/>
            </w:tcBorders>
          </w:tcPr>
          <w:p>
            <w:pPr>
              <w:pStyle w:val="TableParagraph"/>
              <w:spacing w:line="235" w:lineRule="exact"/>
              <w:ind w:left="519"/>
              <w:rPr>
                <w:rFonts w:ascii="Times New Roman"/>
                <w:sz w:val="21"/>
              </w:rPr>
            </w:pPr>
            <w:r>
              <w:rPr>
                <w:rFonts w:ascii="Times New Roman"/>
                <w:w w:val="100"/>
                <w:sz w:val="21"/>
              </w:rPr>
              <w:t>-</w:t>
            </w:r>
          </w:p>
        </w:tc>
        <w:tc>
          <w:tcPr>
            <w:tcW w:w="741" w:type="dxa"/>
            <w:tcBorders>
              <w:bottom w:val="nil"/>
            </w:tcBorders>
          </w:tcPr>
          <w:p>
            <w:pPr>
              <w:pStyle w:val="TableParagraph"/>
              <w:spacing w:line="235" w:lineRule="exact"/>
              <w:ind w:right="102"/>
              <w:jc w:val="right"/>
              <w:rPr>
                <w:rFonts w:ascii="Times New Roman"/>
                <w:sz w:val="21"/>
              </w:rPr>
            </w:pPr>
            <w:r>
              <w:rPr>
                <w:rFonts w:ascii="Times New Roman"/>
                <w:w w:val="100"/>
                <w:sz w:val="21"/>
              </w:rPr>
              <w:t>-</w:t>
            </w:r>
          </w:p>
        </w:tc>
        <w:tc>
          <w:tcPr>
            <w:tcW w:w="702" w:type="dxa"/>
            <w:tcBorders>
              <w:bottom w:val="nil"/>
            </w:tcBorders>
          </w:tcPr>
          <w:p>
            <w:pPr>
              <w:pStyle w:val="TableParagraph"/>
              <w:spacing w:line="235" w:lineRule="exact"/>
              <w:ind w:right="104"/>
              <w:jc w:val="right"/>
              <w:rPr>
                <w:rFonts w:ascii="Times New Roman"/>
                <w:sz w:val="21"/>
              </w:rPr>
            </w:pPr>
            <w:r>
              <w:rPr>
                <w:rFonts w:ascii="Times New Roman"/>
                <w:sz w:val="21"/>
              </w:rPr>
              <w:t>10,72</w:t>
            </w:r>
          </w:p>
          <w:p>
            <w:pPr>
              <w:pStyle w:val="TableParagraph"/>
              <w:spacing w:before="1"/>
              <w:ind w:right="107"/>
              <w:jc w:val="right"/>
              <w:rPr>
                <w:rFonts w:ascii="Times New Roman"/>
                <w:sz w:val="21"/>
              </w:rPr>
            </w:pPr>
            <w:r>
              <w:rPr>
                <w:rFonts w:ascii="Times New Roman"/>
                <w:w w:val="100"/>
                <w:sz w:val="21"/>
              </w:rPr>
              <w:t>2</w:t>
            </w:r>
          </w:p>
        </w:tc>
        <w:tc>
          <w:tcPr>
            <w:tcW w:w="575" w:type="dxa"/>
            <w:tcBorders>
              <w:bottom w:val="nil"/>
            </w:tcBorders>
          </w:tcPr>
          <w:p>
            <w:pPr>
              <w:pStyle w:val="TableParagraph"/>
              <w:spacing w:line="235" w:lineRule="exact"/>
              <w:ind w:left="228"/>
              <w:rPr>
                <w:rFonts w:ascii="Times New Roman"/>
                <w:sz w:val="21"/>
              </w:rPr>
            </w:pPr>
            <w:r>
              <w:rPr>
                <w:rFonts w:ascii="Times New Roman"/>
                <w:w w:val="100"/>
                <w:sz w:val="21"/>
              </w:rPr>
              <w:t>-</w:t>
            </w:r>
          </w:p>
        </w:tc>
      </w:tr>
      <w:tr>
        <w:trPr>
          <w:trHeight w:val="262" w:hRule="atLeast"/>
        </w:trPr>
        <w:tc>
          <w:tcPr>
            <w:tcW w:w="754" w:type="dxa"/>
            <w:tcBorders>
              <w:top w:val="nil"/>
              <w:bottom w:val="nil"/>
            </w:tcBorders>
          </w:tcPr>
          <w:p>
            <w:pPr>
              <w:pStyle w:val="TableParagraph"/>
              <w:spacing w:line="242" w:lineRule="exact"/>
              <w:ind w:left="107"/>
              <w:rPr>
                <w:sz w:val="21"/>
              </w:rPr>
            </w:pPr>
            <w:r>
              <w:rPr>
                <w:sz w:val="21"/>
              </w:rPr>
              <w:t>富联</w:t>
            </w:r>
          </w:p>
        </w:tc>
        <w:tc>
          <w:tcPr>
            <w:tcW w:w="687" w:type="dxa"/>
            <w:tcBorders>
              <w:top w:val="nil"/>
              <w:bottom w:val="nil"/>
            </w:tcBorders>
          </w:tcPr>
          <w:p>
            <w:pPr>
              <w:pStyle w:val="TableParagraph"/>
              <w:rPr>
                <w:rFonts w:ascii="Times New Roman"/>
                <w:sz w:val="18"/>
              </w:rPr>
            </w:pPr>
          </w:p>
        </w:tc>
        <w:tc>
          <w:tcPr>
            <w:tcW w:w="690" w:type="dxa"/>
            <w:tcBorders>
              <w:top w:val="nil"/>
              <w:bottom w:val="nil"/>
            </w:tcBorders>
          </w:tcPr>
          <w:p>
            <w:pPr>
              <w:pStyle w:val="TableParagraph"/>
              <w:rPr>
                <w:rFonts w:ascii="Times New Roman"/>
                <w:sz w:val="18"/>
              </w:rPr>
            </w:pPr>
          </w:p>
        </w:tc>
        <w:tc>
          <w:tcPr>
            <w:tcW w:w="603" w:type="dxa"/>
            <w:tcBorders>
              <w:top w:val="nil"/>
              <w:bottom w:val="nil"/>
            </w:tcBorders>
          </w:tcPr>
          <w:p>
            <w:pPr>
              <w:pStyle w:val="TableParagraph"/>
              <w:rPr>
                <w:rFonts w:ascii="Times New Roman"/>
                <w:sz w:val="18"/>
              </w:rPr>
            </w:pPr>
          </w:p>
        </w:tc>
        <w:tc>
          <w:tcPr>
            <w:tcW w:w="718" w:type="dxa"/>
            <w:tcBorders>
              <w:top w:val="nil"/>
              <w:bottom w:val="nil"/>
            </w:tcBorders>
          </w:tcPr>
          <w:p>
            <w:pPr>
              <w:pStyle w:val="TableParagraph"/>
              <w:rPr>
                <w:rFonts w:ascii="Times New Roman"/>
                <w:sz w:val="18"/>
              </w:rPr>
            </w:pPr>
          </w:p>
        </w:tc>
        <w:tc>
          <w:tcPr>
            <w:tcW w:w="665" w:type="dxa"/>
            <w:tcBorders>
              <w:top w:val="nil"/>
              <w:bottom w:val="nil"/>
            </w:tcBorders>
          </w:tcPr>
          <w:p>
            <w:pPr>
              <w:pStyle w:val="TableParagraph"/>
              <w:rPr>
                <w:rFonts w:ascii="Times New Roman"/>
                <w:sz w:val="18"/>
              </w:rPr>
            </w:pPr>
          </w:p>
        </w:tc>
        <w:tc>
          <w:tcPr>
            <w:tcW w:w="637" w:type="dxa"/>
            <w:tcBorders>
              <w:top w:val="nil"/>
              <w:bottom w:val="nil"/>
            </w:tcBorders>
          </w:tcPr>
          <w:p>
            <w:pPr>
              <w:pStyle w:val="TableParagraph"/>
              <w:rPr>
                <w:rFonts w:ascii="Times New Roman"/>
                <w:sz w:val="18"/>
              </w:rPr>
            </w:pPr>
          </w:p>
        </w:tc>
        <w:tc>
          <w:tcPr>
            <w:tcW w:w="644" w:type="dxa"/>
            <w:vMerge/>
            <w:tcBorders>
              <w:top w:val="nil"/>
            </w:tcBorders>
          </w:tcPr>
          <w:p>
            <w:pPr>
              <w:rPr>
                <w:sz w:val="2"/>
                <w:szCs w:val="2"/>
              </w:rPr>
            </w:pPr>
          </w:p>
        </w:tc>
        <w:tc>
          <w:tcPr>
            <w:tcW w:w="714" w:type="dxa"/>
            <w:tcBorders>
              <w:top w:val="nil"/>
              <w:bottom w:val="nil"/>
            </w:tcBorders>
          </w:tcPr>
          <w:p>
            <w:pPr>
              <w:pStyle w:val="TableParagraph"/>
              <w:rPr>
                <w:rFonts w:ascii="Times New Roman"/>
                <w:sz w:val="18"/>
              </w:rPr>
            </w:pPr>
          </w:p>
        </w:tc>
        <w:tc>
          <w:tcPr>
            <w:tcW w:w="704" w:type="dxa"/>
            <w:tcBorders>
              <w:top w:val="nil"/>
              <w:bottom w:val="nil"/>
            </w:tcBorders>
          </w:tcPr>
          <w:p>
            <w:pPr>
              <w:pStyle w:val="TableParagraph"/>
              <w:rPr>
                <w:rFonts w:ascii="Times New Roman"/>
                <w:sz w:val="18"/>
              </w:rPr>
            </w:pPr>
          </w:p>
        </w:tc>
        <w:tc>
          <w:tcPr>
            <w:tcW w:w="741" w:type="dxa"/>
            <w:tcBorders>
              <w:top w:val="nil"/>
              <w:bottom w:val="nil"/>
            </w:tcBorders>
          </w:tcPr>
          <w:p>
            <w:pPr>
              <w:pStyle w:val="TableParagraph"/>
              <w:rPr>
                <w:rFonts w:ascii="Times New Roman"/>
                <w:sz w:val="18"/>
              </w:rPr>
            </w:pPr>
          </w:p>
        </w:tc>
        <w:tc>
          <w:tcPr>
            <w:tcW w:w="702" w:type="dxa"/>
            <w:tcBorders>
              <w:top w:val="nil"/>
              <w:bottom w:val="nil"/>
            </w:tcBorders>
          </w:tcPr>
          <w:p>
            <w:pPr>
              <w:pStyle w:val="TableParagraph"/>
              <w:rPr>
                <w:rFonts w:ascii="Times New Roman"/>
                <w:sz w:val="18"/>
              </w:rPr>
            </w:pPr>
          </w:p>
        </w:tc>
        <w:tc>
          <w:tcPr>
            <w:tcW w:w="575" w:type="dxa"/>
            <w:tcBorders>
              <w:top w:val="nil"/>
              <w:bottom w:val="nil"/>
            </w:tcBorders>
          </w:tcPr>
          <w:p>
            <w:pPr>
              <w:pStyle w:val="TableParagraph"/>
              <w:rPr>
                <w:rFonts w:ascii="Times New Roman"/>
                <w:sz w:val="18"/>
              </w:rPr>
            </w:pPr>
          </w:p>
        </w:tc>
      </w:tr>
      <w:tr>
        <w:trPr>
          <w:trHeight w:val="262" w:hRule="atLeast"/>
        </w:trPr>
        <w:tc>
          <w:tcPr>
            <w:tcW w:w="754" w:type="dxa"/>
            <w:tcBorders>
              <w:top w:val="nil"/>
              <w:bottom w:val="nil"/>
            </w:tcBorders>
          </w:tcPr>
          <w:p>
            <w:pPr>
              <w:pStyle w:val="TableParagraph"/>
              <w:spacing w:line="242" w:lineRule="exact"/>
              <w:ind w:left="107"/>
              <w:rPr>
                <w:sz w:val="21"/>
              </w:rPr>
            </w:pPr>
            <w:r>
              <w:rPr>
                <w:sz w:val="21"/>
              </w:rPr>
              <w:t>科技</w:t>
            </w:r>
          </w:p>
        </w:tc>
        <w:tc>
          <w:tcPr>
            <w:tcW w:w="687" w:type="dxa"/>
            <w:tcBorders>
              <w:top w:val="nil"/>
              <w:bottom w:val="nil"/>
            </w:tcBorders>
          </w:tcPr>
          <w:p>
            <w:pPr>
              <w:pStyle w:val="TableParagraph"/>
              <w:rPr>
                <w:rFonts w:ascii="Times New Roman"/>
                <w:sz w:val="18"/>
              </w:rPr>
            </w:pPr>
          </w:p>
        </w:tc>
        <w:tc>
          <w:tcPr>
            <w:tcW w:w="690" w:type="dxa"/>
            <w:tcBorders>
              <w:top w:val="nil"/>
              <w:bottom w:val="nil"/>
            </w:tcBorders>
          </w:tcPr>
          <w:p>
            <w:pPr>
              <w:pStyle w:val="TableParagraph"/>
              <w:rPr>
                <w:rFonts w:ascii="Times New Roman"/>
                <w:sz w:val="18"/>
              </w:rPr>
            </w:pPr>
          </w:p>
        </w:tc>
        <w:tc>
          <w:tcPr>
            <w:tcW w:w="603" w:type="dxa"/>
            <w:tcBorders>
              <w:top w:val="nil"/>
              <w:bottom w:val="nil"/>
            </w:tcBorders>
          </w:tcPr>
          <w:p>
            <w:pPr>
              <w:pStyle w:val="TableParagraph"/>
              <w:rPr>
                <w:rFonts w:ascii="Times New Roman"/>
                <w:sz w:val="18"/>
              </w:rPr>
            </w:pPr>
          </w:p>
        </w:tc>
        <w:tc>
          <w:tcPr>
            <w:tcW w:w="718" w:type="dxa"/>
            <w:tcBorders>
              <w:top w:val="nil"/>
              <w:bottom w:val="nil"/>
            </w:tcBorders>
          </w:tcPr>
          <w:p>
            <w:pPr>
              <w:pStyle w:val="TableParagraph"/>
              <w:rPr>
                <w:rFonts w:ascii="Times New Roman"/>
                <w:sz w:val="18"/>
              </w:rPr>
            </w:pPr>
          </w:p>
        </w:tc>
        <w:tc>
          <w:tcPr>
            <w:tcW w:w="665" w:type="dxa"/>
            <w:tcBorders>
              <w:top w:val="nil"/>
              <w:bottom w:val="nil"/>
            </w:tcBorders>
          </w:tcPr>
          <w:p>
            <w:pPr>
              <w:pStyle w:val="TableParagraph"/>
              <w:rPr>
                <w:rFonts w:ascii="Times New Roman"/>
                <w:sz w:val="18"/>
              </w:rPr>
            </w:pPr>
          </w:p>
        </w:tc>
        <w:tc>
          <w:tcPr>
            <w:tcW w:w="637" w:type="dxa"/>
            <w:tcBorders>
              <w:top w:val="nil"/>
              <w:bottom w:val="nil"/>
            </w:tcBorders>
          </w:tcPr>
          <w:p>
            <w:pPr>
              <w:pStyle w:val="TableParagraph"/>
              <w:rPr>
                <w:rFonts w:ascii="Times New Roman"/>
                <w:sz w:val="18"/>
              </w:rPr>
            </w:pPr>
          </w:p>
        </w:tc>
        <w:tc>
          <w:tcPr>
            <w:tcW w:w="644" w:type="dxa"/>
            <w:vMerge/>
            <w:tcBorders>
              <w:top w:val="nil"/>
            </w:tcBorders>
          </w:tcPr>
          <w:p>
            <w:pPr>
              <w:rPr>
                <w:sz w:val="2"/>
                <w:szCs w:val="2"/>
              </w:rPr>
            </w:pPr>
          </w:p>
        </w:tc>
        <w:tc>
          <w:tcPr>
            <w:tcW w:w="714" w:type="dxa"/>
            <w:tcBorders>
              <w:top w:val="nil"/>
              <w:bottom w:val="nil"/>
            </w:tcBorders>
          </w:tcPr>
          <w:p>
            <w:pPr>
              <w:pStyle w:val="TableParagraph"/>
              <w:rPr>
                <w:rFonts w:ascii="Times New Roman"/>
                <w:sz w:val="18"/>
              </w:rPr>
            </w:pPr>
          </w:p>
        </w:tc>
        <w:tc>
          <w:tcPr>
            <w:tcW w:w="704" w:type="dxa"/>
            <w:tcBorders>
              <w:top w:val="nil"/>
              <w:bottom w:val="nil"/>
            </w:tcBorders>
          </w:tcPr>
          <w:p>
            <w:pPr>
              <w:pStyle w:val="TableParagraph"/>
              <w:rPr>
                <w:rFonts w:ascii="Times New Roman"/>
                <w:sz w:val="18"/>
              </w:rPr>
            </w:pPr>
          </w:p>
        </w:tc>
        <w:tc>
          <w:tcPr>
            <w:tcW w:w="741" w:type="dxa"/>
            <w:tcBorders>
              <w:top w:val="nil"/>
              <w:bottom w:val="nil"/>
            </w:tcBorders>
          </w:tcPr>
          <w:p>
            <w:pPr>
              <w:pStyle w:val="TableParagraph"/>
              <w:rPr>
                <w:rFonts w:ascii="Times New Roman"/>
                <w:sz w:val="18"/>
              </w:rPr>
            </w:pPr>
          </w:p>
        </w:tc>
        <w:tc>
          <w:tcPr>
            <w:tcW w:w="702" w:type="dxa"/>
            <w:tcBorders>
              <w:top w:val="nil"/>
              <w:bottom w:val="nil"/>
            </w:tcBorders>
          </w:tcPr>
          <w:p>
            <w:pPr>
              <w:pStyle w:val="TableParagraph"/>
              <w:rPr>
                <w:rFonts w:ascii="Times New Roman"/>
                <w:sz w:val="18"/>
              </w:rPr>
            </w:pPr>
          </w:p>
        </w:tc>
        <w:tc>
          <w:tcPr>
            <w:tcW w:w="575" w:type="dxa"/>
            <w:tcBorders>
              <w:top w:val="nil"/>
              <w:bottom w:val="nil"/>
            </w:tcBorders>
          </w:tcPr>
          <w:p>
            <w:pPr>
              <w:pStyle w:val="TableParagraph"/>
              <w:rPr>
                <w:rFonts w:ascii="Times New Roman"/>
                <w:sz w:val="18"/>
              </w:rPr>
            </w:pPr>
          </w:p>
        </w:tc>
      </w:tr>
      <w:tr>
        <w:trPr>
          <w:trHeight w:val="261" w:hRule="atLeast"/>
        </w:trPr>
        <w:tc>
          <w:tcPr>
            <w:tcW w:w="754" w:type="dxa"/>
            <w:tcBorders>
              <w:top w:val="nil"/>
              <w:bottom w:val="nil"/>
            </w:tcBorders>
          </w:tcPr>
          <w:p>
            <w:pPr>
              <w:pStyle w:val="TableParagraph"/>
              <w:spacing w:line="241" w:lineRule="exact"/>
              <w:ind w:left="107"/>
              <w:rPr>
                <w:sz w:val="21"/>
              </w:rPr>
            </w:pPr>
            <w:r>
              <w:rPr>
                <w:sz w:val="21"/>
              </w:rPr>
              <w:t>有限</w:t>
            </w:r>
          </w:p>
        </w:tc>
        <w:tc>
          <w:tcPr>
            <w:tcW w:w="687" w:type="dxa"/>
            <w:tcBorders>
              <w:top w:val="nil"/>
              <w:bottom w:val="nil"/>
            </w:tcBorders>
          </w:tcPr>
          <w:p>
            <w:pPr>
              <w:pStyle w:val="TableParagraph"/>
              <w:rPr>
                <w:rFonts w:ascii="Times New Roman"/>
                <w:sz w:val="18"/>
              </w:rPr>
            </w:pPr>
          </w:p>
        </w:tc>
        <w:tc>
          <w:tcPr>
            <w:tcW w:w="690" w:type="dxa"/>
            <w:tcBorders>
              <w:top w:val="nil"/>
              <w:bottom w:val="nil"/>
            </w:tcBorders>
          </w:tcPr>
          <w:p>
            <w:pPr>
              <w:pStyle w:val="TableParagraph"/>
              <w:rPr>
                <w:rFonts w:ascii="Times New Roman"/>
                <w:sz w:val="18"/>
              </w:rPr>
            </w:pPr>
          </w:p>
        </w:tc>
        <w:tc>
          <w:tcPr>
            <w:tcW w:w="603" w:type="dxa"/>
            <w:tcBorders>
              <w:top w:val="nil"/>
              <w:bottom w:val="nil"/>
            </w:tcBorders>
          </w:tcPr>
          <w:p>
            <w:pPr>
              <w:pStyle w:val="TableParagraph"/>
              <w:rPr>
                <w:rFonts w:ascii="Times New Roman"/>
                <w:sz w:val="18"/>
              </w:rPr>
            </w:pPr>
          </w:p>
        </w:tc>
        <w:tc>
          <w:tcPr>
            <w:tcW w:w="718" w:type="dxa"/>
            <w:tcBorders>
              <w:top w:val="nil"/>
              <w:bottom w:val="nil"/>
            </w:tcBorders>
          </w:tcPr>
          <w:p>
            <w:pPr>
              <w:pStyle w:val="TableParagraph"/>
              <w:rPr>
                <w:rFonts w:ascii="Times New Roman"/>
                <w:sz w:val="18"/>
              </w:rPr>
            </w:pPr>
          </w:p>
        </w:tc>
        <w:tc>
          <w:tcPr>
            <w:tcW w:w="665" w:type="dxa"/>
            <w:tcBorders>
              <w:top w:val="nil"/>
              <w:bottom w:val="nil"/>
            </w:tcBorders>
          </w:tcPr>
          <w:p>
            <w:pPr>
              <w:pStyle w:val="TableParagraph"/>
              <w:rPr>
                <w:rFonts w:ascii="Times New Roman"/>
                <w:sz w:val="18"/>
              </w:rPr>
            </w:pPr>
          </w:p>
        </w:tc>
        <w:tc>
          <w:tcPr>
            <w:tcW w:w="637" w:type="dxa"/>
            <w:tcBorders>
              <w:top w:val="nil"/>
              <w:bottom w:val="nil"/>
            </w:tcBorders>
          </w:tcPr>
          <w:p>
            <w:pPr>
              <w:pStyle w:val="TableParagraph"/>
              <w:rPr>
                <w:rFonts w:ascii="Times New Roman"/>
                <w:sz w:val="18"/>
              </w:rPr>
            </w:pPr>
          </w:p>
        </w:tc>
        <w:tc>
          <w:tcPr>
            <w:tcW w:w="644" w:type="dxa"/>
            <w:vMerge/>
            <w:tcBorders>
              <w:top w:val="nil"/>
            </w:tcBorders>
          </w:tcPr>
          <w:p>
            <w:pPr>
              <w:rPr>
                <w:sz w:val="2"/>
                <w:szCs w:val="2"/>
              </w:rPr>
            </w:pPr>
          </w:p>
        </w:tc>
        <w:tc>
          <w:tcPr>
            <w:tcW w:w="714" w:type="dxa"/>
            <w:tcBorders>
              <w:top w:val="nil"/>
              <w:bottom w:val="nil"/>
            </w:tcBorders>
          </w:tcPr>
          <w:p>
            <w:pPr>
              <w:pStyle w:val="TableParagraph"/>
              <w:rPr>
                <w:rFonts w:ascii="Times New Roman"/>
                <w:sz w:val="18"/>
              </w:rPr>
            </w:pPr>
          </w:p>
        </w:tc>
        <w:tc>
          <w:tcPr>
            <w:tcW w:w="704" w:type="dxa"/>
            <w:tcBorders>
              <w:top w:val="nil"/>
              <w:bottom w:val="nil"/>
            </w:tcBorders>
          </w:tcPr>
          <w:p>
            <w:pPr>
              <w:pStyle w:val="TableParagraph"/>
              <w:rPr>
                <w:rFonts w:ascii="Times New Roman"/>
                <w:sz w:val="18"/>
              </w:rPr>
            </w:pPr>
          </w:p>
        </w:tc>
        <w:tc>
          <w:tcPr>
            <w:tcW w:w="741" w:type="dxa"/>
            <w:tcBorders>
              <w:top w:val="nil"/>
              <w:bottom w:val="nil"/>
            </w:tcBorders>
          </w:tcPr>
          <w:p>
            <w:pPr>
              <w:pStyle w:val="TableParagraph"/>
              <w:rPr>
                <w:rFonts w:ascii="Times New Roman"/>
                <w:sz w:val="18"/>
              </w:rPr>
            </w:pPr>
          </w:p>
        </w:tc>
        <w:tc>
          <w:tcPr>
            <w:tcW w:w="702" w:type="dxa"/>
            <w:tcBorders>
              <w:top w:val="nil"/>
              <w:bottom w:val="nil"/>
            </w:tcBorders>
          </w:tcPr>
          <w:p>
            <w:pPr>
              <w:pStyle w:val="TableParagraph"/>
              <w:rPr>
                <w:rFonts w:ascii="Times New Roman"/>
                <w:sz w:val="18"/>
              </w:rPr>
            </w:pPr>
          </w:p>
        </w:tc>
        <w:tc>
          <w:tcPr>
            <w:tcW w:w="575" w:type="dxa"/>
            <w:tcBorders>
              <w:top w:val="nil"/>
              <w:bottom w:val="nil"/>
            </w:tcBorders>
          </w:tcPr>
          <w:p>
            <w:pPr>
              <w:pStyle w:val="TableParagraph"/>
              <w:rPr>
                <w:rFonts w:ascii="Times New Roman"/>
                <w:sz w:val="18"/>
              </w:rPr>
            </w:pPr>
          </w:p>
        </w:tc>
      </w:tr>
      <w:tr>
        <w:trPr>
          <w:trHeight w:val="268" w:hRule="atLeast"/>
        </w:trPr>
        <w:tc>
          <w:tcPr>
            <w:tcW w:w="754" w:type="dxa"/>
            <w:tcBorders>
              <w:top w:val="nil"/>
            </w:tcBorders>
          </w:tcPr>
          <w:p>
            <w:pPr>
              <w:pStyle w:val="TableParagraph"/>
              <w:spacing w:line="249" w:lineRule="exact"/>
              <w:ind w:left="107"/>
              <w:rPr>
                <w:sz w:val="21"/>
              </w:rPr>
            </w:pPr>
            <w:r>
              <w:rPr>
                <w:sz w:val="21"/>
              </w:rPr>
              <w:t>公司 </w:t>
            </w:r>
          </w:p>
        </w:tc>
        <w:tc>
          <w:tcPr>
            <w:tcW w:w="687" w:type="dxa"/>
            <w:tcBorders>
              <w:top w:val="nil"/>
            </w:tcBorders>
          </w:tcPr>
          <w:p>
            <w:pPr>
              <w:pStyle w:val="TableParagraph"/>
              <w:rPr>
                <w:rFonts w:ascii="Times New Roman"/>
                <w:sz w:val="18"/>
              </w:rPr>
            </w:pPr>
          </w:p>
        </w:tc>
        <w:tc>
          <w:tcPr>
            <w:tcW w:w="690" w:type="dxa"/>
            <w:tcBorders>
              <w:top w:val="nil"/>
            </w:tcBorders>
          </w:tcPr>
          <w:p>
            <w:pPr>
              <w:pStyle w:val="TableParagraph"/>
              <w:rPr>
                <w:rFonts w:ascii="Times New Roman"/>
                <w:sz w:val="18"/>
              </w:rPr>
            </w:pPr>
          </w:p>
        </w:tc>
        <w:tc>
          <w:tcPr>
            <w:tcW w:w="603" w:type="dxa"/>
            <w:tcBorders>
              <w:top w:val="nil"/>
            </w:tcBorders>
          </w:tcPr>
          <w:p>
            <w:pPr>
              <w:pStyle w:val="TableParagraph"/>
              <w:rPr>
                <w:rFonts w:ascii="Times New Roman"/>
                <w:sz w:val="18"/>
              </w:rPr>
            </w:pPr>
          </w:p>
        </w:tc>
        <w:tc>
          <w:tcPr>
            <w:tcW w:w="718" w:type="dxa"/>
            <w:tcBorders>
              <w:top w:val="nil"/>
            </w:tcBorders>
          </w:tcPr>
          <w:p>
            <w:pPr>
              <w:pStyle w:val="TableParagraph"/>
              <w:rPr>
                <w:rFonts w:ascii="Times New Roman"/>
                <w:sz w:val="18"/>
              </w:rPr>
            </w:pPr>
          </w:p>
        </w:tc>
        <w:tc>
          <w:tcPr>
            <w:tcW w:w="665" w:type="dxa"/>
            <w:tcBorders>
              <w:top w:val="nil"/>
            </w:tcBorders>
          </w:tcPr>
          <w:p>
            <w:pPr>
              <w:pStyle w:val="TableParagraph"/>
              <w:rPr>
                <w:rFonts w:ascii="Times New Roman"/>
                <w:sz w:val="18"/>
              </w:rPr>
            </w:pPr>
          </w:p>
        </w:tc>
        <w:tc>
          <w:tcPr>
            <w:tcW w:w="637" w:type="dxa"/>
            <w:tcBorders>
              <w:top w:val="nil"/>
            </w:tcBorders>
          </w:tcPr>
          <w:p>
            <w:pPr>
              <w:pStyle w:val="TableParagraph"/>
              <w:rPr>
                <w:rFonts w:ascii="Times New Roman"/>
                <w:sz w:val="18"/>
              </w:rPr>
            </w:pPr>
          </w:p>
        </w:tc>
        <w:tc>
          <w:tcPr>
            <w:tcW w:w="644" w:type="dxa"/>
            <w:vMerge/>
            <w:tcBorders>
              <w:top w:val="nil"/>
            </w:tcBorders>
          </w:tcPr>
          <w:p>
            <w:pPr>
              <w:rPr>
                <w:sz w:val="2"/>
                <w:szCs w:val="2"/>
              </w:rPr>
            </w:pPr>
          </w:p>
        </w:tc>
        <w:tc>
          <w:tcPr>
            <w:tcW w:w="714" w:type="dxa"/>
            <w:tcBorders>
              <w:top w:val="nil"/>
            </w:tcBorders>
          </w:tcPr>
          <w:p>
            <w:pPr>
              <w:pStyle w:val="TableParagraph"/>
              <w:rPr>
                <w:rFonts w:ascii="Times New Roman"/>
                <w:sz w:val="18"/>
              </w:rPr>
            </w:pPr>
          </w:p>
        </w:tc>
        <w:tc>
          <w:tcPr>
            <w:tcW w:w="704" w:type="dxa"/>
            <w:tcBorders>
              <w:top w:val="nil"/>
            </w:tcBorders>
          </w:tcPr>
          <w:p>
            <w:pPr>
              <w:pStyle w:val="TableParagraph"/>
              <w:rPr>
                <w:rFonts w:ascii="Times New Roman"/>
                <w:sz w:val="18"/>
              </w:rPr>
            </w:pPr>
          </w:p>
        </w:tc>
        <w:tc>
          <w:tcPr>
            <w:tcW w:w="741" w:type="dxa"/>
            <w:tcBorders>
              <w:top w:val="nil"/>
            </w:tcBorders>
          </w:tcPr>
          <w:p>
            <w:pPr>
              <w:pStyle w:val="TableParagraph"/>
              <w:rPr>
                <w:rFonts w:ascii="Times New Roman"/>
                <w:sz w:val="18"/>
              </w:rPr>
            </w:pPr>
          </w:p>
        </w:tc>
        <w:tc>
          <w:tcPr>
            <w:tcW w:w="702" w:type="dxa"/>
            <w:tcBorders>
              <w:top w:val="nil"/>
            </w:tcBorders>
          </w:tcPr>
          <w:p>
            <w:pPr>
              <w:pStyle w:val="TableParagraph"/>
              <w:rPr>
                <w:rFonts w:ascii="Times New Roman"/>
                <w:sz w:val="18"/>
              </w:rPr>
            </w:pPr>
          </w:p>
        </w:tc>
        <w:tc>
          <w:tcPr>
            <w:tcW w:w="575" w:type="dxa"/>
            <w:tcBorders>
              <w:top w:val="nil"/>
            </w:tcBorders>
          </w:tcPr>
          <w:p>
            <w:pPr>
              <w:pStyle w:val="TableParagraph"/>
              <w:rPr>
                <w:rFonts w:ascii="Times New Roman"/>
                <w:sz w:val="18"/>
              </w:rPr>
            </w:pPr>
          </w:p>
        </w:tc>
      </w:tr>
    </w:tbl>
    <w:p>
      <w:pPr>
        <w:spacing w:after="0"/>
        <w:rPr>
          <w:rFonts w:ascii="Times New Roman"/>
          <w:sz w:val="18"/>
        </w:rPr>
        <w:sectPr>
          <w:headerReference w:type="default" r:id="rId58"/>
          <w:footerReference w:type="default" r:id="rId59"/>
          <w:pgSz w:w="11910" w:h="16840"/>
          <w:pgMar w:header="882" w:footer="1195"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4"/>
        <w:gridCol w:w="687"/>
        <w:gridCol w:w="690"/>
        <w:gridCol w:w="603"/>
        <w:gridCol w:w="718"/>
        <w:gridCol w:w="665"/>
        <w:gridCol w:w="637"/>
        <w:gridCol w:w="644"/>
        <w:gridCol w:w="714"/>
        <w:gridCol w:w="704"/>
        <w:gridCol w:w="741"/>
        <w:gridCol w:w="702"/>
        <w:gridCol w:w="575"/>
      </w:tblGrid>
      <w:tr>
        <w:trPr>
          <w:trHeight w:val="2724" w:hRule="atLeast"/>
        </w:trPr>
        <w:tc>
          <w:tcPr>
            <w:tcW w:w="754" w:type="dxa"/>
          </w:tcPr>
          <w:p>
            <w:pPr>
              <w:pStyle w:val="TableParagraph"/>
              <w:spacing w:line="242" w:lineRule="auto" w:before="3"/>
              <w:ind w:left="107" w:right="211"/>
              <w:jc w:val="both"/>
              <w:rPr>
                <w:sz w:val="21"/>
              </w:rPr>
            </w:pPr>
            <w:r>
              <w:rPr>
                <w:spacing w:val="-1"/>
                <w:sz w:val="21"/>
              </w:rPr>
              <w:t>深圳市龙华区新一代通信与智能计算研究</w:t>
            </w:r>
          </w:p>
          <w:p>
            <w:pPr>
              <w:pStyle w:val="TableParagraph"/>
              <w:spacing w:line="250" w:lineRule="exact" w:before="5"/>
              <w:ind w:left="107"/>
              <w:rPr>
                <w:sz w:val="21"/>
              </w:rPr>
            </w:pPr>
            <w:r>
              <w:rPr>
                <w:sz w:val="21"/>
              </w:rPr>
              <w:t>院 </w:t>
            </w:r>
          </w:p>
        </w:tc>
        <w:tc>
          <w:tcPr>
            <w:tcW w:w="687" w:type="dxa"/>
          </w:tcPr>
          <w:p>
            <w:pPr>
              <w:pStyle w:val="TableParagraph"/>
              <w:spacing w:line="237" w:lineRule="exact"/>
              <w:ind w:right="94"/>
              <w:jc w:val="right"/>
              <w:rPr>
                <w:rFonts w:ascii="Times New Roman"/>
                <w:sz w:val="21"/>
              </w:rPr>
            </w:pPr>
            <w:r>
              <w:rPr>
                <w:rFonts w:ascii="Times New Roman"/>
                <w:sz w:val="21"/>
              </w:rPr>
              <w:t>251</w:t>
            </w:r>
          </w:p>
        </w:tc>
        <w:tc>
          <w:tcPr>
            <w:tcW w:w="690" w:type="dxa"/>
          </w:tcPr>
          <w:p>
            <w:pPr>
              <w:pStyle w:val="TableParagraph"/>
              <w:spacing w:line="237" w:lineRule="exact"/>
              <w:ind w:left="88"/>
              <w:jc w:val="center"/>
              <w:rPr>
                <w:rFonts w:ascii="Times New Roman"/>
                <w:sz w:val="21"/>
              </w:rPr>
            </w:pPr>
            <w:r>
              <w:rPr>
                <w:rFonts w:ascii="Times New Roman"/>
                <w:w w:val="100"/>
                <w:sz w:val="21"/>
              </w:rPr>
              <w:t>-</w:t>
            </w:r>
          </w:p>
        </w:tc>
        <w:tc>
          <w:tcPr>
            <w:tcW w:w="603" w:type="dxa"/>
          </w:tcPr>
          <w:p>
            <w:pPr>
              <w:pStyle w:val="TableParagraph"/>
              <w:spacing w:line="237" w:lineRule="exact"/>
              <w:ind w:left="264"/>
              <w:rPr>
                <w:rFonts w:ascii="Times New Roman"/>
                <w:sz w:val="21"/>
              </w:rPr>
            </w:pPr>
            <w:r>
              <w:rPr>
                <w:rFonts w:ascii="Times New Roman"/>
                <w:w w:val="100"/>
                <w:sz w:val="21"/>
              </w:rPr>
              <w:t>-</w:t>
            </w:r>
          </w:p>
        </w:tc>
        <w:tc>
          <w:tcPr>
            <w:tcW w:w="718" w:type="dxa"/>
          </w:tcPr>
          <w:p>
            <w:pPr>
              <w:pStyle w:val="TableParagraph"/>
              <w:spacing w:line="237" w:lineRule="exact"/>
              <w:ind w:left="115"/>
              <w:jc w:val="center"/>
              <w:rPr>
                <w:rFonts w:ascii="Times New Roman"/>
                <w:sz w:val="21"/>
              </w:rPr>
            </w:pPr>
            <w:r>
              <w:rPr>
                <w:rFonts w:ascii="Times New Roman"/>
                <w:w w:val="100"/>
                <w:sz w:val="21"/>
              </w:rPr>
              <w:t>-</w:t>
            </w:r>
          </w:p>
        </w:tc>
        <w:tc>
          <w:tcPr>
            <w:tcW w:w="665" w:type="dxa"/>
          </w:tcPr>
          <w:p>
            <w:pPr>
              <w:pStyle w:val="TableParagraph"/>
              <w:spacing w:line="237" w:lineRule="exact"/>
              <w:ind w:right="259"/>
              <w:jc w:val="right"/>
              <w:rPr>
                <w:rFonts w:ascii="Times New Roman"/>
                <w:sz w:val="21"/>
              </w:rPr>
            </w:pPr>
            <w:r>
              <w:rPr>
                <w:rFonts w:ascii="Times New Roman"/>
                <w:w w:val="100"/>
                <w:sz w:val="21"/>
              </w:rPr>
              <w:t>-</w:t>
            </w:r>
          </w:p>
        </w:tc>
        <w:tc>
          <w:tcPr>
            <w:tcW w:w="637" w:type="dxa"/>
          </w:tcPr>
          <w:p>
            <w:pPr>
              <w:pStyle w:val="TableParagraph"/>
              <w:spacing w:line="237" w:lineRule="exact"/>
              <w:ind w:right="257"/>
              <w:jc w:val="right"/>
              <w:rPr>
                <w:rFonts w:ascii="Times New Roman"/>
                <w:sz w:val="21"/>
              </w:rPr>
            </w:pPr>
            <w:r>
              <w:rPr>
                <w:rFonts w:ascii="Times New Roman"/>
                <w:w w:val="100"/>
                <w:sz w:val="21"/>
              </w:rPr>
              <w:t>-</w:t>
            </w:r>
          </w:p>
        </w:tc>
        <w:tc>
          <w:tcPr>
            <w:tcW w:w="644" w:type="dxa"/>
          </w:tcPr>
          <w:p>
            <w:pPr>
              <w:pStyle w:val="TableParagraph"/>
              <w:rPr>
                <w:rFonts w:ascii="Times New Roman"/>
                <w:sz w:val="20"/>
              </w:rPr>
            </w:pPr>
          </w:p>
        </w:tc>
        <w:tc>
          <w:tcPr>
            <w:tcW w:w="714" w:type="dxa"/>
          </w:tcPr>
          <w:p>
            <w:pPr>
              <w:pStyle w:val="TableParagraph"/>
              <w:spacing w:line="237" w:lineRule="exact"/>
              <w:ind w:right="100"/>
              <w:jc w:val="right"/>
              <w:rPr>
                <w:rFonts w:ascii="Times New Roman"/>
                <w:sz w:val="21"/>
              </w:rPr>
            </w:pPr>
            <w:r>
              <w:rPr>
                <w:rFonts w:ascii="Times New Roman"/>
                <w:w w:val="100"/>
                <w:sz w:val="21"/>
              </w:rPr>
              <w:t>-</w:t>
            </w:r>
          </w:p>
        </w:tc>
        <w:tc>
          <w:tcPr>
            <w:tcW w:w="704" w:type="dxa"/>
          </w:tcPr>
          <w:p>
            <w:pPr>
              <w:pStyle w:val="TableParagraph"/>
              <w:spacing w:line="237" w:lineRule="exact"/>
              <w:ind w:right="101"/>
              <w:jc w:val="right"/>
              <w:rPr>
                <w:rFonts w:ascii="Times New Roman"/>
                <w:sz w:val="21"/>
              </w:rPr>
            </w:pPr>
            <w:r>
              <w:rPr>
                <w:rFonts w:ascii="Times New Roman"/>
                <w:w w:val="100"/>
                <w:sz w:val="21"/>
              </w:rPr>
              <w:t>-</w:t>
            </w:r>
          </w:p>
        </w:tc>
        <w:tc>
          <w:tcPr>
            <w:tcW w:w="741" w:type="dxa"/>
          </w:tcPr>
          <w:p>
            <w:pPr>
              <w:pStyle w:val="TableParagraph"/>
              <w:spacing w:line="237" w:lineRule="exact"/>
              <w:ind w:right="102"/>
              <w:jc w:val="right"/>
              <w:rPr>
                <w:rFonts w:ascii="Times New Roman"/>
                <w:sz w:val="21"/>
              </w:rPr>
            </w:pPr>
            <w:r>
              <w:rPr>
                <w:rFonts w:ascii="Times New Roman"/>
                <w:w w:val="100"/>
                <w:sz w:val="21"/>
              </w:rPr>
              <w:t>-</w:t>
            </w:r>
          </w:p>
        </w:tc>
        <w:tc>
          <w:tcPr>
            <w:tcW w:w="702" w:type="dxa"/>
          </w:tcPr>
          <w:p>
            <w:pPr>
              <w:pStyle w:val="TableParagraph"/>
              <w:spacing w:line="237" w:lineRule="exact"/>
              <w:ind w:left="268"/>
              <w:rPr>
                <w:rFonts w:ascii="Times New Roman"/>
                <w:sz w:val="21"/>
              </w:rPr>
            </w:pPr>
            <w:r>
              <w:rPr>
                <w:rFonts w:ascii="Times New Roman"/>
                <w:sz w:val="21"/>
              </w:rPr>
              <w:t>251</w:t>
            </w:r>
          </w:p>
        </w:tc>
        <w:tc>
          <w:tcPr>
            <w:tcW w:w="575" w:type="dxa"/>
          </w:tcPr>
          <w:p>
            <w:pPr>
              <w:pStyle w:val="TableParagraph"/>
              <w:spacing w:line="237" w:lineRule="exact"/>
              <w:ind w:right="35"/>
              <w:jc w:val="center"/>
              <w:rPr>
                <w:rFonts w:ascii="Times New Roman"/>
                <w:sz w:val="21"/>
              </w:rPr>
            </w:pPr>
            <w:r>
              <w:rPr>
                <w:rFonts w:ascii="Times New Roman"/>
                <w:w w:val="100"/>
                <w:sz w:val="21"/>
              </w:rPr>
              <w:t>-</w:t>
            </w:r>
          </w:p>
        </w:tc>
      </w:tr>
      <w:tr>
        <w:trPr>
          <w:trHeight w:val="1908" w:hRule="atLeast"/>
        </w:trPr>
        <w:tc>
          <w:tcPr>
            <w:tcW w:w="754" w:type="dxa"/>
          </w:tcPr>
          <w:p>
            <w:pPr>
              <w:pStyle w:val="TableParagraph"/>
              <w:spacing w:line="242" w:lineRule="auto" w:before="3"/>
              <w:ind w:left="107" w:right="211"/>
              <w:jc w:val="both"/>
              <w:rPr>
                <w:sz w:val="21"/>
              </w:rPr>
            </w:pPr>
            <w:r>
              <w:rPr>
                <w:spacing w:val="-1"/>
                <w:sz w:val="21"/>
              </w:rPr>
              <w:t>河南众驰富联精工科技</w:t>
            </w:r>
            <w:r>
              <w:rPr>
                <w:spacing w:val="-7"/>
                <w:sz w:val="21"/>
              </w:rPr>
              <w:t>有限</w:t>
            </w:r>
          </w:p>
          <w:p>
            <w:pPr>
              <w:pStyle w:val="TableParagraph"/>
              <w:spacing w:line="252" w:lineRule="exact" w:before="2"/>
              <w:ind w:left="107"/>
              <w:rPr>
                <w:sz w:val="21"/>
              </w:rPr>
            </w:pPr>
            <w:r>
              <w:rPr>
                <w:spacing w:val="-1"/>
                <w:sz w:val="21"/>
              </w:rPr>
              <w:t>公司</w:t>
            </w:r>
            <w:r>
              <w:rPr>
                <w:sz w:val="21"/>
              </w:rPr>
              <w:t> </w:t>
            </w:r>
          </w:p>
        </w:tc>
        <w:tc>
          <w:tcPr>
            <w:tcW w:w="687" w:type="dxa"/>
          </w:tcPr>
          <w:p>
            <w:pPr>
              <w:pStyle w:val="TableParagraph"/>
              <w:spacing w:line="236" w:lineRule="exact"/>
              <w:ind w:right="94"/>
              <w:jc w:val="right"/>
              <w:rPr>
                <w:rFonts w:ascii="Times New Roman"/>
                <w:sz w:val="21"/>
              </w:rPr>
            </w:pPr>
            <w:r>
              <w:rPr>
                <w:rFonts w:ascii="Times New Roman"/>
                <w:sz w:val="21"/>
              </w:rPr>
              <w:t>25,6</w:t>
            </w:r>
          </w:p>
          <w:p>
            <w:pPr>
              <w:pStyle w:val="TableParagraph"/>
              <w:spacing w:line="241" w:lineRule="exact"/>
              <w:ind w:right="97"/>
              <w:jc w:val="right"/>
              <w:rPr>
                <w:rFonts w:ascii="Times New Roman"/>
                <w:sz w:val="21"/>
              </w:rPr>
            </w:pPr>
            <w:r>
              <w:rPr>
                <w:rFonts w:ascii="Times New Roman"/>
                <w:sz w:val="21"/>
              </w:rPr>
              <w:t>16</w:t>
            </w:r>
          </w:p>
        </w:tc>
        <w:tc>
          <w:tcPr>
            <w:tcW w:w="690" w:type="dxa"/>
          </w:tcPr>
          <w:p>
            <w:pPr>
              <w:pStyle w:val="TableParagraph"/>
              <w:spacing w:line="237" w:lineRule="exact"/>
              <w:ind w:left="88"/>
              <w:jc w:val="center"/>
              <w:rPr>
                <w:rFonts w:ascii="Times New Roman"/>
                <w:sz w:val="21"/>
              </w:rPr>
            </w:pPr>
            <w:r>
              <w:rPr>
                <w:rFonts w:ascii="Times New Roman"/>
                <w:w w:val="100"/>
                <w:sz w:val="21"/>
              </w:rPr>
              <w:t>-</w:t>
            </w:r>
          </w:p>
        </w:tc>
        <w:tc>
          <w:tcPr>
            <w:tcW w:w="603" w:type="dxa"/>
          </w:tcPr>
          <w:p>
            <w:pPr>
              <w:pStyle w:val="TableParagraph"/>
              <w:spacing w:line="237" w:lineRule="exact"/>
              <w:ind w:left="264"/>
              <w:rPr>
                <w:rFonts w:ascii="Times New Roman"/>
                <w:sz w:val="21"/>
              </w:rPr>
            </w:pPr>
            <w:r>
              <w:rPr>
                <w:rFonts w:ascii="Times New Roman"/>
                <w:w w:val="100"/>
                <w:sz w:val="21"/>
              </w:rPr>
              <w:t>-</w:t>
            </w:r>
          </w:p>
        </w:tc>
        <w:tc>
          <w:tcPr>
            <w:tcW w:w="718" w:type="dxa"/>
          </w:tcPr>
          <w:p>
            <w:pPr>
              <w:pStyle w:val="TableParagraph"/>
              <w:spacing w:line="237" w:lineRule="exact"/>
              <w:ind w:right="98"/>
              <w:jc w:val="right"/>
              <w:rPr>
                <w:rFonts w:ascii="Times New Roman"/>
                <w:sz w:val="21"/>
              </w:rPr>
            </w:pPr>
            <w:r>
              <w:rPr>
                <w:rFonts w:ascii="Times New Roman"/>
                <w:sz w:val="21"/>
              </w:rPr>
              <w:t>2,364</w:t>
            </w:r>
          </w:p>
        </w:tc>
        <w:tc>
          <w:tcPr>
            <w:tcW w:w="665" w:type="dxa"/>
          </w:tcPr>
          <w:p>
            <w:pPr>
              <w:pStyle w:val="TableParagraph"/>
              <w:spacing w:line="237" w:lineRule="exact"/>
              <w:ind w:right="259"/>
              <w:jc w:val="right"/>
              <w:rPr>
                <w:rFonts w:ascii="Times New Roman"/>
                <w:sz w:val="21"/>
              </w:rPr>
            </w:pPr>
            <w:r>
              <w:rPr>
                <w:rFonts w:ascii="Times New Roman"/>
                <w:w w:val="100"/>
                <w:sz w:val="21"/>
              </w:rPr>
              <w:t>-</w:t>
            </w:r>
          </w:p>
        </w:tc>
        <w:tc>
          <w:tcPr>
            <w:tcW w:w="637" w:type="dxa"/>
          </w:tcPr>
          <w:p>
            <w:pPr>
              <w:pStyle w:val="TableParagraph"/>
              <w:spacing w:line="237" w:lineRule="exact"/>
              <w:ind w:right="257"/>
              <w:jc w:val="right"/>
              <w:rPr>
                <w:rFonts w:ascii="Times New Roman"/>
                <w:sz w:val="21"/>
              </w:rPr>
            </w:pPr>
            <w:r>
              <w:rPr>
                <w:rFonts w:ascii="Times New Roman"/>
                <w:w w:val="100"/>
                <w:sz w:val="21"/>
              </w:rPr>
              <w:t>-</w:t>
            </w:r>
          </w:p>
        </w:tc>
        <w:tc>
          <w:tcPr>
            <w:tcW w:w="644" w:type="dxa"/>
          </w:tcPr>
          <w:p>
            <w:pPr>
              <w:pStyle w:val="TableParagraph"/>
              <w:rPr>
                <w:rFonts w:ascii="Times New Roman"/>
                <w:sz w:val="20"/>
              </w:rPr>
            </w:pPr>
          </w:p>
        </w:tc>
        <w:tc>
          <w:tcPr>
            <w:tcW w:w="714" w:type="dxa"/>
          </w:tcPr>
          <w:p>
            <w:pPr>
              <w:pStyle w:val="TableParagraph"/>
              <w:spacing w:line="237" w:lineRule="exact"/>
              <w:ind w:right="100"/>
              <w:jc w:val="right"/>
              <w:rPr>
                <w:rFonts w:ascii="Times New Roman"/>
                <w:sz w:val="21"/>
              </w:rPr>
            </w:pPr>
            <w:r>
              <w:rPr>
                <w:rFonts w:ascii="Times New Roman"/>
                <w:w w:val="100"/>
                <w:sz w:val="21"/>
              </w:rPr>
              <w:t>-</w:t>
            </w:r>
          </w:p>
        </w:tc>
        <w:tc>
          <w:tcPr>
            <w:tcW w:w="704" w:type="dxa"/>
          </w:tcPr>
          <w:p>
            <w:pPr>
              <w:pStyle w:val="TableParagraph"/>
              <w:spacing w:line="237" w:lineRule="exact"/>
              <w:ind w:right="101"/>
              <w:jc w:val="right"/>
              <w:rPr>
                <w:rFonts w:ascii="Times New Roman"/>
                <w:sz w:val="21"/>
              </w:rPr>
            </w:pPr>
            <w:r>
              <w:rPr>
                <w:rFonts w:ascii="Times New Roman"/>
                <w:w w:val="100"/>
                <w:sz w:val="21"/>
              </w:rPr>
              <w:t>-</w:t>
            </w:r>
          </w:p>
        </w:tc>
        <w:tc>
          <w:tcPr>
            <w:tcW w:w="741" w:type="dxa"/>
          </w:tcPr>
          <w:p>
            <w:pPr>
              <w:pStyle w:val="TableParagraph"/>
              <w:spacing w:line="237" w:lineRule="exact"/>
              <w:ind w:right="102"/>
              <w:jc w:val="right"/>
              <w:rPr>
                <w:rFonts w:ascii="Times New Roman"/>
                <w:sz w:val="21"/>
              </w:rPr>
            </w:pPr>
            <w:r>
              <w:rPr>
                <w:rFonts w:ascii="Times New Roman"/>
                <w:w w:val="100"/>
                <w:sz w:val="21"/>
              </w:rPr>
              <w:t>-</w:t>
            </w:r>
          </w:p>
        </w:tc>
        <w:tc>
          <w:tcPr>
            <w:tcW w:w="702" w:type="dxa"/>
          </w:tcPr>
          <w:p>
            <w:pPr>
              <w:pStyle w:val="TableParagraph"/>
              <w:spacing w:line="236" w:lineRule="exact"/>
              <w:ind w:right="104"/>
              <w:jc w:val="right"/>
              <w:rPr>
                <w:rFonts w:ascii="Times New Roman"/>
                <w:sz w:val="21"/>
              </w:rPr>
            </w:pPr>
            <w:r>
              <w:rPr>
                <w:rFonts w:ascii="Times New Roman"/>
                <w:sz w:val="21"/>
              </w:rPr>
              <w:t>27,98</w:t>
            </w:r>
          </w:p>
          <w:p>
            <w:pPr>
              <w:pStyle w:val="TableParagraph"/>
              <w:spacing w:line="241" w:lineRule="exact"/>
              <w:ind w:right="107"/>
              <w:jc w:val="right"/>
              <w:rPr>
                <w:rFonts w:ascii="Times New Roman"/>
                <w:sz w:val="21"/>
              </w:rPr>
            </w:pPr>
            <w:r>
              <w:rPr>
                <w:rFonts w:ascii="Times New Roman"/>
                <w:w w:val="100"/>
                <w:sz w:val="21"/>
              </w:rPr>
              <w:t>0</w:t>
            </w:r>
          </w:p>
        </w:tc>
        <w:tc>
          <w:tcPr>
            <w:tcW w:w="575" w:type="dxa"/>
          </w:tcPr>
          <w:p>
            <w:pPr>
              <w:pStyle w:val="TableParagraph"/>
              <w:spacing w:line="237" w:lineRule="exact"/>
              <w:ind w:right="35"/>
              <w:jc w:val="center"/>
              <w:rPr>
                <w:rFonts w:ascii="Times New Roman"/>
                <w:sz w:val="21"/>
              </w:rPr>
            </w:pPr>
            <w:r>
              <w:rPr>
                <w:rFonts w:ascii="Times New Roman"/>
                <w:w w:val="100"/>
                <w:sz w:val="21"/>
              </w:rPr>
              <w:t>-</w:t>
            </w:r>
          </w:p>
        </w:tc>
      </w:tr>
      <w:tr>
        <w:trPr>
          <w:trHeight w:val="2178" w:hRule="atLeast"/>
        </w:trPr>
        <w:tc>
          <w:tcPr>
            <w:tcW w:w="754" w:type="dxa"/>
          </w:tcPr>
          <w:p>
            <w:pPr>
              <w:pStyle w:val="TableParagraph"/>
              <w:spacing w:line="242" w:lineRule="auto" w:before="1"/>
              <w:ind w:left="107" w:right="211"/>
              <w:jc w:val="both"/>
              <w:rPr>
                <w:sz w:val="21"/>
              </w:rPr>
            </w:pPr>
            <w:r>
              <w:rPr>
                <w:spacing w:val="-1"/>
                <w:sz w:val="21"/>
              </w:rPr>
              <w:t>深圳市信润富联数字科技有限公</w:t>
            </w:r>
          </w:p>
          <w:p>
            <w:pPr>
              <w:pStyle w:val="TableParagraph"/>
              <w:spacing w:line="252" w:lineRule="exact" w:before="3"/>
              <w:ind w:left="107"/>
              <w:rPr>
                <w:sz w:val="21"/>
              </w:rPr>
            </w:pPr>
            <w:r>
              <w:rPr>
                <w:sz w:val="21"/>
              </w:rPr>
              <w:t>司 </w:t>
            </w:r>
          </w:p>
        </w:tc>
        <w:tc>
          <w:tcPr>
            <w:tcW w:w="687" w:type="dxa"/>
          </w:tcPr>
          <w:p>
            <w:pPr>
              <w:pStyle w:val="TableParagraph"/>
              <w:spacing w:line="235" w:lineRule="exact"/>
              <w:ind w:right="94"/>
              <w:jc w:val="right"/>
              <w:rPr>
                <w:rFonts w:ascii="Times New Roman"/>
                <w:sz w:val="21"/>
              </w:rPr>
            </w:pPr>
            <w:r>
              <w:rPr>
                <w:rFonts w:ascii="Times New Roman"/>
                <w:sz w:val="21"/>
              </w:rPr>
              <w:t>53,0</w:t>
            </w:r>
          </w:p>
          <w:p>
            <w:pPr>
              <w:pStyle w:val="TableParagraph"/>
              <w:spacing w:before="1"/>
              <w:ind w:right="97"/>
              <w:jc w:val="right"/>
              <w:rPr>
                <w:rFonts w:ascii="Times New Roman"/>
                <w:sz w:val="21"/>
              </w:rPr>
            </w:pPr>
            <w:r>
              <w:rPr>
                <w:rFonts w:ascii="Times New Roman"/>
                <w:sz w:val="21"/>
              </w:rPr>
              <w:t>34</w:t>
            </w:r>
          </w:p>
        </w:tc>
        <w:tc>
          <w:tcPr>
            <w:tcW w:w="690" w:type="dxa"/>
          </w:tcPr>
          <w:p>
            <w:pPr>
              <w:pStyle w:val="TableParagraph"/>
              <w:spacing w:line="235" w:lineRule="exact"/>
              <w:ind w:left="88"/>
              <w:jc w:val="center"/>
              <w:rPr>
                <w:rFonts w:ascii="Times New Roman"/>
                <w:sz w:val="21"/>
              </w:rPr>
            </w:pPr>
            <w:r>
              <w:rPr>
                <w:rFonts w:ascii="Times New Roman"/>
                <w:w w:val="100"/>
                <w:sz w:val="21"/>
              </w:rPr>
              <w:t>-</w:t>
            </w:r>
          </w:p>
        </w:tc>
        <w:tc>
          <w:tcPr>
            <w:tcW w:w="603" w:type="dxa"/>
          </w:tcPr>
          <w:p>
            <w:pPr>
              <w:pStyle w:val="TableParagraph"/>
              <w:spacing w:line="235" w:lineRule="exact"/>
              <w:ind w:left="264"/>
              <w:rPr>
                <w:rFonts w:ascii="Times New Roman"/>
                <w:sz w:val="21"/>
              </w:rPr>
            </w:pPr>
            <w:r>
              <w:rPr>
                <w:rFonts w:ascii="Times New Roman"/>
                <w:w w:val="100"/>
                <w:sz w:val="21"/>
              </w:rPr>
              <w:t>-</w:t>
            </w:r>
          </w:p>
        </w:tc>
        <w:tc>
          <w:tcPr>
            <w:tcW w:w="718" w:type="dxa"/>
          </w:tcPr>
          <w:p>
            <w:pPr>
              <w:pStyle w:val="TableParagraph"/>
              <w:ind w:left="131" w:right="84" w:firstLine="403"/>
              <w:rPr>
                <w:rFonts w:ascii="Times New Roman"/>
                <w:sz w:val="21"/>
              </w:rPr>
            </w:pPr>
            <w:r>
              <w:rPr>
                <w:rFonts w:ascii="Times New Roman"/>
                <w:sz w:val="21"/>
              </w:rPr>
              <w:t>-</w:t>
            </w:r>
            <w:r>
              <w:rPr>
                <w:rFonts w:ascii="Times New Roman"/>
                <w:spacing w:val="-50"/>
                <w:sz w:val="21"/>
              </w:rPr>
              <w:t> </w:t>
            </w:r>
            <w:r>
              <w:rPr>
                <w:rFonts w:ascii="Times New Roman"/>
                <w:sz w:val="21"/>
              </w:rPr>
              <w:t>8,230</w:t>
            </w:r>
          </w:p>
        </w:tc>
        <w:tc>
          <w:tcPr>
            <w:tcW w:w="665" w:type="dxa"/>
          </w:tcPr>
          <w:p>
            <w:pPr>
              <w:pStyle w:val="TableParagraph"/>
              <w:spacing w:line="235" w:lineRule="exact"/>
              <w:ind w:right="259"/>
              <w:jc w:val="right"/>
              <w:rPr>
                <w:rFonts w:ascii="Times New Roman"/>
                <w:sz w:val="21"/>
              </w:rPr>
            </w:pPr>
            <w:r>
              <w:rPr>
                <w:rFonts w:ascii="Times New Roman"/>
                <w:w w:val="100"/>
                <w:sz w:val="21"/>
              </w:rPr>
              <w:t>-</w:t>
            </w:r>
          </w:p>
        </w:tc>
        <w:tc>
          <w:tcPr>
            <w:tcW w:w="637" w:type="dxa"/>
          </w:tcPr>
          <w:p>
            <w:pPr>
              <w:pStyle w:val="TableParagraph"/>
              <w:spacing w:line="235" w:lineRule="exact"/>
              <w:ind w:right="257"/>
              <w:jc w:val="right"/>
              <w:rPr>
                <w:rFonts w:ascii="Times New Roman"/>
                <w:sz w:val="21"/>
              </w:rPr>
            </w:pPr>
            <w:r>
              <w:rPr>
                <w:rFonts w:ascii="Times New Roman"/>
                <w:w w:val="100"/>
                <w:sz w:val="21"/>
              </w:rPr>
              <w:t>-</w:t>
            </w:r>
          </w:p>
        </w:tc>
        <w:tc>
          <w:tcPr>
            <w:tcW w:w="644" w:type="dxa"/>
          </w:tcPr>
          <w:p>
            <w:pPr>
              <w:pStyle w:val="TableParagraph"/>
              <w:rPr>
                <w:rFonts w:ascii="Times New Roman"/>
                <w:sz w:val="20"/>
              </w:rPr>
            </w:pPr>
          </w:p>
        </w:tc>
        <w:tc>
          <w:tcPr>
            <w:tcW w:w="714" w:type="dxa"/>
          </w:tcPr>
          <w:p>
            <w:pPr>
              <w:pStyle w:val="TableParagraph"/>
              <w:spacing w:line="235" w:lineRule="exact"/>
              <w:ind w:right="100"/>
              <w:jc w:val="right"/>
              <w:rPr>
                <w:rFonts w:ascii="Times New Roman"/>
                <w:sz w:val="21"/>
              </w:rPr>
            </w:pPr>
            <w:r>
              <w:rPr>
                <w:rFonts w:ascii="Times New Roman"/>
                <w:w w:val="100"/>
                <w:sz w:val="21"/>
              </w:rPr>
              <w:t>-</w:t>
            </w:r>
          </w:p>
        </w:tc>
        <w:tc>
          <w:tcPr>
            <w:tcW w:w="704" w:type="dxa"/>
          </w:tcPr>
          <w:p>
            <w:pPr>
              <w:pStyle w:val="TableParagraph"/>
              <w:spacing w:line="235" w:lineRule="exact"/>
              <w:ind w:right="101"/>
              <w:jc w:val="right"/>
              <w:rPr>
                <w:rFonts w:ascii="Times New Roman"/>
                <w:sz w:val="21"/>
              </w:rPr>
            </w:pPr>
            <w:r>
              <w:rPr>
                <w:rFonts w:ascii="Times New Roman"/>
                <w:w w:val="100"/>
                <w:sz w:val="21"/>
              </w:rPr>
              <w:t>-</w:t>
            </w:r>
          </w:p>
        </w:tc>
        <w:tc>
          <w:tcPr>
            <w:tcW w:w="741" w:type="dxa"/>
          </w:tcPr>
          <w:p>
            <w:pPr>
              <w:pStyle w:val="TableParagraph"/>
              <w:spacing w:line="235" w:lineRule="exact"/>
              <w:ind w:right="102"/>
              <w:jc w:val="right"/>
              <w:rPr>
                <w:rFonts w:ascii="Times New Roman"/>
                <w:sz w:val="21"/>
              </w:rPr>
            </w:pPr>
            <w:r>
              <w:rPr>
                <w:rFonts w:ascii="Times New Roman"/>
                <w:w w:val="100"/>
                <w:sz w:val="21"/>
              </w:rPr>
              <w:t>-</w:t>
            </w:r>
          </w:p>
        </w:tc>
        <w:tc>
          <w:tcPr>
            <w:tcW w:w="702" w:type="dxa"/>
          </w:tcPr>
          <w:p>
            <w:pPr>
              <w:pStyle w:val="TableParagraph"/>
              <w:spacing w:line="235" w:lineRule="exact"/>
              <w:ind w:right="104"/>
              <w:jc w:val="right"/>
              <w:rPr>
                <w:rFonts w:ascii="Times New Roman"/>
                <w:sz w:val="21"/>
              </w:rPr>
            </w:pPr>
            <w:r>
              <w:rPr>
                <w:rFonts w:ascii="Times New Roman"/>
                <w:sz w:val="21"/>
              </w:rPr>
              <w:t>44,80</w:t>
            </w:r>
          </w:p>
          <w:p>
            <w:pPr>
              <w:pStyle w:val="TableParagraph"/>
              <w:spacing w:before="1"/>
              <w:ind w:right="107"/>
              <w:jc w:val="right"/>
              <w:rPr>
                <w:rFonts w:ascii="Times New Roman"/>
                <w:sz w:val="21"/>
              </w:rPr>
            </w:pPr>
            <w:r>
              <w:rPr>
                <w:rFonts w:ascii="Times New Roman"/>
                <w:w w:val="100"/>
                <w:sz w:val="21"/>
              </w:rPr>
              <w:t>4</w:t>
            </w:r>
          </w:p>
        </w:tc>
        <w:tc>
          <w:tcPr>
            <w:tcW w:w="575" w:type="dxa"/>
          </w:tcPr>
          <w:p>
            <w:pPr>
              <w:pStyle w:val="TableParagraph"/>
              <w:spacing w:line="235" w:lineRule="exact"/>
              <w:ind w:right="35"/>
              <w:jc w:val="center"/>
              <w:rPr>
                <w:rFonts w:ascii="Times New Roman"/>
                <w:sz w:val="21"/>
              </w:rPr>
            </w:pPr>
            <w:r>
              <w:rPr>
                <w:rFonts w:ascii="Times New Roman"/>
                <w:w w:val="100"/>
                <w:sz w:val="21"/>
              </w:rPr>
              <w:t>-</w:t>
            </w:r>
          </w:p>
        </w:tc>
      </w:tr>
      <w:tr>
        <w:trPr>
          <w:trHeight w:val="1360" w:hRule="atLeast"/>
        </w:trPr>
        <w:tc>
          <w:tcPr>
            <w:tcW w:w="754" w:type="dxa"/>
          </w:tcPr>
          <w:p>
            <w:pPr>
              <w:pStyle w:val="TableParagraph"/>
              <w:spacing w:line="242" w:lineRule="auto" w:before="1"/>
              <w:ind w:left="107" w:right="211"/>
              <w:jc w:val="both"/>
              <w:rPr>
                <w:sz w:val="21"/>
              </w:rPr>
            </w:pPr>
            <w:r>
              <w:rPr>
                <w:spacing w:val="-1"/>
                <w:sz w:val="21"/>
              </w:rPr>
              <w:t>鼎捷软件股份</w:t>
            </w:r>
            <w:r>
              <w:rPr>
                <w:spacing w:val="-7"/>
                <w:sz w:val="21"/>
              </w:rPr>
              <w:t>有限</w:t>
            </w:r>
          </w:p>
          <w:p>
            <w:pPr>
              <w:pStyle w:val="TableParagraph"/>
              <w:spacing w:line="250" w:lineRule="exact" w:before="3"/>
              <w:ind w:left="107"/>
              <w:rPr>
                <w:sz w:val="21"/>
              </w:rPr>
            </w:pPr>
            <w:r>
              <w:rPr>
                <w:spacing w:val="-1"/>
                <w:sz w:val="21"/>
              </w:rPr>
              <w:t>公司</w:t>
            </w:r>
            <w:r>
              <w:rPr>
                <w:sz w:val="21"/>
              </w:rPr>
              <w:t> </w:t>
            </w:r>
          </w:p>
        </w:tc>
        <w:tc>
          <w:tcPr>
            <w:tcW w:w="687" w:type="dxa"/>
          </w:tcPr>
          <w:p>
            <w:pPr>
              <w:pStyle w:val="TableParagraph"/>
              <w:spacing w:line="235" w:lineRule="exact"/>
              <w:ind w:left="210"/>
              <w:rPr>
                <w:rFonts w:ascii="Times New Roman"/>
                <w:sz w:val="21"/>
              </w:rPr>
            </w:pPr>
            <w:r>
              <w:rPr>
                <w:rFonts w:ascii="Times New Roman"/>
                <w:sz w:val="21"/>
              </w:rPr>
              <w:t>566,</w:t>
            </w:r>
          </w:p>
          <w:p>
            <w:pPr>
              <w:pStyle w:val="TableParagraph"/>
              <w:spacing w:before="1"/>
              <w:ind w:left="263"/>
              <w:rPr>
                <w:rFonts w:ascii="Times New Roman"/>
                <w:sz w:val="21"/>
              </w:rPr>
            </w:pPr>
            <w:r>
              <w:rPr>
                <w:rFonts w:ascii="Times New Roman"/>
                <w:sz w:val="21"/>
              </w:rPr>
              <w:t>491</w:t>
            </w:r>
          </w:p>
        </w:tc>
        <w:tc>
          <w:tcPr>
            <w:tcW w:w="690" w:type="dxa"/>
          </w:tcPr>
          <w:p>
            <w:pPr>
              <w:pStyle w:val="TableParagraph"/>
              <w:spacing w:line="235" w:lineRule="exact"/>
              <w:ind w:left="88"/>
              <w:jc w:val="center"/>
              <w:rPr>
                <w:rFonts w:ascii="Times New Roman"/>
                <w:sz w:val="21"/>
              </w:rPr>
            </w:pPr>
            <w:r>
              <w:rPr>
                <w:rFonts w:ascii="Times New Roman"/>
                <w:w w:val="100"/>
                <w:sz w:val="21"/>
              </w:rPr>
              <w:t>-</w:t>
            </w:r>
          </w:p>
        </w:tc>
        <w:tc>
          <w:tcPr>
            <w:tcW w:w="603" w:type="dxa"/>
          </w:tcPr>
          <w:p>
            <w:pPr>
              <w:pStyle w:val="TableParagraph"/>
              <w:spacing w:line="235" w:lineRule="exact"/>
              <w:ind w:left="264"/>
              <w:rPr>
                <w:rFonts w:ascii="Times New Roman"/>
                <w:sz w:val="21"/>
              </w:rPr>
            </w:pPr>
            <w:r>
              <w:rPr>
                <w:rFonts w:ascii="Times New Roman"/>
                <w:w w:val="100"/>
                <w:sz w:val="21"/>
              </w:rPr>
              <w:t>-</w:t>
            </w:r>
          </w:p>
        </w:tc>
        <w:tc>
          <w:tcPr>
            <w:tcW w:w="718" w:type="dxa"/>
          </w:tcPr>
          <w:p>
            <w:pPr>
              <w:pStyle w:val="TableParagraph"/>
              <w:spacing w:line="235" w:lineRule="exact"/>
              <w:ind w:right="98"/>
              <w:jc w:val="right"/>
              <w:rPr>
                <w:rFonts w:ascii="Times New Roman"/>
                <w:sz w:val="21"/>
              </w:rPr>
            </w:pPr>
            <w:r>
              <w:rPr>
                <w:rFonts w:ascii="Times New Roman"/>
                <w:sz w:val="21"/>
              </w:rPr>
              <w:t>7,681</w:t>
            </w:r>
          </w:p>
        </w:tc>
        <w:tc>
          <w:tcPr>
            <w:tcW w:w="665" w:type="dxa"/>
          </w:tcPr>
          <w:p>
            <w:pPr>
              <w:pStyle w:val="TableParagraph"/>
              <w:spacing w:line="235" w:lineRule="exact"/>
              <w:ind w:right="259"/>
              <w:jc w:val="right"/>
              <w:rPr>
                <w:rFonts w:ascii="Times New Roman"/>
                <w:sz w:val="21"/>
              </w:rPr>
            </w:pPr>
            <w:r>
              <w:rPr>
                <w:rFonts w:ascii="Times New Roman"/>
                <w:w w:val="100"/>
                <w:sz w:val="21"/>
              </w:rPr>
              <w:t>-</w:t>
            </w:r>
          </w:p>
        </w:tc>
        <w:tc>
          <w:tcPr>
            <w:tcW w:w="637" w:type="dxa"/>
          </w:tcPr>
          <w:p>
            <w:pPr>
              <w:pStyle w:val="TableParagraph"/>
              <w:spacing w:line="235" w:lineRule="exact"/>
              <w:ind w:right="257"/>
              <w:jc w:val="right"/>
              <w:rPr>
                <w:rFonts w:ascii="Times New Roman"/>
                <w:sz w:val="21"/>
              </w:rPr>
            </w:pPr>
            <w:r>
              <w:rPr>
                <w:rFonts w:ascii="Times New Roman"/>
                <w:w w:val="100"/>
                <w:sz w:val="21"/>
              </w:rPr>
              <w:t>-</w:t>
            </w:r>
          </w:p>
        </w:tc>
        <w:tc>
          <w:tcPr>
            <w:tcW w:w="644" w:type="dxa"/>
          </w:tcPr>
          <w:p>
            <w:pPr>
              <w:pStyle w:val="TableParagraph"/>
              <w:rPr>
                <w:rFonts w:ascii="Times New Roman"/>
                <w:sz w:val="20"/>
              </w:rPr>
            </w:pPr>
          </w:p>
        </w:tc>
        <w:tc>
          <w:tcPr>
            <w:tcW w:w="714" w:type="dxa"/>
          </w:tcPr>
          <w:p>
            <w:pPr>
              <w:pStyle w:val="TableParagraph"/>
              <w:ind w:left="127" w:right="84" w:firstLine="403"/>
              <w:rPr>
                <w:rFonts w:ascii="Times New Roman"/>
                <w:sz w:val="21"/>
              </w:rPr>
            </w:pPr>
            <w:r>
              <w:rPr>
                <w:rFonts w:ascii="Times New Roman"/>
                <w:sz w:val="21"/>
              </w:rPr>
              <w:t>-</w:t>
            </w:r>
            <w:r>
              <w:rPr>
                <w:rFonts w:ascii="Times New Roman"/>
                <w:spacing w:val="-50"/>
                <w:sz w:val="21"/>
              </w:rPr>
              <w:t> </w:t>
            </w:r>
            <w:r>
              <w:rPr>
                <w:rFonts w:ascii="Times New Roman"/>
                <w:sz w:val="21"/>
              </w:rPr>
              <w:t>3,997</w:t>
            </w:r>
          </w:p>
        </w:tc>
        <w:tc>
          <w:tcPr>
            <w:tcW w:w="704" w:type="dxa"/>
          </w:tcPr>
          <w:p>
            <w:pPr>
              <w:pStyle w:val="TableParagraph"/>
              <w:spacing w:line="235" w:lineRule="exact"/>
              <w:ind w:right="101"/>
              <w:jc w:val="right"/>
              <w:rPr>
                <w:rFonts w:ascii="Times New Roman"/>
                <w:sz w:val="21"/>
              </w:rPr>
            </w:pPr>
            <w:r>
              <w:rPr>
                <w:rFonts w:ascii="Times New Roman"/>
                <w:w w:val="100"/>
                <w:sz w:val="21"/>
              </w:rPr>
              <w:t>-</w:t>
            </w:r>
          </w:p>
        </w:tc>
        <w:tc>
          <w:tcPr>
            <w:tcW w:w="741" w:type="dxa"/>
          </w:tcPr>
          <w:p>
            <w:pPr>
              <w:pStyle w:val="TableParagraph"/>
              <w:spacing w:line="235" w:lineRule="exact"/>
              <w:ind w:right="102"/>
              <w:jc w:val="right"/>
              <w:rPr>
                <w:rFonts w:ascii="Times New Roman"/>
                <w:sz w:val="21"/>
              </w:rPr>
            </w:pPr>
            <w:r>
              <w:rPr>
                <w:rFonts w:ascii="Times New Roman"/>
                <w:w w:val="100"/>
                <w:sz w:val="21"/>
              </w:rPr>
              <w:t>-</w:t>
            </w:r>
          </w:p>
        </w:tc>
        <w:tc>
          <w:tcPr>
            <w:tcW w:w="702" w:type="dxa"/>
          </w:tcPr>
          <w:p>
            <w:pPr>
              <w:pStyle w:val="TableParagraph"/>
              <w:spacing w:line="235" w:lineRule="exact"/>
              <w:ind w:right="104"/>
              <w:jc w:val="right"/>
              <w:rPr>
                <w:rFonts w:ascii="Times New Roman"/>
                <w:sz w:val="21"/>
              </w:rPr>
            </w:pPr>
            <w:r>
              <w:rPr>
                <w:rFonts w:ascii="Times New Roman"/>
                <w:sz w:val="21"/>
              </w:rPr>
              <w:t>570,1</w:t>
            </w:r>
          </w:p>
          <w:p>
            <w:pPr>
              <w:pStyle w:val="TableParagraph"/>
              <w:spacing w:before="1"/>
              <w:ind w:right="107"/>
              <w:jc w:val="right"/>
              <w:rPr>
                <w:rFonts w:ascii="Times New Roman"/>
                <w:sz w:val="21"/>
              </w:rPr>
            </w:pPr>
            <w:r>
              <w:rPr>
                <w:rFonts w:ascii="Times New Roman"/>
                <w:sz w:val="21"/>
              </w:rPr>
              <w:t>75</w:t>
            </w:r>
          </w:p>
        </w:tc>
        <w:tc>
          <w:tcPr>
            <w:tcW w:w="575" w:type="dxa"/>
          </w:tcPr>
          <w:p>
            <w:pPr>
              <w:pStyle w:val="TableParagraph"/>
              <w:spacing w:line="235" w:lineRule="exact"/>
              <w:ind w:right="35"/>
              <w:jc w:val="center"/>
              <w:rPr>
                <w:rFonts w:ascii="Times New Roman"/>
                <w:sz w:val="21"/>
              </w:rPr>
            </w:pPr>
            <w:r>
              <w:rPr>
                <w:rFonts w:ascii="Times New Roman"/>
                <w:w w:val="100"/>
                <w:sz w:val="21"/>
              </w:rPr>
              <w:t>-</w:t>
            </w:r>
          </w:p>
        </w:tc>
      </w:tr>
      <w:tr>
        <w:trPr>
          <w:trHeight w:val="1634" w:hRule="atLeast"/>
        </w:trPr>
        <w:tc>
          <w:tcPr>
            <w:tcW w:w="754" w:type="dxa"/>
          </w:tcPr>
          <w:p>
            <w:pPr>
              <w:pStyle w:val="TableParagraph"/>
              <w:spacing w:line="242" w:lineRule="auto" w:before="3"/>
              <w:ind w:left="107" w:right="211"/>
              <w:jc w:val="both"/>
              <w:rPr>
                <w:sz w:val="21"/>
              </w:rPr>
            </w:pPr>
            <w:r>
              <w:rPr>
                <w:spacing w:val="-1"/>
                <w:sz w:val="21"/>
              </w:rPr>
              <w:t>北京凌云光股份有限公</w:t>
            </w:r>
          </w:p>
          <w:p>
            <w:pPr>
              <w:pStyle w:val="TableParagraph"/>
              <w:spacing w:line="250" w:lineRule="exact" w:before="2"/>
              <w:ind w:left="107"/>
              <w:rPr>
                <w:sz w:val="21"/>
              </w:rPr>
            </w:pPr>
            <w:r>
              <w:rPr>
                <w:sz w:val="21"/>
              </w:rPr>
              <w:t>司 </w:t>
            </w:r>
          </w:p>
        </w:tc>
        <w:tc>
          <w:tcPr>
            <w:tcW w:w="687" w:type="dxa"/>
          </w:tcPr>
          <w:p>
            <w:pPr>
              <w:pStyle w:val="TableParagraph"/>
              <w:spacing w:line="236" w:lineRule="exact"/>
              <w:ind w:left="210"/>
              <w:rPr>
                <w:rFonts w:ascii="Times New Roman"/>
                <w:sz w:val="21"/>
              </w:rPr>
            </w:pPr>
            <w:r>
              <w:rPr>
                <w:rFonts w:ascii="Times New Roman"/>
                <w:sz w:val="21"/>
              </w:rPr>
              <w:t>254,</w:t>
            </w:r>
          </w:p>
          <w:p>
            <w:pPr>
              <w:pStyle w:val="TableParagraph"/>
              <w:spacing w:line="241" w:lineRule="exact"/>
              <w:ind w:left="263"/>
              <w:rPr>
                <w:rFonts w:ascii="Times New Roman"/>
                <w:sz w:val="21"/>
              </w:rPr>
            </w:pPr>
            <w:r>
              <w:rPr>
                <w:rFonts w:ascii="Times New Roman"/>
                <w:sz w:val="21"/>
              </w:rPr>
              <w:t>836</w:t>
            </w:r>
          </w:p>
        </w:tc>
        <w:tc>
          <w:tcPr>
            <w:tcW w:w="690" w:type="dxa"/>
          </w:tcPr>
          <w:p>
            <w:pPr>
              <w:pStyle w:val="TableParagraph"/>
              <w:spacing w:line="237" w:lineRule="exact"/>
              <w:ind w:left="88"/>
              <w:jc w:val="center"/>
              <w:rPr>
                <w:rFonts w:ascii="Times New Roman"/>
                <w:sz w:val="21"/>
              </w:rPr>
            </w:pPr>
            <w:r>
              <w:rPr>
                <w:rFonts w:ascii="Times New Roman"/>
                <w:w w:val="100"/>
                <w:sz w:val="21"/>
              </w:rPr>
              <w:t>-</w:t>
            </w:r>
          </w:p>
        </w:tc>
        <w:tc>
          <w:tcPr>
            <w:tcW w:w="603" w:type="dxa"/>
          </w:tcPr>
          <w:p>
            <w:pPr>
              <w:pStyle w:val="TableParagraph"/>
              <w:spacing w:line="237" w:lineRule="exact"/>
              <w:ind w:left="264"/>
              <w:rPr>
                <w:rFonts w:ascii="Times New Roman"/>
                <w:sz w:val="21"/>
              </w:rPr>
            </w:pPr>
            <w:r>
              <w:rPr>
                <w:rFonts w:ascii="Times New Roman"/>
                <w:w w:val="100"/>
                <w:sz w:val="21"/>
              </w:rPr>
              <w:t>-</w:t>
            </w:r>
          </w:p>
        </w:tc>
        <w:tc>
          <w:tcPr>
            <w:tcW w:w="718" w:type="dxa"/>
          </w:tcPr>
          <w:p>
            <w:pPr>
              <w:pStyle w:val="TableParagraph"/>
              <w:spacing w:line="237" w:lineRule="exact"/>
              <w:ind w:right="98"/>
              <w:jc w:val="right"/>
              <w:rPr>
                <w:rFonts w:ascii="Times New Roman"/>
                <w:sz w:val="21"/>
              </w:rPr>
            </w:pPr>
            <w:r>
              <w:rPr>
                <w:rFonts w:ascii="Times New Roman"/>
                <w:sz w:val="21"/>
              </w:rPr>
              <w:t>8,974</w:t>
            </w:r>
          </w:p>
        </w:tc>
        <w:tc>
          <w:tcPr>
            <w:tcW w:w="665" w:type="dxa"/>
          </w:tcPr>
          <w:p>
            <w:pPr>
              <w:pStyle w:val="TableParagraph"/>
              <w:spacing w:line="237" w:lineRule="exact"/>
              <w:ind w:right="259"/>
              <w:jc w:val="right"/>
              <w:rPr>
                <w:rFonts w:ascii="Times New Roman"/>
                <w:sz w:val="21"/>
              </w:rPr>
            </w:pPr>
            <w:r>
              <w:rPr>
                <w:rFonts w:ascii="Times New Roman"/>
                <w:w w:val="100"/>
                <w:sz w:val="21"/>
              </w:rPr>
              <w:t>-</w:t>
            </w:r>
          </w:p>
        </w:tc>
        <w:tc>
          <w:tcPr>
            <w:tcW w:w="637" w:type="dxa"/>
          </w:tcPr>
          <w:p>
            <w:pPr>
              <w:pStyle w:val="TableParagraph"/>
              <w:spacing w:line="237" w:lineRule="exact"/>
              <w:ind w:right="257"/>
              <w:jc w:val="right"/>
              <w:rPr>
                <w:rFonts w:ascii="Times New Roman"/>
                <w:sz w:val="21"/>
              </w:rPr>
            </w:pPr>
            <w:r>
              <w:rPr>
                <w:rFonts w:ascii="Times New Roman"/>
                <w:w w:val="100"/>
                <w:sz w:val="21"/>
              </w:rPr>
              <w:t>-</w:t>
            </w:r>
          </w:p>
        </w:tc>
        <w:tc>
          <w:tcPr>
            <w:tcW w:w="644" w:type="dxa"/>
          </w:tcPr>
          <w:p>
            <w:pPr>
              <w:pStyle w:val="TableParagraph"/>
              <w:rPr>
                <w:rFonts w:ascii="Times New Roman"/>
                <w:sz w:val="20"/>
              </w:rPr>
            </w:pPr>
          </w:p>
        </w:tc>
        <w:tc>
          <w:tcPr>
            <w:tcW w:w="714" w:type="dxa"/>
          </w:tcPr>
          <w:p>
            <w:pPr>
              <w:pStyle w:val="TableParagraph"/>
              <w:spacing w:line="237" w:lineRule="exact"/>
              <w:ind w:right="100"/>
              <w:jc w:val="right"/>
              <w:rPr>
                <w:rFonts w:ascii="Times New Roman"/>
                <w:sz w:val="21"/>
              </w:rPr>
            </w:pPr>
            <w:r>
              <w:rPr>
                <w:rFonts w:ascii="Times New Roman"/>
                <w:w w:val="100"/>
                <w:sz w:val="21"/>
              </w:rPr>
              <w:t>-</w:t>
            </w:r>
          </w:p>
        </w:tc>
        <w:tc>
          <w:tcPr>
            <w:tcW w:w="704" w:type="dxa"/>
          </w:tcPr>
          <w:p>
            <w:pPr>
              <w:pStyle w:val="TableParagraph"/>
              <w:spacing w:line="237" w:lineRule="exact"/>
              <w:ind w:right="101"/>
              <w:jc w:val="right"/>
              <w:rPr>
                <w:rFonts w:ascii="Times New Roman"/>
                <w:sz w:val="21"/>
              </w:rPr>
            </w:pPr>
            <w:r>
              <w:rPr>
                <w:rFonts w:ascii="Times New Roman"/>
                <w:w w:val="100"/>
                <w:sz w:val="21"/>
              </w:rPr>
              <w:t>-</w:t>
            </w:r>
          </w:p>
        </w:tc>
        <w:tc>
          <w:tcPr>
            <w:tcW w:w="741" w:type="dxa"/>
          </w:tcPr>
          <w:p>
            <w:pPr>
              <w:pStyle w:val="TableParagraph"/>
              <w:spacing w:line="237" w:lineRule="exact"/>
              <w:ind w:right="102"/>
              <w:jc w:val="right"/>
              <w:rPr>
                <w:rFonts w:ascii="Times New Roman"/>
                <w:sz w:val="21"/>
              </w:rPr>
            </w:pPr>
            <w:r>
              <w:rPr>
                <w:rFonts w:ascii="Times New Roman"/>
                <w:w w:val="100"/>
                <w:sz w:val="21"/>
              </w:rPr>
              <w:t>-</w:t>
            </w:r>
          </w:p>
        </w:tc>
        <w:tc>
          <w:tcPr>
            <w:tcW w:w="702" w:type="dxa"/>
          </w:tcPr>
          <w:p>
            <w:pPr>
              <w:pStyle w:val="TableParagraph"/>
              <w:spacing w:line="236" w:lineRule="exact"/>
              <w:ind w:right="104"/>
              <w:jc w:val="right"/>
              <w:rPr>
                <w:rFonts w:ascii="Times New Roman"/>
                <w:sz w:val="21"/>
              </w:rPr>
            </w:pPr>
            <w:r>
              <w:rPr>
                <w:rFonts w:ascii="Times New Roman"/>
                <w:sz w:val="21"/>
              </w:rPr>
              <w:t>263,8</w:t>
            </w:r>
          </w:p>
          <w:p>
            <w:pPr>
              <w:pStyle w:val="TableParagraph"/>
              <w:spacing w:line="241" w:lineRule="exact"/>
              <w:ind w:right="107"/>
              <w:jc w:val="right"/>
              <w:rPr>
                <w:rFonts w:ascii="Times New Roman"/>
                <w:sz w:val="21"/>
              </w:rPr>
            </w:pPr>
            <w:r>
              <w:rPr>
                <w:rFonts w:ascii="Times New Roman"/>
                <w:sz w:val="21"/>
              </w:rPr>
              <w:t>10</w:t>
            </w:r>
          </w:p>
        </w:tc>
        <w:tc>
          <w:tcPr>
            <w:tcW w:w="575" w:type="dxa"/>
          </w:tcPr>
          <w:p>
            <w:pPr>
              <w:pStyle w:val="TableParagraph"/>
              <w:spacing w:line="237" w:lineRule="exact"/>
              <w:ind w:right="35"/>
              <w:jc w:val="center"/>
              <w:rPr>
                <w:rFonts w:ascii="Times New Roman"/>
                <w:sz w:val="21"/>
              </w:rPr>
            </w:pPr>
            <w:r>
              <w:rPr>
                <w:rFonts w:ascii="Times New Roman"/>
                <w:w w:val="100"/>
                <w:sz w:val="21"/>
              </w:rPr>
              <w:t>-</w:t>
            </w:r>
          </w:p>
        </w:tc>
      </w:tr>
      <w:tr>
        <w:trPr>
          <w:trHeight w:val="2452" w:hRule="atLeast"/>
        </w:trPr>
        <w:tc>
          <w:tcPr>
            <w:tcW w:w="754" w:type="dxa"/>
          </w:tcPr>
          <w:p>
            <w:pPr>
              <w:pStyle w:val="TableParagraph"/>
              <w:spacing w:line="242" w:lineRule="auto" w:before="3"/>
              <w:ind w:left="107" w:right="211"/>
              <w:rPr>
                <w:sz w:val="21"/>
              </w:rPr>
            </w:pPr>
            <w:r>
              <w:rPr>
                <w:spacing w:val="-1"/>
                <w:sz w:val="21"/>
              </w:rPr>
              <w:t>晟丰</w:t>
            </w:r>
            <w:r>
              <w:rPr>
                <w:sz w:val="21"/>
              </w:rPr>
              <w:t>(广</w:t>
            </w:r>
          </w:p>
          <w:p>
            <w:pPr>
              <w:pStyle w:val="TableParagraph"/>
              <w:spacing w:line="242" w:lineRule="auto" w:before="1"/>
              <w:ind w:left="107" w:right="106"/>
              <w:rPr>
                <w:sz w:val="21"/>
              </w:rPr>
            </w:pPr>
            <w:r>
              <w:rPr>
                <w:spacing w:val="-1"/>
                <w:sz w:val="21"/>
              </w:rPr>
              <w:t>州)产</w:t>
            </w:r>
            <w:r>
              <w:rPr>
                <w:sz w:val="21"/>
              </w:rPr>
              <w:t>业投资合伙企业-</w:t>
            </w:r>
          </w:p>
          <w:p>
            <w:pPr>
              <w:pStyle w:val="TableParagraph"/>
              <w:spacing w:line="270" w:lineRule="atLeast"/>
              <w:ind w:left="107" w:right="3"/>
              <w:rPr>
                <w:sz w:val="21"/>
              </w:rPr>
            </w:pPr>
            <w:r>
              <w:rPr>
                <w:sz w:val="21"/>
              </w:rPr>
              <w:t>(有限合伙) </w:t>
            </w:r>
          </w:p>
        </w:tc>
        <w:tc>
          <w:tcPr>
            <w:tcW w:w="687" w:type="dxa"/>
          </w:tcPr>
          <w:p>
            <w:pPr>
              <w:pStyle w:val="TableParagraph"/>
              <w:spacing w:line="236" w:lineRule="exact"/>
              <w:ind w:right="94"/>
              <w:jc w:val="right"/>
              <w:rPr>
                <w:rFonts w:ascii="Times New Roman"/>
                <w:sz w:val="21"/>
              </w:rPr>
            </w:pPr>
            <w:r>
              <w:rPr>
                <w:rFonts w:ascii="Times New Roman"/>
                <w:sz w:val="21"/>
              </w:rPr>
              <w:t>1,72</w:t>
            </w:r>
          </w:p>
          <w:p>
            <w:pPr>
              <w:pStyle w:val="TableParagraph"/>
              <w:spacing w:line="241" w:lineRule="exact"/>
              <w:ind w:right="94"/>
              <w:jc w:val="right"/>
              <w:rPr>
                <w:rFonts w:ascii="Times New Roman"/>
                <w:sz w:val="21"/>
              </w:rPr>
            </w:pPr>
            <w:r>
              <w:rPr>
                <w:rFonts w:ascii="Times New Roman"/>
                <w:sz w:val="21"/>
              </w:rPr>
              <w:t>0,00</w:t>
            </w:r>
          </w:p>
          <w:p>
            <w:pPr>
              <w:pStyle w:val="TableParagraph"/>
              <w:spacing w:before="1"/>
              <w:ind w:right="97"/>
              <w:jc w:val="right"/>
              <w:rPr>
                <w:rFonts w:ascii="Times New Roman"/>
                <w:sz w:val="21"/>
              </w:rPr>
            </w:pPr>
            <w:r>
              <w:rPr>
                <w:rFonts w:ascii="Times New Roman"/>
                <w:w w:val="100"/>
                <w:sz w:val="21"/>
              </w:rPr>
              <w:t>0</w:t>
            </w:r>
          </w:p>
        </w:tc>
        <w:tc>
          <w:tcPr>
            <w:tcW w:w="690" w:type="dxa"/>
          </w:tcPr>
          <w:p>
            <w:pPr>
              <w:pStyle w:val="TableParagraph"/>
              <w:spacing w:line="237" w:lineRule="exact"/>
              <w:ind w:left="85" w:right="82"/>
              <w:jc w:val="center"/>
              <w:rPr>
                <w:rFonts w:ascii="Times New Roman"/>
                <w:sz w:val="21"/>
              </w:rPr>
            </w:pPr>
            <w:r>
              <w:rPr>
                <w:rFonts w:ascii="Times New Roman"/>
                <w:sz w:val="21"/>
              </w:rPr>
              <w:t>8,000</w:t>
            </w:r>
          </w:p>
        </w:tc>
        <w:tc>
          <w:tcPr>
            <w:tcW w:w="603" w:type="dxa"/>
          </w:tcPr>
          <w:p>
            <w:pPr>
              <w:pStyle w:val="TableParagraph"/>
              <w:spacing w:line="237" w:lineRule="exact"/>
              <w:ind w:left="264"/>
              <w:rPr>
                <w:rFonts w:ascii="Times New Roman"/>
                <w:sz w:val="21"/>
              </w:rPr>
            </w:pPr>
            <w:r>
              <w:rPr>
                <w:rFonts w:ascii="Times New Roman"/>
                <w:w w:val="100"/>
                <w:sz w:val="21"/>
              </w:rPr>
              <w:t>-</w:t>
            </w:r>
          </w:p>
        </w:tc>
        <w:tc>
          <w:tcPr>
            <w:tcW w:w="718" w:type="dxa"/>
          </w:tcPr>
          <w:p>
            <w:pPr>
              <w:pStyle w:val="TableParagraph"/>
              <w:spacing w:line="236" w:lineRule="exact"/>
              <w:ind w:right="98"/>
              <w:jc w:val="right"/>
              <w:rPr>
                <w:rFonts w:ascii="Times New Roman"/>
                <w:sz w:val="21"/>
              </w:rPr>
            </w:pPr>
            <w:r>
              <w:rPr>
                <w:rFonts w:ascii="Times New Roman"/>
                <w:sz w:val="21"/>
              </w:rPr>
              <w:t>16,02</w:t>
            </w:r>
          </w:p>
          <w:p>
            <w:pPr>
              <w:pStyle w:val="TableParagraph"/>
              <w:spacing w:line="241" w:lineRule="exact"/>
              <w:ind w:right="101"/>
              <w:jc w:val="right"/>
              <w:rPr>
                <w:rFonts w:ascii="Times New Roman"/>
                <w:sz w:val="21"/>
              </w:rPr>
            </w:pPr>
            <w:r>
              <w:rPr>
                <w:rFonts w:ascii="Times New Roman"/>
                <w:w w:val="100"/>
                <w:sz w:val="21"/>
              </w:rPr>
              <w:t>9</w:t>
            </w:r>
          </w:p>
        </w:tc>
        <w:tc>
          <w:tcPr>
            <w:tcW w:w="665" w:type="dxa"/>
          </w:tcPr>
          <w:p>
            <w:pPr>
              <w:pStyle w:val="TableParagraph"/>
              <w:spacing w:line="237" w:lineRule="exact"/>
              <w:ind w:right="259"/>
              <w:jc w:val="right"/>
              <w:rPr>
                <w:rFonts w:ascii="Times New Roman"/>
                <w:sz w:val="21"/>
              </w:rPr>
            </w:pPr>
            <w:r>
              <w:rPr>
                <w:rFonts w:ascii="Times New Roman"/>
                <w:w w:val="100"/>
                <w:sz w:val="21"/>
              </w:rPr>
              <w:t>-</w:t>
            </w:r>
          </w:p>
        </w:tc>
        <w:tc>
          <w:tcPr>
            <w:tcW w:w="637" w:type="dxa"/>
          </w:tcPr>
          <w:p>
            <w:pPr>
              <w:pStyle w:val="TableParagraph"/>
              <w:spacing w:line="237" w:lineRule="exact"/>
              <w:ind w:right="257"/>
              <w:jc w:val="right"/>
              <w:rPr>
                <w:rFonts w:ascii="Times New Roman"/>
                <w:sz w:val="21"/>
              </w:rPr>
            </w:pPr>
            <w:r>
              <w:rPr>
                <w:rFonts w:ascii="Times New Roman"/>
                <w:w w:val="100"/>
                <w:sz w:val="21"/>
              </w:rPr>
              <w:t>-</w:t>
            </w:r>
          </w:p>
        </w:tc>
        <w:tc>
          <w:tcPr>
            <w:tcW w:w="644" w:type="dxa"/>
          </w:tcPr>
          <w:p>
            <w:pPr>
              <w:pStyle w:val="TableParagraph"/>
              <w:rPr>
                <w:rFonts w:ascii="Times New Roman"/>
                <w:sz w:val="20"/>
              </w:rPr>
            </w:pPr>
          </w:p>
        </w:tc>
        <w:tc>
          <w:tcPr>
            <w:tcW w:w="714" w:type="dxa"/>
          </w:tcPr>
          <w:p>
            <w:pPr>
              <w:pStyle w:val="TableParagraph"/>
              <w:spacing w:line="237" w:lineRule="exact"/>
              <w:ind w:right="100"/>
              <w:jc w:val="right"/>
              <w:rPr>
                <w:rFonts w:ascii="Times New Roman"/>
                <w:sz w:val="21"/>
              </w:rPr>
            </w:pPr>
            <w:r>
              <w:rPr>
                <w:rFonts w:ascii="Times New Roman"/>
                <w:w w:val="100"/>
                <w:sz w:val="21"/>
              </w:rPr>
              <w:t>-</w:t>
            </w:r>
          </w:p>
        </w:tc>
        <w:tc>
          <w:tcPr>
            <w:tcW w:w="704" w:type="dxa"/>
          </w:tcPr>
          <w:p>
            <w:pPr>
              <w:pStyle w:val="TableParagraph"/>
              <w:spacing w:line="237" w:lineRule="exact"/>
              <w:ind w:right="101"/>
              <w:jc w:val="right"/>
              <w:rPr>
                <w:rFonts w:ascii="Times New Roman"/>
                <w:sz w:val="21"/>
              </w:rPr>
            </w:pPr>
            <w:r>
              <w:rPr>
                <w:rFonts w:ascii="Times New Roman"/>
                <w:w w:val="100"/>
                <w:sz w:val="21"/>
              </w:rPr>
              <w:t>-</w:t>
            </w:r>
          </w:p>
        </w:tc>
        <w:tc>
          <w:tcPr>
            <w:tcW w:w="741" w:type="dxa"/>
          </w:tcPr>
          <w:p>
            <w:pPr>
              <w:pStyle w:val="TableParagraph"/>
              <w:spacing w:line="237" w:lineRule="exact"/>
              <w:ind w:right="102"/>
              <w:jc w:val="right"/>
              <w:rPr>
                <w:rFonts w:ascii="Times New Roman"/>
                <w:sz w:val="21"/>
              </w:rPr>
            </w:pPr>
            <w:r>
              <w:rPr>
                <w:rFonts w:ascii="Times New Roman"/>
                <w:w w:val="100"/>
                <w:sz w:val="21"/>
              </w:rPr>
              <w:t>-</w:t>
            </w:r>
          </w:p>
        </w:tc>
        <w:tc>
          <w:tcPr>
            <w:tcW w:w="702" w:type="dxa"/>
          </w:tcPr>
          <w:p>
            <w:pPr>
              <w:pStyle w:val="TableParagraph"/>
              <w:spacing w:line="236" w:lineRule="exact"/>
              <w:ind w:left="109"/>
              <w:rPr>
                <w:rFonts w:ascii="Times New Roman"/>
                <w:sz w:val="21"/>
              </w:rPr>
            </w:pPr>
            <w:r>
              <w:rPr>
                <w:rFonts w:ascii="Times New Roman"/>
                <w:sz w:val="21"/>
              </w:rPr>
              <w:t>1,744</w:t>
            </w:r>
          </w:p>
          <w:p>
            <w:pPr>
              <w:pStyle w:val="TableParagraph"/>
              <w:spacing w:line="241" w:lineRule="exact"/>
              <w:ind w:left="215"/>
              <w:rPr>
                <w:rFonts w:ascii="Times New Roman"/>
                <w:sz w:val="21"/>
              </w:rPr>
            </w:pPr>
            <w:r>
              <w:rPr>
                <w:rFonts w:ascii="Times New Roman"/>
                <w:sz w:val="21"/>
              </w:rPr>
              <w:t>,029</w:t>
            </w:r>
          </w:p>
        </w:tc>
        <w:tc>
          <w:tcPr>
            <w:tcW w:w="575" w:type="dxa"/>
          </w:tcPr>
          <w:p>
            <w:pPr>
              <w:pStyle w:val="TableParagraph"/>
              <w:spacing w:line="237" w:lineRule="exact"/>
              <w:ind w:right="35"/>
              <w:jc w:val="center"/>
              <w:rPr>
                <w:rFonts w:ascii="Times New Roman"/>
                <w:sz w:val="21"/>
              </w:rPr>
            </w:pPr>
            <w:r>
              <w:rPr>
                <w:rFonts w:ascii="Times New Roman"/>
                <w:w w:val="100"/>
                <w:sz w:val="21"/>
              </w:rPr>
              <w:t>-</w:t>
            </w:r>
          </w:p>
        </w:tc>
      </w:tr>
      <w:tr>
        <w:trPr>
          <w:trHeight w:val="1362" w:hRule="atLeast"/>
        </w:trPr>
        <w:tc>
          <w:tcPr>
            <w:tcW w:w="754" w:type="dxa"/>
          </w:tcPr>
          <w:p>
            <w:pPr>
              <w:pStyle w:val="TableParagraph"/>
              <w:spacing w:line="244" w:lineRule="auto" w:before="1"/>
              <w:ind w:left="107" w:right="211"/>
              <w:rPr>
                <w:sz w:val="21"/>
              </w:rPr>
            </w:pPr>
            <w:r>
              <w:rPr>
                <w:spacing w:val="-1"/>
                <w:sz w:val="21"/>
              </w:rPr>
              <w:t>兴微</w:t>
            </w:r>
            <w:r>
              <w:rPr>
                <w:sz w:val="21"/>
              </w:rPr>
              <w:t>(广</w:t>
            </w:r>
          </w:p>
          <w:p>
            <w:pPr>
              <w:pStyle w:val="TableParagraph"/>
              <w:spacing w:line="242" w:lineRule="auto"/>
              <w:ind w:left="107" w:right="106"/>
              <w:rPr>
                <w:sz w:val="21"/>
              </w:rPr>
            </w:pPr>
            <w:r>
              <w:rPr>
                <w:spacing w:val="-1"/>
                <w:sz w:val="21"/>
              </w:rPr>
              <w:t>州)产</w:t>
            </w:r>
            <w:r>
              <w:rPr>
                <w:sz w:val="21"/>
              </w:rPr>
              <w:t>业投</w:t>
            </w:r>
          </w:p>
          <w:p>
            <w:pPr>
              <w:pStyle w:val="TableParagraph"/>
              <w:spacing w:line="252" w:lineRule="exact"/>
              <w:ind w:left="107"/>
              <w:rPr>
                <w:sz w:val="21"/>
              </w:rPr>
            </w:pPr>
            <w:r>
              <w:rPr>
                <w:sz w:val="21"/>
              </w:rPr>
              <w:t>资合</w:t>
            </w:r>
          </w:p>
        </w:tc>
        <w:tc>
          <w:tcPr>
            <w:tcW w:w="687" w:type="dxa"/>
          </w:tcPr>
          <w:p>
            <w:pPr>
              <w:pStyle w:val="TableParagraph"/>
              <w:spacing w:line="235" w:lineRule="exact"/>
              <w:ind w:right="96"/>
              <w:jc w:val="right"/>
              <w:rPr>
                <w:rFonts w:ascii="Times New Roman"/>
                <w:sz w:val="21"/>
              </w:rPr>
            </w:pPr>
            <w:r>
              <w:rPr>
                <w:rFonts w:ascii="Times New Roman"/>
                <w:w w:val="100"/>
                <w:sz w:val="21"/>
              </w:rPr>
              <w:t>-</w:t>
            </w:r>
          </w:p>
        </w:tc>
        <w:tc>
          <w:tcPr>
            <w:tcW w:w="690" w:type="dxa"/>
          </w:tcPr>
          <w:p>
            <w:pPr>
              <w:pStyle w:val="TableParagraph"/>
              <w:spacing w:line="235" w:lineRule="exact"/>
              <w:ind w:left="104"/>
              <w:rPr>
                <w:rFonts w:ascii="Times New Roman"/>
                <w:sz w:val="21"/>
              </w:rPr>
            </w:pPr>
            <w:r>
              <w:rPr>
                <w:rFonts w:ascii="Times New Roman"/>
                <w:sz w:val="21"/>
              </w:rPr>
              <w:t>9,020</w:t>
            </w:r>
          </w:p>
          <w:p>
            <w:pPr>
              <w:pStyle w:val="TableParagraph"/>
              <w:spacing w:before="1"/>
              <w:ind w:left="209"/>
              <w:rPr>
                <w:rFonts w:ascii="Times New Roman"/>
                <w:sz w:val="21"/>
              </w:rPr>
            </w:pPr>
            <w:r>
              <w:rPr>
                <w:rFonts w:ascii="Times New Roman"/>
                <w:sz w:val="21"/>
              </w:rPr>
              <w:t>,701</w:t>
            </w:r>
          </w:p>
        </w:tc>
        <w:tc>
          <w:tcPr>
            <w:tcW w:w="603" w:type="dxa"/>
          </w:tcPr>
          <w:p>
            <w:pPr>
              <w:pStyle w:val="TableParagraph"/>
              <w:spacing w:line="235" w:lineRule="exact"/>
              <w:ind w:left="264"/>
              <w:rPr>
                <w:rFonts w:ascii="Times New Roman"/>
                <w:sz w:val="21"/>
              </w:rPr>
            </w:pPr>
            <w:r>
              <w:rPr>
                <w:rFonts w:ascii="Times New Roman"/>
                <w:w w:val="100"/>
                <w:sz w:val="21"/>
              </w:rPr>
              <w:t>-</w:t>
            </w:r>
          </w:p>
        </w:tc>
        <w:tc>
          <w:tcPr>
            <w:tcW w:w="718" w:type="dxa"/>
          </w:tcPr>
          <w:p>
            <w:pPr>
              <w:pStyle w:val="TableParagraph"/>
              <w:spacing w:line="235" w:lineRule="exact"/>
              <w:ind w:right="100"/>
              <w:jc w:val="right"/>
              <w:rPr>
                <w:rFonts w:ascii="Times New Roman"/>
                <w:sz w:val="21"/>
              </w:rPr>
            </w:pPr>
            <w:r>
              <w:rPr>
                <w:rFonts w:ascii="Times New Roman"/>
                <w:w w:val="100"/>
                <w:sz w:val="21"/>
              </w:rPr>
              <w:t>-</w:t>
            </w:r>
          </w:p>
        </w:tc>
        <w:tc>
          <w:tcPr>
            <w:tcW w:w="665" w:type="dxa"/>
          </w:tcPr>
          <w:p>
            <w:pPr>
              <w:pStyle w:val="TableParagraph"/>
              <w:spacing w:line="235" w:lineRule="exact"/>
              <w:ind w:right="259"/>
              <w:jc w:val="right"/>
              <w:rPr>
                <w:rFonts w:ascii="Times New Roman"/>
                <w:sz w:val="21"/>
              </w:rPr>
            </w:pPr>
            <w:r>
              <w:rPr>
                <w:rFonts w:ascii="Times New Roman"/>
                <w:w w:val="100"/>
                <w:sz w:val="21"/>
              </w:rPr>
              <w:t>-</w:t>
            </w:r>
          </w:p>
        </w:tc>
        <w:tc>
          <w:tcPr>
            <w:tcW w:w="637" w:type="dxa"/>
          </w:tcPr>
          <w:p>
            <w:pPr>
              <w:pStyle w:val="TableParagraph"/>
              <w:spacing w:line="235" w:lineRule="exact"/>
              <w:ind w:right="257"/>
              <w:jc w:val="right"/>
              <w:rPr>
                <w:rFonts w:ascii="Times New Roman"/>
                <w:sz w:val="21"/>
              </w:rPr>
            </w:pPr>
            <w:r>
              <w:rPr>
                <w:rFonts w:ascii="Times New Roman"/>
                <w:w w:val="100"/>
                <w:sz w:val="21"/>
              </w:rPr>
              <w:t>-</w:t>
            </w:r>
          </w:p>
        </w:tc>
        <w:tc>
          <w:tcPr>
            <w:tcW w:w="644" w:type="dxa"/>
          </w:tcPr>
          <w:p>
            <w:pPr>
              <w:pStyle w:val="TableParagraph"/>
              <w:rPr>
                <w:rFonts w:ascii="Times New Roman"/>
                <w:sz w:val="20"/>
              </w:rPr>
            </w:pPr>
          </w:p>
        </w:tc>
        <w:tc>
          <w:tcPr>
            <w:tcW w:w="714" w:type="dxa"/>
          </w:tcPr>
          <w:p>
            <w:pPr>
              <w:pStyle w:val="TableParagraph"/>
              <w:spacing w:line="235" w:lineRule="exact"/>
              <w:ind w:right="100"/>
              <w:jc w:val="right"/>
              <w:rPr>
                <w:rFonts w:ascii="Times New Roman"/>
                <w:sz w:val="21"/>
              </w:rPr>
            </w:pPr>
            <w:r>
              <w:rPr>
                <w:rFonts w:ascii="Times New Roman"/>
                <w:w w:val="100"/>
                <w:sz w:val="21"/>
              </w:rPr>
              <w:t>-</w:t>
            </w:r>
          </w:p>
        </w:tc>
        <w:tc>
          <w:tcPr>
            <w:tcW w:w="704" w:type="dxa"/>
          </w:tcPr>
          <w:p>
            <w:pPr>
              <w:pStyle w:val="TableParagraph"/>
              <w:spacing w:line="235" w:lineRule="exact"/>
              <w:ind w:right="101"/>
              <w:jc w:val="right"/>
              <w:rPr>
                <w:rFonts w:ascii="Times New Roman"/>
                <w:sz w:val="21"/>
              </w:rPr>
            </w:pPr>
            <w:r>
              <w:rPr>
                <w:rFonts w:ascii="Times New Roman"/>
                <w:w w:val="100"/>
                <w:sz w:val="21"/>
              </w:rPr>
              <w:t>-</w:t>
            </w:r>
          </w:p>
        </w:tc>
        <w:tc>
          <w:tcPr>
            <w:tcW w:w="741" w:type="dxa"/>
          </w:tcPr>
          <w:p>
            <w:pPr>
              <w:pStyle w:val="TableParagraph"/>
              <w:spacing w:line="235" w:lineRule="exact"/>
              <w:ind w:right="102"/>
              <w:jc w:val="right"/>
              <w:rPr>
                <w:rFonts w:ascii="Times New Roman"/>
                <w:sz w:val="21"/>
              </w:rPr>
            </w:pPr>
            <w:r>
              <w:rPr>
                <w:rFonts w:ascii="Times New Roman"/>
                <w:w w:val="100"/>
                <w:sz w:val="21"/>
              </w:rPr>
              <w:t>-</w:t>
            </w:r>
          </w:p>
        </w:tc>
        <w:tc>
          <w:tcPr>
            <w:tcW w:w="702" w:type="dxa"/>
          </w:tcPr>
          <w:p>
            <w:pPr>
              <w:pStyle w:val="TableParagraph"/>
              <w:spacing w:line="235" w:lineRule="exact"/>
              <w:ind w:left="109"/>
              <w:rPr>
                <w:rFonts w:ascii="Times New Roman"/>
                <w:sz w:val="21"/>
              </w:rPr>
            </w:pPr>
            <w:r>
              <w:rPr>
                <w:rFonts w:ascii="Times New Roman"/>
                <w:sz w:val="21"/>
              </w:rPr>
              <w:t>9,020</w:t>
            </w:r>
          </w:p>
          <w:p>
            <w:pPr>
              <w:pStyle w:val="TableParagraph"/>
              <w:spacing w:before="1"/>
              <w:ind w:left="215"/>
              <w:rPr>
                <w:rFonts w:ascii="Times New Roman"/>
                <w:sz w:val="21"/>
              </w:rPr>
            </w:pPr>
            <w:r>
              <w:rPr>
                <w:rFonts w:ascii="Times New Roman"/>
                <w:sz w:val="21"/>
              </w:rPr>
              <w:t>,701</w:t>
            </w:r>
          </w:p>
        </w:tc>
        <w:tc>
          <w:tcPr>
            <w:tcW w:w="575" w:type="dxa"/>
          </w:tcPr>
          <w:p>
            <w:pPr>
              <w:pStyle w:val="TableParagraph"/>
              <w:spacing w:line="235" w:lineRule="exact"/>
              <w:ind w:right="35"/>
              <w:jc w:val="center"/>
              <w:rPr>
                <w:rFonts w:ascii="Times New Roman"/>
                <w:sz w:val="21"/>
              </w:rPr>
            </w:pPr>
            <w:r>
              <w:rPr>
                <w:rFonts w:ascii="Times New Roman"/>
                <w:w w:val="100"/>
                <w:sz w:val="21"/>
              </w:rPr>
              <w:t>-</w:t>
            </w:r>
          </w:p>
        </w:tc>
      </w:tr>
    </w:tbl>
    <w:p>
      <w:pPr>
        <w:spacing w:after="0" w:line="235" w:lineRule="exact"/>
        <w:jc w:val="center"/>
        <w:rPr>
          <w:rFonts w:ascii="Times New Roman"/>
          <w:sz w:val="21"/>
        </w:rPr>
        <w:sectPr>
          <w:pgSz w:w="11910" w:h="16840"/>
          <w:pgMar w:header="882" w:footer="1195"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4"/>
        <w:gridCol w:w="687"/>
        <w:gridCol w:w="690"/>
        <w:gridCol w:w="603"/>
        <w:gridCol w:w="718"/>
        <w:gridCol w:w="665"/>
        <w:gridCol w:w="637"/>
        <w:gridCol w:w="644"/>
        <w:gridCol w:w="714"/>
        <w:gridCol w:w="704"/>
        <w:gridCol w:w="741"/>
        <w:gridCol w:w="702"/>
        <w:gridCol w:w="575"/>
      </w:tblGrid>
      <w:tr>
        <w:trPr>
          <w:trHeight w:val="1089" w:hRule="atLeast"/>
        </w:trPr>
        <w:tc>
          <w:tcPr>
            <w:tcW w:w="754" w:type="dxa"/>
          </w:tcPr>
          <w:p>
            <w:pPr>
              <w:pStyle w:val="TableParagraph"/>
              <w:spacing w:line="242" w:lineRule="auto" w:before="3"/>
              <w:ind w:left="107" w:right="211"/>
              <w:rPr>
                <w:sz w:val="21"/>
              </w:rPr>
            </w:pPr>
            <w:r>
              <w:rPr>
                <w:spacing w:val="-1"/>
                <w:sz w:val="21"/>
              </w:rPr>
              <w:t>伙企</w:t>
            </w:r>
            <w:r>
              <w:rPr>
                <w:sz w:val="21"/>
              </w:rPr>
              <w:t>业-</w:t>
            </w:r>
          </w:p>
          <w:p>
            <w:pPr>
              <w:pStyle w:val="TableParagraph"/>
              <w:spacing w:before="2"/>
              <w:ind w:left="107"/>
              <w:rPr>
                <w:sz w:val="21"/>
              </w:rPr>
            </w:pPr>
            <w:r>
              <w:rPr>
                <w:sz w:val="21"/>
              </w:rPr>
              <w:t>(有限</w:t>
            </w:r>
          </w:p>
          <w:p>
            <w:pPr>
              <w:pStyle w:val="TableParagraph"/>
              <w:spacing w:line="250" w:lineRule="exact" w:before="2"/>
              <w:ind w:left="107"/>
              <w:rPr>
                <w:sz w:val="21"/>
              </w:rPr>
            </w:pPr>
            <w:r>
              <w:rPr>
                <w:spacing w:val="-1"/>
                <w:sz w:val="21"/>
              </w:rPr>
              <w:t>合伙)</w:t>
            </w:r>
            <w:r>
              <w:rPr>
                <w:sz w:val="21"/>
              </w:rPr>
              <w:t> </w:t>
            </w:r>
          </w:p>
        </w:tc>
        <w:tc>
          <w:tcPr>
            <w:tcW w:w="687" w:type="dxa"/>
          </w:tcPr>
          <w:p>
            <w:pPr>
              <w:pStyle w:val="TableParagraph"/>
              <w:rPr>
                <w:rFonts w:ascii="Times New Roman"/>
                <w:sz w:val="20"/>
              </w:rPr>
            </w:pPr>
          </w:p>
        </w:tc>
        <w:tc>
          <w:tcPr>
            <w:tcW w:w="690" w:type="dxa"/>
          </w:tcPr>
          <w:p>
            <w:pPr>
              <w:pStyle w:val="TableParagraph"/>
              <w:rPr>
                <w:rFonts w:ascii="Times New Roman"/>
                <w:sz w:val="20"/>
              </w:rPr>
            </w:pPr>
          </w:p>
        </w:tc>
        <w:tc>
          <w:tcPr>
            <w:tcW w:w="603" w:type="dxa"/>
          </w:tcPr>
          <w:p>
            <w:pPr>
              <w:pStyle w:val="TableParagraph"/>
              <w:rPr>
                <w:rFonts w:ascii="Times New Roman"/>
                <w:sz w:val="20"/>
              </w:rPr>
            </w:pPr>
          </w:p>
        </w:tc>
        <w:tc>
          <w:tcPr>
            <w:tcW w:w="718" w:type="dxa"/>
          </w:tcPr>
          <w:p>
            <w:pPr>
              <w:pStyle w:val="TableParagraph"/>
              <w:rPr>
                <w:rFonts w:ascii="Times New Roman"/>
                <w:sz w:val="20"/>
              </w:rPr>
            </w:pPr>
          </w:p>
        </w:tc>
        <w:tc>
          <w:tcPr>
            <w:tcW w:w="665" w:type="dxa"/>
          </w:tcPr>
          <w:p>
            <w:pPr>
              <w:pStyle w:val="TableParagraph"/>
              <w:rPr>
                <w:rFonts w:ascii="Times New Roman"/>
                <w:sz w:val="20"/>
              </w:rPr>
            </w:pPr>
          </w:p>
        </w:tc>
        <w:tc>
          <w:tcPr>
            <w:tcW w:w="637" w:type="dxa"/>
          </w:tcPr>
          <w:p>
            <w:pPr>
              <w:pStyle w:val="TableParagraph"/>
              <w:rPr>
                <w:rFonts w:ascii="Times New Roman"/>
                <w:sz w:val="20"/>
              </w:rPr>
            </w:pPr>
          </w:p>
        </w:tc>
        <w:tc>
          <w:tcPr>
            <w:tcW w:w="644" w:type="dxa"/>
          </w:tcPr>
          <w:p>
            <w:pPr>
              <w:pStyle w:val="TableParagraph"/>
              <w:rPr>
                <w:rFonts w:ascii="Times New Roman"/>
                <w:sz w:val="20"/>
              </w:rPr>
            </w:pPr>
          </w:p>
        </w:tc>
        <w:tc>
          <w:tcPr>
            <w:tcW w:w="714" w:type="dxa"/>
          </w:tcPr>
          <w:p>
            <w:pPr>
              <w:pStyle w:val="TableParagraph"/>
              <w:rPr>
                <w:rFonts w:ascii="Times New Roman"/>
                <w:sz w:val="20"/>
              </w:rPr>
            </w:pPr>
          </w:p>
        </w:tc>
        <w:tc>
          <w:tcPr>
            <w:tcW w:w="704" w:type="dxa"/>
          </w:tcPr>
          <w:p>
            <w:pPr>
              <w:pStyle w:val="TableParagraph"/>
              <w:rPr>
                <w:rFonts w:ascii="Times New Roman"/>
                <w:sz w:val="20"/>
              </w:rPr>
            </w:pPr>
          </w:p>
        </w:tc>
        <w:tc>
          <w:tcPr>
            <w:tcW w:w="741" w:type="dxa"/>
          </w:tcPr>
          <w:p>
            <w:pPr>
              <w:pStyle w:val="TableParagraph"/>
              <w:rPr>
                <w:rFonts w:ascii="Times New Roman"/>
                <w:sz w:val="20"/>
              </w:rPr>
            </w:pPr>
          </w:p>
        </w:tc>
        <w:tc>
          <w:tcPr>
            <w:tcW w:w="702" w:type="dxa"/>
          </w:tcPr>
          <w:p>
            <w:pPr>
              <w:pStyle w:val="TableParagraph"/>
              <w:rPr>
                <w:rFonts w:ascii="Times New Roman"/>
                <w:sz w:val="20"/>
              </w:rPr>
            </w:pPr>
          </w:p>
        </w:tc>
        <w:tc>
          <w:tcPr>
            <w:tcW w:w="575" w:type="dxa"/>
          </w:tcPr>
          <w:p>
            <w:pPr>
              <w:pStyle w:val="TableParagraph"/>
              <w:rPr>
                <w:rFonts w:ascii="Times New Roman"/>
                <w:sz w:val="20"/>
              </w:rPr>
            </w:pPr>
          </w:p>
        </w:tc>
      </w:tr>
      <w:tr>
        <w:trPr>
          <w:trHeight w:val="2178" w:hRule="atLeast"/>
        </w:trPr>
        <w:tc>
          <w:tcPr>
            <w:tcW w:w="754" w:type="dxa"/>
          </w:tcPr>
          <w:p>
            <w:pPr>
              <w:pStyle w:val="TableParagraph"/>
              <w:spacing w:line="242" w:lineRule="auto" w:before="3"/>
              <w:ind w:left="107" w:right="211"/>
              <w:jc w:val="both"/>
              <w:rPr>
                <w:sz w:val="21"/>
              </w:rPr>
            </w:pPr>
            <w:r>
              <w:rPr>
                <w:spacing w:val="-1"/>
                <w:sz w:val="21"/>
              </w:rPr>
              <w:t>弘懿创业投资</w:t>
            </w:r>
            <w:r>
              <w:rPr>
                <w:sz w:val="21"/>
              </w:rPr>
              <w:t>(天</w:t>
            </w:r>
          </w:p>
          <w:p>
            <w:pPr>
              <w:pStyle w:val="TableParagraph"/>
              <w:spacing w:line="242" w:lineRule="auto" w:before="3"/>
              <w:ind w:left="107" w:right="106"/>
              <w:rPr>
                <w:sz w:val="21"/>
              </w:rPr>
            </w:pPr>
            <w:r>
              <w:rPr>
                <w:spacing w:val="-1"/>
                <w:sz w:val="21"/>
              </w:rPr>
              <w:t>津)有</w:t>
            </w:r>
            <w:r>
              <w:rPr>
                <w:sz w:val="21"/>
              </w:rPr>
              <w:t>限责任公</w:t>
            </w:r>
          </w:p>
          <w:p>
            <w:pPr>
              <w:pStyle w:val="TableParagraph"/>
              <w:spacing w:line="250" w:lineRule="exact"/>
              <w:ind w:left="107"/>
              <w:rPr>
                <w:sz w:val="21"/>
              </w:rPr>
            </w:pPr>
            <w:r>
              <w:rPr>
                <w:sz w:val="21"/>
              </w:rPr>
              <w:t>司 </w:t>
            </w:r>
          </w:p>
        </w:tc>
        <w:tc>
          <w:tcPr>
            <w:tcW w:w="687" w:type="dxa"/>
          </w:tcPr>
          <w:p>
            <w:pPr>
              <w:pStyle w:val="TableParagraph"/>
              <w:spacing w:line="237" w:lineRule="exact"/>
              <w:ind w:right="96"/>
              <w:jc w:val="right"/>
              <w:rPr>
                <w:rFonts w:ascii="Times New Roman"/>
                <w:sz w:val="21"/>
              </w:rPr>
            </w:pPr>
            <w:r>
              <w:rPr>
                <w:rFonts w:ascii="Times New Roman"/>
                <w:w w:val="100"/>
                <w:sz w:val="21"/>
              </w:rPr>
              <w:t>-</w:t>
            </w:r>
          </w:p>
        </w:tc>
        <w:tc>
          <w:tcPr>
            <w:tcW w:w="690" w:type="dxa"/>
          </w:tcPr>
          <w:p>
            <w:pPr>
              <w:pStyle w:val="TableParagraph"/>
              <w:spacing w:line="237" w:lineRule="exact"/>
              <w:ind w:left="104"/>
              <w:rPr>
                <w:rFonts w:ascii="Times New Roman"/>
                <w:sz w:val="21"/>
              </w:rPr>
            </w:pPr>
            <w:r>
              <w:rPr>
                <w:rFonts w:ascii="Times New Roman"/>
                <w:sz w:val="21"/>
              </w:rPr>
              <w:t>4,900</w:t>
            </w:r>
          </w:p>
        </w:tc>
        <w:tc>
          <w:tcPr>
            <w:tcW w:w="603" w:type="dxa"/>
          </w:tcPr>
          <w:p>
            <w:pPr>
              <w:pStyle w:val="TableParagraph"/>
              <w:spacing w:line="237" w:lineRule="exact"/>
              <w:ind w:left="6"/>
              <w:jc w:val="center"/>
              <w:rPr>
                <w:rFonts w:ascii="Times New Roman"/>
                <w:sz w:val="21"/>
              </w:rPr>
            </w:pPr>
            <w:r>
              <w:rPr>
                <w:rFonts w:ascii="Times New Roman"/>
                <w:w w:val="100"/>
                <w:sz w:val="21"/>
              </w:rPr>
              <w:t>-</w:t>
            </w:r>
          </w:p>
        </w:tc>
        <w:tc>
          <w:tcPr>
            <w:tcW w:w="718" w:type="dxa"/>
          </w:tcPr>
          <w:p>
            <w:pPr>
              <w:pStyle w:val="TableParagraph"/>
              <w:spacing w:line="237" w:lineRule="exact"/>
              <w:ind w:left="115"/>
              <w:jc w:val="center"/>
              <w:rPr>
                <w:rFonts w:ascii="Times New Roman"/>
                <w:sz w:val="21"/>
              </w:rPr>
            </w:pPr>
            <w:r>
              <w:rPr>
                <w:rFonts w:ascii="Times New Roman"/>
                <w:w w:val="100"/>
                <w:sz w:val="21"/>
              </w:rPr>
              <w:t>-</w:t>
            </w:r>
          </w:p>
        </w:tc>
        <w:tc>
          <w:tcPr>
            <w:tcW w:w="665" w:type="dxa"/>
          </w:tcPr>
          <w:p>
            <w:pPr>
              <w:pStyle w:val="TableParagraph"/>
              <w:spacing w:line="237" w:lineRule="exact"/>
              <w:ind w:left="62"/>
              <w:jc w:val="center"/>
              <w:rPr>
                <w:rFonts w:ascii="Times New Roman"/>
                <w:sz w:val="21"/>
              </w:rPr>
            </w:pPr>
            <w:r>
              <w:rPr>
                <w:rFonts w:ascii="Times New Roman"/>
                <w:w w:val="100"/>
                <w:sz w:val="21"/>
              </w:rPr>
              <w:t>-</w:t>
            </w:r>
          </w:p>
        </w:tc>
        <w:tc>
          <w:tcPr>
            <w:tcW w:w="637" w:type="dxa"/>
          </w:tcPr>
          <w:p>
            <w:pPr>
              <w:pStyle w:val="TableParagraph"/>
              <w:spacing w:line="237" w:lineRule="exact"/>
              <w:ind w:left="37"/>
              <w:jc w:val="center"/>
              <w:rPr>
                <w:rFonts w:ascii="Times New Roman"/>
                <w:sz w:val="21"/>
              </w:rPr>
            </w:pPr>
            <w:r>
              <w:rPr>
                <w:rFonts w:ascii="Times New Roman"/>
                <w:w w:val="100"/>
                <w:sz w:val="21"/>
              </w:rPr>
              <w:t>-</w:t>
            </w:r>
          </w:p>
        </w:tc>
        <w:tc>
          <w:tcPr>
            <w:tcW w:w="644" w:type="dxa"/>
          </w:tcPr>
          <w:p>
            <w:pPr>
              <w:pStyle w:val="TableParagraph"/>
              <w:rPr>
                <w:rFonts w:ascii="Times New Roman"/>
                <w:sz w:val="20"/>
              </w:rPr>
            </w:pPr>
          </w:p>
        </w:tc>
        <w:tc>
          <w:tcPr>
            <w:tcW w:w="714" w:type="dxa"/>
          </w:tcPr>
          <w:p>
            <w:pPr>
              <w:pStyle w:val="TableParagraph"/>
              <w:spacing w:line="237" w:lineRule="exact"/>
              <w:ind w:right="100"/>
              <w:jc w:val="right"/>
              <w:rPr>
                <w:rFonts w:ascii="Times New Roman"/>
                <w:sz w:val="21"/>
              </w:rPr>
            </w:pPr>
            <w:r>
              <w:rPr>
                <w:rFonts w:ascii="Times New Roman"/>
                <w:w w:val="100"/>
                <w:sz w:val="21"/>
              </w:rPr>
              <w:t>-</w:t>
            </w:r>
          </w:p>
        </w:tc>
        <w:tc>
          <w:tcPr>
            <w:tcW w:w="704" w:type="dxa"/>
          </w:tcPr>
          <w:p>
            <w:pPr>
              <w:pStyle w:val="TableParagraph"/>
              <w:spacing w:line="237" w:lineRule="exact"/>
              <w:ind w:right="101"/>
              <w:jc w:val="right"/>
              <w:rPr>
                <w:rFonts w:ascii="Times New Roman"/>
                <w:sz w:val="21"/>
              </w:rPr>
            </w:pPr>
            <w:r>
              <w:rPr>
                <w:rFonts w:ascii="Times New Roman"/>
                <w:w w:val="100"/>
                <w:sz w:val="21"/>
              </w:rPr>
              <w:t>-</w:t>
            </w:r>
          </w:p>
        </w:tc>
        <w:tc>
          <w:tcPr>
            <w:tcW w:w="741" w:type="dxa"/>
          </w:tcPr>
          <w:p>
            <w:pPr>
              <w:pStyle w:val="TableParagraph"/>
              <w:spacing w:line="237" w:lineRule="exact"/>
              <w:ind w:right="102"/>
              <w:jc w:val="right"/>
              <w:rPr>
                <w:rFonts w:ascii="Times New Roman"/>
                <w:sz w:val="21"/>
              </w:rPr>
            </w:pPr>
            <w:r>
              <w:rPr>
                <w:rFonts w:ascii="Times New Roman"/>
                <w:w w:val="100"/>
                <w:sz w:val="21"/>
              </w:rPr>
              <w:t>-</w:t>
            </w:r>
          </w:p>
        </w:tc>
        <w:tc>
          <w:tcPr>
            <w:tcW w:w="702" w:type="dxa"/>
          </w:tcPr>
          <w:p>
            <w:pPr>
              <w:pStyle w:val="TableParagraph"/>
              <w:spacing w:line="237" w:lineRule="exact"/>
              <w:ind w:left="109"/>
              <w:rPr>
                <w:rFonts w:ascii="Times New Roman"/>
                <w:sz w:val="21"/>
              </w:rPr>
            </w:pPr>
            <w:r>
              <w:rPr>
                <w:rFonts w:ascii="Times New Roman"/>
                <w:sz w:val="21"/>
              </w:rPr>
              <w:t>4,900</w:t>
            </w:r>
          </w:p>
        </w:tc>
        <w:tc>
          <w:tcPr>
            <w:tcW w:w="575" w:type="dxa"/>
          </w:tcPr>
          <w:p>
            <w:pPr>
              <w:pStyle w:val="TableParagraph"/>
              <w:spacing w:line="237" w:lineRule="exact"/>
              <w:ind w:right="35"/>
              <w:jc w:val="center"/>
              <w:rPr>
                <w:rFonts w:ascii="Times New Roman"/>
                <w:sz w:val="21"/>
              </w:rPr>
            </w:pPr>
            <w:r>
              <w:rPr>
                <w:rFonts w:ascii="Times New Roman"/>
                <w:w w:val="100"/>
                <w:sz w:val="21"/>
              </w:rPr>
              <w:t>-</w:t>
            </w:r>
          </w:p>
        </w:tc>
      </w:tr>
      <w:tr>
        <w:trPr>
          <w:trHeight w:val="725" w:hRule="atLeast"/>
        </w:trPr>
        <w:tc>
          <w:tcPr>
            <w:tcW w:w="754" w:type="dxa"/>
          </w:tcPr>
          <w:p>
            <w:pPr>
              <w:pStyle w:val="TableParagraph"/>
              <w:spacing w:before="3"/>
              <w:ind w:left="86" w:right="86"/>
              <w:jc w:val="center"/>
              <w:rPr>
                <w:sz w:val="21"/>
              </w:rPr>
            </w:pPr>
            <w:r>
              <w:rPr>
                <w:sz w:val="21"/>
              </w:rPr>
              <w:t>小计 </w:t>
            </w:r>
          </w:p>
        </w:tc>
        <w:tc>
          <w:tcPr>
            <w:tcW w:w="687" w:type="dxa"/>
          </w:tcPr>
          <w:p>
            <w:pPr>
              <w:pStyle w:val="TableParagraph"/>
              <w:spacing w:line="236" w:lineRule="exact"/>
              <w:ind w:right="94"/>
              <w:jc w:val="right"/>
              <w:rPr>
                <w:rFonts w:ascii="Times New Roman"/>
                <w:sz w:val="21"/>
              </w:rPr>
            </w:pPr>
            <w:r>
              <w:rPr>
                <w:rFonts w:ascii="Times New Roman"/>
                <w:sz w:val="21"/>
              </w:rPr>
              <w:t>3,16</w:t>
            </w:r>
          </w:p>
          <w:p>
            <w:pPr>
              <w:pStyle w:val="TableParagraph"/>
              <w:spacing w:line="241" w:lineRule="exact"/>
              <w:ind w:right="94"/>
              <w:jc w:val="right"/>
              <w:rPr>
                <w:rFonts w:ascii="Times New Roman"/>
                <w:sz w:val="21"/>
              </w:rPr>
            </w:pPr>
            <w:r>
              <w:rPr>
                <w:rFonts w:ascii="Times New Roman"/>
                <w:sz w:val="21"/>
              </w:rPr>
              <w:t>7,92</w:t>
            </w:r>
          </w:p>
          <w:p>
            <w:pPr>
              <w:pStyle w:val="TableParagraph"/>
              <w:spacing w:line="226" w:lineRule="exact" w:before="1"/>
              <w:ind w:right="97"/>
              <w:jc w:val="right"/>
              <w:rPr>
                <w:rFonts w:ascii="Times New Roman"/>
                <w:sz w:val="21"/>
              </w:rPr>
            </w:pPr>
            <w:r>
              <w:rPr>
                <w:rFonts w:ascii="Times New Roman"/>
                <w:w w:val="100"/>
                <w:sz w:val="21"/>
              </w:rPr>
              <w:t>2</w:t>
            </w:r>
          </w:p>
        </w:tc>
        <w:tc>
          <w:tcPr>
            <w:tcW w:w="690" w:type="dxa"/>
          </w:tcPr>
          <w:p>
            <w:pPr>
              <w:pStyle w:val="TableParagraph"/>
              <w:spacing w:before="115"/>
              <w:ind w:left="104"/>
              <w:rPr>
                <w:rFonts w:ascii="Times New Roman"/>
                <w:sz w:val="21"/>
              </w:rPr>
            </w:pPr>
            <w:r>
              <w:rPr>
                <w:rFonts w:ascii="Times New Roman"/>
                <w:sz w:val="21"/>
              </w:rPr>
              <w:t>9,033</w:t>
            </w:r>
          </w:p>
          <w:p>
            <w:pPr>
              <w:pStyle w:val="TableParagraph"/>
              <w:spacing w:before="2"/>
              <w:ind w:left="209"/>
              <w:rPr>
                <w:rFonts w:ascii="Times New Roman"/>
                <w:sz w:val="21"/>
              </w:rPr>
            </w:pPr>
            <w:r>
              <w:rPr>
                <w:rFonts w:ascii="Times New Roman"/>
                <w:sz w:val="21"/>
              </w:rPr>
              <w:t>,601</w:t>
            </w:r>
          </w:p>
        </w:tc>
        <w:tc>
          <w:tcPr>
            <w:tcW w:w="603" w:type="dxa"/>
          </w:tcPr>
          <w:p>
            <w:pPr>
              <w:pStyle w:val="TableParagraph"/>
              <w:spacing w:before="5"/>
              <w:rPr>
                <w:sz w:val="18"/>
              </w:rPr>
            </w:pPr>
          </w:p>
          <w:p>
            <w:pPr>
              <w:pStyle w:val="TableParagraph"/>
              <w:ind w:right="97"/>
              <w:jc w:val="right"/>
              <w:rPr>
                <w:rFonts w:ascii="Times New Roman"/>
                <w:sz w:val="21"/>
              </w:rPr>
            </w:pPr>
            <w:r>
              <w:rPr>
                <w:rFonts w:ascii="Times New Roman"/>
                <w:w w:val="100"/>
                <w:sz w:val="21"/>
              </w:rPr>
              <w:t>-</w:t>
            </w:r>
          </w:p>
        </w:tc>
        <w:tc>
          <w:tcPr>
            <w:tcW w:w="718" w:type="dxa"/>
          </w:tcPr>
          <w:p>
            <w:pPr>
              <w:pStyle w:val="TableParagraph"/>
              <w:spacing w:before="5"/>
              <w:rPr>
                <w:sz w:val="18"/>
              </w:rPr>
            </w:pPr>
          </w:p>
          <w:p>
            <w:pPr>
              <w:pStyle w:val="TableParagraph"/>
              <w:ind w:left="113" w:right="82"/>
              <w:jc w:val="center"/>
              <w:rPr>
                <w:rFonts w:ascii="Times New Roman"/>
                <w:sz w:val="21"/>
              </w:rPr>
            </w:pPr>
            <w:r>
              <w:rPr>
                <w:rFonts w:ascii="Times New Roman"/>
                <w:sz w:val="21"/>
              </w:rPr>
              <w:t>2,637</w:t>
            </w:r>
          </w:p>
        </w:tc>
        <w:tc>
          <w:tcPr>
            <w:tcW w:w="665" w:type="dxa"/>
          </w:tcPr>
          <w:p>
            <w:pPr>
              <w:pStyle w:val="TableParagraph"/>
              <w:spacing w:before="115"/>
              <w:ind w:right="99"/>
              <w:jc w:val="right"/>
              <w:rPr>
                <w:rFonts w:ascii="Times New Roman"/>
                <w:sz w:val="21"/>
              </w:rPr>
            </w:pPr>
            <w:r>
              <w:rPr>
                <w:rFonts w:ascii="Times New Roman"/>
                <w:sz w:val="21"/>
              </w:rPr>
              <w:t>12,8</w:t>
            </w:r>
          </w:p>
          <w:p>
            <w:pPr>
              <w:pStyle w:val="TableParagraph"/>
              <w:spacing w:before="2"/>
              <w:ind w:right="101"/>
              <w:jc w:val="right"/>
              <w:rPr>
                <w:rFonts w:ascii="Times New Roman"/>
                <w:sz w:val="21"/>
              </w:rPr>
            </w:pPr>
            <w:r>
              <w:rPr>
                <w:rFonts w:ascii="Times New Roman"/>
                <w:sz w:val="21"/>
              </w:rPr>
              <w:t>43</w:t>
            </w:r>
          </w:p>
        </w:tc>
        <w:tc>
          <w:tcPr>
            <w:tcW w:w="637" w:type="dxa"/>
          </w:tcPr>
          <w:p>
            <w:pPr>
              <w:pStyle w:val="TableParagraph"/>
              <w:spacing w:before="115"/>
              <w:ind w:right="97"/>
              <w:jc w:val="right"/>
              <w:rPr>
                <w:rFonts w:ascii="Times New Roman"/>
                <w:sz w:val="21"/>
              </w:rPr>
            </w:pPr>
            <w:r>
              <w:rPr>
                <w:rFonts w:ascii="Times New Roman"/>
                <w:sz w:val="21"/>
              </w:rPr>
              <w:t>2,69</w:t>
            </w:r>
          </w:p>
          <w:p>
            <w:pPr>
              <w:pStyle w:val="TableParagraph"/>
              <w:spacing w:before="2"/>
              <w:ind w:right="99"/>
              <w:jc w:val="right"/>
              <w:rPr>
                <w:rFonts w:ascii="Times New Roman"/>
                <w:sz w:val="21"/>
              </w:rPr>
            </w:pPr>
            <w:r>
              <w:rPr>
                <w:rFonts w:ascii="Times New Roman"/>
                <w:w w:val="100"/>
                <w:sz w:val="21"/>
              </w:rPr>
              <w:t>0</w:t>
            </w:r>
          </w:p>
        </w:tc>
        <w:tc>
          <w:tcPr>
            <w:tcW w:w="644" w:type="dxa"/>
          </w:tcPr>
          <w:p>
            <w:pPr>
              <w:pStyle w:val="TableParagraph"/>
              <w:spacing w:before="5"/>
              <w:rPr>
                <w:sz w:val="18"/>
              </w:rPr>
            </w:pPr>
          </w:p>
          <w:p>
            <w:pPr>
              <w:pStyle w:val="TableParagraph"/>
              <w:ind w:right="99"/>
              <w:jc w:val="right"/>
              <w:rPr>
                <w:rFonts w:ascii="Times New Roman"/>
                <w:sz w:val="21"/>
              </w:rPr>
            </w:pPr>
            <w:r>
              <w:rPr>
                <w:rFonts w:ascii="Times New Roman"/>
                <w:w w:val="100"/>
                <w:sz w:val="21"/>
              </w:rPr>
              <w:t>-</w:t>
            </w:r>
          </w:p>
        </w:tc>
        <w:tc>
          <w:tcPr>
            <w:tcW w:w="714" w:type="dxa"/>
          </w:tcPr>
          <w:p>
            <w:pPr>
              <w:pStyle w:val="TableParagraph"/>
              <w:spacing w:before="115"/>
              <w:ind w:left="127" w:right="84" w:firstLine="403"/>
              <w:rPr>
                <w:rFonts w:ascii="Times New Roman"/>
                <w:sz w:val="21"/>
              </w:rPr>
            </w:pPr>
            <w:r>
              <w:rPr>
                <w:rFonts w:ascii="Times New Roman"/>
                <w:sz w:val="21"/>
              </w:rPr>
              <w:t>-</w:t>
            </w:r>
            <w:r>
              <w:rPr>
                <w:rFonts w:ascii="Times New Roman"/>
                <w:spacing w:val="-50"/>
                <w:sz w:val="21"/>
              </w:rPr>
              <w:t> </w:t>
            </w:r>
            <w:r>
              <w:rPr>
                <w:rFonts w:ascii="Times New Roman"/>
                <w:sz w:val="21"/>
              </w:rPr>
              <w:t>3,997</w:t>
            </w:r>
          </w:p>
        </w:tc>
        <w:tc>
          <w:tcPr>
            <w:tcW w:w="704" w:type="dxa"/>
          </w:tcPr>
          <w:p>
            <w:pPr>
              <w:pStyle w:val="TableParagraph"/>
              <w:spacing w:before="5"/>
              <w:rPr>
                <w:sz w:val="18"/>
              </w:rPr>
            </w:pPr>
          </w:p>
          <w:p>
            <w:pPr>
              <w:pStyle w:val="TableParagraph"/>
              <w:ind w:right="101"/>
              <w:jc w:val="right"/>
              <w:rPr>
                <w:rFonts w:ascii="Times New Roman"/>
                <w:sz w:val="21"/>
              </w:rPr>
            </w:pPr>
            <w:r>
              <w:rPr>
                <w:rFonts w:ascii="Times New Roman"/>
                <w:w w:val="100"/>
                <w:sz w:val="21"/>
              </w:rPr>
              <w:t>-</w:t>
            </w:r>
          </w:p>
        </w:tc>
        <w:tc>
          <w:tcPr>
            <w:tcW w:w="741" w:type="dxa"/>
          </w:tcPr>
          <w:p>
            <w:pPr>
              <w:pStyle w:val="TableParagraph"/>
              <w:spacing w:before="5"/>
              <w:rPr>
                <w:sz w:val="18"/>
              </w:rPr>
            </w:pPr>
          </w:p>
          <w:p>
            <w:pPr>
              <w:pStyle w:val="TableParagraph"/>
              <w:ind w:right="102"/>
              <w:jc w:val="right"/>
              <w:rPr>
                <w:rFonts w:ascii="Times New Roman"/>
                <w:sz w:val="21"/>
              </w:rPr>
            </w:pPr>
            <w:r>
              <w:rPr>
                <w:rFonts w:ascii="Times New Roman"/>
                <w:w w:val="100"/>
                <w:sz w:val="21"/>
              </w:rPr>
              <w:t>-</w:t>
            </w:r>
          </w:p>
        </w:tc>
        <w:tc>
          <w:tcPr>
            <w:tcW w:w="702" w:type="dxa"/>
          </w:tcPr>
          <w:p>
            <w:pPr>
              <w:pStyle w:val="TableParagraph"/>
              <w:spacing w:before="115"/>
              <w:ind w:left="109"/>
              <w:rPr>
                <w:rFonts w:ascii="Times New Roman"/>
                <w:sz w:val="21"/>
              </w:rPr>
            </w:pPr>
            <w:r>
              <w:rPr>
                <w:rFonts w:ascii="Times New Roman"/>
                <w:sz w:val="21"/>
              </w:rPr>
              <w:t>12,21</w:t>
            </w:r>
          </w:p>
          <w:p>
            <w:pPr>
              <w:pStyle w:val="TableParagraph"/>
              <w:spacing w:before="2"/>
              <w:ind w:left="109"/>
              <w:rPr>
                <w:rFonts w:ascii="Times New Roman"/>
                <w:sz w:val="21"/>
              </w:rPr>
            </w:pPr>
            <w:r>
              <w:rPr>
                <w:rFonts w:ascii="Times New Roman"/>
                <w:sz w:val="21"/>
              </w:rPr>
              <w:t>5,696</w:t>
            </w:r>
          </w:p>
        </w:tc>
        <w:tc>
          <w:tcPr>
            <w:tcW w:w="575" w:type="dxa"/>
          </w:tcPr>
          <w:p>
            <w:pPr>
              <w:pStyle w:val="TableParagraph"/>
              <w:spacing w:before="5"/>
              <w:rPr>
                <w:sz w:val="18"/>
              </w:rPr>
            </w:pPr>
          </w:p>
          <w:p>
            <w:pPr>
              <w:pStyle w:val="TableParagraph"/>
              <w:ind w:right="105"/>
              <w:jc w:val="right"/>
              <w:rPr>
                <w:rFonts w:ascii="Times New Roman"/>
                <w:sz w:val="21"/>
              </w:rPr>
            </w:pPr>
            <w:r>
              <w:rPr>
                <w:rFonts w:ascii="Times New Roman"/>
                <w:w w:val="100"/>
                <w:sz w:val="21"/>
              </w:rPr>
              <w:t>-</w:t>
            </w:r>
          </w:p>
        </w:tc>
      </w:tr>
      <w:tr>
        <w:trPr>
          <w:trHeight w:val="726" w:hRule="atLeast"/>
        </w:trPr>
        <w:tc>
          <w:tcPr>
            <w:tcW w:w="754" w:type="dxa"/>
          </w:tcPr>
          <w:p>
            <w:pPr>
              <w:pStyle w:val="TableParagraph"/>
              <w:spacing w:before="11"/>
              <w:rPr>
                <w:sz w:val="17"/>
              </w:rPr>
            </w:pPr>
          </w:p>
          <w:p>
            <w:pPr>
              <w:pStyle w:val="TableParagraph"/>
              <w:ind w:left="142" w:right="30"/>
              <w:jc w:val="center"/>
              <w:rPr>
                <w:sz w:val="21"/>
              </w:rPr>
            </w:pPr>
            <w:r>
              <w:rPr>
                <w:sz w:val="21"/>
              </w:rPr>
              <w:t>合计 </w:t>
            </w:r>
          </w:p>
        </w:tc>
        <w:tc>
          <w:tcPr>
            <w:tcW w:w="687" w:type="dxa"/>
          </w:tcPr>
          <w:p>
            <w:pPr>
              <w:pStyle w:val="TableParagraph"/>
              <w:spacing w:line="236" w:lineRule="exact"/>
              <w:ind w:right="94"/>
              <w:jc w:val="right"/>
              <w:rPr>
                <w:rFonts w:ascii="Times New Roman"/>
                <w:sz w:val="21"/>
              </w:rPr>
            </w:pPr>
            <w:r>
              <w:rPr>
                <w:rFonts w:ascii="Times New Roman"/>
                <w:sz w:val="21"/>
              </w:rPr>
              <w:t>3,16</w:t>
            </w:r>
          </w:p>
          <w:p>
            <w:pPr>
              <w:pStyle w:val="TableParagraph"/>
              <w:spacing w:line="241" w:lineRule="exact"/>
              <w:ind w:right="94"/>
              <w:jc w:val="right"/>
              <w:rPr>
                <w:rFonts w:ascii="Times New Roman"/>
                <w:sz w:val="21"/>
              </w:rPr>
            </w:pPr>
            <w:r>
              <w:rPr>
                <w:rFonts w:ascii="Times New Roman"/>
                <w:sz w:val="21"/>
              </w:rPr>
              <w:t>7,92</w:t>
            </w:r>
          </w:p>
          <w:p>
            <w:pPr>
              <w:pStyle w:val="TableParagraph"/>
              <w:spacing w:line="229" w:lineRule="exact" w:before="1"/>
              <w:ind w:right="97"/>
              <w:jc w:val="right"/>
              <w:rPr>
                <w:rFonts w:ascii="Times New Roman"/>
                <w:sz w:val="21"/>
              </w:rPr>
            </w:pPr>
            <w:r>
              <w:rPr>
                <w:rFonts w:ascii="Times New Roman"/>
                <w:w w:val="100"/>
                <w:sz w:val="21"/>
              </w:rPr>
              <w:t>2</w:t>
            </w:r>
          </w:p>
        </w:tc>
        <w:tc>
          <w:tcPr>
            <w:tcW w:w="690" w:type="dxa"/>
          </w:tcPr>
          <w:p>
            <w:pPr>
              <w:pStyle w:val="TableParagraph"/>
              <w:spacing w:before="115"/>
              <w:ind w:left="104"/>
              <w:rPr>
                <w:rFonts w:ascii="Times New Roman"/>
                <w:sz w:val="21"/>
              </w:rPr>
            </w:pPr>
            <w:r>
              <w:rPr>
                <w:rFonts w:ascii="Times New Roman"/>
                <w:sz w:val="21"/>
              </w:rPr>
              <w:t>9,033</w:t>
            </w:r>
          </w:p>
          <w:p>
            <w:pPr>
              <w:pStyle w:val="TableParagraph"/>
              <w:spacing w:before="1"/>
              <w:ind w:left="209"/>
              <w:rPr>
                <w:rFonts w:ascii="Times New Roman"/>
                <w:sz w:val="21"/>
              </w:rPr>
            </w:pPr>
            <w:r>
              <w:rPr>
                <w:rFonts w:ascii="Times New Roman"/>
                <w:sz w:val="21"/>
              </w:rPr>
              <w:t>,601</w:t>
            </w:r>
          </w:p>
        </w:tc>
        <w:tc>
          <w:tcPr>
            <w:tcW w:w="603" w:type="dxa"/>
          </w:tcPr>
          <w:p>
            <w:pPr>
              <w:pStyle w:val="TableParagraph"/>
              <w:spacing w:before="5"/>
              <w:rPr>
                <w:sz w:val="18"/>
              </w:rPr>
            </w:pPr>
          </w:p>
          <w:p>
            <w:pPr>
              <w:pStyle w:val="TableParagraph"/>
              <w:ind w:right="97"/>
              <w:jc w:val="right"/>
              <w:rPr>
                <w:rFonts w:ascii="Times New Roman"/>
                <w:sz w:val="21"/>
              </w:rPr>
            </w:pPr>
            <w:r>
              <w:rPr>
                <w:rFonts w:ascii="Times New Roman"/>
                <w:w w:val="100"/>
                <w:sz w:val="21"/>
              </w:rPr>
              <w:t>-</w:t>
            </w:r>
          </w:p>
        </w:tc>
        <w:tc>
          <w:tcPr>
            <w:tcW w:w="718" w:type="dxa"/>
          </w:tcPr>
          <w:p>
            <w:pPr>
              <w:pStyle w:val="TableParagraph"/>
              <w:spacing w:before="5"/>
              <w:rPr>
                <w:sz w:val="18"/>
              </w:rPr>
            </w:pPr>
          </w:p>
          <w:p>
            <w:pPr>
              <w:pStyle w:val="TableParagraph"/>
              <w:ind w:left="113" w:right="82"/>
              <w:jc w:val="center"/>
              <w:rPr>
                <w:rFonts w:ascii="Times New Roman"/>
                <w:sz w:val="21"/>
              </w:rPr>
            </w:pPr>
            <w:r>
              <w:rPr>
                <w:rFonts w:ascii="Times New Roman"/>
                <w:sz w:val="21"/>
              </w:rPr>
              <w:t>2,637</w:t>
            </w:r>
          </w:p>
        </w:tc>
        <w:tc>
          <w:tcPr>
            <w:tcW w:w="665" w:type="dxa"/>
          </w:tcPr>
          <w:p>
            <w:pPr>
              <w:pStyle w:val="TableParagraph"/>
              <w:spacing w:before="115"/>
              <w:ind w:right="99"/>
              <w:jc w:val="right"/>
              <w:rPr>
                <w:rFonts w:ascii="Times New Roman"/>
                <w:sz w:val="21"/>
              </w:rPr>
            </w:pPr>
            <w:r>
              <w:rPr>
                <w:rFonts w:ascii="Times New Roman"/>
                <w:sz w:val="21"/>
              </w:rPr>
              <w:t>12,8</w:t>
            </w:r>
          </w:p>
          <w:p>
            <w:pPr>
              <w:pStyle w:val="TableParagraph"/>
              <w:spacing w:before="1"/>
              <w:ind w:right="101"/>
              <w:jc w:val="right"/>
              <w:rPr>
                <w:rFonts w:ascii="Times New Roman"/>
                <w:sz w:val="21"/>
              </w:rPr>
            </w:pPr>
            <w:r>
              <w:rPr>
                <w:rFonts w:ascii="Times New Roman"/>
                <w:sz w:val="21"/>
              </w:rPr>
              <w:t>43</w:t>
            </w:r>
          </w:p>
        </w:tc>
        <w:tc>
          <w:tcPr>
            <w:tcW w:w="637" w:type="dxa"/>
          </w:tcPr>
          <w:p>
            <w:pPr>
              <w:pStyle w:val="TableParagraph"/>
              <w:spacing w:before="115"/>
              <w:ind w:right="97"/>
              <w:jc w:val="right"/>
              <w:rPr>
                <w:rFonts w:ascii="Times New Roman"/>
                <w:sz w:val="21"/>
              </w:rPr>
            </w:pPr>
            <w:r>
              <w:rPr>
                <w:rFonts w:ascii="Times New Roman"/>
                <w:sz w:val="21"/>
              </w:rPr>
              <w:t>2,69</w:t>
            </w:r>
          </w:p>
          <w:p>
            <w:pPr>
              <w:pStyle w:val="TableParagraph"/>
              <w:spacing w:before="1"/>
              <w:ind w:right="99"/>
              <w:jc w:val="right"/>
              <w:rPr>
                <w:rFonts w:ascii="Times New Roman"/>
                <w:sz w:val="21"/>
              </w:rPr>
            </w:pPr>
            <w:r>
              <w:rPr>
                <w:rFonts w:ascii="Times New Roman"/>
                <w:w w:val="100"/>
                <w:sz w:val="21"/>
              </w:rPr>
              <w:t>0</w:t>
            </w:r>
          </w:p>
        </w:tc>
        <w:tc>
          <w:tcPr>
            <w:tcW w:w="644" w:type="dxa"/>
          </w:tcPr>
          <w:p>
            <w:pPr>
              <w:pStyle w:val="TableParagraph"/>
              <w:spacing w:before="5"/>
              <w:rPr>
                <w:sz w:val="18"/>
              </w:rPr>
            </w:pPr>
          </w:p>
          <w:p>
            <w:pPr>
              <w:pStyle w:val="TableParagraph"/>
              <w:ind w:right="99"/>
              <w:jc w:val="right"/>
              <w:rPr>
                <w:rFonts w:ascii="Times New Roman"/>
                <w:sz w:val="21"/>
              </w:rPr>
            </w:pPr>
            <w:r>
              <w:rPr>
                <w:rFonts w:ascii="Times New Roman"/>
                <w:w w:val="100"/>
                <w:sz w:val="21"/>
              </w:rPr>
              <w:t>-</w:t>
            </w:r>
          </w:p>
        </w:tc>
        <w:tc>
          <w:tcPr>
            <w:tcW w:w="714" w:type="dxa"/>
          </w:tcPr>
          <w:p>
            <w:pPr>
              <w:pStyle w:val="TableParagraph"/>
              <w:spacing w:before="115"/>
              <w:ind w:left="127" w:right="84" w:firstLine="403"/>
              <w:rPr>
                <w:rFonts w:ascii="Times New Roman"/>
                <w:sz w:val="21"/>
              </w:rPr>
            </w:pPr>
            <w:r>
              <w:rPr>
                <w:rFonts w:ascii="Times New Roman"/>
                <w:sz w:val="21"/>
              </w:rPr>
              <w:t>-</w:t>
            </w:r>
            <w:r>
              <w:rPr>
                <w:rFonts w:ascii="Times New Roman"/>
                <w:spacing w:val="-50"/>
                <w:sz w:val="21"/>
              </w:rPr>
              <w:t> </w:t>
            </w:r>
            <w:r>
              <w:rPr>
                <w:rFonts w:ascii="Times New Roman"/>
                <w:sz w:val="21"/>
              </w:rPr>
              <w:t>3,997</w:t>
            </w:r>
          </w:p>
        </w:tc>
        <w:tc>
          <w:tcPr>
            <w:tcW w:w="704" w:type="dxa"/>
          </w:tcPr>
          <w:p>
            <w:pPr>
              <w:pStyle w:val="TableParagraph"/>
              <w:spacing w:before="5"/>
              <w:rPr>
                <w:sz w:val="18"/>
              </w:rPr>
            </w:pPr>
          </w:p>
          <w:p>
            <w:pPr>
              <w:pStyle w:val="TableParagraph"/>
              <w:ind w:right="101"/>
              <w:jc w:val="right"/>
              <w:rPr>
                <w:rFonts w:ascii="Times New Roman"/>
                <w:sz w:val="21"/>
              </w:rPr>
            </w:pPr>
            <w:r>
              <w:rPr>
                <w:rFonts w:ascii="Times New Roman"/>
                <w:w w:val="100"/>
                <w:sz w:val="21"/>
              </w:rPr>
              <w:t>-</w:t>
            </w:r>
          </w:p>
        </w:tc>
        <w:tc>
          <w:tcPr>
            <w:tcW w:w="741" w:type="dxa"/>
          </w:tcPr>
          <w:p>
            <w:pPr>
              <w:pStyle w:val="TableParagraph"/>
              <w:spacing w:before="5"/>
              <w:rPr>
                <w:sz w:val="18"/>
              </w:rPr>
            </w:pPr>
          </w:p>
          <w:p>
            <w:pPr>
              <w:pStyle w:val="TableParagraph"/>
              <w:ind w:right="102"/>
              <w:jc w:val="right"/>
              <w:rPr>
                <w:rFonts w:ascii="Times New Roman"/>
                <w:sz w:val="21"/>
              </w:rPr>
            </w:pPr>
            <w:r>
              <w:rPr>
                <w:rFonts w:ascii="Times New Roman"/>
                <w:w w:val="100"/>
                <w:sz w:val="21"/>
              </w:rPr>
              <w:t>-</w:t>
            </w:r>
          </w:p>
        </w:tc>
        <w:tc>
          <w:tcPr>
            <w:tcW w:w="702" w:type="dxa"/>
          </w:tcPr>
          <w:p>
            <w:pPr>
              <w:pStyle w:val="TableParagraph"/>
              <w:spacing w:before="115"/>
              <w:ind w:left="109"/>
              <w:rPr>
                <w:rFonts w:ascii="Times New Roman"/>
                <w:sz w:val="21"/>
              </w:rPr>
            </w:pPr>
            <w:r>
              <w:rPr>
                <w:rFonts w:ascii="Times New Roman"/>
                <w:sz w:val="21"/>
              </w:rPr>
              <w:t>12,21</w:t>
            </w:r>
          </w:p>
          <w:p>
            <w:pPr>
              <w:pStyle w:val="TableParagraph"/>
              <w:spacing w:before="1"/>
              <w:ind w:left="109"/>
              <w:rPr>
                <w:rFonts w:ascii="Times New Roman"/>
                <w:sz w:val="21"/>
              </w:rPr>
            </w:pPr>
            <w:r>
              <w:rPr>
                <w:rFonts w:ascii="Times New Roman"/>
                <w:sz w:val="21"/>
              </w:rPr>
              <w:t>5,696</w:t>
            </w:r>
          </w:p>
        </w:tc>
        <w:tc>
          <w:tcPr>
            <w:tcW w:w="575" w:type="dxa"/>
          </w:tcPr>
          <w:p>
            <w:pPr>
              <w:pStyle w:val="TableParagraph"/>
              <w:spacing w:before="5"/>
              <w:rPr>
                <w:sz w:val="18"/>
              </w:rPr>
            </w:pPr>
          </w:p>
          <w:p>
            <w:pPr>
              <w:pStyle w:val="TableParagraph"/>
              <w:ind w:right="105"/>
              <w:jc w:val="right"/>
              <w:rPr>
                <w:rFonts w:ascii="Times New Roman"/>
                <w:sz w:val="21"/>
              </w:rPr>
            </w:pPr>
            <w:r>
              <w:rPr>
                <w:rFonts w:ascii="Times New Roman"/>
                <w:w w:val="100"/>
                <w:sz w:val="21"/>
              </w:rPr>
              <w:t>-</w:t>
            </w:r>
          </w:p>
        </w:tc>
      </w:tr>
    </w:tbl>
    <w:p>
      <w:pPr>
        <w:pStyle w:val="BodyText"/>
        <w:spacing w:before="1"/>
      </w:pPr>
      <w:r>
        <w:rPr>
          <w:w w:val="100"/>
        </w:rPr>
        <w:t> </w:t>
      </w:r>
    </w:p>
    <w:p>
      <w:pPr>
        <w:pStyle w:val="BodyText"/>
        <w:spacing w:before="2"/>
      </w:pPr>
      <w:r>
        <w:rPr>
          <w:spacing w:val="-1"/>
        </w:rPr>
        <w:t>其他说明</w:t>
      </w:r>
      <w:r>
        <w:rPr/>
        <w:t> </w:t>
      </w:r>
    </w:p>
    <w:p>
      <w:pPr>
        <w:pStyle w:val="BodyText"/>
        <w:spacing w:before="5" w:after="59"/>
      </w:pPr>
      <w:r>
        <w:rPr>
          <w:w w:val="100"/>
        </w:rPr>
        <w:t> </w:t>
      </w: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0"/>
        <w:gridCol w:w="8442"/>
      </w:tblGrid>
      <w:tr>
        <w:trPr>
          <w:trHeight w:val="1711" w:hRule="atLeast"/>
        </w:trPr>
        <w:tc>
          <w:tcPr>
            <w:tcW w:w="770" w:type="dxa"/>
          </w:tcPr>
          <w:p>
            <w:pPr>
              <w:pStyle w:val="TableParagraph"/>
              <w:spacing w:line="241" w:lineRule="exact"/>
              <w:ind w:left="200"/>
              <w:rPr>
                <w:sz w:val="21"/>
              </w:rPr>
            </w:pPr>
            <w:r>
              <w:rPr>
                <w:sz w:val="21"/>
              </w:rPr>
              <w:t>(i) </w:t>
            </w:r>
          </w:p>
        </w:tc>
        <w:tc>
          <w:tcPr>
            <w:tcW w:w="8442" w:type="dxa"/>
          </w:tcPr>
          <w:p>
            <w:pPr>
              <w:pStyle w:val="TableParagraph"/>
              <w:spacing w:line="241" w:lineRule="exact"/>
              <w:ind w:left="149"/>
              <w:rPr>
                <w:sz w:val="21"/>
              </w:rPr>
            </w:pPr>
            <w:r>
              <w:rPr>
                <w:spacing w:val="-19"/>
                <w:sz w:val="21"/>
              </w:rPr>
              <w:t>截至 </w:t>
            </w:r>
            <w:r>
              <w:rPr>
                <w:spacing w:val="-1"/>
                <w:sz w:val="21"/>
              </w:rPr>
              <w:t>2022</w:t>
            </w:r>
            <w:r>
              <w:rPr>
                <w:spacing w:val="-8"/>
                <w:sz w:val="21"/>
              </w:rPr>
              <w:t> 年度，本公司与北京智路资产管理有限公司签订《兴微(广州)产业投资合伙</w:t>
            </w:r>
            <w:r>
              <w:rPr>
                <w:sz w:val="21"/>
              </w:rPr>
              <w:t> </w:t>
            </w:r>
          </w:p>
          <w:p>
            <w:pPr>
              <w:pStyle w:val="TableParagraph"/>
              <w:spacing w:line="300" w:lineRule="atLeast"/>
              <w:ind w:left="149" w:right="198"/>
              <w:rPr>
                <w:sz w:val="21"/>
              </w:rPr>
            </w:pPr>
            <w:r>
              <w:rPr>
                <w:sz w:val="21"/>
              </w:rPr>
              <w:t>企业(有限合伙)合伙协议》(以下简称“合伙协议”)，本公司作为有限合伙人向兴微(</w:t>
            </w:r>
            <w:r>
              <w:rPr>
                <w:spacing w:val="1"/>
                <w:sz w:val="21"/>
              </w:rPr>
              <w:t> </w:t>
            </w:r>
            <w:r>
              <w:rPr>
                <w:spacing w:val="-3"/>
                <w:sz w:val="21"/>
              </w:rPr>
              <w:t>广州)产业投资合伙企业(有限合伙)(以下简称“兴微基金”)出资人民币 </w:t>
            </w:r>
            <w:r>
              <w:rPr>
                <w:sz w:val="21"/>
              </w:rPr>
              <w:t>90.20</w:t>
            </w:r>
            <w:r>
              <w:rPr>
                <w:spacing w:val="-11"/>
                <w:sz w:val="21"/>
              </w:rPr>
              <w:t> 亿元，</w:t>
            </w:r>
            <w:r>
              <w:rPr>
                <w:spacing w:val="1"/>
                <w:sz w:val="21"/>
              </w:rPr>
              <w:t> 占该投资基金份额的 </w:t>
            </w:r>
            <w:r>
              <w:rPr>
                <w:spacing w:val="-1"/>
                <w:sz w:val="21"/>
              </w:rPr>
              <w:t>99.99%。由于根据合伙协议和相关章程约定，本公司未取得兴微基</w:t>
            </w:r>
            <w:r>
              <w:rPr>
                <w:sz w:val="21"/>
              </w:rPr>
              <w:t>金的控制权或者共同控制权，但存在重大影响，因此在本财务报表中将兴微基金作为联营企业进行核算。本集团在联营企业中的权益相关信息在附注七(2)。 </w:t>
            </w:r>
          </w:p>
        </w:tc>
      </w:tr>
    </w:tbl>
    <w:p>
      <w:pPr>
        <w:pStyle w:val="BodyText"/>
        <w:spacing w:before="32"/>
      </w:pPr>
      <w:r>
        <w:rPr>
          <w:w w:val="100"/>
        </w:rPr>
        <w:t> </w:t>
      </w:r>
    </w:p>
    <w:p>
      <w:pPr>
        <w:pStyle w:val="BodyText"/>
        <w:spacing w:before="4"/>
      </w:pPr>
      <w:r>
        <w:rPr>
          <w:w w:val="100"/>
        </w:rPr>
        <w:t> </w:t>
      </w:r>
    </w:p>
    <w:p>
      <w:pPr>
        <w:pStyle w:val="BodyText"/>
        <w:spacing w:before="2"/>
      </w:pPr>
      <w:r>
        <w:rPr>
          <w:w w:val="100"/>
        </w:rPr>
        <w:t> </w:t>
      </w:r>
    </w:p>
    <w:p>
      <w:pPr>
        <w:pStyle w:val="BodyText"/>
        <w:spacing w:line="295" w:lineRule="auto" w:before="65"/>
        <w:ind w:right="7465"/>
      </w:pPr>
      <w:r>
        <w:rPr/>
        <w:t>18、 其他权益工具投资(1).其他权益工具投资情况 </w:t>
      </w:r>
    </w:p>
    <w:p>
      <w:pPr>
        <w:pStyle w:val="BodyText"/>
      </w:pPr>
      <w:r>
        <w:rPr>
          <w:spacing w:val="-1"/>
        </w:rPr>
        <w:t>√适用 □不适用</w:t>
      </w:r>
      <w:r>
        <w:rPr>
          <w:spacing w:val="-3"/>
        </w:rPr>
        <w:t> </w:t>
      </w:r>
      <w:r>
        <w:rPr/>
        <w:t> </w:t>
      </w:r>
    </w:p>
    <w:p>
      <w:pPr>
        <w:pStyle w:val="BodyText"/>
        <w:spacing w:before="5"/>
        <w:ind w:left="6525"/>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0"/>
        <w:gridCol w:w="2621"/>
        <w:gridCol w:w="2643"/>
      </w:tblGrid>
      <w:tr>
        <w:trPr>
          <w:trHeight w:val="273" w:hRule="atLeast"/>
        </w:trPr>
        <w:tc>
          <w:tcPr>
            <w:tcW w:w="3560" w:type="dxa"/>
            <w:tcBorders>
              <w:bottom w:val="single" w:sz="6" w:space="0" w:color="000000"/>
              <w:right w:val="single" w:sz="6" w:space="0" w:color="000000"/>
            </w:tcBorders>
          </w:tcPr>
          <w:p>
            <w:pPr>
              <w:pStyle w:val="TableParagraph"/>
              <w:spacing w:line="250" w:lineRule="exact" w:before="3"/>
              <w:ind w:right="1449"/>
              <w:jc w:val="right"/>
              <w:rPr>
                <w:sz w:val="21"/>
              </w:rPr>
            </w:pPr>
            <w:r>
              <w:rPr>
                <w:sz w:val="21"/>
              </w:rPr>
              <w:t>项目 </w:t>
            </w:r>
          </w:p>
        </w:tc>
        <w:tc>
          <w:tcPr>
            <w:tcW w:w="2621" w:type="dxa"/>
            <w:tcBorders>
              <w:left w:val="single" w:sz="6" w:space="0" w:color="000000"/>
              <w:bottom w:val="single" w:sz="6" w:space="0" w:color="000000"/>
              <w:right w:val="single" w:sz="6" w:space="0" w:color="000000"/>
            </w:tcBorders>
          </w:tcPr>
          <w:p>
            <w:pPr>
              <w:pStyle w:val="TableParagraph"/>
              <w:spacing w:line="250" w:lineRule="exact" w:before="3"/>
              <w:ind w:left="887"/>
              <w:rPr>
                <w:sz w:val="21"/>
              </w:rPr>
            </w:pPr>
            <w:r>
              <w:rPr>
                <w:spacing w:val="-1"/>
                <w:sz w:val="21"/>
              </w:rPr>
              <w:t>期末余额</w:t>
            </w:r>
            <w:r>
              <w:rPr>
                <w:sz w:val="21"/>
              </w:rPr>
              <w:t> </w:t>
            </w:r>
          </w:p>
        </w:tc>
        <w:tc>
          <w:tcPr>
            <w:tcW w:w="2643" w:type="dxa"/>
            <w:tcBorders>
              <w:left w:val="single" w:sz="6" w:space="0" w:color="000000"/>
              <w:bottom w:val="single" w:sz="6" w:space="0" w:color="000000"/>
            </w:tcBorders>
          </w:tcPr>
          <w:p>
            <w:pPr>
              <w:pStyle w:val="TableParagraph"/>
              <w:spacing w:line="250" w:lineRule="exact" w:before="3"/>
              <w:ind w:left="897"/>
              <w:rPr>
                <w:sz w:val="21"/>
              </w:rPr>
            </w:pPr>
            <w:r>
              <w:rPr>
                <w:spacing w:val="-1"/>
                <w:sz w:val="21"/>
              </w:rPr>
              <w:t>期初余额</w:t>
            </w:r>
            <w:r>
              <w:rPr>
                <w:sz w:val="21"/>
              </w:rPr>
              <w:t> </w:t>
            </w:r>
          </w:p>
        </w:tc>
      </w:tr>
      <w:tr>
        <w:trPr>
          <w:trHeight w:val="272" w:hRule="atLeast"/>
        </w:trPr>
        <w:tc>
          <w:tcPr>
            <w:tcW w:w="3560"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非上市公司股权</w:t>
            </w:r>
            <w:r>
              <w:rPr>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1"/>
              <w:jc w:val="right"/>
              <w:rPr>
                <w:rFonts w:ascii="Times New Roman"/>
                <w:sz w:val="21"/>
              </w:rPr>
            </w:pPr>
            <w:r>
              <w:rPr>
                <w:rFonts w:ascii="Times New Roman"/>
                <w:sz w:val="21"/>
              </w:rPr>
              <w:t>388,257</w:t>
            </w:r>
          </w:p>
        </w:tc>
        <w:tc>
          <w:tcPr>
            <w:tcW w:w="2643" w:type="dxa"/>
            <w:tcBorders>
              <w:top w:val="single" w:sz="6" w:space="0" w:color="000000"/>
              <w:left w:val="single" w:sz="6" w:space="0" w:color="000000"/>
              <w:bottom w:val="single" w:sz="6" w:space="0" w:color="000000"/>
            </w:tcBorders>
          </w:tcPr>
          <w:p>
            <w:pPr>
              <w:pStyle w:val="TableParagraph"/>
              <w:spacing w:line="235" w:lineRule="exact"/>
              <w:ind w:right="93"/>
              <w:jc w:val="right"/>
              <w:rPr>
                <w:rFonts w:ascii="Times New Roman"/>
                <w:sz w:val="21"/>
              </w:rPr>
            </w:pPr>
            <w:r>
              <w:rPr>
                <w:rFonts w:ascii="Times New Roman"/>
                <w:sz w:val="21"/>
              </w:rPr>
              <w:t>128,747</w:t>
            </w:r>
          </w:p>
        </w:tc>
      </w:tr>
      <w:tr>
        <w:trPr>
          <w:trHeight w:val="273" w:hRule="atLeast"/>
        </w:trPr>
        <w:tc>
          <w:tcPr>
            <w:tcW w:w="3560"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w w:val="100"/>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w w:val="100"/>
                <w:sz w:val="21"/>
              </w:rPr>
              <w:t> </w:t>
            </w:r>
          </w:p>
        </w:tc>
        <w:tc>
          <w:tcPr>
            <w:tcW w:w="2643"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w w:val="100"/>
                <w:sz w:val="21"/>
              </w:rPr>
              <w:t> </w:t>
            </w:r>
          </w:p>
        </w:tc>
      </w:tr>
      <w:tr>
        <w:trPr>
          <w:trHeight w:val="270" w:hRule="atLeast"/>
        </w:trPr>
        <w:tc>
          <w:tcPr>
            <w:tcW w:w="3560" w:type="dxa"/>
            <w:tcBorders>
              <w:top w:val="single" w:sz="6" w:space="0" w:color="000000"/>
              <w:right w:val="single" w:sz="6" w:space="0" w:color="000000"/>
            </w:tcBorders>
          </w:tcPr>
          <w:p>
            <w:pPr>
              <w:pStyle w:val="TableParagraph"/>
              <w:spacing w:line="250" w:lineRule="exact" w:before="1"/>
              <w:ind w:right="1449"/>
              <w:jc w:val="right"/>
              <w:rPr>
                <w:sz w:val="21"/>
              </w:rPr>
            </w:pPr>
            <w:r>
              <w:rPr>
                <w:sz w:val="21"/>
              </w:rPr>
              <w:t>合计 </w:t>
            </w:r>
          </w:p>
        </w:tc>
        <w:tc>
          <w:tcPr>
            <w:tcW w:w="2621" w:type="dxa"/>
            <w:tcBorders>
              <w:top w:val="single" w:sz="6" w:space="0" w:color="000000"/>
              <w:left w:val="single" w:sz="6" w:space="0" w:color="000000"/>
              <w:right w:val="single" w:sz="6" w:space="0" w:color="000000"/>
            </w:tcBorders>
          </w:tcPr>
          <w:p>
            <w:pPr>
              <w:pStyle w:val="TableParagraph"/>
              <w:spacing w:line="235" w:lineRule="exact"/>
              <w:ind w:right="91"/>
              <w:jc w:val="right"/>
              <w:rPr>
                <w:rFonts w:ascii="Times New Roman"/>
                <w:sz w:val="21"/>
              </w:rPr>
            </w:pPr>
            <w:r>
              <w:rPr>
                <w:rFonts w:ascii="Times New Roman"/>
                <w:sz w:val="21"/>
              </w:rPr>
              <w:t>388,257</w:t>
            </w:r>
          </w:p>
        </w:tc>
        <w:tc>
          <w:tcPr>
            <w:tcW w:w="2643" w:type="dxa"/>
            <w:tcBorders>
              <w:top w:val="single" w:sz="6" w:space="0" w:color="000000"/>
              <w:left w:val="single" w:sz="6" w:space="0" w:color="000000"/>
            </w:tcBorders>
          </w:tcPr>
          <w:p>
            <w:pPr>
              <w:pStyle w:val="TableParagraph"/>
              <w:spacing w:line="235" w:lineRule="exact"/>
              <w:ind w:right="93"/>
              <w:jc w:val="right"/>
              <w:rPr>
                <w:rFonts w:ascii="Times New Roman"/>
                <w:sz w:val="21"/>
              </w:rPr>
            </w:pPr>
            <w:r>
              <w:rPr>
                <w:rFonts w:ascii="Times New Roman"/>
                <w:sz w:val="21"/>
              </w:rPr>
              <w:t>128,747</w:t>
            </w:r>
          </w:p>
        </w:tc>
      </w:tr>
    </w:tbl>
    <w:p>
      <w:pPr>
        <w:pStyle w:val="BodyText"/>
        <w:spacing w:before="3"/>
        <w:ind w:left="0"/>
        <w:rPr>
          <w:sz w:val="19"/>
        </w:rPr>
      </w:pPr>
    </w:p>
    <w:p>
      <w:pPr>
        <w:pStyle w:val="BodyText"/>
        <w:spacing w:before="72"/>
      </w:pPr>
      <w:r>
        <w:rPr/>
        <w:t>(2).非交易性权益工具投资的情况 </w:t>
      </w:r>
    </w:p>
    <w:p>
      <w:pPr>
        <w:pStyle w:val="BodyText"/>
        <w:spacing w:line="242" w:lineRule="auto" w:before="64"/>
        <w:ind w:right="8320"/>
      </w:pPr>
      <w:r>
        <w:rPr/>
        <w:t>□适用 √不适用其他说明： </w:t>
      </w:r>
    </w:p>
    <w:p>
      <w:pPr>
        <w:pStyle w:val="BodyText"/>
        <w:spacing w:before="2"/>
      </w:pPr>
      <w:r>
        <w:rPr>
          <w:spacing w:val="-1"/>
        </w:rPr>
        <w:t>□适用 √不适用</w:t>
      </w:r>
      <w:r>
        <w:rPr>
          <w:spacing w:val="-3"/>
        </w:rPr>
        <w:t> </w:t>
      </w:r>
      <w:r>
        <w:rPr/>
        <w:t> </w:t>
      </w:r>
    </w:p>
    <w:p>
      <w:pPr>
        <w:pStyle w:val="BodyText"/>
        <w:spacing w:before="2"/>
      </w:pPr>
      <w:r>
        <w:rPr>
          <w:w w:val="100"/>
        </w:rPr>
        <w:t> </w:t>
      </w:r>
    </w:p>
    <w:p>
      <w:pPr>
        <w:pStyle w:val="BodyText"/>
        <w:spacing w:before="64"/>
      </w:pPr>
      <w:r>
        <w:rPr/>
        <w:t>19</w:t>
      </w:r>
      <w:r>
        <w:rPr>
          <w:spacing w:val="-5"/>
        </w:rPr>
        <w:t>、 其他非流动金融资产</w:t>
      </w:r>
    </w:p>
    <w:p>
      <w:pPr>
        <w:pStyle w:val="BodyText"/>
        <w:spacing w:line="244" w:lineRule="auto" w:before="63"/>
        <w:ind w:right="8320"/>
      </w:pPr>
      <w:r>
        <w:rPr/>
        <w:t>□适用 √不适用其他说明： </w:t>
      </w:r>
    </w:p>
    <w:p>
      <w:pPr>
        <w:pStyle w:val="BodyText"/>
        <w:spacing w:line="265" w:lineRule="exact"/>
      </w:pPr>
      <w:r>
        <w:rPr>
          <w:spacing w:val="-1"/>
        </w:rPr>
        <w:t>□适用 √不适用</w:t>
      </w:r>
      <w:r>
        <w:rPr>
          <w:spacing w:val="-3"/>
        </w:rPr>
        <w:t> </w:t>
      </w:r>
      <w:r>
        <w:rPr/>
        <w:t> </w:t>
      </w:r>
    </w:p>
    <w:p>
      <w:pPr>
        <w:pStyle w:val="BodyText"/>
        <w:spacing w:before="4"/>
      </w:pPr>
      <w:r>
        <w:rPr>
          <w:w w:val="100"/>
        </w:rPr>
        <w:t> </w:t>
      </w:r>
    </w:p>
    <w:p>
      <w:pPr>
        <w:spacing w:after="0"/>
        <w:sectPr>
          <w:pgSz w:w="11910" w:h="16840"/>
          <w:pgMar w:header="882" w:footer="1195" w:top="1120" w:bottom="1380" w:left="1480" w:right="0"/>
        </w:sectPr>
      </w:pPr>
    </w:p>
    <w:p>
      <w:pPr>
        <w:pStyle w:val="BodyText"/>
        <w:spacing w:before="7"/>
        <w:ind w:left="0"/>
        <w:rPr>
          <w:sz w:val="25"/>
        </w:rPr>
      </w:pPr>
    </w:p>
    <w:p>
      <w:pPr>
        <w:spacing w:after="0"/>
        <w:rPr>
          <w:sz w:val="25"/>
        </w:rPr>
        <w:sectPr>
          <w:pgSz w:w="11910" w:h="16840"/>
          <w:pgMar w:header="882" w:footer="1195" w:top="1120" w:bottom="1380" w:left="1480" w:right="0"/>
        </w:sectPr>
      </w:pPr>
    </w:p>
    <w:p>
      <w:pPr>
        <w:pStyle w:val="BodyText"/>
        <w:spacing w:before="72"/>
      </w:pPr>
      <w:r>
        <w:rPr/>
        <w:t>20</w:t>
      </w:r>
      <w:r>
        <w:rPr>
          <w:spacing w:val="-5"/>
        </w:rPr>
        <w:t>、 投资性房地产</w:t>
      </w:r>
      <w:r>
        <w:rPr/>
        <w:t>  </w:t>
      </w:r>
      <w:r>
        <w:rPr>
          <w:spacing w:val="16"/>
        </w:rPr>
        <w:t> </w:t>
      </w:r>
      <w:r>
        <w:rPr>
          <w:w w:val="100"/>
        </w:rPr>
        <w:t> </w:t>
      </w:r>
    </w:p>
    <w:p>
      <w:pPr>
        <w:pStyle w:val="BodyText"/>
        <w:spacing w:line="242" w:lineRule="auto" w:before="65"/>
        <w:ind w:right="38"/>
      </w:pPr>
      <w:r>
        <w:rPr/>
        <w:t>投资性房地产计量模式不适用 </w:t>
      </w:r>
    </w:p>
    <w:p>
      <w:pPr>
        <w:pStyle w:val="BodyText"/>
        <w:spacing w:before="1"/>
      </w:pPr>
      <w:r>
        <w:rPr>
          <w:w w:val="100"/>
        </w:rPr>
        <w:t> </w:t>
      </w:r>
    </w:p>
    <w:p>
      <w:pPr>
        <w:pStyle w:val="BodyText"/>
        <w:spacing w:line="297" w:lineRule="auto" w:before="62"/>
        <w:ind w:right="792"/>
      </w:pPr>
      <w:r>
        <w:rPr/>
        <w:t>21</w:t>
      </w:r>
      <w:r>
        <w:rPr>
          <w:spacing w:val="-5"/>
        </w:rPr>
        <w:t>、 固定资产</w:t>
      </w:r>
      <w:r>
        <w:rPr/>
        <w:t>项目列示 </w:t>
      </w:r>
    </w:p>
    <w:p>
      <w:pPr>
        <w:pStyle w:val="BodyText"/>
        <w:spacing w:line="267" w:lineRule="exact"/>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70"/>
      </w:pPr>
      <w:r>
        <w:rPr>
          <w:spacing w:val="7"/>
        </w:rPr>
        <w:t>单位：千元 币种：人民币</w:t>
      </w:r>
      <w:r>
        <w:rPr/>
        <w:t> </w:t>
      </w:r>
    </w:p>
    <w:p>
      <w:pPr>
        <w:spacing w:after="0"/>
        <w:sectPr>
          <w:type w:val="continuous"/>
          <w:pgSz w:w="11910" w:h="16840"/>
          <w:pgMar w:top="780" w:bottom="280" w:left="1480" w:right="0"/>
          <w:cols w:num="2" w:equalWidth="0">
            <w:col w:w="2565" w:space="3746"/>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26"/>
        <w:gridCol w:w="2791"/>
        <w:gridCol w:w="2806"/>
      </w:tblGrid>
      <w:tr>
        <w:trPr>
          <w:trHeight w:val="273" w:hRule="atLeast"/>
        </w:trPr>
        <w:tc>
          <w:tcPr>
            <w:tcW w:w="3226" w:type="dxa"/>
          </w:tcPr>
          <w:p>
            <w:pPr>
              <w:pStyle w:val="TableParagraph"/>
              <w:spacing w:line="252" w:lineRule="exact" w:before="1"/>
              <w:ind w:right="1287"/>
              <w:jc w:val="right"/>
              <w:rPr>
                <w:sz w:val="21"/>
              </w:rPr>
            </w:pPr>
            <w:r>
              <w:rPr>
                <w:sz w:val="21"/>
              </w:rPr>
              <w:t>项目 </w:t>
            </w:r>
          </w:p>
        </w:tc>
        <w:tc>
          <w:tcPr>
            <w:tcW w:w="2791" w:type="dxa"/>
          </w:tcPr>
          <w:p>
            <w:pPr>
              <w:pStyle w:val="TableParagraph"/>
              <w:spacing w:line="252" w:lineRule="exact" w:before="1"/>
              <w:ind w:left="974"/>
              <w:rPr>
                <w:sz w:val="21"/>
              </w:rPr>
            </w:pPr>
            <w:r>
              <w:rPr>
                <w:spacing w:val="-1"/>
                <w:sz w:val="21"/>
              </w:rPr>
              <w:t>期末余额</w:t>
            </w:r>
            <w:r>
              <w:rPr>
                <w:sz w:val="21"/>
              </w:rPr>
              <w:t> </w:t>
            </w:r>
          </w:p>
        </w:tc>
        <w:tc>
          <w:tcPr>
            <w:tcW w:w="2806" w:type="dxa"/>
          </w:tcPr>
          <w:p>
            <w:pPr>
              <w:pStyle w:val="TableParagraph"/>
              <w:spacing w:line="252" w:lineRule="exact" w:before="1"/>
              <w:ind w:left="982"/>
              <w:rPr>
                <w:sz w:val="21"/>
              </w:rPr>
            </w:pPr>
            <w:r>
              <w:rPr>
                <w:spacing w:val="-1"/>
                <w:sz w:val="21"/>
              </w:rPr>
              <w:t>期初余额</w:t>
            </w:r>
            <w:r>
              <w:rPr>
                <w:sz w:val="21"/>
              </w:rPr>
              <w:t> </w:t>
            </w:r>
          </w:p>
        </w:tc>
      </w:tr>
      <w:tr>
        <w:trPr>
          <w:trHeight w:val="273" w:hRule="atLeast"/>
        </w:trPr>
        <w:tc>
          <w:tcPr>
            <w:tcW w:w="3226" w:type="dxa"/>
          </w:tcPr>
          <w:p>
            <w:pPr>
              <w:pStyle w:val="TableParagraph"/>
              <w:spacing w:line="252" w:lineRule="exact" w:before="1"/>
              <w:ind w:left="107"/>
              <w:rPr>
                <w:sz w:val="21"/>
              </w:rPr>
            </w:pPr>
            <w:r>
              <w:rPr>
                <w:spacing w:val="-1"/>
                <w:sz w:val="21"/>
              </w:rPr>
              <w:t>固定资产</w:t>
            </w:r>
            <w:r>
              <w:rPr>
                <w:sz w:val="21"/>
              </w:rPr>
              <w:t> </w:t>
            </w:r>
          </w:p>
        </w:tc>
        <w:tc>
          <w:tcPr>
            <w:tcW w:w="2791" w:type="dxa"/>
          </w:tcPr>
          <w:p>
            <w:pPr>
              <w:pStyle w:val="TableParagraph"/>
              <w:spacing w:line="235" w:lineRule="exact"/>
              <w:ind w:left="1737"/>
              <w:rPr>
                <w:rFonts w:ascii="Times New Roman"/>
                <w:sz w:val="21"/>
              </w:rPr>
            </w:pPr>
            <w:r>
              <w:rPr>
                <w:rFonts w:ascii="Times New Roman"/>
                <w:sz w:val="21"/>
              </w:rPr>
              <w:t>15,937,003</w:t>
            </w:r>
          </w:p>
        </w:tc>
        <w:tc>
          <w:tcPr>
            <w:tcW w:w="2806" w:type="dxa"/>
          </w:tcPr>
          <w:p>
            <w:pPr>
              <w:pStyle w:val="TableParagraph"/>
              <w:spacing w:line="235" w:lineRule="exact"/>
              <w:ind w:right="92"/>
              <w:jc w:val="right"/>
              <w:rPr>
                <w:rFonts w:ascii="Times New Roman"/>
                <w:sz w:val="21"/>
              </w:rPr>
            </w:pPr>
            <w:r>
              <w:rPr>
                <w:rFonts w:ascii="Times New Roman"/>
                <w:sz w:val="21"/>
              </w:rPr>
              <w:t>9,493,537</w:t>
            </w:r>
          </w:p>
        </w:tc>
      </w:tr>
      <w:tr>
        <w:trPr>
          <w:trHeight w:val="270" w:hRule="atLeast"/>
        </w:trPr>
        <w:tc>
          <w:tcPr>
            <w:tcW w:w="3226" w:type="dxa"/>
          </w:tcPr>
          <w:p>
            <w:pPr>
              <w:pStyle w:val="TableParagraph"/>
              <w:spacing w:line="250" w:lineRule="exact" w:before="1"/>
              <w:ind w:left="107"/>
              <w:rPr>
                <w:sz w:val="21"/>
              </w:rPr>
            </w:pPr>
            <w:r>
              <w:rPr>
                <w:spacing w:val="-1"/>
                <w:sz w:val="21"/>
              </w:rPr>
              <w:t>固定资产清理</w:t>
            </w:r>
            <w:r>
              <w:rPr>
                <w:sz w:val="21"/>
              </w:rPr>
              <w:t> </w:t>
            </w:r>
          </w:p>
        </w:tc>
        <w:tc>
          <w:tcPr>
            <w:tcW w:w="2791" w:type="dxa"/>
          </w:tcPr>
          <w:p>
            <w:pPr>
              <w:pStyle w:val="TableParagraph"/>
              <w:spacing w:line="250" w:lineRule="exact" w:before="1"/>
              <w:ind w:right="-15"/>
              <w:jc w:val="right"/>
              <w:rPr>
                <w:sz w:val="21"/>
              </w:rPr>
            </w:pPr>
            <w:r>
              <w:rPr>
                <w:w w:val="100"/>
                <w:sz w:val="21"/>
              </w:rPr>
              <w:t> </w:t>
            </w:r>
          </w:p>
        </w:tc>
        <w:tc>
          <w:tcPr>
            <w:tcW w:w="2806" w:type="dxa"/>
          </w:tcPr>
          <w:p>
            <w:pPr>
              <w:pStyle w:val="TableParagraph"/>
              <w:spacing w:line="250" w:lineRule="exact" w:before="1"/>
              <w:ind w:right="-15"/>
              <w:jc w:val="right"/>
              <w:rPr>
                <w:sz w:val="21"/>
              </w:rPr>
            </w:pPr>
            <w:r>
              <w:rPr>
                <w:w w:val="100"/>
                <w:sz w:val="21"/>
              </w:rPr>
              <w:t> </w:t>
            </w:r>
          </w:p>
        </w:tc>
      </w:tr>
      <w:tr>
        <w:trPr>
          <w:trHeight w:val="273" w:hRule="atLeast"/>
        </w:trPr>
        <w:tc>
          <w:tcPr>
            <w:tcW w:w="3226" w:type="dxa"/>
          </w:tcPr>
          <w:p>
            <w:pPr>
              <w:pStyle w:val="TableParagraph"/>
              <w:spacing w:line="252" w:lineRule="exact" w:before="1"/>
              <w:ind w:right="1287"/>
              <w:jc w:val="right"/>
              <w:rPr>
                <w:sz w:val="21"/>
              </w:rPr>
            </w:pPr>
            <w:r>
              <w:rPr>
                <w:sz w:val="21"/>
              </w:rPr>
              <w:t>合计 </w:t>
            </w:r>
          </w:p>
        </w:tc>
        <w:tc>
          <w:tcPr>
            <w:tcW w:w="2791" w:type="dxa"/>
          </w:tcPr>
          <w:p>
            <w:pPr>
              <w:pStyle w:val="TableParagraph"/>
              <w:spacing w:line="235" w:lineRule="exact"/>
              <w:ind w:left="1737"/>
              <w:rPr>
                <w:rFonts w:ascii="Times New Roman"/>
                <w:sz w:val="21"/>
              </w:rPr>
            </w:pPr>
            <w:r>
              <w:rPr>
                <w:rFonts w:ascii="Times New Roman"/>
                <w:sz w:val="21"/>
              </w:rPr>
              <w:t>15,937,003</w:t>
            </w:r>
          </w:p>
        </w:tc>
        <w:tc>
          <w:tcPr>
            <w:tcW w:w="2806" w:type="dxa"/>
          </w:tcPr>
          <w:p>
            <w:pPr>
              <w:pStyle w:val="TableParagraph"/>
              <w:spacing w:line="235" w:lineRule="exact"/>
              <w:ind w:right="92"/>
              <w:jc w:val="right"/>
              <w:rPr>
                <w:rFonts w:ascii="Times New Roman"/>
                <w:sz w:val="21"/>
              </w:rPr>
            </w:pPr>
            <w:r>
              <w:rPr>
                <w:rFonts w:ascii="Times New Roman"/>
                <w:sz w:val="21"/>
              </w:rPr>
              <w:t>9,493,537</w:t>
            </w:r>
          </w:p>
        </w:tc>
      </w:tr>
    </w:tbl>
    <w:p>
      <w:pPr>
        <w:spacing w:after="0" w:line="235" w:lineRule="exact"/>
        <w:jc w:val="right"/>
        <w:rPr>
          <w:rFonts w:ascii="Times New Roman"/>
          <w:sz w:val="21"/>
        </w:rPr>
        <w:sectPr>
          <w:type w:val="continuous"/>
          <w:pgSz w:w="11910" w:h="16840"/>
          <w:pgMar w:top="780" w:bottom="280" w:left="1480" w:right="0"/>
        </w:sectPr>
      </w:pPr>
    </w:p>
    <w:p>
      <w:pPr>
        <w:pStyle w:val="BodyText"/>
        <w:spacing w:before="1"/>
      </w:pPr>
      <w:r>
        <w:rPr>
          <w:w w:val="100"/>
        </w:rPr>
        <w:t> </w:t>
      </w:r>
    </w:p>
    <w:p>
      <w:pPr>
        <w:pStyle w:val="BodyText"/>
        <w:spacing w:before="3"/>
      </w:pPr>
      <w:r>
        <w:rPr/>
        <w:t>其他说明： </w:t>
      </w:r>
    </w:p>
    <w:p>
      <w:pPr>
        <w:pStyle w:val="BodyText"/>
        <w:spacing w:before="4"/>
      </w:pPr>
      <w:r>
        <w:rPr>
          <w:spacing w:val="-1"/>
        </w:rPr>
        <w:t>□适用 √不适用</w:t>
      </w:r>
      <w:r>
        <w:rPr>
          <w:spacing w:val="-3"/>
        </w:rPr>
        <w:t> </w:t>
      </w:r>
      <w:r>
        <w:rPr/>
        <w:t> </w:t>
      </w:r>
    </w:p>
    <w:p>
      <w:pPr>
        <w:pStyle w:val="BodyText"/>
        <w:spacing w:before="2"/>
      </w:pPr>
      <w:r>
        <w:rPr>
          <w:w w:val="100"/>
        </w:rPr>
        <w:t> </w:t>
      </w:r>
    </w:p>
    <w:p>
      <w:pPr>
        <w:pStyle w:val="BodyText"/>
        <w:spacing w:before="65"/>
      </w:pPr>
      <w:r>
        <w:rPr/>
        <w:t>固定资产 </w:t>
      </w:r>
    </w:p>
    <w:p>
      <w:pPr>
        <w:pStyle w:val="ListParagraph"/>
        <w:numPr>
          <w:ilvl w:val="0"/>
          <w:numId w:val="67"/>
        </w:numPr>
        <w:tabs>
          <w:tab w:pos="746" w:val="left" w:leader="none"/>
        </w:tabs>
        <w:spacing w:line="240" w:lineRule="auto" w:before="62" w:after="0"/>
        <w:ind w:left="745" w:right="0" w:hanging="428"/>
        <w:jc w:val="left"/>
        <w:rPr>
          <w:sz w:val="21"/>
        </w:rPr>
      </w:pPr>
      <w:r>
        <w:rPr>
          <w:sz w:val="21"/>
        </w:rPr>
        <w:t>固定资产情况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1"/>
        <w:ind w:left="0"/>
        <w:rPr>
          <w:sz w:val="22"/>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2156" w:space="4154"/>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1"/>
        <w:gridCol w:w="1090"/>
        <w:gridCol w:w="823"/>
        <w:gridCol w:w="1195"/>
        <w:gridCol w:w="928"/>
        <w:gridCol w:w="1086"/>
        <w:gridCol w:w="1089"/>
        <w:gridCol w:w="1196"/>
      </w:tblGrid>
      <w:tr>
        <w:trPr>
          <w:trHeight w:val="544" w:hRule="atLeast"/>
        </w:trPr>
        <w:tc>
          <w:tcPr>
            <w:tcW w:w="1411" w:type="dxa"/>
          </w:tcPr>
          <w:p>
            <w:pPr>
              <w:pStyle w:val="TableParagraph"/>
              <w:spacing w:before="138"/>
              <w:ind w:right="379"/>
              <w:jc w:val="right"/>
              <w:rPr>
                <w:sz w:val="21"/>
              </w:rPr>
            </w:pPr>
            <w:r>
              <w:rPr>
                <w:sz w:val="21"/>
              </w:rPr>
              <w:t>项目 </w:t>
            </w:r>
          </w:p>
        </w:tc>
        <w:tc>
          <w:tcPr>
            <w:tcW w:w="1090" w:type="dxa"/>
          </w:tcPr>
          <w:p>
            <w:pPr>
              <w:pStyle w:val="TableParagraph"/>
              <w:spacing w:before="1"/>
              <w:ind w:left="124"/>
              <w:rPr>
                <w:sz w:val="21"/>
              </w:rPr>
            </w:pPr>
            <w:r>
              <w:rPr>
                <w:sz w:val="21"/>
              </w:rPr>
              <w:t>房屋及建</w:t>
            </w:r>
          </w:p>
          <w:p>
            <w:pPr>
              <w:pStyle w:val="TableParagraph"/>
              <w:spacing w:line="252" w:lineRule="exact" w:before="2"/>
              <w:ind w:left="333"/>
              <w:rPr>
                <w:sz w:val="21"/>
              </w:rPr>
            </w:pPr>
            <w:r>
              <w:rPr>
                <w:sz w:val="21"/>
              </w:rPr>
              <w:t>筑物 </w:t>
            </w:r>
          </w:p>
        </w:tc>
        <w:tc>
          <w:tcPr>
            <w:tcW w:w="823" w:type="dxa"/>
          </w:tcPr>
          <w:p>
            <w:pPr>
              <w:pStyle w:val="TableParagraph"/>
              <w:spacing w:before="138"/>
              <w:ind w:left="199"/>
              <w:rPr>
                <w:sz w:val="21"/>
              </w:rPr>
            </w:pPr>
            <w:r>
              <w:rPr>
                <w:sz w:val="21"/>
              </w:rPr>
              <w:t>土地 </w:t>
            </w:r>
          </w:p>
        </w:tc>
        <w:tc>
          <w:tcPr>
            <w:tcW w:w="1195" w:type="dxa"/>
          </w:tcPr>
          <w:p>
            <w:pPr>
              <w:pStyle w:val="TableParagraph"/>
              <w:spacing w:before="138"/>
              <w:ind w:right="61"/>
              <w:jc w:val="right"/>
              <w:rPr>
                <w:sz w:val="21"/>
              </w:rPr>
            </w:pPr>
            <w:r>
              <w:rPr>
                <w:spacing w:val="-1"/>
                <w:sz w:val="21"/>
              </w:rPr>
              <w:t>机器设备</w:t>
            </w:r>
            <w:r>
              <w:rPr>
                <w:sz w:val="21"/>
              </w:rPr>
              <w:t> </w:t>
            </w:r>
          </w:p>
        </w:tc>
        <w:tc>
          <w:tcPr>
            <w:tcW w:w="928" w:type="dxa"/>
          </w:tcPr>
          <w:p>
            <w:pPr>
              <w:pStyle w:val="TableParagraph"/>
              <w:spacing w:before="1"/>
              <w:ind w:left="149"/>
              <w:rPr>
                <w:sz w:val="21"/>
              </w:rPr>
            </w:pPr>
            <w:r>
              <w:rPr>
                <w:sz w:val="21"/>
              </w:rPr>
              <w:t>运输工</w:t>
            </w:r>
          </w:p>
          <w:p>
            <w:pPr>
              <w:pStyle w:val="TableParagraph"/>
              <w:spacing w:line="252" w:lineRule="exact" w:before="2"/>
              <w:ind w:left="358"/>
              <w:rPr>
                <w:sz w:val="21"/>
              </w:rPr>
            </w:pPr>
            <w:r>
              <w:rPr>
                <w:sz w:val="21"/>
              </w:rPr>
              <w:t>具 </w:t>
            </w:r>
          </w:p>
        </w:tc>
        <w:tc>
          <w:tcPr>
            <w:tcW w:w="1086" w:type="dxa"/>
          </w:tcPr>
          <w:p>
            <w:pPr>
              <w:pStyle w:val="TableParagraph"/>
              <w:spacing w:before="138"/>
              <w:ind w:right="1"/>
              <w:jc w:val="right"/>
              <w:rPr>
                <w:sz w:val="21"/>
              </w:rPr>
            </w:pPr>
            <w:r>
              <w:rPr>
                <w:spacing w:val="-1"/>
                <w:sz w:val="21"/>
              </w:rPr>
              <w:t>其他设备</w:t>
            </w:r>
            <w:r>
              <w:rPr>
                <w:sz w:val="21"/>
              </w:rPr>
              <w:t> </w:t>
            </w:r>
          </w:p>
        </w:tc>
        <w:tc>
          <w:tcPr>
            <w:tcW w:w="1089" w:type="dxa"/>
          </w:tcPr>
          <w:p>
            <w:pPr>
              <w:pStyle w:val="TableParagraph"/>
              <w:spacing w:before="1"/>
              <w:ind w:left="127"/>
              <w:rPr>
                <w:sz w:val="21"/>
              </w:rPr>
            </w:pPr>
            <w:r>
              <w:rPr>
                <w:sz w:val="21"/>
              </w:rPr>
              <w:t>办公及电</w:t>
            </w:r>
          </w:p>
          <w:p>
            <w:pPr>
              <w:pStyle w:val="TableParagraph"/>
              <w:spacing w:line="252" w:lineRule="exact" w:before="2"/>
              <w:ind w:left="230"/>
              <w:rPr>
                <w:sz w:val="21"/>
              </w:rPr>
            </w:pPr>
            <w:r>
              <w:rPr>
                <w:sz w:val="21"/>
              </w:rPr>
              <w:t>子设备 </w:t>
            </w:r>
          </w:p>
        </w:tc>
        <w:tc>
          <w:tcPr>
            <w:tcW w:w="1196" w:type="dxa"/>
          </w:tcPr>
          <w:p>
            <w:pPr>
              <w:pStyle w:val="TableParagraph"/>
              <w:spacing w:before="138"/>
              <w:ind w:left="392"/>
              <w:rPr>
                <w:sz w:val="21"/>
              </w:rPr>
            </w:pPr>
            <w:r>
              <w:rPr>
                <w:sz w:val="21"/>
              </w:rPr>
              <w:t>合计 </w:t>
            </w:r>
          </w:p>
        </w:tc>
      </w:tr>
      <w:tr>
        <w:trPr>
          <w:trHeight w:val="273" w:hRule="atLeast"/>
        </w:trPr>
        <w:tc>
          <w:tcPr>
            <w:tcW w:w="8818" w:type="dxa"/>
            <w:gridSpan w:val="8"/>
          </w:tcPr>
          <w:p>
            <w:pPr>
              <w:pStyle w:val="TableParagraph"/>
              <w:spacing w:line="252" w:lineRule="exact" w:before="1"/>
              <w:ind w:left="112"/>
              <w:rPr>
                <w:sz w:val="21"/>
              </w:rPr>
            </w:pPr>
            <w:r>
              <w:rPr>
                <w:spacing w:val="-1"/>
                <w:sz w:val="21"/>
              </w:rPr>
              <w:t>一、账面原值：</w:t>
            </w:r>
            <w:r>
              <w:rPr>
                <w:sz w:val="21"/>
              </w:rPr>
              <w:t> </w:t>
            </w:r>
          </w:p>
        </w:tc>
      </w:tr>
      <w:tr>
        <w:trPr>
          <w:trHeight w:val="544" w:hRule="atLeast"/>
        </w:trPr>
        <w:tc>
          <w:tcPr>
            <w:tcW w:w="1411" w:type="dxa"/>
          </w:tcPr>
          <w:p>
            <w:pPr>
              <w:pStyle w:val="TableParagraph"/>
              <w:spacing w:before="1"/>
              <w:ind w:left="532"/>
              <w:rPr>
                <w:sz w:val="21"/>
              </w:rPr>
            </w:pPr>
            <w:r>
              <w:rPr>
                <w:sz w:val="21"/>
              </w:rPr>
              <w:t>1.期初</w:t>
            </w:r>
          </w:p>
          <w:p>
            <w:pPr>
              <w:pStyle w:val="TableParagraph"/>
              <w:spacing w:line="252" w:lineRule="exact" w:before="2"/>
              <w:ind w:left="112"/>
              <w:rPr>
                <w:sz w:val="21"/>
              </w:rPr>
            </w:pPr>
            <w:r>
              <w:rPr>
                <w:sz w:val="21"/>
              </w:rPr>
              <w:t>余额 </w:t>
            </w:r>
          </w:p>
        </w:tc>
        <w:tc>
          <w:tcPr>
            <w:tcW w:w="1090" w:type="dxa"/>
          </w:tcPr>
          <w:p>
            <w:pPr>
              <w:pStyle w:val="TableParagraph"/>
              <w:spacing w:before="144"/>
              <w:ind w:left="136"/>
              <w:rPr>
                <w:rFonts w:ascii="Times New Roman"/>
                <w:sz w:val="21"/>
              </w:rPr>
            </w:pPr>
            <w:r>
              <w:rPr>
                <w:rFonts w:ascii="Times New Roman"/>
                <w:sz w:val="21"/>
              </w:rPr>
              <w:t>3,670,054</w:t>
            </w:r>
          </w:p>
        </w:tc>
        <w:tc>
          <w:tcPr>
            <w:tcW w:w="823" w:type="dxa"/>
          </w:tcPr>
          <w:p>
            <w:pPr>
              <w:pStyle w:val="TableParagraph"/>
              <w:spacing w:before="144"/>
              <w:ind w:left="129"/>
              <w:rPr>
                <w:rFonts w:ascii="Times New Roman"/>
                <w:sz w:val="21"/>
              </w:rPr>
            </w:pPr>
            <w:r>
              <w:rPr>
                <w:rFonts w:ascii="Times New Roman"/>
                <w:sz w:val="21"/>
              </w:rPr>
              <w:t>33,025</w:t>
            </w:r>
          </w:p>
        </w:tc>
        <w:tc>
          <w:tcPr>
            <w:tcW w:w="1195" w:type="dxa"/>
          </w:tcPr>
          <w:p>
            <w:pPr>
              <w:pStyle w:val="TableParagraph"/>
              <w:spacing w:before="144"/>
              <w:ind w:right="100"/>
              <w:jc w:val="right"/>
              <w:rPr>
                <w:rFonts w:ascii="Times New Roman"/>
                <w:sz w:val="21"/>
              </w:rPr>
            </w:pPr>
            <w:r>
              <w:rPr>
                <w:rFonts w:ascii="Times New Roman"/>
                <w:sz w:val="21"/>
              </w:rPr>
              <w:t>25,654,855</w:t>
            </w:r>
          </w:p>
        </w:tc>
        <w:tc>
          <w:tcPr>
            <w:tcW w:w="928" w:type="dxa"/>
          </w:tcPr>
          <w:p>
            <w:pPr>
              <w:pStyle w:val="TableParagraph"/>
              <w:spacing w:before="144"/>
              <w:ind w:left="135"/>
              <w:rPr>
                <w:rFonts w:ascii="Times New Roman"/>
                <w:sz w:val="21"/>
              </w:rPr>
            </w:pPr>
            <w:r>
              <w:rPr>
                <w:rFonts w:ascii="Times New Roman"/>
                <w:sz w:val="21"/>
              </w:rPr>
              <w:t>117,019</w:t>
            </w:r>
          </w:p>
        </w:tc>
        <w:tc>
          <w:tcPr>
            <w:tcW w:w="1086" w:type="dxa"/>
          </w:tcPr>
          <w:p>
            <w:pPr>
              <w:pStyle w:val="TableParagraph"/>
              <w:spacing w:before="144"/>
              <w:ind w:left="138"/>
              <w:rPr>
                <w:rFonts w:ascii="Times New Roman"/>
                <w:sz w:val="21"/>
              </w:rPr>
            </w:pPr>
            <w:r>
              <w:rPr>
                <w:rFonts w:ascii="Times New Roman"/>
                <w:sz w:val="21"/>
              </w:rPr>
              <w:t>2,906,944</w:t>
            </w:r>
          </w:p>
        </w:tc>
        <w:tc>
          <w:tcPr>
            <w:tcW w:w="1089" w:type="dxa"/>
          </w:tcPr>
          <w:p>
            <w:pPr>
              <w:pStyle w:val="TableParagraph"/>
              <w:spacing w:before="144"/>
              <w:ind w:right="94"/>
              <w:jc w:val="right"/>
              <w:rPr>
                <w:rFonts w:ascii="Times New Roman"/>
                <w:sz w:val="21"/>
              </w:rPr>
            </w:pPr>
            <w:r>
              <w:rPr>
                <w:rFonts w:ascii="Times New Roman"/>
                <w:sz w:val="21"/>
              </w:rPr>
              <w:t>1,263,413</w:t>
            </w:r>
          </w:p>
        </w:tc>
        <w:tc>
          <w:tcPr>
            <w:tcW w:w="1196" w:type="dxa"/>
          </w:tcPr>
          <w:p>
            <w:pPr>
              <w:pStyle w:val="TableParagraph"/>
              <w:spacing w:before="144"/>
              <w:ind w:left="143"/>
              <w:rPr>
                <w:rFonts w:ascii="Times New Roman"/>
                <w:sz w:val="21"/>
              </w:rPr>
            </w:pPr>
            <w:r>
              <w:rPr>
                <w:rFonts w:ascii="Times New Roman"/>
                <w:sz w:val="21"/>
              </w:rPr>
              <w:t>33,645,310</w:t>
            </w:r>
          </w:p>
        </w:tc>
      </w:tr>
      <w:tr>
        <w:trPr>
          <w:trHeight w:val="544" w:hRule="atLeast"/>
        </w:trPr>
        <w:tc>
          <w:tcPr>
            <w:tcW w:w="1411" w:type="dxa"/>
          </w:tcPr>
          <w:p>
            <w:pPr>
              <w:pStyle w:val="TableParagraph"/>
              <w:spacing w:before="1"/>
              <w:ind w:left="532"/>
              <w:rPr>
                <w:sz w:val="21"/>
              </w:rPr>
            </w:pPr>
            <w:r>
              <w:rPr>
                <w:sz w:val="21"/>
              </w:rPr>
              <w:t>2.本期</w:t>
            </w:r>
          </w:p>
          <w:p>
            <w:pPr>
              <w:pStyle w:val="TableParagraph"/>
              <w:spacing w:line="252" w:lineRule="exact" w:before="2"/>
              <w:ind w:left="112"/>
              <w:rPr>
                <w:sz w:val="21"/>
              </w:rPr>
            </w:pPr>
            <w:r>
              <w:rPr>
                <w:spacing w:val="-1"/>
                <w:sz w:val="21"/>
              </w:rPr>
              <w:t>增加金额</w:t>
            </w:r>
            <w:r>
              <w:rPr>
                <w:sz w:val="21"/>
              </w:rPr>
              <w:t> </w:t>
            </w:r>
          </w:p>
        </w:tc>
        <w:tc>
          <w:tcPr>
            <w:tcW w:w="1090" w:type="dxa"/>
          </w:tcPr>
          <w:p>
            <w:pPr>
              <w:pStyle w:val="TableParagraph"/>
              <w:spacing w:before="145"/>
              <w:ind w:left="295"/>
              <w:rPr>
                <w:rFonts w:ascii="Times New Roman"/>
                <w:sz w:val="21"/>
              </w:rPr>
            </w:pPr>
            <w:r>
              <w:rPr>
                <w:rFonts w:ascii="Times New Roman"/>
                <w:sz w:val="21"/>
              </w:rPr>
              <w:t>585,573</w:t>
            </w:r>
          </w:p>
        </w:tc>
        <w:tc>
          <w:tcPr>
            <w:tcW w:w="823" w:type="dxa"/>
          </w:tcPr>
          <w:p>
            <w:pPr>
              <w:pStyle w:val="TableParagraph"/>
              <w:spacing w:before="145"/>
              <w:ind w:right="102"/>
              <w:jc w:val="right"/>
              <w:rPr>
                <w:rFonts w:ascii="Times New Roman"/>
                <w:sz w:val="21"/>
              </w:rPr>
            </w:pPr>
            <w:r>
              <w:rPr>
                <w:rFonts w:ascii="Times New Roman"/>
                <w:w w:val="100"/>
                <w:sz w:val="21"/>
              </w:rPr>
              <w:t>-</w:t>
            </w:r>
          </w:p>
        </w:tc>
        <w:tc>
          <w:tcPr>
            <w:tcW w:w="1195" w:type="dxa"/>
          </w:tcPr>
          <w:p>
            <w:pPr>
              <w:pStyle w:val="TableParagraph"/>
              <w:spacing w:before="145"/>
              <w:ind w:right="100"/>
              <w:jc w:val="right"/>
              <w:rPr>
                <w:rFonts w:ascii="Times New Roman"/>
                <w:sz w:val="21"/>
              </w:rPr>
            </w:pPr>
            <w:r>
              <w:rPr>
                <w:rFonts w:ascii="Times New Roman"/>
                <w:sz w:val="21"/>
              </w:rPr>
              <w:t>7,605,894</w:t>
            </w:r>
          </w:p>
        </w:tc>
        <w:tc>
          <w:tcPr>
            <w:tcW w:w="928" w:type="dxa"/>
          </w:tcPr>
          <w:p>
            <w:pPr>
              <w:pStyle w:val="TableParagraph"/>
              <w:spacing w:before="145"/>
              <w:ind w:left="238"/>
              <w:rPr>
                <w:rFonts w:ascii="Times New Roman"/>
                <w:sz w:val="21"/>
              </w:rPr>
            </w:pPr>
            <w:r>
              <w:rPr>
                <w:rFonts w:ascii="Times New Roman"/>
                <w:sz w:val="21"/>
              </w:rPr>
              <w:t>19,099</w:t>
            </w:r>
          </w:p>
        </w:tc>
        <w:tc>
          <w:tcPr>
            <w:tcW w:w="1086" w:type="dxa"/>
          </w:tcPr>
          <w:p>
            <w:pPr>
              <w:pStyle w:val="TableParagraph"/>
              <w:spacing w:before="145"/>
              <w:ind w:left="296"/>
              <w:rPr>
                <w:rFonts w:ascii="Times New Roman"/>
                <w:sz w:val="21"/>
              </w:rPr>
            </w:pPr>
            <w:r>
              <w:rPr>
                <w:rFonts w:ascii="Times New Roman"/>
                <w:sz w:val="21"/>
              </w:rPr>
              <w:t>528,428</w:t>
            </w:r>
          </w:p>
        </w:tc>
        <w:tc>
          <w:tcPr>
            <w:tcW w:w="1089" w:type="dxa"/>
          </w:tcPr>
          <w:p>
            <w:pPr>
              <w:pStyle w:val="TableParagraph"/>
              <w:spacing w:before="145"/>
              <w:ind w:right="94"/>
              <w:jc w:val="right"/>
              <w:rPr>
                <w:rFonts w:ascii="Times New Roman"/>
                <w:sz w:val="21"/>
              </w:rPr>
            </w:pPr>
            <w:r>
              <w:rPr>
                <w:rFonts w:ascii="Times New Roman"/>
                <w:sz w:val="21"/>
              </w:rPr>
              <w:t>176,731</w:t>
            </w:r>
          </w:p>
        </w:tc>
        <w:tc>
          <w:tcPr>
            <w:tcW w:w="1196" w:type="dxa"/>
          </w:tcPr>
          <w:p>
            <w:pPr>
              <w:pStyle w:val="TableParagraph"/>
              <w:spacing w:before="145"/>
              <w:ind w:left="248"/>
              <w:rPr>
                <w:rFonts w:ascii="Times New Roman"/>
                <w:sz w:val="21"/>
              </w:rPr>
            </w:pPr>
            <w:r>
              <w:rPr>
                <w:rFonts w:ascii="Times New Roman"/>
                <w:sz w:val="21"/>
              </w:rPr>
              <w:t>8,915,725</w:t>
            </w:r>
          </w:p>
        </w:tc>
      </w:tr>
      <w:tr>
        <w:trPr>
          <w:trHeight w:val="544" w:hRule="atLeast"/>
        </w:trPr>
        <w:tc>
          <w:tcPr>
            <w:tcW w:w="1411" w:type="dxa"/>
          </w:tcPr>
          <w:p>
            <w:pPr>
              <w:pStyle w:val="TableParagraph"/>
              <w:spacing w:before="1"/>
              <w:ind w:left="743"/>
              <w:rPr>
                <w:sz w:val="21"/>
              </w:rPr>
            </w:pPr>
            <w:r>
              <w:rPr>
                <w:sz w:val="21"/>
              </w:rPr>
              <w:t>（1）</w:t>
            </w:r>
          </w:p>
          <w:p>
            <w:pPr>
              <w:pStyle w:val="TableParagraph"/>
              <w:spacing w:line="252" w:lineRule="exact" w:before="2"/>
              <w:ind w:left="112"/>
              <w:rPr>
                <w:sz w:val="21"/>
              </w:rPr>
            </w:pPr>
            <w:r>
              <w:rPr>
                <w:sz w:val="21"/>
              </w:rPr>
              <w:t>购置 </w:t>
            </w:r>
          </w:p>
        </w:tc>
        <w:tc>
          <w:tcPr>
            <w:tcW w:w="1090" w:type="dxa"/>
          </w:tcPr>
          <w:p>
            <w:pPr>
              <w:pStyle w:val="TableParagraph"/>
              <w:spacing w:before="144"/>
              <w:ind w:left="398"/>
              <w:rPr>
                <w:rFonts w:ascii="Times New Roman"/>
                <w:sz w:val="21"/>
              </w:rPr>
            </w:pPr>
            <w:r>
              <w:rPr>
                <w:rFonts w:ascii="Times New Roman"/>
                <w:sz w:val="21"/>
              </w:rPr>
              <w:t>22,491</w:t>
            </w:r>
          </w:p>
        </w:tc>
        <w:tc>
          <w:tcPr>
            <w:tcW w:w="823" w:type="dxa"/>
          </w:tcPr>
          <w:p>
            <w:pPr>
              <w:pStyle w:val="TableParagraph"/>
              <w:spacing w:before="144"/>
              <w:ind w:right="102"/>
              <w:jc w:val="right"/>
              <w:rPr>
                <w:rFonts w:ascii="Times New Roman"/>
                <w:sz w:val="21"/>
              </w:rPr>
            </w:pPr>
            <w:r>
              <w:rPr>
                <w:rFonts w:ascii="Times New Roman"/>
                <w:w w:val="100"/>
                <w:sz w:val="21"/>
              </w:rPr>
              <w:t>-</w:t>
            </w:r>
          </w:p>
        </w:tc>
        <w:tc>
          <w:tcPr>
            <w:tcW w:w="1195" w:type="dxa"/>
          </w:tcPr>
          <w:p>
            <w:pPr>
              <w:pStyle w:val="TableParagraph"/>
              <w:spacing w:before="144"/>
              <w:ind w:right="100"/>
              <w:jc w:val="right"/>
              <w:rPr>
                <w:rFonts w:ascii="Times New Roman"/>
                <w:sz w:val="21"/>
              </w:rPr>
            </w:pPr>
            <w:r>
              <w:rPr>
                <w:rFonts w:ascii="Times New Roman"/>
                <w:sz w:val="21"/>
              </w:rPr>
              <w:t>7,152,852</w:t>
            </w:r>
          </w:p>
        </w:tc>
        <w:tc>
          <w:tcPr>
            <w:tcW w:w="928" w:type="dxa"/>
          </w:tcPr>
          <w:p>
            <w:pPr>
              <w:pStyle w:val="TableParagraph"/>
              <w:spacing w:before="144"/>
              <w:ind w:left="238"/>
              <w:rPr>
                <w:rFonts w:ascii="Times New Roman"/>
                <w:sz w:val="21"/>
              </w:rPr>
            </w:pPr>
            <w:r>
              <w:rPr>
                <w:rFonts w:ascii="Times New Roman"/>
                <w:sz w:val="21"/>
              </w:rPr>
              <w:t>10,963</w:t>
            </w:r>
          </w:p>
        </w:tc>
        <w:tc>
          <w:tcPr>
            <w:tcW w:w="1086" w:type="dxa"/>
          </w:tcPr>
          <w:p>
            <w:pPr>
              <w:pStyle w:val="TableParagraph"/>
              <w:spacing w:before="144"/>
              <w:ind w:left="296"/>
              <w:rPr>
                <w:rFonts w:ascii="Times New Roman"/>
                <w:sz w:val="21"/>
              </w:rPr>
            </w:pPr>
            <w:r>
              <w:rPr>
                <w:rFonts w:ascii="Times New Roman"/>
                <w:sz w:val="21"/>
              </w:rPr>
              <w:t>486,178</w:t>
            </w:r>
          </w:p>
        </w:tc>
        <w:tc>
          <w:tcPr>
            <w:tcW w:w="1089" w:type="dxa"/>
          </w:tcPr>
          <w:p>
            <w:pPr>
              <w:pStyle w:val="TableParagraph"/>
              <w:spacing w:before="144"/>
              <w:ind w:right="94"/>
              <w:jc w:val="right"/>
              <w:rPr>
                <w:rFonts w:ascii="Times New Roman"/>
                <w:sz w:val="21"/>
              </w:rPr>
            </w:pPr>
            <w:r>
              <w:rPr>
                <w:rFonts w:ascii="Times New Roman"/>
                <w:sz w:val="21"/>
              </w:rPr>
              <w:t>151,013</w:t>
            </w:r>
          </w:p>
        </w:tc>
        <w:tc>
          <w:tcPr>
            <w:tcW w:w="1196" w:type="dxa"/>
          </w:tcPr>
          <w:p>
            <w:pPr>
              <w:pStyle w:val="TableParagraph"/>
              <w:spacing w:before="144"/>
              <w:ind w:left="248"/>
              <w:rPr>
                <w:rFonts w:ascii="Times New Roman"/>
                <w:sz w:val="21"/>
              </w:rPr>
            </w:pPr>
            <w:r>
              <w:rPr>
                <w:rFonts w:ascii="Times New Roman"/>
                <w:sz w:val="21"/>
              </w:rPr>
              <w:t>7,823,497</w:t>
            </w:r>
          </w:p>
        </w:tc>
      </w:tr>
      <w:tr>
        <w:trPr>
          <w:trHeight w:val="818" w:hRule="atLeast"/>
        </w:trPr>
        <w:tc>
          <w:tcPr>
            <w:tcW w:w="1411" w:type="dxa"/>
          </w:tcPr>
          <w:p>
            <w:pPr>
              <w:pStyle w:val="TableParagraph"/>
              <w:spacing w:before="1"/>
              <w:ind w:left="743"/>
              <w:rPr>
                <w:sz w:val="21"/>
              </w:rPr>
            </w:pPr>
            <w:r>
              <w:rPr>
                <w:sz w:val="21"/>
              </w:rPr>
              <w:t>（2）</w:t>
            </w:r>
          </w:p>
          <w:p>
            <w:pPr>
              <w:pStyle w:val="TableParagraph"/>
              <w:spacing w:line="270" w:lineRule="atLeast"/>
              <w:ind w:left="112" w:right="232"/>
              <w:rPr>
                <w:sz w:val="21"/>
              </w:rPr>
            </w:pPr>
            <w:r>
              <w:rPr>
                <w:sz w:val="21"/>
              </w:rPr>
              <w:t>在建工程转入 </w:t>
            </w:r>
          </w:p>
        </w:tc>
        <w:tc>
          <w:tcPr>
            <w:tcW w:w="1090" w:type="dxa"/>
          </w:tcPr>
          <w:p>
            <w:pPr>
              <w:pStyle w:val="TableParagraph"/>
              <w:spacing w:before="12"/>
              <w:rPr>
                <w:sz w:val="21"/>
              </w:rPr>
            </w:pPr>
          </w:p>
          <w:p>
            <w:pPr>
              <w:pStyle w:val="TableParagraph"/>
              <w:ind w:left="295"/>
              <w:rPr>
                <w:rFonts w:ascii="Times New Roman"/>
                <w:sz w:val="21"/>
              </w:rPr>
            </w:pPr>
            <w:r>
              <w:rPr>
                <w:rFonts w:ascii="Times New Roman"/>
                <w:sz w:val="21"/>
              </w:rPr>
              <w:t>563,082</w:t>
            </w:r>
          </w:p>
        </w:tc>
        <w:tc>
          <w:tcPr>
            <w:tcW w:w="823" w:type="dxa"/>
          </w:tcPr>
          <w:p>
            <w:pPr>
              <w:pStyle w:val="TableParagraph"/>
              <w:spacing w:before="12"/>
              <w:rPr>
                <w:sz w:val="21"/>
              </w:rPr>
            </w:pPr>
          </w:p>
          <w:p>
            <w:pPr>
              <w:pStyle w:val="TableParagraph"/>
              <w:ind w:right="102"/>
              <w:jc w:val="right"/>
              <w:rPr>
                <w:rFonts w:ascii="Times New Roman"/>
                <w:sz w:val="21"/>
              </w:rPr>
            </w:pPr>
            <w:r>
              <w:rPr>
                <w:rFonts w:ascii="Times New Roman"/>
                <w:w w:val="100"/>
                <w:sz w:val="21"/>
              </w:rPr>
              <w:t>-</w:t>
            </w:r>
          </w:p>
        </w:tc>
        <w:tc>
          <w:tcPr>
            <w:tcW w:w="1195" w:type="dxa"/>
          </w:tcPr>
          <w:p>
            <w:pPr>
              <w:pStyle w:val="TableParagraph"/>
              <w:spacing w:before="12"/>
              <w:rPr>
                <w:sz w:val="21"/>
              </w:rPr>
            </w:pPr>
          </w:p>
          <w:p>
            <w:pPr>
              <w:pStyle w:val="TableParagraph"/>
              <w:ind w:right="100"/>
              <w:jc w:val="right"/>
              <w:rPr>
                <w:rFonts w:ascii="Times New Roman"/>
                <w:sz w:val="21"/>
              </w:rPr>
            </w:pPr>
            <w:r>
              <w:rPr>
                <w:rFonts w:ascii="Times New Roman"/>
                <w:sz w:val="21"/>
              </w:rPr>
              <w:t>440,933</w:t>
            </w:r>
          </w:p>
        </w:tc>
        <w:tc>
          <w:tcPr>
            <w:tcW w:w="928" w:type="dxa"/>
          </w:tcPr>
          <w:p>
            <w:pPr>
              <w:pStyle w:val="TableParagraph"/>
              <w:spacing w:before="12"/>
              <w:rPr>
                <w:sz w:val="21"/>
              </w:rPr>
            </w:pPr>
          </w:p>
          <w:p>
            <w:pPr>
              <w:pStyle w:val="TableParagraph"/>
              <w:ind w:left="344"/>
              <w:rPr>
                <w:rFonts w:ascii="Times New Roman"/>
                <w:sz w:val="21"/>
              </w:rPr>
            </w:pPr>
            <w:r>
              <w:rPr>
                <w:rFonts w:ascii="Times New Roman"/>
                <w:sz w:val="21"/>
              </w:rPr>
              <w:t>7,366</w:t>
            </w:r>
          </w:p>
        </w:tc>
        <w:tc>
          <w:tcPr>
            <w:tcW w:w="1086" w:type="dxa"/>
          </w:tcPr>
          <w:p>
            <w:pPr>
              <w:pStyle w:val="TableParagraph"/>
              <w:spacing w:before="12"/>
              <w:rPr>
                <w:sz w:val="21"/>
              </w:rPr>
            </w:pPr>
          </w:p>
          <w:p>
            <w:pPr>
              <w:pStyle w:val="TableParagraph"/>
              <w:ind w:right="93"/>
              <w:jc w:val="right"/>
              <w:rPr>
                <w:rFonts w:ascii="Times New Roman"/>
                <w:sz w:val="21"/>
              </w:rPr>
            </w:pPr>
            <w:r>
              <w:rPr>
                <w:rFonts w:ascii="Times New Roman"/>
                <w:sz w:val="21"/>
              </w:rPr>
              <w:t>42,250</w:t>
            </w:r>
          </w:p>
        </w:tc>
        <w:tc>
          <w:tcPr>
            <w:tcW w:w="1089" w:type="dxa"/>
          </w:tcPr>
          <w:p>
            <w:pPr>
              <w:pStyle w:val="TableParagraph"/>
              <w:spacing w:before="12"/>
              <w:rPr>
                <w:sz w:val="21"/>
              </w:rPr>
            </w:pPr>
          </w:p>
          <w:p>
            <w:pPr>
              <w:pStyle w:val="TableParagraph"/>
              <w:ind w:right="94"/>
              <w:jc w:val="right"/>
              <w:rPr>
                <w:rFonts w:ascii="Times New Roman"/>
                <w:sz w:val="21"/>
              </w:rPr>
            </w:pPr>
            <w:r>
              <w:rPr>
                <w:rFonts w:ascii="Times New Roman"/>
                <w:sz w:val="21"/>
              </w:rPr>
              <w:t>25,037</w:t>
            </w:r>
          </w:p>
        </w:tc>
        <w:tc>
          <w:tcPr>
            <w:tcW w:w="1196" w:type="dxa"/>
          </w:tcPr>
          <w:p>
            <w:pPr>
              <w:pStyle w:val="TableParagraph"/>
              <w:spacing w:before="12"/>
              <w:rPr>
                <w:sz w:val="21"/>
              </w:rPr>
            </w:pPr>
          </w:p>
          <w:p>
            <w:pPr>
              <w:pStyle w:val="TableParagraph"/>
              <w:ind w:left="248"/>
              <w:rPr>
                <w:rFonts w:ascii="Times New Roman"/>
                <w:sz w:val="21"/>
              </w:rPr>
            </w:pPr>
            <w:r>
              <w:rPr>
                <w:rFonts w:ascii="Times New Roman"/>
                <w:sz w:val="21"/>
              </w:rPr>
              <w:t>1,078,668</w:t>
            </w:r>
          </w:p>
        </w:tc>
      </w:tr>
      <w:tr>
        <w:trPr>
          <w:trHeight w:val="815" w:hRule="atLeast"/>
        </w:trPr>
        <w:tc>
          <w:tcPr>
            <w:tcW w:w="1411" w:type="dxa"/>
          </w:tcPr>
          <w:p>
            <w:pPr>
              <w:pStyle w:val="TableParagraph"/>
              <w:spacing w:line="242" w:lineRule="auto" w:before="1"/>
              <w:ind w:left="112" w:right="127" w:firstLine="631"/>
              <w:rPr>
                <w:sz w:val="21"/>
              </w:rPr>
            </w:pPr>
            <w:r>
              <w:rPr>
                <w:sz w:val="21"/>
              </w:rPr>
              <w:t>（3）</w:t>
            </w:r>
            <w:r>
              <w:rPr>
                <w:spacing w:val="-102"/>
                <w:sz w:val="21"/>
              </w:rPr>
              <w:t> </w:t>
            </w:r>
            <w:r>
              <w:rPr>
                <w:sz w:val="21"/>
              </w:rPr>
              <w:t>  企业合并增</w:t>
            </w:r>
          </w:p>
          <w:p>
            <w:pPr>
              <w:pStyle w:val="TableParagraph"/>
              <w:spacing w:line="250" w:lineRule="exact" w:before="1"/>
              <w:ind w:left="112"/>
              <w:rPr>
                <w:sz w:val="21"/>
              </w:rPr>
            </w:pPr>
            <w:r>
              <w:rPr>
                <w:sz w:val="21"/>
              </w:rPr>
              <w:t>加 </w:t>
            </w:r>
          </w:p>
        </w:tc>
        <w:tc>
          <w:tcPr>
            <w:tcW w:w="1090" w:type="dxa"/>
          </w:tcPr>
          <w:p>
            <w:pPr>
              <w:pStyle w:val="TableParagraph"/>
              <w:spacing w:before="12"/>
              <w:rPr>
                <w:sz w:val="21"/>
              </w:rPr>
            </w:pPr>
          </w:p>
          <w:p>
            <w:pPr>
              <w:pStyle w:val="TableParagraph"/>
              <w:ind w:right="99"/>
              <w:jc w:val="right"/>
              <w:rPr>
                <w:rFonts w:ascii="Times New Roman"/>
                <w:sz w:val="21"/>
              </w:rPr>
            </w:pPr>
            <w:r>
              <w:rPr>
                <w:rFonts w:ascii="Times New Roman"/>
                <w:w w:val="100"/>
                <w:sz w:val="21"/>
              </w:rPr>
              <w:t>-</w:t>
            </w:r>
          </w:p>
        </w:tc>
        <w:tc>
          <w:tcPr>
            <w:tcW w:w="823" w:type="dxa"/>
          </w:tcPr>
          <w:p>
            <w:pPr>
              <w:pStyle w:val="TableParagraph"/>
              <w:spacing w:before="12"/>
              <w:rPr>
                <w:sz w:val="21"/>
              </w:rPr>
            </w:pPr>
          </w:p>
          <w:p>
            <w:pPr>
              <w:pStyle w:val="TableParagraph"/>
              <w:ind w:right="102"/>
              <w:jc w:val="right"/>
              <w:rPr>
                <w:rFonts w:ascii="Times New Roman"/>
                <w:sz w:val="21"/>
              </w:rPr>
            </w:pPr>
            <w:r>
              <w:rPr>
                <w:rFonts w:ascii="Times New Roman"/>
                <w:w w:val="100"/>
                <w:sz w:val="21"/>
              </w:rPr>
              <w:t>-</w:t>
            </w:r>
          </w:p>
        </w:tc>
        <w:tc>
          <w:tcPr>
            <w:tcW w:w="1195" w:type="dxa"/>
          </w:tcPr>
          <w:p>
            <w:pPr>
              <w:pStyle w:val="TableParagraph"/>
              <w:spacing w:before="12"/>
              <w:rPr>
                <w:sz w:val="21"/>
              </w:rPr>
            </w:pPr>
          </w:p>
          <w:p>
            <w:pPr>
              <w:pStyle w:val="TableParagraph"/>
              <w:ind w:right="100"/>
              <w:jc w:val="right"/>
              <w:rPr>
                <w:rFonts w:ascii="Times New Roman"/>
                <w:sz w:val="21"/>
              </w:rPr>
            </w:pPr>
            <w:r>
              <w:rPr>
                <w:rFonts w:ascii="Times New Roman"/>
                <w:sz w:val="21"/>
              </w:rPr>
              <w:t>12,109</w:t>
            </w:r>
          </w:p>
        </w:tc>
        <w:tc>
          <w:tcPr>
            <w:tcW w:w="928" w:type="dxa"/>
          </w:tcPr>
          <w:p>
            <w:pPr>
              <w:pStyle w:val="TableParagraph"/>
              <w:spacing w:before="12"/>
              <w:rPr>
                <w:sz w:val="21"/>
              </w:rPr>
            </w:pPr>
          </w:p>
          <w:p>
            <w:pPr>
              <w:pStyle w:val="TableParagraph"/>
              <w:ind w:left="502"/>
              <w:rPr>
                <w:rFonts w:ascii="Times New Roman"/>
                <w:sz w:val="21"/>
              </w:rPr>
            </w:pPr>
            <w:r>
              <w:rPr>
                <w:rFonts w:ascii="Times New Roman"/>
                <w:sz w:val="21"/>
              </w:rPr>
              <w:t>770</w:t>
            </w:r>
          </w:p>
        </w:tc>
        <w:tc>
          <w:tcPr>
            <w:tcW w:w="1086" w:type="dxa"/>
          </w:tcPr>
          <w:p>
            <w:pPr>
              <w:pStyle w:val="TableParagraph"/>
              <w:spacing w:before="12"/>
              <w:rPr>
                <w:sz w:val="21"/>
              </w:rPr>
            </w:pPr>
          </w:p>
          <w:p>
            <w:pPr>
              <w:pStyle w:val="TableParagraph"/>
              <w:ind w:right="94"/>
              <w:jc w:val="right"/>
              <w:rPr>
                <w:rFonts w:ascii="Times New Roman"/>
                <w:sz w:val="21"/>
              </w:rPr>
            </w:pPr>
            <w:r>
              <w:rPr>
                <w:rFonts w:ascii="Times New Roman"/>
                <w:w w:val="100"/>
                <w:sz w:val="21"/>
              </w:rPr>
              <w:t>-</w:t>
            </w:r>
          </w:p>
        </w:tc>
        <w:tc>
          <w:tcPr>
            <w:tcW w:w="1089" w:type="dxa"/>
          </w:tcPr>
          <w:p>
            <w:pPr>
              <w:pStyle w:val="TableParagraph"/>
              <w:spacing w:before="12"/>
              <w:rPr>
                <w:sz w:val="21"/>
              </w:rPr>
            </w:pPr>
          </w:p>
          <w:p>
            <w:pPr>
              <w:pStyle w:val="TableParagraph"/>
              <w:ind w:right="94"/>
              <w:jc w:val="right"/>
              <w:rPr>
                <w:rFonts w:ascii="Times New Roman"/>
                <w:sz w:val="21"/>
              </w:rPr>
            </w:pPr>
            <w:r>
              <w:rPr>
                <w:rFonts w:ascii="Times New Roman"/>
                <w:sz w:val="21"/>
              </w:rPr>
              <w:t>681</w:t>
            </w:r>
          </w:p>
        </w:tc>
        <w:tc>
          <w:tcPr>
            <w:tcW w:w="1196" w:type="dxa"/>
          </w:tcPr>
          <w:p>
            <w:pPr>
              <w:pStyle w:val="TableParagraph"/>
              <w:spacing w:before="12"/>
              <w:rPr>
                <w:sz w:val="21"/>
              </w:rPr>
            </w:pPr>
          </w:p>
          <w:p>
            <w:pPr>
              <w:pStyle w:val="TableParagraph"/>
              <w:ind w:left="510"/>
              <w:rPr>
                <w:rFonts w:ascii="Times New Roman"/>
                <w:sz w:val="21"/>
              </w:rPr>
            </w:pPr>
            <w:r>
              <w:rPr>
                <w:rFonts w:ascii="Times New Roman"/>
                <w:sz w:val="21"/>
              </w:rPr>
              <w:t>13,560</w:t>
            </w:r>
          </w:p>
        </w:tc>
      </w:tr>
      <w:tr>
        <w:trPr>
          <w:trHeight w:val="273" w:hRule="atLeast"/>
        </w:trPr>
        <w:tc>
          <w:tcPr>
            <w:tcW w:w="1411" w:type="dxa"/>
          </w:tcPr>
          <w:p>
            <w:pPr>
              <w:pStyle w:val="TableParagraph"/>
              <w:spacing w:line="252" w:lineRule="exact" w:before="1"/>
              <w:ind w:right="338"/>
              <w:jc w:val="right"/>
              <w:rPr>
                <w:sz w:val="21"/>
              </w:rPr>
            </w:pPr>
            <w:r>
              <w:rPr>
                <w:w w:val="100"/>
                <w:sz w:val="21"/>
              </w:rPr>
              <w:t> </w:t>
            </w:r>
            <w:r>
              <w:rPr>
                <w:sz w:val="21"/>
              </w:rPr>
              <w:t> </w:t>
            </w:r>
            <w:r>
              <w:rPr>
                <w:w w:val="100"/>
                <w:sz w:val="21"/>
              </w:rPr>
              <w:t> </w:t>
            </w:r>
          </w:p>
        </w:tc>
        <w:tc>
          <w:tcPr>
            <w:tcW w:w="1090" w:type="dxa"/>
          </w:tcPr>
          <w:p>
            <w:pPr>
              <w:pStyle w:val="TableParagraph"/>
              <w:spacing w:line="253" w:lineRule="exact"/>
              <w:ind w:right="-15"/>
              <w:jc w:val="right"/>
              <w:rPr>
                <w:sz w:val="21"/>
              </w:rPr>
            </w:pPr>
            <w:r>
              <w:rPr>
                <w:w w:val="100"/>
                <w:sz w:val="21"/>
              </w:rPr>
              <w:t> </w:t>
            </w:r>
          </w:p>
        </w:tc>
        <w:tc>
          <w:tcPr>
            <w:tcW w:w="823" w:type="dxa"/>
          </w:tcPr>
          <w:p>
            <w:pPr>
              <w:pStyle w:val="TableParagraph"/>
              <w:spacing w:line="253" w:lineRule="exact"/>
              <w:ind w:right="-15"/>
              <w:jc w:val="right"/>
              <w:rPr>
                <w:sz w:val="21"/>
              </w:rPr>
            </w:pPr>
            <w:r>
              <w:rPr>
                <w:w w:val="100"/>
                <w:sz w:val="21"/>
              </w:rPr>
              <w:t> </w:t>
            </w:r>
          </w:p>
        </w:tc>
        <w:tc>
          <w:tcPr>
            <w:tcW w:w="1195" w:type="dxa"/>
          </w:tcPr>
          <w:p>
            <w:pPr>
              <w:pStyle w:val="TableParagraph"/>
              <w:spacing w:line="253" w:lineRule="exact"/>
              <w:ind w:right="-15"/>
              <w:jc w:val="right"/>
              <w:rPr>
                <w:sz w:val="21"/>
              </w:rPr>
            </w:pPr>
            <w:r>
              <w:rPr>
                <w:w w:val="100"/>
                <w:sz w:val="21"/>
              </w:rPr>
              <w:t> </w:t>
            </w:r>
          </w:p>
        </w:tc>
        <w:tc>
          <w:tcPr>
            <w:tcW w:w="928" w:type="dxa"/>
          </w:tcPr>
          <w:p>
            <w:pPr>
              <w:pStyle w:val="TableParagraph"/>
              <w:spacing w:line="253" w:lineRule="exact"/>
              <w:ind w:right="-15"/>
              <w:jc w:val="right"/>
              <w:rPr>
                <w:sz w:val="21"/>
              </w:rPr>
            </w:pPr>
            <w:r>
              <w:rPr>
                <w:w w:val="100"/>
                <w:sz w:val="21"/>
              </w:rPr>
              <w:t> </w:t>
            </w:r>
          </w:p>
        </w:tc>
        <w:tc>
          <w:tcPr>
            <w:tcW w:w="1086" w:type="dxa"/>
          </w:tcPr>
          <w:p>
            <w:pPr>
              <w:pStyle w:val="TableParagraph"/>
              <w:rPr>
                <w:rFonts w:ascii="Times New Roman"/>
                <w:sz w:val="20"/>
              </w:rPr>
            </w:pPr>
          </w:p>
        </w:tc>
        <w:tc>
          <w:tcPr>
            <w:tcW w:w="1089" w:type="dxa"/>
          </w:tcPr>
          <w:p>
            <w:pPr>
              <w:pStyle w:val="TableParagraph"/>
              <w:rPr>
                <w:rFonts w:ascii="Times New Roman"/>
                <w:sz w:val="20"/>
              </w:rPr>
            </w:pPr>
          </w:p>
        </w:tc>
        <w:tc>
          <w:tcPr>
            <w:tcW w:w="1196" w:type="dxa"/>
          </w:tcPr>
          <w:p>
            <w:pPr>
              <w:pStyle w:val="TableParagraph"/>
              <w:spacing w:line="253" w:lineRule="exact"/>
              <w:ind w:right="-15"/>
              <w:jc w:val="right"/>
              <w:rPr>
                <w:sz w:val="21"/>
              </w:rPr>
            </w:pPr>
            <w:r>
              <w:rPr>
                <w:w w:val="100"/>
                <w:sz w:val="21"/>
              </w:rPr>
              <w:t> </w:t>
            </w:r>
          </w:p>
        </w:tc>
      </w:tr>
      <w:tr>
        <w:trPr>
          <w:trHeight w:val="270" w:hRule="atLeast"/>
        </w:trPr>
        <w:tc>
          <w:tcPr>
            <w:tcW w:w="1411" w:type="dxa"/>
          </w:tcPr>
          <w:p>
            <w:pPr>
              <w:pStyle w:val="TableParagraph"/>
              <w:spacing w:line="250" w:lineRule="exact" w:before="1"/>
              <w:ind w:right="338"/>
              <w:jc w:val="right"/>
              <w:rPr>
                <w:sz w:val="21"/>
              </w:rPr>
            </w:pPr>
            <w:r>
              <w:rPr>
                <w:w w:val="100"/>
                <w:sz w:val="21"/>
              </w:rPr>
              <w:t> </w:t>
            </w:r>
            <w:r>
              <w:rPr>
                <w:sz w:val="21"/>
              </w:rPr>
              <w:t> </w:t>
            </w:r>
            <w:r>
              <w:rPr>
                <w:w w:val="100"/>
                <w:sz w:val="21"/>
              </w:rPr>
              <w:t> </w:t>
            </w:r>
          </w:p>
        </w:tc>
        <w:tc>
          <w:tcPr>
            <w:tcW w:w="1090" w:type="dxa"/>
          </w:tcPr>
          <w:p>
            <w:pPr>
              <w:pStyle w:val="TableParagraph"/>
              <w:spacing w:line="251" w:lineRule="exact"/>
              <w:ind w:right="-15"/>
              <w:jc w:val="right"/>
              <w:rPr>
                <w:sz w:val="21"/>
              </w:rPr>
            </w:pPr>
            <w:r>
              <w:rPr>
                <w:w w:val="100"/>
                <w:sz w:val="21"/>
              </w:rPr>
              <w:t> </w:t>
            </w:r>
          </w:p>
        </w:tc>
        <w:tc>
          <w:tcPr>
            <w:tcW w:w="823" w:type="dxa"/>
          </w:tcPr>
          <w:p>
            <w:pPr>
              <w:pStyle w:val="TableParagraph"/>
              <w:rPr>
                <w:rFonts w:ascii="Times New Roman"/>
                <w:sz w:val="20"/>
              </w:rPr>
            </w:pPr>
          </w:p>
        </w:tc>
        <w:tc>
          <w:tcPr>
            <w:tcW w:w="1195" w:type="dxa"/>
          </w:tcPr>
          <w:p>
            <w:pPr>
              <w:pStyle w:val="TableParagraph"/>
              <w:rPr>
                <w:rFonts w:ascii="Times New Roman"/>
                <w:sz w:val="20"/>
              </w:rPr>
            </w:pPr>
          </w:p>
        </w:tc>
        <w:tc>
          <w:tcPr>
            <w:tcW w:w="928" w:type="dxa"/>
          </w:tcPr>
          <w:p>
            <w:pPr>
              <w:pStyle w:val="TableParagraph"/>
              <w:rPr>
                <w:rFonts w:ascii="Times New Roman"/>
                <w:sz w:val="20"/>
              </w:rPr>
            </w:pPr>
          </w:p>
        </w:tc>
        <w:tc>
          <w:tcPr>
            <w:tcW w:w="1086" w:type="dxa"/>
          </w:tcPr>
          <w:p>
            <w:pPr>
              <w:pStyle w:val="TableParagraph"/>
              <w:rPr>
                <w:rFonts w:ascii="Times New Roman"/>
                <w:sz w:val="20"/>
              </w:rPr>
            </w:pPr>
          </w:p>
        </w:tc>
        <w:tc>
          <w:tcPr>
            <w:tcW w:w="1089" w:type="dxa"/>
          </w:tcPr>
          <w:p>
            <w:pPr>
              <w:pStyle w:val="TableParagraph"/>
              <w:rPr>
                <w:rFonts w:ascii="Times New Roman"/>
                <w:sz w:val="20"/>
              </w:rPr>
            </w:pPr>
          </w:p>
        </w:tc>
        <w:tc>
          <w:tcPr>
            <w:tcW w:w="1196" w:type="dxa"/>
          </w:tcPr>
          <w:p>
            <w:pPr>
              <w:pStyle w:val="TableParagraph"/>
              <w:spacing w:line="251" w:lineRule="exact"/>
              <w:ind w:right="-15"/>
              <w:jc w:val="right"/>
              <w:rPr>
                <w:sz w:val="21"/>
              </w:rPr>
            </w:pPr>
            <w:r>
              <w:rPr>
                <w:w w:val="100"/>
                <w:sz w:val="21"/>
              </w:rPr>
              <w:t> </w:t>
            </w:r>
          </w:p>
        </w:tc>
      </w:tr>
      <w:tr>
        <w:trPr>
          <w:trHeight w:val="547" w:hRule="atLeast"/>
        </w:trPr>
        <w:tc>
          <w:tcPr>
            <w:tcW w:w="1411" w:type="dxa"/>
          </w:tcPr>
          <w:p>
            <w:pPr>
              <w:pStyle w:val="TableParagraph"/>
              <w:spacing w:line="270" w:lineRule="atLeast"/>
              <w:ind w:left="112" w:right="228" w:firstLine="424"/>
              <w:rPr>
                <w:sz w:val="21"/>
              </w:rPr>
            </w:pPr>
            <w:r>
              <w:rPr>
                <w:sz w:val="21"/>
              </w:rPr>
              <w:t>3.本期减少金额 </w:t>
            </w:r>
          </w:p>
        </w:tc>
        <w:tc>
          <w:tcPr>
            <w:tcW w:w="1090" w:type="dxa"/>
          </w:tcPr>
          <w:p>
            <w:pPr>
              <w:pStyle w:val="TableParagraph"/>
              <w:spacing w:before="147"/>
              <w:ind w:left="295"/>
              <w:rPr>
                <w:rFonts w:ascii="Times New Roman"/>
                <w:sz w:val="21"/>
              </w:rPr>
            </w:pPr>
            <w:r>
              <w:rPr>
                <w:rFonts w:ascii="Times New Roman"/>
                <w:sz w:val="21"/>
              </w:rPr>
              <w:t>176,215</w:t>
            </w:r>
          </w:p>
        </w:tc>
        <w:tc>
          <w:tcPr>
            <w:tcW w:w="823" w:type="dxa"/>
          </w:tcPr>
          <w:p>
            <w:pPr>
              <w:pStyle w:val="TableParagraph"/>
              <w:spacing w:before="147"/>
              <w:ind w:left="235"/>
              <w:rPr>
                <w:rFonts w:ascii="Times New Roman"/>
                <w:sz w:val="21"/>
              </w:rPr>
            </w:pPr>
            <w:r>
              <w:rPr>
                <w:rFonts w:ascii="Times New Roman"/>
                <w:sz w:val="21"/>
              </w:rPr>
              <w:t>4,151</w:t>
            </w:r>
          </w:p>
        </w:tc>
        <w:tc>
          <w:tcPr>
            <w:tcW w:w="1195" w:type="dxa"/>
          </w:tcPr>
          <w:p>
            <w:pPr>
              <w:pStyle w:val="TableParagraph"/>
              <w:spacing w:before="147"/>
              <w:ind w:right="102"/>
              <w:jc w:val="right"/>
              <w:rPr>
                <w:rFonts w:ascii="Times New Roman"/>
                <w:sz w:val="21"/>
              </w:rPr>
            </w:pPr>
            <w:r>
              <w:rPr>
                <w:rFonts w:ascii="Times New Roman"/>
                <w:sz w:val="21"/>
              </w:rPr>
              <w:t>-340,974</w:t>
            </w:r>
          </w:p>
        </w:tc>
        <w:tc>
          <w:tcPr>
            <w:tcW w:w="928" w:type="dxa"/>
          </w:tcPr>
          <w:p>
            <w:pPr>
              <w:pStyle w:val="TableParagraph"/>
              <w:spacing w:before="147"/>
              <w:ind w:left="274"/>
              <w:rPr>
                <w:rFonts w:ascii="Times New Roman"/>
                <w:sz w:val="21"/>
              </w:rPr>
            </w:pPr>
            <w:r>
              <w:rPr>
                <w:rFonts w:ascii="Times New Roman"/>
                <w:sz w:val="21"/>
              </w:rPr>
              <w:t>-2,946</w:t>
            </w:r>
          </w:p>
        </w:tc>
        <w:tc>
          <w:tcPr>
            <w:tcW w:w="1086" w:type="dxa"/>
          </w:tcPr>
          <w:p>
            <w:pPr>
              <w:pStyle w:val="TableParagraph"/>
              <w:spacing w:before="147"/>
              <w:ind w:left="224"/>
              <w:rPr>
                <w:rFonts w:ascii="Times New Roman"/>
                <w:sz w:val="21"/>
              </w:rPr>
            </w:pPr>
            <w:r>
              <w:rPr>
                <w:rFonts w:ascii="Times New Roman"/>
                <w:sz w:val="21"/>
              </w:rPr>
              <w:t>-103,066</w:t>
            </w:r>
          </w:p>
        </w:tc>
        <w:tc>
          <w:tcPr>
            <w:tcW w:w="1089" w:type="dxa"/>
          </w:tcPr>
          <w:p>
            <w:pPr>
              <w:pStyle w:val="TableParagraph"/>
              <w:spacing w:before="147"/>
              <w:ind w:right="96"/>
              <w:jc w:val="right"/>
              <w:rPr>
                <w:rFonts w:ascii="Times New Roman"/>
                <w:sz w:val="21"/>
              </w:rPr>
            </w:pPr>
            <w:r>
              <w:rPr>
                <w:rFonts w:ascii="Times New Roman"/>
                <w:sz w:val="21"/>
              </w:rPr>
              <w:t>-9,099</w:t>
            </w:r>
          </w:p>
        </w:tc>
        <w:tc>
          <w:tcPr>
            <w:tcW w:w="1196" w:type="dxa"/>
          </w:tcPr>
          <w:p>
            <w:pPr>
              <w:pStyle w:val="TableParagraph"/>
              <w:spacing w:before="147"/>
              <w:ind w:left="335"/>
              <w:rPr>
                <w:rFonts w:ascii="Times New Roman"/>
                <w:sz w:val="21"/>
              </w:rPr>
            </w:pPr>
            <w:r>
              <w:rPr>
                <w:rFonts w:ascii="Times New Roman"/>
                <w:sz w:val="21"/>
              </w:rPr>
              <w:t>-275,719</w:t>
            </w:r>
          </w:p>
        </w:tc>
      </w:tr>
      <w:tr>
        <w:trPr>
          <w:trHeight w:val="544" w:hRule="atLeast"/>
        </w:trPr>
        <w:tc>
          <w:tcPr>
            <w:tcW w:w="1411" w:type="dxa"/>
          </w:tcPr>
          <w:p>
            <w:pPr>
              <w:pStyle w:val="TableParagraph"/>
              <w:spacing w:before="1"/>
              <w:ind w:right="127"/>
              <w:jc w:val="right"/>
              <w:rPr>
                <w:sz w:val="21"/>
              </w:rPr>
            </w:pPr>
            <w:r>
              <w:rPr>
                <w:sz w:val="21"/>
              </w:rPr>
              <w:t>（1）</w:t>
            </w:r>
          </w:p>
          <w:p>
            <w:pPr>
              <w:pStyle w:val="TableParagraph"/>
              <w:spacing w:line="252" w:lineRule="exact" w:before="2"/>
              <w:ind w:right="129"/>
              <w:jc w:val="right"/>
              <w:rPr>
                <w:sz w:val="21"/>
              </w:rPr>
            </w:pPr>
            <w:r>
              <w:rPr>
                <w:sz w:val="21"/>
              </w:rPr>
              <w:t>处置或报废 </w:t>
            </w:r>
          </w:p>
        </w:tc>
        <w:tc>
          <w:tcPr>
            <w:tcW w:w="1090" w:type="dxa"/>
          </w:tcPr>
          <w:p>
            <w:pPr>
              <w:pStyle w:val="TableParagraph"/>
              <w:spacing w:before="144"/>
              <w:ind w:right="99"/>
              <w:jc w:val="right"/>
              <w:rPr>
                <w:rFonts w:ascii="Times New Roman"/>
                <w:sz w:val="21"/>
              </w:rPr>
            </w:pPr>
            <w:r>
              <w:rPr>
                <w:rFonts w:ascii="Times New Roman"/>
                <w:w w:val="100"/>
                <w:sz w:val="21"/>
              </w:rPr>
              <w:t>-</w:t>
            </w:r>
          </w:p>
        </w:tc>
        <w:tc>
          <w:tcPr>
            <w:tcW w:w="823" w:type="dxa"/>
          </w:tcPr>
          <w:p>
            <w:pPr>
              <w:pStyle w:val="TableParagraph"/>
              <w:spacing w:before="144"/>
              <w:ind w:right="102"/>
              <w:jc w:val="right"/>
              <w:rPr>
                <w:rFonts w:ascii="Times New Roman"/>
                <w:sz w:val="21"/>
              </w:rPr>
            </w:pPr>
            <w:r>
              <w:rPr>
                <w:rFonts w:ascii="Times New Roman"/>
                <w:w w:val="100"/>
                <w:sz w:val="21"/>
              </w:rPr>
              <w:t>-</w:t>
            </w:r>
          </w:p>
        </w:tc>
        <w:tc>
          <w:tcPr>
            <w:tcW w:w="1195" w:type="dxa"/>
          </w:tcPr>
          <w:p>
            <w:pPr>
              <w:pStyle w:val="TableParagraph"/>
              <w:spacing w:before="144"/>
              <w:ind w:right="102"/>
              <w:jc w:val="right"/>
              <w:rPr>
                <w:rFonts w:ascii="Times New Roman"/>
                <w:sz w:val="21"/>
              </w:rPr>
            </w:pPr>
            <w:r>
              <w:rPr>
                <w:rFonts w:ascii="Times New Roman"/>
                <w:sz w:val="21"/>
              </w:rPr>
              <w:t>-517,381</w:t>
            </w:r>
          </w:p>
        </w:tc>
        <w:tc>
          <w:tcPr>
            <w:tcW w:w="928" w:type="dxa"/>
          </w:tcPr>
          <w:p>
            <w:pPr>
              <w:pStyle w:val="TableParagraph"/>
              <w:spacing w:before="144"/>
              <w:ind w:left="274"/>
              <w:rPr>
                <w:rFonts w:ascii="Times New Roman"/>
                <w:sz w:val="21"/>
              </w:rPr>
            </w:pPr>
            <w:r>
              <w:rPr>
                <w:rFonts w:ascii="Times New Roman"/>
                <w:sz w:val="21"/>
              </w:rPr>
              <w:t>-4,719</w:t>
            </w:r>
          </w:p>
        </w:tc>
        <w:tc>
          <w:tcPr>
            <w:tcW w:w="1086" w:type="dxa"/>
          </w:tcPr>
          <w:p>
            <w:pPr>
              <w:pStyle w:val="TableParagraph"/>
              <w:spacing w:before="144"/>
              <w:ind w:left="224"/>
              <w:rPr>
                <w:rFonts w:ascii="Times New Roman"/>
                <w:sz w:val="21"/>
              </w:rPr>
            </w:pPr>
            <w:r>
              <w:rPr>
                <w:rFonts w:ascii="Times New Roman"/>
                <w:sz w:val="21"/>
              </w:rPr>
              <w:t>-125,638</w:t>
            </w:r>
          </w:p>
        </w:tc>
        <w:tc>
          <w:tcPr>
            <w:tcW w:w="1089" w:type="dxa"/>
          </w:tcPr>
          <w:p>
            <w:pPr>
              <w:pStyle w:val="TableParagraph"/>
              <w:spacing w:before="144"/>
              <w:ind w:right="97"/>
              <w:jc w:val="right"/>
              <w:rPr>
                <w:rFonts w:ascii="Times New Roman"/>
                <w:sz w:val="21"/>
              </w:rPr>
            </w:pPr>
            <w:r>
              <w:rPr>
                <w:rFonts w:ascii="Times New Roman"/>
                <w:sz w:val="21"/>
              </w:rPr>
              <w:t>-44,183</w:t>
            </w:r>
          </w:p>
        </w:tc>
        <w:tc>
          <w:tcPr>
            <w:tcW w:w="1196" w:type="dxa"/>
          </w:tcPr>
          <w:p>
            <w:pPr>
              <w:pStyle w:val="TableParagraph"/>
              <w:spacing w:before="144"/>
              <w:ind w:left="335"/>
              <w:rPr>
                <w:rFonts w:ascii="Times New Roman"/>
                <w:sz w:val="21"/>
              </w:rPr>
            </w:pPr>
            <w:r>
              <w:rPr>
                <w:rFonts w:ascii="Times New Roman"/>
                <w:sz w:val="21"/>
              </w:rPr>
              <w:t>-691,921</w:t>
            </w:r>
          </w:p>
        </w:tc>
      </w:tr>
      <w:tr>
        <w:trPr>
          <w:trHeight w:val="815" w:hRule="atLeast"/>
        </w:trPr>
        <w:tc>
          <w:tcPr>
            <w:tcW w:w="1411" w:type="dxa"/>
          </w:tcPr>
          <w:p>
            <w:pPr>
              <w:pStyle w:val="TableParagraph"/>
              <w:spacing w:line="242" w:lineRule="auto" w:before="1"/>
              <w:ind w:left="112" w:right="127" w:firstLine="631"/>
              <w:rPr>
                <w:sz w:val="21"/>
              </w:rPr>
            </w:pPr>
            <w:r>
              <w:rPr>
                <w:sz w:val="21"/>
              </w:rPr>
              <w:t>（2）</w:t>
            </w:r>
            <w:r>
              <w:rPr>
                <w:spacing w:val="-102"/>
                <w:sz w:val="21"/>
              </w:rPr>
              <w:t> </w:t>
            </w:r>
            <w:r>
              <w:rPr>
                <w:sz w:val="21"/>
              </w:rPr>
              <w:t>  外币报表折</w:t>
            </w:r>
          </w:p>
          <w:p>
            <w:pPr>
              <w:pStyle w:val="TableParagraph"/>
              <w:spacing w:line="250" w:lineRule="exact" w:before="1"/>
              <w:ind w:left="112"/>
              <w:rPr>
                <w:sz w:val="21"/>
              </w:rPr>
            </w:pPr>
            <w:r>
              <w:rPr>
                <w:sz w:val="21"/>
              </w:rPr>
              <w:t>算差异 </w:t>
            </w:r>
          </w:p>
        </w:tc>
        <w:tc>
          <w:tcPr>
            <w:tcW w:w="1090" w:type="dxa"/>
          </w:tcPr>
          <w:p>
            <w:pPr>
              <w:pStyle w:val="TableParagraph"/>
              <w:spacing w:before="12"/>
              <w:rPr>
                <w:sz w:val="21"/>
              </w:rPr>
            </w:pPr>
          </w:p>
          <w:p>
            <w:pPr>
              <w:pStyle w:val="TableParagraph"/>
              <w:ind w:left="295"/>
              <w:rPr>
                <w:rFonts w:ascii="Times New Roman"/>
                <w:sz w:val="21"/>
              </w:rPr>
            </w:pPr>
            <w:r>
              <w:rPr>
                <w:rFonts w:ascii="Times New Roman"/>
                <w:sz w:val="21"/>
              </w:rPr>
              <w:t>176,215</w:t>
            </w:r>
          </w:p>
        </w:tc>
        <w:tc>
          <w:tcPr>
            <w:tcW w:w="823" w:type="dxa"/>
          </w:tcPr>
          <w:p>
            <w:pPr>
              <w:pStyle w:val="TableParagraph"/>
              <w:spacing w:before="12"/>
              <w:rPr>
                <w:sz w:val="21"/>
              </w:rPr>
            </w:pPr>
          </w:p>
          <w:p>
            <w:pPr>
              <w:pStyle w:val="TableParagraph"/>
              <w:ind w:left="235"/>
              <w:rPr>
                <w:rFonts w:ascii="Times New Roman"/>
                <w:sz w:val="21"/>
              </w:rPr>
            </w:pPr>
            <w:r>
              <w:rPr>
                <w:rFonts w:ascii="Times New Roman"/>
                <w:sz w:val="21"/>
              </w:rPr>
              <w:t>4,151</w:t>
            </w:r>
          </w:p>
        </w:tc>
        <w:tc>
          <w:tcPr>
            <w:tcW w:w="1195" w:type="dxa"/>
          </w:tcPr>
          <w:p>
            <w:pPr>
              <w:pStyle w:val="TableParagraph"/>
              <w:spacing w:before="12"/>
              <w:rPr>
                <w:sz w:val="21"/>
              </w:rPr>
            </w:pPr>
          </w:p>
          <w:p>
            <w:pPr>
              <w:pStyle w:val="TableParagraph"/>
              <w:ind w:right="100"/>
              <w:jc w:val="right"/>
              <w:rPr>
                <w:rFonts w:ascii="Times New Roman"/>
                <w:sz w:val="21"/>
              </w:rPr>
            </w:pPr>
            <w:r>
              <w:rPr>
                <w:rFonts w:ascii="Times New Roman"/>
                <w:sz w:val="21"/>
              </w:rPr>
              <w:t>176,407</w:t>
            </w:r>
          </w:p>
        </w:tc>
        <w:tc>
          <w:tcPr>
            <w:tcW w:w="928" w:type="dxa"/>
          </w:tcPr>
          <w:p>
            <w:pPr>
              <w:pStyle w:val="TableParagraph"/>
              <w:spacing w:before="12"/>
              <w:rPr>
                <w:sz w:val="21"/>
              </w:rPr>
            </w:pPr>
          </w:p>
          <w:p>
            <w:pPr>
              <w:pStyle w:val="TableParagraph"/>
              <w:ind w:left="344"/>
              <w:rPr>
                <w:rFonts w:ascii="Times New Roman"/>
                <w:sz w:val="21"/>
              </w:rPr>
            </w:pPr>
            <w:r>
              <w:rPr>
                <w:rFonts w:ascii="Times New Roman"/>
                <w:sz w:val="21"/>
              </w:rPr>
              <w:t>1,773</w:t>
            </w:r>
          </w:p>
        </w:tc>
        <w:tc>
          <w:tcPr>
            <w:tcW w:w="1086" w:type="dxa"/>
          </w:tcPr>
          <w:p>
            <w:pPr>
              <w:pStyle w:val="TableParagraph"/>
              <w:spacing w:before="12"/>
              <w:rPr>
                <w:sz w:val="21"/>
              </w:rPr>
            </w:pPr>
          </w:p>
          <w:p>
            <w:pPr>
              <w:pStyle w:val="TableParagraph"/>
              <w:ind w:right="93"/>
              <w:jc w:val="right"/>
              <w:rPr>
                <w:rFonts w:ascii="Times New Roman"/>
                <w:sz w:val="21"/>
              </w:rPr>
            </w:pPr>
            <w:r>
              <w:rPr>
                <w:rFonts w:ascii="Times New Roman"/>
                <w:sz w:val="21"/>
              </w:rPr>
              <w:t>22,572</w:t>
            </w:r>
          </w:p>
        </w:tc>
        <w:tc>
          <w:tcPr>
            <w:tcW w:w="1089" w:type="dxa"/>
          </w:tcPr>
          <w:p>
            <w:pPr>
              <w:pStyle w:val="TableParagraph"/>
              <w:spacing w:before="12"/>
              <w:rPr>
                <w:sz w:val="21"/>
              </w:rPr>
            </w:pPr>
          </w:p>
          <w:p>
            <w:pPr>
              <w:pStyle w:val="TableParagraph"/>
              <w:ind w:right="94"/>
              <w:jc w:val="right"/>
              <w:rPr>
                <w:rFonts w:ascii="Times New Roman"/>
                <w:sz w:val="21"/>
              </w:rPr>
            </w:pPr>
            <w:r>
              <w:rPr>
                <w:rFonts w:ascii="Times New Roman"/>
                <w:sz w:val="21"/>
              </w:rPr>
              <w:t>35,084</w:t>
            </w:r>
          </w:p>
        </w:tc>
        <w:tc>
          <w:tcPr>
            <w:tcW w:w="1196" w:type="dxa"/>
          </w:tcPr>
          <w:p>
            <w:pPr>
              <w:pStyle w:val="TableParagraph"/>
              <w:spacing w:before="12"/>
              <w:rPr>
                <w:sz w:val="21"/>
              </w:rPr>
            </w:pPr>
          </w:p>
          <w:p>
            <w:pPr>
              <w:pStyle w:val="TableParagraph"/>
              <w:ind w:left="407"/>
              <w:rPr>
                <w:rFonts w:ascii="Times New Roman"/>
                <w:sz w:val="21"/>
              </w:rPr>
            </w:pPr>
            <w:r>
              <w:rPr>
                <w:rFonts w:ascii="Times New Roman"/>
                <w:sz w:val="21"/>
              </w:rPr>
              <w:t>416,202</w:t>
            </w:r>
          </w:p>
        </w:tc>
      </w:tr>
      <w:tr>
        <w:trPr>
          <w:trHeight w:val="273" w:hRule="atLeast"/>
        </w:trPr>
        <w:tc>
          <w:tcPr>
            <w:tcW w:w="1411" w:type="dxa"/>
          </w:tcPr>
          <w:p>
            <w:pPr>
              <w:pStyle w:val="TableParagraph"/>
              <w:spacing w:line="252" w:lineRule="exact" w:before="1"/>
              <w:ind w:right="338"/>
              <w:jc w:val="right"/>
              <w:rPr>
                <w:sz w:val="21"/>
              </w:rPr>
            </w:pPr>
            <w:r>
              <w:rPr>
                <w:w w:val="100"/>
                <w:sz w:val="21"/>
              </w:rPr>
              <w:t> </w:t>
            </w:r>
            <w:r>
              <w:rPr>
                <w:sz w:val="21"/>
              </w:rPr>
              <w:t> </w:t>
            </w:r>
            <w:r>
              <w:rPr>
                <w:w w:val="100"/>
                <w:sz w:val="21"/>
              </w:rPr>
              <w:t> </w:t>
            </w:r>
          </w:p>
        </w:tc>
        <w:tc>
          <w:tcPr>
            <w:tcW w:w="1090" w:type="dxa"/>
          </w:tcPr>
          <w:p>
            <w:pPr>
              <w:pStyle w:val="TableParagraph"/>
              <w:spacing w:line="253" w:lineRule="exact"/>
              <w:ind w:right="-15"/>
              <w:jc w:val="right"/>
              <w:rPr>
                <w:sz w:val="21"/>
              </w:rPr>
            </w:pPr>
            <w:r>
              <w:rPr>
                <w:w w:val="100"/>
                <w:sz w:val="21"/>
              </w:rPr>
              <w:t> </w:t>
            </w:r>
          </w:p>
        </w:tc>
        <w:tc>
          <w:tcPr>
            <w:tcW w:w="823" w:type="dxa"/>
          </w:tcPr>
          <w:p>
            <w:pPr>
              <w:pStyle w:val="TableParagraph"/>
              <w:rPr>
                <w:rFonts w:ascii="Times New Roman"/>
                <w:sz w:val="20"/>
              </w:rPr>
            </w:pPr>
          </w:p>
        </w:tc>
        <w:tc>
          <w:tcPr>
            <w:tcW w:w="1195" w:type="dxa"/>
          </w:tcPr>
          <w:p>
            <w:pPr>
              <w:pStyle w:val="TableParagraph"/>
              <w:rPr>
                <w:rFonts w:ascii="Times New Roman"/>
                <w:sz w:val="20"/>
              </w:rPr>
            </w:pPr>
          </w:p>
        </w:tc>
        <w:tc>
          <w:tcPr>
            <w:tcW w:w="928" w:type="dxa"/>
          </w:tcPr>
          <w:p>
            <w:pPr>
              <w:pStyle w:val="TableParagraph"/>
              <w:rPr>
                <w:rFonts w:ascii="Times New Roman"/>
                <w:sz w:val="20"/>
              </w:rPr>
            </w:pPr>
          </w:p>
        </w:tc>
        <w:tc>
          <w:tcPr>
            <w:tcW w:w="1086" w:type="dxa"/>
          </w:tcPr>
          <w:p>
            <w:pPr>
              <w:pStyle w:val="TableParagraph"/>
              <w:rPr>
                <w:rFonts w:ascii="Times New Roman"/>
                <w:sz w:val="20"/>
              </w:rPr>
            </w:pPr>
          </w:p>
        </w:tc>
        <w:tc>
          <w:tcPr>
            <w:tcW w:w="1089" w:type="dxa"/>
          </w:tcPr>
          <w:p>
            <w:pPr>
              <w:pStyle w:val="TableParagraph"/>
              <w:rPr>
                <w:rFonts w:ascii="Times New Roman"/>
                <w:sz w:val="20"/>
              </w:rPr>
            </w:pPr>
          </w:p>
        </w:tc>
        <w:tc>
          <w:tcPr>
            <w:tcW w:w="1196" w:type="dxa"/>
          </w:tcPr>
          <w:p>
            <w:pPr>
              <w:pStyle w:val="TableParagraph"/>
              <w:spacing w:line="253" w:lineRule="exact"/>
              <w:ind w:right="-15"/>
              <w:jc w:val="right"/>
              <w:rPr>
                <w:sz w:val="21"/>
              </w:rPr>
            </w:pPr>
            <w:r>
              <w:rPr>
                <w:w w:val="100"/>
                <w:sz w:val="21"/>
              </w:rPr>
              <w:t> </w:t>
            </w:r>
          </w:p>
        </w:tc>
      </w:tr>
      <w:tr>
        <w:trPr>
          <w:trHeight w:val="544" w:hRule="atLeast"/>
        </w:trPr>
        <w:tc>
          <w:tcPr>
            <w:tcW w:w="1411" w:type="dxa"/>
          </w:tcPr>
          <w:p>
            <w:pPr>
              <w:pStyle w:val="TableParagraph"/>
              <w:spacing w:before="1"/>
              <w:ind w:left="532"/>
              <w:rPr>
                <w:sz w:val="21"/>
              </w:rPr>
            </w:pPr>
            <w:r>
              <w:rPr>
                <w:sz w:val="21"/>
              </w:rPr>
              <w:t>4.期末</w:t>
            </w:r>
          </w:p>
          <w:p>
            <w:pPr>
              <w:pStyle w:val="TableParagraph"/>
              <w:spacing w:line="250" w:lineRule="exact" w:before="4"/>
              <w:ind w:left="112"/>
              <w:rPr>
                <w:sz w:val="21"/>
              </w:rPr>
            </w:pPr>
            <w:r>
              <w:rPr>
                <w:sz w:val="21"/>
              </w:rPr>
              <w:t>余额 </w:t>
            </w:r>
          </w:p>
        </w:tc>
        <w:tc>
          <w:tcPr>
            <w:tcW w:w="1090" w:type="dxa"/>
          </w:tcPr>
          <w:p>
            <w:pPr>
              <w:pStyle w:val="TableParagraph"/>
              <w:spacing w:before="144"/>
              <w:ind w:left="136"/>
              <w:rPr>
                <w:rFonts w:ascii="Times New Roman"/>
                <w:sz w:val="21"/>
              </w:rPr>
            </w:pPr>
            <w:r>
              <w:rPr>
                <w:rFonts w:ascii="Times New Roman"/>
                <w:sz w:val="21"/>
              </w:rPr>
              <w:t>4,431,842</w:t>
            </w:r>
          </w:p>
        </w:tc>
        <w:tc>
          <w:tcPr>
            <w:tcW w:w="823" w:type="dxa"/>
          </w:tcPr>
          <w:p>
            <w:pPr>
              <w:pStyle w:val="TableParagraph"/>
              <w:spacing w:before="144"/>
              <w:ind w:left="129"/>
              <w:rPr>
                <w:rFonts w:ascii="Times New Roman"/>
                <w:sz w:val="21"/>
              </w:rPr>
            </w:pPr>
            <w:r>
              <w:rPr>
                <w:rFonts w:ascii="Times New Roman"/>
                <w:sz w:val="21"/>
              </w:rPr>
              <w:t>37,176</w:t>
            </w:r>
          </w:p>
        </w:tc>
        <w:tc>
          <w:tcPr>
            <w:tcW w:w="1195" w:type="dxa"/>
          </w:tcPr>
          <w:p>
            <w:pPr>
              <w:pStyle w:val="TableParagraph"/>
              <w:spacing w:before="144"/>
              <w:ind w:right="100"/>
              <w:jc w:val="right"/>
              <w:rPr>
                <w:rFonts w:ascii="Times New Roman"/>
                <w:sz w:val="21"/>
              </w:rPr>
            </w:pPr>
            <w:r>
              <w:rPr>
                <w:rFonts w:ascii="Times New Roman"/>
                <w:sz w:val="21"/>
              </w:rPr>
              <w:t>32,919,775</w:t>
            </w:r>
          </w:p>
        </w:tc>
        <w:tc>
          <w:tcPr>
            <w:tcW w:w="928" w:type="dxa"/>
          </w:tcPr>
          <w:p>
            <w:pPr>
              <w:pStyle w:val="TableParagraph"/>
              <w:spacing w:before="144"/>
              <w:ind w:left="135"/>
              <w:rPr>
                <w:rFonts w:ascii="Times New Roman"/>
                <w:sz w:val="21"/>
              </w:rPr>
            </w:pPr>
            <w:r>
              <w:rPr>
                <w:rFonts w:ascii="Times New Roman"/>
                <w:sz w:val="21"/>
              </w:rPr>
              <w:t>133,172</w:t>
            </w:r>
          </w:p>
        </w:tc>
        <w:tc>
          <w:tcPr>
            <w:tcW w:w="1086" w:type="dxa"/>
          </w:tcPr>
          <w:p>
            <w:pPr>
              <w:pStyle w:val="TableParagraph"/>
              <w:spacing w:before="144"/>
              <w:ind w:left="138"/>
              <w:rPr>
                <w:rFonts w:ascii="Times New Roman"/>
                <w:sz w:val="21"/>
              </w:rPr>
            </w:pPr>
            <w:r>
              <w:rPr>
                <w:rFonts w:ascii="Times New Roman"/>
                <w:sz w:val="21"/>
              </w:rPr>
              <w:t>3,332,306</w:t>
            </w:r>
          </w:p>
        </w:tc>
        <w:tc>
          <w:tcPr>
            <w:tcW w:w="1089" w:type="dxa"/>
          </w:tcPr>
          <w:p>
            <w:pPr>
              <w:pStyle w:val="TableParagraph"/>
              <w:spacing w:before="144"/>
              <w:ind w:right="94"/>
              <w:jc w:val="right"/>
              <w:rPr>
                <w:rFonts w:ascii="Times New Roman"/>
                <w:sz w:val="21"/>
              </w:rPr>
            </w:pPr>
            <w:r>
              <w:rPr>
                <w:rFonts w:ascii="Times New Roman"/>
                <w:sz w:val="21"/>
              </w:rPr>
              <w:t>1,431,045</w:t>
            </w:r>
          </w:p>
        </w:tc>
        <w:tc>
          <w:tcPr>
            <w:tcW w:w="1196" w:type="dxa"/>
          </w:tcPr>
          <w:p>
            <w:pPr>
              <w:pStyle w:val="TableParagraph"/>
              <w:spacing w:before="144"/>
              <w:ind w:left="143"/>
              <w:rPr>
                <w:rFonts w:ascii="Times New Roman"/>
                <w:sz w:val="21"/>
              </w:rPr>
            </w:pPr>
            <w:r>
              <w:rPr>
                <w:rFonts w:ascii="Times New Roman"/>
                <w:sz w:val="21"/>
              </w:rPr>
              <w:t>42,285,316</w:t>
            </w:r>
          </w:p>
        </w:tc>
      </w:tr>
      <w:tr>
        <w:trPr>
          <w:trHeight w:val="273" w:hRule="atLeast"/>
        </w:trPr>
        <w:tc>
          <w:tcPr>
            <w:tcW w:w="8818" w:type="dxa"/>
            <w:gridSpan w:val="8"/>
          </w:tcPr>
          <w:p>
            <w:pPr>
              <w:pStyle w:val="TableParagraph"/>
              <w:spacing w:line="252" w:lineRule="exact" w:before="1"/>
              <w:ind w:left="112"/>
              <w:rPr>
                <w:sz w:val="21"/>
              </w:rPr>
            </w:pPr>
            <w:r>
              <w:rPr>
                <w:spacing w:val="-1"/>
                <w:sz w:val="21"/>
              </w:rPr>
              <w:t>二、累计折旧</w:t>
            </w:r>
            <w:r>
              <w:rPr>
                <w:sz w:val="21"/>
              </w:rPr>
              <w:t> </w:t>
            </w:r>
          </w:p>
        </w:tc>
      </w:tr>
    </w:tbl>
    <w:p>
      <w:pPr>
        <w:spacing w:after="0" w:line="252" w:lineRule="exact"/>
        <w:rPr>
          <w:sz w:val="21"/>
        </w:rPr>
        <w:sectPr>
          <w:type w:val="continuous"/>
          <w:pgSz w:w="11910" w:h="16840"/>
          <w:pgMar w:top="780" w:bottom="2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1"/>
        <w:gridCol w:w="1090"/>
        <w:gridCol w:w="823"/>
        <w:gridCol w:w="1195"/>
        <w:gridCol w:w="928"/>
        <w:gridCol w:w="1086"/>
        <w:gridCol w:w="1089"/>
        <w:gridCol w:w="1196"/>
      </w:tblGrid>
      <w:tr>
        <w:trPr>
          <w:trHeight w:val="547" w:hRule="atLeast"/>
        </w:trPr>
        <w:tc>
          <w:tcPr>
            <w:tcW w:w="1411" w:type="dxa"/>
          </w:tcPr>
          <w:p>
            <w:pPr>
              <w:pStyle w:val="TableParagraph"/>
              <w:spacing w:line="270" w:lineRule="atLeast"/>
              <w:ind w:left="112" w:right="232" w:firstLine="419"/>
              <w:rPr>
                <w:sz w:val="21"/>
              </w:rPr>
            </w:pPr>
            <w:r>
              <w:rPr>
                <w:sz w:val="21"/>
              </w:rPr>
              <w:t>1.期初余额 </w:t>
            </w:r>
          </w:p>
        </w:tc>
        <w:tc>
          <w:tcPr>
            <w:tcW w:w="1090" w:type="dxa"/>
          </w:tcPr>
          <w:p>
            <w:pPr>
              <w:pStyle w:val="TableParagraph"/>
              <w:spacing w:before="24"/>
              <w:ind w:left="136" w:right="83" w:firstLine="771"/>
              <w:rPr>
                <w:rFonts w:ascii="Times New Roman"/>
                <w:sz w:val="21"/>
              </w:rPr>
            </w:pPr>
            <w:r>
              <w:rPr>
                <w:rFonts w:ascii="Times New Roman"/>
                <w:sz w:val="21"/>
              </w:rPr>
              <w:t>-</w:t>
            </w:r>
            <w:r>
              <w:rPr>
                <w:rFonts w:ascii="Times New Roman"/>
                <w:spacing w:val="-50"/>
                <w:sz w:val="21"/>
              </w:rPr>
              <w:t> </w:t>
            </w:r>
            <w:r>
              <w:rPr>
                <w:rFonts w:ascii="Times New Roman"/>
                <w:sz w:val="21"/>
              </w:rPr>
              <w:t>1,161,497</w:t>
            </w:r>
          </w:p>
        </w:tc>
        <w:tc>
          <w:tcPr>
            <w:tcW w:w="823" w:type="dxa"/>
          </w:tcPr>
          <w:p>
            <w:pPr>
              <w:pStyle w:val="TableParagraph"/>
              <w:spacing w:before="147"/>
              <w:ind w:right="102"/>
              <w:jc w:val="right"/>
              <w:rPr>
                <w:rFonts w:ascii="Times New Roman"/>
                <w:sz w:val="21"/>
              </w:rPr>
            </w:pPr>
            <w:r>
              <w:rPr>
                <w:rFonts w:ascii="Times New Roman"/>
                <w:w w:val="100"/>
                <w:sz w:val="21"/>
              </w:rPr>
              <w:t>-</w:t>
            </w:r>
          </w:p>
        </w:tc>
        <w:tc>
          <w:tcPr>
            <w:tcW w:w="1195" w:type="dxa"/>
          </w:tcPr>
          <w:p>
            <w:pPr>
              <w:pStyle w:val="TableParagraph"/>
              <w:spacing w:before="24"/>
              <w:ind w:left="134" w:right="85" w:firstLine="876"/>
              <w:rPr>
                <w:rFonts w:ascii="Times New Roman"/>
                <w:sz w:val="21"/>
              </w:rPr>
            </w:pPr>
            <w:r>
              <w:rPr>
                <w:rFonts w:ascii="Times New Roman"/>
                <w:sz w:val="21"/>
              </w:rPr>
              <w:t>-</w:t>
            </w:r>
            <w:r>
              <w:rPr>
                <w:rFonts w:ascii="Times New Roman"/>
                <w:spacing w:val="-50"/>
                <w:sz w:val="21"/>
              </w:rPr>
              <w:t> </w:t>
            </w:r>
            <w:r>
              <w:rPr>
                <w:rFonts w:ascii="Times New Roman"/>
                <w:sz w:val="21"/>
              </w:rPr>
              <w:t>20,067,034</w:t>
            </w:r>
          </w:p>
        </w:tc>
        <w:tc>
          <w:tcPr>
            <w:tcW w:w="928" w:type="dxa"/>
          </w:tcPr>
          <w:p>
            <w:pPr>
              <w:pStyle w:val="TableParagraph"/>
              <w:spacing w:before="147"/>
              <w:ind w:left="168"/>
              <w:rPr>
                <w:rFonts w:ascii="Times New Roman"/>
                <w:sz w:val="21"/>
              </w:rPr>
            </w:pPr>
            <w:r>
              <w:rPr>
                <w:rFonts w:ascii="Times New Roman"/>
                <w:sz w:val="21"/>
              </w:rPr>
              <w:t>-79,788</w:t>
            </w:r>
          </w:p>
        </w:tc>
        <w:tc>
          <w:tcPr>
            <w:tcW w:w="1086" w:type="dxa"/>
          </w:tcPr>
          <w:p>
            <w:pPr>
              <w:pStyle w:val="TableParagraph"/>
              <w:spacing w:before="24"/>
              <w:ind w:left="138" w:right="78" w:firstLine="770"/>
              <w:rPr>
                <w:rFonts w:ascii="Times New Roman"/>
                <w:sz w:val="21"/>
              </w:rPr>
            </w:pPr>
            <w:r>
              <w:rPr>
                <w:rFonts w:ascii="Times New Roman"/>
                <w:sz w:val="21"/>
              </w:rPr>
              <w:t>-</w:t>
            </w:r>
            <w:r>
              <w:rPr>
                <w:rFonts w:ascii="Times New Roman"/>
                <w:spacing w:val="-50"/>
                <w:sz w:val="21"/>
              </w:rPr>
              <w:t> </w:t>
            </w:r>
            <w:r>
              <w:rPr>
                <w:rFonts w:ascii="Times New Roman"/>
                <w:sz w:val="21"/>
              </w:rPr>
              <w:t>1,904,840</w:t>
            </w:r>
          </w:p>
        </w:tc>
        <w:tc>
          <w:tcPr>
            <w:tcW w:w="1089" w:type="dxa"/>
          </w:tcPr>
          <w:p>
            <w:pPr>
              <w:pStyle w:val="TableParagraph"/>
              <w:spacing w:before="147"/>
              <w:ind w:right="97"/>
              <w:jc w:val="right"/>
              <w:rPr>
                <w:rFonts w:ascii="Times New Roman"/>
                <w:sz w:val="21"/>
              </w:rPr>
            </w:pPr>
            <w:r>
              <w:rPr>
                <w:rFonts w:ascii="Times New Roman"/>
                <w:sz w:val="21"/>
              </w:rPr>
              <w:t>-938,614</w:t>
            </w:r>
          </w:p>
        </w:tc>
        <w:tc>
          <w:tcPr>
            <w:tcW w:w="1196" w:type="dxa"/>
          </w:tcPr>
          <w:p>
            <w:pPr>
              <w:pStyle w:val="TableParagraph"/>
              <w:spacing w:before="24"/>
              <w:ind w:left="143" w:right="77" w:firstLine="876"/>
              <w:rPr>
                <w:rFonts w:ascii="Times New Roman"/>
                <w:sz w:val="21"/>
              </w:rPr>
            </w:pPr>
            <w:r>
              <w:rPr>
                <w:rFonts w:ascii="Times New Roman"/>
                <w:sz w:val="21"/>
              </w:rPr>
              <w:t>-</w:t>
            </w:r>
            <w:r>
              <w:rPr>
                <w:rFonts w:ascii="Times New Roman"/>
                <w:spacing w:val="-50"/>
                <w:sz w:val="21"/>
              </w:rPr>
              <w:t> </w:t>
            </w:r>
            <w:r>
              <w:rPr>
                <w:rFonts w:ascii="Times New Roman"/>
                <w:sz w:val="21"/>
              </w:rPr>
              <w:t>24,151,773</w:t>
            </w:r>
          </w:p>
        </w:tc>
      </w:tr>
      <w:tr>
        <w:trPr>
          <w:trHeight w:val="544" w:hRule="atLeast"/>
        </w:trPr>
        <w:tc>
          <w:tcPr>
            <w:tcW w:w="1411" w:type="dxa"/>
          </w:tcPr>
          <w:p>
            <w:pPr>
              <w:pStyle w:val="TableParagraph"/>
              <w:spacing w:before="1"/>
              <w:ind w:left="532"/>
              <w:rPr>
                <w:sz w:val="21"/>
              </w:rPr>
            </w:pPr>
            <w:r>
              <w:rPr>
                <w:sz w:val="21"/>
              </w:rPr>
              <w:t>2.本期</w:t>
            </w:r>
          </w:p>
          <w:p>
            <w:pPr>
              <w:pStyle w:val="TableParagraph"/>
              <w:spacing w:line="252" w:lineRule="exact" w:before="2"/>
              <w:ind w:left="112"/>
              <w:rPr>
                <w:sz w:val="21"/>
              </w:rPr>
            </w:pPr>
            <w:r>
              <w:rPr>
                <w:spacing w:val="-1"/>
                <w:sz w:val="21"/>
              </w:rPr>
              <w:t>增加金额</w:t>
            </w:r>
            <w:r>
              <w:rPr>
                <w:sz w:val="21"/>
              </w:rPr>
              <w:t> </w:t>
            </w:r>
          </w:p>
        </w:tc>
        <w:tc>
          <w:tcPr>
            <w:tcW w:w="1090" w:type="dxa"/>
          </w:tcPr>
          <w:p>
            <w:pPr>
              <w:pStyle w:val="TableParagraph"/>
              <w:spacing w:before="144"/>
              <w:ind w:left="223"/>
              <w:rPr>
                <w:rFonts w:ascii="Times New Roman"/>
                <w:sz w:val="21"/>
              </w:rPr>
            </w:pPr>
            <w:r>
              <w:rPr>
                <w:rFonts w:ascii="Times New Roman"/>
                <w:sz w:val="21"/>
              </w:rPr>
              <w:t>-173,124</w:t>
            </w:r>
          </w:p>
        </w:tc>
        <w:tc>
          <w:tcPr>
            <w:tcW w:w="823" w:type="dxa"/>
          </w:tcPr>
          <w:p>
            <w:pPr>
              <w:pStyle w:val="TableParagraph"/>
              <w:spacing w:before="144"/>
              <w:ind w:right="102"/>
              <w:jc w:val="right"/>
              <w:rPr>
                <w:rFonts w:ascii="Times New Roman"/>
                <w:sz w:val="21"/>
              </w:rPr>
            </w:pPr>
            <w:r>
              <w:rPr>
                <w:rFonts w:ascii="Times New Roman"/>
                <w:w w:val="100"/>
                <w:sz w:val="21"/>
              </w:rPr>
              <w:t>-</w:t>
            </w:r>
          </w:p>
        </w:tc>
        <w:tc>
          <w:tcPr>
            <w:tcW w:w="1195" w:type="dxa"/>
          </w:tcPr>
          <w:p>
            <w:pPr>
              <w:pStyle w:val="TableParagraph"/>
              <w:spacing w:before="144"/>
              <w:ind w:left="170"/>
              <w:rPr>
                <w:rFonts w:ascii="Times New Roman"/>
                <w:sz w:val="21"/>
              </w:rPr>
            </w:pPr>
            <w:r>
              <w:rPr>
                <w:rFonts w:ascii="Times New Roman"/>
                <w:sz w:val="21"/>
              </w:rPr>
              <w:t>-2,038,228</w:t>
            </w:r>
          </w:p>
        </w:tc>
        <w:tc>
          <w:tcPr>
            <w:tcW w:w="928" w:type="dxa"/>
          </w:tcPr>
          <w:p>
            <w:pPr>
              <w:pStyle w:val="TableParagraph"/>
              <w:spacing w:before="144"/>
              <w:ind w:left="168"/>
              <w:rPr>
                <w:rFonts w:ascii="Times New Roman"/>
                <w:sz w:val="21"/>
              </w:rPr>
            </w:pPr>
            <w:r>
              <w:rPr>
                <w:rFonts w:ascii="Times New Roman"/>
                <w:sz w:val="21"/>
              </w:rPr>
              <w:t>-10,350</w:t>
            </w:r>
          </w:p>
        </w:tc>
        <w:tc>
          <w:tcPr>
            <w:tcW w:w="1086" w:type="dxa"/>
          </w:tcPr>
          <w:p>
            <w:pPr>
              <w:pStyle w:val="TableParagraph"/>
              <w:spacing w:before="144"/>
              <w:ind w:right="95"/>
              <w:jc w:val="right"/>
              <w:rPr>
                <w:rFonts w:ascii="Times New Roman"/>
                <w:sz w:val="21"/>
              </w:rPr>
            </w:pPr>
            <w:r>
              <w:rPr>
                <w:rFonts w:ascii="Times New Roman"/>
                <w:sz w:val="21"/>
              </w:rPr>
              <w:t>-325,542</w:t>
            </w:r>
          </w:p>
        </w:tc>
        <w:tc>
          <w:tcPr>
            <w:tcW w:w="1089" w:type="dxa"/>
          </w:tcPr>
          <w:p>
            <w:pPr>
              <w:pStyle w:val="TableParagraph"/>
              <w:spacing w:before="144"/>
              <w:ind w:right="97"/>
              <w:jc w:val="right"/>
              <w:rPr>
                <w:rFonts w:ascii="Times New Roman"/>
                <w:sz w:val="21"/>
              </w:rPr>
            </w:pPr>
            <w:r>
              <w:rPr>
                <w:rFonts w:ascii="Times New Roman"/>
                <w:sz w:val="21"/>
              </w:rPr>
              <w:t>-144,933</w:t>
            </w:r>
          </w:p>
        </w:tc>
        <w:tc>
          <w:tcPr>
            <w:tcW w:w="1196" w:type="dxa"/>
          </w:tcPr>
          <w:p>
            <w:pPr>
              <w:pStyle w:val="TableParagraph"/>
              <w:spacing w:before="144"/>
              <w:ind w:left="179"/>
              <w:rPr>
                <w:rFonts w:ascii="Times New Roman"/>
                <w:sz w:val="21"/>
              </w:rPr>
            </w:pPr>
            <w:r>
              <w:rPr>
                <w:rFonts w:ascii="Times New Roman"/>
                <w:sz w:val="21"/>
              </w:rPr>
              <w:t>-2,692,177</w:t>
            </w:r>
          </w:p>
        </w:tc>
      </w:tr>
      <w:tr>
        <w:trPr>
          <w:trHeight w:val="544" w:hRule="atLeast"/>
        </w:trPr>
        <w:tc>
          <w:tcPr>
            <w:tcW w:w="1411" w:type="dxa"/>
          </w:tcPr>
          <w:p>
            <w:pPr>
              <w:pStyle w:val="TableParagraph"/>
              <w:spacing w:before="1"/>
              <w:ind w:left="743"/>
              <w:rPr>
                <w:sz w:val="21"/>
              </w:rPr>
            </w:pPr>
            <w:r>
              <w:rPr>
                <w:sz w:val="21"/>
              </w:rPr>
              <w:t>（1）</w:t>
            </w:r>
          </w:p>
          <w:p>
            <w:pPr>
              <w:pStyle w:val="TableParagraph"/>
              <w:spacing w:line="252" w:lineRule="exact" w:before="2"/>
              <w:ind w:left="112"/>
              <w:rPr>
                <w:sz w:val="21"/>
              </w:rPr>
            </w:pPr>
            <w:r>
              <w:rPr>
                <w:sz w:val="21"/>
              </w:rPr>
              <w:t>计提 </w:t>
            </w:r>
          </w:p>
        </w:tc>
        <w:tc>
          <w:tcPr>
            <w:tcW w:w="1090" w:type="dxa"/>
          </w:tcPr>
          <w:p>
            <w:pPr>
              <w:pStyle w:val="TableParagraph"/>
              <w:spacing w:before="144"/>
              <w:ind w:left="223"/>
              <w:rPr>
                <w:rFonts w:ascii="Times New Roman"/>
                <w:sz w:val="21"/>
              </w:rPr>
            </w:pPr>
            <w:r>
              <w:rPr>
                <w:rFonts w:ascii="Times New Roman"/>
                <w:sz w:val="21"/>
              </w:rPr>
              <w:t>-173,124</w:t>
            </w:r>
          </w:p>
        </w:tc>
        <w:tc>
          <w:tcPr>
            <w:tcW w:w="823" w:type="dxa"/>
          </w:tcPr>
          <w:p>
            <w:pPr>
              <w:pStyle w:val="TableParagraph"/>
              <w:spacing w:before="144"/>
              <w:ind w:right="102"/>
              <w:jc w:val="right"/>
              <w:rPr>
                <w:rFonts w:ascii="Times New Roman"/>
                <w:sz w:val="21"/>
              </w:rPr>
            </w:pPr>
            <w:r>
              <w:rPr>
                <w:rFonts w:ascii="Times New Roman"/>
                <w:w w:val="100"/>
                <w:sz w:val="21"/>
              </w:rPr>
              <w:t>-</w:t>
            </w:r>
          </w:p>
        </w:tc>
        <w:tc>
          <w:tcPr>
            <w:tcW w:w="1195" w:type="dxa"/>
          </w:tcPr>
          <w:p>
            <w:pPr>
              <w:pStyle w:val="TableParagraph"/>
              <w:spacing w:before="144"/>
              <w:ind w:left="170"/>
              <w:rPr>
                <w:rFonts w:ascii="Times New Roman"/>
                <w:sz w:val="21"/>
              </w:rPr>
            </w:pPr>
            <w:r>
              <w:rPr>
                <w:rFonts w:ascii="Times New Roman"/>
                <w:sz w:val="21"/>
              </w:rPr>
              <w:t>-2,038,228</w:t>
            </w:r>
          </w:p>
        </w:tc>
        <w:tc>
          <w:tcPr>
            <w:tcW w:w="928" w:type="dxa"/>
          </w:tcPr>
          <w:p>
            <w:pPr>
              <w:pStyle w:val="TableParagraph"/>
              <w:spacing w:before="144"/>
              <w:ind w:left="168"/>
              <w:rPr>
                <w:rFonts w:ascii="Times New Roman"/>
                <w:sz w:val="21"/>
              </w:rPr>
            </w:pPr>
            <w:r>
              <w:rPr>
                <w:rFonts w:ascii="Times New Roman"/>
                <w:sz w:val="21"/>
              </w:rPr>
              <w:t>-10,350</w:t>
            </w:r>
          </w:p>
        </w:tc>
        <w:tc>
          <w:tcPr>
            <w:tcW w:w="1086" w:type="dxa"/>
          </w:tcPr>
          <w:p>
            <w:pPr>
              <w:pStyle w:val="TableParagraph"/>
              <w:spacing w:before="144"/>
              <w:ind w:right="95"/>
              <w:jc w:val="right"/>
              <w:rPr>
                <w:rFonts w:ascii="Times New Roman"/>
                <w:sz w:val="21"/>
              </w:rPr>
            </w:pPr>
            <w:r>
              <w:rPr>
                <w:rFonts w:ascii="Times New Roman"/>
                <w:sz w:val="21"/>
              </w:rPr>
              <w:t>-325,542</w:t>
            </w:r>
          </w:p>
        </w:tc>
        <w:tc>
          <w:tcPr>
            <w:tcW w:w="1089" w:type="dxa"/>
          </w:tcPr>
          <w:p>
            <w:pPr>
              <w:pStyle w:val="TableParagraph"/>
              <w:spacing w:before="144"/>
              <w:ind w:right="97"/>
              <w:jc w:val="right"/>
              <w:rPr>
                <w:rFonts w:ascii="Times New Roman"/>
                <w:sz w:val="21"/>
              </w:rPr>
            </w:pPr>
            <w:r>
              <w:rPr>
                <w:rFonts w:ascii="Times New Roman"/>
                <w:sz w:val="21"/>
              </w:rPr>
              <w:t>-144,933</w:t>
            </w:r>
          </w:p>
        </w:tc>
        <w:tc>
          <w:tcPr>
            <w:tcW w:w="1196" w:type="dxa"/>
          </w:tcPr>
          <w:p>
            <w:pPr>
              <w:pStyle w:val="TableParagraph"/>
              <w:spacing w:before="144"/>
              <w:ind w:left="179"/>
              <w:rPr>
                <w:rFonts w:ascii="Times New Roman"/>
                <w:sz w:val="21"/>
              </w:rPr>
            </w:pPr>
            <w:r>
              <w:rPr>
                <w:rFonts w:ascii="Times New Roman"/>
                <w:sz w:val="21"/>
              </w:rPr>
              <w:t>-2,692,177</w:t>
            </w:r>
          </w:p>
        </w:tc>
      </w:tr>
      <w:tr>
        <w:trPr>
          <w:trHeight w:val="270" w:hRule="atLeast"/>
        </w:trPr>
        <w:tc>
          <w:tcPr>
            <w:tcW w:w="1411" w:type="dxa"/>
          </w:tcPr>
          <w:p>
            <w:pPr>
              <w:pStyle w:val="TableParagraph"/>
              <w:spacing w:line="250" w:lineRule="exact" w:before="1"/>
              <w:ind w:right="338"/>
              <w:jc w:val="right"/>
              <w:rPr>
                <w:sz w:val="21"/>
              </w:rPr>
            </w:pPr>
            <w:r>
              <w:rPr>
                <w:w w:val="100"/>
                <w:sz w:val="21"/>
              </w:rPr>
              <w:t> </w:t>
            </w:r>
            <w:r>
              <w:rPr>
                <w:sz w:val="21"/>
              </w:rPr>
              <w:t> </w:t>
            </w:r>
            <w:r>
              <w:rPr>
                <w:w w:val="100"/>
                <w:sz w:val="21"/>
              </w:rPr>
              <w:t> </w:t>
            </w:r>
          </w:p>
        </w:tc>
        <w:tc>
          <w:tcPr>
            <w:tcW w:w="1090" w:type="dxa"/>
          </w:tcPr>
          <w:p>
            <w:pPr>
              <w:pStyle w:val="TableParagraph"/>
              <w:spacing w:line="248" w:lineRule="exact"/>
              <w:ind w:right="-15"/>
              <w:jc w:val="right"/>
              <w:rPr>
                <w:sz w:val="21"/>
              </w:rPr>
            </w:pPr>
            <w:r>
              <w:rPr>
                <w:w w:val="100"/>
                <w:sz w:val="21"/>
              </w:rPr>
              <w:t> </w:t>
            </w:r>
          </w:p>
        </w:tc>
        <w:tc>
          <w:tcPr>
            <w:tcW w:w="823" w:type="dxa"/>
          </w:tcPr>
          <w:p>
            <w:pPr>
              <w:pStyle w:val="TableParagraph"/>
              <w:spacing w:line="248" w:lineRule="exact"/>
              <w:ind w:right="-15"/>
              <w:jc w:val="right"/>
              <w:rPr>
                <w:sz w:val="21"/>
              </w:rPr>
            </w:pPr>
            <w:r>
              <w:rPr>
                <w:w w:val="100"/>
                <w:sz w:val="21"/>
              </w:rPr>
              <w:t> </w:t>
            </w:r>
          </w:p>
        </w:tc>
        <w:tc>
          <w:tcPr>
            <w:tcW w:w="1195" w:type="dxa"/>
          </w:tcPr>
          <w:p>
            <w:pPr>
              <w:pStyle w:val="TableParagraph"/>
              <w:spacing w:line="248" w:lineRule="exact"/>
              <w:ind w:right="-15"/>
              <w:jc w:val="right"/>
              <w:rPr>
                <w:sz w:val="21"/>
              </w:rPr>
            </w:pPr>
            <w:r>
              <w:rPr>
                <w:w w:val="100"/>
                <w:sz w:val="21"/>
              </w:rPr>
              <w:t> </w:t>
            </w:r>
          </w:p>
        </w:tc>
        <w:tc>
          <w:tcPr>
            <w:tcW w:w="928" w:type="dxa"/>
          </w:tcPr>
          <w:p>
            <w:pPr>
              <w:pStyle w:val="TableParagraph"/>
              <w:spacing w:line="248" w:lineRule="exact"/>
              <w:ind w:right="-15"/>
              <w:jc w:val="right"/>
              <w:rPr>
                <w:sz w:val="21"/>
              </w:rPr>
            </w:pPr>
            <w:r>
              <w:rPr>
                <w:w w:val="100"/>
                <w:sz w:val="21"/>
              </w:rPr>
              <w:t> </w:t>
            </w:r>
          </w:p>
        </w:tc>
        <w:tc>
          <w:tcPr>
            <w:tcW w:w="1086" w:type="dxa"/>
          </w:tcPr>
          <w:p>
            <w:pPr>
              <w:pStyle w:val="TableParagraph"/>
              <w:rPr>
                <w:rFonts w:ascii="Times New Roman"/>
                <w:sz w:val="20"/>
              </w:rPr>
            </w:pPr>
          </w:p>
        </w:tc>
        <w:tc>
          <w:tcPr>
            <w:tcW w:w="1089" w:type="dxa"/>
          </w:tcPr>
          <w:p>
            <w:pPr>
              <w:pStyle w:val="TableParagraph"/>
              <w:rPr>
                <w:rFonts w:ascii="Times New Roman"/>
                <w:sz w:val="20"/>
              </w:rPr>
            </w:pPr>
          </w:p>
        </w:tc>
        <w:tc>
          <w:tcPr>
            <w:tcW w:w="1196" w:type="dxa"/>
          </w:tcPr>
          <w:p>
            <w:pPr>
              <w:pStyle w:val="TableParagraph"/>
              <w:spacing w:line="248" w:lineRule="exact"/>
              <w:ind w:right="-15"/>
              <w:jc w:val="right"/>
              <w:rPr>
                <w:sz w:val="21"/>
              </w:rPr>
            </w:pPr>
            <w:r>
              <w:rPr>
                <w:w w:val="100"/>
                <w:sz w:val="21"/>
              </w:rPr>
              <w:t> </w:t>
            </w:r>
          </w:p>
        </w:tc>
      </w:tr>
      <w:tr>
        <w:trPr>
          <w:trHeight w:val="273" w:hRule="atLeast"/>
        </w:trPr>
        <w:tc>
          <w:tcPr>
            <w:tcW w:w="1411" w:type="dxa"/>
          </w:tcPr>
          <w:p>
            <w:pPr>
              <w:pStyle w:val="TableParagraph"/>
              <w:spacing w:line="250" w:lineRule="exact" w:before="3"/>
              <w:ind w:right="338"/>
              <w:jc w:val="right"/>
              <w:rPr>
                <w:sz w:val="21"/>
              </w:rPr>
            </w:pPr>
            <w:r>
              <w:rPr>
                <w:w w:val="100"/>
                <w:sz w:val="21"/>
              </w:rPr>
              <w:t> </w:t>
            </w:r>
            <w:r>
              <w:rPr>
                <w:sz w:val="21"/>
              </w:rPr>
              <w:t> </w:t>
            </w:r>
            <w:r>
              <w:rPr>
                <w:w w:val="100"/>
                <w:sz w:val="21"/>
              </w:rPr>
              <w:t> </w:t>
            </w:r>
          </w:p>
        </w:tc>
        <w:tc>
          <w:tcPr>
            <w:tcW w:w="1090" w:type="dxa"/>
          </w:tcPr>
          <w:p>
            <w:pPr>
              <w:pStyle w:val="TableParagraph"/>
              <w:spacing w:line="251" w:lineRule="exact"/>
              <w:ind w:right="-15"/>
              <w:jc w:val="right"/>
              <w:rPr>
                <w:sz w:val="21"/>
              </w:rPr>
            </w:pPr>
            <w:r>
              <w:rPr>
                <w:w w:val="100"/>
                <w:sz w:val="21"/>
              </w:rPr>
              <w:t> </w:t>
            </w:r>
          </w:p>
        </w:tc>
        <w:tc>
          <w:tcPr>
            <w:tcW w:w="823" w:type="dxa"/>
          </w:tcPr>
          <w:p>
            <w:pPr>
              <w:pStyle w:val="TableParagraph"/>
              <w:rPr>
                <w:rFonts w:ascii="Times New Roman"/>
                <w:sz w:val="20"/>
              </w:rPr>
            </w:pPr>
          </w:p>
        </w:tc>
        <w:tc>
          <w:tcPr>
            <w:tcW w:w="1195" w:type="dxa"/>
          </w:tcPr>
          <w:p>
            <w:pPr>
              <w:pStyle w:val="TableParagraph"/>
              <w:rPr>
                <w:rFonts w:ascii="Times New Roman"/>
                <w:sz w:val="20"/>
              </w:rPr>
            </w:pPr>
          </w:p>
        </w:tc>
        <w:tc>
          <w:tcPr>
            <w:tcW w:w="928" w:type="dxa"/>
          </w:tcPr>
          <w:p>
            <w:pPr>
              <w:pStyle w:val="TableParagraph"/>
              <w:rPr>
                <w:rFonts w:ascii="Times New Roman"/>
                <w:sz w:val="20"/>
              </w:rPr>
            </w:pPr>
          </w:p>
        </w:tc>
        <w:tc>
          <w:tcPr>
            <w:tcW w:w="1086" w:type="dxa"/>
          </w:tcPr>
          <w:p>
            <w:pPr>
              <w:pStyle w:val="TableParagraph"/>
              <w:rPr>
                <w:rFonts w:ascii="Times New Roman"/>
                <w:sz w:val="20"/>
              </w:rPr>
            </w:pPr>
          </w:p>
        </w:tc>
        <w:tc>
          <w:tcPr>
            <w:tcW w:w="1089" w:type="dxa"/>
          </w:tcPr>
          <w:p>
            <w:pPr>
              <w:pStyle w:val="TableParagraph"/>
              <w:rPr>
                <w:rFonts w:ascii="Times New Roman"/>
                <w:sz w:val="20"/>
              </w:rPr>
            </w:pPr>
          </w:p>
        </w:tc>
        <w:tc>
          <w:tcPr>
            <w:tcW w:w="1196" w:type="dxa"/>
          </w:tcPr>
          <w:p>
            <w:pPr>
              <w:pStyle w:val="TableParagraph"/>
              <w:spacing w:line="251" w:lineRule="exact"/>
              <w:ind w:right="-15"/>
              <w:jc w:val="right"/>
              <w:rPr>
                <w:sz w:val="21"/>
              </w:rPr>
            </w:pPr>
            <w:r>
              <w:rPr>
                <w:w w:val="100"/>
                <w:sz w:val="21"/>
              </w:rPr>
              <w:t> </w:t>
            </w:r>
          </w:p>
        </w:tc>
      </w:tr>
      <w:tr>
        <w:trPr>
          <w:trHeight w:val="544" w:hRule="atLeast"/>
        </w:trPr>
        <w:tc>
          <w:tcPr>
            <w:tcW w:w="1411" w:type="dxa"/>
          </w:tcPr>
          <w:p>
            <w:pPr>
              <w:pStyle w:val="TableParagraph"/>
              <w:spacing w:before="1"/>
              <w:ind w:left="532"/>
              <w:rPr>
                <w:sz w:val="21"/>
              </w:rPr>
            </w:pPr>
            <w:r>
              <w:rPr>
                <w:sz w:val="21"/>
              </w:rPr>
              <w:t>3.本期</w:t>
            </w:r>
          </w:p>
          <w:p>
            <w:pPr>
              <w:pStyle w:val="TableParagraph"/>
              <w:spacing w:line="250" w:lineRule="exact" w:before="4"/>
              <w:ind w:left="112"/>
              <w:rPr>
                <w:sz w:val="21"/>
              </w:rPr>
            </w:pPr>
            <w:r>
              <w:rPr>
                <w:spacing w:val="-1"/>
                <w:sz w:val="21"/>
              </w:rPr>
              <w:t>减少金额</w:t>
            </w:r>
            <w:r>
              <w:rPr>
                <w:sz w:val="21"/>
              </w:rPr>
              <w:t> </w:t>
            </w:r>
          </w:p>
        </w:tc>
        <w:tc>
          <w:tcPr>
            <w:tcW w:w="1090" w:type="dxa"/>
          </w:tcPr>
          <w:p>
            <w:pPr>
              <w:pStyle w:val="TableParagraph"/>
              <w:spacing w:before="144"/>
              <w:ind w:left="328"/>
              <w:rPr>
                <w:rFonts w:ascii="Times New Roman"/>
                <w:sz w:val="21"/>
              </w:rPr>
            </w:pPr>
            <w:r>
              <w:rPr>
                <w:rFonts w:ascii="Times New Roman"/>
                <w:sz w:val="21"/>
              </w:rPr>
              <w:t>-34,979</w:t>
            </w:r>
          </w:p>
        </w:tc>
        <w:tc>
          <w:tcPr>
            <w:tcW w:w="823" w:type="dxa"/>
          </w:tcPr>
          <w:p>
            <w:pPr>
              <w:pStyle w:val="TableParagraph"/>
              <w:spacing w:before="144"/>
              <w:ind w:right="102"/>
              <w:jc w:val="right"/>
              <w:rPr>
                <w:rFonts w:ascii="Times New Roman"/>
                <w:sz w:val="21"/>
              </w:rPr>
            </w:pPr>
            <w:r>
              <w:rPr>
                <w:rFonts w:ascii="Times New Roman"/>
                <w:w w:val="100"/>
                <w:sz w:val="21"/>
              </w:rPr>
              <w:t>-</w:t>
            </w:r>
          </w:p>
        </w:tc>
        <w:tc>
          <w:tcPr>
            <w:tcW w:w="1195" w:type="dxa"/>
          </w:tcPr>
          <w:p>
            <w:pPr>
              <w:pStyle w:val="TableParagraph"/>
              <w:spacing w:before="144"/>
              <w:ind w:right="100"/>
              <w:jc w:val="right"/>
              <w:rPr>
                <w:rFonts w:ascii="Times New Roman"/>
                <w:sz w:val="21"/>
              </w:rPr>
            </w:pPr>
            <w:r>
              <w:rPr>
                <w:rFonts w:ascii="Times New Roman"/>
                <w:sz w:val="21"/>
              </w:rPr>
              <w:t>401,190</w:t>
            </w:r>
          </w:p>
        </w:tc>
        <w:tc>
          <w:tcPr>
            <w:tcW w:w="928" w:type="dxa"/>
          </w:tcPr>
          <w:p>
            <w:pPr>
              <w:pStyle w:val="TableParagraph"/>
              <w:spacing w:before="144"/>
              <w:ind w:left="344"/>
              <w:rPr>
                <w:rFonts w:ascii="Times New Roman"/>
                <w:sz w:val="21"/>
              </w:rPr>
            </w:pPr>
            <w:r>
              <w:rPr>
                <w:rFonts w:ascii="Times New Roman"/>
                <w:sz w:val="21"/>
              </w:rPr>
              <w:t>3,597</w:t>
            </w:r>
          </w:p>
        </w:tc>
        <w:tc>
          <w:tcPr>
            <w:tcW w:w="1086" w:type="dxa"/>
          </w:tcPr>
          <w:p>
            <w:pPr>
              <w:pStyle w:val="TableParagraph"/>
              <w:spacing w:before="144"/>
              <w:ind w:right="93"/>
              <w:jc w:val="right"/>
              <w:rPr>
                <w:rFonts w:ascii="Times New Roman"/>
                <w:sz w:val="21"/>
              </w:rPr>
            </w:pPr>
            <w:r>
              <w:rPr>
                <w:rFonts w:ascii="Times New Roman"/>
                <w:sz w:val="21"/>
              </w:rPr>
              <w:t>113,510</w:t>
            </w:r>
          </w:p>
        </w:tc>
        <w:tc>
          <w:tcPr>
            <w:tcW w:w="1089" w:type="dxa"/>
          </w:tcPr>
          <w:p>
            <w:pPr>
              <w:pStyle w:val="TableParagraph"/>
              <w:spacing w:before="144"/>
              <w:ind w:right="94"/>
              <w:jc w:val="right"/>
              <w:rPr>
                <w:rFonts w:ascii="Times New Roman"/>
                <w:sz w:val="21"/>
              </w:rPr>
            </w:pPr>
            <w:r>
              <w:rPr>
                <w:rFonts w:ascii="Times New Roman"/>
                <w:sz w:val="21"/>
              </w:rPr>
              <w:t>12,319</w:t>
            </w:r>
          </w:p>
        </w:tc>
        <w:tc>
          <w:tcPr>
            <w:tcW w:w="1196" w:type="dxa"/>
          </w:tcPr>
          <w:p>
            <w:pPr>
              <w:pStyle w:val="TableParagraph"/>
              <w:spacing w:before="144"/>
              <w:ind w:left="407"/>
              <w:rPr>
                <w:rFonts w:ascii="Times New Roman"/>
                <w:sz w:val="21"/>
              </w:rPr>
            </w:pPr>
            <w:r>
              <w:rPr>
                <w:rFonts w:ascii="Times New Roman"/>
                <w:sz w:val="21"/>
              </w:rPr>
              <w:t>495,637</w:t>
            </w:r>
          </w:p>
        </w:tc>
      </w:tr>
      <w:tr>
        <w:trPr>
          <w:trHeight w:val="544" w:hRule="atLeast"/>
        </w:trPr>
        <w:tc>
          <w:tcPr>
            <w:tcW w:w="1411" w:type="dxa"/>
          </w:tcPr>
          <w:p>
            <w:pPr>
              <w:pStyle w:val="TableParagraph"/>
              <w:spacing w:before="1"/>
              <w:ind w:right="127"/>
              <w:jc w:val="right"/>
              <w:rPr>
                <w:sz w:val="21"/>
              </w:rPr>
            </w:pPr>
            <w:r>
              <w:rPr>
                <w:sz w:val="21"/>
              </w:rPr>
              <w:t>（1）</w:t>
            </w:r>
          </w:p>
          <w:p>
            <w:pPr>
              <w:pStyle w:val="TableParagraph"/>
              <w:spacing w:line="250" w:lineRule="exact" w:before="4"/>
              <w:ind w:right="129"/>
              <w:jc w:val="right"/>
              <w:rPr>
                <w:sz w:val="21"/>
              </w:rPr>
            </w:pPr>
            <w:r>
              <w:rPr>
                <w:sz w:val="21"/>
              </w:rPr>
              <w:t>处置或报废 </w:t>
            </w:r>
          </w:p>
        </w:tc>
        <w:tc>
          <w:tcPr>
            <w:tcW w:w="1090" w:type="dxa"/>
          </w:tcPr>
          <w:p>
            <w:pPr>
              <w:pStyle w:val="TableParagraph"/>
              <w:spacing w:before="147"/>
              <w:ind w:right="99"/>
              <w:jc w:val="right"/>
              <w:rPr>
                <w:rFonts w:ascii="Times New Roman"/>
                <w:sz w:val="21"/>
              </w:rPr>
            </w:pPr>
            <w:r>
              <w:rPr>
                <w:rFonts w:ascii="Times New Roman"/>
                <w:w w:val="100"/>
                <w:sz w:val="21"/>
              </w:rPr>
              <w:t>-</w:t>
            </w:r>
          </w:p>
        </w:tc>
        <w:tc>
          <w:tcPr>
            <w:tcW w:w="823" w:type="dxa"/>
          </w:tcPr>
          <w:p>
            <w:pPr>
              <w:pStyle w:val="TableParagraph"/>
              <w:spacing w:before="147"/>
              <w:ind w:right="102"/>
              <w:jc w:val="right"/>
              <w:rPr>
                <w:rFonts w:ascii="Times New Roman"/>
                <w:sz w:val="21"/>
              </w:rPr>
            </w:pPr>
            <w:r>
              <w:rPr>
                <w:rFonts w:ascii="Times New Roman"/>
                <w:w w:val="100"/>
                <w:sz w:val="21"/>
              </w:rPr>
              <w:t>-</w:t>
            </w:r>
          </w:p>
        </w:tc>
        <w:tc>
          <w:tcPr>
            <w:tcW w:w="1195" w:type="dxa"/>
          </w:tcPr>
          <w:p>
            <w:pPr>
              <w:pStyle w:val="TableParagraph"/>
              <w:spacing w:before="147"/>
              <w:ind w:right="100"/>
              <w:jc w:val="right"/>
              <w:rPr>
                <w:rFonts w:ascii="Times New Roman"/>
                <w:sz w:val="21"/>
              </w:rPr>
            </w:pPr>
            <w:r>
              <w:rPr>
                <w:rFonts w:ascii="Times New Roman"/>
                <w:sz w:val="21"/>
              </w:rPr>
              <w:t>471,028</w:t>
            </w:r>
          </w:p>
        </w:tc>
        <w:tc>
          <w:tcPr>
            <w:tcW w:w="928" w:type="dxa"/>
          </w:tcPr>
          <w:p>
            <w:pPr>
              <w:pStyle w:val="TableParagraph"/>
              <w:spacing w:before="147"/>
              <w:ind w:left="344"/>
              <w:rPr>
                <w:rFonts w:ascii="Times New Roman"/>
                <w:sz w:val="21"/>
              </w:rPr>
            </w:pPr>
            <w:r>
              <w:rPr>
                <w:rFonts w:ascii="Times New Roman"/>
                <w:sz w:val="21"/>
              </w:rPr>
              <w:t>4,285</w:t>
            </w:r>
          </w:p>
        </w:tc>
        <w:tc>
          <w:tcPr>
            <w:tcW w:w="1086" w:type="dxa"/>
          </w:tcPr>
          <w:p>
            <w:pPr>
              <w:pStyle w:val="TableParagraph"/>
              <w:spacing w:before="147"/>
              <w:ind w:right="93"/>
              <w:jc w:val="right"/>
              <w:rPr>
                <w:rFonts w:ascii="Times New Roman"/>
                <w:sz w:val="21"/>
              </w:rPr>
            </w:pPr>
            <w:r>
              <w:rPr>
                <w:rFonts w:ascii="Times New Roman"/>
                <w:sz w:val="21"/>
              </w:rPr>
              <w:t>123,301</w:t>
            </w:r>
          </w:p>
        </w:tc>
        <w:tc>
          <w:tcPr>
            <w:tcW w:w="1089" w:type="dxa"/>
          </w:tcPr>
          <w:p>
            <w:pPr>
              <w:pStyle w:val="TableParagraph"/>
              <w:spacing w:before="147"/>
              <w:ind w:right="94"/>
              <w:jc w:val="right"/>
              <w:rPr>
                <w:rFonts w:ascii="Times New Roman"/>
                <w:sz w:val="21"/>
              </w:rPr>
            </w:pPr>
            <w:r>
              <w:rPr>
                <w:rFonts w:ascii="Times New Roman"/>
                <w:sz w:val="21"/>
              </w:rPr>
              <w:t>34,079</w:t>
            </w:r>
          </w:p>
        </w:tc>
        <w:tc>
          <w:tcPr>
            <w:tcW w:w="1196" w:type="dxa"/>
          </w:tcPr>
          <w:p>
            <w:pPr>
              <w:pStyle w:val="TableParagraph"/>
              <w:spacing w:before="147"/>
              <w:ind w:left="407"/>
              <w:rPr>
                <w:rFonts w:ascii="Times New Roman"/>
                <w:sz w:val="21"/>
              </w:rPr>
            </w:pPr>
            <w:r>
              <w:rPr>
                <w:rFonts w:ascii="Times New Roman"/>
                <w:sz w:val="21"/>
              </w:rPr>
              <w:t>632,693</w:t>
            </w:r>
          </w:p>
        </w:tc>
      </w:tr>
      <w:tr>
        <w:trPr>
          <w:trHeight w:val="818" w:hRule="atLeast"/>
        </w:trPr>
        <w:tc>
          <w:tcPr>
            <w:tcW w:w="1411" w:type="dxa"/>
          </w:tcPr>
          <w:p>
            <w:pPr>
              <w:pStyle w:val="TableParagraph"/>
              <w:spacing w:before="1"/>
              <w:ind w:left="743"/>
              <w:rPr>
                <w:sz w:val="21"/>
              </w:rPr>
            </w:pPr>
            <w:r>
              <w:rPr>
                <w:sz w:val="21"/>
              </w:rPr>
              <w:t>（2）</w:t>
            </w:r>
          </w:p>
          <w:p>
            <w:pPr>
              <w:pStyle w:val="TableParagraph"/>
              <w:spacing w:line="270" w:lineRule="atLeast"/>
              <w:ind w:left="112" w:right="232"/>
              <w:rPr>
                <w:sz w:val="21"/>
              </w:rPr>
            </w:pPr>
            <w:r>
              <w:rPr>
                <w:sz w:val="21"/>
              </w:rPr>
              <w:t>外币报表折算差异 </w:t>
            </w:r>
          </w:p>
        </w:tc>
        <w:tc>
          <w:tcPr>
            <w:tcW w:w="1090" w:type="dxa"/>
          </w:tcPr>
          <w:p>
            <w:pPr>
              <w:pStyle w:val="TableParagraph"/>
              <w:spacing w:line="235" w:lineRule="exact"/>
              <w:ind w:left="328"/>
              <w:rPr>
                <w:rFonts w:ascii="Times New Roman"/>
                <w:sz w:val="21"/>
              </w:rPr>
            </w:pPr>
            <w:r>
              <w:rPr>
                <w:rFonts w:ascii="Times New Roman"/>
                <w:sz w:val="21"/>
              </w:rPr>
              <w:t>-34,979</w:t>
            </w:r>
          </w:p>
        </w:tc>
        <w:tc>
          <w:tcPr>
            <w:tcW w:w="823" w:type="dxa"/>
          </w:tcPr>
          <w:p>
            <w:pPr>
              <w:pStyle w:val="TableParagraph"/>
              <w:spacing w:line="235" w:lineRule="exact"/>
              <w:ind w:right="102"/>
              <w:jc w:val="right"/>
              <w:rPr>
                <w:rFonts w:ascii="Times New Roman"/>
                <w:sz w:val="21"/>
              </w:rPr>
            </w:pPr>
            <w:r>
              <w:rPr>
                <w:rFonts w:ascii="Times New Roman"/>
                <w:w w:val="100"/>
                <w:sz w:val="21"/>
              </w:rPr>
              <w:t>-</w:t>
            </w:r>
          </w:p>
        </w:tc>
        <w:tc>
          <w:tcPr>
            <w:tcW w:w="1195" w:type="dxa"/>
          </w:tcPr>
          <w:p>
            <w:pPr>
              <w:pStyle w:val="TableParagraph"/>
              <w:spacing w:line="235" w:lineRule="exact"/>
              <w:ind w:right="102"/>
              <w:jc w:val="right"/>
              <w:rPr>
                <w:rFonts w:ascii="Times New Roman"/>
                <w:sz w:val="21"/>
              </w:rPr>
            </w:pPr>
            <w:r>
              <w:rPr>
                <w:rFonts w:ascii="Times New Roman"/>
                <w:sz w:val="21"/>
              </w:rPr>
              <w:t>-69,838</w:t>
            </w:r>
          </w:p>
        </w:tc>
        <w:tc>
          <w:tcPr>
            <w:tcW w:w="928" w:type="dxa"/>
          </w:tcPr>
          <w:p>
            <w:pPr>
              <w:pStyle w:val="TableParagraph"/>
              <w:spacing w:line="235" w:lineRule="exact"/>
              <w:ind w:left="432"/>
              <w:rPr>
                <w:rFonts w:ascii="Times New Roman"/>
                <w:sz w:val="21"/>
              </w:rPr>
            </w:pPr>
            <w:r>
              <w:rPr>
                <w:rFonts w:ascii="Times New Roman"/>
                <w:sz w:val="21"/>
              </w:rPr>
              <w:t>-688</w:t>
            </w:r>
          </w:p>
        </w:tc>
        <w:tc>
          <w:tcPr>
            <w:tcW w:w="1086" w:type="dxa"/>
          </w:tcPr>
          <w:p>
            <w:pPr>
              <w:pStyle w:val="TableParagraph"/>
              <w:spacing w:line="235" w:lineRule="exact"/>
              <w:ind w:right="95"/>
              <w:jc w:val="right"/>
              <w:rPr>
                <w:rFonts w:ascii="Times New Roman"/>
                <w:sz w:val="21"/>
              </w:rPr>
            </w:pPr>
            <w:r>
              <w:rPr>
                <w:rFonts w:ascii="Times New Roman"/>
                <w:sz w:val="21"/>
              </w:rPr>
              <w:t>-9,791</w:t>
            </w:r>
          </w:p>
        </w:tc>
        <w:tc>
          <w:tcPr>
            <w:tcW w:w="1089" w:type="dxa"/>
          </w:tcPr>
          <w:p>
            <w:pPr>
              <w:pStyle w:val="TableParagraph"/>
              <w:spacing w:line="235" w:lineRule="exact"/>
              <w:ind w:right="97"/>
              <w:jc w:val="right"/>
              <w:rPr>
                <w:rFonts w:ascii="Times New Roman"/>
                <w:sz w:val="21"/>
              </w:rPr>
            </w:pPr>
            <w:r>
              <w:rPr>
                <w:rFonts w:ascii="Times New Roman"/>
                <w:sz w:val="21"/>
              </w:rPr>
              <w:t>-21,760</w:t>
            </w:r>
          </w:p>
        </w:tc>
        <w:tc>
          <w:tcPr>
            <w:tcW w:w="1196" w:type="dxa"/>
          </w:tcPr>
          <w:p>
            <w:pPr>
              <w:pStyle w:val="TableParagraph"/>
              <w:spacing w:line="235" w:lineRule="exact"/>
              <w:ind w:left="335"/>
              <w:rPr>
                <w:rFonts w:ascii="Times New Roman"/>
                <w:sz w:val="21"/>
              </w:rPr>
            </w:pPr>
            <w:r>
              <w:rPr>
                <w:rFonts w:ascii="Times New Roman"/>
                <w:sz w:val="21"/>
              </w:rPr>
              <w:t>-137,056</w:t>
            </w:r>
          </w:p>
        </w:tc>
      </w:tr>
      <w:tr>
        <w:trPr>
          <w:trHeight w:val="273" w:hRule="atLeast"/>
        </w:trPr>
        <w:tc>
          <w:tcPr>
            <w:tcW w:w="1411" w:type="dxa"/>
          </w:tcPr>
          <w:p>
            <w:pPr>
              <w:pStyle w:val="TableParagraph"/>
              <w:spacing w:line="252" w:lineRule="exact" w:before="1"/>
              <w:ind w:right="338"/>
              <w:jc w:val="right"/>
              <w:rPr>
                <w:sz w:val="21"/>
              </w:rPr>
            </w:pPr>
            <w:r>
              <w:rPr>
                <w:w w:val="100"/>
                <w:sz w:val="21"/>
              </w:rPr>
              <w:t> </w:t>
            </w:r>
            <w:r>
              <w:rPr>
                <w:sz w:val="21"/>
              </w:rPr>
              <w:t> </w:t>
            </w:r>
            <w:r>
              <w:rPr>
                <w:w w:val="100"/>
                <w:sz w:val="21"/>
              </w:rPr>
              <w:t> </w:t>
            </w:r>
          </w:p>
        </w:tc>
        <w:tc>
          <w:tcPr>
            <w:tcW w:w="1090" w:type="dxa"/>
          </w:tcPr>
          <w:p>
            <w:pPr>
              <w:pStyle w:val="TableParagraph"/>
              <w:spacing w:line="248" w:lineRule="exact"/>
              <w:ind w:right="-15"/>
              <w:jc w:val="right"/>
              <w:rPr>
                <w:sz w:val="21"/>
              </w:rPr>
            </w:pPr>
            <w:r>
              <w:rPr>
                <w:w w:val="100"/>
                <w:sz w:val="21"/>
              </w:rPr>
              <w:t> </w:t>
            </w:r>
          </w:p>
        </w:tc>
        <w:tc>
          <w:tcPr>
            <w:tcW w:w="823" w:type="dxa"/>
          </w:tcPr>
          <w:p>
            <w:pPr>
              <w:pStyle w:val="TableParagraph"/>
              <w:rPr>
                <w:rFonts w:ascii="Times New Roman"/>
                <w:sz w:val="20"/>
              </w:rPr>
            </w:pPr>
          </w:p>
        </w:tc>
        <w:tc>
          <w:tcPr>
            <w:tcW w:w="1195" w:type="dxa"/>
          </w:tcPr>
          <w:p>
            <w:pPr>
              <w:pStyle w:val="TableParagraph"/>
              <w:rPr>
                <w:rFonts w:ascii="Times New Roman"/>
                <w:sz w:val="20"/>
              </w:rPr>
            </w:pPr>
          </w:p>
        </w:tc>
        <w:tc>
          <w:tcPr>
            <w:tcW w:w="928" w:type="dxa"/>
          </w:tcPr>
          <w:p>
            <w:pPr>
              <w:pStyle w:val="TableParagraph"/>
              <w:rPr>
                <w:rFonts w:ascii="Times New Roman"/>
                <w:sz w:val="20"/>
              </w:rPr>
            </w:pPr>
          </w:p>
        </w:tc>
        <w:tc>
          <w:tcPr>
            <w:tcW w:w="1086" w:type="dxa"/>
          </w:tcPr>
          <w:p>
            <w:pPr>
              <w:pStyle w:val="TableParagraph"/>
              <w:rPr>
                <w:rFonts w:ascii="Times New Roman"/>
                <w:sz w:val="20"/>
              </w:rPr>
            </w:pPr>
          </w:p>
        </w:tc>
        <w:tc>
          <w:tcPr>
            <w:tcW w:w="1089" w:type="dxa"/>
          </w:tcPr>
          <w:p>
            <w:pPr>
              <w:pStyle w:val="TableParagraph"/>
              <w:rPr>
                <w:rFonts w:ascii="Times New Roman"/>
                <w:sz w:val="20"/>
              </w:rPr>
            </w:pPr>
          </w:p>
        </w:tc>
        <w:tc>
          <w:tcPr>
            <w:tcW w:w="1196" w:type="dxa"/>
          </w:tcPr>
          <w:p>
            <w:pPr>
              <w:pStyle w:val="TableParagraph"/>
              <w:spacing w:line="248" w:lineRule="exact"/>
              <w:ind w:right="-15"/>
              <w:jc w:val="right"/>
              <w:rPr>
                <w:sz w:val="21"/>
              </w:rPr>
            </w:pPr>
            <w:r>
              <w:rPr>
                <w:w w:val="100"/>
                <w:sz w:val="21"/>
              </w:rPr>
              <w:t> </w:t>
            </w:r>
          </w:p>
        </w:tc>
      </w:tr>
      <w:tr>
        <w:trPr>
          <w:trHeight w:val="544" w:hRule="atLeast"/>
        </w:trPr>
        <w:tc>
          <w:tcPr>
            <w:tcW w:w="1411" w:type="dxa"/>
          </w:tcPr>
          <w:p>
            <w:pPr>
              <w:pStyle w:val="TableParagraph"/>
              <w:spacing w:before="1"/>
              <w:ind w:left="532"/>
              <w:rPr>
                <w:sz w:val="21"/>
              </w:rPr>
            </w:pPr>
            <w:r>
              <w:rPr>
                <w:sz w:val="21"/>
              </w:rPr>
              <w:t>4.期末</w:t>
            </w:r>
          </w:p>
          <w:p>
            <w:pPr>
              <w:pStyle w:val="TableParagraph"/>
              <w:spacing w:line="252" w:lineRule="exact" w:before="2"/>
              <w:ind w:left="112"/>
              <w:rPr>
                <w:sz w:val="21"/>
              </w:rPr>
            </w:pPr>
            <w:r>
              <w:rPr>
                <w:sz w:val="21"/>
              </w:rPr>
              <w:t>余额 </w:t>
            </w:r>
          </w:p>
        </w:tc>
        <w:tc>
          <w:tcPr>
            <w:tcW w:w="1090" w:type="dxa"/>
          </w:tcPr>
          <w:p>
            <w:pPr>
              <w:pStyle w:val="TableParagraph"/>
              <w:spacing w:before="24"/>
              <w:ind w:left="136" w:right="83" w:firstLine="771"/>
              <w:rPr>
                <w:rFonts w:ascii="Times New Roman"/>
                <w:sz w:val="21"/>
              </w:rPr>
            </w:pPr>
            <w:r>
              <w:rPr>
                <w:rFonts w:ascii="Times New Roman"/>
                <w:sz w:val="21"/>
              </w:rPr>
              <w:t>-</w:t>
            </w:r>
            <w:r>
              <w:rPr>
                <w:rFonts w:ascii="Times New Roman"/>
                <w:spacing w:val="-50"/>
                <w:sz w:val="21"/>
              </w:rPr>
              <w:t> </w:t>
            </w:r>
            <w:r>
              <w:rPr>
                <w:rFonts w:ascii="Times New Roman"/>
                <w:sz w:val="21"/>
              </w:rPr>
              <w:t>1,369,600</w:t>
            </w:r>
          </w:p>
        </w:tc>
        <w:tc>
          <w:tcPr>
            <w:tcW w:w="823" w:type="dxa"/>
          </w:tcPr>
          <w:p>
            <w:pPr>
              <w:pStyle w:val="TableParagraph"/>
              <w:spacing w:before="144"/>
              <w:ind w:right="102"/>
              <w:jc w:val="right"/>
              <w:rPr>
                <w:rFonts w:ascii="Times New Roman"/>
                <w:sz w:val="21"/>
              </w:rPr>
            </w:pPr>
            <w:r>
              <w:rPr>
                <w:rFonts w:ascii="Times New Roman"/>
                <w:w w:val="100"/>
                <w:sz w:val="21"/>
              </w:rPr>
              <w:t>-</w:t>
            </w:r>
          </w:p>
        </w:tc>
        <w:tc>
          <w:tcPr>
            <w:tcW w:w="1195" w:type="dxa"/>
          </w:tcPr>
          <w:p>
            <w:pPr>
              <w:pStyle w:val="TableParagraph"/>
              <w:spacing w:before="24"/>
              <w:ind w:left="134" w:right="85" w:firstLine="876"/>
              <w:rPr>
                <w:rFonts w:ascii="Times New Roman"/>
                <w:sz w:val="21"/>
              </w:rPr>
            </w:pPr>
            <w:r>
              <w:rPr>
                <w:rFonts w:ascii="Times New Roman"/>
                <w:sz w:val="21"/>
              </w:rPr>
              <w:t>-</w:t>
            </w:r>
            <w:r>
              <w:rPr>
                <w:rFonts w:ascii="Times New Roman"/>
                <w:spacing w:val="-50"/>
                <w:sz w:val="21"/>
              </w:rPr>
              <w:t> </w:t>
            </w:r>
            <w:r>
              <w:rPr>
                <w:rFonts w:ascii="Times New Roman"/>
                <w:sz w:val="21"/>
              </w:rPr>
              <w:t>21,704,072</w:t>
            </w:r>
          </w:p>
        </w:tc>
        <w:tc>
          <w:tcPr>
            <w:tcW w:w="928" w:type="dxa"/>
          </w:tcPr>
          <w:p>
            <w:pPr>
              <w:pStyle w:val="TableParagraph"/>
              <w:spacing w:before="144"/>
              <w:ind w:left="168"/>
              <w:rPr>
                <w:rFonts w:ascii="Times New Roman"/>
                <w:sz w:val="21"/>
              </w:rPr>
            </w:pPr>
            <w:r>
              <w:rPr>
                <w:rFonts w:ascii="Times New Roman"/>
                <w:sz w:val="21"/>
              </w:rPr>
              <w:t>-86,541</w:t>
            </w:r>
          </w:p>
        </w:tc>
        <w:tc>
          <w:tcPr>
            <w:tcW w:w="1086" w:type="dxa"/>
          </w:tcPr>
          <w:p>
            <w:pPr>
              <w:pStyle w:val="TableParagraph"/>
              <w:spacing w:before="24"/>
              <w:ind w:left="138" w:right="78" w:firstLine="770"/>
              <w:rPr>
                <w:rFonts w:ascii="Times New Roman"/>
                <w:sz w:val="21"/>
              </w:rPr>
            </w:pPr>
            <w:r>
              <w:rPr>
                <w:rFonts w:ascii="Times New Roman"/>
                <w:sz w:val="21"/>
              </w:rPr>
              <w:t>-</w:t>
            </w:r>
            <w:r>
              <w:rPr>
                <w:rFonts w:ascii="Times New Roman"/>
                <w:spacing w:val="-50"/>
                <w:sz w:val="21"/>
              </w:rPr>
              <w:t> </w:t>
            </w:r>
            <w:r>
              <w:rPr>
                <w:rFonts w:ascii="Times New Roman"/>
                <w:sz w:val="21"/>
              </w:rPr>
              <w:t>2,116,872</w:t>
            </w:r>
          </w:p>
        </w:tc>
        <w:tc>
          <w:tcPr>
            <w:tcW w:w="1089" w:type="dxa"/>
          </w:tcPr>
          <w:p>
            <w:pPr>
              <w:pStyle w:val="TableParagraph"/>
              <w:spacing w:before="24"/>
              <w:ind w:left="139" w:right="79" w:firstLine="771"/>
              <w:rPr>
                <w:rFonts w:ascii="Times New Roman"/>
                <w:sz w:val="21"/>
              </w:rPr>
            </w:pPr>
            <w:r>
              <w:rPr>
                <w:rFonts w:ascii="Times New Roman"/>
                <w:sz w:val="21"/>
              </w:rPr>
              <w:t>-</w:t>
            </w:r>
            <w:r>
              <w:rPr>
                <w:rFonts w:ascii="Times New Roman"/>
                <w:spacing w:val="-50"/>
                <w:sz w:val="21"/>
              </w:rPr>
              <w:t> </w:t>
            </w:r>
            <w:r>
              <w:rPr>
                <w:rFonts w:ascii="Times New Roman"/>
                <w:sz w:val="21"/>
              </w:rPr>
              <w:t>1,071,228</w:t>
            </w:r>
          </w:p>
        </w:tc>
        <w:tc>
          <w:tcPr>
            <w:tcW w:w="1196" w:type="dxa"/>
          </w:tcPr>
          <w:p>
            <w:pPr>
              <w:pStyle w:val="TableParagraph"/>
              <w:spacing w:before="24"/>
              <w:ind w:left="143" w:right="77" w:firstLine="876"/>
              <w:rPr>
                <w:rFonts w:ascii="Times New Roman"/>
                <w:sz w:val="21"/>
              </w:rPr>
            </w:pPr>
            <w:r>
              <w:rPr>
                <w:rFonts w:ascii="Times New Roman"/>
                <w:sz w:val="21"/>
              </w:rPr>
              <w:t>-</w:t>
            </w:r>
            <w:r>
              <w:rPr>
                <w:rFonts w:ascii="Times New Roman"/>
                <w:spacing w:val="-50"/>
                <w:sz w:val="21"/>
              </w:rPr>
              <w:t> </w:t>
            </w:r>
            <w:r>
              <w:rPr>
                <w:rFonts w:ascii="Times New Roman"/>
                <w:sz w:val="21"/>
              </w:rPr>
              <w:t>26,348,313</w:t>
            </w:r>
          </w:p>
        </w:tc>
      </w:tr>
      <w:tr>
        <w:trPr>
          <w:trHeight w:val="270" w:hRule="atLeast"/>
        </w:trPr>
        <w:tc>
          <w:tcPr>
            <w:tcW w:w="8818" w:type="dxa"/>
            <w:gridSpan w:val="8"/>
          </w:tcPr>
          <w:p>
            <w:pPr>
              <w:pStyle w:val="TableParagraph"/>
              <w:spacing w:line="250" w:lineRule="exact" w:before="1"/>
              <w:ind w:left="112"/>
              <w:rPr>
                <w:sz w:val="21"/>
              </w:rPr>
            </w:pPr>
            <w:r>
              <w:rPr>
                <w:sz w:val="21"/>
              </w:rPr>
              <w:t>三、减值准备</w:t>
            </w:r>
          </w:p>
        </w:tc>
      </w:tr>
      <w:tr>
        <w:trPr>
          <w:trHeight w:val="544" w:hRule="atLeast"/>
        </w:trPr>
        <w:tc>
          <w:tcPr>
            <w:tcW w:w="1411" w:type="dxa"/>
          </w:tcPr>
          <w:p>
            <w:pPr>
              <w:pStyle w:val="TableParagraph"/>
              <w:spacing w:before="1"/>
              <w:ind w:left="532"/>
              <w:rPr>
                <w:sz w:val="21"/>
              </w:rPr>
            </w:pPr>
            <w:r>
              <w:rPr>
                <w:sz w:val="21"/>
              </w:rPr>
              <w:t>1.期初</w:t>
            </w:r>
          </w:p>
          <w:p>
            <w:pPr>
              <w:pStyle w:val="TableParagraph"/>
              <w:spacing w:line="250" w:lineRule="exact" w:before="4"/>
              <w:ind w:left="112"/>
              <w:rPr>
                <w:sz w:val="21"/>
              </w:rPr>
            </w:pPr>
            <w:r>
              <w:rPr>
                <w:sz w:val="21"/>
              </w:rPr>
              <w:t>余额 </w:t>
            </w:r>
          </w:p>
        </w:tc>
        <w:tc>
          <w:tcPr>
            <w:tcW w:w="1090" w:type="dxa"/>
          </w:tcPr>
          <w:p>
            <w:pPr>
              <w:pStyle w:val="TableParagraph"/>
              <w:rPr>
                <w:rFonts w:ascii="Times New Roman"/>
                <w:sz w:val="20"/>
              </w:rPr>
            </w:pPr>
          </w:p>
        </w:tc>
        <w:tc>
          <w:tcPr>
            <w:tcW w:w="823" w:type="dxa"/>
          </w:tcPr>
          <w:p>
            <w:pPr>
              <w:pStyle w:val="TableParagraph"/>
              <w:rPr>
                <w:rFonts w:ascii="Times New Roman"/>
                <w:sz w:val="20"/>
              </w:rPr>
            </w:pPr>
          </w:p>
        </w:tc>
        <w:tc>
          <w:tcPr>
            <w:tcW w:w="1195" w:type="dxa"/>
          </w:tcPr>
          <w:p>
            <w:pPr>
              <w:pStyle w:val="TableParagraph"/>
              <w:rPr>
                <w:rFonts w:ascii="Times New Roman"/>
                <w:sz w:val="20"/>
              </w:rPr>
            </w:pPr>
          </w:p>
        </w:tc>
        <w:tc>
          <w:tcPr>
            <w:tcW w:w="928" w:type="dxa"/>
          </w:tcPr>
          <w:p>
            <w:pPr>
              <w:pStyle w:val="TableParagraph"/>
              <w:rPr>
                <w:rFonts w:ascii="Times New Roman"/>
                <w:sz w:val="20"/>
              </w:rPr>
            </w:pPr>
          </w:p>
        </w:tc>
        <w:tc>
          <w:tcPr>
            <w:tcW w:w="1086" w:type="dxa"/>
          </w:tcPr>
          <w:p>
            <w:pPr>
              <w:pStyle w:val="TableParagraph"/>
              <w:rPr>
                <w:rFonts w:ascii="Times New Roman"/>
                <w:sz w:val="20"/>
              </w:rPr>
            </w:pPr>
          </w:p>
        </w:tc>
        <w:tc>
          <w:tcPr>
            <w:tcW w:w="1089" w:type="dxa"/>
          </w:tcPr>
          <w:p>
            <w:pPr>
              <w:pStyle w:val="TableParagraph"/>
              <w:rPr>
                <w:rFonts w:ascii="Times New Roman"/>
                <w:sz w:val="20"/>
              </w:rPr>
            </w:pPr>
          </w:p>
        </w:tc>
        <w:tc>
          <w:tcPr>
            <w:tcW w:w="1196" w:type="dxa"/>
          </w:tcPr>
          <w:p>
            <w:pPr>
              <w:pStyle w:val="TableParagraph"/>
              <w:rPr>
                <w:rFonts w:ascii="Times New Roman"/>
                <w:sz w:val="20"/>
              </w:rPr>
            </w:pPr>
          </w:p>
        </w:tc>
      </w:tr>
      <w:tr>
        <w:trPr>
          <w:trHeight w:val="546" w:hRule="atLeast"/>
        </w:trPr>
        <w:tc>
          <w:tcPr>
            <w:tcW w:w="1411" w:type="dxa"/>
          </w:tcPr>
          <w:p>
            <w:pPr>
              <w:pStyle w:val="TableParagraph"/>
              <w:spacing w:line="270" w:lineRule="atLeast"/>
              <w:ind w:left="112" w:right="232" w:firstLine="419"/>
              <w:rPr>
                <w:sz w:val="21"/>
              </w:rPr>
            </w:pPr>
            <w:r>
              <w:rPr>
                <w:sz w:val="21"/>
              </w:rPr>
              <w:t>2.本期增加金额 </w:t>
            </w:r>
          </w:p>
        </w:tc>
        <w:tc>
          <w:tcPr>
            <w:tcW w:w="1090" w:type="dxa"/>
          </w:tcPr>
          <w:p>
            <w:pPr>
              <w:pStyle w:val="TableParagraph"/>
              <w:rPr>
                <w:rFonts w:ascii="Times New Roman"/>
                <w:sz w:val="20"/>
              </w:rPr>
            </w:pPr>
          </w:p>
        </w:tc>
        <w:tc>
          <w:tcPr>
            <w:tcW w:w="823" w:type="dxa"/>
          </w:tcPr>
          <w:p>
            <w:pPr>
              <w:pStyle w:val="TableParagraph"/>
              <w:rPr>
                <w:rFonts w:ascii="Times New Roman"/>
                <w:sz w:val="20"/>
              </w:rPr>
            </w:pPr>
          </w:p>
        </w:tc>
        <w:tc>
          <w:tcPr>
            <w:tcW w:w="1195" w:type="dxa"/>
          </w:tcPr>
          <w:p>
            <w:pPr>
              <w:pStyle w:val="TableParagraph"/>
              <w:rPr>
                <w:rFonts w:ascii="Times New Roman"/>
                <w:sz w:val="20"/>
              </w:rPr>
            </w:pPr>
          </w:p>
        </w:tc>
        <w:tc>
          <w:tcPr>
            <w:tcW w:w="928" w:type="dxa"/>
          </w:tcPr>
          <w:p>
            <w:pPr>
              <w:pStyle w:val="TableParagraph"/>
              <w:rPr>
                <w:rFonts w:ascii="Times New Roman"/>
                <w:sz w:val="20"/>
              </w:rPr>
            </w:pPr>
          </w:p>
        </w:tc>
        <w:tc>
          <w:tcPr>
            <w:tcW w:w="1086" w:type="dxa"/>
          </w:tcPr>
          <w:p>
            <w:pPr>
              <w:pStyle w:val="TableParagraph"/>
              <w:rPr>
                <w:rFonts w:ascii="Times New Roman"/>
                <w:sz w:val="20"/>
              </w:rPr>
            </w:pPr>
          </w:p>
        </w:tc>
        <w:tc>
          <w:tcPr>
            <w:tcW w:w="1089" w:type="dxa"/>
          </w:tcPr>
          <w:p>
            <w:pPr>
              <w:pStyle w:val="TableParagraph"/>
              <w:rPr>
                <w:rFonts w:ascii="Times New Roman"/>
                <w:sz w:val="20"/>
              </w:rPr>
            </w:pPr>
          </w:p>
        </w:tc>
        <w:tc>
          <w:tcPr>
            <w:tcW w:w="1196" w:type="dxa"/>
          </w:tcPr>
          <w:p>
            <w:pPr>
              <w:pStyle w:val="TableParagraph"/>
              <w:rPr>
                <w:rFonts w:ascii="Times New Roman"/>
                <w:sz w:val="20"/>
              </w:rPr>
            </w:pPr>
          </w:p>
        </w:tc>
      </w:tr>
      <w:tr>
        <w:trPr>
          <w:trHeight w:val="544" w:hRule="atLeast"/>
        </w:trPr>
        <w:tc>
          <w:tcPr>
            <w:tcW w:w="1411" w:type="dxa"/>
          </w:tcPr>
          <w:p>
            <w:pPr>
              <w:pStyle w:val="TableParagraph"/>
              <w:spacing w:before="1"/>
              <w:ind w:left="743"/>
              <w:rPr>
                <w:sz w:val="21"/>
              </w:rPr>
            </w:pPr>
            <w:r>
              <w:rPr>
                <w:sz w:val="21"/>
              </w:rPr>
              <w:t>（1）</w:t>
            </w:r>
          </w:p>
          <w:p>
            <w:pPr>
              <w:pStyle w:val="TableParagraph"/>
              <w:spacing w:line="252" w:lineRule="exact" w:before="2"/>
              <w:ind w:left="112"/>
              <w:rPr>
                <w:sz w:val="21"/>
              </w:rPr>
            </w:pPr>
            <w:r>
              <w:rPr>
                <w:sz w:val="21"/>
              </w:rPr>
              <w:t>计提 </w:t>
            </w:r>
          </w:p>
        </w:tc>
        <w:tc>
          <w:tcPr>
            <w:tcW w:w="1090" w:type="dxa"/>
          </w:tcPr>
          <w:p>
            <w:pPr>
              <w:pStyle w:val="TableParagraph"/>
              <w:rPr>
                <w:rFonts w:ascii="Times New Roman"/>
                <w:sz w:val="20"/>
              </w:rPr>
            </w:pPr>
          </w:p>
        </w:tc>
        <w:tc>
          <w:tcPr>
            <w:tcW w:w="823" w:type="dxa"/>
          </w:tcPr>
          <w:p>
            <w:pPr>
              <w:pStyle w:val="TableParagraph"/>
              <w:rPr>
                <w:rFonts w:ascii="Times New Roman"/>
                <w:sz w:val="20"/>
              </w:rPr>
            </w:pPr>
          </w:p>
        </w:tc>
        <w:tc>
          <w:tcPr>
            <w:tcW w:w="1195" w:type="dxa"/>
          </w:tcPr>
          <w:p>
            <w:pPr>
              <w:pStyle w:val="TableParagraph"/>
              <w:rPr>
                <w:rFonts w:ascii="Times New Roman"/>
                <w:sz w:val="20"/>
              </w:rPr>
            </w:pPr>
          </w:p>
        </w:tc>
        <w:tc>
          <w:tcPr>
            <w:tcW w:w="928" w:type="dxa"/>
          </w:tcPr>
          <w:p>
            <w:pPr>
              <w:pStyle w:val="TableParagraph"/>
              <w:rPr>
                <w:rFonts w:ascii="Times New Roman"/>
                <w:sz w:val="20"/>
              </w:rPr>
            </w:pPr>
          </w:p>
        </w:tc>
        <w:tc>
          <w:tcPr>
            <w:tcW w:w="1086" w:type="dxa"/>
          </w:tcPr>
          <w:p>
            <w:pPr>
              <w:pStyle w:val="TableParagraph"/>
              <w:rPr>
                <w:rFonts w:ascii="Times New Roman"/>
                <w:sz w:val="20"/>
              </w:rPr>
            </w:pPr>
          </w:p>
        </w:tc>
        <w:tc>
          <w:tcPr>
            <w:tcW w:w="1089" w:type="dxa"/>
          </w:tcPr>
          <w:p>
            <w:pPr>
              <w:pStyle w:val="TableParagraph"/>
              <w:rPr>
                <w:rFonts w:ascii="Times New Roman"/>
                <w:sz w:val="20"/>
              </w:rPr>
            </w:pPr>
          </w:p>
        </w:tc>
        <w:tc>
          <w:tcPr>
            <w:tcW w:w="1196" w:type="dxa"/>
          </w:tcPr>
          <w:p>
            <w:pPr>
              <w:pStyle w:val="TableParagraph"/>
              <w:rPr>
                <w:rFonts w:ascii="Times New Roman"/>
                <w:sz w:val="20"/>
              </w:rPr>
            </w:pPr>
          </w:p>
        </w:tc>
      </w:tr>
      <w:tr>
        <w:trPr>
          <w:trHeight w:val="270" w:hRule="atLeast"/>
        </w:trPr>
        <w:tc>
          <w:tcPr>
            <w:tcW w:w="1411" w:type="dxa"/>
          </w:tcPr>
          <w:p>
            <w:pPr>
              <w:pStyle w:val="TableParagraph"/>
              <w:spacing w:line="250" w:lineRule="exact" w:before="1"/>
              <w:ind w:right="338"/>
              <w:jc w:val="right"/>
              <w:rPr>
                <w:sz w:val="21"/>
              </w:rPr>
            </w:pPr>
            <w:r>
              <w:rPr>
                <w:w w:val="100"/>
                <w:sz w:val="21"/>
              </w:rPr>
              <w:t> </w:t>
            </w:r>
            <w:r>
              <w:rPr>
                <w:sz w:val="21"/>
              </w:rPr>
              <w:t> </w:t>
            </w:r>
            <w:r>
              <w:rPr>
                <w:w w:val="100"/>
                <w:sz w:val="21"/>
              </w:rPr>
              <w:t> </w:t>
            </w:r>
          </w:p>
        </w:tc>
        <w:tc>
          <w:tcPr>
            <w:tcW w:w="1090" w:type="dxa"/>
          </w:tcPr>
          <w:p>
            <w:pPr>
              <w:pStyle w:val="TableParagraph"/>
              <w:spacing w:line="248" w:lineRule="exact"/>
              <w:ind w:right="-15"/>
              <w:jc w:val="right"/>
              <w:rPr>
                <w:sz w:val="21"/>
              </w:rPr>
            </w:pPr>
            <w:r>
              <w:rPr>
                <w:w w:val="100"/>
                <w:sz w:val="21"/>
              </w:rPr>
              <w:t> </w:t>
            </w:r>
          </w:p>
        </w:tc>
        <w:tc>
          <w:tcPr>
            <w:tcW w:w="823" w:type="dxa"/>
          </w:tcPr>
          <w:p>
            <w:pPr>
              <w:pStyle w:val="TableParagraph"/>
              <w:spacing w:line="248" w:lineRule="exact"/>
              <w:ind w:right="-15"/>
              <w:jc w:val="right"/>
              <w:rPr>
                <w:sz w:val="21"/>
              </w:rPr>
            </w:pPr>
            <w:r>
              <w:rPr>
                <w:w w:val="100"/>
                <w:sz w:val="21"/>
              </w:rPr>
              <w:t> </w:t>
            </w:r>
          </w:p>
        </w:tc>
        <w:tc>
          <w:tcPr>
            <w:tcW w:w="1195" w:type="dxa"/>
          </w:tcPr>
          <w:p>
            <w:pPr>
              <w:pStyle w:val="TableParagraph"/>
              <w:spacing w:line="248" w:lineRule="exact"/>
              <w:ind w:right="-15"/>
              <w:jc w:val="right"/>
              <w:rPr>
                <w:sz w:val="21"/>
              </w:rPr>
            </w:pPr>
            <w:r>
              <w:rPr>
                <w:w w:val="100"/>
                <w:sz w:val="21"/>
              </w:rPr>
              <w:t> </w:t>
            </w:r>
          </w:p>
        </w:tc>
        <w:tc>
          <w:tcPr>
            <w:tcW w:w="928" w:type="dxa"/>
          </w:tcPr>
          <w:p>
            <w:pPr>
              <w:pStyle w:val="TableParagraph"/>
              <w:spacing w:line="248" w:lineRule="exact"/>
              <w:ind w:right="-15"/>
              <w:jc w:val="right"/>
              <w:rPr>
                <w:sz w:val="21"/>
              </w:rPr>
            </w:pPr>
            <w:r>
              <w:rPr>
                <w:w w:val="100"/>
                <w:sz w:val="21"/>
              </w:rPr>
              <w:t> </w:t>
            </w:r>
          </w:p>
        </w:tc>
        <w:tc>
          <w:tcPr>
            <w:tcW w:w="1086" w:type="dxa"/>
          </w:tcPr>
          <w:p>
            <w:pPr>
              <w:pStyle w:val="TableParagraph"/>
              <w:rPr>
                <w:rFonts w:ascii="Times New Roman"/>
                <w:sz w:val="20"/>
              </w:rPr>
            </w:pPr>
          </w:p>
        </w:tc>
        <w:tc>
          <w:tcPr>
            <w:tcW w:w="1089" w:type="dxa"/>
          </w:tcPr>
          <w:p>
            <w:pPr>
              <w:pStyle w:val="TableParagraph"/>
              <w:rPr>
                <w:rFonts w:ascii="Times New Roman"/>
                <w:sz w:val="20"/>
              </w:rPr>
            </w:pPr>
          </w:p>
        </w:tc>
        <w:tc>
          <w:tcPr>
            <w:tcW w:w="1196" w:type="dxa"/>
          </w:tcPr>
          <w:p>
            <w:pPr>
              <w:pStyle w:val="TableParagraph"/>
              <w:spacing w:line="248" w:lineRule="exact"/>
              <w:ind w:right="-15"/>
              <w:jc w:val="right"/>
              <w:rPr>
                <w:sz w:val="21"/>
              </w:rPr>
            </w:pPr>
            <w:r>
              <w:rPr>
                <w:w w:val="100"/>
                <w:sz w:val="21"/>
              </w:rPr>
              <w:t> </w:t>
            </w:r>
          </w:p>
        </w:tc>
      </w:tr>
      <w:tr>
        <w:trPr>
          <w:trHeight w:val="273" w:hRule="atLeast"/>
        </w:trPr>
        <w:tc>
          <w:tcPr>
            <w:tcW w:w="1411" w:type="dxa"/>
          </w:tcPr>
          <w:p>
            <w:pPr>
              <w:pStyle w:val="TableParagraph"/>
              <w:spacing w:line="252" w:lineRule="exact" w:before="1"/>
              <w:ind w:right="338"/>
              <w:jc w:val="right"/>
              <w:rPr>
                <w:sz w:val="21"/>
              </w:rPr>
            </w:pPr>
            <w:r>
              <w:rPr>
                <w:w w:val="100"/>
                <w:sz w:val="21"/>
              </w:rPr>
              <w:t> </w:t>
            </w:r>
            <w:r>
              <w:rPr>
                <w:sz w:val="21"/>
              </w:rPr>
              <w:t> </w:t>
            </w:r>
            <w:r>
              <w:rPr>
                <w:w w:val="100"/>
                <w:sz w:val="21"/>
              </w:rPr>
              <w:t> </w:t>
            </w:r>
          </w:p>
        </w:tc>
        <w:tc>
          <w:tcPr>
            <w:tcW w:w="1090" w:type="dxa"/>
          </w:tcPr>
          <w:p>
            <w:pPr>
              <w:pStyle w:val="TableParagraph"/>
              <w:spacing w:line="249" w:lineRule="exact"/>
              <w:ind w:right="-15"/>
              <w:jc w:val="right"/>
              <w:rPr>
                <w:sz w:val="21"/>
              </w:rPr>
            </w:pPr>
            <w:r>
              <w:rPr>
                <w:w w:val="100"/>
                <w:sz w:val="21"/>
              </w:rPr>
              <w:t> </w:t>
            </w:r>
          </w:p>
        </w:tc>
        <w:tc>
          <w:tcPr>
            <w:tcW w:w="823" w:type="dxa"/>
          </w:tcPr>
          <w:p>
            <w:pPr>
              <w:pStyle w:val="TableParagraph"/>
              <w:rPr>
                <w:rFonts w:ascii="Times New Roman"/>
                <w:sz w:val="20"/>
              </w:rPr>
            </w:pPr>
          </w:p>
        </w:tc>
        <w:tc>
          <w:tcPr>
            <w:tcW w:w="1195" w:type="dxa"/>
          </w:tcPr>
          <w:p>
            <w:pPr>
              <w:pStyle w:val="TableParagraph"/>
              <w:rPr>
                <w:rFonts w:ascii="Times New Roman"/>
                <w:sz w:val="20"/>
              </w:rPr>
            </w:pPr>
          </w:p>
        </w:tc>
        <w:tc>
          <w:tcPr>
            <w:tcW w:w="928" w:type="dxa"/>
          </w:tcPr>
          <w:p>
            <w:pPr>
              <w:pStyle w:val="TableParagraph"/>
              <w:rPr>
                <w:rFonts w:ascii="Times New Roman"/>
                <w:sz w:val="20"/>
              </w:rPr>
            </w:pPr>
          </w:p>
        </w:tc>
        <w:tc>
          <w:tcPr>
            <w:tcW w:w="1086" w:type="dxa"/>
          </w:tcPr>
          <w:p>
            <w:pPr>
              <w:pStyle w:val="TableParagraph"/>
              <w:rPr>
                <w:rFonts w:ascii="Times New Roman"/>
                <w:sz w:val="20"/>
              </w:rPr>
            </w:pPr>
          </w:p>
        </w:tc>
        <w:tc>
          <w:tcPr>
            <w:tcW w:w="1089" w:type="dxa"/>
          </w:tcPr>
          <w:p>
            <w:pPr>
              <w:pStyle w:val="TableParagraph"/>
              <w:rPr>
                <w:rFonts w:ascii="Times New Roman"/>
                <w:sz w:val="20"/>
              </w:rPr>
            </w:pPr>
          </w:p>
        </w:tc>
        <w:tc>
          <w:tcPr>
            <w:tcW w:w="1196" w:type="dxa"/>
          </w:tcPr>
          <w:p>
            <w:pPr>
              <w:pStyle w:val="TableParagraph"/>
              <w:spacing w:line="249" w:lineRule="exact"/>
              <w:ind w:right="-15"/>
              <w:jc w:val="right"/>
              <w:rPr>
                <w:sz w:val="21"/>
              </w:rPr>
            </w:pPr>
            <w:r>
              <w:rPr>
                <w:w w:val="100"/>
                <w:sz w:val="21"/>
              </w:rPr>
              <w:t> </w:t>
            </w:r>
          </w:p>
        </w:tc>
      </w:tr>
      <w:tr>
        <w:trPr>
          <w:trHeight w:val="544" w:hRule="atLeast"/>
        </w:trPr>
        <w:tc>
          <w:tcPr>
            <w:tcW w:w="1411" w:type="dxa"/>
          </w:tcPr>
          <w:p>
            <w:pPr>
              <w:pStyle w:val="TableParagraph"/>
              <w:spacing w:before="1"/>
              <w:ind w:left="532"/>
              <w:rPr>
                <w:sz w:val="21"/>
              </w:rPr>
            </w:pPr>
            <w:r>
              <w:rPr>
                <w:sz w:val="21"/>
              </w:rPr>
              <w:t>3.本期</w:t>
            </w:r>
          </w:p>
          <w:p>
            <w:pPr>
              <w:pStyle w:val="TableParagraph"/>
              <w:spacing w:line="250" w:lineRule="exact" w:before="4"/>
              <w:ind w:left="112"/>
              <w:rPr>
                <w:sz w:val="21"/>
              </w:rPr>
            </w:pPr>
            <w:r>
              <w:rPr>
                <w:spacing w:val="-1"/>
                <w:sz w:val="21"/>
              </w:rPr>
              <w:t>减少金额</w:t>
            </w:r>
            <w:r>
              <w:rPr>
                <w:sz w:val="21"/>
              </w:rPr>
              <w:t> </w:t>
            </w:r>
          </w:p>
        </w:tc>
        <w:tc>
          <w:tcPr>
            <w:tcW w:w="1090" w:type="dxa"/>
          </w:tcPr>
          <w:p>
            <w:pPr>
              <w:pStyle w:val="TableParagraph"/>
              <w:rPr>
                <w:rFonts w:ascii="Times New Roman"/>
                <w:sz w:val="20"/>
              </w:rPr>
            </w:pPr>
          </w:p>
        </w:tc>
        <w:tc>
          <w:tcPr>
            <w:tcW w:w="823" w:type="dxa"/>
          </w:tcPr>
          <w:p>
            <w:pPr>
              <w:pStyle w:val="TableParagraph"/>
              <w:rPr>
                <w:rFonts w:ascii="Times New Roman"/>
                <w:sz w:val="20"/>
              </w:rPr>
            </w:pPr>
          </w:p>
        </w:tc>
        <w:tc>
          <w:tcPr>
            <w:tcW w:w="1195" w:type="dxa"/>
          </w:tcPr>
          <w:p>
            <w:pPr>
              <w:pStyle w:val="TableParagraph"/>
              <w:rPr>
                <w:rFonts w:ascii="Times New Roman"/>
                <w:sz w:val="20"/>
              </w:rPr>
            </w:pPr>
          </w:p>
        </w:tc>
        <w:tc>
          <w:tcPr>
            <w:tcW w:w="928" w:type="dxa"/>
          </w:tcPr>
          <w:p>
            <w:pPr>
              <w:pStyle w:val="TableParagraph"/>
              <w:rPr>
                <w:rFonts w:ascii="Times New Roman"/>
                <w:sz w:val="20"/>
              </w:rPr>
            </w:pPr>
          </w:p>
        </w:tc>
        <w:tc>
          <w:tcPr>
            <w:tcW w:w="1086" w:type="dxa"/>
          </w:tcPr>
          <w:p>
            <w:pPr>
              <w:pStyle w:val="TableParagraph"/>
              <w:rPr>
                <w:rFonts w:ascii="Times New Roman"/>
                <w:sz w:val="20"/>
              </w:rPr>
            </w:pPr>
          </w:p>
        </w:tc>
        <w:tc>
          <w:tcPr>
            <w:tcW w:w="1089" w:type="dxa"/>
          </w:tcPr>
          <w:p>
            <w:pPr>
              <w:pStyle w:val="TableParagraph"/>
              <w:rPr>
                <w:rFonts w:ascii="Times New Roman"/>
                <w:sz w:val="20"/>
              </w:rPr>
            </w:pPr>
          </w:p>
        </w:tc>
        <w:tc>
          <w:tcPr>
            <w:tcW w:w="1196" w:type="dxa"/>
          </w:tcPr>
          <w:p>
            <w:pPr>
              <w:pStyle w:val="TableParagraph"/>
              <w:rPr>
                <w:rFonts w:ascii="Times New Roman"/>
                <w:sz w:val="20"/>
              </w:rPr>
            </w:pPr>
          </w:p>
        </w:tc>
      </w:tr>
      <w:tr>
        <w:trPr>
          <w:trHeight w:val="544" w:hRule="atLeast"/>
        </w:trPr>
        <w:tc>
          <w:tcPr>
            <w:tcW w:w="1411" w:type="dxa"/>
          </w:tcPr>
          <w:p>
            <w:pPr>
              <w:pStyle w:val="TableParagraph"/>
              <w:spacing w:before="1"/>
              <w:ind w:right="127"/>
              <w:jc w:val="right"/>
              <w:rPr>
                <w:sz w:val="21"/>
              </w:rPr>
            </w:pPr>
            <w:r>
              <w:rPr>
                <w:sz w:val="21"/>
              </w:rPr>
              <w:t>（1）</w:t>
            </w:r>
          </w:p>
          <w:p>
            <w:pPr>
              <w:pStyle w:val="TableParagraph"/>
              <w:spacing w:line="250" w:lineRule="exact" w:before="4"/>
              <w:ind w:right="129"/>
              <w:jc w:val="right"/>
              <w:rPr>
                <w:sz w:val="21"/>
              </w:rPr>
            </w:pPr>
            <w:r>
              <w:rPr>
                <w:sz w:val="21"/>
              </w:rPr>
              <w:t>处置或报废 </w:t>
            </w:r>
          </w:p>
        </w:tc>
        <w:tc>
          <w:tcPr>
            <w:tcW w:w="1090" w:type="dxa"/>
          </w:tcPr>
          <w:p>
            <w:pPr>
              <w:pStyle w:val="TableParagraph"/>
              <w:rPr>
                <w:rFonts w:ascii="Times New Roman"/>
                <w:sz w:val="20"/>
              </w:rPr>
            </w:pPr>
          </w:p>
        </w:tc>
        <w:tc>
          <w:tcPr>
            <w:tcW w:w="823" w:type="dxa"/>
          </w:tcPr>
          <w:p>
            <w:pPr>
              <w:pStyle w:val="TableParagraph"/>
              <w:rPr>
                <w:rFonts w:ascii="Times New Roman"/>
                <w:sz w:val="20"/>
              </w:rPr>
            </w:pPr>
          </w:p>
        </w:tc>
        <w:tc>
          <w:tcPr>
            <w:tcW w:w="1195" w:type="dxa"/>
          </w:tcPr>
          <w:p>
            <w:pPr>
              <w:pStyle w:val="TableParagraph"/>
              <w:rPr>
                <w:rFonts w:ascii="Times New Roman"/>
                <w:sz w:val="20"/>
              </w:rPr>
            </w:pPr>
          </w:p>
        </w:tc>
        <w:tc>
          <w:tcPr>
            <w:tcW w:w="928" w:type="dxa"/>
          </w:tcPr>
          <w:p>
            <w:pPr>
              <w:pStyle w:val="TableParagraph"/>
              <w:rPr>
                <w:rFonts w:ascii="Times New Roman"/>
                <w:sz w:val="20"/>
              </w:rPr>
            </w:pPr>
          </w:p>
        </w:tc>
        <w:tc>
          <w:tcPr>
            <w:tcW w:w="1086" w:type="dxa"/>
          </w:tcPr>
          <w:p>
            <w:pPr>
              <w:pStyle w:val="TableParagraph"/>
              <w:rPr>
                <w:rFonts w:ascii="Times New Roman"/>
                <w:sz w:val="20"/>
              </w:rPr>
            </w:pPr>
          </w:p>
        </w:tc>
        <w:tc>
          <w:tcPr>
            <w:tcW w:w="1089" w:type="dxa"/>
          </w:tcPr>
          <w:p>
            <w:pPr>
              <w:pStyle w:val="TableParagraph"/>
              <w:rPr>
                <w:rFonts w:ascii="Times New Roman"/>
                <w:sz w:val="20"/>
              </w:rPr>
            </w:pPr>
          </w:p>
        </w:tc>
        <w:tc>
          <w:tcPr>
            <w:tcW w:w="1196" w:type="dxa"/>
          </w:tcPr>
          <w:p>
            <w:pPr>
              <w:pStyle w:val="TableParagraph"/>
              <w:rPr>
                <w:rFonts w:ascii="Times New Roman"/>
                <w:sz w:val="20"/>
              </w:rPr>
            </w:pPr>
          </w:p>
        </w:tc>
      </w:tr>
      <w:tr>
        <w:trPr>
          <w:trHeight w:val="273" w:hRule="atLeast"/>
        </w:trPr>
        <w:tc>
          <w:tcPr>
            <w:tcW w:w="1411" w:type="dxa"/>
          </w:tcPr>
          <w:p>
            <w:pPr>
              <w:pStyle w:val="TableParagraph"/>
              <w:spacing w:line="252" w:lineRule="exact" w:before="1"/>
              <w:ind w:right="338"/>
              <w:jc w:val="right"/>
              <w:rPr>
                <w:sz w:val="21"/>
              </w:rPr>
            </w:pPr>
            <w:r>
              <w:rPr>
                <w:w w:val="100"/>
                <w:sz w:val="21"/>
              </w:rPr>
              <w:t> </w:t>
            </w:r>
            <w:r>
              <w:rPr>
                <w:sz w:val="21"/>
              </w:rPr>
              <w:t> </w:t>
            </w:r>
            <w:r>
              <w:rPr>
                <w:w w:val="100"/>
                <w:sz w:val="21"/>
              </w:rPr>
              <w:t> </w:t>
            </w:r>
          </w:p>
        </w:tc>
        <w:tc>
          <w:tcPr>
            <w:tcW w:w="1090" w:type="dxa"/>
          </w:tcPr>
          <w:p>
            <w:pPr>
              <w:pStyle w:val="TableParagraph"/>
              <w:spacing w:line="248" w:lineRule="exact"/>
              <w:ind w:right="-15"/>
              <w:jc w:val="right"/>
              <w:rPr>
                <w:sz w:val="21"/>
              </w:rPr>
            </w:pPr>
            <w:r>
              <w:rPr>
                <w:w w:val="100"/>
                <w:sz w:val="21"/>
              </w:rPr>
              <w:t> </w:t>
            </w:r>
          </w:p>
        </w:tc>
        <w:tc>
          <w:tcPr>
            <w:tcW w:w="823" w:type="dxa"/>
          </w:tcPr>
          <w:p>
            <w:pPr>
              <w:pStyle w:val="TableParagraph"/>
              <w:spacing w:line="248" w:lineRule="exact"/>
              <w:ind w:right="-15"/>
              <w:jc w:val="right"/>
              <w:rPr>
                <w:sz w:val="21"/>
              </w:rPr>
            </w:pPr>
            <w:r>
              <w:rPr>
                <w:w w:val="100"/>
                <w:sz w:val="21"/>
              </w:rPr>
              <w:t> </w:t>
            </w:r>
          </w:p>
        </w:tc>
        <w:tc>
          <w:tcPr>
            <w:tcW w:w="1195" w:type="dxa"/>
          </w:tcPr>
          <w:p>
            <w:pPr>
              <w:pStyle w:val="TableParagraph"/>
              <w:spacing w:line="248" w:lineRule="exact"/>
              <w:ind w:right="-15"/>
              <w:jc w:val="right"/>
              <w:rPr>
                <w:sz w:val="21"/>
              </w:rPr>
            </w:pPr>
            <w:r>
              <w:rPr>
                <w:w w:val="100"/>
                <w:sz w:val="21"/>
              </w:rPr>
              <w:t> </w:t>
            </w:r>
          </w:p>
        </w:tc>
        <w:tc>
          <w:tcPr>
            <w:tcW w:w="928" w:type="dxa"/>
          </w:tcPr>
          <w:p>
            <w:pPr>
              <w:pStyle w:val="TableParagraph"/>
              <w:spacing w:line="248" w:lineRule="exact"/>
              <w:ind w:right="-15"/>
              <w:jc w:val="right"/>
              <w:rPr>
                <w:sz w:val="21"/>
              </w:rPr>
            </w:pPr>
            <w:r>
              <w:rPr>
                <w:w w:val="100"/>
                <w:sz w:val="21"/>
              </w:rPr>
              <w:t> </w:t>
            </w:r>
          </w:p>
        </w:tc>
        <w:tc>
          <w:tcPr>
            <w:tcW w:w="1086" w:type="dxa"/>
          </w:tcPr>
          <w:p>
            <w:pPr>
              <w:pStyle w:val="TableParagraph"/>
              <w:rPr>
                <w:rFonts w:ascii="Times New Roman"/>
                <w:sz w:val="20"/>
              </w:rPr>
            </w:pPr>
          </w:p>
        </w:tc>
        <w:tc>
          <w:tcPr>
            <w:tcW w:w="1089" w:type="dxa"/>
          </w:tcPr>
          <w:p>
            <w:pPr>
              <w:pStyle w:val="TableParagraph"/>
              <w:rPr>
                <w:rFonts w:ascii="Times New Roman"/>
                <w:sz w:val="20"/>
              </w:rPr>
            </w:pPr>
          </w:p>
        </w:tc>
        <w:tc>
          <w:tcPr>
            <w:tcW w:w="1196" w:type="dxa"/>
          </w:tcPr>
          <w:p>
            <w:pPr>
              <w:pStyle w:val="TableParagraph"/>
              <w:spacing w:line="248" w:lineRule="exact"/>
              <w:ind w:right="-15"/>
              <w:jc w:val="right"/>
              <w:rPr>
                <w:sz w:val="21"/>
              </w:rPr>
            </w:pPr>
            <w:r>
              <w:rPr>
                <w:w w:val="100"/>
                <w:sz w:val="21"/>
              </w:rPr>
              <w:t> </w:t>
            </w:r>
          </w:p>
        </w:tc>
      </w:tr>
      <w:tr>
        <w:trPr>
          <w:trHeight w:val="270" w:hRule="atLeast"/>
        </w:trPr>
        <w:tc>
          <w:tcPr>
            <w:tcW w:w="1411" w:type="dxa"/>
          </w:tcPr>
          <w:p>
            <w:pPr>
              <w:pStyle w:val="TableParagraph"/>
              <w:spacing w:line="250" w:lineRule="exact" w:before="1"/>
              <w:ind w:right="338"/>
              <w:jc w:val="right"/>
              <w:rPr>
                <w:sz w:val="21"/>
              </w:rPr>
            </w:pPr>
            <w:r>
              <w:rPr>
                <w:w w:val="100"/>
                <w:sz w:val="21"/>
              </w:rPr>
              <w:t> </w:t>
            </w:r>
            <w:r>
              <w:rPr>
                <w:sz w:val="21"/>
              </w:rPr>
              <w:t> </w:t>
            </w:r>
            <w:r>
              <w:rPr>
                <w:w w:val="100"/>
                <w:sz w:val="21"/>
              </w:rPr>
              <w:t> </w:t>
            </w:r>
          </w:p>
        </w:tc>
        <w:tc>
          <w:tcPr>
            <w:tcW w:w="1090" w:type="dxa"/>
          </w:tcPr>
          <w:p>
            <w:pPr>
              <w:pStyle w:val="TableParagraph"/>
              <w:spacing w:line="248" w:lineRule="exact"/>
              <w:ind w:right="-15"/>
              <w:jc w:val="right"/>
              <w:rPr>
                <w:sz w:val="21"/>
              </w:rPr>
            </w:pPr>
            <w:r>
              <w:rPr>
                <w:w w:val="100"/>
                <w:sz w:val="21"/>
              </w:rPr>
              <w:t> </w:t>
            </w:r>
          </w:p>
        </w:tc>
        <w:tc>
          <w:tcPr>
            <w:tcW w:w="823" w:type="dxa"/>
          </w:tcPr>
          <w:p>
            <w:pPr>
              <w:pStyle w:val="TableParagraph"/>
              <w:rPr>
                <w:rFonts w:ascii="Times New Roman"/>
                <w:sz w:val="20"/>
              </w:rPr>
            </w:pPr>
          </w:p>
        </w:tc>
        <w:tc>
          <w:tcPr>
            <w:tcW w:w="1195" w:type="dxa"/>
          </w:tcPr>
          <w:p>
            <w:pPr>
              <w:pStyle w:val="TableParagraph"/>
              <w:rPr>
                <w:rFonts w:ascii="Times New Roman"/>
                <w:sz w:val="20"/>
              </w:rPr>
            </w:pPr>
          </w:p>
        </w:tc>
        <w:tc>
          <w:tcPr>
            <w:tcW w:w="928" w:type="dxa"/>
          </w:tcPr>
          <w:p>
            <w:pPr>
              <w:pStyle w:val="TableParagraph"/>
              <w:rPr>
                <w:rFonts w:ascii="Times New Roman"/>
                <w:sz w:val="20"/>
              </w:rPr>
            </w:pPr>
          </w:p>
        </w:tc>
        <w:tc>
          <w:tcPr>
            <w:tcW w:w="1086" w:type="dxa"/>
          </w:tcPr>
          <w:p>
            <w:pPr>
              <w:pStyle w:val="TableParagraph"/>
              <w:rPr>
                <w:rFonts w:ascii="Times New Roman"/>
                <w:sz w:val="20"/>
              </w:rPr>
            </w:pPr>
          </w:p>
        </w:tc>
        <w:tc>
          <w:tcPr>
            <w:tcW w:w="1089" w:type="dxa"/>
          </w:tcPr>
          <w:p>
            <w:pPr>
              <w:pStyle w:val="TableParagraph"/>
              <w:rPr>
                <w:rFonts w:ascii="Times New Roman"/>
                <w:sz w:val="20"/>
              </w:rPr>
            </w:pPr>
          </w:p>
        </w:tc>
        <w:tc>
          <w:tcPr>
            <w:tcW w:w="1196" w:type="dxa"/>
          </w:tcPr>
          <w:p>
            <w:pPr>
              <w:pStyle w:val="TableParagraph"/>
              <w:spacing w:line="248" w:lineRule="exact"/>
              <w:ind w:right="-15"/>
              <w:jc w:val="right"/>
              <w:rPr>
                <w:sz w:val="21"/>
              </w:rPr>
            </w:pPr>
            <w:r>
              <w:rPr>
                <w:w w:val="100"/>
                <w:sz w:val="21"/>
              </w:rPr>
              <w:t> </w:t>
            </w:r>
          </w:p>
        </w:tc>
      </w:tr>
      <w:tr>
        <w:trPr>
          <w:trHeight w:val="546" w:hRule="atLeast"/>
        </w:trPr>
        <w:tc>
          <w:tcPr>
            <w:tcW w:w="1411" w:type="dxa"/>
          </w:tcPr>
          <w:p>
            <w:pPr>
              <w:pStyle w:val="TableParagraph"/>
              <w:spacing w:line="270" w:lineRule="atLeast"/>
              <w:ind w:left="112" w:right="232" w:firstLine="419"/>
              <w:rPr>
                <w:sz w:val="21"/>
              </w:rPr>
            </w:pPr>
            <w:r>
              <w:rPr>
                <w:sz w:val="21"/>
              </w:rPr>
              <w:t>4.期末余额 </w:t>
            </w:r>
          </w:p>
        </w:tc>
        <w:tc>
          <w:tcPr>
            <w:tcW w:w="1090" w:type="dxa"/>
          </w:tcPr>
          <w:p>
            <w:pPr>
              <w:pStyle w:val="TableParagraph"/>
              <w:rPr>
                <w:rFonts w:ascii="Times New Roman"/>
                <w:sz w:val="20"/>
              </w:rPr>
            </w:pPr>
          </w:p>
        </w:tc>
        <w:tc>
          <w:tcPr>
            <w:tcW w:w="823" w:type="dxa"/>
          </w:tcPr>
          <w:p>
            <w:pPr>
              <w:pStyle w:val="TableParagraph"/>
              <w:rPr>
                <w:rFonts w:ascii="Times New Roman"/>
                <w:sz w:val="20"/>
              </w:rPr>
            </w:pPr>
          </w:p>
        </w:tc>
        <w:tc>
          <w:tcPr>
            <w:tcW w:w="1195" w:type="dxa"/>
          </w:tcPr>
          <w:p>
            <w:pPr>
              <w:pStyle w:val="TableParagraph"/>
              <w:rPr>
                <w:rFonts w:ascii="Times New Roman"/>
                <w:sz w:val="20"/>
              </w:rPr>
            </w:pPr>
          </w:p>
        </w:tc>
        <w:tc>
          <w:tcPr>
            <w:tcW w:w="928" w:type="dxa"/>
          </w:tcPr>
          <w:p>
            <w:pPr>
              <w:pStyle w:val="TableParagraph"/>
              <w:rPr>
                <w:rFonts w:ascii="Times New Roman"/>
                <w:sz w:val="20"/>
              </w:rPr>
            </w:pPr>
          </w:p>
        </w:tc>
        <w:tc>
          <w:tcPr>
            <w:tcW w:w="1086" w:type="dxa"/>
          </w:tcPr>
          <w:p>
            <w:pPr>
              <w:pStyle w:val="TableParagraph"/>
              <w:rPr>
                <w:rFonts w:ascii="Times New Roman"/>
                <w:sz w:val="20"/>
              </w:rPr>
            </w:pPr>
          </w:p>
        </w:tc>
        <w:tc>
          <w:tcPr>
            <w:tcW w:w="1089" w:type="dxa"/>
          </w:tcPr>
          <w:p>
            <w:pPr>
              <w:pStyle w:val="TableParagraph"/>
              <w:rPr>
                <w:rFonts w:ascii="Times New Roman"/>
                <w:sz w:val="20"/>
              </w:rPr>
            </w:pPr>
          </w:p>
        </w:tc>
        <w:tc>
          <w:tcPr>
            <w:tcW w:w="1196" w:type="dxa"/>
          </w:tcPr>
          <w:p>
            <w:pPr>
              <w:pStyle w:val="TableParagraph"/>
              <w:rPr>
                <w:rFonts w:ascii="Times New Roman"/>
                <w:sz w:val="20"/>
              </w:rPr>
            </w:pPr>
          </w:p>
        </w:tc>
      </w:tr>
      <w:tr>
        <w:trPr>
          <w:trHeight w:val="270" w:hRule="atLeast"/>
        </w:trPr>
        <w:tc>
          <w:tcPr>
            <w:tcW w:w="8818" w:type="dxa"/>
            <w:gridSpan w:val="8"/>
          </w:tcPr>
          <w:p>
            <w:pPr>
              <w:pStyle w:val="TableParagraph"/>
              <w:spacing w:line="250" w:lineRule="exact" w:before="1"/>
              <w:ind w:left="112"/>
              <w:rPr>
                <w:sz w:val="21"/>
              </w:rPr>
            </w:pPr>
            <w:r>
              <w:rPr>
                <w:sz w:val="21"/>
              </w:rPr>
              <w:t>四、账面价值</w:t>
            </w:r>
          </w:p>
        </w:tc>
      </w:tr>
      <w:tr>
        <w:trPr>
          <w:trHeight w:val="544" w:hRule="atLeast"/>
        </w:trPr>
        <w:tc>
          <w:tcPr>
            <w:tcW w:w="1411" w:type="dxa"/>
          </w:tcPr>
          <w:p>
            <w:pPr>
              <w:pStyle w:val="TableParagraph"/>
              <w:spacing w:before="1"/>
              <w:ind w:left="532"/>
              <w:rPr>
                <w:sz w:val="21"/>
              </w:rPr>
            </w:pPr>
            <w:r>
              <w:rPr>
                <w:sz w:val="21"/>
              </w:rPr>
              <w:t>1.期末</w:t>
            </w:r>
          </w:p>
          <w:p>
            <w:pPr>
              <w:pStyle w:val="TableParagraph"/>
              <w:spacing w:line="250" w:lineRule="exact" w:before="4"/>
              <w:ind w:left="112"/>
              <w:rPr>
                <w:sz w:val="21"/>
              </w:rPr>
            </w:pPr>
            <w:r>
              <w:rPr>
                <w:spacing w:val="-1"/>
                <w:sz w:val="21"/>
              </w:rPr>
              <w:t>账面价值</w:t>
            </w:r>
            <w:r>
              <w:rPr>
                <w:sz w:val="21"/>
              </w:rPr>
              <w:t> </w:t>
            </w:r>
          </w:p>
        </w:tc>
        <w:tc>
          <w:tcPr>
            <w:tcW w:w="1090" w:type="dxa"/>
          </w:tcPr>
          <w:p>
            <w:pPr>
              <w:pStyle w:val="TableParagraph"/>
              <w:spacing w:before="147"/>
              <w:ind w:left="136"/>
              <w:rPr>
                <w:rFonts w:ascii="Times New Roman"/>
                <w:sz w:val="21"/>
              </w:rPr>
            </w:pPr>
            <w:r>
              <w:rPr>
                <w:rFonts w:ascii="Times New Roman"/>
                <w:sz w:val="21"/>
              </w:rPr>
              <w:t>3,062,242</w:t>
            </w:r>
          </w:p>
        </w:tc>
        <w:tc>
          <w:tcPr>
            <w:tcW w:w="823" w:type="dxa"/>
          </w:tcPr>
          <w:p>
            <w:pPr>
              <w:pStyle w:val="TableParagraph"/>
              <w:spacing w:before="147"/>
              <w:ind w:left="129"/>
              <w:rPr>
                <w:rFonts w:ascii="Times New Roman"/>
                <w:sz w:val="21"/>
              </w:rPr>
            </w:pPr>
            <w:r>
              <w:rPr>
                <w:rFonts w:ascii="Times New Roman"/>
                <w:sz w:val="21"/>
              </w:rPr>
              <w:t>37,176</w:t>
            </w:r>
          </w:p>
        </w:tc>
        <w:tc>
          <w:tcPr>
            <w:tcW w:w="1195" w:type="dxa"/>
          </w:tcPr>
          <w:p>
            <w:pPr>
              <w:pStyle w:val="TableParagraph"/>
              <w:spacing w:before="147"/>
              <w:ind w:left="134"/>
              <w:rPr>
                <w:rFonts w:ascii="Times New Roman"/>
                <w:sz w:val="21"/>
              </w:rPr>
            </w:pPr>
            <w:r>
              <w:rPr>
                <w:rFonts w:ascii="Times New Roman"/>
                <w:sz w:val="21"/>
              </w:rPr>
              <w:t>11,215,703</w:t>
            </w:r>
          </w:p>
        </w:tc>
        <w:tc>
          <w:tcPr>
            <w:tcW w:w="928" w:type="dxa"/>
          </w:tcPr>
          <w:p>
            <w:pPr>
              <w:pStyle w:val="TableParagraph"/>
              <w:spacing w:before="147"/>
              <w:ind w:left="238"/>
              <w:rPr>
                <w:rFonts w:ascii="Times New Roman"/>
                <w:sz w:val="21"/>
              </w:rPr>
            </w:pPr>
            <w:r>
              <w:rPr>
                <w:rFonts w:ascii="Times New Roman"/>
                <w:sz w:val="21"/>
              </w:rPr>
              <w:t>46,631</w:t>
            </w:r>
          </w:p>
        </w:tc>
        <w:tc>
          <w:tcPr>
            <w:tcW w:w="1086" w:type="dxa"/>
          </w:tcPr>
          <w:p>
            <w:pPr>
              <w:pStyle w:val="TableParagraph"/>
              <w:spacing w:before="147"/>
              <w:ind w:right="93"/>
              <w:jc w:val="right"/>
              <w:rPr>
                <w:rFonts w:ascii="Times New Roman"/>
                <w:sz w:val="21"/>
              </w:rPr>
            </w:pPr>
            <w:r>
              <w:rPr>
                <w:rFonts w:ascii="Times New Roman"/>
                <w:sz w:val="21"/>
              </w:rPr>
              <w:t>1,215,434</w:t>
            </w:r>
          </w:p>
        </w:tc>
        <w:tc>
          <w:tcPr>
            <w:tcW w:w="1089" w:type="dxa"/>
          </w:tcPr>
          <w:p>
            <w:pPr>
              <w:pStyle w:val="TableParagraph"/>
              <w:spacing w:before="147"/>
              <w:ind w:right="94"/>
              <w:jc w:val="right"/>
              <w:rPr>
                <w:rFonts w:ascii="Times New Roman"/>
                <w:sz w:val="21"/>
              </w:rPr>
            </w:pPr>
            <w:r>
              <w:rPr>
                <w:rFonts w:ascii="Times New Roman"/>
                <w:sz w:val="21"/>
              </w:rPr>
              <w:t>359,817</w:t>
            </w:r>
          </w:p>
        </w:tc>
        <w:tc>
          <w:tcPr>
            <w:tcW w:w="1196" w:type="dxa"/>
          </w:tcPr>
          <w:p>
            <w:pPr>
              <w:pStyle w:val="TableParagraph"/>
              <w:spacing w:before="147"/>
              <w:ind w:left="143"/>
              <w:rPr>
                <w:rFonts w:ascii="Times New Roman"/>
                <w:sz w:val="21"/>
              </w:rPr>
            </w:pPr>
            <w:r>
              <w:rPr>
                <w:rFonts w:ascii="Times New Roman"/>
                <w:sz w:val="21"/>
              </w:rPr>
              <w:t>15,937,003</w:t>
            </w:r>
          </w:p>
        </w:tc>
      </w:tr>
      <w:tr>
        <w:trPr>
          <w:trHeight w:val="547" w:hRule="atLeast"/>
        </w:trPr>
        <w:tc>
          <w:tcPr>
            <w:tcW w:w="1411" w:type="dxa"/>
          </w:tcPr>
          <w:p>
            <w:pPr>
              <w:pStyle w:val="TableParagraph"/>
              <w:spacing w:line="270" w:lineRule="atLeast"/>
              <w:ind w:left="112" w:right="232" w:firstLine="419"/>
              <w:rPr>
                <w:sz w:val="21"/>
              </w:rPr>
            </w:pPr>
            <w:r>
              <w:rPr>
                <w:sz w:val="21"/>
              </w:rPr>
              <w:t>2.期初账面价值 </w:t>
            </w:r>
          </w:p>
        </w:tc>
        <w:tc>
          <w:tcPr>
            <w:tcW w:w="1090" w:type="dxa"/>
          </w:tcPr>
          <w:p>
            <w:pPr>
              <w:pStyle w:val="TableParagraph"/>
              <w:spacing w:before="147"/>
              <w:ind w:left="136"/>
              <w:rPr>
                <w:rFonts w:ascii="Times New Roman"/>
                <w:sz w:val="21"/>
              </w:rPr>
            </w:pPr>
            <w:r>
              <w:rPr>
                <w:rFonts w:ascii="Times New Roman"/>
                <w:sz w:val="21"/>
              </w:rPr>
              <w:t>2,508,557</w:t>
            </w:r>
          </w:p>
        </w:tc>
        <w:tc>
          <w:tcPr>
            <w:tcW w:w="823" w:type="dxa"/>
          </w:tcPr>
          <w:p>
            <w:pPr>
              <w:pStyle w:val="TableParagraph"/>
              <w:spacing w:before="147"/>
              <w:ind w:left="129"/>
              <w:rPr>
                <w:rFonts w:ascii="Times New Roman"/>
                <w:sz w:val="21"/>
              </w:rPr>
            </w:pPr>
            <w:r>
              <w:rPr>
                <w:rFonts w:ascii="Times New Roman"/>
                <w:sz w:val="21"/>
              </w:rPr>
              <w:t>33,025</w:t>
            </w:r>
          </w:p>
        </w:tc>
        <w:tc>
          <w:tcPr>
            <w:tcW w:w="1195" w:type="dxa"/>
          </w:tcPr>
          <w:p>
            <w:pPr>
              <w:pStyle w:val="TableParagraph"/>
              <w:spacing w:before="147"/>
              <w:ind w:left="240"/>
              <w:rPr>
                <w:rFonts w:ascii="Times New Roman"/>
                <w:sz w:val="21"/>
              </w:rPr>
            </w:pPr>
            <w:r>
              <w:rPr>
                <w:rFonts w:ascii="Times New Roman"/>
                <w:sz w:val="21"/>
              </w:rPr>
              <w:t>5,587,821</w:t>
            </w:r>
          </w:p>
        </w:tc>
        <w:tc>
          <w:tcPr>
            <w:tcW w:w="928" w:type="dxa"/>
          </w:tcPr>
          <w:p>
            <w:pPr>
              <w:pStyle w:val="TableParagraph"/>
              <w:spacing w:before="147"/>
              <w:ind w:left="238"/>
              <w:rPr>
                <w:rFonts w:ascii="Times New Roman"/>
                <w:sz w:val="21"/>
              </w:rPr>
            </w:pPr>
            <w:r>
              <w:rPr>
                <w:rFonts w:ascii="Times New Roman"/>
                <w:sz w:val="21"/>
              </w:rPr>
              <w:t>37,231</w:t>
            </w:r>
          </w:p>
        </w:tc>
        <w:tc>
          <w:tcPr>
            <w:tcW w:w="1086" w:type="dxa"/>
          </w:tcPr>
          <w:p>
            <w:pPr>
              <w:pStyle w:val="TableParagraph"/>
              <w:spacing w:before="147"/>
              <w:ind w:right="93"/>
              <w:jc w:val="right"/>
              <w:rPr>
                <w:rFonts w:ascii="Times New Roman"/>
                <w:sz w:val="21"/>
              </w:rPr>
            </w:pPr>
            <w:r>
              <w:rPr>
                <w:rFonts w:ascii="Times New Roman"/>
                <w:sz w:val="21"/>
              </w:rPr>
              <w:t>1,002,104</w:t>
            </w:r>
          </w:p>
        </w:tc>
        <w:tc>
          <w:tcPr>
            <w:tcW w:w="1089" w:type="dxa"/>
          </w:tcPr>
          <w:p>
            <w:pPr>
              <w:pStyle w:val="TableParagraph"/>
              <w:spacing w:before="147"/>
              <w:ind w:right="94"/>
              <w:jc w:val="right"/>
              <w:rPr>
                <w:rFonts w:ascii="Times New Roman"/>
                <w:sz w:val="21"/>
              </w:rPr>
            </w:pPr>
            <w:r>
              <w:rPr>
                <w:rFonts w:ascii="Times New Roman"/>
                <w:sz w:val="21"/>
              </w:rPr>
              <w:t>324,799</w:t>
            </w:r>
          </w:p>
        </w:tc>
        <w:tc>
          <w:tcPr>
            <w:tcW w:w="1196" w:type="dxa"/>
          </w:tcPr>
          <w:p>
            <w:pPr>
              <w:pStyle w:val="TableParagraph"/>
              <w:spacing w:before="147"/>
              <w:ind w:left="248"/>
              <w:rPr>
                <w:rFonts w:ascii="Times New Roman"/>
                <w:sz w:val="21"/>
              </w:rPr>
            </w:pPr>
            <w:r>
              <w:rPr>
                <w:rFonts w:ascii="Times New Roman"/>
                <w:sz w:val="21"/>
              </w:rPr>
              <w:t>9,493,537</w:t>
            </w:r>
          </w:p>
        </w:tc>
      </w:tr>
    </w:tbl>
    <w:p>
      <w:pPr>
        <w:pStyle w:val="BodyText"/>
        <w:spacing w:before="8"/>
        <w:ind w:left="0"/>
        <w:rPr>
          <w:sz w:val="15"/>
        </w:rPr>
      </w:pPr>
    </w:p>
    <w:p>
      <w:pPr>
        <w:pStyle w:val="BodyText"/>
        <w:spacing w:before="72"/>
        <w:ind w:left="738"/>
      </w:pPr>
      <w:r>
        <w:rPr>
          <w:spacing w:val="-1"/>
        </w:rPr>
        <w:t>2022</w:t>
      </w:r>
      <w:r>
        <w:rPr>
          <w:spacing w:val="-11"/>
        </w:rPr>
        <w:t> 年度，固定资产计提的折旧金额为 </w:t>
      </w:r>
      <w:r>
        <w:rPr/>
        <w:t>2,692,177</w:t>
      </w:r>
      <w:r>
        <w:rPr>
          <w:spacing w:val="-15"/>
        </w:rPr>
        <w:t> 千元(</w:t>
      </w:r>
      <w:r>
        <w:rPr/>
        <w:t>2021</w:t>
      </w:r>
      <w:r>
        <w:rPr>
          <w:spacing w:val="-15"/>
        </w:rPr>
        <w:t> 年度：</w:t>
      </w:r>
      <w:r>
        <w:rPr/>
        <w:t>2,097,278</w:t>
      </w:r>
      <w:r>
        <w:rPr>
          <w:spacing w:val="-10"/>
        </w:rPr>
        <w:t> 千元)，其</w:t>
      </w:r>
    </w:p>
    <w:p>
      <w:pPr>
        <w:pStyle w:val="BodyText"/>
        <w:spacing w:line="242" w:lineRule="auto" w:before="4"/>
        <w:ind w:right="1332"/>
      </w:pPr>
      <w:r>
        <w:rPr>
          <w:spacing w:val="-3"/>
        </w:rPr>
        <w:t>中计入营业成本、销售费用、管理费用及研发费用的折旧费用分别为 </w:t>
      </w:r>
      <w:r>
        <w:rPr/>
        <w:t>2,174,271</w:t>
      </w:r>
      <w:r>
        <w:rPr>
          <w:spacing w:val="-14"/>
        </w:rPr>
        <w:t> 千元，</w:t>
      </w:r>
      <w:r>
        <w:rPr/>
        <w:t>8,289</w:t>
      </w:r>
      <w:r>
        <w:rPr>
          <w:spacing w:val="-27"/>
        </w:rPr>
        <w:t> 千</w:t>
      </w:r>
      <w:r>
        <w:rPr>
          <w:spacing w:val="-1"/>
        </w:rPr>
        <w:t>元，102,215</w:t>
      </w:r>
      <w:r>
        <w:rPr>
          <w:spacing w:val="-23"/>
        </w:rPr>
        <w:t> 千元和 </w:t>
      </w:r>
      <w:r>
        <w:rPr/>
        <w:t>407,402</w:t>
      </w:r>
      <w:r>
        <w:rPr>
          <w:spacing w:val="-18"/>
        </w:rPr>
        <w:t> 千元</w:t>
      </w:r>
      <w:r>
        <w:rPr/>
        <w:t>(2021</w:t>
      </w:r>
      <w:r>
        <w:rPr>
          <w:spacing w:val="-14"/>
        </w:rPr>
        <w:t> 年度：</w:t>
      </w:r>
      <w:r>
        <w:rPr/>
        <w:t>1,490,144</w:t>
      </w:r>
      <w:r>
        <w:rPr>
          <w:spacing w:val="-15"/>
        </w:rPr>
        <w:t> 千元，</w:t>
      </w:r>
      <w:r>
        <w:rPr/>
        <w:t>8,948</w:t>
      </w:r>
      <w:r>
        <w:rPr>
          <w:spacing w:val="-14"/>
        </w:rPr>
        <w:t> 千元，</w:t>
      </w:r>
      <w:r>
        <w:rPr/>
        <w:t>110,144</w:t>
      </w:r>
      <w:r>
        <w:rPr>
          <w:spacing w:val="-14"/>
        </w:rPr>
        <w:t> 千元和</w:t>
      </w:r>
      <w:r>
        <w:rPr/>
        <w:t>488,042</w:t>
      </w:r>
      <w:r>
        <w:rPr>
          <w:spacing w:val="-12"/>
        </w:rPr>
        <w:t> 千元)。</w:t>
      </w:r>
      <w:r>
        <w:rPr/>
        <w:t> </w:t>
      </w:r>
    </w:p>
    <w:p>
      <w:pPr>
        <w:pStyle w:val="Heading3"/>
        <w:spacing w:line="307" w:lineRule="exact"/>
        <w:ind w:left="798"/>
        <w:jc w:val="left"/>
      </w:pPr>
      <w:r>
        <w:rPr/>
        <w:t> </w:t>
      </w:r>
    </w:p>
    <w:p>
      <w:pPr>
        <w:pStyle w:val="BodyText"/>
        <w:spacing w:line="242" w:lineRule="auto" w:before="6"/>
        <w:ind w:right="1279" w:firstLine="419"/>
      </w:pPr>
      <w:r>
        <w:rPr>
          <w:spacing w:val="-27"/>
        </w:rPr>
        <w:t>于 </w:t>
      </w:r>
      <w:r>
        <w:rPr/>
        <w:t>2022</w:t>
      </w:r>
      <w:r>
        <w:rPr>
          <w:spacing w:val="-36"/>
        </w:rPr>
        <w:t> 年 </w:t>
      </w:r>
      <w:r>
        <w:rPr/>
        <w:t>12</w:t>
      </w:r>
      <w:r>
        <w:rPr>
          <w:spacing w:val="-36"/>
        </w:rPr>
        <w:t> 月 </w:t>
      </w:r>
      <w:r>
        <w:rPr/>
        <w:t>31</w:t>
      </w:r>
      <w:r>
        <w:rPr>
          <w:spacing w:val="-13"/>
        </w:rPr>
        <w:t> 日，本集团约有 </w:t>
      </w:r>
      <w:r>
        <w:rPr/>
        <w:t>69%以上(2021</w:t>
      </w:r>
      <w:r>
        <w:rPr>
          <w:spacing w:val="-36"/>
        </w:rPr>
        <w:t> 年 </w:t>
      </w:r>
      <w:r>
        <w:rPr/>
        <w:t>12</w:t>
      </w:r>
      <w:r>
        <w:rPr>
          <w:spacing w:val="-36"/>
        </w:rPr>
        <w:t> 月 </w:t>
      </w:r>
      <w:r>
        <w:rPr/>
        <w:t>31</w:t>
      </w:r>
      <w:r>
        <w:rPr>
          <w:spacing w:val="-18"/>
        </w:rPr>
        <w:t> 日：</w:t>
      </w:r>
      <w:r>
        <w:rPr/>
        <w:t>70%以上)的固定资产及在建工程位于中国境内地区。 </w:t>
      </w:r>
    </w:p>
    <w:p>
      <w:pPr>
        <w:spacing w:after="0" w:line="242" w:lineRule="auto"/>
        <w:sectPr>
          <w:headerReference w:type="default" r:id="rId60"/>
          <w:footerReference w:type="default" r:id="rId61"/>
          <w:pgSz w:w="11910" w:h="16840"/>
          <w:pgMar w:header="882" w:footer="1702" w:top="1120" w:bottom="1900" w:left="1480" w:right="0"/>
        </w:sectPr>
      </w:pPr>
    </w:p>
    <w:p>
      <w:pPr>
        <w:pStyle w:val="BodyText"/>
        <w:spacing w:before="7"/>
        <w:ind w:left="0"/>
        <w:rPr>
          <w:sz w:val="25"/>
        </w:rPr>
      </w:pPr>
    </w:p>
    <w:p>
      <w:pPr>
        <w:spacing w:after="0"/>
        <w:rPr>
          <w:sz w:val="25"/>
        </w:rPr>
        <w:sectPr>
          <w:pgSz w:w="11910" w:h="16840"/>
          <w:pgMar w:header="882" w:footer="1702" w:top="1120" w:bottom="1940" w:left="1480" w:right="0"/>
        </w:sectPr>
      </w:pPr>
    </w:p>
    <w:p>
      <w:pPr>
        <w:pStyle w:val="ListParagraph"/>
        <w:numPr>
          <w:ilvl w:val="0"/>
          <w:numId w:val="67"/>
        </w:numPr>
        <w:tabs>
          <w:tab w:pos="746" w:val="left" w:leader="none"/>
        </w:tabs>
        <w:spacing w:line="240" w:lineRule="auto" w:before="72" w:after="0"/>
        <w:ind w:left="745" w:right="0" w:hanging="428"/>
        <w:jc w:val="left"/>
        <w:rPr>
          <w:sz w:val="21"/>
        </w:rPr>
      </w:pPr>
      <w:r>
        <w:rPr>
          <w:sz w:val="21"/>
        </w:rPr>
        <w:t>暂时闲置的固定资产情况 </w:t>
      </w:r>
    </w:p>
    <w:p>
      <w:pPr>
        <w:pStyle w:val="BodyText"/>
        <w:spacing w:before="65"/>
      </w:pPr>
      <w:r>
        <w:rPr>
          <w:spacing w:val="-1"/>
        </w:rPr>
        <w:t>□适用 √不适用</w:t>
      </w:r>
      <w:r>
        <w:rPr>
          <w:spacing w:val="-3"/>
        </w:rPr>
        <w:t> </w:t>
      </w:r>
      <w:r>
        <w:rPr/>
        <w:t> </w:t>
      </w:r>
    </w:p>
    <w:p>
      <w:pPr>
        <w:pStyle w:val="ListParagraph"/>
        <w:numPr>
          <w:ilvl w:val="0"/>
          <w:numId w:val="67"/>
        </w:numPr>
        <w:tabs>
          <w:tab w:pos="746" w:val="left" w:leader="none"/>
        </w:tabs>
        <w:spacing w:line="240" w:lineRule="auto" w:before="62" w:after="0"/>
        <w:ind w:left="745" w:right="0" w:hanging="428"/>
        <w:jc w:val="left"/>
        <w:rPr>
          <w:sz w:val="21"/>
        </w:rPr>
      </w:pPr>
      <w:r>
        <w:rPr>
          <w:sz w:val="21"/>
        </w:rPr>
        <w:t>通过融资租赁租入的固定资产情况 </w:t>
      </w:r>
    </w:p>
    <w:p>
      <w:pPr>
        <w:pStyle w:val="BodyText"/>
        <w:spacing w:before="65"/>
      </w:pPr>
      <w:r>
        <w:rPr>
          <w:spacing w:val="-1"/>
        </w:rPr>
        <w:t>□适用 √不适用</w:t>
      </w:r>
      <w:r>
        <w:rPr>
          <w:spacing w:val="-3"/>
        </w:rPr>
        <w:t> </w:t>
      </w:r>
      <w:r>
        <w:rPr/>
        <w:t> </w:t>
      </w:r>
    </w:p>
    <w:p>
      <w:pPr>
        <w:pStyle w:val="ListParagraph"/>
        <w:numPr>
          <w:ilvl w:val="0"/>
          <w:numId w:val="67"/>
        </w:numPr>
        <w:tabs>
          <w:tab w:pos="746" w:val="left" w:leader="none"/>
        </w:tabs>
        <w:spacing w:line="240" w:lineRule="auto" w:before="62" w:after="0"/>
        <w:ind w:left="745" w:right="0" w:hanging="428"/>
        <w:jc w:val="left"/>
        <w:rPr>
          <w:sz w:val="21"/>
        </w:rPr>
      </w:pPr>
      <w:r>
        <w:rPr>
          <w:sz w:val="21"/>
        </w:rPr>
        <w:t>通过经营租赁租出的固定资产 </w:t>
      </w:r>
    </w:p>
    <w:p>
      <w:pPr>
        <w:pStyle w:val="BodyText"/>
        <w:spacing w:before="64"/>
      </w:pPr>
      <w:r>
        <w:rPr>
          <w:spacing w:val="-1"/>
        </w:rPr>
        <w:t>□适用 √不适用</w:t>
      </w:r>
      <w:r>
        <w:rPr>
          <w:spacing w:val="-3"/>
        </w:rPr>
        <w:t> </w:t>
      </w:r>
      <w:r>
        <w:rPr>
          <w:color w:val="FF0000"/>
        </w:rPr>
        <w:t> </w:t>
      </w:r>
    </w:p>
    <w:p>
      <w:pPr>
        <w:pStyle w:val="ListParagraph"/>
        <w:numPr>
          <w:ilvl w:val="0"/>
          <w:numId w:val="67"/>
        </w:numPr>
        <w:tabs>
          <w:tab w:pos="746" w:val="left" w:leader="none"/>
        </w:tabs>
        <w:spacing w:line="240" w:lineRule="auto" w:before="62" w:after="0"/>
        <w:ind w:left="745" w:right="0" w:hanging="428"/>
        <w:jc w:val="left"/>
        <w:rPr>
          <w:sz w:val="21"/>
        </w:rPr>
      </w:pPr>
      <w:r>
        <w:rPr>
          <w:sz w:val="21"/>
        </w:rPr>
        <w:t>未办妥产权证书的固定资产情况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6"/>
        <w:ind w:left="0"/>
        <w:rPr>
          <w:sz w:val="28"/>
        </w:rPr>
      </w:pPr>
    </w:p>
    <w:p>
      <w:pPr>
        <w:pStyle w:val="BodyText"/>
        <w:spacing w:before="1"/>
      </w:pPr>
      <w:r>
        <w:rPr>
          <w:spacing w:val="7"/>
        </w:rPr>
        <w:t>单位：千元 币种：人民币</w:t>
      </w:r>
      <w:r>
        <w:rPr/>
        <w:t> </w:t>
      </w:r>
    </w:p>
    <w:p>
      <w:pPr>
        <w:spacing w:after="0"/>
        <w:sectPr>
          <w:type w:val="continuous"/>
          <w:pgSz w:w="11910" w:h="16840"/>
          <w:pgMar w:top="780" w:bottom="280" w:left="1480" w:right="0"/>
          <w:cols w:num="2" w:equalWidth="0">
            <w:col w:w="4053" w:space="2258"/>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6"/>
        <w:gridCol w:w="2967"/>
        <w:gridCol w:w="2982"/>
      </w:tblGrid>
      <w:tr>
        <w:trPr>
          <w:trHeight w:val="270" w:hRule="atLeast"/>
        </w:trPr>
        <w:tc>
          <w:tcPr>
            <w:tcW w:w="2876" w:type="dxa"/>
          </w:tcPr>
          <w:p>
            <w:pPr>
              <w:pStyle w:val="TableParagraph"/>
              <w:spacing w:line="250" w:lineRule="exact" w:before="1"/>
              <w:ind w:left="1258" w:right="1147"/>
              <w:jc w:val="center"/>
              <w:rPr>
                <w:sz w:val="21"/>
              </w:rPr>
            </w:pPr>
            <w:r>
              <w:rPr>
                <w:sz w:val="21"/>
              </w:rPr>
              <w:t>项目 </w:t>
            </w:r>
          </w:p>
        </w:tc>
        <w:tc>
          <w:tcPr>
            <w:tcW w:w="2967" w:type="dxa"/>
          </w:tcPr>
          <w:p>
            <w:pPr>
              <w:pStyle w:val="TableParagraph"/>
              <w:spacing w:line="250" w:lineRule="exact" w:before="1"/>
              <w:ind w:left="1062"/>
              <w:rPr>
                <w:sz w:val="21"/>
              </w:rPr>
            </w:pPr>
            <w:r>
              <w:rPr>
                <w:spacing w:val="-1"/>
                <w:sz w:val="21"/>
              </w:rPr>
              <w:t>账面价值</w:t>
            </w:r>
            <w:r>
              <w:rPr>
                <w:sz w:val="21"/>
              </w:rPr>
              <w:t> </w:t>
            </w:r>
          </w:p>
        </w:tc>
        <w:tc>
          <w:tcPr>
            <w:tcW w:w="2982" w:type="dxa"/>
          </w:tcPr>
          <w:p>
            <w:pPr>
              <w:pStyle w:val="TableParagraph"/>
              <w:spacing w:line="250" w:lineRule="exact" w:before="1"/>
              <w:ind w:left="440"/>
              <w:rPr>
                <w:sz w:val="21"/>
              </w:rPr>
            </w:pPr>
            <w:r>
              <w:rPr>
                <w:spacing w:val="-1"/>
                <w:sz w:val="21"/>
              </w:rPr>
              <w:t>未办妥产权证书的原因</w:t>
            </w:r>
            <w:r>
              <w:rPr>
                <w:sz w:val="21"/>
              </w:rPr>
              <w:t> </w:t>
            </w:r>
          </w:p>
        </w:tc>
      </w:tr>
      <w:tr>
        <w:trPr>
          <w:trHeight w:val="273" w:hRule="atLeast"/>
        </w:trPr>
        <w:tc>
          <w:tcPr>
            <w:tcW w:w="2876" w:type="dxa"/>
          </w:tcPr>
          <w:p>
            <w:pPr>
              <w:pStyle w:val="TableParagraph"/>
              <w:spacing w:line="250" w:lineRule="exact" w:before="3"/>
              <w:ind w:left="107"/>
              <w:rPr>
                <w:sz w:val="21"/>
              </w:rPr>
            </w:pPr>
            <w:r>
              <w:rPr>
                <w:spacing w:val="-1"/>
                <w:sz w:val="21"/>
              </w:rPr>
              <w:t>房屋及建筑物</w:t>
            </w:r>
            <w:r>
              <w:rPr>
                <w:sz w:val="21"/>
              </w:rPr>
              <w:t> </w:t>
            </w:r>
          </w:p>
        </w:tc>
        <w:tc>
          <w:tcPr>
            <w:tcW w:w="2967" w:type="dxa"/>
          </w:tcPr>
          <w:p>
            <w:pPr>
              <w:pStyle w:val="TableParagraph"/>
              <w:spacing w:line="237" w:lineRule="exact"/>
              <w:ind w:left="1965"/>
              <w:rPr>
                <w:rFonts w:ascii="Times New Roman"/>
                <w:sz w:val="21"/>
              </w:rPr>
            </w:pPr>
            <w:r>
              <w:rPr>
                <w:rFonts w:ascii="Times New Roman"/>
                <w:sz w:val="21"/>
              </w:rPr>
              <w:t>114,715</w:t>
            </w:r>
          </w:p>
        </w:tc>
        <w:tc>
          <w:tcPr>
            <w:tcW w:w="2982" w:type="dxa"/>
          </w:tcPr>
          <w:p>
            <w:pPr>
              <w:pStyle w:val="TableParagraph"/>
              <w:spacing w:line="250" w:lineRule="exact" w:before="3"/>
              <w:ind w:left="107"/>
              <w:rPr>
                <w:sz w:val="21"/>
              </w:rPr>
            </w:pPr>
            <w:r>
              <w:rPr>
                <w:spacing w:val="-1"/>
                <w:sz w:val="21"/>
              </w:rPr>
              <w:t>产权证书尚在办理中</w:t>
            </w:r>
            <w:r>
              <w:rPr>
                <w:sz w:val="21"/>
              </w:rPr>
              <w:t> </w:t>
            </w:r>
          </w:p>
        </w:tc>
      </w:tr>
      <w:tr>
        <w:trPr>
          <w:trHeight w:val="273" w:hRule="atLeast"/>
        </w:trPr>
        <w:tc>
          <w:tcPr>
            <w:tcW w:w="2876" w:type="dxa"/>
          </w:tcPr>
          <w:p>
            <w:pPr>
              <w:pStyle w:val="TableParagraph"/>
              <w:spacing w:line="252" w:lineRule="exact" w:before="1"/>
              <w:ind w:left="107"/>
              <w:rPr>
                <w:sz w:val="21"/>
              </w:rPr>
            </w:pPr>
            <w:r>
              <w:rPr>
                <w:w w:val="100"/>
                <w:sz w:val="21"/>
              </w:rPr>
              <w:t> </w:t>
            </w:r>
          </w:p>
        </w:tc>
        <w:tc>
          <w:tcPr>
            <w:tcW w:w="2967" w:type="dxa"/>
          </w:tcPr>
          <w:p>
            <w:pPr>
              <w:pStyle w:val="TableParagraph"/>
              <w:spacing w:line="252" w:lineRule="exact" w:before="1"/>
              <w:ind w:right="-15"/>
              <w:jc w:val="right"/>
              <w:rPr>
                <w:sz w:val="21"/>
              </w:rPr>
            </w:pPr>
            <w:r>
              <w:rPr>
                <w:w w:val="100"/>
                <w:sz w:val="21"/>
              </w:rPr>
              <w:t> </w:t>
            </w:r>
          </w:p>
        </w:tc>
        <w:tc>
          <w:tcPr>
            <w:tcW w:w="2982" w:type="dxa"/>
          </w:tcPr>
          <w:p>
            <w:pPr>
              <w:pStyle w:val="TableParagraph"/>
              <w:spacing w:line="252" w:lineRule="exact" w:before="1"/>
              <w:ind w:left="107"/>
              <w:rPr>
                <w:sz w:val="21"/>
              </w:rPr>
            </w:pPr>
            <w:r>
              <w:rPr>
                <w:w w:val="100"/>
                <w:sz w:val="21"/>
              </w:rPr>
              <w:t> </w:t>
            </w:r>
          </w:p>
        </w:tc>
      </w:tr>
    </w:tbl>
    <w:p>
      <w:pPr>
        <w:spacing w:after="0" w:line="252" w:lineRule="exact"/>
        <w:rPr>
          <w:sz w:val="21"/>
        </w:rPr>
        <w:sectPr>
          <w:type w:val="continuous"/>
          <w:pgSz w:w="11910" w:h="16840"/>
          <w:pgMar w:top="780" w:bottom="280" w:left="1480" w:right="0"/>
        </w:sectPr>
      </w:pPr>
    </w:p>
    <w:p>
      <w:pPr>
        <w:pStyle w:val="BodyText"/>
        <w:spacing w:before="5"/>
      </w:pPr>
      <w:r>
        <w:rPr>
          <w:w w:val="100"/>
        </w:rPr>
        <w:t> </w:t>
      </w:r>
    </w:p>
    <w:p>
      <w:pPr>
        <w:pStyle w:val="BodyText"/>
        <w:spacing w:before="2"/>
      </w:pPr>
      <w:r>
        <w:rPr>
          <w:w w:val="100"/>
        </w:rPr>
        <w:t> </w:t>
      </w:r>
    </w:p>
    <w:p>
      <w:pPr>
        <w:pStyle w:val="BodyText"/>
        <w:spacing w:before="4"/>
      </w:pPr>
      <w:r>
        <w:rPr/>
        <w:t>其他说明： </w:t>
      </w:r>
    </w:p>
    <w:p>
      <w:pPr>
        <w:pStyle w:val="BodyText"/>
        <w:spacing w:before="3"/>
      </w:pPr>
      <w:r>
        <w:rPr>
          <w:spacing w:val="-1"/>
        </w:rPr>
        <w:t>□适用 √不适用</w:t>
      </w:r>
      <w:r>
        <w:rPr>
          <w:spacing w:val="-3"/>
        </w:rPr>
        <w:t> </w:t>
      </w:r>
      <w:r>
        <w:rPr/>
        <w:t> </w:t>
      </w:r>
    </w:p>
    <w:p>
      <w:pPr>
        <w:pStyle w:val="BodyText"/>
        <w:spacing w:before="4"/>
      </w:pPr>
      <w:r>
        <w:rPr>
          <w:w w:val="100"/>
        </w:rPr>
        <w:t> </w:t>
      </w:r>
    </w:p>
    <w:p>
      <w:pPr>
        <w:pStyle w:val="BodyText"/>
        <w:spacing w:before="62"/>
      </w:pPr>
      <w:r>
        <w:rPr/>
        <w:t>固定资产清理 </w:t>
      </w:r>
    </w:p>
    <w:p>
      <w:pPr>
        <w:pStyle w:val="BodyText"/>
        <w:spacing w:before="65"/>
      </w:pPr>
      <w:r>
        <w:rPr>
          <w:spacing w:val="-1"/>
        </w:rPr>
        <w:t>□适用 √不适用</w:t>
      </w:r>
      <w:r>
        <w:rPr>
          <w:spacing w:val="-3"/>
        </w:rPr>
        <w:t> </w:t>
      </w:r>
      <w:r>
        <w:rPr/>
        <w:t> </w:t>
      </w:r>
    </w:p>
    <w:p>
      <w:pPr>
        <w:pStyle w:val="BodyText"/>
        <w:spacing w:before="2"/>
      </w:pPr>
      <w:r>
        <w:rPr>
          <w:w w:val="100"/>
        </w:rPr>
        <w:t> </w:t>
      </w:r>
    </w:p>
    <w:p>
      <w:pPr>
        <w:pStyle w:val="BodyText"/>
        <w:spacing w:before="4"/>
      </w:pPr>
      <w:r>
        <w:rPr>
          <w:w w:val="100"/>
        </w:rPr>
        <w:t> </w:t>
      </w:r>
    </w:p>
    <w:p>
      <w:pPr>
        <w:pStyle w:val="BodyText"/>
        <w:spacing w:line="297" w:lineRule="auto" w:before="63"/>
        <w:ind w:right="371"/>
      </w:pPr>
      <w:r>
        <w:rPr/>
        <w:t>22</w:t>
      </w:r>
      <w:r>
        <w:rPr>
          <w:spacing w:val="-5"/>
        </w:rPr>
        <w:t>、 在建工程</w:t>
      </w:r>
      <w:r>
        <w:rPr/>
        <w:t>项目列示 </w:t>
      </w:r>
    </w:p>
    <w:p>
      <w:pPr>
        <w:pStyle w:val="BodyText"/>
        <w:spacing w:line="267" w:lineRule="exact"/>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2"/>
        <w:ind w:left="0"/>
        <w:rPr>
          <w:sz w:val="18"/>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2144" w:space="4166"/>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3"/>
        <w:gridCol w:w="2863"/>
        <w:gridCol w:w="2846"/>
      </w:tblGrid>
      <w:tr>
        <w:trPr>
          <w:trHeight w:val="273" w:hRule="atLeast"/>
        </w:trPr>
        <w:tc>
          <w:tcPr>
            <w:tcW w:w="3113" w:type="dxa"/>
          </w:tcPr>
          <w:p>
            <w:pPr>
              <w:pStyle w:val="TableParagraph"/>
              <w:spacing w:line="252" w:lineRule="exact" w:before="1"/>
              <w:ind w:right="1229"/>
              <w:jc w:val="right"/>
              <w:rPr>
                <w:sz w:val="21"/>
              </w:rPr>
            </w:pPr>
            <w:r>
              <w:rPr>
                <w:sz w:val="21"/>
              </w:rPr>
              <w:t>项目 </w:t>
            </w:r>
          </w:p>
        </w:tc>
        <w:tc>
          <w:tcPr>
            <w:tcW w:w="2863" w:type="dxa"/>
          </w:tcPr>
          <w:p>
            <w:pPr>
              <w:pStyle w:val="TableParagraph"/>
              <w:spacing w:line="252" w:lineRule="exact" w:before="1"/>
              <w:ind w:left="1010"/>
              <w:rPr>
                <w:sz w:val="21"/>
              </w:rPr>
            </w:pPr>
            <w:r>
              <w:rPr>
                <w:spacing w:val="-1"/>
                <w:sz w:val="21"/>
              </w:rPr>
              <w:t>期末余额</w:t>
            </w:r>
            <w:r>
              <w:rPr>
                <w:sz w:val="21"/>
              </w:rPr>
              <w:t> </w:t>
            </w:r>
          </w:p>
        </w:tc>
        <w:tc>
          <w:tcPr>
            <w:tcW w:w="2846" w:type="dxa"/>
          </w:tcPr>
          <w:p>
            <w:pPr>
              <w:pStyle w:val="TableParagraph"/>
              <w:spacing w:line="252" w:lineRule="exact" w:before="1"/>
              <w:ind w:left="1003"/>
              <w:rPr>
                <w:sz w:val="21"/>
              </w:rPr>
            </w:pPr>
            <w:r>
              <w:rPr>
                <w:spacing w:val="-1"/>
                <w:sz w:val="21"/>
              </w:rPr>
              <w:t>期初余额</w:t>
            </w:r>
            <w:r>
              <w:rPr>
                <w:sz w:val="21"/>
              </w:rPr>
              <w:t> </w:t>
            </w:r>
          </w:p>
        </w:tc>
      </w:tr>
      <w:tr>
        <w:trPr>
          <w:trHeight w:val="270" w:hRule="atLeast"/>
        </w:trPr>
        <w:tc>
          <w:tcPr>
            <w:tcW w:w="3113" w:type="dxa"/>
          </w:tcPr>
          <w:p>
            <w:pPr>
              <w:pStyle w:val="TableParagraph"/>
              <w:spacing w:line="250" w:lineRule="exact" w:before="1"/>
              <w:ind w:left="112"/>
              <w:rPr>
                <w:sz w:val="21"/>
              </w:rPr>
            </w:pPr>
            <w:r>
              <w:rPr>
                <w:spacing w:val="-1"/>
                <w:sz w:val="21"/>
              </w:rPr>
              <w:t>在建工程</w:t>
            </w:r>
            <w:r>
              <w:rPr>
                <w:sz w:val="21"/>
              </w:rPr>
              <w:t> </w:t>
            </w:r>
          </w:p>
        </w:tc>
        <w:tc>
          <w:tcPr>
            <w:tcW w:w="2863" w:type="dxa"/>
          </w:tcPr>
          <w:p>
            <w:pPr>
              <w:pStyle w:val="TableParagraph"/>
              <w:spacing w:line="235" w:lineRule="exact"/>
              <w:ind w:right="104"/>
              <w:jc w:val="right"/>
              <w:rPr>
                <w:rFonts w:ascii="Times New Roman"/>
                <w:sz w:val="21"/>
              </w:rPr>
            </w:pPr>
            <w:r>
              <w:rPr>
                <w:rFonts w:ascii="Times New Roman"/>
                <w:sz w:val="21"/>
              </w:rPr>
              <w:t>701,408</w:t>
            </w:r>
          </w:p>
        </w:tc>
        <w:tc>
          <w:tcPr>
            <w:tcW w:w="2846" w:type="dxa"/>
          </w:tcPr>
          <w:p>
            <w:pPr>
              <w:pStyle w:val="TableParagraph"/>
              <w:spacing w:line="235" w:lineRule="exact"/>
              <w:ind w:left="1890"/>
              <w:rPr>
                <w:rFonts w:ascii="Times New Roman"/>
                <w:sz w:val="21"/>
              </w:rPr>
            </w:pPr>
            <w:r>
              <w:rPr>
                <w:rFonts w:ascii="Times New Roman"/>
                <w:sz w:val="21"/>
              </w:rPr>
              <w:t>1,414,692</w:t>
            </w:r>
          </w:p>
        </w:tc>
      </w:tr>
      <w:tr>
        <w:trPr>
          <w:trHeight w:val="273" w:hRule="atLeast"/>
        </w:trPr>
        <w:tc>
          <w:tcPr>
            <w:tcW w:w="3113" w:type="dxa"/>
          </w:tcPr>
          <w:p>
            <w:pPr>
              <w:pStyle w:val="TableParagraph"/>
              <w:spacing w:line="252" w:lineRule="exact" w:before="1"/>
              <w:ind w:left="112"/>
              <w:rPr>
                <w:sz w:val="21"/>
              </w:rPr>
            </w:pPr>
            <w:r>
              <w:rPr>
                <w:spacing w:val="-1"/>
                <w:sz w:val="21"/>
              </w:rPr>
              <w:t>工程物资</w:t>
            </w:r>
            <w:r>
              <w:rPr>
                <w:sz w:val="21"/>
              </w:rPr>
              <w:t> </w:t>
            </w:r>
          </w:p>
        </w:tc>
        <w:tc>
          <w:tcPr>
            <w:tcW w:w="2863" w:type="dxa"/>
          </w:tcPr>
          <w:p>
            <w:pPr>
              <w:pStyle w:val="TableParagraph"/>
              <w:spacing w:line="252" w:lineRule="exact" w:before="1"/>
              <w:ind w:right="1"/>
              <w:jc w:val="right"/>
              <w:rPr>
                <w:sz w:val="21"/>
              </w:rPr>
            </w:pPr>
            <w:r>
              <w:rPr>
                <w:w w:val="100"/>
                <w:sz w:val="21"/>
              </w:rPr>
              <w:t> </w:t>
            </w:r>
          </w:p>
        </w:tc>
        <w:tc>
          <w:tcPr>
            <w:tcW w:w="2846" w:type="dxa"/>
          </w:tcPr>
          <w:p>
            <w:pPr>
              <w:pStyle w:val="TableParagraph"/>
              <w:spacing w:line="252" w:lineRule="exact" w:before="1"/>
              <w:jc w:val="right"/>
              <w:rPr>
                <w:sz w:val="21"/>
              </w:rPr>
            </w:pPr>
            <w:r>
              <w:rPr>
                <w:w w:val="100"/>
                <w:sz w:val="21"/>
              </w:rPr>
              <w:t> </w:t>
            </w:r>
          </w:p>
        </w:tc>
      </w:tr>
      <w:tr>
        <w:trPr>
          <w:trHeight w:val="273" w:hRule="atLeast"/>
        </w:trPr>
        <w:tc>
          <w:tcPr>
            <w:tcW w:w="3113" w:type="dxa"/>
          </w:tcPr>
          <w:p>
            <w:pPr>
              <w:pStyle w:val="TableParagraph"/>
              <w:spacing w:line="252" w:lineRule="exact" w:before="1"/>
              <w:ind w:right="1229"/>
              <w:jc w:val="right"/>
              <w:rPr>
                <w:sz w:val="21"/>
              </w:rPr>
            </w:pPr>
            <w:r>
              <w:rPr>
                <w:sz w:val="21"/>
              </w:rPr>
              <w:t>合计 </w:t>
            </w:r>
          </w:p>
        </w:tc>
        <w:tc>
          <w:tcPr>
            <w:tcW w:w="2863" w:type="dxa"/>
          </w:tcPr>
          <w:p>
            <w:pPr>
              <w:pStyle w:val="TableParagraph"/>
              <w:spacing w:before="10"/>
              <w:ind w:right="100"/>
              <w:jc w:val="right"/>
              <w:rPr>
                <w:rFonts w:ascii="Times New Roman"/>
                <w:sz w:val="21"/>
              </w:rPr>
            </w:pPr>
            <w:r>
              <w:rPr>
                <w:rFonts w:ascii="Times New Roman"/>
                <w:sz w:val="21"/>
              </w:rPr>
              <w:t>701,408</w:t>
            </w:r>
          </w:p>
        </w:tc>
        <w:tc>
          <w:tcPr>
            <w:tcW w:w="2846" w:type="dxa"/>
          </w:tcPr>
          <w:p>
            <w:pPr>
              <w:pStyle w:val="TableParagraph"/>
              <w:spacing w:before="10"/>
              <w:ind w:right="94"/>
              <w:jc w:val="right"/>
              <w:rPr>
                <w:rFonts w:ascii="Times New Roman"/>
                <w:sz w:val="21"/>
              </w:rPr>
            </w:pPr>
            <w:r>
              <w:rPr>
                <w:rFonts w:ascii="Times New Roman"/>
                <w:sz w:val="21"/>
              </w:rPr>
              <w:t>1,414,692</w:t>
            </w:r>
          </w:p>
        </w:tc>
      </w:tr>
    </w:tbl>
    <w:p>
      <w:pPr>
        <w:spacing w:after="0"/>
        <w:jc w:val="right"/>
        <w:rPr>
          <w:rFonts w:ascii="Times New Roman"/>
          <w:sz w:val="21"/>
        </w:rPr>
        <w:sectPr>
          <w:type w:val="continuous"/>
          <w:pgSz w:w="11910" w:h="16840"/>
          <w:pgMar w:top="780" w:bottom="280" w:left="1480" w:right="0"/>
        </w:sectPr>
      </w:pPr>
    </w:p>
    <w:p>
      <w:pPr>
        <w:pStyle w:val="BodyText"/>
        <w:spacing w:before="1"/>
      </w:pPr>
      <w:r>
        <w:rPr>
          <w:w w:val="100"/>
        </w:rPr>
        <w:t> </w:t>
      </w:r>
    </w:p>
    <w:p>
      <w:pPr>
        <w:pStyle w:val="BodyText"/>
        <w:spacing w:before="2"/>
      </w:pPr>
      <w:r>
        <w:rPr/>
        <w:t>其他说明： </w:t>
      </w:r>
    </w:p>
    <w:p>
      <w:pPr>
        <w:pStyle w:val="BodyText"/>
        <w:spacing w:before="5"/>
      </w:pPr>
      <w:r>
        <w:rPr>
          <w:spacing w:val="-1"/>
        </w:rPr>
        <w:t>□适用 √不适用</w:t>
      </w:r>
      <w:r>
        <w:rPr>
          <w:spacing w:val="-3"/>
        </w:rPr>
        <w:t> </w:t>
      </w:r>
      <w:r>
        <w:rPr/>
        <w:t> </w:t>
      </w:r>
    </w:p>
    <w:p>
      <w:pPr>
        <w:pStyle w:val="BodyText"/>
        <w:spacing w:before="2"/>
      </w:pPr>
      <w:r>
        <w:rPr>
          <w:w w:val="100"/>
        </w:rPr>
        <w:t> </w:t>
      </w:r>
    </w:p>
    <w:p>
      <w:pPr>
        <w:pStyle w:val="BodyText"/>
        <w:spacing w:before="64"/>
      </w:pPr>
      <w:r>
        <w:rPr/>
        <w:t>在建工程 </w:t>
      </w:r>
    </w:p>
    <w:p>
      <w:pPr>
        <w:pStyle w:val="ListParagraph"/>
        <w:numPr>
          <w:ilvl w:val="0"/>
          <w:numId w:val="68"/>
        </w:numPr>
        <w:tabs>
          <w:tab w:pos="746" w:val="left" w:leader="none"/>
        </w:tabs>
        <w:spacing w:line="240" w:lineRule="auto" w:before="62" w:after="0"/>
        <w:ind w:left="745" w:right="0" w:hanging="428"/>
        <w:jc w:val="left"/>
        <w:rPr>
          <w:sz w:val="21"/>
        </w:rPr>
      </w:pPr>
      <w:r>
        <w:rPr>
          <w:sz w:val="21"/>
        </w:rPr>
        <w:t>在建工程情况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1"/>
        <w:ind w:left="0"/>
        <w:rPr>
          <w:sz w:val="22"/>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2156" w:space="4154"/>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26"/>
        <w:gridCol w:w="1157"/>
        <w:gridCol w:w="1159"/>
        <w:gridCol w:w="1145"/>
        <w:gridCol w:w="1188"/>
        <w:gridCol w:w="1160"/>
        <w:gridCol w:w="1188"/>
      </w:tblGrid>
      <w:tr>
        <w:trPr>
          <w:trHeight w:val="270" w:hRule="atLeast"/>
        </w:trPr>
        <w:tc>
          <w:tcPr>
            <w:tcW w:w="1826" w:type="dxa"/>
            <w:vMerge w:val="restart"/>
          </w:tcPr>
          <w:p>
            <w:pPr>
              <w:pStyle w:val="TableParagraph"/>
              <w:spacing w:before="142"/>
              <w:ind w:left="702"/>
              <w:rPr>
                <w:sz w:val="21"/>
              </w:rPr>
            </w:pPr>
            <w:r>
              <w:rPr>
                <w:sz w:val="21"/>
              </w:rPr>
              <w:t>项目 </w:t>
            </w:r>
          </w:p>
        </w:tc>
        <w:tc>
          <w:tcPr>
            <w:tcW w:w="3461" w:type="dxa"/>
            <w:gridSpan w:val="3"/>
          </w:tcPr>
          <w:p>
            <w:pPr>
              <w:pStyle w:val="TableParagraph"/>
              <w:spacing w:line="250" w:lineRule="exact" w:before="1"/>
              <w:ind w:left="1345" w:right="1229"/>
              <w:jc w:val="center"/>
              <w:rPr>
                <w:sz w:val="21"/>
              </w:rPr>
            </w:pPr>
            <w:r>
              <w:rPr>
                <w:spacing w:val="-1"/>
                <w:sz w:val="21"/>
              </w:rPr>
              <w:t>期末余额</w:t>
            </w:r>
            <w:r>
              <w:rPr>
                <w:sz w:val="21"/>
              </w:rPr>
              <w:t> </w:t>
            </w:r>
          </w:p>
        </w:tc>
        <w:tc>
          <w:tcPr>
            <w:tcW w:w="3536" w:type="dxa"/>
            <w:gridSpan w:val="3"/>
          </w:tcPr>
          <w:p>
            <w:pPr>
              <w:pStyle w:val="TableParagraph"/>
              <w:spacing w:line="250" w:lineRule="exact" w:before="1"/>
              <w:ind w:left="1382" w:right="1268"/>
              <w:jc w:val="center"/>
              <w:rPr>
                <w:sz w:val="21"/>
              </w:rPr>
            </w:pPr>
            <w:r>
              <w:rPr>
                <w:spacing w:val="-1"/>
                <w:sz w:val="21"/>
              </w:rPr>
              <w:t>期初余额</w:t>
            </w:r>
            <w:r>
              <w:rPr>
                <w:sz w:val="21"/>
              </w:rPr>
              <w:t> </w:t>
            </w:r>
          </w:p>
        </w:tc>
      </w:tr>
      <w:tr>
        <w:trPr>
          <w:trHeight w:val="273" w:hRule="atLeast"/>
        </w:trPr>
        <w:tc>
          <w:tcPr>
            <w:tcW w:w="1826" w:type="dxa"/>
            <w:vMerge/>
            <w:tcBorders>
              <w:top w:val="nil"/>
            </w:tcBorders>
          </w:tcPr>
          <w:p>
            <w:pPr>
              <w:rPr>
                <w:sz w:val="2"/>
                <w:szCs w:val="2"/>
              </w:rPr>
            </w:pPr>
          </w:p>
        </w:tc>
        <w:tc>
          <w:tcPr>
            <w:tcW w:w="1157" w:type="dxa"/>
          </w:tcPr>
          <w:p>
            <w:pPr>
              <w:pStyle w:val="TableParagraph"/>
              <w:spacing w:line="252" w:lineRule="exact" w:before="1"/>
              <w:ind w:right="40"/>
              <w:jc w:val="right"/>
              <w:rPr>
                <w:sz w:val="21"/>
              </w:rPr>
            </w:pPr>
            <w:r>
              <w:rPr>
                <w:spacing w:val="-1"/>
                <w:sz w:val="21"/>
              </w:rPr>
              <w:t>账面余额</w:t>
            </w:r>
            <w:r>
              <w:rPr>
                <w:sz w:val="21"/>
              </w:rPr>
              <w:t> </w:t>
            </w:r>
          </w:p>
        </w:tc>
        <w:tc>
          <w:tcPr>
            <w:tcW w:w="1159" w:type="dxa"/>
          </w:tcPr>
          <w:p>
            <w:pPr>
              <w:pStyle w:val="TableParagraph"/>
              <w:spacing w:line="252" w:lineRule="exact" w:before="1"/>
              <w:ind w:right="145"/>
              <w:jc w:val="right"/>
              <w:rPr>
                <w:sz w:val="21"/>
              </w:rPr>
            </w:pPr>
            <w:r>
              <w:rPr>
                <w:sz w:val="21"/>
              </w:rPr>
              <w:t>减值准备</w:t>
            </w:r>
          </w:p>
        </w:tc>
        <w:tc>
          <w:tcPr>
            <w:tcW w:w="1145" w:type="dxa"/>
          </w:tcPr>
          <w:p>
            <w:pPr>
              <w:pStyle w:val="TableParagraph"/>
              <w:spacing w:line="252" w:lineRule="exact" w:before="1"/>
              <w:ind w:right="138"/>
              <w:jc w:val="right"/>
              <w:rPr>
                <w:sz w:val="21"/>
              </w:rPr>
            </w:pPr>
            <w:r>
              <w:rPr>
                <w:sz w:val="21"/>
              </w:rPr>
              <w:t>账面价值</w:t>
            </w:r>
          </w:p>
        </w:tc>
        <w:tc>
          <w:tcPr>
            <w:tcW w:w="1188" w:type="dxa"/>
          </w:tcPr>
          <w:p>
            <w:pPr>
              <w:pStyle w:val="TableParagraph"/>
              <w:spacing w:line="252" w:lineRule="exact" w:before="1"/>
              <w:ind w:right="56"/>
              <w:jc w:val="right"/>
              <w:rPr>
                <w:sz w:val="21"/>
              </w:rPr>
            </w:pPr>
            <w:r>
              <w:rPr>
                <w:spacing w:val="-1"/>
                <w:sz w:val="21"/>
              </w:rPr>
              <w:t>账面余额</w:t>
            </w:r>
            <w:r>
              <w:rPr>
                <w:sz w:val="21"/>
              </w:rPr>
              <w:t> </w:t>
            </w:r>
          </w:p>
        </w:tc>
        <w:tc>
          <w:tcPr>
            <w:tcW w:w="1160" w:type="dxa"/>
          </w:tcPr>
          <w:p>
            <w:pPr>
              <w:pStyle w:val="TableParagraph"/>
              <w:spacing w:line="252" w:lineRule="exact" w:before="1"/>
              <w:ind w:left="159"/>
              <w:rPr>
                <w:sz w:val="21"/>
              </w:rPr>
            </w:pPr>
            <w:r>
              <w:rPr>
                <w:sz w:val="21"/>
              </w:rPr>
              <w:t>减值准备</w:t>
            </w:r>
          </w:p>
        </w:tc>
        <w:tc>
          <w:tcPr>
            <w:tcW w:w="1188" w:type="dxa"/>
          </w:tcPr>
          <w:p>
            <w:pPr>
              <w:pStyle w:val="TableParagraph"/>
              <w:spacing w:line="252" w:lineRule="exact" w:before="1"/>
              <w:ind w:left="173"/>
              <w:rPr>
                <w:sz w:val="21"/>
              </w:rPr>
            </w:pPr>
            <w:r>
              <w:rPr>
                <w:sz w:val="21"/>
              </w:rPr>
              <w:t>账面价值</w:t>
            </w:r>
          </w:p>
        </w:tc>
      </w:tr>
      <w:tr>
        <w:trPr>
          <w:trHeight w:val="544" w:hRule="atLeast"/>
        </w:trPr>
        <w:tc>
          <w:tcPr>
            <w:tcW w:w="1826" w:type="dxa"/>
          </w:tcPr>
          <w:p>
            <w:pPr>
              <w:pStyle w:val="TableParagraph"/>
              <w:spacing w:before="1"/>
              <w:ind w:left="107"/>
              <w:rPr>
                <w:sz w:val="21"/>
              </w:rPr>
            </w:pPr>
            <w:r>
              <w:rPr>
                <w:sz w:val="21"/>
              </w:rPr>
              <w:t>通信及移动网 </w:t>
            </w:r>
            <w:r>
              <w:rPr>
                <w:spacing w:val="-3"/>
                <w:sz w:val="21"/>
              </w:rPr>
              <w:t> </w:t>
            </w:r>
            <w:r>
              <w:rPr>
                <w:sz w:val="21"/>
              </w:rPr>
              <w:t> </w:t>
            </w:r>
          </w:p>
          <w:p>
            <w:pPr>
              <w:pStyle w:val="TableParagraph"/>
              <w:spacing w:line="252" w:lineRule="exact" w:before="2"/>
              <w:ind w:left="107"/>
              <w:rPr>
                <w:sz w:val="21"/>
              </w:rPr>
            </w:pPr>
            <w:r>
              <w:rPr>
                <w:sz w:val="21"/>
              </w:rPr>
              <w:t>络设备 </w:t>
            </w:r>
          </w:p>
        </w:tc>
        <w:tc>
          <w:tcPr>
            <w:tcW w:w="1157" w:type="dxa"/>
          </w:tcPr>
          <w:p>
            <w:pPr>
              <w:pStyle w:val="TableParagraph"/>
              <w:spacing w:before="144"/>
              <w:ind w:right="90"/>
              <w:jc w:val="right"/>
              <w:rPr>
                <w:rFonts w:ascii="Times New Roman"/>
                <w:sz w:val="21"/>
              </w:rPr>
            </w:pPr>
            <w:r>
              <w:rPr>
                <w:rFonts w:ascii="Times New Roman"/>
                <w:sz w:val="21"/>
              </w:rPr>
              <w:t>642,038</w:t>
            </w:r>
          </w:p>
        </w:tc>
        <w:tc>
          <w:tcPr>
            <w:tcW w:w="1159" w:type="dxa"/>
          </w:tcPr>
          <w:p>
            <w:pPr>
              <w:pStyle w:val="TableParagraph"/>
              <w:spacing w:line="235" w:lineRule="exact"/>
              <w:ind w:right="168"/>
              <w:jc w:val="right"/>
              <w:rPr>
                <w:rFonts w:ascii="Times New Roman"/>
                <w:sz w:val="21"/>
              </w:rPr>
            </w:pPr>
            <w:r>
              <w:rPr>
                <w:rFonts w:ascii="Times New Roman"/>
                <w:w w:val="100"/>
                <w:sz w:val="21"/>
              </w:rPr>
              <w:t>-</w:t>
            </w:r>
          </w:p>
        </w:tc>
        <w:tc>
          <w:tcPr>
            <w:tcW w:w="1145" w:type="dxa"/>
          </w:tcPr>
          <w:p>
            <w:pPr>
              <w:pStyle w:val="TableParagraph"/>
              <w:spacing w:before="144"/>
              <w:ind w:right="92"/>
              <w:jc w:val="right"/>
              <w:rPr>
                <w:rFonts w:ascii="Times New Roman"/>
                <w:sz w:val="21"/>
              </w:rPr>
            </w:pPr>
            <w:r>
              <w:rPr>
                <w:rFonts w:ascii="Times New Roman"/>
                <w:sz w:val="21"/>
              </w:rPr>
              <w:t>642,038</w:t>
            </w:r>
          </w:p>
        </w:tc>
        <w:tc>
          <w:tcPr>
            <w:tcW w:w="1188" w:type="dxa"/>
          </w:tcPr>
          <w:p>
            <w:pPr>
              <w:pStyle w:val="TableParagraph"/>
              <w:spacing w:before="144"/>
              <w:ind w:right="92"/>
              <w:jc w:val="right"/>
              <w:rPr>
                <w:rFonts w:ascii="Times New Roman"/>
                <w:sz w:val="21"/>
              </w:rPr>
            </w:pPr>
            <w:r>
              <w:rPr>
                <w:rFonts w:ascii="Times New Roman"/>
                <w:sz w:val="21"/>
              </w:rPr>
              <w:t>1,369,059</w:t>
            </w:r>
          </w:p>
        </w:tc>
        <w:tc>
          <w:tcPr>
            <w:tcW w:w="1160" w:type="dxa"/>
          </w:tcPr>
          <w:p>
            <w:pPr>
              <w:pStyle w:val="TableParagraph"/>
              <w:spacing w:line="235" w:lineRule="exact"/>
              <w:ind w:right="94"/>
              <w:jc w:val="right"/>
              <w:rPr>
                <w:rFonts w:ascii="Times New Roman"/>
                <w:sz w:val="21"/>
              </w:rPr>
            </w:pPr>
            <w:r>
              <w:rPr>
                <w:rFonts w:ascii="Times New Roman"/>
                <w:w w:val="100"/>
                <w:sz w:val="21"/>
              </w:rPr>
              <w:t>-</w:t>
            </w:r>
          </w:p>
        </w:tc>
        <w:tc>
          <w:tcPr>
            <w:tcW w:w="1188" w:type="dxa"/>
          </w:tcPr>
          <w:p>
            <w:pPr>
              <w:pStyle w:val="TableParagraph"/>
              <w:spacing w:line="235" w:lineRule="exact"/>
              <w:ind w:right="92"/>
              <w:jc w:val="right"/>
              <w:rPr>
                <w:rFonts w:ascii="Times New Roman"/>
                <w:sz w:val="21"/>
              </w:rPr>
            </w:pPr>
            <w:r>
              <w:rPr>
                <w:rFonts w:ascii="Times New Roman"/>
                <w:sz w:val="21"/>
              </w:rPr>
              <w:t>1,369,059</w:t>
            </w:r>
          </w:p>
        </w:tc>
      </w:tr>
      <w:tr>
        <w:trPr>
          <w:trHeight w:val="273" w:hRule="atLeast"/>
        </w:trPr>
        <w:tc>
          <w:tcPr>
            <w:tcW w:w="1826" w:type="dxa"/>
          </w:tcPr>
          <w:p>
            <w:pPr>
              <w:pStyle w:val="TableParagraph"/>
              <w:spacing w:line="252" w:lineRule="exact" w:before="1"/>
              <w:ind w:left="107"/>
              <w:rPr>
                <w:sz w:val="21"/>
              </w:rPr>
            </w:pPr>
            <w:r>
              <w:rPr>
                <w:sz w:val="21"/>
              </w:rPr>
              <w:t>云计算 </w:t>
            </w:r>
          </w:p>
        </w:tc>
        <w:tc>
          <w:tcPr>
            <w:tcW w:w="1157" w:type="dxa"/>
          </w:tcPr>
          <w:p>
            <w:pPr>
              <w:pStyle w:val="TableParagraph"/>
              <w:spacing w:before="10"/>
              <w:ind w:right="90"/>
              <w:jc w:val="right"/>
              <w:rPr>
                <w:rFonts w:ascii="Times New Roman"/>
                <w:sz w:val="21"/>
              </w:rPr>
            </w:pPr>
            <w:r>
              <w:rPr>
                <w:rFonts w:ascii="Times New Roman"/>
                <w:sz w:val="21"/>
              </w:rPr>
              <w:t>36,326</w:t>
            </w:r>
          </w:p>
        </w:tc>
        <w:tc>
          <w:tcPr>
            <w:tcW w:w="1159" w:type="dxa"/>
          </w:tcPr>
          <w:p>
            <w:pPr>
              <w:pStyle w:val="TableParagraph"/>
              <w:spacing w:line="235" w:lineRule="exact"/>
              <w:ind w:right="168"/>
              <w:jc w:val="right"/>
              <w:rPr>
                <w:rFonts w:ascii="Times New Roman"/>
                <w:sz w:val="21"/>
              </w:rPr>
            </w:pPr>
            <w:r>
              <w:rPr>
                <w:rFonts w:ascii="Times New Roman"/>
                <w:w w:val="100"/>
                <w:sz w:val="21"/>
              </w:rPr>
              <w:t>-</w:t>
            </w:r>
          </w:p>
        </w:tc>
        <w:tc>
          <w:tcPr>
            <w:tcW w:w="1145" w:type="dxa"/>
          </w:tcPr>
          <w:p>
            <w:pPr>
              <w:pStyle w:val="TableParagraph"/>
              <w:spacing w:before="10"/>
              <w:ind w:right="92"/>
              <w:jc w:val="right"/>
              <w:rPr>
                <w:rFonts w:ascii="Times New Roman"/>
                <w:sz w:val="21"/>
              </w:rPr>
            </w:pPr>
            <w:r>
              <w:rPr>
                <w:rFonts w:ascii="Times New Roman"/>
                <w:sz w:val="21"/>
              </w:rPr>
              <w:t>36,326</w:t>
            </w:r>
          </w:p>
        </w:tc>
        <w:tc>
          <w:tcPr>
            <w:tcW w:w="1188" w:type="dxa"/>
          </w:tcPr>
          <w:p>
            <w:pPr>
              <w:pStyle w:val="TableParagraph"/>
              <w:spacing w:before="10"/>
              <w:ind w:right="92"/>
              <w:jc w:val="right"/>
              <w:rPr>
                <w:rFonts w:ascii="Times New Roman"/>
                <w:sz w:val="21"/>
              </w:rPr>
            </w:pPr>
            <w:r>
              <w:rPr>
                <w:rFonts w:ascii="Times New Roman"/>
                <w:sz w:val="21"/>
              </w:rPr>
              <w:t>34,412</w:t>
            </w:r>
          </w:p>
        </w:tc>
        <w:tc>
          <w:tcPr>
            <w:tcW w:w="1160" w:type="dxa"/>
          </w:tcPr>
          <w:p>
            <w:pPr>
              <w:pStyle w:val="TableParagraph"/>
              <w:spacing w:line="235" w:lineRule="exact"/>
              <w:ind w:right="94"/>
              <w:jc w:val="right"/>
              <w:rPr>
                <w:rFonts w:ascii="Times New Roman"/>
                <w:sz w:val="21"/>
              </w:rPr>
            </w:pPr>
            <w:r>
              <w:rPr>
                <w:rFonts w:ascii="Times New Roman"/>
                <w:w w:val="100"/>
                <w:sz w:val="21"/>
              </w:rPr>
              <w:t>-</w:t>
            </w:r>
          </w:p>
        </w:tc>
        <w:tc>
          <w:tcPr>
            <w:tcW w:w="1188" w:type="dxa"/>
          </w:tcPr>
          <w:p>
            <w:pPr>
              <w:pStyle w:val="TableParagraph"/>
              <w:spacing w:line="235" w:lineRule="exact"/>
              <w:ind w:right="92"/>
              <w:jc w:val="right"/>
              <w:rPr>
                <w:rFonts w:ascii="Times New Roman"/>
                <w:sz w:val="21"/>
              </w:rPr>
            </w:pPr>
            <w:r>
              <w:rPr>
                <w:rFonts w:ascii="Times New Roman"/>
                <w:sz w:val="21"/>
              </w:rPr>
              <w:t>34,412</w:t>
            </w:r>
          </w:p>
        </w:tc>
      </w:tr>
      <w:tr>
        <w:trPr>
          <w:trHeight w:val="270" w:hRule="atLeast"/>
        </w:trPr>
        <w:tc>
          <w:tcPr>
            <w:tcW w:w="1826" w:type="dxa"/>
          </w:tcPr>
          <w:p>
            <w:pPr>
              <w:pStyle w:val="TableParagraph"/>
              <w:spacing w:line="250" w:lineRule="exact" w:before="1"/>
              <w:ind w:left="107"/>
              <w:rPr>
                <w:sz w:val="21"/>
              </w:rPr>
            </w:pPr>
            <w:r>
              <w:rPr>
                <w:sz w:val="21"/>
              </w:rPr>
              <w:t>工业互联网 </w:t>
            </w:r>
          </w:p>
        </w:tc>
        <w:tc>
          <w:tcPr>
            <w:tcW w:w="1157" w:type="dxa"/>
          </w:tcPr>
          <w:p>
            <w:pPr>
              <w:pStyle w:val="TableParagraph"/>
              <w:spacing w:before="7"/>
              <w:ind w:right="90"/>
              <w:jc w:val="right"/>
              <w:rPr>
                <w:rFonts w:ascii="Times New Roman"/>
                <w:sz w:val="21"/>
              </w:rPr>
            </w:pPr>
            <w:r>
              <w:rPr>
                <w:rFonts w:ascii="Times New Roman"/>
                <w:sz w:val="21"/>
              </w:rPr>
              <w:t>23,044</w:t>
            </w:r>
          </w:p>
        </w:tc>
        <w:tc>
          <w:tcPr>
            <w:tcW w:w="1159" w:type="dxa"/>
          </w:tcPr>
          <w:p>
            <w:pPr>
              <w:pStyle w:val="TableParagraph"/>
              <w:spacing w:line="235" w:lineRule="exact"/>
              <w:ind w:right="168"/>
              <w:jc w:val="right"/>
              <w:rPr>
                <w:rFonts w:ascii="Times New Roman"/>
                <w:sz w:val="21"/>
              </w:rPr>
            </w:pPr>
            <w:r>
              <w:rPr>
                <w:rFonts w:ascii="Times New Roman"/>
                <w:w w:val="100"/>
                <w:sz w:val="21"/>
              </w:rPr>
              <w:t>-</w:t>
            </w:r>
          </w:p>
        </w:tc>
        <w:tc>
          <w:tcPr>
            <w:tcW w:w="1145" w:type="dxa"/>
          </w:tcPr>
          <w:p>
            <w:pPr>
              <w:pStyle w:val="TableParagraph"/>
              <w:spacing w:before="7"/>
              <w:ind w:right="92"/>
              <w:jc w:val="right"/>
              <w:rPr>
                <w:rFonts w:ascii="Times New Roman"/>
                <w:sz w:val="21"/>
              </w:rPr>
            </w:pPr>
            <w:r>
              <w:rPr>
                <w:rFonts w:ascii="Times New Roman"/>
                <w:sz w:val="21"/>
              </w:rPr>
              <w:t>23,044</w:t>
            </w:r>
          </w:p>
        </w:tc>
        <w:tc>
          <w:tcPr>
            <w:tcW w:w="1188" w:type="dxa"/>
          </w:tcPr>
          <w:p>
            <w:pPr>
              <w:pStyle w:val="TableParagraph"/>
              <w:spacing w:before="7"/>
              <w:ind w:right="92"/>
              <w:jc w:val="right"/>
              <w:rPr>
                <w:rFonts w:ascii="Times New Roman"/>
                <w:sz w:val="21"/>
              </w:rPr>
            </w:pPr>
            <w:r>
              <w:rPr>
                <w:rFonts w:ascii="Times New Roman"/>
                <w:sz w:val="21"/>
              </w:rPr>
              <w:t>11,221</w:t>
            </w:r>
          </w:p>
        </w:tc>
        <w:tc>
          <w:tcPr>
            <w:tcW w:w="1160" w:type="dxa"/>
          </w:tcPr>
          <w:p>
            <w:pPr>
              <w:pStyle w:val="TableParagraph"/>
              <w:spacing w:line="235" w:lineRule="exact"/>
              <w:ind w:right="94"/>
              <w:jc w:val="right"/>
              <w:rPr>
                <w:rFonts w:ascii="Times New Roman"/>
                <w:sz w:val="21"/>
              </w:rPr>
            </w:pPr>
            <w:r>
              <w:rPr>
                <w:rFonts w:ascii="Times New Roman"/>
                <w:w w:val="100"/>
                <w:sz w:val="21"/>
              </w:rPr>
              <w:t>-</w:t>
            </w:r>
          </w:p>
        </w:tc>
        <w:tc>
          <w:tcPr>
            <w:tcW w:w="1188" w:type="dxa"/>
          </w:tcPr>
          <w:p>
            <w:pPr>
              <w:pStyle w:val="TableParagraph"/>
              <w:spacing w:line="235" w:lineRule="exact"/>
              <w:ind w:right="92"/>
              <w:jc w:val="right"/>
              <w:rPr>
                <w:rFonts w:ascii="Times New Roman"/>
                <w:sz w:val="21"/>
              </w:rPr>
            </w:pPr>
            <w:r>
              <w:rPr>
                <w:rFonts w:ascii="Times New Roman"/>
                <w:sz w:val="21"/>
              </w:rPr>
              <w:t>11,221</w:t>
            </w:r>
          </w:p>
        </w:tc>
      </w:tr>
      <w:tr>
        <w:trPr>
          <w:trHeight w:val="273" w:hRule="atLeast"/>
        </w:trPr>
        <w:tc>
          <w:tcPr>
            <w:tcW w:w="1826" w:type="dxa"/>
          </w:tcPr>
          <w:p>
            <w:pPr>
              <w:pStyle w:val="TableParagraph"/>
              <w:spacing w:line="252" w:lineRule="exact" w:before="1"/>
              <w:ind w:left="702"/>
              <w:rPr>
                <w:sz w:val="21"/>
              </w:rPr>
            </w:pPr>
            <w:r>
              <w:rPr>
                <w:sz w:val="21"/>
              </w:rPr>
              <w:t>合计 </w:t>
            </w:r>
          </w:p>
        </w:tc>
        <w:tc>
          <w:tcPr>
            <w:tcW w:w="1157" w:type="dxa"/>
          </w:tcPr>
          <w:p>
            <w:pPr>
              <w:pStyle w:val="TableParagraph"/>
              <w:spacing w:before="10"/>
              <w:ind w:right="90"/>
              <w:jc w:val="right"/>
              <w:rPr>
                <w:rFonts w:ascii="Times New Roman"/>
                <w:sz w:val="21"/>
              </w:rPr>
            </w:pPr>
            <w:r>
              <w:rPr>
                <w:rFonts w:ascii="Times New Roman"/>
                <w:sz w:val="21"/>
              </w:rPr>
              <w:t>701,408</w:t>
            </w:r>
          </w:p>
        </w:tc>
        <w:tc>
          <w:tcPr>
            <w:tcW w:w="1159" w:type="dxa"/>
          </w:tcPr>
          <w:p>
            <w:pPr>
              <w:pStyle w:val="TableParagraph"/>
              <w:spacing w:line="235" w:lineRule="exact"/>
              <w:ind w:right="168"/>
              <w:jc w:val="right"/>
              <w:rPr>
                <w:rFonts w:ascii="Times New Roman"/>
                <w:sz w:val="21"/>
              </w:rPr>
            </w:pPr>
            <w:r>
              <w:rPr>
                <w:rFonts w:ascii="Times New Roman"/>
                <w:w w:val="100"/>
                <w:sz w:val="21"/>
              </w:rPr>
              <w:t>-</w:t>
            </w:r>
          </w:p>
        </w:tc>
        <w:tc>
          <w:tcPr>
            <w:tcW w:w="1145" w:type="dxa"/>
          </w:tcPr>
          <w:p>
            <w:pPr>
              <w:pStyle w:val="TableParagraph"/>
              <w:spacing w:before="10"/>
              <w:ind w:right="92"/>
              <w:jc w:val="right"/>
              <w:rPr>
                <w:rFonts w:ascii="Times New Roman"/>
                <w:sz w:val="21"/>
              </w:rPr>
            </w:pPr>
            <w:r>
              <w:rPr>
                <w:rFonts w:ascii="Times New Roman"/>
                <w:sz w:val="21"/>
              </w:rPr>
              <w:t>701,408</w:t>
            </w:r>
          </w:p>
        </w:tc>
        <w:tc>
          <w:tcPr>
            <w:tcW w:w="1188" w:type="dxa"/>
          </w:tcPr>
          <w:p>
            <w:pPr>
              <w:pStyle w:val="TableParagraph"/>
              <w:spacing w:line="235" w:lineRule="exact"/>
              <w:ind w:right="92"/>
              <w:jc w:val="right"/>
              <w:rPr>
                <w:rFonts w:ascii="Times New Roman"/>
                <w:sz w:val="21"/>
              </w:rPr>
            </w:pPr>
            <w:r>
              <w:rPr>
                <w:rFonts w:ascii="Times New Roman"/>
                <w:sz w:val="21"/>
              </w:rPr>
              <w:t>1,414,692</w:t>
            </w:r>
          </w:p>
        </w:tc>
        <w:tc>
          <w:tcPr>
            <w:tcW w:w="1160" w:type="dxa"/>
          </w:tcPr>
          <w:p>
            <w:pPr>
              <w:pStyle w:val="TableParagraph"/>
              <w:spacing w:line="235" w:lineRule="exact"/>
              <w:ind w:right="94"/>
              <w:jc w:val="right"/>
              <w:rPr>
                <w:rFonts w:ascii="Times New Roman"/>
                <w:sz w:val="21"/>
              </w:rPr>
            </w:pPr>
            <w:r>
              <w:rPr>
                <w:rFonts w:ascii="Times New Roman"/>
                <w:w w:val="100"/>
                <w:sz w:val="21"/>
              </w:rPr>
              <w:t>-</w:t>
            </w:r>
          </w:p>
        </w:tc>
        <w:tc>
          <w:tcPr>
            <w:tcW w:w="1188" w:type="dxa"/>
          </w:tcPr>
          <w:p>
            <w:pPr>
              <w:pStyle w:val="TableParagraph"/>
              <w:spacing w:line="235" w:lineRule="exact"/>
              <w:ind w:right="92"/>
              <w:jc w:val="right"/>
              <w:rPr>
                <w:rFonts w:ascii="Times New Roman"/>
                <w:sz w:val="21"/>
              </w:rPr>
            </w:pPr>
            <w:r>
              <w:rPr>
                <w:rFonts w:ascii="Times New Roman"/>
                <w:sz w:val="21"/>
              </w:rPr>
              <w:t>1,414,692</w:t>
            </w:r>
          </w:p>
        </w:tc>
      </w:tr>
    </w:tbl>
    <w:p>
      <w:pPr>
        <w:pStyle w:val="BodyText"/>
        <w:spacing w:before="5"/>
      </w:pPr>
      <w:r>
        <w:rPr>
          <w:w w:val="100"/>
        </w:rPr>
        <w:t> </w:t>
      </w:r>
    </w:p>
    <w:p>
      <w:pPr>
        <w:spacing w:after="0"/>
        <w:sectPr>
          <w:type w:val="continuous"/>
          <w:pgSz w:w="11910" w:h="16840"/>
          <w:pgMar w:top="780" w:bottom="280" w:left="1480" w:right="0"/>
        </w:sectPr>
      </w:pPr>
    </w:p>
    <w:p>
      <w:pPr>
        <w:pStyle w:val="BodyText"/>
        <w:spacing w:before="2"/>
        <w:ind w:left="0"/>
        <w:rPr>
          <w:sz w:val="26"/>
        </w:rPr>
      </w:pPr>
    </w:p>
    <w:p>
      <w:pPr>
        <w:pStyle w:val="ListParagraph"/>
        <w:numPr>
          <w:ilvl w:val="0"/>
          <w:numId w:val="68"/>
        </w:numPr>
        <w:tabs>
          <w:tab w:pos="746" w:val="left" w:leader="none"/>
        </w:tabs>
        <w:spacing w:line="240" w:lineRule="auto" w:before="71" w:after="0"/>
        <w:ind w:left="745" w:right="0" w:hanging="428"/>
        <w:jc w:val="left"/>
        <w:rPr>
          <w:sz w:val="21"/>
        </w:rPr>
      </w:pPr>
      <w:r>
        <w:rPr>
          <w:sz w:val="21"/>
        </w:rPr>
        <w:t>重要在建工程项目本期变动情况 </w:t>
      </w:r>
    </w:p>
    <w:p>
      <w:pPr>
        <w:pStyle w:val="BodyText"/>
        <w:spacing w:before="65"/>
      </w:pPr>
      <w:r>
        <w:rPr>
          <w:spacing w:val="-1"/>
        </w:rPr>
        <w:t>√适用 □不适用</w:t>
      </w:r>
      <w:r>
        <w:rPr>
          <w:spacing w:val="-3"/>
        </w:rPr>
        <w:t> </w:t>
      </w:r>
      <w:r>
        <w:rPr/>
        <w:t> </w:t>
      </w:r>
    </w:p>
    <w:p>
      <w:pPr>
        <w:pStyle w:val="BodyText"/>
        <w:spacing w:before="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6"/>
        <w:gridCol w:w="412"/>
        <w:gridCol w:w="734"/>
        <w:gridCol w:w="508"/>
        <w:gridCol w:w="640"/>
        <w:gridCol w:w="734"/>
        <w:gridCol w:w="900"/>
        <w:gridCol w:w="391"/>
        <w:gridCol w:w="573"/>
        <w:gridCol w:w="638"/>
        <w:gridCol w:w="410"/>
        <w:gridCol w:w="391"/>
        <w:gridCol w:w="345"/>
        <w:gridCol w:w="475"/>
        <w:gridCol w:w="410"/>
        <w:gridCol w:w="388"/>
      </w:tblGrid>
      <w:tr>
        <w:trPr>
          <w:trHeight w:val="3813" w:hRule="atLeast"/>
        </w:trPr>
        <w:tc>
          <w:tcPr>
            <w:tcW w:w="866"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8"/>
              <w:rPr>
                <w:sz w:val="27"/>
              </w:rPr>
            </w:pPr>
          </w:p>
          <w:p>
            <w:pPr>
              <w:pStyle w:val="TableParagraph"/>
              <w:spacing w:line="242" w:lineRule="auto"/>
              <w:ind w:left="170" w:right="158"/>
              <w:rPr>
                <w:sz w:val="21"/>
              </w:rPr>
            </w:pPr>
            <w:r>
              <w:rPr>
                <w:sz w:val="21"/>
              </w:rPr>
              <w:t>项目名称 </w:t>
            </w:r>
          </w:p>
        </w:tc>
        <w:tc>
          <w:tcPr>
            <w:tcW w:w="412"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2"/>
              <w:rPr>
                <w:sz w:val="16"/>
              </w:rPr>
            </w:pPr>
          </w:p>
          <w:p>
            <w:pPr>
              <w:pStyle w:val="TableParagraph"/>
              <w:spacing w:line="242" w:lineRule="auto"/>
              <w:ind w:left="108" w:right="-29"/>
              <w:jc w:val="both"/>
              <w:rPr>
                <w:sz w:val="21"/>
              </w:rPr>
            </w:pPr>
            <w:r>
              <w:rPr>
                <w:sz w:val="21"/>
              </w:rPr>
              <w:t>预算数 </w:t>
            </w:r>
          </w:p>
        </w:tc>
        <w:tc>
          <w:tcPr>
            <w:tcW w:w="734"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3"/>
              <w:rPr>
                <w:sz w:val="26"/>
              </w:rPr>
            </w:pPr>
          </w:p>
          <w:p>
            <w:pPr>
              <w:pStyle w:val="TableParagraph"/>
              <w:spacing w:line="242" w:lineRule="auto"/>
              <w:ind w:left="207" w:right="197"/>
              <w:rPr>
                <w:sz w:val="21"/>
              </w:rPr>
            </w:pPr>
            <w:r>
              <w:rPr>
                <w:sz w:val="21"/>
              </w:rPr>
              <w:t>期初余额 </w:t>
            </w:r>
          </w:p>
        </w:tc>
        <w:tc>
          <w:tcPr>
            <w:tcW w:w="508" w:type="dxa"/>
          </w:tcPr>
          <w:p>
            <w:pPr>
              <w:pStyle w:val="TableParagraph"/>
              <w:rPr>
                <w:sz w:val="20"/>
              </w:rPr>
            </w:pPr>
          </w:p>
          <w:p>
            <w:pPr>
              <w:pStyle w:val="TableParagraph"/>
              <w:spacing w:before="7"/>
              <w:rPr>
                <w:sz w:val="22"/>
              </w:rPr>
            </w:pPr>
          </w:p>
          <w:p>
            <w:pPr>
              <w:pStyle w:val="TableParagraph"/>
              <w:spacing w:line="242" w:lineRule="auto"/>
              <w:ind w:left="109" w:right="69"/>
              <w:jc w:val="both"/>
              <w:rPr>
                <w:sz w:val="21"/>
              </w:rPr>
            </w:pPr>
            <w:r>
              <w:rPr>
                <w:sz w:val="21"/>
              </w:rPr>
              <w:t>非同一控制下企业合并 </w:t>
            </w:r>
          </w:p>
        </w:tc>
        <w:tc>
          <w:tcPr>
            <w:tcW w:w="640" w:type="dxa"/>
          </w:tcPr>
          <w:p>
            <w:pPr>
              <w:pStyle w:val="TableParagraph"/>
              <w:rPr>
                <w:sz w:val="20"/>
              </w:rPr>
            </w:pPr>
          </w:p>
          <w:p>
            <w:pPr>
              <w:pStyle w:val="TableParagraph"/>
              <w:rPr>
                <w:sz w:val="20"/>
              </w:rPr>
            </w:pPr>
          </w:p>
          <w:p>
            <w:pPr>
              <w:pStyle w:val="TableParagraph"/>
              <w:rPr>
                <w:sz w:val="20"/>
              </w:rPr>
            </w:pPr>
          </w:p>
          <w:p>
            <w:pPr>
              <w:pStyle w:val="TableParagraph"/>
              <w:spacing w:before="1"/>
              <w:rPr>
                <w:sz w:val="25"/>
              </w:rPr>
            </w:pPr>
          </w:p>
          <w:p>
            <w:pPr>
              <w:pStyle w:val="TableParagraph"/>
              <w:spacing w:line="242" w:lineRule="auto"/>
              <w:ind w:left="163" w:right="147"/>
              <w:jc w:val="both"/>
              <w:rPr>
                <w:sz w:val="21"/>
              </w:rPr>
            </w:pPr>
            <w:r>
              <w:rPr>
                <w:sz w:val="21"/>
              </w:rPr>
              <w:t>本期增加金额 </w:t>
            </w:r>
          </w:p>
        </w:tc>
        <w:tc>
          <w:tcPr>
            <w:tcW w:w="734"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spacing w:line="242" w:lineRule="auto"/>
              <w:ind w:left="121" w:right="75"/>
              <w:jc w:val="both"/>
              <w:rPr>
                <w:sz w:val="21"/>
              </w:rPr>
            </w:pPr>
            <w:r>
              <w:rPr>
                <w:sz w:val="21"/>
              </w:rPr>
              <w:t>本期转入固定资产金额 </w:t>
            </w:r>
          </w:p>
        </w:tc>
        <w:tc>
          <w:tcPr>
            <w:tcW w:w="900"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spacing w:line="242" w:lineRule="auto"/>
              <w:ind w:left="111" w:right="250"/>
              <w:jc w:val="both"/>
              <w:rPr>
                <w:sz w:val="21"/>
              </w:rPr>
            </w:pPr>
            <w:r>
              <w:rPr>
                <w:sz w:val="21"/>
              </w:rPr>
              <w:t>本年转入长期待摊费用 </w:t>
            </w:r>
          </w:p>
        </w:tc>
        <w:tc>
          <w:tcPr>
            <w:tcW w:w="391" w:type="dxa"/>
          </w:tcPr>
          <w:p>
            <w:pPr>
              <w:pStyle w:val="TableParagraph"/>
              <w:rPr>
                <w:sz w:val="20"/>
              </w:rPr>
            </w:pPr>
          </w:p>
          <w:p>
            <w:pPr>
              <w:pStyle w:val="TableParagraph"/>
              <w:rPr>
                <w:sz w:val="20"/>
              </w:rPr>
            </w:pPr>
          </w:p>
          <w:p>
            <w:pPr>
              <w:pStyle w:val="TableParagraph"/>
              <w:spacing w:before="9"/>
              <w:rPr>
                <w:sz w:val="23"/>
              </w:rPr>
            </w:pPr>
          </w:p>
          <w:p>
            <w:pPr>
              <w:pStyle w:val="TableParagraph"/>
              <w:spacing w:line="242" w:lineRule="auto" w:before="1"/>
              <w:ind w:left="112" w:right="-58"/>
              <w:jc w:val="both"/>
              <w:rPr>
                <w:sz w:val="21"/>
              </w:rPr>
            </w:pPr>
            <w:r>
              <w:rPr>
                <w:sz w:val="21"/>
              </w:rPr>
              <w:t>本期其他减少金额 </w:t>
            </w:r>
          </w:p>
        </w:tc>
        <w:tc>
          <w:tcPr>
            <w:tcW w:w="573" w:type="dxa"/>
          </w:tcPr>
          <w:p>
            <w:pPr>
              <w:pStyle w:val="TableParagraph"/>
              <w:rPr>
                <w:sz w:val="20"/>
              </w:rPr>
            </w:pPr>
          </w:p>
          <w:p>
            <w:pPr>
              <w:pStyle w:val="TableParagraph"/>
              <w:rPr>
                <w:sz w:val="20"/>
              </w:rPr>
            </w:pPr>
          </w:p>
          <w:p>
            <w:pPr>
              <w:pStyle w:val="TableParagraph"/>
              <w:spacing w:line="242" w:lineRule="auto" w:before="170"/>
              <w:ind w:left="182" w:right="62"/>
              <w:jc w:val="both"/>
              <w:rPr>
                <w:sz w:val="21"/>
              </w:rPr>
            </w:pPr>
            <w:r>
              <w:rPr>
                <w:sz w:val="21"/>
              </w:rPr>
              <w:t>外币报表折算差异 </w:t>
            </w:r>
          </w:p>
          <w:p>
            <w:pPr>
              <w:pStyle w:val="TableParagraph"/>
              <w:spacing w:before="6"/>
              <w:ind w:left="287"/>
              <w:rPr>
                <w:sz w:val="21"/>
              </w:rPr>
            </w:pPr>
            <w:r>
              <w:rPr>
                <w:w w:val="100"/>
                <w:sz w:val="21"/>
              </w:rPr>
              <w:t> </w:t>
            </w:r>
          </w:p>
        </w:tc>
        <w:tc>
          <w:tcPr>
            <w:tcW w:w="638"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8"/>
              <w:rPr>
                <w:sz w:val="27"/>
              </w:rPr>
            </w:pPr>
          </w:p>
          <w:p>
            <w:pPr>
              <w:pStyle w:val="TableParagraph"/>
              <w:spacing w:line="242" w:lineRule="auto"/>
              <w:ind w:left="113" w:right="-15"/>
              <w:rPr>
                <w:sz w:val="21"/>
              </w:rPr>
            </w:pPr>
            <w:r>
              <w:rPr>
                <w:sz w:val="21"/>
              </w:rPr>
              <w:t>期末余额 </w:t>
            </w:r>
          </w:p>
        </w:tc>
        <w:tc>
          <w:tcPr>
            <w:tcW w:w="410" w:type="dxa"/>
          </w:tcPr>
          <w:p>
            <w:pPr>
              <w:pStyle w:val="TableParagraph"/>
              <w:spacing w:line="242" w:lineRule="auto" w:before="1"/>
              <w:ind w:left="113" w:right="73"/>
              <w:jc w:val="both"/>
              <w:rPr>
                <w:sz w:val="21"/>
              </w:rPr>
            </w:pPr>
            <w:r>
              <w:rPr>
                <w:sz w:val="21"/>
              </w:rPr>
              <w:t>工程累计投入占预算比例(</w:t>
            </w:r>
          </w:p>
          <w:p>
            <w:pPr>
              <w:pStyle w:val="TableParagraph"/>
              <w:spacing w:before="8"/>
              <w:ind w:left="156"/>
              <w:rPr>
                <w:sz w:val="21"/>
              </w:rPr>
            </w:pPr>
            <w:r>
              <w:rPr>
                <w:w w:val="100"/>
                <w:sz w:val="21"/>
              </w:rPr>
              <w:t>%</w:t>
            </w:r>
          </w:p>
          <w:p>
            <w:pPr>
              <w:pStyle w:val="TableParagraph"/>
              <w:spacing w:line="252" w:lineRule="exact" w:before="2"/>
              <w:ind w:left="156"/>
              <w:rPr>
                <w:sz w:val="21"/>
              </w:rPr>
            </w:pPr>
            <w:r>
              <w:rPr>
                <w:sz w:val="21"/>
              </w:rPr>
              <w:t>) </w:t>
            </w:r>
          </w:p>
        </w:tc>
        <w:tc>
          <w:tcPr>
            <w:tcW w:w="391"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3"/>
              <w:rPr>
                <w:sz w:val="26"/>
              </w:rPr>
            </w:pPr>
          </w:p>
          <w:p>
            <w:pPr>
              <w:pStyle w:val="TableParagraph"/>
              <w:spacing w:line="242" w:lineRule="auto"/>
              <w:ind w:left="113" w:right="-58"/>
              <w:jc w:val="both"/>
              <w:rPr>
                <w:sz w:val="21"/>
              </w:rPr>
            </w:pPr>
            <w:r>
              <w:rPr>
                <w:sz w:val="21"/>
              </w:rPr>
              <w:t>工程进度 </w:t>
            </w:r>
          </w:p>
        </w:tc>
        <w:tc>
          <w:tcPr>
            <w:tcW w:w="345" w:type="dxa"/>
          </w:tcPr>
          <w:p>
            <w:pPr>
              <w:pStyle w:val="TableParagraph"/>
              <w:rPr>
                <w:sz w:val="20"/>
              </w:rPr>
            </w:pPr>
          </w:p>
          <w:p>
            <w:pPr>
              <w:pStyle w:val="TableParagraph"/>
              <w:rPr>
                <w:sz w:val="20"/>
              </w:rPr>
            </w:pPr>
          </w:p>
          <w:p>
            <w:pPr>
              <w:pStyle w:val="TableParagraph"/>
              <w:spacing w:line="242" w:lineRule="auto" w:before="170"/>
              <w:ind w:left="112" w:right="9"/>
              <w:jc w:val="both"/>
              <w:rPr>
                <w:sz w:val="21"/>
              </w:rPr>
            </w:pPr>
            <w:r>
              <w:rPr>
                <w:sz w:val="21"/>
              </w:rPr>
              <w:t>利息资本化累计金额</w:t>
            </w:r>
          </w:p>
        </w:tc>
        <w:tc>
          <w:tcPr>
            <w:tcW w:w="475" w:type="dxa"/>
          </w:tcPr>
          <w:p>
            <w:pPr>
              <w:pStyle w:val="TableParagraph"/>
              <w:spacing w:before="3"/>
              <w:rPr>
                <w:sz w:val="21"/>
              </w:rPr>
            </w:pPr>
          </w:p>
          <w:p>
            <w:pPr>
              <w:pStyle w:val="TableParagraph"/>
              <w:spacing w:line="244" w:lineRule="auto"/>
              <w:ind w:left="136" w:right="114"/>
              <w:rPr>
                <w:sz w:val="21"/>
              </w:rPr>
            </w:pPr>
            <w:r>
              <w:rPr>
                <w:sz w:val="21"/>
              </w:rPr>
              <w:t>其中</w:t>
            </w:r>
          </w:p>
          <w:p>
            <w:pPr>
              <w:pStyle w:val="TableParagraph"/>
              <w:spacing w:line="242" w:lineRule="auto"/>
              <w:ind w:left="136" w:right="9"/>
              <w:jc w:val="both"/>
              <w:rPr>
                <w:sz w:val="21"/>
              </w:rPr>
            </w:pPr>
            <w:r>
              <w:rPr>
                <w:sz w:val="21"/>
              </w:rPr>
              <w:t>：</w:t>
            </w:r>
            <w:r>
              <w:rPr>
                <w:spacing w:val="1"/>
                <w:sz w:val="21"/>
              </w:rPr>
              <w:t> </w:t>
            </w:r>
            <w:r>
              <w:rPr>
                <w:sz w:val="21"/>
              </w:rPr>
              <w:t>本期利息资本化金额 </w:t>
            </w:r>
          </w:p>
        </w:tc>
        <w:tc>
          <w:tcPr>
            <w:tcW w:w="410" w:type="dxa"/>
          </w:tcPr>
          <w:p>
            <w:pPr>
              <w:pStyle w:val="TableParagraph"/>
              <w:rPr>
                <w:sz w:val="20"/>
              </w:rPr>
            </w:pPr>
          </w:p>
          <w:p>
            <w:pPr>
              <w:pStyle w:val="TableParagraph"/>
              <w:spacing w:line="242" w:lineRule="auto" w:before="152"/>
              <w:ind w:left="115" w:right="71"/>
              <w:jc w:val="both"/>
              <w:rPr>
                <w:sz w:val="21"/>
              </w:rPr>
            </w:pPr>
            <w:r>
              <w:rPr>
                <w:sz w:val="21"/>
              </w:rPr>
              <w:t>本期利息资本化率(</w:t>
            </w:r>
          </w:p>
          <w:p>
            <w:pPr>
              <w:pStyle w:val="TableParagraph"/>
              <w:spacing w:before="8"/>
              <w:ind w:left="158"/>
              <w:rPr>
                <w:sz w:val="21"/>
              </w:rPr>
            </w:pPr>
            <w:r>
              <w:rPr>
                <w:w w:val="100"/>
                <w:sz w:val="21"/>
              </w:rPr>
              <w:t>%</w:t>
            </w:r>
          </w:p>
          <w:p>
            <w:pPr>
              <w:pStyle w:val="TableParagraph"/>
              <w:spacing w:before="2"/>
              <w:ind w:left="158"/>
              <w:rPr>
                <w:sz w:val="21"/>
              </w:rPr>
            </w:pPr>
            <w:r>
              <w:rPr>
                <w:sz w:val="21"/>
              </w:rPr>
              <w:t>) </w:t>
            </w:r>
          </w:p>
        </w:tc>
        <w:tc>
          <w:tcPr>
            <w:tcW w:w="388"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3"/>
              <w:rPr>
                <w:sz w:val="26"/>
              </w:rPr>
            </w:pPr>
          </w:p>
          <w:p>
            <w:pPr>
              <w:pStyle w:val="TableParagraph"/>
              <w:spacing w:line="242" w:lineRule="auto"/>
              <w:ind w:left="115" w:right="-58"/>
              <w:jc w:val="both"/>
              <w:rPr>
                <w:sz w:val="21"/>
              </w:rPr>
            </w:pPr>
            <w:r>
              <w:rPr>
                <w:sz w:val="21"/>
              </w:rPr>
              <w:t>资金来源 </w:t>
            </w:r>
          </w:p>
        </w:tc>
      </w:tr>
      <w:tr>
        <w:trPr>
          <w:trHeight w:val="1634" w:hRule="atLeast"/>
        </w:trPr>
        <w:tc>
          <w:tcPr>
            <w:tcW w:w="866" w:type="dxa"/>
          </w:tcPr>
          <w:p>
            <w:pPr>
              <w:pStyle w:val="TableParagraph"/>
              <w:spacing w:line="242" w:lineRule="auto" w:before="1"/>
              <w:ind w:left="107" w:right="323"/>
              <w:rPr>
                <w:sz w:val="21"/>
              </w:rPr>
            </w:pPr>
            <w:r>
              <w:rPr>
                <w:spacing w:val="-1"/>
                <w:sz w:val="21"/>
              </w:rPr>
              <w:t>通信及移</w:t>
            </w:r>
            <w:r>
              <w:rPr>
                <w:sz w:val="21"/>
              </w:rPr>
              <w:t>动</w:t>
            </w:r>
            <w:r>
              <w:rPr>
                <w:spacing w:val="1"/>
                <w:sz w:val="21"/>
              </w:rPr>
              <w:t> </w:t>
            </w:r>
            <w:r>
              <w:rPr>
                <w:sz w:val="21"/>
              </w:rPr>
              <w:t>网 </w:t>
            </w:r>
          </w:p>
          <w:p>
            <w:pPr>
              <w:pStyle w:val="TableParagraph"/>
              <w:spacing w:line="270" w:lineRule="atLeast"/>
              <w:ind w:left="107" w:right="218"/>
              <w:rPr>
                <w:sz w:val="21"/>
              </w:rPr>
            </w:pPr>
            <w:r>
              <w:rPr>
                <w:w w:val="100"/>
                <w:sz w:val="21"/>
              </w:rPr>
              <w:t> </w:t>
            </w:r>
            <w:r>
              <w:rPr>
                <w:sz w:val="21"/>
              </w:rPr>
              <w:t> </w:t>
            </w:r>
            <w:r>
              <w:rPr>
                <w:w w:val="100"/>
                <w:sz w:val="21"/>
              </w:rPr>
              <w:t> </w:t>
            </w:r>
            <w:r>
              <w:rPr>
                <w:spacing w:val="-2"/>
                <w:sz w:val="21"/>
              </w:rPr>
              <w:t>络</w:t>
            </w:r>
            <w:r>
              <w:rPr>
                <w:sz w:val="21"/>
              </w:rPr>
              <w:t>设备 </w:t>
            </w:r>
          </w:p>
        </w:tc>
        <w:tc>
          <w:tcPr>
            <w:tcW w:w="412" w:type="dxa"/>
          </w:tcPr>
          <w:p>
            <w:pPr>
              <w:pStyle w:val="TableParagraph"/>
              <w:spacing w:before="1"/>
              <w:ind w:right="95"/>
              <w:jc w:val="right"/>
              <w:rPr>
                <w:sz w:val="21"/>
              </w:rPr>
            </w:pPr>
            <w:r>
              <w:rPr>
                <w:w w:val="100"/>
                <w:sz w:val="21"/>
              </w:rPr>
              <w:t> </w:t>
            </w:r>
          </w:p>
        </w:tc>
        <w:tc>
          <w:tcPr>
            <w:tcW w:w="734" w:type="dxa"/>
          </w:tcPr>
          <w:p>
            <w:pPr>
              <w:pStyle w:val="TableParagraph"/>
              <w:rPr>
                <w:sz w:val="22"/>
              </w:rPr>
            </w:pPr>
          </w:p>
          <w:p>
            <w:pPr>
              <w:pStyle w:val="TableParagraph"/>
              <w:spacing w:before="5"/>
              <w:rPr>
                <w:sz w:val="22"/>
              </w:rPr>
            </w:pPr>
          </w:p>
          <w:p>
            <w:pPr>
              <w:pStyle w:val="TableParagraph"/>
              <w:spacing w:line="241" w:lineRule="exact"/>
              <w:ind w:left="154"/>
              <w:rPr>
                <w:rFonts w:ascii="Times New Roman"/>
                <w:sz w:val="21"/>
              </w:rPr>
            </w:pPr>
            <w:r>
              <w:rPr>
                <w:rFonts w:ascii="Times New Roman"/>
                <w:sz w:val="21"/>
              </w:rPr>
              <w:t>1,369</w:t>
            </w:r>
          </w:p>
          <w:p>
            <w:pPr>
              <w:pStyle w:val="TableParagraph"/>
              <w:spacing w:line="241" w:lineRule="exact"/>
              <w:ind w:left="260"/>
              <w:rPr>
                <w:rFonts w:ascii="Times New Roman"/>
                <w:sz w:val="21"/>
              </w:rPr>
            </w:pPr>
            <w:r>
              <w:rPr>
                <w:rFonts w:ascii="Times New Roman"/>
                <w:sz w:val="21"/>
              </w:rPr>
              <w:t>,059</w:t>
            </w:r>
          </w:p>
        </w:tc>
        <w:tc>
          <w:tcPr>
            <w:tcW w:w="508" w:type="dxa"/>
          </w:tcPr>
          <w:p>
            <w:pPr>
              <w:pStyle w:val="TableParagraph"/>
              <w:rPr>
                <w:sz w:val="22"/>
              </w:rPr>
            </w:pPr>
          </w:p>
          <w:p>
            <w:pPr>
              <w:pStyle w:val="TableParagraph"/>
              <w:spacing w:before="5"/>
              <w:rPr>
                <w:sz w:val="22"/>
              </w:rPr>
            </w:pPr>
          </w:p>
          <w:p>
            <w:pPr>
              <w:pStyle w:val="TableParagraph"/>
              <w:spacing w:line="241" w:lineRule="exact"/>
              <w:ind w:left="141"/>
              <w:rPr>
                <w:rFonts w:ascii="Times New Roman"/>
                <w:sz w:val="21"/>
              </w:rPr>
            </w:pPr>
            <w:r>
              <w:rPr>
                <w:rFonts w:ascii="Times New Roman"/>
                <w:sz w:val="21"/>
              </w:rPr>
              <w:t>1,0</w:t>
            </w:r>
          </w:p>
          <w:p>
            <w:pPr>
              <w:pStyle w:val="TableParagraph"/>
              <w:spacing w:line="241" w:lineRule="exact"/>
              <w:ind w:left="191"/>
              <w:rPr>
                <w:rFonts w:ascii="Times New Roman"/>
                <w:sz w:val="21"/>
              </w:rPr>
            </w:pPr>
            <w:r>
              <w:rPr>
                <w:rFonts w:ascii="Times New Roman"/>
                <w:sz w:val="21"/>
              </w:rPr>
              <w:t>71</w:t>
            </w:r>
          </w:p>
        </w:tc>
        <w:tc>
          <w:tcPr>
            <w:tcW w:w="640" w:type="dxa"/>
          </w:tcPr>
          <w:p>
            <w:pPr>
              <w:pStyle w:val="TableParagraph"/>
              <w:rPr>
                <w:sz w:val="22"/>
              </w:rPr>
            </w:pPr>
          </w:p>
          <w:p>
            <w:pPr>
              <w:pStyle w:val="TableParagraph"/>
              <w:spacing w:before="5"/>
              <w:rPr>
                <w:sz w:val="22"/>
              </w:rPr>
            </w:pPr>
          </w:p>
          <w:p>
            <w:pPr>
              <w:pStyle w:val="TableParagraph"/>
              <w:spacing w:line="241" w:lineRule="exact"/>
              <w:ind w:left="165"/>
              <w:rPr>
                <w:rFonts w:ascii="Times New Roman"/>
                <w:sz w:val="21"/>
              </w:rPr>
            </w:pPr>
            <w:r>
              <w:rPr>
                <w:rFonts w:ascii="Times New Roman"/>
                <w:sz w:val="21"/>
              </w:rPr>
              <w:t>314,</w:t>
            </w:r>
          </w:p>
          <w:p>
            <w:pPr>
              <w:pStyle w:val="TableParagraph"/>
              <w:spacing w:line="241" w:lineRule="exact"/>
              <w:ind w:left="218"/>
              <w:rPr>
                <w:rFonts w:ascii="Times New Roman"/>
                <w:sz w:val="21"/>
              </w:rPr>
            </w:pPr>
            <w:r>
              <w:rPr>
                <w:rFonts w:ascii="Times New Roman"/>
                <w:sz w:val="21"/>
              </w:rPr>
              <w:t>246</w:t>
            </w:r>
          </w:p>
        </w:tc>
        <w:tc>
          <w:tcPr>
            <w:tcW w:w="734" w:type="dxa"/>
          </w:tcPr>
          <w:p>
            <w:pPr>
              <w:pStyle w:val="TableParagraph"/>
              <w:rPr>
                <w:sz w:val="22"/>
              </w:rPr>
            </w:pPr>
          </w:p>
          <w:p>
            <w:pPr>
              <w:pStyle w:val="TableParagraph"/>
              <w:spacing w:before="165"/>
              <w:ind w:left="157" w:right="89" w:firstLine="403"/>
              <w:jc w:val="right"/>
              <w:rPr>
                <w:rFonts w:ascii="Times New Roman"/>
                <w:sz w:val="21"/>
              </w:rPr>
            </w:pPr>
            <w:r>
              <w:rPr>
                <w:rFonts w:ascii="Times New Roman"/>
                <w:sz w:val="21"/>
              </w:rPr>
              <w:t>-</w:t>
            </w:r>
            <w:r>
              <w:rPr>
                <w:rFonts w:ascii="Times New Roman"/>
                <w:spacing w:val="-50"/>
                <w:sz w:val="21"/>
              </w:rPr>
              <w:t> </w:t>
            </w:r>
            <w:r>
              <w:rPr>
                <w:rFonts w:ascii="Times New Roman"/>
                <w:sz w:val="21"/>
              </w:rPr>
              <w:t>941,4</w:t>
            </w:r>
          </w:p>
          <w:p>
            <w:pPr>
              <w:pStyle w:val="TableParagraph"/>
              <w:spacing w:before="2"/>
              <w:ind w:right="92"/>
              <w:jc w:val="right"/>
              <w:rPr>
                <w:rFonts w:ascii="Times New Roman"/>
                <w:sz w:val="21"/>
              </w:rPr>
            </w:pPr>
            <w:r>
              <w:rPr>
                <w:rFonts w:ascii="Times New Roman"/>
                <w:sz w:val="21"/>
              </w:rPr>
              <w:t>85</w:t>
            </w:r>
          </w:p>
        </w:tc>
        <w:tc>
          <w:tcPr>
            <w:tcW w:w="900" w:type="dxa"/>
          </w:tcPr>
          <w:p>
            <w:pPr>
              <w:pStyle w:val="TableParagraph"/>
              <w:rPr>
                <w:sz w:val="22"/>
              </w:rPr>
            </w:pPr>
          </w:p>
          <w:p>
            <w:pPr>
              <w:pStyle w:val="TableParagraph"/>
              <w:spacing w:before="5"/>
              <w:rPr>
                <w:sz w:val="22"/>
              </w:rPr>
            </w:pPr>
          </w:p>
          <w:p>
            <w:pPr>
              <w:pStyle w:val="TableParagraph"/>
              <w:ind w:left="114" w:right="73" w:firstLine="612"/>
              <w:rPr>
                <w:rFonts w:ascii="Times New Roman"/>
                <w:sz w:val="21"/>
              </w:rPr>
            </w:pPr>
            <w:r>
              <w:rPr>
                <w:rFonts w:ascii="Times New Roman"/>
                <w:sz w:val="21"/>
              </w:rPr>
              <w:t>-</w:t>
            </w:r>
            <w:r>
              <w:rPr>
                <w:rFonts w:ascii="Times New Roman"/>
                <w:spacing w:val="-50"/>
                <w:sz w:val="21"/>
              </w:rPr>
              <w:t> </w:t>
            </w:r>
            <w:r>
              <w:rPr>
                <w:rFonts w:ascii="Times New Roman"/>
                <w:sz w:val="21"/>
              </w:rPr>
              <w:t>129,649</w:t>
            </w:r>
          </w:p>
        </w:tc>
        <w:tc>
          <w:tcPr>
            <w:tcW w:w="391" w:type="dxa"/>
          </w:tcPr>
          <w:p>
            <w:pPr>
              <w:pStyle w:val="TableParagraph"/>
              <w:rPr>
                <w:sz w:val="24"/>
              </w:rPr>
            </w:pPr>
          </w:p>
          <w:p>
            <w:pPr>
              <w:pStyle w:val="TableParagraph"/>
              <w:spacing w:before="6"/>
              <w:rPr>
                <w:sz w:val="27"/>
              </w:rPr>
            </w:pPr>
          </w:p>
          <w:p>
            <w:pPr>
              <w:pStyle w:val="TableParagraph"/>
              <w:ind w:left="112"/>
              <w:rPr>
                <w:sz w:val="24"/>
              </w:rPr>
            </w:pPr>
            <w:r>
              <w:rPr>
                <w:sz w:val="24"/>
              </w:rPr>
              <w:t> </w:t>
            </w:r>
          </w:p>
        </w:tc>
        <w:tc>
          <w:tcPr>
            <w:tcW w:w="573" w:type="dxa"/>
          </w:tcPr>
          <w:p>
            <w:pPr>
              <w:pStyle w:val="TableParagraph"/>
              <w:rPr>
                <w:sz w:val="22"/>
              </w:rPr>
            </w:pPr>
          </w:p>
          <w:p>
            <w:pPr>
              <w:pStyle w:val="TableParagraph"/>
              <w:spacing w:before="5"/>
              <w:rPr>
                <w:sz w:val="22"/>
              </w:rPr>
            </w:pPr>
          </w:p>
          <w:p>
            <w:pPr>
              <w:pStyle w:val="TableParagraph"/>
              <w:spacing w:line="241" w:lineRule="exact"/>
              <w:ind w:left="206"/>
              <w:rPr>
                <w:rFonts w:ascii="Times New Roman"/>
                <w:sz w:val="21"/>
              </w:rPr>
            </w:pPr>
            <w:r>
              <w:rPr>
                <w:rFonts w:ascii="Times New Roman"/>
                <w:sz w:val="21"/>
              </w:rPr>
              <w:t>28,</w:t>
            </w:r>
          </w:p>
          <w:p>
            <w:pPr>
              <w:pStyle w:val="TableParagraph"/>
              <w:spacing w:line="241" w:lineRule="exact"/>
              <w:ind w:left="153"/>
              <w:rPr>
                <w:rFonts w:ascii="Times New Roman"/>
                <w:sz w:val="21"/>
              </w:rPr>
            </w:pPr>
            <w:r>
              <w:rPr>
                <w:rFonts w:ascii="Times New Roman"/>
                <w:sz w:val="21"/>
              </w:rPr>
              <w:t>796</w:t>
            </w:r>
          </w:p>
        </w:tc>
        <w:tc>
          <w:tcPr>
            <w:tcW w:w="638" w:type="dxa"/>
          </w:tcPr>
          <w:p>
            <w:pPr>
              <w:pStyle w:val="TableParagraph"/>
              <w:rPr>
                <w:sz w:val="22"/>
              </w:rPr>
            </w:pPr>
          </w:p>
          <w:p>
            <w:pPr>
              <w:pStyle w:val="TableParagraph"/>
              <w:spacing w:before="5"/>
              <w:rPr>
                <w:sz w:val="22"/>
              </w:rPr>
            </w:pPr>
          </w:p>
          <w:p>
            <w:pPr>
              <w:pStyle w:val="TableParagraph"/>
              <w:spacing w:line="241" w:lineRule="exact"/>
              <w:ind w:left="168"/>
              <w:rPr>
                <w:rFonts w:ascii="Times New Roman"/>
                <w:sz w:val="21"/>
              </w:rPr>
            </w:pPr>
            <w:r>
              <w:rPr>
                <w:rFonts w:ascii="Times New Roman"/>
                <w:sz w:val="21"/>
              </w:rPr>
              <w:t>642,</w:t>
            </w:r>
          </w:p>
          <w:p>
            <w:pPr>
              <w:pStyle w:val="TableParagraph"/>
              <w:spacing w:line="241" w:lineRule="exact"/>
              <w:ind w:left="221"/>
              <w:rPr>
                <w:rFonts w:ascii="Times New Roman"/>
                <w:sz w:val="21"/>
              </w:rPr>
            </w:pPr>
            <w:r>
              <w:rPr>
                <w:rFonts w:ascii="Times New Roman"/>
                <w:sz w:val="21"/>
              </w:rPr>
              <w:t>038</w:t>
            </w:r>
          </w:p>
        </w:tc>
        <w:tc>
          <w:tcPr>
            <w:tcW w:w="410" w:type="dxa"/>
          </w:tcPr>
          <w:p>
            <w:pPr>
              <w:pStyle w:val="TableParagraph"/>
              <w:spacing w:before="1"/>
              <w:ind w:right="-15"/>
              <w:jc w:val="right"/>
              <w:rPr>
                <w:sz w:val="21"/>
              </w:rPr>
            </w:pPr>
            <w:r>
              <w:rPr>
                <w:w w:val="100"/>
                <w:sz w:val="21"/>
              </w:rPr>
              <w:t> </w:t>
            </w:r>
          </w:p>
        </w:tc>
        <w:tc>
          <w:tcPr>
            <w:tcW w:w="391" w:type="dxa"/>
          </w:tcPr>
          <w:p>
            <w:pPr>
              <w:pStyle w:val="TableParagraph"/>
              <w:spacing w:before="1"/>
              <w:ind w:right="-15"/>
              <w:jc w:val="right"/>
              <w:rPr>
                <w:sz w:val="21"/>
              </w:rPr>
            </w:pPr>
            <w:r>
              <w:rPr>
                <w:w w:val="100"/>
                <w:sz w:val="21"/>
              </w:rPr>
              <w:t> </w:t>
            </w:r>
          </w:p>
        </w:tc>
        <w:tc>
          <w:tcPr>
            <w:tcW w:w="345" w:type="dxa"/>
          </w:tcPr>
          <w:p>
            <w:pPr>
              <w:pStyle w:val="TableParagraph"/>
              <w:spacing w:before="1"/>
              <w:ind w:right="-15"/>
              <w:jc w:val="right"/>
              <w:rPr>
                <w:sz w:val="21"/>
              </w:rPr>
            </w:pPr>
            <w:r>
              <w:rPr>
                <w:w w:val="100"/>
                <w:sz w:val="21"/>
              </w:rPr>
              <w:t> </w:t>
            </w:r>
          </w:p>
        </w:tc>
        <w:tc>
          <w:tcPr>
            <w:tcW w:w="475" w:type="dxa"/>
          </w:tcPr>
          <w:p>
            <w:pPr>
              <w:pStyle w:val="TableParagraph"/>
              <w:spacing w:before="1"/>
              <w:ind w:right="-15"/>
              <w:jc w:val="right"/>
              <w:rPr>
                <w:sz w:val="21"/>
              </w:rPr>
            </w:pPr>
            <w:r>
              <w:rPr>
                <w:w w:val="100"/>
                <w:sz w:val="21"/>
              </w:rPr>
              <w:t> </w:t>
            </w:r>
          </w:p>
        </w:tc>
        <w:tc>
          <w:tcPr>
            <w:tcW w:w="410" w:type="dxa"/>
          </w:tcPr>
          <w:p>
            <w:pPr>
              <w:pStyle w:val="TableParagraph"/>
              <w:spacing w:before="1"/>
              <w:ind w:right="-29"/>
              <w:jc w:val="right"/>
              <w:rPr>
                <w:sz w:val="21"/>
              </w:rPr>
            </w:pPr>
            <w:r>
              <w:rPr>
                <w:w w:val="100"/>
                <w:sz w:val="21"/>
              </w:rPr>
              <w:t> </w:t>
            </w:r>
          </w:p>
        </w:tc>
        <w:tc>
          <w:tcPr>
            <w:tcW w:w="388" w:type="dxa"/>
          </w:tcPr>
          <w:p>
            <w:pPr>
              <w:pStyle w:val="TableParagraph"/>
              <w:spacing w:line="242" w:lineRule="auto" w:before="1"/>
              <w:ind w:left="115" w:right="-58"/>
              <w:jc w:val="both"/>
              <w:rPr>
                <w:sz w:val="21"/>
              </w:rPr>
            </w:pPr>
            <w:r>
              <w:rPr>
                <w:sz w:val="21"/>
              </w:rPr>
              <w:t>自有资金 </w:t>
            </w:r>
          </w:p>
        </w:tc>
      </w:tr>
      <w:tr>
        <w:trPr>
          <w:trHeight w:val="1089" w:hRule="atLeast"/>
        </w:trPr>
        <w:tc>
          <w:tcPr>
            <w:tcW w:w="866" w:type="dxa"/>
          </w:tcPr>
          <w:p>
            <w:pPr>
              <w:pStyle w:val="TableParagraph"/>
              <w:spacing w:line="242" w:lineRule="auto" w:before="1"/>
              <w:ind w:left="107" w:right="323"/>
              <w:rPr>
                <w:sz w:val="21"/>
              </w:rPr>
            </w:pPr>
            <w:r>
              <w:rPr>
                <w:spacing w:val="-1"/>
                <w:sz w:val="21"/>
              </w:rPr>
              <w:t>云计</w:t>
            </w:r>
            <w:r>
              <w:rPr>
                <w:sz w:val="21"/>
              </w:rPr>
              <w:t>算 </w:t>
            </w:r>
          </w:p>
        </w:tc>
        <w:tc>
          <w:tcPr>
            <w:tcW w:w="412" w:type="dxa"/>
          </w:tcPr>
          <w:p>
            <w:pPr>
              <w:pStyle w:val="TableParagraph"/>
              <w:spacing w:before="1"/>
              <w:ind w:right="95"/>
              <w:jc w:val="right"/>
              <w:rPr>
                <w:sz w:val="21"/>
              </w:rPr>
            </w:pPr>
            <w:r>
              <w:rPr>
                <w:w w:val="100"/>
                <w:sz w:val="21"/>
              </w:rPr>
              <w:t> </w:t>
            </w:r>
          </w:p>
        </w:tc>
        <w:tc>
          <w:tcPr>
            <w:tcW w:w="734" w:type="dxa"/>
          </w:tcPr>
          <w:p>
            <w:pPr>
              <w:pStyle w:val="TableParagraph"/>
              <w:spacing w:before="1"/>
              <w:rPr>
                <w:sz w:val="23"/>
              </w:rPr>
            </w:pPr>
          </w:p>
          <w:p>
            <w:pPr>
              <w:pStyle w:val="TableParagraph"/>
              <w:ind w:right="92"/>
              <w:jc w:val="right"/>
              <w:rPr>
                <w:rFonts w:ascii="Times New Roman"/>
                <w:sz w:val="21"/>
              </w:rPr>
            </w:pPr>
            <w:r>
              <w:rPr>
                <w:rFonts w:ascii="Times New Roman"/>
                <w:sz w:val="21"/>
              </w:rPr>
              <w:t>34,41</w:t>
            </w:r>
          </w:p>
          <w:p>
            <w:pPr>
              <w:pStyle w:val="TableParagraph"/>
              <w:spacing w:before="1"/>
              <w:ind w:right="94"/>
              <w:jc w:val="right"/>
              <w:rPr>
                <w:rFonts w:ascii="Times New Roman"/>
                <w:sz w:val="21"/>
              </w:rPr>
            </w:pPr>
            <w:r>
              <w:rPr>
                <w:rFonts w:ascii="Times New Roman"/>
                <w:w w:val="100"/>
                <w:sz w:val="21"/>
              </w:rPr>
              <w:t>2</w:t>
            </w:r>
          </w:p>
        </w:tc>
        <w:tc>
          <w:tcPr>
            <w:tcW w:w="508" w:type="dxa"/>
          </w:tcPr>
          <w:p>
            <w:pPr>
              <w:pStyle w:val="TableParagraph"/>
              <w:spacing w:before="8"/>
              <w:rPr>
                <w:sz w:val="32"/>
              </w:rPr>
            </w:pPr>
          </w:p>
          <w:p>
            <w:pPr>
              <w:pStyle w:val="TableParagraph"/>
              <w:ind w:right="92"/>
              <w:jc w:val="right"/>
              <w:rPr>
                <w:rFonts w:ascii="Times New Roman"/>
                <w:sz w:val="21"/>
              </w:rPr>
            </w:pPr>
            <w:r>
              <w:rPr>
                <w:rFonts w:ascii="Times New Roman"/>
                <w:w w:val="100"/>
                <w:sz w:val="21"/>
              </w:rPr>
              <w:t>-</w:t>
            </w:r>
          </w:p>
        </w:tc>
        <w:tc>
          <w:tcPr>
            <w:tcW w:w="640" w:type="dxa"/>
          </w:tcPr>
          <w:p>
            <w:pPr>
              <w:pStyle w:val="TableParagraph"/>
              <w:spacing w:before="1"/>
              <w:rPr>
                <w:sz w:val="23"/>
              </w:rPr>
            </w:pPr>
          </w:p>
          <w:p>
            <w:pPr>
              <w:pStyle w:val="TableParagraph"/>
              <w:ind w:left="165"/>
              <w:rPr>
                <w:rFonts w:ascii="Times New Roman"/>
                <w:sz w:val="21"/>
              </w:rPr>
            </w:pPr>
            <w:r>
              <w:rPr>
                <w:rFonts w:ascii="Times New Roman"/>
                <w:sz w:val="21"/>
              </w:rPr>
              <w:t>135,</w:t>
            </w:r>
          </w:p>
          <w:p>
            <w:pPr>
              <w:pStyle w:val="TableParagraph"/>
              <w:spacing w:before="1"/>
              <w:ind w:left="218"/>
              <w:rPr>
                <w:rFonts w:ascii="Times New Roman"/>
                <w:sz w:val="21"/>
              </w:rPr>
            </w:pPr>
            <w:r>
              <w:rPr>
                <w:rFonts w:ascii="Times New Roman"/>
                <w:sz w:val="21"/>
              </w:rPr>
              <w:t>602</w:t>
            </w:r>
          </w:p>
        </w:tc>
        <w:tc>
          <w:tcPr>
            <w:tcW w:w="734" w:type="dxa"/>
          </w:tcPr>
          <w:p>
            <w:pPr>
              <w:pStyle w:val="TableParagraph"/>
              <w:spacing w:before="175"/>
              <w:ind w:left="157" w:right="89" w:firstLine="403"/>
              <w:jc w:val="right"/>
              <w:rPr>
                <w:rFonts w:ascii="Times New Roman"/>
                <w:sz w:val="21"/>
              </w:rPr>
            </w:pPr>
            <w:r>
              <w:rPr>
                <w:rFonts w:ascii="Times New Roman"/>
                <w:sz w:val="21"/>
              </w:rPr>
              <w:t>-</w:t>
            </w:r>
            <w:r>
              <w:rPr>
                <w:rFonts w:ascii="Times New Roman"/>
                <w:spacing w:val="-50"/>
                <w:sz w:val="21"/>
              </w:rPr>
              <w:t> </w:t>
            </w:r>
            <w:r>
              <w:rPr>
                <w:rFonts w:ascii="Times New Roman"/>
                <w:sz w:val="21"/>
              </w:rPr>
              <w:t>133,5</w:t>
            </w:r>
          </w:p>
          <w:p>
            <w:pPr>
              <w:pStyle w:val="TableParagraph"/>
              <w:spacing w:line="241" w:lineRule="exact"/>
              <w:ind w:right="92"/>
              <w:jc w:val="right"/>
              <w:rPr>
                <w:rFonts w:ascii="Times New Roman"/>
                <w:sz w:val="21"/>
              </w:rPr>
            </w:pPr>
            <w:r>
              <w:rPr>
                <w:rFonts w:ascii="Times New Roman"/>
                <w:sz w:val="21"/>
              </w:rPr>
              <w:t>36</w:t>
            </w:r>
          </w:p>
        </w:tc>
        <w:tc>
          <w:tcPr>
            <w:tcW w:w="900" w:type="dxa"/>
          </w:tcPr>
          <w:p>
            <w:pPr>
              <w:pStyle w:val="TableParagraph"/>
              <w:spacing w:before="175"/>
              <w:ind w:right="511"/>
              <w:jc w:val="right"/>
              <w:rPr>
                <w:rFonts w:ascii="Times New Roman"/>
                <w:sz w:val="21"/>
              </w:rPr>
            </w:pPr>
            <w:r>
              <w:rPr>
                <w:rFonts w:ascii="Times New Roman"/>
                <w:w w:val="100"/>
                <w:sz w:val="21"/>
              </w:rPr>
              <w:t>-</w:t>
            </w:r>
          </w:p>
          <w:p>
            <w:pPr>
              <w:pStyle w:val="TableParagraph"/>
              <w:spacing w:line="241" w:lineRule="exact" w:before="1"/>
              <w:ind w:right="509"/>
              <w:jc w:val="right"/>
              <w:rPr>
                <w:rFonts w:ascii="Times New Roman"/>
                <w:sz w:val="21"/>
              </w:rPr>
            </w:pPr>
            <w:r>
              <w:rPr>
                <w:rFonts w:ascii="Times New Roman"/>
                <w:sz w:val="21"/>
              </w:rPr>
              <w:t>1,5</w:t>
            </w:r>
          </w:p>
          <w:p>
            <w:pPr>
              <w:pStyle w:val="TableParagraph"/>
              <w:spacing w:line="241" w:lineRule="exact"/>
              <w:ind w:right="512"/>
              <w:jc w:val="right"/>
              <w:rPr>
                <w:rFonts w:ascii="Times New Roman"/>
                <w:sz w:val="21"/>
              </w:rPr>
            </w:pPr>
            <w:r>
              <w:rPr>
                <w:rFonts w:ascii="Times New Roman"/>
                <w:sz w:val="21"/>
              </w:rPr>
              <w:t>50</w:t>
            </w:r>
          </w:p>
        </w:tc>
        <w:tc>
          <w:tcPr>
            <w:tcW w:w="391" w:type="dxa"/>
          </w:tcPr>
          <w:p>
            <w:pPr>
              <w:pStyle w:val="TableParagraph"/>
              <w:rPr>
                <w:sz w:val="20"/>
              </w:rPr>
            </w:pPr>
          </w:p>
          <w:p>
            <w:pPr>
              <w:pStyle w:val="TableParagraph"/>
              <w:spacing w:before="152"/>
              <w:ind w:left="112"/>
              <w:rPr>
                <w:sz w:val="21"/>
              </w:rPr>
            </w:pPr>
            <w:r>
              <w:rPr>
                <w:w w:val="100"/>
                <w:sz w:val="21"/>
              </w:rPr>
              <w:t> </w:t>
            </w:r>
          </w:p>
        </w:tc>
        <w:tc>
          <w:tcPr>
            <w:tcW w:w="573" w:type="dxa"/>
          </w:tcPr>
          <w:p>
            <w:pPr>
              <w:pStyle w:val="TableParagraph"/>
              <w:spacing w:before="1"/>
              <w:rPr>
                <w:sz w:val="23"/>
              </w:rPr>
            </w:pPr>
          </w:p>
          <w:p>
            <w:pPr>
              <w:pStyle w:val="TableParagraph"/>
              <w:ind w:left="206"/>
              <w:rPr>
                <w:rFonts w:ascii="Times New Roman"/>
                <w:sz w:val="21"/>
              </w:rPr>
            </w:pPr>
            <w:r>
              <w:rPr>
                <w:rFonts w:ascii="Times New Roman"/>
                <w:sz w:val="21"/>
              </w:rPr>
              <w:t>1,3</w:t>
            </w:r>
          </w:p>
          <w:p>
            <w:pPr>
              <w:pStyle w:val="TableParagraph"/>
              <w:spacing w:before="1"/>
              <w:ind w:left="256"/>
              <w:rPr>
                <w:rFonts w:ascii="Times New Roman"/>
                <w:sz w:val="21"/>
              </w:rPr>
            </w:pPr>
            <w:r>
              <w:rPr>
                <w:rFonts w:ascii="Times New Roman"/>
                <w:sz w:val="21"/>
              </w:rPr>
              <w:t>98</w:t>
            </w:r>
          </w:p>
        </w:tc>
        <w:tc>
          <w:tcPr>
            <w:tcW w:w="638" w:type="dxa"/>
          </w:tcPr>
          <w:p>
            <w:pPr>
              <w:pStyle w:val="TableParagraph"/>
              <w:spacing w:before="1"/>
              <w:rPr>
                <w:sz w:val="23"/>
              </w:rPr>
            </w:pPr>
          </w:p>
          <w:p>
            <w:pPr>
              <w:pStyle w:val="TableParagraph"/>
              <w:ind w:right="88"/>
              <w:jc w:val="right"/>
              <w:rPr>
                <w:rFonts w:ascii="Times New Roman"/>
                <w:sz w:val="21"/>
              </w:rPr>
            </w:pPr>
            <w:r>
              <w:rPr>
                <w:rFonts w:ascii="Times New Roman"/>
                <w:sz w:val="21"/>
              </w:rPr>
              <w:t>36,3</w:t>
            </w:r>
          </w:p>
          <w:p>
            <w:pPr>
              <w:pStyle w:val="TableParagraph"/>
              <w:spacing w:before="1"/>
              <w:ind w:right="90"/>
              <w:jc w:val="right"/>
              <w:rPr>
                <w:rFonts w:ascii="Times New Roman"/>
                <w:sz w:val="21"/>
              </w:rPr>
            </w:pPr>
            <w:r>
              <w:rPr>
                <w:rFonts w:ascii="Times New Roman"/>
                <w:sz w:val="21"/>
              </w:rPr>
              <w:t>26</w:t>
            </w:r>
          </w:p>
        </w:tc>
        <w:tc>
          <w:tcPr>
            <w:tcW w:w="410" w:type="dxa"/>
          </w:tcPr>
          <w:p>
            <w:pPr>
              <w:pStyle w:val="TableParagraph"/>
              <w:spacing w:before="1"/>
              <w:ind w:right="-15"/>
              <w:jc w:val="right"/>
              <w:rPr>
                <w:sz w:val="21"/>
              </w:rPr>
            </w:pPr>
            <w:r>
              <w:rPr>
                <w:w w:val="100"/>
                <w:sz w:val="21"/>
              </w:rPr>
              <w:t> </w:t>
            </w:r>
          </w:p>
        </w:tc>
        <w:tc>
          <w:tcPr>
            <w:tcW w:w="391" w:type="dxa"/>
          </w:tcPr>
          <w:p>
            <w:pPr>
              <w:pStyle w:val="TableParagraph"/>
              <w:spacing w:before="1"/>
              <w:ind w:right="-15"/>
              <w:jc w:val="right"/>
              <w:rPr>
                <w:sz w:val="21"/>
              </w:rPr>
            </w:pPr>
            <w:r>
              <w:rPr>
                <w:w w:val="100"/>
                <w:sz w:val="21"/>
              </w:rPr>
              <w:t> </w:t>
            </w:r>
          </w:p>
        </w:tc>
        <w:tc>
          <w:tcPr>
            <w:tcW w:w="345" w:type="dxa"/>
          </w:tcPr>
          <w:p>
            <w:pPr>
              <w:pStyle w:val="TableParagraph"/>
              <w:spacing w:before="1"/>
              <w:ind w:right="-15"/>
              <w:jc w:val="right"/>
              <w:rPr>
                <w:sz w:val="21"/>
              </w:rPr>
            </w:pPr>
            <w:r>
              <w:rPr>
                <w:w w:val="100"/>
                <w:sz w:val="21"/>
              </w:rPr>
              <w:t> </w:t>
            </w:r>
          </w:p>
        </w:tc>
        <w:tc>
          <w:tcPr>
            <w:tcW w:w="475" w:type="dxa"/>
          </w:tcPr>
          <w:p>
            <w:pPr>
              <w:pStyle w:val="TableParagraph"/>
              <w:spacing w:before="1"/>
              <w:ind w:right="-15"/>
              <w:jc w:val="right"/>
              <w:rPr>
                <w:sz w:val="21"/>
              </w:rPr>
            </w:pPr>
            <w:r>
              <w:rPr>
                <w:w w:val="100"/>
                <w:sz w:val="21"/>
              </w:rPr>
              <w:t> </w:t>
            </w:r>
          </w:p>
        </w:tc>
        <w:tc>
          <w:tcPr>
            <w:tcW w:w="410" w:type="dxa"/>
          </w:tcPr>
          <w:p>
            <w:pPr>
              <w:pStyle w:val="TableParagraph"/>
              <w:spacing w:before="1"/>
              <w:ind w:right="-29"/>
              <w:jc w:val="right"/>
              <w:rPr>
                <w:sz w:val="21"/>
              </w:rPr>
            </w:pPr>
            <w:r>
              <w:rPr>
                <w:w w:val="100"/>
                <w:sz w:val="21"/>
              </w:rPr>
              <w:t> </w:t>
            </w:r>
          </w:p>
        </w:tc>
        <w:tc>
          <w:tcPr>
            <w:tcW w:w="388" w:type="dxa"/>
          </w:tcPr>
          <w:p>
            <w:pPr>
              <w:pStyle w:val="TableParagraph"/>
              <w:spacing w:line="242" w:lineRule="auto" w:before="1"/>
              <w:ind w:left="115" w:right="48"/>
              <w:jc w:val="both"/>
              <w:rPr>
                <w:sz w:val="21"/>
              </w:rPr>
            </w:pPr>
            <w:r>
              <w:rPr>
                <w:sz w:val="21"/>
              </w:rPr>
              <w:t>自有资</w:t>
            </w:r>
          </w:p>
          <w:p>
            <w:pPr>
              <w:pStyle w:val="TableParagraph"/>
              <w:spacing w:line="253" w:lineRule="exact"/>
              <w:ind w:left="115" w:right="-58"/>
              <w:rPr>
                <w:sz w:val="21"/>
              </w:rPr>
            </w:pPr>
            <w:r>
              <w:rPr>
                <w:sz w:val="21"/>
              </w:rPr>
              <w:t>金 </w:t>
            </w:r>
          </w:p>
        </w:tc>
      </w:tr>
      <w:tr>
        <w:trPr>
          <w:trHeight w:val="1089" w:hRule="atLeast"/>
        </w:trPr>
        <w:tc>
          <w:tcPr>
            <w:tcW w:w="866" w:type="dxa"/>
          </w:tcPr>
          <w:p>
            <w:pPr>
              <w:pStyle w:val="TableParagraph"/>
              <w:spacing w:line="242" w:lineRule="auto" w:before="1"/>
              <w:ind w:left="107" w:right="323"/>
              <w:jc w:val="both"/>
              <w:rPr>
                <w:sz w:val="21"/>
              </w:rPr>
            </w:pPr>
            <w:r>
              <w:rPr>
                <w:spacing w:val="-1"/>
                <w:sz w:val="21"/>
              </w:rPr>
              <w:t>工业互联</w:t>
            </w:r>
            <w:r>
              <w:rPr>
                <w:sz w:val="21"/>
              </w:rPr>
              <w:t>网 </w:t>
            </w:r>
          </w:p>
        </w:tc>
        <w:tc>
          <w:tcPr>
            <w:tcW w:w="412" w:type="dxa"/>
          </w:tcPr>
          <w:p>
            <w:pPr>
              <w:pStyle w:val="TableParagraph"/>
              <w:spacing w:before="1"/>
              <w:ind w:right="95"/>
              <w:jc w:val="right"/>
              <w:rPr>
                <w:sz w:val="21"/>
              </w:rPr>
            </w:pPr>
            <w:r>
              <w:rPr>
                <w:w w:val="100"/>
                <w:sz w:val="21"/>
              </w:rPr>
              <w:t> </w:t>
            </w:r>
          </w:p>
        </w:tc>
        <w:tc>
          <w:tcPr>
            <w:tcW w:w="734" w:type="dxa"/>
          </w:tcPr>
          <w:p>
            <w:pPr>
              <w:pStyle w:val="TableParagraph"/>
              <w:spacing w:before="1"/>
              <w:rPr>
                <w:sz w:val="23"/>
              </w:rPr>
            </w:pPr>
          </w:p>
          <w:p>
            <w:pPr>
              <w:pStyle w:val="TableParagraph"/>
              <w:ind w:right="92"/>
              <w:jc w:val="right"/>
              <w:rPr>
                <w:rFonts w:ascii="Times New Roman"/>
                <w:sz w:val="21"/>
              </w:rPr>
            </w:pPr>
            <w:r>
              <w:rPr>
                <w:rFonts w:ascii="Times New Roman"/>
                <w:sz w:val="21"/>
              </w:rPr>
              <w:t>11,22</w:t>
            </w:r>
          </w:p>
          <w:p>
            <w:pPr>
              <w:pStyle w:val="TableParagraph"/>
              <w:spacing w:before="1"/>
              <w:ind w:right="94"/>
              <w:jc w:val="right"/>
              <w:rPr>
                <w:rFonts w:ascii="Times New Roman"/>
                <w:sz w:val="21"/>
              </w:rPr>
            </w:pPr>
            <w:r>
              <w:rPr>
                <w:rFonts w:ascii="Times New Roman"/>
                <w:w w:val="100"/>
                <w:sz w:val="21"/>
              </w:rPr>
              <w:t>1</w:t>
            </w:r>
          </w:p>
        </w:tc>
        <w:tc>
          <w:tcPr>
            <w:tcW w:w="508" w:type="dxa"/>
          </w:tcPr>
          <w:p>
            <w:pPr>
              <w:pStyle w:val="TableParagraph"/>
              <w:spacing w:before="8"/>
              <w:rPr>
                <w:sz w:val="32"/>
              </w:rPr>
            </w:pPr>
          </w:p>
          <w:p>
            <w:pPr>
              <w:pStyle w:val="TableParagraph"/>
              <w:ind w:right="92"/>
              <w:jc w:val="right"/>
              <w:rPr>
                <w:rFonts w:ascii="Times New Roman"/>
                <w:sz w:val="21"/>
              </w:rPr>
            </w:pPr>
            <w:r>
              <w:rPr>
                <w:rFonts w:ascii="Times New Roman"/>
                <w:w w:val="100"/>
                <w:sz w:val="21"/>
              </w:rPr>
              <w:t>-</w:t>
            </w:r>
          </w:p>
        </w:tc>
        <w:tc>
          <w:tcPr>
            <w:tcW w:w="640" w:type="dxa"/>
          </w:tcPr>
          <w:p>
            <w:pPr>
              <w:pStyle w:val="TableParagraph"/>
              <w:spacing w:before="1"/>
              <w:rPr>
                <w:sz w:val="23"/>
              </w:rPr>
            </w:pPr>
          </w:p>
          <w:p>
            <w:pPr>
              <w:pStyle w:val="TableParagraph"/>
              <w:ind w:right="92"/>
              <w:jc w:val="right"/>
              <w:rPr>
                <w:rFonts w:ascii="Times New Roman"/>
                <w:sz w:val="21"/>
              </w:rPr>
            </w:pPr>
            <w:r>
              <w:rPr>
                <w:rFonts w:ascii="Times New Roman"/>
                <w:sz w:val="21"/>
              </w:rPr>
              <w:t>15,4</w:t>
            </w:r>
          </w:p>
          <w:p>
            <w:pPr>
              <w:pStyle w:val="TableParagraph"/>
              <w:spacing w:before="1"/>
              <w:ind w:right="94"/>
              <w:jc w:val="right"/>
              <w:rPr>
                <w:rFonts w:ascii="Times New Roman"/>
                <w:sz w:val="21"/>
              </w:rPr>
            </w:pPr>
            <w:r>
              <w:rPr>
                <w:rFonts w:ascii="Times New Roman"/>
                <w:sz w:val="21"/>
              </w:rPr>
              <w:t>70</w:t>
            </w:r>
          </w:p>
        </w:tc>
        <w:tc>
          <w:tcPr>
            <w:tcW w:w="734" w:type="dxa"/>
          </w:tcPr>
          <w:p>
            <w:pPr>
              <w:pStyle w:val="TableParagraph"/>
              <w:spacing w:before="1"/>
              <w:rPr>
                <w:sz w:val="23"/>
              </w:rPr>
            </w:pPr>
          </w:p>
          <w:p>
            <w:pPr>
              <w:pStyle w:val="TableParagraph"/>
              <w:ind w:left="157" w:right="74" w:firstLine="403"/>
              <w:rPr>
                <w:rFonts w:ascii="Times New Roman"/>
                <w:sz w:val="21"/>
              </w:rPr>
            </w:pPr>
            <w:r>
              <w:rPr>
                <w:rFonts w:ascii="Times New Roman"/>
                <w:sz w:val="21"/>
              </w:rPr>
              <w:t>-</w:t>
            </w:r>
            <w:r>
              <w:rPr>
                <w:rFonts w:ascii="Times New Roman"/>
                <w:spacing w:val="-50"/>
                <w:sz w:val="21"/>
              </w:rPr>
              <w:t> </w:t>
            </w:r>
            <w:r>
              <w:rPr>
                <w:rFonts w:ascii="Times New Roman"/>
                <w:sz w:val="21"/>
              </w:rPr>
              <w:t>3,647</w:t>
            </w:r>
          </w:p>
        </w:tc>
        <w:tc>
          <w:tcPr>
            <w:tcW w:w="900" w:type="dxa"/>
          </w:tcPr>
          <w:p>
            <w:pPr>
              <w:pStyle w:val="TableParagraph"/>
              <w:spacing w:before="8"/>
              <w:rPr>
                <w:sz w:val="32"/>
              </w:rPr>
            </w:pPr>
          </w:p>
          <w:p>
            <w:pPr>
              <w:pStyle w:val="TableParagraph"/>
              <w:ind w:right="90"/>
              <w:jc w:val="right"/>
              <w:rPr>
                <w:rFonts w:ascii="Times New Roman"/>
                <w:sz w:val="21"/>
              </w:rPr>
            </w:pPr>
            <w:r>
              <w:rPr>
                <w:rFonts w:ascii="Times New Roman"/>
                <w:w w:val="100"/>
                <w:sz w:val="21"/>
              </w:rPr>
              <w:t>-</w:t>
            </w:r>
          </w:p>
        </w:tc>
        <w:tc>
          <w:tcPr>
            <w:tcW w:w="391" w:type="dxa"/>
          </w:tcPr>
          <w:p>
            <w:pPr>
              <w:pStyle w:val="TableParagraph"/>
              <w:rPr>
                <w:sz w:val="20"/>
              </w:rPr>
            </w:pPr>
          </w:p>
          <w:p>
            <w:pPr>
              <w:pStyle w:val="TableParagraph"/>
              <w:spacing w:before="152"/>
              <w:ind w:left="112"/>
              <w:rPr>
                <w:sz w:val="21"/>
              </w:rPr>
            </w:pPr>
            <w:r>
              <w:rPr>
                <w:w w:val="100"/>
                <w:sz w:val="21"/>
              </w:rPr>
              <w:t> </w:t>
            </w:r>
          </w:p>
        </w:tc>
        <w:tc>
          <w:tcPr>
            <w:tcW w:w="573" w:type="dxa"/>
          </w:tcPr>
          <w:p>
            <w:pPr>
              <w:pStyle w:val="TableParagraph"/>
              <w:spacing w:before="8"/>
              <w:rPr>
                <w:sz w:val="32"/>
              </w:rPr>
            </w:pPr>
          </w:p>
          <w:p>
            <w:pPr>
              <w:pStyle w:val="TableParagraph"/>
              <w:ind w:right="92"/>
              <w:jc w:val="right"/>
              <w:rPr>
                <w:rFonts w:ascii="Times New Roman"/>
                <w:sz w:val="21"/>
              </w:rPr>
            </w:pPr>
            <w:r>
              <w:rPr>
                <w:rFonts w:ascii="Times New Roman"/>
                <w:w w:val="100"/>
                <w:sz w:val="21"/>
              </w:rPr>
              <w:t>-</w:t>
            </w:r>
          </w:p>
        </w:tc>
        <w:tc>
          <w:tcPr>
            <w:tcW w:w="638" w:type="dxa"/>
          </w:tcPr>
          <w:p>
            <w:pPr>
              <w:pStyle w:val="TableParagraph"/>
              <w:spacing w:before="1"/>
              <w:rPr>
                <w:sz w:val="23"/>
              </w:rPr>
            </w:pPr>
          </w:p>
          <w:p>
            <w:pPr>
              <w:pStyle w:val="TableParagraph"/>
              <w:ind w:right="88"/>
              <w:jc w:val="right"/>
              <w:rPr>
                <w:rFonts w:ascii="Times New Roman"/>
                <w:sz w:val="21"/>
              </w:rPr>
            </w:pPr>
            <w:r>
              <w:rPr>
                <w:rFonts w:ascii="Times New Roman"/>
                <w:sz w:val="21"/>
              </w:rPr>
              <w:t>23,0</w:t>
            </w:r>
          </w:p>
          <w:p>
            <w:pPr>
              <w:pStyle w:val="TableParagraph"/>
              <w:spacing w:before="1"/>
              <w:ind w:right="90"/>
              <w:jc w:val="right"/>
              <w:rPr>
                <w:rFonts w:ascii="Times New Roman"/>
                <w:sz w:val="21"/>
              </w:rPr>
            </w:pPr>
            <w:r>
              <w:rPr>
                <w:rFonts w:ascii="Times New Roman"/>
                <w:sz w:val="21"/>
              </w:rPr>
              <w:t>44</w:t>
            </w:r>
          </w:p>
        </w:tc>
        <w:tc>
          <w:tcPr>
            <w:tcW w:w="410" w:type="dxa"/>
          </w:tcPr>
          <w:p>
            <w:pPr>
              <w:pStyle w:val="TableParagraph"/>
              <w:spacing w:before="1"/>
              <w:ind w:right="-15"/>
              <w:jc w:val="right"/>
              <w:rPr>
                <w:sz w:val="21"/>
              </w:rPr>
            </w:pPr>
            <w:r>
              <w:rPr>
                <w:w w:val="100"/>
                <w:sz w:val="21"/>
              </w:rPr>
              <w:t> </w:t>
            </w:r>
          </w:p>
        </w:tc>
        <w:tc>
          <w:tcPr>
            <w:tcW w:w="391" w:type="dxa"/>
          </w:tcPr>
          <w:p>
            <w:pPr>
              <w:pStyle w:val="TableParagraph"/>
              <w:spacing w:before="1"/>
              <w:ind w:right="-15"/>
              <w:jc w:val="right"/>
              <w:rPr>
                <w:sz w:val="21"/>
              </w:rPr>
            </w:pPr>
            <w:r>
              <w:rPr>
                <w:w w:val="100"/>
                <w:sz w:val="21"/>
              </w:rPr>
              <w:t> </w:t>
            </w:r>
          </w:p>
        </w:tc>
        <w:tc>
          <w:tcPr>
            <w:tcW w:w="345" w:type="dxa"/>
          </w:tcPr>
          <w:p>
            <w:pPr>
              <w:pStyle w:val="TableParagraph"/>
              <w:spacing w:before="1"/>
              <w:ind w:right="-15"/>
              <w:jc w:val="right"/>
              <w:rPr>
                <w:sz w:val="21"/>
              </w:rPr>
            </w:pPr>
            <w:r>
              <w:rPr>
                <w:w w:val="100"/>
                <w:sz w:val="21"/>
              </w:rPr>
              <w:t> </w:t>
            </w:r>
          </w:p>
        </w:tc>
        <w:tc>
          <w:tcPr>
            <w:tcW w:w="475" w:type="dxa"/>
          </w:tcPr>
          <w:p>
            <w:pPr>
              <w:pStyle w:val="TableParagraph"/>
              <w:spacing w:before="1"/>
              <w:ind w:right="-15"/>
              <w:jc w:val="right"/>
              <w:rPr>
                <w:sz w:val="21"/>
              </w:rPr>
            </w:pPr>
            <w:r>
              <w:rPr>
                <w:w w:val="100"/>
                <w:sz w:val="21"/>
              </w:rPr>
              <w:t> </w:t>
            </w:r>
          </w:p>
        </w:tc>
        <w:tc>
          <w:tcPr>
            <w:tcW w:w="410" w:type="dxa"/>
          </w:tcPr>
          <w:p>
            <w:pPr>
              <w:pStyle w:val="TableParagraph"/>
              <w:spacing w:before="1"/>
              <w:ind w:right="-29"/>
              <w:jc w:val="right"/>
              <w:rPr>
                <w:sz w:val="21"/>
              </w:rPr>
            </w:pPr>
            <w:r>
              <w:rPr>
                <w:w w:val="100"/>
                <w:sz w:val="21"/>
              </w:rPr>
              <w:t> </w:t>
            </w:r>
          </w:p>
        </w:tc>
        <w:tc>
          <w:tcPr>
            <w:tcW w:w="388" w:type="dxa"/>
          </w:tcPr>
          <w:p>
            <w:pPr>
              <w:pStyle w:val="TableParagraph"/>
              <w:spacing w:line="242" w:lineRule="auto" w:before="1"/>
              <w:ind w:left="115" w:right="48"/>
              <w:jc w:val="both"/>
              <w:rPr>
                <w:sz w:val="21"/>
              </w:rPr>
            </w:pPr>
            <w:r>
              <w:rPr>
                <w:sz w:val="21"/>
              </w:rPr>
              <w:t>自有资</w:t>
            </w:r>
          </w:p>
          <w:p>
            <w:pPr>
              <w:pStyle w:val="TableParagraph"/>
              <w:spacing w:line="252" w:lineRule="exact"/>
              <w:ind w:left="115" w:right="-58"/>
              <w:rPr>
                <w:sz w:val="21"/>
              </w:rPr>
            </w:pPr>
            <w:r>
              <w:rPr>
                <w:sz w:val="21"/>
              </w:rPr>
              <w:t>金 </w:t>
            </w:r>
          </w:p>
        </w:tc>
      </w:tr>
      <w:tr>
        <w:trPr>
          <w:trHeight w:val="966" w:hRule="atLeast"/>
        </w:trPr>
        <w:tc>
          <w:tcPr>
            <w:tcW w:w="866" w:type="dxa"/>
          </w:tcPr>
          <w:p>
            <w:pPr>
              <w:pStyle w:val="TableParagraph"/>
              <w:spacing w:before="3"/>
              <w:rPr>
                <w:sz w:val="27"/>
              </w:rPr>
            </w:pPr>
          </w:p>
          <w:p>
            <w:pPr>
              <w:pStyle w:val="TableParagraph"/>
              <w:ind w:left="170"/>
              <w:rPr>
                <w:sz w:val="21"/>
              </w:rPr>
            </w:pPr>
            <w:r>
              <w:rPr>
                <w:sz w:val="21"/>
              </w:rPr>
              <w:t>合计 </w:t>
            </w:r>
          </w:p>
        </w:tc>
        <w:tc>
          <w:tcPr>
            <w:tcW w:w="412" w:type="dxa"/>
          </w:tcPr>
          <w:p>
            <w:pPr>
              <w:pStyle w:val="TableParagraph"/>
              <w:spacing w:before="1"/>
              <w:ind w:right="95"/>
              <w:jc w:val="right"/>
              <w:rPr>
                <w:sz w:val="21"/>
              </w:rPr>
            </w:pPr>
            <w:r>
              <w:rPr>
                <w:w w:val="100"/>
                <w:sz w:val="21"/>
              </w:rPr>
              <w:t> </w:t>
            </w:r>
          </w:p>
        </w:tc>
        <w:tc>
          <w:tcPr>
            <w:tcW w:w="734" w:type="dxa"/>
          </w:tcPr>
          <w:p>
            <w:pPr>
              <w:pStyle w:val="TableParagraph"/>
              <w:spacing w:before="5"/>
              <w:rPr>
                <w:sz w:val="18"/>
              </w:rPr>
            </w:pPr>
          </w:p>
          <w:p>
            <w:pPr>
              <w:pStyle w:val="TableParagraph"/>
              <w:spacing w:line="241" w:lineRule="exact"/>
              <w:ind w:left="154"/>
              <w:rPr>
                <w:rFonts w:ascii="Times New Roman"/>
                <w:sz w:val="21"/>
              </w:rPr>
            </w:pPr>
            <w:r>
              <w:rPr>
                <w:rFonts w:ascii="Times New Roman"/>
                <w:sz w:val="21"/>
              </w:rPr>
              <w:t>1,414</w:t>
            </w:r>
          </w:p>
          <w:p>
            <w:pPr>
              <w:pStyle w:val="TableParagraph"/>
              <w:spacing w:line="241" w:lineRule="exact"/>
              <w:ind w:left="260"/>
              <w:rPr>
                <w:rFonts w:ascii="Times New Roman"/>
                <w:sz w:val="21"/>
              </w:rPr>
            </w:pPr>
            <w:r>
              <w:rPr>
                <w:rFonts w:ascii="Times New Roman"/>
                <w:sz w:val="21"/>
              </w:rPr>
              <w:t>,692</w:t>
            </w:r>
          </w:p>
        </w:tc>
        <w:tc>
          <w:tcPr>
            <w:tcW w:w="508" w:type="dxa"/>
          </w:tcPr>
          <w:p>
            <w:pPr>
              <w:pStyle w:val="TableParagraph"/>
              <w:spacing w:before="5"/>
              <w:rPr>
                <w:sz w:val="18"/>
              </w:rPr>
            </w:pPr>
          </w:p>
          <w:p>
            <w:pPr>
              <w:pStyle w:val="TableParagraph"/>
              <w:spacing w:line="241" w:lineRule="exact"/>
              <w:ind w:left="141"/>
              <w:rPr>
                <w:rFonts w:ascii="Times New Roman"/>
                <w:sz w:val="21"/>
              </w:rPr>
            </w:pPr>
            <w:r>
              <w:rPr>
                <w:rFonts w:ascii="Times New Roman"/>
                <w:sz w:val="21"/>
              </w:rPr>
              <w:t>1,0</w:t>
            </w:r>
          </w:p>
          <w:p>
            <w:pPr>
              <w:pStyle w:val="TableParagraph"/>
              <w:spacing w:line="241" w:lineRule="exact"/>
              <w:ind w:left="191"/>
              <w:rPr>
                <w:rFonts w:ascii="Times New Roman"/>
                <w:sz w:val="21"/>
              </w:rPr>
            </w:pPr>
            <w:r>
              <w:rPr>
                <w:rFonts w:ascii="Times New Roman"/>
                <w:sz w:val="21"/>
              </w:rPr>
              <w:t>71</w:t>
            </w:r>
          </w:p>
        </w:tc>
        <w:tc>
          <w:tcPr>
            <w:tcW w:w="640" w:type="dxa"/>
          </w:tcPr>
          <w:p>
            <w:pPr>
              <w:pStyle w:val="TableParagraph"/>
              <w:spacing w:before="5"/>
              <w:rPr>
                <w:sz w:val="18"/>
              </w:rPr>
            </w:pPr>
          </w:p>
          <w:p>
            <w:pPr>
              <w:pStyle w:val="TableParagraph"/>
              <w:spacing w:line="241" w:lineRule="exact"/>
              <w:ind w:left="165"/>
              <w:rPr>
                <w:rFonts w:ascii="Times New Roman"/>
                <w:sz w:val="21"/>
              </w:rPr>
            </w:pPr>
            <w:r>
              <w:rPr>
                <w:rFonts w:ascii="Times New Roman"/>
                <w:sz w:val="21"/>
              </w:rPr>
              <w:t>465,</w:t>
            </w:r>
          </w:p>
          <w:p>
            <w:pPr>
              <w:pStyle w:val="TableParagraph"/>
              <w:spacing w:line="241" w:lineRule="exact"/>
              <w:ind w:left="218"/>
              <w:rPr>
                <w:rFonts w:ascii="Times New Roman"/>
                <w:sz w:val="21"/>
              </w:rPr>
            </w:pPr>
            <w:r>
              <w:rPr>
                <w:rFonts w:ascii="Times New Roman"/>
                <w:sz w:val="21"/>
              </w:rPr>
              <w:t>318</w:t>
            </w:r>
          </w:p>
        </w:tc>
        <w:tc>
          <w:tcPr>
            <w:tcW w:w="734" w:type="dxa"/>
          </w:tcPr>
          <w:p>
            <w:pPr>
              <w:pStyle w:val="TableParagraph"/>
              <w:spacing w:before="113"/>
              <w:ind w:left="157" w:right="74" w:firstLine="403"/>
              <w:rPr>
                <w:rFonts w:ascii="Times New Roman"/>
                <w:sz w:val="21"/>
              </w:rPr>
            </w:pPr>
            <w:r>
              <w:rPr>
                <w:rFonts w:ascii="Times New Roman"/>
                <w:sz w:val="21"/>
              </w:rPr>
              <w:t>-</w:t>
            </w:r>
            <w:r>
              <w:rPr>
                <w:rFonts w:ascii="Times New Roman"/>
                <w:spacing w:val="-50"/>
                <w:sz w:val="21"/>
              </w:rPr>
              <w:t> </w:t>
            </w:r>
            <w:r>
              <w:rPr>
                <w:rFonts w:ascii="Times New Roman"/>
                <w:sz w:val="21"/>
              </w:rPr>
              <w:t>1,078</w:t>
            </w:r>
          </w:p>
          <w:p>
            <w:pPr>
              <w:pStyle w:val="TableParagraph"/>
              <w:spacing w:before="2"/>
              <w:ind w:left="262"/>
              <w:rPr>
                <w:rFonts w:ascii="Times New Roman"/>
                <w:sz w:val="21"/>
              </w:rPr>
            </w:pPr>
            <w:r>
              <w:rPr>
                <w:rFonts w:ascii="Times New Roman"/>
                <w:sz w:val="21"/>
              </w:rPr>
              <w:t>,668</w:t>
            </w:r>
          </w:p>
        </w:tc>
        <w:tc>
          <w:tcPr>
            <w:tcW w:w="900" w:type="dxa"/>
          </w:tcPr>
          <w:p>
            <w:pPr>
              <w:pStyle w:val="TableParagraph"/>
              <w:ind w:left="164" w:right="511" w:firstLine="141"/>
              <w:jc w:val="right"/>
              <w:rPr>
                <w:rFonts w:ascii="Times New Roman"/>
                <w:sz w:val="21"/>
              </w:rPr>
            </w:pPr>
            <w:r>
              <w:rPr>
                <w:rFonts w:ascii="Times New Roman"/>
                <w:sz w:val="21"/>
              </w:rPr>
              <w:t>-</w:t>
            </w:r>
            <w:r>
              <w:rPr>
                <w:rFonts w:ascii="Times New Roman"/>
                <w:spacing w:val="-50"/>
                <w:sz w:val="21"/>
              </w:rPr>
              <w:t> </w:t>
            </w:r>
            <w:r>
              <w:rPr>
                <w:rFonts w:ascii="Times New Roman"/>
                <w:sz w:val="21"/>
              </w:rPr>
              <w:t>13</w:t>
            </w:r>
          </w:p>
          <w:p>
            <w:pPr>
              <w:pStyle w:val="TableParagraph"/>
              <w:spacing w:line="241" w:lineRule="exact"/>
              <w:ind w:right="509"/>
              <w:jc w:val="right"/>
              <w:rPr>
                <w:rFonts w:ascii="Times New Roman"/>
                <w:sz w:val="21"/>
              </w:rPr>
            </w:pPr>
            <w:r>
              <w:rPr>
                <w:rFonts w:ascii="Times New Roman"/>
                <w:sz w:val="21"/>
              </w:rPr>
              <w:t>1,1</w:t>
            </w:r>
          </w:p>
          <w:p>
            <w:pPr>
              <w:pStyle w:val="TableParagraph"/>
              <w:spacing w:line="229" w:lineRule="exact"/>
              <w:ind w:right="512"/>
              <w:jc w:val="right"/>
              <w:rPr>
                <w:rFonts w:ascii="Times New Roman"/>
                <w:sz w:val="21"/>
              </w:rPr>
            </w:pPr>
            <w:r>
              <w:rPr>
                <w:rFonts w:ascii="Times New Roman"/>
                <w:sz w:val="21"/>
              </w:rPr>
              <w:t>99</w:t>
            </w:r>
          </w:p>
        </w:tc>
        <w:tc>
          <w:tcPr>
            <w:tcW w:w="391" w:type="dxa"/>
          </w:tcPr>
          <w:p>
            <w:pPr>
              <w:pStyle w:val="TableParagraph"/>
              <w:spacing w:before="3"/>
              <w:rPr>
                <w:sz w:val="27"/>
              </w:rPr>
            </w:pPr>
          </w:p>
          <w:p>
            <w:pPr>
              <w:pStyle w:val="TableParagraph"/>
              <w:ind w:left="112"/>
              <w:rPr>
                <w:sz w:val="21"/>
              </w:rPr>
            </w:pPr>
            <w:r>
              <w:rPr>
                <w:w w:val="100"/>
                <w:sz w:val="21"/>
              </w:rPr>
              <w:t> </w:t>
            </w:r>
          </w:p>
        </w:tc>
        <w:tc>
          <w:tcPr>
            <w:tcW w:w="573" w:type="dxa"/>
          </w:tcPr>
          <w:p>
            <w:pPr>
              <w:pStyle w:val="TableParagraph"/>
              <w:spacing w:before="5"/>
              <w:rPr>
                <w:sz w:val="18"/>
              </w:rPr>
            </w:pPr>
          </w:p>
          <w:p>
            <w:pPr>
              <w:pStyle w:val="TableParagraph"/>
              <w:spacing w:line="241" w:lineRule="exact"/>
              <w:ind w:left="206"/>
              <w:rPr>
                <w:rFonts w:ascii="Times New Roman"/>
                <w:sz w:val="21"/>
              </w:rPr>
            </w:pPr>
            <w:r>
              <w:rPr>
                <w:rFonts w:ascii="Times New Roman"/>
                <w:sz w:val="21"/>
              </w:rPr>
              <w:t>30,</w:t>
            </w:r>
          </w:p>
          <w:p>
            <w:pPr>
              <w:pStyle w:val="TableParagraph"/>
              <w:spacing w:line="241" w:lineRule="exact"/>
              <w:ind w:left="153"/>
              <w:rPr>
                <w:rFonts w:ascii="Times New Roman"/>
                <w:sz w:val="21"/>
              </w:rPr>
            </w:pPr>
            <w:r>
              <w:rPr>
                <w:rFonts w:ascii="Times New Roman"/>
                <w:sz w:val="21"/>
              </w:rPr>
              <w:t>194</w:t>
            </w:r>
          </w:p>
        </w:tc>
        <w:tc>
          <w:tcPr>
            <w:tcW w:w="638" w:type="dxa"/>
          </w:tcPr>
          <w:p>
            <w:pPr>
              <w:pStyle w:val="TableParagraph"/>
              <w:spacing w:before="5"/>
              <w:rPr>
                <w:sz w:val="18"/>
              </w:rPr>
            </w:pPr>
          </w:p>
          <w:p>
            <w:pPr>
              <w:pStyle w:val="TableParagraph"/>
              <w:spacing w:line="241" w:lineRule="exact"/>
              <w:ind w:left="168"/>
              <w:rPr>
                <w:rFonts w:ascii="Times New Roman"/>
                <w:sz w:val="21"/>
              </w:rPr>
            </w:pPr>
            <w:r>
              <w:rPr>
                <w:rFonts w:ascii="Times New Roman"/>
                <w:sz w:val="21"/>
              </w:rPr>
              <w:t>701,</w:t>
            </w:r>
          </w:p>
          <w:p>
            <w:pPr>
              <w:pStyle w:val="TableParagraph"/>
              <w:spacing w:line="241" w:lineRule="exact"/>
              <w:ind w:left="221"/>
              <w:rPr>
                <w:rFonts w:ascii="Times New Roman"/>
                <w:sz w:val="21"/>
              </w:rPr>
            </w:pPr>
            <w:r>
              <w:rPr>
                <w:rFonts w:ascii="Times New Roman"/>
                <w:sz w:val="21"/>
              </w:rPr>
              <w:t>408</w:t>
            </w:r>
          </w:p>
        </w:tc>
        <w:tc>
          <w:tcPr>
            <w:tcW w:w="410" w:type="dxa"/>
          </w:tcPr>
          <w:p>
            <w:pPr>
              <w:pStyle w:val="TableParagraph"/>
              <w:spacing w:before="1"/>
              <w:ind w:left="113"/>
              <w:rPr>
                <w:sz w:val="21"/>
              </w:rPr>
            </w:pPr>
            <w:r>
              <w:rPr>
                <w:sz w:val="21"/>
              </w:rPr>
              <w:t>/ </w:t>
            </w:r>
          </w:p>
        </w:tc>
        <w:tc>
          <w:tcPr>
            <w:tcW w:w="391" w:type="dxa"/>
          </w:tcPr>
          <w:p>
            <w:pPr>
              <w:pStyle w:val="TableParagraph"/>
              <w:spacing w:before="1"/>
              <w:ind w:left="113"/>
              <w:rPr>
                <w:sz w:val="21"/>
              </w:rPr>
            </w:pPr>
            <w:r>
              <w:rPr>
                <w:sz w:val="21"/>
              </w:rPr>
              <w:t>/ </w:t>
            </w:r>
          </w:p>
        </w:tc>
        <w:tc>
          <w:tcPr>
            <w:tcW w:w="345" w:type="dxa"/>
          </w:tcPr>
          <w:p>
            <w:pPr>
              <w:pStyle w:val="TableParagraph"/>
              <w:spacing w:before="1"/>
              <w:ind w:right="-15"/>
              <w:jc w:val="right"/>
              <w:rPr>
                <w:sz w:val="21"/>
              </w:rPr>
            </w:pPr>
            <w:r>
              <w:rPr>
                <w:w w:val="100"/>
                <w:sz w:val="21"/>
              </w:rPr>
              <w:t> </w:t>
            </w:r>
          </w:p>
        </w:tc>
        <w:tc>
          <w:tcPr>
            <w:tcW w:w="475" w:type="dxa"/>
          </w:tcPr>
          <w:p>
            <w:pPr>
              <w:pStyle w:val="TableParagraph"/>
              <w:spacing w:before="1"/>
              <w:ind w:right="-15"/>
              <w:jc w:val="right"/>
              <w:rPr>
                <w:sz w:val="21"/>
              </w:rPr>
            </w:pPr>
            <w:r>
              <w:rPr>
                <w:w w:val="100"/>
                <w:sz w:val="21"/>
              </w:rPr>
              <w:t> </w:t>
            </w:r>
          </w:p>
        </w:tc>
        <w:tc>
          <w:tcPr>
            <w:tcW w:w="410" w:type="dxa"/>
          </w:tcPr>
          <w:p>
            <w:pPr>
              <w:pStyle w:val="TableParagraph"/>
              <w:spacing w:before="1"/>
              <w:ind w:left="115"/>
              <w:rPr>
                <w:sz w:val="21"/>
              </w:rPr>
            </w:pPr>
            <w:r>
              <w:rPr>
                <w:sz w:val="21"/>
              </w:rPr>
              <w:t>/ </w:t>
            </w:r>
          </w:p>
        </w:tc>
        <w:tc>
          <w:tcPr>
            <w:tcW w:w="388" w:type="dxa"/>
          </w:tcPr>
          <w:p>
            <w:pPr>
              <w:pStyle w:val="TableParagraph"/>
              <w:spacing w:before="1"/>
              <w:ind w:left="115"/>
              <w:rPr>
                <w:sz w:val="21"/>
              </w:rPr>
            </w:pPr>
            <w:r>
              <w:rPr>
                <w:sz w:val="21"/>
              </w:rPr>
              <w:t>/ </w:t>
            </w:r>
          </w:p>
        </w:tc>
      </w:tr>
    </w:tbl>
    <w:p>
      <w:pPr>
        <w:pStyle w:val="BodyText"/>
        <w:spacing w:before="1"/>
      </w:pPr>
      <w:r>
        <w:rPr>
          <w:w w:val="100"/>
        </w:rPr>
        <w:t> </w:t>
      </w:r>
    </w:p>
    <w:p>
      <w:pPr>
        <w:pStyle w:val="BodyText"/>
        <w:spacing w:before="2"/>
      </w:pPr>
      <w:r>
        <w:rPr>
          <w:w w:val="100"/>
        </w:rPr>
        <w:t> </w:t>
      </w:r>
    </w:p>
    <w:p>
      <w:pPr>
        <w:pStyle w:val="ListParagraph"/>
        <w:numPr>
          <w:ilvl w:val="0"/>
          <w:numId w:val="68"/>
        </w:numPr>
        <w:tabs>
          <w:tab w:pos="746" w:val="left" w:leader="none"/>
        </w:tabs>
        <w:spacing w:line="240" w:lineRule="auto" w:before="65" w:after="0"/>
        <w:ind w:left="745" w:right="0" w:hanging="428"/>
        <w:jc w:val="left"/>
        <w:rPr>
          <w:sz w:val="21"/>
        </w:rPr>
      </w:pPr>
      <w:r>
        <w:rPr>
          <w:sz w:val="21"/>
        </w:rPr>
        <w:t>本期计提在建工程减值准备情况 </w:t>
      </w:r>
    </w:p>
    <w:p>
      <w:pPr>
        <w:pStyle w:val="BodyText"/>
        <w:spacing w:line="244" w:lineRule="auto" w:before="62"/>
        <w:ind w:right="8320"/>
      </w:pPr>
      <w:r>
        <w:rPr/>
        <w:t>□适用 √不适用其他说明 </w:t>
      </w:r>
    </w:p>
    <w:p>
      <w:pPr>
        <w:pStyle w:val="BodyText"/>
        <w:spacing w:line="266" w:lineRule="exact"/>
      </w:pPr>
      <w:r>
        <w:rPr>
          <w:spacing w:val="-1"/>
        </w:rPr>
        <w:t>□适用 √不适用</w:t>
      </w:r>
      <w:r>
        <w:rPr>
          <w:spacing w:val="-3"/>
        </w:rPr>
        <w:t> </w:t>
      </w:r>
      <w:r>
        <w:rPr>
          <w:color w:val="FF0000"/>
        </w:rPr>
        <w:t> </w:t>
      </w:r>
    </w:p>
    <w:p>
      <w:pPr>
        <w:pStyle w:val="BodyText"/>
        <w:spacing w:before="4"/>
      </w:pPr>
      <w:r>
        <w:rPr>
          <w:w w:val="100"/>
        </w:rPr>
        <w:t> </w:t>
      </w:r>
    </w:p>
    <w:p>
      <w:pPr>
        <w:pStyle w:val="BodyText"/>
        <w:spacing w:before="62"/>
      </w:pPr>
      <w:r>
        <w:rPr/>
        <w:t>工程物资 </w:t>
      </w:r>
    </w:p>
    <w:p>
      <w:pPr>
        <w:pStyle w:val="ListParagraph"/>
        <w:numPr>
          <w:ilvl w:val="0"/>
          <w:numId w:val="68"/>
        </w:numPr>
        <w:tabs>
          <w:tab w:pos="746" w:val="left" w:leader="none"/>
        </w:tabs>
        <w:spacing w:line="240" w:lineRule="auto" w:before="63" w:after="0"/>
        <w:ind w:left="745" w:right="0" w:hanging="428"/>
        <w:jc w:val="left"/>
        <w:rPr>
          <w:sz w:val="21"/>
        </w:rPr>
      </w:pPr>
      <w:r>
        <w:rPr>
          <w:sz w:val="21"/>
        </w:rPr>
        <w:t>工程物资情况 </w:t>
      </w:r>
    </w:p>
    <w:p>
      <w:pPr>
        <w:pStyle w:val="BodyText"/>
        <w:spacing w:before="64"/>
      </w:pPr>
      <w:r>
        <w:rPr>
          <w:spacing w:val="-1"/>
        </w:rPr>
        <w:t>□适用 √不适用</w:t>
      </w:r>
      <w:r>
        <w:rPr>
          <w:spacing w:val="-3"/>
        </w:rPr>
        <w:t> </w:t>
      </w:r>
      <w:r>
        <w:rPr/>
        <w:t> </w:t>
      </w:r>
    </w:p>
    <w:p>
      <w:pPr>
        <w:pStyle w:val="BodyText"/>
        <w:spacing w:before="2"/>
      </w:pPr>
      <w:r>
        <w:rPr>
          <w:w w:val="100"/>
        </w:rPr>
        <w:t> </w:t>
      </w:r>
    </w:p>
    <w:p>
      <w:pPr>
        <w:pStyle w:val="BodyText"/>
        <w:spacing w:before="5"/>
      </w:pPr>
      <w:r>
        <w:rPr>
          <w:w w:val="100"/>
        </w:rPr>
        <w:t> </w:t>
      </w:r>
    </w:p>
    <w:p>
      <w:pPr>
        <w:spacing w:after="0"/>
        <w:sectPr>
          <w:headerReference w:type="default" r:id="rId62"/>
          <w:footerReference w:type="default" r:id="rId63"/>
          <w:pgSz w:w="11910" w:h="16840"/>
          <w:pgMar w:header="882" w:footer="1184" w:top="1100" w:bottom="1380" w:left="1480" w:right="0"/>
        </w:sectPr>
      </w:pPr>
    </w:p>
    <w:p>
      <w:pPr>
        <w:pStyle w:val="BodyText"/>
        <w:spacing w:before="7"/>
        <w:ind w:left="0"/>
        <w:rPr>
          <w:sz w:val="25"/>
        </w:rPr>
      </w:pPr>
    </w:p>
    <w:p>
      <w:pPr>
        <w:pStyle w:val="BodyText"/>
        <w:spacing w:before="72"/>
      </w:pPr>
      <w:r>
        <w:rPr/>
        <w:t>23</w:t>
      </w:r>
      <w:r>
        <w:rPr>
          <w:spacing w:val="-5"/>
        </w:rPr>
        <w:t>、 生产性生物资产</w:t>
      </w:r>
      <w:r>
        <w:rPr/>
        <w:t> </w:t>
      </w:r>
    </w:p>
    <w:p>
      <w:pPr>
        <w:pStyle w:val="ListParagraph"/>
        <w:numPr>
          <w:ilvl w:val="0"/>
          <w:numId w:val="69"/>
        </w:numPr>
        <w:tabs>
          <w:tab w:pos="746" w:val="left" w:leader="none"/>
        </w:tabs>
        <w:spacing w:line="240" w:lineRule="auto" w:before="65" w:after="0"/>
        <w:ind w:left="745" w:right="0" w:hanging="428"/>
        <w:jc w:val="left"/>
        <w:rPr>
          <w:sz w:val="21"/>
        </w:rPr>
      </w:pPr>
      <w:r>
        <w:rPr>
          <w:sz w:val="21"/>
        </w:rPr>
        <w:t>采用成本计量模式的生产性生物资产 </w:t>
      </w:r>
    </w:p>
    <w:p>
      <w:pPr>
        <w:pStyle w:val="BodyText"/>
        <w:spacing w:before="62"/>
      </w:pPr>
      <w:r>
        <w:rPr>
          <w:spacing w:val="-1"/>
        </w:rPr>
        <w:t>□适用 √不适用</w:t>
      </w:r>
      <w:r>
        <w:rPr>
          <w:spacing w:val="-3"/>
        </w:rPr>
        <w:t> </w:t>
      </w:r>
      <w:r>
        <w:rPr/>
        <w:t> </w:t>
      </w:r>
    </w:p>
    <w:p>
      <w:pPr>
        <w:pStyle w:val="ListParagraph"/>
        <w:numPr>
          <w:ilvl w:val="0"/>
          <w:numId w:val="69"/>
        </w:numPr>
        <w:tabs>
          <w:tab w:pos="746" w:val="left" w:leader="none"/>
        </w:tabs>
        <w:spacing w:line="240" w:lineRule="auto" w:before="65" w:after="0"/>
        <w:ind w:left="745" w:right="0" w:hanging="428"/>
        <w:jc w:val="left"/>
        <w:rPr>
          <w:sz w:val="21"/>
        </w:rPr>
      </w:pPr>
      <w:r>
        <w:rPr>
          <w:sz w:val="21"/>
        </w:rPr>
        <w:t>采用公允价值计量模式的生产性生物资产 </w:t>
      </w:r>
    </w:p>
    <w:p>
      <w:pPr>
        <w:pStyle w:val="BodyText"/>
        <w:spacing w:line="244" w:lineRule="auto" w:before="62"/>
        <w:ind w:right="8320"/>
      </w:pPr>
      <w:r>
        <w:rPr/>
        <w:t>□适用 √不适用其他说明 </w:t>
      </w:r>
    </w:p>
    <w:p>
      <w:pPr>
        <w:pStyle w:val="BodyText"/>
        <w:spacing w:line="265" w:lineRule="exact"/>
      </w:pPr>
      <w:r>
        <w:rPr>
          <w:spacing w:val="-1"/>
        </w:rPr>
        <w:t>□适用 √不适用</w:t>
      </w:r>
      <w:r>
        <w:rPr>
          <w:spacing w:val="-3"/>
        </w:rPr>
        <w:t> </w:t>
      </w:r>
      <w:r>
        <w:rPr/>
        <w:t> </w:t>
      </w:r>
    </w:p>
    <w:p>
      <w:pPr>
        <w:pStyle w:val="BodyText"/>
        <w:spacing w:before="4"/>
      </w:pPr>
      <w:r>
        <w:rPr>
          <w:w w:val="100"/>
        </w:rPr>
        <w:t> </w:t>
      </w:r>
    </w:p>
    <w:p>
      <w:pPr>
        <w:pStyle w:val="BodyText"/>
        <w:spacing w:before="62"/>
      </w:pPr>
      <w:r>
        <w:rPr/>
        <w:t>24</w:t>
      </w:r>
      <w:r>
        <w:rPr>
          <w:spacing w:val="-5"/>
        </w:rPr>
        <w:t>、 油气资产</w:t>
      </w:r>
      <w:r>
        <w:rPr/>
        <w:t> </w:t>
      </w:r>
    </w:p>
    <w:p>
      <w:pPr>
        <w:pStyle w:val="BodyText"/>
        <w:spacing w:before="65"/>
      </w:pPr>
      <w:r>
        <w:rPr>
          <w:spacing w:val="-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BodyText"/>
        <w:spacing w:before="62"/>
      </w:pPr>
      <w:r>
        <w:rPr/>
        <w:t>25</w:t>
      </w:r>
      <w:r>
        <w:rPr>
          <w:spacing w:val="-4"/>
        </w:rPr>
        <w:t>、 使用权资产</w:t>
      </w:r>
    </w:p>
    <w:p>
      <w:pPr>
        <w:pStyle w:val="BodyText"/>
        <w:spacing w:before="65"/>
      </w:pPr>
      <w:r>
        <w:rPr>
          <w:spacing w:val="-1"/>
        </w:rPr>
        <w:t>√适用 □不适用</w:t>
      </w:r>
      <w:r>
        <w:rPr>
          <w:spacing w:val="-3"/>
        </w:rPr>
        <w:t> </w:t>
      </w:r>
      <w:r>
        <w:rPr/>
        <w:t> </w:t>
      </w:r>
    </w:p>
    <w:p>
      <w:pPr>
        <w:pStyle w:val="BodyText"/>
        <w:spacing w:before="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77"/>
        <w:gridCol w:w="1817"/>
        <w:gridCol w:w="1858"/>
        <w:gridCol w:w="1717"/>
        <w:gridCol w:w="1056"/>
      </w:tblGrid>
      <w:tr>
        <w:trPr>
          <w:trHeight w:val="282" w:hRule="atLeast"/>
        </w:trPr>
        <w:tc>
          <w:tcPr>
            <w:tcW w:w="2377" w:type="dxa"/>
          </w:tcPr>
          <w:p>
            <w:pPr>
              <w:pStyle w:val="TableParagraph"/>
              <w:spacing w:line="257" w:lineRule="exact" w:before="5"/>
              <w:ind w:left="1009" w:right="898"/>
              <w:jc w:val="center"/>
              <w:rPr>
                <w:sz w:val="21"/>
              </w:rPr>
            </w:pPr>
            <w:r>
              <w:rPr>
                <w:sz w:val="21"/>
              </w:rPr>
              <w:t>项目 </w:t>
            </w:r>
          </w:p>
        </w:tc>
        <w:tc>
          <w:tcPr>
            <w:tcW w:w="1817" w:type="dxa"/>
          </w:tcPr>
          <w:p>
            <w:pPr>
              <w:pStyle w:val="TableParagraph"/>
              <w:spacing w:line="257" w:lineRule="exact" w:before="5"/>
              <w:ind w:left="277"/>
              <w:rPr>
                <w:sz w:val="21"/>
              </w:rPr>
            </w:pPr>
            <w:r>
              <w:rPr>
                <w:spacing w:val="-1"/>
                <w:sz w:val="21"/>
              </w:rPr>
              <w:t>房屋及建筑物</w:t>
            </w:r>
            <w:r>
              <w:rPr>
                <w:sz w:val="21"/>
              </w:rPr>
              <w:t> </w:t>
            </w:r>
          </w:p>
        </w:tc>
        <w:tc>
          <w:tcPr>
            <w:tcW w:w="1858" w:type="dxa"/>
          </w:tcPr>
          <w:p>
            <w:pPr>
              <w:pStyle w:val="TableParagraph"/>
              <w:spacing w:line="257" w:lineRule="exact" w:before="5"/>
              <w:ind w:left="107"/>
              <w:rPr>
                <w:sz w:val="21"/>
              </w:rPr>
            </w:pPr>
            <w:r>
              <w:rPr>
                <w:spacing w:val="-1"/>
                <w:sz w:val="21"/>
              </w:rPr>
              <w:t>机器设备</w:t>
            </w:r>
            <w:r>
              <w:rPr>
                <w:sz w:val="21"/>
              </w:rPr>
              <w:t> </w:t>
            </w:r>
          </w:p>
        </w:tc>
        <w:tc>
          <w:tcPr>
            <w:tcW w:w="1717" w:type="dxa"/>
          </w:tcPr>
          <w:p>
            <w:pPr>
              <w:pStyle w:val="TableParagraph"/>
              <w:spacing w:line="257" w:lineRule="exact" w:before="5"/>
              <w:ind w:left="435"/>
              <w:rPr>
                <w:sz w:val="21"/>
              </w:rPr>
            </w:pPr>
            <w:r>
              <w:rPr>
                <w:spacing w:val="-1"/>
                <w:sz w:val="21"/>
              </w:rPr>
              <w:t>运输工具</w:t>
            </w:r>
            <w:r>
              <w:rPr>
                <w:sz w:val="21"/>
              </w:rPr>
              <w:t> </w:t>
            </w:r>
          </w:p>
        </w:tc>
        <w:tc>
          <w:tcPr>
            <w:tcW w:w="1056" w:type="dxa"/>
          </w:tcPr>
          <w:p>
            <w:pPr>
              <w:pStyle w:val="TableParagraph"/>
              <w:spacing w:line="257" w:lineRule="exact" w:before="5"/>
              <w:ind w:left="315"/>
              <w:rPr>
                <w:sz w:val="21"/>
              </w:rPr>
            </w:pPr>
            <w:r>
              <w:rPr>
                <w:sz w:val="21"/>
              </w:rPr>
              <w:t>合计 </w:t>
            </w:r>
          </w:p>
        </w:tc>
      </w:tr>
      <w:tr>
        <w:trPr>
          <w:trHeight w:val="285" w:hRule="atLeast"/>
        </w:trPr>
        <w:tc>
          <w:tcPr>
            <w:tcW w:w="2377" w:type="dxa"/>
          </w:tcPr>
          <w:p>
            <w:pPr>
              <w:pStyle w:val="TableParagraph"/>
              <w:spacing w:line="257" w:lineRule="exact" w:before="8"/>
              <w:ind w:left="107"/>
              <w:rPr>
                <w:sz w:val="21"/>
              </w:rPr>
            </w:pPr>
            <w:r>
              <w:rPr>
                <w:sz w:val="21"/>
              </w:rPr>
              <w:t>一、账面原值 </w:t>
            </w:r>
          </w:p>
        </w:tc>
        <w:tc>
          <w:tcPr>
            <w:tcW w:w="1817" w:type="dxa"/>
          </w:tcPr>
          <w:p>
            <w:pPr>
              <w:pStyle w:val="TableParagraph"/>
              <w:spacing w:line="264" w:lineRule="exact" w:before="1"/>
              <w:ind w:right="-15"/>
              <w:jc w:val="right"/>
              <w:rPr>
                <w:sz w:val="21"/>
              </w:rPr>
            </w:pPr>
            <w:r>
              <w:rPr>
                <w:w w:val="100"/>
                <w:sz w:val="21"/>
              </w:rPr>
              <w:t> </w:t>
            </w:r>
          </w:p>
        </w:tc>
        <w:tc>
          <w:tcPr>
            <w:tcW w:w="1858" w:type="dxa"/>
          </w:tcPr>
          <w:p>
            <w:pPr>
              <w:pStyle w:val="TableParagraph"/>
              <w:spacing w:line="264" w:lineRule="exact" w:before="1"/>
              <w:ind w:right="-15"/>
              <w:jc w:val="right"/>
              <w:rPr>
                <w:sz w:val="21"/>
              </w:rPr>
            </w:pPr>
            <w:r>
              <w:rPr>
                <w:w w:val="100"/>
                <w:sz w:val="21"/>
              </w:rPr>
              <w:t> </w:t>
            </w:r>
          </w:p>
        </w:tc>
        <w:tc>
          <w:tcPr>
            <w:tcW w:w="1717" w:type="dxa"/>
          </w:tcPr>
          <w:p>
            <w:pPr>
              <w:pStyle w:val="TableParagraph"/>
              <w:spacing w:line="264" w:lineRule="exact" w:before="1"/>
              <w:ind w:right="-15"/>
              <w:jc w:val="right"/>
              <w:rPr>
                <w:sz w:val="21"/>
              </w:rPr>
            </w:pPr>
            <w:r>
              <w:rPr>
                <w:w w:val="100"/>
                <w:sz w:val="21"/>
              </w:rPr>
              <w:t> </w:t>
            </w:r>
          </w:p>
        </w:tc>
        <w:tc>
          <w:tcPr>
            <w:tcW w:w="1056" w:type="dxa"/>
          </w:tcPr>
          <w:p>
            <w:pPr>
              <w:pStyle w:val="TableParagraph"/>
              <w:spacing w:line="264" w:lineRule="exact" w:before="1"/>
              <w:ind w:right="-15"/>
              <w:jc w:val="right"/>
              <w:rPr>
                <w:sz w:val="21"/>
              </w:rPr>
            </w:pPr>
            <w:r>
              <w:rPr>
                <w:w w:val="100"/>
                <w:sz w:val="21"/>
              </w:rPr>
              <w:t> </w:t>
            </w:r>
          </w:p>
        </w:tc>
      </w:tr>
      <w:tr>
        <w:trPr>
          <w:trHeight w:val="282" w:hRule="atLeast"/>
        </w:trPr>
        <w:tc>
          <w:tcPr>
            <w:tcW w:w="2377" w:type="dxa"/>
          </w:tcPr>
          <w:p>
            <w:pPr>
              <w:pStyle w:val="TableParagraph"/>
              <w:spacing w:line="257" w:lineRule="exact" w:before="6"/>
              <w:ind w:left="107"/>
              <w:rPr>
                <w:sz w:val="21"/>
              </w:rPr>
            </w:pPr>
            <w:r>
              <w:rPr>
                <w:w w:val="100"/>
                <w:sz w:val="21"/>
              </w:rPr>
              <w:t>   </w:t>
            </w:r>
            <w:r>
              <w:rPr>
                <w:spacing w:val="-1"/>
                <w:w w:val="100"/>
                <w:sz w:val="21"/>
              </w:rPr>
              <w:t> </w:t>
            </w:r>
            <w:r>
              <w:rPr>
                <w:sz w:val="21"/>
              </w:rPr>
              <w:t>1.期初余额 </w:t>
            </w:r>
          </w:p>
        </w:tc>
        <w:tc>
          <w:tcPr>
            <w:tcW w:w="1817" w:type="dxa"/>
          </w:tcPr>
          <w:p>
            <w:pPr>
              <w:pStyle w:val="TableParagraph"/>
              <w:spacing w:line="235" w:lineRule="exact"/>
              <w:ind w:right="94"/>
              <w:jc w:val="right"/>
              <w:rPr>
                <w:rFonts w:ascii="Times New Roman"/>
                <w:sz w:val="21"/>
              </w:rPr>
            </w:pPr>
            <w:r>
              <w:rPr>
                <w:rFonts w:ascii="Times New Roman"/>
                <w:sz w:val="21"/>
              </w:rPr>
              <w:t>3,422,517</w:t>
            </w:r>
          </w:p>
        </w:tc>
        <w:tc>
          <w:tcPr>
            <w:tcW w:w="1858" w:type="dxa"/>
          </w:tcPr>
          <w:p>
            <w:pPr>
              <w:pStyle w:val="TableParagraph"/>
              <w:spacing w:line="235" w:lineRule="exact"/>
              <w:ind w:right="94"/>
              <w:jc w:val="right"/>
              <w:rPr>
                <w:rFonts w:ascii="Times New Roman"/>
                <w:sz w:val="21"/>
              </w:rPr>
            </w:pPr>
            <w:r>
              <w:rPr>
                <w:rFonts w:ascii="Times New Roman"/>
                <w:sz w:val="21"/>
              </w:rPr>
              <w:t>144,051</w:t>
            </w:r>
          </w:p>
        </w:tc>
        <w:tc>
          <w:tcPr>
            <w:tcW w:w="1717" w:type="dxa"/>
          </w:tcPr>
          <w:p>
            <w:pPr>
              <w:pStyle w:val="TableParagraph"/>
              <w:spacing w:line="235" w:lineRule="exact"/>
              <w:ind w:left="1029"/>
              <w:rPr>
                <w:rFonts w:ascii="Times New Roman"/>
                <w:sz w:val="21"/>
              </w:rPr>
            </w:pPr>
            <w:r>
              <w:rPr>
                <w:rFonts w:ascii="Times New Roman"/>
                <w:sz w:val="21"/>
              </w:rPr>
              <w:t>12,901</w:t>
            </w:r>
          </w:p>
        </w:tc>
        <w:tc>
          <w:tcPr>
            <w:tcW w:w="1056" w:type="dxa"/>
          </w:tcPr>
          <w:p>
            <w:pPr>
              <w:pStyle w:val="TableParagraph"/>
              <w:spacing w:line="235" w:lineRule="exact"/>
              <w:ind w:left="106"/>
              <w:rPr>
                <w:rFonts w:ascii="Times New Roman"/>
                <w:sz w:val="21"/>
              </w:rPr>
            </w:pPr>
            <w:r>
              <w:rPr>
                <w:rFonts w:ascii="Times New Roman"/>
                <w:sz w:val="21"/>
              </w:rPr>
              <w:t>3,579,469</w:t>
            </w:r>
          </w:p>
        </w:tc>
      </w:tr>
      <w:tr>
        <w:trPr>
          <w:trHeight w:val="285" w:hRule="atLeast"/>
        </w:trPr>
        <w:tc>
          <w:tcPr>
            <w:tcW w:w="2377" w:type="dxa"/>
          </w:tcPr>
          <w:p>
            <w:pPr>
              <w:pStyle w:val="TableParagraph"/>
              <w:spacing w:line="257" w:lineRule="exact" w:before="8"/>
              <w:ind w:right="259"/>
              <w:jc w:val="right"/>
              <w:rPr>
                <w:sz w:val="21"/>
              </w:rPr>
            </w:pPr>
            <w:r>
              <w:rPr>
                <w:sz w:val="21"/>
              </w:rPr>
              <w:t>2.本期增加金额 </w:t>
            </w:r>
          </w:p>
        </w:tc>
        <w:tc>
          <w:tcPr>
            <w:tcW w:w="1817" w:type="dxa"/>
          </w:tcPr>
          <w:p>
            <w:pPr>
              <w:pStyle w:val="TableParagraph"/>
              <w:spacing w:line="235" w:lineRule="exact"/>
              <w:ind w:right="94"/>
              <w:jc w:val="right"/>
              <w:rPr>
                <w:rFonts w:ascii="Times New Roman"/>
                <w:sz w:val="21"/>
              </w:rPr>
            </w:pPr>
            <w:r>
              <w:rPr>
                <w:rFonts w:ascii="Times New Roman"/>
                <w:sz w:val="21"/>
              </w:rPr>
              <w:t>1,515,812</w:t>
            </w:r>
          </w:p>
        </w:tc>
        <w:tc>
          <w:tcPr>
            <w:tcW w:w="1858" w:type="dxa"/>
          </w:tcPr>
          <w:p>
            <w:pPr>
              <w:pStyle w:val="TableParagraph"/>
              <w:spacing w:line="235" w:lineRule="exact"/>
              <w:ind w:right="94"/>
              <w:jc w:val="right"/>
              <w:rPr>
                <w:rFonts w:ascii="Times New Roman"/>
                <w:sz w:val="21"/>
              </w:rPr>
            </w:pPr>
            <w:r>
              <w:rPr>
                <w:rFonts w:ascii="Times New Roman"/>
                <w:sz w:val="21"/>
              </w:rPr>
              <w:t>92,099</w:t>
            </w:r>
          </w:p>
        </w:tc>
        <w:tc>
          <w:tcPr>
            <w:tcW w:w="1717" w:type="dxa"/>
          </w:tcPr>
          <w:p>
            <w:pPr>
              <w:pStyle w:val="TableParagraph"/>
              <w:spacing w:line="235" w:lineRule="exact"/>
              <w:ind w:left="1134"/>
              <w:rPr>
                <w:rFonts w:ascii="Times New Roman"/>
                <w:sz w:val="21"/>
              </w:rPr>
            </w:pPr>
            <w:r>
              <w:rPr>
                <w:rFonts w:ascii="Times New Roman"/>
                <w:sz w:val="21"/>
              </w:rPr>
              <w:t>6,188</w:t>
            </w:r>
          </w:p>
        </w:tc>
        <w:tc>
          <w:tcPr>
            <w:tcW w:w="1056" w:type="dxa"/>
          </w:tcPr>
          <w:p>
            <w:pPr>
              <w:pStyle w:val="TableParagraph"/>
              <w:spacing w:line="235" w:lineRule="exact"/>
              <w:ind w:left="106"/>
              <w:rPr>
                <w:rFonts w:ascii="Times New Roman"/>
                <w:sz w:val="21"/>
              </w:rPr>
            </w:pPr>
            <w:r>
              <w:rPr>
                <w:rFonts w:ascii="Times New Roman"/>
                <w:sz w:val="21"/>
              </w:rPr>
              <w:t>1,614,099</w:t>
            </w:r>
          </w:p>
        </w:tc>
      </w:tr>
      <w:tr>
        <w:trPr>
          <w:trHeight w:val="282" w:hRule="atLeast"/>
        </w:trPr>
        <w:tc>
          <w:tcPr>
            <w:tcW w:w="2377" w:type="dxa"/>
          </w:tcPr>
          <w:p>
            <w:pPr>
              <w:pStyle w:val="TableParagraph"/>
              <w:spacing w:line="262" w:lineRule="exact" w:before="1"/>
              <w:ind w:right="259"/>
              <w:jc w:val="right"/>
              <w:rPr>
                <w:sz w:val="21"/>
              </w:rPr>
            </w:pPr>
            <w:r>
              <w:rPr>
                <w:spacing w:val="-1"/>
                <w:sz w:val="21"/>
              </w:rPr>
              <w:t>新增租赁合同</w:t>
            </w:r>
            <w:r>
              <w:rPr>
                <w:sz w:val="21"/>
              </w:rPr>
              <w:t> </w:t>
            </w:r>
          </w:p>
        </w:tc>
        <w:tc>
          <w:tcPr>
            <w:tcW w:w="1817" w:type="dxa"/>
          </w:tcPr>
          <w:p>
            <w:pPr>
              <w:pStyle w:val="TableParagraph"/>
              <w:spacing w:line="235" w:lineRule="exact"/>
              <w:ind w:right="94"/>
              <w:jc w:val="right"/>
              <w:rPr>
                <w:rFonts w:ascii="Times New Roman"/>
                <w:sz w:val="21"/>
              </w:rPr>
            </w:pPr>
            <w:r>
              <w:rPr>
                <w:rFonts w:ascii="Times New Roman"/>
                <w:sz w:val="21"/>
              </w:rPr>
              <w:t>1,512,474</w:t>
            </w:r>
          </w:p>
        </w:tc>
        <w:tc>
          <w:tcPr>
            <w:tcW w:w="1858" w:type="dxa"/>
          </w:tcPr>
          <w:p>
            <w:pPr>
              <w:pStyle w:val="TableParagraph"/>
              <w:spacing w:line="235" w:lineRule="exact"/>
              <w:ind w:right="94"/>
              <w:jc w:val="right"/>
              <w:rPr>
                <w:rFonts w:ascii="Times New Roman"/>
                <w:sz w:val="21"/>
              </w:rPr>
            </w:pPr>
            <w:r>
              <w:rPr>
                <w:rFonts w:ascii="Times New Roman"/>
                <w:sz w:val="21"/>
              </w:rPr>
              <w:t>92,099</w:t>
            </w:r>
          </w:p>
        </w:tc>
        <w:tc>
          <w:tcPr>
            <w:tcW w:w="1717" w:type="dxa"/>
          </w:tcPr>
          <w:p>
            <w:pPr>
              <w:pStyle w:val="TableParagraph"/>
              <w:spacing w:line="235" w:lineRule="exact"/>
              <w:ind w:left="1134"/>
              <w:rPr>
                <w:rFonts w:ascii="Times New Roman"/>
                <w:sz w:val="21"/>
              </w:rPr>
            </w:pPr>
            <w:r>
              <w:rPr>
                <w:rFonts w:ascii="Times New Roman"/>
                <w:sz w:val="21"/>
              </w:rPr>
              <w:t>6,188</w:t>
            </w:r>
          </w:p>
        </w:tc>
        <w:tc>
          <w:tcPr>
            <w:tcW w:w="1056" w:type="dxa"/>
          </w:tcPr>
          <w:p>
            <w:pPr>
              <w:pStyle w:val="TableParagraph"/>
              <w:spacing w:line="235" w:lineRule="exact"/>
              <w:ind w:left="106"/>
              <w:rPr>
                <w:rFonts w:ascii="Times New Roman"/>
                <w:sz w:val="21"/>
              </w:rPr>
            </w:pPr>
            <w:r>
              <w:rPr>
                <w:rFonts w:ascii="Times New Roman"/>
                <w:sz w:val="21"/>
              </w:rPr>
              <w:t>1,610,761</w:t>
            </w:r>
          </w:p>
        </w:tc>
      </w:tr>
      <w:tr>
        <w:trPr>
          <w:trHeight w:val="544" w:hRule="atLeast"/>
        </w:trPr>
        <w:tc>
          <w:tcPr>
            <w:tcW w:w="2377" w:type="dxa"/>
          </w:tcPr>
          <w:p>
            <w:pPr>
              <w:pStyle w:val="TableParagraph"/>
              <w:spacing w:before="1"/>
              <w:ind w:left="738"/>
              <w:rPr>
                <w:sz w:val="21"/>
              </w:rPr>
            </w:pPr>
            <w:r>
              <w:rPr>
                <w:sz w:val="21"/>
              </w:rPr>
              <w:t>非同一控制下企</w:t>
            </w:r>
          </w:p>
          <w:p>
            <w:pPr>
              <w:pStyle w:val="TableParagraph"/>
              <w:spacing w:line="250" w:lineRule="exact" w:before="4"/>
              <w:ind w:left="107"/>
              <w:rPr>
                <w:sz w:val="21"/>
              </w:rPr>
            </w:pPr>
            <w:r>
              <w:rPr>
                <w:sz w:val="21"/>
              </w:rPr>
              <w:t>业合并 </w:t>
            </w:r>
          </w:p>
        </w:tc>
        <w:tc>
          <w:tcPr>
            <w:tcW w:w="1817" w:type="dxa"/>
          </w:tcPr>
          <w:p>
            <w:pPr>
              <w:pStyle w:val="TableParagraph"/>
              <w:spacing w:line="235" w:lineRule="exact"/>
              <w:ind w:right="94"/>
              <w:jc w:val="right"/>
              <w:rPr>
                <w:rFonts w:ascii="Times New Roman"/>
                <w:sz w:val="21"/>
              </w:rPr>
            </w:pPr>
            <w:r>
              <w:rPr>
                <w:rFonts w:ascii="Times New Roman"/>
                <w:sz w:val="21"/>
              </w:rPr>
              <w:t>3,338</w:t>
            </w:r>
          </w:p>
        </w:tc>
        <w:tc>
          <w:tcPr>
            <w:tcW w:w="1858" w:type="dxa"/>
          </w:tcPr>
          <w:p>
            <w:pPr>
              <w:pStyle w:val="TableParagraph"/>
              <w:spacing w:line="235" w:lineRule="exact"/>
              <w:ind w:right="96"/>
              <w:jc w:val="right"/>
              <w:rPr>
                <w:rFonts w:ascii="Times New Roman"/>
                <w:sz w:val="21"/>
              </w:rPr>
            </w:pPr>
            <w:r>
              <w:rPr>
                <w:rFonts w:ascii="Times New Roman"/>
                <w:w w:val="100"/>
                <w:sz w:val="21"/>
              </w:rPr>
              <w:t>-</w:t>
            </w:r>
          </w:p>
        </w:tc>
        <w:tc>
          <w:tcPr>
            <w:tcW w:w="1717" w:type="dxa"/>
          </w:tcPr>
          <w:p>
            <w:pPr>
              <w:pStyle w:val="TableParagraph"/>
              <w:spacing w:line="235" w:lineRule="exact"/>
              <w:ind w:right="96"/>
              <w:jc w:val="right"/>
              <w:rPr>
                <w:rFonts w:ascii="Times New Roman"/>
                <w:sz w:val="21"/>
              </w:rPr>
            </w:pPr>
            <w:r>
              <w:rPr>
                <w:rFonts w:ascii="Times New Roman"/>
                <w:w w:val="100"/>
                <w:sz w:val="21"/>
              </w:rPr>
              <w:t>-</w:t>
            </w:r>
          </w:p>
        </w:tc>
        <w:tc>
          <w:tcPr>
            <w:tcW w:w="1056" w:type="dxa"/>
          </w:tcPr>
          <w:p>
            <w:pPr>
              <w:pStyle w:val="TableParagraph"/>
              <w:spacing w:line="235" w:lineRule="exact"/>
              <w:ind w:left="473"/>
              <w:rPr>
                <w:rFonts w:ascii="Times New Roman"/>
                <w:sz w:val="21"/>
              </w:rPr>
            </w:pPr>
            <w:r>
              <w:rPr>
                <w:rFonts w:ascii="Times New Roman"/>
                <w:sz w:val="21"/>
              </w:rPr>
              <w:t>3,338</w:t>
            </w:r>
          </w:p>
        </w:tc>
      </w:tr>
      <w:tr>
        <w:trPr>
          <w:trHeight w:val="484" w:hRule="atLeast"/>
        </w:trPr>
        <w:tc>
          <w:tcPr>
            <w:tcW w:w="2377" w:type="dxa"/>
          </w:tcPr>
          <w:p>
            <w:pPr>
              <w:pStyle w:val="TableParagraph"/>
              <w:spacing w:before="106"/>
              <w:ind w:right="259"/>
              <w:jc w:val="right"/>
              <w:rPr>
                <w:sz w:val="21"/>
              </w:rPr>
            </w:pPr>
            <w:r>
              <w:rPr>
                <w:sz w:val="21"/>
              </w:rPr>
              <w:t>3.本期减少金额 </w:t>
            </w:r>
          </w:p>
        </w:tc>
        <w:tc>
          <w:tcPr>
            <w:tcW w:w="1817" w:type="dxa"/>
          </w:tcPr>
          <w:p>
            <w:pPr>
              <w:pStyle w:val="TableParagraph"/>
              <w:spacing w:line="235" w:lineRule="exact"/>
              <w:ind w:right="94"/>
              <w:jc w:val="right"/>
              <w:rPr>
                <w:rFonts w:ascii="Times New Roman"/>
                <w:sz w:val="21"/>
              </w:rPr>
            </w:pPr>
            <w:r>
              <w:rPr>
                <w:rFonts w:ascii="Times New Roman"/>
                <w:sz w:val="21"/>
              </w:rPr>
              <w:t>-1,386,492</w:t>
            </w:r>
          </w:p>
        </w:tc>
        <w:tc>
          <w:tcPr>
            <w:tcW w:w="1858" w:type="dxa"/>
          </w:tcPr>
          <w:p>
            <w:pPr>
              <w:pStyle w:val="TableParagraph"/>
              <w:spacing w:line="235" w:lineRule="exact"/>
              <w:ind w:right="96"/>
              <w:jc w:val="right"/>
              <w:rPr>
                <w:rFonts w:ascii="Times New Roman"/>
                <w:sz w:val="21"/>
              </w:rPr>
            </w:pPr>
            <w:r>
              <w:rPr>
                <w:rFonts w:ascii="Times New Roman"/>
                <w:sz w:val="21"/>
              </w:rPr>
              <w:t>-59,705</w:t>
            </w:r>
          </w:p>
        </w:tc>
        <w:tc>
          <w:tcPr>
            <w:tcW w:w="1717" w:type="dxa"/>
          </w:tcPr>
          <w:p>
            <w:pPr>
              <w:pStyle w:val="TableParagraph"/>
              <w:spacing w:line="235" w:lineRule="exact"/>
              <w:ind w:left="1065"/>
              <w:rPr>
                <w:rFonts w:ascii="Times New Roman"/>
                <w:sz w:val="21"/>
              </w:rPr>
            </w:pPr>
            <w:r>
              <w:rPr>
                <w:rFonts w:ascii="Times New Roman"/>
                <w:sz w:val="21"/>
              </w:rPr>
              <w:t>-3,374</w:t>
            </w:r>
          </w:p>
        </w:tc>
        <w:tc>
          <w:tcPr>
            <w:tcW w:w="1056" w:type="dxa"/>
          </w:tcPr>
          <w:p>
            <w:pPr>
              <w:pStyle w:val="TableParagraph"/>
              <w:spacing w:line="235" w:lineRule="exact"/>
              <w:ind w:right="96"/>
              <w:jc w:val="right"/>
              <w:rPr>
                <w:rFonts w:ascii="Times New Roman"/>
                <w:sz w:val="21"/>
              </w:rPr>
            </w:pPr>
            <w:r>
              <w:rPr>
                <w:rFonts w:ascii="Times New Roman"/>
                <w:w w:val="100"/>
                <w:sz w:val="21"/>
              </w:rPr>
              <w:t>-</w:t>
            </w:r>
          </w:p>
          <w:p>
            <w:pPr>
              <w:pStyle w:val="TableParagraph"/>
              <w:spacing w:line="229" w:lineRule="exact" w:before="1"/>
              <w:ind w:right="94"/>
              <w:jc w:val="right"/>
              <w:rPr>
                <w:rFonts w:ascii="Times New Roman"/>
                <w:sz w:val="21"/>
              </w:rPr>
            </w:pPr>
            <w:r>
              <w:rPr>
                <w:rFonts w:ascii="Times New Roman"/>
                <w:sz w:val="21"/>
              </w:rPr>
              <w:t>1,449,571</w:t>
            </w:r>
          </w:p>
        </w:tc>
      </w:tr>
      <w:tr>
        <w:trPr>
          <w:trHeight w:val="280" w:hRule="atLeast"/>
        </w:trPr>
        <w:tc>
          <w:tcPr>
            <w:tcW w:w="2377" w:type="dxa"/>
            <w:tcBorders>
              <w:bottom w:val="single" w:sz="6" w:space="0" w:color="000000"/>
            </w:tcBorders>
          </w:tcPr>
          <w:p>
            <w:pPr>
              <w:pStyle w:val="TableParagraph"/>
              <w:spacing w:line="259" w:lineRule="exact" w:before="1"/>
              <w:ind w:left="738"/>
              <w:rPr>
                <w:sz w:val="21"/>
              </w:rPr>
            </w:pPr>
            <w:r>
              <w:rPr>
                <w:spacing w:val="-1"/>
                <w:sz w:val="21"/>
              </w:rPr>
              <w:t>租赁变更</w:t>
            </w:r>
            <w:r>
              <w:rPr>
                <w:sz w:val="21"/>
              </w:rPr>
              <w:t> </w:t>
            </w:r>
          </w:p>
        </w:tc>
        <w:tc>
          <w:tcPr>
            <w:tcW w:w="1817" w:type="dxa"/>
            <w:tcBorders>
              <w:bottom w:val="single" w:sz="6" w:space="0" w:color="000000"/>
            </w:tcBorders>
          </w:tcPr>
          <w:p>
            <w:pPr>
              <w:pStyle w:val="TableParagraph"/>
              <w:spacing w:line="235" w:lineRule="exact"/>
              <w:ind w:right="96"/>
              <w:jc w:val="right"/>
              <w:rPr>
                <w:rFonts w:ascii="Times New Roman"/>
                <w:sz w:val="21"/>
              </w:rPr>
            </w:pPr>
            <w:r>
              <w:rPr>
                <w:rFonts w:ascii="Times New Roman"/>
                <w:sz w:val="21"/>
              </w:rPr>
              <w:t>-37,523</w:t>
            </w:r>
          </w:p>
        </w:tc>
        <w:tc>
          <w:tcPr>
            <w:tcW w:w="1858" w:type="dxa"/>
            <w:tcBorders>
              <w:bottom w:val="single" w:sz="6" w:space="0" w:color="000000"/>
            </w:tcBorders>
          </w:tcPr>
          <w:p>
            <w:pPr>
              <w:pStyle w:val="TableParagraph"/>
              <w:spacing w:line="235" w:lineRule="exact"/>
              <w:ind w:right="96"/>
              <w:jc w:val="right"/>
              <w:rPr>
                <w:rFonts w:ascii="Times New Roman"/>
                <w:sz w:val="21"/>
              </w:rPr>
            </w:pPr>
            <w:r>
              <w:rPr>
                <w:rFonts w:ascii="Times New Roman"/>
                <w:sz w:val="21"/>
              </w:rPr>
              <w:t>-5,916</w:t>
            </w:r>
          </w:p>
        </w:tc>
        <w:tc>
          <w:tcPr>
            <w:tcW w:w="1717" w:type="dxa"/>
            <w:tcBorders>
              <w:bottom w:val="single" w:sz="6" w:space="0" w:color="000000"/>
            </w:tcBorders>
          </w:tcPr>
          <w:p>
            <w:pPr>
              <w:pStyle w:val="TableParagraph"/>
              <w:spacing w:line="235" w:lineRule="exact"/>
              <w:ind w:right="254"/>
              <w:jc w:val="right"/>
              <w:rPr>
                <w:rFonts w:ascii="Times New Roman"/>
                <w:sz w:val="21"/>
              </w:rPr>
            </w:pPr>
            <w:r>
              <w:rPr>
                <w:rFonts w:ascii="Times New Roman"/>
                <w:w w:val="100"/>
                <w:sz w:val="21"/>
              </w:rPr>
              <w:t>-</w:t>
            </w:r>
          </w:p>
        </w:tc>
        <w:tc>
          <w:tcPr>
            <w:tcW w:w="1056" w:type="dxa"/>
            <w:tcBorders>
              <w:bottom w:val="single" w:sz="6" w:space="0" w:color="000000"/>
            </w:tcBorders>
          </w:tcPr>
          <w:p>
            <w:pPr>
              <w:pStyle w:val="TableParagraph"/>
              <w:spacing w:line="235" w:lineRule="exact"/>
              <w:ind w:left="298"/>
              <w:rPr>
                <w:rFonts w:ascii="Times New Roman"/>
                <w:sz w:val="21"/>
              </w:rPr>
            </w:pPr>
            <w:r>
              <w:rPr>
                <w:rFonts w:ascii="Times New Roman"/>
                <w:sz w:val="21"/>
              </w:rPr>
              <w:t>-43,439</w:t>
            </w:r>
          </w:p>
        </w:tc>
      </w:tr>
      <w:tr>
        <w:trPr>
          <w:trHeight w:val="479" w:hRule="atLeast"/>
        </w:trPr>
        <w:tc>
          <w:tcPr>
            <w:tcW w:w="2377" w:type="dxa"/>
            <w:tcBorders>
              <w:top w:val="single" w:sz="6" w:space="0" w:color="000000"/>
            </w:tcBorders>
          </w:tcPr>
          <w:p>
            <w:pPr>
              <w:pStyle w:val="TableParagraph"/>
              <w:spacing w:line="268" w:lineRule="exact"/>
              <w:ind w:right="259"/>
              <w:jc w:val="right"/>
              <w:rPr>
                <w:sz w:val="21"/>
              </w:rPr>
            </w:pPr>
            <w:r>
              <w:rPr>
                <w:spacing w:val="-1"/>
                <w:sz w:val="21"/>
              </w:rPr>
              <w:t>减少租赁合同</w:t>
            </w:r>
            <w:r>
              <w:rPr>
                <w:sz w:val="21"/>
              </w:rPr>
              <w:t> </w:t>
            </w:r>
          </w:p>
        </w:tc>
        <w:tc>
          <w:tcPr>
            <w:tcW w:w="1817" w:type="dxa"/>
            <w:tcBorders>
              <w:top w:val="single" w:sz="6" w:space="0" w:color="000000"/>
            </w:tcBorders>
          </w:tcPr>
          <w:p>
            <w:pPr>
              <w:pStyle w:val="TableParagraph"/>
              <w:spacing w:line="233" w:lineRule="exact"/>
              <w:ind w:right="94"/>
              <w:jc w:val="right"/>
              <w:rPr>
                <w:rFonts w:ascii="Times New Roman"/>
                <w:sz w:val="21"/>
              </w:rPr>
            </w:pPr>
            <w:r>
              <w:rPr>
                <w:rFonts w:ascii="Times New Roman"/>
                <w:sz w:val="21"/>
              </w:rPr>
              <w:t>-1,403,775</w:t>
            </w:r>
          </w:p>
        </w:tc>
        <w:tc>
          <w:tcPr>
            <w:tcW w:w="1858" w:type="dxa"/>
            <w:tcBorders>
              <w:top w:val="single" w:sz="6" w:space="0" w:color="000000"/>
            </w:tcBorders>
          </w:tcPr>
          <w:p>
            <w:pPr>
              <w:pStyle w:val="TableParagraph"/>
              <w:spacing w:line="233" w:lineRule="exact"/>
              <w:ind w:right="96"/>
              <w:jc w:val="right"/>
              <w:rPr>
                <w:rFonts w:ascii="Times New Roman"/>
                <w:sz w:val="21"/>
              </w:rPr>
            </w:pPr>
            <w:r>
              <w:rPr>
                <w:rFonts w:ascii="Times New Roman"/>
                <w:sz w:val="21"/>
              </w:rPr>
              <w:t>-53,989</w:t>
            </w:r>
          </w:p>
        </w:tc>
        <w:tc>
          <w:tcPr>
            <w:tcW w:w="1717" w:type="dxa"/>
            <w:tcBorders>
              <w:top w:val="single" w:sz="6" w:space="0" w:color="000000"/>
            </w:tcBorders>
          </w:tcPr>
          <w:p>
            <w:pPr>
              <w:pStyle w:val="TableParagraph"/>
              <w:spacing w:line="233" w:lineRule="exact"/>
              <w:ind w:left="1065"/>
              <w:rPr>
                <w:rFonts w:ascii="Times New Roman"/>
                <w:sz w:val="21"/>
              </w:rPr>
            </w:pPr>
            <w:r>
              <w:rPr>
                <w:rFonts w:ascii="Times New Roman"/>
                <w:sz w:val="21"/>
              </w:rPr>
              <w:t>-3,737</w:t>
            </w:r>
          </w:p>
        </w:tc>
        <w:tc>
          <w:tcPr>
            <w:tcW w:w="1056" w:type="dxa"/>
            <w:tcBorders>
              <w:top w:val="single" w:sz="6" w:space="0" w:color="000000"/>
            </w:tcBorders>
          </w:tcPr>
          <w:p>
            <w:pPr>
              <w:pStyle w:val="TableParagraph"/>
              <w:spacing w:line="233" w:lineRule="exact"/>
              <w:ind w:right="96"/>
              <w:jc w:val="right"/>
              <w:rPr>
                <w:rFonts w:ascii="Times New Roman"/>
                <w:sz w:val="21"/>
              </w:rPr>
            </w:pPr>
            <w:r>
              <w:rPr>
                <w:rFonts w:ascii="Times New Roman"/>
                <w:w w:val="100"/>
                <w:sz w:val="21"/>
              </w:rPr>
              <w:t>-</w:t>
            </w:r>
          </w:p>
          <w:p>
            <w:pPr>
              <w:pStyle w:val="TableParagraph"/>
              <w:spacing w:line="226" w:lineRule="exact" w:before="1"/>
              <w:ind w:right="94"/>
              <w:jc w:val="right"/>
              <w:rPr>
                <w:rFonts w:ascii="Times New Roman"/>
                <w:sz w:val="21"/>
              </w:rPr>
            </w:pPr>
            <w:r>
              <w:rPr>
                <w:rFonts w:ascii="Times New Roman"/>
                <w:sz w:val="21"/>
              </w:rPr>
              <w:t>1,461,501</w:t>
            </w:r>
          </w:p>
        </w:tc>
      </w:tr>
      <w:tr>
        <w:trPr>
          <w:trHeight w:val="546" w:hRule="atLeast"/>
        </w:trPr>
        <w:tc>
          <w:tcPr>
            <w:tcW w:w="2377" w:type="dxa"/>
          </w:tcPr>
          <w:p>
            <w:pPr>
              <w:pStyle w:val="TableParagraph"/>
              <w:spacing w:before="3"/>
              <w:ind w:left="738"/>
              <w:rPr>
                <w:sz w:val="21"/>
              </w:rPr>
            </w:pPr>
            <w:r>
              <w:rPr>
                <w:sz w:val="21"/>
              </w:rPr>
              <w:t>外币报表折算差</w:t>
            </w:r>
          </w:p>
          <w:p>
            <w:pPr>
              <w:pStyle w:val="TableParagraph"/>
              <w:spacing w:line="252" w:lineRule="exact" w:before="2"/>
              <w:ind w:left="107"/>
              <w:rPr>
                <w:sz w:val="21"/>
              </w:rPr>
            </w:pPr>
            <w:r>
              <w:rPr>
                <w:sz w:val="21"/>
              </w:rPr>
              <w:t>异 </w:t>
            </w:r>
          </w:p>
        </w:tc>
        <w:tc>
          <w:tcPr>
            <w:tcW w:w="1817" w:type="dxa"/>
          </w:tcPr>
          <w:p>
            <w:pPr>
              <w:pStyle w:val="TableParagraph"/>
              <w:spacing w:line="237" w:lineRule="exact"/>
              <w:ind w:right="94"/>
              <w:jc w:val="right"/>
              <w:rPr>
                <w:rFonts w:ascii="Times New Roman"/>
                <w:sz w:val="21"/>
              </w:rPr>
            </w:pPr>
            <w:r>
              <w:rPr>
                <w:rFonts w:ascii="Times New Roman"/>
                <w:sz w:val="21"/>
              </w:rPr>
              <w:t>54,806</w:t>
            </w:r>
          </w:p>
        </w:tc>
        <w:tc>
          <w:tcPr>
            <w:tcW w:w="1858" w:type="dxa"/>
          </w:tcPr>
          <w:p>
            <w:pPr>
              <w:pStyle w:val="TableParagraph"/>
              <w:spacing w:line="237" w:lineRule="exact"/>
              <w:ind w:right="94"/>
              <w:jc w:val="right"/>
              <w:rPr>
                <w:rFonts w:ascii="Times New Roman"/>
                <w:sz w:val="21"/>
              </w:rPr>
            </w:pPr>
            <w:r>
              <w:rPr>
                <w:rFonts w:ascii="Times New Roman"/>
                <w:sz w:val="21"/>
              </w:rPr>
              <w:t>200</w:t>
            </w:r>
          </w:p>
        </w:tc>
        <w:tc>
          <w:tcPr>
            <w:tcW w:w="1717" w:type="dxa"/>
          </w:tcPr>
          <w:p>
            <w:pPr>
              <w:pStyle w:val="TableParagraph"/>
              <w:spacing w:line="237" w:lineRule="exact"/>
              <w:ind w:right="94"/>
              <w:jc w:val="right"/>
              <w:rPr>
                <w:rFonts w:ascii="Times New Roman"/>
                <w:sz w:val="21"/>
              </w:rPr>
            </w:pPr>
            <w:r>
              <w:rPr>
                <w:rFonts w:ascii="Times New Roman"/>
                <w:sz w:val="21"/>
              </w:rPr>
              <w:t>363</w:t>
            </w:r>
          </w:p>
        </w:tc>
        <w:tc>
          <w:tcPr>
            <w:tcW w:w="1056" w:type="dxa"/>
          </w:tcPr>
          <w:p>
            <w:pPr>
              <w:pStyle w:val="TableParagraph"/>
              <w:spacing w:line="237" w:lineRule="exact"/>
              <w:ind w:left="368"/>
              <w:rPr>
                <w:rFonts w:ascii="Times New Roman"/>
                <w:sz w:val="21"/>
              </w:rPr>
            </w:pPr>
            <w:r>
              <w:rPr>
                <w:rFonts w:ascii="Times New Roman"/>
                <w:sz w:val="21"/>
              </w:rPr>
              <w:t>55,369</w:t>
            </w:r>
          </w:p>
        </w:tc>
      </w:tr>
      <w:tr>
        <w:trPr>
          <w:trHeight w:val="282" w:hRule="atLeast"/>
        </w:trPr>
        <w:tc>
          <w:tcPr>
            <w:tcW w:w="2377" w:type="dxa"/>
          </w:tcPr>
          <w:p>
            <w:pPr>
              <w:pStyle w:val="TableParagraph"/>
              <w:spacing w:line="257" w:lineRule="exact" w:before="6"/>
              <w:ind w:left="527"/>
              <w:rPr>
                <w:sz w:val="21"/>
              </w:rPr>
            </w:pPr>
            <w:r>
              <w:rPr>
                <w:sz w:val="21"/>
              </w:rPr>
              <w:t>4.期末余额 </w:t>
            </w:r>
          </w:p>
        </w:tc>
        <w:tc>
          <w:tcPr>
            <w:tcW w:w="1817" w:type="dxa"/>
          </w:tcPr>
          <w:p>
            <w:pPr>
              <w:pStyle w:val="TableParagraph"/>
              <w:spacing w:line="235" w:lineRule="exact"/>
              <w:ind w:right="94"/>
              <w:jc w:val="right"/>
              <w:rPr>
                <w:rFonts w:ascii="Times New Roman"/>
                <w:sz w:val="21"/>
              </w:rPr>
            </w:pPr>
            <w:r>
              <w:rPr>
                <w:rFonts w:ascii="Times New Roman"/>
                <w:sz w:val="21"/>
              </w:rPr>
              <w:t>3,551,837</w:t>
            </w:r>
          </w:p>
        </w:tc>
        <w:tc>
          <w:tcPr>
            <w:tcW w:w="1858" w:type="dxa"/>
          </w:tcPr>
          <w:p>
            <w:pPr>
              <w:pStyle w:val="TableParagraph"/>
              <w:spacing w:line="235" w:lineRule="exact"/>
              <w:ind w:right="94"/>
              <w:jc w:val="right"/>
              <w:rPr>
                <w:rFonts w:ascii="Times New Roman"/>
                <w:sz w:val="21"/>
              </w:rPr>
            </w:pPr>
            <w:r>
              <w:rPr>
                <w:rFonts w:ascii="Times New Roman"/>
                <w:sz w:val="21"/>
              </w:rPr>
              <w:t>176,445</w:t>
            </w:r>
          </w:p>
        </w:tc>
        <w:tc>
          <w:tcPr>
            <w:tcW w:w="1717" w:type="dxa"/>
          </w:tcPr>
          <w:p>
            <w:pPr>
              <w:pStyle w:val="TableParagraph"/>
              <w:spacing w:line="235" w:lineRule="exact"/>
              <w:ind w:left="1029"/>
              <w:rPr>
                <w:rFonts w:ascii="Times New Roman"/>
                <w:sz w:val="21"/>
              </w:rPr>
            </w:pPr>
            <w:r>
              <w:rPr>
                <w:rFonts w:ascii="Times New Roman"/>
                <w:sz w:val="21"/>
              </w:rPr>
              <w:t>15,715</w:t>
            </w:r>
          </w:p>
        </w:tc>
        <w:tc>
          <w:tcPr>
            <w:tcW w:w="1056" w:type="dxa"/>
          </w:tcPr>
          <w:p>
            <w:pPr>
              <w:pStyle w:val="TableParagraph"/>
              <w:spacing w:line="235" w:lineRule="exact"/>
              <w:ind w:left="106"/>
              <w:rPr>
                <w:rFonts w:ascii="Times New Roman"/>
                <w:sz w:val="21"/>
              </w:rPr>
            </w:pPr>
            <w:r>
              <w:rPr>
                <w:rFonts w:ascii="Times New Roman"/>
                <w:sz w:val="21"/>
              </w:rPr>
              <w:t>3,743,997</w:t>
            </w:r>
          </w:p>
        </w:tc>
      </w:tr>
      <w:tr>
        <w:trPr>
          <w:trHeight w:val="285" w:hRule="atLeast"/>
        </w:trPr>
        <w:tc>
          <w:tcPr>
            <w:tcW w:w="2377" w:type="dxa"/>
          </w:tcPr>
          <w:p>
            <w:pPr>
              <w:pStyle w:val="TableParagraph"/>
              <w:spacing w:line="257" w:lineRule="exact" w:before="8"/>
              <w:ind w:left="107"/>
              <w:rPr>
                <w:sz w:val="21"/>
              </w:rPr>
            </w:pPr>
            <w:r>
              <w:rPr>
                <w:spacing w:val="-1"/>
                <w:sz w:val="21"/>
              </w:rPr>
              <w:t>二、累计折旧</w:t>
            </w:r>
            <w:r>
              <w:rPr>
                <w:sz w:val="21"/>
              </w:rPr>
              <w:t> </w:t>
            </w:r>
          </w:p>
        </w:tc>
        <w:tc>
          <w:tcPr>
            <w:tcW w:w="1817" w:type="dxa"/>
          </w:tcPr>
          <w:p>
            <w:pPr>
              <w:pStyle w:val="TableParagraph"/>
              <w:rPr>
                <w:rFonts w:ascii="Times New Roman"/>
                <w:sz w:val="20"/>
              </w:rPr>
            </w:pPr>
          </w:p>
        </w:tc>
        <w:tc>
          <w:tcPr>
            <w:tcW w:w="1858" w:type="dxa"/>
          </w:tcPr>
          <w:p>
            <w:pPr>
              <w:pStyle w:val="TableParagraph"/>
              <w:rPr>
                <w:rFonts w:ascii="Times New Roman"/>
                <w:sz w:val="20"/>
              </w:rPr>
            </w:pPr>
          </w:p>
        </w:tc>
        <w:tc>
          <w:tcPr>
            <w:tcW w:w="1717" w:type="dxa"/>
          </w:tcPr>
          <w:p>
            <w:pPr>
              <w:pStyle w:val="TableParagraph"/>
              <w:rPr>
                <w:rFonts w:ascii="Times New Roman"/>
                <w:sz w:val="20"/>
              </w:rPr>
            </w:pPr>
          </w:p>
        </w:tc>
        <w:tc>
          <w:tcPr>
            <w:tcW w:w="1056" w:type="dxa"/>
          </w:tcPr>
          <w:p>
            <w:pPr>
              <w:pStyle w:val="TableParagraph"/>
              <w:rPr>
                <w:rFonts w:ascii="Times New Roman"/>
                <w:sz w:val="20"/>
              </w:rPr>
            </w:pPr>
          </w:p>
        </w:tc>
      </w:tr>
      <w:tr>
        <w:trPr>
          <w:trHeight w:val="481" w:hRule="atLeast"/>
        </w:trPr>
        <w:tc>
          <w:tcPr>
            <w:tcW w:w="2377" w:type="dxa"/>
          </w:tcPr>
          <w:p>
            <w:pPr>
              <w:pStyle w:val="TableParagraph"/>
              <w:spacing w:before="106"/>
              <w:ind w:left="527"/>
              <w:rPr>
                <w:sz w:val="21"/>
              </w:rPr>
            </w:pPr>
            <w:r>
              <w:rPr>
                <w:sz w:val="21"/>
              </w:rPr>
              <w:t>1.期初余额 </w:t>
            </w:r>
          </w:p>
        </w:tc>
        <w:tc>
          <w:tcPr>
            <w:tcW w:w="1817" w:type="dxa"/>
          </w:tcPr>
          <w:p>
            <w:pPr>
              <w:pStyle w:val="TableParagraph"/>
              <w:spacing w:line="235" w:lineRule="exact"/>
              <w:ind w:right="94"/>
              <w:jc w:val="right"/>
              <w:rPr>
                <w:rFonts w:ascii="Times New Roman"/>
                <w:sz w:val="21"/>
              </w:rPr>
            </w:pPr>
            <w:r>
              <w:rPr>
                <w:rFonts w:ascii="Times New Roman"/>
                <w:sz w:val="21"/>
              </w:rPr>
              <w:t>-1,379,912</w:t>
            </w:r>
          </w:p>
        </w:tc>
        <w:tc>
          <w:tcPr>
            <w:tcW w:w="1858" w:type="dxa"/>
          </w:tcPr>
          <w:p>
            <w:pPr>
              <w:pStyle w:val="TableParagraph"/>
              <w:spacing w:line="235" w:lineRule="exact"/>
              <w:ind w:right="96"/>
              <w:jc w:val="right"/>
              <w:rPr>
                <w:rFonts w:ascii="Times New Roman"/>
                <w:sz w:val="21"/>
              </w:rPr>
            </w:pPr>
            <w:r>
              <w:rPr>
                <w:rFonts w:ascii="Times New Roman"/>
                <w:sz w:val="21"/>
              </w:rPr>
              <w:t>-74,646</w:t>
            </w:r>
          </w:p>
        </w:tc>
        <w:tc>
          <w:tcPr>
            <w:tcW w:w="1717" w:type="dxa"/>
          </w:tcPr>
          <w:p>
            <w:pPr>
              <w:pStyle w:val="TableParagraph"/>
              <w:spacing w:line="235" w:lineRule="exact"/>
              <w:ind w:left="1065"/>
              <w:rPr>
                <w:rFonts w:ascii="Times New Roman"/>
                <w:sz w:val="21"/>
              </w:rPr>
            </w:pPr>
            <w:r>
              <w:rPr>
                <w:rFonts w:ascii="Times New Roman"/>
                <w:sz w:val="21"/>
              </w:rPr>
              <w:t>-5,290</w:t>
            </w:r>
          </w:p>
        </w:tc>
        <w:tc>
          <w:tcPr>
            <w:tcW w:w="1056" w:type="dxa"/>
          </w:tcPr>
          <w:p>
            <w:pPr>
              <w:pStyle w:val="TableParagraph"/>
              <w:spacing w:line="234" w:lineRule="exact"/>
              <w:ind w:right="96"/>
              <w:jc w:val="right"/>
              <w:rPr>
                <w:rFonts w:ascii="Times New Roman"/>
                <w:sz w:val="21"/>
              </w:rPr>
            </w:pPr>
            <w:r>
              <w:rPr>
                <w:rFonts w:ascii="Times New Roman"/>
                <w:w w:val="100"/>
                <w:sz w:val="21"/>
              </w:rPr>
              <w:t>-</w:t>
            </w:r>
          </w:p>
          <w:p>
            <w:pPr>
              <w:pStyle w:val="TableParagraph"/>
              <w:spacing w:line="228" w:lineRule="exact"/>
              <w:ind w:right="94"/>
              <w:jc w:val="right"/>
              <w:rPr>
                <w:rFonts w:ascii="Times New Roman"/>
                <w:sz w:val="21"/>
              </w:rPr>
            </w:pPr>
            <w:r>
              <w:rPr>
                <w:rFonts w:ascii="Times New Roman"/>
                <w:sz w:val="21"/>
              </w:rPr>
              <w:t>1,459,848</w:t>
            </w:r>
          </w:p>
        </w:tc>
      </w:tr>
      <w:tr>
        <w:trPr>
          <w:trHeight w:val="482" w:hRule="atLeast"/>
        </w:trPr>
        <w:tc>
          <w:tcPr>
            <w:tcW w:w="2377" w:type="dxa"/>
          </w:tcPr>
          <w:p>
            <w:pPr>
              <w:pStyle w:val="TableParagraph"/>
              <w:spacing w:before="106"/>
              <w:ind w:right="259"/>
              <w:jc w:val="right"/>
              <w:rPr>
                <w:sz w:val="21"/>
              </w:rPr>
            </w:pPr>
            <w:r>
              <w:rPr>
                <w:sz w:val="21"/>
              </w:rPr>
              <w:t>2.本期增加金额 </w:t>
            </w:r>
          </w:p>
        </w:tc>
        <w:tc>
          <w:tcPr>
            <w:tcW w:w="1817" w:type="dxa"/>
          </w:tcPr>
          <w:p>
            <w:pPr>
              <w:pStyle w:val="TableParagraph"/>
              <w:spacing w:line="235" w:lineRule="exact"/>
              <w:ind w:right="94"/>
              <w:jc w:val="right"/>
              <w:rPr>
                <w:rFonts w:ascii="Times New Roman"/>
                <w:sz w:val="21"/>
              </w:rPr>
            </w:pPr>
            <w:r>
              <w:rPr>
                <w:rFonts w:ascii="Times New Roman"/>
                <w:sz w:val="21"/>
              </w:rPr>
              <w:t>-1,512,795</w:t>
            </w:r>
          </w:p>
        </w:tc>
        <w:tc>
          <w:tcPr>
            <w:tcW w:w="1858" w:type="dxa"/>
          </w:tcPr>
          <w:p>
            <w:pPr>
              <w:pStyle w:val="TableParagraph"/>
              <w:spacing w:line="235" w:lineRule="exact"/>
              <w:ind w:right="96"/>
              <w:jc w:val="right"/>
              <w:rPr>
                <w:rFonts w:ascii="Times New Roman"/>
                <w:sz w:val="21"/>
              </w:rPr>
            </w:pPr>
            <w:r>
              <w:rPr>
                <w:rFonts w:ascii="Times New Roman"/>
                <w:sz w:val="21"/>
              </w:rPr>
              <w:t>-71,134</w:t>
            </w:r>
          </w:p>
        </w:tc>
        <w:tc>
          <w:tcPr>
            <w:tcW w:w="1717" w:type="dxa"/>
          </w:tcPr>
          <w:p>
            <w:pPr>
              <w:pStyle w:val="TableParagraph"/>
              <w:spacing w:line="235" w:lineRule="exact"/>
              <w:ind w:left="1065"/>
              <w:rPr>
                <w:rFonts w:ascii="Times New Roman"/>
                <w:sz w:val="21"/>
              </w:rPr>
            </w:pPr>
            <w:r>
              <w:rPr>
                <w:rFonts w:ascii="Times New Roman"/>
                <w:sz w:val="21"/>
              </w:rPr>
              <w:t>-6,667</w:t>
            </w:r>
          </w:p>
        </w:tc>
        <w:tc>
          <w:tcPr>
            <w:tcW w:w="1056" w:type="dxa"/>
          </w:tcPr>
          <w:p>
            <w:pPr>
              <w:pStyle w:val="TableParagraph"/>
              <w:spacing w:line="235" w:lineRule="exact"/>
              <w:ind w:right="96"/>
              <w:jc w:val="right"/>
              <w:rPr>
                <w:rFonts w:ascii="Times New Roman"/>
                <w:sz w:val="21"/>
              </w:rPr>
            </w:pPr>
            <w:r>
              <w:rPr>
                <w:rFonts w:ascii="Times New Roman"/>
                <w:w w:val="100"/>
                <w:sz w:val="21"/>
              </w:rPr>
              <w:t>-</w:t>
            </w:r>
          </w:p>
          <w:p>
            <w:pPr>
              <w:pStyle w:val="TableParagraph"/>
              <w:spacing w:line="226" w:lineRule="exact" w:before="1"/>
              <w:ind w:right="94"/>
              <w:jc w:val="right"/>
              <w:rPr>
                <w:rFonts w:ascii="Times New Roman"/>
                <w:sz w:val="21"/>
              </w:rPr>
            </w:pPr>
            <w:r>
              <w:rPr>
                <w:rFonts w:ascii="Times New Roman"/>
                <w:sz w:val="21"/>
              </w:rPr>
              <w:t>1,590,596</w:t>
            </w:r>
          </w:p>
        </w:tc>
      </w:tr>
      <w:tr>
        <w:trPr>
          <w:trHeight w:val="484" w:hRule="atLeast"/>
        </w:trPr>
        <w:tc>
          <w:tcPr>
            <w:tcW w:w="2377" w:type="dxa"/>
          </w:tcPr>
          <w:p>
            <w:pPr>
              <w:pStyle w:val="TableParagraph"/>
              <w:spacing w:before="106"/>
              <w:ind w:left="738"/>
              <w:rPr>
                <w:sz w:val="21"/>
              </w:rPr>
            </w:pPr>
            <w:r>
              <w:rPr>
                <w:sz w:val="21"/>
              </w:rPr>
              <w:t>(1)计提 </w:t>
            </w:r>
          </w:p>
        </w:tc>
        <w:tc>
          <w:tcPr>
            <w:tcW w:w="1817" w:type="dxa"/>
          </w:tcPr>
          <w:p>
            <w:pPr>
              <w:pStyle w:val="TableParagraph"/>
              <w:spacing w:line="237" w:lineRule="exact"/>
              <w:ind w:right="94"/>
              <w:jc w:val="right"/>
              <w:rPr>
                <w:rFonts w:ascii="Times New Roman"/>
                <w:sz w:val="21"/>
              </w:rPr>
            </w:pPr>
            <w:r>
              <w:rPr>
                <w:rFonts w:ascii="Times New Roman"/>
                <w:sz w:val="21"/>
              </w:rPr>
              <w:t>-1,512,795</w:t>
            </w:r>
          </w:p>
        </w:tc>
        <w:tc>
          <w:tcPr>
            <w:tcW w:w="1858" w:type="dxa"/>
          </w:tcPr>
          <w:p>
            <w:pPr>
              <w:pStyle w:val="TableParagraph"/>
              <w:spacing w:line="237" w:lineRule="exact"/>
              <w:ind w:right="96"/>
              <w:jc w:val="right"/>
              <w:rPr>
                <w:rFonts w:ascii="Times New Roman"/>
                <w:sz w:val="21"/>
              </w:rPr>
            </w:pPr>
            <w:r>
              <w:rPr>
                <w:rFonts w:ascii="Times New Roman"/>
                <w:sz w:val="21"/>
              </w:rPr>
              <w:t>-71,134</w:t>
            </w:r>
          </w:p>
        </w:tc>
        <w:tc>
          <w:tcPr>
            <w:tcW w:w="1717" w:type="dxa"/>
          </w:tcPr>
          <w:p>
            <w:pPr>
              <w:pStyle w:val="TableParagraph"/>
              <w:spacing w:line="237" w:lineRule="exact"/>
              <w:ind w:left="1065"/>
              <w:rPr>
                <w:rFonts w:ascii="Times New Roman"/>
                <w:sz w:val="21"/>
              </w:rPr>
            </w:pPr>
            <w:r>
              <w:rPr>
                <w:rFonts w:ascii="Times New Roman"/>
                <w:sz w:val="21"/>
              </w:rPr>
              <w:t>-6,667</w:t>
            </w:r>
          </w:p>
        </w:tc>
        <w:tc>
          <w:tcPr>
            <w:tcW w:w="1056" w:type="dxa"/>
          </w:tcPr>
          <w:p>
            <w:pPr>
              <w:pStyle w:val="TableParagraph"/>
              <w:spacing w:line="236" w:lineRule="exact"/>
              <w:ind w:right="96"/>
              <w:jc w:val="right"/>
              <w:rPr>
                <w:rFonts w:ascii="Times New Roman"/>
                <w:sz w:val="21"/>
              </w:rPr>
            </w:pPr>
            <w:r>
              <w:rPr>
                <w:rFonts w:ascii="Times New Roman"/>
                <w:w w:val="100"/>
                <w:sz w:val="21"/>
              </w:rPr>
              <w:t>-</w:t>
            </w:r>
          </w:p>
          <w:p>
            <w:pPr>
              <w:pStyle w:val="TableParagraph"/>
              <w:spacing w:line="228" w:lineRule="exact"/>
              <w:ind w:right="94"/>
              <w:jc w:val="right"/>
              <w:rPr>
                <w:rFonts w:ascii="Times New Roman"/>
                <w:sz w:val="21"/>
              </w:rPr>
            </w:pPr>
            <w:r>
              <w:rPr>
                <w:rFonts w:ascii="Times New Roman"/>
                <w:sz w:val="21"/>
              </w:rPr>
              <w:t>1,590,596</w:t>
            </w:r>
          </w:p>
        </w:tc>
      </w:tr>
      <w:tr>
        <w:trPr>
          <w:trHeight w:val="282" w:hRule="atLeast"/>
        </w:trPr>
        <w:tc>
          <w:tcPr>
            <w:tcW w:w="2377" w:type="dxa"/>
          </w:tcPr>
          <w:p>
            <w:pPr>
              <w:pStyle w:val="TableParagraph"/>
              <w:spacing w:line="257" w:lineRule="exact" w:before="6"/>
              <w:ind w:right="259"/>
              <w:jc w:val="right"/>
              <w:rPr>
                <w:sz w:val="21"/>
              </w:rPr>
            </w:pPr>
            <w:r>
              <w:rPr>
                <w:sz w:val="21"/>
              </w:rPr>
              <w:t>3.本期减少金额 </w:t>
            </w:r>
          </w:p>
        </w:tc>
        <w:tc>
          <w:tcPr>
            <w:tcW w:w="1817" w:type="dxa"/>
          </w:tcPr>
          <w:p>
            <w:pPr>
              <w:pStyle w:val="TableParagraph"/>
              <w:spacing w:line="235" w:lineRule="exact"/>
              <w:ind w:right="94"/>
              <w:jc w:val="right"/>
              <w:rPr>
                <w:rFonts w:ascii="Times New Roman"/>
                <w:sz w:val="21"/>
              </w:rPr>
            </w:pPr>
            <w:r>
              <w:rPr>
                <w:rFonts w:ascii="Times New Roman"/>
                <w:sz w:val="21"/>
              </w:rPr>
              <w:t>1,327,380</w:t>
            </w:r>
          </w:p>
        </w:tc>
        <w:tc>
          <w:tcPr>
            <w:tcW w:w="1858" w:type="dxa"/>
          </w:tcPr>
          <w:p>
            <w:pPr>
              <w:pStyle w:val="TableParagraph"/>
              <w:spacing w:line="235" w:lineRule="exact"/>
              <w:ind w:right="94"/>
              <w:jc w:val="right"/>
              <w:rPr>
                <w:rFonts w:ascii="Times New Roman"/>
                <w:sz w:val="21"/>
              </w:rPr>
            </w:pPr>
            <w:r>
              <w:rPr>
                <w:rFonts w:ascii="Times New Roman"/>
                <w:sz w:val="21"/>
              </w:rPr>
              <w:t>53,445</w:t>
            </w:r>
          </w:p>
        </w:tc>
        <w:tc>
          <w:tcPr>
            <w:tcW w:w="1717" w:type="dxa"/>
          </w:tcPr>
          <w:p>
            <w:pPr>
              <w:pStyle w:val="TableParagraph"/>
              <w:spacing w:line="235" w:lineRule="exact"/>
              <w:ind w:left="1134"/>
              <w:rPr>
                <w:rFonts w:ascii="Times New Roman"/>
                <w:sz w:val="21"/>
              </w:rPr>
            </w:pPr>
            <w:r>
              <w:rPr>
                <w:rFonts w:ascii="Times New Roman"/>
                <w:sz w:val="21"/>
              </w:rPr>
              <w:t>3,477</w:t>
            </w:r>
          </w:p>
        </w:tc>
        <w:tc>
          <w:tcPr>
            <w:tcW w:w="1056" w:type="dxa"/>
          </w:tcPr>
          <w:p>
            <w:pPr>
              <w:pStyle w:val="TableParagraph"/>
              <w:spacing w:line="235" w:lineRule="exact"/>
              <w:ind w:left="106"/>
              <w:rPr>
                <w:rFonts w:ascii="Times New Roman"/>
                <w:sz w:val="21"/>
              </w:rPr>
            </w:pPr>
            <w:r>
              <w:rPr>
                <w:rFonts w:ascii="Times New Roman"/>
                <w:sz w:val="21"/>
              </w:rPr>
              <w:t>1,384,302</w:t>
            </w:r>
          </w:p>
        </w:tc>
      </w:tr>
      <w:tr>
        <w:trPr>
          <w:trHeight w:val="285" w:hRule="atLeast"/>
        </w:trPr>
        <w:tc>
          <w:tcPr>
            <w:tcW w:w="2377" w:type="dxa"/>
          </w:tcPr>
          <w:p>
            <w:pPr>
              <w:pStyle w:val="TableParagraph"/>
              <w:spacing w:line="257" w:lineRule="exact" w:before="8"/>
              <w:ind w:left="107"/>
              <w:rPr>
                <w:sz w:val="21"/>
              </w:rPr>
            </w:pPr>
            <w:r>
              <w:rPr>
                <w:sz w:val="21"/>
              </w:rPr>
              <w:t>处置 </w:t>
            </w:r>
          </w:p>
        </w:tc>
        <w:tc>
          <w:tcPr>
            <w:tcW w:w="1817" w:type="dxa"/>
          </w:tcPr>
          <w:p>
            <w:pPr>
              <w:pStyle w:val="TableParagraph"/>
              <w:rPr>
                <w:rFonts w:ascii="Times New Roman"/>
                <w:sz w:val="20"/>
              </w:rPr>
            </w:pPr>
          </w:p>
        </w:tc>
        <w:tc>
          <w:tcPr>
            <w:tcW w:w="1858" w:type="dxa"/>
          </w:tcPr>
          <w:p>
            <w:pPr>
              <w:pStyle w:val="TableParagraph"/>
              <w:rPr>
                <w:rFonts w:ascii="Times New Roman"/>
                <w:sz w:val="20"/>
              </w:rPr>
            </w:pPr>
          </w:p>
        </w:tc>
        <w:tc>
          <w:tcPr>
            <w:tcW w:w="1717" w:type="dxa"/>
          </w:tcPr>
          <w:p>
            <w:pPr>
              <w:pStyle w:val="TableParagraph"/>
              <w:rPr>
                <w:rFonts w:ascii="Times New Roman"/>
                <w:sz w:val="20"/>
              </w:rPr>
            </w:pPr>
          </w:p>
        </w:tc>
        <w:tc>
          <w:tcPr>
            <w:tcW w:w="1056" w:type="dxa"/>
          </w:tcPr>
          <w:p>
            <w:pPr>
              <w:pStyle w:val="TableParagraph"/>
              <w:rPr>
                <w:rFonts w:ascii="Times New Roman"/>
                <w:sz w:val="20"/>
              </w:rPr>
            </w:pPr>
          </w:p>
        </w:tc>
      </w:tr>
      <w:tr>
        <w:trPr>
          <w:trHeight w:val="544" w:hRule="atLeast"/>
        </w:trPr>
        <w:tc>
          <w:tcPr>
            <w:tcW w:w="2377" w:type="dxa"/>
          </w:tcPr>
          <w:p>
            <w:pPr>
              <w:pStyle w:val="TableParagraph"/>
              <w:spacing w:before="1"/>
              <w:ind w:left="738"/>
              <w:rPr>
                <w:sz w:val="21"/>
              </w:rPr>
            </w:pPr>
            <w:r>
              <w:rPr>
                <w:sz w:val="21"/>
              </w:rPr>
              <w:t>外币报表折算差</w:t>
            </w:r>
          </w:p>
          <w:p>
            <w:pPr>
              <w:pStyle w:val="TableParagraph"/>
              <w:spacing w:line="252" w:lineRule="exact" w:before="2"/>
              <w:ind w:left="107"/>
              <w:rPr>
                <w:sz w:val="21"/>
              </w:rPr>
            </w:pPr>
            <w:r>
              <w:rPr>
                <w:sz w:val="21"/>
              </w:rPr>
              <w:t>异 </w:t>
            </w:r>
          </w:p>
        </w:tc>
        <w:tc>
          <w:tcPr>
            <w:tcW w:w="1817" w:type="dxa"/>
          </w:tcPr>
          <w:p>
            <w:pPr>
              <w:pStyle w:val="TableParagraph"/>
              <w:spacing w:line="235" w:lineRule="exact"/>
              <w:ind w:right="96"/>
              <w:jc w:val="right"/>
              <w:rPr>
                <w:rFonts w:ascii="Times New Roman"/>
                <w:sz w:val="21"/>
              </w:rPr>
            </w:pPr>
            <w:r>
              <w:rPr>
                <w:rFonts w:ascii="Times New Roman"/>
                <w:sz w:val="21"/>
              </w:rPr>
              <w:t>-14,237</w:t>
            </w:r>
          </w:p>
        </w:tc>
        <w:tc>
          <w:tcPr>
            <w:tcW w:w="1858" w:type="dxa"/>
          </w:tcPr>
          <w:p>
            <w:pPr>
              <w:pStyle w:val="TableParagraph"/>
              <w:spacing w:line="235" w:lineRule="exact"/>
              <w:ind w:right="96"/>
              <w:jc w:val="right"/>
              <w:rPr>
                <w:rFonts w:ascii="Times New Roman"/>
                <w:sz w:val="21"/>
              </w:rPr>
            </w:pPr>
            <w:r>
              <w:rPr>
                <w:rFonts w:ascii="Times New Roman"/>
                <w:sz w:val="21"/>
              </w:rPr>
              <w:t>-544</w:t>
            </w:r>
          </w:p>
        </w:tc>
        <w:tc>
          <w:tcPr>
            <w:tcW w:w="1717" w:type="dxa"/>
          </w:tcPr>
          <w:p>
            <w:pPr>
              <w:pStyle w:val="TableParagraph"/>
              <w:spacing w:line="235" w:lineRule="exact"/>
              <w:ind w:right="97"/>
              <w:jc w:val="right"/>
              <w:rPr>
                <w:rFonts w:ascii="Times New Roman"/>
                <w:sz w:val="21"/>
              </w:rPr>
            </w:pPr>
            <w:r>
              <w:rPr>
                <w:rFonts w:ascii="Times New Roman"/>
                <w:sz w:val="21"/>
              </w:rPr>
              <w:t>-260</w:t>
            </w:r>
          </w:p>
        </w:tc>
        <w:tc>
          <w:tcPr>
            <w:tcW w:w="1056" w:type="dxa"/>
          </w:tcPr>
          <w:p>
            <w:pPr>
              <w:pStyle w:val="TableParagraph"/>
              <w:spacing w:line="235" w:lineRule="exact"/>
              <w:ind w:left="298"/>
              <w:rPr>
                <w:rFonts w:ascii="Times New Roman"/>
                <w:sz w:val="21"/>
              </w:rPr>
            </w:pPr>
            <w:r>
              <w:rPr>
                <w:rFonts w:ascii="Times New Roman"/>
                <w:sz w:val="21"/>
              </w:rPr>
              <w:t>-15,041</w:t>
            </w:r>
          </w:p>
        </w:tc>
      </w:tr>
      <w:tr>
        <w:trPr>
          <w:trHeight w:val="282" w:hRule="atLeast"/>
        </w:trPr>
        <w:tc>
          <w:tcPr>
            <w:tcW w:w="2377" w:type="dxa"/>
          </w:tcPr>
          <w:p>
            <w:pPr>
              <w:pStyle w:val="TableParagraph"/>
              <w:spacing w:line="262" w:lineRule="exact" w:before="1"/>
              <w:ind w:right="259"/>
              <w:jc w:val="right"/>
              <w:rPr>
                <w:sz w:val="21"/>
              </w:rPr>
            </w:pPr>
            <w:r>
              <w:rPr>
                <w:spacing w:val="-1"/>
                <w:sz w:val="21"/>
              </w:rPr>
              <w:t>减少租赁合同</w:t>
            </w:r>
            <w:r>
              <w:rPr>
                <w:sz w:val="21"/>
              </w:rPr>
              <w:t> </w:t>
            </w:r>
          </w:p>
        </w:tc>
        <w:tc>
          <w:tcPr>
            <w:tcW w:w="1817" w:type="dxa"/>
          </w:tcPr>
          <w:p>
            <w:pPr>
              <w:pStyle w:val="TableParagraph"/>
              <w:spacing w:line="235" w:lineRule="exact"/>
              <w:ind w:right="94"/>
              <w:jc w:val="right"/>
              <w:rPr>
                <w:rFonts w:ascii="Times New Roman"/>
                <w:sz w:val="21"/>
              </w:rPr>
            </w:pPr>
            <w:r>
              <w:rPr>
                <w:rFonts w:ascii="Times New Roman"/>
                <w:sz w:val="21"/>
              </w:rPr>
              <w:t>1,341,617</w:t>
            </w:r>
          </w:p>
        </w:tc>
        <w:tc>
          <w:tcPr>
            <w:tcW w:w="1858" w:type="dxa"/>
          </w:tcPr>
          <w:p>
            <w:pPr>
              <w:pStyle w:val="TableParagraph"/>
              <w:spacing w:line="235" w:lineRule="exact"/>
              <w:ind w:right="94"/>
              <w:jc w:val="right"/>
              <w:rPr>
                <w:rFonts w:ascii="Times New Roman"/>
                <w:sz w:val="21"/>
              </w:rPr>
            </w:pPr>
            <w:r>
              <w:rPr>
                <w:rFonts w:ascii="Times New Roman"/>
                <w:sz w:val="21"/>
              </w:rPr>
              <w:t>53,989</w:t>
            </w:r>
          </w:p>
        </w:tc>
        <w:tc>
          <w:tcPr>
            <w:tcW w:w="1717" w:type="dxa"/>
          </w:tcPr>
          <w:p>
            <w:pPr>
              <w:pStyle w:val="TableParagraph"/>
              <w:spacing w:line="235" w:lineRule="exact"/>
              <w:ind w:left="1134"/>
              <w:rPr>
                <w:rFonts w:ascii="Times New Roman"/>
                <w:sz w:val="21"/>
              </w:rPr>
            </w:pPr>
            <w:r>
              <w:rPr>
                <w:rFonts w:ascii="Times New Roman"/>
                <w:sz w:val="21"/>
              </w:rPr>
              <w:t>3,737</w:t>
            </w:r>
          </w:p>
        </w:tc>
        <w:tc>
          <w:tcPr>
            <w:tcW w:w="1056" w:type="dxa"/>
          </w:tcPr>
          <w:p>
            <w:pPr>
              <w:pStyle w:val="TableParagraph"/>
              <w:spacing w:line="235" w:lineRule="exact"/>
              <w:ind w:left="106"/>
              <w:rPr>
                <w:rFonts w:ascii="Times New Roman"/>
                <w:sz w:val="21"/>
              </w:rPr>
            </w:pPr>
            <w:r>
              <w:rPr>
                <w:rFonts w:ascii="Times New Roman"/>
                <w:sz w:val="21"/>
              </w:rPr>
              <w:t>1,399,343</w:t>
            </w:r>
          </w:p>
        </w:tc>
      </w:tr>
      <w:tr>
        <w:trPr>
          <w:trHeight w:val="484" w:hRule="atLeast"/>
        </w:trPr>
        <w:tc>
          <w:tcPr>
            <w:tcW w:w="2377" w:type="dxa"/>
          </w:tcPr>
          <w:p>
            <w:pPr>
              <w:pStyle w:val="TableParagraph"/>
              <w:spacing w:before="106"/>
              <w:ind w:left="527"/>
              <w:rPr>
                <w:sz w:val="21"/>
              </w:rPr>
            </w:pPr>
            <w:r>
              <w:rPr>
                <w:sz w:val="21"/>
              </w:rPr>
              <w:t>4.期末余额 </w:t>
            </w:r>
          </w:p>
        </w:tc>
        <w:tc>
          <w:tcPr>
            <w:tcW w:w="1817" w:type="dxa"/>
          </w:tcPr>
          <w:p>
            <w:pPr>
              <w:pStyle w:val="TableParagraph"/>
              <w:spacing w:line="237" w:lineRule="exact"/>
              <w:ind w:right="94"/>
              <w:jc w:val="right"/>
              <w:rPr>
                <w:rFonts w:ascii="Times New Roman"/>
                <w:sz w:val="21"/>
              </w:rPr>
            </w:pPr>
            <w:r>
              <w:rPr>
                <w:rFonts w:ascii="Times New Roman"/>
                <w:sz w:val="21"/>
              </w:rPr>
              <w:t>-1,565,327</w:t>
            </w:r>
          </w:p>
        </w:tc>
        <w:tc>
          <w:tcPr>
            <w:tcW w:w="1858" w:type="dxa"/>
          </w:tcPr>
          <w:p>
            <w:pPr>
              <w:pStyle w:val="TableParagraph"/>
              <w:spacing w:line="237" w:lineRule="exact"/>
              <w:ind w:right="96"/>
              <w:jc w:val="right"/>
              <w:rPr>
                <w:rFonts w:ascii="Times New Roman"/>
                <w:sz w:val="21"/>
              </w:rPr>
            </w:pPr>
            <w:r>
              <w:rPr>
                <w:rFonts w:ascii="Times New Roman"/>
                <w:sz w:val="21"/>
              </w:rPr>
              <w:t>-92,335</w:t>
            </w:r>
          </w:p>
        </w:tc>
        <w:tc>
          <w:tcPr>
            <w:tcW w:w="1717" w:type="dxa"/>
          </w:tcPr>
          <w:p>
            <w:pPr>
              <w:pStyle w:val="TableParagraph"/>
              <w:spacing w:line="237" w:lineRule="exact"/>
              <w:ind w:left="1065"/>
              <w:rPr>
                <w:rFonts w:ascii="Times New Roman"/>
                <w:sz w:val="21"/>
              </w:rPr>
            </w:pPr>
            <w:r>
              <w:rPr>
                <w:rFonts w:ascii="Times New Roman"/>
                <w:sz w:val="21"/>
              </w:rPr>
              <w:t>-8,480</w:t>
            </w:r>
          </w:p>
        </w:tc>
        <w:tc>
          <w:tcPr>
            <w:tcW w:w="1056" w:type="dxa"/>
          </w:tcPr>
          <w:p>
            <w:pPr>
              <w:pStyle w:val="TableParagraph"/>
              <w:spacing w:line="240" w:lineRule="exact"/>
              <w:ind w:left="106" w:right="80" w:firstLine="770"/>
              <w:rPr>
                <w:rFonts w:ascii="Times New Roman"/>
                <w:sz w:val="21"/>
              </w:rPr>
            </w:pPr>
            <w:r>
              <w:rPr>
                <w:rFonts w:ascii="Times New Roman"/>
                <w:sz w:val="21"/>
              </w:rPr>
              <w:t>-</w:t>
            </w:r>
            <w:r>
              <w:rPr>
                <w:rFonts w:ascii="Times New Roman"/>
                <w:spacing w:val="-50"/>
                <w:sz w:val="21"/>
              </w:rPr>
              <w:t> </w:t>
            </w:r>
            <w:r>
              <w:rPr>
                <w:rFonts w:ascii="Times New Roman"/>
                <w:sz w:val="21"/>
              </w:rPr>
              <w:t>1,666,142</w:t>
            </w:r>
          </w:p>
        </w:tc>
      </w:tr>
      <w:tr>
        <w:trPr>
          <w:trHeight w:val="282" w:hRule="atLeast"/>
        </w:trPr>
        <w:tc>
          <w:tcPr>
            <w:tcW w:w="2377" w:type="dxa"/>
          </w:tcPr>
          <w:p>
            <w:pPr>
              <w:pStyle w:val="TableParagraph"/>
              <w:spacing w:line="257" w:lineRule="exact" w:before="5"/>
              <w:ind w:left="107"/>
              <w:rPr>
                <w:sz w:val="21"/>
              </w:rPr>
            </w:pPr>
            <w:r>
              <w:rPr>
                <w:spacing w:val="-1"/>
                <w:sz w:val="21"/>
              </w:rPr>
              <w:t>三、减值准备</w:t>
            </w:r>
            <w:r>
              <w:rPr>
                <w:sz w:val="21"/>
              </w:rPr>
              <w:t> </w:t>
            </w:r>
          </w:p>
        </w:tc>
        <w:tc>
          <w:tcPr>
            <w:tcW w:w="1817" w:type="dxa"/>
          </w:tcPr>
          <w:p>
            <w:pPr>
              <w:pStyle w:val="TableParagraph"/>
              <w:rPr>
                <w:rFonts w:ascii="Times New Roman"/>
                <w:sz w:val="20"/>
              </w:rPr>
            </w:pPr>
          </w:p>
        </w:tc>
        <w:tc>
          <w:tcPr>
            <w:tcW w:w="1858" w:type="dxa"/>
          </w:tcPr>
          <w:p>
            <w:pPr>
              <w:pStyle w:val="TableParagraph"/>
              <w:rPr>
                <w:rFonts w:ascii="Times New Roman"/>
                <w:sz w:val="20"/>
              </w:rPr>
            </w:pPr>
          </w:p>
        </w:tc>
        <w:tc>
          <w:tcPr>
            <w:tcW w:w="1717" w:type="dxa"/>
          </w:tcPr>
          <w:p>
            <w:pPr>
              <w:pStyle w:val="TableParagraph"/>
              <w:rPr>
                <w:rFonts w:ascii="Times New Roman"/>
                <w:sz w:val="20"/>
              </w:rPr>
            </w:pPr>
          </w:p>
        </w:tc>
        <w:tc>
          <w:tcPr>
            <w:tcW w:w="1056" w:type="dxa"/>
          </w:tcPr>
          <w:p>
            <w:pPr>
              <w:pStyle w:val="TableParagraph"/>
              <w:rPr>
                <w:rFonts w:ascii="Times New Roman"/>
                <w:sz w:val="20"/>
              </w:rPr>
            </w:pPr>
          </w:p>
        </w:tc>
      </w:tr>
      <w:tr>
        <w:trPr>
          <w:trHeight w:val="285" w:hRule="atLeast"/>
        </w:trPr>
        <w:tc>
          <w:tcPr>
            <w:tcW w:w="2377" w:type="dxa"/>
          </w:tcPr>
          <w:p>
            <w:pPr>
              <w:pStyle w:val="TableParagraph"/>
              <w:spacing w:line="257" w:lineRule="exact" w:before="8"/>
              <w:ind w:left="527"/>
              <w:rPr>
                <w:sz w:val="21"/>
              </w:rPr>
            </w:pPr>
            <w:r>
              <w:rPr>
                <w:sz w:val="21"/>
              </w:rPr>
              <w:t>1.期初余额 </w:t>
            </w:r>
          </w:p>
        </w:tc>
        <w:tc>
          <w:tcPr>
            <w:tcW w:w="1817" w:type="dxa"/>
          </w:tcPr>
          <w:p>
            <w:pPr>
              <w:pStyle w:val="TableParagraph"/>
              <w:rPr>
                <w:rFonts w:ascii="Times New Roman"/>
                <w:sz w:val="20"/>
              </w:rPr>
            </w:pPr>
          </w:p>
        </w:tc>
        <w:tc>
          <w:tcPr>
            <w:tcW w:w="1858" w:type="dxa"/>
          </w:tcPr>
          <w:p>
            <w:pPr>
              <w:pStyle w:val="TableParagraph"/>
              <w:rPr>
                <w:rFonts w:ascii="Times New Roman"/>
                <w:sz w:val="20"/>
              </w:rPr>
            </w:pPr>
          </w:p>
        </w:tc>
        <w:tc>
          <w:tcPr>
            <w:tcW w:w="1717" w:type="dxa"/>
          </w:tcPr>
          <w:p>
            <w:pPr>
              <w:pStyle w:val="TableParagraph"/>
              <w:spacing w:line="248" w:lineRule="exact"/>
              <w:ind w:right="-15"/>
              <w:jc w:val="right"/>
              <w:rPr>
                <w:sz w:val="21"/>
              </w:rPr>
            </w:pPr>
            <w:r>
              <w:rPr>
                <w:w w:val="100"/>
                <w:sz w:val="21"/>
              </w:rPr>
              <w:t> </w:t>
            </w:r>
          </w:p>
        </w:tc>
        <w:tc>
          <w:tcPr>
            <w:tcW w:w="1056" w:type="dxa"/>
          </w:tcPr>
          <w:p>
            <w:pPr>
              <w:pStyle w:val="TableParagraph"/>
              <w:spacing w:line="248" w:lineRule="exact"/>
              <w:ind w:right="-15"/>
              <w:jc w:val="right"/>
              <w:rPr>
                <w:sz w:val="21"/>
              </w:rPr>
            </w:pPr>
            <w:r>
              <w:rPr>
                <w:w w:val="100"/>
                <w:sz w:val="21"/>
              </w:rPr>
              <w:t> </w:t>
            </w:r>
          </w:p>
        </w:tc>
      </w:tr>
      <w:tr>
        <w:trPr>
          <w:trHeight w:val="282" w:hRule="atLeast"/>
        </w:trPr>
        <w:tc>
          <w:tcPr>
            <w:tcW w:w="2377" w:type="dxa"/>
          </w:tcPr>
          <w:p>
            <w:pPr>
              <w:pStyle w:val="TableParagraph"/>
              <w:spacing w:line="257" w:lineRule="exact" w:before="6"/>
              <w:ind w:right="259"/>
              <w:jc w:val="right"/>
              <w:rPr>
                <w:sz w:val="21"/>
              </w:rPr>
            </w:pPr>
            <w:r>
              <w:rPr>
                <w:sz w:val="21"/>
              </w:rPr>
              <w:t>2.本期增加金额 </w:t>
            </w:r>
          </w:p>
        </w:tc>
        <w:tc>
          <w:tcPr>
            <w:tcW w:w="1817" w:type="dxa"/>
          </w:tcPr>
          <w:p>
            <w:pPr>
              <w:pStyle w:val="TableParagraph"/>
              <w:rPr>
                <w:rFonts w:ascii="Times New Roman"/>
                <w:sz w:val="20"/>
              </w:rPr>
            </w:pPr>
          </w:p>
        </w:tc>
        <w:tc>
          <w:tcPr>
            <w:tcW w:w="1858" w:type="dxa"/>
          </w:tcPr>
          <w:p>
            <w:pPr>
              <w:pStyle w:val="TableParagraph"/>
              <w:rPr>
                <w:rFonts w:ascii="Times New Roman"/>
                <w:sz w:val="20"/>
              </w:rPr>
            </w:pPr>
          </w:p>
        </w:tc>
        <w:tc>
          <w:tcPr>
            <w:tcW w:w="1717" w:type="dxa"/>
          </w:tcPr>
          <w:p>
            <w:pPr>
              <w:pStyle w:val="TableParagraph"/>
              <w:spacing w:line="248" w:lineRule="exact"/>
              <w:ind w:right="-15"/>
              <w:jc w:val="right"/>
              <w:rPr>
                <w:sz w:val="21"/>
              </w:rPr>
            </w:pPr>
            <w:r>
              <w:rPr>
                <w:w w:val="100"/>
                <w:sz w:val="21"/>
              </w:rPr>
              <w:t> </w:t>
            </w:r>
          </w:p>
        </w:tc>
        <w:tc>
          <w:tcPr>
            <w:tcW w:w="1056" w:type="dxa"/>
          </w:tcPr>
          <w:p>
            <w:pPr>
              <w:pStyle w:val="TableParagraph"/>
              <w:spacing w:line="248" w:lineRule="exact"/>
              <w:ind w:right="-15"/>
              <w:jc w:val="right"/>
              <w:rPr>
                <w:sz w:val="21"/>
              </w:rPr>
            </w:pPr>
            <w:r>
              <w:rPr>
                <w:w w:val="100"/>
                <w:sz w:val="21"/>
              </w:rPr>
              <w:t> </w:t>
            </w:r>
          </w:p>
        </w:tc>
      </w:tr>
      <w:tr>
        <w:trPr>
          <w:trHeight w:val="285" w:hRule="atLeast"/>
        </w:trPr>
        <w:tc>
          <w:tcPr>
            <w:tcW w:w="2377" w:type="dxa"/>
          </w:tcPr>
          <w:p>
            <w:pPr>
              <w:pStyle w:val="TableParagraph"/>
              <w:spacing w:line="257" w:lineRule="exact" w:before="8"/>
              <w:ind w:left="738"/>
              <w:rPr>
                <w:sz w:val="21"/>
              </w:rPr>
            </w:pPr>
            <w:r>
              <w:rPr>
                <w:sz w:val="21"/>
              </w:rPr>
              <w:t>(1)计提 </w:t>
            </w:r>
          </w:p>
        </w:tc>
        <w:tc>
          <w:tcPr>
            <w:tcW w:w="1817" w:type="dxa"/>
          </w:tcPr>
          <w:p>
            <w:pPr>
              <w:pStyle w:val="TableParagraph"/>
              <w:rPr>
                <w:rFonts w:ascii="Times New Roman"/>
                <w:sz w:val="20"/>
              </w:rPr>
            </w:pPr>
          </w:p>
        </w:tc>
        <w:tc>
          <w:tcPr>
            <w:tcW w:w="1858" w:type="dxa"/>
          </w:tcPr>
          <w:p>
            <w:pPr>
              <w:pStyle w:val="TableParagraph"/>
              <w:rPr>
                <w:rFonts w:ascii="Times New Roman"/>
                <w:sz w:val="20"/>
              </w:rPr>
            </w:pPr>
          </w:p>
        </w:tc>
        <w:tc>
          <w:tcPr>
            <w:tcW w:w="1717" w:type="dxa"/>
          </w:tcPr>
          <w:p>
            <w:pPr>
              <w:pStyle w:val="TableParagraph"/>
              <w:spacing w:line="248" w:lineRule="exact"/>
              <w:ind w:right="-15"/>
              <w:jc w:val="right"/>
              <w:rPr>
                <w:sz w:val="21"/>
              </w:rPr>
            </w:pPr>
            <w:r>
              <w:rPr>
                <w:w w:val="100"/>
                <w:sz w:val="21"/>
              </w:rPr>
              <w:t> </w:t>
            </w:r>
          </w:p>
        </w:tc>
        <w:tc>
          <w:tcPr>
            <w:tcW w:w="1056" w:type="dxa"/>
          </w:tcPr>
          <w:p>
            <w:pPr>
              <w:pStyle w:val="TableParagraph"/>
              <w:spacing w:line="248" w:lineRule="exact"/>
              <w:ind w:right="-15"/>
              <w:jc w:val="right"/>
              <w:rPr>
                <w:sz w:val="21"/>
              </w:rPr>
            </w:pPr>
            <w:r>
              <w:rPr>
                <w:w w:val="100"/>
                <w:sz w:val="21"/>
              </w:rPr>
              <w:t> </w:t>
            </w:r>
          </w:p>
        </w:tc>
      </w:tr>
    </w:tbl>
    <w:p>
      <w:pPr>
        <w:spacing w:after="0" w:line="248" w:lineRule="exact"/>
        <w:jc w:val="right"/>
        <w:rPr>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77"/>
        <w:gridCol w:w="1817"/>
        <w:gridCol w:w="1858"/>
        <w:gridCol w:w="1717"/>
        <w:gridCol w:w="1056"/>
      </w:tblGrid>
      <w:tr>
        <w:trPr>
          <w:trHeight w:val="285" w:hRule="atLeast"/>
        </w:trPr>
        <w:tc>
          <w:tcPr>
            <w:tcW w:w="2377" w:type="dxa"/>
          </w:tcPr>
          <w:p>
            <w:pPr>
              <w:pStyle w:val="TableParagraph"/>
              <w:spacing w:line="262" w:lineRule="exact" w:before="3"/>
              <w:ind w:left="738"/>
              <w:rPr>
                <w:sz w:val="21"/>
              </w:rPr>
            </w:pPr>
            <w:r>
              <w:rPr>
                <w:w w:val="100"/>
                <w:sz w:val="21"/>
              </w:rPr>
              <w:t> </w:t>
            </w:r>
            <w:r>
              <w:rPr>
                <w:sz w:val="21"/>
              </w:rPr>
              <w:t> </w:t>
            </w:r>
            <w:r>
              <w:rPr>
                <w:w w:val="100"/>
                <w:sz w:val="21"/>
              </w:rPr>
              <w:t> </w:t>
            </w:r>
          </w:p>
        </w:tc>
        <w:tc>
          <w:tcPr>
            <w:tcW w:w="1817" w:type="dxa"/>
          </w:tcPr>
          <w:p>
            <w:pPr>
              <w:pStyle w:val="TableParagraph"/>
              <w:rPr>
                <w:rFonts w:ascii="Times New Roman"/>
                <w:sz w:val="20"/>
              </w:rPr>
            </w:pPr>
          </w:p>
        </w:tc>
        <w:tc>
          <w:tcPr>
            <w:tcW w:w="1858" w:type="dxa"/>
          </w:tcPr>
          <w:p>
            <w:pPr>
              <w:pStyle w:val="TableParagraph"/>
              <w:rPr>
                <w:rFonts w:ascii="Times New Roman"/>
                <w:sz w:val="20"/>
              </w:rPr>
            </w:pPr>
          </w:p>
        </w:tc>
        <w:tc>
          <w:tcPr>
            <w:tcW w:w="1717" w:type="dxa"/>
          </w:tcPr>
          <w:p>
            <w:pPr>
              <w:pStyle w:val="TableParagraph"/>
              <w:spacing w:line="251" w:lineRule="exact"/>
              <w:ind w:right="-15"/>
              <w:jc w:val="right"/>
              <w:rPr>
                <w:sz w:val="21"/>
              </w:rPr>
            </w:pPr>
            <w:r>
              <w:rPr>
                <w:w w:val="100"/>
                <w:sz w:val="21"/>
              </w:rPr>
              <w:t> </w:t>
            </w:r>
          </w:p>
        </w:tc>
        <w:tc>
          <w:tcPr>
            <w:tcW w:w="1056" w:type="dxa"/>
          </w:tcPr>
          <w:p>
            <w:pPr>
              <w:pStyle w:val="TableParagraph"/>
              <w:spacing w:line="251" w:lineRule="exact"/>
              <w:ind w:right="-15"/>
              <w:jc w:val="right"/>
              <w:rPr>
                <w:sz w:val="21"/>
              </w:rPr>
            </w:pPr>
            <w:r>
              <w:rPr>
                <w:w w:val="100"/>
                <w:sz w:val="21"/>
              </w:rPr>
              <w:t> </w:t>
            </w:r>
          </w:p>
        </w:tc>
      </w:tr>
      <w:tr>
        <w:trPr>
          <w:trHeight w:val="282" w:hRule="atLeast"/>
        </w:trPr>
        <w:tc>
          <w:tcPr>
            <w:tcW w:w="2377" w:type="dxa"/>
          </w:tcPr>
          <w:p>
            <w:pPr>
              <w:pStyle w:val="TableParagraph"/>
              <w:spacing w:line="262" w:lineRule="exact" w:before="1"/>
              <w:ind w:left="738"/>
              <w:rPr>
                <w:sz w:val="21"/>
              </w:rPr>
            </w:pPr>
            <w:r>
              <w:rPr>
                <w:w w:val="100"/>
                <w:sz w:val="21"/>
              </w:rPr>
              <w:t> </w:t>
            </w:r>
            <w:r>
              <w:rPr>
                <w:sz w:val="21"/>
              </w:rPr>
              <w:t> </w:t>
            </w:r>
            <w:r>
              <w:rPr>
                <w:w w:val="100"/>
                <w:sz w:val="21"/>
              </w:rPr>
              <w:t> </w:t>
            </w:r>
          </w:p>
        </w:tc>
        <w:tc>
          <w:tcPr>
            <w:tcW w:w="1817" w:type="dxa"/>
          </w:tcPr>
          <w:p>
            <w:pPr>
              <w:pStyle w:val="TableParagraph"/>
              <w:rPr>
                <w:rFonts w:ascii="Times New Roman"/>
                <w:sz w:val="20"/>
              </w:rPr>
            </w:pPr>
          </w:p>
        </w:tc>
        <w:tc>
          <w:tcPr>
            <w:tcW w:w="1858" w:type="dxa"/>
          </w:tcPr>
          <w:p>
            <w:pPr>
              <w:pStyle w:val="TableParagraph"/>
              <w:rPr>
                <w:rFonts w:ascii="Times New Roman"/>
                <w:sz w:val="20"/>
              </w:rPr>
            </w:pPr>
          </w:p>
        </w:tc>
        <w:tc>
          <w:tcPr>
            <w:tcW w:w="1717" w:type="dxa"/>
          </w:tcPr>
          <w:p>
            <w:pPr>
              <w:pStyle w:val="TableParagraph"/>
              <w:spacing w:line="248" w:lineRule="exact"/>
              <w:ind w:right="-15"/>
              <w:jc w:val="right"/>
              <w:rPr>
                <w:sz w:val="21"/>
              </w:rPr>
            </w:pPr>
            <w:r>
              <w:rPr>
                <w:w w:val="100"/>
                <w:sz w:val="21"/>
              </w:rPr>
              <w:t> </w:t>
            </w:r>
          </w:p>
        </w:tc>
        <w:tc>
          <w:tcPr>
            <w:tcW w:w="1056" w:type="dxa"/>
          </w:tcPr>
          <w:p>
            <w:pPr>
              <w:pStyle w:val="TableParagraph"/>
              <w:spacing w:line="248" w:lineRule="exact"/>
              <w:ind w:right="-15"/>
              <w:jc w:val="right"/>
              <w:rPr>
                <w:sz w:val="21"/>
              </w:rPr>
            </w:pPr>
            <w:r>
              <w:rPr>
                <w:w w:val="100"/>
                <w:sz w:val="21"/>
              </w:rPr>
              <w:t> </w:t>
            </w:r>
          </w:p>
        </w:tc>
      </w:tr>
      <w:tr>
        <w:trPr>
          <w:trHeight w:val="285" w:hRule="atLeast"/>
        </w:trPr>
        <w:tc>
          <w:tcPr>
            <w:tcW w:w="2377" w:type="dxa"/>
          </w:tcPr>
          <w:p>
            <w:pPr>
              <w:pStyle w:val="TableParagraph"/>
              <w:spacing w:line="257" w:lineRule="exact" w:before="8"/>
              <w:ind w:left="527"/>
              <w:rPr>
                <w:sz w:val="21"/>
              </w:rPr>
            </w:pPr>
            <w:r>
              <w:rPr>
                <w:sz w:val="21"/>
              </w:rPr>
              <w:t>3.本期减少金额 </w:t>
            </w:r>
          </w:p>
        </w:tc>
        <w:tc>
          <w:tcPr>
            <w:tcW w:w="1817" w:type="dxa"/>
          </w:tcPr>
          <w:p>
            <w:pPr>
              <w:pStyle w:val="TableParagraph"/>
              <w:rPr>
                <w:rFonts w:ascii="Times New Roman"/>
                <w:sz w:val="20"/>
              </w:rPr>
            </w:pPr>
          </w:p>
        </w:tc>
        <w:tc>
          <w:tcPr>
            <w:tcW w:w="1858" w:type="dxa"/>
          </w:tcPr>
          <w:p>
            <w:pPr>
              <w:pStyle w:val="TableParagraph"/>
              <w:rPr>
                <w:rFonts w:ascii="Times New Roman"/>
                <w:sz w:val="20"/>
              </w:rPr>
            </w:pPr>
          </w:p>
        </w:tc>
        <w:tc>
          <w:tcPr>
            <w:tcW w:w="1717" w:type="dxa"/>
          </w:tcPr>
          <w:p>
            <w:pPr>
              <w:pStyle w:val="TableParagraph"/>
              <w:spacing w:line="251" w:lineRule="exact"/>
              <w:ind w:right="-15"/>
              <w:jc w:val="right"/>
              <w:rPr>
                <w:sz w:val="21"/>
              </w:rPr>
            </w:pPr>
            <w:r>
              <w:rPr>
                <w:w w:val="100"/>
                <w:sz w:val="21"/>
              </w:rPr>
              <w:t> </w:t>
            </w:r>
          </w:p>
        </w:tc>
        <w:tc>
          <w:tcPr>
            <w:tcW w:w="1056" w:type="dxa"/>
          </w:tcPr>
          <w:p>
            <w:pPr>
              <w:pStyle w:val="TableParagraph"/>
              <w:spacing w:line="251" w:lineRule="exact"/>
              <w:ind w:right="-15"/>
              <w:jc w:val="right"/>
              <w:rPr>
                <w:sz w:val="21"/>
              </w:rPr>
            </w:pPr>
            <w:r>
              <w:rPr>
                <w:w w:val="100"/>
                <w:sz w:val="21"/>
              </w:rPr>
              <w:t> </w:t>
            </w:r>
          </w:p>
        </w:tc>
      </w:tr>
      <w:tr>
        <w:trPr>
          <w:trHeight w:val="282" w:hRule="atLeast"/>
        </w:trPr>
        <w:tc>
          <w:tcPr>
            <w:tcW w:w="2377" w:type="dxa"/>
          </w:tcPr>
          <w:p>
            <w:pPr>
              <w:pStyle w:val="TableParagraph"/>
              <w:spacing w:line="255" w:lineRule="exact" w:before="8"/>
              <w:ind w:left="738"/>
              <w:rPr>
                <w:sz w:val="21"/>
              </w:rPr>
            </w:pPr>
            <w:r>
              <w:rPr>
                <w:sz w:val="21"/>
              </w:rPr>
              <w:t>(1)处置 </w:t>
            </w:r>
          </w:p>
        </w:tc>
        <w:tc>
          <w:tcPr>
            <w:tcW w:w="1817" w:type="dxa"/>
          </w:tcPr>
          <w:p>
            <w:pPr>
              <w:pStyle w:val="TableParagraph"/>
              <w:rPr>
                <w:rFonts w:ascii="Times New Roman"/>
                <w:sz w:val="20"/>
              </w:rPr>
            </w:pPr>
          </w:p>
        </w:tc>
        <w:tc>
          <w:tcPr>
            <w:tcW w:w="1858" w:type="dxa"/>
          </w:tcPr>
          <w:p>
            <w:pPr>
              <w:pStyle w:val="TableParagraph"/>
              <w:rPr>
                <w:rFonts w:ascii="Times New Roman"/>
                <w:sz w:val="20"/>
              </w:rPr>
            </w:pPr>
          </w:p>
        </w:tc>
        <w:tc>
          <w:tcPr>
            <w:tcW w:w="1717" w:type="dxa"/>
          </w:tcPr>
          <w:p>
            <w:pPr>
              <w:pStyle w:val="TableParagraph"/>
              <w:spacing w:line="248" w:lineRule="exact"/>
              <w:ind w:right="-15"/>
              <w:jc w:val="right"/>
              <w:rPr>
                <w:sz w:val="21"/>
              </w:rPr>
            </w:pPr>
            <w:r>
              <w:rPr>
                <w:w w:val="100"/>
                <w:sz w:val="21"/>
              </w:rPr>
              <w:t> </w:t>
            </w:r>
          </w:p>
        </w:tc>
        <w:tc>
          <w:tcPr>
            <w:tcW w:w="1056" w:type="dxa"/>
          </w:tcPr>
          <w:p>
            <w:pPr>
              <w:pStyle w:val="TableParagraph"/>
              <w:spacing w:line="248" w:lineRule="exact"/>
              <w:ind w:right="-15"/>
              <w:jc w:val="right"/>
              <w:rPr>
                <w:sz w:val="21"/>
              </w:rPr>
            </w:pPr>
            <w:r>
              <w:rPr>
                <w:w w:val="100"/>
                <w:sz w:val="21"/>
              </w:rPr>
              <w:t> </w:t>
            </w:r>
          </w:p>
        </w:tc>
      </w:tr>
      <w:tr>
        <w:trPr>
          <w:trHeight w:val="285" w:hRule="atLeast"/>
        </w:trPr>
        <w:tc>
          <w:tcPr>
            <w:tcW w:w="2377" w:type="dxa"/>
          </w:tcPr>
          <w:p>
            <w:pPr>
              <w:pStyle w:val="TableParagraph"/>
              <w:spacing w:line="262" w:lineRule="exact" w:before="3"/>
              <w:ind w:left="738"/>
              <w:rPr>
                <w:sz w:val="21"/>
              </w:rPr>
            </w:pPr>
            <w:r>
              <w:rPr>
                <w:w w:val="100"/>
                <w:sz w:val="21"/>
              </w:rPr>
              <w:t> </w:t>
            </w:r>
            <w:r>
              <w:rPr>
                <w:sz w:val="21"/>
              </w:rPr>
              <w:t> </w:t>
            </w:r>
            <w:r>
              <w:rPr>
                <w:w w:val="100"/>
                <w:sz w:val="21"/>
              </w:rPr>
              <w:t> </w:t>
            </w:r>
          </w:p>
        </w:tc>
        <w:tc>
          <w:tcPr>
            <w:tcW w:w="1817" w:type="dxa"/>
          </w:tcPr>
          <w:p>
            <w:pPr>
              <w:pStyle w:val="TableParagraph"/>
              <w:rPr>
                <w:rFonts w:ascii="Times New Roman"/>
                <w:sz w:val="20"/>
              </w:rPr>
            </w:pPr>
          </w:p>
        </w:tc>
        <w:tc>
          <w:tcPr>
            <w:tcW w:w="1858" w:type="dxa"/>
          </w:tcPr>
          <w:p>
            <w:pPr>
              <w:pStyle w:val="TableParagraph"/>
              <w:rPr>
                <w:rFonts w:ascii="Times New Roman"/>
                <w:sz w:val="20"/>
              </w:rPr>
            </w:pPr>
          </w:p>
        </w:tc>
        <w:tc>
          <w:tcPr>
            <w:tcW w:w="1717" w:type="dxa"/>
          </w:tcPr>
          <w:p>
            <w:pPr>
              <w:pStyle w:val="TableParagraph"/>
              <w:spacing w:line="251" w:lineRule="exact"/>
              <w:ind w:right="-15"/>
              <w:jc w:val="right"/>
              <w:rPr>
                <w:sz w:val="21"/>
              </w:rPr>
            </w:pPr>
            <w:r>
              <w:rPr>
                <w:w w:val="100"/>
                <w:sz w:val="21"/>
              </w:rPr>
              <w:t> </w:t>
            </w:r>
          </w:p>
        </w:tc>
        <w:tc>
          <w:tcPr>
            <w:tcW w:w="1056" w:type="dxa"/>
          </w:tcPr>
          <w:p>
            <w:pPr>
              <w:pStyle w:val="TableParagraph"/>
              <w:spacing w:line="251" w:lineRule="exact"/>
              <w:ind w:right="-15"/>
              <w:jc w:val="right"/>
              <w:rPr>
                <w:sz w:val="21"/>
              </w:rPr>
            </w:pPr>
            <w:r>
              <w:rPr>
                <w:w w:val="100"/>
                <w:sz w:val="21"/>
              </w:rPr>
              <w:t> </w:t>
            </w:r>
          </w:p>
        </w:tc>
      </w:tr>
      <w:tr>
        <w:trPr>
          <w:trHeight w:val="282" w:hRule="atLeast"/>
        </w:trPr>
        <w:tc>
          <w:tcPr>
            <w:tcW w:w="2377" w:type="dxa"/>
          </w:tcPr>
          <w:p>
            <w:pPr>
              <w:pStyle w:val="TableParagraph"/>
              <w:spacing w:line="262" w:lineRule="exact" w:before="1"/>
              <w:ind w:left="738"/>
              <w:rPr>
                <w:sz w:val="21"/>
              </w:rPr>
            </w:pPr>
            <w:r>
              <w:rPr>
                <w:w w:val="100"/>
                <w:sz w:val="21"/>
              </w:rPr>
              <w:t> </w:t>
            </w:r>
            <w:r>
              <w:rPr>
                <w:sz w:val="21"/>
              </w:rPr>
              <w:t> </w:t>
            </w:r>
            <w:r>
              <w:rPr>
                <w:w w:val="100"/>
                <w:sz w:val="21"/>
              </w:rPr>
              <w:t> </w:t>
            </w:r>
          </w:p>
        </w:tc>
        <w:tc>
          <w:tcPr>
            <w:tcW w:w="1817" w:type="dxa"/>
          </w:tcPr>
          <w:p>
            <w:pPr>
              <w:pStyle w:val="TableParagraph"/>
              <w:rPr>
                <w:rFonts w:ascii="Times New Roman"/>
                <w:sz w:val="20"/>
              </w:rPr>
            </w:pPr>
          </w:p>
        </w:tc>
        <w:tc>
          <w:tcPr>
            <w:tcW w:w="1858" w:type="dxa"/>
          </w:tcPr>
          <w:p>
            <w:pPr>
              <w:pStyle w:val="TableParagraph"/>
              <w:rPr>
                <w:rFonts w:ascii="Times New Roman"/>
                <w:sz w:val="20"/>
              </w:rPr>
            </w:pPr>
          </w:p>
        </w:tc>
        <w:tc>
          <w:tcPr>
            <w:tcW w:w="1717" w:type="dxa"/>
          </w:tcPr>
          <w:p>
            <w:pPr>
              <w:pStyle w:val="TableParagraph"/>
              <w:spacing w:line="248" w:lineRule="exact"/>
              <w:ind w:right="-15"/>
              <w:jc w:val="right"/>
              <w:rPr>
                <w:sz w:val="21"/>
              </w:rPr>
            </w:pPr>
            <w:r>
              <w:rPr>
                <w:w w:val="100"/>
                <w:sz w:val="21"/>
              </w:rPr>
              <w:t> </w:t>
            </w:r>
          </w:p>
        </w:tc>
        <w:tc>
          <w:tcPr>
            <w:tcW w:w="1056" w:type="dxa"/>
          </w:tcPr>
          <w:p>
            <w:pPr>
              <w:pStyle w:val="TableParagraph"/>
              <w:spacing w:line="248" w:lineRule="exact"/>
              <w:ind w:right="-15"/>
              <w:jc w:val="right"/>
              <w:rPr>
                <w:sz w:val="21"/>
              </w:rPr>
            </w:pPr>
            <w:r>
              <w:rPr>
                <w:w w:val="100"/>
                <w:sz w:val="21"/>
              </w:rPr>
              <w:t> </w:t>
            </w:r>
          </w:p>
        </w:tc>
      </w:tr>
      <w:tr>
        <w:trPr>
          <w:trHeight w:val="285" w:hRule="atLeast"/>
        </w:trPr>
        <w:tc>
          <w:tcPr>
            <w:tcW w:w="2377" w:type="dxa"/>
          </w:tcPr>
          <w:p>
            <w:pPr>
              <w:pStyle w:val="TableParagraph"/>
              <w:spacing w:line="257" w:lineRule="exact" w:before="8"/>
              <w:ind w:left="527"/>
              <w:rPr>
                <w:sz w:val="21"/>
              </w:rPr>
            </w:pPr>
            <w:r>
              <w:rPr>
                <w:sz w:val="21"/>
              </w:rPr>
              <w:t>4.期末余额 </w:t>
            </w:r>
          </w:p>
        </w:tc>
        <w:tc>
          <w:tcPr>
            <w:tcW w:w="1817" w:type="dxa"/>
          </w:tcPr>
          <w:p>
            <w:pPr>
              <w:pStyle w:val="TableParagraph"/>
              <w:rPr>
                <w:rFonts w:ascii="Times New Roman"/>
                <w:sz w:val="20"/>
              </w:rPr>
            </w:pPr>
          </w:p>
        </w:tc>
        <w:tc>
          <w:tcPr>
            <w:tcW w:w="1858" w:type="dxa"/>
          </w:tcPr>
          <w:p>
            <w:pPr>
              <w:pStyle w:val="TableParagraph"/>
              <w:rPr>
                <w:rFonts w:ascii="Times New Roman"/>
                <w:sz w:val="20"/>
              </w:rPr>
            </w:pPr>
          </w:p>
        </w:tc>
        <w:tc>
          <w:tcPr>
            <w:tcW w:w="1717" w:type="dxa"/>
          </w:tcPr>
          <w:p>
            <w:pPr>
              <w:pStyle w:val="TableParagraph"/>
              <w:spacing w:line="251" w:lineRule="exact"/>
              <w:ind w:right="-15"/>
              <w:jc w:val="right"/>
              <w:rPr>
                <w:sz w:val="21"/>
              </w:rPr>
            </w:pPr>
            <w:r>
              <w:rPr>
                <w:w w:val="100"/>
                <w:sz w:val="21"/>
              </w:rPr>
              <w:t> </w:t>
            </w:r>
          </w:p>
        </w:tc>
        <w:tc>
          <w:tcPr>
            <w:tcW w:w="1056" w:type="dxa"/>
          </w:tcPr>
          <w:p>
            <w:pPr>
              <w:pStyle w:val="TableParagraph"/>
              <w:spacing w:line="251" w:lineRule="exact"/>
              <w:ind w:right="-15"/>
              <w:jc w:val="right"/>
              <w:rPr>
                <w:sz w:val="21"/>
              </w:rPr>
            </w:pPr>
            <w:r>
              <w:rPr>
                <w:w w:val="100"/>
                <w:sz w:val="21"/>
              </w:rPr>
              <w:t> </w:t>
            </w:r>
          </w:p>
        </w:tc>
      </w:tr>
      <w:tr>
        <w:trPr>
          <w:trHeight w:val="282" w:hRule="atLeast"/>
        </w:trPr>
        <w:tc>
          <w:tcPr>
            <w:tcW w:w="2377" w:type="dxa"/>
          </w:tcPr>
          <w:p>
            <w:pPr>
              <w:pStyle w:val="TableParagraph"/>
              <w:spacing w:line="255" w:lineRule="exact" w:before="8"/>
              <w:ind w:left="107"/>
              <w:rPr>
                <w:sz w:val="21"/>
              </w:rPr>
            </w:pPr>
            <w:r>
              <w:rPr>
                <w:spacing w:val="-1"/>
                <w:sz w:val="21"/>
              </w:rPr>
              <w:t>四、账面价值</w:t>
            </w:r>
            <w:r>
              <w:rPr>
                <w:sz w:val="21"/>
              </w:rPr>
              <w:t> </w:t>
            </w:r>
          </w:p>
        </w:tc>
        <w:tc>
          <w:tcPr>
            <w:tcW w:w="1817" w:type="dxa"/>
          </w:tcPr>
          <w:p>
            <w:pPr>
              <w:pStyle w:val="TableParagraph"/>
              <w:rPr>
                <w:rFonts w:ascii="Times New Roman"/>
                <w:sz w:val="20"/>
              </w:rPr>
            </w:pPr>
          </w:p>
        </w:tc>
        <w:tc>
          <w:tcPr>
            <w:tcW w:w="1858" w:type="dxa"/>
          </w:tcPr>
          <w:p>
            <w:pPr>
              <w:pStyle w:val="TableParagraph"/>
              <w:rPr>
                <w:rFonts w:ascii="Times New Roman"/>
                <w:sz w:val="20"/>
              </w:rPr>
            </w:pPr>
          </w:p>
        </w:tc>
        <w:tc>
          <w:tcPr>
            <w:tcW w:w="1717" w:type="dxa"/>
          </w:tcPr>
          <w:p>
            <w:pPr>
              <w:pStyle w:val="TableParagraph"/>
              <w:rPr>
                <w:rFonts w:ascii="Times New Roman"/>
                <w:sz w:val="20"/>
              </w:rPr>
            </w:pPr>
          </w:p>
        </w:tc>
        <w:tc>
          <w:tcPr>
            <w:tcW w:w="1056" w:type="dxa"/>
          </w:tcPr>
          <w:p>
            <w:pPr>
              <w:pStyle w:val="TableParagraph"/>
              <w:rPr>
                <w:rFonts w:ascii="Times New Roman"/>
                <w:sz w:val="20"/>
              </w:rPr>
            </w:pPr>
          </w:p>
        </w:tc>
      </w:tr>
      <w:tr>
        <w:trPr>
          <w:trHeight w:val="285" w:hRule="atLeast"/>
        </w:trPr>
        <w:tc>
          <w:tcPr>
            <w:tcW w:w="2377" w:type="dxa"/>
          </w:tcPr>
          <w:p>
            <w:pPr>
              <w:pStyle w:val="TableParagraph"/>
              <w:spacing w:line="257" w:lineRule="exact" w:before="8"/>
              <w:ind w:left="107"/>
              <w:rPr>
                <w:sz w:val="21"/>
              </w:rPr>
            </w:pPr>
            <w:r>
              <w:rPr>
                <w:w w:val="100"/>
                <w:sz w:val="21"/>
              </w:rPr>
              <w:t>   </w:t>
            </w:r>
            <w:r>
              <w:rPr>
                <w:spacing w:val="-1"/>
                <w:w w:val="100"/>
                <w:sz w:val="21"/>
              </w:rPr>
              <w:t> </w:t>
            </w:r>
            <w:r>
              <w:rPr>
                <w:sz w:val="21"/>
              </w:rPr>
              <w:t>1.期末账面价值 </w:t>
            </w:r>
          </w:p>
        </w:tc>
        <w:tc>
          <w:tcPr>
            <w:tcW w:w="1817" w:type="dxa"/>
          </w:tcPr>
          <w:p>
            <w:pPr>
              <w:pStyle w:val="TableParagraph"/>
              <w:spacing w:line="237" w:lineRule="exact"/>
              <w:ind w:right="94"/>
              <w:jc w:val="right"/>
              <w:rPr>
                <w:rFonts w:ascii="Times New Roman"/>
                <w:sz w:val="21"/>
              </w:rPr>
            </w:pPr>
            <w:r>
              <w:rPr>
                <w:rFonts w:ascii="Times New Roman"/>
                <w:sz w:val="21"/>
              </w:rPr>
              <w:t>1,986,510</w:t>
            </w:r>
          </w:p>
        </w:tc>
        <w:tc>
          <w:tcPr>
            <w:tcW w:w="1858" w:type="dxa"/>
          </w:tcPr>
          <w:p>
            <w:pPr>
              <w:pStyle w:val="TableParagraph"/>
              <w:spacing w:line="237" w:lineRule="exact"/>
              <w:ind w:right="94"/>
              <w:jc w:val="right"/>
              <w:rPr>
                <w:rFonts w:ascii="Times New Roman"/>
                <w:sz w:val="21"/>
              </w:rPr>
            </w:pPr>
            <w:r>
              <w:rPr>
                <w:rFonts w:ascii="Times New Roman"/>
                <w:sz w:val="21"/>
              </w:rPr>
              <w:t>84,110</w:t>
            </w:r>
          </w:p>
        </w:tc>
        <w:tc>
          <w:tcPr>
            <w:tcW w:w="1717" w:type="dxa"/>
          </w:tcPr>
          <w:p>
            <w:pPr>
              <w:pStyle w:val="TableParagraph"/>
              <w:spacing w:line="237" w:lineRule="exact"/>
              <w:ind w:left="1134"/>
              <w:rPr>
                <w:rFonts w:ascii="Times New Roman"/>
                <w:sz w:val="21"/>
              </w:rPr>
            </w:pPr>
            <w:r>
              <w:rPr>
                <w:rFonts w:ascii="Times New Roman"/>
                <w:sz w:val="21"/>
              </w:rPr>
              <w:t>7,235</w:t>
            </w:r>
          </w:p>
        </w:tc>
        <w:tc>
          <w:tcPr>
            <w:tcW w:w="1056" w:type="dxa"/>
          </w:tcPr>
          <w:p>
            <w:pPr>
              <w:pStyle w:val="TableParagraph"/>
              <w:spacing w:line="237" w:lineRule="exact"/>
              <w:ind w:left="106"/>
              <w:rPr>
                <w:rFonts w:ascii="Times New Roman"/>
                <w:sz w:val="21"/>
              </w:rPr>
            </w:pPr>
            <w:r>
              <w:rPr>
                <w:rFonts w:ascii="Times New Roman"/>
                <w:sz w:val="21"/>
              </w:rPr>
              <w:t>2,077,855</w:t>
            </w:r>
          </w:p>
        </w:tc>
      </w:tr>
      <w:tr>
        <w:trPr>
          <w:trHeight w:val="285" w:hRule="atLeast"/>
        </w:trPr>
        <w:tc>
          <w:tcPr>
            <w:tcW w:w="2377" w:type="dxa"/>
          </w:tcPr>
          <w:p>
            <w:pPr>
              <w:pStyle w:val="TableParagraph"/>
              <w:spacing w:line="257" w:lineRule="exact" w:before="8"/>
              <w:ind w:left="107"/>
              <w:rPr>
                <w:sz w:val="21"/>
              </w:rPr>
            </w:pPr>
            <w:r>
              <w:rPr>
                <w:w w:val="100"/>
                <w:sz w:val="21"/>
              </w:rPr>
              <w:t>   </w:t>
            </w:r>
            <w:r>
              <w:rPr>
                <w:spacing w:val="-1"/>
                <w:w w:val="100"/>
                <w:sz w:val="21"/>
              </w:rPr>
              <w:t> </w:t>
            </w:r>
            <w:r>
              <w:rPr>
                <w:sz w:val="21"/>
              </w:rPr>
              <w:t>2.期初账面价值 </w:t>
            </w:r>
          </w:p>
        </w:tc>
        <w:tc>
          <w:tcPr>
            <w:tcW w:w="1817" w:type="dxa"/>
          </w:tcPr>
          <w:p>
            <w:pPr>
              <w:pStyle w:val="TableParagraph"/>
              <w:spacing w:line="235" w:lineRule="exact"/>
              <w:ind w:right="94"/>
              <w:jc w:val="right"/>
              <w:rPr>
                <w:rFonts w:ascii="Times New Roman"/>
                <w:sz w:val="21"/>
              </w:rPr>
            </w:pPr>
            <w:r>
              <w:rPr>
                <w:rFonts w:ascii="Times New Roman"/>
                <w:sz w:val="21"/>
              </w:rPr>
              <w:t>2,042,605</w:t>
            </w:r>
          </w:p>
        </w:tc>
        <w:tc>
          <w:tcPr>
            <w:tcW w:w="1858" w:type="dxa"/>
          </w:tcPr>
          <w:p>
            <w:pPr>
              <w:pStyle w:val="TableParagraph"/>
              <w:spacing w:line="235" w:lineRule="exact"/>
              <w:ind w:right="94"/>
              <w:jc w:val="right"/>
              <w:rPr>
                <w:rFonts w:ascii="Times New Roman"/>
                <w:sz w:val="21"/>
              </w:rPr>
            </w:pPr>
            <w:r>
              <w:rPr>
                <w:rFonts w:ascii="Times New Roman"/>
                <w:sz w:val="21"/>
              </w:rPr>
              <w:t>69,405</w:t>
            </w:r>
          </w:p>
        </w:tc>
        <w:tc>
          <w:tcPr>
            <w:tcW w:w="1717" w:type="dxa"/>
          </w:tcPr>
          <w:p>
            <w:pPr>
              <w:pStyle w:val="TableParagraph"/>
              <w:spacing w:line="235" w:lineRule="exact"/>
              <w:ind w:left="1134"/>
              <w:rPr>
                <w:rFonts w:ascii="Times New Roman"/>
                <w:sz w:val="21"/>
              </w:rPr>
            </w:pPr>
            <w:r>
              <w:rPr>
                <w:rFonts w:ascii="Times New Roman"/>
                <w:sz w:val="21"/>
              </w:rPr>
              <w:t>7,611</w:t>
            </w:r>
          </w:p>
        </w:tc>
        <w:tc>
          <w:tcPr>
            <w:tcW w:w="1056" w:type="dxa"/>
          </w:tcPr>
          <w:p>
            <w:pPr>
              <w:pStyle w:val="TableParagraph"/>
              <w:spacing w:line="235" w:lineRule="exact"/>
              <w:ind w:left="106"/>
              <w:rPr>
                <w:rFonts w:ascii="Times New Roman"/>
                <w:sz w:val="21"/>
              </w:rPr>
            </w:pPr>
            <w:r>
              <w:rPr>
                <w:rFonts w:ascii="Times New Roman"/>
                <w:sz w:val="21"/>
              </w:rPr>
              <w:t>2,119,621</w:t>
            </w:r>
          </w:p>
        </w:tc>
      </w:tr>
    </w:tbl>
    <w:p>
      <w:pPr>
        <w:pStyle w:val="BodyText"/>
        <w:spacing w:before="1"/>
      </w:pPr>
      <w:r>
        <w:rPr>
          <w:w w:val="100"/>
        </w:rPr>
        <w:t> </w:t>
      </w:r>
    </w:p>
    <w:p>
      <w:pPr>
        <w:pStyle w:val="BodyText"/>
        <w:spacing w:line="244" w:lineRule="auto" w:before="2"/>
        <w:ind w:right="8949"/>
      </w:pPr>
      <w:r>
        <w:rPr/>
        <w:t>其他说明：</w:t>
      </w:r>
      <w:r>
        <w:rPr>
          <w:spacing w:val="1"/>
        </w:rPr>
        <w:t> </w:t>
      </w:r>
      <w:r>
        <w:rPr/>
        <w:t>无 </w:t>
      </w:r>
    </w:p>
    <w:p>
      <w:pPr>
        <w:pStyle w:val="BodyText"/>
        <w:spacing w:line="266" w:lineRule="exact"/>
      </w:pPr>
      <w:r>
        <w:rPr>
          <w:w w:val="100"/>
        </w:rPr>
        <w:t> </w:t>
      </w:r>
    </w:p>
    <w:p>
      <w:pPr>
        <w:pStyle w:val="BodyText"/>
        <w:spacing w:line="297" w:lineRule="auto" w:before="62"/>
        <w:ind w:right="8308"/>
      </w:pPr>
      <w:r>
        <w:rPr/>
        <w:t>26</w:t>
      </w:r>
      <w:r>
        <w:rPr>
          <w:spacing w:val="2"/>
        </w:rPr>
        <w:t>、 无形资产</w:t>
      </w:r>
      <w:r>
        <w:rPr/>
        <w:t>(1).无形资产情况 </w:t>
      </w:r>
    </w:p>
    <w:p>
      <w:pPr>
        <w:pStyle w:val="BodyText"/>
        <w:spacing w:line="267" w:lineRule="exact"/>
      </w:pPr>
      <w:r>
        <w:rPr>
          <w:spacing w:val="11"/>
        </w:rPr>
        <w:t>√适用 □不适用</w:t>
      </w:r>
      <w:r>
        <w:rPr>
          <w:spacing w:val="-3"/>
        </w:rPr>
        <w:t> </w:t>
      </w:r>
      <w:r>
        <w:rPr/>
        <w:t> </w:t>
      </w:r>
    </w:p>
    <w:p>
      <w:pPr>
        <w:pStyle w:val="BodyText"/>
        <w:spacing w:before="5"/>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1"/>
        <w:gridCol w:w="1239"/>
        <w:gridCol w:w="1241"/>
        <w:gridCol w:w="1198"/>
        <w:gridCol w:w="974"/>
        <w:gridCol w:w="867"/>
        <w:gridCol w:w="1464"/>
      </w:tblGrid>
      <w:tr>
        <w:trPr>
          <w:trHeight w:val="546" w:hRule="atLeast"/>
        </w:trPr>
        <w:tc>
          <w:tcPr>
            <w:tcW w:w="1841" w:type="dxa"/>
          </w:tcPr>
          <w:p>
            <w:pPr>
              <w:pStyle w:val="TableParagraph"/>
              <w:spacing w:before="137"/>
              <w:ind w:left="710"/>
              <w:rPr>
                <w:sz w:val="21"/>
              </w:rPr>
            </w:pPr>
            <w:r>
              <w:rPr>
                <w:sz w:val="21"/>
              </w:rPr>
              <w:t>项目 </w:t>
            </w:r>
          </w:p>
        </w:tc>
        <w:tc>
          <w:tcPr>
            <w:tcW w:w="1239" w:type="dxa"/>
          </w:tcPr>
          <w:p>
            <w:pPr>
              <w:pStyle w:val="TableParagraph"/>
              <w:spacing w:line="270" w:lineRule="atLeast"/>
              <w:ind w:left="513" w:right="185" w:hanging="315"/>
              <w:rPr>
                <w:sz w:val="21"/>
              </w:rPr>
            </w:pPr>
            <w:r>
              <w:rPr>
                <w:spacing w:val="-1"/>
                <w:sz w:val="21"/>
              </w:rPr>
              <w:t>土地使用</w:t>
            </w:r>
            <w:r>
              <w:rPr>
                <w:sz w:val="21"/>
              </w:rPr>
              <w:t>权 </w:t>
            </w:r>
          </w:p>
        </w:tc>
        <w:tc>
          <w:tcPr>
            <w:tcW w:w="1241" w:type="dxa"/>
          </w:tcPr>
          <w:p>
            <w:pPr>
              <w:pStyle w:val="TableParagraph"/>
              <w:spacing w:before="137"/>
              <w:ind w:left="301"/>
              <w:rPr>
                <w:sz w:val="21"/>
              </w:rPr>
            </w:pPr>
            <w:r>
              <w:rPr>
                <w:sz w:val="21"/>
              </w:rPr>
              <w:t>专利权 </w:t>
            </w:r>
          </w:p>
        </w:tc>
        <w:tc>
          <w:tcPr>
            <w:tcW w:w="1198" w:type="dxa"/>
          </w:tcPr>
          <w:p>
            <w:pPr>
              <w:pStyle w:val="TableParagraph"/>
              <w:spacing w:line="270" w:lineRule="atLeast"/>
              <w:ind w:left="489" w:right="168" w:hanging="315"/>
              <w:rPr>
                <w:sz w:val="21"/>
              </w:rPr>
            </w:pPr>
            <w:r>
              <w:rPr>
                <w:spacing w:val="-1"/>
                <w:sz w:val="21"/>
              </w:rPr>
              <w:t>非专利技</w:t>
            </w:r>
            <w:r>
              <w:rPr>
                <w:sz w:val="21"/>
              </w:rPr>
              <w:t>术 </w:t>
            </w:r>
          </w:p>
        </w:tc>
        <w:tc>
          <w:tcPr>
            <w:tcW w:w="974" w:type="dxa"/>
          </w:tcPr>
          <w:p>
            <w:pPr>
              <w:pStyle w:val="TableParagraph"/>
              <w:spacing w:before="137"/>
              <w:ind w:left="275"/>
              <w:rPr>
                <w:sz w:val="21"/>
              </w:rPr>
            </w:pPr>
            <w:r>
              <w:rPr>
                <w:sz w:val="21"/>
              </w:rPr>
              <w:t>软件 </w:t>
            </w:r>
          </w:p>
        </w:tc>
        <w:tc>
          <w:tcPr>
            <w:tcW w:w="867" w:type="dxa"/>
          </w:tcPr>
          <w:p>
            <w:pPr>
              <w:pStyle w:val="TableParagraph"/>
              <w:spacing w:before="137"/>
              <w:ind w:left="105"/>
              <w:rPr>
                <w:sz w:val="21"/>
              </w:rPr>
            </w:pPr>
            <w:r>
              <w:rPr>
                <w:sz w:val="21"/>
              </w:rPr>
              <w:t>商标 </w:t>
            </w:r>
          </w:p>
        </w:tc>
        <w:tc>
          <w:tcPr>
            <w:tcW w:w="1464" w:type="dxa"/>
          </w:tcPr>
          <w:p>
            <w:pPr>
              <w:pStyle w:val="TableParagraph"/>
              <w:spacing w:before="137"/>
              <w:ind w:left="520"/>
              <w:rPr>
                <w:sz w:val="21"/>
              </w:rPr>
            </w:pPr>
            <w:r>
              <w:rPr>
                <w:sz w:val="21"/>
              </w:rPr>
              <w:t>合计 </w:t>
            </w:r>
          </w:p>
        </w:tc>
      </w:tr>
      <w:tr>
        <w:trPr>
          <w:trHeight w:val="337" w:hRule="atLeast"/>
        </w:trPr>
        <w:tc>
          <w:tcPr>
            <w:tcW w:w="8824" w:type="dxa"/>
            <w:gridSpan w:val="7"/>
          </w:tcPr>
          <w:p>
            <w:pPr>
              <w:pStyle w:val="TableParagraph"/>
              <w:spacing w:before="34"/>
              <w:ind w:left="107"/>
              <w:rPr>
                <w:sz w:val="21"/>
              </w:rPr>
            </w:pPr>
            <w:r>
              <w:rPr>
                <w:sz w:val="21"/>
              </w:rPr>
              <w:t>一、账面原值 </w:t>
            </w:r>
          </w:p>
        </w:tc>
      </w:tr>
      <w:tr>
        <w:trPr>
          <w:trHeight w:val="340" w:hRule="atLeast"/>
        </w:trPr>
        <w:tc>
          <w:tcPr>
            <w:tcW w:w="1841" w:type="dxa"/>
          </w:tcPr>
          <w:p>
            <w:pPr>
              <w:pStyle w:val="TableParagraph"/>
              <w:spacing w:before="37"/>
              <w:ind w:left="107"/>
              <w:rPr>
                <w:sz w:val="21"/>
              </w:rPr>
            </w:pPr>
            <w:r>
              <w:rPr>
                <w:w w:val="100"/>
                <w:sz w:val="21"/>
              </w:rPr>
              <w:t>   </w:t>
            </w:r>
            <w:r>
              <w:rPr>
                <w:spacing w:val="-1"/>
                <w:w w:val="100"/>
                <w:sz w:val="21"/>
              </w:rPr>
              <w:t> </w:t>
            </w:r>
            <w:r>
              <w:rPr>
                <w:sz w:val="21"/>
              </w:rPr>
              <w:t>1.期初余额 </w:t>
            </w:r>
          </w:p>
        </w:tc>
        <w:tc>
          <w:tcPr>
            <w:tcW w:w="1239" w:type="dxa"/>
          </w:tcPr>
          <w:p>
            <w:pPr>
              <w:pStyle w:val="TableParagraph"/>
              <w:spacing w:before="43"/>
              <w:ind w:right="94"/>
              <w:jc w:val="right"/>
              <w:rPr>
                <w:rFonts w:ascii="Times New Roman"/>
                <w:sz w:val="21"/>
              </w:rPr>
            </w:pPr>
            <w:r>
              <w:rPr>
                <w:rFonts w:ascii="Times New Roman"/>
                <w:sz w:val="21"/>
              </w:rPr>
              <w:t>354,805</w:t>
            </w:r>
          </w:p>
        </w:tc>
        <w:tc>
          <w:tcPr>
            <w:tcW w:w="1241" w:type="dxa"/>
          </w:tcPr>
          <w:p>
            <w:pPr>
              <w:pStyle w:val="TableParagraph"/>
              <w:spacing w:before="43"/>
              <w:ind w:right="96"/>
              <w:jc w:val="right"/>
              <w:rPr>
                <w:rFonts w:ascii="Times New Roman"/>
                <w:sz w:val="21"/>
              </w:rPr>
            </w:pPr>
            <w:r>
              <w:rPr>
                <w:rFonts w:ascii="Times New Roman"/>
                <w:sz w:val="21"/>
              </w:rPr>
              <w:t>46,056</w:t>
            </w:r>
          </w:p>
        </w:tc>
        <w:tc>
          <w:tcPr>
            <w:tcW w:w="1198" w:type="dxa"/>
          </w:tcPr>
          <w:p>
            <w:pPr>
              <w:pStyle w:val="TableParagraph"/>
              <w:rPr>
                <w:rFonts w:ascii="Times New Roman"/>
                <w:sz w:val="20"/>
              </w:rPr>
            </w:pPr>
          </w:p>
        </w:tc>
        <w:tc>
          <w:tcPr>
            <w:tcW w:w="974" w:type="dxa"/>
          </w:tcPr>
          <w:p>
            <w:pPr>
              <w:pStyle w:val="TableParagraph"/>
              <w:spacing w:before="43"/>
              <w:ind w:left="184"/>
              <w:rPr>
                <w:rFonts w:ascii="Times New Roman"/>
                <w:sz w:val="21"/>
              </w:rPr>
            </w:pPr>
            <w:r>
              <w:rPr>
                <w:rFonts w:ascii="Times New Roman"/>
                <w:sz w:val="21"/>
              </w:rPr>
              <w:t>224,907</w:t>
            </w:r>
          </w:p>
        </w:tc>
        <w:tc>
          <w:tcPr>
            <w:tcW w:w="867" w:type="dxa"/>
          </w:tcPr>
          <w:p>
            <w:pPr>
              <w:pStyle w:val="TableParagraph"/>
              <w:spacing w:before="43"/>
              <w:ind w:right="96"/>
              <w:jc w:val="right"/>
              <w:rPr>
                <w:rFonts w:ascii="Times New Roman"/>
                <w:sz w:val="21"/>
              </w:rPr>
            </w:pPr>
            <w:r>
              <w:rPr>
                <w:rFonts w:ascii="Times New Roman"/>
                <w:sz w:val="21"/>
              </w:rPr>
              <w:t>24,178</w:t>
            </w:r>
          </w:p>
        </w:tc>
        <w:tc>
          <w:tcPr>
            <w:tcW w:w="1464" w:type="dxa"/>
          </w:tcPr>
          <w:p>
            <w:pPr>
              <w:pStyle w:val="TableParagraph"/>
              <w:spacing w:before="43"/>
              <w:ind w:left="674"/>
              <w:rPr>
                <w:rFonts w:ascii="Times New Roman"/>
                <w:sz w:val="21"/>
              </w:rPr>
            </w:pPr>
            <w:r>
              <w:rPr>
                <w:rFonts w:ascii="Times New Roman"/>
                <w:sz w:val="21"/>
              </w:rPr>
              <w:t>649,946</w:t>
            </w:r>
          </w:p>
        </w:tc>
      </w:tr>
      <w:tr>
        <w:trPr>
          <w:trHeight w:val="544" w:hRule="atLeast"/>
        </w:trPr>
        <w:tc>
          <w:tcPr>
            <w:tcW w:w="1841" w:type="dxa"/>
          </w:tcPr>
          <w:p>
            <w:pPr>
              <w:pStyle w:val="TableParagraph"/>
              <w:spacing w:before="1"/>
              <w:ind w:left="527"/>
              <w:rPr>
                <w:sz w:val="21"/>
              </w:rPr>
            </w:pPr>
            <w:r>
              <w:rPr>
                <w:sz w:val="21"/>
              </w:rPr>
              <w:t>2.本期增加</w:t>
            </w:r>
          </w:p>
          <w:p>
            <w:pPr>
              <w:pStyle w:val="TableParagraph"/>
              <w:spacing w:line="250" w:lineRule="exact" w:before="4"/>
              <w:ind w:left="107"/>
              <w:rPr>
                <w:sz w:val="21"/>
              </w:rPr>
            </w:pPr>
            <w:r>
              <w:rPr>
                <w:sz w:val="21"/>
              </w:rPr>
              <w:t>金额 </w:t>
            </w:r>
          </w:p>
        </w:tc>
        <w:tc>
          <w:tcPr>
            <w:tcW w:w="1239" w:type="dxa"/>
          </w:tcPr>
          <w:p>
            <w:pPr>
              <w:pStyle w:val="TableParagraph"/>
              <w:spacing w:before="147"/>
              <w:ind w:right="94"/>
              <w:jc w:val="right"/>
              <w:rPr>
                <w:rFonts w:ascii="Times New Roman"/>
                <w:sz w:val="21"/>
              </w:rPr>
            </w:pPr>
            <w:r>
              <w:rPr>
                <w:rFonts w:ascii="Times New Roman"/>
                <w:sz w:val="21"/>
              </w:rPr>
              <w:t>10,540</w:t>
            </w:r>
          </w:p>
        </w:tc>
        <w:tc>
          <w:tcPr>
            <w:tcW w:w="1241" w:type="dxa"/>
          </w:tcPr>
          <w:p>
            <w:pPr>
              <w:pStyle w:val="TableParagraph"/>
              <w:spacing w:before="147"/>
              <w:ind w:right="96"/>
              <w:jc w:val="right"/>
              <w:rPr>
                <w:rFonts w:ascii="Times New Roman"/>
                <w:sz w:val="21"/>
              </w:rPr>
            </w:pPr>
            <w:r>
              <w:rPr>
                <w:rFonts w:ascii="Times New Roman"/>
                <w:sz w:val="21"/>
              </w:rPr>
              <w:t>20,990</w:t>
            </w:r>
          </w:p>
        </w:tc>
        <w:tc>
          <w:tcPr>
            <w:tcW w:w="1198" w:type="dxa"/>
          </w:tcPr>
          <w:p>
            <w:pPr>
              <w:pStyle w:val="TableParagraph"/>
              <w:rPr>
                <w:rFonts w:ascii="Times New Roman"/>
                <w:sz w:val="20"/>
              </w:rPr>
            </w:pPr>
          </w:p>
        </w:tc>
        <w:tc>
          <w:tcPr>
            <w:tcW w:w="974" w:type="dxa"/>
          </w:tcPr>
          <w:p>
            <w:pPr>
              <w:pStyle w:val="TableParagraph"/>
              <w:spacing w:before="147"/>
              <w:ind w:left="287"/>
              <w:rPr>
                <w:rFonts w:ascii="Times New Roman"/>
                <w:sz w:val="21"/>
              </w:rPr>
            </w:pPr>
            <w:r>
              <w:rPr>
                <w:rFonts w:ascii="Times New Roman"/>
                <w:sz w:val="21"/>
              </w:rPr>
              <w:t>60,076</w:t>
            </w:r>
          </w:p>
        </w:tc>
        <w:tc>
          <w:tcPr>
            <w:tcW w:w="867" w:type="dxa"/>
          </w:tcPr>
          <w:p>
            <w:pPr>
              <w:pStyle w:val="TableParagraph"/>
              <w:spacing w:before="147"/>
              <w:ind w:right="97"/>
              <w:jc w:val="right"/>
              <w:rPr>
                <w:rFonts w:ascii="Times New Roman"/>
                <w:sz w:val="21"/>
              </w:rPr>
            </w:pPr>
            <w:r>
              <w:rPr>
                <w:rFonts w:ascii="Times New Roman"/>
                <w:w w:val="100"/>
                <w:sz w:val="21"/>
              </w:rPr>
              <w:t>-</w:t>
            </w:r>
          </w:p>
        </w:tc>
        <w:tc>
          <w:tcPr>
            <w:tcW w:w="1464" w:type="dxa"/>
          </w:tcPr>
          <w:p>
            <w:pPr>
              <w:pStyle w:val="TableParagraph"/>
              <w:spacing w:before="147"/>
              <w:ind w:left="777"/>
              <w:rPr>
                <w:rFonts w:ascii="Times New Roman"/>
                <w:sz w:val="21"/>
              </w:rPr>
            </w:pPr>
            <w:r>
              <w:rPr>
                <w:rFonts w:ascii="Times New Roman"/>
                <w:sz w:val="21"/>
              </w:rPr>
              <w:t>91,606</w:t>
            </w:r>
          </w:p>
        </w:tc>
      </w:tr>
      <w:tr>
        <w:trPr>
          <w:trHeight w:val="340" w:hRule="atLeast"/>
        </w:trPr>
        <w:tc>
          <w:tcPr>
            <w:tcW w:w="1841" w:type="dxa"/>
          </w:tcPr>
          <w:p>
            <w:pPr>
              <w:pStyle w:val="TableParagraph"/>
              <w:spacing w:before="37"/>
              <w:ind w:left="738"/>
              <w:rPr>
                <w:sz w:val="21"/>
              </w:rPr>
            </w:pPr>
            <w:r>
              <w:rPr>
                <w:sz w:val="21"/>
              </w:rPr>
              <w:t>(1)购置 </w:t>
            </w:r>
          </w:p>
        </w:tc>
        <w:tc>
          <w:tcPr>
            <w:tcW w:w="1239" w:type="dxa"/>
          </w:tcPr>
          <w:p>
            <w:pPr>
              <w:pStyle w:val="TableParagraph"/>
              <w:spacing w:before="43"/>
              <w:ind w:right="95"/>
              <w:jc w:val="right"/>
              <w:rPr>
                <w:rFonts w:ascii="Times New Roman"/>
                <w:sz w:val="21"/>
              </w:rPr>
            </w:pPr>
            <w:r>
              <w:rPr>
                <w:rFonts w:ascii="Times New Roman"/>
                <w:w w:val="100"/>
                <w:sz w:val="21"/>
              </w:rPr>
              <w:t>-</w:t>
            </w:r>
          </w:p>
        </w:tc>
        <w:tc>
          <w:tcPr>
            <w:tcW w:w="1241" w:type="dxa"/>
          </w:tcPr>
          <w:p>
            <w:pPr>
              <w:pStyle w:val="TableParagraph"/>
              <w:spacing w:before="43"/>
              <w:ind w:right="96"/>
              <w:jc w:val="right"/>
              <w:rPr>
                <w:rFonts w:ascii="Times New Roman"/>
                <w:sz w:val="21"/>
              </w:rPr>
            </w:pPr>
            <w:r>
              <w:rPr>
                <w:rFonts w:ascii="Times New Roman"/>
                <w:sz w:val="21"/>
              </w:rPr>
              <w:t>374</w:t>
            </w:r>
          </w:p>
        </w:tc>
        <w:tc>
          <w:tcPr>
            <w:tcW w:w="1198" w:type="dxa"/>
          </w:tcPr>
          <w:p>
            <w:pPr>
              <w:pStyle w:val="TableParagraph"/>
              <w:rPr>
                <w:rFonts w:ascii="Times New Roman"/>
                <w:sz w:val="20"/>
              </w:rPr>
            </w:pPr>
          </w:p>
        </w:tc>
        <w:tc>
          <w:tcPr>
            <w:tcW w:w="974" w:type="dxa"/>
          </w:tcPr>
          <w:p>
            <w:pPr>
              <w:pStyle w:val="TableParagraph"/>
              <w:spacing w:before="43"/>
              <w:ind w:left="287"/>
              <w:rPr>
                <w:rFonts w:ascii="Times New Roman"/>
                <w:sz w:val="21"/>
              </w:rPr>
            </w:pPr>
            <w:r>
              <w:rPr>
                <w:rFonts w:ascii="Times New Roman"/>
                <w:sz w:val="21"/>
              </w:rPr>
              <w:t>59,125</w:t>
            </w:r>
          </w:p>
        </w:tc>
        <w:tc>
          <w:tcPr>
            <w:tcW w:w="867" w:type="dxa"/>
          </w:tcPr>
          <w:p>
            <w:pPr>
              <w:pStyle w:val="TableParagraph"/>
              <w:spacing w:before="43"/>
              <w:ind w:right="97"/>
              <w:jc w:val="right"/>
              <w:rPr>
                <w:rFonts w:ascii="Times New Roman"/>
                <w:sz w:val="21"/>
              </w:rPr>
            </w:pPr>
            <w:r>
              <w:rPr>
                <w:rFonts w:ascii="Times New Roman"/>
                <w:w w:val="100"/>
                <w:sz w:val="21"/>
              </w:rPr>
              <w:t>-</w:t>
            </w:r>
          </w:p>
        </w:tc>
        <w:tc>
          <w:tcPr>
            <w:tcW w:w="1464" w:type="dxa"/>
          </w:tcPr>
          <w:p>
            <w:pPr>
              <w:pStyle w:val="TableParagraph"/>
              <w:spacing w:before="43"/>
              <w:ind w:left="777"/>
              <w:rPr>
                <w:rFonts w:ascii="Times New Roman"/>
                <w:sz w:val="21"/>
              </w:rPr>
            </w:pPr>
            <w:r>
              <w:rPr>
                <w:rFonts w:ascii="Times New Roman"/>
                <w:sz w:val="21"/>
              </w:rPr>
              <w:t>59,499</w:t>
            </w:r>
          </w:p>
        </w:tc>
      </w:tr>
      <w:tr>
        <w:trPr>
          <w:trHeight w:val="544" w:hRule="atLeast"/>
        </w:trPr>
        <w:tc>
          <w:tcPr>
            <w:tcW w:w="1841" w:type="dxa"/>
          </w:tcPr>
          <w:p>
            <w:pPr>
              <w:pStyle w:val="TableParagraph"/>
              <w:spacing w:before="1"/>
              <w:ind w:left="738"/>
              <w:rPr>
                <w:sz w:val="21"/>
              </w:rPr>
            </w:pPr>
            <w:r>
              <w:rPr>
                <w:sz w:val="21"/>
              </w:rPr>
              <w:t>(2)内部研</w:t>
            </w:r>
          </w:p>
          <w:p>
            <w:pPr>
              <w:pStyle w:val="TableParagraph"/>
              <w:spacing w:line="250" w:lineRule="exact" w:before="4"/>
              <w:ind w:left="107"/>
              <w:rPr>
                <w:sz w:val="21"/>
              </w:rPr>
            </w:pPr>
            <w:r>
              <w:rPr>
                <w:sz w:val="21"/>
              </w:rPr>
              <w:t>发 </w:t>
            </w:r>
          </w:p>
        </w:tc>
        <w:tc>
          <w:tcPr>
            <w:tcW w:w="1239" w:type="dxa"/>
          </w:tcPr>
          <w:p>
            <w:pPr>
              <w:pStyle w:val="TableParagraph"/>
              <w:rPr>
                <w:rFonts w:ascii="Times New Roman"/>
                <w:sz w:val="20"/>
              </w:rPr>
            </w:pPr>
          </w:p>
        </w:tc>
        <w:tc>
          <w:tcPr>
            <w:tcW w:w="1241" w:type="dxa"/>
          </w:tcPr>
          <w:p>
            <w:pPr>
              <w:pStyle w:val="TableParagraph"/>
              <w:rPr>
                <w:rFonts w:ascii="Times New Roman"/>
                <w:sz w:val="20"/>
              </w:rPr>
            </w:pPr>
          </w:p>
        </w:tc>
        <w:tc>
          <w:tcPr>
            <w:tcW w:w="1198" w:type="dxa"/>
          </w:tcPr>
          <w:p>
            <w:pPr>
              <w:pStyle w:val="TableParagraph"/>
              <w:rPr>
                <w:rFonts w:ascii="Times New Roman"/>
                <w:sz w:val="20"/>
              </w:rPr>
            </w:pPr>
          </w:p>
        </w:tc>
        <w:tc>
          <w:tcPr>
            <w:tcW w:w="974" w:type="dxa"/>
          </w:tcPr>
          <w:p>
            <w:pPr>
              <w:pStyle w:val="TableParagraph"/>
              <w:rPr>
                <w:rFonts w:ascii="Times New Roman"/>
                <w:sz w:val="20"/>
              </w:rPr>
            </w:pPr>
          </w:p>
        </w:tc>
        <w:tc>
          <w:tcPr>
            <w:tcW w:w="867" w:type="dxa"/>
          </w:tcPr>
          <w:p>
            <w:pPr>
              <w:pStyle w:val="TableParagraph"/>
              <w:rPr>
                <w:rFonts w:ascii="Times New Roman"/>
                <w:sz w:val="20"/>
              </w:rPr>
            </w:pPr>
          </w:p>
        </w:tc>
        <w:tc>
          <w:tcPr>
            <w:tcW w:w="1464" w:type="dxa"/>
          </w:tcPr>
          <w:p>
            <w:pPr>
              <w:pStyle w:val="TableParagraph"/>
              <w:rPr>
                <w:rFonts w:ascii="Times New Roman"/>
                <w:sz w:val="20"/>
              </w:rPr>
            </w:pPr>
          </w:p>
        </w:tc>
      </w:tr>
      <w:tr>
        <w:trPr>
          <w:trHeight w:val="544" w:hRule="atLeast"/>
        </w:trPr>
        <w:tc>
          <w:tcPr>
            <w:tcW w:w="1841" w:type="dxa"/>
          </w:tcPr>
          <w:p>
            <w:pPr>
              <w:pStyle w:val="TableParagraph"/>
              <w:spacing w:before="1"/>
              <w:ind w:left="738"/>
              <w:rPr>
                <w:sz w:val="21"/>
              </w:rPr>
            </w:pPr>
            <w:r>
              <w:rPr>
                <w:sz w:val="21"/>
              </w:rPr>
              <w:t>(3)企业合</w:t>
            </w:r>
          </w:p>
          <w:p>
            <w:pPr>
              <w:pStyle w:val="TableParagraph"/>
              <w:spacing w:line="250" w:lineRule="exact" w:before="4"/>
              <w:ind w:left="107"/>
              <w:rPr>
                <w:sz w:val="21"/>
              </w:rPr>
            </w:pPr>
            <w:r>
              <w:rPr>
                <w:sz w:val="21"/>
              </w:rPr>
              <w:t>并增加 </w:t>
            </w:r>
          </w:p>
        </w:tc>
        <w:tc>
          <w:tcPr>
            <w:tcW w:w="1239" w:type="dxa"/>
          </w:tcPr>
          <w:p>
            <w:pPr>
              <w:pStyle w:val="TableParagraph"/>
              <w:spacing w:line="235" w:lineRule="exact"/>
              <w:ind w:right="94"/>
              <w:jc w:val="right"/>
              <w:rPr>
                <w:rFonts w:ascii="Times New Roman"/>
                <w:sz w:val="21"/>
              </w:rPr>
            </w:pPr>
            <w:r>
              <w:rPr>
                <w:rFonts w:ascii="Times New Roman"/>
                <w:sz w:val="21"/>
              </w:rPr>
              <w:t>10,540</w:t>
            </w:r>
          </w:p>
        </w:tc>
        <w:tc>
          <w:tcPr>
            <w:tcW w:w="1241" w:type="dxa"/>
          </w:tcPr>
          <w:p>
            <w:pPr>
              <w:pStyle w:val="TableParagraph"/>
              <w:spacing w:line="235" w:lineRule="exact"/>
              <w:ind w:right="96"/>
              <w:jc w:val="right"/>
              <w:rPr>
                <w:rFonts w:ascii="Times New Roman"/>
                <w:sz w:val="21"/>
              </w:rPr>
            </w:pPr>
            <w:r>
              <w:rPr>
                <w:rFonts w:ascii="Times New Roman"/>
                <w:sz w:val="21"/>
              </w:rPr>
              <w:t>20,616</w:t>
            </w:r>
          </w:p>
        </w:tc>
        <w:tc>
          <w:tcPr>
            <w:tcW w:w="1198" w:type="dxa"/>
          </w:tcPr>
          <w:p>
            <w:pPr>
              <w:pStyle w:val="TableParagraph"/>
              <w:rPr>
                <w:rFonts w:ascii="Times New Roman"/>
                <w:sz w:val="20"/>
              </w:rPr>
            </w:pPr>
          </w:p>
        </w:tc>
        <w:tc>
          <w:tcPr>
            <w:tcW w:w="974" w:type="dxa"/>
          </w:tcPr>
          <w:p>
            <w:pPr>
              <w:pStyle w:val="TableParagraph"/>
              <w:spacing w:before="147"/>
              <w:ind w:left="551"/>
              <w:rPr>
                <w:rFonts w:ascii="Times New Roman"/>
                <w:sz w:val="21"/>
              </w:rPr>
            </w:pPr>
            <w:r>
              <w:rPr>
                <w:rFonts w:ascii="Times New Roman"/>
                <w:sz w:val="21"/>
              </w:rPr>
              <w:t>951</w:t>
            </w:r>
          </w:p>
        </w:tc>
        <w:tc>
          <w:tcPr>
            <w:tcW w:w="867" w:type="dxa"/>
          </w:tcPr>
          <w:p>
            <w:pPr>
              <w:pStyle w:val="TableParagraph"/>
              <w:spacing w:before="147"/>
              <w:ind w:right="97"/>
              <w:jc w:val="right"/>
              <w:rPr>
                <w:rFonts w:ascii="Times New Roman"/>
                <w:sz w:val="21"/>
              </w:rPr>
            </w:pPr>
            <w:r>
              <w:rPr>
                <w:rFonts w:ascii="Times New Roman"/>
                <w:w w:val="100"/>
                <w:sz w:val="21"/>
              </w:rPr>
              <w:t>-</w:t>
            </w:r>
          </w:p>
        </w:tc>
        <w:tc>
          <w:tcPr>
            <w:tcW w:w="1464" w:type="dxa"/>
          </w:tcPr>
          <w:p>
            <w:pPr>
              <w:pStyle w:val="TableParagraph"/>
              <w:spacing w:line="235" w:lineRule="exact"/>
              <w:ind w:left="777"/>
              <w:rPr>
                <w:rFonts w:ascii="Times New Roman"/>
                <w:sz w:val="21"/>
              </w:rPr>
            </w:pPr>
            <w:r>
              <w:rPr>
                <w:rFonts w:ascii="Times New Roman"/>
                <w:sz w:val="21"/>
              </w:rPr>
              <w:t>32,107</w:t>
            </w:r>
          </w:p>
        </w:tc>
      </w:tr>
      <w:tr>
        <w:trPr>
          <w:trHeight w:val="273" w:hRule="atLeast"/>
        </w:trPr>
        <w:tc>
          <w:tcPr>
            <w:tcW w:w="1841" w:type="dxa"/>
          </w:tcPr>
          <w:p>
            <w:pPr>
              <w:pStyle w:val="TableParagraph"/>
              <w:spacing w:line="250" w:lineRule="exact" w:before="3"/>
              <w:ind w:right="34"/>
              <w:jc w:val="center"/>
              <w:rPr>
                <w:sz w:val="21"/>
              </w:rPr>
            </w:pPr>
            <w:r>
              <w:rPr>
                <w:w w:val="100"/>
                <w:sz w:val="21"/>
              </w:rPr>
              <w:t> </w:t>
            </w:r>
            <w:r>
              <w:rPr>
                <w:sz w:val="21"/>
              </w:rPr>
              <w:t> </w:t>
            </w:r>
            <w:r>
              <w:rPr>
                <w:w w:val="100"/>
                <w:sz w:val="21"/>
              </w:rPr>
              <w:t> </w:t>
            </w:r>
          </w:p>
        </w:tc>
        <w:tc>
          <w:tcPr>
            <w:tcW w:w="1239" w:type="dxa"/>
          </w:tcPr>
          <w:p>
            <w:pPr>
              <w:pStyle w:val="TableParagraph"/>
              <w:spacing w:line="251" w:lineRule="exact"/>
              <w:ind w:right="-15"/>
              <w:jc w:val="right"/>
              <w:rPr>
                <w:sz w:val="21"/>
              </w:rPr>
            </w:pPr>
            <w:r>
              <w:rPr>
                <w:w w:val="100"/>
                <w:sz w:val="21"/>
              </w:rPr>
              <w:t> </w:t>
            </w:r>
          </w:p>
        </w:tc>
        <w:tc>
          <w:tcPr>
            <w:tcW w:w="1241" w:type="dxa"/>
          </w:tcPr>
          <w:p>
            <w:pPr>
              <w:pStyle w:val="TableParagraph"/>
              <w:spacing w:line="251" w:lineRule="exact"/>
              <w:ind w:right="-15"/>
              <w:jc w:val="right"/>
              <w:rPr>
                <w:sz w:val="21"/>
              </w:rPr>
            </w:pPr>
            <w:r>
              <w:rPr>
                <w:w w:val="100"/>
                <w:sz w:val="21"/>
              </w:rPr>
              <w:t> </w:t>
            </w:r>
          </w:p>
        </w:tc>
        <w:tc>
          <w:tcPr>
            <w:tcW w:w="1198" w:type="dxa"/>
          </w:tcPr>
          <w:p>
            <w:pPr>
              <w:pStyle w:val="TableParagraph"/>
              <w:spacing w:line="251" w:lineRule="exact"/>
              <w:ind w:right="-15"/>
              <w:jc w:val="right"/>
              <w:rPr>
                <w:sz w:val="21"/>
              </w:rPr>
            </w:pPr>
            <w:r>
              <w:rPr>
                <w:w w:val="100"/>
                <w:sz w:val="21"/>
              </w:rPr>
              <w:t> </w:t>
            </w:r>
          </w:p>
        </w:tc>
        <w:tc>
          <w:tcPr>
            <w:tcW w:w="974" w:type="dxa"/>
          </w:tcPr>
          <w:p>
            <w:pPr>
              <w:pStyle w:val="TableParagraph"/>
              <w:spacing w:line="251" w:lineRule="exact"/>
              <w:ind w:right="-15"/>
              <w:jc w:val="right"/>
              <w:rPr>
                <w:sz w:val="21"/>
              </w:rPr>
            </w:pPr>
            <w:r>
              <w:rPr>
                <w:w w:val="100"/>
                <w:sz w:val="21"/>
              </w:rPr>
              <w:t> </w:t>
            </w:r>
          </w:p>
        </w:tc>
        <w:tc>
          <w:tcPr>
            <w:tcW w:w="867" w:type="dxa"/>
          </w:tcPr>
          <w:p>
            <w:pPr>
              <w:pStyle w:val="TableParagraph"/>
              <w:rPr>
                <w:rFonts w:ascii="Times New Roman"/>
                <w:sz w:val="20"/>
              </w:rPr>
            </w:pPr>
          </w:p>
        </w:tc>
        <w:tc>
          <w:tcPr>
            <w:tcW w:w="1464" w:type="dxa"/>
          </w:tcPr>
          <w:p>
            <w:pPr>
              <w:pStyle w:val="TableParagraph"/>
              <w:spacing w:line="251" w:lineRule="exact"/>
              <w:ind w:right="-15"/>
              <w:jc w:val="right"/>
              <w:rPr>
                <w:sz w:val="21"/>
              </w:rPr>
            </w:pPr>
            <w:r>
              <w:rPr>
                <w:w w:val="100"/>
                <w:sz w:val="21"/>
              </w:rPr>
              <w:t> </w:t>
            </w:r>
          </w:p>
        </w:tc>
      </w:tr>
      <w:tr>
        <w:trPr>
          <w:trHeight w:val="273" w:hRule="atLeast"/>
        </w:trPr>
        <w:tc>
          <w:tcPr>
            <w:tcW w:w="1841" w:type="dxa"/>
          </w:tcPr>
          <w:p>
            <w:pPr>
              <w:pStyle w:val="TableParagraph"/>
              <w:spacing w:line="252" w:lineRule="exact" w:before="1"/>
              <w:ind w:right="34"/>
              <w:jc w:val="center"/>
              <w:rPr>
                <w:sz w:val="21"/>
              </w:rPr>
            </w:pPr>
            <w:r>
              <w:rPr>
                <w:w w:val="100"/>
                <w:sz w:val="21"/>
              </w:rPr>
              <w:t> </w:t>
            </w:r>
            <w:r>
              <w:rPr>
                <w:sz w:val="21"/>
              </w:rPr>
              <w:t> </w:t>
            </w:r>
            <w:r>
              <w:rPr>
                <w:w w:val="100"/>
                <w:sz w:val="21"/>
              </w:rPr>
              <w:t> </w:t>
            </w:r>
          </w:p>
        </w:tc>
        <w:tc>
          <w:tcPr>
            <w:tcW w:w="1239" w:type="dxa"/>
          </w:tcPr>
          <w:p>
            <w:pPr>
              <w:pStyle w:val="TableParagraph"/>
              <w:spacing w:line="248" w:lineRule="exact"/>
              <w:ind w:right="-15"/>
              <w:jc w:val="right"/>
              <w:rPr>
                <w:sz w:val="21"/>
              </w:rPr>
            </w:pPr>
            <w:r>
              <w:rPr>
                <w:w w:val="100"/>
                <w:sz w:val="21"/>
              </w:rPr>
              <w:t> </w:t>
            </w:r>
          </w:p>
        </w:tc>
        <w:tc>
          <w:tcPr>
            <w:tcW w:w="1241" w:type="dxa"/>
          </w:tcPr>
          <w:p>
            <w:pPr>
              <w:pStyle w:val="TableParagraph"/>
              <w:spacing w:line="248" w:lineRule="exact"/>
              <w:ind w:right="-15"/>
              <w:jc w:val="right"/>
              <w:rPr>
                <w:sz w:val="21"/>
              </w:rPr>
            </w:pPr>
            <w:r>
              <w:rPr>
                <w:w w:val="100"/>
                <w:sz w:val="21"/>
              </w:rPr>
              <w:t> </w:t>
            </w:r>
          </w:p>
        </w:tc>
        <w:tc>
          <w:tcPr>
            <w:tcW w:w="1198" w:type="dxa"/>
          </w:tcPr>
          <w:p>
            <w:pPr>
              <w:pStyle w:val="TableParagraph"/>
              <w:spacing w:line="248" w:lineRule="exact"/>
              <w:ind w:right="-15"/>
              <w:jc w:val="right"/>
              <w:rPr>
                <w:sz w:val="21"/>
              </w:rPr>
            </w:pPr>
            <w:r>
              <w:rPr>
                <w:w w:val="100"/>
                <w:sz w:val="21"/>
              </w:rPr>
              <w:t> </w:t>
            </w:r>
          </w:p>
        </w:tc>
        <w:tc>
          <w:tcPr>
            <w:tcW w:w="974" w:type="dxa"/>
          </w:tcPr>
          <w:p>
            <w:pPr>
              <w:pStyle w:val="TableParagraph"/>
              <w:spacing w:line="248" w:lineRule="exact"/>
              <w:ind w:right="-15"/>
              <w:jc w:val="right"/>
              <w:rPr>
                <w:sz w:val="21"/>
              </w:rPr>
            </w:pPr>
            <w:r>
              <w:rPr>
                <w:w w:val="100"/>
                <w:sz w:val="21"/>
              </w:rPr>
              <w:t> </w:t>
            </w:r>
          </w:p>
        </w:tc>
        <w:tc>
          <w:tcPr>
            <w:tcW w:w="867" w:type="dxa"/>
          </w:tcPr>
          <w:p>
            <w:pPr>
              <w:pStyle w:val="TableParagraph"/>
              <w:rPr>
                <w:rFonts w:ascii="Times New Roman"/>
                <w:sz w:val="20"/>
              </w:rPr>
            </w:pPr>
          </w:p>
        </w:tc>
        <w:tc>
          <w:tcPr>
            <w:tcW w:w="1464" w:type="dxa"/>
          </w:tcPr>
          <w:p>
            <w:pPr>
              <w:pStyle w:val="TableParagraph"/>
              <w:spacing w:line="248" w:lineRule="exact"/>
              <w:ind w:right="-15"/>
              <w:jc w:val="right"/>
              <w:rPr>
                <w:sz w:val="21"/>
              </w:rPr>
            </w:pPr>
            <w:r>
              <w:rPr>
                <w:w w:val="100"/>
                <w:sz w:val="21"/>
              </w:rPr>
              <w:t> </w:t>
            </w:r>
          </w:p>
        </w:tc>
      </w:tr>
      <w:tr>
        <w:trPr>
          <w:trHeight w:val="544" w:hRule="atLeast"/>
        </w:trPr>
        <w:tc>
          <w:tcPr>
            <w:tcW w:w="1841" w:type="dxa"/>
          </w:tcPr>
          <w:p>
            <w:pPr>
              <w:pStyle w:val="TableParagraph"/>
              <w:spacing w:before="1"/>
              <w:ind w:left="107"/>
              <w:rPr>
                <w:sz w:val="21"/>
              </w:rPr>
            </w:pPr>
            <w:r>
              <w:rPr>
                <w:w w:val="100"/>
                <w:sz w:val="21"/>
              </w:rPr>
              <w:t>   </w:t>
            </w:r>
            <w:r>
              <w:rPr>
                <w:spacing w:val="-1"/>
                <w:w w:val="100"/>
                <w:sz w:val="21"/>
              </w:rPr>
              <w:t> </w:t>
            </w:r>
            <w:r>
              <w:rPr>
                <w:sz w:val="21"/>
              </w:rPr>
              <w:t>3.本期减少</w:t>
            </w:r>
          </w:p>
          <w:p>
            <w:pPr>
              <w:pStyle w:val="TableParagraph"/>
              <w:spacing w:line="252" w:lineRule="exact" w:before="2"/>
              <w:ind w:left="107"/>
              <w:rPr>
                <w:sz w:val="21"/>
              </w:rPr>
            </w:pPr>
            <w:r>
              <w:rPr>
                <w:sz w:val="21"/>
              </w:rPr>
              <w:t>金额 </w:t>
            </w:r>
          </w:p>
        </w:tc>
        <w:tc>
          <w:tcPr>
            <w:tcW w:w="1239" w:type="dxa"/>
          </w:tcPr>
          <w:p>
            <w:pPr>
              <w:pStyle w:val="TableParagraph"/>
              <w:spacing w:line="235" w:lineRule="exact"/>
              <w:ind w:right="94"/>
              <w:jc w:val="right"/>
              <w:rPr>
                <w:rFonts w:ascii="Times New Roman"/>
                <w:sz w:val="21"/>
              </w:rPr>
            </w:pPr>
            <w:r>
              <w:rPr>
                <w:rFonts w:ascii="Times New Roman"/>
                <w:sz w:val="21"/>
              </w:rPr>
              <w:t>9,638</w:t>
            </w:r>
          </w:p>
        </w:tc>
        <w:tc>
          <w:tcPr>
            <w:tcW w:w="1241" w:type="dxa"/>
          </w:tcPr>
          <w:p>
            <w:pPr>
              <w:pStyle w:val="TableParagraph"/>
              <w:spacing w:line="235" w:lineRule="exact"/>
              <w:ind w:right="96"/>
              <w:jc w:val="right"/>
              <w:rPr>
                <w:rFonts w:ascii="Times New Roman"/>
                <w:sz w:val="21"/>
              </w:rPr>
            </w:pPr>
            <w:r>
              <w:rPr>
                <w:rFonts w:ascii="Times New Roman"/>
                <w:sz w:val="21"/>
              </w:rPr>
              <w:t>530</w:t>
            </w:r>
          </w:p>
        </w:tc>
        <w:tc>
          <w:tcPr>
            <w:tcW w:w="1198" w:type="dxa"/>
          </w:tcPr>
          <w:p>
            <w:pPr>
              <w:pStyle w:val="TableParagraph"/>
              <w:rPr>
                <w:rFonts w:ascii="Times New Roman"/>
                <w:sz w:val="20"/>
              </w:rPr>
            </w:pPr>
          </w:p>
        </w:tc>
        <w:tc>
          <w:tcPr>
            <w:tcW w:w="974" w:type="dxa"/>
          </w:tcPr>
          <w:p>
            <w:pPr>
              <w:pStyle w:val="TableParagraph"/>
              <w:spacing w:line="235" w:lineRule="exact"/>
              <w:ind w:left="392"/>
              <w:rPr>
                <w:rFonts w:ascii="Times New Roman"/>
                <w:sz w:val="21"/>
              </w:rPr>
            </w:pPr>
            <w:r>
              <w:rPr>
                <w:rFonts w:ascii="Times New Roman"/>
                <w:sz w:val="21"/>
              </w:rPr>
              <w:t>4,429</w:t>
            </w:r>
          </w:p>
        </w:tc>
        <w:tc>
          <w:tcPr>
            <w:tcW w:w="867" w:type="dxa"/>
          </w:tcPr>
          <w:p>
            <w:pPr>
              <w:pStyle w:val="TableParagraph"/>
              <w:spacing w:line="235" w:lineRule="exact"/>
              <w:ind w:right="98"/>
              <w:jc w:val="right"/>
              <w:rPr>
                <w:rFonts w:ascii="Times New Roman"/>
                <w:sz w:val="21"/>
              </w:rPr>
            </w:pPr>
            <w:r>
              <w:rPr>
                <w:rFonts w:ascii="Times New Roman"/>
                <w:sz w:val="21"/>
              </w:rPr>
              <w:t>15</w:t>
            </w:r>
          </w:p>
        </w:tc>
        <w:tc>
          <w:tcPr>
            <w:tcW w:w="1464" w:type="dxa"/>
          </w:tcPr>
          <w:p>
            <w:pPr>
              <w:pStyle w:val="TableParagraph"/>
              <w:spacing w:line="235" w:lineRule="exact"/>
              <w:ind w:left="777"/>
              <w:rPr>
                <w:rFonts w:ascii="Times New Roman"/>
                <w:sz w:val="21"/>
              </w:rPr>
            </w:pPr>
            <w:r>
              <w:rPr>
                <w:rFonts w:ascii="Times New Roman"/>
                <w:sz w:val="21"/>
              </w:rPr>
              <w:t>14,612</w:t>
            </w:r>
          </w:p>
        </w:tc>
      </w:tr>
      <w:tr>
        <w:trPr>
          <w:trHeight w:val="340" w:hRule="atLeast"/>
        </w:trPr>
        <w:tc>
          <w:tcPr>
            <w:tcW w:w="1841" w:type="dxa"/>
          </w:tcPr>
          <w:p>
            <w:pPr>
              <w:pStyle w:val="TableParagraph"/>
              <w:spacing w:before="34"/>
              <w:ind w:left="738"/>
              <w:rPr>
                <w:sz w:val="21"/>
              </w:rPr>
            </w:pPr>
            <w:r>
              <w:rPr>
                <w:sz w:val="21"/>
              </w:rPr>
              <w:t>(1)处置 </w:t>
            </w:r>
          </w:p>
        </w:tc>
        <w:tc>
          <w:tcPr>
            <w:tcW w:w="1239" w:type="dxa"/>
          </w:tcPr>
          <w:p>
            <w:pPr>
              <w:pStyle w:val="TableParagraph"/>
              <w:spacing w:line="235" w:lineRule="exact"/>
              <w:ind w:right="95"/>
              <w:jc w:val="right"/>
              <w:rPr>
                <w:rFonts w:ascii="Times New Roman"/>
                <w:sz w:val="21"/>
              </w:rPr>
            </w:pPr>
            <w:r>
              <w:rPr>
                <w:rFonts w:ascii="Times New Roman"/>
                <w:w w:val="100"/>
                <w:sz w:val="21"/>
              </w:rPr>
              <w:t>-</w:t>
            </w:r>
          </w:p>
        </w:tc>
        <w:tc>
          <w:tcPr>
            <w:tcW w:w="1241" w:type="dxa"/>
          </w:tcPr>
          <w:p>
            <w:pPr>
              <w:pStyle w:val="TableParagraph"/>
              <w:spacing w:line="235" w:lineRule="exact"/>
              <w:ind w:right="98"/>
              <w:jc w:val="right"/>
              <w:rPr>
                <w:rFonts w:ascii="Times New Roman"/>
                <w:sz w:val="21"/>
              </w:rPr>
            </w:pPr>
            <w:r>
              <w:rPr>
                <w:rFonts w:ascii="Times New Roman"/>
                <w:w w:val="100"/>
                <w:sz w:val="21"/>
              </w:rPr>
              <w:t>-</w:t>
            </w:r>
          </w:p>
        </w:tc>
        <w:tc>
          <w:tcPr>
            <w:tcW w:w="1198" w:type="dxa"/>
          </w:tcPr>
          <w:p>
            <w:pPr>
              <w:pStyle w:val="TableParagraph"/>
              <w:rPr>
                <w:rFonts w:ascii="Times New Roman"/>
                <w:sz w:val="20"/>
              </w:rPr>
            </w:pPr>
          </w:p>
        </w:tc>
        <w:tc>
          <w:tcPr>
            <w:tcW w:w="974" w:type="dxa"/>
          </w:tcPr>
          <w:p>
            <w:pPr>
              <w:pStyle w:val="TableParagraph"/>
              <w:spacing w:line="235" w:lineRule="exact"/>
              <w:ind w:left="323"/>
              <w:rPr>
                <w:rFonts w:ascii="Times New Roman"/>
                <w:sz w:val="21"/>
              </w:rPr>
            </w:pPr>
            <w:r>
              <w:rPr>
                <w:rFonts w:ascii="Times New Roman"/>
                <w:sz w:val="21"/>
              </w:rPr>
              <w:t>-4,769</w:t>
            </w:r>
          </w:p>
        </w:tc>
        <w:tc>
          <w:tcPr>
            <w:tcW w:w="867" w:type="dxa"/>
          </w:tcPr>
          <w:p>
            <w:pPr>
              <w:pStyle w:val="TableParagraph"/>
              <w:spacing w:line="235" w:lineRule="exact"/>
              <w:ind w:right="97"/>
              <w:jc w:val="right"/>
              <w:rPr>
                <w:rFonts w:ascii="Times New Roman"/>
                <w:sz w:val="21"/>
              </w:rPr>
            </w:pPr>
            <w:r>
              <w:rPr>
                <w:rFonts w:ascii="Times New Roman"/>
                <w:w w:val="100"/>
                <w:sz w:val="21"/>
              </w:rPr>
              <w:t>-</w:t>
            </w:r>
          </w:p>
        </w:tc>
        <w:tc>
          <w:tcPr>
            <w:tcW w:w="1464" w:type="dxa"/>
          </w:tcPr>
          <w:p>
            <w:pPr>
              <w:pStyle w:val="TableParagraph"/>
              <w:spacing w:line="235" w:lineRule="exact"/>
              <w:ind w:left="813"/>
              <w:rPr>
                <w:rFonts w:ascii="Times New Roman"/>
                <w:sz w:val="21"/>
              </w:rPr>
            </w:pPr>
            <w:r>
              <w:rPr>
                <w:rFonts w:ascii="Times New Roman"/>
                <w:sz w:val="21"/>
              </w:rPr>
              <w:t>-4,769</w:t>
            </w:r>
          </w:p>
        </w:tc>
      </w:tr>
      <w:tr>
        <w:trPr>
          <w:trHeight w:val="544" w:hRule="atLeast"/>
        </w:trPr>
        <w:tc>
          <w:tcPr>
            <w:tcW w:w="1841" w:type="dxa"/>
          </w:tcPr>
          <w:p>
            <w:pPr>
              <w:pStyle w:val="TableParagraph"/>
              <w:spacing w:before="1"/>
              <w:ind w:left="107"/>
              <w:rPr>
                <w:sz w:val="21"/>
              </w:rPr>
            </w:pPr>
            <w:r>
              <w:rPr>
                <w:sz w:val="21"/>
              </w:rPr>
              <w:t>外币报表折算差</w:t>
            </w:r>
          </w:p>
          <w:p>
            <w:pPr>
              <w:pStyle w:val="TableParagraph"/>
              <w:spacing w:line="252" w:lineRule="exact" w:before="2"/>
              <w:ind w:left="107"/>
              <w:rPr>
                <w:sz w:val="21"/>
              </w:rPr>
            </w:pPr>
            <w:r>
              <w:rPr>
                <w:sz w:val="21"/>
              </w:rPr>
              <w:t>异 </w:t>
            </w:r>
          </w:p>
        </w:tc>
        <w:tc>
          <w:tcPr>
            <w:tcW w:w="1239" w:type="dxa"/>
          </w:tcPr>
          <w:p>
            <w:pPr>
              <w:pStyle w:val="TableParagraph"/>
              <w:spacing w:line="235" w:lineRule="exact"/>
              <w:ind w:right="94"/>
              <w:jc w:val="right"/>
              <w:rPr>
                <w:rFonts w:ascii="Times New Roman"/>
                <w:sz w:val="21"/>
              </w:rPr>
            </w:pPr>
            <w:r>
              <w:rPr>
                <w:rFonts w:ascii="Times New Roman"/>
                <w:sz w:val="21"/>
              </w:rPr>
              <w:t>9,638</w:t>
            </w:r>
          </w:p>
        </w:tc>
        <w:tc>
          <w:tcPr>
            <w:tcW w:w="1241" w:type="dxa"/>
          </w:tcPr>
          <w:p>
            <w:pPr>
              <w:pStyle w:val="TableParagraph"/>
              <w:spacing w:line="235" w:lineRule="exact"/>
              <w:ind w:right="96"/>
              <w:jc w:val="right"/>
              <w:rPr>
                <w:rFonts w:ascii="Times New Roman"/>
                <w:sz w:val="21"/>
              </w:rPr>
            </w:pPr>
            <w:r>
              <w:rPr>
                <w:rFonts w:ascii="Times New Roman"/>
                <w:sz w:val="21"/>
              </w:rPr>
              <w:t>530</w:t>
            </w:r>
          </w:p>
        </w:tc>
        <w:tc>
          <w:tcPr>
            <w:tcW w:w="1198" w:type="dxa"/>
          </w:tcPr>
          <w:p>
            <w:pPr>
              <w:pStyle w:val="TableParagraph"/>
              <w:spacing w:line="248" w:lineRule="exact"/>
              <w:ind w:right="-15"/>
              <w:jc w:val="right"/>
              <w:rPr>
                <w:sz w:val="21"/>
              </w:rPr>
            </w:pPr>
            <w:r>
              <w:rPr>
                <w:w w:val="100"/>
                <w:sz w:val="21"/>
              </w:rPr>
              <w:t> </w:t>
            </w:r>
          </w:p>
        </w:tc>
        <w:tc>
          <w:tcPr>
            <w:tcW w:w="974" w:type="dxa"/>
          </w:tcPr>
          <w:p>
            <w:pPr>
              <w:pStyle w:val="TableParagraph"/>
              <w:spacing w:line="235" w:lineRule="exact"/>
              <w:ind w:left="392"/>
              <w:rPr>
                <w:rFonts w:ascii="Times New Roman"/>
                <w:sz w:val="21"/>
              </w:rPr>
            </w:pPr>
            <w:r>
              <w:rPr>
                <w:rFonts w:ascii="Times New Roman"/>
                <w:sz w:val="21"/>
              </w:rPr>
              <w:t>9,198</w:t>
            </w:r>
          </w:p>
        </w:tc>
        <w:tc>
          <w:tcPr>
            <w:tcW w:w="867" w:type="dxa"/>
          </w:tcPr>
          <w:p>
            <w:pPr>
              <w:pStyle w:val="TableParagraph"/>
              <w:spacing w:line="235" w:lineRule="exact"/>
              <w:ind w:right="98"/>
              <w:jc w:val="right"/>
              <w:rPr>
                <w:rFonts w:ascii="Times New Roman"/>
                <w:sz w:val="21"/>
              </w:rPr>
            </w:pPr>
            <w:r>
              <w:rPr>
                <w:rFonts w:ascii="Times New Roman"/>
                <w:sz w:val="21"/>
              </w:rPr>
              <w:t>15</w:t>
            </w:r>
          </w:p>
        </w:tc>
        <w:tc>
          <w:tcPr>
            <w:tcW w:w="1464" w:type="dxa"/>
          </w:tcPr>
          <w:p>
            <w:pPr>
              <w:pStyle w:val="TableParagraph"/>
              <w:spacing w:line="235" w:lineRule="exact"/>
              <w:ind w:left="777"/>
              <w:rPr>
                <w:rFonts w:ascii="Times New Roman"/>
                <w:sz w:val="21"/>
              </w:rPr>
            </w:pPr>
            <w:r>
              <w:rPr>
                <w:rFonts w:ascii="Times New Roman"/>
                <w:sz w:val="21"/>
              </w:rPr>
              <w:t>19,381</w:t>
            </w:r>
          </w:p>
        </w:tc>
      </w:tr>
      <w:tr>
        <w:trPr>
          <w:trHeight w:val="270" w:hRule="atLeast"/>
        </w:trPr>
        <w:tc>
          <w:tcPr>
            <w:tcW w:w="1841" w:type="dxa"/>
          </w:tcPr>
          <w:p>
            <w:pPr>
              <w:pStyle w:val="TableParagraph"/>
              <w:spacing w:line="250" w:lineRule="exact" w:before="1"/>
              <w:ind w:right="34"/>
              <w:jc w:val="center"/>
              <w:rPr>
                <w:sz w:val="21"/>
              </w:rPr>
            </w:pPr>
            <w:r>
              <w:rPr>
                <w:w w:val="100"/>
                <w:sz w:val="21"/>
              </w:rPr>
              <w:t> </w:t>
            </w:r>
            <w:r>
              <w:rPr>
                <w:sz w:val="21"/>
              </w:rPr>
              <w:t> </w:t>
            </w:r>
            <w:r>
              <w:rPr>
                <w:w w:val="100"/>
                <w:sz w:val="21"/>
              </w:rPr>
              <w:t> </w:t>
            </w:r>
          </w:p>
        </w:tc>
        <w:tc>
          <w:tcPr>
            <w:tcW w:w="1239" w:type="dxa"/>
          </w:tcPr>
          <w:p>
            <w:pPr>
              <w:pStyle w:val="TableParagraph"/>
              <w:spacing w:line="248" w:lineRule="exact"/>
              <w:ind w:right="-15"/>
              <w:jc w:val="right"/>
              <w:rPr>
                <w:sz w:val="21"/>
              </w:rPr>
            </w:pPr>
            <w:r>
              <w:rPr>
                <w:w w:val="100"/>
                <w:sz w:val="21"/>
              </w:rPr>
              <w:t> </w:t>
            </w:r>
          </w:p>
        </w:tc>
        <w:tc>
          <w:tcPr>
            <w:tcW w:w="1241" w:type="dxa"/>
          </w:tcPr>
          <w:p>
            <w:pPr>
              <w:pStyle w:val="TableParagraph"/>
              <w:spacing w:line="248" w:lineRule="exact"/>
              <w:ind w:right="-15"/>
              <w:jc w:val="right"/>
              <w:rPr>
                <w:sz w:val="21"/>
              </w:rPr>
            </w:pPr>
            <w:r>
              <w:rPr>
                <w:w w:val="100"/>
                <w:sz w:val="21"/>
              </w:rPr>
              <w:t> </w:t>
            </w:r>
          </w:p>
        </w:tc>
        <w:tc>
          <w:tcPr>
            <w:tcW w:w="1198" w:type="dxa"/>
          </w:tcPr>
          <w:p>
            <w:pPr>
              <w:pStyle w:val="TableParagraph"/>
              <w:spacing w:line="248" w:lineRule="exact"/>
              <w:ind w:right="-15"/>
              <w:jc w:val="right"/>
              <w:rPr>
                <w:sz w:val="21"/>
              </w:rPr>
            </w:pPr>
            <w:r>
              <w:rPr>
                <w:w w:val="100"/>
                <w:sz w:val="21"/>
              </w:rPr>
              <w:t> </w:t>
            </w:r>
          </w:p>
        </w:tc>
        <w:tc>
          <w:tcPr>
            <w:tcW w:w="974" w:type="dxa"/>
          </w:tcPr>
          <w:p>
            <w:pPr>
              <w:pStyle w:val="TableParagraph"/>
              <w:spacing w:line="248" w:lineRule="exact"/>
              <w:ind w:right="-15"/>
              <w:jc w:val="right"/>
              <w:rPr>
                <w:sz w:val="21"/>
              </w:rPr>
            </w:pPr>
            <w:r>
              <w:rPr>
                <w:w w:val="100"/>
                <w:sz w:val="21"/>
              </w:rPr>
              <w:t> </w:t>
            </w:r>
          </w:p>
        </w:tc>
        <w:tc>
          <w:tcPr>
            <w:tcW w:w="867" w:type="dxa"/>
          </w:tcPr>
          <w:p>
            <w:pPr>
              <w:pStyle w:val="TableParagraph"/>
              <w:rPr>
                <w:rFonts w:ascii="Times New Roman"/>
                <w:sz w:val="20"/>
              </w:rPr>
            </w:pPr>
          </w:p>
        </w:tc>
        <w:tc>
          <w:tcPr>
            <w:tcW w:w="1464" w:type="dxa"/>
          </w:tcPr>
          <w:p>
            <w:pPr>
              <w:pStyle w:val="TableParagraph"/>
              <w:spacing w:line="248" w:lineRule="exact"/>
              <w:ind w:right="-15"/>
              <w:jc w:val="right"/>
              <w:rPr>
                <w:sz w:val="21"/>
              </w:rPr>
            </w:pPr>
            <w:r>
              <w:rPr>
                <w:w w:val="100"/>
                <w:sz w:val="21"/>
              </w:rPr>
              <w:t> </w:t>
            </w:r>
          </w:p>
        </w:tc>
      </w:tr>
      <w:tr>
        <w:trPr>
          <w:trHeight w:val="341" w:hRule="atLeast"/>
        </w:trPr>
        <w:tc>
          <w:tcPr>
            <w:tcW w:w="1841" w:type="dxa"/>
          </w:tcPr>
          <w:p>
            <w:pPr>
              <w:pStyle w:val="TableParagraph"/>
              <w:spacing w:before="37"/>
              <w:ind w:left="107"/>
              <w:rPr>
                <w:sz w:val="21"/>
              </w:rPr>
            </w:pPr>
            <w:r>
              <w:rPr>
                <w:w w:val="100"/>
                <w:sz w:val="21"/>
              </w:rPr>
              <w:t>  </w:t>
            </w:r>
            <w:r>
              <w:rPr>
                <w:spacing w:val="-1"/>
                <w:w w:val="100"/>
                <w:sz w:val="21"/>
              </w:rPr>
              <w:t> </w:t>
            </w:r>
            <w:r>
              <w:rPr>
                <w:sz w:val="21"/>
              </w:rPr>
              <w:t>4.期末余额 </w:t>
            </w:r>
          </w:p>
        </w:tc>
        <w:tc>
          <w:tcPr>
            <w:tcW w:w="1239" w:type="dxa"/>
          </w:tcPr>
          <w:p>
            <w:pPr>
              <w:pStyle w:val="TableParagraph"/>
              <w:spacing w:line="238" w:lineRule="exact"/>
              <w:ind w:right="94"/>
              <w:jc w:val="right"/>
              <w:rPr>
                <w:rFonts w:ascii="Times New Roman"/>
                <w:sz w:val="21"/>
              </w:rPr>
            </w:pPr>
            <w:r>
              <w:rPr>
                <w:rFonts w:ascii="Times New Roman"/>
                <w:sz w:val="21"/>
              </w:rPr>
              <w:t>374,983</w:t>
            </w:r>
          </w:p>
        </w:tc>
        <w:tc>
          <w:tcPr>
            <w:tcW w:w="1241" w:type="dxa"/>
          </w:tcPr>
          <w:p>
            <w:pPr>
              <w:pStyle w:val="TableParagraph"/>
              <w:spacing w:line="238" w:lineRule="exact"/>
              <w:ind w:right="96"/>
              <w:jc w:val="right"/>
              <w:rPr>
                <w:rFonts w:ascii="Times New Roman"/>
                <w:sz w:val="21"/>
              </w:rPr>
            </w:pPr>
            <w:r>
              <w:rPr>
                <w:rFonts w:ascii="Times New Roman"/>
                <w:sz w:val="21"/>
              </w:rPr>
              <w:t>67,576</w:t>
            </w:r>
          </w:p>
        </w:tc>
        <w:tc>
          <w:tcPr>
            <w:tcW w:w="1198" w:type="dxa"/>
          </w:tcPr>
          <w:p>
            <w:pPr>
              <w:pStyle w:val="TableParagraph"/>
              <w:rPr>
                <w:rFonts w:ascii="Times New Roman"/>
                <w:sz w:val="20"/>
              </w:rPr>
            </w:pPr>
          </w:p>
        </w:tc>
        <w:tc>
          <w:tcPr>
            <w:tcW w:w="974" w:type="dxa"/>
          </w:tcPr>
          <w:p>
            <w:pPr>
              <w:pStyle w:val="TableParagraph"/>
              <w:spacing w:before="44"/>
              <w:ind w:left="184"/>
              <w:rPr>
                <w:rFonts w:ascii="Times New Roman"/>
                <w:sz w:val="21"/>
              </w:rPr>
            </w:pPr>
            <w:r>
              <w:rPr>
                <w:rFonts w:ascii="Times New Roman"/>
                <w:sz w:val="21"/>
              </w:rPr>
              <w:t>289,412</w:t>
            </w:r>
          </w:p>
        </w:tc>
        <w:tc>
          <w:tcPr>
            <w:tcW w:w="867" w:type="dxa"/>
          </w:tcPr>
          <w:p>
            <w:pPr>
              <w:pStyle w:val="TableParagraph"/>
              <w:spacing w:before="44"/>
              <w:ind w:right="96"/>
              <w:jc w:val="right"/>
              <w:rPr>
                <w:rFonts w:ascii="Times New Roman"/>
                <w:sz w:val="21"/>
              </w:rPr>
            </w:pPr>
            <w:r>
              <w:rPr>
                <w:rFonts w:ascii="Times New Roman"/>
                <w:sz w:val="21"/>
              </w:rPr>
              <w:t>24,193</w:t>
            </w:r>
          </w:p>
        </w:tc>
        <w:tc>
          <w:tcPr>
            <w:tcW w:w="1464" w:type="dxa"/>
          </w:tcPr>
          <w:p>
            <w:pPr>
              <w:pStyle w:val="TableParagraph"/>
              <w:spacing w:line="238" w:lineRule="exact"/>
              <w:ind w:left="674"/>
              <w:rPr>
                <w:rFonts w:ascii="Times New Roman"/>
                <w:sz w:val="21"/>
              </w:rPr>
            </w:pPr>
            <w:r>
              <w:rPr>
                <w:rFonts w:ascii="Times New Roman"/>
                <w:sz w:val="21"/>
              </w:rPr>
              <w:t>756,164</w:t>
            </w:r>
          </w:p>
        </w:tc>
      </w:tr>
      <w:tr>
        <w:trPr>
          <w:trHeight w:val="340" w:hRule="atLeast"/>
        </w:trPr>
        <w:tc>
          <w:tcPr>
            <w:tcW w:w="8824" w:type="dxa"/>
            <w:gridSpan w:val="7"/>
          </w:tcPr>
          <w:p>
            <w:pPr>
              <w:pStyle w:val="TableParagraph"/>
              <w:spacing w:before="34"/>
              <w:ind w:right="93"/>
              <w:jc w:val="right"/>
              <w:rPr>
                <w:sz w:val="21"/>
              </w:rPr>
            </w:pPr>
            <w:r>
              <w:rPr>
                <w:sz w:val="21"/>
              </w:rPr>
              <w:t>二、累计摊销</w:t>
            </w:r>
          </w:p>
        </w:tc>
      </w:tr>
      <w:tr>
        <w:trPr>
          <w:trHeight w:val="340" w:hRule="atLeast"/>
        </w:trPr>
        <w:tc>
          <w:tcPr>
            <w:tcW w:w="1841" w:type="dxa"/>
          </w:tcPr>
          <w:p>
            <w:pPr>
              <w:pStyle w:val="TableParagraph"/>
              <w:spacing w:before="34"/>
              <w:ind w:right="144"/>
              <w:jc w:val="right"/>
              <w:rPr>
                <w:sz w:val="21"/>
              </w:rPr>
            </w:pPr>
            <w:r>
              <w:rPr>
                <w:sz w:val="21"/>
              </w:rPr>
              <w:t>1.期初余额 </w:t>
            </w:r>
          </w:p>
        </w:tc>
        <w:tc>
          <w:tcPr>
            <w:tcW w:w="1239" w:type="dxa"/>
          </w:tcPr>
          <w:p>
            <w:pPr>
              <w:pStyle w:val="TableParagraph"/>
              <w:spacing w:before="43"/>
              <w:ind w:right="96"/>
              <w:jc w:val="right"/>
              <w:rPr>
                <w:rFonts w:ascii="Times New Roman"/>
                <w:sz w:val="21"/>
              </w:rPr>
            </w:pPr>
            <w:r>
              <w:rPr>
                <w:rFonts w:ascii="Times New Roman"/>
                <w:sz w:val="21"/>
              </w:rPr>
              <w:t>-53,503</w:t>
            </w:r>
          </w:p>
        </w:tc>
        <w:tc>
          <w:tcPr>
            <w:tcW w:w="1241" w:type="dxa"/>
          </w:tcPr>
          <w:p>
            <w:pPr>
              <w:pStyle w:val="TableParagraph"/>
              <w:spacing w:before="43"/>
              <w:ind w:right="99"/>
              <w:jc w:val="right"/>
              <w:rPr>
                <w:rFonts w:ascii="Times New Roman"/>
                <w:sz w:val="21"/>
              </w:rPr>
            </w:pPr>
            <w:r>
              <w:rPr>
                <w:rFonts w:ascii="Times New Roman"/>
                <w:sz w:val="21"/>
              </w:rPr>
              <w:t>-21,453</w:t>
            </w:r>
          </w:p>
        </w:tc>
        <w:tc>
          <w:tcPr>
            <w:tcW w:w="1198" w:type="dxa"/>
          </w:tcPr>
          <w:p>
            <w:pPr>
              <w:pStyle w:val="TableParagraph"/>
              <w:rPr>
                <w:rFonts w:ascii="Times New Roman"/>
                <w:sz w:val="20"/>
              </w:rPr>
            </w:pPr>
          </w:p>
        </w:tc>
        <w:tc>
          <w:tcPr>
            <w:tcW w:w="974" w:type="dxa"/>
          </w:tcPr>
          <w:p>
            <w:pPr>
              <w:pStyle w:val="TableParagraph"/>
              <w:spacing w:before="43"/>
              <w:ind w:left="112"/>
              <w:rPr>
                <w:rFonts w:ascii="Times New Roman"/>
                <w:sz w:val="21"/>
              </w:rPr>
            </w:pPr>
            <w:r>
              <w:rPr>
                <w:rFonts w:ascii="Times New Roman"/>
                <w:sz w:val="21"/>
              </w:rPr>
              <w:t>-163,413</w:t>
            </w:r>
          </w:p>
        </w:tc>
        <w:tc>
          <w:tcPr>
            <w:tcW w:w="867" w:type="dxa"/>
          </w:tcPr>
          <w:p>
            <w:pPr>
              <w:pStyle w:val="TableParagraph"/>
              <w:spacing w:before="43"/>
              <w:ind w:right="99"/>
              <w:jc w:val="right"/>
              <w:rPr>
                <w:rFonts w:ascii="Times New Roman"/>
                <w:sz w:val="21"/>
              </w:rPr>
            </w:pPr>
            <w:r>
              <w:rPr>
                <w:rFonts w:ascii="Times New Roman"/>
                <w:sz w:val="21"/>
              </w:rPr>
              <w:t>-4,564</w:t>
            </w:r>
          </w:p>
        </w:tc>
        <w:tc>
          <w:tcPr>
            <w:tcW w:w="1464" w:type="dxa"/>
          </w:tcPr>
          <w:p>
            <w:pPr>
              <w:pStyle w:val="TableParagraph"/>
              <w:spacing w:before="43"/>
              <w:ind w:left="602"/>
              <w:rPr>
                <w:rFonts w:ascii="Times New Roman"/>
                <w:sz w:val="21"/>
              </w:rPr>
            </w:pPr>
            <w:r>
              <w:rPr>
                <w:rFonts w:ascii="Times New Roman"/>
                <w:sz w:val="21"/>
              </w:rPr>
              <w:t>-242,933</w:t>
            </w:r>
          </w:p>
        </w:tc>
      </w:tr>
      <w:tr>
        <w:trPr>
          <w:trHeight w:val="544" w:hRule="atLeast"/>
        </w:trPr>
        <w:tc>
          <w:tcPr>
            <w:tcW w:w="1841" w:type="dxa"/>
          </w:tcPr>
          <w:p>
            <w:pPr>
              <w:pStyle w:val="TableParagraph"/>
              <w:spacing w:before="1"/>
              <w:ind w:left="527"/>
              <w:rPr>
                <w:sz w:val="21"/>
              </w:rPr>
            </w:pPr>
            <w:r>
              <w:rPr>
                <w:sz w:val="21"/>
              </w:rPr>
              <w:t>2.本期增加</w:t>
            </w:r>
          </w:p>
          <w:p>
            <w:pPr>
              <w:pStyle w:val="TableParagraph"/>
              <w:spacing w:line="250" w:lineRule="exact" w:before="4"/>
              <w:ind w:left="107"/>
              <w:rPr>
                <w:sz w:val="21"/>
              </w:rPr>
            </w:pPr>
            <w:r>
              <w:rPr>
                <w:sz w:val="21"/>
              </w:rPr>
              <w:t>金额 </w:t>
            </w:r>
          </w:p>
        </w:tc>
        <w:tc>
          <w:tcPr>
            <w:tcW w:w="1239" w:type="dxa"/>
          </w:tcPr>
          <w:p>
            <w:pPr>
              <w:pStyle w:val="TableParagraph"/>
              <w:spacing w:before="144"/>
              <w:ind w:right="96"/>
              <w:jc w:val="right"/>
              <w:rPr>
                <w:rFonts w:ascii="Times New Roman"/>
                <w:sz w:val="21"/>
              </w:rPr>
            </w:pPr>
            <w:r>
              <w:rPr>
                <w:rFonts w:ascii="Times New Roman"/>
                <w:sz w:val="21"/>
              </w:rPr>
              <w:t>-9,876</w:t>
            </w:r>
          </w:p>
        </w:tc>
        <w:tc>
          <w:tcPr>
            <w:tcW w:w="1241" w:type="dxa"/>
          </w:tcPr>
          <w:p>
            <w:pPr>
              <w:pStyle w:val="TableParagraph"/>
              <w:spacing w:before="144"/>
              <w:ind w:right="99"/>
              <w:jc w:val="right"/>
              <w:rPr>
                <w:rFonts w:ascii="Times New Roman"/>
                <w:sz w:val="21"/>
              </w:rPr>
            </w:pPr>
            <w:r>
              <w:rPr>
                <w:rFonts w:ascii="Times New Roman"/>
                <w:sz w:val="21"/>
              </w:rPr>
              <w:t>-19,713</w:t>
            </w:r>
          </w:p>
        </w:tc>
        <w:tc>
          <w:tcPr>
            <w:tcW w:w="1198" w:type="dxa"/>
          </w:tcPr>
          <w:p>
            <w:pPr>
              <w:pStyle w:val="TableParagraph"/>
              <w:rPr>
                <w:rFonts w:ascii="Times New Roman"/>
                <w:sz w:val="20"/>
              </w:rPr>
            </w:pPr>
          </w:p>
        </w:tc>
        <w:tc>
          <w:tcPr>
            <w:tcW w:w="974" w:type="dxa"/>
          </w:tcPr>
          <w:p>
            <w:pPr>
              <w:pStyle w:val="TableParagraph"/>
              <w:spacing w:before="144"/>
              <w:ind w:left="217"/>
              <w:rPr>
                <w:rFonts w:ascii="Times New Roman"/>
                <w:sz w:val="21"/>
              </w:rPr>
            </w:pPr>
            <w:r>
              <w:rPr>
                <w:rFonts w:ascii="Times New Roman"/>
                <w:sz w:val="21"/>
              </w:rPr>
              <w:t>-36,112</w:t>
            </w:r>
          </w:p>
        </w:tc>
        <w:tc>
          <w:tcPr>
            <w:tcW w:w="867" w:type="dxa"/>
          </w:tcPr>
          <w:p>
            <w:pPr>
              <w:pStyle w:val="TableParagraph"/>
              <w:spacing w:before="144"/>
              <w:ind w:right="99"/>
              <w:jc w:val="right"/>
              <w:rPr>
                <w:rFonts w:ascii="Times New Roman"/>
                <w:sz w:val="21"/>
              </w:rPr>
            </w:pPr>
            <w:r>
              <w:rPr>
                <w:rFonts w:ascii="Times New Roman"/>
                <w:sz w:val="21"/>
              </w:rPr>
              <w:t>-3,097</w:t>
            </w:r>
          </w:p>
        </w:tc>
        <w:tc>
          <w:tcPr>
            <w:tcW w:w="1464" w:type="dxa"/>
          </w:tcPr>
          <w:p>
            <w:pPr>
              <w:pStyle w:val="TableParagraph"/>
              <w:spacing w:before="144"/>
              <w:ind w:left="707"/>
              <w:rPr>
                <w:rFonts w:ascii="Times New Roman"/>
                <w:sz w:val="21"/>
              </w:rPr>
            </w:pPr>
            <w:r>
              <w:rPr>
                <w:rFonts w:ascii="Times New Roman"/>
                <w:sz w:val="21"/>
              </w:rPr>
              <w:t>-68,798</w:t>
            </w:r>
          </w:p>
        </w:tc>
      </w:tr>
      <w:tr>
        <w:trPr>
          <w:trHeight w:val="340" w:hRule="atLeast"/>
        </w:trPr>
        <w:tc>
          <w:tcPr>
            <w:tcW w:w="1841" w:type="dxa"/>
          </w:tcPr>
          <w:p>
            <w:pPr>
              <w:pStyle w:val="TableParagraph"/>
              <w:spacing w:before="34"/>
              <w:ind w:right="38"/>
              <w:jc w:val="right"/>
              <w:rPr>
                <w:sz w:val="21"/>
              </w:rPr>
            </w:pPr>
            <w:r>
              <w:rPr>
                <w:sz w:val="21"/>
              </w:rPr>
              <w:t>（1）计提 </w:t>
            </w:r>
          </w:p>
        </w:tc>
        <w:tc>
          <w:tcPr>
            <w:tcW w:w="1239" w:type="dxa"/>
          </w:tcPr>
          <w:p>
            <w:pPr>
              <w:pStyle w:val="TableParagraph"/>
              <w:spacing w:before="43"/>
              <w:ind w:right="96"/>
              <w:jc w:val="right"/>
              <w:rPr>
                <w:rFonts w:ascii="Times New Roman"/>
                <w:sz w:val="21"/>
              </w:rPr>
            </w:pPr>
            <w:r>
              <w:rPr>
                <w:rFonts w:ascii="Times New Roman"/>
                <w:sz w:val="21"/>
              </w:rPr>
              <w:t>-9,876</w:t>
            </w:r>
          </w:p>
        </w:tc>
        <w:tc>
          <w:tcPr>
            <w:tcW w:w="1241" w:type="dxa"/>
          </w:tcPr>
          <w:p>
            <w:pPr>
              <w:pStyle w:val="TableParagraph"/>
              <w:spacing w:before="43"/>
              <w:ind w:right="99"/>
              <w:jc w:val="right"/>
              <w:rPr>
                <w:rFonts w:ascii="Times New Roman"/>
                <w:sz w:val="21"/>
              </w:rPr>
            </w:pPr>
            <w:r>
              <w:rPr>
                <w:rFonts w:ascii="Times New Roman"/>
                <w:sz w:val="21"/>
              </w:rPr>
              <w:t>-19,713</w:t>
            </w:r>
          </w:p>
        </w:tc>
        <w:tc>
          <w:tcPr>
            <w:tcW w:w="1198" w:type="dxa"/>
          </w:tcPr>
          <w:p>
            <w:pPr>
              <w:pStyle w:val="TableParagraph"/>
              <w:rPr>
                <w:rFonts w:ascii="Times New Roman"/>
                <w:sz w:val="20"/>
              </w:rPr>
            </w:pPr>
          </w:p>
        </w:tc>
        <w:tc>
          <w:tcPr>
            <w:tcW w:w="974" w:type="dxa"/>
          </w:tcPr>
          <w:p>
            <w:pPr>
              <w:pStyle w:val="TableParagraph"/>
              <w:spacing w:before="43"/>
              <w:ind w:left="217"/>
              <w:rPr>
                <w:rFonts w:ascii="Times New Roman"/>
                <w:sz w:val="21"/>
              </w:rPr>
            </w:pPr>
            <w:r>
              <w:rPr>
                <w:rFonts w:ascii="Times New Roman"/>
                <w:sz w:val="21"/>
              </w:rPr>
              <w:t>-36,112</w:t>
            </w:r>
          </w:p>
        </w:tc>
        <w:tc>
          <w:tcPr>
            <w:tcW w:w="867" w:type="dxa"/>
          </w:tcPr>
          <w:p>
            <w:pPr>
              <w:pStyle w:val="TableParagraph"/>
              <w:spacing w:before="43"/>
              <w:ind w:right="99"/>
              <w:jc w:val="right"/>
              <w:rPr>
                <w:rFonts w:ascii="Times New Roman"/>
                <w:sz w:val="21"/>
              </w:rPr>
            </w:pPr>
            <w:r>
              <w:rPr>
                <w:rFonts w:ascii="Times New Roman"/>
                <w:sz w:val="21"/>
              </w:rPr>
              <w:t>-3,097</w:t>
            </w:r>
          </w:p>
        </w:tc>
        <w:tc>
          <w:tcPr>
            <w:tcW w:w="1464" w:type="dxa"/>
          </w:tcPr>
          <w:p>
            <w:pPr>
              <w:pStyle w:val="TableParagraph"/>
              <w:spacing w:before="43"/>
              <w:ind w:left="707"/>
              <w:rPr>
                <w:rFonts w:ascii="Times New Roman"/>
                <w:sz w:val="21"/>
              </w:rPr>
            </w:pPr>
            <w:r>
              <w:rPr>
                <w:rFonts w:ascii="Times New Roman"/>
                <w:sz w:val="21"/>
              </w:rPr>
              <w:t>-68,798</w:t>
            </w:r>
          </w:p>
        </w:tc>
      </w:tr>
      <w:tr>
        <w:trPr>
          <w:trHeight w:val="270" w:hRule="atLeast"/>
        </w:trPr>
        <w:tc>
          <w:tcPr>
            <w:tcW w:w="1841" w:type="dxa"/>
          </w:tcPr>
          <w:p>
            <w:pPr>
              <w:pStyle w:val="TableParagraph"/>
              <w:spacing w:line="250" w:lineRule="exact" w:before="1"/>
              <w:ind w:right="34"/>
              <w:jc w:val="center"/>
              <w:rPr>
                <w:sz w:val="21"/>
              </w:rPr>
            </w:pPr>
            <w:r>
              <w:rPr>
                <w:w w:val="100"/>
                <w:sz w:val="21"/>
              </w:rPr>
              <w:t> </w:t>
            </w:r>
            <w:r>
              <w:rPr>
                <w:sz w:val="21"/>
              </w:rPr>
              <w:t> </w:t>
            </w:r>
            <w:r>
              <w:rPr>
                <w:w w:val="100"/>
                <w:sz w:val="21"/>
              </w:rPr>
              <w:t> </w:t>
            </w:r>
          </w:p>
        </w:tc>
        <w:tc>
          <w:tcPr>
            <w:tcW w:w="1239" w:type="dxa"/>
          </w:tcPr>
          <w:p>
            <w:pPr>
              <w:pStyle w:val="TableParagraph"/>
              <w:spacing w:line="248" w:lineRule="exact"/>
              <w:ind w:right="-15"/>
              <w:jc w:val="right"/>
              <w:rPr>
                <w:sz w:val="21"/>
              </w:rPr>
            </w:pPr>
            <w:r>
              <w:rPr>
                <w:w w:val="100"/>
                <w:sz w:val="21"/>
              </w:rPr>
              <w:t> </w:t>
            </w:r>
          </w:p>
        </w:tc>
        <w:tc>
          <w:tcPr>
            <w:tcW w:w="1241" w:type="dxa"/>
          </w:tcPr>
          <w:p>
            <w:pPr>
              <w:pStyle w:val="TableParagraph"/>
              <w:spacing w:line="248" w:lineRule="exact"/>
              <w:ind w:right="-15"/>
              <w:jc w:val="right"/>
              <w:rPr>
                <w:sz w:val="21"/>
              </w:rPr>
            </w:pPr>
            <w:r>
              <w:rPr>
                <w:w w:val="100"/>
                <w:sz w:val="21"/>
              </w:rPr>
              <w:t> </w:t>
            </w:r>
          </w:p>
        </w:tc>
        <w:tc>
          <w:tcPr>
            <w:tcW w:w="1198" w:type="dxa"/>
          </w:tcPr>
          <w:p>
            <w:pPr>
              <w:pStyle w:val="TableParagraph"/>
              <w:spacing w:line="248" w:lineRule="exact"/>
              <w:ind w:right="-15"/>
              <w:jc w:val="right"/>
              <w:rPr>
                <w:sz w:val="21"/>
              </w:rPr>
            </w:pPr>
            <w:r>
              <w:rPr>
                <w:w w:val="100"/>
                <w:sz w:val="21"/>
              </w:rPr>
              <w:t> </w:t>
            </w:r>
          </w:p>
        </w:tc>
        <w:tc>
          <w:tcPr>
            <w:tcW w:w="974" w:type="dxa"/>
          </w:tcPr>
          <w:p>
            <w:pPr>
              <w:pStyle w:val="TableParagraph"/>
              <w:spacing w:line="248" w:lineRule="exact"/>
              <w:ind w:right="-15"/>
              <w:jc w:val="right"/>
              <w:rPr>
                <w:sz w:val="21"/>
              </w:rPr>
            </w:pPr>
            <w:r>
              <w:rPr>
                <w:w w:val="100"/>
                <w:sz w:val="21"/>
              </w:rPr>
              <w:t> </w:t>
            </w:r>
          </w:p>
        </w:tc>
        <w:tc>
          <w:tcPr>
            <w:tcW w:w="867" w:type="dxa"/>
          </w:tcPr>
          <w:p>
            <w:pPr>
              <w:pStyle w:val="TableParagraph"/>
              <w:rPr>
                <w:rFonts w:ascii="Times New Roman"/>
                <w:sz w:val="20"/>
              </w:rPr>
            </w:pPr>
          </w:p>
        </w:tc>
        <w:tc>
          <w:tcPr>
            <w:tcW w:w="1464" w:type="dxa"/>
          </w:tcPr>
          <w:p>
            <w:pPr>
              <w:pStyle w:val="TableParagraph"/>
              <w:spacing w:line="248" w:lineRule="exact"/>
              <w:ind w:right="-15"/>
              <w:jc w:val="right"/>
              <w:rPr>
                <w:sz w:val="21"/>
              </w:rPr>
            </w:pPr>
            <w:r>
              <w:rPr>
                <w:w w:val="100"/>
                <w:sz w:val="21"/>
              </w:rPr>
              <w:t> </w:t>
            </w:r>
          </w:p>
        </w:tc>
      </w:tr>
      <w:tr>
        <w:trPr>
          <w:trHeight w:val="273" w:hRule="atLeast"/>
        </w:trPr>
        <w:tc>
          <w:tcPr>
            <w:tcW w:w="1841" w:type="dxa"/>
          </w:tcPr>
          <w:p>
            <w:pPr>
              <w:pStyle w:val="TableParagraph"/>
              <w:spacing w:line="250" w:lineRule="exact" w:before="3"/>
              <w:ind w:right="34"/>
              <w:jc w:val="center"/>
              <w:rPr>
                <w:sz w:val="21"/>
              </w:rPr>
            </w:pPr>
            <w:r>
              <w:rPr>
                <w:w w:val="100"/>
                <w:sz w:val="21"/>
              </w:rPr>
              <w:t> </w:t>
            </w:r>
            <w:r>
              <w:rPr>
                <w:sz w:val="21"/>
              </w:rPr>
              <w:t> </w:t>
            </w:r>
            <w:r>
              <w:rPr>
                <w:w w:val="100"/>
                <w:sz w:val="21"/>
              </w:rPr>
              <w:t> </w:t>
            </w:r>
          </w:p>
        </w:tc>
        <w:tc>
          <w:tcPr>
            <w:tcW w:w="1239" w:type="dxa"/>
          </w:tcPr>
          <w:p>
            <w:pPr>
              <w:pStyle w:val="TableParagraph"/>
              <w:spacing w:line="251" w:lineRule="exact"/>
              <w:ind w:right="-15"/>
              <w:jc w:val="right"/>
              <w:rPr>
                <w:sz w:val="21"/>
              </w:rPr>
            </w:pPr>
            <w:r>
              <w:rPr>
                <w:w w:val="100"/>
                <w:sz w:val="21"/>
              </w:rPr>
              <w:t> </w:t>
            </w:r>
          </w:p>
        </w:tc>
        <w:tc>
          <w:tcPr>
            <w:tcW w:w="1241" w:type="dxa"/>
          </w:tcPr>
          <w:p>
            <w:pPr>
              <w:pStyle w:val="TableParagraph"/>
              <w:spacing w:line="251" w:lineRule="exact"/>
              <w:ind w:right="-15"/>
              <w:jc w:val="right"/>
              <w:rPr>
                <w:sz w:val="21"/>
              </w:rPr>
            </w:pPr>
            <w:r>
              <w:rPr>
                <w:w w:val="100"/>
                <w:sz w:val="21"/>
              </w:rPr>
              <w:t> </w:t>
            </w:r>
          </w:p>
        </w:tc>
        <w:tc>
          <w:tcPr>
            <w:tcW w:w="1198" w:type="dxa"/>
          </w:tcPr>
          <w:p>
            <w:pPr>
              <w:pStyle w:val="TableParagraph"/>
              <w:spacing w:line="251" w:lineRule="exact"/>
              <w:ind w:right="-15"/>
              <w:jc w:val="right"/>
              <w:rPr>
                <w:sz w:val="21"/>
              </w:rPr>
            </w:pPr>
            <w:r>
              <w:rPr>
                <w:w w:val="100"/>
                <w:sz w:val="21"/>
              </w:rPr>
              <w:t> </w:t>
            </w:r>
          </w:p>
        </w:tc>
        <w:tc>
          <w:tcPr>
            <w:tcW w:w="974" w:type="dxa"/>
          </w:tcPr>
          <w:p>
            <w:pPr>
              <w:pStyle w:val="TableParagraph"/>
              <w:spacing w:line="251" w:lineRule="exact"/>
              <w:ind w:right="-15"/>
              <w:jc w:val="right"/>
              <w:rPr>
                <w:sz w:val="21"/>
              </w:rPr>
            </w:pPr>
            <w:r>
              <w:rPr>
                <w:w w:val="100"/>
                <w:sz w:val="21"/>
              </w:rPr>
              <w:t> </w:t>
            </w:r>
          </w:p>
        </w:tc>
        <w:tc>
          <w:tcPr>
            <w:tcW w:w="867" w:type="dxa"/>
          </w:tcPr>
          <w:p>
            <w:pPr>
              <w:pStyle w:val="TableParagraph"/>
              <w:rPr>
                <w:rFonts w:ascii="Times New Roman"/>
                <w:sz w:val="20"/>
              </w:rPr>
            </w:pPr>
          </w:p>
        </w:tc>
        <w:tc>
          <w:tcPr>
            <w:tcW w:w="1464" w:type="dxa"/>
          </w:tcPr>
          <w:p>
            <w:pPr>
              <w:pStyle w:val="TableParagraph"/>
              <w:spacing w:line="251" w:lineRule="exact"/>
              <w:ind w:right="-15"/>
              <w:jc w:val="right"/>
              <w:rPr>
                <w:sz w:val="21"/>
              </w:rPr>
            </w:pPr>
            <w:r>
              <w:rPr>
                <w:w w:val="100"/>
                <w:sz w:val="21"/>
              </w:rPr>
              <w:t> </w:t>
            </w:r>
          </w:p>
        </w:tc>
      </w:tr>
    </w:tbl>
    <w:p>
      <w:pPr>
        <w:spacing w:after="0" w:line="251" w:lineRule="exact"/>
        <w:jc w:val="right"/>
        <w:rPr>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1"/>
        <w:gridCol w:w="1239"/>
        <w:gridCol w:w="1241"/>
        <w:gridCol w:w="1198"/>
        <w:gridCol w:w="974"/>
        <w:gridCol w:w="867"/>
        <w:gridCol w:w="1464"/>
      </w:tblGrid>
      <w:tr>
        <w:trPr>
          <w:trHeight w:val="547" w:hRule="atLeast"/>
        </w:trPr>
        <w:tc>
          <w:tcPr>
            <w:tcW w:w="1841" w:type="dxa"/>
          </w:tcPr>
          <w:p>
            <w:pPr>
              <w:pStyle w:val="TableParagraph"/>
              <w:spacing w:line="270" w:lineRule="atLeast"/>
              <w:ind w:left="107" w:right="247" w:firstLine="419"/>
              <w:rPr>
                <w:sz w:val="21"/>
              </w:rPr>
            </w:pPr>
            <w:r>
              <w:rPr>
                <w:sz w:val="21"/>
              </w:rPr>
              <w:t>3.本期减少金额 </w:t>
            </w:r>
          </w:p>
        </w:tc>
        <w:tc>
          <w:tcPr>
            <w:tcW w:w="1239" w:type="dxa"/>
          </w:tcPr>
          <w:p>
            <w:pPr>
              <w:pStyle w:val="TableParagraph"/>
              <w:spacing w:line="237" w:lineRule="exact"/>
              <w:ind w:right="96"/>
              <w:jc w:val="right"/>
              <w:rPr>
                <w:rFonts w:ascii="Times New Roman"/>
                <w:sz w:val="21"/>
              </w:rPr>
            </w:pPr>
            <w:r>
              <w:rPr>
                <w:rFonts w:ascii="Times New Roman"/>
                <w:sz w:val="21"/>
              </w:rPr>
              <w:t>-921</w:t>
            </w:r>
          </w:p>
        </w:tc>
        <w:tc>
          <w:tcPr>
            <w:tcW w:w="1241" w:type="dxa"/>
          </w:tcPr>
          <w:p>
            <w:pPr>
              <w:pStyle w:val="TableParagraph"/>
              <w:spacing w:line="237" w:lineRule="exact"/>
              <w:ind w:right="99"/>
              <w:jc w:val="right"/>
              <w:rPr>
                <w:rFonts w:ascii="Times New Roman"/>
                <w:sz w:val="21"/>
              </w:rPr>
            </w:pPr>
            <w:r>
              <w:rPr>
                <w:rFonts w:ascii="Times New Roman"/>
                <w:sz w:val="21"/>
              </w:rPr>
              <w:t>-264</w:t>
            </w:r>
          </w:p>
        </w:tc>
        <w:tc>
          <w:tcPr>
            <w:tcW w:w="1198" w:type="dxa"/>
          </w:tcPr>
          <w:p>
            <w:pPr>
              <w:pStyle w:val="TableParagraph"/>
              <w:rPr>
                <w:rFonts w:ascii="Times New Roman"/>
                <w:sz w:val="20"/>
              </w:rPr>
            </w:pPr>
          </w:p>
        </w:tc>
        <w:tc>
          <w:tcPr>
            <w:tcW w:w="974" w:type="dxa"/>
          </w:tcPr>
          <w:p>
            <w:pPr>
              <w:pStyle w:val="TableParagraph"/>
              <w:spacing w:line="237" w:lineRule="exact"/>
              <w:ind w:left="323"/>
              <w:rPr>
                <w:rFonts w:ascii="Times New Roman"/>
                <w:sz w:val="21"/>
              </w:rPr>
            </w:pPr>
            <w:r>
              <w:rPr>
                <w:rFonts w:ascii="Times New Roman"/>
                <w:sz w:val="21"/>
              </w:rPr>
              <w:t>-2,928</w:t>
            </w:r>
          </w:p>
        </w:tc>
        <w:tc>
          <w:tcPr>
            <w:tcW w:w="867" w:type="dxa"/>
          </w:tcPr>
          <w:p>
            <w:pPr>
              <w:pStyle w:val="TableParagraph"/>
              <w:spacing w:line="237" w:lineRule="exact"/>
              <w:ind w:right="101"/>
              <w:jc w:val="right"/>
              <w:rPr>
                <w:rFonts w:ascii="Times New Roman"/>
                <w:sz w:val="21"/>
              </w:rPr>
            </w:pPr>
            <w:r>
              <w:rPr>
                <w:rFonts w:ascii="Times New Roman"/>
                <w:sz w:val="21"/>
              </w:rPr>
              <w:t>-15</w:t>
            </w:r>
          </w:p>
        </w:tc>
        <w:tc>
          <w:tcPr>
            <w:tcW w:w="1464" w:type="dxa"/>
          </w:tcPr>
          <w:p>
            <w:pPr>
              <w:pStyle w:val="TableParagraph"/>
              <w:spacing w:line="237" w:lineRule="exact"/>
              <w:ind w:left="813"/>
              <w:rPr>
                <w:rFonts w:ascii="Times New Roman"/>
                <w:sz w:val="21"/>
              </w:rPr>
            </w:pPr>
            <w:r>
              <w:rPr>
                <w:rFonts w:ascii="Times New Roman"/>
                <w:sz w:val="21"/>
              </w:rPr>
              <w:t>-4,128</w:t>
            </w:r>
          </w:p>
        </w:tc>
      </w:tr>
      <w:tr>
        <w:trPr>
          <w:trHeight w:val="337" w:hRule="atLeast"/>
        </w:trPr>
        <w:tc>
          <w:tcPr>
            <w:tcW w:w="1841" w:type="dxa"/>
          </w:tcPr>
          <w:p>
            <w:pPr>
              <w:pStyle w:val="TableParagraph"/>
              <w:spacing w:before="34"/>
              <w:ind w:right="144"/>
              <w:jc w:val="right"/>
              <w:rPr>
                <w:sz w:val="21"/>
              </w:rPr>
            </w:pPr>
            <w:r>
              <w:rPr>
                <w:w w:val="100"/>
                <w:sz w:val="21"/>
              </w:rPr>
              <w:t> </w:t>
            </w:r>
            <w:r>
              <w:rPr>
                <w:sz w:val="21"/>
              </w:rPr>
              <w:t>(1)处置 </w:t>
            </w:r>
          </w:p>
        </w:tc>
        <w:tc>
          <w:tcPr>
            <w:tcW w:w="1239" w:type="dxa"/>
          </w:tcPr>
          <w:p>
            <w:pPr>
              <w:pStyle w:val="TableParagraph"/>
              <w:spacing w:line="235" w:lineRule="exact"/>
              <w:ind w:right="95"/>
              <w:jc w:val="right"/>
              <w:rPr>
                <w:rFonts w:ascii="Times New Roman"/>
                <w:sz w:val="21"/>
              </w:rPr>
            </w:pPr>
            <w:r>
              <w:rPr>
                <w:rFonts w:ascii="Times New Roman"/>
                <w:w w:val="100"/>
                <w:sz w:val="21"/>
              </w:rPr>
              <w:t>-</w:t>
            </w:r>
          </w:p>
        </w:tc>
        <w:tc>
          <w:tcPr>
            <w:tcW w:w="1241" w:type="dxa"/>
          </w:tcPr>
          <w:p>
            <w:pPr>
              <w:pStyle w:val="TableParagraph"/>
              <w:spacing w:line="235" w:lineRule="exact"/>
              <w:ind w:right="98"/>
              <w:jc w:val="right"/>
              <w:rPr>
                <w:rFonts w:ascii="Times New Roman"/>
                <w:sz w:val="21"/>
              </w:rPr>
            </w:pPr>
            <w:r>
              <w:rPr>
                <w:rFonts w:ascii="Times New Roman"/>
                <w:w w:val="100"/>
                <w:sz w:val="21"/>
              </w:rPr>
              <w:t>-</w:t>
            </w:r>
          </w:p>
        </w:tc>
        <w:tc>
          <w:tcPr>
            <w:tcW w:w="1198" w:type="dxa"/>
          </w:tcPr>
          <w:p>
            <w:pPr>
              <w:pStyle w:val="TableParagraph"/>
              <w:rPr>
                <w:rFonts w:ascii="Times New Roman"/>
                <w:sz w:val="20"/>
              </w:rPr>
            </w:pPr>
          </w:p>
        </w:tc>
        <w:tc>
          <w:tcPr>
            <w:tcW w:w="974" w:type="dxa"/>
          </w:tcPr>
          <w:p>
            <w:pPr>
              <w:pStyle w:val="TableParagraph"/>
              <w:spacing w:line="235" w:lineRule="exact"/>
              <w:ind w:left="392"/>
              <w:rPr>
                <w:rFonts w:ascii="Times New Roman"/>
                <w:sz w:val="21"/>
              </w:rPr>
            </w:pPr>
            <w:r>
              <w:rPr>
                <w:rFonts w:ascii="Times New Roman"/>
                <w:sz w:val="21"/>
              </w:rPr>
              <w:t>4,261</w:t>
            </w:r>
          </w:p>
        </w:tc>
        <w:tc>
          <w:tcPr>
            <w:tcW w:w="867" w:type="dxa"/>
          </w:tcPr>
          <w:p>
            <w:pPr>
              <w:pStyle w:val="TableParagraph"/>
              <w:spacing w:line="235" w:lineRule="exact"/>
              <w:ind w:right="97"/>
              <w:jc w:val="right"/>
              <w:rPr>
                <w:rFonts w:ascii="Times New Roman"/>
                <w:sz w:val="21"/>
              </w:rPr>
            </w:pPr>
            <w:r>
              <w:rPr>
                <w:rFonts w:ascii="Times New Roman"/>
                <w:w w:val="100"/>
                <w:sz w:val="21"/>
              </w:rPr>
              <w:t>-</w:t>
            </w:r>
          </w:p>
        </w:tc>
        <w:tc>
          <w:tcPr>
            <w:tcW w:w="1464" w:type="dxa"/>
          </w:tcPr>
          <w:p>
            <w:pPr>
              <w:pStyle w:val="TableParagraph"/>
              <w:spacing w:line="235" w:lineRule="exact"/>
              <w:ind w:left="882"/>
              <w:rPr>
                <w:rFonts w:ascii="Times New Roman"/>
                <w:sz w:val="21"/>
              </w:rPr>
            </w:pPr>
            <w:r>
              <w:rPr>
                <w:rFonts w:ascii="Times New Roman"/>
                <w:sz w:val="21"/>
              </w:rPr>
              <w:t>4,261</w:t>
            </w:r>
          </w:p>
        </w:tc>
      </w:tr>
      <w:tr>
        <w:trPr>
          <w:trHeight w:val="544" w:hRule="atLeast"/>
        </w:trPr>
        <w:tc>
          <w:tcPr>
            <w:tcW w:w="1841" w:type="dxa"/>
          </w:tcPr>
          <w:p>
            <w:pPr>
              <w:pStyle w:val="TableParagraph"/>
              <w:spacing w:line="270" w:lineRule="atLeast"/>
              <w:ind w:left="107" w:right="247" w:firstLine="631"/>
              <w:rPr>
                <w:sz w:val="21"/>
              </w:rPr>
            </w:pPr>
            <w:r>
              <w:rPr>
                <w:spacing w:val="-1"/>
                <w:sz w:val="21"/>
              </w:rPr>
              <w:t>外币报表</w:t>
            </w:r>
            <w:r>
              <w:rPr>
                <w:sz w:val="21"/>
              </w:rPr>
              <w:t>折算差异 </w:t>
            </w:r>
          </w:p>
        </w:tc>
        <w:tc>
          <w:tcPr>
            <w:tcW w:w="1239" w:type="dxa"/>
          </w:tcPr>
          <w:p>
            <w:pPr>
              <w:pStyle w:val="TableParagraph"/>
              <w:spacing w:line="237" w:lineRule="exact"/>
              <w:ind w:right="96"/>
              <w:jc w:val="right"/>
              <w:rPr>
                <w:rFonts w:ascii="Times New Roman"/>
                <w:sz w:val="21"/>
              </w:rPr>
            </w:pPr>
            <w:r>
              <w:rPr>
                <w:rFonts w:ascii="Times New Roman"/>
                <w:sz w:val="21"/>
              </w:rPr>
              <w:t>-921</w:t>
            </w:r>
          </w:p>
        </w:tc>
        <w:tc>
          <w:tcPr>
            <w:tcW w:w="1241" w:type="dxa"/>
          </w:tcPr>
          <w:p>
            <w:pPr>
              <w:pStyle w:val="TableParagraph"/>
              <w:spacing w:line="237" w:lineRule="exact"/>
              <w:ind w:right="99"/>
              <w:jc w:val="right"/>
              <w:rPr>
                <w:rFonts w:ascii="Times New Roman"/>
                <w:sz w:val="21"/>
              </w:rPr>
            </w:pPr>
            <w:r>
              <w:rPr>
                <w:rFonts w:ascii="Times New Roman"/>
                <w:sz w:val="21"/>
              </w:rPr>
              <w:t>-264</w:t>
            </w:r>
          </w:p>
        </w:tc>
        <w:tc>
          <w:tcPr>
            <w:tcW w:w="1198" w:type="dxa"/>
          </w:tcPr>
          <w:p>
            <w:pPr>
              <w:pStyle w:val="TableParagraph"/>
              <w:spacing w:line="251" w:lineRule="exact"/>
              <w:ind w:right="-15"/>
              <w:jc w:val="right"/>
              <w:rPr>
                <w:sz w:val="21"/>
              </w:rPr>
            </w:pPr>
            <w:r>
              <w:rPr>
                <w:w w:val="100"/>
                <w:sz w:val="21"/>
              </w:rPr>
              <w:t> </w:t>
            </w:r>
          </w:p>
        </w:tc>
        <w:tc>
          <w:tcPr>
            <w:tcW w:w="974" w:type="dxa"/>
          </w:tcPr>
          <w:p>
            <w:pPr>
              <w:pStyle w:val="TableParagraph"/>
              <w:spacing w:line="237" w:lineRule="exact"/>
              <w:ind w:left="323"/>
              <w:rPr>
                <w:rFonts w:ascii="Times New Roman"/>
                <w:sz w:val="21"/>
              </w:rPr>
            </w:pPr>
            <w:r>
              <w:rPr>
                <w:rFonts w:ascii="Times New Roman"/>
                <w:sz w:val="21"/>
              </w:rPr>
              <w:t>-7,189</w:t>
            </w:r>
          </w:p>
        </w:tc>
        <w:tc>
          <w:tcPr>
            <w:tcW w:w="867" w:type="dxa"/>
          </w:tcPr>
          <w:p>
            <w:pPr>
              <w:pStyle w:val="TableParagraph"/>
              <w:spacing w:line="237" w:lineRule="exact"/>
              <w:ind w:right="101"/>
              <w:jc w:val="right"/>
              <w:rPr>
                <w:rFonts w:ascii="Times New Roman"/>
                <w:sz w:val="21"/>
              </w:rPr>
            </w:pPr>
            <w:r>
              <w:rPr>
                <w:rFonts w:ascii="Times New Roman"/>
                <w:sz w:val="21"/>
              </w:rPr>
              <w:t>-15</w:t>
            </w:r>
          </w:p>
        </w:tc>
        <w:tc>
          <w:tcPr>
            <w:tcW w:w="1464" w:type="dxa"/>
          </w:tcPr>
          <w:p>
            <w:pPr>
              <w:pStyle w:val="TableParagraph"/>
              <w:spacing w:line="237" w:lineRule="exact"/>
              <w:ind w:left="813"/>
              <w:rPr>
                <w:rFonts w:ascii="Times New Roman"/>
                <w:sz w:val="21"/>
              </w:rPr>
            </w:pPr>
            <w:r>
              <w:rPr>
                <w:rFonts w:ascii="Times New Roman"/>
                <w:sz w:val="21"/>
              </w:rPr>
              <w:t>-8,389</w:t>
            </w:r>
          </w:p>
        </w:tc>
      </w:tr>
      <w:tr>
        <w:trPr>
          <w:trHeight w:val="273" w:hRule="atLeast"/>
        </w:trPr>
        <w:tc>
          <w:tcPr>
            <w:tcW w:w="1841" w:type="dxa"/>
          </w:tcPr>
          <w:p>
            <w:pPr>
              <w:pStyle w:val="TableParagraph"/>
              <w:spacing w:line="250" w:lineRule="exact" w:before="3"/>
              <w:ind w:right="34"/>
              <w:jc w:val="center"/>
              <w:rPr>
                <w:sz w:val="21"/>
              </w:rPr>
            </w:pPr>
            <w:r>
              <w:rPr>
                <w:w w:val="100"/>
                <w:sz w:val="21"/>
              </w:rPr>
              <w:t> </w:t>
            </w:r>
            <w:r>
              <w:rPr>
                <w:sz w:val="21"/>
              </w:rPr>
              <w:t> </w:t>
            </w:r>
            <w:r>
              <w:rPr>
                <w:w w:val="100"/>
                <w:sz w:val="21"/>
              </w:rPr>
              <w:t> </w:t>
            </w:r>
          </w:p>
        </w:tc>
        <w:tc>
          <w:tcPr>
            <w:tcW w:w="1239" w:type="dxa"/>
          </w:tcPr>
          <w:p>
            <w:pPr>
              <w:pStyle w:val="TableParagraph"/>
              <w:spacing w:line="251" w:lineRule="exact"/>
              <w:ind w:right="-15"/>
              <w:jc w:val="right"/>
              <w:rPr>
                <w:sz w:val="21"/>
              </w:rPr>
            </w:pPr>
            <w:r>
              <w:rPr>
                <w:w w:val="100"/>
                <w:sz w:val="21"/>
              </w:rPr>
              <w:t> </w:t>
            </w:r>
          </w:p>
        </w:tc>
        <w:tc>
          <w:tcPr>
            <w:tcW w:w="1241" w:type="dxa"/>
          </w:tcPr>
          <w:p>
            <w:pPr>
              <w:pStyle w:val="TableParagraph"/>
              <w:spacing w:line="251" w:lineRule="exact"/>
              <w:ind w:right="-15"/>
              <w:jc w:val="right"/>
              <w:rPr>
                <w:sz w:val="21"/>
              </w:rPr>
            </w:pPr>
            <w:r>
              <w:rPr>
                <w:w w:val="100"/>
                <w:sz w:val="21"/>
              </w:rPr>
              <w:t> </w:t>
            </w:r>
          </w:p>
        </w:tc>
        <w:tc>
          <w:tcPr>
            <w:tcW w:w="1198" w:type="dxa"/>
          </w:tcPr>
          <w:p>
            <w:pPr>
              <w:pStyle w:val="TableParagraph"/>
              <w:spacing w:line="251" w:lineRule="exact"/>
              <w:ind w:right="-15"/>
              <w:jc w:val="right"/>
              <w:rPr>
                <w:sz w:val="21"/>
              </w:rPr>
            </w:pPr>
            <w:r>
              <w:rPr>
                <w:w w:val="100"/>
                <w:sz w:val="21"/>
              </w:rPr>
              <w:t> </w:t>
            </w:r>
          </w:p>
        </w:tc>
        <w:tc>
          <w:tcPr>
            <w:tcW w:w="974" w:type="dxa"/>
          </w:tcPr>
          <w:p>
            <w:pPr>
              <w:pStyle w:val="TableParagraph"/>
              <w:spacing w:line="251" w:lineRule="exact"/>
              <w:ind w:right="-15"/>
              <w:jc w:val="right"/>
              <w:rPr>
                <w:sz w:val="21"/>
              </w:rPr>
            </w:pPr>
            <w:r>
              <w:rPr>
                <w:w w:val="100"/>
                <w:sz w:val="21"/>
              </w:rPr>
              <w:t> </w:t>
            </w:r>
          </w:p>
        </w:tc>
        <w:tc>
          <w:tcPr>
            <w:tcW w:w="867" w:type="dxa"/>
          </w:tcPr>
          <w:p>
            <w:pPr>
              <w:pStyle w:val="TableParagraph"/>
              <w:rPr>
                <w:rFonts w:ascii="Times New Roman"/>
                <w:sz w:val="20"/>
              </w:rPr>
            </w:pPr>
          </w:p>
        </w:tc>
        <w:tc>
          <w:tcPr>
            <w:tcW w:w="1464" w:type="dxa"/>
          </w:tcPr>
          <w:p>
            <w:pPr>
              <w:pStyle w:val="TableParagraph"/>
              <w:spacing w:line="251" w:lineRule="exact"/>
              <w:ind w:right="-15"/>
              <w:jc w:val="right"/>
              <w:rPr>
                <w:sz w:val="21"/>
              </w:rPr>
            </w:pPr>
            <w:r>
              <w:rPr>
                <w:w w:val="100"/>
                <w:sz w:val="21"/>
              </w:rPr>
              <w:t> </w:t>
            </w:r>
          </w:p>
        </w:tc>
      </w:tr>
      <w:tr>
        <w:trPr>
          <w:trHeight w:val="340" w:hRule="atLeast"/>
        </w:trPr>
        <w:tc>
          <w:tcPr>
            <w:tcW w:w="1841" w:type="dxa"/>
          </w:tcPr>
          <w:p>
            <w:pPr>
              <w:pStyle w:val="TableParagraph"/>
              <w:spacing w:before="34"/>
              <w:ind w:right="144"/>
              <w:jc w:val="right"/>
              <w:rPr>
                <w:sz w:val="21"/>
              </w:rPr>
            </w:pPr>
            <w:r>
              <w:rPr>
                <w:sz w:val="21"/>
              </w:rPr>
              <w:t>4.期末余额 </w:t>
            </w:r>
          </w:p>
        </w:tc>
        <w:tc>
          <w:tcPr>
            <w:tcW w:w="1239" w:type="dxa"/>
          </w:tcPr>
          <w:p>
            <w:pPr>
              <w:pStyle w:val="TableParagraph"/>
              <w:spacing w:line="235" w:lineRule="exact"/>
              <w:ind w:right="96"/>
              <w:jc w:val="right"/>
              <w:rPr>
                <w:rFonts w:ascii="Times New Roman"/>
                <w:sz w:val="21"/>
              </w:rPr>
            </w:pPr>
            <w:r>
              <w:rPr>
                <w:rFonts w:ascii="Times New Roman"/>
                <w:sz w:val="21"/>
              </w:rPr>
              <w:t>-64,300</w:t>
            </w:r>
          </w:p>
        </w:tc>
        <w:tc>
          <w:tcPr>
            <w:tcW w:w="1241" w:type="dxa"/>
          </w:tcPr>
          <w:p>
            <w:pPr>
              <w:pStyle w:val="TableParagraph"/>
              <w:spacing w:line="235" w:lineRule="exact"/>
              <w:ind w:right="99"/>
              <w:jc w:val="right"/>
              <w:rPr>
                <w:rFonts w:ascii="Times New Roman"/>
                <w:sz w:val="21"/>
              </w:rPr>
            </w:pPr>
            <w:r>
              <w:rPr>
                <w:rFonts w:ascii="Times New Roman"/>
                <w:sz w:val="21"/>
              </w:rPr>
              <w:t>-41,430</w:t>
            </w:r>
          </w:p>
        </w:tc>
        <w:tc>
          <w:tcPr>
            <w:tcW w:w="1198" w:type="dxa"/>
          </w:tcPr>
          <w:p>
            <w:pPr>
              <w:pStyle w:val="TableParagraph"/>
              <w:rPr>
                <w:rFonts w:ascii="Times New Roman"/>
                <w:sz w:val="20"/>
              </w:rPr>
            </w:pPr>
          </w:p>
        </w:tc>
        <w:tc>
          <w:tcPr>
            <w:tcW w:w="974" w:type="dxa"/>
          </w:tcPr>
          <w:p>
            <w:pPr>
              <w:pStyle w:val="TableParagraph"/>
              <w:spacing w:before="43"/>
              <w:ind w:left="112"/>
              <w:rPr>
                <w:rFonts w:ascii="Times New Roman"/>
                <w:sz w:val="21"/>
              </w:rPr>
            </w:pPr>
            <w:r>
              <w:rPr>
                <w:rFonts w:ascii="Times New Roman"/>
                <w:sz w:val="21"/>
              </w:rPr>
              <w:t>-202,453</w:t>
            </w:r>
          </w:p>
        </w:tc>
        <w:tc>
          <w:tcPr>
            <w:tcW w:w="867" w:type="dxa"/>
          </w:tcPr>
          <w:p>
            <w:pPr>
              <w:pStyle w:val="TableParagraph"/>
              <w:spacing w:before="43"/>
              <w:ind w:right="99"/>
              <w:jc w:val="right"/>
              <w:rPr>
                <w:rFonts w:ascii="Times New Roman"/>
                <w:sz w:val="21"/>
              </w:rPr>
            </w:pPr>
            <w:r>
              <w:rPr>
                <w:rFonts w:ascii="Times New Roman"/>
                <w:sz w:val="21"/>
              </w:rPr>
              <w:t>-7,676</w:t>
            </w:r>
          </w:p>
        </w:tc>
        <w:tc>
          <w:tcPr>
            <w:tcW w:w="1464" w:type="dxa"/>
          </w:tcPr>
          <w:p>
            <w:pPr>
              <w:pStyle w:val="TableParagraph"/>
              <w:spacing w:line="235" w:lineRule="exact"/>
              <w:ind w:left="602"/>
              <w:rPr>
                <w:rFonts w:ascii="Times New Roman"/>
                <w:sz w:val="21"/>
              </w:rPr>
            </w:pPr>
            <w:r>
              <w:rPr>
                <w:rFonts w:ascii="Times New Roman"/>
                <w:sz w:val="21"/>
              </w:rPr>
              <w:t>-315,859</w:t>
            </w:r>
          </w:p>
        </w:tc>
      </w:tr>
      <w:tr>
        <w:trPr>
          <w:trHeight w:val="340" w:hRule="atLeast"/>
        </w:trPr>
        <w:tc>
          <w:tcPr>
            <w:tcW w:w="8824" w:type="dxa"/>
            <w:gridSpan w:val="7"/>
          </w:tcPr>
          <w:p>
            <w:pPr>
              <w:pStyle w:val="TableParagraph"/>
              <w:spacing w:before="34"/>
              <w:ind w:left="107"/>
              <w:rPr>
                <w:sz w:val="21"/>
              </w:rPr>
            </w:pPr>
            <w:r>
              <w:rPr>
                <w:sz w:val="21"/>
              </w:rPr>
              <w:t>三、减值准备</w:t>
            </w:r>
          </w:p>
        </w:tc>
      </w:tr>
      <w:tr>
        <w:trPr>
          <w:trHeight w:val="340" w:hRule="atLeast"/>
        </w:trPr>
        <w:tc>
          <w:tcPr>
            <w:tcW w:w="1841" w:type="dxa"/>
          </w:tcPr>
          <w:p>
            <w:pPr>
              <w:pStyle w:val="TableParagraph"/>
              <w:spacing w:before="34"/>
              <w:ind w:right="144"/>
              <w:jc w:val="right"/>
              <w:rPr>
                <w:sz w:val="21"/>
              </w:rPr>
            </w:pPr>
            <w:r>
              <w:rPr>
                <w:sz w:val="21"/>
              </w:rPr>
              <w:t>1.期初余额 </w:t>
            </w:r>
          </w:p>
        </w:tc>
        <w:tc>
          <w:tcPr>
            <w:tcW w:w="1239" w:type="dxa"/>
          </w:tcPr>
          <w:p>
            <w:pPr>
              <w:pStyle w:val="TableParagraph"/>
              <w:rPr>
                <w:rFonts w:ascii="Times New Roman"/>
                <w:sz w:val="20"/>
              </w:rPr>
            </w:pPr>
          </w:p>
        </w:tc>
        <w:tc>
          <w:tcPr>
            <w:tcW w:w="1241" w:type="dxa"/>
          </w:tcPr>
          <w:p>
            <w:pPr>
              <w:pStyle w:val="TableParagraph"/>
              <w:rPr>
                <w:rFonts w:ascii="Times New Roman"/>
                <w:sz w:val="20"/>
              </w:rPr>
            </w:pPr>
          </w:p>
        </w:tc>
        <w:tc>
          <w:tcPr>
            <w:tcW w:w="1198" w:type="dxa"/>
          </w:tcPr>
          <w:p>
            <w:pPr>
              <w:pStyle w:val="TableParagraph"/>
              <w:rPr>
                <w:rFonts w:ascii="Times New Roman"/>
                <w:sz w:val="20"/>
              </w:rPr>
            </w:pPr>
          </w:p>
        </w:tc>
        <w:tc>
          <w:tcPr>
            <w:tcW w:w="974" w:type="dxa"/>
          </w:tcPr>
          <w:p>
            <w:pPr>
              <w:pStyle w:val="TableParagraph"/>
              <w:rPr>
                <w:rFonts w:ascii="Times New Roman"/>
                <w:sz w:val="20"/>
              </w:rPr>
            </w:pPr>
          </w:p>
        </w:tc>
        <w:tc>
          <w:tcPr>
            <w:tcW w:w="867" w:type="dxa"/>
          </w:tcPr>
          <w:p>
            <w:pPr>
              <w:pStyle w:val="TableParagraph"/>
              <w:rPr>
                <w:rFonts w:ascii="Times New Roman"/>
                <w:sz w:val="20"/>
              </w:rPr>
            </w:pPr>
          </w:p>
        </w:tc>
        <w:tc>
          <w:tcPr>
            <w:tcW w:w="1464" w:type="dxa"/>
          </w:tcPr>
          <w:p>
            <w:pPr>
              <w:pStyle w:val="TableParagraph"/>
              <w:rPr>
                <w:rFonts w:ascii="Times New Roman"/>
                <w:sz w:val="20"/>
              </w:rPr>
            </w:pPr>
          </w:p>
        </w:tc>
      </w:tr>
      <w:tr>
        <w:trPr>
          <w:trHeight w:val="544" w:hRule="atLeast"/>
        </w:trPr>
        <w:tc>
          <w:tcPr>
            <w:tcW w:w="1841" w:type="dxa"/>
          </w:tcPr>
          <w:p>
            <w:pPr>
              <w:pStyle w:val="TableParagraph"/>
              <w:spacing w:before="1"/>
              <w:ind w:left="527"/>
              <w:rPr>
                <w:sz w:val="21"/>
              </w:rPr>
            </w:pPr>
            <w:r>
              <w:rPr>
                <w:sz w:val="21"/>
              </w:rPr>
              <w:t>2.本期增加</w:t>
            </w:r>
          </w:p>
          <w:p>
            <w:pPr>
              <w:pStyle w:val="TableParagraph"/>
              <w:spacing w:line="252" w:lineRule="exact" w:before="2"/>
              <w:ind w:left="107"/>
              <w:rPr>
                <w:sz w:val="21"/>
              </w:rPr>
            </w:pPr>
            <w:r>
              <w:rPr>
                <w:sz w:val="21"/>
              </w:rPr>
              <w:t>金额 </w:t>
            </w:r>
          </w:p>
        </w:tc>
        <w:tc>
          <w:tcPr>
            <w:tcW w:w="1239" w:type="dxa"/>
          </w:tcPr>
          <w:p>
            <w:pPr>
              <w:pStyle w:val="TableParagraph"/>
              <w:rPr>
                <w:rFonts w:ascii="Times New Roman"/>
                <w:sz w:val="20"/>
              </w:rPr>
            </w:pPr>
          </w:p>
        </w:tc>
        <w:tc>
          <w:tcPr>
            <w:tcW w:w="1241" w:type="dxa"/>
          </w:tcPr>
          <w:p>
            <w:pPr>
              <w:pStyle w:val="TableParagraph"/>
              <w:rPr>
                <w:rFonts w:ascii="Times New Roman"/>
                <w:sz w:val="20"/>
              </w:rPr>
            </w:pPr>
          </w:p>
        </w:tc>
        <w:tc>
          <w:tcPr>
            <w:tcW w:w="1198" w:type="dxa"/>
          </w:tcPr>
          <w:p>
            <w:pPr>
              <w:pStyle w:val="TableParagraph"/>
              <w:rPr>
                <w:rFonts w:ascii="Times New Roman"/>
                <w:sz w:val="20"/>
              </w:rPr>
            </w:pPr>
          </w:p>
        </w:tc>
        <w:tc>
          <w:tcPr>
            <w:tcW w:w="974" w:type="dxa"/>
          </w:tcPr>
          <w:p>
            <w:pPr>
              <w:pStyle w:val="TableParagraph"/>
              <w:rPr>
                <w:rFonts w:ascii="Times New Roman"/>
                <w:sz w:val="20"/>
              </w:rPr>
            </w:pPr>
          </w:p>
        </w:tc>
        <w:tc>
          <w:tcPr>
            <w:tcW w:w="867" w:type="dxa"/>
          </w:tcPr>
          <w:p>
            <w:pPr>
              <w:pStyle w:val="TableParagraph"/>
              <w:rPr>
                <w:rFonts w:ascii="Times New Roman"/>
                <w:sz w:val="20"/>
              </w:rPr>
            </w:pPr>
          </w:p>
        </w:tc>
        <w:tc>
          <w:tcPr>
            <w:tcW w:w="1464" w:type="dxa"/>
          </w:tcPr>
          <w:p>
            <w:pPr>
              <w:pStyle w:val="TableParagraph"/>
              <w:rPr>
                <w:rFonts w:ascii="Times New Roman"/>
                <w:sz w:val="20"/>
              </w:rPr>
            </w:pPr>
          </w:p>
        </w:tc>
      </w:tr>
      <w:tr>
        <w:trPr>
          <w:trHeight w:val="340" w:hRule="atLeast"/>
        </w:trPr>
        <w:tc>
          <w:tcPr>
            <w:tcW w:w="1841" w:type="dxa"/>
          </w:tcPr>
          <w:p>
            <w:pPr>
              <w:pStyle w:val="TableParagraph"/>
              <w:spacing w:before="34"/>
              <w:ind w:right="38"/>
              <w:jc w:val="right"/>
              <w:rPr>
                <w:sz w:val="21"/>
              </w:rPr>
            </w:pPr>
            <w:r>
              <w:rPr>
                <w:sz w:val="21"/>
              </w:rPr>
              <w:t>（1）计提 </w:t>
            </w:r>
          </w:p>
        </w:tc>
        <w:tc>
          <w:tcPr>
            <w:tcW w:w="1239" w:type="dxa"/>
          </w:tcPr>
          <w:p>
            <w:pPr>
              <w:pStyle w:val="TableParagraph"/>
              <w:rPr>
                <w:rFonts w:ascii="Times New Roman"/>
                <w:sz w:val="20"/>
              </w:rPr>
            </w:pPr>
          </w:p>
        </w:tc>
        <w:tc>
          <w:tcPr>
            <w:tcW w:w="1241" w:type="dxa"/>
          </w:tcPr>
          <w:p>
            <w:pPr>
              <w:pStyle w:val="TableParagraph"/>
              <w:rPr>
                <w:rFonts w:ascii="Times New Roman"/>
                <w:sz w:val="20"/>
              </w:rPr>
            </w:pPr>
          </w:p>
        </w:tc>
        <w:tc>
          <w:tcPr>
            <w:tcW w:w="1198" w:type="dxa"/>
          </w:tcPr>
          <w:p>
            <w:pPr>
              <w:pStyle w:val="TableParagraph"/>
              <w:rPr>
                <w:rFonts w:ascii="Times New Roman"/>
                <w:sz w:val="20"/>
              </w:rPr>
            </w:pPr>
          </w:p>
        </w:tc>
        <w:tc>
          <w:tcPr>
            <w:tcW w:w="974" w:type="dxa"/>
          </w:tcPr>
          <w:p>
            <w:pPr>
              <w:pStyle w:val="TableParagraph"/>
              <w:rPr>
                <w:rFonts w:ascii="Times New Roman"/>
                <w:sz w:val="20"/>
              </w:rPr>
            </w:pPr>
          </w:p>
        </w:tc>
        <w:tc>
          <w:tcPr>
            <w:tcW w:w="867" w:type="dxa"/>
          </w:tcPr>
          <w:p>
            <w:pPr>
              <w:pStyle w:val="TableParagraph"/>
              <w:rPr>
                <w:rFonts w:ascii="Times New Roman"/>
                <w:sz w:val="20"/>
              </w:rPr>
            </w:pPr>
          </w:p>
        </w:tc>
        <w:tc>
          <w:tcPr>
            <w:tcW w:w="1464" w:type="dxa"/>
          </w:tcPr>
          <w:p>
            <w:pPr>
              <w:pStyle w:val="TableParagraph"/>
              <w:rPr>
                <w:rFonts w:ascii="Times New Roman"/>
                <w:sz w:val="20"/>
              </w:rPr>
            </w:pPr>
          </w:p>
        </w:tc>
      </w:tr>
      <w:tr>
        <w:trPr>
          <w:trHeight w:val="271" w:hRule="atLeast"/>
        </w:trPr>
        <w:tc>
          <w:tcPr>
            <w:tcW w:w="1841" w:type="dxa"/>
          </w:tcPr>
          <w:p>
            <w:pPr>
              <w:pStyle w:val="TableParagraph"/>
              <w:spacing w:line="250" w:lineRule="exact" w:before="1"/>
              <w:ind w:right="34"/>
              <w:jc w:val="center"/>
              <w:rPr>
                <w:sz w:val="21"/>
              </w:rPr>
            </w:pPr>
            <w:r>
              <w:rPr>
                <w:w w:val="100"/>
                <w:sz w:val="21"/>
              </w:rPr>
              <w:t> </w:t>
            </w:r>
            <w:r>
              <w:rPr>
                <w:sz w:val="21"/>
              </w:rPr>
              <w:t> </w:t>
            </w:r>
            <w:r>
              <w:rPr>
                <w:w w:val="100"/>
                <w:sz w:val="21"/>
              </w:rPr>
              <w:t> </w:t>
            </w:r>
          </w:p>
        </w:tc>
        <w:tc>
          <w:tcPr>
            <w:tcW w:w="1239" w:type="dxa"/>
          </w:tcPr>
          <w:p>
            <w:pPr>
              <w:pStyle w:val="TableParagraph"/>
              <w:spacing w:line="249" w:lineRule="exact"/>
              <w:ind w:right="-15"/>
              <w:jc w:val="right"/>
              <w:rPr>
                <w:sz w:val="21"/>
              </w:rPr>
            </w:pPr>
            <w:r>
              <w:rPr>
                <w:w w:val="100"/>
                <w:sz w:val="21"/>
              </w:rPr>
              <w:t> </w:t>
            </w:r>
          </w:p>
        </w:tc>
        <w:tc>
          <w:tcPr>
            <w:tcW w:w="1241" w:type="dxa"/>
          </w:tcPr>
          <w:p>
            <w:pPr>
              <w:pStyle w:val="TableParagraph"/>
              <w:spacing w:line="249" w:lineRule="exact"/>
              <w:ind w:right="-15"/>
              <w:jc w:val="right"/>
              <w:rPr>
                <w:sz w:val="21"/>
              </w:rPr>
            </w:pPr>
            <w:r>
              <w:rPr>
                <w:w w:val="100"/>
                <w:sz w:val="21"/>
              </w:rPr>
              <w:t> </w:t>
            </w:r>
          </w:p>
        </w:tc>
        <w:tc>
          <w:tcPr>
            <w:tcW w:w="1198" w:type="dxa"/>
          </w:tcPr>
          <w:p>
            <w:pPr>
              <w:pStyle w:val="TableParagraph"/>
              <w:spacing w:line="249" w:lineRule="exact"/>
              <w:ind w:right="-15"/>
              <w:jc w:val="right"/>
              <w:rPr>
                <w:sz w:val="21"/>
              </w:rPr>
            </w:pPr>
            <w:r>
              <w:rPr>
                <w:w w:val="100"/>
                <w:sz w:val="21"/>
              </w:rPr>
              <w:t> </w:t>
            </w:r>
          </w:p>
        </w:tc>
        <w:tc>
          <w:tcPr>
            <w:tcW w:w="974" w:type="dxa"/>
          </w:tcPr>
          <w:p>
            <w:pPr>
              <w:pStyle w:val="TableParagraph"/>
              <w:spacing w:line="249" w:lineRule="exact"/>
              <w:ind w:right="-15"/>
              <w:jc w:val="right"/>
              <w:rPr>
                <w:sz w:val="21"/>
              </w:rPr>
            </w:pPr>
            <w:r>
              <w:rPr>
                <w:w w:val="100"/>
                <w:sz w:val="21"/>
              </w:rPr>
              <w:t> </w:t>
            </w:r>
          </w:p>
        </w:tc>
        <w:tc>
          <w:tcPr>
            <w:tcW w:w="867" w:type="dxa"/>
          </w:tcPr>
          <w:p>
            <w:pPr>
              <w:pStyle w:val="TableParagraph"/>
              <w:rPr>
                <w:rFonts w:ascii="Times New Roman"/>
                <w:sz w:val="20"/>
              </w:rPr>
            </w:pPr>
          </w:p>
        </w:tc>
        <w:tc>
          <w:tcPr>
            <w:tcW w:w="1464" w:type="dxa"/>
          </w:tcPr>
          <w:p>
            <w:pPr>
              <w:pStyle w:val="TableParagraph"/>
              <w:spacing w:line="249" w:lineRule="exact"/>
              <w:ind w:right="-15"/>
              <w:jc w:val="right"/>
              <w:rPr>
                <w:sz w:val="21"/>
              </w:rPr>
            </w:pPr>
            <w:r>
              <w:rPr>
                <w:w w:val="100"/>
                <w:sz w:val="21"/>
              </w:rPr>
              <w:t> </w:t>
            </w:r>
          </w:p>
        </w:tc>
      </w:tr>
      <w:tr>
        <w:trPr>
          <w:trHeight w:val="273" w:hRule="atLeast"/>
        </w:trPr>
        <w:tc>
          <w:tcPr>
            <w:tcW w:w="1841" w:type="dxa"/>
          </w:tcPr>
          <w:p>
            <w:pPr>
              <w:pStyle w:val="TableParagraph"/>
              <w:spacing w:line="252" w:lineRule="exact" w:before="1"/>
              <w:ind w:right="34"/>
              <w:jc w:val="center"/>
              <w:rPr>
                <w:sz w:val="21"/>
              </w:rPr>
            </w:pPr>
            <w:r>
              <w:rPr>
                <w:w w:val="100"/>
                <w:sz w:val="21"/>
              </w:rPr>
              <w:t> </w:t>
            </w:r>
            <w:r>
              <w:rPr>
                <w:sz w:val="21"/>
              </w:rPr>
              <w:t> </w:t>
            </w:r>
            <w:r>
              <w:rPr>
                <w:w w:val="100"/>
                <w:sz w:val="21"/>
              </w:rPr>
              <w:t> </w:t>
            </w:r>
          </w:p>
        </w:tc>
        <w:tc>
          <w:tcPr>
            <w:tcW w:w="1239" w:type="dxa"/>
          </w:tcPr>
          <w:p>
            <w:pPr>
              <w:pStyle w:val="TableParagraph"/>
              <w:spacing w:line="248" w:lineRule="exact"/>
              <w:ind w:right="-15"/>
              <w:jc w:val="right"/>
              <w:rPr>
                <w:sz w:val="21"/>
              </w:rPr>
            </w:pPr>
            <w:r>
              <w:rPr>
                <w:w w:val="100"/>
                <w:sz w:val="21"/>
              </w:rPr>
              <w:t> </w:t>
            </w:r>
          </w:p>
        </w:tc>
        <w:tc>
          <w:tcPr>
            <w:tcW w:w="1241" w:type="dxa"/>
          </w:tcPr>
          <w:p>
            <w:pPr>
              <w:pStyle w:val="TableParagraph"/>
              <w:spacing w:line="248" w:lineRule="exact"/>
              <w:ind w:right="-15"/>
              <w:jc w:val="right"/>
              <w:rPr>
                <w:sz w:val="21"/>
              </w:rPr>
            </w:pPr>
            <w:r>
              <w:rPr>
                <w:w w:val="100"/>
                <w:sz w:val="21"/>
              </w:rPr>
              <w:t> </w:t>
            </w:r>
          </w:p>
        </w:tc>
        <w:tc>
          <w:tcPr>
            <w:tcW w:w="1198" w:type="dxa"/>
          </w:tcPr>
          <w:p>
            <w:pPr>
              <w:pStyle w:val="TableParagraph"/>
              <w:spacing w:line="248" w:lineRule="exact"/>
              <w:ind w:right="-15"/>
              <w:jc w:val="right"/>
              <w:rPr>
                <w:sz w:val="21"/>
              </w:rPr>
            </w:pPr>
            <w:r>
              <w:rPr>
                <w:w w:val="100"/>
                <w:sz w:val="21"/>
              </w:rPr>
              <w:t> </w:t>
            </w:r>
          </w:p>
        </w:tc>
        <w:tc>
          <w:tcPr>
            <w:tcW w:w="974" w:type="dxa"/>
          </w:tcPr>
          <w:p>
            <w:pPr>
              <w:pStyle w:val="TableParagraph"/>
              <w:spacing w:line="248" w:lineRule="exact"/>
              <w:ind w:right="-15"/>
              <w:jc w:val="right"/>
              <w:rPr>
                <w:sz w:val="21"/>
              </w:rPr>
            </w:pPr>
            <w:r>
              <w:rPr>
                <w:w w:val="100"/>
                <w:sz w:val="21"/>
              </w:rPr>
              <w:t> </w:t>
            </w:r>
          </w:p>
        </w:tc>
        <w:tc>
          <w:tcPr>
            <w:tcW w:w="867" w:type="dxa"/>
          </w:tcPr>
          <w:p>
            <w:pPr>
              <w:pStyle w:val="TableParagraph"/>
              <w:rPr>
                <w:rFonts w:ascii="Times New Roman"/>
                <w:sz w:val="20"/>
              </w:rPr>
            </w:pPr>
          </w:p>
        </w:tc>
        <w:tc>
          <w:tcPr>
            <w:tcW w:w="1464" w:type="dxa"/>
          </w:tcPr>
          <w:p>
            <w:pPr>
              <w:pStyle w:val="TableParagraph"/>
              <w:spacing w:line="248" w:lineRule="exact"/>
              <w:ind w:right="-15"/>
              <w:jc w:val="right"/>
              <w:rPr>
                <w:sz w:val="21"/>
              </w:rPr>
            </w:pPr>
            <w:r>
              <w:rPr>
                <w:w w:val="100"/>
                <w:sz w:val="21"/>
              </w:rPr>
              <w:t> </w:t>
            </w:r>
          </w:p>
        </w:tc>
      </w:tr>
      <w:tr>
        <w:trPr>
          <w:trHeight w:val="544" w:hRule="atLeast"/>
        </w:trPr>
        <w:tc>
          <w:tcPr>
            <w:tcW w:w="1841" w:type="dxa"/>
          </w:tcPr>
          <w:p>
            <w:pPr>
              <w:pStyle w:val="TableParagraph"/>
              <w:spacing w:before="1"/>
              <w:ind w:left="527"/>
              <w:rPr>
                <w:sz w:val="21"/>
              </w:rPr>
            </w:pPr>
            <w:r>
              <w:rPr>
                <w:sz w:val="21"/>
              </w:rPr>
              <w:t>3.本期减少</w:t>
            </w:r>
          </w:p>
          <w:p>
            <w:pPr>
              <w:pStyle w:val="TableParagraph"/>
              <w:spacing w:line="250" w:lineRule="exact" w:before="4"/>
              <w:ind w:left="107"/>
              <w:rPr>
                <w:sz w:val="21"/>
              </w:rPr>
            </w:pPr>
            <w:r>
              <w:rPr>
                <w:sz w:val="21"/>
              </w:rPr>
              <w:t>金额 </w:t>
            </w:r>
          </w:p>
        </w:tc>
        <w:tc>
          <w:tcPr>
            <w:tcW w:w="1239" w:type="dxa"/>
          </w:tcPr>
          <w:p>
            <w:pPr>
              <w:pStyle w:val="TableParagraph"/>
              <w:rPr>
                <w:rFonts w:ascii="Times New Roman"/>
                <w:sz w:val="20"/>
              </w:rPr>
            </w:pPr>
          </w:p>
        </w:tc>
        <w:tc>
          <w:tcPr>
            <w:tcW w:w="1241" w:type="dxa"/>
          </w:tcPr>
          <w:p>
            <w:pPr>
              <w:pStyle w:val="TableParagraph"/>
              <w:rPr>
                <w:rFonts w:ascii="Times New Roman"/>
                <w:sz w:val="20"/>
              </w:rPr>
            </w:pPr>
          </w:p>
        </w:tc>
        <w:tc>
          <w:tcPr>
            <w:tcW w:w="1198" w:type="dxa"/>
          </w:tcPr>
          <w:p>
            <w:pPr>
              <w:pStyle w:val="TableParagraph"/>
              <w:rPr>
                <w:rFonts w:ascii="Times New Roman"/>
                <w:sz w:val="20"/>
              </w:rPr>
            </w:pPr>
          </w:p>
        </w:tc>
        <w:tc>
          <w:tcPr>
            <w:tcW w:w="974" w:type="dxa"/>
          </w:tcPr>
          <w:p>
            <w:pPr>
              <w:pStyle w:val="TableParagraph"/>
              <w:rPr>
                <w:rFonts w:ascii="Times New Roman"/>
                <w:sz w:val="20"/>
              </w:rPr>
            </w:pPr>
          </w:p>
        </w:tc>
        <w:tc>
          <w:tcPr>
            <w:tcW w:w="867" w:type="dxa"/>
          </w:tcPr>
          <w:p>
            <w:pPr>
              <w:pStyle w:val="TableParagraph"/>
              <w:rPr>
                <w:rFonts w:ascii="Times New Roman"/>
                <w:sz w:val="20"/>
              </w:rPr>
            </w:pPr>
          </w:p>
        </w:tc>
        <w:tc>
          <w:tcPr>
            <w:tcW w:w="1464" w:type="dxa"/>
          </w:tcPr>
          <w:p>
            <w:pPr>
              <w:pStyle w:val="TableParagraph"/>
              <w:rPr>
                <w:rFonts w:ascii="Times New Roman"/>
                <w:sz w:val="20"/>
              </w:rPr>
            </w:pPr>
          </w:p>
        </w:tc>
      </w:tr>
      <w:tr>
        <w:trPr>
          <w:trHeight w:val="340" w:hRule="atLeast"/>
        </w:trPr>
        <w:tc>
          <w:tcPr>
            <w:tcW w:w="1841" w:type="dxa"/>
          </w:tcPr>
          <w:p>
            <w:pPr>
              <w:pStyle w:val="TableParagraph"/>
              <w:spacing w:before="34"/>
              <w:ind w:left="738"/>
              <w:rPr>
                <w:sz w:val="21"/>
              </w:rPr>
            </w:pPr>
            <w:r>
              <w:rPr>
                <w:sz w:val="21"/>
              </w:rPr>
              <w:t>(1)处置 </w:t>
            </w:r>
          </w:p>
        </w:tc>
        <w:tc>
          <w:tcPr>
            <w:tcW w:w="1239" w:type="dxa"/>
          </w:tcPr>
          <w:p>
            <w:pPr>
              <w:pStyle w:val="TableParagraph"/>
              <w:rPr>
                <w:rFonts w:ascii="Times New Roman"/>
                <w:sz w:val="20"/>
              </w:rPr>
            </w:pPr>
          </w:p>
        </w:tc>
        <w:tc>
          <w:tcPr>
            <w:tcW w:w="1241" w:type="dxa"/>
          </w:tcPr>
          <w:p>
            <w:pPr>
              <w:pStyle w:val="TableParagraph"/>
              <w:rPr>
                <w:rFonts w:ascii="Times New Roman"/>
                <w:sz w:val="20"/>
              </w:rPr>
            </w:pPr>
          </w:p>
        </w:tc>
        <w:tc>
          <w:tcPr>
            <w:tcW w:w="1198" w:type="dxa"/>
          </w:tcPr>
          <w:p>
            <w:pPr>
              <w:pStyle w:val="TableParagraph"/>
              <w:rPr>
                <w:rFonts w:ascii="Times New Roman"/>
                <w:sz w:val="20"/>
              </w:rPr>
            </w:pPr>
          </w:p>
        </w:tc>
        <w:tc>
          <w:tcPr>
            <w:tcW w:w="974" w:type="dxa"/>
          </w:tcPr>
          <w:p>
            <w:pPr>
              <w:pStyle w:val="TableParagraph"/>
              <w:rPr>
                <w:rFonts w:ascii="Times New Roman"/>
                <w:sz w:val="20"/>
              </w:rPr>
            </w:pPr>
          </w:p>
        </w:tc>
        <w:tc>
          <w:tcPr>
            <w:tcW w:w="867" w:type="dxa"/>
          </w:tcPr>
          <w:p>
            <w:pPr>
              <w:pStyle w:val="TableParagraph"/>
              <w:rPr>
                <w:rFonts w:ascii="Times New Roman"/>
                <w:sz w:val="20"/>
              </w:rPr>
            </w:pPr>
          </w:p>
        </w:tc>
        <w:tc>
          <w:tcPr>
            <w:tcW w:w="1464" w:type="dxa"/>
          </w:tcPr>
          <w:p>
            <w:pPr>
              <w:pStyle w:val="TableParagraph"/>
              <w:rPr>
                <w:rFonts w:ascii="Times New Roman"/>
                <w:sz w:val="20"/>
              </w:rPr>
            </w:pPr>
          </w:p>
        </w:tc>
      </w:tr>
      <w:tr>
        <w:trPr>
          <w:trHeight w:val="270" w:hRule="atLeast"/>
        </w:trPr>
        <w:tc>
          <w:tcPr>
            <w:tcW w:w="1841" w:type="dxa"/>
          </w:tcPr>
          <w:p>
            <w:pPr>
              <w:pStyle w:val="TableParagraph"/>
              <w:spacing w:line="250" w:lineRule="exact" w:before="1"/>
              <w:ind w:right="34"/>
              <w:jc w:val="center"/>
              <w:rPr>
                <w:sz w:val="21"/>
              </w:rPr>
            </w:pPr>
            <w:r>
              <w:rPr>
                <w:w w:val="100"/>
                <w:sz w:val="21"/>
              </w:rPr>
              <w:t> </w:t>
            </w:r>
            <w:r>
              <w:rPr>
                <w:sz w:val="21"/>
              </w:rPr>
              <w:t> </w:t>
            </w:r>
            <w:r>
              <w:rPr>
                <w:w w:val="100"/>
                <w:sz w:val="21"/>
              </w:rPr>
              <w:t> </w:t>
            </w:r>
          </w:p>
        </w:tc>
        <w:tc>
          <w:tcPr>
            <w:tcW w:w="1239" w:type="dxa"/>
          </w:tcPr>
          <w:p>
            <w:pPr>
              <w:pStyle w:val="TableParagraph"/>
              <w:spacing w:line="248" w:lineRule="exact"/>
              <w:ind w:right="-15"/>
              <w:jc w:val="right"/>
              <w:rPr>
                <w:sz w:val="21"/>
              </w:rPr>
            </w:pPr>
            <w:r>
              <w:rPr>
                <w:w w:val="100"/>
                <w:sz w:val="21"/>
              </w:rPr>
              <w:t> </w:t>
            </w:r>
          </w:p>
        </w:tc>
        <w:tc>
          <w:tcPr>
            <w:tcW w:w="1241" w:type="dxa"/>
          </w:tcPr>
          <w:p>
            <w:pPr>
              <w:pStyle w:val="TableParagraph"/>
              <w:spacing w:line="248" w:lineRule="exact"/>
              <w:ind w:right="-15"/>
              <w:jc w:val="right"/>
              <w:rPr>
                <w:sz w:val="21"/>
              </w:rPr>
            </w:pPr>
            <w:r>
              <w:rPr>
                <w:w w:val="100"/>
                <w:sz w:val="21"/>
              </w:rPr>
              <w:t> </w:t>
            </w:r>
          </w:p>
        </w:tc>
        <w:tc>
          <w:tcPr>
            <w:tcW w:w="1198" w:type="dxa"/>
          </w:tcPr>
          <w:p>
            <w:pPr>
              <w:pStyle w:val="TableParagraph"/>
              <w:spacing w:line="248" w:lineRule="exact"/>
              <w:ind w:right="-15"/>
              <w:jc w:val="right"/>
              <w:rPr>
                <w:sz w:val="21"/>
              </w:rPr>
            </w:pPr>
            <w:r>
              <w:rPr>
                <w:w w:val="100"/>
                <w:sz w:val="21"/>
              </w:rPr>
              <w:t> </w:t>
            </w:r>
          </w:p>
        </w:tc>
        <w:tc>
          <w:tcPr>
            <w:tcW w:w="974" w:type="dxa"/>
          </w:tcPr>
          <w:p>
            <w:pPr>
              <w:pStyle w:val="TableParagraph"/>
              <w:spacing w:line="248" w:lineRule="exact"/>
              <w:ind w:right="-15"/>
              <w:jc w:val="right"/>
              <w:rPr>
                <w:sz w:val="21"/>
              </w:rPr>
            </w:pPr>
            <w:r>
              <w:rPr>
                <w:w w:val="100"/>
                <w:sz w:val="21"/>
              </w:rPr>
              <w:t> </w:t>
            </w:r>
          </w:p>
        </w:tc>
        <w:tc>
          <w:tcPr>
            <w:tcW w:w="867" w:type="dxa"/>
          </w:tcPr>
          <w:p>
            <w:pPr>
              <w:pStyle w:val="TableParagraph"/>
              <w:rPr>
                <w:rFonts w:ascii="Times New Roman"/>
                <w:sz w:val="20"/>
              </w:rPr>
            </w:pPr>
          </w:p>
        </w:tc>
        <w:tc>
          <w:tcPr>
            <w:tcW w:w="1464" w:type="dxa"/>
          </w:tcPr>
          <w:p>
            <w:pPr>
              <w:pStyle w:val="TableParagraph"/>
              <w:spacing w:line="248" w:lineRule="exact"/>
              <w:ind w:right="-15"/>
              <w:jc w:val="right"/>
              <w:rPr>
                <w:sz w:val="21"/>
              </w:rPr>
            </w:pPr>
            <w:r>
              <w:rPr>
                <w:w w:val="100"/>
                <w:sz w:val="21"/>
              </w:rPr>
              <w:t> </w:t>
            </w:r>
          </w:p>
        </w:tc>
      </w:tr>
      <w:tr>
        <w:trPr>
          <w:trHeight w:val="273" w:hRule="atLeast"/>
        </w:trPr>
        <w:tc>
          <w:tcPr>
            <w:tcW w:w="1841" w:type="dxa"/>
          </w:tcPr>
          <w:p>
            <w:pPr>
              <w:pStyle w:val="TableParagraph"/>
              <w:spacing w:line="250" w:lineRule="exact" w:before="3"/>
              <w:ind w:right="34"/>
              <w:jc w:val="center"/>
              <w:rPr>
                <w:sz w:val="21"/>
              </w:rPr>
            </w:pPr>
            <w:r>
              <w:rPr>
                <w:w w:val="100"/>
                <w:sz w:val="21"/>
              </w:rPr>
              <w:t> </w:t>
            </w:r>
            <w:r>
              <w:rPr>
                <w:sz w:val="21"/>
              </w:rPr>
              <w:t> </w:t>
            </w:r>
            <w:r>
              <w:rPr>
                <w:w w:val="100"/>
                <w:sz w:val="21"/>
              </w:rPr>
              <w:t> </w:t>
            </w:r>
          </w:p>
        </w:tc>
        <w:tc>
          <w:tcPr>
            <w:tcW w:w="1239" w:type="dxa"/>
          </w:tcPr>
          <w:p>
            <w:pPr>
              <w:pStyle w:val="TableParagraph"/>
              <w:spacing w:line="251" w:lineRule="exact"/>
              <w:ind w:right="-15"/>
              <w:jc w:val="right"/>
              <w:rPr>
                <w:sz w:val="21"/>
              </w:rPr>
            </w:pPr>
            <w:r>
              <w:rPr>
                <w:w w:val="100"/>
                <w:sz w:val="21"/>
              </w:rPr>
              <w:t> </w:t>
            </w:r>
          </w:p>
        </w:tc>
        <w:tc>
          <w:tcPr>
            <w:tcW w:w="1241" w:type="dxa"/>
          </w:tcPr>
          <w:p>
            <w:pPr>
              <w:pStyle w:val="TableParagraph"/>
              <w:spacing w:line="251" w:lineRule="exact"/>
              <w:ind w:right="-15"/>
              <w:jc w:val="right"/>
              <w:rPr>
                <w:sz w:val="21"/>
              </w:rPr>
            </w:pPr>
            <w:r>
              <w:rPr>
                <w:w w:val="100"/>
                <w:sz w:val="21"/>
              </w:rPr>
              <w:t> </w:t>
            </w:r>
          </w:p>
        </w:tc>
        <w:tc>
          <w:tcPr>
            <w:tcW w:w="1198" w:type="dxa"/>
          </w:tcPr>
          <w:p>
            <w:pPr>
              <w:pStyle w:val="TableParagraph"/>
              <w:spacing w:line="251" w:lineRule="exact"/>
              <w:ind w:right="-15"/>
              <w:jc w:val="right"/>
              <w:rPr>
                <w:sz w:val="21"/>
              </w:rPr>
            </w:pPr>
            <w:r>
              <w:rPr>
                <w:w w:val="100"/>
                <w:sz w:val="21"/>
              </w:rPr>
              <w:t> </w:t>
            </w:r>
          </w:p>
        </w:tc>
        <w:tc>
          <w:tcPr>
            <w:tcW w:w="974" w:type="dxa"/>
          </w:tcPr>
          <w:p>
            <w:pPr>
              <w:pStyle w:val="TableParagraph"/>
              <w:spacing w:line="251" w:lineRule="exact"/>
              <w:ind w:right="-15"/>
              <w:jc w:val="right"/>
              <w:rPr>
                <w:sz w:val="21"/>
              </w:rPr>
            </w:pPr>
            <w:r>
              <w:rPr>
                <w:w w:val="100"/>
                <w:sz w:val="21"/>
              </w:rPr>
              <w:t> </w:t>
            </w:r>
          </w:p>
        </w:tc>
        <w:tc>
          <w:tcPr>
            <w:tcW w:w="867" w:type="dxa"/>
          </w:tcPr>
          <w:p>
            <w:pPr>
              <w:pStyle w:val="TableParagraph"/>
              <w:rPr>
                <w:rFonts w:ascii="Times New Roman"/>
                <w:sz w:val="20"/>
              </w:rPr>
            </w:pPr>
          </w:p>
        </w:tc>
        <w:tc>
          <w:tcPr>
            <w:tcW w:w="1464" w:type="dxa"/>
          </w:tcPr>
          <w:p>
            <w:pPr>
              <w:pStyle w:val="TableParagraph"/>
              <w:spacing w:line="251" w:lineRule="exact"/>
              <w:ind w:right="-15"/>
              <w:jc w:val="right"/>
              <w:rPr>
                <w:sz w:val="21"/>
              </w:rPr>
            </w:pPr>
            <w:r>
              <w:rPr>
                <w:w w:val="100"/>
                <w:sz w:val="21"/>
              </w:rPr>
              <w:t> </w:t>
            </w:r>
          </w:p>
        </w:tc>
      </w:tr>
      <w:tr>
        <w:trPr>
          <w:trHeight w:val="340" w:hRule="atLeast"/>
        </w:trPr>
        <w:tc>
          <w:tcPr>
            <w:tcW w:w="1841" w:type="dxa"/>
          </w:tcPr>
          <w:p>
            <w:pPr>
              <w:pStyle w:val="TableParagraph"/>
              <w:spacing w:before="34"/>
              <w:ind w:right="144"/>
              <w:jc w:val="right"/>
              <w:rPr>
                <w:sz w:val="21"/>
              </w:rPr>
            </w:pPr>
            <w:r>
              <w:rPr>
                <w:sz w:val="21"/>
              </w:rPr>
              <w:t>4.期末余额 </w:t>
            </w:r>
          </w:p>
        </w:tc>
        <w:tc>
          <w:tcPr>
            <w:tcW w:w="1239" w:type="dxa"/>
          </w:tcPr>
          <w:p>
            <w:pPr>
              <w:pStyle w:val="TableParagraph"/>
              <w:rPr>
                <w:rFonts w:ascii="Times New Roman"/>
                <w:sz w:val="20"/>
              </w:rPr>
            </w:pPr>
          </w:p>
        </w:tc>
        <w:tc>
          <w:tcPr>
            <w:tcW w:w="1241" w:type="dxa"/>
          </w:tcPr>
          <w:p>
            <w:pPr>
              <w:pStyle w:val="TableParagraph"/>
              <w:rPr>
                <w:rFonts w:ascii="Times New Roman"/>
                <w:sz w:val="20"/>
              </w:rPr>
            </w:pPr>
          </w:p>
        </w:tc>
        <w:tc>
          <w:tcPr>
            <w:tcW w:w="1198" w:type="dxa"/>
          </w:tcPr>
          <w:p>
            <w:pPr>
              <w:pStyle w:val="TableParagraph"/>
              <w:rPr>
                <w:rFonts w:ascii="Times New Roman"/>
                <w:sz w:val="20"/>
              </w:rPr>
            </w:pPr>
          </w:p>
        </w:tc>
        <w:tc>
          <w:tcPr>
            <w:tcW w:w="974" w:type="dxa"/>
          </w:tcPr>
          <w:p>
            <w:pPr>
              <w:pStyle w:val="TableParagraph"/>
              <w:rPr>
                <w:rFonts w:ascii="Times New Roman"/>
                <w:sz w:val="20"/>
              </w:rPr>
            </w:pPr>
          </w:p>
        </w:tc>
        <w:tc>
          <w:tcPr>
            <w:tcW w:w="867" w:type="dxa"/>
          </w:tcPr>
          <w:p>
            <w:pPr>
              <w:pStyle w:val="TableParagraph"/>
              <w:rPr>
                <w:rFonts w:ascii="Times New Roman"/>
                <w:sz w:val="20"/>
              </w:rPr>
            </w:pPr>
          </w:p>
        </w:tc>
        <w:tc>
          <w:tcPr>
            <w:tcW w:w="1464" w:type="dxa"/>
          </w:tcPr>
          <w:p>
            <w:pPr>
              <w:pStyle w:val="TableParagraph"/>
              <w:rPr>
                <w:rFonts w:ascii="Times New Roman"/>
                <w:sz w:val="20"/>
              </w:rPr>
            </w:pPr>
          </w:p>
        </w:tc>
      </w:tr>
      <w:tr>
        <w:trPr>
          <w:trHeight w:val="340" w:hRule="atLeast"/>
        </w:trPr>
        <w:tc>
          <w:tcPr>
            <w:tcW w:w="8824" w:type="dxa"/>
            <w:gridSpan w:val="7"/>
          </w:tcPr>
          <w:p>
            <w:pPr>
              <w:pStyle w:val="TableParagraph"/>
              <w:spacing w:before="34"/>
              <w:ind w:left="107"/>
              <w:rPr>
                <w:sz w:val="21"/>
              </w:rPr>
            </w:pPr>
            <w:r>
              <w:rPr>
                <w:sz w:val="21"/>
              </w:rPr>
              <w:t>四、账面价值</w:t>
            </w:r>
          </w:p>
        </w:tc>
      </w:tr>
      <w:tr>
        <w:trPr>
          <w:trHeight w:val="544" w:hRule="atLeast"/>
        </w:trPr>
        <w:tc>
          <w:tcPr>
            <w:tcW w:w="1841" w:type="dxa"/>
          </w:tcPr>
          <w:p>
            <w:pPr>
              <w:pStyle w:val="TableParagraph"/>
              <w:spacing w:before="1"/>
              <w:ind w:left="107"/>
              <w:rPr>
                <w:sz w:val="21"/>
              </w:rPr>
            </w:pPr>
            <w:r>
              <w:rPr>
                <w:w w:val="100"/>
                <w:sz w:val="21"/>
              </w:rPr>
              <w:t>   </w:t>
            </w:r>
            <w:r>
              <w:rPr>
                <w:spacing w:val="-1"/>
                <w:w w:val="100"/>
                <w:sz w:val="21"/>
              </w:rPr>
              <w:t> </w:t>
            </w:r>
            <w:r>
              <w:rPr>
                <w:sz w:val="21"/>
              </w:rPr>
              <w:t>1.期末账面</w:t>
            </w:r>
          </w:p>
          <w:p>
            <w:pPr>
              <w:pStyle w:val="TableParagraph"/>
              <w:spacing w:line="252" w:lineRule="exact" w:before="2"/>
              <w:ind w:left="107"/>
              <w:rPr>
                <w:sz w:val="21"/>
              </w:rPr>
            </w:pPr>
            <w:r>
              <w:rPr>
                <w:sz w:val="21"/>
              </w:rPr>
              <w:t>价值 </w:t>
            </w:r>
          </w:p>
        </w:tc>
        <w:tc>
          <w:tcPr>
            <w:tcW w:w="1239" w:type="dxa"/>
          </w:tcPr>
          <w:p>
            <w:pPr>
              <w:pStyle w:val="TableParagraph"/>
              <w:spacing w:before="144"/>
              <w:ind w:right="94"/>
              <w:jc w:val="right"/>
              <w:rPr>
                <w:rFonts w:ascii="Times New Roman"/>
                <w:sz w:val="21"/>
              </w:rPr>
            </w:pPr>
            <w:r>
              <w:rPr>
                <w:rFonts w:ascii="Times New Roman"/>
                <w:sz w:val="21"/>
              </w:rPr>
              <w:t>310,683</w:t>
            </w:r>
          </w:p>
        </w:tc>
        <w:tc>
          <w:tcPr>
            <w:tcW w:w="1241" w:type="dxa"/>
          </w:tcPr>
          <w:p>
            <w:pPr>
              <w:pStyle w:val="TableParagraph"/>
              <w:spacing w:before="144"/>
              <w:ind w:right="96"/>
              <w:jc w:val="right"/>
              <w:rPr>
                <w:rFonts w:ascii="Times New Roman"/>
                <w:sz w:val="21"/>
              </w:rPr>
            </w:pPr>
            <w:r>
              <w:rPr>
                <w:rFonts w:ascii="Times New Roman"/>
                <w:sz w:val="21"/>
              </w:rPr>
              <w:t>26,146</w:t>
            </w:r>
          </w:p>
        </w:tc>
        <w:tc>
          <w:tcPr>
            <w:tcW w:w="1198" w:type="dxa"/>
          </w:tcPr>
          <w:p>
            <w:pPr>
              <w:pStyle w:val="TableParagraph"/>
              <w:rPr>
                <w:rFonts w:ascii="Times New Roman"/>
                <w:sz w:val="20"/>
              </w:rPr>
            </w:pPr>
          </w:p>
        </w:tc>
        <w:tc>
          <w:tcPr>
            <w:tcW w:w="974" w:type="dxa"/>
          </w:tcPr>
          <w:p>
            <w:pPr>
              <w:pStyle w:val="TableParagraph"/>
              <w:spacing w:before="144"/>
              <w:ind w:left="287"/>
              <w:rPr>
                <w:rFonts w:ascii="Times New Roman"/>
                <w:sz w:val="21"/>
              </w:rPr>
            </w:pPr>
            <w:r>
              <w:rPr>
                <w:rFonts w:ascii="Times New Roman"/>
                <w:sz w:val="21"/>
              </w:rPr>
              <w:t>86,959</w:t>
            </w:r>
          </w:p>
        </w:tc>
        <w:tc>
          <w:tcPr>
            <w:tcW w:w="867" w:type="dxa"/>
          </w:tcPr>
          <w:p>
            <w:pPr>
              <w:pStyle w:val="TableParagraph"/>
              <w:spacing w:before="144"/>
              <w:ind w:right="96"/>
              <w:jc w:val="right"/>
              <w:rPr>
                <w:rFonts w:ascii="Times New Roman"/>
                <w:sz w:val="21"/>
              </w:rPr>
            </w:pPr>
            <w:r>
              <w:rPr>
                <w:rFonts w:ascii="Times New Roman"/>
                <w:sz w:val="21"/>
              </w:rPr>
              <w:t>16,517</w:t>
            </w:r>
          </w:p>
        </w:tc>
        <w:tc>
          <w:tcPr>
            <w:tcW w:w="1464" w:type="dxa"/>
          </w:tcPr>
          <w:p>
            <w:pPr>
              <w:pStyle w:val="TableParagraph"/>
              <w:spacing w:before="144"/>
              <w:ind w:left="674"/>
              <w:rPr>
                <w:rFonts w:ascii="Times New Roman"/>
                <w:sz w:val="21"/>
              </w:rPr>
            </w:pPr>
            <w:r>
              <w:rPr>
                <w:rFonts w:ascii="Times New Roman"/>
                <w:sz w:val="21"/>
              </w:rPr>
              <w:t>440,305</w:t>
            </w:r>
          </w:p>
        </w:tc>
      </w:tr>
      <w:tr>
        <w:trPr>
          <w:trHeight w:val="544" w:hRule="atLeast"/>
        </w:trPr>
        <w:tc>
          <w:tcPr>
            <w:tcW w:w="1841" w:type="dxa"/>
          </w:tcPr>
          <w:p>
            <w:pPr>
              <w:pStyle w:val="TableParagraph"/>
              <w:spacing w:before="1"/>
              <w:ind w:left="107"/>
              <w:rPr>
                <w:sz w:val="21"/>
              </w:rPr>
            </w:pPr>
            <w:r>
              <w:rPr>
                <w:w w:val="100"/>
                <w:sz w:val="21"/>
              </w:rPr>
              <w:t>   </w:t>
            </w:r>
            <w:r>
              <w:rPr>
                <w:spacing w:val="-1"/>
                <w:w w:val="100"/>
                <w:sz w:val="21"/>
              </w:rPr>
              <w:t> </w:t>
            </w:r>
            <w:r>
              <w:rPr>
                <w:sz w:val="21"/>
              </w:rPr>
              <w:t>2.期初账面</w:t>
            </w:r>
          </w:p>
          <w:p>
            <w:pPr>
              <w:pStyle w:val="TableParagraph"/>
              <w:spacing w:line="250" w:lineRule="exact" w:before="5"/>
              <w:ind w:left="107"/>
              <w:rPr>
                <w:sz w:val="21"/>
              </w:rPr>
            </w:pPr>
            <w:r>
              <w:rPr>
                <w:sz w:val="21"/>
              </w:rPr>
              <w:t>价值 </w:t>
            </w:r>
          </w:p>
        </w:tc>
        <w:tc>
          <w:tcPr>
            <w:tcW w:w="1239" w:type="dxa"/>
          </w:tcPr>
          <w:p>
            <w:pPr>
              <w:pStyle w:val="TableParagraph"/>
              <w:spacing w:before="144"/>
              <w:ind w:right="94"/>
              <w:jc w:val="right"/>
              <w:rPr>
                <w:rFonts w:ascii="Times New Roman"/>
                <w:sz w:val="21"/>
              </w:rPr>
            </w:pPr>
            <w:r>
              <w:rPr>
                <w:rFonts w:ascii="Times New Roman"/>
                <w:sz w:val="21"/>
              </w:rPr>
              <w:t>301,302</w:t>
            </w:r>
          </w:p>
        </w:tc>
        <w:tc>
          <w:tcPr>
            <w:tcW w:w="1241" w:type="dxa"/>
          </w:tcPr>
          <w:p>
            <w:pPr>
              <w:pStyle w:val="TableParagraph"/>
              <w:spacing w:before="144"/>
              <w:ind w:right="96"/>
              <w:jc w:val="right"/>
              <w:rPr>
                <w:rFonts w:ascii="Times New Roman"/>
                <w:sz w:val="21"/>
              </w:rPr>
            </w:pPr>
            <w:r>
              <w:rPr>
                <w:rFonts w:ascii="Times New Roman"/>
                <w:sz w:val="21"/>
              </w:rPr>
              <w:t>24,603</w:t>
            </w:r>
          </w:p>
        </w:tc>
        <w:tc>
          <w:tcPr>
            <w:tcW w:w="1198" w:type="dxa"/>
          </w:tcPr>
          <w:p>
            <w:pPr>
              <w:pStyle w:val="TableParagraph"/>
              <w:rPr>
                <w:rFonts w:ascii="Times New Roman"/>
                <w:sz w:val="20"/>
              </w:rPr>
            </w:pPr>
          </w:p>
        </w:tc>
        <w:tc>
          <w:tcPr>
            <w:tcW w:w="974" w:type="dxa"/>
          </w:tcPr>
          <w:p>
            <w:pPr>
              <w:pStyle w:val="TableParagraph"/>
              <w:spacing w:before="144"/>
              <w:ind w:left="287"/>
              <w:rPr>
                <w:rFonts w:ascii="Times New Roman"/>
                <w:sz w:val="21"/>
              </w:rPr>
            </w:pPr>
            <w:r>
              <w:rPr>
                <w:rFonts w:ascii="Times New Roman"/>
                <w:sz w:val="21"/>
              </w:rPr>
              <w:t>61,494</w:t>
            </w:r>
          </w:p>
        </w:tc>
        <w:tc>
          <w:tcPr>
            <w:tcW w:w="867" w:type="dxa"/>
          </w:tcPr>
          <w:p>
            <w:pPr>
              <w:pStyle w:val="TableParagraph"/>
              <w:spacing w:before="144"/>
              <w:ind w:right="96"/>
              <w:jc w:val="right"/>
              <w:rPr>
                <w:rFonts w:ascii="Times New Roman"/>
                <w:sz w:val="21"/>
              </w:rPr>
            </w:pPr>
            <w:r>
              <w:rPr>
                <w:rFonts w:ascii="Times New Roman"/>
                <w:sz w:val="21"/>
              </w:rPr>
              <w:t>19,614</w:t>
            </w:r>
          </w:p>
        </w:tc>
        <w:tc>
          <w:tcPr>
            <w:tcW w:w="1464" w:type="dxa"/>
          </w:tcPr>
          <w:p>
            <w:pPr>
              <w:pStyle w:val="TableParagraph"/>
              <w:spacing w:before="144"/>
              <w:ind w:left="674"/>
              <w:rPr>
                <w:rFonts w:ascii="Times New Roman"/>
                <w:sz w:val="21"/>
              </w:rPr>
            </w:pPr>
            <w:r>
              <w:rPr>
                <w:rFonts w:ascii="Times New Roman"/>
                <w:sz w:val="21"/>
              </w:rPr>
              <w:t>407,013</w:t>
            </w:r>
          </w:p>
        </w:tc>
      </w:tr>
    </w:tbl>
    <w:p>
      <w:pPr>
        <w:pStyle w:val="BodyText"/>
        <w:spacing w:before="1"/>
      </w:pPr>
      <w:r>
        <w:rPr>
          <w:w w:val="100"/>
        </w:rPr>
        <w:t> </w:t>
      </w:r>
    </w:p>
    <w:p>
      <w:pPr>
        <w:pStyle w:val="BodyText"/>
        <w:spacing w:before="4"/>
      </w:pPr>
      <w:r>
        <w:rPr>
          <w:spacing w:val="-3"/>
        </w:rPr>
        <w:t>本期末通过公司内部研发形成的无形资产占无形资产余额的比例 </w:t>
      </w:r>
      <w:r>
        <w:rPr>
          <w:rFonts w:ascii="Times New Roman" w:eastAsia="Times New Roman"/>
        </w:rPr>
        <w:t>0%</w:t>
      </w:r>
      <w:r>
        <w:rPr/>
        <w:t> </w:t>
      </w:r>
    </w:p>
    <w:p>
      <w:pPr>
        <w:pStyle w:val="BodyText"/>
        <w:spacing w:before="3"/>
        <w:rPr>
          <w:sz w:val="18"/>
        </w:rPr>
      </w:pPr>
      <w:r>
        <w:rPr>
          <w:spacing w:val="-1"/>
        </w:rPr>
        <w:t>2022</w:t>
      </w:r>
      <w:r>
        <w:rPr>
          <w:spacing w:val="-11"/>
        </w:rPr>
        <w:t> 年度本集团无形资产的摊销金额为 </w:t>
      </w:r>
      <w:r>
        <w:rPr/>
        <w:t>68,798</w:t>
      </w:r>
      <w:r>
        <w:rPr>
          <w:spacing w:val="-18"/>
        </w:rPr>
        <w:t> 千元</w:t>
      </w:r>
      <w:r>
        <w:rPr/>
        <w:t>(2021</w:t>
      </w:r>
      <w:r>
        <w:rPr>
          <w:spacing w:val="-15"/>
        </w:rPr>
        <w:t> 年度：</w:t>
      </w:r>
      <w:r>
        <w:rPr/>
        <w:t>39,078</w:t>
      </w:r>
      <w:r>
        <w:rPr>
          <w:spacing w:val="-12"/>
        </w:rPr>
        <w:t> 千元)。</w:t>
      </w:r>
      <w:r>
        <w:rPr>
          <w:spacing w:val="-12"/>
          <w:sz w:val="18"/>
        </w:rPr>
        <w:t> </w:t>
      </w:r>
    </w:p>
    <w:p>
      <w:pPr>
        <w:pStyle w:val="BodyText"/>
        <w:spacing w:before="64"/>
      </w:pPr>
      <w:r>
        <w:rPr>
          <w:w w:val="100"/>
        </w:rPr>
        <w:t> </w:t>
      </w:r>
    </w:p>
    <w:p>
      <w:pPr>
        <w:pStyle w:val="BodyText"/>
        <w:spacing w:before="62"/>
      </w:pPr>
      <w:r>
        <w:rPr/>
        <w:t>(2).未办妥产权证书的土地使用权情况 </w:t>
      </w:r>
    </w:p>
    <w:p>
      <w:pPr>
        <w:pStyle w:val="BodyText"/>
        <w:spacing w:line="242" w:lineRule="auto" w:before="65"/>
        <w:ind w:right="8320"/>
      </w:pPr>
      <w:r>
        <w:rPr/>
        <w:t>□适用 √不适用其他说明： </w:t>
      </w:r>
    </w:p>
    <w:p>
      <w:pPr>
        <w:pStyle w:val="BodyText"/>
        <w:spacing w:before="1"/>
      </w:pPr>
      <w:r>
        <w:rPr>
          <w:spacing w:val="-1"/>
        </w:rPr>
        <w:t>□适用 √不适用</w:t>
      </w:r>
      <w:r>
        <w:rPr>
          <w:spacing w:val="-3"/>
        </w:rPr>
        <w:t> </w:t>
      </w:r>
      <w:r>
        <w:rPr/>
        <w:t> </w:t>
      </w:r>
    </w:p>
    <w:p>
      <w:pPr>
        <w:pStyle w:val="BodyText"/>
        <w:spacing w:before="2"/>
      </w:pPr>
      <w:r>
        <w:rPr>
          <w:w w:val="100"/>
        </w:rPr>
        <w:t> </w:t>
      </w:r>
    </w:p>
    <w:p>
      <w:pPr>
        <w:pStyle w:val="BodyText"/>
        <w:spacing w:before="62"/>
      </w:pPr>
      <w:r>
        <w:rPr/>
        <w:t>27</w:t>
      </w:r>
      <w:r>
        <w:rPr>
          <w:spacing w:val="-5"/>
        </w:rPr>
        <w:t>、 开发支出</w:t>
      </w:r>
      <w:r>
        <w:rPr/>
        <w:t> </w:t>
      </w:r>
    </w:p>
    <w:p>
      <w:pPr>
        <w:pStyle w:val="BodyText"/>
        <w:spacing w:before="65"/>
      </w:pPr>
      <w:r>
        <w:rPr>
          <w:spacing w:val="-1"/>
        </w:rPr>
        <w:t>□适用 √不适用</w:t>
      </w:r>
      <w:r>
        <w:rPr>
          <w:spacing w:val="-3"/>
        </w:rPr>
        <w:t> </w:t>
      </w:r>
      <w:r>
        <w:rPr/>
        <w:t> </w:t>
      </w:r>
    </w:p>
    <w:p>
      <w:pPr>
        <w:pStyle w:val="BodyText"/>
        <w:spacing w:before="3"/>
      </w:pPr>
      <w:r>
        <w:rPr>
          <w:w w:val="100"/>
        </w:rPr>
        <w:t> </w:t>
      </w:r>
    </w:p>
    <w:p>
      <w:pPr>
        <w:pStyle w:val="BodyText"/>
        <w:spacing w:before="64"/>
      </w:pPr>
      <w:r>
        <w:rPr/>
        <w:t>28</w:t>
      </w:r>
      <w:r>
        <w:rPr>
          <w:spacing w:val="-6"/>
        </w:rPr>
        <w:t>、 商誉 </w:t>
      </w:r>
    </w:p>
    <w:p>
      <w:pPr>
        <w:pStyle w:val="ListParagraph"/>
        <w:numPr>
          <w:ilvl w:val="0"/>
          <w:numId w:val="70"/>
        </w:numPr>
        <w:tabs>
          <w:tab w:pos="746" w:val="left" w:leader="none"/>
        </w:tabs>
        <w:spacing w:line="240" w:lineRule="auto" w:before="62" w:after="0"/>
        <w:ind w:left="745" w:right="0" w:hanging="428"/>
        <w:jc w:val="left"/>
        <w:rPr>
          <w:sz w:val="21"/>
        </w:rPr>
      </w:pPr>
      <w:r>
        <w:rPr>
          <w:sz w:val="21"/>
        </w:rPr>
        <w:t>商誉账面原值 </w:t>
      </w:r>
    </w:p>
    <w:p>
      <w:pPr>
        <w:pStyle w:val="BodyText"/>
        <w:spacing w:before="65"/>
      </w:pPr>
      <w:r>
        <w:rPr>
          <w:spacing w:val="-1"/>
        </w:rPr>
        <w:t>√适用 □不适用</w:t>
      </w:r>
      <w:r>
        <w:rPr>
          <w:spacing w:val="-3"/>
        </w:rPr>
        <w:t> </w:t>
      </w:r>
      <w:r>
        <w:rPr/>
        <w:t> </w:t>
      </w:r>
    </w:p>
    <w:p>
      <w:pPr>
        <w:pStyle w:val="BodyText"/>
        <w:spacing w:before="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1"/>
        <w:gridCol w:w="1148"/>
        <w:gridCol w:w="1174"/>
        <w:gridCol w:w="1150"/>
        <w:gridCol w:w="1171"/>
        <w:gridCol w:w="1162"/>
        <w:gridCol w:w="1128"/>
      </w:tblGrid>
      <w:tr>
        <w:trPr>
          <w:trHeight w:val="282" w:hRule="atLeast"/>
        </w:trPr>
        <w:tc>
          <w:tcPr>
            <w:tcW w:w="1891" w:type="dxa"/>
            <w:vMerge w:val="restart"/>
          </w:tcPr>
          <w:p>
            <w:pPr>
              <w:pStyle w:val="TableParagraph"/>
              <w:spacing w:before="10"/>
              <w:ind w:left="208"/>
              <w:rPr>
                <w:sz w:val="21"/>
              </w:rPr>
            </w:pPr>
            <w:r>
              <w:rPr>
                <w:sz w:val="21"/>
              </w:rPr>
              <w:t>被投资单位名称</w:t>
            </w:r>
          </w:p>
          <w:p>
            <w:pPr>
              <w:pStyle w:val="TableParagraph"/>
              <w:spacing w:line="270" w:lineRule="atLeast"/>
              <w:ind w:left="837" w:right="196" w:hanging="629"/>
              <w:rPr>
                <w:sz w:val="21"/>
              </w:rPr>
            </w:pPr>
            <w:r>
              <w:rPr>
                <w:sz w:val="21"/>
              </w:rPr>
              <w:t>或形成商誉的事项 </w:t>
            </w:r>
          </w:p>
        </w:tc>
        <w:tc>
          <w:tcPr>
            <w:tcW w:w="1148" w:type="dxa"/>
            <w:vMerge w:val="restart"/>
          </w:tcPr>
          <w:p>
            <w:pPr>
              <w:pStyle w:val="TableParagraph"/>
              <w:spacing w:before="2"/>
              <w:rPr>
                <w:sz w:val="22"/>
              </w:rPr>
            </w:pPr>
          </w:p>
          <w:p>
            <w:pPr>
              <w:pStyle w:val="TableParagraph"/>
              <w:ind w:left="151"/>
              <w:rPr>
                <w:sz w:val="21"/>
              </w:rPr>
            </w:pPr>
            <w:r>
              <w:rPr>
                <w:spacing w:val="-1"/>
                <w:sz w:val="21"/>
              </w:rPr>
              <w:t>期初余额</w:t>
            </w:r>
            <w:r>
              <w:rPr>
                <w:sz w:val="21"/>
              </w:rPr>
              <w:t> </w:t>
            </w:r>
          </w:p>
        </w:tc>
        <w:tc>
          <w:tcPr>
            <w:tcW w:w="2324" w:type="dxa"/>
            <w:gridSpan w:val="2"/>
          </w:tcPr>
          <w:p>
            <w:pPr>
              <w:pStyle w:val="TableParagraph"/>
              <w:spacing w:line="257" w:lineRule="exact" w:before="5"/>
              <w:ind w:left="741"/>
              <w:rPr>
                <w:sz w:val="21"/>
              </w:rPr>
            </w:pPr>
            <w:r>
              <w:rPr>
                <w:spacing w:val="-1"/>
                <w:sz w:val="21"/>
              </w:rPr>
              <w:t>本期增加</w:t>
            </w:r>
            <w:r>
              <w:rPr>
                <w:sz w:val="21"/>
              </w:rPr>
              <w:t> </w:t>
            </w:r>
          </w:p>
        </w:tc>
        <w:tc>
          <w:tcPr>
            <w:tcW w:w="2333" w:type="dxa"/>
            <w:gridSpan w:val="2"/>
          </w:tcPr>
          <w:p>
            <w:pPr>
              <w:pStyle w:val="TableParagraph"/>
              <w:spacing w:line="257" w:lineRule="exact" w:before="5"/>
              <w:ind w:left="745"/>
              <w:rPr>
                <w:sz w:val="21"/>
              </w:rPr>
            </w:pPr>
            <w:r>
              <w:rPr>
                <w:spacing w:val="-1"/>
                <w:sz w:val="21"/>
              </w:rPr>
              <w:t>本期减少</w:t>
            </w:r>
            <w:r>
              <w:rPr>
                <w:sz w:val="21"/>
              </w:rPr>
              <w:t> </w:t>
            </w:r>
          </w:p>
        </w:tc>
        <w:tc>
          <w:tcPr>
            <w:tcW w:w="1128" w:type="dxa"/>
            <w:vMerge w:val="restart"/>
          </w:tcPr>
          <w:p>
            <w:pPr>
              <w:pStyle w:val="TableParagraph"/>
              <w:spacing w:before="2"/>
              <w:rPr>
                <w:sz w:val="22"/>
              </w:rPr>
            </w:pPr>
          </w:p>
          <w:p>
            <w:pPr>
              <w:pStyle w:val="TableParagraph"/>
              <w:ind w:left="143"/>
              <w:rPr>
                <w:sz w:val="21"/>
              </w:rPr>
            </w:pPr>
            <w:r>
              <w:rPr>
                <w:spacing w:val="-1"/>
                <w:sz w:val="21"/>
              </w:rPr>
              <w:t>期末余额</w:t>
            </w:r>
            <w:r>
              <w:rPr>
                <w:sz w:val="21"/>
              </w:rPr>
              <w:t> </w:t>
            </w:r>
          </w:p>
        </w:tc>
      </w:tr>
      <w:tr>
        <w:trPr>
          <w:trHeight w:val="544" w:hRule="atLeast"/>
        </w:trPr>
        <w:tc>
          <w:tcPr>
            <w:tcW w:w="1891" w:type="dxa"/>
            <w:vMerge/>
            <w:tcBorders>
              <w:top w:val="nil"/>
            </w:tcBorders>
          </w:tcPr>
          <w:p>
            <w:pPr>
              <w:rPr>
                <w:sz w:val="2"/>
                <w:szCs w:val="2"/>
              </w:rPr>
            </w:pPr>
          </w:p>
        </w:tc>
        <w:tc>
          <w:tcPr>
            <w:tcW w:w="1148" w:type="dxa"/>
            <w:vMerge/>
            <w:tcBorders>
              <w:top w:val="nil"/>
            </w:tcBorders>
          </w:tcPr>
          <w:p>
            <w:pPr>
              <w:rPr>
                <w:sz w:val="2"/>
                <w:szCs w:val="2"/>
              </w:rPr>
            </w:pPr>
          </w:p>
        </w:tc>
        <w:tc>
          <w:tcPr>
            <w:tcW w:w="1174" w:type="dxa"/>
          </w:tcPr>
          <w:p>
            <w:pPr>
              <w:pStyle w:val="TableParagraph"/>
              <w:spacing w:before="1"/>
              <w:ind w:right="154"/>
              <w:jc w:val="right"/>
              <w:rPr>
                <w:sz w:val="21"/>
              </w:rPr>
            </w:pPr>
            <w:r>
              <w:rPr>
                <w:sz w:val="21"/>
              </w:rPr>
              <w:t>企业合并</w:t>
            </w:r>
          </w:p>
          <w:p>
            <w:pPr>
              <w:pStyle w:val="TableParagraph"/>
              <w:spacing w:line="250" w:lineRule="exact" w:before="4"/>
              <w:ind w:right="154"/>
              <w:jc w:val="right"/>
              <w:rPr>
                <w:sz w:val="21"/>
              </w:rPr>
            </w:pPr>
            <w:r>
              <w:rPr>
                <w:sz w:val="21"/>
              </w:rPr>
              <w:t>形成的 </w:t>
            </w:r>
          </w:p>
        </w:tc>
        <w:tc>
          <w:tcPr>
            <w:tcW w:w="1150" w:type="dxa"/>
          </w:tcPr>
          <w:p>
            <w:pPr>
              <w:pStyle w:val="TableParagraph"/>
              <w:spacing w:before="138"/>
              <w:ind w:left="573"/>
              <w:rPr>
                <w:sz w:val="21"/>
              </w:rPr>
            </w:pPr>
            <w:r>
              <w:rPr>
                <w:w w:val="100"/>
                <w:sz w:val="21"/>
              </w:rPr>
              <w:t> </w:t>
            </w:r>
            <w:r>
              <w:rPr>
                <w:sz w:val="21"/>
              </w:rPr>
              <w:t> </w:t>
            </w:r>
            <w:r>
              <w:rPr>
                <w:w w:val="100"/>
                <w:sz w:val="21"/>
              </w:rPr>
              <w:t> </w:t>
            </w:r>
          </w:p>
        </w:tc>
        <w:tc>
          <w:tcPr>
            <w:tcW w:w="1171" w:type="dxa"/>
          </w:tcPr>
          <w:p>
            <w:pPr>
              <w:pStyle w:val="TableParagraph"/>
              <w:spacing w:before="138"/>
              <w:ind w:left="373"/>
              <w:rPr>
                <w:sz w:val="21"/>
              </w:rPr>
            </w:pPr>
            <w:r>
              <w:rPr>
                <w:sz w:val="21"/>
              </w:rPr>
              <w:t>处置 </w:t>
            </w:r>
          </w:p>
        </w:tc>
        <w:tc>
          <w:tcPr>
            <w:tcW w:w="1162" w:type="dxa"/>
          </w:tcPr>
          <w:p>
            <w:pPr>
              <w:pStyle w:val="TableParagraph"/>
              <w:spacing w:before="138"/>
              <w:ind w:left="580"/>
              <w:rPr>
                <w:sz w:val="21"/>
              </w:rPr>
            </w:pPr>
            <w:r>
              <w:rPr>
                <w:w w:val="100"/>
                <w:sz w:val="21"/>
              </w:rPr>
              <w:t> </w:t>
            </w:r>
            <w:r>
              <w:rPr>
                <w:sz w:val="21"/>
              </w:rPr>
              <w:t> </w:t>
            </w:r>
            <w:r>
              <w:rPr>
                <w:w w:val="100"/>
                <w:sz w:val="21"/>
              </w:rPr>
              <w:t> </w:t>
            </w:r>
          </w:p>
        </w:tc>
        <w:tc>
          <w:tcPr>
            <w:tcW w:w="1128" w:type="dxa"/>
            <w:vMerge/>
            <w:tcBorders>
              <w:top w:val="nil"/>
            </w:tcBorders>
          </w:tcPr>
          <w:p>
            <w:pPr>
              <w:rPr>
                <w:sz w:val="2"/>
                <w:szCs w:val="2"/>
              </w:rPr>
            </w:pPr>
          </w:p>
        </w:tc>
      </w:tr>
      <w:tr>
        <w:trPr>
          <w:trHeight w:val="546" w:hRule="atLeast"/>
        </w:trPr>
        <w:tc>
          <w:tcPr>
            <w:tcW w:w="1891" w:type="dxa"/>
          </w:tcPr>
          <w:p>
            <w:pPr>
              <w:pStyle w:val="TableParagraph"/>
              <w:spacing w:line="270" w:lineRule="atLeast"/>
              <w:ind w:left="107" w:right="271" w:firstLine="237"/>
              <w:rPr>
                <w:sz w:val="21"/>
              </w:rPr>
            </w:pPr>
            <w:r>
              <w:rPr>
                <w:spacing w:val="-1"/>
                <w:sz w:val="21"/>
              </w:rPr>
              <w:t>深圳恒驱电机</w:t>
            </w:r>
            <w:r>
              <w:rPr>
                <w:sz w:val="21"/>
              </w:rPr>
              <w:t>有限公司 </w:t>
            </w:r>
          </w:p>
        </w:tc>
        <w:tc>
          <w:tcPr>
            <w:tcW w:w="1148" w:type="dxa"/>
          </w:tcPr>
          <w:p>
            <w:pPr>
              <w:pStyle w:val="TableParagraph"/>
              <w:spacing w:before="3"/>
              <w:ind w:right="-15"/>
              <w:jc w:val="right"/>
              <w:rPr>
                <w:sz w:val="21"/>
              </w:rPr>
            </w:pPr>
            <w:r>
              <w:rPr>
                <w:w w:val="100"/>
                <w:sz w:val="21"/>
              </w:rPr>
              <w:t> </w:t>
            </w:r>
          </w:p>
        </w:tc>
        <w:tc>
          <w:tcPr>
            <w:tcW w:w="1174" w:type="dxa"/>
          </w:tcPr>
          <w:p>
            <w:pPr>
              <w:pStyle w:val="TableParagraph"/>
              <w:spacing w:line="237" w:lineRule="exact"/>
              <w:ind w:left="383"/>
              <w:rPr>
                <w:rFonts w:ascii="Times New Roman"/>
                <w:sz w:val="21"/>
              </w:rPr>
            </w:pPr>
            <w:r>
              <w:rPr>
                <w:rFonts w:ascii="Times New Roman"/>
                <w:sz w:val="21"/>
              </w:rPr>
              <w:t>310,153</w:t>
            </w:r>
          </w:p>
        </w:tc>
        <w:tc>
          <w:tcPr>
            <w:tcW w:w="1150" w:type="dxa"/>
          </w:tcPr>
          <w:p>
            <w:pPr>
              <w:pStyle w:val="TableParagraph"/>
              <w:rPr>
                <w:rFonts w:ascii="Times New Roman"/>
                <w:sz w:val="20"/>
              </w:rPr>
            </w:pPr>
          </w:p>
        </w:tc>
        <w:tc>
          <w:tcPr>
            <w:tcW w:w="1171" w:type="dxa"/>
          </w:tcPr>
          <w:p>
            <w:pPr>
              <w:pStyle w:val="TableParagraph"/>
              <w:rPr>
                <w:rFonts w:ascii="Times New Roman"/>
                <w:sz w:val="20"/>
              </w:rPr>
            </w:pPr>
          </w:p>
        </w:tc>
        <w:tc>
          <w:tcPr>
            <w:tcW w:w="1162" w:type="dxa"/>
          </w:tcPr>
          <w:p>
            <w:pPr>
              <w:pStyle w:val="TableParagraph"/>
              <w:rPr>
                <w:rFonts w:ascii="Times New Roman"/>
                <w:sz w:val="20"/>
              </w:rPr>
            </w:pPr>
          </w:p>
        </w:tc>
        <w:tc>
          <w:tcPr>
            <w:tcW w:w="1128" w:type="dxa"/>
          </w:tcPr>
          <w:p>
            <w:pPr>
              <w:pStyle w:val="TableParagraph"/>
              <w:spacing w:line="237" w:lineRule="exact"/>
              <w:ind w:left="338"/>
              <w:rPr>
                <w:rFonts w:ascii="Times New Roman"/>
                <w:sz w:val="21"/>
              </w:rPr>
            </w:pPr>
            <w:r>
              <w:rPr>
                <w:rFonts w:ascii="Times New Roman"/>
                <w:sz w:val="21"/>
              </w:rPr>
              <w:t>310,153</w:t>
            </w:r>
          </w:p>
        </w:tc>
      </w:tr>
    </w:tbl>
    <w:p>
      <w:pPr>
        <w:spacing w:after="0" w:line="237" w:lineRule="exact"/>
        <w:rPr>
          <w:rFonts w:ascii="Times New Roman"/>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1"/>
        <w:gridCol w:w="1148"/>
        <w:gridCol w:w="1174"/>
        <w:gridCol w:w="1150"/>
        <w:gridCol w:w="1171"/>
        <w:gridCol w:w="1162"/>
        <w:gridCol w:w="1128"/>
      </w:tblGrid>
      <w:tr>
        <w:trPr>
          <w:trHeight w:val="273" w:hRule="atLeast"/>
        </w:trPr>
        <w:tc>
          <w:tcPr>
            <w:tcW w:w="1891" w:type="dxa"/>
          </w:tcPr>
          <w:p>
            <w:pPr>
              <w:pStyle w:val="TableParagraph"/>
              <w:spacing w:line="250" w:lineRule="exact" w:before="3"/>
              <w:ind w:left="107"/>
              <w:rPr>
                <w:sz w:val="21"/>
              </w:rPr>
            </w:pPr>
            <w:r>
              <w:rPr>
                <w:w w:val="100"/>
                <w:sz w:val="21"/>
              </w:rPr>
              <w:t> </w:t>
            </w:r>
          </w:p>
        </w:tc>
        <w:tc>
          <w:tcPr>
            <w:tcW w:w="1148" w:type="dxa"/>
          </w:tcPr>
          <w:p>
            <w:pPr>
              <w:pStyle w:val="TableParagraph"/>
              <w:spacing w:line="250" w:lineRule="exact" w:before="3"/>
              <w:ind w:right="-15"/>
              <w:jc w:val="right"/>
              <w:rPr>
                <w:sz w:val="21"/>
              </w:rPr>
            </w:pPr>
            <w:r>
              <w:rPr>
                <w:w w:val="100"/>
                <w:sz w:val="21"/>
              </w:rPr>
              <w:t> </w:t>
            </w:r>
          </w:p>
        </w:tc>
        <w:tc>
          <w:tcPr>
            <w:tcW w:w="1174" w:type="dxa"/>
          </w:tcPr>
          <w:p>
            <w:pPr>
              <w:pStyle w:val="TableParagraph"/>
              <w:rPr>
                <w:rFonts w:ascii="Times New Roman"/>
                <w:sz w:val="20"/>
              </w:rPr>
            </w:pPr>
          </w:p>
        </w:tc>
        <w:tc>
          <w:tcPr>
            <w:tcW w:w="1150" w:type="dxa"/>
          </w:tcPr>
          <w:p>
            <w:pPr>
              <w:pStyle w:val="TableParagraph"/>
              <w:rPr>
                <w:rFonts w:ascii="Times New Roman"/>
                <w:sz w:val="20"/>
              </w:rPr>
            </w:pPr>
          </w:p>
        </w:tc>
        <w:tc>
          <w:tcPr>
            <w:tcW w:w="1171" w:type="dxa"/>
          </w:tcPr>
          <w:p>
            <w:pPr>
              <w:pStyle w:val="TableParagraph"/>
              <w:rPr>
                <w:rFonts w:ascii="Times New Roman"/>
                <w:sz w:val="20"/>
              </w:rPr>
            </w:pPr>
          </w:p>
        </w:tc>
        <w:tc>
          <w:tcPr>
            <w:tcW w:w="1162" w:type="dxa"/>
          </w:tcPr>
          <w:p>
            <w:pPr>
              <w:pStyle w:val="TableParagraph"/>
              <w:rPr>
                <w:rFonts w:ascii="Times New Roman"/>
                <w:sz w:val="20"/>
              </w:rPr>
            </w:pPr>
          </w:p>
        </w:tc>
        <w:tc>
          <w:tcPr>
            <w:tcW w:w="1128" w:type="dxa"/>
          </w:tcPr>
          <w:p>
            <w:pPr>
              <w:pStyle w:val="TableParagraph"/>
              <w:rPr>
                <w:rFonts w:ascii="Times New Roman"/>
                <w:sz w:val="20"/>
              </w:rPr>
            </w:pPr>
          </w:p>
        </w:tc>
      </w:tr>
      <w:tr>
        <w:trPr>
          <w:trHeight w:val="297" w:hRule="atLeast"/>
        </w:trPr>
        <w:tc>
          <w:tcPr>
            <w:tcW w:w="1891" w:type="dxa"/>
          </w:tcPr>
          <w:p>
            <w:pPr>
              <w:pStyle w:val="TableParagraph"/>
              <w:spacing w:line="264" w:lineRule="exact" w:before="13"/>
              <w:ind w:left="734"/>
              <w:rPr>
                <w:sz w:val="21"/>
              </w:rPr>
            </w:pPr>
            <w:r>
              <w:rPr>
                <w:sz w:val="21"/>
              </w:rPr>
              <w:t>合计 </w:t>
            </w:r>
          </w:p>
        </w:tc>
        <w:tc>
          <w:tcPr>
            <w:tcW w:w="1148" w:type="dxa"/>
          </w:tcPr>
          <w:p>
            <w:pPr>
              <w:pStyle w:val="TableParagraph"/>
              <w:spacing w:before="1"/>
              <w:ind w:right="-15"/>
              <w:jc w:val="right"/>
              <w:rPr>
                <w:sz w:val="21"/>
              </w:rPr>
            </w:pPr>
            <w:r>
              <w:rPr>
                <w:w w:val="100"/>
                <w:sz w:val="21"/>
              </w:rPr>
              <w:t> </w:t>
            </w:r>
          </w:p>
        </w:tc>
        <w:tc>
          <w:tcPr>
            <w:tcW w:w="1174" w:type="dxa"/>
          </w:tcPr>
          <w:p>
            <w:pPr>
              <w:pStyle w:val="TableParagraph"/>
              <w:spacing w:line="235" w:lineRule="exact"/>
              <w:ind w:left="383"/>
              <w:rPr>
                <w:rFonts w:ascii="Times New Roman"/>
                <w:sz w:val="21"/>
              </w:rPr>
            </w:pPr>
            <w:r>
              <w:rPr>
                <w:rFonts w:ascii="Times New Roman"/>
                <w:sz w:val="21"/>
              </w:rPr>
              <w:t>310,153</w:t>
            </w:r>
          </w:p>
        </w:tc>
        <w:tc>
          <w:tcPr>
            <w:tcW w:w="1150" w:type="dxa"/>
          </w:tcPr>
          <w:p>
            <w:pPr>
              <w:pStyle w:val="TableParagraph"/>
              <w:rPr>
                <w:rFonts w:ascii="Times New Roman"/>
                <w:sz w:val="20"/>
              </w:rPr>
            </w:pPr>
          </w:p>
        </w:tc>
        <w:tc>
          <w:tcPr>
            <w:tcW w:w="1171" w:type="dxa"/>
          </w:tcPr>
          <w:p>
            <w:pPr>
              <w:pStyle w:val="TableParagraph"/>
              <w:rPr>
                <w:rFonts w:ascii="Times New Roman"/>
                <w:sz w:val="20"/>
              </w:rPr>
            </w:pPr>
          </w:p>
        </w:tc>
        <w:tc>
          <w:tcPr>
            <w:tcW w:w="1162" w:type="dxa"/>
          </w:tcPr>
          <w:p>
            <w:pPr>
              <w:pStyle w:val="TableParagraph"/>
              <w:rPr>
                <w:rFonts w:ascii="Times New Roman"/>
                <w:sz w:val="20"/>
              </w:rPr>
            </w:pPr>
          </w:p>
        </w:tc>
        <w:tc>
          <w:tcPr>
            <w:tcW w:w="1128" w:type="dxa"/>
          </w:tcPr>
          <w:p>
            <w:pPr>
              <w:pStyle w:val="TableParagraph"/>
              <w:spacing w:line="235" w:lineRule="exact"/>
              <w:ind w:left="338"/>
              <w:rPr>
                <w:rFonts w:ascii="Times New Roman"/>
                <w:sz w:val="21"/>
              </w:rPr>
            </w:pPr>
            <w:r>
              <w:rPr>
                <w:rFonts w:ascii="Times New Roman"/>
                <w:sz w:val="21"/>
              </w:rPr>
              <w:t>310,153</w:t>
            </w:r>
          </w:p>
        </w:tc>
      </w:tr>
    </w:tbl>
    <w:p>
      <w:pPr>
        <w:pStyle w:val="BodyText"/>
        <w:spacing w:before="1"/>
      </w:pPr>
      <w:r>
        <w:rPr>
          <w:w w:val="100"/>
        </w:rPr>
        <w:t> </w:t>
      </w:r>
    </w:p>
    <w:p>
      <w:pPr>
        <w:pStyle w:val="ListParagraph"/>
        <w:numPr>
          <w:ilvl w:val="0"/>
          <w:numId w:val="70"/>
        </w:numPr>
        <w:tabs>
          <w:tab w:pos="746" w:val="left" w:leader="none"/>
        </w:tabs>
        <w:spacing w:line="240" w:lineRule="auto" w:before="62" w:after="0"/>
        <w:ind w:left="745" w:right="0" w:hanging="428"/>
        <w:jc w:val="left"/>
        <w:rPr>
          <w:sz w:val="21"/>
        </w:rPr>
      </w:pPr>
      <w:r>
        <w:rPr>
          <w:sz w:val="21"/>
        </w:rPr>
        <w:t>商誉减值准备 </w:t>
      </w:r>
    </w:p>
    <w:p>
      <w:pPr>
        <w:pStyle w:val="BodyText"/>
        <w:spacing w:before="65"/>
      </w:pPr>
      <w:r>
        <w:rPr>
          <w:spacing w:val="-1"/>
        </w:rPr>
        <w:t>□适用 √不适用</w:t>
      </w:r>
      <w:r>
        <w:rPr>
          <w:spacing w:val="-3"/>
        </w:rPr>
        <w:t> </w:t>
      </w:r>
      <w:r>
        <w:rPr/>
        <w:t> </w:t>
      </w:r>
    </w:p>
    <w:p>
      <w:pPr>
        <w:pStyle w:val="ListParagraph"/>
        <w:numPr>
          <w:ilvl w:val="0"/>
          <w:numId w:val="70"/>
        </w:numPr>
        <w:tabs>
          <w:tab w:pos="743" w:val="left" w:leader="none"/>
        </w:tabs>
        <w:spacing w:line="240" w:lineRule="auto" w:before="62" w:after="0"/>
        <w:ind w:left="742" w:right="0" w:hanging="425"/>
        <w:jc w:val="left"/>
        <w:rPr>
          <w:sz w:val="21"/>
        </w:rPr>
      </w:pPr>
      <w:r>
        <w:rPr>
          <w:sz w:val="21"/>
        </w:rPr>
        <w:t>商誉所在资产组或资产组组合的相关信息 </w:t>
      </w:r>
    </w:p>
    <w:p>
      <w:pPr>
        <w:pStyle w:val="BodyText"/>
        <w:spacing w:before="64"/>
      </w:pPr>
      <w:r>
        <w:rPr>
          <w:spacing w:val="-1"/>
        </w:rPr>
        <w:t>□适用 √不适用</w:t>
      </w:r>
      <w:r>
        <w:rPr>
          <w:spacing w:val="-3"/>
        </w:rPr>
        <w:t> </w:t>
      </w:r>
      <w:r>
        <w:rPr/>
        <w:t> </w:t>
      </w:r>
    </w:p>
    <w:p>
      <w:pPr>
        <w:pStyle w:val="BodyText"/>
        <w:spacing w:before="2"/>
      </w:pPr>
      <w:r>
        <w:rPr>
          <w:w w:val="100"/>
        </w:rPr>
        <w:t> </w:t>
      </w:r>
    </w:p>
    <w:p>
      <w:pPr>
        <w:pStyle w:val="ListParagraph"/>
        <w:numPr>
          <w:ilvl w:val="0"/>
          <w:numId w:val="70"/>
        </w:numPr>
        <w:tabs>
          <w:tab w:pos="743" w:val="left" w:leader="none"/>
        </w:tabs>
        <w:spacing w:line="242" w:lineRule="auto" w:before="65" w:after="0"/>
        <w:ind w:left="742" w:right="1264" w:hanging="425"/>
        <w:jc w:val="left"/>
        <w:rPr>
          <w:sz w:val="21"/>
        </w:rPr>
      </w:pPr>
      <w:r>
        <w:rPr>
          <w:sz w:val="21"/>
        </w:rPr>
        <w:t>说明商誉减值测试过程、关键参数（例如预计未来现金流量现值时的预测期增长率、稳定</w:t>
      </w:r>
      <w:r>
        <w:rPr>
          <w:spacing w:val="1"/>
          <w:sz w:val="21"/>
        </w:rPr>
        <w:t> </w:t>
      </w:r>
      <w:r>
        <w:rPr>
          <w:sz w:val="21"/>
        </w:rPr>
        <w:t>期增长率、利润率、折现率、预测期等，如适用）及商誉减值损失的确认方法 </w:t>
      </w:r>
    </w:p>
    <w:p>
      <w:pPr>
        <w:pStyle w:val="BodyText"/>
        <w:spacing w:before="61"/>
      </w:pPr>
      <w:r>
        <w:rPr>
          <w:spacing w:val="-1"/>
        </w:rPr>
        <w:t>□适用 √不适用</w:t>
      </w:r>
      <w:r>
        <w:rPr>
          <w:spacing w:val="-3"/>
        </w:rPr>
        <w:t> </w:t>
      </w:r>
      <w:r>
        <w:rPr/>
        <w:t> </w:t>
      </w:r>
    </w:p>
    <w:p>
      <w:pPr>
        <w:pStyle w:val="BodyText"/>
        <w:spacing w:before="2"/>
      </w:pPr>
      <w:r>
        <w:rPr>
          <w:w w:val="100"/>
        </w:rPr>
        <w:t> </w:t>
      </w:r>
    </w:p>
    <w:p>
      <w:pPr>
        <w:pStyle w:val="ListParagraph"/>
        <w:numPr>
          <w:ilvl w:val="0"/>
          <w:numId w:val="70"/>
        </w:numPr>
        <w:tabs>
          <w:tab w:pos="746" w:val="left" w:leader="none"/>
        </w:tabs>
        <w:spacing w:line="240" w:lineRule="auto" w:before="63" w:after="0"/>
        <w:ind w:left="745" w:right="0" w:hanging="428"/>
        <w:jc w:val="left"/>
        <w:rPr>
          <w:sz w:val="21"/>
        </w:rPr>
      </w:pPr>
      <w:r>
        <w:rPr>
          <w:sz w:val="21"/>
        </w:rPr>
        <w:t>商誉减值测试的影响 </w:t>
      </w:r>
    </w:p>
    <w:p>
      <w:pPr>
        <w:pStyle w:val="BodyText"/>
        <w:spacing w:before="65"/>
      </w:pPr>
      <w:r>
        <w:rPr>
          <w:spacing w:val="-1"/>
        </w:rPr>
        <w:t>□适用 √不适用</w:t>
      </w:r>
      <w:r>
        <w:rPr>
          <w:spacing w:val="-3"/>
        </w:rPr>
        <w:t> </w:t>
      </w:r>
      <w:r>
        <w:rPr/>
        <w:t> </w:t>
      </w:r>
    </w:p>
    <w:p>
      <w:pPr>
        <w:pStyle w:val="BodyText"/>
        <w:spacing w:before="2"/>
      </w:pPr>
      <w:r>
        <w:rPr>
          <w:w w:val="100"/>
        </w:rPr>
        <w:t> </w:t>
      </w:r>
    </w:p>
    <w:p>
      <w:pPr>
        <w:pStyle w:val="BodyText"/>
        <w:spacing w:before="4"/>
      </w:pPr>
      <w:r>
        <w:rPr>
          <w:spacing w:val="-1"/>
        </w:rPr>
        <w:t>其他说明</w:t>
      </w:r>
      <w:r>
        <w:rPr/>
        <w:t> </w:t>
      </w:r>
    </w:p>
    <w:p>
      <w:pPr>
        <w:pStyle w:val="BodyText"/>
        <w:spacing w:before="2"/>
      </w:pPr>
      <w:r>
        <w:rPr>
          <w:spacing w:val="-1"/>
        </w:rPr>
        <w:t>□适用 √不适用</w:t>
      </w:r>
      <w:r>
        <w:rPr>
          <w:spacing w:val="-3"/>
        </w:rPr>
        <w:t> </w:t>
      </w:r>
      <w:r>
        <w:rPr/>
        <w:t> </w:t>
      </w:r>
    </w:p>
    <w:p>
      <w:pPr>
        <w:pStyle w:val="BodyText"/>
        <w:spacing w:before="5"/>
      </w:pPr>
      <w:r>
        <w:rPr>
          <w:w w:val="100"/>
        </w:rPr>
        <w:t> </w:t>
      </w:r>
    </w:p>
    <w:p>
      <w:pPr>
        <w:pStyle w:val="BodyText"/>
        <w:spacing w:before="62"/>
      </w:pPr>
      <w:r>
        <w:rPr/>
        <w:t>29</w:t>
      </w:r>
      <w:r>
        <w:rPr>
          <w:spacing w:val="-5"/>
        </w:rPr>
        <w:t>、 长期待摊费用</w:t>
      </w:r>
      <w:r>
        <w:rPr/>
        <w:t> </w:t>
      </w:r>
    </w:p>
    <w:p>
      <w:pPr>
        <w:pStyle w:val="BodyText"/>
        <w:spacing w:before="65"/>
      </w:pPr>
      <w:r>
        <w:rPr>
          <w:spacing w:val="-1"/>
        </w:rPr>
        <w:t>√适用 □不适用</w:t>
      </w:r>
      <w:r>
        <w:rPr>
          <w:spacing w:val="-3"/>
        </w:rPr>
        <w:t> </w:t>
      </w:r>
      <w:r>
        <w:rPr/>
        <w:t> </w:t>
      </w:r>
    </w:p>
    <w:p>
      <w:pPr>
        <w:pStyle w:val="BodyText"/>
        <w:spacing w:before="2" w:after="3"/>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8"/>
        <w:gridCol w:w="1117"/>
        <w:gridCol w:w="1095"/>
        <w:gridCol w:w="1117"/>
        <w:gridCol w:w="1117"/>
        <w:gridCol w:w="1093"/>
        <w:gridCol w:w="1142"/>
        <w:gridCol w:w="1081"/>
      </w:tblGrid>
      <w:tr>
        <w:trPr>
          <w:trHeight w:val="815" w:hRule="atLeast"/>
        </w:trPr>
        <w:tc>
          <w:tcPr>
            <w:tcW w:w="1068" w:type="dxa"/>
          </w:tcPr>
          <w:p>
            <w:pPr>
              <w:pStyle w:val="TableParagraph"/>
              <w:spacing w:before="1"/>
              <w:ind w:right="206"/>
              <w:jc w:val="right"/>
              <w:rPr>
                <w:sz w:val="21"/>
              </w:rPr>
            </w:pPr>
            <w:r>
              <w:rPr>
                <w:sz w:val="21"/>
              </w:rPr>
              <w:t>项目 </w:t>
            </w:r>
          </w:p>
        </w:tc>
        <w:tc>
          <w:tcPr>
            <w:tcW w:w="1117" w:type="dxa"/>
          </w:tcPr>
          <w:p>
            <w:pPr>
              <w:pStyle w:val="TableParagraph"/>
              <w:spacing w:before="1"/>
              <w:ind w:right="22"/>
              <w:jc w:val="right"/>
              <w:rPr>
                <w:sz w:val="21"/>
              </w:rPr>
            </w:pPr>
            <w:r>
              <w:rPr>
                <w:spacing w:val="-1"/>
                <w:sz w:val="21"/>
              </w:rPr>
              <w:t>期初余额</w:t>
            </w:r>
            <w:r>
              <w:rPr>
                <w:sz w:val="21"/>
              </w:rPr>
              <w:t> </w:t>
            </w:r>
          </w:p>
        </w:tc>
        <w:tc>
          <w:tcPr>
            <w:tcW w:w="1095" w:type="dxa"/>
          </w:tcPr>
          <w:p>
            <w:pPr>
              <w:pStyle w:val="TableParagraph"/>
              <w:spacing w:line="242" w:lineRule="auto" w:before="1"/>
              <w:ind w:left="124" w:right="116"/>
              <w:rPr>
                <w:sz w:val="21"/>
              </w:rPr>
            </w:pPr>
            <w:r>
              <w:rPr>
                <w:spacing w:val="-1"/>
                <w:sz w:val="21"/>
              </w:rPr>
              <w:t>非同一控制下企业</w:t>
            </w:r>
          </w:p>
          <w:p>
            <w:pPr>
              <w:pStyle w:val="TableParagraph"/>
              <w:spacing w:line="250" w:lineRule="exact" w:before="1"/>
              <w:ind w:left="335"/>
              <w:rPr>
                <w:sz w:val="21"/>
              </w:rPr>
            </w:pPr>
            <w:r>
              <w:rPr>
                <w:sz w:val="21"/>
              </w:rPr>
              <w:t>合并 </w:t>
            </w:r>
          </w:p>
        </w:tc>
        <w:tc>
          <w:tcPr>
            <w:tcW w:w="1117" w:type="dxa"/>
          </w:tcPr>
          <w:p>
            <w:pPr>
              <w:pStyle w:val="TableParagraph"/>
              <w:spacing w:line="242" w:lineRule="auto" w:before="1"/>
              <w:ind w:left="346" w:right="127" w:hanging="212"/>
              <w:rPr>
                <w:sz w:val="21"/>
              </w:rPr>
            </w:pPr>
            <w:r>
              <w:rPr>
                <w:spacing w:val="-1"/>
                <w:sz w:val="21"/>
              </w:rPr>
              <w:t>本期增加</w:t>
            </w:r>
            <w:r>
              <w:rPr>
                <w:sz w:val="21"/>
              </w:rPr>
              <w:t>金额 </w:t>
            </w:r>
          </w:p>
        </w:tc>
        <w:tc>
          <w:tcPr>
            <w:tcW w:w="1117" w:type="dxa"/>
          </w:tcPr>
          <w:p>
            <w:pPr>
              <w:pStyle w:val="TableParagraph"/>
              <w:spacing w:line="242" w:lineRule="auto" w:before="1"/>
              <w:ind w:left="346" w:right="127" w:hanging="212"/>
              <w:rPr>
                <w:sz w:val="21"/>
              </w:rPr>
            </w:pPr>
            <w:r>
              <w:rPr>
                <w:spacing w:val="-1"/>
                <w:sz w:val="21"/>
              </w:rPr>
              <w:t>本期摊销</w:t>
            </w:r>
            <w:r>
              <w:rPr>
                <w:sz w:val="21"/>
              </w:rPr>
              <w:t>金额 </w:t>
            </w:r>
          </w:p>
        </w:tc>
        <w:tc>
          <w:tcPr>
            <w:tcW w:w="1093" w:type="dxa"/>
          </w:tcPr>
          <w:p>
            <w:pPr>
              <w:pStyle w:val="TableParagraph"/>
              <w:spacing w:line="242" w:lineRule="auto" w:before="1"/>
              <w:ind w:left="119" w:right="15"/>
              <w:rPr>
                <w:sz w:val="21"/>
              </w:rPr>
            </w:pPr>
            <w:r>
              <w:rPr>
                <w:sz w:val="21"/>
              </w:rPr>
              <w:t>外币报表折算差异 </w:t>
            </w:r>
          </w:p>
        </w:tc>
        <w:tc>
          <w:tcPr>
            <w:tcW w:w="1142" w:type="dxa"/>
          </w:tcPr>
          <w:p>
            <w:pPr>
              <w:pStyle w:val="TableParagraph"/>
              <w:spacing w:line="242" w:lineRule="auto" w:before="1"/>
              <w:ind w:left="353" w:right="145" w:hanging="212"/>
              <w:rPr>
                <w:sz w:val="21"/>
              </w:rPr>
            </w:pPr>
            <w:r>
              <w:rPr>
                <w:spacing w:val="-1"/>
                <w:sz w:val="21"/>
              </w:rPr>
              <w:t>其他减少</w:t>
            </w:r>
            <w:r>
              <w:rPr>
                <w:sz w:val="21"/>
              </w:rPr>
              <w:t>金额 </w:t>
            </w:r>
          </w:p>
        </w:tc>
        <w:tc>
          <w:tcPr>
            <w:tcW w:w="1081" w:type="dxa"/>
          </w:tcPr>
          <w:p>
            <w:pPr>
              <w:pStyle w:val="TableParagraph"/>
              <w:spacing w:before="1"/>
              <w:ind w:left="112"/>
              <w:rPr>
                <w:sz w:val="21"/>
              </w:rPr>
            </w:pPr>
            <w:r>
              <w:rPr>
                <w:spacing w:val="-1"/>
                <w:sz w:val="21"/>
              </w:rPr>
              <w:t>期末余额</w:t>
            </w:r>
            <w:r>
              <w:rPr>
                <w:sz w:val="21"/>
              </w:rPr>
              <w:t> </w:t>
            </w:r>
          </w:p>
        </w:tc>
      </w:tr>
      <w:tr>
        <w:trPr>
          <w:trHeight w:val="544" w:hRule="atLeast"/>
        </w:trPr>
        <w:tc>
          <w:tcPr>
            <w:tcW w:w="1068" w:type="dxa"/>
          </w:tcPr>
          <w:p>
            <w:pPr>
              <w:pStyle w:val="TableParagraph"/>
              <w:spacing w:line="270" w:lineRule="atLeast"/>
              <w:ind w:left="107" w:right="94"/>
              <w:rPr>
                <w:sz w:val="21"/>
              </w:rPr>
            </w:pPr>
            <w:r>
              <w:rPr>
                <w:sz w:val="21"/>
              </w:rPr>
              <w:t>使用权资产改良 </w:t>
            </w:r>
          </w:p>
        </w:tc>
        <w:tc>
          <w:tcPr>
            <w:tcW w:w="1117" w:type="dxa"/>
          </w:tcPr>
          <w:p>
            <w:pPr>
              <w:pStyle w:val="TableParagraph"/>
              <w:spacing w:line="238" w:lineRule="exact"/>
              <w:ind w:right="94"/>
              <w:jc w:val="right"/>
              <w:rPr>
                <w:rFonts w:ascii="Times New Roman"/>
                <w:sz w:val="21"/>
              </w:rPr>
            </w:pPr>
            <w:r>
              <w:rPr>
                <w:rFonts w:ascii="Times New Roman"/>
                <w:sz w:val="21"/>
              </w:rPr>
              <w:t>1,255,753</w:t>
            </w:r>
          </w:p>
        </w:tc>
        <w:tc>
          <w:tcPr>
            <w:tcW w:w="1095" w:type="dxa"/>
          </w:tcPr>
          <w:p>
            <w:pPr>
              <w:pStyle w:val="TableParagraph"/>
              <w:spacing w:line="238" w:lineRule="exact"/>
              <w:ind w:right="94"/>
              <w:jc w:val="right"/>
              <w:rPr>
                <w:rFonts w:ascii="Times New Roman"/>
                <w:sz w:val="21"/>
              </w:rPr>
            </w:pPr>
            <w:r>
              <w:rPr>
                <w:rFonts w:ascii="Times New Roman"/>
                <w:sz w:val="21"/>
              </w:rPr>
              <w:t>702</w:t>
            </w:r>
          </w:p>
        </w:tc>
        <w:tc>
          <w:tcPr>
            <w:tcW w:w="1117" w:type="dxa"/>
          </w:tcPr>
          <w:p>
            <w:pPr>
              <w:pStyle w:val="TableParagraph"/>
              <w:spacing w:line="238" w:lineRule="exact"/>
              <w:ind w:right="95"/>
              <w:jc w:val="right"/>
              <w:rPr>
                <w:rFonts w:ascii="Times New Roman"/>
                <w:sz w:val="21"/>
              </w:rPr>
            </w:pPr>
            <w:r>
              <w:rPr>
                <w:rFonts w:ascii="Times New Roman"/>
                <w:sz w:val="21"/>
              </w:rPr>
              <w:t>931,979</w:t>
            </w:r>
          </w:p>
        </w:tc>
        <w:tc>
          <w:tcPr>
            <w:tcW w:w="1117" w:type="dxa"/>
          </w:tcPr>
          <w:p>
            <w:pPr>
              <w:pStyle w:val="TableParagraph"/>
              <w:spacing w:line="238" w:lineRule="exact"/>
              <w:ind w:right="96"/>
              <w:jc w:val="right"/>
              <w:rPr>
                <w:rFonts w:ascii="Times New Roman"/>
                <w:sz w:val="21"/>
              </w:rPr>
            </w:pPr>
            <w:r>
              <w:rPr>
                <w:rFonts w:ascii="Times New Roman"/>
                <w:sz w:val="21"/>
              </w:rPr>
              <w:t>459,263</w:t>
            </w:r>
          </w:p>
        </w:tc>
        <w:tc>
          <w:tcPr>
            <w:tcW w:w="1093" w:type="dxa"/>
          </w:tcPr>
          <w:p>
            <w:pPr>
              <w:pStyle w:val="TableParagraph"/>
              <w:spacing w:line="238" w:lineRule="exact"/>
              <w:ind w:right="99"/>
              <w:jc w:val="right"/>
              <w:rPr>
                <w:rFonts w:ascii="Times New Roman"/>
                <w:sz w:val="21"/>
              </w:rPr>
            </w:pPr>
            <w:r>
              <w:rPr>
                <w:rFonts w:ascii="Times New Roman"/>
                <w:sz w:val="21"/>
              </w:rPr>
              <w:t>15,335</w:t>
            </w:r>
          </w:p>
        </w:tc>
        <w:tc>
          <w:tcPr>
            <w:tcW w:w="1142" w:type="dxa"/>
          </w:tcPr>
          <w:p>
            <w:pPr>
              <w:pStyle w:val="TableParagraph"/>
              <w:rPr>
                <w:rFonts w:ascii="Times New Roman"/>
                <w:sz w:val="20"/>
              </w:rPr>
            </w:pPr>
          </w:p>
        </w:tc>
        <w:tc>
          <w:tcPr>
            <w:tcW w:w="1081" w:type="dxa"/>
          </w:tcPr>
          <w:p>
            <w:pPr>
              <w:pStyle w:val="TableParagraph"/>
              <w:spacing w:line="238" w:lineRule="exact"/>
              <w:ind w:left="126"/>
              <w:rPr>
                <w:rFonts w:ascii="Times New Roman"/>
                <w:sz w:val="21"/>
              </w:rPr>
            </w:pPr>
            <w:r>
              <w:rPr>
                <w:rFonts w:ascii="Times New Roman"/>
                <w:sz w:val="21"/>
              </w:rPr>
              <w:t>1,744,506</w:t>
            </w:r>
          </w:p>
        </w:tc>
      </w:tr>
      <w:tr>
        <w:trPr>
          <w:trHeight w:val="273" w:hRule="atLeast"/>
        </w:trPr>
        <w:tc>
          <w:tcPr>
            <w:tcW w:w="1068" w:type="dxa"/>
          </w:tcPr>
          <w:p>
            <w:pPr>
              <w:pStyle w:val="TableParagraph"/>
              <w:spacing w:line="250" w:lineRule="exact" w:before="3"/>
              <w:ind w:left="107"/>
              <w:rPr>
                <w:sz w:val="21"/>
              </w:rPr>
            </w:pPr>
            <w:r>
              <w:rPr>
                <w:w w:val="100"/>
                <w:sz w:val="21"/>
              </w:rPr>
              <w:t> </w:t>
            </w:r>
          </w:p>
        </w:tc>
        <w:tc>
          <w:tcPr>
            <w:tcW w:w="1117" w:type="dxa"/>
          </w:tcPr>
          <w:p>
            <w:pPr>
              <w:pStyle w:val="TableParagraph"/>
              <w:rPr>
                <w:rFonts w:ascii="Times New Roman"/>
                <w:sz w:val="20"/>
              </w:rPr>
            </w:pPr>
          </w:p>
        </w:tc>
        <w:tc>
          <w:tcPr>
            <w:tcW w:w="1095" w:type="dxa"/>
          </w:tcPr>
          <w:p>
            <w:pPr>
              <w:pStyle w:val="TableParagraph"/>
              <w:rPr>
                <w:rFonts w:ascii="Times New Roman"/>
                <w:sz w:val="20"/>
              </w:rPr>
            </w:pPr>
          </w:p>
        </w:tc>
        <w:tc>
          <w:tcPr>
            <w:tcW w:w="1117" w:type="dxa"/>
          </w:tcPr>
          <w:p>
            <w:pPr>
              <w:pStyle w:val="TableParagraph"/>
              <w:rPr>
                <w:rFonts w:ascii="Times New Roman"/>
                <w:sz w:val="20"/>
              </w:rPr>
            </w:pPr>
          </w:p>
        </w:tc>
        <w:tc>
          <w:tcPr>
            <w:tcW w:w="1117" w:type="dxa"/>
          </w:tcPr>
          <w:p>
            <w:pPr>
              <w:pStyle w:val="TableParagraph"/>
              <w:rPr>
                <w:rFonts w:ascii="Times New Roman"/>
                <w:sz w:val="20"/>
              </w:rPr>
            </w:pPr>
          </w:p>
        </w:tc>
        <w:tc>
          <w:tcPr>
            <w:tcW w:w="1093" w:type="dxa"/>
          </w:tcPr>
          <w:p>
            <w:pPr>
              <w:pStyle w:val="TableParagraph"/>
              <w:rPr>
                <w:rFonts w:ascii="Times New Roman"/>
                <w:sz w:val="20"/>
              </w:rPr>
            </w:pPr>
          </w:p>
        </w:tc>
        <w:tc>
          <w:tcPr>
            <w:tcW w:w="1142" w:type="dxa"/>
          </w:tcPr>
          <w:p>
            <w:pPr>
              <w:pStyle w:val="TableParagraph"/>
              <w:rPr>
                <w:rFonts w:ascii="Times New Roman"/>
                <w:sz w:val="20"/>
              </w:rPr>
            </w:pPr>
          </w:p>
        </w:tc>
        <w:tc>
          <w:tcPr>
            <w:tcW w:w="1081" w:type="dxa"/>
          </w:tcPr>
          <w:p>
            <w:pPr>
              <w:pStyle w:val="TableParagraph"/>
              <w:rPr>
                <w:rFonts w:ascii="Times New Roman"/>
                <w:sz w:val="20"/>
              </w:rPr>
            </w:pPr>
          </w:p>
        </w:tc>
      </w:tr>
      <w:tr>
        <w:trPr>
          <w:trHeight w:val="273" w:hRule="atLeast"/>
        </w:trPr>
        <w:tc>
          <w:tcPr>
            <w:tcW w:w="1068" w:type="dxa"/>
          </w:tcPr>
          <w:p>
            <w:pPr>
              <w:pStyle w:val="TableParagraph"/>
              <w:spacing w:line="252" w:lineRule="exact" w:before="1"/>
              <w:ind w:right="206"/>
              <w:jc w:val="right"/>
              <w:rPr>
                <w:sz w:val="21"/>
              </w:rPr>
            </w:pPr>
            <w:r>
              <w:rPr>
                <w:sz w:val="21"/>
              </w:rPr>
              <w:t>合计 </w:t>
            </w:r>
          </w:p>
        </w:tc>
        <w:tc>
          <w:tcPr>
            <w:tcW w:w="1117" w:type="dxa"/>
          </w:tcPr>
          <w:p>
            <w:pPr>
              <w:pStyle w:val="TableParagraph"/>
              <w:spacing w:before="10"/>
              <w:ind w:right="94"/>
              <w:jc w:val="right"/>
              <w:rPr>
                <w:rFonts w:ascii="Times New Roman"/>
                <w:sz w:val="21"/>
              </w:rPr>
            </w:pPr>
            <w:r>
              <w:rPr>
                <w:rFonts w:ascii="Times New Roman"/>
                <w:sz w:val="21"/>
              </w:rPr>
              <w:t>1,255,753</w:t>
            </w:r>
          </w:p>
        </w:tc>
        <w:tc>
          <w:tcPr>
            <w:tcW w:w="1095" w:type="dxa"/>
          </w:tcPr>
          <w:p>
            <w:pPr>
              <w:pStyle w:val="TableParagraph"/>
              <w:spacing w:before="10"/>
              <w:ind w:right="94"/>
              <w:jc w:val="right"/>
              <w:rPr>
                <w:rFonts w:ascii="Times New Roman"/>
                <w:sz w:val="21"/>
              </w:rPr>
            </w:pPr>
            <w:r>
              <w:rPr>
                <w:rFonts w:ascii="Times New Roman"/>
                <w:sz w:val="21"/>
              </w:rPr>
              <w:t>702</w:t>
            </w:r>
          </w:p>
        </w:tc>
        <w:tc>
          <w:tcPr>
            <w:tcW w:w="1117" w:type="dxa"/>
          </w:tcPr>
          <w:p>
            <w:pPr>
              <w:pStyle w:val="TableParagraph"/>
              <w:spacing w:before="10"/>
              <w:ind w:right="95"/>
              <w:jc w:val="right"/>
              <w:rPr>
                <w:rFonts w:ascii="Times New Roman"/>
                <w:sz w:val="21"/>
              </w:rPr>
            </w:pPr>
            <w:r>
              <w:rPr>
                <w:rFonts w:ascii="Times New Roman"/>
                <w:sz w:val="21"/>
              </w:rPr>
              <w:t>931,979</w:t>
            </w:r>
          </w:p>
        </w:tc>
        <w:tc>
          <w:tcPr>
            <w:tcW w:w="1117" w:type="dxa"/>
          </w:tcPr>
          <w:p>
            <w:pPr>
              <w:pStyle w:val="TableParagraph"/>
              <w:spacing w:before="10"/>
              <w:ind w:right="96"/>
              <w:jc w:val="right"/>
              <w:rPr>
                <w:rFonts w:ascii="Times New Roman"/>
                <w:sz w:val="21"/>
              </w:rPr>
            </w:pPr>
            <w:r>
              <w:rPr>
                <w:rFonts w:ascii="Times New Roman"/>
                <w:sz w:val="21"/>
              </w:rPr>
              <w:t>459,263</w:t>
            </w:r>
          </w:p>
        </w:tc>
        <w:tc>
          <w:tcPr>
            <w:tcW w:w="1093" w:type="dxa"/>
          </w:tcPr>
          <w:p>
            <w:pPr>
              <w:pStyle w:val="TableParagraph"/>
              <w:spacing w:before="10"/>
              <w:ind w:right="99"/>
              <w:jc w:val="right"/>
              <w:rPr>
                <w:rFonts w:ascii="Times New Roman"/>
                <w:sz w:val="21"/>
              </w:rPr>
            </w:pPr>
            <w:r>
              <w:rPr>
                <w:rFonts w:ascii="Times New Roman"/>
                <w:sz w:val="21"/>
              </w:rPr>
              <w:t>15,335</w:t>
            </w:r>
          </w:p>
        </w:tc>
        <w:tc>
          <w:tcPr>
            <w:tcW w:w="1142" w:type="dxa"/>
          </w:tcPr>
          <w:p>
            <w:pPr>
              <w:pStyle w:val="TableParagraph"/>
              <w:rPr>
                <w:rFonts w:ascii="Times New Roman"/>
                <w:sz w:val="20"/>
              </w:rPr>
            </w:pPr>
          </w:p>
        </w:tc>
        <w:tc>
          <w:tcPr>
            <w:tcW w:w="1081" w:type="dxa"/>
          </w:tcPr>
          <w:p>
            <w:pPr>
              <w:pStyle w:val="TableParagraph"/>
              <w:spacing w:before="10"/>
              <w:ind w:left="126"/>
              <w:rPr>
                <w:rFonts w:ascii="Times New Roman"/>
                <w:sz w:val="21"/>
              </w:rPr>
            </w:pPr>
            <w:r>
              <w:rPr>
                <w:rFonts w:ascii="Times New Roman"/>
                <w:sz w:val="21"/>
              </w:rPr>
              <w:t>1,744,506</w:t>
            </w:r>
          </w:p>
        </w:tc>
      </w:tr>
    </w:tbl>
    <w:p>
      <w:pPr>
        <w:pStyle w:val="BodyText"/>
        <w:spacing w:before="1"/>
      </w:pPr>
      <w:r>
        <w:rPr>
          <w:w w:val="100"/>
        </w:rPr>
        <w:t> </w:t>
      </w:r>
    </w:p>
    <w:p>
      <w:pPr>
        <w:pStyle w:val="BodyText"/>
        <w:spacing w:before="2"/>
      </w:pPr>
      <w:r>
        <w:rPr/>
        <w:t>其他说明： </w:t>
      </w:r>
    </w:p>
    <w:p>
      <w:pPr>
        <w:pStyle w:val="BodyText"/>
        <w:spacing w:before="5"/>
      </w:pPr>
      <w:r>
        <w:rPr>
          <w:spacing w:val="-1"/>
        </w:rPr>
        <w:t>使用权资产改良支出主要系本集团对租入厂房的装修支出和租入设备改造支出。</w:t>
      </w:r>
      <w:r>
        <w:rPr/>
        <w:t> </w:t>
      </w:r>
    </w:p>
    <w:p>
      <w:pPr>
        <w:pStyle w:val="BodyText"/>
        <w:spacing w:before="2"/>
      </w:pPr>
      <w:r>
        <w:rPr>
          <w:w w:val="100"/>
        </w:rPr>
        <w:t> </w:t>
      </w:r>
    </w:p>
    <w:p>
      <w:pPr>
        <w:pStyle w:val="BodyText"/>
        <w:spacing w:line="295" w:lineRule="auto" w:before="64"/>
        <w:ind w:right="6333"/>
      </w:pPr>
      <w:r>
        <w:rPr/>
        <w:t>30</w:t>
      </w:r>
      <w:r>
        <w:rPr>
          <w:spacing w:val="-5"/>
        </w:rPr>
        <w:t>、 递延所得税资产/ 递延所得税负债</w:t>
      </w:r>
      <w:r>
        <w:rPr/>
        <w:t>(1).未经抵销的递延所得税资产 </w:t>
      </w:r>
    </w:p>
    <w:p>
      <w:pPr>
        <w:pStyle w:val="BodyText"/>
        <w:spacing w:before="3"/>
      </w:pPr>
      <w:r>
        <w:rPr>
          <w:spacing w:val="-1"/>
        </w:rPr>
        <w:t>√适用 □不适用</w:t>
      </w:r>
      <w:r>
        <w:rPr>
          <w:spacing w:val="-3"/>
        </w:rPr>
        <w:t> </w:t>
      </w:r>
      <w:r>
        <w:rPr/>
        <w:t> </w:t>
      </w:r>
    </w:p>
    <w:p>
      <w:pPr>
        <w:pStyle w:val="BodyText"/>
        <w:spacing w:before="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4"/>
        <w:gridCol w:w="1611"/>
        <w:gridCol w:w="1607"/>
        <w:gridCol w:w="1624"/>
        <w:gridCol w:w="1604"/>
      </w:tblGrid>
      <w:tr>
        <w:trPr>
          <w:trHeight w:val="285" w:hRule="atLeast"/>
        </w:trPr>
        <w:tc>
          <w:tcPr>
            <w:tcW w:w="2384" w:type="dxa"/>
            <w:vMerge w:val="restart"/>
          </w:tcPr>
          <w:p>
            <w:pPr>
              <w:pStyle w:val="TableParagraph"/>
              <w:spacing w:before="2"/>
              <w:rPr>
                <w:sz w:val="22"/>
              </w:rPr>
            </w:pPr>
          </w:p>
          <w:p>
            <w:pPr>
              <w:pStyle w:val="TableParagraph"/>
              <w:spacing w:before="1"/>
              <w:ind w:left="1014" w:right="900"/>
              <w:jc w:val="center"/>
              <w:rPr>
                <w:sz w:val="21"/>
              </w:rPr>
            </w:pPr>
            <w:r>
              <w:rPr>
                <w:sz w:val="21"/>
              </w:rPr>
              <w:t>项目 </w:t>
            </w:r>
          </w:p>
        </w:tc>
        <w:tc>
          <w:tcPr>
            <w:tcW w:w="3218" w:type="dxa"/>
            <w:gridSpan w:val="2"/>
          </w:tcPr>
          <w:p>
            <w:pPr>
              <w:pStyle w:val="TableParagraph"/>
              <w:spacing w:line="258" w:lineRule="exact" w:before="8"/>
              <w:ind w:left="1222" w:right="1110"/>
              <w:jc w:val="center"/>
              <w:rPr>
                <w:sz w:val="21"/>
              </w:rPr>
            </w:pPr>
            <w:r>
              <w:rPr>
                <w:spacing w:val="-1"/>
                <w:sz w:val="21"/>
              </w:rPr>
              <w:t>期末余额</w:t>
            </w:r>
            <w:r>
              <w:rPr>
                <w:sz w:val="21"/>
              </w:rPr>
              <w:t> </w:t>
            </w:r>
          </w:p>
        </w:tc>
        <w:tc>
          <w:tcPr>
            <w:tcW w:w="3228" w:type="dxa"/>
            <w:gridSpan w:val="2"/>
          </w:tcPr>
          <w:p>
            <w:pPr>
              <w:pStyle w:val="TableParagraph"/>
              <w:spacing w:line="258" w:lineRule="exact" w:before="8"/>
              <w:ind w:left="1225" w:right="1116"/>
              <w:jc w:val="center"/>
              <w:rPr>
                <w:sz w:val="21"/>
              </w:rPr>
            </w:pPr>
            <w:r>
              <w:rPr>
                <w:spacing w:val="-1"/>
                <w:sz w:val="21"/>
              </w:rPr>
              <w:t>期初余额</w:t>
            </w:r>
            <w:r>
              <w:rPr>
                <w:sz w:val="21"/>
              </w:rPr>
              <w:t> </w:t>
            </w:r>
          </w:p>
        </w:tc>
      </w:tr>
      <w:tr>
        <w:trPr>
          <w:trHeight w:val="544" w:hRule="atLeast"/>
        </w:trPr>
        <w:tc>
          <w:tcPr>
            <w:tcW w:w="2384" w:type="dxa"/>
            <w:vMerge/>
            <w:tcBorders>
              <w:top w:val="nil"/>
            </w:tcBorders>
          </w:tcPr>
          <w:p>
            <w:pPr>
              <w:rPr>
                <w:sz w:val="2"/>
                <w:szCs w:val="2"/>
              </w:rPr>
            </w:pPr>
          </w:p>
        </w:tc>
        <w:tc>
          <w:tcPr>
            <w:tcW w:w="1611" w:type="dxa"/>
          </w:tcPr>
          <w:p>
            <w:pPr>
              <w:pStyle w:val="TableParagraph"/>
              <w:spacing w:before="1"/>
              <w:ind w:left="174"/>
              <w:rPr>
                <w:sz w:val="21"/>
              </w:rPr>
            </w:pPr>
            <w:r>
              <w:rPr>
                <w:sz w:val="21"/>
              </w:rPr>
              <w:t>可抵扣暂时性</w:t>
            </w:r>
          </w:p>
          <w:p>
            <w:pPr>
              <w:pStyle w:val="TableParagraph"/>
              <w:spacing w:line="252" w:lineRule="exact" w:before="2"/>
              <w:ind w:left="594"/>
              <w:rPr>
                <w:sz w:val="21"/>
              </w:rPr>
            </w:pPr>
            <w:r>
              <w:rPr>
                <w:sz w:val="21"/>
              </w:rPr>
              <w:t>差异 </w:t>
            </w:r>
          </w:p>
        </w:tc>
        <w:tc>
          <w:tcPr>
            <w:tcW w:w="1607" w:type="dxa"/>
          </w:tcPr>
          <w:p>
            <w:pPr>
              <w:pStyle w:val="TableParagraph"/>
              <w:spacing w:before="1"/>
              <w:ind w:left="308" w:right="198"/>
              <w:jc w:val="center"/>
              <w:rPr>
                <w:sz w:val="21"/>
              </w:rPr>
            </w:pPr>
            <w:r>
              <w:rPr>
                <w:sz w:val="21"/>
              </w:rPr>
              <w:t>递延所得税 </w:t>
            </w:r>
          </w:p>
          <w:p>
            <w:pPr>
              <w:pStyle w:val="TableParagraph"/>
              <w:spacing w:line="252" w:lineRule="exact" w:before="2"/>
              <w:ind w:left="308" w:right="196"/>
              <w:jc w:val="center"/>
              <w:rPr>
                <w:sz w:val="21"/>
              </w:rPr>
            </w:pPr>
            <w:r>
              <w:rPr>
                <w:sz w:val="21"/>
              </w:rPr>
              <w:t>资产 </w:t>
            </w:r>
          </w:p>
        </w:tc>
        <w:tc>
          <w:tcPr>
            <w:tcW w:w="1624" w:type="dxa"/>
          </w:tcPr>
          <w:p>
            <w:pPr>
              <w:pStyle w:val="TableParagraph"/>
              <w:spacing w:before="1"/>
              <w:ind w:left="177"/>
              <w:rPr>
                <w:sz w:val="21"/>
              </w:rPr>
            </w:pPr>
            <w:r>
              <w:rPr>
                <w:sz w:val="21"/>
              </w:rPr>
              <w:t>可抵扣暂时性</w:t>
            </w:r>
          </w:p>
          <w:p>
            <w:pPr>
              <w:pStyle w:val="TableParagraph"/>
              <w:spacing w:line="252" w:lineRule="exact" w:before="2"/>
              <w:ind w:left="597"/>
              <w:rPr>
                <w:sz w:val="21"/>
              </w:rPr>
            </w:pPr>
            <w:r>
              <w:rPr>
                <w:sz w:val="21"/>
              </w:rPr>
              <w:t>差异 </w:t>
            </w:r>
          </w:p>
        </w:tc>
        <w:tc>
          <w:tcPr>
            <w:tcW w:w="1604" w:type="dxa"/>
          </w:tcPr>
          <w:p>
            <w:pPr>
              <w:pStyle w:val="TableParagraph"/>
              <w:spacing w:before="1"/>
              <w:ind w:left="306" w:right="198"/>
              <w:jc w:val="center"/>
              <w:rPr>
                <w:sz w:val="21"/>
              </w:rPr>
            </w:pPr>
            <w:r>
              <w:rPr>
                <w:sz w:val="21"/>
              </w:rPr>
              <w:t>递延所得税 </w:t>
            </w:r>
          </w:p>
          <w:p>
            <w:pPr>
              <w:pStyle w:val="TableParagraph"/>
              <w:spacing w:line="252" w:lineRule="exact" w:before="2"/>
              <w:ind w:left="304" w:right="198"/>
              <w:jc w:val="center"/>
              <w:rPr>
                <w:sz w:val="21"/>
              </w:rPr>
            </w:pPr>
            <w:r>
              <w:rPr>
                <w:sz w:val="21"/>
              </w:rPr>
              <w:t>资产 </w:t>
            </w:r>
          </w:p>
        </w:tc>
      </w:tr>
      <w:tr>
        <w:trPr>
          <w:trHeight w:val="285" w:hRule="atLeast"/>
        </w:trPr>
        <w:tc>
          <w:tcPr>
            <w:tcW w:w="2384" w:type="dxa"/>
          </w:tcPr>
          <w:p>
            <w:pPr>
              <w:pStyle w:val="TableParagraph"/>
              <w:spacing w:line="257" w:lineRule="exact" w:before="8"/>
              <w:ind w:left="318"/>
              <w:rPr>
                <w:sz w:val="21"/>
              </w:rPr>
            </w:pPr>
            <w:r>
              <w:rPr>
                <w:spacing w:val="-1"/>
                <w:sz w:val="21"/>
              </w:rPr>
              <w:t>资产减值准备</w:t>
            </w:r>
            <w:r>
              <w:rPr>
                <w:sz w:val="21"/>
              </w:rPr>
              <w:t> </w:t>
            </w:r>
          </w:p>
        </w:tc>
        <w:tc>
          <w:tcPr>
            <w:tcW w:w="1611" w:type="dxa"/>
          </w:tcPr>
          <w:p>
            <w:pPr>
              <w:pStyle w:val="TableParagraph"/>
              <w:spacing w:line="264" w:lineRule="exact" w:before="1"/>
              <w:ind w:right="-15"/>
              <w:jc w:val="right"/>
              <w:rPr>
                <w:sz w:val="21"/>
              </w:rPr>
            </w:pPr>
            <w:r>
              <w:rPr>
                <w:w w:val="100"/>
                <w:sz w:val="21"/>
              </w:rPr>
              <w:t> </w:t>
            </w:r>
          </w:p>
        </w:tc>
        <w:tc>
          <w:tcPr>
            <w:tcW w:w="1607" w:type="dxa"/>
          </w:tcPr>
          <w:p>
            <w:pPr>
              <w:pStyle w:val="TableParagraph"/>
              <w:spacing w:line="264" w:lineRule="exact" w:before="1"/>
              <w:ind w:right="-15"/>
              <w:jc w:val="right"/>
              <w:rPr>
                <w:sz w:val="21"/>
              </w:rPr>
            </w:pPr>
            <w:r>
              <w:rPr>
                <w:w w:val="100"/>
                <w:sz w:val="21"/>
              </w:rPr>
              <w:t> </w:t>
            </w:r>
          </w:p>
        </w:tc>
        <w:tc>
          <w:tcPr>
            <w:tcW w:w="1624" w:type="dxa"/>
          </w:tcPr>
          <w:p>
            <w:pPr>
              <w:pStyle w:val="TableParagraph"/>
              <w:spacing w:line="264" w:lineRule="exact" w:before="1"/>
              <w:ind w:right="-15"/>
              <w:jc w:val="right"/>
              <w:rPr>
                <w:sz w:val="21"/>
              </w:rPr>
            </w:pPr>
            <w:r>
              <w:rPr>
                <w:w w:val="100"/>
                <w:sz w:val="21"/>
              </w:rPr>
              <w:t> </w:t>
            </w:r>
          </w:p>
        </w:tc>
        <w:tc>
          <w:tcPr>
            <w:tcW w:w="1604" w:type="dxa"/>
          </w:tcPr>
          <w:p>
            <w:pPr>
              <w:pStyle w:val="TableParagraph"/>
              <w:spacing w:line="264" w:lineRule="exact" w:before="1"/>
              <w:ind w:right="-15"/>
              <w:jc w:val="right"/>
              <w:rPr>
                <w:sz w:val="21"/>
              </w:rPr>
            </w:pPr>
            <w:r>
              <w:rPr>
                <w:w w:val="100"/>
                <w:sz w:val="21"/>
              </w:rPr>
              <w:t> </w:t>
            </w:r>
          </w:p>
        </w:tc>
      </w:tr>
      <w:tr>
        <w:trPr>
          <w:trHeight w:val="285" w:hRule="atLeast"/>
        </w:trPr>
        <w:tc>
          <w:tcPr>
            <w:tcW w:w="2384" w:type="dxa"/>
          </w:tcPr>
          <w:p>
            <w:pPr>
              <w:pStyle w:val="TableParagraph"/>
              <w:spacing w:line="257" w:lineRule="exact" w:before="8"/>
              <w:ind w:left="318"/>
              <w:rPr>
                <w:sz w:val="21"/>
              </w:rPr>
            </w:pPr>
            <w:r>
              <w:rPr>
                <w:spacing w:val="-1"/>
                <w:sz w:val="21"/>
              </w:rPr>
              <w:t>内部交易未实现利润</w:t>
            </w:r>
            <w:r>
              <w:rPr>
                <w:sz w:val="21"/>
              </w:rPr>
              <w:t> </w:t>
            </w:r>
          </w:p>
        </w:tc>
        <w:tc>
          <w:tcPr>
            <w:tcW w:w="1611" w:type="dxa"/>
          </w:tcPr>
          <w:p>
            <w:pPr>
              <w:pStyle w:val="TableParagraph"/>
              <w:rPr>
                <w:rFonts w:ascii="Times New Roman"/>
                <w:sz w:val="20"/>
              </w:rPr>
            </w:pPr>
          </w:p>
        </w:tc>
        <w:tc>
          <w:tcPr>
            <w:tcW w:w="1607" w:type="dxa"/>
          </w:tcPr>
          <w:p>
            <w:pPr>
              <w:pStyle w:val="TableParagraph"/>
              <w:rPr>
                <w:rFonts w:ascii="Times New Roman"/>
                <w:sz w:val="20"/>
              </w:rPr>
            </w:pPr>
          </w:p>
        </w:tc>
        <w:tc>
          <w:tcPr>
            <w:tcW w:w="1624" w:type="dxa"/>
          </w:tcPr>
          <w:p>
            <w:pPr>
              <w:pStyle w:val="TableParagraph"/>
              <w:rPr>
                <w:rFonts w:ascii="Times New Roman"/>
                <w:sz w:val="20"/>
              </w:rPr>
            </w:pPr>
          </w:p>
        </w:tc>
        <w:tc>
          <w:tcPr>
            <w:tcW w:w="1604" w:type="dxa"/>
          </w:tcPr>
          <w:p>
            <w:pPr>
              <w:pStyle w:val="TableParagraph"/>
              <w:rPr>
                <w:rFonts w:ascii="Times New Roman"/>
                <w:sz w:val="20"/>
              </w:rPr>
            </w:pPr>
          </w:p>
        </w:tc>
      </w:tr>
      <w:tr>
        <w:trPr>
          <w:trHeight w:val="285" w:hRule="atLeast"/>
        </w:trPr>
        <w:tc>
          <w:tcPr>
            <w:tcW w:w="2384" w:type="dxa"/>
          </w:tcPr>
          <w:p>
            <w:pPr>
              <w:pStyle w:val="TableParagraph"/>
              <w:spacing w:line="259" w:lineRule="exact" w:before="5"/>
              <w:ind w:left="318"/>
              <w:rPr>
                <w:sz w:val="21"/>
              </w:rPr>
            </w:pPr>
            <w:r>
              <w:rPr>
                <w:sz w:val="21"/>
              </w:rPr>
              <w:t>可抵扣亏损 </w:t>
            </w:r>
          </w:p>
        </w:tc>
        <w:tc>
          <w:tcPr>
            <w:tcW w:w="1611" w:type="dxa"/>
          </w:tcPr>
          <w:p>
            <w:pPr>
              <w:pStyle w:val="TableParagraph"/>
              <w:spacing w:line="235" w:lineRule="exact"/>
              <w:ind w:right="94"/>
              <w:jc w:val="right"/>
              <w:rPr>
                <w:rFonts w:ascii="Times New Roman"/>
                <w:sz w:val="21"/>
              </w:rPr>
            </w:pPr>
            <w:r>
              <w:rPr>
                <w:rFonts w:ascii="Times New Roman"/>
                <w:sz w:val="21"/>
              </w:rPr>
              <w:t>154,701</w:t>
            </w:r>
          </w:p>
        </w:tc>
        <w:tc>
          <w:tcPr>
            <w:tcW w:w="1607" w:type="dxa"/>
          </w:tcPr>
          <w:p>
            <w:pPr>
              <w:pStyle w:val="TableParagraph"/>
              <w:spacing w:line="235" w:lineRule="exact"/>
              <w:ind w:left="918"/>
              <w:rPr>
                <w:rFonts w:ascii="Times New Roman"/>
                <w:sz w:val="21"/>
              </w:rPr>
            </w:pPr>
            <w:r>
              <w:rPr>
                <w:rFonts w:ascii="Times New Roman"/>
                <w:sz w:val="21"/>
              </w:rPr>
              <w:t>26,551</w:t>
            </w:r>
          </w:p>
        </w:tc>
        <w:tc>
          <w:tcPr>
            <w:tcW w:w="1624" w:type="dxa"/>
          </w:tcPr>
          <w:p>
            <w:pPr>
              <w:pStyle w:val="TableParagraph"/>
              <w:spacing w:line="235" w:lineRule="exact"/>
              <w:ind w:left="830"/>
              <w:rPr>
                <w:rFonts w:ascii="Times New Roman"/>
                <w:sz w:val="21"/>
              </w:rPr>
            </w:pPr>
            <w:r>
              <w:rPr>
                <w:rFonts w:ascii="Times New Roman"/>
                <w:sz w:val="21"/>
              </w:rPr>
              <w:t>559,496</w:t>
            </w:r>
          </w:p>
        </w:tc>
        <w:tc>
          <w:tcPr>
            <w:tcW w:w="1604" w:type="dxa"/>
          </w:tcPr>
          <w:p>
            <w:pPr>
              <w:pStyle w:val="TableParagraph"/>
              <w:spacing w:line="235" w:lineRule="exact"/>
              <w:ind w:right="97"/>
              <w:jc w:val="right"/>
              <w:rPr>
                <w:rFonts w:ascii="Times New Roman"/>
                <w:sz w:val="21"/>
              </w:rPr>
            </w:pPr>
            <w:r>
              <w:rPr>
                <w:rFonts w:ascii="Times New Roman"/>
                <w:sz w:val="21"/>
              </w:rPr>
              <w:t>107,899</w:t>
            </w:r>
          </w:p>
        </w:tc>
      </w:tr>
      <w:tr>
        <w:trPr>
          <w:trHeight w:val="282" w:hRule="atLeast"/>
        </w:trPr>
        <w:tc>
          <w:tcPr>
            <w:tcW w:w="2384" w:type="dxa"/>
          </w:tcPr>
          <w:p>
            <w:pPr>
              <w:pStyle w:val="TableParagraph"/>
              <w:spacing w:line="257" w:lineRule="exact" w:before="5"/>
              <w:ind w:left="107"/>
              <w:rPr>
                <w:sz w:val="21"/>
              </w:rPr>
            </w:pPr>
            <w:r>
              <w:rPr>
                <w:spacing w:val="-1"/>
                <w:sz w:val="21"/>
              </w:rPr>
              <w:t>存货跌价准备</w:t>
            </w:r>
            <w:r>
              <w:rPr>
                <w:sz w:val="21"/>
              </w:rPr>
              <w:t> </w:t>
            </w:r>
          </w:p>
        </w:tc>
        <w:tc>
          <w:tcPr>
            <w:tcW w:w="1611" w:type="dxa"/>
          </w:tcPr>
          <w:p>
            <w:pPr>
              <w:pStyle w:val="TableParagraph"/>
              <w:spacing w:line="235" w:lineRule="exact"/>
              <w:ind w:right="94"/>
              <w:jc w:val="right"/>
              <w:rPr>
                <w:rFonts w:ascii="Times New Roman"/>
                <w:sz w:val="21"/>
              </w:rPr>
            </w:pPr>
            <w:r>
              <w:rPr>
                <w:rFonts w:ascii="Times New Roman"/>
                <w:sz w:val="21"/>
              </w:rPr>
              <w:t>1,304,928</w:t>
            </w:r>
          </w:p>
        </w:tc>
        <w:tc>
          <w:tcPr>
            <w:tcW w:w="1607" w:type="dxa"/>
          </w:tcPr>
          <w:p>
            <w:pPr>
              <w:pStyle w:val="TableParagraph"/>
              <w:spacing w:line="235" w:lineRule="exact"/>
              <w:ind w:left="815"/>
              <w:rPr>
                <w:rFonts w:ascii="Times New Roman"/>
                <w:sz w:val="21"/>
              </w:rPr>
            </w:pPr>
            <w:r>
              <w:rPr>
                <w:rFonts w:ascii="Times New Roman"/>
                <w:sz w:val="21"/>
              </w:rPr>
              <w:t>261,131</w:t>
            </w:r>
          </w:p>
        </w:tc>
        <w:tc>
          <w:tcPr>
            <w:tcW w:w="1624" w:type="dxa"/>
          </w:tcPr>
          <w:p>
            <w:pPr>
              <w:pStyle w:val="TableParagraph"/>
              <w:spacing w:line="235" w:lineRule="exact"/>
              <w:ind w:left="830"/>
              <w:rPr>
                <w:rFonts w:ascii="Times New Roman"/>
                <w:sz w:val="21"/>
              </w:rPr>
            </w:pPr>
            <w:r>
              <w:rPr>
                <w:rFonts w:ascii="Times New Roman"/>
                <w:sz w:val="21"/>
              </w:rPr>
              <w:t>806,424</w:t>
            </w:r>
          </w:p>
        </w:tc>
        <w:tc>
          <w:tcPr>
            <w:tcW w:w="1604" w:type="dxa"/>
          </w:tcPr>
          <w:p>
            <w:pPr>
              <w:pStyle w:val="TableParagraph"/>
              <w:spacing w:line="235" w:lineRule="exact"/>
              <w:ind w:right="97"/>
              <w:jc w:val="right"/>
              <w:rPr>
                <w:rFonts w:ascii="Times New Roman"/>
                <w:sz w:val="21"/>
              </w:rPr>
            </w:pPr>
            <w:r>
              <w:rPr>
                <w:rFonts w:ascii="Times New Roman"/>
                <w:sz w:val="21"/>
              </w:rPr>
              <w:t>148,263</w:t>
            </w:r>
          </w:p>
        </w:tc>
      </w:tr>
      <w:tr>
        <w:trPr>
          <w:trHeight w:val="285" w:hRule="atLeast"/>
        </w:trPr>
        <w:tc>
          <w:tcPr>
            <w:tcW w:w="2384" w:type="dxa"/>
          </w:tcPr>
          <w:p>
            <w:pPr>
              <w:pStyle w:val="TableParagraph"/>
              <w:spacing w:line="257" w:lineRule="exact" w:before="8"/>
              <w:ind w:left="107"/>
              <w:rPr>
                <w:sz w:val="21"/>
              </w:rPr>
            </w:pPr>
            <w:r>
              <w:rPr>
                <w:spacing w:val="-1"/>
                <w:sz w:val="21"/>
              </w:rPr>
              <w:t>坏账准备</w:t>
            </w:r>
            <w:r>
              <w:rPr>
                <w:sz w:val="21"/>
              </w:rPr>
              <w:t> </w:t>
            </w:r>
          </w:p>
        </w:tc>
        <w:tc>
          <w:tcPr>
            <w:tcW w:w="1611" w:type="dxa"/>
          </w:tcPr>
          <w:p>
            <w:pPr>
              <w:pStyle w:val="TableParagraph"/>
              <w:spacing w:line="237" w:lineRule="exact"/>
              <w:ind w:right="94"/>
              <w:jc w:val="right"/>
              <w:rPr>
                <w:rFonts w:ascii="Times New Roman"/>
                <w:sz w:val="21"/>
              </w:rPr>
            </w:pPr>
            <w:r>
              <w:rPr>
                <w:rFonts w:ascii="Times New Roman"/>
                <w:sz w:val="21"/>
              </w:rPr>
              <w:t>727,700</w:t>
            </w:r>
          </w:p>
        </w:tc>
        <w:tc>
          <w:tcPr>
            <w:tcW w:w="1607" w:type="dxa"/>
          </w:tcPr>
          <w:p>
            <w:pPr>
              <w:pStyle w:val="TableParagraph"/>
              <w:spacing w:line="237" w:lineRule="exact"/>
              <w:ind w:left="815"/>
              <w:rPr>
                <w:rFonts w:ascii="Times New Roman"/>
                <w:sz w:val="21"/>
              </w:rPr>
            </w:pPr>
            <w:r>
              <w:rPr>
                <w:rFonts w:ascii="Times New Roman"/>
                <w:sz w:val="21"/>
              </w:rPr>
              <w:t>135,875</w:t>
            </w:r>
          </w:p>
        </w:tc>
        <w:tc>
          <w:tcPr>
            <w:tcW w:w="1624" w:type="dxa"/>
          </w:tcPr>
          <w:p>
            <w:pPr>
              <w:pStyle w:val="TableParagraph"/>
              <w:spacing w:line="237" w:lineRule="exact"/>
              <w:ind w:left="830"/>
              <w:rPr>
                <w:rFonts w:ascii="Times New Roman"/>
                <w:sz w:val="21"/>
              </w:rPr>
            </w:pPr>
            <w:r>
              <w:rPr>
                <w:rFonts w:ascii="Times New Roman"/>
                <w:sz w:val="21"/>
              </w:rPr>
              <w:t>857,053</w:t>
            </w:r>
          </w:p>
        </w:tc>
        <w:tc>
          <w:tcPr>
            <w:tcW w:w="1604" w:type="dxa"/>
          </w:tcPr>
          <w:p>
            <w:pPr>
              <w:pStyle w:val="TableParagraph"/>
              <w:spacing w:line="237" w:lineRule="exact"/>
              <w:ind w:right="97"/>
              <w:jc w:val="right"/>
              <w:rPr>
                <w:rFonts w:ascii="Times New Roman"/>
                <w:sz w:val="21"/>
              </w:rPr>
            </w:pPr>
            <w:r>
              <w:rPr>
                <w:rFonts w:ascii="Times New Roman"/>
                <w:sz w:val="21"/>
              </w:rPr>
              <w:t>158,279</w:t>
            </w:r>
          </w:p>
        </w:tc>
      </w:tr>
      <w:tr>
        <w:trPr>
          <w:trHeight w:val="285" w:hRule="atLeast"/>
        </w:trPr>
        <w:tc>
          <w:tcPr>
            <w:tcW w:w="2384" w:type="dxa"/>
          </w:tcPr>
          <w:p>
            <w:pPr>
              <w:pStyle w:val="TableParagraph"/>
              <w:spacing w:line="257" w:lineRule="exact" w:before="8"/>
              <w:ind w:left="107"/>
              <w:rPr>
                <w:sz w:val="21"/>
              </w:rPr>
            </w:pPr>
            <w:r>
              <w:rPr>
                <w:spacing w:val="-1"/>
                <w:sz w:val="21"/>
              </w:rPr>
              <w:t>应付职工薪酬</w:t>
            </w:r>
            <w:r>
              <w:rPr>
                <w:sz w:val="21"/>
              </w:rPr>
              <w:t> </w:t>
            </w:r>
          </w:p>
        </w:tc>
        <w:tc>
          <w:tcPr>
            <w:tcW w:w="1611" w:type="dxa"/>
          </w:tcPr>
          <w:p>
            <w:pPr>
              <w:pStyle w:val="TableParagraph"/>
              <w:spacing w:line="237" w:lineRule="exact"/>
              <w:ind w:right="94"/>
              <w:jc w:val="right"/>
              <w:rPr>
                <w:rFonts w:ascii="Times New Roman"/>
                <w:sz w:val="21"/>
              </w:rPr>
            </w:pPr>
            <w:r>
              <w:rPr>
                <w:rFonts w:ascii="Times New Roman"/>
                <w:sz w:val="21"/>
              </w:rPr>
              <w:t>678,234</w:t>
            </w:r>
          </w:p>
        </w:tc>
        <w:tc>
          <w:tcPr>
            <w:tcW w:w="1607" w:type="dxa"/>
          </w:tcPr>
          <w:p>
            <w:pPr>
              <w:pStyle w:val="TableParagraph"/>
              <w:spacing w:line="237" w:lineRule="exact"/>
              <w:ind w:left="815"/>
              <w:rPr>
                <w:rFonts w:ascii="Times New Roman"/>
                <w:sz w:val="21"/>
              </w:rPr>
            </w:pPr>
            <w:r>
              <w:rPr>
                <w:rFonts w:ascii="Times New Roman"/>
                <w:sz w:val="21"/>
              </w:rPr>
              <w:t>111,080</w:t>
            </w:r>
          </w:p>
        </w:tc>
        <w:tc>
          <w:tcPr>
            <w:tcW w:w="1624" w:type="dxa"/>
          </w:tcPr>
          <w:p>
            <w:pPr>
              <w:pStyle w:val="TableParagraph"/>
              <w:spacing w:line="237" w:lineRule="exact"/>
              <w:ind w:left="830"/>
              <w:rPr>
                <w:rFonts w:ascii="Times New Roman"/>
                <w:sz w:val="21"/>
              </w:rPr>
            </w:pPr>
            <w:r>
              <w:rPr>
                <w:rFonts w:ascii="Times New Roman"/>
                <w:sz w:val="21"/>
              </w:rPr>
              <w:t>877,269</w:t>
            </w:r>
          </w:p>
        </w:tc>
        <w:tc>
          <w:tcPr>
            <w:tcW w:w="1604" w:type="dxa"/>
          </w:tcPr>
          <w:p>
            <w:pPr>
              <w:pStyle w:val="TableParagraph"/>
              <w:spacing w:line="237" w:lineRule="exact"/>
              <w:ind w:right="97"/>
              <w:jc w:val="right"/>
              <w:rPr>
                <w:rFonts w:ascii="Times New Roman"/>
                <w:sz w:val="21"/>
              </w:rPr>
            </w:pPr>
            <w:r>
              <w:rPr>
                <w:rFonts w:ascii="Times New Roman"/>
                <w:sz w:val="21"/>
              </w:rPr>
              <w:t>138,279</w:t>
            </w:r>
          </w:p>
        </w:tc>
      </w:tr>
      <w:tr>
        <w:trPr>
          <w:trHeight w:val="285" w:hRule="atLeast"/>
        </w:trPr>
        <w:tc>
          <w:tcPr>
            <w:tcW w:w="2384" w:type="dxa"/>
          </w:tcPr>
          <w:p>
            <w:pPr>
              <w:pStyle w:val="TableParagraph"/>
              <w:spacing w:line="257" w:lineRule="exact" w:before="8"/>
              <w:ind w:left="107"/>
              <w:rPr>
                <w:sz w:val="21"/>
              </w:rPr>
            </w:pPr>
            <w:r>
              <w:rPr>
                <w:spacing w:val="-1"/>
                <w:sz w:val="21"/>
              </w:rPr>
              <w:t>股权激励</w:t>
            </w:r>
            <w:r>
              <w:rPr>
                <w:sz w:val="21"/>
              </w:rPr>
              <w:t> </w:t>
            </w:r>
          </w:p>
        </w:tc>
        <w:tc>
          <w:tcPr>
            <w:tcW w:w="1611" w:type="dxa"/>
          </w:tcPr>
          <w:p>
            <w:pPr>
              <w:pStyle w:val="TableParagraph"/>
              <w:spacing w:line="235" w:lineRule="exact"/>
              <w:ind w:right="94"/>
              <w:jc w:val="right"/>
              <w:rPr>
                <w:rFonts w:ascii="Times New Roman"/>
                <w:sz w:val="21"/>
              </w:rPr>
            </w:pPr>
            <w:r>
              <w:rPr>
                <w:rFonts w:ascii="Times New Roman"/>
                <w:sz w:val="21"/>
              </w:rPr>
              <w:t>699,768</w:t>
            </w:r>
          </w:p>
        </w:tc>
        <w:tc>
          <w:tcPr>
            <w:tcW w:w="1607" w:type="dxa"/>
          </w:tcPr>
          <w:p>
            <w:pPr>
              <w:pStyle w:val="TableParagraph"/>
              <w:spacing w:line="235" w:lineRule="exact"/>
              <w:ind w:left="815"/>
              <w:rPr>
                <w:rFonts w:ascii="Times New Roman"/>
                <w:sz w:val="21"/>
              </w:rPr>
            </w:pPr>
            <w:r>
              <w:rPr>
                <w:rFonts w:ascii="Times New Roman"/>
                <w:sz w:val="21"/>
              </w:rPr>
              <w:t>119,682</w:t>
            </w:r>
          </w:p>
        </w:tc>
        <w:tc>
          <w:tcPr>
            <w:tcW w:w="1624" w:type="dxa"/>
          </w:tcPr>
          <w:p>
            <w:pPr>
              <w:pStyle w:val="TableParagraph"/>
              <w:spacing w:line="235" w:lineRule="exact"/>
              <w:ind w:left="830"/>
              <w:rPr>
                <w:rFonts w:ascii="Times New Roman"/>
                <w:sz w:val="21"/>
              </w:rPr>
            </w:pPr>
            <w:r>
              <w:rPr>
                <w:rFonts w:ascii="Times New Roman"/>
                <w:sz w:val="21"/>
              </w:rPr>
              <w:t>696,738</w:t>
            </w:r>
          </w:p>
        </w:tc>
        <w:tc>
          <w:tcPr>
            <w:tcW w:w="1604" w:type="dxa"/>
          </w:tcPr>
          <w:p>
            <w:pPr>
              <w:pStyle w:val="TableParagraph"/>
              <w:spacing w:line="235" w:lineRule="exact"/>
              <w:ind w:right="97"/>
              <w:jc w:val="right"/>
              <w:rPr>
                <w:rFonts w:ascii="Times New Roman"/>
                <w:sz w:val="21"/>
              </w:rPr>
            </w:pPr>
            <w:r>
              <w:rPr>
                <w:rFonts w:ascii="Times New Roman"/>
                <w:sz w:val="21"/>
              </w:rPr>
              <w:t>117,501</w:t>
            </w:r>
          </w:p>
        </w:tc>
      </w:tr>
    </w:tbl>
    <w:p>
      <w:pPr>
        <w:spacing w:after="0" w:line="235" w:lineRule="exact"/>
        <w:jc w:val="right"/>
        <w:rPr>
          <w:rFonts w:ascii="Times New Roman"/>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4"/>
        <w:gridCol w:w="1611"/>
        <w:gridCol w:w="1607"/>
        <w:gridCol w:w="1624"/>
        <w:gridCol w:w="1604"/>
      </w:tblGrid>
      <w:tr>
        <w:trPr>
          <w:trHeight w:val="285" w:hRule="atLeast"/>
        </w:trPr>
        <w:tc>
          <w:tcPr>
            <w:tcW w:w="2384" w:type="dxa"/>
          </w:tcPr>
          <w:p>
            <w:pPr>
              <w:pStyle w:val="TableParagraph"/>
              <w:spacing w:line="257" w:lineRule="exact" w:before="8"/>
              <w:ind w:left="107"/>
              <w:rPr>
                <w:sz w:val="21"/>
              </w:rPr>
            </w:pPr>
            <w:r>
              <w:rPr>
                <w:spacing w:val="-1"/>
                <w:sz w:val="21"/>
              </w:rPr>
              <w:t>内部交易未实现利润</w:t>
            </w:r>
            <w:r>
              <w:rPr>
                <w:sz w:val="21"/>
              </w:rPr>
              <w:t> </w:t>
            </w:r>
          </w:p>
        </w:tc>
        <w:tc>
          <w:tcPr>
            <w:tcW w:w="1611" w:type="dxa"/>
          </w:tcPr>
          <w:p>
            <w:pPr>
              <w:pStyle w:val="TableParagraph"/>
              <w:spacing w:line="237" w:lineRule="exact"/>
              <w:ind w:right="94"/>
              <w:jc w:val="right"/>
              <w:rPr>
                <w:rFonts w:ascii="Times New Roman"/>
                <w:sz w:val="21"/>
              </w:rPr>
            </w:pPr>
            <w:r>
              <w:rPr>
                <w:rFonts w:ascii="Times New Roman"/>
                <w:sz w:val="21"/>
              </w:rPr>
              <w:t>664,099</w:t>
            </w:r>
          </w:p>
        </w:tc>
        <w:tc>
          <w:tcPr>
            <w:tcW w:w="1607" w:type="dxa"/>
          </w:tcPr>
          <w:p>
            <w:pPr>
              <w:pStyle w:val="TableParagraph"/>
              <w:spacing w:line="237" w:lineRule="exact"/>
              <w:ind w:left="815"/>
              <w:rPr>
                <w:rFonts w:ascii="Times New Roman"/>
                <w:sz w:val="21"/>
              </w:rPr>
            </w:pPr>
            <w:r>
              <w:rPr>
                <w:rFonts w:ascii="Times New Roman"/>
                <w:sz w:val="21"/>
              </w:rPr>
              <w:t>113,306</w:t>
            </w:r>
          </w:p>
        </w:tc>
        <w:tc>
          <w:tcPr>
            <w:tcW w:w="1624" w:type="dxa"/>
          </w:tcPr>
          <w:p>
            <w:pPr>
              <w:pStyle w:val="TableParagraph"/>
              <w:spacing w:line="237" w:lineRule="exact"/>
              <w:ind w:left="830"/>
              <w:rPr>
                <w:rFonts w:ascii="Times New Roman"/>
                <w:sz w:val="21"/>
              </w:rPr>
            </w:pPr>
            <w:r>
              <w:rPr>
                <w:rFonts w:ascii="Times New Roman"/>
                <w:sz w:val="21"/>
              </w:rPr>
              <w:t>474,173</w:t>
            </w:r>
          </w:p>
        </w:tc>
        <w:tc>
          <w:tcPr>
            <w:tcW w:w="1604" w:type="dxa"/>
          </w:tcPr>
          <w:p>
            <w:pPr>
              <w:pStyle w:val="TableParagraph"/>
              <w:spacing w:line="237" w:lineRule="exact"/>
              <w:ind w:right="97"/>
              <w:jc w:val="right"/>
              <w:rPr>
                <w:rFonts w:ascii="Times New Roman"/>
                <w:sz w:val="21"/>
              </w:rPr>
            </w:pPr>
            <w:r>
              <w:rPr>
                <w:rFonts w:ascii="Times New Roman"/>
                <w:sz w:val="21"/>
              </w:rPr>
              <w:t>79,717</w:t>
            </w:r>
          </w:p>
        </w:tc>
      </w:tr>
      <w:tr>
        <w:trPr>
          <w:trHeight w:val="285" w:hRule="atLeast"/>
        </w:trPr>
        <w:tc>
          <w:tcPr>
            <w:tcW w:w="2384" w:type="dxa"/>
          </w:tcPr>
          <w:p>
            <w:pPr>
              <w:pStyle w:val="TableParagraph"/>
              <w:spacing w:line="257" w:lineRule="exact" w:before="8"/>
              <w:ind w:left="107"/>
              <w:rPr>
                <w:sz w:val="21"/>
              </w:rPr>
            </w:pPr>
            <w:r>
              <w:rPr>
                <w:spacing w:val="-1"/>
                <w:sz w:val="21"/>
              </w:rPr>
              <w:t>固定资产折旧</w:t>
            </w:r>
            <w:r>
              <w:rPr>
                <w:sz w:val="21"/>
              </w:rPr>
              <w:t> </w:t>
            </w:r>
          </w:p>
        </w:tc>
        <w:tc>
          <w:tcPr>
            <w:tcW w:w="1611" w:type="dxa"/>
          </w:tcPr>
          <w:p>
            <w:pPr>
              <w:pStyle w:val="TableParagraph"/>
              <w:spacing w:line="237" w:lineRule="exact"/>
              <w:ind w:right="94"/>
              <w:jc w:val="right"/>
              <w:rPr>
                <w:rFonts w:ascii="Times New Roman"/>
                <w:sz w:val="21"/>
              </w:rPr>
            </w:pPr>
            <w:r>
              <w:rPr>
                <w:rFonts w:ascii="Times New Roman"/>
                <w:sz w:val="21"/>
              </w:rPr>
              <w:t>521,734</w:t>
            </w:r>
          </w:p>
        </w:tc>
        <w:tc>
          <w:tcPr>
            <w:tcW w:w="1607" w:type="dxa"/>
          </w:tcPr>
          <w:p>
            <w:pPr>
              <w:pStyle w:val="TableParagraph"/>
              <w:spacing w:line="237" w:lineRule="exact"/>
              <w:ind w:left="918"/>
              <w:rPr>
                <w:rFonts w:ascii="Times New Roman"/>
                <w:sz w:val="21"/>
              </w:rPr>
            </w:pPr>
            <w:r>
              <w:rPr>
                <w:rFonts w:ascii="Times New Roman"/>
                <w:sz w:val="21"/>
              </w:rPr>
              <w:t>95,346</w:t>
            </w:r>
          </w:p>
        </w:tc>
        <w:tc>
          <w:tcPr>
            <w:tcW w:w="1624" w:type="dxa"/>
          </w:tcPr>
          <w:p>
            <w:pPr>
              <w:pStyle w:val="TableParagraph"/>
              <w:spacing w:line="237" w:lineRule="exact"/>
              <w:ind w:left="672"/>
              <w:rPr>
                <w:rFonts w:ascii="Times New Roman"/>
                <w:sz w:val="21"/>
              </w:rPr>
            </w:pPr>
            <w:r>
              <w:rPr>
                <w:rFonts w:ascii="Times New Roman"/>
                <w:sz w:val="21"/>
              </w:rPr>
              <w:t>1,252,802</w:t>
            </w:r>
          </w:p>
        </w:tc>
        <w:tc>
          <w:tcPr>
            <w:tcW w:w="1604" w:type="dxa"/>
          </w:tcPr>
          <w:p>
            <w:pPr>
              <w:pStyle w:val="TableParagraph"/>
              <w:spacing w:line="237" w:lineRule="exact"/>
              <w:ind w:right="97"/>
              <w:jc w:val="right"/>
              <w:rPr>
                <w:rFonts w:ascii="Times New Roman"/>
                <w:sz w:val="21"/>
              </w:rPr>
            </w:pPr>
            <w:r>
              <w:rPr>
                <w:rFonts w:ascii="Times New Roman"/>
                <w:sz w:val="21"/>
              </w:rPr>
              <w:t>202,623</w:t>
            </w:r>
          </w:p>
        </w:tc>
      </w:tr>
      <w:tr>
        <w:trPr>
          <w:trHeight w:val="285" w:hRule="atLeast"/>
        </w:trPr>
        <w:tc>
          <w:tcPr>
            <w:tcW w:w="2384" w:type="dxa"/>
          </w:tcPr>
          <w:p>
            <w:pPr>
              <w:pStyle w:val="TableParagraph"/>
              <w:spacing w:line="257" w:lineRule="exact" w:before="8"/>
              <w:ind w:left="107"/>
              <w:rPr>
                <w:sz w:val="21"/>
              </w:rPr>
            </w:pPr>
            <w:r>
              <w:rPr>
                <w:spacing w:val="-1"/>
                <w:sz w:val="21"/>
              </w:rPr>
              <w:t>预提费用</w:t>
            </w:r>
            <w:r>
              <w:rPr>
                <w:sz w:val="21"/>
              </w:rPr>
              <w:t> </w:t>
            </w:r>
          </w:p>
        </w:tc>
        <w:tc>
          <w:tcPr>
            <w:tcW w:w="1611" w:type="dxa"/>
          </w:tcPr>
          <w:p>
            <w:pPr>
              <w:pStyle w:val="TableParagraph"/>
              <w:spacing w:line="235" w:lineRule="exact"/>
              <w:ind w:right="94"/>
              <w:jc w:val="right"/>
              <w:rPr>
                <w:rFonts w:ascii="Times New Roman"/>
                <w:sz w:val="21"/>
              </w:rPr>
            </w:pPr>
            <w:r>
              <w:rPr>
                <w:rFonts w:ascii="Times New Roman"/>
                <w:sz w:val="21"/>
              </w:rPr>
              <w:t>395,424</w:t>
            </w:r>
          </w:p>
        </w:tc>
        <w:tc>
          <w:tcPr>
            <w:tcW w:w="1607" w:type="dxa"/>
          </w:tcPr>
          <w:p>
            <w:pPr>
              <w:pStyle w:val="TableParagraph"/>
              <w:spacing w:line="235" w:lineRule="exact"/>
              <w:ind w:left="918"/>
              <w:rPr>
                <w:rFonts w:ascii="Times New Roman"/>
                <w:sz w:val="21"/>
              </w:rPr>
            </w:pPr>
            <w:r>
              <w:rPr>
                <w:rFonts w:ascii="Times New Roman"/>
                <w:sz w:val="21"/>
              </w:rPr>
              <w:t>76,213</w:t>
            </w:r>
          </w:p>
        </w:tc>
        <w:tc>
          <w:tcPr>
            <w:tcW w:w="1624" w:type="dxa"/>
          </w:tcPr>
          <w:p>
            <w:pPr>
              <w:pStyle w:val="TableParagraph"/>
              <w:spacing w:line="235" w:lineRule="exact"/>
              <w:ind w:left="830"/>
              <w:rPr>
                <w:rFonts w:ascii="Times New Roman"/>
                <w:sz w:val="21"/>
              </w:rPr>
            </w:pPr>
            <w:r>
              <w:rPr>
                <w:rFonts w:ascii="Times New Roman"/>
                <w:sz w:val="21"/>
              </w:rPr>
              <w:t>683,589</w:t>
            </w:r>
          </w:p>
        </w:tc>
        <w:tc>
          <w:tcPr>
            <w:tcW w:w="1604" w:type="dxa"/>
          </w:tcPr>
          <w:p>
            <w:pPr>
              <w:pStyle w:val="TableParagraph"/>
              <w:spacing w:line="235" w:lineRule="exact"/>
              <w:ind w:right="97"/>
              <w:jc w:val="right"/>
              <w:rPr>
                <w:rFonts w:ascii="Times New Roman"/>
                <w:sz w:val="21"/>
              </w:rPr>
            </w:pPr>
            <w:r>
              <w:rPr>
                <w:rFonts w:ascii="Times New Roman"/>
                <w:sz w:val="21"/>
              </w:rPr>
              <w:t>118,868</w:t>
            </w:r>
          </w:p>
        </w:tc>
      </w:tr>
      <w:tr>
        <w:trPr>
          <w:trHeight w:val="285" w:hRule="atLeast"/>
        </w:trPr>
        <w:tc>
          <w:tcPr>
            <w:tcW w:w="2384" w:type="dxa"/>
          </w:tcPr>
          <w:p>
            <w:pPr>
              <w:pStyle w:val="TableParagraph"/>
              <w:spacing w:line="257" w:lineRule="exact" w:before="8"/>
              <w:ind w:left="107"/>
              <w:rPr>
                <w:sz w:val="21"/>
              </w:rPr>
            </w:pPr>
            <w:r>
              <w:rPr>
                <w:spacing w:val="-1"/>
                <w:sz w:val="21"/>
              </w:rPr>
              <w:t>递延收益</w:t>
            </w:r>
            <w:r>
              <w:rPr>
                <w:sz w:val="21"/>
              </w:rPr>
              <w:t> </w:t>
            </w:r>
          </w:p>
        </w:tc>
        <w:tc>
          <w:tcPr>
            <w:tcW w:w="1611" w:type="dxa"/>
          </w:tcPr>
          <w:p>
            <w:pPr>
              <w:pStyle w:val="TableParagraph"/>
              <w:spacing w:line="235" w:lineRule="exact"/>
              <w:ind w:right="94"/>
              <w:jc w:val="right"/>
              <w:rPr>
                <w:rFonts w:ascii="Times New Roman"/>
                <w:sz w:val="21"/>
              </w:rPr>
            </w:pPr>
            <w:r>
              <w:rPr>
                <w:rFonts w:ascii="Times New Roman"/>
                <w:sz w:val="21"/>
              </w:rPr>
              <w:t>278,980</w:t>
            </w:r>
          </w:p>
        </w:tc>
        <w:tc>
          <w:tcPr>
            <w:tcW w:w="1607" w:type="dxa"/>
          </w:tcPr>
          <w:p>
            <w:pPr>
              <w:pStyle w:val="TableParagraph"/>
              <w:spacing w:line="235" w:lineRule="exact"/>
              <w:ind w:left="918"/>
              <w:rPr>
                <w:rFonts w:ascii="Times New Roman"/>
                <w:sz w:val="21"/>
              </w:rPr>
            </w:pPr>
            <w:r>
              <w:rPr>
                <w:rFonts w:ascii="Times New Roman"/>
                <w:sz w:val="21"/>
              </w:rPr>
              <w:t>58,501</w:t>
            </w:r>
          </w:p>
        </w:tc>
        <w:tc>
          <w:tcPr>
            <w:tcW w:w="1624" w:type="dxa"/>
          </w:tcPr>
          <w:p>
            <w:pPr>
              <w:pStyle w:val="TableParagraph"/>
              <w:spacing w:line="235" w:lineRule="exact"/>
              <w:ind w:left="830"/>
              <w:rPr>
                <w:rFonts w:ascii="Times New Roman"/>
                <w:sz w:val="21"/>
              </w:rPr>
            </w:pPr>
            <w:r>
              <w:rPr>
                <w:rFonts w:ascii="Times New Roman"/>
                <w:sz w:val="21"/>
              </w:rPr>
              <w:t>303,703</w:t>
            </w:r>
          </w:p>
        </w:tc>
        <w:tc>
          <w:tcPr>
            <w:tcW w:w="1604" w:type="dxa"/>
          </w:tcPr>
          <w:p>
            <w:pPr>
              <w:pStyle w:val="TableParagraph"/>
              <w:spacing w:line="235" w:lineRule="exact"/>
              <w:ind w:right="97"/>
              <w:jc w:val="right"/>
              <w:rPr>
                <w:rFonts w:ascii="Times New Roman"/>
                <w:sz w:val="21"/>
              </w:rPr>
            </w:pPr>
            <w:r>
              <w:rPr>
                <w:rFonts w:ascii="Times New Roman"/>
                <w:sz w:val="21"/>
              </w:rPr>
              <w:t>65,586</w:t>
            </w:r>
          </w:p>
        </w:tc>
      </w:tr>
      <w:tr>
        <w:trPr>
          <w:trHeight w:val="544" w:hRule="atLeast"/>
        </w:trPr>
        <w:tc>
          <w:tcPr>
            <w:tcW w:w="2384" w:type="dxa"/>
          </w:tcPr>
          <w:p>
            <w:pPr>
              <w:pStyle w:val="TableParagraph"/>
              <w:spacing w:before="1"/>
              <w:ind w:left="107"/>
              <w:rPr>
                <w:sz w:val="21"/>
              </w:rPr>
            </w:pPr>
            <w:r>
              <w:rPr>
                <w:sz w:val="21"/>
              </w:rPr>
              <w:t>衍生金融负债公允价值</w:t>
            </w:r>
          </w:p>
          <w:p>
            <w:pPr>
              <w:pStyle w:val="TableParagraph"/>
              <w:spacing w:line="250" w:lineRule="exact" w:before="4"/>
              <w:ind w:left="107"/>
              <w:rPr>
                <w:sz w:val="21"/>
              </w:rPr>
            </w:pPr>
            <w:r>
              <w:rPr>
                <w:sz w:val="21"/>
              </w:rPr>
              <w:t>变动 </w:t>
            </w:r>
          </w:p>
        </w:tc>
        <w:tc>
          <w:tcPr>
            <w:tcW w:w="1611" w:type="dxa"/>
          </w:tcPr>
          <w:p>
            <w:pPr>
              <w:pStyle w:val="TableParagraph"/>
              <w:spacing w:line="235" w:lineRule="exact"/>
              <w:ind w:right="94"/>
              <w:jc w:val="right"/>
              <w:rPr>
                <w:rFonts w:ascii="Times New Roman"/>
                <w:sz w:val="21"/>
              </w:rPr>
            </w:pPr>
            <w:r>
              <w:rPr>
                <w:rFonts w:ascii="Times New Roman"/>
                <w:sz w:val="21"/>
              </w:rPr>
              <w:t>102,072</w:t>
            </w:r>
          </w:p>
        </w:tc>
        <w:tc>
          <w:tcPr>
            <w:tcW w:w="1607" w:type="dxa"/>
          </w:tcPr>
          <w:p>
            <w:pPr>
              <w:pStyle w:val="TableParagraph"/>
              <w:spacing w:line="235" w:lineRule="exact"/>
              <w:ind w:left="918"/>
              <w:rPr>
                <w:rFonts w:ascii="Times New Roman"/>
                <w:sz w:val="21"/>
              </w:rPr>
            </w:pPr>
            <w:r>
              <w:rPr>
                <w:rFonts w:ascii="Times New Roman"/>
                <w:sz w:val="21"/>
              </w:rPr>
              <w:t>15,311</w:t>
            </w:r>
          </w:p>
        </w:tc>
        <w:tc>
          <w:tcPr>
            <w:tcW w:w="1624" w:type="dxa"/>
          </w:tcPr>
          <w:p>
            <w:pPr>
              <w:pStyle w:val="TableParagraph"/>
              <w:spacing w:line="235" w:lineRule="exact"/>
              <w:ind w:right="98"/>
              <w:jc w:val="right"/>
              <w:rPr>
                <w:rFonts w:ascii="Times New Roman"/>
                <w:sz w:val="21"/>
              </w:rPr>
            </w:pPr>
            <w:r>
              <w:rPr>
                <w:rFonts w:ascii="Times New Roman"/>
                <w:w w:val="100"/>
                <w:sz w:val="21"/>
              </w:rPr>
              <w:t>-</w:t>
            </w:r>
          </w:p>
        </w:tc>
        <w:tc>
          <w:tcPr>
            <w:tcW w:w="1604" w:type="dxa"/>
          </w:tcPr>
          <w:p>
            <w:pPr>
              <w:pStyle w:val="TableParagraph"/>
              <w:spacing w:line="235" w:lineRule="exact"/>
              <w:ind w:right="99"/>
              <w:jc w:val="right"/>
              <w:rPr>
                <w:rFonts w:ascii="Times New Roman"/>
                <w:sz w:val="21"/>
              </w:rPr>
            </w:pPr>
            <w:r>
              <w:rPr>
                <w:rFonts w:ascii="Times New Roman"/>
                <w:w w:val="100"/>
                <w:sz w:val="21"/>
              </w:rPr>
              <w:t>-</w:t>
            </w:r>
          </w:p>
        </w:tc>
      </w:tr>
      <w:tr>
        <w:trPr>
          <w:trHeight w:val="285" w:hRule="atLeast"/>
        </w:trPr>
        <w:tc>
          <w:tcPr>
            <w:tcW w:w="2384" w:type="dxa"/>
          </w:tcPr>
          <w:p>
            <w:pPr>
              <w:pStyle w:val="TableParagraph"/>
              <w:spacing w:line="257" w:lineRule="exact" w:before="8"/>
              <w:ind w:left="107"/>
              <w:rPr>
                <w:sz w:val="21"/>
              </w:rPr>
            </w:pPr>
            <w:r>
              <w:rPr>
                <w:spacing w:val="-1"/>
                <w:sz w:val="21"/>
              </w:rPr>
              <w:t>未实现汇兑损失</w:t>
            </w:r>
            <w:r>
              <w:rPr>
                <w:sz w:val="21"/>
              </w:rPr>
              <w:t> </w:t>
            </w:r>
          </w:p>
        </w:tc>
        <w:tc>
          <w:tcPr>
            <w:tcW w:w="1611" w:type="dxa"/>
          </w:tcPr>
          <w:p>
            <w:pPr>
              <w:pStyle w:val="TableParagraph"/>
              <w:spacing w:line="235" w:lineRule="exact"/>
              <w:ind w:right="94"/>
              <w:jc w:val="right"/>
              <w:rPr>
                <w:rFonts w:ascii="Times New Roman"/>
                <w:sz w:val="21"/>
              </w:rPr>
            </w:pPr>
            <w:r>
              <w:rPr>
                <w:rFonts w:ascii="Times New Roman"/>
                <w:sz w:val="21"/>
              </w:rPr>
              <w:t>102,503</w:t>
            </w:r>
          </w:p>
        </w:tc>
        <w:tc>
          <w:tcPr>
            <w:tcW w:w="1607" w:type="dxa"/>
          </w:tcPr>
          <w:p>
            <w:pPr>
              <w:pStyle w:val="TableParagraph"/>
              <w:spacing w:line="235" w:lineRule="exact"/>
              <w:ind w:left="918"/>
              <w:rPr>
                <w:rFonts w:ascii="Times New Roman"/>
                <w:sz w:val="21"/>
              </w:rPr>
            </w:pPr>
            <w:r>
              <w:rPr>
                <w:rFonts w:ascii="Times New Roman"/>
                <w:sz w:val="21"/>
              </w:rPr>
              <w:t>20,501</w:t>
            </w:r>
          </w:p>
        </w:tc>
        <w:tc>
          <w:tcPr>
            <w:tcW w:w="1624" w:type="dxa"/>
          </w:tcPr>
          <w:p>
            <w:pPr>
              <w:pStyle w:val="TableParagraph"/>
              <w:spacing w:line="235" w:lineRule="exact"/>
              <w:ind w:left="933"/>
              <w:rPr>
                <w:rFonts w:ascii="Times New Roman"/>
                <w:sz w:val="21"/>
              </w:rPr>
            </w:pPr>
            <w:r>
              <w:rPr>
                <w:rFonts w:ascii="Times New Roman"/>
                <w:sz w:val="21"/>
              </w:rPr>
              <w:t>67,877</w:t>
            </w:r>
          </w:p>
        </w:tc>
        <w:tc>
          <w:tcPr>
            <w:tcW w:w="1604" w:type="dxa"/>
          </w:tcPr>
          <w:p>
            <w:pPr>
              <w:pStyle w:val="TableParagraph"/>
              <w:spacing w:line="235" w:lineRule="exact"/>
              <w:ind w:right="97"/>
              <w:jc w:val="right"/>
              <w:rPr>
                <w:rFonts w:ascii="Times New Roman"/>
                <w:sz w:val="21"/>
              </w:rPr>
            </w:pPr>
            <w:r>
              <w:rPr>
                <w:rFonts w:ascii="Times New Roman"/>
                <w:sz w:val="21"/>
              </w:rPr>
              <w:t>13,575</w:t>
            </w:r>
          </w:p>
        </w:tc>
      </w:tr>
      <w:tr>
        <w:trPr>
          <w:trHeight w:val="285" w:hRule="atLeast"/>
        </w:trPr>
        <w:tc>
          <w:tcPr>
            <w:tcW w:w="2384" w:type="dxa"/>
          </w:tcPr>
          <w:p>
            <w:pPr>
              <w:pStyle w:val="TableParagraph"/>
              <w:spacing w:line="257" w:lineRule="exact" w:before="8"/>
              <w:ind w:left="107"/>
              <w:rPr>
                <w:sz w:val="21"/>
              </w:rPr>
            </w:pPr>
            <w:r>
              <w:rPr>
                <w:sz w:val="21"/>
              </w:rPr>
              <w:t>租赁负债</w:t>
            </w:r>
          </w:p>
        </w:tc>
        <w:tc>
          <w:tcPr>
            <w:tcW w:w="1611" w:type="dxa"/>
          </w:tcPr>
          <w:p>
            <w:pPr>
              <w:pStyle w:val="TableParagraph"/>
              <w:spacing w:line="264" w:lineRule="exact" w:before="1"/>
              <w:ind w:right="-15"/>
              <w:jc w:val="right"/>
              <w:rPr>
                <w:sz w:val="21"/>
              </w:rPr>
            </w:pPr>
            <w:r>
              <w:rPr>
                <w:sz w:val="21"/>
              </w:rPr>
              <w:t>2,143,713 </w:t>
            </w:r>
          </w:p>
        </w:tc>
        <w:tc>
          <w:tcPr>
            <w:tcW w:w="1607" w:type="dxa"/>
          </w:tcPr>
          <w:p>
            <w:pPr>
              <w:pStyle w:val="TableParagraph"/>
              <w:spacing w:line="264" w:lineRule="exact" w:before="1"/>
              <w:ind w:left="762" w:right="-15"/>
              <w:rPr>
                <w:sz w:val="21"/>
              </w:rPr>
            </w:pPr>
            <w:r>
              <w:rPr>
                <w:sz w:val="21"/>
              </w:rPr>
              <w:t>323,980 </w:t>
            </w:r>
          </w:p>
        </w:tc>
        <w:tc>
          <w:tcPr>
            <w:tcW w:w="1624" w:type="dxa"/>
          </w:tcPr>
          <w:p>
            <w:pPr>
              <w:pStyle w:val="TableParagraph"/>
              <w:spacing w:line="264" w:lineRule="exact" w:before="1"/>
              <w:ind w:left="566" w:right="-15"/>
              <w:rPr>
                <w:sz w:val="21"/>
              </w:rPr>
            </w:pPr>
            <w:r>
              <w:rPr>
                <w:sz w:val="21"/>
              </w:rPr>
              <w:t>2,236,439 </w:t>
            </w:r>
          </w:p>
        </w:tc>
        <w:tc>
          <w:tcPr>
            <w:tcW w:w="1604" w:type="dxa"/>
          </w:tcPr>
          <w:p>
            <w:pPr>
              <w:pStyle w:val="TableParagraph"/>
              <w:spacing w:line="264" w:lineRule="exact" w:before="1"/>
              <w:ind w:right="-15"/>
              <w:jc w:val="right"/>
              <w:rPr>
                <w:sz w:val="21"/>
              </w:rPr>
            </w:pPr>
            <w:r>
              <w:rPr>
                <w:sz w:val="21"/>
              </w:rPr>
              <w:t>338,949 </w:t>
            </w:r>
          </w:p>
        </w:tc>
      </w:tr>
      <w:tr>
        <w:trPr>
          <w:trHeight w:val="285" w:hRule="atLeast"/>
        </w:trPr>
        <w:tc>
          <w:tcPr>
            <w:tcW w:w="2384" w:type="dxa"/>
          </w:tcPr>
          <w:p>
            <w:pPr>
              <w:pStyle w:val="TableParagraph"/>
              <w:spacing w:line="257" w:lineRule="exact" w:before="8"/>
              <w:ind w:left="1014" w:right="900"/>
              <w:jc w:val="center"/>
              <w:rPr>
                <w:sz w:val="21"/>
              </w:rPr>
            </w:pPr>
            <w:r>
              <w:rPr>
                <w:sz w:val="21"/>
              </w:rPr>
              <w:t>合计 </w:t>
            </w:r>
          </w:p>
        </w:tc>
        <w:tc>
          <w:tcPr>
            <w:tcW w:w="1611" w:type="dxa"/>
          </w:tcPr>
          <w:p>
            <w:pPr>
              <w:pStyle w:val="TableParagraph"/>
              <w:spacing w:before="15"/>
              <w:ind w:right="94"/>
              <w:jc w:val="right"/>
              <w:rPr>
                <w:rFonts w:ascii="Times New Roman"/>
                <w:sz w:val="21"/>
              </w:rPr>
            </w:pPr>
            <w:r>
              <w:rPr>
                <w:rFonts w:ascii="Times New Roman"/>
                <w:sz w:val="21"/>
              </w:rPr>
              <w:t>7,773,856</w:t>
            </w:r>
          </w:p>
        </w:tc>
        <w:tc>
          <w:tcPr>
            <w:tcW w:w="1607" w:type="dxa"/>
          </w:tcPr>
          <w:p>
            <w:pPr>
              <w:pStyle w:val="TableParagraph"/>
              <w:spacing w:before="15"/>
              <w:ind w:left="656"/>
              <w:rPr>
                <w:rFonts w:ascii="Times New Roman"/>
                <w:sz w:val="21"/>
              </w:rPr>
            </w:pPr>
            <w:r>
              <w:rPr>
                <w:rFonts w:ascii="Times New Roman"/>
                <w:sz w:val="21"/>
              </w:rPr>
              <w:t>1,357,477</w:t>
            </w:r>
          </w:p>
        </w:tc>
        <w:tc>
          <w:tcPr>
            <w:tcW w:w="1624" w:type="dxa"/>
          </w:tcPr>
          <w:p>
            <w:pPr>
              <w:pStyle w:val="TableParagraph"/>
              <w:spacing w:before="15"/>
              <w:ind w:left="672"/>
              <w:rPr>
                <w:rFonts w:ascii="Times New Roman"/>
                <w:sz w:val="21"/>
              </w:rPr>
            </w:pPr>
            <w:r>
              <w:rPr>
                <w:rFonts w:ascii="Times New Roman"/>
                <w:sz w:val="21"/>
              </w:rPr>
              <w:t>8,815,563</w:t>
            </w:r>
          </w:p>
        </w:tc>
        <w:tc>
          <w:tcPr>
            <w:tcW w:w="1604" w:type="dxa"/>
          </w:tcPr>
          <w:p>
            <w:pPr>
              <w:pStyle w:val="TableParagraph"/>
              <w:spacing w:before="15"/>
              <w:ind w:right="97"/>
              <w:jc w:val="right"/>
              <w:rPr>
                <w:rFonts w:ascii="Times New Roman"/>
                <w:sz w:val="21"/>
              </w:rPr>
            </w:pPr>
            <w:r>
              <w:rPr>
                <w:rFonts w:ascii="Times New Roman"/>
                <w:sz w:val="21"/>
              </w:rPr>
              <w:t>1,489,539</w:t>
            </w:r>
          </w:p>
        </w:tc>
      </w:tr>
    </w:tbl>
    <w:p>
      <w:pPr>
        <w:spacing w:after="0"/>
        <w:jc w:val="right"/>
        <w:rPr>
          <w:rFonts w:ascii="Times New Roman"/>
          <w:sz w:val="21"/>
        </w:rPr>
        <w:sectPr>
          <w:pgSz w:w="11910" w:h="16840"/>
          <w:pgMar w:header="882" w:footer="1184" w:top="1120" w:bottom="1380" w:left="1480" w:right="0"/>
        </w:sectPr>
      </w:pPr>
    </w:p>
    <w:p>
      <w:pPr>
        <w:pStyle w:val="BodyText"/>
        <w:spacing w:before="1"/>
      </w:pPr>
      <w:r>
        <w:rPr>
          <w:w w:val="100"/>
        </w:rPr>
        <w:t> </w:t>
      </w:r>
    </w:p>
    <w:p>
      <w:pPr>
        <w:pStyle w:val="ListParagraph"/>
        <w:numPr>
          <w:ilvl w:val="0"/>
          <w:numId w:val="71"/>
        </w:numPr>
        <w:tabs>
          <w:tab w:pos="746" w:val="left" w:leader="none"/>
        </w:tabs>
        <w:spacing w:line="240" w:lineRule="auto" w:before="64" w:after="0"/>
        <w:ind w:left="745" w:right="0" w:hanging="428"/>
        <w:jc w:val="left"/>
        <w:rPr>
          <w:sz w:val="21"/>
        </w:rPr>
      </w:pPr>
      <w:r>
        <w:rPr>
          <w:sz w:val="21"/>
        </w:rPr>
        <w:t>未经抵销的递延所得税负债 </w:t>
      </w:r>
    </w:p>
    <w:p>
      <w:pPr>
        <w:pStyle w:val="BodyText"/>
        <w:spacing w:before="6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71"/>
      </w:pPr>
      <w:r>
        <w:rPr>
          <w:spacing w:val="7"/>
        </w:rPr>
        <w:t>单位：千元 币种：人民币</w:t>
      </w:r>
      <w:r>
        <w:rPr/>
        <w:t> </w:t>
      </w:r>
    </w:p>
    <w:p>
      <w:pPr>
        <w:spacing w:after="0"/>
        <w:sectPr>
          <w:type w:val="continuous"/>
          <w:pgSz w:w="11910" w:h="16840"/>
          <w:pgMar w:top="780" w:bottom="280" w:left="1480" w:right="0"/>
          <w:cols w:num="2" w:equalWidth="0">
            <w:col w:w="3422" w:space="2889"/>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17"/>
        <w:gridCol w:w="1635"/>
        <w:gridCol w:w="1623"/>
        <w:gridCol w:w="1618"/>
        <w:gridCol w:w="1632"/>
      </w:tblGrid>
      <w:tr>
        <w:trPr>
          <w:trHeight w:val="285" w:hRule="atLeast"/>
        </w:trPr>
        <w:tc>
          <w:tcPr>
            <w:tcW w:w="2317" w:type="dxa"/>
            <w:vMerge w:val="restart"/>
          </w:tcPr>
          <w:p>
            <w:pPr>
              <w:pStyle w:val="TableParagraph"/>
              <w:spacing w:before="2"/>
              <w:rPr>
                <w:sz w:val="22"/>
              </w:rPr>
            </w:pPr>
          </w:p>
          <w:p>
            <w:pPr>
              <w:pStyle w:val="TableParagraph"/>
              <w:ind w:left="980" w:right="866"/>
              <w:jc w:val="center"/>
              <w:rPr>
                <w:sz w:val="21"/>
              </w:rPr>
            </w:pPr>
            <w:r>
              <w:rPr>
                <w:sz w:val="21"/>
              </w:rPr>
              <w:t>项目 </w:t>
            </w:r>
          </w:p>
        </w:tc>
        <w:tc>
          <w:tcPr>
            <w:tcW w:w="3258" w:type="dxa"/>
            <w:gridSpan w:val="2"/>
          </w:tcPr>
          <w:p>
            <w:pPr>
              <w:pStyle w:val="TableParagraph"/>
              <w:spacing w:line="257" w:lineRule="exact" w:before="8"/>
              <w:ind w:left="1241" w:right="1131"/>
              <w:jc w:val="center"/>
              <w:rPr>
                <w:sz w:val="21"/>
              </w:rPr>
            </w:pPr>
            <w:r>
              <w:rPr>
                <w:spacing w:val="-1"/>
                <w:sz w:val="21"/>
              </w:rPr>
              <w:t>期末余额</w:t>
            </w:r>
            <w:r>
              <w:rPr>
                <w:sz w:val="21"/>
              </w:rPr>
              <w:t> </w:t>
            </w:r>
          </w:p>
        </w:tc>
        <w:tc>
          <w:tcPr>
            <w:tcW w:w="3250" w:type="dxa"/>
            <w:gridSpan w:val="2"/>
          </w:tcPr>
          <w:p>
            <w:pPr>
              <w:pStyle w:val="TableParagraph"/>
              <w:spacing w:line="257" w:lineRule="exact" w:before="8"/>
              <w:ind w:left="1238" w:right="1126"/>
              <w:jc w:val="center"/>
              <w:rPr>
                <w:sz w:val="21"/>
              </w:rPr>
            </w:pPr>
            <w:r>
              <w:rPr>
                <w:spacing w:val="-1"/>
                <w:sz w:val="21"/>
              </w:rPr>
              <w:t>期初余额</w:t>
            </w:r>
            <w:r>
              <w:rPr>
                <w:sz w:val="21"/>
              </w:rPr>
              <w:t> </w:t>
            </w:r>
          </w:p>
        </w:tc>
      </w:tr>
      <w:tr>
        <w:trPr>
          <w:trHeight w:val="544" w:hRule="atLeast"/>
        </w:trPr>
        <w:tc>
          <w:tcPr>
            <w:tcW w:w="2317" w:type="dxa"/>
            <w:vMerge/>
            <w:tcBorders>
              <w:top w:val="nil"/>
            </w:tcBorders>
          </w:tcPr>
          <w:p>
            <w:pPr>
              <w:rPr>
                <w:sz w:val="2"/>
                <w:szCs w:val="2"/>
              </w:rPr>
            </w:pPr>
          </w:p>
        </w:tc>
        <w:tc>
          <w:tcPr>
            <w:tcW w:w="1635" w:type="dxa"/>
          </w:tcPr>
          <w:p>
            <w:pPr>
              <w:pStyle w:val="TableParagraph"/>
              <w:spacing w:before="1"/>
              <w:ind w:left="186"/>
              <w:rPr>
                <w:sz w:val="21"/>
              </w:rPr>
            </w:pPr>
            <w:r>
              <w:rPr>
                <w:sz w:val="21"/>
              </w:rPr>
              <w:t>应纳税暂时性</w:t>
            </w:r>
          </w:p>
          <w:p>
            <w:pPr>
              <w:pStyle w:val="TableParagraph"/>
              <w:spacing w:line="250" w:lineRule="exact" w:before="4"/>
              <w:ind w:left="606"/>
              <w:rPr>
                <w:sz w:val="21"/>
              </w:rPr>
            </w:pPr>
            <w:r>
              <w:rPr>
                <w:sz w:val="21"/>
              </w:rPr>
              <w:t>差异 </w:t>
            </w:r>
          </w:p>
        </w:tc>
        <w:tc>
          <w:tcPr>
            <w:tcW w:w="1623" w:type="dxa"/>
          </w:tcPr>
          <w:p>
            <w:pPr>
              <w:pStyle w:val="TableParagraph"/>
              <w:spacing w:before="1"/>
              <w:ind w:left="317" w:right="205"/>
              <w:jc w:val="center"/>
              <w:rPr>
                <w:sz w:val="21"/>
              </w:rPr>
            </w:pPr>
            <w:r>
              <w:rPr>
                <w:sz w:val="21"/>
              </w:rPr>
              <w:t>递延所得税 </w:t>
            </w:r>
          </w:p>
          <w:p>
            <w:pPr>
              <w:pStyle w:val="TableParagraph"/>
              <w:spacing w:line="250" w:lineRule="exact" w:before="4"/>
              <w:ind w:left="315" w:right="205"/>
              <w:jc w:val="center"/>
              <w:rPr>
                <w:sz w:val="21"/>
              </w:rPr>
            </w:pPr>
            <w:r>
              <w:rPr>
                <w:sz w:val="21"/>
              </w:rPr>
              <w:t>负债 </w:t>
            </w:r>
          </w:p>
        </w:tc>
        <w:tc>
          <w:tcPr>
            <w:tcW w:w="1618" w:type="dxa"/>
          </w:tcPr>
          <w:p>
            <w:pPr>
              <w:pStyle w:val="TableParagraph"/>
              <w:spacing w:before="1"/>
              <w:ind w:left="176"/>
              <w:rPr>
                <w:sz w:val="21"/>
              </w:rPr>
            </w:pPr>
            <w:r>
              <w:rPr>
                <w:sz w:val="21"/>
              </w:rPr>
              <w:t>应纳税暂时性</w:t>
            </w:r>
          </w:p>
          <w:p>
            <w:pPr>
              <w:pStyle w:val="TableParagraph"/>
              <w:spacing w:line="250" w:lineRule="exact" w:before="4"/>
              <w:ind w:left="596"/>
              <w:rPr>
                <w:sz w:val="21"/>
              </w:rPr>
            </w:pPr>
            <w:r>
              <w:rPr>
                <w:sz w:val="21"/>
              </w:rPr>
              <w:t>差异 </w:t>
            </w:r>
          </w:p>
        </w:tc>
        <w:tc>
          <w:tcPr>
            <w:tcW w:w="1632" w:type="dxa"/>
          </w:tcPr>
          <w:p>
            <w:pPr>
              <w:pStyle w:val="TableParagraph"/>
              <w:spacing w:before="1"/>
              <w:ind w:left="320" w:right="212"/>
              <w:jc w:val="center"/>
              <w:rPr>
                <w:sz w:val="21"/>
              </w:rPr>
            </w:pPr>
            <w:r>
              <w:rPr>
                <w:sz w:val="21"/>
              </w:rPr>
              <w:t>递延所得税 </w:t>
            </w:r>
          </w:p>
          <w:p>
            <w:pPr>
              <w:pStyle w:val="TableParagraph"/>
              <w:spacing w:line="250" w:lineRule="exact" w:before="4"/>
              <w:ind w:left="320" w:right="210"/>
              <w:jc w:val="center"/>
              <w:rPr>
                <w:sz w:val="21"/>
              </w:rPr>
            </w:pPr>
            <w:r>
              <w:rPr>
                <w:sz w:val="21"/>
              </w:rPr>
              <w:t>负债 </w:t>
            </w:r>
          </w:p>
        </w:tc>
      </w:tr>
      <w:tr>
        <w:trPr>
          <w:trHeight w:val="544" w:hRule="atLeast"/>
        </w:trPr>
        <w:tc>
          <w:tcPr>
            <w:tcW w:w="2317" w:type="dxa"/>
          </w:tcPr>
          <w:p>
            <w:pPr>
              <w:pStyle w:val="TableParagraph"/>
              <w:spacing w:before="1"/>
              <w:ind w:left="107"/>
              <w:rPr>
                <w:sz w:val="21"/>
              </w:rPr>
            </w:pPr>
            <w:r>
              <w:rPr>
                <w:sz w:val="21"/>
              </w:rPr>
              <w:t>非同一控制企业合并资</w:t>
            </w:r>
          </w:p>
          <w:p>
            <w:pPr>
              <w:pStyle w:val="TableParagraph"/>
              <w:spacing w:line="250" w:lineRule="exact" w:before="4"/>
              <w:ind w:left="107"/>
              <w:rPr>
                <w:sz w:val="21"/>
              </w:rPr>
            </w:pPr>
            <w:r>
              <w:rPr>
                <w:sz w:val="21"/>
              </w:rPr>
              <w:t>产评估增值 </w:t>
            </w:r>
          </w:p>
        </w:tc>
        <w:tc>
          <w:tcPr>
            <w:tcW w:w="1635" w:type="dxa"/>
          </w:tcPr>
          <w:p>
            <w:pPr>
              <w:pStyle w:val="TableParagraph"/>
              <w:spacing w:before="144"/>
              <w:ind w:right="94"/>
              <w:jc w:val="right"/>
              <w:rPr>
                <w:rFonts w:ascii="Times New Roman"/>
                <w:sz w:val="21"/>
              </w:rPr>
            </w:pPr>
            <w:r>
              <w:rPr>
                <w:rFonts w:ascii="Times New Roman"/>
                <w:sz w:val="21"/>
              </w:rPr>
              <w:t>27,783</w:t>
            </w:r>
          </w:p>
        </w:tc>
        <w:tc>
          <w:tcPr>
            <w:tcW w:w="1623" w:type="dxa"/>
          </w:tcPr>
          <w:p>
            <w:pPr>
              <w:pStyle w:val="TableParagraph"/>
              <w:spacing w:before="144"/>
              <w:ind w:right="95"/>
              <w:jc w:val="right"/>
              <w:rPr>
                <w:rFonts w:ascii="Times New Roman"/>
                <w:sz w:val="21"/>
              </w:rPr>
            </w:pPr>
            <w:r>
              <w:rPr>
                <w:rFonts w:ascii="Times New Roman"/>
                <w:sz w:val="21"/>
              </w:rPr>
              <w:t>5,548</w:t>
            </w:r>
          </w:p>
        </w:tc>
        <w:tc>
          <w:tcPr>
            <w:tcW w:w="1618" w:type="dxa"/>
          </w:tcPr>
          <w:p>
            <w:pPr>
              <w:pStyle w:val="TableParagraph"/>
              <w:spacing w:before="144"/>
              <w:ind w:right="97"/>
              <w:jc w:val="right"/>
              <w:rPr>
                <w:rFonts w:ascii="Times New Roman"/>
                <w:sz w:val="21"/>
              </w:rPr>
            </w:pPr>
            <w:r>
              <w:rPr>
                <w:rFonts w:ascii="Times New Roman"/>
                <w:sz w:val="21"/>
              </w:rPr>
              <w:t>19,728</w:t>
            </w:r>
          </w:p>
        </w:tc>
        <w:tc>
          <w:tcPr>
            <w:tcW w:w="1632" w:type="dxa"/>
          </w:tcPr>
          <w:p>
            <w:pPr>
              <w:pStyle w:val="TableParagraph"/>
              <w:spacing w:before="144"/>
              <w:ind w:right="94"/>
              <w:jc w:val="right"/>
              <w:rPr>
                <w:rFonts w:ascii="Times New Roman"/>
                <w:sz w:val="21"/>
              </w:rPr>
            </w:pPr>
            <w:r>
              <w:rPr>
                <w:rFonts w:ascii="Times New Roman"/>
                <w:sz w:val="21"/>
              </w:rPr>
              <w:t>4,932</w:t>
            </w:r>
          </w:p>
        </w:tc>
      </w:tr>
      <w:tr>
        <w:trPr>
          <w:trHeight w:val="544" w:hRule="atLeast"/>
        </w:trPr>
        <w:tc>
          <w:tcPr>
            <w:tcW w:w="2317" w:type="dxa"/>
          </w:tcPr>
          <w:p>
            <w:pPr>
              <w:pStyle w:val="TableParagraph"/>
              <w:spacing w:before="1"/>
              <w:ind w:left="107"/>
              <w:rPr>
                <w:sz w:val="21"/>
              </w:rPr>
            </w:pPr>
            <w:r>
              <w:rPr>
                <w:sz w:val="21"/>
              </w:rPr>
              <w:t>其他债权投资公允价值</w:t>
            </w:r>
          </w:p>
          <w:p>
            <w:pPr>
              <w:pStyle w:val="TableParagraph"/>
              <w:spacing w:line="250" w:lineRule="exact" w:before="4"/>
              <w:ind w:left="107"/>
              <w:rPr>
                <w:sz w:val="21"/>
              </w:rPr>
            </w:pPr>
            <w:r>
              <w:rPr>
                <w:sz w:val="21"/>
              </w:rPr>
              <w:t>变动 </w:t>
            </w:r>
          </w:p>
        </w:tc>
        <w:tc>
          <w:tcPr>
            <w:tcW w:w="1635" w:type="dxa"/>
          </w:tcPr>
          <w:p>
            <w:pPr>
              <w:pStyle w:val="TableParagraph"/>
              <w:rPr>
                <w:rFonts w:ascii="Times New Roman"/>
                <w:sz w:val="20"/>
              </w:rPr>
            </w:pPr>
          </w:p>
        </w:tc>
        <w:tc>
          <w:tcPr>
            <w:tcW w:w="1623" w:type="dxa"/>
          </w:tcPr>
          <w:p>
            <w:pPr>
              <w:pStyle w:val="TableParagraph"/>
              <w:rPr>
                <w:rFonts w:ascii="Times New Roman"/>
                <w:sz w:val="20"/>
              </w:rPr>
            </w:pPr>
          </w:p>
        </w:tc>
        <w:tc>
          <w:tcPr>
            <w:tcW w:w="1618" w:type="dxa"/>
          </w:tcPr>
          <w:p>
            <w:pPr>
              <w:pStyle w:val="TableParagraph"/>
              <w:rPr>
                <w:rFonts w:ascii="Times New Roman"/>
                <w:sz w:val="20"/>
              </w:rPr>
            </w:pPr>
          </w:p>
        </w:tc>
        <w:tc>
          <w:tcPr>
            <w:tcW w:w="1632" w:type="dxa"/>
          </w:tcPr>
          <w:p>
            <w:pPr>
              <w:pStyle w:val="TableParagraph"/>
              <w:rPr>
                <w:rFonts w:ascii="Times New Roman"/>
                <w:sz w:val="20"/>
              </w:rPr>
            </w:pPr>
          </w:p>
        </w:tc>
      </w:tr>
      <w:tr>
        <w:trPr>
          <w:trHeight w:val="544" w:hRule="atLeast"/>
        </w:trPr>
        <w:tc>
          <w:tcPr>
            <w:tcW w:w="2317" w:type="dxa"/>
          </w:tcPr>
          <w:p>
            <w:pPr>
              <w:pStyle w:val="TableParagraph"/>
              <w:spacing w:before="1"/>
              <w:ind w:left="107"/>
              <w:rPr>
                <w:sz w:val="21"/>
              </w:rPr>
            </w:pPr>
            <w:r>
              <w:rPr>
                <w:sz w:val="21"/>
              </w:rPr>
              <w:t>其他权益工具投资公允</w:t>
            </w:r>
          </w:p>
          <w:p>
            <w:pPr>
              <w:pStyle w:val="TableParagraph"/>
              <w:spacing w:line="250" w:lineRule="exact" w:before="4"/>
              <w:ind w:left="107"/>
              <w:rPr>
                <w:sz w:val="21"/>
              </w:rPr>
            </w:pPr>
            <w:r>
              <w:rPr>
                <w:spacing w:val="-1"/>
                <w:sz w:val="21"/>
              </w:rPr>
              <w:t>价值变动</w:t>
            </w:r>
            <w:r>
              <w:rPr>
                <w:sz w:val="21"/>
              </w:rPr>
              <w:t> </w:t>
            </w:r>
          </w:p>
        </w:tc>
        <w:tc>
          <w:tcPr>
            <w:tcW w:w="1635" w:type="dxa"/>
          </w:tcPr>
          <w:p>
            <w:pPr>
              <w:pStyle w:val="TableParagraph"/>
              <w:rPr>
                <w:rFonts w:ascii="Times New Roman"/>
                <w:sz w:val="20"/>
              </w:rPr>
            </w:pPr>
          </w:p>
        </w:tc>
        <w:tc>
          <w:tcPr>
            <w:tcW w:w="1623" w:type="dxa"/>
          </w:tcPr>
          <w:p>
            <w:pPr>
              <w:pStyle w:val="TableParagraph"/>
              <w:rPr>
                <w:rFonts w:ascii="Times New Roman"/>
                <w:sz w:val="20"/>
              </w:rPr>
            </w:pPr>
          </w:p>
        </w:tc>
        <w:tc>
          <w:tcPr>
            <w:tcW w:w="1618" w:type="dxa"/>
          </w:tcPr>
          <w:p>
            <w:pPr>
              <w:pStyle w:val="TableParagraph"/>
              <w:rPr>
                <w:rFonts w:ascii="Times New Roman"/>
                <w:sz w:val="20"/>
              </w:rPr>
            </w:pPr>
          </w:p>
        </w:tc>
        <w:tc>
          <w:tcPr>
            <w:tcW w:w="1632" w:type="dxa"/>
          </w:tcPr>
          <w:p>
            <w:pPr>
              <w:pStyle w:val="TableParagraph"/>
              <w:rPr>
                <w:rFonts w:ascii="Times New Roman"/>
                <w:sz w:val="20"/>
              </w:rPr>
            </w:pPr>
          </w:p>
        </w:tc>
      </w:tr>
      <w:tr>
        <w:trPr>
          <w:trHeight w:val="285" w:hRule="atLeast"/>
        </w:trPr>
        <w:tc>
          <w:tcPr>
            <w:tcW w:w="2317" w:type="dxa"/>
          </w:tcPr>
          <w:p>
            <w:pPr>
              <w:pStyle w:val="TableParagraph"/>
              <w:spacing w:line="257" w:lineRule="exact" w:before="8"/>
              <w:ind w:left="107"/>
              <w:rPr>
                <w:sz w:val="21"/>
              </w:rPr>
            </w:pPr>
            <w:r>
              <w:rPr>
                <w:sz w:val="21"/>
              </w:rPr>
              <w:t>使用权资产 </w:t>
            </w:r>
          </w:p>
        </w:tc>
        <w:tc>
          <w:tcPr>
            <w:tcW w:w="1635" w:type="dxa"/>
          </w:tcPr>
          <w:p>
            <w:pPr>
              <w:pStyle w:val="TableParagraph"/>
              <w:spacing w:line="237" w:lineRule="exact"/>
              <w:ind w:right="94"/>
              <w:jc w:val="right"/>
              <w:rPr>
                <w:rFonts w:ascii="Times New Roman"/>
                <w:sz w:val="21"/>
              </w:rPr>
            </w:pPr>
            <w:r>
              <w:rPr>
                <w:rFonts w:ascii="Times New Roman"/>
                <w:sz w:val="21"/>
              </w:rPr>
              <w:t>2,066,632</w:t>
            </w:r>
          </w:p>
        </w:tc>
        <w:tc>
          <w:tcPr>
            <w:tcW w:w="1623" w:type="dxa"/>
          </w:tcPr>
          <w:p>
            <w:pPr>
              <w:pStyle w:val="TableParagraph"/>
              <w:spacing w:line="237" w:lineRule="exact"/>
              <w:ind w:right="95"/>
              <w:jc w:val="right"/>
              <w:rPr>
                <w:rFonts w:ascii="Times New Roman"/>
                <w:sz w:val="21"/>
              </w:rPr>
            </w:pPr>
            <w:r>
              <w:rPr>
                <w:rFonts w:ascii="Times New Roman"/>
                <w:sz w:val="21"/>
              </w:rPr>
              <w:t>312,331</w:t>
            </w:r>
          </w:p>
        </w:tc>
        <w:tc>
          <w:tcPr>
            <w:tcW w:w="1618" w:type="dxa"/>
          </w:tcPr>
          <w:p>
            <w:pPr>
              <w:pStyle w:val="TableParagraph"/>
              <w:spacing w:line="237" w:lineRule="exact"/>
              <w:ind w:right="97"/>
              <w:jc w:val="right"/>
              <w:rPr>
                <w:rFonts w:ascii="Times New Roman"/>
                <w:sz w:val="21"/>
              </w:rPr>
            </w:pPr>
            <w:r>
              <w:rPr>
                <w:rFonts w:ascii="Times New Roman"/>
                <w:sz w:val="21"/>
              </w:rPr>
              <w:t>2,117,068</w:t>
            </w:r>
          </w:p>
        </w:tc>
        <w:tc>
          <w:tcPr>
            <w:tcW w:w="1632" w:type="dxa"/>
          </w:tcPr>
          <w:p>
            <w:pPr>
              <w:pStyle w:val="TableParagraph"/>
              <w:spacing w:line="237" w:lineRule="exact"/>
              <w:ind w:right="94"/>
              <w:jc w:val="right"/>
              <w:rPr>
                <w:rFonts w:ascii="Times New Roman"/>
                <w:sz w:val="21"/>
              </w:rPr>
            </w:pPr>
            <w:r>
              <w:rPr>
                <w:rFonts w:ascii="Times New Roman"/>
                <w:sz w:val="21"/>
              </w:rPr>
              <w:t>320,857</w:t>
            </w:r>
          </w:p>
        </w:tc>
      </w:tr>
      <w:tr>
        <w:trPr>
          <w:trHeight w:val="285" w:hRule="atLeast"/>
        </w:trPr>
        <w:tc>
          <w:tcPr>
            <w:tcW w:w="2317" w:type="dxa"/>
          </w:tcPr>
          <w:p>
            <w:pPr>
              <w:pStyle w:val="TableParagraph"/>
              <w:spacing w:line="257" w:lineRule="exact" w:before="8"/>
              <w:ind w:left="107"/>
              <w:rPr>
                <w:sz w:val="21"/>
              </w:rPr>
            </w:pPr>
            <w:r>
              <w:rPr>
                <w:spacing w:val="-1"/>
                <w:sz w:val="21"/>
              </w:rPr>
              <w:t>固定资产折旧</w:t>
            </w:r>
            <w:r>
              <w:rPr>
                <w:sz w:val="21"/>
              </w:rPr>
              <w:t> </w:t>
            </w:r>
          </w:p>
        </w:tc>
        <w:tc>
          <w:tcPr>
            <w:tcW w:w="1635" w:type="dxa"/>
          </w:tcPr>
          <w:p>
            <w:pPr>
              <w:pStyle w:val="TableParagraph"/>
              <w:spacing w:line="237" w:lineRule="exact"/>
              <w:ind w:right="94"/>
              <w:jc w:val="right"/>
              <w:rPr>
                <w:rFonts w:ascii="Times New Roman"/>
                <w:sz w:val="21"/>
              </w:rPr>
            </w:pPr>
            <w:r>
              <w:rPr>
                <w:rFonts w:ascii="Times New Roman"/>
                <w:sz w:val="21"/>
              </w:rPr>
              <w:t>2,223,020</w:t>
            </w:r>
          </w:p>
        </w:tc>
        <w:tc>
          <w:tcPr>
            <w:tcW w:w="1623" w:type="dxa"/>
          </w:tcPr>
          <w:p>
            <w:pPr>
              <w:pStyle w:val="TableParagraph"/>
              <w:spacing w:line="237" w:lineRule="exact"/>
              <w:ind w:right="95"/>
              <w:jc w:val="right"/>
              <w:rPr>
                <w:rFonts w:ascii="Times New Roman"/>
                <w:sz w:val="21"/>
              </w:rPr>
            </w:pPr>
            <w:r>
              <w:rPr>
                <w:rFonts w:ascii="Times New Roman"/>
                <w:sz w:val="21"/>
              </w:rPr>
              <w:t>334,686</w:t>
            </w:r>
          </w:p>
        </w:tc>
        <w:tc>
          <w:tcPr>
            <w:tcW w:w="1618" w:type="dxa"/>
          </w:tcPr>
          <w:p>
            <w:pPr>
              <w:pStyle w:val="TableParagraph"/>
              <w:spacing w:line="237" w:lineRule="exact"/>
              <w:ind w:right="97"/>
              <w:jc w:val="right"/>
              <w:rPr>
                <w:rFonts w:ascii="Times New Roman"/>
                <w:sz w:val="21"/>
              </w:rPr>
            </w:pPr>
            <w:r>
              <w:rPr>
                <w:rFonts w:ascii="Times New Roman"/>
                <w:sz w:val="21"/>
              </w:rPr>
              <w:t>743,246</w:t>
            </w:r>
          </w:p>
        </w:tc>
        <w:tc>
          <w:tcPr>
            <w:tcW w:w="1632" w:type="dxa"/>
          </w:tcPr>
          <w:p>
            <w:pPr>
              <w:pStyle w:val="TableParagraph"/>
              <w:spacing w:line="237" w:lineRule="exact"/>
              <w:ind w:right="94"/>
              <w:jc w:val="right"/>
              <w:rPr>
                <w:rFonts w:ascii="Times New Roman"/>
                <w:sz w:val="21"/>
              </w:rPr>
            </w:pPr>
            <w:r>
              <w:rPr>
                <w:rFonts w:ascii="Times New Roman"/>
                <w:sz w:val="21"/>
              </w:rPr>
              <w:t>111,943</w:t>
            </w:r>
          </w:p>
        </w:tc>
      </w:tr>
      <w:tr>
        <w:trPr>
          <w:trHeight w:val="544" w:hRule="atLeast"/>
        </w:trPr>
        <w:tc>
          <w:tcPr>
            <w:tcW w:w="2317" w:type="dxa"/>
          </w:tcPr>
          <w:p>
            <w:pPr>
              <w:pStyle w:val="TableParagraph"/>
              <w:spacing w:before="1"/>
              <w:ind w:left="107"/>
              <w:rPr>
                <w:sz w:val="21"/>
              </w:rPr>
            </w:pPr>
            <w:r>
              <w:rPr>
                <w:sz w:val="21"/>
              </w:rPr>
              <w:t>衍生金融资产公允价值</w:t>
            </w:r>
          </w:p>
          <w:p>
            <w:pPr>
              <w:pStyle w:val="TableParagraph"/>
              <w:spacing w:line="250" w:lineRule="exact" w:before="5"/>
              <w:ind w:left="107"/>
              <w:rPr>
                <w:sz w:val="21"/>
              </w:rPr>
            </w:pPr>
            <w:r>
              <w:rPr>
                <w:sz w:val="21"/>
              </w:rPr>
              <w:t>变动 </w:t>
            </w:r>
          </w:p>
        </w:tc>
        <w:tc>
          <w:tcPr>
            <w:tcW w:w="1635" w:type="dxa"/>
          </w:tcPr>
          <w:p>
            <w:pPr>
              <w:pStyle w:val="TableParagraph"/>
              <w:spacing w:line="235" w:lineRule="exact"/>
              <w:ind w:right="94"/>
              <w:jc w:val="right"/>
              <w:rPr>
                <w:rFonts w:ascii="Times New Roman"/>
                <w:sz w:val="21"/>
              </w:rPr>
            </w:pPr>
            <w:r>
              <w:rPr>
                <w:rFonts w:ascii="Times New Roman"/>
                <w:sz w:val="21"/>
              </w:rPr>
              <w:t>15,621</w:t>
            </w:r>
          </w:p>
        </w:tc>
        <w:tc>
          <w:tcPr>
            <w:tcW w:w="1623" w:type="dxa"/>
          </w:tcPr>
          <w:p>
            <w:pPr>
              <w:pStyle w:val="TableParagraph"/>
              <w:spacing w:line="235" w:lineRule="exact"/>
              <w:ind w:right="95"/>
              <w:jc w:val="right"/>
              <w:rPr>
                <w:rFonts w:ascii="Times New Roman"/>
                <w:sz w:val="21"/>
              </w:rPr>
            </w:pPr>
            <w:r>
              <w:rPr>
                <w:rFonts w:ascii="Times New Roman"/>
                <w:sz w:val="21"/>
              </w:rPr>
              <w:t>2,343</w:t>
            </w:r>
          </w:p>
        </w:tc>
        <w:tc>
          <w:tcPr>
            <w:tcW w:w="1618" w:type="dxa"/>
          </w:tcPr>
          <w:p>
            <w:pPr>
              <w:pStyle w:val="TableParagraph"/>
              <w:spacing w:line="235" w:lineRule="exact"/>
              <w:ind w:right="97"/>
              <w:jc w:val="right"/>
              <w:rPr>
                <w:rFonts w:ascii="Times New Roman"/>
                <w:sz w:val="21"/>
              </w:rPr>
            </w:pPr>
            <w:r>
              <w:rPr>
                <w:rFonts w:ascii="Times New Roman"/>
                <w:sz w:val="21"/>
              </w:rPr>
              <w:t>244,692</w:t>
            </w:r>
          </w:p>
        </w:tc>
        <w:tc>
          <w:tcPr>
            <w:tcW w:w="1632" w:type="dxa"/>
          </w:tcPr>
          <w:p>
            <w:pPr>
              <w:pStyle w:val="TableParagraph"/>
              <w:spacing w:line="235" w:lineRule="exact"/>
              <w:ind w:right="94"/>
              <w:jc w:val="right"/>
              <w:rPr>
                <w:rFonts w:ascii="Times New Roman"/>
                <w:sz w:val="21"/>
              </w:rPr>
            </w:pPr>
            <w:r>
              <w:rPr>
                <w:rFonts w:ascii="Times New Roman"/>
                <w:sz w:val="21"/>
              </w:rPr>
              <w:t>36,704</w:t>
            </w:r>
          </w:p>
        </w:tc>
      </w:tr>
      <w:tr>
        <w:trPr>
          <w:trHeight w:val="285" w:hRule="atLeast"/>
        </w:trPr>
        <w:tc>
          <w:tcPr>
            <w:tcW w:w="2317" w:type="dxa"/>
          </w:tcPr>
          <w:p>
            <w:pPr>
              <w:pStyle w:val="TableParagraph"/>
              <w:spacing w:line="257" w:lineRule="exact" w:before="8"/>
              <w:ind w:left="107"/>
              <w:rPr>
                <w:sz w:val="21"/>
              </w:rPr>
            </w:pPr>
            <w:r>
              <w:rPr>
                <w:spacing w:val="-1"/>
                <w:sz w:val="21"/>
              </w:rPr>
              <w:t>暂估利息收入</w:t>
            </w:r>
            <w:r>
              <w:rPr>
                <w:sz w:val="21"/>
              </w:rPr>
              <w:t> </w:t>
            </w:r>
          </w:p>
        </w:tc>
        <w:tc>
          <w:tcPr>
            <w:tcW w:w="1635" w:type="dxa"/>
          </w:tcPr>
          <w:p>
            <w:pPr>
              <w:pStyle w:val="TableParagraph"/>
              <w:spacing w:line="237" w:lineRule="exact"/>
              <w:ind w:right="94"/>
              <w:jc w:val="right"/>
              <w:rPr>
                <w:rFonts w:ascii="Times New Roman"/>
                <w:sz w:val="21"/>
              </w:rPr>
            </w:pPr>
            <w:r>
              <w:rPr>
                <w:rFonts w:ascii="Times New Roman"/>
                <w:sz w:val="21"/>
              </w:rPr>
              <w:t>107,390</w:t>
            </w:r>
          </w:p>
        </w:tc>
        <w:tc>
          <w:tcPr>
            <w:tcW w:w="1623" w:type="dxa"/>
          </w:tcPr>
          <w:p>
            <w:pPr>
              <w:pStyle w:val="TableParagraph"/>
              <w:spacing w:line="237" w:lineRule="exact"/>
              <w:ind w:right="95"/>
              <w:jc w:val="right"/>
              <w:rPr>
                <w:rFonts w:ascii="Times New Roman"/>
                <w:sz w:val="21"/>
              </w:rPr>
            </w:pPr>
            <w:r>
              <w:rPr>
                <w:rFonts w:ascii="Times New Roman"/>
                <w:sz w:val="21"/>
              </w:rPr>
              <w:t>17,137</w:t>
            </w:r>
          </w:p>
        </w:tc>
        <w:tc>
          <w:tcPr>
            <w:tcW w:w="1618" w:type="dxa"/>
          </w:tcPr>
          <w:p>
            <w:pPr>
              <w:pStyle w:val="TableParagraph"/>
              <w:spacing w:line="237" w:lineRule="exact"/>
              <w:ind w:right="97"/>
              <w:jc w:val="right"/>
              <w:rPr>
                <w:rFonts w:ascii="Times New Roman"/>
                <w:sz w:val="21"/>
              </w:rPr>
            </w:pPr>
            <w:r>
              <w:rPr>
                <w:rFonts w:ascii="Times New Roman"/>
                <w:sz w:val="21"/>
              </w:rPr>
              <w:t>186,085</w:t>
            </w:r>
          </w:p>
        </w:tc>
        <w:tc>
          <w:tcPr>
            <w:tcW w:w="1632" w:type="dxa"/>
          </w:tcPr>
          <w:p>
            <w:pPr>
              <w:pStyle w:val="TableParagraph"/>
              <w:spacing w:line="237" w:lineRule="exact"/>
              <w:ind w:right="94"/>
              <w:jc w:val="right"/>
              <w:rPr>
                <w:rFonts w:ascii="Times New Roman"/>
                <w:sz w:val="21"/>
              </w:rPr>
            </w:pPr>
            <w:r>
              <w:rPr>
                <w:rFonts w:ascii="Times New Roman"/>
                <w:sz w:val="21"/>
              </w:rPr>
              <w:t>34,834</w:t>
            </w:r>
          </w:p>
        </w:tc>
      </w:tr>
      <w:tr>
        <w:trPr>
          <w:trHeight w:val="285" w:hRule="atLeast"/>
        </w:trPr>
        <w:tc>
          <w:tcPr>
            <w:tcW w:w="2317" w:type="dxa"/>
          </w:tcPr>
          <w:p>
            <w:pPr>
              <w:pStyle w:val="TableParagraph"/>
              <w:spacing w:line="257" w:lineRule="exact" w:before="8"/>
              <w:ind w:left="107"/>
              <w:rPr>
                <w:sz w:val="21"/>
              </w:rPr>
            </w:pPr>
            <w:r>
              <w:rPr>
                <w:sz w:val="21"/>
              </w:rPr>
              <w:t>其他 </w:t>
            </w:r>
          </w:p>
        </w:tc>
        <w:tc>
          <w:tcPr>
            <w:tcW w:w="1635" w:type="dxa"/>
          </w:tcPr>
          <w:p>
            <w:pPr>
              <w:pStyle w:val="TableParagraph"/>
              <w:spacing w:line="235" w:lineRule="exact"/>
              <w:ind w:right="94"/>
              <w:jc w:val="right"/>
              <w:rPr>
                <w:rFonts w:ascii="Times New Roman"/>
                <w:sz w:val="21"/>
              </w:rPr>
            </w:pPr>
            <w:r>
              <w:rPr>
                <w:rFonts w:ascii="Times New Roman"/>
                <w:sz w:val="21"/>
              </w:rPr>
              <w:t>6,355</w:t>
            </w:r>
          </w:p>
        </w:tc>
        <w:tc>
          <w:tcPr>
            <w:tcW w:w="1623" w:type="dxa"/>
          </w:tcPr>
          <w:p>
            <w:pPr>
              <w:pStyle w:val="TableParagraph"/>
              <w:spacing w:line="235" w:lineRule="exact"/>
              <w:ind w:right="95"/>
              <w:jc w:val="right"/>
              <w:rPr>
                <w:rFonts w:ascii="Times New Roman"/>
                <w:sz w:val="21"/>
              </w:rPr>
            </w:pPr>
            <w:r>
              <w:rPr>
                <w:rFonts w:ascii="Times New Roman"/>
                <w:sz w:val="21"/>
              </w:rPr>
              <w:t>954</w:t>
            </w:r>
          </w:p>
        </w:tc>
        <w:tc>
          <w:tcPr>
            <w:tcW w:w="1618" w:type="dxa"/>
          </w:tcPr>
          <w:p>
            <w:pPr>
              <w:pStyle w:val="TableParagraph"/>
              <w:spacing w:line="235" w:lineRule="exact"/>
              <w:ind w:right="97"/>
              <w:jc w:val="right"/>
              <w:rPr>
                <w:rFonts w:ascii="Times New Roman"/>
                <w:sz w:val="21"/>
              </w:rPr>
            </w:pPr>
            <w:r>
              <w:rPr>
                <w:rFonts w:ascii="Times New Roman"/>
                <w:sz w:val="21"/>
              </w:rPr>
              <w:t>818</w:t>
            </w:r>
          </w:p>
        </w:tc>
        <w:tc>
          <w:tcPr>
            <w:tcW w:w="1632" w:type="dxa"/>
          </w:tcPr>
          <w:p>
            <w:pPr>
              <w:pStyle w:val="TableParagraph"/>
              <w:spacing w:line="235" w:lineRule="exact"/>
              <w:ind w:right="94"/>
              <w:jc w:val="right"/>
              <w:rPr>
                <w:rFonts w:ascii="Times New Roman"/>
                <w:sz w:val="21"/>
              </w:rPr>
            </w:pPr>
            <w:r>
              <w:rPr>
                <w:rFonts w:ascii="Times New Roman"/>
                <w:sz w:val="21"/>
              </w:rPr>
              <w:t>175</w:t>
            </w:r>
          </w:p>
        </w:tc>
      </w:tr>
      <w:tr>
        <w:trPr>
          <w:trHeight w:val="285" w:hRule="atLeast"/>
        </w:trPr>
        <w:tc>
          <w:tcPr>
            <w:tcW w:w="2317" w:type="dxa"/>
          </w:tcPr>
          <w:p>
            <w:pPr>
              <w:pStyle w:val="TableParagraph"/>
              <w:spacing w:line="257" w:lineRule="exact" w:before="8"/>
              <w:ind w:left="980" w:right="866"/>
              <w:jc w:val="center"/>
              <w:rPr>
                <w:sz w:val="21"/>
              </w:rPr>
            </w:pPr>
            <w:r>
              <w:rPr>
                <w:sz w:val="21"/>
              </w:rPr>
              <w:t>合计 </w:t>
            </w:r>
          </w:p>
        </w:tc>
        <w:tc>
          <w:tcPr>
            <w:tcW w:w="1635" w:type="dxa"/>
          </w:tcPr>
          <w:p>
            <w:pPr>
              <w:pStyle w:val="TableParagraph"/>
              <w:spacing w:line="235" w:lineRule="exact"/>
              <w:ind w:right="94"/>
              <w:jc w:val="right"/>
              <w:rPr>
                <w:rFonts w:ascii="Times New Roman"/>
                <w:sz w:val="21"/>
              </w:rPr>
            </w:pPr>
            <w:r>
              <w:rPr>
                <w:rFonts w:ascii="Times New Roman"/>
                <w:sz w:val="21"/>
              </w:rPr>
              <w:t>4,446,801</w:t>
            </w:r>
          </w:p>
        </w:tc>
        <w:tc>
          <w:tcPr>
            <w:tcW w:w="1623" w:type="dxa"/>
          </w:tcPr>
          <w:p>
            <w:pPr>
              <w:pStyle w:val="TableParagraph"/>
              <w:spacing w:line="235" w:lineRule="exact"/>
              <w:ind w:right="95"/>
              <w:jc w:val="right"/>
              <w:rPr>
                <w:rFonts w:ascii="Times New Roman"/>
                <w:sz w:val="21"/>
              </w:rPr>
            </w:pPr>
            <w:r>
              <w:rPr>
                <w:rFonts w:ascii="Times New Roman"/>
                <w:sz w:val="21"/>
              </w:rPr>
              <w:t>672,999</w:t>
            </w:r>
          </w:p>
        </w:tc>
        <w:tc>
          <w:tcPr>
            <w:tcW w:w="1618" w:type="dxa"/>
          </w:tcPr>
          <w:p>
            <w:pPr>
              <w:pStyle w:val="TableParagraph"/>
              <w:spacing w:line="235" w:lineRule="exact"/>
              <w:ind w:right="97"/>
              <w:jc w:val="right"/>
              <w:rPr>
                <w:rFonts w:ascii="Times New Roman"/>
                <w:sz w:val="21"/>
              </w:rPr>
            </w:pPr>
            <w:r>
              <w:rPr>
                <w:rFonts w:ascii="Times New Roman"/>
                <w:sz w:val="21"/>
              </w:rPr>
              <w:t>3,311,637</w:t>
            </w:r>
          </w:p>
        </w:tc>
        <w:tc>
          <w:tcPr>
            <w:tcW w:w="1632" w:type="dxa"/>
          </w:tcPr>
          <w:p>
            <w:pPr>
              <w:pStyle w:val="TableParagraph"/>
              <w:spacing w:line="235" w:lineRule="exact"/>
              <w:ind w:right="94"/>
              <w:jc w:val="right"/>
              <w:rPr>
                <w:rFonts w:ascii="Times New Roman"/>
                <w:sz w:val="21"/>
              </w:rPr>
            </w:pPr>
            <w:r>
              <w:rPr>
                <w:rFonts w:ascii="Times New Roman"/>
                <w:sz w:val="21"/>
              </w:rPr>
              <w:t>509,445</w:t>
            </w:r>
          </w:p>
        </w:tc>
      </w:tr>
    </w:tbl>
    <w:p>
      <w:pPr>
        <w:spacing w:after="0" w:line="235" w:lineRule="exact"/>
        <w:jc w:val="right"/>
        <w:rPr>
          <w:rFonts w:ascii="Times New Roman"/>
          <w:sz w:val="21"/>
        </w:rPr>
        <w:sectPr>
          <w:type w:val="continuous"/>
          <w:pgSz w:w="11910" w:h="16840"/>
          <w:pgMar w:top="780" w:bottom="280" w:left="1480" w:right="0"/>
        </w:sectPr>
      </w:pPr>
    </w:p>
    <w:p>
      <w:pPr>
        <w:pStyle w:val="BodyText"/>
        <w:spacing w:before="1"/>
      </w:pPr>
      <w:r>
        <w:rPr>
          <w:w w:val="100"/>
        </w:rPr>
        <w:t> </w:t>
      </w:r>
    </w:p>
    <w:p>
      <w:pPr>
        <w:pStyle w:val="ListParagraph"/>
        <w:numPr>
          <w:ilvl w:val="0"/>
          <w:numId w:val="71"/>
        </w:numPr>
        <w:tabs>
          <w:tab w:pos="746" w:val="left" w:leader="none"/>
        </w:tabs>
        <w:spacing w:line="240" w:lineRule="auto" w:before="64" w:after="0"/>
        <w:ind w:left="745" w:right="0" w:hanging="428"/>
        <w:jc w:val="left"/>
        <w:rPr>
          <w:sz w:val="21"/>
        </w:rPr>
      </w:pPr>
      <w:r>
        <w:rPr>
          <w:sz w:val="21"/>
        </w:rPr>
        <w:t>以抵销后净额列示的递延所得税资产或负债 </w:t>
      </w:r>
    </w:p>
    <w:p>
      <w:pPr>
        <w:pStyle w:val="BodyText"/>
        <w:spacing w:before="6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71"/>
      </w:pPr>
      <w:r>
        <w:rPr>
          <w:spacing w:val="7"/>
        </w:rPr>
        <w:t>单位：千元 币种：人民币</w:t>
      </w:r>
      <w:r>
        <w:rPr/>
        <w:t> </w:t>
      </w:r>
    </w:p>
    <w:p>
      <w:pPr>
        <w:spacing w:after="0"/>
        <w:sectPr>
          <w:type w:val="continuous"/>
          <w:pgSz w:w="11910" w:h="16840"/>
          <w:pgMar w:top="780" w:bottom="280" w:left="1480" w:right="0"/>
          <w:cols w:num="2" w:equalWidth="0">
            <w:col w:w="4898" w:space="1413"/>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7"/>
        <w:gridCol w:w="1632"/>
        <w:gridCol w:w="1620"/>
        <w:gridCol w:w="1647"/>
        <w:gridCol w:w="1618"/>
      </w:tblGrid>
      <w:tr>
        <w:trPr>
          <w:trHeight w:val="817" w:hRule="atLeast"/>
        </w:trPr>
        <w:tc>
          <w:tcPr>
            <w:tcW w:w="2307" w:type="dxa"/>
          </w:tcPr>
          <w:p>
            <w:pPr>
              <w:pStyle w:val="TableParagraph"/>
              <w:spacing w:before="5"/>
              <w:rPr>
                <w:sz w:val="21"/>
              </w:rPr>
            </w:pPr>
          </w:p>
          <w:p>
            <w:pPr>
              <w:pStyle w:val="TableParagraph"/>
              <w:ind w:left="973" w:right="864"/>
              <w:jc w:val="center"/>
              <w:rPr>
                <w:sz w:val="21"/>
              </w:rPr>
            </w:pPr>
            <w:r>
              <w:rPr>
                <w:sz w:val="21"/>
              </w:rPr>
              <w:t>项目 </w:t>
            </w:r>
          </w:p>
        </w:tc>
        <w:tc>
          <w:tcPr>
            <w:tcW w:w="1632" w:type="dxa"/>
          </w:tcPr>
          <w:p>
            <w:pPr>
              <w:pStyle w:val="TableParagraph"/>
              <w:spacing w:before="1"/>
              <w:ind w:left="184"/>
              <w:rPr>
                <w:sz w:val="21"/>
              </w:rPr>
            </w:pPr>
            <w:r>
              <w:rPr>
                <w:sz w:val="21"/>
              </w:rPr>
              <w:t>递延所得税资</w:t>
            </w:r>
          </w:p>
          <w:p>
            <w:pPr>
              <w:pStyle w:val="TableParagraph"/>
              <w:spacing w:line="270" w:lineRule="atLeast"/>
              <w:ind w:left="393" w:right="172" w:hanging="209"/>
              <w:rPr>
                <w:sz w:val="21"/>
              </w:rPr>
            </w:pPr>
            <w:r>
              <w:rPr>
                <w:spacing w:val="-1"/>
                <w:sz w:val="21"/>
              </w:rPr>
              <w:t>产和负债期末</w:t>
            </w:r>
            <w:r>
              <w:rPr>
                <w:sz w:val="21"/>
              </w:rPr>
              <w:t>互抵金额 </w:t>
            </w:r>
          </w:p>
        </w:tc>
        <w:tc>
          <w:tcPr>
            <w:tcW w:w="1620" w:type="dxa"/>
          </w:tcPr>
          <w:p>
            <w:pPr>
              <w:pStyle w:val="TableParagraph"/>
              <w:spacing w:before="1"/>
              <w:ind w:left="179"/>
              <w:rPr>
                <w:sz w:val="21"/>
              </w:rPr>
            </w:pPr>
            <w:r>
              <w:rPr>
                <w:sz w:val="21"/>
              </w:rPr>
              <w:t>抵销后递延所</w:t>
            </w:r>
          </w:p>
          <w:p>
            <w:pPr>
              <w:pStyle w:val="TableParagraph"/>
              <w:spacing w:line="270" w:lineRule="atLeast"/>
              <w:ind w:left="282" w:right="165" w:hanging="104"/>
              <w:rPr>
                <w:sz w:val="21"/>
              </w:rPr>
            </w:pPr>
            <w:r>
              <w:rPr>
                <w:sz w:val="21"/>
              </w:rPr>
              <w:t>得税资产或负债期末余额 </w:t>
            </w:r>
          </w:p>
        </w:tc>
        <w:tc>
          <w:tcPr>
            <w:tcW w:w="1647" w:type="dxa"/>
          </w:tcPr>
          <w:p>
            <w:pPr>
              <w:pStyle w:val="TableParagraph"/>
              <w:spacing w:before="1"/>
              <w:ind w:left="192"/>
              <w:rPr>
                <w:sz w:val="21"/>
              </w:rPr>
            </w:pPr>
            <w:r>
              <w:rPr>
                <w:sz w:val="21"/>
              </w:rPr>
              <w:t>递延所得税资</w:t>
            </w:r>
          </w:p>
          <w:p>
            <w:pPr>
              <w:pStyle w:val="TableParagraph"/>
              <w:spacing w:line="270" w:lineRule="atLeast"/>
              <w:ind w:left="403" w:right="180" w:hanging="212"/>
              <w:rPr>
                <w:sz w:val="21"/>
              </w:rPr>
            </w:pPr>
            <w:r>
              <w:rPr>
                <w:spacing w:val="-1"/>
                <w:sz w:val="21"/>
              </w:rPr>
              <w:t>产和负债期初</w:t>
            </w:r>
            <w:r>
              <w:rPr>
                <w:sz w:val="21"/>
              </w:rPr>
              <w:t>互抵金额 </w:t>
            </w:r>
          </w:p>
        </w:tc>
        <w:tc>
          <w:tcPr>
            <w:tcW w:w="1618" w:type="dxa"/>
          </w:tcPr>
          <w:p>
            <w:pPr>
              <w:pStyle w:val="TableParagraph"/>
              <w:spacing w:before="1"/>
              <w:ind w:left="177"/>
              <w:rPr>
                <w:sz w:val="21"/>
              </w:rPr>
            </w:pPr>
            <w:r>
              <w:rPr>
                <w:sz w:val="21"/>
              </w:rPr>
              <w:t>抵销后递延所</w:t>
            </w:r>
          </w:p>
          <w:p>
            <w:pPr>
              <w:pStyle w:val="TableParagraph"/>
              <w:spacing w:line="270" w:lineRule="atLeast"/>
              <w:ind w:left="283" w:right="165" w:hanging="106"/>
              <w:rPr>
                <w:sz w:val="21"/>
              </w:rPr>
            </w:pPr>
            <w:r>
              <w:rPr>
                <w:spacing w:val="-1"/>
                <w:sz w:val="21"/>
              </w:rPr>
              <w:t>得税资产或负</w:t>
            </w:r>
            <w:r>
              <w:rPr>
                <w:sz w:val="21"/>
              </w:rPr>
              <w:t>债期初余额 </w:t>
            </w:r>
          </w:p>
        </w:tc>
      </w:tr>
      <w:tr>
        <w:trPr>
          <w:trHeight w:val="270" w:hRule="atLeast"/>
        </w:trPr>
        <w:tc>
          <w:tcPr>
            <w:tcW w:w="2307" w:type="dxa"/>
          </w:tcPr>
          <w:p>
            <w:pPr>
              <w:pStyle w:val="TableParagraph"/>
              <w:spacing w:line="250" w:lineRule="exact" w:before="1"/>
              <w:ind w:left="107"/>
              <w:rPr>
                <w:sz w:val="21"/>
              </w:rPr>
            </w:pPr>
            <w:r>
              <w:rPr>
                <w:spacing w:val="-1"/>
                <w:sz w:val="21"/>
              </w:rPr>
              <w:t>递延所得税资产</w:t>
            </w:r>
            <w:r>
              <w:rPr>
                <w:sz w:val="21"/>
              </w:rPr>
              <w:t> </w:t>
            </w:r>
          </w:p>
        </w:tc>
        <w:tc>
          <w:tcPr>
            <w:tcW w:w="1632" w:type="dxa"/>
          </w:tcPr>
          <w:p>
            <w:pPr>
              <w:pStyle w:val="TableParagraph"/>
              <w:spacing w:before="7"/>
              <w:ind w:right="96"/>
              <w:jc w:val="right"/>
              <w:rPr>
                <w:rFonts w:ascii="Times New Roman"/>
                <w:sz w:val="21"/>
              </w:rPr>
            </w:pPr>
            <w:r>
              <w:rPr>
                <w:rFonts w:ascii="Times New Roman"/>
                <w:sz w:val="21"/>
              </w:rPr>
              <w:t>-402,852</w:t>
            </w:r>
          </w:p>
        </w:tc>
        <w:tc>
          <w:tcPr>
            <w:tcW w:w="1620" w:type="dxa"/>
          </w:tcPr>
          <w:p>
            <w:pPr>
              <w:pStyle w:val="TableParagraph"/>
              <w:spacing w:before="7"/>
              <w:ind w:right="93"/>
              <w:jc w:val="right"/>
              <w:rPr>
                <w:rFonts w:ascii="Times New Roman"/>
                <w:sz w:val="21"/>
              </w:rPr>
            </w:pPr>
            <w:r>
              <w:rPr>
                <w:rFonts w:ascii="Times New Roman"/>
                <w:sz w:val="21"/>
              </w:rPr>
              <w:t>954,625</w:t>
            </w:r>
          </w:p>
        </w:tc>
        <w:tc>
          <w:tcPr>
            <w:tcW w:w="1647" w:type="dxa"/>
          </w:tcPr>
          <w:p>
            <w:pPr>
              <w:pStyle w:val="TableParagraph"/>
              <w:spacing w:before="7"/>
              <w:ind w:right="96"/>
              <w:jc w:val="right"/>
              <w:rPr>
                <w:rFonts w:ascii="Times New Roman"/>
                <w:sz w:val="21"/>
              </w:rPr>
            </w:pPr>
            <w:r>
              <w:rPr>
                <w:rFonts w:ascii="Times New Roman"/>
                <w:sz w:val="21"/>
              </w:rPr>
              <w:t>-459,252</w:t>
            </w:r>
          </w:p>
        </w:tc>
        <w:tc>
          <w:tcPr>
            <w:tcW w:w="1618" w:type="dxa"/>
          </w:tcPr>
          <w:p>
            <w:pPr>
              <w:pStyle w:val="TableParagraph"/>
              <w:spacing w:before="7"/>
              <w:ind w:right="93"/>
              <w:jc w:val="right"/>
              <w:rPr>
                <w:rFonts w:ascii="Times New Roman"/>
                <w:sz w:val="21"/>
              </w:rPr>
            </w:pPr>
            <w:r>
              <w:rPr>
                <w:rFonts w:ascii="Times New Roman"/>
                <w:sz w:val="21"/>
              </w:rPr>
              <w:t>1,030,287</w:t>
            </w:r>
          </w:p>
        </w:tc>
      </w:tr>
      <w:tr>
        <w:trPr>
          <w:trHeight w:val="273" w:hRule="atLeast"/>
        </w:trPr>
        <w:tc>
          <w:tcPr>
            <w:tcW w:w="2307" w:type="dxa"/>
          </w:tcPr>
          <w:p>
            <w:pPr>
              <w:pStyle w:val="TableParagraph"/>
              <w:spacing w:line="250" w:lineRule="exact" w:before="3"/>
              <w:ind w:left="107"/>
              <w:rPr>
                <w:sz w:val="21"/>
              </w:rPr>
            </w:pPr>
            <w:r>
              <w:rPr>
                <w:spacing w:val="-1"/>
                <w:sz w:val="21"/>
              </w:rPr>
              <w:t>递延所得税负债</w:t>
            </w:r>
            <w:r>
              <w:rPr>
                <w:sz w:val="21"/>
              </w:rPr>
              <w:t> </w:t>
            </w:r>
          </w:p>
        </w:tc>
        <w:tc>
          <w:tcPr>
            <w:tcW w:w="1632" w:type="dxa"/>
          </w:tcPr>
          <w:p>
            <w:pPr>
              <w:pStyle w:val="TableParagraph"/>
              <w:spacing w:before="10"/>
              <w:ind w:right="93"/>
              <w:jc w:val="right"/>
              <w:rPr>
                <w:rFonts w:ascii="Times New Roman"/>
                <w:sz w:val="21"/>
              </w:rPr>
            </w:pPr>
            <w:r>
              <w:rPr>
                <w:rFonts w:ascii="Times New Roman"/>
                <w:sz w:val="21"/>
              </w:rPr>
              <w:t>402,852</w:t>
            </w:r>
          </w:p>
        </w:tc>
        <w:tc>
          <w:tcPr>
            <w:tcW w:w="1620" w:type="dxa"/>
          </w:tcPr>
          <w:p>
            <w:pPr>
              <w:pStyle w:val="TableParagraph"/>
              <w:spacing w:before="10"/>
              <w:ind w:right="93"/>
              <w:jc w:val="right"/>
              <w:rPr>
                <w:rFonts w:ascii="Times New Roman"/>
                <w:sz w:val="21"/>
              </w:rPr>
            </w:pPr>
            <w:r>
              <w:rPr>
                <w:rFonts w:ascii="Times New Roman"/>
                <w:sz w:val="21"/>
              </w:rPr>
              <w:t>270,147</w:t>
            </w:r>
          </w:p>
        </w:tc>
        <w:tc>
          <w:tcPr>
            <w:tcW w:w="1647" w:type="dxa"/>
          </w:tcPr>
          <w:p>
            <w:pPr>
              <w:pStyle w:val="TableParagraph"/>
              <w:spacing w:before="10"/>
              <w:ind w:right="94"/>
              <w:jc w:val="right"/>
              <w:rPr>
                <w:rFonts w:ascii="Times New Roman"/>
                <w:sz w:val="21"/>
              </w:rPr>
            </w:pPr>
            <w:r>
              <w:rPr>
                <w:rFonts w:ascii="Times New Roman"/>
                <w:sz w:val="21"/>
              </w:rPr>
              <w:t>459,252</w:t>
            </w:r>
          </w:p>
        </w:tc>
        <w:tc>
          <w:tcPr>
            <w:tcW w:w="1618" w:type="dxa"/>
          </w:tcPr>
          <w:p>
            <w:pPr>
              <w:pStyle w:val="TableParagraph"/>
              <w:spacing w:before="10"/>
              <w:ind w:right="93"/>
              <w:jc w:val="right"/>
              <w:rPr>
                <w:rFonts w:ascii="Times New Roman"/>
                <w:sz w:val="21"/>
              </w:rPr>
            </w:pPr>
            <w:r>
              <w:rPr>
                <w:rFonts w:ascii="Times New Roman"/>
                <w:sz w:val="21"/>
              </w:rPr>
              <w:t>50,193</w:t>
            </w:r>
          </w:p>
        </w:tc>
      </w:tr>
    </w:tbl>
    <w:p>
      <w:pPr>
        <w:spacing w:after="0"/>
        <w:jc w:val="right"/>
        <w:rPr>
          <w:rFonts w:ascii="Times New Roman"/>
          <w:sz w:val="21"/>
        </w:rPr>
        <w:sectPr>
          <w:type w:val="continuous"/>
          <w:pgSz w:w="11910" w:h="16840"/>
          <w:pgMar w:top="780" w:bottom="280" w:left="1480" w:right="0"/>
        </w:sectPr>
      </w:pPr>
    </w:p>
    <w:p>
      <w:pPr>
        <w:pStyle w:val="BodyText"/>
        <w:spacing w:before="1"/>
      </w:pPr>
      <w:r>
        <w:rPr>
          <w:w w:val="100"/>
        </w:rPr>
        <w:t> </w:t>
      </w:r>
    </w:p>
    <w:p>
      <w:pPr>
        <w:pStyle w:val="ListParagraph"/>
        <w:numPr>
          <w:ilvl w:val="0"/>
          <w:numId w:val="71"/>
        </w:numPr>
        <w:tabs>
          <w:tab w:pos="746" w:val="left" w:leader="none"/>
        </w:tabs>
        <w:spacing w:line="240" w:lineRule="auto" w:before="64" w:after="0"/>
        <w:ind w:left="745" w:right="0" w:hanging="428"/>
        <w:jc w:val="left"/>
        <w:rPr>
          <w:sz w:val="21"/>
        </w:rPr>
      </w:pPr>
      <w:r>
        <w:rPr>
          <w:sz w:val="21"/>
        </w:rPr>
        <w:t>未确认递延所得税资产明细 </w:t>
      </w:r>
    </w:p>
    <w:p>
      <w:pPr>
        <w:pStyle w:val="BodyText"/>
        <w:spacing w:before="6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71"/>
      </w:pPr>
      <w:r>
        <w:rPr>
          <w:spacing w:val="7"/>
        </w:rPr>
        <w:t>单位：千元 币种：人民币</w:t>
      </w:r>
      <w:r>
        <w:rPr/>
        <w:t> </w:t>
      </w:r>
    </w:p>
    <w:p>
      <w:pPr>
        <w:spacing w:after="0"/>
        <w:sectPr>
          <w:type w:val="continuous"/>
          <w:pgSz w:w="11910" w:h="16840"/>
          <w:pgMar w:top="780" w:bottom="280" w:left="1480" w:right="0"/>
          <w:cols w:num="2" w:equalWidth="0">
            <w:col w:w="3422" w:space="2889"/>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6"/>
        <w:gridCol w:w="3008"/>
        <w:gridCol w:w="3001"/>
      </w:tblGrid>
      <w:tr>
        <w:trPr>
          <w:trHeight w:val="285" w:hRule="atLeast"/>
        </w:trPr>
        <w:tc>
          <w:tcPr>
            <w:tcW w:w="2816" w:type="dxa"/>
          </w:tcPr>
          <w:p>
            <w:pPr>
              <w:pStyle w:val="TableParagraph"/>
              <w:spacing w:line="257" w:lineRule="exact" w:before="8"/>
              <w:ind w:left="1230" w:right="1116"/>
              <w:jc w:val="center"/>
              <w:rPr>
                <w:sz w:val="21"/>
              </w:rPr>
            </w:pPr>
            <w:r>
              <w:rPr>
                <w:sz w:val="21"/>
              </w:rPr>
              <w:t>项目 </w:t>
            </w:r>
          </w:p>
        </w:tc>
        <w:tc>
          <w:tcPr>
            <w:tcW w:w="3008" w:type="dxa"/>
          </w:tcPr>
          <w:p>
            <w:pPr>
              <w:pStyle w:val="TableParagraph"/>
              <w:spacing w:line="257" w:lineRule="exact" w:before="8"/>
              <w:ind w:left="1081"/>
              <w:rPr>
                <w:sz w:val="21"/>
              </w:rPr>
            </w:pPr>
            <w:r>
              <w:rPr>
                <w:spacing w:val="-1"/>
                <w:sz w:val="21"/>
              </w:rPr>
              <w:t>期末余额</w:t>
            </w:r>
            <w:r>
              <w:rPr>
                <w:sz w:val="21"/>
              </w:rPr>
              <w:t> </w:t>
            </w:r>
          </w:p>
        </w:tc>
        <w:tc>
          <w:tcPr>
            <w:tcW w:w="3001" w:type="dxa"/>
          </w:tcPr>
          <w:p>
            <w:pPr>
              <w:pStyle w:val="TableParagraph"/>
              <w:spacing w:line="257" w:lineRule="exact" w:before="8"/>
              <w:ind w:left="1076"/>
              <w:rPr>
                <w:sz w:val="21"/>
              </w:rPr>
            </w:pPr>
            <w:r>
              <w:rPr>
                <w:spacing w:val="-1"/>
                <w:sz w:val="21"/>
              </w:rPr>
              <w:t>期初余额</w:t>
            </w:r>
            <w:r>
              <w:rPr>
                <w:sz w:val="21"/>
              </w:rPr>
              <w:t> </w:t>
            </w:r>
          </w:p>
        </w:tc>
      </w:tr>
      <w:tr>
        <w:trPr>
          <w:trHeight w:val="285" w:hRule="atLeast"/>
        </w:trPr>
        <w:tc>
          <w:tcPr>
            <w:tcW w:w="2816" w:type="dxa"/>
          </w:tcPr>
          <w:p>
            <w:pPr>
              <w:pStyle w:val="TableParagraph"/>
              <w:spacing w:line="257" w:lineRule="exact" w:before="8"/>
              <w:ind w:left="107"/>
              <w:rPr>
                <w:sz w:val="21"/>
              </w:rPr>
            </w:pPr>
            <w:r>
              <w:rPr>
                <w:spacing w:val="-1"/>
                <w:sz w:val="21"/>
              </w:rPr>
              <w:t>可抵扣暂时性差异</w:t>
            </w:r>
            <w:r>
              <w:rPr>
                <w:sz w:val="21"/>
              </w:rPr>
              <w:t> </w:t>
            </w:r>
          </w:p>
        </w:tc>
        <w:tc>
          <w:tcPr>
            <w:tcW w:w="3008" w:type="dxa"/>
          </w:tcPr>
          <w:p>
            <w:pPr>
              <w:pStyle w:val="TableParagraph"/>
              <w:spacing w:before="15"/>
              <w:ind w:right="96"/>
              <w:jc w:val="right"/>
              <w:rPr>
                <w:rFonts w:ascii="Times New Roman"/>
                <w:sz w:val="21"/>
              </w:rPr>
            </w:pPr>
            <w:r>
              <w:rPr>
                <w:rFonts w:ascii="Times New Roman"/>
                <w:sz w:val="21"/>
              </w:rPr>
              <w:t>99,298</w:t>
            </w:r>
          </w:p>
        </w:tc>
        <w:tc>
          <w:tcPr>
            <w:tcW w:w="3001" w:type="dxa"/>
          </w:tcPr>
          <w:p>
            <w:pPr>
              <w:pStyle w:val="TableParagraph"/>
              <w:spacing w:before="15"/>
              <w:ind w:right="94"/>
              <w:jc w:val="right"/>
              <w:rPr>
                <w:rFonts w:ascii="Times New Roman"/>
                <w:sz w:val="21"/>
              </w:rPr>
            </w:pPr>
            <w:r>
              <w:rPr>
                <w:rFonts w:ascii="Times New Roman"/>
                <w:sz w:val="21"/>
              </w:rPr>
              <w:t>11,004</w:t>
            </w:r>
          </w:p>
        </w:tc>
      </w:tr>
      <w:tr>
        <w:trPr>
          <w:trHeight w:val="285" w:hRule="atLeast"/>
        </w:trPr>
        <w:tc>
          <w:tcPr>
            <w:tcW w:w="2816" w:type="dxa"/>
          </w:tcPr>
          <w:p>
            <w:pPr>
              <w:pStyle w:val="TableParagraph"/>
              <w:spacing w:line="257" w:lineRule="exact" w:before="8"/>
              <w:ind w:left="107"/>
              <w:rPr>
                <w:sz w:val="21"/>
              </w:rPr>
            </w:pPr>
            <w:r>
              <w:rPr>
                <w:sz w:val="21"/>
              </w:rPr>
              <w:t>可抵扣亏损 </w:t>
            </w:r>
          </w:p>
        </w:tc>
        <w:tc>
          <w:tcPr>
            <w:tcW w:w="3008" w:type="dxa"/>
          </w:tcPr>
          <w:p>
            <w:pPr>
              <w:pStyle w:val="TableParagraph"/>
              <w:spacing w:before="15"/>
              <w:ind w:right="96"/>
              <w:jc w:val="right"/>
              <w:rPr>
                <w:rFonts w:ascii="Times New Roman"/>
                <w:sz w:val="21"/>
              </w:rPr>
            </w:pPr>
            <w:r>
              <w:rPr>
                <w:rFonts w:ascii="Times New Roman"/>
                <w:sz w:val="21"/>
              </w:rPr>
              <w:t>1,074,780</w:t>
            </w:r>
          </w:p>
        </w:tc>
        <w:tc>
          <w:tcPr>
            <w:tcW w:w="3001" w:type="dxa"/>
          </w:tcPr>
          <w:p>
            <w:pPr>
              <w:pStyle w:val="TableParagraph"/>
              <w:spacing w:before="15"/>
              <w:ind w:right="94"/>
              <w:jc w:val="right"/>
              <w:rPr>
                <w:rFonts w:ascii="Times New Roman"/>
                <w:sz w:val="21"/>
              </w:rPr>
            </w:pPr>
            <w:r>
              <w:rPr>
                <w:rFonts w:ascii="Times New Roman"/>
                <w:sz w:val="21"/>
              </w:rPr>
              <w:t>747,212</w:t>
            </w:r>
          </w:p>
        </w:tc>
      </w:tr>
      <w:tr>
        <w:trPr>
          <w:trHeight w:val="285" w:hRule="atLeast"/>
        </w:trPr>
        <w:tc>
          <w:tcPr>
            <w:tcW w:w="2816" w:type="dxa"/>
          </w:tcPr>
          <w:p>
            <w:pPr>
              <w:pStyle w:val="TableParagraph"/>
              <w:spacing w:line="264" w:lineRule="exact" w:before="1"/>
              <w:ind w:left="107"/>
              <w:rPr>
                <w:sz w:val="21"/>
              </w:rPr>
            </w:pPr>
            <w:r>
              <w:rPr>
                <w:w w:val="100"/>
                <w:sz w:val="21"/>
              </w:rPr>
              <w:t> </w:t>
            </w:r>
          </w:p>
        </w:tc>
        <w:tc>
          <w:tcPr>
            <w:tcW w:w="3008" w:type="dxa"/>
          </w:tcPr>
          <w:p>
            <w:pPr>
              <w:pStyle w:val="TableParagraph"/>
              <w:rPr>
                <w:rFonts w:ascii="Times New Roman"/>
                <w:sz w:val="20"/>
              </w:rPr>
            </w:pPr>
          </w:p>
        </w:tc>
        <w:tc>
          <w:tcPr>
            <w:tcW w:w="3001" w:type="dxa"/>
          </w:tcPr>
          <w:p>
            <w:pPr>
              <w:pStyle w:val="TableParagraph"/>
              <w:rPr>
                <w:rFonts w:ascii="Times New Roman"/>
                <w:sz w:val="20"/>
              </w:rPr>
            </w:pPr>
          </w:p>
        </w:tc>
      </w:tr>
      <w:tr>
        <w:trPr>
          <w:trHeight w:val="285" w:hRule="atLeast"/>
        </w:trPr>
        <w:tc>
          <w:tcPr>
            <w:tcW w:w="2816" w:type="dxa"/>
          </w:tcPr>
          <w:p>
            <w:pPr>
              <w:pStyle w:val="TableParagraph"/>
              <w:spacing w:line="264" w:lineRule="exact" w:before="1"/>
              <w:ind w:left="107"/>
              <w:rPr>
                <w:sz w:val="21"/>
              </w:rPr>
            </w:pPr>
            <w:r>
              <w:rPr>
                <w:w w:val="100"/>
                <w:sz w:val="21"/>
              </w:rPr>
              <w:t> </w:t>
            </w:r>
          </w:p>
        </w:tc>
        <w:tc>
          <w:tcPr>
            <w:tcW w:w="3008" w:type="dxa"/>
          </w:tcPr>
          <w:p>
            <w:pPr>
              <w:pStyle w:val="TableParagraph"/>
              <w:rPr>
                <w:rFonts w:ascii="Times New Roman"/>
                <w:sz w:val="20"/>
              </w:rPr>
            </w:pPr>
          </w:p>
        </w:tc>
        <w:tc>
          <w:tcPr>
            <w:tcW w:w="3001" w:type="dxa"/>
          </w:tcPr>
          <w:p>
            <w:pPr>
              <w:pStyle w:val="TableParagraph"/>
              <w:rPr>
                <w:rFonts w:ascii="Times New Roman"/>
                <w:sz w:val="20"/>
              </w:rPr>
            </w:pPr>
          </w:p>
        </w:tc>
      </w:tr>
    </w:tbl>
    <w:p>
      <w:pPr>
        <w:spacing w:after="0"/>
        <w:rPr>
          <w:rFonts w:ascii="Times New Roman"/>
          <w:sz w:val="20"/>
        </w:rPr>
        <w:sectPr>
          <w:type w:val="continuous"/>
          <w:pgSz w:w="11910" w:h="16840"/>
          <w:pgMar w:top="780" w:bottom="2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6"/>
        <w:gridCol w:w="3008"/>
        <w:gridCol w:w="3001"/>
      </w:tblGrid>
      <w:tr>
        <w:trPr>
          <w:trHeight w:val="287" w:hRule="atLeast"/>
        </w:trPr>
        <w:tc>
          <w:tcPr>
            <w:tcW w:w="2816" w:type="dxa"/>
          </w:tcPr>
          <w:p>
            <w:pPr>
              <w:pStyle w:val="TableParagraph"/>
              <w:spacing w:line="260" w:lineRule="exact" w:before="8"/>
              <w:ind w:left="1230" w:right="1116"/>
              <w:jc w:val="center"/>
              <w:rPr>
                <w:sz w:val="21"/>
              </w:rPr>
            </w:pPr>
            <w:r>
              <w:rPr>
                <w:sz w:val="21"/>
              </w:rPr>
              <w:t>合计 </w:t>
            </w:r>
          </w:p>
        </w:tc>
        <w:tc>
          <w:tcPr>
            <w:tcW w:w="3008" w:type="dxa"/>
          </w:tcPr>
          <w:p>
            <w:pPr>
              <w:pStyle w:val="TableParagraph"/>
              <w:spacing w:before="17"/>
              <w:ind w:right="96"/>
              <w:jc w:val="right"/>
              <w:rPr>
                <w:rFonts w:ascii="Times New Roman"/>
                <w:sz w:val="21"/>
              </w:rPr>
            </w:pPr>
            <w:r>
              <w:rPr>
                <w:rFonts w:ascii="Times New Roman"/>
                <w:sz w:val="21"/>
              </w:rPr>
              <w:t>1,174,078</w:t>
            </w:r>
          </w:p>
        </w:tc>
        <w:tc>
          <w:tcPr>
            <w:tcW w:w="3001" w:type="dxa"/>
          </w:tcPr>
          <w:p>
            <w:pPr>
              <w:pStyle w:val="TableParagraph"/>
              <w:spacing w:before="17"/>
              <w:ind w:right="94"/>
              <w:jc w:val="right"/>
              <w:rPr>
                <w:rFonts w:ascii="Times New Roman"/>
                <w:sz w:val="21"/>
              </w:rPr>
            </w:pPr>
            <w:r>
              <w:rPr>
                <w:rFonts w:ascii="Times New Roman"/>
                <w:sz w:val="21"/>
              </w:rPr>
              <w:t>758,216</w:t>
            </w:r>
          </w:p>
        </w:tc>
      </w:tr>
    </w:tbl>
    <w:p>
      <w:pPr>
        <w:pStyle w:val="BodyText"/>
        <w:spacing w:before="1"/>
      </w:pPr>
      <w:r>
        <w:rPr>
          <w:w w:val="100"/>
        </w:rPr>
        <w:t> </w:t>
      </w:r>
    </w:p>
    <w:p>
      <w:pPr>
        <w:pStyle w:val="ListParagraph"/>
        <w:numPr>
          <w:ilvl w:val="0"/>
          <w:numId w:val="71"/>
        </w:numPr>
        <w:tabs>
          <w:tab w:pos="746" w:val="left" w:leader="none"/>
        </w:tabs>
        <w:spacing w:line="240" w:lineRule="auto" w:before="62" w:after="0"/>
        <w:ind w:left="745" w:right="0" w:hanging="428"/>
        <w:jc w:val="left"/>
        <w:rPr>
          <w:sz w:val="21"/>
        </w:rPr>
      </w:pPr>
      <w:r>
        <w:rPr>
          <w:sz w:val="21"/>
        </w:rPr>
        <w:t>未确认递延所得税资产的可抵扣亏损将于以下年度到期 </w:t>
      </w:r>
    </w:p>
    <w:p>
      <w:pPr>
        <w:pStyle w:val="BodyText"/>
        <w:spacing w:before="62"/>
      </w:pPr>
      <w:r>
        <w:rPr>
          <w:spacing w:val="-1"/>
        </w:rPr>
        <w:t>√适用 □不适用</w:t>
      </w:r>
      <w:r>
        <w:rPr>
          <w:spacing w:val="-3"/>
        </w:rPr>
        <w:t> </w:t>
      </w:r>
      <w:r>
        <w:rPr/>
        <w:t> </w:t>
      </w:r>
    </w:p>
    <w:p>
      <w:pPr>
        <w:pStyle w:val="BodyText"/>
        <w:spacing w:before="5"/>
        <w:ind w:left="6573"/>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33"/>
        <w:gridCol w:w="2229"/>
        <w:gridCol w:w="2265"/>
        <w:gridCol w:w="2294"/>
      </w:tblGrid>
      <w:tr>
        <w:trPr>
          <w:trHeight w:val="285" w:hRule="atLeast"/>
        </w:trPr>
        <w:tc>
          <w:tcPr>
            <w:tcW w:w="2033" w:type="dxa"/>
          </w:tcPr>
          <w:p>
            <w:pPr>
              <w:pStyle w:val="TableParagraph"/>
              <w:spacing w:line="257" w:lineRule="exact" w:before="8"/>
              <w:ind w:right="689"/>
              <w:jc w:val="right"/>
              <w:rPr>
                <w:sz w:val="21"/>
              </w:rPr>
            </w:pPr>
            <w:r>
              <w:rPr>
                <w:sz w:val="21"/>
              </w:rPr>
              <w:t>年份 </w:t>
            </w:r>
          </w:p>
        </w:tc>
        <w:tc>
          <w:tcPr>
            <w:tcW w:w="2229" w:type="dxa"/>
          </w:tcPr>
          <w:p>
            <w:pPr>
              <w:pStyle w:val="TableParagraph"/>
              <w:spacing w:line="257" w:lineRule="exact" w:before="8"/>
              <w:ind w:left="693"/>
              <w:rPr>
                <w:sz w:val="21"/>
              </w:rPr>
            </w:pPr>
            <w:r>
              <w:rPr>
                <w:spacing w:val="-1"/>
                <w:sz w:val="21"/>
              </w:rPr>
              <w:t>期末金额</w:t>
            </w:r>
            <w:r>
              <w:rPr>
                <w:sz w:val="21"/>
              </w:rPr>
              <w:t> </w:t>
            </w:r>
          </w:p>
        </w:tc>
        <w:tc>
          <w:tcPr>
            <w:tcW w:w="2265" w:type="dxa"/>
          </w:tcPr>
          <w:p>
            <w:pPr>
              <w:pStyle w:val="TableParagraph"/>
              <w:spacing w:line="257" w:lineRule="exact" w:before="8"/>
              <w:ind w:left="711"/>
              <w:rPr>
                <w:sz w:val="21"/>
              </w:rPr>
            </w:pPr>
            <w:r>
              <w:rPr>
                <w:spacing w:val="-1"/>
                <w:sz w:val="21"/>
              </w:rPr>
              <w:t>期初金额</w:t>
            </w:r>
            <w:r>
              <w:rPr>
                <w:sz w:val="21"/>
              </w:rPr>
              <w:t> </w:t>
            </w:r>
          </w:p>
        </w:tc>
        <w:tc>
          <w:tcPr>
            <w:tcW w:w="2294" w:type="dxa"/>
          </w:tcPr>
          <w:p>
            <w:pPr>
              <w:pStyle w:val="TableParagraph"/>
              <w:spacing w:line="257" w:lineRule="exact" w:before="8"/>
              <w:ind w:left="971" w:right="853"/>
              <w:jc w:val="center"/>
              <w:rPr>
                <w:sz w:val="21"/>
              </w:rPr>
            </w:pPr>
            <w:r>
              <w:rPr>
                <w:sz w:val="21"/>
              </w:rPr>
              <w:t>备注 </w:t>
            </w:r>
          </w:p>
        </w:tc>
      </w:tr>
      <w:tr>
        <w:trPr>
          <w:trHeight w:val="544" w:hRule="atLeast"/>
        </w:trPr>
        <w:tc>
          <w:tcPr>
            <w:tcW w:w="2033" w:type="dxa"/>
          </w:tcPr>
          <w:p>
            <w:pPr>
              <w:pStyle w:val="TableParagraph"/>
              <w:spacing w:before="1"/>
              <w:ind w:left="107"/>
              <w:rPr>
                <w:sz w:val="21"/>
              </w:rPr>
            </w:pPr>
            <w:r>
              <w:rPr>
                <w:sz w:val="21"/>
              </w:rPr>
              <w:t>无到期日的可抵扣</w:t>
            </w:r>
          </w:p>
          <w:p>
            <w:pPr>
              <w:pStyle w:val="TableParagraph"/>
              <w:spacing w:line="250" w:lineRule="exact" w:before="4"/>
              <w:ind w:left="107"/>
              <w:rPr>
                <w:sz w:val="21"/>
              </w:rPr>
            </w:pPr>
            <w:r>
              <w:rPr>
                <w:sz w:val="21"/>
              </w:rPr>
              <w:t>亏损 </w:t>
            </w:r>
          </w:p>
        </w:tc>
        <w:tc>
          <w:tcPr>
            <w:tcW w:w="2229" w:type="dxa"/>
          </w:tcPr>
          <w:p>
            <w:pPr>
              <w:pStyle w:val="TableParagraph"/>
              <w:spacing w:line="235" w:lineRule="exact"/>
              <w:ind w:right="92"/>
              <w:jc w:val="right"/>
              <w:rPr>
                <w:rFonts w:ascii="Times New Roman"/>
                <w:sz w:val="21"/>
              </w:rPr>
            </w:pPr>
            <w:r>
              <w:rPr>
                <w:rFonts w:ascii="Times New Roman"/>
                <w:sz w:val="21"/>
              </w:rPr>
              <w:t>1,074,780</w:t>
            </w:r>
          </w:p>
        </w:tc>
        <w:tc>
          <w:tcPr>
            <w:tcW w:w="2265" w:type="dxa"/>
          </w:tcPr>
          <w:p>
            <w:pPr>
              <w:pStyle w:val="TableParagraph"/>
              <w:spacing w:line="235" w:lineRule="exact"/>
              <w:ind w:right="94"/>
              <w:jc w:val="right"/>
              <w:rPr>
                <w:rFonts w:ascii="Times New Roman"/>
                <w:sz w:val="21"/>
              </w:rPr>
            </w:pPr>
            <w:r>
              <w:rPr>
                <w:rFonts w:ascii="Times New Roman"/>
                <w:sz w:val="21"/>
              </w:rPr>
              <w:t>747,212</w:t>
            </w:r>
          </w:p>
        </w:tc>
        <w:tc>
          <w:tcPr>
            <w:tcW w:w="2294" w:type="dxa"/>
          </w:tcPr>
          <w:p>
            <w:pPr>
              <w:pStyle w:val="TableParagraph"/>
              <w:spacing w:before="1"/>
              <w:ind w:left="107"/>
              <w:rPr>
                <w:sz w:val="21"/>
              </w:rPr>
            </w:pPr>
            <w:r>
              <w:rPr>
                <w:w w:val="100"/>
                <w:sz w:val="21"/>
              </w:rPr>
              <w:t> </w:t>
            </w:r>
          </w:p>
        </w:tc>
      </w:tr>
      <w:tr>
        <w:trPr>
          <w:trHeight w:val="273" w:hRule="atLeast"/>
        </w:trPr>
        <w:tc>
          <w:tcPr>
            <w:tcW w:w="2033" w:type="dxa"/>
          </w:tcPr>
          <w:p>
            <w:pPr>
              <w:pStyle w:val="TableParagraph"/>
              <w:spacing w:line="250" w:lineRule="exact" w:before="3"/>
              <w:ind w:left="107"/>
              <w:rPr>
                <w:sz w:val="21"/>
              </w:rPr>
            </w:pPr>
            <w:r>
              <w:rPr>
                <w:w w:val="100"/>
                <w:sz w:val="21"/>
              </w:rPr>
              <w:t> </w:t>
            </w:r>
          </w:p>
        </w:tc>
        <w:tc>
          <w:tcPr>
            <w:tcW w:w="2229" w:type="dxa"/>
          </w:tcPr>
          <w:p>
            <w:pPr>
              <w:pStyle w:val="TableParagraph"/>
              <w:rPr>
                <w:rFonts w:ascii="Times New Roman"/>
                <w:sz w:val="20"/>
              </w:rPr>
            </w:pPr>
          </w:p>
        </w:tc>
        <w:tc>
          <w:tcPr>
            <w:tcW w:w="2265" w:type="dxa"/>
          </w:tcPr>
          <w:p>
            <w:pPr>
              <w:pStyle w:val="TableParagraph"/>
              <w:rPr>
                <w:rFonts w:ascii="Times New Roman"/>
                <w:sz w:val="20"/>
              </w:rPr>
            </w:pPr>
          </w:p>
        </w:tc>
        <w:tc>
          <w:tcPr>
            <w:tcW w:w="2294" w:type="dxa"/>
          </w:tcPr>
          <w:p>
            <w:pPr>
              <w:pStyle w:val="TableParagraph"/>
              <w:spacing w:line="250" w:lineRule="exact" w:before="3"/>
              <w:ind w:left="107"/>
              <w:rPr>
                <w:sz w:val="21"/>
              </w:rPr>
            </w:pPr>
            <w:r>
              <w:rPr>
                <w:w w:val="100"/>
                <w:sz w:val="21"/>
              </w:rPr>
              <w:t> </w:t>
            </w:r>
          </w:p>
        </w:tc>
      </w:tr>
      <w:tr>
        <w:trPr>
          <w:trHeight w:val="285" w:hRule="atLeast"/>
        </w:trPr>
        <w:tc>
          <w:tcPr>
            <w:tcW w:w="2033" w:type="dxa"/>
          </w:tcPr>
          <w:p>
            <w:pPr>
              <w:pStyle w:val="TableParagraph"/>
              <w:spacing w:line="250" w:lineRule="exact" w:before="15"/>
              <w:ind w:right="689"/>
              <w:jc w:val="right"/>
              <w:rPr>
                <w:sz w:val="21"/>
              </w:rPr>
            </w:pPr>
            <w:r>
              <w:rPr>
                <w:sz w:val="21"/>
              </w:rPr>
              <w:t>合计 </w:t>
            </w:r>
          </w:p>
        </w:tc>
        <w:tc>
          <w:tcPr>
            <w:tcW w:w="2229" w:type="dxa"/>
          </w:tcPr>
          <w:p>
            <w:pPr>
              <w:pStyle w:val="TableParagraph"/>
              <w:spacing w:before="15"/>
              <w:ind w:right="92"/>
              <w:jc w:val="right"/>
              <w:rPr>
                <w:rFonts w:ascii="Times New Roman"/>
                <w:sz w:val="21"/>
              </w:rPr>
            </w:pPr>
            <w:r>
              <w:rPr>
                <w:rFonts w:ascii="Times New Roman"/>
                <w:sz w:val="21"/>
              </w:rPr>
              <w:t>1,074,780</w:t>
            </w:r>
          </w:p>
        </w:tc>
        <w:tc>
          <w:tcPr>
            <w:tcW w:w="2265" w:type="dxa"/>
          </w:tcPr>
          <w:p>
            <w:pPr>
              <w:pStyle w:val="TableParagraph"/>
              <w:spacing w:before="15"/>
              <w:ind w:right="94"/>
              <w:jc w:val="right"/>
              <w:rPr>
                <w:rFonts w:ascii="Times New Roman"/>
                <w:sz w:val="21"/>
              </w:rPr>
            </w:pPr>
            <w:r>
              <w:rPr>
                <w:rFonts w:ascii="Times New Roman"/>
                <w:sz w:val="21"/>
              </w:rPr>
              <w:t>747,212</w:t>
            </w:r>
          </w:p>
        </w:tc>
        <w:tc>
          <w:tcPr>
            <w:tcW w:w="2294" w:type="dxa"/>
          </w:tcPr>
          <w:p>
            <w:pPr>
              <w:pStyle w:val="TableParagraph"/>
              <w:spacing w:line="264" w:lineRule="exact" w:before="1"/>
              <w:ind w:left="968" w:right="853"/>
              <w:jc w:val="center"/>
              <w:rPr>
                <w:sz w:val="21"/>
              </w:rPr>
            </w:pPr>
            <w:r>
              <w:rPr>
                <w:sz w:val="21"/>
              </w:rPr>
              <w:t>/ </w:t>
            </w:r>
          </w:p>
        </w:tc>
      </w:tr>
    </w:tbl>
    <w:p>
      <w:pPr>
        <w:pStyle w:val="BodyText"/>
        <w:spacing w:before="1"/>
      </w:pPr>
      <w:r>
        <w:rPr>
          <w:color w:val="FF00FF"/>
          <w:w w:val="100"/>
        </w:rPr>
        <w:t> </w:t>
      </w:r>
    </w:p>
    <w:p>
      <w:pPr>
        <w:pStyle w:val="BodyText"/>
        <w:spacing w:before="4"/>
      </w:pPr>
      <w:r>
        <w:rPr/>
        <w:t>其他说明： </w:t>
      </w:r>
    </w:p>
    <w:p>
      <w:pPr>
        <w:pStyle w:val="BodyText"/>
        <w:spacing w:before="3"/>
      </w:pPr>
      <w:r>
        <w:rPr>
          <w:spacing w:val="-1"/>
        </w:rPr>
        <w:t>√适用 □不适用</w:t>
      </w:r>
      <w:r>
        <w:rPr>
          <w:spacing w:val="-3"/>
        </w:rPr>
        <w:t> </w:t>
      </w:r>
      <w:r>
        <w:rPr/>
        <w:t> </w:t>
      </w:r>
    </w:p>
    <w:p>
      <w:pPr>
        <w:pStyle w:val="BodyText"/>
        <w:spacing w:line="242" w:lineRule="auto" w:before="5"/>
        <w:ind w:right="1176"/>
        <w:jc w:val="both"/>
      </w:pPr>
      <w:r>
        <w:rPr/>
        <w:t>对于其他境外子公司累计未分配利润可能产生的纳税影响，由于本集团能够自主决定其股利分配政策且在可预见的未来没有股利分配的计划，亦没有处置该等子公司的意图，故本集团未就该应</w:t>
      </w:r>
      <w:r>
        <w:rPr>
          <w:spacing w:val="-8"/>
        </w:rPr>
        <w:t>纳税暂时性差异 </w:t>
      </w:r>
      <w:r>
        <w:rPr/>
        <w:t>14,673,347</w:t>
      </w:r>
      <w:r>
        <w:rPr>
          <w:spacing w:val="-18"/>
        </w:rPr>
        <w:t> 千元</w:t>
      </w:r>
      <w:r>
        <w:rPr/>
        <w:t>(2021</w:t>
      </w:r>
      <w:r>
        <w:rPr>
          <w:spacing w:val="-37"/>
        </w:rPr>
        <w:t> 年 </w:t>
      </w:r>
      <w:r>
        <w:rPr/>
        <w:t>12</w:t>
      </w:r>
      <w:r>
        <w:rPr>
          <w:spacing w:val="-37"/>
        </w:rPr>
        <w:t> 月 </w:t>
      </w:r>
      <w:r>
        <w:rPr/>
        <w:t>31</w:t>
      </w:r>
      <w:r>
        <w:rPr>
          <w:spacing w:val="-28"/>
        </w:rPr>
        <w:t> 日</w:t>
      </w:r>
      <w:r>
        <w:rPr/>
        <w:t>：10,536,971</w:t>
      </w:r>
      <w:r>
        <w:rPr>
          <w:spacing w:val="-8"/>
        </w:rPr>
        <w:t> 千元)确认递延所得税负债。</w:t>
      </w:r>
      <w:r>
        <w:rPr/>
        <w:t> </w:t>
      </w:r>
    </w:p>
    <w:p>
      <w:pPr>
        <w:pStyle w:val="BodyText"/>
      </w:pPr>
      <w:r>
        <w:rPr>
          <w:w w:val="100"/>
        </w:rPr>
        <w:t> </w:t>
      </w:r>
    </w:p>
    <w:p>
      <w:pPr>
        <w:pStyle w:val="BodyText"/>
        <w:spacing w:before="65"/>
      </w:pPr>
      <w:r>
        <w:rPr/>
        <w:t>31</w:t>
      </w:r>
      <w:r>
        <w:rPr>
          <w:spacing w:val="-5"/>
        </w:rPr>
        <w:t>、 其他非流动资产</w:t>
      </w:r>
    </w:p>
    <w:p>
      <w:pPr>
        <w:pStyle w:val="BodyText"/>
        <w:spacing w:before="62"/>
      </w:pPr>
      <w:r>
        <w:rPr>
          <w:spacing w:val="-1"/>
        </w:rPr>
        <w:t>□适用 √不适用</w:t>
      </w:r>
      <w:r>
        <w:rPr>
          <w:spacing w:val="-3"/>
        </w:rPr>
        <w:t> </w:t>
      </w:r>
      <w:r>
        <w:rPr/>
        <w:t> </w:t>
      </w:r>
    </w:p>
    <w:p>
      <w:pPr>
        <w:pStyle w:val="BodyText"/>
        <w:spacing w:before="2"/>
      </w:pPr>
      <w:r>
        <w:rPr>
          <w:w w:val="100"/>
        </w:rPr>
        <w:t> </w:t>
      </w:r>
    </w:p>
    <w:p>
      <w:pPr>
        <w:pStyle w:val="BodyText"/>
        <w:spacing w:line="295" w:lineRule="auto" w:before="65"/>
        <w:ind w:right="8308"/>
      </w:pPr>
      <w:r>
        <w:rPr/>
        <w:t>32</w:t>
      </w:r>
      <w:r>
        <w:rPr>
          <w:spacing w:val="2"/>
        </w:rPr>
        <w:t>、 短期借款</w:t>
      </w:r>
      <w:r>
        <w:rPr/>
        <w:t>(1).短期借款分类 </w:t>
      </w:r>
    </w:p>
    <w:p>
      <w:pPr>
        <w:pStyle w:val="BodyText"/>
        <w:spacing w:before="3"/>
      </w:pPr>
      <w:r>
        <w:rPr>
          <w:spacing w:val="-1"/>
        </w:rPr>
        <w:t>√适用 □不适用</w:t>
      </w:r>
      <w:r>
        <w:rPr>
          <w:spacing w:val="-3"/>
        </w:rPr>
        <w:t> </w:t>
      </w:r>
      <w:r>
        <w:rPr/>
        <w:t> </w:t>
      </w:r>
    </w:p>
    <w:p>
      <w:pPr>
        <w:pStyle w:val="BodyText"/>
        <w:spacing w:before="2" w:after="3"/>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49"/>
        <w:gridCol w:w="2978"/>
        <w:gridCol w:w="2995"/>
      </w:tblGrid>
      <w:tr>
        <w:trPr>
          <w:trHeight w:val="270" w:hRule="atLeast"/>
        </w:trPr>
        <w:tc>
          <w:tcPr>
            <w:tcW w:w="2849" w:type="dxa"/>
          </w:tcPr>
          <w:p>
            <w:pPr>
              <w:pStyle w:val="TableParagraph"/>
              <w:spacing w:line="250" w:lineRule="exact" w:before="1"/>
              <w:ind w:left="1242" w:right="1132"/>
              <w:jc w:val="center"/>
              <w:rPr>
                <w:sz w:val="21"/>
              </w:rPr>
            </w:pPr>
            <w:r>
              <w:rPr>
                <w:sz w:val="21"/>
              </w:rPr>
              <w:t>项目 </w:t>
            </w:r>
          </w:p>
        </w:tc>
        <w:tc>
          <w:tcPr>
            <w:tcW w:w="2978" w:type="dxa"/>
          </w:tcPr>
          <w:p>
            <w:pPr>
              <w:pStyle w:val="TableParagraph"/>
              <w:spacing w:line="250" w:lineRule="exact" w:before="1"/>
              <w:ind w:left="1068"/>
              <w:rPr>
                <w:sz w:val="21"/>
              </w:rPr>
            </w:pPr>
            <w:r>
              <w:rPr>
                <w:spacing w:val="-1"/>
                <w:sz w:val="21"/>
              </w:rPr>
              <w:t>期末余额</w:t>
            </w:r>
            <w:r>
              <w:rPr>
                <w:sz w:val="21"/>
              </w:rPr>
              <w:t> </w:t>
            </w:r>
          </w:p>
        </w:tc>
        <w:tc>
          <w:tcPr>
            <w:tcW w:w="2995" w:type="dxa"/>
          </w:tcPr>
          <w:p>
            <w:pPr>
              <w:pStyle w:val="TableParagraph"/>
              <w:spacing w:line="250" w:lineRule="exact" w:before="1"/>
              <w:ind w:left="1078"/>
              <w:rPr>
                <w:sz w:val="21"/>
              </w:rPr>
            </w:pPr>
            <w:r>
              <w:rPr>
                <w:spacing w:val="-1"/>
                <w:sz w:val="21"/>
              </w:rPr>
              <w:t>期初余额</w:t>
            </w:r>
            <w:r>
              <w:rPr>
                <w:sz w:val="21"/>
              </w:rPr>
              <w:t> </w:t>
            </w:r>
          </w:p>
        </w:tc>
      </w:tr>
      <w:tr>
        <w:trPr>
          <w:trHeight w:val="273" w:hRule="atLeast"/>
        </w:trPr>
        <w:tc>
          <w:tcPr>
            <w:tcW w:w="2849" w:type="dxa"/>
          </w:tcPr>
          <w:p>
            <w:pPr>
              <w:pStyle w:val="TableParagraph"/>
              <w:spacing w:line="250" w:lineRule="exact" w:before="3"/>
              <w:ind w:left="107"/>
              <w:rPr>
                <w:sz w:val="21"/>
              </w:rPr>
            </w:pPr>
            <w:r>
              <w:rPr>
                <w:spacing w:val="-1"/>
                <w:sz w:val="21"/>
              </w:rPr>
              <w:t>质押借款</w:t>
            </w:r>
            <w:r>
              <w:rPr>
                <w:sz w:val="21"/>
              </w:rPr>
              <w:t> </w:t>
            </w:r>
          </w:p>
        </w:tc>
        <w:tc>
          <w:tcPr>
            <w:tcW w:w="2978" w:type="dxa"/>
          </w:tcPr>
          <w:p>
            <w:pPr>
              <w:pStyle w:val="TableParagraph"/>
              <w:rPr>
                <w:rFonts w:ascii="Times New Roman"/>
                <w:sz w:val="20"/>
              </w:rPr>
            </w:pPr>
          </w:p>
        </w:tc>
        <w:tc>
          <w:tcPr>
            <w:tcW w:w="2995" w:type="dxa"/>
          </w:tcPr>
          <w:p>
            <w:pPr>
              <w:pStyle w:val="TableParagraph"/>
              <w:rPr>
                <w:rFonts w:ascii="Times New Roman"/>
                <w:sz w:val="20"/>
              </w:rPr>
            </w:pPr>
          </w:p>
        </w:tc>
      </w:tr>
      <w:tr>
        <w:trPr>
          <w:trHeight w:val="273" w:hRule="atLeast"/>
        </w:trPr>
        <w:tc>
          <w:tcPr>
            <w:tcW w:w="2849" w:type="dxa"/>
          </w:tcPr>
          <w:p>
            <w:pPr>
              <w:pStyle w:val="TableParagraph"/>
              <w:spacing w:line="252" w:lineRule="exact" w:before="1"/>
              <w:ind w:left="28"/>
              <w:rPr>
                <w:sz w:val="21"/>
              </w:rPr>
            </w:pPr>
            <w:r>
              <w:rPr>
                <w:spacing w:val="-1"/>
                <w:sz w:val="21"/>
              </w:rPr>
              <w:t>质押借款-人民币</w:t>
            </w:r>
            <w:r>
              <w:rPr>
                <w:sz w:val="21"/>
              </w:rPr>
              <w:t> </w:t>
            </w:r>
          </w:p>
        </w:tc>
        <w:tc>
          <w:tcPr>
            <w:tcW w:w="2978" w:type="dxa"/>
          </w:tcPr>
          <w:p>
            <w:pPr>
              <w:pStyle w:val="TableParagraph"/>
              <w:spacing w:before="10"/>
              <w:ind w:right="15"/>
              <w:jc w:val="right"/>
              <w:rPr>
                <w:rFonts w:ascii="Times New Roman"/>
                <w:sz w:val="21"/>
              </w:rPr>
            </w:pPr>
            <w:r>
              <w:rPr>
                <w:rFonts w:ascii="Times New Roman"/>
                <w:w w:val="100"/>
                <w:sz w:val="21"/>
              </w:rPr>
              <w:t>-</w:t>
            </w:r>
          </w:p>
        </w:tc>
        <w:tc>
          <w:tcPr>
            <w:tcW w:w="2995" w:type="dxa"/>
          </w:tcPr>
          <w:p>
            <w:pPr>
              <w:pStyle w:val="TableParagraph"/>
              <w:spacing w:before="10"/>
              <w:ind w:right="12"/>
              <w:jc w:val="right"/>
              <w:rPr>
                <w:rFonts w:ascii="Times New Roman"/>
                <w:sz w:val="21"/>
              </w:rPr>
            </w:pPr>
            <w:r>
              <w:rPr>
                <w:rFonts w:ascii="Times New Roman"/>
                <w:sz w:val="21"/>
              </w:rPr>
              <w:t>2,000</w:t>
            </w:r>
          </w:p>
        </w:tc>
      </w:tr>
      <w:tr>
        <w:trPr>
          <w:trHeight w:val="270" w:hRule="atLeast"/>
        </w:trPr>
        <w:tc>
          <w:tcPr>
            <w:tcW w:w="2849" w:type="dxa"/>
          </w:tcPr>
          <w:p>
            <w:pPr>
              <w:pStyle w:val="TableParagraph"/>
              <w:spacing w:line="250" w:lineRule="exact" w:before="1"/>
              <w:ind w:left="28"/>
              <w:rPr>
                <w:sz w:val="21"/>
              </w:rPr>
            </w:pPr>
            <w:r>
              <w:rPr>
                <w:spacing w:val="-1"/>
                <w:sz w:val="21"/>
              </w:rPr>
              <w:t>抵押借款</w:t>
            </w:r>
            <w:r>
              <w:rPr>
                <w:sz w:val="21"/>
              </w:rPr>
              <w:t> </w:t>
            </w:r>
          </w:p>
        </w:tc>
        <w:tc>
          <w:tcPr>
            <w:tcW w:w="2978" w:type="dxa"/>
          </w:tcPr>
          <w:p>
            <w:pPr>
              <w:pStyle w:val="TableParagraph"/>
              <w:rPr>
                <w:rFonts w:ascii="Times New Roman"/>
                <w:sz w:val="20"/>
              </w:rPr>
            </w:pPr>
          </w:p>
        </w:tc>
        <w:tc>
          <w:tcPr>
            <w:tcW w:w="2995" w:type="dxa"/>
          </w:tcPr>
          <w:p>
            <w:pPr>
              <w:pStyle w:val="TableParagraph"/>
              <w:rPr>
                <w:rFonts w:ascii="Times New Roman"/>
                <w:sz w:val="20"/>
              </w:rPr>
            </w:pPr>
          </w:p>
        </w:tc>
      </w:tr>
      <w:tr>
        <w:trPr>
          <w:trHeight w:val="273" w:hRule="atLeast"/>
        </w:trPr>
        <w:tc>
          <w:tcPr>
            <w:tcW w:w="2849" w:type="dxa"/>
          </w:tcPr>
          <w:p>
            <w:pPr>
              <w:pStyle w:val="TableParagraph"/>
              <w:spacing w:line="250" w:lineRule="exact" w:before="3"/>
              <w:ind w:left="28"/>
              <w:rPr>
                <w:sz w:val="21"/>
              </w:rPr>
            </w:pPr>
            <w:r>
              <w:rPr>
                <w:spacing w:val="-1"/>
                <w:sz w:val="21"/>
              </w:rPr>
              <w:t>保证借款</w:t>
            </w:r>
            <w:r>
              <w:rPr>
                <w:sz w:val="21"/>
              </w:rPr>
              <w:t> </w:t>
            </w:r>
          </w:p>
        </w:tc>
        <w:tc>
          <w:tcPr>
            <w:tcW w:w="2978" w:type="dxa"/>
          </w:tcPr>
          <w:p>
            <w:pPr>
              <w:pStyle w:val="TableParagraph"/>
              <w:rPr>
                <w:rFonts w:ascii="Times New Roman"/>
                <w:sz w:val="20"/>
              </w:rPr>
            </w:pPr>
          </w:p>
        </w:tc>
        <w:tc>
          <w:tcPr>
            <w:tcW w:w="2995" w:type="dxa"/>
          </w:tcPr>
          <w:p>
            <w:pPr>
              <w:pStyle w:val="TableParagraph"/>
              <w:rPr>
                <w:rFonts w:ascii="Times New Roman"/>
                <w:sz w:val="20"/>
              </w:rPr>
            </w:pPr>
          </w:p>
        </w:tc>
      </w:tr>
      <w:tr>
        <w:trPr>
          <w:trHeight w:val="273" w:hRule="atLeast"/>
        </w:trPr>
        <w:tc>
          <w:tcPr>
            <w:tcW w:w="2849" w:type="dxa"/>
          </w:tcPr>
          <w:p>
            <w:pPr>
              <w:pStyle w:val="TableParagraph"/>
              <w:spacing w:line="252" w:lineRule="exact" w:before="1"/>
              <w:ind w:left="28"/>
              <w:rPr>
                <w:sz w:val="21"/>
              </w:rPr>
            </w:pPr>
            <w:r>
              <w:rPr>
                <w:spacing w:val="-1"/>
                <w:sz w:val="21"/>
              </w:rPr>
              <w:t>信用借款</w:t>
            </w:r>
            <w:r>
              <w:rPr>
                <w:sz w:val="21"/>
              </w:rPr>
              <w:t> </w:t>
            </w:r>
          </w:p>
        </w:tc>
        <w:tc>
          <w:tcPr>
            <w:tcW w:w="2978" w:type="dxa"/>
          </w:tcPr>
          <w:p>
            <w:pPr>
              <w:pStyle w:val="TableParagraph"/>
              <w:rPr>
                <w:rFonts w:ascii="Times New Roman"/>
                <w:sz w:val="20"/>
              </w:rPr>
            </w:pPr>
          </w:p>
        </w:tc>
        <w:tc>
          <w:tcPr>
            <w:tcW w:w="2995" w:type="dxa"/>
          </w:tcPr>
          <w:p>
            <w:pPr>
              <w:pStyle w:val="TableParagraph"/>
              <w:rPr>
                <w:rFonts w:ascii="Times New Roman"/>
                <w:sz w:val="20"/>
              </w:rPr>
            </w:pPr>
          </w:p>
        </w:tc>
      </w:tr>
      <w:tr>
        <w:trPr>
          <w:trHeight w:val="270" w:hRule="atLeast"/>
        </w:trPr>
        <w:tc>
          <w:tcPr>
            <w:tcW w:w="2849" w:type="dxa"/>
          </w:tcPr>
          <w:p>
            <w:pPr>
              <w:pStyle w:val="TableParagraph"/>
              <w:spacing w:line="250" w:lineRule="exact" w:before="1"/>
              <w:ind w:left="107"/>
              <w:rPr>
                <w:sz w:val="21"/>
              </w:rPr>
            </w:pPr>
            <w:r>
              <w:rPr>
                <w:spacing w:val="-1"/>
                <w:sz w:val="21"/>
              </w:rPr>
              <w:t>信用借款-美元</w:t>
            </w:r>
            <w:r>
              <w:rPr>
                <w:sz w:val="21"/>
              </w:rPr>
              <w:t> </w:t>
            </w:r>
          </w:p>
        </w:tc>
        <w:tc>
          <w:tcPr>
            <w:tcW w:w="2978" w:type="dxa"/>
          </w:tcPr>
          <w:p>
            <w:pPr>
              <w:pStyle w:val="TableParagraph"/>
              <w:spacing w:line="235" w:lineRule="exact"/>
              <w:ind w:left="1745"/>
              <w:rPr>
                <w:rFonts w:ascii="Times New Roman"/>
                <w:sz w:val="21"/>
              </w:rPr>
            </w:pPr>
            <w:r>
              <w:rPr>
                <w:rFonts w:ascii="Times New Roman"/>
                <w:sz w:val="21"/>
              </w:rPr>
              <w:t>36,425,590</w:t>
            </w:r>
          </w:p>
        </w:tc>
        <w:tc>
          <w:tcPr>
            <w:tcW w:w="2995" w:type="dxa"/>
          </w:tcPr>
          <w:p>
            <w:pPr>
              <w:pStyle w:val="TableParagraph"/>
              <w:spacing w:line="235" w:lineRule="exact"/>
              <w:ind w:left="1763"/>
              <w:rPr>
                <w:rFonts w:ascii="Times New Roman"/>
                <w:sz w:val="21"/>
              </w:rPr>
            </w:pPr>
            <w:r>
              <w:rPr>
                <w:rFonts w:ascii="Times New Roman"/>
                <w:sz w:val="21"/>
              </w:rPr>
              <w:t>49,399,746</w:t>
            </w:r>
          </w:p>
        </w:tc>
      </w:tr>
      <w:tr>
        <w:trPr>
          <w:trHeight w:val="273" w:hRule="atLeast"/>
        </w:trPr>
        <w:tc>
          <w:tcPr>
            <w:tcW w:w="2849" w:type="dxa"/>
          </w:tcPr>
          <w:p>
            <w:pPr>
              <w:pStyle w:val="TableParagraph"/>
              <w:spacing w:line="250" w:lineRule="exact" w:before="3"/>
              <w:ind w:left="107"/>
              <w:rPr>
                <w:sz w:val="21"/>
              </w:rPr>
            </w:pPr>
            <w:r>
              <w:rPr>
                <w:spacing w:val="-1"/>
                <w:sz w:val="21"/>
              </w:rPr>
              <w:t>信用借款-人民币</w:t>
            </w:r>
            <w:r>
              <w:rPr>
                <w:sz w:val="21"/>
              </w:rPr>
              <w:t> </w:t>
            </w:r>
          </w:p>
        </w:tc>
        <w:tc>
          <w:tcPr>
            <w:tcW w:w="2978" w:type="dxa"/>
          </w:tcPr>
          <w:p>
            <w:pPr>
              <w:pStyle w:val="TableParagraph"/>
              <w:spacing w:line="237" w:lineRule="exact"/>
              <w:ind w:left="1850"/>
              <w:rPr>
                <w:rFonts w:ascii="Times New Roman"/>
                <w:sz w:val="21"/>
              </w:rPr>
            </w:pPr>
            <w:r>
              <w:rPr>
                <w:rFonts w:ascii="Times New Roman"/>
                <w:sz w:val="21"/>
              </w:rPr>
              <w:t>7,376,399</w:t>
            </w:r>
          </w:p>
        </w:tc>
        <w:tc>
          <w:tcPr>
            <w:tcW w:w="2995" w:type="dxa"/>
          </w:tcPr>
          <w:p>
            <w:pPr>
              <w:pStyle w:val="TableParagraph"/>
              <w:spacing w:line="237" w:lineRule="exact"/>
              <w:ind w:right="271"/>
              <w:jc w:val="right"/>
              <w:rPr>
                <w:rFonts w:ascii="Times New Roman"/>
                <w:sz w:val="21"/>
              </w:rPr>
            </w:pPr>
            <w:r>
              <w:rPr>
                <w:rFonts w:ascii="Times New Roman"/>
                <w:sz w:val="21"/>
              </w:rPr>
              <w:t>580,000</w:t>
            </w:r>
          </w:p>
        </w:tc>
      </w:tr>
      <w:tr>
        <w:trPr>
          <w:trHeight w:val="273" w:hRule="atLeast"/>
        </w:trPr>
        <w:tc>
          <w:tcPr>
            <w:tcW w:w="2849" w:type="dxa"/>
          </w:tcPr>
          <w:p>
            <w:pPr>
              <w:pStyle w:val="TableParagraph"/>
              <w:spacing w:line="252" w:lineRule="exact" w:before="1"/>
              <w:ind w:left="107"/>
              <w:rPr>
                <w:sz w:val="21"/>
              </w:rPr>
            </w:pPr>
            <w:r>
              <w:rPr>
                <w:spacing w:val="-1"/>
                <w:sz w:val="21"/>
              </w:rPr>
              <w:t>信用借款-欧元</w:t>
            </w:r>
            <w:r>
              <w:rPr>
                <w:sz w:val="21"/>
              </w:rPr>
              <w:t> </w:t>
            </w:r>
          </w:p>
        </w:tc>
        <w:tc>
          <w:tcPr>
            <w:tcW w:w="2978" w:type="dxa"/>
          </w:tcPr>
          <w:p>
            <w:pPr>
              <w:pStyle w:val="TableParagraph"/>
              <w:spacing w:line="235" w:lineRule="exact"/>
              <w:ind w:left="1850"/>
              <w:rPr>
                <w:rFonts w:ascii="Times New Roman"/>
                <w:sz w:val="21"/>
              </w:rPr>
            </w:pPr>
            <w:r>
              <w:rPr>
                <w:rFonts w:ascii="Times New Roman"/>
                <w:sz w:val="21"/>
              </w:rPr>
              <w:t>3,503,759</w:t>
            </w:r>
          </w:p>
        </w:tc>
        <w:tc>
          <w:tcPr>
            <w:tcW w:w="2995" w:type="dxa"/>
          </w:tcPr>
          <w:p>
            <w:pPr>
              <w:pStyle w:val="TableParagraph"/>
              <w:spacing w:line="235" w:lineRule="exact"/>
              <w:ind w:right="273"/>
              <w:jc w:val="right"/>
              <w:rPr>
                <w:rFonts w:ascii="Times New Roman"/>
                <w:sz w:val="21"/>
              </w:rPr>
            </w:pPr>
            <w:r>
              <w:rPr>
                <w:rFonts w:ascii="Times New Roman"/>
                <w:w w:val="100"/>
                <w:sz w:val="21"/>
              </w:rPr>
              <w:t>-</w:t>
            </w:r>
          </w:p>
        </w:tc>
      </w:tr>
      <w:tr>
        <w:trPr>
          <w:trHeight w:val="270" w:hRule="atLeast"/>
        </w:trPr>
        <w:tc>
          <w:tcPr>
            <w:tcW w:w="2849" w:type="dxa"/>
          </w:tcPr>
          <w:p>
            <w:pPr>
              <w:pStyle w:val="TableParagraph"/>
              <w:spacing w:line="250" w:lineRule="exact" w:before="1"/>
              <w:ind w:left="107"/>
              <w:rPr>
                <w:sz w:val="21"/>
              </w:rPr>
            </w:pPr>
            <w:r>
              <w:rPr>
                <w:spacing w:val="-1"/>
                <w:sz w:val="21"/>
              </w:rPr>
              <w:t>信用借款-新台币</w:t>
            </w:r>
            <w:r>
              <w:rPr>
                <w:sz w:val="21"/>
              </w:rPr>
              <w:t> </w:t>
            </w:r>
          </w:p>
        </w:tc>
        <w:tc>
          <w:tcPr>
            <w:tcW w:w="2978" w:type="dxa"/>
          </w:tcPr>
          <w:p>
            <w:pPr>
              <w:pStyle w:val="TableParagraph"/>
              <w:spacing w:line="235" w:lineRule="exact"/>
              <w:ind w:left="1850"/>
              <w:rPr>
                <w:rFonts w:ascii="Times New Roman"/>
                <w:sz w:val="21"/>
              </w:rPr>
            </w:pPr>
            <w:r>
              <w:rPr>
                <w:rFonts w:ascii="Times New Roman"/>
                <w:sz w:val="21"/>
              </w:rPr>
              <w:t>1,382,713</w:t>
            </w:r>
          </w:p>
        </w:tc>
        <w:tc>
          <w:tcPr>
            <w:tcW w:w="2995" w:type="dxa"/>
          </w:tcPr>
          <w:p>
            <w:pPr>
              <w:pStyle w:val="TableParagraph"/>
              <w:spacing w:line="235" w:lineRule="exact"/>
              <w:ind w:left="1868"/>
              <w:rPr>
                <w:rFonts w:ascii="Times New Roman"/>
                <w:sz w:val="21"/>
              </w:rPr>
            </w:pPr>
            <w:r>
              <w:rPr>
                <w:rFonts w:ascii="Times New Roman"/>
                <w:sz w:val="21"/>
              </w:rPr>
              <w:t>1,406,913</w:t>
            </w:r>
          </w:p>
        </w:tc>
      </w:tr>
      <w:tr>
        <w:trPr>
          <w:trHeight w:val="273" w:hRule="atLeast"/>
        </w:trPr>
        <w:tc>
          <w:tcPr>
            <w:tcW w:w="2849" w:type="dxa"/>
          </w:tcPr>
          <w:p>
            <w:pPr>
              <w:pStyle w:val="TableParagraph"/>
              <w:spacing w:line="252" w:lineRule="exact" w:before="1"/>
              <w:ind w:left="107"/>
              <w:rPr>
                <w:sz w:val="21"/>
              </w:rPr>
            </w:pPr>
            <w:r>
              <w:rPr>
                <w:spacing w:val="-1"/>
                <w:sz w:val="21"/>
              </w:rPr>
              <w:t>信用借款-日元</w:t>
            </w:r>
            <w:r>
              <w:rPr>
                <w:sz w:val="21"/>
              </w:rPr>
              <w:t> </w:t>
            </w:r>
          </w:p>
        </w:tc>
        <w:tc>
          <w:tcPr>
            <w:tcW w:w="2978" w:type="dxa"/>
          </w:tcPr>
          <w:p>
            <w:pPr>
              <w:pStyle w:val="TableParagraph"/>
              <w:spacing w:line="235" w:lineRule="exact"/>
              <w:ind w:right="272"/>
              <w:jc w:val="right"/>
              <w:rPr>
                <w:rFonts w:ascii="Times New Roman"/>
                <w:sz w:val="21"/>
              </w:rPr>
            </w:pPr>
            <w:r>
              <w:rPr>
                <w:rFonts w:ascii="Times New Roman"/>
                <w:sz w:val="21"/>
              </w:rPr>
              <w:t>601,645</w:t>
            </w:r>
          </w:p>
        </w:tc>
        <w:tc>
          <w:tcPr>
            <w:tcW w:w="2995" w:type="dxa"/>
          </w:tcPr>
          <w:p>
            <w:pPr>
              <w:pStyle w:val="TableParagraph"/>
              <w:spacing w:line="235" w:lineRule="exact"/>
              <w:ind w:right="273"/>
              <w:jc w:val="right"/>
              <w:rPr>
                <w:rFonts w:ascii="Times New Roman"/>
                <w:sz w:val="21"/>
              </w:rPr>
            </w:pPr>
            <w:r>
              <w:rPr>
                <w:rFonts w:ascii="Times New Roman"/>
                <w:w w:val="100"/>
                <w:sz w:val="21"/>
              </w:rPr>
              <w:t>-</w:t>
            </w:r>
          </w:p>
        </w:tc>
      </w:tr>
      <w:tr>
        <w:trPr>
          <w:trHeight w:val="273" w:hRule="atLeast"/>
        </w:trPr>
        <w:tc>
          <w:tcPr>
            <w:tcW w:w="2849" w:type="dxa"/>
          </w:tcPr>
          <w:p>
            <w:pPr>
              <w:pStyle w:val="TableParagraph"/>
              <w:spacing w:line="252" w:lineRule="exact" w:before="1"/>
              <w:ind w:left="107"/>
              <w:rPr>
                <w:sz w:val="21"/>
              </w:rPr>
            </w:pPr>
            <w:r>
              <w:rPr>
                <w:spacing w:val="-1"/>
                <w:sz w:val="21"/>
              </w:rPr>
              <w:t>信用借款-新加坡元</w:t>
            </w:r>
            <w:r>
              <w:rPr>
                <w:sz w:val="21"/>
              </w:rPr>
              <w:t> </w:t>
            </w:r>
          </w:p>
        </w:tc>
        <w:tc>
          <w:tcPr>
            <w:tcW w:w="2978" w:type="dxa"/>
          </w:tcPr>
          <w:p>
            <w:pPr>
              <w:pStyle w:val="TableParagraph"/>
              <w:spacing w:line="235" w:lineRule="exact"/>
              <w:ind w:right="272"/>
              <w:jc w:val="right"/>
              <w:rPr>
                <w:rFonts w:ascii="Times New Roman"/>
                <w:sz w:val="21"/>
              </w:rPr>
            </w:pPr>
            <w:r>
              <w:rPr>
                <w:rFonts w:ascii="Times New Roman"/>
                <w:sz w:val="21"/>
              </w:rPr>
              <w:t>362,817</w:t>
            </w:r>
          </w:p>
        </w:tc>
        <w:tc>
          <w:tcPr>
            <w:tcW w:w="2995" w:type="dxa"/>
          </w:tcPr>
          <w:p>
            <w:pPr>
              <w:pStyle w:val="TableParagraph"/>
              <w:spacing w:line="235" w:lineRule="exact"/>
              <w:ind w:right="273"/>
              <w:jc w:val="right"/>
              <w:rPr>
                <w:rFonts w:ascii="Times New Roman"/>
                <w:sz w:val="21"/>
              </w:rPr>
            </w:pPr>
            <w:r>
              <w:rPr>
                <w:rFonts w:ascii="Times New Roman"/>
                <w:w w:val="100"/>
                <w:sz w:val="21"/>
              </w:rPr>
              <w:t>-</w:t>
            </w:r>
          </w:p>
        </w:tc>
      </w:tr>
      <w:tr>
        <w:trPr>
          <w:trHeight w:val="270" w:hRule="atLeast"/>
        </w:trPr>
        <w:tc>
          <w:tcPr>
            <w:tcW w:w="2849" w:type="dxa"/>
          </w:tcPr>
          <w:p>
            <w:pPr>
              <w:pStyle w:val="TableParagraph"/>
              <w:spacing w:line="250" w:lineRule="exact" w:before="1"/>
              <w:ind w:left="107"/>
              <w:rPr>
                <w:sz w:val="21"/>
              </w:rPr>
            </w:pPr>
            <w:r>
              <w:rPr>
                <w:spacing w:val="-1"/>
                <w:sz w:val="21"/>
              </w:rPr>
              <w:t>信用借款-澳大利亚元</w:t>
            </w:r>
            <w:r>
              <w:rPr>
                <w:sz w:val="21"/>
              </w:rPr>
              <w:t> </w:t>
            </w:r>
          </w:p>
        </w:tc>
        <w:tc>
          <w:tcPr>
            <w:tcW w:w="2978" w:type="dxa"/>
          </w:tcPr>
          <w:p>
            <w:pPr>
              <w:pStyle w:val="TableParagraph"/>
              <w:spacing w:line="235" w:lineRule="exact"/>
              <w:ind w:right="272"/>
              <w:jc w:val="right"/>
              <w:rPr>
                <w:rFonts w:ascii="Times New Roman"/>
                <w:sz w:val="21"/>
              </w:rPr>
            </w:pPr>
            <w:r>
              <w:rPr>
                <w:rFonts w:ascii="Times New Roman"/>
                <w:sz w:val="21"/>
              </w:rPr>
              <w:t>330,878</w:t>
            </w:r>
          </w:p>
        </w:tc>
        <w:tc>
          <w:tcPr>
            <w:tcW w:w="2995" w:type="dxa"/>
          </w:tcPr>
          <w:p>
            <w:pPr>
              <w:pStyle w:val="TableParagraph"/>
              <w:spacing w:line="235" w:lineRule="exact"/>
              <w:ind w:right="273"/>
              <w:jc w:val="right"/>
              <w:rPr>
                <w:rFonts w:ascii="Times New Roman"/>
                <w:sz w:val="21"/>
              </w:rPr>
            </w:pPr>
            <w:r>
              <w:rPr>
                <w:rFonts w:ascii="Times New Roman"/>
                <w:w w:val="100"/>
                <w:sz w:val="21"/>
              </w:rPr>
              <w:t>-</w:t>
            </w:r>
          </w:p>
        </w:tc>
      </w:tr>
      <w:tr>
        <w:trPr>
          <w:trHeight w:val="273" w:hRule="atLeast"/>
        </w:trPr>
        <w:tc>
          <w:tcPr>
            <w:tcW w:w="2849" w:type="dxa"/>
          </w:tcPr>
          <w:p>
            <w:pPr>
              <w:pStyle w:val="TableParagraph"/>
              <w:spacing w:line="252" w:lineRule="exact" w:before="1"/>
              <w:ind w:left="107"/>
              <w:rPr>
                <w:sz w:val="21"/>
              </w:rPr>
            </w:pPr>
            <w:r>
              <w:rPr>
                <w:spacing w:val="-1"/>
                <w:sz w:val="21"/>
              </w:rPr>
              <w:t>信用借款-捷克克朗</w:t>
            </w:r>
            <w:r>
              <w:rPr>
                <w:sz w:val="21"/>
              </w:rPr>
              <w:t> </w:t>
            </w:r>
          </w:p>
        </w:tc>
        <w:tc>
          <w:tcPr>
            <w:tcW w:w="2978" w:type="dxa"/>
          </w:tcPr>
          <w:p>
            <w:pPr>
              <w:pStyle w:val="TableParagraph"/>
              <w:spacing w:line="235" w:lineRule="exact"/>
              <w:ind w:right="272"/>
              <w:jc w:val="right"/>
              <w:rPr>
                <w:rFonts w:ascii="Times New Roman"/>
                <w:sz w:val="21"/>
              </w:rPr>
            </w:pPr>
            <w:r>
              <w:rPr>
                <w:rFonts w:ascii="Times New Roman"/>
                <w:sz w:val="21"/>
              </w:rPr>
              <w:t>238,051</w:t>
            </w:r>
          </w:p>
        </w:tc>
        <w:tc>
          <w:tcPr>
            <w:tcW w:w="2995" w:type="dxa"/>
          </w:tcPr>
          <w:p>
            <w:pPr>
              <w:pStyle w:val="TableParagraph"/>
              <w:spacing w:line="235" w:lineRule="exact"/>
              <w:ind w:right="271"/>
              <w:jc w:val="right"/>
              <w:rPr>
                <w:rFonts w:ascii="Times New Roman"/>
                <w:sz w:val="21"/>
              </w:rPr>
            </w:pPr>
            <w:r>
              <w:rPr>
                <w:rFonts w:ascii="Times New Roman"/>
                <w:sz w:val="21"/>
              </w:rPr>
              <w:t>706,994</w:t>
            </w:r>
          </w:p>
        </w:tc>
      </w:tr>
      <w:tr>
        <w:trPr>
          <w:trHeight w:val="270" w:hRule="atLeast"/>
        </w:trPr>
        <w:tc>
          <w:tcPr>
            <w:tcW w:w="2849" w:type="dxa"/>
          </w:tcPr>
          <w:p>
            <w:pPr>
              <w:pStyle w:val="TableParagraph"/>
              <w:spacing w:line="250" w:lineRule="exact" w:before="1"/>
              <w:ind w:left="107"/>
              <w:rPr>
                <w:sz w:val="21"/>
              </w:rPr>
            </w:pPr>
            <w:r>
              <w:rPr>
                <w:spacing w:val="-1"/>
                <w:sz w:val="21"/>
              </w:rPr>
              <w:t>应付利息-人民币</w:t>
            </w:r>
            <w:r>
              <w:rPr>
                <w:sz w:val="21"/>
              </w:rPr>
              <w:t> </w:t>
            </w:r>
          </w:p>
        </w:tc>
        <w:tc>
          <w:tcPr>
            <w:tcW w:w="2978" w:type="dxa"/>
          </w:tcPr>
          <w:p>
            <w:pPr>
              <w:pStyle w:val="TableParagraph"/>
              <w:spacing w:line="235" w:lineRule="exact"/>
              <w:ind w:right="272"/>
              <w:jc w:val="right"/>
              <w:rPr>
                <w:rFonts w:ascii="Times New Roman"/>
                <w:sz w:val="21"/>
              </w:rPr>
            </w:pPr>
            <w:r>
              <w:rPr>
                <w:rFonts w:ascii="Times New Roman"/>
                <w:sz w:val="21"/>
              </w:rPr>
              <w:t>162,785</w:t>
            </w:r>
          </w:p>
        </w:tc>
        <w:tc>
          <w:tcPr>
            <w:tcW w:w="2995" w:type="dxa"/>
          </w:tcPr>
          <w:p>
            <w:pPr>
              <w:pStyle w:val="TableParagraph"/>
              <w:spacing w:line="235" w:lineRule="exact"/>
              <w:ind w:right="271"/>
              <w:jc w:val="right"/>
              <w:rPr>
                <w:rFonts w:ascii="Times New Roman"/>
                <w:sz w:val="21"/>
              </w:rPr>
            </w:pPr>
            <w:r>
              <w:rPr>
                <w:rFonts w:ascii="Times New Roman"/>
                <w:sz w:val="21"/>
              </w:rPr>
              <w:t>16,471</w:t>
            </w:r>
          </w:p>
        </w:tc>
      </w:tr>
      <w:tr>
        <w:trPr>
          <w:trHeight w:val="273" w:hRule="atLeast"/>
        </w:trPr>
        <w:tc>
          <w:tcPr>
            <w:tcW w:w="2849" w:type="dxa"/>
          </w:tcPr>
          <w:p>
            <w:pPr>
              <w:pStyle w:val="TableParagraph"/>
              <w:spacing w:line="250" w:lineRule="exact" w:before="3"/>
              <w:ind w:left="107"/>
              <w:rPr>
                <w:sz w:val="21"/>
              </w:rPr>
            </w:pPr>
            <w:r>
              <w:rPr>
                <w:spacing w:val="-1"/>
                <w:sz w:val="21"/>
              </w:rPr>
              <w:t>应付利息-美元</w:t>
            </w:r>
            <w:r>
              <w:rPr>
                <w:sz w:val="21"/>
              </w:rPr>
              <w:t> </w:t>
            </w:r>
          </w:p>
        </w:tc>
        <w:tc>
          <w:tcPr>
            <w:tcW w:w="2978" w:type="dxa"/>
          </w:tcPr>
          <w:p>
            <w:pPr>
              <w:pStyle w:val="TableParagraph"/>
              <w:spacing w:line="237" w:lineRule="exact"/>
              <w:ind w:right="272"/>
              <w:jc w:val="right"/>
              <w:rPr>
                <w:rFonts w:ascii="Times New Roman"/>
                <w:sz w:val="21"/>
              </w:rPr>
            </w:pPr>
            <w:r>
              <w:rPr>
                <w:rFonts w:ascii="Times New Roman"/>
                <w:sz w:val="21"/>
              </w:rPr>
              <w:t>109,086</w:t>
            </w:r>
          </w:p>
        </w:tc>
        <w:tc>
          <w:tcPr>
            <w:tcW w:w="2995" w:type="dxa"/>
          </w:tcPr>
          <w:p>
            <w:pPr>
              <w:pStyle w:val="TableParagraph"/>
              <w:spacing w:line="237" w:lineRule="exact"/>
              <w:ind w:right="271"/>
              <w:jc w:val="right"/>
              <w:rPr>
                <w:rFonts w:ascii="Times New Roman"/>
                <w:sz w:val="21"/>
              </w:rPr>
            </w:pPr>
            <w:r>
              <w:rPr>
                <w:rFonts w:ascii="Times New Roman"/>
                <w:sz w:val="21"/>
              </w:rPr>
              <w:t>22,961</w:t>
            </w:r>
          </w:p>
        </w:tc>
      </w:tr>
      <w:tr>
        <w:trPr>
          <w:trHeight w:val="273" w:hRule="atLeast"/>
        </w:trPr>
        <w:tc>
          <w:tcPr>
            <w:tcW w:w="2849" w:type="dxa"/>
          </w:tcPr>
          <w:p>
            <w:pPr>
              <w:pStyle w:val="TableParagraph"/>
              <w:spacing w:line="252" w:lineRule="exact" w:before="1"/>
              <w:ind w:left="107"/>
              <w:rPr>
                <w:sz w:val="21"/>
              </w:rPr>
            </w:pPr>
            <w:r>
              <w:rPr>
                <w:spacing w:val="-1"/>
                <w:sz w:val="21"/>
              </w:rPr>
              <w:t>应付利息-新台币</w:t>
            </w:r>
            <w:r>
              <w:rPr>
                <w:sz w:val="21"/>
              </w:rPr>
              <w:t> </w:t>
            </w:r>
          </w:p>
        </w:tc>
        <w:tc>
          <w:tcPr>
            <w:tcW w:w="2978" w:type="dxa"/>
          </w:tcPr>
          <w:p>
            <w:pPr>
              <w:pStyle w:val="TableParagraph"/>
              <w:spacing w:line="235" w:lineRule="exact"/>
              <w:ind w:right="272"/>
              <w:jc w:val="right"/>
              <w:rPr>
                <w:rFonts w:ascii="Times New Roman"/>
                <w:sz w:val="21"/>
              </w:rPr>
            </w:pPr>
            <w:r>
              <w:rPr>
                <w:rFonts w:ascii="Times New Roman"/>
                <w:sz w:val="21"/>
              </w:rPr>
              <w:t>3,969</w:t>
            </w:r>
          </w:p>
        </w:tc>
        <w:tc>
          <w:tcPr>
            <w:tcW w:w="2995" w:type="dxa"/>
          </w:tcPr>
          <w:p>
            <w:pPr>
              <w:pStyle w:val="TableParagraph"/>
              <w:spacing w:line="235" w:lineRule="exact"/>
              <w:ind w:right="271"/>
              <w:jc w:val="right"/>
              <w:rPr>
                <w:rFonts w:ascii="Times New Roman"/>
                <w:sz w:val="21"/>
              </w:rPr>
            </w:pPr>
            <w:r>
              <w:rPr>
                <w:rFonts w:ascii="Times New Roman"/>
                <w:sz w:val="21"/>
              </w:rPr>
              <w:t>1,569</w:t>
            </w:r>
          </w:p>
        </w:tc>
      </w:tr>
      <w:tr>
        <w:trPr>
          <w:trHeight w:val="273" w:hRule="atLeast"/>
        </w:trPr>
        <w:tc>
          <w:tcPr>
            <w:tcW w:w="2849" w:type="dxa"/>
          </w:tcPr>
          <w:p>
            <w:pPr>
              <w:pStyle w:val="TableParagraph"/>
              <w:spacing w:line="252" w:lineRule="exact" w:before="1"/>
              <w:ind w:left="1244" w:right="1130"/>
              <w:jc w:val="center"/>
              <w:rPr>
                <w:sz w:val="21"/>
              </w:rPr>
            </w:pPr>
            <w:r>
              <w:rPr>
                <w:sz w:val="21"/>
              </w:rPr>
              <w:t>合计 </w:t>
            </w:r>
          </w:p>
        </w:tc>
        <w:tc>
          <w:tcPr>
            <w:tcW w:w="2978" w:type="dxa"/>
          </w:tcPr>
          <w:p>
            <w:pPr>
              <w:pStyle w:val="TableParagraph"/>
              <w:spacing w:line="235" w:lineRule="exact"/>
              <w:ind w:left="1745"/>
              <w:rPr>
                <w:rFonts w:ascii="Times New Roman"/>
                <w:sz w:val="21"/>
              </w:rPr>
            </w:pPr>
            <w:r>
              <w:rPr>
                <w:rFonts w:ascii="Times New Roman"/>
                <w:sz w:val="21"/>
              </w:rPr>
              <w:t>50,497,692</w:t>
            </w:r>
          </w:p>
        </w:tc>
        <w:tc>
          <w:tcPr>
            <w:tcW w:w="2995" w:type="dxa"/>
          </w:tcPr>
          <w:p>
            <w:pPr>
              <w:pStyle w:val="TableParagraph"/>
              <w:spacing w:line="235" w:lineRule="exact"/>
              <w:ind w:left="1763"/>
              <w:rPr>
                <w:rFonts w:ascii="Times New Roman"/>
                <w:sz w:val="21"/>
              </w:rPr>
            </w:pPr>
            <w:r>
              <w:rPr>
                <w:rFonts w:ascii="Times New Roman"/>
                <w:sz w:val="21"/>
              </w:rPr>
              <w:t>52,136,654</w:t>
            </w:r>
          </w:p>
        </w:tc>
      </w:tr>
    </w:tbl>
    <w:p>
      <w:pPr>
        <w:pStyle w:val="BodyText"/>
        <w:spacing w:before="1"/>
      </w:pPr>
      <w:r>
        <w:rPr>
          <w:spacing w:val="-1"/>
        </w:rPr>
        <w:t>短期借款分类的说明：</w:t>
      </w:r>
      <w:r>
        <w:rPr/>
        <w:t> </w:t>
      </w:r>
    </w:p>
    <w:p>
      <w:pPr>
        <w:pStyle w:val="BodyText"/>
        <w:spacing w:before="2" w:after="43"/>
      </w:pPr>
      <w:r>
        <w:rPr>
          <w:w w:val="100"/>
        </w:rPr>
        <w:t> </w:t>
      </w: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3"/>
        <w:gridCol w:w="8471"/>
      </w:tblGrid>
      <w:tr>
        <w:trPr>
          <w:trHeight w:val="620" w:hRule="atLeast"/>
        </w:trPr>
        <w:tc>
          <w:tcPr>
            <w:tcW w:w="703" w:type="dxa"/>
          </w:tcPr>
          <w:p>
            <w:pPr>
              <w:pStyle w:val="TableParagraph"/>
              <w:spacing w:line="268" w:lineRule="exact"/>
              <w:ind w:left="200"/>
              <w:rPr>
                <w:rFonts w:ascii="Arial MT"/>
                <w:sz w:val="24"/>
              </w:rPr>
            </w:pPr>
            <w:r>
              <w:rPr>
                <w:rFonts w:ascii="Arial MT"/>
                <w:sz w:val="24"/>
              </w:rPr>
              <w:t>(a)</w:t>
            </w:r>
          </w:p>
        </w:tc>
        <w:tc>
          <w:tcPr>
            <w:tcW w:w="8471" w:type="dxa"/>
          </w:tcPr>
          <w:p>
            <w:pPr>
              <w:pStyle w:val="TableParagraph"/>
              <w:spacing w:before="7"/>
              <w:ind w:left="209"/>
              <w:rPr>
                <w:sz w:val="21"/>
              </w:rPr>
            </w:pPr>
            <w:r>
              <w:rPr>
                <w:spacing w:val="-33"/>
                <w:sz w:val="21"/>
              </w:rPr>
              <w:t>于 </w:t>
            </w:r>
            <w:r>
              <w:rPr>
                <w:sz w:val="21"/>
              </w:rPr>
              <w:t>2022</w:t>
            </w:r>
            <w:r>
              <w:rPr>
                <w:spacing w:val="-44"/>
                <w:sz w:val="21"/>
              </w:rPr>
              <w:t> 年 </w:t>
            </w:r>
            <w:r>
              <w:rPr>
                <w:sz w:val="21"/>
              </w:rPr>
              <w:t>12</w:t>
            </w:r>
            <w:r>
              <w:rPr>
                <w:spacing w:val="-43"/>
                <w:sz w:val="21"/>
              </w:rPr>
              <w:t> 月 </w:t>
            </w:r>
            <w:r>
              <w:rPr>
                <w:sz w:val="21"/>
              </w:rPr>
              <w:t>31</w:t>
            </w:r>
            <w:r>
              <w:rPr>
                <w:spacing w:val="-9"/>
                <w:sz w:val="21"/>
              </w:rPr>
              <w:t> 日，本集团无银行质押借款</w:t>
            </w:r>
            <w:r>
              <w:rPr>
                <w:sz w:val="21"/>
              </w:rPr>
              <w:t>(2021</w:t>
            </w:r>
            <w:r>
              <w:rPr>
                <w:spacing w:val="-43"/>
                <w:sz w:val="21"/>
              </w:rPr>
              <w:t> 年 </w:t>
            </w:r>
            <w:r>
              <w:rPr>
                <w:sz w:val="21"/>
              </w:rPr>
              <w:t>12</w:t>
            </w:r>
            <w:r>
              <w:rPr>
                <w:spacing w:val="-43"/>
                <w:sz w:val="21"/>
              </w:rPr>
              <w:t> 月 </w:t>
            </w:r>
            <w:r>
              <w:rPr>
                <w:sz w:val="21"/>
              </w:rPr>
              <w:t>31</w:t>
            </w:r>
            <w:r>
              <w:rPr>
                <w:spacing w:val="-15"/>
                <w:sz w:val="21"/>
              </w:rPr>
              <w:t> 日：银行质押借款 </w:t>
            </w:r>
            <w:r>
              <w:rPr>
                <w:sz w:val="21"/>
              </w:rPr>
              <w:t>2,000</w:t>
            </w:r>
          </w:p>
          <w:p>
            <w:pPr>
              <w:pStyle w:val="TableParagraph"/>
              <w:spacing w:before="50"/>
              <w:ind w:left="209"/>
              <w:rPr>
                <w:sz w:val="21"/>
              </w:rPr>
            </w:pPr>
            <w:r>
              <w:rPr>
                <w:spacing w:val="-4"/>
                <w:sz w:val="21"/>
              </w:rPr>
              <w:t>千元系银行承兑汇票贴现取得的短期借款 </w:t>
            </w:r>
            <w:r>
              <w:rPr>
                <w:sz w:val="21"/>
              </w:rPr>
              <w:t>2,000</w:t>
            </w:r>
            <w:r>
              <w:rPr>
                <w:spacing w:val="-12"/>
                <w:sz w:val="21"/>
              </w:rPr>
              <w:t> 千元)。</w:t>
            </w:r>
            <w:r>
              <w:rPr>
                <w:sz w:val="21"/>
              </w:rPr>
              <w:t> </w:t>
            </w:r>
          </w:p>
        </w:tc>
      </w:tr>
      <w:tr>
        <w:trPr>
          <w:trHeight w:val="265" w:hRule="atLeast"/>
        </w:trPr>
        <w:tc>
          <w:tcPr>
            <w:tcW w:w="703" w:type="dxa"/>
          </w:tcPr>
          <w:p>
            <w:pPr>
              <w:pStyle w:val="TableParagraph"/>
              <w:rPr>
                <w:rFonts w:ascii="Times New Roman"/>
                <w:sz w:val="18"/>
              </w:rPr>
            </w:pPr>
          </w:p>
        </w:tc>
        <w:tc>
          <w:tcPr>
            <w:tcW w:w="8471" w:type="dxa"/>
          </w:tcPr>
          <w:p>
            <w:pPr>
              <w:pStyle w:val="TableParagraph"/>
              <w:spacing w:line="220" w:lineRule="exact" w:before="25"/>
              <w:ind w:left="209"/>
              <w:rPr>
                <w:sz w:val="21"/>
              </w:rPr>
            </w:pPr>
            <w:r>
              <w:rPr>
                <w:w w:val="100"/>
                <w:sz w:val="21"/>
              </w:rPr>
              <w:t> </w:t>
            </w:r>
          </w:p>
        </w:tc>
      </w:tr>
    </w:tbl>
    <w:p>
      <w:pPr>
        <w:spacing w:after="0" w:line="220" w:lineRule="exact"/>
        <w:rPr>
          <w:sz w:val="21"/>
        </w:rPr>
        <w:sectPr>
          <w:pgSz w:w="11910" w:h="16840"/>
          <w:pgMar w:header="882" w:footer="1184" w:top="1120" w:bottom="1380" w:left="1480" w:right="0"/>
        </w:sectPr>
      </w:pPr>
    </w:p>
    <w:p>
      <w:pPr>
        <w:pStyle w:val="BodyText"/>
        <w:ind w:left="0"/>
        <w:rPr>
          <w:sz w:val="20"/>
        </w:rPr>
      </w:pPr>
    </w:p>
    <w:p>
      <w:pPr>
        <w:pStyle w:val="BodyText"/>
        <w:spacing w:before="2"/>
        <w:ind w:left="0"/>
        <w:rPr>
          <w:sz w:val="14"/>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3"/>
        <w:gridCol w:w="8468"/>
      </w:tblGrid>
      <w:tr>
        <w:trPr>
          <w:trHeight w:val="622" w:hRule="atLeast"/>
        </w:trPr>
        <w:tc>
          <w:tcPr>
            <w:tcW w:w="703" w:type="dxa"/>
          </w:tcPr>
          <w:p>
            <w:pPr>
              <w:pStyle w:val="TableParagraph"/>
              <w:spacing w:line="268" w:lineRule="exact"/>
              <w:ind w:left="200"/>
              <w:rPr>
                <w:rFonts w:ascii="Arial MT"/>
                <w:sz w:val="24"/>
              </w:rPr>
            </w:pPr>
            <w:r>
              <w:rPr>
                <w:rFonts w:ascii="Arial MT"/>
                <w:sz w:val="24"/>
              </w:rPr>
              <w:t>(b)</w:t>
            </w:r>
          </w:p>
        </w:tc>
        <w:tc>
          <w:tcPr>
            <w:tcW w:w="8468" w:type="dxa"/>
          </w:tcPr>
          <w:p>
            <w:pPr>
              <w:pStyle w:val="TableParagraph"/>
              <w:spacing w:before="7"/>
              <w:ind w:left="209"/>
              <w:rPr>
                <w:sz w:val="21"/>
              </w:rPr>
            </w:pPr>
            <w:r>
              <w:rPr>
                <w:sz w:val="21"/>
              </w:rPr>
              <w:t>2022</w:t>
            </w:r>
            <w:r>
              <w:rPr>
                <w:spacing w:val="-5"/>
                <w:sz w:val="21"/>
              </w:rPr>
              <w:t> 年度，人民币短期借款的利率区间为 </w:t>
            </w:r>
            <w:r>
              <w:rPr>
                <w:sz w:val="21"/>
              </w:rPr>
              <w:t>1.35</w:t>
            </w:r>
            <w:r>
              <w:rPr>
                <w:spacing w:val="-5"/>
                <w:sz w:val="21"/>
              </w:rPr>
              <w:t>%至 </w:t>
            </w:r>
            <w:r>
              <w:rPr>
                <w:sz w:val="21"/>
              </w:rPr>
              <w:t>2.80%，非人民币短期借款的利率区</w:t>
            </w:r>
          </w:p>
          <w:p>
            <w:pPr>
              <w:pStyle w:val="TableParagraph"/>
              <w:spacing w:before="53"/>
              <w:ind w:left="209"/>
              <w:rPr>
                <w:sz w:val="21"/>
              </w:rPr>
            </w:pPr>
            <w:r>
              <w:rPr>
                <w:spacing w:val="-18"/>
                <w:sz w:val="21"/>
              </w:rPr>
              <w:t>间为 </w:t>
            </w:r>
            <w:r>
              <w:rPr>
                <w:spacing w:val="-1"/>
                <w:sz w:val="21"/>
              </w:rPr>
              <w:t>0.45</w:t>
            </w:r>
            <w:r>
              <w:rPr>
                <w:spacing w:val="-18"/>
                <w:sz w:val="21"/>
              </w:rPr>
              <w:t>%至 </w:t>
            </w:r>
            <w:r>
              <w:rPr>
                <w:sz w:val="21"/>
              </w:rPr>
              <w:t>6.40%。 </w:t>
            </w:r>
          </w:p>
        </w:tc>
      </w:tr>
      <w:tr>
        <w:trPr>
          <w:trHeight w:val="319" w:hRule="atLeast"/>
        </w:trPr>
        <w:tc>
          <w:tcPr>
            <w:tcW w:w="703" w:type="dxa"/>
          </w:tcPr>
          <w:p>
            <w:pPr>
              <w:pStyle w:val="TableParagraph"/>
              <w:rPr>
                <w:rFonts w:ascii="Times New Roman"/>
                <w:sz w:val="20"/>
              </w:rPr>
            </w:pPr>
          </w:p>
        </w:tc>
        <w:tc>
          <w:tcPr>
            <w:tcW w:w="8468" w:type="dxa"/>
          </w:tcPr>
          <w:p>
            <w:pPr>
              <w:pStyle w:val="TableParagraph"/>
              <w:spacing w:before="25"/>
              <w:ind w:left="209"/>
              <w:rPr>
                <w:sz w:val="21"/>
              </w:rPr>
            </w:pPr>
            <w:r>
              <w:rPr>
                <w:w w:val="100"/>
                <w:sz w:val="21"/>
              </w:rPr>
              <w:t> </w:t>
            </w:r>
          </w:p>
        </w:tc>
      </w:tr>
      <w:tr>
        <w:trPr>
          <w:trHeight w:val="586" w:hRule="atLeast"/>
        </w:trPr>
        <w:tc>
          <w:tcPr>
            <w:tcW w:w="703" w:type="dxa"/>
          </w:tcPr>
          <w:p>
            <w:pPr>
              <w:pStyle w:val="TableParagraph"/>
              <w:rPr>
                <w:rFonts w:ascii="Times New Roman"/>
                <w:sz w:val="20"/>
              </w:rPr>
            </w:pPr>
          </w:p>
        </w:tc>
        <w:tc>
          <w:tcPr>
            <w:tcW w:w="8468" w:type="dxa"/>
          </w:tcPr>
          <w:p>
            <w:pPr>
              <w:pStyle w:val="TableParagraph"/>
              <w:spacing w:before="25"/>
              <w:ind w:left="209"/>
              <w:rPr>
                <w:sz w:val="21"/>
              </w:rPr>
            </w:pPr>
            <w:r>
              <w:rPr>
                <w:sz w:val="21"/>
              </w:rPr>
              <w:t>2021</w:t>
            </w:r>
            <w:r>
              <w:rPr>
                <w:spacing w:val="-5"/>
                <w:sz w:val="21"/>
              </w:rPr>
              <w:t> 年度，人民币短期借款的利率区间为 </w:t>
            </w:r>
            <w:r>
              <w:rPr>
                <w:sz w:val="21"/>
              </w:rPr>
              <w:t>2.40</w:t>
            </w:r>
            <w:r>
              <w:rPr>
                <w:spacing w:val="-5"/>
                <w:sz w:val="21"/>
              </w:rPr>
              <w:t>%至 </w:t>
            </w:r>
            <w:r>
              <w:rPr>
                <w:sz w:val="21"/>
              </w:rPr>
              <w:t>3.15%，非人民币短期借款的利率区</w:t>
            </w:r>
          </w:p>
          <w:p>
            <w:pPr>
              <w:pStyle w:val="TableParagraph"/>
              <w:spacing w:line="220" w:lineRule="exact" w:before="53"/>
              <w:ind w:left="209"/>
              <w:rPr>
                <w:sz w:val="21"/>
              </w:rPr>
            </w:pPr>
            <w:r>
              <w:rPr>
                <w:spacing w:val="-18"/>
                <w:sz w:val="21"/>
              </w:rPr>
              <w:t>间为 </w:t>
            </w:r>
            <w:r>
              <w:rPr>
                <w:spacing w:val="-1"/>
                <w:sz w:val="21"/>
              </w:rPr>
              <w:t>0.36</w:t>
            </w:r>
            <w:r>
              <w:rPr>
                <w:spacing w:val="-18"/>
                <w:sz w:val="21"/>
              </w:rPr>
              <w:t>%至 </w:t>
            </w:r>
            <w:r>
              <w:rPr>
                <w:sz w:val="21"/>
              </w:rPr>
              <w:t>3.86%。 </w:t>
            </w:r>
          </w:p>
        </w:tc>
      </w:tr>
    </w:tbl>
    <w:p>
      <w:pPr>
        <w:spacing w:after="0" w:line="220" w:lineRule="exact"/>
        <w:rPr>
          <w:sz w:val="21"/>
        </w:rPr>
        <w:sectPr>
          <w:pgSz w:w="11910" w:h="16840"/>
          <w:pgMar w:header="882" w:footer="1184" w:top="1120" w:bottom="1380" w:left="1480" w:right="0"/>
        </w:sectPr>
      </w:pPr>
    </w:p>
    <w:p>
      <w:pPr>
        <w:pStyle w:val="BodyText"/>
        <w:spacing w:before="34"/>
      </w:pPr>
      <w:r>
        <w:rPr>
          <w:w w:val="100"/>
        </w:rPr>
        <w:t> </w:t>
      </w:r>
    </w:p>
    <w:p>
      <w:pPr>
        <w:pStyle w:val="BodyText"/>
        <w:spacing w:before="4"/>
      </w:pPr>
      <w:r>
        <w:rPr>
          <w:w w:val="100"/>
        </w:rPr>
        <w:t> </w:t>
      </w:r>
    </w:p>
    <w:p>
      <w:pPr>
        <w:pStyle w:val="BodyText"/>
        <w:spacing w:before="62"/>
      </w:pPr>
      <w:r>
        <w:rPr/>
        <w:t>(2).已逾期未偿还的短期借款情况 </w:t>
      </w:r>
    </w:p>
    <w:p>
      <w:pPr>
        <w:pStyle w:val="BodyText"/>
        <w:spacing w:before="65"/>
      </w:pPr>
      <w:r>
        <w:rPr>
          <w:spacing w:val="-1"/>
        </w:rPr>
        <w:t>□适用 √不适用</w:t>
      </w:r>
      <w:r>
        <w:rPr>
          <w:spacing w:val="-3"/>
        </w:rPr>
        <w:t> </w:t>
      </w:r>
      <w:r>
        <w:rPr/>
        <w:t> </w:t>
      </w:r>
    </w:p>
    <w:p>
      <w:pPr>
        <w:pStyle w:val="BodyText"/>
        <w:spacing w:before="2"/>
      </w:pPr>
      <w:r>
        <w:rPr>
          <w:w w:val="100"/>
        </w:rPr>
        <w:t> </w:t>
      </w:r>
    </w:p>
    <w:p>
      <w:pPr>
        <w:pStyle w:val="BodyText"/>
        <w:spacing w:before="2"/>
      </w:pPr>
      <w:r>
        <w:rPr>
          <w:spacing w:val="-1"/>
        </w:rPr>
        <w:t>其中重要的已逾期未偿还的短期借款情况如下：</w:t>
      </w:r>
      <w:r>
        <w:rPr/>
        <w:t> </w:t>
      </w:r>
    </w:p>
    <w:p>
      <w:pPr>
        <w:pStyle w:val="BodyText"/>
        <w:spacing w:line="242" w:lineRule="auto" w:before="5"/>
        <w:ind w:right="2769"/>
      </w:pPr>
      <w:r>
        <w:rPr/>
        <w:t>□适用 √不适用其他说明 </w:t>
      </w:r>
    </w:p>
    <w:p>
      <w:pPr>
        <w:pStyle w:val="BodyText"/>
        <w:spacing w:before="2"/>
      </w:pPr>
      <w:r>
        <w:rPr>
          <w:spacing w:val="-1"/>
        </w:rPr>
        <w:t>□适用 √不适用</w:t>
      </w:r>
      <w:r>
        <w:rPr>
          <w:spacing w:val="-3"/>
        </w:rPr>
        <w:t> </w:t>
      </w:r>
      <w:r>
        <w:rPr/>
        <w:t> </w:t>
      </w:r>
    </w:p>
    <w:p>
      <w:pPr>
        <w:pStyle w:val="BodyText"/>
        <w:spacing w:before="2"/>
      </w:pPr>
      <w:r>
        <w:rPr>
          <w:w w:val="100"/>
        </w:rPr>
        <w:t> </w:t>
      </w:r>
    </w:p>
    <w:p>
      <w:pPr>
        <w:pStyle w:val="BodyText"/>
        <w:spacing w:before="64"/>
      </w:pPr>
      <w:r>
        <w:rPr/>
        <w:t>33</w:t>
      </w:r>
      <w:r>
        <w:rPr>
          <w:spacing w:val="-5"/>
        </w:rPr>
        <w:t>、 交易性金融负债</w:t>
      </w:r>
    </w:p>
    <w:p>
      <w:pPr>
        <w:pStyle w:val="BodyText"/>
        <w:spacing w:before="62"/>
      </w:pPr>
      <w:r>
        <w:rPr>
          <w:spacing w:val="-1"/>
        </w:rPr>
        <w:t>□适用 √不适用</w:t>
      </w:r>
      <w:r>
        <w:rPr>
          <w:spacing w:val="-3"/>
        </w:rPr>
        <w:t> </w:t>
      </w:r>
      <w:r>
        <w:rPr/>
        <w:t> </w:t>
      </w:r>
    </w:p>
    <w:p>
      <w:pPr>
        <w:pStyle w:val="BodyText"/>
        <w:spacing w:before="5"/>
      </w:pPr>
      <w:r>
        <w:rPr>
          <w:w w:val="100"/>
        </w:rPr>
        <w:t> </w:t>
      </w:r>
    </w:p>
    <w:p>
      <w:pPr>
        <w:pStyle w:val="BodyText"/>
        <w:spacing w:before="2"/>
      </w:pPr>
      <w:r>
        <w:rPr>
          <w:w w:val="100"/>
        </w:rPr>
        <w:t> </w:t>
      </w:r>
    </w:p>
    <w:p>
      <w:pPr>
        <w:pStyle w:val="BodyText"/>
        <w:spacing w:before="65"/>
      </w:pPr>
      <w:r>
        <w:rPr/>
        <w:t>34</w:t>
      </w:r>
      <w:r>
        <w:rPr>
          <w:spacing w:val="-5"/>
        </w:rPr>
        <w:t>、 衍生金融负债</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40"/>
      </w:pPr>
      <w:r>
        <w:rPr>
          <w:spacing w:val="7"/>
        </w:rPr>
        <w:t>单位：千元 币种：人民币</w:t>
      </w:r>
      <w:r>
        <w:rPr/>
        <w:t> </w:t>
      </w:r>
    </w:p>
    <w:p>
      <w:pPr>
        <w:spacing w:after="0"/>
        <w:sectPr>
          <w:type w:val="continuous"/>
          <w:pgSz w:w="11910" w:h="16840"/>
          <w:pgMar w:top="780" w:bottom="280" w:left="1480" w:right="0"/>
          <w:cols w:num="2" w:equalWidth="0">
            <w:col w:w="4876" w:space="1435"/>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19"/>
        <w:gridCol w:w="2832"/>
        <w:gridCol w:w="2772"/>
      </w:tblGrid>
      <w:tr>
        <w:trPr>
          <w:trHeight w:val="273" w:hRule="atLeast"/>
        </w:trPr>
        <w:tc>
          <w:tcPr>
            <w:tcW w:w="3219" w:type="dxa"/>
            <w:tcBorders>
              <w:bottom w:val="single" w:sz="6" w:space="0" w:color="000000"/>
              <w:right w:val="single" w:sz="6" w:space="0" w:color="000000"/>
            </w:tcBorders>
          </w:tcPr>
          <w:p>
            <w:pPr>
              <w:pStyle w:val="TableParagraph"/>
              <w:spacing w:line="252" w:lineRule="exact" w:before="1"/>
              <w:ind w:right="1282"/>
              <w:jc w:val="right"/>
              <w:rPr>
                <w:sz w:val="21"/>
              </w:rPr>
            </w:pPr>
            <w:r>
              <w:rPr>
                <w:sz w:val="21"/>
              </w:rPr>
              <w:t>项目 </w:t>
            </w:r>
          </w:p>
        </w:tc>
        <w:tc>
          <w:tcPr>
            <w:tcW w:w="2832" w:type="dxa"/>
            <w:tcBorders>
              <w:left w:val="single" w:sz="6" w:space="0" w:color="000000"/>
              <w:bottom w:val="single" w:sz="6" w:space="0" w:color="000000"/>
              <w:right w:val="single" w:sz="6" w:space="0" w:color="000000"/>
            </w:tcBorders>
          </w:tcPr>
          <w:p>
            <w:pPr>
              <w:pStyle w:val="TableParagraph"/>
              <w:spacing w:line="252" w:lineRule="exact" w:before="1"/>
              <w:ind w:left="990"/>
              <w:rPr>
                <w:sz w:val="21"/>
              </w:rPr>
            </w:pPr>
            <w:r>
              <w:rPr>
                <w:spacing w:val="-1"/>
                <w:sz w:val="21"/>
              </w:rPr>
              <w:t>期末余额</w:t>
            </w:r>
            <w:r>
              <w:rPr>
                <w:sz w:val="21"/>
              </w:rPr>
              <w:t> </w:t>
            </w:r>
          </w:p>
        </w:tc>
        <w:tc>
          <w:tcPr>
            <w:tcW w:w="2772" w:type="dxa"/>
            <w:tcBorders>
              <w:left w:val="single" w:sz="6" w:space="0" w:color="000000"/>
              <w:bottom w:val="single" w:sz="6" w:space="0" w:color="000000"/>
            </w:tcBorders>
          </w:tcPr>
          <w:p>
            <w:pPr>
              <w:pStyle w:val="TableParagraph"/>
              <w:spacing w:line="252" w:lineRule="exact" w:before="1"/>
              <w:ind w:left="963"/>
              <w:rPr>
                <w:sz w:val="21"/>
              </w:rPr>
            </w:pPr>
            <w:r>
              <w:rPr>
                <w:spacing w:val="-1"/>
                <w:sz w:val="21"/>
              </w:rPr>
              <w:t>期初余额</w:t>
            </w:r>
            <w:r>
              <w:rPr>
                <w:sz w:val="21"/>
              </w:rPr>
              <w:t> </w:t>
            </w:r>
          </w:p>
        </w:tc>
      </w:tr>
      <w:tr>
        <w:trPr>
          <w:trHeight w:val="544" w:hRule="atLeast"/>
        </w:trPr>
        <w:tc>
          <w:tcPr>
            <w:tcW w:w="3219" w:type="dxa"/>
            <w:tcBorders>
              <w:top w:val="single" w:sz="6" w:space="0" w:color="000000"/>
              <w:bottom w:val="single" w:sz="6" w:space="0" w:color="000000"/>
              <w:right w:val="single" w:sz="6" w:space="0" w:color="000000"/>
            </w:tcBorders>
          </w:tcPr>
          <w:p>
            <w:pPr>
              <w:pStyle w:val="TableParagraph"/>
              <w:spacing w:before="1"/>
              <w:ind w:left="107"/>
              <w:rPr>
                <w:sz w:val="21"/>
              </w:rPr>
            </w:pPr>
            <w:r>
              <w:rPr>
                <w:spacing w:val="-1"/>
                <w:sz w:val="21"/>
              </w:rPr>
              <w:t>衍生金融负债-远期外汇合约-非</w:t>
            </w:r>
          </w:p>
          <w:p>
            <w:pPr>
              <w:pStyle w:val="TableParagraph"/>
              <w:spacing w:line="250" w:lineRule="exact" w:before="4"/>
              <w:ind w:left="107"/>
              <w:rPr>
                <w:sz w:val="21"/>
              </w:rPr>
            </w:pPr>
            <w:r>
              <w:rPr>
                <w:spacing w:val="-1"/>
                <w:sz w:val="21"/>
              </w:rPr>
              <w:t>套期工具</w:t>
            </w:r>
            <w:r>
              <w:rPr>
                <w:sz w:val="21"/>
              </w:rPr>
              <w:t> </w:t>
            </w:r>
          </w:p>
        </w:tc>
        <w:tc>
          <w:tcPr>
            <w:tcW w:w="2832"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3"/>
              <w:jc w:val="right"/>
              <w:rPr>
                <w:rFonts w:ascii="Times New Roman"/>
                <w:sz w:val="21"/>
              </w:rPr>
            </w:pPr>
            <w:r>
              <w:rPr>
                <w:rFonts w:ascii="Times New Roman"/>
                <w:sz w:val="21"/>
              </w:rPr>
              <w:t>102,072</w:t>
            </w:r>
          </w:p>
        </w:tc>
        <w:tc>
          <w:tcPr>
            <w:tcW w:w="2772" w:type="dxa"/>
            <w:tcBorders>
              <w:top w:val="single" w:sz="6" w:space="0" w:color="000000"/>
              <w:left w:val="single" w:sz="6" w:space="0" w:color="000000"/>
              <w:bottom w:val="single" w:sz="6" w:space="0" w:color="000000"/>
            </w:tcBorders>
          </w:tcPr>
          <w:p>
            <w:pPr>
              <w:pStyle w:val="TableParagraph"/>
              <w:spacing w:line="235" w:lineRule="exact"/>
              <w:ind w:right="92"/>
              <w:jc w:val="right"/>
              <w:rPr>
                <w:rFonts w:ascii="Times New Roman"/>
                <w:sz w:val="21"/>
              </w:rPr>
            </w:pPr>
            <w:r>
              <w:rPr>
                <w:rFonts w:ascii="Times New Roman"/>
                <w:sz w:val="21"/>
              </w:rPr>
              <w:t>13,889</w:t>
            </w:r>
          </w:p>
        </w:tc>
      </w:tr>
      <w:tr>
        <w:trPr>
          <w:trHeight w:val="273" w:hRule="atLeast"/>
        </w:trPr>
        <w:tc>
          <w:tcPr>
            <w:tcW w:w="321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w w:val="100"/>
                <w:sz w:val="21"/>
              </w:rPr>
              <w:t> </w:t>
            </w:r>
          </w:p>
        </w:tc>
        <w:tc>
          <w:tcPr>
            <w:tcW w:w="2832"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2772" w:type="dxa"/>
            <w:tcBorders>
              <w:top w:val="single" w:sz="6" w:space="0" w:color="000000"/>
              <w:left w:val="single" w:sz="6" w:space="0" w:color="000000"/>
              <w:bottom w:val="single" w:sz="6" w:space="0" w:color="000000"/>
            </w:tcBorders>
          </w:tcPr>
          <w:p>
            <w:pPr>
              <w:pStyle w:val="TableParagraph"/>
              <w:rPr>
                <w:rFonts w:ascii="Times New Roman"/>
                <w:sz w:val="20"/>
              </w:rPr>
            </w:pPr>
          </w:p>
        </w:tc>
      </w:tr>
      <w:tr>
        <w:trPr>
          <w:trHeight w:val="273" w:hRule="atLeast"/>
        </w:trPr>
        <w:tc>
          <w:tcPr>
            <w:tcW w:w="3219" w:type="dxa"/>
            <w:tcBorders>
              <w:top w:val="single" w:sz="6" w:space="0" w:color="000000"/>
              <w:right w:val="single" w:sz="6" w:space="0" w:color="000000"/>
            </w:tcBorders>
          </w:tcPr>
          <w:p>
            <w:pPr>
              <w:pStyle w:val="TableParagraph"/>
              <w:spacing w:line="252" w:lineRule="exact" w:before="1"/>
              <w:ind w:right="1282"/>
              <w:jc w:val="right"/>
              <w:rPr>
                <w:sz w:val="21"/>
              </w:rPr>
            </w:pPr>
            <w:r>
              <w:rPr>
                <w:sz w:val="21"/>
              </w:rPr>
              <w:t>合计 </w:t>
            </w:r>
          </w:p>
        </w:tc>
        <w:tc>
          <w:tcPr>
            <w:tcW w:w="2832" w:type="dxa"/>
            <w:tcBorders>
              <w:top w:val="single" w:sz="6" w:space="0" w:color="000000"/>
              <w:left w:val="single" w:sz="6" w:space="0" w:color="000000"/>
              <w:right w:val="single" w:sz="6" w:space="0" w:color="000000"/>
            </w:tcBorders>
          </w:tcPr>
          <w:p>
            <w:pPr>
              <w:pStyle w:val="TableParagraph"/>
              <w:spacing w:before="7"/>
              <w:ind w:right="93"/>
              <w:jc w:val="right"/>
              <w:rPr>
                <w:rFonts w:ascii="Times New Roman"/>
                <w:sz w:val="21"/>
              </w:rPr>
            </w:pPr>
            <w:r>
              <w:rPr>
                <w:rFonts w:ascii="Times New Roman"/>
                <w:sz w:val="21"/>
              </w:rPr>
              <w:t>102,072</w:t>
            </w:r>
          </w:p>
        </w:tc>
        <w:tc>
          <w:tcPr>
            <w:tcW w:w="2772" w:type="dxa"/>
            <w:tcBorders>
              <w:top w:val="single" w:sz="6" w:space="0" w:color="000000"/>
              <w:left w:val="single" w:sz="6" w:space="0" w:color="000000"/>
            </w:tcBorders>
          </w:tcPr>
          <w:p>
            <w:pPr>
              <w:pStyle w:val="TableParagraph"/>
              <w:spacing w:before="7"/>
              <w:ind w:right="92"/>
              <w:jc w:val="right"/>
              <w:rPr>
                <w:rFonts w:ascii="Times New Roman"/>
                <w:sz w:val="21"/>
              </w:rPr>
            </w:pPr>
            <w:r>
              <w:rPr>
                <w:rFonts w:ascii="Times New Roman"/>
                <w:sz w:val="21"/>
              </w:rPr>
              <w:t>13,889</w:t>
            </w:r>
          </w:p>
        </w:tc>
      </w:tr>
    </w:tbl>
    <w:p>
      <w:pPr>
        <w:spacing w:after="0"/>
        <w:jc w:val="right"/>
        <w:rPr>
          <w:rFonts w:ascii="Times New Roman"/>
          <w:sz w:val="21"/>
        </w:rPr>
        <w:sectPr>
          <w:type w:val="continuous"/>
          <w:pgSz w:w="11910" w:h="16840"/>
          <w:pgMar w:top="780" w:bottom="280" w:left="1480" w:right="0"/>
        </w:sectPr>
      </w:pPr>
    </w:p>
    <w:p>
      <w:pPr>
        <w:pStyle w:val="BodyText"/>
        <w:spacing w:line="242" w:lineRule="auto" w:before="1"/>
        <w:ind w:right="784"/>
      </w:pPr>
      <w:r>
        <w:rPr/>
        <w:t>其他说明:</w:t>
      </w:r>
      <w:r>
        <w:rPr>
          <w:spacing w:val="1"/>
        </w:rPr>
        <w:t> </w:t>
      </w:r>
      <w:r>
        <w:rPr/>
        <w:t>无 </w:t>
      </w:r>
    </w:p>
    <w:p>
      <w:pPr>
        <w:pStyle w:val="BodyText"/>
        <w:spacing w:before="1"/>
      </w:pPr>
      <w:r>
        <w:rPr>
          <w:w w:val="100"/>
        </w:rPr>
        <w:t> </w:t>
      </w:r>
    </w:p>
    <w:p>
      <w:pPr>
        <w:pStyle w:val="BodyText"/>
        <w:spacing w:before="2"/>
      </w:pPr>
      <w:r>
        <w:rPr>
          <w:w w:val="100"/>
        </w:rPr>
        <w:t> </w:t>
      </w:r>
    </w:p>
    <w:p>
      <w:pPr>
        <w:pStyle w:val="BodyText"/>
        <w:spacing w:line="295" w:lineRule="auto" w:before="65"/>
        <w:ind w:right="38"/>
      </w:pPr>
      <w:r>
        <w:rPr/>
        <w:t>35</w:t>
      </w:r>
      <w:r>
        <w:rPr>
          <w:spacing w:val="1"/>
        </w:rPr>
        <w:t>、 应付票据</w:t>
      </w:r>
      <w:r>
        <w:rPr/>
        <w:t>(1).应付票据列示 </w:t>
      </w:r>
    </w:p>
    <w:p>
      <w:pPr>
        <w:pStyle w:val="BodyText"/>
        <w:spacing w:before="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1"/>
        <w:ind w:left="0"/>
        <w:rPr>
          <w:sz w:val="22"/>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2156" w:space="4154"/>
            <w:col w:w="4120"/>
          </w:cols>
        </w:sectPr>
      </w:pPr>
    </w:p>
    <w:tbl>
      <w:tblPr>
        <w:tblW w:w="0" w:type="auto"/>
        <w:jc w:val="left"/>
        <w:tblInd w:w="3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93"/>
        <w:gridCol w:w="3310"/>
        <w:gridCol w:w="3217"/>
      </w:tblGrid>
      <w:tr>
        <w:trPr>
          <w:trHeight w:val="273" w:hRule="atLeast"/>
        </w:trPr>
        <w:tc>
          <w:tcPr>
            <w:tcW w:w="2293" w:type="dxa"/>
          </w:tcPr>
          <w:p>
            <w:pPr>
              <w:pStyle w:val="TableParagraph"/>
              <w:spacing w:line="250" w:lineRule="exact" w:before="3"/>
              <w:ind w:right="814"/>
              <w:jc w:val="right"/>
              <w:rPr>
                <w:sz w:val="21"/>
              </w:rPr>
            </w:pPr>
            <w:r>
              <w:rPr>
                <w:sz w:val="21"/>
              </w:rPr>
              <w:t>种类 </w:t>
            </w:r>
          </w:p>
        </w:tc>
        <w:tc>
          <w:tcPr>
            <w:tcW w:w="3310" w:type="dxa"/>
          </w:tcPr>
          <w:p>
            <w:pPr>
              <w:pStyle w:val="TableParagraph"/>
              <w:spacing w:line="250" w:lineRule="exact" w:before="3"/>
              <w:ind w:left="1267" w:right="1151"/>
              <w:jc w:val="center"/>
              <w:rPr>
                <w:sz w:val="21"/>
              </w:rPr>
            </w:pPr>
            <w:r>
              <w:rPr>
                <w:spacing w:val="-1"/>
                <w:sz w:val="21"/>
              </w:rPr>
              <w:t>期末余额</w:t>
            </w:r>
            <w:r>
              <w:rPr>
                <w:sz w:val="21"/>
              </w:rPr>
              <w:t> </w:t>
            </w:r>
          </w:p>
        </w:tc>
        <w:tc>
          <w:tcPr>
            <w:tcW w:w="3217" w:type="dxa"/>
          </w:tcPr>
          <w:p>
            <w:pPr>
              <w:pStyle w:val="TableParagraph"/>
              <w:spacing w:line="250" w:lineRule="exact" w:before="3"/>
              <w:ind w:left="1222" w:right="1104"/>
              <w:jc w:val="center"/>
              <w:rPr>
                <w:sz w:val="21"/>
              </w:rPr>
            </w:pPr>
            <w:r>
              <w:rPr>
                <w:spacing w:val="-1"/>
                <w:sz w:val="21"/>
              </w:rPr>
              <w:t>期初余额</w:t>
            </w:r>
            <w:r>
              <w:rPr>
                <w:sz w:val="21"/>
              </w:rPr>
              <w:t> </w:t>
            </w:r>
          </w:p>
        </w:tc>
      </w:tr>
      <w:tr>
        <w:trPr>
          <w:trHeight w:val="273" w:hRule="atLeast"/>
        </w:trPr>
        <w:tc>
          <w:tcPr>
            <w:tcW w:w="2293" w:type="dxa"/>
          </w:tcPr>
          <w:p>
            <w:pPr>
              <w:pStyle w:val="TableParagraph"/>
              <w:spacing w:line="253" w:lineRule="exact" w:before="1"/>
              <w:ind w:left="107"/>
              <w:rPr>
                <w:sz w:val="21"/>
              </w:rPr>
            </w:pPr>
            <w:r>
              <w:rPr>
                <w:spacing w:val="-1"/>
                <w:sz w:val="21"/>
              </w:rPr>
              <w:t>商业承兑汇票</w:t>
            </w:r>
            <w:r>
              <w:rPr>
                <w:sz w:val="21"/>
              </w:rPr>
              <w:t> </w:t>
            </w:r>
          </w:p>
        </w:tc>
        <w:tc>
          <w:tcPr>
            <w:tcW w:w="3310" w:type="dxa"/>
          </w:tcPr>
          <w:p>
            <w:pPr>
              <w:pStyle w:val="TableParagraph"/>
              <w:spacing w:line="253" w:lineRule="exact" w:before="1"/>
              <w:jc w:val="right"/>
              <w:rPr>
                <w:sz w:val="21"/>
              </w:rPr>
            </w:pPr>
            <w:r>
              <w:rPr>
                <w:w w:val="100"/>
                <w:sz w:val="21"/>
              </w:rPr>
              <w:t> </w:t>
            </w:r>
          </w:p>
        </w:tc>
        <w:tc>
          <w:tcPr>
            <w:tcW w:w="3217" w:type="dxa"/>
          </w:tcPr>
          <w:p>
            <w:pPr>
              <w:pStyle w:val="TableParagraph"/>
              <w:spacing w:line="253" w:lineRule="exact" w:before="1"/>
              <w:ind w:right="-15"/>
              <w:jc w:val="right"/>
              <w:rPr>
                <w:sz w:val="21"/>
              </w:rPr>
            </w:pPr>
            <w:r>
              <w:rPr>
                <w:w w:val="100"/>
                <w:sz w:val="21"/>
              </w:rPr>
              <w:t> </w:t>
            </w:r>
          </w:p>
        </w:tc>
      </w:tr>
      <w:tr>
        <w:trPr>
          <w:trHeight w:val="272" w:hRule="atLeast"/>
        </w:trPr>
        <w:tc>
          <w:tcPr>
            <w:tcW w:w="2293" w:type="dxa"/>
          </w:tcPr>
          <w:p>
            <w:pPr>
              <w:pStyle w:val="TableParagraph"/>
              <w:spacing w:line="252" w:lineRule="exact" w:before="1"/>
              <w:ind w:left="107"/>
              <w:rPr>
                <w:sz w:val="21"/>
              </w:rPr>
            </w:pPr>
            <w:r>
              <w:rPr>
                <w:spacing w:val="-1"/>
                <w:sz w:val="21"/>
              </w:rPr>
              <w:t>银行承兑汇票</w:t>
            </w:r>
            <w:r>
              <w:rPr>
                <w:sz w:val="21"/>
              </w:rPr>
              <w:t> </w:t>
            </w:r>
          </w:p>
        </w:tc>
        <w:tc>
          <w:tcPr>
            <w:tcW w:w="3310" w:type="dxa"/>
          </w:tcPr>
          <w:p>
            <w:pPr>
              <w:pStyle w:val="TableParagraph"/>
              <w:spacing w:line="252" w:lineRule="exact" w:before="1"/>
              <w:jc w:val="right"/>
              <w:rPr>
                <w:sz w:val="21"/>
              </w:rPr>
            </w:pPr>
            <w:r>
              <w:rPr>
                <w:w w:val="100"/>
                <w:sz w:val="21"/>
              </w:rPr>
              <w:t> </w:t>
            </w:r>
          </w:p>
        </w:tc>
        <w:tc>
          <w:tcPr>
            <w:tcW w:w="3217" w:type="dxa"/>
          </w:tcPr>
          <w:p>
            <w:pPr>
              <w:pStyle w:val="TableParagraph"/>
              <w:spacing w:line="235" w:lineRule="exact"/>
              <w:ind w:right="89"/>
              <w:jc w:val="right"/>
              <w:rPr>
                <w:rFonts w:ascii="Times New Roman"/>
                <w:sz w:val="21"/>
              </w:rPr>
            </w:pPr>
            <w:r>
              <w:rPr>
                <w:rFonts w:ascii="Times New Roman"/>
                <w:sz w:val="21"/>
              </w:rPr>
              <w:t>250,000</w:t>
            </w:r>
          </w:p>
        </w:tc>
      </w:tr>
      <w:tr>
        <w:trPr>
          <w:trHeight w:val="270" w:hRule="atLeast"/>
        </w:trPr>
        <w:tc>
          <w:tcPr>
            <w:tcW w:w="2293" w:type="dxa"/>
          </w:tcPr>
          <w:p>
            <w:pPr>
              <w:pStyle w:val="TableParagraph"/>
              <w:spacing w:line="250" w:lineRule="exact" w:before="1"/>
              <w:ind w:left="107"/>
              <w:rPr>
                <w:sz w:val="21"/>
              </w:rPr>
            </w:pPr>
            <w:r>
              <w:rPr>
                <w:w w:val="100"/>
                <w:sz w:val="21"/>
              </w:rPr>
              <w:t> </w:t>
            </w:r>
          </w:p>
        </w:tc>
        <w:tc>
          <w:tcPr>
            <w:tcW w:w="3310" w:type="dxa"/>
          </w:tcPr>
          <w:p>
            <w:pPr>
              <w:pStyle w:val="TableParagraph"/>
              <w:spacing w:line="250" w:lineRule="exact" w:before="1"/>
              <w:jc w:val="right"/>
              <w:rPr>
                <w:sz w:val="21"/>
              </w:rPr>
            </w:pPr>
            <w:r>
              <w:rPr>
                <w:w w:val="100"/>
                <w:sz w:val="21"/>
              </w:rPr>
              <w:t> </w:t>
            </w:r>
          </w:p>
        </w:tc>
        <w:tc>
          <w:tcPr>
            <w:tcW w:w="3217" w:type="dxa"/>
          </w:tcPr>
          <w:p>
            <w:pPr>
              <w:pStyle w:val="TableParagraph"/>
              <w:rPr>
                <w:rFonts w:ascii="Times New Roman"/>
                <w:sz w:val="20"/>
              </w:rPr>
            </w:pPr>
          </w:p>
        </w:tc>
      </w:tr>
      <w:tr>
        <w:trPr>
          <w:trHeight w:val="273" w:hRule="atLeast"/>
        </w:trPr>
        <w:tc>
          <w:tcPr>
            <w:tcW w:w="2293" w:type="dxa"/>
          </w:tcPr>
          <w:p>
            <w:pPr>
              <w:pStyle w:val="TableParagraph"/>
              <w:spacing w:line="250" w:lineRule="exact" w:before="3"/>
              <w:ind w:left="107"/>
              <w:rPr>
                <w:sz w:val="21"/>
              </w:rPr>
            </w:pPr>
            <w:r>
              <w:rPr>
                <w:w w:val="100"/>
                <w:sz w:val="21"/>
              </w:rPr>
              <w:t> </w:t>
            </w:r>
          </w:p>
        </w:tc>
        <w:tc>
          <w:tcPr>
            <w:tcW w:w="3310" w:type="dxa"/>
          </w:tcPr>
          <w:p>
            <w:pPr>
              <w:pStyle w:val="TableParagraph"/>
              <w:spacing w:line="250" w:lineRule="exact" w:before="3"/>
              <w:jc w:val="right"/>
              <w:rPr>
                <w:sz w:val="21"/>
              </w:rPr>
            </w:pPr>
            <w:r>
              <w:rPr>
                <w:w w:val="100"/>
                <w:sz w:val="21"/>
              </w:rPr>
              <w:t> </w:t>
            </w:r>
          </w:p>
        </w:tc>
        <w:tc>
          <w:tcPr>
            <w:tcW w:w="3217" w:type="dxa"/>
          </w:tcPr>
          <w:p>
            <w:pPr>
              <w:pStyle w:val="TableParagraph"/>
              <w:rPr>
                <w:rFonts w:ascii="Times New Roman"/>
                <w:sz w:val="20"/>
              </w:rPr>
            </w:pPr>
          </w:p>
        </w:tc>
      </w:tr>
      <w:tr>
        <w:trPr>
          <w:trHeight w:val="272" w:hRule="atLeast"/>
        </w:trPr>
        <w:tc>
          <w:tcPr>
            <w:tcW w:w="2293" w:type="dxa"/>
          </w:tcPr>
          <w:p>
            <w:pPr>
              <w:pStyle w:val="TableParagraph"/>
              <w:spacing w:line="252" w:lineRule="exact" w:before="1"/>
              <w:ind w:right="814"/>
              <w:jc w:val="right"/>
              <w:rPr>
                <w:sz w:val="21"/>
              </w:rPr>
            </w:pPr>
            <w:r>
              <w:rPr>
                <w:sz w:val="21"/>
              </w:rPr>
              <w:t>合计 </w:t>
            </w:r>
          </w:p>
        </w:tc>
        <w:tc>
          <w:tcPr>
            <w:tcW w:w="3310" w:type="dxa"/>
          </w:tcPr>
          <w:p>
            <w:pPr>
              <w:pStyle w:val="TableParagraph"/>
              <w:spacing w:line="252" w:lineRule="exact" w:before="1"/>
              <w:ind w:right="-15"/>
              <w:jc w:val="right"/>
              <w:rPr>
                <w:sz w:val="21"/>
              </w:rPr>
            </w:pPr>
            <w:r>
              <w:rPr>
                <w:sz w:val="21"/>
              </w:rPr>
              <w:t>- </w:t>
            </w:r>
          </w:p>
        </w:tc>
        <w:tc>
          <w:tcPr>
            <w:tcW w:w="3217" w:type="dxa"/>
          </w:tcPr>
          <w:p>
            <w:pPr>
              <w:pStyle w:val="TableParagraph"/>
              <w:spacing w:line="235" w:lineRule="exact"/>
              <w:ind w:right="89"/>
              <w:jc w:val="right"/>
              <w:rPr>
                <w:rFonts w:ascii="Times New Roman"/>
                <w:sz w:val="21"/>
              </w:rPr>
            </w:pPr>
            <w:r>
              <w:rPr>
                <w:rFonts w:ascii="Times New Roman"/>
                <w:sz w:val="21"/>
              </w:rPr>
              <w:t>250,000</w:t>
            </w:r>
          </w:p>
        </w:tc>
      </w:tr>
    </w:tbl>
    <w:p>
      <w:pPr>
        <w:pStyle w:val="BodyText"/>
        <w:spacing w:before="1"/>
      </w:pPr>
      <w:r>
        <w:rPr>
          <w:spacing w:val="-4"/>
        </w:rPr>
        <w:t>本期末已到期未支付的应付票据总额为 </w:t>
      </w:r>
      <w:r>
        <w:rPr/>
        <w:t>0 元。 </w:t>
      </w:r>
    </w:p>
    <w:p>
      <w:pPr>
        <w:pStyle w:val="BodyText"/>
        <w:spacing w:before="4"/>
      </w:pPr>
      <w:r>
        <w:rPr>
          <w:w w:val="100"/>
        </w:rPr>
        <w:t> </w:t>
      </w:r>
    </w:p>
    <w:p>
      <w:pPr>
        <w:pStyle w:val="BodyText"/>
        <w:spacing w:line="297" w:lineRule="auto" w:before="63"/>
        <w:ind w:right="8308"/>
      </w:pPr>
      <w:r>
        <w:rPr/>
        <w:t>36</w:t>
      </w:r>
      <w:r>
        <w:rPr>
          <w:spacing w:val="2"/>
        </w:rPr>
        <w:t>、 应付账款</w:t>
      </w:r>
      <w:r>
        <w:rPr/>
        <w:t>(1).应付账款列示 </w:t>
      </w:r>
    </w:p>
    <w:p>
      <w:pPr>
        <w:pStyle w:val="BodyText"/>
        <w:spacing w:line="267" w:lineRule="exact"/>
      </w:pPr>
      <w:r>
        <w:rPr>
          <w:spacing w:val="-1"/>
        </w:rPr>
        <w:t>√适用 □不适用</w:t>
      </w:r>
      <w:r>
        <w:rPr>
          <w:spacing w:val="-3"/>
        </w:rPr>
        <w:t> </w:t>
      </w:r>
      <w:r>
        <w:rPr/>
        <w:t> </w:t>
      </w:r>
    </w:p>
    <w:p>
      <w:pPr>
        <w:spacing w:after="0" w:line="267" w:lineRule="exact"/>
        <w:sectPr>
          <w:type w:val="continuous"/>
          <w:pgSz w:w="11910" w:h="16840"/>
          <w:pgMar w:top="780" w:bottom="280" w:left="1480" w:right="0"/>
        </w:sectPr>
      </w:pPr>
    </w:p>
    <w:p>
      <w:pPr>
        <w:pStyle w:val="BodyText"/>
        <w:spacing w:before="7"/>
        <w:ind w:left="0"/>
        <w:rPr>
          <w:sz w:val="25"/>
        </w:rPr>
      </w:pPr>
    </w:p>
    <w:p>
      <w:pPr>
        <w:pStyle w:val="BodyText"/>
        <w:spacing w:before="7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73"/>
        <w:gridCol w:w="2794"/>
        <w:gridCol w:w="3257"/>
      </w:tblGrid>
      <w:tr>
        <w:trPr>
          <w:trHeight w:val="273" w:hRule="atLeast"/>
        </w:trPr>
        <w:tc>
          <w:tcPr>
            <w:tcW w:w="2773" w:type="dxa"/>
          </w:tcPr>
          <w:p>
            <w:pPr>
              <w:pStyle w:val="TableParagraph"/>
              <w:spacing w:line="252" w:lineRule="exact" w:before="1"/>
              <w:ind w:right="1059"/>
              <w:jc w:val="right"/>
              <w:rPr>
                <w:sz w:val="21"/>
              </w:rPr>
            </w:pPr>
            <w:r>
              <w:rPr>
                <w:sz w:val="21"/>
              </w:rPr>
              <w:t>项目 </w:t>
            </w:r>
          </w:p>
        </w:tc>
        <w:tc>
          <w:tcPr>
            <w:tcW w:w="2794" w:type="dxa"/>
          </w:tcPr>
          <w:p>
            <w:pPr>
              <w:pStyle w:val="TableParagraph"/>
              <w:spacing w:line="252" w:lineRule="exact" w:before="1"/>
              <w:ind w:left="973"/>
              <w:rPr>
                <w:sz w:val="21"/>
              </w:rPr>
            </w:pPr>
            <w:r>
              <w:rPr>
                <w:spacing w:val="-1"/>
                <w:sz w:val="21"/>
              </w:rPr>
              <w:t>期末余额</w:t>
            </w:r>
            <w:r>
              <w:rPr>
                <w:sz w:val="21"/>
              </w:rPr>
              <w:t> </w:t>
            </w:r>
          </w:p>
        </w:tc>
        <w:tc>
          <w:tcPr>
            <w:tcW w:w="3257" w:type="dxa"/>
          </w:tcPr>
          <w:p>
            <w:pPr>
              <w:pStyle w:val="TableParagraph"/>
              <w:spacing w:line="252" w:lineRule="exact" w:before="1"/>
              <w:ind w:left="1241" w:right="1129"/>
              <w:jc w:val="center"/>
              <w:rPr>
                <w:sz w:val="21"/>
              </w:rPr>
            </w:pPr>
            <w:r>
              <w:rPr>
                <w:spacing w:val="-1"/>
                <w:sz w:val="21"/>
              </w:rPr>
              <w:t>期初余额</w:t>
            </w:r>
            <w:r>
              <w:rPr>
                <w:sz w:val="21"/>
              </w:rPr>
              <w:t> </w:t>
            </w:r>
          </w:p>
        </w:tc>
      </w:tr>
      <w:tr>
        <w:trPr>
          <w:trHeight w:val="270" w:hRule="atLeast"/>
        </w:trPr>
        <w:tc>
          <w:tcPr>
            <w:tcW w:w="2773" w:type="dxa"/>
          </w:tcPr>
          <w:p>
            <w:pPr>
              <w:pStyle w:val="TableParagraph"/>
              <w:spacing w:line="250" w:lineRule="exact" w:before="1"/>
              <w:ind w:left="107"/>
              <w:rPr>
                <w:sz w:val="21"/>
              </w:rPr>
            </w:pPr>
            <w:r>
              <w:rPr>
                <w:spacing w:val="-1"/>
                <w:sz w:val="21"/>
              </w:rPr>
              <w:t>应付账款</w:t>
            </w:r>
            <w:r>
              <w:rPr>
                <w:sz w:val="21"/>
              </w:rPr>
              <w:t> </w:t>
            </w:r>
          </w:p>
        </w:tc>
        <w:tc>
          <w:tcPr>
            <w:tcW w:w="2794" w:type="dxa"/>
          </w:tcPr>
          <w:p>
            <w:pPr>
              <w:pStyle w:val="TableParagraph"/>
              <w:spacing w:line="235" w:lineRule="exact"/>
              <w:ind w:right="94"/>
              <w:jc w:val="right"/>
              <w:rPr>
                <w:rFonts w:ascii="Times New Roman"/>
                <w:sz w:val="21"/>
              </w:rPr>
            </w:pPr>
            <w:r>
              <w:rPr>
                <w:rFonts w:ascii="Times New Roman"/>
                <w:sz w:val="21"/>
              </w:rPr>
              <w:t>69,278,939</w:t>
            </w:r>
          </w:p>
        </w:tc>
        <w:tc>
          <w:tcPr>
            <w:tcW w:w="3257" w:type="dxa"/>
          </w:tcPr>
          <w:p>
            <w:pPr>
              <w:pStyle w:val="TableParagraph"/>
              <w:spacing w:line="235" w:lineRule="exact"/>
              <w:ind w:right="93"/>
              <w:jc w:val="right"/>
              <w:rPr>
                <w:rFonts w:ascii="Times New Roman"/>
                <w:sz w:val="21"/>
              </w:rPr>
            </w:pPr>
            <w:r>
              <w:rPr>
                <w:rFonts w:ascii="Times New Roman"/>
                <w:sz w:val="21"/>
              </w:rPr>
              <w:t>71,736,730</w:t>
            </w:r>
          </w:p>
        </w:tc>
      </w:tr>
      <w:tr>
        <w:trPr>
          <w:trHeight w:val="273" w:hRule="atLeast"/>
        </w:trPr>
        <w:tc>
          <w:tcPr>
            <w:tcW w:w="2773" w:type="dxa"/>
          </w:tcPr>
          <w:p>
            <w:pPr>
              <w:pStyle w:val="TableParagraph"/>
              <w:spacing w:line="252" w:lineRule="exact" w:before="1"/>
              <w:ind w:left="107"/>
              <w:rPr>
                <w:sz w:val="21"/>
              </w:rPr>
            </w:pPr>
            <w:r>
              <w:rPr>
                <w:w w:val="100"/>
                <w:sz w:val="21"/>
              </w:rPr>
              <w:t> </w:t>
            </w:r>
          </w:p>
        </w:tc>
        <w:tc>
          <w:tcPr>
            <w:tcW w:w="2794" w:type="dxa"/>
          </w:tcPr>
          <w:p>
            <w:pPr>
              <w:pStyle w:val="TableParagraph"/>
              <w:rPr>
                <w:rFonts w:ascii="Times New Roman"/>
                <w:sz w:val="20"/>
              </w:rPr>
            </w:pPr>
          </w:p>
        </w:tc>
        <w:tc>
          <w:tcPr>
            <w:tcW w:w="3257" w:type="dxa"/>
          </w:tcPr>
          <w:p>
            <w:pPr>
              <w:pStyle w:val="TableParagraph"/>
              <w:rPr>
                <w:rFonts w:ascii="Times New Roman"/>
                <w:sz w:val="20"/>
              </w:rPr>
            </w:pPr>
          </w:p>
        </w:tc>
      </w:tr>
      <w:tr>
        <w:trPr>
          <w:trHeight w:val="273" w:hRule="atLeast"/>
        </w:trPr>
        <w:tc>
          <w:tcPr>
            <w:tcW w:w="2773" w:type="dxa"/>
          </w:tcPr>
          <w:p>
            <w:pPr>
              <w:pStyle w:val="TableParagraph"/>
              <w:spacing w:line="252" w:lineRule="exact" w:before="1"/>
              <w:ind w:right="1059"/>
              <w:jc w:val="right"/>
              <w:rPr>
                <w:sz w:val="21"/>
              </w:rPr>
            </w:pPr>
            <w:r>
              <w:rPr>
                <w:sz w:val="21"/>
              </w:rPr>
              <w:t>合计 </w:t>
            </w:r>
          </w:p>
        </w:tc>
        <w:tc>
          <w:tcPr>
            <w:tcW w:w="2794" w:type="dxa"/>
          </w:tcPr>
          <w:p>
            <w:pPr>
              <w:pStyle w:val="TableParagraph"/>
              <w:spacing w:before="7"/>
              <w:ind w:right="94"/>
              <w:jc w:val="right"/>
              <w:rPr>
                <w:rFonts w:ascii="Times New Roman"/>
                <w:sz w:val="21"/>
              </w:rPr>
            </w:pPr>
            <w:r>
              <w:rPr>
                <w:rFonts w:ascii="Times New Roman"/>
                <w:sz w:val="21"/>
              </w:rPr>
              <w:t>69,278,939</w:t>
            </w:r>
          </w:p>
        </w:tc>
        <w:tc>
          <w:tcPr>
            <w:tcW w:w="3257" w:type="dxa"/>
          </w:tcPr>
          <w:p>
            <w:pPr>
              <w:pStyle w:val="TableParagraph"/>
              <w:spacing w:before="7"/>
              <w:ind w:right="93"/>
              <w:jc w:val="right"/>
              <w:rPr>
                <w:rFonts w:ascii="Times New Roman"/>
                <w:sz w:val="21"/>
              </w:rPr>
            </w:pPr>
            <w:r>
              <w:rPr>
                <w:rFonts w:ascii="Times New Roman"/>
                <w:sz w:val="21"/>
              </w:rPr>
              <w:t>71,736,730</w:t>
            </w:r>
          </w:p>
        </w:tc>
      </w:tr>
    </w:tbl>
    <w:p>
      <w:pPr>
        <w:pStyle w:val="BodyText"/>
        <w:spacing w:before="1"/>
      </w:pPr>
      <w:r>
        <w:rPr>
          <w:w w:val="100"/>
        </w:rPr>
        <w:t> </w:t>
      </w:r>
    </w:p>
    <w:p>
      <w:pPr>
        <w:pStyle w:val="BodyText"/>
        <w:spacing w:before="62"/>
      </w:pPr>
      <w:r>
        <w:rPr/>
        <w:t>(2)</w:t>
      </w:r>
      <w:r>
        <w:rPr>
          <w:spacing w:val="-8"/>
        </w:rPr>
        <w:t>.账龄超过 </w:t>
      </w:r>
      <w:r>
        <w:rPr/>
        <w:t>1</w:t>
      </w:r>
      <w:r>
        <w:rPr>
          <w:spacing w:val="-7"/>
        </w:rPr>
        <w:t> 年的重要应付账款 </w:t>
      </w:r>
    </w:p>
    <w:p>
      <w:pPr>
        <w:pStyle w:val="BodyText"/>
        <w:spacing w:line="242" w:lineRule="auto" w:before="65"/>
        <w:ind w:right="8320"/>
      </w:pPr>
      <w:r>
        <w:rPr/>
        <w:t>□适用 √不适用其他说明 </w:t>
      </w:r>
    </w:p>
    <w:p>
      <w:pPr>
        <w:pStyle w:val="BodyText"/>
        <w:spacing w:before="1"/>
      </w:pPr>
      <w:r>
        <w:rPr>
          <w:spacing w:val="-1"/>
        </w:rPr>
        <w:t>√适用 □不适用</w:t>
      </w:r>
      <w:r>
        <w:rPr>
          <w:spacing w:val="-3"/>
        </w:rPr>
        <w:t> </w:t>
      </w:r>
      <w:r>
        <w:rPr/>
        <w:t> </w:t>
      </w:r>
    </w:p>
    <w:p>
      <w:pPr>
        <w:pStyle w:val="BodyText"/>
        <w:spacing w:line="242" w:lineRule="auto" w:before="2"/>
        <w:ind w:right="1282"/>
      </w:pPr>
      <w:r>
        <w:rPr>
          <w:spacing w:val="-27"/>
        </w:rPr>
        <w:t>于 </w:t>
      </w:r>
      <w:r>
        <w:rPr/>
        <w:t>2022</w:t>
      </w:r>
      <w:r>
        <w:rPr>
          <w:spacing w:val="-36"/>
        </w:rPr>
        <w:t> 年 </w:t>
      </w:r>
      <w:r>
        <w:rPr/>
        <w:t>12</w:t>
      </w:r>
      <w:r>
        <w:rPr>
          <w:spacing w:val="-36"/>
        </w:rPr>
        <w:t> 月 </w:t>
      </w:r>
      <w:r>
        <w:rPr/>
        <w:t>31</w:t>
      </w:r>
      <w:r>
        <w:rPr>
          <w:spacing w:val="-11"/>
        </w:rPr>
        <w:t> 日，账龄超过一年的应付账款为 </w:t>
      </w:r>
      <w:r>
        <w:rPr/>
        <w:t>68,798</w:t>
      </w:r>
      <w:r>
        <w:rPr>
          <w:spacing w:val="-18"/>
        </w:rPr>
        <w:t> 千元</w:t>
      </w:r>
      <w:r>
        <w:rPr/>
        <w:t>(2021</w:t>
      </w:r>
      <w:r>
        <w:rPr>
          <w:spacing w:val="-36"/>
        </w:rPr>
        <w:t> 年 </w:t>
      </w:r>
      <w:r>
        <w:rPr/>
        <w:t>12</w:t>
      </w:r>
      <w:r>
        <w:rPr>
          <w:spacing w:val="-36"/>
        </w:rPr>
        <w:t> 月 </w:t>
      </w:r>
      <w:r>
        <w:rPr/>
        <w:t>31</w:t>
      </w:r>
      <w:r>
        <w:rPr>
          <w:spacing w:val="-18"/>
        </w:rPr>
        <w:t> 日：</w:t>
      </w:r>
      <w:r>
        <w:rPr/>
        <w:t>42,529</w:t>
      </w:r>
      <w:r>
        <w:rPr>
          <w:spacing w:val="-27"/>
        </w:rPr>
        <w:t> 千</w:t>
      </w:r>
      <w:r>
        <w:rPr/>
        <w:t>元)，主要为应付材料款，由于材料质量问题有争议，该款项尚未进行最后清算。 </w:t>
      </w:r>
    </w:p>
    <w:p>
      <w:pPr>
        <w:pStyle w:val="BodyText"/>
        <w:spacing w:before="1"/>
      </w:pPr>
      <w:r>
        <w:rPr>
          <w:w w:val="100"/>
        </w:rPr>
        <w:t> </w:t>
      </w:r>
    </w:p>
    <w:p>
      <w:pPr>
        <w:pStyle w:val="BodyText"/>
        <w:spacing w:before="63"/>
      </w:pPr>
      <w:r>
        <w:rPr/>
        <w:t>37</w:t>
      </w:r>
      <w:r>
        <w:rPr>
          <w:spacing w:val="-5"/>
        </w:rPr>
        <w:t>、 预收款项</w:t>
      </w:r>
      <w:r>
        <w:rPr/>
        <w:t> </w:t>
      </w:r>
    </w:p>
    <w:p>
      <w:pPr>
        <w:pStyle w:val="ListParagraph"/>
        <w:numPr>
          <w:ilvl w:val="0"/>
          <w:numId w:val="72"/>
        </w:numPr>
        <w:tabs>
          <w:tab w:pos="742" w:val="left" w:leader="none"/>
        </w:tabs>
        <w:spacing w:line="240" w:lineRule="auto" w:before="65" w:after="0"/>
        <w:ind w:left="741" w:right="0" w:hanging="424"/>
        <w:jc w:val="left"/>
        <w:rPr>
          <w:sz w:val="21"/>
        </w:rPr>
      </w:pPr>
      <w:r>
        <w:rPr>
          <w:sz w:val="21"/>
        </w:rPr>
        <w:t>预收账款项列示 </w:t>
      </w:r>
    </w:p>
    <w:p>
      <w:pPr>
        <w:pStyle w:val="BodyText"/>
        <w:spacing w:before="62"/>
      </w:pPr>
      <w:r>
        <w:rPr>
          <w:spacing w:val="-1"/>
        </w:rPr>
        <w:t>□适用 √不适用</w:t>
      </w:r>
      <w:r>
        <w:rPr>
          <w:spacing w:val="-3"/>
        </w:rPr>
        <w:t> </w:t>
      </w:r>
      <w:r>
        <w:rPr/>
        <w:t> </w:t>
      </w:r>
    </w:p>
    <w:p>
      <w:pPr>
        <w:pStyle w:val="ListParagraph"/>
        <w:numPr>
          <w:ilvl w:val="0"/>
          <w:numId w:val="72"/>
        </w:numPr>
        <w:tabs>
          <w:tab w:pos="742" w:val="left" w:leader="none"/>
        </w:tabs>
        <w:spacing w:line="240" w:lineRule="auto" w:before="64" w:after="0"/>
        <w:ind w:left="741" w:right="0" w:hanging="424"/>
        <w:jc w:val="left"/>
        <w:rPr>
          <w:sz w:val="21"/>
        </w:rPr>
      </w:pPr>
      <w:r>
        <w:rPr>
          <w:spacing w:val="-10"/>
          <w:sz w:val="21"/>
        </w:rPr>
        <w:t>账龄超过 </w:t>
      </w:r>
      <w:r>
        <w:rPr>
          <w:sz w:val="21"/>
        </w:rPr>
        <w:t>1</w:t>
      </w:r>
      <w:r>
        <w:rPr>
          <w:spacing w:val="-7"/>
          <w:sz w:val="21"/>
        </w:rPr>
        <w:t> 年的重要预收款项 </w:t>
      </w:r>
    </w:p>
    <w:p>
      <w:pPr>
        <w:pStyle w:val="BodyText"/>
        <w:spacing w:line="244" w:lineRule="auto" w:before="62"/>
        <w:ind w:right="8320"/>
      </w:pPr>
      <w:r>
        <w:rPr/>
        <w:t>□适用 √不适用其他说明 </w:t>
      </w:r>
    </w:p>
    <w:p>
      <w:pPr>
        <w:pStyle w:val="BodyText"/>
        <w:spacing w:line="265" w:lineRule="exact"/>
      </w:pPr>
      <w:r>
        <w:rPr>
          <w:spacing w:val="-1"/>
        </w:rPr>
        <w:t>□适用 √不适用</w:t>
      </w:r>
      <w:r>
        <w:rPr>
          <w:spacing w:val="-3"/>
        </w:rPr>
        <w:t> </w:t>
      </w:r>
      <w:r>
        <w:rPr/>
        <w:t> </w:t>
      </w:r>
    </w:p>
    <w:p>
      <w:pPr>
        <w:pStyle w:val="BodyText"/>
        <w:spacing w:before="5"/>
      </w:pPr>
      <w:r>
        <w:rPr>
          <w:w w:val="100"/>
        </w:rPr>
        <w:t> </w:t>
      </w:r>
    </w:p>
    <w:p>
      <w:pPr>
        <w:pStyle w:val="BodyText"/>
        <w:spacing w:line="297" w:lineRule="auto" w:before="62"/>
        <w:ind w:right="8311"/>
      </w:pPr>
      <w:r>
        <w:rPr/>
        <w:t>38</w:t>
      </w:r>
      <w:r>
        <w:rPr>
          <w:spacing w:val="1"/>
        </w:rPr>
        <w:t>、 合同负债</w:t>
      </w:r>
      <w:r>
        <w:rPr/>
        <w:t>(1).合同负债情况 </w:t>
      </w:r>
    </w:p>
    <w:p>
      <w:pPr>
        <w:pStyle w:val="BodyText"/>
        <w:spacing w:line="267" w:lineRule="exact"/>
      </w:pPr>
      <w:r>
        <w:rPr>
          <w:spacing w:val="-1"/>
        </w:rPr>
        <w:t>√适用 □不适用</w:t>
      </w:r>
      <w:r>
        <w:rPr>
          <w:spacing w:val="-3"/>
        </w:rPr>
        <w:t> </w:t>
      </w:r>
      <w:r>
        <w:rPr/>
        <w:t> </w:t>
      </w:r>
    </w:p>
    <w:p>
      <w:pPr>
        <w:pStyle w:val="BodyText"/>
        <w:spacing w:before="5"/>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25"/>
        <w:gridCol w:w="3002"/>
        <w:gridCol w:w="2995"/>
      </w:tblGrid>
      <w:tr>
        <w:trPr>
          <w:trHeight w:val="273" w:hRule="atLeast"/>
        </w:trPr>
        <w:tc>
          <w:tcPr>
            <w:tcW w:w="2825" w:type="dxa"/>
          </w:tcPr>
          <w:p>
            <w:pPr>
              <w:pStyle w:val="TableParagraph"/>
              <w:spacing w:line="252" w:lineRule="exact" w:before="1"/>
              <w:ind w:right="1085"/>
              <w:jc w:val="right"/>
              <w:rPr>
                <w:sz w:val="21"/>
              </w:rPr>
            </w:pPr>
            <w:r>
              <w:rPr>
                <w:sz w:val="21"/>
              </w:rPr>
              <w:t>项目 </w:t>
            </w:r>
          </w:p>
        </w:tc>
        <w:tc>
          <w:tcPr>
            <w:tcW w:w="3002" w:type="dxa"/>
          </w:tcPr>
          <w:p>
            <w:pPr>
              <w:pStyle w:val="TableParagraph"/>
              <w:spacing w:line="252" w:lineRule="exact" w:before="1"/>
              <w:ind w:left="1080"/>
              <w:rPr>
                <w:sz w:val="21"/>
              </w:rPr>
            </w:pPr>
            <w:r>
              <w:rPr>
                <w:spacing w:val="-1"/>
                <w:sz w:val="21"/>
              </w:rPr>
              <w:t>期末余额</w:t>
            </w:r>
            <w:r>
              <w:rPr>
                <w:sz w:val="21"/>
              </w:rPr>
              <w:t> </w:t>
            </w:r>
          </w:p>
        </w:tc>
        <w:tc>
          <w:tcPr>
            <w:tcW w:w="2995" w:type="dxa"/>
          </w:tcPr>
          <w:p>
            <w:pPr>
              <w:pStyle w:val="TableParagraph"/>
              <w:spacing w:line="252" w:lineRule="exact" w:before="1"/>
              <w:ind w:left="1078"/>
              <w:rPr>
                <w:sz w:val="21"/>
              </w:rPr>
            </w:pPr>
            <w:r>
              <w:rPr>
                <w:spacing w:val="-1"/>
                <w:sz w:val="21"/>
              </w:rPr>
              <w:t>期初余额</w:t>
            </w:r>
            <w:r>
              <w:rPr>
                <w:sz w:val="21"/>
              </w:rPr>
              <w:t> </w:t>
            </w:r>
          </w:p>
        </w:tc>
      </w:tr>
      <w:tr>
        <w:trPr>
          <w:trHeight w:val="270" w:hRule="atLeast"/>
        </w:trPr>
        <w:tc>
          <w:tcPr>
            <w:tcW w:w="2825" w:type="dxa"/>
          </w:tcPr>
          <w:p>
            <w:pPr>
              <w:pStyle w:val="TableParagraph"/>
              <w:spacing w:line="250" w:lineRule="exact" w:before="1"/>
              <w:ind w:left="107"/>
              <w:rPr>
                <w:sz w:val="21"/>
              </w:rPr>
            </w:pPr>
            <w:r>
              <w:rPr>
                <w:spacing w:val="-1"/>
                <w:sz w:val="21"/>
              </w:rPr>
              <w:t>预收货款</w:t>
            </w:r>
            <w:r>
              <w:rPr>
                <w:sz w:val="21"/>
              </w:rPr>
              <w:t> </w:t>
            </w:r>
          </w:p>
        </w:tc>
        <w:tc>
          <w:tcPr>
            <w:tcW w:w="3002" w:type="dxa"/>
          </w:tcPr>
          <w:p>
            <w:pPr>
              <w:pStyle w:val="TableParagraph"/>
              <w:spacing w:line="235" w:lineRule="exact"/>
              <w:ind w:right="92"/>
              <w:jc w:val="right"/>
              <w:rPr>
                <w:rFonts w:ascii="Times New Roman"/>
                <w:sz w:val="21"/>
              </w:rPr>
            </w:pPr>
            <w:r>
              <w:rPr>
                <w:rFonts w:ascii="Times New Roman"/>
                <w:sz w:val="21"/>
              </w:rPr>
              <w:t>160,955</w:t>
            </w:r>
          </w:p>
        </w:tc>
        <w:tc>
          <w:tcPr>
            <w:tcW w:w="2995" w:type="dxa"/>
          </w:tcPr>
          <w:p>
            <w:pPr>
              <w:pStyle w:val="TableParagraph"/>
              <w:spacing w:line="235" w:lineRule="exact"/>
              <w:ind w:right="91"/>
              <w:jc w:val="right"/>
              <w:rPr>
                <w:rFonts w:ascii="Times New Roman"/>
                <w:sz w:val="21"/>
              </w:rPr>
            </w:pPr>
            <w:r>
              <w:rPr>
                <w:rFonts w:ascii="Times New Roman"/>
                <w:sz w:val="21"/>
              </w:rPr>
              <w:t>88,561</w:t>
            </w:r>
          </w:p>
        </w:tc>
      </w:tr>
      <w:tr>
        <w:trPr>
          <w:trHeight w:val="273" w:hRule="atLeast"/>
        </w:trPr>
        <w:tc>
          <w:tcPr>
            <w:tcW w:w="2825" w:type="dxa"/>
          </w:tcPr>
          <w:p>
            <w:pPr>
              <w:pStyle w:val="TableParagraph"/>
              <w:spacing w:line="250" w:lineRule="exact" w:before="3"/>
              <w:ind w:left="107"/>
              <w:rPr>
                <w:sz w:val="21"/>
              </w:rPr>
            </w:pPr>
            <w:r>
              <w:rPr>
                <w:sz w:val="21"/>
              </w:rPr>
              <w:t>预收劳务费 </w:t>
            </w:r>
          </w:p>
        </w:tc>
        <w:tc>
          <w:tcPr>
            <w:tcW w:w="3002" w:type="dxa"/>
          </w:tcPr>
          <w:p>
            <w:pPr>
              <w:pStyle w:val="TableParagraph"/>
              <w:spacing w:line="237" w:lineRule="exact"/>
              <w:ind w:right="92"/>
              <w:jc w:val="right"/>
              <w:rPr>
                <w:rFonts w:ascii="Times New Roman"/>
                <w:sz w:val="21"/>
              </w:rPr>
            </w:pPr>
            <w:r>
              <w:rPr>
                <w:rFonts w:ascii="Times New Roman"/>
                <w:sz w:val="21"/>
              </w:rPr>
              <w:t>15,725</w:t>
            </w:r>
          </w:p>
        </w:tc>
        <w:tc>
          <w:tcPr>
            <w:tcW w:w="2995" w:type="dxa"/>
          </w:tcPr>
          <w:p>
            <w:pPr>
              <w:pStyle w:val="TableParagraph"/>
              <w:spacing w:line="237" w:lineRule="exact"/>
              <w:ind w:right="91"/>
              <w:jc w:val="right"/>
              <w:rPr>
                <w:rFonts w:ascii="Times New Roman"/>
                <w:sz w:val="21"/>
              </w:rPr>
            </w:pPr>
            <w:r>
              <w:rPr>
                <w:rFonts w:ascii="Times New Roman"/>
                <w:sz w:val="21"/>
              </w:rPr>
              <w:t>23,875</w:t>
            </w:r>
          </w:p>
        </w:tc>
      </w:tr>
      <w:tr>
        <w:trPr>
          <w:trHeight w:val="273" w:hRule="atLeast"/>
        </w:trPr>
        <w:tc>
          <w:tcPr>
            <w:tcW w:w="2825" w:type="dxa"/>
          </w:tcPr>
          <w:p>
            <w:pPr>
              <w:pStyle w:val="TableParagraph"/>
              <w:spacing w:line="252" w:lineRule="exact" w:before="1"/>
              <w:ind w:right="1085"/>
              <w:jc w:val="right"/>
              <w:rPr>
                <w:sz w:val="21"/>
              </w:rPr>
            </w:pPr>
            <w:r>
              <w:rPr>
                <w:sz w:val="21"/>
              </w:rPr>
              <w:t>合计 </w:t>
            </w:r>
          </w:p>
        </w:tc>
        <w:tc>
          <w:tcPr>
            <w:tcW w:w="3002" w:type="dxa"/>
          </w:tcPr>
          <w:p>
            <w:pPr>
              <w:pStyle w:val="TableParagraph"/>
              <w:spacing w:line="235" w:lineRule="exact"/>
              <w:ind w:right="92"/>
              <w:jc w:val="right"/>
              <w:rPr>
                <w:rFonts w:ascii="Times New Roman"/>
                <w:sz w:val="21"/>
              </w:rPr>
            </w:pPr>
            <w:r>
              <w:rPr>
                <w:rFonts w:ascii="Times New Roman"/>
                <w:sz w:val="21"/>
              </w:rPr>
              <w:t>176,680</w:t>
            </w:r>
          </w:p>
        </w:tc>
        <w:tc>
          <w:tcPr>
            <w:tcW w:w="2995" w:type="dxa"/>
          </w:tcPr>
          <w:p>
            <w:pPr>
              <w:pStyle w:val="TableParagraph"/>
              <w:spacing w:line="235" w:lineRule="exact"/>
              <w:ind w:right="91"/>
              <w:jc w:val="right"/>
              <w:rPr>
                <w:rFonts w:ascii="Times New Roman"/>
                <w:sz w:val="21"/>
              </w:rPr>
            </w:pPr>
            <w:r>
              <w:rPr>
                <w:rFonts w:ascii="Times New Roman"/>
                <w:sz w:val="21"/>
              </w:rPr>
              <w:t>112,436</w:t>
            </w:r>
          </w:p>
        </w:tc>
      </w:tr>
    </w:tbl>
    <w:p>
      <w:pPr>
        <w:pStyle w:val="BodyText"/>
        <w:spacing w:before="1"/>
      </w:pPr>
      <w:r>
        <w:rPr>
          <w:w w:val="100"/>
        </w:rPr>
        <w:t> </w:t>
      </w:r>
    </w:p>
    <w:p>
      <w:pPr>
        <w:pStyle w:val="BodyText"/>
        <w:spacing w:before="62"/>
      </w:pPr>
      <w:r>
        <w:rPr/>
        <w:t>(2).报告期内账面价值发生重大变动的金额和原因 </w:t>
      </w:r>
    </w:p>
    <w:p>
      <w:pPr>
        <w:pStyle w:val="BodyText"/>
        <w:spacing w:line="242" w:lineRule="auto" w:before="65"/>
        <w:ind w:right="8320"/>
      </w:pPr>
      <w:r>
        <w:rPr/>
        <w:t>□适用 √不适用其他说明： </w:t>
      </w:r>
    </w:p>
    <w:p>
      <w:pPr>
        <w:pStyle w:val="BodyText"/>
        <w:spacing w:before="1"/>
      </w:pPr>
      <w:r>
        <w:rPr>
          <w:spacing w:val="-1"/>
        </w:rPr>
        <w:t>√适用 □不适用</w:t>
      </w:r>
      <w:r>
        <w:rPr>
          <w:spacing w:val="-3"/>
        </w:rPr>
        <w:t> </w:t>
      </w:r>
      <w:r>
        <w:rPr/>
        <w:t> </w:t>
      </w:r>
    </w:p>
    <w:p>
      <w:pPr>
        <w:pStyle w:val="BodyText"/>
        <w:spacing w:line="244" w:lineRule="auto" w:before="2"/>
        <w:ind w:right="1282"/>
      </w:pPr>
      <w:r>
        <w:rPr>
          <w:spacing w:val="-27"/>
        </w:rPr>
        <w:t>于 </w:t>
      </w:r>
      <w:r>
        <w:rPr/>
        <w:t>2022</w:t>
      </w:r>
      <w:r>
        <w:rPr>
          <w:spacing w:val="-37"/>
        </w:rPr>
        <w:t> 年 </w:t>
      </w:r>
      <w:r>
        <w:rPr/>
        <w:t>1</w:t>
      </w:r>
      <w:r>
        <w:rPr>
          <w:spacing w:val="-37"/>
        </w:rPr>
        <w:t> 月 </w:t>
      </w:r>
      <w:r>
        <w:rPr/>
        <w:t>1</w:t>
      </w:r>
      <w:r>
        <w:rPr>
          <w:spacing w:val="-11"/>
        </w:rPr>
        <w:t> 日，本集团合同负债的余额为 </w:t>
      </w:r>
      <w:r>
        <w:rPr/>
        <w:t>112,436</w:t>
      </w:r>
      <w:r>
        <w:rPr>
          <w:spacing w:val="-17"/>
        </w:rPr>
        <w:t> 千元，其中 </w:t>
      </w:r>
      <w:r>
        <w:rPr/>
        <w:t>109,868</w:t>
      </w:r>
      <w:r>
        <w:rPr>
          <w:spacing w:val="-19"/>
        </w:rPr>
        <w:t> 千元已于 </w:t>
      </w:r>
      <w:r>
        <w:rPr/>
        <w:t>2022</w:t>
      </w:r>
      <w:r>
        <w:rPr>
          <w:spacing w:val="-19"/>
        </w:rPr>
        <w:t> 年度</w:t>
      </w:r>
      <w:r>
        <w:rPr/>
        <w:t>转入营业收入。 </w:t>
      </w:r>
    </w:p>
    <w:p>
      <w:pPr>
        <w:pStyle w:val="BodyText"/>
        <w:spacing w:line="265" w:lineRule="exact"/>
      </w:pPr>
      <w:r>
        <w:rPr>
          <w:w w:val="100"/>
        </w:rPr>
        <w:t> </w:t>
      </w:r>
    </w:p>
    <w:p>
      <w:pPr>
        <w:pStyle w:val="BodyText"/>
        <w:spacing w:line="295" w:lineRule="auto" w:before="65"/>
        <w:ind w:right="7888"/>
      </w:pPr>
      <w:r>
        <w:rPr/>
        <w:t>39、 应付职工薪酬(1).应付职工薪酬列示 </w:t>
      </w:r>
    </w:p>
    <w:p>
      <w:pPr>
        <w:pStyle w:val="BodyText"/>
        <w:spacing w:before="3"/>
      </w:pPr>
      <w:r>
        <w:rPr>
          <w:spacing w:val="-1"/>
        </w:rPr>
        <w:t>√适用 □不适用</w:t>
      </w:r>
      <w:r>
        <w:rPr>
          <w:spacing w:val="-3"/>
        </w:rPr>
        <w:t> </w:t>
      </w:r>
      <w:r>
        <w:rPr/>
        <w:t> </w:t>
      </w:r>
    </w:p>
    <w:p>
      <w:pPr>
        <w:pStyle w:val="BodyText"/>
        <w:spacing w:before="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0"/>
        <w:gridCol w:w="1142"/>
        <w:gridCol w:w="1279"/>
        <w:gridCol w:w="1139"/>
        <w:gridCol w:w="1141"/>
        <w:gridCol w:w="1283"/>
        <w:gridCol w:w="723"/>
      </w:tblGrid>
      <w:tr>
        <w:trPr>
          <w:trHeight w:val="544" w:hRule="atLeast"/>
        </w:trPr>
        <w:tc>
          <w:tcPr>
            <w:tcW w:w="2110" w:type="dxa"/>
          </w:tcPr>
          <w:p>
            <w:pPr>
              <w:pStyle w:val="TableParagraph"/>
              <w:spacing w:before="138"/>
              <w:ind w:left="877" w:right="763"/>
              <w:jc w:val="center"/>
              <w:rPr>
                <w:sz w:val="21"/>
              </w:rPr>
            </w:pPr>
            <w:r>
              <w:rPr>
                <w:sz w:val="21"/>
              </w:rPr>
              <w:t>项目 </w:t>
            </w:r>
          </w:p>
        </w:tc>
        <w:tc>
          <w:tcPr>
            <w:tcW w:w="1142" w:type="dxa"/>
          </w:tcPr>
          <w:p>
            <w:pPr>
              <w:pStyle w:val="TableParagraph"/>
              <w:spacing w:before="138"/>
              <w:ind w:right="33"/>
              <w:jc w:val="right"/>
              <w:rPr>
                <w:sz w:val="21"/>
              </w:rPr>
            </w:pPr>
            <w:r>
              <w:rPr>
                <w:spacing w:val="-1"/>
                <w:sz w:val="21"/>
              </w:rPr>
              <w:t>期初余额</w:t>
            </w:r>
            <w:r>
              <w:rPr>
                <w:sz w:val="21"/>
              </w:rPr>
              <w:t> </w:t>
            </w:r>
          </w:p>
        </w:tc>
        <w:tc>
          <w:tcPr>
            <w:tcW w:w="1279" w:type="dxa"/>
          </w:tcPr>
          <w:p>
            <w:pPr>
              <w:pStyle w:val="TableParagraph"/>
              <w:spacing w:before="1"/>
              <w:ind w:left="113"/>
              <w:rPr>
                <w:sz w:val="21"/>
              </w:rPr>
            </w:pPr>
            <w:r>
              <w:rPr>
                <w:sz w:val="21"/>
              </w:rPr>
              <w:t>非同一控制</w:t>
            </w:r>
          </w:p>
          <w:p>
            <w:pPr>
              <w:pStyle w:val="TableParagraph"/>
              <w:spacing w:line="252" w:lineRule="exact" w:before="2"/>
              <w:ind w:left="113" w:right="-15"/>
              <w:rPr>
                <w:sz w:val="21"/>
              </w:rPr>
            </w:pPr>
            <w:r>
              <w:rPr>
                <w:sz w:val="21"/>
              </w:rPr>
              <w:t>下企业合并 </w:t>
            </w:r>
          </w:p>
        </w:tc>
        <w:tc>
          <w:tcPr>
            <w:tcW w:w="1139" w:type="dxa"/>
          </w:tcPr>
          <w:p>
            <w:pPr>
              <w:pStyle w:val="TableParagraph"/>
              <w:spacing w:before="138"/>
              <w:ind w:right="34"/>
              <w:jc w:val="right"/>
              <w:rPr>
                <w:sz w:val="21"/>
              </w:rPr>
            </w:pPr>
            <w:r>
              <w:rPr>
                <w:spacing w:val="-1"/>
                <w:sz w:val="21"/>
              </w:rPr>
              <w:t>本期增加</w:t>
            </w:r>
            <w:r>
              <w:rPr>
                <w:sz w:val="21"/>
              </w:rPr>
              <w:t> </w:t>
            </w:r>
          </w:p>
        </w:tc>
        <w:tc>
          <w:tcPr>
            <w:tcW w:w="1141" w:type="dxa"/>
          </w:tcPr>
          <w:p>
            <w:pPr>
              <w:pStyle w:val="TableParagraph"/>
              <w:spacing w:before="138"/>
              <w:ind w:left="150"/>
              <w:rPr>
                <w:sz w:val="21"/>
              </w:rPr>
            </w:pPr>
            <w:r>
              <w:rPr>
                <w:spacing w:val="-1"/>
                <w:sz w:val="21"/>
              </w:rPr>
              <w:t>本期减少</w:t>
            </w:r>
            <w:r>
              <w:rPr>
                <w:sz w:val="21"/>
              </w:rPr>
              <w:t> </w:t>
            </w:r>
          </w:p>
        </w:tc>
        <w:tc>
          <w:tcPr>
            <w:tcW w:w="1283" w:type="dxa"/>
          </w:tcPr>
          <w:p>
            <w:pPr>
              <w:pStyle w:val="TableParagraph"/>
              <w:spacing w:before="1"/>
              <w:ind w:left="118"/>
              <w:rPr>
                <w:sz w:val="21"/>
              </w:rPr>
            </w:pPr>
            <w:r>
              <w:rPr>
                <w:sz w:val="21"/>
              </w:rPr>
              <w:t>外币报表折</w:t>
            </w:r>
          </w:p>
          <w:p>
            <w:pPr>
              <w:pStyle w:val="TableParagraph"/>
              <w:spacing w:line="252" w:lineRule="exact" w:before="2"/>
              <w:ind w:left="330"/>
              <w:rPr>
                <w:sz w:val="21"/>
              </w:rPr>
            </w:pPr>
            <w:r>
              <w:rPr>
                <w:sz w:val="21"/>
              </w:rPr>
              <w:t>算差异 </w:t>
            </w:r>
          </w:p>
        </w:tc>
        <w:tc>
          <w:tcPr>
            <w:tcW w:w="723" w:type="dxa"/>
          </w:tcPr>
          <w:p>
            <w:pPr>
              <w:pStyle w:val="TableParagraph"/>
              <w:spacing w:before="1"/>
              <w:ind w:left="156"/>
              <w:rPr>
                <w:sz w:val="21"/>
              </w:rPr>
            </w:pPr>
            <w:r>
              <w:rPr>
                <w:sz w:val="21"/>
              </w:rPr>
              <w:t>期末</w:t>
            </w:r>
          </w:p>
          <w:p>
            <w:pPr>
              <w:pStyle w:val="TableParagraph"/>
              <w:spacing w:line="252" w:lineRule="exact" w:before="2"/>
              <w:ind w:left="156"/>
              <w:rPr>
                <w:sz w:val="21"/>
              </w:rPr>
            </w:pPr>
            <w:r>
              <w:rPr>
                <w:spacing w:val="-1"/>
                <w:sz w:val="21"/>
              </w:rPr>
              <w:t>余额</w:t>
            </w:r>
            <w:r>
              <w:rPr>
                <w:sz w:val="21"/>
              </w:rPr>
              <w:t> </w:t>
            </w:r>
          </w:p>
        </w:tc>
      </w:tr>
      <w:tr>
        <w:trPr>
          <w:trHeight w:val="481" w:hRule="atLeast"/>
        </w:trPr>
        <w:tc>
          <w:tcPr>
            <w:tcW w:w="2110" w:type="dxa"/>
          </w:tcPr>
          <w:p>
            <w:pPr>
              <w:pStyle w:val="TableParagraph"/>
              <w:spacing w:before="1"/>
              <w:ind w:left="107"/>
              <w:rPr>
                <w:sz w:val="21"/>
              </w:rPr>
            </w:pPr>
            <w:r>
              <w:rPr>
                <w:spacing w:val="-1"/>
                <w:sz w:val="21"/>
              </w:rPr>
              <w:t>一、短期薪酬</w:t>
            </w:r>
            <w:r>
              <w:rPr>
                <w:sz w:val="21"/>
              </w:rPr>
              <w:t> </w:t>
            </w:r>
          </w:p>
        </w:tc>
        <w:tc>
          <w:tcPr>
            <w:tcW w:w="1142" w:type="dxa"/>
          </w:tcPr>
          <w:p>
            <w:pPr>
              <w:pStyle w:val="TableParagraph"/>
              <w:spacing w:before="113"/>
              <w:ind w:left="194"/>
              <w:rPr>
                <w:rFonts w:ascii="Times New Roman"/>
                <w:sz w:val="21"/>
              </w:rPr>
            </w:pPr>
            <w:r>
              <w:rPr>
                <w:rFonts w:ascii="Times New Roman"/>
                <w:sz w:val="21"/>
              </w:rPr>
              <w:t>4,815,400</w:t>
            </w:r>
          </w:p>
        </w:tc>
        <w:tc>
          <w:tcPr>
            <w:tcW w:w="1279" w:type="dxa"/>
          </w:tcPr>
          <w:p>
            <w:pPr>
              <w:pStyle w:val="TableParagraph"/>
              <w:spacing w:before="113"/>
              <w:ind w:right="93"/>
              <w:jc w:val="right"/>
              <w:rPr>
                <w:rFonts w:ascii="Times New Roman"/>
                <w:sz w:val="21"/>
              </w:rPr>
            </w:pPr>
            <w:r>
              <w:rPr>
                <w:rFonts w:ascii="Times New Roman"/>
                <w:sz w:val="21"/>
              </w:rPr>
              <w:t>1,772</w:t>
            </w:r>
          </w:p>
        </w:tc>
        <w:tc>
          <w:tcPr>
            <w:tcW w:w="1139" w:type="dxa"/>
          </w:tcPr>
          <w:p>
            <w:pPr>
              <w:pStyle w:val="TableParagraph"/>
              <w:spacing w:line="235" w:lineRule="exact"/>
              <w:ind w:right="94"/>
              <w:jc w:val="right"/>
              <w:rPr>
                <w:rFonts w:ascii="Times New Roman"/>
                <w:sz w:val="21"/>
              </w:rPr>
            </w:pPr>
            <w:r>
              <w:rPr>
                <w:rFonts w:ascii="Times New Roman"/>
                <w:sz w:val="21"/>
              </w:rPr>
              <w:t>23,758,31</w:t>
            </w:r>
          </w:p>
          <w:p>
            <w:pPr>
              <w:pStyle w:val="TableParagraph"/>
              <w:spacing w:line="226" w:lineRule="exact" w:before="1"/>
              <w:ind w:right="96"/>
              <w:jc w:val="right"/>
              <w:rPr>
                <w:rFonts w:ascii="Times New Roman"/>
                <w:sz w:val="21"/>
              </w:rPr>
            </w:pPr>
            <w:r>
              <w:rPr>
                <w:rFonts w:ascii="Times New Roman"/>
                <w:w w:val="100"/>
                <w:sz w:val="21"/>
              </w:rPr>
              <w:t>5</w:t>
            </w:r>
          </w:p>
        </w:tc>
        <w:tc>
          <w:tcPr>
            <w:tcW w:w="1141" w:type="dxa"/>
          </w:tcPr>
          <w:p>
            <w:pPr>
              <w:pStyle w:val="TableParagraph"/>
              <w:spacing w:line="235" w:lineRule="exact"/>
              <w:ind w:right="92"/>
              <w:jc w:val="right"/>
              <w:rPr>
                <w:rFonts w:ascii="Times New Roman"/>
                <w:sz w:val="21"/>
              </w:rPr>
            </w:pPr>
            <w:r>
              <w:rPr>
                <w:rFonts w:ascii="Times New Roman"/>
                <w:sz w:val="21"/>
              </w:rPr>
              <w:t>23,753,39</w:t>
            </w:r>
          </w:p>
          <w:p>
            <w:pPr>
              <w:pStyle w:val="TableParagraph"/>
              <w:spacing w:line="226" w:lineRule="exact" w:before="1"/>
              <w:ind w:right="95"/>
              <w:jc w:val="right"/>
              <w:rPr>
                <w:rFonts w:ascii="Times New Roman"/>
                <w:sz w:val="21"/>
              </w:rPr>
            </w:pPr>
            <w:r>
              <w:rPr>
                <w:rFonts w:ascii="Times New Roman"/>
                <w:w w:val="100"/>
                <w:sz w:val="21"/>
              </w:rPr>
              <w:t>4</w:t>
            </w:r>
          </w:p>
        </w:tc>
        <w:tc>
          <w:tcPr>
            <w:tcW w:w="1283" w:type="dxa"/>
          </w:tcPr>
          <w:p>
            <w:pPr>
              <w:pStyle w:val="TableParagraph"/>
              <w:spacing w:before="113"/>
              <w:ind w:right="88"/>
              <w:jc w:val="right"/>
              <w:rPr>
                <w:rFonts w:ascii="Times New Roman"/>
                <w:sz w:val="21"/>
              </w:rPr>
            </w:pPr>
            <w:r>
              <w:rPr>
                <w:rFonts w:ascii="Times New Roman"/>
                <w:sz w:val="21"/>
              </w:rPr>
              <w:t>55,705</w:t>
            </w:r>
          </w:p>
        </w:tc>
        <w:tc>
          <w:tcPr>
            <w:tcW w:w="723" w:type="dxa"/>
          </w:tcPr>
          <w:p>
            <w:pPr>
              <w:pStyle w:val="TableParagraph"/>
              <w:spacing w:line="235" w:lineRule="exact"/>
              <w:ind w:left="148"/>
              <w:rPr>
                <w:rFonts w:ascii="Times New Roman"/>
                <w:sz w:val="21"/>
              </w:rPr>
            </w:pPr>
            <w:r>
              <w:rPr>
                <w:rFonts w:ascii="Times New Roman"/>
                <w:sz w:val="21"/>
              </w:rPr>
              <w:t>4,877</w:t>
            </w:r>
          </w:p>
          <w:p>
            <w:pPr>
              <w:pStyle w:val="TableParagraph"/>
              <w:spacing w:line="226" w:lineRule="exact" w:before="1"/>
              <w:ind w:left="254"/>
              <w:rPr>
                <w:rFonts w:ascii="Times New Roman"/>
                <w:sz w:val="21"/>
              </w:rPr>
            </w:pPr>
            <w:r>
              <w:rPr>
                <w:rFonts w:ascii="Times New Roman"/>
                <w:sz w:val="21"/>
              </w:rPr>
              <w:t>,798</w:t>
            </w:r>
          </w:p>
        </w:tc>
      </w:tr>
      <w:tr>
        <w:trPr>
          <w:trHeight w:val="544" w:hRule="atLeast"/>
        </w:trPr>
        <w:tc>
          <w:tcPr>
            <w:tcW w:w="2110" w:type="dxa"/>
          </w:tcPr>
          <w:p>
            <w:pPr>
              <w:pStyle w:val="TableParagraph"/>
              <w:spacing w:before="1"/>
              <w:ind w:left="107"/>
              <w:rPr>
                <w:sz w:val="21"/>
              </w:rPr>
            </w:pPr>
            <w:r>
              <w:rPr>
                <w:sz w:val="21"/>
              </w:rPr>
              <w:t>二、离职后福利-设</w:t>
            </w:r>
          </w:p>
          <w:p>
            <w:pPr>
              <w:pStyle w:val="TableParagraph"/>
              <w:spacing w:line="250" w:lineRule="exact" w:before="4"/>
              <w:ind w:left="107"/>
              <w:rPr>
                <w:sz w:val="21"/>
              </w:rPr>
            </w:pPr>
            <w:r>
              <w:rPr>
                <w:sz w:val="21"/>
              </w:rPr>
              <w:t>定提存计划 </w:t>
            </w:r>
          </w:p>
        </w:tc>
        <w:tc>
          <w:tcPr>
            <w:tcW w:w="1142" w:type="dxa"/>
          </w:tcPr>
          <w:p>
            <w:pPr>
              <w:pStyle w:val="TableParagraph"/>
              <w:spacing w:before="144"/>
              <w:ind w:right="93"/>
              <w:jc w:val="right"/>
              <w:rPr>
                <w:rFonts w:ascii="Times New Roman"/>
                <w:sz w:val="21"/>
              </w:rPr>
            </w:pPr>
            <w:r>
              <w:rPr>
                <w:rFonts w:ascii="Times New Roman"/>
                <w:sz w:val="21"/>
              </w:rPr>
              <w:t>74,568</w:t>
            </w:r>
          </w:p>
        </w:tc>
        <w:tc>
          <w:tcPr>
            <w:tcW w:w="1279" w:type="dxa"/>
          </w:tcPr>
          <w:p>
            <w:pPr>
              <w:pStyle w:val="TableParagraph"/>
              <w:spacing w:before="144"/>
              <w:ind w:right="95"/>
              <w:jc w:val="right"/>
              <w:rPr>
                <w:rFonts w:ascii="Times New Roman"/>
                <w:sz w:val="21"/>
              </w:rPr>
            </w:pPr>
            <w:r>
              <w:rPr>
                <w:rFonts w:ascii="Times New Roman"/>
                <w:sz w:val="21"/>
              </w:rPr>
              <w:t>38</w:t>
            </w:r>
          </w:p>
        </w:tc>
        <w:tc>
          <w:tcPr>
            <w:tcW w:w="1139" w:type="dxa"/>
          </w:tcPr>
          <w:p>
            <w:pPr>
              <w:pStyle w:val="TableParagraph"/>
              <w:spacing w:before="144"/>
              <w:ind w:right="94"/>
              <w:jc w:val="right"/>
              <w:rPr>
                <w:rFonts w:ascii="Times New Roman"/>
                <w:sz w:val="21"/>
              </w:rPr>
            </w:pPr>
            <w:r>
              <w:rPr>
                <w:rFonts w:ascii="Times New Roman"/>
                <w:sz w:val="21"/>
              </w:rPr>
              <w:t>1,601,053</w:t>
            </w:r>
          </w:p>
        </w:tc>
        <w:tc>
          <w:tcPr>
            <w:tcW w:w="1141" w:type="dxa"/>
          </w:tcPr>
          <w:p>
            <w:pPr>
              <w:pStyle w:val="TableParagraph"/>
              <w:spacing w:before="144"/>
              <w:ind w:left="193"/>
              <w:rPr>
                <w:rFonts w:ascii="Times New Roman"/>
                <w:sz w:val="21"/>
              </w:rPr>
            </w:pPr>
            <w:r>
              <w:rPr>
                <w:rFonts w:ascii="Times New Roman"/>
                <w:sz w:val="21"/>
              </w:rPr>
              <w:t>1,602,613</w:t>
            </w:r>
          </w:p>
        </w:tc>
        <w:tc>
          <w:tcPr>
            <w:tcW w:w="1283" w:type="dxa"/>
          </w:tcPr>
          <w:p>
            <w:pPr>
              <w:pStyle w:val="TableParagraph"/>
              <w:spacing w:before="144"/>
              <w:ind w:right="88"/>
              <w:jc w:val="right"/>
              <w:rPr>
                <w:rFonts w:ascii="Times New Roman"/>
                <w:sz w:val="21"/>
              </w:rPr>
            </w:pPr>
            <w:r>
              <w:rPr>
                <w:rFonts w:ascii="Times New Roman"/>
                <w:sz w:val="21"/>
              </w:rPr>
              <w:t>3,606</w:t>
            </w:r>
          </w:p>
        </w:tc>
        <w:tc>
          <w:tcPr>
            <w:tcW w:w="723" w:type="dxa"/>
          </w:tcPr>
          <w:p>
            <w:pPr>
              <w:pStyle w:val="TableParagraph"/>
              <w:spacing w:before="24"/>
              <w:ind w:right="86"/>
              <w:jc w:val="right"/>
              <w:rPr>
                <w:rFonts w:ascii="Times New Roman"/>
                <w:sz w:val="21"/>
              </w:rPr>
            </w:pPr>
            <w:r>
              <w:rPr>
                <w:rFonts w:ascii="Times New Roman"/>
                <w:sz w:val="21"/>
              </w:rPr>
              <w:t>76,65</w:t>
            </w:r>
          </w:p>
          <w:p>
            <w:pPr>
              <w:pStyle w:val="TableParagraph"/>
              <w:spacing w:before="1"/>
              <w:ind w:right="89"/>
              <w:jc w:val="right"/>
              <w:rPr>
                <w:rFonts w:ascii="Times New Roman"/>
                <w:sz w:val="21"/>
              </w:rPr>
            </w:pPr>
            <w:r>
              <w:rPr>
                <w:rFonts w:ascii="Times New Roman"/>
                <w:w w:val="100"/>
                <w:sz w:val="21"/>
              </w:rPr>
              <w:t>2</w:t>
            </w:r>
          </w:p>
        </w:tc>
      </w:tr>
    </w:tbl>
    <w:p>
      <w:pPr>
        <w:spacing w:after="0"/>
        <w:jc w:val="right"/>
        <w:rPr>
          <w:rFonts w:ascii="Times New Roman"/>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0"/>
        <w:gridCol w:w="1142"/>
        <w:gridCol w:w="1279"/>
        <w:gridCol w:w="1139"/>
        <w:gridCol w:w="1141"/>
        <w:gridCol w:w="1283"/>
        <w:gridCol w:w="723"/>
      </w:tblGrid>
      <w:tr>
        <w:trPr>
          <w:trHeight w:val="273" w:hRule="atLeast"/>
        </w:trPr>
        <w:tc>
          <w:tcPr>
            <w:tcW w:w="2110" w:type="dxa"/>
          </w:tcPr>
          <w:p>
            <w:pPr>
              <w:pStyle w:val="TableParagraph"/>
              <w:spacing w:line="250" w:lineRule="exact" w:before="3"/>
              <w:ind w:left="107"/>
              <w:rPr>
                <w:sz w:val="21"/>
              </w:rPr>
            </w:pPr>
            <w:r>
              <w:rPr>
                <w:spacing w:val="-1"/>
                <w:sz w:val="21"/>
              </w:rPr>
              <w:t>三、辞退福利</w:t>
            </w:r>
            <w:r>
              <w:rPr>
                <w:sz w:val="21"/>
              </w:rPr>
              <w:t> </w:t>
            </w:r>
          </w:p>
        </w:tc>
        <w:tc>
          <w:tcPr>
            <w:tcW w:w="1142" w:type="dxa"/>
          </w:tcPr>
          <w:p>
            <w:pPr>
              <w:pStyle w:val="TableParagraph"/>
              <w:rPr>
                <w:rFonts w:ascii="Times New Roman"/>
                <w:sz w:val="20"/>
              </w:rPr>
            </w:pPr>
          </w:p>
        </w:tc>
        <w:tc>
          <w:tcPr>
            <w:tcW w:w="1279" w:type="dxa"/>
          </w:tcPr>
          <w:p>
            <w:pPr>
              <w:pStyle w:val="TableParagraph"/>
              <w:rPr>
                <w:rFonts w:ascii="Times New Roman"/>
                <w:sz w:val="20"/>
              </w:rPr>
            </w:pPr>
          </w:p>
        </w:tc>
        <w:tc>
          <w:tcPr>
            <w:tcW w:w="1139" w:type="dxa"/>
          </w:tcPr>
          <w:p>
            <w:pPr>
              <w:pStyle w:val="TableParagraph"/>
              <w:rPr>
                <w:rFonts w:ascii="Times New Roman"/>
                <w:sz w:val="20"/>
              </w:rPr>
            </w:pPr>
          </w:p>
        </w:tc>
        <w:tc>
          <w:tcPr>
            <w:tcW w:w="1141" w:type="dxa"/>
          </w:tcPr>
          <w:p>
            <w:pPr>
              <w:pStyle w:val="TableParagraph"/>
              <w:rPr>
                <w:rFonts w:ascii="Times New Roman"/>
                <w:sz w:val="20"/>
              </w:rPr>
            </w:pPr>
          </w:p>
        </w:tc>
        <w:tc>
          <w:tcPr>
            <w:tcW w:w="1283" w:type="dxa"/>
          </w:tcPr>
          <w:p>
            <w:pPr>
              <w:pStyle w:val="TableParagraph"/>
              <w:rPr>
                <w:rFonts w:ascii="Times New Roman"/>
                <w:sz w:val="20"/>
              </w:rPr>
            </w:pPr>
          </w:p>
        </w:tc>
        <w:tc>
          <w:tcPr>
            <w:tcW w:w="723" w:type="dxa"/>
          </w:tcPr>
          <w:p>
            <w:pPr>
              <w:pStyle w:val="TableParagraph"/>
              <w:rPr>
                <w:rFonts w:ascii="Times New Roman"/>
                <w:sz w:val="20"/>
              </w:rPr>
            </w:pPr>
          </w:p>
        </w:tc>
      </w:tr>
      <w:tr>
        <w:trPr>
          <w:trHeight w:val="544" w:hRule="atLeast"/>
        </w:trPr>
        <w:tc>
          <w:tcPr>
            <w:tcW w:w="2110" w:type="dxa"/>
          </w:tcPr>
          <w:p>
            <w:pPr>
              <w:pStyle w:val="TableParagraph"/>
              <w:spacing w:before="1"/>
              <w:ind w:left="107"/>
              <w:rPr>
                <w:sz w:val="21"/>
              </w:rPr>
            </w:pPr>
            <w:r>
              <w:rPr>
                <w:sz w:val="21"/>
              </w:rPr>
              <w:t>四、一年内到期的其</w:t>
            </w:r>
          </w:p>
          <w:p>
            <w:pPr>
              <w:pStyle w:val="TableParagraph"/>
              <w:spacing w:line="250" w:lineRule="exact" w:before="4"/>
              <w:ind w:left="107"/>
              <w:rPr>
                <w:sz w:val="21"/>
              </w:rPr>
            </w:pPr>
            <w:r>
              <w:rPr>
                <w:sz w:val="21"/>
              </w:rPr>
              <w:t>他福利 </w:t>
            </w:r>
          </w:p>
        </w:tc>
        <w:tc>
          <w:tcPr>
            <w:tcW w:w="1142" w:type="dxa"/>
          </w:tcPr>
          <w:p>
            <w:pPr>
              <w:pStyle w:val="TableParagraph"/>
              <w:rPr>
                <w:rFonts w:ascii="Times New Roman"/>
                <w:sz w:val="20"/>
              </w:rPr>
            </w:pPr>
          </w:p>
        </w:tc>
        <w:tc>
          <w:tcPr>
            <w:tcW w:w="1279" w:type="dxa"/>
          </w:tcPr>
          <w:p>
            <w:pPr>
              <w:pStyle w:val="TableParagraph"/>
              <w:rPr>
                <w:rFonts w:ascii="Times New Roman"/>
                <w:sz w:val="20"/>
              </w:rPr>
            </w:pPr>
          </w:p>
        </w:tc>
        <w:tc>
          <w:tcPr>
            <w:tcW w:w="1139" w:type="dxa"/>
          </w:tcPr>
          <w:p>
            <w:pPr>
              <w:pStyle w:val="TableParagraph"/>
              <w:rPr>
                <w:rFonts w:ascii="Times New Roman"/>
                <w:sz w:val="20"/>
              </w:rPr>
            </w:pPr>
          </w:p>
        </w:tc>
        <w:tc>
          <w:tcPr>
            <w:tcW w:w="1141" w:type="dxa"/>
          </w:tcPr>
          <w:p>
            <w:pPr>
              <w:pStyle w:val="TableParagraph"/>
              <w:rPr>
                <w:rFonts w:ascii="Times New Roman"/>
                <w:sz w:val="20"/>
              </w:rPr>
            </w:pPr>
          </w:p>
        </w:tc>
        <w:tc>
          <w:tcPr>
            <w:tcW w:w="1283" w:type="dxa"/>
          </w:tcPr>
          <w:p>
            <w:pPr>
              <w:pStyle w:val="TableParagraph"/>
              <w:rPr>
                <w:rFonts w:ascii="Times New Roman"/>
                <w:sz w:val="20"/>
              </w:rPr>
            </w:pPr>
          </w:p>
        </w:tc>
        <w:tc>
          <w:tcPr>
            <w:tcW w:w="723" w:type="dxa"/>
          </w:tcPr>
          <w:p>
            <w:pPr>
              <w:pStyle w:val="TableParagraph"/>
              <w:rPr>
                <w:rFonts w:ascii="Times New Roman"/>
                <w:sz w:val="20"/>
              </w:rPr>
            </w:pPr>
          </w:p>
        </w:tc>
      </w:tr>
      <w:tr>
        <w:trPr>
          <w:trHeight w:val="273" w:hRule="atLeast"/>
        </w:trPr>
        <w:tc>
          <w:tcPr>
            <w:tcW w:w="2110" w:type="dxa"/>
          </w:tcPr>
          <w:p>
            <w:pPr>
              <w:pStyle w:val="TableParagraph"/>
              <w:spacing w:line="252" w:lineRule="exact" w:before="1"/>
              <w:ind w:left="107"/>
              <w:rPr>
                <w:sz w:val="21"/>
              </w:rPr>
            </w:pPr>
            <w:r>
              <w:rPr>
                <w:w w:val="100"/>
                <w:sz w:val="21"/>
              </w:rPr>
              <w:t> </w:t>
            </w:r>
          </w:p>
        </w:tc>
        <w:tc>
          <w:tcPr>
            <w:tcW w:w="1142" w:type="dxa"/>
          </w:tcPr>
          <w:p>
            <w:pPr>
              <w:pStyle w:val="TableParagraph"/>
              <w:rPr>
                <w:rFonts w:ascii="Times New Roman"/>
                <w:sz w:val="20"/>
              </w:rPr>
            </w:pPr>
          </w:p>
        </w:tc>
        <w:tc>
          <w:tcPr>
            <w:tcW w:w="1279" w:type="dxa"/>
          </w:tcPr>
          <w:p>
            <w:pPr>
              <w:pStyle w:val="TableParagraph"/>
              <w:rPr>
                <w:rFonts w:ascii="Times New Roman"/>
                <w:sz w:val="20"/>
              </w:rPr>
            </w:pPr>
          </w:p>
        </w:tc>
        <w:tc>
          <w:tcPr>
            <w:tcW w:w="1139" w:type="dxa"/>
          </w:tcPr>
          <w:p>
            <w:pPr>
              <w:pStyle w:val="TableParagraph"/>
              <w:rPr>
                <w:rFonts w:ascii="Times New Roman"/>
                <w:sz w:val="20"/>
              </w:rPr>
            </w:pPr>
          </w:p>
        </w:tc>
        <w:tc>
          <w:tcPr>
            <w:tcW w:w="1141" w:type="dxa"/>
          </w:tcPr>
          <w:p>
            <w:pPr>
              <w:pStyle w:val="TableParagraph"/>
              <w:rPr>
                <w:rFonts w:ascii="Times New Roman"/>
                <w:sz w:val="20"/>
              </w:rPr>
            </w:pPr>
          </w:p>
        </w:tc>
        <w:tc>
          <w:tcPr>
            <w:tcW w:w="1283" w:type="dxa"/>
          </w:tcPr>
          <w:p>
            <w:pPr>
              <w:pStyle w:val="TableParagraph"/>
              <w:rPr>
                <w:rFonts w:ascii="Times New Roman"/>
                <w:sz w:val="20"/>
              </w:rPr>
            </w:pPr>
          </w:p>
        </w:tc>
        <w:tc>
          <w:tcPr>
            <w:tcW w:w="723" w:type="dxa"/>
          </w:tcPr>
          <w:p>
            <w:pPr>
              <w:pStyle w:val="TableParagraph"/>
              <w:rPr>
                <w:rFonts w:ascii="Times New Roman"/>
                <w:sz w:val="20"/>
              </w:rPr>
            </w:pPr>
          </w:p>
        </w:tc>
      </w:tr>
      <w:tr>
        <w:trPr>
          <w:trHeight w:val="270" w:hRule="atLeast"/>
        </w:trPr>
        <w:tc>
          <w:tcPr>
            <w:tcW w:w="2110" w:type="dxa"/>
          </w:tcPr>
          <w:p>
            <w:pPr>
              <w:pStyle w:val="TableParagraph"/>
              <w:spacing w:line="250" w:lineRule="exact" w:before="1"/>
              <w:ind w:left="107"/>
              <w:rPr>
                <w:sz w:val="21"/>
              </w:rPr>
            </w:pPr>
            <w:r>
              <w:rPr>
                <w:w w:val="100"/>
                <w:sz w:val="21"/>
              </w:rPr>
              <w:t> </w:t>
            </w:r>
          </w:p>
        </w:tc>
        <w:tc>
          <w:tcPr>
            <w:tcW w:w="1142" w:type="dxa"/>
          </w:tcPr>
          <w:p>
            <w:pPr>
              <w:pStyle w:val="TableParagraph"/>
              <w:rPr>
                <w:rFonts w:ascii="Times New Roman"/>
                <w:sz w:val="20"/>
              </w:rPr>
            </w:pPr>
          </w:p>
        </w:tc>
        <w:tc>
          <w:tcPr>
            <w:tcW w:w="1279" w:type="dxa"/>
          </w:tcPr>
          <w:p>
            <w:pPr>
              <w:pStyle w:val="TableParagraph"/>
              <w:rPr>
                <w:rFonts w:ascii="Times New Roman"/>
                <w:sz w:val="20"/>
              </w:rPr>
            </w:pPr>
          </w:p>
        </w:tc>
        <w:tc>
          <w:tcPr>
            <w:tcW w:w="1139" w:type="dxa"/>
          </w:tcPr>
          <w:p>
            <w:pPr>
              <w:pStyle w:val="TableParagraph"/>
              <w:rPr>
                <w:rFonts w:ascii="Times New Roman"/>
                <w:sz w:val="20"/>
              </w:rPr>
            </w:pPr>
          </w:p>
        </w:tc>
        <w:tc>
          <w:tcPr>
            <w:tcW w:w="1141" w:type="dxa"/>
          </w:tcPr>
          <w:p>
            <w:pPr>
              <w:pStyle w:val="TableParagraph"/>
              <w:rPr>
                <w:rFonts w:ascii="Times New Roman"/>
                <w:sz w:val="20"/>
              </w:rPr>
            </w:pPr>
          </w:p>
        </w:tc>
        <w:tc>
          <w:tcPr>
            <w:tcW w:w="1283" w:type="dxa"/>
          </w:tcPr>
          <w:p>
            <w:pPr>
              <w:pStyle w:val="TableParagraph"/>
              <w:rPr>
                <w:rFonts w:ascii="Times New Roman"/>
                <w:sz w:val="20"/>
              </w:rPr>
            </w:pPr>
          </w:p>
        </w:tc>
        <w:tc>
          <w:tcPr>
            <w:tcW w:w="723" w:type="dxa"/>
          </w:tcPr>
          <w:p>
            <w:pPr>
              <w:pStyle w:val="TableParagraph"/>
              <w:rPr>
                <w:rFonts w:ascii="Times New Roman"/>
                <w:sz w:val="20"/>
              </w:rPr>
            </w:pPr>
          </w:p>
        </w:tc>
      </w:tr>
      <w:tr>
        <w:trPr>
          <w:trHeight w:val="484" w:hRule="atLeast"/>
        </w:trPr>
        <w:tc>
          <w:tcPr>
            <w:tcW w:w="2110" w:type="dxa"/>
          </w:tcPr>
          <w:p>
            <w:pPr>
              <w:pStyle w:val="TableParagraph"/>
              <w:spacing w:before="109"/>
              <w:ind w:left="877" w:right="763"/>
              <w:jc w:val="center"/>
              <w:rPr>
                <w:sz w:val="21"/>
              </w:rPr>
            </w:pPr>
            <w:r>
              <w:rPr>
                <w:sz w:val="21"/>
              </w:rPr>
              <w:t>合计 </w:t>
            </w:r>
          </w:p>
        </w:tc>
        <w:tc>
          <w:tcPr>
            <w:tcW w:w="1142" w:type="dxa"/>
          </w:tcPr>
          <w:p>
            <w:pPr>
              <w:pStyle w:val="TableParagraph"/>
              <w:spacing w:before="115"/>
              <w:ind w:left="194"/>
              <w:rPr>
                <w:rFonts w:ascii="Times New Roman"/>
                <w:sz w:val="21"/>
              </w:rPr>
            </w:pPr>
            <w:r>
              <w:rPr>
                <w:rFonts w:ascii="Times New Roman"/>
                <w:sz w:val="21"/>
              </w:rPr>
              <w:t>4,889,968</w:t>
            </w:r>
          </w:p>
        </w:tc>
        <w:tc>
          <w:tcPr>
            <w:tcW w:w="1279" w:type="dxa"/>
          </w:tcPr>
          <w:p>
            <w:pPr>
              <w:pStyle w:val="TableParagraph"/>
              <w:spacing w:before="115"/>
              <w:ind w:left="698"/>
              <w:rPr>
                <w:rFonts w:ascii="Times New Roman"/>
                <w:sz w:val="21"/>
              </w:rPr>
            </w:pPr>
            <w:r>
              <w:rPr>
                <w:rFonts w:ascii="Times New Roman"/>
                <w:sz w:val="21"/>
              </w:rPr>
              <w:t>1,810</w:t>
            </w:r>
          </w:p>
        </w:tc>
        <w:tc>
          <w:tcPr>
            <w:tcW w:w="1139" w:type="dxa"/>
          </w:tcPr>
          <w:p>
            <w:pPr>
              <w:pStyle w:val="TableParagraph"/>
              <w:spacing w:line="236" w:lineRule="exact"/>
              <w:ind w:right="94"/>
              <w:jc w:val="right"/>
              <w:rPr>
                <w:rFonts w:ascii="Times New Roman"/>
                <w:sz w:val="21"/>
              </w:rPr>
            </w:pPr>
            <w:r>
              <w:rPr>
                <w:rFonts w:ascii="Times New Roman"/>
                <w:sz w:val="21"/>
              </w:rPr>
              <w:t>25,359,36</w:t>
            </w:r>
          </w:p>
          <w:p>
            <w:pPr>
              <w:pStyle w:val="TableParagraph"/>
              <w:spacing w:line="228" w:lineRule="exact"/>
              <w:ind w:right="96"/>
              <w:jc w:val="right"/>
              <w:rPr>
                <w:rFonts w:ascii="Times New Roman"/>
                <w:sz w:val="21"/>
              </w:rPr>
            </w:pPr>
            <w:r>
              <w:rPr>
                <w:rFonts w:ascii="Times New Roman"/>
                <w:w w:val="100"/>
                <w:sz w:val="21"/>
              </w:rPr>
              <w:t>8</w:t>
            </w:r>
          </w:p>
        </w:tc>
        <w:tc>
          <w:tcPr>
            <w:tcW w:w="1141" w:type="dxa"/>
          </w:tcPr>
          <w:p>
            <w:pPr>
              <w:pStyle w:val="TableParagraph"/>
              <w:spacing w:line="236" w:lineRule="exact"/>
              <w:ind w:right="92"/>
              <w:jc w:val="right"/>
              <w:rPr>
                <w:rFonts w:ascii="Times New Roman"/>
                <w:sz w:val="21"/>
              </w:rPr>
            </w:pPr>
            <w:r>
              <w:rPr>
                <w:rFonts w:ascii="Times New Roman"/>
                <w:sz w:val="21"/>
              </w:rPr>
              <w:t>25,356,00</w:t>
            </w:r>
          </w:p>
          <w:p>
            <w:pPr>
              <w:pStyle w:val="TableParagraph"/>
              <w:spacing w:line="228" w:lineRule="exact"/>
              <w:ind w:right="95"/>
              <w:jc w:val="right"/>
              <w:rPr>
                <w:rFonts w:ascii="Times New Roman"/>
                <w:sz w:val="21"/>
              </w:rPr>
            </w:pPr>
            <w:r>
              <w:rPr>
                <w:rFonts w:ascii="Times New Roman"/>
                <w:w w:val="100"/>
                <w:sz w:val="21"/>
              </w:rPr>
              <w:t>7</w:t>
            </w:r>
          </w:p>
        </w:tc>
        <w:tc>
          <w:tcPr>
            <w:tcW w:w="1283" w:type="dxa"/>
          </w:tcPr>
          <w:p>
            <w:pPr>
              <w:pStyle w:val="TableParagraph"/>
              <w:spacing w:before="115"/>
              <w:ind w:left="601"/>
              <w:rPr>
                <w:rFonts w:ascii="Times New Roman"/>
                <w:sz w:val="21"/>
              </w:rPr>
            </w:pPr>
            <w:r>
              <w:rPr>
                <w:rFonts w:ascii="Times New Roman"/>
                <w:sz w:val="21"/>
              </w:rPr>
              <w:t>59,311</w:t>
            </w:r>
          </w:p>
        </w:tc>
        <w:tc>
          <w:tcPr>
            <w:tcW w:w="723" w:type="dxa"/>
          </w:tcPr>
          <w:p>
            <w:pPr>
              <w:pStyle w:val="TableParagraph"/>
              <w:spacing w:line="236" w:lineRule="exact"/>
              <w:ind w:left="148"/>
              <w:rPr>
                <w:rFonts w:ascii="Times New Roman"/>
                <w:sz w:val="21"/>
              </w:rPr>
            </w:pPr>
            <w:r>
              <w:rPr>
                <w:rFonts w:ascii="Times New Roman"/>
                <w:sz w:val="21"/>
              </w:rPr>
              <w:t>4,954</w:t>
            </w:r>
          </w:p>
          <w:p>
            <w:pPr>
              <w:pStyle w:val="TableParagraph"/>
              <w:spacing w:line="228" w:lineRule="exact"/>
              <w:ind w:left="254"/>
              <w:rPr>
                <w:rFonts w:ascii="Times New Roman"/>
                <w:sz w:val="21"/>
              </w:rPr>
            </w:pPr>
            <w:r>
              <w:rPr>
                <w:rFonts w:ascii="Times New Roman"/>
                <w:sz w:val="21"/>
              </w:rPr>
              <w:t>,450</w:t>
            </w:r>
          </w:p>
        </w:tc>
      </w:tr>
    </w:tbl>
    <w:p>
      <w:pPr>
        <w:spacing w:after="0" w:line="228" w:lineRule="exact"/>
        <w:rPr>
          <w:rFonts w:ascii="Times New Roman"/>
          <w:sz w:val="21"/>
        </w:rPr>
        <w:sectPr>
          <w:pgSz w:w="11910" w:h="16840"/>
          <w:pgMar w:header="882" w:footer="1184" w:top="1120" w:bottom="1380" w:left="1480" w:right="0"/>
        </w:sectPr>
      </w:pPr>
    </w:p>
    <w:p>
      <w:pPr>
        <w:pStyle w:val="BodyText"/>
        <w:spacing w:before="1"/>
      </w:pPr>
      <w:r>
        <w:rPr>
          <w:w w:val="100"/>
        </w:rPr>
        <w:t> </w:t>
      </w:r>
    </w:p>
    <w:p>
      <w:pPr>
        <w:pStyle w:val="BodyText"/>
        <w:spacing w:before="64"/>
      </w:pPr>
      <w:r>
        <w:rPr>
          <w:w w:val="100"/>
        </w:rPr>
        <w:t> </w:t>
      </w:r>
    </w:p>
    <w:p>
      <w:pPr>
        <w:pStyle w:val="ListParagraph"/>
        <w:numPr>
          <w:ilvl w:val="0"/>
          <w:numId w:val="73"/>
        </w:numPr>
        <w:tabs>
          <w:tab w:pos="743" w:val="left" w:leader="none"/>
        </w:tabs>
        <w:spacing w:line="240" w:lineRule="auto" w:before="63" w:after="0"/>
        <w:ind w:left="742" w:right="0" w:hanging="425"/>
        <w:jc w:val="left"/>
        <w:rPr>
          <w:sz w:val="21"/>
        </w:rPr>
      </w:pPr>
      <w:r>
        <w:rPr>
          <w:sz w:val="21"/>
        </w:rPr>
        <w:t>短期薪酬列示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spacing w:before="2"/>
        <w:ind w:left="0"/>
        <w:rPr>
          <w:sz w:val="19"/>
        </w:rPr>
      </w:pPr>
    </w:p>
    <w:p>
      <w:pPr>
        <w:pStyle w:val="BodyText"/>
      </w:pPr>
      <w:r>
        <w:rPr>
          <w:spacing w:val="6"/>
        </w:rPr>
        <w:t>单位：千元 币种:人民币</w:t>
      </w:r>
      <w:r>
        <w:rPr/>
        <w:t> </w:t>
      </w:r>
    </w:p>
    <w:p>
      <w:pPr>
        <w:spacing w:after="0"/>
        <w:sectPr>
          <w:type w:val="continuous"/>
          <w:pgSz w:w="11910" w:h="16840"/>
          <w:pgMar w:top="780" w:bottom="280" w:left="1480" w:right="0"/>
          <w:cols w:num="2" w:equalWidth="0">
            <w:col w:w="2154" w:space="4265"/>
            <w:col w:w="4011"/>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0"/>
        <w:gridCol w:w="1147"/>
        <w:gridCol w:w="1284"/>
        <w:gridCol w:w="1128"/>
        <w:gridCol w:w="1142"/>
        <w:gridCol w:w="1277"/>
        <w:gridCol w:w="724"/>
      </w:tblGrid>
      <w:tr>
        <w:trPr>
          <w:trHeight w:val="547" w:hRule="atLeast"/>
        </w:trPr>
        <w:tc>
          <w:tcPr>
            <w:tcW w:w="2120" w:type="dxa"/>
          </w:tcPr>
          <w:p>
            <w:pPr>
              <w:pStyle w:val="TableParagraph"/>
              <w:spacing w:before="137"/>
              <w:ind w:left="882" w:right="768"/>
              <w:jc w:val="center"/>
              <w:rPr>
                <w:sz w:val="21"/>
              </w:rPr>
            </w:pPr>
            <w:r>
              <w:rPr>
                <w:sz w:val="21"/>
              </w:rPr>
              <w:t>项目 </w:t>
            </w:r>
          </w:p>
        </w:tc>
        <w:tc>
          <w:tcPr>
            <w:tcW w:w="1147" w:type="dxa"/>
          </w:tcPr>
          <w:p>
            <w:pPr>
              <w:pStyle w:val="TableParagraph"/>
              <w:spacing w:before="137"/>
              <w:ind w:right="38"/>
              <w:jc w:val="right"/>
              <w:rPr>
                <w:sz w:val="21"/>
              </w:rPr>
            </w:pPr>
            <w:r>
              <w:rPr>
                <w:spacing w:val="-1"/>
                <w:sz w:val="21"/>
              </w:rPr>
              <w:t>期初余额</w:t>
            </w:r>
            <w:r>
              <w:rPr>
                <w:sz w:val="21"/>
              </w:rPr>
              <w:t> </w:t>
            </w:r>
          </w:p>
        </w:tc>
        <w:tc>
          <w:tcPr>
            <w:tcW w:w="1284" w:type="dxa"/>
          </w:tcPr>
          <w:p>
            <w:pPr>
              <w:pStyle w:val="TableParagraph"/>
              <w:spacing w:line="270" w:lineRule="atLeast"/>
              <w:ind w:left="112" w:right="2"/>
              <w:rPr>
                <w:sz w:val="21"/>
              </w:rPr>
            </w:pPr>
            <w:r>
              <w:rPr>
                <w:sz w:val="21"/>
              </w:rPr>
              <w:t>非同一控制下企业合并 </w:t>
            </w:r>
          </w:p>
        </w:tc>
        <w:tc>
          <w:tcPr>
            <w:tcW w:w="1128" w:type="dxa"/>
          </w:tcPr>
          <w:p>
            <w:pPr>
              <w:pStyle w:val="TableParagraph"/>
              <w:spacing w:before="137"/>
              <w:ind w:right="26"/>
              <w:jc w:val="right"/>
              <w:rPr>
                <w:sz w:val="21"/>
              </w:rPr>
            </w:pPr>
            <w:r>
              <w:rPr>
                <w:spacing w:val="-1"/>
                <w:sz w:val="21"/>
              </w:rPr>
              <w:t>本期增加</w:t>
            </w:r>
            <w:r>
              <w:rPr>
                <w:sz w:val="21"/>
              </w:rPr>
              <w:t> </w:t>
            </w:r>
          </w:p>
        </w:tc>
        <w:tc>
          <w:tcPr>
            <w:tcW w:w="1142" w:type="dxa"/>
          </w:tcPr>
          <w:p>
            <w:pPr>
              <w:pStyle w:val="TableParagraph"/>
              <w:spacing w:before="137"/>
              <w:ind w:left="151"/>
              <w:rPr>
                <w:sz w:val="21"/>
              </w:rPr>
            </w:pPr>
            <w:r>
              <w:rPr>
                <w:spacing w:val="-1"/>
                <w:sz w:val="21"/>
              </w:rPr>
              <w:t>本期减少</w:t>
            </w:r>
            <w:r>
              <w:rPr>
                <w:sz w:val="21"/>
              </w:rPr>
              <w:t> </w:t>
            </w:r>
          </w:p>
        </w:tc>
        <w:tc>
          <w:tcPr>
            <w:tcW w:w="1277" w:type="dxa"/>
          </w:tcPr>
          <w:p>
            <w:pPr>
              <w:pStyle w:val="TableParagraph"/>
              <w:spacing w:line="270" w:lineRule="atLeast"/>
              <w:ind w:left="325" w:right="98" w:hanging="212"/>
              <w:rPr>
                <w:sz w:val="21"/>
              </w:rPr>
            </w:pPr>
            <w:r>
              <w:rPr>
                <w:spacing w:val="-1"/>
                <w:sz w:val="21"/>
              </w:rPr>
              <w:t>外币报表折</w:t>
            </w:r>
            <w:r>
              <w:rPr>
                <w:sz w:val="21"/>
              </w:rPr>
              <w:t>算差异 </w:t>
            </w:r>
          </w:p>
        </w:tc>
        <w:tc>
          <w:tcPr>
            <w:tcW w:w="724" w:type="dxa"/>
          </w:tcPr>
          <w:p>
            <w:pPr>
              <w:pStyle w:val="TableParagraph"/>
              <w:spacing w:line="270" w:lineRule="atLeast"/>
              <w:ind w:left="152" w:right="34"/>
              <w:rPr>
                <w:sz w:val="21"/>
              </w:rPr>
            </w:pPr>
            <w:r>
              <w:rPr>
                <w:sz w:val="21"/>
              </w:rPr>
              <w:t>期末余额 </w:t>
            </w:r>
          </w:p>
        </w:tc>
      </w:tr>
      <w:tr>
        <w:trPr>
          <w:trHeight w:val="544" w:hRule="atLeast"/>
        </w:trPr>
        <w:tc>
          <w:tcPr>
            <w:tcW w:w="2120" w:type="dxa"/>
          </w:tcPr>
          <w:p>
            <w:pPr>
              <w:pStyle w:val="TableParagraph"/>
              <w:spacing w:before="1"/>
              <w:ind w:left="107"/>
              <w:rPr>
                <w:sz w:val="21"/>
              </w:rPr>
            </w:pPr>
            <w:r>
              <w:rPr>
                <w:sz w:val="21"/>
              </w:rPr>
              <w:t>一、工资、奖金、津</w:t>
            </w:r>
          </w:p>
          <w:p>
            <w:pPr>
              <w:pStyle w:val="TableParagraph"/>
              <w:spacing w:line="252" w:lineRule="exact" w:before="2"/>
              <w:ind w:left="107"/>
              <w:rPr>
                <w:sz w:val="21"/>
              </w:rPr>
            </w:pPr>
            <w:r>
              <w:rPr>
                <w:spacing w:val="-1"/>
                <w:sz w:val="21"/>
              </w:rPr>
              <w:t>贴和补贴</w:t>
            </w:r>
            <w:r>
              <w:rPr>
                <w:sz w:val="21"/>
              </w:rPr>
              <w:t> </w:t>
            </w:r>
          </w:p>
        </w:tc>
        <w:tc>
          <w:tcPr>
            <w:tcW w:w="1147" w:type="dxa"/>
          </w:tcPr>
          <w:p>
            <w:pPr>
              <w:pStyle w:val="TableParagraph"/>
              <w:spacing w:before="144"/>
              <w:ind w:right="96"/>
              <w:jc w:val="right"/>
              <w:rPr>
                <w:rFonts w:ascii="Times New Roman"/>
                <w:sz w:val="21"/>
              </w:rPr>
            </w:pPr>
            <w:r>
              <w:rPr>
                <w:rFonts w:ascii="Times New Roman"/>
                <w:sz w:val="21"/>
              </w:rPr>
              <w:t>4,548,757</w:t>
            </w:r>
          </w:p>
        </w:tc>
        <w:tc>
          <w:tcPr>
            <w:tcW w:w="1284" w:type="dxa"/>
          </w:tcPr>
          <w:p>
            <w:pPr>
              <w:pStyle w:val="TableParagraph"/>
              <w:spacing w:before="144"/>
              <w:ind w:right="96"/>
              <w:jc w:val="right"/>
              <w:rPr>
                <w:rFonts w:ascii="Times New Roman"/>
                <w:sz w:val="21"/>
              </w:rPr>
            </w:pPr>
            <w:r>
              <w:rPr>
                <w:rFonts w:ascii="Times New Roman"/>
                <w:sz w:val="21"/>
              </w:rPr>
              <w:t>1,665</w:t>
            </w:r>
          </w:p>
        </w:tc>
        <w:tc>
          <w:tcPr>
            <w:tcW w:w="1128" w:type="dxa"/>
          </w:tcPr>
          <w:p>
            <w:pPr>
              <w:pStyle w:val="TableParagraph"/>
              <w:spacing w:line="241" w:lineRule="exact" w:before="24"/>
              <w:ind w:right="93"/>
              <w:jc w:val="right"/>
              <w:rPr>
                <w:rFonts w:ascii="Times New Roman"/>
                <w:sz w:val="21"/>
              </w:rPr>
            </w:pPr>
            <w:r>
              <w:rPr>
                <w:rFonts w:ascii="Times New Roman"/>
                <w:sz w:val="21"/>
              </w:rPr>
              <w:t>21,787,57</w:t>
            </w:r>
          </w:p>
          <w:p>
            <w:pPr>
              <w:pStyle w:val="TableParagraph"/>
              <w:spacing w:line="241" w:lineRule="exact"/>
              <w:ind w:right="95"/>
              <w:jc w:val="right"/>
              <w:rPr>
                <w:rFonts w:ascii="Times New Roman"/>
                <w:sz w:val="21"/>
              </w:rPr>
            </w:pPr>
            <w:r>
              <w:rPr>
                <w:rFonts w:ascii="Times New Roman"/>
                <w:w w:val="100"/>
                <w:sz w:val="21"/>
              </w:rPr>
              <w:t>4</w:t>
            </w:r>
          </w:p>
        </w:tc>
        <w:tc>
          <w:tcPr>
            <w:tcW w:w="1142" w:type="dxa"/>
          </w:tcPr>
          <w:p>
            <w:pPr>
              <w:pStyle w:val="TableParagraph"/>
              <w:spacing w:line="241" w:lineRule="exact" w:before="24"/>
              <w:ind w:right="93"/>
              <w:jc w:val="right"/>
              <w:rPr>
                <w:rFonts w:ascii="Times New Roman"/>
                <w:sz w:val="21"/>
              </w:rPr>
            </w:pPr>
            <w:r>
              <w:rPr>
                <w:rFonts w:ascii="Times New Roman"/>
                <w:sz w:val="21"/>
              </w:rPr>
              <w:t>21,871,79</w:t>
            </w:r>
          </w:p>
          <w:p>
            <w:pPr>
              <w:pStyle w:val="TableParagraph"/>
              <w:spacing w:line="241" w:lineRule="exact"/>
              <w:ind w:right="95"/>
              <w:jc w:val="right"/>
              <w:rPr>
                <w:rFonts w:ascii="Times New Roman"/>
                <w:sz w:val="21"/>
              </w:rPr>
            </w:pPr>
            <w:r>
              <w:rPr>
                <w:rFonts w:ascii="Times New Roman"/>
                <w:w w:val="100"/>
                <w:sz w:val="21"/>
              </w:rPr>
              <w:t>6</w:t>
            </w:r>
          </w:p>
        </w:tc>
        <w:tc>
          <w:tcPr>
            <w:tcW w:w="1277" w:type="dxa"/>
          </w:tcPr>
          <w:p>
            <w:pPr>
              <w:pStyle w:val="TableParagraph"/>
              <w:spacing w:before="144"/>
              <w:ind w:right="90"/>
              <w:jc w:val="right"/>
              <w:rPr>
                <w:rFonts w:ascii="Times New Roman"/>
                <w:sz w:val="21"/>
              </w:rPr>
            </w:pPr>
            <w:r>
              <w:rPr>
                <w:rFonts w:ascii="Times New Roman"/>
                <w:sz w:val="21"/>
              </w:rPr>
              <w:t>49,449</w:t>
            </w:r>
          </w:p>
        </w:tc>
        <w:tc>
          <w:tcPr>
            <w:tcW w:w="724" w:type="dxa"/>
          </w:tcPr>
          <w:p>
            <w:pPr>
              <w:pStyle w:val="TableParagraph"/>
              <w:spacing w:line="241" w:lineRule="exact" w:before="24"/>
              <w:ind w:left="144"/>
              <w:rPr>
                <w:rFonts w:ascii="Times New Roman"/>
                <w:sz w:val="21"/>
              </w:rPr>
            </w:pPr>
            <w:r>
              <w:rPr>
                <w:rFonts w:ascii="Times New Roman"/>
                <w:sz w:val="21"/>
              </w:rPr>
              <w:t>4,515</w:t>
            </w:r>
          </w:p>
          <w:p>
            <w:pPr>
              <w:pStyle w:val="TableParagraph"/>
              <w:spacing w:line="241" w:lineRule="exact"/>
              <w:ind w:left="250"/>
              <w:rPr>
                <w:rFonts w:ascii="Times New Roman"/>
                <w:sz w:val="21"/>
              </w:rPr>
            </w:pPr>
            <w:r>
              <w:rPr>
                <w:rFonts w:ascii="Times New Roman"/>
                <w:sz w:val="21"/>
              </w:rPr>
              <w:t>,649</w:t>
            </w:r>
          </w:p>
        </w:tc>
      </w:tr>
      <w:tr>
        <w:trPr>
          <w:trHeight w:val="481" w:hRule="atLeast"/>
        </w:trPr>
        <w:tc>
          <w:tcPr>
            <w:tcW w:w="2120" w:type="dxa"/>
          </w:tcPr>
          <w:p>
            <w:pPr>
              <w:pStyle w:val="TableParagraph"/>
              <w:spacing w:before="1"/>
              <w:ind w:left="107"/>
              <w:rPr>
                <w:sz w:val="21"/>
              </w:rPr>
            </w:pPr>
            <w:r>
              <w:rPr>
                <w:spacing w:val="-1"/>
                <w:sz w:val="21"/>
              </w:rPr>
              <w:t>二、职工福利费</w:t>
            </w:r>
            <w:r>
              <w:rPr>
                <w:sz w:val="21"/>
              </w:rPr>
              <w:t> </w:t>
            </w:r>
          </w:p>
        </w:tc>
        <w:tc>
          <w:tcPr>
            <w:tcW w:w="1147" w:type="dxa"/>
          </w:tcPr>
          <w:p>
            <w:pPr>
              <w:pStyle w:val="TableParagraph"/>
              <w:spacing w:before="113"/>
              <w:ind w:right="96"/>
              <w:jc w:val="right"/>
              <w:rPr>
                <w:rFonts w:ascii="Times New Roman"/>
                <w:sz w:val="21"/>
              </w:rPr>
            </w:pPr>
            <w:r>
              <w:rPr>
                <w:rFonts w:ascii="Times New Roman"/>
                <w:sz w:val="21"/>
              </w:rPr>
              <w:t>36,486</w:t>
            </w:r>
          </w:p>
        </w:tc>
        <w:tc>
          <w:tcPr>
            <w:tcW w:w="1284" w:type="dxa"/>
          </w:tcPr>
          <w:p>
            <w:pPr>
              <w:pStyle w:val="TableParagraph"/>
              <w:spacing w:before="113"/>
              <w:ind w:right="98"/>
              <w:jc w:val="right"/>
              <w:rPr>
                <w:rFonts w:ascii="Times New Roman"/>
                <w:sz w:val="21"/>
              </w:rPr>
            </w:pPr>
            <w:r>
              <w:rPr>
                <w:rFonts w:ascii="Times New Roman"/>
                <w:sz w:val="21"/>
              </w:rPr>
              <w:t>21</w:t>
            </w:r>
          </w:p>
        </w:tc>
        <w:tc>
          <w:tcPr>
            <w:tcW w:w="1128" w:type="dxa"/>
          </w:tcPr>
          <w:p>
            <w:pPr>
              <w:pStyle w:val="TableParagraph"/>
              <w:spacing w:before="113"/>
              <w:ind w:left="338"/>
              <w:rPr>
                <w:rFonts w:ascii="Times New Roman"/>
                <w:sz w:val="21"/>
              </w:rPr>
            </w:pPr>
            <w:r>
              <w:rPr>
                <w:rFonts w:ascii="Times New Roman"/>
                <w:sz w:val="21"/>
              </w:rPr>
              <w:t>283,771</w:t>
            </w:r>
          </w:p>
        </w:tc>
        <w:tc>
          <w:tcPr>
            <w:tcW w:w="1142" w:type="dxa"/>
          </w:tcPr>
          <w:p>
            <w:pPr>
              <w:pStyle w:val="TableParagraph"/>
              <w:spacing w:before="113"/>
              <w:ind w:left="352"/>
              <w:rPr>
                <w:rFonts w:ascii="Times New Roman"/>
                <w:sz w:val="21"/>
              </w:rPr>
            </w:pPr>
            <w:r>
              <w:rPr>
                <w:rFonts w:ascii="Times New Roman"/>
                <w:sz w:val="21"/>
              </w:rPr>
              <w:t>210,327</w:t>
            </w:r>
          </w:p>
        </w:tc>
        <w:tc>
          <w:tcPr>
            <w:tcW w:w="1277" w:type="dxa"/>
          </w:tcPr>
          <w:p>
            <w:pPr>
              <w:pStyle w:val="TableParagraph"/>
              <w:spacing w:before="113"/>
              <w:ind w:right="90"/>
              <w:jc w:val="right"/>
              <w:rPr>
                <w:rFonts w:ascii="Times New Roman"/>
                <w:sz w:val="21"/>
              </w:rPr>
            </w:pPr>
            <w:r>
              <w:rPr>
                <w:rFonts w:ascii="Times New Roman"/>
                <w:sz w:val="21"/>
              </w:rPr>
              <w:t>2,930</w:t>
            </w:r>
          </w:p>
        </w:tc>
        <w:tc>
          <w:tcPr>
            <w:tcW w:w="724" w:type="dxa"/>
          </w:tcPr>
          <w:p>
            <w:pPr>
              <w:pStyle w:val="TableParagraph"/>
              <w:spacing w:line="234" w:lineRule="exact"/>
              <w:ind w:right="91"/>
              <w:jc w:val="right"/>
              <w:rPr>
                <w:rFonts w:ascii="Times New Roman"/>
                <w:sz w:val="21"/>
              </w:rPr>
            </w:pPr>
            <w:r>
              <w:rPr>
                <w:rFonts w:ascii="Times New Roman"/>
                <w:sz w:val="21"/>
              </w:rPr>
              <w:t>112,8</w:t>
            </w:r>
          </w:p>
          <w:p>
            <w:pPr>
              <w:pStyle w:val="TableParagraph"/>
              <w:spacing w:line="228" w:lineRule="exact"/>
              <w:ind w:right="94"/>
              <w:jc w:val="right"/>
              <w:rPr>
                <w:rFonts w:ascii="Times New Roman"/>
                <w:sz w:val="21"/>
              </w:rPr>
            </w:pPr>
            <w:r>
              <w:rPr>
                <w:rFonts w:ascii="Times New Roman"/>
                <w:sz w:val="21"/>
              </w:rPr>
              <w:t>81</w:t>
            </w:r>
          </w:p>
        </w:tc>
      </w:tr>
      <w:tr>
        <w:trPr>
          <w:trHeight w:val="482" w:hRule="atLeast"/>
        </w:trPr>
        <w:tc>
          <w:tcPr>
            <w:tcW w:w="2120" w:type="dxa"/>
          </w:tcPr>
          <w:p>
            <w:pPr>
              <w:pStyle w:val="TableParagraph"/>
              <w:spacing w:before="1"/>
              <w:ind w:left="107"/>
              <w:rPr>
                <w:sz w:val="21"/>
              </w:rPr>
            </w:pPr>
            <w:r>
              <w:rPr>
                <w:spacing w:val="-1"/>
                <w:sz w:val="21"/>
              </w:rPr>
              <w:t>三、社会保险费</w:t>
            </w:r>
            <w:r>
              <w:rPr>
                <w:sz w:val="21"/>
              </w:rPr>
              <w:t> </w:t>
            </w:r>
          </w:p>
        </w:tc>
        <w:tc>
          <w:tcPr>
            <w:tcW w:w="1147" w:type="dxa"/>
          </w:tcPr>
          <w:p>
            <w:pPr>
              <w:pStyle w:val="TableParagraph"/>
              <w:spacing w:before="115"/>
              <w:ind w:right="96"/>
              <w:jc w:val="right"/>
              <w:rPr>
                <w:rFonts w:ascii="Times New Roman"/>
                <w:sz w:val="21"/>
              </w:rPr>
            </w:pPr>
            <w:r>
              <w:rPr>
                <w:rFonts w:ascii="Times New Roman"/>
                <w:sz w:val="21"/>
              </w:rPr>
              <w:t>29,485</w:t>
            </w:r>
          </w:p>
        </w:tc>
        <w:tc>
          <w:tcPr>
            <w:tcW w:w="1284" w:type="dxa"/>
          </w:tcPr>
          <w:p>
            <w:pPr>
              <w:pStyle w:val="TableParagraph"/>
              <w:spacing w:before="115"/>
              <w:ind w:right="98"/>
              <w:jc w:val="right"/>
              <w:rPr>
                <w:rFonts w:ascii="Times New Roman"/>
                <w:sz w:val="21"/>
              </w:rPr>
            </w:pPr>
            <w:r>
              <w:rPr>
                <w:rFonts w:ascii="Times New Roman"/>
                <w:sz w:val="21"/>
              </w:rPr>
              <w:t>18</w:t>
            </w:r>
          </w:p>
        </w:tc>
        <w:tc>
          <w:tcPr>
            <w:tcW w:w="1128" w:type="dxa"/>
          </w:tcPr>
          <w:p>
            <w:pPr>
              <w:pStyle w:val="TableParagraph"/>
              <w:spacing w:before="115"/>
              <w:ind w:left="338"/>
              <w:rPr>
                <w:rFonts w:ascii="Times New Roman"/>
                <w:sz w:val="21"/>
              </w:rPr>
            </w:pPr>
            <w:r>
              <w:rPr>
                <w:rFonts w:ascii="Times New Roman"/>
                <w:sz w:val="21"/>
              </w:rPr>
              <w:t>553,522</w:t>
            </w:r>
          </w:p>
        </w:tc>
        <w:tc>
          <w:tcPr>
            <w:tcW w:w="1142" w:type="dxa"/>
          </w:tcPr>
          <w:p>
            <w:pPr>
              <w:pStyle w:val="TableParagraph"/>
              <w:spacing w:before="115"/>
              <w:ind w:left="352"/>
              <w:rPr>
                <w:rFonts w:ascii="Times New Roman"/>
                <w:sz w:val="21"/>
              </w:rPr>
            </w:pPr>
            <w:r>
              <w:rPr>
                <w:rFonts w:ascii="Times New Roman"/>
                <w:sz w:val="21"/>
              </w:rPr>
              <w:t>553,994</w:t>
            </w:r>
          </w:p>
        </w:tc>
        <w:tc>
          <w:tcPr>
            <w:tcW w:w="1277" w:type="dxa"/>
          </w:tcPr>
          <w:p>
            <w:pPr>
              <w:pStyle w:val="TableParagraph"/>
              <w:spacing w:before="115"/>
              <w:ind w:right="91"/>
              <w:jc w:val="right"/>
              <w:rPr>
                <w:rFonts w:ascii="Times New Roman"/>
                <w:sz w:val="21"/>
              </w:rPr>
            </w:pPr>
            <w:r>
              <w:rPr>
                <w:rFonts w:ascii="Times New Roman"/>
                <w:w w:val="100"/>
                <w:sz w:val="21"/>
              </w:rPr>
              <w:t>-</w:t>
            </w:r>
          </w:p>
        </w:tc>
        <w:tc>
          <w:tcPr>
            <w:tcW w:w="724" w:type="dxa"/>
          </w:tcPr>
          <w:p>
            <w:pPr>
              <w:pStyle w:val="TableParagraph"/>
              <w:spacing w:line="235" w:lineRule="exact"/>
              <w:ind w:right="91"/>
              <w:jc w:val="right"/>
              <w:rPr>
                <w:rFonts w:ascii="Times New Roman"/>
                <w:sz w:val="21"/>
              </w:rPr>
            </w:pPr>
            <w:r>
              <w:rPr>
                <w:rFonts w:ascii="Times New Roman"/>
                <w:sz w:val="21"/>
              </w:rPr>
              <w:t>29,03</w:t>
            </w:r>
          </w:p>
          <w:p>
            <w:pPr>
              <w:pStyle w:val="TableParagraph"/>
              <w:spacing w:line="226" w:lineRule="exact" w:before="1"/>
              <w:ind w:right="94"/>
              <w:jc w:val="right"/>
              <w:rPr>
                <w:rFonts w:ascii="Times New Roman"/>
                <w:sz w:val="21"/>
              </w:rPr>
            </w:pPr>
            <w:r>
              <w:rPr>
                <w:rFonts w:ascii="Times New Roman"/>
                <w:w w:val="100"/>
                <w:sz w:val="21"/>
              </w:rPr>
              <w:t>1</w:t>
            </w:r>
          </w:p>
        </w:tc>
      </w:tr>
      <w:tr>
        <w:trPr>
          <w:trHeight w:val="484" w:hRule="atLeast"/>
        </w:trPr>
        <w:tc>
          <w:tcPr>
            <w:tcW w:w="2120" w:type="dxa"/>
          </w:tcPr>
          <w:p>
            <w:pPr>
              <w:pStyle w:val="TableParagraph"/>
              <w:spacing w:before="3"/>
              <w:ind w:left="107"/>
              <w:rPr>
                <w:sz w:val="21"/>
              </w:rPr>
            </w:pPr>
            <w:r>
              <w:rPr>
                <w:spacing w:val="-1"/>
                <w:sz w:val="21"/>
              </w:rPr>
              <w:t>其中：医疗保险费</w:t>
            </w:r>
            <w:r>
              <w:rPr>
                <w:color w:val="008000"/>
                <w:sz w:val="21"/>
              </w:rPr>
              <w:t> </w:t>
            </w:r>
          </w:p>
        </w:tc>
        <w:tc>
          <w:tcPr>
            <w:tcW w:w="1147" w:type="dxa"/>
          </w:tcPr>
          <w:p>
            <w:pPr>
              <w:pStyle w:val="TableParagraph"/>
              <w:spacing w:before="115"/>
              <w:ind w:right="96"/>
              <w:jc w:val="right"/>
              <w:rPr>
                <w:rFonts w:ascii="Times New Roman"/>
                <w:sz w:val="21"/>
              </w:rPr>
            </w:pPr>
            <w:r>
              <w:rPr>
                <w:rFonts w:ascii="Times New Roman"/>
                <w:sz w:val="21"/>
              </w:rPr>
              <w:t>19,237</w:t>
            </w:r>
          </w:p>
        </w:tc>
        <w:tc>
          <w:tcPr>
            <w:tcW w:w="1284" w:type="dxa"/>
          </w:tcPr>
          <w:p>
            <w:pPr>
              <w:pStyle w:val="TableParagraph"/>
              <w:spacing w:before="115"/>
              <w:ind w:right="98"/>
              <w:jc w:val="right"/>
              <w:rPr>
                <w:rFonts w:ascii="Times New Roman"/>
                <w:sz w:val="21"/>
              </w:rPr>
            </w:pPr>
            <w:r>
              <w:rPr>
                <w:rFonts w:ascii="Times New Roman"/>
                <w:sz w:val="21"/>
              </w:rPr>
              <w:t>13</w:t>
            </w:r>
          </w:p>
        </w:tc>
        <w:tc>
          <w:tcPr>
            <w:tcW w:w="1128" w:type="dxa"/>
          </w:tcPr>
          <w:p>
            <w:pPr>
              <w:pStyle w:val="TableParagraph"/>
              <w:spacing w:before="115"/>
              <w:ind w:left="338"/>
              <w:rPr>
                <w:rFonts w:ascii="Times New Roman"/>
                <w:sz w:val="21"/>
              </w:rPr>
            </w:pPr>
            <w:r>
              <w:rPr>
                <w:rFonts w:ascii="Times New Roman"/>
                <w:sz w:val="21"/>
              </w:rPr>
              <w:t>457,907</w:t>
            </w:r>
          </w:p>
        </w:tc>
        <w:tc>
          <w:tcPr>
            <w:tcW w:w="1142" w:type="dxa"/>
          </w:tcPr>
          <w:p>
            <w:pPr>
              <w:pStyle w:val="TableParagraph"/>
              <w:spacing w:before="115"/>
              <w:ind w:left="352"/>
              <w:rPr>
                <w:rFonts w:ascii="Times New Roman"/>
                <w:sz w:val="21"/>
              </w:rPr>
            </w:pPr>
            <w:r>
              <w:rPr>
                <w:rFonts w:ascii="Times New Roman"/>
                <w:sz w:val="21"/>
              </w:rPr>
              <w:t>458,524</w:t>
            </w:r>
          </w:p>
        </w:tc>
        <w:tc>
          <w:tcPr>
            <w:tcW w:w="1277" w:type="dxa"/>
          </w:tcPr>
          <w:p>
            <w:pPr>
              <w:pStyle w:val="TableParagraph"/>
              <w:spacing w:before="115"/>
              <w:ind w:right="91"/>
              <w:jc w:val="right"/>
              <w:rPr>
                <w:rFonts w:ascii="Times New Roman"/>
                <w:sz w:val="21"/>
              </w:rPr>
            </w:pPr>
            <w:r>
              <w:rPr>
                <w:rFonts w:ascii="Times New Roman"/>
                <w:w w:val="100"/>
                <w:sz w:val="21"/>
              </w:rPr>
              <w:t>-</w:t>
            </w:r>
          </w:p>
        </w:tc>
        <w:tc>
          <w:tcPr>
            <w:tcW w:w="724" w:type="dxa"/>
          </w:tcPr>
          <w:p>
            <w:pPr>
              <w:pStyle w:val="TableParagraph"/>
              <w:spacing w:line="236" w:lineRule="exact"/>
              <w:ind w:right="91"/>
              <w:jc w:val="right"/>
              <w:rPr>
                <w:rFonts w:ascii="Times New Roman"/>
                <w:sz w:val="21"/>
              </w:rPr>
            </w:pPr>
            <w:r>
              <w:rPr>
                <w:rFonts w:ascii="Times New Roman"/>
                <w:sz w:val="21"/>
              </w:rPr>
              <w:t>18,63</w:t>
            </w:r>
          </w:p>
          <w:p>
            <w:pPr>
              <w:pStyle w:val="TableParagraph"/>
              <w:spacing w:line="228" w:lineRule="exact"/>
              <w:ind w:right="94"/>
              <w:jc w:val="right"/>
              <w:rPr>
                <w:rFonts w:ascii="Times New Roman"/>
                <w:sz w:val="21"/>
              </w:rPr>
            </w:pPr>
            <w:r>
              <w:rPr>
                <w:rFonts w:ascii="Times New Roman"/>
                <w:w w:val="100"/>
                <w:sz w:val="21"/>
              </w:rPr>
              <w:t>3</w:t>
            </w:r>
          </w:p>
        </w:tc>
      </w:tr>
      <w:tr>
        <w:trPr>
          <w:trHeight w:val="270" w:hRule="atLeast"/>
        </w:trPr>
        <w:tc>
          <w:tcPr>
            <w:tcW w:w="2120" w:type="dxa"/>
          </w:tcPr>
          <w:p>
            <w:pPr>
              <w:pStyle w:val="TableParagraph"/>
              <w:spacing w:line="250" w:lineRule="exact" w:before="1"/>
              <w:ind w:right="212"/>
              <w:jc w:val="right"/>
              <w:rPr>
                <w:sz w:val="21"/>
              </w:rPr>
            </w:pPr>
            <w:r>
              <w:rPr>
                <w:sz w:val="21"/>
              </w:rPr>
              <w:t>工伤保险费 </w:t>
            </w:r>
          </w:p>
        </w:tc>
        <w:tc>
          <w:tcPr>
            <w:tcW w:w="1147" w:type="dxa"/>
          </w:tcPr>
          <w:p>
            <w:pPr>
              <w:pStyle w:val="TableParagraph"/>
              <w:spacing w:before="7"/>
              <w:ind w:right="96"/>
              <w:jc w:val="right"/>
              <w:rPr>
                <w:rFonts w:ascii="Times New Roman"/>
                <w:sz w:val="21"/>
              </w:rPr>
            </w:pPr>
            <w:r>
              <w:rPr>
                <w:rFonts w:ascii="Times New Roman"/>
                <w:sz w:val="21"/>
              </w:rPr>
              <w:t>4,899</w:t>
            </w:r>
          </w:p>
        </w:tc>
        <w:tc>
          <w:tcPr>
            <w:tcW w:w="1284" w:type="dxa"/>
          </w:tcPr>
          <w:p>
            <w:pPr>
              <w:pStyle w:val="TableParagraph"/>
              <w:spacing w:before="7"/>
              <w:ind w:right="98"/>
              <w:jc w:val="right"/>
              <w:rPr>
                <w:rFonts w:ascii="Times New Roman"/>
                <w:sz w:val="21"/>
              </w:rPr>
            </w:pPr>
            <w:r>
              <w:rPr>
                <w:rFonts w:ascii="Times New Roman"/>
                <w:w w:val="100"/>
                <w:sz w:val="21"/>
              </w:rPr>
              <w:t>2</w:t>
            </w:r>
          </w:p>
        </w:tc>
        <w:tc>
          <w:tcPr>
            <w:tcW w:w="1128" w:type="dxa"/>
          </w:tcPr>
          <w:p>
            <w:pPr>
              <w:pStyle w:val="TableParagraph"/>
              <w:spacing w:before="7"/>
              <w:ind w:right="93"/>
              <w:jc w:val="right"/>
              <w:rPr>
                <w:rFonts w:ascii="Times New Roman"/>
                <w:sz w:val="21"/>
              </w:rPr>
            </w:pPr>
            <w:r>
              <w:rPr>
                <w:rFonts w:ascii="Times New Roman"/>
                <w:sz w:val="21"/>
              </w:rPr>
              <w:t>36,356</w:t>
            </w:r>
          </w:p>
        </w:tc>
        <w:tc>
          <w:tcPr>
            <w:tcW w:w="1142" w:type="dxa"/>
          </w:tcPr>
          <w:p>
            <w:pPr>
              <w:pStyle w:val="TableParagraph"/>
              <w:spacing w:before="7"/>
              <w:ind w:left="456"/>
              <w:rPr>
                <w:rFonts w:ascii="Times New Roman"/>
                <w:sz w:val="21"/>
              </w:rPr>
            </w:pPr>
            <w:r>
              <w:rPr>
                <w:rFonts w:ascii="Times New Roman"/>
                <w:sz w:val="21"/>
              </w:rPr>
              <w:t>36,289</w:t>
            </w:r>
          </w:p>
        </w:tc>
        <w:tc>
          <w:tcPr>
            <w:tcW w:w="1277" w:type="dxa"/>
          </w:tcPr>
          <w:p>
            <w:pPr>
              <w:pStyle w:val="TableParagraph"/>
              <w:spacing w:before="7"/>
              <w:ind w:right="91"/>
              <w:jc w:val="right"/>
              <w:rPr>
                <w:rFonts w:ascii="Times New Roman"/>
                <w:sz w:val="21"/>
              </w:rPr>
            </w:pPr>
            <w:r>
              <w:rPr>
                <w:rFonts w:ascii="Times New Roman"/>
                <w:w w:val="100"/>
                <w:sz w:val="21"/>
              </w:rPr>
              <w:t>-</w:t>
            </w:r>
          </w:p>
        </w:tc>
        <w:tc>
          <w:tcPr>
            <w:tcW w:w="724" w:type="dxa"/>
          </w:tcPr>
          <w:p>
            <w:pPr>
              <w:pStyle w:val="TableParagraph"/>
              <w:spacing w:before="7"/>
              <w:ind w:right="91"/>
              <w:jc w:val="right"/>
              <w:rPr>
                <w:rFonts w:ascii="Times New Roman"/>
                <w:sz w:val="21"/>
              </w:rPr>
            </w:pPr>
            <w:r>
              <w:rPr>
                <w:rFonts w:ascii="Times New Roman"/>
                <w:sz w:val="21"/>
              </w:rPr>
              <w:t>4,968</w:t>
            </w:r>
          </w:p>
        </w:tc>
      </w:tr>
      <w:tr>
        <w:trPr>
          <w:trHeight w:val="273" w:hRule="atLeast"/>
        </w:trPr>
        <w:tc>
          <w:tcPr>
            <w:tcW w:w="2120" w:type="dxa"/>
          </w:tcPr>
          <w:p>
            <w:pPr>
              <w:pStyle w:val="TableParagraph"/>
              <w:spacing w:line="250" w:lineRule="exact" w:before="3"/>
              <w:ind w:right="212"/>
              <w:jc w:val="right"/>
              <w:rPr>
                <w:sz w:val="21"/>
              </w:rPr>
            </w:pPr>
            <w:r>
              <w:rPr>
                <w:sz w:val="21"/>
              </w:rPr>
              <w:t>生育保险费 </w:t>
            </w:r>
          </w:p>
        </w:tc>
        <w:tc>
          <w:tcPr>
            <w:tcW w:w="1147" w:type="dxa"/>
          </w:tcPr>
          <w:p>
            <w:pPr>
              <w:pStyle w:val="TableParagraph"/>
              <w:spacing w:before="10"/>
              <w:ind w:right="96"/>
              <w:jc w:val="right"/>
              <w:rPr>
                <w:rFonts w:ascii="Times New Roman"/>
                <w:sz w:val="21"/>
              </w:rPr>
            </w:pPr>
            <w:r>
              <w:rPr>
                <w:rFonts w:ascii="Times New Roman"/>
                <w:sz w:val="21"/>
              </w:rPr>
              <w:t>5,349</w:t>
            </w:r>
          </w:p>
        </w:tc>
        <w:tc>
          <w:tcPr>
            <w:tcW w:w="1284" w:type="dxa"/>
          </w:tcPr>
          <w:p>
            <w:pPr>
              <w:pStyle w:val="TableParagraph"/>
              <w:spacing w:before="10"/>
              <w:ind w:right="98"/>
              <w:jc w:val="right"/>
              <w:rPr>
                <w:rFonts w:ascii="Times New Roman"/>
                <w:sz w:val="21"/>
              </w:rPr>
            </w:pPr>
            <w:r>
              <w:rPr>
                <w:rFonts w:ascii="Times New Roman"/>
                <w:w w:val="100"/>
                <w:sz w:val="21"/>
              </w:rPr>
              <w:t>3</w:t>
            </w:r>
          </w:p>
        </w:tc>
        <w:tc>
          <w:tcPr>
            <w:tcW w:w="1128" w:type="dxa"/>
          </w:tcPr>
          <w:p>
            <w:pPr>
              <w:pStyle w:val="TableParagraph"/>
              <w:spacing w:before="10"/>
              <w:ind w:right="93"/>
              <w:jc w:val="right"/>
              <w:rPr>
                <w:rFonts w:ascii="Times New Roman"/>
                <w:sz w:val="21"/>
              </w:rPr>
            </w:pPr>
            <w:r>
              <w:rPr>
                <w:rFonts w:ascii="Times New Roman"/>
                <w:sz w:val="21"/>
              </w:rPr>
              <w:t>59,259</w:t>
            </w:r>
          </w:p>
        </w:tc>
        <w:tc>
          <w:tcPr>
            <w:tcW w:w="1142" w:type="dxa"/>
          </w:tcPr>
          <w:p>
            <w:pPr>
              <w:pStyle w:val="TableParagraph"/>
              <w:spacing w:before="10"/>
              <w:ind w:left="456"/>
              <w:rPr>
                <w:rFonts w:ascii="Times New Roman"/>
                <w:sz w:val="21"/>
              </w:rPr>
            </w:pPr>
            <w:r>
              <w:rPr>
                <w:rFonts w:ascii="Times New Roman"/>
                <w:sz w:val="21"/>
              </w:rPr>
              <w:t>59,181</w:t>
            </w:r>
          </w:p>
        </w:tc>
        <w:tc>
          <w:tcPr>
            <w:tcW w:w="1277" w:type="dxa"/>
          </w:tcPr>
          <w:p>
            <w:pPr>
              <w:pStyle w:val="TableParagraph"/>
              <w:spacing w:before="10"/>
              <w:ind w:right="91"/>
              <w:jc w:val="right"/>
              <w:rPr>
                <w:rFonts w:ascii="Times New Roman"/>
                <w:sz w:val="21"/>
              </w:rPr>
            </w:pPr>
            <w:r>
              <w:rPr>
                <w:rFonts w:ascii="Times New Roman"/>
                <w:w w:val="100"/>
                <w:sz w:val="21"/>
              </w:rPr>
              <w:t>-</w:t>
            </w:r>
          </w:p>
        </w:tc>
        <w:tc>
          <w:tcPr>
            <w:tcW w:w="724" w:type="dxa"/>
          </w:tcPr>
          <w:p>
            <w:pPr>
              <w:pStyle w:val="TableParagraph"/>
              <w:spacing w:before="10"/>
              <w:ind w:right="91"/>
              <w:jc w:val="right"/>
              <w:rPr>
                <w:rFonts w:ascii="Times New Roman"/>
                <w:sz w:val="21"/>
              </w:rPr>
            </w:pPr>
            <w:r>
              <w:rPr>
                <w:rFonts w:ascii="Times New Roman"/>
                <w:sz w:val="21"/>
              </w:rPr>
              <w:t>5,430</w:t>
            </w:r>
          </w:p>
        </w:tc>
      </w:tr>
      <w:tr>
        <w:trPr>
          <w:trHeight w:val="273" w:hRule="atLeast"/>
        </w:trPr>
        <w:tc>
          <w:tcPr>
            <w:tcW w:w="2120" w:type="dxa"/>
          </w:tcPr>
          <w:p>
            <w:pPr>
              <w:pStyle w:val="TableParagraph"/>
              <w:spacing w:line="252" w:lineRule="exact" w:before="1"/>
              <w:ind w:right="524"/>
              <w:jc w:val="center"/>
              <w:rPr>
                <w:sz w:val="21"/>
              </w:rPr>
            </w:pPr>
            <w:r>
              <w:rPr>
                <w:w w:val="100"/>
                <w:sz w:val="21"/>
              </w:rPr>
              <w:t> </w:t>
            </w:r>
          </w:p>
        </w:tc>
        <w:tc>
          <w:tcPr>
            <w:tcW w:w="1147" w:type="dxa"/>
          </w:tcPr>
          <w:p>
            <w:pPr>
              <w:pStyle w:val="TableParagraph"/>
              <w:rPr>
                <w:rFonts w:ascii="Times New Roman"/>
                <w:sz w:val="20"/>
              </w:rPr>
            </w:pPr>
          </w:p>
        </w:tc>
        <w:tc>
          <w:tcPr>
            <w:tcW w:w="1284" w:type="dxa"/>
          </w:tcPr>
          <w:p>
            <w:pPr>
              <w:pStyle w:val="TableParagraph"/>
              <w:rPr>
                <w:rFonts w:ascii="Times New Roman"/>
                <w:sz w:val="20"/>
              </w:rPr>
            </w:pPr>
          </w:p>
        </w:tc>
        <w:tc>
          <w:tcPr>
            <w:tcW w:w="1128" w:type="dxa"/>
          </w:tcPr>
          <w:p>
            <w:pPr>
              <w:pStyle w:val="TableParagraph"/>
              <w:rPr>
                <w:rFonts w:ascii="Times New Roman"/>
                <w:sz w:val="20"/>
              </w:rPr>
            </w:pPr>
          </w:p>
        </w:tc>
        <w:tc>
          <w:tcPr>
            <w:tcW w:w="1142" w:type="dxa"/>
          </w:tcPr>
          <w:p>
            <w:pPr>
              <w:pStyle w:val="TableParagraph"/>
              <w:rPr>
                <w:rFonts w:ascii="Times New Roman"/>
                <w:sz w:val="20"/>
              </w:rPr>
            </w:pPr>
          </w:p>
        </w:tc>
        <w:tc>
          <w:tcPr>
            <w:tcW w:w="1277" w:type="dxa"/>
          </w:tcPr>
          <w:p>
            <w:pPr>
              <w:pStyle w:val="TableParagraph"/>
              <w:rPr>
                <w:rFonts w:ascii="Times New Roman"/>
                <w:sz w:val="20"/>
              </w:rPr>
            </w:pPr>
          </w:p>
        </w:tc>
        <w:tc>
          <w:tcPr>
            <w:tcW w:w="724" w:type="dxa"/>
          </w:tcPr>
          <w:p>
            <w:pPr>
              <w:pStyle w:val="TableParagraph"/>
              <w:rPr>
                <w:rFonts w:ascii="Times New Roman"/>
                <w:sz w:val="20"/>
              </w:rPr>
            </w:pPr>
          </w:p>
        </w:tc>
      </w:tr>
      <w:tr>
        <w:trPr>
          <w:trHeight w:val="270" w:hRule="atLeast"/>
        </w:trPr>
        <w:tc>
          <w:tcPr>
            <w:tcW w:w="2120" w:type="dxa"/>
          </w:tcPr>
          <w:p>
            <w:pPr>
              <w:pStyle w:val="TableParagraph"/>
              <w:spacing w:line="250" w:lineRule="exact" w:before="1"/>
              <w:ind w:right="524"/>
              <w:jc w:val="center"/>
              <w:rPr>
                <w:sz w:val="21"/>
              </w:rPr>
            </w:pPr>
            <w:r>
              <w:rPr>
                <w:w w:val="100"/>
                <w:sz w:val="21"/>
              </w:rPr>
              <w:t> </w:t>
            </w:r>
          </w:p>
        </w:tc>
        <w:tc>
          <w:tcPr>
            <w:tcW w:w="1147" w:type="dxa"/>
          </w:tcPr>
          <w:p>
            <w:pPr>
              <w:pStyle w:val="TableParagraph"/>
              <w:rPr>
                <w:rFonts w:ascii="Times New Roman"/>
                <w:sz w:val="20"/>
              </w:rPr>
            </w:pPr>
          </w:p>
        </w:tc>
        <w:tc>
          <w:tcPr>
            <w:tcW w:w="1284" w:type="dxa"/>
          </w:tcPr>
          <w:p>
            <w:pPr>
              <w:pStyle w:val="TableParagraph"/>
              <w:rPr>
                <w:rFonts w:ascii="Times New Roman"/>
                <w:sz w:val="20"/>
              </w:rPr>
            </w:pPr>
          </w:p>
        </w:tc>
        <w:tc>
          <w:tcPr>
            <w:tcW w:w="1128" w:type="dxa"/>
          </w:tcPr>
          <w:p>
            <w:pPr>
              <w:pStyle w:val="TableParagraph"/>
              <w:rPr>
                <w:rFonts w:ascii="Times New Roman"/>
                <w:sz w:val="20"/>
              </w:rPr>
            </w:pPr>
          </w:p>
        </w:tc>
        <w:tc>
          <w:tcPr>
            <w:tcW w:w="1142" w:type="dxa"/>
          </w:tcPr>
          <w:p>
            <w:pPr>
              <w:pStyle w:val="TableParagraph"/>
              <w:rPr>
                <w:rFonts w:ascii="Times New Roman"/>
                <w:sz w:val="20"/>
              </w:rPr>
            </w:pPr>
          </w:p>
        </w:tc>
        <w:tc>
          <w:tcPr>
            <w:tcW w:w="1277" w:type="dxa"/>
          </w:tcPr>
          <w:p>
            <w:pPr>
              <w:pStyle w:val="TableParagraph"/>
              <w:rPr>
                <w:rFonts w:ascii="Times New Roman"/>
                <w:sz w:val="20"/>
              </w:rPr>
            </w:pPr>
          </w:p>
        </w:tc>
        <w:tc>
          <w:tcPr>
            <w:tcW w:w="724" w:type="dxa"/>
          </w:tcPr>
          <w:p>
            <w:pPr>
              <w:pStyle w:val="TableParagraph"/>
              <w:rPr>
                <w:rFonts w:ascii="Times New Roman"/>
                <w:sz w:val="20"/>
              </w:rPr>
            </w:pPr>
          </w:p>
        </w:tc>
      </w:tr>
      <w:tr>
        <w:trPr>
          <w:trHeight w:val="484" w:hRule="atLeast"/>
        </w:trPr>
        <w:tc>
          <w:tcPr>
            <w:tcW w:w="2120" w:type="dxa"/>
          </w:tcPr>
          <w:p>
            <w:pPr>
              <w:pStyle w:val="TableParagraph"/>
              <w:spacing w:before="3"/>
              <w:ind w:left="107"/>
              <w:rPr>
                <w:sz w:val="21"/>
              </w:rPr>
            </w:pPr>
            <w:r>
              <w:rPr>
                <w:spacing w:val="-1"/>
                <w:sz w:val="21"/>
              </w:rPr>
              <w:t>四、住房公积金</w:t>
            </w:r>
            <w:r>
              <w:rPr>
                <w:sz w:val="21"/>
              </w:rPr>
              <w:t> </w:t>
            </w:r>
          </w:p>
        </w:tc>
        <w:tc>
          <w:tcPr>
            <w:tcW w:w="1147" w:type="dxa"/>
          </w:tcPr>
          <w:p>
            <w:pPr>
              <w:pStyle w:val="TableParagraph"/>
              <w:spacing w:before="116"/>
              <w:ind w:right="96"/>
              <w:jc w:val="right"/>
              <w:rPr>
                <w:rFonts w:ascii="Times New Roman"/>
                <w:sz w:val="21"/>
              </w:rPr>
            </w:pPr>
            <w:r>
              <w:rPr>
                <w:rFonts w:ascii="Times New Roman"/>
                <w:sz w:val="21"/>
              </w:rPr>
              <w:t>30,494</w:t>
            </w:r>
          </w:p>
        </w:tc>
        <w:tc>
          <w:tcPr>
            <w:tcW w:w="1284" w:type="dxa"/>
          </w:tcPr>
          <w:p>
            <w:pPr>
              <w:pStyle w:val="TableParagraph"/>
              <w:spacing w:before="116"/>
              <w:ind w:right="98"/>
              <w:jc w:val="right"/>
              <w:rPr>
                <w:rFonts w:ascii="Times New Roman"/>
                <w:sz w:val="21"/>
              </w:rPr>
            </w:pPr>
            <w:r>
              <w:rPr>
                <w:rFonts w:ascii="Times New Roman"/>
                <w:sz w:val="21"/>
              </w:rPr>
              <w:t>18</w:t>
            </w:r>
          </w:p>
        </w:tc>
        <w:tc>
          <w:tcPr>
            <w:tcW w:w="1128" w:type="dxa"/>
          </w:tcPr>
          <w:p>
            <w:pPr>
              <w:pStyle w:val="TableParagraph"/>
              <w:spacing w:before="116"/>
              <w:ind w:left="338"/>
              <w:rPr>
                <w:rFonts w:ascii="Times New Roman"/>
                <w:sz w:val="21"/>
              </w:rPr>
            </w:pPr>
            <w:r>
              <w:rPr>
                <w:rFonts w:ascii="Times New Roman"/>
                <w:sz w:val="21"/>
              </w:rPr>
              <w:t>434,871</w:t>
            </w:r>
          </w:p>
        </w:tc>
        <w:tc>
          <w:tcPr>
            <w:tcW w:w="1142" w:type="dxa"/>
          </w:tcPr>
          <w:p>
            <w:pPr>
              <w:pStyle w:val="TableParagraph"/>
              <w:spacing w:before="116"/>
              <w:ind w:left="352"/>
              <w:rPr>
                <w:rFonts w:ascii="Times New Roman"/>
                <w:sz w:val="21"/>
              </w:rPr>
            </w:pPr>
            <w:r>
              <w:rPr>
                <w:rFonts w:ascii="Times New Roman"/>
                <w:sz w:val="21"/>
              </w:rPr>
              <w:t>433,851</w:t>
            </w:r>
          </w:p>
        </w:tc>
        <w:tc>
          <w:tcPr>
            <w:tcW w:w="1277" w:type="dxa"/>
          </w:tcPr>
          <w:p>
            <w:pPr>
              <w:pStyle w:val="TableParagraph"/>
              <w:spacing w:before="116"/>
              <w:ind w:right="90"/>
              <w:jc w:val="right"/>
              <w:rPr>
                <w:rFonts w:ascii="Times New Roman"/>
                <w:sz w:val="21"/>
              </w:rPr>
            </w:pPr>
            <w:r>
              <w:rPr>
                <w:rFonts w:ascii="Times New Roman"/>
                <w:sz w:val="21"/>
              </w:rPr>
              <w:t>358</w:t>
            </w:r>
          </w:p>
        </w:tc>
        <w:tc>
          <w:tcPr>
            <w:tcW w:w="724" w:type="dxa"/>
          </w:tcPr>
          <w:p>
            <w:pPr>
              <w:pStyle w:val="TableParagraph"/>
              <w:spacing w:line="237" w:lineRule="exact"/>
              <w:ind w:right="91"/>
              <w:jc w:val="right"/>
              <w:rPr>
                <w:rFonts w:ascii="Times New Roman"/>
                <w:sz w:val="21"/>
              </w:rPr>
            </w:pPr>
            <w:r>
              <w:rPr>
                <w:rFonts w:ascii="Times New Roman"/>
                <w:sz w:val="21"/>
              </w:rPr>
              <w:t>31,89</w:t>
            </w:r>
          </w:p>
          <w:p>
            <w:pPr>
              <w:pStyle w:val="TableParagraph"/>
              <w:spacing w:line="228" w:lineRule="exact"/>
              <w:ind w:right="94"/>
              <w:jc w:val="right"/>
              <w:rPr>
                <w:rFonts w:ascii="Times New Roman"/>
                <w:sz w:val="21"/>
              </w:rPr>
            </w:pPr>
            <w:r>
              <w:rPr>
                <w:rFonts w:ascii="Times New Roman"/>
                <w:w w:val="100"/>
                <w:sz w:val="21"/>
              </w:rPr>
              <w:t>0</w:t>
            </w:r>
          </w:p>
        </w:tc>
      </w:tr>
      <w:tr>
        <w:trPr>
          <w:trHeight w:val="544" w:hRule="atLeast"/>
        </w:trPr>
        <w:tc>
          <w:tcPr>
            <w:tcW w:w="2120" w:type="dxa"/>
          </w:tcPr>
          <w:p>
            <w:pPr>
              <w:pStyle w:val="TableParagraph"/>
              <w:spacing w:before="1"/>
              <w:ind w:left="107"/>
              <w:rPr>
                <w:sz w:val="21"/>
              </w:rPr>
            </w:pPr>
            <w:r>
              <w:rPr>
                <w:sz w:val="21"/>
              </w:rPr>
              <w:t>五、工会经费和职工</w:t>
            </w:r>
          </w:p>
          <w:p>
            <w:pPr>
              <w:pStyle w:val="TableParagraph"/>
              <w:spacing w:line="252" w:lineRule="exact" w:before="2"/>
              <w:ind w:left="107"/>
              <w:rPr>
                <w:sz w:val="21"/>
              </w:rPr>
            </w:pPr>
            <w:r>
              <w:rPr>
                <w:spacing w:val="-1"/>
                <w:sz w:val="21"/>
              </w:rPr>
              <w:t>教育经费</w:t>
            </w:r>
            <w:r>
              <w:rPr>
                <w:sz w:val="21"/>
              </w:rPr>
              <w:t> </w:t>
            </w:r>
          </w:p>
        </w:tc>
        <w:tc>
          <w:tcPr>
            <w:tcW w:w="1147" w:type="dxa"/>
          </w:tcPr>
          <w:p>
            <w:pPr>
              <w:pStyle w:val="TableParagraph"/>
              <w:spacing w:before="144"/>
              <w:ind w:right="96"/>
              <w:jc w:val="right"/>
              <w:rPr>
                <w:rFonts w:ascii="Times New Roman"/>
                <w:sz w:val="21"/>
              </w:rPr>
            </w:pPr>
            <w:r>
              <w:rPr>
                <w:rFonts w:ascii="Times New Roman"/>
                <w:sz w:val="21"/>
              </w:rPr>
              <w:t>109,992</w:t>
            </w:r>
          </w:p>
        </w:tc>
        <w:tc>
          <w:tcPr>
            <w:tcW w:w="1284" w:type="dxa"/>
          </w:tcPr>
          <w:p>
            <w:pPr>
              <w:pStyle w:val="TableParagraph"/>
              <w:spacing w:before="144"/>
              <w:ind w:right="98"/>
              <w:jc w:val="right"/>
              <w:rPr>
                <w:rFonts w:ascii="Times New Roman"/>
                <w:sz w:val="21"/>
              </w:rPr>
            </w:pPr>
            <w:r>
              <w:rPr>
                <w:rFonts w:ascii="Times New Roman"/>
                <w:sz w:val="21"/>
              </w:rPr>
              <w:t>50</w:t>
            </w:r>
          </w:p>
        </w:tc>
        <w:tc>
          <w:tcPr>
            <w:tcW w:w="1128" w:type="dxa"/>
          </w:tcPr>
          <w:p>
            <w:pPr>
              <w:pStyle w:val="TableParagraph"/>
              <w:spacing w:before="144"/>
              <w:ind w:left="338"/>
              <w:rPr>
                <w:rFonts w:ascii="Times New Roman"/>
                <w:sz w:val="21"/>
              </w:rPr>
            </w:pPr>
            <w:r>
              <w:rPr>
                <w:rFonts w:ascii="Times New Roman"/>
                <w:sz w:val="21"/>
              </w:rPr>
              <w:t>275,655</w:t>
            </w:r>
          </w:p>
        </w:tc>
        <w:tc>
          <w:tcPr>
            <w:tcW w:w="1142" w:type="dxa"/>
          </w:tcPr>
          <w:p>
            <w:pPr>
              <w:pStyle w:val="TableParagraph"/>
              <w:spacing w:before="144"/>
              <w:ind w:left="352"/>
              <w:rPr>
                <w:rFonts w:ascii="Times New Roman"/>
                <w:sz w:val="21"/>
              </w:rPr>
            </w:pPr>
            <w:r>
              <w:rPr>
                <w:rFonts w:ascii="Times New Roman"/>
                <w:sz w:val="21"/>
              </w:rPr>
              <w:t>270,780</w:t>
            </w:r>
          </w:p>
        </w:tc>
        <w:tc>
          <w:tcPr>
            <w:tcW w:w="1277" w:type="dxa"/>
          </w:tcPr>
          <w:p>
            <w:pPr>
              <w:pStyle w:val="TableParagraph"/>
              <w:spacing w:before="144"/>
              <w:ind w:right="92"/>
              <w:jc w:val="right"/>
              <w:rPr>
                <w:rFonts w:ascii="Times New Roman"/>
                <w:sz w:val="21"/>
              </w:rPr>
            </w:pPr>
            <w:r>
              <w:rPr>
                <w:rFonts w:ascii="Times New Roman"/>
                <w:sz w:val="21"/>
              </w:rPr>
              <w:t>59</w:t>
            </w:r>
          </w:p>
        </w:tc>
        <w:tc>
          <w:tcPr>
            <w:tcW w:w="724" w:type="dxa"/>
          </w:tcPr>
          <w:p>
            <w:pPr>
              <w:pStyle w:val="TableParagraph"/>
              <w:spacing w:line="241" w:lineRule="exact" w:before="24"/>
              <w:ind w:right="91"/>
              <w:jc w:val="right"/>
              <w:rPr>
                <w:rFonts w:ascii="Times New Roman"/>
                <w:sz w:val="21"/>
              </w:rPr>
            </w:pPr>
            <w:r>
              <w:rPr>
                <w:rFonts w:ascii="Times New Roman"/>
                <w:sz w:val="21"/>
              </w:rPr>
              <w:t>114,9</w:t>
            </w:r>
          </w:p>
          <w:p>
            <w:pPr>
              <w:pStyle w:val="TableParagraph"/>
              <w:spacing w:line="241" w:lineRule="exact"/>
              <w:ind w:right="94"/>
              <w:jc w:val="right"/>
              <w:rPr>
                <w:rFonts w:ascii="Times New Roman"/>
                <w:sz w:val="21"/>
              </w:rPr>
            </w:pPr>
            <w:r>
              <w:rPr>
                <w:rFonts w:ascii="Times New Roman"/>
                <w:sz w:val="21"/>
              </w:rPr>
              <w:t>76</w:t>
            </w:r>
          </w:p>
        </w:tc>
      </w:tr>
      <w:tr>
        <w:trPr>
          <w:trHeight w:val="273" w:hRule="atLeast"/>
        </w:trPr>
        <w:tc>
          <w:tcPr>
            <w:tcW w:w="2120" w:type="dxa"/>
          </w:tcPr>
          <w:p>
            <w:pPr>
              <w:pStyle w:val="TableParagraph"/>
              <w:spacing w:line="252" w:lineRule="exact" w:before="1"/>
              <w:ind w:left="107"/>
              <w:rPr>
                <w:sz w:val="21"/>
              </w:rPr>
            </w:pPr>
            <w:r>
              <w:rPr>
                <w:spacing w:val="-1"/>
                <w:sz w:val="21"/>
              </w:rPr>
              <w:t>六、短期带薪缺勤</w:t>
            </w:r>
            <w:r>
              <w:rPr>
                <w:sz w:val="21"/>
              </w:rPr>
              <w:t> </w:t>
            </w:r>
          </w:p>
        </w:tc>
        <w:tc>
          <w:tcPr>
            <w:tcW w:w="1147" w:type="dxa"/>
          </w:tcPr>
          <w:p>
            <w:pPr>
              <w:pStyle w:val="TableParagraph"/>
              <w:rPr>
                <w:rFonts w:ascii="Times New Roman"/>
                <w:sz w:val="20"/>
              </w:rPr>
            </w:pPr>
          </w:p>
        </w:tc>
        <w:tc>
          <w:tcPr>
            <w:tcW w:w="1284" w:type="dxa"/>
          </w:tcPr>
          <w:p>
            <w:pPr>
              <w:pStyle w:val="TableParagraph"/>
              <w:rPr>
                <w:rFonts w:ascii="Times New Roman"/>
                <w:sz w:val="20"/>
              </w:rPr>
            </w:pPr>
          </w:p>
        </w:tc>
        <w:tc>
          <w:tcPr>
            <w:tcW w:w="1128" w:type="dxa"/>
          </w:tcPr>
          <w:p>
            <w:pPr>
              <w:pStyle w:val="TableParagraph"/>
              <w:rPr>
                <w:rFonts w:ascii="Times New Roman"/>
                <w:sz w:val="20"/>
              </w:rPr>
            </w:pPr>
          </w:p>
        </w:tc>
        <w:tc>
          <w:tcPr>
            <w:tcW w:w="1142" w:type="dxa"/>
          </w:tcPr>
          <w:p>
            <w:pPr>
              <w:pStyle w:val="TableParagraph"/>
              <w:rPr>
                <w:rFonts w:ascii="Times New Roman"/>
                <w:sz w:val="20"/>
              </w:rPr>
            </w:pPr>
          </w:p>
        </w:tc>
        <w:tc>
          <w:tcPr>
            <w:tcW w:w="1277" w:type="dxa"/>
          </w:tcPr>
          <w:p>
            <w:pPr>
              <w:pStyle w:val="TableParagraph"/>
              <w:rPr>
                <w:rFonts w:ascii="Times New Roman"/>
                <w:sz w:val="20"/>
              </w:rPr>
            </w:pPr>
          </w:p>
        </w:tc>
        <w:tc>
          <w:tcPr>
            <w:tcW w:w="724" w:type="dxa"/>
          </w:tcPr>
          <w:p>
            <w:pPr>
              <w:pStyle w:val="TableParagraph"/>
              <w:rPr>
                <w:rFonts w:ascii="Times New Roman"/>
                <w:sz w:val="20"/>
              </w:rPr>
            </w:pPr>
          </w:p>
        </w:tc>
      </w:tr>
      <w:tr>
        <w:trPr>
          <w:trHeight w:val="544" w:hRule="atLeast"/>
        </w:trPr>
        <w:tc>
          <w:tcPr>
            <w:tcW w:w="2120" w:type="dxa"/>
          </w:tcPr>
          <w:p>
            <w:pPr>
              <w:pStyle w:val="TableParagraph"/>
              <w:spacing w:before="1"/>
              <w:ind w:left="107"/>
              <w:rPr>
                <w:sz w:val="21"/>
              </w:rPr>
            </w:pPr>
            <w:r>
              <w:rPr>
                <w:sz w:val="21"/>
              </w:rPr>
              <w:t>七、短期利润分享计</w:t>
            </w:r>
          </w:p>
          <w:p>
            <w:pPr>
              <w:pStyle w:val="TableParagraph"/>
              <w:spacing w:line="252" w:lineRule="exact" w:before="2"/>
              <w:ind w:left="107"/>
              <w:rPr>
                <w:sz w:val="21"/>
              </w:rPr>
            </w:pPr>
            <w:r>
              <w:rPr>
                <w:sz w:val="21"/>
              </w:rPr>
              <w:t>划 </w:t>
            </w:r>
          </w:p>
        </w:tc>
        <w:tc>
          <w:tcPr>
            <w:tcW w:w="1147" w:type="dxa"/>
          </w:tcPr>
          <w:p>
            <w:pPr>
              <w:pStyle w:val="TableParagraph"/>
              <w:rPr>
                <w:rFonts w:ascii="Times New Roman"/>
                <w:sz w:val="20"/>
              </w:rPr>
            </w:pPr>
          </w:p>
        </w:tc>
        <w:tc>
          <w:tcPr>
            <w:tcW w:w="1284" w:type="dxa"/>
          </w:tcPr>
          <w:p>
            <w:pPr>
              <w:pStyle w:val="TableParagraph"/>
              <w:rPr>
                <w:rFonts w:ascii="Times New Roman"/>
                <w:sz w:val="20"/>
              </w:rPr>
            </w:pPr>
          </w:p>
        </w:tc>
        <w:tc>
          <w:tcPr>
            <w:tcW w:w="1128" w:type="dxa"/>
          </w:tcPr>
          <w:p>
            <w:pPr>
              <w:pStyle w:val="TableParagraph"/>
              <w:rPr>
                <w:rFonts w:ascii="Times New Roman"/>
                <w:sz w:val="20"/>
              </w:rPr>
            </w:pPr>
          </w:p>
        </w:tc>
        <w:tc>
          <w:tcPr>
            <w:tcW w:w="1142" w:type="dxa"/>
          </w:tcPr>
          <w:p>
            <w:pPr>
              <w:pStyle w:val="TableParagraph"/>
              <w:rPr>
                <w:rFonts w:ascii="Times New Roman"/>
                <w:sz w:val="20"/>
              </w:rPr>
            </w:pPr>
          </w:p>
        </w:tc>
        <w:tc>
          <w:tcPr>
            <w:tcW w:w="1277" w:type="dxa"/>
          </w:tcPr>
          <w:p>
            <w:pPr>
              <w:pStyle w:val="TableParagraph"/>
              <w:rPr>
                <w:rFonts w:ascii="Times New Roman"/>
                <w:sz w:val="20"/>
              </w:rPr>
            </w:pPr>
          </w:p>
        </w:tc>
        <w:tc>
          <w:tcPr>
            <w:tcW w:w="724" w:type="dxa"/>
          </w:tcPr>
          <w:p>
            <w:pPr>
              <w:pStyle w:val="TableParagraph"/>
              <w:rPr>
                <w:rFonts w:ascii="Times New Roman"/>
                <w:sz w:val="20"/>
              </w:rPr>
            </w:pPr>
          </w:p>
        </w:tc>
      </w:tr>
      <w:tr>
        <w:trPr>
          <w:trHeight w:val="482" w:hRule="atLeast"/>
        </w:trPr>
        <w:tc>
          <w:tcPr>
            <w:tcW w:w="2120" w:type="dxa"/>
          </w:tcPr>
          <w:p>
            <w:pPr>
              <w:pStyle w:val="TableParagraph"/>
              <w:spacing w:before="1"/>
              <w:ind w:left="107"/>
              <w:rPr>
                <w:sz w:val="21"/>
              </w:rPr>
            </w:pPr>
            <w:r>
              <w:rPr>
                <w:spacing w:val="-1"/>
                <w:sz w:val="21"/>
              </w:rPr>
              <w:t>八、海外社保</w:t>
            </w:r>
            <w:r>
              <w:rPr>
                <w:sz w:val="21"/>
              </w:rPr>
              <w:t> </w:t>
            </w:r>
          </w:p>
        </w:tc>
        <w:tc>
          <w:tcPr>
            <w:tcW w:w="1147" w:type="dxa"/>
          </w:tcPr>
          <w:p>
            <w:pPr>
              <w:pStyle w:val="TableParagraph"/>
              <w:spacing w:line="235" w:lineRule="exact"/>
              <w:ind w:right="96"/>
              <w:jc w:val="right"/>
              <w:rPr>
                <w:rFonts w:ascii="Times New Roman"/>
                <w:sz w:val="21"/>
              </w:rPr>
            </w:pPr>
            <w:r>
              <w:rPr>
                <w:rFonts w:ascii="Times New Roman"/>
                <w:sz w:val="21"/>
              </w:rPr>
              <w:t>60,186</w:t>
            </w:r>
          </w:p>
        </w:tc>
        <w:tc>
          <w:tcPr>
            <w:tcW w:w="1284" w:type="dxa"/>
          </w:tcPr>
          <w:p>
            <w:pPr>
              <w:pStyle w:val="TableParagraph"/>
              <w:spacing w:line="235" w:lineRule="exact"/>
              <w:ind w:right="97"/>
              <w:jc w:val="right"/>
              <w:rPr>
                <w:rFonts w:ascii="Times New Roman"/>
                <w:sz w:val="21"/>
              </w:rPr>
            </w:pPr>
            <w:r>
              <w:rPr>
                <w:rFonts w:ascii="Times New Roman"/>
                <w:w w:val="100"/>
                <w:sz w:val="21"/>
              </w:rPr>
              <w:t>-</w:t>
            </w:r>
          </w:p>
        </w:tc>
        <w:tc>
          <w:tcPr>
            <w:tcW w:w="1128" w:type="dxa"/>
          </w:tcPr>
          <w:p>
            <w:pPr>
              <w:pStyle w:val="TableParagraph"/>
              <w:spacing w:line="235" w:lineRule="exact"/>
              <w:ind w:left="338"/>
              <w:rPr>
                <w:rFonts w:ascii="Times New Roman"/>
                <w:sz w:val="21"/>
              </w:rPr>
            </w:pPr>
            <w:r>
              <w:rPr>
                <w:rFonts w:ascii="Times New Roman"/>
                <w:sz w:val="21"/>
              </w:rPr>
              <w:t>422,922</w:t>
            </w:r>
          </w:p>
        </w:tc>
        <w:tc>
          <w:tcPr>
            <w:tcW w:w="1142" w:type="dxa"/>
          </w:tcPr>
          <w:p>
            <w:pPr>
              <w:pStyle w:val="TableParagraph"/>
              <w:spacing w:line="235" w:lineRule="exact"/>
              <w:ind w:left="352"/>
              <w:rPr>
                <w:rFonts w:ascii="Times New Roman"/>
                <w:sz w:val="21"/>
              </w:rPr>
            </w:pPr>
            <w:r>
              <w:rPr>
                <w:rFonts w:ascii="Times New Roman"/>
                <w:sz w:val="21"/>
              </w:rPr>
              <w:t>412,646</w:t>
            </w:r>
          </w:p>
        </w:tc>
        <w:tc>
          <w:tcPr>
            <w:tcW w:w="1277" w:type="dxa"/>
          </w:tcPr>
          <w:p>
            <w:pPr>
              <w:pStyle w:val="TableParagraph"/>
              <w:spacing w:line="235" w:lineRule="exact"/>
              <w:ind w:right="90"/>
              <w:jc w:val="right"/>
              <w:rPr>
                <w:rFonts w:ascii="Times New Roman"/>
                <w:sz w:val="21"/>
              </w:rPr>
            </w:pPr>
            <w:r>
              <w:rPr>
                <w:rFonts w:ascii="Times New Roman"/>
                <w:sz w:val="21"/>
              </w:rPr>
              <w:t>2,909</w:t>
            </w:r>
          </w:p>
        </w:tc>
        <w:tc>
          <w:tcPr>
            <w:tcW w:w="724" w:type="dxa"/>
          </w:tcPr>
          <w:p>
            <w:pPr>
              <w:pStyle w:val="TableParagraph"/>
              <w:spacing w:line="234" w:lineRule="exact"/>
              <w:ind w:right="91"/>
              <w:jc w:val="right"/>
              <w:rPr>
                <w:rFonts w:ascii="Times New Roman"/>
                <w:sz w:val="21"/>
              </w:rPr>
            </w:pPr>
            <w:r>
              <w:rPr>
                <w:rFonts w:ascii="Times New Roman"/>
                <w:sz w:val="21"/>
              </w:rPr>
              <w:t>73,37</w:t>
            </w:r>
          </w:p>
          <w:p>
            <w:pPr>
              <w:pStyle w:val="TableParagraph"/>
              <w:spacing w:line="228" w:lineRule="exact"/>
              <w:ind w:right="94"/>
              <w:jc w:val="right"/>
              <w:rPr>
                <w:rFonts w:ascii="Times New Roman"/>
                <w:sz w:val="21"/>
              </w:rPr>
            </w:pPr>
            <w:r>
              <w:rPr>
                <w:rFonts w:ascii="Times New Roman"/>
                <w:w w:val="100"/>
                <w:sz w:val="21"/>
              </w:rPr>
              <w:t>1</w:t>
            </w:r>
          </w:p>
        </w:tc>
      </w:tr>
      <w:tr>
        <w:trPr>
          <w:trHeight w:val="273" w:hRule="atLeast"/>
        </w:trPr>
        <w:tc>
          <w:tcPr>
            <w:tcW w:w="2120" w:type="dxa"/>
          </w:tcPr>
          <w:p>
            <w:pPr>
              <w:pStyle w:val="TableParagraph"/>
              <w:spacing w:line="252" w:lineRule="exact" w:before="1"/>
              <w:ind w:left="107"/>
              <w:rPr>
                <w:sz w:val="21"/>
              </w:rPr>
            </w:pPr>
            <w:r>
              <w:rPr>
                <w:w w:val="100"/>
                <w:sz w:val="21"/>
              </w:rPr>
              <w:t> </w:t>
            </w:r>
          </w:p>
        </w:tc>
        <w:tc>
          <w:tcPr>
            <w:tcW w:w="1147" w:type="dxa"/>
          </w:tcPr>
          <w:p>
            <w:pPr>
              <w:pStyle w:val="TableParagraph"/>
              <w:rPr>
                <w:rFonts w:ascii="Times New Roman"/>
                <w:sz w:val="20"/>
              </w:rPr>
            </w:pPr>
          </w:p>
        </w:tc>
        <w:tc>
          <w:tcPr>
            <w:tcW w:w="1284" w:type="dxa"/>
          </w:tcPr>
          <w:p>
            <w:pPr>
              <w:pStyle w:val="TableParagraph"/>
              <w:rPr>
                <w:rFonts w:ascii="Times New Roman"/>
                <w:sz w:val="20"/>
              </w:rPr>
            </w:pPr>
          </w:p>
        </w:tc>
        <w:tc>
          <w:tcPr>
            <w:tcW w:w="1128" w:type="dxa"/>
          </w:tcPr>
          <w:p>
            <w:pPr>
              <w:pStyle w:val="TableParagraph"/>
              <w:rPr>
                <w:rFonts w:ascii="Times New Roman"/>
                <w:sz w:val="20"/>
              </w:rPr>
            </w:pPr>
          </w:p>
        </w:tc>
        <w:tc>
          <w:tcPr>
            <w:tcW w:w="1142" w:type="dxa"/>
          </w:tcPr>
          <w:p>
            <w:pPr>
              <w:pStyle w:val="TableParagraph"/>
              <w:rPr>
                <w:rFonts w:ascii="Times New Roman"/>
                <w:sz w:val="20"/>
              </w:rPr>
            </w:pPr>
          </w:p>
        </w:tc>
        <w:tc>
          <w:tcPr>
            <w:tcW w:w="1277" w:type="dxa"/>
          </w:tcPr>
          <w:p>
            <w:pPr>
              <w:pStyle w:val="TableParagraph"/>
              <w:rPr>
                <w:rFonts w:ascii="Times New Roman"/>
                <w:sz w:val="20"/>
              </w:rPr>
            </w:pPr>
          </w:p>
        </w:tc>
        <w:tc>
          <w:tcPr>
            <w:tcW w:w="724" w:type="dxa"/>
          </w:tcPr>
          <w:p>
            <w:pPr>
              <w:pStyle w:val="TableParagraph"/>
              <w:rPr>
                <w:rFonts w:ascii="Times New Roman"/>
                <w:sz w:val="20"/>
              </w:rPr>
            </w:pPr>
          </w:p>
        </w:tc>
      </w:tr>
      <w:tr>
        <w:trPr>
          <w:trHeight w:val="481" w:hRule="atLeast"/>
        </w:trPr>
        <w:tc>
          <w:tcPr>
            <w:tcW w:w="2120" w:type="dxa"/>
          </w:tcPr>
          <w:p>
            <w:pPr>
              <w:pStyle w:val="TableParagraph"/>
              <w:spacing w:before="106"/>
              <w:ind w:left="882" w:right="768"/>
              <w:jc w:val="center"/>
              <w:rPr>
                <w:sz w:val="21"/>
              </w:rPr>
            </w:pPr>
            <w:r>
              <w:rPr>
                <w:sz w:val="21"/>
              </w:rPr>
              <w:t>合计 </w:t>
            </w:r>
          </w:p>
        </w:tc>
        <w:tc>
          <w:tcPr>
            <w:tcW w:w="1147" w:type="dxa"/>
          </w:tcPr>
          <w:p>
            <w:pPr>
              <w:pStyle w:val="TableParagraph"/>
              <w:spacing w:before="113"/>
              <w:ind w:right="96"/>
              <w:jc w:val="right"/>
              <w:rPr>
                <w:rFonts w:ascii="Times New Roman"/>
                <w:sz w:val="21"/>
              </w:rPr>
            </w:pPr>
            <w:r>
              <w:rPr>
                <w:rFonts w:ascii="Times New Roman"/>
                <w:sz w:val="21"/>
              </w:rPr>
              <w:t>4,815,400</w:t>
            </w:r>
          </w:p>
        </w:tc>
        <w:tc>
          <w:tcPr>
            <w:tcW w:w="1284" w:type="dxa"/>
          </w:tcPr>
          <w:p>
            <w:pPr>
              <w:pStyle w:val="TableParagraph"/>
              <w:spacing w:before="113"/>
              <w:ind w:right="96"/>
              <w:jc w:val="right"/>
              <w:rPr>
                <w:rFonts w:ascii="Times New Roman"/>
                <w:sz w:val="21"/>
              </w:rPr>
            </w:pPr>
            <w:r>
              <w:rPr>
                <w:rFonts w:ascii="Times New Roman"/>
                <w:sz w:val="21"/>
              </w:rPr>
              <w:t>1,772</w:t>
            </w:r>
          </w:p>
        </w:tc>
        <w:tc>
          <w:tcPr>
            <w:tcW w:w="1128" w:type="dxa"/>
          </w:tcPr>
          <w:p>
            <w:pPr>
              <w:pStyle w:val="TableParagraph"/>
              <w:spacing w:line="235" w:lineRule="exact"/>
              <w:ind w:right="93"/>
              <w:jc w:val="right"/>
              <w:rPr>
                <w:rFonts w:ascii="Times New Roman"/>
                <w:sz w:val="21"/>
              </w:rPr>
            </w:pPr>
            <w:r>
              <w:rPr>
                <w:rFonts w:ascii="Times New Roman"/>
                <w:sz w:val="21"/>
              </w:rPr>
              <w:t>23,758,31</w:t>
            </w:r>
          </w:p>
          <w:p>
            <w:pPr>
              <w:pStyle w:val="TableParagraph"/>
              <w:spacing w:line="226" w:lineRule="exact" w:before="1"/>
              <w:ind w:right="95"/>
              <w:jc w:val="right"/>
              <w:rPr>
                <w:rFonts w:ascii="Times New Roman"/>
                <w:sz w:val="21"/>
              </w:rPr>
            </w:pPr>
            <w:r>
              <w:rPr>
                <w:rFonts w:ascii="Times New Roman"/>
                <w:w w:val="100"/>
                <w:sz w:val="21"/>
              </w:rPr>
              <w:t>5</w:t>
            </w:r>
          </w:p>
        </w:tc>
        <w:tc>
          <w:tcPr>
            <w:tcW w:w="1142" w:type="dxa"/>
          </w:tcPr>
          <w:p>
            <w:pPr>
              <w:pStyle w:val="TableParagraph"/>
              <w:spacing w:line="235" w:lineRule="exact"/>
              <w:ind w:right="93"/>
              <w:jc w:val="right"/>
              <w:rPr>
                <w:rFonts w:ascii="Times New Roman"/>
                <w:sz w:val="21"/>
              </w:rPr>
            </w:pPr>
            <w:r>
              <w:rPr>
                <w:rFonts w:ascii="Times New Roman"/>
                <w:sz w:val="21"/>
              </w:rPr>
              <w:t>23,753,39</w:t>
            </w:r>
          </w:p>
          <w:p>
            <w:pPr>
              <w:pStyle w:val="TableParagraph"/>
              <w:spacing w:line="226" w:lineRule="exact" w:before="1"/>
              <w:ind w:right="95"/>
              <w:jc w:val="right"/>
              <w:rPr>
                <w:rFonts w:ascii="Times New Roman"/>
                <w:sz w:val="21"/>
              </w:rPr>
            </w:pPr>
            <w:r>
              <w:rPr>
                <w:rFonts w:ascii="Times New Roman"/>
                <w:w w:val="100"/>
                <w:sz w:val="21"/>
              </w:rPr>
              <w:t>4</w:t>
            </w:r>
          </w:p>
        </w:tc>
        <w:tc>
          <w:tcPr>
            <w:tcW w:w="1277" w:type="dxa"/>
          </w:tcPr>
          <w:p>
            <w:pPr>
              <w:pStyle w:val="TableParagraph"/>
              <w:spacing w:before="113"/>
              <w:ind w:right="90"/>
              <w:jc w:val="right"/>
              <w:rPr>
                <w:rFonts w:ascii="Times New Roman"/>
                <w:sz w:val="21"/>
              </w:rPr>
            </w:pPr>
            <w:r>
              <w:rPr>
                <w:rFonts w:ascii="Times New Roman"/>
                <w:sz w:val="21"/>
              </w:rPr>
              <w:t>55,705</w:t>
            </w:r>
          </w:p>
        </w:tc>
        <w:tc>
          <w:tcPr>
            <w:tcW w:w="724" w:type="dxa"/>
          </w:tcPr>
          <w:p>
            <w:pPr>
              <w:pStyle w:val="TableParagraph"/>
              <w:spacing w:line="235" w:lineRule="exact"/>
              <w:ind w:left="144"/>
              <w:rPr>
                <w:rFonts w:ascii="Times New Roman"/>
                <w:sz w:val="21"/>
              </w:rPr>
            </w:pPr>
            <w:r>
              <w:rPr>
                <w:rFonts w:ascii="Times New Roman"/>
                <w:sz w:val="21"/>
              </w:rPr>
              <w:t>4,877</w:t>
            </w:r>
          </w:p>
          <w:p>
            <w:pPr>
              <w:pStyle w:val="TableParagraph"/>
              <w:spacing w:line="226" w:lineRule="exact" w:before="1"/>
              <w:ind w:left="250"/>
              <w:rPr>
                <w:rFonts w:ascii="Times New Roman"/>
                <w:sz w:val="21"/>
              </w:rPr>
            </w:pPr>
            <w:r>
              <w:rPr>
                <w:rFonts w:ascii="Times New Roman"/>
                <w:sz w:val="21"/>
              </w:rPr>
              <w:t>,798</w:t>
            </w:r>
          </w:p>
        </w:tc>
      </w:tr>
    </w:tbl>
    <w:p>
      <w:pPr>
        <w:spacing w:after="0" w:line="226" w:lineRule="exact"/>
        <w:rPr>
          <w:rFonts w:ascii="Times New Roman"/>
          <w:sz w:val="21"/>
        </w:rPr>
        <w:sectPr>
          <w:type w:val="continuous"/>
          <w:pgSz w:w="11910" w:h="16840"/>
          <w:pgMar w:top="780" w:bottom="280" w:left="1480" w:right="0"/>
        </w:sectPr>
      </w:pPr>
    </w:p>
    <w:p>
      <w:pPr>
        <w:pStyle w:val="BodyText"/>
        <w:spacing w:before="1"/>
      </w:pPr>
      <w:r>
        <w:rPr>
          <w:w w:val="100"/>
        </w:rPr>
        <w:t> </w:t>
      </w:r>
    </w:p>
    <w:p>
      <w:pPr>
        <w:pStyle w:val="BodyText"/>
        <w:spacing w:before="4"/>
      </w:pPr>
      <w:r>
        <w:rPr>
          <w:w w:val="100"/>
        </w:rPr>
        <w:t> </w:t>
      </w:r>
    </w:p>
    <w:p>
      <w:pPr>
        <w:pStyle w:val="ListParagraph"/>
        <w:numPr>
          <w:ilvl w:val="0"/>
          <w:numId w:val="73"/>
        </w:numPr>
        <w:tabs>
          <w:tab w:pos="743" w:val="left" w:leader="none"/>
        </w:tabs>
        <w:spacing w:line="240" w:lineRule="auto" w:before="63" w:after="0"/>
        <w:ind w:left="742" w:right="0" w:hanging="425"/>
        <w:jc w:val="left"/>
        <w:rPr>
          <w:sz w:val="21"/>
        </w:rPr>
      </w:pPr>
      <w:r>
        <w:rPr>
          <w:sz w:val="21"/>
        </w:rPr>
        <w:t>设定提存计划列示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spacing w:before="7"/>
        <w:ind w:left="0"/>
        <w:rPr>
          <w:sz w:val="14"/>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2577" w:space="3734"/>
            <w:col w:w="4119"/>
          </w:cols>
        </w:sectPr>
      </w:pPr>
    </w:p>
    <w:tbl>
      <w:tblPr>
        <w:tblW w:w="0" w:type="auto"/>
        <w:jc w:val="left"/>
        <w:tblInd w:w="3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093"/>
        <w:gridCol w:w="1156"/>
        <w:gridCol w:w="1276"/>
        <w:gridCol w:w="1139"/>
        <w:gridCol w:w="1168"/>
        <w:gridCol w:w="1284"/>
        <w:gridCol w:w="698"/>
      </w:tblGrid>
      <w:tr>
        <w:trPr>
          <w:trHeight w:val="544" w:hRule="atLeast"/>
        </w:trPr>
        <w:tc>
          <w:tcPr>
            <w:tcW w:w="2093" w:type="dxa"/>
          </w:tcPr>
          <w:p>
            <w:pPr>
              <w:pStyle w:val="TableParagraph"/>
              <w:spacing w:before="137"/>
              <w:ind w:left="867" w:right="750"/>
              <w:jc w:val="center"/>
              <w:rPr>
                <w:sz w:val="21"/>
              </w:rPr>
            </w:pPr>
            <w:r>
              <w:rPr>
                <w:sz w:val="21"/>
              </w:rPr>
              <w:t>项目 </w:t>
            </w:r>
          </w:p>
        </w:tc>
        <w:tc>
          <w:tcPr>
            <w:tcW w:w="1156" w:type="dxa"/>
          </w:tcPr>
          <w:p>
            <w:pPr>
              <w:pStyle w:val="TableParagraph"/>
              <w:spacing w:before="137"/>
              <w:ind w:right="37"/>
              <w:jc w:val="right"/>
              <w:rPr>
                <w:sz w:val="21"/>
              </w:rPr>
            </w:pPr>
            <w:r>
              <w:rPr>
                <w:spacing w:val="-1"/>
                <w:sz w:val="21"/>
              </w:rPr>
              <w:t>期初余额</w:t>
            </w:r>
            <w:r>
              <w:rPr>
                <w:sz w:val="21"/>
              </w:rPr>
              <w:t> </w:t>
            </w:r>
          </w:p>
        </w:tc>
        <w:tc>
          <w:tcPr>
            <w:tcW w:w="1276" w:type="dxa"/>
          </w:tcPr>
          <w:p>
            <w:pPr>
              <w:pStyle w:val="TableParagraph"/>
              <w:spacing w:before="1"/>
              <w:ind w:left="111"/>
              <w:rPr>
                <w:sz w:val="21"/>
              </w:rPr>
            </w:pPr>
            <w:r>
              <w:rPr>
                <w:sz w:val="21"/>
              </w:rPr>
              <w:t>非同一控制</w:t>
            </w:r>
          </w:p>
          <w:p>
            <w:pPr>
              <w:pStyle w:val="TableParagraph"/>
              <w:spacing w:line="252" w:lineRule="exact" w:before="2"/>
              <w:ind w:left="111" w:right="-15"/>
              <w:rPr>
                <w:sz w:val="21"/>
              </w:rPr>
            </w:pPr>
            <w:r>
              <w:rPr>
                <w:sz w:val="21"/>
              </w:rPr>
              <w:t>下企业合并 </w:t>
            </w:r>
          </w:p>
        </w:tc>
        <w:tc>
          <w:tcPr>
            <w:tcW w:w="1139" w:type="dxa"/>
          </w:tcPr>
          <w:p>
            <w:pPr>
              <w:pStyle w:val="TableParagraph"/>
              <w:spacing w:before="137"/>
              <w:ind w:right="25"/>
              <w:jc w:val="right"/>
              <w:rPr>
                <w:sz w:val="21"/>
              </w:rPr>
            </w:pPr>
            <w:r>
              <w:rPr>
                <w:spacing w:val="-1"/>
                <w:sz w:val="21"/>
              </w:rPr>
              <w:t>本期增加</w:t>
            </w:r>
            <w:r>
              <w:rPr>
                <w:sz w:val="21"/>
              </w:rPr>
              <w:t> </w:t>
            </w:r>
          </w:p>
        </w:tc>
        <w:tc>
          <w:tcPr>
            <w:tcW w:w="1168" w:type="dxa"/>
          </w:tcPr>
          <w:p>
            <w:pPr>
              <w:pStyle w:val="TableParagraph"/>
              <w:spacing w:before="137"/>
              <w:ind w:right="39"/>
              <w:jc w:val="right"/>
              <w:rPr>
                <w:sz w:val="21"/>
              </w:rPr>
            </w:pPr>
            <w:r>
              <w:rPr>
                <w:spacing w:val="-1"/>
                <w:sz w:val="21"/>
              </w:rPr>
              <w:t>本期减少</w:t>
            </w:r>
            <w:r>
              <w:rPr>
                <w:sz w:val="21"/>
              </w:rPr>
              <w:t> </w:t>
            </w:r>
          </w:p>
        </w:tc>
        <w:tc>
          <w:tcPr>
            <w:tcW w:w="1284" w:type="dxa"/>
          </w:tcPr>
          <w:p>
            <w:pPr>
              <w:pStyle w:val="TableParagraph"/>
              <w:spacing w:before="1"/>
              <w:ind w:left="119"/>
              <w:rPr>
                <w:sz w:val="21"/>
              </w:rPr>
            </w:pPr>
            <w:r>
              <w:rPr>
                <w:sz w:val="21"/>
              </w:rPr>
              <w:t>外币报表折</w:t>
            </w:r>
          </w:p>
          <w:p>
            <w:pPr>
              <w:pStyle w:val="TableParagraph"/>
              <w:spacing w:line="252" w:lineRule="exact" w:before="2"/>
              <w:ind w:left="330"/>
              <w:rPr>
                <w:sz w:val="21"/>
              </w:rPr>
            </w:pPr>
            <w:r>
              <w:rPr>
                <w:sz w:val="21"/>
              </w:rPr>
              <w:t>算差异 </w:t>
            </w:r>
          </w:p>
        </w:tc>
        <w:tc>
          <w:tcPr>
            <w:tcW w:w="698" w:type="dxa"/>
          </w:tcPr>
          <w:p>
            <w:pPr>
              <w:pStyle w:val="TableParagraph"/>
              <w:spacing w:before="1"/>
              <w:ind w:left="143"/>
              <w:rPr>
                <w:sz w:val="21"/>
              </w:rPr>
            </w:pPr>
            <w:r>
              <w:rPr>
                <w:sz w:val="21"/>
              </w:rPr>
              <w:t>期末</w:t>
            </w:r>
          </w:p>
          <w:p>
            <w:pPr>
              <w:pStyle w:val="TableParagraph"/>
              <w:spacing w:line="252" w:lineRule="exact" w:before="2"/>
              <w:ind w:left="143"/>
              <w:rPr>
                <w:sz w:val="21"/>
              </w:rPr>
            </w:pPr>
            <w:r>
              <w:rPr>
                <w:spacing w:val="-1"/>
                <w:sz w:val="21"/>
              </w:rPr>
              <w:t>余额</w:t>
            </w:r>
            <w:r>
              <w:rPr>
                <w:sz w:val="21"/>
              </w:rPr>
              <w:t> </w:t>
            </w:r>
          </w:p>
        </w:tc>
      </w:tr>
      <w:tr>
        <w:trPr>
          <w:trHeight w:val="481" w:hRule="atLeast"/>
        </w:trPr>
        <w:tc>
          <w:tcPr>
            <w:tcW w:w="2093" w:type="dxa"/>
          </w:tcPr>
          <w:p>
            <w:pPr>
              <w:pStyle w:val="TableParagraph"/>
              <w:spacing w:before="1"/>
              <w:ind w:left="107"/>
              <w:rPr>
                <w:sz w:val="21"/>
              </w:rPr>
            </w:pPr>
            <w:r>
              <w:rPr>
                <w:sz w:val="21"/>
              </w:rPr>
              <w:t>1、基本养老保险 </w:t>
            </w:r>
          </w:p>
        </w:tc>
        <w:tc>
          <w:tcPr>
            <w:tcW w:w="1156" w:type="dxa"/>
            <w:tcBorders>
              <w:bottom w:val="single" w:sz="4" w:space="0" w:color="000000"/>
              <w:right w:val="single" w:sz="4" w:space="0" w:color="000000"/>
            </w:tcBorders>
          </w:tcPr>
          <w:p>
            <w:pPr>
              <w:pStyle w:val="TableParagraph"/>
              <w:spacing w:before="113"/>
              <w:ind w:right="92"/>
              <w:jc w:val="right"/>
              <w:rPr>
                <w:rFonts w:ascii="Times New Roman"/>
                <w:sz w:val="21"/>
              </w:rPr>
            </w:pPr>
            <w:r>
              <w:rPr>
                <w:rFonts w:ascii="Times New Roman"/>
                <w:sz w:val="21"/>
              </w:rPr>
              <w:t>43,646</w:t>
            </w:r>
          </w:p>
        </w:tc>
        <w:tc>
          <w:tcPr>
            <w:tcW w:w="1276" w:type="dxa"/>
            <w:tcBorders>
              <w:left w:val="single" w:sz="4" w:space="0" w:color="000000"/>
              <w:bottom w:val="single" w:sz="4" w:space="0" w:color="000000"/>
              <w:right w:val="single" w:sz="4" w:space="0" w:color="000000"/>
            </w:tcBorders>
          </w:tcPr>
          <w:p>
            <w:pPr>
              <w:pStyle w:val="TableParagraph"/>
              <w:spacing w:before="113"/>
              <w:ind w:right="94"/>
              <w:jc w:val="right"/>
              <w:rPr>
                <w:rFonts w:ascii="Times New Roman"/>
                <w:sz w:val="21"/>
              </w:rPr>
            </w:pPr>
            <w:r>
              <w:rPr>
                <w:rFonts w:ascii="Times New Roman"/>
                <w:sz w:val="21"/>
              </w:rPr>
              <w:t>36</w:t>
            </w:r>
          </w:p>
        </w:tc>
        <w:tc>
          <w:tcPr>
            <w:tcW w:w="1139" w:type="dxa"/>
            <w:tcBorders>
              <w:left w:val="single" w:sz="4" w:space="0" w:color="000000"/>
              <w:bottom w:val="single" w:sz="4" w:space="0" w:color="000000"/>
              <w:right w:val="single" w:sz="4" w:space="0" w:color="000000"/>
            </w:tcBorders>
          </w:tcPr>
          <w:p>
            <w:pPr>
              <w:pStyle w:val="TableParagraph"/>
              <w:spacing w:before="113"/>
              <w:ind w:right="90"/>
              <w:jc w:val="right"/>
              <w:rPr>
                <w:rFonts w:ascii="Times New Roman"/>
                <w:sz w:val="21"/>
              </w:rPr>
            </w:pPr>
            <w:r>
              <w:rPr>
                <w:rFonts w:ascii="Times New Roman"/>
                <w:sz w:val="21"/>
              </w:rPr>
              <w:t>1,308,424</w:t>
            </w:r>
          </w:p>
        </w:tc>
        <w:tc>
          <w:tcPr>
            <w:tcW w:w="1168" w:type="dxa"/>
            <w:tcBorders>
              <w:left w:val="single" w:sz="4" w:space="0" w:color="000000"/>
              <w:bottom w:val="single" w:sz="4" w:space="0" w:color="000000"/>
              <w:right w:val="single" w:sz="4" w:space="0" w:color="000000"/>
            </w:tcBorders>
          </w:tcPr>
          <w:p>
            <w:pPr>
              <w:pStyle w:val="TableParagraph"/>
              <w:spacing w:before="113"/>
              <w:ind w:right="87"/>
              <w:jc w:val="right"/>
              <w:rPr>
                <w:rFonts w:ascii="Times New Roman"/>
                <w:sz w:val="21"/>
              </w:rPr>
            </w:pPr>
            <w:r>
              <w:rPr>
                <w:rFonts w:ascii="Times New Roman"/>
                <w:sz w:val="21"/>
              </w:rPr>
              <w:t>1,310,071</w:t>
            </w:r>
          </w:p>
        </w:tc>
        <w:tc>
          <w:tcPr>
            <w:tcW w:w="1284" w:type="dxa"/>
            <w:tcBorders>
              <w:left w:val="single" w:sz="4" w:space="0" w:color="000000"/>
              <w:bottom w:val="single" w:sz="4" w:space="0" w:color="000000"/>
              <w:right w:val="single" w:sz="4" w:space="0" w:color="000000"/>
            </w:tcBorders>
          </w:tcPr>
          <w:p>
            <w:pPr>
              <w:pStyle w:val="TableParagraph"/>
              <w:spacing w:before="113"/>
              <w:ind w:right="88"/>
              <w:jc w:val="right"/>
              <w:rPr>
                <w:rFonts w:ascii="Times New Roman"/>
                <w:sz w:val="21"/>
              </w:rPr>
            </w:pPr>
            <w:r>
              <w:rPr>
                <w:rFonts w:ascii="Times New Roman"/>
                <w:w w:val="100"/>
                <w:sz w:val="21"/>
              </w:rPr>
              <w:t>-</w:t>
            </w:r>
          </w:p>
        </w:tc>
        <w:tc>
          <w:tcPr>
            <w:tcW w:w="698" w:type="dxa"/>
            <w:tcBorders>
              <w:left w:val="single" w:sz="4" w:space="0" w:color="000000"/>
              <w:bottom w:val="single" w:sz="4" w:space="0" w:color="000000"/>
              <w:right w:val="single" w:sz="4" w:space="0" w:color="000000"/>
            </w:tcBorders>
          </w:tcPr>
          <w:p>
            <w:pPr>
              <w:pStyle w:val="TableParagraph"/>
              <w:spacing w:line="235" w:lineRule="exact"/>
              <w:ind w:right="86"/>
              <w:jc w:val="right"/>
              <w:rPr>
                <w:rFonts w:ascii="Times New Roman"/>
                <w:sz w:val="21"/>
              </w:rPr>
            </w:pPr>
            <w:r>
              <w:rPr>
                <w:rFonts w:ascii="Times New Roman"/>
                <w:sz w:val="21"/>
              </w:rPr>
              <w:t>42,03</w:t>
            </w:r>
          </w:p>
          <w:p>
            <w:pPr>
              <w:pStyle w:val="TableParagraph"/>
              <w:spacing w:line="226" w:lineRule="exact" w:before="1"/>
              <w:ind w:right="88"/>
              <w:jc w:val="right"/>
              <w:rPr>
                <w:rFonts w:ascii="Times New Roman"/>
                <w:sz w:val="21"/>
              </w:rPr>
            </w:pPr>
            <w:r>
              <w:rPr>
                <w:rFonts w:ascii="Times New Roman"/>
                <w:w w:val="100"/>
                <w:sz w:val="21"/>
              </w:rPr>
              <w:t>5</w:t>
            </w:r>
          </w:p>
        </w:tc>
      </w:tr>
      <w:tr>
        <w:trPr>
          <w:trHeight w:val="272" w:hRule="atLeast"/>
        </w:trPr>
        <w:tc>
          <w:tcPr>
            <w:tcW w:w="2093" w:type="dxa"/>
          </w:tcPr>
          <w:p>
            <w:pPr>
              <w:pStyle w:val="TableParagraph"/>
              <w:spacing w:line="250" w:lineRule="exact" w:before="3"/>
              <w:ind w:left="107"/>
              <w:rPr>
                <w:sz w:val="21"/>
              </w:rPr>
            </w:pPr>
            <w:r>
              <w:rPr>
                <w:sz w:val="21"/>
              </w:rPr>
              <w:t>2、失业保险费 </w:t>
            </w:r>
          </w:p>
        </w:tc>
        <w:tc>
          <w:tcPr>
            <w:tcW w:w="1156" w:type="dxa"/>
            <w:tcBorders>
              <w:top w:val="single" w:sz="4" w:space="0" w:color="000000"/>
              <w:bottom w:val="single" w:sz="4" w:space="0" w:color="000000"/>
              <w:right w:val="single" w:sz="4" w:space="0" w:color="000000"/>
            </w:tcBorders>
          </w:tcPr>
          <w:p>
            <w:pPr>
              <w:pStyle w:val="TableParagraph"/>
              <w:spacing w:before="10"/>
              <w:ind w:right="92"/>
              <w:jc w:val="right"/>
              <w:rPr>
                <w:rFonts w:ascii="Times New Roman"/>
                <w:sz w:val="21"/>
              </w:rPr>
            </w:pPr>
            <w:r>
              <w:rPr>
                <w:rFonts w:ascii="Times New Roman"/>
                <w:sz w:val="21"/>
              </w:rPr>
              <w:t>4,444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before="10"/>
              <w:ind w:right="94"/>
              <w:jc w:val="right"/>
              <w:rPr>
                <w:rFonts w:ascii="Times New Roman"/>
                <w:sz w:val="21"/>
              </w:rPr>
            </w:pPr>
            <w:r>
              <w:rPr>
                <w:rFonts w:ascii="Times New Roman"/>
                <w:w w:val="100"/>
                <w:sz w:val="21"/>
              </w:rPr>
              <w:t>2</w:t>
            </w: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before="10"/>
              <w:ind w:right="90"/>
              <w:jc w:val="right"/>
              <w:rPr>
                <w:rFonts w:ascii="Times New Roman"/>
                <w:sz w:val="21"/>
              </w:rPr>
            </w:pPr>
            <w:r>
              <w:rPr>
                <w:rFonts w:ascii="Times New Roman"/>
                <w:sz w:val="21"/>
              </w:rPr>
              <w:t>47,330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before="10"/>
              <w:ind w:right="87"/>
              <w:jc w:val="right"/>
              <w:rPr>
                <w:rFonts w:ascii="Times New Roman"/>
                <w:sz w:val="21"/>
              </w:rPr>
            </w:pPr>
            <w:r>
              <w:rPr>
                <w:rFonts w:ascii="Times New Roman"/>
                <w:sz w:val="21"/>
              </w:rPr>
              <w:t>47,258</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before="10"/>
              <w:ind w:right="88"/>
              <w:jc w:val="right"/>
              <w:rPr>
                <w:rFonts w:ascii="Times New Roman"/>
                <w:sz w:val="21"/>
              </w:rPr>
            </w:pPr>
            <w:r>
              <w:rPr>
                <w:rFonts w:ascii="Times New Roman"/>
                <w:w w:val="100"/>
                <w:sz w:val="21"/>
              </w:rPr>
              <w:t>-</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before="10"/>
              <w:ind w:left="124"/>
              <w:rPr>
                <w:rFonts w:ascii="Times New Roman"/>
                <w:sz w:val="21"/>
              </w:rPr>
            </w:pPr>
            <w:r>
              <w:rPr>
                <w:rFonts w:ascii="Times New Roman"/>
                <w:sz w:val="21"/>
              </w:rPr>
              <w:t>4,518</w:t>
            </w:r>
          </w:p>
        </w:tc>
      </w:tr>
      <w:tr>
        <w:trPr>
          <w:trHeight w:val="272" w:hRule="atLeast"/>
        </w:trPr>
        <w:tc>
          <w:tcPr>
            <w:tcW w:w="2093" w:type="dxa"/>
          </w:tcPr>
          <w:p>
            <w:pPr>
              <w:pStyle w:val="TableParagraph"/>
              <w:spacing w:line="252" w:lineRule="exact" w:before="1"/>
              <w:ind w:left="107"/>
              <w:rPr>
                <w:sz w:val="21"/>
              </w:rPr>
            </w:pPr>
            <w:r>
              <w:rPr>
                <w:sz w:val="21"/>
              </w:rPr>
              <w:t>3、企业年金缴费 </w:t>
            </w:r>
          </w:p>
        </w:tc>
        <w:tc>
          <w:tcPr>
            <w:tcW w:w="1156" w:type="dxa"/>
            <w:tcBorders>
              <w:top w:val="single" w:sz="4" w:space="0" w:color="000000"/>
              <w:bottom w:val="single" w:sz="4" w:space="0" w:color="000000"/>
              <w:right w:val="single" w:sz="4" w:space="0" w:color="000000"/>
            </w:tcBorders>
          </w:tcPr>
          <w:p>
            <w:pPr>
              <w:pStyle w:val="TableParagraph"/>
              <w:rPr>
                <w:rFonts w:ascii="Times New Roman"/>
                <w:sz w:val="20"/>
              </w:rPr>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3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6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8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69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bl>
    <w:p>
      <w:pPr>
        <w:spacing w:after="0"/>
        <w:rPr>
          <w:rFonts w:ascii="Times New Roman"/>
          <w:sz w:val="20"/>
        </w:rPr>
        <w:sectPr>
          <w:type w:val="continuous"/>
          <w:pgSz w:w="11910" w:h="16840"/>
          <w:pgMar w:top="780" w:bottom="280" w:left="1480" w:right="0"/>
        </w:sectPr>
      </w:pPr>
    </w:p>
    <w:p>
      <w:pPr>
        <w:pStyle w:val="BodyText"/>
        <w:ind w:left="0"/>
        <w:rPr>
          <w:sz w:val="20"/>
        </w:rPr>
      </w:pPr>
    </w:p>
    <w:p>
      <w:pPr>
        <w:pStyle w:val="BodyText"/>
        <w:spacing w:before="1"/>
        <w:ind w:left="0"/>
        <w:rPr>
          <w:sz w:val="11"/>
        </w:rPr>
      </w:pPr>
    </w:p>
    <w:tbl>
      <w:tblPr>
        <w:tblW w:w="0" w:type="auto"/>
        <w:jc w:val="left"/>
        <w:tblInd w:w="3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093"/>
        <w:gridCol w:w="1156"/>
        <w:gridCol w:w="1276"/>
        <w:gridCol w:w="1139"/>
        <w:gridCol w:w="1168"/>
        <w:gridCol w:w="1284"/>
        <w:gridCol w:w="698"/>
      </w:tblGrid>
      <w:tr>
        <w:trPr>
          <w:trHeight w:val="484" w:hRule="atLeast"/>
        </w:trPr>
        <w:tc>
          <w:tcPr>
            <w:tcW w:w="2093" w:type="dxa"/>
          </w:tcPr>
          <w:p>
            <w:pPr>
              <w:pStyle w:val="TableParagraph"/>
              <w:spacing w:before="3"/>
              <w:ind w:left="107"/>
              <w:rPr>
                <w:sz w:val="21"/>
              </w:rPr>
            </w:pPr>
            <w:r>
              <w:rPr>
                <w:sz w:val="21"/>
              </w:rPr>
              <w:t>4、海外退休金 </w:t>
            </w:r>
          </w:p>
        </w:tc>
        <w:tc>
          <w:tcPr>
            <w:tcW w:w="1156" w:type="dxa"/>
            <w:tcBorders>
              <w:top w:val="single" w:sz="4" w:space="0" w:color="000000"/>
              <w:bottom w:val="single" w:sz="4" w:space="0" w:color="000000"/>
              <w:right w:val="single" w:sz="4" w:space="0" w:color="000000"/>
            </w:tcBorders>
          </w:tcPr>
          <w:p>
            <w:pPr>
              <w:pStyle w:val="TableParagraph"/>
              <w:spacing w:line="237" w:lineRule="exact"/>
              <w:ind w:right="92"/>
              <w:jc w:val="right"/>
              <w:rPr>
                <w:rFonts w:ascii="Times New Roman"/>
                <w:sz w:val="21"/>
              </w:rPr>
            </w:pPr>
            <w:r>
              <w:rPr>
                <w:rFonts w:ascii="Times New Roman"/>
                <w:sz w:val="21"/>
              </w:rPr>
              <w:t>26,478</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93"/>
              <w:jc w:val="right"/>
              <w:rPr>
                <w:rFonts w:ascii="Times New Roman"/>
                <w:sz w:val="21"/>
              </w:rPr>
            </w:pPr>
            <w:r>
              <w:rPr>
                <w:rFonts w:ascii="Times New Roman"/>
                <w:w w:val="100"/>
                <w:sz w:val="21"/>
              </w:rPr>
              <w:t>-</w:t>
            </w: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90"/>
              <w:jc w:val="right"/>
              <w:rPr>
                <w:rFonts w:ascii="Times New Roman"/>
                <w:sz w:val="21"/>
              </w:rPr>
            </w:pPr>
            <w:r>
              <w:rPr>
                <w:rFonts w:ascii="Times New Roman"/>
                <w:sz w:val="21"/>
              </w:rPr>
              <w:t>245,299</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87"/>
              <w:jc w:val="right"/>
              <w:rPr>
                <w:rFonts w:ascii="Times New Roman"/>
                <w:sz w:val="21"/>
              </w:rPr>
            </w:pPr>
            <w:r>
              <w:rPr>
                <w:rFonts w:ascii="Times New Roman"/>
                <w:sz w:val="21"/>
              </w:rPr>
              <w:t>245,284</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86"/>
              <w:jc w:val="right"/>
              <w:rPr>
                <w:rFonts w:ascii="Times New Roman"/>
                <w:sz w:val="21"/>
              </w:rPr>
            </w:pPr>
            <w:r>
              <w:rPr>
                <w:rFonts w:ascii="Times New Roman"/>
                <w:sz w:val="21"/>
              </w:rPr>
              <w:t>3,606</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86"/>
              <w:jc w:val="right"/>
              <w:rPr>
                <w:rFonts w:ascii="Times New Roman"/>
                <w:sz w:val="21"/>
              </w:rPr>
            </w:pPr>
            <w:r>
              <w:rPr>
                <w:rFonts w:ascii="Times New Roman"/>
                <w:sz w:val="21"/>
              </w:rPr>
              <w:t>30,09</w:t>
            </w:r>
          </w:p>
          <w:p>
            <w:pPr>
              <w:pStyle w:val="TableParagraph"/>
              <w:spacing w:line="228" w:lineRule="exact"/>
              <w:ind w:right="88"/>
              <w:jc w:val="right"/>
              <w:rPr>
                <w:rFonts w:ascii="Times New Roman"/>
                <w:sz w:val="21"/>
              </w:rPr>
            </w:pPr>
            <w:r>
              <w:rPr>
                <w:rFonts w:ascii="Times New Roman"/>
                <w:w w:val="100"/>
                <w:sz w:val="21"/>
              </w:rPr>
              <w:t>9</w:t>
            </w:r>
          </w:p>
        </w:tc>
      </w:tr>
      <w:tr>
        <w:trPr>
          <w:trHeight w:val="272" w:hRule="atLeast"/>
        </w:trPr>
        <w:tc>
          <w:tcPr>
            <w:tcW w:w="2093" w:type="dxa"/>
          </w:tcPr>
          <w:p>
            <w:pPr>
              <w:pStyle w:val="TableParagraph"/>
              <w:spacing w:line="252" w:lineRule="exact" w:before="1"/>
              <w:ind w:left="107"/>
              <w:rPr>
                <w:sz w:val="21"/>
              </w:rPr>
            </w:pPr>
            <w:r>
              <w:rPr>
                <w:w w:val="100"/>
                <w:sz w:val="21"/>
              </w:rPr>
              <w:t> </w:t>
            </w:r>
          </w:p>
        </w:tc>
        <w:tc>
          <w:tcPr>
            <w:tcW w:w="1156" w:type="dxa"/>
            <w:tcBorders>
              <w:top w:val="single" w:sz="4" w:space="0" w:color="000000"/>
              <w:bottom w:val="single" w:sz="4" w:space="0" w:color="000000"/>
              <w:right w:val="single" w:sz="4" w:space="0" w:color="000000"/>
            </w:tcBorders>
          </w:tcPr>
          <w:p>
            <w:pPr>
              <w:pStyle w:val="TableParagraph"/>
              <w:rPr>
                <w:rFonts w:ascii="Times New Roman"/>
                <w:sz w:val="20"/>
              </w:rPr>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3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6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8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69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481" w:hRule="atLeast"/>
        </w:trPr>
        <w:tc>
          <w:tcPr>
            <w:tcW w:w="2093" w:type="dxa"/>
          </w:tcPr>
          <w:p>
            <w:pPr>
              <w:pStyle w:val="TableParagraph"/>
              <w:spacing w:before="106"/>
              <w:ind w:left="867" w:right="750"/>
              <w:jc w:val="center"/>
              <w:rPr>
                <w:sz w:val="21"/>
              </w:rPr>
            </w:pPr>
            <w:r>
              <w:rPr>
                <w:sz w:val="21"/>
              </w:rPr>
              <w:t>合计 </w:t>
            </w:r>
          </w:p>
        </w:tc>
        <w:tc>
          <w:tcPr>
            <w:tcW w:w="1156" w:type="dxa"/>
            <w:tcBorders>
              <w:top w:val="single" w:sz="4" w:space="0" w:color="000000"/>
              <w:bottom w:val="single" w:sz="4" w:space="0" w:color="000000"/>
              <w:right w:val="single" w:sz="4" w:space="0" w:color="000000"/>
            </w:tcBorders>
          </w:tcPr>
          <w:p>
            <w:pPr>
              <w:pStyle w:val="TableParagraph"/>
              <w:spacing w:before="113"/>
              <w:ind w:right="92"/>
              <w:jc w:val="right"/>
              <w:rPr>
                <w:rFonts w:ascii="Times New Roman"/>
                <w:sz w:val="21"/>
              </w:rPr>
            </w:pPr>
            <w:r>
              <w:rPr>
                <w:rFonts w:ascii="Times New Roman"/>
                <w:sz w:val="21"/>
              </w:rPr>
              <w:t>74,568</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before="113"/>
              <w:ind w:right="94"/>
              <w:jc w:val="right"/>
              <w:rPr>
                <w:rFonts w:ascii="Times New Roman"/>
                <w:sz w:val="21"/>
              </w:rPr>
            </w:pPr>
            <w:r>
              <w:rPr>
                <w:rFonts w:ascii="Times New Roman"/>
                <w:sz w:val="21"/>
              </w:rPr>
              <w:t>38</w:t>
            </w: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before="113"/>
              <w:ind w:right="90"/>
              <w:jc w:val="right"/>
              <w:rPr>
                <w:rFonts w:ascii="Times New Roman"/>
                <w:sz w:val="21"/>
              </w:rPr>
            </w:pPr>
            <w:r>
              <w:rPr>
                <w:rFonts w:ascii="Times New Roman"/>
                <w:sz w:val="21"/>
              </w:rPr>
              <w:t>1,601,053</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before="113"/>
              <w:ind w:right="87"/>
              <w:jc w:val="right"/>
              <w:rPr>
                <w:rFonts w:ascii="Times New Roman"/>
                <w:sz w:val="21"/>
              </w:rPr>
            </w:pPr>
            <w:r>
              <w:rPr>
                <w:rFonts w:ascii="Times New Roman"/>
                <w:sz w:val="21"/>
              </w:rPr>
              <w:t>1,602,613</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before="113"/>
              <w:ind w:right="86"/>
              <w:jc w:val="right"/>
              <w:rPr>
                <w:rFonts w:ascii="Times New Roman"/>
                <w:sz w:val="21"/>
              </w:rPr>
            </w:pPr>
            <w:r>
              <w:rPr>
                <w:rFonts w:ascii="Times New Roman"/>
                <w:sz w:val="21"/>
              </w:rPr>
              <w:t>3,606</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right="86"/>
              <w:jc w:val="right"/>
              <w:rPr>
                <w:rFonts w:ascii="Times New Roman"/>
                <w:sz w:val="21"/>
              </w:rPr>
            </w:pPr>
            <w:r>
              <w:rPr>
                <w:rFonts w:ascii="Times New Roman"/>
                <w:sz w:val="21"/>
              </w:rPr>
              <w:t>76,65</w:t>
            </w:r>
          </w:p>
          <w:p>
            <w:pPr>
              <w:pStyle w:val="TableParagraph"/>
              <w:spacing w:line="228" w:lineRule="exact"/>
              <w:ind w:right="88"/>
              <w:jc w:val="right"/>
              <w:rPr>
                <w:rFonts w:ascii="Times New Roman"/>
                <w:sz w:val="21"/>
              </w:rPr>
            </w:pPr>
            <w:r>
              <w:rPr>
                <w:rFonts w:ascii="Times New Roman"/>
                <w:w w:val="100"/>
                <w:sz w:val="21"/>
              </w:rPr>
              <w:t>2</w:t>
            </w:r>
          </w:p>
        </w:tc>
      </w:tr>
    </w:tbl>
    <w:p>
      <w:pPr>
        <w:pStyle w:val="BodyText"/>
        <w:spacing w:before="1"/>
      </w:pPr>
      <w:r>
        <w:rPr>
          <w:w w:val="100"/>
        </w:rPr>
        <w:t> </w:t>
      </w:r>
    </w:p>
    <w:p>
      <w:pPr>
        <w:pStyle w:val="BodyText"/>
        <w:spacing w:before="64"/>
      </w:pPr>
      <w:r>
        <w:rPr>
          <w:w w:val="100"/>
        </w:rPr>
        <w:t> </w:t>
      </w:r>
    </w:p>
    <w:p>
      <w:pPr>
        <w:pStyle w:val="BodyText"/>
        <w:spacing w:before="63"/>
      </w:pPr>
      <w:r>
        <w:rPr/>
        <w:t>其他说明： </w:t>
      </w:r>
    </w:p>
    <w:p>
      <w:pPr>
        <w:pStyle w:val="BodyText"/>
        <w:spacing w:line="295" w:lineRule="auto" w:before="4"/>
        <w:ind w:right="8320"/>
      </w:pPr>
      <w:r>
        <w:rPr/>
        <w:t>□适用 √不适用40</w:t>
      </w:r>
      <w:r>
        <w:rPr>
          <w:spacing w:val="-5"/>
        </w:rPr>
        <w:t>、 应交税费</w:t>
      </w:r>
      <w:r>
        <w:rPr/>
        <w:t> </w:t>
      </w:r>
    </w:p>
    <w:p>
      <w:pPr>
        <w:pStyle w:val="BodyText"/>
        <w:spacing w:before="3"/>
      </w:pPr>
      <w:r>
        <w:rPr>
          <w:spacing w:val="-1"/>
        </w:rPr>
        <w:t>√适用 □不适用</w:t>
      </w:r>
      <w:r>
        <w:rPr>
          <w:spacing w:val="-3"/>
        </w:rPr>
        <w:t> </w:t>
      </w:r>
      <w:r>
        <w:rPr/>
        <w:t> </w:t>
      </w:r>
    </w:p>
    <w:p>
      <w:pPr>
        <w:pStyle w:val="BodyText"/>
        <w:spacing w:before="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57"/>
        <w:gridCol w:w="2930"/>
        <w:gridCol w:w="2935"/>
      </w:tblGrid>
      <w:tr>
        <w:trPr>
          <w:trHeight w:val="270" w:hRule="atLeast"/>
        </w:trPr>
        <w:tc>
          <w:tcPr>
            <w:tcW w:w="2957" w:type="dxa"/>
          </w:tcPr>
          <w:p>
            <w:pPr>
              <w:pStyle w:val="TableParagraph"/>
              <w:spacing w:line="250" w:lineRule="exact" w:before="1"/>
              <w:ind w:right="1205"/>
              <w:jc w:val="right"/>
              <w:rPr>
                <w:sz w:val="21"/>
              </w:rPr>
            </w:pPr>
            <w:r>
              <w:rPr>
                <w:sz w:val="21"/>
              </w:rPr>
              <w:t>项目 </w:t>
            </w:r>
          </w:p>
        </w:tc>
        <w:tc>
          <w:tcPr>
            <w:tcW w:w="2930" w:type="dxa"/>
          </w:tcPr>
          <w:p>
            <w:pPr>
              <w:pStyle w:val="TableParagraph"/>
              <w:spacing w:line="250" w:lineRule="exact" w:before="1"/>
              <w:ind w:left="1044"/>
              <w:rPr>
                <w:sz w:val="21"/>
              </w:rPr>
            </w:pPr>
            <w:r>
              <w:rPr>
                <w:spacing w:val="-1"/>
                <w:sz w:val="21"/>
              </w:rPr>
              <w:t>期末余额</w:t>
            </w:r>
            <w:r>
              <w:rPr>
                <w:sz w:val="21"/>
              </w:rPr>
              <w:t> </w:t>
            </w:r>
          </w:p>
        </w:tc>
        <w:tc>
          <w:tcPr>
            <w:tcW w:w="2935" w:type="dxa"/>
          </w:tcPr>
          <w:p>
            <w:pPr>
              <w:pStyle w:val="TableParagraph"/>
              <w:spacing w:line="250" w:lineRule="exact" w:before="1"/>
              <w:ind w:left="1047"/>
              <w:rPr>
                <w:sz w:val="21"/>
              </w:rPr>
            </w:pPr>
            <w:r>
              <w:rPr>
                <w:spacing w:val="-1"/>
                <w:sz w:val="21"/>
              </w:rPr>
              <w:t>期初余额</w:t>
            </w:r>
            <w:r>
              <w:rPr>
                <w:sz w:val="21"/>
              </w:rPr>
              <w:t> </w:t>
            </w:r>
          </w:p>
        </w:tc>
      </w:tr>
      <w:tr>
        <w:trPr>
          <w:trHeight w:val="273" w:hRule="atLeast"/>
        </w:trPr>
        <w:tc>
          <w:tcPr>
            <w:tcW w:w="2957" w:type="dxa"/>
          </w:tcPr>
          <w:p>
            <w:pPr>
              <w:pStyle w:val="TableParagraph"/>
              <w:spacing w:line="250" w:lineRule="exact" w:before="4"/>
              <w:ind w:left="107"/>
              <w:rPr>
                <w:sz w:val="21"/>
              </w:rPr>
            </w:pPr>
            <w:r>
              <w:rPr>
                <w:spacing w:val="-1"/>
                <w:sz w:val="21"/>
              </w:rPr>
              <w:t>城市维护建设税</w:t>
            </w:r>
            <w:r>
              <w:rPr>
                <w:sz w:val="21"/>
              </w:rPr>
              <w:t> </w:t>
            </w:r>
          </w:p>
        </w:tc>
        <w:tc>
          <w:tcPr>
            <w:tcW w:w="2930" w:type="dxa"/>
          </w:tcPr>
          <w:p>
            <w:pPr>
              <w:pStyle w:val="TableParagraph"/>
              <w:spacing w:line="250" w:lineRule="exact" w:before="4"/>
              <w:ind w:right="61"/>
              <w:jc w:val="right"/>
              <w:rPr>
                <w:sz w:val="21"/>
              </w:rPr>
            </w:pPr>
            <w:r>
              <w:rPr>
                <w:sz w:val="21"/>
              </w:rPr>
              <w:t>16,575 </w:t>
            </w:r>
          </w:p>
        </w:tc>
        <w:tc>
          <w:tcPr>
            <w:tcW w:w="2935" w:type="dxa"/>
          </w:tcPr>
          <w:p>
            <w:pPr>
              <w:pStyle w:val="TableParagraph"/>
              <w:spacing w:line="250" w:lineRule="exact" w:before="4"/>
              <w:ind w:right="-15"/>
              <w:jc w:val="right"/>
              <w:rPr>
                <w:sz w:val="21"/>
              </w:rPr>
            </w:pPr>
            <w:r>
              <w:rPr>
                <w:sz w:val="21"/>
              </w:rPr>
              <w:t>55,048 </w:t>
            </w:r>
          </w:p>
        </w:tc>
      </w:tr>
      <w:tr>
        <w:trPr>
          <w:trHeight w:val="273" w:hRule="atLeast"/>
        </w:trPr>
        <w:tc>
          <w:tcPr>
            <w:tcW w:w="2957" w:type="dxa"/>
          </w:tcPr>
          <w:p>
            <w:pPr>
              <w:pStyle w:val="TableParagraph"/>
              <w:spacing w:line="252" w:lineRule="exact" w:before="1"/>
              <w:ind w:left="107"/>
              <w:rPr>
                <w:sz w:val="21"/>
              </w:rPr>
            </w:pPr>
            <w:r>
              <w:rPr>
                <w:spacing w:val="-1"/>
                <w:sz w:val="21"/>
              </w:rPr>
              <w:t>应交企业所得税</w:t>
            </w:r>
            <w:r>
              <w:rPr>
                <w:sz w:val="21"/>
              </w:rPr>
              <w:t> </w:t>
            </w:r>
          </w:p>
        </w:tc>
        <w:tc>
          <w:tcPr>
            <w:tcW w:w="2930" w:type="dxa"/>
          </w:tcPr>
          <w:p>
            <w:pPr>
              <w:pStyle w:val="TableParagraph"/>
              <w:spacing w:line="252" w:lineRule="exact" w:before="1"/>
              <w:ind w:right="61"/>
              <w:jc w:val="right"/>
              <w:rPr>
                <w:sz w:val="21"/>
              </w:rPr>
            </w:pPr>
            <w:r>
              <w:rPr>
                <w:sz w:val="21"/>
              </w:rPr>
              <w:t>997,038 </w:t>
            </w:r>
          </w:p>
        </w:tc>
        <w:tc>
          <w:tcPr>
            <w:tcW w:w="2935" w:type="dxa"/>
          </w:tcPr>
          <w:p>
            <w:pPr>
              <w:pStyle w:val="TableParagraph"/>
              <w:spacing w:line="252" w:lineRule="exact" w:before="1"/>
              <w:ind w:right="-15"/>
              <w:jc w:val="right"/>
              <w:rPr>
                <w:sz w:val="21"/>
              </w:rPr>
            </w:pPr>
            <w:r>
              <w:rPr>
                <w:sz w:val="21"/>
              </w:rPr>
              <w:t>1,560,349 </w:t>
            </w:r>
          </w:p>
        </w:tc>
      </w:tr>
      <w:tr>
        <w:trPr>
          <w:trHeight w:val="270" w:hRule="atLeast"/>
        </w:trPr>
        <w:tc>
          <w:tcPr>
            <w:tcW w:w="2957" w:type="dxa"/>
          </w:tcPr>
          <w:p>
            <w:pPr>
              <w:pStyle w:val="TableParagraph"/>
              <w:spacing w:line="250" w:lineRule="exact" w:before="1"/>
              <w:ind w:left="107"/>
              <w:rPr>
                <w:sz w:val="21"/>
              </w:rPr>
            </w:pPr>
            <w:r>
              <w:rPr>
                <w:sz w:val="21"/>
              </w:rPr>
              <w:t>应交增值税 </w:t>
            </w:r>
          </w:p>
        </w:tc>
        <w:tc>
          <w:tcPr>
            <w:tcW w:w="2930" w:type="dxa"/>
          </w:tcPr>
          <w:p>
            <w:pPr>
              <w:pStyle w:val="TableParagraph"/>
              <w:spacing w:line="250" w:lineRule="exact" w:before="1"/>
              <w:ind w:right="61"/>
              <w:jc w:val="right"/>
              <w:rPr>
                <w:sz w:val="21"/>
              </w:rPr>
            </w:pPr>
            <w:r>
              <w:rPr>
                <w:sz w:val="21"/>
              </w:rPr>
              <w:t>150,195 </w:t>
            </w:r>
          </w:p>
        </w:tc>
        <w:tc>
          <w:tcPr>
            <w:tcW w:w="2935" w:type="dxa"/>
          </w:tcPr>
          <w:p>
            <w:pPr>
              <w:pStyle w:val="TableParagraph"/>
              <w:spacing w:line="250" w:lineRule="exact" w:before="1"/>
              <w:ind w:right="-15"/>
              <w:jc w:val="right"/>
              <w:rPr>
                <w:sz w:val="21"/>
              </w:rPr>
            </w:pPr>
            <w:r>
              <w:rPr>
                <w:sz w:val="21"/>
              </w:rPr>
              <w:t>166,199 </w:t>
            </w:r>
          </w:p>
        </w:tc>
      </w:tr>
      <w:tr>
        <w:trPr>
          <w:trHeight w:val="273" w:hRule="atLeast"/>
        </w:trPr>
        <w:tc>
          <w:tcPr>
            <w:tcW w:w="2957" w:type="dxa"/>
          </w:tcPr>
          <w:p>
            <w:pPr>
              <w:pStyle w:val="TableParagraph"/>
              <w:spacing w:line="252" w:lineRule="exact" w:before="1"/>
              <w:ind w:left="107"/>
              <w:rPr>
                <w:sz w:val="21"/>
              </w:rPr>
            </w:pPr>
            <w:r>
              <w:rPr>
                <w:spacing w:val="-1"/>
                <w:sz w:val="21"/>
              </w:rPr>
              <w:t>应交个人所得税</w:t>
            </w:r>
            <w:r>
              <w:rPr>
                <w:sz w:val="21"/>
              </w:rPr>
              <w:t> </w:t>
            </w:r>
          </w:p>
        </w:tc>
        <w:tc>
          <w:tcPr>
            <w:tcW w:w="2930" w:type="dxa"/>
          </w:tcPr>
          <w:p>
            <w:pPr>
              <w:pStyle w:val="TableParagraph"/>
              <w:spacing w:line="252" w:lineRule="exact" w:before="1"/>
              <w:ind w:right="61"/>
              <w:jc w:val="right"/>
              <w:rPr>
                <w:sz w:val="21"/>
              </w:rPr>
            </w:pPr>
            <w:r>
              <w:rPr>
                <w:sz w:val="21"/>
              </w:rPr>
              <w:t>19,851 </w:t>
            </w:r>
          </w:p>
        </w:tc>
        <w:tc>
          <w:tcPr>
            <w:tcW w:w="2935" w:type="dxa"/>
          </w:tcPr>
          <w:p>
            <w:pPr>
              <w:pStyle w:val="TableParagraph"/>
              <w:spacing w:line="252" w:lineRule="exact" w:before="1"/>
              <w:ind w:right="-15"/>
              <w:jc w:val="right"/>
              <w:rPr>
                <w:sz w:val="21"/>
              </w:rPr>
            </w:pPr>
            <w:r>
              <w:rPr>
                <w:sz w:val="21"/>
              </w:rPr>
              <w:t>29,708 </w:t>
            </w:r>
          </w:p>
        </w:tc>
      </w:tr>
      <w:tr>
        <w:trPr>
          <w:trHeight w:val="273" w:hRule="atLeast"/>
        </w:trPr>
        <w:tc>
          <w:tcPr>
            <w:tcW w:w="2957" w:type="dxa"/>
          </w:tcPr>
          <w:p>
            <w:pPr>
              <w:pStyle w:val="TableParagraph"/>
              <w:spacing w:line="252" w:lineRule="exact" w:before="1"/>
              <w:ind w:left="107"/>
              <w:rPr>
                <w:sz w:val="21"/>
              </w:rPr>
            </w:pPr>
            <w:r>
              <w:rPr>
                <w:spacing w:val="-1"/>
                <w:sz w:val="21"/>
              </w:rPr>
              <w:t>应交教育费附加</w:t>
            </w:r>
            <w:r>
              <w:rPr>
                <w:sz w:val="21"/>
              </w:rPr>
              <w:t> </w:t>
            </w:r>
          </w:p>
        </w:tc>
        <w:tc>
          <w:tcPr>
            <w:tcW w:w="2930" w:type="dxa"/>
          </w:tcPr>
          <w:p>
            <w:pPr>
              <w:pStyle w:val="TableParagraph"/>
              <w:spacing w:line="252" w:lineRule="exact" w:before="1"/>
              <w:ind w:right="61"/>
              <w:jc w:val="right"/>
              <w:rPr>
                <w:sz w:val="21"/>
              </w:rPr>
            </w:pPr>
            <w:r>
              <w:rPr>
                <w:sz w:val="21"/>
              </w:rPr>
              <w:t>11,990 </w:t>
            </w:r>
          </w:p>
        </w:tc>
        <w:tc>
          <w:tcPr>
            <w:tcW w:w="2935" w:type="dxa"/>
          </w:tcPr>
          <w:p>
            <w:pPr>
              <w:pStyle w:val="TableParagraph"/>
              <w:spacing w:line="252" w:lineRule="exact" w:before="1"/>
              <w:ind w:right="-15"/>
              <w:jc w:val="right"/>
              <w:rPr>
                <w:sz w:val="21"/>
              </w:rPr>
            </w:pPr>
            <w:r>
              <w:rPr>
                <w:sz w:val="21"/>
              </w:rPr>
              <w:t>37,255 </w:t>
            </w:r>
          </w:p>
        </w:tc>
      </w:tr>
      <w:tr>
        <w:trPr>
          <w:trHeight w:val="270" w:hRule="atLeast"/>
        </w:trPr>
        <w:tc>
          <w:tcPr>
            <w:tcW w:w="2957" w:type="dxa"/>
          </w:tcPr>
          <w:p>
            <w:pPr>
              <w:pStyle w:val="TableParagraph"/>
              <w:spacing w:line="250" w:lineRule="exact" w:before="1"/>
              <w:ind w:left="107"/>
              <w:rPr>
                <w:sz w:val="21"/>
              </w:rPr>
            </w:pPr>
            <w:r>
              <w:rPr>
                <w:sz w:val="21"/>
              </w:rPr>
              <w:t>其他 </w:t>
            </w:r>
          </w:p>
        </w:tc>
        <w:tc>
          <w:tcPr>
            <w:tcW w:w="2930" w:type="dxa"/>
          </w:tcPr>
          <w:p>
            <w:pPr>
              <w:pStyle w:val="TableParagraph"/>
              <w:spacing w:line="250" w:lineRule="exact" w:before="1"/>
              <w:ind w:right="61"/>
              <w:jc w:val="right"/>
              <w:rPr>
                <w:sz w:val="21"/>
              </w:rPr>
            </w:pPr>
            <w:r>
              <w:rPr>
                <w:sz w:val="21"/>
              </w:rPr>
              <w:t>41,379 </w:t>
            </w:r>
          </w:p>
        </w:tc>
        <w:tc>
          <w:tcPr>
            <w:tcW w:w="2935" w:type="dxa"/>
          </w:tcPr>
          <w:p>
            <w:pPr>
              <w:pStyle w:val="TableParagraph"/>
              <w:spacing w:line="250" w:lineRule="exact" w:before="1"/>
              <w:ind w:right="-15"/>
              <w:jc w:val="right"/>
              <w:rPr>
                <w:sz w:val="21"/>
              </w:rPr>
            </w:pPr>
            <w:r>
              <w:rPr>
                <w:sz w:val="21"/>
              </w:rPr>
              <w:t>16,488 </w:t>
            </w:r>
          </w:p>
        </w:tc>
      </w:tr>
      <w:tr>
        <w:trPr>
          <w:trHeight w:val="273" w:hRule="atLeast"/>
        </w:trPr>
        <w:tc>
          <w:tcPr>
            <w:tcW w:w="2957" w:type="dxa"/>
          </w:tcPr>
          <w:p>
            <w:pPr>
              <w:pStyle w:val="TableParagraph"/>
              <w:spacing w:line="252" w:lineRule="exact" w:before="1"/>
              <w:ind w:right="1205"/>
              <w:jc w:val="right"/>
              <w:rPr>
                <w:sz w:val="21"/>
              </w:rPr>
            </w:pPr>
            <w:r>
              <w:rPr>
                <w:sz w:val="21"/>
              </w:rPr>
              <w:t>合计 </w:t>
            </w:r>
          </w:p>
        </w:tc>
        <w:tc>
          <w:tcPr>
            <w:tcW w:w="2930" w:type="dxa"/>
          </w:tcPr>
          <w:p>
            <w:pPr>
              <w:pStyle w:val="TableParagraph"/>
              <w:spacing w:line="252" w:lineRule="exact" w:before="1"/>
              <w:ind w:right="61"/>
              <w:jc w:val="right"/>
              <w:rPr>
                <w:sz w:val="21"/>
              </w:rPr>
            </w:pPr>
            <w:r>
              <w:rPr>
                <w:sz w:val="21"/>
              </w:rPr>
              <w:t>1,237,028 </w:t>
            </w:r>
          </w:p>
        </w:tc>
        <w:tc>
          <w:tcPr>
            <w:tcW w:w="2935" w:type="dxa"/>
          </w:tcPr>
          <w:p>
            <w:pPr>
              <w:pStyle w:val="TableParagraph"/>
              <w:spacing w:line="252" w:lineRule="exact" w:before="1"/>
              <w:ind w:right="-15"/>
              <w:jc w:val="right"/>
              <w:rPr>
                <w:sz w:val="21"/>
              </w:rPr>
            </w:pPr>
            <w:r>
              <w:rPr>
                <w:sz w:val="21"/>
              </w:rPr>
              <w:t>1,865,047 </w:t>
            </w:r>
          </w:p>
        </w:tc>
      </w:tr>
    </w:tbl>
    <w:p>
      <w:pPr>
        <w:pStyle w:val="BodyText"/>
        <w:spacing w:line="242" w:lineRule="auto" w:before="1"/>
        <w:ind w:right="8949"/>
      </w:pPr>
      <w:r>
        <w:rPr/>
        <w:t>其他说明：</w:t>
      </w:r>
      <w:r>
        <w:rPr>
          <w:spacing w:val="1"/>
        </w:rPr>
        <w:t> </w:t>
      </w:r>
      <w:r>
        <w:rPr/>
        <w:t>无 </w:t>
      </w:r>
    </w:p>
    <w:p>
      <w:pPr>
        <w:pStyle w:val="BodyText"/>
        <w:spacing w:before="1"/>
      </w:pPr>
      <w:r>
        <w:rPr>
          <w:w w:val="100"/>
        </w:rPr>
        <w:t> </w:t>
      </w:r>
    </w:p>
    <w:p>
      <w:pPr>
        <w:pStyle w:val="BodyText"/>
        <w:ind w:left="0"/>
        <w:rPr>
          <w:sz w:val="24"/>
        </w:rPr>
      </w:pPr>
    </w:p>
    <w:p>
      <w:pPr>
        <w:pStyle w:val="BodyText"/>
        <w:spacing w:line="297" w:lineRule="auto" w:before="72"/>
        <w:ind w:right="8546"/>
      </w:pPr>
      <w:r>
        <w:rPr>
          <w:spacing w:val="-1"/>
        </w:rPr>
        <w:t>41</w:t>
      </w:r>
      <w:r>
        <w:rPr>
          <w:spacing w:val="-6"/>
        </w:rPr>
        <w:t>、 其他应付款</w:t>
      </w:r>
      <w:r>
        <w:rPr/>
        <w:t>项目列示 </w:t>
      </w:r>
    </w:p>
    <w:p>
      <w:pPr>
        <w:pStyle w:val="BodyText"/>
        <w:spacing w:line="267" w:lineRule="exact"/>
      </w:pPr>
      <w:r>
        <w:rPr>
          <w:spacing w:val="-1"/>
        </w:rPr>
        <w:t>√适用 □不适用</w:t>
      </w:r>
      <w:r>
        <w:rPr>
          <w:spacing w:val="-3"/>
        </w:rPr>
        <w:t> </w:t>
      </w:r>
      <w:r>
        <w:rPr/>
        <w:t> </w:t>
      </w:r>
    </w:p>
    <w:p>
      <w:pPr>
        <w:pStyle w:val="BodyText"/>
        <w:spacing w:before="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26"/>
        <w:gridCol w:w="2791"/>
        <w:gridCol w:w="2806"/>
      </w:tblGrid>
      <w:tr>
        <w:trPr>
          <w:trHeight w:val="273" w:hRule="atLeast"/>
        </w:trPr>
        <w:tc>
          <w:tcPr>
            <w:tcW w:w="3226" w:type="dxa"/>
          </w:tcPr>
          <w:p>
            <w:pPr>
              <w:pStyle w:val="TableParagraph"/>
              <w:spacing w:line="252" w:lineRule="exact" w:before="1"/>
              <w:ind w:left="1434" w:right="1322"/>
              <w:jc w:val="center"/>
              <w:rPr>
                <w:sz w:val="21"/>
              </w:rPr>
            </w:pPr>
            <w:r>
              <w:rPr>
                <w:sz w:val="21"/>
              </w:rPr>
              <w:t>项目 </w:t>
            </w:r>
          </w:p>
        </w:tc>
        <w:tc>
          <w:tcPr>
            <w:tcW w:w="2791" w:type="dxa"/>
          </w:tcPr>
          <w:p>
            <w:pPr>
              <w:pStyle w:val="TableParagraph"/>
              <w:spacing w:line="252" w:lineRule="exact" w:before="1"/>
              <w:ind w:left="974"/>
              <w:rPr>
                <w:sz w:val="21"/>
              </w:rPr>
            </w:pPr>
            <w:r>
              <w:rPr>
                <w:spacing w:val="-1"/>
                <w:sz w:val="21"/>
              </w:rPr>
              <w:t>期末余额</w:t>
            </w:r>
            <w:r>
              <w:rPr>
                <w:sz w:val="21"/>
              </w:rPr>
              <w:t> </w:t>
            </w:r>
          </w:p>
        </w:tc>
        <w:tc>
          <w:tcPr>
            <w:tcW w:w="2806" w:type="dxa"/>
          </w:tcPr>
          <w:p>
            <w:pPr>
              <w:pStyle w:val="TableParagraph"/>
              <w:spacing w:line="252" w:lineRule="exact" w:before="1"/>
              <w:ind w:left="982"/>
              <w:rPr>
                <w:sz w:val="21"/>
              </w:rPr>
            </w:pPr>
            <w:r>
              <w:rPr>
                <w:spacing w:val="-1"/>
                <w:sz w:val="21"/>
              </w:rPr>
              <w:t>期初余额</w:t>
            </w:r>
            <w:r>
              <w:rPr>
                <w:sz w:val="21"/>
              </w:rPr>
              <w:t> </w:t>
            </w:r>
          </w:p>
        </w:tc>
      </w:tr>
      <w:tr>
        <w:trPr>
          <w:trHeight w:val="270" w:hRule="atLeast"/>
        </w:trPr>
        <w:tc>
          <w:tcPr>
            <w:tcW w:w="3226" w:type="dxa"/>
          </w:tcPr>
          <w:p>
            <w:pPr>
              <w:pStyle w:val="TableParagraph"/>
              <w:spacing w:line="250" w:lineRule="exact" w:before="1"/>
              <w:ind w:left="107"/>
              <w:rPr>
                <w:sz w:val="21"/>
              </w:rPr>
            </w:pPr>
            <w:r>
              <w:rPr>
                <w:spacing w:val="-1"/>
                <w:sz w:val="21"/>
              </w:rPr>
              <w:t>应付利息</w:t>
            </w:r>
            <w:r>
              <w:rPr>
                <w:sz w:val="21"/>
              </w:rPr>
              <w:t> </w:t>
            </w:r>
          </w:p>
        </w:tc>
        <w:tc>
          <w:tcPr>
            <w:tcW w:w="2791" w:type="dxa"/>
          </w:tcPr>
          <w:p>
            <w:pPr>
              <w:pStyle w:val="TableParagraph"/>
              <w:spacing w:line="250" w:lineRule="exact" w:before="1"/>
              <w:ind w:right="-15"/>
              <w:jc w:val="right"/>
              <w:rPr>
                <w:sz w:val="21"/>
              </w:rPr>
            </w:pPr>
            <w:r>
              <w:rPr>
                <w:w w:val="100"/>
                <w:sz w:val="21"/>
              </w:rPr>
              <w:t> </w:t>
            </w:r>
          </w:p>
        </w:tc>
        <w:tc>
          <w:tcPr>
            <w:tcW w:w="2806" w:type="dxa"/>
          </w:tcPr>
          <w:p>
            <w:pPr>
              <w:pStyle w:val="TableParagraph"/>
              <w:spacing w:line="250" w:lineRule="exact" w:before="1"/>
              <w:ind w:right="-15"/>
              <w:jc w:val="right"/>
              <w:rPr>
                <w:sz w:val="21"/>
              </w:rPr>
            </w:pPr>
            <w:r>
              <w:rPr>
                <w:w w:val="100"/>
                <w:sz w:val="21"/>
              </w:rPr>
              <w:t> </w:t>
            </w:r>
          </w:p>
        </w:tc>
      </w:tr>
      <w:tr>
        <w:trPr>
          <w:trHeight w:val="273" w:hRule="atLeast"/>
        </w:trPr>
        <w:tc>
          <w:tcPr>
            <w:tcW w:w="3226" w:type="dxa"/>
          </w:tcPr>
          <w:p>
            <w:pPr>
              <w:pStyle w:val="TableParagraph"/>
              <w:spacing w:line="250" w:lineRule="exact" w:before="3"/>
              <w:ind w:left="107"/>
              <w:rPr>
                <w:sz w:val="21"/>
              </w:rPr>
            </w:pPr>
            <w:r>
              <w:rPr>
                <w:spacing w:val="-1"/>
                <w:sz w:val="21"/>
              </w:rPr>
              <w:t>应付股利</w:t>
            </w:r>
            <w:r>
              <w:rPr>
                <w:sz w:val="21"/>
              </w:rPr>
              <w:t> </w:t>
            </w:r>
          </w:p>
        </w:tc>
        <w:tc>
          <w:tcPr>
            <w:tcW w:w="2791" w:type="dxa"/>
          </w:tcPr>
          <w:p>
            <w:pPr>
              <w:pStyle w:val="TableParagraph"/>
              <w:spacing w:line="250" w:lineRule="exact" w:before="3"/>
              <w:ind w:right="-15"/>
              <w:jc w:val="right"/>
              <w:rPr>
                <w:sz w:val="21"/>
              </w:rPr>
            </w:pPr>
            <w:r>
              <w:rPr>
                <w:w w:val="100"/>
                <w:sz w:val="21"/>
              </w:rPr>
              <w:t> </w:t>
            </w:r>
          </w:p>
        </w:tc>
        <w:tc>
          <w:tcPr>
            <w:tcW w:w="2806" w:type="dxa"/>
          </w:tcPr>
          <w:p>
            <w:pPr>
              <w:pStyle w:val="TableParagraph"/>
              <w:spacing w:line="250" w:lineRule="exact" w:before="3"/>
              <w:ind w:right="-15"/>
              <w:jc w:val="right"/>
              <w:rPr>
                <w:sz w:val="21"/>
              </w:rPr>
            </w:pPr>
            <w:r>
              <w:rPr>
                <w:w w:val="100"/>
                <w:sz w:val="21"/>
              </w:rPr>
              <w:t> </w:t>
            </w:r>
          </w:p>
        </w:tc>
      </w:tr>
      <w:tr>
        <w:trPr>
          <w:trHeight w:val="273" w:hRule="atLeast"/>
        </w:trPr>
        <w:tc>
          <w:tcPr>
            <w:tcW w:w="3226" w:type="dxa"/>
          </w:tcPr>
          <w:p>
            <w:pPr>
              <w:pStyle w:val="TableParagraph"/>
              <w:spacing w:line="252" w:lineRule="exact" w:before="1"/>
              <w:ind w:left="107"/>
              <w:rPr>
                <w:sz w:val="21"/>
              </w:rPr>
            </w:pPr>
            <w:r>
              <w:rPr>
                <w:sz w:val="21"/>
              </w:rPr>
              <w:t>其他应付款 </w:t>
            </w:r>
          </w:p>
        </w:tc>
        <w:tc>
          <w:tcPr>
            <w:tcW w:w="2791" w:type="dxa"/>
          </w:tcPr>
          <w:p>
            <w:pPr>
              <w:pStyle w:val="TableParagraph"/>
              <w:spacing w:line="235" w:lineRule="exact"/>
              <w:ind w:left="1737"/>
              <w:rPr>
                <w:rFonts w:ascii="Times New Roman"/>
                <w:sz w:val="21"/>
              </w:rPr>
            </w:pPr>
            <w:r>
              <w:rPr>
                <w:rFonts w:ascii="Times New Roman"/>
                <w:sz w:val="21"/>
              </w:rPr>
              <w:t>16,901,025</w:t>
            </w:r>
          </w:p>
        </w:tc>
        <w:tc>
          <w:tcPr>
            <w:tcW w:w="2806" w:type="dxa"/>
          </w:tcPr>
          <w:p>
            <w:pPr>
              <w:pStyle w:val="TableParagraph"/>
              <w:spacing w:line="235" w:lineRule="exact"/>
              <w:ind w:right="92"/>
              <w:jc w:val="right"/>
              <w:rPr>
                <w:rFonts w:ascii="Times New Roman"/>
                <w:sz w:val="21"/>
              </w:rPr>
            </w:pPr>
            <w:r>
              <w:rPr>
                <w:rFonts w:ascii="Times New Roman"/>
                <w:sz w:val="21"/>
              </w:rPr>
              <w:t>8,808,538</w:t>
            </w:r>
          </w:p>
        </w:tc>
      </w:tr>
      <w:tr>
        <w:trPr>
          <w:trHeight w:val="273" w:hRule="atLeast"/>
        </w:trPr>
        <w:tc>
          <w:tcPr>
            <w:tcW w:w="3226" w:type="dxa"/>
          </w:tcPr>
          <w:p>
            <w:pPr>
              <w:pStyle w:val="TableParagraph"/>
              <w:spacing w:line="252" w:lineRule="exact" w:before="1"/>
              <w:ind w:left="107"/>
              <w:rPr>
                <w:sz w:val="21"/>
              </w:rPr>
            </w:pPr>
            <w:r>
              <w:rPr>
                <w:sz w:val="21"/>
              </w:rPr>
              <w:t>合计 </w:t>
            </w:r>
          </w:p>
        </w:tc>
        <w:tc>
          <w:tcPr>
            <w:tcW w:w="2791" w:type="dxa"/>
          </w:tcPr>
          <w:p>
            <w:pPr>
              <w:pStyle w:val="TableParagraph"/>
              <w:spacing w:before="7"/>
              <w:ind w:left="1737"/>
              <w:rPr>
                <w:rFonts w:ascii="Times New Roman"/>
                <w:sz w:val="21"/>
              </w:rPr>
            </w:pPr>
            <w:r>
              <w:rPr>
                <w:rFonts w:ascii="Times New Roman"/>
                <w:sz w:val="21"/>
              </w:rPr>
              <w:t>16,901,025</w:t>
            </w:r>
          </w:p>
        </w:tc>
        <w:tc>
          <w:tcPr>
            <w:tcW w:w="2806" w:type="dxa"/>
          </w:tcPr>
          <w:p>
            <w:pPr>
              <w:pStyle w:val="TableParagraph"/>
              <w:spacing w:before="7"/>
              <w:ind w:right="92"/>
              <w:jc w:val="right"/>
              <w:rPr>
                <w:rFonts w:ascii="Times New Roman"/>
                <w:sz w:val="21"/>
              </w:rPr>
            </w:pPr>
            <w:r>
              <w:rPr>
                <w:rFonts w:ascii="Times New Roman"/>
                <w:sz w:val="21"/>
              </w:rPr>
              <w:t>8,808,538</w:t>
            </w:r>
          </w:p>
        </w:tc>
      </w:tr>
    </w:tbl>
    <w:p>
      <w:pPr>
        <w:pStyle w:val="BodyText"/>
        <w:spacing w:before="1"/>
      </w:pPr>
      <w:r>
        <w:rPr>
          <w:w w:val="100"/>
        </w:rPr>
        <w:t> </w:t>
      </w:r>
    </w:p>
    <w:p>
      <w:pPr>
        <w:pStyle w:val="BodyText"/>
        <w:spacing w:before="2"/>
      </w:pPr>
      <w:r>
        <w:rPr/>
        <w:t>其他说明： </w:t>
      </w:r>
    </w:p>
    <w:p>
      <w:pPr>
        <w:pStyle w:val="BodyText"/>
        <w:spacing w:before="2"/>
      </w:pPr>
      <w:r>
        <w:rPr>
          <w:spacing w:val="-1"/>
        </w:rPr>
        <w:t>□适用 √不适用</w:t>
      </w:r>
      <w:r>
        <w:rPr>
          <w:spacing w:val="-3"/>
        </w:rPr>
        <w:t> </w:t>
      </w:r>
      <w:r>
        <w:rPr/>
        <w:t> </w:t>
      </w:r>
    </w:p>
    <w:p>
      <w:pPr>
        <w:pStyle w:val="BodyText"/>
        <w:spacing w:before="5"/>
      </w:pPr>
      <w:r>
        <w:rPr>
          <w:w w:val="100"/>
        </w:rPr>
        <w:t> </w:t>
      </w:r>
    </w:p>
    <w:p>
      <w:pPr>
        <w:pStyle w:val="BodyText"/>
        <w:spacing w:before="2"/>
      </w:pPr>
      <w:r>
        <w:rPr>
          <w:w w:val="100"/>
        </w:rPr>
        <w:t> </w:t>
      </w:r>
    </w:p>
    <w:p>
      <w:pPr>
        <w:pStyle w:val="BodyText"/>
        <w:spacing w:line="295" w:lineRule="auto" w:before="65"/>
        <w:ind w:right="8733"/>
      </w:pPr>
      <w:r>
        <w:rPr/>
        <w:t>应付利息</w:t>
      </w:r>
      <w:r>
        <w:rPr>
          <w:spacing w:val="15"/>
        </w:rPr>
        <w:t> </w:t>
      </w:r>
      <w:r>
        <w:rPr/>
        <w:t>(1).分类列示 </w:t>
      </w:r>
    </w:p>
    <w:p>
      <w:pPr>
        <w:pStyle w:val="BodyText"/>
        <w:spacing w:before="3"/>
      </w:pPr>
      <w:r>
        <w:rPr>
          <w:spacing w:val="-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BodyText"/>
        <w:spacing w:line="297" w:lineRule="auto" w:before="62"/>
        <w:ind w:right="8733"/>
      </w:pPr>
      <w:r>
        <w:rPr/>
        <w:t>应付股利</w:t>
      </w:r>
      <w:r>
        <w:rPr>
          <w:spacing w:val="15"/>
        </w:rPr>
        <w:t> </w:t>
      </w:r>
      <w:r>
        <w:rPr/>
        <w:t>(2).分类列示 </w:t>
      </w:r>
    </w:p>
    <w:p>
      <w:pPr>
        <w:pStyle w:val="BodyText"/>
        <w:spacing w:line="267" w:lineRule="exact"/>
      </w:pPr>
      <w:r>
        <w:rPr>
          <w:spacing w:val="-1"/>
        </w:rPr>
        <w:t>□适用 √不适用</w:t>
      </w:r>
      <w:r>
        <w:rPr>
          <w:spacing w:val="-3"/>
        </w:rPr>
        <w:t> </w:t>
      </w:r>
      <w:r>
        <w:rPr/>
        <w:t> </w:t>
      </w:r>
    </w:p>
    <w:p>
      <w:pPr>
        <w:pStyle w:val="BodyText"/>
        <w:spacing w:before="4"/>
      </w:pPr>
      <w:r>
        <w:rPr>
          <w:w w:val="100"/>
        </w:rPr>
        <w:t> </w:t>
      </w:r>
    </w:p>
    <w:p>
      <w:pPr>
        <w:spacing w:after="0"/>
        <w:sectPr>
          <w:pgSz w:w="11910" w:h="16840"/>
          <w:pgMar w:header="882" w:footer="1184" w:top="1120" w:bottom="1380" w:left="1480" w:right="0"/>
        </w:sectPr>
      </w:pPr>
    </w:p>
    <w:p>
      <w:pPr>
        <w:pStyle w:val="BodyText"/>
        <w:spacing w:before="7"/>
        <w:ind w:left="0"/>
        <w:rPr>
          <w:sz w:val="25"/>
        </w:rPr>
      </w:pPr>
    </w:p>
    <w:p>
      <w:pPr>
        <w:spacing w:after="0"/>
        <w:rPr>
          <w:sz w:val="25"/>
        </w:rPr>
        <w:sectPr>
          <w:pgSz w:w="11910" w:h="16840"/>
          <w:pgMar w:header="882" w:footer="1184" w:top="1120" w:bottom="1380" w:left="1480" w:right="0"/>
        </w:sectPr>
      </w:pPr>
    </w:p>
    <w:p>
      <w:pPr>
        <w:pStyle w:val="BodyText"/>
        <w:spacing w:before="72"/>
      </w:pPr>
      <w:r>
        <w:rPr>
          <w:w w:val="100"/>
        </w:rPr>
        <w:t> </w:t>
      </w:r>
    </w:p>
    <w:p>
      <w:pPr>
        <w:pStyle w:val="BodyText"/>
        <w:spacing w:before="65"/>
      </w:pPr>
      <w:r>
        <w:rPr/>
        <w:t>其他应付款 </w:t>
      </w:r>
    </w:p>
    <w:p>
      <w:pPr>
        <w:pStyle w:val="ListParagraph"/>
        <w:numPr>
          <w:ilvl w:val="0"/>
          <w:numId w:val="74"/>
        </w:numPr>
        <w:tabs>
          <w:tab w:pos="742" w:val="left" w:leader="none"/>
        </w:tabs>
        <w:spacing w:line="240" w:lineRule="auto" w:before="62" w:after="0"/>
        <w:ind w:left="741" w:right="0" w:hanging="424"/>
        <w:jc w:val="left"/>
        <w:rPr>
          <w:sz w:val="21"/>
        </w:rPr>
      </w:pPr>
      <w:r>
        <w:rPr>
          <w:sz w:val="21"/>
        </w:rPr>
        <w:t>按款项性质列示其他应付款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spacing w:before="9"/>
        <w:ind w:left="0"/>
        <w:rPr>
          <w:sz w:val="24"/>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3522" w:space="2788"/>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52"/>
        <w:gridCol w:w="2924"/>
        <w:gridCol w:w="3049"/>
      </w:tblGrid>
      <w:tr>
        <w:trPr>
          <w:trHeight w:val="270" w:hRule="atLeast"/>
        </w:trPr>
        <w:tc>
          <w:tcPr>
            <w:tcW w:w="2852" w:type="dxa"/>
          </w:tcPr>
          <w:p>
            <w:pPr>
              <w:pStyle w:val="TableParagraph"/>
              <w:spacing w:line="250" w:lineRule="exact" w:before="1"/>
              <w:ind w:left="1246" w:right="1135"/>
              <w:jc w:val="center"/>
              <w:rPr>
                <w:sz w:val="21"/>
              </w:rPr>
            </w:pPr>
            <w:r>
              <w:rPr>
                <w:sz w:val="21"/>
              </w:rPr>
              <w:t>项目 </w:t>
            </w:r>
          </w:p>
        </w:tc>
        <w:tc>
          <w:tcPr>
            <w:tcW w:w="2924" w:type="dxa"/>
          </w:tcPr>
          <w:p>
            <w:pPr>
              <w:pStyle w:val="TableParagraph"/>
              <w:spacing w:line="250" w:lineRule="exact" w:before="1"/>
              <w:ind w:left="1038"/>
              <w:rPr>
                <w:sz w:val="21"/>
              </w:rPr>
            </w:pPr>
            <w:r>
              <w:rPr>
                <w:spacing w:val="-1"/>
                <w:sz w:val="21"/>
              </w:rPr>
              <w:t>期末余额</w:t>
            </w:r>
            <w:r>
              <w:rPr>
                <w:sz w:val="21"/>
              </w:rPr>
              <w:t> </w:t>
            </w:r>
          </w:p>
        </w:tc>
        <w:tc>
          <w:tcPr>
            <w:tcW w:w="3049" w:type="dxa"/>
          </w:tcPr>
          <w:p>
            <w:pPr>
              <w:pStyle w:val="TableParagraph"/>
              <w:spacing w:line="250" w:lineRule="exact" w:before="1"/>
              <w:ind w:left="1103"/>
              <w:rPr>
                <w:sz w:val="21"/>
              </w:rPr>
            </w:pPr>
            <w:r>
              <w:rPr>
                <w:spacing w:val="-1"/>
                <w:sz w:val="21"/>
              </w:rPr>
              <w:t>期初余额</w:t>
            </w:r>
            <w:r>
              <w:rPr>
                <w:sz w:val="21"/>
              </w:rPr>
              <w:t> </w:t>
            </w:r>
          </w:p>
        </w:tc>
      </w:tr>
      <w:tr>
        <w:trPr>
          <w:trHeight w:val="273" w:hRule="atLeast"/>
        </w:trPr>
        <w:tc>
          <w:tcPr>
            <w:tcW w:w="2852" w:type="dxa"/>
          </w:tcPr>
          <w:p>
            <w:pPr>
              <w:pStyle w:val="TableParagraph"/>
              <w:spacing w:line="250" w:lineRule="exact" w:before="3"/>
              <w:ind w:left="107"/>
              <w:rPr>
                <w:sz w:val="21"/>
              </w:rPr>
            </w:pPr>
            <w:r>
              <w:rPr>
                <w:sz w:val="21"/>
              </w:rPr>
              <w:t>保证金 </w:t>
            </w:r>
          </w:p>
        </w:tc>
        <w:tc>
          <w:tcPr>
            <w:tcW w:w="2924" w:type="dxa"/>
          </w:tcPr>
          <w:p>
            <w:pPr>
              <w:pStyle w:val="TableParagraph"/>
              <w:spacing w:line="237" w:lineRule="exact"/>
              <w:ind w:right="96"/>
              <w:jc w:val="right"/>
              <w:rPr>
                <w:rFonts w:ascii="Times New Roman"/>
                <w:sz w:val="21"/>
              </w:rPr>
            </w:pPr>
            <w:r>
              <w:rPr>
                <w:rFonts w:ascii="Times New Roman"/>
                <w:sz w:val="21"/>
              </w:rPr>
              <w:t>9,862,867</w:t>
            </w:r>
          </w:p>
        </w:tc>
        <w:tc>
          <w:tcPr>
            <w:tcW w:w="3049" w:type="dxa"/>
          </w:tcPr>
          <w:p>
            <w:pPr>
              <w:pStyle w:val="TableParagraph"/>
              <w:spacing w:line="237" w:lineRule="exact"/>
              <w:ind w:right="94"/>
              <w:jc w:val="right"/>
              <w:rPr>
                <w:rFonts w:ascii="Times New Roman"/>
                <w:sz w:val="21"/>
              </w:rPr>
            </w:pPr>
            <w:r>
              <w:rPr>
                <w:rFonts w:ascii="Times New Roman"/>
                <w:sz w:val="21"/>
              </w:rPr>
              <w:t>3,444,457</w:t>
            </w:r>
          </w:p>
        </w:tc>
      </w:tr>
      <w:tr>
        <w:trPr>
          <w:trHeight w:val="273" w:hRule="atLeast"/>
        </w:trPr>
        <w:tc>
          <w:tcPr>
            <w:tcW w:w="2852" w:type="dxa"/>
          </w:tcPr>
          <w:p>
            <w:pPr>
              <w:pStyle w:val="TableParagraph"/>
              <w:spacing w:line="252" w:lineRule="exact" w:before="1"/>
              <w:ind w:left="107"/>
              <w:rPr>
                <w:sz w:val="21"/>
              </w:rPr>
            </w:pPr>
            <w:r>
              <w:rPr>
                <w:spacing w:val="-1"/>
                <w:sz w:val="21"/>
              </w:rPr>
              <w:t>应付工程设备款</w:t>
            </w:r>
            <w:r>
              <w:rPr>
                <w:sz w:val="21"/>
              </w:rPr>
              <w:t> </w:t>
            </w:r>
          </w:p>
        </w:tc>
        <w:tc>
          <w:tcPr>
            <w:tcW w:w="2924" w:type="dxa"/>
          </w:tcPr>
          <w:p>
            <w:pPr>
              <w:pStyle w:val="TableParagraph"/>
              <w:spacing w:line="235" w:lineRule="exact"/>
              <w:ind w:right="96"/>
              <w:jc w:val="right"/>
              <w:rPr>
                <w:rFonts w:ascii="Times New Roman"/>
                <w:sz w:val="21"/>
              </w:rPr>
            </w:pPr>
            <w:r>
              <w:rPr>
                <w:rFonts w:ascii="Times New Roman"/>
                <w:sz w:val="21"/>
              </w:rPr>
              <w:t>1,752,944</w:t>
            </w:r>
          </w:p>
        </w:tc>
        <w:tc>
          <w:tcPr>
            <w:tcW w:w="3049" w:type="dxa"/>
          </w:tcPr>
          <w:p>
            <w:pPr>
              <w:pStyle w:val="TableParagraph"/>
              <w:spacing w:line="235" w:lineRule="exact"/>
              <w:ind w:right="94"/>
              <w:jc w:val="right"/>
              <w:rPr>
                <w:rFonts w:ascii="Times New Roman"/>
                <w:sz w:val="21"/>
              </w:rPr>
            </w:pPr>
            <w:r>
              <w:rPr>
                <w:rFonts w:ascii="Times New Roman"/>
                <w:sz w:val="21"/>
              </w:rPr>
              <w:t>587,003</w:t>
            </w:r>
          </w:p>
        </w:tc>
      </w:tr>
      <w:tr>
        <w:trPr>
          <w:trHeight w:val="270" w:hRule="atLeast"/>
        </w:trPr>
        <w:tc>
          <w:tcPr>
            <w:tcW w:w="2852" w:type="dxa"/>
          </w:tcPr>
          <w:p>
            <w:pPr>
              <w:pStyle w:val="TableParagraph"/>
              <w:spacing w:line="250" w:lineRule="exact" w:before="1"/>
              <w:ind w:left="107"/>
              <w:rPr>
                <w:sz w:val="21"/>
              </w:rPr>
            </w:pPr>
            <w:r>
              <w:rPr>
                <w:spacing w:val="-1"/>
                <w:sz w:val="21"/>
              </w:rPr>
              <w:t>应付关联方款项</w:t>
            </w:r>
            <w:r>
              <w:rPr>
                <w:sz w:val="21"/>
              </w:rPr>
              <w:t> </w:t>
            </w:r>
          </w:p>
        </w:tc>
        <w:tc>
          <w:tcPr>
            <w:tcW w:w="2924" w:type="dxa"/>
          </w:tcPr>
          <w:p>
            <w:pPr>
              <w:pStyle w:val="TableParagraph"/>
              <w:rPr>
                <w:rFonts w:ascii="Times New Roman"/>
                <w:sz w:val="20"/>
              </w:rPr>
            </w:pPr>
          </w:p>
        </w:tc>
        <w:tc>
          <w:tcPr>
            <w:tcW w:w="3049" w:type="dxa"/>
          </w:tcPr>
          <w:p>
            <w:pPr>
              <w:pStyle w:val="TableParagraph"/>
              <w:rPr>
                <w:rFonts w:ascii="Times New Roman"/>
                <w:sz w:val="20"/>
              </w:rPr>
            </w:pPr>
          </w:p>
        </w:tc>
      </w:tr>
      <w:tr>
        <w:trPr>
          <w:trHeight w:val="544" w:hRule="atLeast"/>
        </w:trPr>
        <w:tc>
          <w:tcPr>
            <w:tcW w:w="2852" w:type="dxa"/>
          </w:tcPr>
          <w:p>
            <w:pPr>
              <w:pStyle w:val="TableParagraph"/>
              <w:spacing w:line="270" w:lineRule="atLeast"/>
              <w:ind w:left="107" w:right="209"/>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w w:val="100"/>
                <w:sz w:val="21"/>
              </w:rPr>
              <w:t> </w:t>
            </w:r>
            <w:r>
              <w:rPr>
                <w:spacing w:val="-1"/>
                <w:sz w:val="21"/>
              </w:rPr>
              <w:t>-应付劳务、固定资</w:t>
            </w:r>
            <w:r>
              <w:rPr>
                <w:sz w:val="21"/>
              </w:rPr>
              <w:t>产、商标使用权费等  </w:t>
            </w:r>
            <w:r>
              <w:rPr>
                <w:w w:val="100"/>
                <w:sz w:val="21"/>
              </w:rPr>
              <w:t> </w:t>
            </w:r>
            <w:r>
              <w:rPr>
                <w:spacing w:val="-2"/>
                <w:sz w:val="21"/>
              </w:rPr>
              <w:t> </w:t>
            </w:r>
            <w:r>
              <w:rPr>
                <w:w w:val="100"/>
                <w:sz w:val="21"/>
              </w:rPr>
              <w:t> </w:t>
            </w:r>
          </w:p>
        </w:tc>
        <w:tc>
          <w:tcPr>
            <w:tcW w:w="2924" w:type="dxa"/>
          </w:tcPr>
          <w:p>
            <w:pPr>
              <w:pStyle w:val="TableParagraph"/>
              <w:spacing w:line="237" w:lineRule="exact"/>
              <w:ind w:right="96"/>
              <w:jc w:val="right"/>
              <w:rPr>
                <w:rFonts w:ascii="Times New Roman"/>
                <w:sz w:val="21"/>
              </w:rPr>
            </w:pPr>
            <w:r>
              <w:rPr>
                <w:rFonts w:ascii="Times New Roman"/>
                <w:sz w:val="21"/>
              </w:rPr>
              <w:t>1,273,131</w:t>
            </w:r>
          </w:p>
        </w:tc>
        <w:tc>
          <w:tcPr>
            <w:tcW w:w="3049" w:type="dxa"/>
          </w:tcPr>
          <w:p>
            <w:pPr>
              <w:pStyle w:val="TableParagraph"/>
              <w:spacing w:line="237" w:lineRule="exact"/>
              <w:ind w:right="94"/>
              <w:jc w:val="right"/>
              <w:rPr>
                <w:rFonts w:ascii="Times New Roman"/>
                <w:sz w:val="21"/>
              </w:rPr>
            </w:pPr>
            <w:r>
              <w:rPr>
                <w:rFonts w:ascii="Times New Roman"/>
                <w:sz w:val="21"/>
              </w:rPr>
              <w:t>1,520,552</w:t>
            </w:r>
          </w:p>
        </w:tc>
      </w:tr>
      <w:tr>
        <w:trPr>
          <w:trHeight w:val="273" w:hRule="atLeast"/>
        </w:trPr>
        <w:tc>
          <w:tcPr>
            <w:tcW w:w="2852" w:type="dxa"/>
          </w:tcPr>
          <w:p>
            <w:pPr>
              <w:pStyle w:val="TableParagraph"/>
              <w:spacing w:line="250" w:lineRule="exact" w:before="3"/>
              <w:ind w:left="107"/>
              <w:rPr>
                <w:sz w:val="21"/>
              </w:rPr>
            </w:pPr>
            <w:r>
              <w:rPr>
                <w:spacing w:val="-1"/>
                <w:sz w:val="21"/>
              </w:rPr>
              <w:t>预收代购设备款</w:t>
            </w:r>
            <w:r>
              <w:rPr>
                <w:sz w:val="21"/>
              </w:rPr>
              <w:t> </w:t>
            </w:r>
          </w:p>
        </w:tc>
        <w:tc>
          <w:tcPr>
            <w:tcW w:w="2924" w:type="dxa"/>
          </w:tcPr>
          <w:p>
            <w:pPr>
              <w:pStyle w:val="TableParagraph"/>
              <w:spacing w:line="237" w:lineRule="exact"/>
              <w:ind w:right="96"/>
              <w:jc w:val="right"/>
              <w:rPr>
                <w:rFonts w:ascii="Times New Roman"/>
                <w:sz w:val="21"/>
              </w:rPr>
            </w:pPr>
            <w:r>
              <w:rPr>
                <w:rFonts w:ascii="Times New Roman"/>
                <w:sz w:val="21"/>
              </w:rPr>
              <w:t>1,006,073</w:t>
            </w:r>
          </w:p>
        </w:tc>
        <w:tc>
          <w:tcPr>
            <w:tcW w:w="3049" w:type="dxa"/>
          </w:tcPr>
          <w:p>
            <w:pPr>
              <w:pStyle w:val="TableParagraph"/>
              <w:spacing w:line="237" w:lineRule="exact"/>
              <w:ind w:right="94"/>
              <w:jc w:val="right"/>
              <w:rPr>
                <w:rFonts w:ascii="Times New Roman"/>
                <w:sz w:val="21"/>
              </w:rPr>
            </w:pPr>
            <w:r>
              <w:rPr>
                <w:rFonts w:ascii="Times New Roman"/>
                <w:sz w:val="21"/>
              </w:rPr>
              <w:t>564,237</w:t>
            </w:r>
          </w:p>
        </w:tc>
      </w:tr>
      <w:tr>
        <w:trPr>
          <w:trHeight w:val="273" w:hRule="atLeast"/>
        </w:trPr>
        <w:tc>
          <w:tcPr>
            <w:tcW w:w="2852" w:type="dxa"/>
          </w:tcPr>
          <w:p>
            <w:pPr>
              <w:pStyle w:val="TableParagraph"/>
              <w:spacing w:line="252" w:lineRule="exact" w:before="1"/>
              <w:ind w:left="107"/>
              <w:rPr>
                <w:sz w:val="21"/>
              </w:rPr>
            </w:pPr>
            <w:r>
              <w:rPr>
                <w:spacing w:val="-1"/>
                <w:sz w:val="21"/>
              </w:rPr>
              <w:t>应付维护修缮费</w:t>
            </w:r>
            <w:r>
              <w:rPr>
                <w:sz w:val="21"/>
              </w:rPr>
              <w:t> </w:t>
            </w:r>
          </w:p>
        </w:tc>
        <w:tc>
          <w:tcPr>
            <w:tcW w:w="2924" w:type="dxa"/>
          </w:tcPr>
          <w:p>
            <w:pPr>
              <w:pStyle w:val="TableParagraph"/>
              <w:spacing w:line="235" w:lineRule="exact"/>
              <w:ind w:right="96"/>
              <w:jc w:val="right"/>
              <w:rPr>
                <w:rFonts w:ascii="Times New Roman"/>
                <w:sz w:val="21"/>
              </w:rPr>
            </w:pPr>
            <w:r>
              <w:rPr>
                <w:rFonts w:ascii="Times New Roman"/>
                <w:sz w:val="21"/>
              </w:rPr>
              <w:t>505,833</w:t>
            </w:r>
          </w:p>
        </w:tc>
        <w:tc>
          <w:tcPr>
            <w:tcW w:w="3049" w:type="dxa"/>
          </w:tcPr>
          <w:p>
            <w:pPr>
              <w:pStyle w:val="TableParagraph"/>
              <w:spacing w:line="235" w:lineRule="exact"/>
              <w:ind w:right="94"/>
              <w:jc w:val="right"/>
              <w:rPr>
                <w:rFonts w:ascii="Times New Roman"/>
                <w:sz w:val="21"/>
              </w:rPr>
            </w:pPr>
            <w:r>
              <w:rPr>
                <w:rFonts w:ascii="Times New Roman"/>
                <w:sz w:val="21"/>
              </w:rPr>
              <w:t>431,812</w:t>
            </w:r>
          </w:p>
        </w:tc>
      </w:tr>
      <w:tr>
        <w:trPr>
          <w:trHeight w:val="271" w:hRule="atLeast"/>
        </w:trPr>
        <w:tc>
          <w:tcPr>
            <w:tcW w:w="2852" w:type="dxa"/>
          </w:tcPr>
          <w:p>
            <w:pPr>
              <w:pStyle w:val="TableParagraph"/>
              <w:spacing w:line="250" w:lineRule="exact" w:before="1"/>
              <w:ind w:left="107"/>
              <w:rPr>
                <w:sz w:val="21"/>
              </w:rPr>
            </w:pPr>
            <w:r>
              <w:rPr>
                <w:spacing w:val="-1"/>
                <w:sz w:val="21"/>
              </w:rPr>
              <w:t>限制性股票回购义务</w:t>
            </w:r>
            <w:r>
              <w:rPr>
                <w:sz w:val="21"/>
              </w:rPr>
              <w:t> </w:t>
            </w:r>
          </w:p>
        </w:tc>
        <w:tc>
          <w:tcPr>
            <w:tcW w:w="2924" w:type="dxa"/>
          </w:tcPr>
          <w:p>
            <w:pPr>
              <w:pStyle w:val="TableParagraph"/>
              <w:spacing w:line="235" w:lineRule="exact"/>
              <w:ind w:right="96"/>
              <w:jc w:val="right"/>
              <w:rPr>
                <w:rFonts w:ascii="Times New Roman"/>
                <w:sz w:val="21"/>
              </w:rPr>
            </w:pPr>
            <w:r>
              <w:rPr>
                <w:rFonts w:ascii="Times New Roman"/>
                <w:sz w:val="21"/>
              </w:rPr>
              <w:t>253,545</w:t>
            </w:r>
          </w:p>
        </w:tc>
        <w:tc>
          <w:tcPr>
            <w:tcW w:w="3049" w:type="dxa"/>
          </w:tcPr>
          <w:p>
            <w:pPr>
              <w:pStyle w:val="TableParagraph"/>
              <w:spacing w:line="235" w:lineRule="exact"/>
              <w:ind w:right="94"/>
              <w:jc w:val="right"/>
              <w:rPr>
                <w:rFonts w:ascii="Times New Roman"/>
                <w:sz w:val="21"/>
              </w:rPr>
            </w:pPr>
            <w:r>
              <w:rPr>
                <w:rFonts w:ascii="Times New Roman"/>
                <w:sz w:val="21"/>
              </w:rPr>
              <w:t>509,922</w:t>
            </w:r>
          </w:p>
        </w:tc>
      </w:tr>
      <w:tr>
        <w:trPr>
          <w:trHeight w:val="273" w:hRule="atLeast"/>
        </w:trPr>
        <w:tc>
          <w:tcPr>
            <w:tcW w:w="2852" w:type="dxa"/>
          </w:tcPr>
          <w:p>
            <w:pPr>
              <w:pStyle w:val="TableParagraph"/>
              <w:spacing w:line="250" w:lineRule="exact" w:before="3"/>
              <w:ind w:left="107"/>
              <w:rPr>
                <w:sz w:val="21"/>
              </w:rPr>
            </w:pPr>
            <w:r>
              <w:rPr>
                <w:spacing w:val="-1"/>
                <w:sz w:val="21"/>
              </w:rPr>
              <w:t>代收代垫款项</w:t>
            </w:r>
            <w:r>
              <w:rPr>
                <w:sz w:val="21"/>
              </w:rPr>
              <w:t> </w:t>
            </w:r>
          </w:p>
        </w:tc>
        <w:tc>
          <w:tcPr>
            <w:tcW w:w="2924" w:type="dxa"/>
          </w:tcPr>
          <w:p>
            <w:pPr>
              <w:pStyle w:val="TableParagraph"/>
              <w:spacing w:line="237" w:lineRule="exact"/>
              <w:ind w:right="96"/>
              <w:jc w:val="right"/>
              <w:rPr>
                <w:rFonts w:ascii="Times New Roman"/>
                <w:sz w:val="21"/>
              </w:rPr>
            </w:pPr>
            <w:r>
              <w:rPr>
                <w:rFonts w:ascii="Times New Roman"/>
                <w:sz w:val="21"/>
              </w:rPr>
              <w:t>224,679</w:t>
            </w:r>
          </w:p>
        </w:tc>
        <w:tc>
          <w:tcPr>
            <w:tcW w:w="3049" w:type="dxa"/>
          </w:tcPr>
          <w:p>
            <w:pPr>
              <w:pStyle w:val="TableParagraph"/>
              <w:spacing w:line="237" w:lineRule="exact"/>
              <w:ind w:right="94"/>
              <w:jc w:val="right"/>
              <w:rPr>
                <w:rFonts w:ascii="Times New Roman"/>
                <w:sz w:val="21"/>
              </w:rPr>
            </w:pPr>
            <w:r>
              <w:rPr>
                <w:rFonts w:ascii="Times New Roman"/>
                <w:sz w:val="21"/>
              </w:rPr>
              <w:t>213,895</w:t>
            </w:r>
          </w:p>
        </w:tc>
      </w:tr>
      <w:tr>
        <w:trPr>
          <w:trHeight w:val="273" w:hRule="atLeast"/>
        </w:trPr>
        <w:tc>
          <w:tcPr>
            <w:tcW w:w="2852" w:type="dxa"/>
          </w:tcPr>
          <w:p>
            <w:pPr>
              <w:pStyle w:val="TableParagraph"/>
              <w:spacing w:line="252" w:lineRule="exact" w:before="1"/>
              <w:ind w:left="107"/>
              <w:rPr>
                <w:sz w:val="21"/>
              </w:rPr>
            </w:pPr>
            <w:r>
              <w:rPr>
                <w:spacing w:val="-1"/>
                <w:sz w:val="21"/>
              </w:rPr>
              <w:t>应付租金</w:t>
            </w:r>
            <w:r>
              <w:rPr>
                <w:sz w:val="21"/>
              </w:rPr>
              <w:t> </w:t>
            </w:r>
          </w:p>
        </w:tc>
        <w:tc>
          <w:tcPr>
            <w:tcW w:w="2924" w:type="dxa"/>
          </w:tcPr>
          <w:p>
            <w:pPr>
              <w:pStyle w:val="TableParagraph"/>
              <w:spacing w:line="235" w:lineRule="exact"/>
              <w:ind w:right="96"/>
              <w:jc w:val="right"/>
              <w:rPr>
                <w:rFonts w:ascii="Times New Roman"/>
                <w:sz w:val="21"/>
              </w:rPr>
            </w:pPr>
            <w:r>
              <w:rPr>
                <w:rFonts w:ascii="Times New Roman"/>
                <w:sz w:val="21"/>
              </w:rPr>
              <w:t>171,710</w:t>
            </w:r>
          </w:p>
        </w:tc>
        <w:tc>
          <w:tcPr>
            <w:tcW w:w="3049" w:type="dxa"/>
          </w:tcPr>
          <w:p>
            <w:pPr>
              <w:pStyle w:val="TableParagraph"/>
              <w:spacing w:line="235" w:lineRule="exact"/>
              <w:ind w:right="94"/>
              <w:jc w:val="right"/>
              <w:rPr>
                <w:rFonts w:ascii="Times New Roman"/>
                <w:sz w:val="21"/>
              </w:rPr>
            </w:pPr>
            <w:r>
              <w:rPr>
                <w:rFonts w:ascii="Times New Roman"/>
                <w:sz w:val="21"/>
              </w:rPr>
              <w:t>65,692</w:t>
            </w:r>
          </w:p>
        </w:tc>
      </w:tr>
      <w:tr>
        <w:trPr>
          <w:trHeight w:val="270" w:hRule="atLeast"/>
        </w:trPr>
        <w:tc>
          <w:tcPr>
            <w:tcW w:w="2852" w:type="dxa"/>
          </w:tcPr>
          <w:p>
            <w:pPr>
              <w:pStyle w:val="TableParagraph"/>
              <w:spacing w:line="250" w:lineRule="exact" w:before="1"/>
              <w:ind w:left="107"/>
              <w:rPr>
                <w:sz w:val="21"/>
              </w:rPr>
            </w:pPr>
            <w:r>
              <w:rPr>
                <w:spacing w:val="-1"/>
                <w:sz w:val="21"/>
              </w:rPr>
              <w:t>应付模具费用</w:t>
            </w:r>
            <w:r>
              <w:rPr>
                <w:sz w:val="21"/>
              </w:rPr>
              <w:t> </w:t>
            </w:r>
          </w:p>
        </w:tc>
        <w:tc>
          <w:tcPr>
            <w:tcW w:w="2924" w:type="dxa"/>
          </w:tcPr>
          <w:p>
            <w:pPr>
              <w:pStyle w:val="TableParagraph"/>
              <w:spacing w:line="235" w:lineRule="exact"/>
              <w:ind w:right="96"/>
              <w:jc w:val="right"/>
              <w:rPr>
                <w:rFonts w:ascii="Times New Roman"/>
                <w:sz w:val="21"/>
              </w:rPr>
            </w:pPr>
            <w:r>
              <w:rPr>
                <w:rFonts w:ascii="Times New Roman"/>
                <w:sz w:val="21"/>
              </w:rPr>
              <w:t>129,359</w:t>
            </w:r>
          </w:p>
        </w:tc>
        <w:tc>
          <w:tcPr>
            <w:tcW w:w="3049" w:type="dxa"/>
          </w:tcPr>
          <w:p>
            <w:pPr>
              <w:pStyle w:val="TableParagraph"/>
              <w:spacing w:line="235" w:lineRule="exact"/>
              <w:ind w:right="94"/>
              <w:jc w:val="right"/>
              <w:rPr>
                <w:rFonts w:ascii="Times New Roman"/>
                <w:sz w:val="21"/>
              </w:rPr>
            </w:pPr>
            <w:r>
              <w:rPr>
                <w:rFonts w:ascii="Times New Roman"/>
                <w:sz w:val="21"/>
              </w:rPr>
              <w:t>89,624</w:t>
            </w:r>
          </w:p>
        </w:tc>
      </w:tr>
      <w:tr>
        <w:trPr>
          <w:trHeight w:val="273" w:hRule="atLeast"/>
        </w:trPr>
        <w:tc>
          <w:tcPr>
            <w:tcW w:w="2852" w:type="dxa"/>
          </w:tcPr>
          <w:p>
            <w:pPr>
              <w:pStyle w:val="TableParagraph"/>
              <w:spacing w:line="250" w:lineRule="exact" w:before="3"/>
              <w:ind w:left="107"/>
              <w:rPr>
                <w:sz w:val="21"/>
              </w:rPr>
            </w:pPr>
            <w:r>
              <w:rPr>
                <w:sz w:val="21"/>
              </w:rPr>
              <w:t>暂收款 </w:t>
            </w:r>
          </w:p>
        </w:tc>
        <w:tc>
          <w:tcPr>
            <w:tcW w:w="2924" w:type="dxa"/>
          </w:tcPr>
          <w:p>
            <w:pPr>
              <w:pStyle w:val="TableParagraph"/>
              <w:spacing w:line="237" w:lineRule="exact"/>
              <w:ind w:right="96"/>
              <w:jc w:val="right"/>
              <w:rPr>
                <w:rFonts w:ascii="Times New Roman"/>
                <w:sz w:val="21"/>
              </w:rPr>
            </w:pPr>
            <w:r>
              <w:rPr>
                <w:rFonts w:ascii="Times New Roman"/>
                <w:sz w:val="21"/>
              </w:rPr>
              <w:t>83,163</w:t>
            </w:r>
          </w:p>
        </w:tc>
        <w:tc>
          <w:tcPr>
            <w:tcW w:w="3049" w:type="dxa"/>
          </w:tcPr>
          <w:p>
            <w:pPr>
              <w:pStyle w:val="TableParagraph"/>
              <w:spacing w:line="237" w:lineRule="exact"/>
              <w:ind w:right="94"/>
              <w:jc w:val="right"/>
              <w:rPr>
                <w:rFonts w:ascii="Times New Roman"/>
                <w:sz w:val="21"/>
              </w:rPr>
            </w:pPr>
            <w:r>
              <w:rPr>
                <w:rFonts w:ascii="Times New Roman"/>
                <w:sz w:val="21"/>
              </w:rPr>
              <w:t>34,891</w:t>
            </w:r>
          </w:p>
        </w:tc>
      </w:tr>
      <w:tr>
        <w:trPr>
          <w:trHeight w:val="273" w:hRule="atLeast"/>
        </w:trPr>
        <w:tc>
          <w:tcPr>
            <w:tcW w:w="2852" w:type="dxa"/>
          </w:tcPr>
          <w:p>
            <w:pPr>
              <w:pStyle w:val="TableParagraph"/>
              <w:spacing w:line="252" w:lineRule="exact" w:before="1"/>
              <w:ind w:left="107"/>
              <w:rPr>
                <w:sz w:val="21"/>
              </w:rPr>
            </w:pPr>
            <w:r>
              <w:rPr>
                <w:spacing w:val="-1"/>
                <w:sz w:val="21"/>
              </w:rPr>
              <w:t>应付限制性股票股利</w:t>
            </w:r>
            <w:r>
              <w:rPr>
                <w:sz w:val="21"/>
              </w:rPr>
              <w:t> </w:t>
            </w:r>
          </w:p>
        </w:tc>
        <w:tc>
          <w:tcPr>
            <w:tcW w:w="2924" w:type="dxa"/>
          </w:tcPr>
          <w:p>
            <w:pPr>
              <w:pStyle w:val="TableParagraph"/>
              <w:spacing w:line="235" w:lineRule="exact"/>
              <w:ind w:right="96"/>
              <w:jc w:val="right"/>
              <w:rPr>
                <w:rFonts w:ascii="Times New Roman"/>
                <w:sz w:val="21"/>
              </w:rPr>
            </w:pPr>
            <w:r>
              <w:rPr>
                <w:rFonts w:ascii="Times New Roman"/>
                <w:sz w:val="21"/>
              </w:rPr>
              <w:t>75,016</w:t>
            </w:r>
          </w:p>
        </w:tc>
        <w:tc>
          <w:tcPr>
            <w:tcW w:w="3049" w:type="dxa"/>
          </w:tcPr>
          <w:p>
            <w:pPr>
              <w:pStyle w:val="TableParagraph"/>
              <w:spacing w:line="235" w:lineRule="exact"/>
              <w:ind w:right="94"/>
              <w:jc w:val="right"/>
              <w:rPr>
                <w:rFonts w:ascii="Times New Roman"/>
                <w:sz w:val="21"/>
              </w:rPr>
            </w:pPr>
            <w:r>
              <w:rPr>
                <w:rFonts w:ascii="Times New Roman"/>
                <w:sz w:val="21"/>
              </w:rPr>
              <w:t>59,642</w:t>
            </w:r>
          </w:p>
        </w:tc>
      </w:tr>
      <w:tr>
        <w:trPr>
          <w:trHeight w:val="270" w:hRule="atLeast"/>
        </w:trPr>
        <w:tc>
          <w:tcPr>
            <w:tcW w:w="2852" w:type="dxa"/>
          </w:tcPr>
          <w:p>
            <w:pPr>
              <w:pStyle w:val="TableParagraph"/>
              <w:spacing w:line="250" w:lineRule="exact" w:before="1"/>
              <w:ind w:left="107"/>
              <w:rPr>
                <w:sz w:val="21"/>
              </w:rPr>
            </w:pPr>
            <w:r>
              <w:rPr>
                <w:spacing w:val="-1"/>
                <w:sz w:val="21"/>
              </w:rPr>
              <w:t>应付技术使用费</w:t>
            </w:r>
            <w:r>
              <w:rPr>
                <w:sz w:val="21"/>
              </w:rPr>
              <w:t> </w:t>
            </w:r>
          </w:p>
        </w:tc>
        <w:tc>
          <w:tcPr>
            <w:tcW w:w="2924" w:type="dxa"/>
          </w:tcPr>
          <w:p>
            <w:pPr>
              <w:pStyle w:val="TableParagraph"/>
              <w:spacing w:line="235" w:lineRule="exact"/>
              <w:ind w:right="96"/>
              <w:jc w:val="right"/>
              <w:rPr>
                <w:rFonts w:ascii="Times New Roman"/>
                <w:sz w:val="21"/>
              </w:rPr>
            </w:pPr>
            <w:r>
              <w:rPr>
                <w:rFonts w:ascii="Times New Roman"/>
                <w:sz w:val="21"/>
              </w:rPr>
              <w:t>62,779</w:t>
            </w:r>
          </w:p>
        </w:tc>
        <w:tc>
          <w:tcPr>
            <w:tcW w:w="3049" w:type="dxa"/>
          </w:tcPr>
          <w:p>
            <w:pPr>
              <w:pStyle w:val="TableParagraph"/>
              <w:spacing w:line="235" w:lineRule="exact"/>
              <w:ind w:right="94"/>
              <w:jc w:val="right"/>
              <w:rPr>
                <w:rFonts w:ascii="Times New Roman"/>
                <w:sz w:val="21"/>
              </w:rPr>
            </w:pPr>
            <w:r>
              <w:rPr>
                <w:rFonts w:ascii="Times New Roman"/>
                <w:sz w:val="21"/>
              </w:rPr>
              <w:t>50,983</w:t>
            </w:r>
          </w:p>
        </w:tc>
      </w:tr>
      <w:tr>
        <w:trPr>
          <w:trHeight w:val="273" w:hRule="atLeast"/>
        </w:trPr>
        <w:tc>
          <w:tcPr>
            <w:tcW w:w="2852" w:type="dxa"/>
          </w:tcPr>
          <w:p>
            <w:pPr>
              <w:pStyle w:val="TableParagraph"/>
              <w:spacing w:line="252" w:lineRule="exact" w:before="1"/>
              <w:ind w:left="107"/>
              <w:rPr>
                <w:sz w:val="21"/>
              </w:rPr>
            </w:pPr>
            <w:r>
              <w:rPr>
                <w:sz w:val="21"/>
              </w:rPr>
              <w:t>其他 </w:t>
            </w:r>
          </w:p>
        </w:tc>
        <w:tc>
          <w:tcPr>
            <w:tcW w:w="2924" w:type="dxa"/>
          </w:tcPr>
          <w:p>
            <w:pPr>
              <w:pStyle w:val="TableParagraph"/>
              <w:spacing w:line="235" w:lineRule="exact"/>
              <w:ind w:right="96"/>
              <w:jc w:val="right"/>
              <w:rPr>
                <w:rFonts w:ascii="Times New Roman"/>
                <w:sz w:val="21"/>
              </w:rPr>
            </w:pPr>
            <w:r>
              <w:rPr>
                <w:rFonts w:ascii="Times New Roman"/>
                <w:sz w:val="21"/>
              </w:rPr>
              <w:t>1,499,926</w:t>
            </w:r>
          </w:p>
        </w:tc>
        <w:tc>
          <w:tcPr>
            <w:tcW w:w="3049" w:type="dxa"/>
          </w:tcPr>
          <w:p>
            <w:pPr>
              <w:pStyle w:val="TableParagraph"/>
              <w:spacing w:line="235" w:lineRule="exact"/>
              <w:ind w:right="94"/>
              <w:jc w:val="right"/>
              <w:rPr>
                <w:rFonts w:ascii="Times New Roman"/>
                <w:sz w:val="21"/>
              </w:rPr>
            </w:pPr>
            <w:r>
              <w:rPr>
                <w:rFonts w:ascii="Times New Roman"/>
                <w:sz w:val="21"/>
              </w:rPr>
              <w:t>1,235,828</w:t>
            </w:r>
          </w:p>
        </w:tc>
      </w:tr>
      <w:tr>
        <w:trPr>
          <w:trHeight w:val="273" w:hRule="atLeast"/>
        </w:trPr>
        <w:tc>
          <w:tcPr>
            <w:tcW w:w="2852" w:type="dxa"/>
          </w:tcPr>
          <w:p>
            <w:pPr>
              <w:pStyle w:val="TableParagraph"/>
              <w:spacing w:line="252" w:lineRule="exact" w:before="1"/>
              <w:ind w:left="1246" w:right="1135"/>
              <w:jc w:val="center"/>
              <w:rPr>
                <w:sz w:val="21"/>
              </w:rPr>
            </w:pPr>
            <w:r>
              <w:rPr>
                <w:sz w:val="21"/>
              </w:rPr>
              <w:t>合计 </w:t>
            </w:r>
          </w:p>
        </w:tc>
        <w:tc>
          <w:tcPr>
            <w:tcW w:w="2924" w:type="dxa"/>
          </w:tcPr>
          <w:p>
            <w:pPr>
              <w:pStyle w:val="TableParagraph"/>
              <w:spacing w:before="10"/>
              <w:ind w:right="96"/>
              <w:jc w:val="right"/>
              <w:rPr>
                <w:rFonts w:ascii="Times New Roman"/>
                <w:sz w:val="21"/>
              </w:rPr>
            </w:pPr>
            <w:r>
              <w:rPr>
                <w:rFonts w:ascii="Times New Roman"/>
                <w:sz w:val="21"/>
              </w:rPr>
              <w:t>16,901,025</w:t>
            </w:r>
          </w:p>
        </w:tc>
        <w:tc>
          <w:tcPr>
            <w:tcW w:w="3049" w:type="dxa"/>
          </w:tcPr>
          <w:p>
            <w:pPr>
              <w:pStyle w:val="TableParagraph"/>
              <w:spacing w:before="10"/>
              <w:ind w:right="94"/>
              <w:jc w:val="right"/>
              <w:rPr>
                <w:rFonts w:ascii="Times New Roman"/>
                <w:sz w:val="21"/>
              </w:rPr>
            </w:pPr>
            <w:r>
              <w:rPr>
                <w:rFonts w:ascii="Times New Roman"/>
                <w:sz w:val="21"/>
              </w:rPr>
              <w:t>8,808,538</w:t>
            </w:r>
          </w:p>
        </w:tc>
      </w:tr>
    </w:tbl>
    <w:p>
      <w:pPr>
        <w:spacing w:after="0"/>
        <w:jc w:val="right"/>
        <w:rPr>
          <w:rFonts w:ascii="Times New Roman"/>
          <w:sz w:val="21"/>
        </w:rPr>
        <w:sectPr>
          <w:type w:val="continuous"/>
          <w:pgSz w:w="11910" w:h="16840"/>
          <w:pgMar w:top="780" w:bottom="280" w:left="1480" w:right="0"/>
        </w:sectPr>
      </w:pPr>
    </w:p>
    <w:p>
      <w:pPr>
        <w:pStyle w:val="BodyText"/>
        <w:spacing w:before="5"/>
      </w:pPr>
      <w:r>
        <w:rPr>
          <w:w w:val="100"/>
        </w:rPr>
        <w:t> </w:t>
      </w:r>
    </w:p>
    <w:p>
      <w:pPr>
        <w:pStyle w:val="ListParagraph"/>
        <w:numPr>
          <w:ilvl w:val="0"/>
          <w:numId w:val="74"/>
        </w:numPr>
        <w:tabs>
          <w:tab w:pos="742" w:val="left" w:leader="none"/>
        </w:tabs>
        <w:spacing w:line="240" w:lineRule="auto" w:before="62" w:after="0"/>
        <w:ind w:left="741" w:right="0" w:hanging="424"/>
        <w:jc w:val="left"/>
        <w:rPr>
          <w:sz w:val="21"/>
        </w:rPr>
      </w:pPr>
      <w:r>
        <w:rPr>
          <w:spacing w:val="-10"/>
          <w:sz w:val="21"/>
        </w:rPr>
        <w:t>账龄超过 </w:t>
      </w:r>
      <w:r>
        <w:rPr>
          <w:sz w:val="21"/>
        </w:rPr>
        <w:t>1</w:t>
      </w:r>
      <w:r>
        <w:rPr>
          <w:spacing w:val="-7"/>
          <w:sz w:val="21"/>
        </w:rPr>
        <w:t> 年的重要其他应付款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73"/>
      </w:pPr>
      <w:r>
        <w:rPr>
          <w:spacing w:val="7"/>
        </w:rPr>
        <w:t>单位：千元 币种：人民币</w:t>
      </w:r>
      <w:r>
        <w:rPr/>
        <w:t> </w:t>
      </w:r>
    </w:p>
    <w:p>
      <w:pPr>
        <w:spacing w:after="0"/>
        <w:sectPr>
          <w:type w:val="continuous"/>
          <w:pgSz w:w="11910" w:h="16840"/>
          <w:pgMar w:top="780" w:bottom="280" w:left="1480" w:right="0"/>
          <w:cols w:num="2" w:equalWidth="0">
            <w:col w:w="3947" w:space="2363"/>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7"/>
        <w:gridCol w:w="2952"/>
        <w:gridCol w:w="3034"/>
      </w:tblGrid>
      <w:tr>
        <w:trPr>
          <w:trHeight w:val="270" w:hRule="atLeast"/>
        </w:trPr>
        <w:tc>
          <w:tcPr>
            <w:tcW w:w="2837" w:type="dxa"/>
          </w:tcPr>
          <w:p>
            <w:pPr>
              <w:pStyle w:val="TableParagraph"/>
              <w:spacing w:line="250" w:lineRule="exact" w:before="1"/>
              <w:ind w:left="1239" w:right="1127"/>
              <w:jc w:val="center"/>
              <w:rPr>
                <w:sz w:val="21"/>
              </w:rPr>
            </w:pPr>
            <w:r>
              <w:rPr>
                <w:sz w:val="21"/>
              </w:rPr>
              <w:t>项目 </w:t>
            </w:r>
          </w:p>
        </w:tc>
        <w:tc>
          <w:tcPr>
            <w:tcW w:w="2952" w:type="dxa"/>
          </w:tcPr>
          <w:p>
            <w:pPr>
              <w:pStyle w:val="TableParagraph"/>
              <w:spacing w:line="250" w:lineRule="exact" w:before="1"/>
              <w:ind w:left="1056"/>
              <w:rPr>
                <w:sz w:val="21"/>
              </w:rPr>
            </w:pPr>
            <w:r>
              <w:rPr>
                <w:spacing w:val="-1"/>
                <w:sz w:val="21"/>
              </w:rPr>
              <w:t>期末余额</w:t>
            </w:r>
            <w:r>
              <w:rPr>
                <w:sz w:val="21"/>
              </w:rPr>
              <w:t> </w:t>
            </w:r>
          </w:p>
        </w:tc>
        <w:tc>
          <w:tcPr>
            <w:tcW w:w="3034" w:type="dxa"/>
          </w:tcPr>
          <w:p>
            <w:pPr>
              <w:pStyle w:val="TableParagraph"/>
              <w:spacing w:line="250" w:lineRule="exact" w:before="1"/>
              <w:ind w:left="569"/>
              <w:rPr>
                <w:sz w:val="21"/>
              </w:rPr>
            </w:pPr>
            <w:r>
              <w:rPr>
                <w:spacing w:val="-1"/>
                <w:sz w:val="21"/>
              </w:rPr>
              <w:t>未偿还或结转的原因</w:t>
            </w:r>
            <w:r>
              <w:rPr>
                <w:sz w:val="21"/>
              </w:rPr>
              <w:t> </w:t>
            </w:r>
          </w:p>
        </w:tc>
      </w:tr>
      <w:tr>
        <w:trPr>
          <w:trHeight w:val="544" w:hRule="atLeast"/>
        </w:trPr>
        <w:tc>
          <w:tcPr>
            <w:tcW w:w="2837" w:type="dxa"/>
          </w:tcPr>
          <w:p>
            <w:pPr>
              <w:pStyle w:val="TableParagraph"/>
              <w:spacing w:before="1"/>
              <w:ind w:left="107"/>
              <w:rPr>
                <w:sz w:val="21"/>
              </w:rPr>
            </w:pPr>
            <w:r>
              <w:rPr>
                <w:spacing w:val="-1"/>
                <w:sz w:val="21"/>
              </w:rPr>
              <w:t>保证金和应付关联方款项</w:t>
            </w:r>
            <w:r>
              <w:rPr>
                <w:sz w:val="21"/>
              </w:rPr>
              <w:t> </w:t>
            </w:r>
          </w:p>
        </w:tc>
        <w:tc>
          <w:tcPr>
            <w:tcW w:w="2952" w:type="dxa"/>
          </w:tcPr>
          <w:p>
            <w:pPr>
              <w:pStyle w:val="TableParagraph"/>
              <w:spacing w:line="235" w:lineRule="exact"/>
              <w:ind w:right="93"/>
              <w:jc w:val="right"/>
              <w:rPr>
                <w:rFonts w:ascii="Times New Roman"/>
                <w:sz w:val="21"/>
              </w:rPr>
            </w:pPr>
            <w:r>
              <w:rPr>
                <w:rFonts w:ascii="Times New Roman"/>
                <w:sz w:val="21"/>
              </w:rPr>
              <w:t>388,680</w:t>
            </w:r>
          </w:p>
        </w:tc>
        <w:tc>
          <w:tcPr>
            <w:tcW w:w="3034" w:type="dxa"/>
          </w:tcPr>
          <w:p>
            <w:pPr>
              <w:pStyle w:val="TableParagraph"/>
              <w:spacing w:before="1"/>
              <w:ind w:left="106"/>
              <w:rPr>
                <w:sz w:val="21"/>
              </w:rPr>
            </w:pPr>
            <w:r>
              <w:rPr>
                <w:sz w:val="21"/>
              </w:rPr>
              <w:t>主要系保证金和应付关联方款</w:t>
            </w:r>
          </w:p>
          <w:p>
            <w:pPr>
              <w:pStyle w:val="TableParagraph"/>
              <w:spacing w:line="250" w:lineRule="exact" w:before="4"/>
              <w:ind w:left="106"/>
              <w:rPr>
                <w:sz w:val="21"/>
              </w:rPr>
            </w:pPr>
            <w:r>
              <w:rPr>
                <w:sz w:val="21"/>
              </w:rPr>
              <w:t>项 </w:t>
            </w:r>
          </w:p>
        </w:tc>
      </w:tr>
      <w:tr>
        <w:trPr>
          <w:trHeight w:val="273" w:hRule="atLeast"/>
        </w:trPr>
        <w:tc>
          <w:tcPr>
            <w:tcW w:w="2837" w:type="dxa"/>
          </w:tcPr>
          <w:p>
            <w:pPr>
              <w:pStyle w:val="TableParagraph"/>
              <w:spacing w:line="250" w:lineRule="exact" w:before="3"/>
              <w:ind w:left="107"/>
              <w:rPr>
                <w:sz w:val="21"/>
              </w:rPr>
            </w:pPr>
            <w:r>
              <w:rPr>
                <w:w w:val="100"/>
                <w:sz w:val="21"/>
              </w:rPr>
              <w:t> </w:t>
            </w:r>
          </w:p>
        </w:tc>
        <w:tc>
          <w:tcPr>
            <w:tcW w:w="2952" w:type="dxa"/>
          </w:tcPr>
          <w:p>
            <w:pPr>
              <w:pStyle w:val="TableParagraph"/>
              <w:rPr>
                <w:rFonts w:ascii="Times New Roman"/>
                <w:sz w:val="20"/>
              </w:rPr>
            </w:pPr>
          </w:p>
        </w:tc>
        <w:tc>
          <w:tcPr>
            <w:tcW w:w="3034" w:type="dxa"/>
          </w:tcPr>
          <w:p>
            <w:pPr>
              <w:pStyle w:val="TableParagraph"/>
              <w:spacing w:line="250" w:lineRule="exact" w:before="3"/>
              <w:ind w:left="106"/>
              <w:rPr>
                <w:sz w:val="21"/>
              </w:rPr>
            </w:pPr>
            <w:r>
              <w:rPr>
                <w:w w:val="100"/>
                <w:sz w:val="21"/>
              </w:rPr>
              <w:t> </w:t>
            </w:r>
          </w:p>
        </w:tc>
      </w:tr>
      <w:tr>
        <w:trPr>
          <w:trHeight w:val="273" w:hRule="atLeast"/>
        </w:trPr>
        <w:tc>
          <w:tcPr>
            <w:tcW w:w="2837" w:type="dxa"/>
          </w:tcPr>
          <w:p>
            <w:pPr>
              <w:pStyle w:val="TableParagraph"/>
              <w:spacing w:line="252" w:lineRule="exact" w:before="1"/>
              <w:ind w:left="1239" w:right="1127"/>
              <w:jc w:val="center"/>
              <w:rPr>
                <w:sz w:val="21"/>
              </w:rPr>
            </w:pPr>
            <w:r>
              <w:rPr>
                <w:sz w:val="21"/>
              </w:rPr>
              <w:t>合计 </w:t>
            </w:r>
          </w:p>
        </w:tc>
        <w:tc>
          <w:tcPr>
            <w:tcW w:w="2952" w:type="dxa"/>
          </w:tcPr>
          <w:p>
            <w:pPr>
              <w:pStyle w:val="TableParagraph"/>
              <w:spacing w:line="235" w:lineRule="exact"/>
              <w:ind w:right="93"/>
              <w:jc w:val="right"/>
              <w:rPr>
                <w:rFonts w:ascii="Times New Roman"/>
                <w:sz w:val="21"/>
              </w:rPr>
            </w:pPr>
            <w:r>
              <w:rPr>
                <w:rFonts w:ascii="Times New Roman"/>
                <w:sz w:val="21"/>
              </w:rPr>
              <w:t>388,680</w:t>
            </w:r>
          </w:p>
        </w:tc>
        <w:tc>
          <w:tcPr>
            <w:tcW w:w="3034" w:type="dxa"/>
          </w:tcPr>
          <w:p>
            <w:pPr>
              <w:pStyle w:val="TableParagraph"/>
              <w:spacing w:line="252" w:lineRule="exact" w:before="1"/>
              <w:ind w:left="1495" w:right="1383"/>
              <w:jc w:val="center"/>
              <w:rPr>
                <w:sz w:val="21"/>
              </w:rPr>
            </w:pPr>
            <w:r>
              <w:rPr>
                <w:sz w:val="21"/>
              </w:rPr>
              <w:t>/ </w:t>
            </w:r>
          </w:p>
        </w:tc>
      </w:tr>
    </w:tbl>
    <w:p>
      <w:pPr>
        <w:spacing w:after="0" w:line="252" w:lineRule="exact"/>
        <w:jc w:val="center"/>
        <w:rPr>
          <w:sz w:val="21"/>
        </w:rPr>
        <w:sectPr>
          <w:type w:val="continuous"/>
          <w:pgSz w:w="11910" w:h="16840"/>
          <w:pgMar w:top="780" w:bottom="280" w:left="1480" w:right="0"/>
        </w:sectPr>
      </w:pPr>
    </w:p>
    <w:p>
      <w:pPr>
        <w:pStyle w:val="BodyText"/>
        <w:spacing w:before="4"/>
      </w:pPr>
      <w:r>
        <w:rPr>
          <w:w w:val="100"/>
        </w:rPr>
        <w:t> </w:t>
      </w:r>
    </w:p>
    <w:p>
      <w:pPr>
        <w:pStyle w:val="BodyText"/>
        <w:spacing w:before="2"/>
      </w:pPr>
      <w:r>
        <w:rPr/>
        <w:t>其他说明： </w:t>
      </w:r>
    </w:p>
    <w:p>
      <w:pPr>
        <w:pStyle w:val="BodyText"/>
        <w:spacing w:before="5"/>
      </w:pPr>
      <w:r>
        <w:rPr>
          <w:spacing w:val="-1"/>
        </w:rPr>
        <w:t>□适用 √不适用</w:t>
      </w:r>
      <w:r>
        <w:rPr>
          <w:spacing w:val="-3"/>
        </w:rPr>
        <w:t> </w:t>
      </w:r>
      <w:r>
        <w:rPr/>
        <w:t> </w:t>
      </w:r>
    </w:p>
    <w:p>
      <w:pPr>
        <w:pStyle w:val="BodyText"/>
        <w:spacing w:before="2"/>
      </w:pPr>
      <w:r>
        <w:rPr>
          <w:w w:val="100"/>
        </w:rPr>
        <w:t> </w:t>
      </w:r>
    </w:p>
    <w:p>
      <w:pPr>
        <w:pStyle w:val="BodyText"/>
        <w:spacing w:before="65"/>
      </w:pPr>
      <w:r>
        <w:rPr/>
        <w:t>42</w:t>
      </w:r>
      <w:r>
        <w:rPr>
          <w:spacing w:val="-5"/>
        </w:rPr>
        <w:t>、 持有待售负债</w:t>
      </w:r>
    </w:p>
    <w:p>
      <w:pPr>
        <w:pStyle w:val="BodyText"/>
        <w:spacing w:before="62"/>
      </w:pPr>
      <w:r>
        <w:rPr>
          <w:spacing w:val="-1"/>
        </w:rPr>
        <w:t>□适用 √不适用</w:t>
      </w:r>
      <w:r>
        <w:rPr>
          <w:spacing w:val="-3"/>
        </w:rPr>
        <w:t> </w:t>
      </w:r>
      <w:r>
        <w:rPr/>
        <w:t> </w:t>
      </w:r>
    </w:p>
    <w:p>
      <w:pPr>
        <w:pStyle w:val="BodyText"/>
        <w:spacing w:before="4"/>
      </w:pPr>
      <w:r>
        <w:rPr>
          <w:w w:val="100"/>
        </w:rPr>
        <w:t> </w:t>
      </w:r>
    </w:p>
    <w:p>
      <w:pPr>
        <w:pStyle w:val="BodyText"/>
        <w:spacing w:before="3"/>
      </w:pPr>
      <w:r>
        <w:rPr>
          <w:w w:val="100"/>
        </w:rPr>
        <w:t> </w:t>
      </w:r>
    </w:p>
    <w:p>
      <w:pPr>
        <w:pStyle w:val="BodyText"/>
        <w:spacing w:before="65"/>
      </w:pPr>
      <w:r>
        <w:rPr/>
        <w:t>43</w:t>
      </w:r>
      <w:r>
        <w:rPr>
          <w:spacing w:val="-10"/>
        </w:rPr>
        <w:t>、 </w:t>
      </w:r>
      <w:r>
        <w:rPr/>
        <w:t>1</w:t>
      </w:r>
      <w:r>
        <w:rPr>
          <w:spacing w:val="-8"/>
        </w:rPr>
        <w:t> 年内到期的非流动负债</w:t>
      </w:r>
      <w:r>
        <w:rPr/>
        <w:t> </w:t>
      </w:r>
    </w:p>
    <w:p>
      <w:pPr>
        <w:pStyle w:val="BodyText"/>
        <w:spacing w:before="62"/>
      </w:pPr>
      <w:r>
        <w:rPr>
          <w:spacing w:val="-1"/>
        </w:rPr>
        <w:t>□适用 √不适用</w:t>
      </w:r>
      <w:r>
        <w:rPr>
          <w:spacing w:val="-3"/>
        </w:rPr>
        <w:t> </w:t>
      </w:r>
      <w:r>
        <w:rPr/>
        <w:t> </w:t>
      </w:r>
    </w:p>
    <w:p>
      <w:pPr>
        <w:pStyle w:val="BodyText"/>
        <w:spacing w:before="4"/>
      </w:pPr>
      <w:r>
        <w:rPr>
          <w:w w:val="100"/>
        </w:rPr>
        <w:t> </w:t>
      </w:r>
    </w:p>
    <w:p>
      <w:pPr>
        <w:pStyle w:val="BodyText"/>
        <w:spacing w:line="297" w:lineRule="auto" w:before="62"/>
        <w:ind w:right="1041"/>
      </w:pPr>
      <w:r>
        <w:rPr/>
        <w:t>44</w:t>
      </w:r>
      <w:r>
        <w:rPr>
          <w:spacing w:val="-5"/>
        </w:rPr>
        <w:t>、 其他流动负债</w:t>
      </w:r>
      <w:r>
        <w:rPr/>
        <w:t>其他流动负债情况 </w:t>
      </w:r>
    </w:p>
    <w:p>
      <w:pPr>
        <w:pStyle w:val="BodyText"/>
        <w:spacing w:line="207" w:lineRule="exact"/>
      </w:pPr>
      <w:r>
        <w:rPr>
          <w:spacing w:val="1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
        <w:ind w:left="0"/>
        <w:rPr>
          <w:sz w:val="26"/>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3237" w:space="3074"/>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32"/>
        <w:gridCol w:w="3041"/>
        <w:gridCol w:w="3051"/>
      </w:tblGrid>
      <w:tr>
        <w:trPr>
          <w:trHeight w:val="273" w:hRule="atLeast"/>
        </w:trPr>
        <w:tc>
          <w:tcPr>
            <w:tcW w:w="2732" w:type="dxa"/>
          </w:tcPr>
          <w:p>
            <w:pPr>
              <w:pStyle w:val="TableParagraph"/>
              <w:spacing w:line="252" w:lineRule="exact" w:before="1"/>
              <w:ind w:left="1081" w:right="1075"/>
              <w:jc w:val="center"/>
              <w:rPr>
                <w:sz w:val="21"/>
              </w:rPr>
            </w:pPr>
            <w:r>
              <w:rPr>
                <w:sz w:val="21"/>
              </w:rPr>
              <w:t>项目 </w:t>
            </w:r>
          </w:p>
        </w:tc>
        <w:tc>
          <w:tcPr>
            <w:tcW w:w="3041" w:type="dxa"/>
          </w:tcPr>
          <w:p>
            <w:pPr>
              <w:pStyle w:val="TableParagraph"/>
              <w:spacing w:line="252" w:lineRule="exact" w:before="1"/>
              <w:ind w:left="1098"/>
              <w:rPr>
                <w:sz w:val="21"/>
              </w:rPr>
            </w:pPr>
            <w:r>
              <w:rPr>
                <w:spacing w:val="-1"/>
                <w:sz w:val="21"/>
              </w:rPr>
              <w:t>期末余额</w:t>
            </w:r>
            <w:r>
              <w:rPr>
                <w:sz w:val="21"/>
              </w:rPr>
              <w:t> </w:t>
            </w:r>
          </w:p>
        </w:tc>
        <w:tc>
          <w:tcPr>
            <w:tcW w:w="3051" w:type="dxa"/>
          </w:tcPr>
          <w:p>
            <w:pPr>
              <w:pStyle w:val="TableParagraph"/>
              <w:spacing w:line="252" w:lineRule="exact" w:before="1"/>
              <w:ind w:left="1103"/>
              <w:rPr>
                <w:sz w:val="21"/>
              </w:rPr>
            </w:pPr>
            <w:r>
              <w:rPr>
                <w:spacing w:val="-1"/>
                <w:sz w:val="21"/>
              </w:rPr>
              <w:t>期初余额</w:t>
            </w:r>
            <w:r>
              <w:rPr>
                <w:sz w:val="21"/>
              </w:rPr>
              <w:t> </w:t>
            </w:r>
          </w:p>
        </w:tc>
      </w:tr>
    </w:tbl>
    <w:p>
      <w:pPr>
        <w:spacing w:after="0" w:line="252" w:lineRule="exact"/>
        <w:rPr>
          <w:sz w:val="21"/>
        </w:rPr>
        <w:sectPr>
          <w:type w:val="continuous"/>
          <w:pgSz w:w="11910" w:h="16840"/>
          <w:pgMar w:top="780" w:bottom="2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32"/>
        <w:gridCol w:w="3041"/>
        <w:gridCol w:w="3051"/>
      </w:tblGrid>
      <w:tr>
        <w:trPr>
          <w:trHeight w:val="273" w:hRule="atLeast"/>
        </w:trPr>
        <w:tc>
          <w:tcPr>
            <w:tcW w:w="2732" w:type="dxa"/>
          </w:tcPr>
          <w:p>
            <w:pPr>
              <w:pStyle w:val="TableParagraph"/>
              <w:spacing w:line="250" w:lineRule="exact" w:before="3"/>
              <w:ind w:left="107"/>
              <w:rPr>
                <w:sz w:val="21"/>
              </w:rPr>
            </w:pPr>
            <w:r>
              <w:rPr>
                <w:spacing w:val="-1"/>
                <w:sz w:val="21"/>
              </w:rPr>
              <w:t>短期应付债券</w:t>
            </w:r>
            <w:r>
              <w:rPr>
                <w:sz w:val="21"/>
              </w:rPr>
              <w:t> </w:t>
            </w:r>
          </w:p>
        </w:tc>
        <w:tc>
          <w:tcPr>
            <w:tcW w:w="3041" w:type="dxa"/>
          </w:tcPr>
          <w:p>
            <w:pPr>
              <w:pStyle w:val="TableParagraph"/>
              <w:rPr>
                <w:rFonts w:ascii="Times New Roman"/>
                <w:sz w:val="20"/>
              </w:rPr>
            </w:pPr>
          </w:p>
        </w:tc>
        <w:tc>
          <w:tcPr>
            <w:tcW w:w="3051" w:type="dxa"/>
          </w:tcPr>
          <w:p>
            <w:pPr>
              <w:pStyle w:val="TableParagraph"/>
              <w:rPr>
                <w:rFonts w:ascii="Times New Roman"/>
                <w:sz w:val="20"/>
              </w:rPr>
            </w:pPr>
          </w:p>
        </w:tc>
      </w:tr>
      <w:tr>
        <w:trPr>
          <w:trHeight w:val="273" w:hRule="atLeast"/>
        </w:trPr>
        <w:tc>
          <w:tcPr>
            <w:tcW w:w="2732" w:type="dxa"/>
          </w:tcPr>
          <w:p>
            <w:pPr>
              <w:pStyle w:val="TableParagraph"/>
              <w:spacing w:line="252" w:lineRule="exact" w:before="1"/>
              <w:ind w:left="107"/>
              <w:rPr>
                <w:sz w:val="21"/>
              </w:rPr>
            </w:pPr>
            <w:r>
              <w:rPr>
                <w:sz w:val="21"/>
              </w:rPr>
              <w:t>应付退货款 </w:t>
            </w:r>
          </w:p>
        </w:tc>
        <w:tc>
          <w:tcPr>
            <w:tcW w:w="3041" w:type="dxa"/>
          </w:tcPr>
          <w:p>
            <w:pPr>
              <w:pStyle w:val="TableParagraph"/>
              <w:rPr>
                <w:rFonts w:ascii="Times New Roman"/>
                <w:sz w:val="20"/>
              </w:rPr>
            </w:pPr>
          </w:p>
        </w:tc>
        <w:tc>
          <w:tcPr>
            <w:tcW w:w="3051" w:type="dxa"/>
          </w:tcPr>
          <w:p>
            <w:pPr>
              <w:pStyle w:val="TableParagraph"/>
              <w:rPr>
                <w:rFonts w:ascii="Times New Roman"/>
                <w:sz w:val="20"/>
              </w:rPr>
            </w:pPr>
          </w:p>
        </w:tc>
      </w:tr>
      <w:tr>
        <w:trPr>
          <w:trHeight w:val="270" w:hRule="atLeast"/>
        </w:trPr>
        <w:tc>
          <w:tcPr>
            <w:tcW w:w="2732" w:type="dxa"/>
          </w:tcPr>
          <w:p>
            <w:pPr>
              <w:pStyle w:val="TableParagraph"/>
              <w:spacing w:line="250" w:lineRule="exact" w:before="1"/>
              <w:ind w:left="107"/>
              <w:rPr>
                <w:sz w:val="21"/>
              </w:rPr>
            </w:pPr>
            <w:r>
              <w:rPr>
                <w:spacing w:val="-1"/>
                <w:sz w:val="21"/>
              </w:rPr>
              <w:t>应付短期票券</w:t>
            </w:r>
            <w:r>
              <w:rPr>
                <w:sz w:val="21"/>
              </w:rPr>
              <w:t> </w:t>
            </w:r>
          </w:p>
        </w:tc>
        <w:tc>
          <w:tcPr>
            <w:tcW w:w="3041" w:type="dxa"/>
          </w:tcPr>
          <w:p>
            <w:pPr>
              <w:pStyle w:val="TableParagraph"/>
              <w:spacing w:line="235" w:lineRule="exact"/>
              <w:ind w:right="93"/>
              <w:jc w:val="right"/>
              <w:rPr>
                <w:rFonts w:ascii="Times New Roman"/>
                <w:sz w:val="21"/>
              </w:rPr>
            </w:pPr>
            <w:r>
              <w:rPr>
                <w:rFonts w:ascii="Times New Roman"/>
                <w:sz w:val="21"/>
              </w:rPr>
              <w:t>522,233</w:t>
            </w:r>
          </w:p>
        </w:tc>
        <w:tc>
          <w:tcPr>
            <w:tcW w:w="3051" w:type="dxa"/>
          </w:tcPr>
          <w:p>
            <w:pPr>
              <w:pStyle w:val="TableParagraph"/>
              <w:spacing w:line="235" w:lineRule="exact"/>
              <w:ind w:right="93"/>
              <w:jc w:val="right"/>
              <w:rPr>
                <w:rFonts w:ascii="Times New Roman"/>
                <w:sz w:val="21"/>
              </w:rPr>
            </w:pPr>
            <w:r>
              <w:rPr>
                <w:rFonts w:ascii="Times New Roman"/>
                <w:sz w:val="21"/>
              </w:rPr>
              <w:t>367,171</w:t>
            </w:r>
          </w:p>
        </w:tc>
      </w:tr>
      <w:tr>
        <w:trPr>
          <w:trHeight w:val="544" w:hRule="atLeast"/>
        </w:trPr>
        <w:tc>
          <w:tcPr>
            <w:tcW w:w="2732" w:type="dxa"/>
          </w:tcPr>
          <w:p>
            <w:pPr>
              <w:pStyle w:val="TableParagraph"/>
              <w:spacing w:line="270" w:lineRule="atLeast"/>
              <w:ind w:left="107" w:right="298"/>
              <w:rPr>
                <w:sz w:val="21"/>
              </w:rPr>
            </w:pPr>
            <w:r>
              <w:rPr>
                <w:sz w:val="21"/>
              </w:rPr>
              <w:t>预计将于一年内支付的产品质量保证 </w:t>
            </w:r>
          </w:p>
        </w:tc>
        <w:tc>
          <w:tcPr>
            <w:tcW w:w="3041" w:type="dxa"/>
          </w:tcPr>
          <w:p>
            <w:pPr>
              <w:pStyle w:val="TableParagraph"/>
              <w:spacing w:line="237" w:lineRule="exact"/>
              <w:ind w:right="93"/>
              <w:jc w:val="right"/>
              <w:rPr>
                <w:rFonts w:ascii="Times New Roman"/>
                <w:sz w:val="21"/>
              </w:rPr>
            </w:pPr>
            <w:r>
              <w:rPr>
                <w:rFonts w:ascii="Times New Roman"/>
                <w:sz w:val="21"/>
              </w:rPr>
              <w:t>212,053</w:t>
            </w:r>
          </w:p>
        </w:tc>
        <w:tc>
          <w:tcPr>
            <w:tcW w:w="3051" w:type="dxa"/>
          </w:tcPr>
          <w:p>
            <w:pPr>
              <w:pStyle w:val="TableParagraph"/>
              <w:spacing w:line="237" w:lineRule="exact"/>
              <w:ind w:right="93"/>
              <w:jc w:val="right"/>
              <w:rPr>
                <w:rFonts w:ascii="Times New Roman"/>
                <w:sz w:val="21"/>
              </w:rPr>
            </w:pPr>
            <w:r>
              <w:rPr>
                <w:rFonts w:ascii="Times New Roman"/>
                <w:sz w:val="21"/>
              </w:rPr>
              <w:t>85,861</w:t>
            </w:r>
          </w:p>
        </w:tc>
      </w:tr>
      <w:tr>
        <w:trPr>
          <w:trHeight w:val="273" w:hRule="atLeast"/>
        </w:trPr>
        <w:tc>
          <w:tcPr>
            <w:tcW w:w="2732" w:type="dxa"/>
          </w:tcPr>
          <w:p>
            <w:pPr>
              <w:pStyle w:val="TableParagraph"/>
              <w:spacing w:line="250" w:lineRule="exact" w:before="3"/>
              <w:ind w:left="107"/>
              <w:rPr>
                <w:sz w:val="21"/>
              </w:rPr>
            </w:pPr>
            <w:r>
              <w:rPr>
                <w:sz w:val="21"/>
              </w:rPr>
              <w:t>其他 </w:t>
            </w:r>
          </w:p>
        </w:tc>
        <w:tc>
          <w:tcPr>
            <w:tcW w:w="3041" w:type="dxa"/>
          </w:tcPr>
          <w:p>
            <w:pPr>
              <w:pStyle w:val="TableParagraph"/>
              <w:spacing w:line="237" w:lineRule="exact"/>
              <w:ind w:right="93"/>
              <w:jc w:val="right"/>
              <w:rPr>
                <w:rFonts w:ascii="Times New Roman"/>
                <w:sz w:val="21"/>
              </w:rPr>
            </w:pPr>
            <w:r>
              <w:rPr>
                <w:rFonts w:ascii="Times New Roman"/>
                <w:sz w:val="21"/>
              </w:rPr>
              <w:t>26,464</w:t>
            </w:r>
          </w:p>
        </w:tc>
        <w:tc>
          <w:tcPr>
            <w:tcW w:w="3051" w:type="dxa"/>
          </w:tcPr>
          <w:p>
            <w:pPr>
              <w:pStyle w:val="TableParagraph"/>
              <w:spacing w:line="237" w:lineRule="exact"/>
              <w:ind w:right="93"/>
              <w:jc w:val="right"/>
              <w:rPr>
                <w:rFonts w:ascii="Times New Roman"/>
                <w:sz w:val="21"/>
              </w:rPr>
            </w:pPr>
            <w:r>
              <w:rPr>
                <w:rFonts w:ascii="Times New Roman"/>
                <w:sz w:val="21"/>
              </w:rPr>
              <w:t>10,165</w:t>
            </w:r>
          </w:p>
        </w:tc>
      </w:tr>
      <w:tr>
        <w:trPr>
          <w:trHeight w:val="273" w:hRule="atLeast"/>
        </w:trPr>
        <w:tc>
          <w:tcPr>
            <w:tcW w:w="2732" w:type="dxa"/>
          </w:tcPr>
          <w:p>
            <w:pPr>
              <w:pStyle w:val="TableParagraph"/>
              <w:spacing w:line="252" w:lineRule="exact" w:before="1"/>
              <w:ind w:left="1134" w:right="1023"/>
              <w:jc w:val="center"/>
              <w:rPr>
                <w:sz w:val="21"/>
              </w:rPr>
            </w:pPr>
            <w:r>
              <w:rPr>
                <w:sz w:val="21"/>
              </w:rPr>
              <w:t>合计 </w:t>
            </w:r>
          </w:p>
        </w:tc>
        <w:tc>
          <w:tcPr>
            <w:tcW w:w="3041" w:type="dxa"/>
          </w:tcPr>
          <w:p>
            <w:pPr>
              <w:pStyle w:val="TableParagraph"/>
              <w:spacing w:before="10"/>
              <w:ind w:right="93"/>
              <w:jc w:val="right"/>
              <w:rPr>
                <w:rFonts w:ascii="Times New Roman"/>
                <w:sz w:val="21"/>
              </w:rPr>
            </w:pPr>
            <w:r>
              <w:rPr>
                <w:rFonts w:ascii="Times New Roman"/>
                <w:sz w:val="21"/>
              </w:rPr>
              <w:t>760,750</w:t>
            </w:r>
          </w:p>
        </w:tc>
        <w:tc>
          <w:tcPr>
            <w:tcW w:w="3051" w:type="dxa"/>
          </w:tcPr>
          <w:p>
            <w:pPr>
              <w:pStyle w:val="TableParagraph"/>
              <w:spacing w:before="10"/>
              <w:ind w:right="93"/>
              <w:jc w:val="right"/>
              <w:rPr>
                <w:rFonts w:ascii="Times New Roman"/>
                <w:sz w:val="21"/>
              </w:rPr>
            </w:pPr>
            <w:r>
              <w:rPr>
                <w:rFonts w:ascii="Times New Roman"/>
                <w:sz w:val="21"/>
              </w:rPr>
              <w:t>463,197</w:t>
            </w:r>
          </w:p>
        </w:tc>
      </w:tr>
    </w:tbl>
    <w:p>
      <w:pPr>
        <w:pStyle w:val="BodyText"/>
        <w:spacing w:before="1"/>
      </w:pPr>
      <w:r>
        <w:rPr>
          <w:w w:val="100"/>
        </w:rPr>
        <w:t> </w:t>
      </w:r>
    </w:p>
    <w:p>
      <w:pPr>
        <w:pStyle w:val="BodyText"/>
        <w:spacing w:before="2"/>
      </w:pPr>
      <w:r>
        <w:rPr>
          <w:w w:val="100"/>
        </w:rPr>
        <w:t> </w:t>
      </w:r>
    </w:p>
    <w:p>
      <w:pPr>
        <w:pStyle w:val="BodyText"/>
        <w:spacing w:before="5"/>
      </w:pPr>
      <w:r>
        <w:rPr/>
        <w:t>短期应付债券的增减变动： </w:t>
      </w:r>
    </w:p>
    <w:p>
      <w:pPr>
        <w:pStyle w:val="BodyText"/>
        <w:spacing w:line="297" w:lineRule="auto" w:before="2"/>
        <w:ind w:right="8320"/>
      </w:pPr>
      <w:r>
        <w:rPr/>
        <w:t>□适用 √不适用其他说明： </w:t>
      </w:r>
    </w:p>
    <w:p>
      <w:pPr>
        <w:pStyle w:val="BodyText"/>
        <w:spacing w:line="267" w:lineRule="exact"/>
      </w:pPr>
      <w:r>
        <w:rPr>
          <w:spacing w:val="-1"/>
        </w:rPr>
        <w:t>√适用 □不适用</w:t>
      </w:r>
      <w:r>
        <w:rPr>
          <w:spacing w:val="-3"/>
        </w:rPr>
        <w:t> </w:t>
      </w:r>
      <w:r>
        <w:rPr/>
        <w:t> </w:t>
      </w:r>
    </w:p>
    <w:p>
      <w:pPr>
        <w:pStyle w:val="BodyText"/>
        <w:spacing w:before="77"/>
      </w:pPr>
      <w:r>
        <w:rPr>
          <w:spacing w:val="1"/>
        </w:rPr>
        <w:t>本集团之子公司于 </w:t>
      </w:r>
      <w:r>
        <w:rPr/>
        <w:t>2022</w:t>
      </w:r>
      <w:r>
        <w:rPr>
          <w:spacing w:val="8"/>
        </w:rPr>
        <w:t> 年 </w:t>
      </w:r>
      <w:r>
        <w:rPr/>
        <w:t>12</w:t>
      </w:r>
      <w:r>
        <w:rPr>
          <w:spacing w:val="9"/>
        </w:rPr>
        <w:t> 月 </w:t>
      </w:r>
      <w:r>
        <w:rPr/>
        <w:t>2</w:t>
      </w:r>
      <w:r>
        <w:rPr>
          <w:spacing w:val="1"/>
        </w:rPr>
        <w:t> 日折价发行面值金额为新台币 </w:t>
      </w:r>
      <w:r>
        <w:rPr/>
        <w:t>500,000 千元(折合人民币</w:t>
      </w:r>
    </w:p>
    <w:p>
      <w:pPr>
        <w:pStyle w:val="BodyText"/>
        <w:spacing w:before="9"/>
      </w:pPr>
      <w:r>
        <w:rPr>
          <w:spacing w:val="-1"/>
        </w:rPr>
        <w:t>113,483</w:t>
      </w:r>
      <w:r>
        <w:rPr>
          <w:spacing w:val="-13"/>
        </w:rPr>
        <w:t> 千元)的短期票券，发行价格为 </w:t>
      </w:r>
      <w:r>
        <w:rPr/>
        <w:t>9999.47</w:t>
      </w:r>
      <w:r>
        <w:rPr>
          <w:spacing w:val="-12"/>
        </w:rPr>
        <w:t> 元/每万元。该短期票券期限为 </w:t>
      </w:r>
      <w:r>
        <w:rPr/>
        <w:t>41</w:t>
      </w:r>
      <w:r>
        <w:rPr>
          <w:spacing w:val="-9"/>
        </w:rPr>
        <w:t> 天，发行利率</w:t>
      </w:r>
    </w:p>
    <w:p>
      <w:pPr>
        <w:pStyle w:val="BodyText"/>
        <w:spacing w:before="12"/>
      </w:pPr>
      <w:r>
        <w:rPr>
          <w:spacing w:val="-27"/>
        </w:rPr>
        <w:t>为 </w:t>
      </w:r>
      <w:r>
        <w:rPr>
          <w:spacing w:val="-1"/>
        </w:rPr>
        <w:t>2.150</w:t>
      </w:r>
      <w:r>
        <w:rPr>
          <w:spacing w:val="-7"/>
        </w:rPr>
        <w:t>%。该短期票券已于 </w:t>
      </w:r>
      <w:r>
        <w:rPr/>
        <w:t>2023</w:t>
      </w:r>
      <w:r>
        <w:rPr>
          <w:spacing w:val="-37"/>
        </w:rPr>
        <w:t> 年 </w:t>
      </w:r>
      <w:r>
        <w:rPr/>
        <w:t>1</w:t>
      </w:r>
      <w:r>
        <w:rPr>
          <w:spacing w:val="-9"/>
        </w:rPr>
        <w:t> 月到期偿还。</w:t>
      </w:r>
      <w:r>
        <w:rPr/>
        <w:t> </w:t>
      </w:r>
    </w:p>
    <w:p>
      <w:pPr>
        <w:pStyle w:val="BodyText"/>
        <w:spacing w:before="12"/>
      </w:pPr>
      <w:r>
        <w:rPr>
          <w:w w:val="100"/>
        </w:rPr>
        <w:t> </w:t>
      </w:r>
    </w:p>
    <w:p>
      <w:pPr>
        <w:pStyle w:val="BodyText"/>
        <w:spacing w:before="9"/>
      </w:pPr>
      <w:r>
        <w:rPr>
          <w:spacing w:val="4"/>
        </w:rPr>
        <w:t>本集团之子公司于</w:t>
      </w:r>
      <w:r>
        <w:rPr/>
        <w:t>2022</w:t>
      </w:r>
      <w:r>
        <w:rPr>
          <w:spacing w:val="-18"/>
        </w:rPr>
        <w:t> 年</w:t>
      </w:r>
      <w:r>
        <w:rPr/>
        <w:t>12</w:t>
      </w:r>
      <w:r>
        <w:rPr>
          <w:spacing w:val="-16"/>
        </w:rPr>
        <w:t> 月</w:t>
      </w:r>
      <w:r>
        <w:rPr/>
        <w:t>2</w:t>
      </w:r>
      <w:r>
        <w:rPr>
          <w:spacing w:val="-6"/>
        </w:rPr>
        <w:t> 日折价发行面值金额为新台币</w:t>
      </w:r>
      <w:r>
        <w:rPr/>
        <w:t>400,000</w:t>
      </w:r>
      <w:r>
        <w:rPr>
          <w:spacing w:val="-7"/>
        </w:rPr>
        <w:t> 千元(折合人民币</w:t>
      </w:r>
      <w:r>
        <w:rPr/>
        <w:t>90,830</w:t>
      </w:r>
    </w:p>
    <w:p>
      <w:pPr>
        <w:pStyle w:val="BodyText"/>
        <w:spacing w:before="12"/>
      </w:pPr>
      <w:r>
        <w:rPr>
          <w:spacing w:val="5"/>
        </w:rPr>
        <w:t>千元)的短期票券，发行价格为 </w:t>
      </w:r>
      <w:r>
        <w:rPr/>
        <w:t>9998.62</w:t>
      </w:r>
      <w:r>
        <w:rPr>
          <w:spacing w:val="4"/>
        </w:rPr>
        <w:t> 元/每万元。该短期票券期限为 </w:t>
      </w:r>
      <w:r>
        <w:rPr/>
        <w:t>42</w:t>
      </w:r>
      <w:r>
        <w:rPr>
          <w:spacing w:val="7"/>
        </w:rPr>
        <w:t> 天，发行利率为</w:t>
      </w:r>
    </w:p>
    <w:p>
      <w:pPr>
        <w:pStyle w:val="BodyText"/>
        <w:spacing w:before="11"/>
      </w:pPr>
      <w:r>
        <w:rPr/>
        <w:t>2.150</w:t>
      </w:r>
      <w:r>
        <w:rPr>
          <w:spacing w:val="-6"/>
        </w:rPr>
        <w:t>%。该短期票券已于 </w:t>
      </w:r>
      <w:r>
        <w:rPr/>
        <w:t>2023</w:t>
      </w:r>
      <w:r>
        <w:rPr>
          <w:spacing w:val="-37"/>
        </w:rPr>
        <w:t> 年 </w:t>
      </w:r>
      <w:r>
        <w:rPr/>
        <w:t>1</w:t>
      </w:r>
      <w:r>
        <w:rPr>
          <w:spacing w:val="-9"/>
        </w:rPr>
        <w:t> 月到期偿还。</w:t>
      </w:r>
      <w:r>
        <w:rPr/>
        <w:t> </w:t>
      </w:r>
    </w:p>
    <w:p>
      <w:pPr>
        <w:pStyle w:val="BodyText"/>
        <w:spacing w:before="10"/>
      </w:pPr>
      <w:r>
        <w:rPr>
          <w:w w:val="100"/>
        </w:rPr>
        <w:t> </w:t>
      </w:r>
    </w:p>
    <w:p>
      <w:pPr>
        <w:pStyle w:val="BodyText"/>
        <w:spacing w:before="12"/>
      </w:pPr>
      <w:r>
        <w:rPr>
          <w:spacing w:val="4"/>
        </w:rPr>
        <w:t>本集团之子公司于</w:t>
      </w:r>
      <w:r>
        <w:rPr/>
        <w:t>2022</w:t>
      </w:r>
      <w:r>
        <w:rPr>
          <w:spacing w:val="-18"/>
        </w:rPr>
        <w:t> 年</w:t>
      </w:r>
      <w:r>
        <w:rPr/>
        <w:t>12</w:t>
      </w:r>
      <w:r>
        <w:rPr>
          <w:spacing w:val="-16"/>
        </w:rPr>
        <w:t> 月</w:t>
      </w:r>
      <w:r>
        <w:rPr/>
        <w:t>9</w:t>
      </w:r>
      <w:r>
        <w:rPr>
          <w:spacing w:val="-6"/>
        </w:rPr>
        <w:t> 日折价发行面值金额为新台币</w:t>
      </w:r>
      <w:r>
        <w:rPr/>
        <w:t>400,000</w:t>
      </w:r>
      <w:r>
        <w:rPr>
          <w:spacing w:val="-7"/>
        </w:rPr>
        <w:t> 千元(折合人民币</w:t>
      </w:r>
      <w:r>
        <w:rPr/>
        <w:t>90,794</w:t>
      </w:r>
    </w:p>
    <w:p>
      <w:pPr>
        <w:pStyle w:val="BodyText"/>
        <w:spacing w:before="11"/>
      </w:pPr>
      <w:r>
        <w:rPr>
          <w:spacing w:val="5"/>
        </w:rPr>
        <w:t>千元)的短期票券，发行价格为 </w:t>
      </w:r>
      <w:r>
        <w:rPr/>
        <w:t>9999.33</w:t>
      </w:r>
      <w:r>
        <w:rPr>
          <w:spacing w:val="4"/>
        </w:rPr>
        <w:t> 元/每万元。该短期票券期限为 </w:t>
      </w:r>
      <w:r>
        <w:rPr/>
        <w:t>28</w:t>
      </w:r>
      <w:r>
        <w:rPr>
          <w:spacing w:val="7"/>
        </w:rPr>
        <w:t> 天，发行利率为</w:t>
      </w:r>
    </w:p>
    <w:p>
      <w:pPr>
        <w:pStyle w:val="BodyText"/>
        <w:spacing w:before="10"/>
      </w:pPr>
      <w:r>
        <w:rPr>
          <w:spacing w:val="-1"/>
        </w:rPr>
        <w:t>2.038</w:t>
      </w:r>
      <w:r>
        <w:rPr>
          <w:spacing w:val="-7"/>
        </w:rPr>
        <w:t>%。该短期票券已于 </w:t>
      </w:r>
      <w:r>
        <w:rPr/>
        <w:t>2023</w:t>
      </w:r>
      <w:r>
        <w:rPr>
          <w:spacing w:val="-36"/>
        </w:rPr>
        <w:t> 年 </w:t>
      </w:r>
      <w:r>
        <w:rPr/>
        <w:t>1</w:t>
      </w:r>
      <w:r>
        <w:rPr>
          <w:spacing w:val="-9"/>
        </w:rPr>
        <w:t> 月到期偿还。</w:t>
      </w:r>
      <w:r>
        <w:rPr/>
        <w:t> </w:t>
      </w:r>
    </w:p>
    <w:p>
      <w:pPr>
        <w:pStyle w:val="BodyText"/>
        <w:spacing w:before="11"/>
      </w:pPr>
      <w:r>
        <w:rPr>
          <w:w w:val="100"/>
        </w:rPr>
        <w:t> </w:t>
      </w:r>
    </w:p>
    <w:p>
      <w:pPr>
        <w:pStyle w:val="BodyText"/>
        <w:spacing w:before="12"/>
      </w:pPr>
      <w:r>
        <w:rPr>
          <w:spacing w:val="4"/>
        </w:rPr>
        <w:t>本集团之子公司于</w:t>
      </w:r>
      <w:r>
        <w:rPr/>
        <w:t>2022</w:t>
      </w:r>
      <w:r>
        <w:rPr>
          <w:spacing w:val="-18"/>
        </w:rPr>
        <w:t> 年</w:t>
      </w:r>
      <w:r>
        <w:rPr/>
        <w:t>12</w:t>
      </w:r>
      <w:r>
        <w:rPr>
          <w:spacing w:val="-16"/>
        </w:rPr>
        <w:t> 月</w:t>
      </w:r>
      <w:r>
        <w:rPr/>
        <w:t>9</w:t>
      </w:r>
      <w:r>
        <w:rPr>
          <w:spacing w:val="-6"/>
        </w:rPr>
        <w:t> 日折价发行面值金额为新台币</w:t>
      </w:r>
      <w:r>
        <w:rPr/>
        <w:t>400,000</w:t>
      </w:r>
      <w:r>
        <w:rPr>
          <w:spacing w:val="-7"/>
        </w:rPr>
        <w:t> 千元(折合人民币</w:t>
      </w:r>
      <w:r>
        <w:rPr/>
        <w:t>90,786</w:t>
      </w:r>
    </w:p>
    <w:p>
      <w:pPr>
        <w:pStyle w:val="BodyText"/>
        <w:spacing w:before="10"/>
      </w:pPr>
      <w:r>
        <w:rPr>
          <w:spacing w:val="5"/>
        </w:rPr>
        <w:t>千元)的短期票券，发行价格为 </w:t>
      </w:r>
      <w:r>
        <w:rPr/>
        <w:t>9999.49</w:t>
      </w:r>
      <w:r>
        <w:rPr>
          <w:spacing w:val="4"/>
        </w:rPr>
        <w:t> 元/每万元。该短期票券期限为 </w:t>
      </w:r>
      <w:r>
        <w:rPr/>
        <w:t>28</w:t>
      </w:r>
      <w:r>
        <w:rPr>
          <w:spacing w:val="7"/>
        </w:rPr>
        <w:t> 天，发行利率为</w:t>
      </w:r>
    </w:p>
    <w:p>
      <w:pPr>
        <w:pStyle w:val="BodyText"/>
        <w:spacing w:before="12"/>
      </w:pPr>
      <w:r>
        <w:rPr/>
        <w:t>2.048</w:t>
      </w:r>
      <w:r>
        <w:rPr>
          <w:spacing w:val="-6"/>
        </w:rPr>
        <w:t>%。该短期票券已于 </w:t>
      </w:r>
      <w:r>
        <w:rPr/>
        <w:t>2023</w:t>
      </w:r>
      <w:r>
        <w:rPr>
          <w:spacing w:val="-37"/>
        </w:rPr>
        <w:t> 年 </w:t>
      </w:r>
      <w:r>
        <w:rPr/>
        <w:t>1</w:t>
      </w:r>
      <w:r>
        <w:rPr>
          <w:spacing w:val="-9"/>
        </w:rPr>
        <w:t> 月到期偿还。</w:t>
      </w:r>
      <w:r>
        <w:rPr/>
        <w:t> </w:t>
      </w:r>
    </w:p>
    <w:p>
      <w:pPr>
        <w:pStyle w:val="BodyText"/>
        <w:spacing w:before="11"/>
      </w:pPr>
      <w:r>
        <w:rPr>
          <w:w w:val="100"/>
        </w:rPr>
        <w:t> </w:t>
      </w:r>
    </w:p>
    <w:p>
      <w:pPr>
        <w:pStyle w:val="BodyText"/>
        <w:spacing w:before="10"/>
      </w:pPr>
      <w:r>
        <w:rPr>
          <w:spacing w:val="4"/>
        </w:rPr>
        <w:t>本集团之子公司于</w:t>
      </w:r>
      <w:r>
        <w:rPr/>
        <w:t>2022</w:t>
      </w:r>
      <w:r>
        <w:rPr>
          <w:spacing w:val="-18"/>
        </w:rPr>
        <w:t> 年</w:t>
      </w:r>
      <w:r>
        <w:rPr/>
        <w:t>12</w:t>
      </w:r>
      <w:r>
        <w:rPr>
          <w:spacing w:val="-16"/>
        </w:rPr>
        <w:t> 月</w:t>
      </w:r>
      <w:r>
        <w:rPr/>
        <w:t>9</w:t>
      </w:r>
      <w:r>
        <w:rPr>
          <w:spacing w:val="-6"/>
        </w:rPr>
        <w:t> 日折价发行面值金额为新台币</w:t>
      </w:r>
      <w:r>
        <w:rPr/>
        <w:t>300,000</w:t>
      </w:r>
      <w:r>
        <w:rPr>
          <w:spacing w:val="-7"/>
        </w:rPr>
        <w:t> 千元(折合人民币</w:t>
      </w:r>
      <w:r>
        <w:rPr/>
        <w:t>68,135</w:t>
      </w:r>
    </w:p>
    <w:p>
      <w:pPr>
        <w:pStyle w:val="BodyText"/>
        <w:spacing w:before="11"/>
      </w:pPr>
      <w:r>
        <w:rPr>
          <w:spacing w:val="5"/>
        </w:rPr>
        <w:t>千元)的短期票券，发行价格为 </w:t>
      </w:r>
      <w:r>
        <w:rPr/>
        <w:t>9998.28</w:t>
      </w:r>
      <w:r>
        <w:rPr>
          <w:spacing w:val="4"/>
        </w:rPr>
        <w:t> 元/每万元。该短期票券期限为 </w:t>
      </w:r>
      <w:r>
        <w:rPr/>
        <w:t>28</w:t>
      </w:r>
      <w:r>
        <w:rPr>
          <w:spacing w:val="7"/>
        </w:rPr>
        <w:t> 天，发行利率为</w:t>
      </w:r>
    </w:p>
    <w:p>
      <w:pPr>
        <w:pStyle w:val="BodyText"/>
        <w:spacing w:before="12"/>
      </w:pPr>
      <w:r>
        <w:rPr/>
        <w:t>2.088</w:t>
      </w:r>
      <w:r>
        <w:rPr>
          <w:spacing w:val="-6"/>
        </w:rPr>
        <w:t>%。该短期票券已于 </w:t>
      </w:r>
      <w:r>
        <w:rPr/>
        <w:t>2023</w:t>
      </w:r>
      <w:r>
        <w:rPr>
          <w:spacing w:val="-37"/>
        </w:rPr>
        <w:t> 年 </w:t>
      </w:r>
      <w:r>
        <w:rPr/>
        <w:t>1</w:t>
      </w:r>
      <w:r>
        <w:rPr>
          <w:spacing w:val="-9"/>
        </w:rPr>
        <w:t> 月到期偿还。</w:t>
      </w:r>
      <w:r>
        <w:rPr/>
        <w:t> </w:t>
      </w:r>
    </w:p>
    <w:p>
      <w:pPr>
        <w:pStyle w:val="BodyText"/>
        <w:spacing w:line="269" w:lineRule="exact" w:before="9"/>
      </w:pPr>
      <w:r>
        <w:rPr>
          <w:w w:val="100"/>
        </w:rPr>
        <w:t> </w:t>
      </w:r>
    </w:p>
    <w:p>
      <w:pPr>
        <w:pStyle w:val="BodyText"/>
      </w:pPr>
      <w:r>
        <w:rPr>
          <w:spacing w:val="-6"/>
        </w:rPr>
        <w:t>本集团之子公司于 </w:t>
      </w:r>
      <w:r>
        <w:rPr/>
        <w:t>2022</w:t>
      </w:r>
      <w:r>
        <w:rPr>
          <w:spacing w:val="-36"/>
        </w:rPr>
        <w:t> 年 </w:t>
      </w:r>
      <w:r>
        <w:rPr/>
        <w:t>12</w:t>
      </w:r>
      <w:r>
        <w:rPr>
          <w:spacing w:val="-36"/>
        </w:rPr>
        <w:t> 月 </w:t>
      </w:r>
      <w:r>
        <w:rPr/>
        <w:t>12</w:t>
      </w:r>
      <w:r>
        <w:rPr>
          <w:spacing w:val="-11"/>
        </w:rPr>
        <w:t> 日折价发行面值金额为新台币 </w:t>
      </w:r>
      <w:r>
        <w:rPr/>
        <w:t>300,000</w:t>
      </w:r>
      <w:r>
        <w:rPr>
          <w:spacing w:val="-8"/>
        </w:rPr>
        <w:t> 千元(折合人民币</w:t>
      </w:r>
    </w:p>
    <w:p>
      <w:pPr>
        <w:pStyle w:val="BodyText"/>
        <w:spacing w:before="5"/>
      </w:pPr>
      <w:r>
        <w:rPr>
          <w:spacing w:val="-1"/>
        </w:rPr>
        <w:t>68,205</w:t>
      </w:r>
      <w:r>
        <w:rPr>
          <w:spacing w:val="-11"/>
        </w:rPr>
        <w:t> 千元)的短期票券，发行价格为 </w:t>
      </w:r>
      <w:r>
        <w:rPr/>
        <w:t>9996.43</w:t>
      </w:r>
      <w:r>
        <w:rPr>
          <w:spacing w:val="-11"/>
        </w:rPr>
        <w:t> 元/每万元。该短期票券期限为 </w:t>
      </w:r>
      <w:r>
        <w:rPr/>
        <w:t>60</w:t>
      </w:r>
      <w:r>
        <w:rPr>
          <w:spacing w:val="-9"/>
        </w:rPr>
        <w:t> 天，发行利率</w:t>
      </w:r>
    </w:p>
    <w:p>
      <w:pPr>
        <w:pStyle w:val="BodyText"/>
        <w:spacing w:before="2"/>
      </w:pPr>
      <w:r>
        <w:rPr>
          <w:spacing w:val="-27"/>
        </w:rPr>
        <w:t>为 </w:t>
      </w:r>
      <w:r>
        <w:rPr>
          <w:spacing w:val="-1"/>
        </w:rPr>
        <w:t>2.088</w:t>
      </w:r>
      <w:r>
        <w:rPr>
          <w:spacing w:val="-7"/>
        </w:rPr>
        <w:t>%。该短期票券已于 </w:t>
      </w:r>
      <w:r>
        <w:rPr/>
        <w:t>2023</w:t>
      </w:r>
      <w:r>
        <w:rPr>
          <w:spacing w:val="-37"/>
        </w:rPr>
        <w:t> 年 </w:t>
      </w:r>
      <w:r>
        <w:rPr/>
        <w:t>2</w:t>
      </w:r>
      <w:r>
        <w:rPr>
          <w:spacing w:val="-9"/>
        </w:rPr>
        <w:t> 月到期偿还。</w:t>
      </w:r>
      <w:r>
        <w:rPr/>
        <w:t> </w:t>
      </w:r>
    </w:p>
    <w:p>
      <w:pPr>
        <w:pStyle w:val="BodyText"/>
        <w:spacing w:before="65"/>
      </w:pPr>
      <w:r>
        <w:rPr>
          <w:w w:val="100"/>
        </w:rPr>
        <w:t> </w:t>
      </w:r>
    </w:p>
    <w:p>
      <w:pPr>
        <w:pStyle w:val="BodyText"/>
        <w:spacing w:before="62"/>
      </w:pPr>
      <w:r>
        <w:rPr>
          <w:w w:val="100"/>
        </w:rPr>
        <w:t> </w:t>
      </w:r>
    </w:p>
    <w:p>
      <w:pPr>
        <w:pStyle w:val="BodyText"/>
        <w:spacing w:line="297" w:lineRule="auto" w:before="62"/>
        <w:ind w:right="8208"/>
      </w:pPr>
      <w:r>
        <w:rPr/>
        <w:t>45</w:t>
      </w:r>
      <w:r>
        <w:rPr>
          <w:spacing w:val="19"/>
        </w:rPr>
        <w:t>、 长期借款</w:t>
      </w:r>
      <w:r>
        <w:rPr/>
        <w:t>(1).</w:t>
      </w:r>
      <w:r>
        <w:rPr>
          <w:spacing w:val="2"/>
        </w:rPr>
        <w:t> </w:t>
      </w:r>
      <w:r>
        <w:rPr/>
        <w:t>长期借款分类 </w:t>
      </w:r>
    </w:p>
    <w:p>
      <w:pPr>
        <w:pStyle w:val="BodyText"/>
        <w:spacing w:line="267" w:lineRule="exact"/>
      </w:pPr>
      <w:r>
        <w:rPr>
          <w:spacing w:val="-1"/>
        </w:rPr>
        <w:t>√适用 □不适用</w:t>
      </w:r>
      <w:r>
        <w:rPr>
          <w:spacing w:val="-3"/>
        </w:rPr>
        <w:t> </w:t>
      </w:r>
      <w:r>
        <w:rPr/>
        <w:t> </w:t>
      </w:r>
    </w:p>
    <w:p>
      <w:pPr>
        <w:pStyle w:val="BodyText"/>
        <w:spacing w:before="5"/>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7"/>
        <w:gridCol w:w="2974"/>
        <w:gridCol w:w="2873"/>
      </w:tblGrid>
      <w:tr>
        <w:trPr>
          <w:trHeight w:val="273" w:hRule="atLeast"/>
        </w:trPr>
        <w:tc>
          <w:tcPr>
            <w:tcW w:w="2977" w:type="dxa"/>
          </w:tcPr>
          <w:p>
            <w:pPr>
              <w:pStyle w:val="TableParagraph"/>
              <w:spacing w:line="250" w:lineRule="exact" w:before="3"/>
              <w:ind w:left="1309" w:right="1198"/>
              <w:jc w:val="center"/>
              <w:rPr>
                <w:sz w:val="21"/>
              </w:rPr>
            </w:pPr>
            <w:r>
              <w:rPr>
                <w:sz w:val="21"/>
              </w:rPr>
              <w:t>项目 </w:t>
            </w:r>
          </w:p>
        </w:tc>
        <w:tc>
          <w:tcPr>
            <w:tcW w:w="2974" w:type="dxa"/>
          </w:tcPr>
          <w:p>
            <w:pPr>
              <w:pStyle w:val="TableParagraph"/>
              <w:spacing w:line="250" w:lineRule="exact" w:before="3"/>
              <w:ind w:left="1064"/>
              <w:rPr>
                <w:sz w:val="21"/>
              </w:rPr>
            </w:pPr>
            <w:r>
              <w:rPr>
                <w:spacing w:val="-1"/>
                <w:sz w:val="21"/>
              </w:rPr>
              <w:t>期末余额</w:t>
            </w:r>
            <w:r>
              <w:rPr>
                <w:sz w:val="21"/>
              </w:rPr>
              <w:t> </w:t>
            </w:r>
          </w:p>
        </w:tc>
        <w:tc>
          <w:tcPr>
            <w:tcW w:w="2873" w:type="dxa"/>
          </w:tcPr>
          <w:p>
            <w:pPr>
              <w:pStyle w:val="TableParagraph"/>
              <w:spacing w:line="250" w:lineRule="exact" w:before="3"/>
              <w:ind w:left="1014"/>
              <w:rPr>
                <w:sz w:val="21"/>
              </w:rPr>
            </w:pPr>
            <w:r>
              <w:rPr>
                <w:spacing w:val="-1"/>
                <w:sz w:val="21"/>
              </w:rPr>
              <w:t>期初余额</w:t>
            </w:r>
            <w:r>
              <w:rPr>
                <w:sz w:val="21"/>
              </w:rPr>
              <w:t> </w:t>
            </w:r>
          </w:p>
        </w:tc>
      </w:tr>
      <w:tr>
        <w:trPr>
          <w:trHeight w:val="273" w:hRule="atLeast"/>
        </w:trPr>
        <w:tc>
          <w:tcPr>
            <w:tcW w:w="2977" w:type="dxa"/>
          </w:tcPr>
          <w:p>
            <w:pPr>
              <w:pStyle w:val="TableParagraph"/>
              <w:spacing w:line="252" w:lineRule="exact" w:before="1"/>
              <w:ind w:left="107"/>
              <w:rPr>
                <w:sz w:val="21"/>
              </w:rPr>
            </w:pPr>
            <w:r>
              <w:rPr>
                <w:spacing w:val="-1"/>
                <w:sz w:val="21"/>
              </w:rPr>
              <w:t>质押借款</w:t>
            </w:r>
            <w:r>
              <w:rPr>
                <w:sz w:val="21"/>
              </w:rPr>
              <w:t> </w:t>
            </w:r>
          </w:p>
        </w:tc>
        <w:tc>
          <w:tcPr>
            <w:tcW w:w="2974" w:type="dxa"/>
          </w:tcPr>
          <w:p>
            <w:pPr>
              <w:pStyle w:val="TableParagraph"/>
              <w:rPr>
                <w:rFonts w:ascii="Times New Roman"/>
                <w:sz w:val="20"/>
              </w:rPr>
            </w:pPr>
          </w:p>
        </w:tc>
        <w:tc>
          <w:tcPr>
            <w:tcW w:w="2873" w:type="dxa"/>
          </w:tcPr>
          <w:p>
            <w:pPr>
              <w:pStyle w:val="TableParagraph"/>
              <w:rPr>
                <w:rFonts w:ascii="Times New Roman"/>
                <w:sz w:val="20"/>
              </w:rPr>
            </w:pPr>
          </w:p>
        </w:tc>
      </w:tr>
      <w:tr>
        <w:trPr>
          <w:trHeight w:val="270" w:hRule="atLeast"/>
        </w:trPr>
        <w:tc>
          <w:tcPr>
            <w:tcW w:w="2977" w:type="dxa"/>
          </w:tcPr>
          <w:p>
            <w:pPr>
              <w:pStyle w:val="TableParagraph"/>
              <w:spacing w:line="250" w:lineRule="exact" w:before="1"/>
              <w:ind w:left="107"/>
              <w:rPr>
                <w:sz w:val="21"/>
              </w:rPr>
            </w:pPr>
            <w:r>
              <w:rPr>
                <w:spacing w:val="-1"/>
                <w:sz w:val="21"/>
              </w:rPr>
              <w:t>抵押借款</w:t>
            </w:r>
            <w:r>
              <w:rPr>
                <w:sz w:val="21"/>
              </w:rPr>
              <w:t> </w:t>
            </w:r>
          </w:p>
        </w:tc>
        <w:tc>
          <w:tcPr>
            <w:tcW w:w="2974" w:type="dxa"/>
          </w:tcPr>
          <w:p>
            <w:pPr>
              <w:pStyle w:val="TableParagraph"/>
              <w:spacing w:before="7"/>
              <w:ind w:right="95"/>
              <w:jc w:val="right"/>
              <w:rPr>
                <w:rFonts w:ascii="Times New Roman"/>
                <w:sz w:val="21"/>
              </w:rPr>
            </w:pPr>
            <w:r>
              <w:rPr>
                <w:rFonts w:ascii="Times New Roman"/>
                <w:w w:val="100"/>
                <w:sz w:val="21"/>
              </w:rPr>
              <w:t>-</w:t>
            </w:r>
          </w:p>
        </w:tc>
        <w:tc>
          <w:tcPr>
            <w:tcW w:w="2873" w:type="dxa"/>
          </w:tcPr>
          <w:p>
            <w:pPr>
              <w:pStyle w:val="TableParagraph"/>
              <w:spacing w:before="7"/>
              <w:ind w:right="93"/>
              <w:jc w:val="right"/>
              <w:rPr>
                <w:rFonts w:ascii="Times New Roman"/>
                <w:sz w:val="21"/>
              </w:rPr>
            </w:pPr>
            <w:r>
              <w:rPr>
                <w:rFonts w:ascii="Times New Roman"/>
                <w:sz w:val="21"/>
              </w:rPr>
              <w:t>213</w:t>
            </w:r>
          </w:p>
        </w:tc>
      </w:tr>
      <w:tr>
        <w:trPr>
          <w:trHeight w:val="273" w:hRule="atLeast"/>
        </w:trPr>
        <w:tc>
          <w:tcPr>
            <w:tcW w:w="2977" w:type="dxa"/>
          </w:tcPr>
          <w:p>
            <w:pPr>
              <w:pStyle w:val="TableParagraph"/>
              <w:spacing w:line="252" w:lineRule="exact" w:before="1"/>
              <w:ind w:left="107"/>
              <w:rPr>
                <w:sz w:val="21"/>
              </w:rPr>
            </w:pPr>
            <w:r>
              <w:rPr>
                <w:spacing w:val="-1"/>
                <w:sz w:val="21"/>
              </w:rPr>
              <w:t>保证借款</w:t>
            </w:r>
            <w:r>
              <w:rPr>
                <w:sz w:val="21"/>
              </w:rPr>
              <w:t> </w:t>
            </w:r>
          </w:p>
        </w:tc>
        <w:tc>
          <w:tcPr>
            <w:tcW w:w="2974" w:type="dxa"/>
          </w:tcPr>
          <w:p>
            <w:pPr>
              <w:pStyle w:val="TableParagraph"/>
              <w:spacing w:before="10"/>
              <w:ind w:right="94"/>
              <w:jc w:val="right"/>
              <w:rPr>
                <w:rFonts w:ascii="Times New Roman"/>
                <w:sz w:val="21"/>
              </w:rPr>
            </w:pPr>
            <w:r>
              <w:rPr>
                <w:rFonts w:ascii="Times New Roman"/>
                <w:sz w:val="21"/>
              </w:rPr>
              <w:t>7,665,667</w:t>
            </w:r>
          </w:p>
        </w:tc>
        <w:tc>
          <w:tcPr>
            <w:tcW w:w="2873" w:type="dxa"/>
          </w:tcPr>
          <w:p>
            <w:pPr>
              <w:pStyle w:val="TableParagraph"/>
              <w:spacing w:before="10"/>
              <w:ind w:right="93"/>
              <w:jc w:val="right"/>
              <w:rPr>
                <w:rFonts w:ascii="Times New Roman"/>
                <w:sz w:val="21"/>
              </w:rPr>
            </w:pPr>
            <w:r>
              <w:rPr>
                <w:rFonts w:ascii="Times New Roman"/>
                <w:sz w:val="21"/>
              </w:rPr>
              <w:t>3,814,347</w:t>
            </w:r>
          </w:p>
        </w:tc>
      </w:tr>
      <w:tr>
        <w:trPr>
          <w:trHeight w:val="273" w:hRule="atLeast"/>
        </w:trPr>
        <w:tc>
          <w:tcPr>
            <w:tcW w:w="2977" w:type="dxa"/>
          </w:tcPr>
          <w:p>
            <w:pPr>
              <w:pStyle w:val="TableParagraph"/>
              <w:spacing w:line="252" w:lineRule="exact" w:before="1"/>
              <w:ind w:left="107"/>
              <w:rPr>
                <w:sz w:val="21"/>
              </w:rPr>
            </w:pPr>
            <w:r>
              <w:rPr>
                <w:spacing w:val="-1"/>
                <w:sz w:val="21"/>
              </w:rPr>
              <w:t>信用借款</w:t>
            </w:r>
            <w:r>
              <w:rPr>
                <w:sz w:val="21"/>
              </w:rPr>
              <w:t> </w:t>
            </w:r>
          </w:p>
        </w:tc>
        <w:tc>
          <w:tcPr>
            <w:tcW w:w="2974" w:type="dxa"/>
          </w:tcPr>
          <w:p>
            <w:pPr>
              <w:pStyle w:val="TableParagraph"/>
              <w:rPr>
                <w:rFonts w:ascii="Times New Roman"/>
                <w:sz w:val="20"/>
              </w:rPr>
            </w:pPr>
          </w:p>
        </w:tc>
        <w:tc>
          <w:tcPr>
            <w:tcW w:w="2873" w:type="dxa"/>
          </w:tcPr>
          <w:p>
            <w:pPr>
              <w:pStyle w:val="TableParagraph"/>
              <w:rPr>
                <w:rFonts w:ascii="Times New Roman"/>
                <w:sz w:val="20"/>
              </w:rPr>
            </w:pPr>
          </w:p>
        </w:tc>
      </w:tr>
      <w:tr>
        <w:trPr>
          <w:trHeight w:val="270" w:hRule="atLeast"/>
        </w:trPr>
        <w:tc>
          <w:tcPr>
            <w:tcW w:w="2977" w:type="dxa"/>
          </w:tcPr>
          <w:p>
            <w:pPr>
              <w:pStyle w:val="TableParagraph"/>
              <w:spacing w:line="250" w:lineRule="exact" w:before="1"/>
              <w:ind w:left="107"/>
              <w:rPr>
                <w:sz w:val="21"/>
              </w:rPr>
            </w:pPr>
            <w:r>
              <w:rPr>
                <w:spacing w:val="-1"/>
                <w:sz w:val="21"/>
              </w:rPr>
              <w:t>减：一年内到期的长期借款 </w:t>
            </w:r>
          </w:p>
        </w:tc>
        <w:tc>
          <w:tcPr>
            <w:tcW w:w="2974" w:type="dxa"/>
          </w:tcPr>
          <w:p>
            <w:pPr>
              <w:pStyle w:val="TableParagraph"/>
              <w:spacing w:before="7"/>
              <w:ind w:right="94"/>
              <w:jc w:val="right"/>
              <w:rPr>
                <w:rFonts w:ascii="Times New Roman"/>
                <w:sz w:val="21"/>
              </w:rPr>
            </w:pPr>
            <w:r>
              <w:rPr>
                <w:rFonts w:ascii="Times New Roman"/>
                <w:sz w:val="21"/>
              </w:rPr>
              <w:t>-4,181,160</w:t>
            </w:r>
          </w:p>
        </w:tc>
        <w:tc>
          <w:tcPr>
            <w:tcW w:w="2873" w:type="dxa"/>
          </w:tcPr>
          <w:p>
            <w:pPr>
              <w:pStyle w:val="TableParagraph"/>
              <w:spacing w:before="7"/>
              <w:ind w:right="96"/>
              <w:jc w:val="right"/>
              <w:rPr>
                <w:rFonts w:ascii="Times New Roman"/>
                <w:sz w:val="21"/>
              </w:rPr>
            </w:pPr>
            <w:r>
              <w:rPr>
                <w:rFonts w:ascii="Times New Roman"/>
                <w:sz w:val="21"/>
              </w:rPr>
              <w:t>-213</w:t>
            </w:r>
          </w:p>
        </w:tc>
      </w:tr>
    </w:tbl>
    <w:p>
      <w:pPr>
        <w:spacing w:after="0"/>
        <w:jc w:val="right"/>
        <w:rPr>
          <w:rFonts w:ascii="Times New Roman"/>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7"/>
        <w:gridCol w:w="2974"/>
        <w:gridCol w:w="2873"/>
      </w:tblGrid>
      <w:tr>
        <w:trPr>
          <w:trHeight w:val="273" w:hRule="atLeast"/>
        </w:trPr>
        <w:tc>
          <w:tcPr>
            <w:tcW w:w="2977" w:type="dxa"/>
          </w:tcPr>
          <w:p>
            <w:pPr>
              <w:pStyle w:val="TableParagraph"/>
              <w:spacing w:line="250" w:lineRule="exact" w:before="3"/>
              <w:ind w:left="107"/>
              <w:rPr>
                <w:sz w:val="21"/>
              </w:rPr>
            </w:pPr>
            <w:r>
              <w:rPr>
                <w:w w:val="100"/>
                <w:sz w:val="21"/>
              </w:rPr>
              <w:t> </w:t>
            </w:r>
          </w:p>
        </w:tc>
        <w:tc>
          <w:tcPr>
            <w:tcW w:w="2974" w:type="dxa"/>
          </w:tcPr>
          <w:p>
            <w:pPr>
              <w:pStyle w:val="TableParagraph"/>
              <w:rPr>
                <w:rFonts w:ascii="Times New Roman"/>
                <w:sz w:val="20"/>
              </w:rPr>
            </w:pPr>
          </w:p>
        </w:tc>
        <w:tc>
          <w:tcPr>
            <w:tcW w:w="2873" w:type="dxa"/>
          </w:tcPr>
          <w:p>
            <w:pPr>
              <w:pStyle w:val="TableParagraph"/>
              <w:rPr>
                <w:rFonts w:ascii="Times New Roman"/>
                <w:sz w:val="20"/>
              </w:rPr>
            </w:pPr>
          </w:p>
        </w:tc>
      </w:tr>
      <w:tr>
        <w:trPr>
          <w:trHeight w:val="273" w:hRule="atLeast"/>
        </w:trPr>
        <w:tc>
          <w:tcPr>
            <w:tcW w:w="2977" w:type="dxa"/>
          </w:tcPr>
          <w:p>
            <w:pPr>
              <w:pStyle w:val="TableParagraph"/>
              <w:spacing w:line="252" w:lineRule="exact" w:before="1"/>
              <w:ind w:left="1309" w:right="1198"/>
              <w:jc w:val="center"/>
              <w:rPr>
                <w:sz w:val="21"/>
              </w:rPr>
            </w:pPr>
            <w:r>
              <w:rPr>
                <w:sz w:val="21"/>
              </w:rPr>
              <w:t>合计 </w:t>
            </w:r>
          </w:p>
        </w:tc>
        <w:tc>
          <w:tcPr>
            <w:tcW w:w="2974" w:type="dxa"/>
          </w:tcPr>
          <w:p>
            <w:pPr>
              <w:pStyle w:val="TableParagraph"/>
              <w:spacing w:before="10"/>
              <w:ind w:right="94"/>
              <w:jc w:val="right"/>
              <w:rPr>
                <w:rFonts w:ascii="Times New Roman"/>
                <w:sz w:val="21"/>
              </w:rPr>
            </w:pPr>
            <w:r>
              <w:rPr>
                <w:rFonts w:ascii="Times New Roman"/>
                <w:sz w:val="21"/>
              </w:rPr>
              <w:t>3,484,507</w:t>
            </w:r>
          </w:p>
        </w:tc>
        <w:tc>
          <w:tcPr>
            <w:tcW w:w="2873" w:type="dxa"/>
          </w:tcPr>
          <w:p>
            <w:pPr>
              <w:pStyle w:val="TableParagraph"/>
              <w:spacing w:before="10"/>
              <w:ind w:right="93"/>
              <w:jc w:val="right"/>
              <w:rPr>
                <w:rFonts w:ascii="Times New Roman"/>
                <w:sz w:val="21"/>
              </w:rPr>
            </w:pPr>
            <w:r>
              <w:rPr>
                <w:rFonts w:ascii="Times New Roman"/>
                <w:sz w:val="21"/>
              </w:rPr>
              <w:t>3,814,347</w:t>
            </w:r>
          </w:p>
        </w:tc>
      </w:tr>
    </w:tbl>
    <w:p>
      <w:pPr>
        <w:pStyle w:val="BodyText"/>
        <w:spacing w:line="295" w:lineRule="auto" w:before="61"/>
        <w:ind w:right="7900"/>
      </w:pPr>
      <w:r>
        <w:rPr/>
        <w:t>长期借款分类的说明：</w:t>
      </w:r>
      <w:r>
        <w:rPr>
          <w:spacing w:val="1"/>
        </w:rPr>
        <w:t> </w:t>
      </w:r>
      <w:r>
        <w:rPr/>
        <w:t>无 </w:t>
      </w:r>
    </w:p>
    <w:p>
      <w:pPr>
        <w:pStyle w:val="BodyText"/>
        <w:spacing w:line="212" w:lineRule="exact"/>
      </w:pPr>
      <w:r>
        <w:rPr>
          <w:w w:val="100"/>
        </w:rPr>
        <w:t> </w:t>
      </w:r>
    </w:p>
    <w:p>
      <w:pPr>
        <w:pStyle w:val="BodyText"/>
        <w:spacing w:before="2"/>
      </w:pPr>
      <w:r>
        <w:rPr>
          <w:spacing w:val="-1"/>
        </w:rPr>
        <w:t>其他说明，包括利率区间： </w:t>
      </w:r>
    </w:p>
    <w:p>
      <w:pPr>
        <w:pStyle w:val="BodyText"/>
        <w:spacing w:before="5" w:after="43"/>
      </w:pPr>
      <w:r>
        <w:rPr>
          <w:spacing w:val="-1"/>
        </w:rPr>
        <w:t>√适用 □不适用</w:t>
      </w:r>
      <w:r>
        <w:rPr>
          <w:spacing w:val="-3"/>
        </w:rPr>
        <w:t> </w:t>
      </w:r>
      <w:r>
        <w:rPr/>
        <w:t> </w:t>
      </w:r>
    </w:p>
    <w:tbl>
      <w:tblPr>
        <w:tblW w:w="0" w:type="auto"/>
        <w:jc w:val="left"/>
        <w:tblInd w:w="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42"/>
      </w:tblGrid>
      <w:tr>
        <w:trPr>
          <w:trHeight w:val="1086" w:hRule="atLeast"/>
        </w:trPr>
        <w:tc>
          <w:tcPr>
            <w:tcW w:w="9142" w:type="dxa"/>
          </w:tcPr>
          <w:p>
            <w:pPr>
              <w:pStyle w:val="TableParagraph"/>
              <w:spacing w:line="241" w:lineRule="exact"/>
              <w:ind w:left="200"/>
              <w:rPr>
                <w:sz w:val="21"/>
              </w:rPr>
            </w:pPr>
            <w:r>
              <w:rPr>
                <w:spacing w:val="-21"/>
                <w:sz w:val="21"/>
              </w:rPr>
              <w:t>于 </w:t>
            </w:r>
            <w:r>
              <w:rPr>
                <w:sz w:val="21"/>
              </w:rPr>
              <w:t>2022</w:t>
            </w:r>
            <w:r>
              <w:rPr>
                <w:spacing w:val="-28"/>
                <w:sz w:val="21"/>
              </w:rPr>
              <w:t> 年 </w:t>
            </w:r>
            <w:r>
              <w:rPr>
                <w:sz w:val="21"/>
              </w:rPr>
              <w:t>12</w:t>
            </w:r>
            <w:r>
              <w:rPr>
                <w:spacing w:val="-28"/>
                <w:sz w:val="21"/>
              </w:rPr>
              <w:t> 月 </w:t>
            </w:r>
            <w:r>
              <w:rPr>
                <w:sz w:val="21"/>
              </w:rPr>
              <w:t>31</w:t>
            </w:r>
            <w:r>
              <w:rPr>
                <w:spacing w:val="-10"/>
                <w:sz w:val="21"/>
              </w:rPr>
              <w:t> 日，银行保证借款美元 </w:t>
            </w:r>
            <w:r>
              <w:rPr>
                <w:sz w:val="21"/>
              </w:rPr>
              <w:t>1,100,000</w:t>
            </w:r>
            <w:r>
              <w:rPr>
                <w:spacing w:val="-11"/>
                <w:sz w:val="21"/>
              </w:rPr>
              <w:t> 千元(折合人民币 </w:t>
            </w:r>
            <w:r>
              <w:rPr>
                <w:sz w:val="21"/>
              </w:rPr>
              <w:t>7,665,667</w:t>
            </w:r>
            <w:r>
              <w:rPr>
                <w:spacing w:val="-11"/>
                <w:sz w:val="21"/>
              </w:rPr>
              <w:t> 千元)</w:t>
            </w:r>
            <w:r>
              <w:rPr>
                <w:sz w:val="21"/>
              </w:rPr>
              <w:t>(2021</w:t>
            </w:r>
          </w:p>
          <w:p>
            <w:pPr>
              <w:pStyle w:val="TableParagraph"/>
              <w:spacing w:before="11"/>
              <w:ind w:left="200"/>
              <w:rPr>
                <w:sz w:val="21"/>
              </w:rPr>
            </w:pPr>
            <w:r>
              <w:rPr>
                <w:spacing w:val="-27"/>
                <w:sz w:val="21"/>
              </w:rPr>
              <w:t>年 </w:t>
            </w:r>
            <w:r>
              <w:rPr>
                <w:spacing w:val="-1"/>
                <w:sz w:val="21"/>
              </w:rPr>
              <w:t>12</w:t>
            </w:r>
            <w:r>
              <w:rPr>
                <w:spacing w:val="-36"/>
                <w:sz w:val="21"/>
              </w:rPr>
              <w:t> 月 </w:t>
            </w:r>
            <w:r>
              <w:rPr>
                <w:spacing w:val="-1"/>
                <w:sz w:val="21"/>
              </w:rPr>
              <w:t>31</w:t>
            </w:r>
            <w:r>
              <w:rPr>
                <w:spacing w:val="-20"/>
                <w:sz w:val="21"/>
              </w:rPr>
              <w:t> 日：美元 </w:t>
            </w:r>
            <w:r>
              <w:rPr>
                <w:spacing w:val="-1"/>
                <w:sz w:val="21"/>
              </w:rPr>
              <w:t>600,000</w:t>
            </w:r>
            <w:r>
              <w:rPr>
                <w:spacing w:val="-12"/>
                <w:sz w:val="21"/>
              </w:rPr>
              <w:t> 千元)系本公司全资子公司 </w:t>
            </w:r>
            <w:r>
              <w:rPr>
                <w:sz w:val="21"/>
              </w:rPr>
              <w:t>Cloud</w:t>
            </w:r>
            <w:r>
              <w:rPr>
                <w:spacing w:val="-9"/>
                <w:sz w:val="21"/>
              </w:rPr>
              <w:t> </w:t>
            </w:r>
            <w:r>
              <w:rPr>
                <w:sz w:val="21"/>
              </w:rPr>
              <w:t>Network</w:t>
            </w:r>
            <w:r>
              <w:rPr>
                <w:spacing w:val="-8"/>
                <w:sz w:val="21"/>
              </w:rPr>
              <w:t> </w:t>
            </w:r>
            <w:r>
              <w:rPr>
                <w:sz w:val="21"/>
              </w:rPr>
              <w:t>Technology</w:t>
            </w:r>
            <w:r>
              <w:rPr>
                <w:spacing w:val="-9"/>
                <w:sz w:val="21"/>
              </w:rPr>
              <w:t> </w:t>
            </w:r>
            <w:r>
              <w:rPr>
                <w:sz w:val="21"/>
              </w:rPr>
              <w:t>Singapore</w:t>
            </w:r>
          </w:p>
          <w:p>
            <w:pPr>
              <w:pStyle w:val="TableParagraph"/>
              <w:spacing w:before="12"/>
              <w:ind w:left="200"/>
              <w:rPr>
                <w:sz w:val="21"/>
              </w:rPr>
            </w:pPr>
            <w:r>
              <w:rPr>
                <w:spacing w:val="-1"/>
                <w:sz w:val="21"/>
              </w:rPr>
              <w:t>Pte.</w:t>
            </w:r>
            <w:r>
              <w:rPr>
                <w:spacing w:val="22"/>
                <w:sz w:val="21"/>
              </w:rPr>
              <w:t> </w:t>
            </w:r>
            <w:r>
              <w:rPr>
                <w:spacing w:val="-1"/>
                <w:sz w:val="21"/>
              </w:rPr>
              <w:t>Ltd</w:t>
            </w:r>
            <w:r>
              <w:rPr>
                <w:spacing w:val="-4"/>
                <w:sz w:val="21"/>
              </w:rPr>
              <w:t>.之借款，由本公司提供担保，利息每 </w:t>
            </w:r>
            <w:r>
              <w:rPr>
                <w:sz w:val="21"/>
              </w:rPr>
              <w:t>3</w:t>
            </w:r>
            <w:r>
              <w:rPr>
                <w:spacing w:val="-11"/>
                <w:sz w:val="21"/>
              </w:rPr>
              <w:t> 个月支付一次，其中本金美元 </w:t>
            </w:r>
            <w:r>
              <w:rPr>
                <w:sz w:val="21"/>
              </w:rPr>
              <w:t>600,000</w:t>
            </w:r>
            <w:r>
              <w:rPr>
                <w:spacing w:val="-15"/>
                <w:sz w:val="21"/>
              </w:rPr>
              <w:t> 千元应</w:t>
            </w:r>
          </w:p>
          <w:p>
            <w:pPr>
              <w:pStyle w:val="TableParagraph"/>
              <w:spacing w:line="255" w:lineRule="exact" w:before="10"/>
              <w:ind w:left="200"/>
              <w:rPr>
                <w:sz w:val="21"/>
              </w:rPr>
            </w:pPr>
            <w:r>
              <w:rPr>
                <w:spacing w:val="-27"/>
                <w:sz w:val="21"/>
              </w:rPr>
              <w:t>于 </w:t>
            </w:r>
            <w:r>
              <w:rPr>
                <w:sz w:val="21"/>
              </w:rPr>
              <w:t>2023</w:t>
            </w:r>
            <w:r>
              <w:rPr>
                <w:spacing w:val="-36"/>
                <w:sz w:val="21"/>
              </w:rPr>
              <w:t> 年 </w:t>
            </w:r>
            <w:r>
              <w:rPr>
                <w:sz w:val="21"/>
              </w:rPr>
              <w:t>11</w:t>
            </w:r>
            <w:r>
              <w:rPr>
                <w:spacing w:val="-36"/>
                <w:sz w:val="21"/>
              </w:rPr>
              <w:t> 月 </w:t>
            </w:r>
            <w:r>
              <w:rPr>
                <w:sz w:val="21"/>
              </w:rPr>
              <w:t>24</w:t>
            </w:r>
            <w:r>
              <w:rPr>
                <w:spacing w:val="-13"/>
                <w:sz w:val="21"/>
              </w:rPr>
              <w:t> 日偿还，本金美元 </w:t>
            </w:r>
            <w:r>
              <w:rPr>
                <w:sz w:val="21"/>
              </w:rPr>
              <w:t>500,000</w:t>
            </w:r>
            <w:r>
              <w:rPr>
                <w:spacing w:val="-19"/>
                <w:sz w:val="21"/>
              </w:rPr>
              <w:t> 千元应于 </w:t>
            </w:r>
            <w:r>
              <w:rPr>
                <w:sz w:val="21"/>
              </w:rPr>
              <w:t>2025</w:t>
            </w:r>
            <w:r>
              <w:rPr>
                <w:spacing w:val="-36"/>
                <w:sz w:val="21"/>
              </w:rPr>
              <w:t> 年 </w:t>
            </w:r>
            <w:r>
              <w:rPr>
                <w:sz w:val="21"/>
              </w:rPr>
              <w:t>3</w:t>
            </w:r>
            <w:r>
              <w:rPr>
                <w:spacing w:val="-36"/>
                <w:sz w:val="21"/>
              </w:rPr>
              <w:t> 月 </w:t>
            </w:r>
            <w:r>
              <w:rPr>
                <w:sz w:val="21"/>
              </w:rPr>
              <w:t>17</w:t>
            </w:r>
            <w:r>
              <w:rPr>
                <w:spacing w:val="-12"/>
                <w:sz w:val="21"/>
              </w:rPr>
              <w:t> 日偿还。</w:t>
            </w:r>
            <w:r>
              <w:rPr>
                <w:sz w:val="21"/>
              </w:rPr>
              <w:t> </w:t>
            </w:r>
          </w:p>
        </w:tc>
      </w:tr>
      <w:tr>
        <w:trPr>
          <w:trHeight w:val="280" w:hRule="atLeast"/>
        </w:trPr>
        <w:tc>
          <w:tcPr>
            <w:tcW w:w="9142" w:type="dxa"/>
          </w:tcPr>
          <w:p>
            <w:pPr>
              <w:pStyle w:val="TableParagraph"/>
              <w:spacing w:line="254" w:lineRule="exact" w:before="6"/>
              <w:ind w:left="200"/>
              <w:rPr>
                <w:sz w:val="21"/>
              </w:rPr>
            </w:pPr>
            <w:r>
              <w:rPr>
                <w:w w:val="100"/>
                <w:sz w:val="21"/>
              </w:rPr>
              <w:t> </w:t>
            </w:r>
          </w:p>
        </w:tc>
      </w:tr>
      <w:tr>
        <w:trPr>
          <w:trHeight w:val="979" w:hRule="atLeast"/>
        </w:trPr>
        <w:tc>
          <w:tcPr>
            <w:tcW w:w="9142" w:type="dxa"/>
          </w:tcPr>
          <w:p>
            <w:pPr>
              <w:pStyle w:val="TableParagraph"/>
              <w:spacing w:before="6"/>
              <w:ind w:left="200"/>
              <w:rPr>
                <w:sz w:val="21"/>
              </w:rPr>
            </w:pPr>
            <w:r>
              <w:rPr>
                <w:spacing w:val="-27"/>
                <w:sz w:val="21"/>
              </w:rPr>
              <w:t>于 </w:t>
            </w:r>
            <w:r>
              <w:rPr>
                <w:sz w:val="21"/>
              </w:rPr>
              <w:t>2022</w:t>
            </w:r>
            <w:r>
              <w:rPr>
                <w:spacing w:val="-35"/>
                <w:sz w:val="21"/>
              </w:rPr>
              <w:t> 年 </w:t>
            </w:r>
            <w:r>
              <w:rPr>
                <w:sz w:val="21"/>
              </w:rPr>
              <w:t>12</w:t>
            </w:r>
            <w:r>
              <w:rPr>
                <w:spacing w:val="-36"/>
                <w:sz w:val="21"/>
              </w:rPr>
              <w:t> 月 </w:t>
            </w:r>
            <w:r>
              <w:rPr>
                <w:sz w:val="21"/>
              </w:rPr>
              <w:t>31</w:t>
            </w:r>
            <w:r>
              <w:rPr>
                <w:spacing w:val="-8"/>
                <w:sz w:val="21"/>
              </w:rPr>
              <w:t> 日，本集团无银行抵押借款</w:t>
            </w:r>
            <w:r>
              <w:rPr>
                <w:sz w:val="21"/>
              </w:rPr>
              <w:t>(2021</w:t>
            </w:r>
            <w:r>
              <w:rPr>
                <w:spacing w:val="-35"/>
                <w:sz w:val="21"/>
              </w:rPr>
              <w:t> 年 </w:t>
            </w:r>
            <w:r>
              <w:rPr>
                <w:sz w:val="21"/>
              </w:rPr>
              <w:t>12</w:t>
            </w:r>
            <w:r>
              <w:rPr>
                <w:spacing w:val="-35"/>
                <w:sz w:val="21"/>
              </w:rPr>
              <w:t> 月 </w:t>
            </w:r>
            <w:r>
              <w:rPr>
                <w:sz w:val="21"/>
              </w:rPr>
              <w:t>31</w:t>
            </w:r>
            <w:r>
              <w:rPr>
                <w:spacing w:val="-13"/>
                <w:sz w:val="21"/>
              </w:rPr>
              <w:t> 日：银行抵押借款 </w:t>
            </w:r>
            <w:r>
              <w:rPr>
                <w:sz w:val="21"/>
              </w:rPr>
              <w:t>213</w:t>
            </w:r>
            <w:r>
              <w:rPr>
                <w:spacing w:val="-14"/>
                <w:sz w:val="21"/>
              </w:rPr>
              <w:t> 千元系</w:t>
            </w:r>
          </w:p>
          <w:p>
            <w:pPr>
              <w:pStyle w:val="TableParagraph"/>
              <w:spacing w:before="10"/>
              <w:ind w:left="200"/>
              <w:rPr>
                <w:sz w:val="21"/>
              </w:rPr>
            </w:pPr>
            <w:r>
              <w:rPr>
                <w:spacing w:val="-6"/>
                <w:sz w:val="21"/>
              </w:rPr>
              <w:t>由账面价值为 </w:t>
            </w:r>
            <w:r>
              <w:rPr>
                <w:spacing w:val="-1"/>
                <w:sz w:val="21"/>
              </w:rPr>
              <w:t>212</w:t>
            </w:r>
            <w:r>
              <w:rPr>
                <w:spacing w:val="-11"/>
                <w:sz w:val="21"/>
              </w:rPr>
              <w:t> 千元(原价 </w:t>
            </w:r>
            <w:r>
              <w:rPr>
                <w:sz w:val="21"/>
              </w:rPr>
              <w:t>1,485</w:t>
            </w:r>
            <w:r>
              <w:rPr>
                <w:spacing w:val="-6"/>
                <w:sz w:val="21"/>
              </w:rPr>
              <w:t> 千元)的固定资产作抵押，利息每月支付一次，本金应于借</w:t>
            </w:r>
          </w:p>
          <w:p>
            <w:pPr>
              <w:pStyle w:val="TableParagraph"/>
              <w:spacing w:before="12"/>
              <w:ind w:left="200"/>
              <w:rPr>
                <w:sz w:val="21"/>
              </w:rPr>
            </w:pPr>
            <w:r>
              <w:rPr>
                <w:spacing w:val="-14"/>
                <w:sz w:val="21"/>
              </w:rPr>
              <w:t>款日起 </w:t>
            </w:r>
            <w:r>
              <w:rPr>
                <w:sz w:val="21"/>
              </w:rPr>
              <w:t>5</w:t>
            </w:r>
            <w:r>
              <w:rPr>
                <w:spacing w:val="-12"/>
                <w:sz w:val="21"/>
              </w:rPr>
              <w:t> 年内分期偿还，并于 </w:t>
            </w:r>
            <w:r>
              <w:rPr>
                <w:sz w:val="21"/>
              </w:rPr>
              <w:t>2022</w:t>
            </w:r>
            <w:r>
              <w:rPr>
                <w:spacing w:val="-36"/>
                <w:sz w:val="21"/>
              </w:rPr>
              <w:t> 年 </w:t>
            </w:r>
            <w:r>
              <w:rPr>
                <w:sz w:val="21"/>
              </w:rPr>
              <w:t>8</w:t>
            </w:r>
            <w:r>
              <w:rPr>
                <w:spacing w:val="-37"/>
                <w:sz w:val="21"/>
              </w:rPr>
              <w:t> 月 </w:t>
            </w:r>
            <w:r>
              <w:rPr>
                <w:sz w:val="21"/>
              </w:rPr>
              <w:t>15</w:t>
            </w:r>
            <w:r>
              <w:rPr>
                <w:spacing w:val="-8"/>
                <w:sz w:val="21"/>
              </w:rPr>
              <w:t> 日偿还完成)。</w:t>
            </w:r>
            <w:r>
              <w:rPr>
                <w:sz w:val="21"/>
              </w:rPr>
              <w:t> </w:t>
            </w:r>
          </w:p>
        </w:tc>
      </w:tr>
      <w:tr>
        <w:trPr>
          <w:trHeight w:val="385" w:hRule="atLeast"/>
        </w:trPr>
        <w:tc>
          <w:tcPr>
            <w:tcW w:w="9142" w:type="dxa"/>
          </w:tcPr>
          <w:p>
            <w:pPr>
              <w:pStyle w:val="TableParagraph"/>
              <w:spacing w:line="220" w:lineRule="exact" w:before="145"/>
              <w:ind w:left="200"/>
              <w:rPr>
                <w:sz w:val="21"/>
              </w:rPr>
            </w:pPr>
            <w:r>
              <w:rPr>
                <w:spacing w:val="-27"/>
                <w:sz w:val="21"/>
              </w:rPr>
              <w:t>于 </w:t>
            </w:r>
            <w:r>
              <w:rPr>
                <w:spacing w:val="-1"/>
                <w:sz w:val="21"/>
              </w:rPr>
              <w:t>2022</w:t>
            </w:r>
            <w:r>
              <w:rPr>
                <w:spacing w:val="-37"/>
                <w:sz w:val="21"/>
              </w:rPr>
              <w:t> 年 </w:t>
            </w:r>
            <w:r>
              <w:rPr>
                <w:sz w:val="21"/>
              </w:rPr>
              <w:t>12</w:t>
            </w:r>
            <w:r>
              <w:rPr>
                <w:spacing w:val="-36"/>
                <w:sz w:val="21"/>
              </w:rPr>
              <w:t> 月 </w:t>
            </w:r>
            <w:r>
              <w:rPr>
                <w:sz w:val="21"/>
              </w:rPr>
              <w:t>31</w:t>
            </w:r>
            <w:r>
              <w:rPr>
                <w:spacing w:val="-12"/>
                <w:sz w:val="21"/>
              </w:rPr>
              <w:t> 日，长期借款的利率为 </w:t>
            </w:r>
            <w:r>
              <w:rPr>
                <w:sz w:val="21"/>
              </w:rPr>
              <w:t>5.55%(2021</w:t>
            </w:r>
            <w:r>
              <w:rPr>
                <w:spacing w:val="-36"/>
                <w:sz w:val="21"/>
              </w:rPr>
              <w:t> 年 </w:t>
            </w:r>
            <w:r>
              <w:rPr>
                <w:sz w:val="21"/>
              </w:rPr>
              <w:t>12</w:t>
            </w:r>
            <w:r>
              <w:rPr>
                <w:spacing w:val="-37"/>
                <w:sz w:val="21"/>
              </w:rPr>
              <w:t> 月 </w:t>
            </w:r>
            <w:r>
              <w:rPr>
                <w:sz w:val="21"/>
              </w:rPr>
              <w:t>31</w:t>
            </w:r>
            <w:r>
              <w:rPr>
                <w:spacing w:val="-19"/>
                <w:sz w:val="21"/>
              </w:rPr>
              <w:t> 日：</w:t>
            </w:r>
            <w:r>
              <w:rPr>
                <w:sz w:val="21"/>
              </w:rPr>
              <w:t>1.32</w:t>
            </w:r>
            <w:r>
              <w:rPr>
                <w:spacing w:val="-18"/>
                <w:sz w:val="21"/>
              </w:rPr>
              <w:t>%至 </w:t>
            </w:r>
            <w:r>
              <w:rPr>
                <w:sz w:val="21"/>
              </w:rPr>
              <w:t>3.47%)。 </w:t>
            </w:r>
          </w:p>
        </w:tc>
      </w:tr>
    </w:tbl>
    <w:p>
      <w:pPr>
        <w:pStyle w:val="BodyText"/>
        <w:spacing w:before="2"/>
        <w:ind w:left="0"/>
      </w:pPr>
    </w:p>
    <w:p>
      <w:pPr>
        <w:pStyle w:val="BodyText"/>
      </w:pPr>
      <w:r>
        <w:rPr>
          <w:w w:val="100"/>
        </w:rPr>
        <w:t> </w:t>
      </w:r>
    </w:p>
    <w:p>
      <w:pPr>
        <w:pStyle w:val="BodyText"/>
        <w:spacing w:line="295" w:lineRule="auto" w:before="62"/>
        <w:ind w:right="8654"/>
      </w:pPr>
      <w:r>
        <w:rPr/>
        <w:t>46</w:t>
      </w:r>
      <w:r>
        <w:rPr>
          <w:spacing w:val="-5"/>
        </w:rPr>
        <w:t>、 应付债券</w:t>
      </w:r>
      <w:r>
        <w:rPr/>
        <w:t>(1).应付债券 </w:t>
      </w:r>
    </w:p>
    <w:p>
      <w:pPr>
        <w:pStyle w:val="BodyText"/>
        <w:spacing w:before="3"/>
      </w:pPr>
      <w:r>
        <w:rPr>
          <w:spacing w:val="-1"/>
        </w:rPr>
        <w:t>□适用 √不适用</w:t>
      </w:r>
      <w:r>
        <w:rPr>
          <w:spacing w:val="-3"/>
        </w:rPr>
        <w:t> </w:t>
      </w:r>
      <w:r>
        <w:rPr/>
        <w:t> </w:t>
      </w:r>
    </w:p>
    <w:p>
      <w:pPr>
        <w:pStyle w:val="ListParagraph"/>
        <w:numPr>
          <w:ilvl w:val="0"/>
          <w:numId w:val="75"/>
        </w:numPr>
        <w:tabs>
          <w:tab w:pos="746" w:val="left" w:leader="none"/>
        </w:tabs>
        <w:spacing w:line="240" w:lineRule="auto" w:before="62" w:after="0"/>
        <w:ind w:left="745" w:right="0" w:hanging="428"/>
        <w:jc w:val="left"/>
        <w:rPr>
          <w:sz w:val="21"/>
        </w:rPr>
      </w:pPr>
      <w:r>
        <w:rPr>
          <w:spacing w:val="-11"/>
          <w:w w:val="100"/>
          <w:sz w:val="21"/>
        </w:rPr>
        <w:t>应付债券的增减变动：</w:t>
      </w:r>
      <w:r>
        <w:rPr>
          <w:w w:val="100"/>
          <w:sz w:val="21"/>
        </w:rPr>
        <w:t>（</w:t>
      </w:r>
      <w:r>
        <w:rPr>
          <w:spacing w:val="-3"/>
          <w:w w:val="100"/>
          <w:sz w:val="21"/>
        </w:rPr>
        <w:t>不包括划分为金融负债的优先股、永续债等其他金融工具</w:t>
      </w:r>
      <w:r>
        <w:rPr>
          <w:w w:val="100"/>
          <w:sz w:val="21"/>
        </w:rPr>
        <w:t>） </w:t>
      </w:r>
    </w:p>
    <w:p>
      <w:pPr>
        <w:pStyle w:val="BodyText"/>
        <w:spacing w:before="65"/>
      </w:pPr>
      <w:r>
        <w:rPr>
          <w:spacing w:val="-1"/>
        </w:rPr>
        <w:t>□适用 √不适用</w:t>
      </w:r>
      <w:bookmarkStart w:name="OLE_LINK18" w:id="15"/>
      <w:bookmarkEnd w:id="15"/>
      <w:r>
        <w:rPr>
          <w:spacing w:val="-1"/>
        </w:rPr>
      </w:r>
      <w:bookmarkStart w:name="OLE_LINK16" w:id="16"/>
      <w:bookmarkEnd w:id="16"/>
      <w:r>
        <w:rPr>
          <w:spacing w:val="-3"/>
        </w:rPr>
        <w:t> </w:t>
      </w:r>
      <w:r>
        <w:rPr/>
        <w:t> </w:t>
      </w:r>
    </w:p>
    <w:p>
      <w:pPr>
        <w:pStyle w:val="ListParagraph"/>
        <w:numPr>
          <w:ilvl w:val="0"/>
          <w:numId w:val="75"/>
        </w:numPr>
        <w:tabs>
          <w:tab w:pos="746" w:val="left" w:leader="none"/>
        </w:tabs>
        <w:spacing w:line="240" w:lineRule="auto" w:before="62" w:after="0"/>
        <w:ind w:left="745" w:right="0" w:hanging="428"/>
        <w:jc w:val="left"/>
        <w:rPr>
          <w:sz w:val="21"/>
        </w:rPr>
      </w:pPr>
      <w:r>
        <w:rPr>
          <w:sz w:val="21"/>
        </w:rPr>
        <w:t>可转换公司债券的转股条件、转股时间说明 </w:t>
      </w:r>
    </w:p>
    <w:p>
      <w:pPr>
        <w:pStyle w:val="BodyText"/>
        <w:spacing w:before="65"/>
      </w:pPr>
      <w:r>
        <w:rPr>
          <w:spacing w:val="11"/>
        </w:rPr>
        <w:t>□适用 √不适用</w:t>
      </w:r>
      <w:r>
        <w:rPr>
          <w:spacing w:val="-3"/>
        </w:rPr>
        <w:t> </w:t>
      </w:r>
      <w:r>
        <w:rPr/>
        <w:t> </w:t>
      </w:r>
    </w:p>
    <w:p>
      <w:pPr>
        <w:pStyle w:val="BodyText"/>
        <w:spacing w:before="62"/>
      </w:pPr>
      <w:r>
        <w:rPr>
          <w:w w:val="100"/>
        </w:rPr>
        <w:t> </w:t>
      </w:r>
    </w:p>
    <w:p>
      <w:pPr>
        <w:pStyle w:val="ListParagraph"/>
        <w:numPr>
          <w:ilvl w:val="0"/>
          <w:numId w:val="75"/>
        </w:numPr>
        <w:tabs>
          <w:tab w:pos="746" w:val="left" w:leader="none"/>
        </w:tabs>
        <w:spacing w:line="240" w:lineRule="auto" w:before="65" w:after="0"/>
        <w:ind w:left="745" w:right="0" w:hanging="428"/>
        <w:jc w:val="left"/>
        <w:rPr>
          <w:sz w:val="21"/>
        </w:rPr>
      </w:pPr>
      <w:r>
        <w:rPr>
          <w:sz w:val="21"/>
        </w:rPr>
        <w:t>划分为金融负债的其他金融工具说明 </w:t>
      </w:r>
    </w:p>
    <w:p>
      <w:pPr>
        <w:pStyle w:val="BodyText"/>
        <w:spacing w:before="62"/>
      </w:pPr>
      <w:r>
        <w:rPr>
          <w:spacing w:val="-1"/>
        </w:rPr>
        <w:t>期末发行在外的优先股、永续债等其他金融工具基本情况</w:t>
      </w:r>
      <w:r>
        <w:rPr/>
        <w:t> </w:t>
      </w:r>
    </w:p>
    <w:p>
      <w:pPr>
        <w:pStyle w:val="BodyText"/>
        <w:spacing w:before="4"/>
      </w:pPr>
      <w:r>
        <w:rPr>
          <w:spacing w:val="-1"/>
        </w:rPr>
        <w:t>□适用 √不适用</w:t>
      </w:r>
      <w:r>
        <w:rPr>
          <w:spacing w:val="-3"/>
        </w:rPr>
        <w:t> </w:t>
      </w:r>
      <w:r>
        <w:rPr/>
        <w:t> </w:t>
      </w:r>
    </w:p>
    <w:p>
      <w:pPr>
        <w:pStyle w:val="BodyText"/>
        <w:spacing w:before="2"/>
      </w:pPr>
      <w:r>
        <w:rPr>
          <w:w w:val="100"/>
        </w:rPr>
        <w:t> </w:t>
      </w:r>
    </w:p>
    <w:p>
      <w:pPr>
        <w:pStyle w:val="BodyText"/>
        <w:spacing w:before="5"/>
      </w:pPr>
      <w:r>
        <w:rPr>
          <w:spacing w:val="-1"/>
        </w:rPr>
        <w:t>期末发行在外的优先股、永续债等金融工具变动情况表</w:t>
      </w:r>
      <w:r>
        <w:rPr/>
        <w:t> </w:t>
      </w:r>
    </w:p>
    <w:p>
      <w:pPr>
        <w:pStyle w:val="BodyText"/>
        <w:spacing w:before="2"/>
      </w:pPr>
      <w:r>
        <w:rPr>
          <w:spacing w:val="-1"/>
        </w:rPr>
        <w:t>□适用 √不适用</w:t>
      </w:r>
      <w:r>
        <w:rPr>
          <w:spacing w:val="-3"/>
        </w:rPr>
        <w:t> </w:t>
      </w:r>
      <w:r>
        <w:rPr/>
        <w:t> </w:t>
      </w:r>
    </w:p>
    <w:p>
      <w:pPr>
        <w:pStyle w:val="BodyText"/>
        <w:spacing w:before="65"/>
      </w:pPr>
      <w:r>
        <w:rPr>
          <w:spacing w:val="-1"/>
        </w:rPr>
        <w:t>其他金融工具划分为金融负债的依据说明：</w:t>
      </w:r>
      <w:r>
        <w:rPr/>
        <w:t> </w:t>
      </w:r>
    </w:p>
    <w:p>
      <w:pPr>
        <w:pStyle w:val="BodyText"/>
        <w:spacing w:before="62"/>
      </w:pPr>
      <w:r>
        <w:rPr>
          <w:spacing w:val="-1"/>
        </w:rPr>
        <w:t>□适用 √不适用</w:t>
      </w:r>
      <w:r>
        <w:rPr>
          <w:spacing w:val="-3"/>
        </w:rPr>
        <w:t> </w:t>
      </w:r>
      <w:r>
        <w:rPr/>
        <w:t> </w:t>
      </w:r>
    </w:p>
    <w:p>
      <w:pPr>
        <w:pStyle w:val="BodyText"/>
        <w:spacing w:before="64"/>
      </w:pPr>
      <w:r>
        <w:rPr>
          <w:w w:val="100"/>
        </w:rPr>
        <w:t> </w:t>
      </w:r>
    </w:p>
    <w:p>
      <w:pPr>
        <w:pStyle w:val="BodyText"/>
        <w:spacing w:before="63"/>
      </w:pPr>
      <w:r>
        <w:rPr/>
        <w:t>其他说明： </w:t>
      </w:r>
    </w:p>
    <w:p>
      <w:pPr>
        <w:pStyle w:val="BodyText"/>
        <w:spacing w:before="65"/>
      </w:pPr>
      <w:r>
        <w:rPr>
          <w:spacing w:val="-1"/>
        </w:rPr>
        <w:t>□适用 √不适用</w:t>
      </w:r>
      <w:r>
        <w:rPr>
          <w:spacing w:val="-3"/>
        </w:rPr>
        <w:t> </w:t>
      </w:r>
      <w:r>
        <w:rPr/>
        <w:t> </w:t>
      </w:r>
    </w:p>
    <w:p>
      <w:pPr>
        <w:pStyle w:val="BodyText"/>
        <w:spacing w:before="62"/>
      </w:pPr>
      <w:r>
        <w:rPr>
          <w:w w:val="100"/>
        </w:rPr>
        <w:t> </w:t>
      </w:r>
    </w:p>
    <w:p>
      <w:pPr>
        <w:pStyle w:val="BodyText"/>
        <w:spacing w:before="64"/>
      </w:pPr>
      <w:r>
        <w:rPr/>
        <w:t>47</w:t>
      </w:r>
      <w:r>
        <w:rPr>
          <w:spacing w:val="-5"/>
        </w:rPr>
        <w:t>、 租赁负债</w:t>
      </w:r>
    </w:p>
    <w:p>
      <w:pPr>
        <w:pStyle w:val="BodyText"/>
        <w:spacing w:before="62"/>
      </w:pPr>
      <w:r>
        <w:rPr>
          <w:spacing w:val="-1"/>
        </w:rPr>
        <w:t>√适用 □不适用</w:t>
      </w:r>
      <w:r>
        <w:rPr>
          <w:spacing w:val="-3"/>
        </w:rPr>
        <w:t> </w:t>
      </w:r>
      <w:r>
        <w:rPr/>
        <w:t> </w:t>
      </w:r>
    </w:p>
    <w:p>
      <w:pPr>
        <w:pStyle w:val="BodyText"/>
        <w:spacing w:before="3" w:after="3"/>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25"/>
        <w:gridCol w:w="2849"/>
        <w:gridCol w:w="2849"/>
      </w:tblGrid>
      <w:tr>
        <w:trPr>
          <w:trHeight w:val="306" w:hRule="atLeast"/>
        </w:trPr>
        <w:tc>
          <w:tcPr>
            <w:tcW w:w="3125" w:type="dxa"/>
          </w:tcPr>
          <w:p>
            <w:pPr>
              <w:pStyle w:val="TableParagraph"/>
              <w:spacing w:before="17"/>
              <w:ind w:left="1383" w:right="1271"/>
              <w:jc w:val="center"/>
              <w:rPr>
                <w:sz w:val="21"/>
              </w:rPr>
            </w:pPr>
            <w:r>
              <w:rPr>
                <w:sz w:val="21"/>
              </w:rPr>
              <w:t>项目 </w:t>
            </w:r>
          </w:p>
        </w:tc>
        <w:tc>
          <w:tcPr>
            <w:tcW w:w="2849" w:type="dxa"/>
          </w:tcPr>
          <w:p>
            <w:pPr>
              <w:pStyle w:val="TableParagraph"/>
              <w:spacing w:before="17"/>
              <w:ind w:left="1003"/>
              <w:rPr>
                <w:sz w:val="21"/>
              </w:rPr>
            </w:pPr>
            <w:r>
              <w:rPr>
                <w:spacing w:val="-1"/>
                <w:sz w:val="21"/>
              </w:rPr>
              <w:t>期末余额</w:t>
            </w:r>
            <w:r>
              <w:rPr>
                <w:sz w:val="21"/>
              </w:rPr>
              <w:t> </w:t>
            </w:r>
          </w:p>
        </w:tc>
        <w:tc>
          <w:tcPr>
            <w:tcW w:w="2849" w:type="dxa"/>
          </w:tcPr>
          <w:p>
            <w:pPr>
              <w:pStyle w:val="TableParagraph"/>
              <w:spacing w:before="17"/>
              <w:ind w:left="1003"/>
              <w:rPr>
                <w:sz w:val="21"/>
              </w:rPr>
            </w:pPr>
            <w:r>
              <w:rPr>
                <w:spacing w:val="-1"/>
                <w:sz w:val="21"/>
              </w:rPr>
              <w:t>期初余额</w:t>
            </w:r>
            <w:r>
              <w:rPr>
                <w:sz w:val="21"/>
              </w:rPr>
              <w:t> </w:t>
            </w:r>
          </w:p>
        </w:tc>
      </w:tr>
      <w:tr>
        <w:trPr>
          <w:trHeight w:val="273" w:hRule="atLeast"/>
        </w:trPr>
        <w:tc>
          <w:tcPr>
            <w:tcW w:w="3125" w:type="dxa"/>
          </w:tcPr>
          <w:p>
            <w:pPr>
              <w:pStyle w:val="TableParagraph"/>
              <w:spacing w:line="252" w:lineRule="exact" w:before="1"/>
              <w:ind w:left="107"/>
              <w:rPr>
                <w:sz w:val="21"/>
              </w:rPr>
            </w:pPr>
            <w:r>
              <w:rPr>
                <w:spacing w:val="-1"/>
                <w:sz w:val="21"/>
              </w:rPr>
              <w:t>租赁负债</w:t>
            </w:r>
            <w:r>
              <w:rPr>
                <w:sz w:val="21"/>
              </w:rPr>
              <w:t> </w:t>
            </w:r>
          </w:p>
        </w:tc>
        <w:tc>
          <w:tcPr>
            <w:tcW w:w="2849" w:type="dxa"/>
          </w:tcPr>
          <w:p>
            <w:pPr>
              <w:pStyle w:val="TableParagraph"/>
              <w:spacing w:line="235" w:lineRule="exact"/>
              <w:ind w:right="93"/>
              <w:jc w:val="right"/>
              <w:rPr>
                <w:rFonts w:ascii="Times New Roman"/>
                <w:sz w:val="21"/>
              </w:rPr>
            </w:pPr>
            <w:r>
              <w:rPr>
                <w:rFonts w:ascii="Times New Roman"/>
                <w:sz w:val="21"/>
              </w:rPr>
              <w:t>2,155,008</w:t>
            </w:r>
          </w:p>
        </w:tc>
        <w:tc>
          <w:tcPr>
            <w:tcW w:w="2849" w:type="dxa"/>
          </w:tcPr>
          <w:p>
            <w:pPr>
              <w:pStyle w:val="TableParagraph"/>
              <w:spacing w:line="235" w:lineRule="exact"/>
              <w:ind w:right="92"/>
              <w:jc w:val="right"/>
              <w:rPr>
                <w:rFonts w:ascii="Times New Roman"/>
                <w:sz w:val="21"/>
              </w:rPr>
            </w:pPr>
            <w:r>
              <w:rPr>
                <w:rFonts w:ascii="Times New Roman"/>
                <w:sz w:val="21"/>
              </w:rPr>
              <w:t>2,239,005</w:t>
            </w:r>
          </w:p>
        </w:tc>
      </w:tr>
      <w:tr>
        <w:trPr>
          <w:trHeight w:val="273" w:hRule="atLeast"/>
        </w:trPr>
        <w:tc>
          <w:tcPr>
            <w:tcW w:w="3125" w:type="dxa"/>
          </w:tcPr>
          <w:p>
            <w:pPr>
              <w:pStyle w:val="TableParagraph"/>
              <w:spacing w:line="252" w:lineRule="exact" w:before="1"/>
              <w:ind w:left="107"/>
              <w:rPr>
                <w:sz w:val="21"/>
              </w:rPr>
            </w:pPr>
            <w:r>
              <w:rPr>
                <w:spacing w:val="-1"/>
                <w:sz w:val="21"/>
              </w:rPr>
              <w:t>减：一年内到期的非流动负债</w:t>
            </w:r>
            <w:r>
              <w:rPr>
                <w:sz w:val="21"/>
              </w:rPr>
              <w:t> </w:t>
            </w:r>
          </w:p>
        </w:tc>
        <w:tc>
          <w:tcPr>
            <w:tcW w:w="2849" w:type="dxa"/>
          </w:tcPr>
          <w:p>
            <w:pPr>
              <w:pStyle w:val="TableParagraph"/>
              <w:spacing w:line="235" w:lineRule="exact"/>
              <w:ind w:right="93"/>
              <w:jc w:val="right"/>
              <w:rPr>
                <w:rFonts w:ascii="Times New Roman"/>
                <w:sz w:val="21"/>
              </w:rPr>
            </w:pPr>
            <w:r>
              <w:rPr>
                <w:rFonts w:ascii="Times New Roman"/>
                <w:sz w:val="21"/>
              </w:rPr>
              <w:t>-1,085,785</w:t>
            </w:r>
          </w:p>
        </w:tc>
        <w:tc>
          <w:tcPr>
            <w:tcW w:w="2849" w:type="dxa"/>
          </w:tcPr>
          <w:p>
            <w:pPr>
              <w:pStyle w:val="TableParagraph"/>
              <w:spacing w:line="235" w:lineRule="exact"/>
              <w:ind w:right="92"/>
              <w:jc w:val="right"/>
              <w:rPr>
                <w:rFonts w:ascii="Times New Roman"/>
                <w:sz w:val="21"/>
              </w:rPr>
            </w:pPr>
            <w:r>
              <w:rPr>
                <w:rFonts w:ascii="Times New Roman"/>
                <w:sz w:val="21"/>
              </w:rPr>
              <w:t>-1,051,859</w:t>
            </w:r>
          </w:p>
        </w:tc>
      </w:tr>
    </w:tbl>
    <w:p>
      <w:pPr>
        <w:spacing w:after="0" w:line="235" w:lineRule="exact"/>
        <w:jc w:val="right"/>
        <w:rPr>
          <w:rFonts w:ascii="Times New Roman"/>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25"/>
        <w:gridCol w:w="2849"/>
        <w:gridCol w:w="2849"/>
      </w:tblGrid>
      <w:tr>
        <w:trPr>
          <w:trHeight w:val="273" w:hRule="atLeast"/>
        </w:trPr>
        <w:tc>
          <w:tcPr>
            <w:tcW w:w="3125" w:type="dxa"/>
          </w:tcPr>
          <w:p>
            <w:pPr>
              <w:pStyle w:val="TableParagraph"/>
              <w:spacing w:line="250" w:lineRule="exact" w:before="3"/>
              <w:ind w:left="1383" w:right="1271"/>
              <w:jc w:val="center"/>
              <w:rPr>
                <w:sz w:val="21"/>
              </w:rPr>
            </w:pPr>
            <w:r>
              <w:rPr>
                <w:sz w:val="21"/>
              </w:rPr>
              <w:t>合计 </w:t>
            </w:r>
          </w:p>
        </w:tc>
        <w:tc>
          <w:tcPr>
            <w:tcW w:w="2849" w:type="dxa"/>
          </w:tcPr>
          <w:p>
            <w:pPr>
              <w:pStyle w:val="TableParagraph"/>
              <w:spacing w:before="10"/>
              <w:ind w:right="93"/>
              <w:jc w:val="right"/>
              <w:rPr>
                <w:rFonts w:ascii="Times New Roman"/>
                <w:sz w:val="21"/>
              </w:rPr>
            </w:pPr>
            <w:r>
              <w:rPr>
                <w:rFonts w:ascii="Times New Roman"/>
                <w:sz w:val="21"/>
              </w:rPr>
              <w:t>1,069,223</w:t>
            </w:r>
          </w:p>
        </w:tc>
        <w:tc>
          <w:tcPr>
            <w:tcW w:w="2849" w:type="dxa"/>
          </w:tcPr>
          <w:p>
            <w:pPr>
              <w:pStyle w:val="TableParagraph"/>
              <w:spacing w:before="10"/>
              <w:ind w:right="92"/>
              <w:jc w:val="right"/>
              <w:rPr>
                <w:rFonts w:ascii="Times New Roman"/>
                <w:sz w:val="21"/>
              </w:rPr>
            </w:pPr>
            <w:r>
              <w:rPr>
                <w:rFonts w:ascii="Times New Roman"/>
                <w:sz w:val="21"/>
              </w:rPr>
              <w:t>1,187,146</w:t>
            </w:r>
          </w:p>
        </w:tc>
      </w:tr>
    </w:tbl>
    <w:p>
      <w:pPr>
        <w:pStyle w:val="BodyText"/>
        <w:spacing w:before="1"/>
      </w:pPr>
      <w:r>
        <w:rPr>
          <w:w w:val="100"/>
        </w:rPr>
        <w:t> </w:t>
      </w:r>
    </w:p>
    <w:p>
      <w:pPr>
        <w:pStyle w:val="BodyText"/>
        <w:spacing w:before="64"/>
      </w:pPr>
      <w:r>
        <w:rPr/>
        <w:t>其他说明： </w:t>
      </w:r>
    </w:p>
    <w:p>
      <w:pPr>
        <w:pStyle w:val="BodyText"/>
        <w:spacing w:before="63" w:after="45"/>
      </w:pPr>
      <w:r>
        <w:rPr>
          <w:w w:val="100"/>
        </w:rPr>
        <w:t> </w:t>
      </w:r>
    </w:p>
    <w:tbl>
      <w:tblPr>
        <w:tblW w:w="0" w:type="auto"/>
        <w:jc w:val="left"/>
        <w:tblInd w:w="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2"/>
        <w:gridCol w:w="8366"/>
      </w:tblGrid>
      <w:tr>
        <w:trPr>
          <w:trHeight w:val="524" w:hRule="atLeast"/>
        </w:trPr>
        <w:tc>
          <w:tcPr>
            <w:tcW w:w="802" w:type="dxa"/>
          </w:tcPr>
          <w:p>
            <w:pPr>
              <w:pStyle w:val="TableParagraph"/>
              <w:spacing w:line="241" w:lineRule="exact"/>
              <w:ind w:left="200"/>
              <w:rPr>
                <w:sz w:val="21"/>
              </w:rPr>
            </w:pPr>
            <w:r>
              <w:rPr>
                <w:sz w:val="21"/>
              </w:rPr>
              <w:t>(a) </w:t>
            </w:r>
          </w:p>
          <w:p>
            <w:pPr>
              <w:pStyle w:val="TableParagraph"/>
              <w:spacing w:line="254" w:lineRule="exact" w:before="9"/>
              <w:ind w:left="200"/>
              <w:rPr>
                <w:sz w:val="21"/>
              </w:rPr>
            </w:pPr>
            <w:r>
              <w:rPr>
                <w:w w:val="100"/>
                <w:sz w:val="21"/>
              </w:rPr>
              <w:t> </w:t>
            </w:r>
          </w:p>
        </w:tc>
        <w:tc>
          <w:tcPr>
            <w:tcW w:w="8366" w:type="dxa"/>
          </w:tcPr>
          <w:p>
            <w:pPr>
              <w:pStyle w:val="TableParagraph"/>
              <w:spacing w:line="241" w:lineRule="exact"/>
              <w:ind w:left="182"/>
              <w:rPr>
                <w:sz w:val="21"/>
              </w:rPr>
            </w:pPr>
            <w:r>
              <w:rPr>
                <w:spacing w:val="-18"/>
                <w:sz w:val="21"/>
              </w:rPr>
              <w:t>于 </w:t>
            </w:r>
            <w:r>
              <w:rPr>
                <w:sz w:val="21"/>
              </w:rPr>
              <w:t>2022</w:t>
            </w:r>
            <w:r>
              <w:rPr>
                <w:spacing w:val="-25"/>
                <w:sz w:val="21"/>
              </w:rPr>
              <w:t> 年 </w:t>
            </w:r>
            <w:r>
              <w:rPr>
                <w:sz w:val="21"/>
              </w:rPr>
              <w:t>12</w:t>
            </w:r>
            <w:r>
              <w:rPr>
                <w:spacing w:val="-25"/>
                <w:sz w:val="21"/>
              </w:rPr>
              <w:t> 月 </w:t>
            </w:r>
            <w:r>
              <w:rPr>
                <w:sz w:val="21"/>
              </w:rPr>
              <w:t>31</w:t>
            </w:r>
            <w:r>
              <w:rPr>
                <w:spacing w:val="-6"/>
                <w:sz w:val="21"/>
              </w:rPr>
              <w:t> 日，本集团未纳入租赁负债，但将导致未来潜在现金流出的事项包</w:t>
            </w:r>
          </w:p>
          <w:p>
            <w:pPr>
              <w:pStyle w:val="TableParagraph"/>
              <w:spacing w:line="254" w:lineRule="exact" w:before="9"/>
              <w:ind w:left="182"/>
              <w:rPr>
                <w:sz w:val="21"/>
              </w:rPr>
            </w:pPr>
            <w:r>
              <w:rPr>
                <w:sz w:val="21"/>
              </w:rPr>
              <w:t>括： </w:t>
            </w:r>
          </w:p>
        </w:tc>
      </w:tr>
      <w:tr>
        <w:trPr>
          <w:trHeight w:val="274" w:hRule="atLeast"/>
        </w:trPr>
        <w:tc>
          <w:tcPr>
            <w:tcW w:w="802" w:type="dxa"/>
          </w:tcPr>
          <w:p>
            <w:pPr>
              <w:pStyle w:val="TableParagraph"/>
              <w:spacing w:line="249" w:lineRule="exact" w:before="6"/>
              <w:ind w:left="200"/>
              <w:rPr>
                <w:sz w:val="21"/>
              </w:rPr>
            </w:pPr>
            <w:r>
              <w:rPr>
                <w:w w:val="100"/>
                <w:sz w:val="21"/>
              </w:rPr>
              <w:t> </w:t>
            </w:r>
          </w:p>
        </w:tc>
        <w:tc>
          <w:tcPr>
            <w:tcW w:w="8366" w:type="dxa"/>
          </w:tcPr>
          <w:p>
            <w:pPr>
              <w:pStyle w:val="TableParagraph"/>
              <w:spacing w:line="249" w:lineRule="exact" w:before="6"/>
              <w:ind w:left="182"/>
              <w:rPr>
                <w:sz w:val="21"/>
              </w:rPr>
            </w:pPr>
            <w:r>
              <w:rPr>
                <w:w w:val="100"/>
                <w:sz w:val="21"/>
              </w:rPr>
              <w:t> </w:t>
            </w:r>
          </w:p>
        </w:tc>
      </w:tr>
      <w:tr>
        <w:trPr>
          <w:trHeight w:val="811" w:hRule="atLeast"/>
        </w:trPr>
        <w:tc>
          <w:tcPr>
            <w:tcW w:w="802" w:type="dxa"/>
          </w:tcPr>
          <w:p>
            <w:pPr>
              <w:pStyle w:val="TableParagraph"/>
              <w:ind w:left="200"/>
              <w:rPr>
                <w:sz w:val="21"/>
              </w:rPr>
            </w:pPr>
            <w:r>
              <w:rPr>
                <w:sz w:val="21"/>
              </w:rPr>
              <w:t>(i) </w:t>
            </w:r>
          </w:p>
          <w:p>
            <w:pPr>
              <w:pStyle w:val="TableParagraph"/>
              <w:spacing w:before="14"/>
              <w:ind w:left="200"/>
              <w:rPr>
                <w:sz w:val="21"/>
              </w:rPr>
            </w:pPr>
            <w:r>
              <w:rPr>
                <w:w w:val="100"/>
                <w:sz w:val="21"/>
              </w:rPr>
              <w:t> </w:t>
            </w:r>
          </w:p>
        </w:tc>
        <w:tc>
          <w:tcPr>
            <w:tcW w:w="8366" w:type="dxa"/>
          </w:tcPr>
          <w:p>
            <w:pPr>
              <w:pStyle w:val="TableParagraph"/>
              <w:spacing w:before="12"/>
              <w:ind w:left="182"/>
              <w:rPr>
                <w:sz w:val="21"/>
              </w:rPr>
            </w:pPr>
            <w:r>
              <w:rPr>
                <w:spacing w:val="-21"/>
                <w:sz w:val="21"/>
              </w:rPr>
              <w:t>于 </w:t>
            </w:r>
            <w:r>
              <w:rPr>
                <w:sz w:val="21"/>
              </w:rPr>
              <w:t>2022</w:t>
            </w:r>
            <w:r>
              <w:rPr>
                <w:spacing w:val="-28"/>
                <w:sz w:val="21"/>
              </w:rPr>
              <w:t> 年 </w:t>
            </w:r>
            <w:r>
              <w:rPr>
                <w:sz w:val="21"/>
              </w:rPr>
              <w:t>12</w:t>
            </w:r>
            <w:r>
              <w:rPr>
                <w:spacing w:val="-28"/>
                <w:sz w:val="21"/>
              </w:rPr>
              <w:t> 月 </w:t>
            </w:r>
            <w:r>
              <w:rPr>
                <w:sz w:val="21"/>
              </w:rPr>
              <w:t>31</w:t>
            </w:r>
            <w:r>
              <w:rPr>
                <w:spacing w:val="-7"/>
                <w:sz w:val="21"/>
              </w:rPr>
              <w:t> 日，本集团按新租赁准则进行简化处理的短期租赁和低价值资产租</w:t>
            </w:r>
          </w:p>
          <w:p>
            <w:pPr>
              <w:pStyle w:val="TableParagraph"/>
              <w:spacing w:before="9"/>
              <w:ind w:left="182"/>
              <w:rPr>
                <w:sz w:val="21"/>
              </w:rPr>
            </w:pPr>
            <w:r>
              <w:rPr>
                <w:spacing w:val="-4"/>
                <w:sz w:val="21"/>
              </w:rPr>
              <w:t>赁合同的未来最低应支付租金分别为 </w:t>
            </w:r>
            <w:r>
              <w:rPr>
                <w:sz w:val="21"/>
              </w:rPr>
              <w:t>5,455</w:t>
            </w:r>
            <w:r>
              <w:rPr>
                <w:spacing w:val="-26"/>
                <w:sz w:val="21"/>
              </w:rPr>
              <w:t> 千元和 </w:t>
            </w:r>
            <w:r>
              <w:rPr>
                <w:sz w:val="21"/>
              </w:rPr>
              <w:t>719</w:t>
            </w:r>
            <w:r>
              <w:rPr>
                <w:spacing w:val="-21"/>
                <w:sz w:val="21"/>
              </w:rPr>
              <w:t> 千元</w:t>
            </w:r>
            <w:r>
              <w:rPr>
                <w:sz w:val="21"/>
              </w:rPr>
              <w:t>(2021</w:t>
            </w:r>
            <w:r>
              <w:rPr>
                <w:spacing w:val="-42"/>
                <w:sz w:val="21"/>
              </w:rPr>
              <w:t> 年 </w:t>
            </w:r>
            <w:r>
              <w:rPr>
                <w:sz w:val="21"/>
              </w:rPr>
              <w:t>12</w:t>
            </w:r>
            <w:r>
              <w:rPr>
                <w:spacing w:val="-41"/>
                <w:sz w:val="21"/>
              </w:rPr>
              <w:t> 月 </w:t>
            </w:r>
            <w:r>
              <w:rPr>
                <w:sz w:val="21"/>
              </w:rPr>
              <w:t>31</w:t>
            </w:r>
            <w:r>
              <w:rPr>
                <w:spacing w:val="-33"/>
                <w:sz w:val="21"/>
              </w:rPr>
              <w:t> 日</w:t>
            </w:r>
            <w:r>
              <w:rPr>
                <w:sz w:val="21"/>
              </w:rPr>
              <w:t>：4,094</w:t>
            </w:r>
          </w:p>
          <w:p>
            <w:pPr>
              <w:pStyle w:val="TableParagraph"/>
              <w:spacing w:line="220" w:lineRule="exact" w:before="12"/>
              <w:ind w:left="182"/>
              <w:rPr>
                <w:sz w:val="21"/>
              </w:rPr>
            </w:pPr>
            <w:r>
              <w:rPr>
                <w:spacing w:val="-14"/>
                <w:sz w:val="21"/>
              </w:rPr>
              <w:t>千元和 </w:t>
            </w:r>
            <w:r>
              <w:rPr>
                <w:sz w:val="21"/>
              </w:rPr>
              <w:t>355</w:t>
            </w:r>
            <w:r>
              <w:rPr>
                <w:spacing w:val="-8"/>
                <w:sz w:val="21"/>
              </w:rPr>
              <w:t> 千元)，均为一年内支付。</w:t>
            </w:r>
            <w:r>
              <w:rPr>
                <w:sz w:val="21"/>
              </w:rPr>
              <w:t> </w:t>
            </w:r>
          </w:p>
        </w:tc>
      </w:tr>
    </w:tbl>
    <w:p>
      <w:pPr>
        <w:pStyle w:val="BodyText"/>
        <w:spacing w:before="29"/>
      </w:pPr>
      <w:r>
        <w:rPr>
          <w:w w:val="100"/>
        </w:rPr>
        <w:t> </w:t>
      </w:r>
    </w:p>
    <w:p>
      <w:pPr>
        <w:pStyle w:val="BodyText"/>
        <w:spacing w:before="2"/>
      </w:pPr>
      <w:r>
        <w:rPr>
          <w:w w:val="100"/>
        </w:rPr>
        <w:t> </w:t>
      </w:r>
    </w:p>
    <w:p>
      <w:pPr>
        <w:pStyle w:val="BodyText"/>
        <w:spacing w:line="295" w:lineRule="auto" w:before="64"/>
        <w:ind w:right="8443"/>
      </w:pPr>
      <w:r>
        <w:rPr/>
        <w:t>48</w:t>
      </w:r>
      <w:r>
        <w:rPr>
          <w:spacing w:val="-5"/>
        </w:rPr>
        <w:t>、 长期应付款</w:t>
      </w:r>
      <w:r>
        <w:rPr/>
        <w:t>项目列示 </w:t>
      </w:r>
    </w:p>
    <w:p>
      <w:pPr>
        <w:pStyle w:val="BodyText"/>
        <w:spacing w:before="4"/>
      </w:pPr>
      <w:r>
        <w:rPr>
          <w:spacing w:val="-1"/>
        </w:rPr>
        <w:t>□适用 √不适用</w:t>
      </w:r>
      <w:r>
        <w:rPr>
          <w:spacing w:val="-3"/>
        </w:rPr>
        <w:t> </w:t>
      </w:r>
      <w:r>
        <w:rPr/>
        <w:t> </w:t>
      </w:r>
    </w:p>
    <w:p>
      <w:pPr>
        <w:pStyle w:val="BodyText"/>
        <w:spacing w:before="2"/>
      </w:pPr>
      <w:r>
        <w:rPr>
          <w:w w:val="100"/>
        </w:rPr>
        <w:t> </w:t>
      </w:r>
    </w:p>
    <w:p>
      <w:pPr>
        <w:pStyle w:val="BodyText"/>
        <w:spacing w:before="5"/>
      </w:pPr>
      <w:r>
        <w:rPr/>
        <w:t>其他说明： </w:t>
      </w:r>
    </w:p>
    <w:p>
      <w:pPr>
        <w:pStyle w:val="BodyText"/>
        <w:spacing w:before="2"/>
      </w:pPr>
      <w:r>
        <w:rPr>
          <w:spacing w:val="-1"/>
        </w:rPr>
        <w:t>□适用 √不适用</w:t>
      </w:r>
      <w:r>
        <w:rPr>
          <w:spacing w:val="-3"/>
        </w:rPr>
        <w:t> </w:t>
      </w:r>
      <w:r>
        <w:rPr/>
        <w:t> </w:t>
      </w:r>
    </w:p>
    <w:p>
      <w:pPr>
        <w:pStyle w:val="BodyText"/>
        <w:spacing w:before="2"/>
      </w:pPr>
      <w:r>
        <w:rPr>
          <w:w w:val="100"/>
        </w:rPr>
        <w:t> </w:t>
      </w:r>
    </w:p>
    <w:p>
      <w:pPr>
        <w:pStyle w:val="BodyText"/>
        <w:spacing w:before="64"/>
      </w:pPr>
      <w:r>
        <w:rPr/>
        <w:t>长期应付款 </w:t>
      </w:r>
    </w:p>
    <w:p>
      <w:pPr>
        <w:pStyle w:val="ListParagraph"/>
        <w:numPr>
          <w:ilvl w:val="0"/>
          <w:numId w:val="76"/>
        </w:numPr>
        <w:tabs>
          <w:tab w:pos="746" w:val="left" w:leader="none"/>
        </w:tabs>
        <w:spacing w:line="240" w:lineRule="auto" w:before="63" w:after="0"/>
        <w:ind w:left="745" w:right="0" w:hanging="428"/>
        <w:jc w:val="left"/>
        <w:rPr>
          <w:sz w:val="21"/>
        </w:rPr>
      </w:pPr>
      <w:r>
        <w:rPr>
          <w:sz w:val="21"/>
        </w:rPr>
        <w:t>按款项性质列示长期应付款 </w:t>
      </w:r>
    </w:p>
    <w:p>
      <w:pPr>
        <w:pStyle w:val="BodyText"/>
        <w:spacing w:before="64"/>
      </w:pPr>
      <w:r>
        <w:rPr>
          <w:spacing w:val="-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BodyText"/>
        <w:spacing w:before="62"/>
      </w:pPr>
      <w:r>
        <w:rPr/>
        <w:t>专项应付款 </w:t>
      </w:r>
    </w:p>
    <w:p>
      <w:pPr>
        <w:pStyle w:val="ListParagraph"/>
        <w:numPr>
          <w:ilvl w:val="0"/>
          <w:numId w:val="76"/>
        </w:numPr>
        <w:tabs>
          <w:tab w:pos="746" w:val="left" w:leader="none"/>
        </w:tabs>
        <w:spacing w:line="240" w:lineRule="auto" w:before="65" w:after="0"/>
        <w:ind w:left="745" w:right="0" w:hanging="428"/>
        <w:jc w:val="left"/>
        <w:rPr>
          <w:sz w:val="21"/>
        </w:rPr>
      </w:pPr>
      <w:r>
        <w:rPr>
          <w:sz w:val="21"/>
        </w:rPr>
        <w:t>按款项性质列示专项应付款 </w:t>
      </w:r>
    </w:p>
    <w:p>
      <w:pPr>
        <w:pStyle w:val="BodyText"/>
        <w:spacing w:before="62"/>
      </w:pPr>
      <w:r>
        <w:rPr>
          <w:spacing w:val="-1"/>
        </w:rPr>
        <w:t>□适用 √不适用</w:t>
      </w:r>
      <w:r>
        <w:rPr>
          <w:spacing w:val="-3"/>
        </w:rPr>
        <w:t> </w:t>
      </w:r>
      <w:r>
        <w:rPr/>
        <w:t> </w:t>
      </w:r>
    </w:p>
    <w:p>
      <w:pPr>
        <w:pStyle w:val="BodyText"/>
        <w:spacing w:before="5"/>
      </w:pPr>
      <w:r>
        <w:rPr>
          <w:w w:val="100"/>
        </w:rPr>
        <w:t> </w:t>
      </w:r>
    </w:p>
    <w:p>
      <w:pPr>
        <w:pStyle w:val="BodyText"/>
        <w:spacing w:before="2"/>
      </w:pPr>
      <w:r>
        <w:rPr>
          <w:w w:val="100"/>
        </w:rPr>
        <w:t> </w:t>
      </w:r>
    </w:p>
    <w:p>
      <w:pPr>
        <w:pStyle w:val="BodyText"/>
        <w:spacing w:before="64"/>
      </w:pPr>
      <w:r>
        <w:rPr/>
        <w:t>49</w:t>
      </w:r>
      <w:r>
        <w:rPr>
          <w:spacing w:val="-5"/>
        </w:rPr>
        <w:t>、 长期应付职工薪酬</w:t>
      </w:r>
    </w:p>
    <w:p>
      <w:pPr>
        <w:pStyle w:val="BodyText"/>
        <w:spacing w:before="62"/>
      </w:pPr>
      <w:r>
        <w:rPr>
          <w:spacing w:val="-1"/>
        </w:rPr>
        <w:t>□适用 √不适用</w:t>
      </w:r>
      <w:r>
        <w:rPr>
          <w:spacing w:val="-3"/>
        </w:rPr>
        <w:t> </w:t>
      </w:r>
      <w:r>
        <w:rPr/>
        <w:t> </w:t>
      </w:r>
    </w:p>
    <w:p>
      <w:pPr>
        <w:pStyle w:val="BodyText"/>
        <w:spacing w:before="5"/>
      </w:pPr>
      <w:r>
        <w:rPr>
          <w:w w:val="100"/>
        </w:rPr>
        <w:t> </w:t>
      </w:r>
    </w:p>
    <w:p>
      <w:pPr>
        <w:pStyle w:val="BodyText"/>
        <w:spacing w:before="2"/>
      </w:pPr>
      <w:r>
        <w:rPr>
          <w:w w:val="100"/>
        </w:rPr>
        <w:t> </w:t>
      </w:r>
    </w:p>
    <w:p>
      <w:pPr>
        <w:pStyle w:val="BodyText"/>
        <w:spacing w:before="65"/>
      </w:pPr>
      <w:r>
        <w:rPr/>
        <w:t>50</w:t>
      </w:r>
      <w:r>
        <w:rPr>
          <w:spacing w:val="-5"/>
        </w:rPr>
        <w:t>、 预计负债</w:t>
      </w:r>
      <w:r>
        <w:rPr/>
        <w:t> </w:t>
      </w:r>
    </w:p>
    <w:p>
      <w:pPr>
        <w:pStyle w:val="BodyText"/>
        <w:spacing w:before="62"/>
      </w:pPr>
      <w:r>
        <w:rPr>
          <w:spacing w:val="-1"/>
        </w:rPr>
        <w:t>√适用 □不适用</w:t>
      </w:r>
      <w:r>
        <w:rPr>
          <w:spacing w:val="-3"/>
        </w:rPr>
        <w:t> </w:t>
      </w:r>
      <w:r>
        <w:rPr/>
        <w:t> </w:t>
      </w:r>
    </w:p>
    <w:p>
      <w:pPr>
        <w:pStyle w:val="BodyText"/>
        <w:spacing w:before="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6"/>
        <w:gridCol w:w="2205"/>
        <w:gridCol w:w="2205"/>
        <w:gridCol w:w="2205"/>
      </w:tblGrid>
      <w:tr>
        <w:trPr>
          <w:trHeight w:val="273" w:hRule="atLeast"/>
        </w:trPr>
        <w:tc>
          <w:tcPr>
            <w:tcW w:w="2206" w:type="dxa"/>
          </w:tcPr>
          <w:p>
            <w:pPr>
              <w:pStyle w:val="TableParagraph"/>
              <w:spacing w:line="252" w:lineRule="exact" w:before="1"/>
              <w:ind w:left="662" w:right="653"/>
              <w:jc w:val="center"/>
              <w:rPr>
                <w:sz w:val="21"/>
              </w:rPr>
            </w:pPr>
            <w:r>
              <w:rPr>
                <w:sz w:val="21"/>
              </w:rPr>
              <w:t>项目 </w:t>
            </w:r>
          </w:p>
        </w:tc>
        <w:tc>
          <w:tcPr>
            <w:tcW w:w="2205" w:type="dxa"/>
          </w:tcPr>
          <w:p>
            <w:pPr>
              <w:pStyle w:val="TableParagraph"/>
              <w:spacing w:line="252" w:lineRule="exact" w:before="1"/>
              <w:ind w:left="681"/>
              <w:rPr>
                <w:sz w:val="21"/>
              </w:rPr>
            </w:pPr>
            <w:r>
              <w:rPr>
                <w:spacing w:val="-1"/>
                <w:sz w:val="21"/>
              </w:rPr>
              <w:t>期初余额</w:t>
            </w:r>
            <w:r>
              <w:rPr>
                <w:sz w:val="21"/>
              </w:rPr>
              <w:t> </w:t>
            </w:r>
          </w:p>
        </w:tc>
        <w:tc>
          <w:tcPr>
            <w:tcW w:w="2205" w:type="dxa"/>
          </w:tcPr>
          <w:p>
            <w:pPr>
              <w:pStyle w:val="TableParagraph"/>
              <w:spacing w:line="252" w:lineRule="exact" w:before="1"/>
              <w:ind w:left="682"/>
              <w:rPr>
                <w:sz w:val="21"/>
              </w:rPr>
            </w:pPr>
            <w:r>
              <w:rPr>
                <w:spacing w:val="-1"/>
                <w:sz w:val="21"/>
              </w:rPr>
              <w:t>期末余额</w:t>
            </w:r>
            <w:r>
              <w:rPr>
                <w:sz w:val="21"/>
              </w:rPr>
              <w:t> </w:t>
            </w:r>
          </w:p>
        </w:tc>
        <w:tc>
          <w:tcPr>
            <w:tcW w:w="2205" w:type="dxa"/>
          </w:tcPr>
          <w:p>
            <w:pPr>
              <w:pStyle w:val="TableParagraph"/>
              <w:spacing w:line="252" w:lineRule="exact" w:before="1"/>
              <w:ind w:left="683"/>
              <w:rPr>
                <w:sz w:val="21"/>
              </w:rPr>
            </w:pPr>
            <w:r>
              <w:rPr>
                <w:spacing w:val="-1"/>
                <w:sz w:val="21"/>
              </w:rPr>
              <w:t>形成原因</w:t>
            </w:r>
            <w:r>
              <w:rPr>
                <w:sz w:val="21"/>
              </w:rPr>
              <w:t> </w:t>
            </w:r>
          </w:p>
        </w:tc>
      </w:tr>
      <w:tr>
        <w:trPr>
          <w:trHeight w:val="270" w:hRule="atLeast"/>
        </w:trPr>
        <w:tc>
          <w:tcPr>
            <w:tcW w:w="2206" w:type="dxa"/>
          </w:tcPr>
          <w:p>
            <w:pPr>
              <w:pStyle w:val="TableParagraph"/>
              <w:spacing w:line="250" w:lineRule="exact" w:before="1"/>
              <w:ind w:left="112"/>
              <w:rPr>
                <w:sz w:val="21"/>
              </w:rPr>
            </w:pPr>
            <w:r>
              <w:rPr>
                <w:spacing w:val="-1"/>
                <w:sz w:val="21"/>
              </w:rPr>
              <w:t>对外提供担保</w:t>
            </w:r>
            <w:r>
              <w:rPr>
                <w:sz w:val="21"/>
              </w:rPr>
              <w:t> </w:t>
            </w:r>
          </w:p>
        </w:tc>
        <w:tc>
          <w:tcPr>
            <w:tcW w:w="2205" w:type="dxa"/>
          </w:tcPr>
          <w:p>
            <w:pPr>
              <w:pStyle w:val="TableParagraph"/>
              <w:spacing w:line="250" w:lineRule="exact" w:before="1"/>
              <w:ind w:right="-15"/>
              <w:jc w:val="right"/>
              <w:rPr>
                <w:sz w:val="21"/>
              </w:rPr>
            </w:pPr>
            <w:r>
              <w:rPr>
                <w:w w:val="100"/>
                <w:sz w:val="21"/>
              </w:rPr>
              <w:t> </w:t>
            </w:r>
          </w:p>
        </w:tc>
        <w:tc>
          <w:tcPr>
            <w:tcW w:w="2205" w:type="dxa"/>
          </w:tcPr>
          <w:p>
            <w:pPr>
              <w:pStyle w:val="TableParagraph"/>
              <w:spacing w:line="250" w:lineRule="exact" w:before="1"/>
              <w:ind w:right="-15"/>
              <w:jc w:val="right"/>
              <w:rPr>
                <w:sz w:val="21"/>
              </w:rPr>
            </w:pPr>
            <w:r>
              <w:rPr>
                <w:w w:val="100"/>
                <w:sz w:val="21"/>
              </w:rPr>
              <w:t> </w:t>
            </w:r>
          </w:p>
        </w:tc>
        <w:tc>
          <w:tcPr>
            <w:tcW w:w="2205" w:type="dxa"/>
          </w:tcPr>
          <w:p>
            <w:pPr>
              <w:pStyle w:val="TableParagraph"/>
              <w:spacing w:line="250" w:lineRule="exact" w:before="1"/>
              <w:ind w:left="114"/>
              <w:rPr>
                <w:sz w:val="21"/>
              </w:rPr>
            </w:pPr>
            <w:r>
              <w:rPr>
                <w:w w:val="100"/>
                <w:sz w:val="21"/>
              </w:rPr>
              <w:t> </w:t>
            </w:r>
          </w:p>
        </w:tc>
      </w:tr>
      <w:tr>
        <w:trPr>
          <w:trHeight w:val="273" w:hRule="atLeast"/>
        </w:trPr>
        <w:tc>
          <w:tcPr>
            <w:tcW w:w="2206" w:type="dxa"/>
          </w:tcPr>
          <w:p>
            <w:pPr>
              <w:pStyle w:val="TableParagraph"/>
              <w:spacing w:line="250" w:lineRule="exact" w:before="3"/>
              <w:ind w:left="112"/>
              <w:rPr>
                <w:sz w:val="21"/>
              </w:rPr>
            </w:pPr>
            <w:r>
              <w:rPr>
                <w:spacing w:val="-1"/>
                <w:sz w:val="21"/>
              </w:rPr>
              <w:t>未决诉讼</w:t>
            </w:r>
            <w:r>
              <w:rPr>
                <w:sz w:val="21"/>
              </w:rPr>
              <w:t> </w:t>
            </w:r>
          </w:p>
        </w:tc>
        <w:tc>
          <w:tcPr>
            <w:tcW w:w="2205" w:type="dxa"/>
          </w:tcPr>
          <w:p>
            <w:pPr>
              <w:pStyle w:val="TableParagraph"/>
              <w:spacing w:line="250" w:lineRule="exact" w:before="3"/>
              <w:ind w:right="-15"/>
              <w:jc w:val="right"/>
              <w:rPr>
                <w:sz w:val="21"/>
              </w:rPr>
            </w:pPr>
            <w:r>
              <w:rPr>
                <w:w w:val="100"/>
                <w:sz w:val="21"/>
              </w:rPr>
              <w:t> </w:t>
            </w:r>
          </w:p>
        </w:tc>
        <w:tc>
          <w:tcPr>
            <w:tcW w:w="2205" w:type="dxa"/>
          </w:tcPr>
          <w:p>
            <w:pPr>
              <w:pStyle w:val="TableParagraph"/>
              <w:spacing w:line="250" w:lineRule="exact" w:before="3"/>
              <w:ind w:right="-15"/>
              <w:jc w:val="right"/>
              <w:rPr>
                <w:sz w:val="21"/>
              </w:rPr>
            </w:pPr>
            <w:r>
              <w:rPr>
                <w:w w:val="100"/>
                <w:sz w:val="21"/>
              </w:rPr>
              <w:t> </w:t>
            </w:r>
          </w:p>
        </w:tc>
        <w:tc>
          <w:tcPr>
            <w:tcW w:w="2205" w:type="dxa"/>
          </w:tcPr>
          <w:p>
            <w:pPr>
              <w:pStyle w:val="TableParagraph"/>
              <w:spacing w:line="250" w:lineRule="exact" w:before="3"/>
              <w:ind w:left="114"/>
              <w:rPr>
                <w:sz w:val="21"/>
              </w:rPr>
            </w:pPr>
            <w:r>
              <w:rPr>
                <w:w w:val="100"/>
                <w:sz w:val="21"/>
              </w:rPr>
              <w:t> </w:t>
            </w:r>
          </w:p>
        </w:tc>
      </w:tr>
      <w:tr>
        <w:trPr>
          <w:trHeight w:val="273" w:hRule="atLeast"/>
        </w:trPr>
        <w:tc>
          <w:tcPr>
            <w:tcW w:w="2206" w:type="dxa"/>
          </w:tcPr>
          <w:p>
            <w:pPr>
              <w:pStyle w:val="TableParagraph"/>
              <w:spacing w:line="252" w:lineRule="exact" w:before="1"/>
              <w:ind w:left="112"/>
              <w:rPr>
                <w:sz w:val="21"/>
              </w:rPr>
            </w:pPr>
            <w:r>
              <w:rPr>
                <w:spacing w:val="-1"/>
                <w:sz w:val="21"/>
              </w:rPr>
              <w:t>产品质量保证</w:t>
            </w:r>
            <w:r>
              <w:rPr>
                <w:sz w:val="21"/>
              </w:rPr>
              <w:t> </w:t>
            </w:r>
          </w:p>
        </w:tc>
        <w:tc>
          <w:tcPr>
            <w:tcW w:w="2205" w:type="dxa"/>
          </w:tcPr>
          <w:p>
            <w:pPr>
              <w:pStyle w:val="TableParagraph"/>
              <w:spacing w:line="235" w:lineRule="exact"/>
              <w:ind w:left="1411"/>
              <w:rPr>
                <w:rFonts w:ascii="Times New Roman"/>
                <w:sz w:val="21"/>
              </w:rPr>
            </w:pPr>
            <w:r>
              <w:rPr>
                <w:rFonts w:ascii="Times New Roman"/>
                <w:sz w:val="21"/>
              </w:rPr>
              <w:t>523,026</w:t>
            </w:r>
          </w:p>
        </w:tc>
        <w:tc>
          <w:tcPr>
            <w:tcW w:w="2205" w:type="dxa"/>
          </w:tcPr>
          <w:p>
            <w:pPr>
              <w:pStyle w:val="TableParagraph"/>
              <w:spacing w:line="235" w:lineRule="exact"/>
              <w:ind w:right="96"/>
              <w:jc w:val="right"/>
              <w:rPr>
                <w:rFonts w:ascii="Times New Roman"/>
                <w:sz w:val="21"/>
              </w:rPr>
            </w:pPr>
            <w:r>
              <w:rPr>
                <w:rFonts w:ascii="Times New Roman"/>
                <w:sz w:val="21"/>
              </w:rPr>
              <w:t>710,073</w:t>
            </w:r>
          </w:p>
        </w:tc>
        <w:tc>
          <w:tcPr>
            <w:tcW w:w="2205" w:type="dxa"/>
          </w:tcPr>
          <w:p>
            <w:pPr>
              <w:pStyle w:val="TableParagraph"/>
              <w:spacing w:line="252" w:lineRule="exact" w:before="1"/>
              <w:ind w:left="114"/>
              <w:rPr>
                <w:sz w:val="21"/>
              </w:rPr>
            </w:pPr>
            <w:r>
              <w:rPr>
                <w:w w:val="100"/>
                <w:sz w:val="21"/>
              </w:rPr>
              <w:t> </w:t>
            </w:r>
          </w:p>
        </w:tc>
      </w:tr>
      <w:tr>
        <w:trPr>
          <w:trHeight w:val="270" w:hRule="atLeast"/>
        </w:trPr>
        <w:tc>
          <w:tcPr>
            <w:tcW w:w="2206" w:type="dxa"/>
          </w:tcPr>
          <w:p>
            <w:pPr>
              <w:pStyle w:val="TableParagraph"/>
              <w:spacing w:line="250" w:lineRule="exact" w:before="1"/>
              <w:ind w:left="112"/>
              <w:rPr>
                <w:sz w:val="21"/>
              </w:rPr>
            </w:pPr>
            <w:r>
              <w:rPr>
                <w:spacing w:val="-1"/>
                <w:sz w:val="21"/>
              </w:rPr>
              <w:t>重组义务</w:t>
            </w:r>
            <w:r>
              <w:rPr>
                <w:sz w:val="21"/>
              </w:rPr>
              <w:t> </w:t>
            </w:r>
          </w:p>
        </w:tc>
        <w:tc>
          <w:tcPr>
            <w:tcW w:w="2205" w:type="dxa"/>
          </w:tcPr>
          <w:p>
            <w:pPr>
              <w:pStyle w:val="TableParagraph"/>
              <w:rPr>
                <w:rFonts w:ascii="Times New Roman"/>
                <w:sz w:val="20"/>
              </w:rPr>
            </w:pPr>
          </w:p>
        </w:tc>
        <w:tc>
          <w:tcPr>
            <w:tcW w:w="2205" w:type="dxa"/>
          </w:tcPr>
          <w:p>
            <w:pPr>
              <w:pStyle w:val="TableParagraph"/>
              <w:rPr>
                <w:rFonts w:ascii="Times New Roman"/>
                <w:sz w:val="20"/>
              </w:rPr>
            </w:pPr>
          </w:p>
        </w:tc>
        <w:tc>
          <w:tcPr>
            <w:tcW w:w="2205" w:type="dxa"/>
          </w:tcPr>
          <w:p>
            <w:pPr>
              <w:pStyle w:val="TableParagraph"/>
              <w:spacing w:line="250" w:lineRule="exact" w:before="1"/>
              <w:ind w:left="114"/>
              <w:rPr>
                <w:sz w:val="21"/>
              </w:rPr>
            </w:pPr>
            <w:r>
              <w:rPr>
                <w:w w:val="100"/>
                <w:sz w:val="21"/>
              </w:rPr>
              <w:t> </w:t>
            </w:r>
          </w:p>
        </w:tc>
      </w:tr>
      <w:tr>
        <w:trPr>
          <w:trHeight w:val="273" w:hRule="atLeast"/>
        </w:trPr>
        <w:tc>
          <w:tcPr>
            <w:tcW w:w="2206" w:type="dxa"/>
          </w:tcPr>
          <w:p>
            <w:pPr>
              <w:pStyle w:val="TableParagraph"/>
              <w:spacing w:line="252" w:lineRule="exact" w:before="1"/>
              <w:ind w:left="112"/>
              <w:rPr>
                <w:sz w:val="21"/>
              </w:rPr>
            </w:pPr>
            <w:r>
              <w:rPr>
                <w:spacing w:val="-1"/>
                <w:sz w:val="21"/>
              </w:rPr>
              <w:t>待执行的亏损合同</w:t>
            </w:r>
            <w:r>
              <w:rPr>
                <w:sz w:val="21"/>
              </w:rPr>
              <w:t> </w:t>
            </w:r>
          </w:p>
        </w:tc>
        <w:tc>
          <w:tcPr>
            <w:tcW w:w="2205" w:type="dxa"/>
          </w:tcPr>
          <w:p>
            <w:pPr>
              <w:pStyle w:val="TableParagraph"/>
              <w:rPr>
                <w:rFonts w:ascii="Times New Roman"/>
                <w:sz w:val="20"/>
              </w:rPr>
            </w:pPr>
          </w:p>
        </w:tc>
        <w:tc>
          <w:tcPr>
            <w:tcW w:w="2205" w:type="dxa"/>
          </w:tcPr>
          <w:p>
            <w:pPr>
              <w:pStyle w:val="TableParagraph"/>
              <w:rPr>
                <w:rFonts w:ascii="Times New Roman"/>
                <w:sz w:val="20"/>
              </w:rPr>
            </w:pPr>
          </w:p>
        </w:tc>
        <w:tc>
          <w:tcPr>
            <w:tcW w:w="2205" w:type="dxa"/>
          </w:tcPr>
          <w:p>
            <w:pPr>
              <w:pStyle w:val="TableParagraph"/>
              <w:spacing w:line="252" w:lineRule="exact" w:before="1"/>
              <w:ind w:left="114"/>
              <w:rPr>
                <w:sz w:val="21"/>
              </w:rPr>
            </w:pPr>
            <w:r>
              <w:rPr>
                <w:w w:val="100"/>
                <w:sz w:val="21"/>
              </w:rPr>
              <w:t> </w:t>
            </w:r>
          </w:p>
        </w:tc>
      </w:tr>
      <w:tr>
        <w:trPr>
          <w:trHeight w:val="273" w:hRule="atLeast"/>
        </w:trPr>
        <w:tc>
          <w:tcPr>
            <w:tcW w:w="2206" w:type="dxa"/>
          </w:tcPr>
          <w:p>
            <w:pPr>
              <w:pStyle w:val="TableParagraph"/>
              <w:spacing w:line="252" w:lineRule="exact" w:before="1"/>
              <w:ind w:left="112"/>
              <w:rPr>
                <w:sz w:val="21"/>
              </w:rPr>
            </w:pPr>
            <w:r>
              <w:rPr>
                <w:sz w:val="21"/>
              </w:rPr>
              <w:t>应付退货款 </w:t>
            </w:r>
          </w:p>
        </w:tc>
        <w:tc>
          <w:tcPr>
            <w:tcW w:w="2205" w:type="dxa"/>
          </w:tcPr>
          <w:p>
            <w:pPr>
              <w:pStyle w:val="TableParagraph"/>
              <w:rPr>
                <w:rFonts w:ascii="Times New Roman"/>
                <w:sz w:val="20"/>
              </w:rPr>
            </w:pPr>
          </w:p>
        </w:tc>
        <w:tc>
          <w:tcPr>
            <w:tcW w:w="2205" w:type="dxa"/>
          </w:tcPr>
          <w:p>
            <w:pPr>
              <w:pStyle w:val="TableParagraph"/>
              <w:rPr>
                <w:rFonts w:ascii="Times New Roman"/>
                <w:sz w:val="20"/>
              </w:rPr>
            </w:pPr>
          </w:p>
        </w:tc>
        <w:tc>
          <w:tcPr>
            <w:tcW w:w="2205" w:type="dxa"/>
          </w:tcPr>
          <w:p>
            <w:pPr>
              <w:pStyle w:val="TableParagraph"/>
              <w:spacing w:line="252" w:lineRule="exact" w:before="1"/>
              <w:ind w:left="114"/>
              <w:rPr>
                <w:sz w:val="21"/>
              </w:rPr>
            </w:pPr>
            <w:r>
              <w:rPr>
                <w:w w:val="100"/>
                <w:sz w:val="21"/>
              </w:rPr>
              <w:t> </w:t>
            </w:r>
          </w:p>
        </w:tc>
      </w:tr>
      <w:tr>
        <w:trPr>
          <w:trHeight w:val="270" w:hRule="atLeast"/>
        </w:trPr>
        <w:tc>
          <w:tcPr>
            <w:tcW w:w="2206" w:type="dxa"/>
          </w:tcPr>
          <w:p>
            <w:pPr>
              <w:pStyle w:val="TableParagraph"/>
              <w:spacing w:line="250" w:lineRule="exact" w:before="1"/>
              <w:ind w:left="112"/>
              <w:rPr>
                <w:sz w:val="21"/>
              </w:rPr>
            </w:pPr>
            <w:r>
              <w:rPr>
                <w:sz w:val="21"/>
              </w:rPr>
              <w:t>其他 </w:t>
            </w:r>
          </w:p>
        </w:tc>
        <w:tc>
          <w:tcPr>
            <w:tcW w:w="2205" w:type="dxa"/>
          </w:tcPr>
          <w:p>
            <w:pPr>
              <w:pStyle w:val="TableParagraph"/>
              <w:rPr>
                <w:rFonts w:ascii="Times New Roman"/>
                <w:sz w:val="20"/>
              </w:rPr>
            </w:pPr>
          </w:p>
        </w:tc>
        <w:tc>
          <w:tcPr>
            <w:tcW w:w="2205" w:type="dxa"/>
          </w:tcPr>
          <w:p>
            <w:pPr>
              <w:pStyle w:val="TableParagraph"/>
              <w:rPr>
                <w:rFonts w:ascii="Times New Roman"/>
                <w:sz w:val="20"/>
              </w:rPr>
            </w:pPr>
          </w:p>
        </w:tc>
        <w:tc>
          <w:tcPr>
            <w:tcW w:w="2205" w:type="dxa"/>
          </w:tcPr>
          <w:p>
            <w:pPr>
              <w:pStyle w:val="TableParagraph"/>
              <w:spacing w:line="250" w:lineRule="exact" w:before="1"/>
              <w:ind w:left="114"/>
              <w:rPr>
                <w:sz w:val="21"/>
              </w:rPr>
            </w:pPr>
            <w:r>
              <w:rPr>
                <w:w w:val="100"/>
                <w:sz w:val="21"/>
              </w:rPr>
              <w:t> </w:t>
            </w:r>
          </w:p>
        </w:tc>
      </w:tr>
      <w:tr>
        <w:trPr>
          <w:trHeight w:val="544" w:hRule="atLeast"/>
        </w:trPr>
        <w:tc>
          <w:tcPr>
            <w:tcW w:w="2206" w:type="dxa"/>
          </w:tcPr>
          <w:p>
            <w:pPr>
              <w:pStyle w:val="TableParagraph"/>
              <w:spacing w:before="1"/>
              <w:ind w:left="112"/>
              <w:rPr>
                <w:sz w:val="21"/>
              </w:rPr>
            </w:pPr>
            <w:r>
              <w:rPr>
                <w:sz w:val="21"/>
              </w:rPr>
              <w:t>减：预计将于一年</w:t>
            </w:r>
          </w:p>
          <w:p>
            <w:pPr>
              <w:pStyle w:val="TableParagraph"/>
              <w:spacing w:line="250" w:lineRule="exact" w:before="4"/>
              <w:ind w:left="112"/>
              <w:rPr>
                <w:sz w:val="21"/>
              </w:rPr>
            </w:pPr>
            <w:r>
              <w:rPr>
                <w:spacing w:val="-1"/>
                <w:sz w:val="21"/>
              </w:rPr>
              <w:t>内支付的预计负债</w:t>
            </w:r>
            <w:r>
              <w:rPr>
                <w:sz w:val="21"/>
              </w:rPr>
              <w:t> </w:t>
            </w:r>
          </w:p>
        </w:tc>
        <w:tc>
          <w:tcPr>
            <w:tcW w:w="2205" w:type="dxa"/>
          </w:tcPr>
          <w:p>
            <w:pPr>
              <w:pStyle w:val="TableParagraph"/>
              <w:spacing w:line="235" w:lineRule="exact"/>
              <w:ind w:left="1444"/>
              <w:rPr>
                <w:rFonts w:ascii="Times New Roman"/>
                <w:sz w:val="21"/>
              </w:rPr>
            </w:pPr>
            <w:r>
              <w:rPr>
                <w:rFonts w:ascii="Times New Roman"/>
                <w:sz w:val="21"/>
              </w:rPr>
              <w:t>-85,861</w:t>
            </w:r>
          </w:p>
        </w:tc>
        <w:tc>
          <w:tcPr>
            <w:tcW w:w="2205" w:type="dxa"/>
          </w:tcPr>
          <w:p>
            <w:pPr>
              <w:pStyle w:val="TableParagraph"/>
              <w:spacing w:line="235" w:lineRule="exact"/>
              <w:ind w:right="99"/>
              <w:jc w:val="right"/>
              <w:rPr>
                <w:rFonts w:ascii="Times New Roman"/>
                <w:sz w:val="21"/>
              </w:rPr>
            </w:pPr>
            <w:r>
              <w:rPr>
                <w:rFonts w:ascii="Times New Roman"/>
                <w:sz w:val="21"/>
              </w:rPr>
              <w:t>-212,053</w:t>
            </w:r>
          </w:p>
        </w:tc>
        <w:tc>
          <w:tcPr>
            <w:tcW w:w="2205" w:type="dxa"/>
          </w:tcPr>
          <w:p>
            <w:pPr>
              <w:pStyle w:val="TableParagraph"/>
              <w:spacing w:before="1"/>
              <w:ind w:left="114"/>
              <w:rPr>
                <w:sz w:val="21"/>
              </w:rPr>
            </w:pPr>
            <w:r>
              <w:rPr>
                <w:w w:val="100"/>
                <w:sz w:val="21"/>
              </w:rPr>
              <w:t> </w:t>
            </w:r>
          </w:p>
        </w:tc>
      </w:tr>
    </w:tbl>
    <w:p>
      <w:pPr>
        <w:spacing w:after="0"/>
        <w:rPr>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6"/>
        <w:gridCol w:w="2205"/>
        <w:gridCol w:w="2205"/>
        <w:gridCol w:w="2205"/>
      </w:tblGrid>
      <w:tr>
        <w:trPr>
          <w:trHeight w:val="273" w:hRule="atLeast"/>
        </w:trPr>
        <w:tc>
          <w:tcPr>
            <w:tcW w:w="2206" w:type="dxa"/>
          </w:tcPr>
          <w:p>
            <w:pPr>
              <w:pStyle w:val="TableParagraph"/>
              <w:spacing w:line="250" w:lineRule="exact" w:before="3"/>
              <w:ind w:left="112"/>
              <w:rPr>
                <w:sz w:val="21"/>
              </w:rPr>
            </w:pPr>
            <w:r>
              <w:rPr>
                <w:w w:val="100"/>
                <w:sz w:val="21"/>
              </w:rPr>
              <w:t> </w:t>
            </w:r>
          </w:p>
        </w:tc>
        <w:tc>
          <w:tcPr>
            <w:tcW w:w="2205" w:type="dxa"/>
          </w:tcPr>
          <w:p>
            <w:pPr>
              <w:pStyle w:val="TableParagraph"/>
              <w:rPr>
                <w:rFonts w:ascii="Times New Roman"/>
                <w:sz w:val="20"/>
              </w:rPr>
            </w:pPr>
          </w:p>
        </w:tc>
        <w:tc>
          <w:tcPr>
            <w:tcW w:w="2205" w:type="dxa"/>
          </w:tcPr>
          <w:p>
            <w:pPr>
              <w:pStyle w:val="TableParagraph"/>
              <w:rPr>
                <w:rFonts w:ascii="Times New Roman"/>
                <w:sz w:val="20"/>
              </w:rPr>
            </w:pPr>
          </w:p>
        </w:tc>
        <w:tc>
          <w:tcPr>
            <w:tcW w:w="2205" w:type="dxa"/>
          </w:tcPr>
          <w:p>
            <w:pPr>
              <w:pStyle w:val="TableParagraph"/>
              <w:spacing w:line="250" w:lineRule="exact" w:before="3"/>
              <w:ind w:left="114"/>
              <w:rPr>
                <w:sz w:val="21"/>
              </w:rPr>
            </w:pPr>
            <w:r>
              <w:rPr>
                <w:w w:val="100"/>
                <w:sz w:val="21"/>
              </w:rPr>
              <w:t> </w:t>
            </w:r>
          </w:p>
        </w:tc>
      </w:tr>
      <w:tr>
        <w:trPr>
          <w:trHeight w:val="273" w:hRule="atLeast"/>
        </w:trPr>
        <w:tc>
          <w:tcPr>
            <w:tcW w:w="2206" w:type="dxa"/>
          </w:tcPr>
          <w:p>
            <w:pPr>
              <w:pStyle w:val="TableParagraph"/>
              <w:spacing w:line="252" w:lineRule="exact" w:before="1"/>
              <w:ind w:left="662" w:right="653"/>
              <w:jc w:val="center"/>
              <w:rPr>
                <w:sz w:val="21"/>
              </w:rPr>
            </w:pPr>
            <w:r>
              <w:rPr>
                <w:sz w:val="21"/>
              </w:rPr>
              <w:t>合计 </w:t>
            </w:r>
          </w:p>
        </w:tc>
        <w:tc>
          <w:tcPr>
            <w:tcW w:w="2205" w:type="dxa"/>
          </w:tcPr>
          <w:p>
            <w:pPr>
              <w:pStyle w:val="TableParagraph"/>
              <w:spacing w:line="235" w:lineRule="exact"/>
              <w:ind w:left="1411"/>
              <w:rPr>
                <w:rFonts w:ascii="Times New Roman"/>
                <w:sz w:val="21"/>
              </w:rPr>
            </w:pPr>
            <w:r>
              <w:rPr>
                <w:rFonts w:ascii="Times New Roman"/>
                <w:sz w:val="21"/>
              </w:rPr>
              <w:t>437,165</w:t>
            </w:r>
          </w:p>
        </w:tc>
        <w:tc>
          <w:tcPr>
            <w:tcW w:w="2205" w:type="dxa"/>
          </w:tcPr>
          <w:p>
            <w:pPr>
              <w:pStyle w:val="TableParagraph"/>
              <w:spacing w:before="10"/>
              <w:ind w:left="1412"/>
              <w:rPr>
                <w:rFonts w:ascii="Times New Roman"/>
                <w:sz w:val="21"/>
              </w:rPr>
            </w:pPr>
            <w:r>
              <w:rPr>
                <w:rFonts w:ascii="Times New Roman"/>
                <w:sz w:val="21"/>
              </w:rPr>
              <w:t>498,020</w:t>
            </w:r>
          </w:p>
        </w:tc>
        <w:tc>
          <w:tcPr>
            <w:tcW w:w="2205" w:type="dxa"/>
          </w:tcPr>
          <w:p>
            <w:pPr>
              <w:pStyle w:val="TableParagraph"/>
              <w:spacing w:line="252" w:lineRule="exact" w:before="1"/>
              <w:ind w:left="746" w:right="628"/>
              <w:jc w:val="center"/>
              <w:rPr>
                <w:sz w:val="21"/>
              </w:rPr>
            </w:pPr>
            <w:r>
              <w:rPr>
                <w:sz w:val="21"/>
              </w:rPr>
              <w:t>/ </w:t>
            </w:r>
          </w:p>
        </w:tc>
      </w:tr>
    </w:tbl>
    <w:p>
      <w:pPr>
        <w:spacing w:after="0" w:line="252" w:lineRule="exact"/>
        <w:jc w:val="center"/>
        <w:rPr>
          <w:sz w:val="21"/>
        </w:rPr>
        <w:sectPr>
          <w:pgSz w:w="11910" w:h="16840"/>
          <w:pgMar w:header="882" w:footer="1184" w:top="1120" w:bottom="1380" w:left="1480" w:right="0"/>
        </w:sectPr>
      </w:pPr>
    </w:p>
    <w:p>
      <w:pPr>
        <w:pStyle w:val="BodyText"/>
        <w:spacing w:line="295" w:lineRule="auto" w:before="61"/>
        <w:ind w:right="38"/>
      </w:pPr>
      <w:r>
        <w:rPr/>
        <w:t>其他说明，包括重要预计负债的相关重要假设、估计说明：</w:t>
      </w:r>
      <w:r>
        <w:rPr>
          <w:spacing w:val="1"/>
        </w:rPr>
        <w:t> </w:t>
      </w:r>
      <w:r>
        <w:rPr/>
        <w:t>无 </w:t>
      </w:r>
    </w:p>
    <w:p>
      <w:pPr>
        <w:pStyle w:val="BodyText"/>
        <w:spacing w:line="212" w:lineRule="exact"/>
      </w:pPr>
      <w:r>
        <w:rPr>
          <w:w w:val="100"/>
        </w:rPr>
        <w:t> </w:t>
      </w:r>
    </w:p>
    <w:p>
      <w:pPr>
        <w:pStyle w:val="BodyText"/>
        <w:spacing w:line="297" w:lineRule="auto" w:before="62"/>
        <w:ind w:right="4155"/>
      </w:pPr>
      <w:r>
        <w:rPr/>
        <w:t>51</w:t>
      </w:r>
      <w:r>
        <w:rPr>
          <w:spacing w:val="-5"/>
        </w:rPr>
        <w:t>、 递延收益</w:t>
      </w:r>
      <w:r>
        <w:rPr/>
        <w:t>递延收益情况 </w:t>
      </w:r>
    </w:p>
    <w:p>
      <w:pPr>
        <w:pStyle w:val="BodyText"/>
        <w:spacing w:line="207" w:lineRule="exact"/>
      </w:pPr>
      <w:r>
        <w:rPr>
          <w:spacing w:val="1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4"/>
        <w:ind w:left="0"/>
        <w:rPr>
          <w:sz w:val="26"/>
        </w:rPr>
      </w:pPr>
    </w:p>
    <w:p>
      <w:pPr>
        <w:pStyle w:val="BodyText"/>
        <w:spacing w:before="1"/>
      </w:pPr>
      <w:r>
        <w:rPr>
          <w:spacing w:val="7"/>
        </w:rPr>
        <w:t>单位：千元 币种：人民币</w:t>
      </w:r>
      <w:r>
        <w:rPr/>
        <w:t> </w:t>
      </w:r>
    </w:p>
    <w:p>
      <w:pPr>
        <w:spacing w:after="0"/>
        <w:sectPr>
          <w:type w:val="continuous"/>
          <w:pgSz w:w="11910" w:h="16840"/>
          <w:pgMar w:top="780" w:bottom="280" w:left="1480" w:right="0"/>
          <w:cols w:num="2" w:equalWidth="0">
            <w:col w:w="5928" w:space="383"/>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90"/>
        <w:gridCol w:w="1431"/>
        <w:gridCol w:w="1445"/>
        <w:gridCol w:w="1431"/>
        <w:gridCol w:w="1472"/>
        <w:gridCol w:w="1555"/>
      </w:tblGrid>
      <w:tr>
        <w:trPr>
          <w:trHeight w:val="335" w:hRule="atLeast"/>
        </w:trPr>
        <w:tc>
          <w:tcPr>
            <w:tcW w:w="1490" w:type="dxa"/>
          </w:tcPr>
          <w:p>
            <w:pPr>
              <w:pStyle w:val="TableParagraph"/>
              <w:spacing w:before="32"/>
              <w:ind w:right="417"/>
              <w:jc w:val="right"/>
              <w:rPr>
                <w:sz w:val="21"/>
              </w:rPr>
            </w:pPr>
            <w:r>
              <w:rPr>
                <w:sz w:val="21"/>
              </w:rPr>
              <w:t>项目 </w:t>
            </w:r>
          </w:p>
        </w:tc>
        <w:tc>
          <w:tcPr>
            <w:tcW w:w="1431" w:type="dxa"/>
          </w:tcPr>
          <w:p>
            <w:pPr>
              <w:pStyle w:val="TableParagraph"/>
              <w:spacing w:before="32"/>
              <w:ind w:left="295"/>
              <w:rPr>
                <w:sz w:val="21"/>
              </w:rPr>
            </w:pPr>
            <w:r>
              <w:rPr>
                <w:spacing w:val="-1"/>
                <w:sz w:val="21"/>
              </w:rPr>
              <w:t>期初余额</w:t>
            </w:r>
            <w:r>
              <w:rPr>
                <w:sz w:val="21"/>
              </w:rPr>
              <w:t> </w:t>
            </w:r>
          </w:p>
        </w:tc>
        <w:tc>
          <w:tcPr>
            <w:tcW w:w="1445" w:type="dxa"/>
          </w:tcPr>
          <w:p>
            <w:pPr>
              <w:pStyle w:val="TableParagraph"/>
              <w:spacing w:before="32"/>
              <w:ind w:left="302"/>
              <w:rPr>
                <w:sz w:val="21"/>
              </w:rPr>
            </w:pPr>
            <w:r>
              <w:rPr>
                <w:spacing w:val="-1"/>
                <w:sz w:val="21"/>
              </w:rPr>
              <w:t>本期增加</w:t>
            </w:r>
            <w:r>
              <w:rPr>
                <w:sz w:val="21"/>
              </w:rPr>
              <w:t> </w:t>
            </w:r>
          </w:p>
        </w:tc>
        <w:tc>
          <w:tcPr>
            <w:tcW w:w="1431" w:type="dxa"/>
          </w:tcPr>
          <w:p>
            <w:pPr>
              <w:pStyle w:val="TableParagraph"/>
              <w:spacing w:before="32"/>
              <w:ind w:left="293"/>
              <w:rPr>
                <w:sz w:val="21"/>
              </w:rPr>
            </w:pPr>
            <w:r>
              <w:rPr>
                <w:spacing w:val="-1"/>
                <w:sz w:val="21"/>
              </w:rPr>
              <w:t>本期减少</w:t>
            </w:r>
            <w:r>
              <w:rPr>
                <w:sz w:val="21"/>
              </w:rPr>
              <w:t> </w:t>
            </w:r>
          </w:p>
        </w:tc>
        <w:tc>
          <w:tcPr>
            <w:tcW w:w="1472" w:type="dxa"/>
          </w:tcPr>
          <w:p>
            <w:pPr>
              <w:pStyle w:val="TableParagraph"/>
              <w:spacing w:before="32"/>
              <w:ind w:left="316"/>
              <w:rPr>
                <w:sz w:val="21"/>
              </w:rPr>
            </w:pPr>
            <w:bookmarkStart w:name="OLE_LINK67" w:id="17"/>
            <w:bookmarkEnd w:id="17"/>
            <w:r>
              <w:rPr/>
            </w:r>
            <w:bookmarkStart w:name="OLE_LINK66" w:id="18"/>
            <w:bookmarkEnd w:id="18"/>
            <w:r>
              <w:rPr/>
            </w:r>
            <w:r>
              <w:rPr>
                <w:spacing w:val="-1"/>
                <w:sz w:val="21"/>
              </w:rPr>
              <w:t>期末余额</w:t>
            </w:r>
            <w:r>
              <w:rPr>
                <w:sz w:val="21"/>
              </w:rPr>
              <w:t> </w:t>
            </w:r>
          </w:p>
        </w:tc>
        <w:tc>
          <w:tcPr>
            <w:tcW w:w="1555" w:type="dxa"/>
          </w:tcPr>
          <w:p>
            <w:pPr>
              <w:pStyle w:val="TableParagraph"/>
              <w:spacing w:before="32"/>
              <w:ind w:left="357"/>
              <w:rPr>
                <w:sz w:val="21"/>
              </w:rPr>
            </w:pPr>
            <w:r>
              <w:rPr>
                <w:spacing w:val="-1"/>
                <w:sz w:val="21"/>
              </w:rPr>
              <w:t>形成原因</w:t>
            </w:r>
            <w:r>
              <w:rPr>
                <w:sz w:val="21"/>
              </w:rPr>
              <w:t> </w:t>
            </w:r>
          </w:p>
        </w:tc>
      </w:tr>
      <w:tr>
        <w:trPr>
          <w:trHeight w:val="273" w:hRule="atLeast"/>
        </w:trPr>
        <w:tc>
          <w:tcPr>
            <w:tcW w:w="1490" w:type="dxa"/>
          </w:tcPr>
          <w:p>
            <w:pPr>
              <w:pStyle w:val="TableParagraph"/>
              <w:spacing w:line="252" w:lineRule="exact" w:before="1"/>
              <w:ind w:right="419"/>
              <w:jc w:val="right"/>
              <w:rPr>
                <w:sz w:val="21"/>
              </w:rPr>
            </w:pPr>
            <w:r>
              <w:rPr>
                <w:spacing w:val="-1"/>
                <w:sz w:val="21"/>
              </w:rPr>
              <w:t>政府补助</w:t>
            </w:r>
            <w:r>
              <w:rPr>
                <w:sz w:val="21"/>
              </w:rPr>
              <w:t> </w:t>
            </w:r>
          </w:p>
        </w:tc>
        <w:tc>
          <w:tcPr>
            <w:tcW w:w="1431" w:type="dxa"/>
          </w:tcPr>
          <w:p>
            <w:pPr>
              <w:pStyle w:val="TableParagraph"/>
              <w:spacing w:before="10"/>
              <w:ind w:right="98"/>
              <w:jc w:val="right"/>
              <w:rPr>
                <w:rFonts w:ascii="Times New Roman"/>
                <w:sz w:val="21"/>
              </w:rPr>
            </w:pPr>
            <w:r>
              <w:rPr>
                <w:rFonts w:ascii="Times New Roman"/>
                <w:sz w:val="21"/>
              </w:rPr>
              <w:t>303,703</w:t>
            </w:r>
          </w:p>
        </w:tc>
        <w:tc>
          <w:tcPr>
            <w:tcW w:w="1445" w:type="dxa"/>
          </w:tcPr>
          <w:p>
            <w:pPr>
              <w:pStyle w:val="TableParagraph"/>
              <w:spacing w:before="10"/>
              <w:ind w:right="98"/>
              <w:jc w:val="right"/>
              <w:rPr>
                <w:rFonts w:ascii="Times New Roman"/>
                <w:sz w:val="21"/>
              </w:rPr>
            </w:pPr>
            <w:r>
              <w:rPr>
                <w:rFonts w:ascii="Times New Roman"/>
                <w:sz w:val="21"/>
              </w:rPr>
              <w:t>195,758</w:t>
            </w:r>
          </w:p>
        </w:tc>
        <w:tc>
          <w:tcPr>
            <w:tcW w:w="1431" w:type="dxa"/>
          </w:tcPr>
          <w:p>
            <w:pPr>
              <w:pStyle w:val="TableParagraph"/>
              <w:spacing w:before="10"/>
              <w:ind w:right="103"/>
              <w:jc w:val="right"/>
              <w:rPr>
                <w:rFonts w:ascii="Times New Roman"/>
                <w:sz w:val="21"/>
              </w:rPr>
            </w:pPr>
            <w:r>
              <w:rPr>
                <w:rFonts w:ascii="Times New Roman"/>
                <w:sz w:val="21"/>
              </w:rPr>
              <w:t>-142,783</w:t>
            </w:r>
          </w:p>
        </w:tc>
        <w:tc>
          <w:tcPr>
            <w:tcW w:w="1472" w:type="dxa"/>
          </w:tcPr>
          <w:p>
            <w:pPr>
              <w:pStyle w:val="TableParagraph"/>
              <w:spacing w:before="10"/>
              <w:ind w:right="97"/>
              <w:jc w:val="right"/>
              <w:rPr>
                <w:rFonts w:ascii="Times New Roman"/>
                <w:sz w:val="21"/>
              </w:rPr>
            </w:pPr>
            <w:r>
              <w:rPr>
                <w:rFonts w:ascii="Times New Roman"/>
                <w:sz w:val="21"/>
              </w:rPr>
              <w:t>356,678</w:t>
            </w:r>
          </w:p>
        </w:tc>
        <w:tc>
          <w:tcPr>
            <w:tcW w:w="1555" w:type="dxa"/>
          </w:tcPr>
          <w:p>
            <w:pPr>
              <w:pStyle w:val="TableParagraph"/>
              <w:spacing w:line="252" w:lineRule="exact" w:before="1"/>
              <w:ind w:left="112"/>
              <w:rPr>
                <w:sz w:val="21"/>
              </w:rPr>
            </w:pPr>
            <w:r>
              <w:rPr>
                <w:w w:val="100"/>
                <w:sz w:val="21"/>
              </w:rPr>
              <w:t> </w:t>
            </w:r>
          </w:p>
        </w:tc>
      </w:tr>
      <w:tr>
        <w:trPr>
          <w:trHeight w:val="270" w:hRule="atLeast"/>
        </w:trPr>
        <w:tc>
          <w:tcPr>
            <w:tcW w:w="1490" w:type="dxa"/>
          </w:tcPr>
          <w:p>
            <w:pPr>
              <w:pStyle w:val="TableParagraph"/>
              <w:spacing w:line="250" w:lineRule="exact" w:before="1"/>
              <w:ind w:right="417"/>
              <w:jc w:val="right"/>
              <w:rPr>
                <w:sz w:val="21"/>
              </w:rPr>
            </w:pPr>
            <w:r>
              <w:rPr>
                <w:sz w:val="21"/>
              </w:rPr>
              <w:t>合计 </w:t>
            </w:r>
          </w:p>
        </w:tc>
        <w:tc>
          <w:tcPr>
            <w:tcW w:w="1431" w:type="dxa"/>
          </w:tcPr>
          <w:p>
            <w:pPr>
              <w:pStyle w:val="TableParagraph"/>
              <w:spacing w:before="7"/>
              <w:ind w:right="98"/>
              <w:jc w:val="right"/>
              <w:rPr>
                <w:rFonts w:ascii="Times New Roman"/>
                <w:sz w:val="21"/>
              </w:rPr>
            </w:pPr>
            <w:r>
              <w:rPr>
                <w:rFonts w:ascii="Times New Roman"/>
                <w:sz w:val="21"/>
              </w:rPr>
              <w:t>303,703</w:t>
            </w:r>
          </w:p>
        </w:tc>
        <w:tc>
          <w:tcPr>
            <w:tcW w:w="1445" w:type="dxa"/>
          </w:tcPr>
          <w:p>
            <w:pPr>
              <w:pStyle w:val="TableParagraph"/>
              <w:spacing w:before="7"/>
              <w:ind w:right="98"/>
              <w:jc w:val="right"/>
              <w:rPr>
                <w:rFonts w:ascii="Times New Roman"/>
                <w:sz w:val="21"/>
              </w:rPr>
            </w:pPr>
            <w:r>
              <w:rPr>
                <w:rFonts w:ascii="Times New Roman"/>
                <w:sz w:val="21"/>
              </w:rPr>
              <w:t>195,758</w:t>
            </w:r>
          </w:p>
        </w:tc>
        <w:tc>
          <w:tcPr>
            <w:tcW w:w="1431" w:type="dxa"/>
          </w:tcPr>
          <w:p>
            <w:pPr>
              <w:pStyle w:val="TableParagraph"/>
              <w:spacing w:before="7"/>
              <w:ind w:right="103"/>
              <w:jc w:val="right"/>
              <w:rPr>
                <w:rFonts w:ascii="Times New Roman"/>
                <w:sz w:val="21"/>
              </w:rPr>
            </w:pPr>
            <w:r>
              <w:rPr>
                <w:rFonts w:ascii="Times New Roman"/>
                <w:sz w:val="21"/>
              </w:rPr>
              <w:t>-142,783</w:t>
            </w:r>
          </w:p>
        </w:tc>
        <w:tc>
          <w:tcPr>
            <w:tcW w:w="1472" w:type="dxa"/>
          </w:tcPr>
          <w:p>
            <w:pPr>
              <w:pStyle w:val="TableParagraph"/>
              <w:spacing w:before="7"/>
              <w:ind w:right="97"/>
              <w:jc w:val="right"/>
              <w:rPr>
                <w:rFonts w:ascii="Times New Roman"/>
                <w:sz w:val="21"/>
              </w:rPr>
            </w:pPr>
            <w:r>
              <w:rPr>
                <w:rFonts w:ascii="Times New Roman"/>
                <w:sz w:val="21"/>
              </w:rPr>
              <w:t>356,678</w:t>
            </w:r>
          </w:p>
        </w:tc>
        <w:tc>
          <w:tcPr>
            <w:tcW w:w="1555" w:type="dxa"/>
          </w:tcPr>
          <w:p>
            <w:pPr>
              <w:pStyle w:val="TableParagraph"/>
              <w:spacing w:line="250" w:lineRule="exact" w:before="1"/>
              <w:ind w:left="757" w:right="643"/>
              <w:jc w:val="center"/>
              <w:rPr>
                <w:sz w:val="21"/>
              </w:rPr>
            </w:pPr>
            <w:r>
              <w:rPr>
                <w:sz w:val="21"/>
              </w:rPr>
              <w:t>/ </w:t>
            </w:r>
          </w:p>
        </w:tc>
      </w:tr>
    </w:tbl>
    <w:p>
      <w:pPr>
        <w:spacing w:after="0" w:line="250" w:lineRule="exact"/>
        <w:jc w:val="center"/>
        <w:rPr>
          <w:sz w:val="21"/>
        </w:rPr>
        <w:sectPr>
          <w:type w:val="continuous"/>
          <w:pgSz w:w="11910" w:h="16840"/>
          <w:pgMar w:top="780" w:bottom="280" w:left="1480" w:right="0"/>
        </w:sectPr>
      </w:pPr>
    </w:p>
    <w:p>
      <w:pPr>
        <w:pStyle w:val="BodyText"/>
        <w:spacing w:before="1"/>
      </w:pPr>
      <w:r>
        <w:rPr>
          <w:w w:val="100"/>
        </w:rPr>
        <w:t> </w:t>
      </w:r>
    </w:p>
    <w:p>
      <w:pPr>
        <w:pStyle w:val="BodyText"/>
        <w:spacing w:before="65"/>
      </w:pPr>
      <w:r>
        <w:rPr>
          <w:spacing w:val="-1"/>
        </w:rPr>
        <w:t>涉及政府补助的项目：</w:t>
      </w:r>
      <w:r>
        <w:rPr/>
        <w:t>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18"/>
        </w:rPr>
      </w:pPr>
    </w:p>
    <w:p>
      <w:pPr>
        <w:pStyle w:val="BodyText"/>
        <w:spacing w:before="1"/>
      </w:pPr>
      <w:r>
        <w:rPr>
          <w:spacing w:val="7"/>
        </w:rPr>
        <w:t>单位：千元 币种：人民币</w:t>
      </w:r>
      <w:r>
        <w:rPr/>
        <w:t> </w:t>
      </w:r>
    </w:p>
    <w:p>
      <w:pPr>
        <w:spacing w:after="0"/>
        <w:sectPr>
          <w:type w:val="continuous"/>
          <w:pgSz w:w="11910" w:h="16840"/>
          <w:pgMar w:top="780" w:bottom="280" w:left="1480" w:right="0"/>
          <w:cols w:num="2" w:equalWidth="0">
            <w:col w:w="2565" w:space="3746"/>
            <w:col w:w="4119"/>
          </w:cols>
        </w:sectPr>
      </w:pPr>
    </w:p>
    <w:p>
      <w:pPr>
        <w:pStyle w:val="BodyText"/>
        <w:spacing w:before="9"/>
        <w:ind w:left="0"/>
        <w:rPr>
          <w:sz w:val="4"/>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4"/>
        <w:gridCol w:w="1001"/>
        <w:gridCol w:w="1152"/>
        <w:gridCol w:w="1250"/>
        <w:gridCol w:w="1061"/>
        <w:gridCol w:w="1061"/>
        <w:gridCol w:w="978"/>
        <w:gridCol w:w="1287"/>
      </w:tblGrid>
      <w:tr>
        <w:trPr>
          <w:trHeight w:val="1089" w:hRule="atLeast"/>
        </w:trPr>
        <w:tc>
          <w:tcPr>
            <w:tcW w:w="1034" w:type="dxa"/>
          </w:tcPr>
          <w:p>
            <w:pPr>
              <w:pStyle w:val="TableParagraph"/>
              <w:spacing w:before="5"/>
              <w:rPr>
                <w:sz w:val="21"/>
              </w:rPr>
            </w:pPr>
          </w:p>
          <w:p>
            <w:pPr>
              <w:pStyle w:val="TableParagraph"/>
              <w:spacing w:line="242" w:lineRule="auto"/>
              <w:ind w:left="410" w:right="189" w:hanging="212"/>
              <w:rPr>
                <w:sz w:val="21"/>
              </w:rPr>
            </w:pPr>
            <w:r>
              <w:rPr>
                <w:sz w:val="21"/>
              </w:rPr>
              <w:t>负债项目 </w:t>
            </w:r>
          </w:p>
        </w:tc>
        <w:tc>
          <w:tcPr>
            <w:tcW w:w="1001" w:type="dxa"/>
          </w:tcPr>
          <w:p>
            <w:pPr>
              <w:pStyle w:val="TableParagraph"/>
              <w:spacing w:before="5"/>
              <w:rPr>
                <w:sz w:val="21"/>
              </w:rPr>
            </w:pPr>
          </w:p>
          <w:p>
            <w:pPr>
              <w:pStyle w:val="TableParagraph"/>
              <w:spacing w:line="242" w:lineRule="auto"/>
              <w:ind w:left="391" w:right="172" w:hanging="209"/>
              <w:rPr>
                <w:sz w:val="21"/>
              </w:rPr>
            </w:pPr>
            <w:r>
              <w:rPr>
                <w:sz w:val="21"/>
              </w:rPr>
              <w:t>期初余额 </w:t>
            </w:r>
          </w:p>
        </w:tc>
        <w:tc>
          <w:tcPr>
            <w:tcW w:w="1152" w:type="dxa"/>
          </w:tcPr>
          <w:p>
            <w:pPr>
              <w:pStyle w:val="TableParagraph"/>
              <w:spacing w:before="5"/>
              <w:rPr>
                <w:sz w:val="21"/>
              </w:rPr>
            </w:pPr>
          </w:p>
          <w:p>
            <w:pPr>
              <w:pStyle w:val="TableParagraph"/>
              <w:spacing w:line="242" w:lineRule="auto"/>
              <w:ind w:left="154" w:right="40"/>
              <w:rPr>
                <w:sz w:val="21"/>
              </w:rPr>
            </w:pPr>
            <w:r>
              <w:rPr>
                <w:sz w:val="21"/>
              </w:rPr>
              <w:t>本期新增补助金额 </w:t>
            </w:r>
          </w:p>
        </w:tc>
        <w:tc>
          <w:tcPr>
            <w:tcW w:w="1250" w:type="dxa"/>
          </w:tcPr>
          <w:p>
            <w:pPr>
              <w:pStyle w:val="TableParagraph"/>
              <w:spacing w:line="242" w:lineRule="auto" w:before="138"/>
              <w:ind w:left="202" w:right="193"/>
              <w:jc w:val="both"/>
              <w:rPr>
                <w:sz w:val="21"/>
              </w:rPr>
            </w:pPr>
            <w:r>
              <w:rPr>
                <w:spacing w:val="-1"/>
                <w:sz w:val="21"/>
              </w:rPr>
              <w:t>本期计入营业外收</w:t>
            </w:r>
            <w:r>
              <w:rPr>
                <w:sz w:val="21"/>
              </w:rPr>
              <w:t>入金额 </w:t>
            </w:r>
          </w:p>
        </w:tc>
        <w:tc>
          <w:tcPr>
            <w:tcW w:w="1061" w:type="dxa"/>
          </w:tcPr>
          <w:p>
            <w:pPr>
              <w:pStyle w:val="TableParagraph"/>
              <w:spacing w:line="242" w:lineRule="auto" w:before="1"/>
              <w:ind w:left="214" w:right="200"/>
              <w:jc w:val="both"/>
              <w:rPr>
                <w:sz w:val="21"/>
              </w:rPr>
            </w:pPr>
            <w:r>
              <w:rPr>
                <w:sz w:val="21"/>
              </w:rPr>
              <w:t>本期计入其他收益金</w:t>
            </w:r>
          </w:p>
          <w:p>
            <w:pPr>
              <w:pStyle w:val="TableParagraph"/>
              <w:spacing w:line="250" w:lineRule="exact" w:before="3"/>
              <w:ind w:left="426"/>
              <w:rPr>
                <w:sz w:val="21"/>
              </w:rPr>
            </w:pPr>
            <w:r>
              <w:rPr>
                <w:sz w:val="21"/>
              </w:rPr>
              <w:t>额 </w:t>
            </w:r>
          </w:p>
        </w:tc>
        <w:tc>
          <w:tcPr>
            <w:tcW w:w="1061" w:type="dxa"/>
          </w:tcPr>
          <w:p>
            <w:pPr>
              <w:pStyle w:val="TableParagraph"/>
              <w:spacing w:before="5"/>
              <w:rPr>
                <w:sz w:val="21"/>
              </w:rPr>
            </w:pPr>
          </w:p>
          <w:p>
            <w:pPr>
              <w:pStyle w:val="TableParagraph"/>
              <w:spacing w:line="242" w:lineRule="auto"/>
              <w:ind w:left="425" w:right="200" w:hanging="212"/>
              <w:rPr>
                <w:sz w:val="21"/>
              </w:rPr>
            </w:pPr>
            <w:r>
              <w:rPr>
                <w:sz w:val="21"/>
              </w:rPr>
              <w:t>其他变动 </w:t>
            </w:r>
          </w:p>
        </w:tc>
        <w:tc>
          <w:tcPr>
            <w:tcW w:w="978" w:type="dxa"/>
          </w:tcPr>
          <w:p>
            <w:pPr>
              <w:pStyle w:val="TableParagraph"/>
              <w:spacing w:before="5"/>
              <w:rPr>
                <w:sz w:val="21"/>
              </w:rPr>
            </w:pPr>
          </w:p>
          <w:p>
            <w:pPr>
              <w:pStyle w:val="TableParagraph"/>
              <w:spacing w:line="242" w:lineRule="auto"/>
              <w:ind w:left="382" w:right="158" w:hanging="209"/>
              <w:rPr>
                <w:sz w:val="21"/>
              </w:rPr>
            </w:pPr>
            <w:r>
              <w:rPr>
                <w:sz w:val="21"/>
              </w:rPr>
              <w:t>期末余额 </w:t>
            </w:r>
          </w:p>
        </w:tc>
        <w:tc>
          <w:tcPr>
            <w:tcW w:w="1287" w:type="dxa"/>
          </w:tcPr>
          <w:p>
            <w:pPr>
              <w:pStyle w:val="TableParagraph"/>
              <w:spacing w:before="138"/>
              <w:ind w:left="117"/>
              <w:rPr>
                <w:sz w:val="21"/>
              </w:rPr>
            </w:pPr>
            <w:r>
              <w:rPr>
                <w:sz w:val="21"/>
              </w:rPr>
              <w:t>与资产相关</w:t>
            </w:r>
          </w:p>
          <w:p>
            <w:pPr>
              <w:pStyle w:val="TableParagraph"/>
              <w:spacing w:line="242" w:lineRule="auto" w:before="4"/>
              <w:ind w:left="537" w:right="156" w:hanging="368"/>
              <w:rPr>
                <w:sz w:val="21"/>
              </w:rPr>
            </w:pPr>
            <w:r>
              <w:rPr>
                <w:sz w:val="21"/>
              </w:rPr>
              <w:t>/与收益相关 </w:t>
            </w:r>
          </w:p>
        </w:tc>
      </w:tr>
      <w:tr>
        <w:trPr>
          <w:trHeight w:val="546" w:hRule="atLeast"/>
        </w:trPr>
        <w:tc>
          <w:tcPr>
            <w:tcW w:w="1034" w:type="dxa"/>
          </w:tcPr>
          <w:p>
            <w:pPr>
              <w:pStyle w:val="TableParagraph"/>
              <w:spacing w:line="270" w:lineRule="atLeast"/>
              <w:ind w:left="112" w:right="172"/>
              <w:rPr>
                <w:sz w:val="21"/>
              </w:rPr>
            </w:pPr>
            <w:r>
              <w:rPr>
                <w:sz w:val="21"/>
              </w:rPr>
              <w:t>企业扶持资金 </w:t>
            </w:r>
          </w:p>
        </w:tc>
        <w:tc>
          <w:tcPr>
            <w:tcW w:w="1001" w:type="dxa"/>
          </w:tcPr>
          <w:p>
            <w:pPr>
              <w:pStyle w:val="TableParagraph"/>
              <w:spacing w:line="237" w:lineRule="exact"/>
              <w:ind w:right="100"/>
              <w:jc w:val="right"/>
              <w:rPr>
                <w:rFonts w:ascii="Times New Roman"/>
                <w:sz w:val="21"/>
              </w:rPr>
            </w:pPr>
            <w:r>
              <w:rPr>
                <w:rFonts w:ascii="Times New Roman"/>
                <w:sz w:val="21"/>
              </w:rPr>
              <w:t>109,672</w:t>
            </w:r>
          </w:p>
        </w:tc>
        <w:tc>
          <w:tcPr>
            <w:tcW w:w="1152" w:type="dxa"/>
          </w:tcPr>
          <w:p>
            <w:pPr>
              <w:pStyle w:val="TableParagraph"/>
              <w:spacing w:line="237" w:lineRule="exact"/>
              <w:ind w:right="100"/>
              <w:jc w:val="right"/>
              <w:rPr>
                <w:rFonts w:ascii="Times New Roman"/>
                <w:sz w:val="21"/>
              </w:rPr>
            </w:pPr>
            <w:r>
              <w:rPr>
                <w:rFonts w:ascii="Times New Roman"/>
                <w:sz w:val="21"/>
              </w:rPr>
              <w:t>132,708</w:t>
            </w:r>
          </w:p>
        </w:tc>
        <w:tc>
          <w:tcPr>
            <w:tcW w:w="1250" w:type="dxa"/>
          </w:tcPr>
          <w:p>
            <w:pPr>
              <w:pStyle w:val="TableParagraph"/>
              <w:rPr>
                <w:rFonts w:ascii="Times New Roman"/>
                <w:sz w:val="20"/>
              </w:rPr>
            </w:pPr>
          </w:p>
        </w:tc>
        <w:tc>
          <w:tcPr>
            <w:tcW w:w="1061" w:type="dxa"/>
          </w:tcPr>
          <w:p>
            <w:pPr>
              <w:pStyle w:val="TableParagraph"/>
              <w:spacing w:line="237" w:lineRule="exact"/>
              <w:ind w:right="99"/>
              <w:jc w:val="right"/>
              <w:rPr>
                <w:rFonts w:ascii="Times New Roman"/>
                <w:sz w:val="21"/>
              </w:rPr>
            </w:pPr>
            <w:r>
              <w:rPr>
                <w:rFonts w:ascii="Times New Roman"/>
                <w:sz w:val="21"/>
              </w:rPr>
              <w:t>-39,354</w:t>
            </w:r>
          </w:p>
        </w:tc>
        <w:tc>
          <w:tcPr>
            <w:tcW w:w="1061" w:type="dxa"/>
          </w:tcPr>
          <w:p>
            <w:pPr>
              <w:pStyle w:val="TableParagraph"/>
              <w:spacing w:line="237" w:lineRule="exact"/>
              <w:ind w:right="99"/>
              <w:jc w:val="right"/>
              <w:rPr>
                <w:rFonts w:ascii="Times New Roman"/>
                <w:sz w:val="21"/>
              </w:rPr>
            </w:pPr>
            <w:r>
              <w:rPr>
                <w:rFonts w:ascii="Times New Roman"/>
                <w:sz w:val="21"/>
              </w:rPr>
              <w:t>-2,830</w:t>
            </w:r>
          </w:p>
        </w:tc>
        <w:tc>
          <w:tcPr>
            <w:tcW w:w="978" w:type="dxa"/>
          </w:tcPr>
          <w:p>
            <w:pPr>
              <w:pStyle w:val="TableParagraph"/>
              <w:spacing w:line="237" w:lineRule="exact"/>
              <w:ind w:left="163" w:right="81"/>
              <w:jc w:val="center"/>
              <w:rPr>
                <w:rFonts w:ascii="Times New Roman"/>
                <w:sz w:val="21"/>
              </w:rPr>
            </w:pPr>
            <w:r>
              <w:rPr>
                <w:rFonts w:ascii="Times New Roman"/>
                <w:sz w:val="21"/>
              </w:rPr>
              <w:t>200,196</w:t>
            </w:r>
          </w:p>
        </w:tc>
        <w:tc>
          <w:tcPr>
            <w:tcW w:w="1287" w:type="dxa"/>
          </w:tcPr>
          <w:p>
            <w:pPr>
              <w:pStyle w:val="TableParagraph"/>
              <w:spacing w:before="3"/>
              <w:ind w:left="113"/>
              <w:rPr>
                <w:sz w:val="21"/>
              </w:rPr>
            </w:pPr>
            <w:r>
              <w:rPr>
                <w:sz w:val="21"/>
              </w:rPr>
              <w:t>与收益相关 </w:t>
            </w:r>
          </w:p>
        </w:tc>
      </w:tr>
      <w:tr>
        <w:trPr>
          <w:trHeight w:val="544" w:hRule="atLeast"/>
        </w:trPr>
        <w:tc>
          <w:tcPr>
            <w:tcW w:w="1034" w:type="dxa"/>
          </w:tcPr>
          <w:p>
            <w:pPr>
              <w:pStyle w:val="TableParagraph"/>
              <w:spacing w:before="1"/>
              <w:ind w:left="112"/>
              <w:rPr>
                <w:sz w:val="21"/>
              </w:rPr>
            </w:pPr>
            <w:r>
              <w:rPr>
                <w:sz w:val="21"/>
              </w:rPr>
              <w:t>技术改</w:t>
            </w:r>
          </w:p>
          <w:p>
            <w:pPr>
              <w:pStyle w:val="TableParagraph"/>
              <w:spacing w:line="252" w:lineRule="exact" w:before="2"/>
              <w:ind w:left="112"/>
              <w:rPr>
                <w:sz w:val="21"/>
              </w:rPr>
            </w:pPr>
            <w:r>
              <w:rPr>
                <w:sz w:val="21"/>
              </w:rPr>
              <w:t>造补助 </w:t>
            </w:r>
          </w:p>
        </w:tc>
        <w:tc>
          <w:tcPr>
            <w:tcW w:w="1001" w:type="dxa"/>
          </w:tcPr>
          <w:p>
            <w:pPr>
              <w:pStyle w:val="TableParagraph"/>
              <w:spacing w:line="235" w:lineRule="exact"/>
              <w:ind w:right="100"/>
              <w:jc w:val="right"/>
              <w:rPr>
                <w:rFonts w:ascii="Times New Roman"/>
                <w:sz w:val="21"/>
              </w:rPr>
            </w:pPr>
            <w:r>
              <w:rPr>
                <w:rFonts w:ascii="Times New Roman"/>
                <w:sz w:val="21"/>
              </w:rPr>
              <w:t>79,426</w:t>
            </w:r>
          </w:p>
        </w:tc>
        <w:tc>
          <w:tcPr>
            <w:tcW w:w="1152" w:type="dxa"/>
          </w:tcPr>
          <w:p>
            <w:pPr>
              <w:pStyle w:val="TableParagraph"/>
              <w:spacing w:line="235" w:lineRule="exact"/>
              <w:ind w:right="100"/>
              <w:jc w:val="right"/>
              <w:rPr>
                <w:rFonts w:ascii="Times New Roman"/>
                <w:sz w:val="21"/>
              </w:rPr>
            </w:pPr>
            <w:r>
              <w:rPr>
                <w:rFonts w:ascii="Times New Roman"/>
                <w:sz w:val="21"/>
              </w:rPr>
              <w:t>38,710</w:t>
            </w:r>
          </w:p>
        </w:tc>
        <w:tc>
          <w:tcPr>
            <w:tcW w:w="1250" w:type="dxa"/>
          </w:tcPr>
          <w:p>
            <w:pPr>
              <w:pStyle w:val="TableParagraph"/>
              <w:rPr>
                <w:rFonts w:ascii="Times New Roman"/>
                <w:sz w:val="20"/>
              </w:rPr>
            </w:pPr>
          </w:p>
        </w:tc>
        <w:tc>
          <w:tcPr>
            <w:tcW w:w="1061" w:type="dxa"/>
          </w:tcPr>
          <w:p>
            <w:pPr>
              <w:pStyle w:val="TableParagraph"/>
              <w:spacing w:line="235" w:lineRule="exact"/>
              <w:ind w:right="99"/>
              <w:jc w:val="right"/>
              <w:rPr>
                <w:rFonts w:ascii="Times New Roman"/>
                <w:sz w:val="21"/>
              </w:rPr>
            </w:pPr>
            <w:r>
              <w:rPr>
                <w:rFonts w:ascii="Times New Roman"/>
                <w:sz w:val="21"/>
              </w:rPr>
              <w:t>-58,962</w:t>
            </w:r>
          </w:p>
        </w:tc>
        <w:tc>
          <w:tcPr>
            <w:tcW w:w="1061" w:type="dxa"/>
          </w:tcPr>
          <w:p>
            <w:pPr>
              <w:pStyle w:val="TableParagraph"/>
              <w:spacing w:line="235" w:lineRule="exact"/>
              <w:ind w:right="99"/>
              <w:jc w:val="right"/>
              <w:rPr>
                <w:rFonts w:ascii="Times New Roman"/>
                <w:sz w:val="21"/>
              </w:rPr>
            </w:pPr>
            <w:r>
              <w:rPr>
                <w:rFonts w:ascii="Times New Roman"/>
                <w:w w:val="100"/>
                <w:sz w:val="21"/>
              </w:rPr>
              <w:t>-</w:t>
            </w:r>
          </w:p>
        </w:tc>
        <w:tc>
          <w:tcPr>
            <w:tcW w:w="978" w:type="dxa"/>
          </w:tcPr>
          <w:p>
            <w:pPr>
              <w:pStyle w:val="TableParagraph"/>
              <w:spacing w:line="235" w:lineRule="exact"/>
              <w:ind w:left="266" w:right="81"/>
              <w:jc w:val="center"/>
              <w:rPr>
                <w:rFonts w:ascii="Times New Roman"/>
                <w:sz w:val="21"/>
              </w:rPr>
            </w:pPr>
            <w:r>
              <w:rPr>
                <w:rFonts w:ascii="Times New Roman"/>
                <w:sz w:val="21"/>
              </w:rPr>
              <w:t>59,174</w:t>
            </w:r>
          </w:p>
        </w:tc>
        <w:tc>
          <w:tcPr>
            <w:tcW w:w="1287" w:type="dxa"/>
          </w:tcPr>
          <w:p>
            <w:pPr>
              <w:pStyle w:val="TableParagraph"/>
              <w:spacing w:before="1"/>
              <w:ind w:left="113"/>
              <w:rPr>
                <w:sz w:val="21"/>
              </w:rPr>
            </w:pPr>
            <w:r>
              <w:rPr>
                <w:sz w:val="21"/>
              </w:rPr>
              <w:t>与资产相关 </w:t>
            </w:r>
          </w:p>
        </w:tc>
      </w:tr>
      <w:tr>
        <w:trPr>
          <w:trHeight w:val="544" w:hRule="atLeast"/>
        </w:trPr>
        <w:tc>
          <w:tcPr>
            <w:tcW w:w="1034" w:type="dxa"/>
          </w:tcPr>
          <w:p>
            <w:pPr>
              <w:pStyle w:val="TableParagraph"/>
              <w:spacing w:before="1"/>
              <w:ind w:left="112"/>
              <w:rPr>
                <w:sz w:val="21"/>
              </w:rPr>
            </w:pPr>
            <w:r>
              <w:rPr>
                <w:sz w:val="21"/>
              </w:rPr>
              <w:t>研发项</w:t>
            </w:r>
          </w:p>
          <w:p>
            <w:pPr>
              <w:pStyle w:val="TableParagraph"/>
              <w:spacing w:line="252" w:lineRule="exact" w:before="2"/>
              <w:ind w:left="112"/>
              <w:rPr>
                <w:sz w:val="21"/>
              </w:rPr>
            </w:pPr>
            <w:r>
              <w:rPr>
                <w:sz w:val="21"/>
              </w:rPr>
              <w:t>目补贴 </w:t>
            </w:r>
          </w:p>
        </w:tc>
        <w:tc>
          <w:tcPr>
            <w:tcW w:w="1001" w:type="dxa"/>
          </w:tcPr>
          <w:p>
            <w:pPr>
              <w:pStyle w:val="TableParagraph"/>
              <w:spacing w:line="235" w:lineRule="exact"/>
              <w:ind w:right="100"/>
              <w:jc w:val="right"/>
              <w:rPr>
                <w:rFonts w:ascii="Times New Roman"/>
                <w:sz w:val="21"/>
              </w:rPr>
            </w:pPr>
            <w:r>
              <w:rPr>
                <w:rFonts w:ascii="Times New Roman"/>
                <w:sz w:val="21"/>
              </w:rPr>
              <w:t>67,700</w:t>
            </w:r>
          </w:p>
        </w:tc>
        <w:tc>
          <w:tcPr>
            <w:tcW w:w="1152" w:type="dxa"/>
          </w:tcPr>
          <w:p>
            <w:pPr>
              <w:pStyle w:val="TableParagraph"/>
              <w:spacing w:line="235" w:lineRule="exact"/>
              <w:ind w:right="100"/>
              <w:jc w:val="right"/>
              <w:rPr>
                <w:rFonts w:ascii="Times New Roman"/>
                <w:sz w:val="21"/>
              </w:rPr>
            </w:pPr>
            <w:r>
              <w:rPr>
                <w:rFonts w:ascii="Times New Roman"/>
                <w:sz w:val="21"/>
              </w:rPr>
              <w:t>16,769</w:t>
            </w:r>
          </w:p>
        </w:tc>
        <w:tc>
          <w:tcPr>
            <w:tcW w:w="1250" w:type="dxa"/>
          </w:tcPr>
          <w:p>
            <w:pPr>
              <w:pStyle w:val="TableParagraph"/>
              <w:rPr>
                <w:rFonts w:ascii="Times New Roman"/>
                <w:sz w:val="20"/>
              </w:rPr>
            </w:pPr>
          </w:p>
        </w:tc>
        <w:tc>
          <w:tcPr>
            <w:tcW w:w="1061" w:type="dxa"/>
          </w:tcPr>
          <w:p>
            <w:pPr>
              <w:pStyle w:val="TableParagraph"/>
              <w:spacing w:line="235" w:lineRule="exact"/>
              <w:ind w:right="99"/>
              <w:jc w:val="right"/>
              <w:rPr>
                <w:rFonts w:ascii="Times New Roman"/>
                <w:sz w:val="21"/>
              </w:rPr>
            </w:pPr>
            <w:r>
              <w:rPr>
                <w:rFonts w:ascii="Times New Roman"/>
                <w:sz w:val="21"/>
              </w:rPr>
              <w:t>-26,203</w:t>
            </w:r>
          </w:p>
        </w:tc>
        <w:tc>
          <w:tcPr>
            <w:tcW w:w="1061" w:type="dxa"/>
          </w:tcPr>
          <w:p>
            <w:pPr>
              <w:pStyle w:val="TableParagraph"/>
              <w:spacing w:line="235" w:lineRule="exact"/>
              <w:ind w:right="99"/>
              <w:jc w:val="right"/>
              <w:rPr>
                <w:rFonts w:ascii="Times New Roman"/>
                <w:sz w:val="21"/>
              </w:rPr>
            </w:pPr>
            <w:r>
              <w:rPr>
                <w:rFonts w:ascii="Times New Roman"/>
                <w:w w:val="100"/>
                <w:sz w:val="21"/>
              </w:rPr>
              <w:t>-</w:t>
            </w:r>
          </w:p>
        </w:tc>
        <w:tc>
          <w:tcPr>
            <w:tcW w:w="978" w:type="dxa"/>
          </w:tcPr>
          <w:p>
            <w:pPr>
              <w:pStyle w:val="TableParagraph"/>
              <w:spacing w:line="235" w:lineRule="exact"/>
              <w:ind w:left="266" w:right="81"/>
              <w:jc w:val="center"/>
              <w:rPr>
                <w:rFonts w:ascii="Times New Roman"/>
                <w:sz w:val="21"/>
              </w:rPr>
            </w:pPr>
            <w:r>
              <w:rPr>
                <w:rFonts w:ascii="Times New Roman"/>
                <w:sz w:val="21"/>
              </w:rPr>
              <w:t>58,266</w:t>
            </w:r>
          </w:p>
        </w:tc>
        <w:tc>
          <w:tcPr>
            <w:tcW w:w="1287" w:type="dxa"/>
          </w:tcPr>
          <w:p>
            <w:pPr>
              <w:pStyle w:val="TableParagraph"/>
              <w:spacing w:before="1"/>
              <w:ind w:left="113"/>
              <w:rPr>
                <w:sz w:val="21"/>
              </w:rPr>
            </w:pPr>
            <w:r>
              <w:rPr>
                <w:sz w:val="21"/>
              </w:rPr>
              <w:t>与收益相关 </w:t>
            </w:r>
          </w:p>
        </w:tc>
      </w:tr>
      <w:tr>
        <w:trPr>
          <w:trHeight w:val="544" w:hRule="atLeast"/>
        </w:trPr>
        <w:tc>
          <w:tcPr>
            <w:tcW w:w="1034" w:type="dxa"/>
          </w:tcPr>
          <w:p>
            <w:pPr>
              <w:pStyle w:val="TableParagraph"/>
              <w:spacing w:before="1"/>
              <w:ind w:left="112"/>
              <w:rPr>
                <w:sz w:val="21"/>
              </w:rPr>
            </w:pPr>
            <w:r>
              <w:rPr>
                <w:sz w:val="21"/>
              </w:rPr>
              <w:t>科技研</w:t>
            </w:r>
          </w:p>
          <w:p>
            <w:pPr>
              <w:pStyle w:val="TableParagraph"/>
              <w:spacing w:line="252" w:lineRule="exact" w:before="2"/>
              <w:ind w:left="112"/>
              <w:rPr>
                <w:sz w:val="21"/>
              </w:rPr>
            </w:pPr>
            <w:r>
              <w:rPr>
                <w:sz w:val="21"/>
              </w:rPr>
              <w:t>发补助 </w:t>
            </w:r>
          </w:p>
        </w:tc>
        <w:tc>
          <w:tcPr>
            <w:tcW w:w="1001" w:type="dxa"/>
          </w:tcPr>
          <w:p>
            <w:pPr>
              <w:pStyle w:val="TableParagraph"/>
              <w:spacing w:line="235" w:lineRule="exact"/>
              <w:ind w:right="100"/>
              <w:jc w:val="right"/>
              <w:rPr>
                <w:rFonts w:ascii="Times New Roman"/>
                <w:sz w:val="21"/>
              </w:rPr>
            </w:pPr>
            <w:r>
              <w:rPr>
                <w:rFonts w:ascii="Times New Roman"/>
                <w:sz w:val="21"/>
              </w:rPr>
              <w:t>46,905</w:t>
            </w:r>
          </w:p>
        </w:tc>
        <w:tc>
          <w:tcPr>
            <w:tcW w:w="1152" w:type="dxa"/>
          </w:tcPr>
          <w:p>
            <w:pPr>
              <w:pStyle w:val="TableParagraph"/>
              <w:spacing w:line="235" w:lineRule="exact"/>
              <w:ind w:right="100"/>
              <w:jc w:val="right"/>
              <w:rPr>
                <w:rFonts w:ascii="Times New Roman"/>
                <w:sz w:val="21"/>
              </w:rPr>
            </w:pPr>
            <w:r>
              <w:rPr>
                <w:rFonts w:ascii="Times New Roman"/>
                <w:sz w:val="21"/>
              </w:rPr>
              <w:t>7,571</w:t>
            </w:r>
          </w:p>
        </w:tc>
        <w:tc>
          <w:tcPr>
            <w:tcW w:w="1250" w:type="dxa"/>
          </w:tcPr>
          <w:p>
            <w:pPr>
              <w:pStyle w:val="TableParagraph"/>
              <w:rPr>
                <w:rFonts w:ascii="Times New Roman"/>
                <w:sz w:val="20"/>
              </w:rPr>
            </w:pPr>
          </w:p>
        </w:tc>
        <w:tc>
          <w:tcPr>
            <w:tcW w:w="1061" w:type="dxa"/>
          </w:tcPr>
          <w:p>
            <w:pPr>
              <w:pStyle w:val="TableParagraph"/>
              <w:spacing w:line="235" w:lineRule="exact"/>
              <w:ind w:right="99"/>
              <w:jc w:val="right"/>
              <w:rPr>
                <w:rFonts w:ascii="Times New Roman"/>
                <w:sz w:val="21"/>
              </w:rPr>
            </w:pPr>
            <w:r>
              <w:rPr>
                <w:rFonts w:ascii="Times New Roman"/>
                <w:sz w:val="21"/>
              </w:rPr>
              <w:t>-12,699</w:t>
            </w:r>
          </w:p>
        </w:tc>
        <w:tc>
          <w:tcPr>
            <w:tcW w:w="1061" w:type="dxa"/>
          </w:tcPr>
          <w:p>
            <w:pPr>
              <w:pStyle w:val="TableParagraph"/>
              <w:spacing w:line="235" w:lineRule="exact"/>
              <w:ind w:right="99"/>
              <w:jc w:val="right"/>
              <w:rPr>
                <w:rFonts w:ascii="Times New Roman"/>
                <w:sz w:val="21"/>
              </w:rPr>
            </w:pPr>
            <w:r>
              <w:rPr>
                <w:rFonts w:ascii="Times New Roman"/>
                <w:sz w:val="21"/>
              </w:rPr>
              <w:t>-2,735</w:t>
            </w:r>
          </w:p>
        </w:tc>
        <w:tc>
          <w:tcPr>
            <w:tcW w:w="978" w:type="dxa"/>
          </w:tcPr>
          <w:p>
            <w:pPr>
              <w:pStyle w:val="TableParagraph"/>
              <w:spacing w:line="235" w:lineRule="exact"/>
              <w:ind w:left="266" w:right="81"/>
              <w:jc w:val="center"/>
              <w:rPr>
                <w:rFonts w:ascii="Times New Roman"/>
                <w:sz w:val="21"/>
              </w:rPr>
            </w:pPr>
            <w:r>
              <w:rPr>
                <w:rFonts w:ascii="Times New Roman"/>
                <w:sz w:val="21"/>
              </w:rPr>
              <w:t>39,042</w:t>
            </w:r>
          </w:p>
        </w:tc>
        <w:tc>
          <w:tcPr>
            <w:tcW w:w="1287" w:type="dxa"/>
          </w:tcPr>
          <w:p>
            <w:pPr>
              <w:pStyle w:val="TableParagraph"/>
              <w:spacing w:before="1"/>
              <w:ind w:left="113"/>
              <w:rPr>
                <w:sz w:val="21"/>
              </w:rPr>
            </w:pPr>
            <w:r>
              <w:rPr>
                <w:sz w:val="21"/>
              </w:rPr>
              <w:t>与资产相关 </w:t>
            </w:r>
          </w:p>
        </w:tc>
      </w:tr>
      <w:tr>
        <w:trPr>
          <w:trHeight w:val="273" w:hRule="atLeast"/>
        </w:trPr>
        <w:tc>
          <w:tcPr>
            <w:tcW w:w="1034" w:type="dxa"/>
          </w:tcPr>
          <w:p>
            <w:pPr>
              <w:pStyle w:val="TableParagraph"/>
              <w:spacing w:line="252" w:lineRule="exact" w:before="1"/>
              <w:ind w:left="112"/>
              <w:rPr>
                <w:sz w:val="21"/>
              </w:rPr>
            </w:pPr>
            <w:r>
              <w:rPr>
                <w:w w:val="100"/>
                <w:sz w:val="21"/>
              </w:rPr>
              <w:t> </w:t>
            </w:r>
          </w:p>
        </w:tc>
        <w:tc>
          <w:tcPr>
            <w:tcW w:w="1001" w:type="dxa"/>
          </w:tcPr>
          <w:p>
            <w:pPr>
              <w:pStyle w:val="TableParagraph"/>
              <w:spacing w:line="235" w:lineRule="exact"/>
              <w:ind w:right="100"/>
              <w:jc w:val="right"/>
              <w:rPr>
                <w:rFonts w:ascii="Times New Roman"/>
                <w:sz w:val="21"/>
              </w:rPr>
            </w:pPr>
            <w:r>
              <w:rPr>
                <w:rFonts w:ascii="Times New Roman"/>
                <w:sz w:val="21"/>
              </w:rPr>
              <w:t>303,703</w:t>
            </w:r>
          </w:p>
        </w:tc>
        <w:tc>
          <w:tcPr>
            <w:tcW w:w="1152" w:type="dxa"/>
          </w:tcPr>
          <w:p>
            <w:pPr>
              <w:pStyle w:val="TableParagraph"/>
              <w:spacing w:line="235" w:lineRule="exact"/>
              <w:ind w:right="100"/>
              <w:jc w:val="right"/>
              <w:rPr>
                <w:rFonts w:ascii="Times New Roman"/>
                <w:sz w:val="21"/>
              </w:rPr>
            </w:pPr>
            <w:r>
              <w:rPr>
                <w:rFonts w:ascii="Times New Roman"/>
                <w:sz w:val="21"/>
              </w:rPr>
              <w:t>195,758</w:t>
            </w:r>
          </w:p>
        </w:tc>
        <w:tc>
          <w:tcPr>
            <w:tcW w:w="1250" w:type="dxa"/>
          </w:tcPr>
          <w:p>
            <w:pPr>
              <w:pStyle w:val="TableParagraph"/>
              <w:rPr>
                <w:rFonts w:ascii="Times New Roman"/>
                <w:sz w:val="20"/>
              </w:rPr>
            </w:pPr>
          </w:p>
        </w:tc>
        <w:tc>
          <w:tcPr>
            <w:tcW w:w="1061" w:type="dxa"/>
          </w:tcPr>
          <w:p>
            <w:pPr>
              <w:pStyle w:val="TableParagraph"/>
              <w:spacing w:line="235" w:lineRule="exact"/>
              <w:ind w:right="99"/>
              <w:jc w:val="right"/>
              <w:rPr>
                <w:rFonts w:ascii="Times New Roman"/>
                <w:sz w:val="21"/>
              </w:rPr>
            </w:pPr>
            <w:r>
              <w:rPr>
                <w:rFonts w:ascii="Times New Roman"/>
                <w:sz w:val="21"/>
              </w:rPr>
              <w:t>-137,218</w:t>
            </w:r>
          </w:p>
        </w:tc>
        <w:tc>
          <w:tcPr>
            <w:tcW w:w="1061" w:type="dxa"/>
          </w:tcPr>
          <w:p>
            <w:pPr>
              <w:pStyle w:val="TableParagraph"/>
              <w:spacing w:line="235" w:lineRule="exact"/>
              <w:ind w:right="99"/>
              <w:jc w:val="right"/>
              <w:rPr>
                <w:rFonts w:ascii="Times New Roman"/>
                <w:sz w:val="21"/>
              </w:rPr>
            </w:pPr>
            <w:r>
              <w:rPr>
                <w:rFonts w:ascii="Times New Roman"/>
                <w:sz w:val="21"/>
              </w:rPr>
              <w:t>-5,565</w:t>
            </w:r>
          </w:p>
        </w:tc>
        <w:tc>
          <w:tcPr>
            <w:tcW w:w="978" w:type="dxa"/>
          </w:tcPr>
          <w:p>
            <w:pPr>
              <w:pStyle w:val="TableParagraph"/>
              <w:spacing w:line="235" w:lineRule="exact"/>
              <w:ind w:left="163" w:right="81"/>
              <w:jc w:val="center"/>
              <w:rPr>
                <w:rFonts w:ascii="Times New Roman"/>
                <w:sz w:val="21"/>
              </w:rPr>
            </w:pPr>
            <w:r>
              <w:rPr>
                <w:rFonts w:ascii="Times New Roman"/>
                <w:sz w:val="21"/>
              </w:rPr>
              <w:t>356,678</w:t>
            </w:r>
          </w:p>
        </w:tc>
        <w:tc>
          <w:tcPr>
            <w:tcW w:w="1287" w:type="dxa"/>
          </w:tcPr>
          <w:p>
            <w:pPr>
              <w:pStyle w:val="TableParagraph"/>
              <w:spacing w:line="252" w:lineRule="exact" w:before="1"/>
              <w:ind w:left="113"/>
              <w:rPr>
                <w:sz w:val="21"/>
              </w:rPr>
            </w:pPr>
            <w:r>
              <w:rPr>
                <w:w w:val="100"/>
                <w:sz w:val="21"/>
              </w:rPr>
              <w:t> </w:t>
            </w:r>
          </w:p>
        </w:tc>
      </w:tr>
    </w:tbl>
    <w:p>
      <w:pPr>
        <w:spacing w:after="0" w:line="252" w:lineRule="exact"/>
        <w:rPr>
          <w:sz w:val="21"/>
        </w:rPr>
        <w:sectPr>
          <w:type w:val="continuous"/>
          <w:pgSz w:w="11910" w:h="16840"/>
          <w:pgMar w:top="780" w:bottom="280" w:left="1480" w:right="0"/>
        </w:sectPr>
      </w:pPr>
    </w:p>
    <w:p>
      <w:pPr>
        <w:pStyle w:val="BodyText"/>
        <w:spacing w:before="1"/>
      </w:pPr>
      <w:r>
        <w:rPr>
          <w:w w:val="100"/>
        </w:rPr>
        <w:t> </w:t>
      </w:r>
    </w:p>
    <w:p>
      <w:pPr>
        <w:pStyle w:val="BodyText"/>
        <w:spacing w:before="3"/>
      </w:pPr>
      <w:r>
        <w:rPr>
          <w:w w:val="100"/>
        </w:rPr>
        <w:t> </w:t>
      </w:r>
    </w:p>
    <w:p>
      <w:pPr>
        <w:pStyle w:val="BodyText"/>
        <w:spacing w:before="64"/>
      </w:pPr>
      <w:bookmarkStart w:name="OLE_LINK84" w:id="19"/>
      <w:bookmarkEnd w:id="19"/>
      <w:r>
        <w:rPr/>
      </w:r>
      <w:bookmarkStart w:name="OLE_LINK85" w:id="20"/>
      <w:bookmarkEnd w:id="20"/>
      <w:r>
        <w:rPr/>
      </w:r>
      <w:r>
        <w:rPr/>
        <w:t>其他说明： </w:t>
      </w:r>
    </w:p>
    <w:p>
      <w:pPr>
        <w:pStyle w:val="BodyText"/>
        <w:spacing w:before="62"/>
      </w:pPr>
      <w:r>
        <w:rPr>
          <w:spacing w:val="-1"/>
        </w:rPr>
        <w:t>□适用 √不适用</w:t>
      </w:r>
      <w:r>
        <w:rPr>
          <w:spacing w:val="-3"/>
        </w:rPr>
        <w:t> </w:t>
      </w:r>
      <w:r>
        <w:rPr/>
        <w:t> </w:t>
      </w:r>
    </w:p>
    <w:p>
      <w:pPr>
        <w:pStyle w:val="BodyText"/>
        <w:spacing w:before="65"/>
      </w:pPr>
      <w:r>
        <w:rPr>
          <w:w w:val="100"/>
        </w:rPr>
        <w:t> </w:t>
      </w:r>
    </w:p>
    <w:p>
      <w:pPr>
        <w:pStyle w:val="BodyText"/>
        <w:spacing w:before="62"/>
      </w:pPr>
      <w:r>
        <w:rPr/>
        <w:t>52</w:t>
      </w:r>
      <w:r>
        <w:rPr>
          <w:spacing w:val="-5"/>
        </w:rPr>
        <w:t>、 其他非流动负债</w:t>
      </w:r>
      <w:r>
        <w:rPr/>
        <w:t> </w:t>
      </w:r>
    </w:p>
    <w:p>
      <w:pPr>
        <w:pStyle w:val="BodyText"/>
        <w:spacing w:before="64"/>
      </w:pPr>
      <w:r>
        <w:rPr>
          <w:spacing w:val="-1"/>
        </w:rPr>
        <w:t>□适用 √不适用</w:t>
      </w:r>
      <w:r>
        <w:rPr>
          <w:spacing w:val="-3"/>
        </w:rPr>
        <w:t> </w:t>
      </w:r>
      <w:r>
        <w:rPr/>
        <w:t> </w:t>
      </w:r>
    </w:p>
    <w:p>
      <w:pPr>
        <w:pStyle w:val="BodyText"/>
        <w:spacing w:before="3"/>
      </w:pPr>
      <w:r>
        <w:rPr>
          <w:w w:val="100"/>
        </w:rPr>
        <w:t> </w:t>
      </w:r>
    </w:p>
    <w:p>
      <w:pPr>
        <w:pStyle w:val="BodyText"/>
        <w:spacing w:before="2"/>
      </w:pPr>
      <w:r>
        <w:rPr>
          <w:w w:val="100"/>
        </w:rPr>
        <w:t> </w:t>
      </w:r>
    </w:p>
    <w:p>
      <w:pPr>
        <w:pStyle w:val="BodyText"/>
        <w:spacing w:before="65"/>
      </w:pPr>
      <w:r>
        <w:rPr/>
        <w:t>53</w:t>
      </w:r>
      <w:r>
        <w:rPr>
          <w:spacing w:val="-6"/>
        </w:rPr>
        <w:t>、 股本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9"/>
        <w:ind w:left="0"/>
        <w:rPr>
          <w:sz w:val="26"/>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2444" w:space="3866"/>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282"/>
        <w:gridCol w:w="977"/>
        <w:gridCol w:w="975"/>
        <w:gridCol w:w="1047"/>
        <w:gridCol w:w="1059"/>
        <w:gridCol w:w="1033"/>
        <w:gridCol w:w="1323"/>
      </w:tblGrid>
      <w:tr>
        <w:trPr>
          <w:trHeight w:val="273" w:hRule="atLeast"/>
        </w:trPr>
        <w:tc>
          <w:tcPr>
            <w:tcW w:w="1130" w:type="dxa"/>
            <w:vMerge w:val="restart"/>
          </w:tcPr>
          <w:p>
            <w:pPr>
              <w:pStyle w:val="TableParagraph"/>
              <w:spacing w:before="3"/>
              <w:ind w:left="113"/>
              <w:jc w:val="center"/>
              <w:rPr>
                <w:sz w:val="21"/>
              </w:rPr>
            </w:pPr>
            <w:r>
              <w:rPr>
                <w:w w:val="100"/>
                <w:sz w:val="21"/>
              </w:rPr>
              <w:t> </w:t>
            </w:r>
          </w:p>
        </w:tc>
        <w:tc>
          <w:tcPr>
            <w:tcW w:w="1282" w:type="dxa"/>
            <w:vMerge w:val="restart"/>
          </w:tcPr>
          <w:p>
            <w:pPr>
              <w:pStyle w:val="TableParagraph"/>
              <w:spacing w:before="10"/>
              <w:rPr>
                <w:sz w:val="21"/>
              </w:rPr>
            </w:pPr>
          </w:p>
          <w:p>
            <w:pPr>
              <w:pStyle w:val="TableParagraph"/>
              <w:ind w:left="218"/>
              <w:rPr>
                <w:sz w:val="21"/>
              </w:rPr>
            </w:pPr>
            <w:r>
              <w:rPr>
                <w:spacing w:val="-1"/>
                <w:sz w:val="21"/>
              </w:rPr>
              <w:t>期初余额</w:t>
            </w:r>
            <w:r>
              <w:rPr>
                <w:sz w:val="21"/>
              </w:rPr>
              <w:t> </w:t>
            </w:r>
          </w:p>
        </w:tc>
        <w:tc>
          <w:tcPr>
            <w:tcW w:w="5091" w:type="dxa"/>
            <w:gridSpan w:val="5"/>
          </w:tcPr>
          <w:p>
            <w:pPr>
              <w:pStyle w:val="TableParagraph"/>
              <w:spacing w:line="250" w:lineRule="exact" w:before="3"/>
              <w:ind w:left="1440"/>
              <w:rPr>
                <w:sz w:val="21"/>
              </w:rPr>
            </w:pPr>
            <w:r>
              <w:rPr>
                <w:spacing w:val="-1"/>
                <w:sz w:val="21"/>
              </w:rPr>
              <w:t>本次变动增减</w:t>
            </w:r>
            <w:r>
              <w:rPr>
                <w:sz w:val="21"/>
              </w:rPr>
              <w:t>（+、一） </w:t>
            </w:r>
          </w:p>
        </w:tc>
        <w:tc>
          <w:tcPr>
            <w:tcW w:w="1323" w:type="dxa"/>
            <w:vMerge w:val="restart"/>
          </w:tcPr>
          <w:p>
            <w:pPr>
              <w:pStyle w:val="TableParagraph"/>
              <w:spacing w:before="10"/>
              <w:rPr>
                <w:sz w:val="21"/>
              </w:rPr>
            </w:pPr>
          </w:p>
          <w:p>
            <w:pPr>
              <w:pStyle w:val="TableParagraph"/>
              <w:ind w:left="238"/>
              <w:rPr>
                <w:sz w:val="21"/>
              </w:rPr>
            </w:pPr>
            <w:r>
              <w:rPr>
                <w:spacing w:val="-1"/>
                <w:sz w:val="21"/>
              </w:rPr>
              <w:t>期末余额</w:t>
            </w:r>
            <w:r>
              <w:rPr>
                <w:sz w:val="21"/>
              </w:rPr>
              <w:t> </w:t>
            </w:r>
          </w:p>
        </w:tc>
      </w:tr>
      <w:tr>
        <w:trPr>
          <w:trHeight w:val="544" w:hRule="atLeast"/>
        </w:trPr>
        <w:tc>
          <w:tcPr>
            <w:tcW w:w="1130" w:type="dxa"/>
            <w:vMerge/>
            <w:tcBorders>
              <w:top w:val="nil"/>
            </w:tcBorders>
          </w:tcPr>
          <w:p>
            <w:pPr>
              <w:rPr>
                <w:sz w:val="2"/>
                <w:szCs w:val="2"/>
              </w:rPr>
            </w:pPr>
          </w:p>
        </w:tc>
        <w:tc>
          <w:tcPr>
            <w:tcW w:w="1282" w:type="dxa"/>
            <w:vMerge/>
            <w:tcBorders>
              <w:top w:val="nil"/>
            </w:tcBorders>
          </w:tcPr>
          <w:p>
            <w:pPr>
              <w:rPr>
                <w:sz w:val="2"/>
                <w:szCs w:val="2"/>
              </w:rPr>
            </w:pPr>
          </w:p>
        </w:tc>
        <w:tc>
          <w:tcPr>
            <w:tcW w:w="977" w:type="dxa"/>
          </w:tcPr>
          <w:p>
            <w:pPr>
              <w:pStyle w:val="TableParagraph"/>
              <w:spacing w:before="1"/>
              <w:ind w:left="278"/>
              <w:rPr>
                <w:sz w:val="21"/>
              </w:rPr>
            </w:pPr>
            <w:r>
              <w:rPr>
                <w:spacing w:val="-1"/>
                <w:sz w:val="21"/>
              </w:rPr>
              <w:t>发行</w:t>
            </w:r>
            <w:r>
              <w:rPr>
                <w:sz w:val="21"/>
              </w:rPr>
              <w:t> </w:t>
            </w:r>
          </w:p>
          <w:p>
            <w:pPr>
              <w:pStyle w:val="TableParagraph"/>
              <w:spacing w:line="250" w:lineRule="exact" w:before="4"/>
              <w:ind w:left="278"/>
              <w:rPr>
                <w:sz w:val="21"/>
              </w:rPr>
            </w:pPr>
            <w:r>
              <w:rPr>
                <w:spacing w:val="-1"/>
                <w:sz w:val="21"/>
              </w:rPr>
              <w:t>新股</w:t>
            </w:r>
            <w:r>
              <w:rPr>
                <w:sz w:val="21"/>
              </w:rPr>
              <w:t> </w:t>
            </w:r>
          </w:p>
        </w:tc>
        <w:tc>
          <w:tcPr>
            <w:tcW w:w="975" w:type="dxa"/>
          </w:tcPr>
          <w:p>
            <w:pPr>
              <w:pStyle w:val="TableParagraph"/>
              <w:spacing w:before="137"/>
              <w:ind w:left="276"/>
              <w:rPr>
                <w:sz w:val="21"/>
              </w:rPr>
            </w:pPr>
            <w:r>
              <w:rPr>
                <w:sz w:val="21"/>
              </w:rPr>
              <w:t>送股 </w:t>
            </w:r>
          </w:p>
        </w:tc>
        <w:tc>
          <w:tcPr>
            <w:tcW w:w="1047" w:type="dxa"/>
          </w:tcPr>
          <w:p>
            <w:pPr>
              <w:pStyle w:val="TableParagraph"/>
              <w:spacing w:before="1"/>
              <w:ind w:left="206"/>
              <w:rPr>
                <w:sz w:val="21"/>
              </w:rPr>
            </w:pPr>
            <w:r>
              <w:rPr>
                <w:sz w:val="21"/>
              </w:rPr>
              <w:t>公积金 </w:t>
            </w:r>
          </w:p>
          <w:p>
            <w:pPr>
              <w:pStyle w:val="TableParagraph"/>
              <w:spacing w:line="250" w:lineRule="exact" w:before="4"/>
              <w:ind w:left="311"/>
              <w:rPr>
                <w:sz w:val="21"/>
              </w:rPr>
            </w:pPr>
            <w:r>
              <w:rPr>
                <w:sz w:val="21"/>
              </w:rPr>
              <w:t>转股 </w:t>
            </w:r>
          </w:p>
        </w:tc>
        <w:tc>
          <w:tcPr>
            <w:tcW w:w="1059" w:type="dxa"/>
          </w:tcPr>
          <w:p>
            <w:pPr>
              <w:pStyle w:val="TableParagraph"/>
              <w:spacing w:before="137"/>
              <w:ind w:left="318"/>
              <w:rPr>
                <w:sz w:val="21"/>
              </w:rPr>
            </w:pPr>
            <w:r>
              <w:rPr>
                <w:sz w:val="21"/>
              </w:rPr>
              <w:t>其他 </w:t>
            </w:r>
          </w:p>
        </w:tc>
        <w:tc>
          <w:tcPr>
            <w:tcW w:w="1033" w:type="dxa"/>
          </w:tcPr>
          <w:p>
            <w:pPr>
              <w:pStyle w:val="TableParagraph"/>
              <w:spacing w:before="137"/>
              <w:ind w:left="303"/>
              <w:rPr>
                <w:sz w:val="21"/>
              </w:rPr>
            </w:pPr>
            <w:r>
              <w:rPr>
                <w:sz w:val="21"/>
              </w:rPr>
              <w:t>小计 </w:t>
            </w:r>
          </w:p>
        </w:tc>
        <w:tc>
          <w:tcPr>
            <w:tcW w:w="1323" w:type="dxa"/>
            <w:vMerge/>
            <w:tcBorders>
              <w:top w:val="nil"/>
            </w:tcBorders>
          </w:tcPr>
          <w:p>
            <w:pPr>
              <w:rPr>
                <w:sz w:val="2"/>
                <w:szCs w:val="2"/>
              </w:rPr>
            </w:pPr>
          </w:p>
        </w:tc>
      </w:tr>
      <w:tr>
        <w:trPr>
          <w:trHeight w:val="273" w:hRule="atLeast"/>
        </w:trPr>
        <w:tc>
          <w:tcPr>
            <w:tcW w:w="1130" w:type="dxa"/>
          </w:tcPr>
          <w:p>
            <w:pPr>
              <w:pStyle w:val="TableParagraph"/>
              <w:spacing w:line="252" w:lineRule="exact" w:before="1"/>
              <w:ind w:left="143"/>
              <w:rPr>
                <w:sz w:val="21"/>
              </w:rPr>
            </w:pPr>
            <w:r>
              <w:rPr>
                <w:spacing w:val="-1"/>
                <w:sz w:val="21"/>
              </w:rPr>
              <w:t>股份总数</w:t>
            </w:r>
            <w:r>
              <w:rPr>
                <w:sz w:val="21"/>
              </w:rPr>
              <w:t> </w:t>
            </w:r>
          </w:p>
        </w:tc>
        <w:tc>
          <w:tcPr>
            <w:tcW w:w="1282" w:type="dxa"/>
          </w:tcPr>
          <w:p>
            <w:pPr>
              <w:pStyle w:val="TableParagraph"/>
              <w:spacing w:before="10"/>
              <w:ind w:left="228"/>
              <w:rPr>
                <w:rFonts w:ascii="Times New Roman"/>
                <w:sz w:val="21"/>
              </w:rPr>
            </w:pPr>
            <w:r>
              <w:rPr>
                <w:rFonts w:ascii="Times New Roman"/>
                <w:sz w:val="21"/>
              </w:rPr>
              <w:t>19,865,070</w:t>
            </w:r>
          </w:p>
        </w:tc>
        <w:tc>
          <w:tcPr>
            <w:tcW w:w="977" w:type="dxa"/>
          </w:tcPr>
          <w:p>
            <w:pPr>
              <w:pStyle w:val="TableParagraph"/>
              <w:spacing w:before="10"/>
              <w:ind w:right="95"/>
              <w:jc w:val="right"/>
              <w:rPr>
                <w:rFonts w:ascii="Times New Roman"/>
                <w:sz w:val="21"/>
              </w:rPr>
            </w:pPr>
            <w:r>
              <w:rPr>
                <w:rFonts w:ascii="Times New Roman"/>
                <w:sz w:val="21"/>
              </w:rPr>
              <w:t>34</w:t>
            </w:r>
          </w:p>
        </w:tc>
        <w:tc>
          <w:tcPr>
            <w:tcW w:w="975" w:type="dxa"/>
          </w:tcPr>
          <w:p>
            <w:pPr>
              <w:pStyle w:val="TableParagraph"/>
              <w:spacing w:before="10"/>
              <w:ind w:right="95"/>
              <w:jc w:val="right"/>
              <w:rPr>
                <w:rFonts w:ascii="Times New Roman"/>
                <w:sz w:val="21"/>
              </w:rPr>
            </w:pPr>
            <w:r>
              <w:rPr>
                <w:rFonts w:ascii="Times New Roman"/>
                <w:w w:val="100"/>
                <w:sz w:val="21"/>
              </w:rPr>
              <w:t>-</w:t>
            </w:r>
          </w:p>
        </w:tc>
        <w:tc>
          <w:tcPr>
            <w:tcW w:w="1047" w:type="dxa"/>
          </w:tcPr>
          <w:p>
            <w:pPr>
              <w:pStyle w:val="TableParagraph"/>
              <w:spacing w:before="10"/>
              <w:ind w:right="98"/>
              <w:jc w:val="right"/>
              <w:rPr>
                <w:rFonts w:ascii="Times New Roman"/>
                <w:sz w:val="21"/>
              </w:rPr>
            </w:pPr>
            <w:r>
              <w:rPr>
                <w:rFonts w:ascii="Times New Roman"/>
                <w:w w:val="100"/>
                <w:sz w:val="21"/>
              </w:rPr>
              <w:t>-</w:t>
            </w:r>
          </w:p>
        </w:tc>
        <w:tc>
          <w:tcPr>
            <w:tcW w:w="1059" w:type="dxa"/>
          </w:tcPr>
          <w:p>
            <w:pPr>
              <w:pStyle w:val="TableParagraph"/>
              <w:spacing w:before="10"/>
              <w:ind w:left="407"/>
              <w:rPr>
                <w:rFonts w:ascii="Times New Roman"/>
                <w:sz w:val="21"/>
              </w:rPr>
            </w:pPr>
            <w:r>
              <w:rPr>
                <w:rFonts w:ascii="Times New Roman"/>
                <w:sz w:val="21"/>
              </w:rPr>
              <w:t>-5,511</w:t>
            </w:r>
          </w:p>
        </w:tc>
        <w:tc>
          <w:tcPr>
            <w:tcW w:w="1033" w:type="dxa"/>
          </w:tcPr>
          <w:p>
            <w:pPr>
              <w:pStyle w:val="TableParagraph"/>
              <w:spacing w:before="10"/>
              <w:ind w:left="380"/>
              <w:rPr>
                <w:rFonts w:ascii="Times New Roman"/>
                <w:sz w:val="21"/>
              </w:rPr>
            </w:pPr>
            <w:r>
              <w:rPr>
                <w:rFonts w:ascii="Times New Roman"/>
                <w:sz w:val="21"/>
              </w:rPr>
              <w:t>-5,477</w:t>
            </w:r>
          </w:p>
        </w:tc>
        <w:tc>
          <w:tcPr>
            <w:tcW w:w="1323" w:type="dxa"/>
          </w:tcPr>
          <w:p>
            <w:pPr>
              <w:pStyle w:val="TableParagraph"/>
              <w:spacing w:before="10"/>
              <w:ind w:left="267"/>
              <w:rPr>
                <w:rFonts w:ascii="Times New Roman"/>
                <w:sz w:val="21"/>
              </w:rPr>
            </w:pPr>
            <w:r>
              <w:rPr>
                <w:rFonts w:ascii="Times New Roman"/>
                <w:sz w:val="21"/>
              </w:rPr>
              <w:t>19,859,593</w:t>
            </w:r>
          </w:p>
        </w:tc>
      </w:tr>
    </w:tbl>
    <w:p>
      <w:pPr>
        <w:pStyle w:val="BodyText"/>
        <w:spacing w:before="61"/>
      </w:pPr>
      <w:r>
        <w:rPr/>
        <w:t>其他说明： </w:t>
      </w:r>
    </w:p>
    <w:p>
      <w:pPr>
        <w:spacing w:after="0"/>
        <w:sectPr>
          <w:type w:val="continuous"/>
          <w:pgSz w:w="11910" w:h="16840"/>
          <w:pgMar w:top="780" w:bottom="280" w:left="1480" w:right="0"/>
        </w:sectPr>
      </w:pPr>
    </w:p>
    <w:p>
      <w:pPr>
        <w:pStyle w:val="BodyText"/>
        <w:ind w:left="0"/>
        <w:rPr>
          <w:sz w:val="20"/>
        </w:rPr>
      </w:pPr>
    </w:p>
    <w:p>
      <w:pPr>
        <w:pStyle w:val="BodyText"/>
        <w:ind w:left="0"/>
        <w:rPr>
          <w:sz w:val="20"/>
        </w:rPr>
      </w:pPr>
    </w:p>
    <w:p>
      <w:pPr>
        <w:pStyle w:val="BodyText"/>
        <w:spacing w:before="10"/>
        <w:ind w:left="0"/>
        <w:rPr>
          <w:sz w:val="14"/>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4"/>
        <w:gridCol w:w="8438"/>
      </w:tblGrid>
      <w:tr>
        <w:trPr>
          <w:trHeight w:val="808" w:hRule="atLeast"/>
        </w:trPr>
        <w:tc>
          <w:tcPr>
            <w:tcW w:w="874" w:type="dxa"/>
          </w:tcPr>
          <w:p>
            <w:pPr>
              <w:pStyle w:val="TableParagraph"/>
              <w:spacing w:line="241" w:lineRule="exact"/>
              <w:ind w:left="200"/>
              <w:rPr>
                <w:sz w:val="21"/>
              </w:rPr>
            </w:pPr>
            <w:r>
              <w:rPr>
                <w:sz w:val="21"/>
              </w:rPr>
              <w:t>(i) </w:t>
            </w:r>
          </w:p>
          <w:p>
            <w:pPr>
              <w:pStyle w:val="TableParagraph"/>
              <w:spacing w:before="2"/>
              <w:ind w:left="200"/>
              <w:rPr>
                <w:sz w:val="21"/>
              </w:rPr>
            </w:pPr>
            <w:r>
              <w:rPr>
                <w:w w:val="100"/>
                <w:sz w:val="21"/>
              </w:rPr>
              <w:t> </w:t>
            </w:r>
          </w:p>
          <w:p>
            <w:pPr>
              <w:pStyle w:val="TableParagraph"/>
              <w:spacing w:before="4"/>
              <w:ind w:left="200"/>
              <w:rPr>
                <w:sz w:val="21"/>
              </w:rPr>
            </w:pPr>
            <w:r>
              <w:rPr>
                <w:w w:val="100"/>
                <w:sz w:val="21"/>
              </w:rPr>
              <w:t> </w:t>
            </w:r>
          </w:p>
        </w:tc>
        <w:tc>
          <w:tcPr>
            <w:tcW w:w="8438" w:type="dxa"/>
          </w:tcPr>
          <w:p>
            <w:pPr>
              <w:pStyle w:val="TableParagraph"/>
              <w:spacing w:line="241" w:lineRule="exact"/>
              <w:ind w:left="43"/>
              <w:rPr>
                <w:sz w:val="21"/>
              </w:rPr>
            </w:pPr>
            <w:r>
              <w:rPr>
                <w:spacing w:val="-1"/>
                <w:sz w:val="21"/>
              </w:rPr>
              <w:t>于2022年度，因股票期权激励对象行权，本公司增加注册资本及股本人民币</w:t>
            </w:r>
            <w:r>
              <w:rPr>
                <w:sz w:val="21"/>
              </w:rPr>
              <w:t>34千元，增 </w:t>
            </w:r>
          </w:p>
          <w:p>
            <w:pPr>
              <w:pStyle w:val="TableParagraph"/>
              <w:spacing w:before="2"/>
              <w:ind w:left="43"/>
              <w:rPr>
                <w:sz w:val="21"/>
              </w:rPr>
            </w:pPr>
            <w:r>
              <w:rPr>
                <w:spacing w:val="-1"/>
                <w:sz w:val="21"/>
              </w:rPr>
              <w:t>加资本公积人民币352千元。于</w:t>
            </w:r>
            <w:r>
              <w:rPr>
                <w:sz w:val="21"/>
              </w:rPr>
              <w:t>2022年度，本公司已收到行权股权款人民币386千元。 </w:t>
            </w:r>
          </w:p>
          <w:p>
            <w:pPr>
              <w:pStyle w:val="TableParagraph"/>
              <w:spacing w:before="4"/>
              <w:ind w:left="43"/>
              <w:rPr>
                <w:sz w:val="21"/>
              </w:rPr>
            </w:pPr>
            <w:r>
              <w:rPr>
                <w:w w:val="100"/>
                <w:sz w:val="21"/>
              </w:rPr>
              <w:t> </w:t>
            </w:r>
          </w:p>
        </w:tc>
      </w:tr>
      <w:tr>
        <w:trPr>
          <w:trHeight w:val="1111" w:hRule="atLeast"/>
        </w:trPr>
        <w:tc>
          <w:tcPr>
            <w:tcW w:w="874" w:type="dxa"/>
          </w:tcPr>
          <w:p>
            <w:pPr>
              <w:pStyle w:val="TableParagraph"/>
              <w:spacing w:before="24"/>
              <w:ind w:left="200"/>
              <w:rPr>
                <w:sz w:val="21"/>
              </w:rPr>
            </w:pPr>
            <w:r>
              <w:rPr>
                <w:sz w:val="21"/>
              </w:rPr>
              <w:t>(ii) </w:t>
            </w:r>
          </w:p>
        </w:tc>
        <w:tc>
          <w:tcPr>
            <w:tcW w:w="8438" w:type="dxa"/>
          </w:tcPr>
          <w:p>
            <w:pPr>
              <w:pStyle w:val="TableParagraph"/>
              <w:spacing w:line="242" w:lineRule="auto" w:before="24"/>
              <w:ind w:left="43" w:right="197"/>
              <w:rPr>
                <w:sz w:val="21"/>
              </w:rPr>
            </w:pPr>
            <w:r>
              <w:rPr>
                <w:sz w:val="21"/>
              </w:rPr>
              <w:t>于2021年度，因股票期权激励对象行权，本公司增加注册资本及股本人民币2,334千元，</w:t>
            </w:r>
            <w:r>
              <w:rPr>
                <w:spacing w:val="1"/>
                <w:sz w:val="21"/>
              </w:rPr>
              <w:t> </w:t>
            </w:r>
            <w:r>
              <w:rPr>
                <w:sz w:val="21"/>
              </w:rPr>
              <w:t>增加资本公积人民币24,962千元。于2021年度，本公司收到行权股权款人民币27,413千</w:t>
            </w:r>
            <w:r>
              <w:rPr>
                <w:spacing w:val="1"/>
                <w:sz w:val="21"/>
              </w:rPr>
              <w:t> </w:t>
            </w:r>
            <w:r>
              <w:rPr>
                <w:sz w:val="21"/>
              </w:rPr>
              <w:t>元(含2021年1月收到的2020年度行权股权款117千元)，另有行权股权款人民币574元于 </w:t>
            </w:r>
          </w:p>
          <w:p>
            <w:pPr>
              <w:pStyle w:val="TableParagraph"/>
              <w:spacing w:line="251" w:lineRule="exact" w:before="1"/>
              <w:ind w:left="43"/>
              <w:rPr>
                <w:sz w:val="21"/>
              </w:rPr>
            </w:pPr>
            <w:r>
              <w:rPr>
                <w:sz w:val="21"/>
              </w:rPr>
              <w:t>2022年1月收到。 </w:t>
            </w:r>
          </w:p>
        </w:tc>
      </w:tr>
      <w:tr>
        <w:trPr>
          <w:trHeight w:val="1633" w:hRule="atLeast"/>
        </w:trPr>
        <w:tc>
          <w:tcPr>
            <w:tcW w:w="874" w:type="dxa"/>
          </w:tcPr>
          <w:p>
            <w:pPr>
              <w:pStyle w:val="TableParagraph"/>
              <w:spacing w:before="2"/>
              <w:ind w:left="200"/>
              <w:rPr>
                <w:sz w:val="21"/>
              </w:rPr>
            </w:pPr>
            <w:r>
              <w:rPr>
                <w:sz w:val="21"/>
              </w:rPr>
              <w:t>(iii) </w:t>
            </w:r>
          </w:p>
        </w:tc>
        <w:tc>
          <w:tcPr>
            <w:tcW w:w="8438" w:type="dxa"/>
          </w:tcPr>
          <w:p>
            <w:pPr>
              <w:pStyle w:val="TableParagraph"/>
              <w:spacing w:line="242" w:lineRule="auto" w:before="2"/>
              <w:ind w:left="43" w:right="197"/>
              <w:rPr>
                <w:sz w:val="21"/>
              </w:rPr>
            </w:pPr>
            <w:r>
              <w:rPr>
                <w:sz w:val="21"/>
              </w:rPr>
              <w:t>于2022年度，因限制性股票注销，本公司减少注册资本及股本人民币5,511千元，减少资本公积人民币27,552千元，上述注销包括本公司于2021年12月31日公告回购的限制性股</w:t>
            </w:r>
            <w:r>
              <w:rPr>
                <w:spacing w:val="1"/>
                <w:sz w:val="21"/>
              </w:rPr>
              <w:t> </w:t>
            </w:r>
            <w:r>
              <w:rPr>
                <w:sz w:val="21"/>
              </w:rPr>
              <w:t>票2,108,988股、于2022年4月30日公告回购的限制性股票1,959,571股、于2022年9月11</w:t>
            </w:r>
            <w:r>
              <w:rPr>
                <w:spacing w:val="1"/>
                <w:sz w:val="21"/>
              </w:rPr>
              <w:t> </w:t>
            </w:r>
            <w:r>
              <w:rPr>
                <w:sz w:val="21"/>
              </w:rPr>
              <w:t>日公告回购的限制性股票1,442,560股(回购款33,063千元实际于2022年支付)；上述回购已完成办理减少股本注销登记手续。 </w:t>
            </w:r>
          </w:p>
          <w:p>
            <w:pPr>
              <w:pStyle w:val="TableParagraph"/>
              <w:spacing w:line="250" w:lineRule="exact" w:before="2"/>
              <w:ind w:left="43"/>
              <w:rPr>
                <w:sz w:val="21"/>
              </w:rPr>
            </w:pPr>
            <w:r>
              <w:rPr>
                <w:w w:val="100"/>
                <w:sz w:val="21"/>
              </w:rPr>
              <w:t> </w:t>
            </w:r>
          </w:p>
        </w:tc>
      </w:tr>
      <w:tr>
        <w:trPr>
          <w:trHeight w:val="1331" w:hRule="atLeast"/>
        </w:trPr>
        <w:tc>
          <w:tcPr>
            <w:tcW w:w="874" w:type="dxa"/>
          </w:tcPr>
          <w:p>
            <w:pPr>
              <w:pStyle w:val="TableParagraph"/>
              <w:spacing w:before="1"/>
              <w:ind w:left="200"/>
              <w:rPr>
                <w:sz w:val="21"/>
              </w:rPr>
            </w:pPr>
            <w:r>
              <w:rPr>
                <w:sz w:val="21"/>
              </w:rPr>
              <w:t>(iv) </w:t>
            </w:r>
          </w:p>
        </w:tc>
        <w:tc>
          <w:tcPr>
            <w:tcW w:w="8438" w:type="dxa"/>
          </w:tcPr>
          <w:p>
            <w:pPr>
              <w:pStyle w:val="TableParagraph"/>
              <w:spacing w:line="242" w:lineRule="auto" w:before="1"/>
              <w:ind w:left="43" w:right="197"/>
              <w:rPr>
                <w:sz w:val="21"/>
              </w:rPr>
            </w:pPr>
            <w:r>
              <w:rPr>
                <w:sz w:val="21"/>
              </w:rPr>
              <w:t>于2021年度，因限制性股票注销，本公司减少注册资本及股本人民币7,910千元，减少资本公积人民币39,564千元。上述注销包括本公司于2020年9月11日公告回购的限制性股</w:t>
            </w:r>
            <w:r>
              <w:rPr>
                <w:spacing w:val="9"/>
                <w:sz w:val="21"/>
              </w:rPr>
              <w:t> </w:t>
            </w:r>
            <w:r>
              <w:rPr>
                <w:sz w:val="21"/>
              </w:rPr>
              <w:t>票2,427,240股(回购款14,608千元实际于2020年度支付)、于2020年12月31日公告回购的 </w:t>
            </w:r>
          </w:p>
          <w:p>
            <w:pPr>
              <w:pStyle w:val="TableParagraph"/>
              <w:spacing w:line="270" w:lineRule="atLeast"/>
              <w:ind w:left="43" w:right="202"/>
              <w:rPr>
                <w:sz w:val="21"/>
              </w:rPr>
            </w:pPr>
            <w:r>
              <w:rPr>
                <w:sz w:val="21"/>
              </w:rPr>
              <w:t>限制性股票1,644,660股、于2021年4月30日公告回购的限制性股票1,473,216股和于2021</w:t>
            </w:r>
            <w:r>
              <w:rPr>
                <w:spacing w:val="1"/>
                <w:sz w:val="21"/>
              </w:rPr>
              <w:t> </w:t>
            </w:r>
            <w:r>
              <w:rPr>
                <w:sz w:val="21"/>
              </w:rPr>
              <w:t>年9月11日公告回购的限制性股票2,364,550股(回购款项32,866千元于2021年支付)。 </w:t>
            </w:r>
          </w:p>
        </w:tc>
      </w:tr>
    </w:tbl>
    <w:p>
      <w:pPr>
        <w:pStyle w:val="BodyText"/>
        <w:spacing w:before="34"/>
      </w:pPr>
      <w:r>
        <w:rPr>
          <w:w w:val="100"/>
        </w:rPr>
        <w:t> </w:t>
      </w:r>
    </w:p>
    <w:p>
      <w:pPr>
        <w:pStyle w:val="BodyText"/>
        <w:spacing w:before="2"/>
      </w:pPr>
      <w:r>
        <w:rPr>
          <w:w w:val="100"/>
        </w:rPr>
        <w:t> </w:t>
      </w:r>
    </w:p>
    <w:p>
      <w:pPr>
        <w:pStyle w:val="BodyText"/>
        <w:spacing w:before="64"/>
      </w:pPr>
      <w:r>
        <w:rPr/>
        <w:t>54</w:t>
      </w:r>
      <w:r>
        <w:rPr>
          <w:spacing w:val="-5"/>
        </w:rPr>
        <w:t>、 其他权益工具</w:t>
      </w:r>
      <w:r>
        <w:rPr/>
        <w:t> </w:t>
      </w:r>
    </w:p>
    <w:p>
      <w:pPr>
        <w:pStyle w:val="ListParagraph"/>
        <w:numPr>
          <w:ilvl w:val="0"/>
          <w:numId w:val="77"/>
        </w:numPr>
        <w:tabs>
          <w:tab w:pos="746" w:val="left" w:leader="none"/>
        </w:tabs>
        <w:spacing w:line="240" w:lineRule="auto" w:before="62" w:after="0"/>
        <w:ind w:left="745" w:right="0" w:hanging="428"/>
        <w:jc w:val="left"/>
        <w:rPr>
          <w:sz w:val="21"/>
        </w:rPr>
      </w:pPr>
      <w:r>
        <w:rPr>
          <w:sz w:val="21"/>
        </w:rPr>
        <w:t>期末发行在外的优先股、永续债等其他金融工具基本情况 </w:t>
      </w:r>
    </w:p>
    <w:p>
      <w:pPr>
        <w:pStyle w:val="BodyText"/>
        <w:spacing w:before="65"/>
      </w:pPr>
      <w:r>
        <w:rPr>
          <w:spacing w:val="-1"/>
        </w:rPr>
        <w:t>□适用 √不适用</w:t>
      </w:r>
      <w:r>
        <w:rPr>
          <w:spacing w:val="-3"/>
        </w:rPr>
        <w:t> </w:t>
      </w:r>
      <w:r>
        <w:rPr/>
        <w:t> </w:t>
      </w:r>
    </w:p>
    <w:p>
      <w:pPr>
        <w:pStyle w:val="BodyText"/>
        <w:spacing w:before="2"/>
      </w:pPr>
      <w:r>
        <w:rPr>
          <w:w w:val="100"/>
        </w:rPr>
        <w:t> </w:t>
      </w:r>
    </w:p>
    <w:p>
      <w:pPr>
        <w:pStyle w:val="ListParagraph"/>
        <w:numPr>
          <w:ilvl w:val="0"/>
          <w:numId w:val="77"/>
        </w:numPr>
        <w:tabs>
          <w:tab w:pos="746" w:val="left" w:leader="none"/>
        </w:tabs>
        <w:spacing w:line="240" w:lineRule="auto" w:before="65" w:after="0"/>
        <w:ind w:left="745" w:right="0" w:hanging="428"/>
        <w:jc w:val="left"/>
        <w:rPr>
          <w:sz w:val="21"/>
        </w:rPr>
      </w:pPr>
      <w:r>
        <w:rPr>
          <w:sz w:val="21"/>
        </w:rPr>
        <w:t>期末发行在外的优先股、永续债等金融工具变动情况表 </w:t>
      </w:r>
    </w:p>
    <w:p>
      <w:pPr>
        <w:pStyle w:val="BodyText"/>
        <w:spacing w:before="62"/>
      </w:pPr>
      <w:r>
        <w:rPr>
          <w:spacing w:val="-1"/>
        </w:rPr>
        <w:t>□适用 √不适用</w:t>
      </w:r>
      <w:r>
        <w:rPr>
          <w:spacing w:val="-3"/>
        </w:rPr>
        <w:t> </w:t>
      </w:r>
      <w:r>
        <w:rPr/>
        <w:t> </w:t>
      </w:r>
    </w:p>
    <w:p>
      <w:pPr>
        <w:pStyle w:val="BodyText"/>
        <w:spacing w:before="5"/>
      </w:pPr>
      <w:r>
        <w:rPr>
          <w:spacing w:val="-1"/>
        </w:rPr>
        <w:t>其他权益工具本期增减变动情况、变动原因说明，以及相关会计处理的依据： </w:t>
      </w:r>
    </w:p>
    <w:p>
      <w:pPr>
        <w:pStyle w:val="BodyText"/>
        <w:spacing w:before="2"/>
      </w:pPr>
      <w:r>
        <w:rPr>
          <w:spacing w:val="-1"/>
        </w:rPr>
        <w:t>□适用 √不适用</w:t>
      </w:r>
      <w:r>
        <w:rPr>
          <w:spacing w:val="-3"/>
        </w:rPr>
        <w:t> </w:t>
      </w:r>
      <w:r>
        <w:rPr/>
        <w:t> </w:t>
      </w:r>
    </w:p>
    <w:p>
      <w:pPr>
        <w:pStyle w:val="BodyText"/>
        <w:spacing w:before="4"/>
      </w:pPr>
      <w:r>
        <w:rPr>
          <w:w w:val="100"/>
        </w:rPr>
        <w:t> </w:t>
      </w:r>
    </w:p>
    <w:p>
      <w:pPr>
        <w:pStyle w:val="BodyText"/>
        <w:spacing w:before="3"/>
      </w:pPr>
      <w:r>
        <w:rPr>
          <w:spacing w:val="-1"/>
        </w:rPr>
        <w:t>其他说明:</w:t>
      </w:r>
      <w:r>
        <w:rPr/>
        <w:t> </w:t>
      </w:r>
    </w:p>
    <w:p>
      <w:pPr>
        <w:pStyle w:val="BodyText"/>
        <w:spacing w:before="4"/>
      </w:pPr>
      <w:r>
        <w:rPr>
          <w:spacing w:val="-1"/>
        </w:rPr>
        <w:t>□适用 √不适用</w:t>
      </w:r>
      <w:r>
        <w:rPr>
          <w:spacing w:val="-3"/>
        </w:rPr>
        <w:t> </w:t>
      </w:r>
      <w:r>
        <w:rPr/>
        <w:t> </w:t>
      </w:r>
    </w:p>
    <w:p>
      <w:pPr>
        <w:pStyle w:val="BodyText"/>
        <w:spacing w:before="2"/>
      </w:pPr>
      <w:r>
        <w:rPr>
          <w:w w:val="100"/>
        </w:rPr>
        <w:t> </w:t>
      </w:r>
    </w:p>
    <w:p>
      <w:pPr>
        <w:pStyle w:val="BodyText"/>
        <w:spacing w:before="62"/>
      </w:pPr>
      <w:r>
        <w:rPr/>
        <w:t>55</w:t>
      </w:r>
      <w:r>
        <w:rPr>
          <w:spacing w:val="-5"/>
        </w:rPr>
        <w:t>、 资本公积</w:t>
      </w:r>
      <w:r>
        <w:rPr/>
        <w:t> </w:t>
      </w:r>
    </w:p>
    <w:p>
      <w:pPr>
        <w:pStyle w:val="BodyText"/>
        <w:spacing w:before="65"/>
      </w:pPr>
      <w:r>
        <w:rPr>
          <w:spacing w:val="-1"/>
        </w:rPr>
        <w:t>√适用 □不适用</w:t>
      </w:r>
      <w:r>
        <w:rPr>
          <w:spacing w:val="-3"/>
        </w:rPr>
        <w:t> </w:t>
      </w:r>
      <w:r>
        <w:rPr/>
        <w:t> </w:t>
      </w:r>
    </w:p>
    <w:p>
      <w:pPr>
        <w:pStyle w:val="BodyText"/>
        <w:spacing w:before="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6"/>
        <w:gridCol w:w="1532"/>
        <w:gridCol w:w="1561"/>
        <w:gridCol w:w="1460"/>
        <w:gridCol w:w="1549"/>
        <w:gridCol w:w="1308"/>
      </w:tblGrid>
      <w:tr>
        <w:trPr>
          <w:trHeight w:val="273" w:hRule="atLeast"/>
        </w:trPr>
        <w:tc>
          <w:tcPr>
            <w:tcW w:w="1416" w:type="dxa"/>
          </w:tcPr>
          <w:p>
            <w:pPr>
              <w:pStyle w:val="TableParagraph"/>
              <w:spacing w:line="252" w:lineRule="exact" w:before="1"/>
              <w:ind w:right="381"/>
              <w:jc w:val="right"/>
              <w:rPr>
                <w:sz w:val="21"/>
              </w:rPr>
            </w:pPr>
            <w:r>
              <w:rPr>
                <w:sz w:val="21"/>
              </w:rPr>
              <w:t>项目 </w:t>
            </w:r>
          </w:p>
        </w:tc>
        <w:tc>
          <w:tcPr>
            <w:tcW w:w="1532" w:type="dxa"/>
          </w:tcPr>
          <w:p>
            <w:pPr>
              <w:pStyle w:val="TableParagraph"/>
              <w:spacing w:line="252" w:lineRule="exact" w:before="1"/>
              <w:ind w:left="342"/>
              <w:rPr>
                <w:sz w:val="21"/>
              </w:rPr>
            </w:pPr>
            <w:r>
              <w:rPr>
                <w:spacing w:val="-1"/>
                <w:sz w:val="21"/>
              </w:rPr>
              <w:t>期初余额</w:t>
            </w:r>
            <w:r>
              <w:rPr>
                <w:sz w:val="21"/>
              </w:rPr>
              <w:t> </w:t>
            </w:r>
          </w:p>
        </w:tc>
        <w:tc>
          <w:tcPr>
            <w:tcW w:w="1561" w:type="dxa"/>
          </w:tcPr>
          <w:p>
            <w:pPr>
              <w:pStyle w:val="TableParagraph"/>
              <w:spacing w:line="252" w:lineRule="exact" w:before="1"/>
              <w:ind w:left="357"/>
              <w:rPr>
                <w:sz w:val="21"/>
              </w:rPr>
            </w:pPr>
            <w:r>
              <w:rPr>
                <w:spacing w:val="-1"/>
                <w:sz w:val="21"/>
              </w:rPr>
              <w:t>本期增加</w:t>
            </w:r>
            <w:r>
              <w:rPr>
                <w:sz w:val="21"/>
              </w:rPr>
              <w:t> </w:t>
            </w:r>
          </w:p>
        </w:tc>
        <w:tc>
          <w:tcPr>
            <w:tcW w:w="1460" w:type="dxa"/>
          </w:tcPr>
          <w:p>
            <w:pPr>
              <w:pStyle w:val="TableParagraph"/>
              <w:spacing w:line="252" w:lineRule="exact" w:before="1"/>
              <w:ind w:left="411"/>
              <w:rPr>
                <w:sz w:val="21"/>
              </w:rPr>
            </w:pPr>
            <w:r>
              <w:rPr>
                <w:sz w:val="21"/>
              </w:rPr>
              <w:t>重分类 </w:t>
            </w:r>
          </w:p>
        </w:tc>
        <w:tc>
          <w:tcPr>
            <w:tcW w:w="1549" w:type="dxa"/>
          </w:tcPr>
          <w:p>
            <w:pPr>
              <w:pStyle w:val="TableParagraph"/>
              <w:spacing w:line="252" w:lineRule="exact" w:before="1"/>
              <w:ind w:left="350"/>
              <w:rPr>
                <w:sz w:val="21"/>
              </w:rPr>
            </w:pPr>
            <w:r>
              <w:rPr>
                <w:spacing w:val="-1"/>
                <w:sz w:val="21"/>
              </w:rPr>
              <w:t>本期减少</w:t>
            </w:r>
            <w:r>
              <w:rPr>
                <w:sz w:val="21"/>
              </w:rPr>
              <w:t> </w:t>
            </w:r>
          </w:p>
        </w:tc>
        <w:tc>
          <w:tcPr>
            <w:tcW w:w="1308" w:type="dxa"/>
          </w:tcPr>
          <w:p>
            <w:pPr>
              <w:pStyle w:val="TableParagraph"/>
              <w:spacing w:line="252" w:lineRule="exact" w:before="1"/>
              <w:ind w:right="119"/>
              <w:jc w:val="right"/>
              <w:rPr>
                <w:sz w:val="21"/>
              </w:rPr>
            </w:pPr>
            <w:r>
              <w:rPr>
                <w:spacing w:val="-1"/>
                <w:sz w:val="21"/>
              </w:rPr>
              <w:t>期末余额</w:t>
            </w:r>
            <w:r>
              <w:rPr>
                <w:sz w:val="21"/>
              </w:rPr>
              <w:t> </w:t>
            </w:r>
          </w:p>
        </w:tc>
      </w:tr>
      <w:tr>
        <w:trPr>
          <w:trHeight w:val="816" w:hRule="atLeast"/>
        </w:trPr>
        <w:tc>
          <w:tcPr>
            <w:tcW w:w="1416" w:type="dxa"/>
          </w:tcPr>
          <w:p>
            <w:pPr>
              <w:pStyle w:val="TableParagraph"/>
              <w:spacing w:before="1"/>
              <w:ind w:left="112"/>
              <w:rPr>
                <w:sz w:val="21"/>
              </w:rPr>
            </w:pPr>
            <w:r>
              <w:rPr>
                <w:sz w:val="21"/>
              </w:rPr>
              <w:t>资本溢价</w:t>
            </w:r>
          </w:p>
          <w:p>
            <w:pPr>
              <w:pStyle w:val="TableParagraph"/>
              <w:spacing w:before="2"/>
              <w:ind w:left="112"/>
              <w:rPr>
                <w:sz w:val="21"/>
              </w:rPr>
            </w:pPr>
            <w:r>
              <w:rPr>
                <w:sz w:val="21"/>
              </w:rPr>
              <w:t>（股本溢</w:t>
            </w:r>
          </w:p>
          <w:p>
            <w:pPr>
              <w:pStyle w:val="TableParagraph"/>
              <w:spacing w:line="250" w:lineRule="exact" w:before="5"/>
              <w:ind w:left="112"/>
              <w:rPr>
                <w:sz w:val="21"/>
              </w:rPr>
            </w:pPr>
            <w:r>
              <w:rPr>
                <w:sz w:val="21"/>
              </w:rPr>
              <w:t>价） </w:t>
            </w:r>
          </w:p>
        </w:tc>
        <w:tc>
          <w:tcPr>
            <w:tcW w:w="1532" w:type="dxa"/>
          </w:tcPr>
          <w:p>
            <w:pPr>
              <w:pStyle w:val="TableParagraph"/>
              <w:rPr>
                <w:sz w:val="22"/>
              </w:rPr>
            </w:pPr>
          </w:p>
          <w:p>
            <w:pPr>
              <w:pStyle w:val="TableParagraph"/>
              <w:ind w:right="101"/>
              <w:jc w:val="right"/>
              <w:rPr>
                <w:rFonts w:ascii="Times New Roman"/>
                <w:sz w:val="21"/>
              </w:rPr>
            </w:pPr>
            <w:r>
              <w:rPr>
                <w:rFonts w:ascii="Times New Roman"/>
                <w:sz w:val="21"/>
              </w:rPr>
              <w:t>26,323,267</w:t>
            </w:r>
          </w:p>
        </w:tc>
        <w:tc>
          <w:tcPr>
            <w:tcW w:w="1561" w:type="dxa"/>
          </w:tcPr>
          <w:p>
            <w:pPr>
              <w:pStyle w:val="TableParagraph"/>
              <w:rPr>
                <w:sz w:val="22"/>
              </w:rPr>
            </w:pPr>
          </w:p>
          <w:p>
            <w:pPr>
              <w:pStyle w:val="TableParagraph"/>
              <w:ind w:right="99"/>
              <w:jc w:val="right"/>
              <w:rPr>
                <w:rFonts w:ascii="Times New Roman"/>
                <w:sz w:val="21"/>
              </w:rPr>
            </w:pPr>
            <w:r>
              <w:rPr>
                <w:rFonts w:ascii="Times New Roman"/>
                <w:sz w:val="21"/>
              </w:rPr>
              <w:t>352</w:t>
            </w:r>
          </w:p>
        </w:tc>
        <w:tc>
          <w:tcPr>
            <w:tcW w:w="1460" w:type="dxa"/>
          </w:tcPr>
          <w:p>
            <w:pPr>
              <w:pStyle w:val="TableParagraph"/>
              <w:rPr>
                <w:sz w:val="22"/>
              </w:rPr>
            </w:pPr>
          </w:p>
          <w:p>
            <w:pPr>
              <w:pStyle w:val="TableParagraph"/>
              <w:ind w:right="100"/>
              <w:jc w:val="right"/>
              <w:rPr>
                <w:rFonts w:ascii="Times New Roman"/>
                <w:sz w:val="21"/>
              </w:rPr>
            </w:pPr>
            <w:r>
              <w:rPr>
                <w:rFonts w:ascii="Times New Roman"/>
                <w:sz w:val="21"/>
              </w:rPr>
              <w:t>298,153</w:t>
            </w:r>
          </w:p>
        </w:tc>
        <w:tc>
          <w:tcPr>
            <w:tcW w:w="1549" w:type="dxa"/>
          </w:tcPr>
          <w:p>
            <w:pPr>
              <w:pStyle w:val="TableParagraph"/>
              <w:rPr>
                <w:sz w:val="22"/>
              </w:rPr>
            </w:pPr>
          </w:p>
          <w:p>
            <w:pPr>
              <w:pStyle w:val="TableParagraph"/>
              <w:ind w:right="101"/>
              <w:jc w:val="right"/>
              <w:rPr>
                <w:rFonts w:ascii="Times New Roman"/>
                <w:sz w:val="21"/>
              </w:rPr>
            </w:pPr>
            <w:r>
              <w:rPr>
                <w:rFonts w:ascii="Times New Roman"/>
                <w:sz w:val="21"/>
              </w:rPr>
              <w:t>27,552</w:t>
            </w:r>
          </w:p>
        </w:tc>
        <w:tc>
          <w:tcPr>
            <w:tcW w:w="1308" w:type="dxa"/>
          </w:tcPr>
          <w:p>
            <w:pPr>
              <w:pStyle w:val="TableParagraph"/>
              <w:rPr>
                <w:sz w:val="22"/>
              </w:rPr>
            </w:pPr>
          </w:p>
          <w:p>
            <w:pPr>
              <w:pStyle w:val="TableParagraph"/>
              <w:ind w:right="100"/>
              <w:jc w:val="right"/>
              <w:rPr>
                <w:rFonts w:ascii="Times New Roman"/>
                <w:sz w:val="21"/>
              </w:rPr>
            </w:pPr>
            <w:r>
              <w:rPr>
                <w:rFonts w:ascii="Times New Roman"/>
                <w:sz w:val="21"/>
              </w:rPr>
              <w:t>26,594,220</w:t>
            </w:r>
          </w:p>
        </w:tc>
      </w:tr>
      <w:tr>
        <w:trPr>
          <w:trHeight w:val="544" w:hRule="atLeast"/>
        </w:trPr>
        <w:tc>
          <w:tcPr>
            <w:tcW w:w="1416" w:type="dxa"/>
          </w:tcPr>
          <w:p>
            <w:pPr>
              <w:pStyle w:val="TableParagraph"/>
              <w:spacing w:before="1"/>
              <w:ind w:left="112"/>
              <w:rPr>
                <w:sz w:val="21"/>
              </w:rPr>
            </w:pPr>
            <w:r>
              <w:rPr>
                <w:sz w:val="21"/>
              </w:rPr>
              <w:t>其他资本公</w:t>
            </w:r>
          </w:p>
          <w:p>
            <w:pPr>
              <w:pStyle w:val="TableParagraph"/>
              <w:spacing w:line="250" w:lineRule="exact" w:before="4"/>
              <w:ind w:left="112"/>
              <w:rPr>
                <w:sz w:val="21"/>
              </w:rPr>
            </w:pPr>
            <w:r>
              <w:rPr>
                <w:sz w:val="21"/>
              </w:rPr>
              <w:t>积 </w:t>
            </w:r>
          </w:p>
        </w:tc>
        <w:tc>
          <w:tcPr>
            <w:tcW w:w="1532" w:type="dxa"/>
          </w:tcPr>
          <w:p>
            <w:pPr>
              <w:pStyle w:val="TableParagraph"/>
              <w:spacing w:before="144"/>
              <w:ind w:right="101"/>
              <w:jc w:val="right"/>
              <w:rPr>
                <w:rFonts w:ascii="Times New Roman"/>
                <w:sz w:val="21"/>
              </w:rPr>
            </w:pPr>
            <w:r>
              <w:rPr>
                <w:rFonts w:ascii="Times New Roman"/>
                <w:sz w:val="21"/>
              </w:rPr>
              <w:t>1,974,161</w:t>
            </w:r>
          </w:p>
        </w:tc>
        <w:tc>
          <w:tcPr>
            <w:tcW w:w="1561" w:type="dxa"/>
          </w:tcPr>
          <w:p>
            <w:pPr>
              <w:pStyle w:val="TableParagraph"/>
              <w:spacing w:before="144"/>
              <w:ind w:right="99"/>
              <w:jc w:val="right"/>
              <w:rPr>
                <w:rFonts w:ascii="Times New Roman"/>
                <w:sz w:val="21"/>
              </w:rPr>
            </w:pPr>
            <w:r>
              <w:rPr>
                <w:rFonts w:ascii="Times New Roman"/>
                <w:sz w:val="21"/>
              </w:rPr>
              <w:t>220,971</w:t>
            </w:r>
          </w:p>
        </w:tc>
        <w:tc>
          <w:tcPr>
            <w:tcW w:w="1460" w:type="dxa"/>
          </w:tcPr>
          <w:p>
            <w:pPr>
              <w:pStyle w:val="TableParagraph"/>
              <w:spacing w:before="144"/>
              <w:ind w:right="102"/>
              <w:jc w:val="right"/>
              <w:rPr>
                <w:rFonts w:ascii="Times New Roman"/>
                <w:sz w:val="21"/>
              </w:rPr>
            </w:pPr>
            <w:r>
              <w:rPr>
                <w:rFonts w:ascii="Times New Roman"/>
                <w:sz w:val="21"/>
              </w:rPr>
              <w:t>-298,153</w:t>
            </w:r>
          </w:p>
        </w:tc>
        <w:tc>
          <w:tcPr>
            <w:tcW w:w="1549" w:type="dxa"/>
          </w:tcPr>
          <w:p>
            <w:pPr>
              <w:pStyle w:val="TableParagraph"/>
              <w:spacing w:before="144"/>
              <w:ind w:right="102"/>
              <w:jc w:val="right"/>
              <w:rPr>
                <w:rFonts w:ascii="Times New Roman"/>
                <w:sz w:val="21"/>
              </w:rPr>
            </w:pPr>
            <w:r>
              <w:rPr>
                <w:rFonts w:ascii="Times New Roman"/>
                <w:w w:val="100"/>
                <w:sz w:val="21"/>
              </w:rPr>
              <w:t>-</w:t>
            </w:r>
          </w:p>
        </w:tc>
        <w:tc>
          <w:tcPr>
            <w:tcW w:w="1308" w:type="dxa"/>
          </w:tcPr>
          <w:p>
            <w:pPr>
              <w:pStyle w:val="TableParagraph"/>
              <w:spacing w:before="144"/>
              <w:ind w:right="100"/>
              <w:jc w:val="right"/>
              <w:rPr>
                <w:rFonts w:ascii="Times New Roman"/>
                <w:sz w:val="21"/>
              </w:rPr>
            </w:pPr>
            <w:r>
              <w:rPr>
                <w:rFonts w:ascii="Times New Roman"/>
                <w:sz w:val="21"/>
              </w:rPr>
              <w:t>1,896,979</w:t>
            </w:r>
          </w:p>
        </w:tc>
      </w:tr>
      <w:tr>
        <w:trPr>
          <w:trHeight w:val="273" w:hRule="atLeast"/>
        </w:trPr>
        <w:tc>
          <w:tcPr>
            <w:tcW w:w="1416" w:type="dxa"/>
          </w:tcPr>
          <w:p>
            <w:pPr>
              <w:pStyle w:val="TableParagraph"/>
              <w:spacing w:line="252" w:lineRule="exact" w:before="1"/>
              <w:ind w:left="112"/>
              <w:rPr>
                <w:sz w:val="21"/>
              </w:rPr>
            </w:pPr>
            <w:r>
              <w:rPr>
                <w:w w:val="100"/>
                <w:sz w:val="21"/>
              </w:rPr>
              <w:t> </w:t>
            </w:r>
          </w:p>
        </w:tc>
        <w:tc>
          <w:tcPr>
            <w:tcW w:w="1532" w:type="dxa"/>
          </w:tcPr>
          <w:p>
            <w:pPr>
              <w:pStyle w:val="TableParagraph"/>
              <w:rPr>
                <w:rFonts w:ascii="Times New Roman"/>
                <w:sz w:val="20"/>
              </w:rPr>
            </w:pPr>
          </w:p>
        </w:tc>
        <w:tc>
          <w:tcPr>
            <w:tcW w:w="1561" w:type="dxa"/>
          </w:tcPr>
          <w:p>
            <w:pPr>
              <w:pStyle w:val="TableParagraph"/>
              <w:rPr>
                <w:rFonts w:ascii="Times New Roman"/>
                <w:sz w:val="20"/>
              </w:rPr>
            </w:pPr>
          </w:p>
        </w:tc>
        <w:tc>
          <w:tcPr>
            <w:tcW w:w="1460" w:type="dxa"/>
          </w:tcPr>
          <w:p>
            <w:pPr>
              <w:pStyle w:val="TableParagraph"/>
              <w:rPr>
                <w:rFonts w:ascii="Times New Roman"/>
                <w:sz w:val="20"/>
              </w:rPr>
            </w:pPr>
          </w:p>
        </w:tc>
        <w:tc>
          <w:tcPr>
            <w:tcW w:w="1549" w:type="dxa"/>
          </w:tcPr>
          <w:p>
            <w:pPr>
              <w:pStyle w:val="TableParagraph"/>
              <w:rPr>
                <w:rFonts w:ascii="Times New Roman"/>
                <w:sz w:val="20"/>
              </w:rPr>
            </w:pPr>
          </w:p>
        </w:tc>
        <w:tc>
          <w:tcPr>
            <w:tcW w:w="1308" w:type="dxa"/>
          </w:tcPr>
          <w:p>
            <w:pPr>
              <w:pStyle w:val="TableParagraph"/>
              <w:rPr>
                <w:rFonts w:ascii="Times New Roman"/>
                <w:sz w:val="20"/>
              </w:rPr>
            </w:pPr>
          </w:p>
        </w:tc>
      </w:tr>
      <w:tr>
        <w:trPr>
          <w:trHeight w:val="273" w:hRule="atLeast"/>
        </w:trPr>
        <w:tc>
          <w:tcPr>
            <w:tcW w:w="1416" w:type="dxa"/>
          </w:tcPr>
          <w:p>
            <w:pPr>
              <w:pStyle w:val="TableParagraph"/>
              <w:spacing w:line="252" w:lineRule="exact" w:before="1"/>
              <w:ind w:left="112"/>
              <w:rPr>
                <w:sz w:val="21"/>
              </w:rPr>
            </w:pPr>
            <w:r>
              <w:rPr>
                <w:w w:val="100"/>
                <w:sz w:val="21"/>
              </w:rPr>
              <w:t> </w:t>
            </w:r>
          </w:p>
        </w:tc>
        <w:tc>
          <w:tcPr>
            <w:tcW w:w="1532" w:type="dxa"/>
          </w:tcPr>
          <w:p>
            <w:pPr>
              <w:pStyle w:val="TableParagraph"/>
              <w:rPr>
                <w:rFonts w:ascii="Times New Roman"/>
                <w:sz w:val="20"/>
              </w:rPr>
            </w:pPr>
          </w:p>
        </w:tc>
        <w:tc>
          <w:tcPr>
            <w:tcW w:w="1561" w:type="dxa"/>
          </w:tcPr>
          <w:p>
            <w:pPr>
              <w:pStyle w:val="TableParagraph"/>
              <w:rPr>
                <w:rFonts w:ascii="Times New Roman"/>
                <w:sz w:val="20"/>
              </w:rPr>
            </w:pPr>
          </w:p>
        </w:tc>
        <w:tc>
          <w:tcPr>
            <w:tcW w:w="1460" w:type="dxa"/>
          </w:tcPr>
          <w:p>
            <w:pPr>
              <w:pStyle w:val="TableParagraph"/>
              <w:rPr>
                <w:rFonts w:ascii="Times New Roman"/>
                <w:sz w:val="20"/>
              </w:rPr>
            </w:pPr>
          </w:p>
        </w:tc>
        <w:tc>
          <w:tcPr>
            <w:tcW w:w="1549" w:type="dxa"/>
          </w:tcPr>
          <w:p>
            <w:pPr>
              <w:pStyle w:val="TableParagraph"/>
              <w:rPr>
                <w:rFonts w:ascii="Times New Roman"/>
                <w:sz w:val="20"/>
              </w:rPr>
            </w:pPr>
          </w:p>
        </w:tc>
        <w:tc>
          <w:tcPr>
            <w:tcW w:w="1308" w:type="dxa"/>
          </w:tcPr>
          <w:p>
            <w:pPr>
              <w:pStyle w:val="TableParagraph"/>
              <w:rPr>
                <w:rFonts w:ascii="Times New Roman"/>
                <w:sz w:val="20"/>
              </w:rPr>
            </w:pPr>
          </w:p>
        </w:tc>
      </w:tr>
      <w:tr>
        <w:trPr>
          <w:trHeight w:val="270" w:hRule="atLeast"/>
        </w:trPr>
        <w:tc>
          <w:tcPr>
            <w:tcW w:w="1416" w:type="dxa"/>
          </w:tcPr>
          <w:p>
            <w:pPr>
              <w:pStyle w:val="TableParagraph"/>
              <w:spacing w:line="250" w:lineRule="exact" w:before="1"/>
              <w:ind w:right="381"/>
              <w:jc w:val="right"/>
              <w:rPr>
                <w:sz w:val="21"/>
              </w:rPr>
            </w:pPr>
            <w:r>
              <w:rPr>
                <w:sz w:val="21"/>
              </w:rPr>
              <w:t>合计 </w:t>
            </w:r>
          </w:p>
        </w:tc>
        <w:tc>
          <w:tcPr>
            <w:tcW w:w="1532" w:type="dxa"/>
          </w:tcPr>
          <w:p>
            <w:pPr>
              <w:pStyle w:val="TableParagraph"/>
              <w:spacing w:before="7"/>
              <w:ind w:right="101"/>
              <w:jc w:val="right"/>
              <w:rPr>
                <w:rFonts w:ascii="Times New Roman"/>
                <w:sz w:val="21"/>
              </w:rPr>
            </w:pPr>
            <w:r>
              <w:rPr>
                <w:rFonts w:ascii="Times New Roman"/>
                <w:sz w:val="21"/>
              </w:rPr>
              <w:t>28,297,428</w:t>
            </w:r>
          </w:p>
        </w:tc>
        <w:tc>
          <w:tcPr>
            <w:tcW w:w="1561" w:type="dxa"/>
          </w:tcPr>
          <w:p>
            <w:pPr>
              <w:pStyle w:val="TableParagraph"/>
              <w:spacing w:before="7"/>
              <w:ind w:right="99"/>
              <w:jc w:val="right"/>
              <w:rPr>
                <w:rFonts w:ascii="Times New Roman"/>
                <w:sz w:val="21"/>
              </w:rPr>
            </w:pPr>
            <w:r>
              <w:rPr>
                <w:rFonts w:ascii="Times New Roman"/>
                <w:sz w:val="21"/>
              </w:rPr>
              <w:t>221,323</w:t>
            </w:r>
          </w:p>
        </w:tc>
        <w:tc>
          <w:tcPr>
            <w:tcW w:w="1460" w:type="dxa"/>
          </w:tcPr>
          <w:p>
            <w:pPr>
              <w:pStyle w:val="TableParagraph"/>
              <w:spacing w:before="7"/>
              <w:ind w:right="101"/>
              <w:jc w:val="right"/>
              <w:rPr>
                <w:rFonts w:ascii="Times New Roman"/>
                <w:sz w:val="21"/>
              </w:rPr>
            </w:pPr>
            <w:r>
              <w:rPr>
                <w:rFonts w:ascii="Times New Roman"/>
                <w:w w:val="100"/>
                <w:sz w:val="21"/>
              </w:rPr>
              <w:t>-</w:t>
            </w:r>
          </w:p>
        </w:tc>
        <w:tc>
          <w:tcPr>
            <w:tcW w:w="1549" w:type="dxa"/>
          </w:tcPr>
          <w:p>
            <w:pPr>
              <w:pStyle w:val="TableParagraph"/>
              <w:spacing w:before="7"/>
              <w:ind w:right="101"/>
              <w:jc w:val="right"/>
              <w:rPr>
                <w:rFonts w:ascii="Times New Roman"/>
                <w:sz w:val="21"/>
              </w:rPr>
            </w:pPr>
            <w:r>
              <w:rPr>
                <w:rFonts w:ascii="Times New Roman"/>
                <w:sz w:val="21"/>
              </w:rPr>
              <w:t>27,552</w:t>
            </w:r>
          </w:p>
        </w:tc>
        <w:tc>
          <w:tcPr>
            <w:tcW w:w="1308" w:type="dxa"/>
          </w:tcPr>
          <w:p>
            <w:pPr>
              <w:pStyle w:val="TableParagraph"/>
              <w:spacing w:before="7"/>
              <w:ind w:right="100"/>
              <w:jc w:val="right"/>
              <w:rPr>
                <w:rFonts w:ascii="Times New Roman"/>
                <w:sz w:val="21"/>
              </w:rPr>
            </w:pPr>
            <w:r>
              <w:rPr>
                <w:rFonts w:ascii="Times New Roman"/>
                <w:sz w:val="21"/>
              </w:rPr>
              <w:t>28,491,199</w:t>
            </w:r>
          </w:p>
        </w:tc>
      </w:tr>
    </w:tbl>
    <w:p>
      <w:pPr>
        <w:pStyle w:val="BodyText"/>
        <w:spacing w:before="1"/>
      </w:pPr>
      <w:r>
        <w:rPr>
          <w:w w:val="100"/>
        </w:rPr>
        <w:t> </w:t>
      </w:r>
    </w:p>
    <w:p>
      <w:pPr>
        <w:pStyle w:val="BodyText"/>
        <w:spacing w:line="242" w:lineRule="auto" w:before="4"/>
        <w:ind w:right="5166"/>
      </w:pPr>
      <w:r>
        <w:rPr/>
        <w:t>其他说明，包括本期增减变动情况、变动原因说明：</w:t>
      </w:r>
      <w:r>
        <w:rPr>
          <w:spacing w:val="1"/>
        </w:rPr>
        <w:t> </w:t>
      </w:r>
      <w:r>
        <w:rPr/>
        <w:t>无 </w:t>
      </w:r>
    </w:p>
    <w:p>
      <w:pPr>
        <w:spacing w:after="0" w:line="242" w:lineRule="auto"/>
        <w:sectPr>
          <w:pgSz w:w="11910" w:h="16840"/>
          <w:pgMar w:header="882" w:footer="1184" w:top="1120" w:bottom="1380" w:left="1480" w:right="0"/>
        </w:sectPr>
      </w:pPr>
    </w:p>
    <w:p>
      <w:pPr>
        <w:pStyle w:val="BodyText"/>
        <w:spacing w:before="7"/>
        <w:ind w:left="0"/>
        <w:rPr>
          <w:sz w:val="25"/>
        </w:rPr>
      </w:pPr>
    </w:p>
    <w:p>
      <w:pPr>
        <w:pStyle w:val="BodyText"/>
        <w:spacing w:before="72"/>
      </w:pPr>
      <w:r>
        <w:rPr>
          <w:w w:val="100"/>
        </w:rPr>
        <w:t> </w:t>
      </w:r>
    </w:p>
    <w:p>
      <w:pPr>
        <w:pStyle w:val="BodyText"/>
        <w:spacing w:before="65"/>
      </w:pPr>
      <w:r>
        <w:rPr/>
        <w:t>56</w:t>
      </w:r>
      <w:r>
        <w:rPr>
          <w:spacing w:val="-5"/>
        </w:rPr>
        <w:t>、 库存股 </w:t>
      </w:r>
    </w:p>
    <w:p>
      <w:pPr>
        <w:pStyle w:val="BodyText"/>
        <w:spacing w:before="62"/>
      </w:pPr>
      <w:r>
        <w:rPr>
          <w:spacing w:val="-1"/>
        </w:rPr>
        <w:t>□适用 √不适用</w:t>
      </w:r>
      <w:r>
        <w:rPr>
          <w:spacing w:val="-3"/>
        </w:rPr>
        <w:t> </w:t>
      </w:r>
      <w:r>
        <w:rPr/>
        <w:t> </w:t>
      </w:r>
    </w:p>
    <w:p>
      <w:pPr>
        <w:pStyle w:val="BodyText"/>
        <w:spacing w:before="5"/>
      </w:pPr>
      <w:r>
        <w:rPr>
          <w:w w:val="100"/>
        </w:rPr>
        <w:t> </w:t>
      </w:r>
    </w:p>
    <w:p>
      <w:pPr>
        <w:pStyle w:val="BodyText"/>
        <w:spacing w:before="2"/>
      </w:pPr>
      <w:r>
        <w:rPr>
          <w:w w:val="100"/>
        </w:rPr>
        <w:t> </w:t>
      </w:r>
    </w:p>
    <w:p>
      <w:pPr>
        <w:pStyle w:val="BodyText"/>
        <w:spacing w:before="64"/>
      </w:pPr>
      <w:r>
        <w:rPr/>
        <w:t>57</w:t>
      </w:r>
      <w:r>
        <w:rPr>
          <w:spacing w:val="-5"/>
        </w:rPr>
        <w:t>、 其他综合收益</w:t>
      </w:r>
      <w:r>
        <w:rPr/>
        <w:t> </w:t>
      </w:r>
    </w:p>
    <w:p>
      <w:pPr>
        <w:pStyle w:val="BodyText"/>
        <w:spacing w:before="62"/>
      </w:pPr>
      <w:r>
        <w:rPr>
          <w:spacing w:val="-1"/>
        </w:rPr>
        <w:t>√适用 □不适用</w:t>
      </w:r>
      <w:r>
        <w:rPr>
          <w:spacing w:val="-3"/>
        </w:rPr>
        <w:t> </w:t>
      </w:r>
      <w:r>
        <w:rPr/>
        <w:t> </w:t>
      </w:r>
    </w:p>
    <w:p>
      <w:pPr>
        <w:pStyle w:val="BodyText"/>
        <w:spacing w:before="5"/>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6"/>
        <w:gridCol w:w="876"/>
        <w:gridCol w:w="1191"/>
        <w:gridCol w:w="972"/>
        <w:gridCol w:w="778"/>
        <w:gridCol w:w="874"/>
        <w:gridCol w:w="1191"/>
        <w:gridCol w:w="880"/>
        <w:gridCol w:w="1189"/>
      </w:tblGrid>
      <w:tr>
        <w:trPr>
          <w:trHeight w:val="273" w:hRule="atLeast"/>
        </w:trPr>
        <w:tc>
          <w:tcPr>
            <w:tcW w:w="876"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1"/>
              <w:rPr>
                <w:sz w:val="26"/>
              </w:rPr>
            </w:pPr>
          </w:p>
          <w:p>
            <w:pPr>
              <w:pStyle w:val="TableParagraph"/>
              <w:ind w:left="227"/>
              <w:rPr>
                <w:sz w:val="21"/>
              </w:rPr>
            </w:pPr>
            <w:r>
              <w:rPr>
                <w:sz w:val="21"/>
              </w:rPr>
              <w:t>项目 </w:t>
            </w:r>
          </w:p>
        </w:tc>
        <w:tc>
          <w:tcPr>
            <w:tcW w:w="876"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2"/>
              <w:rPr>
                <w:sz w:val="16"/>
              </w:rPr>
            </w:pPr>
          </w:p>
          <w:p>
            <w:pPr>
              <w:pStyle w:val="TableParagraph"/>
              <w:spacing w:line="244" w:lineRule="auto" w:before="1"/>
              <w:ind w:left="227" w:right="110"/>
              <w:rPr>
                <w:sz w:val="21"/>
              </w:rPr>
            </w:pPr>
            <w:r>
              <w:rPr>
                <w:sz w:val="21"/>
              </w:rPr>
              <w:t>期初余额 </w:t>
            </w:r>
          </w:p>
        </w:tc>
        <w:tc>
          <w:tcPr>
            <w:tcW w:w="5886" w:type="dxa"/>
            <w:gridSpan w:val="6"/>
          </w:tcPr>
          <w:p>
            <w:pPr>
              <w:pStyle w:val="TableParagraph"/>
              <w:spacing w:line="252" w:lineRule="exact" w:before="1"/>
              <w:ind w:left="2347" w:right="2234"/>
              <w:jc w:val="center"/>
              <w:rPr>
                <w:sz w:val="21"/>
              </w:rPr>
            </w:pPr>
            <w:r>
              <w:rPr>
                <w:spacing w:val="-1"/>
                <w:sz w:val="21"/>
              </w:rPr>
              <w:t>本期发生金额</w:t>
            </w:r>
            <w:r>
              <w:rPr>
                <w:sz w:val="21"/>
              </w:rPr>
              <w:t> </w:t>
            </w:r>
          </w:p>
        </w:tc>
        <w:tc>
          <w:tcPr>
            <w:tcW w:w="1189"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2"/>
              <w:rPr>
                <w:sz w:val="16"/>
              </w:rPr>
            </w:pPr>
          </w:p>
          <w:p>
            <w:pPr>
              <w:pStyle w:val="TableParagraph"/>
              <w:spacing w:line="244" w:lineRule="auto" w:before="1"/>
              <w:ind w:left="381" w:right="269"/>
              <w:rPr>
                <w:sz w:val="21"/>
              </w:rPr>
            </w:pPr>
            <w:r>
              <w:rPr>
                <w:sz w:val="21"/>
              </w:rPr>
              <w:t>期末余额 </w:t>
            </w:r>
          </w:p>
        </w:tc>
      </w:tr>
      <w:tr>
        <w:trPr>
          <w:trHeight w:val="2724" w:hRule="atLeast"/>
        </w:trPr>
        <w:tc>
          <w:tcPr>
            <w:tcW w:w="876" w:type="dxa"/>
            <w:vMerge/>
            <w:tcBorders>
              <w:top w:val="nil"/>
            </w:tcBorders>
          </w:tcPr>
          <w:p>
            <w:pPr>
              <w:rPr>
                <w:sz w:val="2"/>
                <w:szCs w:val="2"/>
              </w:rPr>
            </w:pPr>
          </w:p>
        </w:tc>
        <w:tc>
          <w:tcPr>
            <w:tcW w:w="876" w:type="dxa"/>
            <w:vMerge/>
            <w:tcBorders>
              <w:top w:val="nil"/>
            </w:tcBorders>
          </w:tcPr>
          <w:p>
            <w:pPr>
              <w:rPr>
                <w:sz w:val="2"/>
                <w:szCs w:val="2"/>
              </w:rPr>
            </w:pPr>
          </w:p>
        </w:tc>
        <w:tc>
          <w:tcPr>
            <w:tcW w:w="1191" w:type="dxa"/>
          </w:tcPr>
          <w:p>
            <w:pPr>
              <w:pStyle w:val="TableParagraph"/>
              <w:rPr>
                <w:sz w:val="20"/>
              </w:rPr>
            </w:pPr>
          </w:p>
          <w:p>
            <w:pPr>
              <w:pStyle w:val="TableParagraph"/>
              <w:rPr>
                <w:sz w:val="20"/>
              </w:rPr>
            </w:pPr>
          </w:p>
          <w:p>
            <w:pPr>
              <w:pStyle w:val="TableParagraph"/>
              <w:rPr>
                <w:sz w:val="20"/>
              </w:rPr>
            </w:pPr>
          </w:p>
          <w:p>
            <w:pPr>
              <w:pStyle w:val="TableParagraph"/>
              <w:spacing w:before="6"/>
              <w:rPr>
                <w:sz w:val="14"/>
              </w:rPr>
            </w:pPr>
          </w:p>
          <w:p>
            <w:pPr>
              <w:pStyle w:val="TableParagraph"/>
              <w:spacing w:line="242" w:lineRule="auto"/>
              <w:ind w:left="172" w:right="164"/>
              <w:jc w:val="center"/>
              <w:rPr>
                <w:sz w:val="21"/>
              </w:rPr>
            </w:pPr>
            <w:r>
              <w:rPr>
                <w:spacing w:val="-1"/>
                <w:sz w:val="21"/>
              </w:rPr>
              <w:t>本期所得税前发生</w:t>
            </w:r>
            <w:r>
              <w:rPr>
                <w:sz w:val="21"/>
              </w:rPr>
              <w:t>额 </w:t>
            </w:r>
          </w:p>
        </w:tc>
        <w:tc>
          <w:tcPr>
            <w:tcW w:w="972" w:type="dxa"/>
          </w:tcPr>
          <w:p>
            <w:pPr>
              <w:pStyle w:val="TableParagraph"/>
              <w:rPr>
                <w:sz w:val="20"/>
              </w:rPr>
            </w:pPr>
          </w:p>
          <w:p>
            <w:pPr>
              <w:pStyle w:val="TableParagraph"/>
              <w:spacing w:before="7"/>
              <w:rPr>
                <w:sz w:val="22"/>
              </w:rPr>
            </w:pPr>
          </w:p>
          <w:p>
            <w:pPr>
              <w:pStyle w:val="TableParagraph"/>
              <w:spacing w:line="242" w:lineRule="auto"/>
              <w:ind w:left="167" w:right="55"/>
              <w:jc w:val="both"/>
              <w:rPr>
                <w:sz w:val="21"/>
              </w:rPr>
            </w:pPr>
            <w:r>
              <w:rPr>
                <w:sz w:val="21"/>
              </w:rPr>
              <w:t>减：前期计入其他综合收益当期转入损益 </w:t>
            </w:r>
          </w:p>
        </w:tc>
        <w:tc>
          <w:tcPr>
            <w:tcW w:w="778" w:type="dxa"/>
          </w:tcPr>
          <w:p>
            <w:pPr>
              <w:pStyle w:val="TableParagraph"/>
              <w:spacing w:line="242" w:lineRule="auto" w:before="1"/>
              <w:ind w:left="177" w:right="166"/>
              <w:jc w:val="both"/>
              <w:rPr>
                <w:sz w:val="21"/>
              </w:rPr>
            </w:pPr>
            <w:r>
              <w:rPr>
                <w:spacing w:val="-1"/>
                <w:sz w:val="21"/>
              </w:rPr>
              <w:t>减：</w:t>
            </w:r>
            <w:r>
              <w:rPr>
                <w:spacing w:val="-103"/>
                <w:sz w:val="21"/>
              </w:rPr>
              <w:t> </w:t>
            </w:r>
            <w:r>
              <w:rPr>
                <w:spacing w:val="-1"/>
                <w:sz w:val="21"/>
              </w:rPr>
              <w:t>前期计入其他综合收益当期</w:t>
            </w:r>
            <w:r>
              <w:rPr>
                <w:spacing w:val="-8"/>
                <w:sz w:val="21"/>
              </w:rPr>
              <w:t>转入</w:t>
            </w:r>
          </w:p>
          <w:p>
            <w:pPr>
              <w:pStyle w:val="TableParagraph"/>
              <w:spacing w:line="270" w:lineRule="atLeast"/>
              <w:ind w:left="177" w:right="62"/>
              <w:rPr>
                <w:sz w:val="21"/>
              </w:rPr>
            </w:pPr>
            <w:r>
              <w:rPr>
                <w:sz w:val="21"/>
              </w:rPr>
              <w:t>留存收益 </w:t>
            </w:r>
          </w:p>
        </w:tc>
        <w:tc>
          <w:tcPr>
            <w:tcW w:w="874" w:type="dxa"/>
          </w:tcPr>
          <w:p>
            <w:pPr>
              <w:pStyle w:val="TableParagraph"/>
              <w:rPr>
                <w:sz w:val="20"/>
              </w:rPr>
            </w:pPr>
          </w:p>
          <w:p>
            <w:pPr>
              <w:pStyle w:val="TableParagraph"/>
              <w:rPr>
                <w:sz w:val="20"/>
              </w:rPr>
            </w:pPr>
          </w:p>
          <w:p>
            <w:pPr>
              <w:pStyle w:val="TableParagraph"/>
              <w:rPr>
                <w:sz w:val="20"/>
              </w:rPr>
            </w:pPr>
          </w:p>
          <w:p>
            <w:pPr>
              <w:pStyle w:val="TableParagraph"/>
              <w:spacing w:before="6"/>
              <w:rPr>
                <w:sz w:val="14"/>
              </w:rPr>
            </w:pPr>
          </w:p>
          <w:p>
            <w:pPr>
              <w:pStyle w:val="TableParagraph"/>
              <w:spacing w:line="242" w:lineRule="auto"/>
              <w:ind w:left="119" w:right="108"/>
              <w:jc w:val="center"/>
              <w:rPr>
                <w:sz w:val="21"/>
              </w:rPr>
            </w:pPr>
            <w:r>
              <w:rPr>
                <w:sz w:val="21"/>
              </w:rPr>
              <w:t>减：所得税费用 </w:t>
            </w:r>
          </w:p>
        </w:tc>
        <w:tc>
          <w:tcPr>
            <w:tcW w:w="1191" w:type="dxa"/>
          </w:tcPr>
          <w:p>
            <w:pPr>
              <w:pStyle w:val="TableParagraph"/>
              <w:rPr>
                <w:sz w:val="20"/>
              </w:rPr>
            </w:pPr>
          </w:p>
          <w:p>
            <w:pPr>
              <w:pStyle w:val="TableParagraph"/>
              <w:rPr>
                <w:sz w:val="20"/>
              </w:rPr>
            </w:pPr>
          </w:p>
          <w:p>
            <w:pPr>
              <w:pStyle w:val="TableParagraph"/>
              <w:rPr>
                <w:sz w:val="20"/>
              </w:rPr>
            </w:pPr>
          </w:p>
          <w:p>
            <w:pPr>
              <w:pStyle w:val="TableParagraph"/>
              <w:spacing w:before="2"/>
              <w:rPr>
                <w:sz w:val="25"/>
              </w:rPr>
            </w:pPr>
          </w:p>
          <w:p>
            <w:pPr>
              <w:pStyle w:val="TableParagraph"/>
              <w:spacing w:line="242" w:lineRule="auto"/>
              <w:ind w:left="172" w:right="61"/>
              <w:rPr>
                <w:sz w:val="21"/>
              </w:rPr>
            </w:pPr>
            <w:r>
              <w:rPr>
                <w:sz w:val="21"/>
              </w:rPr>
              <w:t>税后归属于母公司 </w:t>
            </w:r>
          </w:p>
        </w:tc>
        <w:tc>
          <w:tcPr>
            <w:tcW w:w="880" w:type="dxa"/>
          </w:tcPr>
          <w:p>
            <w:pPr>
              <w:pStyle w:val="TableParagraph"/>
              <w:rPr>
                <w:sz w:val="20"/>
              </w:rPr>
            </w:pPr>
          </w:p>
          <w:p>
            <w:pPr>
              <w:pStyle w:val="TableParagraph"/>
              <w:rPr>
                <w:sz w:val="20"/>
              </w:rPr>
            </w:pPr>
          </w:p>
          <w:p>
            <w:pPr>
              <w:pStyle w:val="TableParagraph"/>
              <w:rPr>
                <w:sz w:val="20"/>
              </w:rPr>
            </w:pPr>
          </w:p>
          <w:p>
            <w:pPr>
              <w:pStyle w:val="TableParagraph"/>
              <w:spacing w:before="6"/>
              <w:rPr>
                <w:sz w:val="14"/>
              </w:rPr>
            </w:pPr>
          </w:p>
          <w:p>
            <w:pPr>
              <w:pStyle w:val="TableParagraph"/>
              <w:spacing w:line="242" w:lineRule="auto"/>
              <w:ind w:left="118" w:right="11"/>
              <w:jc w:val="both"/>
              <w:rPr>
                <w:sz w:val="21"/>
              </w:rPr>
            </w:pPr>
            <w:r>
              <w:rPr>
                <w:sz w:val="21"/>
              </w:rPr>
              <w:t>税后归属于少数股东 </w:t>
            </w:r>
          </w:p>
        </w:tc>
        <w:tc>
          <w:tcPr>
            <w:tcW w:w="1189" w:type="dxa"/>
            <w:vMerge/>
            <w:tcBorders>
              <w:top w:val="nil"/>
            </w:tcBorders>
          </w:tcPr>
          <w:p>
            <w:pPr>
              <w:rPr>
                <w:sz w:val="2"/>
                <w:szCs w:val="2"/>
              </w:rPr>
            </w:pPr>
          </w:p>
        </w:tc>
      </w:tr>
      <w:tr>
        <w:trPr>
          <w:trHeight w:val="1634" w:hRule="atLeast"/>
        </w:trPr>
        <w:tc>
          <w:tcPr>
            <w:tcW w:w="876" w:type="dxa"/>
          </w:tcPr>
          <w:p>
            <w:pPr>
              <w:pStyle w:val="TableParagraph"/>
              <w:spacing w:line="242" w:lineRule="auto" w:before="1"/>
              <w:ind w:left="107" w:right="122"/>
              <w:jc w:val="both"/>
              <w:rPr>
                <w:sz w:val="21"/>
              </w:rPr>
            </w:pPr>
            <w:r>
              <w:rPr>
                <w:sz w:val="21"/>
              </w:rPr>
              <w:t>一、不能重分类进损益的其他综合</w:t>
            </w:r>
          </w:p>
          <w:p>
            <w:pPr>
              <w:pStyle w:val="TableParagraph"/>
              <w:spacing w:line="252" w:lineRule="exact" w:before="2"/>
              <w:ind w:left="107"/>
              <w:rPr>
                <w:sz w:val="21"/>
              </w:rPr>
            </w:pPr>
            <w:r>
              <w:rPr>
                <w:sz w:val="21"/>
              </w:rPr>
              <w:t>收益 </w:t>
            </w:r>
          </w:p>
        </w:tc>
        <w:tc>
          <w:tcPr>
            <w:tcW w:w="876" w:type="dxa"/>
          </w:tcPr>
          <w:p>
            <w:pPr>
              <w:pStyle w:val="TableParagraph"/>
              <w:spacing w:line="242" w:lineRule="auto" w:before="1"/>
              <w:ind w:left="136" w:firstLine="525"/>
              <w:rPr>
                <w:sz w:val="21"/>
              </w:rPr>
            </w:pPr>
            <w:r>
              <w:rPr>
                <w:sz w:val="21"/>
              </w:rPr>
              <w:t>-</w:t>
            </w:r>
            <w:r>
              <w:rPr>
                <w:spacing w:val="1"/>
                <w:sz w:val="21"/>
              </w:rPr>
              <w:t> </w:t>
            </w:r>
            <w:r>
              <w:rPr>
                <w:sz w:val="21"/>
              </w:rPr>
              <w:t>37,760 </w:t>
            </w:r>
          </w:p>
        </w:tc>
        <w:tc>
          <w:tcPr>
            <w:tcW w:w="1191" w:type="dxa"/>
          </w:tcPr>
          <w:p>
            <w:pPr>
              <w:pStyle w:val="TableParagraph"/>
              <w:spacing w:before="1"/>
              <w:ind w:right="-15"/>
              <w:jc w:val="right"/>
              <w:rPr>
                <w:sz w:val="21"/>
              </w:rPr>
            </w:pPr>
            <w:r>
              <w:rPr>
                <w:w w:val="100"/>
                <w:sz w:val="21"/>
              </w:rPr>
              <w:t> </w:t>
            </w:r>
          </w:p>
        </w:tc>
        <w:tc>
          <w:tcPr>
            <w:tcW w:w="972" w:type="dxa"/>
          </w:tcPr>
          <w:p>
            <w:pPr>
              <w:pStyle w:val="TableParagraph"/>
              <w:spacing w:before="1"/>
              <w:ind w:right="-15"/>
              <w:jc w:val="right"/>
              <w:rPr>
                <w:sz w:val="21"/>
              </w:rPr>
            </w:pPr>
            <w:r>
              <w:rPr>
                <w:w w:val="100"/>
                <w:sz w:val="21"/>
              </w:rPr>
              <w:t> </w:t>
            </w:r>
          </w:p>
        </w:tc>
        <w:tc>
          <w:tcPr>
            <w:tcW w:w="778" w:type="dxa"/>
          </w:tcPr>
          <w:p>
            <w:pPr>
              <w:pStyle w:val="TableParagraph"/>
              <w:spacing w:before="1"/>
              <w:ind w:right="-15"/>
              <w:jc w:val="right"/>
              <w:rPr>
                <w:sz w:val="21"/>
              </w:rPr>
            </w:pPr>
            <w:r>
              <w:rPr>
                <w:w w:val="100"/>
                <w:sz w:val="21"/>
              </w:rPr>
              <w:t> </w:t>
            </w:r>
          </w:p>
        </w:tc>
        <w:tc>
          <w:tcPr>
            <w:tcW w:w="874"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w w:val="100"/>
                <w:sz w:val="21"/>
              </w:rPr>
              <w:t> </w:t>
            </w:r>
          </w:p>
        </w:tc>
        <w:tc>
          <w:tcPr>
            <w:tcW w:w="880" w:type="dxa"/>
          </w:tcPr>
          <w:p>
            <w:pPr>
              <w:pStyle w:val="TableParagraph"/>
              <w:spacing w:before="1"/>
              <w:ind w:right="-15"/>
              <w:jc w:val="right"/>
              <w:rPr>
                <w:sz w:val="21"/>
              </w:rPr>
            </w:pPr>
            <w:r>
              <w:rPr>
                <w:w w:val="100"/>
                <w:sz w:val="21"/>
              </w:rPr>
              <w:t> </w:t>
            </w:r>
          </w:p>
        </w:tc>
        <w:tc>
          <w:tcPr>
            <w:tcW w:w="1189" w:type="dxa"/>
          </w:tcPr>
          <w:p>
            <w:pPr>
              <w:pStyle w:val="TableParagraph"/>
              <w:spacing w:before="1"/>
              <w:ind w:right="-15"/>
              <w:jc w:val="right"/>
              <w:rPr>
                <w:sz w:val="21"/>
              </w:rPr>
            </w:pPr>
            <w:r>
              <w:rPr>
                <w:sz w:val="21"/>
              </w:rPr>
              <w:t>-37,760 </w:t>
            </w:r>
          </w:p>
        </w:tc>
      </w:tr>
      <w:tr>
        <w:trPr>
          <w:trHeight w:val="1634" w:hRule="atLeast"/>
        </w:trPr>
        <w:tc>
          <w:tcPr>
            <w:tcW w:w="876" w:type="dxa"/>
          </w:tcPr>
          <w:p>
            <w:pPr>
              <w:pStyle w:val="TableParagraph"/>
              <w:spacing w:line="242" w:lineRule="auto" w:before="1"/>
              <w:ind w:left="107" w:right="122"/>
              <w:jc w:val="both"/>
              <w:rPr>
                <w:sz w:val="21"/>
              </w:rPr>
            </w:pPr>
            <w:r>
              <w:rPr>
                <w:sz w:val="21"/>
              </w:rPr>
              <w:t>其中：</w:t>
            </w:r>
            <w:r>
              <w:rPr>
                <w:spacing w:val="-103"/>
                <w:sz w:val="21"/>
              </w:rPr>
              <w:t> </w:t>
            </w:r>
            <w:r>
              <w:rPr>
                <w:sz w:val="21"/>
              </w:rPr>
              <w:t>重新计量设定受益计</w:t>
            </w:r>
          </w:p>
          <w:p>
            <w:pPr>
              <w:pStyle w:val="TableParagraph"/>
              <w:spacing w:line="270" w:lineRule="atLeast"/>
              <w:ind w:left="107" w:right="122"/>
              <w:rPr>
                <w:sz w:val="21"/>
              </w:rPr>
            </w:pPr>
            <w:r>
              <w:rPr>
                <w:sz w:val="21"/>
              </w:rPr>
              <w:t>划变动额 </w:t>
            </w:r>
          </w:p>
        </w:tc>
        <w:tc>
          <w:tcPr>
            <w:tcW w:w="876"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w w:val="100"/>
                <w:sz w:val="21"/>
              </w:rPr>
              <w:t> </w:t>
            </w:r>
          </w:p>
        </w:tc>
        <w:tc>
          <w:tcPr>
            <w:tcW w:w="972" w:type="dxa"/>
          </w:tcPr>
          <w:p>
            <w:pPr>
              <w:pStyle w:val="TableParagraph"/>
              <w:spacing w:before="1"/>
              <w:ind w:right="-15"/>
              <w:jc w:val="right"/>
              <w:rPr>
                <w:sz w:val="21"/>
              </w:rPr>
            </w:pPr>
            <w:r>
              <w:rPr>
                <w:w w:val="100"/>
                <w:sz w:val="21"/>
              </w:rPr>
              <w:t> </w:t>
            </w:r>
          </w:p>
        </w:tc>
        <w:tc>
          <w:tcPr>
            <w:tcW w:w="778" w:type="dxa"/>
          </w:tcPr>
          <w:p>
            <w:pPr>
              <w:pStyle w:val="TableParagraph"/>
              <w:spacing w:before="1"/>
              <w:ind w:right="-15"/>
              <w:jc w:val="right"/>
              <w:rPr>
                <w:sz w:val="21"/>
              </w:rPr>
            </w:pPr>
            <w:r>
              <w:rPr>
                <w:w w:val="100"/>
                <w:sz w:val="21"/>
              </w:rPr>
              <w:t> </w:t>
            </w:r>
          </w:p>
        </w:tc>
        <w:tc>
          <w:tcPr>
            <w:tcW w:w="874"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w w:val="100"/>
                <w:sz w:val="21"/>
              </w:rPr>
              <w:t> </w:t>
            </w:r>
          </w:p>
        </w:tc>
        <w:tc>
          <w:tcPr>
            <w:tcW w:w="880" w:type="dxa"/>
          </w:tcPr>
          <w:p>
            <w:pPr>
              <w:pStyle w:val="TableParagraph"/>
              <w:spacing w:before="1"/>
              <w:ind w:right="-15"/>
              <w:jc w:val="right"/>
              <w:rPr>
                <w:sz w:val="21"/>
              </w:rPr>
            </w:pPr>
            <w:r>
              <w:rPr>
                <w:w w:val="100"/>
                <w:sz w:val="21"/>
              </w:rPr>
              <w:t> </w:t>
            </w:r>
          </w:p>
        </w:tc>
        <w:tc>
          <w:tcPr>
            <w:tcW w:w="1189" w:type="dxa"/>
          </w:tcPr>
          <w:p>
            <w:pPr>
              <w:pStyle w:val="TableParagraph"/>
              <w:spacing w:before="1"/>
              <w:ind w:right="-15"/>
              <w:jc w:val="right"/>
              <w:rPr>
                <w:sz w:val="21"/>
              </w:rPr>
            </w:pPr>
            <w:r>
              <w:rPr>
                <w:w w:val="100"/>
                <w:sz w:val="21"/>
              </w:rPr>
              <w:t> </w:t>
            </w:r>
          </w:p>
        </w:tc>
      </w:tr>
      <w:tr>
        <w:trPr>
          <w:trHeight w:val="1634" w:hRule="atLeast"/>
        </w:trPr>
        <w:tc>
          <w:tcPr>
            <w:tcW w:w="876" w:type="dxa"/>
          </w:tcPr>
          <w:p>
            <w:pPr>
              <w:pStyle w:val="TableParagraph"/>
              <w:spacing w:line="242" w:lineRule="auto" w:before="1"/>
              <w:ind w:left="107" w:right="122"/>
              <w:jc w:val="both"/>
              <w:rPr>
                <w:sz w:val="21"/>
              </w:rPr>
            </w:pPr>
            <w:r>
              <w:rPr>
                <w:w w:val="100"/>
                <w:sz w:val="21"/>
              </w:rPr>
              <w:t> </w:t>
            </w:r>
            <w:r>
              <w:rPr>
                <w:spacing w:val="-1"/>
                <w:w w:val="100"/>
                <w:sz w:val="21"/>
              </w:rPr>
              <w:t> </w:t>
            </w:r>
            <w:r>
              <w:rPr>
                <w:sz w:val="21"/>
              </w:rPr>
              <w:t>权益法下不能转损益的其</w:t>
            </w:r>
          </w:p>
          <w:p>
            <w:pPr>
              <w:pStyle w:val="TableParagraph"/>
              <w:spacing w:line="270" w:lineRule="atLeast"/>
              <w:ind w:left="107" w:right="122"/>
              <w:rPr>
                <w:sz w:val="21"/>
              </w:rPr>
            </w:pPr>
            <w:r>
              <w:rPr>
                <w:sz w:val="21"/>
              </w:rPr>
              <w:t>他综合收益 </w:t>
            </w:r>
          </w:p>
        </w:tc>
        <w:tc>
          <w:tcPr>
            <w:tcW w:w="876"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w w:val="100"/>
                <w:sz w:val="21"/>
              </w:rPr>
              <w:t> </w:t>
            </w:r>
          </w:p>
        </w:tc>
        <w:tc>
          <w:tcPr>
            <w:tcW w:w="972" w:type="dxa"/>
          </w:tcPr>
          <w:p>
            <w:pPr>
              <w:pStyle w:val="TableParagraph"/>
              <w:spacing w:before="1"/>
              <w:ind w:right="-15"/>
              <w:jc w:val="right"/>
              <w:rPr>
                <w:sz w:val="21"/>
              </w:rPr>
            </w:pPr>
            <w:r>
              <w:rPr>
                <w:w w:val="100"/>
                <w:sz w:val="21"/>
              </w:rPr>
              <w:t> </w:t>
            </w:r>
          </w:p>
        </w:tc>
        <w:tc>
          <w:tcPr>
            <w:tcW w:w="778" w:type="dxa"/>
          </w:tcPr>
          <w:p>
            <w:pPr>
              <w:pStyle w:val="TableParagraph"/>
              <w:spacing w:before="1"/>
              <w:ind w:right="-15"/>
              <w:jc w:val="right"/>
              <w:rPr>
                <w:sz w:val="21"/>
              </w:rPr>
            </w:pPr>
            <w:r>
              <w:rPr>
                <w:w w:val="100"/>
                <w:sz w:val="21"/>
              </w:rPr>
              <w:t> </w:t>
            </w:r>
          </w:p>
        </w:tc>
        <w:tc>
          <w:tcPr>
            <w:tcW w:w="874"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w w:val="100"/>
                <w:sz w:val="21"/>
              </w:rPr>
              <w:t> </w:t>
            </w:r>
          </w:p>
        </w:tc>
        <w:tc>
          <w:tcPr>
            <w:tcW w:w="880" w:type="dxa"/>
          </w:tcPr>
          <w:p>
            <w:pPr>
              <w:pStyle w:val="TableParagraph"/>
              <w:spacing w:before="1"/>
              <w:ind w:right="-15"/>
              <w:jc w:val="right"/>
              <w:rPr>
                <w:sz w:val="21"/>
              </w:rPr>
            </w:pPr>
            <w:r>
              <w:rPr>
                <w:w w:val="100"/>
                <w:sz w:val="21"/>
              </w:rPr>
              <w:t> </w:t>
            </w:r>
          </w:p>
        </w:tc>
        <w:tc>
          <w:tcPr>
            <w:tcW w:w="1189" w:type="dxa"/>
          </w:tcPr>
          <w:p>
            <w:pPr>
              <w:pStyle w:val="TableParagraph"/>
              <w:spacing w:before="1"/>
              <w:ind w:right="-15"/>
              <w:jc w:val="right"/>
              <w:rPr>
                <w:sz w:val="21"/>
              </w:rPr>
            </w:pPr>
            <w:r>
              <w:rPr>
                <w:w w:val="100"/>
                <w:sz w:val="21"/>
              </w:rPr>
              <w:t> </w:t>
            </w:r>
          </w:p>
        </w:tc>
      </w:tr>
      <w:tr>
        <w:trPr>
          <w:trHeight w:val="1361" w:hRule="atLeast"/>
        </w:trPr>
        <w:tc>
          <w:tcPr>
            <w:tcW w:w="876" w:type="dxa"/>
          </w:tcPr>
          <w:p>
            <w:pPr>
              <w:pStyle w:val="TableParagraph"/>
              <w:spacing w:line="242" w:lineRule="auto" w:before="1"/>
              <w:ind w:left="107" w:right="122" w:firstLine="211"/>
              <w:jc w:val="both"/>
              <w:rPr>
                <w:sz w:val="21"/>
              </w:rPr>
            </w:pPr>
            <w:r>
              <w:rPr>
                <w:spacing w:val="-1"/>
                <w:sz w:val="21"/>
              </w:rPr>
              <w:t>其他</w:t>
            </w:r>
            <w:r>
              <w:rPr>
                <w:sz w:val="21"/>
              </w:rPr>
              <w:t>权益工具投资</w:t>
            </w:r>
            <w:r>
              <w:rPr>
                <w:spacing w:val="-5"/>
                <w:sz w:val="21"/>
              </w:rPr>
              <w:t>公允价</w:t>
            </w:r>
          </w:p>
          <w:p>
            <w:pPr>
              <w:pStyle w:val="TableParagraph"/>
              <w:spacing w:line="250" w:lineRule="exact" w:before="3"/>
              <w:ind w:left="107"/>
              <w:rPr>
                <w:sz w:val="21"/>
              </w:rPr>
            </w:pPr>
            <w:r>
              <w:rPr>
                <w:sz w:val="21"/>
              </w:rPr>
              <w:t>值变动 </w:t>
            </w:r>
          </w:p>
        </w:tc>
        <w:tc>
          <w:tcPr>
            <w:tcW w:w="876" w:type="dxa"/>
          </w:tcPr>
          <w:p>
            <w:pPr>
              <w:pStyle w:val="TableParagraph"/>
              <w:spacing w:before="12"/>
              <w:rPr>
                <w:sz w:val="31"/>
              </w:rPr>
            </w:pPr>
          </w:p>
          <w:p>
            <w:pPr>
              <w:pStyle w:val="TableParagraph"/>
              <w:spacing w:line="244" w:lineRule="auto"/>
              <w:ind w:left="136" w:firstLine="525"/>
              <w:rPr>
                <w:sz w:val="24"/>
              </w:rPr>
            </w:pPr>
            <w:r>
              <w:rPr>
                <w:sz w:val="21"/>
              </w:rPr>
              <w:t>-</w:t>
            </w:r>
            <w:r>
              <w:rPr>
                <w:spacing w:val="1"/>
                <w:sz w:val="21"/>
              </w:rPr>
              <w:t> </w:t>
            </w:r>
            <w:r>
              <w:rPr>
                <w:sz w:val="21"/>
              </w:rPr>
              <w:t>37,760</w:t>
            </w:r>
            <w:r>
              <w:rPr>
                <w:sz w:val="24"/>
              </w:rPr>
              <w:t> </w:t>
            </w:r>
          </w:p>
        </w:tc>
        <w:tc>
          <w:tcPr>
            <w:tcW w:w="1191" w:type="dxa"/>
          </w:tcPr>
          <w:p>
            <w:pPr>
              <w:pStyle w:val="TableParagraph"/>
              <w:rPr>
                <w:sz w:val="20"/>
              </w:rPr>
            </w:pPr>
          </w:p>
          <w:p>
            <w:pPr>
              <w:pStyle w:val="TableParagraph"/>
              <w:spacing w:before="8"/>
              <w:rPr>
                <w:sz w:val="22"/>
              </w:rPr>
            </w:pPr>
          </w:p>
          <w:p>
            <w:pPr>
              <w:pStyle w:val="TableParagraph"/>
              <w:ind w:left="107"/>
              <w:rPr>
                <w:sz w:val="21"/>
              </w:rPr>
            </w:pPr>
            <w:r>
              <w:rPr>
                <w:w w:val="100"/>
                <w:sz w:val="21"/>
              </w:rPr>
              <w:t> </w:t>
            </w:r>
          </w:p>
        </w:tc>
        <w:tc>
          <w:tcPr>
            <w:tcW w:w="972" w:type="dxa"/>
          </w:tcPr>
          <w:p>
            <w:pPr>
              <w:pStyle w:val="TableParagraph"/>
              <w:rPr>
                <w:rFonts w:ascii="Times New Roman"/>
                <w:sz w:val="20"/>
              </w:rPr>
            </w:pPr>
          </w:p>
        </w:tc>
        <w:tc>
          <w:tcPr>
            <w:tcW w:w="778" w:type="dxa"/>
          </w:tcPr>
          <w:p>
            <w:pPr>
              <w:pStyle w:val="TableParagraph"/>
              <w:rPr>
                <w:rFonts w:ascii="Times New Roman"/>
                <w:sz w:val="20"/>
              </w:rPr>
            </w:pPr>
          </w:p>
        </w:tc>
        <w:tc>
          <w:tcPr>
            <w:tcW w:w="874" w:type="dxa"/>
          </w:tcPr>
          <w:p>
            <w:pPr>
              <w:pStyle w:val="TableParagraph"/>
              <w:rPr>
                <w:rFonts w:ascii="Times New Roman"/>
                <w:sz w:val="20"/>
              </w:rPr>
            </w:pPr>
          </w:p>
        </w:tc>
        <w:tc>
          <w:tcPr>
            <w:tcW w:w="1191" w:type="dxa"/>
          </w:tcPr>
          <w:p>
            <w:pPr>
              <w:pStyle w:val="TableParagraph"/>
              <w:rPr>
                <w:rFonts w:ascii="Times New Roman"/>
                <w:sz w:val="20"/>
              </w:rPr>
            </w:pPr>
          </w:p>
        </w:tc>
        <w:tc>
          <w:tcPr>
            <w:tcW w:w="880" w:type="dxa"/>
          </w:tcPr>
          <w:p>
            <w:pPr>
              <w:pStyle w:val="TableParagraph"/>
              <w:rPr>
                <w:rFonts w:ascii="Times New Roman"/>
                <w:sz w:val="20"/>
              </w:rPr>
            </w:pPr>
          </w:p>
        </w:tc>
        <w:tc>
          <w:tcPr>
            <w:tcW w:w="1189" w:type="dxa"/>
          </w:tcPr>
          <w:p>
            <w:pPr>
              <w:pStyle w:val="TableParagraph"/>
              <w:rPr>
                <w:sz w:val="24"/>
              </w:rPr>
            </w:pPr>
          </w:p>
          <w:p>
            <w:pPr>
              <w:pStyle w:val="TableParagraph"/>
              <w:spacing w:before="8"/>
              <w:rPr>
                <w:sz w:val="18"/>
              </w:rPr>
            </w:pPr>
          </w:p>
          <w:p>
            <w:pPr>
              <w:pStyle w:val="TableParagraph"/>
              <w:ind w:left="105"/>
              <w:rPr>
                <w:sz w:val="24"/>
              </w:rPr>
            </w:pPr>
            <w:r>
              <w:rPr>
                <w:sz w:val="21"/>
              </w:rPr>
              <w:t>-37,760</w:t>
            </w:r>
            <w:r>
              <w:rPr>
                <w:sz w:val="24"/>
              </w:rPr>
              <w:t> </w:t>
            </w:r>
          </w:p>
        </w:tc>
      </w:tr>
      <w:tr>
        <w:trPr>
          <w:trHeight w:val="1362" w:hRule="atLeast"/>
        </w:trPr>
        <w:tc>
          <w:tcPr>
            <w:tcW w:w="876" w:type="dxa"/>
          </w:tcPr>
          <w:p>
            <w:pPr>
              <w:pStyle w:val="TableParagraph"/>
              <w:spacing w:line="242" w:lineRule="auto" w:before="3"/>
              <w:ind w:left="107" w:right="122" w:firstLine="211"/>
              <w:jc w:val="both"/>
              <w:rPr>
                <w:sz w:val="21"/>
              </w:rPr>
            </w:pPr>
            <w:r>
              <w:rPr>
                <w:spacing w:val="-1"/>
                <w:sz w:val="21"/>
              </w:rPr>
              <w:t>企业</w:t>
            </w:r>
            <w:r>
              <w:rPr>
                <w:sz w:val="21"/>
              </w:rPr>
              <w:t>自身信用风险</w:t>
            </w:r>
            <w:r>
              <w:rPr>
                <w:spacing w:val="-5"/>
                <w:sz w:val="21"/>
              </w:rPr>
              <w:t>公允价</w:t>
            </w:r>
          </w:p>
          <w:p>
            <w:pPr>
              <w:pStyle w:val="TableParagraph"/>
              <w:spacing w:line="250" w:lineRule="exact" w:before="3"/>
              <w:ind w:left="107"/>
              <w:rPr>
                <w:sz w:val="21"/>
              </w:rPr>
            </w:pPr>
            <w:r>
              <w:rPr>
                <w:sz w:val="21"/>
              </w:rPr>
              <w:t>值变动 </w:t>
            </w:r>
          </w:p>
        </w:tc>
        <w:tc>
          <w:tcPr>
            <w:tcW w:w="876"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w w:val="100"/>
                <w:sz w:val="21"/>
              </w:rPr>
              <w:t> </w:t>
            </w:r>
          </w:p>
        </w:tc>
        <w:tc>
          <w:tcPr>
            <w:tcW w:w="972" w:type="dxa"/>
          </w:tcPr>
          <w:p>
            <w:pPr>
              <w:pStyle w:val="TableParagraph"/>
              <w:spacing w:before="3"/>
              <w:ind w:right="-15"/>
              <w:jc w:val="right"/>
              <w:rPr>
                <w:sz w:val="21"/>
              </w:rPr>
            </w:pPr>
            <w:r>
              <w:rPr>
                <w:w w:val="100"/>
                <w:sz w:val="21"/>
              </w:rPr>
              <w:t> </w:t>
            </w:r>
          </w:p>
        </w:tc>
        <w:tc>
          <w:tcPr>
            <w:tcW w:w="778" w:type="dxa"/>
          </w:tcPr>
          <w:p>
            <w:pPr>
              <w:pStyle w:val="TableParagraph"/>
              <w:spacing w:before="3"/>
              <w:ind w:right="-15"/>
              <w:jc w:val="right"/>
              <w:rPr>
                <w:sz w:val="21"/>
              </w:rPr>
            </w:pPr>
            <w:r>
              <w:rPr>
                <w:w w:val="100"/>
                <w:sz w:val="21"/>
              </w:rPr>
              <w:t> </w:t>
            </w:r>
          </w:p>
        </w:tc>
        <w:tc>
          <w:tcPr>
            <w:tcW w:w="874"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w w:val="100"/>
                <w:sz w:val="21"/>
              </w:rPr>
              <w:t> </w:t>
            </w:r>
          </w:p>
        </w:tc>
        <w:tc>
          <w:tcPr>
            <w:tcW w:w="880" w:type="dxa"/>
          </w:tcPr>
          <w:p>
            <w:pPr>
              <w:pStyle w:val="TableParagraph"/>
              <w:spacing w:before="3"/>
              <w:ind w:right="-15"/>
              <w:jc w:val="right"/>
              <w:rPr>
                <w:sz w:val="21"/>
              </w:rPr>
            </w:pPr>
            <w:r>
              <w:rPr>
                <w:w w:val="100"/>
                <w:sz w:val="21"/>
              </w:rPr>
              <w:t> </w:t>
            </w:r>
          </w:p>
        </w:tc>
        <w:tc>
          <w:tcPr>
            <w:tcW w:w="1189" w:type="dxa"/>
          </w:tcPr>
          <w:p>
            <w:pPr>
              <w:pStyle w:val="TableParagraph"/>
              <w:spacing w:before="3"/>
              <w:ind w:right="-15"/>
              <w:jc w:val="right"/>
              <w:rPr>
                <w:sz w:val="21"/>
              </w:rPr>
            </w:pPr>
            <w:r>
              <w:rPr>
                <w:w w:val="100"/>
                <w:sz w:val="21"/>
              </w:rPr>
              <w:t> </w:t>
            </w:r>
          </w:p>
        </w:tc>
      </w:tr>
      <w:tr>
        <w:trPr>
          <w:trHeight w:val="273" w:hRule="atLeast"/>
        </w:trPr>
        <w:tc>
          <w:tcPr>
            <w:tcW w:w="876" w:type="dxa"/>
          </w:tcPr>
          <w:p>
            <w:pPr>
              <w:pStyle w:val="TableParagraph"/>
              <w:spacing w:line="252" w:lineRule="exact" w:before="1"/>
              <w:ind w:left="107"/>
              <w:rPr>
                <w:sz w:val="21"/>
              </w:rPr>
            </w:pPr>
            <w:r>
              <w:rPr>
                <w:w w:val="100"/>
                <w:sz w:val="21"/>
              </w:rPr>
              <w:t> </w:t>
            </w:r>
          </w:p>
        </w:tc>
        <w:tc>
          <w:tcPr>
            <w:tcW w:w="876" w:type="dxa"/>
          </w:tcPr>
          <w:p>
            <w:pPr>
              <w:pStyle w:val="TableParagraph"/>
              <w:spacing w:line="252" w:lineRule="exact" w:before="1"/>
              <w:ind w:right="-15"/>
              <w:jc w:val="right"/>
              <w:rPr>
                <w:sz w:val="21"/>
              </w:rPr>
            </w:pPr>
            <w:r>
              <w:rPr>
                <w:w w:val="100"/>
                <w:sz w:val="21"/>
              </w:rPr>
              <w:t> </w:t>
            </w:r>
          </w:p>
        </w:tc>
        <w:tc>
          <w:tcPr>
            <w:tcW w:w="1191" w:type="dxa"/>
          </w:tcPr>
          <w:p>
            <w:pPr>
              <w:pStyle w:val="TableParagraph"/>
              <w:spacing w:line="252" w:lineRule="exact" w:before="1"/>
              <w:ind w:right="-15"/>
              <w:jc w:val="right"/>
              <w:rPr>
                <w:sz w:val="21"/>
              </w:rPr>
            </w:pPr>
            <w:r>
              <w:rPr>
                <w:w w:val="100"/>
                <w:sz w:val="21"/>
              </w:rPr>
              <w:t> </w:t>
            </w:r>
          </w:p>
        </w:tc>
        <w:tc>
          <w:tcPr>
            <w:tcW w:w="972" w:type="dxa"/>
          </w:tcPr>
          <w:p>
            <w:pPr>
              <w:pStyle w:val="TableParagraph"/>
              <w:spacing w:line="252" w:lineRule="exact" w:before="1"/>
              <w:ind w:right="-15"/>
              <w:jc w:val="right"/>
              <w:rPr>
                <w:sz w:val="21"/>
              </w:rPr>
            </w:pPr>
            <w:r>
              <w:rPr>
                <w:w w:val="100"/>
                <w:sz w:val="21"/>
              </w:rPr>
              <w:t> </w:t>
            </w:r>
          </w:p>
        </w:tc>
        <w:tc>
          <w:tcPr>
            <w:tcW w:w="778" w:type="dxa"/>
          </w:tcPr>
          <w:p>
            <w:pPr>
              <w:pStyle w:val="TableParagraph"/>
              <w:spacing w:line="252" w:lineRule="exact" w:before="1"/>
              <w:ind w:right="-15"/>
              <w:jc w:val="right"/>
              <w:rPr>
                <w:sz w:val="21"/>
              </w:rPr>
            </w:pPr>
            <w:r>
              <w:rPr>
                <w:w w:val="100"/>
                <w:sz w:val="21"/>
              </w:rPr>
              <w:t> </w:t>
            </w:r>
          </w:p>
        </w:tc>
        <w:tc>
          <w:tcPr>
            <w:tcW w:w="874" w:type="dxa"/>
          </w:tcPr>
          <w:p>
            <w:pPr>
              <w:pStyle w:val="TableParagraph"/>
              <w:spacing w:line="252" w:lineRule="exact" w:before="1"/>
              <w:ind w:right="-15"/>
              <w:jc w:val="right"/>
              <w:rPr>
                <w:sz w:val="21"/>
              </w:rPr>
            </w:pPr>
            <w:r>
              <w:rPr>
                <w:w w:val="100"/>
                <w:sz w:val="21"/>
              </w:rPr>
              <w:t> </w:t>
            </w:r>
          </w:p>
        </w:tc>
        <w:tc>
          <w:tcPr>
            <w:tcW w:w="1191" w:type="dxa"/>
          </w:tcPr>
          <w:p>
            <w:pPr>
              <w:pStyle w:val="TableParagraph"/>
              <w:spacing w:line="252" w:lineRule="exact" w:before="1"/>
              <w:ind w:right="-15"/>
              <w:jc w:val="right"/>
              <w:rPr>
                <w:sz w:val="21"/>
              </w:rPr>
            </w:pPr>
            <w:r>
              <w:rPr>
                <w:w w:val="100"/>
                <w:sz w:val="21"/>
              </w:rPr>
              <w:t> </w:t>
            </w:r>
          </w:p>
        </w:tc>
        <w:tc>
          <w:tcPr>
            <w:tcW w:w="880" w:type="dxa"/>
          </w:tcPr>
          <w:p>
            <w:pPr>
              <w:pStyle w:val="TableParagraph"/>
              <w:spacing w:line="252" w:lineRule="exact" w:before="1"/>
              <w:ind w:right="-15"/>
              <w:jc w:val="right"/>
              <w:rPr>
                <w:sz w:val="21"/>
              </w:rPr>
            </w:pPr>
            <w:r>
              <w:rPr>
                <w:w w:val="100"/>
                <w:sz w:val="21"/>
              </w:rPr>
              <w:t> </w:t>
            </w:r>
          </w:p>
        </w:tc>
        <w:tc>
          <w:tcPr>
            <w:tcW w:w="1189" w:type="dxa"/>
          </w:tcPr>
          <w:p>
            <w:pPr>
              <w:pStyle w:val="TableParagraph"/>
              <w:spacing w:line="252" w:lineRule="exact" w:before="1"/>
              <w:ind w:right="-15"/>
              <w:jc w:val="right"/>
              <w:rPr>
                <w:sz w:val="21"/>
              </w:rPr>
            </w:pPr>
            <w:r>
              <w:rPr>
                <w:w w:val="100"/>
                <w:sz w:val="21"/>
              </w:rPr>
              <w:t> </w:t>
            </w:r>
          </w:p>
        </w:tc>
      </w:tr>
      <w:tr>
        <w:trPr>
          <w:trHeight w:val="270" w:hRule="atLeast"/>
        </w:trPr>
        <w:tc>
          <w:tcPr>
            <w:tcW w:w="876" w:type="dxa"/>
          </w:tcPr>
          <w:p>
            <w:pPr>
              <w:pStyle w:val="TableParagraph"/>
              <w:spacing w:line="250" w:lineRule="exact" w:before="1"/>
              <w:ind w:left="107"/>
              <w:rPr>
                <w:sz w:val="21"/>
              </w:rPr>
            </w:pPr>
            <w:r>
              <w:rPr>
                <w:w w:val="100"/>
                <w:sz w:val="21"/>
              </w:rPr>
              <w:t> </w:t>
            </w:r>
          </w:p>
        </w:tc>
        <w:tc>
          <w:tcPr>
            <w:tcW w:w="876" w:type="dxa"/>
          </w:tcPr>
          <w:p>
            <w:pPr>
              <w:pStyle w:val="TableParagraph"/>
              <w:spacing w:line="250" w:lineRule="exact" w:before="1"/>
              <w:ind w:right="-15"/>
              <w:jc w:val="right"/>
              <w:rPr>
                <w:sz w:val="21"/>
              </w:rPr>
            </w:pPr>
            <w:r>
              <w:rPr>
                <w:w w:val="100"/>
                <w:sz w:val="21"/>
              </w:rPr>
              <w:t> </w:t>
            </w:r>
          </w:p>
        </w:tc>
        <w:tc>
          <w:tcPr>
            <w:tcW w:w="1191" w:type="dxa"/>
          </w:tcPr>
          <w:p>
            <w:pPr>
              <w:pStyle w:val="TableParagraph"/>
              <w:spacing w:line="250" w:lineRule="exact" w:before="1"/>
              <w:ind w:right="-15"/>
              <w:jc w:val="right"/>
              <w:rPr>
                <w:sz w:val="21"/>
              </w:rPr>
            </w:pPr>
            <w:r>
              <w:rPr>
                <w:w w:val="100"/>
                <w:sz w:val="21"/>
              </w:rPr>
              <w:t> </w:t>
            </w:r>
          </w:p>
        </w:tc>
        <w:tc>
          <w:tcPr>
            <w:tcW w:w="972" w:type="dxa"/>
          </w:tcPr>
          <w:p>
            <w:pPr>
              <w:pStyle w:val="TableParagraph"/>
              <w:spacing w:line="250" w:lineRule="exact" w:before="1"/>
              <w:ind w:right="-15"/>
              <w:jc w:val="right"/>
              <w:rPr>
                <w:sz w:val="21"/>
              </w:rPr>
            </w:pPr>
            <w:r>
              <w:rPr>
                <w:w w:val="100"/>
                <w:sz w:val="21"/>
              </w:rPr>
              <w:t> </w:t>
            </w:r>
          </w:p>
        </w:tc>
        <w:tc>
          <w:tcPr>
            <w:tcW w:w="778" w:type="dxa"/>
          </w:tcPr>
          <w:p>
            <w:pPr>
              <w:pStyle w:val="TableParagraph"/>
              <w:spacing w:line="250" w:lineRule="exact" w:before="1"/>
              <w:ind w:right="-15"/>
              <w:jc w:val="right"/>
              <w:rPr>
                <w:sz w:val="21"/>
              </w:rPr>
            </w:pPr>
            <w:r>
              <w:rPr>
                <w:w w:val="100"/>
                <w:sz w:val="21"/>
              </w:rPr>
              <w:t> </w:t>
            </w:r>
          </w:p>
        </w:tc>
        <w:tc>
          <w:tcPr>
            <w:tcW w:w="874" w:type="dxa"/>
          </w:tcPr>
          <w:p>
            <w:pPr>
              <w:pStyle w:val="TableParagraph"/>
              <w:spacing w:line="250" w:lineRule="exact" w:before="1"/>
              <w:ind w:right="-15"/>
              <w:jc w:val="right"/>
              <w:rPr>
                <w:sz w:val="21"/>
              </w:rPr>
            </w:pPr>
            <w:r>
              <w:rPr>
                <w:w w:val="100"/>
                <w:sz w:val="21"/>
              </w:rPr>
              <w:t> </w:t>
            </w:r>
          </w:p>
        </w:tc>
        <w:tc>
          <w:tcPr>
            <w:tcW w:w="1191" w:type="dxa"/>
          </w:tcPr>
          <w:p>
            <w:pPr>
              <w:pStyle w:val="TableParagraph"/>
              <w:spacing w:line="250" w:lineRule="exact" w:before="1"/>
              <w:ind w:right="-15"/>
              <w:jc w:val="right"/>
              <w:rPr>
                <w:sz w:val="21"/>
              </w:rPr>
            </w:pPr>
            <w:r>
              <w:rPr>
                <w:w w:val="100"/>
                <w:sz w:val="21"/>
              </w:rPr>
              <w:t> </w:t>
            </w:r>
          </w:p>
        </w:tc>
        <w:tc>
          <w:tcPr>
            <w:tcW w:w="880" w:type="dxa"/>
          </w:tcPr>
          <w:p>
            <w:pPr>
              <w:pStyle w:val="TableParagraph"/>
              <w:spacing w:line="250" w:lineRule="exact" w:before="1"/>
              <w:ind w:right="-15"/>
              <w:jc w:val="right"/>
              <w:rPr>
                <w:sz w:val="21"/>
              </w:rPr>
            </w:pPr>
            <w:r>
              <w:rPr>
                <w:w w:val="100"/>
                <w:sz w:val="21"/>
              </w:rPr>
              <w:t> </w:t>
            </w:r>
          </w:p>
        </w:tc>
        <w:tc>
          <w:tcPr>
            <w:tcW w:w="1189" w:type="dxa"/>
          </w:tcPr>
          <w:p>
            <w:pPr>
              <w:pStyle w:val="TableParagraph"/>
              <w:spacing w:line="250" w:lineRule="exact" w:before="1"/>
              <w:ind w:right="-15"/>
              <w:jc w:val="right"/>
              <w:rPr>
                <w:sz w:val="21"/>
              </w:rPr>
            </w:pPr>
            <w:r>
              <w:rPr>
                <w:w w:val="100"/>
                <w:sz w:val="21"/>
              </w:rPr>
              <w:t> </w:t>
            </w:r>
          </w:p>
        </w:tc>
      </w:tr>
    </w:tbl>
    <w:p>
      <w:pPr>
        <w:spacing w:after="0" w:line="250" w:lineRule="exact"/>
        <w:jc w:val="right"/>
        <w:rPr>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6"/>
        <w:gridCol w:w="876"/>
        <w:gridCol w:w="1191"/>
        <w:gridCol w:w="972"/>
        <w:gridCol w:w="778"/>
        <w:gridCol w:w="874"/>
        <w:gridCol w:w="1191"/>
        <w:gridCol w:w="880"/>
        <w:gridCol w:w="1189"/>
      </w:tblGrid>
      <w:tr>
        <w:trPr>
          <w:trHeight w:val="1634" w:hRule="atLeast"/>
        </w:trPr>
        <w:tc>
          <w:tcPr>
            <w:tcW w:w="876" w:type="dxa"/>
          </w:tcPr>
          <w:p>
            <w:pPr>
              <w:pStyle w:val="TableParagraph"/>
              <w:spacing w:line="242" w:lineRule="auto" w:before="3"/>
              <w:ind w:left="107" w:right="122"/>
              <w:jc w:val="both"/>
              <w:rPr>
                <w:sz w:val="21"/>
              </w:rPr>
            </w:pPr>
            <w:r>
              <w:rPr>
                <w:sz w:val="21"/>
              </w:rPr>
              <w:t>二、将重分类进损益的其他综合收</w:t>
            </w:r>
          </w:p>
          <w:p>
            <w:pPr>
              <w:pStyle w:val="TableParagraph"/>
              <w:spacing w:line="250" w:lineRule="exact" w:before="3"/>
              <w:ind w:left="107"/>
              <w:rPr>
                <w:sz w:val="21"/>
              </w:rPr>
            </w:pPr>
            <w:r>
              <w:rPr>
                <w:sz w:val="21"/>
              </w:rPr>
              <w:t>益 </w:t>
            </w:r>
          </w:p>
        </w:tc>
        <w:tc>
          <w:tcPr>
            <w:tcW w:w="876" w:type="dxa"/>
          </w:tcPr>
          <w:p>
            <w:pPr>
              <w:pStyle w:val="TableParagraph"/>
              <w:rPr>
                <w:sz w:val="22"/>
              </w:rPr>
            </w:pPr>
          </w:p>
          <w:p>
            <w:pPr>
              <w:pStyle w:val="TableParagraph"/>
              <w:rPr>
                <w:sz w:val="32"/>
              </w:rPr>
            </w:pPr>
          </w:p>
          <w:p>
            <w:pPr>
              <w:pStyle w:val="TableParagraph"/>
              <w:ind w:left="189"/>
              <w:rPr>
                <w:rFonts w:ascii="Times New Roman"/>
                <w:sz w:val="21"/>
              </w:rPr>
            </w:pPr>
            <w:r>
              <w:rPr>
                <w:rFonts w:ascii="Times New Roman"/>
                <w:sz w:val="21"/>
              </w:rPr>
              <w:t>20,210</w:t>
            </w:r>
          </w:p>
        </w:tc>
        <w:tc>
          <w:tcPr>
            <w:tcW w:w="1191" w:type="dxa"/>
          </w:tcPr>
          <w:p>
            <w:pPr>
              <w:pStyle w:val="TableParagraph"/>
              <w:rPr>
                <w:sz w:val="22"/>
              </w:rPr>
            </w:pPr>
          </w:p>
          <w:p>
            <w:pPr>
              <w:pStyle w:val="TableParagraph"/>
              <w:rPr>
                <w:sz w:val="32"/>
              </w:rPr>
            </w:pPr>
          </w:p>
          <w:p>
            <w:pPr>
              <w:pStyle w:val="TableParagraph"/>
              <w:ind w:right="96"/>
              <w:jc w:val="right"/>
              <w:rPr>
                <w:rFonts w:ascii="Times New Roman"/>
                <w:sz w:val="21"/>
              </w:rPr>
            </w:pPr>
            <w:r>
              <w:rPr>
                <w:rFonts w:ascii="Times New Roman"/>
                <w:sz w:val="21"/>
              </w:rPr>
              <w:t>912,552</w:t>
            </w:r>
          </w:p>
        </w:tc>
        <w:tc>
          <w:tcPr>
            <w:tcW w:w="972" w:type="dxa"/>
          </w:tcPr>
          <w:p>
            <w:pPr>
              <w:pStyle w:val="TableParagraph"/>
              <w:rPr>
                <w:sz w:val="22"/>
              </w:rPr>
            </w:pPr>
          </w:p>
          <w:p>
            <w:pPr>
              <w:pStyle w:val="TableParagraph"/>
              <w:rPr>
                <w:sz w:val="32"/>
              </w:rPr>
            </w:pPr>
          </w:p>
          <w:p>
            <w:pPr>
              <w:pStyle w:val="TableParagraph"/>
              <w:ind w:left="182"/>
              <w:rPr>
                <w:rFonts w:ascii="Times New Roman"/>
                <w:sz w:val="21"/>
              </w:rPr>
            </w:pPr>
            <w:r>
              <w:rPr>
                <w:rFonts w:ascii="Times New Roman"/>
                <w:sz w:val="21"/>
              </w:rPr>
              <w:t>185,816</w:t>
            </w:r>
          </w:p>
        </w:tc>
        <w:tc>
          <w:tcPr>
            <w:tcW w:w="778" w:type="dxa"/>
          </w:tcPr>
          <w:p>
            <w:pPr>
              <w:pStyle w:val="TableParagraph"/>
              <w:rPr>
                <w:sz w:val="22"/>
              </w:rPr>
            </w:pPr>
          </w:p>
          <w:p>
            <w:pPr>
              <w:pStyle w:val="TableParagraph"/>
              <w:rPr>
                <w:sz w:val="32"/>
              </w:rPr>
            </w:pPr>
          </w:p>
          <w:p>
            <w:pPr>
              <w:pStyle w:val="TableParagraph"/>
              <w:ind w:right="97"/>
              <w:jc w:val="right"/>
              <w:rPr>
                <w:rFonts w:ascii="Times New Roman"/>
                <w:sz w:val="21"/>
              </w:rPr>
            </w:pPr>
            <w:r>
              <w:rPr>
                <w:rFonts w:ascii="Times New Roman"/>
                <w:w w:val="100"/>
                <w:sz w:val="21"/>
              </w:rPr>
              <w:t>-</w:t>
            </w:r>
          </w:p>
        </w:tc>
        <w:tc>
          <w:tcPr>
            <w:tcW w:w="874" w:type="dxa"/>
          </w:tcPr>
          <w:p>
            <w:pPr>
              <w:pStyle w:val="TableParagraph"/>
              <w:rPr>
                <w:sz w:val="22"/>
              </w:rPr>
            </w:pPr>
          </w:p>
          <w:p>
            <w:pPr>
              <w:pStyle w:val="TableParagraph"/>
              <w:rPr>
                <w:sz w:val="32"/>
              </w:rPr>
            </w:pPr>
          </w:p>
          <w:p>
            <w:pPr>
              <w:pStyle w:val="TableParagraph"/>
              <w:ind w:left="292"/>
              <w:rPr>
                <w:rFonts w:ascii="Times New Roman"/>
                <w:sz w:val="21"/>
              </w:rPr>
            </w:pPr>
            <w:r>
              <w:rPr>
                <w:rFonts w:ascii="Times New Roman"/>
                <w:sz w:val="21"/>
              </w:rPr>
              <w:t>7,972</w:t>
            </w:r>
          </w:p>
        </w:tc>
        <w:tc>
          <w:tcPr>
            <w:tcW w:w="1191" w:type="dxa"/>
          </w:tcPr>
          <w:p>
            <w:pPr>
              <w:pStyle w:val="TableParagraph"/>
              <w:rPr>
                <w:sz w:val="22"/>
              </w:rPr>
            </w:pPr>
          </w:p>
          <w:p>
            <w:pPr>
              <w:pStyle w:val="TableParagraph"/>
              <w:rPr>
                <w:sz w:val="32"/>
              </w:rPr>
            </w:pPr>
          </w:p>
          <w:p>
            <w:pPr>
              <w:pStyle w:val="TableParagraph"/>
              <w:ind w:left="239"/>
              <w:rPr>
                <w:rFonts w:ascii="Times New Roman"/>
                <w:sz w:val="21"/>
              </w:rPr>
            </w:pPr>
            <w:r>
              <w:rPr>
                <w:rFonts w:ascii="Times New Roman"/>
                <w:sz w:val="21"/>
              </w:rPr>
              <w:t>1,106,340</w:t>
            </w:r>
          </w:p>
        </w:tc>
        <w:tc>
          <w:tcPr>
            <w:tcW w:w="880" w:type="dxa"/>
          </w:tcPr>
          <w:p>
            <w:pPr>
              <w:pStyle w:val="TableParagraph"/>
              <w:rPr>
                <w:sz w:val="22"/>
              </w:rPr>
            </w:pPr>
          </w:p>
          <w:p>
            <w:pPr>
              <w:pStyle w:val="TableParagraph"/>
              <w:rPr>
                <w:sz w:val="32"/>
              </w:rPr>
            </w:pPr>
          </w:p>
          <w:p>
            <w:pPr>
              <w:pStyle w:val="TableParagraph"/>
              <w:ind w:right="99"/>
              <w:jc w:val="right"/>
              <w:rPr>
                <w:rFonts w:ascii="Times New Roman"/>
                <w:sz w:val="21"/>
              </w:rPr>
            </w:pPr>
            <w:r>
              <w:rPr>
                <w:rFonts w:ascii="Times New Roman"/>
                <w:w w:val="100"/>
                <w:sz w:val="21"/>
              </w:rPr>
              <w:t>-</w:t>
            </w:r>
          </w:p>
        </w:tc>
        <w:tc>
          <w:tcPr>
            <w:tcW w:w="1189" w:type="dxa"/>
          </w:tcPr>
          <w:p>
            <w:pPr>
              <w:pStyle w:val="TableParagraph"/>
              <w:rPr>
                <w:sz w:val="22"/>
              </w:rPr>
            </w:pPr>
          </w:p>
          <w:p>
            <w:pPr>
              <w:pStyle w:val="TableParagraph"/>
              <w:rPr>
                <w:sz w:val="32"/>
              </w:rPr>
            </w:pPr>
          </w:p>
          <w:p>
            <w:pPr>
              <w:pStyle w:val="TableParagraph"/>
              <w:ind w:left="237"/>
              <w:rPr>
                <w:rFonts w:ascii="Times New Roman"/>
                <w:sz w:val="21"/>
              </w:rPr>
            </w:pPr>
            <w:r>
              <w:rPr>
                <w:rFonts w:ascii="Times New Roman"/>
                <w:sz w:val="21"/>
              </w:rPr>
              <w:t>1,126,550</w:t>
            </w:r>
          </w:p>
        </w:tc>
      </w:tr>
      <w:tr>
        <w:trPr>
          <w:trHeight w:val="1634" w:hRule="atLeast"/>
        </w:trPr>
        <w:tc>
          <w:tcPr>
            <w:tcW w:w="876" w:type="dxa"/>
          </w:tcPr>
          <w:p>
            <w:pPr>
              <w:pStyle w:val="TableParagraph"/>
              <w:spacing w:line="242" w:lineRule="auto" w:before="3"/>
              <w:ind w:left="107" w:right="122"/>
              <w:jc w:val="both"/>
              <w:rPr>
                <w:sz w:val="21"/>
              </w:rPr>
            </w:pPr>
            <w:r>
              <w:rPr>
                <w:sz w:val="21"/>
              </w:rPr>
              <w:t>其中：</w:t>
            </w:r>
            <w:r>
              <w:rPr>
                <w:spacing w:val="-103"/>
                <w:sz w:val="21"/>
              </w:rPr>
              <w:t> </w:t>
            </w:r>
            <w:r>
              <w:rPr>
                <w:sz w:val="21"/>
              </w:rPr>
              <w:t>权益法下可转损益的</w:t>
            </w:r>
            <w:r>
              <w:rPr>
                <w:spacing w:val="-5"/>
                <w:sz w:val="21"/>
              </w:rPr>
              <w:t>其他综</w:t>
            </w:r>
          </w:p>
          <w:p>
            <w:pPr>
              <w:pStyle w:val="TableParagraph"/>
              <w:spacing w:line="250" w:lineRule="exact" w:before="2"/>
              <w:ind w:left="107"/>
              <w:rPr>
                <w:sz w:val="21"/>
              </w:rPr>
            </w:pPr>
            <w:r>
              <w:rPr>
                <w:sz w:val="21"/>
              </w:rPr>
              <w:t>合收益 </w:t>
            </w:r>
          </w:p>
        </w:tc>
        <w:tc>
          <w:tcPr>
            <w:tcW w:w="876" w:type="dxa"/>
          </w:tcPr>
          <w:p>
            <w:pPr>
              <w:pStyle w:val="TableParagraph"/>
              <w:spacing w:before="3"/>
              <w:ind w:right="-15"/>
              <w:jc w:val="right"/>
              <w:rPr>
                <w:sz w:val="21"/>
              </w:rPr>
            </w:pPr>
            <w:r>
              <w:rPr>
                <w:sz w:val="21"/>
              </w:rPr>
              <w:t>-1,952 </w:t>
            </w:r>
          </w:p>
        </w:tc>
        <w:tc>
          <w:tcPr>
            <w:tcW w:w="1191" w:type="dxa"/>
          </w:tcPr>
          <w:p>
            <w:pPr>
              <w:pStyle w:val="TableParagraph"/>
              <w:spacing w:before="3"/>
              <w:ind w:right="-15"/>
              <w:jc w:val="right"/>
              <w:rPr>
                <w:sz w:val="21"/>
              </w:rPr>
            </w:pPr>
            <w:r>
              <w:rPr>
                <w:sz w:val="21"/>
              </w:rPr>
              <w:t>2,690 </w:t>
            </w:r>
          </w:p>
        </w:tc>
        <w:tc>
          <w:tcPr>
            <w:tcW w:w="972" w:type="dxa"/>
          </w:tcPr>
          <w:p>
            <w:pPr>
              <w:pStyle w:val="TableParagraph"/>
              <w:spacing w:before="3"/>
              <w:ind w:right="-15"/>
              <w:jc w:val="right"/>
              <w:rPr>
                <w:sz w:val="21"/>
              </w:rPr>
            </w:pPr>
            <w:r>
              <w:rPr>
                <w:w w:val="100"/>
                <w:sz w:val="21"/>
              </w:rPr>
              <w:t> </w:t>
            </w:r>
          </w:p>
        </w:tc>
        <w:tc>
          <w:tcPr>
            <w:tcW w:w="778" w:type="dxa"/>
          </w:tcPr>
          <w:p>
            <w:pPr>
              <w:pStyle w:val="TableParagraph"/>
              <w:spacing w:before="3"/>
              <w:ind w:right="-15"/>
              <w:jc w:val="right"/>
              <w:rPr>
                <w:sz w:val="21"/>
              </w:rPr>
            </w:pPr>
            <w:r>
              <w:rPr>
                <w:w w:val="100"/>
                <w:sz w:val="21"/>
              </w:rPr>
              <w:t> </w:t>
            </w:r>
          </w:p>
        </w:tc>
        <w:tc>
          <w:tcPr>
            <w:tcW w:w="874"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sz w:val="21"/>
              </w:rPr>
              <w:t>2,690 </w:t>
            </w:r>
          </w:p>
        </w:tc>
        <w:tc>
          <w:tcPr>
            <w:tcW w:w="880" w:type="dxa"/>
          </w:tcPr>
          <w:p>
            <w:pPr>
              <w:pStyle w:val="TableParagraph"/>
              <w:spacing w:before="3"/>
              <w:ind w:right="-15"/>
              <w:jc w:val="right"/>
              <w:rPr>
                <w:sz w:val="21"/>
              </w:rPr>
            </w:pPr>
            <w:r>
              <w:rPr>
                <w:w w:val="100"/>
                <w:sz w:val="21"/>
              </w:rPr>
              <w:t> </w:t>
            </w:r>
          </w:p>
        </w:tc>
        <w:tc>
          <w:tcPr>
            <w:tcW w:w="1189" w:type="dxa"/>
          </w:tcPr>
          <w:p>
            <w:pPr>
              <w:pStyle w:val="TableParagraph"/>
              <w:spacing w:before="3"/>
              <w:ind w:right="-15"/>
              <w:jc w:val="right"/>
              <w:rPr>
                <w:sz w:val="21"/>
              </w:rPr>
            </w:pPr>
            <w:r>
              <w:rPr>
                <w:sz w:val="21"/>
              </w:rPr>
              <w:t>738 </w:t>
            </w:r>
          </w:p>
        </w:tc>
      </w:tr>
      <w:tr>
        <w:trPr>
          <w:trHeight w:val="1363" w:hRule="atLeast"/>
        </w:trPr>
        <w:tc>
          <w:tcPr>
            <w:tcW w:w="876" w:type="dxa"/>
          </w:tcPr>
          <w:p>
            <w:pPr>
              <w:pStyle w:val="TableParagraph"/>
              <w:spacing w:line="242" w:lineRule="auto" w:before="3"/>
              <w:ind w:left="107" w:right="122" w:firstLine="211"/>
              <w:jc w:val="both"/>
              <w:rPr>
                <w:sz w:val="21"/>
              </w:rPr>
            </w:pPr>
            <w:r>
              <w:rPr>
                <w:spacing w:val="-1"/>
                <w:sz w:val="21"/>
              </w:rPr>
              <w:t>其他</w:t>
            </w:r>
            <w:r>
              <w:rPr>
                <w:sz w:val="21"/>
              </w:rPr>
              <w:t>债权投资公允价值变</w:t>
            </w:r>
          </w:p>
          <w:p>
            <w:pPr>
              <w:pStyle w:val="TableParagraph"/>
              <w:spacing w:line="250" w:lineRule="exact" w:before="3"/>
              <w:ind w:left="107"/>
              <w:rPr>
                <w:sz w:val="21"/>
              </w:rPr>
            </w:pPr>
            <w:r>
              <w:rPr>
                <w:sz w:val="21"/>
              </w:rPr>
              <w:t>动 </w:t>
            </w:r>
          </w:p>
        </w:tc>
        <w:tc>
          <w:tcPr>
            <w:tcW w:w="876"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w w:val="100"/>
                <w:sz w:val="21"/>
              </w:rPr>
              <w:t> </w:t>
            </w:r>
          </w:p>
        </w:tc>
        <w:tc>
          <w:tcPr>
            <w:tcW w:w="972" w:type="dxa"/>
          </w:tcPr>
          <w:p>
            <w:pPr>
              <w:pStyle w:val="TableParagraph"/>
              <w:spacing w:before="3"/>
              <w:ind w:right="-15"/>
              <w:jc w:val="right"/>
              <w:rPr>
                <w:sz w:val="21"/>
              </w:rPr>
            </w:pPr>
            <w:r>
              <w:rPr>
                <w:w w:val="100"/>
                <w:sz w:val="21"/>
              </w:rPr>
              <w:t> </w:t>
            </w:r>
          </w:p>
        </w:tc>
        <w:tc>
          <w:tcPr>
            <w:tcW w:w="778" w:type="dxa"/>
          </w:tcPr>
          <w:p>
            <w:pPr>
              <w:pStyle w:val="TableParagraph"/>
              <w:spacing w:before="3"/>
              <w:ind w:right="-15"/>
              <w:jc w:val="right"/>
              <w:rPr>
                <w:sz w:val="21"/>
              </w:rPr>
            </w:pPr>
            <w:r>
              <w:rPr>
                <w:w w:val="100"/>
                <w:sz w:val="21"/>
              </w:rPr>
              <w:t> </w:t>
            </w:r>
          </w:p>
        </w:tc>
        <w:tc>
          <w:tcPr>
            <w:tcW w:w="874"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w w:val="100"/>
                <w:sz w:val="21"/>
              </w:rPr>
              <w:t> </w:t>
            </w:r>
          </w:p>
        </w:tc>
        <w:tc>
          <w:tcPr>
            <w:tcW w:w="880" w:type="dxa"/>
          </w:tcPr>
          <w:p>
            <w:pPr>
              <w:pStyle w:val="TableParagraph"/>
              <w:spacing w:before="3"/>
              <w:ind w:right="-15"/>
              <w:jc w:val="right"/>
              <w:rPr>
                <w:sz w:val="21"/>
              </w:rPr>
            </w:pPr>
            <w:r>
              <w:rPr>
                <w:w w:val="100"/>
                <w:sz w:val="21"/>
              </w:rPr>
              <w:t> </w:t>
            </w:r>
          </w:p>
        </w:tc>
        <w:tc>
          <w:tcPr>
            <w:tcW w:w="1189" w:type="dxa"/>
          </w:tcPr>
          <w:p>
            <w:pPr>
              <w:pStyle w:val="TableParagraph"/>
              <w:spacing w:before="3"/>
              <w:ind w:right="-15"/>
              <w:jc w:val="right"/>
              <w:rPr>
                <w:sz w:val="21"/>
              </w:rPr>
            </w:pPr>
            <w:r>
              <w:rPr>
                <w:w w:val="100"/>
                <w:sz w:val="21"/>
              </w:rPr>
              <w:t> </w:t>
            </w:r>
          </w:p>
        </w:tc>
      </w:tr>
      <w:tr>
        <w:trPr>
          <w:trHeight w:val="1907" w:hRule="atLeast"/>
        </w:trPr>
        <w:tc>
          <w:tcPr>
            <w:tcW w:w="876" w:type="dxa"/>
          </w:tcPr>
          <w:p>
            <w:pPr>
              <w:pStyle w:val="TableParagraph"/>
              <w:spacing w:line="242" w:lineRule="auto" w:before="1"/>
              <w:ind w:left="107" w:right="122" w:firstLine="211"/>
              <w:jc w:val="both"/>
              <w:rPr>
                <w:sz w:val="21"/>
              </w:rPr>
            </w:pPr>
            <w:r>
              <w:rPr>
                <w:spacing w:val="-1"/>
                <w:sz w:val="21"/>
              </w:rPr>
              <w:t>金融</w:t>
            </w:r>
            <w:r>
              <w:rPr>
                <w:sz w:val="21"/>
              </w:rPr>
              <w:t>资产重分类计入其他综合收</w:t>
            </w:r>
          </w:p>
          <w:p>
            <w:pPr>
              <w:pStyle w:val="TableParagraph"/>
              <w:spacing w:line="270" w:lineRule="atLeast"/>
              <w:ind w:left="107" w:right="122"/>
              <w:rPr>
                <w:sz w:val="21"/>
              </w:rPr>
            </w:pPr>
            <w:r>
              <w:rPr>
                <w:sz w:val="21"/>
              </w:rPr>
              <w:t>益的金额 </w:t>
            </w:r>
          </w:p>
        </w:tc>
        <w:tc>
          <w:tcPr>
            <w:tcW w:w="876"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w w:val="100"/>
                <w:sz w:val="21"/>
              </w:rPr>
              <w:t> </w:t>
            </w:r>
          </w:p>
        </w:tc>
        <w:tc>
          <w:tcPr>
            <w:tcW w:w="972" w:type="dxa"/>
          </w:tcPr>
          <w:p>
            <w:pPr>
              <w:pStyle w:val="TableParagraph"/>
              <w:spacing w:before="1"/>
              <w:ind w:right="-15"/>
              <w:jc w:val="right"/>
              <w:rPr>
                <w:sz w:val="21"/>
              </w:rPr>
            </w:pPr>
            <w:r>
              <w:rPr>
                <w:w w:val="100"/>
                <w:sz w:val="21"/>
              </w:rPr>
              <w:t> </w:t>
            </w:r>
          </w:p>
        </w:tc>
        <w:tc>
          <w:tcPr>
            <w:tcW w:w="778" w:type="dxa"/>
          </w:tcPr>
          <w:p>
            <w:pPr>
              <w:pStyle w:val="TableParagraph"/>
              <w:spacing w:before="1"/>
              <w:ind w:right="-15"/>
              <w:jc w:val="right"/>
              <w:rPr>
                <w:sz w:val="21"/>
              </w:rPr>
            </w:pPr>
            <w:r>
              <w:rPr>
                <w:w w:val="100"/>
                <w:sz w:val="21"/>
              </w:rPr>
              <w:t> </w:t>
            </w:r>
          </w:p>
        </w:tc>
        <w:tc>
          <w:tcPr>
            <w:tcW w:w="874"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w w:val="100"/>
                <w:sz w:val="21"/>
              </w:rPr>
              <w:t> </w:t>
            </w:r>
          </w:p>
        </w:tc>
        <w:tc>
          <w:tcPr>
            <w:tcW w:w="880" w:type="dxa"/>
          </w:tcPr>
          <w:p>
            <w:pPr>
              <w:pStyle w:val="TableParagraph"/>
              <w:spacing w:before="1"/>
              <w:ind w:right="-15"/>
              <w:jc w:val="right"/>
              <w:rPr>
                <w:sz w:val="21"/>
              </w:rPr>
            </w:pPr>
            <w:r>
              <w:rPr>
                <w:w w:val="100"/>
                <w:sz w:val="21"/>
              </w:rPr>
              <w:t> </w:t>
            </w:r>
          </w:p>
        </w:tc>
        <w:tc>
          <w:tcPr>
            <w:tcW w:w="1189" w:type="dxa"/>
          </w:tcPr>
          <w:p>
            <w:pPr>
              <w:pStyle w:val="TableParagraph"/>
              <w:spacing w:before="1"/>
              <w:ind w:right="-15"/>
              <w:jc w:val="right"/>
              <w:rPr>
                <w:sz w:val="21"/>
              </w:rPr>
            </w:pPr>
            <w:r>
              <w:rPr>
                <w:w w:val="100"/>
                <w:sz w:val="21"/>
              </w:rPr>
              <w:t> </w:t>
            </w:r>
          </w:p>
        </w:tc>
      </w:tr>
      <w:tr>
        <w:trPr>
          <w:trHeight w:val="1360" w:hRule="atLeast"/>
        </w:trPr>
        <w:tc>
          <w:tcPr>
            <w:tcW w:w="876" w:type="dxa"/>
          </w:tcPr>
          <w:p>
            <w:pPr>
              <w:pStyle w:val="TableParagraph"/>
              <w:spacing w:line="242" w:lineRule="auto" w:before="1"/>
              <w:ind w:left="107" w:right="122" w:firstLine="211"/>
              <w:jc w:val="both"/>
              <w:rPr>
                <w:sz w:val="21"/>
              </w:rPr>
            </w:pPr>
            <w:r>
              <w:rPr>
                <w:spacing w:val="-1"/>
                <w:sz w:val="21"/>
              </w:rPr>
              <w:t>其他</w:t>
            </w:r>
            <w:r>
              <w:rPr>
                <w:sz w:val="21"/>
              </w:rPr>
              <w:t>债权投资信用减值准</w:t>
            </w:r>
          </w:p>
          <w:p>
            <w:pPr>
              <w:pStyle w:val="TableParagraph"/>
              <w:spacing w:line="250" w:lineRule="exact" w:before="3"/>
              <w:ind w:left="107"/>
              <w:rPr>
                <w:sz w:val="21"/>
              </w:rPr>
            </w:pPr>
            <w:r>
              <w:rPr>
                <w:sz w:val="21"/>
              </w:rPr>
              <w:t>备 </w:t>
            </w:r>
          </w:p>
        </w:tc>
        <w:tc>
          <w:tcPr>
            <w:tcW w:w="876"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w w:val="100"/>
                <w:sz w:val="21"/>
              </w:rPr>
              <w:t> </w:t>
            </w:r>
          </w:p>
        </w:tc>
        <w:tc>
          <w:tcPr>
            <w:tcW w:w="972" w:type="dxa"/>
          </w:tcPr>
          <w:p>
            <w:pPr>
              <w:pStyle w:val="TableParagraph"/>
              <w:spacing w:before="1"/>
              <w:ind w:right="-15"/>
              <w:jc w:val="right"/>
              <w:rPr>
                <w:sz w:val="21"/>
              </w:rPr>
            </w:pPr>
            <w:r>
              <w:rPr>
                <w:w w:val="100"/>
                <w:sz w:val="21"/>
              </w:rPr>
              <w:t> </w:t>
            </w:r>
          </w:p>
        </w:tc>
        <w:tc>
          <w:tcPr>
            <w:tcW w:w="778" w:type="dxa"/>
          </w:tcPr>
          <w:p>
            <w:pPr>
              <w:pStyle w:val="TableParagraph"/>
              <w:spacing w:before="1"/>
              <w:ind w:right="-15"/>
              <w:jc w:val="right"/>
              <w:rPr>
                <w:sz w:val="21"/>
              </w:rPr>
            </w:pPr>
            <w:r>
              <w:rPr>
                <w:w w:val="100"/>
                <w:sz w:val="21"/>
              </w:rPr>
              <w:t> </w:t>
            </w:r>
          </w:p>
        </w:tc>
        <w:tc>
          <w:tcPr>
            <w:tcW w:w="874"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w w:val="100"/>
                <w:sz w:val="21"/>
              </w:rPr>
              <w:t> </w:t>
            </w:r>
          </w:p>
        </w:tc>
        <w:tc>
          <w:tcPr>
            <w:tcW w:w="880" w:type="dxa"/>
          </w:tcPr>
          <w:p>
            <w:pPr>
              <w:pStyle w:val="TableParagraph"/>
              <w:spacing w:before="1"/>
              <w:ind w:right="-15"/>
              <w:jc w:val="right"/>
              <w:rPr>
                <w:sz w:val="21"/>
              </w:rPr>
            </w:pPr>
            <w:r>
              <w:rPr>
                <w:w w:val="100"/>
                <w:sz w:val="21"/>
              </w:rPr>
              <w:t> </w:t>
            </w:r>
          </w:p>
        </w:tc>
        <w:tc>
          <w:tcPr>
            <w:tcW w:w="1189" w:type="dxa"/>
          </w:tcPr>
          <w:p>
            <w:pPr>
              <w:pStyle w:val="TableParagraph"/>
              <w:spacing w:before="1"/>
              <w:ind w:right="-15"/>
              <w:jc w:val="right"/>
              <w:rPr>
                <w:sz w:val="21"/>
              </w:rPr>
            </w:pPr>
            <w:r>
              <w:rPr>
                <w:w w:val="100"/>
                <w:sz w:val="21"/>
              </w:rPr>
              <w:t> </w:t>
            </w:r>
          </w:p>
        </w:tc>
      </w:tr>
      <w:tr>
        <w:trPr>
          <w:trHeight w:val="818" w:hRule="atLeast"/>
        </w:trPr>
        <w:tc>
          <w:tcPr>
            <w:tcW w:w="876" w:type="dxa"/>
          </w:tcPr>
          <w:p>
            <w:pPr>
              <w:pStyle w:val="TableParagraph"/>
              <w:spacing w:before="1"/>
              <w:ind w:left="107"/>
              <w:rPr>
                <w:sz w:val="21"/>
              </w:rPr>
            </w:pPr>
            <w:r>
              <w:rPr>
                <w:w w:val="100"/>
                <w:sz w:val="21"/>
              </w:rPr>
              <w:t> </w:t>
            </w:r>
            <w:r>
              <w:rPr>
                <w:spacing w:val="-1"/>
                <w:w w:val="100"/>
                <w:sz w:val="21"/>
              </w:rPr>
              <w:t> </w:t>
            </w:r>
            <w:r>
              <w:rPr>
                <w:sz w:val="21"/>
              </w:rPr>
              <w:t>现金</w:t>
            </w:r>
          </w:p>
          <w:p>
            <w:pPr>
              <w:pStyle w:val="TableParagraph"/>
              <w:spacing w:line="270" w:lineRule="atLeast"/>
              <w:ind w:left="107" w:right="19"/>
              <w:rPr>
                <w:sz w:val="21"/>
              </w:rPr>
            </w:pPr>
            <w:r>
              <w:rPr>
                <w:sz w:val="21"/>
              </w:rPr>
              <w:t>流量套期储备 </w:t>
            </w:r>
          </w:p>
        </w:tc>
        <w:tc>
          <w:tcPr>
            <w:tcW w:w="876" w:type="dxa"/>
          </w:tcPr>
          <w:p>
            <w:pPr>
              <w:pStyle w:val="TableParagraph"/>
              <w:spacing w:before="1"/>
              <w:ind w:right="-15"/>
              <w:jc w:val="right"/>
              <w:rPr>
                <w:sz w:val="21"/>
              </w:rPr>
            </w:pPr>
            <w:r>
              <w:rPr>
                <w:sz w:val="21"/>
              </w:rPr>
              <w:t>5,359 </w:t>
            </w:r>
          </w:p>
        </w:tc>
        <w:tc>
          <w:tcPr>
            <w:tcW w:w="1191" w:type="dxa"/>
          </w:tcPr>
          <w:p>
            <w:pPr>
              <w:pStyle w:val="TableParagraph"/>
              <w:spacing w:before="1"/>
              <w:ind w:right="-15"/>
              <w:jc w:val="right"/>
              <w:rPr>
                <w:sz w:val="21"/>
              </w:rPr>
            </w:pPr>
            <w:r>
              <w:rPr>
                <w:sz w:val="21"/>
              </w:rPr>
              <w:t>-403,433 </w:t>
            </w:r>
          </w:p>
        </w:tc>
        <w:tc>
          <w:tcPr>
            <w:tcW w:w="972" w:type="dxa"/>
          </w:tcPr>
          <w:p>
            <w:pPr>
              <w:pStyle w:val="TableParagraph"/>
              <w:spacing w:before="1"/>
              <w:ind w:right="-15"/>
              <w:jc w:val="right"/>
              <w:rPr>
                <w:sz w:val="21"/>
              </w:rPr>
            </w:pPr>
            <w:r>
              <w:rPr>
                <w:sz w:val="21"/>
              </w:rPr>
              <w:t>397,127 </w:t>
            </w:r>
          </w:p>
        </w:tc>
        <w:tc>
          <w:tcPr>
            <w:tcW w:w="778" w:type="dxa"/>
          </w:tcPr>
          <w:p>
            <w:pPr>
              <w:pStyle w:val="TableParagraph"/>
              <w:spacing w:before="1"/>
              <w:ind w:right="-15"/>
              <w:jc w:val="right"/>
              <w:rPr>
                <w:sz w:val="21"/>
              </w:rPr>
            </w:pPr>
            <w:r>
              <w:rPr>
                <w:w w:val="100"/>
                <w:sz w:val="21"/>
              </w:rPr>
              <w:t> </w:t>
            </w:r>
          </w:p>
        </w:tc>
        <w:tc>
          <w:tcPr>
            <w:tcW w:w="874" w:type="dxa"/>
          </w:tcPr>
          <w:p>
            <w:pPr>
              <w:pStyle w:val="TableParagraph"/>
              <w:spacing w:before="1"/>
              <w:ind w:right="-15"/>
              <w:jc w:val="right"/>
              <w:rPr>
                <w:sz w:val="21"/>
              </w:rPr>
            </w:pPr>
            <w:r>
              <w:rPr>
                <w:sz w:val="21"/>
              </w:rPr>
              <w:t>947 </w:t>
            </w:r>
          </w:p>
        </w:tc>
        <w:tc>
          <w:tcPr>
            <w:tcW w:w="1191" w:type="dxa"/>
          </w:tcPr>
          <w:p>
            <w:pPr>
              <w:pStyle w:val="TableParagraph"/>
              <w:spacing w:before="1"/>
              <w:ind w:right="-15"/>
              <w:jc w:val="right"/>
              <w:rPr>
                <w:sz w:val="21"/>
              </w:rPr>
            </w:pPr>
            <w:r>
              <w:rPr>
                <w:sz w:val="21"/>
              </w:rPr>
              <w:t>-5,359 </w:t>
            </w:r>
          </w:p>
        </w:tc>
        <w:tc>
          <w:tcPr>
            <w:tcW w:w="880" w:type="dxa"/>
          </w:tcPr>
          <w:p>
            <w:pPr>
              <w:pStyle w:val="TableParagraph"/>
              <w:spacing w:before="1"/>
              <w:ind w:right="-15"/>
              <w:jc w:val="right"/>
              <w:rPr>
                <w:sz w:val="21"/>
              </w:rPr>
            </w:pPr>
            <w:r>
              <w:rPr>
                <w:w w:val="100"/>
                <w:sz w:val="21"/>
              </w:rPr>
              <w:t> </w:t>
            </w:r>
          </w:p>
        </w:tc>
        <w:tc>
          <w:tcPr>
            <w:tcW w:w="1189" w:type="dxa"/>
          </w:tcPr>
          <w:p>
            <w:pPr>
              <w:pStyle w:val="TableParagraph"/>
              <w:spacing w:before="1"/>
              <w:ind w:right="-15"/>
              <w:jc w:val="right"/>
              <w:rPr>
                <w:sz w:val="21"/>
              </w:rPr>
            </w:pPr>
            <w:r>
              <w:rPr>
                <w:sz w:val="21"/>
              </w:rPr>
              <w:t>- </w:t>
            </w:r>
          </w:p>
        </w:tc>
      </w:tr>
      <w:tr>
        <w:trPr>
          <w:trHeight w:val="1089" w:hRule="atLeast"/>
        </w:trPr>
        <w:tc>
          <w:tcPr>
            <w:tcW w:w="876" w:type="dxa"/>
          </w:tcPr>
          <w:p>
            <w:pPr>
              <w:pStyle w:val="TableParagraph"/>
              <w:spacing w:line="242" w:lineRule="auto" w:before="1"/>
              <w:ind w:left="107" w:right="122"/>
              <w:jc w:val="both"/>
              <w:rPr>
                <w:sz w:val="21"/>
              </w:rPr>
            </w:pPr>
            <w:r>
              <w:rPr>
                <w:w w:val="100"/>
                <w:sz w:val="21"/>
              </w:rPr>
              <w:t> </w:t>
            </w:r>
            <w:r>
              <w:rPr>
                <w:spacing w:val="-1"/>
                <w:w w:val="100"/>
                <w:sz w:val="21"/>
              </w:rPr>
              <w:t> </w:t>
            </w:r>
            <w:r>
              <w:rPr>
                <w:sz w:val="21"/>
              </w:rPr>
              <w:t>外币财务报表折算</w:t>
            </w:r>
          </w:p>
          <w:p>
            <w:pPr>
              <w:pStyle w:val="TableParagraph"/>
              <w:spacing w:line="252" w:lineRule="exact"/>
              <w:ind w:left="107"/>
              <w:rPr>
                <w:sz w:val="21"/>
              </w:rPr>
            </w:pPr>
            <w:r>
              <w:rPr>
                <w:sz w:val="21"/>
              </w:rPr>
              <w:t>差额 </w:t>
            </w:r>
          </w:p>
        </w:tc>
        <w:tc>
          <w:tcPr>
            <w:tcW w:w="876" w:type="dxa"/>
          </w:tcPr>
          <w:p>
            <w:pPr>
              <w:pStyle w:val="TableParagraph"/>
              <w:spacing w:line="242" w:lineRule="auto" w:before="1"/>
              <w:ind w:left="136" w:firstLine="525"/>
              <w:rPr>
                <w:sz w:val="21"/>
              </w:rPr>
            </w:pPr>
            <w:r>
              <w:rPr>
                <w:sz w:val="21"/>
              </w:rPr>
              <w:t>-</w:t>
            </w:r>
            <w:r>
              <w:rPr>
                <w:spacing w:val="1"/>
                <w:sz w:val="21"/>
              </w:rPr>
              <w:t> </w:t>
            </w:r>
            <w:r>
              <w:rPr>
                <w:sz w:val="21"/>
              </w:rPr>
              <w:t>22,930 </w:t>
            </w:r>
          </w:p>
        </w:tc>
        <w:tc>
          <w:tcPr>
            <w:tcW w:w="1191" w:type="dxa"/>
          </w:tcPr>
          <w:p>
            <w:pPr>
              <w:pStyle w:val="TableParagraph"/>
              <w:spacing w:before="1"/>
              <w:ind w:right="-15"/>
              <w:jc w:val="right"/>
              <w:rPr>
                <w:sz w:val="21"/>
              </w:rPr>
            </w:pPr>
            <w:r>
              <w:rPr>
                <w:sz w:val="21"/>
              </w:rPr>
              <w:t>1,148,742 </w:t>
            </w:r>
          </w:p>
        </w:tc>
        <w:tc>
          <w:tcPr>
            <w:tcW w:w="972" w:type="dxa"/>
          </w:tcPr>
          <w:p>
            <w:pPr>
              <w:pStyle w:val="TableParagraph"/>
              <w:spacing w:before="1"/>
              <w:ind w:right="-15"/>
              <w:jc w:val="right"/>
              <w:rPr>
                <w:sz w:val="21"/>
              </w:rPr>
            </w:pPr>
            <w:r>
              <w:rPr>
                <w:sz w:val="21"/>
              </w:rPr>
              <w:t>- </w:t>
            </w:r>
          </w:p>
        </w:tc>
        <w:tc>
          <w:tcPr>
            <w:tcW w:w="778" w:type="dxa"/>
          </w:tcPr>
          <w:p>
            <w:pPr>
              <w:pStyle w:val="TableParagraph"/>
              <w:spacing w:before="1"/>
              <w:ind w:right="-15"/>
              <w:jc w:val="right"/>
              <w:rPr>
                <w:sz w:val="21"/>
              </w:rPr>
            </w:pPr>
            <w:r>
              <w:rPr>
                <w:sz w:val="21"/>
              </w:rPr>
              <w:t>- </w:t>
            </w:r>
          </w:p>
        </w:tc>
        <w:tc>
          <w:tcPr>
            <w:tcW w:w="874" w:type="dxa"/>
          </w:tcPr>
          <w:p>
            <w:pPr>
              <w:pStyle w:val="TableParagraph"/>
              <w:spacing w:before="1"/>
              <w:ind w:right="-15"/>
              <w:jc w:val="right"/>
              <w:rPr>
                <w:sz w:val="21"/>
              </w:rPr>
            </w:pPr>
            <w:r>
              <w:rPr>
                <w:sz w:val="21"/>
              </w:rPr>
              <w:t>- </w:t>
            </w:r>
          </w:p>
        </w:tc>
        <w:tc>
          <w:tcPr>
            <w:tcW w:w="1191" w:type="dxa"/>
          </w:tcPr>
          <w:p>
            <w:pPr>
              <w:pStyle w:val="TableParagraph"/>
              <w:spacing w:before="1"/>
              <w:ind w:right="-15"/>
              <w:jc w:val="right"/>
              <w:rPr>
                <w:sz w:val="21"/>
              </w:rPr>
            </w:pPr>
            <w:r>
              <w:rPr>
                <w:sz w:val="21"/>
              </w:rPr>
              <w:t>1,148,742 </w:t>
            </w:r>
          </w:p>
        </w:tc>
        <w:tc>
          <w:tcPr>
            <w:tcW w:w="880" w:type="dxa"/>
          </w:tcPr>
          <w:p>
            <w:pPr>
              <w:pStyle w:val="TableParagraph"/>
              <w:spacing w:before="1"/>
              <w:ind w:right="-15"/>
              <w:jc w:val="right"/>
              <w:rPr>
                <w:sz w:val="21"/>
              </w:rPr>
            </w:pPr>
            <w:r>
              <w:rPr>
                <w:sz w:val="21"/>
              </w:rPr>
              <w:t>- </w:t>
            </w:r>
          </w:p>
        </w:tc>
        <w:tc>
          <w:tcPr>
            <w:tcW w:w="1189" w:type="dxa"/>
          </w:tcPr>
          <w:p>
            <w:pPr>
              <w:pStyle w:val="TableParagraph"/>
              <w:spacing w:before="1"/>
              <w:ind w:right="-15"/>
              <w:jc w:val="right"/>
              <w:rPr>
                <w:sz w:val="21"/>
              </w:rPr>
            </w:pPr>
            <w:r>
              <w:rPr>
                <w:sz w:val="21"/>
              </w:rPr>
              <w:t>1,125,812 </w:t>
            </w:r>
          </w:p>
        </w:tc>
      </w:tr>
      <w:tr>
        <w:trPr>
          <w:trHeight w:val="815" w:hRule="atLeast"/>
        </w:trPr>
        <w:tc>
          <w:tcPr>
            <w:tcW w:w="876" w:type="dxa"/>
          </w:tcPr>
          <w:p>
            <w:pPr>
              <w:pStyle w:val="TableParagraph"/>
              <w:spacing w:line="242" w:lineRule="auto" w:before="1"/>
              <w:ind w:left="107" w:right="122"/>
              <w:rPr>
                <w:sz w:val="21"/>
              </w:rPr>
            </w:pPr>
            <w:r>
              <w:rPr>
                <w:sz w:val="21"/>
              </w:rPr>
              <w:t>套期的</w:t>
            </w:r>
            <w:r>
              <w:rPr>
                <w:spacing w:val="-5"/>
                <w:sz w:val="21"/>
              </w:rPr>
              <w:t>时间价</w:t>
            </w:r>
          </w:p>
          <w:p>
            <w:pPr>
              <w:pStyle w:val="TableParagraph"/>
              <w:spacing w:line="250" w:lineRule="exact" w:before="1"/>
              <w:ind w:left="107"/>
              <w:rPr>
                <w:sz w:val="21"/>
              </w:rPr>
            </w:pPr>
            <w:r>
              <w:rPr>
                <w:sz w:val="21"/>
              </w:rPr>
              <w:t>值部分 </w:t>
            </w:r>
          </w:p>
        </w:tc>
        <w:tc>
          <w:tcPr>
            <w:tcW w:w="876" w:type="dxa"/>
          </w:tcPr>
          <w:p>
            <w:pPr>
              <w:pStyle w:val="TableParagraph"/>
              <w:spacing w:before="1"/>
              <w:ind w:right="-15"/>
              <w:jc w:val="right"/>
              <w:rPr>
                <w:sz w:val="21"/>
              </w:rPr>
            </w:pPr>
            <w:r>
              <w:rPr>
                <w:sz w:val="21"/>
              </w:rPr>
              <w:t>39,733 </w:t>
            </w:r>
          </w:p>
        </w:tc>
        <w:tc>
          <w:tcPr>
            <w:tcW w:w="1191" w:type="dxa"/>
          </w:tcPr>
          <w:p>
            <w:pPr>
              <w:pStyle w:val="TableParagraph"/>
              <w:spacing w:before="1"/>
              <w:ind w:right="-15"/>
              <w:jc w:val="right"/>
              <w:rPr>
                <w:sz w:val="21"/>
              </w:rPr>
            </w:pPr>
            <w:r>
              <w:rPr>
                <w:sz w:val="21"/>
              </w:rPr>
              <w:t>164,553 </w:t>
            </w:r>
          </w:p>
        </w:tc>
        <w:tc>
          <w:tcPr>
            <w:tcW w:w="972" w:type="dxa"/>
          </w:tcPr>
          <w:p>
            <w:pPr>
              <w:pStyle w:val="TableParagraph"/>
              <w:spacing w:line="242" w:lineRule="auto" w:before="1"/>
              <w:ind w:left="129" w:firstLine="628"/>
              <w:rPr>
                <w:sz w:val="21"/>
              </w:rPr>
            </w:pPr>
            <w:r>
              <w:rPr>
                <w:sz w:val="21"/>
              </w:rPr>
              <w:t>-</w:t>
            </w:r>
            <w:r>
              <w:rPr>
                <w:spacing w:val="1"/>
                <w:sz w:val="21"/>
              </w:rPr>
              <w:t> </w:t>
            </w:r>
            <w:r>
              <w:rPr>
                <w:sz w:val="21"/>
              </w:rPr>
              <w:t>211,311 </w:t>
            </w:r>
          </w:p>
        </w:tc>
        <w:tc>
          <w:tcPr>
            <w:tcW w:w="778" w:type="dxa"/>
          </w:tcPr>
          <w:p>
            <w:pPr>
              <w:pStyle w:val="TableParagraph"/>
              <w:spacing w:before="1"/>
              <w:ind w:right="-15"/>
              <w:jc w:val="right"/>
              <w:rPr>
                <w:sz w:val="21"/>
              </w:rPr>
            </w:pPr>
            <w:r>
              <w:rPr>
                <w:w w:val="100"/>
                <w:sz w:val="21"/>
              </w:rPr>
              <w:t> </w:t>
            </w:r>
          </w:p>
        </w:tc>
        <w:tc>
          <w:tcPr>
            <w:tcW w:w="874" w:type="dxa"/>
          </w:tcPr>
          <w:p>
            <w:pPr>
              <w:pStyle w:val="TableParagraph"/>
              <w:spacing w:before="1"/>
              <w:ind w:right="-15"/>
              <w:jc w:val="right"/>
              <w:rPr>
                <w:sz w:val="21"/>
              </w:rPr>
            </w:pPr>
            <w:r>
              <w:rPr>
                <w:sz w:val="21"/>
              </w:rPr>
              <w:t>7,025 </w:t>
            </w:r>
          </w:p>
        </w:tc>
        <w:tc>
          <w:tcPr>
            <w:tcW w:w="1191" w:type="dxa"/>
          </w:tcPr>
          <w:p>
            <w:pPr>
              <w:pStyle w:val="TableParagraph"/>
              <w:spacing w:before="1"/>
              <w:ind w:right="-15"/>
              <w:jc w:val="right"/>
              <w:rPr>
                <w:sz w:val="21"/>
              </w:rPr>
            </w:pPr>
            <w:r>
              <w:rPr>
                <w:sz w:val="21"/>
              </w:rPr>
              <w:t>-39,733 </w:t>
            </w:r>
          </w:p>
        </w:tc>
        <w:tc>
          <w:tcPr>
            <w:tcW w:w="880" w:type="dxa"/>
          </w:tcPr>
          <w:p>
            <w:pPr>
              <w:pStyle w:val="TableParagraph"/>
              <w:spacing w:before="1"/>
              <w:ind w:right="-15"/>
              <w:jc w:val="right"/>
              <w:rPr>
                <w:sz w:val="21"/>
              </w:rPr>
            </w:pPr>
            <w:r>
              <w:rPr>
                <w:sz w:val="21"/>
              </w:rPr>
              <w:t>- </w:t>
            </w:r>
          </w:p>
        </w:tc>
        <w:tc>
          <w:tcPr>
            <w:tcW w:w="1189" w:type="dxa"/>
          </w:tcPr>
          <w:p>
            <w:pPr>
              <w:pStyle w:val="TableParagraph"/>
              <w:spacing w:before="1"/>
              <w:ind w:right="-15"/>
              <w:jc w:val="right"/>
              <w:rPr>
                <w:sz w:val="21"/>
              </w:rPr>
            </w:pPr>
            <w:r>
              <w:rPr>
                <w:sz w:val="21"/>
              </w:rPr>
              <w:t>- </w:t>
            </w:r>
          </w:p>
        </w:tc>
      </w:tr>
      <w:tr>
        <w:trPr>
          <w:trHeight w:val="273" w:hRule="atLeast"/>
        </w:trPr>
        <w:tc>
          <w:tcPr>
            <w:tcW w:w="876" w:type="dxa"/>
          </w:tcPr>
          <w:p>
            <w:pPr>
              <w:pStyle w:val="TableParagraph"/>
              <w:spacing w:line="250" w:lineRule="exact" w:before="3"/>
              <w:ind w:left="107"/>
              <w:rPr>
                <w:sz w:val="21"/>
              </w:rPr>
            </w:pPr>
            <w:r>
              <w:rPr>
                <w:w w:val="100"/>
                <w:sz w:val="21"/>
              </w:rPr>
              <w:t> </w:t>
            </w:r>
          </w:p>
        </w:tc>
        <w:tc>
          <w:tcPr>
            <w:tcW w:w="876" w:type="dxa"/>
          </w:tcPr>
          <w:p>
            <w:pPr>
              <w:pStyle w:val="TableParagraph"/>
              <w:spacing w:line="250" w:lineRule="exact" w:before="3"/>
              <w:ind w:right="-15"/>
              <w:jc w:val="right"/>
              <w:rPr>
                <w:sz w:val="21"/>
              </w:rPr>
            </w:pPr>
            <w:r>
              <w:rPr>
                <w:w w:val="100"/>
                <w:sz w:val="21"/>
              </w:rPr>
              <w:t> </w:t>
            </w:r>
          </w:p>
        </w:tc>
        <w:tc>
          <w:tcPr>
            <w:tcW w:w="1191" w:type="dxa"/>
          </w:tcPr>
          <w:p>
            <w:pPr>
              <w:pStyle w:val="TableParagraph"/>
              <w:spacing w:line="250" w:lineRule="exact" w:before="3"/>
              <w:ind w:right="-15"/>
              <w:jc w:val="right"/>
              <w:rPr>
                <w:sz w:val="21"/>
              </w:rPr>
            </w:pPr>
            <w:r>
              <w:rPr>
                <w:w w:val="100"/>
                <w:sz w:val="21"/>
              </w:rPr>
              <w:t> </w:t>
            </w:r>
          </w:p>
        </w:tc>
        <w:tc>
          <w:tcPr>
            <w:tcW w:w="972" w:type="dxa"/>
          </w:tcPr>
          <w:p>
            <w:pPr>
              <w:pStyle w:val="TableParagraph"/>
              <w:spacing w:line="250" w:lineRule="exact" w:before="3"/>
              <w:ind w:right="-15"/>
              <w:jc w:val="right"/>
              <w:rPr>
                <w:sz w:val="21"/>
              </w:rPr>
            </w:pPr>
            <w:r>
              <w:rPr>
                <w:w w:val="100"/>
                <w:sz w:val="21"/>
              </w:rPr>
              <w:t> </w:t>
            </w:r>
          </w:p>
        </w:tc>
        <w:tc>
          <w:tcPr>
            <w:tcW w:w="778" w:type="dxa"/>
          </w:tcPr>
          <w:p>
            <w:pPr>
              <w:pStyle w:val="TableParagraph"/>
              <w:spacing w:line="250" w:lineRule="exact" w:before="3"/>
              <w:ind w:right="-15"/>
              <w:jc w:val="right"/>
              <w:rPr>
                <w:sz w:val="21"/>
              </w:rPr>
            </w:pPr>
            <w:r>
              <w:rPr>
                <w:w w:val="100"/>
                <w:sz w:val="21"/>
              </w:rPr>
              <w:t> </w:t>
            </w:r>
          </w:p>
        </w:tc>
        <w:tc>
          <w:tcPr>
            <w:tcW w:w="874" w:type="dxa"/>
          </w:tcPr>
          <w:p>
            <w:pPr>
              <w:pStyle w:val="TableParagraph"/>
              <w:spacing w:line="250" w:lineRule="exact" w:before="3"/>
              <w:ind w:right="-15"/>
              <w:jc w:val="right"/>
              <w:rPr>
                <w:sz w:val="21"/>
              </w:rPr>
            </w:pPr>
            <w:r>
              <w:rPr>
                <w:w w:val="100"/>
                <w:sz w:val="21"/>
              </w:rPr>
              <w:t> </w:t>
            </w:r>
          </w:p>
        </w:tc>
        <w:tc>
          <w:tcPr>
            <w:tcW w:w="1191" w:type="dxa"/>
          </w:tcPr>
          <w:p>
            <w:pPr>
              <w:pStyle w:val="TableParagraph"/>
              <w:spacing w:line="250" w:lineRule="exact" w:before="3"/>
              <w:ind w:right="-15"/>
              <w:jc w:val="right"/>
              <w:rPr>
                <w:sz w:val="21"/>
              </w:rPr>
            </w:pPr>
            <w:r>
              <w:rPr>
                <w:w w:val="100"/>
                <w:sz w:val="21"/>
              </w:rPr>
              <w:t> </w:t>
            </w:r>
          </w:p>
        </w:tc>
        <w:tc>
          <w:tcPr>
            <w:tcW w:w="880" w:type="dxa"/>
          </w:tcPr>
          <w:p>
            <w:pPr>
              <w:pStyle w:val="TableParagraph"/>
              <w:spacing w:line="250" w:lineRule="exact" w:before="3"/>
              <w:ind w:right="-15"/>
              <w:jc w:val="right"/>
              <w:rPr>
                <w:sz w:val="21"/>
              </w:rPr>
            </w:pPr>
            <w:r>
              <w:rPr>
                <w:w w:val="100"/>
                <w:sz w:val="21"/>
              </w:rPr>
              <w:t> </w:t>
            </w:r>
          </w:p>
        </w:tc>
        <w:tc>
          <w:tcPr>
            <w:tcW w:w="1189" w:type="dxa"/>
          </w:tcPr>
          <w:p>
            <w:pPr>
              <w:pStyle w:val="TableParagraph"/>
              <w:spacing w:line="250" w:lineRule="exact" w:before="3"/>
              <w:ind w:right="-15"/>
              <w:jc w:val="right"/>
              <w:rPr>
                <w:sz w:val="21"/>
              </w:rPr>
            </w:pPr>
            <w:r>
              <w:rPr>
                <w:w w:val="100"/>
                <w:sz w:val="21"/>
              </w:rPr>
              <w:t> </w:t>
            </w:r>
          </w:p>
        </w:tc>
      </w:tr>
      <w:tr>
        <w:trPr>
          <w:trHeight w:val="818" w:hRule="atLeast"/>
        </w:trPr>
        <w:tc>
          <w:tcPr>
            <w:tcW w:w="876" w:type="dxa"/>
          </w:tcPr>
          <w:p>
            <w:pPr>
              <w:pStyle w:val="TableParagraph"/>
              <w:spacing w:before="1"/>
              <w:ind w:left="107"/>
              <w:rPr>
                <w:sz w:val="21"/>
              </w:rPr>
            </w:pPr>
            <w:r>
              <w:rPr>
                <w:sz w:val="21"/>
              </w:rPr>
              <w:t>其他综</w:t>
            </w:r>
          </w:p>
          <w:p>
            <w:pPr>
              <w:pStyle w:val="TableParagraph"/>
              <w:spacing w:line="270" w:lineRule="atLeast"/>
              <w:ind w:left="107" w:right="122"/>
              <w:rPr>
                <w:sz w:val="21"/>
              </w:rPr>
            </w:pPr>
            <w:r>
              <w:rPr>
                <w:sz w:val="21"/>
              </w:rPr>
              <w:t>合收益合计 </w:t>
            </w:r>
          </w:p>
        </w:tc>
        <w:tc>
          <w:tcPr>
            <w:tcW w:w="876" w:type="dxa"/>
          </w:tcPr>
          <w:p>
            <w:pPr>
              <w:pStyle w:val="TableParagraph"/>
              <w:spacing w:line="244" w:lineRule="auto" w:before="1"/>
              <w:ind w:left="136" w:firstLine="525"/>
              <w:rPr>
                <w:sz w:val="21"/>
              </w:rPr>
            </w:pPr>
            <w:r>
              <w:rPr>
                <w:sz w:val="21"/>
              </w:rPr>
              <w:t>-</w:t>
            </w:r>
            <w:r>
              <w:rPr>
                <w:spacing w:val="1"/>
                <w:sz w:val="21"/>
              </w:rPr>
              <w:t> </w:t>
            </w:r>
            <w:r>
              <w:rPr>
                <w:sz w:val="21"/>
              </w:rPr>
              <w:t>17,550 </w:t>
            </w:r>
          </w:p>
        </w:tc>
        <w:tc>
          <w:tcPr>
            <w:tcW w:w="1191" w:type="dxa"/>
          </w:tcPr>
          <w:p>
            <w:pPr>
              <w:pStyle w:val="TableParagraph"/>
              <w:spacing w:before="1"/>
              <w:ind w:right="-15"/>
              <w:jc w:val="right"/>
              <w:rPr>
                <w:sz w:val="21"/>
              </w:rPr>
            </w:pPr>
            <w:r>
              <w:rPr>
                <w:sz w:val="21"/>
              </w:rPr>
              <w:t>912,552 </w:t>
            </w:r>
          </w:p>
        </w:tc>
        <w:tc>
          <w:tcPr>
            <w:tcW w:w="972" w:type="dxa"/>
          </w:tcPr>
          <w:p>
            <w:pPr>
              <w:pStyle w:val="TableParagraph"/>
              <w:spacing w:before="1"/>
              <w:ind w:right="-15"/>
              <w:jc w:val="right"/>
              <w:rPr>
                <w:sz w:val="21"/>
              </w:rPr>
            </w:pPr>
            <w:r>
              <w:rPr>
                <w:sz w:val="21"/>
              </w:rPr>
              <w:t>185,816 </w:t>
            </w:r>
          </w:p>
        </w:tc>
        <w:tc>
          <w:tcPr>
            <w:tcW w:w="778" w:type="dxa"/>
          </w:tcPr>
          <w:p>
            <w:pPr>
              <w:pStyle w:val="TableParagraph"/>
              <w:spacing w:before="1"/>
              <w:ind w:right="-15"/>
              <w:jc w:val="right"/>
              <w:rPr>
                <w:sz w:val="21"/>
              </w:rPr>
            </w:pPr>
            <w:r>
              <w:rPr>
                <w:w w:val="100"/>
                <w:sz w:val="21"/>
              </w:rPr>
              <w:t> </w:t>
            </w:r>
          </w:p>
        </w:tc>
        <w:tc>
          <w:tcPr>
            <w:tcW w:w="874" w:type="dxa"/>
          </w:tcPr>
          <w:p>
            <w:pPr>
              <w:pStyle w:val="TableParagraph"/>
              <w:spacing w:before="1"/>
              <w:ind w:right="-15"/>
              <w:jc w:val="right"/>
              <w:rPr>
                <w:sz w:val="21"/>
              </w:rPr>
            </w:pPr>
            <w:r>
              <w:rPr>
                <w:sz w:val="21"/>
              </w:rPr>
              <w:t>7,972 </w:t>
            </w:r>
          </w:p>
        </w:tc>
        <w:tc>
          <w:tcPr>
            <w:tcW w:w="1191" w:type="dxa"/>
          </w:tcPr>
          <w:p>
            <w:pPr>
              <w:pStyle w:val="TableParagraph"/>
              <w:spacing w:before="1"/>
              <w:ind w:right="-15"/>
              <w:jc w:val="right"/>
              <w:rPr>
                <w:sz w:val="21"/>
              </w:rPr>
            </w:pPr>
            <w:r>
              <w:rPr>
                <w:sz w:val="21"/>
              </w:rPr>
              <w:t>1,106,340 </w:t>
            </w:r>
          </w:p>
        </w:tc>
        <w:tc>
          <w:tcPr>
            <w:tcW w:w="880" w:type="dxa"/>
          </w:tcPr>
          <w:p>
            <w:pPr>
              <w:pStyle w:val="TableParagraph"/>
              <w:spacing w:before="1"/>
              <w:ind w:right="-15"/>
              <w:jc w:val="right"/>
              <w:rPr>
                <w:sz w:val="21"/>
              </w:rPr>
            </w:pPr>
            <w:r>
              <w:rPr>
                <w:sz w:val="21"/>
              </w:rPr>
              <w:t>- </w:t>
            </w:r>
          </w:p>
        </w:tc>
        <w:tc>
          <w:tcPr>
            <w:tcW w:w="1189" w:type="dxa"/>
          </w:tcPr>
          <w:p>
            <w:pPr>
              <w:pStyle w:val="TableParagraph"/>
              <w:spacing w:before="1"/>
              <w:ind w:right="-15"/>
              <w:jc w:val="right"/>
              <w:rPr>
                <w:sz w:val="21"/>
              </w:rPr>
            </w:pPr>
            <w:r>
              <w:rPr>
                <w:sz w:val="21"/>
              </w:rPr>
              <w:t>1,088,790 </w:t>
            </w:r>
          </w:p>
        </w:tc>
      </w:tr>
    </w:tbl>
    <w:p>
      <w:pPr>
        <w:pStyle w:val="BodyText"/>
        <w:spacing w:before="1"/>
      </w:pPr>
      <w:r>
        <w:rPr>
          <w:w w:val="100"/>
        </w:rPr>
        <w:t> </w:t>
      </w:r>
    </w:p>
    <w:p>
      <w:pPr>
        <w:pStyle w:val="BodyText"/>
        <w:spacing w:line="297" w:lineRule="auto" w:before="62"/>
        <w:ind w:right="2225"/>
      </w:pPr>
      <w:r>
        <w:rPr/>
        <w:t>其他说明，包括对现金流量套期损益的有效部分转为被套期项目初始确认金额调整：</w:t>
      </w:r>
      <w:r>
        <w:rPr>
          <w:spacing w:val="1"/>
        </w:rPr>
        <w:t> </w:t>
      </w:r>
      <w:r>
        <w:rPr/>
        <w:t>无 </w:t>
      </w:r>
    </w:p>
    <w:p>
      <w:pPr>
        <w:pStyle w:val="BodyText"/>
        <w:spacing w:line="207" w:lineRule="exact"/>
      </w:pPr>
      <w:r>
        <w:rPr>
          <w:w w:val="100"/>
        </w:rPr>
        <w:t> </w:t>
      </w:r>
    </w:p>
    <w:p>
      <w:pPr>
        <w:pStyle w:val="BodyText"/>
        <w:spacing w:before="65"/>
      </w:pPr>
      <w:r>
        <w:rPr/>
        <w:t>58</w:t>
      </w:r>
      <w:r>
        <w:rPr>
          <w:spacing w:val="-5"/>
        </w:rPr>
        <w:t>、 专项储备</w:t>
      </w:r>
      <w:r>
        <w:rPr/>
        <w:t> </w:t>
      </w:r>
    </w:p>
    <w:p>
      <w:pPr>
        <w:pStyle w:val="BodyText"/>
        <w:spacing w:before="62"/>
      </w:pPr>
      <w:r>
        <w:rPr>
          <w:spacing w:val="-1"/>
        </w:rPr>
        <w:t>□适用 √不适用</w:t>
      </w:r>
      <w:r>
        <w:rPr>
          <w:spacing w:val="-3"/>
        </w:rPr>
        <w:t> </w:t>
      </w:r>
      <w:r>
        <w:rPr/>
        <w:t> </w:t>
      </w:r>
    </w:p>
    <w:p>
      <w:pPr>
        <w:spacing w:after="0"/>
        <w:sectPr>
          <w:pgSz w:w="11910" w:h="16840"/>
          <w:pgMar w:header="882" w:footer="1184" w:top="1120" w:bottom="1380" w:left="1480" w:right="0"/>
        </w:sectPr>
      </w:pPr>
    </w:p>
    <w:p>
      <w:pPr>
        <w:pStyle w:val="BodyText"/>
        <w:spacing w:before="7"/>
        <w:ind w:left="0"/>
        <w:rPr>
          <w:sz w:val="25"/>
        </w:rPr>
      </w:pPr>
    </w:p>
    <w:p>
      <w:pPr>
        <w:pStyle w:val="BodyText"/>
        <w:spacing w:before="72"/>
      </w:pPr>
      <w:r>
        <w:rPr>
          <w:w w:val="100"/>
        </w:rPr>
        <w:t> </w:t>
      </w:r>
    </w:p>
    <w:p>
      <w:pPr>
        <w:pStyle w:val="BodyText"/>
        <w:spacing w:before="5"/>
      </w:pPr>
      <w:r>
        <w:rPr>
          <w:w w:val="100"/>
        </w:rPr>
        <w:t> </w:t>
      </w:r>
    </w:p>
    <w:p>
      <w:pPr>
        <w:pStyle w:val="BodyText"/>
        <w:spacing w:before="62"/>
      </w:pPr>
      <w:r>
        <w:rPr/>
        <w:t>59</w:t>
      </w:r>
      <w:r>
        <w:rPr>
          <w:spacing w:val="-5"/>
        </w:rPr>
        <w:t>、 盈余公积</w:t>
      </w:r>
      <w:r>
        <w:rPr/>
        <w:t> </w:t>
      </w:r>
    </w:p>
    <w:p>
      <w:pPr>
        <w:pStyle w:val="BodyText"/>
        <w:spacing w:before="65"/>
      </w:pPr>
      <w:r>
        <w:rPr>
          <w:spacing w:val="-1"/>
        </w:rPr>
        <w:t>√适用 □不适用</w:t>
      </w:r>
      <w:r>
        <w:rPr>
          <w:spacing w:val="-3"/>
        </w:rPr>
        <w:t> </w:t>
      </w:r>
      <w:r>
        <w:rPr/>
        <w:t> </w:t>
      </w:r>
    </w:p>
    <w:p>
      <w:pPr>
        <w:pStyle w:val="BodyText"/>
        <w:spacing w:before="2" w:after="3"/>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8"/>
        <w:gridCol w:w="1786"/>
        <w:gridCol w:w="1788"/>
        <w:gridCol w:w="1803"/>
        <w:gridCol w:w="1788"/>
      </w:tblGrid>
      <w:tr>
        <w:trPr>
          <w:trHeight w:val="270" w:hRule="atLeast"/>
        </w:trPr>
        <w:tc>
          <w:tcPr>
            <w:tcW w:w="1658" w:type="dxa"/>
          </w:tcPr>
          <w:p>
            <w:pPr>
              <w:pStyle w:val="TableParagraph"/>
              <w:spacing w:line="250" w:lineRule="exact" w:before="1"/>
              <w:ind w:left="616"/>
              <w:rPr>
                <w:sz w:val="21"/>
              </w:rPr>
            </w:pPr>
            <w:r>
              <w:rPr>
                <w:sz w:val="21"/>
              </w:rPr>
              <w:t>项目 </w:t>
            </w:r>
          </w:p>
        </w:tc>
        <w:tc>
          <w:tcPr>
            <w:tcW w:w="1786" w:type="dxa"/>
          </w:tcPr>
          <w:p>
            <w:pPr>
              <w:pStyle w:val="TableParagraph"/>
              <w:spacing w:line="250" w:lineRule="exact" w:before="1"/>
              <w:ind w:left="471"/>
              <w:rPr>
                <w:sz w:val="21"/>
              </w:rPr>
            </w:pPr>
            <w:r>
              <w:rPr>
                <w:spacing w:val="-1"/>
                <w:sz w:val="21"/>
              </w:rPr>
              <w:t>期初余额</w:t>
            </w:r>
            <w:r>
              <w:rPr>
                <w:sz w:val="21"/>
              </w:rPr>
              <w:t> </w:t>
            </w:r>
          </w:p>
        </w:tc>
        <w:tc>
          <w:tcPr>
            <w:tcW w:w="1788" w:type="dxa"/>
          </w:tcPr>
          <w:p>
            <w:pPr>
              <w:pStyle w:val="TableParagraph"/>
              <w:spacing w:line="250" w:lineRule="exact" w:before="1"/>
              <w:ind w:left="473"/>
              <w:rPr>
                <w:sz w:val="21"/>
              </w:rPr>
            </w:pPr>
            <w:r>
              <w:rPr>
                <w:spacing w:val="-1"/>
                <w:sz w:val="21"/>
              </w:rPr>
              <w:t>本期增加</w:t>
            </w:r>
            <w:r>
              <w:rPr>
                <w:sz w:val="21"/>
              </w:rPr>
              <w:t> </w:t>
            </w:r>
          </w:p>
        </w:tc>
        <w:tc>
          <w:tcPr>
            <w:tcW w:w="1803" w:type="dxa"/>
          </w:tcPr>
          <w:p>
            <w:pPr>
              <w:pStyle w:val="TableParagraph"/>
              <w:spacing w:line="250" w:lineRule="exact" w:before="1"/>
              <w:ind w:left="480"/>
              <w:rPr>
                <w:sz w:val="21"/>
              </w:rPr>
            </w:pPr>
            <w:r>
              <w:rPr>
                <w:spacing w:val="-1"/>
                <w:sz w:val="21"/>
              </w:rPr>
              <w:t>本期减少</w:t>
            </w:r>
            <w:r>
              <w:rPr>
                <w:sz w:val="21"/>
              </w:rPr>
              <w:t> </w:t>
            </w:r>
          </w:p>
        </w:tc>
        <w:tc>
          <w:tcPr>
            <w:tcW w:w="1788" w:type="dxa"/>
          </w:tcPr>
          <w:p>
            <w:pPr>
              <w:pStyle w:val="TableParagraph"/>
              <w:spacing w:line="250" w:lineRule="exact" w:before="1"/>
              <w:ind w:left="473"/>
              <w:rPr>
                <w:sz w:val="21"/>
              </w:rPr>
            </w:pPr>
            <w:r>
              <w:rPr>
                <w:spacing w:val="-1"/>
                <w:sz w:val="21"/>
              </w:rPr>
              <w:t>期末余额</w:t>
            </w:r>
            <w:r>
              <w:rPr>
                <w:sz w:val="21"/>
              </w:rPr>
              <w:t> </w:t>
            </w:r>
          </w:p>
        </w:tc>
      </w:tr>
      <w:tr>
        <w:trPr>
          <w:trHeight w:val="273" w:hRule="atLeast"/>
        </w:trPr>
        <w:tc>
          <w:tcPr>
            <w:tcW w:w="1658" w:type="dxa"/>
          </w:tcPr>
          <w:p>
            <w:pPr>
              <w:pStyle w:val="TableParagraph"/>
              <w:spacing w:line="250" w:lineRule="exact" w:before="3"/>
              <w:ind w:left="28"/>
              <w:rPr>
                <w:sz w:val="21"/>
              </w:rPr>
            </w:pPr>
            <w:r>
              <w:rPr>
                <w:spacing w:val="-1"/>
                <w:sz w:val="21"/>
              </w:rPr>
              <w:t>法定盈余公积</w:t>
            </w:r>
            <w:r>
              <w:rPr>
                <w:sz w:val="21"/>
              </w:rPr>
              <w:t> </w:t>
            </w:r>
          </w:p>
        </w:tc>
        <w:tc>
          <w:tcPr>
            <w:tcW w:w="1786" w:type="dxa"/>
          </w:tcPr>
          <w:p>
            <w:pPr>
              <w:pStyle w:val="TableParagraph"/>
              <w:spacing w:line="237" w:lineRule="exact"/>
              <w:ind w:left="735"/>
              <w:rPr>
                <w:rFonts w:ascii="Times New Roman"/>
                <w:sz w:val="21"/>
              </w:rPr>
            </w:pPr>
            <w:r>
              <w:rPr>
                <w:rFonts w:ascii="Times New Roman"/>
                <w:sz w:val="21"/>
              </w:rPr>
              <w:t>2,771,638</w:t>
            </w:r>
          </w:p>
        </w:tc>
        <w:tc>
          <w:tcPr>
            <w:tcW w:w="1788" w:type="dxa"/>
          </w:tcPr>
          <w:p>
            <w:pPr>
              <w:pStyle w:val="TableParagraph"/>
              <w:spacing w:line="237" w:lineRule="exact"/>
              <w:ind w:left="737"/>
              <w:rPr>
                <w:rFonts w:ascii="Times New Roman"/>
                <w:sz w:val="21"/>
              </w:rPr>
            </w:pPr>
            <w:r>
              <w:rPr>
                <w:rFonts w:ascii="Times New Roman"/>
                <w:sz w:val="21"/>
              </w:rPr>
              <w:t>1,037,821</w:t>
            </w:r>
          </w:p>
        </w:tc>
        <w:tc>
          <w:tcPr>
            <w:tcW w:w="1803" w:type="dxa"/>
          </w:tcPr>
          <w:p>
            <w:pPr>
              <w:pStyle w:val="TableParagraph"/>
              <w:spacing w:line="237" w:lineRule="exact"/>
              <w:ind w:right="198"/>
              <w:jc w:val="right"/>
              <w:rPr>
                <w:rFonts w:ascii="Times New Roman"/>
                <w:sz w:val="21"/>
              </w:rPr>
            </w:pPr>
            <w:r>
              <w:rPr>
                <w:rFonts w:ascii="Times New Roman"/>
                <w:w w:val="100"/>
                <w:sz w:val="21"/>
              </w:rPr>
              <w:t>-</w:t>
            </w:r>
          </w:p>
        </w:tc>
        <w:tc>
          <w:tcPr>
            <w:tcW w:w="1788" w:type="dxa"/>
          </w:tcPr>
          <w:p>
            <w:pPr>
              <w:pStyle w:val="TableParagraph"/>
              <w:spacing w:line="237" w:lineRule="exact"/>
              <w:ind w:left="737"/>
              <w:rPr>
                <w:rFonts w:ascii="Times New Roman"/>
                <w:sz w:val="21"/>
              </w:rPr>
            </w:pPr>
            <w:r>
              <w:rPr>
                <w:rFonts w:ascii="Times New Roman"/>
                <w:sz w:val="21"/>
              </w:rPr>
              <w:t>3,809,459</w:t>
            </w:r>
          </w:p>
        </w:tc>
      </w:tr>
      <w:tr>
        <w:trPr>
          <w:trHeight w:val="273" w:hRule="atLeast"/>
        </w:trPr>
        <w:tc>
          <w:tcPr>
            <w:tcW w:w="1658" w:type="dxa"/>
          </w:tcPr>
          <w:p>
            <w:pPr>
              <w:pStyle w:val="TableParagraph"/>
              <w:spacing w:line="252" w:lineRule="exact" w:before="1"/>
              <w:ind w:left="28"/>
              <w:rPr>
                <w:sz w:val="21"/>
              </w:rPr>
            </w:pPr>
            <w:r>
              <w:rPr>
                <w:spacing w:val="-1"/>
                <w:sz w:val="21"/>
              </w:rPr>
              <w:t>任意盈余公积</w:t>
            </w:r>
            <w:r>
              <w:rPr>
                <w:sz w:val="21"/>
              </w:rPr>
              <w:t> </w:t>
            </w:r>
          </w:p>
        </w:tc>
        <w:tc>
          <w:tcPr>
            <w:tcW w:w="1786" w:type="dxa"/>
          </w:tcPr>
          <w:p>
            <w:pPr>
              <w:pStyle w:val="TableParagraph"/>
              <w:rPr>
                <w:rFonts w:ascii="Times New Roman"/>
                <w:sz w:val="20"/>
              </w:rPr>
            </w:pPr>
          </w:p>
        </w:tc>
        <w:tc>
          <w:tcPr>
            <w:tcW w:w="1788" w:type="dxa"/>
          </w:tcPr>
          <w:p>
            <w:pPr>
              <w:pStyle w:val="TableParagraph"/>
              <w:rPr>
                <w:rFonts w:ascii="Times New Roman"/>
                <w:sz w:val="20"/>
              </w:rPr>
            </w:pPr>
          </w:p>
        </w:tc>
        <w:tc>
          <w:tcPr>
            <w:tcW w:w="1803" w:type="dxa"/>
          </w:tcPr>
          <w:p>
            <w:pPr>
              <w:pStyle w:val="TableParagraph"/>
              <w:rPr>
                <w:rFonts w:ascii="Times New Roman"/>
                <w:sz w:val="20"/>
              </w:rPr>
            </w:pPr>
          </w:p>
        </w:tc>
        <w:tc>
          <w:tcPr>
            <w:tcW w:w="1788" w:type="dxa"/>
          </w:tcPr>
          <w:p>
            <w:pPr>
              <w:pStyle w:val="TableParagraph"/>
              <w:rPr>
                <w:rFonts w:ascii="Times New Roman"/>
                <w:sz w:val="20"/>
              </w:rPr>
            </w:pPr>
          </w:p>
        </w:tc>
      </w:tr>
      <w:tr>
        <w:trPr>
          <w:trHeight w:val="270" w:hRule="atLeast"/>
        </w:trPr>
        <w:tc>
          <w:tcPr>
            <w:tcW w:w="1658" w:type="dxa"/>
          </w:tcPr>
          <w:p>
            <w:pPr>
              <w:pStyle w:val="TableParagraph"/>
              <w:spacing w:line="250" w:lineRule="exact" w:before="1"/>
              <w:ind w:left="28"/>
              <w:rPr>
                <w:sz w:val="21"/>
              </w:rPr>
            </w:pPr>
            <w:r>
              <w:rPr>
                <w:spacing w:val="-1"/>
                <w:sz w:val="21"/>
              </w:rPr>
              <w:t>储备基金</w:t>
            </w:r>
            <w:r>
              <w:rPr>
                <w:sz w:val="21"/>
              </w:rPr>
              <w:t> </w:t>
            </w:r>
          </w:p>
        </w:tc>
        <w:tc>
          <w:tcPr>
            <w:tcW w:w="1786" w:type="dxa"/>
          </w:tcPr>
          <w:p>
            <w:pPr>
              <w:pStyle w:val="TableParagraph"/>
              <w:rPr>
                <w:rFonts w:ascii="Times New Roman"/>
                <w:sz w:val="20"/>
              </w:rPr>
            </w:pPr>
          </w:p>
        </w:tc>
        <w:tc>
          <w:tcPr>
            <w:tcW w:w="1788" w:type="dxa"/>
          </w:tcPr>
          <w:p>
            <w:pPr>
              <w:pStyle w:val="TableParagraph"/>
              <w:rPr>
                <w:rFonts w:ascii="Times New Roman"/>
                <w:sz w:val="20"/>
              </w:rPr>
            </w:pPr>
          </w:p>
        </w:tc>
        <w:tc>
          <w:tcPr>
            <w:tcW w:w="1803" w:type="dxa"/>
          </w:tcPr>
          <w:p>
            <w:pPr>
              <w:pStyle w:val="TableParagraph"/>
              <w:rPr>
                <w:rFonts w:ascii="Times New Roman"/>
                <w:sz w:val="20"/>
              </w:rPr>
            </w:pPr>
          </w:p>
        </w:tc>
        <w:tc>
          <w:tcPr>
            <w:tcW w:w="1788" w:type="dxa"/>
          </w:tcPr>
          <w:p>
            <w:pPr>
              <w:pStyle w:val="TableParagraph"/>
              <w:rPr>
                <w:rFonts w:ascii="Times New Roman"/>
                <w:sz w:val="20"/>
              </w:rPr>
            </w:pPr>
          </w:p>
        </w:tc>
      </w:tr>
      <w:tr>
        <w:trPr>
          <w:trHeight w:val="273" w:hRule="atLeast"/>
        </w:trPr>
        <w:tc>
          <w:tcPr>
            <w:tcW w:w="1658" w:type="dxa"/>
          </w:tcPr>
          <w:p>
            <w:pPr>
              <w:pStyle w:val="TableParagraph"/>
              <w:spacing w:line="250" w:lineRule="exact" w:before="3"/>
              <w:ind w:left="28"/>
              <w:rPr>
                <w:sz w:val="21"/>
              </w:rPr>
            </w:pPr>
            <w:r>
              <w:rPr>
                <w:spacing w:val="-1"/>
                <w:sz w:val="21"/>
              </w:rPr>
              <w:t>企业发展基金</w:t>
            </w:r>
            <w:r>
              <w:rPr>
                <w:sz w:val="21"/>
              </w:rPr>
              <w:t> </w:t>
            </w:r>
          </w:p>
        </w:tc>
        <w:tc>
          <w:tcPr>
            <w:tcW w:w="1786" w:type="dxa"/>
          </w:tcPr>
          <w:p>
            <w:pPr>
              <w:pStyle w:val="TableParagraph"/>
              <w:rPr>
                <w:rFonts w:ascii="Times New Roman"/>
                <w:sz w:val="20"/>
              </w:rPr>
            </w:pPr>
          </w:p>
        </w:tc>
        <w:tc>
          <w:tcPr>
            <w:tcW w:w="1788" w:type="dxa"/>
          </w:tcPr>
          <w:p>
            <w:pPr>
              <w:pStyle w:val="TableParagraph"/>
              <w:rPr>
                <w:rFonts w:ascii="Times New Roman"/>
                <w:sz w:val="20"/>
              </w:rPr>
            </w:pPr>
          </w:p>
        </w:tc>
        <w:tc>
          <w:tcPr>
            <w:tcW w:w="1803" w:type="dxa"/>
          </w:tcPr>
          <w:p>
            <w:pPr>
              <w:pStyle w:val="TableParagraph"/>
              <w:rPr>
                <w:rFonts w:ascii="Times New Roman"/>
                <w:sz w:val="20"/>
              </w:rPr>
            </w:pPr>
          </w:p>
        </w:tc>
        <w:tc>
          <w:tcPr>
            <w:tcW w:w="1788" w:type="dxa"/>
          </w:tcPr>
          <w:p>
            <w:pPr>
              <w:pStyle w:val="TableParagraph"/>
              <w:rPr>
                <w:rFonts w:ascii="Times New Roman"/>
                <w:sz w:val="20"/>
              </w:rPr>
            </w:pPr>
          </w:p>
        </w:tc>
      </w:tr>
      <w:tr>
        <w:trPr>
          <w:trHeight w:val="273" w:hRule="atLeast"/>
        </w:trPr>
        <w:tc>
          <w:tcPr>
            <w:tcW w:w="1658" w:type="dxa"/>
          </w:tcPr>
          <w:p>
            <w:pPr>
              <w:pStyle w:val="TableParagraph"/>
              <w:spacing w:line="252" w:lineRule="exact" w:before="1"/>
              <w:ind w:left="28"/>
              <w:rPr>
                <w:sz w:val="21"/>
              </w:rPr>
            </w:pPr>
            <w:r>
              <w:rPr>
                <w:sz w:val="21"/>
              </w:rPr>
              <w:t>其他 </w:t>
            </w:r>
          </w:p>
        </w:tc>
        <w:tc>
          <w:tcPr>
            <w:tcW w:w="1786" w:type="dxa"/>
          </w:tcPr>
          <w:p>
            <w:pPr>
              <w:pStyle w:val="TableParagraph"/>
              <w:rPr>
                <w:rFonts w:ascii="Times New Roman"/>
                <w:sz w:val="20"/>
              </w:rPr>
            </w:pPr>
          </w:p>
        </w:tc>
        <w:tc>
          <w:tcPr>
            <w:tcW w:w="1788" w:type="dxa"/>
          </w:tcPr>
          <w:p>
            <w:pPr>
              <w:pStyle w:val="TableParagraph"/>
              <w:rPr>
                <w:rFonts w:ascii="Times New Roman"/>
                <w:sz w:val="20"/>
              </w:rPr>
            </w:pPr>
          </w:p>
        </w:tc>
        <w:tc>
          <w:tcPr>
            <w:tcW w:w="1803" w:type="dxa"/>
          </w:tcPr>
          <w:p>
            <w:pPr>
              <w:pStyle w:val="TableParagraph"/>
              <w:rPr>
                <w:rFonts w:ascii="Times New Roman"/>
                <w:sz w:val="20"/>
              </w:rPr>
            </w:pPr>
          </w:p>
        </w:tc>
        <w:tc>
          <w:tcPr>
            <w:tcW w:w="1788" w:type="dxa"/>
          </w:tcPr>
          <w:p>
            <w:pPr>
              <w:pStyle w:val="TableParagraph"/>
              <w:rPr>
                <w:rFonts w:ascii="Times New Roman"/>
                <w:sz w:val="20"/>
              </w:rPr>
            </w:pPr>
          </w:p>
        </w:tc>
      </w:tr>
      <w:tr>
        <w:trPr>
          <w:trHeight w:val="270" w:hRule="atLeast"/>
        </w:trPr>
        <w:tc>
          <w:tcPr>
            <w:tcW w:w="1658" w:type="dxa"/>
          </w:tcPr>
          <w:p>
            <w:pPr>
              <w:pStyle w:val="TableParagraph"/>
              <w:spacing w:line="250" w:lineRule="exact" w:before="1"/>
              <w:ind w:left="616"/>
              <w:rPr>
                <w:sz w:val="21"/>
              </w:rPr>
            </w:pPr>
            <w:r>
              <w:rPr>
                <w:sz w:val="21"/>
              </w:rPr>
              <w:t>合计 </w:t>
            </w:r>
          </w:p>
        </w:tc>
        <w:tc>
          <w:tcPr>
            <w:tcW w:w="1786" w:type="dxa"/>
          </w:tcPr>
          <w:p>
            <w:pPr>
              <w:pStyle w:val="TableParagraph"/>
              <w:spacing w:before="7"/>
              <w:ind w:left="915"/>
              <w:rPr>
                <w:rFonts w:ascii="Times New Roman"/>
                <w:sz w:val="21"/>
              </w:rPr>
            </w:pPr>
            <w:r>
              <w:rPr>
                <w:rFonts w:ascii="Times New Roman"/>
                <w:sz w:val="21"/>
              </w:rPr>
              <w:t>2,771,638</w:t>
            </w:r>
          </w:p>
        </w:tc>
        <w:tc>
          <w:tcPr>
            <w:tcW w:w="1788" w:type="dxa"/>
          </w:tcPr>
          <w:p>
            <w:pPr>
              <w:pStyle w:val="TableParagraph"/>
              <w:spacing w:before="7"/>
              <w:ind w:left="917"/>
              <w:rPr>
                <w:rFonts w:ascii="Times New Roman"/>
                <w:sz w:val="21"/>
              </w:rPr>
            </w:pPr>
            <w:r>
              <w:rPr>
                <w:rFonts w:ascii="Times New Roman"/>
                <w:sz w:val="21"/>
              </w:rPr>
              <w:t>1,037,821</w:t>
            </w:r>
          </w:p>
        </w:tc>
        <w:tc>
          <w:tcPr>
            <w:tcW w:w="1803" w:type="dxa"/>
          </w:tcPr>
          <w:p>
            <w:pPr>
              <w:pStyle w:val="TableParagraph"/>
              <w:spacing w:before="7"/>
              <w:ind w:right="18"/>
              <w:jc w:val="right"/>
              <w:rPr>
                <w:rFonts w:ascii="Times New Roman"/>
                <w:sz w:val="21"/>
              </w:rPr>
            </w:pPr>
            <w:r>
              <w:rPr>
                <w:rFonts w:ascii="Times New Roman"/>
                <w:w w:val="100"/>
                <w:sz w:val="21"/>
              </w:rPr>
              <w:t>-</w:t>
            </w:r>
          </w:p>
        </w:tc>
        <w:tc>
          <w:tcPr>
            <w:tcW w:w="1788" w:type="dxa"/>
          </w:tcPr>
          <w:p>
            <w:pPr>
              <w:pStyle w:val="TableParagraph"/>
              <w:spacing w:before="7"/>
              <w:ind w:left="917"/>
              <w:rPr>
                <w:rFonts w:ascii="Times New Roman"/>
                <w:sz w:val="21"/>
              </w:rPr>
            </w:pPr>
            <w:r>
              <w:rPr>
                <w:rFonts w:ascii="Times New Roman"/>
                <w:sz w:val="21"/>
              </w:rPr>
              <w:t>3,809,459</w:t>
            </w:r>
          </w:p>
        </w:tc>
      </w:tr>
    </w:tbl>
    <w:p>
      <w:pPr>
        <w:pStyle w:val="BodyText"/>
        <w:spacing w:before="61"/>
      </w:pPr>
      <w:r>
        <w:rPr>
          <w:spacing w:val="-1"/>
        </w:rPr>
        <w:t>盈余公积说明，包括本期增减变动情况、变动原因说明：</w:t>
      </w:r>
      <w:r>
        <w:rPr/>
        <w:t> </w:t>
      </w:r>
    </w:p>
    <w:p>
      <w:pPr>
        <w:pStyle w:val="BodyText"/>
        <w:spacing w:before="65" w:after="31"/>
      </w:pPr>
      <w:r>
        <w:rPr>
          <w:w w:val="100"/>
        </w:rPr>
        <w:t> </w:t>
      </w:r>
    </w:p>
    <w:tbl>
      <w:tblPr>
        <w:tblW w:w="0" w:type="auto"/>
        <w:jc w:val="left"/>
        <w:tblInd w:w="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4"/>
        <w:gridCol w:w="8191"/>
      </w:tblGrid>
      <w:tr>
        <w:trPr>
          <w:trHeight w:val="1029" w:hRule="atLeast"/>
        </w:trPr>
        <w:tc>
          <w:tcPr>
            <w:tcW w:w="774" w:type="dxa"/>
          </w:tcPr>
          <w:p>
            <w:pPr>
              <w:pStyle w:val="TableParagraph"/>
              <w:spacing w:line="241" w:lineRule="exact"/>
              <w:ind w:left="200"/>
              <w:rPr>
                <w:sz w:val="21"/>
              </w:rPr>
            </w:pPr>
            <w:r>
              <w:rPr>
                <w:sz w:val="21"/>
              </w:rPr>
              <w:t>(a) </w:t>
            </w:r>
          </w:p>
        </w:tc>
        <w:tc>
          <w:tcPr>
            <w:tcW w:w="8191" w:type="dxa"/>
          </w:tcPr>
          <w:p>
            <w:pPr>
              <w:pStyle w:val="TableParagraph"/>
              <w:spacing w:line="241" w:lineRule="exact"/>
              <w:ind w:left="153"/>
              <w:rPr>
                <w:sz w:val="21"/>
              </w:rPr>
            </w:pPr>
            <w:r>
              <w:rPr>
                <w:spacing w:val="2"/>
                <w:sz w:val="21"/>
              </w:rPr>
              <w:t>根据《中华人民共和国公司法》及本公司章程，本公司按年度净利润的 </w:t>
            </w:r>
            <w:r>
              <w:rPr>
                <w:sz w:val="21"/>
              </w:rPr>
              <w:t>10%提取法定</w:t>
            </w:r>
          </w:p>
          <w:p>
            <w:pPr>
              <w:pStyle w:val="TableParagraph"/>
              <w:spacing w:line="242" w:lineRule="auto" w:before="4"/>
              <w:ind w:left="153" w:right="198"/>
              <w:rPr>
                <w:sz w:val="21"/>
              </w:rPr>
            </w:pPr>
            <w:r>
              <w:rPr>
                <w:spacing w:val="1"/>
                <w:sz w:val="21"/>
              </w:rPr>
              <w:t>盈余公积金，当法定盈余公积金累计额达到注册资本的 </w:t>
            </w:r>
            <w:r>
              <w:rPr>
                <w:sz w:val="21"/>
              </w:rPr>
              <w:t>50%以上时，可不再提取。法定盈余公积金经批准后可用于弥补亏损，或者增加股本。本公司 2022</w:t>
            </w:r>
            <w:r>
              <w:rPr>
                <w:spacing w:val="1"/>
                <w:sz w:val="21"/>
              </w:rPr>
              <w:t> 年度按净利润</w:t>
            </w:r>
          </w:p>
          <w:p>
            <w:pPr>
              <w:pStyle w:val="TableParagraph"/>
              <w:spacing w:line="220" w:lineRule="exact" w:before="2"/>
              <w:ind w:left="153"/>
              <w:rPr>
                <w:sz w:val="21"/>
              </w:rPr>
            </w:pPr>
            <w:r>
              <w:rPr>
                <w:spacing w:val="-27"/>
                <w:sz w:val="21"/>
              </w:rPr>
              <w:t>的 </w:t>
            </w:r>
            <w:r>
              <w:rPr>
                <w:sz w:val="21"/>
              </w:rPr>
              <w:t>10</w:t>
            </w:r>
            <w:r>
              <w:rPr>
                <w:spacing w:val="-5"/>
                <w:sz w:val="21"/>
              </w:rPr>
              <w:t>%提取法定盈余公积金 </w:t>
            </w:r>
            <w:r>
              <w:rPr>
                <w:sz w:val="21"/>
              </w:rPr>
              <w:t>1,037,821</w:t>
            </w:r>
            <w:r>
              <w:rPr>
                <w:spacing w:val="-1"/>
                <w:sz w:val="21"/>
              </w:rPr>
              <w:t> 千元(</w:t>
            </w:r>
            <w:r>
              <w:rPr>
                <w:sz w:val="21"/>
              </w:rPr>
              <w:t>2021</w:t>
            </w:r>
            <w:r>
              <w:rPr>
                <w:spacing w:val="-28"/>
                <w:sz w:val="21"/>
              </w:rPr>
              <w:t> 年</w:t>
            </w:r>
            <w:r>
              <w:rPr>
                <w:sz w:val="21"/>
              </w:rPr>
              <w:t>：1,334,203</w:t>
            </w:r>
            <w:r>
              <w:rPr>
                <w:spacing w:val="-12"/>
                <w:sz w:val="21"/>
              </w:rPr>
              <w:t> 千元)。</w:t>
            </w:r>
            <w:r>
              <w:rPr>
                <w:sz w:val="21"/>
              </w:rPr>
              <w:t> </w:t>
            </w:r>
          </w:p>
        </w:tc>
      </w:tr>
    </w:tbl>
    <w:p>
      <w:pPr>
        <w:pStyle w:val="BodyText"/>
        <w:spacing w:before="31"/>
      </w:pPr>
      <w:r>
        <w:rPr>
          <w:w w:val="100"/>
        </w:rPr>
        <w:t> </w:t>
      </w:r>
    </w:p>
    <w:p>
      <w:pPr>
        <w:pStyle w:val="BodyText"/>
        <w:spacing w:before="5"/>
      </w:pPr>
      <w:r>
        <w:rPr>
          <w:w w:val="100"/>
        </w:rPr>
        <w:t> </w:t>
      </w:r>
    </w:p>
    <w:p>
      <w:pPr>
        <w:pStyle w:val="BodyText"/>
        <w:spacing w:before="62"/>
      </w:pPr>
      <w:r>
        <w:rPr/>
        <w:t>60</w:t>
      </w:r>
      <w:r>
        <w:rPr>
          <w:spacing w:val="-5"/>
        </w:rPr>
        <w:t>、 未分配利润</w:t>
      </w:r>
      <w:r>
        <w:rPr/>
        <w:t> </w:t>
      </w:r>
    </w:p>
    <w:p>
      <w:pPr>
        <w:pStyle w:val="BodyText"/>
        <w:spacing w:before="64"/>
      </w:pPr>
      <w:r>
        <w:rPr>
          <w:spacing w:val="-1"/>
        </w:rPr>
        <w:t>√适用 □不适用</w:t>
      </w:r>
      <w:r>
        <w:rPr>
          <w:spacing w:val="-3"/>
        </w:rPr>
        <w:t> </w:t>
      </w:r>
      <w:r>
        <w:rPr/>
        <w:t> </w:t>
      </w:r>
    </w:p>
    <w:p>
      <w:pPr>
        <w:pStyle w:val="BodyText"/>
        <w:spacing w:before="3" w:after="3"/>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4"/>
        <w:gridCol w:w="2753"/>
        <w:gridCol w:w="2667"/>
      </w:tblGrid>
      <w:tr>
        <w:trPr>
          <w:trHeight w:val="270" w:hRule="atLeast"/>
        </w:trPr>
        <w:tc>
          <w:tcPr>
            <w:tcW w:w="3404" w:type="dxa"/>
          </w:tcPr>
          <w:p>
            <w:pPr>
              <w:pStyle w:val="TableParagraph"/>
              <w:spacing w:line="250" w:lineRule="exact" w:before="1"/>
              <w:ind w:left="1522" w:right="1411"/>
              <w:jc w:val="center"/>
              <w:rPr>
                <w:sz w:val="21"/>
              </w:rPr>
            </w:pPr>
            <w:r>
              <w:rPr>
                <w:sz w:val="21"/>
              </w:rPr>
              <w:t>项目 </w:t>
            </w:r>
          </w:p>
        </w:tc>
        <w:tc>
          <w:tcPr>
            <w:tcW w:w="2753" w:type="dxa"/>
          </w:tcPr>
          <w:p>
            <w:pPr>
              <w:pStyle w:val="TableParagraph"/>
              <w:spacing w:line="250" w:lineRule="exact" w:before="1"/>
              <w:ind w:left="1196" w:right="1086"/>
              <w:jc w:val="center"/>
              <w:rPr>
                <w:sz w:val="21"/>
              </w:rPr>
            </w:pPr>
            <w:r>
              <w:rPr>
                <w:sz w:val="21"/>
              </w:rPr>
              <w:t>本期 </w:t>
            </w:r>
          </w:p>
        </w:tc>
        <w:tc>
          <w:tcPr>
            <w:tcW w:w="2667" w:type="dxa"/>
          </w:tcPr>
          <w:p>
            <w:pPr>
              <w:pStyle w:val="TableParagraph"/>
              <w:spacing w:line="250" w:lineRule="exact" w:before="1"/>
              <w:ind w:left="1156" w:right="1041"/>
              <w:jc w:val="center"/>
              <w:rPr>
                <w:sz w:val="21"/>
              </w:rPr>
            </w:pPr>
            <w:r>
              <w:rPr>
                <w:sz w:val="21"/>
              </w:rPr>
              <w:t>上期 </w:t>
            </w:r>
          </w:p>
        </w:tc>
      </w:tr>
      <w:tr>
        <w:trPr>
          <w:trHeight w:val="273" w:hRule="atLeast"/>
        </w:trPr>
        <w:tc>
          <w:tcPr>
            <w:tcW w:w="3404" w:type="dxa"/>
          </w:tcPr>
          <w:p>
            <w:pPr>
              <w:pStyle w:val="TableParagraph"/>
              <w:spacing w:line="250" w:lineRule="exact" w:before="3"/>
              <w:ind w:left="112"/>
              <w:rPr>
                <w:sz w:val="21"/>
              </w:rPr>
            </w:pPr>
            <w:r>
              <w:rPr>
                <w:spacing w:val="-1"/>
                <w:sz w:val="21"/>
              </w:rPr>
              <w:t>调整前上期末未分配利润</w:t>
            </w:r>
            <w:r>
              <w:rPr>
                <w:sz w:val="21"/>
              </w:rPr>
              <w:t> </w:t>
            </w:r>
          </w:p>
        </w:tc>
        <w:tc>
          <w:tcPr>
            <w:tcW w:w="2753" w:type="dxa"/>
          </w:tcPr>
          <w:p>
            <w:pPr>
              <w:pStyle w:val="TableParagraph"/>
              <w:spacing w:line="237" w:lineRule="exact"/>
              <w:ind w:left="1684"/>
              <w:rPr>
                <w:rFonts w:ascii="Times New Roman"/>
                <w:sz w:val="21"/>
              </w:rPr>
            </w:pPr>
            <w:r>
              <w:rPr>
                <w:rFonts w:ascii="Times New Roman"/>
                <w:sz w:val="21"/>
              </w:rPr>
              <w:t>68,782,923</w:t>
            </w:r>
          </w:p>
        </w:tc>
        <w:tc>
          <w:tcPr>
            <w:tcW w:w="2667" w:type="dxa"/>
          </w:tcPr>
          <w:p>
            <w:pPr>
              <w:pStyle w:val="TableParagraph"/>
              <w:spacing w:line="237" w:lineRule="exact"/>
              <w:ind w:left="1610"/>
              <w:rPr>
                <w:rFonts w:ascii="Times New Roman"/>
                <w:sz w:val="21"/>
              </w:rPr>
            </w:pPr>
            <w:r>
              <w:rPr>
                <w:rFonts w:ascii="Times New Roman"/>
                <w:sz w:val="21"/>
              </w:rPr>
              <w:t>55,070,045</w:t>
            </w:r>
          </w:p>
        </w:tc>
      </w:tr>
      <w:tr>
        <w:trPr>
          <w:trHeight w:val="544" w:hRule="atLeast"/>
        </w:trPr>
        <w:tc>
          <w:tcPr>
            <w:tcW w:w="3404" w:type="dxa"/>
          </w:tcPr>
          <w:p>
            <w:pPr>
              <w:pStyle w:val="TableParagraph"/>
              <w:spacing w:before="1"/>
              <w:ind w:left="112"/>
              <w:rPr>
                <w:sz w:val="21"/>
              </w:rPr>
            </w:pPr>
            <w:r>
              <w:rPr>
                <w:sz w:val="21"/>
              </w:rPr>
              <w:t>调整期初未分配利润合计数（调增</w:t>
            </w:r>
          </w:p>
          <w:p>
            <w:pPr>
              <w:pStyle w:val="TableParagraph"/>
              <w:spacing w:line="250" w:lineRule="exact" w:before="5"/>
              <w:ind w:left="112"/>
              <w:rPr>
                <w:sz w:val="21"/>
              </w:rPr>
            </w:pPr>
            <w:r>
              <w:rPr>
                <w:sz w:val="21"/>
              </w:rPr>
              <w:t>+，调减－） </w:t>
            </w:r>
          </w:p>
        </w:tc>
        <w:tc>
          <w:tcPr>
            <w:tcW w:w="2753" w:type="dxa"/>
          </w:tcPr>
          <w:p>
            <w:pPr>
              <w:pStyle w:val="TableParagraph"/>
              <w:rPr>
                <w:rFonts w:ascii="Times New Roman"/>
                <w:sz w:val="20"/>
              </w:rPr>
            </w:pPr>
          </w:p>
        </w:tc>
        <w:tc>
          <w:tcPr>
            <w:tcW w:w="2667" w:type="dxa"/>
          </w:tcPr>
          <w:p>
            <w:pPr>
              <w:pStyle w:val="TableParagraph"/>
              <w:rPr>
                <w:rFonts w:ascii="Times New Roman"/>
                <w:sz w:val="20"/>
              </w:rPr>
            </w:pPr>
          </w:p>
        </w:tc>
      </w:tr>
      <w:tr>
        <w:trPr>
          <w:trHeight w:val="273" w:hRule="atLeast"/>
        </w:trPr>
        <w:tc>
          <w:tcPr>
            <w:tcW w:w="3404" w:type="dxa"/>
          </w:tcPr>
          <w:p>
            <w:pPr>
              <w:pStyle w:val="TableParagraph"/>
              <w:spacing w:line="252" w:lineRule="exact" w:before="1"/>
              <w:ind w:left="112"/>
              <w:rPr>
                <w:sz w:val="21"/>
              </w:rPr>
            </w:pPr>
            <w:r>
              <w:rPr>
                <w:spacing w:val="-1"/>
                <w:sz w:val="21"/>
              </w:rPr>
              <w:t>调整后期初未分配利润</w:t>
            </w:r>
            <w:r>
              <w:rPr>
                <w:sz w:val="21"/>
              </w:rPr>
              <w:t> </w:t>
            </w:r>
          </w:p>
        </w:tc>
        <w:tc>
          <w:tcPr>
            <w:tcW w:w="2753" w:type="dxa"/>
          </w:tcPr>
          <w:p>
            <w:pPr>
              <w:pStyle w:val="TableParagraph"/>
              <w:spacing w:line="252" w:lineRule="exact" w:before="1"/>
              <w:ind w:left="1586" w:right="-29"/>
              <w:rPr>
                <w:sz w:val="24"/>
              </w:rPr>
            </w:pPr>
            <w:r>
              <w:rPr>
                <w:sz w:val="21"/>
              </w:rPr>
              <w:t>68,782,923</w:t>
            </w:r>
            <w:r>
              <w:rPr>
                <w:sz w:val="24"/>
              </w:rPr>
              <w:t> </w:t>
            </w:r>
          </w:p>
        </w:tc>
        <w:tc>
          <w:tcPr>
            <w:tcW w:w="2667" w:type="dxa"/>
          </w:tcPr>
          <w:p>
            <w:pPr>
              <w:pStyle w:val="TableParagraph"/>
              <w:spacing w:line="252" w:lineRule="exact" w:before="1"/>
              <w:ind w:left="1505" w:right="-15"/>
              <w:rPr>
                <w:sz w:val="21"/>
              </w:rPr>
            </w:pPr>
            <w:r>
              <w:rPr>
                <w:sz w:val="21"/>
              </w:rPr>
              <w:t>55,070,045 </w:t>
            </w:r>
          </w:p>
        </w:tc>
      </w:tr>
      <w:tr>
        <w:trPr>
          <w:trHeight w:val="544" w:hRule="atLeast"/>
        </w:trPr>
        <w:tc>
          <w:tcPr>
            <w:tcW w:w="3404" w:type="dxa"/>
          </w:tcPr>
          <w:p>
            <w:pPr>
              <w:pStyle w:val="TableParagraph"/>
              <w:spacing w:before="1"/>
              <w:ind w:left="112"/>
              <w:rPr>
                <w:sz w:val="21"/>
              </w:rPr>
            </w:pPr>
            <w:r>
              <w:rPr>
                <w:sz w:val="21"/>
              </w:rPr>
              <w:t>加：本期归属于母公司所有者的净</w:t>
            </w:r>
          </w:p>
          <w:p>
            <w:pPr>
              <w:pStyle w:val="TableParagraph"/>
              <w:spacing w:line="252" w:lineRule="exact" w:before="2"/>
              <w:ind w:left="112"/>
              <w:rPr>
                <w:sz w:val="21"/>
              </w:rPr>
            </w:pPr>
            <w:r>
              <w:rPr>
                <w:sz w:val="21"/>
              </w:rPr>
              <w:t>利润 </w:t>
            </w:r>
          </w:p>
        </w:tc>
        <w:tc>
          <w:tcPr>
            <w:tcW w:w="2753" w:type="dxa"/>
          </w:tcPr>
          <w:p>
            <w:pPr>
              <w:pStyle w:val="TableParagraph"/>
              <w:spacing w:line="235" w:lineRule="exact"/>
              <w:ind w:left="1684"/>
              <w:rPr>
                <w:rFonts w:ascii="Times New Roman"/>
                <w:sz w:val="21"/>
              </w:rPr>
            </w:pPr>
            <w:r>
              <w:rPr>
                <w:rFonts w:ascii="Times New Roman"/>
                <w:sz w:val="21"/>
              </w:rPr>
              <w:t>20,073,072</w:t>
            </w:r>
          </w:p>
        </w:tc>
        <w:tc>
          <w:tcPr>
            <w:tcW w:w="2667" w:type="dxa"/>
          </w:tcPr>
          <w:p>
            <w:pPr>
              <w:pStyle w:val="TableParagraph"/>
              <w:spacing w:line="235" w:lineRule="exact"/>
              <w:ind w:left="1603"/>
              <w:rPr>
                <w:rFonts w:ascii="Times New Roman"/>
                <w:sz w:val="21"/>
              </w:rPr>
            </w:pPr>
            <w:r>
              <w:rPr>
                <w:rFonts w:ascii="Times New Roman"/>
                <w:sz w:val="21"/>
              </w:rPr>
              <w:t>20,009,751</w:t>
            </w:r>
          </w:p>
        </w:tc>
      </w:tr>
      <w:tr>
        <w:trPr>
          <w:trHeight w:val="273" w:hRule="atLeast"/>
        </w:trPr>
        <w:tc>
          <w:tcPr>
            <w:tcW w:w="3404" w:type="dxa"/>
          </w:tcPr>
          <w:p>
            <w:pPr>
              <w:pStyle w:val="TableParagraph"/>
              <w:spacing w:line="252" w:lineRule="exact" w:before="1"/>
              <w:ind w:left="112"/>
              <w:rPr>
                <w:sz w:val="21"/>
              </w:rPr>
            </w:pPr>
            <w:r>
              <w:rPr>
                <w:spacing w:val="-1"/>
                <w:sz w:val="21"/>
              </w:rPr>
              <w:t>减：提取法定盈余公积</w:t>
            </w:r>
            <w:r>
              <w:rPr>
                <w:sz w:val="21"/>
              </w:rPr>
              <w:t> </w:t>
            </w:r>
          </w:p>
        </w:tc>
        <w:tc>
          <w:tcPr>
            <w:tcW w:w="2753" w:type="dxa"/>
          </w:tcPr>
          <w:p>
            <w:pPr>
              <w:pStyle w:val="TableParagraph"/>
              <w:spacing w:line="235" w:lineRule="exact"/>
              <w:ind w:left="1727"/>
              <w:rPr>
                <w:rFonts w:ascii="Times New Roman"/>
                <w:sz w:val="21"/>
              </w:rPr>
            </w:pPr>
            <w:r>
              <w:rPr>
                <w:rFonts w:ascii="Times New Roman"/>
                <w:sz w:val="21"/>
              </w:rPr>
              <w:t>-1,037,821</w:t>
            </w:r>
          </w:p>
        </w:tc>
        <w:tc>
          <w:tcPr>
            <w:tcW w:w="2667" w:type="dxa"/>
          </w:tcPr>
          <w:p>
            <w:pPr>
              <w:pStyle w:val="TableParagraph"/>
              <w:spacing w:line="235" w:lineRule="exact"/>
              <w:ind w:left="1639"/>
              <w:rPr>
                <w:rFonts w:ascii="Times New Roman"/>
                <w:sz w:val="21"/>
              </w:rPr>
            </w:pPr>
            <w:r>
              <w:rPr>
                <w:rFonts w:ascii="Times New Roman"/>
                <w:sz w:val="21"/>
              </w:rPr>
              <w:t>-1,334,203</w:t>
            </w:r>
          </w:p>
        </w:tc>
      </w:tr>
      <w:tr>
        <w:trPr>
          <w:trHeight w:val="270" w:hRule="atLeast"/>
        </w:trPr>
        <w:tc>
          <w:tcPr>
            <w:tcW w:w="3404" w:type="dxa"/>
          </w:tcPr>
          <w:p>
            <w:pPr>
              <w:pStyle w:val="TableParagraph"/>
              <w:spacing w:line="250" w:lineRule="exact" w:before="1"/>
              <w:ind w:left="532"/>
              <w:rPr>
                <w:sz w:val="21"/>
              </w:rPr>
            </w:pPr>
            <w:r>
              <w:rPr>
                <w:spacing w:val="-1"/>
                <w:sz w:val="21"/>
              </w:rPr>
              <w:t>提取任意盈余公积</w:t>
            </w:r>
            <w:r>
              <w:rPr>
                <w:sz w:val="21"/>
              </w:rPr>
              <w:t> </w:t>
            </w:r>
          </w:p>
        </w:tc>
        <w:tc>
          <w:tcPr>
            <w:tcW w:w="2753" w:type="dxa"/>
          </w:tcPr>
          <w:p>
            <w:pPr>
              <w:pStyle w:val="TableParagraph"/>
              <w:rPr>
                <w:rFonts w:ascii="Times New Roman"/>
                <w:sz w:val="20"/>
              </w:rPr>
            </w:pPr>
          </w:p>
        </w:tc>
        <w:tc>
          <w:tcPr>
            <w:tcW w:w="2667" w:type="dxa"/>
          </w:tcPr>
          <w:p>
            <w:pPr>
              <w:pStyle w:val="TableParagraph"/>
              <w:rPr>
                <w:rFonts w:ascii="Times New Roman"/>
                <w:sz w:val="20"/>
              </w:rPr>
            </w:pPr>
          </w:p>
        </w:tc>
      </w:tr>
      <w:tr>
        <w:trPr>
          <w:trHeight w:val="273" w:hRule="atLeast"/>
        </w:trPr>
        <w:tc>
          <w:tcPr>
            <w:tcW w:w="3404" w:type="dxa"/>
          </w:tcPr>
          <w:p>
            <w:pPr>
              <w:pStyle w:val="TableParagraph"/>
              <w:spacing w:line="252" w:lineRule="exact" w:before="1"/>
              <w:ind w:left="532"/>
              <w:rPr>
                <w:sz w:val="21"/>
              </w:rPr>
            </w:pPr>
            <w:r>
              <w:rPr>
                <w:spacing w:val="-1"/>
                <w:sz w:val="21"/>
              </w:rPr>
              <w:t>提取一般风险准备</w:t>
            </w:r>
            <w:r>
              <w:rPr>
                <w:sz w:val="21"/>
              </w:rPr>
              <w:t> </w:t>
            </w:r>
          </w:p>
        </w:tc>
        <w:tc>
          <w:tcPr>
            <w:tcW w:w="2753" w:type="dxa"/>
          </w:tcPr>
          <w:p>
            <w:pPr>
              <w:pStyle w:val="TableParagraph"/>
              <w:rPr>
                <w:rFonts w:ascii="Times New Roman"/>
                <w:sz w:val="20"/>
              </w:rPr>
            </w:pPr>
          </w:p>
        </w:tc>
        <w:tc>
          <w:tcPr>
            <w:tcW w:w="2667" w:type="dxa"/>
          </w:tcPr>
          <w:p>
            <w:pPr>
              <w:pStyle w:val="TableParagraph"/>
              <w:rPr>
                <w:rFonts w:ascii="Times New Roman"/>
                <w:sz w:val="20"/>
              </w:rPr>
            </w:pPr>
          </w:p>
        </w:tc>
      </w:tr>
      <w:tr>
        <w:trPr>
          <w:trHeight w:val="270" w:hRule="atLeast"/>
        </w:trPr>
        <w:tc>
          <w:tcPr>
            <w:tcW w:w="3404" w:type="dxa"/>
          </w:tcPr>
          <w:p>
            <w:pPr>
              <w:pStyle w:val="TableParagraph"/>
              <w:spacing w:line="250" w:lineRule="exact" w:before="1"/>
              <w:ind w:left="532"/>
              <w:rPr>
                <w:sz w:val="21"/>
              </w:rPr>
            </w:pPr>
            <w:r>
              <w:rPr>
                <w:sz w:val="21"/>
              </w:rPr>
              <w:t>应付普通股股利 </w:t>
            </w:r>
          </w:p>
        </w:tc>
        <w:tc>
          <w:tcPr>
            <w:tcW w:w="2753" w:type="dxa"/>
          </w:tcPr>
          <w:p>
            <w:pPr>
              <w:pStyle w:val="TableParagraph"/>
              <w:rPr>
                <w:rFonts w:ascii="Times New Roman"/>
                <w:sz w:val="20"/>
              </w:rPr>
            </w:pPr>
          </w:p>
        </w:tc>
        <w:tc>
          <w:tcPr>
            <w:tcW w:w="2667" w:type="dxa"/>
          </w:tcPr>
          <w:p>
            <w:pPr>
              <w:pStyle w:val="TableParagraph"/>
              <w:rPr>
                <w:rFonts w:ascii="Times New Roman"/>
                <w:sz w:val="20"/>
              </w:rPr>
            </w:pPr>
          </w:p>
        </w:tc>
      </w:tr>
      <w:tr>
        <w:trPr>
          <w:trHeight w:val="273" w:hRule="atLeast"/>
        </w:trPr>
        <w:tc>
          <w:tcPr>
            <w:tcW w:w="3404" w:type="dxa"/>
          </w:tcPr>
          <w:p>
            <w:pPr>
              <w:pStyle w:val="TableParagraph"/>
              <w:spacing w:line="250" w:lineRule="exact" w:before="3"/>
              <w:ind w:left="532"/>
              <w:rPr>
                <w:sz w:val="21"/>
              </w:rPr>
            </w:pPr>
            <w:r>
              <w:rPr>
                <w:spacing w:val="-1"/>
                <w:sz w:val="21"/>
              </w:rPr>
              <w:t>转作股本的普通股股利</w:t>
            </w:r>
            <w:r>
              <w:rPr>
                <w:sz w:val="21"/>
              </w:rPr>
              <w:t> </w:t>
            </w:r>
          </w:p>
        </w:tc>
        <w:tc>
          <w:tcPr>
            <w:tcW w:w="2753" w:type="dxa"/>
          </w:tcPr>
          <w:p>
            <w:pPr>
              <w:pStyle w:val="TableParagraph"/>
              <w:rPr>
                <w:rFonts w:ascii="Times New Roman"/>
                <w:sz w:val="20"/>
              </w:rPr>
            </w:pPr>
          </w:p>
        </w:tc>
        <w:tc>
          <w:tcPr>
            <w:tcW w:w="2667" w:type="dxa"/>
          </w:tcPr>
          <w:p>
            <w:pPr>
              <w:pStyle w:val="TableParagraph"/>
              <w:rPr>
                <w:rFonts w:ascii="Times New Roman"/>
                <w:sz w:val="20"/>
              </w:rPr>
            </w:pPr>
          </w:p>
        </w:tc>
      </w:tr>
      <w:tr>
        <w:trPr>
          <w:trHeight w:val="273" w:hRule="atLeast"/>
        </w:trPr>
        <w:tc>
          <w:tcPr>
            <w:tcW w:w="3404" w:type="dxa"/>
          </w:tcPr>
          <w:p>
            <w:pPr>
              <w:pStyle w:val="TableParagraph"/>
              <w:spacing w:line="252" w:lineRule="exact" w:before="1"/>
              <w:ind w:left="112"/>
              <w:rPr>
                <w:sz w:val="21"/>
              </w:rPr>
            </w:pPr>
            <w:r>
              <w:rPr>
                <w:spacing w:val="-1"/>
                <w:sz w:val="21"/>
              </w:rPr>
              <w:t>减：普通股股利</w:t>
            </w:r>
            <w:r>
              <w:rPr>
                <w:sz w:val="21"/>
              </w:rPr>
              <w:t>(a) </w:t>
            </w:r>
          </w:p>
        </w:tc>
        <w:tc>
          <w:tcPr>
            <w:tcW w:w="2753" w:type="dxa"/>
          </w:tcPr>
          <w:p>
            <w:pPr>
              <w:pStyle w:val="TableParagraph"/>
              <w:spacing w:line="235" w:lineRule="exact"/>
              <w:ind w:left="1720"/>
              <w:rPr>
                <w:rFonts w:ascii="Times New Roman"/>
                <w:sz w:val="21"/>
              </w:rPr>
            </w:pPr>
            <w:r>
              <w:rPr>
                <w:rFonts w:ascii="Times New Roman"/>
                <w:sz w:val="21"/>
              </w:rPr>
              <w:t>-9,890,945</w:t>
            </w:r>
          </w:p>
        </w:tc>
        <w:tc>
          <w:tcPr>
            <w:tcW w:w="2667" w:type="dxa"/>
          </w:tcPr>
          <w:p>
            <w:pPr>
              <w:pStyle w:val="TableParagraph"/>
              <w:spacing w:line="235" w:lineRule="exact"/>
              <w:ind w:left="1639"/>
              <w:rPr>
                <w:rFonts w:ascii="Times New Roman"/>
                <w:sz w:val="21"/>
              </w:rPr>
            </w:pPr>
            <w:r>
              <w:rPr>
                <w:rFonts w:ascii="Times New Roman"/>
                <w:sz w:val="21"/>
              </w:rPr>
              <w:t>-4,966,790</w:t>
            </w:r>
          </w:p>
        </w:tc>
      </w:tr>
      <w:tr>
        <w:trPr>
          <w:trHeight w:val="270" w:hRule="atLeast"/>
        </w:trPr>
        <w:tc>
          <w:tcPr>
            <w:tcW w:w="3404" w:type="dxa"/>
          </w:tcPr>
          <w:p>
            <w:pPr>
              <w:pStyle w:val="TableParagraph"/>
              <w:spacing w:line="250" w:lineRule="exact" w:before="1"/>
              <w:ind w:left="112"/>
              <w:rPr>
                <w:sz w:val="21"/>
              </w:rPr>
            </w:pPr>
            <w:r>
              <w:rPr>
                <w:spacing w:val="-1"/>
                <w:sz w:val="21"/>
              </w:rPr>
              <w:t>加：限制性股票之可撤销现金股利</w:t>
            </w:r>
            <w:r>
              <w:rPr>
                <w:sz w:val="21"/>
              </w:rPr>
              <w:t> </w:t>
            </w:r>
          </w:p>
        </w:tc>
        <w:tc>
          <w:tcPr>
            <w:tcW w:w="2753" w:type="dxa"/>
          </w:tcPr>
          <w:p>
            <w:pPr>
              <w:pStyle w:val="TableParagraph"/>
              <w:spacing w:line="235" w:lineRule="exact"/>
              <w:ind w:right="108"/>
              <w:jc w:val="right"/>
              <w:rPr>
                <w:rFonts w:ascii="Times New Roman"/>
                <w:sz w:val="21"/>
              </w:rPr>
            </w:pPr>
            <w:r>
              <w:rPr>
                <w:rFonts w:ascii="Times New Roman"/>
                <w:sz w:val="21"/>
              </w:rPr>
              <w:t>6,825</w:t>
            </w:r>
          </w:p>
        </w:tc>
        <w:tc>
          <w:tcPr>
            <w:tcW w:w="2667" w:type="dxa"/>
          </w:tcPr>
          <w:p>
            <w:pPr>
              <w:pStyle w:val="TableParagraph"/>
              <w:spacing w:line="235" w:lineRule="exact"/>
              <w:ind w:right="103"/>
              <w:jc w:val="right"/>
              <w:rPr>
                <w:rFonts w:ascii="Times New Roman"/>
                <w:sz w:val="21"/>
              </w:rPr>
            </w:pPr>
            <w:r>
              <w:rPr>
                <w:rFonts w:ascii="Times New Roman"/>
                <w:sz w:val="21"/>
              </w:rPr>
              <w:t>4,120</w:t>
            </w:r>
          </w:p>
        </w:tc>
      </w:tr>
      <w:tr>
        <w:trPr>
          <w:trHeight w:val="273" w:hRule="atLeast"/>
        </w:trPr>
        <w:tc>
          <w:tcPr>
            <w:tcW w:w="3404" w:type="dxa"/>
          </w:tcPr>
          <w:p>
            <w:pPr>
              <w:pStyle w:val="TableParagraph"/>
              <w:spacing w:line="250" w:lineRule="exact" w:before="3"/>
              <w:ind w:left="112"/>
              <w:rPr>
                <w:sz w:val="21"/>
              </w:rPr>
            </w:pPr>
            <w:r>
              <w:rPr>
                <w:spacing w:val="-1"/>
                <w:sz w:val="21"/>
              </w:rPr>
              <w:t>期末未分配利润</w:t>
            </w:r>
            <w:r>
              <w:rPr>
                <w:sz w:val="21"/>
              </w:rPr>
              <w:t> </w:t>
            </w:r>
          </w:p>
        </w:tc>
        <w:tc>
          <w:tcPr>
            <w:tcW w:w="2753" w:type="dxa"/>
          </w:tcPr>
          <w:p>
            <w:pPr>
              <w:pStyle w:val="TableParagraph"/>
              <w:spacing w:line="237" w:lineRule="exact"/>
              <w:ind w:left="1691"/>
              <w:rPr>
                <w:rFonts w:ascii="Times New Roman"/>
                <w:sz w:val="21"/>
              </w:rPr>
            </w:pPr>
            <w:r>
              <w:rPr>
                <w:rFonts w:ascii="Times New Roman"/>
                <w:sz w:val="21"/>
              </w:rPr>
              <w:t>77,934,054</w:t>
            </w:r>
          </w:p>
        </w:tc>
        <w:tc>
          <w:tcPr>
            <w:tcW w:w="2667" w:type="dxa"/>
          </w:tcPr>
          <w:p>
            <w:pPr>
              <w:pStyle w:val="TableParagraph"/>
              <w:spacing w:line="237" w:lineRule="exact"/>
              <w:ind w:left="1603"/>
              <w:rPr>
                <w:rFonts w:ascii="Times New Roman"/>
                <w:sz w:val="21"/>
              </w:rPr>
            </w:pPr>
            <w:r>
              <w:rPr>
                <w:rFonts w:ascii="Times New Roman"/>
                <w:sz w:val="21"/>
              </w:rPr>
              <w:t>68,782,923</w:t>
            </w:r>
          </w:p>
        </w:tc>
      </w:tr>
    </w:tbl>
    <w:p>
      <w:pPr>
        <w:pStyle w:val="BodyText"/>
        <w:spacing w:before="1"/>
      </w:pPr>
      <w:r>
        <w:rPr>
          <w:w w:val="100"/>
        </w:rPr>
        <w:t> </w:t>
      </w:r>
    </w:p>
    <w:p>
      <w:pPr>
        <w:pStyle w:val="BodyText"/>
        <w:spacing w:before="65"/>
      </w:pPr>
      <w:r>
        <w:rPr>
          <w:spacing w:val="-1"/>
        </w:rPr>
        <w:t>调整期初未分配利润明细： </w:t>
      </w:r>
    </w:p>
    <w:p>
      <w:pPr>
        <w:pStyle w:val="BodyText"/>
        <w:spacing w:before="62"/>
      </w:pPr>
      <w:r>
        <w:rPr>
          <w:spacing w:val="-1"/>
        </w:rPr>
        <w:t>1</w:t>
      </w:r>
      <w:r>
        <w:rPr>
          <w:spacing w:val="-3"/>
        </w:rPr>
        <w:t>、由于《企业会计准则》及其相关新规定进行追溯调整，影响期初未分配利润 </w:t>
      </w:r>
      <w:r>
        <w:rPr/>
        <w:t>0</w:t>
      </w:r>
      <w:r>
        <w:rPr>
          <w:spacing w:val="-2"/>
        </w:rPr>
        <w:t> 元。</w:t>
      </w:r>
      <w:r>
        <w:rPr/>
        <w:t> </w:t>
      </w:r>
    </w:p>
    <w:p>
      <w:pPr>
        <w:pStyle w:val="BodyText"/>
        <w:spacing w:before="5"/>
      </w:pPr>
      <w:r>
        <w:rPr>
          <w:spacing w:val="-1"/>
        </w:rPr>
        <w:t>2</w:t>
      </w:r>
      <w:r>
        <w:rPr>
          <w:spacing w:val="-4"/>
        </w:rPr>
        <w:t>、由于会计政策变更，影响期初未分配利润 </w:t>
      </w:r>
      <w:r>
        <w:rPr/>
        <w:t>0 元。 </w:t>
      </w:r>
    </w:p>
    <w:p>
      <w:pPr>
        <w:pStyle w:val="BodyText"/>
        <w:spacing w:before="2"/>
      </w:pPr>
      <w:r>
        <w:rPr>
          <w:spacing w:val="-1"/>
        </w:rPr>
        <w:t>3</w:t>
      </w:r>
      <w:r>
        <w:rPr>
          <w:spacing w:val="-4"/>
        </w:rPr>
        <w:t>、由于重大会计差错更正，影响期初未分配利润 </w:t>
      </w:r>
      <w:r>
        <w:rPr/>
        <w:t>0</w:t>
      </w:r>
      <w:r>
        <w:rPr>
          <w:spacing w:val="-1"/>
        </w:rPr>
        <w:t> 元。</w:t>
      </w:r>
      <w:r>
        <w:rPr/>
        <w:t> </w:t>
      </w:r>
    </w:p>
    <w:p>
      <w:pPr>
        <w:pStyle w:val="BodyText"/>
        <w:spacing w:before="4"/>
      </w:pPr>
      <w:r>
        <w:rPr>
          <w:spacing w:val="-1"/>
        </w:rPr>
        <w:t>4</w:t>
      </w:r>
      <w:r>
        <w:rPr>
          <w:spacing w:val="-3"/>
        </w:rPr>
        <w:t>、由于同一控制导致的合并范围变更，影响期初未分配利润 </w:t>
      </w:r>
      <w:r>
        <w:rPr/>
        <w:t>0 元。 </w:t>
      </w:r>
    </w:p>
    <w:p>
      <w:pPr>
        <w:pStyle w:val="BodyText"/>
        <w:spacing w:before="3" w:after="30"/>
      </w:pPr>
      <w:r>
        <w:rPr>
          <w:spacing w:val="-1"/>
        </w:rPr>
        <w:t>5</w:t>
      </w:r>
      <w:r>
        <w:rPr>
          <w:spacing w:val="-5"/>
        </w:rPr>
        <w:t>、其他调整合计影响期初未分配利润 </w:t>
      </w:r>
      <w:r>
        <w:rPr/>
        <w:t>0</w:t>
      </w:r>
      <w:r>
        <w:rPr>
          <w:spacing w:val="-1"/>
        </w:rPr>
        <w:t> 元。</w:t>
      </w:r>
      <w:r>
        <w:rPr/>
        <w:t> </w:t>
      </w:r>
    </w:p>
    <w:tbl>
      <w:tblPr>
        <w:tblW w:w="0" w:type="auto"/>
        <w:jc w:val="left"/>
        <w:tblInd w:w="2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5"/>
        <w:gridCol w:w="8409"/>
      </w:tblGrid>
      <w:tr>
        <w:trPr>
          <w:trHeight w:val="755" w:hRule="atLeast"/>
        </w:trPr>
        <w:tc>
          <w:tcPr>
            <w:tcW w:w="775" w:type="dxa"/>
          </w:tcPr>
          <w:p>
            <w:pPr>
              <w:pStyle w:val="TableParagraph"/>
              <w:spacing w:line="241" w:lineRule="exact"/>
              <w:ind w:left="200"/>
              <w:rPr>
                <w:sz w:val="21"/>
              </w:rPr>
            </w:pPr>
            <w:r>
              <w:rPr>
                <w:sz w:val="21"/>
              </w:rPr>
              <w:t>(a) </w:t>
            </w:r>
          </w:p>
        </w:tc>
        <w:tc>
          <w:tcPr>
            <w:tcW w:w="8409" w:type="dxa"/>
          </w:tcPr>
          <w:p>
            <w:pPr>
              <w:pStyle w:val="TableParagraph"/>
              <w:spacing w:line="243" w:lineRule="exact"/>
              <w:ind w:left="154"/>
              <w:rPr>
                <w:sz w:val="21"/>
              </w:rPr>
            </w:pPr>
            <w:r>
              <w:rPr>
                <w:spacing w:val="-19"/>
                <w:sz w:val="21"/>
              </w:rPr>
              <w:t>根据 </w:t>
            </w:r>
            <w:r>
              <w:rPr>
                <w:sz w:val="21"/>
              </w:rPr>
              <w:t>2022</w:t>
            </w:r>
            <w:r>
              <w:rPr>
                <w:spacing w:val="-38"/>
                <w:sz w:val="21"/>
              </w:rPr>
              <w:t> 年 </w:t>
            </w:r>
            <w:r>
              <w:rPr>
                <w:sz w:val="21"/>
              </w:rPr>
              <w:t>6</w:t>
            </w:r>
            <w:r>
              <w:rPr>
                <w:spacing w:val="-38"/>
                <w:sz w:val="21"/>
              </w:rPr>
              <w:t> 月 </w:t>
            </w:r>
            <w:r>
              <w:rPr>
                <w:sz w:val="21"/>
              </w:rPr>
              <w:t>23</w:t>
            </w:r>
            <w:r>
              <w:rPr>
                <w:spacing w:val="-13"/>
                <w:sz w:val="21"/>
              </w:rPr>
              <w:t> 日的股东大会决议和 </w:t>
            </w:r>
            <w:r>
              <w:rPr>
                <w:sz w:val="21"/>
              </w:rPr>
              <w:t>2022</w:t>
            </w:r>
            <w:r>
              <w:rPr>
                <w:spacing w:val="-38"/>
                <w:sz w:val="21"/>
              </w:rPr>
              <w:t> 年 </w:t>
            </w:r>
            <w:r>
              <w:rPr>
                <w:sz w:val="21"/>
              </w:rPr>
              <w:t>7</w:t>
            </w:r>
            <w:r>
              <w:rPr>
                <w:spacing w:val="-38"/>
                <w:sz w:val="21"/>
              </w:rPr>
              <w:t> 月 </w:t>
            </w:r>
            <w:r>
              <w:rPr>
                <w:sz w:val="21"/>
              </w:rPr>
              <w:t>30</w:t>
            </w:r>
            <w:r>
              <w:rPr>
                <w:spacing w:val="-28"/>
                <w:sz w:val="21"/>
              </w:rPr>
              <w:t> 日的 </w:t>
            </w:r>
            <w:r>
              <w:rPr>
                <w:sz w:val="21"/>
              </w:rPr>
              <w:t>2021</w:t>
            </w:r>
            <w:r>
              <w:rPr>
                <w:spacing w:val="-8"/>
                <w:sz w:val="21"/>
              </w:rPr>
              <w:t> 年度权益分派实施公</w:t>
            </w:r>
          </w:p>
          <w:p>
            <w:pPr>
              <w:pStyle w:val="TableParagraph"/>
              <w:spacing w:before="2"/>
              <w:ind w:left="154"/>
              <w:rPr>
                <w:sz w:val="21"/>
              </w:rPr>
            </w:pPr>
            <w:r>
              <w:rPr>
                <w:spacing w:val="3"/>
                <w:sz w:val="21"/>
              </w:rPr>
              <w:t>告，本公司向全体股东每 </w:t>
            </w:r>
            <w:r>
              <w:rPr>
                <w:sz w:val="21"/>
              </w:rPr>
              <w:t>10</w:t>
            </w:r>
            <w:r>
              <w:rPr>
                <w:spacing w:val="6"/>
                <w:sz w:val="21"/>
              </w:rPr>
              <w:t> 股派发现金红利 </w:t>
            </w:r>
            <w:r>
              <w:rPr>
                <w:sz w:val="21"/>
              </w:rPr>
              <w:t>5 元(含税)，按照股权登记日的总股本</w:t>
            </w:r>
          </w:p>
          <w:p>
            <w:pPr>
              <w:pStyle w:val="TableParagraph"/>
              <w:spacing w:line="220" w:lineRule="exact" w:before="2"/>
              <w:ind w:left="154"/>
              <w:rPr>
                <w:sz w:val="21"/>
              </w:rPr>
            </w:pPr>
            <w:r>
              <w:rPr>
                <w:spacing w:val="-1"/>
                <w:sz w:val="21"/>
              </w:rPr>
              <w:t>19,865,104,011</w:t>
            </w:r>
            <w:r>
              <w:rPr>
                <w:spacing w:val="-4"/>
                <w:sz w:val="21"/>
              </w:rPr>
              <w:t> 股，扣除公司回购专用证券账户持有的 </w:t>
            </w:r>
            <w:r>
              <w:rPr>
                <w:sz w:val="21"/>
              </w:rPr>
              <w:t>79,145,079</w:t>
            </w:r>
            <w:r>
              <w:rPr>
                <w:spacing w:val="-7"/>
                <w:sz w:val="21"/>
              </w:rPr>
              <w:t> 股和拟回购注销的</w:t>
            </w:r>
          </w:p>
        </w:tc>
      </w:tr>
    </w:tbl>
    <w:p>
      <w:pPr>
        <w:spacing w:after="0" w:line="220" w:lineRule="exact"/>
        <w:rPr>
          <w:sz w:val="21"/>
        </w:rPr>
        <w:sectPr>
          <w:pgSz w:w="11910" w:h="16840"/>
          <w:pgMar w:header="882" w:footer="1184" w:top="1120" w:bottom="1380" w:left="1480" w:right="0"/>
        </w:sectPr>
      </w:pPr>
    </w:p>
    <w:p>
      <w:pPr>
        <w:pStyle w:val="BodyText"/>
        <w:ind w:left="0"/>
        <w:rPr>
          <w:sz w:val="20"/>
        </w:rPr>
      </w:pPr>
    </w:p>
    <w:p>
      <w:pPr>
        <w:pStyle w:val="BodyText"/>
        <w:spacing w:before="5"/>
        <w:ind w:left="0"/>
        <w:rPr>
          <w:sz w:val="13"/>
        </w:rPr>
      </w:pPr>
    </w:p>
    <w:tbl>
      <w:tblPr>
        <w:tblW w:w="0" w:type="auto"/>
        <w:jc w:val="left"/>
        <w:tblInd w:w="2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8"/>
        <w:gridCol w:w="8566"/>
      </w:tblGrid>
      <w:tr>
        <w:trPr>
          <w:trHeight w:val="513" w:hRule="atLeast"/>
        </w:trPr>
        <w:tc>
          <w:tcPr>
            <w:tcW w:w="618" w:type="dxa"/>
          </w:tcPr>
          <w:p>
            <w:pPr>
              <w:pStyle w:val="TableParagraph"/>
              <w:rPr>
                <w:rFonts w:ascii="Times New Roman"/>
                <w:sz w:val="20"/>
              </w:rPr>
            </w:pPr>
          </w:p>
        </w:tc>
        <w:tc>
          <w:tcPr>
            <w:tcW w:w="8566" w:type="dxa"/>
          </w:tcPr>
          <w:p>
            <w:pPr>
              <w:pStyle w:val="TableParagraph"/>
              <w:spacing w:line="241" w:lineRule="exact"/>
              <w:ind w:left="311"/>
              <w:rPr>
                <w:sz w:val="21"/>
              </w:rPr>
            </w:pPr>
            <w:r>
              <w:rPr>
                <w:spacing w:val="-6"/>
                <w:sz w:val="21"/>
              </w:rPr>
              <w:t>限制性股票 </w:t>
            </w:r>
            <w:r>
              <w:rPr>
                <w:sz w:val="21"/>
              </w:rPr>
              <w:t>4,068,559</w:t>
            </w:r>
            <w:r>
              <w:rPr>
                <w:spacing w:val="-1"/>
                <w:sz w:val="21"/>
              </w:rPr>
              <w:t> 股后的股数，即以 </w:t>
            </w:r>
            <w:r>
              <w:rPr>
                <w:sz w:val="21"/>
              </w:rPr>
              <w:t>19,781,890,373</w:t>
            </w:r>
            <w:r>
              <w:rPr>
                <w:spacing w:val="-6"/>
                <w:sz w:val="21"/>
              </w:rPr>
              <w:t> 股为基数计算，共计人民币</w:t>
            </w:r>
          </w:p>
          <w:p>
            <w:pPr>
              <w:pStyle w:val="TableParagraph"/>
              <w:spacing w:line="249" w:lineRule="exact" w:before="5"/>
              <w:ind w:left="311"/>
              <w:rPr>
                <w:sz w:val="21"/>
              </w:rPr>
            </w:pPr>
            <w:r>
              <w:rPr>
                <w:sz w:val="21"/>
              </w:rPr>
              <w:t>9,890,945</w:t>
            </w:r>
            <w:r>
              <w:rPr>
                <w:spacing w:val="-8"/>
                <w:sz w:val="21"/>
              </w:rPr>
              <w:t> 千元(含税)。</w:t>
            </w:r>
            <w:r>
              <w:rPr>
                <w:sz w:val="21"/>
              </w:rPr>
              <w:t> </w:t>
            </w:r>
          </w:p>
        </w:tc>
      </w:tr>
      <w:tr>
        <w:trPr>
          <w:trHeight w:val="265" w:hRule="atLeast"/>
        </w:trPr>
        <w:tc>
          <w:tcPr>
            <w:tcW w:w="618" w:type="dxa"/>
          </w:tcPr>
          <w:p>
            <w:pPr>
              <w:pStyle w:val="TableParagraph"/>
              <w:spacing w:line="245" w:lineRule="exact"/>
              <w:ind w:left="200"/>
              <w:rPr>
                <w:sz w:val="21"/>
              </w:rPr>
            </w:pPr>
            <w:r>
              <w:rPr>
                <w:w w:val="100"/>
                <w:sz w:val="21"/>
              </w:rPr>
              <w:t> </w:t>
            </w:r>
          </w:p>
        </w:tc>
        <w:tc>
          <w:tcPr>
            <w:tcW w:w="8566" w:type="dxa"/>
          </w:tcPr>
          <w:p>
            <w:pPr>
              <w:pStyle w:val="TableParagraph"/>
              <w:spacing w:line="245" w:lineRule="exact"/>
              <w:ind w:left="311"/>
              <w:rPr>
                <w:sz w:val="21"/>
              </w:rPr>
            </w:pPr>
            <w:r>
              <w:rPr>
                <w:w w:val="100"/>
                <w:sz w:val="21"/>
              </w:rPr>
              <w:t> </w:t>
            </w:r>
          </w:p>
        </w:tc>
      </w:tr>
      <w:tr>
        <w:trPr>
          <w:trHeight w:val="783" w:hRule="atLeast"/>
        </w:trPr>
        <w:tc>
          <w:tcPr>
            <w:tcW w:w="618" w:type="dxa"/>
          </w:tcPr>
          <w:p>
            <w:pPr>
              <w:pStyle w:val="TableParagraph"/>
              <w:spacing w:line="266" w:lineRule="exact"/>
              <w:ind w:left="200"/>
              <w:rPr>
                <w:sz w:val="21"/>
              </w:rPr>
            </w:pPr>
            <w:r>
              <w:rPr>
                <w:w w:val="100"/>
                <w:sz w:val="21"/>
              </w:rPr>
              <w:t> </w:t>
            </w:r>
          </w:p>
        </w:tc>
        <w:tc>
          <w:tcPr>
            <w:tcW w:w="8566" w:type="dxa"/>
          </w:tcPr>
          <w:p>
            <w:pPr>
              <w:pStyle w:val="TableParagraph"/>
              <w:spacing w:line="268" w:lineRule="exact"/>
              <w:ind w:left="311"/>
              <w:rPr>
                <w:sz w:val="21"/>
              </w:rPr>
            </w:pPr>
            <w:r>
              <w:rPr>
                <w:spacing w:val="-16"/>
                <w:sz w:val="21"/>
              </w:rPr>
              <w:t>根据 </w:t>
            </w:r>
            <w:r>
              <w:rPr>
                <w:sz w:val="21"/>
              </w:rPr>
              <w:t>2021</w:t>
            </w:r>
            <w:r>
              <w:rPr>
                <w:spacing w:val="-32"/>
                <w:sz w:val="21"/>
              </w:rPr>
              <w:t> 年 </w:t>
            </w:r>
            <w:r>
              <w:rPr>
                <w:sz w:val="21"/>
              </w:rPr>
              <w:t>6</w:t>
            </w:r>
            <w:r>
              <w:rPr>
                <w:spacing w:val="-33"/>
                <w:sz w:val="21"/>
              </w:rPr>
              <w:t> 月 </w:t>
            </w:r>
            <w:r>
              <w:rPr>
                <w:sz w:val="21"/>
              </w:rPr>
              <w:t>8</w:t>
            </w:r>
            <w:r>
              <w:rPr>
                <w:spacing w:val="-12"/>
                <w:sz w:val="21"/>
              </w:rPr>
              <w:t> 日的股东大会决议和 </w:t>
            </w:r>
            <w:r>
              <w:rPr>
                <w:sz w:val="21"/>
              </w:rPr>
              <w:t>2021</w:t>
            </w:r>
            <w:r>
              <w:rPr>
                <w:spacing w:val="-33"/>
                <w:sz w:val="21"/>
              </w:rPr>
              <w:t> 年 </w:t>
            </w:r>
            <w:r>
              <w:rPr>
                <w:sz w:val="21"/>
              </w:rPr>
              <w:t>7</w:t>
            </w:r>
            <w:r>
              <w:rPr>
                <w:spacing w:val="-33"/>
                <w:sz w:val="21"/>
              </w:rPr>
              <w:t> 月 </w:t>
            </w:r>
            <w:r>
              <w:rPr>
                <w:sz w:val="21"/>
              </w:rPr>
              <w:t>20</w:t>
            </w:r>
            <w:r>
              <w:rPr>
                <w:spacing w:val="-25"/>
                <w:sz w:val="21"/>
              </w:rPr>
              <w:t> 日的 </w:t>
            </w:r>
            <w:r>
              <w:rPr>
                <w:sz w:val="21"/>
              </w:rPr>
              <w:t>2020</w:t>
            </w:r>
            <w:r>
              <w:rPr>
                <w:spacing w:val="-8"/>
                <w:sz w:val="21"/>
              </w:rPr>
              <w:t> 年度权益分派实施公</w:t>
            </w:r>
          </w:p>
          <w:p>
            <w:pPr>
              <w:pStyle w:val="TableParagraph"/>
              <w:spacing w:before="2"/>
              <w:ind w:left="311"/>
              <w:rPr>
                <w:sz w:val="21"/>
              </w:rPr>
            </w:pPr>
            <w:r>
              <w:rPr>
                <w:spacing w:val="-7"/>
                <w:sz w:val="21"/>
              </w:rPr>
              <w:t>告，本公司向全体股东每 </w:t>
            </w:r>
            <w:r>
              <w:rPr>
                <w:sz w:val="21"/>
              </w:rPr>
              <w:t>10</w:t>
            </w:r>
            <w:r>
              <w:rPr>
                <w:spacing w:val="-15"/>
                <w:sz w:val="21"/>
              </w:rPr>
              <w:t> 股派发现金红利 </w:t>
            </w:r>
            <w:r>
              <w:rPr>
                <w:sz w:val="21"/>
              </w:rPr>
              <w:t>2.5</w:t>
            </w:r>
            <w:r>
              <w:rPr>
                <w:spacing w:val="-8"/>
                <w:sz w:val="21"/>
              </w:rPr>
              <w:t> 元(含税)，按照股权登记日当日已发行</w:t>
            </w:r>
          </w:p>
          <w:p>
            <w:pPr>
              <w:pStyle w:val="TableParagraph"/>
              <w:spacing w:line="220" w:lineRule="exact" w:before="4"/>
              <w:ind w:left="311"/>
              <w:rPr>
                <w:sz w:val="21"/>
              </w:rPr>
            </w:pPr>
            <w:r>
              <w:rPr>
                <w:spacing w:val="-19"/>
                <w:sz w:val="21"/>
              </w:rPr>
              <w:t>股份 </w:t>
            </w:r>
            <w:r>
              <w:rPr>
                <w:spacing w:val="-1"/>
                <w:sz w:val="21"/>
              </w:rPr>
              <w:t>19,867,159,541</w:t>
            </w:r>
            <w:r>
              <w:rPr>
                <w:spacing w:val="-13"/>
                <w:sz w:val="21"/>
              </w:rPr>
              <w:t> 股计算，共计人民币 </w:t>
            </w:r>
            <w:r>
              <w:rPr>
                <w:sz w:val="21"/>
              </w:rPr>
              <w:t>4,966,790</w:t>
            </w:r>
            <w:r>
              <w:rPr>
                <w:spacing w:val="-9"/>
                <w:sz w:val="21"/>
              </w:rPr>
              <w:t> 千元(含税)</w:t>
            </w:r>
            <w:r>
              <w:rPr>
                <w:sz w:val="21"/>
              </w:rPr>
              <w:t> </w:t>
            </w:r>
          </w:p>
        </w:tc>
      </w:tr>
    </w:tbl>
    <w:p>
      <w:pPr>
        <w:pStyle w:val="BodyText"/>
        <w:spacing w:before="31"/>
      </w:pPr>
      <w:r>
        <w:rPr>
          <w:w w:val="100"/>
        </w:rPr>
        <w:t> </w:t>
      </w:r>
    </w:p>
    <w:p>
      <w:pPr>
        <w:pStyle w:val="BodyText"/>
        <w:spacing w:before="5"/>
      </w:pPr>
      <w:r>
        <w:rPr>
          <w:w w:val="100"/>
        </w:rPr>
        <w:t> </w:t>
      </w:r>
    </w:p>
    <w:p>
      <w:pPr>
        <w:pStyle w:val="BodyText"/>
        <w:spacing w:line="297" w:lineRule="auto" w:before="62"/>
        <w:ind w:right="7254"/>
      </w:pPr>
      <w:r>
        <w:rPr/>
        <w:t>61、 营业收入和营业成本(1).营业收入和营业成本情况 </w:t>
      </w:r>
    </w:p>
    <w:p>
      <w:pPr>
        <w:pStyle w:val="BodyText"/>
        <w:spacing w:line="267" w:lineRule="exact"/>
      </w:pPr>
      <w:r>
        <w:rPr>
          <w:spacing w:val="-1"/>
        </w:rPr>
        <w:t>√适用 □不适用</w:t>
      </w:r>
      <w:r>
        <w:rPr>
          <w:spacing w:val="-3"/>
        </w:rPr>
        <w:t> </w:t>
      </w:r>
      <w:r>
        <w:rPr/>
        <w:t> </w:t>
      </w:r>
    </w:p>
    <w:p>
      <w:pPr>
        <w:pStyle w:val="BodyText"/>
        <w:spacing w:before="4"/>
        <w:ind w:left="6628"/>
      </w:pPr>
      <w:r>
        <w:rPr>
          <w:spacing w:val="7"/>
        </w:rPr>
        <w:t>单位：千元 币种：人民币</w:t>
      </w:r>
      <w:r>
        <w:rPr/>
        <w:t> </w:t>
      </w:r>
    </w:p>
    <w:tbl>
      <w:tblPr>
        <w:tblW w:w="0" w:type="auto"/>
        <w:jc w:val="left"/>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2"/>
        <w:gridCol w:w="1818"/>
        <w:gridCol w:w="1832"/>
        <w:gridCol w:w="1827"/>
        <w:gridCol w:w="1830"/>
      </w:tblGrid>
      <w:tr>
        <w:trPr>
          <w:trHeight w:val="273" w:hRule="atLeast"/>
        </w:trPr>
        <w:tc>
          <w:tcPr>
            <w:tcW w:w="1402" w:type="dxa"/>
            <w:vMerge w:val="restart"/>
          </w:tcPr>
          <w:p>
            <w:pPr>
              <w:pStyle w:val="TableParagraph"/>
              <w:spacing w:before="142"/>
              <w:ind w:left="489"/>
              <w:rPr>
                <w:sz w:val="21"/>
              </w:rPr>
            </w:pPr>
            <w:r>
              <w:rPr>
                <w:sz w:val="21"/>
              </w:rPr>
              <w:t>项目 </w:t>
            </w:r>
          </w:p>
        </w:tc>
        <w:tc>
          <w:tcPr>
            <w:tcW w:w="3650" w:type="dxa"/>
            <w:gridSpan w:val="2"/>
          </w:tcPr>
          <w:p>
            <w:pPr>
              <w:pStyle w:val="TableParagraph"/>
              <w:spacing w:line="252" w:lineRule="exact" w:before="1"/>
              <w:ind w:left="1295"/>
              <w:rPr>
                <w:sz w:val="21"/>
              </w:rPr>
            </w:pPr>
            <w:r>
              <w:rPr>
                <w:sz w:val="21"/>
              </w:rPr>
              <w:t>本期发生额 </w:t>
            </w:r>
          </w:p>
        </w:tc>
        <w:tc>
          <w:tcPr>
            <w:tcW w:w="3657" w:type="dxa"/>
            <w:gridSpan w:val="2"/>
          </w:tcPr>
          <w:p>
            <w:pPr>
              <w:pStyle w:val="TableParagraph"/>
              <w:spacing w:line="252" w:lineRule="exact" w:before="1"/>
              <w:ind w:left="1296"/>
              <w:rPr>
                <w:sz w:val="21"/>
              </w:rPr>
            </w:pPr>
            <w:r>
              <w:rPr>
                <w:sz w:val="21"/>
              </w:rPr>
              <w:t>上期发生额 </w:t>
            </w:r>
          </w:p>
        </w:tc>
      </w:tr>
      <w:tr>
        <w:trPr>
          <w:trHeight w:val="271" w:hRule="atLeast"/>
        </w:trPr>
        <w:tc>
          <w:tcPr>
            <w:tcW w:w="1402" w:type="dxa"/>
            <w:vMerge/>
            <w:tcBorders>
              <w:top w:val="nil"/>
            </w:tcBorders>
          </w:tcPr>
          <w:p>
            <w:pPr>
              <w:rPr>
                <w:sz w:val="2"/>
                <w:szCs w:val="2"/>
              </w:rPr>
            </w:pPr>
          </w:p>
        </w:tc>
        <w:tc>
          <w:tcPr>
            <w:tcW w:w="1818" w:type="dxa"/>
          </w:tcPr>
          <w:p>
            <w:pPr>
              <w:pStyle w:val="TableParagraph"/>
              <w:spacing w:line="250" w:lineRule="exact" w:before="1"/>
              <w:ind w:left="695"/>
              <w:rPr>
                <w:sz w:val="21"/>
              </w:rPr>
            </w:pPr>
            <w:r>
              <w:rPr>
                <w:sz w:val="21"/>
              </w:rPr>
              <w:t>收入 </w:t>
            </w:r>
          </w:p>
        </w:tc>
        <w:tc>
          <w:tcPr>
            <w:tcW w:w="1832" w:type="dxa"/>
          </w:tcPr>
          <w:p>
            <w:pPr>
              <w:pStyle w:val="TableParagraph"/>
              <w:spacing w:line="250" w:lineRule="exact" w:before="1"/>
              <w:ind w:left="701"/>
              <w:rPr>
                <w:sz w:val="21"/>
              </w:rPr>
            </w:pPr>
            <w:r>
              <w:rPr>
                <w:sz w:val="21"/>
              </w:rPr>
              <w:t>成本 </w:t>
            </w:r>
          </w:p>
        </w:tc>
        <w:tc>
          <w:tcPr>
            <w:tcW w:w="1827" w:type="dxa"/>
          </w:tcPr>
          <w:p>
            <w:pPr>
              <w:pStyle w:val="TableParagraph"/>
              <w:spacing w:line="250" w:lineRule="exact" w:before="1"/>
              <w:ind w:left="699"/>
              <w:rPr>
                <w:sz w:val="21"/>
              </w:rPr>
            </w:pPr>
            <w:r>
              <w:rPr>
                <w:sz w:val="21"/>
              </w:rPr>
              <w:t>收入 </w:t>
            </w:r>
          </w:p>
        </w:tc>
        <w:tc>
          <w:tcPr>
            <w:tcW w:w="1830" w:type="dxa"/>
          </w:tcPr>
          <w:p>
            <w:pPr>
              <w:pStyle w:val="TableParagraph"/>
              <w:spacing w:line="250" w:lineRule="exact" w:before="1"/>
              <w:ind w:left="701"/>
              <w:rPr>
                <w:sz w:val="21"/>
              </w:rPr>
            </w:pPr>
            <w:r>
              <w:rPr>
                <w:sz w:val="21"/>
              </w:rPr>
              <w:t>成本 </w:t>
            </w:r>
          </w:p>
        </w:tc>
      </w:tr>
      <w:tr>
        <w:trPr>
          <w:trHeight w:val="273" w:hRule="atLeast"/>
        </w:trPr>
        <w:tc>
          <w:tcPr>
            <w:tcW w:w="1402" w:type="dxa"/>
          </w:tcPr>
          <w:p>
            <w:pPr>
              <w:pStyle w:val="TableParagraph"/>
              <w:spacing w:line="252" w:lineRule="exact" w:before="1"/>
              <w:ind w:right="336"/>
              <w:jc w:val="right"/>
              <w:rPr>
                <w:sz w:val="21"/>
              </w:rPr>
            </w:pPr>
            <w:r>
              <w:rPr>
                <w:spacing w:val="-1"/>
                <w:sz w:val="21"/>
              </w:rPr>
              <w:t>主营业务</w:t>
            </w:r>
            <w:r>
              <w:rPr>
                <w:sz w:val="21"/>
              </w:rPr>
              <w:t> </w:t>
            </w:r>
          </w:p>
        </w:tc>
        <w:tc>
          <w:tcPr>
            <w:tcW w:w="1818" w:type="dxa"/>
          </w:tcPr>
          <w:p>
            <w:pPr>
              <w:pStyle w:val="TableParagraph"/>
              <w:spacing w:before="10"/>
              <w:ind w:right="94"/>
              <w:jc w:val="right"/>
              <w:rPr>
                <w:rFonts w:ascii="Times New Roman"/>
                <w:sz w:val="21"/>
              </w:rPr>
            </w:pPr>
            <w:r>
              <w:rPr>
                <w:rFonts w:ascii="Times New Roman"/>
                <w:sz w:val="21"/>
              </w:rPr>
              <w:t>510,534,025</w:t>
            </w:r>
          </w:p>
        </w:tc>
        <w:tc>
          <w:tcPr>
            <w:tcW w:w="1832" w:type="dxa"/>
          </w:tcPr>
          <w:p>
            <w:pPr>
              <w:pStyle w:val="TableParagraph"/>
              <w:spacing w:before="10"/>
              <w:ind w:right="98"/>
              <w:jc w:val="right"/>
              <w:rPr>
                <w:rFonts w:ascii="Times New Roman"/>
                <w:sz w:val="21"/>
              </w:rPr>
            </w:pPr>
            <w:r>
              <w:rPr>
                <w:rFonts w:ascii="Times New Roman"/>
                <w:sz w:val="21"/>
              </w:rPr>
              <w:t>473,792,071</w:t>
            </w:r>
          </w:p>
        </w:tc>
        <w:tc>
          <w:tcPr>
            <w:tcW w:w="1827" w:type="dxa"/>
          </w:tcPr>
          <w:p>
            <w:pPr>
              <w:pStyle w:val="TableParagraph"/>
              <w:spacing w:before="10"/>
              <w:ind w:right="95"/>
              <w:jc w:val="right"/>
              <w:rPr>
                <w:rFonts w:ascii="Times New Roman"/>
                <w:sz w:val="21"/>
              </w:rPr>
            </w:pPr>
            <w:r>
              <w:rPr>
                <w:rFonts w:ascii="Times New Roman"/>
                <w:sz w:val="21"/>
              </w:rPr>
              <w:t>438,344,873</w:t>
            </w:r>
          </w:p>
        </w:tc>
        <w:tc>
          <w:tcPr>
            <w:tcW w:w="1830" w:type="dxa"/>
          </w:tcPr>
          <w:p>
            <w:pPr>
              <w:pStyle w:val="TableParagraph"/>
              <w:spacing w:before="10"/>
              <w:ind w:right="96"/>
              <w:jc w:val="right"/>
              <w:rPr>
                <w:rFonts w:ascii="Times New Roman"/>
                <w:sz w:val="21"/>
              </w:rPr>
            </w:pPr>
            <w:r>
              <w:rPr>
                <w:rFonts w:ascii="Times New Roman"/>
                <w:sz w:val="21"/>
              </w:rPr>
              <w:t>402,204,695</w:t>
            </w:r>
          </w:p>
        </w:tc>
      </w:tr>
      <w:tr>
        <w:trPr>
          <w:trHeight w:val="273" w:hRule="atLeast"/>
        </w:trPr>
        <w:tc>
          <w:tcPr>
            <w:tcW w:w="1402" w:type="dxa"/>
          </w:tcPr>
          <w:p>
            <w:pPr>
              <w:pStyle w:val="TableParagraph"/>
              <w:spacing w:line="252" w:lineRule="exact" w:before="1"/>
              <w:ind w:right="336"/>
              <w:jc w:val="right"/>
              <w:rPr>
                <w:sz w:val="21"/>
              </w:rPr>
            </w:pPr>
            <w:r>
              <w:rPr>
                <w:spacing w:val="-1"/>
                <w:sz w:val="21"/>
              </w:rPr>
              <w:t>其他业务</w:t>
            </w:r>
            <w:r>
              <w:rPr>
                <w:sz w:val="21"/>
              </w:rPr>
              <w:t> </w:t>
            </w:r>
          </w:p>
        </w:tc>
        <w:tc>
          <w:tcPr>
            <w:tcW w:w="1818" w:type="dxa"/>
          </w:tcPr>
          <w:p>
            <w:pPr>
              <w:pStyle w:val="TableParagraph"/>
              <w:spacing w:before="10"/>
              <w:ind w:right="94"/>
              <w:jc w:val="right"/>
              <w:rPr>
                <w:rFonts w:ascii="Times New Roman"/>
                <w:sz w:val="21"/>
              </w:rPr>
            </w:pPr>
            <w:r>
              <w:rPr>
                <w:rFonts w:ascii="Times New Roman"/>
                <w:sz w:val="21"/>
              </w:rPr>
              <w:t>1,315,554</w:t>
            </w:r>
          </w:p>
        </w:tc>
        <w:tc>
          <w:tcPr>
            <w:tcW w:w="1832" w:type="dxa"/>
          </w:tcPr>
          <w:p>
            <w:pPr>
              <w:pStyle w:val="TableParagraph"/>
              <w:spacing w:before="10"/>
              <w:ind w:right="98"/>
              <w:jc w:val="right"/>
              <w:rPr>
                <w:rFonts w:ascii="Times New Roman"/>
                <w:sz w:val="21"/>
              </w:rPr>
            </w:pPr>
            <w:r>
              <w:rPr>
                <w:rFonts w:ascii="Times New Roman"/>
                <w:sz w:val="21"/>
              </w:rPr>
              <w:t>885,712</w:t>
            </w:r>
          </w:p>
        </w:tc>
        <w:tc>
          <w:tcPr>
            <w:tcW w:w="1827" w:type="dxa"/>
          </w:tcPr>
          <w:p>
            <w:pPr>
              <w:pStyle w:val="TableParagraph"/>
              <w:spacing w:before="10"/>
              <w:ind w:right="95"/>
              <w:jc w:val="right"/>
              <w:rPr>
                <w:rFonts w:ascii="Times New Roman"/>
                <w:sz w:val="21"/>
              </w:rPr>
            </w:pPr>
            <w:r>
              <w:rPr>
                <w:rFonts w:ascii="Times New Roman"/>
                <w:sz w:val="21"/>
              </w:rPr>
              <w:t>1,212,322</w:t>
            </w:r>
          </w:p>
        </w:tc>
        <w:tc>
          <w:tcPr>
            <w:tcW w:w="1830" w:type="dxa"/>
          </w:tcPr>
          <w:p>
            <w:pPr>
              <w:pStyle w:val="TableParagraph"/>
              <w:spacing w:before="10"/>
              <w:ind w:right="96"/>
              <w:jc w:val="right"/>
              <w:rPr>
                <w:rFonts w:ascii="Times New Roman"/>
                <w:sz w:val="21"/>
              </w:rPr>
            </w:pPr>
            <w:r>
              <w:rPr>
                <w:rFonts w:ascii="Times New Roman"/>
                <w:sz w:val="21"/>
              </w:rPr>
              <w:t>837,272</w:t>
            </w:r>
          </w:p>
        </w:tc>
      </w:tr>
      <w:tr>
        <w:trPr>
          <w:trHeight w:val="270" w:hRule="atLeast"/>
        </w:trPr>
        <w:tc>
          <w:tcPr>
            <w:tcW w:w="1402" w:type="dxa"/>
          </w:tcPr>
          <w:p>
            <w:pPr>
              <w:pStyle w:val="TableParagraph"/>
              <w:spacing w:line="250" w:lineRule="exact" w:before="1"/>
              <w:ind w:right="375"/>
              <w:jc w:val="right"/>
              <w:rPr>
                <w:sz w:val="21"/>
              </w:rPr>
            </w:pPr>
            <w:r>
              <w:rPr>
                <w:sz w:val="21"/>
              </w:rPr>
              <w:t>合计 </w:t>
            </w:r>
          </w:p>
        </w:tc>
        <w:tc>
          <w:tcPr>
            <w:tcW w:w="1818" w:type="dxa"/>
          </w:tcPr>
          <w:p>
            <w:pPr>
              <w:pStyle w:val="TableParagraph"/>
              <w:spacing w:before="7"/>
              <w:ind w:right="94"/>
              <w:jc w:val="right"/>
              <w:rPr>
                <w:rFonts w:ascii="Times New Roman"/>
                <w:sz w:val="21"/>
              </w:rPr>
            </w:pPr>
            <w:r>
              <w:rPr>
                <w:rFonts w:ascii="Times New Roman"/>
                <w:sz w:val="21"/>
              </w:rPr>
              <w:t>511,849,579</w:t>
            </w:r>
          </w:p>
        </w:tc>
        <w:tc>
          <w:tcPr>
            <w:tcW w:w="1832" w:type="dxa"/>
          </w:tcPr>
          <w:p>
            <w:pPr>
              <w:pStyle w:val="TableParagraph"/>
              <w:spacing w:before="7"/>
              <w:ind w:right="98"/>
              <w:jc w:val="right"/>
              <w:rPr>
                <w:rFonts w:ascii="Times New Roman"/>
                <w:sz w:val="21"/>
              </w:rPr>
            </w:pPr>
            <w:r>
              <w:rPr>
                <w:rFonts w:ascii="Times New Roman"/>
                <w:sz w:val="21"/>
              </w:rPr>
              <w:t>474,677,783</w:t>
            </w:r>
          </w:p>
        </w:tc>
        <w:tc>
          <w:tcPr>
            <w:tcW w:w="1827" w:type="dxa"/>
          </w:tcPr>
          <w:p>
            <w:pPr>
              <w:pStyle w:val="TableParagraph"/>
              <w:spacing w:before="7"/>
              <w:ind w:right="95"/>
              <w:jc w:val="right"/>
              <w:rPr>
                <w:rFonts w:ascii="Times New Roman"/>
                <w:sz w:val="21"/>
              </w:rPr>
            </w:pPr>
            <w:r>
              <w:rPr>
                <w:rFonts w:ascii="Times New Roman"/>
                <w:sz w:val="21"/>
              </w:rPr>
              <w:t>439,557,195</w:t>
            </w:r>
          </w:p>
        </w:tc>
        <w:tc>
          <w:tcPr>
            <w:tcW w:w="1830" w:type="dxa"/>
          </w:tcPr>
          <w:p>
            <w:pPr>
              <w:pStyle w:val="TableParagraph"/>
              <w:spacing w:before="7"/>
              <w:ind w:right="96"/>
              <w:jc w:val="right"/>
              <w:rPr>
                <w:rFonts w:ascii="Times New Roman"/>
                <w:sz w:val="21"/>
              </w:rPr>
            </w:pPr>
            <w:r>
              <w:rPr>
                <w:rFonts w:ascii="Times New Roman"/>
                <w:sz w:val="21"/>
              </w:rPr>
              <w:t>403,041,967</w:t>
            </w:r>
          </w:p>
        </w:tc>
      </w:tr>
    </w:tbl>
    <w:p>
      <w:pPr>
        <w:pStyle w:val="BodyText"/>
        <w:spacing w:before="1"/>
      </w:pPr>
      <w:r>
        <w:rPr>
          <w:w w:val="100"/>
        </w:rPr>
        <w:t> </w:t>
      </w:r>
    </w:p>
    <w:p>
      <w:pPr>
        <w:pStyle w:val="BodyText"/>
        <w:spacing w:before="4"/>
      </w:pPr>
      <w:r>
        <w:rPr>
          <w:w w:val="100"/>
        </w:rPr>
        <w:t> </w:t>
      </w:r>
    </w:p>
    <w:p>
      <w:pPr>
        <w:spacing w:after="0"/>
        <w:sectPr>
          <w:pgSz w:w="11910" w:h="16840"/>
          <w:pgMar w:header="882" w:footer="1184" w:top="1120" w:bottom="1380" w:left="1480" w:right="0"/>
        </w:sectPr>
      </w:pPr>
    </w:p>
    <w:p>
      <w:pPr>
        <w:pStyle w:val="BodyText"/>
        <w:spacing w:before="7"/>
        <w:ind w:left="0"/>
        <w:rPr>
          <w:sz w:val="25"/>
        </w:rPr>
      </w:pPr>
    </w:p>
    <w:p>
      <w:pPr>
        <w:pStyle w:val="BodyText"/>
        <w:spacing w:before="72"/>
      </w:pPr>
      <w:r>
        <w:rPr>
          <w:w w:val="100"/>
        </w:rPr>
        <w:t> </w:t>
      </w:r>
    </w:p>
    <w:p>
      <w:pPr>
        <w:pStyle w:val="ListParagraph"/>
        <w:numPr>
          <w:ilvl w:val="0"/>
          <w:numId w:val="78"/>
        </w:numPr>
        <w:tabs>
          <w:tab w:pos="746" w:val="left" w:leader="none"/>
        </w:tabs>
        <w:spacing w:line="240" w:lineRule="auto" w:before="65" w:after="0"/>
        <w:ind w:left="745" w:right="0" w:hanging="428"/>
        <w:jc w:val="left"/>
        <w:rPr>
          <w:sz w:val="21"/>
        </w:rPr>
      </w:pPr>
      <w:r>
        <w:rPr>
          <w:sz w:val="21"/>
        </w:rPr>
        <w:t>合同产生的收入的情况 </w:t>
      </w:r>
    </w:p>
    <w:p>
      <w:pPr>
        <w:pStyle w:val="BodyText"/>
        <w:spacing w:before="62"/>
      </w:pPr>
      <w:r>
        <w:rPr>
          <w:spacing w:val="-1"/>
        </w:rPr>
        <w:t>□适用 √不适用</w:t>
      </w:r>
      <w:r>
        <w:rPr/>
        <w:t> </w:t>
      </w:r>
    </w:p>
    <w:p>
      <w:pPr>
        <w:pStyle w:val="BodyText"/>
        <w:spacing w:before="5"/>
      </w:pPr>
      <w:r>
        <w:rPr>
          <w:spacing w:val="-1"/>
        </w:rPr>
        <w:t>合同产生的收入说明：</w:t>
      </w:r>
      <w:r>
        <w:rPr/>
        <w:t> </w:t>
      </w:r>
    </w:p>
    <w:p>
      <w:pPr>
        <w:pStyle w:val="BodyText"/>
        <w:spacing w:before="2"/>
      </w:pPr>
      <w:r>
        <w:rPr>
          <w:spacing w:val="-1"/>
        </w:rPr>
        <w:t>□适用 √不适用</w:t>
      </w:r>
      <w:r>
        <w:rPr>
          <w:spacing w:val="-3"/>
        </w:rPr>
        <w:t> </w:t>
      </w:r>
      <w:r>
        <w:rPr/>
        <w:t> </w:t>
      </w:r>
    </w:p>
    <w:p>
      <w:pPr>
        <w:pStyle w:val="BodyText"/>
        <w:spacing w:before="4"/>
      </w:pPr>
      <w:r>
        <w:rPr>
          <w:w w:val="100"/>
        </w:rPr>
        <w:t> </w:t>
      </w:r>
    </w:p>
    <w:p>
      <w:pPr>
        <w:pStyle w:val="ListParagraph"/>
        <w:numPr>
          <w:ilvl w:val="0"/>
          <w:numId w:val="78"/>
        </w:numPr>
        <w:tabs>
          <w:tab w:pos="746" w:val="left" w:leader="none"/>
        </w:tabs>
        <w:spacing w:line="240" w:lineRule="auto" w:before="62" w:after="0"/>
        <w:ind w:left="745" w:right="0" w:hanging="428"/>
        <w:jc w:val="left"/>
        <w:rPr>
          <w:sz w:val="21"/>
        </w:rPr>
      </w:pPr>
      <w:r>
        <w:rPr>
          <w:sz w:val="21"/>
        </w:rPr>
        <w:t>履约义务的说明 </w:t>
      </w:r>
    </w:p>
    <w:p>
      <w:pPr>
        <w:pStyle w:val="BodyText"/>
        <w:spacing w:before="65"/>
      </w:pPr>
      <w:r>
        <w:rPr>
          <w:spacing w:val="-1"/>
        </w:rPr>
        <w:t>□适用 √不适用</w:t>
      </w:r>
      <w:r>
        <w:rPr>
          <w:spacing w:val="-3"/>
        </w:rPr>
        <w:t> </w:t>
      </w:r>
      <w:r>
        <w:rPr/>
        <w:t> </w:t>
      </w:r>
    </w:p>
    <w:p>
      <w:pPr>
        <w:pStyle w:val="BodyText"/>
        <w:spacing w:before="2"/>
      </w:pPr>
      <w:r>
        <w:rPr>
          <w:w w:val="100"/>
        </w:rPr>
        <w:t> </w:t>
      </w:r>
    </w:p>
    <w:p>
      <w:pPr>
        <w:pStyle w:val="ListParagraph"/>
        <w:numPr>
          <w:ilvl w:val="0"/>
          <w:numId w:val="78"/>
        </w:numPr>
        <w:tabs>
          <w:tab w:pos="746" w:val="left" w:leader="none"/>
        </w:tabs>
        <w:spacing w:line="240" w:lineRule="auto" w:before="65" w:after="0"/>
        <w:ind w:left="745" w:right="0" w:hanging="428"/>
        <w:jc w:val="left"/>
        <w:rPr>
          <w:sz w:val="21"/>
        </w:rPr>
      </w:pPr>
      <w:r>
        <w:rPr>
          <w:sz w:val="21"/>
        </w:rPr>
        <w:t>分摊至剩余履约义务的说明 </w:t>
      </w:r>
    </w:p>
    <w:p>
      <w:pPr>
        <w:pStyle w:val="BodyText"/>
        <w:spacing w:before="62"/>
      </w:pPr>
      <w:r>
        <w:rPr>
          <w:spacing w:val="-1"/>
        </w:rPr>
        <w:t>□适用 √不适用</w:t>
      </w:r>
      <w:r>
        <w:rPr>
          <w:spacing w:val="-3"/>
        </w:rPr>
        <w:t> </w:t>
      </w:r>
      <w:r>
        <w:rPr/>
        <w:t> </w:t>
      </w:r>
    </w:p>
    <w:p>
      <w:pPr>
        <w:pStyle w:val="BodyText"/>
        <w:spacing w:before="4"/>
      </w:pPr>
      <w:r>
        <w:rPr>
          <w:w w:val="100"/>
        </w:rPr>
        <w:t> </w:t>
      </w:r>
    </w:p>
    <w:p>
      <w:pPr>
        <w:pStyle w:val="BodyText"/>
        <w:spacing w:before="3"/>
        <w:ind w:left="0"/>
        <w:rPr>
          <w:sz w:val="18"/>
        </w:rPr>
      </w:pPr>
    </w:p>
    <w:p>
      <w:pPr>
        <w:spacing w:after="0"/>
        <w:rPr>
          <w:sz w:val="18"/>
        </w:rPr>
        <w:sectPr>
          <w:pgSz w:w="11910" w:h="16840"/>
          <w:pgMar w:header="882" w:footer="1184" w:top="1120" w:bottom="1380" w:left="1480" w:right="0"/>
        </w:sectPr>
      </w:pPr>
    </w:p>
    <w:p>
      <w:pPr>
        <w:pStyle w:val="BodyText"/>
        <w:spacing w:line="295" w:lineRule="auto" w:before="72"/>
        <w:ind w:right="666"/>
      </w:pPr>
      <w:r>
        <w:rPr/>
        <w:t>其他说明：</w:t>
      </w:r>
      <w:r>
        <w:rPr>
          <w:spacing w:val="1"/>
        </w:rPr>
        <w:t> </w:t>
      </w:r>
      <w:r>
        <w:rPr/>
        <w:t>无 </w:t>
      </w:r>
    </w:p>
    <w:p>
      <w:pPr>
        <w:pStyle w:val="BodyText"/>
        <w:spacing w:line="212" w:lineRule="exact"/>
      </w:pPr>
      <w:r>
        <w:rPr>
          <w:w w:val="100"/>
        </w:rPr>
        <w:t> </w:t>
      </w:r>
    </w:p>
    <w:p>
      <w:pPr>
        <w:pStyle w:val="BodyText"/>
        <w:spacing w:before="62"/>
      </w:pPr>
      <w:r>
        <w:rPr/>
        <w:t>62</w:t>
      </w:r>
      <w:r>
        <w:rPr>
          <w:spacing w:val="-5"/>
        </w:rPr>
        <w:t>、 税金及附加</w:t>
      </w:r>
      <w:r>
        <w:rPr/>
        <w:t> </w:t>
      </w:r>
    </w:p>
    <w:p>
      <w:pPr>
        <w:pStyle w:val="BodyText"/>
        <w:spacing w:before="64"/>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1"/>
        <w:ind w:left="0"/>
        <w:rPr>
          <w:sz w:val="25"/>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2144" w:space="4166"/>
            <w:col w:w="4120"/>
          </w:cols>
        </w:sectPr>
      </w:pPr>
    </w:p>
    <w:tbl>
      <w:tblPr>
        <w:tblW w:w="0" w:type="auto"/>
        <w:jc w:val="left"/>
        <w:tblInd w:w="3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33"/>
        <w:gridCol w:w="2994"/>
        <w:gridCol w:w="2994"/>
      </w:tblGrid>
      <w:tr>
        <w:trPr>
          <w:trHeight w:val="270" w:hRule="atLeast"/>
        </w:trPr>
        <w:tc>
          <w:tcPr>
            <w:tcW w:w="2833" w:type="dxa"/>
          </w:tcPr>
          <w:p>
            <w:pPr>
              <w:pStyle w:val="TableParagraph"/>
              <w:spacing w:line="250" w:lineRule="exact" w:before="1"/>
              <w:ind w:right="1085"/>
              <w:jc w:val="right"/>
              <w:rPr>
                <w:sz w:val="21"/>
              </w:rPr>
            </w:pPr>
            <w:r>
              <w:rPr>
                <w:sz w:val="21"/>
              </w:rPr>
              <w:t>项目 </w:t>
            </w:r>
          </w:p>
        </w:tc>
        <w:tc>
          <w:tcPr>
            <w:tcW w:w="2994" w:type="dxa"/>
          </w:tcPr>
          <w:p>
            <w:pPr>
              <w:pStyle w:val="TableParagraph"/>
              <w:spacing w:line="250" w:lineRule="exact" w:before="1"/>
              <w:ind w:left="968"/>
              <w:rPr>
                <w:sz w:val="21"/>
              </w:rPr>
            </w:pPr>
            <w:r>
              <w:rPr>
                <w:sz w:val="21"/>
              </w:rPr>
              <w:t>本期发生额 </w:t>
            </w:r>
          </w:p>
        </w:tc>
        <w:tc>
          <w:tcPr>
            <w:tcW w:w="2994" w:type="dxa"/>
          </w:tcPr>
          <w:p>
            <w:pPr>
              <w:pStyle w:val="TableParagraph"/>
              <w:spacing w:line="250" w:lineRule="exact" w:before="1"/>
              <w:ind w:left="968"/>
              <w:rPr>
                <w:sz w:val="21"/>
              </w:rPr>
            </w:pPr>
            <w:r>
              <w:rPr>
                <w:sz w:val="21"/>
              </w:rPr>
              <w:t>上期发生额 </w:t>
            </w:r>
          </w:p>
        </w:tc>
      </w:tr>
      <w:tr>
        <w:trPr>
          <w:trHeight w:val="272" w:hRule="atLeast"/>
        </w:trPr>
        <w:tc>
          <w:tcPr>
            <w:tcW w:w="2833" w:type="dxa"/>
          </w:tcPr>
          <w:p>
            <w:pPr>
              <w:pStyle w:val="TableParagraph"/>
              <w:spacing w:line="250" w:lineRule="exact" w:before="3"/>
              <w:ind w:left="112"/>
              <w:rPr>
                <w:sz w:val="21"/>
              </w:rPr>
            </w:pPr>
            <w:r>
              <w:rPr>
                <w:sz w:val="21"/>
              </w:rPr>
              <w:t>消费税 </w:t>
            </w:r>
          </w:p>
        </w:tc>
        <w:tc>
          <w:tcPr>
            <w:tcW w:w="2994" w:type="dxa"/>
          </w:tcPr>
          <w:p>
            <w:pPr>
              <w:pStyle w:val="TableParagraph"/>
              <w:spacing w:line="250" w:lineRule="exact" w:before="3"/>
              <w:ind w:right="-15"/>
              <w:jc w:val="right"/>
              <w:rPr>
                <w:sz w:val="21"/>
              </w:rPr>
            </w:pPr>
            <w:r>
              <w:rPr>
                <w:w w:val="100"/>
                <w:sz w:val="21"/>
              </w:rPr>
              <w:t> </w:t>
            </w:r>
          </w:p>
        </w:tc>
        <w:tc>
          <w:tcPr>
            <w:tcW w:w="2994" w:type="dxa"/>
          </w:tcPr>
          <w:p>
            <w:pPr>
              <w:pStyle w:val="TableParagraph"/>
              <w:spacing w:line="250" w:lineRule="exact" w:before="3"/>
              <w:ind w:right="-15"/>
              <w:jc w:val="right"/>
              <w:rPr>
                <w:sz w:val="21"/>
              </w:rPr>
            </w:pPr>
            <w:r>
              <w:rPr>
                <w:w w:val="100"/>
                <w:sz w:val="21"/>
              </w:rPr>
              <w:t> </w:t>
            </w:r>
          </w:p>
        </w:tc>
      </w:tr>
      <w:tr>
        <w:trPr>
          <w:trHeight w:val="273" w:hRule="atLeast"/>
        </w:trPr>
        <w:tc>
          <w:tcPr>
            <w:tcW w:w="2833" w:type="dxa"/>
          </w:tcPr>
          <w:p>
            <w:pPr>
              <w:pStyle w:val="TableParagraph"/>
              <w:spacing w:line="252" w:lineRule="exact" w:before="1"/>
              <w:ind w:left="112"/>
              <w:rPr>
                <w:sz w:val="21"/>
              </w:rPr>
            </w:pPr>
            <w:r>
              <w:rPr>
                <w:sz w:val="21"/>
              </w:rPr>
              <w:t>营业税 </w:t>
            </w:r>
          </w:p>
        </w:tc>
        <w:tc>
          <w:tcPr>
            <w:tcW w:w="2994" w:type="dxa"/>
          </w:tcPr>
          <w:p>
            <w:pPr>
              <w:pStyle w:val="TableParagraph"/>
              <w:spacing w:line="252" w:lineRule="exact" w:before="1"/>
              <w:ind w:right="-15"/>
              <w:jc w:val="right"/>
              <w:rPr>
                <w:sz w:val="21"/>
              </w:rPr>
            </w:pPr>
            <w:r>
              <w:rPr>
                <w:w w:val="100"/>
                <w:sz w:val="21"/>
              </w:rPr>
              <w:t> </w:t>
            </w:r>
          </w:p>
        </w:tc>
        <w:tc>
          <w:tcPr>
            <w:tcW w:w="2994" w:type="dxa"/>
          </w:tcPr>
          <w:p>
            <w:pPr>
              <w:pStyle w:val="TableParagraph"/>
              <w:spacing w:line="252" w:lineRule="exact" w:before="1"/>
              <w:ind w:right="-15"/>
              <w:jc w:val="right"/>
              <w:rPr>
                <w:sz w:val="21"/>
              </w:rPr>
            </w:pPr>
            <w:r>
              <w:rPr>
                <w:w w:val="100"/>
                <w:sz w:val="21"/>
              </w:rPr>
              <w:t> </w:t>
            </w:r>
          </w:p>
        </w:tc>
      </w:tr>
      <w:tr>
        <w:trPr>
          <w:trHeight w:val="272" w:hRule="atLeast"/>
        </w:trPr>
        <w:tc>
          <w:tcPr>
            <w:tcW w:w="2833" w:type="dxa"/>
          </w:tcPr>
          <w:p>
            <w:pPr>
              <w:pStyle w:val="TableParagraph"/>
              <w:spacing w:line="252" w:lineRule="exact" w:before="1"/>
              <w:ind w:left="112"/>
              <w:rPr>
                <w:sz w:val="21"/>
              </w:rPr>
            </w:pPr>
            <w:r>
              <w:rPr>
                <w:spacing w:val="-1"/>
                <w:sz w:val="21"/>
              </w:rPr>
              <w:t>城市维护建设税</w:t>
            </w:r>
            <w:r>
              <w:rPr>
                <w:sz w:val="21"/>
              </w:rPr>
              <w:t> </w:t>
            </w:r>
          </w:p>
        </w:tc>
        <w:tc>
          <w:tcPr>
            <w:tcW w:w="2994" w:type="dxa"/>
          </w:tcPr>
          <w:p>
            <w:pPr>
              <w:pStyle w:val="TableParagraph"/>
              <w:spacing w:before="7"/>
              <w:ind w:right="94"/>
              <w:jc w:val="right"/>
              <w:rPr>
                <w:rFonts w:ascii="Times New Roman"/>
                <w:sz w:val="21"/>
              </w:rPr>
            </w:pPr>
            <w:r>
              <w:rPr>
                <w:rFonts w:ascii="Times New Roman"/>
                <w:sz w:val="21"/>
              </w:rPr>
              <w:t>156,383</w:t>
            </w:r>
          </w:p>
        </w:tc>
        <w:tc>
          <w:tcPr>
            <w:tcW w:w="2994" w:type="dxa"/>
          </w:tcPr>
          <w:p>
            <w:pPr>
              <w:pStyle w:val="TableParagraph"/>
              <w:spacing w:before="7"/>
              <w:ind w:right="95"/>
              <w:jc w:val="right"/>
              <w:rPr>
                <w:rFonts w:ascii="Times New Roman"/>
                <w:sz w:val="21"/>
              </w:rPr>
            </w:pPr>
            <w:r>
              <w:rPr>
                <w:rFonts w:ascii="Times New Roman"/>
                <w:sz w:val="21"/>
              </w:rPr>
              <w:t>238,194</w:t>
            </w:r>
          </w:p>
        </w:tc>
      </w:tr>
      <w:tr>
        <w:trPr>
          <w:trHeight w:val="270" w:hRule="atLeast"/>
        </w:trPr>
        <w:tc>
          <w:tcPr>
            <w:tcW w:w="2833" w:type="dxa"/>
          </w:tcPr>
          <w:p>
            <w:pPr>
              <w:pStyle w:val="TableParagraph"/>
              <w:spacing w:line="250" w:lineRule="exact" w:before="1"/>
              <w:ind w:left="112"/>
              <w:rPr>
                <w:sz w:val="21"/>
              </w:rPr>
            </w:pPr>
            <w:r>
              <w:rPr>
                <w:sz w:val="21"/>
              </w:rPr>
              <w:t>教育费附加 </w:t>
            </w:r>
          </w:p>
        </w:tc>
        <w:tc>
          <w:tcPr>
            <w:tcW w:w="2994" w:type="dxa"/>
          </w:tcPr>
          <w:p>
            <w:pPr>
              <w:pStyle w:val="TableParagraph"/>
              <w:spacing w:before="7"/>
              <w:ind w:right="94"/>
              <w:jc w:val="right"/>
              <w:rPr>
                <w:rFonts w:ascii="Times New Roman"/>
                <w:sz w:val="21"/>
              </w:rPr>
            </w:pPr>
            <w:r>
              <w:rPr>
                <w:rFonts w:ascii="Times New Roman"/>
                <w:sz w:val="21"/>
              </w:rPr>
              <w:t>113,947</w:t>
            </w:r>
          </w:p>
        </w:tc>
        <w:tc>
          <w:tcPr>
            <w:tcW w:w="2994" w:type="dxa"/>
          </w:tcPr>
          <w:p>
            <w:pPr>
              <w:pStyle w:val="TableParagraph"/>
              <w:spacing w:before="7"/>
              <w:ind w:right="95"/>
              <w:jc w:val="right"/>
              <w:rPr>
                <w:rFonts w:ascii="Times New Roman"/>
                <w:sz w:val="21"/>
              </w:rPr>
            </w:pPr>
            <w:r>
              <w:rPr>
                <w:rFonts w:ascii="Times New Roman"/>
                <w:sz w:val="21"/>
              </w:rPr>
              <w:t>164,473</w:t>
            </w:r>
          </w:p>
        </w:tc>
      </w:tr>
      <w:tr>
        <w:trPr>
          <w:trHeight w:val="273" w:hRule="atLeast"/>
        </w:trPr>
        <w:tc>
          <w:tcPr>
            <w:tcW w:w="2833" w:type="dxa"/>
          </w:tcPr>
          <w:p>
            <w:pPr>
              <w:pStyle w:val="TableParagraph"/>
              <w:spacing w:line="252" w:lineRule="exact" w:before="1"/>
              <w:ind w:left="112"/>
              <w:rPr>
                <w:sz w:val="21"/>
              </w:rPr>
            </w:pPr>
            <w:r>
              <w:rPr>
                <w:sz w:val="21"/>
              </w:rPr>
              <w:t>资源税 </w:t>
            </w:r>
          </w:p>
        </w:tc>
        <w:tc>
          <w:tcPr>
            <w:tcW w:w="2994" w:type="dxa"/>
          </w:tcPr>
          <w:p>
            <w:pPr>
              <w:pStyle w:val="TableParagraph"/>
              <w:rPr>
                <w:rFonts w:ascii="Times New Roman"/>
                <w:sz w:val="20"/>
              </w:rPr>
            </w:pPr>
          </w:p>
        </w:tc>
        <w:tc>
          <w:tcPr>
            <w:tcW w:w="2994" w:type="dxa"/>
          </w:tcPr>
          <w:p>
            <w:pPr>
              <w:pStyle w:val="TableParagraph"/>
              <w:rPr>
                <w:rFonts w:ascii="Times New Roman"/>
                <w:sz w:val="20"/>
              </w:rPr>
            </w:pPr>
          </w:p>
        </w:tc>
      </w:tr>
      <w:tr>
        <w:trPr>
          <w:trHeight w:val="273" w:hRule="atLeast"/>
        </w:trPr>
        <w:tc>
          <w:tcPr>
            <w:tcW w:w="2833" w:type="dxa"/>
          </w:tcPr>
          <w:p>
            <w:pPr>
              <w:pStyle w:val="TableParagraph"/>
              <w:spacing w:line="252" w:lineRule="exact" w:before="1"/>
              <w:ind w:left="112"/>
              <w:rPr>
                <w:sz w:val="21"/>
              </w:rPr>
            </w:pPr>
            <w:r>
              <w:rPr>
                <w:sz w:val="21"/>
              </w:rPr>
              <w:t>房产税 </w:t>
            </w:r>
          </w:p>
        </w:tc>
        <w:tc>
          <w:tcPr>
            <w:tcW w:w="2994" w:type="dxa"/>
          </w:tcPr>
          <w:p>
            <w:pPr>
              <w:pStyle w:val="TableParagraph"/>
              <w:spacing w:before="10"/>
              <w:ind w:right="94"/>
              <w:jc w:val="right"/>
              <w:rPr>
                <w:rFonts w:ascii="Times New Roman"/>
                <w:sz w:val="21"/>
              </w:rPr>
            </w:pPr>
            <w:r>
              <w:rPr>
                <w:rFonts w:ascii="Times New Roman"/>
                <w:sz w:val="21"/>
              </w:rPr>
              <w:t>8,317</w:t>
            </w:r>
          </w:p>
        </w:tc>
        <w:tc>
          <w:tcPr>
            <w:tcW w:w="2994" w:type="dxa"/>
          </w:tcPr>
          <w:p>
            <w:pPr>
              <w:pStyle w:val="TableParagraph"/>
              <w:spacing w:before="10"/>
              <w:ind w:right="95"/>
              <w:jc w:val="right"/>
              <w:rPr>
                <w:rFonts w:ascii="Times New Roman"/>
                <w:sz w:val="21"/>
              </w:rPr>
            </w:pPr>
            <w:r>
              <w:rPr>
                <w:rFonts w:ascii="Times New Roman"/>
                <w:sz w:val="21"/>
              </w:rPr>
              <w:t>9,808</w:t>
            </w:r>
          </w:p>
        </w:tc>
      </w:tr>
      <w:tr>
        <w:trPr>
          <w:trHeight w:val="270" w:hRule="atLeast"/>
        </w:trPr>
        <w:tc>
          <w:tcPr>
            <w:tcW w:w="2833" w:type="dxa"/>
          </w:tcPr>
          <w:p>
            <w:pPr>
              <w:pStyle w:val="TableParagraph"/>
              <w:spacing w:line="250" w:lineRule="exact" w:before="1"/>
              <w:ind w:left="112"/>
              <w:rPr>
                <w:sz w:val="21"/>
              </w:rPr>
            </w:pPr>
            <w:r>
              <w:rPr>
                <w:sz w:val="21"/>
              </w:rPr>
              <w:t>土地使用税 </w:t>
            </w:r>
          </w:p>
        </w:tc>
        <w:tc>
          <w:tcPr>
            <w:tcW w:w="2994" w:type="dxa"/>
          </w:tcPr>
          <w:p>
            <w:pPr>
              <w:pStyle w:val="TableParagraph"/>
              <w:rPr>
                <w:rFonts w:ascii="Times New Roman"/>
                <w:sz w:val="20"/>
              </w:rPr>
            </w:pPr>
          </w:p>
        </w:tc>
        <w:tc>
          <w:tcPr>
            <w:tcW w:w="2994" w:type="dxa"/>
          </w:tcPr>
          <w:p>
            <w:pPr>
              <w:pStyle w:val="TableParagraph"/>
              <w:rPr>
                <w:rFonts w:ascii="Times New Roman"/>
                <w:sz w:val="20"/>
              </w:rPr>
            </w:pPr>
          </w:p>
        </w:tc>
      </w:tr>
      <w:tr>
        <w:trPr>
          <w:trHeight w:val="272" w:hRule="atLeast"/>
        </w:trPr>
        <w:tc>
          <w:tcPr>
            <w:tcW w:w="2833" w:type="dxa"/>
          </w:tcPr>
          <w:p>
            <w:pPr>
              <w:pStyle w:val="TableParagraph"/>
              <w:spacing w:line="250" w:lineRule="exact" w:before="3"/>
              <w:ind w:left="112"/>
              <w:rPr>
                <w:sz w:val="21"/>
              </w:rPr>
            </w:pPr>
            <w:r>
              <w:rPr>
                <w:sz w:val="21"/>
              </w:rPr>
              <w:t>车船使用税 </w:t>
            </w:r>
          </w:p>
        </w:tc>
        <w:tc>
          <w:tcPr>
            <w:tcW w:w="2994" w:type="dxa"/>
          </w:tcPr>
          <w:p>
            <w:pPr>
              <w:pStyle w:val="TableParagraph"/>
              <w:rPr>
                <w:rFonts w:ascii="Times New Roman"/>
                <w:sz w:val="20"/>
              </w:rPr>
            </w:pPr>
          </w:p>
        </w:tc>
        <w:tc>
          <w:tcPr>
            <w:tcW w:w="2994" w:type="dxa"/>
          </w:tcPr>
          <w:p>
            <w:pPr>
              <w:pStyle w:val="TableParagraph"/>
              <w:rPr>
                <w:rFonts w:ascii="Times New Roman"/>
                <w:sz w:val="20"/>
              </w:rPr>
            </w:pPr>
          </w:p>
        </w:tc>
      </w:tr>
      <w:tr>
        <w:trPr>
          <w:trHeight w:val="273" w:hRule="atLeast"/>
        </w:trPr>
        <w:tc>
          <w:tcPr>
            <w:tcW w:w="2833" w:type="dxa"/>
          </w:tcPr>
          <w:p>
            <w:pPr>
              <w:pStyle w:val="TableParagraph"/>
              <w:spacing w:line="252" w:lineRule="exact" w:before="1"/>
              <w:ind w:left="112"/>
              <w:rPr>
                <w:sz w:val="21"/>
              </w:rPr>
            </w:pPr>
            <w:r>
              <w:rPr>
                <w:sz w:val="21"/>
              </w:rPr>
              <w:t>印花税 </w:t>
            </w:r>
          </w:p>
        </w:tc>
        <w:tc>
          <w:tcPr>
            <w:tcW w:w="2994" w:type="dxa"/>
          </w:tcPr>
          <w:p>
            <w:pPr>
              <w:pStyle w:val="TableParagraph"/>
              <w:spacing w:before="10"/>
              <w:ind w:right="94"/>
              <w:jc w:val="right"/>
              <w:rPr>
                <w:rFonts w:ascii="Times New Roman"/>
                <w:sz w:val="21"/>
              </w:rPr>
            </w:pPr>
            <w:r>
              <w:rPr>
                <w:rFonts w:ascii="Times New Roman"/>
                <w:sz w:val="21"/>
              </w:rPr>
              <w:t>153,077</w:t>
            </w:r>
          </w:p>
        </w:tc>
        <w:tc>
          <w:tcPr>
            <w:tcW w:w="2994" w:type="dxa"/>
          </w:tcPr>
          <w:p>
            <w:pPr>
              <w:pStyle w:val="TableParagraph"/>
              <w:spacing w:before="10"/>
              <w:ind w:right="95"/>
              <w:jc w:val="right"/>
              <w:rPr>
                <w:rFonts w:ascii="Times New Roman"/>
                <w:sz w:val="21"/>
              </w:rPr>
            </w:pPr>
            <w:r>
              <w:rPr>
                <w:rFonts w:ascii="Times New Roman"/>
                <w:sz w:val="21"/>
              </w:rPr>
              <w:t>138,997</w:t>
            </w:r>
          </w:p>
        </w:tc>
      </w:tr>
      <w:tr>
        <w:trPr>
          <w:trHeight w:val="272" w:hRule="atLeast"/>
        </w:trPr>
        <w:tc>
          <w:tcPr>
            <w:tcW w:w="2833" w:type="dxa"/>
          </w:tcPr>
          <w:p>
            <w:pPr>
              <w:pStyle w:val="TableParagraph"/>
              <w:spacing w:line="252" w:lineRule="exact" w:before="1"/>
              <w:ind w:left="112"/>
              <w:rPr>
                <w:sz w:val="21"/>
              </w:rPr>
            </w:pPr>
            <w:r>
              <w:rPr>
                <w:sz w:val="21"/>
              </w:rPr>
              <w:t>其他 </w:t>
            </w:r>
          </w:p>
        </w:tc>
        <w:tc>
          <w:tcPr>
            <w:tcW w:w="2994" w:type="dxa"/>
          </w:tcPr>
          <w:p>
            <w:pPr>
              <w:pStyle w:val="TableParagraph"/>
              <w:spacing w:before="10"/>
              <w:ind w:right="94"/>
              <w:jc w:val="right"/>
              <w:rPr>
                <w:rFonts w:ascii="Times New Roman"/>
                <w:sz w:val="21"/>
              </w:rPr>
            </w:pPr>
            <w:r>
              <w:rPr>
                <w:rFonts w:ascii="Times New Roman"/>
                <w:sz w:val="21"/>
              </w:rPr>
              <w:t>54,395</w:t>
            </w:r>
          </w:p>
        </w:tc>
        <w:tc>
          <w:tcPr>
            <w:tcW w:w="2994" w:type="dxa"/>
          </w:tcPr>
          <w:p>
            <w:pPr>
              <w:pStyle w:val="TableParagraph"/>
              <w:spacing w:before="10"/>
              <w:ind w:right="95"/>
              <w:jc w:val="right"/>
              <w:rPr>
                <w:rFonts w:ascii="Times New Roman"/>
                <w:sz w:val="21"/>
              </w:rPr>
            </w:pPr>
            <w:r>
              <w:rPr>
                <w:rFonts w:ascii="Times New Roman"/>
                <w:sz w:val="21"/>
              </w:rPr>
              <w:t>44,412</w:t>
            </w:r>
          </w:p>
        </w:tc>
      </w:tr>
      <w:tr>
        <w:trPr>
          <w:trHeight w:val="270" w:hRule="atLeast"/>
        </w:trPr>
        <w:tc>
          <w:tcPr>
            <w:tcW w:w="2833" w:type="dxa"/>
          </w:tcPr>
          <w:p>
            <w:pPr>
              <w:pStyle w:val="TableParagraph"/>
              <w:spacing w:line="250" w:lineRule="exact" w:before="1"/>
              <w:ind w:left="112"/>
              <w:rPr>
                <w:sz w:val="21"/>
              </w:rPr>
            </w:pPr>
            <w:r>
              <w:rPr>
                <w:w w:val="100"/>
                <w:sz w:val="21"/>
              </w:rPr>
              <w:t> </w:t>
            </w:r>
          </w:p>
        </w:tc>
        <w:tc>
          <w:tcPr>
            <w:tcW w:w="2994" w:type="dxa"/>
          </w:tcPr>
          <w:p>
            <w:pPr>
              <w:pStyle w:val="TableParagraph"/>
              <w:rPr>
                <w:rFonts w:ascii="Times New Roman"/>
                <w:sz w:val="20"/>
              </w:rPr>
            </w:pPr>
          </w:p>
        </w:tc>
        <w:tc>
          <w:tcPr>
            <w:tcW w:w="2994" w:type="dxa"/>
          </w:tcPr>
          <w:p>
            <w:pPr>
              <w:pStyle w:val="TableParagraph"/>
              <w:rPr>
                <w:rFonts w:ascii="Times New Roman"/>
                <w:sz w:val="20"/>
              </w:rPr>
            </w:pPr>
          </w:p>
        </w:tc>
      </w:tr>
      <w:tr>
        <w:trPr>
          <w:trHeight w:val="272" w:hRule="atLeast"/>
        </w:trPr>
        <w:tc>
          <w:tcPr>
            <w:tcW w:w="2833" w:type="dxa"/>
          </w:tcPr>
          <w:p>
            <w:pPr>
              <w:pStyle w:val="TableParagraph"/>
              <w:spacing w:line="250" w:lineRule="exact" w:before="3"/>
              <w:ind w:right="1085"/>
              <w:jc w:val="right"/>
              <w:rPr>
                <w:sz w:val="21"/>
              </w:rPr>
            </w:pPr>
            <w:r>
              <w:rPr>
                <w:sz w:val="21"/>
              </w:rPr>
              <w:t>合计 </w:t>
            </w:r>
          </w:p>
        </w:tc>
        <w:tc>
          <w:tcPr>
            <w:tcW w:w="2994" w:type="dxa"/>
          </w:tcPr>
          <w:p>
            <w:pPr>
              <w:pStyle w:val="TableParagraph"/>
              <w:spacing w:before="10"/>
              <w:ind w:right="94"/>
              <w:jc w:val="right"/>
              <w:rPr>
                <w:rFonts w:ascii="Times New Roman"/>
                <w:sz w:val="21"/>
              </w:rPr>
            </w:pPr>
            <w:r>
              <w:rPr>
                <w:rFonts w:ascii="Times New Roman"/>
                <w:sz w:val="21"/>
              </w:rPr>
              <w:t>486,119</w:t>
            </w:r>
          </w:p>
        </w:tc>
        <w:tc>
          <w:tcPr>
            <w:tcW w:w="2994" w:type="dxa"/>
          </w:tcPr>
          <w:p>
            <w:pPr>
              <w:pStyle w:val="TableParagraph"/>
              <w:spacing w:before="10"/>
              <w:ind w:right="95"/>
              <w:jc w:val="right"/>
              <w:rPr>
                <w:rFonts w:ascii="Times New Roman"/>
                <w:sz w:val="21"/>
              </w:rPr>
            </w:pPr>
            <w:r>
              <w:rPr>
                <w:rFonts w:ascii="Times New Roman"/>
                <w:sz w:val="21"/>
              </w:rPr>
              <w:t>595,884</w:t>
            </w:r>
          </w:p>
        </w:tc>
      </w:tr>
    </w:tbl>
    <w:p>
      <w:pPr>
        <w:spacing w:after="0"/>
        <w:jc w:val="right"/>
        <w:rPr>
          <w:rFonts w:ascii="Times New Roman"/>
          <w:sz w:val="21"/>
        </w:rPr>
        <w:sectPr>
          <w:type w:val="continuous"/>
          <w:pgSz w:w="11910" w:h="16840"/>
          <w:pgMar w:top="780" w:bottom="280" w:left="1480" w:right="0"/>
        </w:sectPr>
      </w:pPr>
    </w:p>
    <w:p>
      <w:pPr>
        <w:pStyle w:val="BodyText"/>
        <w:spacing w:line="297" w:lineRule="auto" w:before="65"/>
        <w:ind w:right="666"/>
      </w:pPr>
      <w:r>
        <w:rPr/>
        <w:t>其他说明：</w:t>
      </w:r>
      <w:r>
        <w:rPr>
          <w:spacing w:val="1"/>
        </w:rPr>
        <w:t> </w:t>
      </w:r>
      <w:r>
        <w:rPr/>
        <w:t>无 </w:t>
      </w:r>
    </w:p>
    <w:p>
      <w:pPr>
        <w:pStyle w:val="BodyText"/>
        <w:spacing w:line="207" w:lineRule="exact"/>
      </w:pPr>
      <w:r>
        <w:rPr>
          <w:w w:val="100"/>
        </w:rPr>
        <w:t> </w:t>
      </w:r>
    </w:p>
    <w:p>
      <w:pPr>
        <w:pStyle w:val="BodyText"/>
        <w:spacing w:before="64"/>
      </w:pPr>
      <w:r>
        <w:rPr/>
        <w:t>63</w:t>
      </w:r>
      <w:r>
        <w:rPr>
          <w:spacing w:val="-5"/>
        </w:rPr>
        <w:t>、 销售费用</w:t>
      </w:r>
      <w:r>
        <w:rPr/>
        <w:t> </w:t>
      </w:r>
    </w:p>
    <w:p>
      <w:pPr>
        <w:pStyle w:val="BodyText"/>
        <w:spacing w:before="6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7"/>
        <w:ind w:left="0"/>
        <w:rPr>
          <w:sz w:val="25"/>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2144" w:space="4166"/>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50"/>
        <w:gridCol w:w="2789"/>
        <w:gridCol w:w="2784"/>
      </w:tblGrid>
      <w:tr>
        <w:trPr>
          <w:trHeight w:val="273" w:hRule="atLeast"/>
        </w:trPr>
        <w:tc>
          <w:tcPr>
            <w:tcW w:w="3250" w:type="dxa"/>
          </w:tcPr>
          <w:p>
            <w:pPr>
              <w:pStyle w:val="TableParagraph"/>
              <w:spacing w:line="252" w:lineRule="exact" w:before="1"/>
              <w:ind w:right="1299"/>
              <w:jc w:val="right"/>
              <w:rPr>
                <w:sz w:val="21"/>
              </w:rPr>
            </w:pPr>
            <w:r>
              <w:rPr>
                <w:sz w:val="21"/>
              </w:rPr>
              <w:t>项目 </w:t>
            </w:r>
          </w:p>
        </w:tc>
        <w:tc>
          <w:tcPr>
            <w:tcW w:w="2789" w:type="dxa"/>
          </w:tcPr>
          <w:p>
            <w:pPr>
              <w:pStyle w:val="TableParagraph"/>
              <w:spacing w:line="252" w:lineRule="exact" w:before="1"/>
              <w:ind w:left="868"/>
              <w:rPr>
                <w:sz w:val="21"/>
              </w:rPr>
            </w:pPr>
            <w:r>
              <w:rPr>
                <w:sz w:val="21"/>
              </w:rPr>
              <w:t>本期发生额 </w:t>
            </w:r>
          </w:p>
        </w:tc>
        <w:tc>
          <w:tcPr>
            <w:tcW w:w="2784" w:type="dxa"/>
          </w:tcPr>
          <w:p>
            <w:pPr>
              <w:pStyle w:val="TableParagraph"/>
              <w:spacing w:line="252" w:lineRule="exact" w:before="1"/>
              <w:ind w:left="864"/>
              <w:rPr>
                <w:sz w:val="21"/>
              </w:rPr>
            </w:pPr>
            <w:r>
              <w:rPr>
                <w:sz w:val="21"/>
              </w:rPr>
              <w:t>上期发生额 </w:t>
            </w:r>
          </w:p>
        </w:tc>
      </w:tr>
      <w:tr>
        <w:trPr>
          <w:trHeight w:val="270" w:hRule="atLeast"/>
        </w:trPr>
        <w:tc>
          <w:tcPr>
            <w:tcW w:w="3250" w:type="dxa"/>
          </w:tcPr>
          <w:p>
            <w:pPr>
              <w:pStyle w:val="TableParagraph"/>
              <w:spacing w:line="250" w:lineRule="exact" w:before="1"/>
              <w:ind w:left="107"/>
              <w:rPr>
                <w:sz w:val="21"/>
              </w:rPr>
            </w:pPr>
            <w:r>
              <w:rPr>
                <w:spacing w:val="-1"/>
                <w:sz w:val="21"/>
              </w:rPr>
              <w:t>职工薪酬</w:t>
            </w:r>
            <w:r>
              <w:rPr>
                <w:sz w:val="21"/>
              </w:rPr>
              <w:t> </w:t>
            </w:r>
          </w:p>
        </w:tc>
        <w:tc>
          <w:tcPr>
            <w:tcW w:w="2789" w:type="dxa"/>
          </w:tcPr>
          <w:p>
            <w:pPr>
              <w:pStyle w:val="TableParagraph"/>
              <w:spacing w:before="7"/>
              <w:ind w:right="93"/>
              <w:jc w:val="right"/>
              <w:rPr>
                <w:rFonts w:ascii="Times New Roman"/>
                <w:sz w:val="21"/>
              </w:rPr>
            </w:pPr>
            <w:r>
              <w:rPr>
                <w:rFonts w:ascii="Times New Roman"/>
                <w:sz w:val="21"/>
              </w:rPr>
              <w:t>463,145</w:t>
            </w:r>
          </w:p>
        </w:tc>
        <w:tc>
          <w:tcPr>
            <w:tcW w:w="2784" w:type="dxa"/>
          </w:tcPr>
          <w:p>
            <w:pPr>
              <w:pStyle w:val="TableParagraph"/>
              <w:spacing w:before="7"/>
              <w:ind w:right="92"/>
              <w:jc w:val="right"/>
              <w:rPr>
                <w:rFonts w:ascii="Times New Roman"/>
                <w:sz w:val="21"/>
              </w:rPr>
            </w:pPr>
            <w:r>
              <w:rPr>
                <w:rFonts w:ascii="Times New Roman"/>
                <w:sz w:val="21"/>
              </w:rPr>
              <w:t>561,829</w:t>
            </w:r>
          </w:p>
        </w:tc>
      </w:tr>
      <w:tr>
        <w:trPr>
          <w:trHeight w:val="273" w:hRule="atLeast"/>
        </w:trPr>
        <w:tc>
          <w:tcPr>
            <w:tcW w:w="3250" w:type="dxa"/>
          </w:tcPr>
          <w:p>
            <w:pPr>
              <w:pStyle w:val="TableParagraph"/>
              <w:spacing w:line="250" w:lineRule="exact" w:before="3"/>
              <w:ind w:left="107"/>
              <w:rPr>
                <w:sz w:val="21"/>
              </w:rPr>
            </w:pPr>
            <w:r>
              <w:rPr>
                <w:sz w:val="21"/>
              </w:rPr>
              <w:t>包装费 </w:t>
            </w:r>
          </w:p>
        </w:tc>
        <w:tc>
          <w:tcPr>
            <w:tcW w:w="2789" w:type="dxa"/>
          </w:tcPr>
          <w:p>
            <w:pPr>
              <w:pStyle w:val="TableParagraph"/>
              <w:spacing w:before="10"/>
              <w:ind w:right="93"/>
              <w:jc w:val="right"/>
              <w:rPr>
                <w:rFonts w:ascii="Times New Roman"/>
                <w:sz w:val="21"/>
              </w:rPr>
            </w:pPr>
            <w:r>
              <w:rPr>
                <w:rFonts w:ascii="Times New Roman"/>
                <w:sz w:val="21"/>
              </w:rPr>
              <w:t>141,812</w:t>
            </w:r>
          </w:p>
        </w:tc>
        <w:tc>
          <w:tcPr>
            <w:tcW w:w="2784" w:type="dxa"/>
          </w:tcPr>
          <w:p>
            <w:pPr>
              <w:pStyle w:val="TableParagraph"/>
              <w:spacing w:before="10"/>
              <w:ind w:right="92"/>
              <w:jc w:val="right"/>
              <w:rPr>
                <w:rFonts w:ascii="Times New Roman"/>
                <w:sz w:val="21"/>
              </w:rPr>
            </w:pPr>
            <w:r>
              <w:rPr>
                <w:rFonts w:ascii="Times New Roman"/>
                <w:sz w:val="21"/>
              </w:rPr>
              <w:t>116,403</w:t>
            </w:r>
          </w:p>
        </w:tc>
      </w:tr>
      <w:tr>
        <w:trPr>
          <w:trHeight w:val="273" w:hRule="atLeast"/>
        </w:trPr>
        <w:tc>
          <w:tcPr>
            <w:tcW w:w="3250" w:type="dxa"/>
          </w:tcPr>
          <w:p>
            <w:pPr>
              <w:pStyle w:val="TableParagraph"/>
              <w:spacing w:line="252" w:lineRule="exact" w:before="1"/>
              <w:ind w:left="107"/>
              <w:rPr>
                <w:sz w:val="21"/>
              </w:rPr>
            </w:pPr>
            <w:r>
              <w:rPr>
                <w:spacing w:val="-1"/>
                <w:sz w:val="21"/>
              </w:rPr>
              <w:t>租赁及仓储费用</w:t>
            </w:r>
            <w:r>
              <w:rPr>
                <w:sz w:val="21"/>
              </w:rPr>
              <w:t> </w:t>
            </w:r>
          </w:p>
        </w:tc>
        <w:tc>
          <w:tcPr>
            <w:tcW w:w="2789" w:type="dxa"/>
          </w:tcPr>
          <w:p>
            <w:pPr>
              <w:pStyle w:val="TableParagraph"/>
              <w:spacing w:before="10"/>
              <w:ind w:right="93"/>
              <w:jc w:val="right"/>
              <w:rPr>
                <w:rFonts w:ascii="Times New Roman"/>
                <w:sz w:val="21"/>
              </w:rPr>
            </w:pPr>
            <w:r>
              <w:rPr>
                <w:rFonts w:ascii="Times New Roman"/>
                <w:sz w:val="21"/>
              </w:rPr>
              <w:t>102,755</w:t>
            </w:r>
          </w:p>
        </w:tc>
        <w:tc>
          <w:tcPr>
            <w:tcW w:w="2784" w:type="dxa"/>
          </w:tcPr>
          <w:p>
            <w:pPr>
              <w:pStyle w:val="TableParagraph"/>
              <w:spacing w:before="10"/>
              <w:ind w:right="92"/>
              <w:jc w:val="right"/>
              <w:rPr>
                <w:rFonts w:ascii="Times New Roman"/>
                <w:sz w:val="21"/>
              </w:rPr>
            </w:pPr>
            <w:r>
              <w:rPr>
                <w:rFonts w:ascii="Times New Roman"/>
                <w:sz w:val="21"/>
              </w:rPr>
              <w:t>69,283</w:t>
            </w:r>
          </w:p>
        </w:tc>
      </w:tr>
      <w:tr>
        <w:trPr>
          <w:trHeight w:val="270" w:hRule="atLeast"/>
        </w:trPr>
        <w:tc>
          <w:tcPr>
            <w:tcW w:w="3250" w:type="dxa"/>
          </w:tcPr>
          <w:p>
            <w:pPr>
              <w:pStyle w:val="TableParagraph"/>
              <w:spacing w:line="250" w:lineRule="exact" w:before="1"/>
              <w:ind w:left="107"/>
              <w:rPr>
                <w:sz w:val="21"/>
              </w:rPr>
            </w:pPr>
            <w:r>
              <w:rPr>
                <w:sz w:val="21"/>
              </w:rPr>
              <w:t>业务推广费 </w:t>
            </w:r>
          </w:p>
        </w:tc>
        <w:tc>
          <w:tcPr>
            <w:tcW w:w="2789" w:type="dxa"/>
          </w:tcPr>
          <w:p>
            <w:pPr>
              <w:pStyle w:val="TableParagraph"/>
              <w:spacing w:before="7"/>
              <w:ind w:right="93"/>
              <w:jc w:val="right"/>
              <w:rPr>
                <w:rFonts w:ascii="Times New Roman"/>
                <w:sz w:val="21"/>
              </w:rPr>
            </w:pPr>
            <w:r>
              <w:rPr>
                <w:rFonts w:ascii="Times New Roman"/>
                <w:sz w:val="21"/>
              </w:rPr>
              <w:t>49,801</w:t>
            </w:r>
          </w:p>
        </w:tc>
        <w:tc>
          <w:tcPr>
            <w:tcW w:w="2784" w:type="dxa"/>
          </w:tcPr>
          <w:p>
            <w:pPr>
              <w:pStyle w:val="TableParagraph"/>
              <w:spacing w:before="7"/>
              <w:ind w:right="92"/>
              <w:jc w:val="right"/>
              <w:rPr>
                <w:rFonts w:ascii="Times New Roman"/>
                <w:sz w:val="21"/>
              </w:rPr>
            </w:pPr>
            <w:r>
              <w:rPr>
                <w:rFonts w:ascii="Times New Roman"/>
                <w:sz w:val="21"/>
              </w:rPr>
              <w:t>46,103</w:t>
            </w:r>
          </w:p>
        </w:tc>
      </w:tr>
      <w:tr>
        <w:trPr>
          <w:trHeight w:val="273" w:hRule="atLeast"/>
        </w:trPr>
        <w:tc>
          <w:tcPr>
            <w:tcW w:w="3250" w:type="dxa"/>
          </w:tcPr>
          <w:p>
            <w:pPr>
              <w:pStyle w:val="TableParagraph"/>
              <w:spacing w:line="250" w:lineRule="exact" w:before="3"/>
              <w:ind w:left="107"/>
              <w:rPr>
                <w:sz w:val="21"/>
              </w:rPr>
            </w:pPr>
            <w:r>
              <w:rPr>
                <w:spacing w:val="-1"/>
                <w:sz w:val="21"/>
              </w:rPr>
              <w:t>使用权资产折旧</w:t>
            </w:r>
            <w:r>
              <w:rPr>
                <w:sz w:val="21"/>
              </w:rPr>
              <w:t> </w:t>
            </w:r>
          </w:p>
        </w:tc>
        <w:tc>
          <w:tcPr>
            <w:tcW w:w="2789" w:type="dxa"/>
          </w:tcPr>
          <w:p>
            <w:pPr>
              <w:pStyle w:val="TableParagraph"/>
              <w:spacing w:before="10"/>
              <w:ind w:right="93"/>
              <w:jc w:val="right"/>
              <w:rPr>
                <w:rFonts w:ascii="Times New Roman"/>
                <w:sz w:val="21"/>
              </w:rPr>
            </w:pPr>
            <w:r>
              <w:rPr>
                <w:rFonts w:ascii="Times New Roman"/>
                <w:sz w:val="21"/>
              </w:rPr>
              <w:t>24,754</w:t>
            </w:r>
          </w:p>
        </w:tc>
        <w:tc>
          <w:tcPr>
            <w:tcW w:w="2784" w:type="dxa"/>
          </w:tcPr>
          <w:p>
            <w:pPr>
              <w:pStyle w:val="TableParagraph"/>
              <w:spacing w:before="10"/>
              <w:ind w:right="92"/>
              <w:jc w:val="right"/>
              <w:rPr>
                <w:rFonts w:ascii="Times New Roman"/>
                <w:sz w:val="21"/>
              </w:rPr>
            </w:pPr>
            <w:r>
              <w:rPr>
                <w:rFonts w:ascii="Times New Roman"/>
                <w:sz w:val="21"/>
              </w:rPr>
              <w:t>17,384</w:t>
            </w:r>
          </w:p>
        </w:tc>
      </w:tr>
      <w:tr>
        <w:trPr>
          <w:trHeight w:val="273" w:hRule="atLeast"/>
        </w:trPr>
        <w:tc>
          <w:tcPr>
            <w:tcW w:w="3250" w:type="dxa"/>
          </w:tcPr>
          <w:p>
            <w:pPr>
              <w:pStyle w:val="TableParagraph"/>
              <w:spacing w:line="252" w:lineRule="exact" w:before="1"/>
              <w:ind w:left="107"/>
              <w:rPr>
                <w:sz w:val="21"/>
              </w:rPr>
            </w:pPr>
            <w:r>
              <w:rPr>
                <w:sz w:val="21"/>
              </w:rPr>
              <w:t>其他 </w:t>
            </w:r>
          </w:p>
        </w:tc>
        <w:tc>
          <w:tcPr>
            <w:tcW w:w="2789" w:type="dxa"/>
          </w:tcPr>
          <w:p>
            <w:pPr>
              <w:pStyle w:val="TableParagraph"/>
              <w:spacing w:before="10"/>
              <w:ind w:right="93"/>
              <w:jc w:val="right"/>
              <w:rPr>
                <w:rFonts w:ascii="Times New Roman"/>
                <w:sz w:val="21"/>
              </w:rPr>
            </w:pPr>
            <w:r>
              <w:rPr>
                <w:rFonts w:ascii="Times New Roman"/>
                <w:sz w:val="21"/>
              </w:rPr>
              <w:t>275,561</w:t>
            </w:r>
          </w:p>
        </w:tc>
        <w:tc>
          <w:tcPr>
            <w:tcW w:w="2784" w:type="dxa"/>
          </w:tcPr>
          <w:p>
            <w:pPr>
              <w:pStyle w:val="TableParagraph"/>
              <w:spacing w:before="10"/>
              <w:ind w:right="92"/>
              <w:jc w:val="right"/>
              <w:rPr>
                <w:rFonts w:ascii="Times New Roman"/>
                <w:sz w:val="21"/>
              </w:rPr>
            </w:pPr>
            <w:r>
              <w:rPr>
                <w:rFonts w:ascii="Times New Roman"/>
                <w:sz w:val="21"/>
              </w:rPr>
              <w:t>85,043</w:t>
            </w:r>
          </w:p>
        </w:tc>
      </w:tr>
      <w:tr>
        <w:trPr>
          <w:trHeight w:val="270" w:hRule="atLeast"/>
        </w:trPr>
        <w:tc>
          <w:tcPr>
            <w:tcW w:w="3250" w:type="dxa"/>
          </w:tcPr>
          <w:p>
            <w:pPr>
              <w:pStyle w:val="TableParagraph"/>
              <w:spacing w:line="250" w:lineRule="exact" w:before="1"/>
              <w:ind w:right="1299"/>
              <w:jc w:val="right"/>
              <w:rPr>
                <w:sz w:val="21"/>
              </w:rPr>
            </w:pPr>
            <w:r>
              <w:rPr>
                <w:sz w:val="21"/>
              </w:rPr>
              <w:t>合计 </w:t>
            </w:r>
          </w:p>
        </w:tc>
        <w:tc>
          <w:tcPr>
            <w:tcW w:w="2789" w:type="dxa"/>
          </w:tcPr>
          <w:p>
            <w:pPr>
              <w:pStyle w:val="TableParagraph"/>
              <w:spacing w:before="7"/>
              <w:ind w:right="93"/>
              <w:jc w:val="right"/>
              <w:rPr>
                <w:rFonts w:ascii="Times New Roman"/>
                <w:sz w:val="21"/>
              </w:rPr>
            </w:pPr>
            <w:r>
              <w:rPr>
                <w:rFonts w:ascii="Times New Roman"/>
                <w:sz w:val="21"/>
              </w:rPr>
              <w:t>1,057,828</w:t>
            </w:r>
          </w:p>
        </w:tc>
        <w:tc>
          <w:tcPr>
            <w:tcW w:w="2784" w:type="dxa"/>
          </w:tcPr>
          <w:p>
            <w:pPr>
              <w:pStyle w:val="TableParagraph"/>
              <w:spacing w:before="7"/>
              <w:ind w:right="92"/>
              <w:jc w:val="right"/>
              <w:rPr>
                <w:rFonts w:ascii="Times New Roman"/>
                <w:sz w:val="21"/>
              </w:rPr>
            </w:pPr>
            <w:r>
              <w:rPr>
                <w:rFonts w:ascii="Times New Roman"/>
                <w:sz w:val="21"/>
              </w:rPr>
              <w:t>896,045</w:t>
            </w:r>
          </w:p>
        </w:tc>
      </w:tr>
    </w:tbl>
    <w:p>
      <w:pPr>
        <w:spacing w:after="0"/>
        <w:jc w:val="right"/>
        <w:rPr>
          <w:rFonts w:ascii="Times New Roman"/>
          <w:sz w:val="21"/>
        </w:rPr>
        <w:sectPr>
          <w:type w:val="continuous"/>
          <w:pgSz w:w="11910" w:h="16840"/>
          <w:pgMar w:top="780" w:bottom="280" w:left="1480" w:right="0"/>
        </w:sectPr>
      </w:pPr>
    </w:p>
    <w:p>
      <w:pPr>
        <w:pStyle w:val="BodyText"/>
        <w:spacing w:before="7"/>
        <w:ind w:left="0"/>
        <w:rPr>
          <w:sz w:val="25"/>
        </w:rPr>
      </w:pPr>
    </w:p>
    <w:p>
      <w:pPr>
        <w:spacing w:after="0"/>
        <w:rPr>
          <w:sz w:val="25"/>
        </w:rPr>
        <w:sectPr>
          <w:pgSz w:w="11910" w:h="16840"/>
          <w:pgMar w:header="882" w:footer="1184" w:top="1120" w:bottom="1380" w:left="1480" w:right="0"/>
        </w:sectPr>
      </w:pPr>
    </w:p>
    <w:p>
      <w:pPr>
        <w:pStyle w:val="BodyText"/>
        <w:spacing w:before="72"/>
      </w:pPr>
      <w:r>
        <w:rPr>
          <w:w w:val="100"/>
        </w:rPr>
        <w:t> </w:t>
      </w:r>
    </w:p>
    <w:p>
      <w:pPr>
        <w:pStyle w:val="BodyText"/>
        <w:spacing w:line="295" w:lineRule="auto" w:before="65"/>
        <w:ind w:right="666"/>
      </w:pPr>
      <w:r>
        <w:rPr/>
        <w:t>其他说明：</w:t>
      </w:r>
      <w:r>
        <w:rPr>
          <w:spacing w:val="1"/>
        </w:rPr>
        <w:t> </w:t>
      </w:r>
      <w:r>
        <w:rPr/>
        <w:t>无 </w:t>
      </w:r>
    </w:p>
    <w:p>
      <w:pPr>
        <w:pStyle w:val="BodyText"/>
        <w:spacing w:line="212" w:lineRule="exact"/>
      </w:pPr>
      <w:r>
        <w:rPr>
          <w:w w:val="100"/>
        </w:rPr>
        <w:t> </w:t>
      </w:r>
    </w:p>
    <w:p>
      <w:pPr>
        <w:pStyle w:val="BodyText"/>
        <w:spacing w:before="62"/>
      </w:pPr>
      <w:r>
        <w:rPr/>
        <w:t>64</w:t>
      </w:r>
      <w:r>
        <w:rPr>
          <w:spacing w:val="-5"/>
        </w:rPr>
        <w:t>、 管理费用</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53"/>
      </w:pPr>
      <w:r>
        <w:rPr>
          <w:spacing w:val="7"/>
        </w:rPr>
        <w:t>单位：千元 币种：人民币</w:t>
      </w:r>
      <w:r>
        <w:rPr/>
        <w:t> </w:t>
      </w:r>
    </w:p>
    <w:p>
      <w:pPr>
        <w:spacing w:after="0"/>
        <w:sectPr>
          <w:type w:val="continuous"/>
          <w:pgSz w:w="11910" w:h="16840"/>
          <w:pgMar w:top="780" w:bottom="280" w:left="1480" w:right="0"/>
          <w:cols w:num="2" w:equalWidth="0">
            <w:col w:w="2144" w:space="4166"/>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05"/>
        <w:gridCol w:w="2539"/>
        <w:gridCol w:w="2378"/>
      </w:tblGrid>
      <w:tr>
        <w:trPr>
          <w:trHeight w:val="270" w:hRule="atLeast"/>
        </w:trPr>
        <w:tc>
          <w:tcPr>
            <w:tcW w:w="3905" w:type="dxa"/>
          </w:tcPr>
          <w:p>
            <w:pPr>
              <w:pStyle w:val="TableParagraph"/>
              <w:spacing w:line="250" w:lineRule="exact" w:before="1"/>
              <w:ind w:right="1624"/>
              <w:jc w:val="right"/>
              <w:rPr>
                <w:sz w:val="21"/>
              </w:rPr>
            </w:pPr>
            <w:r>
              <w:rPr>
                <w:sz w:val="21"/>
              </w:rPr>
              <w:t>项目 </w:t>
            </w:r>
          </w:p>
        </w:tc>
        <w:tc>
          <w:tcPr>
            <w:tcW w:w="2539" w:type="dxa"/>
          </w:tcPr>
          <w:p>
            <w:pPr>
              <w:pStyle w:val="TableParagraph"/>
              <w:spacing w:line="250" w:lineRule="exact" w:before="1"/>
              <w:ind w:left="744"/>
              <w:rPr>
                <w:sz w:val="21"/>
              </w:rPr>
            </w:pPr>
            <w:r>
              <w:rPr>
                <w:sz w:val="21"/>
              </w:rPr>
              <w:t>本期发生额 </w:t>
            </w:r>
          </w:p>
        </w:tc>
        <w:tc>
          <w:tcPr>
            <w:tcW w:w="2378" w:type="dxa"/>
          </w:tcPr>
          <w:p>
            <w:pPr>
              <w:pStyle w:val="TableParagraph"/>
              <w:spacing w:line="250" w:lineRule="exact" w:before="1"/>
              <w:ind w:left="663"/>
              <w:rPr>
                <w:sz w:val="21"/>
              </w:rPr>
            </w:pPr>
            <w:r>
              <w:rPr>
                <w:sz w:val="21"/>
              </w:rPr>
              <w:t>上期发生额 </w:t>
            </w:r>
          </w:p>
        </w:tc>
      </w:tr>
      <w:tr>
        <w:trPr>
          <w:trHeight w:val="273" w:hRule="atLeast"/>
        </w:trPr>
        <w:tc>
          <w:tcPr>
            <w:tcW w:w="3905" w:type="dxa"/>
          </w:tcPr>
          <w:p>
            <w:pPr>
              <w:pStyle w:val="TableParagraph"/>
              <w:spacing w:line="250" w:lineRule="exact" w:before="3"/>
              <w:ind w:left="107"/>
              <w:rPr>
                <w:sz w:val="21"/>
              </w:rPr>
            </w:pPr>
            <w:r>
              <w:rPr>
                <w:spacing w:val="-1"/>
                <w:sz w:val="21"/>
              </w:rPr>
              <w:t>职工薪酬</w:t>
            </w:r>
            <w:r>
              <w:rPr>
                <w:sz w:val="21"/>
              </w:rPr>
              <w:t> </w:t>
            </w:r>
          </w:p>
        </w:tc>
        <w:tc>
          <w:tcPr>
            <w:tcW w:w="2539" w:type="dxa"/>
          </w:tcPr>
          <w:p>
            <w:pPr>
              <w:pStyle w:val="TableParagraph"/>
              <w:spacing w:line="237" w:lineRule="exact"/>
              <w:ind w:right="92"/>
              <w:jc w:val="right"/>
              <w:rPr>
                <w:rFonts w:ascii="Times New Roman"/>
                <w:sz w:val="21"/>
              </w:rPr>
            </w:pPr>
            <w:r>
              <w:rPr>
                <w:rFonts w:ascii="Times New Roman"/>
                <w:sz w:val="21"/>
              </w:rPr>
              <w:t>2,673,328</w:t>
            </w:r>
          </w:p>
        </w:tc>
        <w:tc>
          <w:tcPr>
            <w:tcW w:w="2378" w:type="dxa"/>
          </w:tcPr>
          <w:p>
            <w:pPr>
              <w:pStyle w:val="TableParagraph"/>
              <w:spacing w:line="237" w:lineRule="exact"/>
              <w:ind w:right="91"/>
              <w:jc w:val="right"/>
              <w:rPr>
                <w:rFonts w:ascii="Times New Roman"/>
                <w:sz w:val="21"/>
              </w:rPr>
            </w:pPr>
            <w:r>
              <w:rPr>
                <w:rFonts w:ascii="Times New Roman"/>
                <w:sz w:val="21"/>
              </w:rPr>
              <w:t>2,893,158</w:t>
            </w:r>
          </w:p>
        </w:tc>
      </w:tr>
      <w:tr>
        <w:trPr>
          <w:trHeight w:val="273" w:hRule="atLeast"/>
        </w:trPr>
        <w:tc>
          <w:tcPr>
            <w:tcW w:w="3905" w:type="dxa"/>
          </w:tcPr>
          <w:p>
            <w:pPr>
              <w:pStyle w:val="TableParagraph"/>
              <w:spacing w:line="252" w:lineRule="exact" w:before="1"/>
              <w:ind w:left="107"/>
              <w:rPr>
                <w:sz w:val="21"/>
              </w:rPr>
            </w:pPr>
            <w:r>
              <w:rPr>
                <w:sz w:val="21"/>
              </w:rPr>
              <w:t>管理服务费 </w:t>
            </w:r>
          </w:p>
        </w:tc>
        <w:tc>
          <w:tcPr>
            <w:tcW w:w="2539" w:type="dxa"/>
          </w:tcPr>
          <w:p>
            <w:pPr>
              <w:pStyle w:val="TableParagraph"/>
              <w:spacing w:line="235" w:lineRule="exact"/>
              <w:ind w:right="92"/>
              <w:jc w:val="right"/>
              <w:rPr>
                <w:rFonts w:ascii="Times New Roman"/>
                <w:sz w:val="21"/>
              </w:rPr>
            </w:pPr>
            <w:r>
              <w:rPr>
                <w:rFonts w:ascii="Times New Roman"/>
                <w:sz w:val="21"/>
              </w:rPr>
              <w:t>294,793</w:t>
            </w:r>
          </w:p>
        </w:tc>
        <w:tc>
          <w:tcPr>
            <w:tcW w:w="2378" w:type="dxa"/>
          </w:tcPr>
          <w:p>
            <w:pPr>
              <w:pStyle w:val="TableParagraph"/>
              <w:spacing w:line="235" w:lineRule="exact"/>
              <w:ind w:right="91"/>
              <w:jc w:val="right"/>
              <w:rPr>
                <w:rFonts w:ascii="Times New Roman"/>
                <w:sz w:val="21"/>
              </w:rPr>
            </w:pPr>
            <w:r>
              <w:rPr>
                <w:rFonts w:ascii="Times New Roman"/>
                <w:sz w:val="21"/>
              </w:rPr>
              <w:t>394,565</w:t>
            </w:r>
          </w:p>
        </w:tc>
      </w:tr>
      <w:tr>
        <w:trPr>
          <w:trHeight w:val="270" w:hRule="atLeast"/>
        </w:trPr>
        <w:tc>
          <w:tcPr>
            <w:tcW w:w="3905" w:type="dxa"/>
          </w:tcPr>
          <w:p>
            <w:pPr>
              <w:pStyle w:val="TableParagraph"/>
              <w:spacing w:line="250" w:lineRule="exact" w:before="1"/>
              <w:ind w:left="107"/>
              <w:rPr>
                <w:sz w:val="21"/>
              </w:rPr>
            </w:pPr>
            <w:r>
              <w:rPr>
                <w:sz w:val="21"/>
              </w:rPr>
              <w:t>折旧及摊销 </w:t>
            </w:r>
          </w:p>
        </w:tc>
        <w:tc>
          <w:tcPr>
            <w:tcW w:w="2539" w:type="dxa"/>
          </w:tcPr>
          <w:p>
            <w:pPr>
              <w:pStyle w:val="TableParagraph"/>
              <w:spacing w:line="235" w:lineRule="exact"/>
              <w:ind w:right="92"/>
              <w:jc w:val="right"/>
              <w:rPr>
                <w:rFonts w:ascii="Times New Roman"/>
                <w:sz w:val="21"/>
              </w:rPr>
            </w:pPr>
            <w:r>
              <w:rPr>
                <w:rFonts w:ascii="Times New Roman"/>
                <w:sz w:val="21"/>
              </w:rPr>
              <w:t>194,963</w:t>
            </w:r>
          </w:p>
        </w:tc>
        <w:tc>
          <w:tcPr>
            <w:tcW w:w="2378" w:type="dxa"/>
          </w:tcPr>
          <w:p>
            <w:pPr>
              <w:pStyle w:val="TableParagraph"/>
              <w:spacing w:line="235" w:lineRule="exact"/>
              <w:ind w:right="91"/>
              <w:jc w:val="right"/>
              <w:rPr>
                <w:rFonts w:ascii="Times New Roman"/>
                <w:sz w:val="21"/>
              </w:rPr>
            </w:pPr>
            <w:r>
              <w:rPr>
                <w:rFonts w:ascii="Times New Roman"/>
                <w:sz w:val="21"/>
              </w:rPr>
              <w:t>179,826</w:t>
            </w:r>
          </w:p>
        </w:tc>
      </w:tr>
      <w:tr>
        <w:trPr>
          <w:trHeight w:val="273" w:hRule="atLeast"/>
        </w:trPr>
        <w:tc>
          <w:tcPr>
            <w:tcW w:w="3905" w:type="dxa"/>
          </w:tcPr>
          <w:p>
            <w:pPr>
              <w:pStyle w:val="TableParagraph"/>
              <w:spacing w:line="252" w:lineRule="exact" w:before="1"/>
              <w:ind w:left="107"/>
              <w:rPr>
                <w:sz w:val="21"/>
              </w:rPr>
            </w:pPr>
            <w:r>
              <w:rPr>
                <w:spacing w:val="-1"/>
                <w:sz w:val="21"/>
              </w:rPr>
              <w:t>使用权资产折旧</w:t>
            </w:r>
            <w:r>
              <w:rPr>
                <w:sz w:val="21"/>
              </w:rPr>
              <w:t> </w:t>
            </w:r>
          </w:p>
        </w:tc>
        <w:tc>
          <w:tcPr>
            <w:tcW w:w="2539" w:type="dxa"/>
          </w:tcPr>
          <w:p>
            <w:pPr>
              <w:pStyle w:val="TableParagraph"/>
              <w:spacing w:line="235" w:lineRule="exact"/>
              <w:ind w:right="92"/>
              <w:jc w:val="right"/>
              <w:rPr>
                <w:rFonts w:ascii="Times New Roman"/>
                <w:sz w:val="21"/>
              </w:rPr>
            </w:pPr>
            <w:r>
              <w:rPr>
                <w:rFonts w:ascii="Times New Roman"/>
                <w:sz w:val="21"/>
              </w:rPr>
              <w:t>194,082</w:t>
            </w:r>
          </w:p>
        </w:tc>
        <w:tc>
          <w:tcPr>
            <w:tcW w:w="2378" w:type="dxa"/>
          </w:tcPr>
          <w:p>
            <w:pPr>
              <w:pStyle w:val="TableParagraph"/>
              <w:spacing w:line="235" w:lineRule="exact"/>
              <w:ind w:right="91"/>
              <w:jc w:val="right"/>
              <w:rPr>
                <w:rFonts w:ascii="Times New Roman"/>
                <w:sz w:val="21"/>
              </w:rPr>
            </w:pPr>
            <w:r>
              <w:rPr>
                <w:rFonts w:ascii="Times New Roman"/>
                <w:sz w:val="21"/>
              </w:rPr>
              <w:t>176,141</w:t>
            </w:r>
          </w:p>
        </w:tc>
      </w:tr>
      <w:tr>
        <w:trPr>
          <w:trHeight w:val="273" w:hRule="atLeast"/>
        </w:trPr>
        <w:tc>
          <w:tcPr>
            <w:tcW w:w="3905" w:type="dxa"/>
          </w:tcPr>
          <w:p>
            <w:pPr>
              <w:pStyle w:val="TableParagraph"/>
              <w:spacing w:line="253" w:lineRule="exact" w:before="1"/>
              <w:ind w:left="107"/>
              <w:rPr>
                <w:sz w:val="21"/>
              </w:rPr>
            </w:pPr>
            <w:r>
              <w:rPr>
                <w:sz w:val="21"/>
              </w:rPr>
              <w:t>能源费 </w:t>
            </w:r>
          </w:p>
        </w:tc>
        <w:tc>
          <w:tcPr>
            <w:tcW w:w="2539" w:type="dxa"/>
          </w:tcPr>
          <w:p>
            <w:pPr>
              <w:pStyle w:val="TableParagraph"/>
              <w:spacing w:line="235" w:lineRule="exact"/>
              <w:ind w:right="92"/>
              <w:jc w:val="right"/>
              <w:rPr>
                <w:rFonts w:ascii="Times New Roman"/>
                <w:sz w:val="21"/>
              </w:rPr>
            </w:pPr>
            <w:r>
              <w:rPr>
                <w:rFonts w:ascii="Times New Roman"/>
                <w:sz w:val="21"/>
              </w:rPr>
              <w:t>100,536</w:t>
            </w:r>
          </w:p>
        </w:tc>
        <w:tc>
          <w:tcPr>
            <w:tcW w:w="2378" w:type="dxa"/>
          </w:tcPr>
          <w:p>
            <w:pPr>
              <w:pStyle w:val="TableParagraph"/>
              <w:spacing w:line="235" w:lineRule="exact"/>
              <w:ind w:right="91"/>
              <w:jc w:val="right"/>
              <w:rPr>
                <w:rFonts w:ascii="Times New Roman"/>
                <w:sz w:val="21"/>
              </w:rPr>
            </w:pPr>
            <w:r>
              <w:rPr>
                <w:rFonts w:ascii="Times New Roman"/>
                <w:sz w:val="21"/>
              </w:rPr>
              <w:t>73,207</w:t>
            </w:r>
          </w:p>
        </w:tc>
      </w:tr>
      <w:tr>
        <w:trPr>
          <w:trHeight w:val="270" w:hRule="atLeast"/>
        </w:trPr>
        <w:tc>
          <w:tcPr>
            <w:tcW w:w="3905" w:type="dxa"/>
          </w:tcPr>
          <w:p>
            <w:pPr>
              <w:pStyle w:val="TableParagraph"/>
              <w:spacing w:line="250" w:lineRule="exact" w:before="1"/>
              <w:ind w:left="107"/>
              <w:rPr>
                <w:sz w:val="21"/>
              </w:rPr>
            </w:pPr>
            <w:r>
              <w:rPr>
                <w:sz w:val="21"/>
              </w:rPr>
              <w:t>修理费 </w:t>
            </w:r>
          </w:p>
        </w:tc>
        <w:tc>
          <w:tcPr>
            <w:tcW w:w="2539" w:type="dxa"/>
          </w:tcPr>
          <w:p>
            <w:pPr>
              <w:pStyle w:val="TableParagraph"/>
              <w:spacing w:line="235" w:lineRule="exact"/>
              <w:ind w:right="92"/>
              <w:jc w:val="right"/>
              <w:rPr>
                <w:rFonts w:ascii="Times New Roman"/>
                <w:sz w:val="21"/>
              </w:rPr>
            </w:pPr>
            <w:r>
              <w:rPr>
                <w:rFonts w:ascii="Times New Roman"/>
                <w:sz w:val="21"/>
              </w:rPr>
              <w:t>51,323</w:t>
            </w:r>
          </w:p>
        </w:tc>
        <w:tc>
          <w:tcPr>
            <w:tcW w:w="2378" w:type="dxa"/>
          </w:tcPr>
          <w:p>
            <w:pPr>
              <w:pStyle w:val="TableParagraph"/>
              <w:spacing w:line="235" w:lineRule="exact"/>
              <w:ind w:right="91"/>
              <w:jc w:val="right"/>
              <w:rPr>
                <w:rFonts w:ascii="Times New Roman"/>
                <w:sz w:val="21"/>
              </w:rPr>
            </w:pPr>
            <w:r>
              <w:rPr>
                <w:rFonts w:ascii="Times New Roman"/>
                <w:sz w:val="21"/>
              </w:rPr>
              <w:t>33,228</w:t>
            </w:r>
          </w:p>
        </w:tc>
      </w:tr>
      <w:tr>
        <w:trPr>
          <w:trHeight w:val="273" w:hRule="atLeast"/>
        </w:trPr>
        <w:tc>
          <w:tcPr>
            <w:tcW w:w="3905" w:type="dxa"/>
          </w:tcPr>
          <w:p>
            <w:pPr>
              <w:pStyle w:val="TableParagraph"/>
              <w:spacing w:line="252" w:lineRule="exact" w:before="1"/>
              <w:ind w:left="107"/>
              <w:rPr>
                <w:sz w:val="21"/>
              </w:rPr>
            </w:pPr>
            <w:r>
              <w:rPr>
                <w:sz w:val="21"/>
              </w:rPr>
              <w:t>租赁费 </w:t>
            </w:r>
          </w:p>
        </w:tc>
        <w:tc>
          <w:tcPr>
            <w:tcW w:w="2539" w:type="dxa"/>
          </w:tcPr>
          <w:p>
            <w:pPr>
              <w:pStyle w:val="TableParagraph"/>
              <w:spacing w:line="235" w:lineRule="exact"/>
              <w:ind w:right="92"/>
              <w:jc w:val="right"/>
              <w:rPr>
                <w:rFonts w:ascii="Times New Roman"/>
                <w:sz w:val="21"/>
              </w:rPr>
            </w:pPr>
            <w:r>
              <w:rPr>
                <w:rFonts w:ascii="Times New Roman"/>
                <w:sz w:val="21"/>
              </w:rPr>
              <w:t>38,237</w:t>
            </w:r>
          </w:p>
        </w:tc>
        <w:tc>
          <w:tcPr>
            <w:tcW w:w="2378" w:type="dxa"/>
          </w:tcPr>
          <w:p>
            <w:pPr>
              <w:pStyle w:val="TableParagraph"/>
              <w:spacing w:line="235" w:lineRule="exact"/>
              <w:ind w:right="91"/>
              <w:jc w:val="right"/>
              <w:rPr>
                <w:rFonts w:ascii="Times New Roman"/>
                <w:sz w:val="21"/>
              </w:rPr>
            </w:pPr>
            <w:r>
              <w:rPr>
                <w:rFonts w:ascii="Times New Roman"/>
                <w:sz w:val="21"/>
              </w:rPr>
              <w:t>49,184</w:t>
            </w:r>
          </w:p>
        </w:tc>
      </w:tr>
      <w:tr>
        <w:trPr>
          <w:trHeight w:val="273" w:hRule="atLeast"/>
        </w:trPr>
        <w:tc>
          <w:tcPr>
            <w:tcW w:w="3905" w:type="dxa"/>
          </w:tcPr>
          <w:p>
            <w:pPr>
              <w:pStyle w:val="TableParagraph"/>
              <w:spacing w:line="252" w:lineRule="exact" w:before="1"/>
              <w:ind w:left="107"/>
              <w:rPr>
                <w:sz w:val="21"/>
              </w:rPr>
            </w:pPr>
            <w:r>
              <w:rPr>
                <w:sz w:val="21"/>
              </w:rPr>
              <w:t>环境保护费 </w:t>
            </w:r>
          </w:p>
        </w:tc>
        <w:tc>
          <w:tcPr>
            <w:tcW w:w="2539" w:type="dxa"/>
          </w:tcPr>
          <w:p>
            <w:pPr>
              <w:pStyle w:val="TableParagraph"/>
              <w:spacing w:line="235" w:lineRule="exact"/>
              <w:ind w:right="92"/>
              <w:jc w:val="right"/>
              <w:rPr>
                <w:rFonts w:ascii="Times New Roman"/>
                <w:sz w:val="21"/>
              </w:rPr>
            </w:pPr>
            <w:r>
              <w:rPr>
                <w:rFonts w:ascii="Times New Roman"/>
                <w:sz w:val="21"/>
              </w:rPr>
              <w:t>23,857</w:t>
            </w:r>
          </w:p>
        </w:tc>
        <w:tc>
          <w:tcPr>
            <w:tcW w:w="2378" w:type="dxa"/>
          </w:tcPr>
          <w:p>
            <w:pPr>
              <w:pStyle w:val="TableParagraph"/>
              <w:spacing w:line="235" w:lineRule="exact"/>
              <w:ind w:right="91"/>
              <w:jc w:val="right"/>
              <w:rPr>
                <w:rFonts w:ascii="Times New Roman"/>
                <w:sz w:val="21"/>
              </w:rPr>
            </w:pPr>
            <w:r>
              <w:rPr>
                <w:rFonts w:ascii="Times New Roman"/>
                <w:sz w:val="21"/>
              </w:rPr>
              <w:t>23,084</w:t>
            </w:r>
          </w:p>
        </w:tc>
      </w:tr>
      <w:tr>
        <w:trPr>
          <w:trHeight w:val="270" w:hRule="atLeast"/>
        </w:trPr>
        <w:tc>
          <w:tcPr>
            <w:tcW w:w="3905" w:type="dxa"/>
          </w:tcPr>
          <w:p>
            <w:pPr>
              <w:pStyle w:val="TableParagraph"/>
              <w:spacing w:line="250" w:lineRule="exact" w:before="1"/>
              <w:ind w:left="107"/>
              <w:rPr>
                <w:sz w:val="21"/>
              </w:rPr>
            </w:pPr>
            <w:r>
              <w:rPr>
                <w:sz w:val="21"/>
              </w:rPr>
              <w:t>保险费 </w:t>
            </w:r>
          </w:p>
        </w:tc>
        <w:tc>
          <w:tcPr>
            <w:tcW w:w="2539" w:type="dxa"/>
          </w:tcPr>
          <w:p>
            <w:pPr>
              <w:pStyle w:val="TableParagraph"/>
              <w:spacing w:line="235" w:lineRule="exact"/>
              <w:ind w:right="92"/>
              <w:jc w:val="right"/>
              <w:rPr>
                <w:rFonts w:ascii="Times New Roman"/>
                <w:sz w:val="21"/>
              </w:rPr>
            </w:pPr>
            <w:r>
              <w:rPr>
                <w:rFonts w:ascii="Times New Roman"/>
                <w:sz w:val="21"/>
              </w:rPr>
              <w:t>16,252</w:t>
            </w:r>
          </w:p>
        </w:tc>
        <w:tc>
          <w:tcPr>
            <w:tcW w:w="2378" w:type="dxa"/>
          </w:tcPr>
          <w:p>
            <w:pPr>
              <w:pStyle w:val="TableParagraph"/>
              <w:spacing w:line="235" w:lineRule="exact"/>
              <w:ind w:right="91"/>
              <w:jc w:val="right"/>
              <w:rPr>
                <w:rFonts w:ascii="Times New Roman"/>
                <w:sz w:val="21"/>
              </w:rPr>
            </w:pPr>
            <w:r>
              <w:rPr>
                <w:rFonts w:ascii="Times New Roman"/>
                <w:sz w:val="21"/>
              </w:rPr>
              <w:t>14,920</w:t>
            </w:r>
          </w:p>
        </w:tc>
      </w:tr>
      <w:tr>
        <w:trPr>
          <w:trHeight w:val="273" w:hRule="atLeast"/>
        </w:trPr>
        <w:tc>
          <w:tcPr>
            <w:tcW w:w="3905" w:type="dxa"/>
          </w:tcPr>
          <w:p>
            <w:pPr>
              <w:pStyle w:val="TableParagraph"/>
              <w:spacing w:line="252" w:lineRule="exact" w:before="1"/>
              <w:ind w:left="107"/>
              <w:rPr>
                <w:sz w:val="21"/>
              </w:rPr>
            </w:pPr>
            <w:r>
              <w:rPr>
                <w:sz w:val="21"/>
              </w:rPr>
              <w:t>其他 </w:t>
            </w:r>
          </w:p>
        </w:tc>
        <w:tc>
          <w:tcPr>
            <w:tcW w:w="2539" w:type="dxa"/>
          </w:tcPr>
          <w:p>
            <w:pPr>
              <w:pStyle w:val="TableParagraph"/>
              <w:spacing w:line="235" w:lineRule="exact"/>
              <w:ind w:right="92"/>
              <w:jc w:val="right"/>
              <w:rPr>
                <w:rFonts w:ascii="Times New Roman"/>
                <w:sz w:val="21"/>
              </w:rPr>
            </w:pPr>
            <w:r>
              <w:rPr>
                <w:rFonts w:ascii="Times New Roman"/>
                <w:sz w:val="21"/>
              </w:rPr>
              <w:t>241,028</w:t>
            </w:r>
          </w:p>
        </w:tc>
        <w:tc>
          <w:tcPr>
            <w:tcW w:w="2378" w:type="dxa"/>
          </w:tcPr>
          <w:p>
            <w:pPr>
              <w:pStyle w:val="TableParagraph"/>
              <w:spacing w:line="235" w:lineRule="exact"/>
              <w:ind w:right="91"/>
              <w:jc w:val="right"/>
              <w:rPr>
                <w:rFonts w:ascii="Times New Roman"/>
                <w:sz w:val="21"/>
              </w:rPr>
            </w:pPr>
            <w:r>
              <w:rPr>
                <w:rFonts w:ascii="Times New Roman"/>
                <w:sz w:val="21"/>
              </w:rPr>
              <w:t>319,835</w:t>
            </w:r>
          </w:p>
        </w:tc>
      </w:tr>
      <w:tr>
        <w:trPr>
          <w:trHeight w:val="273" w:hRule="atLeast"/>
        </w:trPr>
        <w:tc>
          <w:tcPr>
            <w:tcW w:w="3905" w:type="dxa"/>
          </w:tcPr>
          <w:p>
            <w:pPr>
              <w:pStyle w:val="TableParagraph"/>
              <w:spacing w:line="252" w:lineRule="exact" w:before="1"/>
              <w:ind w:right="1624"/>
              <w:jc w:val="right"/>
              <w:rPr>
                <w:sz w:val="21"/>
              </w:rPr>
            </w:pPr>
            <w:r>
              <w:rPr>
                <w:sz w:val="21"/>
              </w:rPr>
              <w:t>合计 </w:t>
            </w:r>
          </w:p>
        </w:tc>
        <w:tc>
          <w:tcPr>
            <w:tcW w:w="2539" w:type="dxa"/>
          </w:tcPr>
          <w:p>
            <w:pPr>
              <w:pStyle w:val="TableParagraph"/>
              <w:spacing w:line="235" w:lineRule="exact"/>
              <w:ind w:right="92"/>
              <w:jc w:val="right"/>
              <w:rPr>
                <w:rFonts w:ascii="Times New Roman"/>
                <w:sz w:val="21"/>
              </w:rPr>
            </w:pPr>
            <w:r>
              <w:rPr>
                <w:rFonts w:ascii="Times New Roman"/>
                <w:sz w:val="21"/>
              </w:rPr>
              <w:t>3,828,399</w:t>
            </w:r>
          </w:p>
        </w:tc>
        <w:tc>
          <w:tcPr>
            <w:tcW w:w="2378" w:type="dxa"/>
          </w:tcPr>
          <w:p>
            <w:pPr>
              <w:pStyle w:val="TableParagraph"/>
              <w:spacing w:line="235" w:lineRule="exact"/>
              <w:ind w:right="91"/>
              <w:jc w:val="right"/>
              <w:rPr>
                <w:rFonts w:ascii="Times New Roman"/>
                <w:sz w:val="21"/>
              </w:rPr>
            </w:pPr>
            <w:r>
              <w:rPr>
                <w:rFonts w:ascii="Times New Roman"/>
                <w:sz w:val="21"/>
              </w:rPr>
              <w:t>4,157,148</w:t>
            </w:r>
          </w:p>
        </w:tc>
      </w:tr>
    </w:tbl>
    <w:p>
      <w:pPr>
        <w:spacing w:after="0" w:line="235" w:lineRule="exact"/>
        <w:jc w:val="right"/>
        <w:rPr>
          <w:rFonts w:ascii="Times New Roman"/>
          <w:sz w:val="21"/>
        </w:rPr>
        <w:sectPr>
          <w:type w:val="continuous"/>
          <w:pgSz w:w="11910" w:h="16840"/>
          <w:pgMar w:top="780" w:bottom="280" w:left="1480" w:right="0"/>
        </w:sectPr>
      </w:pPr>
    </w:p>
    <w:p>
      <w:pPr>
        <w:pStyle w:val="BodyText"/>
        <w:spacing w:before="5"/>
      </w:pPr>
      <w:r>
        <w:rPr>
          <w:w w:val="100"/>
        </w:rPr>
        <w:t> </w:t>
      </w:r>
    </w:p>
    <w:p>
      <w:pPr>
        <w:pStyle w:val="BodyText"/>
        <w:spacing w:line="244" w:lineRule="auto" w:before="2"/>
        <w:ind w:right="666"/>
      </w:pPr>
      <w:r>
        <w:rPr/>
        <w:t>其他说明：</w:t>
      </w:r>
      <w:r>
        <w:rPr>
          <w:spacing w:val="1"/>
        </w:rPr>
        <w:t> </w:t>
      </w:r>
      <w:r>
        <w:rPr/>
        <w:t>无 </w:t>
      </w:r>
    </w:p>
    <w:p>
      <w:pPr>
        <w:pStyle w:val="BodyText"/>
        <w:spacing w:line="265" w:lineRule="exact"/>
      </w:pPr>
      <w:r>
        <w:rPr>
          <w:w w:val="100"/>
        </w:rPr>
        <w:t> </w:t>
      </w:r>
    </w:p>
    <w:p>
      <w:pPr>
        <w:pStyle w:val="BodyText"/>
        <w:spacing w:before="64"/>
      </w:pPr>
      <w:r>
        <w:rPr/>
        <w:t>65</w:t>
      </w:r>
      <w:r>
        <w:rPr>
          <w:spacing w:val="-5"/>
        </w:rPr>
        <w:t>、 研发费用</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
        <w:ind w:left="0"/>
        <w:rPr>
          <w:sz w:val="17"/>
        </w:rPr>
      </w:pPr>
    </w:p>
    <w:p>
      <w:pPr>
        <w:pStyle w:val="BodyText"/>
        <w:spacing w:before="1"/>
      </w:pPr>
      <w:r>
        <w:rPr>
          <w:spacing w:val="-2"/>
        </w:rPr>
        <w:t>单位：千元 币种：人民币</w:t>
      </w:r>
    </w:p>
    <w:p>
      <w:pPr>
        <w:spacing w:after="0"/>
        <w:sectPr>
          <w:type w:val="continuous"/>
          <w:pgSz w:w="11910" w:h="16840"/>
          <w:pgMar w:top="780" w:bottom="280" w:left="1480" w:right="0"/>
          <w:cols w:num="2" w:equalWidth="0">
            <w:col w:w="2144" w:space="4284"/>
            <w:col w:w="4002"/>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05"/>
        <w:gridCol w:w="2539"/>
        <w:gridCol w:w="2378"/>
      </w:tblGrid>
      <w:tr>
        <w:trPr>
          <w:trHeight w:val="273" w:hRule="atLeast"/>
        </w:trPr>
        <w:tc>
          <w:tcPr>
            <w:tcW w:w="3905" w:type="dxa"/>
          </w:tcPr>
          <w:p>
            <w:pPr>
              <w:pStyle w:val="TableParagraph"/>
              <w:spacing w:line="252" w:lineRule="exact" w:before="1"/>
              <w:ind w:right="1624"/>
              <w:jc w:val="right"/>
              <w:rPr>
                <w:sz w:val="21"/>
              </w:rPr>
            </w:pPr>
            <w:r>
              <w:rPr>
                <w:sz w:val="21"/>
              </w:rPr>
              <w:t>项目 </w:t>
            </w:r>
          </w:p>
        </w:tc>
        <w:tc>
          <w:tcPr>
            <w:tcW w:w="2539" w:type="dxa"/>
          </w:tcPr>
          <w:p>
            <w:pPr>
              <w:pStyle w:val="TableParagraph"/>
              <w:spacing w:line="252" w:lineRule="exact" w:before="1"/>
              <w:ind w:left="744"/>
              <w:rPr>
                <w:sz w:val="21"/>
              </w:rPr>
            </w:pPr>
            <w:r>
              <w:rPr>
                <w:sz w:val="21"/>
              </w:rPr>
              <w:t>本期发生额 </w:t>
            </w:r>
          </w:p>
        </w:tc>
        <w:tc>
          <w:tcPr>
            <w:tcW w:w="2378" w:type="dxa"/>
          </w:tcPr>
          <w:p>
            <w:pPr>
              <w:pStyle w:val="TableParagraph"/>
              <w:spacing w:line="252" w:lineRule="exact" w:before="1"/>
              <w:ind w:left="663"/>
              <w:rPr>
                <w:sz w:val="21"/>
              </w:rPr>
            </w:pPr>
            <w:r>
              <w:rPr>
                <w:sz w:val="21"/>
              </w:rPr>
              <w:t>上期发生额 </w:t>
            </w:r>
          </w:p>
        </w:tc>
      </w:tr>
      <w:tr>
        <w:trPr>
          <w:trHeight w:val="270" w:hRule="atLeast"/>
        </w:trPr>
        <w:tc>
          <w:tcPr>
            <w:tcW w:w="3905" w:type="dxa"/>
          </w:tcPr>
          <w:p>
            <w:pPr>
              <w:pStyle w:val="TableParagraph"/>
              <w:spacing w:line="250" w:lineRule="exact" w:before="1"/>
              <w:ind w:left="107"/>
              <w:rPr>
                <w:sz w:val="21"/>
              </w:rPr>
            </w:pPr>
            <w:r>
              <w:rPr>
                <w:spacing w:val="-1"/>
                <w:sz w:val="21"/>
              </w:rPr>
              <w:t>职工薪酬</w:t>
            </w:r>
            <w:r>
              <w:rPr>
                <w:sz w:val="21"/>
              </w:rPr>
              <w:t> </w:t>
            </w:r>
          </w:p>
        </w:tc>
        <w:tc>
          <w:tcPr>
            <w:tcW w:w="2539" w:type="dxa"/>
          </w:tcPr>
          <w:p>
            <w:pPr>
              <w:pStyle w:val="TableParagraph"/>
              <w:spacing w:line="250" w:lineRule="exact" w:before="1"/>
              <w:ind w:right="-15"/>
              <w:jc w:val="right"/>
              <w:rPr>
                <w:sz w:val="21"/>
              </w:rPr>
            </w:pPr>
            <w:r>
              <w:rPr>
                <w:sz w:val="21"/>
              </w:rPr>
              <w:t>5,966,112 </w:t>
            </w:r>
          </w:p>
        </w:tc>
        <w:tc>
          <w:tcPr>
            <w:tcW w:w="2378" w:type="dxa"/>
          </w:tcPr>
          <w:p>
            <w:pPr>
              <w:pStyle w:val="TableParagraph"/>
              <w:spacing w:line="250" w:lineRule="exact" w:before="1"/>
              <w:ind w:right="-15"/>
              <w:jc w:val="right"/>
              <w:rPr>
                <w:sz w:val="21"/>
              </w:rPr>
            </w:pPr>
            <w:r>
              <w:rPr>
                <w:sz w:val="21"/>
              </w:rPr>
              <w:t>5,714,301 </w:t>
            </w:r>
          </w:p>
        </w:tc>
      </w:tr>
      <w:tr>
        <w:trPr>
          <w:trHeight w:val="273" w:hRule="atLeast"/>
        </w:trPr>
        <w:tc>
          <w:tcPr>
            <w:tcW w:w="3905" w:type="dxa"/>
          </w:tcPr>
          <w:p>
            <w:pPr>
              <w:pStyle w:val="TableParagraph"/>
              <w:spacing w:line="252" w:lineRule="exact" w:before="1"/>
              <w:ind w:left="107"/>
              <w:rPr>
                <w:sz w:val="21"/>
              </w:rPr>
            </w:pPr>
            <w:r>
              <w:rPr>
                <w:sz w:val="21"/>
              </w:rPr>
              <w:t>物料消耗费 </w:t>
            </w:r>
          </w:p>
        </w:tc>
        <w:tc>
          <w:tcPr>
            <w:tcW w:w="2539" w:type="dxa"/>
          </w:tcPr>
          <w:p>
            <w:pPr>
              <w:pStyle w:val="TableParagraph"/>
              <w:spacing w:line="252" w:lineRule="exact" w:before="1"/>
              <w:ind w:right="-15"/>
              <w:jc w:val="right"/>
              <w:rPr>
                <w:sz w:val="21"/>
              </w:rPr>
            </w:pPr>
            <w:r>
              <w:rPr>
                <w:sz w:val="21"/>
              </w:rPr>
              <w:t>2,862,371 </w:t>
            </w:r>
          </w:p>
        </w:tc>
        <w:tc>
          <w:tcPr>
            <w:tcW w:w="2378" w:type="dxa"/>
          </w:tcPr>
          <w:p>
            <w:pPr>
              <w:pStyle w:val="TableParagraph"/>
              <w:spacing w:line="252" w:lineRule="exact" w:before="1"/>
              <w:ind w:right="-15"/>
              <w:jc w:val="right"/>
              <w:rPr>
                <w:sz w:val="21"/>
              </w:rPr>
            </w:pPr>
            <w:r>
              <w:rPr>
                <w:sz w:val="21"/>
              </w:rPr>
              <w:t>2,301,406 </w:t>
            </w:r>
          </w:p>
        </w:tc>
      </w:tr>
      <w:tr>
        <w:trPr>
          <w:trHeight w:val="273" w:hRule="atLeast"/>
        </w:trPr>
        <w:tc>
          <w:tcPr>
            <w:tcW w:w="3905" w:type="dxa"/>
          </w:tcPr>
          <w:p>
            <w:pPr>
              <w:pStyle w:val="TableParagraph"/>
              <w:spacing w:line="252" w:lineRule="exact" w:before="1"/>
              <w:ind w:left="107"/>
              <w:rPr>
                <w:sz w:val="21"/>
              </w:rPr>
            </w:pPr>
            <w:r>
              <w:rPr>
                <w:sz w:val="21"/>
              </w:rPr>
              <w:t>技术服务费 </w:t>
            </w:r>
          </w:p>
        </w:tc>
        <w:tc>
          <w:tcPr>
            <w:tcW w:w="2539" w:type="dxa"/>
          </w:tcPr>
          <w:p>
            <w:pPr>
              <w:pStyle w:val="TableParagraph"/>
              <w:spacing w:line="252" w:lineRule="exact" w:before="1"/>
              <w:ind w:right="-15"/>
              <w:jc w:val="right"/>
              <w:rPr>
                <w:sz w:val="21"/>
              </w:rPr>
            </w:pPr>
            <w:r>
              <w:rPr>
                <w:sz w:val="21"/>
              </w:rPr>
              <w:t>1,372,059 </w:t>
            </w:r>
          </w:p>
        </w:tc>
        <w:tc>
          <w:tcPr>
            <w:tcW w:w="2378" w:type="dxa"/>
          </w:tcPr>
          <w:p>
            <w:pPr>
              <w:pStyle w:val="TableParagraph"/>
              <w:spacing w:line="252" w:lineRule="exact" w:before="1"/>
              <w:ind w:right="-15"/>
              <w:jc w:val="right"/>
              <w:rPr>
                <w:sz w:val="21"/>
              </w:rPr>
            </w:pPr>
            <w:r>
              <w:rPr>
                <w:sz w:val="21"/>
              </w:rPr>
              <w:t>1,484,561 </w:t>
            </w:r>
          </w:p>
        </w:tc>
      </w:tr>
      <w:tr>
        <w:trPr>
          <w:trHeight w:val="270" w:hRule="atLeast"/>
        </w:trPr>
        <w:tc>
          <w:tcPr>
            <w:tcW w:w="3905" w:type="dxa"/>
          </w:tcPr>
          <w:p>
            <w:pPr>
              <w:pStyle w:val="TableParagraph"/>
              <w:spacing w:line="250" w:lineRule="exact" w:before="1"/>
              <w:ind w:left="107"/>
              <w:rPr>
                <w:sz w:val="21"/>
              </w:rPr>
            </w:pPr>
            <w:r>
              <w:rPr>
                <w:sz w:val="21"/>
              </w:rPr>
              <w:t>折旧和摊销 </w:t>
            </w:r>
          </w:p>
        </w:tc>
        <w:tc>
          <w:tcPr>
            <w:tcW w:w="2539" w:type="dxa"/>
          </w:tcPr>
          <w:p>
            <w:pPr>
              <w:pStyle w:val="TableParagraph"/>
              <w:spacing w:line="250" w:lineRule="exact" w:before="1"/>
              <w:ind w:right="-15"/>
              <w:jc w:val="right"/>
              <w:rPr>
                <w:sz w:val="21"/>
              </w:rPr>
            </w:pPr>
            <w:r>
              <w:rPr>
                <w:sz w:val="21"/>
              </w:rPr>
              <w:t>462,366 </w:t>
            </w:r>
          </w:p>
        </w:tc>
        <w:tc>
          <w:tcPr>
            <w:tcW w:w="2378" w:type="dxa"/>
          </w:tcPr>
          <w:p>
            <w:pPr>
              <w:pStyle w:val="TableParagraph"/>
              <w:spacing w:line="250" w:lineRule="exact" w:before="1"/>
              <w:ind w:right="-15"/>
              <w:jc w:val="right"/>
              <w:rPr>
                <w:sz w:val="21"/>
              </w:rPr>
            </w:pPr>
            <w:r>
              <w:rPr>
                <w:sz w:val="21"/>
              </w:rPr>
              <w:t>429,998 </w:t>
            </w:r>
          </w:p>
        </w:tc>
      </w:tr>
      <w:tr>
        <w:trPr>
          <w:trHeight w:val="273" w:hRule="atLeast"/>
        </w:trPr>
        <w:tc>
          <w:tcPr>
            <w:tcW w:w="3905" w:type="dxa"/>
          </w:tcPr>
          <w:p>
            <w:pPr>
              <w:pStyle w:val="TableParagraph"/>
              <w:spacing w:line="252" w:lineRule="exact" w:before="1"/>
              <w:ind w:left="107"/>
              <w:rPr>
                <w:sz w:val="21"/>
              </w:rPr>
            </w:pPr>
            <w:r>
              <w:rPr>
                <w:sz w:val="21"/>
              </w:rPr>
              <w:t>修理费 </w:t>
            </w:r>
          </w:p>
        </w:tc>
        <w:tc>
          <w:tcPr>
            <w:tcW w:w="2539" w:type="dxa"/>
          </w:tcPr>
          <w:p>
            <w:pPr>
              <w:pStyle w:val="TableParagraph"/>
              <w:spacing w:line="252" w:lineRule="exact" w:before="1"/>
              <w:ind w:right="-15"/>
              <w:jc w:val="right"/>
              <w:rPr>
                <w:sz w:val="21"/>
              </w:rPr>
            </w:pPr>
            <w:r>
              <w:rPr>
                <w:sz w:val="21"/>
              </w:rPr>
              <w:t>166,117 </w:t>
            </w:r>
          </w:p>
        </w:tc>
        <w:tc>
          <w:tcPr>
            <w:tcW w:w="2378" w:type="dxa"/>
          </w:tcPr>
          <w:p>
            <w:pPr>
              <w:pStyle w:val="TableParagraph"/>
              <w:spacing w:line="252" w:lineRule="exact" w:before="1"/>
              <w:ind w:right="-15"/>
              <w:jc w:val="right"/>
              <w:rPr>
                <w:sz w:val="21"/>
              </w:rPr>
            </w:pPr>
            <w:r>
              <w:rPr>
                <w:sz w:val="21"/>
              </w:rPr>
              <w:t>385,200 </w:t>
            </w:r>
          </w:p>
        </w:tc>
      </w:tr>
      <w:tr>
        <w:trPr>
          <w:trHeight w:val="270" w:hRule="atLeast"/>
        </w:trPr>
        <w:tc>
          <w:tcPr>
            <w:tcW w:w="3905" w:type="dxa"/>
          </w:tcPr>
          <w:p>
            <w:pPr>
              <w:pStyle w:val="TableParagraph"/>
              <w:spacing w:line="250" w:lineRule="exact" w:before="1"/>
              <w:ind w:left="107"/>
              <w:rPr>
                <w:sz w:val="21"/>
              </w:rPr>
            </w:pPr>
            <w:r>
              <w:rPr>
                <w:sz w:val="21"/>
              </w:rPr>
              <w:t>检测费 </w:t>
            </w:r>
          </w:p>
        </w:tc>
        <w:tc>
          <w:tcPr>
            <w:tcW w:w="2539" w:type="dxa"/>
          </w:tcPr>
          <w:p>
            <w:pPr>
              <w:pStyle w:val="TableParagraph"/>
              <w:spacing w:line="250" w:lineRule="exact" w:before="1"/>
              <w:ind w:right="-15"/>
              <w:jc w:val="right"/>
              <w:rPr>
                <w:sz w:val="21"/>
              </w:rPr>
            </w:pPr>
            <w:r>
              <w:rPr>
                <w:sz w:val="21"/>
              </w:rPr>
              <w:t>125,630 </w:t>
            </w:r>
          </w:p>
        </w:tc>
        <w:tc>
          <w:tcPr>
            <w:tcW w:w="2378" w:type="dxa"/>
          </w:tcPr>
          <w:p>
            <w:pPr>
              <w:pStyle w:val="TableParagraph"/>
              <w:spacing w:line="250" w:lineRule="exact" w:before="1"/>
              <w:ind w:right="-15"/>
              <w:jc w:val="right"/>
              <w:rPr>
                <w:sz w:val="21"/>
              </w:rPr>
            </w:pPr>
            <w:r>
              <w:rPr>
                <w:sz w:val="21"/>
              </w:rPr>
              <w:t>84,327 </w:t>
            </w:r>
          </w:p>
        </w:tc>
      </w:tr>
      <w:tr>
        <w:trPr>
          <w:trHeight w:val="273" w:hRule="atLeast"/>
        </w:trPr>
        <w:tc>
          <w:tcPr>
            <w:tcW w:w="3905" w:type="dxa"/>
          </w:tcPr>
          <w:p>
            <w:pPr>
              <w:pStyle w:val="TableParagraph"/>
              <w:spacing w:line="250" w:lineRule="exact" w:before="3"/>
              <w:ind w:left="107"/>
              <w:rPr>
                <w:sz w:val="21"/>
              </w:rPr>
            </w:pPr>
            <w:r>
              <w:rPr>
                <w:spacing w:val="-1"/>
                <w:sz w:val="21"/>
              </w:rPr>
              <w:t>使用权资产折旧</w:t>
            </w:r>
            <w:r>
              <w:rPr>
                <w:sz w:val="21"/>
              </w:rPr>
              <w:t> </w:t>
            </w:r>
          </w:p>
        </w:tc>
        <w:tc>
          <w:tcPr>
            <w:tcW w:w="2539" w:type="dxa"/>
          </w:tcPr>
          <w:p>
            <w:pPr>
              <w:pStyle w:val="TableParagraph"/>
              <w:spacing w:line="250" w:lineRule="exact" w:before="3"/>
              <w:ind w:right="-15"/>
              <w:jc w:val="right"/>
              <w:rPr>
                <w:sz w:val="21"/>
              </w:rPr>
            </w:pPr>
            <w:r>
              <w:rPr>
                <w:sz w:val="21"/>
              </w:rPr>
              <w:t>90,013 </w:t>
            </w:r>
          </w:p>
        </w:tc>
        <w:tc>
          <w:tcPr>
            <w:tcW w:w="2378" w:type="dxa"/>
          </w:tcPr>
          <w:p>
            <w:pPr>
              <w:pStyle w:val="TableParagraph"/>
              <w:spacing w:line="250" w:lineRule="exact" w:before="3"/>
              <w:ind w:right="-15"/>
              <w:jc w:val="right"/>
              <w:rPr>
                <w:sz w:val="21"/>
              </w:rPr>
            </w:pPr>
            <w:r>
              <w:rPr>
                <w:sz w:val="21"/>
              </w:rPr>
              <w:t>75,858 </w:t>
            </w:r>
          </w:p>
        </w:tc>
      </w:tr>
      <w:tr>
        <w:trPr>
          <w:trHeight w:val="273" w:hRule="atLeast"/>
        </w:trPr>
        <w:tc>
          <w:tcPr>
            <w:tcW w:w="3905" w:type="dxa"/>
          </w:tcPr>
          <w:p>
            <w:pPr>
              <w:pStyle w:val="TableParagraph"/>
              <w:spacing w:line="252" w:lineRule="exact" w:before="1"/>
              <w:ind w:left="107"/>
              <w:rPr>
                <w:sz w:val="21"/>
              </w:rPr>
            </w:pPr>
            <w:r>
              <w:rPr>
                <w:sz w:val="21"/>
              </w:rPr>
              <w:t>租赁费 </w:t>
            </w:r>
          </w:p>
        </w:tc>
        <w:tc>
          <w:tcPr>
            <w:tcW w:w="2539" w:type="dxa"/>
          </w:tcPr>
          <w:p>
            <w:pPr>
              <w:pStyle w:val="TableParagraph"/>
              <w:spacing w:line="252" w:lineRule="exact" w:before="1"/>
              <w:ind w:right="-15"/>
              <w:jc w:val="right"/>
              <w:rPr>
                <w:sz w:val="21"/>
              </w:rPr>
            </w:pPr>
            <w:r>
              <w:rPr>
                <w:sz w:val="21"/>
              </w:rPr>
              <w:t>61,002 </w:t>
            </w:r>
          </w:p>
        </w:tc>
        <w:tc>
          <w:tcPr>
            <w:tcW w:w="2378" w:type="dxa"/>
          </w:tcPr>
          <w:p>
            <w:pPr>
              <w:pStyle w:val="TableParagraph"/>
              <w:spacing w:line="252" w:lineRule="exact" w:before="1"/>
              <w:ind w:right="-15"/>
              <w:jc w:val="right"/>
              <w:rPr>
                <w:sz w:val="21"/>
              </w:rPr>
            </w:pPr>
            <w:r>
              <w:rPr>
                <w:sz w:val="21"/>
              </w:rPr>
              <w:t>58,175 </w:t>
            </w:r>
          </w:p>
        </w:tc>
      </w:tr>
      <w:tr>
        <w:trPr>
          <w:trHeight w:val="270" w:hRule="atLeast"/>
        </w:trPr>
        <w:tc>
          <w:tcPr>
            <w:tcW w:w="3905" w:type="dxa"/>
          </w:tcPr>
          <w:p>
            <w:pPr>
              <w:pStyle w:val="TableParagraph"/>
              <w:spacing w:line="250" w:lineRule="exact" w:before="1"/>
              <w:ind w:left="107"/>
              <w:rPr>
                <w:sz w:val="21"/>
              </w:rPr>
            </w:pPr>
            <w:r>
              <w:rPr>
                <w:sz w:val="21"/>
              </w:rPr>
              <w:t>加工费 </w:t>
            </w:r>
          </w:p>
        </w:tc>
        <w:tc>
          <w:tcPr>
            <w:tcW w:w="2539" w:type="dxa"/>
          </w:tcPr>
          <w:p>
            <w:pPr>
              <w:pStyle w:val="TableParagraph"/>
              <w:spacing w:line="250" w:lineRule="exact" w:before="1"/>
              <w:ind w:right="-15"/>
              <w:jc w:val="right"/>
              <w:rPr>
                <w:sz w:val="21"/>
              </w:rPr>
            </w:pPr>
            <w:r>
              <w:rPr>
                <w:sz w:val="21"/>
              </w:rPr>
              <w:t>25,935 </w:t>
            </w:r>
          </w:p>
        </w:tc>
        <w:tc>
          <w:tcPr>
            <w:tcW w:w="2378" w:type="dxa"/>
          </w:tcPr>
          <w:p>
            <w:pPr>
              <w:pStyle w:val="TableParagraph"/>
              <w:spacing w:line="250" w:lineRule="exact" w:before="1"/>
              <w:ind w:right="-15"/>
              <w:jc w:val="right"/>
              <w:rPr>
                <w:sz w:val="21"/>
              </w:rPr>
            </w:pPr>
            <w:r>
              <w:rPr>
                <w:sz w:val="21"/>
              </w:rPr>
              <w:t>71,720 </w:t>
            </w:r>
          </w:p>
        </w:tc>
      </w:tr>
      <w:tr>
        <w:trPr>
          <w:trHeight w:val="273" w:hRule="atLeast"/>
        </w:trPr>
        <w:tc>
          <w:tcPr>
            <w:tcW w:w="3905" w:type="dxa"/>
          </w:tcPr>
          <w:p>
            <w:pPr>
              <w:pStyle w:val="TableParagraph"/>
              <w:spacing w:line="250" w:lineRule="exact" w:before="3"/>
              <w:ind w:left="107"/>
              <w:rPr>
                <w:sz w:val="21"/>
              </w:rPr>
            </w:pPr>
            <w:r>
              <w:rPr>
                <w:sz w:val="21"/>
              </w:rPr>
              <w:t>其他 </w:t>
            </w:r>
          </w:p>
        </w:tc>
        <w:tc>
          <w:tcPr>
            <w:tcW w:w="2539" w:type="dxa"/>
          </w:tcPr>
          <w:p>
            <w:pPr>
              <w:pStyle w:val="TableParagraph"/>
              <w:spacing w:line="250" w:lineRule="exact" w:before="3"/>
              <w:ind w:right="-15"/>
              <w:jc w:val="right"/>
              <w:rPr>
                <w:sz w:val="21"/>
              </w:rPr>
            </w:pPr>
            <w:r>
              <w:rPr>
                <w:sz w:val="21"/>
              </w:rPr>
              <w:t>456,409 </w:t>
            </w:r>
          </w:p>
        </w:tc>
        <w:tc>
          <w:tcPr>
            <w:tcW w:w="2378" w:type="dxa"/>
          </w:tcPr>
          <w:p>
            <w:pPr>
              <w:pStyle w:val="TableParagraph"/>
              <w:spacing w:line="250" w:lineRule="exact" w:before="3"/>
              <w:ind w:right="-15"/>
              <w:jc w:val="right"/>
              <w:rPr>
                <w:sz w:val="21"/>
              </w:rPr>
            </w:pPr>
            <w:r>
              <w:rPr>
                <w:sz w:val="21"/>
              </w:rPr>
              <w:t>229,486 </w:t>
            </w:r>
          </w:p>
        </w:tc>
      </w:tr>
      <w:tr>
        <w:trPr>
          <w:trHeight w:val="273" w:hRule="atLeast"/>
        </w:trPr>
        <w:tc>
          <w:tcPr>
            <w:tcW w:w="3905" w:type="dxa"/>
          </w:tcPr>
          <w:p>
            <w:pPr>
              <w:pStyle w:val="TableParagraph"/>
              <w:spacing w:line="253" w:lineRule="exact" w:before="1"/>
              <w:ind w:right="1624"/>
              <w:jc w:val="right"/>
              <w:rPr>
                <w:sz w:val="21"/>
              </w:rPr>
            </w:pPr>
            <w:r>
              <w:rPr>
                <w:sz w:val="21"/>
              </w:rPr>
              <w:t>合计 </w:t>
            </w:r>
          </w:p>
        </w:tc>
        <w:tc>
          <w:tcPr>
            <w:tcW w:w="2539" w:type="dxa"/>
          </w:tcPr>
          <w:p>
            <w:pPr>
              <w:pStyle w:val="TableParagraph"/>
              <w:spacing w:line="253" w:lineRule="exact" w:before="1"/>
              <w:ind w:right="-15"/>
              <w:jc w:val="right"/>
              <w:rPr>
                <w:sz w:val="21"/>
              </w:rPr>
            </w:pPr>
            <w:r>
              <w:rPr>
                <w:sz w:val="21"/>
              </w:rPr>
              <w:t>11,588,014 </w:t>
            </w:r>
          </w:p>
        </w:tc>
        <w:tc>
          <w:tcPr>
            <w:tcW w:w="2378" w:type="dxa"/>
          </w:tcPr>
          <w:p>
            <w:pPr>
              <w:pStyle w:val="TableParagraph"/>
              <w:spacing w:line="253" w:lineRule="exact" w:before="1"/>
              <w:ind w:right="-15"/>
              <w:jc w:val="right"/>
              <w:rPr>
                <w:sz w:val="21"/>
              </w:rPr>
            </w:pPr>
            <w:r>
              <w:rPr>
                <w:sz w:val="21"/>
              </w:rPr>
              <w:t>10,835,032 </w:t>
            </w:r>
          </w:p>
        </w:tc>
      </w:tr>
    </w:tbl>
    <w:p>
      <w:pPr>
        <w:spacing w:after="0" w:line="253" w:lineRule="exact"/>
        <w:jc w:val="right"/>
        <w:rPr>
          <w:sz w:val="21"/>
        </w:rPr>
        <w:sectPr>
          <w:type w:val="continuous"/>
          <w:pgSz w:w="11910" w:h="16840"/>
          <w:pgMar w:top="780" w:bottom="280" w:left="1480" w:right="0"/>
        </w:sectPr>
      </w:pPr>
    </w:p>
    <w:p>
      <w:pPr>
        <w:pStyle w:val="BodyText"/>
        <w:spacing w:before="4"/>
      </w:pPr>
      <w:r>
        <w:rPr>
          <w:w w:val="100"/>
        </w:rPr>
        <w:t> </w:t>
      </w:r>
    </w:p>
    <w:p>
      <w:pPr>
        <w:pStyle w:val="BodyText"/>
        <w:spacing w:line="244" w:lineRule="auto" w:before="2"/>
        <w:ind w:right="666"/>
      </w:pPr>
      <w:r>
        <w:rPr/>
        <w:t>其他说明：</w:t>
      </w:r>
      <w:r>
        <w:rPr>
          <w:spacing w:val="1"/>
        </w:rPr>
        <w:t> </w:t>
      </w:r>
      <w:r>
        <w:rPr/>
        <w:t>无 </w:t>
      </w:r>
    </w:p>
    <w:p>
      <w:pPr>
        <w:pStyle w:val="BodyText"/>
        <w:spacing w:line="265" w:lineRule="exact"/>
      </w:pPr>
      <w:r>
        <w:rPr>
          <w:w w:val="100"/>
        </w:rPr>
        <w:t> </w:t>
      </w:r>
    </w:p>
    <w:p>
      <w:pPr>
        <w:pStyle w:val="BodyText"/>
        <w:spacing w:before="65"/>
      </w:pPr>
      <w:r>
        <w:rPr/>
        <w:t>66</w:t>
      </w:r>
      <w:r>
        <w:rPr>
          <w:spacing w:val="-5"/>
        </w:rPr>
        <w:t>、 财务费用</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3"/>
        <w:ind w:left="0"/>
        <w:rPr>
          <w:sz w:val="17"/>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2144" w:space="4166"/>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05"/>
        <w:gridCol w:w="2539"/>
        <w:gridCol w:w="2378"/>
      </w:tblGrid>
      <w:tr>
        <w:trPr>
          <w:trHeight w:val="273" w:hRule="atLeast"/>
        </w:trPr>
        <w:tc>
          <w:tcPr>
            <w:tcW w:w="3905" w:type="dxa"/>
          </w:tcPr>
          <w:p>
            <w:pPr>
              <w:pStyle w:val="TableParagraph"/>
              <w:spacing w:line="252" w:lineRule="exact" w:before="1"/>
              <w:ind w:left="1775" w:right="1660"/>
              <w:jc w:val="center"/>
              <w:rPr>
                <w:sz w:val="21"/>
              </w:rPr>
            </w:pPr>
            <w:r>
              <w:rPr>
                <w:sz w:val="21"/>
              </w:rPr>
              <w:t>项目 </w:t>
            </w:r>
          </w:p>
        </w:tc>
        <w:tc>
          <w:tcPr>
            <w:tcW w:w="2539" w:type="dxa"/>
          </w:tcPr>
          <w:p>
            <w:pPr>
              <w:pStyle w:val="TableParagraph"/>
              <w:spacing w:line="252" w:lineRule="exact" w:before="1"/>
              <w:ind w:left="744"/>
              <w:rPr>
                <w:sz w:val="21"/>
              </w:rPr>
            </w:pPr>
            <w:r>
              <w:rPr>
                <w:sz w:val="21"/>
              </w:rPr>
              <w:t>本期发生额 </w:t>
            </w:r>
          </w:p>
        </w:tc>
        <w:tc>
          <w:tcPr>
            <w:tcW w:w="2378" w:type="dxa"/>
          </w:tcPr>
          <w:p>
            <w:pPr>
              <w:pStyle w:val="TableParagraph"/>
              <w:spacing w:line="252" w:lineRule="exact" w:before="1"/>
              <w:ind w:left="663"/>
              <w:rPr>
                <w:sz w:val="21"/>
              </w:rPr>
            </w:pPr>
            <w:r>
              <w:rPr>
                <w:sz w:val="21"/>
              </w:rPr>
              <w:t>上期发生额 </w:t>
            </w:r>
          </w:p>
        </w:tc>
      </w:tr>
      <w:tr>
        <w:trPr>
          <w:trHeight w:val="270" w:hRule="atLeast"/>
        </w:trPr>
        <w:tc>
          <w:tcPr>
            <w:tcW w:w="3905" w:type="dxa"/>
          </w:tcPr>
          <w:p>
            <w:pPr>
              <w:pStyle w:val="TableParagraph"/>
              <w:spacing w:line="250" w:lineRule="exact" w:before="1"/>
              <w:ind w:left="107"/>
              <w:rPr>
                <w:sz w:val="21"/>
              </w:rPr>
            </w:pPr>
            <w:r>
              <w:rPr>
                <w:spacing w:val="-1"/>
                <w:sz w:val="21"/>
              </w:rPr>
              <w:t>利息费用</w:t>
            </w:r>
            <w:r>
              <w:rPr>
                <w:sz w:val="21"/>
              </w:rPr>
              <w:t> </w:t>
            </w:r>
          </w:p>
        </w:tc>
        <w:tc>
          <w:tcPr>
            <w:tcW w:w="2539" w:type="dxa"/>
          </w:tcPr>
          <w:p>
            <w:pPr>
              <w:pStyle w:val="TableParagraph"/>
              <w:spacing w:line="250" w:lineRule="exact" w:before="1"/>
              <w:ind w:right="-15"/>
              <w:jc w:val="right"/>
              <w:rPr>
                <w:sz w:val="21"/>
              </w:rPr>
            </w:pPr>
            <w:r>
              <w:rPr>
                <w:sz w:val="21"/>
              </w:rPr>
              <w:t>1,481,891 </w:t>
            </w:r>
          </w:p>
        </w:tc>
        <w:tc>
          <w:tcPr>
            <w:tcW w:w="2378" w:type="dxa"/>
          </w:tcPr>
          <w:p>
            <w:pPr>
              <w:pStyle w:val="TableParagraph"/>
              <w:spacing w:line="250" w:lineRule="exact" w:before="1"/>
              <w:ind w:right="-15"/>
              <w:jc w:val="right"/>
              <w:rPr>
                <w:sz w:val="21"/>
              </w:rPr>
            </w:pPr>
            <w:r>
              <w:rPr>
                <w:sz w:val="21"/>
              </w:rPr>
              <w:t>492,427 </w:t>
            </w:r>
          </w:p>
        </w:tc>
      </w:tr>
      <w:tr>
        <w:trPr>
          <w:trHeight w:val="273" w:hRule="atLeast"/>
        </w:trPr>
        <w:tc>
          <w:tcPr>
            <w:tcW w:w="3905" w:type="dxa"/>
          </w:tcPr>
          <w:p>
            <w:pPr>
              <w:pStyle w:val="TableParagraph"/>
              <w:spacing w:line="250" w:lineRule="exact" w:before="3"/>
              <w:ind w:left="107"/>
              <w:rPr>
                <w:sz w:val="21"/>
              </w:rPr>
            </w:pPr>
            <w:r>
              <w:rPr>
                <w:spacing w:val="-1"/>
                <w:sz w:val="21"/>
              </w:rPr>
              <w:t>减：利息收入</w:t>
            </w:r>
            <w:r>
              <w:rPr>
                <w:sz w:val="21"/>
              </w:rPr>
              <w:t> </w:t>
            </w:r>
          </w:p>
        </w:tc>
        <w:tc>
          <w:tcPr>
            <w:tcW w:w="2539" w:type="dxa"/>
          </w:tcPr>
          <w:p>
            <w:pPr>
              <w:pStyle w:val="TableParagraph"/>
              <w:spacing w:line="250" w:lineRule="exact" w:before="3"/>
              <w:ind w:right="-15"/>
              <w:jc w:val="right"/>
              <w:rPr>
                <w:sz w:val="21"/>
              </w:rPr>
            </w:pPr>
            <w:r>
              <w:rPr>
                <w:sz w:val="21"/>
              </w:rPr>
              <w:t>-1,821,304 </w:t>
            </w:r>
          </w:p>
        </w:tc>
        <w:tc>
          <w:tcPr>
            <w:tcW w:w="2378" w:type="dxa"/>
          </w:tcPr>
          <w:p>
            <w:pPr>
              <w:pStyle w:val="TableParagraph"/>
              <w:spacing w:line="250" w:lineRule="exact" w:before="3"/>
              <w:ind w:right="-15"/>
              <w:jc w:val="right"/>
              <w:rPr>
                <w:sz w:val="21"/>
              </w:rPr>
            </w:pPr>
            <w:r>
              <w:rPr>
                <w:sz w:val="21"/>
              </w:rPr>
              <w:t>-1,793,476 </w:t>
            </w:r>
          </w:p>
        </w:tc>
      </w:tr>
    </w:tbl>
    <w:p>
      <w:pPr>
        <w:spacing w:after="0" w:line="250" w:lineRule="exact"/>
        <w:jc w:val="right"/>
        <w:rPr>
          <w:sz w:val="21"/>
        </w:rPr>
        <w:sectPr>
          <w:type w:val="continuous"/>
          <w:pgSz w:w="11910" w:h="16840"/>
          <w:pgMar w:top="780" w:bottom="2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05"/>
        <w:gridCol w:w="2539"/>
        <w:gridCol w:w="2378"/>
      </w:tblGrid>
      <w:tr>
        <w:trPr>
          <w:trHeight w:val="273" w:hRule="atLeast"/>
        </w:trPr>
        <w:tc>
          <w:tcPr>
            <w:tcW w:w="3905" w:type="dxa"/>
          </w:tcPr>
          <w:p>
            <w:pPr>
              <w:pStyle w:val="TableParagraph"/>
              <w:spacing w:line="250" w:lineRule="exact" w:before="3"/>
              <w:ind w:left="107"/>
              <w:rPr>
                <w:sz w:val="21"/>
              </w:rPr>
            </w:pPr>
            <w:r>
              <w:rPr>
                <w:sz w:val="21"/>
              </w:rPr>
              <w:t>汇兑(收益)/损失 </w:t>
            </w:r>
          </w:p>
        </w:tc>
        <w:tc>
          <w:tcPr>
            <w:tcW w:w="2539" w:type="dxa"/>
          </w:tcPr>
          <w:p>
            <w:pPr>
              <w:pStyle w:val="TableParagraph"/>
              <w:spacing w:line="250" w:lineRule="exact" w:before="3"/>
              <w:ind w:right="-15"/>
              <w:jc w:val="right"/>
              <w:rPr>
                <w:sz w:val="21"/>
              </w:rPr>
            </w:pPr>
            <w:r>
              <w:rPr>
                <w:sz w:val="21"/>
              </w:rPr>
              <w:t>-388,141 </w:t>
            </w:r>
          </w:p>
        </w:tc>
        <w:tc>
          <w:tcPr>
            <w:tcW w:w="2378" w:type="dxa"/>
          </w:tcPr>
          <w:p>
            <w:pPr>
              <w:pStyle w:val="TableParagraph"/>
              <w:spacing w:line="250" w:lineRule="exact" w:before="3"/>
              <w:ind w:right="-15"/>
              <w:jc w:val="right"/>
              <w:rPr>
                <w:sz w:val="21"/>
              </w:rPr>
            </w:pPr>
            <w:r>
              <w:rPr>
                <w:sz w:val="21"/>
              </w:rPr>
              <w:t>458,352 </w:t>
            </w:r>
          </w:p>
        </w:tc>
      </w:tr>
      <w:tr>
        <w:trPr>
          <w:trHeight w:val="273" w:hRule="atLeast"/>
        </w:trPr>
        <w:tc>
          <w:tcPr>
            <w:tcW w:w="3905" w:type="dxa"/>
          </w:tcPr>
          <w:p>
            <w:pPr>
              <w:pStyle w:val="TableParagraph"/>
              <w:spacing w:line="252" w:lineRule="exact" w:before="1"/>
              <w:ind w:left="107"/>
              <w:rPr>
                <w:sz w:val="21"/>
              </w:rPr>
            </w:pPr>
            <w:r>
              <w:rPr>
                <w:sz w:val="21"/>
              </w:rPr>
              <w:t>其他 </w:t>
            </w:r>
          </w:p>
        </w:tc>
        <w:tc>
          <w:tcPr>
            <w:tcW w:w="2539" w:type="dxa"/>
          </w:tcPr>
          <w:p>
            <w:pPr>
              <w:pStyle w:val="TableParagraph"/>
              <w:spacing w:line="252" w:lineRule="exact" w:before="1"/>
              <w:ind w:right="-15"/>
              <w:jc w:val="right"/>
              <w:rPr>
                <w:sz w:val="21"/>
              </w:rPr>
            </w:pPr>
            <w:r>
              <w:rPr>
                <w:sz w:val="21"/>
              </w:rPr>
              <w:t>24,012 </w:t>
            </w:r>
          </w:p>
        </w:tc>
        <w:tc>
          <w:tcPr>
            <w:tcW w:w="2378" w:type="dxa"/>
          </w:tcPr>
          <w:p>
            <w:pPr>
              <w:pStyle w:val="TableParagraph"/>
              <w:spacing w:line="252" w:lineRule="exact" w:before="1"/>
              <w:ind w:right="-15"/>
              <w:jc w:val="right"/>
              <w:rPr>
                <w:sz w:val="21"/>
              </w:rPr>
            </w:pPr>
            <w:r>
              <w:rPr>
                <w:sz w:val="21"/>
              </w:rPr>
              <w:t>16,308 </w:t>
            </w:r>
          </w:p>
        </w:tc>
      </w:tr>
      <w:tr>
        <w:trPr>
          <w:trHeight w:val="273" w:hRule="atLeast"/>
        </w:trPr>
        <w:tc>
          <w:tcPr>
            <w:tcW w:w="3905" w:type="dxa"/>
          </w:tcPr>
          <w:p>
            <w:pPr>
              <w:pStyle w:val="TableParagraph"/>
              <w:spacing w:line="252" w:lineRule="exact" w:before="1"/>
              <w:ind w:left="1775" w:right="1660"/>
              <w:jc w:val="center"/>
              <w:rPr>
                <w:sz w:val="21"/>
              </w:rPr>
            </w:pPr>
            <w:r>
              <w:rPr>
                <w:sz w:val="21"/>
              </w:rPr>
              <w:t>合计 </w:t>
            </w:r>
          </w:p>
        </w:tc>
        <w:tc>
          <w:tcPr>
            <w:tcW w:w="2539" w:type="dxa"/>
          </w:tcPr>
          <w:p>
            <w:pPr>
              <w:pStyle w:val="TableParagraph"/>
              <w:spacing w:line="252" w:lineRule="exact" w:before="1"/>
              <w:ind w:right="-15"/>
              <w:jc w:val="right"/>
              <w:rPr>
                <w:sz w:val="21"/>
              </w:rPr>
            </w:pPr>
            <w:r>
              <w:rPr>
                <w:sz w:val="21"/>
              </w:rPr>
              <w:t>-703,542 </w:t>
            </w:r>
          </w:p>
        </w:tc>
        <w:tc>
          <w:tcPr>
            <w:tcW w:w="2378" w:type="dxa"/>
          </w:tcPr>
          <w:p>
            <w:pPr>
              <w:pStyle w:val="TableParagraph"/>
              <w:spacing w:line="252" w:lineRule="exact" w:before="1"/>
              <w:ind w:right="-15"/>
              <w:jc w:val="right"/>
              <w:rPr>
                <w:sz w:val="21"/>
              </w:rPr>
            </w:pPr>
            <w:r>
              <w:rPr>
                <w:sz w:val="21"/>
              </w:rPr>
              <w:t>-826,389 </w:t>
            </w:r>
          </w:p>
        </w:tc>
      </w:tr>
    </w:tbl>
    <w:p>
      <w:pPr>
        <w:pStyle w:val="BodyText"/>
        <w:spacing w:before="1"/>
      </w:pPr>
      <w:r>
        <w:rPr>
          <w:w w:val="100"/>
        </w:rPr>
        <w:t> </w:t>
      </w:r>
    </w:p>
    <w:p>
      <w:pPr>
        <w:pStyle w:val="BodyText"/>
        <w:spacing w:line="242" w:lineRule="auto" w:before="2"/>
        <w:ind w:right="8949"/>
      </w:pPr>
      <w:r>
        <w:rPr/>
        <w:t>其他说明：</w:t>
      </w:r>
      <w:r>
        <w:rPr>
          <w:spacing w:val="1"/>
        </w:rPr>
        <w:t> </w:t>
      </w:r>
      <w:r>
        <w:rPr/>
        <w:t>无 </w:t>
      </w:r>
    </w:p>
    <w:p>
      <w:pPr>
        <w:pStyle w:val="BodyText"/>
        <w:spacing w:before="1"/>
      </w:pPr>
      <w:r>
        <w:rPr>
          <w:w w:val="100"/>
        </w:rPr>
        <w:t> </w:t>
      </w:r>
    </w:p>
    <w:p>
      <w:pPr>
        <w:pStyle w:val="BodyText"/>
        <w:spacing w:before="8"/>
        <w:ind w:left="0"/>
        <w:rPr>
          <w:sz w:val="14"/>
        </w:rPr>
      </w:pPr>
    </w:p>
    <w:p>
      <w:pPr>
        <w:spacing w:after="0"/>
        <w:rPr>
          <w:sz w:val="14"/>
        </w:rPr>
        <w:sectPr>
          <w:pgSz w:w="11910" w:h="16840"/>
          <w:pgMar w:header="882" w:footer="1184" w:top="1120" w:bottom="1380" w:left="1480" w:right="0"/>
        </w:sectPr>
      </w:pPr>
    </w:p>
    <w:p>
      <w:pPr>
        <w:pStyle w:val="BodyText"/>
        <w:spacing w:before="72"/>
      </w:pPr>
      <w:r>
        <w:rPr>
          <w:w w:val="100"/>
        </w:rPr>
        <w:t> </w:t>
      </w:r>
    </w:p>
    <w:p>
      <w:pPr>
        <w:pStyle w:val="BodyText"/>
        <w:spacing w:before="4"/>
      </w:pPr>
      <w:r>
        <w:rPr>
          <w:w w:val="100"/>
        </w:rPr>
        <w:t> </w:t>
      </w:r>
    </w:p>
    <w:p>
      <w:pPr>
        <w:pStyle w:val="BodyText"/>
        <w:spacing w:before="3"/>
      </w:pPr>
      <w:r>
        <w:rPr>
          <w:w w:val="100"/>
        </w:rPr>
        <w:t> </w:t>
      </w:r>
    </w:p>
    <w:p>
      <w:pPr>
        <w:pStyle w:val="BodyText"/>
        <w:spacing w:before="64"/>
      </w:pPr>
      <w:r>
        <w:rPr/>
        <w:t>67</w:t>
      </w:r>
      <w:r>
        <w:rPr>
          <w:spacing w:val="-5"/>
        </w:rPr>
        <w:t>、 其他收益</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5"/>
        <w:ind w:left="0"/>
      </w:pPr>
    </w:p>
    <w:p>
      <w:pPr>
        <w:pStyle w:val="BodyText"/>
      </w:pPr>
      <w:r>
        <w:rPr>
          <w:spacing w:val="-2"/>
        </w:rPr>
        <w:t>单位：千元 币种：人民币</w:t>
      </w:r>
    </w:p>
    <w:p>
      <w:pPr>
        <w:spacing w:after="0"/>
        <w:sectPr>
          <w:type w:val="continuous"/>
          <w:pgSz w:w="11910" w:h="16840"/>
          <w:pgMar w:top="780" w:bottom="280" w:left="1480" w:right="0"/>
          <w:cols w:num="2" w:equalWidth="0">
            <w:col w:w="2144" w:space="4284"/>
            <w:col w:w="4002"/>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5"/>
        <w:gridCol w:w="2888"/>
        <w:gridCol w:w="2888"/>
      </w:tblGrid>
      <w:tr>
        <w:trPr>
          <w:trHeight w:val="273" w:hRule="atLeast"/>
        </w:trPr>
        <w:tc>
          <w:tcPr>
            <w:tcW w:w="2835" w:type="dxa"/>
          </w:tcPr>
          <w:p>
            <w:pPr>
              <w:pStyle w:val="TableParagraph"/>
              <w:spacing w:line="252" w:lineRule="exact" w:before="1"/>
              <w:ind w:right="1090"/>
              <w:jc w:val="right"/>
              <w:rPr>
                <w:sz w:val="21"/>
              </w:rPr>
            </w:pPr>
            <w:r>
              <w:rPr>
                <w:sz w:val="21"/>
              </w:rPr>
              <w:t>项目 </w:t>
            </w:r>
          </w:p>
        </w:tc>
        <w:tc>
          <w:tcPr>
            <w:tcW w:w="2888" w:type="dxa"/>
          </w:tcPr>
          <w:p>
            <w:pPr>
              <w:pStyle w:val="TableParagraph"/>
              <w:spacing w:line="252" w:lineRule="exact" w:before="1"/>
              <w:ind w:left="916"/>
              <w:rPr>
                <w:sz w:val="21"/>
              </w:rPr>
            </w:pPr>
            <w:r>
              <w:rPr>
                <w:sz w:val="21"/>
              </w:rPr>
              <w:t>本期发生额 </w:t>
            </w:r>
          </w:p>
        </w:tc>
        <w:tc>
          <w:tcPr>
            <w:tcW w:w="2888" w:type="dxa"/>
          </w:tcPr>
          <w:p>
            <w:pPr>
              <w:pStyle w:val="TableParagraph"/>
              <w:spacing w:line="252" w:lineRule="exact" w:before="1"/>
              <w:ind w:left="916"/>
              <w:rPr>
                <w:sz w:val="21"/>
              </w:rPr>
            </w:pPr>
            <w:r>
              <w:rPr>
                <w:sz w:val="21"/>
              </w:rPr>
              <w:t>上期发生额 </w:t>
            </w:r>
          </w:p>
        </w:tc>
      </w:tr>
      <w:tr>
        <w:trPr>
          <w:trHeight w:val="270" w:hRule="atLeast"/>
        </w:trPr>
        <w:tc>
          <w:tcPr>
            <w:tcW w:w="2835" w:type="dxa"/>
          </w:tcPr>
          <w:p>
            <w:pPr>
              <w:pStyle w:val="TableParagraph"/>
              <w:spacing w:line="250" w:lineRule="exact" w:before="1"/>
              <w:ind w:left="107"/>
              <w:rPr>
                <w:sz w:val="21"/>
              </w:rPr>
            </w:pPr>
            <w:r>
              <w:rPr>
                <w:spacing w:val="-1"/>
                <w:sz w:val="21"/>
              </w:rPr>
              <w:t>企业扶持资金</w:t>
            </w:r>
            <w:r>
              <w:rPr>
                <w:sz w:val="21"/>
              </w:rPr>
              <w:t> </w:t>
            </w:r>
          </w:p>
        </w:tc>
        <w:tc>
          <w:tcPr>
            <w:tcW w:w="2888" w:type="dxa"/>
          </w:tcPr>
          <w:p>
            <w:pPr>
              <w:pStyle w:val="TableParagraph"/>
              <w:spacing w:line="235" w:lineRule="exact"/>
              <w:ind w:right="94"/>
              <w:jc w:val="right"/>
              <w:rPr>
                <w:rFonts w:ascii="Times New Roman"/>
                <w:sz w:val="21"/>
              </w:rPr>
            </w:pPr>
            <w:r>
              <w:rPr>
                <w:rFonts w:ascii="Times New Roman"/>
                <w:sz w:val="21"/>
              </w:rPr>
              <w:t>1,740,832</w:t>
            </w:r>
          </w:p>
        </w:tc>
        <w:tc>
          <w:tcPr>
            <w:tcW w:w="2888" w:type="dxa"/>
          </w:tcPr>
          <w:p>
            <w:pPr>
              <w:pStyle w:val="TableParagraph"/>
              <w:spacing w:line="235" w:lineRule="exact"/>
              <w:ind w:right="94"/>
              <w:jc w:val="right"/>
              <w:rPr>
                <w:rFonts w:ascii="Times New Roman"/>
                <w:sz w:val="21"/>
              </w:rPr>
            </w:pPr>
            <w:r>
              <w:rPr>
                <w:rFonts w:ascii="Times New Roman"/>
                <w:sz w:val="21"/>
              </w:rPr>
              <w:t>1,124,376</w:t>
            </w:r>
          </w:p>
        </w:tc>
      </w:tr>
      <w:tr>
        <w:trPr>
          <w:trHeight w:val="273" w:hRule="atLeast"/>
        </w:trPr>
        <w:tc>
          <w:tcPr>
            <w:tcW w:w="2835" w:type="dxa"/>
          </w:tcPr>
          <w:p>
            <w:pPr>
              <w:pStyle w:val="TableParagraph"/>
              <w:spacing w:line="250" w:lineRule="exact" w:before="3"/>
              <w:ind w:left="107"/>
              <w:rPr>
                <w:sz w:val="21"/>
              </w:rPr>
            </w:pPr>
            <w:r>
              <w:rPr>
                <w:spacing w:val="-1"/>
                <w:sz w:val="21"/>
              </w:rPr>
              <w:t>技术改造补贴</w:t>
            </w:r>
            <w:r>
              <w:rPr>
                <w:sz w:val="21"/>
              </w:rPr>
              <w:t> </w:t>
            </w:r>
          </w:p>
        </w:tc>
        <w:tc>
          <w:tcPr>
            <w:tcW w:w="2888" w:type="dxa"/>
          </w:tcPr>
          <w:p>
            <w:pPr>
              <w:pStyle w:val="TableParagraph"/>
              <w:spacing w:line="237" w:lineRule="exact"/>
              <w:ind w:right="94"/>
              <w:jc w:val="right"/>
              <w:rPr>
                <w:rFonts w:ascii="Times New Roman"/>
                <w:sz w:val="21"/>
              </w:rPr>
            </w:pPr>
            <w:r>
              <w:rPr>
                <w:rFonts w:ascii="Times New Roman"/>
                <w:sz w:val="21"/>
              </w:rPr>
              <w:t>58,962</w:t>
            </w:r>
          </w:p>
        </w:tc>
        <w:tc>
          <w:tcPr>
            <w:tcW w:w="2888" w:type="dxa"/>
          </w:tcPr>
          <w:p>
            <w:pPr>
              <w:pStyle w:val="TableParagraph"/>
              <w:spacing w:line="237" w:lineRule="exact"/>
              <w:ind w:right="94"/>
              <w:jc w:val="right"/>
              <w:rPr>
                <w:rFonts w:ascii="Times New Roman"/>
                <w:sz w:val="21"/>
              </w:rPr>
            </w:pPr>
            <w:r>
              <w:rPr>
                <w:rFonts w:ascii="Times New Roman"/>
                <w:sz w:val="21"/>
              </w:rPr>
              <w:t>67,597</w:t>
            </w:r>
          </w:p>
        </w:tc>
      </w:tr>
      <w:tr>
        <w:trPr>
          <w:trHeight w:val="273" w:hRule="atLeast"/>
        </w:trPr>
        <w:tc>
          <w:tcPr>
            <w:tcW w:w="2835" w:type="dxa"/>
          </w:tcPr>
          <w:p>
            <w:pPr>
              <w:pStyle w:val="TableParagraph"/>
              <w:spacing w:line="252" w:lineRule="exact" w:before="1"/>
              <w:ind w:left="107"/>
              <w:rPr>
                <w:sz w:val="21"/>
              </w:rPr>
            </w:pPr>
            <w:r>
              <w:rPr>
                <w:spacing w:val="-1"/>
                <w:sz w:val="21"/>
              </w:rPr>
              <w:t>研发项目补贴</w:t>
            </w:r>
            <w:r>
              <w:rPr>
                <w:sz w:val="21"/>
              </w:rPr>
              <w:t> </w:t>
            </w:r>
          </w:p>
        </w:tc>
        <w:tc>
          <w:tcPr>
            <w:tcW w:w="2888" w:type="dxa"/>
          </w:tcPr>
          <w:p>
            <w:pPr>
              <w:pStyle w:val="TableParagraph"/>
              <w:spacing w:line="235" w:lineRule="exact"/>
              <w:ind w:right="94"/>
              <w:jc w:val="right"/>
              <w:rPr>
                <w:rFonts w:ascii="Times New Roman"/>
                <w:sz w:val="21"/>
              </w:rPr>
            </w:pPr>
            <w:r>
              <w:rPr>
                <w:rFonts w:ascii="Times New Roman"/>
                <w:sz w:val="21"/>
              </w:rPr>
              <w:t>26,203</w:t>
            </w:r>
          </w:p>
        </w:tc>
        <w:tc>
          <w:tcPr>
            <w:tcW w:w="2888" w:type="dxa"/>
          </w:tcPr>
          <w:p>
            <w:pPr>
              <w:pStyle w:val="TableParagraph"/>
              <w:spacing w:line="235" w:lineRule="exact"/>
              <w:ind w:right="94"/>
              <w:jc w:val="right"/>
              <w:rPr>
                <w:rFonts w:ascii="Times New Roman"/>
                <w:sz w:val="21"/>
              </w:rPr>
            </w:pPr>
            <w:r>
              <w:rPr>
                <w:rFonts w:ascii="Times New Roman"/>
                <w:sz w:val="21"/>
              </w:rPr>
              <w:t>40,207</w:t>
            </w:r>
          </w:p>
        </w:tc>
      </w:tr>
      <w:tr>
        <w:trPr>
          <w:trHeight w:val="270" w:hRule="atLeast"/>
        </w:trPr>
        <w:tc>
          <w:tcPr>
            <w:tcW w:w="2835" w:type="dxa"/>
          </w:tcPr>
          <w:p>
            <w:pPr>
              <w:pStyle w:val="TableParagraph"/>
              <w:spacing w:line="250" w:lineRule="exact" w:before="1"/>
              <w:ind w:left="107"/>
              <w:rPr>
                <w:sz w:val="21"/>
              </w:rPr>
            </w:pPr>
            <w:r>
              <w:rPr>
                <w:spacing w:val="-1"/>
                <w:sz w:val="21"/>
              </w:rPr>
              <w:t>出口增量补贴</w:t>
            </w:r>
            <w:r>
              <w:rPr>
                <w:sz w:val="21"/>
              </w:rPr>
              <w:t> </w:t>
            </w:r>
          </w:p>
        </w:tc>
        <w:tc>
          <w:tcPr>
            <w:tcW w:w="2888" w:type="dxa"/>
          </w:tcPr>
          <w:p>
            <w:pPr>
              <w:pStyle w:val="TableParagraph"/>
              <w:spacing w:line="235" w:lineRule="exact"/>
              <w:ind w:right="94"/>
              <w:jc w:val="right"/>
              <w:rPr>
                <w:rFonts w:ascii="Times New Roman"/>
                <w:sz w:val="21"/>
              </w:rPr>
            </w:pPr>
            <w:r>
              <w:rPr>
                <w:rFonts w:ascii="Times New Roman"/>
                <w:sz w:val="21"/>
              </w:rPr>
              <w:t>13,673</w:t>
            </w:r>
          </w:p>
        </w:tc>
        <w:tc>
          <w:tcPr>
            <w:tcW w:w="2888" w:type="dxa"/>
          </w:tcPr>
          <w:p>
            <w:pPr>
              <w:pStyle w:val="TableParagraph"/>
              <w:spacing w:line="235" w:lineRule="exact"/>
              <w:ind w:right="94"/>
              <w:jc w:val="right"/>
              <w:rPr>
                <w:rFonts w:ascii="Times New Roman"/>
                <w:sz w:val="21"/>
              </w:rPr>
            </w:pPr>
            <w:r>
              <w:rPr>
                <w:rFonts w:ascii="Times New Roman"/>
                <w:sz w:val="21"/>
              </w:rPr>
              <w:t>12,402</w:t>
            </w:r>
          </w:p>
        </w:tc>
      </w:tr>
      <w:tr>
        <w:trPr>
          <w:trHeight w:val="273" w:hRule="atLeast"/>
        </w:trPr>
        <w:tc>
          <w:tcPr>
            <w:tcW w:w="2835" w:type="dxa"/>
          </w:tcPr>
          <w:p>
            <w:pPr>
              <w:pStyle w:val="TableParagraph"/>
              <w:spacing w:line="252" w:lineRule="exact" w:before="1"/>
              <w:ind w:left="107"/>
              <w:rPr>
                <w:sz w:val="21"/>
              </w:rPr>
            </w:pPr>
            <w:r>
              <w:rPr>
                <w:spacing w:val="-1"/>
                <w:sz w:val="21"/>
              </w:rPr>
              <w:t>科技研发补助</w:t>
            </w:r>
            <w:r>
              <w:rPr>
                <w:sz w:val="21"/>
              </w:rPr>
              <w:t> </w:t>
            </w:r>
          </w:p>
        </w:tc>
        <w:tc>
          <w:tcPr>
            <w:tcW w:w="2888" w:type="dxa"/>
          </w:tcPr>
          <w:p>
            <w:pPr>
              <w:pStyle w:val="TableParagraph"/>
              <w:spacing w:line="235" w:lineRule="exact"/>
              <w:ind w:right="94"/>
              <w:jc w:val="right"/>
              <w:rPr>
                <w:rFonts w:ascii="Times New Roman"/>
                <w:sz w:val="21"/>
              </w:rPr>
            </w:pPr>
            <w:r>
              <w:rPr>
                <w:rFonts w:ascii="Times New Roman"/>
                <w:sz w:val="21"/>
              </w:rPr>
              <w:t>12,699</w:t>
            </w:r>
          </w:p>
        </w:tc>
        <w:tc>
          <w:tcPr>
            <w:tcW w:w="2888" w:type="dxa"/>
          </w:tcPr>
          <w:p>
            <w:pPr>
              <w:pStyle w:val="TableParagraph"/>
              <w:spacing w:line="235" w:lineRule="exact"/>
              <w:ind w:right="94"/>
              <w:jc w:val="right"/>
              <w:rPr>
                <w:rFonts w:ascii="Times New Roman"/>
                <w:sz w:val="21"/>
              </w:rPr>
            </w:pPr>
            <w:r>
              <w:rPr>
                <w:rFonts w:ascii="Times New Roman"/>
                <w:sz w:val="21"/>
              </w:rPr>
              <w:t>2,919</w:t>
            </w:r>
          </w:p>
        </w:tc>
      </w:tr>
      <w:tr>
        <w:trPr>
          <w:trHeight w:val="273" w:hRule="atLeast"/>
        </w:trPr>
        <w:tc>
          <w:tcPr>
            <w:tcW w:w="2835" w:type="dxa"/>
          </w:tcPr>
          <w:p>
            <w:pPr>
              <w:pStyle w:val="TableParagraph"/>
              <w:spacing w:line="252" w:lineRule="exact" w:before="1"/>
              <w:ind w:left="107"/>
              <w:rPr>
                <w:sz w:val="21"/>
              </w:rPr>
            </w:pPr>
            <w:r>
              <w:rPr>
                <w:spacing w:val="-1"/>
                <w:sz w:val="21"/>
              </w:rPr>
              <w:t>物流补贴</w:t>
            </w:r>
            <w:r>
              <w:rPr>
                <w:sz w:val="21"/>
              </w:rPr>
              <w:t> </w:t>
            </w:r>
          </w:p>
        </w:tc>
        <w:tc>
          <w:tcPr>
            <w:tcW w:w="2888" w:type="dxa"/>
          </w:tcPr>
          <w:p>
            <w:pPr>
              <w:pStyle w:val="TableParagraph"/>
              <w:spacing w:line="235" w:lineRule="exact"/>
              <w:ind w:right="94"/>
              <w:jc w:val="right"/>
              <w:rPr>
                <w:rFonts w:ascii="Times New Roman"/>
                <w:sz w:val="21"/>
              </w:rPr>
            </w:pPr>
            <w:r>
              <w:rPr>
                <w:rFonts w:ascii="Times New Roman"/>
                <w:sz w:val="21"/>
              </w:rPr>
              <w:t>4,586</w:t>
            </w:r>
          </w:p>
        </w:tc>
        <w:tc>
          <w:tcPr>
            <w:tcW w:w="2888" w:type="dxa"/>
          </w:tcPr>
          <w:p>
            <w:pPr>
              <w:pStyle w:val="TableParagraph"/>
              <w:spacing w:line="235" w:lineRule="exact"/>
              <w:ind w:right="94"/>
              <w:jc w:val="right"/>
              <w:rPr>
                <w:rFonts w:ascii="Times New Roman"/>
                <w:sz w:val="21"/>
              </w:rPr>
            </w:pPr>
            <w:r>
              <w:rPr>
                <w:rFonts w:ascii="Times New Roman"/>
                <w:sz w:val="21"/>
              </w:rPr>
              <w:t>21,556</w:t>
            </w:r>
          </w:p>
        </w:tc>
      </w:tr>
      <w:tr>
        <w:trPr>
          <w:trHeight w:val="270" w:hRule="atLeast"/>
        </w:trPr>
        <w:tc>
          <w:tcPr>
            <w:tcW w:w="2835" w:type="dxa"/>
          </w:tcPr>
          <w:p>
            <w:pPr>
              <w:pStyle w:val="TableParagraph"/>
              <w:spacing w:line="250" w:lineRule="exact" w:before="1"/>
              <w:ind w:left="107"/>
              <w:rPr>
                <w:sz w:val="21"/>
              </w:rPr>
            </w:pPr>
            <w:r>
              <w:rPr>
                <w:sz w:val="21"/>
              </w:rPr>
              <w:t>其他 </w:t>
            </w:r>
          </w:p>
        </w:tc>
        <w:tc>
          <w:tcPr>
            <w:tcW w:w="2888" w:type="dxa"/>
          </w:tcPr>
          <w:p>
            <w:pPr>
              <w:pStyle w:val="TableParagraph"/>
              <w:spacing w:line="235" w:lineRule="exact"/>
              <w:ind w:right="94"/>
              <w:jc w:val="right"/>
              <w:rPr>
                <w:rFonts w:ascii="Times New Roman"/>
                <w:sz w:val="21"/>
              </w:rPr>
            </w:pPr>
            <w:r>
              <w:rPr>
                <w:rFonts w:ascii="Times New Roman"/>
                <w:sz w:val="21"/>
              </w:rPr>
              <w:t>20,016</w:t>
            </w:r>
          </w:p>
        </w:tc>
        <w:tc>
          <w:tcPr>
            <w:tcW w:w="2888" w:type="dxa"/>
          </w:tcPr>
          <w:p>
            <w:pPr>
              <w:pStyle w:val="TableParagraph"/>
              <w:spacing w:line="235" w:lineRule="exact"/>
              <w:ind w:right="94"/>
              <w:jc w:val="right"/>
              <w:rPr>
                <w:rFonts w:ascii="Times New Roman"/>
                <w:sz w:val="21"/>
              </w:rPr>
            </w:pPr>
            <w:r>
              <w:rPr>
                <w:rFonts w:ascii="Times New Roman"/>
                <w:sz w:val="21"/>
              </w:rPr>
              <w:t>102,243</w:t>
            </w:r>
          </w:p>
        </w:tc>
      </w:tr>
      <w:tr>
        <w:trPr>
          <w:trHeight w:val="273" w:hRule="atLeast"/>
        </w:trPr>
        <w:tc>
          <w:tcPr>
            <w:tcW w:w="2835" w:type="dxa"/>
          </w:tcPr>
          <w:p>
            <w:pPr>
              <w:pStyle w:val="TableParagraph"/>
              <w:spacing w:line="252" w:lineRule="exact" w:before="1"/>
              <w:ind w:right="1090"/>
              <w:jc w:val="right"/>
              <w:rPr>
                <w:sz w:val="21"/>
              </w:rPr>
            </w:pPr>
            <w:r>
              <w:rPr>
                <w:sz w:val="21"/>
              </w:rPr>
              <w:t>合计 </w:t>
            </w:r>
          </w:p>
        </w:tc>
        <w:tc>
          <w:tcPr>
            <w:tcW w:w="2888" w:type="dxa"/>
          </w:tcPr>
          <w:p>
            <w:pPr>
              <w:pStyle w:val="TableParagraph"/>
              <w:spacing w:before="10"/>
              <w:ind w:right="94"/>
              <w:jc w:val="right"/>
              <w:rPr>
                <w:rFonts w:ascii="Times New Roman"/>
                <w:sz w:val="21"/>
              </w:rPr>
            </w:pPr>
            <w:r>
              <w:rPr>
                <w:rFonts w:ascii="Times New Roman"/>
                <w:sz w:val="21"/>
              </w:rPr>
              <w:t>1,876,971</w:t>
            </w:r>
          </w:p>
        </w:tc>
        <w:tc>
          <w:tcPr>
            <w:tcW w:w="2888" w:type="dxa"/>
          </w:tcPr>
          <w:p>
            <w:pPr>
              <w:pStyle w:val="TableParagraph"/>
              <w:spacing w:before="10"/>
              <w:ind w:right="94"/>
              <w:jc w:val="right"/>
              <w:rPr>
                <w:rFonts w:ascii="Times New Roman"/>
                <w:sz w:val="21"/>
              </w:rPr>
            </w:pPr>
            <w:r>
              <w:rPr>
                <w:rFonts w:ascii="Times New Roman"/>
                <w:sz w:val="21"/>
              </w:rPr>
              <w:t>1,371,300</w:t>
            </w:r>
          </w:p>
        </w:tc>
      </w:tr>
    </w:tbl>
    <w:p>
      <w:pPr>
        <w:spacing w:after="0"/>
        <w:jc w:val="right"/>
        <w:rPr>
          <w:rFonts w:ascii="Times New Roman"/>
          <w:sz w:val="21"/>
        </w:rPr>
        <w:sectPr>
          <w:type w:val="continuous"/>
          <w:pgSz w:w="11910" w:h="16840"/>
          <w:pgMar w:top="780" w:bottom="280" w:left="1480" w:right="0"/>
        </w:sectPr>
      </w:pPr>
    </w:p>
    <w:p>
      <w:pPr>
        <w:pStyle w:val="BodyText"/>
        <w:spacing w:before="1"/>
      </w:pPr>
      <w:r>
        <w:rPr>
          <w:w w:val="100"/>
        </w:rPr>
        <w:t> </w:t>
      </w:r>
    </w:p>
    <w:p>
      <w:pPr>
        <w:pStyle w:val="BodyText"/>
        <w:spacing w:line="242" w:lineRule="auto" w:before="4"/>
        <w:ind w:right="666"/>
      </w:pPr>
      <w:r>
        <w:rPr/>
        <w:t>其他说明：</w:t>
      </w:r>
      <w:r>
        <w:rPr>
          <w:spacing w:val="1"/>
        </w:rPr>
        <w:t> </w:t>
      </w:r>
      <w:r>
        <w:rPr/>
        <w:t>无 </w:t>
      </w:r>
    </w:p>
    <w:p>
      <w:pPr>
        <w:pStyle w:val="BodyText"/>
        <w:spacing w:line="268" w:lineRule="exact"/>
      </w:pPr>
      <w:r>
        <w:rPr>
          <w:w w:val="100"/>
        </w:rPr>
        <w:t> </w:t>
      </w:r>
    </w:p>
    <w:p>
      <w:pPr>
        <w:pStyle w:val="BodyText"/>
        <w:spacing w:before="5"/>
      </w:pPr>
      <w:r>
        <w:rPr>
          <w:w w:val="100"/>
        </w:rPr>
        <w:t> </w:t>
      </w:r>
    </w:p>
    <w:p>
      <w:pPr>
        <w:pStyle w:val="BodyText"/>
        <w:spacing w:before="62"/>
      </w:pPr>
      <w:r>
        <w:rPr/>
        <w:t>68</w:t>
      </w:r>
      <w:r>
        <w:rPr>
          <w:spacing w:val="-5"/>
        </w:rPr>
        <w:t>、 投资收益</w:t>
      </w:r>
      <w:r>
        <w:rPr/>
        <w:t>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
        <w:ind w:left="0"/>
        <w:rPr>
          <w:sz w:val="18"/>
        </w:rPr>
      </w:pPr>
    </w:p>
    <w:p>
      <w:pPr>
        <w:pStyle w:val="BodyText"/>
        <w:spacing w:before="1"/>
      </w:pPr>
      <w:r>
        <w:rPr>
          <w:spacing w:val="7"/>
        </w:rPr>
        <w:t>单位：千元 币种：人民币</w:t>
      </w:r>
      <w:r>
        <w:rPr/>
        <w:t> </w:t>
      </w:r>
    </w:p>
    <w:p>
      <w:pPr>
        <w:spacing w:after="0"/>
        <w:sectPr>
          <w:type w:val="continuous"/>
          <w:pgSz w:w="11910" w:h="16840"/>
          <w:pgMar w:top="780" w:bottom="280" w:left="1480" w:right="0"/>
          <w:cols w:num="2" w:equalWidth="0">
            <w:col w:w="2144" w:space="4166"/>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2"/>
        <w:gridCol w:w="2626"/>
        <w:gridCol w:w="2636"/>
      </w:tblGrid>
      <w:tr>
        <w:trPr>
          <w:trHeight w:val="273" w:hRule="atLeast"/>
        </w:trPr>
        <w:tc>
          <w:tcPr>
            <w:tcW w:w="3562" w:type="dxa"/>
          </w:tcPr>
          <w:p>
            <w:pPr>
              <w:pStyle w:val="TableParagraph"/>
              <w:spacing w:line="252" w:lineRule="exact" w:before="1"/>
              <w:ind w:left="1602" w:right="1490"/>
              <w:jc w:val="center"/>
              <w:rPr>
                <w:sz w:val="21"/>
              </w:rPr>
            </w:pPr>
            <w:r>
              <w:rPr>
                <w:sz w:val="21"/>
              </w:rPr>
              <w:t>项目 </w:t>
            </w:r>
          </w:p>
        </w:tc>
        <w:tc>
          <w:tcPr>
            <w:tcW w:w="2626" w:type="dxa"/>
          </w:tcPr>
          <w:p>
            <w:pPr>
              <w:pStyle w:val="TableParagraph"/>
              <w:spacing w:line="252" w:lineRule="exact" w:before="1"/>
              <w:ind w:left="787"/>
              <w:rPr>
                <w:sz w:val="21"/>
              </w:rPr>
            </w:pPr>
            <w:r>
              <w:rPr>
                <w:sz w:val="21"/>
              </w:rPr>
              <w:t>本期发生额 </w:t>
            </w:r>
          </w:p>
        </w:tc>
        <w:tc>
          <w:tcPr>
            <w:tcW w:w="2636" w:type="dxa"/>
          </w:tcPr>
          <w:p>
            <w:pPr>
              <w:pStyle w:val="TableParagraph"/>
              <w:spacing w:line="252" w:lineRule="exact" w:before="1"/>
              <w:ind w:left="791"/>
              <w:rPr>
                <w:sz w:val="21"/>
              </w:rPr>
            </w:pPr>
            <w:r>
              <w:rPr>
                <w:sz w:val="21"/>
              </w:rPr>
              <w:t>上期发生额 </w:t>
            </w:r>
          </w:p>
        </w:tc>
      </w:tr>
      <w:tr>
        <w:trPr>
          <w:trHeight w:val="270" w:hRule="atLeast"/>
        </w:trPr>
        <w:tc>
          <w:tcPr>
            <w:tcW w:w="3562" w:type="dxa"/>
          </w:tcPr>
          <w:p>
            <w:pPr>
              <w:pStyle w:val="TableParagraph"/>
              <w:spacing w:line="250" w:lineRule="exact" w:before="1"/>
              <w:ind w:left="107"/>
              <w:rPr>
                <w:sz w:val="21"/>
              </w:rPr>
            </w:pPr>
            <w:r>
              <w:rPr>
                <w:spacing w:val="-1"/>
                <w:sz w:val="21"/>
              </w:rPr>
              <w:t>权益法核算的长期股权投资收益</w:t>
            </w:r>
            <w:r>
              <w:rPr>
                <w:sz w:val="21"/>
              </w:rPr>
              <w:t> </w:t>
            </w:r>
          </w:p>
        </w:tc>
        <w:tc>
          <w:tcPr>
            <w:tcW w:w="2626" w:type="dxa"/>
          </w:tcPr>
          <w:p>
            <w:pPr>
              <w:pStyle w:val="TableParagraph"/>
              <w:spacing w:line="250" w:lineRule="exact" w:before="1"/>
              <w:ind w:right="-15"/>
              <w:jc w:val="right"/>
              <w:rPr>
                <w:sz w:val="21"/>
              </w:rPr>
            </w:pPr>
            <w:r>
              <w:rPr>
                <w:sz w:val="21"/>
              </w:rPr>
              <w:t>2,637 </w:t>
            </w:r>
          </w:p>
        </w:tc>
        <w:tc>
          <w:tcPr>
            <w:tcW w:w="2636" w:type="dxa"/>
          </w:tcPr>
          <w:p>
            <w:pPr>
              <w:pStyle w:val="TableParagraph"/>
              <w:spacing w:line="250" w:lineRule="exact" w:before="1"/>
              <w:ind w:right="-15"/>
              <w:jc w:val="right"/>
              <w:rPr>
                <w:sz w:val="21"/>
              </w:rPr>
            </w:pPr>
            <w:r>
              <w:rPr>
                <w:sz w:val="21"/>
              </w:rPr>
              <w:t>14,046 </w:t>
            </w:r>
          </w:p>
        </w:tc>
      </w:tr>
      <w:tr>
        <w:trPr>
          <w:trHeight w:val="273" w:hRule="atLeast"/>
        </w:trPr>
        <w:tc>
          <w:tcPr>
            <w:tcW w:w="3562" w:type="dxa"/>
          </w:tcPr>
          <w:p>
            <w:pPr>
              <w:pStyle w:val="TableParagraph"/>
              <w:spacing w:line="252" w:lineRule="exact" w:before="1"/>
              <w:ind w:left="107"/>
              <w:rPr>
                <w:sz w:val="21"/>
              </w:rPr>
            </w:pPr>
            <w:r>
              <w:rPr>
                <w:spacing w:val="-1"/>
                <w:sz w:val="21"/>
              </w:rPr>
              <w:t>处置长期股权投资产生的投资收益</w:t>
            </w:r>
            <w:r>
              <w:rPr>
                <w:sz w:val="21"/>
              </w:rPr>
              <w:t> </w:t>
            </w:r>
          </w:p>
        </w:tc>
        <w:tc>
          <w:tcPr>
            <w:tcW w:w="2626" w:type="dxa"/>
          </w:tcPr>
          <w:p>
            <w:pPr>
              <w:pStyle w:val="TableParagraph"/>
              <w:spacing w:line="252" w:lineRule="exact" w:before="1"/>
              <w:ind w:right="-15"/>
              <w:jc w:val="right"/>
              <w:rPr>
                <w:sz w:val="21"/>
              </w:rPr>
            </w:pPr>
            <w:r>
              <w:rPr>
                <w:w w:val="100"/>
                <w:sz w:val="21"/>
              </w:rPr>
              <w:t> </w:t>
            </w:r>
          </w:p>
        </w:tc>
        <w:tc>
          <w:tcPr>
            <w:tcW w:w="2636" w:type="dxa"/>
          </w:tcPr>
          <w:p>
            <w:pPr>
              <w:pStyle w:val="TableParagraph"/>
              <w:spacing w:line="252" w:lineRule="exact" w:before="1"/>
              <w:ind w:right="-15"/>
              <w:jc w:val="right"/>
              <w:rPr>
                <w:sz w:val="21"/>
              </w:rPr>
            </w:pPr>
            <w:r>
              <w:rPr>
                <w:w w:val="100"/>
                <w:sz w:val="21"/>
              </w:rPr>
              <w:t> </w:t>
            </w:r>
          </w:p>
        </w:tc>
      </w:tr>
      <w:tr>
        <w:trPr>
          <w:trHeight w:val="544" w:hRule="atLeast"/>
        </w:trPr>
        <w:tc>
          <w:tcPr>
            <w:tcW w:w="3562" w:type="dxa"/>
          </w:tcPr>
          <w:p>
            <w:pPr>
              <w:pStyle w:val="TableParagraph"/>
              <w:spacing w:before="1"/>
              <w:ind w:left="107"/>
              <w:rPr>
                <w:sz w:val="21"/>
              </w:rPr>
            </w:pPr>
            <w:r>
              <w:rPr>
                <w:sz w:val="21"/>
              </w:rPr>
              <w:t>交易性金融资产在持有期间的投资</w:t>
            </w:r>
          </w:p>
          <w:p>
            <w:pPr>
              <w:pStyle w:val="TableParagraph"/>
              <w:spacing w:line="252" w:lineRule="exact" w:before="2"/>
              <w:ind w:left="107"/>
              <w:rPr>
                <w:sz w:val="21"/>
              </w:rPr>
            </w:pPr>
            <w:r>
              <w:rPr>
                <w:sz w:val="21"/>
              </w:rPr>
              <w:t>收益 </w:t>
            </w:r>
          </w:p>
        </w:tc>
        <w:tc>
          <w:tcPr>
            <w:tcW w:w="2626" w:type="dxa"/>
          </w:tcPr>
          <w:p>
            <w:pPr>
              <w:pStyle w:val="TableParagraph"/>
              <w:spacing w:before="1"/>
              <w:ind w:right="-15"/>
              <w:jc w:val="right"/>
              <w:rPr>
                <w:sz w:val="21"/>
              </w:rPr>
            </w:pPr>
            <w:r>
              <w:rPr>
                <w:w w:val="100"/>
                <w:sz w:val="21"/>
              </w:rPr>
              <w:t> </w:t>
            </w:r>
          </w:p>
        </w:tc>
        <w:tc>
          <w:tcPr>
            <w:tcW w:w="2636" w:type="dxa"/>
          </w:tcPr>
          <w:p>
            <w:pPr>
              <w:pStyle w:val="TableParagraph"/>
              <w:spacing w:before="1"/>
              <w:ind w:right="-15"/>
              <w:jc w:val="right"/>
              <w:rPr>
                <w:sz w:val="21"/>
              </w:rPr>
            </w:pPr>
            <w:r>
              <w:rPr>
                <w:w w:val="100"/>
                <w:sz w:val="21"/>
              </w:rPr>
              <w:t> </w:t>
            </w:r>
          </w:p>
        </w:tc>
      </w:tr>
      <w:tr>
        <w:trPr>
          <w:trHeight w:val="544" w:hRule="atLeast"/>
        </w:trPr>
        <w:tc>
          <w:tcPr>
            <w:tcW w:w="3562" w:type="dxa"/>
          </w:tcPr>
          <w:p>
            <w:pPr>
              <w:pStyle w:val="TableParagraph"/>
              <w:spacing w:before="1"/>
              <w:ind w:left="107"/>
              <w:rPr>
                <w:sz w:val="21"/>
              </w:rPr>
            </w:pPr>
            <w:r>
              <w:rPr>
                <w:sz w:val="21"/>
              </w:rPr>
              <w:t>其他权益工具投资在持有期间取得</w:t>
            </w:r>
          </w:p>
          <w:p>
            <w:pPr>
              <w:pStyle w:val="TableParagraph"/>
              <w:spacing w:line="250" w:lineRule="exact" w:before="4"/>
              <w:ind w:left="107"/>
              <w:rPr>
                <w:sz w:val="21"/>
              </w:rPr>
            </w:pPr>
            <w:r>
              <w:rPr>
                <w:sz w:val="21"/>
              </w:rPr>
              <w:t>的股利收入 </w:t>
            </w:r>
          </w:p>
        </w:tc>
        <w:tc>
          <w:tcPr>
            <w:tcW w:w="2626" w:type="dxa"/>
          </w:tcPr>
          <w:p>
            <w:pPr>
              <w:pStyle w:val="TableParagraph"/>
              <w:spacing w:before="1"/>
              <w:ind w:right="-15"/>
              <w:jc w:val="right"/>
              <w:rPr>
                <w:sz w:val="21"/>
              </w:rPr>
            </w:pPr>
            <w:r>
              <w:rPr>
                <w:w w:val="100"/>
                <w:sz w:val="21"/>
              </w:rPr>
              <w:t> </w:t>
            </w:r>
          </w:p>
        </w:tc>
        <w:tc>
          <w:tcPr>
            <w:tcW w:w="2636" w:type="dxa"/>
          </w:tcPr>
          <w:p>
            <w:pPr>
              <w:pStyle w:val="TableParagraph"/>
              <w:spacing w:before="1"/>
              <w:ind w:right="-15"/>
              <w:jc w:val="right"/>
              <w:rPr>
                <w:sz w:val="21"/>
              </w:rPr>
            </w:pPr>
            <w:r>
              <w:rPr>
                <w:w w:val="100"/>
                <w:sz w:val="21"/>
              </w:rPr>
              <w:t> </w:t>
            </w:r>
          </w:p>
        </w:tc>
      </w:tr>
      <w:tr>
        <w:trPr>
          <w:trHeight w:val="545" w:hRule="atLeast"/>
        </w:trPr>
        <w:tc>
          <w:tcPr>
            <w:tcW w:w="3562" w:type="dxa"/>
          </w:tcPr>
          <w:p>
            <w:pPr>
              <w:pStyle w:val="TableParagraph"/>
              <w:spacing w:before="1"/>
              <w:ind w:left="107"/>
              <w:rPr>
                <w:sz w:val="21"/>
              </w:rPr>
            </w:pPr>
            <w:r>
              <w:rPr>
                <w:sz w:val="21"/>
              </w:rPr>
              <w:t>债权投资在持有期间取得的利息收</w:t>
            </w:r>
          </w:p>
          <w:p>
            <w:pPr>
              <w:pStyle w:val="TableParagraph"/>
              <w:spacing w:line="250" w:lineRule="exact" w:before="5"/>
              <w:ind w:left="107"/>
              <w:rPr>
                <w:sz w:val="21"/>
              </w:rPr>
            </w:pPr>
            <w:r>
              <w:rPr>
                <w:sz w:val="21"/>
              </w:rPr>
              <w:t>入 </w:t>
            </w:r>
          </w:p>
        </w:tc>
        <w:tc>
          <w:tcPr>
            <w:tcW w:w="2626" w:type="dxa"/>
          </w:tcPr>
          <w:p>
            <w:pPr>
              <w:pStyle w:val="TableParagraph"/>
              <w:spacing w:before="1"/>
              <w:ind w:right="-15"/>
              <w:jc w:val="right"/>
              <w:rPr>
                <w:sz w:val="21"/>
              </w:rPr>
            </w:pPr>
            <w:r>
              <w:rPr>
                <w:w w:val="100"/>
                <w:sz w:val="21"/>
              </w:rPr>
              <w:t> </w:t>
            </w:r>
          </w:p>
        </w:tc>
        <w:tc>
          <w:tcPr>
            <w:tcW w:w="2636" w:type="dxa"/>
          </w:tcPr>
          <w:p>
            <w:pPr>
              <w:pStyle w:val="TableParagraph"/>
              <w:spacing w:before="1"/>
              <w:ind w:right="-15"/>
              <w:jc w:val="right"/>
              <w:rPr>
                <w:sz w:val="21"/>
              </w:rPr>
            </w:pPr>
            <w:r>
              <w:rPr>
                <w:w w:val="100"/>
                <w:sz w:val="21"/>
              </w:rPr>
              <w:t> </w:t>
            </w:r>
          </w:p>
        </w:tc>
      </w:tr>
      <w:tr>
        <w:trPr>
          <w:trHeight w:val="544" w:hRule="atLeast"/>
        </w:trPr>
        <w:tc>
          <w:tcPr>
            <w:tcW w:w="3562" w:type="dxa"/>
          </w:tcPr>
          <w:p>
            <w:pPr>
              <w:pStyle w:val="TableParagraph"/>
              <w:spacing w:before="1"/>
              <w:ind w:left="107"/>
              <w:rPr>
                <w:sz w:val="21"/>
              </w:rPr>
            </w:pPr>
            <w:r>
              <w:rPr>
                <w:sz w:val="21"/>
              </w:rPr>
              <w:t>其他债权投资在持有期间取得的利</w:t>
            </w:r>
          </w:p>
          <w:p>
            <w:pPr>
              <w:pStyle w:val="TableParagraph"/>
              <w:spacing w:line="250" w:lineRule="exact" w:before="4"/>
              <w:ind w:left="107"/>
              <w:rPr>
                <w:sz w:val="21"/>
              </w:rPr>
            </w:pPr>
            <w:r>
              <w:rPr>
                <w:sz w:val="21"/>
              </w:rPr>
              <w:t>息收入 </w:t>
            </w:r>
          </w:p>
        </w:tc>
        <w:tc>
          <w:tcPr>
            <w:tcW w:w="2626" w:type="dxa"/>
          </w:tcPr>
          <w:p>
            <w:pPr>
              <w:pStyle w:val="TableParagraph"/>
              <w:spacing w:before="1"/>
              <w:ind w:right="-15"/>
              <w:jc w:val="right"/>
              <w:rPr>
                <w:sz w:val="21"/>
              </w:rPr>
            </w:pPr>
            <w:r>
              <w:rPr>
                <w:w w:val="100"/>
                <w:sz w:val="21"/>
              </w:rPr>
              <w:t> </w:t>
            </w:r>
          </w:p>
        </w:tc>
        <w:tc>
          <w:tcPr>
            <w:tcW w:w="2636" w:type="dxa"/>
          </w:tcPr>
          <w:p>
            <w:pPr>
              <w:pStyle w:val="TableParagraph"/>
              <w:spacing w:before="1"/>
              <w:ind w:right="-15"/>
              <w:jc w:val="right"/>
              <w:rPr>
                <w:sz w:val="21"/>
              </w:rPr>
            </w:pPr>
            <w:r>
              <w:rPr>
                <w:w w:val="100"/>
                <w:sz w:val="21"/>
              </w:rPr>
              <w:t> </w:t>
            </w:r>
          </w:p>
        </w:tc>
      </w:tr>
      <w:tr>
        <w:trPr>
          <w:trHeight w:val="544" w:hRule="atLeast"/>
        </w:trPr>
        <w:tc>
          <w:tcPr>
            <w:tcW w:w="3562" w:type="dxa"/>
          </w:tcPr>
          <w:p>
            <w:pPr>
              <w:pStyle w:val="TableParagraph"/>
              <w:spacing w:before="1"/>
              <w:ind w:left="107"/>
              <w:rPr>
                <w:sz w:val="21"/>
              </w:rPr>
            </w:pPr>
            <w:r>
              <w:rPr>
                <w:sz w:val="21"/>
              </w:rPr>
              <w:t>处置交易性金融资产取得的投资收</w:t>
            </w:r>
          </w:p>
          <w:p>
            <w:pPr>
              <w:pStyle w:val="TableParagraph"/>
              <w:spacing w:line="250" w:lineRule="exact" w:before="4"/>
              <w:ind w:left="107"/>
              <w:rPr>
                <w:sz w:val="21"/>
              </w:rPr>
            </w:pPr>
            <w:r>
              <w:rPr>
                <w:sz w:val="21"/>
              </w:rPr>
              <w:t>益 </w:t>
            </w:r>
          </w:p>
        </w:tc>
        <w:tc>
          <w:tcPr>
            <w:tcW w:w="2626" w:type="dxa"/>
          </w:tcPr>
          <w:p>
            <w:pPr>
              <w:pStyle w:val="TableParagraph"/>
              <w:spacing w:before="1"/>
              <w:ind w:right="-15"/>
              <w:jc w:val="right"/>
              <w:rPr>
                <w:sz w:val="21"/>
              </w:rPr>
            </w:pPr>
            <w:r>
              <w:rPr>
                <w:w w:val="100"/>
                <w:sz w:val="21"/>
              </w:rPr>
              <w:t> </w:t>
            </w:r>
          </w:p>
        </w:tc>
        <w:tc>
          <w:tcPr>
            <w:tcW w:w="2636" w:type="dxa"/>
          </w:tcPr>
          <w:p>
            <w:pPr>
              <w:pStyle w:val="TableParagraph"/>
              <w:spacing w:before="1"/>
              <w:ind w:right="-15"/>
              <w:jc w:val="right"/>
              <w:rPr>
                <w:sz w:val="21"/>
              </w:rPr>
            </w:pPr>
            <w:r>
              <w:rPr>
                <w:w w:val="100"/>
                <w:sz w:val="21"/>
              </w:rPr>
              <w:t> </w:t>
            </w:r>
          </w:p>
        </w:tc>
      </w:tr>
      <w:tr>
        <w:trPr>
          <w:trHeight w:val="546" w:hRule="atLeast"/>
        </w:trPr>
        <w:tc>
          <w:tcPr>
            <w:tcW w:w="3562" w:type="dxa"/>
          </w:tcPr>
          <w:p>
            <w:pPr>
              <w:pStyle w:val="TableParagraph"/>
              <w:spacing w:line="270" w:lineRule="atLeast"/>
              <w:ind w:left="107" w:right="288"/>
              <w:rPr>
                <w:sz w:val="21"/>
              </w:rPr>
            </w:pPr>
            <w:r>
              <w:rPr>
                <w:sz w:val="21"/>
              </w:rPr>
              <w:t>处置其他权益工具投资取得的投资收益 </w:t>
            </w:r>
          </w:p>
        </w:tc>
        <w:tc>
          <w:tcPr>
            <w:tcW w:w="2626" w:type="dxa"/>
          </w:tcPr>
          <w:p>
            <w:pPr>
              <w:pStyle w:val="TableParagraph"/>
              <w:spacing w:before="3"/>
              <w:ind w:right="-15"/>
              <w:jc w:val="right"/>
              <w:rPr>
                <w:sz w:val="21"/>
              </w:rPr>
            </w:pPr>
            <w:r>
              <w:rPr>
                <w:w w:val="100"/>
                <w:sz w:val="21"/>
              </w:rPr>
              <w:t> </w:t>
            </w:r>
          </w:p>
        </w:tc>
        <w:tc>
          <w:tcPr>
            <w:tcW w:w="2636" w:type="dxa"/>
          </w:tcPr>
          <w:p>
            <w:pPr>
              <w:pStyle w:val="TableParagraph"/>
              <w:spacing w:before="3"/>
              <w:ind w:right="-15"/>
              <w:jc w:val="right"/>
              <w:rPr>
                <w:sz w:val="21"/>
              </w:rPr>
            </w:pPr>
            <w:r>
              <w:rPr>
                <w:w w:val="100"/>
                <w:sz w:val="21"/>
              </w:rPr>
              <w:t> </w:t>
            </w:r>
          </w:p>
        </w:tc>
      </w:tr>
      <w:tr>
        <w:trPr>
          <w:trHeight w:val="270" w:hRule="atLeast"/>
        </w:trPr>
        <w:tc>
          <w:tcPr>
            <w:tcW w:w="3562" w:type="dxa"/>
          </w:tcPr>
          <w:p>
            <w:pPr>
              <w:pStyle w:val="TableParagraph"/>
              <w:spacing w:line="250" w:lineRule="exact" w:before="1"/>
              <w:ind w:left="107"/>
              <w:rPr>
                <w:sz w:val="21"/>
              </w:rPr>
            </w:pPr>
            <w:r>
              <w:rPr>
                <w:spacing w:val="-1"/>
                <w:sz w:val="21"/>
              </w:rPr>
              <w:t>处置债权投资取得的投资收益</w:t>
            </w:r>
            <w:r>
              <w:rPr>
                <w:sz w:val="21"/>
              </w:rPr>
              <w:t> </w:t>
            </w:r>
          </w:p>
        </w:tc>
        <w:tc>
          <w:tcPr>
            <w:tcW w:w="2626" w:type="dxa"/>
          </w:tcPr>
          <w:p>
            <w:pPr>
              <w:pStyle w:val="TableParagraph"/>
              <w:spacing w:line="250" w:lineRule="exact" w:before="1"/>
              <w:ind w:right="-15"/>
              <w:jc w:val="right"/>
              <w:rPr>
                <w:sz w:val="21"/>
              </w:rPr>
            </w:pPr>
            <w:r>
              <w:rPr>
                <w:w w:val="100"/>
                <w:sz w:val="21"/>
              </w:rPr>
              <w:t> </w:t>
            </w:r>
          </w:p>
        </w:tc>
        <w:tc>
          <w:tcPr>
            <w:tcW w:w="2636" w:type="dxa"/>
          </w:tcPr>
          <w:p>
            <w:pPr>
              <w:pStyle w:val="TableParagraph"/>
              <w:spacing w:line="250" w:lineRule="exact" w:before="1"/>
              <w:ind w:right="-15"/>
              <w:jc w:val="right"/>
              <w:rPr>
                <w:sz w:val="21"/>
              </w:rPr>
            </w:pPr>
            <w:r>
              <w:rPr>
                <w:w w:val="100"/>
                <w:sz w:val="21"/>
              </w:rPr>
              <w:t> </w:t>
            </w:r>
          </w:p>
        </w:tc>
      </w:tr>
      <w:tr>
        <w:trPr>
          <w:trHeight w:val="273" w:hRule="atLeast"/>
        </w:trPr>
        <w:tc>
          <w:tcPr>
            <w:tcW w:w="3562" w:type="dxa"/>
          </w:tcPr>
          <w:p>
            <w:pPr>
              <w:pStyle w:val="TableParagraph"/>
              <w:spacing w:line="252" w:lineRule="exact" w:before="1"/>
              <w:ind w:left="107"/>
              <w:rPr>
                <w:sz w:val="21"/>
              </w:rPr>
            </w:pPr>
            <w:r>
              <w:rPr>
                <w:spacing w:val="-1"/>
                <w:sz w:val="21"/>
              </w:rPr>
              <w:t>处置其他债权投资取得的投资收益</w:t>
            </w:r>
            <w:r>
              <w:rPr>
                <w:sz w:val="21"/>
              </w:rPr>
              <w:t> </w:t>
            </w:r>
          </w:p>
        </w:tc>
        <w:tc>
          <w:tcPr>
            <w:tcW w:w="2626" w:type="dxa"/>
          </w:tcPr>
          <w:p>
            <w:pPr>
              <w:pStyle w:val="TableParagraph"/>
              <w:spacing w:line="252" w:lineRule="exact" w:before="1"/>
              <w:ind w:right="-15"/>
              <w:jc w:val="right"/>
              <w:rPr>
                <w:sz w:val="21"/>
              </w:rPr>
            </w:pPr>
            <w:r>
              <w:rPr>
                <w:w w:val="100"/>
                <w:sz w:val="21"/>
              </w:rPr>
              <w:t> </w:t>
            </w:r>
          </w:p>
        </w:tc>
        <w:tc>
          <w:tcPr>
            <w:tcW w:w="2636" w:type="dxa"/>
          </w:tcPr>
          <w:p>
            <w:pPr>
              <w:pStyle w:val="TableParagraph"/>
              <w:spacing w:line="252" w:lineRule="exact" w:before="1"/>
              <w:ind w:right="-15"/>
              <w:jc w:val="right"/>
              <w:rPr>
                <w:sz w:val="21"/>
              </w:rPr>
            </w:pPr>
            <w:r>
              <w:rPr>
                <w:w w:val="100"/>
                <w:sz w:val="21"/>
              </w:rPr>
              <w:t> </w:t>
            </w:r>
          </w:p>
        </w:tc>
      </w:tr>
      <w:tr>
        <w:trPr>
          <w:trHeight w:val="273" w:hRule="atLeast"/>
        </w:trPr>
        <w:tc>
          <w:tcPr>
            <w:tcW w:w="3562" w:type="dxa"/>
          </w:tcPr>
          <w:p>
            <w:pPr>
              <w:pStyle w:val="TableParagraph"/>
              <w:spacing w:line="252" w:lineRule="exact" w:before="1"/>
              <w:ind w:left="107"/>
              <w:rPr>
                <w:sz w:val="21"/>
              </w:rPr>
            </w:pPr>
            <w:r>
              <w:rPr>
                <w:spacing w:val="-1"/>
                <w:sz w:val="21"/>
              </w:rPr>
              <w:t>债务重组收益</w:t>
            </w:r>
            <w:r>
              <w:rPr>
                <w:sz w:val="21"/>
              </w:rPr>
              <w:t> </w:t>
            </w:r>
          </w:p>
        </w:tc>
        <w:tc>
          <w:tcPr>
            <w:tcW w:w="2626" w:type="dxa"/>
          </w:tcPr>
          <w:p>
            <w:pPr>
              <w:pStyle w:val="TableParagraph"/>
              <w:spacing w:line="252" w:lineRule="exact" w:before="1"/>
              <w:ind w:right="-15"/>
              <w:jc w:val="right"/>
              <w:rPr>
                <w:sz w:val="21"/>
              </w:rPr>
            </w:pPr>
            <w:r>
              <w:rPr>
                <w:w w:val="100"/>
                <w:sz w:val="21"/>
              </w:rPr>
              <w:t> </w:t>
            </w:r>
          </w:p>
        </w:tc>
        <w:tc>
          <w:tcPr>
            <w:tcW w:w="2636" w:type="dxa"/>
          </w:tcPr>
          <w:p>
            <w:pPr>
              <w:pStyle w:val="TableParagraph"/>
              <w:spacing w:line="252" w:lineRule="exact" w:before="1"/>
              <w:ind w:right="-15"/>
              <w:jc w:val="right"/>
              <w:rPr>
                <w:sz w:val="21"/>
              </w:rPr>
            </w:pPr>
            <w:r>
              <w:rPr>
                <w:w w:val="100"/>
                <w:sz w:val="21"/>
              </w:rPr>
              <w:t> </w:t>
            </w:r>
          </w:p>
        </w:tc>
      </w:tr>
    </w:tbl>
    <w:p>
      <w:pPr>
        <w:spacing w:after="0" w:line="252" w:lineRule="exact"/>
        <w:jc w:val="right"/>
        <w:rPr>
          <w:sz w:val="21"/>
        </w:rPr>
        <w:sectPr>
          <w:type w:val="continuous"/>
          <w:pgSz w:w="11910" w:h="16840"/>
          <w:pgMar w:top="780" w:bottom="2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2"/>
        <w:gridCol w:w="2626"/>
        <w:gridCol w:w="2636"/>
      </w:tblGrid>
      <w:tr>
        <w:trPr>
          <w:trHeight w:val="547" w:hRule="atLeast"/>
        </w:trPr>
        <w:tc>
          <w:tcPr>
            <w:tcW w:w="3562" w:type="dxa"/>
          </w:tcPr>
          <w:p>
            <w:pPr>
              <w:pStyle w:val="TableParagraph"/>
              <w:spacing w:line="270" w:lineRule="atLeast"/>
              <w:ind w:left="107" w:right="288"/>
              <w:rPr>
                <w:sz w:val="21"/>
              </w:rPr>
            </w:pPr>
            <w:r>
              <w:rPr>
                <w:sz w:val="21"/>
              </w:rPr>
              <w:t>处置衍生金融资产(负债)产生的投资收益 </w:t>
            </w:r>
          </w:p>
        </w:tc>
        <w:tc>
          <w:tcPr>
            <w:tcW w:w="2626" w:type="dxa"/>
          </w:tcPr>
          <w:p>
            <w:pPr>
              <w:pStyle w:val="TableParagraph"/>
              <w:spacing w:line="237" w:lineRule="exact"/>
              <w:ind w:right="93"/>
              <w:jc w:val="right"/>
              <w:rPr>
                <w:rFonts w:ascii="Times New Roman"/>
                <w:sz w:val="21"/>
              </w:rPr>
            </w:pPr>
            <w:r>
              <w:rPr>
                <w:rFonts w:ascii="Times New Roman"/>
                <w:sz w:val="21"/>
              </w:rPr>
              <w:t>27,627</w:t>
            </w:r>
          </w:p>
        </w:tc>
        <w:tc>
          <w:tcPr>
            <w:tcW w:w="2636" w:type="dxa"/>
          </w:tcPr>
          <w:p>
            <w:pPr>
              <w:pStyle w:val="TableParagraph"/>
              <w:spacing w:line="237" w:lineRule="exact"/>
              <w:ind w:right="93"/>
              <w:jc w:val="right"/>
              <w:rPr>
                <w:rFonts w:ascii="Times New Roman"/>
                <w:sz w:val="21"/>
              </w:rPr>
            </w:pPr>
            <w:r>
              <w:rPr>
                <w:rFonts w:ascii="Times New Roman"/>
                <w:sz w:val="21"/>
              </w:rPr>
              <w:t>964,301</w:t>
            </w:r>
          </w:p>
        </w:tc>
      </w:tr>
      <w:tr>
        <w:trPr>
          <w:trHeight w:val="544" w:hRule="atLeast"/>
        </w:trPr>
        <w:tc>
          <w:tcPr>
            <w:tcW w:w="3562" w:type="dxa"/>
          </w:tcPr>
          <w:p>
            <w:pPr>
              <w:pStyle w:val="TableParagraph"/>
              <w:spacing w:before="1"/>
              <w:ind w:left="107"/>
              <w:rPr>
                <w:sz w:val="21"/>
              </w:rPr>
            </w:pPr>
            <w:r>
              <w:rPr>
                <w:sz w:val="21"/>
              </w:rPr>
              <w:t>其他非流动金融资产持有期间取得</w:t>
            </w:r>
          </w:p>
          <w:p>
            <w:pPr>
              <w:pStyle w:val="TableParagraph"/>
              <w:spacing w:line="252" w:lineRule="exact" w:before="2"/>
              <w:ind w:left="107"/>
              <w:rPr>
                <w:sz w:val="21"/>
              </w:rPr>
            </w:pPr>
            <w:r>
              <w:rPr>
                <w:sz w:val="21"/>
              </w:rPr>
              <w:t>的投资收益 </w:t>
            </w:r>
          </w:p>
        </w:tc>
        <w:tc>
          <w:tcPr>
            <w:tcW w:w="2626" w:type="dxa"/>
          </w:tcPr>
          <w:p>
            <w:pPr>
              <w:pStyle w:val="TableParagraph"/>
              <w:rPr>
                <w:rFonts w:ascii="Times New Roman"/>
                <w:sz w:val="20"/>
              </w:rPr>
            </w:pPr>
          </w:p>
        </w:tc>
        <w:tc>
          <w:tcPr>
            <w:tcW w:w="2636" w:type="dxa"/>
          </w:tcPr>
          <w:p>
            <w:pPr>
              <w:pStyle w:val="TableParagraph"/>
              <w:spacing w:line="235" w:lineRule="exact"/>
              <w:ind w:right="93"/>
              <w:jc w:val="right"/>
              <w:rPr>
                <w:rFonts w:ascii="Times New Roman"/>
                <w:sz w:val="21"/>
              </w:rPr>
            </w:pPr>
            <w:r>
              <w:rPr>
                <w:rFonts w:ascii="Times New Roman"/>
                <w:sz w:val="21"/>
              </w:rPr>
              <w:t>800</w:t>
            </w:r>
          </w:p>
        </w:tc>
      </w:tr>
      <w:tr>
        <w:trPr>
          <w:trHeight w:val="482" w:hRule="atLeast"/>
        </w:trPr>
        <w:tc>
          <w:tcPr>
            <w:tcW w:w="3562" w:type="dxa"/>
          </w:tcPr>
          <w:p>
            <w:pPr>
              <w:pStyle w:val="TableParagraph"/>
              <w:spacing w:before="106"/>
              <w:ind w:left="1602" w:right="1490"/>
              <w:jc w:val="center"/>
              <w:rPr>
                <w:sz w:val="21"/>
              </w:rPr>
            </w:pPr>
            <w:r>
              <w:rPr>
                <w:sz w:val="21"/>
              </w:rPr>
              <w:t>合计 </w:t>
            </w:r>
          </w:p>
        </w:tc>
        <w:tc>
          <w:tcPr>
            <w:tcW w:w="2626" w:type="dxa"/>
          </w:tcPr>
          <w:p>
            <w:pPr>
              <w:pStyle w:val="TableParagraph"/>
              <w:spacing w:line="235" w:lineRule="exact"/>
              <w:ind w:right="93"/>
              <w:jc w:val="right"/>
              <w:rPr>
                <w:rFonts w:ascii="Times New Roman"/>
                <w:sz w:val="21"/>
              </w:rPr>
            </w:pPr>
            <w:r>
              <w:rPr>
                <w:rFonts w:ascii="Times New Roman"/>
                <w:sz w:val="21"/>
              </w:rPr>
              <w:t>30,264</w:t>
            </w:r>
          </w:p>
        </w:tc>
        <w:tc>
          <w:tcPr>
            <w:tcW w:w="2636" w:type="dxa"/>
          </w:tcPr>
          <w:p>
            <w:pPr>
              <w:pStyle w:val="TableParagraph"/>
              <w:spacing w:line="235" w:lineRule="exact"/>
              <w:ind w:right="93"/>
              <w:jc w:val="right"/>
              <w:rPr>
                <w:rFonts w:ascii="Times New Roman"/>
                <w:sz w:val="21"/>
              </w:rPr>
            </w:pPr>
            <w:r>
              <w:rPr>
                <w:rFonts w:ascii="Times New Roman"/>
                <w:sz w:val="21"/>
              </w:rPr>
              <w:t>979,147</w:t>
            </w:r>
          </w:p>
        </w:tc>
      </w:tr>
    </w:tbl>
    <w:p>
      <w:pPr>
        <w:pStyle w:val="BodyText"/>
        <w:spacing w:before="5"/>
        <w:ind w:left="0"/>
        <w:rPr>
          <w:sz w:val="5"/>
        </w:rPr>
      </w:pPr>
    </w:p>
    <w:p>
      <w:pPr>
        <w:spacing w:after="0"/>
        <w:rPr>
          <w:sz w:val="5"/>
        </w:rPr>
        <w:sectPr>
          <w:pgSz w:w="11910" w:h="16840"/>
          <w:pgMar w:header="882" w:footer="1184" w:top="1120" w:bottom="1380" w:left="1480" w:right="0"/>
        </w:sectPr>
      </w:pPr>
    </w:p>
    <w:p>
      <w:pPr>
        <w:pStyle w:val="BodyText"/>
        <w:spacing w:line="307" w:lineRule="auto" w:before="69"/>
        <w:ind w:right="1178"/>
      </w:pPr>
      <w:r>
        <w:rPr/>
        <w:t>其他说明：</w:t>
      </w:r>
      <w:r>
        <w:rPr>
          <w:spacing w:val="1"/>
        </w:rPr>
        <w:t> </w:t>
      </w:r>
      <w:r>
        <w:rPr/>
        <w:t>无 </w:t>
      </w:r>
    </w:p>
    <w:p>
      <w:pPr>
        <w:pStyle w:val="BodyText"/>
        <w:spacing w:line="197" w:lineRule="exact"/>
      </w:pPr>
      <w:r>
        <w:rPr>
          <w:w w:val="100"/>
        </w:rPr>
        <w:t> </w:t>
      </w:r>
    </w:p>
    <w:p>
      <w:pPr>
        <w:pStyle w:val="BodyText"/>
        <w:spacing w:before="62"/>
      </w:pPr>
      <w:r>
        <w:rPr/>
        <w:t>69</w:t>
      </w:r>
      <w:r>
        <w:rPr>
          <w:spacing w:val="-5"/>
        </w:rPr>
        <w:t>、 净敞口套期收益</w:t>
      </w:r>
    </w:p>
    <w:p>
      <w:pPr>
        <w:pStyle w:val="BodyText"/>
        <w:spacing w:before="64"/>
      </w:pPr>
      <w:r>
        <w:rPr>
          <w:spacing w:val="-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BodyText"/>
        <w:spacing w:before="63"/>
      </w:pPr>
      <w:r>
        <w:rPr/>
        <w:t>70</w:t>
      </w:r>
      <w:r>
        <w:rPr>
          <w:spacing w:val="-5"/>
        </w:rPr>
        <w:t>、 公允价值变动收益</w:t>
      </w:r>
      <w:r>
        <w:rPr/>
        <w:t> </w:t>
      </w:r>
    </w:p>
    <w:p>
      <w:pPr>
        <w:pStyle w:val="BodyText"/>
        <w:spacing w:before="64"/>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pPr>
    </w:p>
    <w:p>
      <w:pPr>
        <w:pStyle w:val="BodyText"/>
      </w:pPr>
      <w:r>
        <w:rPr>
          <w:spacing w:val="7"/>
        </w:rPr>
        <w:t>单位：千元 币种：人民币</w:t>
      </w:r>
      <w:r>
        <w:rPr/>
        <w:t> </w:t>
      </w:r>
    </w:p>
    <w:p>
      <w:pPr>
        <w:spacing w:after="0"/>
        <w:sectPr>
          <w:type w:val="continuous"/>
          <w:pgSz w:w="11910" w:h="16840"/>
          <w:pgMar w:top="780" w:bottom="280" w:left="1480" w:right="0"/>
          <w:cols w:num="2" w:equalWidth="0">
            <w:col w:w="2656" w:space="3655"/>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5"/>
        <w:gridCol w:w="2753"/>
        <w:gridCol w:w="2756"/>
      </w:tblGrid>
      <w:tr>
        <w:trPr>
          <w:trHeight w:val="270" w:hRule="atLeast"/>
        </w:trPr>
        <w:tc>
          <w:tcPr>
            <w:tcW w:w="3315" w:type="dxa"/>
          </w:tcPr>
          <w:p>
            <w:pPr>
              <w:pStyle w:val="TableParagraph"/>
              <w:spacing w:line="250" w:lineRule="exact" w:before="1"/>
              <w:ind w:left="290"/>
              <w:rPr>
                <w:sz w:val="21"/>
              </w:rPr>
            </w:pPr>
            <w:r>
              <w:rPr>
                <w:spacing w:val="-1"/>
                <w:sz w:val="21"/>
              </w:rPr>
              <w:t>产生公允价值变动收益的来源</w:t>
            </w:r>
            <w:r>
              <w:rPr>
                <w:sz w:val="21"/>
              </w:rPr>
              <w:t> </w:t>
            </w:r>
          </w:p>
        </w:tc>
        <w:tc>
          <w:tcPr>
            <w:tcW w:w="2753" w:type="dxa"/>
          </w:tcPr>
          <w:p>
            <w:pPr>
              <w:pStyle w:val="TableParagraph"/>
              <w:spacing w:line="250" w:lineRule="exact" w:before="1"/>
              <w:ind w:left="849"/>
              <w:rPr>
                <w:sz w:val="21"/>
              </w:rPr>
            </w:pPr>
            <w:r>
              <w:rPr>
                <w:sz w:val="21"/>
              </w:rPr>
              <w:t>本期发生额 </w:t>
            </w:r>
          </w:p>
        </w:tc>
        <w:tc>
          <w:tcPr>
            <w:tcW w:w="2756" w:type="dxa"/>
          </w:tcPr>
          <w:p>
            <w:pPr>
              <w:pStyle w:val="TableParagraph"/>
              <w:spacing w:line="250" w:lineRule="exact" w:before="1"/>
              <w:ind w:left="851"/>
              <w:rPr>
                <w:sz w:val="21"/>
              </w:rPr>
            </w:pPr>
            <w:r>
              <w:rPr>
                <w:sz w:val="21"/>
              </w:rPr>
              <w:t>上期发生额 </w:t>
            </w:r>
          </w:p>
        </w:tc>
      </w:tr>
      <w:tr>
        <w:trPr>
          <w:trHeight w:val="273" w:hRule="atLeast"/>
        </w:trPr>
        <w:tc>
          <w:tcPr>
            <w:tcW w:w="3315" w:type="dxa"/>
          </w:tcPr>
          <w:p>
            <w:pPr>
              <w:pStyle w:val="TableParagraph"/>
              <w:spacing w:line="252" w:lineRule="exact" w:before="1"/>
              <w:ind w:left="107"/>
              <w:rPr>
                <w:sz w:val="21"/>
              </w:rPr>
            </w:pPr>
            <w:r>
              <w:rPr>
                <w:spacing w:val="-1"/>
                <w:sz w:val="21"/>
              </w:rPr>
              <w:t>交易性金融资产</w:t>
            </w:r>
            <w:r>
              <w:rPr>
                <w:sz w:val="21"/>
              </w:rPr>
              <w:t> </w:t>
            </w:r>
          </w:p>
        </w:tc>
        <w:tc>
          <w:tcPr>
            <w:tcW w:w="2753" w:type="dxa"/>
          </w:tcPr>
          <w:p>
            <w:pPr>
              <w:pStyle w:val="TableParagraph"/>
              <w:spacing w:before="10"/>
              <w:ind w:right="96"/>
              <w:jc w:val="right"/>
              <w:rPr>
                <w:rFonts w:ascii="Times New Roman"/>
                <w:sz w:val="21"/>
              </w:rPr>
            </w:pPr>
            <w:r>
              <w:rPr>
                <w:rFonts w:ascii="Times New Roman"/>
                <w:sz w:val="21"/>
              </w:rPr>
              <w:t>-70,113</w:t>
            </w:r>
          </w:p>
        </w:tc>
        <w:tc>
          <w:tcPr>
            <w:tcW w:w="2756" w:type="dxa"/>
          </w:tcPr>
          <w:p>
            <w:pPr>
              <w:pStyle w:val="TableParagraph"/>
              <w:spacing w:before="10"/>
              <w:ind w:right="96"/>
              <w:jc w:val="right"/>
              <w:rPr>
                <w:rFonts w:ascii="Times New Roman"/>
                <w:sz w:val="21"/>
              </w:rPr>
            </w:pPr>
            <w:r>
              <w:rPr>
                <w:rFonts w:ascii="Times New Roman"/>
                <w:sz w:val="21"/>
              </w:rPr>
              <w:t>-481,483</w:t>
            </w:r>
          </w:p>
        </w:tc>
      </w:tr>
      <w:tr>
        <w:trPr>
          <w:trHeight w:val="544" w:hRule="atLeast"/>
        </w:trPr>
        <w:tc>
          <w:tcPr>
            <w:tcW w:w="3315" w:type="dxa"/>
          </w:tcPr>
          <w:p>
            <w:pPr>
              <w:pStyle w:val="TableParagraph"/>
              <w:spacing w:before="1"/>
              <w:ind w:left="107"/>
              <w:rPr>
                <w:sz w:val="21"/>
              </w:rPr>
            </w:pPr>
            <w:r>
              <w:rPr>
                <w:sz w:val="21"/>
              </w:rPr>
              <w:t>其中：衍生金融工具产生的公允</w:t>
            </w:r>
          </w:p>
          <w:p>
            <w:pPr>
              <w:pStyle w:val="TableParagraph"/>
              <w:spacing w:line="252" w:lineRule="exact" w:before="2"/>
              <w:ind w:left="107"/>
              <w:rPr>
                <w:sz w:val="21"/>
              </w:rPr>
            </w:pPr>
            <w:r>
              <w:rPr>
                <w:spacing w:val="-1"/>
                <w:sz w:val="21"/>
              </w:rPr>
              <w:t>价值变动收益</w:t>
            </w:r>
            <w:r>
              <w:rPr>
                <w:sz w:val="21"/>
              </w:rPr>
              <w:t> </w:t>
            </w:r>
          </w:p>
        </w:tc>
        <w:tc>
          <w:tcPr>
            <w:tcW w:w="2753" w:type="dxa"/>
          </w:tcPr>
          <w:p>
            <w:pPr>
              <w:pStyle w:val="TableParagraph"/>
              <w:spacing w:before="144"/>
              <w:ind w:right="96"/>
              <w:jc w:val="right"/>
              <w:rPr>
                <w:rFonts w:ascii="Times New Roman"/>
                <w:sz w:val="21"/>
              </w:rPr>
            </w:pPr>
            <w:r>
              <w:rPr>
                <w:rFonts w:ascii="Times New Roman"/>
                <w:sz w:val="21"/>
              </w:rPr>
              <w:t>-70,113</w:t>
            </w:r>
          </w:p>
        </w:tc>
        <w:tc>
          <w:tcPr>
            <w:tcW w:w="2756" w:type="dxa"/>
          </w:tcPr>
          <w:p>
            <w:pPr>
              <w:pStyle w:val="TableParagraph"/>
              <w:spacing w:before="144"/>
              <w:ind w:right="96"/>
              <w:jc w:val="right"/>
              <w:rPr>
                <w:rFonts w:ascii="Times New Roman"/>
                <w:sz w:val="21"/>
              </w:rPr>
            </w:pPr>
            <w:r>
              <w:rPr>
                <w:rFonts w:ascii="Times New Roman"/>
                <w:sz w:val="21"/>
              </w:rPr>
              <w:t>-481,483</w:t>
            </w:r>
          </w:p>
        </w:tc>
      </w:tr>
      <w:tr>
        <w:trPr>
          <w:trHeight w:val="273" w:hRule="atLeast"/>
        </w:trPr>
        <w:tc>
          <w:tcPr>
            <w:tcW w:w="3315" w:type="dxa"/>
          </w:tcPr>
          <w:p>
            <w:pPr>
              <w:pStyle w:val="TableParagraph"/>
              <w:spacing w:line="252" w:lineRule="exact" w:before="1"/>
              <w:ind w:left="107"/>
              <w:rPr>
                <w:sz w:val="21"/>
              </w:rPr>
            </w:pPr>
            <w:r>
              <w:rPr>
                <w:spacing w:val="-1"/>
                <w:sz w:val="21"/>
              </w:rPr>
              <w:t>交易性金融负债</w:t>
            </w:r>
            <w:r>
              <w:rPr>
                <w:sz w:val="21"/>
              </w:rPr>
              <w:t> </w:t>
            </w:r>
          </w:p>
        </w:tc>
        <w:tc>
          <w:tcPr>
            <w:tcW w:w="2753" w:type="dxa"/>
          </w:tcPr>
          <w:p>
            <w:pPr>
              <w:pStyle w:val="TableParagraph"/>
              <w:rPr>
                <w:rFonts w:ascii="Times New Roman"/>
                <w:sz w:val="20"/>
              </w:rPr>
            </w:pPr>
          </w:p>
        </w:tc>
        <w:tc>
          <w:tcPr>
            <w:tcW w:w="2756" w:type="dxa"/>
          </w:tcPr>
          <w:p>
            <w:pPr>
              <w:pStyle w:val="TableParagraph"/>
              <w:rPr>
                <w:rFonts w:ascii="Times New Roman"/>
                <w:sz w:val="20"/>
              </w:rPr>
            </w:pPr>
          </w:p>
        </w:tc>
      </w:tr>
      <w:tr>
        <w:trPr>
          <w:trHeight w:val="270" w:hRule="atLeast"/>
        </w:trPr>
        <w:tc>
          <w:tcPr>
            <w:tcW w:w="3315" w:type="dxa"/>
          </w:tcPr>
          <w:p>
            <w:pPr>
              <w:pStyle w:val="TableParagraph"/>
              <w:spacing w:line="250" w:lineRule="exact" w:before="1"/>
              <w:ind w:left="107"/>
              <w:rPr>
                <w:sz w:val="21"/>
              </w:rPr>
            </w:pPr>
            <w:r>
              <w:rPr>
                <w:spacing w:val="-1"/>
                <w:sz w:val="21"/>
              </w:rPr>
              <w:t>按公允价值计量的投资性房地产</w:t>
            </w:r>
            <w:r>
              <w:rPr>
                <w:sz w:val="21"/>
              </w:rPr>
              <w:t> </w:t>
            </w:r>
          </w:p>
        </w:tc>
        <w:tc>
          <w:tcPr>
            <w:tcW w:w="2753" w:type="dxa"/>
          </w:tcPr>
          <w:p>
            <w:pPr>
              <w:pStyle w:val="TableParagraph"/>
              <w:rPr>
                <w:rFonts w:ascii="Times New Roman"/>
                <w:sz w:val="20"/>
              </w:rPr>
            </w:pPr>
          </w:p>
        </w:tc>
        <w:tc>
          <w:tcPr>
            <w:tcW w:w="2756" w:type="dxa"/>
          </w:tcPr>
          <w:p>
            <w:pPr>
              <w:pStyle w:val="TableParagraph"/>
              <w:rPr>
                <w:rFonts w:ascii="Times New Roman"/>
                <w:sz w:val="20"/>
              </w:rPr>
            </w:pPr>
          </w:p>
        </w:tc>
      </w:tr>
      <w:tr>
        <w:trPr>
          <w:trHeight w:val="273" w:hRule="atLeast"/>
        </w:trPr>
        <w:tc>
          <w:tcPr>
            <w:tcW w:w="3315" w:type="dxa"/>
          </w:tcPr>
          <w:p>
            <w:pPr>
              <w:pStyle w:val="TableParagraph"/>
              <w:spacing w:line="252" w:lineRule="exact" w:before="1"/>
              <w:ind w:left="107"/>
              <w:rPr>
                <w:sz w:val="21"/>
              </w:rPr>
            </w:pPr>
            <w:r>
              <w:rPr>
                <w:w w:val="100"/>
                <w:sz w:val="21"/>
              </w:rPr>
              <w:t> </w:t>
            </w:r>
          </w:p>
        </w:tc>
        <w:tc>
          <w:tcPr>
            <w:tcW w:w="2753" w:type="dxa"/>
          </w:tcPr>
          <w:p>
            <w:pPr>
              <w:pStyle w:val="TableParagraph"/>
              <w:rPr>
                <w:rFonts w:ascii="Times New Roman"/>
                <w:sz w:val="20"/>
              </w:rPr>
            </w:pPr>
          </w:p>
        </w:tc>
        <w:tc>
          <w:tcPr>
            <w:tcW w:w="2756" w:type="dxa"/>
          </w:tcPr>
          <w:p>
            <w:pPr>
              <w:pStyle w:val="TableParagraph"/>
              <w:rPr>
                <w:rFonts w:ascii="Times New Roman"/>
                <w:sz w:val="20"/>
              </w:rPr>
            </w:pPr>
          </w:p>
        </w:tc>
      </w:tr>
      <w:tr>
        <w:trPr>
          <w:trHeight w:val="270" w:hRule="atLeast"/>
        </w:trPr>
        <w:tc>
          <w:tcPr>
            <w:tcW w:w="3315" w:type="dxa"/>
          </w:tcPr>
          <w:p>
            <w:pPr>
              <w:pStyle w:val="TableParagraph"/>
              <w:spacing w:line="250" w:lineRule="exact" w:before="1"/>
              <w:ind w:left="107"/>
              <w:rPr>
                <w:sz w:val="21"/>
              </w:rPr>
            </w:pPr>
            <w:r>
              <w:rPr>
                <w:w w:val="100"/>
                <w:sz w:val="21"/>
              </w:rPr>
              <w:t> </w:t>
            </w:r>
          </w:p>
        </w:tc>
        <w:tc>
          <w:tcPr>
            <w:tcW w:w="2753" w:type="dxa"/>
          </w:tcPr>
          <w:p>
            <w:pPr>
              <w:pStyle w:val="TableParagraph"/>
              <w:rPr>
                <w:rFonts w:ascii="Times New Roman"/>
                <w:sz w:val="20"/>
              </w:rPr>
            </w:pPr>
          </w:p>
        </w:tc>
        <w:tc>
          <w:tcPr>
            <w:tcW w:w="2756" w:type="dxa"/>
          </w:tcPr>
          <w:p>
            <w:pPr>
              <w:pStyle w:val="TableParagraph"/>
              <w:rPr>
                <w:rFonts w:ascii="Times New Roman"/>
                <w:sz w:val="20"/>
              </w:rPr>
            </w:pPr>
          </w:p>
        </w:tc>
      </w:tr>
      <w:tr>
        <w:trPr>
          <w:trHeight w:val="273" w:hRule="atLeast"/>
        </w:trPr>
        <w:tc>
          <w:tcPr>
            <w:tcW w:w="3315" w:type="dxa"/>
          </w:tcPr>
          <w:p>
            <w:pPr>
              <w:pStyle w:val="TableParagraph"/>
              <w:spacing w:line="250" w:lineRule="exact" w:before="3"/>
              <w:ind w:left="1265" w:right="1156"/>
              <w:jc w:val="center"/>
              <w:rPr>
                <w:sz w:val="21"/>
              </w:rPr>
            </w:pPr>
            <w:r>
              <w:rPr>
                <w:sz w:val="21"/>
              </w:rPr>
              <w:t>合计 </w:t>
            </w:r>
          </w:p>
        </w:tc>
        <w:tc>
          <w:tcPr>
            <w:tcW w:w="2753" w:type="dxa"/>
          </w:tcPr>
          <w:p>
            <w:pPr>
              <w:pStyle w:val="TableParagraph"/>
              <w:spacing w:before="10"/>
              <w:ind w:right="96"/>
              <w:jc w:val="right"/>
              <w:rPr>
                <w:rFonts w:ascii="Times New Roman"/>
                <w:sz w:val="21"/>
              </w:rPr>
            </w:pPr>
            <w:r>
              <w:rPr>
                <w:rFonts w:ascii="Times New Roman"/>
                <w:sz w:val="21"/>
              </w:rPr>
              <w:t>-70,113</w:t>
            </w:r>
          </w:p>
        </w:tc>
        <w:tc>
          <w:tcPr>
            <w:tcW w:w="2756" w:type="dxa"/>
          </w:tcPr>
          <w:p>
            <w:pPr>
              <w:pStyle w:val="TableParagraph"/>
              <w:spacing w:before="10"/>
              <w:ind w:right="96"/>
              <w:jc w:val="right"/>
              <w:rPr>
                <w:rFonts w:ascii="Times New Roman"/>
                <w:sz w:val="21"/>
              </w:rPr>
            </w:pPr>
            <w:r>
              <w:rPr>
                <w:rFonts w:ascii="Times New Roman"/>
                <w:sz w:val="21"/>
              </w:rPr>
              <w:t>-481,483</w:t>
            </w:r>
          </w:p>
        </w:tc>
      </w:tr>
    </w:tbl>
    <w:p>
      <w:pPr>
        <w:spacing w:after="0"/>
        <w:jc w:val="right"/>
        <w:rPr>
          <w:rFonts w:ascii="Times New Roman"/>
          <w:sz w:val="21"/>
        </w:rPr>
        <w:sectPr>
          <w:type w:val="continuous"/>
          <w:pgSz w:w="11910" w:h="16840"/>
          <w:pgMar w:top="780" w:bottom="280" w:left="1480" w:right="0"/>
        </w:sectPr>
      </w:pPr>
    </w:p>
    <w:p>
      <w:pPr>
        <w:pStyle w:val="BodyText"/>
        <w:spacing w:line="297" w:lineRule="auto" w:before="65"/>
        <w:ind w:right="666"/>
      </w:pPr>
      <w:r>
        <w:rPr/>
        <w:t>其他说明：</w:t>
      </w:r>
      <w:r>
        <w:rPr>
          <w:spacing w:val="1"/>
        </w:rPr>
        <w:t> </w:t>
      </w:r>
      <w:r>
        <w:rPr/>
        <w:t>无 </w:t>
      </w:r>
    </w:p>
    <w:p>
      <w:pPr>
        <w:pStyle w:val="BodyText"/>
        <w:spacing w:line="207" w:lineRule="exact"/>
      </w:pPr>
      <w:r>
        <w:rPr>
          <w:w w:val="100"/>
        </w:rPr>
        <w:t> </w:t>
      </w:r>
    </w:p>
    <w:p>
      <w:pPr>
        <w:pStyle w:val="BodyText"/>
        <w:spacing w:before="65"/>
      </w:pPr>
      <w:r>
        <w:rPr/>
        <w:t>71</w:t>
      </w:r>
      <w:r>
        <w:rPr>
          <w:spacing w:val="-5"/>
        </w:rPr>
        <w:t>、 信用减值损失</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6"/>
        <w:ind w:left="0"/>
        <w:rPr>
          <w:sz w:val="25"/>
        </w:rPr>
      </w:pPr>
    </w:p>
    <w:p>
      <w:pPr>
        <w:pStyle w:val="BodyText"/>
        <w:spacing w:before="1"/>
      </w:pPr>
      <w:r>
        <w:rPr>
          <w:spacing w:val="-2"/>
        </w:rPr>
        <w:t>单位：千元 币种：人民币</w:t>
      </w:r>
    </w:p>
    <w:p>
      <w:pPr>
        <w:spacing w:after="0"/>
        <w:sectPr>
          <w:type w:val="continuous"/>
          <w:pgSz w:w="11910" w:h="16840"/>
          <w:pgMar w:top="780" w:bottom="280" w:left="1480" w:right="0"/>
          <w:cols w:num="2" w:equalWidth="0">
            <w:col w:w="2144" w:space="4284"/>
            <w:col w:w="4002"/>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0"/>
        <w:gridCol w:w="2621"/>
        <w:gridCol w:w="2643"/>
      </w:tblGrid>
      <w:tr>
        <w:trPr>
          <w:trHeight w:val="273" w:hRule="atLeast"/>
        </w:trPr>
        <w:tc>
          <w:tcPr>
            <w:tcW w:w="3560" w:type="dxa"/>
            <w:tcBorders>
              <w:bottom w:val="single" w:sz="6" w:space="0" w:color="000000"/>
              <w:right w:val="single" w:sz="6" w:space="0" w:color="000000"/>
            </w:tcBorders>
          </w:tcPr>
          <w:p>
            <w:pPr>
              <w:pStyle w:val="TableParagraph"/>
              <w:spacing w:line="252" w:lineRule="exact" w:before="1"/>
              <w:ind w:left="1602" w:right="1485"/>
              <w:jc w:val="center"/>
              <w:rPr>
                <w:sz w:val="21"/>
              </w:rPr>
            </w:pPr>
            <w:r>
              <w:rPr>
                <w:sz w:val="21"/>
              </w:rPr>
              <w:t>项目 </w:t>
            </w:r>
          </w:p>
        </w:tc>
        <w:tc>
          <w:tcPr>
            <w:tcW w:w="2621" w:type="dxa"/>
            <w:tcBorders>
              <w:left w:val="single" w:sz="6" w:space="0" w:color="000000"/>
              <w:bottom w:val="single" w:sz="6" w:space="0" w:color="000000"/>
              <w:right w:val="single" w:sz="6" w:space="0" w:color="000000"/>
            </w:tcBorders>
          </w:tcPr>
          <w:p>
            <w:pPr>
              <w:pStyle w:val="TableParagraph"/>
              <w:spacing w:line="252" w:lineRule="exact" w:before="1"/>
              <w:ind w:left="781"/>
              <w:rPr>
                <w:sz w:val="21"/>
              </w:rPr>
            </w:pPr>
            <w:r>
              <w:rPr>
                <w:sz w:val="21"/>
              </w:rPr>
              <w:t>本期发生额 </w:t>
            </w:r>
          </w:p>
        </w:tc>
        <w:tc>
          <w:tcPr>
            <w:tcW w:w="2643" w:type="dxa"/>
            <w:tcBorders>
              <w:left w:val="single" w:sz="6" w:space="0" w:color="000000"/>
              <w:bottom w:val="single" w:sz="6" w:space="0" w:color="000000"/>
            </w:tcBorders>
          </w:tcPr>
          <w:p>
            <w:pPr>
              <w:pStyle w:val="TableParagraph"/>
              <w:spacing w:line="252" w:lineRule="exact" w:before="1"/>
              <w:ind w:left="791"/>
              <w:rPr>
                <w:sz w:val="21"/>
              </w:rPr>
            </w:pPr>
            <w:r>
              <w:rPr>
                <w:sz w:val="21"/>
              </w:rPr>
              <w:t>上期发生额 </w:t>
            </w:r>
          </w:p>
        </w:tc>
      </w:tr>
      <w:tr>
        <w:trPr>
          <w:trHeight w:val="272" w:hRule="atLeast"/>
        </w:trPr>
        <w:tc>
          <w:tcPr>
            <w:tcW w:w="3560"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应收票据坏账损失</w:t>
            </w:r>
            <w:r>
              <w:rPr>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w w:val="100"/>
                <w:sz w:val="21"/>
              </w:rPr>
              <w:t> </w:t>
            </w:r>
          </w:p>
        </w:tc>
        <w:tc>
          <w:tcPr>
            <w:tcW w:w="2643"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w w:val="100"/>
                <w:sz w:val="21"/>
              </w:rPr>
              <w:t> </w:t>
            </w:r>
          </w:p>
        </w:tc>
      </w:tr>
      <w:tr>
        <w:trPr>
          <w:trHeight w:val="270" w:hRule="atLeast"/>
        </w:trPr>
        <w:tc>
          <w:tcPr>
            <w:tcW w:w="3560"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1"/>
                <w:sz w:val="21"/>
              </w:rPr>
              <w:t>应收账款坏账损失</w:t>
            </w:r>
            <w:r>
              <w:rPr>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before="7"/>
              <w:ind w:right="93"/>
              <w:jc w:val="right"/>
              <w:rPr>
                <w:rFonts w:ascii="Times New Roman"/>
                <w:sz w:val="21"/>
              </w:rPr>
            </w:pPr>
            <w:r>
              <w:rPr>
                <w:rFonts w:ascii="Times New Roman"/>
                <w:sz w:val="21"/>
              </w:rPr>
              <w:t>-158,089</w:t>
            </w:r>
          </w:p>
        </w:tc>
        <w:tc>
          <w:tcPr>
            <w:tcW w:w="2643" w:type="dxa"/>
            <w:tcBorders>
              <w:top w:val="single" w:sz="6" w:space="0" w:color="000000"/>
              <w:left w:val="single" w:sz="6" w:space="0" w:color="000000"/>
              <w:bottom w:val="single" w:sz="6" w:space="0" w:color="000000"/>
            </w:tcBorders>
          </w:tcPr>
          <w:p>
            <w:pPr>
              <w:pStyle w:val="TableParagraph"/>
              <w:spacing w:before="7"/>
              <w:ind w:right="96"/>
              <w:jc w:val="right"/>
              <w:rPr>
                <w:rFonts w:ascii="Times New Roman"/>
                <w:sz w:val="21"/>
              </w:rPr>
            </w:pPr>
            <w:r>
              <w:rPr>
                <w:rFonts w:ascii="Times New Roman"/>
                <w:sz w:val="21"/>
              </w:rPr>
              <w:t>-119,739</w:t>
            </w:r>
          </w:p>
        </w:tc>
      </w:tr>
      <w:tr>
        <w:trPr>
          <w:trHeight w:val="272" w:hRule="atLeast"/>
        </w:trPr>
        <w:tc>
          <w:tcPr>
            <w:tcW w:w="3560"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1"/>
                <w:sz w:val="21"/>
              </w:rPr>
              <w:t>其他应收款坏账损失</w:t>
            </w:r>
            <w:r>
              <w:rPr>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before="10"/>
              <w:ind w:right="93"/>
              <w:jc w:val="right"/>
              <w:rPr>
                <w:rFonts w:ascii="Times New Roman"/>
                <w:sz w:val="21"/>
              </w:rPr>
            </w:pPr>
            <w:r>
              <w:rPr>
                <w:rFonts w:ascii="Times New Roman"/>
                <w:sz w:val="21"/>
              </w:rPr>
              <w:t>-22,005</w:t>
            </w:r>
          </w:p>
        </w:tc>
        <w:tc>
          <w:tcPr>
            <w:tcW w:w="2643" w:type="dxa"/>
            <w:tcBorders>
              <w:top w:val="single" w:sz="6" w:space="0" w:color="000000"/>
              <w:left w:val="single" w:sz="6" w:space="0" w:color="000000"/>
              <w:bottom w:val="single" w:sz="6" w:space="0" w:color="000000"/>
            </w:tcBorders>
          </w:tcPr>
          <w:p>
            <w:pPr>
              <w:pStyle w:val="TableParagraph"/>
              <w:spacing w:before="10"/>
              <w:ind w:right="93"/>
              <w:jc w:val="right"/>
              <w:rPr>
                <w:rFonts w:ascii="Times New Roman"/>
                <w:sz w:val="21"/>
              </w:rPr>
            </w:pPr>
            <w:r>
              <w:rPr>
                <w:rFonts w:ascii="Times New Roman"/>
                <w:sz w:val="21"/>
              </w:rPr>
              <w:t>54,628</w:t>
            </w:r>
          </w:p>
        </w:tc>
      </w:tr>
      <w:tr>
        <w:trPr>
          <w:trHeight w:val="273" w:hRule="atLeast"/>
        </w:trPr>
        <w:tc>
          <w:tcPr>
            <w:tcW w:w="3560"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债权投资减值损失</w:t>
            </w:r>
            <w:r>
              <w:rPr>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w w:val="100"/>
                <w:sz w:val="21"/>
              </w:rPr>
              <w:t> </w:t>
            </w:r>
          </w:p>
        </w:tc>
        <w:tc>
          <w:tcPr>
            <w:tcW w:w="2643"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w w:val="100"/>
                <w:sz w:val="21"/>
              </w:rPr>
              <w:t> </w:t>
            </w:r>
          </w:p>
        </w:tc>
      </w:tr>
      <w:tr>
        <w:trPr>
          <w:trHeight w:val="270" w:hRule="atLeast"/>
        </w:trPr>
        <w:tc>
          <w:tcPr>
            <w:tcW w:w="3560"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1"/>
                <w:sz w:val="21"/>
              </w:rPr>
              <w:t>其他债权投资减值损失</w:t>
            </w:r>
            <w:r>
              <w:rPr>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w w:val="100"/>
                <w:sz w:val="21"/>
              </w:rPr>
              <w:t> </w:t>
            </w:r>
          </w:p>
        </w:tc>
        <w:tc>
          <w:tcPr>
            <w:tcW w:w="2643"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w w:val="100"/>
                <w:sz w:val="21"/>
              </w:rPr>
              <w:t> </w:t>
            </w:r>
          </w:p>
        </w:tc>
      </w:tr>
      <w:tr>
        <w:trPr>
          <w:trHeight w:val="273" w:hRule="atLeast"/>
        </w:trPr>
        <w:tc>
          <w:tcPr>
            <w:tcW w:w="3560" w:type="dxa"/>
            <w:tcBorders>
              <w:top w:val="single" w:sz="6" w:space="0" w:color="000000"/>
              <w:bottom w:val="single" w:sz="6" w:space="0" w:color="000000"/>
              <w:right w:val="single" w:sz="6" w:space="0" w:color="000000"/>
            </w:tcBorders>
          </w:tcPr>
          <w:p>
            <w:pPr>
              <w:pStyle w:val="TableParagraph"/>
              <w:spacing w:line="250" w:lineRule="exact" w:before="4"/>
              <w:ind w:left="107"/>
              <w:rPr>
                <w:sz w:val="21"/>
              </w:rPr>
            </w:pPr>
            <w:r>
              <w:rPr>
                <w:spacing w:val="-1"/>
                <w:sz w:val="21"/>
              </w:rPr>
              <w:t>长期应收款坏账损失</w:t>
            </w:r>
            <w:r>
              <w:rPr>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4"/>
              <w:ind w:right="-15"/>
              <w:jc w:val="right"/>
              <w:rPr>
                <w:sz w:val="21"/>
              </w:rPr>
            </w:pPr>
            <w:r>
              <w:rPr>
                <w:w w:val="100"/>
                <w:sz w:val="21"/>
              </w:rPr>
              <w:t> </w:t>
            </w:r>
          </w:p>
        </w:tc>
        <w:tc>
          <w:tcPr>
            <w:tcW w:w="2643" w:type="dxa"/>
            <w:tcBorders>
              <w:top w:val="single" w:sz="6" w:space="0" w:color="000000"/>
              <w:left w:val="single" w:sz="6" w:space="0" w:color="000000"/>
              <w:bottom w:val="single" w:sz="6" w:space="0" w:color="000000"/>
            </w:tcBorders>
          </w:tcPr>
          <w:p>
            <w:pPr>
              <w:pStyle w:val="TableParagraph"/>
              <w:spacing w:line="250" w:lineRule="exact" w:before="4"/>
              <w:ind w:right="-15"/>
              <w:jc w:val="right"/>
              <w:rPr>
                <w:sz w:val="21"/>
              </w:rPr>
            </w:pPr>
            <w:r>
              <w:rPr>
                <w:w w:val="100"/>
                <w:sz w:val="21"/>
              </w:rPr>
              <w:t> </w:t>
            </w:r>
          </w:p>
        </w:tc>
      </w:tr>
      <w:tr>
        <w:trPr>
          <w:trHeight w:val="273" w:hRule="atLeast"/>
        </w:trPr>
        <w:tc>
          <w:tcPr>
            <w:tcW w:w="3560"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合同资产减值损失</w:t>
            </w:r>
            <w:r>
              <w:rPr>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w w:val="100"/>
                <w:sz w:val="21"/>
              </w:rPr>
              <w:t> </w:t>
            </w:r>
          </w:p>
        </w:tc>
        <w:tc>
          <w:tcPr>
            <w:tcW w:w="2643"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w w:val="100"/>
                <w:sz w:val="21"/>
              </w:rPr>
              <w:t> </w:t>
            </w:r>
          </w:p>
        </w:tc>
      </w:tr>
      <w:tr>
        <w:trPr>
          <w:trHeight w:val="272" w:hRule="atLeast"/>
        </w:trPr>
        <w:tc>
          <w:tcPr>
            <w:tcW w:w="3560"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w w:val="100"/>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w w:val="100"/>
                <w:sz w:val="21"/>
              </w:rPr>
              <w:t> </w:t>
            </w:r>
          </w:p>
        </w:tc>
        <w:tc>
          <w:tcPr>
            <w:tcW w:w="2643" w:type="dxa"/>
            <w:tcBorders>
              <w:top w:val="single" w:sz="6" w:space="0" w:color="000000"/>
              <w:left w:val="single" w:sz="6" w:space="0" w:color="000000"/>
              <w:bottom w:val="single" w:sz="6" w:space="0" w:color="000000"/>
            </w:tcBorders>
          </w:tcPr>
          <w:p>
            <w:pPr>
              <w:pStyle w:val="TableParagraph"/>
              <w:spacing w:line="252" w:lineRule="exact" w:before="1"/>
              <w:ind w:right="-15"/>
              <w:jc w:val="right"/>
              <w:rPr>
                <w:sz w:val="21"/>
              </w:rPr>
            </w:pPr>
            <w:r>
              <w:rPr>
                <w:w w:val="100"/>
                <w:sz w:val="21"/>
              </w:rPr>
              <w:t> </w:t>
            </w:r>
          </w:p>
        </w:tc>
      </w:tr>
      <w:tr>
        <w:trPr>
          <w:trHeight w:val="270" w:hRule="atLeast"/>
        </w:trPr>
        <w:tc>
          <w:tcPr>
            <w:tcW w:w="3560"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w w:val="100"/>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w w:val="100"/>
                <w:sz w:val="21"/>
              </w:rPr>
              <w:t> </w:t>
            </w:r>
          </w:p>
        </w:tc>
        <w:tc>
          <w:tcPr>
            <w:tcW w:w="2643" w:type="dxa"/>
            <w:tcBorders>
              <w:top w:val="single" w:sz="6" w:space="0" w:color="000000"/>
              <w:left w:val="single" w:sz="6" w:space="0" w:color="000000"/>
              <w:bottom w:val="single" w:sz="6" w:space="0" w:color="000000"/>
            </w:tcBorders>
          </w:tcPr>
          <w:p>
            <w:pPr>
              <w:pStyle w:val="TableParagraph"/>
              <w:spacing w:line="250" w:lineRule="exact" w:before="1"/>
              <w:ind w:right="-15"/>
              <w:jc w:val="right"/>
              <w:rPr>
                <w:sz w:val="21"/>
              </w:rPr>
            </w:pPr>
            <w:r>
              <w:rPr>
                <w:w w:val="100"/>
                <w:sz w:val="21"/>
              </w:rPr>
              <w:t> </w:t>
            </w:r>
          </w:p>
        </w:tc>
      </w:tr>
      <w:tr>
        <w:trPr>
          <w:trHeight w:val="273" w:hRule="atLeast"/>
        </w:trPr>
        <w:tc>
          <w:tcPr>
            <w:tcW w:w="3560" w:type="dxa"/>
            <w:tcBorders>
              <w:top w:val="single" w:sz="6" w:space="0" w:color="000000"/>
              <w:right w:val="single" w:sz="6" w:space="0" w:color="000000"/>
            </w:tcBorders>
          </w:tcPr>
          <w:p>
            <w:pPr>
              <w:pStyle w:val="TableParagraph"/>
              <w:spacing w:line="250" w:lineRule="exact" w:before="3"/>
              <w:ind w:left="1602" w:right="1485"/>
              <w:jc w:val="center"/>
              <w:rPr>
                <w:sz w:val="21"/>
              </w:rPr>
            </w:pPr>
            <w:r>
              <w:rPr>
                <w:sz w:val="21"/>
              </w:rPr>
              <w:t>合计 </w:t>
            </w:r>
          </w:p>
        </w:tc>
        <w:tc>
          <w:tcPr>
            <w:tcW w:w="2621" w:type="dxa"/>
            <w:tcBorders>
              <w:top w:val="single" w:sz="6" w:space="0" w:color="000000"/>
              <w:left w:val="single" w:sz="6" w:space="0" w:color="000000"/>
              <w:right w:val="single" w:sz="6" w:space="0" w:color="000000"/>
            </w:tcBorders>
          </w:tcPr>
          <w:p>
            <w:pPr>
              <w:pStyle w:val="TableParagraph"/>
              <w:spacing w:before="10"/>
              <w:ind w:right="93"/>
              <w:jc w:val="right"/>
              <w:rPr>
                <w:rFonts w:ascii="Times New Roman"/>
                <w:sz w:val="21"/>
              </w:rPr>
            </w:pPr>
            <w:r>
              <w:rPr>
                <w:rFonts w:ascii="Times New Roman"/>
                <w:sz w:val="21"/>
              </w:rPr>
              <w:t>-180,094</w:t>
            </w:r>
          </w:p>
        </w:tc>
        <w:tc>
          <w:tcPr>
            <w:tcW w:w="2643" w:type="dxa"/>
            <w:tcBorders>
              <w:top w:val="single" w:sz="6" w:space="0" w:color="000000"/>
              <w:left w:val="single" w:sz="6" w:space="0" w:color="000000"/>
            </w:tcBorders>
          </w:tcPr>
          <w:p>
            <w:pPr>
              <w:pStyle w:val="TableParagraph"/>
              <w:spacing w:before="10"/>
              <w:ind w:right="96"/>
              <w:jc w:val="right"/>
              <w:rPr>
                <w:rFonts w:ascii="Times New Roman"/>
                <w:sz w:val="21"/>
              </w:rPr>
            </w:pPr>
            <w:r>
              <w:rPr>
                <w:rFonts w:ascii="Times New Roman"/>
                <w:sz w:val="21"/>
              </w:rPr>
              <w:t>-65,111</w:t>
            </w:r>
          </w:p>
        </w:tc>
      </w:tr>
    </w:tbl>
    <w:p>
      <w:pPr>
        <w:pStyle w:val="BodyText"/>
        <w:spacing w:line="244" w:lineRule="auto" w:before="1"/>
        <w:ind w:right="8949"/>
      </w:pPr>
      <w:r>
        <w:rPr/>
        <w:t>其他说明：</w:t>
      </w:r>
      <w:r>
        <w:rPr>
          <w:spacing w:val="1"/>
        </w:rPr>
        <w:t> </w:t>
      </w:r>
      <w:r>
        <w:rPr/>
        <w:t>无 </w:t>
      </w:r>
    </w:p>
    <w:p>
      <w:pPr>
        <w:pStyle w:val="BodyText"/>
        <w:spacing w:line="265" w:lineRule="exact"/>
      </w:pPr>
      <w:r>
        <w:rPr>
          <w:w w:val="100"/>
        </w:rPr>
        <w:t> </w:t>
      </w:r>
    </w:p>
    <w:p>
      <w:pPr>
        <w:pStyle w:val="BodyText"/>
        <w:spacing w:before="4"/>
      </w:pPr>
      <w:r>
        <w:rPr>
          <w:w w:val="100"/>
        </w:rPr>
        <w:t> </w:t>
      </w:r>
    </w:p>
    <w:p>
      <w:pPr>
        <w:spacing w:after="0"/>
        <w:sectPr>
          <w:type w:val="continuous"/>
          <w:pgSz w:w="11910" w:h="16840"/>
          <w:pgMar w:top="780" w:bottom="280" w:left="1480" w:right="0"/>
        </w:sectPr>
      </w:pPr>
    </w:p>
    <w:p>
      <w:pPr>
        <w:pStyle w:val="BodyText"/>
        <w:spacing w:before="7"/>
        <w:ind w:left="0"/>
        <w:rPr>
          <w:sz w:val="25"/>
        </w:rPr>
      </w:pPr>
    </w:p>
    <w:p>
      <w:pPr>
        <w:pStyle w:val="BodyText"/>
        <w:spacing w:before="72"/>
      </w:pPr>
      <w:r>
        <w:rPr/>
        <w:t>72</w:t>
      </w:r>
      <w:r>
        <w:rPr>
          <w:spacing w:val="-5"/>
        </w:rPr>
        <w:t>、 资产减值损失</w:t>
      </w:r>
      <w:r>
        <w:rPr/>
        <w:t> </w:t>
      </w:r>
    </w:p>
    <w:p>
      <w:pPr>
        <w:pStyle w:val="BodyText"/>
        <w:spacing w:before="65"/>
      </w:pPr>
      <w:r>
        <w:rPr>
          <w:spacing w:val="-1"/>
        </w:rPr>
        <w:t>√适用 □不适用</w:t>
      </w:r>
      <w:r>
        <w:rPr>
          <w:spacing w:val="-3"/>
        </w:rPr>
        <w:t> </w:t>
      </w:r>
      <w:r>
        <w:rPr/>
        <w:t> </w:t>
      </w:r>
    </w:p>
    <w:p>
      <w:pPr>
        <w:pStyle w:val="BodyText"/>
        <w:spacing w:before="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5"/>
        <w:gridCol w:w="2508"/>
        <w:gridCol w:w="3000"/>
      </w:tblGrid>
      <w:tr>
        <w:trPr>
          <w:trHeight w:val="270" w:hRule="atLeast"/>
        </w:trPr>
        <w:tc>
          <w:tcPr>
            <w:tcW w:w="3315" w:type="dxa"/>
          </w:tcPr>
          <w:p>
            <w:pPr>
              <w:pStyle w:val="TableParagraph"/>
              <w:spacing w:line="250" w:lineRule="exact" w:before="1"/>
              <w:ind w:left="1270" w:right="1156"/>
              <w:jc w:val="center"/>
              <w:rPr>
                <w:sz w:val="21"/>
              </w:rPr>
            </w:pPr>
            <w:r>
              <w:rPr>
                <w:sz w:val="21"/>
              </w:rPr>
              <w:t>项目 </w:t>
            </w:r>
          </w:p>
        </w:tc>
        <w:tc>
          <w:tcPr>
            <w:tcW w:w="2508" w:type="dxa"/>
          </w:tcPr>
          <w:p>
            <w:pPr>
              <w:pStyle w:val="TableParagraph"/>
              <w:spacing w:line="250" w:lineRule="exact" w:before="1"/>
              <w:ind w:left="726"/>
              <w:rPr>
                <w:sz w:val="21"/>
              </w:rPr>
            </w:pPr>
            <w:r>
              <w:rPr>
                <w:sz w:val="21"/>
              </w:rPr>
              <w:t>本期发生额 </w:t>
            </w:r>
          </w:p>
        </w:tc>
        <w:tc>
          <w:tcPr>
            <w:tcW w:w="3000" w:type="dxa"/>
          </w:tcPr>
          <w:p>
            <w:pPr>
              <w:pStyle w:val="TableParagraph"/>
              <w:spacing w:line="250" w:lineRule="exact" w:before="1"/>
              <w:ind w:left="974"/>
              <w:rPr>
                <w:sz w:val="21"/>
              </w:rPr>
            </w:pPr>
            <w:r>
              <w:rPr>
                <w:sz w:val="21"/>
              </w:rPr>
              <w:t>上期发生额 </w:t>
            </w:r>
          </w:p>
        </w:tc>
      </w:tr>
      <w:tr>
        <w:trPr>
          <w:trHeight w:val="273" w:hRule="atLeast"/>
        </w:trPr>
        <w:tc>
          <w:tcPr>
            <w:tcW w:w="3315" w:type="dxa"/>
          </w:tcPr>
          <w:p>
            <w:pPr>
              <w:pStyle w:val="TableParagraph"/>
              <w:spacing w:line="250" w:lineRule="exact" w:before="3"/>
              <w:ind w:left="107"/>
              <w:rPr>
                <w:sz w:val="21"/>
              </w:rPr>
            </w:pPr>
            <w:r>
              <w:rPr>
                <w:spacing w:val="-1"/>
                <w:sz w:val="21"/>
              </w:rPr>
              <w:t>一、坏账损失</w:t>
            </w:r>
            <w:r>
              <w:rPr>
                <w:sz w:val="21"/>
              </w:rPr>
              <w:t> </w:t>
            </w:r>
          </w:p>
        </w:tc>
        <w:tc>
          <w:tcPr>
            <w:tcW w:w="2508" w:type="dxa"/>
          </w:tcPr>
          <w:p>
            <w:pPr>
              <w:pStyle w:val="TableParagraph"/>
              <w:spacing w:line="250" w:lineRule="exact" w:before="3"/>
              <w:ind w:right="-15"/>
              <w:jc w:val="right"/>
              <w:rPr>
                <w:sz w:val="21"/>
              </w:rPr>
            </w:pPr>
            <w:r>
              <w:rPr>
                <w:w w:val="100"/>
                <w:sz w:val="21"/>
              </w:rPr>
              <w:t> </w:t>
            </w:r>
          </w:p>
        </w:tc>
        <w:tc>
          <w:tcPr>
            <w:tcW w:w="3000" w:type="dxa"/>
          </w:tcPr>
          <w:p>
            <w:pPr>
              <w:pStyle w:val="TableParagraph"/>
              <w:spacing w:line="250" w:lineRule="exact" w:before="3"/>
              <w:ind w:right="-15"/>
              <w:jc w:val="right"/>
              <w:rPr>
                <w:sz w:val="21"/>
              </w:rPr>
            </w:pPr>
            <w:r>
              <w:rPr>
                <w:w w:val="100"/>
                <w:sz w:val="21"/>
              </w:rPr>
              <w:t> </w:t>
            </w:r>
          </w:p>
        </w:tc>
      </w:tr>
      <w:tr>
        <w:trPr>
          <w:trHeight w:val="544" w:hRule="atLeast"/>
        </w:trPr>
        <w:tc>
          <w:tcPr>
            <w:tcW w:w="3315" w:type="dxa"/>
          </w:tcPr>
          <w:p>
            <w:pPr>
              <w:pStyle w:val="TableParagraph"/>
              <w:spacing w:before="1"/>
              <w:ind w:left="107"/>
              <w:rPr>
                <w:sz w:val="21"/>
              </w:rPr>
            </w:pPr>
            <w:r>
              <w:rPr>
                <w:sz w:val="21"/>
              </w:rPr>
              <w:t>二、存货跌价损失及合同履约成</w:t>
            </w:r>
          </w:p>
          <w:p>
            <w:pPr>
              <w:pStyle w:val="TableParagraph"/>
              <w:spacing w:line="250" w:lineRule="exact" w:before="4"/>
              <w:ind w:left="107"/>
              <w:rPr>
                <w:sz w:val="21"/>
              </w:rPr>
            </w:pPr>
            <w:r>
              <w:rPr>
                <w:sz w:val="21"/>
              </w:rPr>
              <w:t>本减值损失 </w:t>
            </w:r>
          </w:p>
        </w:tc>
        <w:tc>
          <w:tcPr>
            <w:tcW w:w="2508" w:type="dxa"/>
          </w:tcPr>
          <w:p>
            <w:pPr>
              <w:pStyle w:val="TableParagraph"/>
              <w:spacing w:before="144"/>
              <w:ind w:right="93"/>
              <w:jc w:val="right"/>
              <w:rPr>
                <w:rFonts w:ascii="Times New Roman"/>
                <w:sz w:val="21"/>
              </w:rPr>
            </w:pPr>
            <w:r>
              <w:rPr>
                <w:rFonts w:ascii="Times New Roman"/>
                <w:sz w:val="21"/>
              </w:rPr>
              <w:t>1,068,668</w:t>
            </w:r>
          </w:p>
        </w:tc>
        <w:tc>
          <w:tcPr>
            <w:tcW w:w="3000" w:type="dxa"/>
          </w:tcPr>
          <w:p>
            <w:pPr>
              <w:pStyle w:val="TableParagraph"/>
              <w:spacing w:before="144"/>
              <w:ind w:right="92"/>
              <w:jc w:val="right"/>
              <w:rPr>
                <w:rFonts w:ascii="Times New Roman"/>
                <w:sz w:val="21"/>
              </w:rPr>
            </w:pPr>
            <w:r>
              <w:rPr>
                <w:rFonts w:ascii="Times New Roman"/>
                <w:sz w:val="21"/>
              </w:rPr>
              <w:t>407,573</w:t>
            </w:r>
          </w:p>
        </w:tc>
      </w:tr>
      <w:tr>
        <w:trPr>
          <w:trHeight w:val="273" w:hRule="atLeast"/>
        </w:trPr>
        <w:tc>
          <w:tcPr>
            <w:tcW w:w="3315" w:type="dxa"/>
          </w:tcPr>
          <w:p>
            <w:pPr>
              <w:pStyle w:val="TableParagraph"/>
              <w:spacing w:line="252" w:lineRule="exact" w:before="1"/>
              <w:ind w:left="107"/>
              <w:rPr>
                <w:sz w:val="21"/>
              </w:rPr>
            </w:pPr>
            <w:r>
              <w:rPr>
                <w:sz w:val="21"/>
              </w:rPr>
              <w:t>三、长期股权投资减值损失 </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3" w:hRule="atLeast"/>
        </w:trPr>
        <w:tc>
          <w:tcPr>
            <w:tcW w:w="3315" w:type="dxa"/>
          </w:tcPr>
          <w:p>
            <w:pPr>
              <w:pStyle w:val="TableParagraph"/>
              <w:spacing w:line="252" w:lineRule="exact" w:before="1"/>
              <w:ind w:left="107"/>
              <w:rPr>
                <w:sz w:val="21"/>
              </w:rPr>
            </w:pPr>
            <w:r>
              <w:rPr>
                <w:spacing w:val="-1"/>
                <w:sz w:val="21"/>
              </w:rPr>
              <w:t>四、投资性房地产减值损失 </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0" w:hRule="atLeast"/>
        </w:trPr>
        <w:tc>
          <w:tcPr>
            <w:tcW w:w="3315" w:type="dxa"/>
          </w:tcPr>
          <w:p>
            <w:pPr>
              <w:pStyle w:val="TableParagraph"/>
              <w:spacing w:line="250" w:lineRule="exact" w:before="1"/>
              <w:ind w:left="107"/>
              <w:rPr>
                <w:sz w:val="21"/>
              </w:rPr>
            </w:pPr>
            <w:r>
              <w:rPr>
                <w:sz w:val="21"/>
              </w:rPr>
              <w:t>五、固定资产减值损失 </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3" w:hRule="atLeast"/>
        </w:trPr>
        <w:tc>
          <w:tcPr>
            <w:tcW w:w="3315" w:type="dxa"/>
          </w:tcPr>
          <w:p>
            <w:pPr>
              <w:pStyle w:val="TableParagraph"/>
              <w:spacing w:line="252" w:lineRule="exact" w:before="1"/>
              <w:ind w:left="107"/>
              <w:rPr>
                <w:sz w:val="21"/>
              </w:rPr>
            </w:pPr>
            <w:r>
              <w:rPr>
                <w:sz w:val="21"/>
              </w:rPr>
              <w:t>六、工程物资减值损失 </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0" w:hRule="atLeast"/>
        </w:trPr>
        <w:tc>
          <w:tcPr>
            <w:tcW w:w="3315" w:type="dxa"/>
          </w:tcPr>
          <w:p>
            <w:pPr>
              <w:pStyle w:val="TableParagraph"/>
              <w:spacing w:line="250" w:lineRule="exact" w:before="1"/>
              <w:ind w:left="107"/>
              <w:rPr>
                <w:sz w:val="21"/>
              </w:rPr>
            </w:pPr>
            <w:r>
              <w:rPr>
                <w:sz w:val="21"/>
              </w:rPr>
              <w:t>七、在建工程减值损失 </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3" w:hRule="atLeast"/>
        </w:trPr>
        <w:tc>
          <w:tcPr>
            <w:tcW w:w="3315" w:type="dxa"/>
          </w:tcPr>
          <w:p>
            <w:pPr>
              <w:pStyle w:val="TableParagraph"/>
              <w:spacing w:line="250" w:lineRule="exact" w:before="3"/>
              <w:ind w:left="107"/>
              <w:rPr>
                <w:sz w:val="21"/>
              </w:rPr>
            </w:pPr>
            <w:r>
              <w:rPr>
                <w:sz w:val="21"/>
              </w:rPr>
              <w:t>八、生产性生物资产减值损失 </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3" w:hRule="atLeast"/>
        </w:trPr>
        <w:tc>
          <w:tcPr>
            <w:tcW w:w="3315" w:type="dxa"/>
          </w:tcPr>
          <w:p>
            <w:pPr>
              <w:pStyle w:val="TableParagraph"/>
              <w:spacing w:line="252" w:lineRule="exact" w:before="1"/>
              <w:ind w:left="107"/>
              <w:rPr>
                <w:sz w:val="21"/>
              </w:rPr>
            </w:pPr>
            <w:r>
              <w:rPr>
                <w:sz w:val="21"/>
              </w:rPr>
              <w:t>九、油气资产减值损失 </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0" w:hRule="atLeast"/>
        </w:trPr>
        <w:tc>
          <w:tcPr>
            <w:tcW w:w="3315" w:type="dxa"/>
          </w:tcPr>
          <w:p>
            <w:pPr>
              <w:pStyle w:val="TableParagraph"/>
              <w:spacing w:line="250" w:lineRule="exact" w:before="1"/>
              <w:ind w:left="107"/>
              <w:rPr>
                <w:sz w:val="21"/>
              </w:rPr>
            </w:pPr>
            <w:r>
              <w:rPr>
                <w:spacing w:val="-1"/>
                <w:sz w:val="21"/>
              </w:rPr>
              <w:t>十、无形资产减值损失</w:t>
            </w:r>
            <w:r>
              <w:rPr>
                <w:sz w:val="21"/>
              </w:rPr>
              <w:t> </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3" w:hRule="atLeast"/>
        </w:trPr>
        <w:tc>
          <w:tcPr>
            <w:tcW w:w="3315" w:type="dxa"/>
          </w:tcPr>
          <w:p>
            <w:pPr>
              <w:pStyle w:val="TableParagraph"/>
              <w:spacing w:line="250" w:lineRule="exact" w:before="3"/>
              <w:ind w:left="107"/>
              <w:rPr>
                <w:sz w:val="21"/>
              </w:rPr>
            </w:pPr>
            <w:r>
              <w:rPr>
                <w:spacing w:val="-1"/>
                <w:sz w:val="21"/>
              </w:rPr>
              <w:t>十一、商誉减值损失</w:t>
            </w:r>
            <w:r>
              <w:rPr>
                <w:sz w:val="21"/>
              </w:rPr>
              <w:t> </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3" w:hRule="atLeast"/>
        </w:trPr>
        <w:tc>
          <w:tcPr>
            <w:tcW w:w="3315" w:type="dxa"/>
          </w:tcPr>
          <w:p>
            <w:pPr>
              <w:pStyle w:val="TableParagraph"/>
              <w:spacing w:line="252" w:lineRule="exact" w:before="1"/>
              <w:ind w:left="107"/>
              <w:rPr>
                <w:sz w:val="21"/>
              </w:rPr>
            </w:pPr>
            <w:r>
              <w:rPr>
                <w:sz w:val="21"/>
              </w:rPr>
              <w:t>十二、其他 </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0" w:hRule="atLeast"/>
        </w:trPr>
        <w:tc>
          <w:tcPr>
            <w:tcW w:w="3315" w:type="dxa"/>
          </w:tcPr>
          <w:p>
            <w:pPr>
              <w:pStyle w:val="TableParagraph"/>
              <w:spacing w:line="250" w:lineRule="exact" w:before="1"/>
              <w:ind w:left="107"/>
              <w:rPr>
                <w:sz w:val="21"/>
              </w:rPr>
            </w:pPr>
            <w:r>
              <w:rPr>
                <w:w w:val="100"/>
                <w:sz w:val="21"/>
              </w:rPr>
              <w:t> </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3" w:hRule="atLeast"/>
        </w:trPr>
        <w:tc>
          <w:tcPr>
            <w:tcW w:w="3315" w:type="dxa"/>
          </w:tcPr>
          <w:p>
            <w:pPr>
              <w:pStyle w:val="TableParagraph"/>
              <w:spacing w:line="252" w:lineRule="exact" w:before="1"/>
              <w:ind w:left="107"/>
              <w:rPr>
                <w:sz w:val="21"/>
              </w:rPr>
            </w:pPr>
            <w:r>
              <w:rPr>
                <w:w w:val="100"/>
                <w:sz w:val="21"/>
              </w:rPr>
              <w:t> </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3" w:hRule="atLeast"/>
        </w:trPr>
        <w:tc>
          <w:tcPr>
            <w:tcW w:w="3315" w:type="dxa"/>
          </w:tcPr>
          <w:p>
            <w:pPr>
              <w:pStyle w:val="TableParagraph"/>
              <w:spacing w:line="252" w:lineRule="exact" w:before="1"/>
              <w:ind w:left="1270" w:right="1156"/>
              <w:jc w:val="center"/>
              <w:rPr>
                <w:sz w:val="21"/>
              </w:rPr>
            </w:pPr>
            <w:r>
              <w:rPr>
                <w:sz w:val="21"/>
              </w:rPr>
              <w:t>合计 </w:t>
            </w:r>
          </w:p>
        </w:tc>
        <w:tc>
          <w:tcPr>
            <w:tcW w:w="2508" w:type="dxa"/>
          </w:tcPr>
          <w:p>
            <w:pPr>
              <w:pStyle w:val="TableParagraph"/>
              <w:spacing w:before="10"/>
              <w:ind w:right="93"/>
              <w:jc w:val="right"/>
              <w:rPr>
                <w:rFonts w:ascii="Times New Roman"/>
                <w:sz w:val="21"/>
              </w:rPr>
            </w:pPr>
            <w:r>
              <w:rPr>
                <w:rFonts w:ascii="Times New Roman"/>
                <w:sz w:val="21"/>
              </w:rPr>
              <w:t>1,068,668</w:t>
            </w:r>
          </w:p>
        </w:tc>
        <w:tc>
          <w:tcPr>
            <w:tcW w:w="3000" w:type="dxa"/>
          </w:tcPr>
          <w:p>
            <w:pPr>
              <w:pStyle w:val="TableParagraph"/>
              <w:spacing w:before="10"/>
              <w:ind w:right="92"/>
              <w:jc w:val="right"/>
              <w:rPr>
                <w:rFonts w:ascii="Times New Roman"/>
                <w:sz w:val="21"/>
              </w:rPr>
            </w:pPr>
            <w:r>
              <w:rPr>
                <w:rFonts w:ascii="Times New Roman"/>
                <w:sz w:val="21"/>
              </w:rPr>
              <w:t>407,573</w:t>
            </w:r>
          </w:p>
        </w:tc>
      </w:tr>
    </w:tbl>
    <w:p>
      <w:pPr>
        <w:pStyle w:val="BodyText"/>
        <w:spacing w:line="295" w:lineRule="auto" w:before="61"/>
        <w:ind w:right="8949"/>
      </w:pPr>
      <w:r>
        <w:rPr/>
        <w:t>其他说明：</w:t>
      </w:r>
      <w:r>
        <w:rPr>
          <w:spacing w:val="1"/>
        </w:rPr>
        <w:t> </w:t>
      </w:r>
      <w:r>
        <w:rPr/>
        <w:t>无 </w:t>
      </w:r>
    </w:p>
    <w:p>
      <w:pPr>
        <w:pStyle w:val="BodyText"/>
        <w:ind w:left="0"/>
        <w:rPr>
          <w:sz w:val="20"/>
        </w:rPr>
      </w:pPr>
    </w:p>
    <w:p>
      <w:pPr>
        <w:pStyle w:val="BodyText"/>
        <w:spacing w:before="7"/>
        <w:ind w:left="0"/>
        <w:rPr>
          <w:sz w:val="14"/>
        </w:rPr>
      </w:pPr>
    </w:p>
    <w:p>
      <w:pPr>
        <w:spacing w:after="0"/>
        <w:rPr>
          <w:sz w:val="14"/>
        </w:rPr>
        <w:sectPr>
          <w:pgSz w:w="11910" w:h="16840"/>
          <w:pgMar w:header="882" w:footer="1184" w:top="1120" w:bottom="1380" w:left="1480" w:right="0"/>
        </w:sectPr>
      </w:pPr>
    </w:p>
    <w:p>
      <w:pPr>
        <w:pStyle w:val="BodyText"/>
        <w:spacing w:before="71"/>
      </w:pPr>
      <w:r>
        <w:rPr/>
        <w:t>73</w:t>
      </w:r>
      <w:r>
        <w:rPr>
          <w:spacing w:val="-5"/>
        </w:rPr>
        <w:t>、 资产处置收益</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spacing w:before="164"/>
      </w:pPr>
      <w:r>
        <w:rPr>
          <w:spacing w:val="-2"/>
        </w:rPr>
        <w:t>单位：千元 币种：人民币</w:t>
      </w:r>
    </w:p>
    <w:p>
      <w:pPr>
        <w:spacing w:after="0"/>
        <w:sectPr>
          <w:type w:val="continuous"/>
          <w:pgSz w:w="11910" w:h="16840"/>
          <w:pgMar w:top="780" w:bottom="280" w:left="1480" w:right="0"/>
          <w:cols w:num="2" w:equalWidth="0">
            <w:col w:w="2144" w:space="4284"/>
            <w:col w:w="4002"/>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59"/>
        <w:gridCol w:w="2876"/>
        <w:gridCol w:w="2876"/>
      </w:tblGrid>
      <w:tr>
        <w:trPr>
          <w:trHeight w:val="270" w:hRule="atLeast"/>
        </w:trPr>
        <w:tc>
          <w:tcPr>
            <w:tcW w:w="2859" w:type="dxa"/>
          </w:tcPr>
          <w:p>
            <w:pPr>
              <w:pStyle w:val="TableParagraph"/>
              <w:spacing w:line="250" w:lineRule="exact" w:before="1"/>
              <w:ind w:left="1251" w:right="1137"/>
              <w:jc w:val="center"/>
              <w:rPr>
                <w:sz w:val="21"/>
              </w:rPr>
            </w:pPr>
            <w:r>
              <w:rPr>
                <w:sz w:val="21"/>
              </w:rPr>
              <w:t>项目 </w:t>
            </w:r>
          </w:p>
        </w:tc>
        <w:tc>
          <w:tcPr>
            <w:tcW w:w="2876" w:type="dxa"/>
          </w:tcPr>
          <w:p>
            <w:pPr>
              <w:pStyle w:val="TableParagraph"/>
              <w:spacing w:line="250" w:lineRule="exact" w:before="1"/>
              <w:ind w:left="909"/>
              <w:rPr>
                <w:sz w:val="21"/>
              </w:rPr>
            </w:pPr>
            <w:r>
              <w:rPr>
                <w:sz w:val="21"/>
              </w:rPr>
              <w:t>本期发生额 </w:t>
            </w:r>
          </w:p>
        </w:tc>
        <w:tc>
          <w:tcPr>
            <w:tcW w:w="2876" w:type="dxa"/>
          </w:tcPr>
          <w:p>
            <w:pPr>
              <w:pStyle w:val="TableParagraph"/>
              <w:spacing w:line="250" w:lineRule="exact" w:before="1"/>
              <w:ind w:left="911"/>
              <w:rPr>
                <w:sz w:val="21"/>
              </w:rPr>
            </w:pPr>
            <w:r>
              <w:rPr>
                <w:sz w:val="21"/>
              </w:rPr>
              <w:t>上期发生额 </w:t>
            </w:r>
          </w:p>
        </w:tc>
      </w:tr>
      <w:tr>
        <w:trPr>
          <w:trHeight w:val="273" w:hRule="atLeast"/>
        </w:trPr>
        <w:tc>
          <w:tcPr>
            <w:tcW w:w="2859" w:type="dxa"/>
          </w:tcPr>
          <w:p>
            <w:pPr>
              <w:pStyle w:val="TableParagraph"/>
              <w:spacing w:line="250" w:lineRule="exact" w:before="3"/>
              <w:ind w:left="107"/>
              <w:rPr>
                <w:sz w:val="21"/>
              </w:rPr>
            </w:pPr>
            <w:r>
              <w:rPr>
                <w:spacing w:val="-1"/>
                <w:sz w:val="21"/>
              </w:rPr>
              <w:t>非流动资产处置利得</w:t>
            </w:r>
            <w:r>
              <w:rPr>
                <w:sz w:val="21"/>
              </w:rPr>
              <w:t> </w:t>
            </w:r>
          </w:p>
        </w:tc>
        <w:tc>
          <w:tcPr>
            <w:tcW w:w="2876" w:type="dxa"/>
          </w:tcPr>
          <w:p>
            <w:pPr>
              <w:pStyle w:val="TableParagraph"/>
              <w:spacing w:line="237" w:lineRule="exact"/>
              <w:ind w:right="96"/>
              <w:jc w:val="right"/>
              <w:rPr>
                <w:rFonts w:ascii="Times New Roman"/>
                <w:sz w:val="21"/>
              </w:rPr>
            </w:pPr>
            <w:r>
              <w:rPr>
                <w:rFonts w:ascii="Times New Roman"/>
                <w:sz w:val="21"/>
              </w:rPr>
              <w:t>20,931</w:t>
            </w:r>
          </w:p>
        </w:tc>
        <w:tc>
          <w:tcPr>
            <w:tcW w:w="2876" w:type="dxa"/>
          </w:tcPr>
          <w:p>
            <w:pPr>
              <w:pStyle w:val="TableParagraph"/>
              <w:spacing w:line="237" w:lineRule="exact"/>
              <w:ind w:right="94"/>
              <w:jc w:val="right"/>
              <w:rPr>
                <w:rFonts w:ascii="Times New Roman"/>
                <w:sz w:val="21"/>
              </w:rPr>
            </w:pPr>
            <w:r>
              <w:rPr>
                <w:rFonts w:ascii="Times New Roman"/>
                <w:sz w:val="21"/>
              </w:rPr>
              <w:t>26,580</w:t>
            </w:r>
          </w:p>
        </w:tc>
      </w:tr>
      <w:tr>
        <w:trPr>
          <w:trHeight w:val="273" w:hRule="atLeast"/>
        </w:trPr>
        <w:tc>
          <w:tcPr>
            <w:tcW w:w="2859" w:type="dxa"/>
          </w:tcPr>
          <w:p>
            <w:pPr>
              <w:pStyle w:val="TableParagraph"/>
              <w:spacing w:line="252" w:lineRule="exact" w:before="1"/>
              <w:ind w:left="107"/>
              <w:rPr>
                <w:sz w:val="21"/>
              </w:rPr>
            </w:pPr>
            <w:r>
              <w:rPr>
                <w:spacing w:val="-1"/>
                <w:sz w:val="21"/>
              </w:rPr>
              <w:t>非流动资产处置损失</w:t>
            </w:r>
            <w:r>
              <w:rPr>
                <w:sz w:val="21"/>
              </w:rPr>
              <w:t> </w:t>
            </w:r>
          </w:p>
        </w:tc>
        <w:tc>
          <w:tcPr>
            <w:tcW w:w="2876" w:type="dxa"/>
          </w:tcPr>
          <w:p>
            <w:pPr>
              <w:pStyle w:val="TableParagraph"/>
              <w:spacing w:line="235" w:lineRule="exact"/>
              <w:ind w:right="99"/>
              <w:jc w:val="right"/>
              <w:rPr>
                <w:rFonts w:ascii="Times New Roman"/>
                <w:sz w:val="21"/>
              </w:rPr>
            </w:pPr>
            <w:r>
              <w:rPr>
                <w:rFonts w:ascii="Times New Roman"/>
                <w:sz w:val="21"/>
              </w:rPr>
              <w:t>-12,106</w:t>
            </w:r>
          </w:p>
        </w:tc>
        <w:tc>
          <w:tcPr>
            <w:tcW w:w="2876" w:type="dxa"/>
          </w:tcPr>
          <w:p>
            <w:pPr>
              <w:pStyle w:val="TableParagraph"/>
              <w:spacing w:line="235" w:lineRule="exact"/>
              <w:ind w:right="96"/>
              <w:jc w:val="right"/>
              <w:rPr>
                <w:rFonts w:ascii="Times New Roman"/>
                <w:sz w:val="21"/>
              </w:rPr>
            </w:pPr>
            <w:r>
              <w:rPr>
                <w:rFonts w:ascii="Times New Roman"/>
                <w:sz w:val="21"/>
              </w:rPr>
              <w:t>-12,990</w:t>
            </w:r>
          </w:p>
        </w:tc>
      </w:tr>
      <w:tr>
        <w:trPr>
          <w:trHeight w:val="273" w:hRule="atLeast"/>
        </w:trPr>
        <w:tc>
          <w:tcPr>
            <w:tcW w:w="2859" w:type="dxa"/>
          </w:tcPr>
          <w:p>
            <w:pPr>
              <w:pStyle w:val="TableParagraph"/>
              <w:spacing w:line="252" w:lineRule="exact" w:before="1"/>
              <w:ind w:left="1251" w:right="1137"/>
              <w:jc w:val="center"/>
              <w:rPr>
                <w:sz w:val="21"/>
              </w:rPr>
            </w:pPr>
            <w:r>
              <w:rPr>
                <w:sz w:val="21"/>
              </w:rPr>
              <w:t>合计 </w:t>
            </w:r>
          </w:p>
        </w:tc>
        <w:tc>
          <w:tcPr>
            <w:tcW w:w="2876" w:type="dxa"/>
          </w:tcPr>
          <w:p>
            <w:pPr>
              <w:pStyle w:val="TableParagraph"/>
              <w:spacing w:before="7"/>
              <w:ind w:right="96"/>
              <w:jc w:val="right"/>
              <w:rPr>
                <w:rFonts w:ascii="Times New Roman"/>
                <w:sz w:val="21"/>
              </w:rPr>
            </w:pPr>
            <w:r>
              <w:rPr>
                <w:rFonts w:ascii="Times New Roman"/>
                <w:sz w:val="21"/>
              </w:rPr>
              <w:t>8,825</w:t>
            </w:r>
          </w:p>
        </w:tc>
        <w:tc>
          <w:tcPr>
            <w:tcW w:w="2876" w:type="dxa"/>
          </w:tcPr>
          <w:p>
            <w:pPr>
              <w:pStyle w:val="TableParagraph"/>
              <w:spacing w:before="7"/>
              <w:ind w:right="94"/>
              <w:jc w:val="right"/>
              <w:rPr>
                <w:rFonts w:ascii="Times New Roman"/>
                <w:sz w:val="21"/>
              </w:rPr>
            </w:pPr>
            <w:r>
              <w:rPr>
                <w:rFonts w:ascii="Times New Roman"/>
                <w:sz w:val="21"/>
              </w:rPr>
              <w:t>13,590</w:t>
            </w:r>
          </w:p>
        </w:tc>
      </w:tr>
    </w:tbl>
    <w:p>
      <w:pPr>
        <w:spacing w:after="0"/>
        <w:jc w:val="right"/>
        <w:rPr>
          <w:rFonts w:ascii="Times New Roman"/>
          <w:sz w:val="21"/>
        </w:rPr>
        <w:sectPr>
          <w:type w:val="continuous"/>
          <w:pgSz w:w="11910" w:h="16840"/>
          <w:pgMar w:top="780" w:bottom="280" w:left="1480" w:right="0"/>
        </w:sectPr>
      </w:pPr>
    </w:p>
    <w:p>
      <w:pPr>
        <w:pStyle w:val="BodyText"/>
        <w:spacing w:before="5"/>
      </w:pPr>
      <w:r>
        <w:rPr>
          <w:w w:val="100"/>
        </w:rPr>
        <w:t> </w:t>
      </w:r>
    </w:p>
    <w:p>
      <w:pPr>
        <w:pStyle w:val="BodyText"/>
        <w:spacing w:line="242" w:lineRule="auto" w:before="2"/>
        <w:ind w:right="772"/>
      </w:pPr>
      <w:r>
        <w:rPr/>
        <w:t>其他说明：</w:t>
      </w:r>
      <w:r>
        <w:rPr>
          <w:spacing w:val="1"/>
        </w:rPr>
        <w:t> </w:t>
      </w:r>
      <w:r>
        <w:rPr/>
        <w:t>无 </w:t>
      </w:r>
    </w:p>
    <w:p>
      <w:pPr>
        <w:pStyle w:val="BodyText"/>
        <w:spacing w:before="1"/>
      </w:pPr>
      <w:r>
        <w:rPr>
          <w:w w:val="100"/>
        </w:rPr>
        <w:t> </w:t>
      </w:r>
    </w:p>
    <w:p>
      <w:pPr>
        <w:pStyle w:val="BodyText"/>
        <w:spacing w:line="297" w:lineRule="auto" w:before="62"/>
        <w:ind w:right="266"/>
      </w:pPr>
      <w:r>
        <w:rPr/>
        <w:t>74</w:t>
      </w:r>
      <w:r>
        <w:rPr>
          <w:spacing w:val="-5"/>
        </w:rPr>
        <w:t>、 营业外收入</w:t>
      </w:r>
      <w:r>
        <w:rPr/>
        <w:t>营业外收入情况 </w:t>
      </w:r>
    </w:p>
    <w:p>
      <w:pPr>
        <w:pStyle w:val="BodyText"/>
        <w:spacing w:line="207" w:lineRule="exact"/>
      </w:pPr>
      <w:r>
        <w:rPr>
          <w:spacing w:val="1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6"/>
        <w:ind w:left="0"/>
        <w:rPr>
          <w:sz w:val="18"/>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2250" w:space="4061"/>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0"/>
        <w:gridCol w:w="2249"/>
        <w:gridCol w:w="2257"/>
        <w:gridCol w:w="2260"/>
      </w:tblGrid>
      <w:tr>
        <w:trPr>
          <w:trHeight w:val="544" w:hRule="atLeast"/>
        </w:trPr>
        <w:tc>
          <w:tcPr>
            <w:tcW w:w="2060" w:type="dxa"/>
          </w:tcPr>
          <w:p>
            <w:pPr>
              <w:pStyle w:val="TableParagraph"/>
              <w:spacing w:before="137"/>
              <w:ind w:left="850" w:right="739"/>
              <w:jc w:val="center"/>
              <w:rPr>
                <w:sz w:val="21"/>
              </w:rPr>
            </w:pPr>
            <w:r>
              <w:rPr>
                <w:sz w:val="21"/>
              </w:rPr>
              <w:t>项目 </w:t>
            </w:r>
          </w:p>
        </w:tc>
        <w:tc>
          <w:tcPr>
            <w:tcW w:w="2249" w:type="dxa"/>
          </w:tcPr>
          <w:p>
            <w:pPr>
              <w:pStyle w:val="TableParagraph"/>
              <w:spacing w:before="137"/>
              <w:ind w:left="597"/>
              <w:rPr>
                <w:sz w:val="21"/>
              </w:rPr>
            </w:pPr>
            <w:r>
              <w:rPr>
                <w:sz w:val="21"/>
              </w:rPr>
              <w:t>本期发生额 </w:t>
            </w:r>
          </w:p>
        </w:tc>
        <w:tc>
          <w:tcPr>
            <w:tcW w:w="2257" w:type="dxa"/>
          </w:tcPr>
          <w:p>
            <w:pPr>
              <w:pStyle w:val="TableParagraph"/>
              <w:spacing w:before="137"/>
              <w:ind w:left="599"/>
              <w:rPr>
                <w:sz w:val="21"/>
              </w:rPr>
            </w:pPr>
            <w:r>
              <w:rPr>
                <w:sz w:val="21"/>
              </w:rPr>
              <w:t>上期发生额 </w:t>
            </w:r>
          </w:p>
        </w:tc>
        <w:tc>
          <w:tcPr>
            <w:tcW w:w="2260" w:type="dxa"/>
          </w:tcPr>
          <w:p>
            <w:pPr>
              <w:pStyle w:val="TableParagraph"/>
              <w:spacing w:line="270" w:lineRule="atLeast"/>
              <w:ind w:left="707" w:right="173" w:hanging="527"/>
              <w:rPr>
                <w:sz w:val="21"/>
              </w:rPr>
            </w:pPr>
            <w:r>
              <w:rPr>
                <w:sz w:val="21"/>
              </w:rPr>
              <w:t>计入当期非经常性损益的金额</w:t>
            </w:r>
            <w:r>
              <w:rPr>
                <w:color w:val="FF0000"/>
                <w:sz w:val="21"/>
              </w:rPr>
              <w:t> </w:t>
            </w:r>
          </w:p>
        </w:tc>
      </w:tr>
      <w:tr>
        <w:trPr>
          <w:trHeight w:val="546" w:hRule="atLeast"/>
        </w:trPr>
        <w:tc>
          <w:tcPr>
            <w:tcW w:w="2060" w:type="dxa"/>
          </w:tcPr>
          <w:p>
            <w:pPr>
              <w:pStyle w:val="TableParagraph"/>
              <w:spacing w:line="270" w:lineRule="atLeast"/>
              <w:ind w:left="107" w:right="257"/>
              <w:rPr>
                <w:sz w:val="21"/>
              </w:rPr>
            </w:pPr>
            <w:r>
              <w:rPr>
                <w:spacing w:val="-1"/>
                <w:sz w:val="21"/>
              </w:rPr>
              <w:t>非流动资产处置利</w:t>
            </w:r>
            <w:r>
              <w:rPr>
                <w:sz w:val="21"/>
              </w:rPr>
              <w:t>得合计 </w:t>
            </w:r>
          </w:p>
        </w:tc>
        <w:tc>
          <w:tcPr>
            <w:tcW w:w="2249" w:type="dxa"/>
          </w:tcPr>
          <w:p>
            <w:pPr>
              <w:pStyle w:val="TableParagraph"/>
              <w:spacing w:before="3"/>
              <w:ind w:right="-15"/>
              <w:jc w:val="right"/>
              <w:rPr>
                <w:sz w:val="21"/>
              </w:rPr>
            </w:pPr>
            <w:r>
              <w:rPr>
                <w:w w:val="100"/>
                <w:sz w:val="21"/>
              </w:rPr>
              <w:t> </w:t>
            </w:r>
          </w:p>
        </w:tc>
        <w:tc>
          <w:tcPr>
            <w:tcW w:w="2257" w:type="dxa"/>
          </w:tcPr>
          <w:p>
            <w:pPr>
              <w:pStyle w:val="TableParagraph"/>
              <w:spacing w:before="3"/>
              <w:ind w:right="-15"/>
              <w:jc w:val="right"/>
              <w:rPr>
                <w:sz w:val="21"/>
              </w:rPr>
            </w:pPr>
            <w:r>
              <w:rPr>
                <w:w w:val="100"/>
                <w:sz w:val="21"/>
              </w:rPr>
              <w:t> </w:t>
            </w:r>
          </w:p>
        </w:tc>
        <w:tc>
          <w:tcPr>
            <w:tcW w:w="2260" w:type="dxa"/>
          </w:tcPr>
          <w:p>
            <w:pPr>
              <w:pStyle w:val="TableParagraph"/>
              <w:spacing w:before="3"/>
              <w:ind w:right="-15"/>
              <w:jc w:val="right"/>
              <w:rPr>
                <w:sz w:val="21"/>
              </w:rPr>
            </w:pPr>
            <w:r>
              <w:rPr>
                <w:w w:val="100"/>
                <w:sz w:val="21"/>
              </w:rPr>
              <w:t> </w:t>
            </w:r>
          </w:p>
        </w:tc>
      </w:tr>
      <w:tr>
        <w:trPr>
          <w:trHeight w:val="544" w:hRule="atLeast"/>
        </w:trPr>
        <w:tc>
          <w:tcPr>
            <w:tcW w:w="2060" w:type="dxa"/>
          </w:tcPr>
          <w:p>
            <w:pPr>
              <w:pStyle w:val="TableParagraph"/>
              <w:spacing w:before="1"/>
              <w:ind w:left="107"/>
              <w:rPr>
                <w:sz w:val="21"/>
              </w:rPr>
            </w:pPr>
            <w:r>
              <w:rPr>
                <w:sz w:val="21"/>
              </w:rPr>
              <w:t>其中：固定资产处</w:t>
            </w:r>
          </w:p>
          <w:p>
            <w:pPr>
              <w:pStyle w:val="TableParagraph"/>
              <w:spacing w:line="252" w:lineRule="exact" w:before="2"/>
              <w:ind w:left="107"/>
              <w:rPr>
                <w:sz w:val="21"/>
              </w:rPr>
            </w:pPr>
            <w:r>
              <w:rPr>
                <w:sz w:val="21"/>
              </w:rPr>
              <w:t>置利得 </w:t>
            </w:r>
          </w:p>
        </w:tc>
        <w:tc>
          <w:tcPr>
            <w:tcW w:w="2249" w:type="dxa"/>
          </w:tcPr>
          <w:p>
            <w:pPr>
              <w:pStyle w:val="TableParagraph"/>
              <w:spacing w:before="1"/>
              <w:ind w:right="-15"/>
              <w:jc w:val="right"/>
              <w:rPr>
                <w:sz w:val="21"/>
              </w:rPr>
            </w:pPr>
            <w:r>
              <w:rPr>
                <w:w w:val="100"/>
                <w:sz w:val="21"/>
              </w:rPr>
              <w:t> </w:t>
            </w:r>
          </w:p>
        </w:tc>
        <w:tc>
          <w:tcPr>
            <w:tcW w:w="2257" w:type="dxa"/>
          </w:tcPr>
          <w:p>
            <w:pPr>
              <w:pStyle w:val="TableParagraph"/>
              <w:spacing w:before="1"/>
              <w:ind w:right="-15"/>
              <w:jc w:val="right"/>
              <w:rPr>
                <w:sz w:val="21"/>
              </w:rPr>
            </w:pPr>
            <w:r>
              <w:rPr>
                <w:w w:val="100"/>
                <w:sz w:val="21"/>
              </w:rPr>
              <w:t> </w:t>
            </w:r>
          </w:p>
        </w:tc>
        <w:tc>
          <w:tcPr>
            <w:tcW w:w="2260" w:type="dxa"/>
          </w:tcPr>
          <w:p>
            <w:pPr>
              <w:pStyle w:val="TableParagraph"/>
              <w:spacing w:before="1"/>
              <w:ind w:right="-15"/>
              <w:jc w:val="right"/>
              <w:rPr>
                <w:sz w:val="21"/>
              </w:rPr>
            </w:pPr>
            <w:r>
              <w:rPr>
                <w:w w:val="100"/>
                <w:sz w:val="21"/>
              </w:rPr>
              <w:t> </w:t>
            </w:r>
          </w:p>
        </w:tc>
      </w:tr>
      <w:tr>
        <w:trPr>
          <w:trHeight w:val="544" w:hRule="atLeast"/>
        </w:trPr>
        <w:tc>
          <w:tcPr>
            <w:tcW w:w="2060" w:type="dxa"/>
          </w:tcPr>
          <w:p>
            <w:pPr>
              <w:pStyle w:val="TableParagraph"/>
              <w:spacing w:before="1"/>
              <w:ind w:left="738"/>
              <w:rPr>
                <w:sz w:val="21"/>
              </w:rPr>
            </w:pPr>
            <w:r>
              <w:rPr>
                <w:sz w:val="21"/>
              </w:rPr>
              <w:t>无形资产处</w:t>
            </w:r>
          </w:p>
          <w:p>
            <w:pPr>
              <w:pStyle w:val="TableParagraph"/>
              <w:spacing w:line="252" w:lineRule="exact" w:before="2"/>
              <w:ind w:left="107"/>
              <w:rPr>
                <w:sz w:val="21"/>
              </w:rPr>
            </w:pPr>
            <w:r>
              <w:rPr>
                <w:sz w:val="21"/>
              </w:rPr>
              <w:t>置利得 </w:t>
            </w:r>
          </w:p>
        </w:tc>
        <w:tc>
          <w:tcPr>
            <w:tcW w:w="2249" w:type="dxa"/>
          </w:tcPr>
          <w:p>
            <w:pPr>
              <w:pStyle w:val="TableParagraph"/>
              <w:spacing w:before="1"/>
              <w:ind w:right="-15"/>
              <w:jc w:val="right"/>
              <w:rPr>
                <w:sz w:val="21"/>
              </w:rPr>
            </w:pPr>
            <w:r>
              <w:rPr>
                <w:w w:val="100"/>
                <w:sz w:val="21"/>
              </w:rPr>
              <w:t> </w:t>
            </w:r>
          </w:p>
        </w:tc>
        <w:tc>
          <w:tcPr>
            <w:tcW w:w="2257" w:type="dxa"/>
          </w:tcPr>
          <w:p>
            <w:pPr>
              <w:pStyle w:val="TableParagraph"/>
              <w:spacing w:before="1"/>
              <w:ind w:right="-15"/>
              <w:jc w:val="right"/>
              <w:rPr>
                <w:sz w:val="21"/>
              </w:rPr>
            </w:pPr>
            <w:r>
              <w:rPr>
                <w:w w:val="100"/>
                <w:sz w:val="21"/>
              </w:rPr>
              <w:t> </w:t>
            </w:r>
          </w:p>
        </w:tc>
        <w:tc>
          <w:tcPr>
            <w:tcW w:w="2260" w:type="dxa"/>
          </w:tcPr>
          <w:p>
            <w:pPr>
              <w:pStyle w:val="TableParagraph"/>
              <w:spacing w:before="1"/>
              <w:ind w:right="-15"/>
              <w:jc w:val="right"/>
              <w:rPr>
                <w:sz w:val="21"/>
              </w:rPr>
            </w:pPr>
            <w:r>
              <w:rPr>
                <w:w w:val="100"/>
                <w:sz w:val="21"/>
              </w:rPr>
              <w:t> </w:t>
            </w:r>
          </w:p>
        </w:tc>
      </w:tr>
    </w:tbl>
    <w:p>
      <w:pPr>
        <w:spacing w:after="0"/>
        <w:jc w:val="right"/>
        <w:rPr>
          <w:sz w:val="21"/>
        </w:rPr>
        <w:sectPr>
          <w:type w:val="continuous"/>
          <w:pgSz w:w="11910" w:h="16840"/>
          <w:pgMar w:top="780" w:bottom="2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0"/>
        <w:gridCol w:w="2249"/>
        <w:gridCol w:w="2257"/>
        <w:gridCol w:w="2260"/>
      </w:tblGrid>
      <w:tr>
        <w:trPr>
          <w:trHeight w:val="547" w:hRule="atLeast"/>
        </w:trPr>
        <w:tc>
          <w:tcPr>
            <w:tcW w:w="2060" w:type="dxa"/>
          </w:tcPr>
          <w:p>
            <w:pPr>
              <w:pStyle w:val="TableParagraph"/>
              <w:spacing w:line="270" w:lineRule="atLeast"/>
              <w:ind w:left="107" w:right="257"/>
              <w:rPr>
                <w:sz w:val="21"/>
              </w:rPr>
            </w:pPr>
            <w:r>
              <w:rPr>
                <w:spacing w:val="-1"/>
                <w:sz w:val="21"/>
              </w:rPr>
              <w:t>非货币性资产交换</w:t>
            </w:r>
            <w:r>
              <w:rPr>
                <w:sz w:val="21"/>
              </w:rPr>
              <w:t>利得 </w:t>
            </w:r>
          </w:p>
        </w:tc>
        <w:tc>
          <w:tcPr>
            <w:tcW w:w="2249" w:type="dxa"/>
          </w:tcPr>
          <w:p>
            <w:pPr>
              <w:pStyle w:val="TableParagraph"/>
              <w:spacing w:before="3"/>
              <w:ind w:right="-15"/>
              <w:jc w:val="right"/>
              <w:rPr>
                <w:sz w:val="21"/>
              </w:rPr>
            </w:pPr>
            <w:r>
              <w:rPr>
                <w:w w:val="100"/>
                <w:sz w:val="21"/>
              </w:rPr>
              <w:t> </w:t>
            </w:r>
          </w:p>
        </w:tc>
        <w:tc>
          <w:tcPr>
            <w:tcW w:w="2257" w:type="dxa"/>
          </w:tcPr>
          <w:p>
            <w:pPr>
              <w:pStyle w:val="TableParagraph"/>
              <w:spacing w:before="3"/>
              <w:ind w:right="-15"/>
              <w:jc w:val="right"/>
              <w:rPr>
                <w:sz w:val="21"/>
              </w:rPr>
            </w:pPr>
            <w:r>
              <w:rPr>
                <w:w w:val="100"/>
                <w:sz w:val="21"/>
              </w:rPr>
              <w:t> </w:t>
            </w:r>
          </w:p>
        </w:tc>
        <w:tc>
          <w:tcPr>
            <w:tcW w:w="2260" w:type="dxa"/>
          </w:tcPr>
          <w:p>
            <w:pPr>
              <w:pStyle w:val="TableParagraph"/>
              <w:spacing w:before="3"/>
              <w:ind w:right="-15"/>
              <w:jc w:val="right"/>
              <w:rPr>
                <w:sz w:val="21"/>
              </w:rPr>
            </w:pPr>
            <w:r>
              <w:rPr>
                <w:w w:val="100"/>
                <w:sz w:val="21"/>
              </w:rPr>
              <w:t> </w:t>
            </w:r>
          </w:p>
        </w:tc>
      </w:tr>
      <w:tr>
        <w:trPr>
          <w:trHeight w:val="270" w:hRule="atLeast"/>
        </w:trPr>
        <w:tc>
          <w:tcPr>
            <w:tcW w:w="2060" w:type="dxa"/>
          </w:tcPr>
          <w:p>
            <w:pPr>
              <w:pStyle w:val="TableParagraph"/>
              <w:spacing w:line="250" w:lineRule="exact" w:before="1"/>
              <w:ind w:left="107"/>
              <w:rPr>
                <w:sz w:val="21"/>
              </w:rPr>
            </w:pPr>
            <w:r>
              <w:rPr>
                <w:spacing w:val="-1"/>
                <w:sz w:val="21"/>
              </w:rPr>
              <w:t>接受捐赠</w:t>
            </w:r>
            <w:r>
              <w:rPr>
                <w:sz w:val="21"/>
              </w:rPr>
              <w:t> </w:t>
            </w:r>
          </w:p>
        </w:tc>
        <w:tc>
          <w:tcPr>
            <w:tcW w:w="2249" w:type="dxa"/>
          </w:tcPr>
          <w:p>
            <w:pPr>
              <w:pStyle w:val="TableParagraph"/>
              <w:spacing w:line="250" w:lineRule="exact" w:before="1"/>
              <w:ind w:right="-15"/>
              <w:jc w:val="right"/>
              <w:rPr>
                <w:sz w:val="21"/>
              </w:rPr>
            </w:pPr>
            <w:r>
              <w:rPr>
                <w:w w:val="100"/>
                <w:sz w:val="21"/>
              </w:rPr>
              <w:t> </w:t>
            </w:r>
          </w:p>
        </w:tc>
        <w:tc>
          <w:tcPr>
            <w:tcW w:w="2257" w:type="dxa"/>
          </w:tcPr>
          <w:p>
            <w:pPr>
              <w:pStyle w:val="TableParagraph"/>
              <w:spacing w:line="250" w:lineRule="exact" w:before="1"/>
              <w:ind w:right="-15"/>
              <w:jc w:val="right"/>
              <w:rPr>
                <w:sz w:val="21"/>
              </w:rPr>
            </w:pPr>
            <w:r>
              <w:rPr>
                <w:w w:val="100"/>
                <w:sz w:val="21"/>
              </w:rPr>
              <w:t> </w:t>
            </w:r>
          </w:p>
        </w:tc>
        <w:tc>
          <w:tcPr>
            <w:tcW w:w="2260" w:type="dxa"/>
          </w:tcPr>
          <w:p>
            <w:pPr>
              <w:pStyle w:val="TableParagraph"/>
              <w:spacing w:line="250" w:lineRule="exact" w:before="1"/>
              <w:ind w:right="-15"/>
              <w:jc w:val="right"/>
              <w:rPr>
                <w:sz w:val="21"/>
              </w:rPr>
            </w:pPr>
            <w:r>
              <w:rPr>
                <w:w w:val="100"/>
                <w:sz w:val="21"/>
              </w:rPr>
              <w:t> </w:t>
            </w:r>
          </w:p>
        </w:tc>
      </w:tr>
      <w:tr>
        <w:trPr>
          <w:trHeight w:val="273" w:hRule="atLeast"/>
        </w:trPr>
        <w:tc>
          <w:tcPr>
            <w:tcW w:w="2060" w:type="dxa"/>
          </w:tcPr>
          <w:p>
            <w:pPr>
              <w:pStyle w:val="TableParagraph"/>
              <w:spacing w:line="252" w:lineRule="exact" w:before="1"/>
              <w:ind w:left="107"/>
              <w:rPr>
                <w:sz w:val="21"/>
              </w:rPr>
            </w:pPr>
            <w:r>
              <w:rPr>
                <w:spacing w:val="-1"/>
                <w:sz w:val="21"/>
              </w:rPr>
              <w:t>政府补助</w:t>
            </w:r>
            <w:r>
              <w:rPr>
                <w:sz w:val="21"/>
              </w:rPr>
              <w:t> </w:t>
            </w:r>
          </w:p>
        </w:tc>
        <w:tc>
          <w:tcPr>
            <w:tcW w:w="2249" w:type="dxa"/>
          </w:tcPr>
          <w:p>
            <w:pPr>
              <w:pStyle w:val="TableParagraph"/>
              <w:spacing w:line="252" w:lineRule="exact" w:before="1"/>
              <w:ind w:right="-15"/>
              <w:jc w:val="right"/>
              <w:rPr>
                <w:sz w:val="21"/>
              </w:rPr>
            </w:pPr>
            <w:r>
              <w:rPr>
                <w:w w:val="100"/>
                <w:sz w:val="21"/>
              </w:rPr>
              <w:t> </w:t>
            </w:r>
          </w:p>
        </w:tc>
        <w:tc>
          <w:tcPr>
            <w:tcW w:w="2257" w:type="dxa"/>
          </w:tcPr>
          <w:p>
            <w:pPr>
              <w:pStyle w:val="TableParagraph"/>
              <w:spacing w:line="252" w:lineRule="exact" w:before="1"/>
              <w:ind w:right="-15"/>
              <w:jc w:val="right"/>
              <w:rPr>
                <w:sz w:val="21"/>
              </w:rPr>
            </w:pPr>
            <w:r>
              <w:rPr>
                <w:w w:val="100"/>
                <w:sz w:val="21"/>
              </w:rPr>
              <w:t> </w:t>
            </w:r>
          </w:p>
        </w:tc>
        <w:tc>
          <w:tcPr>
            <w:tcW w:w="2260" w:type="dxa"/>
          </w:tcPr>
          <w:p>
            <w:pPr>
              <w:pStyle w:val="TableParagraph"/>
              <w:spacing w:line="252" w:lineRule="exact" w:before="1"/>
              <w:ind w:right="-15"/>
              <w:jc w:val="right"/>
              <w:rPr>
                <w:sz w:val="21"/>
              </w:rPr>
            </w:pPr>
            <w:r>
              <w:rPr>
                <w:w w:val="100"/>
                <w:sz w:val="21"/>
              </w:rPr>
              <w:t> </w:t>
            </w:r>
          </w:p>
        </w:tc>
      </w:tr>
      <w:tr>
        <w:trPr>
          <w:trHeight w:val="270" w:hRule="atLeast"/>
        </w:trPr>
        <w:tc>
          <w:tcPr>
            <w:tcW w:w="2060" w:type="dxa"/>
          </w:tcPr>
          <w:p>
            <w:pPr>
              <w:pStyle w:val="TableParagraph"/>
              <w:spacing w:line="250" w:lineRule="exact" w:before="1"/>
              <w:ind w:left="107"/>
              <w:rPr>
                <w:sz w:val="21"/>
              </w:rPr>
            </w:pPr>
            <w:r>
              <w:rPr>
                <w:spacing w:val="-1"/>
                <w:sz w:val="21"/>
              </w:rPr>
              <w:t>违约金补偿收入</w:t>
            </w:r>
            <w:r>
              <w:rPr>
                <w:sz w:val="21"/>
              </w:rPr>
              <w:t> </w:t>
            </w:r>
          </w:p>
        </w:tc>
        <w:tc>
          <w:tcPr>
            <w:tcW w:w="2249" w:type="dxa"/>
          </w:tcPr>
          <w:p>
            <w:pPr>
              <w:pStyle w:val="TableParagraph"/>
              <w:spacing w:before="7"/>
              <w:ind w:right="94"/>
              <w:jc w:val="right"/>
              <w:rPr>
                <w:rFonts w:ascii="Times New Roman"/>
                <w:sz w:val="21"/>
              </w:rPr>
            </w:pPr>
            <w:r>
              <w:rPr>
                <w:rFonts w:ascii="Times New Roman"/>
                <w:sz w:val="21"/>
              </w:rPr>
              <w:t>68,170</w:t>
            </w:r>
          </w:p>
        </w:tc>
        <w:tc>
          <w:tcPr>
            <w:tcW w:w="2257" w:type="dxa"/>
          </w:tcPr>
          <w:p>
            <w:pPr>
              <w:pStyle w:val="TableParagraph"/>
              <w:spacing w:before="7"/>
              <w:ind w:left="1566"/>
              <w:rPr>
                <w:rFonts w:ascii="Times New Roman"/>
                <w:sz w:val="21"/>
              </w:rPr>
            </w:pPr>
            <w:r>
              <w:rPr>
                <w:rFonts w:ascii="Times New Roman"/>
                <w:sz w:val="21"/>
              </w:rPr>
              <w:t>33,197</w:t>
            </w:r>
          </w:p>
        </w:tc>
        <w:tc>
          <w:tcPr>
            <w:tcW w:w="2260" w:type="dxa"/>
          </w:tcPr>
          <w:p>
            <w:pPr>
              <w:pStyle w:val="TableParagraph"/>
              <w:spacing w:line="250" w:lineRule="exact" w:before="1"/>
              <w:ind w:right="-15"/>
              <w:jc w:val="right"/>
              <w:rPr>
                <w:sz w:val="21"/>
              </w:rPr>
            </w:pPr>
            <w:r>
              <w:rPr>
                <w:w w:val="100"/>
                <w:sz w:val="21"/>
              </w:rPr>
              <w:t> </w:t>
            </w:r>
          </w:p>
        </w:tc>
      </w:tr>
      <w:tr>
        <w:trPr>
          <w:trHeight w:val="273" w:hRule="atLeast"/>
        </w:trPr>
        <w:tc>
          <w:tcPr>
            <w:tcW w:w="2060" w:type="dxa"/>
          </w:tcPr>
          <w:p>
            <w:pPr>
              <w:pStyle w:val="TableParagraph"/>
              <w:spacing w:line="250" w:lineRule="exact" w:before="3"/>
              <w:ind w:left="107"/>
              <w:rPr>
                <w:sz w:val="21"/>
              </w:rPr>
            </w:pPr>
            <w:r>
              <w:rPr>
                <w:spacing w:val="-1"/>
                <w:sz w:val="21"/>
              </w:rPr>
              <w:t>保险赔偿收入</w:t>
            </w:r>
            <w:r>
              <w:rPr>
                <w:sz w:val="21"/>
              </w:rPr>
              <w:t> </w:t>
            </w:r>
          </w:p>
        </w:tc>
        <w:tc>
          <w:tcPr>
            <w:tcW w:w="2249" w:type="dxa"/>
          </w:tcPr>
          <w:p>
            <w:pPr>
              <w:pStyle w:val="TableParagraph"/>
              <w:spacing w:before="10"/>
              <w:ind w:right="94"/>
              <w:jc w:val="right"/>
              <w:rPr>
                <w:rFonts w:ascii="Times New Roman"/>
                <w:sz w:val="21"/>
              </w:rPr>
            </w:pPr>
            <w:r>
              <w:rPr>
                <w:rFonts w:ascii="Times New Roman"/>
                <w:sz w:val="21"/>
              </w:rPr>
              <w:t>47,496</w:t>
            </w:r>
          </w:p>
        </w:tc>
        <w:tc>
          <w:tcPr>
            <w:tcW w:w="2257" w:type="dxa"/>
          </w:tcPr>
          <w:p>
            <w:pPr>
              <w:pStyle w:val="TableParagraph"/>
              <w:spacing w:before="10"/>
              <w:ind w:left="1566"/>
              <w:rPr>
                <w:rFonts w:ascii="Times New Roman"/>
                <w:sz w:val="21"/>
              </w:rPr>
            </w:pPr>
            <w:r>
              <w:rPr>
                <w:rFonts w:ascii="Times New Roman"/>
                <w:sz w:val="21"/>
              </w:rPr>
              <w:t>17,293</w:t>
            </w:r>
          </w:p>
        </w:tc>
        <w:tc>
          <w:tcPr>
            <w:tcW w:w="2260" w:type="dxa"/>
          </w:tcPr>
          <w:p>
            <w:pPr>
              <w:pStyle w:val="TableParagraph"/>
              <w:spacing w:line="250" w:lineRule="exact" w:before="3"/>
              <w:ind w:right="-15"/>
              <w:jc w:val="right"/>
              <w:rPr>
                <w:sz w:val="21"/>
              </w:rPr>
            </w:pPr>
            <w:r>
              <w:rPr>
                <w:w w:val="100"/>
                <w:sz w:val="21"/>
              </w:rPr>
              <w:t> </w:t>
            </w:r>
          </w:p>
        </w:tc>
      </w:tr>
      <w:tr>
        <w:trPr>
          <w:trHeight w:val="273" w:hRule="atLeast"/>
        </w:trPr>
        <w:tc>
          <w:tcPr>
            <w:tcW w:w="2060" w:type="dxa"/>
          </w:tcPr>
          <w:p>
            <w:pPr>
              <w:pStyle w:val="TableParagraph"/>
              <w:spacing w:line="252" w:lineRule="exact" w:before="1"/>
              <w:ind w:left="107"/>
              <w:rPr>
                <w:sz w:val="21"/>
              </w:rPr>
            </w:pPr>
            <w:r>
              <w:rPr>
                <w:spacing w:val="-1"/>
                <w:sz w:val="21"/>
              </w:rPr>
              <w:t>无需支付的款项</w:t>
            </w:r>
            <w:r>
              <w:rPr>
                <w:sz w:val="21"/>
              </w:rPr>
              <w:t> </w:t>
            </w:r>
          </w:p>
        </w:tc>
        <w:tc>
          <w:tcPr>
            <w:tcW w:w="2249" w:type="dxa"/>
          </w:tcPr>
          <w:p>
            <w:pPr>
              <w:pStyle w:val="TableParagraph"/>
              <w:spacing w:before="10"/>
              <w:ind w:right="96"/>
              <w:jc w:val="right"/>
              <w:rPr>
                <w:rFonts w:ascii="Times New Roman"/>
                <w:sz w:val="21"/>
              </w:rPr>
            </w:pPr>
            <w:r>
              <w:rPr>
                <w:rFonts w:ascii="Times New Roman"/>
                <w:sz w:val="21"/>
              </w:rPr>
              <w:t>47</w:t>
            </w:r>
          </w:p>
        </w:tc>
        <w:tc>
          <w:tcPr>
            <w:tcW w:w="2257" w:type="dxa"/>
          </w:tcPr>
          <w:p>
            <w:pPr>
              <w:pStyle w:val="TableParagraph"/>
              <w:spacing w:before="10"/>
              <w:ind w:right="97"/>
              <w:jc w:val="right"/>
              <w:rPr>
                <w:rFonts w:ascii="Times New Roman"/>
                <w:sz w:val="21"/>
              </w:rPr>
            </w:pPr>
            <w:r>
              <w:rPr>
                <w:rFonts w:ascii="Times New Roman"/>
                <w:sz w:val="21"/>
              </w:rPr>
              <w:t>876</w:t>
            </w:r>
          </w:p>
        </w:tc>
        <w:tc>
          <w:tcPr>
            <w:tcW w:w="2260" w:type="dxa"/>
          </w:tcPr>
          <w:p>
            <w:pPr>
              <w:pStyle w:val="TableParagraph"/>
              <w:spacing w:line="252" w:lineRule="exact" w:before="1"/>
              <w:ind w:right="-15"/>
              <w:jc w:val="right"/>
              <w:rPr>
                <w:sz w:val="21"/>
              </w:rPr>
            </w:pPr>
            <w:r>
              <w:rPr>
                <w:w w:val="100"/>
                <w:sz w:val="21"/>
              </w:rPr>
              <w:t> </w:t>
            </w:r>
          </w:p>
        </w:tc>
      </w:tr>
      <w:tr>
        <w:trPr>
          <w:trHeight w:val="270" w:hRule="atLeast"/>
        </w:trPr>
        <w:tc>
          <w:tcPr>
            <w:tcW w:w="2060" w:type="dxa"/>
          </w:tcPr>
          <w:p>
            <w:pPr>
              <w:pStyle w:val="TableParagraph"/>
              <w:spacing w:line="250" w:lineRule="exact" w:before="1"/>
              <w:ind w:left="107"/>
              <w:rPr>
                <w:sz w:val="21"/>
              </w:rPr>
            </w:pPr>
            <w:r>
              <w:rPr>
                <w:sz w:val="21"/>
              </w:rPr>
              <w:t>其他 </w:t>
            </w:r>
          </w:p>
        </w:tc>
        <w:tc>
          <w:tcPr>
            <w:tcW w:w="2249" w:type="dxa"/>
          </w:tcPr>
          <w:p>
            <w:pPr>
              <w:pStyle w:val="TableParagraph"/>
              <w:spacing w:before="7"/>
              <w:ind w:right="94"/>
              <w:jc w:val="right"/>
              <w:rPr>
                <w:rFonts w:ascii="Times New Roman"/>
                <w:sz w:val="21"/>
              </w:rPr>
            </w:pPr>
            <w:r>
              <w:rPr>
                <w:rFonts w:ascii="Times New Roman"/>
                <w:sz w:val="21"/>
              </w:rPr>
              <w:t>5,519</w:t>
            </w:r>
          </w:p>
        </w:tc>
        <w:tc>
          <w:tcPr>
            <w:tcW w:w="2257" w:type="dxa"/>
          </w:tcPr>
          <w:p>
            <w:pPr>
              <w:pStyle w:val="TableParagraph"/>
              <w:spacing w:before="7"/>
              <w:ind w:left="1566"/>
              <w:rPr>
                <w:rFonts w:ascii="Times New Roman"/>
                <w:sz w:val="21"/>
              </w:rPr>
            </w:pPr>
            <w:r>
              <w:rPr>
                <w:rFonts w:ascii="Times New Roman"/>
                <w:sz w:val="21"/>
              </w:rPr>
              <w:t>32,432</w:t>
            </w:r>
          </w:p>
        </w:tc>
        <w:tc>
          <w:tcPr>
            <w:tcW w:w="2260" w:type="dxa"/>
          </w:tcPr>
          <w:p>
            <w:pPr>
              <w:pStyle w:val="TableParagraph"/>
              <w:spacing w:line="250" w:lineRule="exact" w:before="1"/>
              <w:ind w:right="-15"/>
              <w:jc w:val="right"/>
              <w:rPr>
                <w:sz w:val="21"/>
              </w:rPr>
            </w:pPr>
            <w:r>
              <w:rPr>
                <w:w w:val="100"/>
                <w:sz w:val="21"/>
              </w:rPr>
              <w:t> </w:t>
            </w:r>
          </w:p>
        </w:tc>
      </w:tr>
      <w:tr>
        <w:trPr>
          <w:trHeight w:val="273" w:hRule="atLeast"/>
        </w:trPr>
        <w:tc>
          <w:tcPr>
            <w:tcW w:w="2060" w:type="dxa"/>
          </w:tcPr>
          <w:p>
            <w:pPr>
              <w:pStyle w:val="TableParagraph"/>
              <w:spacing w:line="250" w:lineRule="exact" w:before="3"/>
              <w:ind w:left="850" w:right="739"/>
              <w:jc w:val="center"/>
              <w:rPr>
                <w:sz w:val="21"/>
              </w:rPr>
            </w:pPr>
            <w:r>
              <w:rPr>
                <w:sz w:val="21"/>
              </w:rPr>
              <w:t>合计 </w:t>
            </w:r>
          </w:p>
        </w:tc>
        <w:tc>
          <w:tcPr>
            <w:tcW w:w="2249" w:type="dxa"/>
          </w:tcPr>
          <w:p>
            <w:pPr>
              <w:pStyle w:val="TableParagraph"/>
              <w:spacing w:before="10"/>
              <w:ind w:right="94"/>
              <w:jc w:val="right"/>
              <w:rPr>
                <w:rFonts w:ascii="Times New Roman"/>
                <w:sz w:val="21"/>
              </w:rPr>
            </w:pPr>
            <w:r>
              <w:rPr>
                <w:rFonts w:ascii="Times New Roman"/>
                <w:sz w:val="21"/>
              </w:rPr>
              <w:t>121,232</w:t>
            </w:r>
          </w:p>
        </w:tc>
        <w:tc>
          <w:tcPr>
            <w:tcW w:w="2257" w:type="dxa"/>
          </w:tcPr>
          <w:p>
            <w:pPr>
              <w:pStyle w:val="TableParagraph"/>
              <w:spacing w:before="10"/>
              <w:ind w:left="1566"/>
              <w:rPr>
                <w:rFonts w:ascii="Times New Roman"/>
                <w:sz w:val="21"/>
              </w:rPr>
            </w:pPr>
            <w:r>
              <w:rPr>
                <w:rFonts w:ascii="Times New Roman"/>
                <w:sz w:val="21"/>
              </w:rPr>
              <w:t>83,798</w:t>
            </w:r>
          </w:p>
        </w:tc>
        <w:tc>
          <w:tcPr>
            <w:tcW w:w="2260" w:type="dxa"/>
          </w:tcPr>
          <w:p>
            <w:pPr>
              <w:pStyle w:val="TableParagraph"/>
              <w:spacing w:line="250" w:lineRule="exact" w:before="3"/>
              <w:ind w:right="-15"/>
              <w:jc w:val="right"/>
              <w:rPr>
                <w:sz w:val="21"/>
              </w:rPr>
            </w:pPr>
            <w:r>
              <w:rPr>
                <w:w w:val="100"/>
                <w:sz w:val="21"/>
              </w:rPr>
              <w:t> </w:t>
            </w:r>
          </w:p>
        </w:tc>
      </w:tr>
    </w:tbl>
    <w:p>
      <w:pPr>
        <w:spacing w:after="0" w:line="250" w:lineRule="exact"/>
        <w:jc w:val="right"/>
        <w:rPr>
          <w:sz w:val="21"/>
        </w:rPr>
        <w:sectPr>
          <w:pgSz w:w="11910" w:h="16840"/>
          <w:pgMar w:header="882" w:footer="1184" w:top="1120" w:bottom="1380" w:left="1480" w:right="0"/>
        </w:sectPr>
      </w:pPr>
    </w:p>
    <w:p>
      <w:pPr>
        <w:pStyle w:val="BodyText"/>
        <w:spacing w:before="1"/>
      </w:pPr>
      <w:r>
        <w:rPr>
          <w:w w:val="100"/>
        </w:rPr>
        <w:t> </w:t>
      </w:r>
    </w:p>
    <w:p>
      <w:pPr>
        <w:pStyle w:val="BodyText"/>
        <w:spacing w:before="4"/>
      </w:pPr>
      <w:r>
        <w:rPr>
          <w:w w:val="100"/>
        </w:rPr>
        <w:t> </w:t>
      </w:r>
    </w:p>
    <w:p>
      <w:pPr>
        <w:pStyle w:val="BodyText"/>
        <w:spacing w:before="3"/>
      </w:pPr>
      <w:r>
        <w:rPr>
          <w:spacing w:val="-1"/>
        </w:rPr>
        <w:t>计入当期损益的政府补助</w:t>
      </w:r>
      <w:r>
        <w:rPr/>
        <w:t> </w:t>
      </w:r>
    </w:p>
    <w:p>
      <w:pPr>
        <w:pStyle w:val="BodyText"/>
        <w:spacing w:before="4"/>
      </w:pPr>
      <w:r>
        <w:rPr>
          <w:spacing w:val="-1"/>
        </w:rPr>
        <w:t>□适用 √不适用</w:t>
      </w:r>
      <w:r>
        <w:rPr>
          <w:spacing w:val="-3"/>
        </w:rPr>
        <w:t> </w:t>
      </w:r>
      <w:r>
        <w:rPr/>
        <w:t> </w:t>
      </w:r>
    </w:p>
    <w:p>
      <w:pPr>
        <w:pStyle w:val="BodyText"/>
        <w:spacing w:before="3"/>
      </w:pPr>
      <w:r>
        <w:rPr>
          <w:w w:val="100"/>
        </w:rPr>
        <w:t> </w:t>
      </w:r>
    </w:p>
    <w:p>
      <w:pPr>
        <w:pStyle w:val="BodyText"/>
        <w:spacing w:before="141"/>
      </w:pPr>
      <w:r>
        <w:rPr/>
        <w:t>其他说明： </w:t>
      </w:r>
    </w:p>
    <w:p>
      <w:pPr>
        <w:pStyle w:val="BodyText"/>
        <w:spacing w:before="151"/>
      </w:pPr>
      <w:r>
        <w:rPr>
          <w:spacing w:val="-1"/>
        </w:rPr>
        <w:t>□适用 √不适用</w:t>
      </w:r>
      <w:r>
        <w:rPr>
          <w:spacing w:val="-3"/>
        </w:rPr>
        <w:t> </w:t>
      </w:r>
      <w:r>
        <w:rPr/>
        <w:t> </w:t>
      </w:r>
    </w:p>
    <w:p>
      <w:pPr>
        <w:pStyle w:val="BodyText"/>
        <w:spacing w:before="74"/>
      </w:pPr>
      <w:r>
        <w:rPr>
          <w:w w:val="100"/>
        </w:rPr>
        <w:t> </w:t>
      </w:r>
    </w:p>
    <w:p>
      <w:pPr>
        <w:pStyle w:val="BodyText"/>
        <w:spacing w:before="62"/>
      </w:pPr>
      <w:r>
        <w:rPr/>
        <w:t>75</w:t>
      </w:r>
      <w:r>
        <w:rPr>
          <w:spacing w:val="-5"/>
        </w:rPr>
        <w:t>、 营业外支出</w:t>
      </w:r>
      <w:r>
        <w:rPr/>
        <w:t> </w:t>
      </w:r>
    </w:p>
    <w:p>
      <w:pPr>
        <w:pStyle w:val="BodyText"/>
        <w:spacing w:before="65"/>
      </w:pPr>
      <w:r>
        <w:rPr>
          <w:spacing w:val="1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0"/>
        <w:ind w:left="0"/>
        <w:rPr>
          <w:sz w:val="29"/>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2776" w:space="3535"/>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5"/>
        <w:gridCol w:w="2318"/>
        <w:gridCol w:w="2270"/>
        <w:gridCol w:w="2258"/>
      </w:tblGrid>
      <w:tr>
        <w:trPr>
          <w:trHeight w:val="546" w:hRule="atLeast"/>
        </w:trPr>
        <w:tc>
          <w:tcPr>
            <w:tcW w:w="1975" w:type="dxa"/>
            <w:tcBorders>
              <w:right w:val="single" w:sz="6" w:space="0" w:color="000000"/>
            </w:tcBorders>
          </w:tcPr>
          <w:p>
            <w:pPr>
              <w:pStyle w:val="TableParagraph"/>
              <w:spacing w:before="138"/>
              <w:ind w:left="807" w:right="690"/>
              <w:jc w:val="center"/>
              <w:rPr>
                <w:sz w:val="21"/>
              </w:rPr>
            </w:pPr>
            <w:r>
              <w:rPr>
                <w:sz w:val="21"/>
              </w:rPr>
              <w:t>项目 </w:t>
            </w:r>
          </w:p>
        </w:tc>
        <w:tc>
          <w:tcPr>
            <w:tcW w:w="2318" w:type="dxa"/>
            <w:tcBorders>
              <w:left w:val="single" w:sz="6" w:space="0" w:color="000000"/>
            </w:tcBorders>
          </w:tcPr>
          <w:p>
            <w:pPr>
              <w:pStyle w:val="TableParagraph"/>
              <w:spacing w:before="138"/>
              <w:ind w:left="629"/>
              <w:rPr>
                <w:sz w:val="21"/>
              </w:rPr>
            </w:pPr>
            <w:r>
              <w:rPr>
                <w:sz w:val="21"/>
              </w:rPr>
              <w:t>本期发生额 </w:t>
            </w:r>
          </w:p>
        </w:tc>
        <w:tc>
          <w:tcPr>
            <w:tcW w:w="2270" w:type="dxa"/>
          </w:tcPr>
          <w:p>
            <w:pPr>
              <w:pStyle w:val="TableParagraph"/>
              <w:spacing w:before="138"/>
              <w:ind w:left="610"/>
              <w:rPr>
                <w:sz w:val="21"/>
              </w:rPr>
            </w:pPr>
            <w:r>
              <w:rPr>
                <w:sz w:val="21"/>
              </w:rPr>
              <w:t>上期发生额 </w:t>
            </w:r>
          </w:p>
        </w:tc>
        <w:tc>
          <w:tcPr>
            <w:tcW w:w="2258" w:type="dxa"/>
          </w:tcPr>
          <w:p>
            <w:pPr>
              <w:pStyle w:val="TableParagraph"/>
              <w:spacing w:line="270" w:lineRule="atLeast"/>
              <w:ind w:left="710" w:right="168" w:hanging="527"/>
              <w:rPr>
                <w:sz w:val="21"/>
              </w:rPr>
            </w:pPr>
            <w:r>
              <w:rPr>
                <w:sz w:val="21"/>
              </w:rPr>
              <w:t>计入当期非经常性损益的金额 </w:t>
            </w:r>
          </w:p>
        </w:tc>
      </w:tr>
      <w:tr>
        <w:trPr>
          <w:trHeight w:val="544" w:hRule="atLeast"/>
        </w:trPr>
        <w:tc>
          <w:tcPr>
            <w:tcW w:w="1975" w:type="dxa"/>
            <w:tcBorders>
              <w:right w:val="single" w:sz="6" w:space="0" w:color="000000"/>
            </w:tcBorders>
          </w:tcPr>
          <w:p>
            <w:pPr>
              <w:pStyle w:val="TableParagraph"/>
              <w:spacing w:before="1"/>
              <w:ind w:left="107"/>
              <w:rPr>
                <w:sz w:val="21"/>
              </w:rPr>
            </w:pPr>
            <w:r>
              <w:rPr>
                <w:sz w:val="21"/>
              </w:rPr>
              <w:t>非流动资产处置损</w:t>
            </w:r>
          </w:p>
          <w:p>
            <w:pPr>
              <w:pStyle w:val="TableParagraph"/>
              <w:spacing w:line="252" w:lineRule="exact" w:before="2"/>
              <w:ind w:left="107"/>
              <w:rPr>
                <w:sz w:val="21"/>
              </w:rPr>
            </w:pPr>
            <w:r>
              <w:rPr>
                <w:sz w:val="21"/>
              </w:rPr>
              <w:t>失合计 </w:t>
            </w:r>
          </w:p>
        </w:tc>
        <w:tc>
          <w:tcPr>
            <w:tcW w:w="2318" w:type="dxa"/>
            <w:tcBorders>
              <w:left w:val="single" w:sz="6" w:space="0" w:color="000000"/>
            </w:tcBorders>
          </w:tcPr>
          <w:p>
            <w:pPr>
              <w:pStyle w:val="TableParagraph"/>
              <w:spacing w:before="144"/>
              <w:ind w:right="95"/>
              <w:jc w:val="right"/>
              <w:rPr>
                <w:rFonts w:ascii="Times New Roman"/>
                <w:sz w:val="21"/>
              </w:rPr>
            </w:pPr>
            <w:r>
              <w:rPr>
                <w:rFonts w:ascii="Times New Roman"/>
                <w:sz w:val="21"/>
              </w:rPr>
              <w:t>21,995</w:t>
            </w:r>
          </w:p>
        </w:tc>
        <w:tc>
          <w:tcPr>
            <w:tcW w:w="2270" w:type="dxa"/>
          </w:tcPr>
          <w:p>
            <w:pPr>
              <w:pStyle w:val="TableParagraph"/>
              <w:spacing w:before="144"/>
              <w:ind w:right="91"/>
              <w:jc w:val="right"/>
              <w:rPr>
                <w:rFonts w:ascii="Times New Roman"/>
                <w:sz w:val="21"/>
              </w:rPr>
            </w:pPr>
            <w:r>
              <w:rPr>
                <w:rFonts w:ascii="Times New Roman"/>
                <w:sz w:val="21"/>
              </w:rPr>
              <w:t>10,741</w:t>
            </w:r>
          </w:p>
        </w:tc>
        <w:tc>
          <w:tcPr>
            <w:tcW w:w="2258" w:type="dxa"/>
          </w:tcPr>
          <w:p>
            <w:pPr>
              <w:pStyle w:val="TableParagraph"/>
              <w:spacing w:before="1"/>
              <w:ind w:right="-15"/>
              <w:jc w:val="right"/>
              <w:rPr>
                <w:sz w:val="21"/>
              </w:rPr>
            </w:pPr>
            <w:r>
              <w:rPr>
                <w:w w:val="100"/>
                <w:sz w:val="21"/>
              </w:rPr>
              <w:t> </w:t>
            </w:r>
          </w:p>
        </w:tc>
      </w:tr>
      <w:tr>
        <w:trPr>
          <w:trHeight w:val="544" w:hRule="atLeast"/>
        </w:trPr>
        <w:tc>
          <w:tcPr>
            <w:tcW w:w="1975" w:type="dxa"/>
            <w:tcBorders>
              <w:right w:val="single" w:sz="6" w:space="0" w:color="000000"/>
            </w:tcBorders>
          </w:tcPr>
          <w:p>
            <w:pPr>
              <w:pStyle w:val="TableParagraph"/>
              <w:spacing w:before="1"/>
              <w:ind w:left="107"/>
              <w:rPr>
                <w:sz w:val="21"/>
              </w:rPr>
            </w:pPr>
            <w:r>
              <w:rPr>
                <w:sz w:val="21"/>
              </w:rPr>
              <w:t>其中：固定资产处</w:t>
            </w:r>
          </w:p>
          <w:p>
            <w:pPr>
              <w:pStyle w:val="TableParagraph"/>
              <w:spacing w:line="252" w:lineRule="exact" w:before="2"/>
              <w:ind w:left="107"/>
              <w:rPr>
                <w:sz w:val="21"/>
              </w:rPr>
            </w:pPr>
            <w:r>
              <w:rPr>
                <w:sz w:val="21"/>
              </w:rPr>
              <w:t>置损失 </w:t>
            </w:r>
          </w:p>
        </w:tc>
        <w:tc>
          <w:tcPr>
            <w:tcW w:w="2318" w:type="dxa"/>
            <w:tcBorders>
              <w:left w:val="single" w:sz="6" w:space="0" w:color="000000"/>
            </w:tcBorders>
          </w:tcPr>
          <w:p>
            <w:pPr>
              <w:pStyle w:val="TableParagraph"/>
              <w:rPr>
                <w:rFonts w:ascii="Times New Roman"/>
                <w:sz w:val="20"/>
              </w:rPr>
            </w:pPr>
          </w:p>
        </w:tc>
        <w:tc>
          <w:tcPr>
            <w:tcW w:w="2270" w:type="dxa"/>
          </w:tcPr>
          <w:p>
            <w:pPr>
              <w:pStyle w:val="TableParagraph"/>
              <w:rPr>
                <w:rFonts w:ascii="Times New Roman"/>
                <w:sz w:val="20"/>
              </w:rPr>
            </w:pPr>
          </w:p>
        </w:tc>
        <w:tc>
          <w:tcPr>
            <w:tcW w:w="2258" w:type="dxa"/>
          </w:tcPr>
          <w:p>
            <w:pPr>
              <w:pStyle w:val="TableParagraph"/>
              <w:spacing w:before="1"/>
              <w:ind w:right="-15"/>
              <w:jc w:val="right"/>
              <w:rPr>
                <w:sz w:val="21"/>
              </w:rPr>
            </w:pPr>
            <w:r>
              <w:rPr>
                <w:w w:val="100"/>
                <w:sz w:val="21"/>
              </w:rPr>
              <w:t> </w:t>
            </w:r>
          </w:p>
        </w:tc>
      </w:tr>
      <w:tr>
        <w:trPr>
          <w:trHeight w:val="544" w:hRule="atLeast"/>
        </w:trPr>
        <w:tc>
          <w:tcPr>
            <w:tcW w:w="1975" w:type="dxa"/>
            <w:tcBorders>
              <w:right w:val="single" w:sz="6" w:space="0" w:color="000000"/>
            </w:tcBorders>
          </w:tcPr>
          <w:p>
            <w:pPr>
              <w:pStyle w:val="TableParagraph"/>
              <w:spacing w:before="1"/>
              <w:ind w:left="738"/>
              <w:rPr>
                <w:sz w:val="21"/>
              </w:rPr>
            </w:pPr>
            <w:r>
              <w:rPr>
                <w:sz w:val="21"/>
              </w:rPr>
              <w:t>无形资产处</w:t>
            </w:r>
          </w:p>
          <w:p>
            <w:pPr>
              <w:pStyle w:val="TableParagraph"/>
              <w:spacing w:line="252" w:lineRule="exact" w:before="2"/>
              <w:ind w:left="107"/>
              <w:rPr>
                <w:sz w:val="21"/>
              </w:rPr>
            </w:pPr>
            <w:r>
              <w:rPr>
                <w:sz w:val="21"/>
              </w:rPr>
              <w:t>置损失 </w:t>
            </w:r>
          </w:p>
        </w:tc>
        <w:tc>
          <w:tcPr>
            <w:tcW w:w="2318" w:type="dxa"/>
            <w:tcBorders>
              <w:left w:val="single" w:sz="6" w:space="0" w:color="000000"/>
            </w:tcBorders>
          </w:tcPr>
          <w:p>
            <w:pPr>
              <w:pStyle w:val="TableParagraph"/>
              <w:rPr>
                <w:rFonts w:ascii="Times New Roman"/>
                <w:sz w:val="20"/>
              </w:rPr>
            </w:pPr>
          </w:p>
        </w:tc>
        <w:tc>
          <w:tcPr>
            <w:tcW w:w="2270" w:type="dxa"/>
          </w:tcPr>
          <w:p>
            <w:pPr>
              <w:pStyle w:val="TableParagraph"/>
              <w:rPr>
                <w:rFonts w:ascii="Times New Roman"/>
                <w:sz w:val="20"/>
              </w:rPr>
            </w:pPr>
          </w:p>
        </w:tc>
        <w:tc>
          <w:tcPr>
            <w:tcW w:w="2258" w:type="dxa"/>
          </w:tcPr>
          <w:p>
            <w:pPr>
              <w:pStyle w:val="TableParagraph"/>
              <w:spacing w:before="1"/>
              <w:ind w:right="-15"/>
              <w:jc w:val="right"/>
              <w:rPr>
                <w:sz w:val="21"/>
              </w:rPr>
            </w:pPr>
            <w:r>
              <w:rPr>
                <w:w w:val="100"/>
                <w:sz w:val="21"/>
              </w:rPr>
              <w:t> </w:t>
            </w:r>
          </w:p>
        </w:tc>
      </w:tr>
      <w:tr>
        <w:trPr>
          <w:trHeight w:val="544" w:hRule="atLeast"/>
        </w:trPr>
        <w:tc>
          <w:tcPr>
            <w:tcW w:w="1975" w:type="dxa"/>
            <w:tcBorders>
              <w:right w:val="single" w:sz="6" w:space="0" w:color="000000"/>
            </w:tcBorders>
          </w:tcPr>
          <w:p>
            <w:pPr>
              <w:pStyle w:val="TableParagraph"/>
              <w:spacing w:before="1"/>
              <w:ind w:left="107"/>
              <w:rPr>
                <w:sz w:val="21"/>
              </w:rPr>
            </w:pPr>
            <w:r>
              <w:rPr>
                <w:sz w:val="21"/>
              </w:rPr>
              <w:t>非货币性资产交换</w:t>
            </w:r>
          </w:p>
          <w:p>
            <w:pPr>
              <w:pStyle w:val="TableParagraph"/>
              <w:spacing w:line="250" w:lineRule="exact" w:before="4"/>
              <w:ind w:left="107"/>
              <w:rPr>
                <w:sz w:val="21"/>
              </w:rPr>
            </w:pPr>
            <w:r>
              <w:rPr>
                <w:sz w:val="21"/>
              </w:rPr>
              <w:t>损失 </w:t>
            </w:r>
          </w:p>
        </w:tc>
        <w:tc>
          <w:tcPr>
            <w:tcW w:w="2318" w:type="dxa"/>
            <w:tcBorders>
              <w:left w:val="single" w:sz="6" w:space="0" w:color="000000"/>
            </w:tcBorders>
          </w:tcPr>
          <w:p>
            <w:pPr>
              <w:pStyle w:val="TableParagraph"/>
              <w:rPr>
                <w:rFonts w:ascii="Times New Roman"/>
                <w:sz w:val="20"/>
              </w:rPr>
            </w:pPr>
          </w:p>
        </w:tc>
        <w:tc>
          <w:tcPr>
            <w:tcW w:w="2270" w:type="dxa"/>
          </w:tcPr>
          <w:p>
            <w:pPr>
              <w:pStyle w:val="TableParagraph"/>
              <w:rPr>
                <w:rFonts w:ascii="Times New Roman"/>
                <w:sz w:val="20"/>
              </w:rPr>
            </w:pPr>
          </w:p>
        </w:tc>
        <w:tc>
          <w:tcPr>
            <w:tcW w:w="2258" w:type="dxa"/>
          </w:tcPr>
          <w:p>
            <w:pPr>
              <w:pStyle w:val="TableParagraph"/>
              <w:spacing w:before="1"/>
              <w:ind w:right="-15"/>
              <w:jc w:val="right"/>
              <w:rPr>
                <w:sz w:val="21"/>
              </w:rPr>
            </w:pPr>
            <w:r>
              <w:rPr>
                <w:w w:val="100"/>
                <w:sz w:val="21"/>
              </w:rPr>
              <w:t> </w:t>
            </w:r>
          </w:p>
        </w:tc>
      </w:tr>
      <w:tr>
        <w:trPr>
          <w:trHeight w:val="273" w:hRule="atLeast"/>
        </w:trPr>
        <w:tc>
          <w:tcPr>
            <w:tcW w:w="1975" w:type="dxa"/>
            <w:tcBorders>
              <w:right w:val="single" w:sz="6" w:space="0" w:color="000000"/>
            </w:tcBorders>
          </w:tcPr>
          <w:p>
            <w:pPr>
              <w:pStyle w:val="TableParagraph"/>
              <w:spacing w:line="252" w:lineRule="exact" w:before="1"/>
              <w:ind w:left="107"/>
              <w:rPr>
                <w:sz w:val="21"/>
              </w:rPr>
            </w:pPr>
            <w:r>
              <w:rPr>
                <w:spacing w:val="-1"/>
                <w:sz w:val="21"/>
              </w:rPr>
              <w:t>对外捐赠</w:t>
            </w:r>
            <w:r>
              <w:rPr>
                <w:sz w:val="21"/>
              </w:rPr>
              <w:t> </w:t>
            </w:r>
          </w:p>
        </w:tc>
        <w:tc>
          <w:tcPr>
            <w:tcW w:w="2318" w:type="dxa"/>
            <w:tcBorders>
              <w:left w:val="single" w:sz="6" w:space="0" w:color="000000"/>
            </w:tcBorders>
          </w:tcPr>
          <w:p>
            <w:pPr>
              <w:pStyle w:val="TableParagraph"/>
              <w:spacing w:before="10"/>
              <w:ind w:right="95"/>
              <w:jc w:val="right"/>
              <w:rPr>
                <w:rFonts w:ascii="Times New Roman"/>
                <w:sz w:val="21"/>
              </w:rPr>
            </w:pPr>
            <w:r>
              <w:rPr>
                <w:rFonts w:ascii="Times New Roman"/>
                <w:sz w:val="21"/>
              </w:rPr>
              <w:t>3,493</w:t>
            </w:r>
          </w:p>
        </w:tc>
        <w:tc>
          <w:tcPr>
            <w:tcW w:w="2270" w:type="dxa"/>
          </w:tcPr>
          <w:p>
            <w:pPr>
              <w:pStyle w:val="TableParagraph"/>
              <w:spacing w:before="10"/>
              <w:ind w:right="91"/>
              <w:jc w:val="right"/>
              <w:rPr>
                <w:rFonts w:ascii="Times New Roman"/>
                <w:sz w:val="21"/>
              </w:rPr>
            </w:pPr>
            <w:r>
              <w:rPr>
                <w:rFonts w:ascii="Times New Roman"/>
                <w:sz w:val="21"/>
              </w:rPr>
              <w:t>134,417</w:t>
            </w:r>
          </w:p>
        </w:tc>
        <w:tc>
          <w:tcPr>
            <w:tcW w:w="2258" w:type="dxa"/>
          </w:tcPr>
          <w:p>
            <w:pPr>
              <w:pStyle w:val="TableParagraph"/>
              <w:spacing w:line="252" w:lineRule="exact" w:before="1"/>
              <w:ind w:right="-15"/>
              <w:jc w:val="right"/>
              <w:rPr>
                <w:sz w:val="21"/>
              </w:rPr>
            </w:pPr>
            <w:r>
              <w:rPr>
                <w:w w:val="100"/>
                <w:sz w:val="21"/>
              </w:rPr>
              <w:t> </w:t>
            </w:r>
          </w:p>
        </w:tc>
      </w:tr>
      <w:tr>
        <w:trPr>
          <w:trHeight w:val="270" w:hRule="atLeast"/>
        </w:trPr>
        <w:tc>
          <w:tcPr>
            <w:tcW w:w="1975" w:type="dxa"/>
            <w:tcBorders>
              <w:right w:val="single" w:sz="6" w:space="0" w:color="000000"/>
            </w:tcBorders>
          </w:tcPr>
          <w:p>
            <w:pPr>
              <w:pStyle w:val="TableParagraph"/>
              <w:spacing w:line="250" w:lineRule="exact" w:before="1"/>
              <w:ind w:left="107"/>
              <w:rPr>
                <w:sz w:val="21"/>
              </w:rPr>
            </w:pPr>
            <w:r>
              <w:rPr>
                <w:spacing w:val="-1"/>
                <w:sz w:val="21"/>
              </w:rPr>
              <w:t>罚款及滞纳金</w:t>
            </w:r>
            <w:r>
              <w:rPr>
                <w:sz w:val="21"/>
              </w:rPr>
              <w:t> </w:t>
            </w:r>
          </w:p>
        </w:tc>
        <w:tc>
          <w:tcPr>
            <w:tcW w:w="2318" w:type="dxa"/>
            <w:tcBorders>
              <w:left w:val="single" w:sz="6" w:space="0" w:color="000000"/>
            </w:tcBorders>
          </w:tcPr>
          <w:p>
            <w:pPr>
              <w:pStyle w:val="TableParagraph"/>
              <w:spacing w:line="235" w:lineRule="exact"/>
              <w:ind w:right="95"/>
              <w:jc w:val="right"/>
              <w:rPr>
                <w:rFonts w:ascii="Times New Roman"/>
                <w:sz w:val="21"/>
              </w:rPr>
            </w:pPr>
            <w:r>
              <w:rPr>
                <w:rFonts w:ascii="Times New Roman"/>
                <w:sz w:val="21"/>
              </w:rPr>
              <w:t>620</w:t>
            </w:r>
          </w:p>
        </w:tc>
        <w:tc>
          <w:tcPr>
            <w:tcW w:w="2270" w:type="dxa"/>
          </w:tcPr>
          <w:p>
            <w:pPr>
              <w:pStyle w:val="TableParagraph"/>
              <w:spacing w:line="235" w:lineRule="exact"/>
              <w:ind w:right="91"/>
              <w:jc w:val="right"/>
              <w:rPr>
                <w:rFonts w:ascii="Times New Roman"/>
                <w:sz w:val="21"/>
              </w:rPr>
            </w:pPr>
            <w:r>
              <w:rPr>
                <w:rFonts w:ascii="Times New Roman"/>
                <w:sz w:val="21"/>
              </w:rPr>
              <w:t>628</w:t>
            </w:r>
          </w:p>
        </w:tc>
        <w:tc>
          <w:tcPr>
            <w:tcW w:w="2258" w:type="dxa"/>
          </w:tcPr>
          <w:p>
            <w:pPr>
              <w:pStyle w:val="TableParagraph"/>
              <w:spacing w:line="250" w:lineRule="exact" w:before="1"/>
              <w:ind w:right="-15"/>
              <w:jc w:val="right"/>
              <w:rPr>
                <w:sz w:val="21"/>
              </w:rPr>
            </w:pPr>
            <w:r>
              <w:rPr>
                <w:w w:val="100"/>
                <w:sz w:val="21"/>
              </w:rPr>
              <w:t> </w:t>
            </w:r>
          </w:p>
        </w:tc>
      </w:tr>
      <w:tr>
        <w:trPr>
          <w:trHeight w:val="273" w:hRule="atLeast"/>
        </w:trPr>
        <w:tc>
          <w:tcPr>
            <w:tcW w:w="1975" w:type="dxa"/>
            <w:tcBorders>
              <w:right w:val="single" w:sz="6" w:space="0" w:color="000000"/>
            </w:tcBorders>
          </w:tcPr>
          <w:p>
            <w:pPr>
              <w:pStyle w:val="TableParagraph"/>
              <w:spacing w:line="250" w:lineRule="exact" w:before="3"/>
              <w:ind w:left="107"/>
              <w:rPr>
                <w:sz w:val="21"/>
              </w:rPr>
            </w:pPr>
            <w:r>
              <w:rPr>
                <w:sz w:val="21"/>
              </w:rPr>
              <w:t>其他 </w:t>
            </w:r>
          </w:p>
        </w:tc>
        <w:tc>
          <w:tcPr>
            <w:tcW w:w="2318" w:type="dxa"/>
            <w:tcBorders>
              <w:left w:val="single" w:sz="6" w:space="0" w:color="000000"/>
            </w:tcBorders>
          </w:tcPr>
          <w:p>
            <w:pPr>
              <w:pStyle w:val="TableParagraph"/>
              <w:spacing w:line="237" w:lineRule="exact"/>
              <w:ind w:right="95"/>
              <w:jc w:val="right"/>
              <w:rPr>
                <w:rFonts w:ascii="Times New Roman"/>
                <w:sz w:val="21"/>
              </w:rPr>
            </w:pPr>
            <w:r>
              <w:rPr>
                <w:rFonts w:ascii="Times New Roman"/>
                <w:sz w:val="21"/>
              </w:rPr>
              <w:t>4,473</w:t>
            </w:r>
          </w:p>
        </w:tc>
        <w:tc>
          <w:tcPr>
            <w:tcW w:w="2270" w:type="dxa"/>
          </w:tcPr>
          <w:p>
            <w:pPr>
              <w:pStyle w:val="TableParagraph"/>
              <w:spacing w:line="237" w:lineRule="exact"/>
              <w:ind w:right="91"/>
              <w:jc w:val="right"/>
              <w:rPr>
                <w:rFonts w:ascii="Times New Roman"/>
                <w:sz w:val="21"/>
              </w:rPr>
            </w:pPr>
            <w:r>
              <w:rPr>
                <w:rFonts w:ascii="Times New Roman"/>
                <w:sz w:val="21"/>
              </w:rPr>
              <w:t>17,866</w:t>
            </w:r>
          </w:p>
        </w:tc>
        <w:tc>
          <w:tcPr>
            <w:tcW w:w="2258" w:type="dxa"/>
          </w:tcPr>
          <w:p>
            <w:pPr>
              <w:pStyle w:val="TableParagraph"/>
              <w:spacing w:line="250" w:lineRule="exact" w:before="3"/>
              <w:ind w:right="-15"/>
              <w:jc w:val="right"/>
              <w:rPr>
                <w:sz w:val="21"/>
              </w:rPr>
            </w:pPr>
            <w:r>
              <w:rPr>
                <w:w w:val="100"/>
                <w:sz w:val="21"/>
              </w:rPr>
              <w:t> </w:t>
            </w:r>
          </w:p>
        </w:tc>
      </w:tr>
      <w:tr>
        <w:trPr>
          <w:trHeight w:val="273" w:hRule="atLeast"/>
        </w:trPr>
        <w:tc>
          <w:tcPr>
            <w:tcW w:w="1975" w:type="dxa"/>
            <w:tcBorders>
              <w:right w:val="single" w:sz="6" w:space="0" w:color="000000"/>
            </w:tcBorders>
          </w:tcPr>
          <w:p>
            <w:pPr>
              <w:pStyle w:val="TableParagraph"/>
              <w:spacing w:line="252" w:lineRule="exact" w:before="1"/>
              <w:ind w:left="804" w:right="692"/>
              <w:jc w:val="center"/>
              <w:rPr>
                <w:sz w:val="21"/>
              </w:rPr>
            </w:pPr>
            <w:r>
              <w:rPr>
                <w:sz w:val="21"/>
              </w:rPr>
              <w:t>合计 </w:t>
            </w:r>
          </w:p>
        </w:tc>
        <w:tc>
          <w:tcPr>
            <w:tcW w:w="2318" w:type="dxa"/>
            <w:tcBorders>
              <w:left w:val="single" w:sz="6" w:space="0" w:color="000000"/>
            </w:tcBorders>
          </w:tcPr>
          <w:p>
            <w:pPr>
              <w:pStyle w:val="TableParagraph"/>
              <w:spacing w:before="10"/>
              <w:ind w:right="95"/>
              <w:jc w:val="right"/>
              <w:rPr>
                <w:rFonts w:ascii="Times New Roman"/>
                <w:sz w:val="21"/>
              </w:rPr>
            </w:pPr>
            <w:r>
              <w:rPr>
                <w:rFonts w:ascii="Times New Roman"/>
                <w:sz w:val="21"/>
              </w:rPr>
              <w:t>30,581</w:t>
            </w:r>
          </w:p>
        </w:tc>
        <w:tc>
          <w:tcPr>
            <w:tcW w:w="2270" w:type="dxa"/>
          </w:tcPr>
          <w:p>
            <w:pPr>
              <w:pStyle w:val="TableParagraph"/>
              <w:spacing w:before="10"/>
              <w:ind w:right="91"/>
              <w:jc w:val="right"/>
              <w:rPr>
                <w:rFonts w:ascii="Times New Roman"/>
                <w:sz w:val="21"/>
              </w:rPr>
            </w:pPr>
            <w:r>
              <w:rPr>
                <w:rFonts w:ascii="Times New Roman"/>
                <w:sz w:val="21"/>
              </w:rPr>
              <w:t>163,652</w:t>
            </w:r>
          </w:p>
        </w:tc>
        <w:tc>
          <w:tcPr>
            <w:tcW w:w="2258" w:type="dxa"/>
          </w:tcPr>
          <w:p>
            <w:pPr>
              <w:pStyle w:val="TableParagraph"/>
              <w:spacing w:line="252" w:lineRule="exact" w:before="1"/>
              <w:ind w:right="-15"/>
              <w:jc w:val="right"/>
              <w:rPr>
                <w:sz w:val="21"/>
              </w:rPr>
            </w:pPr>
            <w:r>
              <w:rPr>
                <w:w w:val="100"/>
                <w:sz w:val="21"/>
              </w:rPr>
              <w:t> </w:t>
            </w:r>
          </w:p>
        </w:tc>
      </w:tr>
    </w:tbl>
    <w:p>
      <w:pPr>
        <w:spacing w:after="0" w:line="252" w:lineRule="exact"/>
        <w:jc w:val="right"/>
        <w:rPr>
          <w:sz w:val="21"/>
        </w:rPr>
        <w:sectPr>
          <w:type w:val="continuous"/>
          <w:pgSz w:w="11910" w:h="16840"/>
          <w:pgMar w:top="780" w:bottom="280" w:left="1480" w:right="0"/>
        </w:sectPr>
      </w:pPr>
    </w:p>
    <w:p>
      <w:pPr>
        <w:pStyle w:val="BodyText"/>
        <w:spacing w:before="1"/>
      </w:pPr>
      <w:r>
        <w:rPr>
          <w:w w:val="100"/>
        </w:rPr>
        <w:t> </w:t>
      </w:r>
    </w:p>
    <w:p>
      <w:pPr>
        <w:pStyle w:val="BodyText"/>
        <w:spacing w:line="297" w:lineRule="auto" w:before="62"/>
        <w:ind w:right="678"/>
      </w:pPr>
      <w:r>
        <w:rPr/>
        <w:t>其他说明：</w:t>
      </w:r>
      <w:r>
        <w:rPr>
          <w:spacing w:val="1"/>
        </w:rPr>
        <w:t> </w:t>
      </w:r>
      <w:r>
        <w:rPr/>
        <w:t>无 </w:t>
      </w:r>
    </w:p>
    <w:p>
      <w:pPr>
        <w:pStyle w:val="BodyText"/>
        <w:spacing w:line="207" w:lineRule="exact"/>
      </w:pPr>
      <w:r>
        <w:rPr>
          <w:w w:val="100"/>
        </w:rPr>
        <w:t> </w:t>
      </w:r>
    </w:p>
    <w:p>
      <w:pPr>
        <w:pStyle w:val="BodyText"/>
        <w:spacing w:line="295" w:lineRule="auto" w:before="65"/>
        <w:ind w:right="38"/>
      </w:pPr>
      <w:r>
        <w:rPr/>
        <w:t>76</w:t>
      </w:r>
      <w:r>
        <w:rPr>
          <w:spacing w:val="-5"/>
        </w:rPr>
        <w:t>、 所得税费用</w:t>
      </w:r>
      <w:r>
        <w:rPr/>
        <w:t>(1).所得税费用表 </w:t>
      </w:r>
    </w:p>
    <w:p>
      <w:pPr>
        <w:pStyle w:val="BodyText"/>
        <w:spacing w:before="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57"/>
      </w:pPr>
      <w:r>
        <w:rPr>
          <w:spacing w:val="7"/>
        </w:rPr>
        <w:t>单位：千元 币种：人民币</w:t>
      </w:r>
      <w:r>
        <w:rPr/>
        <w:t> </w:t>
      </w:r>
    </w:p>
    <w:p>
      <w:pPr>
        <w:spacing w:after="0"/>
        <w:sectPr>
          <w:type w:val="continuous"/>
          <w:pgSz w:w="11910" w:h="16840"/>
          <w:pgMar w:top="780" w:bottom="280" w:left="1480" w:right="0"/>
          <w:cols w:num="2" w:equalWidth="0">
            <w:col w:w="2156" w:space="4154"/>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33"/>
        <w:gridCol w:w="2857"/>
        <w:gridCol w:w="2836"/>
      </w:tblGrid>
      <w:tr>
        <w:trPr>
          <w:trHeight w:val="278" w:hRule="atLeast"/>
        </w:trPr>
        <w:tc>
          <w:tcPr>
            <w:tcW w:w="3133" w:type="dxa"/>
          </w:tcPr>
          <w:p>
            <w:pPr>
              <w:pStyle w:val="TableParagraph"/>
              <w:spacing w:line="255" w:lineRule="exact" w:before="3"/>
              <w:ind w:left="1383" w:right="1279"/>
              <w:jc w:val="center"/>
              <w:rPr>
                <w:sz w:val="21"/>
              </w:rPr>
            </w:pPr>
            <w:r>
              <w:rPr>
                <w:sz w:val="21"/>
              </w:rPr>
              <w:t>项目 </w:t>
            </w:r>
          </w:p>
        </w:tc>
        <w:tc>
          <w:tcPr>
            <w:tcW w:w="2857" w:type="dxa"/>
          </w:tcPr>
          <w:p>
            <w:pPr>
              <w:pStyle w:val="TableParagraph"/>
              <w:spacing w:line="255" w:lineRule="exact" w:before="3"/>
              <w:ind w:left="896"/>
              <w:rPr>
                <w:sz w:val="21"/>
              </w:rPr>
            </w:pPr>
            <w:r>
              <w:rPr>
                <w:sz w:val="21"/>
              </w:rPr>
              <w:t>本期发生额 </w:t>
            </w:r>
          </w:p>
        </w:tc>
        <w:tc>
          <w:tcPr>
            <w:tcW w:w="2836" w:type="dxa"/>
          </w:tcPr>
          <w:p>
            <w:pPr>
              <w:pStyle w:val="TableParagraph"/>
              <w:spacing w:line="255" w:lineRule="exact" w:before="3"/>
              <w:ind w:left="886"/>
              <w:rPr>
                <w:sz w:val="21"/>
              </w:rPr>
            </w:pPr>
            <w:r>
              <w:rPr>
                <w:sz w:val="21"/>
              </w:rPr>
              <w:t>上期发生额 </w:t>
            </w:r>
          </w:p>
        </w:tc>
      </w:tr>
      <w:tr>
        <w:trPr>
          <w:trHeight w:val="273" w:hRule="atLeast"/>
        </w:trPr>
        <w:tc>
          <w:tcPr>
            <w:tcW w:w="3133" w:type="dxa"/>
          </w:tcPr>
          <w:p>
            <w:pPr>
              <w:pStyle w:val="TableParagraph"/>
              <w:spacing w:line="252" w:lineRule="exact" w:before="1"/>
              <w:ind w:left="112"/>
              <w:rPr>
                <w:sz w:val="21"/>
              </w:rPr>
            </w:pPr>
            <w:r>
              <w:rPr>
                <w:spacing w:val="-1"/>
                <w:sz w:val="21"/>
              </w:rPr>
              <w:t>当期所得税费用</w:t>
            </w:r>
            <w:r>
              <w:rPr>
                <w:sz w:val="21"/>
              </w:rPr>
              <w:t> </w:t>
            </w:r>
          </w:p>
        </w:tc>
        <w:tc>
          <w:tcPr>
            <w:tcW w:w="2857" w:type="dxa"/>
          </w:tcPr>
          <w:p>
            <w:pPr>
              <w:pStyle w:val="TableParagraph"/>
              <w:spacing w:before="10"/>
              <w:ind w:right="102"/>
              <w:jc w:val="right"/>
              <w:rPr>
                <w:rFonts w:ascii="Times New Roman"/>
                <w:sz w:val="21"/>
              </w:rPr>
            </w:pPr>
            <w:r>
              <w:rPr>
                <w:rFonts w:ascii="Times New Roman"/>
                <w:sz w:val="21"/>
              </w:rPr>
              <w:t>1,578,435</w:t>
            </w:r>
          </w:p>
        </w:tc>
        <w:tc>
          <w:tcPr>
            <w:tcW w:w="2836" w:type="dxa"/>
          </w:tcPr>
          <w:p>
            <w:pPr>
              <w:pStyle w:val="TableParagraph"/>
              <w:spacing w:before="10"/>
              <w:ind w:right="98"/>
              <w:jc w:val="right"/>
              <w:rPr>
                <w:rFonts w:ascii="Times New Roman"/>
                <w:sz w:val="21"/>
              </w:rPr>
            </w:pPr>
            <w:r>
              <w:rPr>
                <w:rFonts w:ascii="Times New Roman"/>
                <w:sz w:val="21"/>
              </w:rPr>
              <w:t>2,231,230</w:t>
            </w:r>
          </w:p>
        </w:tc>
      </w:tr>
      <w:tr>
        <w:trPr>
          <w:trHeight w:val="270" w:hRule="atLeast"/>
        </w:trPr>
        <w:tc>
          <w:tcPr>
            <w:tcW w:w="3133" w:type="dxa"/>
          </w:tcPr>
          <w:p>
            <w:pPr>
              <w:pStyle w:val="TableParagraph"/>
              <w:spacing w:line="250" w:lineRule="exact" w:before="1"/>
              <w:ind w:left="112"/>
              <w:rPr>
                <w:sz w:val="21"/>
              </w:rPr>
            </w:pPr>
            <w:r>
              <w:rPr>
                <w:spacing w:val="-1"/>
                <w:sz w:val="21"/>
              </w:rPr>
              <w:t>递延所得税费用</w:t>
            </w:r>
            <w:r>
              <w:rPr>
                <w:sz w:val="21"/>
              </w:rPr>
              <w:t> </w:t>
            </w:r>
          </w:p>
        </w:tc>
        <w:tc>
          <w:tcPr>
            <w:tcW w:w="2857" w:type="dxa"/>
          </w:tcPr>
          <w:p>
            <w:pPr>
              <w:pStyle w:val="TableParagraph"/>
              <w:spacing w:before="7"/>
              <w:ind w:right="102"/>
              <w:jc w:val="right"/>
              <w:rPr>
                <w:rFonts w:ascii="Times New Roman"/>
                <w:sz w:val="21"/>
              </w:rPr>
            </w:pPr>
            <w:r>
              <w:rPr>
                <w:rFonts w:ascii="Times New Roman"/>
                <w:sz w:val="21"/>
              </w:rPr>
              <w:t>300,678</w:t>
            </w:r>
          </w:p>
        </w:tc>
        <w:tc>
          <w:tcPr>
            <w:tcW w:w="2836" w:type="dxa"/>
          </w:tcPr>
          <w:p>
            <w:pPr>
              <w:pStyle w:val="TableParagraph"/>
              <w:spacing w:before="7"/>
              <w:ind w:right="98"/>
              <w:jc w:val="right"/>
              <w:rPr>
                <w:rFonts w:ascii="Times New Roman"/>
                <w:sz w:val="21"/>
              </w:rPr>
            </w:pPr>
            <w:r>
              <w:rPr>
                <w:rFonts w:ascii="Times New Roman"/>
                <w:sz w:val="21"/>
              </w:rPr>
              <w:t>61,780</w:t>
            </w:r>
          </w:p>
        </w:tc>
      </w:tr>
      <w:tr>
        <w:trPr>
          <w:trHeight w:val="273" w:hRule="atLeast"/>
        </w:trPr>
        <w:tc>
          <w:tcPr>
            <w:tcW w:w="3133" w:type="dxa"/>
          </w:tcPr>
          <w:p>
            <w:pPr>
              <w:pStyle w:val="TableParagraph"/>
              <w:spacing w:line="250" w:lineRule="exact" w:before="3"/>
              <w:ind w:left="112"/>
              <w:rPr>
                <w:sz w:val="21"/>
              </w:rPr>
            </w:pPr>
            <w:r>
              <w:rPr>
                <w:w w:val="100"/>
                <w:sz w:val="21"/>
              </w:rPr>
              <w:t> </w:t>
            </w:r>
          </w:p>
        </w:tc>
        <w:tc>
          <w:tcPr>
            <w:tcW w:w="2857" w:type="dxa"/>
          </w:tcPr>
          <w:p>
            <w:pPr>
              <w:pStyle w:val="TableParagraph"/>
              <w:rPr>
                <w:rFonts w:ascii="Times New Roman"/>
                <w:sz w:val="20"/>
              </w:rPr>
            </w:pPr>
          </w:p>
        </w:tc>
        <w:tc>
          <w:tcPr>
            <w:tcW w:w="2836" w:type="dxa"/>
          </w:tcPr>
          <w:p>
            <w:pPr>
              <w:pStyle w:val="TableParagraph"/>
              <w:rPr>
                <w:rFonts w:ascii="Times New Roman"/>
                <w:sz w:val="20"/>
              </w:rPr>
            </w:pPr>
          </w:p>
        </w:tc>
      </w:tr>
      <w:tr>
        <w:trPr>
          <w:trHeight w:val="273" w:hRule="atLeast"/>
        </w:trPr>
        <w:tc>
          <w:tcPr>
            <w:tcW w:w="3133" w:type="dxa"/>
          </w:tcPr>
          <w:p>
            <w:pPr>
              <w:pStyle w:val="TableParagraph"/>
              <w:spacing w:line="252" w:lineRule="exact" w:before="1"/>
              <w:ind w:left="112"/>
              <w:rPr>
                <w:sz w:val="21"/>
              </w:rPr>
            </w:pPr>
            <w:r>
              <w:rPr>
                <w:w w:val="100"/>
                <w:sz w:val="21"/>
              </w:rPr>
              <w:t> </w:t>
            </w:r>
          </w:p>
        </w:tc>
        <w:tc>
          <w:tcPr>
            <w:tcW w:w="2857" w:type="dxa"/>
          </w:tcPr>
          <w:p>
            <w:pPr>
              <w:pStyle w:val="TableParagraph"/>
              <w:rPr>
                <w:rFonts w:ascii="Times New Roman"/>
                <w:sz w:val="20"/>
              </w:rPr>
            </w:pPr>
          </w:p>
        </w:tc>
        <w:tc>
          <w:tcPr>
            <w:tcW w:w="2836" w:type="dxa"/>
          </w:tcPr>
          <w:p>
            <w:pPr>
              <w:pStyle w:val="TableParagraph"/>
              <w:rPr>
                <w:rFonts w:ascii="Times New Roman"/>
                <w:sz w:val="20"/>
              </w:rPr>
            </w:pPr>
          </w:p>
        </w:tc>
      </w:tr>
    </w:tbl>
    <w:p>
      <w:pPr>
        <w:spacing w:after="0"/>
        <w:rPr>
          <w:rFonts w:ascii="Times New Roman"/>
          <w:sz w:val="20"/>
        </w:rPr>
        <w:sectPr>
          <w:type w:val="continuous"/>
          <w:pgSz w:w="11910" w:h="16840"/>
          <w:pgMar w:top="780" w:bottom="2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33"/>
        <w:gridCol w:w="2857"/>
        <w:gridCol w:w="2836"/>
      </w:tblGrid>
      <w:tr>
        <w:trPr>
          <w:trHeight w:val="273" w:hRule="atLeast"/>
        </w:trPr>
        <w:tc>
          <w:tcPr>
            <w:tcW w:w="3133" w:type="dxa"/>
          </w:tcPr>
          <w:p>
            <w:pPr>
              <w:pStyle w:val="TableParagraph"/>
              <w:spacing w:line="250" w:lineRule="exact" w:before="3"/>
              <w:ind w:left="1383" w:right="1279"/>
              <w:jc w:val="center"/>
              <w:rPr>
                <w:sz w:val="21"/>
              </w:rPr>
            </w:pPr>
            <w:r>
              <w:rPr>
                <w:sz w:val="21"/>
              </w:rPr>
              <w:t>合计 </w:t>
            </w:r>
          </w:p>
        </w:tc>
        <w:tc>
          <w:tcPr>
            <w:tcW w:w="2857" w:type="dxa"/>
          </w:tcPr>
          <w:p>
            <w:pPr>
              <w:pStyle w:val="TableParagraph"/>
              <w:spacing w:before="10"/>
              <w:ind w:right="102"/>
              <w:jc w:val="right"/>
              <w:rPr>
                <w:rFonts w:ascii="Times New Roman"/>
                <w:sz w:val="21"/>
              </w:rPr>
            </w:pPr>
            <w:r>
              <w:rPr>
                <w:rFonts w:ascii="Times New Roman"/>
                <w:sz w:val="21"/>
              </w:rPr>
              <w:t>1,879,113</w:t>
            </w:r>
          </w:p>
        </w:tc>
        <w:tc>
          <w:tcPr>
            <w:tcW w:w="2836" w:type="dxa"/>
          </w:tcPr>
          <w:p>
            <w:pPr>
              <w:pStyle w:val="TableParagraph"/>
              <w:spacing w:before="10"/>
              <w:ind w:left="1883"/>
              <w:rPr>
                <w:rFonts w:ascii="Times New Roman"/>
                <w:sz w:val="21"/>
              </w:rPr>
            </w:pPr>
            <w:r>
              <w:rPr>
                <w:rFonts w:ascii="Times New Roman"/>
                <w:sz w:val="21"/>
              </w:rPr>
              <w:t>2,293,010</w:t>
            </w:r>
          </w:p>
        </w:tc>
      </w:tr>
    </w:tbl>
    <w:p>
      <w:pPr>
        <w:spacing w:after="0"/>
        <w:rPr>
          <w:rFonts w:ascii="Times New Roman"/>
          <w:sz w:val="21"/>
        </w:rPr>
        <w:sectPr>
          <w:pgSz w:w="11910" w:h="16840"/>
          <w:pgMar w:header="882" w:footer="1184" w:top="1120" w:bottom="1380" w:left="1480" w:right="0"/>
        </w:sectPr>
      </w:pPr>
    </w:p>
    <w:p>
      <w:pPr>
        <w:pStyle w:val="BodyText"/>
        <w:spacing w:before="1"/>
      </w:pPr>
      <w:r>
        <w:rPr>
          <w:w w:val="100"/>
        </w:rPr>
        <w:t> </w:t>
      </w:r>
    </w:p>
    <w:p>
      <w:pPr>
        <w:pStyle w:val="BodyText"/>
        <w:spacing w:before="64"/>
      </w:pPr>
      <w:r>
        <w:rPr/>
        <w:t>(2).会计利润与所得税费用调整过程 </w:t>
      </w:r>
    </w:p>
    <w:p>
      <w:pPr>
        <w:pStyle w:val="BodyText"/>
        <w:spacing w:before="6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71"/>
      </w:pPr>
      <w:r>
        <w:rPr>
          <w:spacing w:val="7"/>
        </w:rPr>
        <w:t>单位：千元 币种：人民币</w:t>
      </w:r>
      <w:r>
        <w:rPr/>
        <w:t> </w:t>
      </w:r>
    </w:p>
    <w:p>
      <w:pPr>
        <w:spacing w:after="0"/>
        <w:sectPr>
          <w:type w:val="continuous"/>
          <w:pgSz w:w="11910" w:h="16840"/>
          <w:pgMar w:top="780" w:bottom="280" w:left="1480" w:right="0"/>
          <w:cols w:num="2" w:equalWidth="0">
            <w:col w:w="3844" w:space="2467"/>
            <w:col w:w="4119"/>
          </w:cols>
        </w:sectPr>
      </w:pPr>
    </w:p>
    <w:tbl>
      <w:tblPr>
        <w:tblW w:w="0" w:type="auto"/>
        <w:jc w:val="left"/>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8"/>
        <w:gridCol w:w="4554"/>
      </w:tblGrid>
      <w:tr>
        <w:trPr>
          <w:trHeight w:val="273" w:hRule="atLeast"/>
        </w:trPr>
        <w:tc>
          <w:tcPr>
            <w:tcW w:w="4268" w:type="dxa"/>
          </w:tcPr>
          <w:p>
            <w:pPr>
              <w:pStyle w:val="TableParagraph"/>
              <w:spacing w:line="252" w:lineRule="exact" w:before="1"/>
              <w:ind w:left="1957" w:right="1840"/>
              <w:jc w:val="center"/>
              <w:rPr>
                <w:sz w:val="21"/>
              </w:rPr>
            </w:pPr>
            <w:r>
              <w:rPr>
                <w:sz w:val="21"/>
              </w:rPr>
              <w:t>项目 </w:t>
            </w:r>
          </w:p>
        </w:tc>
        <w:tc>
          <w:tcPr>
            <w:tcW w:w="4554" w:type="dxa"/>
          </w:tcPr>
          <w:p>
            <w:pPr>
              <w:pStyle w:val="TableParagraph"/>
              <w:spacing w:line="252" w:lineRule="exact" w:before="1"/>
              <w:ind w:left="1785" w:right="1668"/>
              <w:jc w:val="center"/>
              <w:rPr>
                <w:sz w:val="21"/>
              </w:rPr>
            </w:pPr>
            <w:r>
              <w:rPr>
                <w:sz w:val="21"/>
              </w:rPr>
              <w:t>本期发生额 </w:t>
            </w:r>
          </w:p>
        </w:tc>
      </w:tr>
      <w:tr>
        <w:trPr>
          <w:trHeight w:val="270" w:hRule="atLeast"/>
        </w:trPr>
        <w:tc>
          <w:tcPr>
            <w:tcW w:w="4268" w:type="dxa"/>
          </w:tcPr>
          <w:p>
            <w:pPr>
              <w:pStyle w:val="TableParagraph"/>
              <w:spacing w:line="250" w:lineRule="exact" w:before="1"/>
              <w:ind w:left="114"/>
              <w:rPr>
                <w:sz w:val="21"/>
              </w:rPr>
            </w:pPr>
            <w:r>
              <w:rPr>
                <w:spacing w:val="-1"/>
                <w:sz w:val="21"/>
              </w:rPr>
              <w:t>利润总额</w:t>
            </w:r>
            <w:r>
              <w:rPr>
                <w:sz w:val="21"/>
              </w:rPr>
              <w:t> </w:t>
            </w:r>
          </w:p>
        </w:tc>
        <w:tc>
          <w:tcPr>
            <w:tcW w:w="4554" w:type="dxa"/>
            <w:tcBorders>
              <w:bottom w:val="single" w:sz="6" w:space="0" w:color="000000"/>
              <w:right w:val="single" w:sz="6" w:space="0" w:color="000000"/>
            </w:tcBorders>
          </w:tcPr>
          <w:p>
            <w:pPr>
              <w:pStyle w:val="TableParagraph"/>
              <w:spacing w:line="235" w:lineRule="exact"/>
              <w:ind w:right="94"/>
              <w:jc w:val="right"/>
              <w:rPr>
                <w:rFonts w:ascii="Times New Roman"/>
                <w:sz w:val="21"/>
              </w:rPr>
            </w:pPr>
            <w:r>
              <w:rPr>
                <w:rFonts w:ascii="Times New Roman"/>
                <w:sz w:val="21"/>
              </w:rPr>
              <w:t>21,963,002</w:t>
            </w:r>
          </w:p>
        </w:tc>
      </w:tr>
      <w:tr>
        <w:trPr>
          <w:trHeight w:val="272" w:hRule="atLeast"/>
        </w:trPr>
        <w:tc>
          <w:tcPr>
            <w:tcW w:w="4268" w:type="dxa"/>
          </w:tcPr>
          <w:p>
            <w:pPr>
              <w:pStyle w:val="TableParagraph"/>
              <w:spacing w:line="250" w:lineRule="exact" w:before="3"/>
              <w:ind w:left="114"/>
              <w:rPr>
                <w:sz w:val="21"/>
              </w:rPr>
            </w:pPr>
            <w:r>
              <w:rPr>
                <w:spacing w:val="-1"/>
                <w:sz w:val="21"/>
              </w:rPr>
              <w:t>按法定/适用税率计算的所得税费用</w:t>
            </w:r>
            <w:r>
              <w:rPr>
                <w:sz w:val="21"/>
              </w:rPr>
              <w:t> </w:t>
            </w:r>
          </w:p>
        </w:tc>
        <w:tc>
          <w:tcPr>
            <w:tcW w:w="4554" w:type="dxa"/>
            <w:tcBorders>
              <w:top w:val="single" w:sz="6" w:space="0" w:color="000000"/>
              <w:bottom w:val="single" w:sz="6" w:space="0" w:color="000000"/>
              <w:right w:val="single" w:sz="6" w:space="0" w:color="000000"/>
            </w:tcBorders>
          </w:tcPr>
          <w:p>
            <w:pPr>
              <w:pStyle w:val="TableParagraph"/>
              <w:spacing w:line="237" w:lineRule="exact"/>
              <w:ind w:right="94"/>
              <w:jc w:val="right"/>
              <w:rPr>
                <w:rFonts w:ascii="Times New Roman"/>
                <w:sz w:val="21"/>
              </w:rPr>
            </w:pPr>
            <w:r>
              <w:rPr>
                <w:rFonts w:ascii="Times New Roman"/>
                <w:sz w:val="21"/>
              </w:rPr>
              <w:t>5,490,751</w:t>
            </w:r>
          </w:p>
        </w:tc>
      </w:tr>
      <w:tr>
        <w:trPr>
          <w:trHeight w:val="484" w:hRule="atLeast"/>
        </w:trPr>
        <w:tc>
          <w:tcPr>
            <w:tcW w:w="4268" w:type="dxa"/>
          </w:tcPr>
          <w:p>
            <w:pPr>
              <w:pStyle w:val="TableParagraph"/>
              <w:spacing w:before="1"/>
              <w:ind w:left="114"/>
              <w:rPr>
                <w:sz w:val="21"/>
              </w:rPr>
            </w:pPr>
            <w:r>
              <w:rPr>
                <w:spacing w:val="-1"/>
                <w:sz w:val="21"/>
              </w:rPr>
              <w:t>子公司适用不同税率的影响 </w:t>
            </w:r>
          </w:p>
        </w:tc>
        <w:tc>
          <w:tcPr>
            <w:tcW w:w="4554" w:type="dxa"/>
            <w:tcBorders>
              <w:top w:val="single" w:sz="6" w:space="0" w:color="000000"/>
              <w:bottom w:val="single" w:sz="6" w:space="0" w:color="000000"/>
              <w:right w:val="single" w:sz="6" w:space="0" w:color="000000"/>
            </w:tcBorders>
          </w:tcPr>
          <w:p>
            <w:pPr>
              <w:pStyle w:val="TableParagraph"/>
              <w:spacing w:line="235" w:lineRule="exact"/>
              <w:ind w:right="94"/>
              <w:jc w:val="right"/>
              <w:rPr>
                <w:rFonts w:ascii="Times New Roman"/>
                <w:sz w:val="21"/>
              </w:rPr>
            </w:pPr>
            <w:r>
              <w:rPr>
                <w:rFonts w:ascii="Times New Roman"/>
                <w:sz w:val="21"/>
              </w:rPr>
              <w:t>-2,385,048</w:t>
            </w:r>
          </w:p>
        </w:tc>
      </w:tr>
      <w:tr>
        <w:trPr>
          <w:trHeight w:val="270" w:hRule="atLeast"/>
        </w:trPr>
        <w:tc>
          <w:tcPr>
            <w:tcW w:w="4268" w:type="dxa"/>
          </w:tcPr>
          <w:p>
            <w:pPr>
              <w:pStyle w:val="TableParagraph"/>
              <w:spacing w:line="250" w:lineRule="exact" w:before="1"/>
              <w:ind w:left="114"/>
              <w:rPr>
                <w:sz w:val="21"/>
              </w:rPr>
            </w:pPr>
            <w:r>
              <w:rPr>
                <w:spacing w:val="-1"/>
                <w:sz w:val="21"/>
              </w:rPr>
              <w:t>调整以前期间所得税的影响 </w:t>
            </w:r>
          </w:p>
        </w:tc>
        <w:tc>
          <w:tcPr>
            <w:tcW w:w="4554" w:type="dxa"/>
            <w:tcBorders>
              <w:top w:val="single" w:sz="6" w:space="0" w:color="000000"/>
              <w:bottom w:val="single" w:sz="6" w:space="0" w:color="000000"/>
              <w:right w:val="single" w:sz="6" w:space="0" w:color="000000"/>
            </w:tcBorders>
          </w:tcPr>
          <w:p>
            <w:pPr>
              <w:pStyle w:val="TableParagraph"/>
              <w:rPr>
                <w:rFonts w:ascii="Times New Roman"/>
                <w:sz w:val="20"/>
              </w:rPr>
            </w:pPr>
          </w:p>
        </w:tc>
      </w:tr>
      <w:tr>
        <w:trPr>
          <w:trHeight w:val="272" w:hRule="atLeast"/>
        </w:trPr>
        <w:tc>
          <w:tcPr>
            <w:tcW w:w="4268" w:type="dxa"/>
          </w:tcPr>
          <w:p>
            <w:pPr>
              <w:pStyle w:val="TableParagraph"/>
              <w:spacing w:line="250" w:lineRule="exact" w:before="3"/>
              <w:ind w:left="114"/>
              <w:rPr>
                <w:sz w:val="21"/>
              </w:rPr>
            </w:pPr>
            <w:r>
              <w:rPr>
                <w:spacing w:val="-1"/>
                <w:sz w:val="21"/>
              </w:rPr>
              <w:t>非应税收入的影响</w:t>
            </w:r>
            <w:r>
              <w:rPr>
                <w:sz w:val="21"/>
              </w:rPr>
              <w:t> </w:t>
            </w:r>
          </w:p>
        </w:tc>
        <w:tc>
          <w:tcPr>
            <w:tcW w:w="4554" w:type="dxa"/>
            <w:tcBorders>
              <w:top w:val="single" w:sz="6" w:space="0" w:color="000000"/>
              <w:bottom w:val="single" w:sz="6" w:space="0" w:color="000000"/>
              <w:right w:val="single" w:sz="6" w:space="0" w:color="000000"/>
            </w:tcBorders>
          </w:tcPr>
          <w:p>
            <w:pPr>
              <w:pStyle w:val="TableParagraph"/>
              <w:rPr>
                <w:rFonts w:ascii="Times New Roman"/>
                <w:sz w:val="20"/>
              </w:rPr>
            </w:pPr>
          </w:p>
        </w:tc>
      </w:tr>
      <w:tr>
        <w:trPr>
          <w:trHeight w:val="272" w:hRule="atLeast"/>
        </w:trPr>
        <w:tc>
          <w:tcPr>
            <w:tcW w:w="4268" w:type="dxa"/>
          </w:tcPr>
          <w:p>
            <w:pPr>
              <w:pStyle w:val="TableParagraph"/>
              <w:spacing w:line="252" w:lineRule="exact" w:before="1"/>
              <w:ind w:left="114"/>
              <w:rPr>
                <w:sz w:val="21"/>
              </w:rPr>
            </w:pPr>
            <w:r>
              <w:rPr>
                <w:spacing w:val="-1"/>
                <w:sz w:val="21"/>
              </w:rPr>
              <w:t>不可抵扣的成本、费用和损失的影响</w:t>
            </w:r>
            <w:r>
              <w:rPr>
                <w:sz w:val="21"/>
              </w:rPr>
              <w:t> </w:t>
            </w:r>
          </w:p>
        </w:tc>
        <w:tc>
          <w:tcPr>
            <w:tcW w:w="4554" w:type="dxa"/>
            <w:tcBorders>
              <w:top w:val="single" w:sz="6" w:space="0" w:color="000000"/>
              <w:bottom w:val="single" w:sz="6" w:space="0" w:color="000000"/>
              <w:right w:val="single" w:sz="6" w:space="0" w:color="000000"/>
            </w:tcBorders>
          </w:tcPr>
          <w:p>
            <w:pPr>
              <w:pStyle w:val="TableParagraph"/>
              <w:spacing w:line="235" w:lineRule="exact"/>
              <w:ind w:right="94"/>
              <w:jc w:val="right"/>
              <w:rPr>
                <w:rFonts w:ascii="Times New Roman"/>
                <w:sz w:val="21"/>
              </w:rPr>
            </w:pPr>
            <w:r>
              <w:rPr>
                <w:rFonts w:ascii="Times New Roman"/>
                <w:sz w:val="21"/>
              </w:rPr>
              <w:t>56,487</w:t>
            </w:r>
          </w:p>
        </w:tc>
      </w:tr>
      <w:tr>
        <w:trPr>
          <w:trHeight w:val="544" w:hRule="atLeast"/>
        </w:trPr>
        <w:tc>
          <w:tcPr>
            <w:tcW w:w="4268" w:type="dxa"/>
          </w:tcPr>
          <w:p>
            <w:pPr>
              <w:pStyle w:val="TableParagraph"/>
              <w:spacing w:before="1"/>
              <w:ind w:left="114"/>
              <w:rPr>
                <w:sz w:val="21"/>
              </w:rPr>
            </w:pPr>
            <w:r>
              <w:rPr>
                <w:spacing w:val="-1"/>
                <w:sz w:val="21"/>
              </w:rPr>
              <w:t>使用前期未确认递延所得税资产的可抵扣亏</w:t>
            </w:r>
          </w:p>
          <w:p>
            <w:pPr>
              <w:pStyle w:val="TableParagraph"/>
              <w:spacing w:line="250" w:lineRule="exact" w:before="5"/>
              <w:ind w:left="114"/>
              <w:rPr>
                <w:sz w:val="21"/>
              </w:rPr>
            </w:pPr>
            <w:r>
              <w:rPr>
                <w:spacing w:val="-1"/>
                <w:sz w:val="21"/>
              </w:rPr>
              <w:t>损的影响</w:t>
            </w:r>
            <w:r>
              <w:rPr>
                <w:sz w:val="21"/>
              </w:rPr>
              <w:t> </w:t>
            </w:r>
          </w:p>
        </w:tc>
        <w:tc>
          <w:tcPr>
            <w:tcW w:w="4554" w:type="dxa"/>
            <w:tcBorders>
              <w:top w:val="single" w:sz="6" w:space="0" w:color="000000"/>
              <w:bottom w:val="single" w:sz="6" w:space="0" w:color="000000"/>
              <w:right w:val="single" w:sz="6" w:space="0" w:color="000000"/>
            </w:tcBorders>
          </w:tcPr>
          <w:p>
            <w:pPr>
              <w:pStyle w:val="TableParagraph"/>
              <w:rPr>
                <w:rFonts w:ascii="Times New Roman"/>
                <w:sz w:val="20"/>
              </w:rPr>
            </w:pPr>
          </w:p>
        </w:tc>
      </w:tr>
      <w:tr>
        <w:trPr>
          <w:trHeight w:val="544" w:hRule="atLeast"/>
        </w:trPr>
        <w:tc>
          <w:tcPr>
            <w:tcW w:w="4268" w:type="dxa"/>
          </w:tcPr>
          <w:p>
            <w:pPr>
              <w:pStyle w:val="TableParagraph"/>
              <w:spacing w:before="1"/>
              <w:ind w:left="114"/>
              <w:rPr>
                <w:sz w:val="21"/>
              </w:rPr>
            </w:pPr>
            <w:r>
              <w:rPr>
                <w:spacing w:val="-1"/>
                <w:sz w:val="21"/>
              </w:rPr>
              <w:t>本期未确认递延所得税资产的可抵扣暂时性</w:t>
            </w:r>
          </w:p>
          <w:p>
            <w:pPr>
              <w:pStyle w:val="TableParagraph"/>
              <w:spacing w:line="250" w:lineRule="exact" w:before="4"/>
              <w:ind w:left="114"/>
              <w:rPr>
                <w:sz w:val="21"/>
              </w:rPr>
            </w:pPr>
            <w:r>
              <w:rPr>
                <w:spacing w:val="-1"/>
                <w:sz w:val="21"/>
              </w:rPr>
              <w:t>差异或可抵扣亏损的影响</w:t>
            </w:r>
            <w:r>
              <w:rPr>
                <w:sz w:val="21"/>
              </w:rPr>
              <w:t> </w:t>
            </w:r>
          </w:p>
        </w:tc>
        <w:tc>
          <w:tcPr>
            <w:tcW w:w="4554" w:type="dxa"/>
            <w:tcBorders>
              <w:top w:val="single" w:sz="6" w:space="0" w:color="000000"/>
              <w:bottom w:val="single" w:sz="6" w:space="0" w:color="000000"/>
              <w:right w:val="single" w:sz="6" w:space="0" w:color="000000"/>
            </w:tcBorders>
          </w:tcPr>
          <w:p>
            <w:pPr>
              <w:pStyle w:val="TableParagraph"/>
              <w:spacing w:line="235" w:lineRule="exact"/>
              <w:ind w:right="94"/>
              <w:jc w:val="right"/>
              <w:rPr>
                <w:rFonts w:ascii="Times New Roman"/>
                <w:sz w:val="21"/>
              </w:rPr>
            </w:pPr>
            <w:r>
              <w:rPr>
                <w:rFonts w:ascii="Times New Roman"/>
                <w:sz w:val="21"/>
              </w:rPr>
              <w:t>123,364</w:t>
            </w:r>
          </w:p>
        </w:tc>
      </w:tr>
      <w:tr>
        <w:trPr>
          <w:trHeight w:val="272" w:hRule="atLeast"/>
        </w:trPr>
        <w:tc>
          <w:tcPr>
            <w:tcW w:w="4268" w:type="dxa"/>
            <w:tcBorders>
              <w:left w:val="single" w:sz="6" w:space="0" w:color="000000"/>
              <w:bottom w:val="single" w:sz="6" w:space="0" w:color="000000"/>
              <w:right w:val="single" w:sz="6" w:space="0" w:color="000000"/>
            </w:tcBorders>
          </w:tcPr>
          <w:p>
            <w:pPr>
              <w:pStyle w:val="TableParagraph"/>
              <w:spacing w:line="252" w:lineRule="exact" w:before="1"/>
              <w:ind w:left="112"/>
              <w:rPr>
                <w:sz w:val="21"/>
              </w:rPr>
            </w:pPr>
            <w:r>
              <w:rPr>
                <w:spacing w:val="-1"/>
                <w:sz w:val="21"/>
              </w:rPr>
              <w:t>研发费用加计扣除</w:t>
            </w:r>
            <w:r>
              <w:rPr>
                <w:sz w:val="21"/>
              </w:rPr>
              <w:t> </w:t>
            </w:r>
          </w:p>
        </w:tc>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4"/>
              <w:jc w:val="right"/>
              <w:rPr>
                <w:rFonts w:ascii="Times New Roman"/>
                <w:sz w:val="21"/>
              </w:rPr>
            </w:pPr>
            <w:r>
              <w:rPr>
                <w:rFonts w:ascii="Times New Roman"/>
                <w:sz w:val="21"/>
              </w:rPr>
              <w:t>-1,033,760</w:t>
            </w:r>
          </w:p>
        </w:tc>
      </w:tr>
      <w:tr>
        <w:trPr>
          <w:trHeight w:val="272" w:hRule="atLeast"/>
        </w:trPr>
        <w:tc>
          <w:tcPr>
            <w:tcW w:w="4268"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left="112"/>
              <w:rPr>
                <w:sz w:val="21"/>
              </w:rPr>
            </w:pPr>
            <w:r>
              <w:rPr>
                <w:spacing w:val="-1"/>
                <w:sz w:val="21"/>
              </w:rPr>
              <w:t>设备购置加计扣除</w:t>
            </w:r>
            <w:r>
              <w:rPr>
                <w:sz w:val="21"/>
              </w:rPr>
              <w:t> </w:t>
            </w:r>
          </w:p>
        </w:tc>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6"/>
              <w:jc w:val="right"/>
              <w:rPr>
                <w:rFonts w:ascii="Times New Roman"/>
                <w:sz w:val="21"/>
              </w:rPr>
            </w:pPr>
            <w:r>
              <w:rPr>
                <w:rFonts w:ascii="Times New Roman"/>
                <w:sz w:val="21"/>
              </w:rPr>
              <w:t>-356,481</w:t>
            </w:r>
          </w:p>
        </w:tc>
      </w:tr>
      <w:tr>
        <w:trPr>
          <w:trHeight w:val="270" w:hRule="atLeast"/>
        </w:trPr>
        <w:tc>
          <w:tcPr>
            <w:tcW w:w="4268"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left="112"/>
              <w:rPr>
                <w:sz w:val="21"/>
              </w:rPr>
            </w:pPr>
            <w:r>
              <w:rPr>
                <w:spacing w:val="-1"/>
                <w:sz w:val="21"/>
              </w:rPr>
              <w:t>残疾人员费用加计扣除</w:t>
            </w:r>
            <w:r>
              <w:rPr>
                <w:sz w:val="21"/>
              </w:rPr>
              <w:t> </w:t>
            </w:r>
          </w:p>
        </w:tc>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96"/>
              <w:jc w:val="right"/>
              <w:rPr>
                <w:rFonts w:ascii="Times New Roman"/>
                <w:sz w:val="21"/>
              </w:rPr>
            </w:pPr>
            <w:r>
              <w:rPr>
                <w:rFonts w:ascii="Times New Roman"/>
                <w:sz w:val="21"/>
              </w:rPr>
              <w:t>-13,470</w:t>
            </w:r>
          </w:p>
        </w:tc>
      </w:tr>
      <w:tr>
        <w:trPr>
          <w:trHeight w:val="272" w:hRule="atLeast"/>
        </w:trPr>
        <w:tc>
          <w:tcPr>
            <w:tcW w:w="4268"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left="112"/>
              <w:rPr>
                <w:sz w:val="21"/>
              </w:rPr>
            </w:pPr>
            <w:r>
              <w:rPr>
                <w:spacing w:val="-1"/>
                <w:sz w:val="21"/>
              </w:rPr>
              <w:t>其他所得税汇算清缴差异</w:t>
            </w:r>
            <w:r>
              <w:rPr>
                <w:sz w:val="21"/>
              </w:rPr>
              <w:t> </w:t>
            </w:r>
          </w:p>
        </w:tc>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right="96"/>
              <w:jc w:val="right"/>
              <w:rPr>
                <w:rFonts w:ascii="Times New Roman"/>
                <w:sz w:val="21"/>
              </w:rPr>
            </w:pPr>
            <w:r>
              <w:rPr>
                <w:rFonts w:ascii="Times New Roman"/>
                <w:sz w:val="21"/>
              </w:rPr>
              <w:t>-2,730</w:t>
            </w:r>
          </w:p>
        </w:tc>
      </w:tr>
      <w:tr>
        <w:trPr>
          <w:trHeight w:val="273" w:hRule="atLeast"/>
        </w:trPr>
        <w:tc>
          <w:tcPr>
            <w:tcW w:w="4268" w:type="dxa"/>
            <w:tcBorders>
              <w:top w:val="single" w:sz="6" w:space="0" w:color="000000"/>
            </w:tcBorders>
          </w:tcPr>
          <w:p>
            <w:pPr>
              <w:pStyle w:val="TableParagraph"/>
              <w:spacing w:line="252" w:lineRule="exact" w:before="1"/>
              <w:ind w:left="114"/>
              <w:rPr>
                <w:sz w:val="21"/>
              </w:rPr>
            </w:pPr>
            <w:r>
              <w:rPr>
                <w:sz w:val="21"/>
              </w:rPr>
              <w:t>所得税费用 </w:t>
            </w:r>
          </w:p>
        </w:tc>
        <w:tc>
          <w:tcPr>
            <w:tcW w:w="4554" w:type="dxa"/>
            <w:tcBorders>
              <w:top w:val="single" w:sz="6" w:space="0" w:color="000000"/>
              <w:bottom w:val="single" w:sz="6" w:space="0" w:color="000000"/>
              <w:right w:val="single" w:sz="6" w:space="0" w:color="000000"/>
            </w:tcBorders>
          </w:tcPr>
          <w:p>
            <w:pPr>
              <w:pStyle w:val="TableParagraph"/>
              <w:spacing w:line="235" w:lineRule="exact"/>
              <w:ind w:right="94"/>
              <w:jc w:val="right"/>
              <w:rPr>
                <w:rFonts w:ascii="Times New Roman"/>
                <w:sz w:val="21"/>
              </w:rPr>
            </w:pPr>
            <w:r>
              <w:rPr>
                <w:rFonts w:ascii="Times New Roman"/>
                <w:sz w:val="21"/>
              </w:rPr>
              <w:t>1,879,113</w:t>
            </w:r>
          </w:p>
        </w:tc>
      </w:tr>
    </w:tbl>
    <w:p>
      <w:pPr>
        <w:spacing w:after="0" w:line="235" w:lineRule="exact"/>
        <w:jc w:val="right"/>
        <w:rPr>
          <w:rFonts w:ascii="Times New Roman"/>
          <w:sz w:val="21"/>
        </w:rPr>
        <w:sectPr>
          <w:type w:val="continuous"/>
          <w:pgSz w:w="11910" w:h="16840"/>
          <w:pgMar w:top="780" w:bottom="280" w:left="1480" w:right="0"/>
        </w:sectPr>
      </w:pPr>
    </w:p>
    <w:p>
      <w:pPr>
        <w:pStyle w:val="BodyText"/>
        <w:spacing w:before="1"/>
      </w:pPr>
      <w:r>
        <w:rPr>
          <w:w w:val="100"/>
        </w:rPr>
        <w:t> </w:t>
      </w:r>
    </w:p>
    <w:p>
      <w:pPr>
        <w:pStyle w:val="BodyText"/>
        <w:spacing w:before="64"/>
      </w:pPr>
      <w:r>
        <w:rPr/>
        <w:t>其他说明： </w:t>
      </w:r>
    </w:p>
    <w:p>
      <w:pPr>
        <w:pStyle w:val="BodyText"/>
        <w:spacing w:before="63"/>
      </w:pPr>
      <w:r>
        <w:rPr>
          <w:spacing w:val="-1"/>
        </w:rPr>
        <w:t>□适用 √不适用</w:t>
      </w:r>
      <w:r>
        <w:rPr>
          <w:spacing w:val="-3"/>
        </w:rPr>
        <w:t> </w:t>
      </w:r>
      <w:r>
        <w:rPr/>
        <w:t> </w:t>
      </w:r>
    </w:p>
    <w:p>
      <w:pPr>
        <w:pStyle w:val="BodyText"/>
        <w:spacing w:before="65"/>
      </w:pPr>
      <w:r>
        <w:rPr>
          <w:w w:val="100"/>
        </w:rPr>
        <w:t> </w:t>
      </w:r>
    </w:p>
    <w:p>
      <w:pPr>
        <w:pStyle w:val="BodyText"/>
        <w:spacing w:before="62"/>
      </w:pPr>
      <w:r>
        <w:rPr/>
        <w:t>77</w:t>
      </w:r>
      <w:r>
        <w:rPr>
          <w:spacing w:val="-5"/>
        </w:rPr>
        <w:t>、 其他综合收益</w:t>
      </w:r>
      <w:r>
        <w:rPr/>
        <w:t> </w:t>
      </w:r>
    </w:p>
    <w:p>
      <w:pPr>
        <w:pStyle w:val="BodyText"/>
        <w:spacing w:line="244" w:lineRule="auto" w:before="62"/>
        <w:ind w:right="1946"/>
      </w:pPr>
      <w:r>
        <w:rPr/>
        <w:t>√适用 □不适用详见附注 </w:t>
      </w:r>
    </w:p>
    <w:p>
      <w:pPr>
        <w:pStyle w:val="BodyText"/>
        <w:spacing w:line="265" w:lineRule="exact"/>
      </w:pPr>
      <w:r>
        <w:rPr>
          <w:w w:val="100"/>
        </w:rPr>
        <w:t> </w:t>
      </w:r>
    </w:p>
    <w:p>
      <w:pPr>
        <w:pStyle w:val="BodyText"/>
        <w:spacing w:before="4"/>
      </w:pPr>
      <w:r>
        <w:rPr>
          <w:w w:val="100"/>
        </w:rPr>
        <w:t> </w:t>
      </w:r>
    </w:p>
    <w:p>
      <w:pPr>
        <w:pStyle w:val="BodyText"/>
        <w:spacing w:before="62"/>
      </w:pPr>
      <w:r>
        <w:rPr/>
        <w:t>78</w:t>
      </w:r>
      <w:r>
        <w:rPr>
          <w:spacing w:val="-5"/>
        </w:rPr>
        <w:t>、 现金流量表项目</w:t>
      </w:r>
      <w:r>
        <w:rPr/>
        <w:t> </w:t>
      </w:r>
    </w:p>
    <w:p>
      <w:pPr>
        <w:pStyle w:val="ListParagraph"/>
        <w:numPr>
          <w:ilvl w:val="0"/>
          <w:numId w:val="79"/>
        </w:numPr>
        <w:tabs>
          <w:tab w:pos="746" w:val="left" w:leader="none"/>
        </w:tabs>
        <w:spacing w:line="240" w:lineRule="auto" w:before="65" w:after="0"/>
        <w:ind w:left="745" w:right="0" w:hanging="428"/>
        <w:jc w:val="left"/>
        <w:rPr>
          <w:sz w:val="21"/>
        </w:rPr>
      </w:pPr>
      <w:r>
        <w:rPr>
          <w:sz w:val="21"/>
        </w:rPr>
        <w:t>收到的其他与经营活动有关的现金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63"/>
      </w:pPr>
      <w:r>
        <w:rPr>
          <w:spacing w:val="7"/>
        </w:rPr>
        <w:t>单位：千元 币种：人民币</w:t>
      </w:r>
      <w:r>
        <w:rPr/>
        <w:t> </w:t>
      </w:r>
    </w:p>
    <w:p>
      <w:pPr>
        <w:spacing w:after="0"/>
        <w:sectPr>
          <w:type w:val="continuous"/>
          <w:pgSz w:w="11910" w:h="16840"/>
          <w:pgMar w:top="780" w:bottom="280" w:left="1480" w:right="0"/>
          <w:cols w:num="2" w:equalWidth="0">
            <w:col w:w="4053" w:space="2258"/>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755"/>
        <w:gridCol w:w="2746"/>
      </w:tblGrid>
      <w:tr>
        <w:trPr>
          <w:trHeight w:val="273" w:hRule="atLeast"/>
        </w:trPr>
        <w:tc>
          <w:tcPr>
            <w:tcW w:w="3322" w:type="dxa"/>
          </w:tcPr>
          <w:p>
            <w:pPr>
              <w:pStyle w:val="TableParagraph"/>
              <w:spacing w:line="252" w:lineRule="exact" w:before="1"/>
              <w:ind w:right="1335"/>
              <w:jc w:val="right"/>
              <w:rPr>
                <w:sz w:val="21"/>
              </w:rPr>
            </w:pPr>
            <w:r>
              <w:rPr>
                <w:sz w:val="21"/>
              </w:rPr>
              <w:t>项目 </w:t>
            </w:r>
          </w:p>
        </w:tc>
        <w:tc>
          <w:tcPr>
            <w:tcW w:w="2755" w:type="dxa"/>
          </w:tcPr>
          <w:p>
            <w:pPr>
              <w:pStyle w:val="TableParagraph"/>
              <w:spacing w:line="252" w:lineRule="exact" w:before="1"/>
              <w:ind w:left="851"/>
              <w:rPr>
                <w:sz w:val="21"/>
              </w:rPr>
            </w:pPr>
            <w:r>
              <w:rPr>
                <w:sz w:val="21"/>
              </w:rPr>
              <w:t>本期发生额 </w:t>
            </w:r>
          </w:p>
        </w:tc>
        <w:tc>
          <w:tcPr>
            <w:tcW w:w="2746" w:type="dxa"/>
          </w:tcPr>
          <w:p>
            <w:pPr>
              <w:pStyle w:val="TableParagraph"/>
              <w:spacing w:line="252" w:lineRule="exact" w:before="1"/>
              <w:ind w:left="847"/>
              <w:rPr>
                <w:sz w:val="21"/>
              </w:rPr>
            </w:pPr>
            <w:r>
              <w:rPr>
                <w:sz w:val="21"/>
              </w:rPr>
              <w:t>上期发生额 </w:t>
            </w:r>
          </w:p>
        </w:tc>
      </w:tr>
      <w:tr>
        <w:trPr>
          <w:trHeight w:val="273" w:hRule="atLeast"/>
        </w:trPr>
        <w:tc>
          <w:tcPr>
            <w:tcW w:w="3322" w:type="dxa"/>
          </w:tcPr>
          <w:p>
            <w:pPr>
              <w:pStyle w:val="TableParagraph"/>
              <w:spacing w:line="252" w:lineRule="exact" w:before="1"/>
              <w:ind w:left="112"/>
              <w:rPr>
                <w:sz w:val="21"/>
              </w:rPr>
            </w:pPr>
            <w:r>
              <w:rPr>
                <w:spacing w:val="-1"/>
                <w:sz w:val="21"/>
              </w:rPr>
              <w:t>收到保证金、押金</w:t>
            </w:r>
            <w:r>
              <w:rPr>
                <w:sz w:val="21"/>
              </w:rPr>
              <w:t> </w:t>
            </w:r>
          </w:p>
        </w:tc>
        <w:tc>
          <w:tcPr>
            <w:tcW w:w="2755" w:type="dxa"/>
          </w:tcPr>
          <w:p>
            <w:pPr>
              <w:pStyle w:val="TableParagraph"/>
              <w:spacing w:line="229" w:lineRule="exact" w:before="24"/>
              <w:ind w:right="97"/>
              <w:jc w:val="right"/>
              <w:rPr>
                <w:rFonts w:ascii="Times New Roman"/>
                <w:sz w:val="21"/>
              </w:rPr>
            </w:pPr>
            <w:r>
              <w:rPr>
                <w:rFonts w:ascii="Times New Roman"/>
                <w:sz w:val="21"/>
              </w:rPr>
              <w:t>6,466,682</w:t>
            </w:r>
          </w:p>
        </w:tc>
        <w:tc>
          <w:tcPr>
            <w:tcW w:w="2746" w:type="dxa"/>
          </w:tcPr>
          <w:p>
            <w:pPr>
              <w:pStyle w:val="TableParagraph"/>
              <w:spacing w:line="235" w:lineRule="exact"/>
              <w:ind w:right="97"/>
              <w:jc w:val="right"/>
              <w:rPr>
                <w:rFonts w:ascii="Times New Roman"/>
                <w:sz w:val="21"/>
              </w:rPr>
            </w:pPr>
            <w:r>
              <w:rPr>
                <w:rFonts w:ascii="Times New Roman"/>
                <w:sz w:val="21"/>
              </w:rPr>
              <w:t>2,955,523</w:t>
            </w:r>
          </w:p>
        </w:tc>
      </w:tr>
      <w:tr>
        <w:trPr>
          <w:trHeight w:val="271" w:hRule="atLeast"/>
        </w:trPr>
        <w:tc>
          <w:tcPr>
            <w:tcW w:w="3322" w:type="dxa"/>
          </w:tcPr>
          <w:p>
            <w:pPr>
              <w:pStyle w:val="TableParagraph"/>
              <w:spacing w:line="250" w:lineRule="exact" w:before="1"/>
              <w:ind w:left="112"/>
              <w:rPr>
                <w:sz w:val="21"/>
              </w:rPr>
            </w:pPr>
            <w:r>
              <w:rPr>
                <w:spacing w:val="-1"/>
                <w:sz w:val="21"/>
              </w:rPr>
              <w:t>利息收入</w:t>
            </w:r>
            <w:r>
              <w:rPr>
                <w:sz w:val="21"/>
              </w:rPr>
              <w:t> </w:t>
            </w:r>
          </w:p>
        </w:tc>
        <w:tc>
          <w:tcPr>
            <w:tcW w:w="2755" w:type="dxa"/>
          </w:tcPr>
          <w:p>
            <w:pPr>
              <w:pStyle w:val="TableParagraph"/>
              <w:spacing w:line="226" w:lineRule="exact" w:before="25"/>
              <w:ind w:right="97"/>
              <w:jc w:val="right"/>
              <w:rPr>
                <w:rFonts w:ascii="Times New Roman"/>
                <w:sz w:val="21"/>
              </w:rPr>
            </w:pPr>
            <w:r>
              <w:rPr>
                <w:rFonts w:ascii="Times New Roman"/>
                <w:sz w:val="21"/>
              </w:rPr>
              <w:t>1,884,320</w:t>
            </w:r>
          </w:p>
        </w:tc>
        <w:tc>
          <w:tcPr>
            <w:tcW w:w="2746" w:type="dxa"/>
          </w:tcPr>
          <w:p>
            <w:pPr>
              <w:pStyle w:val="TableParagraph"/>
              <w:spacing w:line="235" w:lineRule="exact"/>
              <w:ind w:right="97"/>
              <w:jc w:val="right"/>
              <w:rPr>
                <w:rFonts w:ascii="Times New Roman"/>
                <w:sz w:val="21"/>
              </w:rPr>
            </w:pPr>
            <w:r>
              <w:rPr>
                <w:rFonts w:ascii="Times New Roman"/>
                <w:sz w:val="21"/>
              </w:rPr>
              <w:t>2,080,215</w:t>
            </w:r>
          </w:p>
        </w:tc>
      </w:tr>
      <w:tr>
        <w:trPr>
          <w:trHeight w:val="273" w:hRule="atLeast"/>
        </w:trPr>
        <w:tc>
          <w:tcPr>
            <w:tcW w:w="3322" w:type="dxa"/>
          </w:tcPr>
          <w:p>
            <w:pPr>
              <w:pStyle w:val="TableParagraph"/>
              <w:spacing w:line="252" w:lineRule="exact" w:before="1"/>
              <w:ind w:left="112"/>
              <w:rPr>
                <w:sz w:val="21"/>
              </w:rPr>
            </w:pPr>
            <w:r>
              <w:rPr>
                <w:sz w:val="21"/>
              </w:rPr>
              <w:t>收到补贴款 </w:t>
            </w:r>
          </w:p>
        </w:tc>
        <w:tc>
          <w:tcPr>
            <w:tcW w:w="2755" w:type="dxa"/>
          </w:tcPr>
          <w:p>
            <w:pPr>
              <w:pStyle w:val="TableParagraph"/>
              <w:spacing w:line="229" w:lineRule="exact" w:before="24"/>
              <w:ind w:right="97"/>
              <w:jc w:val="right"/>
              <w:rPr>
                <w:rFonts w:ascii="Times New Roman"/>
                <w:sz w:val="21"/>
              </w:rPr>
            </w:pPr>
            <w:r>
              <w:rPr>
                <w:rFonts w:ascii="Times New Roman"/>
                <w:sz w:val="21"/>
              </w:rPr>
              <w:t>1,019,406</w:t>
            </w:r>
          </w:p>
        </w:tc>
        <w:tc>
          <w:tcPr>
            <w:tcW w:w="2746" w:type="dxa"/>
          </w:tcPr>
          <w:p>
            <w:pPr>
              <w:pStyle w:val="TableParagraph"/>
              <w:spacing w:line="235" w:lineRule="exact"/>
              <w:ind w:right="97"/>
              <w:jc w:val="right"/>
              <w:rPr>
                <w:rFonts w:ascii="Times New Roman"/>
                <w:sz w:val="21"/>
              </w:rPr>
            </w:pPr>
            <w:r>
              <w:rPr>
                <w:rFonts w:ascii="Times New Roman"/>
                <w:sz w:val="21"/>
              </w:rPr>
              <w:t>1,401,696</w:t>
            </w:r>
          </w:p>
        </w:tc>
      </w:tr>
      <w:tr>
        <w:trPr>
          <w:trHeight w:val="273" w:hRule="atLeast"/>
        </w:trPr>
        <w:tc>
          <w:tcPr>
            <w:tcW w:w="3322" w:type="dxa"/>
          </w:tcPr>
          <w:p>
            <w:pPr>
              <w:pStyle w:val="TableParagraph"/>
              <w:spacing w:line="252" w:lineRule="exact" w:before="1"/>
              <w:ind w:left="112"/>
              <w:rPr>
                <w:sz w:val="21"/>
              </w:rPr>
            </w:pPr>
            <w:r>
              <w:rPr>
                <w:spacing w:val="-1"/>
                <w:sz w:val="21"/>
              </w:rPr>
              <w:t>保函保证金的收回</w:t>
            </w:r>
            <w:r>
              <w:rPr>
                <w:sz w:val="21"/>
              </w:rPr>
              <w:t> </w:t>
            </w:r>
          </w:p>
        </w:tc>
        <w:tc>
          <w:tcPr>
            <w:tcW w:w="2755" w:type="dxa"/>
          </w:tcPr>
          <w:p>
            <w:pPr>
              <w:pStyle w:val="TableParagraph"/>
              <w:spacing w:line="229" w:lineRule="exact" w:before="24"/>
              <w:ind w:right="97"/>
              <w:jc w:val="right"/>
              <w:rPr>
                <w:rFonts w:ascii="Times New Roman"/>
                <w:sz w:val="21"/>
              </w:rPr>
            </w:pPr>
            <w:r>
              <w:rPr>
                <w:rFonts w:ascii="Times New Roman"/>
                <w:sz w:val="21"/>
              </w:rPr>
              <w:t>166,197</w:t>
            </w:r>
          </w:p>
        </w:tc>
        <w:tc>
          <w:tcPr>
            <w:tcW w:w="2746" w:type="dxa"/>
          </w:tcPr>
          <w:p>
            <w:pPr>
              <w:pStyle w:val="TableParagraph"/>
              <w:spacing w:line="235" w:lineRule="exact"/>
              <w:ind w:right="97"/>
              <w:jc w:val="right"/>
              <w:rPr>
                <w:rFonts w:ascii="Times New Roman"/>
                <w:sz w:val="21"/>
              </w:rPr>
            </w:pPr>
            <w:r>
              <w:rPr>
                <w:rFonts w:ascii="Times New Roman"/>
                <w:sz w:val="21"/>
              </w:rPr>
              <w:t>61,960</w:t>
            </w:r>
          </w:p>
        </w:tc>
      </w:tr>
      <w:tr>
        <w:trPr>
          <w:trHeight w:val="270" w:hRule="atLeast"/>
        </w:trPr>
        <w:tc>
          <w:tcPr>
            <w:tcW w:w="3322" w:type="dxa"/>
          </w:tcPr>
          <w:p>
            <w:pPr>
              <w:pStyle w:val="TableParagraph"/>
              <w:spacing w:line="250" w:lineRule="exact" w:before="1"/>
              <w:ind w:left="112"/>
              <w:rPr>
                <w:sz w:val="21"/>
              </w:rPr>
            </w:pPr>
            <w:r>
              <w:rPr>
                <w:spacing w:val="-1"/>
                <w:sz w:val="21"/>
              </w:rPr>
              <w:t>赔偿收入</w:t>
            </w:r>
            <w:r>
              <w:rPr>
                <w:sz w:val="21"/>
              </w:rPr>
              <w:t> </w:t>
            </w:r>
          </w:p>
        </w:tc>
        <w:tc>
          <w:tcPr>
            <w:tcW w:w="2755" w:type="dxa"/>
          </w:tcPr>
          <w:p>
            <w:pPr>
              <w:pStyle w:val="TableParagraph"/>
              <w:spacing w:line="226" w:lineRule="exact" w:before="24"/>
              <w:ind w:right="97"/>
              <w:jc w:val="right"/>
              <w:rPr>
                <w:rFonts w:ascii="Times New Roman"/>
                <w:sz w:val="21"/>
              </w:rPr>
            </w:pPr>
            <w:r>
              <w:rPr>
                <w:rFonts w:ascii="Times New Roman"/>
                <w:sz w:val="21"/>
              </w:rPr>
              <w:t>68,170</w:t>
            </w:r>
          </w:p>
        </w:tc>
        <w:tc>
          <w:tcPr>
            <w:tcW w:w="2746" w:type="dxa"/>
          </w:tcPr>
          <w:p>
            <w:pPr>
              <w:pStyle w:val="TableParagraph"/>
              <w:spacing w:line="235" w:lineRule="exact"/>
              <w:ind w:right="97"/>
              <w:jc w:val="right"/>
              <w:rPr>
                <w:rFonts w:ascii="Times New Roman"/>
                <w:sz w:val="21"/>
              </w:rPr>
            </w:pPr>
            <w:r>
              <w:rPr>
                <w:rFonts w:ascii="Times New Roman"/>
                <w:sz w:val="21"/>
              </w:rPr>
              <w:t>33,197</w:t>
            </w:r>
          </w:p>
        </w:tc>
      </w:tr>
      <w:tr>
        <w:trPr>
          <w:trHeight w:val="273" w:hRule="atLeast"/>
        </w:trPr>
        <w:tc>
          <w:tcPr>
            <w:tcW w:w="3322" w:type="dxa"/>
          </w:tcPr>
          <w:p>
            <w:pPr>
              <w:pStyle w:val="TableParagraph"/>
              <w:spacing w:line="252" w:lineRule="exact" w:before="1"/>
              <w:ind w:left="112"/>
              <w:rPr>
                <w:sz w:val="21"/>
              </w:rPr>
            </w:pPr>
            <w:r>
              <w:rPr>
                <w:spacing w:val="-1"/>
                <w:sz w:val="21"/>
              </w:rPr>
              <w:t>套期合约收益</w:t>
            </w:r>
            <w:r>
              <w:rPr>
                <w:sz w:val="21"/>
              </w:rPr>
              <w:t> </w:t>
            </w:r>
          </w:p>
        </w:tc>
        <w:tc>
          <w:tcPr>
            <w:tcW w:w="2755" w:type="dxa"/>
          </w:tcPr>
          <w:p>
            <w:pPr>
              <w:pStyle w:val="TableParagraph"/>
              <w:spacing w:line="229" w:lineRule="exact" w:before="24"/>
              <w:ind w:right="97"/>
              <w:jc w:val="right"/>
              <w:rPr>
                <w:rFonts w:ascii="Times New Roman"/>
                <w:sz w:val="21"/>
              </w:rPr>
            </w:pPr>
            <w:r>
              <w:rPr>
                <w:rFonts w:ascii="Times New Roman"/>
                <w:sz w:val="21"/>
              </w:rPr>
              <w:t>7,134</w:t>
            </w:r>
          </w:p>
        </w:tc>
        <w:tc>
          <w:tcPr>
            <w:tcW w:w="2746" w:type="dxa"/>
          </w:tcPr>
          <w:p>
            <w:pPr>
              <w:pStyle w:val="TableParagraph"/>
              <w:spacing w:line="235" w:lineRule="exact"/>
              <w:ind w:right="97"/>
              <w:jc w:val="right"/>
              <w:rPr>
                <w:rFonts w:ascii="Times New Roman"/>
                <w:sz w:val="21"/>
              </w:rPr>
            </w:pPr>
            <w:r>
              <w:rPr>
                <w:rFonts w:ascii="Times New Roman"/>
                <w:sz w:val="21"/>
              </w:rPr>
              <w:t>565,425</w:t>
            </w:r>
          </w:p>
        </w:tc>
      </w:tr>
      <w:tr>
        <w:trPr>
          <w:trHeight w:val="270" w:hRule="atLeast"/>
        </w:trPr>
        <w:tc>
          <w:tcPr>
            <w:tcW w:w="3322" w:type="dxa"/>
          </w:tcPr>
          <w:p>
            <w:pPr>
              <w:pStyle w:val="TableParagraph"/>
              <w:spacing w:line="250" w:lineRule="exact" w:before="1"/>
              <w:ind w:left="112"/>
              <w:rPr>
                <w:sz w:val="21"/>
              </w:rPr>
            </w:pPr>
            <w:r>
              <w:rPr>
                <w:sz w:val="21"/>
              </w:rPr>
              <w:t>其他 </w:t>
            </w:r>
          </w:p>
        </w:tc>
        <w:tc>
          <w:tcPr>
            <w:tcW w:w="2755" w:type="dxa"/>
          </w:tcPr>
          <w:p>
            <w:pPr>
              <w:pStyle w:val="TableParagraph"/>
              <w:spacing w:line="226" w:lineRule="exact" w:before="24"/>
              <w:ind w:right="97"/>
              <w:jc w:val="right"/>
              <w:rPr>
                <w:rFonts w:ascii="Times New Roman"/>
                <w:sz w:val="21"/>
              </w:rPr>
            </w:pPr>
            <w:r>
              <w:rPr>
                <w:rFonts w:ascii="Times New Roman"/>
                <w:sz w:val="21"/>
              </w:rPr>
              <w:t>54,228</w:t>
            </w:r>
          </w:p>
        </w:tc>
        <w:tc>
          <w:tcPr>
            <w:tcW w:w="2746" w:type="dxa"/>
          </w:tcPr>
          <w:p>
            <w:pPr>
              <w:pStyle w:val="TableParagraph"/>
              <w:spacing w:line="235" w:lineRule="exact"/>
              <w:ind w:right="97"/>
              <w:jc w:val="right"/>
              <w:rPr>
                <w:rFonts w:ascii="Times New Roman"/>
                <w:sz w:val="21"/>
              </w:rPr>
            </w:pPr>
            <w:r>
              <w:rPr>
                <w:rFonts w:ascii="Times New Roman"/>
                <w:sz w:val="21"/>
              </w:rPr>
              <w:t>66,397</w:t>
            </w:r>
          </w:p>
        </w:tc>
      </w:tr>
      <w:tr>
        <w:trPr>
          <w:trHeight w:val="273" w:hRule="atLeast"/>
        </w:trPr>
        <w:tc>
          <w:tcPr>
            <w:tcW w:w="3322" w:type="dxa"/>
          </w:tcPr>
          <w:p>
            <w:pPr>
              <w:pStyle w:val="TableParagraph"/>
              <w:spacing w:line="250" w:lineRule="exact" w:before="3"/>
              <w:ind w:right="1335"/>
              <w:jc w:val="right"/>
              <w:rPr>
                <w:sz w:val="21"/>
              </w:rPr>
            </w:pPr>
            <w:r>
              <w:rPr>
                <w:sz w:val="21"/>
              </w:rPr>
              <w:t>合计 </w:t>
            </w:r>
          </w:p>
        </w:tc>
        <w:tc>
          <w:tcPr>
            <w:tcW w:w="2755" w:type="dxa"/>
          </w:tcPr>
          <w:p>
            <w:pPr>
              <w:pStyle w:val="TableParagraph"/>
              <w:spacing w:line="229" w:lineRule="exact" w:before="24"/>
              <w:ind w:right="97"/>
              <w:jc w:val="right"/>
              <w:rPr>
                <w:rFonts w:ascii="Times New Roman"/>
                <w:sz w:val="21"/>
              </w:rPr>
            </w:pPr>
            <w:r>
              <w:rPr>
                <w:rFonts w:ascii="Times New Roman"/>
                <w:sz w:val="21"/>
              </w:rPr>
              <w:t>9,666,137</w:t>
            </w:r>
          </w:p>
        </w:tc>
        <w:tc>
          <w:tcPr>
            <w:tcW w:w="2746" w:type="dxa"/>
          </w:tcPr>
          <w:p>
            <w:pPr>
              <w:pStyle w:val="TableParagraph"/>
              <w:spacing w:line="237" w:lineRule="exact"/>
              <w:ind w:right="97"/>
              <w:jc w:val="right"/>
              <w:rPr>
                <w:rFonts w:ascii="Times New Roman"/>
                <w:sz w:val="21"/>
              </w:rPr>
            </w:pPr>
            <w:r>
              <w:rPr>
                <w:rFonts w:ascii="Times New Roman"/>
                <w:sz w:val="21"/>
              </w:rPr>
              <w:t>7,164,413</w:t>
            </w:r>
          </w:p>
        </w:tc>
      </w:tr>
    </w:tbl>
    <w:p>
      <w:pPr>
        <w:pStyle w:val="BodyText"/>
        <w:spacing w:before="1"/>
      </w:pPr>
      <w:r>
        <w:rPr>
          <w:w w:val="100"/>
        </w:rPr>
        <w:t> </w:t>
      </w:r>
    </w:p>
    <w:p>
      <w:pPr>
        <w:pStyle w:val="BodyText"/>
        <w:spacing w:line="295" w:lineRule="auto" w:before="64"/>
        <w:ind w:right="6217"/>
      </w:pPr>
      <w:r>
        <w:rPr/>
        <w:t>收到的其他与经营活动有关的现金说明：</w:t>
      </w:r>
      <w:r>
        <w:rPr>
          <w:spacing w:val="1"/>
        </w:rPr>
        <w:t> </w:t>
      </w:r>
      <w:r>
        <w:rPr/>
        <w:t>无 </w:t>
      </w:r>
    </w:p>
    <w:p>
      <w:pPr>
        <w:spacing w:after="0" w:line="295" w:lineRule="auto"/>
        <w:sectPr>
          <w:type w:val="continuous"/>
          <w:pgSz w:w="11910" w:h="16840"/>
          <w:pgMar w:top="780" w:bottom="280" w:left="1480" w:right="0"/>
        </w:sectPr>
      </w:pPr>
    </w:p>
    <w:p>
      <w:pPr>
        <w:pStyle w:val="BodyText"/>
        <w:spacing w:before="7"/>
        <w:ind w:left="0"/>
        <w:rPr>
          <w:sz w:val="25"/>
        </w:rPr>
      </w:pPr>
    </w:p>
    <w:p>
      <w:pPr>
        <w:spacing w:after="0"/>
        <w:rPr>
          <w:sz w:val="25"/>
        </w:rPr>
        <w:sectPr>
          <w:pgSz w:w="11910" w:h="16840"/>
          <w:pgMar w:header="882" w:footer="1184" w:top="1120" w:bottom="1380" w:left="1480" w:right="0"/>
        </w:sectPr>
      </w:pPr>
    </w:p>
    <w:p>
      <w:pPr>
        <w:pStyle w:val="BodyText"/>
        <w:spacing w:before="72"/>
      </w:pPr>
      <w:r>
        <w:rPr>
          <w:w w:val="100"/>
        </w:rPr>
        <w:t> </w:t>
      </w:r>
    </w:p>
    <w:p>
      <w:pPr>
        <w:pStyle w:val="ListParagraph"/>
        <w:numPr>
          <w:ilvl w:val="0"/>
          <w:numId w:val="79"/>
        </w:numPr>
        <w:tabs>
          <w:tab w:pos="746" w:val="left" w:leader="none"/>
        </w:tabs>
        <w:spacing w:line="240" w:lineRule="auto" w:before="65" w:after="0"/>
        <w:ind w:left="745" w:right="0" w:hanging="428"/>
        <w:jc w:val="left"/>
        <w:rPr>
          <w:sz w:val="21"/>
        </w:rPr>
      </w:pPr>
      <w:r>
        <w:rPr>
          <w:sz w:val="21"/>
        </w:rPr>
        <w:t>支付的其他与经营活动有关的现金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1"/>
        <w:ind w:left="0"/>
        <w:rPr>
          <w:sz w:val="18"/>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4053" w:space="2258"/>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736"/>
        <w:gridCol w:w="2765"/>
      </w:tblGrid>
      <w:tr>
        <w:trPr>
          <w:trHeight w:val="273" w:hRule="atLeast"/>
        </w:trPr>
        <w:tc>
          <w:tcPr>
            <w:tcW w:w="3322" w:type="dxa"/>
          </w:tcPr>
          <w:p>
            <w:pPr>
              <w:pStyle w:val="TableParagraph"/>
              <w:spacing w:line="252" w:lineRule="exact" w:before="1"/>
              <w:ind w:left="1482" w:right="1370"/>
              <w:jc w:val="center"/>
              <w:rPr>
                <w:sz w:val="21"/>
              </w:rPr>
            </w:pPr>
            <w:r>
              <w:rPr>
                <w:sz w:val="21"/>
              </w:rPr>
              <w:t>项目 </w:t>
            </w:r>
          </w:p>
        </w:tc>
        <w:tc>
          <w:tcPr>
            <w:tcW w:w="2736" w:type="dxa"/>
          </w:tcPr>
          <w:p>
            <w:pPr>
              <w:pStyle w:val="TableParagraph"/>
              <w:spacing w:line="252" w:lineRule="exact" w:before="1"/>
              <w:ind w:left="842"/>
              <w:rPr>
                <w:sz w:val="21"/>
              </w:rPr>
            </w:pPr>
            <w:r>
              <w:rPr>
                <w:sz w:val="21"/>
              </w:rPr>
              <w:t>本期发生额 </w:t>
            </w:r>
          </w:p>
        </w:tc>
        <w:tc>
          <w:tcPr>
            <w:tcW w:w="2765" w:type="dxa"/>
          </w:tcPr>
          <w:p>
            <w:pPr>
              <w:pStyle w:val="TableParagraph"/>
              <w:spacing w:line="252" w:lineRule="exact" w:before="1"/>
              <w:ind w:left="857"/>
              <w:rPr>
                <w:sz w:val="21"/>
              </w:rPr>
            </w:pPr>
            <w:r>
              <w:rPr>
                <w:sz w:val="21"/>
              </w:rPr>
              <w:t>上期发生额 </w:t>
            </w:r>
          </w:p>
        </w:tc>
      </w:tr>
      <w:tr>
        <w:trPr>
          <w:trHeight w:val="273" w:hRule="atLeast"/>
        </w:trPr>
        <w:tc>
          <w:tcPr>
            <w:tcW w:w="3322" w:type="dxa"/>
          </w:tcPr>
          <w:p>
            <w:pPr>
              <w:pStyle w:val="TableParagraph"/>
              <w:spacing w:line="252" w:lineRule="exact" w:before="1"/>
              <w:ind w:left="112"/>
              <w:rPr>
                <w:sz w:val="21"/>
              </w:rPr>
            </w:pPr>
            <w:r>
              <w:rPr>
                <w:sz w:val="21"/>
              </w:rPr>
              <w:t>能源费 </w:t>
            </w:r>
          </w:p>
        </w:tc>
        <w:tc>
          <w:tcPr>
            <w:tcW w:w="2736" w:type="dxa"/>
          </w:tcPr>
          <w:p>
            <w:pPr>
              <w:pStyle w:val="TableParagraph"/>
              <w:spacing w:line="235" w:lineRule="exact"/>
              <w:ind w:right="98"/>
              <w:jc w:val="right"/>
              <w:rPr>
                <w:rFonts w:ascii="Times New Roman"/>
                <w:sz w:val="21"/>
              </w:rPr>
            </w:pPr>
            <w:r>
              <w:rPr>
                <w:rFonts w:ascii="Times New Roman"/>
                <w:sz w:val="21"/>
              </w:rPr>
              <w:t>2,632,855</w:t>
            </w:r>
          </w:p>
        </w:tc>
        <w:tc>
          <w:tcPr>
            <w:tcW w:w="2765" w:type="dxa"/>
          </w:tcPr>
          <w:p>
            <w:pPr>
              <w:pStyle w:val="TableParagraph"/>
              <w:spacing w:line="235" w:lineRule="exact"/>
              <w:ind w:right="97"/>
              <w:jc w:val="right"/>
              <w:rPr>
                <w:rFonts w:ascii="Times New Roman"/>
                <w:sz w:val="21"/>
              </w:rPr>
            </w:pPr>
            <w:r>
              <w:rPr>
                <w:rFonts w:ascii="Times New Roman"/>
                <w:sz w:val="21"/>
              </w:rPr>
              <w:t>2,075,639</w:t>
            </w:r>
          </w:p>
        </w:tc>
      </w:tr>
      <w:tr>
        <w:trPr>
          <w:trHeight w:val="270" w:hRule="atLeast"/>
        </w:trPr>
        <w:tc>
          <w:tcPr>
            <w:tcW w:w="3322" w:type="dxa"/>
          </w:tcPr>
          <w:p>
            <w:pPr>
              <w:pStyle w:val="TableParagraph"/>
              <w:spacing w:line="250" w:lineRule="exact" w:before="1"/>
              <w:ind w:left="112"/>
              <w:rPr>
                <w:sz w:val="21"/>
              </w:rPr>
            </w:pPr>
            <w:r>
              <w:rPr>
                <w:spacing w:val="-1"/>
                <w:sz w:val="21"/>
              </w:rPr>
              <w:t>研发及管理服务费</w:t>
            </w:r>
            <w:r>
              <w:rPr>
                <w:sz w:val="21"/>
              </w:rPr>
              <w:t> </w:t>
            </w:r>
          </w:p>
        </w:tc>
        <w:tc>
          <w:tcPr>
            <w:tcW w:w="2736" w:type="dxa"/>
          </w:tcPr>
          <w:p>
            <w:pPr>
              <w:pStyle w:val="TableParagraph"/>
              <w:spacing w:line="235" w:lineRule="exact"/>
              <w:ind w:right="98"/>
              <w:jc w:val="right"/>
              <w:rPr>
                <w:rFonts w:ascii="Times New Roman"/>
                <w:sz w:val="21"/>
              </w:rPr>
            </w:pPr>
            <w:r>
              <w:rPr>
                <w:rFonts w:ascii="Times New Roman"/>
                <w:sz w:val="21"/>
              </w:rPr>
              <w:t>2,611,357</w:t>
            </w:r>
          </w:p>
        </w:tc>
        <w:tc>
          <w:tcPr>
            <w:tcW w:w="2765" w:type="dxa"/>
          </w:tcPr>
          <w:p>
            <w:pPr>
              <w:pStyle w:val="TableParagraph"/>
              <w:spacing w:line="235" w:lineRule="exact"/>
              <w:ind w:right="97"/>
              <w:jc w:val="right"/>
              <w:rPr>
                <w:rFonts w:ascii="Times New Roman"/>
                <w:sz w:val="21"/>
              </w:rPr>
            </w:pPr>
            <w:r>
              <w:rPr>
                <w:rFonts w:ascii="Times New Roman"/>
                <w:sz w:val="21"/>
              </w:rPr>
              <w:t>2,519,461</w:t>
            </w:r>
          </w:p>
        </w:tc>
      </w:tr>
      <w:tr>
        <w:trPr>
          <w:trHeight w:val="273" w:hRule="atLeast"/>
        </w:trPr>
        <w:tc>
          <w:tcPr>
            <w:tcW w:w="3322" w:type="dxa"/>
          </w:tcPr>
          <w:p>
            <w:pPr>
              <w:pStyle w:val="TableParagraph"/>
              <w:spacing w:line="252" w:lineRule="exact" w:before="1"/>
              <w:ind w:left="112"/>
              <w:rPr>
                <w:sz w:val="21"/>
              </w:rPr>
            </w:pPr>
            <w:r>
              <w:rPr>
                <w:spacing w:val="-1"/>
                <w:sz w:val="21"/>
              </w:rPr>
              <w:t>租赁及仓储费</w:t>
            </w:r>
            <w:r>
              <w:rPr>
                <w:sz w:val="21"/>
              </w:rPr>
              <w:t> </w:t>
            </w:r>
          </w:p>
        </w:tc>
        <w:tc>
          <w:tcPr>
            <w:tcW w:w="2736" w:type="dxa"/>
          </w:tcPr>
          <w:p>
            <w:pPr>
              <w:pStyle w:val="TableParagraph"/>
              <w:spacing w:line="235" w:lineRule="exact"/>
              <w:ind w:right="98"/>
              <w:jc w:val="right"/>
              <w:rPr>
                <w:rFonts w:ascii="Times New Roman"/>
                <w:sz w:val="21"/>
              </w:rPr>
            </w:pPr>
            <w:r>
              <w:rPr>
                <w:rFonts w:ascii="Times New Roman"/>
                <w:sz w:val="21"/>
              </w:rPr>
              <w:t>348,773</w:t>
            </w:r>
          </w:p>
        </w:tc>
        <w:tc>
          <w:tcPr>
            <w:tcW w:w="2765" w:type="dxa"/>
          </w:tcPr>
          <w:p>
            <w:pPr>
              <w:pStyle w:val="TableParagraph"/>
              <w:spacing w:line="235" w:lineRule="exact"/>
              <w:ind w:right="97"/>
              <w:jc w:val="right"/>
              <w:rPr>
                <w:rFonts w:ascii="Times New Roman"/>
                <w:sz w:val="21"/>
              </w:rPr>
            </w:pPr>
            <w:r>
              <w:rPr>
                <w:rFonts w:ascii="Times New Roman"/>
                <w:sz w:val="21"/>
              </w:rPr>
              <w:t>484,807</w:t>
            </w:r>
          </w:p>
        </w:tc>
      </w:tr>
      <w:tr>
        <w:trPr>
          <w:trHeight w:val="273" w:hRule="atLeast"/>
        </w:trPr>
        <w:tc>
          <w:tcPr>
            <w:tcW w:w="3322" w:type="dxa"/>
          </w:tcPr>
          <w:p>
            <w:pPr>
              <w:pStyle w:val="TableParagraph"/>
              <w:spacing w:line="252" w:lineRule="exact" w:before="1"/>
              <w:ind w:left="112"/>
              <w:rPr>
                <w:sz w:val="21"/>
              </w:rPr>
            </w:pPr>
            <w:r>
              <w:rPr>
                <w:sz w:val="21"/>
              </w:rPr>
              <w:t>环境保护费 </w:t>
            </w:r>
          </w:p>
        </w:tc>
        <w:tc>
          <w:tcPr>
            <w:tcW w:w="2736" w:type="dxa"/>
          </w:tcPr>
          <w:p>
            <w:pPr>
              <w:pStyle w:val="TableParagraph"/>
              <w:spacing w:line="235" w:lineRule="exact"/>
              <w:ind w:right="98"/>
              <w:jc w:val="right"/>
              <w:rPr>
                <w:rFonts w:ascii="Times New Roman"/>
                <w:sz w:val="21"/>
              </w:rPr>
            </w:pPr>
            <w:r>
              <w:rPr>
                <w:rFonts w:ascii="Times New Roman"/>
                <w:sz w:val="21"/>
              </w:rPr>
              <w:t>275,734</w:t>
            </w:r>
          </w:p>
        </w:tc>
        <w:tc>
          <w:tcPr>
            <w:tcW w:w="2765" w:type="dxa"/>
          </w:tcPr>
          <w:p>
            <w:pPr>
              <w:pStyle w:val="TableParagraph"/>
              <w:spacing w:line="235" w:lineRule="exact"/>
              <w:ind w:right="97"/>
              <w:jc w:val="right"/>
              <w:rPr>
                <w:rFonts w:ascii="Times New Roman"/>
                <w:sz w:val="21"/>
              </w:rPr>
            </w:pPr>
            <w:r>
              <w:rPr>
                <w:rFonts w:ascii="Times New Roman"/>
                <w:sz w:val="21"/>
              </w:rPr>
              <w:t>210,274</w:t>
            </w:r>
          </w:p>
        </w:tc>
      </w:tr>
      <w:tr>
        <w:trPr>
          <w:trHeight w:val="270" w:hRule="atLeast"/>
        </w:trPr>
        <w:tc>
          <w:tcPr>
            <w:tcW w:w="3322" w:type="dxa"/>
          </w:tcPr>
          <w:p>
            <w:pPr>
              <w:pStyle w:val="TableParagraph"/>
              <w:spacing w:line="250" w:lineRule="exact" w:before="1"/>
              <w:ind w:left="112"/>
              <w:rPr>
                <w:sz w:val="21"/>
              </w:rPr>
            </w:pPr>
            <w:r>
              <w:rPr>
                <w:spacing w:val="-1"/>
                <w:sz w:val="21"/>
              </w:rPr>
              <w:t>套期期权支付的权利金</w:t>
            </w:r>
            <w:r>
              <w:rPr>
                <w:sz w:val="21"/>
              </w:rPr>
              <w:t> </w:t>
            </w:r>
          </w:p>
        </w:tc>
        <w:tc>
          <w:tcPr>
            <w:tcW w:w="2736" w:type="dxa"/>
          </w:tcPr>
          <w:p>
            <w:pPr>
              <w:pStyle w:val="TableParagraph"/>
              <w:spacing w:line="235" w:lineRule="exact"/>
              <w:ind w:right="98"/>
              <w:jc w:val="right"/>
              <w:rPr>
                <w:rFonts w:ascii="Times New Roman"/>
                <w:sz w:val="21"/>
              </w:rPr>
            </w:pPr>
            <w:r>
              <w:rPr>
                <w:rFonts w:ascii="Times New Roman"/>
                <w:sz w:val="21"/>
              </w:rPr>
              <w:t>146,955</w:t>
            </w:r>
          </w:p>
        </w:tc>
        <w:tc>
          <w:tcPr>
            <w:tcW w:w="2765" w:type="dxa"/>
          </w:tcPr>
          <w:p>
            <w:pPr>
              <w:pStyle w:val="TableParagraph"/>
              <w:spacing w:line="235" w:lineRule="exact"/>
              <w:ind w:right="97"/>
              <w:jc w:val="right"/>
              <w:rPr>
                <w:rFonts w:ascii="Times New Roman"/>
                <w:sz w:val="21"/>
              </w:rPr>
            </w:pPr>
            <w:r>
              <w:rPr>
                <w:rFonts w:ascii="Times New Roman"/>
                <w:sz w:val="21"/>
              </w:rPr>
              <w:t>174,738</w:t>
            </w:r>
          </w:p>
        </w:tc>
      </w:tr>
      <w:tr>
        <w:trPr>
          <w:trHeight w:val="273" w:hRule="atLeast"/>
        </w:trPr>
        <w:tc>
          <w:tcPr>
            <w:tcW w:w="3322" w:type="dxa"/>
          </w:tcPr>
          <w:p>
            <w:pPr>
              <w:pStyle w:val="TableParagraph"/>
              <w:spacing w:line="252" w:lineRule="exact" w:before="1"/>
              <w:ind w:left="112"/>
              <w:rPr>
                <w:sz w:val="21"/>
              </w:rPr>
            </w:pPr>
            <w:r>
              <w:rPr>
                <w:sz w:val="21"/>
              </w:rPr>
              <w:t>保函保证金 </w:t>
            </w:r>
          </w:p>
        </w:tc>
        <w:tc>
          <w:tcPr>
            <w:tcW w:w="2736" w:type="dxa"/>
          </w:tcPr>
          <w:p>
            <w:pPr>
              <w:pStyle w:val="TableParagraph"/>
              <w:spacing w:line="235" w:lineRule="exact"/>
              <w:ind w:right="98"/>
              <w:jc w:val="right"/>
              <w:rPr>
                <w:rFonts w:ascii="Times New Roman"/>
                <w:sz w:val="21"/>
              </w:rPr>
            </w:pPr>
            <w:r>
              <w:rPr>
                <w:rFonts w:ascii="Times New Roman"/>
                <w:sz w:val="21"/>
              </w:rPr>
              <w:t>18,150</w:t>
            </w:r>
          </w:p>
        </w:tc>
        <w:tc>
          <w:tcPr>
            <w:tcW w:w="2765" w:type="dxa"/>
          </w:tcPr>
          <w:p>
            <w:pPr>
              <w:pStyle w:val="TableParagraph"/>
              <w:spacing w:line="235" w:lineRule="exact"/>
              <w:ind w:right="97"/>
              <w:jc w:val="right"/>
              <w:rPr>
                <w:rFonts w:ascii="Times New Roman"/>
                <w:sz w:val="21"/>
              </w:rPr>
            </w:pPr>
            <w:r>
              <w:rPr>
                <w:rFonts w:ascii="Times New Roman"/>
                <w:sz w:val="21"/>
              </w:rPr>
              <w:t>165,445</w:t>
            </w:r>
          </w:p>
        </w:tc>
      </w:tr>
      <w:tr>
        <w:trPr>
          <w:trHeight w:val="270" w:hRule="atLeast"/>
        </w:trPr>
        <w:tc>
          <w:tcPr>
            <w:tcW w:w="3322" w:type="dxa"/>
          </w:tcPr>
          <w:p>
            <w:pPr>
              <w:pStyle w:val="TableParagraph"/>
              <w:spacing w:line="250" w:lineRule="exact" w:before="1"/>
              <w:ind w:left="112"/>
              <w:rPr>
                <w:sz w:val="21"/>
              </w:rPr>
            </w:pPr>
            <w:r>
              <w:rPr>
                <w:sz w:val="21"/>
              </w:rPr>
              <w:t>其他 </w:t>
            </w:r>
          </w:p>
        </w:tc>
        <w:tc>
          <w:tcPr>
            <w:tcW w:w="2736" w:type="dxa"/>
          </w:tcPr>
          <w:p>
            <w:pPr>
              <w:pStyle w:val="TableParagraph"/>
              <w:spacing w:line="235" w:lineRule="exact"/>
              <w:ind w:right="98"/>
              <w:jc w:val="right"/>
              <w:rPr>
                <w:rFonts w:ascii="Times New Roman"/>
                <w:sz w:val="21"/>
              </w:rPr>
            </w:pPr>
            <w:r>
              <w:rPr>
                <w:rFonts w:ascii="Times New Roman"/>
                <w:sz w:val="21"/>
              </w:rPr>
              <w:t>521,988</w:t>
            </w:r>
          </w:p>
        </w:tc>
        <w:tc>
          <w:tcPr>
            <w:tcW w:w="2765" w:type="dxa"/>
          </w:tcPr>
          <w:p>
            <w:pPr>
              <w:pStyle w:val="TableParagraph"/>
              <w:spacing w:line="235" w:lineRule="exact"/>
              <w:ind w:right="97"/>
              <w:jc w:val="right"/>
              <w:rPr>
                <w:rFonts w:ascii="Times New Roman"/>
                <w:sz w:val="21"/>
              </w:rPr>
            </w:pPr>
            <w:r>
              <w:rPr>
                <w:rFonts w:ascii="Times New Roman"/>
                <w:sz w:val="21"/>
              </w:rPr>
              <w:t>241,531</w:t>
            </w:r>
          </w:p>
        </w:tc>
      </w:tr>
      <w:tr>
        <w:trPr>
          <w:trHeight w:val="273" w:hRule="atLeast"/>
        </w:trPr>
        <w:tc>
          <w:tcPr>
            <w:tcW w:w="3322" w:type="dxa"/>
          </w:tcPr>
          <w:p>
            <w:pPr>
              <w:pStyle w:val="TableParagraph"/>
              <w:spacing w:line="250" w:lineRule="exact" w:before="3"/>
              <w:ind w:left="1482" w:right="1370"/>
              <w:jc w:val="center"/>
              <w:rPr>
                <w:sz w:val="21"/>
              </w:rPr>
            </w:pPr>
            <w:r>
              <w:rPr>
                <w:sz w:val="21"/>
              </w:rPr>
              <w:t>合计 </w:t>
            </w:r>
          </w:p>
        </w:tc>
        <w:tc>
          <w:tcPr>
            <w:tcW w:w="2736" w:type="dxa"/>
          </w:tcPr>
          <w:p>
            <w:pPr>
              <w:pStyle w:val="TableParagraph"/>
              <w:spacing w:line="237" w:lineRule="exact"/>
              <w:ind w:right="98"/>
              <w:jc w:val="right"/>
              <w:rPr>
                <w:rFonts w:ascii="Times New Roman"/>
                <w:sz w:val="21"/>
              </w:rPr>
            </w:pPr>
            <w:r>
              <w:rPr>
                <w:rFonts w:ascii="Times New Roman"/>
                <w:sz w:val="21"/>
              </w:rPr>
              <w:t>6,555,812</w:t>
            </w:r>
          </w:p>
        </w:tc>
        <w:tc>
          <w:tcPr>
            <w:tcW w:w="2765" w:type="dxa"/>
          </w:tcPr>
          <w:p>
            <w:pPr>
              <w:pStyle w:val="TableParagraph"/>
              <w:spacing w:line="237" w:lineRule="exact"/>
              <w:ind w:right="97"/>
              <w:jc w:val="right"/>
              <w:rPr>
                <w:rFonts w:ascii="Times New Roman"/>
                <w:sz w:val="21"/>
              </w:rPr>
            </w:pPr>
            <w:r>
              <w:rPr>
                <w:rFonts w:ascii="Times New Roman"/>
                <w:sz w:val="21"/>
              </w:rPr>
              <w:t>5,871,895</w:t>
            </w:r>
          </w:p>
        </w:tc>
      </w:tr>
    </w:tbl>
    <w:p>
      <w:pPr>
        <w:spacing w:after="0" w:line="237" w:lineRule="exact"/>
        <w:jc w:val="right"/>
        <w:rPr>
          <w:rFonts w:ascii="Times New Roman"/>
          <w:sz w:val="21"/>
        </w:rPr>
        <w:sectPr>
          <w:type w:val="continuous"/>
          <w:pgSz w:w="11910" w:h="16840"/>
          <w:pgMar w:top="780" w:bottom="280" w:left="1480" w:right="0"/>
        </w:sectPr>
      </w:pPr>
    </w:p>
    <w:p>
      <w:pPr>
        <w:pStyle w:val="BodyText"/>
        <w:spacing w:before="1"/>
      </w:pPr>
      <w:r>
        <w:rPr>
          <w:w w:val="100"/>
        </w:rPr>
        <w:t> </w:t>
      </w:r>
    </w:p>
    <w:p>
      <w:pPr>
        <w:pStyle w:val="BodyText"/>
        <w:spacing w:line="295" w:lineRule="auto" w:before="65"/>
        <w:ind w:right="38"/>
      </w:pPr>
      <w:r>
        <w:rPr/>
        <w:t>支付的其他与经营活动有关的现金说明：</w:t>
      </w:r>
      <w:r>
        <w:rPr>
          <w:spacing w:val="1"/>
        </w:rPr>
        <w:t> </w:t>
      </w:r>
      <w:r>
        <w:rPr/>
        <w:t>无 </w:t>
      </w:r>
    </w:p>
    <w:p>
      <w:pPr>
        <w:pStyle w:val="BodyText"/>
        <w:spacing w:before="20"/>
      </w:pPr>
      <w:r>
        <w:rPr>
          <w:w w:val="100"/>
        </w:rPr>
        <w:t> </w:t>
      </w:r>
    </w:p>
    <w:p>
      <w:pPr>
        <w:pStyle w:val="ListParagraph"/>
        <w:numPr>
          <w:ilvl w:val="0"/>
          <w:numId w:val="79"/>
        </w:numPr>
        <w:tabs>
          <w:tab w:pos="746" w:val="left" w:leader="none"/>
        </w:tabs>
        <w:spacing w:line="240" w:lineRule="auto" w:before="74" w:after="0"/>
        <w:ind w:left="745" w:right="0" w:hanging="428"/>
        <w:jc w:val="left"/>
        <w:rPr>
          <w:sz w:val="21"/>
        </w:rPr>
      </w:pPr>
      <w:r>
        <w:rPr>
          <w:sz w:val="21"/>
        </w:rPr>
        <w:t>收到的其他与投资活动有关的现金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71"/>
      </w:pPr>
      <w:r>
        <w:rPr>
          <w:spacing w:val="6"/>
        </w:rPr>
        <w:t>单位：千元 币种:人民币</w:t>
      </w:r>
      <w:r>
        <w:rPr/>
        <w:t> </w:t>
      </w:r>
    </w:p>
    <w:p>
      <w:pPr>
        <w:spacing w:after="0"/>
        <w:sectPr>
          <w:type w:val="continuous"/>
          <w:pgSz w:w="11910" w:h="16840"/>
          <w:pgMar w:top="780" w:bottom="280" w:left="1480" w:right="0"/>
          <w:cols w:num="2" w:equalWidth="0">
            <w:col w:w="4247" w:space="2171"/>
            <w:col w:w="4012"/>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839"/>
        <w:gridCol w:w="2662"/>
      </w:tblGrid>
      <w:tr>
        <w:trPr>
          <w:trHeight w:val="273" w:hRule="atLeast"/>
        </w:trPr>
        <w:tc>
          <w:tcPr>
            <w:tcW w:w="3322" w:type="dxa"/>
          </w:tcPr>
          <w:p>
            <w:pPr>
              <w:pStyle w:val="TableParagraph"/>
              <w:spacing w:line="252" w:lineRule="exact" w:before="1"/>
              <w:ind w:right="1335"/>
              <w:jc w:val="right"/>
              <w:rPr>
                <w:sz w:val="21"/>
              </w:rPr>
            </w:pPr>
            <w:r>
              <w:rPr>
                <w:sz w:val="21"/>
              </w:rPr>
              <w:t>项目 </w:t>
            </w:r>
          </w:p>
        </w:tc>
        <w:tc>
          <w:tcPr>
            <w:tcW w:w="2839" w:type="dxa"/>
          </w:tcPr>
          <w:p>
            <w:pPr>
              <w:pStyle w:val="TableParagraph"/>
              <w:spacing w:line="252" w:lineRule="exact" w:before="1"/>
              <w:ind w:left="892"/>
              <w:rPr>
                <w:sz w:val="21"/>
              </w:rPr>
            </w:pPr>
            <w:r>
              <w:rPr>
                <w:sz w:val="21"/>
              </w:rPr>
              <w:t>本期发生额 </w:t>
            </w:r>
          </w:p>
        </w:tc>
        <w:tc>
          <w:tcPr>
            <w:tcW w:w="2662" w:type="dxa"/>
          </w:tcPr>
          <w:p>
            <w:pPr>
              <w:pStyle w:val="TableParagraph"/>
              <w:spacing w:line="252" w:lineRule="exact" w:before="1"/>
              <w:ind w:left="804"/>
              <w:rPr>
                <w:sz w:val="21"/>
              </w:rPr>
            </w:pPr>
            <w:r>
              <w:rPr>
                <w:sz w:val="21"/>
              </w:rPr>
              <w:t>上期发生额 </w:t>
            </w:r>
          </w:p>
        </w:tc>
      </w:tr>
      <w:tr>
        <w:trPr>
          <w:trHeight w:val="270" w:hRule="atLeast"/>
        </w:trPr>
        <w:tc>
          <w:tcPr>
            <w:tcW w:w="3322" w:type="dxa"/>
          </w:tcPr>
          <w:p>
            <w:pPr>
              <w:pStyle w:val="TableParagraph"/>
              <w:spacing w:line="250" w:lineRule="exact" w:before="1"/>
              <w:ind w:left="112"/>
              <w:rPr>
                <w:sz w:val="21"/>
              </w:rPr>
            </w:pPr>
            <w:r>
              <w:rPr>
                <w:spacing w:val="-1"/>
                <w:sz w:val="21"/>
              </w:rPr>
              <w:t>到期收回定期存款</w:t>
            </w:r>
            <w:r>
              <w:rPr>
                <w:sz w:val="21"/>
              </w:rPr>
              <w:t> </w:t>
            </w:r>
          </w:p>
        </w:tc>
        <w:tc>
          <w:tcPr>
            <w:tcW w:w="2839" w:type="dxa"/>
          </w:tcPr>
          <w:p>
            <w:pPr>
              <w:pStyle w:val="TableParagraph"/>
              <w:spacing w:line="226" w:lineRule="exact" w:before="24"/>
              <w:ind w:right="97"/>
              <w:jc w:val="right"/>
              <w:rPr>
                <w:rFonts w:ascii="Times New Roman"/>
                <w:sz w:val="21"/>
              </w:rPr>
            </w:pPr>
            <w:r>
              <w:rPr>
                <w:rFonts w:ascii="Times New Roman"/>
                <w:sz w:val="21"/>
              </w:rPr>
              <w:t>1,891,165</w:t>
            </w:r>
          </w:p>
        </w:tc>
        <w:tc>
          <w:tcPr>
            <w:tcW w:w="2662" w:type="dxa"/>
          </w:tcPr>
          <w:p>
            <w:pPr>
              <w:pStyle w:val="TableParagraph"/>
              <w:spacing w:line="235" w:lineRule="exact"/>
              <w:ind w:right="97"/>
              <w:jc w:val="right"/>
              <w:rPr>
                <w:rFonts w:ascii="Times New Roman"/>
                <w:sz w:val="21"/>
              </w:rPr>
            </w:pPr>
            <w:r>
              <w:rPr>
                <w:rFonts w:ascii="Times New Roman"/>
                <w:sz w:val="21"/>
              </w:rPr>
              <w:t>2,042,648</w:t>
            </w:r>
          </w:p>
        </w:tc>
      </w:tr>
      <w:tr>
        <w:trPr>
          <w:trHeight w:val="273" w:hRule="atLeast"/>
        </w:trPr>
        <w:tc>
          <w:tcPr>
            <w:tcW w:w="3322" w:type="dxa"/>
          </w:tcPr>
          <w:p>
            <w:pPr>
              <w:pStyle w:val="TableParagraph"/>
              <w:spacing w:line="250" w:lineRule="exact" w:before="3"/>
              <w:ind w:left="112"/>
              <w:rPr>
                <w:sz w:val="21"/>
              </w:rPr>
            </w:pPr>
            <w:r>
              <w:rPr>
                <w:spacing w:val="-1"/>
                <w:sz w:val="21"/>
              </w:rPr>
              <w:t>收回投资保证金</w:t>
            </w:r>
            <w:r>
              <w:rPr>
                <w:sz w:val="21"/>
              </w:rPr>
              <w:t> </w:t>
            </w:r>
          </w:p>
        </w:tc>
        <w:tc>
          <w:tcPr>
            <w:tcW w:w="2839" w:type="dxa"/>
          </w:tcPr>
          <w:p>
            <w:pPr>
              <w:pStyle w:val="TableParagraph"/>
              <w:spacing w:line="229" w:lineRule="exact" w:before="24"/>
              <w:ind w:right="97"/>
              <w:jc w:val="right"/>
              <w:rPr>
                <w:rFonts w:ascii="Times New Roman"/>
                <w:sz w:val="21"/>
              </w:rPr>
            </w:pPr>
            <w:r>
              <w:rPr>
                <w:rFonts w:ascii="Times New Roman"/>
                <w:sz w:val="21"/>
              </w:rPr>
              <w:t>1,050,000</w:t>
            </w:r>
          </w:p>
        </w:tc>
        <w:tc>
          <w:tcPr>
            <w:tcW w:w="2662" w:type="dxa"/>
          </w:tcPr>
          <w:p>
            <w:pPr>
              <w:pStyle w:val="TableParagraph"/>
              <w:spacing w:line="237" w:lineRule="exact"/>
              <w:ind w:right="99"/>
              <w:jc w:val="right"/>
              <w:rPr>
                <w:rFonts w:ascii="Times New Roman"/>
                <w:sz w:val="21"/>
              </w:rPr>
            </w:pPr>
            <w:r>
              <w:rPr>
                <w:rFonts w:ascii="Times New Roman"/>
                <w:w w:val="100"/>
                <w:sz w:val="21"/>
              </w:rPr>
              <w:t>-</w:t>
            </w:r>
          </w:p>
        </w:tc>
      </w:tr>
      <w:tr>
        <w:trPr>
          <w:trHeight w:val="273" w:hRule="atLeast"/>
        </w:trPr>
        <w:tc>
          <w:tcPr>
            <w:tcW w:w="3322" w:type="dxa"/>
          </w:tcPr>
          <w:p>
            <w:pPr>
              <w:pStyle w:val="TableParagraph"/>
              <w:spacing w:line="252" w:lineRule="exact" w:before="1"/>
              <w:ind w:left="112"/>
              <w:rPr>
                <w:sz w:val="21"/>
              </w:rPr>
            </w:pPr>
            <w:r>
              <w:rPr>
                <w:spacing w:val="-1"/>
                <w:sz w:val="21"/>
              </w:rPr>
              <w:t>收回受限资金</w:t>
            </w:r>
            <w:r>
              <w:rPr>
                <w:sz w:val="21"/>
              </w:rPr>
              <w:t> </w:t>
            </w:r>
          </w:p>
        </w:tc>
        <w:tc>
          <w:tcPr>
            <w:tcW w:w="2839" w:type="dxa"/>
          </w:tcPr>
          <w:p>
            <w:pPr>
              <w:pStyle w:val="TableParagraph"/>
              <w:spacing w:line="229" w:lineRule="exact" w:before="24"/>
              <w:ind w:right="97"/>
              <w:jc w:val="right"/>
              <w:rPr>
                <w:rFonts w:ascii="Times New Roman"/>
                <w:sz w:val="21"/>
              </w:rPr>
            </w:pPr>
            <w:r>
              <w:rPr>
                <w:rFonts w:ascii="Times New Roman"/>
                <w:sz w:val="21"/>
              </w:rPr>
              <w:t>34,000</w:t>
            </w:r>
          </w:p>
        </w:tc>
        <w:tc>
          <w:tcPr>
            <w:tcW w:w="2662" w:type="dxa"/>
          </w:tcPr>
          <w:p>
            <w:pPr>
              <w:pStyle w:val="TableParagraph"/>
              <w:spacing w:line="235" w:lineRule="exact"/>
              <w:ind w:right="97"/>
              <w:jc w:val="right"/>
              <w:rPr>
                <w:rFonts w:ascii="Times New Roman"/>
                <w:sz w:val="21"/>
              </w:rPr>
            </w:pPr>
            <w:r>
              <w:rPr>
                <w:rFonts w:ascii="Times New Roman"/>
                <w:sz w:val="21"/>
              </w:rPr>
              <w:t>263,876</w:t>
            </w:r>
          </w:p>
        </w:tc>
      </w:tr>
      <w:tr>
        <w:trPr>
          <w:trHeight w:val="273" w:hRule="atLeast"/>
        </w:trPr>
        <w:tc>
          <w:tcPr>
            <w:tcW w:w="3322" w:type="dxa"/>
          </w:tcPr>
          <w:p>
            <w:pPr>
              <w:pStyle w:val="TableParagraph"/>
              <w:spacing w:line="253" w:lineRule="exact" w:before="1"/>
              <w:ind w:right="1335"/>
              <w:jc w:val="right"/>
              <w:rPr>
                <w:sz w:val="21"/>
              </w:rPr>
            </w:pPr>
            <w:r>
              <w:rPr>
                <w:sz w:val="21"/>
              </w:rPr>
              <w:t>合计 </w:t>
            </w:r>
          </w:p>
        </w:tc>
        <w:tc>
          <w:tcPr>
            <w:tcW w:w="2839" w:type="dxa"/>
          </w:tcPr>
          <w:p>
            <w:pPr>
              <w:pStyle w:val="TableParagraph"/>
              <w:spacing w:line="229" w:lineRule="exact" w:before="24"/>
              <w:ind w:right="97"/>
              <w:jc w:val="right"/>
              <w:rPr>
                <w:rFonts w:ascii="Times New Roman"/>
                <w:sz w:val="21"/>
              </w:rPr>
            </w:pPr>
            <w:r>
              <w:rPr>
                <w:rFonts w:ascii="Times New Roman"/>
                <w:sz w:val="21"/>
              </w:rPr>
              <w:t>2,975,165</w:t>
            </w:r>
          </w:p>
        </w:tc>
        <w:tc>
          <w:tcPr>
            <w:tcW w:w="2662" w:type="dxa"/>
          </w:tcPr>
          <w:p>
            <w:pPr>
              <w:pStyle w:val="TableParagraph"/>
              <w:spacing w:line="235" w:lineRule="exact"/>
              <w:ind w:right="97"/>
              <w:jc w:val="right"/>
              <w:rPr>
                <w:rFonts w:ascii="Times New Roman"/>
                <w:sz w:val="21"/>
              </w:rPr>
            </w:pPr>
            <w:r>
              <w:rPr>
                <w:rFonts w:ascii="Times New Roman"/>
                <w:sz w:val="21"/>
              </w:rPr>
              <w:t>2,306,524</w:t>
            </w:r>
          </w:p>
        </w:tc>
      </w:tr>
    </w:tbl>
    <w:p>
      <w:pPr>
        <w:spacing w:after="0" w:line="235" w:lineRule="exact"/>
        <w:jc w:val="right"/>
        <w:rPr>
          <w:rFonts w:ascii="Times New Roman"/>
          <w:sz w:val="21"/>
        </w:rPr>
        <w:sectPr>
          <w:type w:val="continuous"/>
          <w:pgSz w:w="11910" w:h="16840"/>
          <w:pgMar w:top="780" w:bottom="280" w:left="1480" w:right="0"/>
        </w:sectPr>
      </w:pPr>
    </w:p>
    <w:p>
      <w:pPr>
        <w:pStyle w:val="BodyText"/>
        <w:spacing w:before="1"/>
      </w:pPr>
      <w:r>
        <w:rPr>
          <w:w w:val="100"/>
        </w:rPr>
        <w:t> </w:t>
      </w:r>
    </w:p>
    <w:p>
      <w:pPr>
        <w:pStyle w:val="BodyText"/>
        <w:spacing w:line="295" w:lineRule="auto" w:before="62"/>
        <w:ind w:right="38"/>
      </w:pPr>
      <w:r>
        <w:rPr/>
        <w:t>收到的其他与投资活动有关的现金说明：</w:t>
      </w:r>
      <w:r>
        <w:rPr>
          <w:spacing w:val="1"/>
        </w:rPr>
        <w:t> </w:t>
      </w:r>
      <w:r>
        <w:rPr/>
        <w:t>无 </w:t>
      </w:r>
    </w:p>
    <w:p>
      <w:pPr>
        <w:pStyle w:val="BodyText"/>
        <w:spacing w:line="212" w:lineRule="exact"/>
      </w:pPr>
      <w:r>
        <w:rPr>
          <w:w w:val="100"/>
        </w:rPr>
        <w:t> </w:t>
      </w:r>
    </w:p>
    <w:p>
      <w:pPr>
        <w:pStyle w:val="ListParagraph"/>
        <w:numPr>
          <w:ilvl w:val="0"/>
          <w:numId w:val="79"/>
        </w:numPr>
        <w:tabs>
          <w:tab w:pos="746" w:val="left" w:leader="none"/>
        </w:tabs>
        <w:spacing w:line="240" w:lineRule="auto" w:before="62" w:after="0"/>
        <w:ind w:left="745" w:right="0" w:hanging="428"/>
        <w:jc w:val="left"/>
        <w:rPr>
          <w:sz w:val="21"/>
        </w:rPr>
      </w:pPr>
      <w:r>
        <w:rPr>
          <w:sz w:val="21"/>
        </w:rPr>
        <w:t>支付的其他与投资活动有关的现金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
        <w:ind w:left="0"/>
        <w:rPr>
          <w:sz w:val="26"/>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4247" w:space="2063"/>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842"/>
        <w:gridCol w:w="2660"/>
      </w:tblGrid>
      <w:tr>
        <w:trPr>
          <w:trHeight w:val="273" w:hRule="atLeast"/>
        </w:trPr>
        <w:tc>
          <w:tcPr>
            <w:tcW w:w="3322" w:type="dxa"/>
          </w:tcPr>
          <w:p>
            <w:pPr>
              <w:pStyle w:val="TableParagraph"/>
              <w:spacing w:line="252" w:lineRule="exact" w:before="1"/>
              <w:ind w:right="1335"/>
              <w:jc w:val="right"/>
              <w:rPr>
                <w:sz w:val="21"/>
              </w:rPr>
            </w:pPr>
            <w:r>
              <w:rPr>
                <w:sz w:val="21"/>
              </w:rPr>
              <w:t>项目 </w:t>
            </w:r>
          </w:p>
        </w:tc>
        <w:tc>
          <w:tcPr>
            <w:tcW w:w="2842" w:type="dxa"/>
          </w:tcPr>
          <w:p>
            <w:pPr>
              <w:pStyle w:val="TableParagraph"/>
              <w:spacing w:line="252" w:lineRule="exact" w:before="1"/>
              <w:ind w:left="895"/>
              <w:rPr>
                <w:sz w:val="21"/>
              </w:rPr>
            </w:pPr>
            <w:r>
              <w:rPr>
                <w:sz w:val="21"/>
              </w:rPr>
              <w:t>本期发生额 </w:t>
            </w:r>
          </w:p>
        </w:tc>
        <w:tc>
          <w:tcPr>
            <w:tcW w:w="2660" w:type="dxa"/>
          </w:tcPr>
          <w:p>
            <w:pPr>
              <w:pStyle w:val="TableParagraph"/>
              <w:spacing w:line="252" w:lineRule="exact" w:before="1"/>
              <w:ind w:left="801"/>
              <w:rPr>
                <w:sz w:val="21"/>
              </w:rPr>
            </w:pPr>
            <w:r>
              <w:rPr>
                <w:sz w:val="21"/>
              </w:rPr>
              <w:t>上期发生额 </w:t>
            </w:r>
          </w:p>
        </w:tc>
      </w:tr>
      <w:tr>
        <w:trPr>
          <w:trHeight w:val="270" w:hRule="atLeast"/>
        </w:trPr>
        <w:tc>
          <w:tcPr>
            <w:tcW w:w="3322" w:type="dxa"/>
          </w:tcPr>
          <w:p>
            <w:pPr>
              <w:pStyle w:val="TableParagraph"/>
              <w:spacing w:line="250" w:lineRule="exact" w:before="1"/>
              <w:ind w:left="112"/>
              <w:rPr>
                <w:sz w:val="21"/>
              </w:rPr>
            </w:pPr>
            <w:r>
              <w:rPr>
                <w:spacing w:val="-1"/>
                <w:sz w:val="21"/>
              </w:rPr>
              <w:t>存出定期存款</w:t>
            </w:r>
            <w:r>
              <w:rPr>
                <w:sz w:val="21"/>
              </w:rPr>
              <w:t> </w:t>
            </w:r>
          </w:p>
        </w:tc>
        <w:tc>
          <w:tcPr>
            <w:tcW w:w="2842" w:type="dxa"/>
          </w:tcPr>
          <w:p>
            <w:pPr>
              <w:pStyle w:val="TableParagraph"/>
              <w:spacing w:line="226" w:lineRule="exact" w:before="24"/>
              <w:ind w:right="98"/>
              <w:jc w:val="right"/>
              <w:rPr>
                <w:rFonts w:ascii="Times New Roman"/>
                <w:sz w:val="21"/>
              </w:rPr>
            </w:pPr>
            <w:r>
              <w:rPr>
                <w:rFonts w:ascii="Times New Roman"/>
                <w:sz w:val="21"/>
              </w:rPr>
              <w:t>512,394</w:t>
            </w:r>
          </w:p>
        </w:tc>
        <w:tc>
          <w:tcPr>
            <w:tcW w:w="2660" w:type="dxa"/>
          </w:tcPr>
          <w:p>
            <w:pPr>
              <w:pStyle w:val="TableParagraph"/>
              <w:spacing w:line="235" w:lineRule="exact"/>
              <w:ind w:right="98"/>
              <w:jc w:val="right"/>
              <w:rPr>
                <w:rFonts w:ascii="Times New Roman"/>
                <w:sz w:val="21"/>
              </w:rPr>
            </w:pPr>
            <w:r>
              <w:rPr>
                <w:rFonts w:ascii="Times New Roman"/>
                <w:sz w:val="21"/>
              </w:rPr>
              <w:t>1,505,654</w:t>
            </w:r>
          </w:p>
        </w:tc>
      </w:tr>
      <w:tr>
        <w:trPr>
          <w:trHeight w:val="273" w:hRule="atLeast"/>
        </w:trPr>
        <w:tc>
          <w:tcPr>
            <w:tcW w:w="3322" w:type="dxa"/>
          </w:tcPr>
          <w:p>
            <w:pPr>
              <w:pStyle w:val="TableParagraph"/>
              <w:spacing w:line="252" w:lineRule="exact" w:before="1"/>
              <w:ind w:left="112"/>
              <w:rPr>
                <w:sz w:val="21"/>
              </w:rPr>
            </w:pPr>
            <w:r>
              <w:rPr>
                <w:spacing w:val="-1"/>
                <w:sz w:val="21"/>
              </w:rPr>
              <w:t>支付投资保证金</w:t>
            </w:r>
            <w:r>
              <w:rPr>
                <w:sz w:val="21"/>
              </w:rPr>
              <w:t> </w:t>
            </w:r>
          </w:p>
        </w:tc>
        <w:tc>
          <w:tcPr>
            <w:tcW w:w="2842" w:type="dxa"/>
          </w:tcPr>
          <w:p>
            <w:pPr>
              <w:pStyle w:val="TableParagraph"/>
              <w:spacing w:line="229" w:lineRule="exact" w:before="24"/>
              <w:ind w:right="98"/>
              <w:jc w:val="right"/>
              <w:rPr>
                <w:rFonts w:ascii="Times New Roman"/>
                <w:sz w:val="21"/>
              </w:rPr>
            </w:pPr>
            <w:r>
              <w:rPr>
                <w:rFonts w:ascii="Times New Roman"/>
                <w:sz w:val="21"/>
              </w:rPr>
              <w:t>174,788</w:t>
            </w:r>
          </w:p>
        </w:tc>
        <w:tc>
          <w:tcPr>
            <w:tcW w:w="2660" w:type="dxa"/>
          </w:tcPr>
          <w:p>
            <w:pPr>
              <w:pStyle w:val="TableParagraph"/>
              <w:spacing w:line="235" w:lineRule="exact"/>
              <w:ind w:right="98"/>
              <w:jc w:val="right"/>
              <w:rPr>
                <w:rFonts w:ascii="Times New Roman"/>
                <w:sz w:val="21"/>
              </w:rPr>
            </w:pPr>
            <w:r>
              <w:rPr>
                <w:rFonts w:ascii="Times New Roman"/>
                <w:sz w:val="21"/>
              </w:rPr>
              <w:t>1,050,000</w:t>
            </w:r>
          </w:p>
        </w:tc>
      </w:tr>
      <w:tr>
        <w:trPr>
          <w:trHeight w:val="270" w:hRule="atLeast"/>
        </w:trPr>
        <w:tc>
          <w:tcPr>
            <w:tcW w:w="3322" w:type="dxa"/>
          </w:tcPr>
          <w:p>
            <w:pPr>
              <w:pStyle w:val="TableParagraph"/>
              <w:spacing w:line="250" w:lineRule="exact" w:before="1"/>
              <w:ind w:left="112"/>
              <w:rPr>
                <w:sz w:val="21"/>
              </w:rPr>
            </w:pPr>
            <w:r>
              <w:rPr>
                <w:spacing w:val="-1"/>
                <w:sz w:val="21"/>
              </w:rPr>
              <w:t>支付受限资金</w:t>
            </w:r>
            <w:r>
              <w:rPr>
                <w:sz w:val="21"/>
              </w:rPr>
              <w:t> </w:t>
            </w:r>
          </w:p>
        </w:tc>
        <w:tc>
          <w:tcPr>
            <w:tcW w:w="2842" w:type="dxa"/>
          </w:tcPr>
          <w:p>
            <w:pPr>
              <w:pStyle w:val="TableParagraph"/>
              <w:spacing w:line="226" w:lineRule="exact" w:before="24"/>
              <w:ind w:right="100"/>
              <w:jc w:val="right"/>
              <w:rPr>
                <w:rFonts w:ascii="Times New Roman"/>
                <w:sz w:val="21"/>
              </w:rPr>
            </w:pPr>
            <w:r>
              <w:rPr>
                <w:rFonts w:ascii="Times New Roman"/>
                <w:w w:val="100"/>
                <w:sz w:val="21"/>
              </w:rPr>
              <w:t>-</w:t>
            </w:r>
          </w:p>
        </w:tc>
        <w:tc>
          <w:tcPr>
            <w:tcW w:w="2660" w:type="dxa"/>
          </w:tcPr>
          <w:p>
            <w:pPr>
              <w:pStyle w:val="TableParagraph"/>
              <w:spacing w:line="235" w:lineRule="exact"/>
              <w:ind w:right="98"/>
              <w:jc w:val="right"/>
              <w:rPr>
                <w:rFonts w:ascii="Times New Roman"/>
                <w:sz w:val="21"/>
              </w:rPr>
            </w:pPr>
            <w:r>
              <w:rPr>
                <w:rFonts w:ascii="Times New Roman"/>
                <w:sz w:val="21"/>
              </w:rPr>
              <w:t>35,638</w:t>
            </w:r>
          </w:p>
        </w:tc>
      </w:tr>
      <w:tr>
        <w:trPr>
          <w:trHeight w:val="273" w:hRule="atLeast"/>
        </w:trPr>
        <w:tc>
          <w:tcPr>
            <w:tcW w:w="3322" w:type="dxa"/>
          </w:tcPr>
          <w:p>
            <w:pPr>
              <w:pStyle w:val="TableParagraph"/>
              <w:spacing w:line="250" w:lineRule="exact" w:before="3"/>
              <w:ind w:right="1335"/>
              <w:jc w:val="right"/>
              <w:rPr>
                <w:sz w:val="21"/>
              </w:rPr>
            </w:pPr>
            <w:r>
              <w:rPr>
                <w:sz w:val="21"/>
              </w:rPr>
              <w:t>合计 </w:t>
            </w:r>
          </w:p>
        </w:tc>
        <w:tc>
          <w:tcPr>
            <w:tcW w:w="2842" w:type="dxa"/>
          </w:tcPr>
          <w:p>
            <w:pPr>
              <w:pStyle w:val="TableParagraph"/>
              <w:spacing w:line="229" w:lineRule="exact" w:before="24"/>
              <w:ind w:right="98"/>
              <w:jc w:val="right"/>
              <w:rPr>
                <w:rFonts w:ascii="Times New Roman"/>
                <w:sz w:val="21"/>
              </w:rPr>
            </w:pPr>
            <w:r>
              <w:rPr>
                <w:rFonts w:ascii="Times New Roman"/>
                <w:sz w:val="21"/>
              </w:rPr>
              <w:t>687,182</w:t>
            </w:r>
          </w:p>
        </w:tc>
        <w:tc>
          <w:tcPr>
            <w:tcW w:w="2660" w:type="dxa"/>
          </w:tcPr>
          <w:p>
            <w:pPr>
              <w:pStyle w:val="TableParagraph"/>
              <w:spacing w:line="237" w:lineRule="exact"/>
              <w:ind w:right="98"/>
              <w:jc w:val="right"/>
              <w:rPr>
                <w:rFonts w:ascii="Times New Roman"/>
                <w:sz w:val="21"/>
              </w:rPr>
            </w:pPr>
            <w:r>
              <w:rPr>
                <w:rFonts w:ascii="Times New Roman"/>
                <w:sz w:val="21"/>
              </w:rPr>
              <w:t>2,591,292</w:t>
            </w:r>
          </w:p>
        </w:tc>
      </w:tr>
    </w:tbl>
    <w:p>
      <w:pPr>
        <w:spacing w:after="0" w:line="237" w:lineRule="exact"/>
        <w:jc w:val="right"/>
        <w:rPr>
          <w:rFonts w:ascii="Times New Roman"/>
          <w:sz w:val="21"/>
        </w:rPr>
        <w:sectPr>
          <w:type w:val="continuous"/>
          <w:pgSz w:w="11910" w:h="16840"/>
          <w:pgMar w:top="780" w:bottom="280" w:left="1480" w:right="0"/>
        </w:sectPr>
      </w:pPr>
    </w:p>
    <w:p>
      <w:pPr>
        <w:pStyle w:val="BodyText"/>
        <w:spacing w:before="5"/>
      </w:pPr>
      <w:r>
        <w:rPr>
          <w:w w:val="100"/>
        </w:rPr>
        <w:t> </w:t>
      </w:r>
    </w:p>
    <w:p>
      <w:pPr>
        <w:pStyle w:val="BodyText"/>
        <w:spacing w:line="295" w:lineRule="auto" w:before="64"/>
        <w:ind w:right="38"/>
      </w:pPr>
      <w:r>
        <w:rPr/>
        <w:t>支付的其他与投资活动有关的现金说明：</w:t>
      </w:r>
      <w:r>
        <w:rPr>
          <w:spacing w:val="1"/>
        </w:rPr>
        <w:t> </w:t>
      </w:r>
      <w:r>
        <w:rPr/>
        <w:t>无 </w:t>
      </w:r>
    </w:p>
    <w:p>
      <w:pPr>
        <w:pStyle w:val="BodyText"/>
        <w:spacing w:line="212" w:lineRule="exact"/>
      </w:pPr>
      <w:r>
        <w:rPr>
          <w:w w:val="100"/>
        </w:rPr>
        <w:t> </w:t>
      </w:r>
    </w:p>
    <w:p>
      <w:pPr>
        <w:pStyle w:val="ListParagraph"/>
        <w:numPr>
          <w:ilvl w:val="0"/>
          <w:numId w:val="79"/>
        </w:numPr>
        <w:tabs>
          <w:tab w:pos="746" w:val="left" w:leader="none"/>
        </w:tabs>
        <w:spacing w:line="240" w:lineRule="auto" w:before="62" w:after="0"/>
        <w:ind w:left="745" w:right="0" w:hanging="428"/>
        <w:jc w:val="left"/>
        <w:rPr>
          <w:sz w:val="21"/>
        </w:rPr>
      </w:pPr>
      <w:r>
        <w:rPr>
          <w:sz w:val="21"/>
        </w:rPr>
        <w:t>收到的其他与筹资活动有关的现金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8"/>
        <w:ind w:left="0"/>
        <w:rPr>
          <w:sz w:val="26"/>
        </w:rPr>
      </w:pPr>
    </w:p>
    <w:p>
      <w:pPr>
        <w:pStyle w:val="BodyText"/>
        <w:spacing w:before="1"/>
      </w:pPr>
      <w:r>
        <w:rPr>
          <w:spacing w:val="7"/>
        </w:rPr>
        <w:t>单位：千元 币种：人民币</w:t>
      </w:r>
      <w:r>
        <w:rPr/>
        <w:t> </w:t>
      </w:r>
    </w:p>
    <w:p>
      <w:pPr>
        <w:spacing w:after="0"/>
        <w:sectPr>
          <w:type w:val="continuous"/>
          <w:pgSz w:w="11910" w:h="16840"/>
          <w:pgMar w:top="780" w:bottom="280" w:left="1480" w:right="0"/>
          <w:cols w:num="2" w:equalWidth="0">
            <w:col w:w="4247" w:space="2063"/>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842"/>
        <w:gridCol w:w="2660"/>
      </w:tblGrid>
      <w:tr>
        <w:trPr>
          <w:trHeight w:val="270" w:hRule="atLeast"/>
        </w:trPr>
        <w:tc>
          <w:tcPr>
            <w:tcW w:w="3322" w:type="dxa"/>
          </w:tcPr>
          <w:p>
            <w:pPr>
              <w:pStyle w:val="TableParagraph"/>
              <w:spacing w:line="250" w:lineRule="exact" w:before="1"/>
              <w:ind w:left="1482" w:right="1370"/>
              <w:jc w:val="center"/>
              <w:rPr>
                <w:sz w:val="21"/>
              </w:rPr>
            </w:pPr>
            <w:r>
              <w:rPr>
                <w:sz w:val="21"/>
              </w:rPr>
              <w:t>项目 </w:t>
            </w:r>
          </w:p>
        </w:tc>
        <w:tc>
          <w:tcPr>
            <w:tcW w:w="2842" w:type="dxa"/>
          </w:tcPr>
          <w:p>
            <w:pPr>
              <w:pStyle w:val="TableParagraph"/>
              <w:spacing w:line="250" w:lineRule="exact" w:before="1"/>
              <w:ind w:left="895"/>
              <w:rPr>
                <w:sz w:val="21"/>
              </w:rPr>
            </w:pPr>
            <w:r>
              <w:rPr>
                <w:sz w:val="21"/>
              </w:rPr>
              <w:t>本期发生额 </w:t>
            </w:r>
          </w:p>
        </w:tc>
        <w:tc>
          <w:tcPr>
            <w:tcW w:w="2660" w:type="dxa"/>
          </w:tcPr>
          <w:p>
            <w:pPr>
              <w:pStyle w:val="TableParagraph"/>
              <w:spacing w:line="250" w:lineRule="exact" w:before="1"/>
              <w:ind w:left="801"/>
              <w:rPr>
                <w:sz w:val="21"/>
              </w:rPr>
            </w:pPr>
            <w:r>
              <w:rPr>
                <w:sz w:val="21"/>
              </w:rPr>
              <w:t>上期发生额 </w:t>
            </w:r>
          </w:p>
        </w:tc>
      </w:tr>
      <w:tr>
        <w:trPr>
          <w:trHeight w:val="273" w:hRule="atLeast"/>
        </w:trPr>
        <w:tc>
          <w:tcPr>
            <w:tcW w:w="3322" w:type="dxa"/>
          </w:tcPr>
          <w:p>
            <w:pPr>
              <w:pStyle w:val="TableParagraph"/>
              <w:spacing w:line="252" w:lineRule="exact" w:before="1"/>
              <w:ind w:left="112"/>
              <w:rPr>
                <w:sz w:val="21"/>
              </w:rPr>
            </w:pPr>
            <w:r>
              <w:rPr>
                <w:spacing w:val="-1"/>
                <w:sz w:val="21"/>
              </w:rPr>
              <w:t>收回股票回购保证金</w:t>
            </w:r>
            <w:r>
              <w:rPr>
                <w:sz w:val="21"/>
              </w:rPr>
              <w:t> </w:t>
            </w:r>
          </w:p>
        </w:tc>
        <w:tc>
          <w:tcPr>
            <w:tcW w:w="2842" w:type="dxa"/>
          </w:tcPr>
          <w:p>
            <w:pPr>
              <w:pStyle w:val="TableParagraph"/>
              <w:spacing w:line="229" w:lineRule="exact" w:before="24"/>
              <w:ind w:right="98"/>
              <w:jc w:val="right"/>
              <w:rPr>
                <w:rFonts w:ascii="Times New Roman"/>
                <w:sz w:val="21"/>
              </w:rPr>
            </w:pPr>
            <w:r>
              <w:rPr>
                <w:rFonts w:ascii="Times New Roman"/>
                <w:sz w:val="21"/>
              </w:rPr>
              <w:t>837,281</w:t>
            </w:r>
          </w:p>
        </w:tc>
        <w:tc>
          <w:tcPr>
            <w:tcW w:w="2660" w:type="dxa"/>
          </w:tcPr>
          <w:p>
            <w:pPr>
              <w:pStyle w:val="TableParagraph"/>
              <w:spacing w:line="235" w:lineRule="exact"/>
              <w:ind w:right="100"/>
              <w:jc w:val="right"/>
              <w:rPr>
                <w:rFonts w:ascii="Times New Roman"/>
                <w:sz w:val="21"/>
              </w:rPr>
            </w:pPr>
            <w:r>
              <w:rPr>
                <w:rFonts w:ascii="Times New Roman"/>
                <w:w w:val="100"/>
                <w:sz w:val="21"/>
              </w:rPr>
              <w:t>-</w:t>
            </w:r>
          </w:p>
        </w:tc>
      </w:tr>
    </w:tbl>
    <w:p>
      <w:pPr>
        <w:spacing w:after="0" w:line="235" w:lineRule="exact"/>
        <w:jc w:val="right"/>
        <w:rPr>
          <w:rFonts w:ascii="Times New Roman"/>
          <w:sz w:val="21"/>
        </w:rPr>
        <w:sectPr>
          <w:type w:val="continuous"/>
          <w:pgSz w:w="11910" w:h="16840"/>
          <w:pgMar w:top="780" w:bottom="2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842"/>
        <w:gridCol w:w="2660"/>
      </w:tblGrid>
      <w:tr>
        <w:trPr>
          <w:trHeight w:val="273" w:hRule="atLeast"/>
        </w:trPr>
        <w:tc>
          <w:tcPr>
            <w:tcW w:w="3322" w:type="dxa"/>
          </w:tcPr>
          <w:p>
            <w:pPr>
              <w:pStyle w:val="TableParagraph"/>
              <w:spacing w:line="250" w:lineRule="exact" w:before="3"/>
              <w:ind w:left="112"/>
              <w:rPr>
                <w:sz w:val="21"/>
              </w:rPr>
            </w:pPr>
            <w:r>
              <w:rPr>
                <w:w w:val="100"/>
                <w:sz w:val="21"/>
              </w:rPr>
              <w:t> </w:t>
            </w:r>
          </w:p>
        </w:tc>
        <w:tc>
          <w:tcPr>
            <w:tcW w:w="2842" w:type="dxa"/>
          </w:tcPr>
          <w:p>
            <w:pPr>
              <w:pStyle w:val="TableParagraph"/>
              <w:rPr>
                <w:rFonts w:ascii="Times New Roman"/>
                <w:sz w:val="20"/>
              </w:rPr>
            </w:pPr>
          </w:p>
        </w:tc>
        <w:tc>
          <w:tcPr>
            <w:tcW w:w="2660" w:type="dxa"/>
          </w:tcPr>
          <w:p>
            <w:pPr>
              <w:pStyle w:val="TableParagraph"/>
              <w:rPr>
                <w:rFonts w:ascii="Times New Roman"/>
                <w:sz w:val="20"/>
              </w:rPr>
            </w:pPr>
          </w:p>
        </w:tc>
      </w:tr>
      <w:tr>
        <w:trPr>
          <w:trHeight w:val="273" w:hRule="atLeast"/>
        </w:trPr>
        <w:tc>
          <w:tcPr>
            <w:tcW w:w="3322" w:type="dxa"/>
          </w:tcPr>
          <w:p>
            <w:pPr>
              <w:pStyle w:val="TableParagraph"/>
              <w:spacing w:line="252" w:lineRule="exact" w:before="1"/>
              <w:ind w:left="1482" w:right="1370"/>
              <w:jc w:val="center"/>
              <w:rPr>
                <w:sz w:val="21"/>
              </w:rPr>
            </w:pPr>
            <w:r>
              <w:rPr>
                <w:sz w:val="21"/>
              </w:rPr>
              <w:t>合计 </w:t>
            </w:r>
          </w:p>
        </w:tc>
        <w:tc>
          <w:tcPr>
            <w:tcW w:w="2842" w:type="dxa"/>
          </w:tcPr>
          <w:p>
            <w:pPr>
              <w:pStyle w:val="TableParagraph"/>
              <w:spacing w:before="10"/>
              <w:ind w:right="98"/>
              <w:jc w:val="right"/>
              <w:rPr>
                <w:rFonts w:ascii="Times New Roman"/>
                <w:sz w:val="21"/>
              </w:rPr>
            </w:pPr>
            <w:r>
              <w:rPr>
                <w:rFonts w:ascii="Times New Roman"/>
                <w:sz w:val="21"/>
              </w:rPr>
              <w:t>837,281</w:t>
            </w:r>
          </w:p>
        </w:tc>
        <w:tc>
          <w:tcPr>
            <w:tcW w:w="2660" w:type="dxa"/>
          </w:tcPr>
          <w:p>
            <w:pPr>
              <w:pStyle w:val="TableParagraph"/>
              <w:spacing w:before="10"/>
              <w:ind w:right="100"/>
              <w:jc w:val="right"/>
              <w:rPr>
                <w:rFonts w:ascii="Times New Roman"/>
                <w:sz w:val="21"/>
              </w:rPr>
            </w:pPr>
            <w:r>
              <w:rPr>
                <w:rFonts w:ascii="Times New Roman"/>
                <w:w w:val="100"/>
                <w:sz w:val="21"/>
              </w:rPr>
              <w:t>-</w:t>
            </w:r>
          </w:p>
        </w:tc>
      </w:tr>
    </w:tbl>
    <w:p>
      <w:pPr>
        <w:pStyle w:val="BodyText"/>
        <w:spacing w:before="1"/>
      </w:pPr>
      <w:r>
        <w:rPr>
          <w:w w:val="100"/>
        </w:rPr>
        <w:t> </w:t>
      </w:r>
    </w:p>
    <w:p>
      <w:pPr>
        <w:pStyle w:val="BodyText"/>
        <w:spacing w:line="297" w:lineRule="auto" w:before="62"/>
        <w:ind w:right="6217"/>
      </w:pPr>
      <w:r>
        <w:rPr/>
        <w:t>收到的其他与筹资活动有关的现金说明：</w:t>
      </w:r>
      <w:r>
        <w:rPr>
          <w:spacing w:val="1"/>
        </w:rPr>
        <w:t> </w:t>
      </w:r>
      <w:r>
        <w:rPr/>
        <w:t>无 </w:t>
      </w:r>
    </w:p>
    <w:p>
      <w:pPr>
        <w:pStyle w:val="BodyText"/>
        <w:spacing w:line="207" w:lineRule="exact"/>
      </w:pPr>
      <w:r>
        <w:rPr>
          <w:w w:val="100"/>
        </w:rPr>
        <w:t> </w:t>
      </w:r>
    </w:p>
    <w:p>
      <w:pPr>
        <w:pStyle w:val="ListParagraph"/>
        <w:numPr>
          <w:ilvl w:val="0"/>
          <w:numId w:val="79"/>
        </w:numPr>
        <w:tabs>
          <w:tab w:pos="746" w:val="left" w:leader="none"/>
        </w:tabs>
        <w:spacing w:line="240" w:lineRule="auto" w:before="65" w:after="0"/>
        <w:ind w:left="745" w:right="0" w:hanging="428"/>
        <w:jc w:val="left"/>
        <w:rPr>
          <w:sz w:val="21"/>
        </w:rPr>
      </w:pPr>
      <w:r>
        <w:rPr>
          <w:sz w:val="21"/>
        </w:rPr>
        <w:t>支付的其他与筹资活动有关的现金 </w:t>
      </w:r>
    </w:p>
    <w:p>
      <w:pPr>
        <w:pStyle w:val="BodyText"/>
        <w:spacing w:before="62"/>
      </w:pPr>
      <w:r>
        <w:rPr>
          <w:spacing w:val="-1"/>
        </w:rPr>
        <w:t>√适用 □不适用</w:t>
      </w:r>
      <w:r>
        <w:rPr>
          <w:spacing w:val="-3"/>
        </w:rPr>
        <w:t> </w:t>
      </w:r>
      <w:r>
        <w:rPr/>
        <w:t> </w:t>
      </w:r>
    </w:p>
    <w:p>
      <w:pPr>
        <w:pStyle w:val="BodyText"/>
        <w:spacing w:before="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842"/>
        <w:gridCol w:w="2660"/>
      </w:tblGrid>
      <w:tr>
        <w:trPr>
          <w:trHeight w:val="273" w:hRule="atLeast"/>
        </w:trPr>
        <w:tc>
          <w:tcPr>
            <w:tcW w:w="3322" w:type="dxa"/>
          </w:tcPr>
          <w:p>
            <w:pPr>
              <w:pStyle w:val="TableParagraph"/>
              <w:spacing w:line="252" w:lineRule="exact" w:before="1"/>
              <w:ind w:left="1482" w:right="1370"/>
              <w:jc w:val="center"/>
              <w:rPr>
                <w:sz w:val="21"/>
              </w:rPr>
            </w:pPr>
            <w:r>
              <w:rPr>
                <w:sz w:val="21"/>
              </w:rPr>
              <w:t>项目 </w:t>
            </w:r>
          </w:p>
        </w:tc>
        <w:tc>
          <w:tcPr>
            <w:tcW w:w="2842" w:type="dxa"/>
          </w:tcPr>
          <w:p>
            <w:pPr>
              <w:pStyle w:val="TableParagraph"/>
              <w:spacing w:line="252" w:lineRule="exact" w:before="1"/>
              <w:ind w:left="895"/>
              <w:rPr>
                <w:sz w:val="21"/>
              </w:rPr>
            </w:pPr>
            <w:r>
              <w:rPr>
                <w:sz w:val="21"/>
              </w:rPr>
              <w:t>本期发生额 </w:t>
            </w:r>
          </w:p>
        </w:tc>
        <w:tc>
          <w:tcPr>
            <w:tcW w:w="2660" w:type="dxa"/>
          </w:tcPr>
          <w:p>
            <w:pPr>
              <w:pStyle w:val="TableParagraph"/>
              <w:spacing w:line="252" w:lineRule="exact" w:before="1"/>
              <w:ind w:left="801"/>
              <w:rPr>
                <w:sz w:val="21"/>
              </w:rPr>
            </w:pPr>
            <w:r>
              <w:rPr>
                <w:sz w:val="21"/>
              </w:rPr>
              <w:t>上期发生额 </w:t>
            </w:r>
          </w:p>
        </w:tc>
      </w:tr>
      <w:tr>
        <w:trPr>
          <w:trHeight w:val="270" w:hRule="atLeast"/>
        </w:trPr>
        <w:tc>
          <w:tcPr>
            <w:tcW w:w="3322" w:type="dxa"/>
          </w:tcPr>
          <w:p>
            <w:pPr>
              <w:pStyle w:val="TableParagraph"/>
              <w:spacing w:line="250" w:lineRule="exact" w:before="1"/>
              <w:ind w:left="112"/>
              <w:rPr>
                <w:sz w:val="21"/>
              </w:rPr>
            </w:pPr>
            <w:r>
              <w:rPr>
                <w:sz w:val="21"/>
              </w:rPr>
              <w:t>流通股回购 </w:t>
            </w:r>
          </w:p>
        </w:tc>
        <w:tc>
          <w:tcPr>
            <w:tcW w:w="2842" w:type="dxa"/>
          </w:tcPr>
          <w:p>
            <w:pPr>
              <w:pStyle w:val="TableParagraph"/>
              <w:spacing w:line="226" w:lineRule="exact" w:before="24"/>
              <w:ind w:right="98"/>
              <w:jc w:val="right"/>
              <w:rPr>
                <w:rFonts w:ascii="Times New Roman"/>
                <w:sz w:val="21"/>
              </w:rPr>
            </w:pPr>
            <w:r>
              <w:rPr>
                <w:rFonts w:ascii="Times New Roman"/>
                <w:sz w:val="21"/>
              </w:rPr>
              <w:t>1,755,636</w:t>
            </w:r>
          </w:p>
        </w:tc>
        <w:tc>
          <w:tcPr>
            <w:tcW w:w="2660" w:type="dxa"/>
          </w:tcPr>
          <w:p>
            <w:pPr>
              <w:pStyle w:val="TableParagraph"/>
              <w:spacing w:line="235" w:lineRule="exact"/>
              <w:ind w:right="100"/>
              <w:jc w:val="right"/>
              <w:rPr>
                <w:rFonts w:ascii="Times New Roman"/>
                <w:sz w:val="21"/>
              </w:rPr>
            </w:pPr>
            <w:r>
              <w:rPr>
                <w:rFonts w:ascii="Times New Roman"/>
                <w:w w:val="100"/>
                <w:sz w:val="21"/>
              </w:rPr>
              <w:t>-</w:t>
            </w:r>
          </w:p>
        </w:tc>
      </w:tr>
      <w:tr>
        <w:trPr>
          <w:trHeight w:val="273" w:hRule="atLeast"/>
        </w:trPr>
        <w:tc>
          <w:tcPr>
            <w:tcW w:w="3322" w:type="dxa"/>
          </w:tcPr>
          <w:p>
            <w:pPr>
              <w:pStyle w:val="TableParagraph"/>
              <w:spacing w:line="250" w:lineRule="exact" w:before="3"/>
              <w:ind w:left="112"/>
              <w:rPr>
                <w:sz w:val="21"/>
              </w:rPr>
            </w:pPr>
            <w:r>
              <w:rPr>
                <w:spacing w:val="-1"/>
                <w:sz w:val="21"/>
              </w:rPr>
              <w:t>偿还租赁负债支付的金额</w:t>
            </w:r>
            <w:r>
              <w:rPr>
                <w:sz w:val="21"/>
              </w:rPr>
              <w:t> </w:t>
            </w:r>
          </w:p>
        </w:tc>
        <w:tc>
          <w:tcPr>
            <w:tcW w:w="2842" w:type="dxa"/>
          </w:tcPr>
          <w:p>
            <w:pPr>
              <w:pStyle w:val="TableParagraph"/>
              <w:spacing w:line="226" w:lineRule="exact" w:before="27"/>
              <w:ind w:right="98"/>
              <w:jc w:val="right"/>
              <w:rPr>
                <w:rFonts w:ascii="Times New Roman"/>
                <w:sz w:val="21"/>
              </w:rPr>
            </w:pPr>
            <w:r>
              <w:rPr>
                <w:rFonts w:ascii="Times New Roman"/>
                <w:sz w:val="21"/>
              </w:rPr>
              <w:t>1,707,972</w:t>
            </w:r>
          </w:p>
        </w:tc>
        <w:tc>
          <w:tcPr>
            <w:tcW w:w="2660" w:type="dxa"/>
          </w:tcPr>
          <w:p>
            <w:pPr>
              <w:pStyle w:val="TableParagraph"/>
              <w:spacing w:line="237" w:lineRule="exact"/>
              <w:ind w:right="98"/>
              <w:jc w:val="right"/>
              <w:rPr>
                <w:rFonts w:ascii="Times New Roman"/>
                <w:sz w:val="21"/>
              </w:rPr>
            </w:pPr>
            <w:r>
              <w:rPr>
                <w:rFonts w:ascii="Times New Roman"/>
                <w:sz w:val="21"/>
              </w:rPr>
              <w:t>1,431,543</w:t>
            </w:r>
          </w:p>
        </w:tc>
      </w:tr>
      <w:tr>
        <w:trPr>
          <w:trHeight w:val="273" w:hRule="atLeast"/>
        </w:trPr>
        <w:tc>
          <w:tcPr>
            <w:tcW w:w="3322" w:type="dxa"/>
          </w:tcPr>
          <w:p>
            <w:pPr>
              <w:pStyle w:val="TableParagraph"/>
              <w:spacing w:line="253" w:lineRule="exact" w:before="1"/>
              <w:ind w:left="112"/>
              <w:rPr>
                <w:sz w:val="21"/>
              </w:rPr>
            </w:pPr>
            <w:r>
              <w:rPr>
                <w:spacing w:val="-1"/>
                <w:sz w:val="21"/>
              </w:rPr>
              <w:t>股票回购保证金</w:t>
            </w:r>
            <w:r>
              <w:rPr>
                <w:sz w:val="21"/>
              </w:rPr>
              <w:t> </w:t>
            </w:r>
          </w:p>
        </w:tc>
        <w:tc>
          <w:tcPr>
            <w:tcW w:w="2842" w:type="dxa"/>
          </w:tcPr>
          <w:p>
            <w:pPr>
              <w:pStyle w:val="TableParagraph"/>
              <w:spacing w:line="229" w:lineRule="exact" w:before="24"/>
              <w:ind w:right="98"/>
              <w:jc w:val="right"/>
              <w:rPr>
                <w:rFonts w:ascii="Times New Roman"/>
                <w:sz w:val="21"/>
              </w:rPr>
            </w:pPr>
            <w:r>
              <w:rPr>
                <w:rFonts w:ascii="Times New Roman"/>
                <w:sz w:val="21"/>
              </w:rPr>
              <w:t>300,000</w:t>
            </w:r>
          </w:p>
        </w:tc>
        <w:tc>
          <w:tcPr>
            <w:tcW w:w="2660" w:type="dxa"/>
          </w:tcPr>
          <w:p>
            <w:pPr>
              <w:pStyle w:val="TableParagraph"/>
              <w:spacing w:line="235" w:lineRule="exact"/>
              <w:ind w:right="98"/>
              <w:jc w:val="right"/>
              <w:rPr>
                <w:rFonts w:ascii="Times New Roman"/>
                <w:sz w:val="21"/>
              </w:rPr>
            </w:pPr>
            <w:r>
              <w:rPr>
                <w:rFonts w:ascii="Times New Roman"/>
                <w:sz w:val="21"/>
              </w:rPr>
              <w:t>880,000</w:t>
            </w:r>
          </w:p>
        </w:tc>
      </w:tr>
      <w:tr>
        <w:trPr>
          <w:trHeight w:val="270" w:hRule="atLeast"/>
        </w:trPr>
        <w:tc>
          <w:tcPr>
            <w:tcW w:w="3322" w:type="dxa"/>
          </w:tcPr>
          <w:p>
            <w:pPr>
              <w:pStyle w:val="TableParagraph"/>
              <w:spacing w:line="250" w:lineRule="exact" w:before="1"/>
              <w:ind w:left="112"/>
              <w:rPr>
                <w:sz w:val="21"/>
              </w:rPr>
            </w:pPr>
            <w:r>
              <w:rPr>
                <w:spacing w:val="-1"/>
                <w:sz w:val="21"/>
              </w:rPr>
              <w:t>支付应付重组成本</w:t>
            </w:r>
            <w:r>
              <w:rPr>
                <w:sz w:val="21"/>
              </w:rPr>
              <w:t> </w:t>
            </w:r>
          </w:p>
        </w:tc>
        <w:tc>
          <w:tcPr>
            <w:tcW w:w="2842" w:type="dxa"/>
          </w:tcPr>
          <w:p>
            <w:pPr>
              <w:pStyle w:val="TableParagraph"/>
              <w:spacing w:line="226" w:lineRule="exact" w:before="24"/>
              <w:ind w:right="100"/>
              <w:jc w:val="right"/>
              <w:rPr>
                <w:rFonts w:ascii="Times New Roman"/>
                <w:sz w:val="21"/>
              </w:rPr>
            </w:pPr>
            <w:r>
              <w:rPr>
                <w:rFonts w:ascii="Times New Roman"/>
                <w:w w:val="100"/>
                <w:sz w:val="21"/>
              </w:rPr>
              <w:t>-</w:t>
            </w:r>
          </w:p>
        </w:tc>
        <w:tc>
          <w:tcPr>
            <w:tcW w:w="2660" w:type="dxa"/>
          </w:tcPr>
          <w:p>
            <w:pPr>
              <w:pStyle w:val="TableParagraph"/>
              <w:spacing w:line="235" w:lineRule="exact"/>
              <w:ind w:right="98"/>
              <w:jc w:val="right"/>
              <w:rPr>
                <w:rFonts w:ascii="Times New Roman"/>
                <w:sz w:val="21"/>
              </w:rPr>
            </w:pPr>
            <w:r>
              <w:rPr>
                <w:rFonts w:ascii="Times New Roman"/>
                <w:sz w:val="21"/>
              </w:rPr>
              <w:t>59,022</w:t>
            </w:r>
          </w:p>
        </w:tc>
      </w:tr>
      <w:tr>
        <w:trPr>
          <w:trHeight w:val="273" w:hRule="atLeast"/>
        </w:trPr>
        <w:tc>
          <w:tcPr>
            <w:tcW w:w="3322" w:type="dxa"/>
          </w:tcPr>
          <w:p>
            <w:pPr>
              <w:pStyle w:val="TableParagraph"/>
              <w:spacing w:line="250" w:lineRule="exact" w:before="3"/>
              <w:ind w:left="112"/>
              <w:rPr>
                <w:sz w:val="21"/>
              </w:rPr>
            </w:pPr>
            <w:r>
              <w:rPr>
                <w:spacing w:val="-1"/>
                <w:sz w:val="21"/>
              </w:rPr>
              <w:t>限制性股票回购款</w:t>
            </w:r>
            <w:r>
              <w:rPr>
                <w:sz w:val="21"/>
              </w:rPr>
              <w:t> </w:t>
            </w:r>
          </w:p>
        </w:tc>
        <w:tc>
          <w:tcPr>
            <w:tcW w:w="2842" w:type="dxa"/>
          </w:tcPr>
          <w:p>
            <w:pPr>
              <w:pStyle w:val="TableParagraph"/>
              <w:spacing w:line="229" w:lineRule="exact" w:before="24"/>
              <w:ind w:right="98"/>
              <w:jc w:val="right"/>
              <w:rPr>
                <w:rFonts w:ascii="Times New Roman"/>
                <w:sz w:val="21"/>
              </w:rPr>
            </w:pPr>
            <w:r>
              <w:rPr>
                <w:rFonts w:ascii="Times New Roman"/>
                <w:sz w:val="21"/>
              </w:rPr>
              <w:t>33,063</w:t>
            </w:r>
          </w:p>
        </w:tc>
        <w:tc>
          <w:tcPr>
            <w:tcW w:w="2660" w:type="dxa"/>
          </w:tcPr>
          <w:p>
            <w:pPr>
              <w:pStyle w:val="TableParagraph"/>
              <w:spacing w:line="237" w:lineRule="exact"/>
              <w:ind w:right="98"/>
              <w:jc w:val="right"/>
              <w:rPr>
                <w:rFonts w:ascii="Times New Roman"/>
                <w:sz w:val="21"/>
              </w:rPr>
            </w:pPr>
            <w:r>
              <w:rPr>
                <w:rFonts w:ascii="Times New Roman"/>
                <w:sz w:val="21"/>
              </w:rPr>
              <w:t>32,866</w:t>
            </w:r>
          </w:p>
        </w:tc>
      </w:tr>
      <w:tr>
        <w:trPr>
          <w:trHeight w:val="273" w:hRule="atLeast"/>
        </w:trPr>
        <w:tc>
          <w:tcPr>
            <w:tcW w:w="3322" w:type="dxa"/>
          </w:tcPr>
          <w:p>
            <w:pPr>
              <w:pStyle w:val="TableParagraph"/>
              <w:spacing w:line="252" w:lineRule="exact" w:before="1"/>
              <w:ind w:left="1482" w:right="1370"/>
              <w:jc w:val="center"/>
              <w:rPr>
                <w:sz w:val="21"/>
              </w:rPr>
            </w:pPr>
            <w:r>
              <w:rPr>
                <w:sz w:val="21"/>
              </w:rPr>
              <w:t>合计 </w:t>
            </w:r>
          </w:p>
        </w:tc>
        <w:tc>
          <w:tcPr>
            <w:tcW w:w="2842" w:type="dxa"/>
          </w:tcPr>
          <w:p>
            <w:pPr>
              <w:pStyle w:val="TableParagraph"/>
              <w:spacing w:line="229" w:lineRule="exact" w:before="24"/>
              <w:ind w:right="98"/>
              <w:jc w:val="right"/>
              <w:rPr>
                <w:rFonts w:ascii="Times New Roman"/>
                <w:sz w:val="21"/>
              </w:rPr>
            </w:pPr>
            <w:r>
              <w:rPr>
                <w:rFonts w:ascii="Times New Roman"/>
                <w:sz w:val="21"/>
              </w:rPr>
              <w:t>3,796,671</w:t>
            </w:r>
          </w:p>
        </w:tc>
        <w:tc>
          <w:tcPr>
            <w:tcW w:w="2660" w:type="dxa"/>
          </w:tcPr>
          <w:p>
            <w:pPr>
              <w:pStyle w:val="TableParagraph"/>
              <w:spacing w:line="235" w:lineRule="exact"/>
              <w:ind w:right="98"/>
              <w:jc w:val="right"/>
              <w:rPr>
                <w:rFonts w:ascii="Times New Roman"/>
                <w:sz w:val="21"/>
              </w:rPr>
            </w:pPr>
            <w:r>
              <w:rPr>
                <w:rFonts w:ascii="Times New Roman"/>
                <w:sz w:val="21"/>
              </w:rPr>
              <w:t>2,403,431</w:t>
            </w:r>
          </w:p>
        </w:tc>
      </w:tr>
    </w:tbl>
    <w:p>
      <w:pPr>
        <w:pStyle w:val="BodyText"/>
        <w:spacing w:before="1"/>
      </w:pPr>
      <w:r>
        <w:rPr>
          <w:w w:val="100"/>
        </w:rPr>
        <w:t> </w:t>
      </w:r>
    </w:p>
    <w:p>
      <w:pPr>
        <w:pStyle w:val="BodyText"/>
        <w:spacing w:before="62"/>
      </w:pPr>
      <w:r>
        <w:rPr>
          <w:spacing w:val="-1"/>
        </w:rPr>
        <w:t>支付的其他与筹资活动有关的现金说明：</w:t>
      </w:r>
      <w:r>
        <w:rPr/>
        <w:t> </w:t>
      </w:r>
    </w:p>
    <w:p>
      <w:pPr>
        <w:pStyle w:val="BodyText"/>
        <w:spacing w:line="242" w:lineRule="auto" w:before="65"/>
        <w:ind w:right="1594"/>
      </w:pPr>
      <w:r>
        <w:rPr>
          <w:spacing w:val="-1"/>
        </w:rPr>
        <w:t>2022</w:t>
      </w:r>
      <w:r>
        <w:rPr>
          <w:spacing w:val="-10"/>
        </w:rPr>
        <w:t> 年度，本集团支付的与租赁相关的总现金流出为 </w:t>
      </w:r>
      <w:r>
        <w:rPr/>
        <w:t>1,896,142</w:t>
      </w:r>
      <w:r>
        <w:rPr>
          <w:spacing w:val="-14"/>
        </w:rPr>
        <w:t> 千元(</w:t>
      </w:r>
      <w:r>
        <w:rPr/>
        <w:t>2021</w:t>
      </w:r>
      <w:r>
        <w:rPr>
          <w:spacing w:val="-14"/>
        </w:rPr>
        <w:t> 年度：</w:t>
      </w:r>
      <w:r>
        <w:rPr/>
        <w:t>1,616,017</w:t>
      </w:r>
      <w:r>
        <w:rPr>
          <w:spacing w:val="-102"/>
        </w:rPr>
        <w:t> </w:t>
      </w:r>
      <w:r>
        <w:rPr/>
        <w:t>元)，除上述计入筹资活动的偿付租赁负债支付的金额以外，其余现金流出均计入经营活动。</w:t>
      </w:r>
    </w:p>
    <w:p>
      <w:pPr>
        <w:pStyle w:val="BodyText"/>
        <w:spacing w:before="1"/>
      </w:pPr>
      <w:r>
        <w:rPr>
          <w:w w:val="100"/>
        </w:rPr>
        <w:t> </w:t>
      </w:r>
    </w:p>
    <w:p>
      <w:pPr>
        <w:pStyle w:val="BodyText"/>
        <w:spacing w:line="297" w:lineRule="auto" w:before="62"/>
        <w:ind w:right="7674"/>
      </w:pPr>
      <w:r>
        <w:rPr/>
        <w:t>79</w:t>
      </w:r>
      <w:r>
        <w:rPr>
          <w:spacing w:val="-4"/>
        </w:rPr>
        <w:t>、 现金流量表补充资料</w:t>
      </w:r>
      <w:r>
        <w:rPr/>
        <w:t>(1).现金流量表补充资料 </w:t>
      </w:r>
    </w:p>
    <w:p>
      <w:pPr>
        <w:pStyle w:val="BodyText"/>
        <w:spacing w:line="267" w:lineRule="exact"/>
      </w:pPr>
      <w:r>
        <w:rPr>
          <w:spacing w:val="11"/>
        </w:rPr>
        <w:t>√适用 □不适用</w:t>
      </w:r>
      <w:r>
        <w:rPr>
          <w:spacing w:val="-3"/>
        </w:rPr>
        <w:t> </w:t>
      </w:r>
      <w:r>
        <w:rPr/>
        <w:t> </w:t>
      </w:r>
    </w:p>
    <w:p>
      <w:pPr>
        <w:pStyle w:val="BodyText"/>
        <w:spacing w:before="5"/>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97"/>
        <w:gridCol w:w="2730"/>
        <w:gridCol w:w="2699"/>
      </w:tblGrid>
      <w:tr>
        <w:trPr>
          <w:trHeight w:val="273" w:hRule="atLeast"/>
        </w:trPr>
        <w:tc>
          <w:tcPr>
            <w:tcW w:w="3397" w:type="dxa"/>
          </w:tcPr>
          <w:p>
            <w:pPr>
              <w:pStyle w:val="TableParagraph"/>
              <w:spacing w:line="252" w:lineRule="exact" w:before="1"/>
              <w:ind w:left="1311" w:right="1199"/>
              <w:jc w:val="center"/>
              <w:rPr>
                <w:sz w:val="21"/>
              </w:rPr>
            </w:pPr>
            <w:r>
              <w:rPr>
                <w:spacing w:val="-1"/>
                <w:sz w:val="21"/>
              </w:rPr>
              <w:t>补充资料</w:t>
            </w:r>
            <w:r>
              <w:rPr>
                <w:sz w:val="21"/>
              </w:rPr>
              <w:t> </w:t>
            </w:r>
          </w:p>
        </w:tc>
        <w:tc>
          <w:tcPr>
            <w:tcW w:w="2730" w:type="dxa"/>
          </w:tcPr>
          <w:p>
            <w:pPr>
              <w:pStyle w:val="TableParagraph"/>
              <w:spacing w:line="252" w:lineRule="exact" w:before="1"/>
              <w:ind w:left="940"/>
              <w:rPr>
                <w:sz w:val="21"/>
              </w:rPr>
            </w:pPr>
            <w:r>
              <w:rPr>
                <w:spacing w:val="-1"/>
                <w:sz w:val="21"/>
              </w:rPr>
              <w:t>本期金额</w:t>
            </w:r>
            <w:r>
              <w:rPr>
                <w:sz w:val="21"/>
              </w:rPr>
              <w:t> </w:t>
            </w:r>
          </w:p>
        </w:tc>
        <w:tc>
          <w:tcPr>
            <w:tcW w:w="2699" w:type="dxa"/>
          </w:tcPr>
          <w:p>
            <w:pPr>
              <w:pStyle w:val="TableParagraph"/>
              <w:spacing w:line="252" w:lineRule="exact" w:before="1"/>
              <w:ind w:left="927"/>
              <w:rPr>
                <w:sz w:val="21"/>
              </w:rPr>
            </w:pPr>
            <w:r>
              <w:rPr>
                <w:spacing w:val="-1"/>
                <w:sz w:val="21"/>
              </w:rPr>
              <w:t>上期金额</w:t>
            </w:r>
            <w:r>
              <w:rPr>
                <w:sz w:val="21"/>
              </w:rPr>
              <w:t> </w:t>
            </w:r>
          </w:p>
        </w:tc>
      </w:tr>
      <w:tr>
        <w:trPr>
          <w:trHeight w:val="270" w:hRule="atLeast"/>
        </w:trPr>
        <w:tc>
          <w:tcPr>
            <w:tcW w:w="8826" w:type="dxa"/>
            <w:gridSpan w:val="3"/>
          </w:tcPr>
          <w:p>
            <w:pPr>
              <w:pStyle w:val="TableParagraph"/>
              <w:spacing w:line="250" w:lineRule="exact" w:before="1"/>
              <w:ind w:left="107"/>
              <w:rPr>
                <w:sz w:val="21"/>
              </w:rPr>
            </w:pPr>
            <w:r>
              <w:rPr>
                <w:sz w:val="21"/>
              </w:rPr>
              <w:t>1．将净利润调节为经营活动现金流量： </w:t>
            </w:r>
          </w:p>
        </w:tc>
      </w:tr>
      <w:tr>
        <w:trPr>
          <w:trHeight w:val="273" w:hRule="atLeast"/>
        </w:trPr>
        <w:tc>
          <w:tcPr>
            <w:tcW w:w="3397" w:type="dxa"/>
          </w:tcPr>
          <w:p>
            <w:pPr>
              <w:pStyle w:val="TableParagraph"/>
              <w:spacing w:line="250" w:lineRule="exact" w:before="3"/>
              <w:ind w:left="107"/>
              <w:rPr>
                <w:sz w:val="21"/>
              </w:rPr>
            </w:pPr>
            <w:r>
              <w:rPr>
                <w:sz w:val="21"/>
              </w:rPr>
              <w:t>净利润 </w:t>
            </w:r>
          </w:p>
        </w:tc>
        <w:tc>
          <w:tcPr>
            <w:tcW w:w="2730" w:type="dxa"/>
          </w:tcPr>
          <w:p>
            <w:pPr>
              <w:pStyle w:val="TableParagraph"/>
              <w:spacing w:before="10"/>
              <w:ind w:right="97"/>
              <w:jc w:val="right"/>
              <w:rPr>
                <w:rFonts w:ascii="Times New Roman"/>
                <w:sz w:val="21"/>
              </w:rPr>
            </w:pPr>
            <w:r>
              <w:rPr>
                <w:rFonts w:ascii="Times New Roman"/>
                <w:sz w:val="21"/>
              </w:rPr>
              <w:t>20,083,889</w:t>
            </w:r>
          </w:p>
        </w:tc>
        <w:tc>
          <w:tcPr>
            <w:tcW w:w="2699" w:type="dxa"/>
          </w:tcPr>
          <w:p>
            <w:pPr>
              <w:pStyle w:val="TableParagraph"/>
              <w:spacing w:before="10"/>
              <w:ind w:right="95"/>
              <w:jc w:val="right"/>
              <w:rPr>
                <w:rFonts w:ascii="Times New Roman"/>
                <w:sz w:val="21"/>
              </w:rPr>
            </w:pPr>
            <w:r>
              <w:rPr>
                <w:rFonts w:ascii="Times New Roman"/>
                <w:sz w:val="21"/>
              </w:rPr>
              <w:t>20,024,736</w:t>
            </w:r>
          </w:p>
        </w:tc>
      </w:tr>
      <w:tr>
        <w:trPr>
          <w:trHeight w:val="273" w:hRule="atLeast"/>
        </w:trPr>
        <w:tc>
          <w:tcPr>
            <w:tcW w:w="3397" w:type="dxa"/>
          </w:tcPr>
          <w:p>
            <w:pPr>
              <w:pStyle w:val="TableParagraph"/>
              <w:spacing w:line="252" w:lineRule="exact" w:before="1"/>
              <w:ind w:left="107"/>
              <w:rPr>
                <w:sz w:val="21"/>
              </w:rPr>
            </w:pPr>
            <w:r>
              <w:rPr>
                <w:spacing w:val="-1"/>
                <w:sz w:val="21"/>
              </w:rPr>
              <w:t>加：资产减值准备</w:t>
            </w:r>
            <w:r>
              <w:rPr>
                <w:sz w:val="21"/>
              </w:rPr>
              <w:t> </w:t>
            </w:r>
          </w:p>
        </w:tc>
        <w:tc>
          <w:tcPr>
            <w:tcW w:w="2730" w:type="dxa"/>
          </w:tcPr>
          <w:p>
            <w:pPr>
              <w:pStyle w:val="TableParagraph"/>
              <w:spacing w:before="10"/>
              <w:ind w:right="97"/>
              <w:jc w:val="right"/>
              <w:rPr>
                <w:rFonts w:ascii="Times New Roman"/>
                <w:sz w:val="21"/>
              </w:rPr>
            </w:pPr>
            <w:r>
              <w:rPr>
                <w:rFonts w:ascii="Times New Roman"/>
                <w:sz w:val="21"/>
              </w:rPr>
              <w:t>1,068,668</w:t>
            </w:r>
          </w:p>
        </w:tc>
        <w:tc>
          <w:tcPr>
            <w:tcW w:w="2699" w:type="dxa"/>
          </w:tcPr>
          <w:p>
            <w:pPr>
              <w:pStyle w:val="TableParagraph"/>
              <w:spacing w:before="10"/>
              <w:ind w:right="95"/>
              <w:jc w:val="right"/>
              <w:rPr>
                <w:rFonts w:ascii="Times New Roman"/>
                <w:sz w:val="21"/>
              </w:rPr>
            </w:pPr>
            <w:r>
              <w:rPr>
                <w:rFonts w:ascii="Times New Roman"/>
                <w:sz w:val="21"/>
              </w:rPr>
              <w:t>407,573</w:t>
            </w:r>
          </w:p>
        </w:tc>
      </w:tr>
      <w:tr>
        <w:trPr>
          <w:trHeight w:val="270" w:hRule="atLeast"/>
        </w:trPr>
        <w:tc>
          <w:tcPr>
            <w:tcW w:w="3397" w:type="dxa"/>
          </w:tcPr>
          <w:p>
            <w:pPr>
              <w:pStyle w:val="TableParagraph"/>
              <w:spacing w:line="250" w:lineRule="exact" w:before="1"/>
              <w:ind w:left="107"/>
              <w:rPr>
                <w:sz w:val="21"/>
              </w:rPr>
            </w:pPr>
            <w:r>
              <w:rPr>
                <w:spacing w:val="-1"/>
                <w:sz w:val="21"/>
              </w:rPr>
              <w:t>信用减值损失</w:t>
            </w:r>
            <w:r>
              <w:rPr>
                <w:sz w:val="21"/>
              </w:rPr>
              <w:t> </w:t>
            </w:r>
          </w:p>
        </w:tc>
        <w:tc>
          <w:tcPr>
            <w:tcW w:w="2730" w:type="dxa"/>
          </w:tcPr>
          <w:p>
            <w:pPr>
              <w:pStyle w:val="TableParagraph"/>
              <w:spacing w:before="7"/>
              <w:ind w:right="99"/>
              <w:jc w:val="right"/>
              <w:rPr>
                <w:rFonts w:ascii="Times New Roman"/>
                <w:sz w:val="21"/>
              </w:rPr>
            </w:pPr>
            <w:r>
              <w:rPr>
                <w:rFonts w:ascii="Times New Roman"/>
                <w:sz w:val="21"/>
              </w:rPr>
              <w:t>-180,094</w:t>
            </w:r>
          </w:p>
        </w:tc>
        <w:tc>
          <w:tcPr>
            <w:tcW w:w="2699" w:type="dxa"/>
          </w:tcPr>
          <w:p>
            <w:pPr>
              <w:pStyle w:val="TableParagraph"/>
              <w:spacing w:before="7"/>
              <w:ind w:right="98"/>
              <w:jc w:val="right"/>
              <w:rPr>
                <w:rFonts w:ascii="Times New Roman"/>
                <w:sz w:val="21"/>
              </w:rPr>
            </w:pPr>
            <w:r>
              <w:rPr>
                <w:rFonts w:ascii="Times New Roman"/>
                <w:sz w:val="21"/>
              </w:rPr>
              <w:t>-65,111</w:t>
            </w:r>
          </w:p>
        </w:tc>
      </w:tr>
      <w:tr>
        <w:trPr>
          <w:trHeight w:val="546" w:hRule="atLeast"/>
        </w:trPr>
        <w:tc>
          <w:tcPr>
            <w:tcW w:w="3397" w:type="dxa"/>
          </w:tcPr>
          <w:p>
            <w:pPr>
              <w:pStyle w:val="TableParagraph"/>
              <w:spacing w:line="270" w:lineRule="atLeast"/>
              <w:ind w:left="107" w:right="123"/>
              <w:rPr>
                <w:sz w:val="21"/>
              </w:rPr>
            </w:pPr>
            <w:r>
              <w:rPr>
                <w:sz w:val="21"/>
              </w:rPr>
              <w:t>固定资产折旧、油气资产折耗、生产性生物资产折旧 </w:t>
            </w:r>
          </w:p>
        </w:tc>
        <w:tc>
          <w:tcPr>
            <w:tcW w:w="2730" w:type="dxa"/>
          </w:tcPr>
          <w:p>
            <w:pPr>
              <w:pStyle w:val="TableParagraph"/>
              <w:spacing w:before="147"/>
              <w:ind w:right="97"/>
              <w:jc w:val="right"/>
              <w:rPr>
                <w:rFonts w:ascii="Times New Roman"/>
                <w:sz w:val="21"/>
              </w:rPr>
            </w:pPr>
            <w:r>
              <w:rPr>
                <w:rFonts w:ascii="Times New Roman"/>
                <w:sz w:val="21"/>
              </w:rPr>
              <w:t>3,220,238</w:t>
            </w:r>
          </w:p>
        </w:tc>
        <w:tc>
          <w:tcPr>
            <w:tcW w:w="2699" w:type="dxa"/>
          </w:tcPr>
          <w:p>
            <w:pPr>
              <w:pStyle w:val="TableParagraph"/>
              <w:spacing w:before="147"/>
              <w:ind w:right="95"/>
              <w:jc w:val="right"/>
              <w:rPr>
                <w:rFonts w:ascii="Times New Roman"/>
                <w:sz w:val="21"/>
              </w:rPr>
            </w:pPr>
            <w:r>
              <w:rPr>
                <w:rFonts w:ascii="Times New Roman"/>
                <w:sz w:val="21"/>
              </w:rPr>
              <w:t>2,515,669</w:t>
            </w:r>
          </w:p>
        </w:tc>
      </w:tr>
      <w:tr>
        <w:trPr>
          <w:trHeight w:val="270" w:hRule="atLeast"/>
        </w:trPr>
        <w:tc>
          <w:tcPr>
            <w:tcW w:w="3397" w:type="dxa"/>
          </w:tcPr>
          <w:p>
            <w:pPr>
              <w:pStyle w:val="TableParagraph"/>
              <w:spacing w:line="250" w:lineRule="exact" w:before="1"/>
              <w:ind w:left="107"/>
              <w:rPr>
                <w:sz w:val="21"/>
              </w:rPr>
            </w:pPr>
            <w:r>
              <w:rPr>
                <w:spacing w:val="-1"/>
                <w:sz w:val="21"/>
              </w:rPr>
              <w:t>使用权资产摊销</w:t>
            </w:r>
            <w:r>
              <w:rPr>
                <w:sz w:val="21"/>
              </w:rPr>
              <w:t> </w:t>
            </w:r>
          </w:p>
        </w:tc>
        <w:tc>
          <w:tcPr>
            <w:tcW w:w="2730" w:type="dxa"/>
          </w:tcPr>
          <w:p>
            <w:pPr>
              <w:pStyle w:val="TableParagraph"/>
              <w:spacing w:before="7"/>
              <w:ind w:right="97"/>
              <w:jc w:val="right"/>
              <w:rPr>
                <w:rFonts w:ascii="Times New Roman"/>
                <w:sz w:val="21"/>
              </w:rPr>
            </w:pPr>
            <w:r>
              <w:rPr>
                <w:rFonts w:ascii="Times New Roman"/>
                <w:sz w:val="21"/>
              </w:rPr>
              <w:t>1,590,596</w:t>
            </w:r>
          </w:p>
        </w:tc>
        <w:tc>
          <w:tcPr>
            <w:tcW w:w="2699" w:type="dxa"/>
          </w:tcPr>
          <w:p>
            <w:pPr>
              <w:pStyle w:val="TableParagraph"/>
              <w:spacing w:before="7"/>
              <w:ind w:right="95"/>
              <w:jc w:val="right"/>
              <w:rPr>
                <w:rFonts w:ascii="Times New Roman"/>
                <w:sz w:val="21"/>
              </w:rPr>
            </w:pPr>
            <w:r>
              <w:rPr>
                <w:rFonts w:ascii="Times New Roman"/>
                <w:sz w:val="21"/>
              </w:rPr>
              <w:t>1,462,055</w:t>
            </w:r>
          </w:p>
        </w:tc>
      </w:tr>
      <w:tr>
        <w:trPr>
          <w:trHeight w:val="273" w:hRule="atLeast"/>
        </w:trPr>
        <w:tc>
          <w:tcPr>
            <w:tcW w:w="3397" w:type="dxa"/>
          </w:tcPr>
          <w:p>
            <w:pPr>
              <w:pStyle w:val="TableParagraph"/>
              <w:spacing w:line="252" w:lineRule="exact" w:before="1"/>
              <w:ind w:left="107"/>
              <w:rPr>
                <w:sz w:val="21"/>
              </w:rPr>
            </w:pPr>
            <w:r>
              <w:rPr>
                <w:spacing w:val="-1"/>
                <w:sz w:val="21"/>
              </w:rPr>
              <w:t>无形资产摊销</w:t>
            </w:r>
            <w:r>
              <w:rPr>
                <w:sz w:val="21"/>
              </w:rPr>
              <w:t> </w:t>
            </w:r>
          </w:p>
        </w:tc>
        <w:tc>
          <w:tcPr>
            <w:tcW w:w="2730" w:type="dxa"/>
          </w:tcPr>
          <w:p>
            <w:pPr>
              <w:pStyle w:val="TableParagraph"/>
              <w:rPr>
                <w:rFonts w:ascii="Times New Roman"/>
                <w:sz w:val="20"/>
              </w:rPr>
            </w:pPr>
          </w:p>
        </w:tc>
        <w:tc>
          <w:tcPr>
            <w:tcW w:w="2699" w:type="dxa"/>
          </w:tcPr>
          <w:p>
            <w:pPr>
              <w:pStyle w:val="TableParagraph"/>
              <w:rPr>
                <w:rFonts w:ascii="Times New Roman"/>
                <w:sz w:val="20"/>
              </w:rPr>
            </w:pPr>
          </w:p>
        </w:tc>
      </w:tr>
      <w:tr>
        <w:trPr>
          <w:trHeight w:val="270" w:hRule="atLeast"/>
        </w:trPr>
        <w:tc>
          <w:tcPr>
            <w:tcW w:w="3397" w:type="dxa"/>
          </w:tcPr>
          <w:p>
            <w:pPr>
              <w:pStyle w:val="TableParagraph"/>
              <w:spacing w:line="250" w:lineRule="exact" w:before="1"/>
              <w:ind w:left="107"/>
              <w:rPr>
                <w:sz w:val="21"/>
              </w:rPr>
            </w:pPr>
            <w:r>
              <w:rPr>
                <w:spacing w:val="-1"/>
                <w:sz w:val="21"/>
              </w:rPr>
              <w:t>长期待摊费用摊销</w:t>
            </w:r>
            <w:r>
              <w:rPr>
                <w:sz w:val="21"/>
              </w:rPr>
              <w:t> </w:t>
            </w:r>
          </w:p>
        </w:tc>
        <w:tc>
          <w:tcPr>
            <w:tcW w:w="2730" w:type="dxa"/>
          </w:tcPr>
          <w:p>
            <w:pPr>
              <w:pStyle w:val="TableParagraph"/>
              <w:rPr>
                <w:rFonts w:ascii="Times New Roman"/>
                <w:sz w:val="20"/>
              </w:rPr>
            </w:pPr>
          </w:p>
        </w:tc>
        <w:tc>
          <w:tcPr>
            <w:tcW w:w="2699" w:type="dxa"/>
          </w:tcPr>
          <w:p>
            <w:pPr>
              <w:pStyle w:val="TableParagraph"/>
              <w:rPr>
                <w:rFonts w:ascii="Times New Roman"/>
                <w:sz w:val="20"/>
              </w:rPr>
            </w:pPr>
          </w:p>
        </w:tc>
      </w:tr>
      <w:tr>
        <w:trPr>
          <w:trHeight w:val="818" w:hRule="atLeast"/>
        </w:trPr>
        <w:tc>
          <w:tcPr>
            <w:tcW w:w="3397" w:type="dxa"/>
          </w:tcPr>
          <w:p>
            <w:pPr>
              <w:pStyle w:val="TableParagraph"/>
              <w:spacing w:line="242" w:lineRule="auto" w:before="3"/>
              <w:ind w:left="107" w:right="123"/>
              <w:rPr>
                <w:sz w:val="21"/>
              </w:rPr>
            </w:pPr>
            <w:r>
              <w:rPr>
                <w:sz w:val="21"/>
              </w:rPr>
              <w:t>处置固定资产、无形资产和其他长期资产的损失（收益以“－”号填</w:t>
            </w:r>
          </w:p>
          <w:p>
            <w:pPr>
              <w:pStyle w:val="TableParagraph"/>
              <w:spacing w:line="250" w:lineRule="exact" w:before="2"/>
              <w:ind w:left="107"/>
              <w:rPr>
                <w:sz w:val="21"/>
              </w:rPr>
            </w:pPr>
            <w:r>
              <w:rPr>
                <w:sz w:val="21"/>
              </w:rPr>
              <w:t>列） </w:t>
            </w:r>
          </w:p>
        </w:tc>
        <w:tc>
          <w:tcPr>
            <w:tcW w:w="2730" w:type="dxa"/>
          </w:tcPr>
          <w:p>
            <w:pPr>
              <w:pStyle w:val="TableParagraph"/>
              <w:spacing w:before="1"/>
              <w:rPr>
                <w:sz w:val="22"/>
              </w:rPr>
            </w:pPr>
          </w:p>
          <w:p>
            <w:pPr>
              <w:pStyle w:val="TableParagraph"/>
              <w:spacing w:before="1"/>
              <w:ind w:right="99"/>
              <w:jc w:val="right"/>
              <w:rPr>
                <w:rFonts w:ascii="Times New Roman"/>
                <w:sz w:val="21"/>
              </w:rPr>
            </w:pPr>
            <w:r>
              <w:rPr>
                <w:rFonts w:ascii="Times New Roman"/>
                <w:sz w:val="21"/>
              </w:rPr>
              <w:t>-8,825</w:t>
            </w:r>
          </w:p>
        </w:tc>
        <w:tc>
          <w:tcPr>
            <w:tcW w:w="2699" w:type="dxa"/>
          </w:tcPr>
          <w:p>
            <w:pPr>
              <w:pStyle w:val="TableParagraph"/>
              <w:spacing w:before="1"/>
              <w:rPr>
                <w:sz w:val="22"/>
              </w:rPr>
            </w:pPr>
          </w:p>
          <w:p>
            <w:pPr>
              <w:pStyle w:val="TableParagraph"/>
              <w:spacing w:before="1"/>
              <w:ind w:right="98"/>
              <w:jc w:val="right"/>
              <w:rPr>
                <w:rFonts w:ascii="Times New Roman"/>
                <w:sz w:val="21"/>
              </w:rPr>
            </w:pPr>
            <w:r>
              <w:rPr>
                <w:rFonts w:ascii="Times New Roman"/>
                <w:sz w:val="21"/>
              </w:rPr>
              <w:t>-13,590</w:t>
            </w:r>
          </w:p>
        </w:tc>
      </w:tr>
      <w:tr>
        <w:trPr>
          <w:trHeight w:val="544" w:hRule="atLeast"/>
        </w:trPr>
        <w:tc>
          <w:tcPr>
            <w:tcW w:w="3397" w:type="dxa"/>
          </w:tcPr>
          <w:p>
            <w:pPr>
              <w:pStyle w:val="TableParagraph"/>
              <w:spacing w:before="1"/>
              <w:ind w:left="107"/>
              <w:rPr>
                <w:sz w:val="21"/>
              </w:rPr>
            </w:pPr>
            <w:r>
              <w:rPr>
                <w:sz w:val="21"/>
              </w:rPr>
              <w:t>固定资产报废损失（收益以“－”</w:t>
            </w:r>
          </w:p>
          <w:p>
            <w:pPr>
              <w:pStyle w:val="TableParagraph"/>
              <w:spacing w:line="250" w:lineRule="exact" w:before="4"/>
              <w:ind w:left="107"/>
              <w:rPr>
                <w:sz w:val="21"/>
              </w:rPr>
            </w:pPr>
            <w:r>
              <w:rPr>
                <w:spacing w:val="-1"/>
                <w:sz w:val="21"/>
              </w:rPr>
              <w:t>号填列</w:t>
            </w:r>
            <w:r>
              <w:rPr>
                <w:sz w:val="21"/>
              </w:rPr>
              <w:t>） </w:t>
            </w:r>
          </w:p>
        </w:tc>
        <w:tc>
          <w:tcPr>
            <w:tcW w:w="2730" w:type="dxa"/>
          </w:tcPr>
          <w:p>
            <w:pPr>
              <w:pStyle w:val="TableParagraph"/>
              <w:spacing w:before="144"/>
              <w:ind w:right="97"/>
              <w:jc w:val="right"/>
              <w:rPr>
                <w:rFonts w:ascii="Times New Roman"/>
                <w:sz w:val="21"/>
              </w:rPr>
            </w:pPr>
            <w:r>
              <w:rPr>
                <w:rFonts w:ascii="Times New Roman"/>
                <w:sz w:val="21"/>
              </w:rPr>
              <w:t>21,995</w:t>
            </w:r>
          </w:p>
        </w:tc>
        <w:tc>
          <w:tcPr>
            <w:tcW w:w="2699" w:type="dxa"/>
          </w:tcPr>
          <w:p>
            <w:pPr>
              <w:pStyle w:val="TableParagraph"/>
              <w:spacing w:before="144"/>
              <w:ind w:right="95"/>
              <w:jc w:val="right"/>
              <w:rPr>
                <w:rFonts w:ascii="Times New Roman"/>
                <w:sz w:val="21"/>
              </w:rPr>
            </w:pPr>
            <w:r>
              <w:rPr>
                <w:rFonts w:ascii="Times New Roman"/>
                <w:sz w:val="21"/>
              </w:rPr>
              <w:t>10,741</w:t>
            </w:r>
          </w:p>
        </w:tc>
      </w:tr>
      <w:tr>
        <w:trPr>
          <w:trHeight w:val="544" w:hRule="atLeast"/>
        </w:trPr>
        <w:tc>
          <w:tcPr>
            <w:tcW w:w="3397" w:type="dxa"/>
          </w:tcPr>
          <w:p>
            <w:pPr>
              <w:pStyle w:val="TableParagraph"/>
              <w:spacing w:before="1"/>
              <w:ind w:left="107"/>
              <w:rPr>
                <w:sz w:val="21"/>
              </w:rPr>
            </w:pPr>
            <w:r>
              <w:rPr>
                <w:sz w:val="21"/>
              </w:rPr>
              <w:t>公允价值变动损失（收益以“－”</w:t>
            </w:r>
          </w:p>
          <w:p>
            <w:pPr>
              <w:pStyle w:val="TableParagraph"/>
              <w:spacing w:line="250" w:lineRule="exact" w:before="4"/>
              <w:ind w:left="107"/>
              <w:rPr>
                <w:sz w:val="21"/>
              </w:rPr>
            </w:pPr>
            <w:r>
              <w:rPr>
                <w:spacing w:val="-1"/>
                <w:sz w:val="21"/>
              </w:rPr>
              <w:t>号填列</w:t>
            </w:r>
            <w:r>
              <w:rPr>
                <w:sz w:val="21"/>
              </w:rPr>
              <w:t>） </w:t>
            </w:r>
          </w:p>
        </w:tc>
        <w:tc>
          <w:tcPr>
            <w:tcW w:w="2730" w:type="dxa"/>
          </w:tcPr>
          <w:p>
            <w:pPr>
              <w:pStyle w:val="TableParagraph"/>
              <w:spacing w:before="144"/>
              <w:ind w:right="97"/>
              <w:jc w:val="right"/>
              <w:rPr>
                <w:rFonts w:ascii="Times New Roman"/>
                <w:sz w:val="21"/>
              </w:rPr>
            </w:pPr>
            <w:r>
              <w:rPr>
                <w:rFonts w:ascii="Times New Roman"/>
                <w:sz w:val="21"/>
              </w:rPr>
              <w:t>70,113</w:t>
            </w:r>
          </w:p>
        </w:tc>
        <w:tc>
          <w:tcPr>
            <w:tcW w:w="2699" w:type="dxa"/>
          </w:tcPr>
          <w:p>
            <w:pPr>
              <w:pStyle w:val="TableParagraph"/>
              <w:spacing w:before="144"/>
              <w:ind w:right="95"/>
              <w:jc w:val="right"/>
              <w:rPr>
                <w:rFonts w:ascii="Times New Roman"/>
                <w:sz w:val="21"/>
              </w:rPr>
            </w:pPr>
            <w:r>
              <w:rPr>
                <w:rFonts w:ascii="Times New Roman"/>
                <w:sz w:val="21"/>
              </w:rPr>
              <w:t>481,483</w:t>
            </w:r>
          </w:p>
        </w:tc>
      </w:tr>
      <w:tr>
        <w:trPr>
          <w:trHeight w:val="273" w:hRule="atLeast"/>
        </w:trPr>
        <w:tc>
          <w:tcPr>
            <w:tcW w:w="3397" w:type="dxa"/>
          </w:tcPr>
          <w:p>
            <w:pPr>
              <w:pStyle w:val="TableParagraph"/>
              <w:spacing w:line="252" w:lineRule="exact" w:before="1"/>
              <w:ind w:left="107"/>
              <w:rPr>
                <w:sz w:val="21"/>
              </w:rPr>
            </w:pPr>
            <w:r>
              <w:rPr>
                <w:spacing w:val="-1"/>
                <w:sz w:val="21"/>
              </w:rPr>
              <w:t>财务费用</w:t>
            </w:r>
            <w:r>
              <w:rPr>
                <w:sz w:val="21"/>
              </w:rPr>
              <w:t>（收益以“－”号填列） </w:t>
            </w:r>
          </w:p>
        </w:tc>
        <w:tc>
          <w:tcPr>
            <w:tcW w:w="2730" w:type="dxa"/>
          </w:tcPr>
          <w:p>
            <w:pPr>
              <w:pStyle w:val="TableParagraph"/>
              <w:spacing w:before="10"/>
              <w:ind w:right="97"/>
              <w:jc w:val="right"/>
              <w:rPr>
                <w:rFonts w:ascii="Times New Roman"/>
                <w:sz w:val="21"/>
              </w:rPr>
            </w:pPr>
            <w:r>
              <w:rPr>
                <w:rFonts w:ascii="Times New Roman"/>
                <w:sz w:val="21"/>
              </w:rPr>
              <w:t>1,481,891</w:t>
            </w:r>
          </w:p>
        </w:tc>
        <w:tc>
          <w:tcPr>
            <w:tcW w:w="2699" w:type="dxa"/>
          </w:tcPr>
          <w:p>
            <w:pPr>
              <w:pStyle w:val="TableParagraph"/>
              <w:spacing w:before="10"/>
              <w:ind w:right="95"/>
              <w:jc w:val="right"/>
              <w:rPr>
                <w:rFonts w:ascii="Times New Roman"/>
                <w:sz w:val="21"/>
              </w:rPr>
            </w:pPr>
            <w:r>
              <w:rPr>
                <w:rFonts w:ascii="Times New Roman"/>
                <w:sz w:val="21"/>
              </w:rPr>
              <w:t>492,427</w:t>
            </w:r>
          </w:p>
        </w:tc>
      </w:tr>
      <w:tr>
        <w:trPr>
          <w:trHeight w:val="273" w:hRule="atLeast"/>
        </w:trPr>
        <w:tc>
          <w:tcPr>
            <w:tcW w:w="3397" w:type="dxa"/>
          </w:tcPr>
          <w:p>
            <w:pPr>
              <w:pStyle w:val="TableParagraph"/>
              <w:spacing w:line="252" w:lineRule="exact" w:before="1"/>
              <w:ind w:left="107"/>
              <w:rPr>
                <w:sz w:val="21"/>
              </w:rPr>
            </w:pPr>
            <w:r>
              <w:rPr>
                <w:spacing w:val="-1"/>
                <w:sz w:val="21"/>
              </w:rPr>
              <w:t>投资损失</w:t>
            </w:r>
            <w:r>
              <w:rPr>
                <w:sz w:val="21"/>
              </w:rPr>
              <w:t>（收益以“－”号填列） </w:t>
            </w:r>
          </w:p>
        </w:tc>
        <w:tc>
          <w:tcPr>
            <w:tcW w:w="2730" w:type="dxa"/>
          </w:tcPr>
          <w:p>
            <w:pPr>
              <w:pStyle w:val="TableParagraph"/>
              <w:spacing w:before="10"/>
              <w:ind w:right="99"/>
              <w:jc w:val="right"/>
              <w:rPr>
                <w:rFonts w:ascii="Times New Roman"/>
                <w:sz w:val="21"/>
              </w:rPr>
            </w:pPr>
            <w:r>
              <w:rPr>
                <w:rFonts w:ascii="Times New Roman"/>
                <w:sz w:val="21"/>
              </w:rPr>
              <w:t>-30,264</w:t>
            </w:r>
          </w:p>
        </w:tc>
        <w:tc>
          <w:tcPr>
            <w:tcW w:w="2699" w:type="dxa"/>
          </w:tcPr>
          <w:p>
            <w:pPr>
              <w:pStyle w:val="TableParagraph"/>
              <w:spacing w:before="10"/>
              <w:ind w:right="98"/>
              <w:jc w:val="right"/>
              <w:rPr>
                <w:rFonts w:ascii="Times New Roman"/>
                <w:sz w:val="21"/>
              </w:rPr>
            </w:pPr>
            <w:r>
              <w:rPr>
                <w:rFonts w:ascii="Times New Roman"/>
                <w:sz w:val="21"/>
              </w:rPr>
              <w:t>-979,147</w:t>
            </w:r>
          </w:p>
        </w:tc>
      </w:tr>
      <w:tr>
        <w:trPr>
          <w:trHeight w:val="544" w:hRule="atLeast"/>
        </w:trPr>
        <w:tc>
          <w:tcPr>
            <w:tcW w:w="3397" w:type="dxa"/>
          </w:tcPr>
          <w:p>
            <w:pPr>
              <w:pStyle w:val="TableParagraph"/>
              <w:spacing w:before="1"/>
              <w:ind w:left="107"/>
              <w:rPr>
                <w:sz w:val="21"/>
              </w:rPr>
            </w:pPr>
            <w:r>
              <w:rPr>
                <w:sz w:val="21"/>
              </w:rPr>
              <w:t>递延所得税资产减少（增加以</w:t>
            </w:r>
          </w:p>
          <w:p>
            <w:pPr>
              <w:pStyle w:val="TableParagraph"/>
              <w:spacing w:line="252" w:lineRule="exact" w:before="2"/>
              <w:ind w:left="107"/>
              <w:rPr>
                <w:sz w:val="21"/>
              </w:rPr>
            </w:pPr>
            <w:r>
              <w:rPr>
                <w:sz w:val="21"/>
              </w:rPr>
              <w:t>“－”号填列） </w:t>
            </w:r>
          </w:p>
        </w:tc>
        <w:tc>
          <w:tcPr>
            <w:tcW w:w="2730" w:type="dxa"/>
          </w:tcPr>
          <w:p>
            <w:pPr>
              <w:pStyle w:val="TableParagraph"/>
              <w:spacing w:before="144"/>
              <w:ind w:right="97"/>
              <w:jc w:val="right"/>
              <w:rPr>
                <w:rFonts w:ascii="Times New Roman"/>
                <w:sz w:val="21"/>
              </w:rPr>
            </w:pPr>
            <w:r>
              <w:rPr>
                <w:rFonts w:ascii="Times New Roman"/>
                <w:sz w:val="21"/>
              </w:rPr>
              <w:t>76,633</w:t>
            </w:r>
          </w:p>
        </w:tc>
        <w:tc>
          <w:tcPr>
            <w:tcW w:w="2699" w:type="dxa"/>
          </w:tcPr>
          <w:p>
            <w:pPr>
              <w:pStyle w:val="TableParagraph"/>
              <w:spacing w:before="144"/>
              <w:ind w:right="95"/>
              <w:jc w:val="right"/>
              <w:rPr>
                <w:rFonts w:ascii="Times New Roman"/>
                <w:sz w:val="21"/>
              </w:rPr>
            </w:pPr>
            <w:r>
              <w:rPr>
                <w:rFonts w:ascii="Times New Roman"/>
                <w:sz w:val="21"/>
              </w:rPr>
              <w:t>158,756</w:t>
            </w:r>
          </w:p>
        </w:tc>
      </w:tr>
    </w:tbl>
    <w:p>
      <w:pPr>
        <w:spacing w:after="0"/>
        <w:jc w:val="right"/>
        <w:rPr>
          <w:rFonts w:ascii="Times New Roman"/>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97"/>
        <w:gridCol w:w="2730"/>
        <w:gridCol w:w="2699"/>
      </w:tblGrid>
      <w:tr>
        <w:trPr>
          <w:trHeight w:val="547" w:hRule="atLeast"/>
        </w:trPr>
        <w:tc>
          <w:tcPr>
            <w:tcW w:w="3397" w:type="dxa"/>
          </w:tcPr>
          <w:p>
            <w:pPr>
              <w:pStyle w:val="TableParagraph"/>
              <w:spacing w:line="270" w:lineRule="atLeast"/>
              <w:ind w:left="107" w:right="543"/>
              <w:rPr>
                <w:sz w:val="21"/>
              </w:rPr>
            </w:pPr>
            <w:r>
              <w:rPr>
                <w:sz w:val="21"/>
              </w:rPr>
              <w:t>递延所得税负债增加（减少以“－”号填列） </w:t>
            </w:r>
          </w:p>
        </w:tc>
        <w:tc>
          <w:tcPr>
            <w:tcW w:w="2730" w:type="dxa"/>
          </w:tcPr>
          <w:p>
            <w:pPr>
              <w:pStyle w:val="TableParagraph"/>
              <w:spacing w:before="147"/>
              <w:ind w:right="97"/>
              <w:jc w:val="right"/>
              <w:rPr>
                <w:rFonts w:ascii="Times New Roman"/>
                <w:sz w:val="21"/>
              </w:rPr>
            </w:pPr>
            <w:r>
              <w:rPr>
                <w:rFonts w:ascii="Times New Roman"/>
                <w:sz w:val="21"/>
              </w:rPr>
              <w:t>224,045</w:t>
            </w:r>
          </w:p>
        </w:tc>
        <w:tc>
          <w:tcPr>
            <w:tcW w:w="2699" w:type="dxa"/>
          </w:tcPr>
          <w:p>
            <w:pPr>
              <w:pStyle w:val="TableParagraph"/>
              <w:spacing w:before="147"/>
              <w:ind w:right="98"/>
              <w:jc w:val="right"/>
              <w:rPr>
                <w:rFonts w:ascii="Times New Roman"/>
                <w:sz w:val="21"/>
              </w:rPr>
            </w:pPr>
            <w:r>
              <w:rPr>
                <w:rFonts w:ascii="Times New Roman"/>
                <w:sz w:val="21"/>
              </w:rPr>
              <w:t>-96,976</w:t>
            </w:r>
          </w:p>
        </w:tc>
      </w:tr>
      <w:tr>
        <w:trPr>
          <w:trHeight w:val="544" w:hRule="atLeast"/>
        </w:trPr>
        <w:tc>
          <w:tcPr>
            <w:tcW w:w="3397" w:type="dxa"/>
          </w:tcPr>
          <w:p>
            <w:pPr>
              <w:pStyle w:val="TableParagraph"/>
              <w:spacing w:before="1"/>
              <w:ind w:left="107"/>
              <w:rPr>
                <w:sz w:val="21"/>
              </w:rPr>
            </w:pPr>
            <w:r>
              <w:rPr>
                <w:sz w:val="21"/>
              </w:rPr>
              <w:t>存货的减少（增加以“－”号填</w:t>
            </w:r>
          </w:p>
          <w:p>
            <w:pPr>
              <w:pStyle w:val="TableParagraph"/>
              <w:spacing w:line="252" w:lineRule="exact" w:before="2"/>
              <w:ind w:left="107"/>
              <w:rPr>
                <w:sz w:val="21"/>
              </w:rPr>
            </w:pPr>
            <w:r>
              <w:rPr>
                <w:sz w:val="21"/>
              </w:rPr>
              <w:t>列） </w:t>
            </w:r>
          </w:p>
        </w:tc>
        <w:tc>
          <w:tcPr>
            <w:tcW w:w="2730" w:type="dxa"/>
          </w:tcPr>
          <w:p>
            <w:pPr>
              <w:pStyle w:val="TableParagraph"/>
              <w:spacing w:before="144"/>
              <w:ind w:right="97"/>
              <w:jc w:val="right"/>
              <w:rPr>
                <w:rFonts w:ascii="Times New Roman"/>
                <w:sz w:val="21"/>
              </w:rPr>
            </w:pPr>
            <w:r>
              <w:rPr>
                <w:rFonts w:ascii="Times New Roman"/>
                <w:sz w:val="21"/>
              </w:rPr>
              <w:t>-6,480,255</w:t>
            </w:r>
          </w:p>
        </w:tc>
        <w:tc>
          <w:tcPr>
            <w:tcW w:w="2699" w:type="dxa"/>
          </w:tcPr>
          <w:p>
            <w:pPr>
              <w:pStyle w:val="TableParagraph"/>
              <w:spacing w:before="144"/>
              <w:ind w:right="95"/>
              <w:jc w:val="right"/>
              <w:rPr>
                <w:rFonts w:ascii="Times New Roman"/>
                <w:sz w:val="21"/>
              </w:rPr>
            </w:pPr>
            <w:r>
              <w:rPr>
                <w:rFonts w:ascii="Times New Roman"/>
                <w:sz w:val="21"/>
              </w:rPr>
              <w:t>-26,968,993</w:t>
            </w:r>
          </w:p>
        </w:tc>
      </w:tr>
      <w:tr>
        <w:trPr>
          <w:trHeight w:val="544" w:hRule="atLeast"/>
        </w:trPr>
        <w:tc>
          <w:tcPr>
            <w:tcW w:w="3397" w:type="dxa"/>
          </w:tcPr>
          <w:p>
            <w:pPr>
              <w:pStyle w:val="TableParagraph"/>
              <w:spacing w:before="1"/>
              <w:ind w:left="107"/>
              <w:rPr>
                <w:sz w:val="21"/>
              </w:rPr>
            </w:pPr>
            <w:r>
              <w:rPr>
                <w:sz w:val="21"/>
              </w:rPr>
              <w:t>经营性应收项目的减少（增加以</w:t>
            </w:r>
          </w:p>
          <w:p>
            <w:pPr>
              <w:pStyle w:val="TableParagraph"/>
              <w:spacing w:line="252" w:lineRule="exact" w:before="2"/>
              <w:ind w:left="107"/>
              <w:rPr>
                <w:sz w:val="21"/>
              </w:rPr>
            </w:pPr>
            <w:r>
              <w:rPr>
                <w:sz w:val="21"/>
              </w:rPr>
              <w:t>“－”号填列） </w:t>
            </w:r>
          </w:p>
        </w:tc>
        <w:tc>
          <w:tcPr>
            <w:tcW w:w="2730" w:type="dxa"/>
          </w:tcPr>
          <w:p>
            <w:pPr>
              <w:pStyle w:val="TableParagraph"/>
              <w:spacing w:before="144"/>
              <w:ind w:right="97"/>
              <w:jc w:val="right"/>
              <w:rPr>
                <w:rFonts w:ascii="Times New Roman"/>
                <w:sz w:val="21"/>
              </w:rPr>
            </w:pPr>
            <w:r>
              <w:rPr>
                <w:rFonts w:ascii="Times New Roman"/>
                <w:sz w:val="21"/>
              </w:rPr>
              <w:t>-6,059,039</w:t>
            </w:r>
          </w:p>
        </w:tc>
        <w:tc>
          <w:tcPr>
            <w:tcW w:w="2699" w:type="dxa"/>
          </w:tcPr>
          <w:p>
            <w:pPr>
              <w:pStyle w:val="TableParagraph"/>
              <w:spacing w:before="144"/>
              <w:ind w:right="95"/>
              <w:jc w:val="right"/>
              <w:rPr>
                <w:rFonts w:ascii="Times New Roman"/>
                <w:sz w:val="21"/>
              </w:rPr>
            </w:pPr>
            <w:r>
              <w:rPr>
                <w:rFonts w:ascii="Times New Roman"/>
                <w:sz w:val="21"/>
              </w:rPr>
              <w:t>-2,494,859</w:t>
            </w:r>
          </w:p>
        </w:tc>
      </w:tr>
      <w:tr>
        <w:trPr>
          <w:trHeight w:val="544" w:hRule="atLeast"/>
        </w:trPr>
        <w:tc>
          <w:tcPr>
            <w:tcW w:w="3397" w:type="dxa"/>
          </w:tcPr>
          <w:p>
            <w:pPr>
              <w:pStyle w:val="TableParagraph"/>
              <w:spacing w:before="1"/>
              <w:ind w:left="107"/>
              <w:rPr>
                <w:sz w:val="21"/>
              </w:rPr>
            </w:pPr>
            <w:r>
              <w:rPr>
                <w:sz w:val="21"/>
              </w:rPr>
              <w:t>经营性应付项目的增加（减少以</w:t>
            </w:r>
          </w:p>
          <w:p>
            <w:pPr>
              <w:pStyle w:val="TableParagraph"/>
              <w:spacing w:line="252" w:lineRule="exact" w:before="2"/>
              <w:ind w:left="107"/>
              <w:rPr>
                <w:sz w:val="21"/>
              </w:rPr>
            </w:pPr>
            <w:r>
              <w:rPr>
                <w:sz w:val="21"/>
              </w:rPr>
              <w:t>“－”号填列） </w:t>
            </w:r>
          </w:p>
        </w:tc>
        <w:tc>
          <w:tcPr>
            <w:tcW w:w="2730" w:type="dxa"/>
          </w:tcPr>
          <w:p>
            <w:pPr>
              <w:pStyle w:val="TableParagraph"/>
              <w:spacing w:before="144"/>
              <w:ind w:right="97"/>
              <w:jc w:val="right"/>
              <w:rPr>
                <w:rFonts w:ascii="Times New Roman"/>
                <w:sz w:val="21"/>
              </w:rPr>
            </w:pPr>
            <w:r>
              <w:rPr>
                <w:rFonts w:ascii="Times New Roman"/>
                <w:sz w:val="21"/>
              </w:rPr>
              <w:t>64,503</w:t>
            </w:r>
          </w:p>
        </w:tc>
        <w:tc>
          <w:tcPr>
            <w:tcW w:w="2699" w:type="dxa"/>
          </w:tcPr>
          <w:p>
            <w:pPr>
              <w:pStyle w:val="TableParagraph"/>
              <w:spacing w:before="144"/>
              <w:ind w:right="95"/>
              <w:jc w:val="right"/>
              <w:rPr>
                <w:rFonts w:ascii="Times New Roman"/>
                <w:sz w:val="21"/>
              </w:rPr>
            </w:pPr>
            <w:r>
              <w:rPr>
                <w:rFonts w:ascii="Times New Roman"/>
                <w:sz w:val="21"/>
              </w:rPr>
              <w:t>13,256,271</w:t>
            </w:r>
          </w:p>
        </w:tc>
      </w:tr>
      <w:tr>
        <w:trPr>
          <w:trHeight w:val="273" w:hRule="atLeast"/>
        </w:trPr>
        <w:tc>
          <w:tcPr>
            <w:tcW w:w="3397" w:type="dxa"/>
          </w:tcPr>
          <w:p>
            <w:pPr>
              <w:pStyle w:val="TableParagraph"/>
              <w:spacing w:line="252" w:lineRule="exact" w:before="1"/>
              <w:ind w:left="107"/>
              <w:rPr>
                <w:sz w:val="21"/>
              </w:rPr>
            </w:pPr>
            <w:r>
              <w:rPr>
                <w:sz w:val="21"/>
              </w:rPr>
              <w:t>其他 </w:t>
            </w:r>
          </w:p>
        </w:tc>
        <w:tc>
          <w:tcPr>
            <w:tcW w:w="2730" w:type="dxa"/>
          </w:tcPr>
          <w:p>
            <w:pPr>
              <w:pStyle w:val="TableParagraph"/>
              <w:spacing w:before="7"/>
              <w:ind w:right="97"/>
              <w:jc w:val="right"/>
              <w:rPr>
                <w:rFonts w:ascii="Times New Roman"/>
                <w:sz w:val="21"/>
              </w:rPr>
            </w:pPr>
            <w:r>
              <w:rPr>
                <w:rFonts w:ascii="Times New Roman"/>
                <w:sz w:val="21"/>
              </w:rPr>
              <w:t>221,533</w:t>
            </w:r>
          </w:p>
        </w:tc>
        <w:tc>
          <w:tcPr>
            <w:tcW w:w="2699" w:type="dxa"/>
          </w:tcPr>
          <w:p>
            <w:pPr>
              <w:pStyle w:val="TableParagraph"/>
              <w:spacing w:before="7"/>
              <w:ind w:right="95"/>
              <w:jc w:val="right"/>
              <w:rPr>
                <w:rFonts w:ascii="Times New Roman"/>
                <w:sz w:val="21"/>
              </w:rPr>
            </w:pPr>
            <w:r>
              <w:rPr>
                <w:rFonts w:ascii="Times New Roman"/>
                <w:sz w:val="21"/>
              </w:rPr>
              <w:t>533,550</w:t>
            </w:r>
          </w:p>
        </w:tc>
      </w:tr>
      <w:tr>
        <w:trPr>
          <w:trHeight w:val="270" w:hRule="atLeast"/>
        </w:trPr>
        <w:tc>
          <w:tcPr>
            <w:tcW w:w="3397" w:type="dxa"/>
          </w:tcPr>
          <w:p>
            <w:pPr>
              <w:pStyle w:val="TableParagraph"/>
              <w:spacing w:line="250" w:lineRule="exact" w:before="1"/>
              <w:ind w:left="107"/>
              <w:rPr>
                <w:sz w:val="21"/>
              </w:rPr>
            </w:pPr>
            <w:r>
              <w:rPr>
                <w:spacing w:val="-1"/>
                <w:sz w:val="21"/>
              </w:rPr>
              <w:t>经营活动产生的现金流量净额</w:t>
            </w:r>
            <w:r>
              <w:rPr>
                <w:sz w:val="21"/>
              </w:rPr>
              <w:t> </w:t>
            </w:r>
          </w:p>
        </w:tc>
        <w:tc>
          <w:tcPr>
            <w:tcW w:w="2730" w:type="dxa"/>
          </w:tcPr>
          <w:p>
            <w:pPr>
              <w:pStyle w:val="TableParagraph"/>
              <w:spacing w:before="7"/>
              <w:ind w:right="97"/>
              <w:jc w:val="right"/>
              <w:rPr>
                <w:rFonts w:ascii="Times New Roman"/>
                <w:sz w:val="21"/>
              </w:rPr>
            </w:pPr>
            <w:r>
              <w:rPr>
                <w:rFonts w:ascii="Times New Roman"/>
                <w:sz w:val="21"/>
              </w:rPr>
              <w:t>15,365,627</w:t>
            </w:r>
          </w:p>
        </w:tc>
        <w:tc>
          <w:tcPr>
            <w:tcW w:w="2699" w:type="dxa"/>
          </w:tcPr>
          <w:p>
            <w:pPr>
              <w:pStyle w:val="TableParagraph"/>
              <w:spacing w:before="7"/>
              <w:ind w:right="95"/>
              <w:jc w:val="right"/>
              <w:rPr>
                <w:rFonts w:ascii="Times New Roman"/>
                <w:sz w:val="21"/>
              </w:rPr>
            </w:pPr>
            <w:r>
              <w:rPr>
                <w:rFonts w:ascii="Times New Roman"/>
                <w:sz w:val="21"/>
              </w:rPr>
              <w:t>8,724,585</w:t>
            </w:r>
          </w:p>
        </w:tc>
      </w:tr>
      <w:tr>
        <w:trPr>
          <w:trHeight w:val="273" w:hRule="atLeast"/>
        </w:trPr>
        <w:tc>
          <w:tcPr>
            <w:tcW w:w="8826" w:type="dxa"/>
            <w:gridSpan w:val="3"/>
          </w:tcPr>
          <w:p>
            <w:pPr>
              <w:pStyle w:val="TableParagraph"/>
              <w:spacing w:line="252" w:lineRule="exact" w:before="1"/>
              <w:ind w:left="107"/>
              <w:rPr>
                <w:sz w:val="21"/>
              </w:rPr>
            </w:pPr>
            <w:r>
              <w:rPr>
                <w:rFonts w:ascii="Times New Roman" w:eastAsia="Times New Roman"/>
                <w:b/>
                <w:sz w:val="21"/>
              </w:rPr>
              <w:t>2</w:t>
            </w:r>
            <w:r>
              <w:rPr>
                <w:sz w:val="21"/>
              </w:rPr>
              <w:t>．不涉及现金收支的重大投资和筹资活动：</w:t>
            </w:r>
          </w:p>
        </w:tc>
      </w:tr>
      <w:tr>
        <w:trPr>
          <w:trHeight w:val="270" w:hRule="atLeast"/>
        </w:trPr>
        <w:tc>
          <w:tcPr>
            <w:tcW w:w="3397" w:type="dxa"/>
          </w:tcPr>
          <w:p>
            <w:pPr>
              <w:pStyle w:val="TableParagraph"/>
              <w:spacing w:line="250" w:lineRule="exact" w:before="1"/>
              <w:ind w:left="107"/>
              <w:rPr>
                <w:sz w:val="21"/>
              </w:rPr>
            </w:pPr>
            <w:r>
              <w:rPr>
                <w:spacing w:val="-1"/>
                <w:sz w:val="21"/>
              </w:rPr>
              <w:t>债务转为资本</w:t>
            </w:r>
            <w:r>
              <w:rPr>
                <w:sz w:val="21"/>
              </w:rPr>
              <w:t> </w:t>
            </w:r>
          </w:p>
        </w:tc>
        <w:tc>
          <w:tcPr>
            <w:tcW w:w="2730" w:type="dxa"/>
          </w:tcPr>
          <w:p>
            <w:pPr>
              <w:pStyle w:val="TableParagraph"/>
              <w:rPr>
                <w:rFonts w:ascii="Times New Roman"/>
                <w:sz w:val="20"/>
              </w:rPr>
            </w:pPr>
          </w:p>
        </w:tc>
        <w:tc>
          <w:tcPr>
            <w:tcW w:w="2699" w:type="dxa"/>
          </w:tcPr>
          <w:p>
            <w:pPr>
              <w:pStyle w:val="TableParagraph"/>
              <w:rPr>
                <w:rFonts w:ascii="Times New Roman"/>
                <w:sz w:val="20"/>
              </w:rPr>
            </w:pPr>
          </w:p>
        </w:tc>
      </w:tr>
      <w:tr>
        <w:trPr>
          <w:trHeight w:val="273" w:hRule="atLeast"/>
        </w:trPr>
        <w:tc>
          <w:tcPr>
            <w:tcW w:w="3397" w:type="dxa"/>
          </w:tcPr>
          <w:p>
            <w:pPr>
              <w:pStyle w:val="TableParagraph"/>
              <w:spacing w:line="250" w:lineRule="exact" w:before="3"/>
              <w:ind w:left="107"/>
              <w:rPr>
                <w:sz w:val="21"/>
              </w:rPr>
            </w:pPr>
            <w:r>
              <w:rPr>
                <w:spacing w:val="-1"/>
                <w:sz w:val="21"/>
              </w:rPr>
              <w:t>一年内到期的可转换公司债券</w:t>
            </w:r>
            <w:r>
              <w:rPr>
                <w:sz w:val="21"/>
              </w:rPr>
              <w:t> </w:t>
            </w:r>
          </w:p>
        </w:tc>
        <w:tc>
          <w:tcPr>
            <w:tcW w:w="2730" w:type="dxa"/>
          </w:tcPr>
          <w:p>
            <w:pPr>
              <w:pStyle w:val="TableParagraph"/>
              <w:rPr>
                <w:rFonts w:ascii="Times New Roman"/>
                <w:sz w:val="20"/>
              </w:rPr>
            </w:pPr>
          </w:p>
        </w:tc>
        <w:tc>
          <w:tcPr>
            <w:tcW w:w="2699" w:type="dxa"/>
          </w:tcPr>
          <w:p>
            <w:pPr>
              <w:pStyle w:val="TableParagraph"/>
              <w:rPr>
                <w:rFonts w:ascii="Times New Roman"/>
                <w:sz w:val="20"/>
              </w:rPr>
            </w:pPr>
          </w:p>
        </w:tc>
      </w:tr>
      <w:tr>
        <w:trPr>
          <w:trHeight w:val="273" w:hRule="atLeast"/>
        </w:trPr>
        <w:tc>
          <w:tcPr>
            <w:tcW w:w="3397" w:type="dxa"/>
          </w:tcPr>
          <w:p>
            <w:pPr>
              <w:pStyle w:val="TableParagraph"/>
              <w:spacing w:line="252" w:lineRule="exact" w:before="1"/>
              <w:ind w:left="107"/>
              <w:rPr>
                <w:sz w:val="21"/>
              </w:rPr>
            </w:pPr>
            <w:r>
              <w:rPr>
                <w:spacing w:val="-1"/>
                <w:sz w:val="21"/>
              </w:rPr>
              <w:t>融资租入固定资产</w:t>
            </w:r>
            <w:r>
              <w:rPr>
                <w:sz w:val="21"/>
              </w:rPr>
              <w:t> </w:t>
            </w:r>
          </w:p>
        </w:tc>
        <w:tc>
          <w:tcPr>
            <w:tcW w:w="2730" w:type="dxa"/>
          </w:tcPr>
          <w:p>
            <w:pPr>
              <w:pStyle w:val="TableParagraph"/>
              <w:spacing w:before="10"/>
              <w:ind w:right="97"/>
              <w:jc w:val="right"/>
              <w:rPr>
                <w:rFonts w:ascii="Times New Roman"/>
                <w:sz w:val="21"/>
              </w:rPr>
            </w:pPr>
            <w:r>
              <w:rPr>
                <w:rFonts w:ascii="Times New Roman"/>
                <w:sz w:val="21"/>
              </w:rPr>
              <w:t>1,610,761</w:t>
            </w:r>
          </w:p>
        </w:tc>
        <w:tc>
          <w:tcPr>
            <w:tcW w:w="2699" w:type="dxa"/>
          </w:tcPr>
          <w:p>
            <w:pPr>
              <w:pStyle w:val="TableParagraph"/>
              <w:spacing w:before="10"/>
              <w:ind w:right="95"/>
              <w:jc w:val="right"/>
              <w:rPr>
                <w:rFonts w:ascii="Times New Roman"/>
                <w:sz w:val="21"/>
              </w:rPr>
            </w:pPr>
            <w:r>
              <w:rPr>
                <w:rFonts w:ascii="Times New Roman"/>
                <w:sz w:val="21"/>
              </w:rPr>
              <w:t>1,284,660</w:t>
            </w:r>
          </w:p>
        </w:tc>
      </w:tr>
      <w:tr>
        <w:trPr>
          <w:trHeight w:val="270" w:hRule="atLeast"/>
        </w:trPr>
        <w:tc>
          <w:tcPr>
            <w:tcW w:w="8826" w:type="dxa"/>
            <w:gridSpan w:val="3"/>
          </w:tcPr>
          <w:p>
            <w:pPr>
              <w:pStyle w:val="TableParagraph"/>
              <w:spacing w:line="250" w:lineRule="exact" w:before="1"/>
              <w:ind w:left="107"/>
              <w:rPr>
                <w:sz w:val="21"/>
              </w:rPr>
            </w:pPr>
            <w:r>
              <w:rPr>
                <w:rFonts w:ascii="Times New Roman" w:eastAsia="Times New Roman"/>
                <w:b/>
                <w:sz w:val="21"/>
              </w:rPr>
              <w:t>3</w:t>
            </w:r>
            <w:r>
              <w:rPr>
                <w:sz w:val="21"/>
              </w:rPr>
              <w:t>．现金及现金等价物净变动情况：</w:t>
            </w:r>
          </w:p>
        </w:tc>
      </w:tr>
      <w:tr>
        <w:trPr>
          <w:trHeight w:val="273" w:hRule="atLeast"/>
        </w:trPr>
        <w:tc>
          <w:tcPr>
            <w:tcW w:w="3397" w:type="dxa"/>
          </w:tcPr>
          <w:p>
            <w:pPr>
              <w:pStyle w:val="TableParagraph"/>
              <w:spacing w:line="250" w:lineRule="exact" w:before="3"/>
              <w:ind w:left="107"/>
              <w:rPr>
                <w:sz w:val="21"/>
              </w:rPr>
            </w:pPr>
            <w:r>
              <w:rPr>
                <w:spacing w:val="-1"/>
                <w:sz w:val="21"/>
              </w:rPr>
              <w:t>现金的期末余额</w:t>
            </w:r>
            <w:r>
              <w:rPr>
                <w:sz w:val="21"/>
              </w:rPr>
              <w:t> </w:t>
            </w:r>
          </w:p>
        </w:tc>
        <w:tc>
          <w:tcPr>
            <w:tcW w:w="2730" w:type="dxa"/>
          </w:tcPr>
          <w:p>
            <w:pPr>
              <w:pStyle w:val="TableParagraph"/>
              <w:spacing w:before="10"/>
              <w:ind w:right="97"/>
              <w:jc w:val="right"/>
              <w:rPr>
                <w:rFonts w:ascii="Times New Roman"/>
                <w:sz w:val="21"/>
              </w:rPr>
            </w:pPr>
            <w:r>
              <w:rPr>
                <w:rFonts w:ascii="Times New Roman"/>
                <w:sz w:val="21"/>
              </w:rPr>
              <w:t>69,166,502</w:t>
            </w:r>
          </w:p>
        </w:tc>
        <w:tc>
          <w:tcPr>
            <w:tcW w:w="2699" w:type="dxa"/>
          </w:tcPr>
          <w:p>
            <w:pPr>
              <w:pStyle w:val="TableParagraph"/>
              <w:spacing w:before="10"/>
              <w:ind w:right="95"/>
              <w:jc w:val="right"/>
              <w:rPr>
                <w:rFonts w:ascii="Times New Roman"/>
                <w:sz w:val="21"/>
              </w:rPr>
            </w:pPr>
            <w:r>
              <w:rPr>
                <w:rFonts w:ascii="Times New Roman"/>
                <w:sz w:val="21"/>
              </w:rPr>
              <w:t>81,071,137</w:t>
            </w:r>
          </w:p>
        </w:tc>
      </w:tr>
      <w:tr>
        <w:trPr>
          <w:trHeight w:val="273" w:hRule="atLeast"/>
        </w:trPr>
        <w:tc>
          <w:tcPr>
            <w:tcW w:w="3397" w:type="dxa"/>
          </w:tcPr>
          <w:p>
            <w:pPr>
              <w:pStyle w:val="TableParagraph"/>
              <w:spacing w:line="252" w:lineRule="exact" w:before="1"/>
              <w:ind w:left="107"/>
              <w:rPr>
                <w:sz w:val="21"/>
              </w:rPr>
            </w:pPr>
            <w:r>
              <w:rPr>
                <w:spacing w:val="-1"/>
                <w:sz w:val="21"/>
              </w:rPr>
              <w:t>减：现金的期初余额</w:t>
            </w:r>
            <w:r>
              <w:rPr>
                <w:sz w:val="21"/>
              </w:rPr>
              <w:t> </w:t>
            </w:r>
          </w:p>
        </w:tc>
        <w:tc>
          <w:tcPr>
            <w:tcW w:w="2730" w:type="dxa"/>
          </w:tcPr>
          <w:p>
            <w:pPr>
              <w:pStyle w:val="TableParagraph"/>
              <w:spacing w:before="10"/>
              <w:ind w:right="97"/>
              <w:jc w:val="right"/>
              <w:rPr>
                <w:rFonts w:ascii="Times New Roman"/>
                <w:sz w:val="21"/>
              </w:rPr>
            </w:pPr>
            <w:r>
              <w:rPr>
                <w:rFonts w:ascii="Times New Roman"/>
                <w:sz w:val="21"/>
              </w:rPr>
              <w:t>-81,071,137</w:t>
            </w:r>
          </w:p>
        </w:tc>
        <w:tc>
          <w:tcPr>
            <w:tcW w:w="2699" w:type="dxa"/>
          </w:tcPr>
          <w:p>
            <w:pPr>
              <w:pStyle w:val="TableParagraph"/>
              <w:spacing w:before="10"/>
              <w:ind w:right="95"/>
              <w:jc w:val="right"/>
              <w:rPr>
                <w:rFonts w:ascii="Times New Roman"/>
                <w:sz w:val="21"/>
              </w:rPr>
            </w:pPr>
            <w:r>
              <w:rPr>
                <w:rFonts w:ascii="Times New Roman"/>
                <w:sz w:val="21"/>
              </w:rPr>
              <w:t>-75,293,257</w:t>
            </w:r>
          </w:p>
        </w:tc>
      </w:tr>
      <w:tr>
        <w:trPr>
          <w:trHeight w:val="270" w:hRule="atLeast"/>
        </w:trPr>
        <w:tc>
          <w:tcPr>
            <w:tcW w:w="3397" w:type="dxa"/>
          </w:tcPr>
          <w:p>
            <w:pPr>
              <w:pStyle w:val="TableParagraph"/>
              <w:spacing w:line="250" w:lineRule="exact" w:before="1"/>
              <w:ind w:left="107"/>
              <w:rPr>
                <w:sz w:val="21"/>
              </w:rPr>
            </w:pPr>
            <w:r>
              <w:rPr>
                <w:spacing w:val="-1"/>
                <w:sz w:val="21"/>
              </w:rPr>
              <w:t>加：现金等价物的期末余额 </w:t>
            </w:r>
          </w:p>
        </w:tc>
        <w:tc>
          <w:tcPr>
            <w:tcW w:w="2730" w:type="dxa"/>
          </w:tcPr>
          <w:p>
            <w:pPr>
              <w:pStyle w:val="TableParagraph"/>
              <w:rPr>
                <w:rFonts w:ascii="Times New Roman"/>
                <w:sz w:val="20"/>
              </w:rPr>
            </w:pPr>
          </w:p>
        </w:tc>
        <w:tc>
          <w:tcPr>
            <w:tcW w:w="2699" w:type="dxa"/>
          </w:tcPr>
          <w:p>
            <w:pPr>
              <w:pStyle w:val="TableParagraph"/>
              <w:rPr>
                <w:rFonts w:ascii="Times New Roman"/>
                <w:sz w:val="20"/>
              </w:rPr>
            </w:pPr>
          </w:p>
        </w:tc>
      </w:tr>
      <w:tr>
        <w:trPr>
          <w:trHeight w:val="273" w:hRule="atLeast"/>
        </w:trPr>
        <w:tc>
          <w:tcPr>
            <w:tcW w:w="3397" w:type="dxa"/>
          </w:tcPr>
          <w:p>
            <w:pPr>
              <w:pStyle w:val="TableParagraph"/>
              <w:spacing w:line="252" w:lineRule="exact" w:before="1"/>
              <w:ind w:left="107"/>
              <w:rPr>
                <w:sz w:val="21"/>
              </w:rPr>
            </w:pPr>
            <w:r>
              <w:rPr>
                <w:spacing w:val="-1"/>
                <w:sz w:val="21"/>
              </w:rPr>
              <w:t>减：现金等价物的期初余额 </w:t>
            </w:r>
          </w:p>
        </w:tc>
        <w:tc>
          <w:tcPr>
            <w:tcW w:w="2730" w:type="dxa"/>
          </w:tcPr>
          <w:p>
            <w:pPr>
              <w:pStyle w:val="TableParagraph"/>
              <w:rPr>
                <w:rFonts w:ascii="Times New Roman"/>
                <w:sz w:val="20"/>
              </w:rPr>
            </w:pPr>
          </w:p>
        </w:tc>
        <w:tc>
          <w:tcPr>
            <w:tcW w:w="2699" w:type="dxa"/>
          </w:tcPr>
          <w:p>
            <w:pPr>
              <w:pStyle w:val="TableParagraph"/>
              <w:rPr>
                <w:rFonts w:ascii="Times New Roman"/>
                <w:sz w:val="20"/>
              </w:rPr>
            </w:pPr>
          </w:p>
        </w:tc>
      </w:tr>
      <w:tr>
        <w:trPr>
          <w:trHeight w:val="273" w:hRule="atLeast"/>
        </w:trPr>
        <w:tc>
          <w:tcPr>
            <w:tcW w:w="3397" w:type="dxa"/>
          </w:tcPr>
          <w:p>
            <w:pPr>
              <w:pStyle w:val="TableParagraph"/>
              <w:spacing w:line="252" w:lineRule="exact" w:before="1"/>
              <w:ind w:left="107"/>
              <w:rPr>
                <w:sz w:val="21"/>
              </w:rPr>
            </w:pPr>
            <w:r>
              <w:rPr>
                <w:spacing w:val="-1"/>
                <w:sz w:val="21"/>
              </w:rPr>
              <w:t>现金及现金等价物净增加额 </w:t>
            </w:r>
          </w:p>
        </w:tc>
        <w:tc>
          <w:tcPr>
            <w:tcW w:w="2730" w:type="dxa"/>
          </w:tcPr>
          <w:p>
            <w:pPr>
              <w:pStyle w:val="TableParagraph"/>
              <w:spacing w:before="10"/>
              <w:ind w:right="97"/>
              <w:jc w:val="right"/>
              <w:rPr>
                <w:rFonts w:ascii="Times New Roman"/>
                <w:sz w:val="21"/>
              </w:rPr>
            </w:pPr>
            <w:r>
              <w:rPr>
                <w:rFonts w:ascii="Times New Roman"/>
                <w:sz w:val="21"/>
              </w:rPr>
              <w:t>-11,904,635</w:t>
            </w:r>
          </w:p>
        </w:tc>
        <w:tc>
          <w:tcPr>
            <w:tcW w:w="2699" w:type="dxa"/>
          </w:tcPr>
          <w:p>
            <w:pPr>
              <w:pStyle w:val="TableParagraph"/>
              <w:spacing w:before="10"/>
              <w:ind w:right="95"/>
              <w:jc w:val="right"/>
              <w:rPr>
                <w:rFonts w:ascii="Times New Roman"/>
                <w:sz w:val="21"/>
              </w:rPr>
            </w:pPr>
            <w:r>
              <w:rPr>
                <w:rFonts w:ascii="Times New Roman"/>
                <w:sz w:val="21"/>
              </w:rPr>
              <w:t>5,777,880</w:t>
            </w:r>
          </w:p>
        </w:tc>
      </w:tr>
    </w:tbl>
    <w:p>
      <w:pPr>
        <w:spacing w:after="0"/>
        <w:jc w:val="right"/>
        <w:rPr>
          <w:rFonts w:ascii="Times New Roman"/>
          <w:sz w:val="21"/>
        </w:rPr>
        <w:sectPr>
          <w:pgSz w:w="11910" w:h="16840"/>
          <w:pgMar w:header="882" w:footer="1184" w:top="1120" w:bottom="1380" w:left="1480" w:right="0"/>
        </w:sectPr>
      </w:pPr>
    </w:p>
    <w:p>
      <w:pPr>
        <w:pStyle w:val="BodyText"/>
        <w:spacing w:before="1"/>
      </w:pPr>
      <w:r>
        <w:rPr>
          <w:w w:val="100"/>
        </w:rPr>
        <w:t> </w:t>
      </w:r>
    </w:p>
    <w:p>
      <w:pPr>
        <w:pStyle w:val="ListParagraph"/>
        <w:numPr>
          <w:ilvl w:val="0"/>
          <w:numId w:val="80"/>
        </w:numPr>
        <w:tabs>
          <w:tab w:pos="746" w:val="left" w:leader="none"/>
        </w:tabs>
        <w:spacing w:line="240" w:lineRule="auto" w:before="62" w:after="0"/>
        <w:ind w:left="745" w:right="0" w:hanging="428"/>
        <w:jc w:val="left"/>
        <w:rPr>
          <w:sz w:val="21"/>
        </w:rPr>
      </w:pPr>
      <w:r>
        <w:rPr>
          <w:sz w:val="21"/>
        </w:rPr>
        <w:t>本期支付的取得子公司的现金净额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68"/>
      </w:pPr>
      <w:r>
        <w:rPr>
          <w:spacing w:val="7"/>
        </w:rPr>
        <w:t>单位：千元 币种：人民币</w:t>
      </w:r>
      <w:r>
        <w:rPr/>
        <w:t> </w:t>
      </w:r>
    </w:p>
    <w:p>
      <w:pPr>
        <w:spacing w:after="0"/>
        <w:sectPr>
          <w:type w:val="continuous"/>
          <w:pgSz w:w="11910" w:h="16840"/>
          <w:pgMar w:top="780" w:bottom="280" w:left="1480" w:right="0"/>
          <w:cols w:num="2" w:equalWidth="0">
            <w:col w:w="4053" w:space="2258"/>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68"/>
        <w:gridCol w:w="3056"/>
      </w:tblGrid>
      <w:tr>
        <w:trPr>
          <w:trHeight w:val="270" w:hRule="atLeast"/>
        </w:trPr>
        <w:tc>
          <w:tcPr>
            <w:tcW w:w="5768" w:type="dxa"/>
          </w:tcPr>
          <w:p>
            <w:pPr>
              <w:pStyle w:val="TableParagraph"/>
              <w:spacing w:line="250" w:lineRule="exact" w:before="1"/>
              <w:ind w:left="113"/>
              <w:jc w:val="center"/>
              <w:rPr>
                <w:sz w:val="21"/>
              </w:rPr>
            </w:pPr>
            <w:r>
              <w:rPr>
                <w:w w:val="100"/>
                <w:sz w:val="21"/>
              </w:rPr>
              <w:t> </w:t>
            </w:r>
          </w:p>
        </w:tc>
        <w:tc>
          <w:tcPr>
            <w:tcW w:w="3056" w:type="dxa"/>
          </w:tcPr>
          <w:p>
            <w:pPr>
              <w:pStyle w:val="TableParagraph"/>
              <w:spacing w:line="250" w:lineRule="exact" w:before="1"/>
              <w:ind w:left="1350" w:right="1235"/>
              <w:jc w:val="center"/>
              <w:rPr>
                <w:sz w:val="21"/>
              </w:rPr>
            </w:pPr>
            <w:r>
              <w:rPr>
                <w:sz w:val="21"/>
              </w:rPr>
              <w:t>金额 </w:t>
            </w:r>
          </w:p>
        </w:tc>
      </w:tr>
      <w:tr>
        <w:trPr>
          <w:trHeight w:val="273" w:hRule="atLeast"/>
        </w:trPr>
        <w:tc>
          <w:tcPr>
            <w:tcW w:w="5768" w:type="dxa"/>
          </w:tcPr>
          <w:p>
            <w:pPr>
              <w:pStyle w:val="TableParagraph"/>
              <w:spacing w:line="253" w:lineRule="exact" w:before="1"/>
              <w:ind w:left="107"/>
              <w:rPr>
                <w:sz w:val="21"/>
              </w:rPr>
            </w:pPr>
            <w:r>
              <w:rPr>
                <w:spacing w:val="-1"/>
                <w:sz w:val="21"/>
              </w:rPr>
              <w:t>本期发生的企业合并于本期支付的现金或现金等价物 </w:t>
            </w:r>
          </w:p>
        </w:tc>
        <w:tc>
          <w:tcPr>
            <w:tcW w:w="3056" w:type="dxa"/>
          </w:tcPr>
          <w:p>
            <w:pPr>
              <w:pStyle w:val="TableParagraph"/>
              <w:spacing w:line="235" w:lineRule="exact"/>
              <w:ind w:right="93"/>
              <w:jc w:val="right"/>
              <w:rPr>
                <w:rFonts w:ascii="Times New Roman"/>
                <w:sz w:val="21"/>
              </w:rPr>
            </w:pPr>
            <w:r>
              <w:rPr>
                <w:rFonts w:ascii="Times New Roman"/>
                <w:sz w:val="21"/>
              </w:rPr>
              <w:t>378,000</w:t>
            </w:r>
          </w:p>
        </w:tc>
      </w:tr>
      <w:tr>
        <w:trPr>
          <w:trHeight w:val="273" w:hRule="atLeast"/>
        </w:trPr>
        <w:tc>
          <w:tcPr>
            <w:tcW w:w="5768" w:type="dxa"/>
          </w:tcPr>
          <w:p>
            <w:pPr>
              <w:pStyle w:val="TableParagraph"/>
              <w:spacing w:line="252" w:lineRule="exact" w:before="1"/>
              <w:ind w:left="107"/>
              <w:rPr>
                <w:sz w:val="21"/>
              </w:rPr>
            </w:pPr>
            <w:r>
              <w:rPr>
                <w:w w:val="100"/>
                <w:sz w:val="21"/>
              </w:rPr>
              <w:t> </w:t>
            </w:r>
          </w:p>
        </w:tc>
        <w:tc>
          <w:tcPr>
            <w:tcW w:w="3056" w:type="dxa"/>
          </w:tcPr>
          <w:p>
            <w:pPr>
              <w:pStyle w:val="TableParagraph"/>
              <w:rPr>
                <w:rFonts w:ascii="Times New Roman"/>
                <w:sz w:val="20"/>
              </w:rPr>
            </w:pPr>
          </w:p>
        </w:tc>
      </w:tr>
      <w:tr>
        <w:trPr>
          <w:trHeight w:val="270" w:hRule="atLeast"/>
        </w:trPr>
        <w:tc>
          <w:tcPr>
            <w:tcW w:w="5768" w:type="dxa"/>
          </w:tcPr>
          <w:p>
            <w:pPr>
              <w:pStyle w:val="TableParagraph"/>
              <w:spacing w:line="250" w:lineRule="exact" w:before="1"/>
              <w:ind w:left="107"/>
              <w:rPr>
                <w:sz w:val="21"/>
              </w:rPr>
            </w:pPr>
            <w:r>
              <w:rPr>
                <w:w w:val="100"/>
                <w:sz w:val="21"/>
              </w:rPr>
              <w:t> </w:t>
            </w:r>
          </w:p>
        </w:tc>
        <w:tc>
          <w:tcPr>
            <w:tcW w:w="3056" w:type="dxa"/>
          </w:tcPr>
          <w:p>
            <w:pPr>
              <w:pStyle w:val="TableParagraph"/>
              <w:rPr>
                <w:rFonts w:ascii="Times New Roman"/>
                <w:sz w:val="20"/>
              </w:rPr>
            </w:pPr>
          </w:p>
        </w:tc>
      </w:tr>
      <w:tr>
        <w:trPr>
          <w:trHeight w:val="273" w:hRule="atLeast"/>
        </w:trPr>
        <w:tc>
          <w:tcPr>
            <w:tcW w:w="5768" w:type="dxa"/>
          </w:tcPr>
          <w:p>
            <w:pPr>
              <w:pStyle w:val="TableParagraph"/>
              <w:spacing w:line="252" w:lineRule="exact" w:before="1"/>
              <w:ind w:left="107"/>
              <w:rPr>
                <w:sz w:val="21"/>
              </w:rPr>
            </w:pPr>
            <w:r>
              <w:rPr>
                <w:spacing w:val="-1"/>
                <w:sz w:val="21"/>
              </w:rPr>
              <w:t>减：购买日子公司持有的现金及现金等价物</w:t>
            </w:r>
            <w:r>
              <w:rPr>
                <w:sz w:val="21"/>
              </w:rPr>
              <w:t> </w:t>
            </w:r>
          </w:p>
        </w:tc>
        <w:tc>
          <w:tcPr>
            <w:tcW w:w="3056" w:type="dxa"/>
          </w:tcPr>
          <w:p>
            <w:pPr>
              <w:pStyle w:val="TableParagraph"/>
              <w:spacing w:line="235" w:lineRule="exact"/>
              <w:ind w:right="96"/>
              <w:jc w:val="right"/>
              <w:rPr>
                <w:rFonts w:ascii="Times New Roman"/>
                <w:sz w:val="21"/>
              </w:rPr>
            </w:pPr>
            <w:r>
              <w:rPr>
                <w:rFonts w:ascii="Times New Roman"/>
                <w:sz w:val="21"/>
              </w:rPr>
              <w:t>-35,546</w:t>
            </w:r>
          </w:p>
        </w:tc>
      </w:tr>
      <w:tr>
        <w:trPr>
          <w:trHeight w:val="273" w:hRule="atLeast"/>
        </w:trPr>
        <w:tc>
          <w:tcPr>
            <w:tcW w:w="5768" w:type="dxa"/>
          </w:tcPr>
          <w:p>
            <w:pPr>
              <w:pStyle w:val="TableParagraph"/>
              <w:spacing w:line="252" w:lineRule="exact" w:before="1"/>
              <w:ind w:left="107"/>
              <w:rPr>
                <w:sz w:val="21"/>
              </w:rPr>
            </w:pPr>
            <w:r>
              <w:rPr>
                <w:w w:val="100"/>
                <w:sz w:val="21"/>
              </w:rPr>
              <w:t> </w:t>
            </w:r>
          </w:p>
        </w:tc>
        <w:tc>
          <w:tcPr>
            <w:tcW w:w="3056" w:type="dxa"/>
          </w:tcPr>
          <w:p>
            <w:pPr>
              <w:pStyle w:val="TableParagraph"/>
              <w:rPr>
                <w:rFonts w:ascii="Times New Roman"/>
                <w:sz w:val="20"/>
              </w:rPr>
            </w:pPr>
          </w:p>
        </w:tc>
      </w:tr>
      <w:tr>
        <w:trPr>
          <w:trHeight w:val="270" w:hRule="atLeast"/>
        </w:trPr>
        <w:tc>
          <w:tcPr>
            <w:tcW w:w="5768" w:type="dxa"/>
          </w:tcPr>
          <w:p>
            <w:pPr>
              <w:pStyle w:val="TableParagraph"/>
              <w:spacing w:line="250" w:lineRule="exact" w:before="1"/>
              <w:ind w:left="107"/>
              <w:rPr>
                <w:sz w:val="21"/>
              </w:rPr>
            </w:pPr>
            <w:r>
              <w:rPr>
                <w:w w:val="100"/>
                <w:sz w:val="21"/>
              </w:rPr>
              <w:t> </w:t>
            </w:r>
          </w:p>
        </w:tc>
        <w:tc>
          <w:tcPr>
            <w:tcW w:w="3056" w:type="dxa"/>
          </w:tcPr>
          <w:p>
            <w:pPr>
              <w:pStyle w:val="TableParagraph"/>
              <w:rPr>
                <w:rFonts w:ascii="Times New Roman"/>
                <w:sz w:val="20"/>
              </w:rPr>
            </w:pPr>
          </w:p>
        </w:tc>
      </w:tr>
      <w:tr>
        <w:trPr>
          <w:trHeight w:val="544" w:hRule="atLeast"/>
        </w:trPr>
        <w:tc>
          <w:tcPr>
            <w:tcW w:w="5768" w:type="dxa"/>
          </w:tcPr>
          <w:p>
            <w:pPr>
              <w:pStyle w:val="TableParagraph"/>
              <w:spacing w:before="1"/>
              <w:ind w:left="107"/>
              <w:rPr>
                <w:sz w:val="21"/>
              </w:rPr>
            </w:pPr>
            <w:r>
              <w:rPr>
                <w:spacing w:val="-1"/>
                <w:sz w:val="21"/>
              </w:rPr>
              <w:t>加：以前期间发生的企业合并于本期支付的现金或现金等价</w:t>
            </w:r>
          </w:p>
          <w:p>
            <w:pPr>
              <w:pStyle w:val="TableParagraph"/>
              <w:spacing w:line="250" w:lineRule="exact" w:before="4"/>
              <w:ind w:left="107"/>
              <w:rPr>
                <w:sz w:val="21"/>
              </w:rPr>
            </w:pPr>
            <w:r>
              <w:rPr>
                <w:sz w:val="21"/>
              </w:rPr>
              <w:t>物 </w:t>
            </w:r>
          </w:p>
        </w:tc>
        <w:tc>
          <w:tcPr>
            <w:tcW w:w="3056" w:type="dxa"/>
          </w:tcPr>
          <w:p>
            <w:pPr>
              <w:pStyle w:val="TableParagraph"/>
              <w:rPr>
                <w:rFonts w:ascii="Times New Roman"/>
                <w:sz w:val="20"/>
              </w:rPr>
            </w:pPr>
          </w:p>
        </w:tc>
      </w:tr>
      <w:tr>
        <w:trPr>
          <w:trHeight w:val="273" w:hRule="atLeast"/>
        </w:trPr>
        <w:tc>
          <w:tcPr>
            <w:tcW w:w="5768" w:type="dxa"/>
          </w:tcPr>
          <w:p>
            <w:pPr>
              <w:pStyle w:val="TableParagraph"/>
              <w:spacing w:line="252" w:lineRule="exact" w:before="1"/>
              <w:ind w:left="107"/>
              <w:rPr>
                <w:sz w:val="21"/>
              </w:rPr>
            </w:pPr>
            <w:r>
              <w:rPr>
                <w:w w:val="100"/>
                <w:sz w:val="21"/>
              </w:rPr>
              <w:t> </w:t>
            </w:r>
          </w:p>
        </w:tc>
        <w:tc>
          <w:tcPr>
            <w:tcW w:w="3056" w:type="dxa"/>
          </w:tcPr>
          <w:p>
            <w:pPr>
              <w:pStyle w:val="TableParagraph"/>
              <w:rPr>
                <w:rFonts w:ascii="Times New Roman"/>
                <w:sz w:val="20"/>
              </w:rPr>
            </w:pPr>
          </w:p>
        </w:tc>
      </w:tr>
      <w:tr>
        <w:trPr>
          <w:trHeight w:val="273" w:hRule="atLeast"/>
        </w:trPr>
        <w:tc>
          <w:tcPr>
            <w:tcW w:w="5768" w:type="dxa"/>
          </w:tcPr>
          <w:p>
            <w:pPr>
              <w:pStyle w:val="TableParagraph"/>
              <w:spacing w:line="252" w:lineRule="exact" w:before="1"/>
              <w:ind w:left="107"/>
              <w:rPr>
                <w:sz w:val="21"/>
              </w:rPr>
            </w:pPr>
            <w:r>
              <w:rPr>
                <w:w w:val="100"/>
                <w:sz w:val="21"/>
              </w:rPr>
              <w:t> </w:t>
            </w:r>
          </w:p>
        </w:tc>
        <w:tc>
          <w:tcPr>
            <w:tcW w:w="3056" w:type="dxa"/>
          </w:tcPr>
          <w:p>
            <w:pPr>
              <w:pStyle w:val="TableParagraph"/>
              <w:rPr>
                <w:rFonts w:ascii="Times New Roman"/>
                <w:sz w:val="20"/>
              </w:rPr>
            </w:pPr>
          </w:p>
        </w:tc>
      </w:tr>
      <w:tr>
        <w:trPr>
          <w:trHeight w:val="270" w:hRule="atLeast"/>
        </w:trPr>
        <w:tc>
          <w:tcPr>
            <w:tcW w:w="5768" w:type="dxa"/>
          </w:tcPr>
          <w:p>
            <w:pPr>
              <w:pStyle w:val="TableParagraph"/>
              <w:spacing w:line="250" w:lineRule="exact" w:before="1"/>
              <w:ind w:left="107"/>
              <w:rPr>
                <w:sz w:val="21"/>
              </w:rPr>
            </w:pPr>
            <w:r>
              <w:rPr>
                <w:spacing w:val="-1"/>
                <w:sz w:val="21"/>
              </w:rPr>
              <w:t>取得子公司支付的现金净额 </w:t>
            </w:r>
          </w:p>
        </w:tc>
        <w:tc>
          <w:tcPr>
            <w:tcW w:w="3056" w:type="dxa"/>
          </w:tcPr>
          <w:p>
            <w:pPr>
              <w:pStyle w:val="TableParagraph"/>
              <w:spacing w:line="235" w:lineRule="exact"/>
              <w:ind w:right="93"/>
              <w:jc w:val="right"/>
              <w:rPr>
                <w:rFonts w:ascii="Times New Roman"/>
                <w:sz w:val="21"/>
              </w:rPr>
            </w:pPr>
            <w:r>
              <w:rPr>
                <w:rFonts w:ascii="Times New Roman"/>
                <w:sz w:val="21"/>
              </w:rPr>
              <w:t>342,454</w:t>
            </w:r>
          </w:p>
        </w:tc>
      </w:tr>
    </w:tbl>
    <w:p>
      <w:pPr>
        <w:spacing w:after="0" w:line="235" w:lineRule="exact"/>
        <w:jc w:val="right"/>
        <w:rPr>
          <w:rFonts w:ascii="Times New Roman"/>
          <w:sz w:val="21"/>
        </w:rPr>
        <w:sectPr>
          <w:type w:val="continuous"/>
          <w:pgSz w:w="11910" w:h="16840"/>
          <w:pgMar w:top="780" w:bottom="280" w:left="1480" w:right="0"/>
        </w:sectPr>
      </w:pPr>
    </w:p>
    <w:p>
      <w:pPr>
        <w:pStyle w:val="BodyText"/>
        <w:spacing w:line="244" w:lineRule="auto" w:before="5"/>
        <w:ind w:right="2681"/>
      </w:pPr>
      <w:r>
        <w:rPr/>
        <w:t>其他说明:</w:t>
      </w:r>
      <w:r>
        <w:rPr>
          <w:spacing w:val="1"/>
        </w:rPr>
        <w:t> </w:t>
      </w:r>
      <w:r>
        <w:rPr/>
        <w:t>无 </w:t>
      </w:r>
    </w:p>
    <w:p>
      <w:pPr>
        <w:pStyle w:val="BodyText"/>
        <w:spacing w:line="266" w:lineRule="exact"/>
      </w:pPr>
      <w:r>
        <w:rPr>
          <w:w w:val="100"/>
        </w:rPr>
        <w:t> </w:t>
      </w:r>
    </w:p>
    <w:p>
      <w:pPr>
        <w:pStyle w:val="ListParagraph"/>
        <w:numPr>
          <w:ilvl w:val="0"/>
          <w:numId w:val="80"/>
        </w:numPr>
        <w:tabs>
          <w:tab w:pos="746" w:val="left" w:leader="none"/>
        </w:tabs>
        <w:spacing w:line="240" w:lineRule="auto" w:before="64" w:after="0"/>
        <w:ind w:left="745" w:right="0" w:hanging="428"/>
        <w:jc w:val="left"/>
        <w:rPr>
          <w:sz w:val="21"/>
        </w:rPr>
      </w:pPr>
      <w:r>
        <w:rPr>
          <w:sz w:val="21"/>
        </w:rPr>
        <w:t>本期收到的处置子公司的现金净额 </w:t>
      </w:r>
    </w:p>
    <w:p>
      <w:pPr>
        <w:pStyle w:val="BodyText"/>
        <w:spacing w:before="62"/>
      </w:pPr>
      <w:r>
        <w:rPr>
          <w:spacing w:val="-1"/>
        </w:rPr>
        <w:t>□适用 √不适用</w:t>
      </w:r>
      <w:r>
        <w:rPr>
          <w:spacing w:val="-3"/>
        </w:rPr>
        <w:t> </w:t>
      </w:r>
      <w:r>
        <w:rPr/>
        <w:t> </w:t>
      </w:r>
    </w:p>
    <w:p>
      <w:pPr>
        <w:pStyle w:val="BodyText"/>
        <w:spacing w:before="5"/>
      </w:pPr>
      <w:r>
        <w:rPr>
          <w:w w:val="100"/>
        </w:rPr>
        <w:t> </w:t>
      </w:r>
    </w:p>
    <w:p>
      <w:pPr>
        <w:pStyle w:val="BodyText"/>
        <w:spacing w:before="2"/>
      </w:pPr>
      <w:r>
        <w:rPr>
          <w:w w:val="100"/>
        </w:rPr>
        <w:t> </w:t>
      </w:r>
    </w:p>
    <w:p>
      <w:pPr>
        <w:pStyle w:val="ListParagraph"/>
        <w:numPr>
          <w:ilvl w:val="0"/>
          <w:numId w:val="80"/>
        </w:numPr>
        <w:tabs>
          <w:tab w:pos="746" w:val="left" w:leader="none"/>
        </w:tabs>
        <w:spacing w:line="240" w:lineRule="auto" w:before="65" w:after="0"/>
        <w:ind w:left="745" w:right="0" w:hanging="428"/>
        <w:jc w:val="left"/>
        <w:rPr>
          <w:sz w:val="21"/>
        </w:rPr>
      </w:pPr>
      <w:r>
        <w:rPr>
          <w:sz w:val="21"/>
        </w:rPr>
        <w:t>现金和现金等价物的构成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36"/>
      </w:pPr>
      <w:r>
        <w:rPr>
          <w:spacing w:val="7"/>
        </w:rPr>
        <w:t>单位：千元 币种：人民币</w:t>
      </w:r>
      <w:r>
        <w:rPr/>
        <w:t> </w:t>
      </w:r>
    </w:p>
    <w:p>
      <w:pPr>
        <w:spacing w:after="0"/>
        <w:sectPr>
          <w:type w:val="continuous"/>
          <w:pgSz w:w="11910" w:h="16840"/>
          <w:pgMar w:top="780" w:bottom="280" w:left="1480" w:right="0"/>
          <w:cols w:num="2" w:equalWidth="0">
            <w:col w:w="4053" w:space="2258"/>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0"/>
        <w:gridCol w:w="2849"/>
        <w:gridCol w:w="2664"/>
      </w:tblGrid>
      <w:tr>
        <w:trPr>
          <w:trHeight w:val="285" w:hRule="atLeast"/>
        </w:trPr>
        <w:tc>
          <w:tcPr>
            <w:tcW w:w="3310" w:type="dxa"/>
          </w:tcPr>
          <w:p>
            <w:pPr>
              <w:pStyle w:val="TableParagraph"/>
              <w:spacing w:line="257" w:lineRule="exact" w:before="8"/>
              <w:ind w:left="1422" w:right="1418"/>
              <w:jc w:val="center"/>
              <w:rPr>
                <w:sz w:val="21"/>
              </w:rPr>
            </w:pPr>
            <w:r>
              <w:rPr>
                <w:sz w:val="21"/>
              </w:rPr>
              <w:t>项目 </w:t>
            </w:r>
          </w:p>
        </w:tc>
        <w:tc>
          <w:tcPr>
            <w:tcW w:w="2849" w:type="dxa"/>
          </w:tcPr>
          <w:p>
            <w:pPr>
              <w:pStyle w:val="TableParagraph"/>
              <w:spacing w:line="257" w:lineRule="exact" w:before="8"/>
              <w:ind w:left="1003"/>
              <w:rPr>
                <w:sz w:val="21"/>
              </w:rPr>
            </w:pPr>
            <w:r>
              <w:rPr>
                <w:spacing w:val="-1"/>
                <w:sz w:val="21"/>
              </w:rPr>
              <w:t>期末余额</w:t>
            </w:r>
            <w:r>
              <w:rPr>
                <w:sz w:val="21"/>
              </w:rPr>
              <w:t> </w:t>
            </w:r>
          </w:p>
        </w:tc>
        <w:tc>
          <w:tcPr>
            <w:tcW w:w="2664" w:type="dxa"/>
          </w:tcPr>
          <w:p>
            <w:pPr>
              <w:pStyle w:val="TableParagraph"/>
              <w:spacing w:line="264" w:lineRule="exact" w:before="1"/>
              <w:ind w:left="910"/>
              <w:rPr>
                <w:sz w:val="21"/>
              </w:rPr>
            </w:pPr>
            <w:r>
              <w:rPr>
                <w:spacing w:val="-1"/>
                <w:sz w:val="21"/>
              </w:rPr>
              <w:t>期初余额</w:t>
            </w:r>
            <w:r>
              <w:rPr>
                <w:sz w:val="21"/>
              </w:rPr>
              <w:t> </w:t>
            </w:r>
          </w:p>
        </w:tc>
      </w:tr>
      <w:tr>
        <w:trPr>
          <w:trHeight w:val="285" w:hRule="atLeast"/>
        </w:trPr>
        <w:tc>
          <w:tcPr>
            <w:tcW w:w="3310" w:type="dxa"/>
          </w:tcPr>
          <w:p>
            <w:pPr>
              <w:pStyle w:val="TableParagraph"/>
              <w:spacing w:line="257" w:lineRule="exact" w:before="8"/>
              <w:ind w:left="107"/>
              <w:rPr>
                <w:sz w:val="21"/>
              </w:rPr>
            </w:pPr>
            <w:r>
              <w:rPr>
                <w:spacing w:val="-1"/>
                <w:sz w:val="21"/>
              </w:rPr>
              <w:t>一、现金</w:t>
            </w:r>
            <w:r>
              <w:rPr>
                <w:sz w:val="21"/>
              </w:rPr>
              <w:t> </w:t>
            </w:r>
          </w:p>
        </w:tc>
        <w:tc>
          <w:tcPr>
            <w:tcW w:w="2849" w:type="dxa"/>
          </w:tcPr>
          <w:p>
            <w:pPr>
              <w:pStyle w:val="TableParagraph"/>
              <w:spacing w:line="264" w:lineRule="exact" w:before="1"/>
              <w:ind w:right="-15"/>
              <w:jc w:val="right"/>
              <w:rPr>
                <w:sz w:val="21"/>
              </w:rPr>
            </w:pPr>
            <w:r>
              <w:rPr>
                <w:w w:val="100"/>
                <w:sz w:val="21"/>
              </w:rPr>
              <w:t> </w:t>
            </w:r>
          </w:p>
        </w:tc>
        <w:tc>
          <w:tcPr>
            <w:tcW w:w="2664" w:type="dxa"/>
          </w:tcPr>
          <w:p>
            <w:pPr>
              <w:pStyle w:val="TableParagraph"/>
              <w:spacing w:line="264" w:lineRule="exact" w:before="1"/>
              <w:ind w:right="-15"/>
              <w:jc w:val="right"/>
              <w:rPr>
                <w:sz w:val="21"/>
              </w:rPr>
            </w:pPr>
            <w:r>
              <w:rPr>
                <w:w w:val="100"/>
                <w:sz w:val="21"/>
              </w:rPr>
              <w:t> </w:t>
            </w:r>
          </w:p>
        </w:tc>
      </w:tr>
    </w:tbl>
    <w:p>
      <w:pPr>
        <w:spacing w:after="0" w:line="264" w:lineRule="exact"/>
        <w:jc w:val="right"/>
        <w:rPr>
          <w:sz w:val="21"/>
        </w:rPr>
        <w:sectPr>
          <w:type w:val="continuous"/>
          <w:pgSz w:w="11910" w:h="16840"/>
          <w:pgMar w:top="780" w:bottom="2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0"/>
        <w:gridCol w:w="2849"/>
        <w:gridCol w:w="2664"/>
      </w:tblGrid>
      <w:tr>
        <w:trPr>
          <w:trHeight w:val="285" w:hRule="atLeast"/>
        </w:trPr>
        <w:tc>
          <w:tcPr>
            <w:tcW w:w="3310" w:type="dxa"/>
          </w:tcPr>
          <w:p>
            <w:pPr>
              <w:pStyle w:val="TableParagraph"/>
              <w:spacing w:line="257" w:lineRule="exact" w:before="8"/>
              <w:ind w:left="107"/>
              <w:rPr>
                <w:sz w:val="21"/>
              </w:rPr>
            </w:pPr>
            <w:r>
              <w:rPr>
                <w:spacing w:val="-1"/>
                <w:sz w:val="21"/>
              </w:rPr>
              <w:t>其中：库存现金</w:t>
            </w:r>
            <w:r>
              <w:rPr>
                <w:sz w:val="21"/>
              </w:rPr>
              <w:t> </w:t>
            </w:r>
          </w:p>
        </w:tc>
        <w:tc>
          <w:tcPr>
            <w:tcW w:w="2849" w:type="dxa"/>
          </w:tcPr>
          <w:p>
            <w:pPr>
              <w:pStyle w:val="TableParagraph"/>
              <w:spacing w:before="17"/>
              <w:ind w:right="93"/>
              <w:jc w:val="right"/>
              <w:rPr>
                <w:rFonts w:ascii="Times New Roman"/>
                <w:sz w:val="21"/>
              </w:rPr>
            </w:pPr>
            <w:r>
              <w:rPr>
                <w:rFonts w:ascii="Times New Roman"/>
                <w:sz w:val="21"/>
              </w:rPr>
              <w:t>586</w:t>
            </w:r>
          </w:p>
        </w:tc>
        <w:tc>
          <w:tcPr>
            <w:tcW w:w="2664" w:type="dxa"/>
          </w:tcPr>
          <w:p>
            <w:pPr>
              <w:pStyle w:val="TableParagraph"/>
              <w:spacing w:before="17"/>
              <w:ind w:right="92"/>
              <w:jc w:val="right"/>
              <w:rPr>
                <w:rFonts w:ascii="Times New Roman"/>
                <w:sz w:val="21"/>
              </w:rPr>
            </w:pPr>
            <w:r>
              <w:rPr>
                <w:rFonts w:ascii="Times New Roman"/>
                <w:sz w:val="21"/>
              </w:rPr>
              <w:t>569</w:t>
            </w:r>
          </w:p>
        </w:tc>
      </w:tr>
      <w:tr>
        <w:trPr>
          <w:trHeight w:val="285" w:hRule="atLeast"/>
        </w:trPr>
        <w:tc>
          <w:tcPr>
            <w:tcW w:w="3310" w:type="dxa"/>
          </w:tcPr>
          <w:p>
            <w:pPr>
              <w:pStyle w:val="TableParagraph"/>
              <w:spacing w:line="257" w:lineRule="exact" w:before="8"/>
              <w:ind w:left="107"/>
              <w:rPr>
                <w:sz w:val="21"/>
              </w:rPr>
            </w:pPr>
            <w:r>
              <w:rPr>
                <w:w w:val="100"/>
                <w:sz w:val="21"/>
              </w:rPr>
              <w:t> </w:t>
            </w:r>
            <w:r>
              <w:rPr>
                <w:sz w:val="21"/>
              </w:rPr>
              <w:t> </w:t>
            </w:r>
            <w:r>
              <w:rPr>
                <w:w w:val="100"/>
                <w:sz w:val="21"/>
              </w:rPr>
              <w:t> </w:t>
            </w:r>
            <w:r>
              <w:rPr>
                <w:sz w:val="21"/>
              </w:rPr>
              <w:t> </w:t>
            </w:r>
            <w:r>
              <w:rPr>
                <w:sz w:val="21"/>
              </w:rPr>
              <w:t>可随时用于支付的银行存款 </w:t>
            </w:r>
          </w:p>
        </w:tc>
        <w:tc>
          <w:tcPr>
            <w:tcW w:w="2849" w:type="dxa"/>
          </w:tcPr>
          <w:p>
            <w:pPr>
              <w:pStyle w:val="TableParagraph"/>
              <w:spacing w:before="17"/>
              <w:ind w:right="93"/>
              <w:jc w:val="right"/>
              <w:rPr>
                <w:rFonts w:ascii="Times New Roman"/>
                <w:sz w:val="21"/>
              </w:rPr>
            </w:pPr>
            <w:r>
              <w:rPr>
                <w:rFonts w:ascii="Times New Roman"/>
                <w:sz w:val="21"/>
              </w:rPr>
              <w:t>69,165,916</w:t>
            </w:r>
          </w:p>
        </w:tc>
        <w:tc>
          <w:tcPr>
            <w:tcW w:w="2664" w:type="dxa"/>
          </w:tcPr>
          <w:p>
            <w:pPr>
              <w:pStyle w:val="TableParagraph"/>
              <w:spacing w:before="17"/>
              <w:ind w:right="92"/>
              <w:jc w:val="right"/>
              <w:rPr>
                <w:rFonts w:ascii="Times New Roman"/>
                <w:sz w:val="21"/>
              </w:rPr>
            </w:pPr>
            <w:r>
              <w:rPr>
                <w:rFonts w:ascii="Times New Roman"/>
                <w:sz w:val="21"/>
              </w:rPr>
              <w:t>81,070,568</w:t>
            </w:r>
          </w:p>
        </w:tc>
      </w:tr>
      <w:tr>
        <w:trPr>
          <w:trHeight w:val="544" w:hRule="atLeast"/>
        </w:trPr>
        <w:tc>
          <w:tcPr>
            <w:tcW w:w="3310" w:type="dxa"/>
          </w:tcPr>
          <w:p>
            <w:pPr>
              <w:pStyle w:val="TableParagraph"/>
              <w:spacing w:before="1"/>
              <w:ind w:left="107"/>
              <w:rPr>
                <w:sz w:val="21"/>
              </w:rPr>
            </w:pPr>
            <w:r>
              <w:rPr>
                <w:w w:val="100"/>
                <w:sz w:val="21"/>
              </w:rPr>
              <w:t> </w:t>
            </w:r>
            <w:r>
              <w:rPr>
                <w:sz w:val="21"/>
              </w:rPr>
              <w:t> </w:t>
            </w:r>
            <w:r>
              <w:rPr>
                <w:w w:val="100"/>
                <w:sz w:val="21"/>
              </w:rPr>
              <w:t> </w:t>
            </w:r>
            <w:r>
              <w:rPr>
                <w:sz w:val="21"/>
              </w:rPr>
              <w:t> </w:t>
            </w:r>
            <w:r>
              <w:rPr>
                <w:sz w:val="21"/>
              </w:rPr>
              <w:t>可随时用于支付的其他货币</w:t>
            </w:r>
          </w:p>
          <w:p>
            <w:pPr>
              <w:pStyle w:val="TableParagraph"/>
              <w:spacing w:line="250" w:lineRule="exact" w:before="4"/>
              <w:ind w:left="107"/>
              <w:rPr>
                <w:sz w:val="21"/>
              </w:rPr>
            </w:pPr>
            <w:r>
              <w:rPr>
                <w:sz w:val="21"/>
              </w:rPr>
              <w:t>资金 </w:t>
            </w:r>
          </w:p>
        </w:tc>
        <w:tc>
          <w:tcPr>
            <w:tcW w:w="2849" w:type="dxa"/>
          </w:tcPr>
          <w:p>
            <w:pPr>
              <w:pStyle w:val="TableParagraph"/>
              <w:rPr>
                <w:rFonts w:ascii="Times New Roman"/>
                <w:sz w:val="20"/>
              </w:rPr>
            </w:pPr>
          </w:p>
        </w:tc>
        <w:tc>
          <w:tcPr>
            <w:tcW w:w="2664" w:type="dxa"/>
          </w:tcPr>
          <w:p>
            <w:pPr>
              <w:pStyle w:val="TableParagraph"/>
              <w:rPr>
                <w:rFonts w:ascii="Times New Roman"/>
                <w:sz w:val="20"/>
              </w:rPr>
            </w:pPr>
          </w:p>
        </w:tc>
      </w:tr>
      <w:tr>
        <w:trPr>
          <w:trHeight w:val="544" w:hRule="atLeast"/>
        </w:trPr>
        <w:tc>
          <w:tcPr>
            <w:tcW w:w="3310" w:type="dxa"/>
          </w:tcPr>
          <w:p>
            <w:pPr>
              <w:pStyle w:val="TableParagraph"/>
              <w:spacing w:line="270" w:lineRule="atLeast"/>
              <w:ind w:left="107" w:right="245"/>
              <w:rPr>
                <w:sz w:val="21"/>
              </w:rPr>
            </w:pPr>
            <w:r>
              <w:rPr>
                <w:w w:val="100"/>
                <w:sz w:val="21"/>
              </w:rPr>
              <w:t> </w:t>
            </w:r>
            <w:r>
              <w:rPr>
                <w:sz w:val="21"/>
              </w:rPr>
              <w:t> </w:t>
            </w:r>
            <w:r>
              <w:rPr>
                <w:w w:val="100"/>
                <w:sz w:val="21"/>
              </w:rPr>
              <w:t> </w:t>
            </w:r>
            <w:r>
              <w:rPr>
                <w:sz w:val="21"/>
              </w:rPr>
              <w:t> </w:t>
            </w:r>
            <w:r>
              <w:rPr>
                <w:sz w:val="21"/>
              </w:rPr>
              <w:t>可用于支付的存放中央银行款项 </w:t>
            </w:r>
          </w:p>
        </w:tc>
        <w:tc>
          <w:tcPr>
            <w:tcW w:w="2849" w:type="dxa"/>
          </w:tcPr>
          <w:p>
            <w:pPr>
              <w:pStyle w:val="TableParagraph"/>
              <w:rPr>
                <w:rFonts w:ascii="Times New Roman"/>
                <w:sz w:val="20"/>
              </w:rPr>
            </w:pPr>
          </w:p>
        </w:tc>
        <w:tc>
          <w:tcPr>
            <w:tcW w:w="2664" w:type="dxa"/>
          </w:tcPr>
          <w:p>
            <w:pPr>
              <w:pStyle w:val="TableParagraph"/>
              <w:rPr>
                <w:rFonts w:ascii="Times New Roman"/>
                <w:sz w:val="20"/>
              </w:rPr>
            </w:pPr>
          </w:p>
        </w:tc>
      </w:tr>
      <w:tr>
        <w:trPr>
          <w:trHeight w:val="285" w:hRule="atLeast"/>
        </w:trPr>
        <w:tc>
          <w:tcPr>
            <w:tcW w:w="3310" w:type="dxa"/>
          </w:tcPr>
          <w:p>
            <w:pPr>
              <w:pStyle w:val="TableParagraph"/>
              <w:spacing w:line="257" w:lineRule="exact" w:before="8"/>
              <w:ind w:left="107"/>
              <w:rPr>
                <w:sz w:val="21"/>
              </w:rPr>
            </w:pPr>
            <w:r>
              <w:rPr>
                <w:w w:val="100"/>
                <w:sz w:val="21"/>
              </w:rPr>
              <w:t> </w:t>
            </w:r>
            <w:r>
              <w:rPr>
                <w:sz w:val="21"/>
              </w:rPr>
              <w:t> </w:t>
            </w:r>
            <w:r>
              <w:rPr>
                <w:w w:val="100"/>
                <w:sz w:val="21"/>
              </w:rPr>
              <w:t> </w:t>
            </w:r>
            <w:r>
              <w:rPr>
                <w:sz w:val="21"/>
              </w:rPr>
              <w:t> </w:t>
            </w:r>
            <w:r>
              <w:rPr>
                <w:sz w:val="21"/>
              </w:rPr>
              <w:t>存放同业款项 </w:t>
            </w:r>
          </w:p>
        </w:tc>
        <w:tc>
          <w:tcPr>
            <w:tcW w:w="2849" w:type="dxa"/>
          </w:tcPr>
          <w:p>
            <w:pPr>
              <w:pStyle w:val="TableParagraph"/>
              <w:rPr>
                <w:rFonts w:ascii="Times New Roman"/>
                <w:sz w:val="20"/>
              </w:rPr>
            </w:pPr>
          </w:p>
        </w:tc>
        <w:tc>
          <w:tcPr>
            <w:tcW w:w="2664" w:type="dxa"/>
          </w:tcPr>
          <w:p>
            <w:pPr>
              <w:pStyle w:val="TableParagraph"/>
              <w:rPr>
                <w:rFonts w:ascii="Times New Roman"/>
                <w:sz w:val="20"/>
              </w:rPr>
            </w:pPr>
          </w:p>
        </w:tc>
      </w:tr>
      <w:tr>
        <w:trPr>
          <w:trHeight w:val="285" w:hRule="atLeast"/>
        </w:trPr>
        <w:tc>
          <w:tcPr>
            <w:tcW w:w="3310" w:type="dxa"/>
          </w:tcPr>
          <w:p>
            <w:pPr>
              <w:pStyle w:val="TableParagraph"/>
              <w:spacing w:line="257" w:lineRule="exact" w:before="8"/>
              <w:ind w:left="107"/>
              <w:rPr>
                <w:sz w:val="21"/>
              </w:rPr>
            </w:pPr>
            <w:r>
              <w:rPr>
                <w:w w:val="100"/>
                <w:sz w:val="21"/>
              </w:rPr>
              <w:t> </w:t>
            </w:r>
            <w:r>
              <w:rPr>
                <w:sz w:val="21"/>
              </w:rPr>
              <w:t> </w:t>
            </w:r>
            <w:r>
              <w:rPr>
                <w:w w:val="100"/>
                <w:sz w:val="21"/>
              </w:rPr>
              <w:t> </w:t>
            </w:r>
            <w:r>
              <w:rPr>
                <w:sz w:val="21"/>
              </w:rPr>
              <w:t> </w:t>
            </w:r>
            <w:r>
              <w:rPr>
                <w:sz w:val="21"/>
              </w:rPr>
              <w:t>拆放同业款项 </w:t>
            </w:r>
          </w:p>
        </w:tc>
        <w:tc>
          <w:tcPr>
            <w:tcW w:w="2849" w:type="dxa"/>
          </w:tcPr>
          <w:p>
            <w:pPr>
              <w:pStyle w:val="TableParagraph"/>
              <w:rPr>
                <w:rFonts w:ascii="Times New Roman"/>
                <w:sz w:val="20"/>
              </w:rPr>
            </w:pPr>
          </w:p>
        </w:tc>
        <w:tc>
          <w:tcPr>
            <w:tcW w:w="2664" w:type="dxa"/>
          </w:tcPr>
          <w:p>
            <w:pPr>
              <w:pStyle w:val="TableParagraph"/>
              <w:rPr>
                <w:rFonts w:ascii="Times New Roman"/>
                <w:sz w:val="20"/>
              </w:rPr>
            </w:pPr>
          </w:p>
        </w:tc>
      </w:tr>
      <w:tr>
        <w:trPr>
          <w:trHeight w:val="285" w:hRule="atLeast"/>
        </w:trPr>
        <w:tc>
          <w:tcPr>
            <w:tcW w:w="3310" w:type="dxa"/>
          </w:tcPr>
          <w:p>
            <w:pPr>
              <w:pStyle w:val="TableParagraph"/>
              <w:spacing w:line="257" w:lineRule="exact" w:before="8"/>
              <w:ind w:left="107"/>
              <w:rPr>
                <w:sz w:val="21"/>
              </w:rPr>
            </w:pPr>
            <w:r>
              <w:rPr>
                <w:spacing w:val="-1"/>
                <w:sz w:val="21"/>
              </w:rPr>
              <w:t>二、现金等价物</w:t>
            </w:r>
            <w:r>
              <w:rPr>
                <w:sz w:val="21"/>
              </w:rPr>
              <w:t> </w:t>
            </w:r>
          </w:p>
        </w:tc>
        <w:tc>
          <w:tcPr>
            <w:tcW w:w="2849" w:type="dxa"/>
          </w:tcPr>
          <w:p>
            <w:pPr>
              <w:pStyle w:val="TableParagraph"/>
              <w:rPr>
                <w:rFonts w:ascii="Times New Roman"/>
                <w:sz w:val="20"/>
              </w:rPr>
            </w:pPr>
          </w:p>
        </w:tc>
        <w:tc>
          <w:tcPr>
            <w:tcW w:w="2664" w:type="dxa"/>
          </w:tcPr>
          <w:p>
            <w:pPr>
              <w:pStyle w:val="TableParagraph"/>
              <w:rPr>
                <w:rFonts w:ascii="Times New Roman"/>
                <w:sz w:val="20"/>
              </w:rPr>
            </w:pPr>
          </w:p>
        </w:tc>
      </w:tr>
      <w:tr>
        <w:trPr>
          <w:trHeight w:val="285" w:hRule="atLeast"/>
        </w:trPr>
        <w:tc>
          <w:tcPr>
            <w:tcW w:w="3310" w:type="dxa"/>
          </w:tcPr>
          <w:p>
            <w:pPr>
              <w:pStyle w:val="TableParagraph"/>
              <w:spacing w:line="257" w:lineRule="exact" w:before="8"/>
              <w:ind w:left="107"/>
              <w:rPr>
                <w:sz w:val="21"/>
              </w:rPr>
            </w:pPr>
            <w:r>
              <w:rPr>
                <w:spacing w:val="-1"/>
                <w:sz w:val="21"/>
              </w:rPr>
              <w:t>其中：三个月内到期的债券投资</w:t>
            </w:r>
            <w:r>
              <w:rPr>
                <w:sz w:val="21"/>
              </w:rPr>
              <w:t> </w:t>
            </w:r>
          </w:p>
        </w:tc>
        <w:tc>
          <w:tcPr>
            <w:tcW w:w="2849" w:type="dxa"/>
          </w:tcPr>
          <w:p>
            <w:pPr>
              <w:pStyle w:val="TableParagraph"/>
              <w:rPr>
                <w:rFonts w:ascii="Times New Roman"/>
                <w:sz w:val="20"/>
              </w:rPr>
            </w:pPr>
          </w:p>
        </w:tc>
        <w:tc>
          <w:tcPr>
            <w:tcW w:w="2664" w:type="dxa"/>
          </w:tcPr>
          <w:p>
            <w:pPr>
              <w:pStyle w:val="TableParagraph"/>
              <w:rPr>
                <w:rFonts w:ascii="Times New Roman"/>
                <w:sz w:val="20"/>
              </w:rPr>
            </w:pPr>
          </w:p>
        </w:tc>
      </w:tr>
      <w:tr>
        <w:trPr>
          <w:trHeight w:val="285" w:hRule="atLeast"/>
        </w:trPr>
        <w:tc>
          <w:tcPr>
            <w:tcW w:w="3310" w:type="dxa"/>
          </w:tcPr>
          <w:p>
            <w:pPr>
              <w:pStyle w:val="TableParagraph"/>
              <w:spacing w:line="257" w:lineRule="exact" w:before="8"/>
              <w:ind w:left="107"/>
              <w:rPr>
                <w:sz w:val="21"/>
              </w:rPr>
            </w:pPr>
            <w:r>
              <w:rPr>
                <w:w w:val="100"/>
                <w:sz w:val="21"/>
              </w:rPr>
              <w:t> </w:t>
            </w:r>
          </w:p>
        </w:tc>
        <w:tc>
          <w:tcPr>
            <w:tcW w:w="2849" w:type="dxa"/>
          </w:tcPr>
          <w:p>
            <w:pPr>
              <w:pStyle w:val="TableParagraph"/>
              <w:rPr>
                <w:rFonts w:ascii="Times New Roman"/>
                <w:sz w:val="20"/>
              </w:rPr>
            </w:pPr>
          </w:p>
        </w:tc>
        <w:tc>
          <w:tcPr>
            <w:tcW w:w="2664" w:type="dxa"/>
          </w:tcPr>
          <w:p>
            <w:pPr>
              <w:pStyle w:val="TableParagraph"/>
              <w:rPr>
                <w:rFonts w:ascii="Times New Roman"/>
                <w:sz w:val="20"/>
              </w:rPr>
            </w:pPr>
          </w:p>
        </w:tc>
      </w:tr>
      <w:tr>
        <w:trPr>
          <w:trHeight w:val="285" w:hRule="atLeast"/>
        </w:trPr>
        <w:tc>
          <w:tcPr>
            <w:tcW w:w="3310" w:type="dxa"/>
          </w:tcPr>
          <w:p>
            <w:pPr>
              <w:pStyle w:val="TableParagraph"/>
              <w:spacing w:line="257" w:lineRule="exact" w:before="8"/>
              <w:ind w:left="107"/>
              <w:rPr>
                <w:sz w:val="21"/>
              </w:rPr>
            </w:pPr>
            <w:r>
              <w:rPr>
                <w:w w:val="100"/>
                <w:sz w:val="21"/>
              </w:rPr>
              <w:t> </w:t>
            </w:r>
          </w:p>
        </w:tc>
        <w:tc>
          <w:tcPr>
            <w:tcW w:w="2849" w:type="dxa"/>
          </w:tcPr>
          <w:p>
            <w:pPr>
              <w:pStyle w:val="TableParagraph"/>
              <w:rPr>
                <w:rFonts w:ascii="Times New Roman"/>
                <w:sz w:val="20"/>
              </w:rPr>
            </w:pPr>
          </w:p>
        </w:tc>
        <w:tc>
          <w:tcPr>
            <w:tcW w:w="2664" w:type="dxa"/>
          </w:tcPr>
          <w:p>
            <w:pPr>
              <w:pStyle w:val="TableParagraph"/>
              <w:rPr>
                <w:rFonts w:ascii="Times New Roman"/>
                <w:sz w:val="20"/>
              </w:rPr>
            </w:pPr>
          </w:p>
        </w:tc>
      </w:tr>
      <w:tr>
        <w:trPr>
          <w:trHeight w:val="285" w:hRule="atLeast"/>
        </w:trPr>
        <w:tc>
          <w:tcPr>
            <w:tcW w:w="3310" w:type="dxa"/>
          </w:tcPr>
          <w:p>
            <w:pPr>
              <w:pStyle w:val="TableParagraph"/>
              <w:spacing w:line="257" w:lineRule="exact" w:before="8"/>
              <w:ind w:left="107"/>
              <w:rPr>
                <w:sz w:val="21"/>
              </w:rPr>
            </w:pPr>
            <w:r>
              <w:rPr>
                <w:spacing w:val="-1"/>
                <w:sz w:val="21"/>
              </w:rPr>
              <w:t>三、期末现金及现金等价物余额</w:t>
            </w:r>
            <w:r>
              <w:rPr>
                <w:sz w:val="21"/>
              </w:rPr>
              <w:t> </w:t>
            </w:r>
          </w:p>
        </w:tc>
        <w:tc>
          <w:tcPr>
            <w:tcW w:w="2849" w:type="dxa"/>
          </w:tcPr>
          <w:p>
            <w:pPr>
              <w:pStyle w:val="TableParagraph"/>
              <w:spacing w:before="15"/>
              <w:ind w:right="93"/>
              <w:jc w:val="right"/>
              <w:rPr>
                <w:rFonts w:ascii="Times New Roman"/>
                <w:sz w:val="21"/>
              </w:rPr>
            </w:pPr>
            <w:r>
              <w:rPr>
                <w:rFonts w:ascii="Times New Roman"/>
                <w:sz w:val="21"/>
              </w:rPr>
              <w:t>69,166,502</w:t>
            </w:r>
          </w:p>
        </w:tc>
        <w:tc>
          <w:tcPr>
            <w:tcW w:w="2664" w:type="dxa"/>
          </w:tcPr>
          <w:p>
            <w:pPr>
              <w:pStyle w:val="TableParagraph"/>
              <w:spacing w:before="15"/>
              <w:ind w:right="92"/>
              <w:jc w:val="right"/>
              <w:rPr>
                <w:rFonts w:ascii="Times New Roman"/>
                <w:sz w:val="21"/>
              </w:rPr>
            </w:pPr>
            <w:r>
              <w:rPr>
                <w:rFonts w:ascii="Times New Roman"/>
                <w:sz w:val="21"/>
              </w:rPr>
              <w:t>81,071,137</w:t>
            </w:r>
          </w:p>
        </w:tc>
      </w:tr>
      <w:tr>
        <w:trPr>
          <w:trHeight w:val="545" w:hRule="atLeast"/>
        </w:trPr>
        <w:tc>
          <w:tcPr>
            <w:tcW w:w="3310" w:type="dxa"/>
          </w:tcPr>
          <w:p>
            <w:pPr>
              <w:pStyle w:val="TableParagraph"/>
              <w:spacing w:before="1"/>
              <w:ind w:left="107"/>
              <w:rPr>
                <w:sz w:val="21"/>
              </w:rPr>
            </w:pPr>
            <w:r>
              <w:rPr>
                <w:sz w:val="21"/>
              </w:rPr>
              <w:t>其中：母公司或集团内子公司使</w:t>
            </w:r>
          </w:p>
          <w:p>
            <w:pPr>
              <w:pStyle w:val="TableParagraph"/>
              <w:spacing w:line="250" w:lineRule="exact" w:before="5"/>
              <w:ind w:left="107"/>
              <w:rPr>
                <w:sz w:val="21"/>
              </w:rPr>
            </w:pPr>
            <w:r>
              <w:rPr>
                <w:spacing w:val="-1"/>
                <w:sz w:val="21"/>
              </w:rPr>
              <w:t>用受限制的现金和现金等价物</w:t>
            </w:r>
            <w:r>
              <w:rPr>
                <w:sz w:val="21"/>
              </w:rPr>
              <w:t> </w:t>
            </w:r>
          </w:p>
        </w:tc>
        <w:tc>
          <w:tcPr>
            <w:tcW w:w="2849" w:type="dxa"/>
          </w:tcPr>
          <w:p>
            <w:pPr>
              <w:pStyle w:val="TableParagraph"/>
              <w:spacing w:before="1"/>
              <w:ind w:right="-15"/>
              <w:jc w:val="right"/>
              <w:rPr>
                <w:sz w:val="21"/>
              </w:rPr>
            </w:pPr>
            <w:r>
              <w:rPr>
                <w:w w:val="100"/>
                <w:sz w:val="21"/>
              </w:rPr>
              <w:t> </w:t>
            </w:r>
          </w:p>
        </w:tc>
        <w:tc>
          <w:tcPr>
            <w:tcW w:w="2664" w:type="dxa"/>
          </w:tcPr>
          <w:p>
            <w:pPr>
              <w:pStyle w:val="TableParagraph"/>
              <w:spacing w:before="1"/>
              <w:ind w:right="-15"/>
              <w:jc w:val="right"/>
              <w:rPr>
                <w:sz w:val="21"/>
              </w:rPr>
            </w:pPr>
            <w:r>
              <w:rPr>
                <w:w w:val="100"/>
                <w:sz w:val="21"/>
              </w:rPr>
              <w:t> </w:t>
            </w:r>
          </w:p>
        </w:tc>
      </w:tr>
    </w:tbl>
    <w:p>
      <w:pPr>
        <w:pStyle w:val="BodyText"/>
        <w:spacing w:before="61"/>
      </w:pPr>
      <w:r>
        <w:rPr>
          <w:w w:val="100"/>
        </w:rPr>
        <w:t> </w:t>
      </w:r>
    </w:p>
    <w:p>
      <w:pPr>
        <w:pStyle w:val="BodyText"/>
        <w:spacing w:before="64"/>
      </w:pPr>
      <w:r>
        <w:rPr/>
        <w:t>其他说明： </w:t>
      </w:r>
    </w:p>
    <w:p>
      <w:pPr>
        <w:pStyle w:val="BodyText"/>
        <w:spacing w:before="63"/>
      </w:pPr>
      <w:r>
        <w:rPr>
          <w:spacing w:val="-1"/>
        </w:rPr>
        <w:t>√适用 □不适用</w:t>
      </w:r>
      <w:r>
        <w:rPr>
          <w:spacing w:val="-3"/>
        </w:rPr>
        <w:t> </w:t>
      </w:r>
      <w:r>
        <w:rPr/>
        <w:t> </w:t>
      </w:r>
    </w:p>
    <w:p>
      <w:pPr>
        <w:pStyle w:val="BodyText"/>
        <w:spacing w:before="64"/>
      </w:pPr>
      <w:r>
        <w:rPr>
          <w:spacing w:val="-1"/>
        </w:rPr>
        <w:t>不可随时用于支付的银行存款主要系三个月以上的定期存款。</w:t>
      </w:r>
      <w:r>
        <w:rPr/>
        <w:t> </w:t>
      </w:r>
    </w:p>
    <w:p>
      <w:pPr>
        <w:pStyle w:val="BodyText"/>
        <w:spacing w:before="62"/>
      </w:pPr>
      <w:r>
        <w:rPr>
          <w:w w:val="100"/>
        </w:rPr>
        <w:t> </w:t>
      </w:r>
    </w:p>
    <w:p>
      <w:pPr>
        <w:pStyle w:val="BodyText"/>
        <w:spacing w:before="65"/>
      </w:pPr>
      <w:r>
        <w:rPr>
          <w:w w:val="100"/>
        </w:rPr>
        <w:t> </w:t>
      </w:r>
    </w:p>
    <w:p>
      <w:pPr>
        <w:pStyle w:val="BodyText"/>
        <w:spacing w:before="62"/>
      </w:pPr>
      <w:r>
        <w:rPr/>
        <w:t>80</w:t>
      </w:r>
      <w:r>
        <w:rPr>
          <w:spacing w:val="-5"/>
        </w:rPr>
        <w:t>、 所有者权益变动表项目注释 </w:t>
      </w:r>
    </w:p>
    <w:p>
      <w:pPr>
        <w:pStyle w:val="BodyText"/>
        <w:spacing w:before="64"/>
      </w:pPr>
      <w:r>
        <w:rPr>
          <w:spacing w:val="-1"/>
        </w:rPr>
        <w:t>说明对上年期末余额进行调整的“其他”项目名称及调整金额等事项：</w:t>
      </w:r>
      <w:r>
        <w:rPr/>
        <w:t> </w:t>
      </w:r>
    </w:p>
    <w:p>
      <w:pPr>
        <w:pStyle w:val="BodyText"/>
        <w:spacing w:before="3"/>
      </w:pPr>
      <w:r>
        <w:rPr>
          <w:spacing w:val="-1"/>
        </w:rPr>
        <w:t>□适用 √不适用</w:t>
      </w:r>
      <w:r>
        <w:rPr>
          <w:spacing w:val="-3"/>
        </w:rPr>
        <w:t> </w:t>
      </w:r>
      <w:r>
        <w:rPr>
          <w:color w:val="FF00FF"/>
        </w:rPr>
        <w:t> </w:t>
      </w:r>
    </w:p>
    <w:p>
      <w:pPr>
        <w:pStyle w:val="BodyText"/>
        <w:spacing w:before="2"/>
      </w:pPr>
      <w:r>
        <w:rPr>
          <w:w w:val="100"/>
        </w:rPr>
        <w:t> </w:t>
      </w:r>
    </w:p>
    <w:p>
      <w:pPr>
        <w:pStyle w:val="BodyText"/>
        <w:spacing w:before="65"/>
      </w:pPr>
      <w:r>
        <w:rPr/>
        <w:t>81</w:t>
      </w:r>
      <w:r>
        <w:rPr>
          <w:spacing w:val="-5"/>
        </w:rPr>
        <w:t>、 所有权或使用权受到限制的资产 </w:t>
      </w:r>
    </w:p>
    <w:p>
      <w:pPr>
        <w:pStyle w:val="BodyText"/>
        <w:spacing w:before="62"/>
      </w:pPr>
      <w:r>
        <w:rPr>
          <w:spacing w:val="-1"/>
        </w:rPr>
        <w:t>□适用 √不适用</w:t>
      </w:r>
      <w:r>
        <w:rPr>
          <w:spacing w:val="-3"/>
        </w:rPr>
        <w:t> </w:t>
      </w:r>
      <w:r>
        <w:rPr/>
        <w:t> </w:t>
      </w:r>
    </w:p>
    <w:p>
      <w:pPr>
        <w:pStyle w:val="BodyText"/>
        <w:spacing w:before="4"/>
      </w:pPr>
      <w:r>
        <w:rPr>
          <w:w w:val="100"/>
        </w:rPr>
        <w:t> </w:t>
      </w:r>
    </w:p>
    <w:p>
      <w:pPr>
        <w:pStyle w:val="BodyText"/>
        <w:spacing w:before="2"/>
      </w:pPr>
      <w:r>
        <w:rPr>
          <w:w w:val="100"/>
        </w:rPr>
        <w:t> </w:t>
      </w:r>
    </w:p>
    <w:p>
      <w:pPr>
        <w:pStyle w:val="BodyText"/>
        <w:spacing w:line="295" w:lineRule="auto" w:before="65"/>
        <w:ind w:right="8020"/>
      </w:pPr>
      <w:r>
        <w:rPr/>
        <w:t>82</w:t>
      </w:r>
      <w:r>
        <w:rPr>
          <w:spacing w:val="-5"/>
        </w:rPr>
        <w:t>、 外币货币性项目</w:t>
      </w:r>
      <w:r>
        <w:rPr/>
        <w:t>(1).外币货币性项目 </w:t>
      </w:r>
    </w:p>
    <w:p>
      <w:pPr>
        <w:pStyle w:val="BodyText"/>
        <w:spacing w:before="3"/>
      </w:pPr>
      <w:r>
        <w:rPr>
          <w:spacing w:val="-1"/>
        </w:rPr>
        <w:t>√适用 □不适用</w:t>
      </w:r>
      <w:r>
        <w:rPr>
          <w:spacing w:val="-3"/>
        </w:rPr>
        <w:t> </w:t>
      </w:r>
      <w:r>
        <w:rPr/>
        <w:t> </w:t>
      </w:r>
    </w:p>
    <w:p>
      <w:pPr>
        <w:pStyle w:val="BodyText"/>
        <w:spacing w:before="2" w:after="4"/>
        <w:ind w:left="8100"/>
      </w:pPr>
      <w:r>
        <w:rPr/>
        <w:t>单位：千元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25"/>
        <w:gridCol w:w="1999"/>
        <w:gridCol w:w="2006"/>
        <w:gridCol w:w="1992"/>
      </w:tblGrid>
      <w:tr>
        <w:trPr>
          <w:trHeight w:val="544" w:hRule="atLeast"/>
        </w:trPr>
        <w:tc>
          <w:tcPr>
            <w:tcW w:w="2825" w:type="dxa"/>
          </w:tcPr>
          <w:p>
            <w:pPr>
              <w:pStyle w:val="TableParagraph"/>
              <w:spacing w:before="138"/>
              <w:ind w:left="1234" w:right="1120"/>
              <w:jc w:val="center"/>
              <w:rPr>
                <w:sz w:val="21"/>
              </w:rPr>
            </w:pPr>
            <w:r>
              <w:rPr>
                <w:sz w:val="21"/>
              </w:rPr>
              <w:t>项目 </w:t>
            </w:r>
          </w:p>
        </w:tc>
        <w:tc>
          <w:tcPr>
            <w:tcW w:w="1999" w:type="dxa"/>
          </w:tcPr>
          <w:p>
            <w:pPr>
              <w:pStyle w:val="TableParagraph"/>
              <w:spacing w:before="138"/>
              <w:ind w:left="369"/>
              <w:rPr>
                <w:sz w:val="21"/>
              </w:rPr>
            </w:pPr>
            <w:r>
              <w:rPr>
                <w:spacing w:val="-1"/>
                <w:sz w:val="21"/>
              </w:rPr>
              <w:t>期末外币余额</w:t>
            </w:r>
            <w:r>
              <w:rPr>
                <w:sz w:val="21"/>
              </w:rPr>
              <w:t> </w:t>
            </w:r>
          </w:p>
        </w:tc>
        <w:tc>
          <w:tcPr>
            <w:tcW w:w="2006" w:type="dxa"/>
          </w:tcPr>
          <w:p>
            <w:pPr>
              <w:pStyle w:val="TableParagraph"/>
              <w:spacing w:before="138"/>
              <w:ind w:left="581"/>
              <w:rPr>
                <w:sz w:val="21"/>
              </w:rPr>
            </w:pPr>
            <w:r>
              <w:rPr>
                <w:spacing w:val="-1"/>
                <w:sz w:val="21"/>
              </w:rPr>
              <w:t>折算汇率</w:t>
            </w:r>
            <w:r>
              <w:rPr>
                <w:sz w:val="21"/>
              </w:rPr>
              <w:t> </w:t>
            </w:r>
          </w:p>
        </w:tc>
        <w:tc>
          <w:tcPr>
            <w:tcW w:w="1992" w:type="dxa"/>
          </w:tcPr>
          <w:p>
            <w:pPr>
              <w:pStyle w:val="TableParagraph"/>
              <w:spacing w:before="1"/>
              <w:ind w:left="297" w:right="181"/>
              <w:jc w:val="center"/>
              <w:rPr>
                <w:sz w:val="21"/>
              </w:rPr>
            </w:pPr>
            <w:r>
              <w:rPr>
                <w:spacing w:val="-1"/>
                <w:sz w:val="21"/>
              </w:rPr>
              <w:t>期末折算人民币</w:t>
            </w:r>
            <w:r>
              <w:rPr>
                <w:sz w:val="21"/>
              </w:rPr>
              <w:t> </w:t>
            </w:r>
          </w:p>
          <w:p>
            <w:pPr>
              <w:pStyle w:val="TableParagraph"/>
              <w:spacing w:line="252" w:lineRule="exact" w:before="2"/>
              <w:ind w:left="297" w:right="181"/>
              <w:jc w:val="center"/>
              <w:rPr>
                <w:sz w:val="21"/>
              </w:rPr>
            </w:pPr>
            <w:r>
              <w:rPr>
                <w:sz w:val="21"/>
              </w:rPr>
              <w:t>余额 </w:t>
            </w:r>
          </w:p>
        </w:tc>
      </w:tr>
      <w:tr>
        <w:trPr>
          <w:trHeight w:val="273" w:hRule="atLeast"/>
        </w:trPr>
        <w:tc>
          <w:tcPr>
            <w:tcW w:w="2825" w:type="dxa"/>
          </w:tcPr>
          <w:p>
            <w:pPr>
              <w:pStyle w:val="TableParagraph"/>
              <w:spacing w:line="252" w:lineRule="exact" w:before="1"/>
              <w:ind w:left="107"/>
              <w:rPr>
                <w:sz w:val="21"/>
              </w:rPr>
            </w:pPr>
            <w:r>
              <w:rPr>
                <w:spacing w:val="-1"/>
                <w:sz w:val="21"/>
              </w:rPr>
              <w:t>货币资金</w:t>
            </w:r>
            <w:r>
              <w:rPr>
                <w:sz w:val="21"/>
              </w:rPr>
              <w:t> </w:t>
            </w:r>
          </w:p>
        </w:tc>
        <w:tc>
          <w:tcPr>
            <w:tcW w:w="1999" w:type="dxa"/>
          </w:tcPr>
          <w:p>
            <w:pPr>
              <w:pStyle w:val="TableParagraph"/>
              <w:spacing w:line="235" w:lineRule="exact"/>
              <w:ind w:right="94"/>
              <w:jc w:val="right"/>
              <w:rPr>
                <w:rFonts w:ascii="Times New Roman"/>
                <w:sz w:val="21"/>
              </w:rPr>
            </w:pPr>
            <w:r>
              <w:rPr>
                <w:rFonts w:ascii="Times New Roman"/>
                <w:w w:val="100"/>
                <w:sz w:val="21"/>
              </w:rPr>
              <w:t>-</w:t>
            </w:r>
          </w:p>
        </w:tc>
        <w:tc>
          <w:tcPr>
            <w:tcW w:w="2006" w:type="dxa"/>
          </w:tcPr>
          <w:p>
            <w:pPr>
              <w:pStyle w:val="TableParagraph"/>
              <w:spacing w:line="235" w:lineRule="exact"/>
              <w:ind w:right="96"/>
              <w:jc w:val="right"/>
              <w:rPr>
                <w:rFonts w:ascii="Times New Roman"/>
                <w:sz w:val="21"/>
              </w:rPr>
            </w:pPr>
            <w:r>
              <w:rPr>
                <w:rFonts w:ascii="Times New Roman"/>
                <w:w w:val="100"/>
                <w:sz w:val="21"/>
              </w:rPr>
              <w:t>-</w:t>
            </w:r>
          </w:p>
        </w:tc>
        <w:tc>
          <w:tcPr>
            <w:tcW w:w="1992" w:type="dxa"/>
          </w:tcPr>
          <w:p>
            <w:pPr>
              <w:pStyle w:val="TableParagraph"/>
              <w:rPr>
                <w:rFonts w:ascii="Times New Roman"/>
                <w:sz w:val="20"/>
              </w:rPr>
            </w:pPr>
          </w:p>
        </w:tc>
      </w:tr>
      <w:tr>
        <w:trPr>
          <w:trHeight w:val="271" w:hRule="atLeast"/>
        </w:trPr>
        <w:tc>
          <w:tcPr>
            <w:tcW w:w="2825" w:type="dxa"/>
          </w:tcPr>
          <w:p>
            <w:pPr>
              <w:pStyle w:val="TableParagraph"/>
              <w:spacing w:line="250" w:lineRule="exact" w:before="1"/>
              <w:ind w:left="107"/>
              <w:rPr>
                <w:sz w:val="21"/>
              </w:rPr>
            </w:pPr>
            <w:r>
              <w:rPr>
                <w:sz w:val="21"/>
              </w:rPr>
              <w:t>其中：美元 </w:t>
            </w:r>
          </w:p>
        </w:tc>
        <w:tc>
          <w:tcPr>
            <w:tcW w:w="1999" w:type="dxa"/>
          </w:tcPr>
          <w:p>
            <w:pPr>
              <w:pStyle w:val="TableParagraph"/>
              <w:spacing w:before="8"/>
              <w:ind w:right="93"/>
              <w:jc w:val="right"/>
              <w:rPr>
                <w:rFonts w:ascii="Times New Roman"/>
                <w:sz w:val="21"/>
              </w:rPr>
            </w:pPr>
            <w:r>
              <w:rPr>
                <w:rFonts w:ascii="Times New Roman"/>
                <w:sz w:val="21"/>
              </w:rPr>
              <w:t>2,446,502</w:t>
            </w:r>
          </w:p>
        </w:tc>
        <w:tc>
          <w:tcPr>
            <w:tcW w:w="2006" w:type="dxa"/>
          </w:tcPr>
          <w:p>
            <w:pPr>
              <w:pStyle w:val="TableParagraph"/>
              <w:spacing w:before="8"/>
              <w:ind w:right="94"/>
              <w:jc w:val="right"/>
              <w:rPr>
                <w:rFonts w:ascii="Times New Roman"/>
                <w:sz w:val="21"/>
              </w:rPr>
            </w:pPr>
            <w:r>
              <w:rPr>
                <w:rFonts w:ascii="Times New Roman"/>
                <w:sz w:val="21"/>
              </w:rPr>
              <w:t>6.9646</w:t>
            </w:r>
          </w:p>
        </w:tc>
        <w:tc>
          <w:tcPr>
            <w:tcW w:w="1992" w:type="dxa"/>
          </w:tcPr>
          <w:p>
            <w:pPr>
              <w:pStyle w:val="TableParagraph"/>
              <w:spacing w:before="8"/>
              <w:ind w:right="91"/>
              <w:jc w:val="right"/>
              <w:rPr>
                <w:rFonts w:ascii="Times New Roman"/>
                <w:sz w:val="21"/>
              </w:rPr>
            </w:pPr>
            <w:r>
              <w:rPr>
                <w:rFonts w:ascii="Times New Roman"/>
                <w:sz w:val="21"/>
              </w:rPr>
              <w:t>17,038,908</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越南盾 </w:t>
            </w:r>
          </w:p>
        </w:tc>
        <w:tc>
          <w:tcPr>
            <w:tcW w:w="1999" w:type="dxa"/>
          </w:tcPr>
          <w:p>
            <w:pPr>
              <w:pStyle w:val="TableParagraph"/>
              <w:spacing w:before="10"/>
              <w:ind w:right="93"/>
              <w:jc w:val="right"/>
              <w:rPr>
                <w:rFonts w:ascii="Times New Roman"/>
                <w:sz w:val="21"/>
              </w:rPr>
            </w:pPr>
            <w:r>
              <w:rPr>
                <w:rFonts w:ascii="Times New Roman"/>
                <w:sz w:val="21"/>
              </w:rPr>
              <w:t>2,287,263,333</w:t>
            </w:r>
          </w:p>
        </w:tc>
        <w:tc>
          <w:tcPr>
            <w:tcW w:w="2006" w:type="dxa"/>
          </w:tcPr>
          <w:p>
            <w:pPr>
              <w:pStyle w:val="TableParagraph"/>
              <w:spacing w:before="10"/>
              <w:ind w:right="94"/>
              <w:jc w:val="right"/>
              <w:rPr>
                <w:rFonts w:ascii="Times New Roman"/>
                <w:sz w:val="21"/>
              </w:rPr>
            </w:pPr>
            <w:r>
              <w:rPr>
                <w:rFonts w:ascii="Times New Roman"/>
                <w:sz w:val="21"/>
              </w:rPr>
              <w:t>0.0003</w:t>
            </w:r>
          </w:p>
        </w:tc>
        <w:tc>
          <w:tcPr>
            <w:tcW w:w="1992" w:type="dxa"/>
          </w:tcPr>
          <w:p>
            <w:pPr>
              <w:pStyle w:val="TableParagraph"/>
              <w:spacing w:before="10"/>
              <w:ind w:right="91"/>
              <w:jc w:val="right"/>
              <w:rPr>
                <w:rFonts w:ascii="Times New Roman"/>
                <w:sz w:val="21"/>
              </w:rPr>
            </w:pPr>
            <w:r>
              <w:rPr>
                <w:rFonts w:ascii="Times New Roman"/>
                <w:sz w:val="21"/>
              </w:rPr>
              <w:t>686,179</w:t>
            </w:r>
          </w:p>
        </w:tc>
      </w:tr>
      <w:tr>
        <w:trPr>
          <w:trHeight w:val="270" w:hRule="atLeast"/>
        </w:trPr>
        <w:tc>
          <w:tcPr>
            <w:tcW w:w="2825" w:type="dxa"/>
          </w:tcPr>
          <w:p>
            <w:pPr>
              <w:pStyle w:val="TableParagraph"/>
              <w:spacing w:line="250"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日元 </w:t>
            </w:r>
          </w:p>
        </w:tc>
        <w:tc>
          <w:tcPr>
            <w:tcW w:w="1999" w:type="dxa"/>
          </w:tcPr>
          <w:p>
            <w:pPr>
              <w:pStyle w:val="TableParagraph"/>
              <w:spacing w:before="7"/>
              <w:ind w:right="93"/>
              <w:jc w:val="right"/>
              <w:rPr>
                <w:rFonts w:ascii="Times New Roman"/>
                <w:sz w:val="21"/>
              </w:rPr>
            </w:pPr>
            <w:r>
              <w:rPr>
                <w:rFonts w:ascii="Times New Roman"/>
                <w:sz w:val="21"/>
              </w:rPr>
              <w:t>8,618,645</w:t>
            </w:r>
          </w:p>
        </w:tc>
        <w:tc>
          <w:tcPr>
            <w:tcW w:w="2006" w:type="dxa"/>
          </w:tcPr>
          <w:p>
            <w:pPr>
              <w:pStyle w:val="TableParagraph"/>
              <w:spacing w:before="7"/>
              <w:ind w:right="94"/>
              <w:jc w:val="right"/>
              <w:rPr>
                <w:rFonts w:ascii="Times New Roman"/>
                <w:sz w:val="21"/>
              </w:rPr>
            </w:pPr>
            <w:r>
              <w:rPr>
                <w:rFonts w:ascii="Times New Roman"/>
                <w:sz w:val="21"/>
              </w:rPr>
              <w:t>0.0524</w:t>
            </w:r>
          </w:p>
        </w:tc>
        <w:tc>
          <w:tcPr>
            <w:tcW w:w="1992" w:type="dxa"/>
          </w:tcPr>
          <w:p>
            <w:pPr>
              <w:pStyle w:val="TableParagraph"/>
              <w:spacing w:before="7"/>
              <w:ind w:right="91"/>
              <w:jc w:val="right"/>
              <w:rPr>
                <w:rFonts w:ascii="Times New Roman"/>
                <w:sz w:val="21"/>
              </w:rPr>
            </w:pPr>
            <w:r>
              <w:rPr>
                <w:rFonts w:ascii="Times New Roman"/>
                <w:sz w:val="21"/>
              </w:rPr>
              <w:t>451,617</w:t>
            </w:r>
          </w:p>
        </w:tc>
      </w:tr>
      <w:tr>
        <w:trPr>
          <w:trHeight w:val="273" w:hRule="atLeast"/>
        </w:trPr>
        <w:tc>
          <w:tcPr>
            <w:tcW w:w="2825" w:type="dxa"/>
          </w:tcPr>
          <w:p>
            <w:pPr>
              <w:pStyle w:val="TableParagraph"/>
              <w:spacing w:line="250" w:lineRule="exact" w:before="3"/>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印度卢比 </w:t>
            </w:r>
          </w:p>
        </w:tc>
        <w:tc>
          <w:tcPr>
            <w:tcW w:w="1999" w:type="dxa"/>
          </w:tcPr>
          <w:p>
            <w:pPr>
              <w:pStyle w:val="TableParagraph"/>
              <w:spacing w:before="10"/>
              <w:ind w:right="93"/>
              <w:jc w:val="right"/>
              <w:rPr>
                <w:rFonts w:ascii="Times New Roman"/>
                <w:sz w:val="21"/>
              </w:rPr>
            </w:pPr>
            <w:r>
              <w:rPr>
                <w:rFonts w:ascii="Times New Roman"/>
                <w:sz w:val="21"/>
              </w:rPr>
              <w:t>2,589,810</w:t>
            </w:r>
          </w:p>
        </w:tc>
        <w:tc>
          <w:tcPr>
            <w:tcW w:w="2006" w:type="dxa"/>
          </w:tcPr>
          <w:p>
            <w:pPr>
              <w:pStyle w:val="TableParagraph"/>
              <w:spacing w:before="10"/>
              <w:ind w:right="94"/>
              <w:jc w:val="right"/>
              <w:rPr>
                <w:rFonts w:ascii="Times New Roman"/>
                <w:sz w:val="21"/>
              </w:rPr>
            </w:pPr>
            <w:r>
              <w:rPr>
                <w:rFonts w:ascii="Times New Roman"/>
                <w:sz w:val="21"/>
              </w:rPr>
              <w:t>0.0843</w:t>
            </w:r>
          </w:p>
        </w:tc>
        <w:tc>
          <w:tcPr>
            <w:tcW w:w="1992" w:type="dxa"/>
          </w:tcPr>
          <w:p>
            <w:pPr>
              <w:pStyle w:val="TableParagraph"/>
              <w:spacing w:before="10"/>
              <w:ind w:right="91"/>
              <w:jc w:val="right"/>
              <w:rPr>
                <w:rFonts w:ascii="Times New Roman"/>
                <w:sz w:val="21"/>
              </w:rPr>
            </w:pPr>
            <w:r>
              <w:rPr>
                <w:rFonts w:ascii="Times New Roman"/>
                <w:sz w:val="21"/>
              </w:rPr>
              <w:t>218,321</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新台币 </w:t>
            </w:r>
          </w:p>
        </w:tc>
        <w:tc>
          <w:tcPr>
            <w:tcW w:w="1999" w:type="dxa"/>
          </w:tcPr>
          <w:p>
            <w:pPr>
              <w:pStyle w:val="TableParagraph"/>
              <w:spacing w:before="10"/>
              <w:ind w:right="93"/>
              <w:jc w:val="right"/>
              <w:rPr>
                <w:rFonts w:ascii="Times New Roman"/>
                <w:sz w:val="21"/>
              </w:rPr>
            </w:pPr>
            <w:r>
              <w:rPr>
                <w:rFonts w:ascii="Times New Roman"/>
                <w:sz w:val="21"/>
              </w:rPr>
              <w:t>672,821</w:t>
            </w:r>
          </w:p>
        </w:tc>
        <w:tc>
          <w:tcPr>
            <w:tcW w:w="2006" w:type="dxa"/>
          </w:tcPr>
          <w:p>
            <w:pPr>
              <w:pStyle w:val="TableParagraph"/>
              <w:spacing w:before="10"/>
              <w:ind w:right="94"/>
              <w:jc w:val="right"/>
              <w:rPr>
                <w:rFonts w:ascii="Times New Roman"/>
                <w:sz w:val="21"/>
              </w:rPr>
            </w:pPr>
            <w:r>
              <w:rPr>
                <w:rFonts w:ascii="Times New Roman"/>
                <w:sz w:val="21"/>
              </w:rPr>
              <w:t>0.2269</w:t>
            </w:r>
          </w:p>
        </w:tc>
        <w:tc>
          <w:tcPr>
            <w:tcW w:w="1992" w:type="dxa"/>
          </w:tcPr>
          <w:p>
            <w:pPr>
              <w:pStyle w:val="TableParagraph"/>
              <w:spacing w:before="10"/>
              <w:ind w:right="91"/>
              <w:jc w:val="right"/>
              <w:rPr>
                <w:rFonts w:ascii="Times New Roman"/>
                <w:sz w:val="21"/>
              </w:rPr>
            </w:pPr>
            <w:r>
              <w:rPr>
                <w:rFonts w:ascii="Times New Roman"/>
                <w:sz w:val="21"/>
              </w:rPr>
              <w:t>152,663</w:t>
            </w:r>
          </w:p>
        </w:tc>
      </w:tr>
      <w:tr>
        <w:trPr>
          <w:trHeight w:val="270" w:hRule="atLeast"/>
        </w:trPr>
        <w:tc>
          <w:tcPr>
            <w:tcW w:w="2825" w:type="dxa"/>
          </w:tcPr>
          <w:p>
            <w:pPr>
              <w:pStyle w:val="TableParagraph"/>
              <w:spacing w:line="250"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新加坡币 </w:t>
            </w:r>
          </w:p>
        </w:tc>
        <w:tc>
          <w:tcPr>
            <w:tcW w:w="1999" w:type="dxa"/>
          </w:tcPr>
          <w:p>
            <w:pPr>
              <w:pStyle w:val="TableParagraph"/>
              <w:spacing w:before="7"/>
              <w:ind w:right="93"/>
              <w:jc w:val="right"/>
              <w:rPr>
                <w:rFonts w:ascii="Times New Roman"/>
                <w:sz w:val="21"/>
              </w:rPr>
            </w:pPr>
            <w:r>
              <w:rPr>
                <w:rFonts w:ascii="Times New Roman"/>
                <w:sz w:val="21"/>
              </w:rPr>
              <w:t>19,793</w:t>
            </w:r>
          </w:p>
        </w:tc>
        <w:tc>
          <w:tcPr>
            <w:tcW w:w="2006" w:type="dxa"/>
          </w:tcPr>
          <w:p>
            <w:pPr>
              <w:pStyle w:val="TableParagraph"/>
              <w:spacing w:before="7"/>
              <w:ind w:right="94"/>
              <w:jc w:val="right"/>
              <w:rPr>
                <w:rFonts w:ascii="Times New Roman"/>
                <w:sz w:val="21"/>
              </w:rPr>
            </w:pPr>
            <w:r>
              <w:rPr>
                <w:rFonts w:ascii="Times New Roman"/>
                <w:sz w:val="21"/>
              </w:rPr>
              <w:t>5.1831</w:t>
            </w:r>
          </w:p>
        </w:tc>
        <w:tc>
          <w:tcPr>
            <w:tcW w:w="1992" w:type="dxa"/>
          </w:tcPr>
          <w:p>
            <w:pPr>
              <w:pStyle w:val="TableParagraph"/>
              <w:spacing w:before="7"/>
              <w:ind w:right="91"/>
              <w:jc w:val="right"/>
              <w:rPr>
                <w:rFonts w:ascii="Times New Roman"/>
                <w:sz w:val="21"/>
              </w:rPr>
            </w:pPr>
            <w:r>
              <w:rPr>
                <w:rFonts w:ascii="Times New Roman"/>
                <w:sz w:val="21"/>
              </w:rPr>
              <w:t>102,588</w:t>
            </w:r>
          </w:p>
        </w:tc>
      </w:tr>
      <w:tr>
        <w:trPr>
          <w:trHeight w:val="273" w:hRule="atLeast"/>
        </w:trPr>
        <w:tc>
          <w:tcPr>
            <w:tcW w:w="2825" w:type="dxa"/>
          </w:tcPr>
          <w:p>
            <w:pPr>
              <w:pStyle w:val="TableParagraph"/>
              <w:spacing w:line="250" w:lineRule="exact" w:before="3"/>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捷克克朗 </w:t>
            </w:r>
          </w:p>
        </w:tc>
        <w:tc>
          <w:tcPr>
            <w:tcW w:w="1999" w:type="dxa"/>
          </w:tcPr>
          <w:p>
            <w:pPr>
              <w:pStyle w:val="TableParagraph"/>
              <w:spacing w:before="10"/>
              <w:ind w:right="93"/>
              <w:jc w:val="right"/>
              <w:rPr>
                <w:rFonts w:ascii="Times New Roman"/>
                <w:sz w:val="21"/>
              </w:rPr>
            </w:pPr>
            <w:r>
              <w:rPr>
                <w:rFonts w:ascii="Times New Roman"/>
                <w:sz w:val="21"/>
              </w:rPr>
              <w:t>325,672</w:t>
            </w:r>
          </w:p>
        </w:tc>
        <w:tc>
          <w:tcPr>
            <w:tcW w:w="2006" w:type="dxa"/>
          </w:tcPr>
          <w:p>
            <w:pPr>
              <w:pStyle w:val="TableParagraph"/>
              <w:spacing w:before="10"/>
              <w:ind w:right="94"/>
              <w:jc w:val="right"/>
              <w:rPr>
                <w:rFonts w:ascii="Times New Roman"/>
                <w:sz w:val="21"/>
              </w:rPr>
            </w:pPr>
            <w:r>
              <w:rPr>
                <w:rFonts w:ascii="Times New Roman"/>
                <w:sz w:val="21"/>
              </w:rPr>
              <w:t>0.3087</w:t>
            </w:r>
          </w:p>
        </w:tc>
        <w:tc>
          <w:tcPr>
            <w:tcW w:w="1992" w:type="dxa"/>
          </w:tcPr>
          <w:p>
            <w:pPr>
              <w:pStyle w:val="TableParagraph"/>
              <w:spacing w:before="10"/>
              <w:ind w:right="91"/>
              <w:jc w:val="right"/>
              <w:rPr>
                <w:rFonts w:ascii="Times New Roman"/>
                <w:sz w:val="21"/>
              </w:rPr>
            </w:pPr>
            <w:r>
              <w:rPr>
                <w:rFonts w:ascii="Times New Roman"/>
                <w:sz w:val="21"/>
              </w:rPr>
              <w:t>100,535</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欧元 </w:t>
            </w:r>
          </w:p>
        </w:tc>
        <w:tc>
          <w:tcPr>
            <w:tcW w:w="1999" w:type="dxa"/>
          </w:tcPr>
          <w:p>
            <w:pPr>
              <w:pStyle w:val="TableParagraph"/>
              <w:spacing w:before="10"/>
              <w:ind w:right="93"/>
              <w:jc w:val="right"/>
              <w:rPr>
                <w:rFonts w:ascii="Times New Roman"/>
                <w:sz w:val="21"/>
              </w:rPr>
            </w:pPr>
            <w:r>
              <w:rPr>
                <w:rFonts w:ascii="Times New Roman"/>
                <w:sz w:val="21"/>
              </w:rPr>
              <w:t>11,973</w:t>
            </w:r>
          </w:p>
        </w:tc>
        <w:tc>
          <w:tcPr>
            <w:tcW w:w="2006" w:type="dxa"/>
          </w:tcPr>
          <w:p>
            <w:pPr>
              <w:pStyle w:val="TableParagraph"/>
              <w:spacing w:before="10"/>
              <w:ind w:right="94"/>
              <w:jc w:val="right"/>
              <w:rPr>
                <w:rFonts w:ascii="Times New Roman"/>
                <w:sz w:val="21"/>
              </w:rPr>
            </w:pPr>
            <w:r>
              <w:rPr>
                <w:rFonts w:ascii="Times New Roman"/>
                <w:sz w:val="21"/>
              </w:rPr>
              <w:t>7.4229</w:t>
            </w:r>
          </w:p>
        </w:tc>
        <w:tc>
          <w:tcPr>
            <w:tcW w:w="1992" w:type="dxa"/>
          </w:tcPr>
          <w:p>
            <w:pPr>
              <w:pStyle w:val="TableParagraph"/>
              <w:spacing w:before="10"/>
              <w:ind w:right="91"/>
              <w:jc w:val="right"/>
              <w:rPr>
                <w:rFonts w:ascii="Times New Roman"/>
                <w:sz w:val="21"/>
              </w:rPr>
            </w:pPr>
            <w:r>
              <w:rPr>
                <w:rFonts w:ascii="Times New Roman"/>
                <w:sz w:val="21"/>
              </w:rPr>
              <w:t>88,874</w:t>
            </w:r>
          </w:p>
        </w:tc>
      </w:tr>
      <w:tr>
        <w:trPr>
          <w:trHeight w:val="270" w:hRule="atLeast"/>
        </w:trPr>
        <w:tc>
          <w:tcPr>
            <w:tcW w:w="2825" w:type="dxa"/>
          </w:tcPr>
          <w:p>
            <w:pPr>
              <w:pStyle w:val="TableParagraph"/>
              <w:spacing w:line="250"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澳币 </w:t>
            </w:r>
          </w:p>
        </w:tc>
        <w:tc>
          <w:tcPr>
            <w:tcW w:w="1999" w:type="dxa"/>
          </w:tcPr>
          <w:p>
            <w:pPr>
              <w:pStyle w:val="TableParagraph"/>
              <w:spacing w:before="7"/>
              <w:ind w:right="93"/>
              <w:jc w:val="right"/>
              <w:rPr>
                <w:rFonts w:ascii="Times New Roman"/>
                <w:sz w:val="21"/>
              </w:rPr>
            </w:pPr>
            <w:r>
              <w:rPr>
                <w:rFonts w:ascii="Times New Roman"/>
                <w:sz w:val="21"/>
              </w:rPr>
              <w:t>12,200</w:t>
            </w:r>
          </w:p>
        </w:tc>
        <w:tc>
          <w:tcPr>
            <w:tcW w:w="2006" w:type="dxa"/>
          </w:tcPr>
          <w:p>
            <w:pPr>
              <w:pStyle w:val="TableParagraph"/>
              <w:spacing w:before="7"/>
              <w:ind w:right="94"/>
              <w:jc w:val="right"/>
              <w:rPr>
                <w:rFonts w:ascii="Times New Roman"/>
                <w:sz w:val="21"/>
              </w:rPr>
            </w:pPr>
            <w:r>
              <w:rPr>
                <w:rFonts w:ascii="Times New Roman"/>
                <w:sz w:val="21"/>
              </w:rPr>
              <w:t>4.7138</w:t>
            </w:r>
          </w:p>
        </w:tc>
        <w:tc>
          <w:tcPr>
            <w:tcW w:w="1992" w:type="dxa"/>
          </w:tcPr>
          <w:p>
            <w:pPr>
              <w:pStyle w:val="TableParagraph"/>
              <w:spacing w:before="7"/>
              <w:ind w:right="91"/>
              <w:jc w:val="right"/>
              <w:rPr>
                <w:rFonts w:ascii="Times New Roman"/>
                <w:sz w:val="21"/>
              </w:rPr>
            </w:pPr>
            <w:r>
              <w:rPr>
                <w:rFonts w:ascii="Times New Roman"/>
                <w:sz w:val="21"/>
              </w:rPr>
              <w:t>57,508</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港币 </w:t>
            </w:r>
          </w:p>
        </w:tc>
        <w:tc>
          <w:tcPr>
            <w:tcW w:w="1999" w:type="dxa"/>
          </w:tcPr>
          <w:p>
            <w:pPr>
              <w:pStyle w:val="TableParagraph"/>
              <w:spacing w:before="10"/>
              <w:ind w:right="93"/>
              <w:jc w:val="right"/>
              <w:rPr>
                <w:rFonts w:ascii="Times New Roman"/>
                <w:sz w:val="21"/>
              </w:rPr>
            </w:pPr>
            <w:r>
              <w:rPr>
                <w:rFonts w:ascii="Times New Roman"/>
                <w:sz w:val="21"/>
              </w:rPr>
              <w:t>37,232</w:t>
            </w:r>
          </w:p>
        </w:tc>
        <w:tc>
          <w:tcPr>
            <w:tcW w:w="2006" w:type="dxa"/>
          </w:tcPr>
          <w:p>
            <w:pPr>
              <w:pStyle w:val="TableParagraph"/>
              <w:spacing w:before="10"/>
              <w:ind w:right="94"/>
              <w:jc w:val="right"/>
              <w:rPr>
                <w:rFonts w:ascii="Times New Roman"/>
                <w:sz w:val="21"/>
              </w:rPr>
            </w:pPr>
            <w:r>
              <w:rPr>
                <w:rFonts w:ascii="Times New Roman"/>
                <w:sz w:val="21"/>
              </w:rPr>
              <w:t>0.8933</w:t>
            </w:r>
          </w:p>
        </w:tc>
        <w:tc>
          <w:tcPr>
            <w:tcW w:w="1992" w:type="dxa"/>
          </w:tcPr>
          <w:p>
            <w:pPr>
              <w:pStyle w:val="TableParagraph"/>
              <w:spacing w:before="10"/>
              <w:ind w:right="91"/>
              <w:jc w:val="right"/>
              <w:rPr>
                <w:rFonts w:ascii="Times New Roman"/>
                <w:sz w:val="21"/>
              </w:rPr>
            </w:pPr>
            <w:r>
              <w:rPr>
                <w:rFonts w:ascii="Times New Roman"/>
                <w:sz w:val="21"/>
              </w:rPr>
              <w:t>33,259</w:t>
            </w:r>
          </w:p>
        </w:tc>
      </w:tr>
    </w:tbl>
    <w:p>
      <w:pPr>
        <w:spacing w:after="0"/>
        <w:jc w:val="right"/>
        <w:rPr>
          <w:rFonts w:ascii="Times New Roman"/>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25"/>
        <w:gridCol w:w="1999"/>
        <w:gridCol w:w="2006"/>
        <w:gridCol w:w="1992"/>
      </w:tblGrid>
      <w:tr>
        <w:trPr>
          <w:trHeight w:val="273" w:hRule="atLeast"/>
        </w:trPr>
        <w:tc>
          <w:tcPr>
            <w:tcW w:w="2825" w:type="dxa"/>
          </w:tcPr>
          <w:p>
            <w:pPr>
              <w:pStyle w:val="TableParagraph"/>
              <w:spacing w:line="250" w:lineRule="exact" w:before="3"/>
              <w:ind w:left="738"/>
              <w:rPr>
                <w:sz w:val="21"/>
              </w:rPr>
            </w:pPr>
            <w:r>
              <w:rPr>
                <w:sz w:val="21"/>
              </w:rPr>
              <w:t>其他 </w:t>
            </w:r>
          </w:p>
        </w:tc>
        <w:tc>
          <w:tcPr>
            <w:tcW w:w="1999" w:type="dxa"/>
          </w:tcPr>
          <w:p>
            <w:pPr>
              <w:pStyle w:val="TableParagraph"/>
              <w:spacing w:line="237" w:lineRule="exact"/>
              <w:ind w:right="94"/>
              <w:jc w:val="right"/>
              <w:rPr>
                <w:rFonts w:ascii="Times New Roman"/>
                <w:sz w:val="21"/>
              </w:rPr>
            </w:pPr>
            <w:r>
              <w:rPr>
                <w:rFonts w:ascii="Times New Roman"/>
                <w:w w:val="100"/>
                <w:sz w:val="21"/>
              </w:rPr>
              <w:t>-</w:t>
            </w:r>
          </w:p>
        </w:tc>
        <w:tc>
          <w:tcPr>
            <w:tcW w:w="2006" w:type="dxa"/>
          </w:tcPr>
          <w:p>
            <w:pPr>
              <w:pStyle w:val="TableParagraph"/>
              <w:spacing w:line="237" w:lineRule="exact"/>
              <w:ind w:right="96"/>
              <w:jc w:val="right"/>
              <w:rPr>
                <w:rFonts w:ascii="Times New Roman"/>
                <w:sz w:val="21"/>
              </w:rPr>
            </w:pPr>
            <w:r>
              <w:rPr>
                <w:rFonts w:ascii="Times New Roman"/>
                <w:w w:val="100"/>
                <w:sz w:val="21"/>
              </w:rPr>
              <w:t>-</w:t>
            </w:r>
          </w:p>
        </w:tc>
        <w:tc>
          <w:tcPr>
            <w:tcW w:w="1992" w:type="dxa"/>
          </w:tcPr>
          <w:p>
            <w:pPr>
              <w:pStyle w:val="TableParagraph"/>
              <w:spacing w:before="10"/>
              <w:ind w:right="91"/>
              <w:jc w:val="right"/>
              <w:rPr>
                <w:rFonts w:ascii="Times New Roman"/>
                <w:sz w:val="21"/>
              </w:rPr>
            </w:pPr>
            <w:r>
              <w:rPr>
                <w:rFonts w:ascii="Times New Roman"/>
                <w:sz w:val="21"/>
              </w:rPr>
              <w:t>115,423</w:t>
            </w:r>
          </w:p>
        </w:tc>
      </w:tr>
      <w:tr>
        <w:trPr>
          <w:trHeight w:val="273" w:hRule="atLeast"/>
        </w:trPr>
        <w:tc>
          <w:tcPr>
            <w:tcW w:w="2825" w:type="dxa"/>
          </w:tcPr>
          <w:p>
            <w:pPr>
              <w:pStyle w:val="TableParagraph"/>
              <w:spacing w:line="252" w:lineRule="exact" w:before="1"/>
              <w:ind w:left="738"/>
              <w:rPr>
                <w:sz w:val="21"/>
              </w:rPr>
            </w:pPr>
            <w:r>
              <w:rPr>
                <w:w w:val="100"/>
                <w:sz w:val="21"/>
              </w:rPr>
              <w:t> </w:t>
            </w:r>
          </w:p>
        </w:tc>
        <w:tc>
          <w:tcPr>
            <w:tcW w:w="1999" w:type="dxa"/>
          </w:tcPr>
          <w:p>
            <w:pPr>
              <w:pStyle w:val="TableParagraph"/>
              <w:rPr>
                <w:rFonts w:ascii="Times New Roman"/>
                <w:sz w:val="20"/>
              </w:rPr>
            </w:pPr>
          </w:p>
        </w:tc>
        <w:tc>
          <w:tcPr>
            <w:tcW w:w="2006" w:type="dxa"/>
          </w:tcPr>
          <w:p>
            <w:pPr>
              <w:pStyle w:val="TableParagraph"/>
              <w:rPr>
                <w:rFonts w:ascii="Times New Roman"/>
                <w:sz w:val="20"/>
              </w:rPr>
            </w:pPr>
          </w:p>
        </w:tc>
        <w:tc>
          <w:tcPr>
            <w:tcW w:w="1992" w:type="dxa"/>
          </w:tcPr>
          <w:p>
            <w:pPr>
              <w:pStyle w:val="TableParagraph"/>
              <w:spacing w:before="10"/>
              <w:ind w:right="91"/>
              <w:jc w:val="right"/>
              <w:rPr>
                <w:rFonts w:ascii="Times New Roman"/>
                <w:sz w:val="21"/>
              </w:rPr>
            </w:pPr>
            <w:r>
              <w:rPr>
                <w:rFonts w:ascii="Times New Roman"/>
                <w:sz w:val="21"/>
              </w:rPr>
              <w:t>19,045,875</w:t>
            </w:r>
          </w:p>
        </w:tc>
      </w:tr>
      <w:tr>
        <w:trPr>
          <w:trHeight w:val="270" w:hRule="atLeast"/>
        </w:trPr>
        <w:tc>
          <w:tcPr>
            <w:tcW w:w="2825" w:type="dxa"/>
          </w:tcPr>
          <w:p>
            <w:pPr>
              <w:pStyle w:val="TableParagraph"/>
              <w:spacing w:line="250" w:lineRule="exact" w:before="1"/>
              <w:ind w:left="107"/>
              <w:rPr>
                <w:sz w:val="21"/>
              </w:rPr>
            </w:pPr>
            <w:r>
              <w:rPr>
                <w:spacing w:val="-1"/>
                <w:sz w:val="21"/>
              </w:rPr>
              <w:t>应收款项—</w:t>
            </w:r>
            <w:r>
              <w:rPr>
                <w:sz w:val="21"/>
              </w:rPr>
              <w:t>  </w:t>
            </w:r>
            <w:r>
              <w:rPr>
                <w:w w:val="100"/>
                <w:sz w:val="21"/>
              </w:rPr>
              <w:t> </w:t>
            </w:r>
            <w:r>
              <w:rPr>
                <w:spacing w:val="-2"/>
                <w:sz w:val="21"/>
              </w:rPr>
              <w:t> </w:t>
            </w:r>
            <w:r>
              <w:rPr>
                <w:w w:val="100"/>
                <w:sz w:val="21"/>
              </w:rPr>
              <w:t> </w:t>
            </w:r>
            <w:r>
              <w:rPr>
                <w:sz w:val="21"/>
              </w:rPr>
              <w:t> </w:t>
            </w:r>
            <w:r>
              <w:rPr>
                <w:w w:val="100"/>
                <w:sz w:val="21"/>
              </w:rPr>
              <w:t> </w:t>
            </w:r>
            <w:r>
              <w:rPr>
                <w:spacing w:val="-2"/>
                <w:sz w:val="21"/>
              </w:rPr>
              <w:t> </w:t>
            </w:r>
            <w:r>
              <w:rPr>
                <w:w w:val="100"/>
                <w:sz w:val="21"/>
              </w:rPr>
              <w:t> </w:t>
            </w:r>
          </w:p>
        </w:tc>
        <w:tc>
          <w:tcPr>
            <w:tcW w:w="1999" w:type="dxa"/>
          </w:tcPr>
          <w:p>
            <w:pPr>
              <w:pStyle w:val="TableParagraph"/>
              <w:rPr>
                <w:rFonts w:ascii="Times New Roman"/>
                <w:sz w:val="20"/>
              </w:rPr>
            </w:pPr>
          </w:p>
        </w:tc>
        <w:tc>
          <w:tcPr>
            <w:tcW w:w="2006" w:type="dxa"/>
          </w:tcPr>
          <w:p>
            <w:pPr>
              <w:pStyle w:val="TableParagraph"/>
              <w:rPr>
                <w:rFonts w:ascii="Times New Roman"/>
                <w:sz w:val="20"/>
              </w:rPr>
            </w:pPr>
          </w:p>
        </w:tc>
        <w:tc>
          <w:tcPr>
            <w:tcW w:w="1992" w:type="dxa"/>
          </w:tcPr>
          <w:p>
            <w:pPr>
              <w:pStyle w:val="TableParagraph"/>
              <w:rPr>
                <w:rFonts w:ascii="Times New Roman"/>
                <w:sz w:val="20"/>
              </w:rPr>
            </w:pPr>
          </w:p>
        </w:tc>
      </w:tr>
      <w:tr>
        <w:trPr>
          <w:trHeight w:val="273" w:hRule="atLeast"/>
        </w:trPr>
        <w:tc>
          <w:tcPr>
            <w:tcW w:w="2825" w:type="dxa"/>
          </w:tcPr>
          <w:p>
            <w:pPr>
              <w:pStyle w:val="TableParagraph"/>
              <w:spacing w:line="250" w:lineRule="exact" w:before="3"/>
              <w:ind w:left="107"/>
              <w:rPr>
                <w:sz w:val="21"/>
              </w:rPr>
            </w:pPr>
            <w:r>
              <w:rPr>
                <w:sz w:val="21"/>
              </w:rPr>
              <w:t>其中：美元 </w:t>
            </w:r>
          </w:p>
        </w:tc>
        <w:tc>
          <w:tcPr>
            <w:tcW w:w="1999" w:type="dxa"/>
          </w:tcPr>
          <w:p>
            <w:pPr>
              <w:pStyle w:val="TableParagraph"/>
              <w:spacing w:before="10"/>
              <w:ind w:right="93"/>
              <w:jc w:val="right"/>
              <w:rPr>
                <w:rFonts w:ascii="Times New Roman"/>
                <w:sz w:val="21"/>
              </w:rPr>
            </w:pPr>
            <w:r>
              <w:rPr>
                <w:rFonts w:ascii="Times New Roman"/>
                <w:sz w:val="21"/>
              </w:rPr>
              <w:t>13,083,001</w:t>
            </w:r>
          </w:p>
        </w:tc>
        <w:tc>
          <w:tcPr>
            <w:tcW w:w="2006" w:type="dxa"/>
          </w:tcPr>
          <w:p>
            <w:pPr>
              <w:pStyle w:val="TableParagraph"/>
              <w:spacing w:before="10"/>
              <w:ind w:right="94"/>
              <w:jc w:val="right"/>
              <w:rPr>
                <w:rFonts w:ascii="Times New Roman"/>
                <w:sz w:val="21"/>
              </w:rPr>
            </w:pPr>
            <w:r>
              <w:rPr>
                <w:rFonts w:ascii="Times New Roman"/>
                <w:sz w:val="21"/>
              </w:rPr>
              <w:t>6.9646</w:t>
            </w:r>
          </w:p>
        </w:tc>
        <w:tc>
          <w:tcPr>
            <w:tcW w:w="1992" w:type="dxa"/>
          </w:tcPr>
          <w:p>
            <w:pPr>
              <w:pStyle w:val="TableParagraph"/>
              <w:spacing w:before="10"/>
              <w:ind w:right="91"/>
              <w:jc w:val="right"/>
              <w:rPr>
                <w:rFonts w:ascii="Times New Roman"/>
                <w:sz w:val="21"/>
              </w:rPr>
            </w:pPr>
            <w:r>
              <w:rPr>
                <w:rFonts w:ascii="Times New Roman"/>
                <w:sz w:val="21"/>
              </w:rPr>
              <w:t>91,117,870</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日元 </w:t>
            </w:r>
          </w:p>
        </w:tc>
        <w:tc>
          <w:tcPr>
            <w:tcW w:w="1999" w:type="dxa"/>
          </w:tcPr>
          <w:p>
            <w:pPr>
              <w:pStyle w:val="TableParagraph"/>
              <w:spacing w:before="10"/>
              <w:ind w:right="93"/>
              <w:jc w:val="right"/>
              <w:rPr>
                <w:rFonts w:ascii="Times New Roman"/>
                <w:sz w:val="21"/>
              </w:rPr>
            </w:pPr>
            <w:r>
              <w:rPr>
                <w:rFonts w:ascii="Times New Roman"/>
                <w:sz w:val="21"/>
              </w:rPr>
              <w:t>11,715,630</w:t>
            </w:r>
          </w:p>
        </w:tc>
        <w:tc>
          <w:tcPr>
            <w:tcW w:w="2006" w:type="dxa"/>
          </w:tcPr>
          <w:p>
            <w:pPr>
              <w:pStyle w:val="TableParagraph"/>
              <w:spacing w:before="10"/>
              <w:ind w:right="94"/>
              <w:jc w:val="right"/>
              <w:rPr>
                <w:rFonts w:ascii="Times New Roman"/>
                <w:sz w:val="21"/>
              </w:rPr>
            </w:pPr>
            <w:r>
              <w:rPr>
                <w:rFonts w:ascii="Times New Roman"/>
                <w:sz w:val="21"/>
              </w:rPr>
              <w:t>0.0524</w:t>
            </w:r>
          </w:p>
        </w:tc>
        <w:tc>
          <w:tcPr>
            <w:tcW w:w="1992" w:type="dxa"/>
          </w:tcPr>
          <w:p>
            <w:pPr>
              <w:pStyle w:val="TableParagraph"/>
              <w:spacing w:before="10"/>
              <w:ind w:right="91"/>
              <w:jc w:val="right"/>
              <w:rPr>
                <w:rFonts w:ascii="Times New Roman"/>
                <w:sz w:val="21"/>
              </w:rPr>
            </w:pPr>
            <w:r>
              <w:rPr>
                <w:rFonts w:ascii="Times New Roman"/>
                <w:sz w:val="21"/>
              </w:rPr>
              <w:t>613,899</w:t>
            </w:r>
          </w:p>
        </w:tc>
      </w:tr>
      <w:tr>
        <w:trPr>
          <w:trHeight w:val="270" w:hRule="atLeast"/>
        </w:trPr>
        <w:tc>
          <w:tcPr>
            <w:tcW w:w="2825" w:type="dxa"/>
          </w:tcPr>
          <w:p>
            <w:pPr>
              <w:pStyle w:val="TableParagraph"/>
              <w:spacing w:line="250"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印度卢比 </w:t>
            </w:r>
          </w:p>
        </w:tc>
        <w:tc>
          <w:tcPr>
            <w:tcW w:w="1999" w:type="dxa"/>
          </w:tcPr>
          <w:p>
            <w:pPr>
              <w:pStyle w:val="TableParagraph"/>
              <w:spacing w:before="7"/>
              <w:ind w:right="93"/>
              <w:jc w:val="right"/>
              <w:rPr>
                <w:rFonts w:ascii="Times New Roman"/>
                <w:sz w:val="21"/>
              </w:rPr>
            </w:pPr>
            <w:r>
              <w:rPr>
                <w:rFonts w:ascii="Times New Roman"/>
                <w:sz w:val="21"/>
              </w:rPr>
              <w:t>3,245,943</w:t>
            </w:r>
          </w:p>
        </w:tc>
        <w:tc>
          <w:tcPr>
            <w:tcW w:w="2006" w:type="dxa"/>
          </w:tcPr>
          <w:p>
            <w:pPr>
              <w:pStyle w:val="TableParagraph"/>
              <w:spacing w:before="7"/>
              <w:ind w:right="94"/>
              <w:jc w:val="right"/>
              <w:rPr>
                <w:rFonts w:ascii="Times New Roman"/>
                <w:sz w:val="21"/>
              </w:rPr>
            </w:pPr>
            <w:r>
              <w:rPr>
                <w:rFonts w:ascii="Times New Roman"/>
                <w:sz w:val="21"/>
              </w:rPr>
              <w:t>0.0843</w:t>
            </w:r>
          </w:p>
        </w:tc>
        <w:tc>
          <w:tcPr>
            <w:tcW w:w="1992" w:type="dxa"/>
          </w:tcPr>
          <w:p>
            <w:pPr>
              <w:pStyle w:val="TableParagraph"/>
              <w:spacing w:before="7"/>
              <w:ind w:right="91"/>
              <w:jc w:val="right"/>
              <w:rPr>
                <w:rFonts w:ascii="Times New Roman"/>
                <w:sz w:val="21"/>
              </w:rPr>
            </w:pPr>
            <w:r>
              <w:rPr>
                <w:rFonts w:ascii="Times New Roman"/>
                <w:sz w:val="21"/>
              </w:rPr>
              <w:t>273,633</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捷克克朗 </w:t>
            </w:r>
          </w:p>
        </w:tc>
        <w:tc>
          <w:tcPr>
            <w:tcW w:w="1999" w:type="dxa"/>
          </w:tcPr>
          <w:p>
            <w:pPr>
              <w:pStyle w:val="TableParagraph"/>
              <w:spacing w:before="10"/>
              <w:ind w:right="93"/>
              <w:jc w:val="right"/>
              <w:rPr>
                <w:rFonts w:ascii="Times New Roman"/>
                <w:sz w:val="21"/>
              </w:rPr>
            </w:pPr>
            <w:r>
              <w:rPr>
                <w:rFonts w:ascii="Times New Roman"/>
                <w:sz w:val="21"/>
              </w:rPr>
              <w:t>835,740</w:t>
            </w:r>
          </w:p>
        </w:tc>
        <w:tc>
          <w:tcPr>
            <w:tcW w:w="2006" w:type="dxa"/>
          </w:tcPr>
          <w:p>
            <w:pPr>
              <w:pStyle w:val="TableParagraph"/>
              <w:spacing w:before="10"/>
              <w:ind w:right="94"/>
              <w:jc w:val="right"/>
              <w:rPr>
                <w:rFonts w:ascii="Times New Roman"/>
                <w:sz w:val="21"/>
              </w:rPr>
            </w:pPr>
            <w:r>
              <w:rPr>
                <w:rFonts w:ascii="Times New Roman"/>
                <w:sz w:val="21"/>
              </w:rPr>
              <w:t>0.3087</w:t>
            </w:r>
          </w:p>
        </w:tc>
        <w:tc>
          <w:tcPr>
            <w:tcW w:w="1992" w:type="dxa"/>
          </w:tcPr>
          <w:p>
            <w:pPr>
              <w:pStyle w:val="TableParagraph"/>
              <w:spacing w:before="10"/>
              <w:ind w:right="91"/>
              <w:jc w:val="right"/>
              <w:rPr>
                <w:rFonts w:ascii="Times New Roman"/>
                <w:sz w:val="21"/>
              </w:rPr>
            </w:pPr>
            <w:r>
              <w:rPr>
                <w:rFonts w:ascii="Times New Roman"/>
                <w:sz w:val="21"/>
              </w:rPr>
              <w:t>257,993</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新加坡币 </w:t>
            </w:r>
          </w:p>
        </w:tc>
        <w:tc>
          <w:tcPr>
            <w:tcW w:w="1999" w:type="dxa"/>
          </w:tcPr>
          <w:p>
            <w:pPr>
              <w:pStyle w:val="TableParagraph"/>
              <w:spacing w:before="10"/>
              <w:ind w:right="93"/>
              <w:jc w:val="right"/>
              <w:rPr>
                <w:rFonts w:ascii="Times New Roman"/>
                <w:sz w:val="21"/>
              </w:rPr>
            </w:pPr>
            <w:r>
              <w:rPr>
                <w:rFonts w:ascii="Times New Roman"/>
                <w:sz w:val="21"/>
              </w:rPr>
              <w:t>39,774</w:t>
            </w:r>
          </w:p>
        </w:tc>
        <w:tc>
          <w:tcPr>
            <w:tcW w:w="2006" w:type="dxa"/>
          </w:tcPr>
          <w:p>
            <w:pPr>
              <w:pStyle w:val="TableParagraph"/>
              <w:spacing w:before="10"/>
              <w:ind w:right="94"/>
              <w:jc w:val="right"/>
              <w:rPr>
                <w:rFonts w:ascii="Times New Roman"/>
                <w:sz w:val="21"/>
              </w:rPr>
            </w:pPr>
            <w:r>
              <w:rPr>
                <w:rFonts w:ascii="Times New Roman"/>
                <w:sz w:val="21"/>
              </w:rPr>
              <w:t>5.1831</w:t>
            </w:r>
          </w:p>
        </w:tc>
        <w:tc>
          <w:tcPr>
            <w:tcW w:w="1992" w:type="dxa"/>
          </w:tcPr>
          <w:p>
            <w:pPr>
              <w:pStyle w:val="TableParagraph"/>
              <w:spacing w:before="10"/>
              <w:ind w:right="91"/>
              <w:jc w:val="right"/>
              <w:rPr>
                <w:rFonts w:ascii="Times New Roman"/>
                <w:sz w:val="21"/>
              </w:rPr>
            </w:pPr>
            <w:r>
              <w:rPr>
                <w:rFonts w:ascii="Times New Roman"/>
                <w:sz w:val="21"/>
              </w:rPr>
              <w:t>206,151</w:t>
            </w:r>
          </w:p>
        </w:tc>
      </w:tr>
      <w:tr>
        <w:trPr>
          <w:trHeight w:val="270" w:hRule="atLeast"/>
        </w:trPr>
        <w:tc>
          <w:tcPr>
            <w:tcW w:w="2825" w:type="dxa"/>
          </w:tcPr>
          <w:p>
            <w:pPr>
              <w:pStyle w:val="TableParagraph"/>
              <w:spacing w:line="250"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韩元 </w:t>
            </w:r>
          </w:p>
        </w:tc>
        <w:tc>
          <w:tcPr>
            <w:tcW w:w="1999" w:type="dxa"/>
          </w:tcPr>
          <w:p>
            <w:pPr>
              <w:pStyle w:val="TableParagraph"/>
              <w:spacing w:before="7"/>
              <w:ind w:right="93"/>
              <w:jc w:val="right"/>
              <w:rPr>
                <w:rFonts w:ascii="Times New Roman"/>
                <w:sz w:val="21"/>
              </w:rPr>
            </w:pPr>
            <w:r>
              <w:rPr>
                <w:rFonts w:ascii="Times New Roman"/>
                <w:sz w:val="21"/>
              </w:rPr>
              <w:t>30,793,273</w:t>
            </w:r>
          </w:p>
        </w:tc>
        <w:tc>
          <w:tcPr>
            <w:tcW w:w="2006" w:type="dxa"/>
          </w:tcPr>
          <w:p>
            <w:pPr>
              <w:pStyle w:val="TableParagraph"/>
              <w:spacing w:before="7"/>
              <w:ind w:right="94"/>
              <w:jc w:val="right"/>
              <w:rPr>
                <w:rFonts w:ascii="Times New Roman"/>
                <w:sz w:val="21"/>
              </w:rPr>
            </w:pPr>
            <w:r>
              <w:rPr>
                <w:rFonts w:ascii="Times New Roman"/>
                <w:sz w:val="21"/>
              </w:rPr>
              <w:t>0.0055</w:t>
            </w:r>
          </w:p>
        </w:tc>
        <w:tc>
          <w:tcPr>
            <w:tcW w:w="1992" w:type="dxa"/>
          </w:tcPr>
          <w:p>
            <w:pPr>
              <w:pStyle w:val="TableParagraph"/>
              <w:spacing w:before="7"/>
              <w:ind w:right="91"/>
              <w:jc w:val="right"/>
              <w:rPr>
                <w:rFonts w:ascii="Times New Roman"/>
                <w:sz w:val="21"/>
              </w:rPr>
            </w:pPr>
            <w:r>
              <w:rPr>
                <w:rFonts w:ascii="Times New Roman"/>
                <w:sz w:val="21"/>
              </w:rPr>
              <w:t>169,363</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澳币 </w:t>
            </w:r>
          </w:p>
        </w:tc>
        <w:tc>
          <w:tcPr>
            <w:tcW w:w="1999" w:type="dxa"/>
          </w:tcPr>
          <w:p>
            <w:pPr>
              <w:pStyle w:val="TableParagraph"/>
              <w:spacing w:before="10"/>
              <w:ind w:right="93"/>
              <w:jc w:val="right"/>
              <w:rPr>
                <w:rFonts w:ascii="Times New Roman"/>
                <w:sz w:val="21"/>
              </w:rPr>
            </w:pPr>
            <w:r>
              <w:rPr>
                <w:rFonts w:ascii="Times New Roman"/>
                <w:sz w:val="21"/>
              </w:rPr>
              <w:t>31,291</w:t>
            </w:r>
          </w:p>
        </w:tc>
        <w:tc>
          <w:tcPr>
            <w:tcW w:w="2006" w:type="dxa"/>
          </w:tcPr>
          <w:p>
            <w:pPr>
              <w:pStyle w:val="TableParagraph"/>
              <w:spacing w:before="10"/>
              <w:ind w:right="94"/>
              <w:jc w:val="right"/>
              <w:rPr>
                <w:rFonts w:ascii="Times New Roman"/>
                <w:sz w:val="21"/>
              </w:rPr>
            </w:pPr>
            <w:r>
              <w:rPr>
                <w:rFonts w:ascii="Times New Roman"/>
                <w:sz w:val="21"/>
              </w:rPr>
              <w:t>4.7138</w:t>
            </w:r>
          </w:p>
        </w:tc>
        <w:tc>
          <w:tcPr>
            <w:tcW w:w="1992" w:type="dxa"/>
          </w:tcPr>
          <w:p>
            <w:pPr>
              <w:pStyle w:val="TableParagraph"/>
              <w:spacing w:before="10"/>
              <w:ind w:right="91"/>
              <w:jc w:val="right"/>
              <w:rPr>
                <w:rFonts w:ascii="Times New Roman"/>
                <w:sz w:val="21"/>
              </w:rPr>
            </w:pPr>
            <w:r>
              <w:rPr>
                <w:rFonts w:ascii="Times New Roman"/>
                <w:sz w:val="21"/>
              </w:rPr>
              <w:t>147,499</w:t>
            </w:r>
          </w:p>
        </w:tc>
      </w:tr>
      <w:tr>
        <w:trPr>
          <w:trHeight w:val="270" w:hRule="atLeast"/>
        </w:trPr>
        <w:tc>
          <w:tcPr>
            <w:tcW w:w="2825" w:type="dxa"/>
          </w:tcPr>
          <w:p>
            <w:pPr>
              <w:pStyle w:val="TableParagraph"/>
              <w:spacing w:line="250"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欧元 </w:t>
            </w:r>
          </w:p>
        </w:tc>
        <w:tc>
          <w:tcPr>
            <w:tcW w:w="1999" w:type="dxa"/>
          </w:tcPr>
          <w:p>
            <w:pPr>
              <w:pStyle w:val="TableParagraph"/>
              <w:spacing w:before="7"/>
              <w:ind w:right="93"/>
              <w:jc w:val="right"/>
              <w:rPr>
                <w:rFonts w:ascii="Times New Roman"/>
                <w:sz w:val="21"/>
              </w:rPr>
            </w:pPr>
            <w:r>
              <w:rPr>
                <w:rFonts w:ascii="Times New Roman"/>
                <w:sz w:val="21"/>
              </w:rPr>
              <w:t>19,529</w:t>
            </w:r>
          </w:p>
        </w:tc>
        <w:tc>
          <w:tcPr>
            <w:tcW w:w="2006" w:type="dxa"/>
          </w:tcPr>
          <w:p>
            <w:pPr>
              <w:pStyle w:val="TableParagraph"/>
              <w:spacing w:before="7"/>
              <w:ind w:right="94"/>
              <w:jc w:val="right"/>
              <w:rPr>
                <w:rFonts w:ascii="Times New Roman"/>
                <w:sz w:val="21"/>
              </w:rPr>
            </w:pPr>
            <w:r>
              <w:rPr>
                <w:rFonts w:ascii="Times New Roman"/>
                <w:sz w:val="21"/>
              </w:rPr>
              <w:t>7.4229</w:t>
            </w:r>
          </w:p>
        </w:tc>
        <w:tc>
          <w:tcPr>
            <w:tcW w:w="1992" w:type="dxa"/>
          </w:tcPr>
          <w:p>
            <w:pPr>
              <w:pStyle w:val="TableParagraph"/>
              <w:spacing w:before="7"/>
              <w:ind w:right="91"/>
              <w:jc w:val="right"/>
              <w:rPr>
                <w:rFonts w:ascii="Times New Roman"/>
                <w:sz w:val="21"/>
              </w:rPr>
            </w:pPr>
            <w:r>
              <w:rPr>
                <w:rFonts w:ascii="Times New Roman"/>
                <w:sz w:val="21"/>
              </w:rPr>
              <w:t>144,965</w:t>
            </w:r>
          </w:p>
        </w:tc>
      </w:tr>
      <w:tr>
        <w:trPr>
          <w:trHeight w:val="273" w:hRule="atLeast"/>
        </w:trPr>
        <w:tc>
          <w:tcPr>
            <w:tcW w:w="2825" w:type="dxa"/>
          </w:tcPr>
          <w:p>
            <w:pPr>
              <w:pStyle w:val="TableParagraph"/>
              <w:spacing w:line="250" w:lineRule="exact" w:before="3"/>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新台币 </w:t>
            </w:r>
          </w:p>
        </w:tc>
        <w:tc>
          <w:tcPr>
            <w:tcW w:w="1999" w:type="dxa"/>
          </w:tcPr>
          <w:p>
            <w:pPr>
              <w:pStyle w:val="TableParagraph"/>
              <w:spacing w:before="10"/>
              <w:ind w:right="93"/>
              <w:jc w:val="right"/>
              <w:rPr>
                <w:rFonts w:ascii="Times New Roman"/>
                <w:sz w:val="21"/>
              </w:rPr>
            </w:pPr>
            <w:r>
              <w:rPr>
                <w:rFonts w:ascii="Times New Roman"/>
                <w:sz w:val="21"/>
              </w:rPr>
              <w:t>19,088</w:t>
            </w:r>
          </w:p>
        </w:tc>
        <w:tc>
          <w:tcPr>
            <w:tcW w:w="2006" w:type="dxa"/>
          </w:tcPr>
          <w:p>
            <w:pPr>
              <w:pStyle w:val="TableParagraph"/>
              <w:spacing w:before="10"/>
              <w:ind w:right="94"/>
              <w:jc w:val="right"/>
              <w:rPr>
                <w:rFonts w:ascii="Times New Roman"/>
                <w:sz w:val="21"/>
              </w:rPr>
            </w:pPr>
            <w:r>
              <w:rPr>
                <w:rFonts w:ascii="Times New Roman"/>
                <w:sz w:val="21"/>
              </w:rPr>
              <w:t>0.2269</w:t>
            </w:r>
          </w:p>
        </w:tc>
        <w:tc>
          <w:tcPr>
            <w:tcW w:w="1992" w:type="dxa"/>
          </w:tcPr>
          <w:p>
            <w:pPr>
              <w:pStyle w:val="TableParagraph"/>
              <w:spacing w:before="10"/>
              <w:ind w:right="91"/>
              <w:jc w:val="right"/>
              <w:rPr>
                <w:rFonts w:ascii="Times New Roman"/>
                <w:sz w:val="21"/>
              </w:rPr>
            </w:pPr>
            <w:r>
              <w:rPr>
                <w:rFonts w:ascii="Times New Roman"/>
                <w:sz w:val="21"/>
              </w:rPr>
              <w:t>4,331</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其他 </w:t>
            </w:r>
          </w:p>
        </w:tc>
        <w:tc>
          <w:tcPr>
            <w:tcW w:w="1999" w:type="dxa"/>
          </w:tcPr>
          <w:p>
            <w:pPr>
              <w:pStyle w:val="TableParagraph"/>
              <w:rPr>
                <w:rFonts w:ascii="Times New Roman"/>
                <w:sz w:val="20"/>
              </w:rPr>
            </w:pPr>
          </w:p>
        </w:tc>
        <w:tc>
          <w:tcPr>
            <w:tcW w:w="2006" w:type="dxa"/>
          </w:tcPr>
          <w:p>
            <w:pPr>
              <w:pStyle w:val="TableParagraph"/>
              <w:rPr>
                <w:rFonts w:ascii="Times New Roman"/>
                <w:sz w:val="20"/>
              </w:rPr>
            </w:pPr>
          </w:p>
        </w:tc>
        <w:tc>
          <w:tcPr>
            <w:tcW w:w="1992" w:type="dxa"/>
          </w:tcPr>
          <w:p>
            <w:pPr>
              <w:pStyle w:val="TableParagraph"/>
              <w:spacing w:before="10"/>
              <w:ind w:right="91"/>
              <w:jc w:val="right"/>
              <w:rPr>
                <w:rFonts w:ascii="Times New Roman"/>
                <w:sz w:val="21"/>
              </w:rPr>
            </w:pPr>
            <w:r>
              <w:rPr>
                <w:rFonts w:ascii="Times New Roman"/>
                <w:sz w:val="21"/>
              </w:rPr>
              <w:t>98,765</w:t>
            </w:r>
          </w:p>
        </w:tc>
      </w:tr>
      <w:tr>
        <w:trPr>
          <w:trHeight w:val="271" w:hRule="atLeast"/>
        </w:trPr>
        <w:tc>
          <w:tcPr>
            <w:tcW w:w="2825" w:type="dxa"/>
          </w:tcPr>
          <w:p>
            <w:pPr>
              <w:pStyle w:val="TableParagraph"/>
              <w:spacing w:line="250"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w w:val="100"/>
                <w:sz w:val="21"/>
              </w:rPr>
              <w:t> </w:t>
            </w:r>
            <w:r>
              <w:rPr>
                <w:spacing w:val="-2"/>
                <w:sz w:val="21"/>
              </w:rPr>
              <w:t> </w:t>
            </w:r>
            <w:r>
              <w:rPr>
                <w:w w:val="100"/>
                <w:sz w:val="21"/>
              </w:rPr>
              <w:t> </w:t>
            </w:r>
          </w:p>
        </w:tc>
        <w:tc>
          <w:tcPr>
            <w:tcW w:w="1999" w:type="dxa"/>
          </w:tcPr>
          <w:p>
            <w:pPr>
              <w:pStyle w:val="TableParagraph"/>
              <w:rPr>
                <w:rFonts w:ascii="Times New Roman"/>
                <w:sz w:val="20"/>
              </w:rPr>
            </w:pPr>
          </w:p>
        </w:tc>
        <w:tc>
          <w:tcPr>
            <w:tcW w:w="2006" w:type="dxa"/>
          </w:tcPr>
          <w:p>
            <w:pPr>
              <w:pStyle w:val="TableParagraph"/>
              <w:rPr>
                <w:rFonts w:ascii="Times New Roman"/>
                <w:sz w:val="20"/>
              </w:rPr>
            </w:pPr>
          </w:p>
        </w:tc>
        <w:tc>
          <w:tcPr>
            <w:tcW w:w="1992" w:type="dxa"/>
          </w:tcPr>
          <w:p>
            <w:pPr>
              <w:pStyle w:val="TableParagraph"/>
              <w:spacing w:before="8"/>
              <w:ind w:right="91"/>
              <w:jc w:val="right"/>
              <w:rPr>
                <w:rFonts w:ascii="Times New Roman"/>
                <w:sz w:val="21"/>
              </w:rPr>
            </w:pPr>
            <w:r>
              <w:rPr>
                <w:rFonts w:ascii="Times New Roman"/>
                <w:sz w:val="21"/>
              </w:rPr>
              <w:t>93,034,469</w:t>
            </w:r>
          </w:p>
        </w:tc>
      </w:tr>
      <w:tr>
        <w:trPr>
          <w:trHeight w:val="273" w:hRule="atLeast"/>
        </w:trPr>
        <w:tc>
          <w:tcPr>
            <w:tcW w:w="2825" w:type="dxa"/>
          </w:tcPr>
          <w:p>
            <w:pPr>
              <w:pStyle w:val="TableParagraph"/>
              <w:spacing w:line="250" w:lineRule="exact" w:before="3"/>
              <w:ind w:left="107"/>
              <w:rPr>
                <w:sz w:val="21"/>
              </w:rPr>
            </w:pPr>
            <w:r>
              <w:rPr>
                <w:spacing w:val="-1"/>
                <w:sz w:val="21"/>
              </w:rPr>
              <w:t>短期借款—</w:t>
            </w:r>
            <w:r>
              <w:rPr>
                <w:sz w:val="21"/>
              </w:rPr>
              <w:t>  </w:t>
            </w:r>
            <w:r>
              <w:rPr>
                <w:w w:val="100"/>
                <w:sz w:val="21"/>
              </w:rPr>
              <w:t> </w:t>
            </w:r>
            <w:r>
              <w:rPr>
                <w:spacing w:val="-2"/>
                <w:sz w:val="21"/>
              </w:rPr>
              <w:t> </w:t>
            </w:r>
            <w:r>
              <w:rPr>
                <w:w w:val="100"/>
                <w:sz w:val="21"/>
              </w:rPr>
              <w:t> </w:t>
            </w:r>
            <w:r>
              <w:rPr>
                <w:sz w:val="21"/>
              </w:rPr>
              <w:t> </w:t>
            </w:r>
            <w:r>
              <w:rPr>
                <w:w w:val="100"/>
                <w:sz w:val="21"/>
              </w:rPr>
              <w:t> </w:t>
            </w:r>
            <w:r>
              <w:rPr>
                <w:spacing w:val="-3"/>
                <w:w w:val="100"/>
                <w:sz w:val="21"/>
              </w:rPr>
              <w:t> </w:t>
            </w:r>
            <w:r>
              <w:rPr>
                <w:w w:val="100"/>
                <w:sz w:val="21"/>
              </w:rPr>
              <w:t>  </w:t>
            </w:r>
            <w:r>
              <w:rPr>
                <w:spacing w:val="-2"/>
                <w:w w:val="100"/>
                <w:sz w:val="21"/>
              </w:rPr>
              <w:t> </w:t>
            </w:r>
            <w:r>
              <w:rPr>
                <w:w w:val="100"/>
                <w:sz w:val="21"/>
              </w:rPr>
              <w:t> </w:t>
            </w:r>
          </w:p>
        </w:tc>
        <w:tc>
          <w:tcPr>
            <w:tcW w:w="1999" w:type="dxa"/>
          </w:tcPr>
          <w:p>
            <w:pPr>
              <w:pStyle w:val="TableParagraph"/>
              <w:rPr>
                <w:rFonts w:ascii="Times New Roman"/>
                <w:sz w:val="20"/>
              </w:rPr>
            </w:pPr>
          </w:p>
        </w:tc>
        <w:tc>
          <w:tcPr>
            <w:tcW w:w="2006" w:type="dxa"/>
          </w:tcPr>
          <w:p>
            <w:pPr>
              <w:pStyle w:val="TableParagraph"/>
              <w:rPr>
                <w:rFonts w:ascii="Times New Roman"/>
                <w:sz w:val="20"/>
              </w:rPr>
            </w:pPr>
          </w:p>
        </w:tc>
        <w:tc>
          <w:tcPr>
            <w:tcW w:w="1992" w:type="dxa"/>
          </w:tcPr>
          <w:p>
            <w:pPr>
              <w:pStyle w:val="TableParagraph"/>
              <w:rPr>
                <w:rFonts w:ascii="Times New Roman"/>
                <w:sz w:val="20"/>
              </w:rPr>
            </w:pP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美元 </w:t>
            </w:r>
          </w:p>
        </w:tc>
        <w:tc>
          <w:tcPr>
            <w:tcW w:w="1999" w:type="dxa"/>
          </w:tcPr>
          <w:p>
            <w:pPr>
              <w:pStyle w:val="TableParagraph"/>
              <w:spacing w:before="10"/>
              <w:ind w:right="93"/>
              <w:jc w:val="right"/>
              <w:rPr>
                <w:rFonts w:ascii="Times New Roman"/>
                <w:sz w:val="21"/>
              </w:rPr>
            </w:pPr>
            <w:r>
              <w:rPr>
                <w:rFonts w:ascii="Times New Roman"/>
                <w:sz w:val="21"/>
              </w:rPr>
              <w:t>5,245,768</w:t>
            </w:r>
          </w:p>
        </w:tc>
        <w:tc>
          <w:tcPr>
            <w:tcW w:w="2006" w:type="dxa"/>
          </w:tcPr>
          <w:p>
            <w:pPr>
              <w:pStyle w:val="TableParagraph"/>
              <w:spacing w:before="10"/>
              <w:ind w:right="94"/>
              <w:jc w:val="right"/>
              <w:rPr>
                <w:rFonts w:ascii="Times New Roman"/>
                <w:sz w:val="21"/>
              </w:rPr>
            </w:pPr>
            <w:r>
              <w:rPr>
                <w:rFonts w:ascii="Times New Roman"/>
                <w:sz w:val="21"/>
              </w:rPr>
              <w:t>6.9646</w:t>
            </w:r>
          </w:p>
        </w:tc>
        <w:tc>
          <w:tcPr>
            <w:tcW w:w="1992" w:type="dxa"/>
          </w:tcPr>
          <w:p>
            <w:pPr>
              <w:pStyle w:val="TableParagraph"/>
              <w:spacing w:before="10"/>
              <w:ind w:right="91"/>
              <w:jc w:val="right"/>
              <w:rPr>
                <w:rFonts w:ascii="Times New Roman"/>
                <w:sz w:val="21"/>
              </w:rPr>
            </w:pPr>
            <w:r>
              <w:rPr>
                <w:rFonts w:ascii="Times New Roman"/>
                <w:sz w:val="21"/>
              </w:rPr>
              <w:t>36,534,676</w:t>
            </w:r>
          </w:p>
        </w:tc>
      </w:tr>
      <w:tr>
        <w:trPr>
          <w:trHeight w:val="270" w:hRule="atLeast"/>
        </w:trPr>
        <w:tc>
          <w:tcPr>
            <w:tcW w:w="2825" w:type="dxa"/>
          </w:tcPr>
          <w:p>
            <w:pPr>
              <w:pStyle w:val="TableParagraph"/>
              <w:spacing w:line="250"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欧元 </w:t>
            </w:r>
          </w:p>
        </w:tc>
        <w:tc>
          <w:tcPr>
            <w:tcW w:w="1999" w:type="dxa"/>
          </w:tcPr>
          <w:p>
            <w:pPr>
              <w:pStyle w:val="TableParagraph"/>
              <w:spacing w:before="7"/>
              <w:ind w:right="93"/>
              <w:jc w:val="right"/>
              <w:rPr>
                <w:rFonts w:ascii="Times New Roman"/>
                <w:sz w:val="21"/>
              </w:rPr>
            </w:pPr>
            <w:r>
              <w:rPr>
                <w:rFonts w:ascii="Times New Roman"/>
                <w:sz w:val="21"/>
              </w:rPr>
              <w:t>472,020</w:t>
            </w:r>
          </w:p>
        </w:tc>
        <w:tc>
          <w:tcPr>
            <w:tcW w:w="2006" w:type="dxa"/>
          </w:tcPr>
          <w:p>
            <w:pPr>
              <w:pStyle w:val="TableParagraph"/>
              <w:spacing w:before="7"/>
              <w:ind w:right="94"/>
              <w:jc w:val="right"/>
              <w:rPr>
                <w:rFonts w:ascii="Times New Roman"/>
                <w:sz w:val="21"/>
              </w:rPr>
            </w:pPr>
            <w:r>
              <w:rPr>
                <w:rFonts w:ascii="Times New Roman"/>
                <w:sz w:val="21"/>
              </w:rPr>
              <w:t>7.4229</w:t>
            </w:r>
          </w:p>
        </w:tc>
        <w:tc>
          <w:tcPr>
            <w:tcW w:w="1992" w:type="dxa"/>
          </w:tcPr>
          <w:p>
            <w:pPr>
              <w:pStyle w:val="TableParagraph"/>
              <w:spacing w:before="7"/>
              <w:ind w:right="91"/>
              <w:jc w:val="right"/>
              <w:rPr>
                <w:rFonts w:ascii="Times New Roman"/>
                <w:sz w:val="21"/>
              </w:rPr>
            </w:pPr>
            <w:r>
              <w:rPr>
                <w:rFonts w:ascii="Times New Roman"/>
                <w:sz w:val="21"/>
              </w:rPr>
              <w:t>3,503,759</w:t>
            </w:r>
          </w:p>
        </w:tc>
      </w:tr>
      <w:tr>
        <w:trPr>
          <w:trHeight w:val="273" w:hRule="atLeast"/>
        </w:trPr>
        <w:tc>
          <w:tcPr>
            <w:tcW w:w="2825" w:type="dxa"/>
          </w:tcPr>
          <w:p>
            <w:pPr>
              <w:pStyle w:val="TableParagraph"/>
              <w:spacing w:line="250" w:lineRule="exact" w:before="3"/>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新台币 </w:t>
            </w:r>
          </w:p>
        </w:tc>
        <w:tc>
          <w:tcPr>
            <w:tcW w:w="1999" w:type="dxa"/>
          </w:tcPr>
          <w:p>
            <w:pPr>
              <w:pStyle w:val="TableParagraph"/>
              <w:spacing w:before="10"/>
              <w:ind w:right="93"/>
              <w:jc w:val="right"/>
              <w:rPr>
                <w:rFonts w:ascii="Times New Roman"/>
                <w:sz w:val="21"/>
              </w:rPr>
            </w:pPr>
            <w:r>
              <w:rPr>
                <w:rFonts w:ascii="Times New Roman"/>
                <w:sz w:val="21"/>
              </w:rPr>
              <w:t>6,111,424</w:t>
            </w:r>
          </w:p>
        </w:tc>
        <w:tc>
          <w:tcPr>
            <w:tcW w:w="2006" w:type="dxa"/>
          </w:tcPr>
          <w:p>
            <w:pPr>
              <w:pStyle w:val="TableParagraph"/>
              <w:spacing w:before="10"/>
              <w:ind w:right="94"/>
              <w:jc w:val="right"/>
              <w:rPr>
                <w:rFonts w:ascii="Times New Roman"/>
                <w:sz w:val="21"/>
              </w:rPr>
            </w:pPr>
            <w:r>
              <w:rPr>
                <w:rFonts w:ascii="Times New Roman"/>
                <w:sz w:val="21"/>
              </w:rPr>
              <w:t>0.2269</w:t>
            </w:r>
          </w:p>
        </w:tc>
        <w:tc>
          <w:tcPr>
            <w:tcW w:w="1992" w:type="dxa"/>
          </w:tcPr>
          <w:p>
            <w:pPr>
              <w:pStyle w:val="TableParagraph"/>
              <w:spacing w:before="10"/>
              <w:ind w:right="91"/>
              <w:jc w:val="right"/>
              <w:rPr>
                <w:rFonts w:ascii="Times New Roman"/>
                <w:sz w:val="21"/>
              </w:rPr>
            </w:pPr>
            <w:r>
              <w:rPr>
                <w:rFonts w:ascii="Times New Roman"/>
                <w:sz w:val="21"/>
              </w:rPr>
              <w:t>1,386,682</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日元 </w:t>
            </w:r>
          </w:p>
        </w:tc>
        <w:tc>
          <w:tcPr>
            <w:tcW w:w="1999" w:type="dxa"/>
          </w:tcPr>
          <w:p>
            <w:pPr>
              <w:pStyle w:val="TableParagraph"/>
              <w:spacing w:before="10"/>
              <w:ind w:right="93"/>
              <w:jc w:val="right"/>
              <w:rPr>
                <w:rFonts w:ascii="Times New Roman"/>
                <w:sz w:val="21"/>
              </w:rPr>
            </w:pPr>
            <w:r>
              <w:rPr>
                <w:rFonts w:ascii="Times New Roman"/>
                <w:sz w:val="21"/>
              </w:rPr>
              <w:t>11,481,775</w:t>
            </w:r>
          </w:p>
        </w:tc>
        <w:tc>
          <w:tcPr>
            <w:tcW w:w="2006" w:type="dxa"/>
          </w:tcPr>
          <w:p>
            <w:pPr>
              <w:pStyle w:val="TableParagraph"/>
              <w:spacing w:before="10"/>
              <w:ind w:right="94"/>
              <w:jc w:val="right"/>
              <w:rPr>
                <w:rFonts w:ascii="Times New Roman"/>
                <w:sz w:val="21"/>
              </w:rPr>
            </w:pPr>
            <w:r>
              <w:rPr>
                <w:rFonts w:ascii="Times New Roman"/>
                <w:sz w:val="21"/>
              </w:rPr>
              <w:t>0.0524</w:t>
            </w:r>
          </w:p>
        </w:tc>
        <w:tc>
          <w:tcPr>
            <w:tcW w:w="1992" w:type="dxa"/>
          </w:tcPr>
          <w:p>
            <w:pPr>
              <w:pStyle w:val="TableParagraph"/>
              <w:spacing w:before="10"/>
              <w:ind w:right="91"/>
              <w:jc w:val="right"/>
              <w:rPr>
                <w:rFonts w:ascii="Times New Roman"/>
                <w:sz w:val="21"/>
              </w:rPr>
            </w:pPr>
            <w:r>
              <w:rPr>
                <w:rFonts w:ascii="Times New Roman"/>
                <w:sz w:val="21"/>
              </w:rPr>
              <w:t>601,645</w:t>
            </w:r>
          </w:p>
        </w:tc>
      </w:tr>
      <w:tr>
        <w:trPr>
          <w:trHeight w:val="270" w:hRule="atLeast"/>
        </w:trPr>
        <w:tc>
          <w:tcPr>
            <w:tcW w:w="2825" w:type="dxa"/>
          </w:tcPr>
          <w:p>
            <w:pPr>
              <w:pStyle w:val="TableParagraph"/>
              <w:spacing w:line="250"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新加坡币 </w:t>
            </w:r>
          </w:p>
        </w:tc>
        <w:tc>
          <w:tcPr>
            <w:tcW w:w="1999" w:type="dxa"/>
          </w:tcPr>
          <w:p>
            <w:pPr>
              <w:pStyle w:val="TableParagraph"/>
              <w:spacing w:before="7"/>
              <w:ind w:right="93"/>
              <w:jc w:val="right"/>
              <w:rPr>
                <w:rFonts w:ascii="Times New Roman"/>
                <w:sz w:val="21"/>
              </w:rPr>
            </w:pPr>
            <w:r>
              <w:rPr>
                <w:rFonts w:ascii="Times New Roman"/>
                <w:sz w:val="21"/>
              </w:rPr>
              <w:t>70,000</w:t>
            </w:r>
          </w:p>
        </w:tc>
        <w:tc>
          <w:tcPr>
            <w:tcW w:w="2006" w:type="dxa"/>
          </w:tcPr>
          <w:p>
            <w:pPr>
              <w:pStyle w:val="TableParagraph"/>
              <w:spacing w:before="7"/>
              <w:ind w:right="94"/>
              <w:jc w:val="right"/>
              <w:rPr>
                <w:rFonts w:ascii="Times New Roman"/>
                <w:sz w:val="21"/>
              </w:rPr>
            </w:pPr>
            <w:r>
              <w:rPr>
                <w:rFonts w:ascii="Times New Roman"/>
                <w:sz w:val="21"/>
              </w:rPr>
              <w:t>5.1831</w:t>
            </w:r>
          </w:p>
        </w:tc>
        <w:tc>
          <w:tcPr>
            <w:tcW w:w="1992" w:type="dxa"/>
          </w:tcPr>
          <w:p>
            <w:pPr>
              <w:pStyle w:val="TableParagraph"/>
              <w:spacing w:before="7"/>
              <w:ind w:right="91"/>
              <w:jc w:val="right"/>
              <w:rPr>
                <w:rFonts w:ascii="Times New Roman"/>
                <w:sz w:val="21"/>
              </w:rPr>
            </w:pPr>
            <w:r>
              <w:rPr>
                <w:rFonts w:ascii="Times New Roman"/>
                <w:sz w:val="21"/>
              </w:rPr>
              <w:t>362,817</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澳币 </w:t>
            </w:r>
          </w:p>
        </w:tc>
        <w:tc>
          <w:tcPr>
            <w:tcW w:w="1999" w:type="dxa"/>
          </w:tcPr>
          <w:p>
            <w:pPr>
              <w:pStyle w:val="TableParagraph"/>
              <w:spacing w:before="10"/>
              <w:ind w:right="93"/>
              <w:jc w:val="right"/>
              <w:rPr>
                <w:rFonts w:ascii="Times New Roman"/>
                <w:sz w:val="21"/>
              </w:rPr>
            </w:pPr>
            <w:r>
              <w:rPr>
                <w:rFonts w:ascii="Times New Roman"/>
                <w:sz w:val="21"/>
              </w:rPr>
              <w:t>70,193</w:t>
            </w:r>
          </w:p>
        </w:tc>
        <w:tc>
          <w:tcPr>
            <w:tcW w:w="2006" w:type="dxa"/>
          </w:tcPr>
          <w:p>
            <w:pPr>
              <w:pStyle w:val="TableParagraph"/>
              <w:spacing w:before="10"/>
              <w:ind w:right="94"/>
              <w:jc w:val="right"/>
              <w:rPr>
                <w:rFonts w:ascii="Times New Roman"/>
                <w:sz w:val="21"/>
              </w:rPr>
            </w:pPr>
            <w:r>
              <w:rPr>
                <w:rFonts w:ascii="Times New Roman"/>
                <w:sz w:val="21"/>
              </w:rPr>
              <w:t>4.7138</w:t>
            </w:r>
          </w:p>
        </w:tc>
        <w:tc>
          <w:tcPr>
            <w:tcW w:w="1992" w:type="dxa"/>
          </w:tcPr>
          <w:p>
            <w:pPr>
              <w:pStyle w:val="TableParagraph"/>
              <w:spacing w:before="10"/>
              <w:ind w:right="91"/>
              <w:jc w:val="right"/>
              <w:rPr>
                <w:rFonts w:ascii="Times New Roman"/>
                <w:sz w:val="21"/>
              </w:rPr>
            </w:pPr>
            <w:r>
              <w:rPr>
                <w:rFonts w:ascii="Times New Roman"/>
                <w:sz w:val="21"/>
              </w:rPr>
              <w:t>330,878</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捷克克朗 </w:t>
            </w:r>
          </w:p>
        </w:tc>
        <w:tc>
          <w:tcPr>
            <w:tcW w:w="1999" w:type="dxa"/>
          </w:tcPr>
          <w:p>
            <w:pPr>
              <w:pStyle w:val="TableParagraph"/>
              <w:spacing w:before="10"/>
              <w:ind w:right="93"/>
              <w:jc w:val="right"/>
              <w:rPr>
                <w:rFonts w:ascii="Times New Roman"/>
                <w:sz w:val="21"/>
              </w:rPr>
            </w:pPr>
            <w:r>
              <w:rPr>
                <w:rFonts w:ascii="Times New Roman"/>
                <w:sz w:val="21"/>
              </w:rPr>
              <w:t>771,140</w:t>
            </w:r>
          </w:p>
        </w:tc>
        <w:tc>
          <w:tcPr>
            <w:tcW w:w="2006" w:type="dxa"/>
          </w:tcPr>
          <w:p>
            <w:pPr>
              <w:pStyle w:val="TableParagraph"/>
              <w:spacing w:before="10"/>
              <w:ind w:right="94"/>
              <w:jc w:val="right"/>
              <w:rPr>
                <w:rFonts w:ascii="Times New Roman"/>
                <w:sz w:val="21"/>
              </w:rPr>
            </w:pPr>
            <w:r>
              <w:rPr>
                <w:rFonts w:ascii="Times New Roman"/>
                <w:sz w:val="21"/>
              </w:rPr>
              <w:t>0.3087</w:t>
            </w:r>
          </w:p>
        </w:tc>
        <w:tc>
          <w:tcPr>
            <w:tcW w:w="1992" w:type="dxa"/>
          </w:tcPr>
          <w:p>
            <w:pPr>
              <w:pStyle w:val="TableParagraph"/>
              <w:spacing w:before="10"/>
              <w:ind w:right="91"/>
              <w:jc w:val="right"/>
              <w:rPr>
                <w:rFonts w:ascii="Times New Roman"/>
                <w:sz w:val="21"/>
              </w:rPr>
            </w:pPr>
            <w:r>
              <w:rPr>
                <w:rFonts w:ascii="Times New Roman"/>
                <w:sz w:val="21"/>
              </w:rPr>
              <w:t>238,051</w:t>
            </w:r>
          </w:p>
        </w:tc>
      </w:tr>
      <w:tr>
        <w:trPr>
          <w:trHeight w:val="270" w:hRule="atLeast"/>
        </w:trPr>
        <w:tc>
          <w:tcPr>
            <w:tcW w:w="2825" w:type="dxa"/>
          </w:tcPr>
          <w:p>
            <w:pPr>
              <w:pStyle w:val="TableParagraph"/>
              <w:spacing w:line="250"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w w:val="100"/>
                <w:sz w:val="21"/>
              </w:rPr>
              <w:t> </w:t>
            </w:r>
            <w:r>
              <w:rPr>
                <w:spacing w:val="-2"/>
                <w:sz w:val="21"/>
              </w:rPr>
              <w:t> </w:t>
            </w:r>
            <w:r>
              <w:rPr>
                <w:w w:val="100"/>
                <w:sz w:val="21"/>
              </w:rPr>
              <w:t> </w:t>
            </w:r>
          </w:p>
        </w:tc>
        <w:tc>
          <w:tcPr>
            <w:tcW w:w="1999" w:type="dxa"/>
          </w:tcPr>
          <w:p>
            <w:pPr>
              <w:pStyle w:val="TableParagraph"/>
              <w:rPr>
                <w:rFonts w:ascii="Times New Roman"/>
                <w:sz w:val="20"/>
              </w:rPr>
            </w:pPr>
          </w:p>
        </w:tc>
        <w:tc>
          <w:tcPr>
            <w:tcW w:w="2006" w:type="dxa"/>
          </w:tcPr>
          <w:p>
            <w:pPr>
              <w:pStyle w:val="TableParagraph"/>
              <w:rPr>
                <w:rFonts w:ascii="Times New Roman"/>
                <w:sz w:val="20"/>
              </w:rPr>
            </w:pPr>
          </w:p>
        </w:tc>
        <w:tc>
          <w:tcPr>
            <w:tcW w:w="1992" w:type="dxa"/>
          </w:tcPr>
          <w:p>
            <w:pPr>
              <w:pStyle w:val="TableParagraph"/>
              <w:spacing w:before="7"/>
              <w:ind w:right="91"/>
              <w:jc w:val="right"/>
              <w:rPr>
                <w:rFonts w:ascii="Times New Roman"/>
                <w:sz w:val="21"/>
              </w:rPr>
            </w:pPr>
            <w:r>
              <w:rPr>
                <w:rFonts w:ascii="Times New Roman"/>
                <w:sz w:val="21"/>
              </w:rPr>
              <w:t>42,958,508</w:t>
            </w:r>
          </w:p>
        </w:tc>
      </w:tr>
      <w:tr>
        <w:trPr>
          <w:trHeight w:val="273" w:hRule="atLeast"/>
        </w:trPr>
        <w:tc>
          <w:tcPr>
            <w:tcW w:w="2825" w:type="dxa"/>
          </w:tcPr>
          <w:p>
            <w:pPr>
              <w:pStyle w:val="TableParagraph"/>
              <w:spacing w:line="252" w:lineRule="exact" w:before="1"/>
              <w:ind w:left="107"/>
              <w:rPr>
                <w:sz w:val="21"/>
              </w:rPr>
            </w:pPr>
            <w:r>
              <w:rPr>
                <w:spacing w:val="-1"/>
                <w:sz w:val="21"/>
              </w:rPr>
              <w:t>应付款项—</w:t>
            </w:r>
            <w:r>
              <w:rPr>
                <w:sz w:val="21"/>
              </w:rPr>
              <w:t>  </w:t>
            </w:r>
            <w:r>
              <w:rPr>
                <w:w w:val="100"/>
                <w:sz w:val="21"/>
              </w:rPr>
              <w:t> </w:t>
            </w:r>
            <w:r>
              <w:rPr>
                <w:spacing w:val="-2"/>
                <w:sz w:val="21"/>
              </w:rPr>
              <w:t> </w:t>
            </w:r>
            <w:r>
              <w:rPr>
                <w:w w:val="100"/>
                <w:sz w:val="21"/>
              </w:rPr>
              <w:t> </w:t>
            </w:r>
            <w:r>
              <w:rPr>
                <w:sz w:val="21"/>
              </w:rPr>
              <w:t> </w:t>
            </w:r>
            <w:r>
              <w:rPr>
                <w:w w:val="100"/>
                <w:sz w:val="21"/>
              </w:rPr>
              <w:t> </w:t>
            </w:r>
            <w:r>
              <w:rPr>
                <w:spacing w:val="-2"/>
                <w:sz w:val="21"/>
              </w:rPr>
              <w:t> </w:t>
            </w:r>
            <w:r>
              <w:rPr>
                <w:w w:val="100"/>
                <w:sz w:val="21"/>
              </w:rPr>
              <w:t> </w:t>
            </w:r>
          </w:p>
        </w:tc>
        <w:tc>
          <w:tcPr>
            <w:tcW w:w="1999" w:type="dxa"/>
          </w:tcPr>
          <w:p>
            <w:pPr>
              <w:pStyle w:val="TableParagraph"/>
              <w:rPr>
                <w:rFonts w:ascii="Times New Roman"/>
                <w:sz w:val="20"/>
              </w:rPr>
            </w:pPr>
          </w:p>
        </w:tc>
        <w:tc>
          <w:tcPr>
            <w:tcW w:w="2006" w:type="dxa"/>
          </w:tcPr>
          <w:p>
            <w:pPr>
              <w:pStyle w:val="TableParagraph"/>
              <w:rPr>
                <w:rFonts w:ascii="Times New Roman"/>
                <w:sz w:val="20"/>
              </w:rPr>
            </w:pPr>
          </w:p>
        </w:tc>
        <w:tc>
          <w:tcPr>
            <w:tcW w:w="1992" w:type="dxa"/>
          </w:tcPr>
          <w:p>
            <w:pPr>
              <w:pStyle w:val="TableParagraph"/>
              <w:rPr>
                <w:rFonts w:ascii="Times New Roman"/>
                <w:sz w:val="20"/>
              </w:rPr>
            </w:pPr>
          </w:p>
        </w:tc>
      </w:tr>
      <w:tr>
        <w:trPr>
          <w:trHeight w:val="270" w:hRule="atLeast"/>
        </w:trPr>
        <w:tc>
          <w:tcPr>
            <w:tcW w:w="2825" w:type="dxa"/>
          </w:tcPr>
          <w:p>
            <w:pPr>
              <w:pStyle w:val="TableParagraph"/>
              <w:spacing w:line="250"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美元 </w:t>
            </w:r>
          </w:p>
        </w:tc>
        <w:tc>
          <w:tcPr>
            <w:tcW w:w="1999" w:type="dxa"/>
          </w:tcPr>
          <w:p>
            <w:pPr>
              <w:pStyle w:val="TableParagraph"/>
              <w:spacing w:before="7"/>
              <w:ind w:right="93"/>
              <w:jc w:val="right"/>
              <w:rPr>
                <w:rFonts w:ascii="Times New Roman"/>
                <w:sz w:val="21"/>
              </w:rPr>
            </w:pPr>
            <w:r>
              <w:rPr>
                <w:rFonts w:ascii="Times New Roman"/>
                <w:sz w:val="21"/>
              </w:rPr>
              <w:t>9,726,552</w:t>
            </w:r>
          </w:p>
        </w:tc>
        <w:tc>
          <w:tcPr>
            <w:tcW w:w="2006" w:type="dxa"/>
          </w:tcPr>
          <w:p>
            <w:pPr>
              <w:pStyle w:val="TableParagraph"/>
              <w:spacing w:before="7"/>
              <w:ind w:right="94"/>
              <w:jc w:val="right"/>
              <w:rPr>
                <w:rFonts w:ascii="Times New Roman"/>
                <w:sz w:val="21"/>
              </w:rPr>
            </w:pPr>
            <w:r>
              <w:rPr>
                <w:rFonts w:ascii="Times New Roman"/>
                <w:sz w:val="21"/>
              </w:rPr>
              <w:t>6.9646</w:t>
            </w:r>
          </w:p>
        </w:tc>
        <w:tc>
          <w:tcPr>
            <w:tcW w:w="1992" w:type="dxa"/>
          </w:tcPr>
          <w:p>
            <w:pPr>
              <w:pStyle w:val="TableParagraph"/>
              <w:spacing w:before="7"/>
              <w:ind w:right="91"/>
              <w:jc w:val="right"/>
              <w:rPr>
                <w:rFonts w:ascii="Times New Roman"/>
                <w:sz w:val="21"/>
              </w:rPr>
            </w:pPr>
            <w:r>
              <w:rPr>
                <w:rFonts w:ascii="Times New Roman"/>
                <w:sz w:val="21"/>
              </w:rPr>
              <w:t>67,741,541</w:t>
            </w:r>
          </w:p>
        </w:tc>
      </w:tr>
      <w:tr>
        <w:trPr>
          <w:trHeight w:val="273" w:hRule="atLeast"/>
        </w:trPr>
        <w:tc>
          <w:tcPr>
            <w:tcW w:w="2825" w:type="dxa"/>
          </w:tcPr>
          <w:p>
            <w:pPr>
              <w:pStyle w:val="TableParagraph"/>
              <w:spacing w:line="250" w:lineRule="exact" w:before="3"/>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新台币 </w:t>
            </w:r>
          </w:p>
        </w:tc>
        <w:tc>
          <w:tcPr>
            <w:tcW w:w="1999" w:type="dxa"/>
          </w:tcPr>
          <w:p>
            <w:pPr>
              <w:pStyle w:val="TableParagraph"/>
              <w:spacing w:before="10"/>
              <w:ind w:right="93"/>
              <w:jc w:val="right"/>
              <w:rPr>
                <w:rFonts w:ascii="Times New Roman"/>
                <w:sz w:val="21"/>
              </w:rPr>
            </w:pPr>
            <w:r>
              <w:rPr>
                <w:rFonts w:ascii="Times New Roman"/>
                <w:sz w:val="21"/>
              </w:rPr>
              <w:t>3,152,283</w:t>
            </w:r>
          </w:p>
        </w:tc>
        <w:tc>
          <w:tcPr>
            <w:tcW w:w="2006" w:type="dxa"/>
          </w:tcPr>
          <w:p>
            <w:pPr>
              <w:pStyle w:val="TableParagraph"/>
              <w:spacing w:before="10"/>
              <w:ind w:right="94"/>
              <w:jc w:val="right"/>
              <w:rPr>
                <w:rFonts w:ascii="Times New Roman"/>
                <w:sz w:val="21"/>
              </w:rPr>
            </w:pPr>
            <w:r>
              <w:rPr>
                <w:rFonts w:ascii="Times New Roman"/>
                <w:sz w:val="21"/>
              </w:rPr>
              <w:t>0.2269</w:t>
            </w:r>
          </w:p>
        </w:tc>
        <w:tc>
          <w:tcPr>
            <w:tcW w:w="1992" w:type="dxa"/>
          </w:tcPr>
          <w:p>
            <w:pPr>
              <w:pStyle w:val="TableParagraph"/>
              <w:spacing w:before="10"/>
              <w:ind w:right="91"/>
              <w:jc w:val="right"/>
              <w:rPr>
                <w:rFonts w:ascii="Times New Roman"/>
                <w:sz w:val="21"/>
              </w:rPr>
            </w:pPr>
            <w:r>
              <w:rPr>
                <w:rFonts w:ascii="Times New Roman"/>
                <w:sz w:val="21"/>
              </w:rPr>
              <w:t>715,253</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越南盾 </w:t>
            </w:r>
          </w:p>
        </w:tc>
        <w:tc>
          <w:tcPr>
            <w:tcW w:w="1999" w:type="dxa"/>
          </w:tcPr>
          <w:p>
            <w:pPr>
              <w:pStyle w:val="TableParagraph"/>
              <w:spacing w:before="10"/>
              <w:ind w:right="93"/>
              <w:jc w:val="right"/>
              <w:rPr>
                <w:rFonts w:ascii="Times New Roman"/>
                <w:sz w:val="21"/>
              </w:rPr>
            </w:pPr>
            <w:r>
              <w:rPr>
                <w:rFonts w:ascii="Times New Roman"/>
                <w:sz w:val="21"/>
              </w:rPr>
              <w:t>1,045,213,333</w:t>
            </w:r>
          </w:p>
        </w:tc>
        <w:tc>
          <w:tcPr>
            <w:tcW w:w="2006" w:type="dxa"/>
          </w:tcPr>
          <w:p>
            <w:pPr>
              <w:pStyle w:val="TableParagraph"/>
              <w:spacing w:before="10"/>
              <w:ind w:right="94"/>
              <w:jc w:val="right"/>
              <w:rPr>
                <w:rFonts w:ascii="Times New Roman"/>
                <w:sz w:val="21"/>
              </w:rPr>
            </w:pPr>
            <w:r>
              <w:rPr>
                <w:rFonts w:ascii="Times New Roman"/>
                <w:sz w:val="21"/>
              </w:rPr>
              <w:t>0.0003</w:t>
            </w:r>
          </w:p>
        </w:tc>
        <w:tc>
          <w:tcPr>
            <w:tcW w:w="1992" w:type="dxa"/>
          </w:tcPr>
          <w:p>
            <w:pPr>
              <w:pStyle w:val="TableParagraph"/>
              <w:spacing w:before="10"/>
              <w:ind w:right="91"/>
              <w:jc w:val="right"/>
              <w:rPr>
                <w:rFonts w:ascii="Times New Roman"/>
                <w:sz w:val="21"/>
              </w:rPr>
            </w:pPr>
            <w:r>
              <w:rPr>
                <w:rFonts w:ascii="Times New Roman"/>
                <w:sz w:val="21"/>
              </w:rPr>
              <w:t>313,564</w:t>
            </w:r>
          </w:p>
        </w:tc>
      </w:tr>
      <w:tr>
        <w:trPr>
          <w:trHeight w:val="270" w:hRule="atLeast"/>
        </w:trPr>
        <w:tc>
          <w:tcPr>
            <w:tcW w:w="2825" w:type="dxa"/>
          </w:tcPr>
          <w:p>
            <w:pPr>
              <w:pStyle w:val="TableParagraph"/>
              <w:spacing w:line="250"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日元 </w:t>
            </w:r>
          </w:p>
        </w:tc>
        <w:tc>
          <w:tcPr>
            <w:tcW w:w="1999" w:type="dxa"/>
          </w:tcPr>
          <w:p>
            <w:pPr>
              <w:pStyle w:val="TableParagraph"/>
              <w:spacing w:before="7"/>
              <w:ind w:right="93"/>
              <w:jc w:val="right"/>
              <w:rPr>
                <w:rFonts w:ascii="Times New Roman"/>
                <w:sz w:val="21"/>
              </w:rPr>
            </w:pPr>
            <w:r>
              <w:rPr>
                <w:rFonts w:ascii="Times New Roman"/>
                <w:sz w:val="21"/>
              </w:rPr>
              <w:t>1,995,840</w:t>
            </w:r>
          </w:p>
        </w:tc>
        <w:tc>
          <w:tcPr>
            <w:tcW w:w="2006" w:type="dxa"/>
          </w:tcPr>
          <w:p>
            <w:pPr>
              <w:pStyle w:val="TableParagraph"/>
              <w:spacing w:before="7"/>
              <w:ind w:right="94"/>
              <w:jc w:val="right"/>
              <w:rPr>
                <w:rFonts w:ascii="Times New Roman"/>
                <w:sz w:val="21"/>
              </w:rPr>
            </w:pPr>
            <w:r>
              <w:rPr>
                <w:rFonts w:ascii="Times New Roman"/>
                <w:sz w:val="21"/>
              </w:rPr>
              <w:t>0.0524</w:t>
            </w:r>
          </w:p>
        </w:tc>
        <w:tc>
          <w:tcPr>
            <w:tcW w:w="1992" w:type="dxa"/>
          </w:tcPr>
          <w:p>
            <w:pPr>
              <w:pStyle w:val="TableParagraph"/>
              <w:spacing w:before="7"/>
              <w:ind w:right="91"/>
              <w:jc w:val="right"/>
              <w:rPr>
                <w:rFonts w:ascii="Times New Roman"/>
                <w:sz w:val="21"/>
              </w:rPr>
            </w:pPr>
            <w:r>
              <w:rPr>
                <w:rFonts w:ascii="Times New Roman"/>
                <w:sz w:val="21"/>
              </w:rPr>
              <w:t>104,582</w:t>
            </w:r>
          </w:p>
        </w:tc>
      </w:tr>
      <w:tr>
        <w:trPr>
          <w:trHeight w:val="273" w:hRule="atLeast"/>
        </w:trPr>
        <w:tc>
          <w:tcPr>
            <w:tcW w:w="2825" w:type="dxa"/>
          </w:tcPr>
          <w:p>
            <w:pPr>
              <w:pStyle w:val="TableParagraph"/>
              <w:spacing w:line="250" w:lineRule="exact" w:before="3"/>
              <w:ind w:left="738"/>
              <w:rPr>
                <w:sz w:val="21"/>
              </w:rPr>
            </w:pPr>
            <w:r>
              <w:rPr>
                <w:spacing w:val="-1"/>
                <w:sz w:val="21"/>
              </w:rPr>
              <w:t>捷克克朗</w:t>
            </w:r>
            <w:r>
              <w:rPr>
                <w:sz w:val="21"/>
              </w:rPr>
              <w:t> </w:t>
            </w:r>
          </w:p>
        </w:tc>
        <w:tc>
          <w:tcPr>
            <w:tcW w:w="1999" w:type="dxa"/>
          </w:tcPr>
          <w:p>
            <w:pPr>
              <w:pStyle w:val="TableParagraph"/>
              <w:spacing w:before="10"/>
              <w:ind w:right="93"/>
              <w:jc w:val="right"/>
              <w:rPr>
                <w:rFonts w:ascii="Times New Roman"/>
                <w:sz w:val="21"/>
              </w:rPr>
            </w:pPr>
            <w:r>
              <w:rPr>
                <w:rFonts w:ascii="Times New Roman"/>
                <w:sz w:val="21"/>
              </w:rPr>
              <w:t>144,328</w:t>
            </w:r>
          </w:p>
        </w:tc>
        <w:tc>
          <w:tcPr>
            <w:tcW w:w="2006" w:type="dxa"/>
          </w:tcPr>
          <w:p>
            <w:pPr>
              <w:pStyle w:val="TableParagraph"/>
              <w:spacing w:before="10"/>
              <w:ind w:right="94"/>
              <w:jc w:val="right"/>
              <w:rPr>
                <w:rFonts w:ascii="Times New Roman"/>
                <w:sz w:val="21"/>
              </w:rPr>
            </w:pPr>
            <w:r>
              <w:rPr>
                <w:rFonts w:ascii="Times New Roman"/>
                <w:sz w:val="21"/>
              </w:rPr>
              <w:t>0.3087</w:t>
            </w:r>
          </w:p>
        </w:tc>
        <w:tc>
          <w:tcPr>
            <w:tcW w:w="1992" w:type="dxa"/>
          </w:tcPr>
          <w:p>
            <w:pPr>
              <w:pStyle w:val="TableParagraph"/>
              <w:spacing w:before="10"/>
              <w:ind w:right="91"/>
              <w:jc w:val="right"/>
              <w:rPr>
                <w:rFonts w:ascii="Times New Roman"/>
                <w:sz w:val="21"/>
              </w:rPr>
            </w:pPr>
            <w:r>
              <w:rPr>
                <w:rFonts w:ascii="Times New Roman"/>
                <w:sz w:val="21"/>
              </w:rPr>
              <w:t>44,554</w:t>
            </w:r>
          </w:p>
        </w:tc>
      </w:tr>
      <w:tr>
        <w:trPr>
          <w:trHeight w:val="273" w:hRule="atLeast"/>
        </w:trPr>
        <w:tc>
          <w:tcPr>
            <w:tcW w:w="2825" w:type="dxa"/>
          </w:tcPr>
          <w:p>
            <w:pPr>
              <w:pStyle w:val="TableParagraph"/>
              <w:spacing w:line="252" w:lineRule="exact" w:before="1"/>
              <w:ind w:left="738"/>
              <w:rPr>
                <w:sz w:val="21"/>
              </w:rPr>
            </w:pPr>
            <w:r>
              <w:rPr>
                <w:sz w:val="21"/>
              </w:rPr>
              <w:t>欧元 </w:t>
            </w:r>
          </w:p>
        </w:tc>
        <w:tc>
          <w:tcPr>
            <w:tcW w:w="1999" w:type="dxa"/>
          </w:tcPr>
          <w:p>
            <w:pPr>
              <w:pStyle w:val="TableParagraph"/>
              <w:spacing w:before="10"/>
              <w:ind w:right="93"/>
              <w:jc w:val="right"/>
              <w:rPr>
                <w:rFonts w:ascii="Times New Roman"/>
                <w:sz w:val="21"/>
              </w:rPr>
            </w:pPr>
            <w:r>
              <w:rPr>
                <w:rFonts w:ascii="Times New Roman"/>
                <w:sz w:val="21"/>
              </w:rPr>
              <w:t>3,708</w:t>
            </w:r>
          </w:p>
        </w:tc>
        <w:tc>
          <w:tcPr>
            <w:tcW w:w="2006" w:type="dxa"/>
          </w:tcPr>
          <w:p>
            <w:pPr>
              <w:pStyle w:val="TableParagraph"/>
              <w:spacing w:before="10"/>
              <w:ind w:right="94"/>
              <w:jc w:val="right"/>
              <w:rPr>
                <w:rFonts w:ascii="Times New Roman"/>
                <w:sz w:val="21"/>
              </w:rPr>
            </w:pPr>
            <w:r>
              <w:rPr>
                <w:rFonts w:ascii="Times New Roman"/>
                <w:sz w:val="21"/>
              </w:rPr>
              <w:t>7.4229</w:t>
            </w:r>
          </w:p>
        </w:tc>
        <w:tc>
          <w:tcPr>
            <w:tcW w:w="1992" w:type="dxa"/>
          </w:tcPr>
          <w:p>
            <w:pPr>
              <w:pStyle w:val="TableParagraph"/>
              <w:spacing w:before="10"/>
              <w:ind w:right="91"/>
              <w:jc w:val="right"/>
              <w:rPr>
                <w:rFonts w:ascii="Times New Roman"/>
                <w:sz w:val="21"/>
              </w:rPr>
            </w:pPr>
            <w:r>
              <w:rPr>
                <w:rFonts w:ascii="Times New Roman"/>
                <w:sz w:val="21"/>
              </w:rPr>
              <w:t>27,524</w:t>
            </w:r>
          </w:p>
        </w:tc>
      </w:tr>
      <w:tr>
        <w:trPr>
          <w:trHeight w:val="270" w:hRule="atLeast"/>
        </w:trPr>
        <w:tc>
          <w:tcPr>
            <w:tcW w:w="2825" w:type="dxa"/>
          </w:tcPr>
          <w:p>
            <w:pPr>
              <w:pStyle w:val="TableParagraph"/>
              <w:spacing w:line="250"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其他 </w:t>
            </w:r>
          </w:p>
        </w:tc>
        <w:tc>
          <w:tcPr>
            <w:tcW w:w="1999" w:type="dxa"/>
          </w:tcPr>
          <w:p>
            <w:pPr>
              <w:pStyle w:val="TableParagraph"/>
              <w:rPr>
                <w:rFonts w:ascii="Times New Roman"/>
                <w:sz w:val="20"/>
              </w:rPr>
            </w:pPr>
          </w:p>
        </w:tc>
        <w:tc>
          <w:tcPr>
            <w:tcW w:w="2006" w:type="dxa"/>
          </w:tcPr>
          <w:p>
            <w:pPr>
              <w:pStyle w:val="TableParagraph"/>
              <w:rPr>
                <w:rFonts w:ascii="Times New Roman"/>
                <w:sz w:val="20"/>
              </w:rPr>
            </w:pPr>
          </w:p>
        </w:tc>
        <w:tc>
          <w:tcPr>
            <w:tcW w:w="1992" w:type="dxa"/>
          </w:tcPr>
          <w:p>
            <w:pPr>
              <w:pStyle w:val="TableParagraph"/>
              <w:spacing w:before="7"/>
              <w:ind w:right="91"/>
              <w:jc w:val="right"/>
              <w:rPr>
                <w:rFonts w:ascii="Times New Roman"/>
                <w:sz w:val="21"/>
              </w:rPr>
            </w:pPr>
            <w:r>
              <w:rPr>
                <w:rFonts w:ascii="Times New Roman"/>
                <w:sz w:val="21"/>
              </w:rPr>
              <w:t>458,315</w:t>
            </w:r>
          </w:p>
        </w:tc>
      </w:tr>
      <w:tr>
        <w:trPr>
          <w:trHeight w:val="273" w:hRule="atLeast"/>
        </w:trPr>
        <w:tc>
          <w:tcPr>
            <w:tcW w:w="2825" w:type="dxa"/>
          </w:tcPr>
          <w:p>
            <w:pPr>
              <w:pStyle w:val="TableParagraph"/>
              <w:spacing w:line="250" w:lineRule="exact" w:before="3"/>
              <w:ind w:left="107"/>
              <w:rPr>
                <w:sz w:val="21"/>
              </w:rPr>
            </w:pPr>
            <w:r>
              <w:rPr>
                <w:w w:val="100"/>
                <w:sz w:val="21"/>
              </w:rPr>
              <w:t> </w:t>
            </w:r>
          </w:p>
        </w:tc>
        <w:tc>
          <w:tcPr>
            <w:tcW w:w="1999" w:type="dxa"/>
          </w:tcPr>
          <w:p>
            <w:pPr>
              <w:pStyle w:val="TableParagraph"/>
              <w:spacing w:line="237" w:lineRule="exact"/>
              <w:ind w:right="94"/>
              <w:jc w:val="right"/>
              <w:rPr>
                <w:rFonts w:ascii="Times New Roman"/>
                <w:sz w:val="21"/>
              </w:rPr>
            </w:pPr>
            <w:r>
              <w:rPr>
                <w:rFonts w:ascii="Times New Roman"/>
                <w:w w:val="100"/>
                <w:sz w:val="21"/>
              </w:rPr>
              <w:t>-</w:t>
            </w:r>
          </w:p>
        </w:tc>
        <w:tc>
          <w:tcPr>
            <w:tcW w:w="2006" w:type="dxa"/>
          </w:tcPr>
          <w:p>
            <w:pPr>
              <w:pStyle w:val="TableParagraph"/>
              <w:spacing w:line="237" w:lineRule="exact"/>
              <w:ind w:right="96"/>
              <w:jc w:val="right"/>
              <w:rPr>
                <w:rFonts w:ascii="Times New Roman"/>
                <w:sz w:val="21"/>
              </w:rPr>
            </w:pPr>
            <w:r>
              <w:rPr>
                <w:rFonts w:ascii="Times New Roman"/>
                <w:w w:val="100"/>
                <w:sz w:val="21"/>
              </w:rPr>
              <w:t>-</w:t>
            </w:r>
          </w:p>
        </w:tc>
        <w:tc>
          <w:tcPr>
            <w:tcW w:w="1992" w:type="dxa"/>
          </w:tcPr>
          <w:p>
            <w:pPr>
              <w:pStyle w:val="TableParagraph"/>
              <w:spacing w:before="10"/>
              <w:ind w:right="91"/>
              <w:jc w:val="right"/>
              <w:rPr>
                <w:rFonts w:ascii="Times New Roman"/>
                <w:sz w:val="21"/>
              </w:rPr>
            </w:pPr>
            <w:r>
              <w:rPr>
                <w:rFonts w:ascii="Times New Roman"/>
                <w:sz w:val="21"/>
              </w:rPr>
              <w:t>69,405,333</w:t>
            </w:r>
          </w:p>
        </w:tc>
      </w:tr>
      <w:tr>
        <w:trPr>
          <w:trHeight w:val="273" w:hRule="atLeast"/>
        </w:trPr>
        <w:tc>
          <w:tcPr>
            <w:tcW w:w="2825" w:type="dxa"/>
          </w:tcPr>
          <w:p>
            <w:pPr>
              <w:pStyle w:val="TableParagraph"/>
              <w:spacing w:line="252" w:lineRule="exact" w:before="1"/>
              <w:ind w:left="107"/>
              <w:rPr>
                <w:sz w:val="21"/>
              </w:rPr>
            </w:pPr>
            <w:r>
              <w:rPr>
                <w:spacing w:val="-1"/>
                <w:sz w:val="21"/>
              </w:rPr>
              <w:t>租赁负债—</w:t>
            </w:r>
            <w:r>
              <w:rPr>
                <w:sz w:val="21"/>
              </w:rPr>
              <w:t> </w:t>
            </w:r>
          </w:p>
        </w:tc>
        <w:tc>
          <w:tcPr>
            <w:tcW w:w="1999" w:type="dxa"/>
          </w:tcPr>
          <w:p>
            <w:pPr>
              <w:pStyle w:val="TableParagraph"/>
              <w:rPr>
                <w:rFonts w:ascii="Times New Roman"/>
                <w:sz w:val="20"/>
              </w:rPr>
            </w:pPr>
          </w:p>
        </w:tc>
        <w:tc>
          <w:tcPr>
            <w:tcW w:w="2006" w:type="dxa"/>
          </w:tcPr>
          <w:p>
            <w:pPr>
              <w:pStyle w:val="TableParagraph"/>
              <w:rPr>
                <w:rFonts w:ascii="Times New Roman"/>
                <w:sz w:val="20"/>
              </w:rPr>
            </w:pPr>
          </w:p>
        </w:tc>
        <w:tc>
          <w:tcPr>
            <w:tcW w:w="1992" w:type="dxa"/>
          </w:tcPr>
          <w:p>
            <w:pPr>
              <w:pStyle w:val="TableParagraph"/>
              <w:rPr>
                <w:rFonts w:ascii="Times New Roman"/>
                <w:sz w:val="20"/>
              </w:rPr>
            </w:pPr>
          </w:p>
        </w:tc>
      </w:tr>
      <w:tr>
        <w:trPr>
          <w:trHeight w:val="270" w:hRule="atLeast"/>
        </w:trPr>
        <w:tc>
          <w:tcPr>
            <w:tcW w:w="2825" w:type="dxa"/>
          </w:tcPr>
          <w:p>
            <w:pPr>
              <w:pStyle w:val="TableParagraph"/>
              <w:spacing w:line="250" w:lineRule="exact" w:before="1"/>
              <w:ind w:left="107"/>
              <w:rPr>
                <w:sz w:val="21"/>
              </w:rPr>
            </w:pPr>
            <w:r>
              <w:rPr>
                <w:sz w:val="21"/>
              </w:rPr>
              <w:t>其中：美元 </w:t>
            </w:r>
          </w:p>
        </w:tc>
        <w:tc>
          <w:tcPr>
            <w:tcW w:w="1999" w:type="dxa"/>
          </w:tcPr>
          <w:p>
            <w:pPr>
              <w:pStyle w:val="TableParagraph"/>
              <w:spacing w:before="7"/>
              <w:ind w:right="93"/>
              <w:jc w:val="right"/>
              <w:rPr>
                <w:rFonts w:ascii="Times New Roman"/>
                <w:sz w:val="21"/>
              </w:rPr>
            </w:pPr>
            <w:r>
              <w:rPr>
                <w:rFonts w:ascii="Times New Roman"/>
                <w:sz w:val="21"/>
              </w:rPr>
              <w:t>64,034</w:t>
            </w:r>
          </w:p>
        </w:tc>
        <w:tc>
          <w:tcPr>
            <w:tcW w:w="2006" w:type="dxa"/>
          </w:tcPr>
          <w:p>
            <w:pPr>
              <w:pStyle w:val="TableParagraph"/>
              <w:spacing w:before="7"/>
              <w:ind w:right="94"/>
              <w:jc w:val="right"/>
              <w:rPr>
                <w:rFonts w:ascii="Times New Roman"/>
                <w:sz w:val="21"/>
              </w:rPr>
            </w:pPr>
            <w:r>
              <w:rPr>
                <w:rFonts w:ascii="Times New Roman"/>
                <w:sz w:val="21"/>
              </w:rPr>
              <w:t>6.9646</w:t>
            </w:r>
          </w:p>
        </w:tc>
        <w:tc>
          <w:tcPr>
            <w:tcW w:w="1992" w:type="dxa"/>
          </w:tcPr>
          <w:p>
            <w:pPr>
              <w:pStyle w:val="TableParagraph"/>
              <w:spacing w:before="7"/>
              <w:ind w:right="91"/>
              <w:jc w:val="right"/>
              <w:rPr>
                <w:rFonts w:ascii="Times New Roman"/>
                <w:sz w:val="21"/>
              </w:rPr>
            </w:pPr>
            <w:r>
              <w:rPr>
                <w:rFonts w:ascii="Times New Roman"/>
                <w:sz w:val="21"/>
              </w:rPr>
              <w:t>445,969</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新台币 </w:t>
            </w:r>
          </w:p>
        </w:tc>
        <w:tc>
          <w:tcPr>
            <w:tcW w:w="1999" w:type="dxa"/>
          </w:tcPr>
          <w:p>
            <w:pPr>
              <w:pStyle w:val="TableParagraph"/>
              <w:spacing w:before="10"/>
              <w:ind w:right="93"/>
              <w:jc w:val="right"/>
              <w:rPr>
                <w:rFonts w:ascii="Times New Roman"/>
                <w:sz w:val="21"/>
              </w:rPr>
            </w:pPr>
            <w:r>
              <w:rPr>
                <w:rFonts w:ascii="Times New Roman"/>
                <w:sz w:val="21"/>
              </w:rPr>
              <w:t>757,707</w:t>
            </w:r>
          </w:p>
        </w:tc>
        <w:tc>
          <w:tcPr>
            <w:tcW w:w="2006" w:type="dxa"/>
          </w:tcPr>
          <w:p>
            <w:pPr>
              <w:pStyle w:val="TableParagraph"/>
              <w:spacing w:before="10"/>
              <w:ind w:right="94"/>
              <w:jc w:val="right"/>
              <w:rPr>
                <w:rFonts w:ascii="Times New Roman"/>
                <w:sz w:val="21"/>
              </w:rPr>
            </w:pPr>
            <w:r>
              <w:rPr>
                <w:rFonts w:ascii="Times New Roman"/>
                <w:sz w:val="21"/>
              </w:rPr>
              <w:t>0.2269</w:t>
            </w:r>
          </w:p>
        </w:tc>
        <w:tc>
          <w:tcPr>
            <w:tcW w:w="1992" w:type="dxa"/>
          </w:tcPr>
          <w:p>
            <w:pPr>
              <w:pStyle w:val="TableParagraph"/>
              <w:spacing w:before="10"/>
              <w:ind w:right="91"/>
              <w:jc w:val="right"/>
              <w:rPr>
                <w:rFonts w:ascii="Times New Roman"/>
                <w:sz w:val="21"/>
              </w:rPr>
            </w:pPr>
            <w:r>
              <w:rPr>
                <w:rFonts w:ascii="Times New Roman"/>
                <w:sz w:val="21"/>
              </w:rPr>
              <w:t>171,924</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越南盾 </w:t>
            </w:r>
          </w:p>
        </w:tc>
        <w:tc>
          <w:tcPr>
            <w:tcW w:w="1999" w:type="dxa"/>
          </w:tcPr>
          <w:p>
            <w:pPr>
              <w:pStyle w:val="TableParagraph"/>
              <w:spacing w:before="10"/>
              <w:ind w:right="93"/>
              <w:jc w:val="right"/>
              <w:rPr>
                <w:rFonts w:ascii="Times New Roman"/>
                <w:sz w:val="21"/>
              </w:rPr>
            </w:pPr>
            <w:r>
              <w:rPr>
                <w:rFonts w:ascii="Times New Roman"/>
                <w:sz w:val="21"/>
              </w:rPr>
              <w:t>150,133,652</w:t>
            </w:r>
          </w:p>
        </w:tc>
        <w:tc>
          <w:tcPr>
            <w:tcW w:w="2006" w:type="dxa"/>
          </w:tcPr>
          <w:p>
            <w:pPr>
              <w:pStyle w:val="TableParagraph"/>
              <w:spacing w:before="10"/>
              <w:ind w:right="94"/>
              <w:jc w:val="right"/>
              <w:rPr>
                <w:rFonts w:ascii="Times New Roman"/>
                <w:sz w:val="21"/>
              </w:rPr>
            </w:pPr>
            <w:r>
              <w:rPr>
                <w:rFonts w:ascii="Times New Roman"/>
                <w:sz w:val="21"/>
              </w:rPr>
              <w:t>0.0003</w:t>
            </w:r>
          </w:p>
        </w:tc>
        <w:tc>
          <w:tcPr>
            <w:tcW w:w="1992" w:type="dxa"/>
          </w:tcPr>
          <w:p>
            <w:pPr>
              <w:pStyle w:val="TableParagraph"/>
              <w:spacing w:before="10"/>
              <w:ind w:right="91"/>
              <w:jc w:val="right"/>
              <w:rPr>
                <w:rFonts w:ascii="Times New Roman"/>
                <w:sz w:val="21"/>
              </w:rPr>
            </w:pPr>
            <w:r>
              <w:rPr>
                <w:rFonts w:ascii="Times New Roman"/>
                <w:sz w:val="21"/>
              </w:rPr>
              <w:t>45,040</w:t>
            </w:r>
          </w:p>
        </w:tc>
      </w:tr>
      <w:tr>
        <w:trPr>
          <w:trHeight w:val="270" w:hRule="atLeast"/>
        </w:trPr>
        <w:tc>
          <w:tcPr>
            <w:tcW w:w="2825" w:type="dxa"/>
          </w:tcPr>
          <w:p>
            <w:pPr>
              <w:pStyle w:val="TableParagraph"/>
              <w:spacing w:line="250"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新加坡币 </w:t>
            </w:r>
          </w:p>
        </w:tc>
        <w:tc>
          <w:tcPr>
            <w:tcW w:w="1999" w:type="dxa"/>
          </w:tcPr>
          <w:p>
            <w:pPr>
              <w:pStyle w:val="TableParagraph"/>
              <w:spacing w:before="7"/>
              <w:ind w:right="93"/>
              <w:jc w:val="right"/>
              <w:rPr>
                <w:rFonts w:ascii="Times New Roman"/>
                <w:sz w:val="21"/>
              </w:rPr>
            </w:pPr>
            <w:r>
              <w:rPr>
                <w:rFonts w:ascii="Times New Roman"/>
                <w:sz w:val="21"/>
              </w:rPr>
              <w:t>1,086</w:t>
            </w:r>
          </w:p>
        </w:tc>
        <w:tc>
          <w:tcPr>
            <w:tcW w:w="2006" w:type="dxa"/>
          </w:tcPr>
          <w:p>
            <w:pPr>
              <w:pStyle w:val="TableParagraph"/>
              <w:spacing w:before="7"/>
              <w:ind w:right="94"/>
              <w:jc w:val="right"/>
              <w:rPr>
                <w:rFonts w:ascii="Times New Roman"/>
                <w:sz w:val="21"/>
              </w:rPr>
            </w:pPr>
            <w:r>
              <w:rPr>
                <w:rFonts w:ascii="Times New Roman"/>
                <w:sz w:val="21"/>
              </w:rPr>
              <w:t>5.1831</w:t>
            </w:r>
          </w:p>
        </w:tc>
        <w:tc>
          <w:tcPr>
            <w:tcW w:w="1992" w:type="dxa"/>
          </w:tcPr>
          <w:p>
            <w:pPr>
              <w:pStyle w:val="TableParagraph"/>
              <w:spacing w:before="7"/>
              <w:ind w:right="91"/>
              <w:jc w:val="right"/>
              <w:rPr>
                <w:rFonts w:ascii="Times New Roman"/>
                <w:sz w:val="21"/>
              </w:rPr>
            </w:pPr>
            <w:r>
              <w:rPr>
                <w:rFonts w:ascii="Times New Roman"/>
                <w:sz w:val="21"/>
              </w:rPr>
              <w:t>5,629</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其他 </w:t>
            </w:r>
          </w:p>
        </w:tc>
        <w:tc>
          <w:tcPr>
            <w:tcW w:w="1999" w:type="dxa"/>
          </w:tcPr>
          <w:p>
            <w:pPr>
              <w:pStyle w:val="TableParagraph"/>
              <w:rPr>
                <w:rFonts w:ascii="Times New Roman"/>
                <w:sz w:val="20"/>
              </w:rPr>
            </w:pPr>
          </w:p>
        </w:tc>
        <w:tc>
          <w:tcPr>
            <w:tcW w:w="2006" w:type="dxa"/>
          </w:tcPr>
          <w:p>
            <w:pPr>
              <w:pStyle w:val="TableParagraph"/>
              <w:rPr>
                <w:rFonts w:ascii="Times New Roman"/>
                <w:sz w:val="20"/>
              </w:rPr>
            </w:pPr>
          </w:p>
        </w:tc>
        <w:tc>
          <w:tcPr>
            <w:tcW w:w="1992" w:type="dxa"/>
          </w:tcPr>
          <w:p>
            <w:pPr>
              <w:pStyle w:val="TableParagraph"/>
              <w:spacing w:before="10"/>
              <w:ind w:right="91"/>
              <w:jc w:val="right"/>
              <w:rPr>
                <w:rFonts w:ascii="Times New Roman"/>
                <w:sz w:val="21"/>
              </w:rPr>
            </w:pPr>
            <w:r>
              <w:rPr>
                <w:rFonts w:ascii="Times New Roman"/>
                <w:sz w:val="21"/>
              </w:rPr>
              <w:t>2,757</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w w:val="100"/>
                <w:sz w:val="21"/>
              </w:rPr>
              <w:t> </w:t>
            </w:r>
            <w:r>
              <w:rPr>
                <w:spacing w:val="-2"/>
                <w:sz w:val="21"/>
              </w:rPr>
              <w:t> </w:t>
            </w:r>
            <w:r>
              <w:rPr>
                <w:w w:val="100"/>
                <w:sz w:val="21"/>
              </w:rPr>
              <w:t> </w:t>
            </w:r>
          </w:p>
        </w:tc>
        <w:tc>
          <w:tcPr>
            <w:tcW w:w="1999" w:type="dxa"/>
          </w:tcPr>
          <w:p>
            <w:pPr>
              <w:pStyle w:val="TableParagraph"/>
              <w:rPr>
                <w:rFonts w:ascii="Times New Roman"/>
                <w:sz w:val="20"/>
              </w:rPr>
            </w:pPr>
          </w:p>
        </w:tc>
        <w:tc>
          <w:tcPr>
            <w:tcW w:w="2006" w:type="dxa"/>
          </w:tcPr>
          <w:p>
            <w:pPr>
              <w:pStyle w:val="TableParagraph"/>
              <w:rPr>
                <w:rFonts w:ascii="Times New Roman"/>
                <w:sz w:val="20"/>
              </w:rPr>
            </w:pPr>
          </w:p>
        </w:tc>
        <w:tc>
          <w:tcPr>
            <w:tcW w:w="1992" w:type="dxa"/>
          </w:tcPr>
          <w:p>
            <w:pPr>
              <w:pStyle w:val="TableParagraph"/>
              <w:spacing w:before="7"/>
              <w:ind w:right="91"/>
              <w:jc w:val="right"/>
              <w:rPr>
                <w:rFonts w:ascii="Times New Roman"/>
                <w:sz w:val="21"/>
              </w:rPr>
            </w:pPr>
            <w:r>
              <w:rPr>
                <w:rFonts w:ascii="Times New Roman"/>
                <w:sz w:val="21"/>
              </w:rPr>
              <w:t>671,319</w:t>
            </w:r>
          </w:p>
        </w:tc>
      </w:tr>
      <w:tr>
        <w:trPr>
          <w:trHeight w:val="270" w:hRule="atLeast"/>
        </w:trPr>
        <w:tc>
          <w:tcPr>
            <w:tcW w:w="2825" w:type="dxa"/>
          </w:tcPr>
          <w:p>
            <w:pPr>
              <w:pStyle w:val="TableParagraph"/>
              <w:spacing w:line="250" w:lineRule="exact" w:before="1"/>
              <w:ind w:left="107"/>
              <w:rPr>
                <w:sz w:val="21"/>
              </w:rPr>
            </w:pPr>
            <w:r>
              <w:rPr>
                <w:spacing w:val="-1"/>
                <w:sz w:val="21"/>
              </w:rPr>
              <w:t>长期借款—</w:t>
            </w:r>
            <w:r>
              <w:rPr>
                <w:sz w:val="21"/>
              </w:rPr>
              <w:t>  </w:t>
            </w:r>
            <w:r>
              <w:rPr>
                <w:w w:val="100"/>
                <w:sz w:val="21"/>
              </w:rPr>
              <w:t> </w:t>
            </w:r>
            <w:r>
              <w:rPr>
                <w:spacing w:val="-2"/>
                <w:sz w:val="21"/>
              </w:rPr>
              <w:t> </w:t>
            </w:r>
            <w:r>
              <w:rPr>
                <w:w w:val="100"/>
                <w:sz w:val="21"/>
              </w:rPr>
              <w:t> </w:t>
            </w:r>
            <w:r>
              <w:rPr>
                <w:sz w:val="21"/>
              </w:rPr>
              <w:t> </w:t>
            </w:r>
            <w:r>
              <w:rPr>
                <w:w w:val="100"/>
                <w:sz w:val="21"/>
              </w:rPr>
              <w:t> </w:t>
            </w:r>
            <w:r>
              <w:rPr>
                <w:spacing w:val="-2"/>
                <w:sz w:val="21"/>
              </w:rPr>
              <w:t> </w:t>
            </w:r>
            <w:r>
              <w:rPr>
                <w:w w:val="100"/>
                <w:sz w:val="21"/>
              </w:rPr>
              <w:t> </w:t>
            </w:r>
          </w:p>
        </w:tc>
        <w:tc>
          <w:tcPr>
            <w:tcW w:w="1999" w:type="dxa"/>
          </w:tcPr>
          <w:p>
            <w:pPr>
              <w:pStyle w:val="TableParagraph"/>
              <w:rPr>
                <w:rFonts w:ascii="Times New Roman"/>
                <w:sz w:val="20"/>
              </w:rPr>
            </w:pPr>
          </w:p>
        </w:tc>
        <w:tc>
          <w:tcPr>
            <w:tcW w:w="2006" w:type="dxa"/>
          </w:tcPr>
          <w:p>
            <w:pPr>
              <w:pStyle w:val="TableParagraph"/>
              <w:rPr>
                <w:rFonts w:ascii="Times New Roman"/>
                <w:sz w:val="20"/>
              </w:rPr>
            </w:pPr>
          </w:p>
        </w:tc>
        <w:tc>
          <w:tcPr>
            <w:tcW w:w="1992" w:type="dxa"/>
          </w:tcPr>
          <w:p>
            <w:pPr>
              <w:pStyle w:val="TableParagraph"/>
              <w:rPr>
                <w:rFonts w:ascii="Times New Roman"/>
                <w:sz w:val="20"/>
              </w:rPr>
            </w:pP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sz w:val="21"/>
              </w:rPr>
              <w:t>其中：美元 </w:t>
            </w:r>
          </w:p>
        </w:tc>
        <w:tc>
          <w:tcPr>
            <w:tcW w:w="1999" w:type="dxa"/>
          </w:tcPr>
          <w:p>
            <w:pPr>
              <w:pStyle w:val="TableParagraph"/>
              <w:spacing w:line="235" w:lineRule="exact"/>
              <w:ind w:right="93"/>
              <w:jc w:val="right"/>
              <w:rPr>
                <w:rFonts w:ascii="Times New Roman"/>
                <w:sz w:val="21"/>
              </w:rPr>
            </w:pPr>
            <w:r>
              <w:rPr>
                <w:rFonts w:ascii="Times New Roman"/>
                <w:sz w:val="21"/>
              </w:rPr>
              <w:t>500,000</w:t>
            </w:r>
          </w:p>
        </w:tc>
        <w:tc>
          <w:tcPr>
            <w:tcW w:w="2006" w:type="dxa"/>
          </w:tcPr>
          <w:p>
            <w:pPr>
              <w:pStyle w:val="TableParagraph"/>
              <w:spacing w:line="235" w:lineRule="exact"/>
              <w:ind w:right="94"/>
              <w:jc w:val="right"/>
              <w:rPr>
                <w:rFonts w:ascii="Times New Roman"/>
                <w:sz w:val="21"/>
              </w:rPr>
            </w:pPr>
            <w:r>
              <w:rPr>
                <w:rFonts w:ascii="Times New Roman"/>
                <w:sz w:val="21"/>
              </w:rPr>
              <w:t>6.9646</w:t>
            </w:r>
          </w:p>
        </w:tc>
        <w:tc>
          <w:tcPr>
            <w:tcW w:w="1992" w:type="dxa"/>
          </w:tcPr>
          <w:p>
            <w:pPr>
              <w:pStyle w:val="TableParagraph"/>
              <w:spacing w:line="235" w:lineRule="exact"/>
              <w:ind w:right="91"/>
              <w:jc w:val="right"/>
              <w:rPr>
                <w:rFonts w:ascii="Times New Roman"/>
                <w:sz w:val="21"/>
              </w:rPr>
            </w:pPr>
            <w:r>
              <w:rPr>
                <w:rFonts w:ascii="Times New Roman"/>
                <w:sz w:val="21"/>
              </w:rPr>
              <w:t>3,484,507</w:t>
            </w:r>
          </w:p>
        </w:tc>
      </w:tr>
      <w:tr>
        <w:trPr>
          <w:trHeight w:val="270" w:hRule="atLeast"/>
        </w:trPr>
        <w:tc>
          <w:tcPr>
            <w:tcW w:w="2825" w:type="dxa"/>
          </w:tcPr>
          <w:p>
            <w:pPr>
              <w:pStyle w:val="TableParagraph"/>
              <w:spacing w:line="250" w:lineRule="exact" w:before="1"/>
              <w:ind w:left="107"/>
              <w:rPr>
                <w:sz w:val="21"/>
              </w:rPr>
            </w:pPr>
            <w:r>
              <w:rPr>
                <w:spacing w:val="-1"/>
                <w:sz w:val="21"/>
              </w:rPr>
              <w:t>一年内到期的非流动负债</w:t>
            </w:r>
            <w:r>
              <w:rPr>
                <w:sz w:val="21"/>
              </w:rPr>
              <w:t>  </w:t>
            </w:r>
            <w:r>
              <w:rPr>
                <w:w w:val="100"/>
                <w:sz w:val="21"/>
              </w:rPr>
              <w:t> </w:t>
            </w:r>
          </w:p>
        </w:tc>
        <w:tc>
          <w:tcPr>
            <w:tcW w:w="1999" w:type="dxa"/>
          </w:tcPr>
          <w:p>
            <w:pPr>
              <w:pStyle w:val="TableParagraph"/>
              <w:rPr>
                <w:rFonts w:ascii="Times New Roman"/>
                <w:sz w:val="20"/>
              </w:rPr>
            </w:pPr>
          </w:p>
        </w:tc>
        <w:tc>
          <w:tcPr>
            <w:tcW w:w="2006" w:type="dxa"/>
          </w:tcPr>
          <w:p>
            <w:pPr>
              <w:pStyle w:val="TableParagraph"/>
              <w:rPr>
                <w:rFonts w:ascii="Times New Roman"/>
                <w:sz w:val="20"/>
              </w:rPr>
            </w:pPr>
          </w:p>
        </w:tc>
        <w:tc>
          <w:tcPr>
            <w:tcW w:w="1992" w:type="dxa"/>
          </w:tcPr>
          <w:p>
            <w:pPr>
              <w:pStyle w:val="TableParagraph"/>
              <w:rPr>
                <w:rFonts w:ascii="Times New Roman"/>
                <w:sz w:val="20"/>
              </w:rPr>
            </w:pPr>
          </w:p>
        </w:tc>
      </w:tr>
      <w:tr>
        <w:trPr>
          <w:trHeight w:val="273" w:hRule="atLeast"/>
        </w:trPr>
        <w:tc>
          <w:tcPr>
            <w:tcW w:w="2825" w:type="dxa"/>
          </w:tcPr>
          <w:p>
            <w:pPr>
              <w:pStyle w:val="TableParagraph"/>
              <w:spacing w:line="250" w:lineRule="exact" w:before="3"/>
              <w:ind w:left="107"/>
              <w:rPr>
                <w:sz w:val="21"/>
              </w:rPr>
            </w:pPr>
            <w:r>
              <w:rPr>
                <w:w w:val="100"/>
                <w:sz w:val="21"/>
              </w:rPr>
              <w:t> </w:t>
            </w:r>
            <w:r>
              <w:rPr>
                <w:sz w:val="21"/>
              </w:rPr>
              <w:t> </w:t>
            </w:r>
            <w:r>
              <w:rPr>
                <w:sz w:val="21"/>
              </w:rPr>
              <w:t>其中：美元 </w:t>
            </w:r>
          </w:p>
        </w:tc>
        <w:tc>
          <w:tcPr>
            <w:tcW w:w="1999" w:type="dxa"/>
          </w:tcPr>
          <w:p>
            <w:pPr>
              <w:pStyle w:val="TableParagraph"/>
              <w:spacing w:line="237" w:lineRule="exact"/>
              <w:ind w:right="93"/>
              <w:jc w:val="right"/>
              <w:rPr>
                <w:rFonts w:ascii="Times New Roman"/>
                <w:sz w:val="21"/>
              </w:rPr>
            </w:pPr>
            <w:r>
              <w:rPr>
                <w:rFonts w:ascii="Times New Roman"/>
                <w:sz w:val="21"/>
              </w:rPr>
              <w:t>600,000</w:t>
            </w:r>
          </w:p>
        </w:tc>
        <w:tc>
          <w:tcPr>
            <w:tcW w:w="2006" w:type="dxa"/>
          </w:tcPr>
          <w:p>
            <w:pPr>
              <w:pStyle w:val="TableParagraph"/>
              <w:spacing w:line="237" w:lineRule="exact"/>
              <w:ind w:right="94"/>
              <w:jc w:val="right"/>
              <w:rPr>
                <w:rFonts w:ascii="Times New Roman"/>
                <w:sz w:val="21"/>
              </w:rPr>
            </w:pPr>
            <w:r>
              <w:rPr>
                <w:rFonts w:ascii="Times New Roman"/>
                <w:sz w:val="21"/>
              </w:rPr>
              <w:t>6.9646</w:t>
            </w:r>
          </w:p>
        </w:tc>
        <w:tc>
          <w:tcPr>
            <w:tcW w:w="1992" w:type="dxa"/>
          </w:tcPr>
          <w:p>
            <w:pPr>
              <w:pStyle w:val="TableParagraph"/>
              <w:spacing w:line="237" w:lineRule="exact"/>
              <w:ind w:right="91"/>
              <w:jc w:val="right"/>
              <w:rPr>
                <w:rFonts w:ascii="Times New Roman"/>
                <w:sz w:val="21"/>
              </w:rPr>
            </w:pPr>
            <w:r>
              <w:rPr>
                <w:rFonts w:ascii="Times New Roman"/>
                <w:sz w:val="21"/>
              </w:rPr>
              <w:t>4,181,160</w:t>
            </w:r>
          </w:p>
        </w:tc>
      </w:tr>
      <w:tr>
        <w:trPr>
          <w:trHeight w:val="273" w:hRule="atLeast"/>
        </w:trPr>
        <w:tc>
          <w:tcPr>
            <w:tcW w:w="2825" w:type="dxa"/>
          </w:tcPr>
          <w:p>
            <w:pPr>
              <w:pStyle w:val="TableParagraph"/>
              <w:spacing w:line="252"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w w:val="100"/>
                <w:sz w:val="21"/>
              </w:rPr>
              <w:t> </w:t>
            </w:r>
            <w:r>
              <w:rPr>
                <w:spacing w:val="-2"/>
                <w:sz w:val="21"/>
              </w:rPr>
              <w:t> </w:t>
            </w:r>
            <w:r>
              <w:rPr>
                <w:w w:val="100"/>
                <w:sz w:val="21"/>
              </w:rPr>
              <w:t> </w:t>
            </w:r>
          </w:p>
        </w:tc>
        <w:tc>
          <w:tcPr>
            <w:tcW w:w="1999" w:type="dxa"/>
          </w:tcPr>
          <w:p>
            <w:pPr>
              <w:pStyle w:val="TableParagraph"/>
              <w:rPr>
                <w:rFonts w:ascii="Times New Roman"/>
                <w:sz w:val="20"/>
              </w:rPr>
            </w:pPr>
          </w:p>
        </w:tc>
        <w:tc>
          <w:tcPr>
            <w:tcW w:w="2006" w:type="dxa"/>
          </w:tcPr>
          <w:p>
            <w:pPr>
              <w:pStyle w:val="TableParagraph"/>
              <w:rPr>
                <w:rFonts w:ascii="Times New Roman"/>
                <w:sz w:val="20"/>
              </w:rPr>
            </w:pPr>
          </w:p>
        </w:tc>
        <w:tc>
          <w:tcPr>
            <w:tcW w:w="1992" w:type="dxa"/>
          </w:tcPr>
          <w:p>
            <w:pPr>
              <w:pStyle w:val="TableParagraph"/>
              <w:rPr>
                <w:rFonts w:ascii="Times New Roman"/>
                <w:sz w:val="20"/>
              </w:rPr>
            </w:pPr>
          </w:p>
        </w:tc>
      </w:tr>
      <w:tr>
        <w:trPr>
          <w:trHeight w:val="270" w:hRule="atLeast"/>
        </w:trPr>
        <w:tc>
          <w:tcPr>
            <w:tcW w:w="2825" w:type="dxa"/>
          </w:tcPr>
          <w:p>
            <w:pPr>
              <w:pStyle w:val="TableParagraph"/>
              <w:spacing w:line="250" w:lineRule="exact" w:before="1"/>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w w:val="100"/>
                <w:sz w:val="21"/>
              </w:rPr>
              <w:t> </w:t>
            </w:r>
            <w:r>
              <w:rPr>
                <w:spacing w:val="-2"/>
                <w:sz w:val="21"/>
              </w:rPr>
              <w:t> </w:t>
            </w:r>
            <w:r>
              <w:rPr>
                <w:w w:val="100"/>
                <w:sz w:val="21"/>
              </w:rPr>
              <w:t> </w:t>
            </w:r>
          </w:p>
        </w:tc>
        <w:tc>
          <w:tcPr>
            <w:tcW w:w="1999" w:type="dxa"/>
          </w:tcPr>
          <w:p>
            <w:pPr>
              <w:pStyle w:val="TableParagraph"/>
              <w:rPr>
                <w:rFonts w:ascii="Times New Roman"/>
                <w:sz w:val="20"/>
              </w:rPr>
            </w:pPr>
          </w:p>
        </w:tc>
        <w:tc>
          <w:tcPr>
            <w:tcW w:w="2006" w:type="dxa"/>
          </w:tcPr>
          <w:p>
            <w:pPr>
              <w:pStyle w:val="TableParagraph"/>
              <w:rPr>
                <w:rFonts w:ascii="Times New Roman"/>
                <w:sz w:val="20"/>
              </w:rPr>
            </w:pPr>
          </w:p>
        </w:tc>
        <w:tc>
          <w:tcPr>
            <w:tcW w:w="1992" w:type="dxa"/>
          </w:tcPr>
          <w:p>
            <w:pPr>
              <w:pStyle w:val="TableParagraph"/>
              <w:rPr>
                <w:rFonts w:ascii="Times New Roman"/>
                <w:sz w:val="20"/>
              </w:rPr>
            </w:pPr>
          </w:p>
        </w:tc>
      </w:tr>
      <w:tr>
        <w:trPr>
          <w:trHeight w:val="273" w:hRule="atLeast"/>
        </w:trPr>
        <w:tc>
          <w:tcPr>
            <w:tcW w:w="2825" w:type="dxa"/>
          </w:tcPr>
          <w:p>
            <w:pPr>
              <w:pStyle w:val="TableParagraph"/>
              <w:spacing w:line="250" w:lineRule="exact" w:before="3"/>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w w:val="100"/>
                <w:sz w:val="21"/>
              </w:rPr>
              <w:t> </w:t>
            </w:r>
            <w:r>
              <w:rPr>
                <w:spacing w:val="-2"/>
                <w:sz w:val="21"/>
              </w:rPr>
              <w:t> </w:t>
            </w:r>
            <w:r>
              <w:rPr>
                <w:w w:val="100"/>
                <w:sz w:val="21"/>
              </w:rPr>
              <w:t> </w:t>
            </w:r>
          </w:p>
        </w:tc>
        <w:tc>
          <w:tcPr>
            <w:tcW w:w="1999" w:type="dxa"/>
          </w:tcPr>
          <w:p>
            <w:pPr>
              <w:pStyle w:val="TableParagraph"/>
              <w:rPr>
                <w:rFonts w:ascii="Times New Roman"/>
                <w:sz w:val="20"/>
              </w:rPr>
            </w:pPr>
          </w:p>
        </w:tc>
        <w:tc>
          <w:tcPr>
            <w:tcW w:w="2006" w:type="dxa"/>
          </w:tcPr>
          <w:p>
            <w:pPr>
              <w:pStyle w:val="TableParagraph"/>
              <w:rPr>
                <w:rFonts w:ascii="Times New Roman"/>
                <w:sz w:val="20"/>
              </w:rPr>
            </w:pPr>
          </w:p>
        </w:tc>
        <w:tc>
          <w:tcPr>
            <w:tcW w:w="1992" w:type="dxa"/>
          </w:tcPr>
          <w:p>
            <w:pPr>
              <w:pStyle w:val="TableParagraph"/>
              <w:rPr>
                <w:rFonts w:ascii="Times New Roman"/>
                <w:sz w:val="20"/>
              </w:rPr>
            </w:pPr>
          </w:p>
        </w:tc>
      </w:tr>
    </w:tbl>
    <w:p>
      <w:pPr>
        <w:pStyle w:val="BodyText"/>
        <w:spacing w:before="1"/>
      </w:pPr>
      <w:r>
        <w:rPr>
          <w:w w:val="100"/>
        </w:rPr>
        <w:t> </w:t>
      </w:r>
    </w:p>
    <w:p>
      <w:pPr>
        <w:pStyle w:val="BodyText"/>
        <w:spacing w:before="64"/>
      </w:pPr>
      <w:r>
        <w:rPr/>
        <w:t>其他说明： </w:t>
      </w:r>
    </w:p>
    <w:p>
      <w:pPr>
        <w:spacing w:after="0"/>
        <w:sectPr>
          <w:pgSz w:w="11910" w:h="16840"/>
          <w:pgMar w:header="882" w:footer="1184" w:top="1120" w:bottom="1380" w:left="1480" w:right="0"/>
        </w:sectPr>
      </w:pPr>
    </w:p>
    <w:p>
      <w:pPr>
        <w:pStyle w:val="BodyText"/>
        <w:spacing w:before="7"/>
        <w:ind w:left="0"/>
        <w:rPr>
          <w:sz w:val="25"/>
        </w:rPr>
      </w:pPr>
    </w:p>
    <w:p>
      <w:pPr>
        <w:pStyle w:val="BodyText"/>
        <w:spacing w:before="72"/>
      </w:pPr>
      <w:r>
        <w:rPr/>
        <w:t>无 </w:t>
      </w:r>
    </w:p>
    <w:p>
      <w:pPr>
        <w:pStyle w:val="BodyText"/>
        <w:spacing w:before="5"/>
      </w:pPr>
      <w:r>
        <w:rPr>
          <w:w w:val="100"/>
        </w:rPr>
        <w:t> </w:t>
      </w:r>
    </w:p>
    <w:p>
      <w:pPr>
        <w:pStyle w:val="BodyText"/>
        <w:spacing w:line="244" w:lineRule="auto" w:before="62"/>
        <w:ind w:left="745" w:right="1269" w:hanging="428"/>
      </w:pPr>
      <w:r>
        <w:rPr/>
        <w:t>(2).境外经营实体说明，包括对于重要的境外经营实体，应披露其境外主要经营地、记账本位</w:t>
      </w:r>
      <w:r>
        <w:rPr>
          <w:spacing w:val="1"/>
        </w:rPr>
        <w:t> </w:t>
      </w:r>
      <w:r>
        <w:rPr/>
        <w:t>币及选择依据，记账本位币发生变化的还应披露原因 </w:t>
      </w:r>
    </w:p>
    <w:p>
      <w:pPr>
        <w:pStyle w:val="BodyText"/>
        <w:spacing w:before="56"/>
      </w:pPr>
      <w:r>
        <w:rPr>
          <w:spacing w:val="-1"/>
        </w:rPr>
        <w:t>□适用 √不适用</w:t>
      </w:r>
      <w:r>
        <w:rPr>
          <w:spacing w:val="-3"/>
        </w:rPr>
        <w:t> </w:t>
      </w:r>
      <w:r>
        <w:rPr/>
        <w:t> </w:t>
      </w:r>
    </w:p>
    <w:p>
      <w:pPr>
        <w:pStyle w:val="BodyText"/>
        <w:spacing w:before="5"/>
      </w:pPr>
      <w:r>
        <w:rPr>
          <w:w w:val="100"/>
        </w:rPr>
        <w:t> </w:t>
      </w:r>
    </w:p>
    <w:p>
      <w:pPr>
        <w:pStyle w:val="BodyText"/>
        <w:spacing w:before="62"/>
      </w:pPr>
      <w:r>
        <w:rPr/>
        <w:t>83</w:t>
      </w:r>
      <w:r>
        <w:rPr>
          <w:spacing w:val="-6"/>
        </w:rPr>
        <w:t>、 套期 </w:t>
      </w:r>
    </w:p>
    <w:p>
      <w:pPr>
        <w:pStyle w:val="BodyText"/>
        <w:spacing w:before="64"/>
      </w:pPr>
      <w:r>
        <w:rPr>
          <w:spacing w:val="-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BodyText"/>
        <w:spacing w:before="62"/>
      </w:pPr>
      <w:r>
        <w:rPr/>
        <w:t>84</w:t>
      </w:r>
      <w:r>
        <w:rPr>
          <w:spacing w:val="-5"/>
        </w:rPr>
        <w:t>、 政府补助</w:t>
      </w:r>
    </w:p>
    <w:p>
      <w:pPr>
        <w:pStyle w:val="ListParagraph"/>
        <w:numPr>
          <w:ilvl w:val="0"/>
          <w:numId w:val="81"/>
        </w:numPr>
        <w:tabs>
          <w:tab w:pos="746" w:val="left" w:leader="none"/>
        </w:tabs>
        <w:spacing w:line="240" w:lineRule="auto" w:before="65" w:after="0"/>
        <w:ind w:left="745" w:right="0" w:hanging="428"/>
        <w:jc w:val="left"/>
        <w:rPr>
          <w:sz w:val="21"/>
        </w:rPr>
      </w:pPr>
      <w:r>
        <w:rPr>
          <w:sz w:val="21"/>
        </w:rPr>
        <w:t>政府补助基本情况 </w:t>
      </w:r>
    </w:p>
    <w:p>
      <w:pPr>
        <w:pStyle w:val="BodyText"/>
        <w:spacing w:before="62"/>
      </w:pPr>
      <w:r>
        <w:rPr>
          <w:spacing w:val="11"/>
        </w:rPr>
        <w:t>√适用 □不适用</w:t>
      </w:r>
      <w:r>
        <w:rPr>
          <w:spacing w:val="-3"/>
        </w:rPr>
        <w:t> </w:t>
      </w:r>
      <w:r>
        <w:rPr/>
        <w:t> </w:t>
      </w:r>
    </w:p>
    <w:p>
      <w:pPr>
        <w:pStyle w:val="BodyText"/>
        <w:spacing w:before="5"/>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6"/>
        <w:gridCol w:w="2205"/>
        <w:gridCol w:w="2205"/>
        <w:gridCol w:w="2205"/>
      </w:tblGrid>
      <w:tr>
        <w:trPr>
          <w:trHeight w:val="273" w:hRule="atLeast"/>
        </w:trPr>
        <w:tc>
          <w:tcPr>
            <w:tcW w:w="2206" w:type="dxa"/>
          </w:tcPr>
          <w:p>
            <w:pPr>
              <w:pStyle w:val="TableParagraph"/>
              <w:spacing w:line="252" w:lineRule="exact" w:before="1"/>
              <w:ind w:left="662" w:right="548"/>
              <w:jc w:val="center"/>
              <w:rPr>
                <w:sz w:val="21"/>
              </w:rPr>
            </w:pPr>
            <w:r>
              <w:rPr>
                <w:sz w:val="21"/>
              </w:rPr>
              <w:t>种类 </w:t>
            </w:r>
          </w:p>
        </w:tc>
        <w:tc>
          <w:tcPr>
            <w:tcW w:w="2205" w:type="dxa"/>
          </w:tcPr>
          <w:p>
            <w:pPr>
              <w:pStyle w:val="TableParagraph"/>
              <w:spacing w:line="252" w:lineRule="exact" w:before="1"/>
              <w:ind w:left="746" w:right="630"/>
              <w:jc w:val="center"/>
              <w:rPr>
                <w:sz w:val="21"/>
              </w:rPr>
            </w:pPr>
            <w:r>
              <w:rPr>
                <w:sz w:val="21"/>
              </w:rPr>
              <w:t>金额 </w:t>
            </w:r>
          </w:p>
        </w:tc>
        <w:tc>
          <w:tcPr>
            <w:tcW w:w="2205" w:type="dxa"/>
          </w:tcPr>
          <w:p>
            <w:pPr>
              <w:pStyle w:val="TableParagraph"/>
              <w:spacing w:line="252" w:lineRule="exact" w:before="1"/>
              <w:ind w:left="682"/>
              <w:rPr>
                <w:sz w:val="21"/>
              </w:rPr>
            </w:pPr>
            <w:r>
              <w:rPr>
                <w:spacing w:val="-1"/>
                <w:sz w:val="21"/>
              </w:rPr>
              <w:t>列报项目</w:t>
            </w:r>
            <w:r>
              <w:rPr>
                <w:sz w:val="21"/>
              </w:rPr>
              <w:t> </w:t>
            </w:r>
          </w:p>
        </w:tc>
        <w:tc>
          <w:tcPr>
            <w:tcW w:w="2205" w:type="dxa"/>
          </w:tcPr>
          <w:p>
            <w:pPr>
              <w:pStyle w:val="TableParagraph"/>
              <w:spacing w:line="252" w:lineRule="exact" w:before="1"/>
              <w:ind w:right="38"/>
              <w:jc w:val="right"/>
              <w:rPr>
                <w:sz w:val="21"/>
              </w:rPr>
            </w:pPr>
            <w:r>
              <w:rPr>
                <w:spacing w:val="-1"/>
                <w:sz w:val="21"/>
              </w:rPr>
              <w:t>计入当期损益的金额</w:t>
            </w:r>
            <w:r>
              <w:rPr>
                <w:sz w:val="21"/>
              </w:rPr>
              <w:t> </w:t>
            </w:r>
          </w:p>
        </w:tc>
      </w:tr>
      <w:tr>
        <w:trPr>
          <w:trHeight w:val="270" w:hRule="atLeast"/>
        </w:trPr>
        <w:tc>
          <w:tcPr>
            <w:tcW w:w="2206" w:type="dxa"/>
          </w:tcPr>
          <w:p>
            <w:pPr>
              <w:pStyle w:val="TableParagraph"/>
              <w:spacing w:line="250" w:lineRule="exact" w:before="1"/>
              <w:ind w:left="107"/>
              <w:rPr>
                <w:sz w:val="21"/>
              </w:rPr>
            </w:pPr>
            <w:r>
              <w:rPr>
                <w:spacing w:val="-1"/>
                <w:sz w:val="21"/>
              </w:rPr>
              <w:t>企业扶持资金</w:t>
            </w:r>
            <w:r>
              <w:rPr>
                <w:sz w:val="21"/>
              </w:rPr>
              <w:t> </w:t>
            </w:r>
          </w:p>
        </w:tc>
        <w:tc>
          <w:tcPr>
            <w:tcW w:w="2205" w:type="dxa"/>
          </w:tcPr>
          <w:p>
            <w:pPr>
              <w:pStyle w:val="TableParagraph"/>
              <w:spacing w:line="250" w:lineRule="exact" w:before="1"/>
              <w:ind w:right="-15"/>
              <w:jc w:val="right"/>
              <w:rPr>
                <w:sz w:val="21"/>
              </w:rPr>
            </w:pPr>
            <w:r>
              <w:rPr>
                <w:sz w:val="21"/>
              </w:rPr>
              <w:t>1,701,478 </w:t>
            </w:r>
          </w:p>
        </w:tc>
        <w:tc>
          <w:tcPr>
            <w:tcW w:w="2205" w:type="dxa"/>
          </w:tcPr>
          <w:p>
            <w:pPr>
              <w:pStyle w:val="TableParagraph"/>
              <w:spacing w:line="250" w:lineRule="exact" w:before="1"/>
              <w:ind w:left="108"/>
              <w:rPr>
                <w:sz w:val="21"/>
              </w:rPr>
            </w:pPr>
            <w:r>
              <w:rPr>
                <w:spacing w:val="-1"/>
                <w:sz w:val="21"/>
              </w:rPr>
              <w:t>其他收益</w:t>
            </w:r>
            <w:r>
              <w:rPr>
                <w:sz w:val="21"/>
              </w:rPr>
              <w:t> </w:t>
            </w:r>
          </w:p>
        </w:tc>
        <w:tc>
          <w:tcPr>
            <w:tcW w:w="2205" w:type="dxa"/>
          </w:tcPr>
          <w:p>
            <w:pPr>
              <w:pStyle w:val="TableParagraph"/>
              <w:spacing w:line="250" w:lineRule="exact" w:before="1"/>
              <w:ind w:right="-15"/>
              <w:jc w:val="right"/>
              <w:rPr>
                <w:sz w:val="21"/>
              </w:rPr>
            </w:pPr>
            <w:r>
              <w:rPr>
                <w:sz w:val="21"/>
              </w:rPr>
              <w:t>1,701,478 </w:t>
            </w:r>
          </w:p>
        </w:tc>
      </w:tr>
      <w:tr>
        <w:trPr>
          <w:trHeight w:val="273" w:hRule="atLeast"/>
        </w:trPr>
        <w:tc>
          <w:tcPr>
            <w:tcW w:w="2206" w:type="dxa"/>
          </w:tcPr>
          <w:p>
            <w:pPr>
              <w:pStyle w:val="TableParagraph"/>
              <w:spacing w:line="250" w:lineRule="exact" w:before="3"/>
              <w:ind w:left="107"/>
              <w:rPr>
                <w:sz w:val="21"/>
              </w:rPr>
            </w:pPr>
            <w:r>
              <w:rPr>
                <w:spacing w:val="-1"/>
                <w:sz w:val="21"/>
              </w:rPr>
              <w:t>企业扶持资金</w:t>
            </w:r>
            <w:r>
              <w:rPr>
                <w:sz w:val="21"/>
              </w:rPr>
              <w:t> </w:t>
            </w:r>
          </w:p>
        </w:tc>
        <w:tc>
          <w:tcPr>
            <w:tcW w:w="2205" w:type="dxa"/>
          </w:tcPr>
          <w:p>
            <w:pPr>
              <w:pStyle w:val="TableParagraph"/>
              <w:spacing w:line="250" w:lineRule="exact" w:before="3"/>
              <w:ind w:right="-15"/>
              <w:jc w:val="right"/>
              <w:rPr>
                <w:sz w:val="21"/>
              </w:rPr>
            </w:pPr>
            <w:r>
              <w:rPr>
                <w:sz w:val="21"/>
              </w:rPr>
              <w:t>200,196 </w:t>
            </w:r>
          </w:p>
        </w:tc>
        <w:tc>
          <w:tcPr>
            <w:tcW w:w="2205" w:type="dxa"/>
          </w:tcPr>
          <w:p>
            <w:pPr>
              <w:pStyle w:val="TableParagraph"/>
              <w:spacing w:line="250" w:lineRule="exact" w:before="3"/>
              <w:ind w:left="108"/>
              <w:rPr>
                <w:sz w:val="21"/>
              </w:rPr>
            </w:pPr>
            <w:r>
              <w:rPr>
                <w:spacing w:val="-1"/>
                <w:sz w:val="21"/>
              </w:rPr>
              <w:t>递延收益</w:t>
            </w:r>
            <w:r>
              <w:rPr>
                <w:sz w:val="21"/>
              </w:rPr>
              <w:t> </w:t>
            </w:r>
          </w:p>
        </w:tc>
        <w:tc>
          <w:tcPr>
            <w:tcW w:w="2205" w:type="dxa"/>
          </w:tcPr>
          <w:p>
            <w:pPr>
              <w:pStyle w:val="TableParagraph"/>
              <w:spacing w:line="250" w:lineRule="exact" w:before="3"/>
              <w:ind w:right="-15"/>
              <w:jc w:val="right"/>
              <w:rPr>
                <w:sz w:val="21"/>
              </w:rPr>
            </w:pPr>
            <w:r>
              <w:rPr>
                <w:sz w:val="21"/>
              </w:rPr>
              <w:t>39,354 </w:t>
            </w:r>
          </w:p>
        </w:tc>
      </w:tr>
      <w:tr>
        <w:trPr>
          <w:trHeight w:val="273" w:hRule="atLeast"/>
        </w:trPr>
        <w:tc>
          <w:tcPr>
            <w:tcW w:w="2206" w:type="dxa"/>
          </w:tcPr>
          <w:p>
            <w:pPr>
              <w:pStyle w:val="TableParagraph"/>
              <w:spacing w:line="252" w:lineRule="exact" w:before="1"/>
              <w:ind w:left="107"/>
              <w:rPr>
                <w:sz w:val="21"/>
              </w:rPr>
            </w:pPr>
            <w:r>
              <w:rPr>
                <w:spacing w:val="-1"/>
                <w:sz w:val="21"/>
              </w:rPr>
              <w:t>物流补贴</w:t>
            </w:r>
            <w:r>
              <w:rPr>
                <w:sz w:val="21"/>
              </w:rPr>
              <w:t> </w:t>
            </w:r>
          </w:p>
        </w:tc>
        <w:tc>
          <w:tcPr>
            <w:tcW w:w="2205" w:type="dxa"/>
          </w:tcPr>
          <w:p>
            <w:pPr>
              <w:pStyle w:val="TableParagraph"/>
              <w:spacing w:line="252" w:lineRule="exact" w:before="1"/>
              <w:ind w:right="-15"/>
              <w:jc w:val="right"/>
              <w:rPr>
                <w:sz w:val="21"/>
              </w:rPr>
            </w:pPr>
            <w:r>
              <w:rPr>
                <w:sz w:val="21"/>
              </w:rPr>
              <w:t>4,586 </w:t>
            </w:r>
          </w:p>
        </w:tc>
        <w:tc>
          <w:tcPr>
            <w:tcW w:w="2205" w:type="dxa"/>
          </w:tcPr>
          <w:p>
            <w:pPr>
              <w:pStyle w:val="TableParagraph"/>
              <w:spacing w:line="252" w:lineRule="exact" w:before="1"/>
              <w:ind w:left="108"/>
              <w:rPr>
                <w:sz w:val="21"/>
              </w:rPr>
            </w:pPr>
            <w:r>
              <w:rPr>
                <w:spacing w:val="-1"/>
                <w:sz w:val="21"/>
              </w:rPr>
              <w:t>其他收益</w:t>
            </w:r>
            <w:r>
              <w:rPr>
                <w:sz w:val="21"/>
              </w:rPr>
              <w:t> </w:t>
            </w:r>
          </w:p>
        </w:tc>
        <w:tc>
          <w:tcPr>
            <w:tcW w:w="2205" w:type="dxa"/>
          </w:tcPr>
          <w:p>
            <w:pPr>
              <w:pStyle w:val="TableParagraph"/>
              <w:spacing w:line="252" w:lineRule="exact" w:before="1"/>
              <w:ind w:right="-15"/>
              <w:jc w:val="right"/>
              <w:rPr>
                <w:sz w:val="21"/>
              </w:rPr>
            </w:pPr>
            <w:r>
              <w:rPr>
                <w:sz w:val="21"/>
              </w:rPr>
              <w:t>4,586 </w:t>
            </w:r>
          </w:p>
        </w:tc>
      </w:tr>
      <w:tr>
        <w:trPr>
          <w:trHeight w:val="270" w:hRule="atLeast"/>
        </w:trPr>
        <w:tc>
          <w:tcPr>
            <w:tcW w:w="2206" w:type="dxa"/>
          </w:tcPr>
          <w:p>
            <w:pPr>
              <w:pStyle w:val="TableParagraph"/>
              <w:spacing w:line="250" w:lineRule="exact" w:before="1"/>
              <w:ind w:left="107"/>
              <w:rPr>
                <w:sz w:val="21"/>
              </w:rPr>
            </w:pPr>
            <w:r>
              <w:rPr>
                <w:spacing w:val="-1"/>
                <w:sz w:val="21"/>
              </w:rPr>
              <w:t>研发项目补贴</w:t>
            </w:r>
            <w:r>
              <w:rPr>
                <w:sz w:val="21"/>
              </w:rPr>
              <w:t> </w:t>
            </w:r>
          </w:p>
        </w:tc>
        <w:tc>
          <w:tcPr>
            <w:tcW w:w="2205" w:type="dxa"/>
          </w:tcPr>
          <w:p>
            <w:pPr>
              <w:pStyle w:val="TableParagraph"/>
              <w:spacing w:line="250" w:lineRule="exact" w:before="1"/>
              <w:ind w:right="-15"/>
              <w:jc w:val="right"/>
              <w:rPr>
                <w:sz w:val="21"/>
              </w:rPr>
            </w:pPr>
            <w:r>
              <w:rPr>
                <w:sz w:val="21"/>
              </w:rPr>
              <w:t>58,266 </w:t>
            </w:r>
          </w:p>
        </w:tc>
        <w:tc>
          <w:tcPr>
            <w:tcW w:w="2205" w:type="dxa"/>
          </w:tcPr>
          <w:p>
            <w:pPr>
              <w:pStyle w:val="TableParagraph"/>
              <w:spacing w:line="250" w:lineRule="exact" w:before="1"/>
              <w:ind w:left="108"/>
              <w:rPr>
                <w:sz w:val="21"/>
              </w:rPr>
            </w:pPr>
            <w:r>
              <w:rPr>
                <w:spacing w:val="-1"/>
                <w:sz w:val="21"/>
              </w:rPr>
              <w:t>递延收益</w:t>
            </w:r>
            <w:r>
              <w:rPr>
                <w:sz w:val="21"/>
              </w:rPr>
              <w:t> </w:t>
            </w:r>
          </w:p>
        </w:tc>
        <w:tc>
          <w:tcPr>
            <w:tcW w:w="2205" w:type="dxa"/>
          </w:tcPr>
          <w:p>
            <w:pPr>
              <w:pStyle w:val="TableParagraph"/>
              <w:spacing w:line="250" w:lineRule="exact" w:before="1"/>
              <w:ind w:right="-15"/>
              <w:jc w:val="right"/>
              <w:rPr>
                <w:sz w:val="21"/>
              </w:rPr>
            </w:pPr>
            <w:r>
              <w:rPr>
                <w:sz w:val="21"/>
              </w:rPr>
              <w:t>26,203 </w:t>
            </w:r>
          </w:p>
        </w:tc>
      </w:tr>
      <w:tr>
        <w:trPr>
          <w:trHeight w:val="273" w:hRule="atLeast"/>
        </w:trPr>
        <w:tc>
          <w:tcPr>
            <w:tcW w:w="2206" w:type="dxa"/>
          </w:tcPr>
          <w:p>
            <w:pPr>
              <w:pStyle w:val="TableParagraph"/>
              <w:spacing w:line="252" w:lineRule="exact" w:before="1"/>
              <w:ind w:left="107"/>
              <w:rPr>
                <w:sz w:val="21"/>
              </w:rPr>
            </w:pPr>
            <w:r>
              <w:rPr>
                <w:spacing w:val="-1"/>
                <w:sz w:val="21"/>
              </w:rPr>
              <w:t>出口增量补贴</w:t>
            </w:r>
            <w:r>
              <w:rPr>
                <w:sz w:val="21"/>
              </w:rPr>
              <w:t> </w:t>
            </w:r>
          </w:p>
        </w:tc>
        <w:tc>
          <w:tcPr>
            <w:tcW w:w="2205" w:type="dxa"/>
          </w:tcPr>
          <w:p>
            <w:pPr>
              <w:pStyle w:val="TableParagraph"/>
              <w:spacing w:line="252" w:lineRule="exact" w:before="1"/>
              <w:ind w:right="-15"/>
              <w:jc w:val="right"/>
              <w:rPr>
                <w:sz w:val="21"/>
              </w:rPr>
            </w:pPr>
            <w:r>
              <w:rPr>
                <w:sz w:val="21"/>
              </w:rPr>
              <w:t>13,673 </w:t>
            </w:r>
          </w:p>
        </w:tc>
        <w:tc>
          <w:tcPr>
            <w:tcW w:w="2205" w:type="dxa"/>
          </w:tcPr>
          <w:p>
            <w:pPr>
              <w:pStyle w:val="TableParagraph"/>
              <w:spacing w:line="252" w:lineRule="exact" w:before="1"/>
              <w:ind w:left="108"/>
              <w:rPr>
                <w:sz w:val="21"/>
              </w:rPr>
            </w:pPr>
            <w:r>
              <w:rPr>
                <w:spacing w:val="-1"/>
                <w:sz w:val="21"/>
              </w:rPr>
              <w:t>其他收益</w:t>
            </w:r>
            <w:r>
              <w:rPr>
                <w:sz w:val="21"/>
              </w:rPr>
              <w:t> </w:t>
            </w:r>
          </w:p>
        </w:tc>
        <w:tc>
          <w:tcPr>
            <w:tcW w:w="2205" w:type="dxa"/>
          </w:tcPr>
          <w:p>
            <w:pPr>
              <w:pStyle w:val="TableParagraph"/>
              <w:spacing w:line="252" w:lineRule="exact" w:before="1"/>
              <w:ind w:right="-15"/>
              <w:jc w:val="right"/>
              <w:rPr>
                <w:sz w:val="21"/>
              </w:rPr>
            </w:pPr>
            <w:r>
              <w:rPr>
                <w:sz w:val="21"/>
              </w:rPr>
              <w:t>13,673 </w:t>
            </w:r>
          </w:p>
        </w:tc>
      </w:tr>
      <w:tr>
        <w:trPr>
          <w:trHeight w:val="273" w:hRule="atLeast"/>
        </w:trPr>
        <w:tc>
          <w:tcPr>
            <w:tcW w:w="2206" w:type="dxa"/>
          </w:tcPr>
          <w:p>
            <w:pPr>
              <w:pStyle w:val="TableParagraph"/>
              <w:spacing w:line="252" w:lineRule="exact" w:before="1"/>
              <w:ind w:left="107"/>
              <w:rPr>
                <w:sz w:val="21"/>
              </w:rPr>
            </w:pPr>
            <w:r>
              <w:rPr>
                <w:spacing w:val="-1"/>
                <w:sz w:val="21"/>
              </w:rPr>
              <w:t>技术改造补贴</w:t>
            </w:r>
            <w:r>
              <w:rPr>
                <w:sz w:val="21"/>
              </w:rPr>
              <w:t> </w:t>
            </w:r>
          </w:p>
        </w:tc>
        <w:tc>
          <w:tcPr>
            <w:tcW w:w="2205" w:type="dxa"/>
          </w:tcPr>
          <w:p>
            <w:pPr>
              <w:pStyle w:val="TableParagraph"/>
              <w:spacing w:line="252" w:lineRule="exact" w:before="1"/>
              <w:ind w:right="-15"/>
              <w:jc w:val="right"/>
              <w:rPr>
                <w:sz w:val="21"/>
              </w:rPr>
            </w:pPr>
            <w:r>
              <w:rPr>
                <w:sz w:val="21"/>
              </w:rPr>
              <w:t>59,174 </w:t>
            </w:r>
          </w:p>
        </w:tc>
        <w:tc>
          <w:tcPr>
            <w:tcW w:w="2205" w:type="dxa"/>
          </w:tcPr>
          <w:p>
            <w:pPr>
              <w:pStyle w:val="TableParagraph"/>
              <w:spacing w:line="252" w:lineRule="exact" w:before="1"/>
              <w:ind w:left="108"/>
              <w:rPr>
                <w:sz w:val="21"/>
              </w:rPr>
            </w:pPr>
            <w:r>
              <w:rPr>
                <w:spacing w:val="-1"/>
                <w:sz w:val="21"/>
              </w:rPr>
              <w:t>递延收益</w:t>
            </w:r>
            <w:r>
              <w:rPr>
                <w:sz w:val="21"/>
              </w:rPr>
              <w:t> </w:t>
            </w:r>
          </w:p>
        </w:tc>
        <w:tc>
          <w:tcPr>
            <w:tcW w:w="2205" w:type="dxa"/>
          </w:tcPr>
          <w:p>
            <w:pPr>
              <w:pStyle w:val="TableParagraph"/>
              <w:spacing w:line="252" w:lineRule="exact" w:before="1"/>
              <w:ind w:right="-15"/>
              <w:jc w:val="right"/>
              <w:rPr>
                <w:sz w:val="21"/>
              </w:rPr>
            </w:pPr>
            <w:r>
              <w:rPr>
                <w:sz w:val="21"/>
              </w:rPr>
              <w:t>58,962 </w:t>
            </w:r>
          </w:p>
        </w:tc>
      </w:tr>
      <w:tr>
        <w:trPr>
          <w:trHeight w:val="270" w:hRule="atLeast"/>
        </w:trPr>
        <w:tc>
          <w:tcPr>
            <w:tcW w:w="2206" w:type="dxa"/>
          </w:tcPr>
          <w:p>
            <w:pPr>
              <w:pStyle w:val="TableParagraph"/>
              <w:spacing w:line="250" w:lineRule="exact" w:before="1"/>
              <w:ind w:left="107"/>
              <w:rPr>
                <w:sz w:val="21"/>
              </w:rPr>
            </w:pPr>
            <w:r>
              <w:rPr>
                <w:spacing w:val="-1"/>
                <w:sz w:val="21"/>
              </w:rPr>
              <w:t>科技研发补贴</w:t>
            </w:r>
            <w:r>
              <w:rPr>
                <w:sz w:val="21"/>
              </w:rPr>
              <w:t> </w:t>
            </w:r>
          </w:p>
        </w:tc>
        <w:tc>
          <w:tcPr>
            <w:tcW w:w="2205" w:type="dxa"/>
          </w:tcPr>
          <w:p>
            <w:pPr>
              <w:pStyle w:val="TableParagraph"/>
              <w:spacing w:line="250" w:lineRule="exact" w:before="1"/>
              <w:ind w:right="-15"/>
              <w:jc w:val="right"/>
              <w:rPr>
                <w:sz w:val="21"/>
              </w:rPr>
            </w:pPr>
            <w:r>
              <w:rPr>
                <w:sz w:val="21"/>
              </w:rPr>
              <w:t>39,042 </w:t>
            </w:r>
          </w:p>
        </w:tc>
        <w:tc>
          <w:tcPr>
            <w:tcW w:w="2205" w:type="dxa"/>
          </w:tcPr>
          <w:p>
            <w:pPr>
              <w:pStyle w:val="TableParagraph"/>
              <w:spacing w:line="250" w:lineRule="exact" w:before="1"/>
              <w:ind w:left="108"/>
              <w:rPr>
                <w:sz w:val="21"/>
              </w:rPr>
            </w:pPr>
            <w:r>
              <w:rPr>
                <w:spacing w:val="-1"/>
                <w:sz w:val="21"/>
              </w:rPr>
              <w:t>递延收益</w:t>
            </w:r>
            <w:r>
              <w:rPr>
                <w:sz w:val="21"/>
              </w:rPr>
              <w:t> </w:t>
            </w:r>
          </w:p>
        </w:tc>
        <w:tc>
          <w:tcPr>
            <w:tcW w:w="2205" w:type="dxa"/>
          </w:tcPr>
          <w:p>
            <w:pPr>
              <w:pStyle w:val="TableParagraph"/>
              <w:spacing w:line="250" w:lineRule="exact" w:before="1"/>
              <w:ind w:right="-15"/>
              <w:jc w:val="right"/>
              <w:rPr>
                <w:sz w:val="21"/>
              </w:rPr>
            </w:pPr>
            <w:r>
              <w:rPr>
                <w:sz w:val="21"/>
              </w:rPr>
              <w:t>12,699 </w:t>
            </w:r>
          </w:p>
        </w:tc>
      </w:tr>
      <w:tr>
        <w:trPr>
          <w:trHeight w:val="273" w:hRule="atLeast"/>
        </w:trPr>
        <w:tc>
          <w:tcPr>
            <w:tcW w:w="2206" w:type="dxa"/>
          </w:tcPr>
          <w:p>
            <w:pPr>
              <w:pStyle w:val="TableParagraph"/>
              <w:spacing w:line="252" w:lineRule="exact" w:before="1"/>
              <w:ind w:left="107"/>
              <w:rPr>
                <w:sz w:val="21"/>
              </w:rPr>
            </w:pPr>
            <w:r>
              <w:rPr>
                <w:sz w:val="21"/>
              </w:rPr>
              <w:t>其他 </w:t>
            </w:r>
          </w:p>
        </w:tc>
        <w:tc>
          <w:tcPr>
            <w:tcW w:w="2205" w:type="dxa"/>
          </w:tcPr>
          <w:p>
            <w:pPr>
              <w:pStyle w:val="TableParagraph"/>
              <w:spacing w:line="252" w:lineRule="exact" w:before="1"/>
              <w:ind w:right="-15"/>
              <w:jc w:val="right"/>
              <w:rPr>
                <w:sz w:val="21"/>
              </w:rPr>
            </w:pPr>
            <w:r>
              <w:rPr>
                <w:sz w:val="21"/>
              </w:rPr>
              <w:t>20,016 </w:t>
            </w:r>
          </w:p>
        </w:tc>
        <w:tc>
          <w:tcPr>
            <w:tcW w:w="2205" w:type="dxa"/>
          </w:tcPr>
          <w:p>
            <w:pPr>
              <w:pStyle w:val="TableParagraph"/>
              <w:spacing w:line="252" w:lineRule="exact" w:before="1"/>
              <w:ind w:left="108"/>
              <w:rPr>
                <w:sz w:val="21"/>
              </w:rPr>
            </w:pPr>
            <w:r>
              <w:rPr>
                <w:spacing w:val="-1"/>
                <w:sz w:val="21"/>
              </w:rPr>
              <w:t>其他收益</w:t>
            </w:r>
            <w:r>
              <w:rPr>
                <w:sz w:val="21"/>
              </w:rPr>
              <w:t> </w:t>
            </w:r>
          </w:p>
        </w:tc>
        <w:tc>
          <w:tcPr>
            <w:tcW w:w="2205" w:type="dxa"/>
          </w:tcPr>
          <w:p>
            <w:pPr>
              <w:pStyle w:val="TableParagraph"/>
              <w:spacing w:line="252" w:lineRule="exact" w:before="1"/>
              <w:ind w:right="-15"/>
              <w:jc w:val="right"/>
              <w:rPr>
                <w:sz w:val="21"/>
              </w:rPr>
            </w:pPr>
            <w:r>
              <w:rPr>
                <w:sz w:val="21"/>
              </w:rPr>
              <w:t>20,016 </w:t>
            </w:r>
          </w:p>
        </w:tc>
      </w:tr>
      <w:tr>
        <w:trPr>
          <w:trHeight w:val="273" w:hRule="atLeast"/>
        </w:trPr>
        <w:tc>
          <w:tcPr>
            <w:tcW w:w="2206" w:type="dxa"/>
          </w:tcPr>
          <w:p>
            <w:pPr>
              <w:pStyle w:val="TableParagraph"/>
              <w:spacing w:line="252" w:lineRule="exact" w:before="1"/>
              <w:ind w:left="107"/>
              <w:rPr>
                <w:sz w:val="21"/>
              </w:rPr>
            </w:pPr>
            <w:r>
              <w:rPr>
                <w:sz w:val="21"/>
              </w:rPr>
              <w:t>合计 </w:t>
            </w:r>
          </w:p>
        </w:tc>
        <w:tc>
          <w:tcPr>
            <w:tcW w:w="2205" w:type="dxa"/>
          </w:tcPr>
          <w:p>
            <w:pPr>
              <w:pStyle w:val="TableParagraph"/>
              <w:spacing w:line="252" w:lineRule="exact" w:before="1"/>
              <w:ind w:right="-15"/>
              <w:jc w:val="right"/>
              <w:rPr>
                <w:sz w:val="21"/>
              </w:rPr>
            </w:pPr>
            <w:r>
              <w:rPr>
                <w:sz w:val="21"/>
              </w:rPr>
              <w:t>2,096,431 </w:t>
            </w:r>
          </w:p>
        </w:tc>
        <w:tc>
          <w:tcPr>
            <w:tcW w:w="2205" w:type="dxa"/>
          </w:tcPr>
          <w:p>
            <w:pPr>
              <w:pStyle w:val="TableParagraph"/>
              <w:spacing w:line="252" w:lineRule="exact" w:before="1"/>
              <w:ind w:left="108"/>
              <w:rPr>
                <w:sz w:val="21"/>
              </w:rPr>
            </w:pPr>
            <w:r>
              <w:rPr>
                <w:w w:val="100"/>
                <w:sz w:val="21"/>
              </w:rPr>
              <w:t> </w:t>
            </w:r>
          </w:p>
        </w:tc>
        <w:tc>
          <w:tcPr>
            <w:tcW w:w="2205" w:type="dxa"/>
          </w:tcPr>
          <w:p>
            <w:pPr>
              <w:pStyle w:val="TableParagraph"/>
              <w:spacing w:line="252" w:lineRule="exact" w:before="1"/>
              <w:ind w:right="-15"/>
              <w:jc w:val="right"/>
              <w:rPr>
                <w:sz w:val="21"/>
              </w:rPr>
            </w:pPr>
            <w:r>
              <w:rPr>
                <w:sz w:val="21"/>
              </w:rPr>
              <w:t>1,876,971 </w:t>
            </w:r>
          </w:p>
        </w:tc>
      </w:tr>
    </w:tbl>
    <w:p>
      <w:pPr>
        <w:pStyle w:val="BodyText"/>
        <w:spacing w:before="1"/>
      </w:pPr>
      <w:r>
        <w:rPr>
          <w:w w:val="100"/>
        </w:rPr>
        <w:t> </w:t>
      </w:r>
    </w:p>
    <w:p>
      <w:pPr>
        <w:pStyle w:val="ListParagraph"/>
        <w:numPr>
          <w:ilvl w:val="0"/>
          <w:numId w:val="81"/>
        </w:numPr>
        <w:tabs>
          <w:tab w:pos="746" w:val="left" w:leader="none"/>
        </w:tabs>
        <w:spacing w:line="240" w:lineRule="auto" w:before="62" w:after="0"/>
        <w:ind w:left="745" w:right="0" w:hanging="428"/>
        <w:jc w:val="left"/>
        <w:rPr>
          <w:sz w:val="21"/>
        </w:rPr>
      </w:pPr>
      <w:r>
        <w:rPr>
          <w:sz w:val="21"/>
        </w:rPr>
        <w:t>政府补助退回情况 </w:t>
      </w:r>
    </w:p>
    <w:p>
      <w:pPr>
        <w:pStyle w:val="BodyText"/>
        <w:spacing w:line="242" w:lineRule="auto" w:before="65"/>
        <w:ind w:right="8320"/>
      </w:pPr>
      <w:r>
        <w:rPr/>
        <w:t>□适用 √不适用其他说明： </w:t>
      </w:r>
    </w:p>
    <w:p>
      <w:pPr>
        <w:pStyle w:val="BodyText"/>
        <w:spacing w:before="1"/>
      </w:pPr>
      <w:r>
        <w:rPr/>
        <w:t>无 </w:t>
      </w:r>
    </w:p>
    <w:p>
      <w:pPr>
        <w:pStyle w:val="BodyText"/>
        <w:spacing w:before="2"/>
      </w:pPr>
      <w:r>
        <w:rPr>
          <w:w w:val="100"/>
        </w:rPr>
        <w:t> </w:t>
      </w:r>
    </w:p>
    <w:p>
      <w:pPr>
        <w:pStyle w:val="BodyText"/>
        <w:spacing w:before="65"/>
      </w:pPr>
      <w:r>
        <w:rPr/>
        <w:t>85</w:t>
      </w:r>
      <w:r>
        <w:rPr>
          <w:spacing w:val="-6"/>
        </w:rPr>
        <w:t>、 其他</w:t>
      </w:r>
    </w:p>
    <w:p>
      <w:pPr>
        <w:pStyle w:val="BodyText"/>
        <w:spacing w:before="62"/>
      </w:pPr>
      <w:r>
        <w:rPr>
          <w:spacing w:val="-1"/>
        </w:rPr>
        <w:t>□适用 √不适用</w:t>
      </w:r>
      <w:r>
        <w:rPr>
          <w:spacing w:val="-3"/>
        </w:rPr>
        <w:t> </w:t>
      </w:r>
      <w:r>
        <w:rPr/>
        <w:t> </w:t>
      </w:r>
    </w:p>
    <w:p>
      <w:pPr>
        <w:pStyle w:val="BodyText"/>
        <w:spacing w:before="5"/>
      </w:pPr>
      <w:r>
        <w:rPr>
          <w:w w:val="100"/>
        </w:rPr>
        <w:t> </w:t>
      </w:r>
    </w:p>
    <w:p>
      <w:pPr>
        <w:pStyle w:val="BodyText"/>
        <w:spacing w:before="62"/>
      </w:pPr>
      <w:r>
        <w:rPr>
          <w:spacing w:val="-13"/>
        </w:rPr>
        <w:t>八、 合并范围的变更</w:t>
      </w:r>
    </w:p>
    <w:p>
      <w:pPr>
        <w:pStyle w:val="BodyText"/>
        <w:spacing w:before="62"/>
      </w:pPr>
      <w:r>
        <w:rPr/>
        <w:t>1、 非同一控制下企业合并 </w:t>
      </w:r>
    </w:p>
    <w:p>
      <w:pPr>
        <w:pStyle w:val="BodyText"/>
        <w:spacing w:before="64"/>
      </w:pPr>
      <w:r>
        <w:rPr>
          <w:spacing w:val="-1"/>
        </w:rPr>
        <w:t>√适用 □不适用</w:t>
      </w:r>
      <w:r>
        <w:rPr>
          <w:spacing w:val="-3"/>
        </w:rPr>
        <w:t> </w:t>
      </w:r>
      <w:r>
        <w:rPr/>
        <w:t> </w:t>
      </w:r>
    </w:p>
    <w:p>
      <w:pPr>
        <w:pStyle w:val="ListParagraph"/>
        <w:numPr>
          <w:ilvl w:val="0"/>
          <w:numId w:val="82"/>
        </w:numPr>
        <w:tabs>
          <w:tab w:pos="746" w:val="left" w:leader="none"/>
        </w:tabs>
        <w:spacing w:line="240" w:lineRule="auto" w:before="63" w:after="0"/>
        <w:ind w:left="745" w:right="0" w:hanging="428"/>
        <w:jc w:val="left"/>
        <w:rPr>
          <w:sz w:val="21"/>
        </w:rPr>
      </w:pPr>
      <w:r>
        <w:rPr>
          <w:sz w:val="21"/>
        </w:rPr>
        <w:t>本期发生的非同一控制下企业合并 </w:t>
      </w:r>
    </w:p>
    <w:p>
      <w:pPr>
        <w:pStyle w:val="BodyText"/>
        <w:spacing w:before="65"/>
      </w:pPr>
      <w:r>
        <w:rPr>
          <w:spacing w:val="-1"/>
        </w:rPr>
        <w:t>√适用 □不适用</w:t>
      </w:r>
      <w:r>
        <w:rPr>
          <w:spacing w:val="-3"/>
        </w:rPr>
        <w:t> </w:t>
      </w:r>
      <w:r>
        <w:rPr/>
        <w:t> </w:t>
      </w:r>
    </w:p>
    <w:p>
      <w:pPr>
        <w:pStyle w:val="BodyText"/>
        <w:spacing w:before="2" w:after="3"/>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0"/>
        <w:gridCol w:w="833"/>
        <w:gridCol w:w="975"/>
        <w:gridCol w:w="919"/>
        <w:gridCol w:w="1047"/>
        <w:gridCol w:w="795"/>
        <w:gridCol w:w="1309"/>
        <w:gridCol w:w="976"/>
        <w:gridCol w:w="1184"/>
      </w:tblGrid>
      <w:tr>
        <w:trPr>
          <w:trHeight w:val="1362" w:hRule="atLeast"/>
        </w:trPr>
        <w:tc>
          <w:tcPr>
            <w:tcW w:w="790" w:type="dxa"/>
          </w:tcPr>
          <w:p>
            <w:pPr>
              <w:pStyle w:val="TableParagraph"/>
              <w:spacing w:before="3"/>
              <w:rPr>
                <w:sz w:val="21"/>
              </w:rPr>
            </w:pPr>
          </w:p>
          <w:p>
            <w:pPr>
              <w:pStyle w:val="TableParagraph"/>
              <w:spacing w:line="242" w:lineRule="auto"/>
              <w:ind w:left="184" w:right="67"/>
              <w:jc w:val="both"/>
              <w:rPr>
                <w:sz w:val="21"/>
              </w:rPr>
            </w:pPr>
            <w:r>
              <w:rPr>
                <w:sz w:val="21"/>
              </w:rPr>
              <w:t>被购买方名称 </w:t>
            </w:r>
          </w:p>
        </w:tc>
        <w:tc>
          <w:tcPr>
            <w:tcW w:w="833" w:type="dxa"/>
          </w:tcPr>
          <w:p>
            <w:pPr>
              <w:pStyle w:val="TableParagraph"/>
              <w:spacing w:before="3"/>
              <w:rPr>
                <w:sz w:val="21"/>
              </w:rPr>
            </w:pPr>
          </w:p>
          <w:p>
            <w:pPr>
              <w:pStyle w:val="TableParagraph"/>
              <w:spacing w:line="242" w:lineRule="auto"/>
              <w:ind w:left="205" w:right="89"/>
              <w:jc w:val="both"/>
              <w:rPr>
                <w:sz w:val="21"/>
              </w:rPr>
            </w:pPr>
            <w:r>
              <w:rPr>
                <w:sz w:val="21"/>
              </w:rPr>
              <w:t>股权取得时点 </w:t>
            </w:r>
          </w:p>
        </w:tc>
        <w:tc>
          <w:tcPr>
            <w:tcW w:w="975" w:type="dxa"/>
          </w:tcPr>
          <w:p>
            <w:pPr>
              <w:pStyle w:val="TableParagraph"/>
              <w:rPr>
                <w:sz w:val="20"/>
              </w:rPr>
            </w:pPr>
          </w:p>
          <w:p>
            <w:pPr>
              <w:pStyle w:val="TableParagraph"/>
              <w:spacing w:line="244" w:lineRule="auto" w:before="152"/>
              <w:ind w:left="169" w:right="56"/>
              <w:rPr>
                <w:sz w:val="21"/>
              </w:rPr>
            </w:pPr>
            <w:r>
              <w:rPr>
                <w:sz w:val="21"/>
              </w:rPr>
              <w:t>股权取得成本 </w:t>
            </w:r>
          </w:p>
        </w:tc>
        <w:tc>
          <w:tcPr>
            <w:tcW w:w="919" w:type="dxa"/>
          </w:tcPr>
          <w:p>
            <w:pPr>
              <w:pStyle w:val="TableParagraph"/>
              <w:spacing w:before="3"/>
              <w:rPr>
                <w:sz w:val="21"/>
              </w:rPr>
            </w:pPr>
          </w:p>
          <w:p>
            <w:pPr>
              <w:pStyle w:val="TableParagraph"/>
              <w:spacing w:line="244" w:lineRule="auto"/>
              <w:ind w:left="143" w:right="27"/>
              <w:rPr>
                <w:sz w:val="21"/>
              </w:rPr>
            </w:pPr>
            <w:r>
              <w:rPr>
                <w:sz w:val="21"/>
              </w:rPr>
              <w:t>股权取得比例 </w:t>
            </w:r>
          </w:p>
          <w:p>
            <w:pPr>
              <w:pStyle w:val="TableParagraph"/>
              <w:spacing w:line="265" w:lineRule="exact"/>
              <w:ind w:left="195"/>
              <w:rPr>
                <w:sz w:val="21"/>
              </w:rPr>
            </w:pPr>
            <w:r>
              <w:rPr>
                <w:sz w:val="21"/>
              </w:rPr>
              <w:t>（%） </w:t>
            </w:r>
          </w:p>
        </w:tc>
        <w:tc>
          <w:tcPr>
            <w:tcW w:w="1047" w:type="dxa"/>
          </w:tcPr>
          <w:p>
            <w:pPr>
              <w:pStyle w:val="TableParagraph"/>
              <w:rPr>
                <w:sz w:val="20"/>
              </w:rPr>
            </w:pPr>
          </w:p>
          <w:p>
            <w:pPr>
              <w:pStyle w:val="TableParagraph"/>
              <w:spacing w:line="244" w:lineRule="auto" w:before="152"/>
              <w:ind w:left="205" w:right="92"/>
              <w:rPr>
                <w:sz w:val="21"/>
              </w:rPr>
            </w:pPr>
            <w:r>
              <w:rPr>
                <w:sz w:val="21"/>
              </w:rPr>
              <w:t>股权取得方式 </w:t>
            </w:r>
          </w:p>
        </w:tc>
        <w:tc>
          <w:tcPr>
            <w:tcW w:w="795" w:type="dxa"/>
          </w:tcPr>
          <w:p>
            <w:pPr>
              <w:pStyle w:val="TableParagraph"/>
              <w:rPr>
                <w:sz w:val="20"/>
              </w:rPr>
            </w:pPr>
          </w:p>
          <w:p>
            <w:pPr>
              <w:pStyle w:val="TableParagraph"/>
              <w:spacing w:line="244" w:lineRule="auto" w:before="152"/>
              <w:ind w:left="289" w:right="174" w:hanging="104"/>
              <w:rPr>
                <w:sz w:val="21"/>
              </w:rPr>
            </w:pPr>
            <w:r>
              <w:rPr>
                <w:spacing w:val="-1"/>
                <w:sz w:val="21"/>
              </w:rPr>
              <w:t>购买</w:t>
            </w:r>
            <w:r>
              <w:rPr>
                <w:sz w:val="21"/>
              </w:rPr>
              <w:t>日 </w:t>
            </w:r>
          </w:p>
        </w:tc>
        <w:tc>
          <w:tcPr>
            <w:tcW w:w="1309" w:type="dxa"/>
          </w:tcPr>
          <w:p>
            <w:pPr>
              <w:pStyle w:val="TableParagraph"/>
              <w:rPr>
                <w:sz w:val="20"/>
              </w:rPr>
            </w:pPr>
          </w:p>
          <w:p>
            <w:pPr>
              <w:pStyle w:val="TableParagraph"/>
              <w:spacing w:line="244" w:lineRule="auto" w:before="152"/>
              <w:ind w:left="336" w:right="117" w:hanging="212"/>
              <w:rPr>
                <w:sz w:val="21"/>
              </w:rPr>
            </w:pPr>
            <w:r>
              <w:rPr>
                <w:sz w:val="21"/>
              </w:rPr>
              <w:t>购买日的确定依据 </w:t>
            </w:r>
          </w:p>
        </w:tc>
        <w:tc>
          <w:tcPr>
            <w:tcW w:w="976" w:type="dxa"/>
          </w:tcPr>
          <w:p>
            <w:pPr>
              <w:pStyle w:val="TableParagraph"/>
              <w:spacing w:line="242" w:lineRule="auto" w:before="1"/>
              <w:ind w:left="167" w:right="162"/>
              <w:jc w:val="both"/>
              <w:rPr>
                <w:sz w:val="21"/>
              </w:rPr>
            </w:pPr>
            <w:r>
              <w:rPr>
                <w:sz w:val="21"/>
              </w:rPr>
              <w:t>购买日至期末被购买方的收</w:t>
            </w:r>
          </w:p>
          <w:p>
            <w:pPr>
              <w:pStyle w:val="TableParagraph"/>
              <w:spacing w:line="252" w:lineRule="exact" w:before="2"/>
              <w:ind w:left="379"/>
              <w:rPr>
                <w:sz w:val="21"/>
              </w:rPr>
            </w:pPr>
            <w:r>
              <w:rPr>
                <w:sz w:val="21"/>
              </w:rPr>
              <w:t>入 </w:t>
            </w:r>
          </w:p>
        </w:tc>
        <w:tc>
          <w:tcPr>
            <w:tcW w:w="1184" w:type="dxa"/>
          </w:tcPr>
          <w:p>
            <w:pPr>
              <w:pStyle w:val="TableParagraph"/>
              <w:spacing w:line="242" w:lineRule="auto" w:before="137"/>
              <w:ind w:left="166" w:right="162"/>
              <w:jc w:val="center"/>
              <w:rPr>
                <w:sz w:val="21"/>
              </w:rPr>
            </w:pPr>
            <w:r>
              <w:rPr>
                <w:spacing w:val="-1"/>
                <w:sz w:val="21"/>
              </w:rPr>
              <w:t>购买日至期末被购买方的净</w:t>
            </w:r>
            <w:r>
              <w:rPr>
                <w:sz w:val="21"/>
              </w:rPr>
              <w:t>利润 </w:t>
            </w:r>
          </w:p>
        </w:tc>
      </w:tr>
    </w:tbl>
    <w:p>
      <w:pPr>
        <w:spacing w:after="0" w:line="242" w:lineRule="auto"/>
        <w:jc w:val="center"/>
        <w:rPr>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0"/>
        <w:gridCol w:w="833"/>
        <w:gridCol w:w="975"/>
        <w:gridCol w:w="919"/>
        <w:gridCol w:w="1047"/>
        <w:gridCol w:w="795"/>
        <w:gridCol w:w="1309"/>
        <w:gridCol w:w="976"/>
        <w:gridCol w:w="1184"/>
      </w:tblGrid>
      <w:tr>
        <w:trPr>
          <w:trHeight w:val="3268" w:hRule="atLeast"/>
        </w:trPr>
        <w:tc>
          <w:tcPr>
            <w:tcW w:w="790" w:type="dxa"/>
          </w:tcPr>
          <w:p>
            <w:pPr>
              <w:pStyle w:val="TableParagraph"/>
              <w:spacing w:line="242" w:lineRule="auto" w:before="3"/>
              <w:ind w:left="107" w:right="144"/>
              <w:jc w:val="both"/>
              <w:rPr>
                <w:sz w:val="21"/>
              </w:rPr>
            </w:pPr>
            <w:r>
              <w:rPr>
                <w:sz w:val="21"/>
              </w:rPr>
              <w:t>深圳恒驱电机有限公司 </w:t>
            </w:r>
          </w:p>
        </w:tc>
        <w:tc>
          <w:tcPr>
            <w:tcW w:w="833" w:type="dxa"/>
          </w:tcPr>
          <w:p>
            <w:pPr>
              <w:pStyle w:val="TableParagraph"/>
              <w:spacing w:before="3"/>
              <w:ind w:left="107"/>
              <w:rPr>
                <w:sz w:val="21"/>
              </w:rPr>
            </w:pPr>
            <w:r>
              <w:rPr>
                <w:sz w:val="21"/>
              </w:rPr>
              <w:t>2022</w:t>
            </w:r>
          </w:p>
          <w:p>
            <w:pPr>
              <w:pStyle w:val="TableParagraph"/>
              <w:spacing w:before="3"/>
              <w:ind w:left="107"/>
              <w:rPr>
                <w:sz w:val="21"/>
              </w:rPr>
            </w:pPr>
            <w:r>
              <w:rPr>
                <w:spacing w:val="-26"/>
                <w:sz w:val="21"/>
              </w:rPr>
              <w:t>年 </w:t>
            </w:r>
            <w:r>
              <w:rPr>
                <w:sz w:val="21"/>
              </w:rPr>
              <w:t>1</w:t>
            </w:r>
          </w:p>
          <w:p>
            <w:pPr>
              <w:pStyle w:val="TableParagraph"/>
              <w:spacing w:line="242" w:lineRule="auto" w:before="4"/>
              <w:ind w:left="107" w:right="238"/>
              <w:rPr>
                <w:sz w:val="21"/>
              </w:rPr>
            </w:pPr>
            <w:r>
              <w:rPr>
                <w:spacing w:val="-29"/>
                <w:sz w:val="21"/>
              </w:rPr>
              <w:t>月 </w:t>
            </w:r>
            <w:r>
              <w:rPr>
                <w:spacing w:val="-5"/>
                <w:sz w:val="21"/>
              </w:rPr>
              <w:t>31</w:t>
            </w:r>
            <w:r>
              <w:rPr>
                <w:spacing w:val="-102"/>
                <w:sz w:val="21"/>
              </w:rPr>
              <w:t> </w:t>
            </w:r>
            <w:r>
              <w:rPr>
                <w:sz w:val="21"/>
              </w:rPr>
              <w:t>日 </w:t>
            </w:r>
          </w:p>
        </w:tc>
        <w:tc>
          <w:tcPr>
            <w:tcW w:w="975" w:type="dxa"/>
          </w:tcPr>
          <w:p>
            <w:pPr>
              <w:pStyle w:val="TableParagraph"/>
              <w:spacing w:line="242" w:lineRule="auto" w:before="3"/>
              <w:ind w:left="131" w:right="95" w:firstLine="103"/>
              <w:rPr>
                <w:sz w:val="21"/>
              </w:rPr>
            </w:pPr>
            <w:r>
              <w:rPr>
                <w:spacing w:val="-1"/>
                <w:sz w:val="21"/>
              </w:rPr>
              <w:t>人民币</w:t>
            </w:r>
            <w:r>
              <w:rPr>
                <w:sz w:val="21"/>
              </w:rPr>
              <w:t>378,000</w:t>
            </w:r>
          </w:p>
          <w:p>
            <w:pPr>
              <w:pStyle w:val="TableParagraph"/>
              <w:spacing w:before="2"/>
              <w:ind w:left="446" w:right="-15"/>
              <w:rPr>
                <w:sz w:val="21"/>
              </w:rPr>
            </w:pPr>
            <w:r>
              <w:rPr>
                <w:spacing w:val="-1"/>
                <w:sz w:val="21"/>
              </w:rPr>
              <w:t>千元</w:t>
            </w:r>
            <w:r>
              <w:rPr>
                <w:sz w:val="21"/>
              </w:rPr>
              <w:t> </w:t>
            </w:r>
          </w:p>
        </w:tc>
        <w:tc>
          <w:tcPr>
            <w:tcW w:w="919" w:type="dxa"/>
          </w:tcPr>
          <w:p>
            <w:pPr>
              <w:pStyle w:val="TableParagraph"/>
              <w:spacing w:before="3"/>
              <w:ind w:right="-15"/>
              <w:jc w:val="right"/>
              <w:rPr>
                <w:sz w:val="21"/>
              </w:rPr>
            </w:pPr>
            <w:r>
              <w:rPr>
                <w:sz w:val="21"/>
              </w:rPr>
              <w:t>63% </w:t>
            </w:r>
          </w:p>
        </w:tc>
        <w:tc>
          <w:tcPr>
            <w:tcW w:w="1047" w:type="dxa"/>
          </w:tcPr>
          <w:p>
            <w:pPr>
              <w:pStyle w:val="TableParagraph"/>
              <w:spacing w:line="242" w:lineRule="auto" w:before="3"/>
              <w:ind w:left="104" w:right="296"/>
              <w:jc w:val="both"/>
              <w:rPr>
                <w:sz w:val="21"/>
              </w:rPr>
            </w:pPr>
            <w:r>
              <w:rPr>
                <w:sz w:val="21"/>
              </w:rPr>
              <w:t>收购原股东持有的目标公司股权 </w:t>
            </w:r>
          </w:p>
        </w:tc>
        <w:tc>
          <w:tcPr>
            <w:tcW w:w="795" w:type="dxa"/>
          </w:tcPr>
          <w:p>
            <w:pPr>
              <w:pStyle w:val="TableParagraph"/>
              <w:spacing w:before="3"/>
              <w:ind w:left="107"/>
              <w:rPr>
                <w:sz w:val="21"/>
              </w:rPr>
            </w:pPr>
            <w:r>
              <w:rPr>
                <w:sz w:val="21"/>
              </w:rPr>
              <w:t>2022</w:t>
            </w:r>
          </w:p>
          <w:p>
            <w:pPr>
              <w:pStyle w:val="TableParagraph"/>
              <w:spacing w:before="3"/>
              <w:ind w:left="107"/>
              <w:rPr>
                <w:sz w:val="21"/>
              </w:rPr>
            </w:pPr>
            <w:r>
              <w:rPr>
                <w:spacing w:val="-26"/>
                <w:sz w:val="21"/>
              </w:rPr>
              <w:t>年 </w:t>
            </w:r>
            <w:r>
              <w:rPr>
                <w:sz w:val="21"/>
              </w:rPr>
              <w:t>1</w:t>
            </w:r>
          </w:p>
          <w:p>
            <w:pPr>
              <w:pStyle w:val="TableParagraph"/>
              <w:spacing w:line="242" w:lineRule="auto" w:before="4"/>
              <w:ind w:left="107" w:right="200"/>
              <w:rPr>
                <w:sz w:val="21"/>
              </w:rPr>
            </w:pPr>
            <w:r>
              <w:rPr>
                <w:spacing w:val="-29"/>
                <w:sz w:val="21"/>
              </w:rPr>
              <w:t>月 </w:t>
            </w:r>
            <w:r>
              <w:rPr>
                <w:spacing w:val="-5"/>
                <w:sz w:val="21"/>
              </w:rPr>
              <w:t>31</w:t>
            </w:r>
            <w:r>
              <w:rPr>
                <w:spacing w:val="-102"/>
                <w:sz w:val="21"/>
              </w:rPr>
              <w:t> </w:t>
            </w:r>
            <w:r>
              <w:rPr>
                <w:sz w:val="21"/>
              </w:rPr>
              <w:t>日 </w:t>
            </w:r>
          </w:p>
        </w:tc>
        <w:tc>
          <w:tcPr>
            <w:tcW w:w="1309" w:type="dxa"/>
          </w:tcPr>
          <w:p>
            <w:pPr>
              <w:pStyle w:val="TableParagraph"/>
              <w:spacing w:line="242" w:lineRule="auto" w:before="3"/>
              <w:ind w:left="106" w:right="136"/>
              <w:rPr>
                <w:sz w:val="21"/>
              </w:rPr>
            </w:pPr>
            <w:r>
              <w:rPr>
                <w:sz w:val="21"/>
              </w:rPr>
              <w:t>控制了被购买方的财务和经营政</w:t>
            </w:r>
            <w:r>
              <w:rPr>
                <w:spacing w:val="1"/>
                <w:sz w:val="21"/>
              </w:rPr>
              <w:t> </w:t>
            </w:r>
            <w:r>
              <w:rPr>
                <w:sz w:val="21"/>
              </w:rPr>
              <w:t>策，通过参与被投资方的相关活动而享有可变回报，并且有能力运用对被投资方</w:t>
            </w:r>
            <w:r>
              <w:rPr>
                <w:spacing w:val="-3"/>
                <w:sz w:val="21"/>
              </w:rPr>
              <w:t>的权力影响</w:t>
            </w:r>
          </w:p>
          <w:p>
            <w:pPr>
              <w:pStyle w:val="TableParagraph"/>
              <w:spacing w:line="250" w:lineRule="exact" w:before="6"/>
              <w:ind w:left="106"/>
              <w:rPr>
                <w:sz w:val="21"/>
              </w:rPr>
            </w:pPr>
            <w:r>
              <w:rPr>
                <w:sz w:val="21"/>
              </w:rPr>
              <w:t>其回报金额 </w:t>
            </w:r>
          </w:p>
        </w:tc>
        <w:tc>
          <w:tcPr>
            <w:tcW w:w="976" w:type="dxa"/>
          </w:tcPr>
          <w:p>
            <w:pPr>
              <w:pStyle w:val="TableParagraph"/>
              <w:spacing w:before="3"/>
              <w:ind w:right="-15"/>
              <w:jc w:val="right"/>
              <w:rPr>
                <w:sz w:val="21"/>
              </w:rPr>
            </w:pPr>
            <w:r>
              <w:rPr>
                <w:sz w:val="21"/>
              </w:rPr>
              <w:t>132,418 </w:t>
            </w:r>
          </w:p>
        </w:tc>
        <w:tc>
          <w:tcPr>
            <w:tcW w:w="1184" w:type="dxa"/>
          </w:tcPr>
          <w:p>
            <w:pPr>
              <w:pStyle w:val="TableParagraph"/>
              <w:spacing w:before="3"/>
              <w:ind w:right="-15"/>
              <w:jc w:val="right"/>
              <w:rPr>
                <w:sz w:val="21"/>
              </w:rPr>
            </w:pPr>
            <w:r>
              <w:rPr>
                <w:sz w:val="21"/>
              </w:rPr>
              <w:t>36,925 </w:t>
            </w:r>
          </w:p>
        </w:tc>
      </w:tr>
      <w:tr>
        <w:trPr>
          <w:trHeight w:val="294" w:hRule="atLeast"/>
        </w:trPr>
        <w:tc>
          <w:tcPr>
            <w:tcW w:w="790" w:type="dxa"/>
          </w:tcPr>
          <w:p>
            <w:pPr>
              <w:pStyle w:val="TableParagraph"/>
              <w:spacing w:before="1"/>
              <w:ind w:left="107"/>
              <w:rPr>
                <w:sz w:val="21"/>
              </w:rPr>
            </w:pPr>
            <w:r>
              <w:rPr>
                <w:w w:val="100"/>
                <w:sz w:val="21"/>
              </w:rPr>
              <w:t> </w:t>
            </w:r>
          </w:p>
        </w:tc>
        <w:tc>
          <w:tcPr>
            <w:tcW w:w="833" w:type="dxa"/>
          </w:tcPr>
          <w:p>
            <w:pPr>
              <w:pStyle w:val="TableParagraph"/>
              <w:spacing w:before="1"/>
              <w:ind w:left="107"/>
              <w:rPr>
                <w:sz w:val="21"/>
              </w:rPr>
            </w:pPr>
            <w:r>
              <w:rPr>
                <w:w w:val="100"/>
                <w:sz w:val="21"/>
              </w:rPr>
              <w:t> </w:t>
            </w:r>
          </w:p>
        </w:tc>
        <w:tc>
          <w:tcPr>
            <w:tcW w:w="975" w:type="dxa"/>
          </w:tcPr>
          <w:p>
            <w:pPr>
              <w:pStyle w:val="TableParagraph"/>
              <w:spacing w:before="1"/>
              <w:ind w:right="-15"/>
              <w:jc w:val="right"/>
              <w:rPr>
                <w:sz w:val="21"/>
              </w:rPr>
            </w:pPr>
            <w:r>
              <w:rPr>
                <w:w w:val="100"/>
                <w:sz w:val="21"/>
              </w:rPr>
              <w:t> </w:t>
            </w:r>
          </w:p>
        </w:tc>
        <w:tc>
          <w:tcPr>
            <w:tcW w:w="919" w:type="dxa"/>
          </w:tcPr>
          <w:p>
            <w:pPr>
              <w:pStyle w:val="TableParagraph"/>
              <w:spacing w:before="1"/>
              <w:ind w:right="-15"/>
              <w:jc w:val="right"/>
              <w:rPr>
                <w:sz w:val="21"/>
              </w:rPr>
            </w:pPr>
            <w:r>
              <w:rPr>
                <w:w w:val="100"/>
                <w:sz w:val="21"/>
              </w:rPr>
              <w:t> </w:t>
            </w:r>
          </w:p>
        </w:tc>
        <w:tc>
          <w:tcPr>
            <w:tcW w:w="1047" w:type="dxa"/>
          </w:tcPr>
          <w:p>
            <w:pPr>
              <w:pStyle w:val="TableParagraph"/>
              <w:spacing w:before="1"/>
              <w:ind w:left="104"/>
              <w:rPr>
                <w:sz w:val="21"/>
              </w:rPr>
            </w:pPr>
            <w:r>
              <w:rPr>
                <w:w w:val="100"/>
                <w:sz w:val="21"/>
              </w:rPr>
              <w:t> </w:t>
            </w:r>
          </w:p>
        </w:tc>
        <w:tc>
          <w:tcPr>
            <w:tcW w:w="795" w:type="dxa"/>
          </w:tcPr>
          <w:p>
            <w:pPr>
              <w:pStyle w:val="TableParagraph"/>
              <w:spacing w:before="1"/>
              <w:ind w:left="107"/>
              <w:rPr>
                <w:sz w:val="21"/>
              </w:rPr>
            </w:pPr>
            <w:r>
              <w:rPr>
                <w:w w:val="100"/>
                <w:sz w:val="21"/>
              </w:rPr>
              <w:t> </w:t>
            </w:r>
          </w:p>
        </w:tc>
        <w:tc>
          <w:tcPr>
            <w:tcW w:w="1309" w:type="dxa"/>
          </w:tcPr>
          <w:p>
            <w:pPr>
              <w:pStyle w:val="TableParagraph"/>
              <w:spacing w:before="1"/>
              <w:ind w:left="106"/>
              <w:rPr>
                <w:sz w:val="21"/>
              </w:rPr>
            </w:pPr>
            <w:r>
              <w:rPr>
                <w:w w:val="100"/>
                <w:sz w:val="21"/>
              </w:rPr>
              <w:t> </w:t>
            </w:r>
          </w:p>
        </w:tc>
        <w:tc>
          <w:tcPr>
            <w:tcW w:w="976" w:type="dxa"/>
          </w:tcPr>
          <w:p>
            <w:pPr>
              <w:pStyle w:val="TableParagraph"/>
              <w:spacing w:before="1"/>
              <w:ind w:right="-15"/>
              <w:jc w:val="right"/>
              <w:rPr>
                <w:sz w:val="21"/>
              </w:rPr>
            </w:pPr>
            <w:r>
              <w:rPr>
                <w:w w:val="100"/>
                <w:sz w:val="21"/>
              </w:rPr>
              <w:t> </w:t>
            </w:r>
          </w:p>
        </w:tc>
        <w:tc>
          <w:tcPr>
            <w:tcW w:w="1184" w:type="dxa"/>
          </w:tcPr>
          <w:p>
            <w:pPr>
              <w:pStyle w:val="TableParagraph"/>
              <w:spacing w:before="1"/>
              <w:ind w:right="-15"/>
              <w:jc w:val="right"/>
              <w:rPr>
                <w:sz w:val="21"/>
              </w:rPr>
            </w:pPr>
            <w:r>
              <w:rPr>
                <w:w w:val="100"/>
                <w:sz w:val="21"/>
              </w:rPr>
              <w:t> </w:t>
            </w:r>
          </w:p>
        </w:tc>
      </w:tr>
    </w:tbl>
    <w:p>
      <w:pPr>
        <w:pStyle w:val="BodyText"/>
        <w:spacing w:before="1"/>
      </w:pPr>
      <w:r>
        <w:rPr>
          <w:w w:val="100"/>
        </w:rPr>
        <w:t> </w:t>
      </w:r>
    </w:p>
    <w:p>
      <w:pPr>
        <w:pStyle w:val="BodyText"/>
        <w:spacing w:line="297" w:lineRule="auto" w:before="63"/>
        <w:ind w:right="8949"/>
      </w:pPr>
      <w:r>
        <w:rPr/>
        <w:t>其他说明：</w:t>
      </w:r>
      <w:r>
        <w:rPr>
          <w:spacing w:val="1"/>
        </w:rPr>
        <w:t> </w:t>
      </w:r>
      <w:r>
        <w:rPr/>
        <w:t>无 </w:t>
      </w:r>
    </w:p>
    <w:p>
      <w:pPr>
        <w:pStyle w:val="BodyText"/>
        <w:spacing w:line="207" w:lineRule="exact"/>
      </w:pPr>
      <w:r>
        <w:rPr>
          <w:w w:val="100"/>
        </w:rPr>
        <w:t> </w:t>
      </w:r>
    </w:p>
    <w:p>
      <w:pPr>
        <w:pStyle w:val="ListParagraph"/>
        <w:numPr>
          <w:ilvl w:val="0"/>
          <w:numId w:val="82"/>
        </w:numPr>
        <w:tabs>
          <w:tab w:pos="746" w:val="left" w:leader="none"/>
        </w:tabs>
        <w:spacing w:line="240" w:lineRule="auto" w:before="64" w:after="0"/>
        <w:ind w:left="745" w:right="0" w:hanging="428"/>
        <w:jc w:val="left"/>
        <w:rPr>
          <w:sz w:val="21"/>
        </w:rPr>
      </w:pPr>
      <w:r>
        <w:rPr>
          <w:sz w:val="21"/>
        </w:rPr>
        <w:t>合并成本及商誉 </w:t>
      </w:r>
    </w:p>
    <w:p>
      <w:pPr>
        <w:pStyle w:val="BodyText"/>
        <w:spacing w:before="62"/>
      </w:pPr>
      <w:r>
        <w:rPr>
          <w:spacing w:val="-1"/>
        </w:rPr>
        <w:t>√适用 □不适用</w:t>
      </w:r>
      <w:r>
        <w:rPr>
          <w:spacing w:val="-3"/>
        </w:rPr>
        <w:t> </w:t>
      </w:r>
      <w:r>
        <w:rPr/>
        <w:t> </w:t>
      </w:r>
    </w:p>
    <w:p>
      <w:pPr>
        <w:pStyle w:val="BodyText"/>
        <w:spacing w:before="5"/>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91"/>
        <w:gridCol w:w="4333"/>
      </w:tblGrid>
      <w:tr>
        <w:trPr>
          <w:trHeight w:val="273" w:hRule="atLeast"/>
        </w:trPr>
        <w:tc>
          <w:tcPr>
            <w:tcW w:w="4491" w:type="dxa"/>
            <w:tcBorders>
              <w:right w:val="single" w:sz="6" w:space="0" w:color="000000"/>
            </w:tcBorders>
          </w:tcPr>
          <w:p>
            <w:pPr>
              <w:pStyle w:val="TableParagraph"/>
              <w:spacing w:line="252" w:lineRule="exact" w:before="1"/>
              <w:ind w:left="107"/>
              <w:rPr>
                <w:sz w:val="21"/>
              </w:rPr>
            </w:pPr>
            <w:r>
              <w:rPr>
                <w:spacing w:val="-1"/>
                <w:sz w:val="21"/>
              </w:rPr>
              <w:t>合并成本</w:t>
            </w:r>
            <w:r>
              <w:rPr>
                <w:sz w:val="21"/>
              </w:rPr>
              <w:t> </w:t>
            </w:r>
          </w:p>
        </w:tc>
        <w:tc>
          <w:tcPr>
            <w:tcW w:w="4333" w:type="dxa"/>
            <w:tcBorders>
              <w:left w:val="single" w:sz="6" w:space="0" w:color="000000"/>
            </w:tcBorders>
          </w:tcPr>
          <w:p>
            <w:pPr>
              <w:pStyle w:val="TableParagraph"/>
              <w:spacing w:line="252" w:lineRule="exact" w:before="1"/>
              <w:ind w:left="103"/>
              <w:rPr>
                <w:sz w:val="21"/>
              </w:rPr>
            </w:pPr>
            <w:r>
              <w:rPr>
                <w:spacing w:val="-1"/>
                <w:sz w:val="21"/>
              </w:rPr>
              <w:t>深圳恒驱电机有限公司</w:t>
            </w:r>
            <w:r>
              <w:rPr>
                <w:sz w:val="21"/>
              </w:rPr>
              <w:t> </w:t>
            </w:r>
          </w:p>
        </w:tc>
      </w:tr>
      <w:tr>
        <w:trPr>
          <w:trHeight w:val="270" w:hRule="atLeast"/>
        </w:trPr>
        <w:tc>
          <w:tcPr>
            <w:tcW w:w="4491" w:type="dxa"/>
            <w:tcBorders>
              <w:right w:val="single" w:sz="6" w:space="0" w:color="000000"/>
            </w:tcBorders>
          </w:tcPr>
          <w:p>
            <w:pPr>
              <w:pStyle w:val="TableParagraph"/>
              <w:spacing w:line="250" w:lineRule="exact" w:before="1"/>
              <w:ind w:left="107"/>
              <w:rPr>
                <w:sz w:val="21"/>
              </w:rPr>
            </w:pPr>
            <w:r>
              <w:rPr>
                <w:sz w:val="21"/>
              </w:rPr>
              <w:t>--现金 </w:t>
            </w:r>
          </w:p>
        </w:tc>
        <w:tc>
          <w:tcPr>
            <w:tcW w:w="4333" w:type="dxa"/>
            <w:tcBorders>
              <w:left w:val="single" w:sz="6" w:space="0" w:color="000000"/>
            </w:tcBorders>
          </w:tcPr>
          <w:p>
            <w:pPr>
              <w:pStyle w:val="TableParagraph"/>
              <w:spacing w:line="250" w:lineRule="exact" w:before="1"/>
              <w:ind w:right="-15"/>
              <w:jc w:val="right"/>
              <w:rPr>
                <w:sz w:val="21"/>
              </w:rPr>
            </w:pPr>
            <w:r>
              <w:rPr>
                <w:sz w:val="21"/>
              </w:rPr>
              <w:t>378,000 </w:t>
            </w:r>
          </w:p>
        </w:tc>
      </w:tr>
      <w:tr>
        <w:trPr>
          <w:trHeight w:val="273" w:hRule="atLeast"/>
        </w:trPr>
        <w:tc>
          <w:tcPr>
            <w:tcW w:w="4491" w:type="dxa"/>
            <w:tcBorders>
              <w:right w:val="single" w:sz="6" w:space="0" w:color="000000"/>
            </w:tcBorders>
          </w:tcPr>
          <w:p>
            <w:pPr>
              <w:pStyle w:val="TableParagraph"/>
              <w:spacing w:line="250" w:lineRule="exact" w:before="3"/>
              <w:ind w:left="107"/>
              <w:rPr>
                <w:sz w:val="21"/>
              </w:rPr>
            </w:pPr>
            <w:r>
              <w:rPr>
                <w:sz w:val="21"/>
              </w:rPr>
              <w:t>--非现金资产的公允价值 </w:t>
            </w:r>
          </w:p>
        </w:tc>
        <w:tc>
          <w:tcPr>
            <w:tcW w:w="4333" w:type="dxa"/>
            <w:tcBorders>
              <w:left w:val="single" w:sz="6" w:space="0" w:color="000000"/>
            </w:tcBorders>
          </w:tcPr>
          <w:p>
            <w:pPr>
              <w:pStyle w:val="TableParagraph"/>
              <w:spacing w:line="250" w:lineRule="exact" w:before="3"/>
              <w:ind w:right="-15"/>
              <w:jc w:val="right"/>
              <w:rPr>
                <w:sz w:val="21"/>
              </w:rPr>
            </w:pPr>
            <w:r>
              <w:rPr>
                <w:w w:val="100"/>
                <w:sz w:val="21"/>
              </w:rPr>
              <w:t> </w:t>
            </w:r>
          </w:p>
        </w:tc>
      </w:tr>
      <w:tr>
        <w:trPr>
          <w:trHeight w:val="273" w:hRule="atLeast"/>
        </w:trPr>
        <w:tc>
          <w:tcPr>
            <w:tcW w:w="4491" w:type="dxa"/>
            <w:tcBorders>
              <w:right w:val="single" w:sz="6" w:space="0" w:color="000000"/>
            </w:tcBorders>
          </w:tcPr>
          <w:p>
            <w:pPr>
              <w:pStyle w:val="TableParagraph"/>
              <w:spacing w:line="252" w:lineRule="exact" w:before="1"/>
              <w:ind w:left="107"/>
              <w:rPr>
                <w:sz w:val="21"/>
              </w:rPr>
            </w:pPr>
            <w:r>
              <w:rPr>
                <w:sz w:val="21"/>
              </w:rPr>
              <w:t>--发行或承担的债务的公允价值 </w:t>
            </w:r>
          </w:p>
        </w:tc>
        <w:tc>
          <w:tcPr>
            <w:tcW w:w="4333" w:type="dxa"/>
            <w:tcBorders>
              <w:left w:val="single" w:sz="6" w:space="0" w:color="000000"/>
            </w:tcBorders>
          </w:tcPr>
          <w:p>
            <w:pPr>
              <w:pStyle w:val="TableParagraph"/>
              <w:spacing w:line="252" w:lineRule="exact" w:before="1"/>
              <w:ind w:right="-15"/>
              <w:jc w:val="right"/>
              <w:rPr>
                <w:sz w:val="21"/>
              </w:rPr>
            </w:pPr>
            <w:r>
              <w:rPr>
                <w:w w:val="100"/>
                <w:sz w:val="21"/>
              </w:rPr>
              <w:t> </w:t>
            </w:r>
          </w:p>
        </w:tc>
      </w:tr>
      <w:tr>
        <w:trPr>
          <w:trHeight w:val="270" w:hRule="atLeast"/>
        </w:trPr>
        <w:tc>
          <w:tcPr>
            <w:tcW w:w="4491" w:type="dxa"/>
            <w:tcBorders>
              <w:right w:val="single" w:sz="6" w:space="0" w:color="000000"/>
            </w:tcBorders>
          </w:tcPr>
          <w:p>
            <w:pPr>
              <w:pStyle w:val="TableParagraph"/>
              <w:spacing w:line="250" w:lineRule="exact" w:before="1"/>
              <w:ind w:left="107"/>
              <w:rPr>
                <w:sz w:val="21"/>
              </w:rPr>
            </w:pPr>
            <w:r>
              <w:rPr>
                <w:sz w:val="21"/>
              </w:rPr>
              <w:t>--发行的权益性证券的公允价值 </w:t>
            </w:r>
          </w:p>
        </w:tc>
        <w:tc>
          <w:tcPr>
            <w:tcW w:w="4333" w:type="dxa"/>
            <w:tcBorders>
              <w:left w:val="single" w:sz="6" w:space="0" w:color="000000"/>
            </w:tcBorders>
          </w:tcPr>
          <w:p>
            <w:pPr>
              <w:pStyle w:val="TableParagraph"/>
              <w:spacing w:line="250" w:lineRule="exact" w:before="1"/>
              <w:ind w:right="-15"/>
              <w:jc w:val="right"/>
              <w:rPr>
                <w:sz w:val="21"/>
              </w:rPr>
            </w:pPr>
            <w:r>
              <w:rPr>
                <w:w w:val="100"/>
                <w:sz w:val="21"/>
              </w:rPr>
              <w:t> </w:t>
            </w:r>
          </w:p>
        </w:tc>
      </w:tr>
      <w:tr>
        <w:trPr>
          <w:trHeight w:val="273" w:hRule="atLeast"/>
        </w:trPr>
        <w:tc>
          <w:tcPr>
            <w:tcW w:w="4491" w:type="dxa"/>
            <w:tcBorders>
              <w:right w:val="single" w:sz="6" w:space="0" w:color="000000"/>
            </w:tcBorders>
          </w:tcPr>
          <w:p>
            <w:pPr>
              <w:pStyle w:val="TableParagraph"/>
              <w:spacing w:line="253" w:lineRule="exact" w:before="1"/>
              <w:ind w:left="107"/>
              <w:rPr>
                <w:sz w:val="21"/>
              </w:rPr>
            </w:pPr>
            <w:r>
              <w:rPr>
                <w:sz w:val="21"/>
              </w:rPr>
              <w:t>--或有对价的公允价值 </w:t>
            </w:r>
          </w:p>
        </w:tc>
        <w:tc>
          <w:tcPr>
            <w:tcW w:w="4333" w:type="dxa"/>
            <w:tcBorders>
              <w:left w:val="single" w:sz="6" w:space="0" w:color="000000"/>
            </w:tcBorders>
          </w:tcPr>
          <w:p>
            <w:pPr>
              <w:pStyle w:val="TableParagraph"/>
              <w:spacing w:line="253" w:lineRule="exact" w:before="1"/>
              <w:ind w:right="-15"/>
              <w:jc w:val="right"/>
              <w:rPr>
                <w:sz w:val="21"/>
              </w:rPr>
            </w:pPr>
            <w:r>
              <w:rPr>
                <w:w w:val="100"/>
                <w:sz w:val="21"/>
              </w:rPr>
              <w:t> </w:t>
            </w:r>
          </w:p>
        </w:tc>
      </w:tr>
      <w:tr>
        <w:trPr>
          <w:trHeight w:val="273" w:hRule="atLeast"/>
        </w:trPr>
        <w:tc>
          <w:tcPr>
            <w:tcW w:w="4491" w:type="dxa"/>
            <w:tcBorders>
              <w:right w:val="single" w:sz="6" w:space="0" w:color="000000"/>
            </w:tcBorders>
          </w:tcPr>
          <w:p>
            <w:pPr>
              <w:pStyle w:val="TableParagraph"/>
              <w:spacing w:line="252" w:lineRule="exact" w:before="1"/>
              <w:ind w:left="107"/>
              <w:rPr>
                <w:sz w:val="21"/>
              </w:rPr>
            </w:pPr>
            <w:r>
              <w:rPr>
                <w:sz w:val="21"/>
              </w:rPr>
              <w:t>--购买日之前持有的股权于购买日的公允价值 </w:t>
            </w:r>
          </w:p>
        </w:tc>
        <w:tc>
          <w:tcPr>
            <w:tcW w:w="4333" w:type="dxa"/>
            <w:tcBorders>
              <w:left w:val="single" w:sz="6" w:space="0" w:color="000000"/>
            </w:tcBorders>
          </w:tcPr>
          <w:p>
            <w:pPr>
              <w:pStyle w:val="TableParagraph"/>
              <w:spacing w:line="252" w:lineRule="exact" w:before="1"/>
              <w:ind w:right="-15"/>
              <w:jc w:val="right"/>
              <w:rPr>
                <w:sz w:val="21"/>
              </w:rPr>
            </w:pPr>
            <w:r>
              <w:rPr>
                <w:w w:val="100"/>
                <w:sz w:val="21"/>
              </w:rPr>
              <w:t> </w:t>
            </w:r>
          </w:p>
        </w:tc>
      </w:tr>
      <w:tr>
        <w:trPr>
          <w:trHeight w:val="270" w:hRule="atLeast"/>
        </w:trPr>
        <w:tc>
          <w:tcPr>
            <w:tcW w:w="4491" w:type="dxa"/>
            <w:tcBorders>
              <w:right w:val="single" w:sz="6" w:space="0" w:color="000000"/>
            </w:tcBorders>
          </w:tcPr>
          <w:p>
            <w:pPr>
              <w:pStyle w:val="TableParagraph"/>
              <w:spacing w:line="250" w:lineRule="exact" w:before="1"/>
              <w:ind w:left="107"/>
              <w:rPr>
                <w:sz w:val="21"/>
              </w:rPr>
            </w:pPr>
            <w:r>
              <w:rPr>
                <w:sz w:val="21"/>
              </w:rPr>
              <w:t>--其他 </w:t>
            </w:r>
          </w:p>
        </w:tc>
        <w:tc>
          <w:tcPr>
            <w:tcW w:w="4333" w:type="dxa"/>
            <w:tcBorders>
              <w:left w:val="single" w:sz="6" w:space="0" w:color="000000"/>
            </w:tcBorders>
          </w:tcPr>
          <w:p>
            <w:pPr>
              <w:pStyle w:val="TableParagraph"/>
              <w:spacing w:line="250" w:lineRule="exact" w:before="1"/>
              <w:ind w:right="-15"/>
              <w:jc w:val="right"/>
              <w:rPr>
                <w:sz w:val="21"/>
              </w:rPr>
            </w:pPr>
            <w:r>
              <w:rPr>
                <w:w w:val="100"/>
                <w:sz w:val="21"/>
              </w:rPr>
              <w:t> </w:t>
            </w:r>
          </w:p>
        </w:tc>
      </w:tr>
      <w:tr>
        <w:trPr>
          <w:trHeight w:val="273" w:hRule="atLeast"/>
        </w:trPr>
        <w:tc>
          <w:tcPr>
            <w:tcW w:w="4491" w:type="dxa"/>
            <w:tcBorders>
              <w:right w:val="single" w:sz="6" w:space="0" w:color="000000"/>
            </w:tcBorders>
          </w:tcPr>
          <w:p>
            <w:pPr>
              <w:pStyle w:val="TableParagraph"/>
              <w:spacing w:line="252" w:lineRule="exact" w:before="1"/>
              <w:ind w:left="107"/>
              <w:rPr>
                <w:sz w:val="21"/>
              </w:rPr>
            </w:pPr>
            <w:r>
              <w:rPr>
                <w:spacing w:val="-1"/>
                <w:sz w:val="21"/>
              </w:rPr>
              <w:t>合并成本合计</w:t>
            </w:r>
            <w:r>
              <w:rPr>
                <w:sz w:val="21"/>
              </w:rPr>
              <w:t> </w:t>
            </w:r>
          </w:p>
        </w:tc>
        <w:tc>
          <w:tcPr>
            <w:tcW w:w="4333" w:type="dxa"/>
            <w:tcBorders>
              <w:left w:val="single" w:sz="6" w:space="0" w:color="000000"/>
            </w:tcBorders>
          </w:tcPr>
          <w:p>
            <w:pPr>
              <w:pStyle w:val="TableParagraph"/>
              <w:spacing w:line="252" w:lineRule="exact" w:before="1"/>
              <w:ind w:right="-15"/>
              <w:jc w:val="right"/>
              <w:rPr>
                <w:sz w:val="21"/>
              </w:rPr>
            </w:pPr>
            <w:r>
              <w:rPr>
                <w:sz w:val="21"/>
              </w:rPr>
              <w:t>378,000 </w:t>
            </w:r>
          </w:p>
        </w:tc>
      </w:tr>
      <w:tr>
        <w:trPr>
          <w:trHeight w:val="270" w:hRule="atLeast"/>
        </w:trPr>
        <w:tc>
          <w:tcPr>
            <w:tcW w:w="4491" w:type="dxa"/>
            <w:tcBorders>
              <w:right w:val="single" w:sz="6" w:space="0" w:color="000000"/>
            </w:tcBorders>
          </w:tcPr>
          <w:p>
            <w:pPr>
              <w:pStyle w:val="TableParagraph"/>
              <w:spacing w:line="250" w:lineRule="exact" w:before="1"/>
              <w:ind w:left="107"/>
              <w:rPr>
                <w:sz w:val="21"/>
              </w:rPr>
            </w:pPr>
            <w:r>
              <w:rPr>
                <w:spacing w:val="-1"/>
                <w:sz w:val="21"/>
              </w:rPr>
              <w:t>减：取得的可辨认净资产公允价值份额</w:t>
            </w:r>
            <w:r>
              <w:rPr>
                <w:sz w:val="21"/>
              </w:rPr>
              <w:t> </w:t>
            </w:r>
          </w:p>
        </w:tc>
        <w:tc>
          <w:tcPr>
            <w:tcW w:w="4333" w:type="dxa"/>
            <w:tcBorders>
              <w:left w:val="single" w:sz="6" w:space="0" w:color="000000"/>
            </w:tcBorders>
          </w:tcPr>
          <w:p>
            <w:pPr>
              <w:pStyle w:val="TableParagraph"/>
              <w:spacing w:line="250" w:lineRule="exact" w:before="1"/>
              <w:ind w:right="-15"/>
              <w:jc w:val="right"/>
              <w:rPr>
                <w:sz w:val="21"/>
              </w:rPr>
            </w:pPr>
            <w:r>
              <w:rPr>
                <w:sz w:val="21"/>
              </w:rPr>
              <w:t>-67,847 </w:t>
            </w:r>
          </w:p>
        </w:tc>
      </w:tr>
      <w:tr>
        <w:trPr>
          <w:trHeight w:val="546" w:hRule="atLeast"/>
        </w:trPr>
        <w:tc>
          <w:tcPr>
            <w:tcW w:w="4491" w:type="dxa"/>
            <w:tcBorders>
              <w:right w:val="single" w:sz="6" w:space="0" w:color="000000"/>
            </w:tcBorders>
          </w:tcPr>
          <w:p>
            <w:pPr>
              <w:pStyle w:val="TableParagraph"/>
              <w:spacing w:line="270" w:lineRule="atLeast"/>
              <w:ind w:left="107" w:right="271"/>
              <w:rPr>
                <w:sz w:val="21"/>
              </w:rPr>
            </w:pPr>
            <w:r>
              <w:rPr>
                <w:sz w:val="21"/>
              </w:rPr>
              <w:t>商誉/合并成本小于取得的可辨认净资产公允价值份额的金额 </w:t>
            </w:r>
          </w:p>
        </w:tc>
        <w:tc>
          <w:tcPr>
            <w:tcW w:w="4333" w:type="dxa"/>
            <w:tcBorders>
              <w:left w:val="single" w:sz="6" w:space="0" w:color="000000"/>
            </w:tcBorders>
          </w:tcPr>
          <w:p>
            <w:pPr>
              <w:pStyle w:val="TableParagraph"/>
              <w:spacing w:before="3"/>
              <w:ind w:right="-15"/>
              <w:jc w:val="right"/>
              <w:rPr>
                <w:sz w:val="21"/>
              </w:rPr>
            </w:pPr>
            <w:r>
              <w:rPr>
                <w:sz w:val="21"/>
              </w:rPr>
              <w:t>310,153 </w:t>
            </w:r>
          </w:p>
        </w:tc>
      </w:tr>
    </w:tbl>
    <w:p>
      <w:pPr>
        <w:pStyle w:val="BodyText"/>
        <w:spacing w:before="1"/>
      </w:pPr>
      <w:r>
        <w:rPr>
          <w:w w:val="100"/>
        </w:rPr>
        <w:t> </w:t>
      </w:r>
    </w:p>
    <w:p>
      <w:pPr>
        <w:pStyle w:val="BodyText"/>
        <w:spacing w:before="2"/>
      </w:pPr>
      <w:r>
        <w:rPr>
          <w:spacing w:val="-1"/>
        </w:rPr>
        <w:t>合并成本公允价值的确定方法、或有对价及其变动的说明：</w:t>
      </w:r>
      <w:r>
        <w:rPr/>
        <w:t> </w:t>
      </w:r>
    </w:p>
    <w:p>
      <w:pPr>
        <w:pStyle w:val="BodyText"/>
        <w:spacing w:line="242" w:lineRule="auto" w:before="5"/>
        <w:ind w:right="1277"/>
      </w:pPr>
      <w:r>
        <w:rPr/>
        <w:t>本集团采用估值技术来确定深圳恒驱电机有限公司的资产负债于购买日的公允价值。主要资产的评估方法及其关键假设列示如下： </w:t>
      </w:r>
    </w:p>
    <w:p>
      <w:pPr>
        <w:pStyle w:val="BodyText"/>
        <w:spacing w:before="1"/>
      </w:pPr>
      <w:r>
        <w:rPr>
          <w:w w:val="100"/>
        </w:rPr>
        <w:t> </w:t>
      </w:r>
    </w:p>
    <w:p>
      <w:pPr>
        <w:pStyle w:val="BodyText"/>
        <w:spacing w:before="2"/>
      </w:pPr>
      <w:r>
        <w:rPr>
          <w:spacing w:val="-1"/>
        </w:rPr>
        <w:t>存货、固定资产及无形资产的评估方法为收益法、成本法及市场法，使用的关键假设如下：</w:t>
      </w:r>
      <w:r>
        <w:rPr/>
        <w:t> </w:t>
      </w:r>
    </w:p>
    <w:p>
      <w:pPr>
        <w:pStyle w:val="BodyText"/>
        <w:spacing w:before="5"/>
      </w:pPr>
      <w:r>
        <w:rPr>
          <w:w w:val="100"/>
        </w:rPr>
        <w:t> </w:t>
      </w:r>
    </w:p>
    <w:p>
      <w:pPr>
        <w:pStyle w:val="BodyText"/>
        <w:spacing w:before="2"/>
      </w:pPr>
      <w:r>
        <w:rPr>
          <w:spacing w:val="-1"/>
        </w:rPr>
        <w:t>以评估结果将用于对企业收购资产的会计处理和报告为基本假设前提；</w:t>
      </w:r>
      <w:r>
        <w:rPr/>
        <w:t> </w:t>
      </w:r>
    </w:p>
    <w:p>
      <w:pPr>
        <w:pStyle w:val="BodyText"/>
        <w:spacing w:before="5"/>
      </w:pPr>
      <w:r>
        <w:rPr>
          <w:w w:val="100"/>
        </w:rPr>
        <w:t> </w:t>
      </w:r>
    </w:p>
    <w:p>
      <w:pPr>
        <w:pStyle w:val="BodyText"/>
        <w:spacing w:line="244" w:lineRule="auto" w:before="2"/>
        <w:ind w:right="1277"/>
      </w:pPr>
      <w:r>
        <w:rPr/>
        <w:t>评估的各项资产均以评估基准日的实际存量为前提，有关资产的现行市价以评估基准日的国内有效价格为依据； </w:t>
      </w:r>
    </w:p>
    <w:p>
      <w:pPr>
        <w:pStyle w:val="BodyText"/>
        <w:spacing w:line="265" w:lineRule="exact"/>
      </w:pPr>
      <w:r>
        <w:rPr>
          <w:w w:val="100"/>
        </w:rPr>
        <w:t> </w:t>
      </w:r>
    </w:p>
    <w:p>
      <w:pPr>
        <w:pStyle w:val="BodyText"/>
        <w:spacing w:line="244" w:lineRule="auto" w:before="2"/>
        <w:ind w:right="1277"/>
      </w:pPr>
      <w:r>
        <w:rPr/>
        <w:t>评估基准日后外部经济环境不会发生不可预见的重大变化，不会出现不可预见的因素导致其无法持续经营，被评估资产现有用途不变并持续使用。 </w:t>
      </w:r>
    </w:p>
    <w:p>
      <w:pPr>
        <w:pStyle w:val="BodyText"/>
        <w:spacing w:line="265" w:lineRule="exact"/>
      </w:pPr>
      <w:r>
        <w:rPr>
          <w:w w:val="100"/>
        </w:rPr>
        <w:t> </w:t>
      </w:r>
    </w:p>
    <w:p>
      <w:pPr>
        <w:pStyle w:val="BodyText"/>
        <w:spacing w:line="242" w:lineRule="auto" w:before="5"/>
        <w:ind w:right="7477"/>
      </w:pPr>
      <w:r>
        <w:rPr/>
        <w:t>大额商誉形成的主要原因：</w:t>
      </w:r>
      <w:r>
        <w:rPr>
          <w:spacing w:val="1"/>
        </w:rPr>
        <w:t> </w:t>
      </w:r>
      <w:r>
        <w:rPr/>
        <w:t>无 </w:t>
      </w:r>
    </w:p>
    <w:p>
      <w:pPr>
        <w:spacing w:after="0" w:line="242" w:lineRule="auto"/>
        <w:sectPr>
          <w:pgSz w:w="11910" w:h="16840"/>
          <w:pgMar w:header="882" w:footer="1184" w:top="1120" w:bottom="1380" w:left="1480" w:right="0"/>
        </w:sectPr>
      </w:pPr>
    </w:p>
    <w:p>
      <w:pPr>
        <w:pStyle w:val="BodyText"/>
        <w:spacing w:before="7"/>
        <w:ind w:left="0"/>
        <w:rPr>
          <w:sz w:val="25"/>
        </w:rPr>
      </w:pPr>
    </w:p>
    <w:p>
      <w:pPr>
        <w:pStyle w:val="BodyText"/>
        <w:spacing w:before="72"/>
      </w:pPr>
      <w:r>
        <w:rPr>
          <w:w w:val="100"/>
        </w:rPr>
        <w:t> </w:t>
      </w:r>
    </w:p>
    <w:p>
      <w:pPr>
        <w:pStyle w:val="BodyText"/>
        <w:spacing w:line="295" w:lineRule="auto" w:before="65"/>
        <w:ind w:right="8949"/>
      </w:pPr>
      <w:r>
        <w:rPr/>
        <w:t>其他说明：</w:t>
      </w:r>
      <w:r>
        <w:rPr>
          <w:spacing w:val="1"/>
        </w:rPr>
        <w:t> </w:t>
      </w:r>
      <w:r>
        <w:rPr/>
        <w:t>无 </w:t>
      </w:r>
    </w:p>
    <w:p>
      <w:pPr>
        <w:pStyle w:val="BodyText"/>
        <w:spacing w:line="212" w:lineRule="exact"/>
      </w:pPr>
      <w:r>
        <w:rPr>
          <w:w w:val="100"/>
        </w:rPr>
        <w:t> </w:t>
      </w:r>
    </w:p>
    <w:p>
      <w:pPr>
        <w:pStyle w:val="ListParagraph"/>
        <w:numPr>
          <w:ilvl w:val="0"/>
          <w:numId w:val="82"/>
        </w:numPr>
        <w:tabs>
          <w:tab w:pos="746" w:val="left" w:leader="none"/>
        </w:tabs>
        <w:spacing w:line="240" w:lineRule="auto" w:before="62" w:after="0"/>
        <w:ind w:left="745" w:right="0" w:hanging="428"/>
        <w:jc w:val="left"/>
        <w:rPr>
          <w:sz w:val="21"/>
        </w:rPr>
      </w:pPr>
      <w:r>
        <w:rPr>
          <w:sz w:val="21"/>
        </w:rPr>
        <w:t>被购买方于购买日可辨认资产、负债 </w:t>
      </w:r>
    </w:p>
    <w:p>
      <w:pPr>
        <w:pStyle w:val="BodyText"/>
        <w:spacing w:before="65"/>
      </w:pPr>
      <w:r>
        <w:rPr>
          <w:spacing w:val="-1"/>
        </w:rPr>
        <w:t>√适用 □不适用</w:t>
      </w:r>
      <w:r>
        <w:rPr>
          <w:spacing w:val="-3"/>
        </w:rPr>
        <w:t> </w:t>
      </w:r>
      <w:r>
        <w:rPr/>
        <w:t> </w:t>
      </w:r>
    </w:p>
    <w:p>
      <w:pPr>
        <w:pStyle w:val="BodyText"/>
        <w:spacing w:before="2" w:after="3"/>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2"/>
        <w:gridCol w:w="3701"/>
        <w:gridCol w:w="3679"/>
      </w:tblGrid>
      <w:tr>
        <w:trPr>
          <w:trHeight w:val="270" w:hRule="atLeast"/>
        </w:trPr>
        <w:tc>
          <w:tcPr>
            <w:tcW w:w="1442" w:type="dxa"/>
            <w:vMerge w:val="restart"/>
          </w:tcPr>
          <w:p>
            <w:pPr>
              <w:pStyle w:val="TableParagraph"/>
              <w:spacing w:before="1"/>
              <w:ind w:left="107"/>
              <w:rPr>
                <w:sz w:val="21"/>
              </w:rPr>
            </w:pPr>
            <w:r>
              <w:rPr>
                <w:w w:val="100"/>
                <w:sz w:val="21"/>
              </w:rPr>
              <w:t> </w:t>
            </w:r>
          </w:p>
        </w:tc>
        <w:tc>
          <w:tcPr>
            <w:tcW w:w="7380" w:type="dxa"/>
            <w:gridSpan w:val="2"/>
          </w:tcPr>
          <w:p>
            <w:pPr>
              <w:pStyle w:val="TableParagraph"/>
              <w:spacing w:line="250" w:lineRule="exact" w:before="1"/>
              <w:ind w:left="2886" w:right="2771"/>
              <w:jc w:val="center"/>
              <w:rPr>
                <w:sz w:val="21"/>
              </w:rPr>
            </w:pPr>
            <w:r>
              <w:rPr>
                <w:spacing w:val="-1"/>
                <w:sz w:val="21"/>
              </w:rPr>
              <w:t>深圳恒驱电机公司</w:t>
            </w:r>
            <w:r>
              <w:rPr>
                <w:sz w:val="21"/>
              </w:rPr>
              <w:t> </w:t>
            </w:r>
          </w:p>
        </w:tc>
      </w:tr>
      <w:tr>
        <w:trPr>
          <w:trHeight w:val="282" w:hRule="atLeast"/>
        </w:trPr>
        <w:tc>
          <w:tcPr>
            <w:tcW w:w="1442" w:type="dxa"/>
            <w:vMerge/>
            <w:tcBorders>
              <w:top w:val="nil"/>
            </w:tcBorders>
          </w:tcPr>
          <w:p>
            <w:pPr>
              <w:rPr>
                <w:sz w:val="2"/>
                <w:szCs w:val="2"/>
              </w:rPr>
            </w:pPr>
          </w:p>
        </w:tc>
        <w:tc>
          <w:tcPr>
            <w:tcW w:w="3701" w:type="dxa"/>
          </w:tcPr>
          <w:p>
            <w:pPr>
              <w:pStyle w:val="TableParagraph"/>
              <w:spacing w:line="257" w:lineRule="exact" w:before="6"/>
              <w:ind w:left="1114"/>
              <w:rPr>
                <w:sz w:val="21"/>
              </w:rPr>
            </w:pPr>
            <w:r>
              <w:rPr>
                <w:spacing w:val="-1"/>
                <w:sz w:val="21"/>
              </w:rPr>
              <w:t>购买日公允价值</w:t>
            </w:r>
            <w:r>
              <w:rPr>
                <w:sz w:val="21"/>
              </w:rPr>
              <w:t> </w:t>
            </w:r>
          </w:p>
        </w:tc>
        <w:tc>
          <w:tcPr>
            <w:tcW w:w="3679" w:type="dxa"/>
          </w:tcPr>
          <w:p>
            <w:pPr>
              <w:pStyle w:val="TableParagraph"/>
              <w:spacing w:line="257" w:lineRule="exact" w:before="6"/>
              <w:ind w:left="1102"/>
              <w:rPr>
                <w:sz w:val="21"/>
              </w:rPr>
            </w:pPr>
            <w:r>
              <w:rPr>
                <w:sz w:val="21"/>
              </w:rPr>
              <w:t>购买日账面价值 </w:t>
            </w:r>
          </w:p>
        </w:tc>
      </w:tr>
      <w:tr>
        <w:trPr>
          <w:trHeight w:val="270" w:hRule="atLeast"/>
        </w:trPr>
        <w:tc>
          <w:tcPr>
            <w:tcW w:w="1442" w:type="dxa"/>
          </w:tcPr>
          <w:p>
            <w:pPr>
              <w:pStyle w:val="TableParagraph"/>
              <w:spacing w:line="250" w:lineRule="exact" w:before="1"/>
              <w:ind w:left="107"/>
              <w:rPr>
                <w:sz w:val="21"/>
              </w:rPr>
            </w:pPr>
            <w:r>
              <w:rPr>
                <w:sz w:val="21"/>
              </w:rPr>
              <w:t>资产： </w:t>
            </w:r>
          </w:p>
        </w:tc>
        <w:tc>
          <w:tcPr>
            <w:tcW w:w="3701" w:type="dxa"/>
          </w:tcPr>
          <w:p>
            <w:pPr>
              <w:pStyle w:val="TableParagraph"/>
              <w:spacing w:line="250" w:lineRule="exact" w:before="1"/>
              <w:ind w:right="-15"/>
              <w:jc w:val="right"/>
              <w:rPr>
                <w:sz w:val="21"/>
              </w:rPr>
            </w:pPr>
            <w:r>
              <w:rPr>
                <w:sz w:val="21"/>
              </w:rPr>
              <w:t>147,053 </w:t>
            </w:r>
          </w:p>
        </w:tc>
        <w:tc>
          <w:tcPr>
            <w:tcW w:w="3679" w:type="dxa"/>
          </w:tcPr>
          <w:p>
            <w:pPr>
              <w:pStyle w:val="TableParagraph"/>
              <w:spacing w:line="250" w:lineRule="exact" w:before="1"/>
              <w:ind w:right="-15"/>
              <w:jc w:val="right"/>
              <w:rPr>
                <w:sz w:val="21"/>
              </w:rPr>
            </w:pPr>
            <w:r>
              <w:rPr>
                <w:sz w:val="21"/>
              </w:rPr>
              <w:t>121,174 </w:t>
            </w:r>
          </w:p>
        </w:tc>
      </w:tr>
      <w:tr>
        <w:trPr>
          <w:trHeight w:val="314" w:hRule="atLeast"/>
        </w:trPr>
        <w:tc>
          <w:tcPr>
            <w:tcW w:w="1442" w:type="dxa"/>
          </w:tcPr>
          <w:p>
            <w:pPr>
              <w:pStyle w:val="TableParagraph"/>
              <w:spacing w:before="22"/>
              <w:ind w:left="107"/>
              <w:rPr>
                <w:sz w:val="21"/>
              </w:rPr>
            </w:pPr>
            <w:r>
              <w:rPr>
                <w:spacing w:val="-1"/>
                <w:sz w:val="21"/>
              </w:rPr>
              <w:t>货币资金</w:t>
            </w:r>
            <w:r>
              <w:rPr>
                <w:sz w:val="21"/>
              </w:rPr>
              <w:t> </w:t>
            </w:r>
          </w:p>
        </w:tc>
        <w:tc>
          <w:tcPr>
            <w:tcW w:w="3701" w:type="dxa"/>
          </w:tcPr>
          <w:p>
            <w:pPr>
              <w:pStyle w:val="TableParagraph"/>
              <w:spacing w:before="1"/>
              <w:ind w:right="-15"/>
              <w:jc w:val="right"/>
              <w:rPr>
                <w:sz w:val="21"/>
              </w:rPr>
            </w:pPr>
            <w:r>
              <w:rPr>
                <w:sz w:val="21"/>
              </w:rPr>
              <w:t>35,546 </w:t>
            </w:r>
          </w:p>
        </w:tc>
        <w:tc>
          <w:tcPr>
            <w:tcW w:w="3679" w:type="dxa"/>
          </w:tcPr>
          <w:p>
            <w:pPr>
              <w:pStyle w:val="TableParagraph"/>
              <w:spacing w:before="1"/>
              <w:ind w:right="-15"/>
              <w:jc w:val="right"/>
              <w:rPr>
                <w:sz w:val="21"/>
              </w:rPr>
            </w:pPr>
            <w:r>
              <w:rPr>
                <w:sz w:val="21"/>
              </w:rPr>
              <w:t>35,546 </w:t>
            </w:r>
          </w:p>
        </w:tc>
      </w:tr>
      <w:tr>
        <w:trPr>
          <w:trHeight w:val="313" w:hRule="atLeast"/>
        </w:trPr>
        <w:tc>
          <w:tcPr>
            <w:tcW w:w="1442" w:type="dxa"/>
          </w:tcPr>
          <w:p>
            <w:pPr>
              <w:pStyle w:val="TableParagraph"/>
              <w:spacing w:before="22"/>
              <w:ind w:left="107"/>
              <w:rPr>
                <w:sz w:val="21"/>
              </w:rPr>
            </w:pPr>
            <w:r>
              <w:rPr>
                <w:spacing w:val="-1"/>
                <w:sz w:val="21"/>
              </w:rPr>
              <w:t>应收款项</w:t>
            </w:r>
            <w:r>
              <w:rPr>
                <w:sz w:val="21"/>
              </w:rPr>
              <w:t> </w:t>
            </w:r>
          </w:p>
        </w:tc>
        <w:tc>
          <w:tcPr>
            <w:tcW w:w="3701" w:type="dxa"/>
          </w:tcPr>
          <w:p>
            <w:pPr>
              <w:pStyle w:val="TableParagraph"/>
              <w:spacing w:before="1"/>
              <w:ind w:right="-15"/>
              <w:jc w:val="right"/>
              <w:rPr>
                <w:sz w:val="21"/>
              </w:rPr>
            </w:pPr>
            <w:r>
              <w:rPr>
                <w:sz w:val="21"/>
              </w:rPr>
              <w:t>37,644 </w:t>
            </w:r>
          </w:p>
        </w:tc>
        <w:tc>
          <w:tcPr>
            <w:tcW w:w="3679" w:type="dxa"/>
          </w:tcPr>
          <w:p>
            <w:pPr>
              <w:pStyle w:val="TableParagraph"/>
              <w:spacing w:before="1"/>
              <w:ind w:right="-15"/>
              <w:jc w:val="right"/>
              <w:rPr>
                <w:sz w:val="21"/>
              </w:rPr>
            </w:pPr>
            <w:r>
              <w:rPr>
                <w:sz w:val="21"/>
              </w:rPr>
              <w:t>37,644 </w:t>
            </w:r>
          </w:p>
        </w:tc>
      </w:tr>
      <w:tr>
        <w:trPr>
          <w:trHeight w:val="271" w:hRule="atLeast"/>
        </w:trPr>
        <w:tc>
          <w:tcPr>
            <w:tcW w:w="1442" w:type="dxa"/>
          </w:tcPr>
          <w:p>
            <w:pPr>
              <w:pStyle w:val="TableParagraph"/>
              <w:spacing w:line="250" w:lineRule="exact" w:before="1"/>
              <w:ind w:left="107"/>
              <w:rPr>
                <w:sz w:val="21"/>
              </w:rPr>
            </w:pPr>
            <w:r>
              <w:rPr>
                <w:spacing w:val="-1"/>
                <w:sz w:val="21"/>
              </w:rPr>
              <w:t>应收票据</w:t>
            </w:r>
            <w:r>
              <w:rPr>
                <w:sz w:val="21"/>
              </w:rPr>
              <w:t> </w:t>
            </w:r>
          </w:p>
        </w:tc>
        <w:tc>
          <w:tcPr>
            <w:tcW w:w="3701" w:type="dxa"/>
          </w:tcPr>
          <w:p>
            <w:pPr>
              <w:pStyle w:val="TableParagraph"/>
              <w:spacing w:line="250" w:lineRule="exact" w:before="1"/>
              <w:ind w:right="-15"/>
              <w:jc w:val="right"/>
              <w:rPr>
                <w:sz w:val="21"/>
              </w:rPr>
            </w:pPr>
            <w:r>
              <w:rPr>
                <w:sz w:val="21"/>
              </w:rPr>
              <w:t>2,179 </w:t>
            </w:r>
          </w:p>
        </w:tc>
        <w:tc>
          <w:tcPr>
            <w:tcW w:w="3679" w:type="dxa"/>
          </w:tcPr>
          <w:p>
            <w:pPr>
              <w:pStyle w:val="TableParagraph"/>
              <w:spacing w:line="250" w:lineRule="exact" w:before="1"/>
              <w:ind w:right="-15"/>
              <w:jc w:val="right"/>
              <w:rPr>
                <w:sz w:val="21"/>
              </w:rPr>
            </w:pPr>
            <w:r>
              <w:rPr>
                <w:sz w:val="21"/>
              </w:rPr>
              <w:t>2,179 </w:t>
            </w:r>
          </w:p>
        </w:tc>
      </w:tr>
      <w:tr>
        <w:trPr>
          <w:trHeight w:val="273" w:hRule="atLeast"/>
        </w:trPr>
        <w:tc>
          <w:tcPr>
            <w:tcW w:w="1442" w:type="dxa"/>
          </w:tcPr>
          <w:p>
            <w:pPr>
              <w:pStyle w:val="TableParagraph"/>
              <w:spacing w:line="252" w:lineRule="exact" w:before="1"/>
              <w:ind w:left="107"/>
              <w:rPr>
                <w:sz w:val="21"/>
              </w:rPr>
            </w:pPr>
            <w:r>
              <w:rPr>
                <w:sz w:val="21"/>
              </w:rPr>
              <w:t>存货 </w:t>
            </w:r>
          </w:p>
        </w:tc>
        <w:tc>
          <w:tcPr>
            <w:tcW w:w="3701" w:type="dxa"/>
          </w:tcPr>
          <w:p>
            <w:pPr>
              <w:pStyle w:val="TableParagraph"/>
              <w:spacing w:line="252" w:lineRule="exact" w:before="1"/>
              <w:ind w:right="-15"/>
              <w:jc w:val="right"/>
              <w:rPr>
                <w:sz w:val="21"/>
              </w:rPr>
            </w:pPr>
            <w:r>
              <w:rPr>
                <w:sz w:val="21"/>
              </w:rPr>
              <w:t>18,229 </w:t>
            </w:r>
          </w:p>
        </w:tc>
        <w:tc>
          <w:tcPr>
            <w:tcW w:w="3679" w:type="dxa"/>
          </w:tcPr>
          <w:p>
            <w:pPr>
              <w:pStyle w:val="TableParagraph"/>
              <w:spacing w:line="252" w:lineRule="exact" w:before="1"/>
              <w:ind w:right="-15"/>
              <w:jc w:val="right"/>
              <w:rPr>
                <w:sz w:val="21"/>
              </w:rPr>
            </w:pPr>
            <w:r>
              <w:rPr>
                <w:sz w:val="21"/>
              </w:rPr>
              <w:t>16,808 </w:t>
            </w:r>
          </w:p>
        </w:tc>
      </w:tr>
      <w:tr>
        <w:trPr>
          <w:trHeight w:val="273" w:hRule="atLeast"/>
        </w:trPr>
        <w:tc>
          <w:tcPr>
            <w:tcW w:w="1442" w:type="dxa"/>
          </w:tcPr>
          <w:p>
            <w:pPr>
              <w:pStyle w:val="TableParagraph"/>
              <w:spacing w:line="252" w:lineRule="exact" w:before="1"/>
              <w:ind w:left="107"/>
              <w:rPr>
                <w:sz w:val="21"/>
              </w:rPr>
            </w:pPr>
            <w:r>
              <w:rPr>
                <w:spacing w:val="-1"/>
                <w:sz w:val="21"/>
              </w:rPr>
              <w:t>预付账款</w:t>
            </w:r>
            <w:r>
              <w:rPr>
                <w:sz w:val="21"/>
              </w:rPr>
              <w:t> </w:t>
            </w:r>
          </w:p>
        </w:tc>
        <w:tc>
          <w:tcPr>
            <w:tcW w:w="3701" w:type="dxa"/>
          </w:tcPr>
          <w:p>
            <w:pPr>
              <w:pStyle w:val="TableParagraph"/>
              <w:spacing w:line="252" w:lineRule="exact" w:before="1"/>
              <w:ind w:right="-15"/>
              <w:jc w:val="right"/>
              <w:rPr>
                <w:sz w:val="21"/>
              </w:rPr>
            </w:pPr>
            <w:r>
              <w:rPr>
                <w:sz w:val="21"/>
              </w:rPr>
              <w:t>1,293 </w:t>
            </w:r>
          </w:p>
        </w:tc>
        <w:tc>
          <w:tcPr>
            <w:tcW w:w="3679" w:type="dxa"/>
          </w:tcPr>
          <w:p>
            <w:pPr>
              <w:pStyle w:val="TableParagraph"/>
              <w:spacing w:line="252" w:lineRule="exact" w:before="1"/>
              <w:ind w:right="-15"/>
              <w:jc w:val="right"/>
              <w:rPr>
                <w:sz w:val="21"/>
              </w:rPr>
            </w:pPr>
            <w:r>
              <w:rPr>
                <w:sz w:val="21"/>
              </w:rPr>
              <w:t>1,293 </w:t>
            </w:r>
          </w:p>
        </w:tc>
      </w:tr>
      <w:tr>
        <w:trPr>
          <w:trHeight w:val="544" w:hRule="atLeast"/>
        </w:trPr>
        <w:tc>
          <w:tcPr>
            <w:tcW w:w="1442" w:type="dxa"/>
          </w:tcPr>
          <w:p>
            <w:pPr>
              <w:pStyle w:val="TableParagraph"/>
              <w:spacing w:before="1"/>
              <w:ind w:left="107"/>
              <w:rPr>
                <w:sz w:val="21"/>
              </w:rPr>
            </w:pPr>
            <w:r>
              <w:rPr>
                <w:sz w:val="21"/>
              </w:rPr>
              <w:t>其他流动资</w:t>
            </w:r>
          </w:p>
          <w:p>
            <w:pPr>
              <w:pStyle w:val="TableParagraph"/>
              <w:spacing w:line="252" w:lineRule="exact" w:before="2"/>
              <w:ind w:left="107"/>
              <w:rPr>
                <w:sz w:val="21"/>
              </w:rPr>
            </w:pPr>
            <w:r>
              <w:rPr>
                <w:sz w:val="21"/>
              </w:rPr>
              <w:t>产 </w:t>
            </w:r>
          </w:p>
        </w:tc>
        <w:tc>
          <w:tcPr>
            <w:tcW w:w="3701" w:type="dxa"/>
          </w:tcPr>
          <w:p>
            <w:pPr>
              <w:pStyle w:val="TableParagraph"/>
              <w:spacing w:before="1"/>
              <w:ind w:right="-15"/>
              <w:jc w:val="right"/>
              <w:rPr>
                <w:sz w:val="21"/>
              </w:rPr>
            </w:pPr>
            <w:r>
              <w:rPr>
                <w:sz w:val="21"/>
              </w:rPr>
              <w:t>413 </w:t>
            </w:r>
          </w:p>
        </w:tc>
        <w:tc>
          <w:tcPr>
            <w:tcW w:w="3679" w:type="dxa"/>
          </w:tcPr>
          <w:p>
            <w:pPr>
              <w:pStyle w:val="TableParagraph"/>
              <w:spacing w:before="1"/>
              <w:ind w:right="-15"/>
              <w:jc w:val="right"/>
              <w:rPr>
                <w:sz w:val="21"/>
              </w:rPr>
            </w:pPr>
            <w:r>
              <w:rPr>
                <w:sz w:val="21"/>
              </w:rPr>
              <w:t>413 </w:t>
            </w:r>
          </w:p>
        </w:tc>
      </w:tr>
      <w:tr>
        <w:trPr>
          <w:trHeight w:val="270" w:hRule="atLeast"/>
        </w:trPr>
        <w:tc>
          <w:tcPr>
            <w:tcW w:w="1442" w:type="dxa"/>
          </w:tcPr>
          <w:p>
            <w:pPr>
              <w:pStyle w:val="TableParagraph"/>
              <w:spacing w:line="250" w:lineRule="exact" w:before="1"/>
              <w:ind w:left="107"/>
              <w:rPr>
                <w:sz w:val="21"/>
              </w:rPr>
            </w:pPr>
            <w:r>
              <w:rPr>
                <w:spacing w:val="-1"/>
                <w:sz w:val="21"/>
              </w:rPr>
              <w:t>固定资产</w:t>
            </w:r>
            <w:r>
              <w:rPr>
                <w:sz w:val="21"/>
              </w:rPr>
              <w:t> </w:t>
            </w:r>
          </w:p>
        </w:tc>
        <w:tc>
          <w:tcPr>
            <w:tcW w:w="3701" w:type="dxa"/>
          </w:tcPr>
          <w:p>
            <w:pPr>
              <w:pStyle w:val="TableParagraph"/>
              <w:spacing w:line="250" w:lineRule="exact" w:before="1"/>
              <w:ind w:right="-15"/>
              <w:jc w:val="right"/>
              <w:rPr>
                <w:sz w:val="21"/>
              </w:rPr>
            </w:pPr>
            <w:r>
              <w:rPr>
                <w:sz w:val="21"/>
              </w:rPr>
              <w:t>13,560 </w:t>
            </w:r>
          </w:p>
        </w:tc>
        <w:tc>
          <w:tcPr>
            <w:tcW w:w="3679" w:type="dxa"/>
          </w:tcPr>
          <w:p>
            <w:pPr>
              <w:pStyle w:val="TableParagraph"/>
              <w:spacing w:line="250" w:lineRule="exact" w:before="1"/>
              <w:ind w:right="-15"/>
              <w:jc w:val="right"/>
              <w:rPr>
                <w:sz w:val="21"/>
              </w:rPr>
            </w:pPr>
            <w:r>
              <w:rPr>
                <w:sz w:val="21"/>
              </w:rPr>
              <w:t>10,195 </w:t>
            </w:r>
          </w:p>
        </w:tc>
      </w:tr>
      <w:tr>
        <w:trPr>
          <w:trHeight w:val="273" w:hRule="atLeast"/>
        </w:trPr>
        <w:tc>
          <w:tcPr>
            <w:tcW w:w="1442" w:type="dxa"/>
          </w:tcPr>
          <w:p>
            <w:pPr>
              <w:pStyle w:val="TableParagraph"/>
              <w:spacing w:line="252" w:lineRule="exact" w:before="1"/>
              <w:ind w:left="107"/>
              <w:rPr>
                <w:sz w:val="21"/>
              </w:rPr>
            </w:pPr>
            <w:r>
              <w:rPr>
                <w:spacing w:val="-1"/>
                <w:sz w:val="21"/>
              </w:rPr>
              <w:t>在建工程</w:t>
            </w:r>
            <w:r>
              <w:rPr>
                <w:sz w:val="21"/>
              </w:rPr>
              <w:t> </w:t>
            </w:r>
          </w:p>
        </w:tc>
        <w:tc>
          <w:tcPr>
            <w:tcW w:w="3701" w:type="dxa"/>
          </w:tcPr>
          <w:p>
            <w:pPr>
              <w:pStyle w:val="TableParagraph"/>
              <w:spacing w:line="252" w:lineRule="exact" w:before="1"/>
              <w:ind w:right="-15"/>
              <w:jc w:val="right"/>
              <w:rPr>
                <w:sz w:val="21"/>
              </w:rPr>
            </w:pPr>
            <w:r>
              <w:rPr>
                <w:sz w:val="21"/>
              </w:rPr>
              <w:t>1,071 </w:t>
            </w:r>
          </w:p>
        </w:tc>
        <w:tc>
          <w:tcPr>
            <w:tcW w:w="3679" w:type="dxa"/>
          </w:tcPr>
          <w:p>
            <w:pPr>
              <w:pStyle w:val="TableParagraph"/>
              <w:spacing w:line="252" w:lineRule="exact" w:before="1"/>
              <w:ind w:right="-15"/>
              <w:jc w:val="right"/>
              <w:rPr>
                <w:sz w:val="21"/>
              </w:rPr>
            </w:pPr>
            <w:r>
              <w:rPr>
                <w:sz w:val="21"/>
              </w:rPr>
              <w:t>1,071 </w:t>
            </w:r>
          </w:p>
        </w:tc>
      </w:tr>
      <w:tr>
        <w:trPr>
          <w:trHeight w:val="273" w:hRule="atLeast"/>
        </w:trPr>
        <w:tc>
          <w:tcPr>
            <w:tcW w:w="1442" w:type="dxa"/>
          </w:tcPr>
          <w:p>
            <w:pPr>
              <w:pStyle w:val="TableParagraph"/>
              <w:spacing w:line="252" w:lineRule="exact" w:before="1"/>
              <w:ind w:left="107"/>
              <w:rPr>
                <w:sz w:val="21"/>
              </w:rPr>
            </w:pPr>
            <w:r>
              <w:rPr>
                <w:sz w:val="21"/>
              </w:rPr>
              <w:t>使用权资产 </w:t>
            </w:r>
          </w:p>
        </w:tc>
        <w:tc>
          <w:tcPr>
            <w:tcW w:w="3701" w:type="dxa"/>
          </w:tcPr>
          <w:p>
            <w:pPr>
              <w:pStyle w:val="TableParagraph"/>
              <w:spacing w:line="252" w:lineRule="exact" w:before="1"/>
              <w:ind w:right="-15"/>
              <w:jc w:val="right"/>
              <w:rPr>
                <w:sz w:val="21"/>
              </w:rPr>
            </w:pPr>
            <w:r>
              <w:rPr>
                <w:sz w:val="21"/>
              </w:rPr>
              <w:t>3,338 </w:t>
            </w:r>
          </w:p>
        </w:tc>
        <w:tc>
          <w:tcPr>
            <w:tcW w:w="3679" w:type="dxa"/>
          </w:tcPr>
          <w:p>
            <w:pPr>
              <w:pStyle w:val="TableParagraph"/>
              <w:spacing w:line="252" w:lineRule="exact" w:before="1"/>
              <w:ind w:right="-15"/>
              <w:jc w:val="right"/>
              <w:rPr>
                <w:sz w:val="21"/>
              </w:rPr>
            </w:pPr>
            <w:r>
              <w:rPr>
                <w:sz w:val="21"/>
              </w:rPr>
              <w:t>3,338 </w:t>
            </w:r>
          </w:p>
        </w:tc>
      </w:tr>
      <w:tr>
        <w:trPr>
          <w:trHeight w:val="270" w:hRule="atLeast"/>
        </w:trPr>
        <w:tc>
          <w:tcPr>
            <w:tcW w:w="1442" w:type="dxa"/>
          </w:tcPr>
          <w:p>
            <w:pPr>
              <w:pStyle w:val="TableParagraph"/>
              <w:spacing w:line="250" w:lineRule="exact" w:before="1"/>
              <w:ind w:left="107"/>
              <w:rPr>
                <w:sz w:val="21"/>
              </w:rPr>
            </w:pPr>
            <w:r>
              <w:rPr>
                <w:spacing w:val="-1"/>
                <w:sz w:val="21"/>
              </w:rPr>
              <w:t>无形资产</w:t>
            </w:r>
            <w:r>
              <w:rPr>
                <w:sz w:val="21"/>
              </w:rPr>
              <w:t> </w:t>
            </w:r>
          </w:p>
        </w:tc>
        <w:tc>
          <w:tcPr>
            <w:tcW w:w="3701" w:type="dxa"/>
          </w:tcPr>
          <w:p>
            <w:pPr>
              <w:pStyle w:val="TableParagraph"/>
              <w:spacing w:line="250" w:lineRule="exact" w:before="1"/>
              <w:ind w:right="-15"/>
              <w:jc w:val="right"/>
              <w:rPr>
                <w:sz w:val="21"/>
              </w:rPr>
            </w:pPr>
            <w:r>
              <w:rPr>
                <w:sz w:val="21"/>
              </w:rPr>
              <w:t>32,107 </w:t>
            </w:r>
          </w:p>
        </w:tc>
        <w:tc>
          <w:tcPr>
            <w:tcW w:w="3679" w:type="dxa"/>
          </w:tcPr>
          <w:p>
            <w:pPr>
              <w:pStyle w:val="TableParagraph"/>
              <w:spacing w:line="250" w:lineRule="exact" w:before="1"/>
              <w:ind w:right="-15"/>
              <w:jc w:val="right"/>
              <w:rPr>
                <w:sz w:val="21"/>
              </w:rPr>
            </w:pPr>
            <w:r>
              <w:rPr>
                <w:sz w:val="21"/>
              </w:rPr>
              <w:t>11,014 </w:t>
            </w:r>
          </w:p>
        </w:tc>
      </w:tr>
      <w:tr>
        <w:trPr>
          <w:trHeight w:val="544" w:hRule="atLeast"/>
        </w:trPr>
        <w:tc>
          <w:tcPr>
            <w:tcW w:w="1442" w:type="dxa"/>
          </w:tcPr>
          <w:p>
            <w:pPr>
              <w:pStyle w:val="TableParagraph"/>
              <w:spacing w:before="1"/>
              <w:ind w:left="107"/>
              <w:rPr>
                <w:sz w:val="21"/>
              </w:rPr>
            </w:pPr>
            <w:r>
              <w:rPr>
                <w:sz w:val="21"/>
              </w:rPr>
              <w:t>递延所得税</w:t>
            </w:r>
          </w:p>
          <w:p>
            <w:pPr>
              <w:pStyle w:val="TableParagraph"/>
              <w:spacing w:line="250" w:lineRule="exact" w:before="4"/>
              <w:ind w:left="107"/>
              <w:rPr>
                <w:sz w:val="21"/>
              </w:rPr>
            </w:pPr>
            <w:r>
              <w:rPr>
                <w:sz w:val="21"/>
              </w:rPr>
              <w:t>资产 </w:t>
            </w:r>
          </w:p>
        </w:tc>
        <w:tc>
          <w:tcPr>
            <w:tcW w:w="3701" w:type="dxa"/>
          </w:tcPr>
          <w:p>
            <w:pPr>
              <w:pStyle w:val="TableParagraph"/>
              <w:spacing w:before="1"/>
              <w:ind w:right="-15"/>
              <w:jc w:val="right"/>
              <w:rPr>
                <w:sz w:val="21"/>
              </w:rPr>
            </w:pPr>
            <w:r>
              <w:rPr>
                <w:sz w:val="21"/>
              </w:rPr>
              <w:t>971 </w:t>
            </w:r>
          </w:p>
        </w:tc>
        <w:tc>
          <w:tcPr>
            <w:tcW w:w="3679" w:type="dxa"/>
          </w:tcPr>
          <w:p>
            <w:pPr>
              <w:pStyle w:val="TableParagraph"/>
              <w:spacing w:before="1"/>
              <w:ind w:right="-15"/>
              <w:jc w:val="right"/>
              <w:rPr>
                <w:sz w:val="21"/>
              </w:rPr>
            </w:pPr>
            <w:r>
              <w:rPr>
                <w:sz w:val="21"/>
              </w:rPr>
              <w:t>971 </w:t>
            </w:r>
          </w:p>
        </w:tc>
      </w:tr>
      <w:tr>
        <w:trPr>
          <w:trHeight w:val="544" w:hRule="atLeast"/>
        </w:trPr>
        <w:tc>
          <w:tcPr>
            <w:tcW w:w="1442" w:type="dxa"/>
          </w:tcPr>
          <w:p>
            <w:pPr>
              <w:pStyle w:val="TableParagraph"/>
              <w:spacing w:line="270" w:lineRule="atLeast"/>
              <w:ind w:left="107" w:right="268"/>
              <w:rPr>
                <w:sz w:val="21"/>
              </w:rPr>
            </w:pPr>
            <w:r>
              <w:rPr>
                <w:sz w:val="21"/>
              </w:rPr>
              <w:t>长期待摊费用 </w:t>
            </w:r>
          </w:p>
        </w:tc>
        <w:tc>
          <w:tcPr>
            <w:tcW w:w="3701" w:type="dxa"/>
          </w:tcPr>
          <w:p>
            <w:pPr>
              <w:pStyle w:val="TableParagraph"/>
              <w:spacing w:before="3"/>
              <w:ind w:right="-15"/>
              <w:jc w:val="right"/>
              <w:rPr>
                <w:sz w:val="21"/>
              </w:rPr>
            </w:pPr>
            <w:r>
              <w:rPr>
                <w:sz w:val="21"/>
              </w:rPr>
              <w:t>702 </w:t>
            </w:r>
          </w:p>
        </w:tc>
        <w:tc>
          <w:tcPr>
            <w:tcW w:w="3679" w:type="dxa"/>
          </w:tcPr>
          <w:p>
            <w:pPr>
              <w:pStyle w:val="TableParagraph"/>
              <w:spacing w:before="3"/>
              <w:ind w:right="-15"/>
              <w:jc w:val="right"/>
              <w:rPr>
                <w:sz w:val="21"/>
              </w:rPr>
            </w:pPr>
            <w:r>
              <w:rPr>
                <w:sz w:val="21"/>
              </w:rPr>
              <w:t>702 </w:t>
            </w:r>
          </w:p>
        </w:tc>
      </w:tr>
      <w:tr>
        <w:trPr>
          <w:trHeight w:val="547" w:hRule="atLeast"/>
        </w:trPr>
        <w:tc>
          <w:tcPr>
            <w:tcW w:w="1442" w:type="dxa"/>
          </w:tcPr>
          <w:p>
            <w:pPr>
              <w:pStyle w:val="TableParagraph"/>
              <w:spacing w:line="270" w:lineRule="atLeast"/>
              <w:ind w:left="107" w:right="268"/>
              <w:rPr>
                <w:sz w:val="21"/>
              </w:rPr>
            </w:pPr>
            <w:r>
              <w:rPr>
                <w:sz w:val="21"/>
              </w:rPr>
              <w:t>其他非流动资产 </w:t>
            </w:r>
          </w:p>
        </w:tc>
        <w:tc>
          <w:tcPr>
            <w:tcW w:w="3701" w:type="dxa"/>
          </w:tcPr>
          <w:p>
            <w:pPr>
              <w:pStyle w:val="TableParagraph"/>
              <w:spacing w:before="4"/>
              <w:ind w:right="-15"/>
              <w:jc w:val="right"/>
              <w:rPr>
                <w:sz w:val="21"/>
              </w:rPr>
            </w:pPr>
            <w:r>
              <w:rPr>
                <w:sz w:val="21"/>
              </w:rPr>
              <w:t>- </w:t>
            </w:r>
          </w:p>
        </w:tc>
        <w:tc>
          <w:tcPr>
            <w:tcW w:w="3679" w:type="dxa"/>
          </w:tcPr>
          <w:p>
            <w:pPr>
              <w:pStyle w:val="TableParagraph"/>
              <w:spacing w:before="4"/>
              <w:ind w:right="-15"/>
              <w:jc w:val="right"/>
              <w:rPr>
                <w:sz w:val="21"/>
              </w:rPr>
            </w:pPr>
            <w:r>
              <w:rPr>
                <w:sz w:val="21"/>
              </w:rPr>
              <w:t>- </w:t>
            </w:r>
          </w:p>
        </w:tc>
      </w:tr>
      <w:tr>
        <w:trPr>
          <w:trHeight w:val="270" w:hRule="atLeast"/>
        </w:trPr>
        <w:tc>
          <w:tcPr>
            <w:tcW w:w="1442" w:type="dxa"/>
          </w:tcPr>
          <w:p>
            <w:pPr>
              <w:pStyle w:val="TableParagraph"/>
              <w:spacing w:line="250" w:lineRule="exact" w:before="1"/>
              <w:ind w:left="107"/>
              <w:rPr>
                <w:sz w:val="21"/>
              </w:rPr>
            </w:pPr>
            <w:r>
              <w:rPr>
                <w:sz w:val="21"/>
              </w:rPr>
              <w:t>负债： </w:t>
            </w:r>
          </w:p>
        </w:tc>
        <w:tc>
          <w:tcPr>
            <w:tcW w:w="3701" w:type="dxa"/>
          </w:tcPr>
          <w:p>
            <w:pPr>
              <w:pStyle w:val="TableParagraph"/>
              <w:spacing w:line="250" w:lineRule="exact" w:before="1"/>
              <w:ind w:right="-15"/>
              <w:jc w:val="right"/>
              <w:rPr>
                <w:sz w:val="21"/>
              </w:rPr>
            </w:pPr>
            <w:r>
              <w:rPr>
                <w:sz w:val="21"/>
              </w:rPr>
              <w:t>39,359 </w:t>
            </w:r>
          </w:p>
        </w:tc>
        <w:tc>
          <w:tcPr>
            <w:tcW w:w="3679" w:type="dxa"/>
          </w:tcPr>
          <w:p>
            <w:pPr>
              <w:pStyle w:val="TableParagraph"/>
              <w:spacing w:line="250" w:lineRule="exact" w:before="1"/>
              <w:ind w:right="-15"/>
              <w:jc w:val="right"/>
              <w:rPr>
                <w:sz w:val="21"/>
              </w:rPr>
            </w:pPr>
            <w:r>
              <w:rPr>
                <w:sz w:val="21"/>
              </w:rPr>
              <w:t>35,477 </w:t>
            </w:r>
          </w:p>
        </w:tc>
      </w:tr>
      <w:tr>
        <w:trPr>
          <w:trHeight w:val="313" w:hRule="atLeast"/>
        </w:trPr>
        <w:tc>
          <w:tcPr>
            <w:tcW w:w="1442" w:type="dxa"/>
          </w:tcPr>
          <w:p>
            <w:pPr>
              <w:pStyle w:val="TableParagraph"/>
              <w:spacing w:before="1"/>
              <w:ind w:left="107"/>
              <w:rPr>
                <w:sz w:val="21"/>
              </w:rPr>
            </w:pPr>
            <w:r>
              <w:rPr>
                <w:sz w:val="21"/>
              </w:rPr>
              <w:t>借款 </w:t>
            </w:r>
          </w:p>
        </w:tc>
        <w:tc>
          <w:tcPr>
            <w:tcW w:w="3701" w:type="dxa"/>
          </w:tcPr>
          <w:p>
            <w:pPr>
              <w:pStyle w:val="TableParagraph"/>
              <w:spacing w:before="1"/>
              <w:ind w:right="-15"/>
              <w:jc w:val="right"/>
              <w:rPr>
                <w:sz w:val="21"/>
              </w:rPr>
            </w:pPr>
            <w:r>
              <w:rPr>
                <w:w w:val="100"/>
                <w:sz w:val="21"/>
              </w:rPr>
              <w:t> </w:t>
            </w:r>
          </w:p>
        </w:tc>
        <w:tc>
          <w:tcPr>
            <w:tcW w:w="3679" w:type="dxa"/>
          </w:tcPr>
          <w:p>
            <w:pPr>
              <w:pStyle w:val="TableParagraph"/>
              <w:spacing w:before="1"/>
              <w:ind w:right="-15"/>
              <w:jc w:val="right"/>
              <w:rPr>
                <w:sz w:val="21"/>
              </w:rPr>
            </w:pPr>
            <w:r>
              <w:rPr>
                <w:w w:val="100"/>
                <w:sz w:val="21"/>
              </w:rPr>
              <w:t> </w:t>
            </w:r>
          </w:p>
        </w:tc>
      </w:tr>
      <w:tr>
        <w:trPr>
          <w:trHeight w:val="314" w:hRule="atLeast"/>
        </w:trPr>
        <w:tc>
          <w:tcPr>
            <w:tcW w:w="1442" w:type="dxa"/>
          </w:tcPr>
          <w:p>
            <w:pPr>
              <w:pStyle w:val="TableParagraph"/>
              <w:spacing w:before="1"/>
              <w:ind w:left="107"/>
              <w:rPr>
                <w:sz w:val="21"/>
              </w:rPr>
            </w:pPr>
            <w:r>
              <w:rPr>
                <w:spacing w:val="-1"/>
                <w:sz w:val="21"/>
              </w:rPr>
              <w:t>应付款项</w:t>
            </w:r>
            <w:r>
              <w:rPr>
                <w:sz w:val="21"/>
              </w:rPr>
              <w:t> </w:t>
            </w:r>
          </w:p>
        </w:tc>
        <w:tc>
          <w:tcPr>
            <w:tcW w:w="3701" w:type="dxa"/>
          </w:tcPr>
          <w:p>
            <w:pPr>
              <w:pStyle w:val="TableParagraph"/>
              <w:spacing w:before="1"/>
              <w:ind w:right="-15"/>
              <w:jc w:val="right"/>
              <w:rPr>
                <w:sz w:val="21"/>
              </w:rPr>
            </w:pPr>
            <w:r>
              <w:rPr>
                <w:sz w:val="21"/>
              </w:rPr>
              <w:t>25,449 </w:t>
            </w:r>
          </w:p>
        </w:tc>
        <w:tc>
          <w:tcPr>
            <w:tcW w:w="3679" w:type="dxa"/>
          </w:tcPr>
          <w:p>
            <w:pPr>
              <w:pStyle w:val="TableParagraph"/>
              <w:spacing w:before="1"/>
              <w:ind w:right="-15"/>
              <w:jc w:val="right"/>
              <w:rPr>
                <w:sz w:val="21"/>
              </w:rPr>
            </w:pPr>
            <w:r>
              <w:rPr>
                <w:sz w:val="21"/>
              </w:rPr>
              <w:t>25,449 </w:t>
            </w:r>
          </w:p>
        </w:tc>
      </w:tr>
      <w:tr>
        <w:trPr>
          <w:trHeight w:val="544" w:hRule="atLeast"/>
        </w:trPr>
        <w:tc>
          <w:tcPr>
            <w:tcW w:w="1442" w:type="dxa"/>
          </w:tcPr>
          <w:p>
            <w:pPr>
              <w:pStyle w:val="TableParagraph"/>
              <w:spacing w:before="1"/>
              <w:ind w:left="107"/>
              <w:rPr>
                <w:sz w:val="21"/>
              </w:rPr>
            </w:pPr>
            <w:r>
              <w:rPr>
                <w:sz w:val="21"/>
              </w:rPr>
              <w:t>递延所得税</w:t>
            </w:r>
          </w:p>
          <w:p>
            <w:pPr>
              <w:pStyle w:val="TableParagraph"/>
              <w:spacing w:line="252" w:lineRule="exact" w:before="2"/>
              <w:ind w:left="107"/>
              <w:rPr>
                <w:sz w:val="21"/>
              </w:rPr>
            </w:pPr>
            <w:r>
              <w:rPr>
                <w:sz w:val="21"/>
              </w:rPr>
              <w:t>负债 </w:t>
            </w:r>
          </w:p>
        </w:tc>
        <w:tc>
          <w:tcPr>
            <w:tcW w:w="3701" w:type="dxa"/>
          </w:tcPr>
          <w:p>
            <w:pPr>
              <w:pStyle w:val="TableParagraph"/>
              <w:spacing w:before="116"/>
              <w:ind w:right="-15"/>
              <w:jc w:val="right"/>
              <w:rPr>
                <w:sz w:val="21"/>
              </w:rPr>
            </w:pPr>
            <w:r>
              <w:rPr>
                <w:sz w:val="21"/>
              </w:rPr>
              <w:t>3,882 </w:t>
            </w:r>
          </w:p>
        </w:tc>
        <w:tc>
          <w:tcPr>
            <w:tcW w:w="3679" w:type="dxa"/>
          </w:tcPr>
          <w:p>
            <w:pPr>
              <w:pStyle w:val="TableParagraph"/>
              <w:spacing w:before="116"/>
              <w:ind w:right="-15"/>
              <w:jc w:val="right"/>
              <w:rPr>
                <w:sz w:val="21"/>
              </w:rPr>
            </w:pPr>
            <w:r>
              <w:rPr>
                <w:sz w:val="21"/>
              </w:rPr>
              <w:t>- </w:t>
            </w:r>
          </w:p>
        </w:tc>
      </w:tr>
      <w:tr>
        <w:trPr>
          <w:trHeight w:val="544" w:hRule="atLeast"/>
        </w:trPr>
        <w:tc>
          <w:tcPr>
            <w:tcW w:w="1442" w:type="dxa"/>
          </w:tcPr>
          <w:p>
            <w:pPr>
              <w:pStyle w:val="TableParagraph"/>
              <w:spacing w:before="1"/>
              <w:ind w:left="107"/>
              <w:rPr>
                <w:sz w:val="21"/>
              </w:rPr>
            </w:pPr>
            <w:r>
              <w:rPr>
                <w:sz w:val="21"/>
              </w:rPr>
              <w:t>应付职工薪</w:t>
            </w:r>
          </w:p>
          <w:p>
            <w:pPr>
              <w:pStyle w:val="TableParagraph"/>
              <w:spacing w:line="252" w:lineRule="exact" w:before="2"/>
              <w:ind w:left="107"/>
              <w:rPr>
                <w:sz w:val="21"/>
              </w:rPr>
            </w:pPr>
            <w:r>
              <w:rPr>
                <w:sz w:val="21"/>
              </w:rPr>
              <w:t>酬 </w:t>
            </w:r>
          </w:p>
        </w:tc>
        <w:tc>
          <w:tcPr>
            <w:tcW w:w="3701" w:type="dxa"/>
          </w:tcPr>
          <w:p>
            <w:pPr>
              <w:pStyle w:val="TableParagraph"/>
              <w:spacing w:before="1"/>
              <w:ind w:right="-15"/>
              <w:jc w:val="right"/>
              <w:rPr>
                <w:sz w:val="21"/>
              </w:rPr>
            </w:pPr>
            <w:r>
              <w:rPr>
                <w:sz w:val="21"/>
              </w:rPr>
              <w:t>1,810 </w:t>
            </w:r>
          </w:p>
        </w:tc>
        <w:tc>
          <w:tcPr>
            <w:tcW w:w="3679" w:type="dxa"/>
          </w:tcPr>
          <w:p>
            <w:pPr>
              <w:pStyle w:val="TableParagraph"/>
              <w:spacing w:before="1"/>
              <w:ind w:right="-15"/>
              <w:jc w:val="right"/>
              <w:rPr>
                <w:sz w:val="21"/>
              </w:rPr>
            </w:pPr>
            <w:r>
              <w:rPr>
                <w:sz w:val="21"/>
              </w:rPr>
              <w:t>1,810 </w:t>
            </w:r>
          </w:p>
        </w:tc>
      </w:tr>
      <w:tr>
        <w:trPr>
          <w:trHeight w:val="270" w:hRule="atLeast"/>
        </w:trPr>
        <w:tc>
          <w:tcPr>
            <w:tcW w:w="1442" w:type="dxa"/>
          </w:tcPr>
          <w:p>
            <w:pPr>
              <w:pStyle w:val="TableParagraph"/>
              <w:spacing w:line="250" w:lineRule="exact" w:before="1"/>
              <w:ind w:left="107"/>
              <w:rPr>
                <w:sz w:val="21"/>
              </w:rPr>
            </w:pPr>
            <w:r>
              <w:rPr>
                <w:sz w:val="21"/>
              </w:rPr>
              <w:t>其他应付款 </w:t>
            </w:r>
          </w:p>
        </w:tc>
        <w:tc>
          <w:tcPr>
            <w:tcW w:w="3701" w:type="dxa"/>
          </w:tcPr>
          <w:p>
            <w:pPr>
              <w:pStyle w:val="TableParagraph"/>
              <w:spacing w:line="250" w:lineRule="exact" w:before="1"/>
              <w:ind w:right="-15"/>
              <w:jc w:val="right"/>
              <w:rPr>
                <w:sz w:val="21"/>
              </w:rPr>
            </w:pPr>
            <w:r>
              <w:rPr>
                <w:sz w:val="21"/>
              </w:rPr>
              <w:t>1,161 </w:t>
            </w:r>
          </w:p>
        </w:tc>
        <w:tc>
          <w:tcPr>
            <w:tcW w:w="3679" w:type="dxa"/>
          </w:tcPr>
          <w:p>
            <w:pPr>
              <w:pStyle w:val="TableParagraph"/>
              <w:spacing w:line="250" w:lineRule="exact" w:before="1"/>
              <w:ind w:right="-15"/>
              <w:jc w:val="right"/>
              <w:rPr>
                <w:sz w:val="21"/>
              </w:rPr>
            </w:pPr>
            <w:r>
              <w:rPr>
                <w:sz w:val="21"/>
              </w:rPr>
              <w:t>1,161 </w:t>
            </w:r>
          </w:p>
        </w:tc>
      </w:tr>
      <w:tr>
        <w:trPr>
          <w:trHeight w:val="546" w:hRule="atLeast"/>
        </w:trPr>
        <w:tc>
          <w:tcPr>
            <w:tcW w:w="1442" w:type="dxa"/>
          </w:tcPr>
          <w:p>
            <w:pPr>
              <w:pStyle w:val="TableParagraph"/>
              <w:spacing w:line="270" w:lineRule="atLeast"/>
              <w:ind w:left="107" w:right="268"/>
              <w:rPr>
                <w:sz w:val="21"/>
              </w:rPr>
            </w:pPr>
            <w:r>
              <w:rPr>
                <w:sz w:val="21"/>
              </w:rPr>
              <w:t>其他流动负债 </w:t>
            </w:r>
          </w:p>
        </w:tc>
        <w:tc>
          <w:tcPr>
            <w:tcW w:w="3701" w:type="dxa"/>
          </w:tcPr>
          <w:p>
            <w:pPr>
              <w:pStyle w:val="TableParagraph"/>
              <w:spacing w:before="3"/>
              <w:ind w:right="-15"/>
              <w:jc w:val="right"/>
              <w:rPr>
                <w:sz w:val="21"/>
              </w:rPr>
            </w:pPr>
            <w:r>
              <w:rPr>
                <w:sz w:val="21"/>
              </w:rPr>
              <w:t>3,555 </w:t>
            </w:r>
          </w:p>
        </w:tc>
        <w:tc>
          <w:tcPr>
            <w:tcW w:w="3679" w:type="dxa"/>
          </w:tcPr>
          <w:p>
            <w:pPr>
              <w:pStyle w:val="TableParagraph"/>
              <w:spacing w:before="3"/>
              <w:ind w:right="-15"/>
              <w:jc w:val="right"/>
              <w:rPr>
                <w:sz w:val="21"/>
              </w:rPr>
            </w:pPr>
            <w:r>
              <w:rPr>
                <w:sz w:val="21"/>
              </w:rPr>
              <w:t>3,555 </w:t>
            </w:r>
          </w:p>
        </w:tc>
      </w:tr>
      <w:tr>
        <w:trPr>
          <w:trHeight w:val="271" w:hRule="atLeast"/>
        </w:trPr>
        <w:tc>
          <w:tcPr>
            <w:tcW w:w="1442" w:type="dxa"/>
          </w:tcPr>
          <w:p>
            <w:pPr>
              <w:pStyle w:val="TableParagraph"/>
              <w:spacing w:line="250" w:lineRule="exact" w:before="1"/>
              <w:ind w:left="107"/>
              <w:rPr>
                <w:sz w:val="21"/>
              </w:rPr>
            </w:pPr>
            <w:r>
              <w:rPr>
                <w:spacing w:val="-1"/>
                <w:sz w:val="21"/>
              </w:rPr>
              <w:t>租赁负债</w:t>
            </w:r>
            <w:r>
              <w:rPr>
                <w:sz w:val="21"/>
              </w:rPr>
              <w:t> </w:t>
            </w:r>
          </w:p>
        </w:tc>
        <w:tc>
          <w:tcPr>
            <w:tcW w:w="3701" w:type="dxa"/>
          </w:tcPr>
          <w:p>
            <w:pPr>
              <w:pStyle w:val="TableParagraph"/>
              <w:spacing w:line="250" w:lineRule="exact" w:before="1"/>
              <w:ind w:right="-15"/>
              <w:jc w:val="right"/>
              <w:rPr>
                <w:sz w:val="21"/>
              </w:rPr>
            </w:pPr>
            <w:r>
              <w:rPr>
                <w:sz w:val="21"/>
              </w:rPr>
              <w:t>3,502 </w:t>
            </w:r>
          </w:p>
        </w:tc>
        <w:tc>
          <w:tcPr>
            <w:tcW w:w="3679" w:type="dxa"/>
          </w:tcPr>
          <w:p>
            <w:pPr>
              <w:pStyle w:val="TableParagraph"/>
              <w:spacing w:line="250" w:lineRule="exact" w:before="1"/>
              <w:ind w:right="-15"/>
              <w:jc w:val="right"/>
              <w:rPr>
                <w:sz w:val="21"/>
              </w:rPr>
            </w:pPr>
            <w:r>
              <w:rPr>
                <w:sz w:val="21"/>
              </w:rPr>
              <w:t>3,502 </w:t>
            </w:r>
          </w:p>
        </w:tc>
      </w:tr>
      <w:tr>
        <w:trPr>
          <w:trHeight w:val="273" w:hRule="atLeast"/>
        </w:trPr>
        <w:tc>
          <w:tcPr>
            <w:tcW w:w="1442" w:type="dxa"/>
          </w:tcPr>
          <w:p>
            <w:pPr>
              <w:pStyle w:val="TableParagraph"/>
              <w:spacing w:line="252" w:lineRule="exact" w:before="1"/>
              <w:ind w:left="110"/>
              <w:rPr>
                <w:sz w:val="21"/>
              </w:rPr>
            </w:pPr>
            <w:r>
              <w:rPr>
                <w:sz w:val="21"/>
              </w:rPr>
              <w:t>净资产 </w:t>
            </w:r>
          </w:p>
        </w:tc>
        <w:tc>
          <w:tcPr>
            <w:tcW w:w="3701" w:type="dxa"/>
          </w:tcPr>
          <w:p>
            <w:pPr>
              <w:pStyle w:val="TableParagraph"/>
              <w:spacing w:line="252" w:lineRule="exact" w:before="1"/>
              <w:ind w:right="-15"/>
              <w:jc w:val="right"/>
              <w:rPr>
                <w:sz w:val="21"/>
              </w:rPr>
            </w:pPr>
            <w:r>
              <w:rPr>
                <w:sz w:val="21"/>
              </w:rPr>
              <w:t>107,694 </w:t>
            </w:r>
          </w:p>
        </w:tc>
        <w:tc>
          <w:tcPr>
            <w:tcW w:w="3679" w:type="dxa"/>
          </w:tcPr>
          <w:p>
            <w:pPr>
              <w:pStyle w:val="TableParagraph"/>
              <w:spacing w:line="252" w:lineRule="exact" w:before="1"/>
              <w:ind w:right="-15"/>
              <w:jc w:val="right"/>
              <w:rPr>
                <w:sz w:val="21"/>
              </w:rPr>
            </w:pPr>
            <w:r>
              <w:rPr>
                <w:sz w:val="21"/>
              </w:rPr>
              <w:t>85,697 </w:t>
            </w:r>
          </w:p>
        </w:tc>
      </w:tr>
      <w:tr>
        <w:trPr>
          <w:trHeight w:val="544" w:hRule="atLeast"/>
        </w:trPr>
        <w:tc>
          <w:tcPr>
            <w:tcW w:w="1442" w:type="dxa"/>
          </w:tcPr>
          <w:p>
            <w:pPr>
              <w:pStyle w:val="TableParagraph"/>
              <w:spacing w:before="1"/>
              <w:ind w:left="110"/>
              <w:rPr>
                <w:sz w:val="21"/>
              </w:rPr>
            </w:pPr>
            <w:r>
              <w:rPr>
                <w:sz w:val="21"/>
              </w:rPr>
              <w:t>减：少数股</w:t>
            </w:r>
          </w:p>
          <w:p>
            <w:pPr>
              <w:pStyle w:val="TableParagraph"/>
              <w:spacing w:line="250" w:lineRule="exact" w:before="4"/>
              <w:ind w:left="110"/>
              <w:rPr>
                <w:sz w:val="21"/>
              </w:rPr>
            </w:pPr>
            <w:r>
              <w:rPr>
                <w:sz w:val="21"/>
              </w:rPr>
              <w:t>东权益 </w:t>
            </w:r>
          </w:p>
        </w:tc>
        <w:tc>
          <w:tcPr>
            <w:tcW w:w="3701" w:type="dxa"/>
          </w:tcPr>
          <w:p>
            <w:pPr>
              <w:pStyle w:val="TableParagraph"/>
              <w:spacing w:before="1"/>
              <w:ind w:right="-15"/>
              <w:jc w:val="right"/>
              <w:rPr>
                <w:sz w:val="21"/>
              </w:rPr>
            </w:pPr>
            <w:r>
              <w:rPr>
                <w:sz w:val="21"/>
              </w:rPr>
              <w:t>-39,847 </w:t>
            </w:r>
          </w:p>
        </w:tc>
        <w:tc>
          <w:tcPr>
            <w:tcW w:w="3679" w:type="dxa"/>
          </w:tcPr>
          <w:p>
            <w:pPr>
              <w:pStyle w:val="TableParagraph"/>
              <w:spacing w:before="1"/>
              <w:ind w:right="-15"/>
              <w:jc w:val="right"/>
              <w:rPr>
                <w:sz w:val="21"/>
              </w:rPr>
            </w:pPr>
            <w:r>
              <w:rPr>
                <w:w w:val="100"/>
                <w:sz w:val="21"/>
              </w:rPr>
              <w:t> </w:t>
            </w:r>
          </w:p>
        </w:tc>
      </w:tr>
      <w:tr>
        <w:trPr>
          <w:trHeight w:val="544" w:hRule="atLeast"/>
        </w:trPr>
        <w:tc>
          <w:tcPr>
            <w:tcW w:w="1442" w:type="dxa"/>
          </w:tcPr>
          <w:p>
            <w:pPr>
              <w:pStyle w:val="TableParagraph"/>
              <w:spacing w:before="1"/>
              <w:ind w:left="110"/>
              <w:rPr>
                <w:sz w:val="21"/>
              </w:rPr>
            </w:pPr>
            <w:r>
              <w:rPr>
                <w:sz w:val="21"/>
              </w:rPr>
              <w:t>取得的净资</w:t>
            </w:r>
          </w:p>
          <w:p>
            <w:pPr>
              <w:pStyle w:val="TableParagraph"/>
              <w:spacing w:line="250" w:lineRule="exact" w:before="4"/>
              <w:ind w:left="110"/>
              <w:rPr>
                <w:sz w:val="21"/>
              </w:rPr>
            </w:pPr>
            <w:r>
              <w:rPr>
                <w:sz w:val="21"/>
              </w:rPr>
              <w:t>产 </w:t>
            </w:r>
          </w:p>
        </w:tc>
        <w:tc>
          <w:tcPr>
            <w:tcW w:w="3701" w:type="dxa"/>
          </w:tcPr>
          <w:p>
            <w:pPr>
              <w:pStyle w:val="TableParagraph"/>
              <w:spacing w:before="1"/>
              <w:ind w:right="-15"/>
              <w:jc w:val="right"/>
              <w:rPr>
                <w:sz w:val="21"/>
              </w:rPr>
            </w:pPr>
            <w:r>
              <w:rPr>
                <w:sz w:val="21"/>
              </w:rPr>
              <w:t>67,847 </w:t>
            </w:r>
          </w:p>
        </w:tc>
        <w:tc>
          <w:tcPr>
            <w:tcW w:w="3679" w:type="dxa"/>
          </w:tcPr>
          <w:p>
            <w:pPr>
              <w:pStyle w:val="TableParagraph"/>
              <w:spacing w:before="1"/>
              <w:ind w:right="-15"/>
              <w:jc w:val="right"/>
              <w:rPr>
                <w:sz w:val="21"/>
              </w:rPr>
            </w:pPr>
            <w:r>
              <w:rPr>
                <w:sz w:val="21"/>
              </w:rPr>
              <w:t>85,697 </w:t>
            </w:r>
          </w:p>
        </w:tc>
      </w:tr>
    </w:tbl>
    <w:p>
      <w:pPr>
        <w:pStyle w:val="BodyText"/>
        <w:spacing w:before="1"/>
      </w:pPr>
      <w:r>
        <w:rPr>
          <w:w w:val="100"/>
        </w:rPr>
        <w:t> </w:t>
      </w:r>
    </w:p>
    <w:p>
      <w:pPr>
        <w:pStyle w:val="BodyText"/>
        <w:spacing w:before="64"/>
      </w:pPr>
      <w:r>
        <w:rPr>
          <w:spacing w:val="-1"/>
        </w:rPr>
        <w:t>可辨认资产、负债公允价值的确定方法：</w:t>
      </w:r>
      <w:r>
        <w:rPr/>
        <w:t> </w:t>
      </w:r>
    </w:p>
    <w:p>
      <w:pPr>
        <w:pStyle w:val="BodyText"/>
        <w:spacing w:line="244" w:lineRule="auto" w:before="63"/>
        <w:ind w:right="1277"/>
      </w:pPr>
      <w:r>
        <w:rPr/>
        <w:t>评估的各项资产均以评估基准日的实际存量为前提，有关资产的现行市价以评估基准日的国内有效价格为依据； </w:t>
      </w:r>
    </w:p>
    <w:p>
      <w:pPr>
        <w:spacing w:after="0" w:line="244" w:lineRule="auto"/>
        <w:sectPr>
          <w:pgSz w:w="11910" w:h="16840"/>
          <w:pgMar w:header="882" w:footer="1184" w:top="1120" w:bottom="1380" w:left="1480" w:right="0"/>
        </w:sectPr>
      </w:pPr>
    </w:p>
    <w:p>
      <w:pPr>
        <w:pStyle w:val="BodyText"/>
        <w:spacing w:before="7"/>
        <w:ind w:left="0"/>
        <w:rPr>
          <w:sz w:val="25"/>
        </w:rPr>
      </w:pPr>
    </w:p>
    <w:p>
      <w:pPr>
        <w:pStyle w:val="BodyText"/>
        <w:spacing w:line="297" w:lineRule="auto" w:before="72"/>
        <w:ind w:right="6217"/>
      </w:pPr>
      <w:r>
        <w:rPr/>
        <w:t>企业合并中承担的被购买方的或有负债：</w:t>
      </w:r>
      <w:r>
        <w:rPr>
          <w:spacing w:val="1"/>
        </w:rPr>
        <w:t> </w:t>
      </w:r>
      <w:r>
        <w:rPr/>
        <w:t>无 </w:t>
      </w:r>
    </w:p>
    <w:p>
      <w:pPr>
        <w:pStyle w:val="BodyText"/>
        <w:spacing w:line="267" w:lineRule="exact"/>
      </w:pPr>
      <w:r>
        <w:rPr/>
        <w:t>其他说明： </w:t>
      </w:r>
    </w:p>
    <w:p>
      <w:pPr>
        <w:pStyle w:val="BodyText"/>
        <w:spacing w:line="242" w:lineRule="auto" w:before="65"/>
        <w:ind w:right="1277"/>
      </w:pPr>
      <w:r>
        <w:rPr/>
        <w:t>本集团采用估值技术来确定深圳恒驱电机有限公司的资产负债于购买日的公允价值。主要资产的评估方法及其关键假设列示如下： </w:t>
      </w:r>
    </w:p>
    <w:p>
      <w:pPr>
        <w:pStyle w:val="BodyText"/>
        <w:spacing w:before="1"/>
      </w:pPr>
      <w:r>
        <w:rPr>
          <w:w w:val="100"/>
        </w:rPr>
        <w:t> </w:t>
      </w:r>
    </w:p>
    <w:p>
      <w:pPr>
        <w:pStyle w:val="BodyText"/>
        <w:spacing w:before="2"/>
      </w:pPr>
      <w:r>
        <w:rPr>
          <w:spacing w:val="-1"/>
        </w:rPr>
        <w:t>存货、固定资产及无形资产的评估方法为收益法、成本法及市场法，使用的关键假设如下：</w:t>
      </w:r>
      <w:r>
        <w:rPr/>
        <w:t> </w:t>
      </w:r>
    </w:p>
    <w:p>
      <w:pPr>
        <w:pStyle w:val="BodyText"/>
        <w:spacing w:before="4"/>
      </w:pPr>
      <w:r>
        <w:rPr>
          <w:w w:val="100"/>
        </w:rPr>
        <w:t> </w:t>
      </w:r>
    </w:p>
    <w:p>
      <w:pPr>
        <w:pStyle w:val="BodyText"/>
        <w:spacing w:before="3"/>
      </w:pPr>
      <w:r>
        <w:rPr>
          <w:spacing w:val="-1"/>
        </w:rPr>
        <w:t>以评估结果将用于对企业收购资产的会计处理和报告为基本假设前提；</w:t>
      </w:r>
      <w:r>
        <w:rPr/>
        <w:t> </w:t>
      </w:r>
    </w:p>
    <w:p>
      <w:pPr>
        <w:pStyle w:val="BodyText"/>
        <w:spacing w:before="4"/>
      </w:pPr>
      <w:r>
        <w:rPr>
          <w:w w:val="100"/>
        </w:rPr>
        <w:t> </w:t>
      </w:r>
    </w:p>
    <w:p>
      <w:pPr>
        <w:pStyle w:val="BodyText"/>
        <w:spacing w:line="244" w:lineRule="auto" w:before="2"/>
        <w:ind w:right="1277"/>
      </w:pPr>
      <w:r>
        <w:rPr/>
        <w:t>评估基准日后外部经济环境不会发生不可预见的重大变化，不会出现不可预见的因素导致其无法持续经营，被评估资产现有用途不变并持续使用。 </w:t>
      </w:r>
    </w:p>
    <w:p>
      <w:pPr>
        <w:pStyle w:val="BodyText"/>
        <w:spacing w:line="265" w:lineRule="exact"/>
        <w:ind w:left="738"/>
      </w:pPr>
      <w:r>
        <w:rPr>
          <w:w w:val="100"/>
        </w:rPr>
        <w:t> </w:t>
      </w:r>
    </w:p>
    <w:p>
      <w:pPr>
        <w:pStyle w:val="BodyText"/>
        <w:spacing w:before="5"/>
      </w:pPr>
      <w:r>
        <w:rPr>
          <w:w w:val="100"/>
        </w:rPr>
        <w:t> </w:t>
      </w:r>
    </w:p>
    <w:p>
      <w:pPr>
        <w:pStyle w:val="ListParagraph"/>
        <w:numPr>
          <w:ilvl w:val="0"/>
          <w:numId w:val="82"/>
        </w:numPr>
        <w:tabs>
          <w:tab w:pos="746" w:val="left" w:leader="none"/>
        </w:tabs>
        <w:spacing w:line="240" w:lineRule="auto" w:before="63" w:after="0"/>
        <w:ind w:left="745" w:right="0" w:hanging="428"/>
        <w:jc w:val="left"/>
        <w:rPr>
          <w:sz w:val="21"/>
        </w:rPr>
      </w:pPr>
      <w:r>
        <w:rPr>
          <w:sz w:val="21"/>
        </w:rPr>
        <w:t>购买日之前持有的股权按照公允价值重新计量产生的利得或损失</w:t>
      </w:r>
    </w:p>
    <w:p>
      <w:pPr>
        <w:pStyle w:val="BodyText"/>
        <w:spacing w:before="64"/>
      </w:pPr>
      <w:r>
        <w:rPr>
          <w:spacing w:val="-1"/>
        </w:rPr>
        <w:t>是否存在通过多次交易分步实现企业合并且在报告期内取得控制权的交易</w:t>
      </w:r>
    </w:p>
    <w:p>
      <w:pPr>
        <w:pStyle w:val="BodyText"/>
        <w:spacing w:before="2"/>
      </w:pPr>
      <w:r>
        <w:rPr>
          <w:spacing w:val="-1"/>
        </w:rPr>
        <w:t>□适用 √不适用</w:t>
      </w:r>
      <w:r>
        <w:rPr>
          <w:spacing w:val="-3"/>
        </w:rPr>
        <w:t> </w:t>
      </w:r>
      <w:r>
        <w:rPr/>
        <w:t> </w:t>
      </w:r>
    </w:p>
    <w:p>
      <w:pPr>
        <w:pStyle w:val="BodyText"/>
        <w:spacing w:before="5"/>
      </w:pPr>
      <w:r>
        <w:rPr>
          <w:w w:val="100"/>
        </w:rPr>
        <w:t> </w:t>
      </w:r>
    </w:p>
    <w:p>
      <w:pPr>
        <w:pStyle w:val="BodyText"/>
        <w:spacing w:before="2"/>
      </w:pPr>
      <w:r>
        <w:rPr>
          <w:w w:val="100"/>
        </w:rPr>
        <w:t> </w:t>
      </w:r>
    </w:p>
    <w:p>
      <w:pPr>
        <w:pStyle w:val="ListParagraph"/>
        <w:numPr>
          <w:ilvl w:val="0"/>
          <w:numId w:val="82"/>
        </w:numPr>
        <w:tabs>
          <w:tab w:pos="746" w:val="left" w:leader="none"/>
        </w:tabs>
        <w:spacing w:line="244" w:lineRule="auto" w:before="62" w:after="0"/>
        <w:ind w:left="745" w:right="1269" w:hanging="428"/>
        <w:jc w:val="left"/>
        <w:rPr>
          <w:sz w:val="21"/>
        </w:rPr>
      </w:pPr>
      <w:r>
        <w:rPr>
          <w:sz w:val="21"/>
        </w:rPr>
        <w:t>购买日或合并当期期末无法合理确定合并对价或被购买方可辨认资产、负债公允价值的相</w:t>
      </w:r>
      <w:r>
        <w:rPr>
          <w:spacing w:val="1"/>
          <w:sz w:val="21"/>
        </w:rPr>
        <w:t> </w:t>
      </w:r>
      <w:r>
        <w:rPr>
          <w:sz w:val="21"/>
        </w:rPr>
        <w:t>关说明 </w:t>
      </w:r>
    </w:p>
    <w:p>
      <w:pPr>
        <w:pStyle w:val="BodyText"/>
        <w:spacing w:before="56"/>
      </w:pPr>
      <w:r>
        <w:rPr>
          <w:spacing w:val="11"/>
        </w:rPr>
        <w:t>□适用 √不适用</w:t>
      </w:r>
      <w:r>
        <w:rPr>
          <w:spacing w:val="-3"/>
        </w:rPr>
        <w:t> </w:t>
      </w:r>
      <w:r>
        <w:rPr/>
        <w:t> </w:t>
      </w:r>
    </w:p>
    <w:p>
      <w:pPr>
        <w:pStyle w:val="BodyText"/>
        <w:spacing w:before="5"/>
      </w:pPr>
      <w:r>
        <w:rPr>
          <w:w w:val="100"/>
        </w:rPr>
        <w:t> </w:t>
      </w:r>
    </w:p>
    <w:p>
      <w:pPr>
        <w:pStyle w:val="ListParagraph"/>
        <w:numPr>
          <w:ilvl w:val="0"/>
          <w:numId w:val="82"/>
        </w:numPr>
        <w:tabs>
          <w:tab w:pos="746" w:val="left" w:leader="none"/>
        </w:tabs>
        <w:spacing w:line="240" w:lineRule="auto" w:before="62" w:after="0"/>
        <w:ind w:left="745" w:right="0" w:hanging="428"/>
        <w:jc w:val="left"/>
        <w:rPr>
          <w:sz w:val="21"/>
        </w:rPr>
      </w:pPr>
      <w:r>
        <w:rPr>
          <w:sz w:val="21"/>
        </w:rPr>
        <w:t>其他说明 </w:t>
      </w:r>
    </w:p>
    <w:p>
      <w:pPr>
        <w:pStyle w:val="BodyText"/>
        <w:spacing w:before="64"/>
      </w:pPr>
      <w:r>
        <w:rPr>
          <w:spacing w:val="11"/>
        </w:rPr>
        <w:t>□适用 √不适用</w:t>
      </w:r>
      <w:r>
        <w:rPr>
          <w:spacing w:val="-3"/>
        </w:rPr>
        <w:t> </w:t>
      </w:r>
      <w:r>
        <w:rPr/>
        <w:t> </w:t>
      </w:r>
    </w:p>
    <w:p>
      <w:pPr>
        <w:pStyle w:val="BodyText"/>
        <w:spacing w:before="3"/>
      </w:pPr>
      <w:r>
        <w:rPr>
          <w:w w:val="100"/>
        </w:rPr>
        <w:t> </w:t>
      </w:r>
    </w:p>
    <w:p>
      <w:pPr>
        <w:pStyle w:val="BodyText"/>
        <w:spacing w:before="64"/>
      </w:pPr>
      <w:r>
        <w:rPr/>
        <w:t>2、 同一控制下企业合并 </w:t>
      </w:r>
    </w:p>
    <w:p>
      <w:pPr>
        <w:pStyle w:val="BodyText"/>
        <w:spacing w:before="62"/>
      </w:pPr>
      <w:r>
        <w:rPr>
          <w:spacing w:val="-1"/>
        </w:rPr>
        <w:t>□适用 √不适用</w:t>
      </w:r>
      <w:r>
        <w:rPr>
          <w:spacing w:val="-3"/>
        </w:rPr>
        <w:t> </w:t>
      </w:r>
      <w:r>
        <w:rPr/>
        <w:t> </w:t>
      </w:r>
    </w:p>
    <w:p>
      <w:pPr>
        <w:pStyle w:val="BodyText"/>
        <w:spacing w:before="5"/>
      </w:pPr>
      <w:r>
        <w:rPr>
          <w:w w:val="100"/>
        </w:rPr>
        <w:t> </w:t>
      </w:r>
    </w:p>
    <w:p>
      <w:pPr>
        <w:pStyle w:val="BodyText"/>
        <w:spacing w:before="62"/>
      </w:pPr>
      <w:r>
        <w:rPr/>
        <w:t>3、 反向购买 </w:t>
      </w:r>
    </w:p>
    <w:p>
      <w:pPr>
        <w:pStyle w:val="BodyText"/>
        <w:spacing w:before="65"/>
      </w:pPr>
      <w:r>
        <w:rPr>
          <w:spacing w:val="-1"/>
        </w:rPr>
        <w:t>□适用 √不适用</w:t>
      </w:r>
      <w:r>
        <w:rPr>
          <w:spacing w:val="-3"/>
        </w:rPr>
        <w:t> </w:t>
      </w:r>
      <w:r>
        <w:rPr/>
        <w:t> </w:t>
      </w:r>
    </w:p>
    <w:p>
      <w:pPr>
        <w:pStyle w:val="BodyText"/>
        <w:spacing w:before="2"/>
      </w:pPr>
      <w:r>
        <w:rPr>
          <w:w w:val="100"/>
        </w:rPr>
        <w:t> </w:t>
      </w:r>
    </w:p>
    <w:p>
      <w:pPr>
        <w:pStyle w:val="BodyText"/>
        <w:spacing w:before="4"/>
      </w:pPr>
      <w:r>
        <w:rPr>
          <w:w w:val="100"/>
        </w:rPr>
        <w:t> </w:t>
      </w:r>
    </w:p>
    <w:p>
      <w:pPr>
        <w:spacing w:after="0"/>
        <w:sectPr>
          <w:pgSz w:w="11910" w:h="16840"/>
          <w:pgMar w:header="882" w:footer="1184" w:top="1120" w:bottom="1380" w:left="1480" w:right="0"/>
        </w:sectPr>
      </w:pPr>
    </w:p>
    <w:p>
      <w:pPr>
        <w:pStyle w:val="BodyText"/>
        <w:ind w:left="0"/>
        <w:rPr>
          <w:sz w:val="20"/>
        </w:rPr>
      </w:pPr>
    </w:p>
    <w:p>
      <w:pPr>
        <w:pStyle w:val="BodyText"/>
        <w:spacing w:before="11"/>
        <w:ind w:left="0"/>
        <w:rPr>
          <w:sz w:val="15"/>
        </w:rPr>
      </w:pPr>
    </w:p>
    <w:p>
      <w:pPr>
        <w:pStyle w:val="BodyText"/>
      </w:pPr>
      <w:r>
        <w:rPr/>
        <w:t>4、 处置子公司 </w:t>
      </w:r>
    </w:p>
    <w:p>
      <w:pPr>
        <w:pStyle w:val="BodyText"/>
        <w:spacing w:before="65"/>
      </w:pPr>
      <w:r>
        <w:rPr>
          <w:spacing w:val="-1"/>
        </w:rPr>
        <w:t>是否存在单次处置对子公司投资即丧失控制权的情形 </w:t>
      </w:r>
    </w:p>
    <w:p>
      <w:pPr>
        <w:pStyle w:val="BodyText"/>
        <w:spacing w:line="244" w:lineRule="auto" w:before="2"/>
        <w:ind w:right="8320"/>
      </w:pPr>
      <w:r>
        <w:rPr/>
        <w:t>□适用 √不适用其他说明： </w:t>
      </w:r>
    </w:p>
    <w:p>
      <w:pPr>
        <w:pStyle w:val="BodyText"/>
        <w:spacing w:line="265" w:lineRule="exact"/>
      </w:pPr>
      <w:r>
        <w:rPr>
          <w:spacing w:val="-1"/>
        </w:rPr>
        <w:t>□适用 □不适用</w:t>
      </w:r>
      <w:r>
        <w:rPr>
          <w:spacing w:val="-3"/>
        </w:rPr>
        <w:t> </w:t>
      </w:r>
      <w:r>
        <w:rPr/>
        <w:t> </w:t>
      </w:r>
    </w:p>
    <w:p>
      <w:pPr>
        <w:pStyle w:val="BodyText"/>
        <w:spacing w:before="4"/>
      </w:pPr>
      <w:r>
        <w:rPr>
          <w:w w:val="100"/>
        </w:rPr>
        <w:t> </w:t>
      </w:r>
    </w:p>
    <w:p>
      <w:pPr>
        <w:pStyle w:val="BodyText"/>
        <w:spacing w:before="12"/>
        <w:ind w:left="0"/>
        <w:rPr>
          <w:sz w:val="24"/>
        </w:rPr>
      </w:pPr>
    </w:p>
    <w:p>
      <w:pPr>
        <w:pStyle w:val="BodyText"/>
      </w:pPr>
      <w:r>
        <w:rPr/>
        <w:t>5、 其他原因的合并范围变动</w:t>
      </w:r>
    </w:p>
    <w:p>
      <w:pPr>
        <w:pStyle w:val="BodyText"/>
        <w:spacing w:before="64"/>
      </w:pPr>
      <w:r>
        <w:rPr>
          <w:spacing w:val="-1"/>
        </w:rPr>
        <w:t>说明其他原因导致的合并范围变动</w:t>
      </w:r>
      <w:r>
        <w:rPr/>
        <w:t>（如，新设子公司、清算子公司等）及其相关情况： </w:t>
      </w:r>
    </w:p>
    <w:p>
      <w:pPr>
        <w:pStyle w:val="BodyText"/>
        <w:spacing w:before="3"/>
      </w:pPr>
      <w:r>
        <w:rPr>
          <w:spacing w:val="-1"/>
        </w:rPr>
        <w:t>√适用 □不适用</w:t>
      </w:r>
      <w:r>
        <w:rPr>
          <w:spacing w:val="-3"/>
        </w:rPr>
        <w:t> </w:t>
      </w:r>
      <w:r>
        <w:rPr/>
        <w:t> </w:t>
      </w:r>
    </w:p>
    <w:p>
      <w:pPr>
        <w:pStyle w:val="BodyText"/>
        <w:spacing w:before="4"/>
      </w:pPr>
      <w:r>
        <w:rPr>
          <w:w w:val="100"/>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69"/>
        <w:gridCol w:w="2869"/>
        <w:gridCol w:w="2872"/>
      </w:tblGrid>
      <w:tr>
        <w:trPr>
          <w:trHeight w:val="273" w:hRule="atLeast"/>
        </w:trPr>
        <w:tc>
          <w:tcPr>
            <w:tcW w:w="2869" w:type="dxa"/>
          </w:tcPr>
          <w:p>
            <w:pPr>
              <w:pStyle w:val="TableParagraph"/>
              <w:spacing w:line="252" w:lineRule="exact" w:before="1"/>
              <w:ind w:left="1012"/>
              <w:rPr>
                <w:sz w:val="21"/>
              </w:rPr>
            </w:pPr>
            <w:r>
              <w:rPr>
                <w:spacing w:val="-1"/>
                <w:sz w:val="21"/>
              </w:rPr>
              <w:t>公司名称</w:t>
            </w:r>
            <w:r>
              <w:rPr>
                <w:sz w:val="21"/>
              </w:rPr>
              <w:t> </w:t>
            </w:r>
          </w:p>
        </w:tc>
        <w:tc>
          <w:tcPr>
            <w:tcW w:w="2869" w:type="dxa"/>
          </w:tcPr>
          <w:p>
            <w:pPr>
              <w:pStyle w:val="TableParagraph"/>
              <w:spacing w:line="252" w:lineRule="exact" w:before="1"/>
              <w:ind w:left="419" w:right="308"/>
              <w:jc w:val="center"/>
              <w:rPr>
                <w:sz w:val="21"/>
              </w:rPr>
            </w:pPr>
            <w:r>
              <w:rPr>
                <w:spacing w:val="-1"/>
                <w:sz w:val="21"/>
              </w:rPr>
              <w:t>变更原因</w:t>
            </w:r>
            <w:r>
              <w:rPr>
                <w:sz w:val="21"/>
              </w:rPr>
              <w:t> </w:t>
            </w:r>
          </w:p>
        </w:tc>
        <w:tc>
          <w:tcPr>
            <w:tcW w:w="2872" w:type="dxa"/>
          </w:tcPr>
          <w:p>
            <w:pPr>
              <w:pStyle w:val="TableParagraph"/>
              <w:spacing w:line="252" w:lineRule="exact" w:before="1"/>
              <w:ind w:left="655" w:right="548"/>
              <w:jc w:val="center"/>
              <w:rPr>
                <w:sz w:val="21"/>
              </w:rPr>
            </w:pPr>
            <w:r>
              <w:rPr>
                <w:spacing w:val="-1"/>
                <w:sz w:val="21"/>
              </w:rPr>
              <w:t>变更时间</w:t>
            </w:r>
            <w:r>
              <w:rPr>
                <w:sz w:val="21"/>
              </w:rPr>
              <w:t> </w:t>
            </w:r>
          </w:p>
        </w:tc>
      </w:tr>
      <w:tr>
        <w:trPr>
          <w:trHeight w:val="545" w:hRule="atLeast"/>
        </w:trPr>
        <w:tc>
          <w:tcPr>
            <w:tcW w:w="2869" w:type="dxa"/>
          </w:tcPr>
          <w:p>
            <w:pPr>
              <w:pStyle w:val="TableParagraph"/>
              <w:spacing w:before="1"/>
              <w:ind w:left="107"/>
              <w:rPr>
                <w:sz w:val="21"/>
              </w:rPr>
            </w:pPr>
            <w:r>
              <w:rPr>
                <w:spacing w:val="6"/>
                <w:sz w:val="21"/>
              </w:rPr>
              <w:t>富联精密科技</w:t>
            </w:r>
            <w:r>
              <w:rPr>
                <w:sz w:val="21"/>
              </w:rPr>
              <w:t>（</w:t>
            </w:r>
            <w:r>
              <w:rPr>
                <w:spacing w:val="5"/>
                <w:sz w:val="21"/>
              </w:rPr>
              <w:t>赣州</w:t>
            </w:r>
            <w:r>
              <w:rPr>
                <w:spacing w:val="11"/>
                <w:sz w:val="21"/>
              </w:rPr>
              <w:t>）</w:t>
            </w:r>
            <w:r>
              <w:rPr>
                <w:sz w:val="21"/>
              </w:rPr>
              <w:t>有限</w:t>
            </w:r>
          </w:p>
          <w:p>
            <w:pPr>
              <w:pStyle w:val="TableParagraph"/>
              <w:spacing w:line="252" w:lineRule="exact" w:before="2"/>
              <w:ind w:left="107"/>
              <w:rPr>
                <w:sz w:val="21"/>
              </w:rPr>
            </w:pPr>
            <w:r>
              <w:rPr>
                <w:sz w:val="21"/>
              </w:rPr>
              <w:t>公司 </w:t>
            </w:r>
          </w:p>
        </w:tc>
        <w:tc>
          <w:tcPr>
            <w:tcW w:w="2869" w:type="dxa"/>
          </w:tcPr>
          <w:p>
            <w:pPr>
              <w:pStyle w:val="TableParagraph"/>
              <w:spacing w:before="1"/>
              <w:ind w:left="419" w:right="308"/>
              <w:jc w:val="center"/>
              <w:rPr>
                <w:sz w:val="21"/>
              </w:rPr>
            </w:pPr>
            <w:r>
              <w:rPr>
                <w:sz w:val="21"/>
              </w:rPr>
              <w:t>子公司新设 </w:t>
            </w:r>
          </w:p>
        </w:tc>
        <w:tc>
          <w:tcPr>
            <w:tcW w:w="2872" w:type="dxa"/>
          </w:tcPr>
          <w:p>
            <w:pPr>
              <w:pStyle w:val="TableParagraph"/>
              <w:spacing w:before="1"/>
              <w:ind w:left="655" w:right="548"/>
              <w:jc w:val="center"/>
              <w:rPr>
                <w:sz w:val="21"/>
              </w:rPr>
            </w:pPr>
            <w:r>
              <w:rPr>
                <w:sz w:val="21"/>
              </w:rPr>
              <w:t>2022</w:t>
            </w:r>
            <w:r>
              <w:rPr>
                <w:spacing w:val="-36"/>
                <w:sz w:val="21"/>
              </w:rPr>
              <w:t> 年 </w:t>
            </w:r>
            <w:r>
              <w:rPr>
                <w:sz w:val="21"/>
              </w:rPr>
              <w:t>2</w:t>
            </w:r>
            <w:r>
              <w:rPr>
                <w:spacing w:val="-36"/>
                <w:sz w:val="21"/>
              </w:rPr>
              <w:t> 月 </w:t>
            </w:r>
            <w:r>
              <w:rPr>
                <w:sz w:val="21"/>
              </w:rPr>
              <w:t>15</w:t>
            </w:r>
            <w:r>
              <w:rPr>
                <w:spacing w:val="-28"/>
                <w:sz w:val="21"/>
              </w:rPr>
              <w:t> 日</w:t>
            </w:r>
            <w:r>
              <w:rPr>
                <w:sz w:val="21"/>
              </w:rPr>
              <w:t> </w:t>
            </w:r>
          </w:p>
        </w:tc>
      </w:tr>
      <w:tr>
        <w:trPr>
          <w:trHeight w:val="270" w:hRule="atLeast"/>
        </w:trPr>
        <w:tc>
          <w:tcPr>
            <w:tcW w:w="2869" w:type="dxa"/>
          </w:tcPr>
          <w:p>
            <w:pPr>
              <w:pStyle w:val="TableParagraph"/>
              <w:spacing w:line="250" w:lineRule="exact" w:before="1"/>
              <w:ind w:left="107"/>
              <w:rPr>
                <w:sz w:val="21"/>
              </w:rPr>
            </w:pPr>
            <w:r>
              <w:rPr>
                <w:spacing w:val="-1"/>
                <w:sz w:val="21"/>
              </w:rPr>
              <w:t>深圳恒驱电机有限公司</w:t>
            </w:r>
            <w:r>
              <w:rPr>
                <w:sz w:val="21"/>
              </w:rPr>
              <w:t> </w:t>
            </w:r>
          </w:p>
        </w:tc>
        <w:tc>
          <w:tcPr>
            <w:tcW w:w="2869" w:type="dxa"/>
          </w:tcPr>
          <w:p>
            <w:pPr>
              <w:pStyle w:val="TableParagraph"/>
              <w:spacing w:line="250" w:lineRule="exact" w:before="1"/>
              <w:ind w:left="421" w:right="308"/>
              <w:jc w:val="center"/>
              <w:rPr>
                <w:sz w:val="21"/>
              </w:rPr>
            </w:pPr>
            <w:r>
              <w:rPr>
                <w:spacing w:val="-1"/>
                <w:sz w:val="21"/>
              </w:rPr>
              <w:t>非同一控制下企业合并</w:t>
            </w:r>
            <w:r>
              <w:rPr>
                <w:sz w:val="21"/>
              </w:rPr>
              <w:t> </w:t>
            </w:r>
          </w:p>
        </w:tc>
        <w:tc>
          <w:tcPr>
            <w:tcW w:w="2872" w:type="dxa"/>
          </w:tcPr>
          <w:p>
            <w:pPr>
              <w:pStyle w:val="TableParagraph"/>
              <w:spacing w:line="250" w:lineRule="exact" w:before="1"/>
              <w:ind w:left="655" w:right="548"/>
              <w:jc w:val="center"/>
              <w:rPr>
                <w:sz w:val="21"/>
              </w:rPr>
            </w:pPr>
            <w:r>
              <w:rPr>
                <w:sz w:val="21"/>
              </w:rPr>
              <w:t>2022</w:t>
            </w:r>
            <w:r>
              <w:rPr>
                <w:spacing w:val="-36"/>
                <w:sz w:val="21"/>
              </w:rPr>
              <w:t> 年 </w:t>
            </w:r>
            <w:r>
              <w:rPr>
                <w:sz w:val="21"/>
              </w:rPr>
              <w:t>4</w:t>
            </w:r>
            <w:r>
              <w:rPr>
                <w:spacing w:val="-36"/>
                <w:sz w:val="21"/>
              </w:rPr>
              <w:t> 月 </w:t>
            </w:r>
            <w:r>
              <w:rPr>
                <w:sz w:val="21"/>
              </w:rPr>
              <w:t>22</w:t>
            </w:r>
            <w:r>
              <w:rPr>
                <w:spacing w:val="-28"/>
                <w:sz w:val="21"/>
              </w:rPr>
              <w:t> 日</w:t>
            </w:r>
            <w:r>
              <w:rPr>
                <w:sz w:val="21"/>
              </w:rPr>
              <w:t> </w:t>
            </w:r>
          </w:p>
        </w:tc>
      </w:tr>
      <w:tr>
        <w:trPr>
          <w:trHeight w:val="273" w:hRule="atLeast"/>
        </w:trPr>
        <w:tc>
          <w:tcPr>
            <w:tcW w:w="2869" w:type="dxa"/>
          </w:tcPr>
          <w:p>
            <w:pPr>
              <w:pStyle w:val="TableParagraph"/>
              <w:spacing w:line="250" w:lineRule="exact" w:before="3"/>
              <w:ind w:left="107"/>
              <w:rPr>
                <w:sz w:val="21"/>
              </w:rPr>
            </w:pPr>
            <w:r>
              <w:rPr>
                <w:spacing w:val="-1"/>
                <w:sz w:val="21"/>
              </w:rPr>
              <w:t>广东恒驱电机有限公司</w:t>
            </w:r>
            <w:r>
              <w:rPr>
                <w:sz w:val="21"/>
              </w:rPr>
              <w:t> </w:t>
            </w:r>
          </w:p>
        </w:tc>
        <w:tc>
          <w:tcPr>
            <w:tcW w:w="2869" w:type="dxa"/>
          </w:tcPr>
          <w:p>
            <w:pPr>
              <w:pStyle w:val="TableParagraph"/>
              <w:spacing w:line="250" w:lineRule="exact" w:before="3"/>
              <w:ind w:left="421" w:right="308"/>
              <w:jc w:val="center"/>
              <w:rPr>
                <w:sz w:val="21"/>
              </w:rPr>
            </w:pPr>
            <w:r>
              <w:rPr>
                <w:spacing w:val="-1"/>
                <w:sz w:val="21"/>
              </w:rPr>
              <w:t>非同一控制下企业合并</w:t>
            </w:r>
            <w:r>
              <w:rPr>
                <w:sz w:val="21"/>
              </w:rPr>
              <w:t> </w:t>
            </w:r>
          </w:p>
        </w:tc>
        <w:tc>
          <w:tcPr>
            <w:tcW w:w="2872" w:type="dxa"/>
          </w:tcPr>
          <w:p>
            <w:pPr>
              <w:pStyle w:val="TableParagraph"/>
              <w:spacing w:line="250" w:lineRule="exact" w:before="3"/>
              <w:ind w:left="655" w:right="548"/>
              <w:jc w:val="center"/>
              <w:rPr>
                <w:sz w:val="21"/>
              </w:rPr>
            </w:pPr>
            <w:r>
              <w:rPr>
                <w:sz w:val="21"/>
              </w:rPr>
              <w:t>2022</w:t>
            </w:r>
            <w:r>
              <w:rPr>
                <w:spacing w:val="-36"/>
                <w:sz w:val="21"/>
              </w:rPr>
              <w:t> 年 </w:t>
            </w:r>
            <w:r>
              <w:rPr>
                <w:sz w:val="21"/>
              </w:rPr>
              <w:t>4</w:t>
            </w:r>
            <w:r>
              <w:rPr>
                <w:spacing w:val="-36"/>
                <w:sz w:val="21"/>
              </w:rPr>
              <w:t> 月 </w:t>
            </w:r>
            <w:r>
              <w:rPr>
                <w:sz w:val="21"/>
              </w:rPr>
              <w:t>22</w:t>
            </w:r>
            <w:r>
              <w:rPr>
                <w:spacing w:val="-28"/>
                <w:sz w:val="21"/>
              </w:rPr>
              <w:t> 日</w:t>
            </w:r>
            <w:r>
              <w:rPr>
                <w:sz w:val="21"/>
              </w:rPr>
              <w:t> </w:t>
            </w:r>
          </w:p>
        </w:tc>
      </w:tr>
      <w:tr>
        <w:trPr>
          <w:trHeight w:val="544" w:hRule="atLeast"/>
        </w:trPr>
        <w:tc>
          <w:tcPr>
            <w:tcW w:w="2869" w:type="dxa"/>
          </w:tcPr>
          <w:p>
            <w:pPr>
              <w:pStyle w:val="TableParagraph"/>
              <w:spacing w:before="1"/>
              <w:ind w:left="107"/>
              <w:rPr>
                <w:sz w:val="21"/>
              </w:rPr>
            </w:pPr>
            <w:r>
              <w:rPr>
                <w:spacing w:val="6"/>
                <w:sz w:val="21"/>
              </w:rPr>
              <w:t>富联卓越科技</w:t>
            </w:r>
            <w:r>
              <w:rPr>
                <w:sz w:val="21"/>
              </w:rPr>
              <w:t>（</w:t>
            </w:r>
            <w:r>
              <w:rPr>
                <w:spacing w:val="5"/>
                <w:sz w:val="21"/>
              </w:rPr>
              <w:t>绍兴</w:t>
            </w:r>
            <w:r>
              <w:rPr>
                <w:spacing w:val="11"/>
                <w:sz w:val="21"/>
              </w:rPr>
              <w:t>）</w:t>
            </w:r>
            <w:r>
              <w:rPr>
                <w:sz w:val="21"/>
              </w:rPr>
              <w:t>有限</w:t>
            </w:r>
          </w:p>
          <w:p>
            <w:pPr>
              <w:pStyle w:val="TableParagraph"/>
              <w:spacing w:line="250" w:lineRule="exact" w:before="4"/>
              <w:ind w:left="107"/>
              <w:rPr>
                <w:sz w:val="21"/>
              </w:rPr>
            </w:pPr>
            <w:r>
              <w:rPr>
                <w:sz w:val="21"/>
              </w:rPr>
              <w:t>公司 </w:t>
            </w:r>
          </w:p>
        </w:tc>
        <w:tc>
          <w:tcPr>
            <w:tcW w:w="2869" w:type="dxa"/>
          </w:tcPr>
          <w:p>
            <w:pPr>
              <w:pStyle w:val="TableParagraph"/>
              <w:spacing w:before="1"/>
              <w:ind w:left="419" w:right="308"/>
              <w:jc w:val="center"/>
              <w:rPr>
                <w:sz w:val="21"/>
              </w:rPr>
            </w:pPr>
            <w:r>
              <w:rPr>
                <w:sz w:val="21"/>
              </w:rPr>
              <w:t>子公司新设 </w:t>
            </w:r>
          </w:p>
        </w:tc>
        <w:tc>
          <w:tcPr>
            <w:tcW w:w="2872" w:type="dxa"/>
          </w:tcPr>
          <w:p>
            <w:pPr>
              <w:pStyle w:val="TableParagraph"/>
              <w:spacing w:before="1"/>
              <w:ind w:left="655" w:right="548"/>
              <w:jc w:val="center"/>
              <w:rPr>
                <w:sz w:val="21"/>
              </w:rPr>
            </w:pPr>
            <w:r>
              <w:rPr>
                <w:sz w:val="21"/>
              </w:rPr>
              <w:t>2022</w:t>
            </w:r>
            <w:r>
              <w:rPr>
                <w:spacing w:val="-36"/>
                <w:sz w:val="21"/>
              </w:rPr>
              <w:t> 年 </w:t>
            </w:r>
            <w:r>
              <w:rPr>
                <w:sz w:val="21"/>
              </w:rPr>
              <w:t>12</w:t>
            </w:r>
            <w:r>
              <w:rPr>
                <w:spacing w:val="-36"/>
                <w:sz w:val="21"/>
              </w:rPr>
              <w:t> 月 </w:t>
            </w:r>
            <w:r>
              <w:rPr>
                <w:sz w:val="21"/>
              </w:rPr>
              <w:t>7</w:t>
            </w:r>
            <w:r>
              <w:rPr>
                <w:spacing w:val="-28"/>
                <w:sz w:val="21"/>
              </w:rPr>
              <w:t> 日</w:t>
            </w:r>
            <w:r>
              <w:rPr>
                <w:sz w:val="21"/>
              </w:rPr>
              <w:t> </w:t>
            </w:r>
          </w:p>
        </w:tc>
      </w:tr>
      <w:tr>
        <w:trPr>
          <w:trHeight w:val="273" w:hRule="atLeast"/>
        </w:trPr>
        <w:tc>
          <w:tcPr>
            <w:tcW w:w="2869" w:type="dxa"/>
          </w:tcPr>
          <w:p>
            <w:pPr>
              <w:pStyle w:val="TableParagraph"/>
              <w:spacing w:line="252" w:lineRule="exact" w:before="1"/>
              <w:ind w:left="107"/>
              <w:rPr>
                <w:sz w:val="21"/>
              </w:rPr>
            </w:pPr>
            <w:r>
              <w:rPr>
                <w:spacing w:val="-1"/>
                <w:sz w:val="21"/>
              </w:rPr>
              <w:t>廊坊裕展科技有限公司</w:t>
            </w:r>
            <w:r>
              <w:rPr>
                <w:sz w:val="21"/>
              </w:rPr>
              <w:t> </w:t>
            </w:r>
          </w:p>
        </w:tc>
        <w:tc>
          <w:tcPr>
            <w:tcW w:w="2869" w:type="dxa"/>
          </w:tcPr>
          <w:p>
            <w:pPr>
              <w:pStyle w:val="TableParagraph"/>
              <w:spacing w:line="252" w:lineRule="exact" w:before="1"/>
              <w:ind w:left="421" w:right="308"/>
              <w:jc w:val="center"/>
              <w:rPr>
                <w:sz w:val="21"/>
              </w:rPr>
            </w:pPr>
            <w:r>
              <w:rPr>
                <w:sz w:val="21"/>
              </w:rPr>
              <w:t>注销 </w:t>
            </w:r>
          </w:p>
        </w:tc>
        <w:tc>
          <w:tcPr>
            <w:tcW w:w="2872" w:type="dxa"/>
          </w:tcPr>
          <w:p>
            <w:pPr>
              <w:pStyle w:val="TableParagraph"/>
              <w:spacing w:line="252" w:lineRule="exact" w:before="1"/>
              <w:ind w:left="655" w:right="548"/>
              <w:jc w:val="center"/>
              <w:rPr>
                <w:sz w:val="21"/>
              </w:rPr>
            </w:pPr>
            <w:r>
              <w:rPr>
                <w:sz w:val="21"/>
              </w:rPr>
              <w:t>2022</w:t>
            </w:r>
            <w:r>
              <w:rPr>
                <w:spacing w:val="-36"/>
                <w:sz w:val="21"/>
              </w:rPr>
              <w:t> 年 </w:t>
            </w:r>
            <w:r>
              <w:rPr>
                <w:sz w:val="21"/>
              </w:rPr>
              <w:t>2</w:t>
            </w:r>
            <w:r>
              <w:rPr>
                <w:spacing w:val="-36"/>
                <w:sz w:val="21"/>
              </w:rPr>
              <w:t> 月 </w:t>
            </w:r>
            <w:r>
              <w:rPr>
                <w:sz w:val="21"/>
              </w:rPr>
              <w:t>9</w:t>
            </w:r>
            <w:r>
              <w:rPr>
                <w:spacing w:val="-27"/>
                <w:sz w:val="21"/>
              </w:rPr>
              <w:t> 日</w:t>
            </w:r>
            <w:r>
              <w:rPr>
                <w:sz w:val="21"/>
              </w:rPr>
              <w:t> </w:t>
            </w:r>
          </w:p>
        </w:tc>
      </w:tr>
      <w:tr>
        <w:trPr>
          <w:trHeight w:val="270" w:hRule="atLeast"/>
        </w:trPr>
        <w:tc>
          <w:tcPr>
            <w:tcW w:w="2869" w:type="dxa"/>
          </w:tcPr>
          <w:p>
            <w:pPr>
              <w:pStyle w:val="TableParagraph"/>
              <w:spacing w:line="250" w:lineRule="exact" w:before="1"/>
              <w:ind w:left="107"/>
              <w:rPr>
                <w:sz w:val="21"/>
              </w:rPr>
            </w:pPr>
            <w:r>
              <w:rPr>
                <w:spacing w:val="-1"/>
                <w:sz w:val="21"/>
              </w:rPr>
              <w:t>基准精密</w:t>
            </w:r>
            <w:r>
              <w:rPr>
                <w:sz w:val="21"/>
              </w:rPr>
              <w:t>（香港）有限公司 </w:t>
            </w:r>
          </w:p>
        </w:tc>
        <w:tc>
          <w:tcPr>
            <w:tcW w:w="2869" w:type="dxa"/>
          </w:tcPr>
          <w:p>
            <w:pPr>
              <w:pStyle w:val="TableParagraph"/>
              <w:spacing w:line="250" w:lineRule="exact" w:before="1"/>
              <w:ind w:left="421" w:right="308"/>
              <w:jc w:val="center"/>
              <w:rPr>
                <w:sz w:val="21"/>
              </w:rPr>
            </w:pPr>
            <w:r>
              <w:rPr>
                <w:sz w:val="21"/>
              </w:rPr>
              <w:t>注销 </w:t>
            </w:r>
          </w:p>
        </w:tc>
        <w:tc>
          <w:tcPr>
            <w:tcW w:w="2872" w:type="dxa"/>
          </w:tcPr>
          <w:p>
            <w:pPr>
              <w:pStyle w:val="TableParagraph"/>
              <w:spacing w:line="250" w:lineRule="exact" w:before="1"/>
              <w:ind w:left="655" w:right="548"/>
              <w:jc w:val="center"/>
              <w:rPr>
                <w:sz w:val="21"/>
              </w:rPr>
            </w:pPr>
            <w:r>
              <w:rPr>
                <w:sz w:val="21"/>
              </w:rPr>
              <w:t>2022</w:t>
            </w:r>
            <w:r>
              <w:rPr>
                <w:spacing w:val="-36"/>
                <w:sz w:val="21"/>
              </w:rPr>
              <w:t> 年 </w:t>
            </w:r>
            <w:r>
              <w:rPr>
                <w:sz w:val="21"/>
              </w:rPr>
              <w:t>6</w:t>
            </w:r>
            <w:r>
              <w:rPr>
                <w:spacing w:val="-36"/>
                <w:sz w:val="21"/>
              </w:rPr>
              <w:t> 月 </w:t>
            </w:r>
            <w:r>
              <w:rPr>
                <w:sz w:val="21"/>
              </w:rPr>
              <w:t>10</w:t>
            </w:r>
            <w:r>
              <w:rPr>
                <w:spacing w:val="-28"/>
                <w:sz w:val="21"/>
              </w:rPr>
              <w:t> 日</w:t>
            </w:r>
            <w:r>
              <w:rPr>
                <w:sz w:val="21"/>
              </w:rPr>
              <w:t> </w:t>
            </w:r>
          </w:p>
        </w:tc>
      </w:tr>
      <w:tr>
        <w:trPr>
          <w:trHeight w:val="546" w:hRule="atLeast"/>
        </w:trPr>
        <w:tc>
          <w:tcPr>
            <w:tcW w:w="2869" w:type="dxa"/>
          </w:tcPr>
          <w:p>
            <w:pPr>
              <w:pStyle w:val="TableParagraph"/>
              <w:spacing w:line="270" w:lineRule="atLeast"/>
              <w:ind w:left="107" w:right="97"/>
              <w:rPr>
                <w:sz w:val="21"/>
              </w:rPr>
            </w:pPr>
            <w:r>
              <w:rPr>
                <w:spacing w:val="2"/>
                <w:sz w:val="21"/>
              </w:rPr>
              <w:t>深圳智源工业互联网创新中</w:t>
            </w:r>
            <w:r>
              <w:rPr>
                <w:sz w:val="21"/>
              </w:rPr>
              <w:t>心有限公司 </w:t>
            </w:r>
          </w:p>
        </w:tc>
        <w:tc>
          <w:tcPr>
            <w:tcW w:w="2869" w:type="dxa"/>
          </w:tcPr>
          <w:p>
            <w:pPr>
              <w:pStyle w:val="TableParagraph"/>
              <w:spacing w:before="3"/>
              <w:ind w:left="421" w:right="308"/>
              <w:jc w:val="center"/>
              <w:rPr>
                <w:sz w:val="21"/>
              </w:rPr>
            </w:pPr>
            <w:r>
              <w:rPr>
                <w:sz w:val="21"/>
              </w:rPr>
              <w:t>注销 </w:t>
            </w:r>
          </w:p>
        </w:tc>
        <w:tc>
          <w:tcPr>
            <w:tcW w:w="2872" w:type="dxa"/>
          </w:tcPr>
          <w:p>
            <w:pPr>
              <w:pStyle w:val="TableParagraph"/>
              <w:spacing w:before="3"/>
              <w:ind w:left="655" w:right="548"/>
              <w:jc w:val="center"/>
              <w:rPr>
                <w:sz w:val="21"/>
              </w:rPr>
            </w:pPr>
            <w:r>
              <w:rPr>
                <w:sz w:val="21"/>
              </w:rPr>
              <w:t>2022</w:t>
            </w:r>
            <w:r>
              <w:rPr>
                <w:spacing w:val="-36"/>
                <w:sz w:val="21"/>
              </w:rPr>
              <w:t> 年 </w:t>
            </w:r>
            <w:r>
              <w:rPr>
                <w:sz w:val="21"/>
              </w:rPr>
              <w:t>8</w:t>
            </w:r>
            <w:r>
              <w:rPr>
                <w:spacing w:val="-36"/>
                <w:sz w:val="21"/>
              </w:rPr>
              <w:t> 月 </w:t>
            </w:r>
            <w:r>
              <w:rPr>
                <w:sz w:val="21"/>
              </w:rPr>
              <w:t>10</w:t>
            </w:r>
            <w:r>
              <w:rPr>
                <w:spacing w:val="-28"/>
                <w:sz w:val="21"/>
              </w:rPr>
              <w:t> 日</w:t>
            </w:r>
            <w:r>
              <w:rPr>
                <w:sz w:val="21"/>
              </w:rPr>
              <w:t> </w:t>
            </w:r>
          </w:p>
        </w:tc>
      </w:tr>
    </w:tbl>
    <w:p>
      <w:pPr>
        <w:pStyle w:val="BodyText"/>
        <w:ind w:left="0"/>
        <w:rPr>
          <w:sz w:val="20"/>
        </w:rPr>
      </w:pPr>
    </w:p>
    <w:p>
      <w:pPr>
        <w:pStyle w:val="BodyText"/>
        <w:ind w:left="0"/>
        <w:rPr>
          <w:sz w:val="20"/>
        </w:rPr>
      </w:pPr>
    </w:p>
    <w:p>
      <w:pPr>
        <w:pStyle w:val="BodyText"/>
        <w:ind w:left="0"/>
        <w:rPr>
          <w:sz w:val="26"/>
        </w:rPr>
      </w:pPr>
    </w:p>
    <w:p>
      <w:pPr>
        <w:pStyle w:val="BodyText"/>
      </w:pPr>
      <w:r>
        <w:rPr/>
        <w:t>6、 其他 </w:t>
      </w:r>
    </w:p>
    <w:p>
      <w:pPr>
        <w:pStyle w:val="BodyText"/>
        <w:spacing w:before="63"/>
      </w:pPr>
      <w:r>
        <w:rPr>
          <w:spacing w:val="11"/>
        </w:rPr>
        <w:t>□适用 √不适用</w:t>
      </w:r>
      <w:r>
        <w:rPr/>
        <w:t> </w:t>
      </w:r>
    </w:p>
    <w:p>
      <w:pPr>
        <w:pStyle w:val="BodyText"/>
        <w:spacing w:before="4"/>
      </w:pPr>
      <w:r>
        <w:rPr>
          <w:w w:val="100"/>
        </w:rPr>
        <w:t> </w:t>
      </w:r>
    </w:p>
    <w:p>
      <w:pPr>
        <w:spacing w:after="0"/>
        <w:sectPr>
          <w:pgSz w:w="11910" w:h="16840"/>
          <w:pgMar w:header="882" w:footer="1184" w:top="1120" w:bottom="1380" w:left="1480" w:right="0"/>
        </w:sectPr>
      </w:pPr>
    </w:p>
    <w:p>
      <w:pPr>
        <w:pStyle w:val="BodyText"/>
        <w:ind w:left="0"/>
        <w:rPr>
          <w:sz w:val="20"/>
        </w:rPr>
      </w:pPr>
    </w:p>
    <w:p>
      <w:pPr>
        <w:pStyle w:val="BodyText"/>
        <w:spacing w:before="11"/>
        <w:ind w:left="0"/>
        <w:rPr>
          <w:sz w:val="15"/>
        </w:rPr>
      </w:pPr>
    </w:p>
    <w:p>
      <w:pPr>
        <w:pStyle w:val="BodyText"/>
        <w:spacing w:line="297" w:lineRule="auto"/>
        <w:ind w:right="7677"/>
      </w:pPr>
      <w:r>
        <w:rPr>
          <w:spacing w:val="-10"/>
        </w:rPr>
        <w:t>九、 在其他主体中的权益</w:t>
      </w:r>
      <w:r>
        <w:rPr/>
        <w:t>1、 在子公司中的权益(1).企业集团的构成 </w:t>
      </w:r>
    </w:p>
    <w:p>
      <w:pPr>
        <w:pStyle w:val="BodyText"/>
        <w:spacing w:line="267" w:lineRule="exact"/>
      </w:pPr>
      <w:r>
        <w:rPr>
          <w:spacing w:val="-1"/>
        </w:rPr>
        <w:t>√适用 □不适用</w:t>
      </w:r>
      <w:r>
        <w:rPr>
          <w:spacing w:val="-3"/>
        </w:rPr>
        <w:t> </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2"/>
        <w:gridCol w:w="1181"/>
        <w:gridCol w:w="1164"/>
        <w:gridCol w:w="1193"/>
        <w:gridCol w:w="1178"/>
        <w:gridCol w:w="1191"/>
        <w:gridCol w:w="1294"/>
      </w:tblGrid>
      <w:tr>
        <w:trPr>
          <w:trHeight w:val="273" w:hRule="atLeast"/>
        </w:trPr>
        <w:tc>
          <w:tcPr>
            <w:tcW w:w="1622" w:type="dxa"/>
            <w:vMerge w:val="restart"/>
          </w:tcPr>
          <w:p>
            <w:pPr>
              <w:pStyle w:val="TableParagraph"/>
              <w:spacing w:line="270" w:lineRule="atLeast" w:before="1"/>
              <w:ind w:left="599" w:right="379" w:hanging="106"/>
              <w:rPr>
                <w:sz w:val="21"/>
              </w:rPr>
            </w:pPr>
            <w:r>
              <w:rPr>
                <w:sz w:val="21"/>
              </w:rPr>
              <w:t>子公司名称 </w:t>
            </w:r>
          </w:p>
        </w:tc>
        <w:tc>
          <w:tcPr>
            <w:tcW w:w="1181" w:type="dxa"/>
            <w:vMerge w:val="restart"/>
          </w:tcPr>
          <w:p>
            <w:pPr>
              <w:pStyle w:val="TableParagraph"/>
              <w:spacing w:line="270" w:lineRule="atLeast" w:before="1"/>
              <w:ind w:left="483" w:right="158" w:hanging="315"/>
              <w:rPr>
                <w:sz w:val="21"/>
              </w:rPr>
            </w:pPr>
            <w:r>
              <w:rPr>
                <w:spacing w:val="-1"/>
                <w:sz w:val="21"/>
              </w:rPr>
              <w:t>主要经营</w:t>
            </w:r>
            <w:r>
              <w:rPr>
                <w:sz w:val="21"/>
              </w:rPr>
              <w:t>地 </w:t>
            </w:r>
          </w:p>
        </w:tc>
        <w:tc>
          <w:tcPr>
            <w:tcW w:w="1164" w:type="dxa"/>
            <w:vMerge w:val="restart"/>
          </w:tcPr>
          <w:p>
            <w:pPr>
              <w:pStyle w:val="TableParagraph"/>
              <w:spacing w:before="145"/>
              <w:ind w:left="264"/>
              <w:rPr>
                <w:sz w:val="21"/>
              </w:rPr>
            </w:pPr>
            <w:r>
              <w:rPr>
                <w:sz w:val="21"/>
              </w:rPr>
              <w:t>注册地 </w:t>
            </w:r>
          </w:p>
        </w:tc>
        <w:tc>
          <w:tcPr>
            <w:tcW w:w="1193" w:type="dxa"/>
            <w:vMerge w:val="restart"/>
          </w:tcPr>
          <w:p>
            <w:pPr>
              <w:pStyle w:val="TableParagraph"/>
              <w:spacing w:before="145"/>
              <w:ind w:left="175"/>
              <w:rPr>
                <w:sz w:val="21"/>
              </w:rPr>
            </w:pPr>
            <w:r>
              <w:rPr>
                <w:spacing w:val="-1"/>
                <w:sz w:val="21"/>
              </w:rPr>
              <w:t>业务性质</w:t>
            </w:r>
            <w:r>
              <w:rPr>
                <w:sz w:val="21"/>
              </w:rPr>
              <w:t> </w:t>
            </w:r>
          </w:p>
        </w:tc>
        <w:tc>
          <w:tcPr>
            <w:tcW w:w="2369" w:type="dxa"/>
            <w:gridSpan w:val="2"/>
          </w:tcPr>
          <w:p>
            <w:pPr>
              <w:pStyle w:val="TableParagraph"/>
              <w:spacing w:line="252" w:lineRule="exact" w:before="1"/>
              <w:ind w:left="607"/>
              <w:rPr>
                <w:sz w:val="21"/>
              </w:rPr>
            </w:pPr>
            <w:r>
              <w:rPr>
                <w:spacing w:val="-1"/>
                <w:sz w:val="21"/>
              </w:rPr>
              <w:t>持股比例(%)</w:t>
            </w:r>
            <w:r>
              <w:rPr>
                <w:sz w:val="21"/>
              </w:rPr>
              <w:t> </w:t>
            </w:r>
          </w:p>
        </w:tc>
        <w:tc>
          <w:tcPr>
            <w:tcW w:w="1294" w:type="dxa"/>
            <w:vMerge w:val="restart"/>
          </w:tcPr>
          <w:p>
            <w:pPr>
              <w:pStyle w:val="TableParagraph"/>
              <w:spacing w:line="270" w:lineRule="atLeast" w:before="1"/>
              <w:ind w:left="435" w:right="320"/>
              <w:rPr>
                <w:sz w:val="21"/>
              </w:rPr>
            </w:pPr>
            <w:r>
              <w:rPr>
                <w:sz w:val="21"/>
              </w:rPr>
              <w:t>取得方式 </w:t>
            </w:r>
          </w:p>
        </w:tc>
      </w:tr>
      <w:tr>
        <w:trPr>
          <w:trHeight w:val="278" w:hRule="atLeast"/>
        </w:trPr>
        <w:tc>
          <w:tcPr>
            <w:tcW w:w="1622" w:type="dxa"/>
            <w:vMerge/>
            <w:tcBorders>
              <w:top w:val="nil"/>
            </w:tcBorders>
          </w:tcPr>
          <w:p>
            <w:pPr>
              <w:rPr>
                <w:sz w:val="2"/>
                <w:szCs w:val="2"/>
              </w:rPr>
            </w:pPr>
          </w:p>
        </w:tc>
        <w:tc>
          <w:tcPr>
            <w:tcW w:w="1181" w:type="dxa"/>
            <w:vMerge/>
            <w:tcBorders>
              <w:top w:val="nil"/>
            </w:tcBorders>
          </w:tcPr>
          <w:p>
            <w:pPr>
              <w:rPr>
                <w:sz w:val="2"/>
                <w:szCs w:val="2"/>
              </w:rPr>
            </w:pPr>
          </w:p>
        </w:tc>
        <w:tc>
          <w:tcPr>
            <w:tcW w:w="1164" w:type="dxa"/>
            <w:vMerge/>
            <w:tcBorders>
              <w:top w:val="nil"/>
            </w:tcBorders>
          </w:tcPr>
          <w:p>
            <w:pPr>
              <w:rPr>
                <w:sz w:val="2"/>
                <w:szCs w:val="2"/>
              </w:rPr>
            </w:pPr>
          </w:p>
        </w:tc>
        <w:tc>
          <w:tcPr>
            <w:tcW w:w="1193" w:type="dxa"/>
            <w:vMerge/>
            <w:tcBorders>
              <w:top w:val="nil"/>
            </w:tcBorders>
          </w:tcPr>
          <w:p>
            <w:pPr>
              <w:rPr>
                <w:sz w:val="2"/>
                <w:szCs w:val="2"/>
              </w:rPr>
            </w:pPr>
          </w:p>
        </w:tc>
        <w:tc>
          <w:tcPr>
            <w:tcW w:w="1178" w:type="dxa"/>
          </w:tcPr>
          <w:p>
            <w:pPr>
              <w:pStyle w:val="TableParagraph"/>
              <w:spacing w:line="255" w:lineRule="exact" w:before="3"/>
              <w:ind w:left="379"/>
              <w:rPr>
                <w:sz w:val="21"/>
              </w:rPr>
            </w:pPr>
            <w:r>
              <w:rPr>
                <w:sz w:val="21"/>
              </w:rPr>
              <w:t>直接 </w:t>
            </w:r>
          </w:p>
        </w:tc>
        <w:tc>
          <w:tcPr>
            <w:tcW w:w="1191" w:type="dxa"/>
          </w:tcPr>
          <w:p>
            <w:pPr>
              <w:pStyle w:val="TableParagraph"/>
              <w:spacing w:line="255" w:lineRule="exact" w:before="3"/>
              <w:ind w:left="385"/>
              <w:rPr>
                <w:sz w:val="21"/>
              </w:rPr>
            </w:pPr>
            <w:r>
              <w:rPr>
                <w:sz w:val="21"/>
              </w:rPr>
              <w:t>间接 </w:t>
            </w:r>
          </w:p>
        </w:tc>
        <w:tc>
          <w:tcPr>
            <w:tcW w:w="1294" w:type="dxa"/>
            <w:vMerge/>
            <w:tcBorders>
              <w:top w:val="nil"/>
            </w:tcBorders>
          </w:tcPr>
          <w:p>
            <w:pPr>
              <w:rPr>
                <w:sz w:val="2"/>
                <w:szCs w:val="2"/>
              </w:rPr>
            </w:pPr>
          </w:p>
        </w:tc>
      </w:tr>
      <w:tr>
        <w:trPr>
          <w:trHeight w:val="1633" w:hRule="atLeast"/>
        </w:trPr>
        <w:tc>
          <w:tcPr>
            <w:tcW w:w="1622" w:type="dxa"/>
          </w:tcPr>
          <w:p>
            <w:pPr>
              <w:pStyle w:val="TableParagraph"/>
              <w:spacing w:line="242" w:lineRule="auto" w:before="1"/>
              <w:ind w:left="107" w:right="134"/>
              <w:rPr>
                <w:sz w:val="21"/>
              </w:rPr>
            </w:pPr>
            <w:r>
              <w:rPr>
                <w:sz w:val="21"/>
              </w:rPr>
              <w:t>富联国基(上</w:t>
            </w:r>
            <w:r>
              <w:rPr>
                <w:spacing w:val="1"/>
                <w:sz w:val="21"/>
              </w:rPr>
              <w:t> </w:t>
            </w:r>
            <w:r>
              <w:rPr>
                <w:spacing w:val="-1"/>
                <w:sz w:val="21"/>
              </w:rPr>
              <w:t>海)电子有限公</w:t>
            </w:r>
            <w:r>
              <w:rPr>
                <w:spacing w:val="14"/>
                <w:sz w:val="21"/>
              </w:rPr>
              <w:t>司    (原</w:t>
            </w:r>
            <w:r>
              <w:rPr>
                <w:spacing w:val="7"/>
                <w:sz w:val="21"/>
              </w:rPr>
              <w:t> </w:t>
            </w:r>
            <w:r>
              <w:rPr>
                <w:sz w:val="21"/>
              </w:rPr>
              <w:t>名：国基电子</w:t>
            </w:r>
            <w:r>
              <w:rPr>
                <w:spacing w:val="1"/>
                <w:sz w:val="21"/>
              </w:rPr>
              <w:t> </w:t>
            </w:r>
            <w:r>
              <w:rPr>
                <w:sz w:val="21"/>
              </w:rPr>
              <w:t>(上海)有限公</w:t>
            </w:r>
          </w:p>
          <w:p>
            <w:pPr>
              <w:pStyle w:val="TableParagraph"/>
              <w:spacing w:line="250" w:lineRule="exact" w:before="4"/>
              <w:ind w:left="107"/>
              <w:rPr>
                <w:sz w:val="21"/>
              </w:rPr>
            </w:pPr>
            <w:r>
              <w:rPr>
                <w:sz w:val="21"/>
              </w:rPr>
              <w:t>司) </w:t>
            </w:r>
          </w:p>
        </w:tc>
        <w:tc>
          <w:tcPr>
            <w:tcW w:w="1181" w:type="dxa"/>
          </w:tcPr>
          <w:p>
            <w:pPr>
              <w:pStyle w:val="TableParagraph"/>
              <w:spacing w:before="1"/>
              <w:ind w:left="141" w:right="49"/>
              <w:jc w:val="center"/>
              <w:rPr>
                <w:sz w:val="21"/>
              </w:rPr>
            </w:pPr>
            <w:r>
              <w:rPr>
                <w:spacing w:val="-1"/>
                <w:sz w:val="21"/>
              </w:rPr>
              <w:t>中国,上海</w:t>
            </w:r>
            <w:r>
              <w:rPr>
                <w:sz w:val="21"/>
              </w:rPr>
              <w:t> </w:t>
            </w:r>
          </w:p>
        </w:tc>
        <w:tc>
          <w:tcPr>
            <w:tcW w:w="1164" w:type="dxa"/>
          </w:tcPr>
          <w:p>
            <w:pPr>
              <w:pStyle w:val="TableParagraph"/>
              <w:spacing w:before="1"/>
              <w:ind w:right="-15"/>
              <w:jc w:val="right"/>
              <w:rPr>
                <w:sz w:val="21"/>
              </w:rPr>
            </w:pPr>
            <w:r>
              <w:rPr>
                <w:spacing w:val="-1"/>
                <w:sz w:val="21"/>
              </w:rPr>
              <w:t>中国,上海</w:t>
            </w:r>
            <w:r>
              <w:rPr>
                <w:sz w:val="21"/>
              </w:rPr>
              <w:t> </w:t>
            </w:r>
          </w:p>
        </w:tc>
        <w:tc>
          <w:tcPr>
            <w:tcW w:w="1193" w:type="dxa"/>
          </w:tcPr>
          <w:p>
            <w:pPr>
              <w:pStyle w:val="TableParagraph"/>
              <w:spacing w:line="242" w:lineRule="auto" w:before="1"/>
              <w:ind w:left="108" w:right="230"/>
              <w:rPr>
                <w:sz w:val="21"/>
              </w:rPr>
            </w:pPr>
            <w:r>
              <w:rPr>
                <w:sz w:val="21"/>
              </w:rPr>
              <w:t>网络设</w:t>
            </w:r>
            <w:r>
              <w:rPr>
                <w:spacing w:val="1"/>
                <w:sz w:val="21"/>
              </w:rPr>
              <w:t> </w:t>
            </w:r>
            <w:r>
              <w:rPr>
                <w:spacing w:val="-1"/>
                <w:sz w:val="21"/>
              </w:rPr>
              <w:t>备、电信设备、通信网络高精密机构</w:t>
            </w:r>
          </w:p>
          <w:p>
            <w:pPr>
              <w:pStyle w:val="TableParagraph"/>
              <w:spacing w:line="250" w:lineRule="exact" w:before="4"/>
              <w:ind w:left="108"/>
              <w:rPr>
                <w:sz w:val="21"/>
              </w:rPr>
            </w:pPr>
            <w:r>
              <w:rPr>
                <w:sz w:val="21"/>
              </w:rPr>
              <w:t>件 </w:t>
            </w:r>
          </w:p>
        </w:tc>
        <w:tc>
          <w:tcPr>
            <w:tcW w:w="1178" w:type="dxa"/>
          </w:tcPr>
          <w:p>
            <w:pPr>
              <w:pStyle w:val="TableParagraph"/>
              <w:spacing w:before="1"/>
              <w:ind w:right="-15"/>
              <w:jc w:val="right"/>
              <w:rPr>
                <w:sz w:val="21"/>
              </w:rPr>
            </w:pPr>
            <w:r>
              <w:rPr>
                <w:sz w:val="21"/>
              </w:rPr>
              <w:t>100% </w:t>
            </w:r>
          </w:p>
        </w:tc>
        <w:tc>
          <w:tcPr>
            <w:tcW w:w="1191" w:type="dxa"/>
          </w:tcPr>
          <w:p>
            <w:pPr>
              <w:pStyle w:val="TableParagraph"/>
              <w:spacing w:before="1"/>
              <w:ind w:right="-15"/>
              <w:jc w:val="right"/>
              <w:rPr>
                <w:sz w:val="21"/>
              </w:rPr>
            </w:pPr>
            <w:r>
              <w:rPr>
                <w:w w:val="100"/>
                <w:sz w:val="21"/>
              </w:rPr>
              <w:t> </w:t>
            </w:r>
          </w:p>
        </w:tc>
        <w:tc>
          <w:tcPr>
            <w:tcW w:w="1294" w:type="dxa"/>
          </w:tcPr>
          <w:p>
            <w:pPr>
              <w:pStyle w:val="TableParagraph"/>
              <w:spacing w:line="244" w:lineRule="auto" w:before="1"/>
              <w:ind w:left="106" w:right="121"/>
              <w:rPr>
                <w:sz w:val="21"/>
              </w:rPr>
            </w:pPr>
            <w:r>
              <w:rPr>
                <w:sz w:val="21"/>
              </w:rPr>
              <w:t>同一控制下企业合并 </w:t>
            </w:r>
          </w:p>
        </w:tc>
      </w:tr>
      <w:tr>
        <w:trPr>
          <w:trHeight w:val="818" w:hRule="atLeast"/>
        </w:trPr>
        <w:tc>
          <w:tcPr>
            <w:tcW w:w="1622" w:type="dxa"/>
          </w:tcPr>
          <w:p>
            <w:pPr>
              <w:pStyle w:val="TableParagraph"/>
              <w:spacing w:before="1"/>
              <w:ind w:left="107"/>
              <w:rPr>
                <w:sz w:val="21"/>
              </w:rPr>
            </w:pPr>
            <w:r>
              <w:rPr>
                <w:sz w:val="21"/>
              </w:rPr>
              <w:t>基准精密工业</w:t>
            </w:r>
          </w:p>
          <w:p>
            <w:pPr>
              <w:pStyle w:val="TableParagraph"/>
              <w:spacing w:line="270" w:lineRule="atLeast"/>
              <w:ind w:left="107" w:right="239"/>
              <w:rPr>
                <w:sz w:val="21"/>
              </w:rPr>
            </w:pPr>
            <w:r>
              <w:rPr>
                <w:spacing w:val="-1"/>
                <w:sz w:val="21"/>
              </w:rPr>
              <w:t>(惠州)有限公</w:t>
            </w:r>
            <w:r>
              <w:rPr>
                <w:sz w:val="21"/>
              </w:rPr>
              <w:t>司 </w:t>
            </w:r>
          </w:p>
        </w:tc>
        <w:tc>
          <w:tcPr>
            <w:tcW w:w="1181" w:type="dxa"/>
          </w:tcPr>
          <w:p>
            <w:pPr>
              <w:pStyle w:val="TableParagraph"/>
              <w:spacing w:before="1"/>
              <w:ind w:left="141" w:right="49"/>
              <w:jc w:val="center"/>
              <w:rPr>
                <w:sz w:val="21"/>
              </w:rPr>
            </w:pPr>
            <w:r>
              <w:rPr>
                <w:spacing w:val="-1"/>
                <w:sz w:val="21"/>
              </w:rPr>
              <w:t>中国,惠州</w:t>
            </w:r>
            <w:r>
              <w:rPr>
                <w:sz w:val="21"/>
              </w:rPr>
              <w:t> </w:t>
            </w:r>
          </w:p>
        </w:tc>
        <w:tc>
          <w:tcPr>
            <w:tcW w:w="1164" w:type="dxa"/>
          </w:tcPr>
          <w:p>
            <w:pPr>
              <w:pStyle w:val="TableParagraph"/>
              <w:spacing w:before="1"/>
              <w:ind w:right="-15"/>
              <w:jc w:val="right"/>
              <w:rPr>
                <w:sz w:val="21"/>
              </w:rPr>
            </w:pPr>
            <w:r>
              <w:rPr>
                <w:spacing w:val="-1"/>
                <w:sz w:val="21"/>
              </w:rPr>
              <w:t>中国,惠州</w:t>
            </w:r>
            <w:r>
              <w:rPr>
                <w:sz w:val="21"/>
              </w:rPr>
              <w:t> </w:t>
            </w:r>
          </w:p>
        </w:tc>
        <w:tc>
          <w:tcPr>
            <w:tcW w:w="1193" w:type="dxa"/>
          </w:tcPr>
          <w:p>
            <w:pPr>
              <w:pStyle w:val="TableParagraph"/>
              <w:spacing w:before="1"/>
              <w:ind w:left="108"/>
              <w:rPr>
                <w:sz w:val="21"/>
              </w:rPr>
            </w:pPr>
            <w:r>
              <w:rPr>
                <w:spacing w:val="-1"/>
                <w:sz w:val="21"/>
              </w:rPr>
              <w:t>精密工具</w:t>
            </w:r>
            <w:r>
              <w:rPr>
                <w:sz w:val="21"/>
              </w:rPr>
              <w:t> </w:t>
            </w:r>
          </w:p>
        </w:tc>
        <w:tc>
          <w:tcPr>
            <w:tcW w:w="1178" w:type="dxa"/>
          </w:tcPr>
          <w:p>
            <w:pPr>
              <w:pStyle w:val="TableParagraph"/>
              <w:spacing w:before="1"/>
              <w:ind w:right="-15"/>
              <w:jc w:val="right"/>
              <w:rPr>
                <w:sz w:val="21"/>
              </w:rPr>
            </w:pPr>
            <w:r>
              <w:rPr>
                <w:sz w:val="21"/>
              </w:rPr>
              <w:t>100% </w:t>
            </w:r>
          </w:p>
        </w:tc>
        <w:tc>
          <w:tcPr>
            <w:tcW w:w="1191" w:type="dxa"/>
          </w:tcPr>
          <w:p>
            <w:pPr>
              <w:pStyle w:val="TableParagraph"/>
              <w:spacing w:before="1"/>
              <w:ind w:right="-15"/>
              <w:jc w:val="right"/>
              <w:rPr>
                <w:sz w:val="21"/>
              </w:rPr>
            </w:pPr>
            <w:r>
              <w:rPr>
                <w:w w:val="100"/>
                <w:sz w:val="21"/>
              </w:rPr>
              <w:t> </w:t>
            </w:r>
          </w:p>
        </w:tc>
        <w:tc>
          <w:tcPr>
            <w:tcW w:w="1294" w:type="dxa"/>
          </w:tcPr>
          <w:p>
            <w:pPr>
              <w:pStyle w:val="TableParagraph"/>
              <w:spacing w:line="244" w:lineRule="auto" w:before="1"/>
              <w:ind w:left="106" w:right="121"/>
              <w:rPr>
                <w:sz w:val="21"/>
              </w:rPr>
            </w:pPr>
            <w:r>
              <w:rPr>
                <w:sz w:val="21"/>
              </w:rPr>
              <w:t>同一控制下企业合并 </w:t>
            </w:r>
          </w:p>
        </w:tc>
      </w:tr>
      <w:tr>
        <w:trPr>
          <w:trHeight w:val="1634" w:hRule="atLeast"/>
        </w:trPr>
        <w:tc>
          <w:tcPr>
            <w:tcW w:w="1622" w:type="dxa"/>
          </w:tcPr>
          <w:p>
            <w:pPr>
              <w:pStyle w:val="TableParagraph"/>
              <w:spacing w:line="242" w:lineRule="auto" w:before="1"/>
              <w:ind w:left="107" w:right="134"/>
              <w:rPr>
                <w:sz w:val="21"/>
              </w:rPr>
            </w:pPr>
            <w:r>
              <w:rPr>
                <w:spacing w:val="-1"/>
                <w:sz w:val="21"/>
              </w:rPr>
              <w:t>富联百佳泰(北京)贸易有限公</w:t>
            </w:r>
            <w:r>
              <w:rPr>
                <w:spacing w:val="14"/>
                <w:sz w:val="21"/>
              </w:rPr>
              <w:t>司    (原</w:t>
            </w:r>
            <w:r>
              <w:rPr>
                <w:spacing w:val="7"/>
                <w:sz w:val="21"/>
              </w:rPr>
              <w:t> </w:t>
            </w:r>
            <w:r>
              <w:rPr>
                <w:sz w:val="21"/>
              </w:rPr>
              <w:t>名：百佳泰信息技术(北京)</w:t>
            </w:r>
          </w:p>
          <w:p>
            <w:pPr>
              <w:pStyle w:val="TableParagraph"/>
              <w:spacing w:line="252" w:lineRule="exact" w:before="2"/>
              <w:ind w:left="107"/>
              <w:rPr>
                <w:sz w:val="21"/>
              </w:rPr>
            </w:pPr>
            <w:r>
              <w:rPr>
                <w:spacing w:val="-1"/>
                <w:sz w:val="21"/>
              </w:rPr>
              <w:t>有限公司)</w:t>
            </w:r>
            <w:r>
              <w:rPr>
                <w:sz w:val="21"/>
              </w:rPr>
              <w:t> </w:t>
            </w:r>
          </w:p>
        </w:tc>
        <w:tc>
          <w:tcPr>
            <w:tcW w:w="1181" w:type="dxa"/>
          </w:tcPr>
          <w:p>
            <w:pPr>
              <w:pStyle w:val="TableParagraph"/>
              <w:spacing w:before="1"/>
              <w:ind w:left="141" w:right="49"/>
              <w:jc w:val="center"/>
              <w:rPr>
                <w:sz w:val="21"/>
              </w:rPr>
            </w:pPr>
            <w:r>
              <w:rPr>
                <w:spacing w:val="-1"/>
                <w:sz w:val="21"/>
              </w:rPr>
              <w:t>中国,北京</w:t>
            </w:r>
            <w:r>
              <w:rPr>
                <w:sz w:val="21"/>
              </w:rPr>
              <w:t> </w:t>
            </w:r>
          </w:p>
        </w:tc>
        <w:tc>
          <w:tcPr>
            <w:tcW w:w="1164" w:type="dxa"/>
          </w:tcPr>
          <w:p>
            <w:pPr>
              <w:pStyle w:val="TableParagraph"/>
              <w:spacing w:before="1"/>
              <w:ind w:right="-15"/>
              <w:jc w:val="right"/>
              <w:rPr>
                <w:sz w:val="21"/>
              </w:rPr>
            </w:pPr>
            <w:r>
              <w:rPr>
                <w:spacing w:val="-1"/>
                <w:sz w:val="21"/>
              </w:rPr>
              <w:t>中国,北京</w:t>
            </w:r>
            <w:r>
              <w:rPr>
                <w:sz w:val="21"/>
              </w:rPr>
              <w:t> </w:t>
            </w:r>
          </w:p>
        </w:tc>
        <w:tc>
          <w:tcPr>
            <w:tcW w:w="1193" w:type="dxa"/>
          </w:tcPr>
          <w:p>
            <w:pPr>
              <w:pStyle w:val="TableParagraph"/>
              <w:spacing w:before="1"/>
              <w:ind w:left="108"/>
              <w:rPr>
                <w:sz w:val="21"/>
              </w:rPr>
            </w:pPr>
            <w:r>
              <w:rPr>
                <w:sz w:val="21"/>
              </w:rPr>
              <w:t>服务器 </w:t>
            </w:r>
          </w:p>
        </w:tc>
        <w:tc>
          <w:tcPr>
            <w:tcW w:w="1178" w:type="dxa"/>
          </w:tcPr>
          <w:p>
            <w:pPr>
              <w:pStyle w:val="TableParagraph"/>
              <w:spacing w:before="1"/>
              <w:ind w:right="-15"/>
              <w:jc w:val="right"/>
              <w:rPr>
                <w:sz w:val="21"/>
              </w:rPr>
            </w:pPr>
            <w:r>
              <w:rPr>
                <w:sz w:val="21"/>
              </w:rPr>
              <w:t>100% </w:t>
            </w:r>
          </w:p>
        </w:tc>
        <w:tc>
          <w:tcPr>
            <w:tcW w:w="1191" w:type="dxa"/>
          </w:tcPr>
          <w:p>
            <w:pPr>
              <w:pStyle w:val="TableParagraph"/>
              <w:spacing w:before="1"/>
              <w:ind w:right="-15"/>
              <w:jc w:val="right"/>
              <w:rPr>
                <w:sz w:val="21"/>
              </w:rPr>
            </w:pPr>
            <w:r>
              <w:rPr>
                <w:w w:val="100"/>
                <w:sz w:val="21"/>
              </w:rPr>
              <w:t> </w:t>
            </w:r>
          </w:p>
        </w:tc>
        <w:tc>
          <w:tcPr>
            <w:tcW w:w="1294" w:type="dxa"/>
          </w:tcPr>
          <w:p>
            <w:pPr>
              <w:pStyle w:val="TableParagraph"/>
              <w:spacing w:line="242" w:lineRule="auto" w:before="1"/>
              <w:ind w:left="106" w:right="121"/>
              <w:rPr>
                <w:sz w:val="21"/>
              </w:rPr>
            </w:pPr>
            <w:r>
              <w:rPr>
                <w:sz w:val="21"/>
              </w:rPr>
              <w:t>同一控制下企业合并 </w:t>
            </w:r>
          </w:p>
        </w:tc>
      </w:tr>
      <w:tr>
        <w:trPr>
          <w:trHeight w:val="815" w:hRule="atLeast"/>
        </w:trPr>
        <w:tc>
          <w:tcPr>
            <w:tcW w:w="1622" w:type="dxa"/>
          </w:tcPr>
          <w:p>
            <w:pPr>
              <w:pStyle w:val="TableParagraph"/>
              <w:spacing w:line="242" w:lineRule="auto" w:before="1"/>
              <w:ind w:left="107" w:right="242"/>
              <w:rPr>
                <w:sz w:val="21"/>
              </w:rPr>
            </w:pPr>
            <w:r>
              <w:rPr>
                <w:sz w:val="21"/>
              </w:rPr>
              <w:t>富联科技(济源)有限公司 </w:t>
            </w:r>
          </w:p>
        </w:tc>
        <w:tc>
          <w:tcPr>
            <w:tcW w:w="1181" w:type="dxa"/>
          </w:tcPr>
          <w:p>
            <w:pPr>
              <w:pStyle w:val="TableParagraph"/>
              <w:spacing w:before="1"/>
              <w:ind w:left="141" w:right="49"/>
              <w:jc w:val="center"/>
              <w:rPr>
                <w:sz w:val="21"/>
              </w:rPr>
            </w:pPr>
            <w:r>
              <w:rPr>
                <w:spacing w:val="-1"/>
                <w:sz w:val="21"/>
              </w:rPr>
              <w:t>中国,济源</w:t>
            </w:r>
            <w:r>
              <w:rPr>
                <w:sz w:val="21"/>
              </w:rPr>
              <w:t> </w:t>
            </w:r>
          </w:p>
        </w:tc>
        <w:tc>
          <w:tcPr>
            <w:tcW w:w="1164" w:type="dxa"/>
          </w:tcPr>
          <w:p>
            <w:pPr>
              <w:pStyle w:val="TableParagraph"/>
              <w:spacing w:before="1"/>
              <w:ind w:right="-15"/>
              <w:jc w:val="right"/>
              <w:rPr>
                <w:sz w:val="21"/>
              </w:rPr>
            </w:pPr>
            <w:r>
              <w:rPr>
                <w:spacing w:val="-1"/>
                <w:sz w:val="21"/>
              </w:rPr>
              <w:t>中国,济源</w:t>
            </w:r>
            <w:r>
              <w:rPr>
                <w:sz w:val="21"/>
              </w:rPr>
              <w:t> </w:t>
            </w:r>
          </w:p>
        </w:tc>
        <w:tc>
          <w:tcPr>
            <w:tcW w:w="1193" w:type="dxa"/>
          </w:tcPr>
          <w:p>
            <w:pPr>
              <w:pStyle w:val="TableParagraph"/>
              <w:spacing w:line="242" w:lineRule="auto" w:before="1"/>
              <w:ind w:left="108" w:right="230"/>
              <w:rPr>
                <w:sz w:val="21"/>
              </w:rPr>
            </w:pPr>
            <w:r>
              <w:rPr>
                <w:spacing w:val="-1"/>
                <w:sz w:val="21"/>
              </w:rPr>
              <w:t>通信网络高精密机</w:t>
            </w:r>
          </w:p>
          <w:p>
            <w:pPr>
              <w:pStyle w:val="TableParagraph"/>
              <w:spacing w:line="250" w:lineRule="exact" w:before="1"/>
              <w:ind w:left="108"/>
              <w:rPr>
                <w:sz w:val="21"/>
              </w:rPr>
            </w:pPr>
            <w:r>
              <w:rPr>
                <w:sz w:val="21"/>
              </w:rPr>
              <w:t>构件 </w:t>
            </w:r>
          </w:p>
        </w:tc>
        <w:tc>
          <w:tcPr>
            <w:tcW w:w="1178" w:type="dxa"/>
          </w:tcPr>
          <w:p>
            <w:pPr>
              <w:pStyle w:val="TableParagraph"/>
              <w:spacing w:before="1"/>
              <w:ind w:right="-15"/>
              <w:jc w:val="right"/>
              <w:rPr>
                <w:sz w:val="21"/>
              </w:rPr>
            </w:pPr>
            <w:r>
              <w:rPr>
                <w:sz w:val="21"/>
              </w:rPr>
              <w:t>100% </w:t>
            </w:r>
          </w:p>
        </w:tc>
        <w:tc>
          <w:tcPr>
            <w:tcW w:w="1191" w:type="dxa"/>
          </w:tcPr>
          <w:p>
            <w:pPr>
              <w:pStyle w:val="TableParagraph"/>
              <w:spacing w:before="1"/>
              <w:ind w:right="-15"/>
              <w:jc w:val="right"/>
              <w:rPr>
                <w:sz w:val="21"/>
              </w:rPr>
            </w:pPr>
            <w:r>
              <w:rPr>
                <w:w w:val="100"/>
                <w:sz w:val="21"/>
              </w:rPr>
              <w:t> </w:t>
            </w:r>
          </w:p>
        </w:tc>
        <w:tc>
          <w:tcPr>
            <w:tcW w:w="1294" w:type="dxa"/>
          </w:tcPr>
          <w:p>
            <w:pPr>
              <w:pStyle w:val="TableParagraph"/>
              <w:spacing w:line="242" w:lineRule="auto" w:before="1"/>
              <w:ind w:left="106" w:right="121"/>
              <w:rPr>
                <w:sz w:val="21"/>
              </w:rPr>
            </w:pPr>
            <w:r>
              <w:rPr>
                <w:sz w:val="21"/>
              </w:rPr>
              <w:t>同一控制下企业合并 </w:t>
            </w:r>
          </w:p>
        </w:tc>
      </w:tr>
      <w:tr>
        <w:trPr>
          <w:trHeight w:val="818" w:hRule="atLeast"/>
        </w:trPr>
        <w:tc>
          <w:tcPr>
            <w:tcW w:w="1622" w:type="dxa"/>
          </w:tcPr>
          <w:p>
            <w:pPr>
              <w:pStyle w:val="TableParagraph"/>
              <w:spacing w:before="1"/>
              <w:ind w:left="107"/>
              <w:rPr>
                <w:sz w:val="21"/>
              </w:rPr>
            </w:pPr>
            <w:r>
              <w:rPr>
                <w:sz w:val="21"/>
              </w:rPr>
              <w:t>Focus PC </w:t>
            </w:r>
          </w:p>
          <w:p>
            <w:pPr>
              <w:pStyle w:val="TableParagraph"/>
              <w:spacing w:line="270" w:lineRule="atLeast"/>
              <w:ind w:left="107" w:right="134"/>
              <w:rPr>
                <w:sz w:val="21"/>
              </w:rPr>
            </w:pPr>
            <w:r>
              <w:rPr>
                <w:sz w:val="21"/>
              </w:rPr>
              <w:t>Enterprises</w:t>
            </w:r>
            <w:r>
              <w:rPr>
                <w:spacing w:val="1"/>
                <w:sz w:val="21"/>
              </w:rPr>
              <w:t> </w:t>
            </w:r>
            <w:r>
              <w:rPr>
                <w:sz w:val="21"/>
              </w:rPr>
              <w:t>Limited </w:t>
            </w:r>
          </w:p>
        </w:tc>
        <w:tc>
          <w:tcPr>
            <w:tcW w:w="1181" w:type="dxa"/>
          </w:tcPr>
          <w:p>
            <w:pPr>
              <w:pStyle w:val="TableParagraph"/>
              <w:spacing w:before="1"/>
              <w:ind w:left="141" w:right="49"/>
              <w:jc w:val="center"/>
              <w:rPr>
                <w:sz w:val="21"/>
              </w:rPr>
            </w:pPr>
            <w:r>
              <w:rPr>
                <w:spacing w:val="-1"/>
                <w:sz w:val="21"/>
              </w:rPr>
              <w:t>中国,香港</w:t>
            </w:r>
            <w:r>
              <w:rPr>
                <w:sz w:val="21"/>
              </w:rPr>
              <w:t> </w:t>
            </w:r>
          </w:p>
        </w:tc>
        <w:tc>
          <w:tcPr>
            <w:tcW w:w="1164" w:type="dxa"/>
          </w:tcPr>
          <w:p>
            <w:pPr>
              <w:pStyle w:val="TableParagraph"/>
              <w:spacing w:before="1"/>
              <w:ind w:right="-15"/>
              <w:jc w:val="right"/>
              <w:rPr>
                <w:sz w:val="21"/>
              </w:rPr>
            </w:pPr>
            <w:r>
              <w:rPr>
                <w:spacing w:val="-1"/>
                <w:sz w:val="21"/>
              </w:rPr>
              <w:t>中国,香港</w:t>
            </w:r>
            <w:r>
              <w:rPr>
                <w:sz w:val="21"/>
              </w:rPr>
              <w:t> </w:t>
            </w:r>
          </w:p>
        </w:tc>
        <w:tc>
          <w:tcPr>
            <w:tcW w:w="1193" w:type="dxa"/>
          </w:tcPr>
          <w:p>
            <w:pPr>
              <w:pStyle w:val="TableParagraph"/>
              <w:spacing w:line="244" w:lineRule="auto" w:before="1"/>
              <w:ind w:left="108" w:right="230"/>
              <w:rPr>
                <w:sz w:val="21"/>
              </w:rPr>
            </w:pPr>
            <w:r>
              <w:rPr>
                <w:spacing w:val="-1"/>
                <w:sz w:val="21"/>
              </w:rPr>
              <w:t>控股平台</w:t>
            </w:r>
            <w:r>
              <w:rPr>
                <w:sz w:val="21"/>
              </w:rPr>
              <w:t>公司 </w:t>
            </w:r>
          </w:p>
        </w:tc>
        <w:tc>
          <w:tcPr>
            <w:tcW w:w="1178" w:type="dxa"/>
          </w:tcPr>
          <w:p>
            <w:pPr>
              <w:pStyle w:val="TableParagraph"/>
              <w:spacing w:before="1"/>
              <w:ind w:right="-15"/>
              <w:jc w:val="right"/>
              <w:rPr>
                <w:sz w:val="21"/>
              </w:rPr>
            </w:pPr>
            <w:r>
              <w:rPr>
                <w:sz w:val="21"/>
              </w:rPr>
              <w:t>100% </w:t>
            </w:r>
          </w:p>
        </w:tc>
        <w:tc>
          <w:tcPr>
            <w:tcW w:w="1191" w:type="dxa"/>
          </w:tcPr>
          <w:p>
            <w:pPr>
              <w:pStyle w:val="TableParagraph"/>
              <w:spacing w:before="1"/>
              <w:ind w:right="-15"/>
              <w:jc w:val="right"/>
              <w:rPr>
                <w:sz w:val="21"/>
              </w:rPr>
            </w:pPr>
            <w:r>
              <w:rPr>
                <w:w w:val="100"/>
                <w:sz w:val="21"/>
              </w:rPr>
              <w:t> </w:t>
            </w:r>
          </w:p>
        </w:tc>
        <w:tc>
          <w:tcPr>
            <w:tcW w:w="1294" w:type="dxa"/>
          </w:tcPr>
          <w:p>
            <w:pPr>
              <w:pStyle w:val="TableParagraph"/>
              <w:spacing w:line="244" w:lineRule="auto" w:before="1"/>
              <w:ind w:left="106" w:right="121"/>
              <w:rPr>
                <w:sz w:val="21"/>
              </w:rPr>
            </w:pPr>
            <w:r>
              <w:rPr>
                <w:sz w:val="21"/>
              </w:rPr>
              <w:t>同一控制下企业合并 </w:t>
            </w:r>
          </w:p>
        </w:tc>
      </w:tr>
      <w:tr>
        <w:trPr>
          <w:trHeight w:val="815" w:hRule="atLeast"/>
        </w:trPr>
        <w:tc>
          <w:tcPr>
            <w:tcW w:w="1622" w:type="dxa"/>
          </w:tcPr>
          <w:p>
            <w:pPr>
              <w:pStyle w:val="TableParagraph"/>
              <w:spacing w:line="242" w:lineRule="auto" w:before="1"/>
              <w:ind w:left="107" w:right="239"/>
              <w:rPr>
                <w:sz w:val="21"/>
              </w:rPr>
            </w:pPr>
            <w:r>
              <w:rPr>
                <w:spacing w:val="-1"/>
                <w:sz w:val="21"/>
              </w:rPr>
              <w:t>富联统合电子(杭州)有限公</w:t>
            </w:r>
          </w:p>
          <w:p>
            <w:pPr>
              <w:pStyle w:val="TableParagraph"/>
              <w:spacing w:line="250" w:lineRule="exact" w:before="1"/>
              <w:ind w:left="107"/>
              <w:rPr>
                <w:sz w:val="21"/>
              </w:rPr>
            </w:pPr>
            <w:r>
              <w:rPr>
                <w:sz w:val="21"/>
              </w:rPr>
              <w:t>司 </w:t>
            </w:r>
            <w:r>
              <w:rPr>
                <w:spacing w:val="-2"/>
                <w:sz w:val="21"/>
              </w:rPr>
              <w:t> </w:t>
            </w:r>
            <w:r>
              <w:rPr>
                <w:w w:val="100"/>
                <w:sz w:val="21"/>
              </w:rPr>
              <w:t> </w:t>
            </w:r>
          </w:p>
        </w:tc>
        <w:tc>
          <w:tcPr>
            <w:tcW w:w="1181" w:type="dxa"/>
          </w:tcPr>
          <w:p>
            <w:pPr>
              <w:pStyle w:val="TableParagraph"/>
              <w:spacing w:before="1"/>
              <w:ind w:left="141" w:right="49"/>
              <w:jc w:val="center"/>
              <w:rPr>
                <w:sz w:val="21"/>
              </w:rPr>
            </w:pPr>
            <w:r>
              <w:rPr>
                <w:spacing w:val="-1"/>
                <w:sz w:val="21"/>
              </w:rPr>
              <w:t>中国,杭州</w:t>
            </w:r>
            <w:r>
              <w:rPr>
                <w:sz w:val="21"/>
              </w:rPr>
              <w:t> </w:t>
            </w:r>
          </w:p>
        </w:tc>
        <w:tc>
          <w:tcPr>
            <w:tcW w:w="1164" w:type="dxa"/>
          </w:tcPr>
          <w:p>
            <w:pPr>
              <w:pStyle w:val="TableParagraph"/>
              <w:spacing w:before="1"/>
              <w:ind w:right="-15"/>
              <w:jc w:val="right"/>
              <w:rPr>
                <w:sz w:val="21"/>
              </w:rPr>
            </w:pPr>
            <w:r>
              <w:rPr>
                <w:spacing w:val="-1"/>
                <w:sz w:val="21"/>
              </w:rPr>
              <w:t>中国,杭州</w:t>
            </w:r>
            <w:r>
              <w:rPr>
                <w:sz w:val="21"/>
              </w:rPr>
              <w:t> </w:t>
            </w:r>
          </w:p>
        </w:tc>
        <w:tc>
          <w:tcPr>
            <w:tcW w:w="1193" w:type="dxa"/>
          </w:tcPr>
          <w:p>
            <w:pPr>
              <w:pStyle w:val="TableParagraph"/>
              <w:spacing w:before="1"/>
              <w:ind w:left="108"/>
              <w:rPr>
                <w:sz w:val="21"/>
              </w:rPr>
            </w:pPr>
            <w:r>
              <w:rPr>
                <w:spacing w:val="-1"/>
                <w:sz w:val="21"/>
              </w:rPr>
              <w:t>网络设备</w:t>
            </w:r>
            <w:r>
              <w:rPr>
                <w:sz w:val="21"/>
              </w:rPr>
              <w:t> </w:t>
            </w:r>
          </w:p>
        </w:tc>
        <w:tc>
          <w:tcPr>
            <w:tcW w:w="1178" w:type="dxa"/>
          </w:tcPr>
          <w:p>
            <w:pPr>
              <w:pStyle w:val="TableParagraph"/>
              <w:spacing w:before="1"/>
              <w:ind w:right="-15"/>
              <w:jc w:val="right"/>
              <w:rPr>
                <w:sz w:val="21"/>
              </w:rPr>
            </w:pPr>
            <w:r>
              <w:rPr>
                <w:sz w:val="21"/>
              </w:rPr>
              <w:t>100% </w:t>
            </w:r>
          </w:p>
        </w:tc>
        <w:tc>
          <w:tcPr>
            <w:tcW w:w="1191" w:type="dxa"/>
          </w:tcPr>
          <w:p>
            <w:pPr>
              <w:pStyle w:val="TableParagraph"/>
              <w:spacing w:before="1"/>
              <w:ind w:right="-15"/>
              <w:jc w:val="right"/>
              <w:rPr>
                <w:sz w:val="21"/>
              </w:rPr>
            </w:pPr>
            <w:r>
              <w:rPr>
                <w:w w:val="100"/>
                <w:sz w:val="21"/>
              </w:rPr>
              <w:t> </w:t>
            </w:r>
          </w:p>
        </w:tc>
        <w:tc>
          <w:tcPr>
            <w:tcW w:w="1294" w:type="dxa"/>
          </w:tcPr>
          <w:p>
            <w:pPr>
              <w:pStyle w:val="TableParagraph"/>
              <w:spacing w:line="242" w:lineRule="auto" w:before="1"/>
              <w:ind w:left="106" w:right="121"/>
              <w:rPr>
                <w:sz w:val="21"/>
              </w:rPr>
            </w:pPr>
            <w:r>
              <w:rPr>
                <w:sz w:val="21"/>
              </w:rPr>
              <w:t>同一控制下企业合并 </w:t>
            </w:r>
          </w:p>
        </w:tc>
      </w:tr>
      <w:tr>
        <w:trPr>
          <w:trHeight w:val="1634" w:hRule="atLeast"/>
        </w:trPr>
        <w:tc>
          <w:tcPr>
            <w:tcW w:w="1622" w:type="dxa"/>
          </w:tcPr>
          <w:p>
            <w:pPr>
              <w:pStyle w:val="TableParagraph"/>
              <w:spacing w:line="242" w:lineRule="auto" w:before="3"/>
              <w:ind w:left="107" w:right="134"/>
              <w:rPr>
                <w:sz w:val="21"/>
              </w:rPr>
            </w:pPr>
            <w:r>
              <w:rPr>
                <w:sz w:val="21"/>
              </w:rPr>
              <w:t>南宁富联富桂精密工业有限</w:t>
            </w:r>
            <w:r>
              <w:rPr>
                <w:spacing w:val="-1"/>
                <w:sz w:val="21"/>
              </w:rPr>
              <w:t>公司(原名：南</w:t>
            </w:r>
            <w:r>
              <w:rPr>
                <w:sz w:val="21"/>
              </w:rPr>
              <w:t>宁富桂精密工业有限公司) </w:t>
            </w:r>
          </w:p>
        </w:tc>
        <w:tc>
          <w:tcPr>
            <w:tcW w:w="1181" w:type="dxa"/>
          </w:tcPr>
          <w:p>
            <w:pPr>
              <w:pStyle w:val="TableParagraph"/>
              <w:spacing w:before="3"/>
              <w:ind w:left="141" w:right="49"/>
              <w:jc w:val="center"/>
              <w:rPr>
                <w:sz w:val="21"/>
              </w:rPr>
            </w:pPr>
            <w:r>
              <w:rPr>
                <w:spacing w:val="-1"/>
                <w:sz w:val="21"/>
              </w:rPr>
              <w:t>中国,南宁</w:t>
            </w:r>
            <w:r>
              <w:rPr>
                <w:sz w:val="21"/>
              </w:rPr>
              <w:t> </w:t>
            </w:r>
          </w:p>
        </w:tc>
        <w:tc>
          <w:tcPr>
            <w:tcW w:w="1164" w:type="dxa"/>
          </w:tcPr>
          <w:p>
            <w:pPr>
              <w:pStyle w:val="TableParagraph"/>
              <w:spacing w:before="3"/>
              <w:ind w:right="-15"/>
              <w:jc w:val="right"/>
              <w:rPr>
                <w:sz w:val="21"/>
              </w:rPr>
            </w:pPr>
            <w:r>
              <w:rPr>
                <w:spacing w:val="-1"/>
                <w:sz w:val="21"/>
              </w:rPr>
              <w:t>中国,南宁</w:t>
            </w:r>
            <w:r>
              <w:rPr>
                <w:sz w:val="21"/>
              </w:rPr>
              <w:t> </w:t>
            </w:r>
          </w:p>
        </w:tc>
        <w:tc>
          <w:tcPr>
            <w:tcW w:w="1193" w:type="dxa"/>
          </w:tcPr>
          <w:p>
            <w:pPr>
              <w:pStyle w:val="TableParagraph"/>
              <w:spacing w:line="242" w:lineRule="auto" w:before="3"/>
              <w:ind w:left="108" w:right="230"/>
              <w:rPr>
                <w:sz w:val="21"/>
              </w:rPr>
            </w:pPr>
            <w:r>
              <w:rPr>
                <w:sz w:val="21"/>
              </w:rPr>
              <w:t>网络设</w:t>
            </w:r>
            <w:r>
              <w:rPr>
                <w:spacing w:val="1"/>
                <w:sz w:val="21"/>
              </w:rPr>
              <w:t> </w:t>
            </w:r>
            <w:r>
              <w:rPr>
                <w:spacing w:val="-1"/>
                <w:sz w:val="21"/>
              </w:rPr>
              <w:t>备、电信设备、通信网络高精密机构</w:t>
            </w:r>
          </w:p>
          <w:p>
            <w:pPr>
              <w:pStyle w:val="TableParagraph"/>
              <w:spacing w:line="250" w:lineRule="exact" w:before="2"/>
              <w:ind w:left="108"/>
              <w:rPr>
                <w:sz w:val="21"/>
              </w:rPr>
            </w:pPr>
            <w:r>
              <w:rPr>
                <w:sz w:val="21"/>
              </w:rPr>
              <w:t>件 </w:t>
            </w:r>
          </w:p>
        </w:tc>
        <w:tc>
          <w:tcPr>
            <w:tcW w:w="1178" w:type="dxa"/>
          </w:tcPr>
          <w:p>
            <w:pPr>
              <w:pStyle w:val="TableParagraph"/>
              <w:spacing w:before="3"/>
              <w:ind w:right="-15"/>
              <w:jc w:val="right"/>
              <w:rPr>
                <w:sz w:val="21"/>
              </w:rPr>
            </w:pPr>
            <w:r>
              <w:rPr>
                <w:sz w:val="21"/>
              </w:rPr>
              <w:t>100% </w:t>
            </w:r>
          </w:p>
        </w:tc>
        <w:tc>
          <w:tcPr>
            <w:tcW w:w="1191" w:type="dxa"/>
          </w:tcPr>
          <w:p>
            <w:pPr>
              <w:pStyle w:val="TableParagraph"/>
              <w:spacing w:before="3"/>
              <w:ind w:right="-15"/>
              <w:jc w:val="right"/>
              <w:rPr>
                <w:sz w:val="21"/>
              </w:rPr>
            </w:pPr>
            <w:r>
              <w:rPr>
                <w:w w:val="100"/>
                <w:sz w:val="21"/>
              </w:rPr>
              <w:t> </w:t>
            </w:r>
          </w:p>
        </w:tc>
        <w:tc>
          <w:tcPr>
            <w:tcW w:w="1294" w:type="dxa"/>
          </w:tcPr>
          <w:p>
            <w:pPr>
              <w:pStyle w:val="TableParagraph"/>
              <w:spacing w:line="242" w:lineRule="auto" w:before="3"/>
              <w:ind w:left="106" w:right="121"/>
              <w:rPr>
                <w:sz w:val="21"/>
              </w:rPr>
            </w:pPr>
            <w:r>
              <w:rPr>
                <w:sz w:val="21"/>
              </w:rPr>
              <w:t>同一控制下企业合并 </w:t>
            </w:r>
          </w:p>
        </w:tc>
      </w:tr>
      <w:tr>
        <w:trPr>
          <w:trHeight w:val="1634" w:hRule="atLeast"/>
        </w:trPr>
        <w:tc>
          <w:tcPr>
            <w:tcW w:w="1622" w:type="dxa"/>
          </w:tcPr>
          <w:p>
            <w:pPr>
              <w:pStyle w:val="TableParagraph"/>
              <w:spacing w:line="242" w:lineRule="auto" w:before="3"/>
              <w:ind w:left="107" w:right="134"/>
              <w:rPr>
                <w:sz w:val="21"/>
              </w:rPr>
            </w:pPr>
            <w:r>
              <w:rPr>
                <w:sz w:val="21"/>
              </w:rPr>
              <w:t>富联国宙电子</w:t>
            </w:r>
            <w:r>
              <w:rPr>
                <w:spacing w:val="1"/>
                <w:sz w:val="21"/>
              </w:rPr>
              <w:t> </w:t>
            </w:r>
            <w:r>
              <w:rPr>
                <w:sz w:val="21"/>
              </w:rPr>
              <w:t>(上海)有限公</w:t>
            </w:r>
            <w:r>
              <w:rPr>
                <w:spacing w:val="-1"/>
                <w:sz w:val="21"/>
              </w:rPr>
              <w:t>司(原名：国宙</w:t>
            </w:r>
            <w:r>
              <w:rPr>
                <w:sz w:val="21"/>
              </w:rPr>
              <w:t>电子(上海)有限公司) </w:t>
            </w:r>
          </w:p>
        </w:tc>
        <w:tc>
          <w:tcPr>
            <w:tcW w:w="1181" w:type="dxa"/>
          </w:tcPr>
          <w:p>
            <w:pPr>
              <w:pStyle w:val="TableParagraph"/>
              <w:spacing w:before="3"/>
              <w:ind w:left="141" w:right="49"/>
              <w:jc w:val="center"/>
              <w:rPr>
                <w:sz w:val="21"/>
              </w:rPr>
            </w:pPr>
            <w:r>
              <w:rPr>
                <w:spacing w:val="-1"/>
                <w:sz w:val="21"/>
              </w:rPr>
              <w:t>中国,上海</w:t>
            </w:r>
            <w:r>
              <w:rPr>
                <w:sz w:val="21"/>
              </w:rPr>
              <w:t> </w:t>
            </w:r>
          </w:p>
        </w:tc>
        <w:tc>
          <w:tcPr>
            <w:tcW w:w="1164" w:type="dxa"/>
          </w:tcPr>
          <w:p>
            <w:pPr>
              <w:pStyle w:val="TableParagraph"/>
              <w:spacing w:before="3"/>
              <w:ind w:right="-15"/>
              <w:jc w:val="right"/>
              <w:rPr>
                <w:sz w:val="21"/>
              </w:rPr>
            </w:pPr>
            <w:r>
              <w:rPr>
                <w:spacing w:val="-1"/>
                <w:sz w:val="21"/>
              </w:rPr>
              <w:t>中国,上海</w:t>
            </w:r>
            <w:r>
              <w:rPr>
                <w:sz w:val="21"/>
              </w:rPr>
              <w:t> </w:t>
            </w:r>
          </w:p>
        </w:tc>
        <w:tc>
          <w:tcPr>
            <w:tcW w:w="1193" w:type="dxa"/>
          </w:tcPr>
          <w:p>
            <w:pPr>
              <w:pStyle w:val="TableParagraph"/>
              <w:spacing w:line="242" w:lineRule="auto" w:before="3"/>
              <w:ind w:left="108" w:right="230"/>
              <w:rPr>
                <w:sz w:val="21"/>
              </w:rPr>
            </w:pPr>
            <w:r>
              <w:rPr>
                <w:sz w:val="21"/>
              </w:rPr>
              <w:t>网络设</w:t>
            </w:r>
            <w:r>
              <w:rPr>
                <w:spacing w:val="1"/>
                <w:sz w:val="21"/>
              </w:rPr>
              <w:t> </w:t>
            </w:r>
            <w:r>
              <w:rPr>
                <w:spacing w:val="-1"/>
                <w:sz w:val="21"/>
              </w:rPr>
              <w:t>备、电信设备、通信网络高</w:t>
            </w:r>
          </w:p>
          <w:p>
            <w:pPr>
              <w:pStyle w:val="TableParagraph"/>
              <w:spacing w:line="270" w:lineRule="atLeast"/>
              <w:ind w:left="108" w:right="230"/>
              <w:rPr>
                <w:sz w:val="21"/>
              </w:rPr>
            </w:pPr>
            <w:r>
              <w:rPr>
                <w:spacing w:val="-1"/>
                <w:sz w:val="21"/>
              </w:rPr>
              <w:t>精密机构</w:t>
            </w:r>
            <w:r>
              <w:rPr>
                <w:sz w:val="21"/>
              </w:rPr>
              <w:t>件 </w:t>
            </w:r>
          </w:p>
        </w:tc>
        <w:tc>
          <w:tcPr>
            <w:tcW w:w="1178" w:type="dxa"/>
          </w:tcPr>
          <w:p>
            <w:pPr>
              <w:pStyle w:val="TableParagraph"/>
              <w:spacing w:before="3"/>
              <w:ind w:right="-15"/>
              <w:jc w:val="right"/>
              <w:rPr>
                <w:sz w:val="21"/>
              </w:rPr>
            </w:pPr>
            <w:r>
              <w:rPr>
                <w:sz w:val="21"/>
              </w:rPr>
              <w:t>100% </w:t>
            </w:r>
          </w:p>
        </w:tc>
        <w:tc>
          <w:tcPr>
            <w:tcW w:w="1191" w:type="dxa"/>
          </w:tcPr>
          <w:p>
            <w:pPr>
              <w:pStyle w:val="TableParagraph"/>
              <w:spacing w:before="3"/>
              <w:ind w:right="-15"/>
              <w:jc w:val="right"/>
              <w:rPr>
                <w:sz w:val="21"/>
              </w:rPr>
            </w:pPr>
            <w:r>
              <w:rPr>
                <w:w w:val="100"/>
                <w:sz w:val="21"/>
              </w:rPr>
              <w:t> </w:t>
            </w:r>
          </w:p>
        </w:tc>
        <w:tc>
          <w:tcPr>
            <w:tcW w:w="1294" w:type="dxa"/>
          </w:tcPr>
          <w:p>
            <w:pPr>
              <w:pStyle w:val="TableParagraph"/>
              <w:spacing w:line="242" w:lineRule="auto" w:before="3"/>
              <w:ind w:left="106" w:right="121"/>
              <w:rPr>
                <w:sz w:val="21"/>
              </w:rPr>
            </w:pPr>
            <w:r>
              <w:rPr>
                <w:sz w:val="21"/>
              </w:rPr>
              <w:t>同一控制下企业合并 </w:t>
            </w:r>
          </w:p>
        </w:tc>
      </w:tr>
      <w:tr>
        <w:trPr>
          <w:trHeight w:val="818" w:hRule="atLeast"/>
        </w:trPr>
        <w:tc>
          <w:tcPr>
            <w:tcW w:w="1622" w:type="dxa"/>
          </w:tcPr>
          <w:p>
            <w:pPr>
              <w:pStyle w:val="TableParagraph"/>
              <w:spacing w:line="242" w:lineRule="auto" w:before="3"/>
              <w:ind w:left="107" w:right="239"/>
              <w:rPr>
                <w:sz w:val="21"/>
              </w:rPr>
            </w:pPr>
            <w:r>
              <w:rPr>
                <w:spacing w:val="-1"/>
                <w:sz w:val="21"/>
              </w:rPr>
              <w:t>富联富翼精密工业(东莞)有</w:t>
            </w:r>
          </w:p>
          <w:p>
            <w:pPr>
              <w:pStyle w:val="TableParagraph"/>
              <w:spacing w:line="250" w:lineRule="exact" w:before="1"/>
              <w:ind w:left="107"/>
              <w:rPr>
                <w:sz w:val="21"/>
              </w:rPr>
            </w:pPr>
            <w:r>
              <w:rPr>
                <w:sz w:val="21"/>
              </w:rPr>
              <w:t>限公司  </w:t>
            </w:r>
            <w:r>
              <w:rPr>
                <w:w w:val="100"/>
                <w:sz w:val="21"/>
              </w:rPr>
              <w:t> </w:t>
            </w:r>
            <w:r>
              <w:rPr>
                <w:spacing w:val="-2"/>
                <w:sz w:val="21"/>
              </w:rPr>
              <w:t> </w:t>
            </w:r>
            <w:r>
              <w:rPr>
                <w:w w:val="100"/>
                <w:sz w:val="21"/>
              </w:rPr>
              <w:t> </w:t>
            </w:r>
          </w:p>
        </w:tc>
        <w:tc>
          <w:tcPr>
            <w:tcW w:w="1181" w:type="dxa"/>
          </w:tcPr>
          <w:p>
            <w:pPr>
              <w:pStyle w:val="TableParagraph"/>
              <w:spacing w:before="3"/>
              <w:ind w:left="141" w:right="49"/>
              <w:jc w:val="center"/>
              <w:rPr>
                <w:sz w:val="21"/>
              </w:rPr>
            </w:pPr>
            <w:r>
              <w:rPr>
                <w:spacing w:val="-1"/>
                <w:sz w:val="21"/>
              </w:rPr>
              <w:t>中国,东莞</w:t>
            </w:r>
            <w:r>
              <w:rPr>
                <w:sz w:val="21"/>
              </w:rPr>
              <w:t> </w:t>
            </w:r>
          </w:p>
        </w:tc>
        <w:tc>
          <w:tcPr>
            <w:tcW w:w="1164" w:type="dxa"/>
          </w:tcPr>
          <w:p>
            <w:pPr>
              <w:pStyle w:val="TableParagraph"/>
              <w:spacing w:before="3"/>
              <w:ind w:right="-15"/>
              <w:jc w:val="right"/>
              <w:rPr>
                <w:sz w:val="21"/>
              </w:rPr>
            </w:pPr>
            <w:r>
              <w:rPr>
                <w:spacing w:val="-1"/>
                <w:sz w:val="21"/>
              </w:rPr>
              <w:t>中国,东莞</w:t>
            </w:r>
            <w:r>
              <w:rPr>
                <w:sz w:val="21"/>
              </w:rPr>
              <w:t> </w:t>
            </w:r>
          </w:p>
        </w:tc>
        <w:tc>
          <w:tcPr>
            <w:tcW w:w="1193" w:type="dxa"/>
          </w:tcPr>
          <w:p>
            <w:pPr>
              <w:pStyle w:val="TableParagraph"/>
              <w:spacing w:line="242" w:lineRule="auto" w:before="3"/>
              <w:ind w:left="108" w:right="230"/>
              <w:rPr>
                <w:sz w:val="21"/>
              </w:rPr>
            </w:pPr>
            <w:r>
              <w:rPr>
                <w:spacing w:val="-1"/>
                <w:sz w:val="21"/>
              </w:rPr>
              <w:t>通信网络高精密机</w:t>
            </w:r>
          </w:p>
          <w:p>
            <w:pPr>
              <w:pStyle w:val="TableParagraph"/>
              <w:spacing w:line="250" w:lineRule="exact" w:before="1"/>
              <w:ind w:left="108"/>
              <w:rPr>
                <w:sz w:val="21"/>
              </w:rPr>
            </w:pPr>
            <w:r>
              <w:rPr>
                <w:sz w:val="21"/>
              </w:rPr>
              <w:t>构件 </w:t>
            </w:r>
          </w:p>
        </w:tc>
        <w:tc>
          <w:tcPr>
            <w:tcW w:w="1178" w:type="dxa"/>
          </w:tcPr>
          <w:p>
            <w:pPr>
              <w:pStyle w:val="TableParagraph"/>
              <w:spacing w:before="3"/>
              <w:ind w:right="-15"/>
              <w:jc w:val="right"/>
              <w:rPr>
                <w:sz w:val="21"/>
              </w:rPr>
            </w:pPr>
            <w:r>
              <w:rPr>
                <w:sz w:val="21"/>
              </w:rPr>
              <w:t>100% </w:t>
            </w:r>
          </w:p>
        </w:tc>
        <w:tc>
          <w:tcPr>
            <w:tcW w:w="1191" w:type="dxa"/>
          </w:tcPr>
          <w:p>
            <w:pPr>
              <w:pStyle w:val="TableParagraph"/>
              <w:spacing w:before="3"/>
              <w:ind w:right="-15"/>
              <w:jc w:val="right"/>
              <w:rPr>
                <w:sz w:val="21"/>
              </w:rPr>
            </w:pPr>
            <w:r>
              <w:rPr>
                <w:w w:val="100"/>
                <w:sz w:val="21"/>
              </w:rPr>
              <w:t> </w:t>
            </w:r>
          </w:p>
        </w:tc>
        <w:tc>
          <w:tcPr>
            <w:tcW w:w="1294" w:type="dxa"/>
          </w:tcPr>
          <w:p>
            <w:pPr>
              <w:pStyle w:val="TableParagraph"/>
              <w:spacing w:line="242" w:lineRule="auto" w:before="3"/>
              <w:ind w:left="106" w:right="121"/>
              <w:rPr>
                <w:sz w:val="21"/>
              </w:rPr>
            </w:pPr>
            <w:r>
              <w:rPr>
                <w:sz w:val="21"/>
              </w:rPr>
              <w:t>同一控制下企业合并 </w:t>
            </w:r>
          </w:p>
        </w:tc>
      </w:tr>
      <w:tr>
        <w:trPr>
          <w:trHeight w:val="817" w:hRule="atLeast"/>
        </w:trPr>
        <w:tc>
          <w:tcPr>
            <w:tcW w:w="1622" w:type="dxa"/>
          </w:tcPr>
          <w:p>
            <w:pPr>
              <w:pStyle w:val="TableParagraph"/>
              <w:spacing w:before="1"/>
              <w:ind w:left="107"/>
              <w:rPr>
                <w:sz w:val="21"/>
              </w:rPr>
            </w:pPr>
            <w:r>
              <w:rPr>
                <w:sz w:val="21"/>
              </w:rPr>
              <w:t>富联裕展科技</w:t>
            </w:r>
          </w:p>
          <w:p>
            <w:pPr>
              <w:pStyle w:val="TableParagraph"/>
              <w:spacing w:line="270" w:lineRule="atLeast"/>
              <w:ind w:left="107" w:right="134"/>
              <w:rPr>
                <w:sz w:val="21"/>
              </w:rPr>
            </w:pPr>
            <w:r>
              <w:rPr>
                <w:sz w:val="21"/>
              </w:rPr>
              <w:t>(河南)有限公</w:t>
            </w:r>
            <w:r>
              <w:rPr>
                <w:spacing w:val="-1"/>
                <w:sz w:val="21"/>
              </w:rPr>
              <w:t>司(原名：河南</w:t>
            </w:r>
          </w:p>
        </w:tc>
        <w:tc>
          <w:tcPr>
            <w:tcW w:w="1181" w:type="dxa"/>
          </w:tcPr>
          <w:p>
            <w:pPr>
              <w:pStyle w:val="TableParagraph"/>
              <w:spacing w:before="1"/>
              <w:ind w:left="141" w:right="49"/>
              <w:jc w:val="center"/>
              <w:rPr>
                <w:sz w:val="21"/>
              </w:rPr>
            </w:pPr>
            <w:r>
              <w:rPr>
                <w:spacing w:val="-1"/>
                <w:sz w:val="21"/>
              </w:rPr>
              <w:t>中国,郑州</w:t>
            </w:r>
            <w:r>
              <w:rPr>
                <w:sz w:val="21"/>
              </w:rPr>
              <w:t> </w:t>
            </w:r>
          </w:p>
        </w:tc>
        <w:tc>
          <w:tcPr>
            <w:tcW w:w="1164" w:type="dxa"/>
          </w:tcPr>
          <w:p>
            <w:pPr>
              <w:pStyle w:val="TableParagraph"/>
              <w:spacing w:before="1"/>
              <w:ind w:right="-15"/>
              <w:jc w:val="right"/>
              <w:rPr>
                <w:sz w:val="21"/>
              </w:rPr>
            </w:pPr>
            <w:r>
              <w:rPr>
                <w:spacing w:val="-1"/>
                <w:sz w:val="21"/>
              </w:rPr>
              <w:t>中国,郑州</w:t>
            </w:r>
            <w:r>
              <w:rPr>
                <w:sz w:val="21"/>
              </w:rPr>
              <w:t> </w:t>
            </w:r>
          </w:p>
        </w:tc>
        <w:tc>
          <w:tcPr>
            <w:tcW w:w="1193" w:type="dxa"/>
          </w:tcPr>
          <w:p>
            <w:pPr>
              <w:pStyle w:val="TableParagraph"/>
              <w:spacing w:before="1"/>
              <w:ind w:left="108"/>
              <w:rPr>
                <w:sz w:val="21"/>
              </w:rPr>
            </w:pPr>
            <w:r>
              <w:rPr>
                <w:sz w:val="21"/>
              </w:rPr>
              <w:t>通信网络</w:t>
            </w:r>
          </w:p>
          <w:p>
            <w:pPr>
              <w:pStyle w:val="TableParagraph"/>
              <w:spacing w:line="270" w:lineRule="atLeast"/>
              <w:ind w:left="108" w:right="230"/>
              <w:rPr>
                <w:sz w:val="21"/>
              </w:rPr>
            </w:pPr>
            <w:r>
              <w:rPr>
                <w:spacing w:val="-1"/>
                <w:sz w:val="21"/>
              </w:rPr>
              <w:t>高精密机</w:t>
            </w:r>
            <w:r>
              <w:rPr>
                <w:sz w:val="21"/>
              </w:rPr>
              <w:t>构件 </w:t>
            </w:r>
          </w:p>
        </w:tc>
        <w:tc>
          <w:tcPr>
            <w:tcW w:w="1178" w:type="dxa"/>
          </w:tcPr>
          <w:p>
            <w:pPr>
              <w:pStyle w:val="TableParagraph"/>
              <w:spacing w:before="1"/>
              <w:ind w:right="-15"/>
              <w:jc w:val="right"/>
              <w:rPr>
                <w:sz w:val="21"/>
              </w:rPr>
            </w:pPr>
            <w:r>
              <w:rPr>
                <w:sz w:val="21"/>
              </w:rPr>
              <w:t>100% </w:t>
            </w:r>
          </w:p>
        </w:tc>
        <w:tc>
          <w:tcPr>
            <w:tcW w:w="1191" w:type="dxa"/>
          </w:tcPr>
          <w:p>
            <w:pPr>
              <w:pStyle w:val="TableParagraph"/>
              <w:spacing w:before="1"/>
              <w:ind w:right="-15"/>
              <w:jc w:val="right"/>
              <w:rPr>
                <w:sz w:val="21"/>
              </w:rPr>
            </w:pPr>
            <w:r>
              <w:rPr>
                <w:w w:val="100"/>
                <w:sz w:val="21"/>
              </w:rPr>
              <w:t> </w:t>
            </w:r>
          </w:p>
        </w:tc>
        <w:tc>
          <w:tcPr>
            <w:tcW w:w="1294" w:type="dxa"/>
          </w:tcPr>
          <w:p>
            <w:pPr>
              <w:pStyle w:val="TableParagraph"/>
              <w:spacing w:line="244" w:lineRule="auto" w:before="1"/>
              <w:ind w:left="106" w:right="121"/>
              <w:rPr>
                <w:sz w:val="21"/>
              </w:rPr>
            </w:pPr>
            <w:r>
              <w:rPr>
                <w:sz w:val="21"/>
              </w:rPr>
              <w:t>同一控制下企业合并 </w:t>
            </w:r>
          </w:p>
        </w:tc>
      </w:tr>
    </w:tbl>
    <w:p>
      <w:pPr>
        <w:spacing w:after="0" w:line="244" w:lineRule="auto"/>
        <w:rPr>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2"/>
        <w:gridCol w:w="1181"/>
        <w:gridCol w:w="1164"/>
        <w:gridCol w:w="1193"/>
        <w:gridCol w:w="1178"/>
        <w:gridCol w:w="1191"/>
        <w:gridCol w:w="1294"/>
      </w:tblGrid>
      <w:tr>
        <w:trPr>
          <w:trHeight w:val="547" w:hRule="atLeast"/>
        </w:trPr>
        <w:tc>
          <w:tcPr>
            <w:tcW w:w="1622" w:type="dxa"/>
          </w:tcPr>
          <w:p>
            <w:pPr>
              <w:pStyle w:val="TableParagraph"/>
              <w:spacing w:line="270" w:lineRule="atLeast"/>
              <w:ind w:left="107" w:right="239"/>
              <w:rPr>
                <w:sz w:val="21"/>
              </w:rPr>
            </w:pPr>
            <w:r>
              <w:rPr>
                <w:spacing w:val="-1"/>
                <w:sz w:val="21"/>
              </w:rPr>
              <w:t>裕展精密科技</w:t>
            </w:r>
            <w:r>
              <w:rPr>
                <w:sz w:val="21"/>
              </w:rPr>
              <w:t>有限公司) </w:t>
            </w:r>
          </w:p>
        </w:tc>
        <w:tc>
          <w:tcPr>
            <w:tcW w:w="1181" w:type="dxa"/>
          </w:tcPr>
          <w:p>
            <w:pPr>
              <w:pStyle w:val="TableParagraph"/>
              <w:rPr>
                <w:rFonts w:ascii="Times New Roman"/>
                <w:sz w:val="20"/>
              </w:rPr>
            </w:pPr>
          </w:p>
        </w:tc>
        <w:tc>
          <w:tcPr>
            <w:tcW w:w="1164" w:type="dxa"/>
          </w:tcPr>
          <w:p>
            <w:pPr>
              <w:pStyle w:val="TableParagraph"/>
              <w:rPr>
                <w:rFonts w:ascii="Times New Roman"/>
                <w:sz w:val="20"/>
              </w:rPr>
            </w:pPr>
          </w:p>
        </w:tc>
        <w:tc>
          <w:tcPr>
            <w:tcW w:w="1193" w:type="dxa"/>
          </w:tcPr>
          <w:p>
            <w:pPr>
              <w:pStyle w:val="TableParagraph"/>
              <w:rPr>
                <w:rFonts w:ascii="Times New Roman"/>
                <w:sz w:val="20"/>
              </w:rPr>
            </w:pPr>
          </w:p>
        </w:tc>
        <w:tc>
          <w:tcPr>
            <w:tcW w:w="1178" w:type="dxa"/>
          </w:tcPr>
          <w:p>
            <w:pPr>
              <w:pStyle w:val="TableParagraph"/>
              <w:rPr>
                <w:rFonts w:ascii="Times New Roman"/>
                <w:sz w:val="20"/>
              </w:rPr>
            </w:pPr>
          </w:p>
        </w:tc>
        <w:tc>
          <w:tcPr>
            <w:tcW w:w="1191" w:type="dxa"/>
          </w:tcPr>
          <w:p>
            <w:pPr>
              <w:pStyle w:val="TableParagraph"/>
              <w:rPr>
                <w:rFonts w:ascii="Times New Roman"/>
                <w:sz w:val="20"/>
              </w:rPr>
            </w:pPr>
          </w:p>
        </w:tc>
        <w:tc>
          <w:tcPr>
            <w:tcW w:w="1294" w:type="dxa"/>
          </w:tcPr>
          <w:p>
            <w:pPr>
              <w:pStyle w:val="TableParagraph"/>
              <w:rPr>
                <w:rFonts w:ascii="Times New Roman"/>
                <w:sz w:val="20"/>
              </w:rPr>
            </w:pPr>
          </w:p>
        </w:tc>
      </w:tr>
      <w:tr>
        <w:trPr>
          <w:trHeight w:val="1360" w:hRule="atLeast"/>
        </w:trPr>
        <w:tc>
          <w:tcPr>
            <w:tcW w:w="1622" w:type="dxa"/>
          </w:tcPr>
          <w:p>
            <w:pPr>
              <w:pStyle w:val="TableParagraph"/>
              <w:spacing w:line="242" w:lineRule="auto" w:before="1"/>
              <w:ind w:left="107" w:right="345"/>
              <w:rPr>
                <w:sz w:val="21"/>
              </w:rPr>
            </w:pPr>
            <w:r>
              <w:rPr>
                <w:spacing w:val="-1"/>
                <w:sz w:val="21"/>
              </w:rPr>
              <w:t>富联科技(晋城)有限公司</w:t>
            </w:r>
          </w:p>
          <w:p>
            <w:pPr>
              <w:pStyle w:val="TableParagraph"/>
              <w:spacing w:line="242" w:lineRule="auto" w:before="1"/>
              <w:ind w:left="107" w:right="134"/>
              <w:rPr>
                <w:sz w:val="21"/>
              </w:rPr>
            </w:pPr>
            <w:r>
              <w:rPr>
                <w:spacing w:val="-1"/>
                <w:sz w:val="21"/>
              </w:rPr>
              <w:t>(原名：晋城富</w:t>
            </w:r>
            <w:r>
              <w:rPr>
                <w:sz w:val="21"/>
              </w:rPr>
              <w:t>泰华精密电子</w:t>
            </w:r>
          </w:p>
          <w:p>
            <w:pPr>
              <w:pStyle w:val="TableParagraph"/>
              <w:spacing w:line="250" w:lineRule="exact" w:before="1"/>
              <w:ind w:left="107"/>
              <w:rPr>
                <w:sz w:val="21"/>
              </w:rPr>
            </w:pPr>
            <w:r>
              <w:rPr>
                <w:spacing w:val="-1"/>
                <w:sz w:val="21"/>
              </w:rPr>
              <w:t>有限公司)</w:t>
            </w:r>
            <w:r>
              <w:rPr>
                <w:sz w:val="21"/>
              </w:rPr>
              <w:t> </w:t>
            </w:r>
          </w:p>
        </w:tc>
        <w:tc>
          <w:tcPr>
            <w:tcW w:w="1181" w:type="dxa"/>
          </w:tcPr>
          <w:p>
            <w:pPr>
              <w:pStyle w:val="TableParagraph"/>
              <w:spacing w:before="1"/>
              <w:ind w:left="141" w:right="49"/>
              <w:jc w:val="center"/>
              <w:rPr>
                <w:sz w:val="21"/>
              </w:rPr>
            </w:pPr>
            <w:r>
              <w:rPr>
                <w:spacing w:val="-1"/>
                <w:sz w:val="21"/>
              </w:rPr>
              <w:t>中国,晋城</w:t>
            </w:r>
            <w:r>
              <w:rPr>
                <w:sz w:val="21"/>
              </w:rPr>
              <w:t> </w:t>
            </w:r>
          </w:p>
        </w:tc>
        <w:tc>
          <w:tcPr>
            <w:tcW w:w="1164" w:type="dxa"/>
          </w:tcPr>
          <w:p>
            <w:pPr>
              <w:pStyle w:val="TableParagraph"/>
              <w:spacing w:before="1"/>
              <w:ind w:right="-15"/>
              <w:jc w:val="right"/>
              <w:rPr>
                <w:sz w:val="21"/>
              </w:rPr>
            </w:pPr>
            <w:r>
              <w:rPr>
                <w:spacing w:val="-1"/>
                <w:sz w:val="21"/>
              </w:rPr>
              <w:t>中国,晋城</w:t>
            </w:r>
            <w:r>
              <w:rPr>
                <w:sz w:val="21"/>
              </w:rPr>
              <w:t> </w:t>
            </w:r>
          </w:p>
        </w:tc>
        <w:tc>
          <w:tcPr>
            <w:tcW w:w="1193" w:type="dxa"/>
          </w:tcPr>
          <w:p>
            <w:pPr>
              <w:pStyle w:val="TableParagraph"/>
              <w:spacing w:line="242" w:lineRule="auto" w:before="1"/>
              <w:ind w:left="108" w:right="230"/>
              <w:jc w:val="both"/>
              <w:rPr>
                <w:sz w:val="21"/>
              </w:rPr>
            </w:pPr>
            <w:r>
              <w:rPr>
                <w:spacing w:val="-1"/>
                <w:sz w:val="21"/>
              </w:rPr>
              <w:t>通信网络高精密机构件、机</w:t>
            </w:r>
            <w:r>
              <w:rPr>
                <w:sz w:val="21"/>
              </w:rPr>
              <w:t>器人 </w:t>
            </w:r>
          </w:p>
        </w:tc>
        <w:tc>
          <w:tcPr>
            <w:tcW w:w="1178" w:type="dxa"/>
          </w:tcPr>
          <w:p>
            <w:pPr>
              <w:pStyle w:val="TableParagraph"/>
              <w:spacing w:before="1"/>
              <w:ind w:right="-15"/>
              <w:jc w:val="right"/>
              <w:rPr>
                <w:sz w:val="21"/>
              </w:rPr>
            </w:pPr>
            <w:r>
              <w:rPr>
                <w:sz w:val="21"/>
              </w:rPr>
              <w:t>100% </w:t>
            </w:r>
          </w:p>
        </w:tc>
        <w:tc>
          <w:tcPr>
            <w:tcW w:w="1191" w:type="dxa"/>
          </w:tcPr>
          <w:p>
            <w:pPr>
              <w:pStyle w:val="TableParagraph"/>
              <w:spacing w:before="1"/>
              <w:ind w:right="-15"/>
              <w:jc w:val="right"/>
              <w:rPr>
                <w:sz w:val="21"/>
              </w:rPr>
            </w:pPr>
            <w:r>
              <w:rPr>
                <w:w w:val="100"/>
                <w:sz w:val="21"/>
              </w:rPr>
              <w:t> </w:t>
            </w:r>
          </w:p>
        </w:tc>
        <w:tc>
          <w:tcPr>
            <w:tcW w:w="1294" w:type="dxa"/>
          </w:tcPr>
          <w:p>
            <w:pPr>
              <w:pStyle w:val="TableParagraph"/>
              <w:spacing w:line="242" w:lineRule="auto" w:before="1"/>
              <w:ind w:left="106" w:right="121"/>
              <w:rPr>
                <w:sz w:val="21"/>
              </w:rPr>
            </w:pPr>
            <w:r>
              <w:rPr>
                <w:sz w:val="21"/>
              </w:rPr>
              <w:t>同一控制下企业合并 </w:t>
            </w:r>
          </w:p>
        </w:tc>
      </w:tr>
      <w:tr>
        <w:trPr>
          <w:trHeight w:val="1362" w:hRule="atLeast"/>
        </w:trPr>
        <w:tc>
          <w:tcPr>
            <w:tcW w:w="1622" w:type="dxa"/>
          </w:tcPr>
          <w:p>
            <w:pPr>
              <w:pStyle w:val="TableParagraph"/>
              <w:spacing w:line="242" w:lineRule="auto" w:before="1"/>
              <w:ind w:left="107" w:right="134"/>
              <w:jc w:val="both"/>
              <w:rPr>
                <w:sz w:val="21"/>
              </w:rPr>
            </w:pPr>
            <w:r>
              <w:rPr>
                <w:sz w:val="21"/>
              </w:rPr>
              <w:t>富联精密电子</w:t>
            </w:r>
            <w:r>
              <w:rPr>
                <w:spacing w:val="1"/>
                <w:sz w:val="21"/>
              </w:rPr>
              <w:t> </w:t>
            </w:r>
            <w:r>
              <w:rPr>
                <w:sz w:val="21"/>
              </w:rPr>
              <w:t>(郑州)有限公</w:t>
            </w:r>
            <w:r>
              <w:rPr>
                <w:spacing w:val="-2"/>
                <w:sz w:val="21"/>
              </w:rPr>
              <w:t>司(原名：富泰</w:t>
            </w:r>
          </w:p>
          <w:p>
            <w:pPr>
              <w:pStyle w:val="TableParagraph"/>
              <w:spacing w:line="270" w:lineRule="atLeast"/>
              <w:ind w:left="107" w:right="134"/>
              <w:rPr>
                <w:sz w:val="21"/>
              </w:rPr>
            </w:pPr>
            <w:r>
              <w:rPr>
                <w:spacing w:val="-1"/>
                <w:sz w:val="21"/>
              </w:rPr>
              <w:t>华精密电子(郑</w:t>
            </w:r>
            <w:r>
              <w:rPr>
                <w:sz w:val="21"/>
              </w:rPr>
              <w:t>州)有限公司) </w:t>
            </w:r>
          </w:p>
        </w:tc>
        <w:tc>
          <w:tcPr>
            <w:tcW w:w="1181" w:type="dxa"/>
          </w:tcPr>
          <w:p>
            <w:pPr>
              <w:pStyle w:val="TableParagraph"/>
              <w:spacing w:before="1"/>
              <w:ind w:left="141" w:right="49"/>
              <w:jc w:val="center"/>
              <w:rPr>
                <w:sz w:val="21"/>
              </w:rPr>
            </w:pPr>
            <w:r>
              <w:rPr>
                <w:spacing w:val="-1"/>
                <w:sz w:val="21"/>
              </w:rPr>
              <w:t>中国,郑州</w:t>
            </w:r>
            <w:r>
              <w:rPr>
                <w:sz w:val="21"/>
              </w:rPr>
              <w:t> </w:t>
            </w:r>
          </w:p>
        </w:tc>
        <w:tc>
          <w:tcPr>
            <w:tcW w:w="1164" w:type="dxa"/>
          </w:tcPr>
          <w:p>
            <w:pPr>
              <w:pStyle w:val="TableParagraph"/>
              <w:spacing w:before="1"/>
              <w:ind w:right="-15"/>
              <w:jc w:val="right"/>
              <w:rPr>
                <w:sz w:val="21"/>
              </w:rPr>
            </w:pPr>
            <w:r>
              <w:rPr>
                <w:spacing w:val="-1"/>
                <w:sz w:val="21"/>
              </w:rPr>
              <w:t>中国,郑州</w:t>
            </w:r>
            <w:r>
              <w:rPr>
                <w:sz w:val="21"/>
              </w:rPr>
              <w:t> </w:t>
            </w:r>
          </w:p>
        </w:tc>
        <w:tc>
          <w:tcPr>
            <w:tcW w:w="1193" w:type="dxa"/>
          </w:tcPr>
          <w:p>
            <w:pPr>
              <w:pStyle w:val="TableParagraph"/>
              <w:spacing w:line="242" w:lineRule="auto" w:before="1"/>
              <w:ind w:left="108" w:right="230"/>
              <w:jc w:val="both"/>
              <w:rPr>
                <w:sz w:val="21"/>
              </w:rPr>
            </w:pPr>
            <w:r>
              <w:rPr>
                <w:spacing w:val="-1"/>
                <w:sz w:val="21"/>
              </w:rPr>
              <w:t>通信网络高精密机</w:t>
            </w:r>
            <w:r>
              <w:rPr>
                <w:sz w:val="21"/>
              </w:rPr>
              <w:t>构件 </w:t>
            </w:r>
          </w:p>
        </w:tc>
        <w:tc>
          <w:tcPr>
            <w:tcW w:w="1178" w:type="dxa"/>
          </w:tcPr>
          <w:p>
            <w:pPr>
              <w:pStyle w:val="TableParagraph"/>
              <w:spacing w:before="1"/>
              <w:ind w:right="-15"/>
              <w:jc w:val="right"/>
              <w:rPr>
                <w:sz w:val="21"/>
              </w:rPr>
            </w:pPr>
            <w:r>
              <w:rPr>
                <w:sz w:val="21"/>
              </w:rPr>
              <w:t>100% </w:t>
            </w:r>
          </w:p>
        </w:tc>
        <w:tc>
          <w:tcPr>
            <w:tcW w:w="1191" w:type="dxa"/>
          </w:tcPr>
          <w:p>
            <w:pPr>
              <w:pStyle w:val="TableParagraph"/>
              <w:spacing w:before="1"/>
              <w:ind w:right="-15"/>
              <w:jc w:val="right"/>
              <w:rPr>
                <w:sz w:val="21"/>
              </w:rPr>
            </w:pPr>
            <w:r>
              <w:rPr>
                <w:w w:val="100"/>
                <w:sz w:val="21"/>
              </w:rPr>
              <w:t> </w:t>
            </w:r>
          </w:p>
        </w:tc>
        <w:tc>
          <w:tcPr>
            <w:tcW w:w="1294" w:type="dxa"/>
          </w:tcPr>
          <w:p>
            <w:pPr>
              <w:pStyle w:val="TableParagraph"/>
              <w:spacing w:line="244" w:lineRule="auto" w:before="1"/>
              <w:ind w:left="106" w:right="121"/>
              <w:rPr>
                <w:sz w:val="21"/>
              </w:rPr>
            </w:pPr>
            <w:r>
              <w:rPr>
                <w:sz w:val="21"/>
              </w:rPr>
              <w:t>同一控制下企业合并 </w:t>
            </w:r>
          </w:p>
        </w:tc>
      </w:tr>
      <w:tr>
        <w:trPr>
          <w:trHeight w:val="1360" w:hRule="atLeast"/>
        </w:trPr>
        <w:tc>
          <w:tcPr>
            <w:tcW w:w="1622" w:type="dxa"/>
          </w:tcPr>
          <w:p>
            <w:pPr>
              <w:pStyle w:val="TableParagraph"/>
              <w:spacing w:line="242" w:lineRule="auto" w:before="1"/>
              <w:ind w:left="107" w:right="134"/>
              <w:rPr>
                <w:sz w:val="21"/>
              </w:rPr>
            </w:pPr>
            <w:r>
              <w:rPr>
                <w:sz w:val="21"/>
              </w:rPr>
              <w:t>富联精密电子</w:t>
            </w:r>
            <w:r>
              <w:rPr>
                <w:spacing w:val="1"/>
                <w:sz w:val="21"/>
              </w:rPr>
              <w:t> </w:t>
            </w:r>
            <w:r>
              <w:rPr>
                <w:sz w:val="21"/>
              </w:rPr>
              <w:t>(天津)有限公</w:t>
            </w:r>
            <w:r>
              <w:rPr>
                <w:spacing w:val="-1"/>
                <w:sz w:val="21"/>
              </w:rPr>
              <w:t>司(原名：鸿富</w:t>
            </w:r>
            <w:r>
              <w:rPr>
                <w:spacing w:val="-2"/>
                <w:sz w:val="21"/>
              </w:rPr>
              <w:t>锦精密电子(天</w:t>
            </w:r>
          </w:p>
          <w:p>
            <w:pPr>
              <w:pStyle w:val="TableParagraph"/>
              <w:spacing w:line="250" w:lineRule="exact" w:before="3"/>
              <w:ind w:left="107"/>
              <w:rPr>
                <w:sz w:val="21"/>
              </w:rPr>
            </w:pPr>
            <w:r>
              <w:rPr>
                <w:spacing w:val="-1"/>
                <w:sz w:val="21"/>
              </w:rPr>
              <w:t>津)有限公司)</w:t>
            </w:r>
            <w:r>
              <w:rPr>
                <w:sz w:val="21"/>
              </w:rPr>
              <w:t> </w:t>
            </w:r>
          </w:p>
        </w:tc>
        <w:tc>
          <w:tcPr>
            <w:tcW w:w="1181" w:type="dxa"/>
          </w:tcPr>
          <w:p>
            <w:pPr>
              <w:pStyle w:val="TableParagraph"/>
              <w:spacing w:before="1"/>
              <w:ind w:left="141" w:right="49"/>
              <w:jc w:val="center"/>
              <w:rPr>
                <w:sz w:val="21"/>
              </w:rPr>
            </w:pPr>
            <w:r>
              <w:rPr>
                <w:spacing w:val="-1"/>
                <w:sz w:val="21"/>
              </w:rPr>
              <w:t>中国,天津</w:t>
            </w:r>
            <w:r>
              <w:rPr>
                <w:sz w:val="21"/>
              </w:rPr>
              <w:t> </w:t>
            </w:r>
          </w:p>
        </w:tc>
        <w:tc>
          <w:tcPr>
            <w:tcW w:w="1164" w:type="dxa"/>
          </w:tcPr>
          <w:p>
            <w:pPr>
              <w:pStyle w:val="TableParagraph"/>
              <w:spacing w:before="1"/>
              <w:ind w:right="-15"/>
              <w:jc w:val="right"/>
              <w:rPr>
                <w:sz w:val="21"/>
              </w:rPr>
            </w:pPr>
            <w:r>
              <w:rPr>
                <w:spacing w:val="-1"/>
                <w:sz w:val="21"/>
              </w:rPr>
              <w:t>中国,天津</w:t>
            </w:r>
            <w:r>
              <w:rPr>
                <w:sz w:val="21"/>
              </w:rPr>
              <w:t> </w:t>
            </w:r>
          </w:p>
        </w:tc>
        <w:tc>
          <w:tcPr>
            <w:tcW w:w="1193" w:type="dxa"/>
          </w:tcPr>
          <w:p>
            <w:pPr>
              <w:pStyle w:val="TableParagraph"/>
              <w:spacing w:line="242" w:lineRule="auto" w:before="1"/>
              <w:ind w:left="108" w:right="230"/>
              <w:rPr>
                <w:sz w:val="21"/>
              </w:rPr>
            </w:pPr>
            <w:r>
              <w:rPr>
                <w:spacing w:val="-1"/>
                <w:sz w:val="21"/>
              </w:rPr>
              <w:t>服务器、</w:t>
            </w:r>
            <w:r>
              <w:rPr>
                <w:sz w:val="21"/>
              </w:rPr>
              <w:t>存储设</w:t>
            </w:r>
            <w:r>
              <w:rPr>
                <w:spacing w:val="1"/>
                <w:sz w:val="21"/>
              </w:rPr>
              <w:t> </w:t>
            </w:r>
            <w:r>
              <w:rPr>
                <w:spacing w:val="-1"/>
                <w:sz w:val="21"/>
              </w:rPr>
              <w:t>备、云端</w:t>
            </w:r>
            <w:r>
              <w:rPr>
                <w:spacing w:val="-4"/>
                <w:sz w:val="21"/>
              </w:rPr>
              <w:t>运算高精</w:t>
            </w:r>
          </w:p>
          <w:p>
            <w:pPr>
              <w:pStyle w:val="TableParagraph"/>
              <w:spacing w:line="250" w:lineRule="exact" w:before="3"/>
              <w:ind w:left="108"/>
              <w:rPr>
                <w:sz w:val="21"/>
              </w:rPr>
            </w:pPr>
            <w:r>
              <w:rPr>
                <w:spacing w:val="-1"/>
                <w:sz w:val="21"/>
              </w:rPr>
              <w:t>密机构件</w:t>
            </w:r>
            <w:r>
              <w:rPr>
                <w:sz w:val="21"/>
              </w:rPr>
              <w:t> </w:t>
            </w:r>
          </w:p>
        </w:tc>
        <w:tc>
          <w:tcPr>
            <w:tcW w:w="1178" w:type="dxa"/>
          </w:tcPr>
          <w:p>
            <w:pPr>
              <w:pStyle w:val="TableParagraph"/>
              <w:spacing w:before="1"/>
              <w:ind w:right="-15"/>
              <w:jc w:val="right"/>
              <w:rPr>
                <w:sz w:val="21"/>
              </w:rPr>
            </w:pPr>
            <w:r>
              <w:rPr>
                <w:sz w:val="21"/>
              </w:rPr>
              <w:t>100% </w:t>
            </w:r>
          </w:p>
        </w:tc>
        <w:tc>
          <w:tcPr>
            <w:tcW w:w="1191" w:type="dxa"/>
          </w:tcPr>
          <w:p>
            <w:pPr>
              <w:pStyle w:val="TableParagraph"/>
              <w:spacing w:before="1"/>
              <w:ind w:right="-15"/>
              <w:jc w:val="right"/>
              <w:rPr>
                <w:sz w:val="21"/>
              </w:rPr>
            </w:pPr>
            <w:r>
              <w:rPr>
                <w:w w:val="100"/>
                <w:sz w:val="21"/>
              </w:rPr>
              <w:t> </w:t>
            </w:r>
          </w:p>
        </w:tc>
        <w:tc>
          <w:tcPr>
            <w:tcW w:w="1294" w:type="dxa"/>
          </w:tcPr>
          <w:p>
            <w:pPr>
              <w:pStyle w:val="TableParagraph"/>
              <w:spacing w:line="242" w:lineRule="auto" w:before="1"/>
              <w:ind w:left="106" w:right="121"/>
              <w:rPr>
                <w:sz w:val="21"/>
              </w:rPr>
            </w:pPr>
            <w:r>
              <w:rPr>
                <w:sz w:val="21"/>
              </w:rPr>
              <w:t>同一控制下企业合并 </w:t>
            </w:r>
          </w:p>
        </w:tc>
      </w:tr>
      <w:tr>
        <w:trPr>
          <w:trHeight w:val="2178" w:hRule="atLeast"/>
        </w:trPr>
        <w:tc>
          <w:tcPr>
            <w:tcW w:w="1622" w:type="dxa"/>
          </w:tcPr>
          <w:p>
            <w:pPr>
              <w:pStyle w:val="TableParagraph"/>
              <w:spacing w:line="242" w:lineRule="auto" w:before="1"/>
              <w:ind w:left="107" w:right="239"/>
              <w:jc w:val="both"/>
              <w:rPr>
                <w:sz w:val="21"/>
              </w:rPr>
            </w:pPr>
            <w:r>
              <w:rPr>
                <w:spacing w:val="-1"/>
                <w:sz w:val="21"/>
              </w:rPr>
              <w:t>深圳富联富桂精密工业有限</w:t>
            </w:r>
            <w:r>
              <w:rPr>
                <w:sz w:val="21"/>
              </w:rPr>
              <w:t>公司 </w:t>
            </w:r>
          </w:p>
        </w:tc>
        <w:tc>
          <w:tcPr>
            <w:tcW w:w="1181" w:type="dxa"/>
          </w:tcPr>
          <w:p>
            <w:pPr>
              <w:pStyle w:val="TableParagraph"/>
              <w:spacing w:before="1"/>
              <w:ind w:left="141" w:right="49"/>
              <w:jc w:val="center"/>
              <w:rPr>
                <w:sz w:val="21"/>
              </w:rPr>
            </w:pPr>
            <w:r>
              <w:rPr>
                <w:spacing w:val="-1"/>
                <w:sz w:val="21"/>
              </w:rPr>
              <w:t>中国,深圳</w:t>
            </w:r>
            <w:r>
              <w:rPr>
                <w:sz w:val="21"/>
              </w:rPr>
              <w:t> </w:t>
            </w:r>
          </w:p>
        </w:tc>
        <w:tc>
          <w:tcPr>
            <w:tcW w:w="1164" w:type="dxa"/>
          </w:tcPr>
          <w:p>
            <w:pPr>
              <w:pStyle w:val="TableParagraph"/>
              <w:spacing w:before="1"/>
              <w:ind w:right="-15"/>
              <w:jc w:val="right"/>
              <w:rPr>
                <w:sz w:val="21"/>
              </w:rPr>
            </w:pPr>
            <w:r>
              <w:rPr>
                <w:spacing w:val="-1"/>
                <w:sz w:val="21"/>
              </w:rPr>
              <w:t>中国,深圳</w:t>
            </w:r>
            <w:r>
              <w:rPr>
                <w:sz w:val="21"/>
              </w:rPr>
              <w:t> </w:t>
            </w:r>
          </w:p>
        </w:tc>
        <w:tc>
          <w:tcPr>
            <w:tcW w:w="1193" w:type="dxa"/>
          </w:tcPr>
          <w:p>
            <w:pPr>
              <w:pStyle w:val="TableParagraph"/>
              <w:spacing w:line="242" w:lineRule="auto" w:before="1"/>
              <w:ind w:left="108" w:right="230"/>
              <w:rPr>
                <w:sz w:val="21"/>
              </w:rPr>
            </w:pPr>
            <w:r>
              <w:rPr>
                <w:sz w:val="21"/>
              </w:rPr>
              <w:t>网络设</w:t>
            </w:r>
            <w:r>
              <w:rPr>
                <w:spacing w:val="1"/>
                <w:sz w:val="21"/>
              </w:rPr>
              <w:t> </w:t>
            </w:r>
            <w:r>
              <w:rPr>
                <w:spacing w:val="-1"/>
                <w:sz w:val="21"/>
              </w:rPr>
              <w:t>备、电信设备、网络电信设备高精密机构件、</w:t>
            </w:r>
            <w:r>
              <w:rPr>
                <w:spacing w:val="-4"/>
                <w:sz w:val="21"/>
              </w:rPr>
              <w:t>服务器、</w:t>
            </w:r>
          </w:p>
          <w:p>
            <w:pPr>
              <w:pStyle w:val="TableParagraph"/>
              <w:spacing w:line="250" w:lineRule="exact" w:before="5"/>
              <w:ind w:left="108"/>
              <w:rPr>
                <w:sz w:val="21"/>
              </w:rPr>
            </w:pPr>
            <w:r>
              <w:rPr>
                <w:spacing w:val="-1"/>
                <w:sz w:val="21"/>
              </w:rPr>
              <w:t>存储设备</w:t>
            </w:r>
            <w:r>
              <w:rPr>
                <w:sz w:val="21"/>
              </w:rPr>
              <w:t> </w:t>
            </w:r>
          </w:p>
        </w:tc>
        <w:tc>
          <w:tcPr>
            <w:tcW w:w="1178" w:type="dxa"/>
          </w:tcPr>
          <w:p>
            <w:pPr>
              <w:pStyle w:val="TableParagraph"/>
              <w:spacing w:before="1"/>
              <w:ind w:right="-15"/>
              <w:jc w:val="right"/>
              <w:rPr>
                <w:sz w:val="21"/>
              </w:rPr>
            </w:pPr>
            <w:r>
              <w:rPr>
                <w:sz w:val="21"/>
              </w:rPr>
              <w:t>100% </w:t>
            </w:r>
          </w:p>
        </w:tc>
        <w:tc>
          <w:tcPr>
            <w:tcW w:w="1191" w:type="dxa"/>
          </w:tcPr>
          <w:p>
            <w:pPr>
              <w:pStyle w:val="TableParagraph"/>
              <w:spacing w:before="1"/>
              <w:ind w:right="-15"/>
              <w:jc w:val="right"/>
              <w:rPr>
                <w:sz w:val="21"/>
              </w:rPr>
            </w:pPr>
            <w:r>
              <w:rPr>
                <w:w w:val="100"/>
                <w:sz w:val="21"/>
              </w:rPr>
              <w:t> </w:t>
            </w:r>
          </w:p>
        </w:tc>
        <w:tc>
          <w:tcPr>
            <w:tcW w:w="1294" w:type="dxa"/>
          </w:tcPr>
          <w:p>
            <w:pPr>
              <w:pStyle w:val="TableParagraph"/>
              <w:spacing w:before="1"/>
              <w:ind w:left="106"/>
              <w:rPr>
                <w:sz w:val="21"/>
              </w:rPr>
            </w:pPr>
            <w:r>
              <w:rPr>
                <w:sz w:val="21"/>
              </w:rPr>
              <w:t>新设 </w:t>
            </w:r>
          </w:p>
        </w:tc>
      </w:tr>
      <w:tr>
        <w:trPr>
          <w:trHeight w:val="544" w:hRule="atLeast"/>
        </w:trPr>
        <w:tc>
          <w:tcPr>
            <w:tcW w:w="1622" w:type="dxa"/>
          </w:tcPr>
          <w:p>
            <w:pPr>
              <w:pStyle w:val="TableParagraph"/>
              <w:spacing w:before="1"/>
              <w:ind w:left="107"/>
              <w:rPr>
                <w:sz w:val="21"/>
              </w:rPr>
            </w:pPr>
            <w:r>
              <w:rPr>
                <w:sz w:val="21"/>
              </w:rPr>
              <w:t>成都富联准刃</w:t>
            </w:r>
          </w:p>
          <w:p>
            <w:pPr>
              <w:pStyle w:val="TableParagraph"/>
              <w:spacing w:line="250" w:lineRule="exact" w:before="4"/>
              <w:ind w:left="107"/>
              <w:rPr>
                <w:sz w:val="21"/>
              </w:rPr>
            </w:pPr>
            <w:r>
              <w:rPr>
                <w:spacing w:val="-1"/>
                <w:sz w:val="21"/>
              </w:rPr>
              <w:t>科技有限公司</w:t>
            </w:r>
            <w:r>
              <w:rPr>
                <w:sz w:val="21"/>
              </w:rPr>
              <w:t> </w:t>
            </w:r>
          </w:p>
        </w:tc>
        <w:tc>
          <w:tcPr>
            <w:tcW w:w="1181" w:type="dxa"/>
          </w:tcPr>
          <w:p>
            <w:pPr>
              <w:pStyle w:val="TableParagraph"/>
              <w:spacing w:before="1"/>
              <w:ind w:left="141" w:right="49"/>
              <w:jc w:val="center"/>
              <w:rPr>
                <w:sz w:val="21"/>
              </w:rPr>
            </w:pPr>
            <w:r>
              <w:rPr>
                <w:spacing w:val="-1"/>
                <w:sz w:val="21"/>
              </w:rPr>
              <w:t>中国,成都</w:t>
            </w:r>
            <w:r>
              <w:rPr>
                <w:sz w:val="21"/>
              </w:rPr>
              <w:t> </w:t>
            </w:r>
          </w:p>
        </w:tc>
        <w:tc>
          <w:tcPr>
            <w:tcW w:w="1164" w:type="dxa"/>
          </w:tcPr>
          <w:p>
            <w:pPr>
              <w:pStyle w:val="TableParagraph"/>
              <w:spacing w:before="1"/>
              <w:ind w:right="-15"/>
              <w:jc w:val="right"/>
              <w:rPr>
                <w:sz w:val="21"/>
              </w:rPr>
            </w:pPr>
            <w:r>
              <w:rPr>
                <w:spacing w:val="-1"/>
                <w:sz w:val="21"/>
              </w:rPr>
              <w:t>中国,成都</w:t>
            </w:r>
            <w:r>
              <w:rPr>
                <w:sz w:val="21"/>
              </w:rPr>
              <w:t> </w:t>
            </w:r>
          </w:p>
        </w:tc>
        <w:tc>
          <w:tcPr>
            <w:tcW w:w="1193" w:type="dxa"/>
          </w:tcPr>
          <w:p>
            <w:pPr>
              <w:pStyle w:val="TableParagraph"/>
              <w:spacing w:before="1"/>
              <w:ind w:left="108"/>
              <w:rPr>
                <w:sz w:val="21"/>
              </w:rPr>
            </w:pPr>
            <w:r>
              <w:rPr>
                <w:spacing w:val="-1"/>
                <w:sz w:val="21"/>
              </w:rPr>
              <w:t>精密工具</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06"/>
              <w:rPr>
                <w:sz w:val="21"/>
              </w:rPr>
            </w:pPr>
            <w:r>
              <w:rPr>
                <w:sz w:val="21"/>
              </w:rPr>
              <w:t>同一控制下</w:t>
            </w:r>
          </w:p>
          <w:p>
            <w:pPr>
              <w:pStyle w:val="TableParagraph"/>
              <w:spacing w:line="250" w:lineRule="exact" w:before="4"/>
              <w:ind w:left="106"/>
              <w:rPr>
                <w:sz w:val="21"/>
              </w:rPr>
            </w:pPr>
            <w:r>
              <w:rPr>
                <w:spacing w:val="-1"/>
                <w:sz w:val="21"/>
              </w:rPr>
              <w:t>企业合并</w:t>
            </w:r>
            <w:r>
              <w:rPr>
                <w:sz w:val="21"/>
              </w:rPr>
              <w:t> </w:t>
            </w:r>
          </w:p>
        </w:tc>
      </w:tr>
      <w:tr>
        <w:trPr>
          <w:trHeight w:val="544" w:hRule="atLeast"/>
        </w:trPr>
        <w:tc>
          <w:tcPr>
            <w:tcW w:w="1622" w:type="dxa"/>
          </w:tcPr>
          <w:p>
            <w:pPr>
              <w:pStyle w:val="TableParagraph"/>
              <w:spacing w:before="1"/>
              <w:ind w:left="107"/>
              <w:rPr>
                <w:sz w:val="21"/>
              </w:rPr>
            </w:pPr>
            <w:r>
              <w:rPr>
                <w:sz w:val="21"/>
              </w:rPr>
              <w:t>晋城富联鸿刃</w:t>
            </w:r>
          </w:p>
          <w:p>
            <w:pPr>
              <w:pStyle w:val="TableParagraph"/>
              <w:spacing w:line="250" w:lineRule="exact" w:before="4"/>
              <w:ind w:left="107"/>
              <w:rPr>
                <w:sz w:val="21"/>
              </w:rPr>
            </w:pPr>
            <w:r>
              <w:rPr>
                <w:spacing w:val="-1"/>
                <w:sz w:val="21"/>
              </w:rPr>
              <w:t>科技有限公司</w:t>
            </w:r>
            <w:r>
              <w:rPr>
                <w:sz w:val="21"/>
              </w:rPr>
              <w:t> </w:t>
            </w:r>
          </w:p>
        </w:tc>
        <w:tc>
          <w:tcPr>
            <w:tcW w:w="1181" w:type="dxa"/>
          </w:tcPr>
          <w:p>
            <w:pPr>
              <w:pStyle w:val="TableParagraph"/>
              <w:spacing w:before="1"/>
              <w:ind w:left="141" w:right="49"/>
              <w:jc w:val="center"/>
              <w:rPr>
                <w:sz w:val="21"/>
              </w:rPr>
            </w:pPr>
            <w:r>
              <w:rPr>
                <w:spacing w:val="-1"/>
                <w:sz w:val="21"/>
              </w:rPr>
              <w:t>中国,晋城</w:t>
            </w:r>
            <w:r>
              <w:rPr>
                <w:sz w:val="21"/>
              </w:rPr>
              <w:t> </w:t>
            </w:r>
          </w:p>
        </w:tc>
        <w:tc>
          <w:tcPr>
            <w:tcW w:w="1164" w:type="dxa"/>
          </w:tcPr>
          <w:p>
            <w:pPr>
              <w:pStyle w:val="TableParagraph"/>
              <w:spacing w:before="1"/>
              <w:ind w:right="-15"/>
              <w:jc w:val="right"/>
              <w:rPr>
                <w:sz w:val="21"/>
              </w:rPr>
            </w:pPr>
            <w:r>
              <w:rPr>
                <w:spacing w:val="-1"/>
                <w:sz w:val="21"/>
              </w:rPr>
              <w:t>中国,晋城</w:t>
            </w:r>
            <w:r>
              <w:rPr>
                <w:sz w:val="21"/>
              </w:rPr>
              <w:t> </w:t>
            </w:r>
          </w:p>
        </w:tc>
        <w:tc>
          <w:tcPr>
            <w:tcW w:w="1193" w:type="dxa"/>
          </w:tcPr>
          <w:p>
            <w:pPr>
              <w:pStyle w:val="TableParagraph"/>
              <w:spacing w:before="1"/>
              <w:ind w:left="108"/>
              <w:rPr>
                <w:sz w:val="21"/>
              </w:rPr>
            </w:pPr>
            <w:r>
              <w:rPr>
                <w:spacing w:val="-1"/>
                <w:sz w:val="21"/>
              </w:rPr>
              <w:t>精密工具</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06"/>
              <w:rPr>
                <w:sz w:val="21"/>
              </w:rPr>
            </w:pPr>
            <w:r>
              <w:rPr>
                <w:sz w:val="21"/>
              </w:rPr>
              <w:t>同一控制下</w:t>
            </w:r>
          </w:p>
          <w:p>
            <w:pPr>
              <w:pStyle w:val="TableParagraph"/>
              <w:spacing w:line="250" w:lineRule="exact" w:before="4"/>
              <w:ind w:left="106"/>
              <w:rPr>
                <w:sz w:val="21"/>
              </w:rPr>
            </w:pPr>
            <w:r>
              <w:rPr>
                <w:spacing w:val="-1"/>
                <w:sz w:val="21"/>
              </w:rPr>
              <w:t>企业合并</w:t>
            </w:r>
            <w:r>
              <w:rPr>
                <w:sz w:val="21"/>
              </w:rPr>
              <w:t> </w:t>
            </w:r>
          </w:p>
        </w:tc>
      </w:tr>
      <w:tr>
        <w:trPr>
          <w:trHeight w:val="818" w:hRule="atLeast"/>
        </w:trPr>
        <w:tc>
          <w:tcPr>
            <w:tcW w:w="1622" w:type="dxa"/>
          </w:tcPr>
          <w:p>
            <w:pPr>
              <w:pStyle w:val="TableParagraph"/>
              <w:spacing w:line="242" w:lineRule="auto" w:before="3"/>
              <w:ind w:left="107" w:right="239"/>
              <w:rPr>
                <w:sz w:val="21"/>
              </w:rPr>
            </w:pPr>
            <w:r>
              <w:rPr>
                <w:spacing w:val="-1"/>
                <w:sz w:val="21"/>
              </w:rPr>
              <w:t>郑州富联鸿刃</w:t>
            </w:r>
            <w:r>
              <w:rPr>
                <w:sz w:val="21"/>
              </w:rPr>
              <w:t>科技有限公</w:t>
            </w:r>
          </w:p>
          <w:p>
            <w:pPr>
              <w:pStyle w:val="TableParagraph"/>
              <w:spacing w:line="250" w:lineRule="exact" w:before="1"/>
              <w:ind w:left="107"/>
              <w:rPr>
                <w:sz w:val="21"/>
              </w:rPr>
            </w:pPr>
            <w:r>
              <w:rPr>
                <w:sz w:val="21"/>
              </w:rPr>
              <w:t>司 </w:t>
            </w:r>
            <w:r>
              <w:rPr>
                <w:spacing w:val="-2"/>
                <w:sz w:val="21"/>
              </w:rPr>
              <w:t> </w:t>
            </w:r>
            <w:r>
              <w:rPr>
                <w:w w:val="100"/>
                <w:sz w:val="21"/>
              </w:rPr>
              <w:t> </w:t>
            </w:r>
          </w:p>
        </w:tc>
        <w:tc>
          <w:tcPr>
            <w:tcW w:w="1181" w:type="dxa"/>
          </w:tcPr>
          <w:p>
            <w:pPr>
              <w:pStyle w:val="TableParagraph"/>
              <w:spacing w:before="3"/>
              <w:ind w:left="141" w:right="49"/>
              <w:jc w:val="center"/>
              <w:rPr>
                <w:sz w:val="21"/>
              </w:rPr>
            </w:pPr>
            <w:r>
              <w:rPr>
                <w:spacing w:val="-1"/>
                <w:sz w:val="21"/>
              </w:rPr>
              <w:t>中国,郑州</w:t>
            </w:r>
            <w:r>
              <w:rPr>
                <w:sz w:val="21"/>
              </w:rPr>
              <w:t> </w:t>
            </w:r>
          </w:p>
        </w:tc>
        <w:tc>
          <w:tcPr>
            <w:tcW w:w="1164" w:type="dxa"/>
          </w:tcPr>
          <w:p>
            <w:pPr>
              <w:pStyle w:val="TableParagraph"/>
              <w:spacing w:before="3"/>
              <w:ind w:right="-15"/>
              <w:jc w:val="right"/>
              <w:rPr>
                <w:sz w:val="21"/>
              </w:rPr>
            </w:pPr>
            <w:r>
              <w:rPr>
                <w:spacing w:val="-1"/>
                <w:sz w:val="21"/>
              </w:rPr>
              <w:t>中国,郑州</w:t>
            </w:r>
            <w:r>
              <w:rPr>
                <w:sz w:val="21"/>
              </w:rPr>
              <w:t> </w:t>
            </w:r>
          </w:p>
        </w:tc>
        <w:tc>
          <w:tcPr>
            <w:tcW w:w="1193" w:type="dxa"/>
          </w:tcPr>
          <w:p>
            <w:pPr>
              <w:pStyle w:val="TableParagraph"/>
              <w:spacing w:before="3"/>
              <w:ind w:left="108"/>
              <w:rPr>
                <w:sz w:val="21"/>
              </w:rPr>
            </w:pPr>
            <w:r>
              <w:rPr>
                <w:spacing w:val="-1"/>
                <w:sz w:val="21"/>
              </w:rPr>
              <w:t>精密工具</w:t>
            </w:r>
            <w:r>
              <w:rPr>
                <w:sz w:val="21"/>
              </w:rPr>
              <w:t> </w:t>
            </w:r>
          </w:p>
        </w:tc>
        <w:tc>
          <w:tcPr>
            <w:tcW w:w="1178"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sz w:val="21"/>
              </w:rPr>
              <w:t>100% </w:t>
            </w:r>
          </w:p>
        </w:tc>
        <w:tc>
          <w:tcPr>
            <w:tcW w:w="1294" w:type="dxa"/>
          </w:tcPr>
          <w:p>
            <w:pPr>
              <w:pStyle w:val="TableParagraph"/>
              <w:spacing w:line="242" w:lineRule="auto" w:before="3"/>
              <w:ind w:left="106" w:right="121"/>
              <w:rPr>
                <w:sz w:val="21"/>
              </w:rPr>
            </w:pPr>
            <w:r>
              <w:rPr>
                <w:sz w:val="21"/>
              </w:rPr>
              <w:t>同一控制下企业合并 </w:t>
            </w:r>
          </w:p>
        </w:tc>
      </w:tr>
      <w:tr>
        <w:trPr>
          <w:trHeight w:val="1634" w:hRule="atLeast"/>
        </w:trPr>
        <w:tc>
          <w:tcPr>
            <w:tcW w:w="1622" w:type="dxa"/>
          </w:tcPr>
          <w:p>
            <w:pPr>
              <w:pStyle w:val="TableParagraph"/>
              <w:spacing w:line="242" w:lineRule="auto" w:before="1"/>
              <w:ind w:left="107" w:right="239"/>
              <w:rPr>
                <w:sz w:val="21"/>
              </w:rPr>
            </w:pPr>
            <w:r>
              <w:rPr>
                <w:spacing w:val="-1"/>
                <w:sz w:val="21"/>
              </w:rPr>
              <w:t>富联裕展科技(深圳)有限公</w:t>
            </w:r>
            <w:r>
              <w:rPr>
                <w:spacing w:val="14"/>
                <w:sz w:val="21"/>
              </w:rPr>
              <w:t>司    (原</w:t>
            </w:r>
            <w:r>
              <w:rPr>
                <w:spacing w:val="1"/>
                <w:sz w:val="21"/>
              </w:rPr>
              <w:t> </w:t>
            </w:r>
            <w:r>
              <w:rPr>
                <w:spacing w:val="-1"/>
                <w:sz w:val="21"/>
              </w:rPr>
              <w:t>名：深圳市裕展精密科技有</w:t>
            </w:r>
          </w:p>
          <w:p>
            <w:pPr>
              <w:pStyle w:val="TableParagraph"/>
              <w:spacing w:line="250" w:lineRule="exact" w:before="4"/>
              <w:ind w:left="107"/>
              <w:rPr>
                <w:sz w:val="21"/>
              </w:rPr>
            </w:pPr>
            <w:r>
              <w:rPr>
                <w:spacing w:val="-1"/>
                <w:sz w:val="21"/>
              </w:rPr>
              <w:t>限公司)</w:t>
            </w:r>
            <w:r>
              <w:rPr>
                <w:sz w:val="21"/>
              </w:rPr>
              <w:t> </w:t>
            </w:r>
          </w:p>
        </w:tc>
        <w:tc>
          <w:tcPr>
            <w:tcW w:w="1181" w:type="dxa"/>
          </w:tcPr>
          <w:p>
            <w:pPr>
              <w:pStyle w:val="TableParagraph"/>
              <w:spacing w:before="1"/>
              <w:ind w:left="141" w:right="49"/>
              <w:jc w:val="center"/>
              <w:rPr>
                <w:sz w:val="21"/>
              </w:rPr>
            </w:pPr>
            <w:r>
              <w:rPr>
                <w:spacing w:val="-1"/>
                <w:sz w:val="21"/>
              </w:rPr>
              <w:t>中国,深圳</w:t>
            </w:r>
            <w:r>
              <w:rPr>
                <w:sz w:val="21"/>
              </w:rPr>
              <w:t> </w:t>
            </w:r>
          </w:p>
        </w:tc>
        <w:tc>
          <w:tcPr>
            <w:tcW w:w="1164" w:type="dxa"/>
          </w:tcPr>
          <w:p>
            <w:pPr>
              <w:pStyle w:val="TableParagraph"/>
              <w:spacing w:before="1"/>
              <w:ind w:right="-15"/>
              <w:jc w:val="right"/>
              <w:rPr>
                <w:sz w:val="21"/>
              </w:rPr>
            </w:pPr>
            <w:r>
              <w:rPr>
                <w:spacing w:val="-1"/>
                <w:sz w:val="21"/>
              </w:rPr>
              <w:t>中国,深圳</w:t>
            </w:r>
            <w:r>
              <w:rPr>
                <w:sz w:val="21"/>
              </w:rPr>
              <w:t> </w:t>
            </w:r>
          </w:p>
        </w:tc>
        <w:tc>
          <w:tcPr>
            <w:tcW w:w="1193" w:type="dxa"/>
          </w:tcPr>
          <w:p>
            <w:pPr>
              <w:pStyle w:val="TableParagraph"/>
              <w:spacing w:line="242" w:lineRule="auto" w:before="1"/>
              <w:ind w:left="108" w:right="126"/>
              <w:jc w:val="both"/>
              <w:rPr>
                <w:sz w:val="21"/>
              </w:rPr>
            </w:pPr>
            <w:r>
              <w:rPr>
                <w:sz w:val="21"/>
              </w:rPr>
              <w:t>通信网络高精密机构件、工业机器人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4" w:lineRule="auto" w:before="1"/>
              <w:ind w:left="106" w:right="121"/>
              <w:rPr>
                <w:sz w:val="21"/>
              </w:rPr>
            </w:pPr>
            <w:r>
              <w:rPr>
                <w:sz w:val="21"/>
              </w:rPr>
              <w:t>同一控制下企业合并 </w:t>
            </w:r>
          </w:p>
        </w:tc>
      </w:tr>
      <w:tr>
        <w:trPr>
          <w:trHeight w:val="1089" w:hRule="atLeast"/>
        </w:trPr>
        <w:tc>
          <w:tcPr>
            <w:tcW w:w="1622" w:type="dxa"/>
          </w:tcPr>
          <w:p>
            <w:pPr>
              <w:pStyle w:val="TableParagraph"/>
              <w:spacing w:line="242" w:lineRule="auto" w:before="1"/>
              <w:ind w:left="107"/>
              <w:rPr>
                <w:sz w:val="21"/>
              </w:rPr>
            </w:pPr>
            <w:r>
              <w:rPr>
                <w:sz w:val="21"/>
              </w:rPr>
              <w:t>Foxconn</w:t>
            </w:r>
            <w:r>
              <w:rPr>
                <w:spacing w:val="1"/>
                <w:sz w:val="21"/>
              </w:rPr>
              <w:t> </w:t>
            </w:r>
            <w:r>
              <w:rPr>
                <w:sz w:val="21"/>
              </w:rPr>
              <w:t>Precision</w:t>
            </w:r>
            <w:r>
              <w:rPr>
                <w:spacing w:val="1"/>
                <w:sz w:val="21"/>
              </w:rPr>
              <w:t> </w:t>
            </w:r>
            <w:r>
              <w:rPr>
                <w:sz w:val="21"/>
              </w:rPr>
              <w:t>International </w:t>
            </w:r>
          </w:p>
          <w:p>
            <w:pPr>
              <w:pStyle w:val="TableParagraph"/>
              <w:spacing w:line="250" w:lineRule="exact" w:before="3"/>
              <w:ind w:left="107"/>
              <w:rPr>
                <w:sz w:val="21"/>
              </w:rPr>
            </w:pPr>
            <w:r>
              <w:rPr>
                <w:sz w:val="21"/>
              </w:rPr>
              <w:t>Limited </w:t>
            </w:r>
          </w:p>
        </w:tc>
        <w:tc>
          <w:tcPr>
            <w:tcW w:w="1181" w:type="dxa"/>
          </w:tcPr>
          <w:p>
            <w:pPr>
              <w:pStyle w:val="TableParagraph"/>
              <w:spacing w:before="1"/>
              <w:ind w:left="141" w:right="49"/>
              <w:jc w:val="center"/>
              <w:rPr>
                <w:sz w:val="21"/>
              </w:rPr>
            </w:pPr>
            <w:r>
              <w:rPr>
                <w:spacing w:val="-1"/>
                <w:sz w:val="21"/>
              </w:rPr>
              <w:t>中国,香港</w:t>
            </w:r>
            <w:r>
              <w:rPr>
                <w:sz w:val="21"/>
              </w:rPr>
              <w:t> </w:t>
            </w:r>
          </w:p>
        </w:tc>
        <w:tc>
          <w:tcPr>
            <w:tcW w:w="1164" w:type="dxa"/>
          </w:tcPr>
          <w:p>
            <w:pPr>
              <w:pStyle w:val="TableParagraph"/>
              <w:spacing w:before="1"/>
              <w:ind w:right="-15"/>
              <w:jc w:val="right"/>
              <w:rPr>
                <w:sz w:val="21"/>
              </w:rPr>
            </w:pPr>
            <w:r>
              <w:rPr>
                <w:spacing w:val="-1"/>
                <w:sz w:val="21"/>
              </w:rPr>
              <w:t>中国,香港</w:t>
            </w:r>
            <w:r>
              <w:rPr>
                <w:sz w:val="21"/>
              </w:rPr>
              <w:t> </w:t>
            </w:r>
          </w:p>
        </w:tc>
        <w:tc>
          <w:tcPr>
            <w:tcW w:w="1193" w:type="dxa"/>
          </w:tcPr>
          <w:p>
            <w:pPr>
              <w:pStyle w:val="TableParagraph"/>
              <w:spacing w:line="242" w:lineRule="auto" w:before="1"/>
              <w:ind w:left="108" w:right="230"/>
              <w:jc w:val="both"/>
              <w:rPr>
                <w:sz w:val="21"/>
              </w:rPr>
            </w:pPr>
            <w:r>
              <w:rPr>
                <w:spacing w:val="-1"/>
                <w:sz w:val="21"/>
              </w:rPr>
              <w:t>通信网络高精密机</w:t>
            </w:r>
            <w:r>
              <w:rPr>
                <w:sz w:val="21"/>
              </w:rPr>
              <w:t>构件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4" w:lineRule="auto" w:before="1"/>
              <w:ind w:left="106" w:right="121"/>
              <w:rPr>
                <w:sz w:val="21"/>
              </w:rPr>
            </w:pPr>
            <w:r>
              <w:rPr>
                <w:sz w:val="21"/>
              </w:rPr>
              <w:t>同一控制下企业合并 </w:t>
            </w:r>
          </w:p>
        </w:tc>
      </w:tr>
      <w:tr>
        <w:trPr>
          <w:trHeight w:val="1634" w:hRule="atLeast"/>
        </w:trPr>
        <w:tc>
          <w:tcPr>
            <w:tcW w:w="1622" w:type="dxa"/>
          </w:tcPr>
          <w:p>
            <w:pPr>
              <w:pStyle w:val="TableParagraph"/>
              <w:spacing w:line="242" w:lineRule="auto" w:before="1"/>
              <w:ind w:left="107" w:right="239"/>
              <w:rPr>
                <w:sz w:val="21"/>
              </w:rPr>
            </w:pPr>
            <w:r>
              <w:rPr>
                <w:spacing w:val="-1"/>
                <w:sz w:val="21"/>
              </w:rPr>
              <w:t>富联精密电子(贵阳)有限公</w:t>
            </w:r>
            <w:r>
              <w:rPr>
                <w:spacing w:val="14"/>
                <w:sz w:val="21"/>
              </w:rPr>
              <w:t>司    (原</w:t>
            </w:r>
            <w:r>
              <w:rPr>
                <w:spacing w:val="1"/>
                <w:sz w:val="21"/>
              </w:rPr>
              <w:t> </w:t>
            </w:r>
            <w:r>
              <w:rPr>
                <w:spacing w:val="-1"/>
                <w:sz w:val="21"/>
              </w:rPr>
              <w:t>名：鸿富锦精密电子(贵阳)</w:t>
            </w:r>
          </w:p>
          <w:p>
            <w:pPr>
              <w:pStyle w:val="TableParagraph"/>
              <w:spacing w:line="250" w:lineRule="exact" w:before="4"/>
              <w:ind w:left="107"/>
              <w:rPr>
                <w:sz w:val="21"/>
              </w:rPr>
            </w:pPr>
            <w:r>
              <w:rPr>
                <w:spacing w:val="-1"/>
                <w:sz w:val="21"/>
              </w:rPr>
              <w:t>有限公司)</w:t>
            </w:r>
            <w:r>
              <w:rPr>
                <w:sz w:val="21"/>
              </w:rPr>
              <w:t> </w:t>
            </w:r>
          </w:p>
        </w:tc>
        <w:tc>
          <w:tcPr>
            <w:tcW w:w="1181" w:type="dxa"/>
          </w:tcPr>
          <w:p>
            <w:pPr>
              <w:pStyle w:val="TableParagraph"/>
              <w:spacing w:before="1"/>
              <w:ind w:left="141" w:right="49"/>
              <w:jc w:val="center"/>
              <w:rPr>
                <w:sz w:val="21"/>
              </w:rPr>
            </w:pPr>
            <w:r>
              <w:rPr>
                <w:spacing w:val="-1"/>
                <w:sz w:val="21"/>
              </w:rPr>
              <w:t>中国,贵阳</w:t>
            </w:r>
            <w:r>
              <w:rPr>
                <w:sz w:val="21"/>
              </w:rPr>
              <w:t> </w:t>
            </w:r>
          </w:p>
        </w:tc>
        <w:tc>
          <w:tcPr>
            <w:tcW w:w="1164" w:type="dxa"/>
          </w:tcPr>
          <w:p>
            <w:pPr>
              <w:pStyle w:val="TableParagraph"/>
              <w:spacing w:before="1"/>
              <w:ind w:right="-15"/>
              <w:jc w:val="right"/>
              <w:rPr>
                <w:sz w:val="21"/>
              </w:rPr>
            </w:pPr>
            <w:r>
              <w:rPr>
                <w:spacing w:val="-1"/>
                <w:sz w:val="21"/>
              </w:rPr>
              <w:t>中国,贵阳</w:t>
            </w:r>
            <w:r>
              <w:rPr>
                <w:sz w:val="21"/>
              </w:rPr>
              <w:t> </w:t>
            </w:r>
          </w:p>
        </w:tc>
        <w:tc>
          <w:tcPr>
            <w:tcW w:w="1193" w:type="dxa"/>
          </w:tcPr>
          <w:p>
            <w:pPr>
              <w:pStyle w:val="TableParagraph"/>
              <w:spacing w:line="244" w:lineRule="auto" w:before="1"/>
              <w:ind w:left="108" w:right="126"/>
              <w:rPr>
                <w:sz w:val="21"/>
              </w:rPr>
            </w:pPr>
            <w:r>
              <w:rPr>
                <w:sz w:val="21"/>
              </w:rPr>
              <w:t>服务器、存储设备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80% </w:t>
            </w:r>
          </w:p>
        </w:tc>
        <w:tc>
          <w:tcPr>
            <w:tcW w:w="1294" w:type="dxa"/>
          </w:tcPr>
          <w:p>
            <w:pPr>
              <w:pStyle w:val="TableParagraph"/>
              <w:spacing w:line="244" w:lineRule="auto" w:before="1"/>
              <w:ind w:left="106" w:right="121"/>
              <w:rPr>
                <w:sz w:val="21"/>
              </w:rPr>
            </w:pPr>
            <w:r>
              <w:rPr>
                <w:sz w:val="21"/>
              </w:rPr>
              <w:t>同一控制下企业合并 </w:t>
            </w:r>
          </w:p>
        </w:tc>
      </w:tr>
      <w:tr>
        <w:trPr>
          <w:trHeight w:val="544" w:hRule="atLeast"/>
        </w:trPr>
        <w:tc>
          <w:tcPr>
            <w:tcW w:w="1622" w:type="dxa"/>
          </w:tcPr>
          <w:p>
            <w:pPr>
              <w:pStyle w:val="TableParagraph"/>
              <w:spacing w:before="1"/>
              <w:ind w:left="107"/>
              <w:rPr>
                <w:sz w:val="21"/>
              </w:rPr>
            </w:pPr>
            <w:r>
              <w:rPr>
                <w:sz w:val="21"/>
              </w:rPr>
              <w:t>富联科技服务</w:t>
            </w:r>
          </w:p>
          <w:p>
            <w:pPr>
              <w:pStyle w:val="TableParagraph"/>
              <w:spacing w:line="250" w:lineRule="exact" w:before="4"/>
              <w:ind w:left="107"/>
              <w:rPr>
                <w:sz w:val="21"/>
              </w:rPr>
            </w:pPr>
            <w:r>
              <w:rPr>
                <w:sz w:val="21"/>
              </w:rPr>
              <w:t>(天津)有限公</w:t>
            </w:r>
          </w:p>
        </w:tc>
        <w:tc>
          <w:tcPr>
            <w:tcW w:w="1181" w:type="dxa"/>
          </w:tcPr>
          <w:p>
            <w:pPr>
              <w:pStyle w:val="TableParagraph"/>
              <w:spacing w:before="1"/>
              <w:ind w:left="141" w:right="49"/>
              <w:jc w:val="center"/>
              <w:rPr>
                <w:sz w:val="21"/>
              </w:rPr>
            </w:pPr>
            <w:r>
              <w:rPr>
                <w:spacing w:val="-1"/>
                <w:sz w:val="21"/>
              </w:rPr>
              <w:t>中国,天津</w:t>
            </w:r>
            <w:r>
              <w:rPr>
                <w:sz w:val="21"/>
              </w:rPr>
              <w:t> </w:t>
            </w:r>
          </w:p>
        </w:tc>
        <w:tc>
          <w:tcPr>
            <w:tcW w:w="1164" w:type="dxa"/>
          </w:tcPr>
          <w:p>
            <w:pPr>
              <w:pStyle w:val="TableParagraph"/>
              <w:spacing w:before="1"/>
              <w:ind w:right="-15"/>
              <w:jc w:val="right"/>
              <w:rPr>
                <w:sz w:val="21"/>
              </w:rPr>
            </w:pPr>
            <w:r>
              <w:rPr>
                <w:spacing w:val="-1"/>
                <w:sz w:val="21"/>
              </w:rPr>
              <w:t>中国,天津</w:t>
            </w:r>
            <w:r>
              <w:rPr>
                <w:sz w:val="21"/>
              </w:rPr>
              <w:t> </w:t>
            </w:r>
          </w:p>
        </w:tc>
        <w:tc>
          <w:tcPr>
            <w:tcW w:w="1193" w:type="dxa"/>
          </w:tcPr>
          <w:p>
            <w:pPr>
              <w:pStyle w:val="TableParagraph"/>
              <w:spacing w:before="1"/>
              <w:ind w:left="108"/>
              <w:rPr>
                <w:sz w:val="21"/>
              </w:rPr>
            </w:pPr>
            <w:r>
              <w:rPr>
                <w:sz w:val="21"/>
              </w:rPr>
              <w:t>服务器、</w:t>
            </w:r>
          </w:p>
          <w:p>
            <w:pPr>
              <w:pStyle w:val="TableParagraph"/>
              <w:spacing w:line="250" w:lineRule="exact" w:before="4"/>
              <w:ind w:left="108"/>
              <w:rPr>
                <w:sz w:val="21"/>
              </w:rPr>
            </w:pPr>
            <w:r>
              <w:rPr>
                <w:spacing w:val="-1"/>
                <w:sz w:val="21"/>
              </w:rPr>
              <w:t>存储设备</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06"/>
              <w:rPr>
                <w:sz w:val="21"/>
              </w:rPr>
            </w:pPr>
            <w:r>
              <w:rPr>
                <w:sz w:val="21"/>
              </w:rPr>
              <w:t>同一控制下</w:t>
            </w:r>
          </w:p>
          <w:p>
            <w:pPr>
              <w:pStyle w:val="TableParagraph"/>
              <w:spacing w:line="250" w:lineRule="exact" w:before="4"/>
              <w:ind w:left="106"/>
              <w:rPr>
                <w:sz w:val="21"/>
              </w:rPr>
            </w:pPr>
            <w:r>
              <w:rPr>
                <w:spacing w:val="-1"/>
                <w:sz w:val="21"/>
              </w:rPr>
              <w:t>企业合并</w:t>
            </w:r>
            <w:r>
              <w:rPr>
                <w:sz w:val="21"/>
              </w:rPr>
              <w:t> </w:t>
            </w:r>
          </w:p>
        </w:tc>
      </w:tr>
    </w:tbl>
    <w:p>
      <w:pPr>
        <w:spacing w:after="0" w:line="250" w:lineRule="exact"/>
        <w:rPr>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2"/>
        <w:gridCol w:w="1181"/>
        <w:gridCol w:w="1164"/>
        <w:gridCol w:w="1193"/>
        <w:gridCol w:w="1178"/>
        <w:gridCol w:w="1191"/>
        <w:gridCol w:w="1294"/>
      </w:tblGrid>
      <w:tr>
        <w:trPr>
          <w:trHeight w:val="1089" w:hRule="atLeast"/>
        </w:trPr>
        <w:tc>
          <w:tcPr>
            <w:tcW w:w="1622" w:type="dxa"/>
          </w:tcPr>
          <w:p>
            <w:pPr>
              <w:pStyle w:val="TableParagraph"/>
              <w:spacing w:line="242" w:lineRule="auto" w:before="3"/>
              <w:ind w:left="107" w:right="239"/>
              <w:rPr>
                <w:sz w:val="21"/>
              </w:rPr>
            </w:pPr>
            <w:r>
              <w:rPr>
                <w:spacing w:val="14"/>
                <w:sz w:val="21"/>
              </w:rPr>
              <w:t>司    (原</w:t>
            </w:r>
            <w:r>
              <w:rPr>
                <w:spacing w:val="1"/>
                <w:sz w:val="21"/>
              </w:rPr>
              <w:t> </w:t>
            </w:r>
            <w:r>
              <w:rPr>
                <w:spacing w:val="-1"/>
                <w:sz w:val="21"/>
              </w:rPr>
              <w:t>名：佰昌科技服务(天津)有</w:t>
            </w:r>
          </w:p>
          <w:p>
            <w:pPr>
              <w:pStyle w:val="TableParagraph"/>
              <w:spacing w:line="250" w:lineRule="exact" w:before="1"/>
              <w:ind w:left="107"/>
              <w:rPr>
                <w:sz w:val="21"/>
              </w:rPr>
            </w:pPr>
            <w:r>
              <w:rPr>
                <w:spacing w:val="-1"/>
                <w:sz w:val="21"/>
              </w:rPr>
              <w:t>限公司)</w:t>
            </w:r>
            <w:r>
              <w:rPr>
                <w:sz w:val="21"/>
              </w:rPr>
              <w:t> </w:t>
            </w:r>
          </w:p>
        </w:tc>
        <w:tc>
          <w:tcPr>
            <w:tcW w:w="1181" w:type="dxa"/>
          </w:tcPr>
          <w:p>
            <w:pPr>
              <w:pStyle w:val="TableParagraph"/>
              <w:rPr>
                <w:rFonts w:ascii="Times New Roman"/>
                <w:sz w:val="20"/>
              </w:rPr>
            </w:pPr>
          </w:p>
        </w:tc>
        <w:tc>
          <w:tcPr>
            <w:tcW w:w="1164" w:type="dxa"/>
          </w:tcPr>
          <w:p>
            <w:pPr>
              <w:pStyle w:val="TableParagraph"/>
              <w:rPr>
                <w:rFonts w:ascii="Times New Roman"/>
                <w:sz w:val="20"/>
              </w:rPr>
            </w:pPr>
          </w:p>
        </w:tc>
        <w:tc>
          <w:tcPr>
            <w:tcW w:w="1193" w:type="dxa"/>
          </w:tcPr>
          <w:p>
            <w:pPr>
              <w:pStyle w:val="TableParagraph"/>
              <w:rPr>
                <w:rFonts w:ascii="Times New Roman"/>
                <w:sz w:val="20"/>
              </w:rPr>
            </w:pPr>
          </w:p>
        </w:tc>
        <w:tc>
          <w:tcPr>
            <w:tcW w:w="1178" w:type="dxa"/>
          </w:tcPr>
          <w:p>
            <w:pPr>
              <w:pStyle w:val="TableParagraph"/>
              <w:rPr>
                <w:rFonts w:ascii="Times New Roman"/>
                <w:sz w:val="20"/>
              </w:rPr>
            </w:pPr>
          </w:p>
        </w:tc>
        <w:tc>
          <w:tcPr>
            <w:tcW w:w="1191" w:type="dxa"/>
          </w:tcPr>
          <w:p>
            <w:pPr>
              <w:pStyle w:val="TableParagraph"/>
              <w:rPr>
                <w:rFonts w:ascii="Times New Roman"/>
                <w:sz w:val="20"/>
              </w:rPr>
            </w:pPr>
          </w:p>
        </w:tc>
        <w:tc>
          <w:tcPr>
            <w:tcW w:w="1294" w:type="dxa"/>
          </w:tcPr>
          <w:p>
            <w:pPr>
              <w:pStyle w:val="TableParagraph"/>
              <w:rPr>
                <w:rFonts w:ascii="Times New Roman"/>
                <w:sz w:val="20"/>
              </w:rPr>
            </w:pPr>
          </w:p>
        </w:tc>
      </w:tr>
      <w:tr>
        <w:trPr>
          <w:trHeight w:val="817" w:hRule="atLeast"/>
        </w:trPr>
        <w:tc>
          <w:tcPr>
            <w:tcW w:w="1622" w:type="dxa"/>
          </w:tcPr>
          <w:p>
            <w:pPr>
              <w:pStyle w:val="TableParagraph"/>
              <w:spacing w:line="242" w:lineRule="auto" w:before="3"/>
              <w:ind w:left="107" w:right="239"/>
              <w:rPr>
                <w:sz w:val="21"/>
              </w:rPr>
            </w:pPr>
            <w:r>
              <w:rPr>
                <w:spacing w:val="-1"/>
                <w:sz w:val="21"/>
              </w:rPr>
              <w:t>富华科精密工业(深圳)有限</w:t>
            </w:r>
          </w:p>
          <w:p>
            <w:pPr>
              <w:pStyle w:val="TableParagraph"/>
              <w:spacing w:line="250" w:lineRule="exact" w:before="1"/>
              <w:ind w:left="107"/>
              <w:rPr>
                <w:sz w:val="21"/>
              </w:rPr>
            </w:pPr>
            <w:r>
              <w:rPr>
                <w:sz w:val="21"/>
              </w:rPr>
              <w:t>公司 </w:t>
            </w:r>
          </w:p>
        </w:tc>
        <w:tc>
          <w:tcPr>
            <w:tcW w:w="1181" w:type="dxa"/>
          </w:tcPr>
          <w:p>
            <w:pPr>
              <w:pStyle w:val="TableParagraph"/>
              <w:spacing w:before="3"/>
              <w:ind w:left="105"/>
              <w:rPr>
                <w:sz w:val="21"/>
              </w:rPr>
            </w:pPr>
            <w:r>
              <w:rPr>
                <w:spacing w:val="-1"/>
                <w:sz w:val="21"/>
              </w:rPr>
              <w:t>中国,深圳</w:t>
            </w:r>
            <w:r>
              <w:rPr>
                <w:sz w:val="21"/>
              </w:rPr>
              <w:t> </w:t>
            </w:r>
          </w:p>
        </w:tc>
        <w:tc>
          <w:tcPr>
            <w:tcW w:w="1164" w:type="dxa"/>
          </w:tcPr>
          <w:p>
            <w:pPr>
              <w:pStyle w:val="TableParagraph"/>
              <w:spacing w:before="3"/>
              <w:ind w:left="106" w:right="-15"/>
              <w:rPr>
                <w:sz w:val="21"/>
              </w:rPr>
            </w:pPr>
            <w:r>
              <w:rPr>
                <w:spacing w:val="-1"/>
                <w:sz w:val="21"/>
              </w:rPr>
              <w:t>中国,深圳</w:t>
            </w:r>
            <w:r>
              <w:rPr>
                <w:sz w:val="21"/>
              </w:rPr>
              <w:t> </w:t>
            </w:r>
          </w:p>
        </w:tc>
        <w:tc>
          <w:tcPr>
            <w:tcW w:w="1193" w:type="dxa"/>
          </w:tcPr>
          <w:p>
            <w:pPr>
              <w:pStyle w:val="TableParagraph"/>
              <w:spacing w:line="242" w:lineRule="auto" w:before="3"/>
              <w:ind w:left="108" w:right="230"/>
              <w:rPr>
                <w:sz w:val="21"/>
              </w:rPr>
            </w:pPr>
            <w:r>
              <w:rPr>
                <w:spacing w:val="-1"/>
                <w:sz w:val="21"/>
              </w:rPr>
              <w:t>通信网络</w:t>
            </w:r>
            <w:r>
              <w:rPr>
                <w:sz w:val="21"/>
              </w:rPr>
              <w:t>设备 </w:t>
            </w:r>
          </w:p>
        </w:tc>
        <w:tc>
          <w:tcPr>
            <w:tcW w:w="1178"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sz w:val="21"/>
              </w:rPr>
              <w:t>64.20% </w:t>
            </w:r>
          </w:p>
        </w:tc>
        <w:tc>
          <w:tcPr>
            <w:tcW w:w="1294" w:type="dxa"/>
          </w:tcPr>
          <w:p>
            <w:pPr>
              <w:pStyle w:val="TableParagraph"/>
              <w:spacing w:line="242" w:lineRule="auto" w:before="3"/>
              <w:ind w:left="106" w:right="121"/>
              <w:rPr>
                <w:sz w:val="21"/>
              </w:rPr>
            </w:pPr>
            <w:r>
              <w:rPr>
                <w:sz w:val="21"/>
              </w:rPr>
              <w:t>同一控制下企业合并 </w:t>
            </w:r>
          </w:p>
        </w:tc>
      </w:tr>
      <w:tr>
        <w:trPr>
          <w:trHeight w:val="817" w:hRule="atLeast"/>
        </w:trPr>
        <w:tc>
          <w:tcPr>
            <w:tcW w:w="1622" w:type="dxa"/>
          </w:tcPr>
          <w:p>
            <w:pPr>
              <w:pStyle w:val="TableParagraph"/>
              <w:spacing w:line="244" w:lineRule="auto" w:before="1"/>
              <w:ind w:left="107" w:right="242"/>
              <w:rPr>
                <w:sz w:val="21"/>
              </w:rPr>
            </w:pPr>
            <w:r>
              <w:rPr>
                <w:sz w:val="21"/>
              </w:rPr>
              <w:t>富联科技(山西)有限公司 </w:t>
            </w:r>
          </w:p>
        </w:tc>
        <w:tc>
          <w:tcPr>
            <w:tcW w:w="1181" w:type="dxa"/>
          </w:tcPr>
          <w:p>
            <w:pPr>
              <w:pStyle w:val="TableParagraph"/>
              <w:spacing w:before="1"/>
              <w:ind w:left="105"/>
              <w:rPr>
                <w:sz w:val="21"/>
              </w:rPr>
            </w:pPr>
            <w:r>
              <w:rPr>
                <w:spacing w:val="-1"/>
                <w:sz w:val="21"/>
              </w:rPr>
              <w:t>中国,太原</w:t>
            </w:r>
            <w:r>
              <w:rPr>
                <w:sz w:val="21"/>
              </w:rPr>
              <w:t> </w:t>
            </w:r>
          </w:p>
        </w:tc>
        <w:tc>
          <w:tcPr>
            <w:tcW w:w="1164" w:type="dxa"/>
          </w:tcPr>
          <w:p>
            <w:pPr>
              <w:pStyle w:val="TableParagraph"/>
              <w:spacing w:before="1"/>
              <w:ind w:left="106" w:right="-15"/>
              <w:rPr>
                <w:sz w:val="21"/>
              </w:rPr>
            </w:pPr>
            <w:r>
              <w:rPr>
                <w:spacing w:val="-1"/>
                <w:sz w:val="21"/>
              </w:rPr>
              <w:t>中国,太原</w:t>
            </w:r>
            <w:r>
              <w:rPr>
                <w:sz w:val="21"/>
              </w:rPr>
              <w:t> </w:t>
            </w:r>
          </w:p>
        </w:tc>
        <w:tc>
          <w:tcPr>
            <w:tcW w:w="1193" w:type="dxa"/>
          </w:tcPr>
          <w:p>
            <w:pPr>
              <w:pStyle w:val="TableParagraph"/>
              <w:spacing w:before="1"/>
              <w:ind w:left="108"/>
              <w:rPr>
                <w:sz w:val="21"/>
              </w:rPr>
            </w:pPr>
            <w:r>
              <w:rPr>
                <w:sz w:val="21"/>
              </w:rPr>
              <w:t>通信网络</w:t>
            </w:r>
          </w:p>
          <w:p>
            <w:pPr>
              <w:pStyle w:val="TableParagraph"/>
              <w:spacing w:line="270" w:lineRule="atLeast"/>
              <w:ind w:left="108" w:right="230"/>
              <w:rPr>
                <w:sz w:val="21"/>
              </w:rPr>
            </w:pPr>
            <w:r>
              <w:rPr>
                <w:spacing w:val="-1"/>
                <w:sz w:val="21"/>
              </w:rPr>
              <w:t>高精密机</w:t>
            </w:r>
            <w:r>
              <w:rPr>
                <w:sz w:val="21"/>
              </w:rPr>
              <w:t>构件 </w:t>
            </w:r>
          </w:p>
        </w:tc>
        <w:tc>
          <w:tcPr>
            <w:tcW w:w="1178" w:type="dxa"/>
          </w:tcPr>
          <w:p>
            <w:pPr>
              <w:pStyle w:val="TableParagraph"/>
              <w:spacing w:before="1"/>
              <w:ind w:right="-15"/>
              <w:jc w:val="right"/>
              <w:rPr>
                <w:sz w:val="21"/>
              </w:rPr>
            </w:pPr>
            <w:r>
              <w:rPr>
                <w:sz w:val="21"/>
              </w:rPr>
              <w:t>44.50% </w:t>
            </w:r>
          </w:p>
        </w:tc>
        <w:tc>
          <w:tcPr>
            <w:tcW w:w="1191" w:type="dxa"/>
          </w:tcPr>
          <w:p>
            <w:pPr>
              <w:pStyle w:val="TableParagraph"/>
              <w:spacing w:before="1"/>
              <w:ind w:right="-15"/>
              <w:jc w:val="right"/>
              <w:rPr>
                <w:sz w:val="21"/>
              </w:rPr>
            </w:pPr>
            <w:r>
              <w:rPr>
                <w:sz w:val="21"/>
              </w:rPr>
              <w:t>55.50% </w:t>
            </w:r>
          </w:p>
        </w:tc>
        <w:tc>
          <w:tcPr>
            <w:tcW w:w="1294" w:type="dxa"/>
          </w:tcPr>
          <w:p>
            <w:pPr>
              <w:pStyle w:val="TableParagraph"/>
              <w:spacing w:line="244" w:lineRule="auto" w:before="1"/>
              <w:ind w:left="106" w:right="121"/>
              <w:rPr>
                <w:sz w:val="21"/>
              </w:rPr>
            </w:pPr>
            <w:r>
              <w:rPr>
                <w:sz w:val="21"/>
              </w:rPr>
              <w:t>同一控制下企业合并 </w:t>
            </w:r>
          </w:p>
        </w:tc>
      </w:tr>
      <w:tr>
        <w:trPr>
          <w:trHeight w:val="544" w:hRule="atLeast"/>
        </w:trPr>
        <w:tc>
          <w:tcPr>
            <w:tcW w:w="1622" w:type="dxa"/>
          </w:tcPr>
          <w:p>
            <w:pPr>
              <w:pStyle w:val="TableParagraph"/>
              <w:spacing w:before="1"/>
              <w:ind w:left="107"/>
              <w:rPr>
                <w:sz w:val="21"/>
              </w:rPr>
            </w:pPr>
            <w:r>
              <w:rPr>
                <w:sz w:val="21"/>
              </w:rPr>
              <w:t>重庆富桂电子</w:t>
            </w:r>
          </w:p>
          <w:p>
            <w:pPr>
              <w:pStyle w:val="TableParagraph"/>
              <w:spacing w:line="252" w:lineRule="exact" w:before="2"/>
              <w:ind w:left="107"/>
              <w:rPr>
                <w:sz w:val="21"/>
              </w:rPr>
            </w:pPr>
            <w:r>
              <w:rPr>
                <w:spacing w:val="-1"/>
                <w:sz w:val="21"/>
              </w:rPr>
              <w:t>有限公司</w:t>
            </w:r>
            <w:r>
              <w:rPr>
                <w:sz w:val="21"/>
              </w:rPr>
              <w:t> </w:t>
            </w:r>
          </w:p>
        </w:tc>
        <w:tc>
          <w:tcPr>
            <w:tcW w:w="1181" w:type="dxa"/>
          </w:tcPr>
          <w:p>
            <w:pPr>
              <w:pStyle w:val="TableParagraph"/>
              <w:spacing w:before="1"/>
              <w:ind w:left="105"/>
              <w:rPr>
                <w:sz w:val="21"/>
              </w:rPr>
            </w:pPr>
            <w:r>
              <w:rPr>
                <w:spacing w:val="-1"/>
                <w:sz w:val="21"/>
              </w:rPr>
              <w:t>中国,重庆</w:t>
            </w:r>
            <w:r>
              <w:rPr>
                <w:sz w:val="21"/>
              </w:rPr>
              <w:t> </w:t>
            </w:r>
          </w:p>
        </w:tc>
        <w:tc>
          <w:tcPr>
            <w:tcW w:w="1164" w:type="dxa"/>
          </w:tcPr>
          <w:p>
            <w:pPr>
              <w:pStyle w:val="TableParagraph"/>
              <w:spacing w:before="1"/>
              <w:ind w:left="106" w:right="-15"/>
              <w:rPr>
                <w:sz w:val="21"/>
              </w:rPr>
            </w:pPr>
            <w:r>
              <w:rPr>
                <w:spacing w:val="-1"/>
                <w:sz w:val="21"/>
              </w:rPr>
              <w:t>中国,重庆</w:t>
            </w:r>
            <w:r>
              <w:rPr>
                <w:sz w:val="21"/>
              </w:rPr>
              <w:t> </w:t>
            </w:r>
          </w:p>
        </w:tc>
        <w:tc>
          <w:tcPr>
            <w:tcW w:w="1193" w:type="dxa"/>
          </w:tcPr>
          <w:p>
            <w:pPr>
              <w:pStyle w:val="TableParagraph"/>
              <w:spacing w:before="1"/>
              <w:ind w:left="108"/>
              <w:rPr>
                <w:sz w:val="21"/>
              </w:rPr>
            </w:pPr>
            <w:r>
              <w:rPr>
                <w:spacing w:val="-1"/>
                <w:sz w:val="21"/>
              </w:rPr>
              <w:t>网络设备</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06"/>
              <w:rPr>
                <w:sz w:val="21"/>
              </w:rPr>
            </w:pPr>
            <w:r>
              <w:rPr>
                <w:sz w:val="21"/>
              </w:rPr>
              <w:t>同一控制下</w:t>
            </w:r>
          </w:p>
          <w:p>
            <w:pPr>
              <w:pStyle w:val="TableParagraph"/>
              <w:spacing w:line="252" w:lineRule="exact" w:before="2"/>
              <w:ind w:left="106"/>
              <w:rPr>
                <w:sz w:val="21"/>
              </w:rPr>
            </w:pPr>
            <w:r>
              <w:rPr>
                <w:spacing w:val="-1"/>
                <w:sz w:val="21"/>
              </w:rPr>
              <w:t>企业合并</w:t>
            </w:r>
            <w:r>
              <w:rPr>
                <w:sz w:val="21"/>
              </w:rPr>
              <w:t> </w:t>
            </w:r>
          </w:p>
        </w:tc>
      </w:tr>
      <w:tr>
        <w:trPr>
          <w:trHeight w:val="816" w:hRule="atLeast"/>
        </w:trPr>
        <w:tc>
          <w:tcPr>
            <w:tcW w:w="1622" w:type="dxa"/>
          </w:tcPr>
          <w:p>
            <w:pPr>
              <w:pStyle w:val="TableParagraph"/>
              <w:spacing w:line="242" w:lineRule="auto" w:before="1"/>
              <w:ind w:left="107" w:right="239"/>
              <w:rPr>
                <w:sz w:val="21"/>
              </w:rPr>
            </w:pPr>
            <w:r>
              <w:rPr>
                <w:spacing w:val="-1"/>
                <w:sz w:val="21"/>
              </w:rPr>
              <w:t>广西富梦创新科技有限责任</w:t>
            </w:r>
          </w:p>
          <w:p>
            <w:pPr>
              <w:pStyle w:val="TableParagraph"/>
              <w:spacing w:line="250" w:lineRule="exact" w:before="2"/>
              <w:ind w:left="107"/>
              <w:rPr>
                <w:sz w:val="21"/>
              </w:rPr>
            </w:pPr>
            <w:r>
              <w:rPr>
                <w:sz w:val="21"/>
              </w:rPr>
              <w:t>公司 </w:t>
            </w:r>
          </w:p>
        </w:tc>
        <w:tc>
          <w:tcPr>
            <w:tcW w:w="1181" w:type="dxa"/>
          </w:tcPr>
          <w:p>
            <w:pPr>
              <w:pStyle w:val="TableParagraph"/>
              <w:spacing w:before="1"/>
              <w:ind w:left="105"/>
              <w:rPr>
                <w:sz w:val="21"/>
              </w:rPr>
            </w:pPr>
            <w:r>
              <w:rPr>
                <w:spacing w:val="-1"/>
                <w:sz w:val="21"/>
              </w:rPr>
              <w:t>中国,南宁</w:t>
            </w:r>
            <w:r>
              <w:rPr>
                <w:sz w:val="21"/>
              </w:rPr>
              <w:t> </w:t>
            </w:r>
          </w:p>
        </w:tc>
        <w:tc>
          <w:tcPr>
            <w:tcW w:w="1164" w:type="dxa"/>
          </w:tcPr>
          <w:p>
            <w:pPr>
              <w:pStyle w:val="TableParagraph"/>
              <w:spacing w:before="1"/>
              <w:ind w:left="106" w:right="-15"/>
              <w:rPr>
                <w:sz w:val="21"/>
              </w:rPr>
            </w:pPr>
            <w:r>
              <w:rPr>
                <w:spacing w:val="-1"/>
                <w:sz w:val="21"/>
              </w:rPr>
              <w:t>中国,南宁</w:t>
            </w:r>
            <w:r>
              <w:rPr>
                <w:sz w:val="21"/>
              </w:rPr>
              <w:t> </w:t>
            </w:r>
          </w:p>
        </w:tc>
        <w:tc>
          <w:tcPr>
            <w:tcW w:w="1193" w:type="dxa"/>
          </w:tcPr>
          <w:p>
            <w:pPr>
              <w:pStyle w:val="TableParagraph"/>
              <w:spacing w:line="242" w:lineRule="auto" w:before="1"/>
              <w:ind w:left="108" w:right="230"/>
              <w:rPr>
                <w:sz w:val="21"/>
              </w:rPr>
            </w:pPr>
            <w:r>
              <w:rPr>
                <w:spacing w:val="-1"/>
                <w:sz w:val="21"/>
              </w:rPr>
              <w:t>通信网络</w:t>
            </w:r>
            <w:r>
              <w:rPr>
                <w:sz w:val="21"/>
              </w:rPr>
              <w:t>设备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51% </w:t>
            </w:r>
          </w:p>
        </w:tc>
        <w:tc>
          <w:tcPr>
            <w:tcW w:w="1294" w:type="dxa"/>
          </w:tcPr>
          <w:p>
            <w:pPr>
              <w:pStyle w:val="TableParagraph"/>
              <w:spacing w:line="242" w:lineRule="auto" w:before="1"/>
              <w:ind w:left="106" w:right="121"/>
              <w:rPr>
                <w:sz w:val="21"/>
              </w:rPr>
            </w:pPr>
            <w:r>
              <w:rPr>
                <w:sz w:val="21"/>
              </w:rPr>
              <w:t>同一控制下企业合并 </w:t>
            </w:r>
          </w:p>
        </w:tc>
      </w:tr>
      <w:tr>
        <w:trPr>
          <w:trHeight w:val="817" w:hRule="atLeast"/>
        </w:trPr>
        <w:tc>
          <w:tcPr>
            <w:tcW w:w="1622" w:type="dxa"/>
          </w:tcPr>
          <w:p>
            <w:pPr>
              <w:pStyle w:val="TableParagraph"/>
              <w:spacing w:line="242" w:lineRule="auto" w:before="3"/>
              <w:ind w:left="107" w:right="242"/>
              <w:rPr>
                <w:sz w:val="21"/>
              </w:rPr>
            </w:pPr>
            <w:r>
              <w:rPr>
                <w:sz w:val="21"/>
              </w:rPr>
              <w:t>富联科技(鹤壁)有限公司 </w:t>
            </w:r>
          </w:p>
        </w:tc>
        <w:tc>
          <w:tcPr>
            <w:tcW w:w="1181" w:type="dxa"/>
          </w:tcPr>
          <w:p>
            <w:pPr>
              <w:pStyle w:val="TableParagraph"/>
              <w:spacing w:before="3"/>
              <w:ind w:left="105"/>
              <w:rPr>
                <w:sz w:val="21"/>
              </w:rPr>
            </w:pPr>
            <w:r>
              <w:rPr>
                <w:spacing w:val="-1"/>
                <w:sz w:val="21"/>
              </w:rPr>
              <w:t>中国,鹤壁</w:t>
            </w:r>
            <w:r>
              <w:rPr>
                <w:sz w:val="21"/>
              </w:rPr>
              <w:t> </w:t>
            </w:r>
          </w:p>
        </w:tc>
        <w:tc>
          <w:tcPr>
            <w:tcW w:w="1164" w:type="dxa"/>
          </w:tcPr>
          <w:p>
            <w:pPr>
              <w:pStyle w:val="TableParagraph"/>
              <w:spacing w:before="3"/>
              <w:ind w:left="106" w:right="-15"/>
              <w:rPr>
                <w:sz w:val="21"/>
              </w:rPr>
            </w:pPr>
            <w:r>
              <w:rPr>
                <w:spacing w:val="-1"/>
                <w:sz w:val="21"/>
              </w:rPr>
              <w:t>中国,鹤壁</w:t>
            </w:r>
            <w:r>
              <w:rPr>
                <w:sz w:val="21"/>
              </w:rPr>
              <w:t> </w:t>
            </w:r>
          </w:p>
        </w:tc>
        <w:tc>
          <w:tcPr>
            <w:tcW w:w="1193" w:type="dxa"/>
          </w:tcPr>
          <w:p>
            <w:pPr>
              <w:pStyle w:val="TableParagraph"/>
              <w:spacing w:line="242" w:lineRule="auto" w:before="3"/>
              <w:ind w:left="108" w:right="230"/>
              <w:rPr>
                <w:sz w:val="21"/>
              </w:rPr>
            </w:pPr>
            <w:r>
              <w:rPr>
                <w:spacing w:val="-1"/>
                <w:sz w:val="21"/>
              </w:rPr>
              <w:t>通信网络高精密机</w:t>
            </w:r>
          </w:p>
          <w:p>
            <w:pPr>
              <w:pStyle w:val="TableParagraph"/>
              <w:spacing w:line="250" w:lineRule="exact" w:before="1"/>
              <w:ind w:left="108"/>
              <w:rPr>
                <w:sz w:val="21"/>
              </w:rPr>
            </w:pPr>
            <w:r>
              <w:rPr>
                <w:sz w:val="21"/>
              </w:rPr>
              <w:t>构件 </w:t>
            </w:r>
          </w:p>
        </w:tc>
        <w:tc>
          <w:tcPr>
            <w:tcW w:w="1178"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sz w:val="21"/>
              </w:rPr>
              <w:t>100% </w:t>
            </w:r>
          </w:p>
        </w:tc>
        <w:tc>
          <w:tcPr>
            <w:tcW w:w="1294" w:type="dxa"/>
          </w:tcPr>
          <w:p>
            <w:pPr>
              <w:pStyle w:val="TableParagraph"/>
              <w:spacing w:before="3"/>
              <w:ind w:left="140" w:right="54"/>
              <w:jc w:val="center"/>
              <w:rPr>
                <w:sz w:val="21"/>
              </w:rPr>
            </w:pPr>
            <w:r>
              <w:rPr>
                <w:sz w:val="21"/>
              </w:rPr>
              <w:t>子公司新设 </w:t>
            </w:r>
          </w:p>
        </w:tc>
      </w:tr>
      <w:tr>
        <w:trPr>
          <w:trHeight w:val="818" w:hRule="atLeast"/>
        </w:trPr>
        <w:tc>
          <w:tcPr>
            <w:tcW w:w="1622" w:type="dxa"/>
          </w:tcPr>
          <w:p>
            <w:pPr>
              <w:pStyle w:val="TableParagraph"/>
              <w:spacing w:line="244" w:lineRule="auto" w:before="1"/>
              <w:ind w:left="107" w:right="242"/>
              <w:rPr>
                <w:sz w:val="21"/>
              </w:rPr>
            </w:pPr>
            <w:r>
              <w:rPr>
                <w:sz w:val="21"/>
              </w:rPr>
              <w:t>富联科技(武汉)有限公司 </w:t>
            </w:r>
          </w:p>
        </w:tc>
        <w:tc>
          <w:tcPr>
            <w:tcW w:w="1181" w:type="dxa"/>
          </w:tcPr>
          <w:p>
            <w:pPr>
              <w:pStyle w:val="TableParagraph"/>
              <w:spacing w:before="1"/>
              <w:ind w:left="105"/>
              <w:rPr>
                <w:sz w:val="21"/>
              </w:rPr>
            </w:pPr>
            <w:r>
              <w:rPr>
                <w:spacing w:val="-1"/>
                <w:sz w:val="21"/>
              </w:rPr>
              <w:t>中国,武汉</w:t>
            </w:r>
            <w:r>
              <w:rPr>
                <w:sz w:val="21"/>
              </w:rPr>
              <w:t> </w:t>
            </w:r>
          </w:p>
        </w:tc>
        <w:tc>
          <w:tcPr>
            <w:tcW w:w="1164" w:type="dxa"/>
          </w:tcPr>
          <w:p>
            <w:pPr>
              <w:pStyle w:val="TableParagraph"/>
              <w:spacing w:before="1"/>
              <w:ind w:left="106" w:right="-15"/>
              <w:rPr>
                <w:sz w:val="21"/>
              </w:rPr>
            </w:pPr>
            <w:r>
              <w:rPr>
                <w:spacing w:val="-1"/>
                <w:sz w:val="21"/>
              </w:rPr>
              <w:t>中国,武汉</w:t>
            </w:r>
            <w:r>
              <w:rPr>
                <w:sz w:val="21"/>
              </w:rPr>
              <w:t> </w:t>
            </w:r>
          </w:p>
        </w:tc>
        <w:tc>
          <w:tcPr>
            <w:tcW w:w="1193" w:type="dxa"/>
          </w:tcPr>
          <w:p>
            <w:pPr>
              <w:pStyle w:val="TableParagraph"/>
              <w:spacing w:before="1"/>
              <w:ind w:left="108"/>
              <w:rPr>
                <w:sz w:val="21"/>
              </w:rPr>
            </w:pPr>
            <w:r>
              <w:rPr>
                <w:sz w:val="21"/>
              </w:rPr>
              <w:t>通信网络</w:t>
            </w:r>
          </w:p>
          <w:p>
            <w:pPr>
              <w:pStyle w:val="TableParagraph"/>
              <w:spacing w:line="270" w:lineRule="atLeast"/>
              <w:ind w:left="108" w:right="230"/>
              <w:rPr>
                <w:sz w:val="21"/>
              </w:rPr>
            </w:pPr>
            <w:r>
              <w:rPr>
                <w:spacing w:val="-1"/>
                <w:sz w:val="21"/>
              </w:rPr>
              <w:t>高精密机</w:t>
            </w:r>
            <w:r>
              <w:rPr>
                <w:sz w:val="21"/>
              </w:rPr>
              <w:t>构件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40" w:right="54"/>
              <w:jc w:val="center"/>
              <w:rPr>
                <w:sz w:val="21"/>
              </w:rPr>
            </w:pPr>
            <w:r>
              <w:rPr>
                <w:sz w:val="21"/>
              </w:rPr>
              <w:t>子公司新设 </w:t>
            </w:r>
          </w:p>
        </w:tc>
      </w:tr>
      <w:tr>
        <w:trPr>
          <w:trHeight w:val="1089" w:hRule="atLeast"/>
        </w:trPr>
        <w:tc>
          <w:tcPr>
            <w:tcW w:w="1622" w:type="dxa"/>
          </w:tcPr>
          <w:p>
            <w:pPr>
              <w:pStyle w:val="TableParagraph"/>
              <w:spacing w:line="242" w:lineRule="auto" w:before="1"/>
              <w:ind w:left="107"/>
              <w:rPr>
                <w:sz w:val="21"/>
              </w:rPr>
            </w:pPr>
            <w:r>
              <w:rPr>
                <w:sz w:val="21"/>
              </w:rPr>
              <w:t>Cloud Network</w:t>
            </w:r>
            <w:r>
              <w:rPr>
                <w:spacing w:val="1"/>
                <w:sz w:val="21"/>
              </w:rPr>
              <w:t> </w:t>
            </w:r>
            <w:r>
              <w:rPr>
                <w:sz w:val="21"/>
              </w:rPr>
              <w:t>Technology</w:t>
            </w:r>
            <w:r>
              <w:rPr>
                <w:spacing w:val="1"/>
                <w:sz w:val="21"/>
              </w:rPr>
              <w:t> </w:t>
            </w:r>
            <w:r>
              <w:rPr>
                <w:sz w:val="21"/>
              </w:rPr>
              <w:t>Singapore </w:t>
            </w:r>
          </w:p>
          <w:p>
            <w:pPr>
              <w:pStyle w:val="TableParagraph"/>
              <w:spacing w:line="252" w:lineRule="exact"/>
              <w:ind w:left="107"/>
              <w:rPr>
                <w:sz w:val="21"/>
              </w:rPr>
            </w:pPr>
            <w:r>
              <w:rPr>
                <w:sz w:val="21"/>
              </w:rPr>
              <w:t>Pte.</w:t>
            </w:r>
            <w:r>
              <w:rPr>
                <w:spacing w:val="-1"/>
                <w:sz w:val="21"/>
              </w:rPr>
              <w:t> </w:t>
            </w:r>
            <w:r>
              <w:rPr>
                <w:sz w:val="21"/>
              </w:rPr>
              <w:t>Ltd. </w:t>
            </w:r>
          </w:p>
        </w:tc>
        <w:tc>
          <w:tcPr>
            <w:tcW w:w="1181" w:type="dxa"/>
          </w:tcPr>
          <w:p>
            <w:pPr>
              <w:pStyle w:val="TableParagraph"/>
              <w:spacing w:before="1"/>
              <w:ind w:left="105"/>
              <w:rPr>
                <w:sz w:val="21"/>
              </w:rPr>
            </w:pPr>
            <w:r>
              <w:rPr>
                <w:sz w:val="21"/>
              </w:rPr>
              <w:t>新加坡 </w:t>
            </w:r>
          </w:p>
        </w:tc>
        <w:tc>
          <w:tcPr>
            <w:tcW w:w="1164" w:type="dxa"/>
          </w:tcPr>
          <w:p>
            <w:pPr>
              <w:pStyle w:val="TableParagraph"/>
              <w:spacing w:before="1"/>
              <w:ind w:left="106"/>
              <w:rPr>
                <w:sz w:val="21"/>
              </w:rPr>
            </w:pPr>
            <w:r>
              <w:rPr>
                <w:sz w:val="21"/>
              </w:rPr>
              <w:t>新加坡 </w:t>
            </w:r>
          </w:p>
        </w:tc>
        <w:tc>
          <w:tcPr>
            <w:tcW w:w="1193" w:type="dxa"/>
          </w:tcPr>
          <w:p>
            <w:pPr>
              <w:pStyle w:val="TableParagraph"/>
              <w:spacing w:line="242" w:lineRule="auto" w:before="1"/>
              <w:ind w:left="108" w:right="126"/>
              <w:jc w:val="both"/>
              <w:rPr>
                <w:sz w:val="21"/>
              </w:rPr>
            </w:pPr>
            <w:r>
              <w:rPr>
                <w:sz w:val="21"/>
              </w:rPr>
              <w:t>服务器、存储器、网络设备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2" w:lineRule="auto" w:before="1"/>
              <w:ind w:left="106" w:right="121"/>
              <w:rPr>
                <w:sz w:val="21"/>
              </w:rPr>
            </w:pPr>
            <w:r>
              <w:rPr>
                <w:sz w:val="21"/>
              </w:rPr>
              <w:t>同一控制下企业合并 </w:t>
            </w:r>
          </w:p>
        </w:tc>
      </w:tr>
      <w:tr>
        <w:trPr>
          <w:trHeight w:val="816" w:hRule="atLeast"/>
        </w:trPr>
        <w:tc>
          <w:tcPr>
            <w:tcW w:w="1622" w:type="dxa"/>
          </w:tcPr>
          <w:p>
            <w:pPr>
              <w:pStyle w:val="TableParagraph"/>
              <w:spacing w:line="242" w:lineRule="auto" w:before="1"/>
              <w:ind w:left="107"/>
              <w:rPr>
                <w:sz w:val="21"/>
              </w:rPr>
            </w:pPr>
            <w:r>
              <w:rPr>
                <w:sz w:val="21"/>
              </w:rPr>
              <w:t>Rich Excel</w:t>
            </w:r>
            <w:r>
              <w:rPr>
                <w:spacing w:val="1"/>
                <w:sz w:val="21"/>
              </w:rPr>
              <w:t> </w:t>
            </w:r>
            <w:r>
              <w:rPr>
                <w:sz w:val="21"/>
              </w:rPr>
              <w:t>International </w:t>
            </w:r>
          </w:p>
          <w:p>
            <w:pPr>
              <w:pStyle w:val="TableParagraph"/>
              <w:spacing w:line="250" w:lineRule="exact" w:before="1"/>
              <w:ind w:left="107"/>
              <w:rPr>
                <w:sz w:val="21"/>
              </w:rPr>
            </w:pPr>
            <w:r>
              <w:rPr>
                <w:sz w:val="21"/>
              </w:rPr>
              <w:t>Limited </w:t>
            </w:r>
          </w:p>
        </w:tc>
        <w:tc>
          <w:tcPr>
            <w:tcW w:w="1181" w:type="dxa"/>
          </w:tcPr>
          <w:p>
            <w:pPr>
              <w:pStyle w:val="TableParagraph"/>
              <w:spacing w:before="1"/>
              <w:ind w:left="105"/>
              <w:rPr>
                <w:sz w:val="21"/>
              </w:rPr>
            </w:pPr>
            <w:r>
              <w:rPr>
                <w:sz w:val="21"/>
              </w:rPr>
              <w:t>萨摩亚 </w:t>
            </w:r>
          </w:p>
        </w:tc>
        <w:tc>
          <w:tcPr>
            <w:tcW w:w="1164" w:type="dxa"/>
          </w:tcPr>
          <w:p>
            <w:pPr>
              <w:pStyle w:val="TableParagraph"/>
              <w:spacing w:before="1"/>
              <w:ind w:left="106"/>
              <w:rPr>
                <w:sz w:val="21"/>
              </w:rPr>
            </w:pPr>
            <w:r>
              <w:rPr>
                <w:sz w:val="21"/>
              </w:rPr>
              <w:t>萨摩亚 </w:t>
            </w:r>
          </w:p>
        </w:tc>
        <w:tc>
          <w:tcPr>
            <w:tcW w:w="1193" w:type="dxa"/>
          </w:tcPr>
          <w:p>
            <w:pPr>
              <w:pStyle w:val="TableParagraph"/>
              <w:spacing w:line="242" w:lineRule="auto" w:before="1"/>
              <w:ind w:left="108" w:right="230"/>
              <w:rPr>
                <w:sz w:val="21"/>
              </w:rPr>
            </w:pPr>
            <w:r>
              <w:rPr>
                <w:spacing w:val="-1"/>
                <w:sz w:val="21"/>
              </w:rPr>
              <w:t>控股平台</w:t>
            </w:r>
            <w:r>
              <w:rPr>
                <w:sz w:val="21"/>
              </w:rPr>
              <w:t>公司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2" w:lineRule="auto" w:before="1"/>
              <w:ind w:left="106" w:right="121"/>
              <w:rPr>
                <w:sz w:val="21"/>
              </w:rPr>
            </w:pPr>
            <w:r>
              <w:rPr>
                <w:sz w:val="21"/>
              </w:rPr>
              <w:t>同一控制下企业合并 </w:t>
            </w:r>
          </w:p>
        </w:tc>
      </w:tr>
      <w:tr>
        <w:trPr>
          <w:trHeight w:val="818" w:hRule="atLeast"/>
        </w:trPr>
        <w:tc>
          <w:tcPr>
            <w:tcW w:w="1622" w:type="dxa"/>
          </w:tcPr>
          <w:p>
            <w:pPr>
              <w:pStyle w:val="TableParagraph"/>
              <w:spacing w:before="1"/>
              <w:ind w:left="107"/>
              <w:rPr>
                <w:sz w:val="21"/>
              </w:rPr>
            </w:pPr>
            <w:r>
              <w:rPr>
                <w:sz w:val="21"/>
              </w:rPr>
              <w:t>Glory</w:t>
            </w:r>
            <w:r>
              <w:rPr>
                <w:spacing w:val="-1"/>
                <w:sz w:val="21"/>
              </w:rPr>
              <w:t> </w:t>
            </w:r>
            <w:r>
              <w:rPr>
                <w:sz w:val="21"/>
              </w:rPr>
              <w:t>Star </w:t>
            </w:r>
          </w:p>
          <w:p>
            <w:pPr>
              <w:pStyle w:val="TableParagraph"/>
              <w:spacing w:line="270" w:lineRule="atLeast"/>
              <w:ind w:left="107" w:right="134"/>
              <w:rPr>
                <w:sz w:val="21"/>
              </w:rPr>
            </w:pPr>
            <w:r>
              <w:rPr>
                <w:sz w:val="21"/>
              </w:rPr>
              <w:t>Investments</w:t>
            </w:r>
            <w:r>
              <w:rPr>
                <w:spacing w:val="1"/>
                <w:sz w:val="21"/>
              </w:rPr>
              <w:t> </w:t>
            </w:r>
            <w:r>
              <w:rPr>
                <w:sz w:val="21"/>
              </w:rPr>
              <w:t>Limited </w:t>
            </w:r>
          </w:p>
        </w:tc>
        <w:tc>
          <w:tcPr>
            <w:tcW w:w="1181" w:type="dxa"/>
          </w:tcPr>
          <w:p>
            <w:pPr>
              <w:pStyle w:val="TableParagraph"/>
              <w:spacing w:before="1"/>
              <w:ind w:left="105"/>
              <w:rPr>
                <w:sz w:val="21"/>
              </w:rPr>
            </w:pPr>
            <w:r>
              <w:rPr>
                <w:sz w:val="21"/>
              </w:rPr>
              <w:t>萨摩亚 </w:t>
            </w:r>
          </w:p>
        </w:tc>
        <w:tc>
          <w:tcPr>
            <w:tcW w:w="1164" w:type="dxa"/>
          </w:tcPr>
          <w:p>
            <w:pPr>
              <w:pStyle w:val="TableParagraph"/>
              <w:spacing w:before="1"/>
              <w:ind w:left="106"/>
              <w:rPr>
                <w:sz w:val="21"/>
              </w:rPr>
            </w:pPr>
            <w:r>
              <w:rPr>
                <w:sz w:val="21"/>
              </w:rPr>
              <w:t>萨摩亚 </w:t>
            </w:r>
          </w:p>
        </w:tc>
        <w:tc>
          <w:tcPr>
            <w:tcW w:w="1193" w:type="dxa"/>
          </w:tcPr>
          <w:p>
            <w:pPr>
              <w:pStyle w:val="TableParagraph"/>
              <w:spacing w:line="244" w:lineRule="auto" w:before="1"/>
              <w:ind w:left="108" w:right="230"/>
              <w:rPr>
                <w:sz w:val="21"/>
              </w:rPr>
            </w:pPr>
            <w:r>
              <w:rPr>
                <w:spacing w:val="-1"/>
                <w:sz w:val="21"/>
              </w:rPr>
              <w:t>控股平台</w:t>
            </w:r>
            <w:r>
              <w:rPr>
                <w:sz w:val="21"/>
              </w:rPr>
              <w:t>公司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4" w:lineRule="auto" w:before="1"/>
              <w:ind w:left="106" w:right="121"/>
              <w:rPr>
                <w:sz w:val="21"/>
              </w:rPr>
            </w:pPr>
            <w:r>
              <w:rPr>
                <w:sz w:val="21"/>
              </w:rPr>
              <w:t>同一控制下企业合并 </w:t>
            </w:r>
          </w:p>
        </w:tc>
      </w:tr>
      <w:tr>
        <w:trPr>
          <w:trHeight w:val="815" w:hRule="atLeast"/>
        </w:trPr>
        <w:tc>
          <w:tcPr>
            <w:tcW w:w="1622" w:type="dxa"/>
          </w:tcPr>
          <w:p>
            <w:pPr>
              <w:pStyle w:val="TableParagraph"/>
              <w:spacing w:before="1"/>
              <w:ind w:left="107"/>
              <w:rPr>
                <w:sz w:val="21"/>
              </w:rPr>
            </w:pPr>
            <w:r>
              <w:rPr>
                <w:sz w:val="21"/>
              </w:rPr>
              <w:t>Ingrasys </w:t>
            </w:r>
          </w:p>
          <w:p>
            <w:pPr>
              <w:pStyle w:val="TableParagraph"/>
              <w:spacing w:line="270" w:lineRule="atLeast"/>
              <w:ind w:left="107" w:right="134"/>
              <w:rPr>
                <w:sz w:val="21"/>
              </w:rPr>
            </w:pPr>
            <w:r>
              <w:rPr>
                <w:sz w:val="21"/>
              </w:rPr>
              <w:t>(Singapore)</w:t>
            </w:r>
            <w:r>
              <w:rPr>
                <w:spacing w:val="1"/>
                <w:sz w:val="21"/>
              </w:rPr>
              <w:t> </w:t>
            </w:r>
            <w:r>
              <w:rPr>
                <w:sz w:val="21"/>
              </w:rPr>
              <w:t>Pte. Ltd. </w:t>
            </w:r>
            <w:r>
              <w:rPr>
                <w:spacing w:val="-2"/>
                <w:sz w:val="21"/>
              </w:rPr>
              <w:t> </w:t>
            </w:r>
            <w:r>
              <w:rPr>
                <w:w w:val="100"/>
                <w:sz w:val="21"/>
              </w:rPr>
              <w:t> </w:t>
            </w:r>
          </w:p>
        </w:tc>
        <w:tc>
          <w:tcPr>
            <w:tcW w:w="1181" w:type="dxa"/>
          </w:tcPr>
          <w:p>
            <w:pPr>
              <w:pStyle w:val="TableParagraph"/>
              <w:spacing w:before="1"/>
              <w:ind w:left="105"/>
              <w:rPr>
                <w:sz w:val="21"/>
              </w:rPr>
            </w:pPr>
            <w:r>
              <w:rPr>
                <w:sz w:val="21"/>
              </w:rPr>
              <w:t>新加坡 </w:t>
            </w:r>
          </w:p>
        </w:tc>
        <w:tc>
          <w:tcPr>
            <w:tcW w:w="1164" w:type="dxa"/>
          </w:tcPr>
          <w:p>
            <w:pPr>
              <w:pStyle w:val="TableParagraph"/>
              <w:spacing w:before="1"/>
              <w:ind w:left="106"/>
              <w:rPr>
                <w:sz w:val="21"/>
              </w:rPr>
            </w:pPr>
            <w:r>
              <w:rPr>
                <w:sz w:val="21"/>
              </w:rPr>
              <w:t>新加坡 </w:t>
            </w:r>
          </w:p>
        </w:tc>
        <w:tc>
          <w:tcPr>
            <w:tcW w:w="1193" w:type="dxa"/>
          </w:tcPr>
          <w:p>
            <w:pPr>
              <w:pStyle w:val="TableParagraph"/>
              <w:spacing w:line="244" w:lineRule="auto" w:before="1"/>
              <w:ind w:left="108" w:right="230"/>
              <w:rPr>
                <w:sz w:val="21"/>
              </w:rPr>
            </w:pPr>
            <w:r>
              <w:rPr>
                <w:spacing w:val="-1"/>
                <w:sz w:val="21"/>
              </w:rPr>
              <w:t>服务器、</w:t>
            </w:r>
            <w:r>
              <w:rPr>
                <w:sz w:val="21"/>
              </w:rPr>
              <w:t>存储器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4" w:lineRule="auto" w:before="1"/>
              <w:ind w:left="106" w:right="121"/>
              <w:rPr>
                <w:sz w:val="21"/>
              </w:rPr>
            </w:pPr>
            <w:r>
              <w:rPr>
                <w:sz w:val="21"/>
              </w:rPr>
              <w:t>同一控制下企业合并 </w:t>
            </w:r>
          </w:p>
        </w:tc>
      </w:tr>
      <w:tr>
        <w:trPr>
          <w:trHeight w:val="817" w:hRule="atLeast"/>
        </w:trPr>
        <w:tc>
          <w:tcPr>
            <w:tcW w:w="1622" w:type="dxa"/>
          </w:tcPr>
          <w:p>
            <w:pPr>
              <w:pStyle w:val="TableParagraph"/>
              <w:spacing w:line="242" w:lineRule="auto" w:before="3"/>
              <w:ind w:left="107"/>
              <w:rPr>
                <w:sz w:val="21"/>
              </w:rPr>
            </w:pPr>
            <w:r>
              <w:rPr>
                <w:sz w:val="21"/>
              </w:rPr>
              <w:t>Cloud Network</w:t>
            </w:r>
            <w:r>
              <w:rPr>
                <w:spacing w:val="1"/>
                <w:sz w:val="21"/>
              </w:rPr>
              <w:t> </w:t>
            </w:r>
            <w:r>
              <w:rPr>
                <w:sz w:val="21"/>
              </w:rPr>
              <w:t>Technology </w:t>
            </w:r>
          </w:p>
          <w:p>
            <w:pPr>
              <w:pStyle w:val="TableParagraph"/>
              <w:spacing w:line="250" w:lineRule="exact" w:before="1"/>
              <w:ind w:left="107"/>
              <w:rPr>
                <w:sz w:val="21"/>
              </w:rPr>
            </w:pPr>
            <w:r>
              <w:rPr>
                <w:sz w:val="21"/>
              </w:rPr>
              <w:t>Kft </w:t>
            </w:r>
          </w:p>
        </w:tc>
        <w:tc>
          <w:tcPr>
            <w:tcW w:w="1181" w:type="dxa"/>
          </w:tcPr>
          <w:p>
            <w:pPr>
              <w:pStyle w:val="TableParagraph"/>
              <w:spacing w:before="3"/>
              <w:ind w:left="105"/>
              <w:rPr>
                <w:sz w:val="21"/>
              </w:rPr>
            </w:pPr>
            <w:r>
              <w:rPr>
                <w:sz w:val="21"/>
              </w:rPr>
              <w:t>匈牙利 </w:t>
            </w:r>
          </w:p>
        </w:tc>
        <w:tc>
          <w:tcPr>
            <w:tcW w:w="1164" w:type="dxa"/>
          </w:tcPr>
          <w:p>
            <w:pPr>
              <w:pStyle w:val="TableParagraph"/>
              <w:spacing w:before="3"/>
              <w:ind w:left="106"/>
              <w:rPr>
                <w:sz w:val="21"/>
              </w:rPr>
            </w:pPr>
            <w:r>
              <w:rPr>
                <w:sz w:val="21"/>
              </w:rPr>
              <w:t>匈牙利 </w:t>
            </w:r>
          </w:p>
        </w:tc>
        <w:tc>
          <w:tcPr>
            <w:tcW w:w="1193" w:type="dxa"/>
          </w:tcPr>
          <w:p>
            <w:pPr>
              <w:pStyle w:val="TableParagraph"/>
              <w:spacing w:line="242" w:lineRule="auto" w:before="3"/>
              <w:ind w:left="108" w:right="230"/>
              <w:rPr>
                <w:sz w:val="21"/>
              </w:rPr>
            </w:pPr>
            <w:r>
              <w:rPr>
                <w:spacing w:val="-1"/>
                <w:sz w:val="21"/>
              </w:rPr>
              <w:t>服务器、</w:t>
            </w:r>
            <w:r>
              <w:rPr>
                <w:spacing w:val="-4"/>
                <w:sz w:val="21"/>
              </w:rPr>
              <w:t>存储器、</w:t>
            </w:r>
          </w:p>
          <w:p>
            <w:pPr>
              <w:pStyle w:val="TableParagraph"/>
              <w:spacing w:line="250" w:lineRule="exact" w:before="1"/>
              <w:ind w:left="108"/>
              <w:rPr>
                <w:sz w:val="21"/>
              </w:rPr>
            </w:pPr>
            <w:r>
              <w:rPr>
                <w:spacing w:val="-1"/>
                <w:sz w:val="21"/>
              </w:rPr>
              <w:t>网络设备</w:t>
            </w:r>
            <w:r>
              <w:rPr>
                <w:sz w:val="21"/>
              </w:rPr>
              <w:t> </w:t>
            </w:r>
          </w:p>
        </w:tc>
        <w:tc>
          <w:tcPr>
            <w:tcW w:w="1178"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sz w:val="21"/>
              </w:rPr>
              <w:t>100% </w:t>
            </w:r>
          </w:p>
        </w:tc>
        <w:tc>
          <w:tcPr>
            <w:tcW w:w="1294" w:type="dxa"/>
          </w:tcPr>
          <w:p>
            <w:pPr>
              <w:pStyle w:val="TableParagraph"/>
              <w:spacing w:line="242" w:lineRule="auto" w:before="3"/>
              <w:ind w:left="106" w:right="121"/>
              <w:rPr>
                <w:sz w:val="21"/>
              </w:rPr>
            </w:pPr>
            <w:r>
              <w:rPr>
                <w:sz w:val="21"/>
              </w:rPr>
              <w:t>同一控制下企业合并 </w:t>
            </w:r>
          </w:p>
        </w:tc>
      </w:tr>
      <w:tr>
        <w:trPr>
          <w:trHeight w:val="1089" w:hRule="atLeast"/>
        </w:trPr>
        <w:tc>
          <w:tcPr>
            <w:tcW w:w="1622" w:type="dxa"/>
          </w:tcPr>
          <w:p>
            <w:pPr>
              <w:pStyle w:val="TableParagraph"/>
              <w:spacing w:line="242" w:lineRule="auto" w:before="1"/>
              <w:ind w:left="107" w:right="379"/>
              <w:rPr>
                <w:sz w:val="21"/>
              </w:rPr>
            </w:pPr>
            <w:r>
              <w:rPr>
                <w:sz w:val="21"/>
              </w:rPr>
              <w:t>Funing</w:t>
            </w:r>
            <w:r>
              <w:rPr>
                <w:spacing w:val="1"/>
                <w:sz w:val="21"/>
              </w:rPr>
              <w:t> </w:t>
            </w:r>
            <w:r>
              <w:rPr>
                <w:sz w:val="21"/>
              </w:rPr>
              <w:t>Precision</w:t>
            </w:r>
            <w:r>
              <w:rPr>
                <w:spacing w:val="1"/>
                <w:sz w:val="21"/>
              </w:rPr>
              <w:t> </w:t>
            </w:r>
            <w:r>
              <w:rPr>
                <w:sz w:val="21"/>
              </w:rPr>
              <w:t>Component </w:t>
            </w:r>
          </w:p>
          <w:p>
            <w:pPr>
              <w:pStyle w:val="TableParagraph"/>
              <w:spacing w:line="250" w:lineRule="exact" w:before="3"/>
              <w:ind w:left="107"/>
              <w:rPr>
                <w:sz w:val="21"/>
              </w:rPr>
            </w:pPr>
            <w:r>
              <w:rPr>
                <w:sz w:val="21"/>
              </w:rPr>
              <w:t>Co.,</w:t>
            </w:r>
            <w:r>
              <w:rPr>
                <w:spacing w:val="-1"/>
                <w:sz w:val="21"/>
              </w:rPr>
              <w:t> </w:t>
            </w:r>
            <w:r>
              <w:rPr>
                <w:sz w:val="21"/>
              </w:rPr>
              <w:t>Ltd. </w:t>
            </w:r>
          </w:p>
        </w:tc>
        <w:tc>
          <w:tcPr>
            <w:tcW w:w="1181" w:type="dxa"/>
          </w:tcPr>
          <w:p>
            <w:pPr>
              <w:pStyle w:val="TableParagraph"/>
              <w:spacing w:before="1"/>
              <w:ind w:left="105"/>
              <w:rPr>
                <w:sz w:val="21"/>
              </w:rPr>
            </w:pPr>
            <w:r>
              <w:rPr>
                <w:sz w:val="21"/>
              </w:rPr>
              <w:t>越南 </w:t>
            </w:r>
          </w:p>
        </w:tc>
        <w:tc>
          <w:tcPr>
            <w:tcW w:w="1164" w:type="dxa"/>
          </w:tcPr>
          <w:p>
            <w:pPr>
              <w:pStyle w:val="TableParagraph"/>
              <w:spacing w:before="1"/>
              <w:ind w:left="106"/>
              <w:rPr>
                <w:sz w:val="21"/>
              </w:rPr>
            </w:pPr>
            <w:r>
              <w:rPr>
                <w:sz w:val="21"/>
              </w:rPr>
              <w:t>越南 </w:t>
            </w:r>
          </w:p>
        </w:tc>
        <w:tc>
          <w:tcPr>
            <w:tcW w:w="1193" w:type="dxa"/>
          </w:tcPr>
          <w:p>
            <w:pPr>
              <w:pStyle w:val="TableParagraph"/>
              <w:spacing w:before="1"/>
              <w:ind w:left="108"/>
              <w:rPr>
                <w:sz w:val="21"/>
              </w:rPr>
            </w:pPr>
            <w:r>
              <w:rPr>
                <w:spacing w:val="-1"/>
                <w:sz w:val="21"/>
              </w:rPr>
              <w:t>网络设备</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4" w:lineRule="auto" w:before="1"/>
              <w:ind w:left="106" w:right="121"/>
              <w:rPr>
                <w:sz w:val="21"/>
              </w:rPr>
            </w:pPr>
            <w:r>
              <w:rPr>
                <w:sz w:val="21"/>
              </w:rPr>
              <w:t>同一控制下企业合并 </w:t>
            </w:r>
          </w:p>
        </w:tc>
      </w:tr>
      <w:tr>
        <w:trPr>
          <w:trHeight w:val="1362" w:hRule="atLeast"/>
        </w:trPr>
        <w:tc>
          <w:tcPr>
            <w:tcW w:w="1622" w:type="dxa"/>
          </w:tcPr>
          <w:p>
            <w:pPr>
              <w:pStyle w:val="TableParagraph"/>
              <w:spacing w:line="242" w:lineRule="auto" w:before="1"/>
              <w:ind w:left="107" w:right="379"/>
              <w:rPr>
                <w:sz w:val="21"/>
              </w:rPr>
            </w:pPr>
            <w:r>
              <w:rPr>
                <w:sz w:val="21"/>
              </w:rPr>
              <w:t>Fuhong</w:t>
            </w:r>
            <w:r>
              <w:rPr>
                <w:spacing w:val="1"/>
                <w:sz w:val="21"/>
              </w:rPr>
              <w:t> </w:t>
            </w:r>
            <w:r>
              <w:rPr>
                <w:sz w:val="21"/>
              </w:rPr>
              <w:t>Precision</w:t>
            </w:r>
            <w:r>
              <w:rPr>
                <w:spacing w:val="1"/>
                <w:sz w:val="21"/>
              </w:rPr>
              <w:t> </w:t>
            </w:r>
            <w:r>
              <w:rPr>
                <w:sz w:val="21"/>
              </w:rPr>
              <w:t>Component </w:t>
            </w:r>
          </w:p>
          <w:p>
            <w:pPr>
              <w:pStyle w:val="TableParagraph"/>
              <w:spacing w:line="270" w:lineRule="atLeast"/>
              <w:ind w:left="107" w:right="134"/>
              <w:rPr>
                <w:sz w:val="21"/>
              </w:rPr>
            </w:pPr>
            <w:r>
              <w:rPr>
                <w:sz w:val="21"/>
              </w:rPr>
              <w:t>(Bac Giang)</w:t>
            </w:r>
            <w:r>
              <w:rPr>
                <w:spacing w:val="1"/>
                <w:sz w:val="21"/>
              </w:rPr>
              <w:t> </w:t>
            </w:r>
            <w:r>
              <w:rPr>
                <w:sz w:val="21"/>
              </w:rPr>
              <w:t>Limited </w:t>
            </w:r>
          </w:p>
        </w:tc>
        <w:tc>
          <w:tcPr>
            <w:tcW w:w="1181" w:type="dxa"/>
          </w:tcPr>
          <w:p>
            <w:pPr>
              <w:pStyle w:val="TableParagraph"/>
              <w:spacing w:before="1"/>
              <w:ind w:left="105"/>
              <w:rPr>
                <w:sz w:val="21"/>
              </w:rPr>
            </w:pPr>
            <w:r>
              <w:rPr>
                <w:sz w:val="21"/>
              </w:rPr>
              <w:t>越南 </w:t>
            </w:r>
          </w:p>
        </w:tc>
        <w:tc>
          <w:tcPr>
            <w:tcW w:w="1164" w:type="dxa"/>
          </w:tcPr>
          <w:p>
            <w:pPr>
              <w:pStyle w:val="TableParagraph"/>
              <w:spacing w:before="1"/>
              <w:ind w:left="106"/>
              <w:rPr>
                <w:sz w:val="21"/>
              </w:rPr>
            </w:pPr>
            <w:r>
              <w:rPr>
                <w:sz w:val="21"/>
              </w:rPr>
              <w:t>越南 </w:t>
            </w:r>
          </w:p>
        </w:tc>
        <w:tc>
          <w:tcPr>
            <w:tcW w:w="1193" w:type="dxa"/>
          </w:tcPr>
          <w:p>
            <w:pPr>
              <w:pStyle w:val="TableParagraph"/>
              <w:spacing w:before="1"/>
              <w:ind w:left="108"/>
              <w:rPr>
                <w:sz w:val="21"/>
              </w:rPr>
            </w:pPr>
            <w:r>
              <w:rPr>
                <w:spacing w:val="-1"/>
                <w:sz w:val="21"/>
              </w:rPr>
              <w:t>网络设备</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4" w:lineRule="auto" w:before="1"/>
              <w:ind w:left="106" w:right="121"/>
              <w:rPr>
                <w:sz w:val="21"/>
              </w:rPr>
            </w:pPr>
            <w:r>
              <w:rPr>
                <w:sz w:val="21"/>
              </w:rPr>
              <w:t>同一控制下企业合并 </w:t>
            </w:r>
          </w:p>
        </w:tc>
      </w:tr>
      <w:tr>
        <w:trPr>
          <w:trHeight w:val="544" w:hRule="atLeast"/>
        </w:trPr>
        <w:tc>
          <w:tcPr>
            <w:tcW w:w="1622" w:type="dxa"/>
          </w:tcPr>
          <w:p>
            <w:pPr>
              <w:pStyle w:val="TableParagraph"/>
              <w:spacing w:before="1"/>
              <w:ind w:left="107"/>
              <w:rPr>
                <w:sz w:val="21"/>
              </w:rPr>
            </w:pPr>
            <w:r>
              <w:rPr>
                <w:sz w:val="21"/>
              </w:rPr>
              <w:t>Mega</w:t>
            </w:r>
            <w:r>
              <w:rPr>
                <w:spacing w:val="1"/>
                <w:sz w:val="21"/>
              </w:rPr>
              <w:t> </w:t>
            </w:r>
            <w:r>
              <w:rPr>
                <w:sz w:val="21"/>
              </w:rPr>
              <w:t>Well </w:t>
            </w:r>
          </w:p>
          <w:p>
            <w:pPr>
              <w:pStyle w:val="TableParagraph"/>
              <w:spacing w:line="252" w:lineRule="exact" w:before="2"/>
              <w:ind w:left="107"/>
              <w:rPr>
                <w:sz w:val="21"/>
              </w:rPr>
            </w:pPr>
            <w:r>
              <w:rPr>
                <w:sz w:val="21"/>
              </w:rPr>
              <w:t>Limited </w:t>
            </w:r>
          </w:p>
        </w:tc>
        <w:tc>
          <w:tcPr>
            <w:tcW w:w="1181" w:type="dxa"/>
          </w:tcPr>
          <w:p>
            <w:pPr>
              <w:pStyle w:val="TableParagraph"/>
              <w:spacing w:before="1"/>
              <w:ind w:left="105"/>
              <w:rPr>
                <w:sz w:val="21"/>
              </w:rPr>
            </w:pPr>
            <w:r>
              <w:rPr>
                <w:sz w:val="21"/>
              </w:rPr>
              <w:t>萨摩亚 </w:t>
            </w:r>
          </w:p>
        </w:tc>
        <w:tc>
          <w:tcPr>
            <w:tcW w:w="1164" w:type="dxa"/>
          </w:tcPr>
          <w:p>
            <w:pPr>
              <w:pStyle w:val="TableParagraph"/>
              <w:spacing w:before="1"/>
              <w:ind w:left="106"/>
              <w:rPr>
                <w:sz w:val="21"/>
              </w:rPr>
            </w:pPr>
            <w:r>
              <w:rPr>
                <w:sz w:val="21"/>
              </w:rPr>
              <w:t>萨摩亚 </w:t>
            </w:r>
          </w:p>
        </w:tc>
        <w:tc>
          <w:tcPr>
            <w:tcW w:w="1193" w:type="dxa"/>
          </w:tcPr>
          <w:p>
            <w:pPr>
              <w:pStyle w:val="TableParagraph"/>
              <w:spacing w:before="1"/>
              <w:ind w:left="108"/>
              <w:rPr>
                <w:sz w:val="21"/>
              </w:rPr>
            </w:pPr>
            <w:r>
              <w:rPr>
                <w:sz w:val="21"/>
              </w:rPr>
              <w:t>贸易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06"/>
              <w:rPr>
                <w:sz w:val="21"/>
              </w:rPr>
            </w:pPr>
            <w:r>
              <w:rPr>
                <w:sz w:val="21"/>
              </w:rPr>
              <w:t>同一控制下</w:t>
            </w:r>
          </w:p>
          <w:p>
            <w:pPr>
              <w:pStyle w:val="TableParagraph"/>
              <w:spacing w:line="252" w:lineRule="exact" w:before="2"/>
              <w:ind w:left="106"/>
              <w:rPr>
                <w:sz w:val="21"/>
              </w:rPr>
            </w:pPr>
            <w:r>
              <w:rPr>
                <w:spacing w:val="-1"/>
                <w:sz w:val="21"/>
              </w:rPr>
              <w:t>企业合并</w:t>
            </w:r>
            <w:r>
              <w:rPr>
                <w:sz w:val="21"/>
              </w:rPr>
              <w:t> </w:t>
            </w:r>
          </w:p>
        </w:tc>
      </w:tr>
    </w:tbl>
    <w:p>
      <w:pPr>
        <w:spacing w:after="0" w:line="252" w:lineRule="exact"/>
        <w:rPr>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2"/>
        <w:gridCol w:w="1181"/>
        <w:gridCol w:w="1164"/>
        <w:gridCol w:w="1193"/>
        <w:gridCol w:w="1178"/>
        <w:gridCol w:w="1191"/>
        <w:gridCol w:w="1294"/>
      </w:tblGrid>
      <w:tr>
        <w:trPr>
          <w:trHeight w:val="1363" w:hRule="atLeast"/>
        </w:trPr>
        <w:tc>
          <w:tcPr>
            <w:tcW w:w="1622" w:type="dxa"/>
          </w:tcPr>
          <w:p>
            <w:pPr>
              <w:pStyle w:val="TableParagraph"/>
              <w:spacing w:line="242" w:lineRule="auto" w:before="3"/>
              <w:ind w:left="107" w:right="379"/>
              <w:rPr>
                <w:sz w:val="21"/>
              </w:rPr>
            </w:pPr>
            <w:r>
              <w:rPr>
                <w:sz w:val="21"/>
              </w:rPr>
              <w:t>Foxconn</w:t>
            </w:r>
            <w:r>
              <w:rPr>
                <w:spacing w:val="1"/>
                <w:sz w:val="21"/>
              </w:rPr>
              <w:t> </w:t>
            </w:r>
            <w:r>
              <w:rPr>
                <w:sz w:val="21"/>
              </w:rPr>
              <w:t>Technology</w:t>
            </w:r>
            <w:r>
              <w:rPr>
                <w:spacing w:val="1"/>
                <w:sz w:val="21"/>
              </w:rPr>
              <w:t> </w:t>
            </w:r>
            <w:r>
              <w:rPr>
                <w:sz w:val="21"/>
              </w:rPr>
              <w:t>(India)</w:t>
            </w:r>
            <w:r>
              <w:rPr>
                <w:spacing w:val="1"/>
                <w:sz w:val="21"/>
              </w:rPr>
              <w:t> </w:t>
            </w:r>
            <w:r>
              <w:rPr>
                <w:sz w:val="21"/>
              </w:rPr>
              <w:t>Private </w:t>
            </w:r>
          </w:p>
          <w:p>
            <w:pPr>
              <w:pStyle w:val="TableParagraph"/>
              <w:spacing w:line="252" w:lineRule="exact" w:before="1"/>
              <w:ind w:left="107"/>
              <w:rPr>
                <w:sz w:val="21"/>
              </w:rPr>
            </w:pPr>
            <w:r>
              <w:rPr>
                <w:sz w:val="21"/>
              </w:rPr>
              <w:t>Limited </w:t>
            </w:r>
          </w:p>
        </w:tc>
        <w:tc>
          <w:tcPr>
            <w:tcW w:w="1181" w:type="dxa"/>
          </w:tcPr>
          <w:p>
            <w:pPr>
              <w:pStyle w:val="TableParagraph"/>
              <w:spacing w:before="3"/>
              <w:ind w:left="105"/>
              <w:rPr>
                <w:sz w:val="21"/>
              </w:rPr>
            </w:pPr>
            <w:r>
              <w:rPr>
                <w:sz w:val="21"/>
              </w:rPr>
              <w:t>印度 </w:t>
            </w:r>
          </w:p>
        </w:tc>
        <w:tc>
          <w:tcPr>
            <w:tcW w:w="1164" w:type="dxa"/>
          </w:tcPr>
          <w:p>
            <w:pPr>
              <w:pStyle w:val="TableParagraph"/>
              <w:spacing w:before="3"/>
              <w:ind w:left="106"/>
              <w:rPr>
                <w:sz w:val="21"/>
              </w:rPr>
            </w:pPr>
            <w:r>
              <w:rPr>
                <w:sz w:val="21"/>
              </w:rPr>
              <w:t>印度 </w:t>
            </w:r>
          </w:p>
        </w:tc>
        <w:tc>
          <w:tcPr>
            <w:tcW w:w="1193" w:type="dxa"/>
          </w:tcPr>
          <w:p>
            <w:pPr>
              <w:pStyle w:val="TableParagraph"/>
              <w:spacing w:line="242" w:lineRule="auto" w:before="3"/>
              <w:ind w:left="108" w:right="230"/>
              <w:jc w:val="both"/>
              <w:rPr>
                <w:sz w:val="21"/>
              </w:rPr>
            </w:pPr>
            <w:r>
              <w:rPr>
                <w:spacing w:val="-1"/>
                <w:sz w:val="21"/>
              </w:rPr>
              <w:t>通信网络高精密机</w:t>
            </w:r>
            <w:r>
              <w:rPr>
                <w:sz w:val="21"/>
              </w:rPr>
              <w:t>构件 </w:t>
            </w:r>
          </w:p>
        </w:tc>
        <w:tc>
          <w:tcPr>
            <w:tcW w:w="1178"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sz w:val="21"/>
              </w:rPr>
              <w:t>99.9994% </w:t>
            </w:r>
          </w:p>
        </w:tc>
        <w:tc>
          <w:tcPr>
            <w:tcW w:w="1294" w:type="dxa"/>
          </w:tcPr>
          <w:p>
            <w:pPr>
              <w:pStyle w:val="TableParagraph"/>
              <w:spacing w:line="242" w:lineRule="auto" w:before="3"/>
              <w:ind w:left="106" w:right="121"/>
              <w:rPr>
                <w:sz w:val="21"/>
              </w:rPr>
            </w:pPr>
            <w:r>
              <w:rPr>
                <w:sz w:val="21"/>
              </w:rPr>
              <w:t>同一控制下企业合并 </w:t>
            </w:r>
          </w:p>
        </w:tc>
      </w:tr>
      <w:tr>
        <w:trPr>
          <w:trHeight w:val="818" w:hRule="atLeast"/>
        </w:trPr>
        <w:tc>
          <w:tcPr>
            <w:tcW w:w="1622" w:type="dxa"/>
          </w:tcPr>
          <w:p>
            <w:pPr>
              <w:pStyle w:val="TableParagraph"/>
              <w:spacing w:before="1"/>
              <w:ind w:left="107"/>
              <w:rPr>
                <w:sz w:val="21"/>
              </w:rPr>
            </w:pPr>
            <w:r>
              <w:rPr>
                <w:sz w:val="21"/>
              </w:rPr>
              <w:t>Ingrasys </w:t>
            </w:r>
          </w:p>
          <w:p>
            <w:pPr>
              <w:pStyle w:val="TableParagraph"/>
              <w:spacing w:line="270" w:lineRule="atLeast"/>
              <w:ind w:left="107" w:right="379"/>
              <w:rPr>
                <w:sz w:val="21"/>
              </w:rPr>
            </w:pPr>
            <w:r>
              <w:rPr>
                <w:sz w:val="21"/>
              </w:rPr>
              <w:t>Technology</w:t>
            </w:r>
            <w:r>
              <w:rPr>
                <w:spacing w:val="1"/>
                <w:sz w:val="21"/>
              </w:rPr>
              <w:t> </w:t>
            </w:r>
            <w:r>
              <w:rPr>
                <w:sz w:val="21"/>
              </w:rPr>
              <w:t>Korea,Inc. </w:t>
            </w:r>
          </w:p>
        </w:tc>
        <w:tc>
          <w:tcPr>
            <w:tcW w:w="1181" w:type="dxa"/>
          </w:tcPr>
          <w:p>
            <w:pPr>
              <w:pStyle w:val="TableParagraph"/>
              <w:spacing w:before="1"/>
              <w:ind w:left="105"/>
              <w:rPr>
                <w:sz w:val="21"/>
              </w:rPr>
            </w:pPr>
            <w:r>
              <w:rPr>
                <w:sz w:val="21"/>
              </w:rPr>
              <w:t>韩国 </w:t>
            </w:r>
          </w:p>
        </w:tc>
        <w:tc>
          <w:tcPr>
            <w:tcW w:w="1164" w:type="dxa"/>
          </w:tcPr>
          <w:p>
            <w:pPr>
              <w:pStyle w:val="TableParagraph"/>
              <w:spacing w:before="1"/>
              <w:ind w:left="106"/>
              <w:rPr>
                <w:sz w:val="21"/>
              </w:rPr>
            </w:pPr>
            <w:r>
              <w:rPr>
                <w:sz w:val="21"/>
              </w:rPr>
              <w:t>韩国 </w:t>
            </w:r>
          </w:p>
        </w:tc>
        <w:tc>
          <w:tcPr>
            <w:tcW w:w="1193" w:type="dxa"/>
          </w:tcPr>
          <w:p>
            <w:pPr>
              <w:pStyle w:val="TableParagraph"/>
              <w:spacing w:line="244" w:lineRule="auto" w:before="1"/>
              <w:ind w:left="108" w:right="230"/>
              <w:rPr>
                <w:sz w:val="21"/>
              </w:rPr>
            </w:pPr>
            <w:r>
              <w:rPr>
                <w:spacing w:val="-1"/>
                <w:sz w:val="21"/>
              </w:rPr>
              <w:t>服务器、</w:t>
            </w:r>
            <w:r>
              <w:rPr>
                <w:sz w:val="21"/>
              </w:rPr>
              <w:t>存储器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4" w:lineRule="auto" w:before="1"/>
              <w:ind w:left="106" w:right="121"/>
              <w:rPr>
                <w:sz w:val="21"/>
              </w:rPr>
            </w:pPr>
            <w:r>
              <w:rPr>
                <w:sz w:val="21"/>
              </w:rPr>
              <w:t>同一控制下企业合并 </w:t>
            </w:r>
          </w:p>
        </w:tc>
      </w:tr>
      <w:tr>
        <w:trPr>
          <w:trHeight w:val="815" w:hRule="atLeast"/>
        </w:trPr>
        <w:tc>
          <w:tcPr>
            <w:tcW w:w="1622" w:type="dxa"/>
          </w:tcPr>
          <w:p>
            <w:pPr>
              <w:pStyle w:val="TableParagraph"/>
              <w:spacing w:line="242" w:lineRule="auto" w:before="1"/>
              <w:ind w:left="107" w:right="239"/>
              <w:rPr>
                <w:sz w:val="21"/>
              </w:rPr>
            </w:pPr>
            <w:r>
              <w:rPr>
                <w:spacing w:val="-1"/>
                <w:sz w:val="21"/>
              </w:rPr>
              <w:t>日本裕展贸易</w:t>
            </w:r>
            <w:r>
              <w:rPr>
                <w:sz w:val="21"/>
              </w:rPr>
              <w:t>株式会社 </w:t>
            </w:r>
          </w:p>
        </w:tc>
        <w:tc>
          <w:tcPr>
            <w:tcW w:w="1181" w:type="dxa"/>
          </w:tcPr>
          <w:p>
            <w:pPr>
              <w:pStyle w:val="TableParagraph"/>
              <w:spacing w:before="1"/>
              <w:ind w:left="105"/>
              <w:rPr>
                <w:sz w:val="21"/>
              </w:rPr>
            </w:pPr>
            <w:r>
              <w:rPr>
                <w:sz w:val="21"/>
              </w:rPr>
              <w:t>日本 </w:t>
            </w:r>
          </w:p>
        </w:tc>
        <w:tc>
          <w:tcPr>
            <w:tcW w:w="1164" w:type="dxa"/>
          </w:tcPr>
          <w:p>
            <w:pPr>
              <w:pStyle w:val="TableParagraph"/>
              <w:spacing w:before="1"/>
              <w:ind w:left="106"/>
              <w:rPr>
                <w:sz w:val="21"/>
              </w:rPr>
            </w:pPr>
            <w:r>
              <w:rPr>
                <w:sz w:val="21"/>
              </w:rPr>
              <w:t>日本 </w:t>
            </w:r>
          </w:p>
        </w:tc>
        <w:tc>
          <w:tcPr>
            <w:tcW w:w="1193" w:type="dxa"/>
          </w:tcPr>
          <w:p>
            <w:pPr>
              <w:pStyle w:val="TableParagraph"/>
              <w:spacing w:line="242" w:lineRule="auto" w:before="1"/>
              <w:ind w:left="108" w:right="230"/>
              <w:rPr>
                <w:sz w:val="21"/>
              </w:rPr>
            </w:pPr>
            <w:r>
              <w:rPr>
                <w:spacing w:val="-1"/>
                <w:sz w:val="21"/>
              </w:rPr>
              <w:t>服务器、</w:t>
            </w:r>
            <w:r>
              <w:rPr>
                <w:spacing w:val="-4"/>
                <w:sz w:val="21"/>
              </w:rPr>
              <w:t>存储器、</w:t>
            </w:r>
          </w:p>
          <w:p>
            <w:pPr>
              <w:pStyle w:val="TableParagraph"/>
              <w:spacing w:line="250" w:lineRule="exact" w:before="1"/>
              <w:ind w:left="108"/>
              <w:rPr>
                <w:sz w:val="21"/>
              </w:rPr>
            </w:pPr>
            <w:r>
              <w:rPr>
                <w:spacing w:val="-1"/>
                <w:sz w:val="21"/>
              </w:rPr>
              <w:t>网络设备</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2" w:lineRule="auto" w:before="1"/>
              <w:ind w:left="106" w:right="121"/>
              <w:rPr>
                <w:sz w:val="21"/>
              </w:rPr>
            </w:pPr>
            <w:r>
              <w:rPr>
                <w:sz w:val="21"/>
              </w:rPr>
              <w:t>同一控制下企业合并 </w:t>
            </w:r>
          </w:p>
        </w:tc>
      </w:tr>
      <w:tr>
        <w:trPr>
          <w:trHeight w:val="1363" w:hRule="atLeast"/>
        </w:trPr>
        <w:tc>
          <w:tcPr>
            <w:tcW w:w="1622" w:type="dxa"/>
          </w:tcPr>
          <w:p>
            <w:pPr>
              <w:pStyle w:val="TableParagraph"/>
              <w:spacing w:line="242" w:lineRule="auto" w:before="1"/>
              <w:ind w:left="107" w:right="379"/>
              <w:rPr>
                <w:sz w:val="21"/>
              </w:rPr>
            </w:pPr>
            <w:r>
              <w:rPr>
                <w:sz w:val="21"/>
              </w:rPr>
              <w:t>Foxconn</w:t>
            </w:r>
            <w:r>
              <w:rPr>
                <w:spacing w:val="1"/>
                <w:sz w:val="21"/>
              </w:rPr>
              <w:t> </w:t>
            </w:r>
            <w:r>
              <w:rPr>
                <w:sz w:val="21"/>
              </w:rPr>
              <w:t>Industrial</w:t>
            </w:r>
            <w:r>
              <w:rPr>
                <w:spacing w:val="1"/>
                <w:sz w:val="21"/>
              </w:rPr>
              <w:t> </w:t>
            </w:r>
            <w:r>
              <w:rPr>
                <w:sz w:val="21"/>
              </w:rPr>
              <w:t>Internet </w:t>
            </w:r>
          </w:p>
          <w:p>
            <w:pPr>
              <w:pStyle w:val="TableParagraph"/>
              <w:spacing w:line="270" w:lineRule="atLeast"/>
              <w:ind w:left="107" w:right="379"/>
              <w:rPr>
                <w:sz w:val="21"/>
              </w:rPr>
            </w:pPr>
            <w:r>
              <w:rPr>
                <w:sz w:val="21"/>
              </w:rPr>
              <w:t>(Japan)</w:t>
            </w:r>
            <w:r>
              <w:rPr>
                <w:spacing w:val="1"/>
                <w:sz w:val="21"/>
              </w:rPr>
              <w:t> </w:t>
            </w:r>
            <w:r>
              <w:rPr>
                <w:sz w:val="21"/>
              </w:rPr>
              <w:t>Co.,Ltd. </w:t>
            </w:r>
            <w:r>
              <w:rPr>
                <w:spacing w:val="-2"/>
                <w:sz w:val="21"/>
              </w:rPr>
              <w:t> </w:t>
            </w:r>
            <w:r>
              <w:rPr>
                <w:w w:val="100"/>
                <w:sz w:val="21"/>
              </w:rPr>
              <w:t> </w:t>
            </w:r>
          </w:p>
        </w:tc>
        <w:tc>
          <w:tcPr>
            <w:tcW w:w="1181" w:type="dxa"/>
          </w:tcPr>
          <w:p>
            <w:pPr>
              <w:pStyle w:val="TableParagraph"/>
              <w:spacing w:before="1"/>
              <w:ind w:left="105"/>
              <w:rPr>
                <w:sz w:val="21"/>
              </w:rPr>
            </w:pPr>
            <w:r>
              <w:rPr>
                <w:sz w:val="21"/>
              </w:rPr>
              <w:t>日本 </w:t>
            </w:r>
          </w:p>
        </w:tc>
        <w:tc>
          <w:tcPr>
            <w:tcW w:w="1164" w:type="dxa"/>
          </w:tcPr>
          <w:p>
            <w:pPr>
              <w:pStyle w:val="TableParagraph"/>
              <w:spacing w:before="1"/>
              <w:ind w:left="106"/>
              <w:rPr>
                <w:sz w:val="21"/>
              </w:rPr>
            </w:pPr>
            <w:r>
              <w:rPr>
                <w:sz w:val="21"/>
              </w:rPr>
              <w:t>日本 </w:t>
            </w:r>
          </w:p>
        </w:tc>
        <w:tc>
          <w:tcPr>
            <w:tcW w:w="1193" w:type="dxa"/>
          </w:tcPr>
          <w:p>
            <w:pPr>
              <w:pStyle w:val="TableParagraph"/>
              <w:spacing w:before="1"/>
              <w:ind w:left="108"/>
              <w:rPr>
                <w:sz w:val="21"/>
              </w:rPr>
            </w:pPr>
            <w:r>
              <w:rPr>
                <w:spacing w:val="-1"/>
                <w:sz w:val="21"/>
              </w:rPr>
              <w:t>精密工具</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4" w:lineRule="auto" w:before="1"/>
              <w:ind w:left="106" w:right="121"/>
              <w:rPr>
                <w:sz w:val="21"/>
              </w:rPr>
            </w:pPr>
            <w:r>
              <w:rPr>
                <w:sz w:val="21"/>
              </w:rPr>
              <w:t>同一控制下企业合并 </w:t>
            </w:r>
          </w:p>
        </w:tc>
      </w:tr>
      <w:tr>
        <w:trPr>
          <w:trHeight w:val="544" w:hRule="atLeast"/>
        </w:trPr>
        <w:tc>
          <w:tcPr>
            <w:tcW w:w="1622" w:type="dxa"/>
          </w:tcPr>
          <w:p>
            <w:pPr>
              <w:pStyle w:val="TableParagraph"/>
              <w:spacing w:before="1"/>
              <w:ind w:left="107"/>
              <w:rPr>
                <w:sz w:val="21"/>
              </w:rPr>
            </w:pPr>
            <w:r>
              <w:rPr>
                <w:sz w:val="21"/>
              </w:rPr>
              <w:t>Profit New </w:t>
            </w:r>
          </w:p>
          <w:p>
            <w:pPr>
              <w:pStyle w:val="TableParagraph"/>
              <w:spacing w:line="252" w:lineRule="exact" w:before="2"/>
              <w:ind w:left="107"/>
              <w:rPr>
                <w:sz w:val="21"/>
              </w:rPr>
            </w:pPr>
            <w:r>
              <w:rPr>
                <w:sz w:val="21"/>
              </w:rPr>
              <w:t>Limited </w:t>
            </w:r>
          </w:p>
        </w:tc>
        <w:tc>
          <w:tcPr>
            <w:tcW w:w="1181" w:type="dxa"/>
          </w:tcPr>
          <w:p>
            <w:pPr>
              <w:pStyle w:val="TableParagraph"/>
              <w:spacing w:before="1"/>
              <w:ind w:left="105"/>
              <w:rPr>
                <w:sz w:val="21"/>
              </w:rPr>
            </w:pPr>
            <w:r>
              <w:rPr>
                <w:sz w:val="21"/>
              </w:rPr>
              <w:t>萨摩亚 </w:t>
            </w:r>
          </w:p>
        </w:tc>
        <w:tc>
          <w:tcPr>
            <w:tcW w:w="1164" w:type="dxa"/>
          </w:tcPr>
          <w:p>
            <w:pPr>
              <w:pStyle w:val="TableParagraph"/>
              <w:spacing w:before="1"/>
              <w:ind w:left="106"/>
              <w:rPr>
                <w:sz w:val="21"/>
              </w:rPr>
            </w:pPr>
            <w:r>
              <w:rPr>
                <w:sz w:val="21"/>
              </w:rPr>
              <w:t>萨摩亚 </w:t>
            </w:r>
          </w:p>
        </w:tc>
        <w:tc>
          <w:tcPr>
            <w:tcW w:w="1193" w:type="dxa"/>
          </w:tcPr>
          <w:p>
            <w:pPr>
              <w:pStyle w:val="TableParagraph"/>
              <w:spacing w:before="1"/>
              <w:ind w:left="108"/>
              <w:rPr>
                <w:sz w:val="21"/>
              </w:rPr>
            </w:pPr>
            <w:r>
              <w:rPr>
                <w:sz w:val="21"/>
              </w:rPr>
              <w:t>贸易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06"/>
              <w:rPr>
                <w:sz w:val="21"/>
              </w:rPr>
            </w:pPr>
            <w:r>
              <w:rPr>
                <w:sz w:val="21"/>
              </w:rPr>
              <w:t>同一控制下</w:t>
            </w:r>
          </w:p>
          <w:p>
            <w:pPr>
              <w:pStyle w:val="TableParagraph"/>
              <w:spacing w:line="252" w:lineRule="exact" w:before="2"/>
              <w:ind w:left="106"/>
              <w:rPr>
                <w:sz w:val="21"/>
              </w:rPr>
            </w:pPr>
            <w:r>
              <w:rPr>
                <w:spacing w:val="-1"/>
                <w:sz w:val="21"/>
              </w:rPr>
              <w:t>企业合并</w:t>
            </w:r>
            <w:r>
              <w:rPr>
                <w:sz w:val="21"/>
              </w:rPr>
              <w:t> </w:t>
            </w:r>
          </w:p>
        </w:tc>
      </w:tr>
      <w:tr>
        <w:trPr>
          <w:trHeight w:val="815" w:hRule="atLeast"/>
        </w:trPr>
        <w:tc>
          <w:tcPr>
            <w:tcW w:w="1622" w:type="dxa"/>
          </w:tcPr>
          <w:p>
            <w:pPr>
              <w:pStyle w:val="TableParagraph"/>
              <w:spacing w:before="1"/>
              <w:ind w:left="107"/>
              <w:rPr>
                <w:sz w:val="21"/>
              </w:rPr>
            </w:pPr>
            <w:r>
              <w:rPr>
                <w:sz w:val="21"/>
              </w:rPr>
              <w:t>IPL </w:t>
            </w:r>
          </w:p>
          <w:p>
            <w:pPr>
              <w:pStyle w:val="TableParagraph"/>
              <w:spacing w:before="2"/>
              <w:ind w:left="107"/>
              <w:rPr>
                <w:sz w:val="21"/>
              </w:rPr>
            </w:pPr>
            <w:r>
              <w:rPr>
                <w:sz w:val="21"/>
              </w:rPr>
              <w:t>International </w:t>
            </w:r>
          </w:p>
          <w:p>
            <w:pPr>
              <w:pStyle w:val="TableParagraph"/>
              <w:spacing w:line="250" w:lineRule="exact" w:before="4"/>
              <w:ind w:left="107"/>
              <w:rPr>
                <w:sz w:val="21"/>
              </w:rPr>
            </w:pPr>
            <w:r>
              <w:rPr>
                <w:sz w:val="21"/>
              </w:rPr>
              <w:t>Limited </w:t>
            </w:r>
          </w:p>
        </w:tc>
        <w:tc>
          <w:tcPr>
            <w:tcW w:w="1181" w:type="dxa"/>
          </w:tcPr>
          <w:p>
            <w:pPr>
              <w:pStyle w:val="TableParagraph"/>
              <w:spacing w:before="1"/>
              <w:ind w:left="105"/>
              <w:rPr>
                <w:sz w:val="21"/>
              </w:rPr>
            </w:pPr>
            <w:r>
              <w:rPr>
                <w:sz w:val="21"/>
              </w:rPr>
              <w:t>萨摩亚 </w:t>
            </w:r>
          </w:p>
        </w:tc>
        <w:tc>
          <w:tcPr>
            <w:tcW w:w="1164" w:type="dxa"/>
          </w:tcPr>
          <w:p>
            <w:pPr>
              <w:pStyle w:val="TableParagraph"/>
              <w:spacing w:before="1"/>
              <w:ind w:left="106"/>
              <w:rPr>
                <w:sz w:val="21"/>
              </w:rPr>
            </w:pPr>
            <w:r>
              <w:rPr>
                <w:sz w:val="21"/>
              </w:rPr>
              <w:t>萨摩亚 </w:t>
            </w:r>
          </w:p>
        </w:tc>
        <w:tc>
          <w:tcPr>
            <w:tcW w:w="1193" w:type="dxa"/>
          </w:tcPr>
          <w:p>
            <w:pPr>
              <w:pStyle w:val="TableParagraph"/>
              <w:spacing w:before="1"/>
              <w:ind w:left="108"/>
              <w:rPr>
                <w:sz w:val="21"/>
              </w:rPr>
            </w:pPr>
            <w:r>
              <w:rPr>
                <w:sz w:val="21"/>
              </w:rPr>
              <w:t>贸易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2" w:lineRule="auto" w:before="1"/>
              <w:ind w:left="106" w:right="121"/>
              <w:rPr>
                <w:sz w:val="21"/>
              </w:rPr>
            </w:pPr>
            <w:r>
              <w:rPr>
                <w:sz w:val="21"/>
              </w:rPr>
              <w:t>同一控制下企业合并 </w:t>
            </w:r>
          </w:p>
        </w:tc>
      </w:tr>
      <w:tr>
        <w:trPr>
          <w:trHeight w:val="1089" w:hRule="atLeast"/>
        </w:trPr>
        <w:tc>
          <w:tcPr>
            <w:tcW w:w="1622" w:type="dxa"/>
          </w:tcPr>
          <w:p>
            <w:pPr>
              <w:pStyle w:val="TableParagraph"/>
              <w:spacing w:line="242" w:lineRule="auto" w:before="3"/>
              <w:ind w:left="107"/>
              <w:rPr>
                <w:sz w:val="21"/>
              </w:rPr>
            </w:pPr>
            <w:r>
              <w:rPr>
                <w:sz w:val="21"/>
              </w:rPr>
              <w:t>Cloud Network</w:t>
            </w:r>
            <w:r>
              <w:rPr>
                <w:spacing w:val="1"/>
                <w:sz w:val="21"/>
              </w:rPr>
              <w:t> </w:t>
            </w:r>
            <w:r>
              <w:rPr>
                <w:sz w:val="21"/>
              </w:rPr>
              <w:t>Technology</w:t>
            </w:r>
            <w:r>
              <w:rPr>
                <w:spacing w:val="1"/>
                <w:sz w:val="21"/>
              </w:rPr>
              <w:t> </w:t>
            </w:r>
            <w:r>
              <w:rPr>
                <w:sz w:val="21"/>
              </w:rPr>
              <w:t>(Samoa) </w:t>
            </w:r>
          </w:p>
          <w:p>
            <w:pPr>
              <w:pStyle w:val="TableParagraph"/>
              <w:spacing w:line="250" w:lineRule="exact" w:before="1"/>
              <w:ind w:left="107"/>
              <w:rPr>
                <w:sz w:val="21"/>
              </w:rPr>
            </w:pPr>
            <w:r>
              <w:rPr>
                <w:sz w:val="21"/>
              </w:rPr>
              <w:t>Limited </w:t>
            </w:r>
          </w:p>
        </w:tc>
        <w:tc>
          <w:tcPr>
            <w:tcW w:w="1181" w:type="dxa"/>
          </w:tcPr>
          <w:p>
            <w:pPr>
              <w:pStyle w:val="TableParagraph"/>
              <w:spacing w:before="3"/>
              <w:ind w:left="105"/>
              <w:rPr>
                <w:sz w:val="21"/>
              </w:rPr>
            </w:pPr>
            <w:r>
              <w:rPr>
                <w:sz w:val="21"/>
              </w:rPr>
              <w:t>萨摩亚 </w:t>
            </w:r>
          </w:p>
        </w:tc>
        <w:tc>
          <w:tcPr>
            <w:tcW w:w="1164" w:type="dxa"/>
          </w:tcPr>
          <w:p>
            <w:pPr>
              <w:pStyle w:val="TableParagraph"/>
              <w:spacing w:before="3"/>
              <w:ind w:left="106"/>
              <w:rPr>
                <w:sz w:val="21"/>
              </w:rPr>
            </w:pPr>
            <w:r>
              <w:rPr>
                <w:sz w:val="21"/>
              </w:rPr>
              <w:t>萨摩亚 </w:t>
            </w:r>
          </w:p>
        </w:tc>
        <w:tc>
          <w:tcPr>
            <w:tcW w:w="1193" w:type="dxa"/>
          </w:tcPr>
          <w:p>
            <w:pPr>
              <w:pStyle w:val="TableParagraph"/>
              <w:spacing w:line="242" w:lineRule="auto" w:before="3"/>
              <w:ind w:left="108" w:right="126"/>
              <w:jc w:val="both"/>
              <w:rPr>
                <w:sz w:val="21"/>
              </w:rPr>
            </w:pPr>
            <w:r>
              <w:rPr>
                <w:sz w:val="21"/>
              </w:rPr>
              <w:t>服务器、存储器、网络设备 </w:t>
            </w:r>
          </w:p>
        </w:tc>
        <w:tc>
          <w:tcPr>
            <w:tcW w:w="1178"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sz w:val="21"/>
              </w:rPr>
              <w:t>100% </w:t>
            </w:r>
          </w:p>
        </w:tc>
        <w:tc>
          <w:tcPr>
            <w:tcW w:w="1294" w:type="dxa"/>
          </w:tcPr>
          <w:p>
            <w:pPr>
              <w:pStyle w:val="TableParagraph"/>
              <w:spacing w:line="242" w:lineRule="auto" w:before="3"/>
              <w:ind w:left="106" w:right="121"/>
              <w:rPr>
                <w:sz w:val="21"/>
              </w:rPr>
            </w:pPr>
            <w:r>
              <w:rPr>
                <w:sz w:val="21"/>
              </w:rPr>
              <w:t>同一控制下企业合并 </w:t>
            </w:r>
          </w:p>
        </w:tc>
      </w:tr>
      <w:tr>
        <w:trPr>
          <w:trHeight w:val="1091" w:hRule="atLeast"/>
        </w:trPr>
        <w:tc>
          <w:tcPr>
            <w:tcW w:w="1622" w:type="dxa"/>
          </w:tcPr>
          <w:p>
            <w:pPr>
              <w:pStyle w:val="TableParagraph"/>
              <w:spacing w:line="242" w:lineRule="auto" w:before="3"/>
              <w:ind w:left="107" w:right="134"/>
              <w:rPr>
                <w:sz w:val="21"/>
              </w:rPr>
            </w:pPr>
            <w:r>
              <w:rPr>
                <w:sz w:val="21"/>
              </w:rPr>
              <w:t>Scientific</w:t>
            </w:r>
            <w:r>
              <w:rPr>
                <w:spacing w:val="1"/>
                <w:sz w:val="21"/>
              </w:rPr>
              <w:t> </w:t>
            </w:r>
            <w:r>
              <w:rPr>
                <w:sz w:val="21"/>
              </w:rPr>
              <w:t>Atlanta de</w:t>
            </w:r>
            <w:r>
              <w:rPr>
                <w:spacing w:val="1"/>
                <w:sz w:val="21"/>
              </w:rPr>
              <w:t> </w:t>
            </w:r>
            <w:r>
              <w:rPr>
                <w:sz w:val="21"/>
              </w:rPr>
              <w:t>Mexico</w:t>
            </w:r>
            <w:r>
              <w:rPr>
                <w:spacing w:val="1"/>
                <w:sz w:val="21"/>
              </w:rPr>
              <w:t> </w:t>
            </w:r>
            <w:r>
              <w:rPr>
                <w:sz w:val="21"/>
              </w:rPr>
              <w:t>S.</w:t>
            </w:r>
            <w:r>
              <w:rPr>
                <w:spacing w:val="-1"/>
                <w:sz w:val="21"/>
              </w:rPr>
              <w:t> </w:t>
            </w:r>
            <w:r>
              <w:rPr>
                <w:sz w:val="21"/>
              </w:rPr>
              <w:t>de </w:t>
            </w:r>
          </w:p>
          <w:p>
            <w:pPr>
              <w:pStyle w:val="TableParagraph"/>
              <w:spacing w:line="252" w:lineRule="exact" w:before="1"/>
              <w:ind w:left="107"/>
              <w:rPr>
                <w:sz w:val="21"/>
              </w:rPr>
            </w:pPr>
            <w:r>
              <w:rPr>
                <w:sz w:val="21"/>
              </w:rPr>
              <w:t>R.L</w:t>
            </w:r>
            <w:r>
              <w:rPr>
                <w:spacing w:val="-1"/>
                <w:sz w:val="21"/>
              </w:rPr>
              <w:t> </w:t>
            </w:r>
            <w:r>
              <w:rPr>
                <w:sz w:val="21"/>
              </w:rPr>
              <w:t>de</w:t>
            </w:r>
            <w:r>
              <w:rPr>
                <w:spacing w:val="-1"/>
                <w:sz w:val="21"/>
              </w:rPr>
              <w:t> </w:t>
            </w:r>
            <w:r>
              <w:rPr>
                <w:sz w:val="21"/>
              </w:rPr>
              <w:t>C.V. </w:t>
            </w:r>
          </w:p>
        </w:tc>
        <w:tc>
          <w:tcPr>
            <w:tcW w:w="1181" w:type="dxa"/>
          </w:tcPr>
          <w:p>
            <w:pPr>
              <w:pStyle w:val="TableParagraph"/>
              <w:spacing w:before="3"/>
              <w:ind w:left="105"/>
              <w:rPr>
                <w:sz w:val="21"/>
              </w:rPr>
            </w:pPr>
            <w:r>
              <w:rPr>
                <w:sz w:val="21"/>
              </w:rPr>
              <w:t>墨西哥 </w:t>
            </w:r>
          </w:p>
        </w:tc>
        <w:tc>
          <w:tcPr>
            <w:tcW w:w="1164" w:type="dxa"/>
          </w:tcPr>
          <w:p>
            <w:pPr>
              <w:pStyle w:val="TableParagraph"/>
              <w:spacing w:before="3"/>
              <w:ind w:left="106"/>
              <w:rPr>
                <w:sz w:val="21"/>
              </w:rPr>
            </w:pPr>
            <w:r>
              <w:rPr>
                <w:sz w:val="21"/>
              </w:rPr>
              <w:t>墨西哥 </w:t>
            </w:r>
          </w:p>
        </w:tc>
        <w:tc>
          <w:tcPr>
            <w:tcW w:w="1193" w:type="dxa"/>
          </w:tcPr>
          <w:p>
            <w:pPr>
              <w:pStyle w:val="TableParagraph"/>
              <w:spacing w:before="3"/>
              <w:ind w:left="108"/>
              <w:rPr>
                <w:sz w:val="21"/>
              </w:rPr>
            </w:pPr>
            <w:r>
              <w:rPr>
                <w:spacing w:val="-1"/>
                <w:sz w:val="21"/>
              </w:rPr>
              <w:t>网络设备</w:t>
            </w:r>
            <w:r>
              <w:rPr>
                <w:sz w:val="21"/>
              </w:rPr>
              <w:t> </w:t>
            </w:r>
          </w:p>
        </w:tc>
        <w:tc>
          <w:tcPr>
            <w:tcW w:w="1178"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sz w:val="21"/>
              </w:rPr>
              <w:t>99.9667% </w:t>
            </w:r>
          </w:p>
        </w:tc>
        <w:tc>
          <w:tcPr>
            <w:tcW w:w="1294" w:type="dxa"/>
          </w:tcPr>
          <w:p>
            <w:pPr>
              <w:pStyle w:val="TableParagraph"/>
              <w:spacing w:line="242" w:lineRule="auto" w:before="3"/>
              <w:ind w:left="106" w:right="121"/>
              <w:rPr>
                <w:sz w:val="21"/>
              </w:rPr>
            </w:pPr>
            <w:r>
              <w:rPr>
                <w:sz w:val="21"/>
              </w:rPr>
              <w:t>同一控制下企业合并 </w:t>
            </w:r>
          </w:p>
        </w:tc>
      </w:tr>
      <w:tr>
        <w:trPr>
          <w:trHeight w:val="815" w:hRule="atLeast"/>
        </w:trPr>
        <w:tc>
          <w:tcPr>
            <w:tcW w:w="1622" w:type="dxa"/>
          </w:tcPr>
          <w:p>
            <w:pPr>
              <w:pStyle w:val="TableParagraph"/>
              <w:spacing w:before="1"/>
              <w:ind w:left="107"/>
              <w:rPr>
                <w:sz w:val="21"/>
              </w:rPr>
            </w:pPr>
            <w:r>
              <w:rPr>
                <w:sz w:val="21"/>
              </w:rPr>
              <w:t>NWE </w:t>
            </w:r>
          </w:p>
          <w:p>
            <w:pPr>
              <w:pStyle w:val="TableParagraph"/>
              <w:spacing w:before="2"/>
              <w:ind w:left="107"/>
              <w:rPr>
                <w:sz w:val="21"/>
              </w:rPr>
            </w:pPr>
            <w:r>
              <w:rPr>
                <w:sz w:val="21"/>
              </w:rPr>
              <w:t>Technology </w:t>
            </w:r>
          </w:p>
          <w:p>
            <w:pPr>
              <w:pStyle w:val="TableParagraph"/>
              <w:spacing w:line="250" w:lineRule="exact" w:before="4"/>
              <w:ind w:left="107"/>
              <w:rPr>
                <w:sz w:val="21"/>
              </w:rPr>
            </w:pPr>
            <w:r>
              <w:rPr>
                <w:sz w:val="21"/>
              </w:rPr>
              <w:t>Inc. </w:t>
            </w:r>
          </w:p>
        </w:tc>
        <w:tc>
          <w:tcPr>
            <w:tcW w:w="1181" w:type="dxa"/>
          </w:tcPr>
          <w:p>
            <w:pPr>
              <w:pStyle w:val="TableParagraph"/>
              <w:spacing w:before="1"/>
              <w:ind w:left="105"/>
              <w:rPr>
                <w:sz w:val="21"/>
              </w:rPr>
            </w:pPr>
            <w:r>
              <w:rPr>
                <w:sz w:val="21"/>
              </w:rPr>
              <w:t>美国 </w:t>
            </w:r>
          </w:p>
        </w:tc>
        <w:tc>
          <w:tcPr>
            <w:tcW w:w="1164" w:type="dxa"/>
          </w:tcPr>
          <w:p>
            <w:pPr>
              <w:pStyle w:val="TableParagraph"/>
              <w:spacing w:before="1"/>
              <w:ind w:left="106"/>
              <w:rPr>
                <w:sz w:val="21"/>
              </w:rPr>
            </w:pPr>
            <w:r>
              <w:rPr>
                <w:sz w:val="21"/>
              </w:rPr>
              <w:t>美国 </w:t>
            </w:r>
          </w:p>
        </w:tc>
        <w:tc>
          <w:tcPr>
            <w:tcW w:w="1193" w:type="dxa"/>
          </w:tcPr>
          <w:p>
            <w:pPr>
              <w:pStyle w:val="TableParagraph"/>
              <w:spacing w:line="242" w:lineRule="auto" w:before="1"/>
              <w:ind w:left="108" w:right="230"/>
              <w:rPr>
                <w:sz w:val="21"/>
              </w:rPr>
            </w:pPr>
            <w:r>
              <w:rPr>
                <w:spacing w:val="-1"/>
                <w:sz w:val="21"/>
              </w:rPr>
              <w:t>提供管理</w:t>
            </w:r>
            <w:r>
              <w:rPr>
                <w:sz w:val="21"/>
              </w:rPr>
              <w:t>服务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2" w:lineRule="auto" w:before="1"/>
              <w:ind w:left="106" w:right="121"/>
              <w:rPr>
                <w:sz w:val="21"/>
              </w:rPr>
            </w:pPr>
            <w:r>
              <w:rPr>
                <w:sz w:val="21"/>
              </w:rPr>
              <w:t>同一控制下企业合并 </w:t>
            </w:r>
          </w:p>
        </w:tc>
      </w:tr>
      <w:tr>
        <w:trPr>
          <w:trHeight w:val="817" w:hRule="atLeast"/>
        </w:trPr>
        <w:tc>
          <w:tcPr>
            <w:tcW w:w="1622" w:type="dxa"/>
          </w:tcPr>
          <w:p>
            <w:pPr>
              <w:pStyle w:val="TableParagraph"/>
              <w:spacing w:before="1"/>
              <w:ind w:left="107"/>
              <w:rPr>
                <w:sz w:val="21"/>
              </w:rPr>
            </w:pPr>
            <w:r>
              <w:rPr>
                <w:sz w:val="21"/>
              </w:rPr>
              <w:t>Foxconn </w:t>
            </w:r>
          </w:p>
          <w:p>
            <w:pPr>
              <w:pStyle w:val="TableParagraph"/>
              <w:spacing w:line="270" w:lineRule="atLeast"/>
              <w:ind w:left="107"/>
              <w:rPr>
                <w:sz w:val="21"/>
              </w:rPr>
            </w:pPr>
            <w:r>
              <w:rPr>
                <w:sz w:val="21"/>
              </w:rPr>
              <w:t>Technology</w:t>
            </w:r>
            <w:r>
              <w:rPr>
                <w:spacing w:val="1"/>
                <w:sz w:val="21"/>
              </w:rPr>
              <w:t> </w:t>
            </w:r>
            <w:r>
              <w:rPr>
                <w:sz w:val="21"/>
              </w:rPr>
              <w:t>CZ</w:t>
            </w:r>
            <w:r>
              <w:rPr>
                <w:spacing w:val="1"/>
                <w:sz w:val="21"/>
              </w:rPr>
              <w:t> </w:t>
            </w:r>
            <w:r>
              <w:rPr>
                <w:sz w:val="21"/>
              </w:rPr>
              <w:t>s.r.o. </w:t>
            </w:r>
          </w:p>
        </w:tc>
        <w:tc>
          <w:tcPr>
            <w:tcW w:w="1181" w:type="dxa"/>
          </w:tcPr>
          <w:p>
            <w:pPr>
              <w:pStyle w:val="TableParagraph"/>
              <w:spacing w:before="1"/>
              <w:ind w:left="105"/>
              <w:rPr>
                <w:sz w:val="21"/>
              </w:rPr>
            </w:pPr>
            <w:r>
              <w:rPr>
                <w:sz w:val="21"/>
              </w:rPr>
              <w:t>捷克 </w:t>
            </w:r>
          </w:p>
        </w:tc>
        <w:tc>
          <w:tcPr>
            <w:tcW w:w="1164" w:type="dxa"/>
          </w:tcPr>
          <w:p>
            <w:pPr>
              <w:pStyle w:val="TableParagraph"/>
              <w:spacing w:before="1"/>
              <w:ind w:left="106"/>
              <w:rPr>
                <w:sz w:val="21"/>
              </w:rPr>
            </w:pPr>
            <w:r>
              <w:rPr>
                <w:sz w:val="21"/>
              </w:rPr>
              <w:t>捷克 </w:t>
            </w:r>
          </w:p>
        </w:tc>
        <w:tc>
          <w:tcPr>
            <w:tcW w:w="1193" w:type="dxa"/>
          </w:tcPr>
          <w:p>
            <w:pPr>
              <w:pStyle w:val="TableParagraph"/>
              <w:spacing w:line="244" w:lineRule="auto" w:before="1"/>
              <w:ind w:left="108" w:right="126"/>
              <w:rPr>
                <w:sz w:val="21"/>
              </w:rPr>
            </w:pPr>
            <w:r>
              <w:rPr>
                <w:sz w:val="21"/>
              </w:rPr>
              <w:t>服务器、存储设备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4" w:lineRule="auto" w:before="1"/>
              <w:ind w:left="106" w:right="121"/>
              <w:rPr>
                <w:sz w:val="21"/>
              </w:rPr>
            </w:pPr>
            <w:r>
              <w:rPr>
                <w:sz w:val="21"/>
              </w:rPr>
              <w:t>同一控制下企业合并 </w:t>
            </w:r>
          </w:p>
        </w:tc>
      </w:tr>
      <w:tr>
        <w:trPr>
          <w:trHeight w:val="815" w:hRule="atLeast"/>
        </w:trPr>
        <w:tc>
          <w:tcPr>
            <w:tcW w:w="1622" w:type="dxa"/>
          </w:tcPr>
          <w:p>
            <w:pPr>
              <w:pStyle w:val="TableParagraph"/>
              <w:spacing w:line="242" w:lineRule="auto" w:before="1"/>
              <w:ind w:left="107" w:right="379"/>
              <w:rPr>
                <w:sz w:val="21"/>
              </w:rPr>
            </w:pPr>
            <w:r>
              <w:rPr>
                <w:sz w:val="21"/>
              </w:rPr>
              <w:t>Foxconn CZ</w:t>
            </w:r>
            <w:r>
              <w:rPr>
                <w:spacing w:val="1"/>
                <w:sz w:val="21"/>
              </w:rPr>
              <w:t> </w:t>
            </w:r>
            <w:r>
              <w:rPr>
                <w:sz w:val="21"/>
              </w:rPr>
              <w:t>s.r.o. </w:t>
            </w:r>
          </w:p>
        </w:tc>
        <w:tc>
          <w:tcPr>
            <w:tcW w:w="1181" w:type="dxa"/>
          </w:tcPr>
          <w:p>
            <w:pPr>
              <w:pStyle w:val="TableParagraph"/>
              <w:spacing w:before="1"/>
              <w:ind w:left="105"/>
              <w:rPr>
                <w:sz w:val="21"/>
              </w:rPr>
            </w:pPr>
            <w:r>
              <w:rPr>
                <w:sz w:val="21"/>
              </w:rPr>
              <w:t>捷克 </w:t>
            </w:r>
          </w:p>
        </w:tc>
        <w:tc>
          <w:tcPr>
            <w:tcW w:w="1164" w:type="dxa"/>
          </w:tcPr>
          <w:p>
            <w:pPr>
              <w:pStyle w:val="TableParagraph"/>
              <w:spacing w:before="1"/>
              <w:ind w:left="106"/>
              <w:rPr>
                <w:sz w:val="21"/>
              </w:rPr>
            </w:pPr>
            <w:r>
              <w:rPr>
                <w:sz w:val="21"/>
              </w:rPr>
              <w:t>捷克 </w:t>
            </w:r>
          </w:p>
        </w:tc>
        <w:tc>
          <w:tcPr>
            <w:tcW w:w="1193" w:type="dxa"/>
          </w:tcPr>
          <w:p>
            <w:pPr>
              <w:pStyle w:val="TableParagraph"/>
              <w:spacing w:line="242" w:lineRule="auto" w:before="1"/>
              <w:ind w:left="108" w:right="230"/>
              <w:rPr>
                <w:sz w:val="21"/>
              </w:rPr>
            </w:pPr>
            <w:r>
              <w:rPr>
                <w:spacing w:val="-1"/>
                <w:sz w:val="21"/>
              </w:rPr>
              <w:t>服务器、</w:t>
            </w:r>
            <w:r>
              <w:rPr>
                <w:spacing w:val="-4"/>
                <w:sz w:val="21"/>
              </w:rPr>
              <w:t>存储器、</w:t>
            </w:r>
          </w:p>
          <w:p>
            <w:pPr>
              <w:pStyle w:val="TableParagraph"/>
              <w:spacing w:line="250" w:lineRule="exact" w:before="1"/>
              <w:ind w:left="108"/>
              <w:rPr>
                <w:sz w:val="21"/>
              </w:rPr>
            </w:pPr>
            <w:r>
              <w:rPr>
                <w:spacing w:val="-1"/>
                <w:sz w:val="21"/>
              </w:rPr>
              <w:t>网络设备</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2" w:lineRule="auto" w:before="1"/>
              <w:ind w:left="106" w:right="121"/>
              <w:rPr>
                <w:sz w:val="21"/>
              </w:rPr>
            </w:pPr>
            <w:r>
              <w:rPr>
                <w:sz w:val="21"/>
              </w:rPr>
              <w:t>同一控制下企业合并 </w:t>
            </w:r>
          </w:p>
        </w:tc>
      </w:tr>
      <w:tr>
        <w:trPr>
          <w:trHeight w:val="818" w:hRule="atLeast"/>
        </w:trPr>
        <w:tc>
          <w:tcPr>
            <w:tcW w:w="1622" w:type="dxa"/>
          </w:tcPr>
          <w:p>
            <w:pPr>
              <w:pStyle w:val="TableParagraph"/>
              <w:spacing w:before="3"/>
              <w:ind w:left="107"/>
              <w:rPr>
                <w:sz w:val="21"/>
              </w:rPr>
            </w:pPr>
            <w:r>
              <w:rPr>
                <w:sz w:val="21"/>
              </w:rPr>
              <w:t>NSG </w:t>
            </w:r>
          </w:p>
          <w:p>
            <w:pPr>
              <w:pStyle w:val="TableParagraph"/>
              <w:spacing w:line="270" w:lineRule="atLeast"/>
              <w:ind w:left="107" w:right="379"/>
              <w:rPr>
                <w:sz w:val="21"/>
              </w:rPr>
            </w:pPr>
            <w:r>
              <w:rPr>
                <w:sz w:val="21"/>
              </w:rPr>
              <w:t>Technology</w:t>
            </w:r>
            <w:r>
              <w:rPr>
                <w:spacing w:val="1"/>
                <w:sz w:val="21"/>
              </w:rPr>
              <w:t> </w:t>
            </w:r>
            <w:r>
              <w:rPr>
                <w:sz w:val="21"/>
              </w:rPr>
              <w:t>Inc. </w:t>
            </w:r>
          </w:p>
        </w:tc>
        <w:tc>
          <w:tcPr>
            <w:tcW w:w="1181" w:type="dxa"/>
          </w:tcPr>
          <w:p>
            <w:pPr>
              <w:pStyle w:val="TableParagraph"/>
              <w:spacing w:before="3"/>
              <w:ind w:left="105"/>
              <w:rPr>
                <w:sz w:val="21"/>
              </w:rPr>
            </w:pPr>
            <w:r>
              <w:rPr>
                <w:sz w:val="21"/>
              </w:rPr>
              <w:t>美国 </w:t>
            </w:r>
          </w:p>
        </w:tc>
        <w:tc>
          <w:tcPr>
            <w:tcW w:w="1164" w:type="dxa"/>
          </w:tcPr>
          <w:p>
            <w:pPr>
              <w:pStyle w:val="TableParagraph"/>
              <w:spacing w:before="3"/>
              <w:ind w:left="106"/>
              <w:rPr>
                <w:sz w:val="21"/>
              </w:rPr>
            </w:pPr>
            <w:r>
              <w:rPr>
                <w:sz w:val="21"/>
              </w:rPr>
              <w:t>美国 </w:t>
            </w:r>
          </w:p>
        </w:tc>
        <w:tc>
          <w:tcPr>
            <w:tcW w:w="1193" w:type="dxa"/>
          </w:tcPr>
          <w:p>
            <w:pPr>
              <w:pStyle w:val="TableParagraph"/>
              <w:spacing w:before="3"/>
              <w:ind w:left="108"/>
              <w:rPr>
                <w:sz w:val="21"/>
              </w:rPr>
            </w:pPr>
            <w:r>
              <w:rPr>
                <w:spacing w:val="-1"/>
                <w:sz w:val="21"/>
              </w:rPr>
              <w:t>网络设备</w:t>
            </w:r>
            <w:r>
              <w:rPr>
                <w:sz w:val="21"/>
              </w:rPr>
              <w:t> </w:t>
            </w:r>
          </w:p>
        </w:tc>
        <w:tc>
          <w:tcPr>
            <w:tcW w:w="1178"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sz w:val="21"/>
              </w:rPr>
              <w:t>100% </w:t>
            </w:r>
          </w:p>
        </w:tc>
        <w:tc>
          <w:tcPr>
            <w:tcW w:w="1294" w:type="dxa"/>
          </w:tcPr>
          <w:p>
            <w:pPr>
              <w:pStyle w:val="TableParagraph"/>
              <w:spacing w:line="242" w:lineRule="auto" w:before="3"/>
              <w:ind w:left="106" w:right="121"/>
              <w:rPr>
                <w:sz w:val="21"/>
              </w:rPr>
            </w:pPr>
            <w:r>
              <w:rPr>
                <w:sz w:val="21"/>
              </w:rPr>
              <w:t>同一控制下企业合并 </w:t>
            </w:r>
          </w:p>
        </w:tc>
      </w:tr>
      <w:tr>
        <w:trPr>
          <w:trHeight w:val="818" w:hRule="atLeast"/>
        </w:trPr>
        <w:tc>
          <w:tcPr>
            <w:tcW w:w="1622" w:type="dxa"/>
          </w:tcPr>
          <w:p>
            <w:pPr>
              <w:pStyle w:val="TableParagraph"/>
              <w:spacing w:before="1"/>
              <w:ind w:left="107"/>
              <w:rPr>
                <w:sz w:val="21"/>
              </w:rPr>
            </w:pPr>
            <w:r>
              <w:rPr>
                <w:sz w:val="21"/>
              </w:rPr>
              <w:t>Ingrasys </w:t>
            </w:r>
          </w:p>
          <w:p>
            <w:pPr>
              <w:pStyle w:val="TableParagraph"/>
              <w:spacing w:line="270" w:lineRule="atLeast"/>
              <w:ind w:left="107" w:right="379"/>
              <w:rPr>
                <w:sz w:val="21"/>
              </w:rPr>
            </w:pPr>
            <w:r>
              <w:rPr>
                <w:sz w:val="21"/>
              </w:rPr>
              <w:t>Technology</w:t>
            </w:r>
            <w:r>
              <w:rPr>
                <w:spacing w:val="1"/>
                <w:sz w:val="21"/>
              </w:rPr>
              <w:t> </w:t>
            </w:r>
            <w:r>
              <w:rPr>
                <w:sz w:val="21"/>
              </w:rPr>
              <w:t>USA Inc. </w:t>
            </w:r>
          </w:p>
        </w:tc>
        <w:tc>
          <w:tcPr>
            <w:tcW w:w="1181" w:type="dxa"/>
          </w:tcPr>
          <w:p>
            <w:pPr>
              <w:pStyle w:val="TableParagraph"/>
              <w:spacing w:before="1"/>
              <w:ind w:left="105"/>
              <w:rPr>
                <w:sz w:val="21"/>
              </w:rPr>
            </w:pPr>
            <w:r>
              <w:rPr>
                <w:sz w:val="21"/>
              </w:rPr>
              <w:t>美国 </w:t>
            </w:r>
          </w:p>
        </w:tc>
        <w:tc>
          <w:tcPr>
            <w:tcW w:w="1164" w:type="dxa"/>
          </w:tcPr>
          <w:p>
            <w:pPr>
              <w:pStyle w:val="TableParagraph"/>
              <w:spacing w:before="1"/>
              <w:ind w:left="106"/>
              <w:rPr>
                <w:sz w:val="21"/>
              </w:rPr>
            </w:pPr>
            <w:r>
              <w:rPr>
                <w:sz w:val="21"/>
              </w:rPr>
              <w:t>美国 </w:t>
            </w:r>
          </w:p>
        </w:tc>
        <w:tc>
          <w:tcPr>
            <w:tcW w:w="1193" w:type="dxa"/>
          </w:tcPr>
          <w:p>
            <w:pPr>
              <w:pStyle w:val="TableParagraph"/>
              <w:spacing w:line="244" w:lineRule="auto" w:before="1"/>
              <w:ind w:left="108" w:right="230"/>
              <w:rPr>
                <w:sz w:val="21"/>
              </w:rPr>
            </w:pPr>
            <w:r>
              <w:rPr>
                <w:spacing w:val="-1"/>
                <w:sz w:val="21"/>
              </w:rPr>
              <w:t>服务器、</w:t>
            </w:r>
            <w:r>
              <w:rPr>
                <w:sz w:val="21"/>
              </w:rPr>
              <w:t>存储器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4" w:lineRule="auto" w:before="1"/>
              <w:ind w:left="106" w:right="121"/>
              <w:rPr>
                <w:sz w:val="21"/>
              </w:rPr>
            </w:pPr>
            <w:r>
              <w:rPr>
                <w:sz w:val="21"/>
              </w:rPr>
              <w:t>同一控制下企业合并 </w:t>
            </w:r>
          </w:p>
        </w:tc>
      </w:tr>
      <w:tr>
        <w:trPr>
          <w:trHeight w:val="815" w:hRule="atLeast"/>
        </w:trPr>
        <w:tc>
          <w:tcPr>
            <w:tcW w:w="1622" w:type="dxa"/>
          </w:tcPr>
          <w:p>
            <w:pPr>
              <w:pStyle w:val="TableParagraph"/>
              <w:spacing w:line="242" w:lineRule="auto" w:before="1"/>
              <w:ind w:left="107" w:right="134"/>
              <w:rPr>
                <w:sz w:val="21"/>
              </w:rPr>
            </w:pPr>
            <w:r>
              <w:rPr>
                <w:sz w:val="21"/>
              </w:rPr>
              <w:t>PCE Paragon</w:t>
            </w:r>
            <w:r>
              <w:rPr>
                <w:spacing w:val="1"/>
                <w:sz w:val="21"/>
              </w:rPr>
              <w:t> </w:t>
            </w:r>
            <w:r>
              <w:rPr>
                <w:sz w:val="21"/>
              </w:rPr>
              <w:t>Solutions</w:t>
            </w:r>
            <w:r>
              <w:rPr>
                <w:spacing w:val="-3"/>
                <w:sz w:val="21"/>
              </w:rPr>
              <w:t> </w:t>
            </w:r>
            <w:r>
              <w:rPr>
                <w:sz w:val="21"/>
              </w:rPr>
              <w:t>  </w:t>
            </w:r>
          </w:p>
          <w:p>
            <w:pPr>
              <w:pStyle w:val="TableParagraph"/>
              <w:spacing w:line="250" w:lineRule="exact" w:before="1"/>
              <w:ind w:left="107"/>
              <w:rPr>
                <w:sz w:val="21"/>
              </w:rPr>
            </w:pPr>
            <w:r>
              <w:rPr>
                <w:sz w:val="21"/>
              </w:rPr>
              <w:t>(USA)</w:t>
            </w:r>
            <w:r>
              <w:rPr>
                <w:spacing w:val="-1"/>
                <w:sz w:val="21"/>
              </w:rPr>
              <w:t> </w:t>
            </w:r>
            <w:r>
              <w:rPr>
                <w:sz w:val="21"/>
              </w:rPr>
              <w:t>Inc. </w:t>
            </w:r>
          </w:p>
        </w:tc>
        <w:tc>
          <w:tcPr>
            <w:tcW w:w="1181" w:type="dxa"/>
          </w:tcPr>
          <w:p>
            <w:pPr>
              <w:pStyle w:val="TableParagraph"/>
              <w:spacing w:before="1"/>
              <w:ind w:left="105"/>
              <w:rPr>
                <w:sz w:val="21"/>
              </w:rPr>
            </w:pPr>
            <w:r>
              <w:rPr>
                <w:sz w:val="21"/>
              </w:rPr>
              <w:t>美国 </w:t>
            </w:r>
          </w:p>
        </w:tc>
        <w:tc>
          <w:tcPr>
            <w:tcW w:w="1164" w:type="dxa"/>
          </w:tcPr>
          <w:p>
            <w:pPr>
              <w:pStyle w:val="TableParagraph"/>
              <w:spacing w:before="1"/>
              <w:ind w:left="106"/>
              <w:rPr>
                <w:sz w:val="21"/>
              </w:rPr>
            </w:pPr>
            <w:r>
              <w:rPr>
                <w:sz w:val="21"/>
              </w:rPr>
              <w:t>美国 </w:t>
            </w:r>
          </w:p>
        </w:tc>
        <w:tc>
          <w:tcPr>
            <w:tcW w:w="1193" w:type="dxa"/>
          </w:tcPr>
          <w:p>
            <w:pPr>
              <w:pStyle w:val="TableParagraph"/>
              <w:spacing w:line="242" w:lineRule="auto" w:before="1"/>
              <w:ind w:left="108" w:right="176"/>
              <w:rPr>
                <w:sz w:val="21"/>
              </w:rPr>
            </w:pPr>
            <w:r>
              <w:rPr>
                <w:sz w:val="21"/>
              </w:rPr>
              <w:t>提供管</w:t>
            </w:r>
            <w:r>
              <w:rPr>
                <w:spacing w:val="1"/>
                <w:sz w:val="21"/>
              </w:rPr>
              <w:t> </w:t>
            </w:r>
            <w:r>
              <w:rPr>
                <w:spacing w:val="-3"/>
                <w:sz w:val="21"/>
              </w:rPr>
              <w:t>理、IT</w:t>
            </w:r>
            <w:r>
              <w:rPr>
                <w:spacing w:val="-28"/>
                <w:sz w:val="21"/>
              </w:rPr>
              <w:t> 服</w:t>
            </w:r>
          </w:p>
          <w:p>
            <w:pPr>
              <w:pStyle w:val="TableParagraph"/>
              <w:spacing w:line="250" w:lineRule="exact" w:before="1"/>
              <w:ind w:left="108"/>
              <w:rPr>
                <w:sz w:val="21"/>
              </w:rPr>
            </w:pPr>
            <w:r>
              <w:rPr>
                <w:sz w:val="21"/>
              </w:rPr>
              <w:t>务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2" w:lineRule="auto" w:before="1"/>
              <w:ind w:left="106" w:right="121"/>
              <w:rPr>
                <w:sz w:val="21"/>
              </w:rPr>
            </w:pPr>
            <w:r>
              <w:rPr>
                <w:sz w:val="21"/>
              </w:rPr>
              <w:t>同一控制下企业合并 </w:t>
            </w:r>
          </w:p>
        </w:tc>
      </w:tr>
      <w:tr>
        <w:trPr>
          <w:trHeight w:val="817" w:hRule="atLeast"/>
        </w:trPr>
        <w:tc>
          <w:tcPr>
            <w:tcW w:w="1622" w:type="dxa"/>
          </w:tcPr>
          <w:p>
            <w:pPr>
              <w:pStyle w:val="TableParagraph"/>
              <w:spacing w:line="244" w:lineRule="auto" w:before="1"/>
              <w:ind w:left="107" w:right="134"/>
              <w:rPr>
                <w:sz w:val="21"/>
              </w:rPr>
            </w:pPr>
            <w:r>
              <w:rPr>
                <w:sz w:val="21"/>
              </w:rPr>
              <w:t>Foxconn</w:t>
            </w:r>
            <w:r>
              <w:rPr>
                <w:spacing w:val="1"/>
                <w:sz w:val="21"/>
              </w:rPr>
              <w:t> </w:t>
            </w:r>
            <w:r>
              <w:rPr>
                <w:sz w:val="21"/>
              </w:rPr>
              <w:t>Assembly</w:t>
            </w:r>
            <w:r>
              <w:rPr>
                <w:spacing w:val="-1"/>
                <w:sz w:val="21"/>
              </w:rPr>
              <w:t> </w:t>
            </w:r>
            <w:r>
              <w:rPr>
                <w:sz w:val="21"/>
              </w:rPr>
              <w:t>LLC </w:t>
            </w:r>
          </w:p>
        </w:tc>
        <w:tc>
          <w:tcPr>
            <w:tcW w:w="1181" w:type="dxa"/>
          </w:tcPr>
          <w:p>
            <w:pPr>
              <w:pStyle w:val="TableParagraph"/>
              <w:spacing w:before="1"/>
              <w:ind w:left="105"/>
              <w:rPr>
                <w:sz w:val="21"/>
              </w:rPr>
            </w:pPr>
            <w:r>
              <w:rPr>
                <w:sz w:val="21"/>
              </w:rPr>
              <w:t>美国 </w:t>
            </w:r>
          </w:p>
        </w:tc>
        <w:tc>
          <w:tcPr>
            <w:tcW w:w="1164" w:type="dxa"/>
          </w:tcPr>
          <w:p>
            <w:pPr>
              <w:pStyle w:val="TableParagraph"/>
              <w:spacing w:before="1"/>
              <w:ind w:left="106"/>
              <w:rPr>
                <w:sz w:val="21"/>
              </w:rPr>
            </w:pPr>
            <w:r>
              <w:rPr>
                <w:sz w:val="21"/>
              </w:rPr>
              <w:t>美国 </w:t>
            </w:r>
          </w:p>
        </w:tc>
        <w:tc>
          <w:tcPr>
            <w:tcW w:w="1193" w:type="dxa"/>
          </w:tcPr>
          <w:p>
            <w:pPr>
              <w:pStyle w:val="TableParagraph"/>
              <w:spacing w:before="1"/>
              <w:ind w:left="108"/>
              <w:rPr>
                <w:sz w:val="21"/>
              </w:rPr>
            </w:pPr>
            <w:r>
              <w:rPr>
                <w:sz w:val="21"/>
              </w:rPr>
              <w:t>服务器、</w:t>
            </w:r>
          </w:p>
          <w:p>
            <w:pPr>
              <w:pStyle w:val="TableParagraph"/>
              <w:spacing w:line="270" w:lineRule="atLeast"/>
              <w:ind w:left="108" w:right="126"/>
              <w:rPr>
                <w:sz w:val="21"/>
              </w:rPr>
            </w:pPr>
            <w:r>
              <w:rPr>
                <w:sz w:val="21"/>
              </w:rPr>
              <w:t>存储器、</w:t>
            </w:r>
            <w:r>
              <w:rPr>
                <w:spacing w:val="-1"/>
                <w:sz w:val="21"/>
              </w:rPr>
              <w:t>网络设备</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4" w:lineRule="auto" w:before="1"/>
              <w:ind w:left="106" w:right="121"/>
              <w:rPr>
                <w:sz w:val="21"/>
              </w:rPr>
            </w:pPr>
            <w:r>
              <w:rPr>
                <w:sz w:val="21"/>
              </w:rPr>
              <w:t>同一控制下企业合并 </w:t>
            </w:r>
          </w:p>
        </w:tc>
      </w:tr>
    </w:tbl>
    <w:p>
      <w:pPr>
        <w:spacing w:after="0" w:line="244" w:lineRule="auto"/>
        <w:rPr>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2"/>
        <w:gridCol w:w="1181"/>
        <w:gridCol w:w="1164"/>
        <w:gridCol w:w="1193"/>
        <w:gridCol w:w="1178"/>
        <w:gridCol w:w="1191"/>
        <w:gridCol w:w="1294"/>
      </w:tblGrid>
      <w:tr>
        <w:trPr>
          <w:trHeight w:val="547" w:hRule="atLeast"/>
        </w:trPr>
        <w:tc>
          <w:tcPr>
            <w:tcW w:w="1622" w:type="dxa"/>
          </w:tcPr>
          <w:p>
            <w:pPr>
              <w:pStyle w:val="TableParagraph"/>
              <w:spacing w:before="3"/>
              <w:ind w:left="107"/>
              <w:rPr>
                <w:sz w:val="21"/>
              </w:rPr>
            </w:pPr>
            <w:r>
              <w:rPr>
                <w:sz w:val="21"/>
              </w:rPr>
              <w:t>NWEA</w:t>
            </w:r>
            <w:r>
              <w:rPr>
                <w:spacing w:val="-1"/>
                <w:sz w:val="21"/>
              </w:rPr>
              <w:t> </w:t>
            </w:r>
            <w:r>
              <w:rPr>
                <w:sz w:val="21"/>
              </w:rPr>
              <w:t>LLC </w:t>
            </w:r>
          </w:p>
        </w:tc>
        <w:tc>
          <w:tcPr>
            <w:tcW w:w="1181" w:type="dxa"/>
          </w:tcPr>
          <w:p>
            <w:pPr>
              <w:pStyle w:val="TableParagraph"/>
              <w:spacing w:before="3"/>
              <w:ind w:left="105"/>
              <w:rPr>
                <w:sz w:val="21"/>
              </w:rPr>
            </w:pPr>
            <w:r>
              <w:rPr>
                <w:sz w:val="21"/>
              </w:rPr>
              <w:t>美国 </w:t>
            </w:r>
          </w:p>
        </w:tc>
        <w:tc>
          <w:tcPr>
            <w:tcW w:w="1164" w:type="dxa"/>
          </w:tcPr>
          <w:p>
            <w:pPr>
              <w:pStyle w:val="TableParagraph"/>
              <w:spacing w:before="3"/>
              <w:ind w:left="106"/>
              <w:rPr>
                <w:sz w:val="21"/>
              </w:rPr>
            </w:pPr>
            <w:r>
              <w:rPr>
                <w:sz w:val="21"/>
              </w:rPr>
              <w:t>美国 </w:t>
            </w:r>
          </w:p>
        </w:tc>
        <w:tc>
          <w:tcPr>
            <w:tcW w:w="1193" w:type="dxa"/>
          </w:tcPr>
          <w:p>
            <w:pPr>
              <w:pStyle w:val="TableParagraph"/>
              <w:spacing w:before="3"/>
              <w:ind w:left="108"/>
              <w:rPr>
                <w:sz w:val="21"/>
              </w:rPr>
            </w:pPr>
            <w:r>
              <w:rPr>
                <w:spacing w:val="-1"/>
                <w:sz w:val="21"/>
              </w:rPr>
              <w:t>网络设备</w:t>
            </w:r>
            <w:r>
              <w:rPr>
                <w:sz w:val="21"/>
              </w:rPr>
              <w:t> </w:t>
            </w:r>
          </w:p>
        </w:tc>
        <w:tc>
          <w:tcPr>
            <w:tcW w:w="1178"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sz w:val="21"/>
              </w:rPr>
              <w:t>100% </w:t>
            </w:r>
          </w:p>
        </w:tc>
        <w:tc>
          <w:tcPr>
            <w:tcW w:w="1294" w:type="dxa"/>
          </w:tcPr>
          <w:p>
            <w:pPr>
              <w:pStyle w:val="TableParagraph"/>
              <w:spacing w:line="270" w:lineRule="atLeast"/>
              <w:ind w:left="106" w:right="121"/>
              <w:rPr>
                <w:sz w:val="21"/>
              </w:rPr>
            </w:pPr>
            <w:r>
              <w:rPr>
                <w:sz w:val="21"/>
              </w:rPr>
              <w:t>同一控制下企业合并 </w:t>
            </w:r>
          </w:p>
        </w:tc>
      </w:tr>
      <w:tr>
        <w:trPr>
          <w:trHeight w:val="815" w:hRule="atLeast"/>
        </w:trPr>
        <w:tc>
          <w:tcPr>
            <w:tcW w:w="1622" w:type="dxa"/>
          </w:tcPr>
          <w:p>
            <w:pPr>
              <w:pStyle w:val="TableParagraph"/>
              <w:spacing w:line="242" w:lineRule="auto" w:before="1"/>
              <w:ind w:left="107"/>
              <w:rPr>
                <w:sz w:val="21"/>
              </w:rPr>
            </w:pPr>
            <w:r>
              <w:rPr>
                <w:sz w:val="21"/>
              </w:rPr>
              <w:t>Cloud Network</w:t>
            </w:r>
            <w:r>
              <w:rPr>
                <w:spacing w:val="1"/>
                <w:sz w:val="21"/>
              </w:rPr>
              <w:t> </w:t>
            </w:r>
            <w:r>
              <w:rPr>
                <w:sz w:val="21"/>
              </w:rPr>
              <w:t>Technology </w:t>
            </w:r>
          </w:p>
          <w:p>
            <w:pPr>
              <w:pStyle w:val="TableParagraph"/>
              <w:spacing w:line="250" w:lineRule="exact" w:before="1"/>
              <w:ind w:left="107"/>
              <w:rPr>
                <w:sz w:val="21"/>
              </w:rPr>
            </w:pPr>
            <w:r>
              <w:rPr>
                <w:sz w:val="21"/>
              </w:rPr>
              <w:t>USA</w:t>
            </w:r>
            <w:r>
              <w:rPr>
                <w:spacing w:val="-1"/>
                <w:sz w:val="21"/>
              </w:rPr>
              <w:t> </w:t>
            </w:r>
            <w:r>
              <w:rPr>
                <w:sz w:val="21"/>
              </w:rPr>
              <w:t>Inc. </w:t>
            </w:r>
          </w:p>
        </w:tc>
        <w:tc>
          <w:tcPr>
            <w:tcW w:w="1181" w:type="dxa"/>
          </w:tcPr>
          <w:p>
            <w:pPr>
              <w:pStyle w:val="TableParagraph"/>
              <w:spacing w:before="1"/>
              <w:ind w:left="105"/>
              <w:rPr>
                <w:sz w:val="21"/>
              </w:rPr>
            </w:pPr>
            <w:r>
              <w:rPr>
                <w:sz w:val="21"/>
              </w:rPr>
              <w:t>美国 </w:t>
            </w:r>
          </w:p>
        </w:tc>
        <w:tc>
          <w:tcPr>
            <w:tcW w:w="1164" w:type="dxa"/>
          </w:tcPr>
          <w:p>
            <w:pPr>
              <w:pStyle w:val="TableParagraph"/>
              <w:spacing w:before="1"/>
              <w:ind w:left="106"/>
              <w:rPr>
                <w:sz w:val="21"/>
              </w:rPr>
            </w:pPr>
            <w:r>
              <w:rPr>
                <w:sz w:val="21"/>
              </w:rPr>
              <w:t>美国 </w:t>
            </w:r>
          </w:p>
        </w:tc>
        <w:tc>
          <w:tcPr>
            <w:tcW w:w="1193" w:type="dxa"/>
          </w:tcPr>
          <w:p>
            <w:pPr>
              <w:pStyle w:val="TableParagraph"/>
              <w:spacing w:line="242" w:lineRule="auto" w:before="1"/>
              <w:ind w:left="108" w:right="230"/>
              <w:rPr>
                <w:sz w:val="21"/>
              </w:rPr>
            </w:pPr>
            <w:r>
              <w:rPr>
                <w:spacing w:val="-1"/>
                <w:sz w:val="21"/>
              </w:rPr>
              <w:t>服务器、</w:t>
            </w:r>
            <w:r>
              <w:rPr>
                <w:spacing w:val="-4"/>
                <w:sz w:val="21"/>
              </w:rPr>
              <w:t>存储器、</w:t>
            </w:r>
          </w:p>
          <w:p>
            <w:pPr>
              <w:pStyle w:val="TableParagraph"/>
              <w:spacing w:line="250" w:lineRule="exact" w:before="1"/>
              <w:ind w:left="108"/>
              <w:rPr>
                <w:sz w:val="21"/>
              </w:rPr>
            </w:pPr>
            <w:r>
              <w:rPr>
                <w:spacing w:val="-1"/>
                <w:sz w:val="21"/>
              </w:rPr>
              <w:t>网络设备</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2" w:lineRule="auto" w:before="1"/>
              <w:ind w:left="106" w:right="121"/>
              <w:rPr>
                <w:sz w:val="21"/>
              </w:rPr>
            </w:pPr>
            <w:r>
              <w:rPr>
                <w:sz w:val="21"/>
              </w:rPr>
              <w:t>同一控制下企业合并 </w:t>
            </w:r>
          </w:p>
        </w:tc>
      </w:tr>
      <w:tr>
        <w:trPr>
          <w:trHeight w:val="1089" w:hRule="atLeast"/>
        </w:trPr>
        <w:tc>
          <w:tcPr>
            <w:tcW w:w="1622" w:type="dxa"/>
          </w:tcPr>
          <w:p>
            <w:pPr>
              <w:pStyle w:val="TableParagraph"/>
              <w:spacing w:line="244" w:lineRule="auto" w:before="1"/>
              <w:ind w:left="107" w:right="239"/>
              <w:rPr>
                <w:sz w:val="21"/>
              </w:rPr>
            </w:pPr>
            <w:r>
              <w:rPr>
                <w:spacing w:val="-1"/>
                <w:sz w:val="21"/>
              </w:rPr>
              <w:t>鸿佰科技股份</w:t>
            </w:r>
            <w:r>
              <w:rPr>
                <w:sz w:val="21"/>
              </w:rPr>
              <w:t>有限公司 </w:t>
            </w:r>
          </w:p>
        </w:tc>
        <w:tc>
          <w:tcPr>
            <w:tcW w:w="1181" w:type="dxa"/>
          </w:tcPr>
          <w:p>
            <w:pPr>
              <w:pStyle w:val="TableParagraph"/>
              <w:spacing w:before="1"/>
              <w:ind w:left="105"/>
              <w:rPr>
                <w:sz w:val="21"/>
              </w:rPr>
            </w:pPr>
            <w:r>
              <w:rPr>
                <w:spacing w:val="-1"/>
                <w:sz w:val="21"/>
              </w:rPr>
              <w:t>中国,台湾</w:t>
            </w:r>
            <w:r>
              <w:rPr>
                <w:sz w:val="21"/>
              </w:rPr>
              <w:t> </w:t>
            </w:r>
          </w:p>
        </w:tc>
        <w:tc>
          <w:tcPr>
            <w:tcW w:w="1164" w:type="dxa"/>
          </w:tcPr>
          <w:p>
            <w:pPr>
              <w:pStyle w:val="TableParagraph"/>
              <w:spacing w:before="1"/>
              <w:ind w:left="106" w:right="-15"/>
              <w:rPr>
                <w:sz w:val="21"/>
              </w:rPr>
            </w:pPr>
            <w:r>
              <w:rPr>
                <w:spacing w:val="-1"/>
                <w:sz w:val="21"/>
              </w:rPr>
              <w:t>中国,台湾</w:t>
            </w:r>
            <w:r>
              <w:rPr>
                <w:sz w:val="21"/>
              </w:rPr>
              <w:t> </w:t>
            </w:r>
          </w:p>
        </w:tc>
        <w:tc>
          <w:tcPr>
            <w:tcW w:w="1193" w:type="dxa"/>
          </w:tcPr>
          <w:p>
            <w:pPr>
              <w:pStyle w:val="TableParagraph"/>
              <w:spacing w:line="242" w:lineRule="auto" w:before="1"/>
              <w:ind w:left="108" w:right="230"/>
              <w:rPr>
                <w:sz w:val="21"/>
              </w:rPr>
            </w:pPr>
            <w:r>
              <w:rPr>
                <w:spacing w:val="-1"/>
                <w:sz w:val="21"/>
              </w:rPr>
              <w:t>服务器、</w:t>
            </w:r>
            <w:r>
              <w:rPr>
                <w:sz w:val="21"/>
              </w:rPr>
              <w:t>存储设</w:t>
            </w:r>
            <w:r>
              <w:rPr>
                <w:spacing w:val="1"/>
                <w:sz w:val="21"/>
              </w:rPr>
              <w:t> </w:t>
            </w:r>
            <w:r>
              <w:rPr>
                <w:spacing w:val="-1"/>
                <w:sz w:val="21"/>
              </w:rPr>
              <w:t>备、云端</w:t>
            </w:r>
          </w:p>
          <w:p>
            <w:pPr>
              <w:pStyle w:val="TableParagraph"/>
              <w:spacing w:line="250" w:lineRule="exact" w:before="3"/>
              <w:ind w:left="108"/>
              <w:rPr>
                <w:sz w:val="21"/>
              </w:rPr>
            </w:pPr>
            <w:r>
              <w:rPr>
                <w:sz w:val="21"/>
              </w:rPr>
              <w:t>运算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line="244" w:lineRule="auto" w:before="1"/>
              <w:ind w:left="106" w:right="121"/>
              <w:rPr>
                <w:sz w:val="21"/>
              </w:rPr>
            </w:pPr>
            <w:r>
              <w:rPr>
                <w:sz w:val="21"/>
              </w:rPr>
              <w:t>同一控制下企业合并 </w:t>
            </w:r>
          </w:p>
        </w:tc>
      </w:tr>
      <w:tr>
        <w:trPr>
          <w:trHeight w:val="544" w:hRule="atLeast"/>
        </w:trPr>
        <w:tc>
          <w:tcPr>
            <w:tcW w:w="1622" w:type="dxa"/>
          </w:tcPr>
          <w:p>
            <w:pPr>
              <w:pStyle w:val="TableParagraph"/>
              <w:spacing w:before="1"/>
              <w:ind w:left="107"/>
              <w:rPr>
                <w:sz w:val="21"/>
              </w:rPr>
            </w:pPr>
            <w:r>
              <w:rPr>
                <w:sz w:val="21"/>
              </w:rPr>
              <w:t>深圳精匠云创</w:t>
            </w:r>
          </w:p>
          <w:p>
            <w:pPr>
              <w:pStyle w:val="TableParagraph"/>
              <w:spacing w:line="250" w:lineRule="exact" w:before="4"/>
              <w:ind w:left="107"/>
              <w:rPr>
                <w:sz w:val="21"/>
              </w:rPr>
            </w:pPr>
            <w:r>
              <w:rPr>
                <w:spacing w:val="-1"/>
                <w:sz w:val="21"/>
              </w:rPr>
              <w:t>科技有限公司</w:t>
            </w:r>
            <w:r>
              <w:rPr>
                <w:sz w:val="21"/>
              </w:rPr>
              <w:t> </w:t>
            </w:r>
          </w:p>
        </w:tc>
        <w:tc>
          <w:tcPr>
            <w:tcW w:w="1181" w:type="dxa"/>
          </w:tcPr>
          <w:p>
            <w:pPr>
              <w:pStyle w:val="TableParagraph"/>
              <w:spacing w:before="1"/>
              <w:ind w:left="105"/>
              <w:rPr>
                <w:sz w:val="21"/>
              </w:rPr>
            </w:pPr>
            <w:r>
              <w:rPr>
                <w:spacing w:val="-1"/>
                <w:sz w:val="21"/>
              </w:rPr>
              <w:t>中国,深圳</w:t>
            </w:r>
            <w:r>
              <w:rPr>
                <w:sz w:val="21"/>
              </w:rPr>
              <w:t> </w:t>
            </w:r>
          </w:p>
        </w:tc>
        <w:tc>
          <w:tcPr>
            <w:tcW w:w="1164" w:type="dxa"/>
          </w:tcPr>
          <w:p>
            <w:pPr>
              <w:pStyle w:val="TableParagraph"/>
              <w:spacing w:before="1"/>
              <w:ind w:left="106" w:right="-15"/>
              <w:rPr>
                <w:sz w:val="21"/>
              </w:rPr>
            </w:pPr>
            <w:r>
              <w:rPr>
                <w:spacing w:val="-1"/>
                <w:sz w:val="21"/>
              </w:rPr>
              <w:t>中国,深圳</w:t>
            </w:r>
            <w:r>
              <w:rPr>
                <w:sz w:val="21"/>
              </w:rPr>
              <w:t> </w:t>
            </w:r>
          </w:p>
        </w:tc>
        <w:tc>
          <w:tcPr>
            <w:tcW w:w="1193" w:type="dxa"/>
          </w:tcPr>
          <w:p>
            <w:pPr>
              <w:pStyle w:val="TableParagraph"/>
              <w:spacing w:before="1"/>
              <w:ind w:left="108"/>
              <w:rPr>
                <w:sz w:val="21"/>
              </w:rPr>
            </w:pPr>
            <w:r>
              <w:rPr>
                <w:spacing w:val="-1"/>
                <w:sz w:val="21"/>
              </w:rPr>
              <w:t>精密工具</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06"/>
              <w:rPr>
                <w:sz w:val="21"/>
              </w:rPr>
            </w:pPr>
            <w:r>
              <w:rPr>
                <w:sz w:val="21"/>
              </w:rPr>
              <w:t>子公司新设 </w:t>
            </w:r>
          </w:p>
        </w:tc>
      </w:tr>
      <w:tr>
        <w:trPr>
          <w:trHeight w:val="818" w:hRule="atLeast"/>
        </w:trPr>
        <w:tc>
          <w:tcPr>
            <w:tcW w:w="1622" w:type="dxa"/>
          </w:tcPr>
          <w:p>
            <w:pPr>
              <w:pStyle w:val="TableParagraph"/>
              <w:spacing w:before="1"/>
              <w:ind w:left="107"/>
              <w:rPr>
                <w:sz w:val="21"/>
              </w:rPr>
            </w:pPr>
            <w:r>
              <w:rPr>
                <w:sz w:val="21"/>
              </w:rPr>
              <w:t>Likom De </w:t>
            </w:r>
          </w:p>
          <w:p>
            <w:pPr>
              <w:pStyle w:val="TableParagraph"/>
              <w:spacing w:line="270" w:lineRule="atLeast"/>
              <w:ind w:left="107"/>
              <w:rPr>
                <w:sz w:val="21"/>
              </w:rPr>
            </w:pPr>
            <w:r>
              <w:rPr>
                <w:sz w:val="21"/>
              </w:rPr>
              <w:t>Mexico S.A</w:t>
            </w:r>
            <w:r>
              <w:rPr>
                <w:spacing w:val="1"/>
                <w:sz w:val="21"/>
              </w:rPr>
              <w:t> </w:t>
            </w:r>
            <w:r>
              <w:rPr>
                <w:sz w:val="21"/>
              </w:rPr>
              <w:t>De</w:t>
            </w:r>
            <w:r>
              <w:rPr>
                <w:spacing w:val="1"/>
                <w:sz w:val="21"/>
              </w:rPr>
              <w:t> </w:t>
            </w:r>
            <w:r>
              <w:rPr>
                <w:sz w:val="21"/>
              </w:rPr>
              <w:t>C.V </w:t>
            </w:r>
          </w:p>
        </w:tc>
        <w:tc>
          <w:tcPr>
            <w:tcW w:w="1181" w:type="dxa"/>
          </w:tcPr>
          <w:p>
            <w:pPr>
              <w:pStyle w:val="TableParagraph"/>
              <w:spacing w:before="1"/>
              <w:ind w:left="105"/>
              <w:rPr>
                <w:sz w:val="21"/>
              </w:rPr>
            </w:pPr>
            <w:r>
              <w:rPr>
                <w:sz w:val="21"/>
              </w:rPr>
              <w:t>墨西哥 </w:t>
            </w:r>
          </w:p>
        </w:tc>
        <w:tc>
          <w:tcPr>
            <w:tcW w:w="1164" w:type="dxa"/>
          </w:tcPr>
          <w:p>
            <w:pPr>
              <w:pStyle w:val="TableParagraph"/>
              <w:spacing w:before="1"/>
              <w:ind w:left="106"/>
              <w:rPr>
                <w:sz w:val="21"/>
              </w:rPr>
            </w:pPr>
            <w:r>
              <w:rPr>
                <w:sz w:val="21"/>
              </w:rPr>
              <w:t>墨西哥 </w:t>
            </w:r>
          </w:p>
        </w:tc>
        <w:tc>
          <w:tcPr>
            <w:tcW w:w="1193" w:type="dxa"/>
          </w:tcPr>
          <w:p>
            <w:pPr>
              <w:pStyle w:val="TableParagraph"/>
              <w:spacing w:before="1"/>
              <w:ind w:left="108"/>
              <w:rPr>
                <w:sz w:val="21"/>
              </w:rPr>
            </w:pPr>
            <w:r>
              <w:rPr>
                <w:sz w:val="21"/>
              </w:rPr>
              <w:t>服务器、</w:t>
            </w:r>
          </w:p>
          <w:p>
            <w:pPr>
              <w:pStyle w:val="TableParagraph"/>
              <w:spacing w:line="270" w:lineRule="atLeast"/>
              <w:ind w:left="108" w:right="126"/>
              <w:rPr>
                <w:sz w:val="21"/>
              </w:rPr>
            </w:pPr>
            <w:r>
              <w:rPr>
                <w:sz w:val="21"/>
              </w:rPr>
              <w:t>存储器、</w:t>
            </w:r>
            <w:r>
              <w:rPr>
                <w:spacing w:val="-1"/>
                <w:sz w:val="21"/>
              </w:rPr>
              <w:t>网络设备</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99.99998% </w:t>
            </w:r>
          </w:p>
        </w:tc>
        <w:tc>
          <w:tcPr>
            <w:tcW w:w="1294" w:type="dxa"/>
          </w:tcPr>
          <w:p>
            <w:pPr>
              <w:pStyle w:val="TableParagraph"/>
              <w:spacing w:line="244" w:lineRule="auto" w:before="1"/>
              <w:ind w:left="106" w:right="18"/>
              <w:rPr>
                <w:sz w:val="21"/>
              </w:rPr>
            </w:pPr>
            <w:r>
              <w:rPr>
                <w:sz w:val="21"/>
              </w:rPr>
              <w:t>非同一控制下企业合并 </w:t>
            </w:r>
          </w:p>
        </w:tc>
      </w:tr>
      <w:tr>
        <w:trPr>
          <w:trHeight w:val="817" w:hRule="atLeast"/>
        </w:trPr>
        <w:tc>
          <w:tcPr>
            <w:tcW w:w="1622" w:type="dxa"/>
          </w:tcPr>
          <w:p>
            <w:pPr>
              <w:pStyle w:val="TableParagraph"/>
              <w:spacing w:before="1"/>
              <w:ind w:left="107"/>
              <w:rPr>
                <w:sz w:val="21"/>
              </w:rPr>
            </w:pPr>
            <w:r>
              <w:rPr>
                <w:sz w:val="21"/>
              </w:rPr>
              <w:t>深圳富联智能</w:t>
            </w:r>
          </w:p>
          <w:p>
            <w:pPr>
              <w:pStyle w:val="TableParagraph"/>
              <w:spacing w:line="270" w:lineRule="atLeast"/>
              <w:ind w:left="107" w:right="136"/>
              <w:rPr>
                <w:sz w:val="21"/>
              </w:rPr>
            </w:pPr>
            <w:r>
              <w:rPr>
                <w:sz w:val="21"/>
              </w:rPr>
              <w:t>制造产业创新</w:t>
            </w:r>
            <w:r>
              <w:rPr>
                <w:spacing w:val="-1"/>
                <w:sz w:val="21"/>
              </w:rPr>
              <w:t>中心有限公司</w:t>
            </w:r>
            <w:r>
              <w:rPr>
                <w:sz w:val="21"/>
              </w:rPr>
              <w:t> </w:t>
            </w:r>
          </w:p>
        </w:tc>
        <w:tc>
          <w:tcPr>
            <w:tcW w:w="1181" w:type="dxa"/>
          </w:tcPr>
          <w:p>
            <w:pPr>
              <w:pStyle w:val="TableParagraph"/>
              <w:spacing w:before="1"/>
              <w:ind w:left="105"/>
              <w:rPr>
                <w:sz w:val="21"/>
              </w:rPr>
            </w:pPr>
            <w:r>
              <w:rPr>
                <w:spacing w:val="-1"/>
                <w:sz w:val="21"/>
              </w:rPr>
              <w:t>中国,深圳</w:t>
            </w:r>
            <w:r>
              <w:rPr>
                <w:sz w:val="21"/>
              </w:rPr>
              <w:t> </w:t>
            </w:r>
          </w:p>
        </w:tc>
        <w:tc>
          <w:tcPr>
            <w:tcW w:w="1164" w:type="dxa"/>
          </w:tcPr>
          <w:p>
            <w:pPr>
              <w:pStyle w:val="TableParagraph"/>
              <w:spacing w:before="1"/>
              <w:ind w:left="106" w:right="-15"/>
              <w:rPr>
                <w:sz w:val="21"/>
              </w:rPr>
            </w:pPr>
            <w:r>
              <w:rPr>
                <w:spacing w:val="-1"/>
                <w:sz w:val="21"/>
              </w:rPr>
              <w:t>中国,深圳</w:t>
            </w:r>
            <w:r>
              <w:rPr>
                <w:sz w:val="21"/>
              </w:rPr>
              <w:t> </w:t>
            </w:r>
          </w:p>
        </w:tc>
        <w:tc>
          <w:tcPr>
            <w:tcW w:w="1193" w:type="dxa"/>
          </w:tcPr>
          <w:p>
            <w:pPr>
              <w:pStyle w:val="TableParagraph"/>
              <w:spacing w:before="1"/>
              <w:ind w:left="108"/>
              <w:rPr>
                <w:sz w:val="21"/>
              </w:rPr>
            </w:pPr>
            <w:r>
              <w:rPr>
                <w:spacing w:val="-1"/>
                <w:sz w:val="21"/>
              </w:rPr>
              <w:t>精密工具</w:t>
            </w:r>
            <w:r>
              <w:rPr>
                <w:sz w:val="21"/>
              </w:rPr>
              <w:t> </w:t>
            </w:r>
          </w:p>
        </w:tc>
        <w:tc>
          <w:tcPr>
            <w:tcW w:w="1178" w:type="dxa"/>
          </w:tcPr>
          <w:p>
            <w:pPr>
              <w:pStyle w:val="TableParagraph"/>
              <w:spacing w:before="1"/>
              <w:ind w:right="-15"/>
              <w:jc w:val="right"/>
              <w:rPr>
                <w:sz w:val="21"/>
              </w:rPr>
            </w:pPr>
            <w:r>
              <w:rPr>
                <w:sz w:val="21"/>
              </w:rPr>
              <w:t>80.81% </w:t>
            </w:r>
          </w:p>
        </w:tc>
        <w:tc>
          <w:tcPr>
            <w:tcW w:w="1191" w:type="dxa"/>
          </w:tcPr>
          <w:p>
            <w:pPr>
              <w:pStyle w:val="TableParagraph"/>
              <w:spacing w:before="1"/>
              <w:ind w:right="-15"/>
              <w:jc w:val="right"/>
              <w:rPr>
                <w:sz w:val="21"/>
              </w:rPr>
            </w:pPr>
            <w:r>
              <w:rPr>
                <w:w w:val="100"/>
                <w:sz w:val="21"/>
              </w:rPr>
              <w:t> </w:t>
            </w:r>
          </w:p>
        </w:tc>
        <w:tc>
          <w:tcPr>
            <w:tcW w:w="1294" w:type="dxa"/>
          </w:tcPr>
          <w:p>
            <w:pPr>
              <w:pStyle w:val="TableParagraph"/>
              <w:spacing w:before="1"/>
              <w:ind w:left="106"/>
              <w:rPr>
                <w:sz w:val="21"/>
              </w:rPr>
            </w:pPr>
            <w:r>
              <w:rPr>
                <w:sz w:val="21"/>
              </w:rPr>
              <w:t>新设 </w:t>
            </w:r>
          </w:p>
        </w:tc>
      </w:tr>
      <w:tr>
        <w:trPr>
          <w:trHeight w:val="815" w:hRule="atLeast"/>
        </w:trPr>
        <w:tc>
          <w:tcPr>
            <w:tcW w:w="1622" w:type="dxa"/>
          </w:tcPr>
          <w:p>
            <w:pPr>
              <w:pStyle w:val="TableParagraph"/>
              <w:spacing w:line="242" w:lineRule="auto" w:before="1"/>
              <w:ind w:left="107" w:right="239"/>
              <w:rPr>
                <w:sz w:val="21"/>
              </w:rPr>
            </w:pPr>
            <w:r>
              <w:rPr>
                <w:spacing w:val="-1"/>
                <w:sz w:val="21"/>
              </w:rPr>
              <w:t>富联鸿智汇科技(深圳)有限</w:t>
            </w:r>
          </w:p>
          <w:p>
            <w:pPr>
              <w:pStyle w:val="TableParagraph"/>
              <w:spacing w:line="250" w:lineRule="exact" w:before="1"/>
              <w:ind w:left="107"/>
              <w:rPr>
                <w:sz w:val="21"/>
              </w:rPr>
            </w:pPr>
            <w:r>
              <w:rPr>
                <w:sz w:val="21"/>
              </w:rPr>
              <w:t>公司 </w:t>
            </w:r>
          </w:p>
        </w:tc>
        <w:tc>
          <w:tcPr>
            <w:tcW w:w="1181" w:type="dxa"/>
          </w:tcPr>
          <w:p>
            <w:pPr>
              <w:pStyle w:val="TableParagraph"/>
              <w:spacing w:before="1"/>
              <w:ind w:left="105"/>
              <w:rPr>
                <w:sz w:val="21"/>
              </w:rPr>
            </w:pPr>
            <w:r>
              <w:rPr>
                <w:spacing w:val="-1"/>
                <w:sz w:val="21"/>
              </w:rPr>
              <w:t>中国,深圳</w:t>
            </w:r>
            <w:r>
              <w:rPr>
                <w:sz w:val="21"/>
              </w:rPr>
              <w:t> </w:t>
            </w:r>
          </w:p>
        </w:tc>
        <w:tc>
          <w:tcPr>
            <w:tcW w:w="1164" w:type="dxa"/>
          </w:tcPr>
          <w:p>
            <w:pPr>
              <w:pStyle w:val="TableParagraph"/>
              <w:spacing w:before="1"/>
              <w:ind w:left="106" w:right="-15"/>
              <w:rPr>
                <w:sz w:val="21"/>
              </w:rPr>
            </w:pPr>
            <w:r>
              <w:rPr>
                <w:spacing w:val="-1"/>
                <w:sz w:val="21"/>
              </w:rPr>
              <w:t>中国,深圳</w:t>
            </w:r>
            <w:r>
              <w:rPr>
                <w:sz w:val="21"/>
              </w:rPr>
              <w:t> </w:t>
            </w:r>
          </w:p>
        </w:tc>
        <w:tc>
          <w:tcPr>
            <w:tcW w:w="1193" w:type="dxa"/>
          </w:tcPr>
          <w:p>
            <w:pPr>
              <w:pStyle w:val="TableParagraph"/>
              <w:spacing w:line="242" w:lineRule="auto" w:before="1"/>
              <w:ind w:left="108" w:right="230"/>
              <w:rPr>
                <w:sz w:val="21"/>
              </w:rPr>
            </w:pPr>
            <w:r>
              <w:rPr>
                <w:sz w:val="21"/>
              </w:rPr>
              <w:t>网络设</w:t>
            </w:r>
            <w:r>
              <w:rPr>
                <w:spacing w:val="1"/>
                <w:sz w:val="21"/>
              </w:rPr>
              <w:t> </w:t>
            </w:r>
            <w:r>
              <w:rPr>
                <w:spacing w:val="-1"/>
                <w:sz w:val="21"/>
              </w:rPr>
              <w:t>备、服务</w:t>
            </w:r>
          </w:p>
          <w:p>
            <w:pPr>
              <w:pStyle w:val="TableParagraph"/>
              <w:spacing w:line="250" w:lineRule="exact" w:before="1"/>
              <w:ind w:left="108"/>
              <w:rPr>
                <w:sz w:val="21"/>
              </w:rPr>
            </w:pPr>
            <w:r>
              <w:rPr>
                <w:sz w:val="21"/>
              </w:rPr>
              <w:t>器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60% </w:t>
            </w:r>
          </w:p>
        </w:tc>
        <w:tc>
          <w:tcPr>
            <w:tcW w:w="1294" w:type="dxa"/>
          </w:tcPr>
          <w:p>
            <w:pPr>
              <w:pStyle w:val="TableParagraph"/>
              <w:spacing w:before="1"/>
              <w:ind w:left="106"/>
              <w:rPr>
                <w:sz w:val="21"/>
              </w:rPr>
            </w:pPr>
            <w:r>
              <w:rPr>
                <w:sz w:val="21"/>
              </w:rPr>
              <w:t>子公司新设 </w:t>
            </w:r>
          </w:p>
        </w:tc>
      </w:tr>
      <w:tr>
        <w:trPr>
          <w:trHeight w:val="818" w:hRule="atLeast"/>
        </w:trPr>
        <w:tc>
          <w:tcPr>
            <w:tcW w:w="1622" w:type="dxa"/>
          </w:tcPr>
          <w:p>
            <w:pPr>
              <w:pStyle w:val="TableParagraph"/>
              <w:spacing w:before="1"/>
              <w:ind w:left="107"/>
              <w:rPr>
                <w:sz w:val="21"/>
              </w:rPr>
            </w:pPr>
            <w:r>
              <w:rPr>
                <w:sz w:val="21"/>
              </w:rPr>
              <w:t>富联富甲智创</w:t>
            </w:r>
          </w:p>
          <w:p>
            <w:pPr>
              <w:pStyle w:val="TableParagraph"/>
              <w:spacing w:line="270" w:lineRule="atLeast"/>
              <w:ind w:left="107" w:right="239"/>
              <w:rPr>
                <w:sz w:val="21"/>
              </w:rPr>
            </w:pPr>
            <w:r>
              <w:rPr>
                <w:spacing w:val="-1"/>
                <w:sz w:val="21"/>
              </w:rPr>
              <w:t>(深圳)科技有</w:t>
            </w:r>
            <w:r>
              <w:rPr>
                <w:sz w:val="21"/>
              </w:rPr>
              <w:t>限公司 </w:t>
            </w:r>
          </w:p>
        </w:tc>
        <w:tc>
          <w:tcPr>
            <w:tcW w:w="1181" w:type="dxa"/>
          </w:tcPr>
          <w:p>
            <w:pPr>
              <w:pStyle w:val="TableParagraph"/>
              <w:spacing w:before="1"/>
              <w:ind w:left="105"/>
              <w:rPr>
                <w:sz w:val="21"/>
              </w:rPr>
            </w:pPr>
            <w:r>
              <w:rPr>
                <w:spacing w:val="-1"/>
                <w:sz w:val="21"/>
              </w:rPr>
              <w:t>中国,深圳</w:t>
            </w:r>
            <w:r>
              <w:rPr>
                <w:sz w:val="21"/>
              </w:rPr>
              <w:t> </w:t>
            </w:r>
          </w:p>
        </w:tc>
        <w:tc>
          <w:tcPr>
            <w:tcW w:w="1164" w:type="dxa"/>
          </w:tcPr>
          <w:p>
            <w:pPr>
              <w:pStyle w:val="TableParagraph"/>
              <w:spacing w:before="1"/>
              <w:ind w:left="106" w:right="-15"/>
              <w:rPr>
                <w:sz w:val="21"/>
              </w:rPr>
            </w:pPr>
            <w:r>
              <w:rPr>
                <w:spacing w:val="-1"/>
                <w:sz w:val="21"/>
              </w:rPr>
              <w:t>中国,深圳</w:t>
            </w:r>
            <w:r>
              <w:rPr>
                <w:sz w:val="21"/>
              </w:rPr>
              <w:t> </w:t>
            </w:r>
          </w:p>
        </w:tc>
        <w:tc>
          <w:tcPr>
            <w:tcW w:w="1193" w:type="dxa"/>
          </w:tcPr>
          <w:p>
            <w:pPr>
              <w:pStyle w:val="TableParagraph"/>
              <w:spacing w:before="1"/>
              <w:ind w:left="108"/>
              <w:rPr>
                <w:sz w:val="21"/>
              </w:rPr>
            </w:pPr>
            <w:r>
              <w:rPr>
                <w:sz w:val="21"/>
              </w:rPr>
              <w:t>服务器、</w:t>
            </w:r>
          </w:p>
          <w:p>
            <w:pPr>
              <w:pStyle w:val="TableParagraph"/>
              <w:spacing w:line="270" w:lineRule="atLeast"/>
              <w:ind w:left="108" w:right="126"/>
              <w:rPr>
                <w:sz w:val="21"/>
              </w:rPr>
            </w:pPr>
            <w:r>
              <w:rPr>
                <w:sz w:val="21"/>
              </w:rPr>
              <w:t>存储器、</w:t>
            </w:r>
            <w:r>
              <w:rPr>
                <w:spacing w:val="-1"/>
                <w:sz w:val="21"/>
              </w:rPr>
              <w:t>网络设备</w:t>
            </w:r>
            <w:r>
              <w:rPr>
                <w:sz w:val="21"/>
              </w:rPr>
              <w:t> </w:t>
            </w:r>
          </w:p>
        </w:tc>
        <w:tc>
          <w:tcPr>
            <w:tcW w:w="1178" w:type="dxa"/>
          </w:tcPr>
          <w:p>
            <w:pPr>
              <w:pStyle w:val="TableParagraph"/>
              <w:spacing w:before="1"/>
              <w:ind w:right="-15"/>
              <w:jc w:val="right"/>
              <w:rPr>
                <w:sz w:val="21"/>
              </w:rPr>
            </w:pPr>
            <w:r>
              <w:rPr>
                <w:sz w:val="21"/>
              </w:rPr>
              <w:t>100% </w:t>
            </w:r>
          </w:p>
        </w:tc>
        <w:tc>
          <w:tcPr>
            <w:tcW w:w="1191" w:type="dxa"/>
          </w:tcPr>
          <w:p>
            <w:pPr>
              <w:pStyle w:val="TableParagraph"/>
              <w:spacing w:before="1"/>
              <w:ind w:right="-15"/>
              <w:jc w:val="right"/>
              <w:rPr>
                <w:sz w:val="21"/>
              </w:rPr>
            </w:pPr>
            <w:r>
              <w:rPr>
                <w:w w:val="100"/>
                <w:sz w:val="21"/>
              </w:rPr>
              <w:t> </w:t>
            </w:r>
          </w:p>
        </w:tc>
        <w:tc>
          <w:tcPr>
            <w:tcW w:w="1294" w:type="dxa"/>
          </w:tcPr>
          <w:p>
            <w:pPr>
              <w:pStyle w:val="TableParagraph"/>
              <w:spacing w:before="1"/>
              <w:ind w:left="106"/>
              <w:rPr>
                <w:sz w:val="21"/>
              </w:rPr>
            </w:pPr>
            <w:r>
              <w:rPr>
                <w:sz w:val="21"/>
              </w:rPr>
              <w:t>新设 </w:t>
            </w:r>
          </w:p>
        </w:tc>
      </w:tr>
      <w:tr>
        <w:trPr>
          <w:trHeight w:val="815" w:hRule="atLeast"/>
        </w:trPr>
        <w:tc>
          <w:tcPr>
            <w:tcW w:w="1622" w:type="dxa"/>
          </w:tcPr>
          <w:p>
            <w:pPr>
              <w:pStyle w:val="TableParagraph"/>
              <w:spacing w:line="242" w:lineRule="auto" w:before="1"/>
              <w:ind w:left="107" w:right="134"/>
              <w:rPr>
                <w:sz w:val="21"/>
              </w:rPr>
            </w:pPr>
            <w:r>
              <w:rPr>
                <w:spacing w:val="-1"/>
                <w:sz w:val="21"/>
              </w:rPr>
              <w:t>富联富集云(深圳)科技有限公</w:t>
            </w:r>
          </w:p>
          <w:p>
            <w:pPr>
              <w:pStyle w:val="TableParagraph"/>
              <w:spacing w:line="250" w:lineRule="exact" w:before="1"/>
              <w:ind w:left="107"/>
              <w:rPr>
                <w:sz w:val="21"/>
              </w:rPr>
            </w:pPr>
            <w:r>
              <w:rPr>
                <w:sz w:val="21"/>
              </w:rPr>
              <w:t>司 </w:t>
            </w:r>
          </w:p>
        </w:tc>
        <w:tc>
          <w:tcPr>
            <w:tcW w:w="1181" w:type="dxa"/>
          </w:tcPr>
          <w:p>
            <w:pPr>
              <w:pStyle w:val="TableParagraph"/>
              <w:spacing w:before="1"/>
              <w:ind w:left="105"/>
              <w:rPr>
                <w:sz w:val="21"/>
              </w:rPr>
            </w:pPr>
            <w:r>
              <w:rPr>
                <w:spacing w:val="-1"/>
                <w:sz w:val="21"/>
              </w:rPr>
              <w:t>中国,深圳</w:t>
            </w:r>
            <w:r>
              <w:rPr>
                <w:sz w:val="21"/>
              </w:rPr>
              <w:t> </w:t>
            </w:r>
          </w:p>
        </w:tc>
        <w:tc>
          <w:tcPr>
            <w:tcW w:w="1164" w:type="dxa"/>
          </w:tcPr>
          <w:p>
            <w:pPr>
              <w:pStyle w:val="TableParagraph"/>
              <w:spacing w:before="1"/>
              <w:ind w:left="106" w:right="-15"/>
              <w:rPr>
                <w:sz w:val="21"/>
              </w:rPr>
            </w:pPr>
            <w:r>
              <w:rPr>
                <w:spacing w:val="-1"/>
                <w:sz w:val="21"/>
              </w:rPr>
              <w:t>中国,深圳</w:t>
            </w:r>
            <w:r>
              <w:rPr>
                <w:sz w:val="21"/>
              </w:rPr>
              <w:t> </w:t>
            </w:r>
          </w:p>
        </w:tc>
        <w:tc>
          <w:tcPr>
            <w:tcW w:w="1193" w:type="dxa"/>
          </w:tcPr>
          <w:p>
            <w:pPr>
              <w:pStyle w:val="TableParagraph"/>
              <w:spacing w:line="242" w:lineRule="auto" w:before="1"/>
              <w:ind w:left="108" w:right="230"/>
              <w:rPr>
                <w:sz w:val="21"/>
              </w:rPr>
            </w:pPr>
            <w:r>
              <w:rPr>
                <w:spacing w:val="-1"/>
                <w:sz w:val="21"/>
              </w:rPr>
              <w:t>服务器、</w:t>
            </w:r>
            <w:r>
              <w:rPr>
                <w:spacing w:val="-4"/>
                <w:sz w:val="21"/>
              </w:rPr>
              <w:t>存储器、</w:t>
            </w:r>
          </w:p>
          <w:p>
            <w:pPr>
              <w:pStyle w:val="TableParagraph"/>
              <w:spacing w:line="250" w:lineRule="exact" w:before="1"/>
              <w:ind w:left="108"/>
              <w:rPr>
                <w:sz w:val="21"/>
              </w:rPr>
            </w:pPr>
            <w:r>
              <w:rPr>
                <w:spacing w:val="-1"/>
                <w:sz w:val="21"/>
              </w:rPr>
              <w:t>网络设备</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06"/>
              <w:rPr>
                <w:sz w:val="21"/>
              </w:rPr>
            </w:pPr>
            <w:r>
              <w:rPr>
                <w:sz w:val="21"/>
              </w:rPr>
              <w:t>子公司新设 </w:t>
            </w:r>
          </w:p>
        </w:tc>
      </w:tr>
      <w:tr>
        <w:trPr>
          <w:trHeight w:val="818" w:hRule="atLeast"/>
        </w:trPr>
        <w:tc>
          <w:tcPr>
            <w:tcW w:w="1622" w:type="dxa"/>
          </w:tcPr>
          <w:p>
            <w:pPr>
              <w:pStyle w:val="TableParagraph"/>
              <w:spacing w:before="1"/>
              <w:ind w:left="107"/>
              <w:rPr>
                <w:sz w:val="21"/>
              </w:rPr>
            </w:pPr>
            <w:r>
              <w:rPr>
                <w:sz w:val="21"/>
              </w:rPr>
              <w:t>富联统合电子</w:t>
            </w:r>
          </w:p>
          <w:p>
            <w:pPr>
              <w:pStyle w:val="TableParagraph"/>
              <w:spacing w:line="270" w:lineRule="atLeast"/>
              <w:ind w:left="107" w:right="239"/>
              <w:rPr>
                <w:sz w:val="21"/>
              </w:rPr>
            </w:pPr>
            <w:r>
              <w:rPr>
                <w:spacing w:val="-1"/>
                <w:sz w:val="21"/>
              </w:rPr>
              <w:t>(海宁)有限公</w:t>
            </w:r>
            <w:r>
              <w:rPr>
                <w:sz w:val="21"/>
              </w:rPr>
              <w:t>司 </w:t>
            </w:r>
          </w:p>
        </w:tc>
        <w:tc>
          <w:tcPr>
            <w:tcW w:w="1181" w:type="dxa"/>
          </w:tcPr>
          <w:p>
            <w:pPr>
              <w:pStyle w:val="TableParagraph"/>
              <w:spacing w:before="1"/>
              <w:ind w:left="105"/>
              <w:rPr>
                <w:sz w:val="21"/>
              </w:rPr>
            </w:pPr>
            <w:r>
              <w:rPr>
                <w:spacing w:val="-1"/>
                <w:sz w:val="21"/>
              </w:rPr>
              <w:t>中国,海宁</w:t>
            </w:r>
            <w:r>
              <w:rPr>
                <w:sz w:val="21"/>
              </w:rPr>
              <w:t> </w:t>
            </w:r>
          </w:p>
        </w:tc>
        <w:tc>
          <w:tcPr>
            <w:tcW w:w="1164" w:type="dxa"/>
          </w:tcPr>
          <w:p>
            <w:pPr>
              <w:pStyle w:val="TableParagraph"/>
              <w:spacing w:before="1"/>
              <w:ind w:left="106" w:right="-15"/>
              <w:rPr>
                <w:sz w:val="21"/>
              </w:rPr>
            </w:pPr>
            <w:r>
              <w:rPr>
                <w:spacing w:val="-1"/>
                <w:sz w:val="21"/>
              </w:rPr>
              <w:t>中国,海宁</w:t>
            </w:r>
            <w:r>
              <w:rPr>
                <w:sz w:val="21"/>
              </w:rPr>
              <w:t> </w:t>
            </w:r>
          </w:p>
        </w:tc>
        <w:tc>
          <w:tcPr>
            <w:tcW w:w="1193" w:type="dxa"/>
          </w:tcPr>
          <w:p>
            <w:pPr>
              <w:pStyle w:val="TableParagraph"/>
              <w:spacing w:before="1"/>
              <w:ind w:left="108"/>
              <w:rPr>
                <w:sz w:val="21"/>
              </w:rPr>
            </w:pPr>
            <w:r>
              <w:rPr>
                <w:sz w:val="21"/>
              </w:rPr>
              <w:t>网络设</w:t>
            </w:r>
          </w:p>
          <w:p>
            <w:pPr>
              <w:pStyle w:val="TableParagraph"/>
              <w:spacing w:line="270" w:lineRule="atLeast"/>
              <w:ind w:left="108" w:right="230"/>
              <w:rPr>
                <w:sz w:val="21"/>
              </w:rPr>
            </w:pPr>
            <w:r>
              <w:rPr>
                <w:spacing w:val="-1"/>
                <w:sz w:val="21"/>
              </w:rPr>
              <w:t>备、服务</w:t>
            </w:r>
            <w:r>
              <w:rPr>
                <w:sz w:val="21"/>
              </w:rPr>
              <w:t>器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06"/>
              <w:rPr>
                <w:sz w:val="21"/>
              </w:rPr>
            </w:pPr>
            <w:r>
              <w:rPr>
                <w:sz w:val="21"/>
              </w:rPr>
              <w:t>子公司新设 </w:t>
            </w:r>
          </w:p>
        </w:tc>
      </w:tr>
      <w:tr>
        <w:trPr>
          <w:trHeight w:val="1089" w:hRule="atLeast"/>
        </w:trPr>
        <w:tc>
          <w:tcPr>
            <w:tcW w:w="1622" w:type="dxa"/>
          </w:tcPr>
          <w:p>
            <w:pPr>
              <w:pStyle w:val="TableParagraph"/>
              <w:spacing w:line="242" w:lineRule="auto" w:before="1"/>
              <w:ind w:left="107" w:right="239"/>
              <w:jc w:val="both"/>
              <w:rPr>
                <w:sz w:val="21"/>
              </w:rPr>
            </w:pPr>
            <w:r>
              <w:rPr>
                <w:spacing w:val="-1"/>
                <w:sz w:val="21"/>
              </w:rPr>
              <w:t>富联智能工坊(郑州)有限公</w:t>
            </w:r>
            <w:r>
              <w:rPr>
                <w:sz w:val="21"/>
              </w:rPr>
              <w:t>司 </w:t>
            </w:r>
          </w:p>
        </w:tc>
        <w:tc>
          <w:tcPr>
            <w:tcW w:w="1181" w:type="dxa"/>
          </w:tcPr>
          <w:p>
            <w:pPr>
              <w:pStyle w:val="TableParagraph"/>
              <w:spacing w:before="1"/>
              <w:ind w:left="105"/>
              <w:rPr>
                <w:sz w:val="21"/>
              </w:rPr>
            </w:pPr>
            <w:r>
              <w:rPr>
                <w:spacing w:val="-1"/>
                <w:sz w:val="21"/>
              </w:rPr>
              <w:t>中国,郑州</w:t>
            </w:r>
            <w:r>
              <w:rPr>
                <w:sz w:val="21"/>
              </w:rPr>
              <w:t> </w:t>
            </w:r>
          </w:p>
        </w:tc>
        <w:tc>
          <w:tcPr>
            <w:tcW w:w="1164" w:type="dxa"/>
          </w:tcPr>
          <w:p>
            <w:pPr>
              <w:pStyle w:val="TableParagraph"/>
              <w:spacing w:before="1"/>
              <w:ind w:left="106" w:right="-15"/>
              <w:rPr>
                <w:sz w:val="21"/>
              </w:rPr>
            </w:pPr>
            <w:r>
              <w:rPr>
                <w:spacing w:val="-1"/>
                <w:sz w:val="21"/>
              </w:rPr>
              <w:t>中国,郑州</w:t>
            </w:r>
            <w:r>
              <w:rPr>
                <w:sz w:val="21"/>
              </w:rPr>
              <w:t> </w:t>
            </w:r>
          </w:p>
        </w:tc>
        <w:tc>
          <w:tcPr>
            <w:tcW w:w="1193" w:type="dxa"/>
          </w:tcPr>
          <w:p>
            <w:pPr>
              <w:pStyle w:val="TableParagraph"/>
              <w:spacing w:line="242" w:lineRule="auto" w:before="1"/>
              <w:ind w:left="108" w:right="230"/>
              <w:rPr>
                <w:sz w:val="21"/>
              </w:rPr>
            </w:pPr>
            <w:r>
              <w:rPr>
                <w:sz w:val="21"/>
              </w:rPr>
              <w:t>软件开</w:t>
            </w:r>
            <w:r>
              <w:rPr>
                <w:spacing w:val="1"/>
                <w:sz w:val="21"/>
              </w:rPr>
              <w:t> </w:t>
            </w:r>
            <w:r>
              <w:rPr>
                <w:spacing w:val="-1"/>
                <w:sz w:val="21"/>
              </w:rPr>
              <w:t>发、互联网信息服</w:t>
            </w:r>
          </w:p>
          <w:p>
            <w:pPr>
              <w:pStyle w:val="TableParagraph"/>
              <w:spacing w:line="250" w:lineRule="exact" w:before="3"/>
              <w:ind w:left="108"/>
              <w:rPr>
                <w:sz w:val="21"/>
              </w:rPr>
            </w:pPr>
            <w:r>
              <w:rPr>
                <w:sz w:val="21"/>
              </w:rPr>
              <w:t>务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06"/>
              <w:rPr>
                <w:sz w:val="21"/>
              </w:rPr>
            </w:pPr>
            <w:r>
              <w:rPr>
                <w:sz w:val="21"/>
              </w:rPr>
              <w:t>子公司新设 </w:t>
            </w:r>
          </w:p>
        </w:tc>
      </w:tr>
      <w:tr>
        <w:trPr>
          <w:trHeight w:val="544" w:hRule="atLeast"/>
        </w:trPr>
        <w:tc>
          <w:tcPr>
            <w:tcW w:w="1622" w:type="dxa"/>
          </w:tcPr>
          <w:p>
            <w:pPr>
              <w:pStyle w:val="TableParagraph"/>
              <w:spacing w:before="1"/>
              <w:ind w:left="107"/>
              <w:rPr>
                <w:sz w:val="21"/>
              </w:rPr>
            </w:pPr>
            <w:r>
              <w:rPr>
                <w:spacing w:val="-1"/>
                <w:sz w:val="21"/>
              </w:rPr>
              <w:t>富联科技(兰</w:t>
            </w:r>
          </w:p>
          <w:p>
            <w:pPr>
              <w:pStyle w:val="TableParagraph"/>
              <w:spacing w:line="250" w:lineRule="exact" w:before="4"/>
              <w:ind w:left="107"/>
              <w:rPr>
                <w:sz w:val="21"/>
              </w:rPr>
            </w:pPr>
            <w:r>
              <w:rPr>
                <w:spacing w:val="-1"/>
                <w:sz w:val="21"/>
              </w:rPr>
              <w:t>考)有限公司</w:t>
            </w:r>
            <w:r>
              <w:rPr>
                <w:sz w:val="21"/>
              </w:rPr>
              <w:t> </w:t>
            </w:r>
          </w:p>
        </w:tc>
        <w:tc>
          <w:tcPr>
            <w:tcW w:w="1181" w:type="dxa"/>
          </w:tcPr>
          <w:p>
            <w:pPr>
              <w:pStyle w:val="TableParagraph"/>
              <w:spacing w:before="1"/>
              <w:ind w:left="105"/>
              <w:rPr>
                <w:sz w:val="21"/>
              </w:rPr>
            </w:pPr>
            <w:r>
              <w:rPr>
                <w:spacing w:val="-1"/>
                <w:sz w:val="21"/>
              </w:rPr>
              <w:t>中国,兰考</w:t>
            </w:r>
            <w:r>
              <w:rPr>
                <w:sz w:val="21"/>
              </w:rPr>
              <w:t> </w:t>
            </w:r>
          </w:p>
        </w:tc>
        <w:tc>
          <w:tcPr>
            <w:tcW w:w="1164" w:type="dxa"/>
          </w:tcPr>
          <w:p>
            <w:pPr>
              <w:pStyle w:val="TableParagraph"/>
              <w:spacing w:before="1"/>
              <w:ind w:left="106" w:right="-15"/>
              <w:rPr>
                <w:sz w:val="21"/>
              </w:rPr>
            </w:pPr>
            <w:r>
              <w:rPr>
                <w:spacing w:val="-1"/>
                <w:sz w:val="21"/>
              </w:rPr>
              <w:t>中国,兰考</w:t>
            </w:r>
            <w:r>
              <w:rPr>
                <w:sz w:val="21"/>
              </w:rPr>
              <w:t> </w:t>
            </w:r>
          </w:p>
        </w:tc>
        <w:tc>
          <w:tcPr>
            <w:tcW w:w="1193" w:type="dxa"/>
          </w:tcPr>
          <w:p>
            <w:pPr>
              <w:pStyle w:val="TableParagraph"/>
              <w:spacing w:before="1"/>
              <w:ind w:left="108"/>
              <w:rPr>
                <w:sz w:val="21"/>
              </w:rPr>
            </w:pPr>
            <w:r>
              <w:rPr>
                <w:spacing w:val="-1"/>
                <w:sz w:val="21"/>
              </w:rPr>
              <w:t>网络设备</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06"/>
              <w:rPr>
                <w:sz w:val="21"/>
              </w:rPr>
            </w:pPr>
            <w:r>
              <w:rPr>
                <w:sz w:val="21"/>
              </w:rPr>
              <w:t>子公司新设 </w:t>
            </w:r>
          </w:p>
        </w:tc>
      </w:tr>
      <w:tr>
        <w:trPr>
          <w:trHeight w:val="818" w:hRule="atLeast"/>
        </w:trPr>
        <w:tc>
          <w:tcPr>
            <w:tcW w:w="1622" w:type="dxa"/>
          </w:tcPr>
          <w:p>
            <w:pPr>
              <w:pStyle w:val="TableParagraph"/>
              <w:spacing w:before="1"/>
              <w:ind w:left="107"/>
              <w:rPr>
                <w:sz w:val="21"/>
              </w:rPr>
            </w:pPr>
            <w:r>
              <w:rPr>
                <w:sz w:val="21"/>
              </w:rPr>
              <w:t>FII</w:t>
            </w:r>
            <w:r>
              <w:rPr>
                <w:spacing w:val="-1"/>
                <w:sz w:val="21"/>
              </w:rPr>
              <w:t> </w:t>
            </w:r>
            <w:r>
              <w:rPr>
                <w:sz w:val="21"/>
              </w:rPr>
              <w:t>USA</w:t>
            </w:r>
            <w:r>
              <w:rPr>
                <w:spacing w:val="-1"/>
                <w:sz w:val="21"/>
              </w:rPr>
              <w:t> </w:t>
            </w:r>
            <w:r>
              <w:rPr>
                <w:sz w:val="21"/>
              </w:rPr>
              <w:t>Inc. </w:t>
            </w:r>
          </w:p>
        </w:tc>
        <w:tc>
          <w:tcPr>
            <w:tcW w:w="1181" w:type="dxa"/>
          </w:tcPr>
          <w:p>
            <w:pPr>
              <w:pStyle w:val="TableParagraph"/>
              <w:spacing w:before="1"/>
              <w:ind w:left="105"/>
              <w:rPr>
                <w:sz w:val="21"/>
              </w:rPr>
            </w:pPr>
            <w:r>
              <w:rPr>
                <w:sz w:val="21"/>
              </w:rPr>
              <w:t>美国 </w:t>
            </w:r>
          </w:p>
        </w:tc>
        <w:tc>
          <w:tcPr>
            <w:tcW w:w="1164" w:type="dxa"/>
          </w:tcPr>
          <w:p>
            <w:pPr>
              <w:pStyle w:val="TableParagraph"/>
              <w:spacing w:before="1"/>
              <w:ind w:left="106"/>
              <w:rPr>
                <w:sz w:val="21"/>
              </w:rPr>
            </w:pPr>
            <w:r>
              <w:rPr>
                <w:sz w:val="21"/>
              </w:rPr>
              <w:t>美国 </w:t>
            </w:r>
          </w:p>
        </w:tc>
        <w:tc>
          <w:tcPr>
            <w:tcW w:w="1193" w:type="dxa"/>
          </w:tcPr>
          <w:p>
            <w:pPr>
              <w:pStyle w:val="TableParagraph"/>
              <w:spacing w:before="1"/>
              <w:ind w:left="108"/>
              <w:rPr>
                <w:sz w:val="21"/>
              </w:rPr>
            </w:pPr>
            <w:r>
              <w:rPr>
                <w:sz w:val="21"/>
              </w:rPr>
              <w:t>软件开</w:t>
            </w:r>
          </w:p>
          <w:p>
            <w:pPr>
              <w:pStyle w:val="TableParagraph"/>
              <w:spacing w:line="270" w:lineRule="atLeast"/>
              <w:ind w:left="108" w:right="230"/>
              <w:rPr>
                <w:sz w:val="21"/>
              </w:rPr>
            </w:pPr>
            <w:r>
              <w:rPr>
                <w:spacing w:val="-1"/>
                <w:sz w:val="21"/>
              </w:rPr>
              <w:t>发、云计</w:t>
            </w:r>
            <w:r>
              <w:rPr>
                <w:sz w:val="21"/>
              </w:rPr>
              <w:t>算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06"/>
              <w:rPr>
                <w:sz w:val="21"/>
              </w:rPr>
            </w:pPr>
            <w:r>
              <w:rPr>
                <w:sz w:val="21"/>
              </w:rPr>
              <w:t>子公司新设 </w:t>
            </w:r>
          </w:p>
        </w:tc>
      </w:tr>
      <w:tr>
        <w:trPr>
          <w:trHeight w:val="816" w:hRule="atLeast"/>
        </w:trPr>
        <w:tc>
          <w:tcPr>
            <w:tcW w:w="1622" w:type="dxa"/>
          </w:tcPr>
          <w:p>
            <w:pPr>
              <w:pStyle w:val="TableParagraph"/>
              <w:spacing w:before="1"/>
              <w:ind w:left="107"/>
              <w:rPr>
                <w:sz w:val="21"/>
              </w:rPr>
            </w:pPr>
            <w:r>
              <w:rPr>
                <w:sz w:val="21"/>
              </w:rPr>
              <w:t>ICSA,</w:t>
            </w:r>
            <w:r>
              <w:rPr>
                <w:spacing w:val="-1"/>
                <w:sz w:val="21"/>
              </w:rPr>
              <w:t> </w:t>
            </w:r>
            <w:r>
              <w:rPr>
                <w:sz w:val="21"/>
              </w:rPr>
              <w:t>Inc. </w:t>
            </w:r>
          </w:p>
        </w:tc>
        <w:tc>
          <w:tcPr>
            <w:tcW w:w="1181" w:type="dxa"/>
          </w:tcPr>
          <w:p>
            <w:pPr>
              <w:pStyle w:val="TableParagraph"/>
              <w:spacing w:before="1"/>
              <w:ind w:left="105"/>
              <w:rPr>
                <w:sz w:val="21"/>
              </w:rPr>
            </w:pPr>
            <w:r>
              <w:rPr>
                <w:sz w:val="21"/>
              </w:rPr>
              <w:t>美国 </w:t>
            </w:r>
          </w:p>
        </w:tc>
        <w:tc>
          <w:tcPr>
            <w:tcW w:w="1164" w:type="dxa"/>
          </w:tcPr>
          <w:p>
            <w:pPr>
              <w:pStyle w:val="TableParagraph"/>
              <w:spacing w:before="1"/>
              <w:ind w:left="106"/>
              <w:rPr>
                <w:sz w:val="21"/>
              </w:rPr>
            </w:pPr>
            <w:r>
              <w:rPr>
                <w:sz w:val="21"/>
              </w:rPr>
              <w:t>美国 </w:t>
            </w:r>
          </w:p>
        </w:tc>
        <w:tc>
          <w:tcPr>
            <w:tcW w:w="1193" w:type="dxa"/>
          </w:tcPr>
          <w:p>
            <w:pPr>
              <w:pStyle w:val="TableParagraph"/>
              <w:spacing w:line="242" w:lineRule="auto" w:before="1"/>
              <w:ind w:left="108" w:right="230"/>
              <w:rPr>
                <w:sz w:val="21"/>
              </w:rPr>
            </w:pPr>
            <w:r>
              <w:rPr>
                <w:sz w:val="21"/>
              </w:rPr>
              <w:t>软件开</w:t>
            </w:r>
            <w:r>
              <w:rPr>
                <w:spacing w:val="1"/>
                <w:sz w:val="21"/>
              </w:rPr>
              <w:t> </w:t>
            </w:r>
            <w:r>
              <w:rPr>
                <w:spacing w:val="-1"/>
                <w:sz w:val="21"/>
              </w:rPr>
              <w:t>发、云计</w:t>
            </w:r>
          </w:p>
          <w:p>
            <w:pPr>
              <w:pStyle w:val="TableParagraph"/>
              <w:spacing w:line="250" w:lineRule="exact" w:before="2"/>
              <w:ind w:left="108"/>
              <w:rPr>
                <w:sz w:val="21"/>
              </w:rPr>
            </w:pPr>
            <w:r>
              <w:rPr>
                <w:sz w:val="21"/>
              </w:rPr>
              <w:t>算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06"/>
              <w:rPr>
                <w:sz w:val="21"/>
              </w:rPr>
            </w:pPr>
            <w:r>
              <w:rPr>
                <w:sz w:val="21"/>
              </w:rPr>
              <w:t>子公司新设 </w:t>
            </w:r>
          </w:p>
        </w:tc>
      </w:tr>
      <w:tr>
        <w:trPr>
          <w:trHeight w:val="817" w:hRule="atLeast"/>
        </w:trPr>
        <w:tc>
          <w:tcPr>
            <w:tcW w:w="1622" w:type="dxa"/>
          </w:tcPr>
          <w:p>
            <w:pPr>
              <w:pStyle w:val="TableParagraph"/>
              <w:spacing w:before="1"/>
              <w:ind w:left="107"/>
              <w:rPr>
                <w:sz w:val="21"/>
              </w:rPr>
            </w:pPr>
            <w:r>
              <w:rPr>
                <w:sz w:val="21"/>
              </w:rPr>
              <w:t>富联智能工坊</w:t>
            </w:r>
          </w:p>
          <w:p>
            <w:pPr>
              <w:pStyle w:val="TableParagraph"/>
              <w:spacing w:line="270" w:lineRule="atLeast"/>
              <w:ind w:left="107" w:right="239"/>
              <w:rPr>
                <w:sz w:val="21"/>
              </w:rPr>
            </w:pPr>
            <w:r>
              <w:rPr>
                <w:spacing w:val="-1"/>
                <w:sz w:val="21"/>
              </w:rPr>
              <w:t>(太原)有限公</w:t>
            </w:r>
            <w:r>
              <w:rPr>
                <w:sz w:val="21"/>
              </w:rPr>
              <w:t>司 </w:t>
            </w:r>
          </w:p>
        </w:tc>
        <w:tc>
          <w:tcPr>
            <w:tcW w:w="1181" w:type="dxa"/>
          </w:tcPr>
          <w:p>
            <w:pPr>
              <w:pStyle w:val="TableParagraph"/>
              <w:spacing w:before="1"/>
              <w:ind w:left="105"/>
              <w:rPr>
                <w:sz w:val="21"/>
              </w:rPr>
            </w:pPr>
            <w:r>
              <w:rPr>
                <w:spacing w:val="-1"/>
                <w:sz w:val="21"/>
              </w:rPr>
              <w:t>中国,太原</w:t>
            </w:r>
            <w:r>
              <w:rPr>
                <w:sz w:val="21"/>
              </w:rPr>
              <w:t> </w:t>
            </w:r>
          </w:p>
        </w:tc>
        <w:tc>
          <w:tcPr>
            <w:tcW w:w="1164" w:type="dxa"/>
          </w:tcPr>
          <w:p>
            <w:pPr>
              <w:pStyle w:val="TableParagraph"/>
              <w:spacing w:before="1"/>
              <w:ind w:left="106" w:right="-15"/>
              <w:rPr>
                <w:sz w:val="21"/>
              </w:rPr>
            </w:pPr>
            <w:r>
              <w:rPr>
                <w:spacing w:val="-1"/>
                <w:sz w:val="21"/>
              </w:rPr>
              <w:t>中国,太原</w:t>
            </w:r>
            <w:r>
              <w:rPr>
                <w:sz w:val="21"/>
              </w:rPr>
              <w:t> </w:t>
            </w:r>
          </w:p>
        </w:tc>
        <w:tc>
          <w:tcPr>
            <w:tcW w:w="1193" w:type="dxa"/>
          </w:tcPr>
          <w:p>
            <w:pPr>
              <w:pStyle w:val="TableParagraph"/>
              <w:spacing w:before="1"/>
              <w:ind w:left="108"/>
              <w:rPr>
                <w:sz w:val="21"/>
              </w:rPr>
            </w:pPr>
            <w:r>
              <w:rPr>
                <w:sz w:val="21"/>
              </w:rPr>
              <w:t>软件开</w:t>
            </w:r>
          </w:p>
          <w:p>
            <w:pPr>
              <w:pStyle w:val="TableParagraph"/>
              <w:spacing w:line="270" w:lineRule="atLeast"/>
              <w:ind w:left="108" w:right="230"/>
              <w:rPr>
                <w:sz w:val="21"/>
              </w:rPr>
            </w:pPr>
            <w:r>
              <w:rPr>
                <w:spacing w:val="-1"/>
                <w:sz w:val="21"/>
              </w:rPr>
              <w:t>发、数据</w:t>
            </w:r>
            <w:r>
              <w:rPr>
                <w:sz w:val="21"/>
              </w:rPr>
              <w:t>服务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06"/>
              <w:rPr>
                <w:sz w:val="21"/>
              </w:rPr>
            </w:pPr>
            <w:r>
              <w:rPr>
                <w:sz w:val="21"/>
              </w:rPr>
              <w:t>子公司新设 </w:t>
            </w:r>
          </w:p>
        </w:tc>
      </w:tr>
      <w:tr>
        <w:trPr>
          <w:trHeight w:val="815" w:hRule="atLeast"/>
        </w:trPr>
        <w:tc>
          <w:tcPr>
            <w:tcW w:w="1622" w:type="dxa"/>
          </w:tcPr>
          <w:p>
            <w:pPr>
              <w:pStyle w:val="TableParagraph"/>
              <w:spacing w:line="244" w:lineRule="auto" w:before="1"/>
              <w:ind w:left="107" w:right="136"/>
              <w:rPr>
                <w:sz w:val="21"/>
              </w:rPr>
            </w:pPr>
            <w:r>
              <w:rPr>
                <w:sz w:val="21"/>
              </w:rPr>
              <w:t>晋城鸿硕智能科技有限公司 </w:t>
            </w:r>
          </w:p>
        </w:tc>
        <w:tc>
          <w:tcPr>
            <w:tcW w:w="1181" w:type="dxa"/>
          </w:tcPr>
          <w:p>
            <w:pPr>
              <w:pStyle w:val="TableParagraph"/>
              <w:spacing w:before="1"/>
              <w:ind w:left="105"/>
              <w:rPr>
                <w:sz w:val="21"/>
              </w:rPr>
            </w:pPr>
            <w:r>
              <w:rPr>
                <w:spacing w:val="-1"/>
                <w:sz w:val="21"/>
              </w:rPr>
              <w:t>中国,晋城</w:t>
            </w:r>
            <w:r>
              <w:rPr>
                <w:sz w:val="21"/>
              </w:rPr>
              <w:t> </w:t>
            </w:r>
          </w:p>
        </w:tc>
        <w:tc>
          <w:tcPr>
            <w:tcW w:w="1164" w:type="dxa"/>
          </w:tcPr>
          <w:p>
            <w:pPr>
              <w:pStyle w:val="TableParagraph"/>
              <w:spacing w:before="1"/>
              <w:ind w:left="106" w:right="-15"/>
              <w:rPr>
                <w:sz w:val="21"/>
              </w:rPr>
            </w:pPr>
            <w:r>
              <w:rPr>
                <w:spacing w:val="-1"/>
                <w:sz w:val="21"/>
              </w:rPr>
              <w:t>中国,晋城</w:t>
            </w:r>
            <w:r>
              <w:rPr>
                <w:sz w:val="21"/>
              </w:rPr>
              <w:t> </w:t>
            </w:r>
          </w:p>
        </w:tc>
        <w:tc>
          <w:tcPr>
            <w:tcW w:w="1193" w:type="dxa"/>
          </w:tcPr>
          <w:p>
            <w:pPr>
              <w:pStyle w:val="TableParagraph"/>
              <w:spacing w:before="1"/>
              <w:ind w:left="108"/>
              <w:rPr>
                <w:sz w:val="21"/>
              </w:rPr>
            </w:pPr>
            <w:r>
              <w:rPr>
                <w:sz w:val="21"/>
              </w:rPr>
              <w:t>工程机械</w:t>
            </w:r>
          </w:p>
          <w:p>
            <w:pPr>
              <w:pStyle w:val="TableParagraph"/>
              <w:spacing w:line="270" w:lineRule="atLeast"/>
              <w:ind w:left="108" w:right="230"/>
              <w:rPr>
                <w:sz w:val="21"/>
              </w:rPr>
            </w:pPr>
            <w:r>
              <w:rPr>
                <w:spacing w:val="-1"/>
                <w:sz w:val="21"/>
              </w:rPr>
              <w:t>设备、矿</w:t>
            </w:r>
            <w:r>
              <w:rPr>
                <w:sz w:val="21"/>
              </w:rPr>
              <w:t>用设备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51% </w:t>
            </w:r>
          </w:p>
        </w:tc>
        <w:tc>
          <w:tcPr>
            <w:tcW w:w="1294" w:type="dxa"/>
          </w:tcPr>
          <w:p>
            <w:pPr>
              <w:pStyle w:val="TableParagraph"/>
              <w:spacing w:before="1"/>
              <w:ind w:left="106"/>
              <w:rPr>
                <w:sz w:val="21"/>
              </w:rPr>
            </w:pPr>
            <w:r>
              <w:rPr>
                <w:sz w:val="21"/>
              </w:rPr>
              <w:t>子公司新设 </w:t>
            </w:r>
          </w:p>
        </w:tc>
      </w:tr>
      <w:tr>
        <w:trPr>
          <w:trHeight w:val="817" w:hRule="atLeast"/>
        </w:trPr>
        <w:tc>
          <w:tcPr>
            <w:tcW w:w="1622" w:type="dxa"/>
          </w:tcPr>
          <w:p>
            <w:pPr>
              <w:pStyle w:val="TableParagraph"/>
              <w:spacing w:line="242" w:lineRule="auto" w:before="3"/>
              <w:ind w:left="107" w:right="239"/>
              <w:rPr>
                <w:sz w:val="21"/>
              </w:rPr>
            </w:pPr>
            <w:r>
              <w:rPr>
                <w:spacing w:val="-1"/>
                <w:sz w:val="21"/>
              </w:rPr>
              <w:t>深圳智造谷工</w:t>
            </w:r>
            <w:r>
              <w:rPr>
                <w:spacing w:val="-3"/>
                <w:sz w:val="21"/>
              </w:rPr>
              <w:t>业互联网创新</w:t>
            </w:r>
          </w:p>
          <w:p>
            <w:pPr>
              <w:pStyle w:val="TableParagraph"/>
              <w:spacing w:line="250" w:lineRule="exact" w:before="1"/>
              <w:ind w:left="107"/>
              <w:rPr>
                <w:sz w:val="21"/>
              </w:rPr>
            </w:pPr>
            <w:r>
              <w:rPr>
                <w:spacing w:val="-1"/>
                <w:sz w:val="21"/>
              </w:rPr>
              <w:t>中心有限公司</w:t>
            </w:r>
            <w:r>
              <w:rPr>
                <w:sz w:val="21"/>
              </w:rPr>
              <w:t> </w:t>
            </w:r>
          </w:p>
        </w:tc>
        <w:tc>
          <w:tcPr>
            <w:tcW w:w="1181" w:type="dxa"/>
          </w:tcPr>
          <w:p>
            <w:pPr>
              <w:pStyle w:val="TableParagraph"/>
              <w:spacing w:before="3"/>
              <w:ind w:left="105"/>
              <w:rPr>
                <w:sz w:val="21"/>
              </w:rPr>
            </w:pPr>
            <w:r>
              <w:rPr>
                <w:spacing w:val="-1"/>
                <w:sz w:val="21"/>
              </w:rPr>
              <w:t>中国,深圳</w:t>
            </w:r>
            <w:r>
              <w:rPr>
                <w:sz w:val="21"/>
              </w:rPr>
              <w:t> </w:t>
            </w:r>
          </w:p>
        </w:tc>
        <w:tc>
          <w:tcPr>
            <w:tcW w:w="1164" w:type="dxa"/>
          </w:tcPr>
          <w:p>
            <w:pPr>
              <w:pStyle w:val="TableParagraph"/>
              <w:spacing w:before="3"/>
              <w:ind w:left="106" w:right="-15"/>
              <w:rPr>
                <w:sz w:val="21"/>
              </w:rPr>
            </w:pPr>
            <w:r>
              <w:rPr>
                <w:spacing w:val="-1"/>
                <w:sz w:val="21"/>
              </w:rPr>
              <w:t>中国,深圳</w:t>
            </w:r>
            <w:r>
              <w:rPr>
                <w:sz w:val="21"/>
              </w:rPr>
              <w:t> </w:t>
            </w:r>
          </w:p>
        </w:tc>
        <w:tc>
          <w:tcPr>
            <w:tcW w:w="1193" w:type="dxa"/>
          </w:tcPr>
          <w:p>
            <w:pPr>
              <w:pStyle w:val="TableParagraph"/>
              <w:spacing w:line="242" w:lineRule="auto" w:before="3"/>
              <w:ind w:left="108" w:right="230"/>
              <w:rPr>
                <w:sz w:val="21"/>
              </w:rPr>
            </w:pPr>
            <w:r>
              <w:rPr>
                <w:sz w:val="21"/>
              </w:rPr>
              <w:t>管理咨</w:t>
            </w:r>
            <w:r>
              <w:rPr>
                <w:spacing w:val="1"/>
                <w:sz w:val="21"/>
              </w:rPr>
              <w:t> </w:t>
            </w:r>
            <w:r>
              <w:rPr>
                <w:spacing w:val="-1"/>
                <w:sz w:val="21"/>
              </w:rPr>
              <w:t>询、教学</w:t>
            </w:r>
          </w:p>
          <w:p>
            <w:pPr>
              <w:pStyle w:val="TableParagraph"/>
              <w:spacing w:line="250" w:lineRule="exact" w:before="1"/>
              <w:ind w:left="108"/>
              <w:rPr>
                <w:sz w:val="21"/>
              </w:rPr>
            </w:pPr>
            <w:r>
              <w:rPr>
                <w:sz w:val="21"/>
              </w:rPr>
              <w:t>设备 </w:t>
            </w:r>
          </w:p>
        </w:tc>
        <w:tc>
          <w:tcPr>
            <w:tcW w:w="1178" w:type="dxa"/>
          </w:tcPr>
          <w:p>
            <w:pPr>
              <w:pStyle w:val="TableParagraph"/>
              <w:spacing w:before="3"/>
              <w:ind w:right="-15"/>
              <w:jc w:val="right"/>
              <w:rPr>
                <w:sz w:val="21"/>
              </w:rPr>
            </w:pPr>
            <w:r>
              <w:rPr>
                <w:sz w:val="21"/>
              </w:rPr>
              <w:t>100% </w:t>
            </w:r>
          </w:p>
        </w:tc>
        <w:tc>
          <w:tcPr>
            <w:tcW w:w="1191" w:type="dxa"/>
          </w:tcPr>
          <w:p>
            <w:pPr>
              <w:pStyle w:val="TableParagraph"/>
              <w:spacing w:before="3"/>
              <w:ind w:right="-15"/>
              <w:jc w:val="right"/>
              <w:rPr>
                <w:sz w:val="21"/>
              </w:rPr>
            </w:pPr>
            <w:r>
              <w:rPr>
                <w:w w:val="100"/>
                <w:sz w:val="21"/>
              </w:rPr>
              <w:t> </w:t>
            </w:r>
          </w:p>
        </w:tc>
        <w:tc>
          <w:tcPr>
            <w:tcW w:w="1294" w:type="dxa"/>
          </w:tcPr>
          <w:p>
            <w:pPr>
              <w:pStyle w:val="TableParagraph"/>
              <w:spacing w:before="3"/>
              <w:ind w:left="106"/>
              <w:rPr>
                <w:sz w:val="21"/>
              </w:rPr>
            </w:pPr>
            <w:r>
              <w:rPr>
                <w:sz w:val="21"/>
              </w:rPr>
              <w:t>新设 </w:t>
            </w:r>
          </w:p>
        </w:tc>
      </w:tr>
    </w:tbl>
    <w:p>
      <w:pPr>
        <w:spacing w:after="0"/>
        <w:rPr>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2"/>
        <w:gridCol w:w="1181"/>
        <w:gridCol w:w="1164"/>
        <w:gridCol w:w="1193"/>
        <w:gridCol w:w="1178"/>
        <w:gridCol w:w="1191"/>
        <w:gridCol w:w="1294"/>
      </w:tblGrid>
      <w:tr>
        <w:trPr>
          <w:trHeight w:val="818" w:hRule="atLeast"/>
        </w:trPr>
        <w:tc>
          <w:tcPr>
            <w:tcW w:w="1622" w:type="dxa"/>
          </w:tcPr>
          <w:p>
            <w:pPr>
              <w:pStyle w:val="TableParagraph"/>
              <w:spacing w:line="242" w:lineRule="auto" w:before="3"/>
              <w:ind w:left="107" w:right="239"/>
              <w:rPr>
                <w:sz w:val="21"/>
              </w:rPr>
            </w:pPr>
            <w:r>
              <w:rPr>
                <w:spacing w:val="-1"/>
                <w:sz w:val="21"/>
              </w:rPr>
              <w:t>晋城鸿智纳米光机电研究院</w:t>
            </w:r>
          </w:p>
          <w:p>
            <w:pPr>
              <w:pStyle w:val="TableParagraph"/>
              <w:spacing w:line="250" w:lineRule="exact" w:before="2"/>
              <w:ind w:left="107"/>
              <w:rPr>
                <w:sz w:val="21"/>
              </w:rPr>
            </w:pPr>
            <w:r>
              <w:rPr>
                <w:spacing w:val="-1"/>
                <w:sz w:val="21"/>
              </w:rPr>
              <w:t>有限公司</w:t>
            </w:r>
            <w:r>
              <w:rPr>
                <w:sz w:val="21"/>
              </w:rPr>
              <w:t> </w:t>
            </w:r>
          </w:p>
        </w:tc>
        <w:tc>
          <w:tcPr>
            <w:tcW w:w="1181" w:type="dxa"/>
          </w:tcPr>
          <w:p>
            <w:pPr>
              <w:pStyle w:val="TableParagraph"/>
              <w:spacing w:before="3"/>
              <w:ind w:left="105"/>
              <w:rPr>
                <w:sz w:val="21"/>
              </w:rPr>
            </w:pPr>
            <w:r>
              <w:rPr>
                <w:spacing w:val="-1"/>
                <w:sz w:val="21"/>
              </w:rPr>
              <w:t>中国,晋城</w:t>
            </w:r>
            <w:r>
              <w:rPr>
                <w:sz w:val="21"/>
              </w:rPr>
              <w:t> </w:t>
            </w:r>
          </w:p>
        </w:tc>
        <w:tc>
          <w:tcPr>
            <w:tcW w:w="1164" w:type="dxa"/>
          </w:tcPr>
          <w:p>
            <w:pPr>
              <w:pStyle w:val="TableParagraph"/>
              <w:spacing w:before="3"/>
              <w:ind w:left="106" w:right="-15"/>
              <w:rPr>
                <w:sz w:val="21"/>
              </w:rPr>
            </w:pPr>
            <w:r>
              <w:rPr>
                <w:spacing w:val="-1"/>
                <w:sz w:val="21"/>
              </w:rPr>
              <w:t>中国,晋城</w:t>
            </w:r>
            <w:r>
              <w:rPr>
                <w:sz w:val="21"/>
              </w:rPr>
              <w:t> </w:t>
            </w:r>
          </w:p>
        </w:tc>
        <w:tc>
          <w:tcPr>
            <w:tcW w:w="1193" w:type="dxa"/>
          </w:tcPr>
          <w:p>
            <w:pPr>
              <w:pStyle w:val="TableParagraph"/>
              <w:spacing w:line="242" w:lineRule="auto" w:before="3"/>
              <w:ind w:left="108" w:right="230"/>
              <w:rPr>
                <w:sz w:val="21"/>
              </w:rPr>
            </w:pPr>
            <w:r>
              <w:rPr>
                <w:sz w:val="21"/>
              </w:rPr>
              <w:t>技术研</w:t>
            </w:r>
            <w:r>
              <w:rPr>
                <w:spacing w:val="1"/>
                <w:sz w:val="21"/>
              </w:rPr>
              <w:t> </w:t>
            </w:r>
            <w:r>
              <w:rPr>
                <w:spacing w:val="-1"/>
                <w:sz w:val="21"/>
              </w:rPr>
              <w:t>发、技术</w:t>
            </w:r>
          </w:p>
          <w:p>
            <w:pPr>
              <w:pStyle w:val="TableParagraph"/>
              <w:spacing w:line="250" w:lineRule="exact" w:before="2"/>
              <w:ind w:left="108"/>
              <w:rPr>
                <w:sz w:val="21"/>
              </w:rPr>
            </w:pPr>
            <w:r>
              <w:rPr>
                <w:sz w:val="21"/>
              </w:rPr>
              <w:t>咨询 </w:t>
            </w:r>
          </w:p>
        </w:tc>
        <w:tc>
          <w:tcPr>
            <w:tcW w:w="1178"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sz w:val="21"/>
              </w:rPr>
              <w:t>80% </w:t>
            </w:r>
          </w:p>
        </w:tc>
        <w:tc>
          <w:tcPr>
            <w:tcW w:w="1294" w:type="dxa"/>
          </w:tcPr>
          <w:p>
            <w:pPr>
              <w:pStyle w:val="TableParagraph"/>
              <w:spacing w:before="3"/>
              <w:ind w:left="106"/>
              <w:rPr>
                <w:sz w:val="21"/>
              </w:rPr>
            </w:pPr>
            <w:r>
              <w:rPr>
                <w:sz w:val="21"/>
              </w:rPr>
              <w:t>子公司新设 </w:t>
            </w:r>
          </w:p>
        </w:tc>
      </w:tr>
      <w:tr>
        <w:trPr>
          <w:trHeight w:val="1089" w:hRule="atLeast"/>
        </w:trPr>
        <w:tc>
          <w:tcPr>
            <w:tcW w:w="1622" w:type="dxa"/>
          </w:tcPr>
          <w:p>
            <w:pPr>
              <w:pStyle w:val="TableParagraph"/>
              <w:spacing w:line="242" w:lineRule="auto" w:before="1"/>
              <w:ind w:left="107" w:right="239"/>
              <w:jc w:val="both"/>
              <w:rPr>
                <w:sz w:val="21"/>
              </w:rPr>
            </w:pPr>
            <w:r>
              <w:rPr>
                <w:spacing w:val="-1"/>
                <w:sz w:val="21"/>
              </w:rPr>
              <w:t>晋城富士康智能制造职业培训学校有限公</w:t>
            </w:r>
          </w:p>
          <w:p>
            <w:pPr>
              <w:pStyle w:val="TableParagraph"/>
              <w:spacing w:line="250" w:lineRule="exact" w:before="3"/>
              <w:ind w:left="107"/>
              <w:rPr>
                <w:sz w:val="21"/>
              </w:rPr>
            </w:pPr>
            <w:r>
              <w:rPr>
                <w:sz w:val="21"/>
              </w:rPr>
              <w:t>司 </w:t>
            </w:r>
          </w:p>
        </w:tc>
        <w:tc>
          <w:tcPr>
            <w:tcW w:w="1181" w:type="dxa"/>
          </w:tcPr>
          <w:p>
            <w:pPr>
              <w:pStyle w:val="TableParagraph"/>
              <w:spacing w:before="1"/>
              <w:ind w:left="105"/>
              <w:rPr>
                <w:sz w:val="21"/>
              </w:rPr>
            </w:pPr>
            <w:r>
              <w:rPr>
                <w:spacing w:val="-1"/>
                <w:sz w:val="21"/>
              </w:rPr>
              <w:t>中国,晋城</w:t>
            </w:r>
            <w:r>
              <w:rPr>
                <w:sz w:val="21"/>
              </w:rPr>
              <w:t> </w:t>
            </w:r>
          </w:p>
        </w:tc>
        <w:tc>
          <w:tcPr>
            <w:tcW w:w="1164" w:type="dxa"/>
          </w:tcPr>
          <w:p>
            <w:pPr>
              <w:pStyle w:val="TableParagraph"/>
              <w:spacing w:before="1"/>
              <w:ind w:left="106" w:right="-15"/>
              <w:rPr>
                <w:sz w:val="21"/>
              </w:rPr>
            </w:pPr>
            <w:r>
              <w:rPr>
                <w:spacing w:val="-1"/>
                <w:sz w:val="21"/>
              </w:rPr>
              <w:t>中国,晋城</w:t>
            </w:r>
            <w:r>
              <w:rPr>
                <w:sz w:val="21"/>
              </w:rPr>
              <w:t> </w:t>
            </w:r>
          </w:p>
        </w:tc>
        <w:tc>
          <w:tcPr>
            <w:tcW w:w="1193" w:type="dxa"/>
          </w:tcPr>
          <w:p>
            <w:pPr>
              <w:pStyle w:val="TableParagraph"/>
              <w:spacing w:before="1"/>
              <w:ind w:left="108"/>
              <w:rPr>
                <w:sz w:val="21"/>
              </w:rPr>
            </w:pPr>
            <w:r>
              <w:rPr>
                <w:spacing w:val="-1"/>
                <w:sz w:val="21"/>
              </w:rPr>
              <w:t>技术咨询</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51% </w:t>
            </w:r>
          </w:p>
        </w:tc>
        <w:tc>
          <w:tcPr>
            <w:tcW w:w="1294" w:type="dxa"/>
          </w:tcPr>
          <w:p>
            <w:pPr>
              <w:pStyle w:val="TableParagraph"/>
              <w:spacing w:before="1"/>
              <w:ind w:left="106"/>
              <w:rPr>
                <w:sz w:val="21"/>
              </w:rPr>
            </w:pPr>
            <w:r>
              <w:rPr>
                <w:sz w:val="21"/>
              </w:rPr>
              <w:t>子公司新设 </w:t>
            </w:r>
          </w:p>
        </w:tc>
      </w:tr>
      <w:tr>
        <w:trPr>
          <w:trHeight w:val="1633" w:hRule="atLeast"/>
        </w:trPr>
        <w:tc>
          <w:tcPr>
            <w:tcW w:w="1622" w:type="dxa"/>
          </w:tcPr>
          <w:p>
            <w:pPr>
              <w:pStyle w:val="TableParagraph"/>
              <w:spacing w:line="242" w:lineRule="auto" w:before="1"/>
              <w:ind w:left="107" w:right="134"/>
              <w:rPr>
                <w:sz w:val="21"/>
              </w:rPr>
            </w:pPr>
            <w:r>
              <w:rPr>
                <w:sz w:val="21"/>
              </w:rPr>
              <w:t>工业富联(福</w:t>
            </w:r>
            <w:r>
              <w:rPr>
                <w:spacing w:val="1"/>
                <w:sz w:val="21"/>
              </w:rPr>
              <w:t> </w:t>
            </w:r>
            <w:r>
              <w:rPr>
                <w:spacing w:val="-1"/>
                <w:sz w:val="21"/>
              </w:rPr>
              <w:t>建)数字科技有限公司(原名：</w:t>
            </w:r>
            <w:r>
              <w:rPr>
                <w:spacing w:val="-102"/>
                <w:sz w:val="21"/>
              </w:rPr>
              <w:t> </w:t>
            </w:r>
            <w:r>
              <w:rPr>
                <w:sz w:val="21"/>
              </w:rPr>
              <w:t>富智造(福建)</w:t>
            </w:r>
            <w:r>
              <w:rPr>
                <w:spacing w:val="1"/>
                <w:sz w:val="21"/>
              </w:rPr>
              <w:t> </w:t>
            </w:r>
            <w:r>
              <w:rPr>
                <w:sz w:val="21"/>
              </w:rPr>
              <w:t>数字科技有限</w:t>
            </w:r>
          </w:p>
          <w:p>
            <w:pPr>
              <w:pStyle w:val="TableParagraph"/>
              <w:spacing w:line="250" w:lineRule="exact" w:before="4"/>
              <w:ind w:left="107"/>
              <w:rPr>
                <w:sz w:val="21"/>
              </w:rPr>
            </w:pPr>
            <w:r>
              <w:rPr>
                <w:sz w:val="21"/>
              </w:rPr>
              <w:t>公司) </w:t>
            </w:r>
          </w:p>
        </w:tc>
        <w:tc>
          <w:tcPr>
            <w:tcW w:w="1181" w:type="dxa"/>
          </w:tcPr>
          <w:p>
            <w:pPr>
              <w:pStyle w:val="TableParagraph"/>
              <w:spacing w:before="1"/>
              <w:ind w:left="105"/>
              <w:rPr>
                <w:sz w:val="21"/>
              </w:rPr>
            </w:pPr>
            <w:r>
              <w:rPr>
                <w:spacing w:val="-1"/>
                <w:sz w:val="21"/>
              </w:rPr>
              <w:t>中国,福州</w:t>
            </w:r>
            <w:r>
              <w:rPr>
                <w:sz w:val="21"/>
              </w:rPr>
              <w:t> </w:t>
            </w:r>
          </w:p>
        </w:tc>
        <w:tc>
          <w:tcPr>
            <w:tcW w:w="1164" w:type="dxa"/>
          </w:tcPr>
          <w:p>
            <w:pPr>
              <w:pStyle w:val="TableParagraph"/>
              <w:spacing w:before="1"/>
              <w:ind w:left="106" w:right="-15"/>
              <w:rPr>
                <w:sz w:val="21"/>
              </w:rPr>
            </w:pPr>
            <w:r>
              <w:rPr>
                <w:spacing w:val="-1"/>
                <w:sz w:val="21"/>
              </w:rPr>
              <w:t>中国,福州</w:t>
            </w:r>
            <w:r>
              <w:rPr>
                <w:sz w:val="21"/>
              </w:rPr>
              <w:t> </w:t>
            </w:r>
          </w:p>
        </w:tc>
        <w:tc>
          <w:tcPr>
            <w:tcW w:w="1193" w:type="dxa"/>
          </w:tcPr>
          <w:p>
            <w:pPr>
              <w:pStyle w:val="TableParagraph"/>
              <w:spacing w:line="242" w:lineRule="auto" w:before="1"/>
              <w:ind w:left="108" w:right="230"/>
              <w:rPr>
                <w:sz w:val="21"/>
              </w:rPr>
            </w:pPr>
            <w:r>
              <w:rPr>
                <w:sz w:val="21"/>
              </w:rPr>
              <w:t>技术研</w:t>
            </w:r>
            <w:r>
              <w:rPr>
                <w:spacing w:val="1"/>
                <w:sz w:val="21"/>
              </w:rPr>
              <w:t> </w:t>
            </w:r>
            <w:r>
              <w:rPr>
                <w:spacing w:val="-1"/>
                <w:sz w:val="21"/>
              </w:rPr>
              <w:t>发、技术</w:t>
            </w:r>
            <w:r>
              <w:rPr>
                <w:sz w:val="21"/>
              </w:rPr>
              <w:t>咨询 </w:t>
            </w:r>
          </w:p>
        </w:tc>
        <w:tc>
          <w:tcPr>
            <w:tcW w:w="1178" w:type="dxa"/>
          </w:tcPr>
          <w:p>
            <w:pPr>
              <w:pStyle w:val="TableParagraph"/>
              <w:spacing w:before="1"/>
              <w:ind w:right="-15"/>
              <w:jc w:val="right"/>
              <w:rPr>
                <w:sz w:val="21"/>
              </w:rPr>
            </w:pPr>
            <w:r>
              <w:rPr>
                <w:sz w:val="21"/>
              </w:rPr>
              <w:t>100% </w:t>
            </w:r>
          </w:p>
        </w:tc>
        <w:tc>
          <w:tcPr>
            <w:tcW w:w="1191" w:type="dxa"/>
          </w:tcPr>
          <w:p>
            <w:pPr>
              <w:pStyle w:val="TableParagraph"/>
              <w:spacing w:before="1"/>
              <w:ind w:right="-15"/>
              <w:jc w:val="right"/>
              <w:rPr>
                <w:sz w:val="21"/>
              </w:rPr>
            </w:pPr>
            <w:r>
              <w:rPr>
                <w:w w:val="100"/>
                <w:sz w:val="21"/>
              </w:rPr>
              <w:t> </w:t>
            </w:r>
          </w:p>
        </w:tc>
        <w:tc>
          <w:tcPr>
            <w:tcW w:w="1294" w:type="dxa"/>
          </w:tcPr>
          <w:p>
            <w:pPr>
              <w:pStyle w:val="TableParagraph"/>
              <w:spacing w:before="1"/>
              <w:ind w:left="106"/>
              <w:rPr>
                <w:sz w:val="21"/>
              </w:rPr>
            </w:pPr>
            <w:r>
              <w:rPr>
                <w:sz w:val="21"/>
              </w:rPr>
              <w:t>新设 </w:t>
            </w:r>
          </w:p>
        </w:tc>
      </w:tr>
      <w:tr>
        <w:trPr>
          <w:trHeight w:val="818" w:hRule="atLeast"/>
        </w:trPr>
        <w:tc>
          <w:tcPr>
            <w:tcW w:w="1622" w:type="dxa"/>
          </w:tcPr>
          <w:p>
            <w:pPr>
              <w:pStyle w:val="TableParagraph"/>
              <w:spacing w:before="1"/>
              <w:ind w:left="107"/>
              <w:rPr>
                <w:sz w:val="21"/>
              </w:rPr>
            </w:pPr>
            <w:r>
              <w:rPr>
                <w:spacing w:val="-1"/>
                <w:sz w:val="21"/>
              </w:rPr>
              <w:t>工业富联(杭</w:t>
            </w:r>
          </w:p>
          <w:p>
            <w:pPr>
              <w:pStyle w:val="TableParagraph"/>
              <w:spacing w:line="270" w:lineRule="atLeast"/>
              <w:ind w:left="107" w:right="134"/>
              <w:rPr>
                <w:sz w:val="21"/>
              </w:rPr>
            </w:pPr>
            <w:r>
              <w:rPr>
                <w:spacing w:val="-1"/>
                <w:sz w:val="21"/>
              </w:rPr>
              <w:t>州)数据科技有</w:t>
            </w:r>
            <w:r>
              <w:rPr>
                <w:sz w:val="21"/>
              </w:rPr>
              <w:t>限公司 </w:t>
            </w:r>
          </w:p>
        </w:tc>
        <w:tc>
          <w:tcPr>
            <w:tcW w:w="1181" w:type="dxa"/>
          </w:tcPr>
          <w:p>
            <w:pPr>
              <w:pStyle w:val="TableParagraph"/>
              <w:spacing w:before="1"/>
              <w:ind w:left="105"/>
              <w:rPr>
                <w:sz w:val="21"/>
              </w:rPr>
            </w:pPr>
            <w:r>
              <w:rPr>
                <w:spacing w:val="-1"/>
                <w:sz w:val="21"/>
              </w:rPr>
              <w:t>中国,杭州</w:t>
            </w:r>
            <w:r>
              <w:rPr>
                <w:sz w:val="21"/>
              </w:rPr>
              <w:t> </w:t>
            </w:r>
          </w:p>
        </w:tc>
        <w:tc>
          <w:tcPr>
            <w:tcW w:w="1164" w:type="dxa"/>
          </w:tcPr>
          <w:p>
            <w:pPr>
              <w:pStyle w:val="TableParagraph"/>
              <w:spacing w:before="1"/>
              <w:ind w:left="106" w:right="-15"/>
              <w:rPr>
                <w:sz w:val="21"/>
              </w:rPr>
            </w:pPr>
            <w:r>
              <w:rPr>
                <w:spacing w:val="-1"/>
                <w:sz w:val="21"/>
              </w:rPr>
              <w:t>中国,杭州</w:t>
            </w:r>
            <w:r>
              <w:rPr>
                <w:sz w:val="21"/>
              </w:rPr>
              <w:t> </w:t>
            </w:r>
          </w:p>
        </w:tc>
        <w:tc>
          <w:tcPr>
            <w:tcW w:w="1193" w:type="dxa"/>
          </w:tcPr>
          <w:p>
            <w:pPr>
              <w:pStyle w:val="TableParagraph"/>
              <w:spacing w:before="1"/>
              <w:ind w:left="108"/>
              <w:rPr>
                <w:sz w:val="21"/>
              </w:rPr>
            </w:pPr>
            <w:r>
              <w:rPr>
                <w:sz w:val="21"/>
              </w:rPr>
              <w:t>技术研</w:t>
            </w:r>
          </w:p>
          <w:p>
            <w:pPr>
              <w:pStyle w:val="TableParagraph"/>
              <w:spacing w:line="270" w:lineRule="atLeast"/>
              <w:ind w:left="108" w:right="230"/>
              <w:rPr>
                <w:sz w:val="21"/>
              </w:rPr>
            </w:pPr>
            <w:r>
              <w:rPr>
                <w:spacing w:val="-1"/>
                <w:sz w:val="21"/>
              </w:rPr>
              <w:t>发、技术</w:t>
            </w:r>
            <w:r>
              <w:rPr>
                <w:sz w:val="21"/>
              </w:rPr>
              <w:t>咨询 </w:t>
            </w:r>
          </w:p>
        </w:tc>
        <w:tc>
          <w:tcPr>
            <w:tcW w:w="1178" w:type="dxa"/>
          </w:tcPr>
          <w:p>
            <w:pPr>
              <w:pStyle w:val="TableParagraph"/>
              <w:spacing w:before="1"/>
              <w:ind w:right="-15"/>
              <w:jc w:val="right"/>
              <w:rPr>
                <w:sz w:val="21"/>
              </w:rPr>
            </w:pPr>
            <w:r>
              <w:rPr>
                <w:sz w:val="21"/>
              </w:rPr>
              <w:t>100% </w:t>
            </w:r>
          </w:p>
        </w:tc>
        <w:tc>
          <w:tcPr>
            <w:tcW w:w="1191" w:type="dxa"/>
          </w:tcPr>
          <w:p>
            <w:pPr>
              <w:pStyle w:val="TableParagraph"/>
              <w:spacing w:before="1"/>
              <w:ind w:right="-15"/>
              <w:jc w:val="right"/>
              <w:rPr>
                <w:sz w:val="21"/>
              </w:rPr>
            </w:pPr>
            <w:r>
              <w:rPr>
                <w:w w:val="100"/>
                <w:sz w:val="21"/>
              </w:rPr>
              <w:t> </w:t>
            </w:r>
          </w:p>
        </w:tc>
        <w:tc>
          <w:tcPr>
            <w:tcW w:w="1294" w:type="dxa"/>
          </w:tcPr>
          <w:p>
            <w:pPr>
              <w:pStyle w:val="TableParagraph"/>
              <w:spacing w:before="1"/>
              <w:ind w:left="106"/>
              <w:rPr>
                <w:sz w:val="21"/>
              </w:rPr>
            </w:pPr>
            <w:r>
              <w:rPr>
                <w:sz w:val="21"/>
              </w:rPr>
              <w:t>新设 </w:t>
            </w:r>
          </w:p>
        </w:tc>
      </w:tr>
      <w:tr>
        <w:trPr>
          <w:trHeight w:val="1633" w:hRule="atLeast"/>
        </w:trPr>
        <w:tc>
          <w:tcPr>
            <w:tcW w:w="1622" w:type="dxa"/>
          </w:tcPr>
          <w:p>
            <w:pPr>
              <w:pStyle w:val="TableParagraph"/>
              <w:spacing w:line="242" w:lineRule="auto" w:before="1"/>
              <w:ind w:left="107" w:right="239"/>
              <w:rPr>
                <w:sz w:val="21"/>
              </w:rPr>
            </w:pPr>
            <w:r>
              <w:rPr>
                <w:spacing w:val="-1"/>
                <w:sz w:val="21"/>
              </w:rPr>
              <w:t>富裕精密组件</w:t>
            </w:r>
            <w:r>
              <w:rPr>
                <w:sz w:val="21"/>
              </w:rPr>
              <w:t>有限公司 </w:t>
            </w:r>
          </w:p>
        </w:tc>
        <w:tc>
          <w:tcPr>
            <w:tcW w:w="1181" w:type="dxa"/>
          </w:tcPr>
          <w:p>
            <w:pPr>
              <w:pStyle w:val="TableParagraph"/>
              <w:spacing w:before="1"/>
              <w:ind w:left="105"/>
              <w:rPr>
                <w:sz w:val="21"/>
              </w:rPr>
            </w:pPr>
            <w:r>
              <w:rPr>
                <w:sz w:val="21"/>
              </w:rPr>
              <w:t>越南 </w:t>
            </w:r>
          </w:p>
        </w:tc>
        <w:tc>
          <w:tcPr>
            <w:tcW w:w="1164" w:type="dxa"/>
          </w:tcPr>
          <w:p>
            <w:pPr>
              <w:pStyle w:val="TableParagraph"/>
              <w:spacing w:before="1"/>
              <w:ind w:left="106"/>
              <w:rPr>
                <w:sz w:val="21"/>
              </w:rPr>
            </w:pPr>
            <w:r>
              <w:rPr>
                <w:sz w:val="21"/>
              </w:rPr>
              <w:t>越南 </w:t>
            </w:r>
          </w:p>
        </w:tc>
        <w:tc>
          <w:tcPr>
            <w:tcW w:w="1193" w:type="dxa"/>
          </w:tcPr>
          <w:p>
            <w:pPr>
              <w:pStyle w:val="TableParagraph"/>
              <w:spacing w:line="242" w:lineRule="auto" w:before="1"/>
              <w:ind w:left="108" w:right="230"/>
              <w:rPr>
                <w:sz w:val="21"/>
              </w:rPr>
            </w:pPr>
            <w:r>
              <w:rPr>
                <w:sz w:val="21"/>
              </w:rPr>
              <w:t>网络设</w:t>
            </w:r>
            <w:r>
              <w:rPr>
                <w:spacing w:val="1"/>
                <w:sz w:val="21"/>
              </w:rPr>
              <w:t> </w:t>
            </w:r>
            <w:r>
              <w:rPr>
                <w:spacing w:val="-1"/>
                <w:sz w:val="21"/>
              </w:rPr>
              <w:t>备、电信设备、通信网络高精密机构</w:t>
            </w:r>
          </w:p>
          <w:p>
            <w:pPr>
              <w:pStyle w:val="TableParagraph"/>
              <w:spacing w:line="252" w:lineRule="exact" w:before="2"/>
              <w:ind w:left="108"/>
              <w:rPr>
                <w:sz w:val="21"/>
              </w:rPr>
            </w:pPr>
            <w:r>
              <w:rPr>
                <w:sz w:val="21"/>
              </w:rPr>
              <w:t>件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06"/>
              <w:rPr>
                <w:sz w:val="21"/>
              </w:rPr>
            </w:pPr>
            <w:r>
              <w:rPr>
                <w:sz w:val="21"/>
              </w:rPr>
              <w:t>子公司新设 </w:t>
            </w:r>
          </w:p>
        </w:tc>
      </w:tr>
      <w:tr>
        <w:trPr>
          <w:trHeight w:val="815" w:hRule="atLeast"/>
        </w:trPr>
        <w:tc>
          <w:tcPr>
            <w:tcW w:w="1622" w:type="dxa"/>
          </w:tcPr>
          <w:p>
            <w:pPr>
              <w:pStyle w:val="TableParagraph"/>
              <w:spacing w:line="242" w:lineRule="auto" w:before="1"/>
              <w:ind w:left="107" w:right="239"/>
              <w:rPr>
                <w:sz w:val="21"/>
              </w:rPr>
            </w:pPr>
            <w:r>
              <w:rPr>
                <w:spacing w:val="-1"/>
                <w:sz w:val="21"/>
              </w:rPr>
              <w:t>工业富联衡阳智造谷有限公</w:t>
            </w:r>
          </w:p>
          <w:p>
            <w:pPr>
              <w:pStyle w:val="TableParagraph"/>
              <w:spacing w:line="250" w:lineRule="exact" w:before="1"/>
              <w:ind w:left="107"/>
              <w:rPr>
                <w:sz w:val="21"/>
              </w:rPr>
            </w:pPr>
            <w:r>
              <w:rPr>
                <w:sz w:val="21"/>
              </w:rPr>
              <w:t>司 </w:t>
            </w:r>
          </w:p>
        </w:tc>
        <w:tc>
          <w:tcPr>
            <w:tcW w:w="1181" w:type="dxa"/>
          </w:tcPr>
          <w:p>
            <w:pPr>
              <w:pStyle w:val="TableParagraph"/>
              <w:spacing w:before="1"/>
              <w:ind w:left="105"/>
              <w:rPr>
                <w:sz w:val="21"/>
              </w:rPr>
            </w:pPr>
            <w:r>
              <w:rPr>
                <w:spacing w:val="-1"/>
                <w:sz w:val="21"/>
              </w:rPr>
              <w:t>中国,衡阳</w:t>
            </w:r>
            <w:r>
              <w:rPr>
                <w:sz w:val="21"/>
              </w:rPr>
              <w:t> </w:t>
            </w:r>
          </w:p>
        </w:tc>
        <w:tc>
          <w:tcPr>
            <w:tcW w:w="1164" w:type="dxa"/>
          </w:tcPr>
          <w:p>
            <w:pPr>
              <w:pStyle w:val="TableParagraph"/>
              <w:spacing w:before="1"/>
              <w:ind w:left="106" w:right="-15"/>
              <w:rPr>
                <w:sz w:val="21"/>
              </w:rPr>
            </w:pPr>
            <w:r>
              <w:rPr>
                <w:spacing w:val="-1"/>
                <w:sz w:val="21"/>
              </w:rPr>
              <w:t>中国,衡阳</w:t>
            </w:r>
            <w:r>
              <w:rPr>
                <w:sz w:val="21"/>
              </w:rPr>
              <w:t> </w:t>
            </w:r>
          </w:p>
        </w:tc>
        <w:tc>
          <w:tcPr>
            <w:tcW w:w="1193" w:type="dxa"/>
          </w:tcPr>
          <w:p>
            <w:pPr>
              <w:pStyle w:val="TableParagraph"/>
              <w:spacing w:line="242" w:lineRule="auto" w:before="1"/>
              <w:ind w:left="108" w:right="230"/>
              <w:rPr>
                <w:sz w:val="21"/>
              </w:rPr>
            </w:pPr>
            <w:r>
              <w:rPr>
                <w:sz w:val="21"/>
              </w:rPr>
              <w:t>信息系</w:t>
            </w:r>
            <w:r>
              <w:rPr>
                <w:spacing w:val="1"/>
                <w:sz w:val="21"/>
              </w:rPr>
              <w:t> </w:t>
            </w:r>
            <w:r>
              <w:rPr>
                <w:spacing w:val="-1"/>
                <w:sz w:val="21"/>
              </w:rPr>
              <w:t>统、技术</w:t>
            </w:r>
          </w:p>
          <w:p>
            <w:pPr>
              <w:pStyle w:val="TableParagraph"/>
              <w:spacing w:line="250" w:lineRule="exact" w:before="1"/>
              <w:ind w:left="108"/>
              <w:rPr>
                <w:sz w:val="21"/>
              </w:rPr>
            </w:pPr>
            <w:r>
              <w:rPr>
                <w:sz w:val="21"/>
              </w:rPr>
              <w:t>开发 </w:t>
            </w:r>
          </w:p>
        </w:tc>
        <w:tc>
          <w:tcPr>
            <w:tcW w:w="1178" w:type="dxa"/>
          </w:tcPr>
          <w:p>
            <w:pPr>
              <w:pStyle w:val="TableParagraph"/>
              <w:spacing w:before="1"/>
              <w:ind w:right="-15"/>
              <w:jc w:val="right"/>
              <w:rPr>
                <w:sz w:val="21"/>
              </w:rPr>
            </w:pPr>
            <w:r>
              <w:rPr>
                <w:sz w:val="21"/>
              </w:rPr>
              <w:t>51% </w:t>
            </w:r>
          </w:p>
        </w:tc>
        <w:tc>
          <w:tcPr>
            <w:tcW w:w="1191" w:type="dxa"/>
          </w:tcPr>
          <w:p>
            <w:pPr>
              <w:pStyle w:val="TableParagraph"/>
              <w:spacing w:before="1"/>
              <w:ind w:right="-15"/>
              <w:jc w:val="right"/>
              <w:rPr>
                <w:sz w:val="21"/>
              </w:rPr>
            </w:pPr>
            <w:r>
              <w:rPr>
                <w:w w:val="100"/>
                <w:sz w:val="21"/>
              </w:rPr>
              <w:t> </w:t>
            </w:r>
          </w:p>
        </w:tc>
        <w:tc>
          <w:tcPr>
            <w:tcW w:w="1294" w:type="dxa"/>
          </w:tcPr>
          <w:p>
            <w:pPr>
              <w:pStyle w:val="TableParagraph"/>
              <w:spacing w:before="1"/>
              <w:ind w:left="106"/>
              <w:rPr>
                <w:sz w:val="21"/>
              </w:rPr>
            </w:pPr>
            <w:r>
              <w:rPr>
                <w:sz w:val="21"/>
              </w:rPr>
              <w:t>新设 </w:t>
            </w:r>
          </w:p>
        </w:tc>
      </w:tr>
      <w:tr>
        <w:trPr>
          <w:trHeight w:val="544" w:hRule="atLeast"/>
        </w:trPr>
        <w:tc>
          <w:tcPr>
            <w:tcW w:w="1622" w:type="dxa"/>
          </w:tcPr>
          <w:p>
            <w:pPr>
              <w:pStyle w:val="TableParagraph"/>
              <w:spacing w:before="1"/>
              <w:ind w:left="107"/>
              <w:rPr>
                <w:sz w:val="21"/>
              </w:rPr>
            </w:pPr>
            <w:r>
              <w:rPr>
                <w:sz w:val="21"/>
              </w:rPr>
              <w:t>Vault DX </w:t>
            </w:r>
          </w:p>
          <w:p>
            <w:pPr>
              <w:pStyle w:val="TableParagraph"/>
              <w:spacing w:line="250" w:lineRule="exact" w:before="4"/>
              <w:ind w:left="107"/>
              <w:rPr>
                <w:sz w:val="21"/>
              </w:rPr>
            </w:pPr>
            <w:r>
              <w:rPr>
                <w:sz w:val="21"/>
              </w:rPr>
              <w:t>s.r.o. </w:t>
            </w:r>
          </w:p>
        </w:tc>
        <w:tc>
          <w:tcPr>
            <w:tcW w:w="1181" w:type="dxa"/>
          </w:tcPr>
          <w:p>
            <w:pPr>
              <w:pStyle w:val="TableParagraph"/>
              <w:spacing w:before="1"/>
              <w:ind w:left="105"/>
              <w:rPr>
                <w:sz w:val="21"/>
              </w:rPr>
            </w:pPr>
            <w:r>
              <w:rPr>
                <w:sz w:val="21"/>
              </w:rPr>
              <w:t>捷克 </w:t>
            </w:r>
          </w:p>
        </w:tc>
        <w:tc>
          <w:tcPr>
            <w:tcW w:w="1164" w:type="dxa"/>
          </w:tcPr>
          <w:p>
            <w:pPr>
              <w:pStyle w:val="TableParagraph"/>
              <w:spacing w:before="1"/>
              <w:ind w:left="106"/>
              <w:rPr>
                <w:sz w:val="21"/>
              </w:rPr>
            </w:pPr>
            <w:r>
              <w:rPr>
                <w:sz w:val="21"/>
              </w:rPr>
              <w:t>捷克 </w:t>
            </w:r>
          </w:p>
        </w:tc>
        <w:tc>
          <w:tcPr>
            <w:tcW w:w="1193" w:type="dxa"/>
          </w:tcPr>
          <w:p>
            <w:pPr>
              <w:pStyle w:val="TableParagraph"/>
              <w:spacing w:before="1"/>
              <w:ind w:left="108"/>
              <w:rPr>
                <w:sz w:val="21"/>
              </w:rPr>
            </w:pPr>
            <w:r>
              <w:rPr>
                <w:spacing w:val="-1"/>
                <w:sz w:val="21"/>
              </w:rPr>
              <w:t>租赁服务</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06"/>
              <w:rPr>
                <w:sz w:val="21"/>
              </w:rPr>
            </w:pPr>
            <w:r>
              <w:rPr>
                <w:sz w:val="21"/>
              </w:rPr>
              <w:t>同一控制下</w:t>
            </w:r>
          </w:p>
          <w:p>
            <w:pPr>
              <w:pStyle w:val="TableParagraph"/>
              <w:spacing w:line="250" w:lineRule="exact" w:before="4"/>
              <w:ind w:left="106"/>
              <w:rPr>
                <w:sz w:val="21"/>
              </w:rPr>
            </w:pPr>
            <w:r>
              <w:rPr>
                <w:spacing w:val="-1"/>
                <w:sz w:val="21"/>
              </w:rPr>
              <w:t>企业合并</w:t>
            </w:r>
            <w:r>
              <w:rPr>
                <w:sz w:val="21"/>
              </w:rPr>
              <w:t> </w:t>
            </w:r>
          </w:p>
        </w:tc>
      </w:tr>
      <w:tr>
        <w:trPr>
          <w:trHeight w:val="817" w:hRule="atLeast"/>
        </w:trPr>
        <w:tc>
          <w:tcPr>
            <w:tcW w:w="1622" w:type="dxa"/>
          </w:tcPr>
          <w:p>
            <w:pPr>
              <w:pStyle w:val="TableParagraph"/>
              <w:spacing w:before="3"/>
              <w:ind w:left="107"/>
              <w:rPr>
                <w:sz w:val="21"/>
              </w:rPr>
            </w:pPr>
            <w:r>
              <w:rPr>
                <w:sz w:val="21"/>
              </w:rPr>
              <w:t>Safe</w:t>
            </w:r>
            <w:r>
              <w:rPr>
                <w:spacing w:val="-1"/>
                <w:sz w:val="21"/>
              </w:rPr>
              <w:t> </w:t>
            </w:r>
            <w:r>
              <w:rPr>
                <w:sz w:val="21"/>
              </w:rPr>
              <w:t>DX s.r.o </w:t>
            </w:r>
          </w:p>
        </w:tc>
        <w:tc>
          <w:tcPr>
            <w:tcW w:w="1181" w:type="dxa"/>
          </w:tcPr>
          <w:p>
            <w:pPr>
              <w:pStyle w:val="TableParagraph"/>
              <w:spacing w:before="3"/>
              <w:ind w:left="105"/>
              <w:rPr>
                <w:sz w:val="21"/>
              </w:rPr>
            </w:pPr>
            <w:r>
              <w:rPr>
                <w:sz w:val="21"/>
              </w:rPr>
              <w:t>捷克 </w:t>
            </w:r>
          </w:p>
        </w:tc>
        <w:tc>
          <w:tcPr>
            <w:tcW w:w="1164" w:type="dxa"/>
          </w:tcPr>
          <w:p>
            <w:pPr>
              <w:pStyle w:val="TableParagraph"/>
              <w:spacing w:before="3"/>
              <w:ind w:left="106"/>
              <w:rPr>
                <w:sz w:val="21"/>
              </w:rPr>
            </w:pPr>
            <w:r>
              <w:rPr>
                <w:sz w:val="21"/>
              </w:rPr>
              <w:t>捷克 </w:t>
            </w:r>
          </w:p>
        </w:tc>
        <w:tc>
          <w:tcPr>
            <w:tcW w:w="1193" w:type="dxa"/>
          </w:tcPr>
          <w:p>
            <w:pPr>
              <w:pStyle w:val="TableParagraph"/>
              <w:spacing w:line="242" w:lineRule="auto" w:before="3"/>
              <w:ind w:left="108" w:right="230"/>
              <w:rPr>
                <w:sz w:val="21"/>
              </w:rPr>
            </w:pPr>
            <w:r>
              <w:rPr>
                <w:sz w:val="21"/>
              </w:rPr>
              <w:t>软件开</w:t>
            </w:r>
            <w:r>
              <w:rPr>
                <w:spacing w:val="1"/>
                <w:sz w:val="21"/>
              </w:rPr>
              <w:t> </w:t>
            </w:r>
            <w:r>
              <w:rPr>
                <w:spacing w:val="-1"/>
                <w:sz w:val="21"/>
              </w:rPr>
              <w:t>发、云计</w:t>
            </w:r>
          </w:p>
          <w:p>
            <w:pPr>
              <w:pStyle w:val="TableParagraph"/>
              <w:spacing w:line="250" w:lineRule="exact" w:before="1"/>
              <w:ind w:left="108"/>
              <w:rPr>
                <w:sz w:val="21"/>
              </w:rPr>
            </w:pPr>
            <w:r>
              <w:rPr>
                <w:sz w:val="21"/>
              </w:rPr>
              <w:t>算 </w:t>
            </w:r>
          </w:p>
        </w:tc>
        <w:tc>
          <w:tcPr>
            <w:tcW w:w="1178"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sz w:val="21"/>
              </w:rPr>
              <w:t>100% </w:t>
            </w:r>
          </w:p>
        </w:tc>
        <w:tc>
          <w:tcPr>
            <w:tcW w:w="1294" w:type="dxa"/>
          </w:tcPr>
          <w:p>
            <w:pPr>
              <w:pStyle w:val="TableParagraph"/>
              <w:spacing w:line="242" w:lineRule="auto" w:before="3"/>
              <w:ind w:left="106" w:right="18"/>
              <w:rPr>
                <w:sz w:val="21"/>
              </w:rPr>
            </w:pPr>
            <w:r>
              <w:rPr>
                <w:sz w:val="21"/>
              </w:rPr>
              <w:t>非同一控制下企业合并 </w:t>
            </w:r>
          </w:p>
        </w:tc>
      </w:tr>
      <w:tr>
        <w:trPr>
          <w:trHeight w:val="818" w:hRule="atLeast"/>
        </w:trPr>
        <w:tc>
          <w:tcPr>
            <w:tcW w:w="1622" w:type="dxa"/>
          </w:tcPr>
          <w:p>
            <w:pPr>
              <w:pStyle w:val="TableParagraph"/>
              <w:spacing w:before="1"/>
              <w:ind w:left="107"/>
              <w:rPr>
                <w:sz w:val="21"/>
              </w:rPr>
            </w:pPr>
            <w:r>
              <w:rPr>
                <w:sz w:val="21"/>
              </w:rPr>
              <w:t>LEAPSY </w:t>
            </w:r>
          </w:p>
          <w:p>
            <w:pPr>
              <w:pStyle w:val="TableParagraph"/>
              <w:spacing w:line="270" w:lineRule="atLeast"/>
              <w:ind w:left="107"/>
              <w:rPr>
                <w:sz w:val="21"/>
              </w:rPr>
            </w:pPr>
            <w:r>
              <w:rPr>
                <w:sz w:val="21"/>
              </w:rPr>
              <w:t>INTERNATIONAL</w:t>
            </w:r>
            <w:r>
              <w:rPr>
                <w:spacing w:val="1"/>
                <w:sz w:val="21"/>
              </w:rPr>
              <w:t> </w:t>
            </w:r>
            <w:r>
              <w:rPr>
                <w:sz w:val="21"/>
              </w:rPr>
              <w:t>LTD </w:t>
            </w:r>
          </w:p>
        </w:tc>
        <w:tc>
          <w:tcPr>
            <w:tcW w:w="1181" w:type="dxa"/>
          </w:tcPr>
          <w:p>
            <w:pPr>
              <w:pStyle w:val="TableParagraph"/>
              <w:spacing w:before="1"/>
              <w:ind w:left="105"/>
              <w:rPr>
                <w:sz w:val="21"/>
              </w:rPr>
            </w:pPr>
            <w:r>
              <w:rPr>
                <w:sz w:val="21"/>
              </w:rPr>
              <w:t>开曼 </w:t>
            </w:r>
          </w:p>
        </w:tc>
        <w:tc>
          <w:tcPr>
            <w:tcW w:w="1164" w:type="dxa"/>
          </w:tcPr>
          <w:p>
            <w:pPr>
              <w:pStyle w:val="TableParagraph"/>
              <w:spacing w:before="1"/>
              <w:ind w:left="106"/>
              <w:rPr>
                <w:sz w:val="21"/>
              </w:rPr>
            </w:pPr>
            <w:r>
              <w:rPr>
                <w:sz w:val="21"/>
              </w:rPr>
              <w:t>开曼 </w:t>
            </w:r>
          </w:p>
        </w:tc>
        <w:tc>
          <w:tcPr>
            <w:tcW w:w="1193" w:type="dxa"/>
          </w:tcPr>
          <w:p>
            <w:pPr>
              <w:pStyle w:val="TableParagraph"/>
              <w:spacing w:before="1"/>
              <w:ind w:left="108"/>
              <w:rPr>
                <w:sz w:val="21"/>
              </w:rPr>
            </w:pPr>
            <w:r>
              <w:rPr>
                <w:spacing w:val="-1"/>
                <w:sz w:val="21"/>
              </w:rPr>
              <w:t>管理服务</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73% </w:t>
            </w:r>
          </w:p>
        </w:tc>
        <w:tc>
          <w:tcPr>
            <w:tcW w:w="1294" w:type="dxa"/>
          </w:tcPr>
          <w:p>
            <w:pPr>
              <w:pStyle w:val="TableParagraph"/>
              <w:spacing w:line="244" w:lineRule="auto" w:before="1"/>
              <w:ind w:left="106" w:right="18"/>
              <w:rPr>
                <w:sz w:val="21"/>
              </w:rPr>
            </w:pPr>
            <w:r>
              <w:rPr>
                <w:sz w:val="21"/>
              </w:rPr>
              <w:t>非同一控制下企业合并 </w:t>
            </w:r>
          </w:p>
        </w:tc>
      </w:tr>
      <w:tr>
        <w:trPr>
          <w:trHeight w:val="815" w:hRule="atLeast"/>
        </w:trPr>
        <w:tc>
          <w:tcPr>
            <w:tcW w:w="1622" w:type="dxa"/>
          </w:tcPr>
          <w:p>
            <w:pPr>
              <w:pStyle w:val="TableParagraph"/>
              <w:spacing w:line="242" w:lineRule="auto" w:before="1"/>
              <w:ind w:left="107" w:right="136"/>
              <w:rPr>
                <w:sz w:val="21"/>
              </w:rPr>
            </w:pPr>
            <w:r>
              <w:rPr>
                <w:sz w:val="21"/>
              </w:rPr>
              <w:t>深圳宇博先进科技有限公司 </w:t>
            </w:r>
          </w:p>
        </w:tc>
        <w:tc>
          <w:tcPr>
            <w:tcW w:w="1181" w:type="dxa"/>
          </w:tcPr>
          <w:p>
            <w:pPr>
              <w:pStyle w:val="TableParagraph"/>
              <w:spacing w:before="1"/>
              <w:ind w:left="105"/>
              <w:rPr>
                <w:sz w:val="21"/>
              </w:rPr>
            </w:pPr>
            <w:r>
              <w:rPr>
                <w:spacing w:val="-1"/>
                <w:sz w:val="21"/>
              </w:rPr>
              <w:t>中国,深圳</w:t>
            </w:r>
            <w:r>
              <w:rPr>
                <w:sz w:val="21"/>
              </w:rPr>
              <w:t> </w:t>
            </w:r>
          </w:p>
        </w:tc>
        <w:tc>
          <w:tcPr>
            <w:tcW w:w="1164" w:type="dxa"/>
          </w:tcPr>
          <w:p>
            <w:pPr>
              <w:pStyle w:val="TableParagraph"/>
              <w:spacing w:before="1"/>
              <w:ind w:left="106" w:right="-15"/>
              <w:rPr>
                <w:sz w:val="21"/>
              </w:rPr>
            </w:pPr>
            <w:r>
              <w:rPr>
                <w:spacing w:val="-1"/>
                <w:sz w:val="21"/>
              </w:rPr>
              <w:t>中国,深圳</w:t>
            </w:r>
            <w:r>
              <w:rPr>
                <w:sz w:val="21"/>
              </w:rPr>
              <w:t> </w:t>
            </w:r>
          </w:p>
        </w:tc>
        <w:tc>
          <w:tcPr>
            <w:tcW w:w="1193" w:type="dxa"/>
          </w:tcPr>
          <w:p>
            <w:pPr>
              <w:pStyle w:val="TableParagraph"/>
              <w:spacing w:line="242" w:lineRule="auto" w:before="1"/>
              <w:ind w:left="108" w:right="230"/>
              <w:rPr>
                <w:sz w:val="21"/>
              </w:rPr>
            </w:pPr>
            <w:r>
              <w:rPr>
                <w:spacing w:val="-1"/>
                <w:sz w:val="21"/>
              </w:rPr>
              <w:t>智能穿戴设备、软</w:t>
            </w:r>
          </w:p>
          <w:p>
            <w:pPr>
              <w:pStyle w:val="TableParagraph"/>
              <w:spacing w:line="250" w:lineRule="exact" w:before="1"/>
              <w:ind w:left="108"/>
              <w:rPr>
                <w:sz w:val="21"/>
              </w:rPr>
            </w:pPr>
            <w:r>
              <w:rPr>
                <w:sz w:val="21"/>
              </w:rPr>
              <w:t>件开发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73% </w:t>
            </w:r>
          </w:p>
        </w:tc>
        <w:tc>
          <w:tcPr>
            <w:tcW w:w="1294" w:type="dxa"/>
          </w:tcPr>
          <w:p>
            <w:pPr>
              <w:pStyle w:val="TableParagraph"/>
              <w:spacing w:line="242" w:lineRule="auto" w:before="1"/>
              <w:ind w:left="106" w:right="18"/>
              <w:rPr>
                <w:sz w:val="21"/>
              </w:rPr>
            </w:pPr>
            <w:r>
              <w:rPr>
                <w:sz w:val="21"/>
              </w:rPr>
              <w:t>非同一控制下企业合并 </w:t>
            </w:r>
          </w:p>
        </w:tc>
      </w:tr>
      <w:tr>
        <w:trPr>
          <w:trHeight w:val="817" w:hRule="atLeast"/>
        </w:trPr>
        <w:tc>
          <w:tcPr>
            <w:tcW w:w="1622" w:type="dxa"/>
          </w:tcPr>
          <w:p>
            <w:pPr>
              <w:pStyle w:val="TableParagraph"/>
              <w:spacing w:before="1"/>
              <w:ind w:left="107"/>
              <w:rPr>
                <w:sz w:val="21"/>
              </w:rPr>
            </w:pPr>
            <w:r>
              <w:rPr>
                <w:sz w:val="21"/>
              </w:rPr>
              <w:t>工业富联佛山</w:t>
            </w:r>
          </w:p>
          <w:p>
            <w:pPr>
              <w:pStyle w:val="TableParagraph"/>
              <w:spacing w:line="270" w:lineRule="atLeast"/>
              <w:ind w:left="107" w:right="239"/>
              <w:rPr>
                <w:sz w:val="21"/>
              </w:rPr>
            </w:pPr>
            <w:r>
              <w:rPr>
                <w:spacing w:val="-1"/>
                <w:sz w:val="21"/>
              </w:rPr>
              <w:t>智造谷有限公</w:t>
            </w:r>
            <w:r>
              <w:rPr>
                <w:sz w:val="21"/>
              </w:rPr>
              <w:t>司 </w:t>
            </w:r>
          </w:p>
        </w:tc>
        <w:tc>
          <w:tcPr>
            <w:tcW w:w="1181" w:type="dxa"/>
          </w:tcPr>
          <w:p>
            <w:pPr>
              <w:pStyle w:val="TableParagraph"/>
              <w:spacing w:before="1"/>
              <w:ind w:left="105"/>
              <w:rPr>
                <w:sz w:val="21"/>
              </w:rPr>
            </w:pPr>
            <w:r>
              <w:rPr>
                <w:spacing w:val="-1"/>
                <w:sz w:val="21"/>
              </w:rPr>
              <w:t>中国,佛山</w:t>
            </w:r>
            <w:r>
              <w:rPr>
                <w:sz w:val="21"/>
              </w:rPr>
              <w:t> </w:t>
            </w:r>
          </w:p>
        </w:tc>
        <w:tc>
          <w:tcPr>
            <w:tcW w:w="1164" w:type="dxa"/>
          </w:tcPr>
          <w:p>
            <w:pPr>
              <w:pStyle w:val="TableParagraph"/>
              <w:spacing w:before="1"/>
              <w:ind w:left="106" w:right="-15"/>
              <w:rPr>
                <w:sz w:val="21"/>
              </w:rPr>
            </w:pPr>
            <w:r>
              <w:rPr>
                <w:spacing w:val="-1"/>
                <w:sz w:val="21"/>
              </w:rPr>
              <w:t>中国,佛山</w:t>
            </w:r>
            <w:r>
              <w:rPr>
                <w:sz w:val="21"/>
              </w:rPr>
              <w:t> </w:t>
            </w:r>
          </w:p>
        </w:tc>
        <w:tc>
          <w:tcPr>
            <w:tcW w:w="1193" w:type="dxa"/>
          </w:tcPr>
          <w:p>
            <w:pPr>
              <w:pStyle w:val="TableParagraph"/>
              <w:spacing w:before="1"/>
              <w:ind w:left="108"/>
              <w:rPr>
                <w:sz w:val="21"/>
              </w:rPr>
            </w:pPr>
            <w:r>
              <w:rPr>
                <w:sz w:val="21"/>
              </w:rPr>
              <w:t>高端研</w:t>
            </w:r>
          </w:p>
          <w:p>
            <w:pPr>
              <w:pStyle w:val="TableParagraph"/>
              <w:spacing w:line="270" w:lineRule="atLeast"/>
              <w:ind w:left="108" w:right="230"/>
              <w:rPr>
                <w:sz w:val="21"/>
              </w:rPr>
            </w:pPr>
            <w:r>
              <w:rPr>
                <w:spacing w:val="-1"/>
                <w:sz w:val="21"/>
              </w:rPr>
              <w:t>发，机械</w:t>
            </w:r>
            <w:r>
              <w:rPr>
                <w:sz w:val="21"/>
              </w:rPr>
              <w:t>销售 </w:t>
            </w:r>
          </w:p>
        </w:tc>
        <w:tc>
          <w:tcPr>
            <w:tcW w:w="1178" w:type="dxa"/>
          </w:tcPr>
          <w:p>
            <w:pPr>
              <w:pStyle w:val="TableParagraph"/>
              <w:spacing w:before="1"/>
              <w:ind w:right="-15"/>
              <w:jc w:val="right"/>
              <w:rPr>
                <w:sz w:val="21"/>
              </w:rPr>
            </w:pPr>
            <w:r>
              <w:rPr>
                <w:sz w:val="21"/>
              </w:rPr>
              <w:t>51% </w:t>
            </w:r>
          </w:p>
        </w:tc>
        <w:tc>
          <w:tcPr>
            <w:tcW w:w="1191" w:type="dxa"/>
          </w:tcPr>
          <w:p>
            <w:pPr>
              <w:pStyle w:val="TableParagraph"/>
              <w:spacing w:before="1"/>
              <w:ind w:right="-15"/>
              <w:jc w:val="right"/>
              <w:rPr>
                <w:sz w:val="21"/>
              </w:rPr>
            </w:pPr>
            <w:r>
              <w:rPr>
                <w:w w:val="100"/>
                <w:sz w:val="21"/>
              </w:rPr>
              <w:t> </w:t>
            </w:r>
          </w:p>
        </w:tc>
        <w:tc>
          <w:tcPr>
            <w:tcW w:w="1294" w:type="dxa"/>
          </w:tcPr>
          <w:p>
            <w:pPr>
              <w:pStyle w:val="TableParagraph"/>
              <w:spacing w:before="1"/>
              <w:ind w:left="106"/>
              <w:rPr>
                <w:sz w:val="21"/>
              </w:rPr>
            </w:pPr>
            <w:r>
              <w:rPr>
                <w:sz w:val="21"/>
              </w:rPr>
              <w:t>新设 </w:t>
            </w:r>
          </w:p>
        </w:tc>
      </w:tr>
      <w:tr>
        <w:trPr>
          <w:trHeight w:val="816" w:hRule="atLeast"/>
        </w:trPr>
        <w:tc>
          <w:tcPr>
            <w:tcW w:w="1622" w:type="dxa"/>
          </w:tcPr>
          <w:p>
            <w:pPr>
              <w:pStyle w:val="TableParagraph"/>
              <w:spacing w:line="242" w:lineRule="auto" w:before="1"/>
              <w:ind w:left="107" w:right="239"/>
              <w:rPr>
                <w:sz w:val="21"/>
              </w:rPr>
            </w:pPr>
            <w:r>
              <w:rPr>
                <w:spacing w:val="-1"/>
                <w:sz w:val="21"/>
              </w:rPr>
              <w:t>深圳市富联凌云光科技有限</w:t>
            </w:r>
          </w:p>
          <w:p>
            <w:pPr>
              <w:pStyle w:val="TableParagraph"/>
              <w:spacing w:line="250" w:lineRule="exact" w:before="2"/>
              <w:ind w:left="107"/>
              <w:rPr>
                <w:sz w:val="21"/>
              </w:rPr>
            </w:pPr>
            <w:r>
              <w:rPr>
                <w:sz w:val="21"/>
              </w:rPr>
              <w:t>公司 </w:t>
            </w:r>
          </w:p>
        </w:tc>
        <w:tc>
          <w:tcPr>
            <w:tcW w:w="1181" w:type="dxa"/>
          </w:tcPr>
          <w:p>
            <w:pPr>
              <w:pStyle w:val="TableParagraph"/>
              <w:spacing w:before="1"/>
              <w:ind w:left="105"/>
              <w:rPr>
                <w:sz w:val="21"/>
              </w:rPr>
            </w:pPr>
            <w:r>
              <w:rPr>
                <w:spacing w:val="-1"/>
                <w:sz w:val="21"/>
              </w:rPr>
              <w:t>中国,深圳</w:t>
            </w:r>
            <w:r>
              <w:rPr>
                <w:sz w:val="21"/>
              </w:rPr>
              <w:t> </w:t>
            </w:r>
          </w:p>
        </w:tc>
        <w:tc>
          <w:tcPr>
            <w:tcW w:w="1164" w:type="dxa"/>
          </w:tcPr>
          <w:p>
            <w:pPr>
              <w:pStyle w:val="TableParagraph"/>
              <w:spacing w:before="1"/>
              <w:ind w:left="106" w:right="-15"/>
              <w:rPr>
                <w:sz w:val="21"/>
              </w:rPr>
            </w:pPr>
            <w:r>
              <w:rPr>
                <w:spacing w:val="-1"/>
                <w:sz w:val="21"/>
              </w:rPr>
              <w:t>中国,深圳</w:t>
            </w:r>
            <w:r>
              <w:rPr>
                <w:sz w:val="21"/>
              </w:rPr>
              <w:t> </w:t>
            </w:r>
          </w:p>
        </w:tc>
        <w:tc>
          <w:tcPr>
            <w:tcW w:w="1193" w:type="dxa"/>
          </w:tcPr>
          <w:p>
            <w:pPr>
              <w:pStyle w:val="TableParagraph"/>
              <w:spacing w:line="242" w:lineRule="auto" w:before="1"/>
              <w:ind w:left="108" w:right="230"/>
              <w:rPr>
                <w:sz w:val="21"/>
              </w:rPr>
            </w:pPr>
            <w:r>
              <w:rPr>
                <w:sz w:val="21"/>
              </w:rPr>
              <w:t>技术研</w:t>
            </w:r>
            <w:r>
              <w:rPr>
                <w:spacing w:val="1"/>
                <w:sz w:val="21"/>
              </w:rPr>
              <w:t> </w:t>
            </w:r>
            <w:r>
              <w:rPr>
                <w:spacing w:val="-1"/>
                <w:sz w:val="21"/>
              </w:rPr>
              <w:t>发，硬件</w:t>
            </w:r>
          </w:p>
          <w:p>
            <w:pPr>
              <w:pStyle w:val="TableParagraph"/>
              <w:spacing w:line="250" w:lineRule="exact" w:before="2"/>
              <w:ind w:left="108"/>
              <w:rPr>
                <w:sz w:val="21"/>
              </w:rPr>
            </w:pPr>
            <w:r>
              <w:rPr>
                <w:sz w:val="21"/>
              </w:rPr>
              <w:t>研发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51% </w:t>
            </w:r>
          </w:p>
        </w:tc>
        <w:tc>
          <w:tcPr>
            <w:tcW w:w="1294" w:type="dxa"/>
          </w:tcPr>
          <w:p>
            <w:pPr>
              <w:pStyle w:val="TableParagraph"/>
              <w:spacing w:before="1"/>
              <w:ind w:left="106"/>
              <w:rPr>
                <w:sz w:val="21"/>
              </w:rPr>
            </w:pPr>
            <w:r>
              <w:rPr>
                <w:sz w:val="21"/>
              </w:rPr>
              <w:t>子公司新设 </w:t>
            </w:r>
          </w:p>
        </w:tc>
      </w:tr>
      <w:tr>
        <w:trPr>
          <w:trHeight w:val="1362" w:hRule="atLeast"/>
        </w:trPr>
        <w:tc>
          <w:tcPr>
            <w:tcW w:w="1622" w:type="dxa"/>
          </w:tcPr>
          <w:p>
            <w:pPr>
              <w:pStyle w:val="TableParagraph"/>
              <w:spacing w:line="242" w:lineRule="auto" w:before="3"/>
              <w:ind w:left="107" w:right="134"/>
              <w:rPr>
                <w:sz w:val="21"/>
              </w:rPr>
            </w:pPr>
            <w:r>
              <w:rPr>
                <w:spacing w:val="-1"/>
                <w:sz w:val="21"/>
              </w:rPr>
              <w:t>富联云计算(天</w:t>
            </w:r>
            <w:r>
              <w:rPr>
                <w:sz w:val="21"/>
              </w:rPr>
              <w:t>津)有限公司</w:t>
            </w:r>
          </w:p>
          <w:p>
            <w:pPr>
              <w:pStyle w:val="TableParagraph"/>
              <w:spacing w:line="242" w:lineRule="auto" w:before="1"/>
              <w:ind w:left="107" w:right="134"/>
              <w:rPr>
                <w:sz w:val="21"/>
              </w:rPr>
            </w:pPr>
            <w:r>
              <w:rPr>
                <w:spacing w:val="-1"/>
                <w:sz w:val="21"/>
              </w:rPr>
              <w:t>(原名：富鸿云</w:t>
            </w:r>
            <w:r>
              <w:rPr>
                <w:sz w:val="21"/>
              </w:rPr>
              <w:t>计算(天津)有</w:t>
            </w:r>
          </w:p>
          <w:p>
            <w:pPr>
              <w:pStyle w:val="TableParagraph"/>
              <w:spacing w:line="250" w:lineRule="exact" w:before="2"/>
              <w:ind w:left="107"/>
              <w:rPr>
                <w:sz w:val="21"/>
              </w:rPr>
            </w:pPr>
            <w:r>
              <w:rPr>
                <w:spacing w:val="-1"/>
                <w:sz w:val="21"/>
              </w:rPr>
              <w:t>限公司)</w:t>
            </w:r>
            <w:r>
              <w:rPr>
                <w:sz w:val="21"/>
              </w:rPr>
              <w:t> </w:t>
            </w:r>
          </w:p>
        </w:tc>
        <w:tc>
          <w:tcPr>
            <w:tcW w:w="1181" w:type="dxa"/>
          </w:tcPr>
          <w:p>
            <w:pPr>
              <w:pStyle w:val="TableParagraph"/>
              <w:spacing w:before="3"/>
              <w:ind w:left="105"/>
              <w:rPr>
                <w:sz w:val="21"/>
              </w:rPr>
            </w:pPr>
            <w:r>
              <w:rPr>
                <w:spacing w:val="-1"/>
                <w:sz w:val="21"/>
              </w:rPr>
              <w:t>中国,天津</w:t>
            </w:r>
            <w:r>
              <w:rPr>
                <w:sz w:val="21"/>
              </w:rPr>
              <w:t> </w:t>
            </w:r>
          </w:p>
        </w:tc>
        <w:tc>
          <w:tcPr>
            <w:tcW w:w="1164" w:type="dxa"/>
          </w:tcPr>
          <w:p>
            <w:pPr>
              <w:pStyle w:val="TableParagraph"/>
              <w:spacing w:before="3"/>
              <w:ind w:left="106" w:right="-15"/>
              <w:rPr>
                <w:sz w:val="21"/>
              </w:rPr>
            </w:pPr>
            <w:r>
              <w:rPr>
                <w:spacing w:val="-1"/>
                <w:sz w:val="21"/>
              </w:rPr>
              <w:t>中国,天津</w:t>
            </w:r>
            <w:r>
              <w:rPr>
                <w:sz w:val="21"/>
              </w:rPr>
              <w:t> </w:t>
            </w:r>
          </w:p>
        </w:tc>
        <w:tc>
          <w:tcPr>
            <w:tcW w:w="1193" w:type="dxa"/>
          </w:tcPr>
          <w:p>
            <w:pPr>
              <w:pStyle w:val="TableParagraph"/>
              <w:spacing w:before="3"/>
              <w:ind w:left="108"/>
              <w:rPr>
                <w:sz w:val="21"/>
              </w:rPr>
            </w:pPr>
            <w:r>
              <w:rPr>
                <w:sz w:val="21"/>
              </w:rPr>
              <w:t>云计算 </w:t>
            </w:r>
          </w:p>
        </w:tc>
        <w:tc>
          <w:tcPr>
            <w:tcW w:w="1178"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sz w:val="21"/>
              </w:rPr>
              <w:t>100% </w:t>
            </w:r>
          </w:p>
        </w:tc>
        <w:tc>
          <w:tcPr>
            <w:tcW w:w="1294" w:type="dxa"/>
          </w:tcPr>
          <w:p>
            <w:pPr>
              <w:pStyle w:val="TableParagraph"/>
              <w:spacing w:before="3"/>
              <w:ind w:left="106"/>
              <w:rPr>
                <w:sz w:val="21"/>
              </w:rPr>
            </w:pPr>
            <w:r>
              <w:rPr>
                <w:sz w:val="21"/>
              </w:rPr>
              <w:t>子公司新设 </w:t>
            </w:r>
          </w:p>
        </w:tc>
      </w:tr>
      <w:tr>
        <w:trPr>
          <w:trHeight w:val="817" w:hRule="atLeast"/>
        </w:trPr>
        <w:tc>
          <w:tcPr>
            <w:tcW w:w="1622" w:type="dxa"/>
          </w:tcPr>
          <w:p>
            <w:pPr>
              <w:pStyle w:val="TableParagraph"/>
              <w:spacing w:before="1"/>
              <w:ind w:left="107"/>
              <w:rPr>
                <w:sz w:val="21"/>
              </w:rPr>
            </w:pPr>
            <w:r>
              <w:rPr>
                <w:spacing w:val="-1"/>
                <w:sz w:val="21"/>
              </w:rPr>
              <w:t>工业富联(佛</w:t>
            </w:r>
          </w:p>
          <w:p>
            <w:pPr>
              <w:pStyle w:val="TableParagraph"/>
              <w:spacing w:line="270" w:lineRule="atLeast"/>
              <w:ind w:left="107" w:right="134"/>
              <w:rPr>
                <w:sz w:val="21"/>
              </w:rPr>
            </w:pPr>
            <w:r>
              <w:rPr>
                <w:spacing w:val="-1"/>
                <w:sz w:val="21"/>
              </w:rPr>
              <w:t>山)产业示范基地有限公司(原</w:t>
            </w:r>
          </w:p>
        </w:tc>
        <w:tc>
          <w:tcPr>
            <w:tcW w:w="1181" w:type="dxa"/>
          </w:tcPr>
          <w:p>
            <w:pPr>
              <w:pStyle w:val="TableParagraph"/>
              <w:spacing w:before="1"/>
              <w:ind w:left="105"/>
              <w:rPr>
                <w:sz w:val="21"/>
              </w:rPr>
            </w:pPr>
            <w:r>
              <w:rPr>
                <w:spacing w:val="-1"/>
                <w:sz w:val="21"/>
              </w:rPr>
              <w:t>中国,佛山</w:t>
            </w:r>
            <w:r>
              <w:rPr>
                <w:sz w:val="21"/>
              </w:rPr>
              <w:t> </w:t>
            </w:r>
          </w:p>
        </w:tc>
        <w:tc>
          <w:tcPr>
            <w:tcW w:w="1164" w:type="dxa"/>
          </w:tcPr>
          <w:p>
            <w:pPr>
              <w:pStyle w:val="TableParagraph"/>
              <w:spacing w:before="1"/>
              <w:ind w:left="106" w:right="-15"/>
              <w:rPr>
                <w:sz w:val="21"/>
              </w:rPr>
            </w:pPr>
            <w:r>
              <w:rPr>
                <w:spacing w:val="-1"/>
                <w:sz w:val="21"/>
              </w:rPr>
              <w:t>中国,佛山</w:t>
            </w:r>
            <w:r>
              <w:rPr>
                <w:sz w:val="21"/>
              </w:rPr>
              <w:t> </w:t>
            </w:r>
          </w:p>
        </w:tc>
        <w:tc>
          <w:tcPr>
            <w:tcW w:w="1193" w:type="dxa"/>
          </w:tcPr>
          <w:p>
            <w:pPr>
              <w:pStyle w:val="TableParagraph"/>
              <w:spacing w:before="1"/>
              <w:ind w:left="108"/>
              <w:rPr>
                <w:sz w:val="21"/>
              </w:rPr>
            </w:pPr>
            <w:r>
              <w:rPr>
                <w:sz w:val="21"/>
              </w:rPr>
              <w:t>高端制</w:t>
            </w:r>
          </w:p>
          <w:p>
            <w:pPr>
              <w:pStyle w:val="TableParagraph"/>
              <w:spacing w:line="270" w:lineRule="atLeast"/>
              <w:ind w:left="108" w:right="176"/>
              <w:rPr>
                <w:sz w:val="21"/>
              </w:rPr>
            </w:pPr>
            <w:r>
              <w:rPr>
                <w:spacing w:val="-3"/>
                <w:sz w:val="21"/>
              </w:rPr>
              <w:t>造，5G</w:t>
            </w:r>
            <w:r>
              <w:rPr>
                <w:spacing w:val="-28"/>
                <w:sz w:val="21"/>
              </w:rPr>
              <w:t> 实</w:t>
            </w:r>
            <w:r>
              <w:rPr>
                <w:sz w:val="21"/>
              </w:rPr>
              <w:t>验室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51% </w:t>
            </w:r>
          </w:p>
        </w:tc>
        <w:tc>
          <w:tcPr>
            <w:tcW w:w="1294" w:type="dxa"/>
          </w:tcPr>
          <w:p>
            <w:pPr>
              <w:pStyle w:val="TableParagraph"/>
              <w:spacing w:before="1"/>
              <w:ind w:left="106"/>
              <w:rPr>
                <w:sz w:val="21"/>
              </w:rPr>
            </w:pPr>
            <w:r>
              <w:rPr>
                <w:sz w:val="21"/>
              </w:rPr>
              <w:t>子公司新设 </w:t>
            </w:r>
          </w:p>
        </w:tc>
      </w:tr>
    </w:tbl>
    <w:p>
      <w:pPr>
        <w:spacing w:after="0"/>
        <w:rPr>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2"/>
        <w:gridCol w:w="1181"/>
        <w:gridCol w:w="1164"/>
        <w:gridCol w:w="1193"/>
        <w:gridCol w:w="1178"/>
        <w:gridCol w:w="1191"/>
        <w:gridCol w:w="1294"/>
      </w:tblGrid>
      <w:tr>
        <w:trPr>
          <w:trHeight w:val="818" w:hRule="atLeast"/>
        </w:trPr>
        <w:tc>
          <w:tcPr>
            <w:tcW w:w="1622" w:type="dxa"/>
          </w:tcPr>
          <w:p>
            <w:pPr>
              <w:pStyle w:val="TableParagraph"/>
              <w:spacing w:line="242" w:lineRule="auto" w:before="3"/>
              <w:ind w:left="107" w:right="239"/>
              <w:rPr>
                <w:sz w:val="21"/>
              </w:rPr>
            </w:pPr>
            <w:r>
              <w:rPr>
                <w:spacing w:val="-1"/>
                <w:sz w:val="21"/>
              </w:rPr>
              <w:t>名：佛山智造</w:t>
            </w:r>
            <w:r>
              <w:rPr>
                <w:spacing w:val="-3"/>
                <w:sz w:val="21"/>
              </w:rPr>
              <w:t>谷产业示范基</w:t>
            </w:r>
          </w:p>
          <w:p>
            <w:pPr>
              <w:pStyle w:val="TableParagraph"/>
              <w:spacing w:line="250" w:lineRule="exact" w:before="2"/>
              <w:ind w:left="107"/>
              <w:rPr>
                <w:sz w:val="21"/>
              </w:rPr>
            </w:pPr>
            <w:r>
              <w:rPr>
                <w:spacing w:val="-1"/>
                <w:sz w:val="21"/>
              </w:rPr>
              <w:t>地有限公司)</w:t>
            </w:r>
            <w:r>
              <w:rPr>
                <w:sz w:val="21"/>
              </w:rPr>
              <w:t> </w:t>
            </w:r>
          </w:p>
        </w:tc>
        <w:tc>
          <w:tcPr>
            <w:tcW w:w="1181" w:type="dxa"/>
          </w:tcPr>
          <w:p>
            <w:pPr>
              <w:pStyle w:val="TableParagraph"/>
              <w:rPr>
                <w:rFonts w:ascii="Times New Roman"/>
                <w:sz w:val="20"/>
              </w:rPr>
            </w:pPr>
          </w:p>
        </w:tc>
        <w:tc>
          <w:tcPr>
            <w:tcW w:w="1164" w:type="dxa"/>
          </w:tcPr>
          <w:p>
            <w:pPr>
              <w:pStyle w:val="TableParagraph"/>
              <w:rPr>
                <w:rFonts w:ascii="Times New Roman"/>
                <w:sz w:val="20"/>
              </w:rPr>
            </w:pPr>
          </w:p>
        </w:tc>
        <w:tc>
          <w:tcPr>
            <w:tcW w:w="1193" w:type="dxa"/>
          </w:tcPr>
          <w:p>
            <w:pPr>
              <w:pStyle w:val="TableParagraph"/>
              <w:rPr>
                <w:rFonts w:ascii="Times New Roman"/>
                <w:sz w:val="20"/>
              </w:rPr>
            </w:pPr>
          </w:p>
        </w:tc>
        <w:tc>
          <w:tcPr>
            <w:tcW w:w="1178" w:type="dxa"/>
          </w:tcPr>
          <w:p>
            <w:pPr>
              <w:pStyle w:val="TableParagraph"/>
              <w:rPr>
                <w:rFonts w:ascii="Times New Roman"/>
                <w:sz w:val="20"/>
              </w:rPr>
            </w:pPr>
          </w:p>
        </w:tc>
        <w:tc>
          <w:tcPr>
            <w:tcW w:w="1191" w:type="dxa"/>
          </w:tcPr>
          <w:p>
            <w:pPr>
              <w:pStyle w:val="TableParagraph"/>
              <w:rPr>
                <w:rFonts w:ascii="Times New Roman"/>
                <w:sz w:val="20"/>
              </w:rPr>
            </w:pPr>
          </w:p>
        </w:tc>
        <w:tc>
          <w:tcPr>
            <w:tcW w:w="1294" w:type="dxa"/>
          </w:tcPr>
          <w:p>
            <w:pPr>
              <w:pStyle w:val="TableParagraph"/>
              <w:rPr>
                <w:rFonts w:ascii="Times New Roman"/>
                <w:sz w:val="20"/>
              </w:rPr>
            </w:pPr>
          </w:p>
        </w:tc>
      </w:tr>
      <w:tr>
        <w:trPr>
          <w:trHeight w:val="1634" w:hRule="atLeast"/>
        </w:trPr>
        <w:tc>
          <w:tcPr>
            <w:tcW w:w="1622" w:type="dxa"/>
          </w:tcPr>
          <w:p>
            <w:pPr>
              <w:pStyle w:val="TableParagraph"/>
              <w:spacing w:line="242" w:lineRule="auto" w:before="1"/>
              <w:ind w:left="107" w:right="134"/>
              <w:rPr>
                <w:sz w:val="21"/>
              </w:rPr>
            </w:pPr>
            <w:r>
              <w:rPr>
                <w:sz w:val="21"/>
              </w:rPr>
              <w:t>工业富联(佛</w:t>
            </w:r>
            <w:r>
              <w:rPr>
                <w:spacing w:val="1"/>
                <w:sz w:val="21"/>
              </w:rPr>
              <w:t> </w:t>
            </w:r>
            <w:r>
              <w:rPr>
                <w:spacing w:val="-1"/>
                <w:sz w:val="21"/>
              </w:rPr>
              <w:t>山)创新中心有限公司(原名：</w:t>
            </w:r>
            <w:r>
              <w:rPr>
                <w:spacing w:val="-102"/>
                <w:sz w:val="21"/>
              </w:rPr>
              <w:t> </w:t>
            </w:r>
            <w:r>
              <w:rPr>
                <w:sz w:val="21"/>
              </w:rPr>
              <w:t>佛山智造谷创新中心有限公</w:t>
            </w:r>
          </w:p>
          <w:p>
            <w:pPr>
              <w:pStyle w:val="TableParagraph"/>
              <w:spacing w:line="250" w:lineRule="exact" w:before="4"/>
              <w:ind w:left="107"/>
              <w:rPr>
                <w:sz w:val="21"/>
              </w:rPr>
            </w:pPr>
            <w:r>
              <w:rPr>
                <w:sz w:val="21"/>
              </w:rPr>
              <w:t>司) </w:t>
            </w:r>
          </w:p>
        </w:tc>
        <w:tc>
          <w:tcPr>
            <w:tcW w:w="1181" w:type="dxa"/>
          </w:tcPr>
          <w:p>
            <w:pPr>
              <w:pStyle w:val="TableParagraph"/>
              <w:spacing w:before="1"/>
              <w:ind w:left="105"/>
              <w:rPr>
                <w:sz w:val="21"/>
              </w:rPr>
            </w:pPr>
            <w:r>
              <w:rPr>
                <w:spacing w:val="-1"/>
                <w:sz w:val="21"/>
              </w:rPr>
              <w:t>中国,佛山</w:t>
            </w:r>
            <w:r>
              <w:rPr>
                <w:sz w:val="21"/>
              </w:rPr>
              <w:t> </w:t>
            </w:r>
          </w:p>
        </w:tc>
        <w:tc>
          <w:tcPr>
            <w:tcW w:w="1164" w:type="dxa"/>
          </w:tcPr>
          <w:p>
            <w:pPr>
              <w:pStyle w:val="TableParagraph"/>
              <w:spacing w:before="1"/>
              <w:ind w:left="106" w:right="-15"/>
              <w:rPr>
                <w:sz w:val="21"/>
              </w:rPr>
            </w:pPr>
            <w:r>
              <w:rPr>
                <w:spacing w:val="-1"/>
                <w:sz w:val="21"/>
              </w:rPr>
              <w:t>中国,佛山</w:t>
            </w:r>
            <w:r>
              <w:rPr>
                <w:sz w:val="21"/>
              </w:rPr>
              <w:t> </w:t>
            </w:r>
          </w:p>
        </w:tc>
        <w:tc>
          <w:tcPr>
            <w:tcW w:w="1193" w:type="dxa"/>
          </w:tcPr>
          <w:p>
            <w:pPr>
              <w:pStyle w:val="TableParagraph"/>
              <w:spacing w:line="242" w:lineRule="auto" w:before="1"/>
              <w:ind w:left="108" w:right="176"/>
              <w:rPr>
                <w:sz w:val="21"/>
              </w:rPr>
            </w:pPr>
            <w:r>
              <w:rPr>
                <w:sz w:val="21"/>
              </w:rPr>
              <w:t>高端制</w:t>
            </w:r>
            <w:r>
              <w:rPr>
                <w:spacing w:val="1"/>
                <w:sz w:val="21"/>
              </w:rPr>
              <w:t> </w:t>
            </w:r>
            <w:r>
              <w:rPr>
                <w:spacing w:val="-3"/>
                <w:sz w:val="21"/>
              </w:rPr>
              <w:t>造，5G</w:t>
            </w:r>
            <w:r>
              <w:rPr>
                <w:spacing w:val="-28"/>
                <w:sz w:val="21"/>
              </w:rPr>
              <w:t> 实</w:t>
            </w:r>
            <w:r>
              <w:rPr>
                <w:sz w:val="21"/>
              </w:rPr>
              <w:t>验室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65.6% </w:t>
            </w:r>
          </w:p>
        </w:tc>
        <w:tc>
          <w:tcPr>
            <w:tcW w:w="1294" w:type="dxa"/>
          </w:tcPr>
          <w:p>
            <w:pPr>
              <w:pStyle w:val="TableParagraph"/>
              <w:spacing w:before="1"/>
              <w:ind w:left="140" w:right="54"/>
              <w:jc w:val="center"/>
              <w:rPr>
                <w:sz w:val="21"/>
              </w:rPr>
            </w:pPr>
            <w:r>
              <w:rPr>
                <w:sz w:val="21"/>
              </w:rPr>
              <w:t>子公司新设 </w:t>
            </w:r>
          </w:p>
        </w:tc>
      </w:tr>
      <w:tr>
        <w:trPr>
          <w:trHeight w:val="1363" w:hRule="atLeast"/>
        </w:trPr>
        <w:tc>
          <w:tcPr>
            <w:tcW w:w="1622" w:type="dxa"/>
          </w:tcPr>
          <w:p>
            <w:pPr>
              <w:pStyle w:val="TableParagraph"/>
              <w:spacing w:line="242" w:lineRule="auto" w:before="1"/>
              <w:ind w:left="107" w:right="134"/>
              <w:jc w:val="both"/>
              <w:rPr>
                <w:sz w:val="21"/>
              </w:rPr>
            </w:pPr>
            <w:r>
              <w:rPr>
                <w:sz w:val="21"/>
              </w:rPr>
              <w:t>富联裕展科技</w:t>
            </w:r>
            <w:r>
              <w:rPr>
                <w:spacing w:val="1"/>
                <w:sz w:val="21"/>
              </w:rPr>
              <w:t> </w:t>
            </w:r>
            <w:r>
              <w:rPr>
                <w:sz w:val="21"/>
              </w:rPr>
              <w:t>(衡阳)有限公</w:t>
            </w:r>
            <w:r>
              <w:rPr>
                <w:spacing w:val="-1"/>
                <w:sz w:val="21"/>
              </w:rPr>
              <w:t>司(原名：衡阳</w:t>
            </w:r>
          </w:p>
          <w:p>
            <w:pPr>
              <w:pStyle w:val="TableParagraph"/>
              <w:spacing w:line="270" w:lineRule="atLeast"/>
              <w:ind w:left="107" w:right="239"/>
              <w:rPr>
                <w:sz w:val="21"/>
              </w:rPr>
            </w:pPr>
            <w:r>
              <w:rPr>
                <w:spacing w:val="-1"/>
                <w:sz w:val="21"/>
              </w:rPr>
              <w:t>市裕展精密科</w:t>
            </w:r>
            <w:r>
              <w:rPr>
                <w:sz w:val="21"/>
              </w:rPr>
              <w:t>技有限公司) </w:t>
            </w:r>
          </w:p>
        </w:tc>
        <w:tc>
          <w:tcPr>
            <w:tcW w:w="1181" w:type="dxa"/>
          </w:tcPr>
          <w:p>
            <w:pPr>
              <w:pStyle w:val="TableParagraph"/>
              <w:spacing w:before="1"/>
              <w:ind w:left="105"/>
              <w:rPr>
                <w:sz w:val="21"/>
              </w:rPr>
            </w:pPr>
            <w:r>
              <w:rPr>
                <w:spacing w:val="-1"/>
                <w:sz w:val="21"/>
              </w:rPr>
              <w:t>中国,衡阳</w:t>
            </w:r>
            <w:r>
              <w:rPr>
                <w:sz w:val="21"/>
              </w:rPr>
              <w:t> </w:t>
            </w:r>
          </w:p>
        </w:tc>
        <w:tc>
          <w:tcPr>
            <w:tcW w:w="1164" w:type="dxa"/>
          </w:tcPr>
          <w:p>
            <w:pPr>
              <w:pStyle w:val="TableParagraph"/>
              <w:spacing w:before="1"/>
              <w:ind w:left="106" w:right="-15"/>
              <w:rPr>
                <w:sz w:val="21"/>
              </w:rPr>
            </w:pPr>
            <w:r>
              <w:rPr>
                <w:spacing w:val="-1"/>
                <w:sz w:val="21"/>
              </w:rPr>
              <w:t>中国,衡阳</w:t>
            </w:r>
            <w:r>
              <w:rPr>
                <w:sz w:val="21"/>
              </w:rPr>
              <w:t> </w:t>
            </w:r>
          </w:p>
        </w:tc>
        <w:tc>
          <w:tcPr>
            <w:tcW w:w="1193" w:type="dxa"/>
          </w:tcPr>
          <w:p>
            <w:pPr>
              <w:pStyle w:val="TableParagraph"/>
              <w:spacing w:line="242" w:lineRule="auto" w:before="1"/>
              <w:ind w:left="108" w:right="126"/>
              <w:jc w:val="both"/>
              <w:rPr>
                <w:sz w:val="21"/>
              </w:rPr>
            </w:pPr>
            <w:r>
              <w:rPr>
                <w:sz w:val="21"/>
              </w:rPr>
              <w:t>通讯类高精密机构件、自动化、模具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40" w:right="54"/>
              <w:jc w:val="center"/>
              <w:rPr>
                <w:sz w:val="21"/>
              </w:rPr>
            </w:pPr>
            <w:r>
              <w:rPr>
                <w:sz w:val="21"/>
              </w:rPr>
              <w:t>子公司新设 </w:t>
            </w:r>
          </w:p>
        </w:tc>
      </w:tr>
      <w:tr>
        <w:trPr>
          <w:trHeight w:val="1634" w:hRule="atLeast"/>
        </w:trPr>
        <w:tc>
          <w:tcPr>
            <w:tcW w:w="1622" w:type="dxa"/>
          </w:tcPr>
          <w:p>
            <w:pPr>
              <w:pStyle w:val="TableParagraph"/>
              <w:spacing w:line="242" w:lineRule="auto" w:before="1"/>
              <w:ind w:left="107" w:right="242"/>
              <w:rPr>
                <w:sz w:val="21"/>
              </w:rPr>
            </w:pPr>
            <w:r>
              <w:rPr>
                <w:sz w:val="21"/>
              </w:rPr>
              <w:t>富联科技(周口)有限公司 </w:t>
            </w:r>
          </w:p>
        </w:tc>
        <w:tc>
          <w:tcPr>
            <w:tcW w:w="1181" w:type="dxa"/>
          </w:tcPr>
          <w:p>
            <w:pPr>
              <w:pStyle w:val="TableParagraph"/>
              <w:spacing w:before="1"/>
              <w:ind w:left="105"/>
              <w:rPr>
                <w:sz w:val="21"/>
              </w:rPr>
            </w:pPr>
            <w:r>
              <w:rPr>
                <w:spacing w:val="-1"/>
                <w:sz w:val="21"/>
              </w:rPr>
              <w:t>中国,周口</w:t>
            </w:r>
            <w:r>
              <w:rPr>
                <w:sz w:val="21"/>
              </w:rPr>
              <w:t> </w:t>
            </w:r>
          </w:p>
        </w:tc>
        <w:tc>
          <w:tcPr>
            <w:tcW w:w="1164" w:type="dxa"/>
          </w:tcPr>
          <w:p>
            <w:pPr>
              <w:pStyle w:val="TableParagraph"/>
              <w:spacing w:before="1"/>
              <w:ind w:left="106" w:right="-15"/>
              <w:rPr>
                <w:sz w:val="21"/>
              </w:rPr>
            </w:pPr>
            <w:r>
              <w:rPr>
                <w:spacing w:val="-1"/>
                <w:sz w:val="21"/>
              </w:rPr>
              <w:t>中国,周口</w:t>
            </w:r>
            <w:r>
              <w:rPr>
                <w:sz w:val="21"/>
              </w:rPr>
              <w:t> </w:t>
            </w:r>
          </w:p>
        </w:tc>
        <w:tc>
          <w:tcPr>
            <w:tcW w:w="1193" w:type="dxa"/>
          </w:tcPr>
          <w:p>
            <w:pPr>
              <w:pStyle w:val="TableParagraph"/>
              <w:spacing w:line="242" w:lineRule="auto" w:before="1"/>
              <w:ind w:left="108" w:right="230"/>
              <w:rPr>
                <w:sz w:val="21"/>
              </w:rPr>
            </w:pPr>
            <w:r>
              <w:rPr>
                <w:sz w:val="21"/>
              </w:rPr>
              <w:t>网络设</w:t>
            </w:r>
            <w:r>
              <w:rPr>
                <w:spacing w:val="1"/>
                <w:sz w:val="21"/>
              </w:rPr>
              <w:t> </w:t>
            </w:r>
            <w:r>
              <w:rPr>
                <w:spacing w:val="-1"/>
                <w:sz w:val="21"/>
              </w:rPr>
              <w:t>备、电信设备、通信网络、高精密机</w:t>
            </w:r>
          </w:p>
          <w:p>
            <w:pPr>
              <w:pStyle w:val="TableParagraph"/>
              <w:spacing w:line="252" w:lineRule="exact" w:before="2"/>
              <w:ind w:left="108"/>
              <w:rPr>
                <w:sz w:val="21"/>
              </w:rPr>
            </w:pPr>
            <w:r>
              <w:rPr>
                <w:sz w:val="21"/>
              </w:rPr>
              <w:t>构件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40" w:right="54"/>
              <w:jc w:val="center"/>
              <w:rPr>
                <w:sz w:val="21"/>
              </w:rPr>
            </w:pPr>
            <w:r>
              <w:rPr>
                <w:sz w:val="21"/>
              </w:rPr>
              <w:t>子公司新设 </w:t>
            </w:r>
          </w:p>
        </w:tc>
      </w:tr>
      <w:tr>
        <w:trPr>
          <w:trHeight w:val="544" w:hRule="atLeast"/>
        </w:trPr>
        <w:tc>
          <w:tcPr>
            <w:tcW w:w="1622" w:type="dxa"/>
          </w:tcPr>
          <w:p>
            <w:pPr>
              <w:pStyle w:val="TableParagraph"/>
              <w:spacing w:before="1"/>
              <w:ind w:left="107"/>
              <w:rPr>
                <w:sz w:val="21"/>
              </w:rPr>
            </w:pPr>
            <w:r>
              <w:rPr>
                <w:sz w:val="21"/>
              </w:rPr>
              <w:t>宇博先进科技</w:t>
            </w:r>
          </w:p>
          <w:p>
            <w:pPr>
              <w:pStyle w:val="TableParagraph"/>
              <w:spacing w:line="252" w:lineRule="exact" w:before="2"/>
              <w:ind w:left="107"/>
              <w:rPr>
                <w:sz w:val="21"/>
              </w:rPr>
            </w:pPr>
            <w:r>
              <w:rPr>
                <w:spacing w:val="-1"/>
                <w:sz w:val="21"/>
              </w:rPr>
              <w:t>股份有限公司</w:t>
            </w:r>
            <w:r>
              <w:rPr>
                <w:sz w:val="21"/>
              </w:rPr>
              <w:t> </w:t>
            </w:r>
          </w:p>
        </w:tc>
        <w:tc>
          <w:tcPr>
            <w:tcW w:w="1181" w:type="dxa"/>
          </w:tcPr>
          <w:p>
            <w:pPr>
              <w:pStyle w:val="TableParagraph"/>
              <w:spacing w:before="1"/>
              <w:ind w:left="105"/>
              <w:rPr>
                <w:sz w:val="21"/>
              </w:rPr>
            </w:pPr>
            <w:r>
              <w:rPr>
                <w:spacing w:val="-1"/>
                <w:sz w:val="21"/>
              </w:rPr>
              <w:t>中国,台湾</w:t>
            </w:r>
            <w:r>
              <w:rPr>
                <w:sz w:val="21"/>
              </w:rPr>
              <w:t> </w:t>
            </w:r>
          </w:p>
        </w:tc>
        <w:tc>
          <w:tcPr>
            <w:tcW w:w="1164" w:type="dxa"/>
          </w:tcPr>
          <w:p>
            <w:pPr>
              <w:pStyle w:val="TableParagraph"/>
              <w:spacing w:before="1"/>
              <w:ind w:left="106" w:right="-15"/>
              <w:rPr>
                <w:sz w:val="21"/>
              </w:rPr>
            </w:pPr>
            <w:r>
              <w:rPr>
                <w:spacing w:val="-1"/>
                <w:sz w:val="21"/>
              </w:rPr>
              <w:t>中国,台湾</w:t>
            </w:r>
            <w:r>
              <w:rPr>
                <w:sz w:val="21"/>
              </w:rPr>
              <w:t> </w:t>
            </w:r>
          </w:p>
        </w:tc>
        <w:tc>
          <w:tcPr>
            <w:tcW w:w="1193" w:type="dxa"/>
          </w:tcPr>
          <w:p>
            <w:pPr>
              <w:pStyle w:val="TableParagraph"/>
              <w:spacing w:before="1"/>
              <w:ind w:left="108"/>
              <w:rPr>
                <w:sz w:val="21"/>
              </w:rPr>
            </w:pPr>
            <w:r>
              <w:rPr>
                <w:spacing w:val="-1"/>
                <w:sz w:val="21"/>
              </w:rPr>
              <w:t>技术开发</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73% </w:t>
            </w:r>
          </w:p>
        </w:tc>
        <w:tc>
          <w:tcPr>
            <w:tcW w:w="1294" w:type="dxa"/>
          </w:tcPr>
          <w:p>
            <w:pPr>
              <w:pStyle w:val="TableParagraph"/>
              <w:spacing w:before="1"/>
              <w:ind w:left="140" w:right="54"/>
              <w:jc w:val="center"/>
              <w:rPr>
                <w:sz w:val="21"/>
              </w:rPr>
            </w:pPr>
            <w:r>
              <w:rPr>
                <w:sz w:val="21"/>
              </w:rPr>
              <w:t>子公司新设 </w:t>
            </w:r>
          </w:p>
        </w:tc>
      </w:tr>
      <w:tr>
        <w:trPr>
          <w:trHeight w:val="1089" w:hRule="atLeast"/>
        </w:trPr>
        <w:tc>
          <w:tcPr>
            <w:tcW w:w="1622" w:type="dxa"/>
          </w:tcPr>
          <w:p>
            <w:pPr>
              <w:pStyle w:val="TableParagraph"/>
              <w:spacing w:line="242" w:lineRule="auto" w:before="1"/>
              <w:ind w:left="107" w:right="239"/>
              <w:jc w:val="both"/>
              <w:rPr>
                <w:sz w:val="21"/>
              </w:rPr>
            </w:pPr>
            <w:r>
              <w:rPr>
                <w:spacing w:val="-1"/>
                <w:sz w:val="21"/>
              </w:rPr>
              <w:t>衡阳智造谷职业培训学校有</w:t>
            </w:r>
            <w:r>
              <w:rPr>
                <w:sz w:val="21"/>
              </w:rPr>
              <w:t>限公司 </w:t>
            </w:r>
          </w:p>
        </w:tc>
        <w:tc>
          <w:tcPr>
            <w:tcW w:w="1181" w:type="dxa"/>
          </w:tcPr>
          <w:p>
            <w:pPr>
              <w:pStyle w:val="TableParagraph"/>
              <w:spacing w:before="1"/>
              <w:ind w:left="105"/>
              <w:rPr>
                <w:sz w:val="21"/>
              </w:rPr>
            </w:pPr>
            <w:r>
              <w:rPr>
                <w:spacing w:val="-1"/>
                <w:sz w:val="21"/>
              </w:rPr>
              <w:t>中国,衡阳</w:t>
            </w:r>
            <w:r>
              <w:rPr>
                <w:sz w:val="21"/>
              </w:rPr>
              <w:t> </w:t>
            </w:r>
          </w:p>
        </w:tc>
        <w:tc>
          <w:tcPr>
            <w:tcW w:w="1164" w:type="dxa"/>
          </w:tcPr>
          <w:p>
            <w:pPr>
              <w:pStyle w:val="TableParagraph"/>
              <w:spacing w:before="1"/>
              <w:ind w:left="106" w:right="-15"/>
              <w:rPr>
                <w:sz w:val="21"/>
              </w:rPr>
            </w:pPr>
            <w:r>
              <w:rPr>
                <w:spacing w:val="-1"/>
                <w:sz w:val="21"/>
              </w:rPr>
              <w:t>中国,衡阳</w:t>
            </w:r>
            <w:r>
              <w:rPr>
                <w:sz w:val="21"/>
              </w:rPr>
              <w:t> </w:t>
            </w:r>
          </w:p>
        </w:tc>
        <w:tc>
          <w:tcPr>
            <w:tcW w:w="1193" w:type="dxa"/>
          </w:tcPr>
          <w:p>
            <w:pPr>
              <w:pStyle w:val="TableParagraph"/>
              <w:spacing w:line="242" w:lineRule="auto" w:before="1"/>
              <w:ind w:left="108" w:right="230"/>
              <w:rPr>
                <w:sz w:val="21"/>
              </w:rPr>
            </w:pPr>
            <w:r>
              <w:rPr>
                <w:sz w:val="21"/>
              </w:rPr>
              <w:t>教育咨</w:t>
            </w:r>
            <w:r>
              <w:rPr>
                <w:spacing w:val="1"/>
                <w:sz w:val="21"/>
              </w:rPr>
              <w:t> </w:t>
            </w:r>
            <w:r>
              <w:rPr>
                <w:spacing w:val="-1"/>
                <w:sz w:val="21"/>
              </w:rPr>
              <w:t>询、职业培训、教</w:t>
            </w:r>
          </w:p>
          <w:p>
            <w:pPr>
              <w:pStyle w:val="TableParagraph"/>
              <w:spacing w:line="252" w:lineRule="exact"/>
              <w:ind w:left="108"/>
              <w:rPr>
                <w:sz w:val="21"/>
              </w:rPr>
            </w:pPr>
            <w:r>
              <w:rPr>
                <w:sz w:val="21"/>
              </w:rPr>
              <w:t>具销售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40" w:right="54"/>
              <w:jc w:val="center"/>
              <w:rPr>
                <w:sz w:val="21"/>
              </w:rPr>
            </w:pPr>
            <w:r>
              <w:rPr>
                <w:sz w:val="21"/>
              </w:rPr>
              <w:t>子公司新设 </w:t>
            </w:r>
          </w:p>
        </w:tc>
      </w:tr>
      <w:tr>
        <w:trPr>
          <w:trHeight w:val="1089" w:hRule="atLeast"/>
        </w:trPr>
        <w:tc>
          <w:tcPr>
            <w:tcW w:w="1622" w:type="dxa"/>
          </w:tcPr>
          <w:p>
            <w:pPr>
              <w:pStyle w:val="TableParagraph"/>
              <w:spacing w:line="242" w:lineRule="auto" w:before="1"/>
              <w:ind w:left="107" w:right="134"/>
              <w:rPr>
                <w:sz w:val="21"/>
              </w:rPr>
            </w:pPr>
            <w:r>
              <w:rPr>
                <w:sz w:val="21"/>
              </w:rPr>
              <w:t>Ingrasys</w:t>
            </w:r>
            <w:r>
              <w:rPr>
                <w:spacing w:val="1"/>
                <w:sz w:val="21"/>
              </w:rPr>
              <w:t> </w:t>
            </w:r>
            <w:r>
              <w:rPr>
                <w:sz w:val="21"/>
              </w:rPr>
              <w:t>Technology</w:t>
            </w:r>
            <w:r>
              <w:rPr>
                <w:spacing w:val="1"/>
                <w:sz w:val="21"/>
              </w:rPr>
              <w:t> </w:t>
            </w:r>
            <w:r>
              <w:rPr>
                <w:sz w:val="21"/>
              </w:rPr>
              <w:t>Mexico S.A. </w:t>
            </w:r>
          </w:p>
          <w:p>
            <w:pPr>
              <w:pStyle w:val="TableParagraph"/>
              <w:spacing w:line="252" w:lineRule="exact" w:before="1"/>
              <w:ind w:left="107"/>
              <w:rPr>
                <w:sz w:val="21"/>
              </w:rPr>
            </w:pPr>
            <w:r>
              <w:rPr>
                <w:sz w:val="21"/>
              </w:rPr>
              <w:t>de</w:t>
            </w:r>
            <w:r>
              <w:rPr>
                <w:spacing w:val="-1"/>
                <w:sz w:val="21"/>
              </w:rPr>
              <w:t> </w:t>
            </w:r>
            <w:r>
              <w:rPr>
                <w:sz w:val="21"/>
              </w:rPr>
              <w:t>C.V. </w:t>
            </w:r>
          </w:p>
        </w:tc>
        <w:tc>
          <w:tcPr>
            <w:tcW w:w="1181" w:type="dxa"/>
          </w:tcPr>
          <w:p>
            <w:pPr>
              <w:pStyle w:val="TableParagraph"/>
              <w:spacing w:before="1"/>
              <w:ind w:left="105"/>
              <w:rPr>
                <w:sz w:val="21"/>
              </w:rPr>
            </w:pPr>
            <w:r>
              <w:rPr>
                <w:sz w:val="21"/>
              </w:rPr>
              <w:t>墨西哥 </w:t>
            </w:r>
          </w:p>
        </w:tc>
        <w:tc>
          <w:tcPr>
            <w:tcW w:w="1164" w:type="dxa"/>
          </w:tcPr>
          <w:p>
            <w:pPr>
              <w:pStyle w:val="TableParagraph"/>
              <w:spacing w:before="1"/>
              <w:ind w:left="106"/>
              <w:rPr>
                <w:sz w:val="21"/>
              </w:rPr>
            </w:pPr>
            <w:r>
              <w:rPr>
                <w:sz w:val="21"/>
              </w:rPr>
              <w:t>墨西哥 </w:t>
            </w:r>
          </w:p>
        </w:tc>
        <w:tc>
          <w:tcPr>
            <w:tcW w:w="1193" w:type="dxa"/>
          </w:tcPr>
          <w:p>
            <w:pPr>
              <w:pStyle w:val="TableParagraph"/>
              <w:spacing w:line="242" w:lineRule="auto" w:before="1"/>
              <w:ind w:left="108" w:right="230"/>
              <w:rPr>
                <w:sz w:val="21"/>
              </w:rPr>
            </w:pPr>
            <w:r>
              <w:rPr>
                <w:spacing w:val="-1"/>
                <w:sz w:val="21"/>
              </w:rPr>
              <w:t>服务器、</w:t>
            </w:r>
            <w:r>
              <w:rPr>
                <w:sz w:val="21"/>
              </w:rPr>
              <w:t>内存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40" w:right="54"/>
              <w:jc w:val="center"/>
              <w:rPr>
                <w:sz w:val="21"/>
              </w:rPr>
            </w:pPr>
            <w:r>
              <w:rPr>
                <w:sz w:val="21"/>
              </w:rPr>
              <w:t>子公司新设 </w:t>
            </w:r>
          </w:p>
        </w:tc>
      </w:tr>
      <w:tr>
        <w:trPr>
          <w:trHeight w:val="1360" w:hRule="atLeast"/>
        </w:trPr>
        <w:tc>
          <w:tcPr>
            <w:tcW w:w="1622" w:type="dxa"/>
          </w:tcPr>
          <w:p>
            <w:pPr>
              <w:pStyle w:val="TableParagraph"/>
              <w:spacing w:line="242" w:lineRule="auto" w:before="1"/>
              <w:ind w:left="107" w:right="134"/>
              <w:rPr>
                <w:sz w:val="21"/>
              </w:rPr>
            </w:pPr>
            <w:r>
              <w:rPr>
                <w:sz w:val="21"/>
              </w:rPr>
              <w:t>Foxconn</w:t>
            </w:r>
            <w:r>
              <w:rPr>
                <w:spacing w:val="1"/>
                <w:sz w:val="21"/>
              </w:rPr>
              <w:t> </w:t>
            </w:r>
            <w:r>
              <w:rPr>
                <w:sz w:val="21"/>
              </w:rPr>
              <w:t>Technology</w:t>
            </w:r>
            <w:r>
              <w:rPr>
                <w:spacing w:val="1"/>
                <w:sz w:val="21"/>
              </w:rPr>
              <w:t> </w:t>
            </w:r>
            <w:r>
              <w:rPr>
                <w:sz w:val="21"/>
              </w:rPr>
              <w:t>Service and</w:t>
            </w:r>
            <w:r>
              <w:rPr>
                <w:spacing w:val="1"/>
                <w:sz w:val="21"/>
              </w:rPr>
              <w:t> </w:t>
            </w:r>
            <w:r>
              <w:rPr>
                <w:sz w:val="21"/>
              </w:rPr>
              <w:t>Logistics </w:t>
            </w:r>
          </w:p>
          <w:p>
            <w:pPr>
              <w:pStyle w:val="TableParagraph"/>
              <w:spacing w:line="250" w:lineRule="exact" w:before="2"/>
              <w:ind w:left="107"/>
              <w:rPr>
                <w:sz w:val="21"/>
              </w:rPr>
            </w:pPr>
            <w:r>
              <w:rPr>
                <w:sz w:val="21"/>
              </w:rPr>
              <w:t>Limited </w:t>
            </w:r>
          </w:p>
        </w:tc>
        <w:tc>
          <w:tcPr>
            <w:tcW w:w="1181" w:type="dxa"/>
          </w:tcPr>
          <w:p>
            <w:pPr>
              <w:pStyle w:val="TableParagraph"/>
              <w:spacing w:before="1"/>
              <w:ind w:left="105"/>
              <w:rPr>
                <w:sz w:val="21"/>
              </w:rPr>
            </w:pPr>
            <w:r>
              <w:rPr>
                <w:spacing w:val="-1"/>
                <w:sz w:val="21"/>
              </w:rPr>
              <w:t>中国,香港</w:t>
            </w:r>
            <w:r>
              <w:rPr>
                <w:sz w:val="21"/>
              </w:rPr>
              <w:t> </w:t>
            </w:r>
          </w:p>
        </w:tc>
        <w:tc>
          <w:tcPr>
            <w:tcW w:w="1164" w:type="dxa"/>
          </w:tcPr>
          <w:p>
            <w:pPr>
              <w:pStyle w:val="TableParagraph"/>
              <w:spacing w:before="1"/>
              <w:ind w:left="106" w:right="-15"/>
              <w:rPr>
                <w:sz w:val="21"/>
              </w:rPr>
            </w:pPr>
            <w:r>
              <w:rPr>
                <w:spacing w:val="-1"/>
                <w:sz w:val="21"/>
              </w:rPr>
              <w:t>中国,香港</w:t>
            </w:r>
            <w:r>
              <w:rPr>
                <w:sz w:val="21"/>
              </w:rPr>
              <w:t> </w:t>
            </w:r>
          </w:p>
        </w:tc>
        <w:tc>
          <w:tcPr>
            <w:tcW w:w="1193" w:type="dxa"/>
          </w:tcPr>
          <w:p>
            <w:pPr>
              <w:pStyle w:val="TableParagraph"/>
              <w:spacing w:line="244" w:lineRule="auto" w:before="1"/>
              <w:ind w:left="108" w:right="126"/>
              <w:rPr>
                <w:sz w:val="21"/>
              </w:rPr>
            </w:pPr>
            <w:r>
              <w:rPr>
                <w:sz w:val="21"/>
              </w:rPr>
              <w:t>技术服</w:t>
            </w:r>
            <w:r>
              <w:rPr>
                <w:spacing w:val="5"/>
                <w:sz w:val="21"/>
              </w:rPr>
              <w:t> </w:t>
            </w:r>
            <w:r>
              <w:rPr>
                <w:sz w:val="21"/>
              </w:rPr>
              <w:t>务、物流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40" w:right="54"/>
              <w:jc w:val="center"/>
              <w:rPr>
                <w:sz w:val="21"/>
              </w:rPr>
            </w:pPr>
            <w:r>
              <w:rPr>
                <w:sz w:val="21"/>
              </w:rPr>
              <w:t>子公司新设 </w:t>
            </w:r>
          </w:p>
        </w:tc>
      </w:tr>
      <w:tr>
        <w:trPr>
          <w:trHeight w:val="817" w:hRule="atLeast"/>
        </w:trPr>
        <w:tc>
          <w:tcPr>
            <w:tcW w:w="1622" w:type="dxa"/>
          </w:tcPr>
          <w:p>
            <w:pPr>
              <w:pStyle w:val="TableParagraph"/>
              <w:spacing w:line="242" w:lineRule="auto" w:before="3"/>
              <w:ind w:left="107" w:right="239"/>
              <w:rPr>
                <w:sz w:val="21"/>
              </w:rPr>
            </w:pPr>
            <w:r>
              <w:rPr>
                <w:spacing w:val="-1"/>
                <w:sz w:val="21"/>
              </w:rPr>
              <w:t>富联精密科技(赣州)有限公</w:t>
            </w:r>
          </w:p>
          <w:p>
            <w:pPr>
              <w:pStyle w:val="TableParagraph"/>
              <w:spacing w:line="250" w:lineRule="exact" w:before="1"/>
              <w:ind w:left="107"/>
              <w:rPr>
                <w:sz w:val="21"/>
              </w:rPr>
            </w:pPr>
            <w:r>
              <w:rPr>
                <w:sz w:val="21"/>
              </w:rPr>
              <w:t>司 </w:t>
            </w:r>
          </w:p>
        </w:tc>
        <w:tc>
          <w:tcPr>
            <w:tcW w:w="1181" w:type="dxa"/>
          </w:tcPr>
          <w:p>
            <w:pPr>
              <w:pStyle w:val="TableParagraph"/>
              <w:spacing w:before="3"/>
              <w:ind w:left="105"/>
              <w:rPr>
                <w:sz w:val="21"/>
              </w:rPr>
            </w:pPr>
            <w:r>
              <w:rPr>
                <w:spacing w:val="-1"/>
                <w:sz w:val="21"/>
              </w:rPr>
              <w:t>中国,赣州</w:t>
            </w:r>
            <w:r>
              <w:rPr>
                <w:sz w:val="21"/>
              </w:rPr>
              <w:t> </w:t>
            </w:r>
          </w:p>
        </w:tc>
        <w:tc>
          <w:tcPr>
            <w:tcW w:w="1164" w:type="dxa"/>
          </w:tcPr>
          <w:p>
            <w:pPr>
              <w:pStyle w:val="TableParagraph"/>
              <w:spacing w:before="3"/>
              <w:ind w:left="106" w:right="-15"/>
              <w:rPr>
                <w:sz w:val="21"/>
              </w:rPr>
            </w:pPr>
            <w:r>
              <w:rPr>
                <w:spacing w:val="-1"/>
                <w:sz w:val="21"/>
              </w:rPr>
              <w:t>中国,赣州</w:t>
            </w:r>
            <w:r>
              <w:rPr>
                <w:sz w:val="21"/>
              </w:rPr>
              <w:t> </w:t>
            </w:r>
          </w:p>
        </w:tc>
        <w:tc>
          <w:tcPr>
            <w:tcW w:w="1193" w:type="dxa"/>
          </w:tcPr>
          <w:p>
            <w:pPr>
              <w:pStyle w:val="TableParagraph"/>
              <w:spacing w:before="3"/>
              <w:ind w:left="108"/>
              <w:rPr>
                <w:sz w:val="21"/>
              </w:rPr>
            </w:pPr>
            <w:r>
              <w:rPr>
                <w:sz w:val="21"/>
              </w:rPr>
              <w:t>制造业 </w:t>
            </w:r>
          </w:p>
        </w:tc>
        <w:tc>
          <w:tcPr>
            <w:tcW w:w="1178" w:type="dxa"/>
          </w:tcPr>
          <w:p>
            <w:pPr>
              <w:pStyle w:val="TableParagraph"/>
              <w:spacing w:before="3"/>
              <w:ind w:right="-15"/>
              <w:jc w:val="right"/>
              <w:rPr>
                <w:sz w:val="21"/>
              </w:rPr>
            </w:pPr>
            <w:r>
              <w:rPr>
                <w:w w:val="100"/>
                <w:sz w:val="21"/>
              </w:rPr>
              <w:t> </w:t>
            </w:r>
          </w:p>
        </w:tc>
        <w:tc>
          <w:tcPr>
            <w:tcW w:w="1191" w:type="dxa"/>
          </w:tcPr>
          <w:p>
            <w:pPr>
              <w:pStyle w:val="TableParagraph"/>
              <w:spacing w:before="3"/>
              <w:ind w:right="-15"/>
              <w:jc w:val="right"/>
              <w:rPr>
                <w:sz w:val="21"/>
              </w:rPr>
            </w:pPr>
            <w:r>
              <w:rPr>
                <w:sz w:val="21"/>
              </w:rPr>
              <w:t>100% </w:t>
            </w:r>
          </w:p>
        </w:tc>
        <w:tc>
          <w:tcPr>
            <w:tcW w:w="1294" w:type="dxa"/>
          </w:tcPr>
          <w:p>
            <w:pPr>
              <w:pStyle w:val="TableParagraph"/>
              <w:spacing w:before="3"/>
              <w:ind w:left="140" w:right="54"/>
              <w:jc w:val="center"/>
              <w:rPr>
                <w:sz w:val="21"/>
              </w:rPr>
            </w:pPr>
            <w:r>
              <w:rPr>
                <w:sz w:val="21"/>
              </w:rPr>
              <w:t>子公司新设 </w:t>
            </w:r>
          </w:p>
        </w:tc>
      </w:tr>
      <w:tr>
        <w:trPr>
          <w:trHeight w:val="544" w:hRule="atLeast"/>
        </w:trPr>
        <w:tc>
          <w:tcPr>
            <w:tcW w:w="1622" w:type="dxa"/>
          </w:tcPr>
          <w:p>
            <w:pPr>
              <w:pStyle w:val="TableParagraph"/>
              <w:spacing w:before="1"/>
              <w:ind w:left="107"/>
              <w:rPr>
                <w:sz w:val="21"/>
              </w:rPr>
            </w:pPr>
            <w:r>
              <w:rPr>
                <w:sz w:val="21"/>
              </w:rPr>
              <w:t>深圳恒驱电机</w:t>
            </w:r>
          </w:p>
          <w:p>
            <w:pPr>
              <w:pStyle w:val="TableParagraph"/>
              <w:spacing w:line="250" w:lineRule="exact" w:before="4"/>
              <w:ind w:left="107"/>
              <w:rPr>
                <w:sz w:val="21"/>
              </w:rPr>
            </w:pPr>
            <w:r>
              <w:rPr>
                <w:spacing w:val="-1"/>
                <w:sz w:val="21"/>
              </w:rPr>
              <w:t>有限公司</w:t>
            </w:r>
            <w:r>
              <w:rPr>
                <w:sz w:val="21"/>
              </w:rPr>
              <w:t> </w:t>
            </w:r>
          </w:p>
        </w:tc>
        <w:tc>
          <w:tcPr>
            <w:tcW w:w="1181" w:type="dxa"/>
          </w:tcPr>
          <w:p>
            <w:pPr>
              <w:pStyle w:val="TableParagraph"/>
              <w:spacing w:before="1"/>
              <w:ind w:left="105"/>
              <w:rPr>
                <w:sz w:val="21"/>
              </w:rPr>
            </w:pPr>
            <w:r>
              <w:rPr>
                <w:spacing w:val="-1"/>
                <w:sz w:val="21"/>
              </w:rPr>
              <w:t>中国,深圳</w:t>
            </w:r>
            <w:r>
              <w:rPr>
                <w:sz w:val="21"/>
              </w:rPr>
              <w:t> </w:t>
            </w:r>
          </w:p>
        </w:tc>
        <w:tc>
          <w:tcPr>
            <w:tcW w:w="1164" w:type="dxa"/>
          </w:tcPr>
          <w:p>
            <w:pPr>
              <w:pStyle w:val="TableParagraph"/>
              <w:spacing w:before="1"/>
              <w:ind w:left="106" w:right="-15"/>
              <w:rPr>
                <w:sz w:val="21"/>
              </w:rPr>
            </w:pPr>
            <w:r>
              <w:rPr>
                <w:spacing w:val="-1"/>
                <w:sz w:val="21"/>
              </w:rPr>
              <w:t>中国,深圳</w:t>
            </w:r>
            <w:r>
              <w:rPr>
                <w:sz w:val="21"/>
              </w:rPr>
              <w:t> </w:t>
            </w:r>
          </w:p>
        </w:tc>
        <w:tc>
          <w:tcPr>
            <w:tcW w:w="1193" w:type="dxa"/>
          </w:tcPr>
          <w:p>
            <w:pPr>
              <w:pStyle w:val="TableParagraph"/>
              <w:spacing w:before="1"/>
              <w:ind w:left="108"/>
              <w:rPr>
                <w:sz w:val="21"/>
              </w:rPr>
            </w:pPr>
            <w:r>
              <w:rPr>
                <w:sz w:val="21"/>
              </w:rPr>
              <w:t>电机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63% </w:t>
            </w:r>
          </w:p>
        </w:tc>
        <w:tc>
          <w:tcPr>
            <w:tcW w:w="1294" w:type="dxa"/>
          </w:tcPr>
          <w:p>
            <w:pPr>
              <w:pStyle w:val="TableParagraph"/>
              <w:spacing w:before="1"/>
              <w:ind w:left="106"/>
              <w:rPr>
                <w:sz w:val="21"/>
              </w:rPr>
            </w:pPr>
            <w:r>
              <w:rPr>
                <w:sz w:val="21"/>
              </w:rPr>
              <w:t>非同一控制</w:t>
            </w:r>
          </w:p>
          <w:p>
            <w:pPr>
              <w:pStyle w:val="TableParagraph"/>
              <w:spacing w:line="250" w:lineRule="exact" w:before="4"/>
              <w:ind w:left="106"/>
              <w:rPr>
                <w:sz w:val="21"/>
              </w:rPr>
            </w:pPr>
            <w:r>
              <w:rPr>
                <w:sz w:val="21"/>
              </w:rPr>
              <w:t>下企业合并 </w:t>
            </w:r>
          </w:p>
        </w:tc>
      </w:tr>
      <w:tr>
        <w:trPr>
          <w:trHeight w:val="818" w:hRule="atLeast"/>
        </w:trPr>
        <w:tc>
          <w:tcPr>
            <w:tcW w:w="1622" w:type="dxa"/>
          </w:tcPr>
          <w:p>
            <w:pPr>
              <w:pStyle w:val="TableParagraph"/>
              <w:spacing w:line="244" w:lineRule="auto" w:before="1"/>
              <w:ind w:left="107" w:right="239"/>
              <w:rPr>
                <w:sz w:val="21"/>
              </w:rPr>
            </w:pPr>
            <w:r>
              <w:rPr>
                <w:spacing w:val="-1"/>
                <w:sz w:val="21"/>
              </w:rPr>
              <w:t>广东恒驱电机</w:t>
            </w:r>
            <w:r>
              <w:rPr>
                <w:sz w:val="21"/>
              </w:rPr>
              <w:t>有限公司 </w:t>
            </w:r>
          </w:p>
        </w:tc>
        <w:tc>
          <w:tcPr>
            <w:tcW w:w="1181" w:type="dxa"/>
          </w:tcPr>
          <w:p>
            <w:pPr>
              <w:pStyle w:val="TableParagraph"/>
              <w:spacing w:before="1"/>
              <w:ind w:left="105"/>
              <w:rPr>
                <w:sz w:val="21"/>
              </w:rPr>
            </w:pPr>
            <w:r>
              <w:rPr>
                <w:spacing w:val="-1"/>
                <w:sz w:val="21"/>
              </w:rPr>
              <w:t>中国,广州</w:t>
            </w:r>
            <w:r>
              <w:rPr>
                <w:sz w:val="21"/>
              </w:rPr>
              <w:t> </w:t>
            </w:r>
          </w:p>
        </w:tc>
        <w:tc>
          <w:tcPr>
            <w:tcW w:w="1164" w:type="dxa"/>
          </w:tcPr>
          <w:p>
            <w:pPr>
              <w:pStyle w:val="TableParagraph"/>
              <w:spacing w:before="1"/>
              <w:ind w:left="106" w:right="-15"/>
              <w:rPr>
                <w:sz w:val="21"/>
              </w:rPr>
            </w:pPr>
            <w:r>
              <w:rPr>
                <w:spacing w:val="-1"/>
                <w:sz w:val="21"/>
              </w:rPr>
              <w:t>中国,广州</w:t>
            </w:r>
            <w:r>
              <w:rPr>
                <w:sz w:val="21"/>
              </w:rPr>
              <w:t> </w:t>
            </w:r>
          </w:p>
        </w:tc>
        <w:tc>
          <w:tcPr>
            <w:tcW w:w="1193" w:type="dxa"/>
          </w:tcPr>
          <w:p>
            <w:pPr>
              <w:pStyle w:val="TableParagraph"/>
              <w:spacing w:before="1"/>
              <w:ind w:left="108"/>
              <w:rPr>
                <w:sz w:val="21"/>
              </w:rPr>
            </w:pPr>
            <w:r>
              <w:rPr>
                <w:sz w:val="21"/>
              </w:rPr>
              <w:t>电气设备</w:t>
            </w:r>
          </w:p>
          <w:p>
            <w:pPr>
              <w:pStyle w:val="TableParagraph"/>
              <w:spacing w:line="270" w:lineRule="atLeast"/>
              <w:ind w:left="108" w:right="230"/>
              <w:rPr>
                <w:sz w:val="21"/>
              </w:rPr>
            </w:pPr>
            <w:r>
              <w:rPr>
                <w:spacing w:val="-1"/>
                <w:sz w:val="21"/>
              </w:rPr>
              <w:t>制造及销</w:t>
            </w:r>
            <w:r>
              <w:rPr>
                <w:sz w:val="21"/>
              </w:rPr>
              <w:t>售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63% </w:t>
            </w:r>
          </w:p>
        </w:tc>
        <w:tc>
          <w:tcPr>
            <w:tcW w:w="1294" w:type="dxa"/>
          </w:tcPr>
          <w:p>
            <w:pPr>
              <w:pStyle w:val="TableParagraph"/>
              <w:spacing w:line="244" w:lineRule="auto" w:before="1"/>
              <w:ind w:left="106" w:right="18"/>
              <w:rPr>
                <w:sz w:val="21"/>
              </w:rPr>
            </w:pPr>
            <w:r>
              <w:rPr>
                <w:sz w:val="21"/>
              </w:rPr>
              <w:t>非同一控制下企业合并 </w:t>
            </w:r>
          </w:p>
        </w:tc>
      </w:tr>
      <w:tr>
        <w:trPr>
          <w:trHeight w:val="817" w:hRule="atLeast"/>
        </w:trPr>
        <w:tc>
          <w:tcPr>
            <w:tcW w:w="1622" w:type="dxa"/>
          </w:tcPr>
          <w:p>
            <w:pPr>
              <w:pStyle w:val="TableParagraph"/>
              <w:spacing w:line="242" w:lineRule="auto" w:before="1"/>
              <w:ind w:left="107" w:right="239"/>
              <w:rPr>
                <w:sz w:val="21"/>
              </w:rPr>
            </w:pPr>
            <w:r>
              <w:rPr>
                <w:spacing w:val="-1"/>
                <w:sz w:val="21"/>
              </w:rPr>
              <w:t>富联卓越科技(绍兴)有限公</w:t>
            </w:r>
          </w:p>
          <w:p>
            <w:pPr>
              <w:pStyle w:val="TableParagraph"/>
              <w:spacing w:line="252" w:lineRule="exact" w:before="1"/>
              <w:ind w:left="107"/>
              <w:rPr>
                <w:sz w:val="21"/>
              </w:rPr>
            </w:pPr>
            <w:r>
              <w:rPr>
                <w:sz w:val="21"/>
              </w:rPr>
              <w:t>司 </w:t>
            </w:r>
          </w:p>
        </w:tc>
        <w:tc>
          <w:tcPr>
            <w:tcW w:w="1181" w:type="dxa"/>
          </w:tcPr>
          <w:p>
            <w:pPr>
              <w:pStyle w:val="TableParagraph"/>
              <w:spacing w:before="1"/>
              <w:ind w:left="105"/>
              <w:rPr>
                <w:sz w:val="21"/>
              </w:rPr>
            </w:pPr>
            <w:r>
              <w:rPr>
                <w:spacing w:val="-1"/>
                <w:sz w:val="21"/>
              </w:rPr>
              <w:t>中国,绍兴</w:t>
            </w:r>
            <w:r>
              <w:rPr>
                <w:sz w:val="21"/>
              </w:rPr>
              <w:t> </w:t>
            </w:r>
          </w:p>
        </w:tc>
        <w:tc>
          <w:tcPr>
            <w:tcW w:w="1164" w:type="dxa"/>
          </w:tcPr>
          <w:p>
            <w:pPr>
              <w:pStyle w:val="TableParagraph"/>
              <w:spacing w:before="1"/>
              <w:ind w:left="106" w:right="-15"/>
              <w:rPr>
                <w:sz w:val="21"/>
              </w:rPr>
            </w:pPr>
            <w:r>
              <w:rPr>
                <w:spacing w:val="-1"/>
                <w:sz w:val="21"/>
              </w:rPr>
              <w:t>中国,绍兴</w:t>
            </w:r>
            <w:r>
              <w:rPr>
                <w:sz w:val="21"/>
              </w:rPr>
              <w:t> </w:t>
            </w:r>
          </w:p>
        </w:tc>
        <w:tc>
          <w:tcPr>
            <w:tcW w:w="1193" w:type="dxa"/>
          </w:tcPr>
          <w:p>
            <w:pPr>
              <w:pStyle w:val="TableParagraph"/>
              <w:spacing w:line="242" w:lineRule="auto" w:before="1"/>
              <w:ind w:left="108" w:right="230"/>
              <w:rPr>
                <w:sz w:val="21"/>
              </w:rPr>
            </w:pPr>
            <w:r>
              <w:rPr>
                <w:spacing w:val="-1"/>
                <w:sz w:val="21"/>
              </w:rPr>
              <w:t>自动化设</w:t>
            </w:r>
            <w:r>
              <w:rPr>
                <w:spacing w:val="-4"/>
                <w:sz w:val="21"/>
              </w:rPr>
              <w:t>备制造、</w:t>
            </w:r>
          </w:p>
          <w:p>
            <w:pPr>
              <w:pStyle w:val="TableParagraph"/>
              <w:spacing w:line="252" w:lineRule="exact" w:before="1"/>
              <w:ind w:left="108"/>
              <w:rPr>
                <w:sz w:val="21"/>
              </w:rPr>
            </w:pPr>
            <w:r>
              <w:rPr>
                <w:spacing w:val="-1"/>
                <w:sz w:val="21"/>
              </w:rPr>
              <w:t>技术研发</w:t>
            </w:r>
            <w:r>
              <w:rPr>
                <w:sz w:val="21"/>
              </w:rPr>
              <w:t> </w:t>
            </w:r>
          </w:p>
        </w:tc>
        <w:tc>
          <w:tcPr>
            <w:tcW w:w="1178" w:type="dxa"/>
          </w:tcPr>
          <w:p>
            <w:pPr>
              <w:pStyle w:val="TableParagraph"/>
              <w:spacing w:before="1"/>
              <w:ind w:right="-15"/>
              <w:jc w:val="right"/>
              <w:rPr>
                <w:sz w:val="21"/>
              </w:rPr>
            </w:pPr>
            <w:r>
              <w:rPr>
                <w:w w:val="100"/>
                <w:sz w:val="21"/>
              </w:rPr>
              <w:t> </w:t>
            </w:r>
          </w:p>
        </w:tc>
        <w:tc>
          <w:tcPr>
            <w:tcW w:w="1191" w:type="dxa"/>
          </w:tcPr>
          <w:p>
            <w:pPr>
              <w:pStyle w:val="TableParagraph"/>
              <w:spacing w:before="1"/>
              <w:ind w:right="-15"/>
              <w:jc w:val="right"/>
              <w:rPr>
                <w:sz w:val="21"/>
              </w:rPr>
            </w:pPr>
            <w:r>
              <w:rPr>
                <w:sz w:val="21"/>
              </w:rPr>
              <w:t>100% </w:t>
            </w:r>
          </w:p>
        </w:tc>
        <w:tc>
          <w:tcPr>
            <w:tcW w:w="1294" w:type="dxa"/>
          </w:tcPr>
          <w:p>
            <w:pPr>
              <w:pStyle w:val="TableParagraph"/>
              <w:spacing w:before="1"/>
              <w:ind w:left="140" w:right="54"/>
              <w:jc w:val="center"/>
              <w:rPr>
                <w:sz w:val="21"/>
              </w:rPr>
            </w:pPr>
            <w:r>
              <w:rPr>
                <w:sz w:val="21"/>
              </w:rPr>
              <w:t>子公司新设 </w:t>
            </w:r>
          </w:p>
        </w:tc>
      </w:tr>
    </w:tbl>
    <w:p>
      <w:pPr>
        <w:pStyle w:val="BodyText"/>
        <w:spacing w:before="1"/>
      </w:pPr>
      <w:r>
        <w:rPr>
          <w:w w:val="100"/>
        </w:rPr>
        <w:t> </w:t>
      </w:r>
    </w:p>
    <w:p>
      <w:pPr>
        <w:pStyle w:val="BodyText"/>
        <w:spacing w:line="242" w:lineRule="auto" w:before="2"/>
        <w:ind w:right="5589"/>
      </w:pPr>
      <w:r>
        <w:rPr/>
        <w:t>在子公司的持股比例不同于表决权比例的说明：</w:t>
      </w:r>
      <w:r>
        <w:rPr>
          <w:spacing w:val="1"/>
        </w:rPr>
        <w:t> </w:t>
      </w:r>
      <w:r>
        <w:rPr/>
        <w:t>无 </w:t>
      </w:r>
    </w:p>
    <w:p>
      <w:pPr>
        <w:pStyle w:val="BodyText"/>
        <w:spacing w:before="1"/>
      </w:pPr>
      <w:r>
        <w:rPr>
          <w:w w:val="100"/>
        </w:rPr>
        <w:t> </w:t>
      </w:r>
    </w:p>
    <w:p>
      <w:pPr>
        <w:spacing w:after="0"/>
        <w:sectPr>
          <w:pgSz w:w="11910" w:h="16840"/>
          <w:pgMar w:header="882" w:footer="1184" w:top="1120" w:bottom="1380" w:left="1480" w:right="0"/>
        </w:sectPr>
      </w:pPr>
    </w:p>
    <w:p>
      <w:pPr>
        <w:pStyle w:val="BodyText"/>
        <w:spacing w:before="7"/>
        <w:ind w:left="0"/>
        <w:rPr>
          <w:sz w:val="25"/>
        </w:rPr>
      </w:pPr>
    </w:p>
    <w:p>
      <w:pPr>
        <w:pStyle w:val="BodyText"/>
        <w:spacing w:line="244" w:lineRule="auto" w:before="72"/>
        <w:ind w:right="1277"/>
      </w:pPr>
      <w:r>
        <w:rPr/>
        <w:t>持有半数或以下表决权但仍控制被投资单位、以及持有半数以上表决权但不控制被投资单位的依据： </w:t>
      </w:r>
    </w:p>
    <w:p>
      <w:pPr>
        <w:pStyle w:val="BodyText"/>
        <w:spacing w:line="265" w:lineRule="exact"/>
      </w:pPr>
      <w:r>
        <w:rPr/>
        <w:t>无 </w:t>
      </w:r>
    </w:p>
    <w:p>
      <w:pPr>
        <w:pStyle w:val="BodyText"/>
        <w:spacing w:before="5"/>
      </w:pPr>
      <w:r>
        <w:rPr>
          <w:w w:val="100"/>
        </w:rPr>
        <w:t> </w:t>
      </w:r>
    </w:p>
    <w:p>
      <w:pPr>
        <w:pStyle w:val="BodyText"/>
        <w:spacing w:line="244" w:lineRule="auto" w:before="2"/>
        <w:ind w:right="4957"/>
      </w:pPr>
      <w:r>
        <w:rPr/>
        <w:t>对于纳入合并范围的重要的结构化主体，控制的依据：</w:t>
      </w:r>
      <w:r>
        <w:rPr>
          <w:spacing w:val="1"/>
        </w:rPr>
        <w:t> </w:t>
      </w:r>
      <w:r>
        <w:rPr/>
        <w:t>无 </w:t>
      </w:r>
    </w:p>
    <w:p>
      <w:pPr>
        <w:pStyle w:val="BodyText"/>
        <w:spacing w:line="265" w:lineRule="exact"/>
      </w:pPr>
      <w:r>
        <w:rPr>
          <w:w w:val="100"/>
        </w:rPr>
        <w:t> </w:t>
      </w:r>
    </w:p>
    <w:p>
      <w:pPr>
        <w:pStyle w:val="BodyText"/>
        <w:spacing w:line="242" w:lineRule="auto" w:before="4"/>
        <w:ind w:right="6429"/>
      </w:pPr>
      <w:r>
        <w:rPr/>
        <w:t>确定公司是代理人还是委托人的依据：</w:t>
      </w:r>
      <w:r>
        <w:rPr>
          <w:spacing w:val="1"/>
        </w:rPr>
        <w:t> </w:t>
      </w:r>
      <w:r>
        <w:rPr/>
        <w:t>无 </w:t>
      </w:r>
    </w:p>
    <w:p>
      <w:pPr>
        <w:pStyle w:val="BodyText"/>
        <w:spacing w:before="1"/>
      </w:pPr>
      <w:r>
        <w:rPr>
          <w:w w:val="100"/>
        </w:rPr>
        <w:t> </w:t>
      </w:r>
    </w:p>
    <w:p>
      <w:pPr>
        <w:pStyle w:val="BodyText"/>
        <w:spacing w:line="244" w:lineRule="auto" w:before="3"/>
        <w:ind w:right="8949"/>
      </w:pPr>
      <w:r>
        <w:rPr/>
        <w:t>其他说明：</w:t>
      </w:r>
      <w:r>
        <w:rPr>
          <w:spacing w:val="1"/>
        </w:rPr>
        <w:t> </w:t>
      </w:r>
      <w:r>
        <w:rPr/>
        <w:t>无 </w:t>
      </w:r>
    </w:p>
    <w:p>
      <w:pPr>
        <w:pStyle w:val="BodyText"/>
        <w:spacing w:line="265" w:lineRule="exact"/>
      </w:pPr>
      <w:r>
        <w:rPr>
          <w:w w:val="100"/>
        </w:rPr>
        <w:t> </w:t>
      </w:r>
    </w:p>
    <w:p>
      <w:pPr>
        <w:pStyle w:val="ListParagraph"/>
        <w:numPr>
          <w:ilvl w:val="0"/>
          <w:numId w:val="83"/>
        </w:numPr>
        <w:tabs>
          <w:tab w:pos="743" w:val="left" w:leader="none"/>
        </w:tabs>
        <w:spacing w:line="240" w:lineRule="auto" w:before="64" w:after="0"/>
        <w:ind w:left="742" w:right="0" w:hanging="425"/>
        <w:jc w:val="left"/>
        <w:rPr>
          <w:sz w:val="21"/>
        </w:rPr>
      </w:pPr>
      <w:r>
        <w:rPr>
          <w:sz w:val="21"/>
        </w:rPr>
        <w:t>重要的非全资子公司 </w:t>
      </w:r>
    </w:p>
    <w:p>
      <w:pPr>
        <w:pStyle w:val="BodyText"/>
        <w:spacing w:before="63"/>
      </w:pPr>
      <w:r>
        <w:rPr>
          <w:spacing w:val="-1"/>
        </w:rPr>
        <w:t>□适用 √不适用</w:t>
      </w:r>
      <w:r>
        <w:rPr>
          <w:spacing w:val="-3"/>
        </w:rPr>
        <w:t> </w:t>
      </w:r>
      <w:r>
        <w:rPr/>
        <w:t> </w:t>
      </w:r>
    </w:p>
    <w:p>
      <w:pPr>
        <w:pStyle w:val="BodyText"/>
        <w:spacing w:before="4"/>
      </w:pPr>
      <w:r>
        <w:rPr>
          <w:w w:val="100"/>
        </w:rPr>
        <w:t> </w:t>
      </w:r>
    </w:p>
    <w:p>
      <w:pPr>
        <w:pStyle w:val="BodyText"/>
        <w:spacing w:before="3"/>
      </w:pPr>
      <w:r>
        <w:rPr>
          <w:w w:val="100"/>
        </w:rPr>
        <w:t> </w:t>
      </w:r>
    </w:p>
    <w:p>
      <w:pPr>
        <w:pStyle w:val="ListParagraph"/>
        <w:numPr>
          <w:ilvl w:val="0"/>
          <w:numId w:val="83"/>
        </w:numPr>
        <w:tabs>
          <w:tab w:pos="743" w:val="left" w:leader="none"/>
        </w:tabs>
        <w:spacing w:line="240" w:lineRule="auto" w:before="64" w:after="0"/>
        <w:ind w:left="742" w:right="0" w:hanging="425"/>
        <w:jc w:val="left"/>
        <w:rPr>
          <w:sz w:val="21"/>
        </w:rPr>
      </w:pPr>
      <w:r>
        <w:rPr>
          <w:sz w:val="21"/>
        </w:rPr>
        <w:t>重要非全资子公司的主要财务信息 </w:t>
      </w:r>
    </w:p>
    <w:p>
      <w:pPr>
        <w:pStyle w:val="BodyText"/>
        <w:spacing w:before="62"/>
      </w:pPr>
      <w:r>
        <w:rPr>
          <w:spacing w:val="-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ListParagraph"/>
        <w:numPr>
          <w:ilvl w:val="0"/>
          <w:numId w:val="83"/>
        </w:numPr>
        <w:tabs>
          <w:tab w:pos="743" w:val="left" w:leader="none"/>
        </w:tabs>
        <w:spacing w:line="240" w:lineRule="auto" w:before="62" w:after="0"/>
        <w:ind w:left="742" w:right="0" w:hanging="425"/>
        <w:jc w:val="left"/>
        <w:rPr>
          <w:sz w:val="21"/>
        </w:rPr>
      </w:pPr>
      <w:r>
        <w:rPr>
          <w:sz w:val="21"/>
        </w:rPr>
        <w:t>使用企业集团资产和清偿企业集团债务的重大限制 </w:t>
      </w:r>
    </w:p>
    <w:p>
      <w:pPr>
        <w:pStyle w:val="BodyText"/>
        <w:spacing w:before="65"/>
      </w:pPr>
      <w:r>
        <w:rPr>
          <w:spacing w:val="-1"/>
        </w:rPr>
        <w:t>□适用 √不适用</w:t>
      </w:r>
      <w:r>
        <w:rPr>
          <w:spacing w:val="-3"/>
        </w:rPr>
        <w:t> </w:t>
      </w:r>
      <w:r>
        <w:rPr/>
        <w:t> </w:t>
      </w:r>
    </w:p>
    <w:p>
      <w:pPr>
        <w:pStyle w:val="BodyText"/>
        <w:spacing w:before="2"/>
      </w:pPr>
      <w:r>
        <w:rPr>
          <w:w w:val="100"/>
        </w:rPr>
        <w:t> </w:t>
      </w:r>
    </w:p>
    <w:p>
      <w:pPr>
        <w:pStyle w:val="ListParagraph"/>
        <w:numPr>
          <w:ilvl w:val="0"/>
          <w:numId w:val="83"/>
        </w:numPr>
        <w:tabs>
          <w:tab w:pos="743" w:val="left" w:leader="none"/>
        </w:tabs>
        <w:spacing w:line="240" w:lineRule="auto" w:before="64" w:after="0"/>
        <w:ind w:left="742" w:right="0" w:hanging="425"/>
        <w:jc w:val="left"/>
        <w:rPr>
          <w:sz w:val="21"/>
        </w:rPr>
      </w:pPr>
      <w:r>
        <w:rPr>
          <w:sz w:val="21"/>
        </w:rPr>
        <w:t>向纳入合并财务报表范围的结构化主体提供的财务支持或其他支持 </w:t>
      </w:r>
    </w:p>
    <w:p>
      <w:pPr>
        <w:pStyle w:val="BodyText"/>
        <w:spacing w:before="63"/>
      </w:pPr>
      <w:r>
        <w:rPr>
          <w:spacing w:val="11"/>
        </w:rPr>
        <w:t>□适用 √不适用</w:t>
      </w:r>
      <w:r>
        <w:rPr>
          <w:spacing w:val="-3"/>
        </w:rPr>
        <w:t> </w:t>
      </w:r>
      <w:r>
        <w:rPr/>
        <w:t> </w:t>
      </w:r>
    </w:p>
    <w:p>
      <w:pPr>
        <w:pStyle w:val="BodyText"/>
        <w:spacing w:before="4"/>
      </w:pPr>
      <w:r>
        <w:rPr>
          <w:w w:val="100"/>
        </w:rPr>
        <w:t> </w:t>
      </w:r>
    </w:p>
    <w:p>
      <w:pPr>
        <w:pStyle w:val="BodyText"/>
        <w:spacing w:before="2"/>
      </w:pPr>
      <w:r>
        <w:rPr/>
        <w:t>其他说明： </w:t>
      </w:r>
    </w:p>
    <w:p>
      <w:pPr>
        <w:pStyle w:val="BodyText"/>
        <w:spacing w:before="5"/>
      </w:pPr>
      <w:r>
        <w:rPr>
          <w:spacing w:val="-1"/>
        </w:rPr>
        <w:t>□适用 √不适用</w:t>
      </w:r>
      <w:r>
        <w:rPr>
          <w:spacing w:val="-3"/>
        </w:rPr>
        <w:t> </w:t>
      </w:r>
      <w:r>
        <w:rPr/>
        <w:t> </w:t>
      </w:r>
    </w:p>
    <w:p>
      <w:pPr>
        <w:pStyle w:val="BodyText"/>
        <w:spacing w:before="2"/>
      </w:pPr>
      <w:r>
        <w:rPr>
          <w:w w:val="100"/>
        </w:rPr>
        <w:t> </w:t>
      </w:r>
    </w:p>
    <w:p>
      <w:pPr>
        <w:pStyle w:val="BodyText"/>
        <w:spacing w:before="65"/>
      </w:pPr>
      <w:r>
        <w:rPr/>
        <w:t>2、 在子公司的所有者权益份额发生变化且仍控制子公司的交易 </w:t>
      </w:r>
    </w:p>
    <w:p>
      <w:pPr>
        <w:pStyle w:val="BodyText"/>
        <w:spacing w:before="62"/>
      </w:pPr>
      <w:r>
        <w:rPr>
          <w:spacing w:val="-1"/>
        </w:rPr>
        <w:t>□适用 √不适用</w:t>
      </w:r>
      <w:r>
        <w:rPr>
          <w:spacing w:val="-3"/>
        </w:rPr>
        <w:t> </w:t>
      </w:r>
      <w:r>
        <w:rPr/>
        <w:t> </w:t>
      </w:r>
    </w:p>
    <w:p>
      <w:pPr>
        <w:pStyle w:val="BodyText"/>
        <w:spacing w:before="4"/>
      </w:pPr>
      <w:r>
        <w:rPr>
          <w:w w:val="100"/>
        </w:rPr>
        <w:t> </w:t>
      </w:r>
    </w:p>
    <w:p>
      <w:pPr>
        <w:pStyle w:val="BodyText"/>
        <w:spacing w:before="63"/>
      </w:pPr>
      <w:r>
        <w:rPr/>
        <w:t>3、 在合营企业或联营企业中的权益 </w:t>
      </w:r>
    </w:p>
    <w:p>
      <w:pPr>
        <w:pStyle w:val="BodyText"/>
        <w:spacing w:before="64"/>
      </w:pPr>
      <w:r>
        <w:rPr>
          <w:spacing w:val="-1"/>
        </w:rPr>
        <w:t>√适用 □不适用</w:t>
      </w:r>
      <w:r>
        <w:rPr>
          <w:spacing w:val="-3"/>
        </w:rPr>
        <w:t> </w:t>
      </w:r>
      <w:r>
        <w:rPr/>
        <w:t> </w:t>
      </w:r>
    </w:p>
    <w:p>
      <w:pPr>
        <w:pStyle w:val="ListParagraph"/>
        <w:numPr>
          <w:ilvl w:val="0"/>
          <w:numId w:val="84"/>
        </w:numPr>
        <w:tabs>
          <w:tab w:pos="743" w:val="left" w:leader="none"/>
        </w:tabs>
        <w:spacing w:line="240" w:lineRule="auto" w:before="62" w:after="0"/>
        <w:ind w:left="742" w:right="0" w:hanging="425"/>
        <w:jc w:val="left"/>
        <w:rPr>
          <w:sz w:val="21"/>
        </w:rPr>
      </w:pPr>
      <w:r>
        <w:rPr>
          <w:sz w:val="21"/>
        </w:rPr>
        <w:t>重要的合营企业或联营企业 </w:t>
      </w:r>
    </w:p>
    <w:p>
      <w:pPr>
        <w:pStyle w:val="BodyText"/>
        <w:spacing w:before="65"/>
      </w:pPr>
      <w:r>
        <w:rPr>
          <w:spacing w:val="11"/>
        </w:rPr>
        <w:t>√适用 □不适用</w:t>
      </w:r>
      <w:r>
        <w:rPr>
          <w:spacing w:val="-3"/>
        </w:rPr>
        <w:t> </w:t>
      </w:r>
      <w:r>
        <w:rPr/>
        <w:t> </w:t>
      </w:r>
    </w:p>
    <w:p>
      <w:pPr>
        <w:pStyle w:val="BodyText"/>
        <w:spacing w:before="2" w:after="4"/>
        <w:ind w:left="6839"/>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8"/>
        <w:gridCol w:w="1296"/>
        <w:gridCol w:w="1219"/>
        <w:gridCol w:w="1260"/>
        <w:gridCol w:w="1034"/>
        <w:gridCol w:w="1066"/>
        <w:gridCol w:w="1769"/>
      </w:tblGrid>
      <w:tr>
        <w:trPr>
          <w:trHeight w:val="450" w:hRule="atLeast"/>
        </w:trPr>
        <w:tc>
          <w:tcPr>
            <w:tcW w:w="1178" w:type="dxa"/>
            <w:vMerge w:val="restart"/>
          </w:tcPr>
          <w:p>
            <w:pPr>
              <w:pStyle w:val="TableParagraph"/>
              <w:spacing w:line="242" w:lineRule="auto" w:before="1"/>
              <w:ind w:left="167" w:right="155"/>
              <w:rPr>
                <w:sz w:val="21"/>
              </w:rPr>
            </w:pPr>
            <w:r>
              <w:rPr>
                <w:spacing w:val="-1"/>
                <w:sz w:val="21"/>
              </w:rPr>
              <w:t>合营企业</w:t>
            </w:r>
            <w:r>
              <w:rPr>
                <w:spacing w:val="-4"/>
                <w:sz w:val="21"/>
              </w:rPr>
              <w:t>或联营企</w:t>
            </w:r>
          </w:p>
          <w:p>
            <w:pPr>
              <w:pStyle w:val="TableParagraph"/>
              <w:spacing w:line="250" w:lineRule="exact" w:before="1"/>
              <w:ind w:left="273"/>
              <w:rPr>
                <w:sz w:val="21"/>
              </w:rPr>
            </w:pPr>
            <w:r>
              <w:rPr>
                <w:sz w:val="21"/>
              </w:rPr>
              <w:t>业名称 </w:t>
            </w:r>
          </w:p>
        </w:tc>
        <w:tc>
          <w:tcPr>
            <w:tcW w:w="1296" w:type="dxa"/>
            <w:vMerge w:val="restart"/>
          </w:tcPr>
          <w:p>
            <w:pPr>
              <w:pStyle w:val="TableParagraph"/>
              <w:spacing w:before="3"/>
              <w:rPr>
                <w:sz w:val="21"/>
              </w:rPr>
            </w:pPr>
          </w:p>
          <w:p>
            <w:pPr>
              <w:pStyle w:val="TableParagraph"/>
              <w:ind w:left="122"/>
              <w:rPr>
                <w:sz w:val="21"/>
              </w:rPr>
            </w:pPr>
            <w:r>
              <w:rPr>
                <w:sz w:val="21"/>
              </w:rPr>
              <w:t>主要经营地 </w:t>
            </w:r>
          </w:p>
        </w:tc>
        <w:tc>
          <w:tcPr>
            <w:tcW w:w="1219" w:type="dxa"/>
            <w:vMerge w:val="restart"/>
          </w:tcPr>
          <w:p>
            <w:pPr>
              <w:pStyle w:val="TableParagraph"/>
              <w:spacing w:before="3"/>
              <w:rPr>
                <w:sz w:val="21"/>
              </w:rPr>
            </w:pPr>
          </w:p>
          <w:p>
            <w:pPr>
              <w:pStyle w:val="TableParagraph"/>
              <w:ind w:left="293"/>
              <w:rPr>
                <w:sz w:val="21"/>
              </w:rPr>
            </w:pPr>
            <w:r>
              <w:rPr>
                <w:sz w:val="21"/>
              </w:rPr>
              <w:t>注册地 </w:t>
            </w:r>
          </w:p>
        </w:tc>
        <w:tc>
          <w:tcPr>
            <w:tcW w:w="1260" w:type="dxa"/>
            <w:vMerge w:val="restart"/>
          </w:tcPr>
          <w:p>
            <w:pPr>
              <w:pStyle w:val="TableParagraph"/>
              <w:spacing w:before="3"/>
              <w:rPr>
                <w:sz w:val="21"/>
              </w:rPr>
            </w:pPr>
          </w:p>
          <w:p>
            <w:pPr>
              <w:pStyle w:val="TableParagraph"/>
              <w:ind w:left="209"/>
              <w:rPr>
                <w:sz w:val="21"/>
              </w:rPr>
            </w:pPr>
            <w:r>
              <w:rPr>
                <w:spacing w:val="-1"/>
                <w:sz w:val="21"/>
              </w:rPr>
              <w:t>业务性质</w:t>
            </w:r>
            <w:r>
              <w:rPr>
                <w:sz w:val="21"/>
              </w:rPr>
              <w:t> </w:t>
            </w:r>
          </w:p>
        </w:tc>
        <w:tc>
          <w:tcPr>
            <w:tcW w:w="2100" w:type="dxa"/>
            <w:gridSpan w:val="2"/>
          </w:tcPr>
          <w:p>
            <w:pPr>
              <w:pStyle w:val="TableParagraph"/>
              <w:spacing w:before="89"/>
              <w:ind w:left="474"/>
              <w:rPr>
                <w:sz w:val="21"/>
              </w:rPr>
            </w:pPr>
            <w:r>
              <w:rPr>
                <w:spacing w:val="-1"/>
                <w:sz w:val="21"/>
              </w:rPr>
              <w:t>持股比例(%)</w:t>
            </w:r>
            <w:r>
              <w:rPr>
                <w:sz w:val="21"/>
              </w:rPr>
              <w:t> </w:t>
            </w:r>
          </w:p>
        </w:tc>
        <w:tc>
          <w:tcPr>
            <w:tcW w:w="1769" w:type="dxa"/>
            <w:vMerge w:val="restart"/>
          </w:tcPr>
          <w:p>
            <w:pPr>
              <w:pStyle w:val="TableParagraph"/>
              <w:spacing w:line="242" w:lineRule="auto" w:before="1"/>
              <w:ind w:left="150" w:right="132"/>
              <w:rPr>
                <w:sz w:val="21"/>
              </w:rPr>
            </w:pPr>
            <w:r>
              <w:rPr>
                <w:sz w:val="21"/>
              </w:rPr>
              <w:t>对合营企业或联营企业投资的会</w:t>
            </w:r>
          </w:p>
          <w:p>
            <w:pPr>
              <w:pStyle w:val="TableParagraph"/>
              <w:spacing w:line="250" w:lineRule="exact" w:before="1"/>
              <w:ind w:left="359"/>
              <w:rPr>
                <w:sz w:val="21"/>
              </w:rPr>
            </w:pPr>
            <w:r>
              <w:rPr>
                <w:sz w:val="21"/>
              </w:rPr>
              <w:t>计处理方法 </w:t>
            </w:r>
          </w:p>
        </w:tc>
      </w:tr>
      <w:tr>
        <w:trPr>
          <w:trHeight w:val="354" w:hRule="atLeast"/>
        </w:trPr>
        <w:tc>
          <w:tcPr>
            <w:tcW w:w="1178" w:type="dxa"/>
            <w:vMerge/>
            <w:tcBorders>
              <w:top w:val="nil"/>
            </w:tcBorders>
          </w:tcPr>
          <w:p>
            <w:pPr>
              <w:rPr>
                <w:sz w:val="2"/>
                <w:szCs w:val="2"/>
              </w:rPr>
            </w:pPr>
          </w:p>
        </w:tc>
        <w:tc>
          <w:tcPr>
            <w:tcW w:w="1296" w:type="dxa"/>
            <w:vMerge/>
            <w:tcBorders>
              <w:top w:val="nil"/>
            </w:tcBorders>
          </w:tcPr>
          <w:p>
            <w:pPr>
              <w:rPr>
                <w:sz w:val="2"/>
                <w:szCs w:val="2"/>
              </w:rPr>
            </w:pPr>
          </w:p>
        </w:tc>
        <w:tc>
          <w:tcPr>
            <w:tcW w:w="1219" w:type="dxa"/>
            <w:vMerge/>
            <w:tcBorders>
              <w:top w:val="nil"/>
            </w:tcBorders>
          </w:tcPr>
          <w:p>
            <w:pPr>
              <w:rPr>
                <w:sz w:val="2"/>
                <w:szCs w:val="2"/>
              </w:rPr>
            </w:pPr>
          </w:p>
        </w:tc>
        <w:tc>
          <w:tcPr>
            <w:tcW w:w="1260" w:type="dxa"/>
            <w:vMerge/>
            <w:tcBorders>
              <w:top w:val="nil"/>
            </w:tcBorders>
          </w:tcPr>
          <w:p>
            <w:pPr>
              <w:rPr>
                <w:sz w:val="2"/>
                <w:szCs w:val="2"/>
              </w:rPr>
            </w:pPr>
          </w:p>
        </w:tc>
        <w:tc>
          <w:tcPr>
            <w:tcW w:w="1034" w:type="dxa"/>
          </w:tcPr>
          <w:p>
            <w:pPr>
              <w:pStyle w:val="TableParagraph"/>
              <w:spacing w:before="41"/>
              <w:ind w:left="236" w:right="118"/>
              <w:jc w:val="center"/>
              <w:rPr>
                <w:sz w:val="21"/>
              </w:rPr>
            </w:pPr>
            <w:r>
              <w:rPr>
                <w:sz w:val="21"/>
              </w:rPr>
              <w:t>直接 </w:t>
            </w:r>
          </w:p>
        </w:tc>
        <w:tc>
          <w:tcPr>
            <w:tcW w:w="1066" w:type="dxa"/>
          </w:tcPr>
          <w:p>
            <w:pPr>
              <w:pStyle w:val="TableParagraph"/>
              <w:spacing w:before="41"/>
              <w:ind w:left="353" w:right="242"/>
              <w:jc w:val="center"/>
              <w:rPr>
                <w:sz w:val="21"/>
              </w:rPr>
            </w:pPr>
            <w:r>
              <w:rPr>
                <w:sz w:val="21"/>
              </w:rPr>
              <w:t>间接 </w:t>
            </w:r>
          </w:p>
        </w:tc>
        <w:tc>
          <w:tcPr>
            <w:tcW w:w="1769" w:type="dxa"/>
            <w:vMerge/>
            <w:tcBorders>
              <w:top w:val="nil"/>
            </w:tcBorders>
          </w:tcPr>
          <w:p>
            <w:pPr>
              <w:rPr>
                <w:sz w:val="2"/>
                <w:szCs w:val="2"/>
              </w:rPr>
            </w:pPr>
          </w:p>
        </w:tc>
      </w:tr>
      <w:tr>
        <w:trPr>
          <w:trHeight w:val="271" w:hRule="atLeast"/>
        </w:trPr>
        <w:tc>
          <w:tcPr>
            <w:tcW w:w="1178" w:type="dxa"/>
            <w:tcBorders>
              <w:bottom w:val="nil"/>
            </w:tcBorders>
          </w:tcPr>
          <w:p>
            <w:pPr>
              <w:pStyle w:val="TableParagraph"/>
              <w:spacing w:line="251" w:lineRule="exact" w:before="1"/>
              <w:ind w:left="107"/>
              <w:rPr>
                <w:sz w:val="21"/>
              </w:rPr>
            </w:pPr>
            <w:r>
              <w:rPr>
                <w:sz w:val="21"/>
              </w:rPr>
              <w:t>兴微(广</w:t>
            </w:r>
          </w:p>
        </w:tc>
        <w:tc>
          <w:tcPr>
            <w:tcW w:w="1296" w:type="dxa"/>
            <w:tcBorders>
              <w:bottom w:val="nil"/>
            </w:tcBorders>
          </w:tcPr>
          <w:p>
            <w:pPr>
              <w:pStyle w:val="TableParagraph"/>
              <w:rPr>
                <w:rFonts w:ascii="Times New Roman"/>
                <w:sz w:val="20"/>
              </w:rPr>
            </w:pPr>
          </w:p>
        </w:tc>
        <w:tc>
          <w:tcPr>
            <w:tcW w:w="1219" w:type="dxa"/>
            <w:tcBorders>
              <w:bottom w:val="nil"/>
            </w:tcBorders>
          </w:tcPr>
          <w:p>
            <w:pPr>
              <w:pStyle w:val="TableParagraph"/>
              <w:rPr>
                <w:rFonts w:ascii="Times New Roman"/>
                <w:sz w:val="20"/>
              </w:rPr>
            </w:pPr>
          </w:p>
        </w:tc>
        <w:tc>
          <w:tcPr>
            <w:tcW w:w="1260" w:type="dxa"/>
            <w:tcBorders>
              <w:bottom w:val="nil"/>
            </w:tcBorders>
          </w:tcPr>
          <w:p>
            <w:pPr>
              <w:pStyle w:val="TableParagraph"/>
              <w:rPr>
                <w:rFonts w:ascii="Times New Roman"/>
                <w:sz w:val="20"/>
              </w:rPr>
            </w:pPr>
          </w:p>
        </w:tc>
        <w:tc>
          <w:tcPr>
            <w:tcW w:w="1034" w:type="dxa"/>
            <w:tcBorders>
              <w:bottom w:val="nil"/>
            </w:tcBorders>
          </w:tcPr>
          <w:p>
            <w:pPr>
              <w:pStyle w:val="TableParagraph"/>
              <w:rPr>
                <w:rFonts w:ascii="Times New Roman"/>
                <w:sz w:val="20"/>
              </w:rPr>
            </w:pPr>
          </w:p>
        </w:tc>
        <w:tc>
          <w:tcPr>
            <w:tcW w:w="1066" w:type="dxa"/>
            <w:tcBorders>
              <w:bottom w:val="nil"/>
            </w:tcBorders>
          </w:tcPr>
          <w:p>
            <w:pPr>
              <w:pStyle w:val="TableParagraph"/>
              <w:rPr>
                <w:rFonts w:ascii="Times New Roman"/>
                <w:sz w:val="20"/>
              </w:rPr>
            </w:pPr>
          </w:p>
        </w:tc>
        <w:tc>
          <w:tcPr>
            <w:tcW w:w="1769" w:type="dxa"/>
            <w:tcBorders>
              <w:bottom w:val="nil"/>
            </w:tcBorders>
          </w:tcPr>
          <w:p>
            <w:pPr>
              <w:pStyle w:val="TableParagraph"/>
              <w:rPr>
                <w:rFonts w:ascii="Times New Roman"/>
                <w:sz w:val="20"/>
              </w:rPr>
            </w:pPr>
          </w:p>
        </w:tc>
      </w:tr>
      <w:tr>
        <w:trPr>
          <w:trHeight w:val="817" w:hRule="atLeast"/>
        </w:trPr>
        <w:tc>
          <w:tcPr>
            <w:tcW w:w="1178" w:type="dxa"/>
            <w:tcBorders>
              <w:top w:val="nil"/>
              <w:bottom w:val="nil"/>
            </w:tcBorders>
          </w:tcPr>
          <w:p>
            <w:pPr>
              <w:pStyle w:val="TableParagraph"/>
              <w:spacing w:line="242" w:lineRule="auto" w:before="2"/>
              <w:ind w:left="107" w:right="110"/>
              <w:rPr>
                <w:sz w:val="21"/>
              </w:rPr>
            </w:pPr>
            <w:r>
              <w:rPr>
                <w:spacing w:val="-1"/>
                <w:sz w:val="21"/>
              </w:rPr>
              <w:t>州)产业投</w:t>
            </w:r>
            <w:r>
              <w:rPr>
                <w:sz w:val="21"/>
              </w:rPr>
              <w:t>资合伙企</w:t>
            </w:r>
          </w:p>
          <w:p>
            <w:pPr>
              <w:pStyle w:val="TableParagraph"/>
              <w:spacing w:line="250" w:lineRule="exact" w:before="2"/>
              <w:ind w:left="107"/>
              <w:rPr>
                <w:sz w:val="21"/>
              </w:rPr>
            </w:pPr>
            <w:r>
              <w:rPr>
                <w:sz w:val="21"/>
              </w:rPr>
              <w:t>业(有限合</w:t>
            </w:r>
          </w:p>
        </w:tc>
        <w:tc>
          <w:tcPr>
            <w:tcW w:w="1296" w:type="dxa"/>
            <w:tcBorders>
              <w:top w:val="nil"/>
              <w:bottom w:val="nil"/>
            </w:tcBorders>
          </w:tcPr>
          <w:p>
            <w:pPr>
              <w:pStyle w:val="TableParagraph"/>
              <w:spacing w:before="4"/>
              <w:rPr>
                <w:sz w:val="21"/>
              </w:rPr>
            </w:pPr>
          </w:p>
          <w:p>
            <w:pPr>
              <w:pStyle w:val="TableParagraph"/>
              <w:spacing w:before="1"/>
              <w:ind w:left="108"/>
              <w:rPr>
                <w:sz w:val="24"/>
              </w:rPr>
            </w:pPr>
            <w:r>
              <w:rPr>
                <w:sz w:val="21"/>
              </w:rPr>
              <w:t>广州市</w:t>
            </w:r>
            <w:r>
              <w:rPr>
                <w:sz w:val="24"/>
              </w:rPr>
              <w:t> </w:t>
            </w:r>
          </w:p>
        </w:tc>
        <w:tc>
          <w:tcPr>
            <w:tcW w:w="1219" w:type="dxa"/>
            <w:tcBorders>
              <w:top w:val="nil"/>
              <w:bottom w:val="nil"/>
            </w:tcBorders>
          </w:tcPr>
          <w:p>
            <w:pPr>
              <w:pStyle w:val="TableParagraph"/>
              <w:spacing w:before="4"/>
              <w:rPr>
                <w:sz w:val="21"/>
              </w:rPr>
            </w:pPr>
          </w:p>
          <w:p>
            <w:pPr>
              <w:pStyle w:val="TableParagraph"/>
              <w:spacing w:before="1"/>
              <w:ind w:left="108"/>
              <w:rPr>
                <w:sz w:val="24"/>
              </w:rPr>
            </w:pPr>
            <w:r>
              <w:rPr>
                <w:sz w:val="21"/>
              </w:rPr>
              <w:t>广州市</w:t>
            </w:r>
            <w:r>
              <w:rPr>
                <w:sz w:val="24"/>
              </w:rPr>
              <w:t> </w:t>
            </w:r>
          </w:p>
        </w:tc>
        <w:tc>
          <w:tcPr>
            <w:tcW w:w="1260" w:type="dxa"/>
            <w:tcBorders>
              <w:top w:val="nil"/>
              <w:bottom w:val="nil"/>
            </w:tcBorders>
          </w:tcPr>
          <w:p>
            <w:pPr>
              <w:pStyle w:val="TableParagraph"/>
              <w:spacing w:line="242" w:lineRule="auto" w:before="139"/>
              <w:ind w:left="108" w:right="178"/>
              <w:rPr>
                <w:sz w:val="24"/>
              </w:rPr>
            </w:pPr>
            <w:r>
              <w:rPr>
                <w:sz w:val="21"/>
              </w:rPr>
              <w:t>私募股权投资基金</w:t>
            </w:r>
            <w:r>
              <w:rPr>
                <w:sz w:val="24"/>
              </w:rPr>
              <w:t> </w:t>
            </w:r>
          </w:p>
        </w:tc>
        <w:tc>
          <w:tcPr>
            <w:tcW w:w="1034" w:type="dxa"/>
            <w:tcBorders>
              <w:top w:val="nil"/>
              <w:bottom w:val="nil"/>
            </w:tcBorders>
          </w:tcPr>
          <w:p>
            <w:pPr>
              <w:pStyle w:val="TableParagraph"/>
              <w:spacing w:before="4"/>
              <w:rPr>
                <w:sz w:val="21"/>
              </w:rPr>
            </w:pPr>
          </w:p>
          <w:p>
            <w:pPr>
              <w:pStyle w:val="TableParagraph"/>
              <w:spacing w:before="1"/>
              <w:ind w:left="236" w:right="118"/>
              <w:jc w:val="center"/>
              <w:rPr>
                <w:sz w:val="21"/>
              </w:rPr>
            </w:pPr>
            <w:r>
              <w:rPr>
                <w:sz w:val="21"/>
              </w:rPr>
              <w:t>99.98% </w:t>
            </w:r>
          </w:p>
        </w:tc>
        <w:tc>
          <w:tcPr>
            <w:tcW w:w="1066" w:type="dxa"/>
            <w:tcBorders>
              <w:top w:val="nil"/>
              <w:bottom w:val="nil"/>
            </w:tcBorders>
          </w:tcPr>
          <w:p>
            <w:pPr>
              <w:pStyle w:val="TableParagraph"/>
              <w:spacing w:before="4"/>
              <w:rPr>
                <w:sz w:val="21"/>
              </w:rPr>
            </w:pPr>
          </w:p>
          <w:p>
            <w:pPr>
              <w:pStyle w:val="TableParagraph"/>
              <w:spacing w:before="1"/>
              <w:ind w:left="113"/>
              <w:jc w:val="center"/>
              <w:rPr>
                <w:sz w:val="21"/>
              </w:rPr>
            </w:pPr>
            <w:r>
              <w:rPr>
                <w:w w:val="100"/>
                <w:sz w:val="21"/>
              </w:rPr>
              <w:t> </w:t>
            </w:r>
          </w:p>
        </w:tc>
        <w:tc>
          <w:tcPr>
            <w:tcW w:w="1769" w:type="dxa"/>
            <w:tcBorders>
              <w:top w:val="nil"/>
              <w:bottom w:val="nil"/>
            </w:tcBorders>
          </w:tcPr>
          <w:p>
            <w:pPr>
              <w:pStyle w:val="TableParagraph"/>
              <w:spacing w:before="4"/>
              <w:rPr>
                <w:sz w:val="21"/>
              </w:rPr>
            </w:pPr>
          </w:p>
          <w:p>
            <w:pPr>
              <w:pStyle w:val="TableParagraph"/>
              <w:spacing w:before="1"/>
              <w:ind w:left="570"/>
              <w:rPr>
                <w:sz w:val="21"/>
              </w:rPr>
            </w:pPr>
            <w:r>
              <w:rPr>
                <w:sz w:val="21"/>
              </w:rPr>
              <w:t>权益法 </w:t>
            </w:r>
          </w:p>
        </w:tc>
      </w:tr>
      <w:tr>
        <w:trPr>
          <w:trHeight w:val="273" w:hRule="atLeast"/>
        </w:trPr>
        <w:tc>
          <w:tcPr>
            <w:tcW w:w="1178" w:type="dxa"/>
            <w:tcBorders>
              <w:top w:val="nil"/>
            </w:tcBorders>
          </w:tcPr>
          <w:p>
            <w:pPr>
              <w:pStyle w:val="TableParagraph"/>
              <w:spacing w:line="252" w:lineRule="exact" w:before="1"/>
              <w:ind w:left="107"/>
              <w:rPr>
                <w:sz w:val="21"/>
              </w:rPr>
            </w:pPr>
            <w:r>
              <w:rPr>
                <w:sz w:val="21"/>
              </w:rPr>
              <w:t>伙) </w:t>
            </w:r>
          </w:p>
        </w:tc>
        <w:tc>
          <w:tcPr>
            <w:tcW w:w="1296" w:type="dxa"/>
            <w:tcBorders>
              <w:top w:val="nil"/>
            </w:tcBorders>
          </w:tcPr>
          <w:p>
            <w:pPr>
              <w:pStyle w:val="TableParagraph"/>
              <w:rPr>
                <w:rFonts w:ascii="Times New Roman"/>
                <w:sz w:val="20"/>
              </w:rPr>
            </w:pPr>
          </w:p>
        </w:tc>
        <w:tc>
          <w:tcPr>
            <w:tcW w:w="1219" w:type="dxa"/>
            <w:tcBorders>
              <w:top w:val="nil"/>
            </w:tcBorders>
          </w:tcPr>
          <w:p>
            <w:pPr>
              <w:pStyle w:val="TableParagraph"/>
              <w:rPr>
                <w:rFonts w:ascii="Times New Roman"/>
                <w:sz w:val="20"/>
              </w:rPr>
            </w:pPr>
          </w:p>
        </w:tc>
        <w:tc>
          <w:tcPr>
            <w:tcW w:w="1260" w:type="dxa"/>
            <w:tcBorders>
              <w:top w:val="nil"/>
            </w:tcBorders>
          </w:tcPr>
          <w:p>
            <w:pPr>
              <w:pStyle w:val="TableParagraph"/>
              <w:rPr>
                <w:rFonts w:ascii="Times New Roman"/>
                <w:sz w:val="20"/>
              </w:rPr>
            </w:pPr>
          </w:p>
        </w:tc>
        <w:tc>
          <w:tcPr>
            <w:tcW w:w="1034" w:type="dxa"/>
            <w:tcBorders>
              <w:top w:val="nil"/>
            </w:tcBorders>
          </w:tcPr>
          <w:p>
            <w:pPr>
              <w:pStyle w:val="TableParagraph"/>
              <w:rPr>
                <w:rFonts w:ascii="Times New Roman"/>
                <w:sz w:val="20"/>
              </w:rPr>
            </w:pPr>
          </w:p>
        </w:tc>
        <w:tc>
          <w:tcPr>
            <w:tcW w:w="1066" w:type="dxa"/>
            <w:tcBorders>
              <w:top w:val="nil"/>
            </w:tcBorders>
          </w:tcPr>
          <w:p>
            <w:pPr>
              <w:pStyle w:val="TableParagraph"/>
              <w:rPr>
                <w:rFonts w:ascii="Times New Roman"/>
                <w:sz w:val="20"/>
              </w:rPr>
            </w:pPr>
          </w:p>
        </w:tc>
        <w:tc>
          <w:tcPr>
            <w:tcW w:w="1769" w:type="dxa"/>
            <w:tcBorders>
              <w:top w:val="nil"/>
            </w:tcBorders>
          </w:tcPr>
          <w:p>
            <w:pPr>
              <w:pStyle w:val="TableParagraph"/>
              <w:rPr>
                <w:rFonts w:ascii="Times New Roman"/>
                <w:sz w:val="20"/>
              </w:rPr>
            </w:pPr>
          </w:p>
        </w:tc>
      </w:tr>
    </w:tbl>
    <w:p>
      <w:pPr>
        <w:spacing w:after="0"/>
        <w:rPr>
          <w:rFonts w:ascii="Times New Roman"/>
          <w:sz w:val="20"/>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8"/>
        <w:gridCol w:w="1296"/>
        <w:gridCol w:w="1219"/>
        <w:gridCol w:w="1260"/>
        <w:gridCol w:w="1034"/>
        <w:gridCol w:w="1066"/>
        <w:gridCol w:w="1769"/>
      </w:tblGrid>
      <w:tr>
        <w:trPr>
          <w:trHeight w:val="1363" w:hRule="atLeast"/>
        </w:trPr>
        <w:tc>
          <w:tcPr>
            <w:tcW w:w="1178" w:type="dxa"/>
          </w:tcPr>
          <w:p>
            <w:pPr>
              <w:pStyle w:val="TableParagraph"/>
              <w:spacing w:line="242" w:lineRule="auto" w:before="3"/>
              <w:ind w:left="107" w:right="110"/>
              <w:rPr>
                <w:sz w:val="21"/>
              </w:rPr>
            </w:pPr>
            <w:r>
              <w:rPr>
                <w:sz w:val="21"/>
              </w:rPr>
              <w:t>晟丰(广</w:t>
            </w:r>
            <w:r>
              <w:rPr>
                <w:spacing w:val="1"/>
                <w:sz w:val="21"/>
              </w:rPr>
              <w:t> </w:t>
            </w:r>
            <w:r>
              <w:rPr>
                <w:spacing w:val="-1"/>
                <w:sz w:val="21"/>
              </w:rPr>
              <w:t>州)产业投</w:t>
            </w:r>
            <w:r>
              <w:rPr>
                <w:sz w:val="21"/>
              </w:rPr>
              <w:t>资合伙企</w:t>
            </w:r>
            <w:r>
              <w:rPr>
                <w:spacing w:val="-1"/>
                <w:sz w:val="21"/>
              </w:rPr>
              <w:t>业(有限合</w:t>
            </w:r>
          </w:p>
          <w:p>
            <w:pPr>
              <w:pStyle w:val="TableParagraph"/>
              <w:spacing w:line="252" w:lineRule="exact" w:before="1"/>
              <w:ind w:left="107"/>
              <w:rPr>
                <w:sz w:val="21"/>
              </w:rPr>
            </w:pPr>
            <w:r>
              <w:rPr>
                <w:sz w:val="21"/>
              </w:rPr>
              <w:t>伙) </w:t>
            </w:r>
          </w:p>
        </w:tc>
        <w:tc>
          <w:tcPr>
            <w:tcW w:w="1296" w:type="dxa"/>
          </w:tcPr>
          <w:p>
            <w:pPr>
              <w:pStyle w:val="TableParagraph"/>
              <w:rPr>
                <w:sz w:val="20"/>
              </w:rPr>
            </w:pPr>
          </w:p>
          <w:p>
            <w:pPr>
              <w:pStyle w:val="TableParagraph"/>
              <w:spacing w:before="10"/>
              <w:rPr>
                <w:sz w:val="22"/>
              </w:rPr>
            </w:pPr>
          </w:p>
          <w:p>
            <w:pPr>
              <w:pStyle w:val="TableParagraph"/>
              <w:ind w:left="108"/>
              <w:rPr>
                <w:sz w:val="21"/>
              </w:rPr>
            </w:pPr>
            <w:r>
              <w:rPr>
                <w:sz w:val="21"/>
              </w:rPr>
              <w:t>广州市 </w:t>
            </w:r>
          </w:p>
        </w:tc>
        <w:tc>
          <w:tcPr>
            <w:tcW w:w="1219" w:type="dxa"/>
          </w:tcPr>
          <w:p>
            <w:pPr>
              <w:pStyle w:val="TableParagraph"/>
              <w:rPr>
                <w:sz w:val="20"/>
              </w:rPr>
            </w:pPr>
          </w:p>
          <w:p>
            <w:pPr>
              <w:pStyle w:val="TableParagraph"/>
              <w:spacing w:before="10"/>
              <w:rPr>
                <w:sz w:val="22"/>
              </w:rPr>
            </w:pPr>
          </w:p>
          <w:p>
            <w:pPr>
              <w:pStyle w:val="TableParagraph"/>
              <w:ind w:left="108"/>
              <w:rPr>
                <w:sz w:val="21"/>
              </w:rPr>
            </w:pPr>
            <w:r>
              <w:rPr>
                <w:sz w:val="21"/>
              </w:rPr>
              <w:t>广州市 </w:t>
            </w:r>
          </w:p>
        </w:tc>
        <w:tc>
          <w:tcPr>
            <w:tcW w:w="1260" w:type="dxa"/>
          </w:tcPr>
          <w:p>
            <w:pPr>
              <w:pStyle w:val="TableParagraph"/>
              <w:rPr>
                <w:sz w:val="20"/>
              </w:rPr>
            </w:pPr>
          </w:p>
          <w:p>
            <w:pPr>
              <w:pStyle w:val="TableParagraph"/>
              <w:spacing w:line="242" w:lineRule="auto" w:before="155"/>
              <w:ind w:left="108" w:right="193"/>
              <w:rPr>
                <w:sz w:val="21"/>
              </w:rPr>
            </w:pPr>
            <w:r>
              <w:rPr>
                <w:sz w:val="21"/>
              </w:rPr>
              <w:t>私募股权投资基金 </w:t>
            </w:r>
          </w:p>
        </w:tc>
        <w:tc>
          <w:tcPr>
            <w:tcW w:w="1034" w:type="dxa"/>
          </w:tcPr>
          <w:p>
            <w:pPr>
              <w:pStyle w:val="TableParagraph"/>
              <w:rPr>
                <w:sz w:val="20"/>
              </w:rPr>
            </w:pPr>
          </w:p>
          <w:p>
            <w:pPr>
              <w:pStyle w:val="TableParagraph"/>
              <w:spacing w:before="10"/>
              <w:rPr>
                <w:sz w:val="22"/>
              </w:rPr>
            </w:pPr>
          </w:p>
          <w:p>
            <w:pPr>
              <w:pStyle w:val="TableParagraph"/>
              <w:ind w:left="202"/>
              <w:rPr>
                <w:sz w:val="21"/>
              </w:rPr>
            </w:pPr>
            <w:r>
              <w:rPr>
                <w:sz w:val="21"/>
              </w:rPr>
              <w:t>66.65% </w:t>
            </w:r>
          </w:p>
        </w:tc>
        <w:tc>
          <w:tcPr>
            <w:tcW w:w="1066" w:type="dxa"/>
          </w:tcPr>
          <w:p>
            <w:pPr>
              <w:pStyle w:val="TableParagraph"/>
              <w:rPr>
                <w:sz w:val="20"/>
              </w:rPr>
            </w:pPr>
          </w:p>
          <w:p>
            <w:pPr>
              <w:pStyle w:val="TableParagraph"/>
              <w:spacing w:before="10"/>
              <w:rPr>
                <w:sz w:val="22"/>
              </w:rPr>
            </w:pPr>
          </w:p>
          <w:p>
            <w:pPr>
              <w:pStyle w:val="TableParagraph"/>
              <w:ind w:left="113"/>
              <w:jc w:val="center"/>
              <w:rPr>
                <w:sz w:val="21"/>
              </w:rPr>
            </w:pPr>
            <w:r>
              <w:rPr>
                <w:w w:val="100"/>
                <w:sz w:val="21"/>
              </w:rPr>
              <w:t> </w:t>
            </w:r>
          </w:p>
        </w:tc>
        <w:tc>
          <w:tcPr>
            <w:tcW w:w="1769" w:type="dxa"/>
          </w:tcPr>
          <w:p>
            <w:pPr>
              <w:pStyle w:val="TableParagraph"/>
              <w:rPr>
                <w:sz w:val="20"/>
              </w:rPr>
            </w:pPr>
          </w:p>
          <w:p>
            <w:pPr>
              <w:pStyle w:val="TableParagraph"/>
              <w:spacing w:before="10"/>
              <w:rPr>
                <w:sz w:val="22"/>
              </w:rPr>
            </w:pPr>
          </w:p>
          <w:p>
            <w:pPr>
              <w:pStyle w:val="TableParagraph"/>
              <w:ind w:left="570"/>
              <w:rPr>
                <w:sz w:val="21"/>
              </w:rPr>
            </w:pPr>
            <w:r>
              <w:rPr>
                <w:sz w:val="21"/>
              </w:rPr>
              <w:t>权益法 </w:t>
            </w:r>
          </w:p>
        </w:tc>
      </w:tr>
    </w:tbl>
    <w:p>
      <w:pPr>
        <w:pStyle w:val="BodyText"/>
        <w:spacing w:before="1"/>
      </w:pPr>
      <w:r>
        <w:rPr>
          <w:w w:val="100"/>
        </w:rPr>
        <w:t> </w:t>
      </w:r>
    </w:p>
    <w:p>
      <w:pPr>
        <w:pStyle w:val="BodyText"/>
        <w:spacing w:line="242" w:lineRule="auto" w:before="4"/>
        <w:ind w:right="4326"/>
      </w:pPr>
      <w:r>
        <w:rPr/>
        <w:t>在合营企业或联营企业的持股比例不同于表决权比例的说明：</w:t>
      </w:r>
      <w:r>
        <w:rPr>
          <w:spacing w:val="1"/>
        </w:rPr>
        <w:t> </w:t>
      </w:r>
      <w:r>
        <w:rPr/>
        <w:t>无 </w:t>
      </w:r>
    </w:p>
    <w:p>
      <w:pPr>
        <w:pStyle w:val="BodyText"/>
        <w:spacing w:before="2"/>
      </w:pPr>
      <w:r>
        <w:rPr>
          <w:w w:val="100"/>
        </w:rPr>
        <w:t> </w:t>
      </w:r>
    </w:p>
    <w:p>
      <w:pPr>
        <w:pStyle w:val="BodyText"/>
        <w:spacing w:line="244" w:lineRule="auto" w:before="2"/>
        <w:ind w:right="1493"/>
      </w:pPr>
      <w:r>
        <w:rPr>
          <w:spacing w:val="-19"/>
        </w:rPr>
        <w:t>持有 </w:t>
      </w:r>
      <w:r>
        <w:rPr>
          <w:spacing w:val="-1"/>
        </w:rPr>
        <w:t>20</w:t>
      </w:r>
      <w:r>
        <w:rPr>
          <w:spacing w:val="-4"/>
        </w:rPr>
        <w:t>%以下表决权但具有重大影响，或者持有 </w:t>
      </w:r>
      <w:r>
        <w:rPr/>
        <w:t>20%或以上表决权但不具有重大影响的依据：</w:t>
      </w:r>
      <w:r>
        <w:rPr>
          <w:spacing w:val="1"/>
        </w:rPr>
        <w:t> </w:t>
      </w:r>
      <w:r>
        <w:rPr/>
        <w:t>无 </w:t>
      </w:r>
    </w:p>
    <w:p>
      <w:pPr>
        <w:pStyle w:val="BodyText"/>
        <w:spacing w:line="265" w:lineRule="exact"/>
      </w:pPr>
      <w:r>
        <w:rPr>
          <w:w w:val="100"/>
        </w:rPr>
        <w:t> </w:t>
      </w:r>
    </w:p>
    <w:p>
      <w:pPr>
        <w:pStyle w:val="ListParagraph"/>
        <w:numPr>
          <w:ilvl w:val="0"/>
          <w:numId w:val="84"/>
        </w:numPr>
        <w:tabs>
          <w:tab w:pos="743" w:val="left" w:leader="none"/>
        </w:tabs>
        <w:spacing w:line="240" w:lineRule="auto" w:before="62" w:after="0"/>
        <w:ind w:left="742" w:right="0" w:hanging="425"/>
        <w:jc w:val="left"/>
        <w:rPr>
          <w:sz w:val="21"/>
        </w:rPr>
      </w:pPr>
      <w:r>
        <w:rPr>
          <w:sz w:val="21"/>
        </w:rPr>
        <w:t>重要合营企业的主要财务信息 </w:t>
      </w:r>
    </w:p>
    <w:p>
      <w:pPr>
        <w:pStyle w:val="BodyText"/>
        <w:spacing w:before="65"/>
      </w:pPr>
      <w:r>
        <w:rPr>
          <w:spacing w:val="1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ListParagraph"/>
        <w:numPr>
          <w:ilvl w:val="0"/>
          <w:numId w:val="84"/>
        </w:numPr>
        <w:tabs>
          <w:tab w:pos="743" w:val="left" w:leader="none"/>
        </w:tabs>
        <w:spacing w:line="240" w:lineRule="auto" w:before="62" w:after="0"/>
        <w:ind w:left="742" w:right="0" w:hanging="425"/>
        <w:jc w:val="left"/>
        <w:rPr>
          <w:sz w:val="21"/>
        </w:rPr>
      </w:pPr>
      <w:r>
        <w:rPr>
          <w:sz w:val="21"/>
        </w:rPr>
        <w:t>重要联营企业的主要财务信息 </w:t>
      </w:r>
    </w:p>
    <w:p>
      <w:pPr>
        <w:pStyle w:val="BodyText"/>
        <w:spacing w:before="64"/>
      </w:pPr>
      <w:r>
        <w:rPr>
          <w:spacing w:val="11"/>
        </w:rPr>
        <w:t>√适用 □不适用</w:t>
      </w:r>
      <w:r>
        <w:rPr>
          <w:spacing w:val="-3"/>
        </w:rPr>
        <w:t> </w:t>
      </w:r>
      <w:r>
        <w:rPr/>
        <w:t> </w:t>
      </w:r>
    </w:p>
    <w:p>
      <w:pPr>
        <w:pStyle w:val="BodyText"/>
        <w:spacing w:before="3" w:after="3"/>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54"/>
        <w:gridCol w:w="1493"/>
        <w:gridCol w:w="1491"/>
        <w:gridCol w:w="1491"/>
        <w:gridCol w:w="1493"/>
      </w:tblGrid>
      <w:tr>
        <w:trPr>
          <w:trHeight w:val="270" w:hRule="atLeast"/>
        </w:trPr>
        <w:tc>
          <w:tcPr>
            <w:tcW w:w="2854" w:type="dxa"/>
            <w:vMerge w:val="restart"/>
            <w:tcBorders>
              <w:bottom w:val="single" w:sz="6" w:space="0" w:color="000000"/>
              <w:right w:val="single" w:sz="6" w:space="0" w:color="000000"/>
            </w:tcBorders>
          </w:tcPr>
          <w:p>
            <w:pPr>
              <w:pStyle w:val="TableParagraph"/>
              <w:spacing w:before="1"/>
              <w:ind w:left="114"/>
              <w:jc w:val="center"/>
              <w:rPr>
                <w:sz w:val="21"/>
              </w:rPr>
            </w:pPr>
            <w:r>
              <w:rPr>
                <w:w w:val="100"/>
                <w:sz w:val="21"/>
              </w:rPr>
              <w:t> </w:t>
            </w:r>
          </w:p>
        </w:tc>
        <w:tc>
          <w:tcPr>
            <w:tcW w:w="2984" w:type="dxa"/>
            <w:gridSpan w:val="2"/>
            <w:tcBorders>
              <w:left w:val="single" w:sz="6" w:space="0" w:color="000000"/>
              <w:bottom w:val="single" w:sz="6" w:space="0" w:color="000000"/>
              <w:right w:val="single" w:sz="6" w:space="0" w:color="000000"/>
            </w:tcBorders>
          </w:tcPr>
          <w:p>
            <w:pPr>
              <w:pStyle w:val="TableParagraph"/>
              <w:spacing w:line="250" w:lineRule="exact" w:before="1"/>
              <w:ind w:left="439"/>
              <w:rPr>
                <w:sz w:val="21"/>
              </w:rPr>
            </w:pPr>
            <w:r>
              <w:rPr>
                <w:spacing w:val="-1"/>
                <w:sz w:val="21"/>
              </w:rPr>
              <w:t>期末余额/ 本期发生额</w:t>
            </w:r>
            <w:r>
              <w:rPr>
                <w:sz w:val="21"/>
              </w:rPr>
              <w:t> </w:t>
            </w:r>
          </w:p>
        </w:tc>
        <w:tc>
          <w:tcPr>
            <w:tcW w:w="2984" w:type="dxa"/>
            <w:gridSpan w:val="2"/>
            <w:tcBorders>
              <w:left w:val="single" w:sz="6" w:space="0" w:color="000000"/>
              <w:bottom w:val="single" w:sz="6" w:space="0" w:color="000000"/>
              <w:right w:val="single" w:sz="6" w:space="0" w:color="000000"/>
            </w:tcBorders>
          </w:tcPr>
          <w:p>
            <w:pPr>
              <w:pStyle w:val="TableParagraph"/>
              <w:spacing w:line="250" w:lineRule="exact" w:before="1"/>
              <w:ind w:left="438"/>
              <w:rPr>
                <w:sz w:val="21"/>
              </w:rPr>
            </w:pPr>
            <w:r>
              <w:rPr>
                <w:spacing w:val="-1"/>
                <w:sz w:val="21"/>
              </w:rPr>
              <w:t>期初余额/ 上期发生额</w:t>
            </w:r>
            <w:r>
              <w:rPr>
                <w:sz w:val="21"/>
              </w:rPr>
              <w:t> </w:t>
            </w:r>
          </w:p>
        </w:tc>
      </w:tr>
      <w:tr>
        <w:trPr>
          <w:trHeight w:val="817" w:hRule="atLeast"/>
        </w:trPr>
        <w:tc>
          <w:tcPr>
            <w:tcW w:w="2854" w:type="dxa"/>
            <w:vMerge/>
            <w:tcBorders>
              <w:top w:val="nil"/>
              <w:bottom w:val="single" w:sz="6" w:space="0" w:color="000000"/>
              <w:right w:val="single" w:sz="6" w:space="0" w:color="000000"/>
            </w:tcBorders>
          </w:tcPr>
          <w:p>
            <w:pPr>
              <w:rPr>
                <w:sz w:val="2"/>
                <w:szCs w:val="2"/>
              </w:rPr>
            </w:pP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42" w:lineRule="auto" w:before="3"/>
              <w:ind w:left="112" w:right="100"/>
              <w:rPr>
                <w:sz w:val="21"/>
              </w:rPr>
            </w:pPr>
            <w:r>
              <w:rPr>
                <w:spacing w:val="-1"/>
                <w:sz w:val="21"/>
              </w:rPr>
              <w:t>兴微(广州)产</w:t>
            </w:r>
            <w:r>
              <w:rPr>
                <w:spacing w:val="-3"/>
                <w:sz w:val="21"/>
              </w:rPr>
              <w:t>业投资合伙企</w:t>
            </w:r>
          </w:p>
          <w:p>
            <w:pPr>
              <w:pStyle w:val="TableParagraph"/>
              <w:spacing w:line="250" w:lineRule="exact" w:before="1"/>
              <w:ind w:left="112" w:right="-15"/>
              <w:rPr>
                <w:sz w:val="21"/>
              </w:rPr>
            </w:pPr>
            <w:r>
              <w:rPr>
                <w:spacing w:val="-1"/>
                <w:sz w:val="21"/>
              </w:rPr>
              <w:t>业(有限合伙)</w:t>
            </w:r>
            <w:r>
              <w:rPr>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42" w:lineRule="auto" w:before="3"/>
              <w:ind w:left="110" w:right="101"/>
              <w:rPr>
                <w:sz w:val="21"/>
              </w:rPr>
            </w:pPr>
            <w:r>
              <w:rPr>
                <w:spacing w:val="-1"/>
                <w:sz w:val="21"/>
              </w:rPr>
              <w:t>晟丰(广州)产</w:t>
            </w:r>
            <w:r>
              <w:rPr>
                <w:spacing w:val="-3"/>
                <w:sz w:val="21"/>
              </w:rPr>
              <w:t>业投资合伙企</w:t>
            </w:r>
          </w:p>
          <w:p>
            <w:pPr>
              <w:pStyle w:val="TableParagraph"/>
              <w:spacing w:line="250" w:lineRule="exact" w:before="1"/>
              <w:ind w:left="110" w:right="-15"/>
              <w:rPr>
                <w:sz w:val="21"/>
              </w:rPr>
            </w:pPr>
            <w:r>
              <w:rPr>
                <w:spacing w:val="-1"/>
                <w:sz w:val="21"/>
              </w:rPr>
              <w:t>业(有限合伙)</w:t>
            </w:r>
            <w:r>
              <w:rPr>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42" w:lineRule="auto" w:before="3"/>
              <w:ind w:left="112" w:right="99"/>
              <w:rPr>
                <w:sz w:val="21"/>
              </w:rPr>
            </w:pPr>
            <w:r>
              <w:rPr>
                <w:spacing w:val="-1"/>
                <w:sz w:val="21"/>
              </w:rPr>
              <w:t>兴微(广州)产</w:t>
            </w:r>
            <w:r>
              <w:rPr>
                <w:spacing w:val="-3"/>
                <w:sz w:val="21"/>
              </w:rPr>
              <w:t>业投资合伙企</w:t>
            </w:r>
          </w:p>
          <w:p>
            <w:pPr>
              <w:pStyle w:val="TableParagraph"/>
              <w:spacing w:line="250" w:lineRule="exact" w:before="1"/>
              <w:ind w:left="112" w:right="-15"/>
              <w:rPr>
                <w:sz w:val="21"/>
              </w:rPr>
            </w:pPr>
            <w:r>
              <w:rPr>
                <w:spacing w:val="-1"/>
                <w:sz w:val="21"/>
              </w:rPr>
              <w:t>业(有限合伙)</w:t>
            </w:r>
            <w:r>
              <w:rPr>
                <w:sz w:val="21"/>
              </w:rPr>
              <w:t>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42" w:lineRule="auto" w:before="3"/>
              <w:ind w:left="112" w:right="101"/>
              <w:rPr>
                <w:sz w:val="21"/>
              </w:rPr>
            </w:pPr>
            <w:r>
              <w:rPr>
                <w:spacing w:val="-1"/>
                <w:sz w:val="21"/>
              </w:rPr>
              <w:t>晟丰(广州)产</w:t>
            </w:r>
            <w:r>
              <w:rPr>
                <w:spacing w:val="-3"/>
                <w:sz w:val="21"/>
              </w:rPr>
              <w:t>业投资合伙企</w:t>
            </w:r>
          </w:p>
          <w:p>
            <w:pPr>
              <w:pStyle w:val="TableParagraph"/>
              <w:spacing w:line="250" w:lineRule="exact" w:before="1"/>
              <w:ind w:left="112"/>
              <w:rPr>
                <w:sz w:val="21"/>
              </w:rPr>
            </w:pPr>
            <w:r>
              <w:rPr>
                <w:spacing w:val="-1"/>
                <w:sz w:val="21"/>
              </w:rPr>
              <w:t>业(有限合伙)</w:t>
            </w:r>
            <w:r>
              <w:rPr>
                <w:sz w:val="21"/>
              </w:rPr>
              <w:t> </w:t>
            </w:r>
          </w:p>
        </w:tc>
      </w:tr>
      <w:tr>
        <w:trPr>
          <w:trHeight w:val="273" w:hRule="atLeast"/>
        </w:trPr>
        <w:tc>
          <w:tcPr>
            <w:tcW w:w="2854"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流动资产</w:t>
            </w:r>
            <w:r>
              <w:rPr>
                <w:sz w:val="21"/>
              </w:rPr>
              <w:t>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29"/>
              <w:jc w:val="right"/>
              <w:rPr>
                <w:sz w:val="24"/>
              </w:rPr>
            </w:pPr>
            <w:r>
              <w:rPr>
                <w:sz w:val="21"/>
              </w:rPr>
              <w:t>9,022,506</w:t>
            </w:r>
            <w:r>
              <w:rPr>
                <w:sz w:val="24"/>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29"/>
              <w:jc w:val="right"/>
              <w:rPr>
                <w:sz w:val="24"/>
              </w:rPr>
            </w:pPr>
            <w:r>
              <w:rPr>
                <w:sz w:val="21"/>
              </w:rPr>
              <w:t>1,822</w:t>
            </w:r>
            <w:r>
              <w:rPr>
                <w:sz w:val="24"/>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29"/>
              <w:jc w:val="right"/>
              <w:rPr>
                <w:sz w:val="24"/>
              </w:rPr>
            </w:pPr>
            <w:r>
              <w:rPr>
                <w:sz w:val="21"/>
              </w:rPr>
              <w:t>不适用</w:t>
            </w:r>
            <w:r>
              <w:rPr>
                <w:sz w:val="24"/>
              </w:rPr>
              <w:t>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29"/>
              <w:jc w:val="right"/>
              <w:rPr>
                <w:sz w:val="24"/>
              </w:rPr>
            </w:pPr>
            <w:r>
              <w:rPr>
                <w:sz w:val="21"/>
              </w:rPr>
              <w:t>30,645</w:t>
            </w:r>
            <w:r>
              <w:rPr>
                <w:sz w:val="24"/>
              </w:rPr>
              <w:t> </w:t>
            </w:r>
          </w:p>
        </w:tc>
      </w:tr>
      <w:tr>
        <w:trPr>
          <w:trHeight w:val="272" w:hRule="atLeast"/>
        </w:trPr>
        <w:tc>
          <w:tcPr>
            <w:tcW w:w="2854"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z w:val="21"/>
              </w:rPr>
              <w:t>非流动资产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sz w:val="21"/>
              </w:rPr>
              <w:t>2,615,769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sz w:val="21"/>
              </w:rPr>
              <w:t>不适用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sz w:val="21"/>
              </w:rPr>
              <w:t>2,550,000 </w:t>
            </w:r>
          </w:p>
        </w:tc>
      </w:tr>
      <w:tr>
        <w:trPr>
          <w:trHeight w:val="271" w:hRule="atLeast"/>
        </w:trPr>
        <w:tc>
          <w:tcPr>
            <w:tcW w:w="2854"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1"/>
                <w:sz w:val="21"/>
              </w:rPr>
              <w:t>资产合计</w:t>
            </w:r>
            <w:r>
              <w:rPr>
                <w:sz w:val="21"/>
              </w:rPr>
              <w:t>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sz w:val="21"/>
              </w:rPr>
              <w:t>9,022,506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sz w:val="21"/>
              </w:rPr>
              <w:t>2,617,591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sz w:val="21"/>
              </w:rPr>
              <w:t>不适用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sz w:val="21"/>
              </w:rPr>
              <w:t>2,580,645 </w:t>
            </w:r>
          </w:p>
        </w:tc>
      </w:tr>
      <w:tr>
        <w:trPr>
          <w:trHeight w:val="272" w:hRule="atLeast"/>
        </w:trPr>
        <w:tc>
          <w:tcPr>
            <w:tcW w:w="8822" w:type="dxa"/>
            <w:gridSpan w:val="5"/>
            <w:tcBorders>
              <w:top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w w:val="100"/>
                <w:sz w:val="21"/>
              </w:rPr>
              <w:t> </w:t>
            </w:r>
          </w:p>
        </w:tc>
      </w:tr>
      <w:tr>
        <w:trPr>
          <w:trHeight w:val="273" w:hRule="atLeast"/>
        </w:trPr>
        <w:tc>
          <w:tcPr>
            <w:tcW w:w="2854"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流动负债</w:t>
            </w:r>
            <w:r>
              <w:rPr>
                <w:sz w:val="21"/>
              </w:rPr>
              <w:t>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w w:val="100"/>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29"/>
              <w:jc w:val="right"/>
              <w:rPr>
                <w:sz w:val="24"/>
              </w:rPr>
            </w:pPr>
            <w:r>
              <w:rPr>
                <w:sz w:val="21"/>
              </w:rPr>
              <w:t>893</w:t>
            </w:r>
            <w:r>
              <w:rPr>
                <w:sz w:val="24"/>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29"/>
              <w:jc w:val="right"/>
              <w:rPr>
                <w:sz w:val="24"/>
              </w:rPr>
            </w:pPr>
            <w:r>
              <w:rPr>
                <w:sz w:val="21"/>
              </w:rPr>
              <w:t>不适用</w:t>
            </w:r>
            <w:r>
              <w:rPr>
                <w:sz w:val="24"/>
              </w:rPr>
              <w:t>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w w:val="100"/>
                <w:sz w:val="21"/>
              </w:rPr>
              <w:t> </w:t>
            </w:r>
          </w:p>
        </w:tc>
      </w:tr>
      <w:tr>
        <w:trPr>
          <w:trHeight w:val="270" w:hRule="atLeast"/>
        </w:trPr>
        <w:tc>
          <w:tcPr>
            <w:tcW w:w="2854"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z w:val="21"/>
              </w:rPr>
              <w:t>非流动负债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w w:val="100"/>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sz w:val="21"/>
              </w:rPr>
              <w:t>不适用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w w:val="100"/>
                <w:sz w:val="21"/>
              </w:rPr>
              <w:t> </w:t>
            </w:r>
          </w:p>
        </w:tc>
      </w:tr>
      <w:tr>
        <w:trPr>
          <w:trHeight w:val="273" w:hRule="atLeast"/>
        </w:trPr>
        <w:tc>
          <w:tcPr>
            <w:tcW w:w="2854"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1"/>
                <w:sz w:val="21"/>
              </w:rPr>
              <w:t>负债合计</w:t>
            </w:r>
            <w:r>
              <w:rPr>
                <w:sz w:val="21"/>
              </w:rPr>
              <w:t>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w w:val="100"/>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sz w:val="21"/>
              </w:rPr>
              <w:t>893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sz w:val="21"/>
              </w:rPr>
              <w:t>不适用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w w:val="100"/>
                <w:sz w:val="21"/>
              </w:rPr>
              <w:t> </w:t>
            </w:r>
          </w:p>
        </w:tc>
      </w:tr>
      <w:tr>
        <w:trPr>
          <w:trHeight w:val="272" w:hRule="atLeast"/>
        </w:trPr>
        <w:tc>
          <w:tcPr>
            <w:tcW w:w="8822" w:type="dxa"/>
            <w:gridSpan w:val="5"/>
            <w:tcBorders>
              <w:top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w w:val="100"/>
                <w:sz w:val="21"/>
              </w:rPr>
              <w:t> </w:t>
            </w:r>
          </w:p>
        </w:tc>
      </w:tr>
      <w:tr>
        <w:trPr>
          <w:trHeight w:val="272" w:hRule="atLeast"/>
        </w:trPr>
        <w:tc>
          <w:tcPr>
            <w:tcW w:w="2854"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少数股东权益</w:t>
            </w:r>
            <w:r>
              <w:rPr>
                <w:sz w:val="21"/>
              </w:rPr>
              <w:t>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29"/>
              <w:jc w:val="right"/>
              <w:rPr>
                <w:sz w:val="24"/>
              </w:rPr>
            </w:pPr>
            <w:r>
              <w:rPr>
                <w:sz w:val="21"/>
              </w:rPr>
              <w:t>-</w:t>
            </w:r>
            <w:r>
              <w:rPr>
                <w:sz w:val="24"/>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29"/>
              <w:jc w:val="right"/>
              <w:rPr>
                <w:sz w:val="24"/>
              </w:rPr>
            </w:pPr>
            <w:r>
              <w:rPr>
                <w:sz w:val="21"/>
              </w:rPr>
              <w:t>-</w:t>
            </w:r>
            <w:r>
              <w:rPr>
                <w:sz w:val="24"/>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29"/>
              <w:jc w:val="right"/>
              <w:rPr>
                <w:sz w:val="24"/>
              </w:rPr>
            </w:pPr>
            <w:r>
              <w:rPr>
                <w:sz w:val="21"/>
              </w:rPr>
              <w:t>不适用</w:t>
            </w:r>
            <w:r>
              <w:rPr>
                <w:sz w:val="24"/>
              </w:rPr>
              <w:t>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29"/>
              <w:jc w:val="right"/>
              <w:rPr>
                <w:sz w:val="24"/>
              </w:rPr>
            </w:pPr>
            <w:r>
              <w:rPr>
                <w:sz w:val="21"/>
              </w:rPr>
              <w:t>-</w:t>
            </w:r>
            <w:r>
              <w:rPr>
                <w:sz w:val="24"/>
              </w:rPr>
              <w:t> </w:t>
            </w:r>
          </w:p>
        </w:tc>
      </w:tr>
      <w:tr>
        <w:trPr>
          <w:trHeight w:val="270" w:hRule="atLeast"/>
        </w:trPr>
        <w:tc>
          <w:tcPr>
            <w:tcW w:w="2854"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1"/>
                <w:sz w:val="21"/>
              </w:rPr>
              <w:t>归属于母公司股东权益</w:t>
            </w:r>
            <w:r>
              <w:rPr>
                <w:sz w:val="21"/>
              </w:rPr>
              <w:t>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sz w:val="21"/>
              </w:rPr>
              <w:t>9,022,506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sz w:val="21"/>
              </w:rPr>
              <w:t>2,616,698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sz w:val="21"/>
              </w:rPr>
              <w:t>不适用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sz w:val="21"/>
              </w:rPr>
              <w:t>2,580,645 </w:t>
            </w:r>
          </w:p>
        </w:tc>
      </w:tr>
      <w:tr>
        <w:trPr>
          <w:trHeight w:val="272" w:hRule="atLeast"/>
        </w:trPr>
        <w:tc>
          <w:tcPr>
            <w:tcW w:w="2854"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w w:val="100"/>
                <w:sz w:val="21"/>
              </w:rPr>
              <w:t>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w w:val="100"/>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w w:val="100"/>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w w:val="100"/>
                <w:sz w:val="21"/>
              </w:rPr>
              <w:t>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w w:val="100"/>
                <w:sz w:val="21"/>
              </w:rPr>
              <w:t> </w:t>
            </w:r>
          </w:p>
        </w:tc>
      </w:tr>
      <w:tr>
        <w:trPr>
          <w:trHeight w:val="544" w:hRule="atLeast"/>
        </w:trPr>
        <w:tc>
          <w:tcPr>
            <w:tcW w:w="2854" w:type="dxa"/>
            <w:tcBorders>
              <w:top w:val="single" w:sz="6" w:space="0" w:color="000000"/>
              <w:bottom w:val="single" w:sz="6" w:space="0" w:color="000000"/>
              <w:right w:val="single" w:sz="6" w:space="0" w:color="000000"/>
            </w:tcBorders>
          </w:tcPr>
          <w:p>
            <w:pPr>
              <w:pStyle w:val="TableParagraph"/>
              <w:spacing w:before="1"/>
              <w:ind w:left="107"/>
              <w:rPr>
                <w:sz w:val="21"/>
              </w:rPr>
            </w:pPr>
            <w:r>
              <w:rPr>
                <w:spacing w:val="-1"/>
                <w:sz w:val="21"/>
              </w:rPr>
              <w:t>按持股比例计算的净资产份</w:t>
            </w:r>
          </w:p>
          <w:p>
            <w:pPr>
              <w:pStyle w:val="TableParagraph"/>
              <w:spacing w:line="250" w:lineRule="exact" w:before="4"/>
              <w:ind w:left="107"/>
              <w:rPr>
                <w:sz w:val="21"/>
              </w:rPr>
            </w:pPr>
            <w:r>
              <w:rPr>
                <w:sz w:val="21"/>
              </w:rPr>
              <w:t>额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before="137"/>
              <w:ind w:right="-15"/>
              <w:jc w:val="right"/>
              <w:rPr>
                <w:sz w:val="21"/>
              </w:rPr>
            </w:pPr>
            <w:r>
              <w:rPr>
                <w:sz w:val="21"/>
              </w:rPr>
              <w:t>9,020,701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before="137"/>
              <w:ind w:right="-15"/>
              <w:jc w:val="right"/>
              <w:rPr>
                <w:sz w:val="21"/>
              </w:rPr>
            </w:pPr>
            <w:r>
              <w:rPr>
                <w:sz w:val="21"/>
              </w:rPr>
              <w:t>1,744,029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before="137"/>
              <w:ind w:right="-29"/>
              <w:jc w:val="right"/>
              <w:rPr>
                <w:sz w:val="24"/>
              </w:rPr>
            </w:pPr>
            <w:r>
              <w:rPr>
                <w:sz w:val="21"/>
              </w:rPr>
              <w:t>不适用</w:t>
            </w:r>
            <w:r>
              <w:rPr>
                <w:sz w:val="24"/>
              </w:rPr>
              <w:t>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before="137"/>
              <w:ind w:right="-15"/>
              <w:jc w:val="right"/>
              <w:rPr>
                <w:sz w:val="21"/>
              </w:rPr>
            </w:pPr>
            <w:r>
              <w:rPr>
                <w:sz w:val="21"/>
              </w:rPr>
              <w:t>1,720,000 </w:t>
            </w:r>
          </w:p>
        </w:tc>
      </w:tr>
      <w:tr>
        <w:trPr>
          <w:trHeight w:val="272" w:hRule="atLeast"/>
        </w:trPr>
        <w:tc>
          <w:tcPr>
            <w:tcW w:w="2854"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1"/>
                <w:sz w:val="21"/>
              </w:rPr>
              <w:t>调整事项</w:t>
            </w:r>
            <w:r>
              <w:rPr>
                <w:sz w:val="21"/>
              </w:rPr>
              <w:t>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w w:val="100"/>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w w:val="100"/>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sz w:val="21"/>
              </w:rPr>
              <w:t>不适用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w w:val="100"/>
                <w:sz w:val="21"/>
              </w:rPr>
              <w:t> </w:t>
            </w:r>
          </w:p>
        </w:tc>
      </w:tr>
      <w:tr>
        <w:trPr>
          <w:trHeight w:val="273" w:hRule="atLeast"/>
        </w:trPr>
        <w:tc>
          <w:tcPr>
            <w:tcW w:w="2854"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z w:val="21"/>
              </w:rPr>
              <w:t>--商誉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w w:val="100"/>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w w:val="100"/>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sz w:val="21"/>
              </w:rPr>
              <w:t>不适用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w w:val="100"/>
                <w:sz w:val="21"/>
              </w:rPr>
              <w:t> </w:t>
            </w:r>
          </w:p>
        </w:tc>
      </w:tr>
      <w:tr>
        <w:trPr>
          <w:trHeight w:val="273" w:hRule="atLeast"/>
        </w:trPr>
        <w:tc>
          <w:tcPr>
            <w:tcW w:w="2854"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z w:val="21"/>
              </w:rPr>
              <w:t>--内部交易未实现利润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w w:val="100"/>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w w:val="100"/>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sz w:val="21"/>
              </w:rPr>
              <w:t>不适用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w w:val="100"/>
                <w:sz w:val="21"/>
              </w:rPr>
              <w:t> </w:t>
            </w:r>
          </w:p>
        </w:tc>
      </w:tr>
      <w:tr>
        <w:trPr>
          <w:trHeight w:val="270" w:hRule="atLeast"/>
        </w:trPr>
        <w:tc>
          <w:tcPr>
            <w:tcW w:w="2854"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z w:val="21"/>
              </w:rPr>
              <w:t>--其他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w w:val="100"/>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w w:val="100"/>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sz w:val="21"/>
              </w:rPr>
              <w:t>不适用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w w:val="100"/>
                <w:sz w:val="21"/>
              </w:rPr>
              <w:t> </w:t>
            </w:r>
          </w:p>
        </w:tc>
      </w:tr>
      <w:tr>
        <w:trPr>
          <w:trHeight w:val="544" w:hRule="atLeast"/>
        </w:trPr>
        <w:tc>
          <w:tcPr>
            <w:tcW w:w="2854" w:type="dxa"/>
            <w:tcBorders>
              <w:top w:val="single" w:sz="6" w:space="0" w:color="000000"/>
              <w:bottom w:val="single" w:sz="6" w:space="0" w:color="000000"/>
              <w:right w:val="single" w:sz="6" w:space="0" w:color="000000"/>
            </w:tcBorders>
          </w:tcPr>
          <w:p>
            <w:pPr>
              <w:pStyle w:val="TableParagraph"/>
              <w:spacing w:before="1"/>
              <w:ind w:left="107"/>
              <w:rPr>
                <w:sz w:val="21"/>
              </w:rPr>
            </w:pPr>
            <w:r>
              <w:rPr>
                <w:spacing w:val="-1"/>
                <w:sz w:val="21"/>
              </w:rPr>
              <w:t>对联营企业权益投资的账面</w:t>
            </w:r>
          </w:p>
          <w:p>
            <w:pPr>
              <w:pStyle w:val="TableParagraph"/>
              <w:spacing w:line="250" w:lineRule="exact" w:before="4"/>
              <w:ind w:left="107"/>
              <w:rPr>
                <w:sz w:val="21"/>
              </w:rPr>
            </w:pPr>
            <w:r>
              <w:rPr>
                <w:sz w:val="21"/>
              </w:rPr>
              <w:t>价值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before="137"/>
              <w:ind w:right="-15"/>
              <w:jc w:val="right"/>
              <w:rPr>
                <w:sz w:val="21"/>
              </w:rPr>
            </w:pPr>
            <w:r>
              <w:rPr>
                <w:sz w:val="21"/>
              </w:rPr>
              <w:t>9,020,701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before="137"/>
              <w:ind w:right="-15"/>
              <w:jc w:val="right"/>
              <w:rPr>
                <w:sz w:val="21"/>
              </w:rPr>
            </w:pPr>
            <w:r>
              <w:rPr>
                <w:sz w:val="21"/>
              </w:rPr>
              <w:t>1,744,029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before="137"/>
              <w:ind w:right="-15"/>
              <w:jc w:val="right"/>
              <w:rPr>
                <w:sz w:val="21"/>
              </w:rPr>
            </w:pPr>
            <w:r>
              <w:rPr>
                <w:sz w:val="21"/>
              </w:rPr>
              <w:t>不适用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before="137"/>
              <w:ind w:right="-15"/>
              <w:jc w:val="right"/>
              <w:rPr>
                <w:sz w:val="21"/>
              </w:rPr>
            </w:pPr>
            <w:r>
              <w:rPr>
                <w:sz w:val="21"/>
              </w:rPr>
              <w:t>1,720,000 </w:t>
            </w:r>
          </w:p>
        </w:tc>
      </w:tr>
      <w:tr>
        <w:trPr>
          <w:trHeight w:val="546" w:hRule="atLeast"/>
        </w:trPr>
        <w:tc>
          <w:tcPr>
            <w:tcW w:w="2854" w:type="dxa"/>
            <w:tcBorders>
              <w:top w:val="single" w:sz="6" w:space="0" w:color="000000"/>
              <w:bottom w:val="single" w:sz="6" w:space="0" w:color="000000"/>
              <w:right w:val="single" w:sz="6" w:space="0" w:color="000000"/>
            </w:tcBorders>
          </w:tcPr>
          <w:p>
            <w:pPr>
              <w:pStyle w:val="TableParagraph"/>
              <w:spacing w:line="270" w:lineRule="atLeast"/>
              <w:ind w:left="107" w:right="208"/>
              <w:rPr>
                <w:sz w:val="21"/>
              </w:rPr>
            </w:pPr>
            <w:r>
              <w:rPr>
                <w:spacing w:val="-1"/>
                <w:sz w:val="21"/>
              </w:rPr>
              <w:t>存在公开报价的联营企业权</w:t>
            </w:r>
            <w:r>
              <w:rPr>
                <w:sz w:val="21"/>
              </w:rPr>
              <w:t>益投资的公允价值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before="137"/>
              <w:ind w:right="-15"/>
              <w:jc w:val="right"/>
              <w:rPr>
                <w:sz w:val="21"/>
              </w:rPr>
            </w:pPr>
            <w:r>
              <w:rPr>
                <w:sz w:val="21"/>
              </w:rPr>
              <w:t>不适用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before="137"/>
              <w:ind w:right="-15"/>
              <w:jc w:val="right"/>
              <w:rPr>
                <w:sz w:val="21"/>
              </w:rPr>
            </w:pPr>
            <w:r>
              <w:rPr>
                <w:sz w:val="21"/>
              </w:rPr>
              <w:t>不适用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before="137"/>
              <w:ind w:right="-15"/>
              <w:jc w:val="right"/>
              <w:rPr>
                <w:sz w:val="21"/>
              </w:rPr>
            </w:pPr>
            <w:r>
              <w:rPr>
                <w:sz w:val="21"/>
              </w:rPr>
              <w:t>不适用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before="137"/>
              <w:ind w:right="-15"/>
              <w:jc w:val="right"/>
              <w:rPr>
                <w:sz w:val="21"/>
              </w:rPr>
            </w:pPr>
            <w:r>
              <w:rPr>
                <w:sz w:val="21"/>
              </w:rPr>
              <w:t>不适用 </w:t>
            </w:r>
          </w:p>
        </w:tc>
      </w:tr>
      <w:tr>
        <w:trPr>
          <w:trHeight w:val="270" w:hRule="atLeast"/>
        </w:trPr>
        <w:tc>
          <w:tcPr>
            <w:tcW w:w="8822" w:type="dxa"/>
            <w:gridSpan w:val="5"/>
            <w:tcBorders>
              <w:top w:val="single" w:sz="6" w:space="0" w:color="000000"/>
              <w:bottom w:val="single" w:sz="6" w:space="0" w:color="000000"/>
              <w:right w:val="single" w:sz="6" w:space="0" w:color="000000"/>
            </w:tcBorders>
          </w:tcPr>
          <w:p>
            <w:pPr>
              <w:pStyle w:val="TableParagraph"/>
              <w:spacing w:line="250" w:lineRule="exact" w:before="1"/>
              <w:ind w:right="-15"/>
              <w:jc w:val="right"/>
              <w:rPr>
                <w:sz w:val="21"/>
              </w:rPr>
            </w:pPr>
            <w:r>
              <w:rPr>
                <w:w w:val="100"/>
                <w:sz w:val="21"/>
              </w:rPr>
              <w:t> </w:t>
            </w:r>
          </w:p>
        </w:tc>
      </w:tr>
      <w:tr>
        <w:trPr>
          <w:trHeight w:val="273" w:hRule="atLeast"/>
        </w:trPr>
        <w:tc>
          <w:tcPr>
            <w:tcW w:w="2854"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1"/>
                <w:sz w:val="21"/>
              </w:rPr>
              <w:t>营业收入</w:t>
            </w:r>
            <w:r>
              <w:rPr>
                <w:sz w:val="21"/>
              </w:rPr>
              <w:t>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29"/>
              <w:jc w:val="right"/>
              <w:rPr>
                <w:sz w:val="24"/>
              </w:rPr>
            </w:pPr>
            <w:r>
              <w:rPr>
                <w:sz w:val="21"/>
              </w:rPr>
              <w:t>-</w:t>
            </w:r>
            <w:r>
              <w:rPr>
                <w:sz w:val="24"/>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29"/>
              <w:jc w:val="right"/>
              <w:rPr>
                <w:sz w:val="24"/>
              </w:rPr>
            </w:pPr>
            <w:r>
              <w:rPr>
                <w:sz w:val="21"/>
              </w:rPr>
              <w:t>-</w:t>
            </w:r>
            <w:r>
              <w:rPr>
                <w:sz w:val="24"/>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sz w:val="21"/>
              </w:rPr>
              <w:t>不适用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sz w:val="21"/>
              </w:rPr>
              <w:t>- </w:t>
            </w:r>
          </w:p>
        </w:tc>
      </w:tr>
      <w:tr>
        <w:trPr>
          <w:trHeight w:val="272" w:hRule="atLeast"/>
        </w:trPr>
        <w:tc>
          <w:tcPr>
            <w:tcW w:w="2854"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z w:val="21"/>
              </w:rPr>
              <w:t>净利润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sz w:val="21"/>
              </w:rPr>
              <w:t>24,049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sz w:val="21"/>
              </w:rPr>
              <w:t>不适用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sz w:val="21"/>
              </w:rPr>
              <w:t>- </w:t>
            </w:r>
          </w:p>
        </w:tc>
      </w:tr>
      <w:tr>
        <w:trPr>
          <w:trHeight w:val="272" w:hRule="atLeast"/>
        </w:trPr>
        <w:tc>
          <w:tcPr>
            <w:tcW w:w="2854"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1"/>
                <w:sz w:val="21"/>
              </w:rPr>
              <w:t>终止经营的净利润</w:t>
            </w:r>
            <w:r>
              <w:rPr>
                <w:sz w:val="21"/>
              </w:rPr>
              <w:t> </w:t>
            </w:r>
          </w:p>
        </w:tc>
        <w:tc>
          <w:tcPr>
            <w:tcW w:w="1493" w:type="dxa"/>
            <w:tcBorders>
              <w:top w:val="single" w:sz="6" w:space="0" w:color="000000"/>
              <w:left w:val="single" w:sz="6" w:space="0" w:color="000000"/>
              <w:right w:val="single" w:sz="6" w:space="0" w:color="000000"/>
            </w:tcBorders>
          </w:tcPr>
          <w:p>
            <w:pPr>
              <w:pStyle w:val="TableParagraph"/>
              <w:spacing w:line="252" w:lineRule="exact" w:before="1"/>
              <w:ind w:right="-15"/>
              <w:jc w:val="right"/>
              <w:rPr>
                <w:sz w:val="21"/>
              </w:rPr>
            </w:pPr>
            <w:r>
              <w:rPr>
                <w:sz w:val="21"/>
              </w:rPr>
              <w:t>- </w:t>
            </w:r>
          </w:p>
        </w:tc>
        <w:tc>
          <w:tcPr>
            <w:tcW w:w="1491" w:type="dxa"/>
            <w:tcBorders>
              <w:top w:val="single" w:sz="6" w:space="0" w:color="000000"/>
              <w:left w:val="single" w:sz="6" w:space="0" w:color="000000"/>
              <w:right w:val="single" w:sz="6" w:space="0" w:color="000000"/>
            </w:tcBorders>
          </w:tcPr>
          <w:p>
            <w:pPr>
              <w:pStyle w:val="TableParagraph"/>
              <w:spacing w:line="252" w:lineRule="exact" w:before="1"/>
              <w:ind w:right="-15"/>
              <w:jc w:val="right"/>
              <w:rPr>
                <w:sz w:val="21"/>
              </w:rPr>
            </w:pPr>
            <w:r>
              <w:rPr>
                <w:sz w:val="21"/>
              </w:rPr>
              <w:t>- </w:t>
            </w:r>
          </w:p>
        </w:tc>
        <w:tc>
          <w:tcPr>
            <w:tcW w:w="149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sz w:val="21"/>
              </w:rPr>
              <w:t>不适用 </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15"/>
              <w:jc w:val="right"/>
              <w:rPr>
                <w:sz w:val="21"/>
              </w:rPr>
            </w:pPr>
            <w:r>
              <w:rPr>
                <w:sz w:val="21"/>
              </w:rPr>
              <w:t>- </w:t>
            </w:r>
          </w:p>
        </w:tc>
      </w:tr>
    </w:tbl>
    <w:p>
      <w:pPr>
        <w:spacing w:after="0" w:line="252" w:lineRule="exact"/>
        <w:jc w:val="right"/>
        <w:rPr>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54"/>
        <w:gridCol w:w="1493"/>
        <w:gridCol w:w="1491"/>
        <w:gridCol w:w="1491"/>
        <w:gridCol w:w="1493"/>
      </w:tblGrid>
      <w:tr>
        <w:trPr>
          <w:trHeight w:val="273" w:hRule="atLeast"/>
        </w:trPr>
        <w:tc>
          <w:tcPr>
            <w:tcW w:w="2854" w:type="dxa"/>
            <w:tcBorders>
              <w:left w:val="single" w:sz="4" w:space="0" w:color="000000"/>
            </w:tcBorders>
          </w:tcPr>
          <w:p>
            <w:pPr>
              <w:pStyle w:val="TableParagraph"/>
              <w:spacing w:line="250" w:lineRule="exact" w:before="3"/>
              <w:ind w:left="107"/>
              <w:rPr>
                <w:sz w:val="21"/>
              </w:rPr>
            </w:pPr>
            <w:r>
              <w:rPr>
                <w:spacing w:val="-1"/>
                <w:sz w:val="21"/>
              </w:rPr>
              <w:t>其他综合收益</w:t>
            </w:r>
            <w:r>
              <w:rPr>
                <w:sz w:val="21"/>
              </w:rPr>
              <w:t> </w:t>
            </w:r>
          </w:p>
        </w:tc>
        <w:tc>
          <w:tcPr>
            <w:tcW w:w="1493" w:type="dxa"/>
            <w:tcBorders>
              <w:top w:val="single" w:sz="4" w:space="0" w:color="000000"/>
            </w:tcBorders>
          </w:tcPr>
          <w:p>
            <w:pPr>
              <w:pStyle w:val="TableParagraph"/>
              <w:spacing w:line="250" w:lineRule="exact" w:before="3"/>
              <w:ind w:right="-15"/>
              <w:jc w:val="right"/>
              <w:rPr>
                <w:sz w:val="21"/>
              </w:rPr>
            </w:pPr>
            <w:r>
              <w:rPr>
                <w:sz w:val="21"/>
              </w:rPr>
              <w:t>- </w:t>
            </w:r>
          </w:p>
        </w:tc>
        <w:tc>
          <w:tcPr>
            <w:tcW w:w="1491" w:type="dxa"/>
            <w:tcBorders>
              <w:top w:val="single" w:sz="4" w:space="0" w:color="000000"/>
            </w:tcBorders>
          </w:tcPr>
          <w:p>
            <w:pPr>
              <w:pStyle w:val="TableParagraph"/>
              <w:spacing w:line="250" w:lineRule="exact" w:before="3"/>
              <w:ind w:right="-15"/>
              <w:jc w:val="right"/>
              <w:rPr>
                <w:sz w:val="21"/>
              </w:rPr>
            </w:pPr>
            <w:r>
              <w:rPr>
                <w:sz w:val="21"/>
              </w:rPr>
              <w:t>- </w:t>
            </w:r>
          </w:p>
        </w:tc>
        <w:tc>
          <w:tcPr>
            <w:tcW w:w="1491" w:type="dxa"/>
          </w:tcPr>
          <w:p>
            <w:pPr>
              <w:pStyle w:val="TableParagraph"/>
              <w:spacing w:line="250" w:lineRule="exact" w:before="3"/>
              <w:ind w:right="-15"/>
              <w:jc w:val="right"/>
              <w:rPr>
                <w:sz w:val="21"/>
              </w:rPr>
            </w:pPr>
            <w:r>
              <w:rPr>
                <w:sz w:val="21"/>
              </w:rPr>
              <w:t>不适用 </w:t>
            </w:r>
          </w:p>
        </w:tc>
        <w:tc>
          <w:tcPr>
            <w:tcW w:w="1493" w:type="dxa"/>
          </w:tcPr>
          <w:p>
            <w:pPr>
              <w:pStyle w:val="TableParagraph"/>
              <w:spacing w:line="250" w:lineRule="exact" w:before="3"/>
              <w:ind w:right="-15"/>
              <w:jc w:val="right"/>
              <w:rPr>
                <w:sz w:val="21"/>
              </w:rPr>
            </w:pPr>
            <w:r>
              <w:rPr>
                <w:sz w:val="21"/>
              </w:rPr>
              <w:t>- </w:t>
            </w:r>
          </w:p>
        </w:tc>
      </w:tr>
      <w:tr>
        <w:trPr>
          <w:trHeight w:val="273" w:hRule="atLeast"/>
        </w:trPr>
        <w:tc>
          <w:tcPr>
            <w:tcW w:w="2854" w:type="dxa"/>
            <w:tcBorders>
              <w:left w:val="single" w:sz="4" w:space="0" w:color="000000"/>
            </w:tcBorders>
          </w:tcPr>
          <w:p>
            <w:pPr>
              <w:pStyle w:val="TableParagraph"/>
              <w:spacing w:line="252" w:lineRule="exact" w:before="1"/>
              <w:ind w:left="107"/>
              <w:rPr>
                <w:sz w:val="21"/>
              </w:rPr>
            </w:pPr>
            <w:r>
              <w:rPr>
                <w:spacing w:val="-1"/>
                <w:sz w:val="21"/>
              </w:rPr>
              <w:t>综合收益总额</w:t>
            </w:r>
            <w:r>
              <w:rPr>
                <w:sz w:val="21"/>
              </w:rPr>
              <w:t> </w:t>
            </w:r>
          </w:p>
        </w:tc>
        <w:tc>
          <w:tcPr>
            <w:tcW w:w="1493" w:type="dxa"/>
          </w:tcPr>
          <w:p>
            <w:pPr>
              <w:pStyle w:val="TableParagraph"/>
              <w:spacing w:line="252" w:lineRule="exact" w:before="1"/>
              <w:ind w:right="-15"/>
              <w:jc w:val="right"/>
              <w:rPr>
                <w:sz w:val="21"/>
              </w:rPr>
            </w:pPr>
            <w:r>
              <w:rPr>
                <w:sz w:val="21"/>
              </w:rPr>
              <w:t>- </w:t>
            </w:r>
          </w:p>
        </w:tc>
        <w:tc>
          <w:tcPr>
            <w:tcW w:w="1491" w:type="dxa"/>
          </w:tcPr>
          <w:p>
            <w:pPr>
              <w:pStyle w:val="TableParagraph"/>
              <w:spacing w:line="252" w:lineRule="exact" w:before="1"/>
              <w:ind w:right="-15"/>
              <w:jc w:val="right"/>
              <w:rPr>
                <w:sz w:val="21"/>
              </w:rPr>
            </w:pPr>
            <w:r>
              <w:rPr>
                <w:sz w:val="21"/>
              </w:rPr>
              <w:t>24,049 </w:t>
            </w:r>
          </w:p>
        </w:tc>
        <w:tc>
          <w:tcPr>
            <w:tcW w:w="1491" w:type="dxa"/>
          </w:tcPr>
          <w:p>
            <w:pPr>
              <w:pStyle w:val="TableParagraph"/>
              <w:spacing w:line="252" w:lineRule="exact" w:before="1"/>
              <w:ind w:right="-15"/>
              <w:jc w:val="right"/>
              <w:rPr>
                <w:sz w:val="21"/>
              </w:rPr>
            </w:pPr>
            <w:r>
              <w:rPr>
                <w:sz w:val="21"/>
              </w:rPr>
              <w:t>不适用 </w:t>
            </w:r>
          </w:p>
        </w:tc>
        <w:tc>
          <w:tcPr>
            <w:tcW w:w="1493" w:type="dxa"/>
          </w:tcPr>
          <w:p>
            <w:pPr>
              <w:pStyle w:val="TableParagraph"/>
              <w:spacing w:line="252" w:lineRule="exact" w:before="1"/>
              <w:ind w:right="-15"/>
              <w:jc w:val="right"/>
              <w:rPr>
                <w:sz w:val="21"/>
              </w:rPr>
            </w:pPr>
            <w:r>
              <w:rPr>
                <w:sz w:val="21"/>
              </w:rPr>
              <w:t>- </w:t>
            </w:r>
          </w:p>
        </w:tc>
      </w:tr>
      <w:tr>
        <w:trPr>
          <w:trHeight w:val="272" w:hRule="atLeast"/>
        </w:trPr>
        <w:tc>
          <w:tcPr>
            <w:tcW w:w="8822" w:type="dxa"/>
            <w:gridSpan w:val="5"/>
            <w:tcBorders>
              <w:left w:val="single" w:sz="4" w:space="0" w:color="000000"/>
            </w:tcBorders>
          </w:tcPr>
          <w:p>
            <w:pPr>
              <w:pStyle w:val="TableParagraph"/>
              <w:spacing w:line="252" w:lineRule="exact" w:before="1"/>
              <w:ind w:right="-15"/>
              <w:jc w:val="right"/>
              <w:rPr>
                <w:sz w:val="21"/>
              </w:rPr>
            </w:pPr>
            <w:r>
              <w:rPr>
                <w:w w:val="100"/>
                <w:sz w:val="21"/>
              </w:rPr>
              <w:t> </w:t>
            </w:r>
          </w:p>
        </w:tc>
      </w:tr>
      <w:tr>
        <w:trPr>
          <w:trHeight w:val="544" w:hRule="atLeast"/>
        </w:trPr>
        <w:tc>
          <w:tcPr>
            <w:tcW w:w="2854" w:type="dxa"/>
            <w:tcBorders>
              <w:left w:val="single" w:sz="4" w:space="0" w:color="000000"/>
              <w:bottom w:val="single" w:sz="4" w:space="0" w:color="000000"/>
            </w:tcBorders>
          </w:tcPr>
          <w:p>
            <w:pPr>
              <w:pStyle w:val="TableParagraph"/>
              <w:spacing w:before="1"/>
              <w:ind w:left="107"/>
              <w:rPr>
                <w:sz w:val="21"/>
              </w:rPr>
            </w:pPr>
            <w:r>
              <w:rPr>
                <w:spacing w:val="-1"/>
                <w:sz w:val="21"/>
              </w:rPr>
              <w:t>本年度收到的来自联营企业</w:t>
            </w:r>
          </w:p>
          <w:p>
            <w:pPr>
              <w:pStyle w:val="TableParagraph"/>
              <w:spacing w:line="252" w:lineRule="exact" w:before="2"/>
              <w:ind w:left="107"/>
              <w:rPr>
                <w:sz w:val="21"/>
              </w:rPr>
            </w:pPr>
            <w:r>
              <w:rPr>
                <w:sz w:val="21"/>
              </w:rPr>
              <w:t>的股利 </w:t>
            </w:r>
          </w:p>
        </w:tc>
        <w:tc>
          <w:tcPr>
            <w:tcW w:w="1493" w:type="dxa"/>
            <w:tcBorders>
              <w:bottom w:val="single" w:sz="4" w:space="0" w:color="000000"/>
            </w:tcBorders>
          </w:tcPr>
          <w:p>
            <w:pPr>
              <w:pStyle w:val="TableParagraph"/>
              <w:spacing w:before="137"/>
              <w:ind w:right="-15"/>
              <w:jc w:val="right"/>
              <w:rPr>
                <w:sz w:val="21"/>
              </w:rPr>
            </w:pPr>
            <w:r>
              <w:rPr>
                <w:sz w:val="21"/>
              </w:rPr>
              <w:t>- </w:t>
            </w:r>
          </w:p>
        </w:tc>
        <w:tc>
          <w:tcPr>
            <w:tcW w:w="1491" w:type="dxa"/>
            <w:tcBorders>
              <w:bottom w:val="single" w:sz="4" w:space="0" w:color="000000"/>
            </w:tcBorders>
          </w:tcPr>
          <w:p>
            <w:pPr>
              <w:pStyle w:val="TableParagraph"/>
              <w:spacing w:before="137"/>
              <w:ind w:right="-15"/>
              <w:jc w:val="right"/>
              <w:rPr>
                <w:sz w:val="21"/>
              </w:rPr>
            </w:pPr>
            <w:r>
              <w:rPr>
                <w:sz w:val="21"/>
              </w:rPr>
              <w:t>- </w:t>
            </w:r>
          </w:p>
        </w:tc>
        <w:tc>
          <w:tcPr>
            <w:tcW w:w="1491" w:type="dxa"/>
            <w:tcBorders>
              <w:bottom w:val="single" w:sz="4" w:space="0" w:color="000000"/>
            </w:tcBorders>
          </w:tcPr>
          <w:p>
            <w:pPr>
              <w:pStyle w:val="TableParagraph"/>
              <w:spacing w:before="137"/>
              <w:ind w:right="-15"/>
              <w:jc w:val="right"/>
              <w:rPr>
                <w:sz w:val="21"/>
              </w:rPr>
            </w:pPr>
            <w:r>
              <w:rPr>
                <w:sz w:val="21"/>
              </w:rPr>
              <w:t>不适用 </w:t>
            </w:r>
          </w:p>
        </w:tc>
        <w:tc>
          <w:tcPr>
            <w:tcW w:w="1493" w:type="dxa"/>
            <w:tcBorders>
              <w:bottom w:val="single" w:sz="4" w:space="0" w:color="000000"/>
            </w:tcBorders>
          </w:tcPr>
          <w:p>
            <w:pPr>
              <w:pStyle w:val="TableParagraph"/>
              <w:spacing w:before="137"/>
              <w:ind w:right="-15"/>
              <w:jc w:val="right"/>
              <w:rPr>
                <w:sz w:val="21"/>
              </w:rPr>
            </w:pPr>
            <w:r>
              <w:rPr>
                <w:sz w:val="21"/>
              </w:rPr>
              <w:t>- </w:t>
            </w:r>
          </w:p>
        </w:tc>
      </w:tr>
    </w:tbl>
    <w:p>
      <w:pPr>
        <w:pStyle w:val="BodyText"/>
        <w:spacing w:before="1"/>
      </w:pPr>
      <w:r>
        <w:rPr>
          <w:w w:val="100"/>
        </w:rPr>
        <w:t> </w:t>
      </w:r>
    </w:p>
    <w:p>
      <w:pPr>
        <w:pStyle w:val="BodyText"/>
        <w:spacing w:before="2"/>
      </w:pPr>
      <w:r>
        <w:rPr>
          <w:spacing w:val="-1"/>
        </w:rPr>
        <w:t>其他说明</w:t>
      </w:r>
      <w:r>
        <w:rPr/>
        <w:t> </w:t>
      </w:r>
    </w:p>
    <w:p>
      <w:pPr>
        <w:pStyle w:val="BodyText"/>
        <w:spacing w:line="242" w:lineRule="auto" w:before="5"/>
        <w:ind w:right="1277" w:firstLine="314"/>
      </w:pPr>
      <w:r>
        <w:rPr/>
        <w:t>本集团以联营企业合并财务报表中归属于母公司的金额为基础，按持股比例计算资产份额。联营企业合并财务报表中的金额考虑了取得投资时联营企业可辨认净资产和负债的公允价值以及统一会计政策的影响。本集团与联营企业之间交易所涉及的资产均不构成业务。 </w:t>
      </w:r>
    </w:p>
    <w:p>
      <w:pPr>
        <w:pStyle w:val="BodyText"/>
      </w:pPr>
      <w:r>
        <w:rPr>
          <w:w w:val="100"/>
        </w:rPr>
        <w:t> </w:t>
      </w:r>
    </w:p>
    <w:p>
      <w:pPr>
        <w:pStyle w:val="ListParagraph"/>
        <w:numPr>
          <w:ilvl w:val="0"/>
          <w:numId w:val="84"/>
        </w:numPr>
        <w:tabs>
          <w:tab w:pos="743" w:val="left" w:leader="none"/>
        </w:tabs>
        <w:spacing w:line="240" w:lineRule="auto" w:before="65" w:after="0"/>
        <w:ind w:left="742" w:right="0" w:hanging="425"/>
        <w:jc w:val="left"/>
        <w:rPr>
          <w:sz w:val="21"/>
        </w:rPr>
      </w:pPr>
      <w:r>
        <w:rPr>
          <w:sz w:val="21"/>
        </w:rPr>
        <w:t>不重要的合营企业和联营企业的汇总财务信息 </w:t>
      </w:r>
    </w:p>
    <w:p>
      <w:pPr>
        <w:pStyle w:val="BodyText"/>
        <w:spacing w:before="62"/>
      </w:pPr>
      <w:r>
        <w:rPr>
          <w:spacing w:val="11"/>
        </w:rPr>
        <w:t>√适用 □不适用</w:t>
      </w:r>
      <w:r>
        <w:rPr>
          <w:spacing w:val="-3"/>
        </w:rPr>
        <w:t> </w:t>
      </w:r>
      <w:r>
        <w:rPr/>
        <w:t> </w:t>
      </w:r>
    </w:p>
    <w:p>
      <w:pPr>
        <w:pStyle w:val="BodyText"/>
        <w:spacing w:before="5"/>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0"/>
        <w:gridCol w:w="2995"/>
        <w:gridCol w:w="2998"/>
      </w:tblGrid>
      <w:tr>
        <w:trPr>
          <w:trHeight w:val="273" w:hRule="atLeast"/>
        </w:trPr>
        <w:tc>
          <w:tcPr>
            <w:tcW w:w="2830" w:type="dxa"/>
          </w:tcPr>
          <w:p>
            <w:pPr>
              <w:pStyle w:val="TableParagraph"/>
              <w:spacing w:line="252" w:lineRule="exact" w:before="1"/>
              <w:ind w:left="112"/>
              <w:jc w:val="center"/>
              <w:rPr>
                <w:sz w:val="21"/>
              </w:rPr>
            </w:pPr>
            <w:r>
              <w:rPr>
                <w:w w:val="100"/>
                <w:sz w:val="21"/>
              </w:rPr>
              <w:t> </w:t>
            </w:r>
          </w:p>
        </w:tc>
        <w:tc>
          <w:tcPr>
            <w:tcW w:w="2995" w:type="dxa"/>
          </w:tcPr>
          <w:p>
            <w:pPr>
              <w:pStyle w:val="TableParagraph"/>
              <w:spacing w:line="252" w:lineRule="exact" w:before="1"/>
              <w:ind w:left="446"/>
              <w:rPr>
                <w:sz w:val="21"/>
              </w:rPr>
            </w:pPr>
            <w:r>
              <w:rPr>
                <w:spacing w:val="-1"/>
                <w:sz w:val="21"/>
              </w:rPr>
              <w:t>期末余额/ 本期发生额</w:t>
            </w:r>
            <w:r>
              <w:rPr>
                <w:sz w:val="21"/>
              </w:rPr>
              <w:t> </w:t>
            </w:r>
          </w:p>
        </w:tc>
        <w:tc>
          <w:tcPr>
            <w:tcW w:w="2998" w:type="dxa"/>
          </w:tcPr>
          <w:p>
            <w:pPr>
              <w:pStyle w:val="TableParagraph"/>
              <w:spacing w:line="252" w:lineRule="exact" w:before="1"/>
              <w:ind w:left="449"/>
              <w:rPr>
                <w:sz w:val="21"/>
              </w:rPr>
            </w:pPr>
            <w:r>
              <w:rPr>
                <w:spacing w:val="-1"/>
                <w:sz w:val="21"/>
              </w:rPr>
              <w:t>期初余额/ 上期发生额</w:t>
            </w:r>
            <w:r>
              <w:rPr>
                <w:sz w:val="21"/>
              </w:rPr>
              <w:t> </w:t>
            </w:r>
          </w:p>
        </w:tc>
      </w:tr>
      <w:tr>
        <w:trPr>
          <w:trHeight w:val="273" w:hRule="atLeast"/>
        </w:trPr>
        <w:tc>
          <w:tcPr>
            <w:tcW w:w="8823" w:type="dxa"/>
            <w:gridSpan w:val="3"/>
          </w:tcPr>
          <w:p>
            <w:pPr>
              <w:pStyle w:val="TableParagraph"/>
              <w:spacing w:line="252" w:lineRule="exact" w:before="1"/>
              <w:ind w:left="107"/>
              <w:rPr>
                <w:sz w:val="21"/>
              </w:rPr>
            </w:pPr>
            <w:r>
              <w:rPr>
                <w:sz w:val="21"/>
              </w:rPr>
              <w:t>合营企业： </w:t>
            </w:r>
          </w:p>
        </w:tc>
      </w:tr>
      <w:tr>
        <w:trPr>
          <w:trHeight w:val="270" w:hRule="atLeast"/>
        </w:trPr>
        <w:tc>
          <w:tcPr>
            <w:tcW w:w="2830" w:type="dxa"/>
          </w:tcPr>
          <w:p>
            <w:pPr>
              <w:pStyle w:val="TableParagraph"/>
              <w:spacing w:line="250" w:lineRule="exact" w:before="1"/>
              <w:ind w:left="107"/>
              <w:rPr>
                <w:sz w:val="21"/>
              </w:rPr>
            </w:pPr>
            <w:r>
              <w:rPr>
                <w:spacing w:val="-1"/>
                <w:sz w:val="21"/>
              </w:rPr>
              <w:t>投资账面价值合计</w:t>
            </w:r>
            <w:r>
              <w:rPr>
                <w:sz w:val="21"/>
              </w:rPr>
              <w:t> </w:t>
            </w:r>
          </w:p>
        </w:tc>
        <w:tc>
          <w:tcPr>
            <w:tcW w:w="2995" w:type="dxa"/>
          </w:tcPr>
          <w:p>
            <w:pPr>
              <w:pStyle w:val="TableParagraph"/>
              <w:spacing w:line="250" w:lineRule="exact" w:before="1"/>
              <w:ind w:right="-15"/>
              <w:jc w:val="right"/>
              <w:rPr>
                <w:sz w:val="21"/>
              </w:rPr>
            </w:pPr>
            <w:r>
              <w:rPr>
                <w:w w:val="100"/>
                <w:sz w:val="21"/>
              </w:rPr>
              <w:t> </w:t>
            </w:r>
          </w:p>
        </w:tc>
        <w:tc>
          <w:tcPr>
            <w:tcW w:w="2998" w:type="dxa"/>
          </w:tcPr>
          <w:p>
            <w:pPr>
              <w:pStyle w:val="TableParagraph"/>
              <w:spacing w:line="250" w:lineRule="exact" w:before="1"/>
              <w:ind w:right="-15"/>
              <w:jc w:val="right"/>
              <w:rPr>
                <w:sz w:val="21"/>
              </w:rPr>
            </w:pPr>
            <w:r>
              <w:rPr>
                <w:w w:val="100"/>
                <w:sz w:val="21"/>
              </w:rPr>
              <w:t> </w:t>
            </w:r>
          </w:p>
        </w:tc>
      </w:tr>
      <w:tr>
        <w:trPr>
          <w:trHeight w:val="273" w:hRule="atLeast"/>
        </w:trPr>
        <w:tc>
          <w:tcPr>
            <w:tcW w:w="8823" w:type="dxa"/>
            <w:gridSpan w:val="3"/>
          </w:tcPr>
          <w:p>
            <w:pPr>
              <w:pStyle w:val="TableParagraph"/>
              <w:spacing w:line="252" w:lineRule="exact" w:before="1"/>
              <w:ind w:left="107"/>
              <w:rPr>
                <w:sz w:val="21"/>
              </w:rPr>
            </w:pPr>
            <w:r>
              <w:rPr>
                <w:spacing w:val="-1"/>
                <w:sz w:val="21"/>
              </w:rPr>
              <w:t>下列各项按持股比例计算的合计数</w:t>
            </w:r>
            <w:r>
              <w:rPr>
                <w:sz w:val="21"/>
              </w:rPr>
              <w:t> </w:t>
            </w:r>
          </w:p>
        </w:tc>
      </w:tr>
      <w:tr>
        <w:trPr>
          <w:trHeight w:val="270" w:hRule="atLeast"/>
        </w:trPr>
        <w:tc>
          <w:tcPr>
            <w:tcW w:w="2830" w:type="dxa"/>
          </w:tcPr>
          <w:p>
            <w:pPr>
              <w:pStyle w:val="TableParagraph"/>
              <w:spacing w:line="250" w:lineRule="exact" w:before="1"/>
              <w:ind w:left="107"/>
              <w:rPr>
                <w:sz w:val="21"/>
              </w:rPr>
            </w:pPr>
            <w:r>
              <w:rPr>
                <w:sz w:val="21"/>
              </w:rPr>
              <w:t>--净利润 </w:t>
            </w:r>
          </w:p>
        </w:tc>
        <w:tc>
          <w:tcPr>
            <w:tcW w:w="2995" w:type="dxa"/>
          </w:tcPr>
          <w:p>
            <w:pPr>
              <w:pStyle w:val="TableParagraph"/>
              <w:spacing w:line="250" w:lineRule="exact" w:before="1"/>
              <w:ind w:right="-15"/>
              <w:jc w:val="right"/>
              <w:rPr>
                <w:sz w:val="21"/>
              </w:rPr>
            </w:pPr>
            <w:r>
              <w:rPr>
                <w:w w:val="100"/>
                <w:sz w:val="21"/>
              </w:rPr>
              <w:t> </w:t>
            </w:r>
          </w:p>
        </w:tc>
        <w:tc>
          <w:tcPr>
            <w:tcW w:w="2998" w:type="dxa"/>
          </w:tcPr>
          <w:p>
            <w:pPr>
              <w:pStyle w:val="TableParagraph"/>
              <w:spacing w:line="250" w:lineRule="exact" w:before="1"/>
              <w:ind w:right="-15"/>
              <w:jc w:val="right"/>
              <w:rPr>
                <w:sz w:val="21"/>
              </w:rPr>
            </w:pPr>
            <w:r>
              <w:rPr>
                <w:w w:val="100"/>
                <w:sz w:val="21"/>
              </w:rPr>
              <w:t> </w:t>
            </w:r>
          </w:p>
        </w:tc>
      </w:tr>
      <w:tr>
        <w:trPr>
          <w:trHeight w:val="273" w:hRule="atLeast"/>
        </w:trPr>
        <w:tc>
          <w:tcPr>
            <w:tcW w:w="2830" w:type="dxa"/>
          </w:tcPr>
          <w:p>
            <w:pPr>
              <w:pStyle w:val="TableParagraph"/>
              <w:spacing w:line="250" w:lineRule="exact" w:before="3"/>
              <w:ind w:left="107"/>
              <w:rPr>
                <w:sz w:val="21"/>
              </w:rPr>
            </w:pPr>
            <w:r>
              <w:rPr>
                <w:sz w:val="21"/>
              </w:rPr>
              <w:t>--其他综合收益 </w:t>
            </w:r>
          </w:p>
        </w:tc>
        <w:tc>
          <w:tcPr>
            <w:tcW w:w="2995" w:type="dxa"/>
          </w:tcPr>
          <w:p>
            <w:pPr>
              <w:pStyle w:val="TableParagraph"/>
              <w:spacing w:line="250" w:lineRule="exact" w:before="3"/>
              <w:ind w:right="-15"/>
              <w:jc w:val="right"/>
              <w:rPr>
                <w:sz w:val="21"/>
              </w:rPr>
            </w:pPr>
            <w:r>
              <w:rPr>
                <w:w w:val="100"/>
                <w:sz w:val="21"/>
              </w:rPr>
              <w:t> </w:t>
            </w:r>
          </w:p>
        </w:tc>
        <w:tc>
          <w:tcPr>
            <w:tcW w:w="2998" w:type="dxa"/>
          </w:tcPr>
          <w:p>
            <w:pPr>
              <w:pStyle w:val="TableParagraph"/>
              <w:spacing w:line="250" w:lineRule="exact" w:before="3"/>
              <w:ind w:right="-15"/>
              <w:jc w:val="right"/>
              <w:rPr>
                <w:sz w:val="21"/>
              </w:rPr>
            </w:pPr>
            <w:r>
              <w:rPr>
                <w:w w:val="100"/>
                <w:sz w:val="21"/>
              </w:rPr>
              <w:t> </w:t>
            </w:r>
          </w:p>
        </w:tc>
      </w:tr>
      <w:tr>
        <w:trPr>
          <w:trHeight w:val="273" w:hRule="atLeast"/>
        </w:trPr>
        <w:tc>
          <w:tcPr>
            <w:tcW w:w="2830" w:type="dxa"/>
          </w:tcPr>
          <w:p>
            <w:pPr>
              <w:pStyle w:val="TableParagraph"/>
              <w:spacing w:line="252" w:lineRule="exact" w:before="1"/>
              <w:ind w:left="107"/>
              <w:rPr>
                <w:sz w:val="21"/>
              </w:rPr>
            </w:pPr>
            <w:r>
              <w:rPr>
                <w:sz w:val="21"/>
              </w:rPr>
              <w:t>--综合收益总额 </w:t>
            </w:r>
          </w:p>
        </w:tc>
        <w:tc>
          <w:tcPr>
            <w:tcW w:w="2995" w:type="dxa"/>
          </w:tcPr>
          <w:p>
            <w:pPr>
              <w:pStyle w:val="TableParagraph"/>
              <w:spacing w:line="252" w:lineRule="exact" w:before="1"/>
              <w:ind w:right="-15"/>
              <w:jc w:val="right"/>
              <w:rPr>
                <w:sz w:val="21"/>
              </w:rPr>
            </w:pPr>
            <w:r>
              <w:rPr>
                <w:w w:val="100"/>
                <w:sz w:val="21"/>
              </w:rPr>
              <w:t> </w:t>
            </w:r>
          </w:p>
        </w:tc>
        <w:tc>
          <w:tcPr>
            <w:tcW w:w="2998" w:type="dxa"/>
          </w:tcPr>
          <w:p>
            <w:pPr>
              <w:pStyle w:val="TableParagraph"/>
              <w:spacing w:line="252" w:lineRule="exact" w:before="1"/>
              <w:ind w:right="-15"/>
              <w:jc w:val="right"/>
              <w:rPr>
                <w:sz w:val="21"/>
              </w:rPr>
            </w:pPr>
            <w:r>
              <w:rPr>
                <w:w w:val="100"/>
                <w:sz w:val="21"/>
              </w:rPr>
              <w:t> </w:t>
            </w:r>
          </w:p>
        </w:tc>
      </w:tr>
      <w:tr>
        <w:trPr>
          <w:trHeight w:val="270" w:hRule="atLeast"/>
        </w:trPr>
        <w:tc>
          <w:tcPr>
            <w:tcW w:w="8823" w:type="dxa"/>
            <w:gridSpan w:val="3"/>
          </w:tcPr>
          <w:p>
            <w:pPr>
              <w:pStyle w:val="TableParagraph"/>
              <w:spacing w:line="250" w:lineRule="exact" w:before="1"/>
              <w:ind w:right="-15"/>
              <w:jc w:val="right"/>
              <w:rPr>
                <w:sz w:val="21"/>
              </w:rPr>
            </w:pPr>
            <w:r>
              <w:rPr>
                <w:w w:val="100"/>
                <w:sz w:val="21"/>
              </w:rPr>
              <w:t> </w:t>
            </w:r>
          </w:p>
        </w:tc>
      </w:tr>
      <w:tr>
        <w:trPr>
          <w:trHeight w:val="273" w:hRule="atLeast"/>
        </w:trPr>
        <w:tc>
          <w:tcPr>
            <w:tcW w:w="8823" w:type="dxa"/>
            <w:gridSpan w:val="3"/>
          </w:tcPr>
          <w:p>
            <w:pPr>
              <w:pStyle w:val="TableParagraph"/>
              <w:spacing w:line="250" w:lineRule="exact" w:before="3"/>
              <w:ind w:left="107"/>
              <w:rPr>
                <w:sz w:val="21"/>
              </w:rPr>
            </w:pPr>
            <w:r>
              <w:rPr>
                <w:sz w:val="21"/>
              </w:rPr>
              <w:t>联营企业： </w:t>
            </w:r>
          </w:p>
        </w:tc>
      </w:tr>
      <w:tr>
        <w:trPr>
          <w:trHeight w:val="273" w:hRule="atLeast"/>
        </w:trPr>
        <w:tc>
          <w:tcPr>
            <w:tcW w:w="2830" w:type="dxa"/>
          </w:tcPr>
          <w:p>
            <w:pPr>
              <w:pStyle w:val="TableParagraph"/>
              <w:spacing w:line="252" w:lineRule="exact" w:before="1"/>
              <w:ind w:left="107"/>
              <w:rPr>
                <w:sz w:val="21"/>
              </w:rPr>
            </w:pPr>
            <w:r>
              <w:rPr>
                <w:spacing w:val="-1"/>
                <w:sz w:val="21"/>
              </w:rPr>
              <w:t>投资账面价值合计</w:t>
            </w:r>
            <w:r>
              <w:rPr>
                <w:sz w:val="21"/>
              </w:rPr>
              <w:t> </w:t>
            </w:r>
          </w:p>
        </w:tc>
        <w:tc>
          <w:tcPr>
            <w:tcW w:w="2995" w:type="dxa"/>
          </w:tcPr>
          <w:p>
            <w:pPr>
              <w:pStyle w:val="TableParagraph"/>
              <w:spacing w:line="252" w:lineRule="exact" w:before="1"/>
              <w:ind w:right="-15"/>
              <w:jc w:val="right"/>
              <w:rPr>
                <w:sz w:val="21"/>
              </w:rPr>
            </w:pPr>
            <w:r>
              <w:rPr>
                <w:sz w:val="21"/>
              </w:rPr>
              <w:t>1,450,966 </w:t>
            </w:r>
          </w:p>
        </w:tc>
        <w:tc>
          <w:tcPr>
            <w:tcW w:w="2998" w:type="dxa"/>
          </w:tcPr>
          <w:p>
            <w:pPr>
              <w:pStyle w:val="TableParagraph"/>
              <w:spacing w:line="252" w:lineRule="exact" w:before="1"/>
              <w:ind w:right="-15"/>
              <w:jc w:val="right"/>
              <w:rPr>
                <w:sz w:val="21"/>
              </w:rPr>
            </w:pPr>
            <w:r>
              <w:rPr>
                <w:sz w:val="21"/>
              </w:rPr>
              <w:t>3,167,922 </w:t>
            </w:r>
          </w:p>
        </w:tc>
      </w:tr>
      <w:tr>
        <w:trPr>
          <w:trHeight w:val="270" w:hRule="atLeast"/>
        </w:trPr>
        <w:tc>
          <w:tcPr>
            <w:tcW w:w="8823" w:type="dxa"/>
            <w:gridSpan w:val="3"/>
          </w:tcPr>
          <w:p>
            <w:pPr>
              <w:pStyle w:val="TableParagraph"/>
              <w:spacing w:line="250" w:lineRule="exact" w:before="1"/>
              <w:ind w:left="107"/>
              <w:rPr>
                <w:sz w:val="21"/>
              </w:rPr>
            </w:pPr>
            <w:r>
              <w:rPr>
                <w:spacing w:val="-1"/>
                <w:sz w:val="21"/>
              </w:rPr>
              <w:t>下列各项按持股比例计算的合计数</w:t>
            </w:r>
            <w:r>
              <w:rPr>
                <w:sz w:val="21"/>
              </w:rPr>
              <w:t> </w:t>
            </w:r>
          </w:p>
        </w:tc>
      </w:tr>
      <w:tr>
        <w:trPr>
          <w:trHeight w:val="273" w:hRule="atLeast"/>
        </w:trPr>
        <w:tc>
          <w:tcPr>
            <w:tcW w:w="2830" w:type="dxa"/>
          </w:tcPr>
          <w:p>
            <w:pPr>
              <w:pStyle w:val="TableParagraph"/>
              <w:spacing w:line="253" w:lineRule="exact" w:before="1"/>
              <w:ind w:left="107"/>
              <w:rPr>
                <w:sz w:val="21"/>
              </w:rPr>
            </w:pPr>
            <w:r>
              <w:rPr>
                <w:sz w:val="21"/>
              </w:rPr>
              <w:t>--净利润 </w:t>
            </w:r>
          </w:p>
        </w:tc>
        <w:tc>
          <w:tcPr>
            <w:tcW w:w="2995" w:type="dxa"/>
          </w:tcPr>
          <w:p>
            <w:pPr>
              <w:pStyle w:val="TableParagraph"/>
              <w:spacing w:line="253" w:lineRule="exact" w:before="1"/>
              <w:ind w:right="-15"/>
              <w:jc w:val="right"/>
              <w:rPr>
                <w:sz w:val="21"/>
              </w:rPr>
            </w:pPr>
            <w:r>
              <w:rPr>
                <w:sz w:val="21"/>
              </w:rPr>
              <w:t>-13,392 </w:t>
            </w:r>
          </w:p>
        </w:tc>
        <w:tc>
          <w:tcPr>
            <w:tcW w:w="2998" w:type="dxa"/>
          </w:tcPr>
          <w:p>
            <w:pPr>
              <w:pStyle w:val="TableParagraph"/>
              <w:spacing w:line="253" w:lineRule="exact" w:before="1"/>
              <w:ind w:right="-15"/>
              <w:jc w:val="right"/>
              <w:rPr>
                <w:sz w:val="21"/>
              </w:rPr>
            </w:pPr>
            <w:r>
              <w:rPr>
                <w:sz w:val="21"/>
              </w:rPr>
              <w:t>14,046 </w:t>
            </w:r>
          </w:p>
        </w:tc>
      </w:tr>
      <w:tr>
        <w:trPr>
          <w:trHeight w:val="273" w:hRule="atLeast"/>
        </w:trPr>
        <w:tc>
          <w:tcPr>
            <w:tcW w:w="2830" w:type="dxa"/>
          </w:tcPr>
          <w:p>
            <w:pPr>
              <w:pStyle w:val="TableParagraph"/>
              <w:spacing w:line="252" w:lineRule="exact" w:before="1"/>
              <w:ind w:left="107"/>
              <w:rPr>
                <w:sz w:val="21"/>
              </w:rPr>
            </w:pPr>
            <w:r>
              <w:rPr>
                <w:sz w:val="21"/>
              </w:rPr>
              <w:t>--其他综合收益 </w:t>
            </w:r>
          </w:p>
        </w:tc>
        <w:tc>
          <w:tcPr>
            <w:tcW w:w="2995" w:type="dxa"/>
          </w:tcPr>
          <w:p>
            <w:pPr>
              <w:pStyle w:val="TableParagraph"/>
              <w:spacing w:line="252" w:lineRule="exact" w:before="1"/>
              <w:ind w:right="-15"/>
              <w:jc w:val="right"/>
              <w:rPr>
                <w:sz w:val="21"/>
              </w:rPr>
            </w:pPr>
            <w:r>
              <w:rPr>
                <w:sz w:val="21"/>
              </w:rPr>
              <w:t>15,533 </w:t>
            </w:r>
          </w:p>
        </w:tc>
        <w:tc>
          <w:tcPr>
            <w:tcW w:w="2998" w:type="dxa"/>
          </w:tcPr>
          <w:p>
            <w:pPr>
              <w:pStyle w:val="TableParagraph"/>
              <w:spacing w:line="252" w:lineRule="exact" w:before="1"/>
              <w:ind w:right="-15"/>
              <w:jc w:val="right"/>
              <w:rPr>
                <w:sz w:val="21"/>
              </w:rPr>
            </w:pPr>
            <w:r>
              <w:rPr>
                <w:sz w:val="21"/>
              </w:rPr>
              <w:t>-4,211 </w:t>
            </w:r>
          </w:p>
        </w:tc>
      </w:tr>
      <w:tr>
        <w:trPr>
          <w:trHeight w:val="270" w:hRule="atLeast"/>
        </w:trPr>
        <w:tc>
          <w:tcPr>
            <w:tcW w:w="2830" w:type="dxa"/>
          </w:tcPr>
          <w:p>
            <w:pPr>
              <w:pStyle w:val="TableParagraph"/>
              <w:spacing w:line="250" w:lineRule="exact" w:before="1"/>
              <w:ind w:left="107"/>
              <w:rPr>
                <w:sz w:val="21"/>
              </w:rPr>
            </w:pPr>
            <w:r>
              <w:rPr>
                <w:sz w:val="21"/>
              </w:rPr>
              <w:t>--综合收益总额 </w:t>
            </w:r>
          </w:p>
        </w:tc>
        <w:tc>
          <w:tcPr>
            <w:tcW w:w="2995" w:type="dxa"/>
          </w:tcPr>
          <w:p>
            <w:pPr>
              <w:pStyle w:val="TableParagraph"/>
              <w:spacing w:line="250" w:lineRule="exact" w:before="1"/>
              <w:ind w:right="-15"/>
              <w:jc w:val="right"/>
              <w:rPr>
                <w:sz w:val="21"/>
              </w:rPr>
            </w:pPr>
            <w:r>
              <w:rPr>
                <w:sz w:val="21"/>
              </w:rPr>
              <w:t>2,141 </w:t>
            </w:r>
          </w:p>
        </w:tc>
        <w:tc>
          <w:tcPr>
            <w:tcW w:w="2998" w:type="dxa"/>
          </w:tcPr>
          <w:p>
            <w:pPr>
              <w:pStyle w:val="TableParagraph"/>
              <w:spacing w:line="250" w:lineRule="exact" w:before="1"/>
              <w:ind w:right="-15"/>
              <w:jc w:val="right"/>
              <w:rPr>
                <w:sz w:val="21"/>
              </w:rPr>
            </w:pPr>
            <w:r>
              <w:rPr>
                <w:sz w:val="21"/>
              </w:rPr>
              <w:t>9,835 </w:t>
            </w:r>
          </w:p>
        </w:tc>
      </w:tr>
    </w:tbl>
    <w:p>
      <w:pPr>
        <w:pStyle w:val="BodyText"/>
        <w:spacing w:line="244" w:lineRule="auto" w:before="1"/>
        <w:ind w:right="9160"/>
      </w:pPr>
      <w:r>
        <w:rPr/>
        <w:t>其他说明无 </w:t>
      </w:r>
    </w:p>
    <w:p>
      <w:pPr>
        <w:pStyle w:val="BodyText"/>
        <w:spacing w:line="265" w:lineRule="exact"/>
      </w:pPr>
      <w:r>
        <w:rPr>
          <w:w w:val="100"/>
        </w:rPr>
        <w:t> </w:t>
      </w:r>
    </w:p>
    <w:p>
      <w:pPr>
        <w:pStyle w:val="BodyText"/>
        <w:spacing w:before="4"/>
      </w:pPr>
      <w:r>
        <w:rPr>
          <w:w w:val="100"/>
        </w:rPr>
        <w:t> </w:t>
      </w:r>
    </w:p>
    <w:p>
      <w:pPr>
        <w:pStyle w:val="ListParagraph"/>
        <w:numPr>
          <w:ilvl w:val="0"/>
          <w:numId w:val="84"/>
        </w:numPr>
        <w:tabs>
          <w:tab w:pos="743" w:val="left" w:leader="none"/>
        </w:tabs>
        <w:spacing w:line="240" w:lineRule="auto" w:before="63" w:after="0"/>
        <w:ind w:left="742" w:right="0" w:hanging="425"/>
        <w:jc w:val="left"/>
        <w:rPr>
          <w:sz w:val="21"/>
        </w:rPr>
      </w:pPr>
      <w:r>
        <w:rPr>
          <w:sz w:val="21"/>
        </w:rPr>
        <w:t>合营企业或联营企业向本公司转移资金的能力存在重大限制的说明 </w:t>
      </w:r>
    </w:p>
    <w:p>
      <w:pPr>
        <w:pStyle w:val="BodyText"/>
        <w:spacing w:before="64"/>
      </w:pPr>
      <w:r>
        <w:rPr>
          <w:spacing w:val="11"/>
        </w:rPr>
        <w:t>□适用 √不适用</w:t>
      </w:r>
      <w:r>
        <w:rPr>
          <w:spacing w:val="-3"/>
        </w:rPr>
        <w:t> </w:t>
      </w:r>
      <w:r>
        <w:rPr/>
        <w:t> </w:t>
      </w:r>
    </w:p>
    <w:p>
      <w:pPr>
        <w:pStyle w:val="BodyText"/>
        <w:spacing w:before="2"/>
      </w:pPr>
      <w:r>
        <w:rPr>
          <w:w w:val="100"/>
        </w:rPr>
        <w:t> </w:t>
      </w:r>
    </w:p>
    <w:p>
      <w:pPr>
        <w:pStyle w:val="ListParagraph"/>
        <w:numPr>
          <w:ilvl w:val="0"/>
          <w:numId w:val="84"/>
        </w:numPr>
        <w:tabs>
          <w:tab w:pos="743" w:val="left" w:leader="none"/>
        </w:tabs>
        <w:spacing w:line="240" w:lineRule="auto" w:before="65" w:after="0"/>
        <w:ind w:left="742" w:right="0" w:hanging="425"/>
        <w:jc w:val="left"/>
        <w:rPr>
          <w:sz w:val="21"/>
        </w:rPr>
      </w:pPr>
      <w:r>
        <w:rPr>
          <w:sz w:val="21"/>
        </w:rPr>
        <w:t>合营企业或联营企业发生的超额亏损 </w:t>
      </w:r>
    </w:p>
    <w:p>
      <w:pPr>
        <w:pStyle w:val="BodyText"/>
        <w:spacing w:before="62"/>
      </w:pPr>
      <w:r>
        <w:rPr>
          <w:spacing w:val="11"/>
        </w:rPr>
        <w:t>□适用 √不适用</w:t>
      </w:r>
      <w:r>
        <w:rPr>
          <w:spacing w:val="-3"/>
        </w:rPr>
        <w:t> </w:t>
      </w:r>
      <w:r>
        <w:rPr/>
        <w:t> </w:t>
      </w:r>
    </w:p>
    <w:p>
      <w:pPr>
        <w:pStyle w:val="BodyText"/>
        <w:spacing w:before="4"/>
      </w:pPr>
      <w:r>
        <w:rPr>
          <w:w w:val="100"/>
        </w:rPr>
        <w:t> </w:t>
      </w:r>
    </w:p>
    <w:p>
      <w:pPr>
        <w:pStyle w:val="BodyText"/>
        <w:spacing w:before="3"/>
      </w:pPr>
      <w:r>
        <w:rPr>
          <w:w w:val="100"/>
        </w:rPr>
        <w:t> </w:t>
      </w:r>
    </w:p>
    <w:p>
      <w:pPr>
        <w:pStyle w:val="ListParagraph"/>
        <w:numPr>
          <w:ilvl w:val="0"/>
          <w:numId w:val="84"/>
        </w:numPr>
        <w:tabs>
          <w:tab w:pos="743" w:val="left" w:leader="none"/>
        </w:tabs>
        <w:spacing w:line="240" w:lineRule="auto" w:before="65" w:after="0"/>
        <w:ind w:left="742" w:right="0" w:hanging="425"/>
        <w:jc w:val="left"/>
        <w:rPr>
          <w:sz w:val="21"/>
        </w:rPr>
      </w:pPr>
      <w:r>
        <w:rPr>
          <w:sz w:val="21"/>
        </w:rPr>
        <w:t>与合营企业投资相关的未确认承诺 </w:t>
      </w:r>
    </w:p>
    <w:p>
      <w:pPr>
        <w:pStyle w:val="BodyText"/>
        <w:spacing w:before="62"/>
      </w:pPr>
      <w:r>
        <w:rPr>
          <w:spacing w:val="11"/>
        </w:rPr>
        <w:t>□适用 √不适用</w:t>
      </w:r>
      <w:r>
        <w:rPr>
          <w:spacing w:val="-3"/>
        </w:rPr>
        <w:t> </w:t>
      </w:r>
      <w:r>
        <w:rPr/>
        <w:t> </w:t>
      </w:r>
    </w:p>
    <w:p>
      <w:pPr>
        <w:pStyle w:val="BodyText"/>
        <w:spacing w:before="4"/>
      </w:pPr>
      <w:r>
        <w:rPr>
          <w:w w:val="100"/>
        </w:rPr>
        <w:t> </w:t>
      </w:r>
    </w:p>
    <w:p>
      <w:pPr>
        <w:pStyle w:val="ListParagraph"/>
        <w:numPr>
          <w:ilvl w:val="0"/>
          <w:numId w:val="84"/>
        </w:numPr>
        <w:tabs>
          <w:tab w:pos="743" w:val="left" w:leader="none"/>
        </w:tabs>
        <w:spacing w:line="240" w:lineRule="auto" w:before="63" w:after="0"/>
        <w:ind w:left="742" w:right="0" w:hanging="425"/>
        <w:jc w:val="left"/>
        <w:rPr>
          <w:sz w:val="21"/>
        </w:rPr>
      </w:pPr>
      <w:r>
        <w:rPr>
          <w:sz w:val="21"/>
        </w:rPr>
        <w:t>与合营企业或联营企业投资相关的或有负债 </w:t>
      </w:r>
    </w:p>
    <w:p>
      <w:pPr>
        <w:pStyle w:val="BodyText"/>
        <w:spacing w:before="64"/>
      </w:pPr>
      <w:r>
        <w:rPr>
          <w:spacing w:val="11"/>
        </w:rPr>
        <w:t>□适用 √不适用</w:t>
      </w:r>
      <w:r>
        <w:rPr>
          <w:spacing w:val="-3"/>
        </w:rPr>
        <w:t> </w:t>
      </w:r>
      <w:r>
        <w:rPr/>
        <w:t> </w:t>
      </w:r>
    </w:p>
    <w:p>
      <w:pPr>
        <w:pStyle w:val="BodyText"/>
        <w:spacing w:before="2"/>
      </w:pPr>
      <w:r>
        <w:rPr>
          <w:w w:val="100"/>
        </w:rPr>
        <w:t> </w:t>
      </w:r>
    </w:p>
    <w:p>
      <w:pPr>
        <w:pStyle w:val="BodyText"/>
        <w:spacing w:before="65"/>
      </w:pPr>
      <w:r>
        <w:rPr/>
        <w:t>4、 重要的共同经营 </w:t>
      </w:r>
    </w:p>
    <w:p>
      <w:pPr>
        <w:pStyle w:val="BodyText"/>
        <w:spacing w:before="62"/>
      </w:pPr>
      <w:r>
        <w:rPr>
          <w:spacing w:val="-1"/>
        </w:rPr>
        <w:t>□适用 √不适用</w:t>
      </w:r>
      <w:r>
        <w:rPr>
          <w:spacing w:val="-3"/>
        </w:rPr>
        <w:t> </w:t>
      </w:r>
      <w:r>
        <w:rPr/>
        <w:t> </w:t>
      </w:r>
    </w:p>
    <w:p>
      <w:pPr>
        <w:spacing w:after="0"/>
        <w:sectPr>
          <w:pgSz w:w="11910" w:h="16840"/>
          <w:pgMar w:header="882" w:footer="1184" w:top="1120" w:bottom="1380" w:left="1480" w:right="0"/>
        </w:sectPr>
      </w:pPr>
    </w:p>
    <w:p>
      <w:pPr>
        <w:pStyle w:val="BodyText"/>
        <w:spacing w:before="7"/>
        <w:ind w:left="0"/>
        <w:rPr>
          <w:sz w:val="25"/>
        </w:rPr>
      </w:pPr>
    </w:p>
    <w:p>
      <w:pPr>
        <w:pStyle w:val="BodyText"/>
        <w:spacing w:before="72"/>
      </w:pPr>
      <w:r>
        <w:rPr>
          <w:w w:val="100"/>
        </w:rPr>
        <w:t> </w:t>
      </w:r>
    </w:p>
    <w:p>
      <w:pPr>
        <w:pStyle w:val="BodyText"/>
        <w:spacing w:before="5"/>
      </w:pPr>
      <w:r>
        <w:rPr>
          <w:w w:val="100"/>
        </w:rPr>
        <w:t> </w:t>
      </w:r>
    </w:p>
    <w:p>
      <w:pPr>
        <w:pStyle w:val="BodyText"/>
        <w:spacing w:line="297" w:lineRule="auto" w:before="62"/>
        <w:ind w:right="4943"/>
      </w:pPr>
      <w:r>
        <w:rPr/>
        <w:t>5、 在未纳入合并财务报表范围的结构化主体中的权益未纳入合并财务报表范围的结构化主体的相关说明： </w:t>
      </w:r>
    </w:p>
    <w:p>
      <w:pPr>
        <w:pStyle w:val="BodyText"/>
        <w:spacing w:line="207" w:lineRule="exact"/>
      </w:pPr>
      <w:r>
        <w:rPr>
          <w:spacing w:val="-1"/>
        </w:rPr>
        <w:t>□适用 √不适用</w:t>
      </w:r>
      <w:r>
        <w:rPr>
          <w:spacing w:val="-3"/>
        </w:rPr>
        <w:t> </w:t>
      </w:r>
      <w:r>
        <w:rPr/>
        <w:t> </w:t>
      </w:r>
    </w:p>
    <w:p>
      <w:pPr>
        <w:pStyle w:val="BodyText"/>
        <w:spacing w:before="5"/>
      </w:pPr>
      <w:r>
        <w:rPr>
          <w:w w:val="100"/>
        </w:rPr>
        <w:t> </w:t>
      </w:r>
    </w:p>
    <w:p>
      <w:pPr>
        <w:pStyle w:val="BodyText"/>
        <w:spacing w:before="62"/>
      </w:pPr>
      <w:r>
        <w:rPr/>
        <w:t>6、 其他 </w:t>
      </w:r>
    </w:p>
    <w:p>
      <w:pPr>
        <w:pStyle w:val="BodyText"/>
        <w:spacing w:before="64"/>
      </w:pPr>
      <w:r>
        <w:rPr>
          <w:spacing w:val="11"/>
        </w:rPr>
        <w:t>□适用 √不适用</w:t>
      </w:r>
      <w:r>
        <w:rPr>
          <w:spacing w:val="-3"/>
        </w:rPr>
        <w:t> </w:t>
      </w:r>
      <w:r>
        <w:rPr/>
        <w:t> </w:t>
      </w:r>
    </w:p>
    <w:p>
      <w:pPr>
        <w:pStyle w:val="BodyText"/>
        <w:spacing w:before="2"/>
      </w:pPr>
      <w:r>
        <w:rPr>
          <w:w w:val="100"/>
        </w:rPr>
        <w:t> </w:t>
      </w:r>
    </w:p>
    <w:p>
      <w:pPr>
        <w:pStyle w:val="BodyText"/>
        <w:spacing w:before="65"/>
      </w:pPr>
      <w:r>
        <w:rPr>
          <w:spacing w:val="-11"/>
        </w:rPr>
        <w:t>十、 与金融工具相关的风险</w:t>
      </w:r>
      <w:r>
        <w:rPr/>
        <w:t> </w:t>
      </w:r>
    </w:p>
    <w:p>
      <w:pPr>
        <w:pStyle w:val="BodyText"/>
        <w:spacing w:before="62"/>
      </w:pPr>
      <w:r>
        <w:rPr>
          <w:spacing w:val="-1"/>
        </w:rPr>
        <w:t>√适用 □不适用</w:t>
      </w:r>
      <w:r>
        <w:rPr>
          <w:spacing w:val="-3"/>
        </w:rPr>
        <w:t> </w:t>
      </w:r>
      <w:r>
        <w:rPr/>
        <w:t> </w:t>
      </w:r>
    </w:p>
    <w:p>
      <w:pPr>
        <w:pStyle w:val="BodyText"/>
        <w:spacing w:line="242" w:lineRule="auto" w:before="5"/>
        <w:ind w:right="1277"/>
        <w:jc w:val="both"/>
      </w:pPr>
      <w:r>
        <w:rPr>
          <w:w w:val="100"/>
        </w:rPr>
        <w:t> </w:t>
      </w:r>
      <w:r>
        <w:rPr/>
        <w:t>  </w:t>
      </w:r>
      <w:r>
        <w:rPr>
          <w:spacing w:val="-1"/>
        </w:rPr>
        <w:t> </w:t>
      </w:r>
      <w:r>
        <w:rPr/>
        <w:t>本集团的经营活动会面临各种金融风险：市场风险(主要为外汇风险和利率风险)、信用风险和流动性风险。本集团整体的风险管理计划针对金融市场的不可预见性，力求减少对本集团财务业绩的潜在不利影响。 </w:t>
      </w:r>
    </w:p>
    <w:p>
      <w:pPr>
        <w:pStyle w:val="BodyText"/>
        <w:tabs>
          <w:tab w:pos="737" w:val="left" w:leader="none"/>
        </w:tabs>
        <w:spacing w:before="1"/>
      </w:pPr>
      <w:r>
        <w:rPr>
          <w:w w:val="100"/>
        </w:rPr>
        <w:t> </w:t>
      </w:r>
      <w:r>
        <w:rPr/>
        <w:tab/>
      </w:r>
      <w:r>
        <w:rPr>
          <w:w w:val="100"/>
        </w:rPr>
        <w:t> </w:t>
      </w:r>
    </w:p>
    <w:p>
      <w:pPr>
        <w:pStyle w:val="ListParagraph"/>
        <w:numPr>
          <w:ilvl w:val="0"/>
          <w:numId w:val="85"/>
        </w:numPr>
        <w:tabs>
          <w:tab w:pos="636" w:val="left" w:leader="none"/>
        </w:tabs>
        <w:spacing w:line="240" w:lineRule="auto" w:before="5" w:after="0"/>
        <w:ind w:left="635" w:right="0" w:hanging="318"/>
        <w:jc w:val="left"/>
        <w:rPr>
          <w:sz w:val="21"/>
        </w:rPr>
      </w:pPr>
      <w:r>
        <w:rPr>
          <w:spacing w:val="-1"/>
          <w:sz w:val="21"/>
        </w:rPr>
        <w:t>市场风险</w:t>
      </w:r>
      <w:r>
        <w:rPr>
          <w:sz w:val="21"/>
        </w:rPr>
        <w:t> </w:t>
      </w:r>
    </w:p>
    <w:p>
      <w:pPr>
        <w:pStyle w:val="BodyText"/>
        <w:tabs>
          <w:tab w:pos="737" w:val="left" w:leader="none"/>
        </w:tabs>
        <w:spacing w:before="2"/>
      </w:pPr>
      <w:r>
        <w:rPr>
          <w:w w:val="100"/>
        </w:rPr>
        <w:t> </w:t>
      </w:r>
      <w:r>
        <w:rPr/>
        <w:tab/>
      </w:r>
      <w:r>
        <w:rPr>
          <w:w w:val="100"/>
        </w:rPr>
        <w:t> </w:t>
      </w:r>
    </w:p>
    <w:p>
      <w:pPr>
        <w:pStyle w:val="ListParagraph"/>
        <w:numPr>
          <w:ilvl w:val="1"/>
          <w:numId w:val="85"/>
        </w:numPr>
        <w:tabs>
          <w:tab w:pos="636" w:val="left" w:leader="none"/>
        </w:tabs>
        <w:spacing w:line="240" w:lineRule="auto" w:before="4" w:after="0"/>
        <w:ind w:left="635" w:right="0" w:hanging="318"/>
        <w:jc w:val="left"/>
        <w:rPr>
          <w:sz w:val="21"/>
        </w:rPr>
      </w:pPr>
      <w:r>
        <w:rPr>
          <w:spacing w:val="-1"/>
          <w:sz w:val="21"/>
        </w:rPr>
        <w:t>外汇风险</w:t>
      </w:r>
      <w:r>
        <w:rPr>
          <w:sz w:val="21"/>
        </w:rPr>
        <w:t> </w:t>
      </w:r>
    </w:p>
    <w:p>
      <w:pPr>
        <w:pStyle w:val="BodyText"/>
        <w:tabs>
          <w:tab w:pos="737" w:val="left" w:leader="none"/>
        </w:tabs>
        <w:spacing w:before="2"/>
      </w:pPr>
      <w:r>
        <w:rPr>
          <w:w w:val="100"/>
        </w:rPr>
        <w:t> </w:t>
      </w:r>
      <w:r>
        <w:rPr/>
        <w:tab/>
      </w:r>
      <w:r>
        <w:rPr>
          <w:w w:val="100"/>
        </w:rPr>
        <w:t> </w:t>
      </w:r>
    </w:p>
    <w:p>
      <w:pPr>
        <w:pStyle w:val="BodyText"/>
        <w:tabs>
          <w:tab w:pos="737" w:val="left" w:leader="none"/>
        </w:tabs>
        <w:spacing w:line="242" w:lineRule="auto" w:before="2"/>
        <w:ind w:right="1277"/>
      </w:pPr>
      <w:r>
        <w:rPr>
          <w:w w:val="100"/>
        </w:rPr>
        <w:t> </w:t>
      </w:r>
      <w:r>
        <w:rPr/>
        <w:tab/>
      </w:r>
      <w:r>
        <w:rPr/>
        <w:t>本集团的主要经营位于中国大陆、中国香港和新加坡。在中国境内的经营主要业务以人民币结算，在中国香港地区的经营主要业务以美元或港币结算，在新加坡的经营主要业务以美元结</w:t>
      </w:r>
      <w:r>
        <w:rPr>
          <w:spacing w:val="1"/>
        </w:rPr>
        <w:t> </w:t>
      </w:r>
      <w:r>
        <w:rPr/>
        <w:t>算。本集团已确认的非本位币资产和非本位币负债及未来的交易存在外汇风险。本集团总部财务部门负责监控集团非本位币交易和非本位币资产及负债的规模，以最大程度降低面临的外汇风</w:t>
      </w:r>
      <w:r>
        <w:rPr>
          <w:spacing w:val="1"/>
        </w:rPr>
        <w:t> </w:t>
      </w:r>
      <w:r>
        <w:rPr/>
        <w:t>险；为此，本集团可能会以签署远期外汇合约、外汇期权合约的方式来达到规避外汇风险的目的(附注五 (2))。 </w:t>
      </w:r>
    </w:p>
    <w:p>
      <w:pPr>
        <w:pStyle w:val="BodyText"/>
        <w:spacing w:before="4"/>
      </w:pPr>
      <w:r>
        <w:rPr>
          <w:w w:val="100"/>
        </w:rPr>
        <w:t> </w:t>
      </w:r>
    </w:p>
    <w:p>
      <w:pPr>
        <w:pStyle w:val="BodyText"/>
        <w:tabs>
          <w:tab w:pos="737" w:val="left" w:leader="none"/>
        </w:tabs>
        <w:spacing w:line="242" w:lineRule="auto" w:before="5" w:after="46"/>
        <w:ind w:right="1279"/>
      </w:pPr>
      <w:r>
        <w:rPr>
          <w:w w:val="100"/>
        </w:rPr>
        <w:t> </w:t>
      </w:r>
      <w:r>
        <w:rPr/>
        <w:tab/>
      </w:r>
      <w:r>
        <w:rPr>
          <w:spacing w:val="-27"/>
        </w:rPr>
        <w:t>于 </w:t>
      </w:r>
      <w:r>
        <w:rPr/>
        <w:t>2022</w:t>
      </w:r>
      <w:r>
        <w:rPr>
          <w:spacing w:val="-36"/>
        </w:rPr>
        <w:t> 年 </w:t>
      </w:r>
      <w:r>
        <w:rPr/>
        <w:t>12</w:t>
      </w:r>
      <w:r>
        <w:rPr>
          <w:spacing w:val="-36"/>
        </w:rPr>
        <w:t> 月 </w:t>
      </w:r>
      <w:r>
        <w:rPr/>
        <w:t>31</w:t>
      </w:r>
      <w:r>
        <w:rPr>
          <w:spacing w:val="-27"/>
        </w:rPr>
        <w:t> 日及 </w:t>
      </w:r>
      <w:r>
        <w:rPr/>
        <w:t>2021</w:t>
      </w:r>
      <w:r>
        <w:rPr>
          <w:spacing w:val="-36"/>
        </w:rPr>
        <w:t> 年 </w:t>
      </w:r>
      <w:r>
        <w:rPr/>
        <w:t>12</w:t>
      </w:r>
      <w:r>
        <w:rPr>
          <w:spacing w:val="-36"/>
        </w:rPr>
        <w:t> 月 </w:t>
      </w:r>
      <w:r>
        <w:rPr/>
        <w:t>31</w:t>
      </w:r>
      <w:r>
        <w:rPr>
          <w:spacing w:val="-8"/>
        </w:rPr>
        <w:t> 日，本集团内记账本位币为人民币的公司持有的非</w:t>
      </w:r>
      <w:r>
        <w:rPr/>
        <w:t>本位币金融资产和非本位币金融负债(集团内往来余额除外)折算成人民币的金额列示如下： </w:t>
      </w: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7"/>
        <w:gridCol w:w="182"/>
        <w:gridCol w:w="1692"/>
        <w:gridCol w:w="1270"/>
        <w:gridCol w:w="246"/>
        <w:gridCol w:w="1734"/>
        <w:gridCol w:w="1607"/>
      </w:tblGrid>
      <w:tr>
        <w:trPr>
          <w:trHeight w:val="237" w:hRule="atLeast"/>
        </w:trPr>
        <w:tc>
          <w:tcPr>
            <w:tcW w:w="8938" w:type="dxa"/>
            <w:gridSpan w:val="7"/>
          </w:tcPr>
          <w:p>
            <w:pPr>
              <w:pStyle w:val="TableParagraph"/>
              <w:spacing w:line="218" w:lineRule="exact"/>
              <w:ind w:left="4799"/>
              <w:rPr>
                <w:sz w:val="20"/>
              </w:rPr>
            </w:pPr>
            <w:r>
              <w:rPr>
                <w:rFonts w:ascii="Arial MT" w:eastAsia="Arial MT"/>
                <w:w w:val="95"/>
                <w:sz w:val="20"/>
              </w:rPr>
              <w:t>2022</w:t>
            </w:r>
            <w:r>
              <w:rPr>
                <w:rFonts w:ascii="Arial MT" w:eastAsia="Arial MT"/>
                <w:spacing w:val="-1"/>
                <w:w w:val="95"/>
                <w:sz w:val="20"/>
              </w:rPr>
              <w:t> </w:t>
            </w:r>
            <w:r>
              <w:rPr>
                <w:spacing w:val="-17"/>
                <w:w w:val="95"/>
                <w:sz w:val="20"/>
              </w:rPr>
              <w:t>年 </w:t>
            </w:r>
            <w:r>
              <w:rPr>
                <w:rFonts w:ascii="Arial MT" w:eastAsia="Arial MT"/>
                <w:w w:val="95"/>
                <w:sz w:val="20"/>
              </w:rPr>
              <w:t>12</w:t>
            </w:r>
            <w:r>
              <w:rPr>
                <w:rFonts w:ascii="Arial MT" w:eastAsia="Arial MT"/>
                <w:spacing w:val="-1"/>
                <w:w w:val="95"/>
                <w:sz w:val="20"/>
              </w:rPr>
              <w:t> </w:t>
            </w:r>
            <w:r>
              <w:rPr>
                <w:spacing w:val="-15"/>
                <w:w w:val="95"/>
                <w:sz w:val="20"/>
              </w:rPr>
              <w:t>月 </w:t>
            </w:r>
            <w:r>
              <w:rPr>
                <w:rFonts w:ascii="Arial MT" w:eastAsia="Arial MT"/>
                <w:w w:val="95"/>
                <w:sz w:val="20"/>
              </w:rPr>
              <w:t>31</w:t>
            </w:r>
            <w:r>
              <w:rPr>
                <w:rFonts w:ascii="Arial MT" w:eastAsia="Arial MT"/>
                <w:spacing w:val="2"/>
                <w:w w:val="95"/>
                <w:sz w:val="20"/>
              </w:rPr>
              <w:t> </w:t>
            </w:r>
            <w:r>
              <w:rPr>
                <w:w w:val="95"/>
                <w:sz w:val="20"/>
              </w:rPr>
              <w:t>日</w:t>
            </w:r>
          </w:p>
        </w:tc>
      </w:tr>
      <w:tr>
        <w:trPr>
          <w:trHeight w:val="667" w:hRule="atLeast"/>
        </w:trPr>
        <w:tc>
          <w:tcPr>
            <w:tcW w:w="2207" w:type="dxa"/>
          </w:tcPr>
          <w:p>
            <w:pPr>
              <w:pStyle w:val="TableParagraph"/>
              <w:rPr>
                <w:rFonts w:ascii="Times New Roman"/>
                <w:sz w:val="20"/>
              </w:rPr>
            </w:pPr>
          </w:p>
        </w:tc>
        <w:tc>
          <w:tcPr>
            <w:tcW w:w="182" w:type="dxa"/>
          </w:tcPr>
          <w:p>
            <w:pPr>
              <w:pStyle w:val="TableParagraph"/>
              <w:rPr>
                <w:rFonts w:ascii="Times New Roman"/>
                <w:sz w:val="20"/>
              </w:rPr>
            </w:pPr>
          </w:p>
        </w:tc>
        <w:tc>
          <w:tcPr>
            <w:tcW w:w="1692" w:type="dxa"/>
            <w:tcBorders>
              <w:top w:val="single" w:sz="4" w:space="0" w:color="000000"/>
            </w:tcBorders>
          </w:tcPr>
          <w:p>
            <w:pPr>
              <w:pStyle w:val="TableParagraph"/>
              <w:spacing w:before="4"/>
              <w:rPr>
                <w:sz w:val="20"/>
              </w:rPr>
            </w:pPr>
          </w:p>
          <w:p>
            <w:pPr>
              <w:pStyle w:val="TableParagraph"/>
              <w:ind w:right="273"/>
              <w:jc w:val="right"/>
              <w:rPr>
                <w:sz w:val="20"/>
              </w:rPr>
            </w:pPr>
            <w:r>
              <w:rPr>
                <w:w w:val="95"/>
                <w:sz w:val="20"/>
              </w:rPr>
              <w:t>美元项目</w:t>
            </w:r>
          </w:p>
        </w:tc>
        <w:tc>
          <w:tcPr>
            <w:tcW w:w="1516" w:type="dxa"/>
            <w:gridSpan w:val="2"/>
            <w:tcBorders>
              <w:top w:val="single" w:sz="4" w:space="0" w:color="000000"/>
            </w:tcBorders>
          </w:tcPr>
          <w:p>
            <w:pPr>
              <w:pStyle w:val="TableParagraph"/>
              <w:spacing w:before="4"/>
              <w:rPr>
                <w:sz w:val="20"/>
              </w:rPr>
            </w:pPr>
          </w:p>
          <w:p>
            <w:pPr>
              <w:pStyle w:val="TableParagraph"/>
              <w:ind w:left="593"/>
              <w:rPr>
                <w:sz w:val="20"/>
              </w:rPr>
            </w:pPr>
            <w:r>
              <w:rPr>
                <w:w w:val="95"/>
                <w:sz w:val="20"/>
              </w:rPr>
              <w:t>港币项目</w:t>
            </w:r>
          </w:p>
        </w:tc>
        <w:tc>
          <w:tcPr>
            <w:tcW w:w="1734" w:type="dxa"/>
            <w:tcBorders>
              <w:top w:val="single" w:sz="4" w:space="0" w:color="000000"/>
            </w:tcBorders>
          </w:tcPr>
          <w:p>
            <w:pPr>
              <w:pStyle w:val="TableParagraph"/>
              <w:spacing w:before="1"/>
              <w:ind w:right="189"/>
              <w:jc w:val="right"/>
              <w:rPr>
                <w:sz w:val="20"/>
              </w:rPr>
            </w:pPr>
            <w:r>
              <w:rPr>
                <w:w w:val="95"/>
                <w:sz w:val="20"/>
              </w:rPr>
              <w:t>其他非本位币</w:t>
            </w:r>
          </w:p>
          <w:p>
            <w:pPr>
              <w:pStyle w:val="TableParagraph"/>
              <w:spacing w:before="3"/>
              <w:ind w:right="189"/>
              <w:jc w:val="right"/>
              <w:rPr>
                <w:sz w:val="20"/>
              </w:rPr>
            </w:pPr>
            <w:r>
              <w:rPr>
                <w:w w:val="95"/>
                <w:sz w:val="20"/>
              </w:rPr>
              <w:t>项目</w:t>
            </w:r>
          </w:p>
        </w:tc>
        <w:tc>
          <w:tcPr>
            <w:tcW w:w="1607" w:type="dxa"/>
            <w:tcBorders>
              <w:top w:val="single" w:sz="4" w:space="0" w:color="000000"/>
            </w:tcBorders>
          </w:tcPr>
          <w:p>
            <w:pPr>
              <w:pStyle w:val="TableParagraph"/>
              <w:spacing w:before="4"/>
              <w:rPr>
                <w:sz w:val="20"/>
              </w:rPr>
            </w:pPr>
          </w:p>
          <w:p>
            <w:pPr>
              <w:pStyle w:val="TableParagraph"/>
              <w:ind w:right="125"/>
              <w:jc w:val="right"/>
              <w:rPr>
                <w:sz w:val="20"/>
              </w:rPr>
            </w:pPr>
            <w:r>
              <w:rPr>
                <w:w w:val="95"/>
                <w:sz w:val="20"/>
              </w:rPr>
              <w:t>合计</w:t>
            </w:r>
          </w:p>
        </w:tc>
      </w:tr>
      <w:tr>
        <w:trPr>
          <w:trHeight w:val="436" w:hRule="atLeast"/>
        </w:trPr>
        <w:tc>
          <w:tcPr>
            <w:tcW w:w="8938" w:type="dxa"/>
            <w:gridSpan w:val="7"/>
          </w:tcPr>
          <w:p>
            <w:pPr>
              <w:pStyle w:val="TableParagraph"/>
              <w:spacing w:before="159"/>
              <w:ind w:left="200"/>
              <w:rPr>
                <w:rFonts w:ascii="Arial MT" w:hAnsi="Arial MT" w:eastAsia="Arial MT"/>
                <w:sz w:val="20"/>
              </w:rPr>
            </w:pPr>
            <w:r>
              <w:rPr>
                <w:spacing w:val="5"/>
                <w:w w:val="95"/>
                <w:sz w:val="20"/>
              </w:rPr>
              <w:t>非本位币金融资产 </w:t>
            </w:r>
            <w:r>
              <w:rPr>
                <w:rFonts w:ascii="Arial MT" w:hAnsi="Arial MT" w:eastAsia="Arial MT"/>
                <w:w w:val="95"/>
                <w:sz w:val="20"/>
              </w:rPr>
              <w:t>—</w:t>
            </w:r>
          </w:p>
        </w:tc>
      </w:tr>
      <w:tr>
        <w:trPr>
          <w:trHeight w:val="289" w:hRule="atLeast"/>
        </w:trPr>
        <w:tc>
          <w:tcPr>
            <w:tcW w:w="2207" w:type="dxa"/>
          </w:tcPr>
          <w:p>
            <w:pPr>
              <w:pStyle w:val="TableParagraph"/>
              <w:spacing w:before="6"/>
              <w:ind w:left="200"/>
              <w:rPr>
                <w:sz w:val="20"/>
              </w:rPr>
            </w:pPr>
            <w:r>
              <w:rPr>
                <w:w w:val="95"/>
                <w:sz w:val="20"/>
              </w:rPr>
              <w:t>货币资金</w:t>
            </w:r>
          </w:p>
        </w:tc>
        <w:tc>
          <w:tcPr>
            <w:tcW w:w="182" w:type="dxa"/>
          </w:tcPr>
          <w:p>
            <w:pPr>
              <w:pStyle w:val="TableParagraph"/>
              <w:rPr>
                <w:rFonts w:ascii="Times New Roman"/>
                <w:sz w:val="20"/>
              </w:rPr>
            </w:pPr>
          </w:p>
        </w:tc>
        <w:tc>
          <w:tcPr>
            <w:tcW w:w="1692" w:type="dxa"/>
          </w:tcPr>
          <w:p>
            <w:pPr>
              <w:pStyle w:val="TableParagraph"/>
              <w:spacing w:before="30"/>
              <w:ind w:left="396"/>
              <w:rPr>
                <w:rFonts w:ascii="Arial MT"/>
                <w:sz w:val="20"/>
              </w:rPr>
            </w:pPr>
            <w:r>
              <w:rPr>
                <w:rFonts w:ascii="Arial MT"/>
                <w:sz w:val="20"/>
              </w:rPr>
              <w:t>5,865,908</w:t>
            </w:r>
          </w:p>
        </w:tc>
        <w:tc>
          <w:tcPr>
            <w:tcW w:w="1270" w:type="dxa"/>
          </w:tcPr>
          <w:p>
            <w:pPr>
              <w:pStyle w:val="TableParagraph"/>
              <w:spacing w:before="30"/>
              <w:ind w:left="651"/>
              <w:rPr>
                <w:rFonts w:ascii="Arial MT"/>
                <w:sz w:val="20"/>
              </w:rPr>
            </w:pPr>
            <w:r>
              <w:rPr>
                <w:rFonts w:ascii="Arial MT"/>
                <w:sz w:val="20"/>
              </w:rPr>
              <w:t>21,155</w:t>
            </w:r>
          </w:p>
        </w:tc>
        <w:tc>
          <w:tcPr>
            <w:tcW w:w="246" w:type="dxa"/>
          </w:tcPr>
          <w:p>
            <w:pPr>
              <w:pStyle w:val="TableParagraph"/>
              <w:rPr>
                <w:rFonts w:ascii="Times New Roman"/>
                <w:sz w:val="20"/>
              </w:rPr>
            </w:pPr>
          </w:p>
        </w:tc>
        <w:tc>
          <w:tcPr>
            <w:tcW w:w="1734" w:type="dxa"/>
          </w:tcPr>
          <w:p>
            <w:pPr>
              <w:pStyle w:val="TableParagraph"/>
              <w:spacing w:before="30"/>
              <w:ind w:left="915"/>
              <w:rPr>
                <w:rFonts w:ascii="Arial MT"/>
                <w:sz w:val="20"/>
              </w:rPr>
            </w:pPr>
            <w:r>
              <w:rPr>
                <w:rFonts w:ascii="Arial MT"/>
                <w:sz w:val="20"/>
              </w:rPr>
              <w:t>6,829</w:t>
            </w:r>
          </w:p>
        </w:tc>
        <w:tc>
          <w:tcPr>
            <w:tcW w:w="1607" w:type="dxa"/>
          </w:tcPr>
          <w:p>
            <w:pPr>
              <w:pStyle w:val="TableParagraph"/>
              <w:spacing w:before="30"/>
              <w:ind w:left="459"/>
              <w:rPr>
                <w:rFonts w:ascii="Arial MT"/>
                <w:sz w:val="20"/>
              </w:rPr>
            </w:pPr>
            <w:r>
              <w:rPr>
                <w:rFonts w:ascii="Arial MT"/>
                <w:sz w:val="20"/>
              </w:rPr>
              <w:t>5,893,892</w:t>
            </w:r>
          </w:p>
        </w:tc>
      </w:tr>
      <w:tr>
        <w:trPr>
          <w:trHeight w:val="282" w:hRule="atLeast"/>
        </w:trPr>
        <w:tc>
          <w:tcPr>
            <w:tcW w:w="2207" w:type="dxa"/>
          </w:tcPr>
          <w:p>
            <w:pPr>
              <w:pStyle w:val="TableParagraph"/>
              <w:ind w:left="200"/>
              <w:rPr>
                <w:sz w:val="20"/>
              </w:rPr>
            </w:pPr>
            <w:r>
              <w:rPr>
                <w:w w:val="95"/>
                <w:sz w:val="20"/>
              </w:rPr>
              <w:t>应收账款</w:t>
            </w:r>
          </w:p>
        </w:tc>
        <w:tc>
          <w:tcPr>
            <w:tcW w:w="182" w:type="dxa"/>
          </w:tcPr>
          <w:p>
            <w:pPr>
              <w:pStyle w:val="TableParagraph"/>
              <w:rPr>
                <w:rFonts w:ascii="Times New Roman"/>
                <w:sz w:val="20"/>
              </w:rPr>
            </w:pPr>
          </w:p>
        </w:tc>
        <w:tc>
          <w:tcPr>
            <w:tcW w:w="1692" w:type="dxa"/>
          </w:tcPr>
          <w:p>
            <w:pPr>
              <w:pStyle w:val="TableParagraph"/>
              <w:spacing w:before="24"/>
              <w:ind w:left="396"/>
              <w:rPr>
                <w:rFonts w:ascii="Arial MT"/>
                <w:sz w:val="20"/>
              </w:rPr>
            </w:pPr>
            <w:r>
              <w:rPr>
                <w:rFonts w:ascii="Arial MT"/>
                <w:sz w:val="20"/>
              </w:rPr>
              <w:t>1,442,994</w:t>
            </w:r>
          </w:p>
        </w:tc>
        <w:tc>
          <w:tcPr>
            <w:tcW w:w="1270" w:type="dxa"/>
          </w:tcPr>
          <w:p>
            <w:pPr>
              <w:pStyle w:val="TableParagraph"/>
              <w:spacing w:before="24"/>
              <w:ind w:right="36"/>
              <w:jc w:val="right"/>
              <w:rPr>
                <w:rFonts w:ascii="Arial MT"/>
                <w:sz w:val="20"/>
              </w:rPr>
            </w:pPr>
            <w:r>
              <w:rPr>
                <w:rFonts w:ascii="Arial MT"/>
                <w:w w:val="99"/>
                <w:sz w:val="20"/>
              </w:rPr>
              <w:t>-</w:t>
            </w:r>
          </w:p>
        </w:tc>
        <w:tc>
          <w:tcPr>
            <w:tcW w:w="246" w:type="dxa"/>
          </w:tcPr>
          <w:p>
            <w:pPr>
              <w:pStyle w:val="TableParagraph"/>
              <w:rPr>
                <w:rFonts w:ascii="Times New Roman"/>
                <w:sz w:val="20"/>
              </w:rPr>
            </w:pPr>
          </w:p>
        </w:tc>
        <w:tc>
          <w:tcPr>
            <w:tcW w:w="1734" w:type="dxa"/>
          </w:tcPr>
          <w:p>
            <w:pPr>
              <w:pStyle w:val="TableParagraph"/>
              <w:spacing w:before="24"/>
              <w:ind w:right="341"/>
              <w:jc w:val="right"/>
              <w:rPr>
                <w:rFonts w:ascii="Arial MT"/>
                <w:sz w:val="20"/>
              </w:rPr>
            </w:pPr>
            <w:r>
              <w:rPr>
                <w:rFonts w:ascii="Arial MT"/>
                <w:w w:val="99"/>
                <w:sz w:val="20"/>
              </w:rPr>
              <w:t>-</w:t>
            </w:r>
          </w:p>
        </w:tc>
        <w:tc>
          <w:tcPr>
            <w:tcW w:w="1607" w:type="dxa"/>
          </w:tcPr>
          <w:p>
            <w:pPr>
              <w:pStyle w:val="TableParagraph"/>
              <w:spacing w:before="24"/>
              <w:ind w:left="459"/>
              <w:rPr>
                <w:rFonts w:ascii="Arial MT"/>
                <w:sz w:val="20"/>
              </w:rPr>
            </w:pPr>
            <w:r>
              <w:rPr>
                <w:rFonts w:ascii="Arial MT"/>
                <w:sz w:val="20"/>
              </w:rPr>
              <w:t>1,442,994</w:t>
            </w:r>
          </w:p>
        </w:tc>
      </w:tr>
      <w:tr>
        <w:trPr>
          <w:trHeight w:val="297" w:hRule="atLeast"/>
        </w:trPr>
        <w:tc>
          <w:tcPr>
            <w:tcW w:w="2207" w:type="dxa"/>
          </w:tcPr>
          <w:p>
            <w:pPr>
              <w:pStyle w:val="TableParagraph"/>
              <w:spacing w:line="255" w:lineRule="exact"/>
              <w:ind w:left="200"/>
              <w:rPr>
                <w:sz w:val="20"/>
              </w:rPr>
            </w:pPr>
            <w:r>
              <w:rPr>
                <w:w w:val="95"/>
                <w:sz w:val="20"/>
              </w:rPr>
              <w:t>其他应收款</w:t>
            </w:r>
          </w:p>
        </w:tc>
        <w:tc>
          <w:tcPr>
            <w:tcW w:w="182" w:type="dxa"/>
          </w:tcPr>
          <w:p>
            <w:pPr>
              <w:pStyle w:val="TableParagraph"/>
              <w:rPr>
                <w:rFonts w:ascii="Times New Roman"/>
                <w:sz w:val="20"/>
              </w:rPr>
            </w:pPr>
          </w:p>
        </w:tc>
        <w:tc>
          <w:tcPr>
            <w:tcW w:w="1692" w:type="dxa"/>
          </w:tcPr>
          <w:p>
            <w:pPr>
              <w:pStyle w:val="TableParagraph"/>
              <w:tabs>
                <w:tab w:pos="952" w:val="left" w:leader="none"/>
                <w:tab w:pos="1543" w:val="left" w:leader="none"/>
              </w:tabs>
              <w:spacing w:before="25"/>
              <w:ind w:right="146"/>
              <w:jc w:val="right"/>
              <w:rPr>
                <w:rFonts w:ascii="Arial MT"/>
                <w:sz w:val="20"/>
              </w:rPr>
            </w:pPr>
            <w:r>
              <w:rPr>
                <w:rFonts w:ascii="Arial MT"/>
                <w:w w:val="99"/>
                <w:sz w:val="20"/>
                <w:u w:val="single"/>
              </w:rPr>
              <w:t> </w:t>
            </w:r>
            <w:r>
              <w:rPr>
                <w:rFonts w:ascii="Arial MT"/>
                <w:sz w:val="20"/>
                <w:u w:val="single"/>
              </w:rPr>
              <w:tab/>
            </w:r>
            <w:r>
              <w:rPr>
                <w:rFonts w:ascii="Arial MT"/>
                <w:sz w:val="20"/>
                <w:u w:val="single"/>
              </w:rPr>
              <w:t>359</w:t>
              <w:tab/>
            </w:r>
          </w:p>
        </w:tc>
        <w:tc>
          <w:tcPr>
            <w:tcW w:w="1270" w:type="dxa"/>
          </w:tcPr>
          <w:p>
            <w:pPr>
              <w:pStyle w:val="TableParagraph"/>
              <w:tabs>
                <w:tab w:pos="1164" w:val="left" w:leader="none"/>
                <w:tab w:pos="1519" w:val="left" w:leader="none"/>
              </w:tabs>
              <w:spacing w:before="25"/>
              <w:ind w:left="-24" w:right="-260"/>
              <w:jc w:val="right"/>
              <w:rPr>
                <w:rFonts w:ascii="Arial MT"/>
                <w:sz w:val="20"/>
              </w:rPr>
            </w:pPr>
            <w:r>
              <w:rPr>
                <w:rFonts w:ascii="Arial MT"/>
                <w:w w:val="99"/>
                <w:sz w:val="20"/>
                <w:u w:val="single"/>
              </w:rPr>
              <w:t> </w:t>
            </w:r>
            <w:r>
              <w:rPr>
                <w:rFonts w:ascii="Arial MT"/>
                <w:sz w:val="20"/>
                <w:u w:val="single"/>
              </w:rPr>
              <w:tab/>
            </w:r>
            <w:r>
              <w:rPr>
                <w:rFonts w:ascii="Arial MT"/>
                <w:sz w:val="20"/>
                <w:u w:val="single"/>
              </w:rPr>
              <w:t>-</w:t>
              <w:tab/>
            </w:r>
          </w:p>
        </w:tc>
        <w:tc>
          <w:tcPr>
            <w:tcW w:w="246" w:type="dxa"/>
          </w:tcPr>
          <w:p>
            <w:pPr>
              <w:pStyle w:val="TableParagraph"/>
              <w:rPr>
                <w:rFonts w:ascii="Times New Roman"/>
                <w:sz w:val="20"/>
              </w:rPr>
            </w:pPr>
          </w:p>
        </w:tc>
        <w:tc>
          <w:tcPr>
            <w:tcW w:w="1734" w:type="dxa"/>
          </w:tcPr>
          <w:p>
            <w:pPr>
              <w:pStyle w:val="TableParagraph"/>
              <w:tabs>
                <w:tab w:pos="1197" w:val="left" w:leader="none"/>
                <w:tab w:pos="1545" w:val="left" w:leader="none"/>
              </w:tabs>
              <w:spacing w:before="25"/>
              <w:ind w:right="59"/>
              <w:jc w:val="right"/>
              <w:rPr>
                <w:rFonts w:ascii="Arial MT"/>
                <w:sz w:val="20"/>
              </w:rPr>
            </w:pPr>
            <w:r>
              <w:rPr>
                <w:rFonts w:ascii="Arial MT"/>
                <w:w w:val="99"/>
                <w:sz w:val="20"/>
                <w:u w:val="single"/>
              </w:rPr>
              <w:t> </w:t>
            </w:r>
            <w:r>
              <w:rPr>
                <w:rFonts w:ascii="Arial MT"/>
                <w:sz w:val="20"/>
                <w:u w:val="single"/>
              </w:rPr>
              <w:tab/>
            </w:r>
            <w:r>
              <w:rPr>
                <w:rFonts w:ascii="Arial MT"/>
                <w:sz w:val="20"/>
                <w:u w:val="single"/>
              </w:rPr>
              <w:t>-</w:t>
              <w:tab/>
            </w:r>
          </w:p>
        </w:tc>
        <w:tc>
          <w:tcPr>
            <w:tcW w:w="1607" w:type="dxa"/>
          </w:tcPr>
          <w:p>
            <w:pPr>
              <w:pStyle w:val="TableParagraph"/>
              <w:tabs>
                <w:tab w:pos="1016" w:val="left" w:leader="none"/>
                <w:tab w:pos="1606" w:val="left" w:leader="none"/>
              </w:tabs>
              <w:spacing w:before="25"/>
              <w:ind w:left="60"/>
              <w:rPr>
                <w:rFonts w:ascii="Arial MT"/>
                <w:sz w:val="20"/>
              </w:rPr>
            </w:pPr>
            <w:r>
              <w:rPr>
                <w:rFonts w:ascii="Arial MT"/>
                <w:w w:val="99"/>
                <w:sz w:val="20"/>
                <w:u w:val="single"/>
              </w:rPr>
              <w:t> </w:t>
            </w:r>
            <w:r>
              <w:rPr>
                <w:rFonts w:ascii="Arial MT"/>
                <w:sz w:val="20"/>
                <w:u w:val="single"/>
              </w:rPr>
              <w:tab/>
            </w:r>
            <w:r>
              <w:rPr>
                <w:rFonts w:ascii="Arial MT"/>
                <w:sz w:val="20"/>
                <w:u w:val="single"/>
              </w:rPr>
              <w:t>359</w:t>
              <w:tab/>
            </w:r>
          </w:p>
        </w:tc>
      </w:tr>
      <w:tr>
        <w:trPr>
          <w:trHeight w:val="447" w:hRule="atLeast"/>
        </w:trPr>
        <w:tc>
          <w:tcPr>
            <w:tcW w:w="2207" w:type="dxa"/>
          </w:tcPr>
          <w:p>
            <w:pPr>
              <w:pStyle w:val="TableParagraph"/>
              <w:rPr>
                <w:rFonts w:ascii="Times New Roman"/>
                <w:sz w:val="20"/>
              </w:rPr>
            </w:pPr>
          </w:p>
        </w:tc>
        <w:tc>
          <w:tcPr>
            <w:tcW w:w="182" w:type="dxa"/>
          </w:tcPr>
          <w:p>
            <w:pPr>
              <w:pStyle w:val="TableParagraph"/>
              <w:rPr>
                <w:rFonts w:ascii="Times New Roman"/>
                <w:sz w:val="20"/>
              </w:rPr>
            </w:pPr>
          </w:p>
        </w:tc>
        <w:tc>
          <w:tcPr>
            <w:tcW w:w="1692" w:type="dxa"/>
          </w:tcPr>
          <w:p>
            <w:pPr>
              <w:pStyle w:val="TableParagraph"/>
              <w:tabs>
                <w:tab w:pos="395" w:val="left" w:leader="none"/>
                <w:tab w:pos="1543" w:val="left" w:leader="none"/>
              </w:tabs>
              <w:spacing w:before="21"/>
              <w:ind w:right="146"/>
              <w:jc w:val="right"/>
              <w:rPr>
                <w:rFonts w:ascii="Arial MT"/>
                <w:sz w:val="20"/>
              </w:rPr>
            </w:pPr>
            <w:r>
              <w:rPr>
                <w:rFonts w:ascii="Arial MT"/>
                <w:w w:val="99"/>
                <w:sz w:val="20"/>
                <w:u w:val="thick"/>
              </w:rPr>
              <w:t> </w:t>
            </w:r>
            <w:r>
              <w:rPr>
                <w:rFonts w:ascii="Arial MT"/>
                <w:sz w:val="20"/>
                <w:u w:val="thick"/>
              </w:rPr>
              <w:tab/>
            </w:r>
            <w:r>
              <w:rPr>
                <w:rFonts w:ascii="Arial MT"/>
                <w:sz w:val="20"/>
                <w:u w:val="thick"/>
              </w:rPr>
              <w:t>7,309,261</w:t>
              <w:tab/>
            </w:r>
          </w:p>
        </w:tc>
        <w:tc>
          <w:tcPr>
            <w:tcW w:w="1270" w:type="dxa"/>
          </w:tcPr>
          <w:p>
            <w:pPr>
              <w:pStyle w:val="TableParagraph"/>
              <w:tabs>
                <w:tab w:pos="651" w:val="left" w:leader="none"/>
                <w:tab w:pos="1519" w:val="left" w:leader="none"/>
              </w:tabs>
              <w:spacing w:before="21"/>
              <w:ind w:left="-24" w:right="-260"/>
              <w:jc w:val="right"/>
              <w:rPr>
                <w:rFonts w:ascii="Arial MT"/>
                <w:sz w:val="20"/>
              </w:rPr>
            </w:pPr>
            <w:r>
              <w:rPr>
                <w:rFonts w:ascii="Arial MT"/>
                <w:w w:val="99"/>
                <w:sz w:val="20"/>
                <w:u w:val="thick"/>
              </w:rPr>
              <w:t> </w:t>
            </w:r>
            <w:r>
              <w:rPr>
                <w:rFonts w:ascii="Arial MT"/>
                <w:sz w:val="20"/>
                <w:u w:val="thick"/>
              </w:rPr>
              <w:tab/>
            </w:r>
            <w:r>
              <w:rPr>
                <w:rFonts w:ascii="Arial MT"/>
                <w:sz w:val="20"/>
                <w:u w:val="thick"/>
              </w:rPr>
              <w:t>21,155</w:t>
              <w:tab/>
            </w:r>
          </w:p>
        </w:tc>
        <w:tc>
          <w:tcPr>
            <w:tcW w:w="246" w:type="dxa"/>
          </w:tcPr>
          <w:p>
            <w:pPr>
              <w:pStyle w:val="TableParagraph"/>
              <w:rPr>
                <w:rFonts w:ascii="Times New Roman"/>
                <w:sz w:val="20"/>
              </w:rPr>
            </w:pPr>
          </w:p>
        </w:tc>
        <w:tc>
          <w:tcPr>
            <w:tcW w:w="1734" w:type="dxa"/>
          </w:tcPr>
          <w:p>
            <w:pPr>
              <w:pStyle w:val="TableParagraph"/>
              <w:tabs>
                <w:tab w:pos="789" w:val="left" w:leader="none"/>
                <w:tab w:pos="1545" w:val="left" w:leader="none"/>
              </w:tabs>
              <w:spacing w:before="21"/>
              <w:ind w:right="59"/>
              <w:jc w:val="right"/>
              <w:rPr>
                <w:rFonts w:ascii="Arial MT"/>
                <w:sz w:val="20"/>
              </w:rPr>
            </w:pPr>
            <w:r>
              <w:rPr>
                <w:rFonts w:ascii="Arial MT"/>
                <w:w w:val="99"/>
                <w:sz w:val="20"/>
                <w:u w:val="thick"/>
              </w:rPr>
              <w:t> </w:t>
            </w:r>
            <w:r>
              <w:rPr>
                <w:rFonts w:ascii="Arial MT"/>
                <w:sz w:val="20"/>
                <w:u w:val="thick"/>
              </w:rPr>
              <w:tab/>
            </w:r>
            <w:r>
              <w:rPr>
                <w:rFonts w:ascii="Arial MT"/>
                <w:sz w:val="20"/>
                <w:u w:val="thick"/>
              </w:rPr>
              <w:t>6,829</w:t>
              <w:tab/>
            </w:r>
          </w:p>
        </w:tc>
        <w:tc>
          <w:tcPr>
            <w:tcW w:w="1607" w:type="dxa"/>
          </w:tcPr>
          <w:p>
            <w:pPr>
              <w:pStyle w:val="TableParagraph"/>
              <w:tabs>
                <w:tab w:pos="459" w:val="left" w:leader="none"/>
                <w:tab w:pos="1606" w:val="left" w:leader="none"/>
              </w:tabs>
              <w:spacing w:before="21"/>
              <w:ind w:left="60"/>
              <w:rPr>
                <w:rFonts w:ascii="Arial MT"/>
                <w:sz w:val="20"/>
              </w:rPr>
            </w:pPr>
            <w:r>
              <w:rPr>
                <w:rFonts w:ascii="Arial MT"/>
                <w:w w:val="99"/>
                <w:sz w:val="20"/>
                <w:u w:val="thick"/>
              </w:rPr>
              <w:t> </w:t>
            </w:r>
            <w:r>
              <w:rPr>
                <w:rFonts w:ascii="Arial MT"/>
                <w:sz w:val="20"/>
                <w:u w:val="thick"/>
              </w:rPr>
              <w:tab/>
            </w:r>
            <w:r>
              <w:rPr>
                <w:rFonts w:ascii="Arial MT"/>
                <w:sz w:val="20"/>
                <w:u w:val="thick"/>
              </w:rPr>
              <w:t>7,337,245</w:t>
              <w:tab/>
            </w:r>
          </w:p>
        </w:tc>
      </w:tr>
      <w:tr>
        <w:trPr>
          <w:trHeight w:val="421" w:hRule="atLeast"/>
        </w:trPr>
        <w:tc>
          <w:tcPr>
            <w:tcW w:w="8938" w:type="dxa"/>
            <w:gridSpan w:val="7"/>
          </w:tcPr>
          <w:p>
            <w:pPr>
              <w:pStyle w:val="TableParagraph"/>
              <w:spacing w:before="145"/>
              <w:ind w:left="200"/>
              <w:rPr>
                <w:rFonts w:ascii="Arial MT" w:hAnsi="Arial MT" w:eastAsia="Arial MT"/>
                <w:sz w:val="20"/>
              </w:rPr>
            </w:pPr>
            <w:r>
              <w:rPr>
                <w:spacing w:val="5"/>
                <w:w w:val="95"/>
                <w:sz w:val="20"/>
              </w:rPr>
              <w:t>非本位币金融负债 </w:t>
            </w:r>
            <w:r>
              <w:rPr>
                <w:rFonts w:ascii="Arial MT" w:hAnsi="Arial MT" w:eastAsia="Arial MT"/>
                <w:w w:val="95"/>
                <w:sz w:val="20"/>
              </w:rPr>
              <w:t>—</w:t>
            </w:r>
          </w:p>
        </w:tc>
      </w:tr>
      <w:tr>
        <w:trPr>
          <w:trHeight w:val="289" w:hRule="atLeast"/>
        </w:trPr>
        <w:tc>
          <w:tcPr>
            <w:tcW w:w="2207" w:type="dxa"/>
          </w:tcPr>
          <w:p>
            <w:pPr>
              <w:pStyle w:val="TableParagraph"/>
              <w:spacing w:before="6"/>
              <w:ind w:left="200"/>
              <w:rPr>
                <w:sz w:val="20"/>
              </w:rPr>
            </w:pPr>
            <w:r>
              <w:rPr>
                <w:w w:val="95"/>
                <w:sz w:val="20"/>
              </w:rPr>
              <w:t>短期借款</w:t>
            </w:r>
          </w:p>
        </w:tc>
        <w:tc>
          <w:tcPr>
            <w:tcW w:w="182" w:type="dxa"/>
          </w:tcPr>
          <w:p>
            <w:pPr>
              <w:pStyle w:val="TableParagraph"/>
              <w:rPr>
                <w:rFonts w:ascii="Times New Roman"/>
                <w:sz w:val="20"/>
              </w:rPr>
            </w:pPr>
          </w:p>
        </w:tc>
        <w:tc>
          <w:tcPr>
            <w:tcW w:w="1692" w:type="dxa"/>
          </w:tcPr>
          <w:p>
            <w:pPr>
              <w:pStyle w:val="TableParagraph"/>
              <w:spacing w:before="30"/>
              <w:ind w:left="285"/>
              <w:rPr>
                <w:rFonts w:ascii="Arial MT"/>
                <w:sz w:val="20"/>
              </w:rPr>
            </w:pPr>
            <w:r>
              <w:rPr>
                <w:rFonts w:ascii="Arial MT"/>
                <w:sz w:val="20"/>
              </w:rPr>
              <w:t>14,758,996</w:t>
            </w:r>
          </w:p>
        </w:tc>
        <w:tc>
          <w:tcPr>
            <w:tcW w:w="1270" w:type="dxa"/>
          </w:tcPr>
          <w:p>
            <w:pPr>
              <w:pStyle w:val="TableParagraph"/>
              <w:spacing w:before="30"/>
              <w:ind w:right="48"/>
              <w:jc w:val="right"/>
              <w:rPr>
                <w:rFonts w:ascii="Arial MT"/>
                <w:sz w:val="20"/>
              </w:rPr>
            </w:pPr>
            <w:r>
              <w:rPr>
                <w:rFonts w:ascii="Arial MT"/>
                <w:w w:val="99"/>
                <w:sz w:val="20"/>
              </w:rPr>
              <w:t>-</w:t>
            </w:r>
          </w:p>
        </w:tc>
        <w:tc>
          <w:tcPr>
            <w:tcW w:w="246" w:type="dxa"/>
          </w:tcPr>
          <w:p>
            <w:pPr>
              <w:pStyle w:val="TableParagraph"/>
              <w:rPr>
                <w:rFonts w:ascii="Times New Roman"/>
                <w:sz w:val="20"/>
              </w:rPr>
            </w:pPr>
          </w:p>
        </w:tc>
        <w:tc>
          <w:tcPr>
            <w:tcW w:w="1734" w:type="dxa"/>
          </w:tcPr>
          <w:p>
            <w:pPr>
              <w:pStyle w:val="TableParagraph"/>
              <w:spacing w:before="30"/>
              <w:ind w:right="341"/>
              <w:jc w:val="right"/>
              <w:rPr>
                <w:rFonts w:ascii="Arial MT"/>
                <w:sz w:val="20"/>
              </w:rPr>
            </w:pPr>
            <w:r>
              <w:rPr>
                <w:rFonts w:ascii="Arial MT"/>
                <w:w w:val="99"/>
                <w:sz w:val="20"/>
              </w:rPr>
              <w:t>-</w:t>
            </w:r>
          </w:p>
        </w:tc>
        <w:tc>
          <w:tcPr>
            <w:tcW w:w="1607" w:type="dxa"/>
          </w:tcPr>
          <w:p>
            <w:pPr>
              <w:pStyle w:val="TableParagraph"/>
              <w:spacing w:before="30"/>
              <w:ind w:left="348"/>
              <w:rPr>
                <w:rFonts w:ascii="Arial MT"/>
                <w:sz w:val="20"/>
              </w:rPr>
            </w:pPr>
            <w:r>
              <w:rPr>
                <w:rFonts w:ascii="Arial MT"/>
                <w:sz w:val="20"/>
              </w:rPr>
              <w:t>14,758,996</w:t>
            </w:r>
          </w:p>
        </w:tc>
      </w:tr>
      <w:tr>
        <w:trPr>
          <w:trHeight w:val="283" w:hRule="atLeast"/>
        </w:trPr>
        <w:tc>
          <w:tcPr>
            <w:tcW w:w="2207" w:type="dxa"/>
          </w:tcPr>
          <w:p>
            <w:pPr>
              <w:pStyle w:val="TableParagraph"/>
              <w:ind w:left="200"/>
              <w:rPr>
                <w:sz w:val="20"/>
              </w:rPr>
            </w:pPr>
            <w:r>
              <w:rPr>
                <w:w w:val="95"/>
                <w:sz w:val="20"/>
              </w:rPr>
              <w:t>应付账款</w:t>
            </w:r>
          </w:p>
        </w:tc>
        <w:tc>
          <w:tcPr>
            <w:tcW w:w="182" w:type="dxa"/>
          </w:tcPr>
          <w:p>
            <w:pPr>
              <w:pStyle w:val="TableParagraph"/>
              <w:rPr>
                <w:rFonts w:ascii="Times New Roman"/>
                <w:sz w:val="20"/>
              </w:rPr>
            </w:pPr>
          </w:p>
        </w:tc>
        <w:tc>
          <w:tcPr>
            <w:tcW w:w="1692" w:type="dxa"/>
          </w:tcPr>
          <w:p>
            <w:pPr>
              <w:pStyle w:val="TableParagraph"/>
              <w:spacing w:before="24"/>
              <w:ind w:left="396"/>
              <w:rPr>
                <w:rFonts w:ascii="Arial MT"/>
                <w:sz w:val="20"/>
              </w:rPr>
            </w:pPr>
            <w:r>
              <w:rPr>
                <w:rFonts w:ascii="Arial MT"/>
                <w:sz w:val="20"/>
              </w:rPr>
              <w:t>9,652,441</w:t>
            </w:r>
          </w:p>
        </w:tc>
        <w:tc>
          <w:tcPr>
            <w:tcW w:w="1270" w:type="dxa"/>
          </w:tcPr>
          <w:p>
            <w:pPr>
              <w:pStyle w:val="TableParagraph"/>
              <w:spacing w:before="24"/>
              <w:ind w:left="763"/>
              <w:rPr>
                <w:rFonts w:ascii="Arial MT"/>
                <w:sz w:val="20"/>
              </w:rPr>
            </w:pPr>
            <w:r>
              <w:rPr>
                <w:rFonts w:ascii="Arial MT"/>
                <w:sz w:val="20"/>
              </w:rPr>
              <w:t>7,922</w:t>
            </w:r>
          </w:p>
        </w:tc>
        <w:tc>
          <w:tcPr>
            <w:tcW w:w="246" w:type="dxa"/>
          </w:tcPr>
          <w:p>
            <w:pPr>
              <w:pStyle w:val="TableParagraph"/>
              <w:rPr>
                <w:rFonts w:ascii="Times New Roman"/>
                <w:sz w:val="20"/>
              </w:rPr>
            </w:pPr>
          </w:p>
        </w:tc>
        <w:tc>
          <w:tcPr>
            <w:tcW w:w="1734" w:type="dxa"/>
          </w:tcPr>
          <w:p>
            <w:pPr>
              <w:pStyle w:val="TableParagraph"/>
              <w:spacing w:before="24"/>
              <w:ind w:left="915"/>
              <w:rPr>
                <w:rFonts w:ascii="Arial MT"/>
                <w:sz w:val="20"/>
              </w:rPr>
            </w:pPr>
            <w:r>
              <w:rPr>
                <w:rFonts w:ascii="Arial MT"/>
                <w:sz w:val="20"/>
              </w:rPr>
              <w:t>4,165</w:t>
            </w:r>
          </w:p>
        </w:tc>
        <w:tc>
          <w:tcPr>
            <w:tcW w:w="1607" w:type="dxa"/>
          </w:tcPr>
          <w:p>
            <w:pPr>
              <w:pStyle w:val="TableParagraph"/>
              <w:spacing w:before="24"/>
              <w:ind w:left="459"/>
              <w:rPr>
                <w:rFonts w:ascii="Arial MT"/>
                <w:sz w:val="20"/>
              </w:rPr>
            </w:pPr>
            <w:r>
              <w:rPr>
                <w:rFonts w:ascii="Arial MT"/>
                <w:sz w:val="20"/>
              </w:rPr>
              <w:t>9,664,528</w:t>
            </w:r>
          </w:p>
        </w:tc>
      </w:tr>
      <w:tr>
        <w:trPr>
          <w:trHeight w:val="295" w:hRule="atLeast"/>
        </w:trPr>
        <w:tc>
          <w:tcPr>
            <w:tcW w:w="2207" w:type="dxa"/>
          </w:tcPr>
          <w:p>
            <w:pPr>
              <w:pStyle w:val="TableParagraph"/>
              <w:ind w:left="200"/>
              <w:rPr>
                <w:sz w:val="20"/>
              </w:rPr>
            </w:pPr>
            <w:r>
              <w:rPr>
                <w:w w:val="95"/>
                <w:sz w:val="20"/>
              </w:rPr>
              <w:t>其他应付款</w:t>
            </w:r>
          </w:p>
        </w:tc>
        <w:tc>
          <w:tcPr>
            <w:tcW w:w="182" w:type="dxa"/>
          </w:tcPr>
          <w:p>
            <w:pPr>
              <w:pStyle w:val="TableParagraph"/>
              <w:rPr>
                <w:rFonts w:ascii="Times New Roman"/>
                <w:sz w:val="20"/>
              </w:rPr>
            </w:pPr>
          </w:p>
        </w:tc>
        <w:tc>
          <w:tcPr>
            <w:tcW w:w="1692" w:type="dxa"/>
          </w:tcPr>
          <w:p>
            <w:pPr>
              <w:pStyle w:val="TableParagraph"/>
              <w:tabs>
                <w:tab w:pos="563" w:val="left" w:leader="none"/>
                <w:tab w:pos="1543" w:val="left" w:leader="none"/>
              </w:tabs>
              <w:spacing w:before="24"/>
              <w:ind w:right="146"/>
              <w:jc w:val="right"/>
              <w:rPr>
                <w:rFonts w:ascii="Arial MT"/>
                <w:sz w:val="20"/>
              </w:rPr>
            </w:pPr>
            <w:r>
              <w:rPr>
                <w:rFonts w:ascii="Arial MT"/>
                <w:w w:val="99"/>
                <w:sz w:val="20"/>
                <w:u w:val="single"/>
              </w:rPr>
              <w:t> </w:t>
            </w:r>
            <w:r>
              <w:rPr>
                <w:rFonts w:ascii="Arial MT"/>
                <w:sz w:val="20"/>
                <w:u w:val="single"/>
              </w:rPr>
              <w:tab/>
            </w:r>
            <w:r>
              <w:rPr>
                <w:rFonts w:ascii="Arial MT"/>
                <w:sz w:val="20"/>
                <w:u w:val="single"/>
              </w:rPr>
              <w:t>249,095</w:t>
              <w:tab/>
            </w:r>
          </w:p>
        </w:tc>
        <w:tc>
          <w:tcPr>
            <w:tcW w:w="1270" w:type="dxa"/>
          </w:tcPr>
          <w:p>
            <w:pPr>
              <w:pStyle w:val="TableParagraph"/>
              <w:tabs>
                <w:tab w:pos="651" w:val="left" w:leader="none"/>
                <w:tab w:pos="1519" w:val="left" w:leader="none"/>
              </w:tabs>
              <w:spacing w:before="24"/>
              <w:ind w:left="-24" w:right="-260"/>
              <w:jc w:val="right"/>
              <w:rPr>
                <w:rFonts w:ascii="Arial MT"/>
                <w:sz w:val="20"/>
              </w:rPr>
            </w:pPr>
            <w:r>
              <w:rPr>
                <w:rFonts w:ascii="Arial MT"/>
                <w:w w:val="99"/>
                <w:sz w:val="20"/>
                <w:u w:val="single"/>
              </w:rPr>
              <w:t> </w:t>
            </w:r>
            <w:r>
              <w:rPr>
                <w:rFonts w:ascii="Arial MT"/>
                <w:sz w:val="20"/>
                <w:u w:val="single"/>
              </w:rPr>
              <w:tab/>
            </w:r>
            <w:r>
              <w:rPr>
                <w:rFonts w:ascii="Arial MT"/>
                <w:sz w:val="20"/>
                <w:u w:val="single"/>
              </w:rPr>
              <w:t>26,492</w:t>
              <w:tab/>
            </w:r>
          </w:p>
        </w:tc>
        <w:tc>
          <w:tcPr>
            <w:tcW w:w="246" w:type="dxa"/>
          </w:tcPr>
          <w:p>
            <w:pPr>
              <w:pStyle w:val="TableParagraph"/>
              <w:rPr>
                <w:rFonts w:ascii="Times New Roman"/>
                <w:sz w:val="20"/>
              </w:rPr>
            </w:pPr>
          </w:p>
        </w:tc>
        <w:tc>
          <w:tcPr>
            <w:tcW w:w="1734" w:type="dxa"/>
          </w:tcPr>
          <w:p>
            <w:pPr>
              <w:pStyle w:val="TableParagraph"/>
              <w:tabs>
                <w:tab w:pos="676" w:val="left" w:leader="none"/>
                <w:tab w:pos="1545" w:val="left" w:leader="none"/>
              </w:tabs>
              <w:spacing w:before="24"/>
              <w:ind w:right="59"/>
              <w:jc w:val="right"/>
              <w:rPr>
                <w:rFonts w:ascii="Arial MT"/>
                <w:sz w:val="20"/>
              </w:rPr>
            </w:pPr>
            <w:r>
              <w:rPr>
                <w:rFonts w:ascii="Arial MT"/>
                <w:w w:val="99"/>
                <w:sz w:val="20"/>
                <w:u w:val="single"/>
              </w:rPr>
              <w:t> </w:t>
            </w:r>
            <w:r>
              <w:rPr>
                <w:rFonts w:ascii="Arial MT"/>
                <w:sz w:val="20"/>
                <w:u w:val="single"/>
              </w:rPr>
              <w:tab/>
            </w:r>
            <w:r>
              <w:rPr>
                <w:rFonts w:ascii="Arial MT"/>
                <w:sz w:val="20"/>
                <w:u w:val="single"/>
              </w:rPr>
              <w:t>37,874</w:t>
              <w:tab/>
            </w:r>
          </w:p>
        </w:tc>
        <w:tc>
          <w:tcPr>
            <w:tcW w:w="1607" w:type="dxa"/>
          </w:tcPr>
          <w:p>
            <w:pPr>
              <w:pStyle w:val="TableParagraph"/>
              <w:tabs>
                <w:tab w:pos="627" w:val="left" w:leader="none"/>
                <w:tab w:pos="1606" w:val="left" w:leader="none"/>
              </w:tabs>
              <w:spacing w:before="24"/>
              <w:ind w:left="60"/>
              <w:rPr>
                <w:rFonts w:ascii="Arial MT"/>
                <w:sz w:val="20"/>
              </w:rPr>
            </w:pPr>
            <w:r>
              <w:rPr>
                <w:rFonts w:ascii="Arial MT"/>
                <w:w w:val="99"/>
                <w:sz w:val="20"/>
                <w:u w:val="single"/>
              </w:rPr>
              <w:t> </w:t>
            </w:r>
            <w:r>
              <w:rPr>
                <w:rFonts w:ascii="Arial MT"/>
                <w:sz w:val="20"/>
                <w:u w:val="single"/>
              </w:rPr>
              <w:tab/>
            </w:r>
            <w:r>
              <w:rPr>
                <w:rFonts w:ascii="Arial MT"/>
                <w:sz w:val="20"/>
                <w:u w:val="single"/>
              </w:rPr>
              <w:t>313,461</w:t>
              <w:tab/>
            </w:r>
          </w:p>
        </w:tc>
      </w:tr>
      <w:tr>
        <w:trPr>
          <w:trHeight w:val="305" w:hRule="atLeast"/>
        </w:trPr>
        <w:tc>
          <w:tcPr>
            <w:tcW w:w="2207" w:type="dxa"/>
          </w:tcPr>
          <w:p>
            <w:pPr>
              <w:pStyle w:val="TableParagraph"/>
              <w:rPr>
                <w:rFonts w:ascii="Times New Roman"/>
                <w:sz w:val="20"/>
              </w:rPr>
            </w:pPr>
          </w:p>
        </w:tc>
        <w:tc>
          <w:tcPr>
            <w:tcW w:w="182" w:type="dxa"/>
          </w:tcPr>
          <w:p>
            <w:pPr>
              <w:pStyle w:val="TableParagraph"/>
              <w:rPr>
                <w:rFonts w:ascii="Times New Roman"/>
                <w:sz w:val="20"/>
              </w:rPr>
            </w:pPr>
          </w:p>
        </w:tc>
        <w:tc>
          <w:tcPr>
            <w:tcW w:w="1692" w:type="dxa"/>
          </w:tcPr>
          <w:p>
            <w:pPr>
              <w:pStyle w:val="TableParagraph"/>
              <w:tabs>
                <w:tab w:pos="285" w:val="left" w:leader="none"/>
                <w:tab w:pos="1543" w:val="left" w:leader="none"/>
              </w:tabs>
              <w:spacing w:before="21"/>
              <w:ind w:right="146"/>
              <w:jc w:val="right"/>
              <w:rPr>
                <w:rFonts w:ascii="Arial MT"/>
                <w:sz w:val="20"/>
              </w:rPr>
            </w:pPr>
            <w:r>
              <w:rPr>
                <w:rFonts w:ascii="Arial MT"/>
                <w:w w:val="99"/>
                <w:sz w:val="20"/>
                <w:u w:val="thick"/>
              </w:rPr>
              <w:t> </w:t>
            </w:r>
            <w:r>
              <w:rPr>
                <w:rFonts w:ascii="Arial MT"/>
                <w:sz w:val="20"/>
                <w:u w:val="thick"/>
              </w:rPr>
              <w:tab/>
            </w:r>
            <w:r>
              <w:rPr>
                <w:rFonts w:ascii="Arial MT"/>
                <w:sz w:val="20"/>
                <w:u w:val="thick"/>
              </w:rPr>
              <w:t>24,660,532</w:t>
              <w:tab/>
            </w:r>
          </w:p>
        </w:tc>
        <w:tc>
          <w:tcPr>
            <w:tcW w:w="1270" w:type="dxa"/>
          </w:tcPr>
          <w:p>
            <w:pPr>
              <w:pStyle w:val="TableParagraph"/>
              <w:tabs>
                <w:tab w:pos="651" w:val="left" w:leader="none"/>
                <w:tab w:pos="1519" w:val="left" w:leader="none"/>
              </w:tabs>
              <w:spacing w:before="21"/>
              <w:ind w:left="-24" w:right="-260"/>
              <w:jc w:val="right"/>
              <w:rPr>
                <w:rFonts w:ascii="Arial MT"/>
                <w:sz w:val="20"/>
              </w:rPr>
            </w:pPr>
            <w:r>
              <w:rPr>
                <w:rFonts w:ascii="Arial MT"/>
                <w:w w:val="99"/>
                <w:sz w:val="20"/>
                <w:u w:val="thick"/>
              </w:rPr>
              <w:t> </w:t>
            </w:r>
            <w:r>
              <w:rPr>
                <w:rFonts w:ascii="Arial MT"/>
                <w:sz w:val="20"/>
                <w:u w:val="thick"/>
              </w:rPr>
              <w:tab/>
            </w:r>
            <w:r>
              <w:rPr>
                <w:rFonts w:ascii="Arial MT"/>
                <w:sz w:val="20"/>
                <w:u w:val="thick"/>
              </w:rPr>
              <w:t>34,414</w:t>
              <w:tab/>
            </w:r>
          </w:p>
        </w:tc>
        <w:tc>
          <w:tcPr>
            <w:tcW w:w="246" w:type="dxa"/>
          </w:tcPr>
          <w:p>
            <w:pPr>
              <w:pStyle w:val="TableParagraph"/>
              <w:rPr>
                <w:rFonts w:ascii="Times New Roman"/>
                <w:sz w:val="20"/>
              </w:rPr>
            </w:pPr>
          </w:p>
        </w:tc>
        <w:tc>
          <w:tcPr>
            <w:tcW w:w="1734" w:type="dxa"/>
          </w:tcPr>
          <w:p>
            <w:pPr>
              <w:pStyle w:val="TableParagraph"/>
              <w:tabs>
                <w:tab w:pos="676" w:val="left" w:leader="none"/>
                <w:tab w:pos="1545" w:val="left" w:leader="none"/>
              </w:tabs>
              <w:spacing w:before="21"/>
              <w:ind w:right="59"/>
              <w:jc w:val="right"/>
              <w:rPr>
                <w:rFonts w:ascii="Arial MT"/>
                <w:sz w:val="20"/>
              </w:rPr>
            </w:pPr>
            <w:r>
              <w:rPr>
                <w:rFonts w:ascii="Arial MT"/>
                <w:w w:val="99"/>
                <w:sz w:val="20"/>
                <w:u w:val="thick"/>
              </w:rPr>
              <w:t> </w:t>
            </w:r>
            <w:r>
              <w:rPr>
                <w:rFonts w:ascii="Arial MT"/>
                <w:sz w:val="20"/>
                <w:u w:val="thick"/>
              </w:rPr>
              <w:tab/>
            </w:r>
            <w:r>
              <w:rPr>
                <w:rFonts w:ascii="Arial MT"/>
                <w:sz w:val="20"/>
                <w:u w:val="thick"/>
              </w:rPr>
              <w:t>42,039</w:t>
              <w:tab/>
            </w:r>
          </w:p>
        </w:tc>
        <w:tc>
          <w:tcPr>
            <w:tcW w:w="1607" w:type="dxa"/>
          </w:tcPr>
          <w:p>
            <w:pPr>
              <w:pStyle w:val="TableParagraph"/>
              <w:tabs>
                <w:tab w:pos="348" w:val="left" w:leader="none"/>
                <w:tab w:pos="1606" w:val="left" w:leader="none"/>
              </w:tabs>
              <w:spacing w:before="21"/>
              <w:ind w:left="60"/>
              <w:rPr>
                <w:rFonts w:ascii="Arial MT"/>
                <w:sz w:val="20"/>
              </w:rPr>
            </w:pPr>
            <w:r>
              <w:rPr>
                <w:rFonts w:ascii="Arial MT"/>
                <w:w w:val="99"/>
                <w:sz w:val="20"/>
                <w:u w:val="thick"/>
              </w:rPr>
              <w:t> </w:t>
            </w:r>
            <w:r>
              <w:rPr>
                <w:rFonts w:ascii="Arial MT"/>
                <w:sz w:val="20"/>
                <w:u w:val="thick"/>
              </w:rPr>
              <w:tab/>
            </w:r>
            <w:r>
              <w:rPr>
                <w:rFonts w:ascii="Arial MT"/>
                <w:sz w:val="20"/>
                <w:u w:val="thick"/>
              </w:rPr>
              <w:t>24,736,985</w:t>
              <w:tab/>
            </w:r>
          </w:p>
        </w:tc>
      </w:tr>
      <w:tr>
        <w:trPr>
          <w:trHeight w:val="260" w:hRule="atLeast"/>
        </w:trPr>
        <w:tc>
          <w:tcPr>
            <w:tcW w:w="8938" w:type="dxa"/>
            <w:gridSpan w:val="7"/>
          </w:tcPr>
          <w:p>
            <w:pPr>
              <w:pStyle w:val="TableParagraph"/>
              <w:spacing w:line="237" w:lineRule="exact" w:before="3"/>
              <w:ind w:left="4350"/>
              <w:rPr>
                <w:sz w:val="20"/>
              </w:rPr>
            </w:pPr>
            <w:r>
              <w:rPr>
                <w:rFonts w:ascii="Arial MT" w:eastAsia="Arial MT"/>
                <w:w w:val="95"/>
                <w:sz w:val="20"/>
              </w:rPr>
              <w:t>2021 </w:t>
            </w:r>
            <w:r>
              <w:rPr>
                <w:spacing w:val="-17"/>
                <w:w w:val="95"/>
                <w:sz w:val="20"/>
              </w:rPr>
              <w:t>年 </w:t>
            </w:r>
            <w:r>
              <w:rPr>
                <w:rFonts w:ascii="Arial MT" w:eastAsia="Arial MT"/>
                <w:w w:val="95"/>
                <w:sz w:val="20"/>
              </w:rPr>
              <w:t>12 </w:t>
            </w:r>
            <w:r>
              <w:rPr>
                <w:spacing w:val="-16"/>
                <w:w w:val="95"/>
                <w:sz w:val="20"/>
              </w:rPr>
              <w:t>月 </w:t>
            </w:r>
            <w:r>
              <w:rPr>
                <w:rFonts w:ascii="Arial MT" w:eastAsia="Arial MT"/>
                <w:w w:val="95"/>
                <w:sz w:val="20"/>
              </w:rPr>
              <w:t>31</w:t>
            </w:r>
            <w:r>
              <w:rPr>
                <w:rFonts w:ascii="Arial MT" w:eastAsia="Arial MT"/>
                <w:spacing w:val="2"/>
                <w:w w:val="95"/>
                <w:sz w:val="20"/>
              </w:rPr>
              <w:t> </w:t>
            </w:r>
            <w:r>
              <w:rPr>
                <w:w w:val="95"/>
                <w:sz w:val="20"/>
              </w:rPr>
              <w:t>日</w:t>
            </w:r>
          </w:p>
        </w:tc>
      </w:tr>
      <w:tr>
        <w:trPr>
          <w:trHeight w:val="667" w:hRule="atLeast"/>
        </w:trPr>
        <w:tc>
          <w:tcPr>
            <w:tcW w:w="2207" w:type="dxa"/>
          </w:tcPr>
          <w:p>
            <w:pPr>
              <w:pStyle w:val="TableParagraph"/>
              <w:rPr>
                <w:rFonts w:ascii="Times New Roman"/>
                <w:sz w:val="20"/>
              </w:rPr>
            </w:pPr>
          </w:p>
        </w:tc>
        <w:tc>
          <w:tcPr>
            <w:tcW w:w="182" w:type="dxa"/>
            <w:tcBorders>
              <w:top w:val="single" w:sz="4" w:space="0" w:color="000000"/>
            </w:tcBorders>
          </w:tcPr>
          <w:p>
            <w:pPr>
              <w:pStyle w:val="TableParagraph"/>
              <w:rPr>
                <w:rFonts w:ascii="Times New Roman"/>
                <w:sz w:val="20"/>
              </w:rPr>
            </w:pPr>
          </w:p>
        </w:tc>
        <w:tc>
          <w:tcPr>
            <w:tcW w:w="1692" w:type="dxa"/>
            <w:tcBorders>
              <w:top w:val="single" w:sz="4" w:space="0" w:color="000000"/>
            </w:tcBorders>
          </w:tcPr>
          <w:p>
            <w:pPr>
              <w:pStyle w:val="TableParagraph"/>
              <w:spacing w:before="4"/>
              <w:rPr>
                <w:sz w:val="20"/>
              </w:rPr>
            </w:pPr>
          </w:p>
          <w:p>
            <w:pPr>
              <w:pStyle w:val="TableParagraph"/>
              <w:ind w:left="309"/>
              <w:rPr>
                <w:sz w:val="20"/>
              </w:rPr>
            </w:pPr>
            <w:r>
              <w:rPr>
                <w:w w:val="95"/>
                <w:sz w:val="20"/>
              </w:rPr>
              <w:t>美元项目</w:t>
            </w:r>
          </w:p>
        </w:tc>
        <w:tc>
          <w:tcPr>
            <w:tcW w:w="1270" w:type="dxa"/>
            <w:tcBorders>
              <w:top w:val="single" w:sz="4" w:space="0" w:color="000000"/>
            </w:tcBorders>
          </w:tcPr>
          <w:p>
            <w:pPr>
              <w:pStyle w:val="TableParagraph"/>
              <w:spacing w:before="4"/>
              <w:rPr>
                <w:sz w:val="20"/>
              </w:rPr>
            </w:pPr>
          </w:p>
          <w:p>
            <w:pPr>
              <w:pStyle w:val="TableParagraph"/>
              <w:ind w:left="149"/>
              <w:rPr>
                <w:sz w:val="20"/>
              </w:rPr>
            </w:pPr>
            <w:r>
              <w:rPr>
                <w:w w:val="95"/>
                <w:sz w:val="20"/>
              </w:rPr>
              <w:t>港币项目</w:t>
            </w:r>
          </w:p>
        </w:tc>
        <w:tc>
          <w:tcPr>
            <w:tcW w:w="1980" w:type="dxa"/>
            <w:gridSpan w:val="2"/>
            <w:tcBorders>
              <w:top w:val="single" w:sz="4" w:space="0" w:color="000000"/>
            </w:tcBorders>
          </w:tcPr>
          <w:p>
            <w:pPr>
              <w:pStyle w:val="TableParagraph"/>
              <w:spacing w:before="1"/>
              <w:ind w:right="773"/>
              <w:jc w:val="right"/>
              <w:rPr>
                <w:sz w:val="20"/>
              </w:rPr>
            </w:pPr>
            <w:r>
              <w:rPr>
                <w:w w:val="95"/>
                <w:sz w:val="20"/>
              </w:rPr>
              <w:t>其他非本位币</w:t>
            </w:r>
          </w:p>
          <w:p>
            <w:pPr>
              <w:pStyle w:val="TableParagraph"/>
              <w:spacing w:before="3"/>
              <w:ind w:right="772"/>
              <w:jc w:val="right"/>
              <w:rPr>
                <w:sz w:val="20"/>
              </w:rPr>
            </w:pPr>
            <w:r>
              <w:rPr>
                <w:w w:val="95"/>
                <w:sz w:val="20"/>
              </w:rPr>
              <w:t>项目</w:t>
            </w:r>
          </w:p>
        </w:tc>
        <w:tc>
          <w:tcPr>
            <w:tcW w:w="1607" w:type="dxa"/>
            <w:tcBorders>
              <w:top w:val="single" w:sz="4" w:space="0" w:color="000000"/>
            </w:tcBorders>
          </w:tcPr>
          <w:p>
            <w:pPr>
              <w:pStyle w:val="TableParagraph"/>
              <w:spacing w:before="4"/>
              <w:rPr>
                <w:sz w:val="20"/>
              </w:rPr>
            </w:pPr>
          </w:p>
          <w:p>
            <w:pPr>
              <w:pStyle w:val="TableParagraph"/>
              <w:ind w:left="360"/>
              <w:rPr>
                <w:sz w:val="20"/>
              </w:rPr>
            </w:pPr>
            <w:r>
              <w:rPr>
                <w:w w:val="95"/>
                <w:sz w:val="20"/>
              </w:rPr>
              <w:t>合计</w:t>
            </w:r>
          </w:p>
        </w:tc>
      </w:tr>
      <w:tr>
        <w:trPr>
          <w:trHeight w:val="401" w:hRule="atLeast"/>
        </w:trPr>
        <w:tc>
          <w:tcPr>
            <w:tcW w:w="4081" w:type="dxa"/>
            <w:gridSpan w:val="3"/>
          </w:tcPr>
          <w:p>
            <w:pPr>
              <w:pStyle w:val="TableParagraph"/>
              <w:spacing w:line="222" w:lineRule="exact" w:before="159"/>
              <w:ind w:left="200"/>
              <w:rPr>
                <w:rFonts w:ascii="Arial MT" w:hAnsi="Arial MT" w:eastAsia="Arial MT"/>
                <w:sz w:val="20"/>
              </w:rPr>
            </w:pPr>
            <w:r>
              <w:rPr>
                <w:spacing w:val="5"/>
                <w:w w:val="95"/>
                <w:sz w:val="20"/>
              </w:rPr>
              <w:t>非本位币金融资产 </w:t>
            </w:r>
            <w:r>
              <w:rPr>
                <w:rFonts w:ascii="Arial MT" w:hAnsi="Arial MT" w:eastAsia="Arial MT"/>
                <w:w w:val="95"/>
                <w:sz w:val="20"/>
              </w:rPr>
              <w:t>—</w:t>
            </w:r>
          </w:p>
        </w:tc>
        <w:tc>
          <w:tcPr>
            <w:tcW w:w="1270" w:type="dxa"/>
          </w:tcPr>
          <w:p>
            <w:pPr>
              <w:pStyle w:val="TableParagraph"/>
              <w:rPr>
                <w:rFonts w:ascii="Times New Roman"/>
                <w:sz w:val="20"/>
              </w:rPr>
            </w:pPr>
          </w:p>
        </w:tc>
        <w:tc>
          <w:tcPr>
            <w:tcW w:w="1980" w:type="dxa"/>
            <w:gridSpan w:val="2"/>
          </w:tcPr>
          <w:p>
            <w:pPr>
              <w:pStyle w:val="TableParagraph"/>
              <w:rPr>
                <w:rFonts w:ascii="Times New Roman"/>
                <w:sz w:val="20"/>
              </w:rPr>
            </w:pPr>
          </w:p>
        </w:tc>
        <w:tc>
          <w:tcPr>
            <w:tcW w:w="1607" w:type="dxa"/>
          </w:tcPr>
          <w:p>
            <w:pPr>
              <w:pStyle w:val="TableParagraph"/>
              <w:rPr>
                <w:rFonts w:ascii="Times New Roman"/>
                <w:sz w:val="20"/>
              </w:rPr>
            </w:pPr>
          </w:p>
        </w:tc>
      </w:tr>
    </w:tbl>
    <w:p>
      <w:pPr>
        <w:spacing w:after="0"/>
        <w:rPr>
          <w:rFonts w:ascii="Times New Roman"/>
          <w:sz w:val="20"/>
        </w:rPr>
        <w:sectPr>
          <w:pgSz w:w="11910" w:h="16840"/>
          <w:pgMar w:header="882" w:footer="1184" w:top="1120" w:bottom="1380" w:left="1480" w:right="0"/>
        </w:sectPr>
      </w:pPr>
    </w:p>
    <w:p>
      <w:pPr>
        <w:pStyle w:val="BodyText"/>
        <w:ind w:left="0"/>
        <w:rPr>
          <w:sz w:val="20"/>
        </w:rPr>
      </w:pPr>
    </w:p>
    <w:p>
      <w:pPr>
        <w:pStyle w:val="BodyText"/>
        <w:spacing w:before="4"/>
        <w:ind w:left="0"/>
        <w:rPr>
          <w:sz w:val="15"/>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3"/>
        <w:gridCol w:w="1980"/>
        <w:gridCol w:w="1530"/>
        <w:gridCol w:w="1676"/>
        <w:gridCol w:w="1403"/>
      </w:tblGrid>
      <w:tr>
        <w:trPr>
          <w:trHeight w:val="255" w:hRule="atLeast"/>
        </w:trPr>
        <w:tc>
          <w:tcPr>
            <w:tcW w:w="1703" w:type="dxa"/>
          </w:tcPr>
          <w:p>
            <w:pPr>
              <w:pStyle w:val="TableParagraph"/>
              <w:spacing w:line="227" w:lineRule="exact"/>
              <w:ind w:left="200"/>
              <w:rPr>
                <w:sz w:val="20"/>
              </w:rPr>
            </w:pPr>
            <w:r>
              <w:rPr>
                <w:w w:val="95"/>
                <w:sz w:val="20"/>
              </w:rPr>
              <w:t>货币资金</w:t>
            </w:r>
          </w:p>
        </w:tc>
        <w:tc>
          <w:tcPr>
            <w:tcW w:w="1980" w:type="dxa"/>
          </w:tcPr>
          <w:p>
            <w:pPr>
              <w:pStyle w:val="TableParagraph"/>
              <w:spacing w:line="228" w:lineRule="exact"/>
              <w:ind w:right="187"/>
              <w:jc w:val="right"/>
              <w:rPr>
                <w:rFonts w:ascii="Arial MT"/>
                <w:sz w:val="20"/>
              </w:rPr>
            </w:pPr>
            <w:r>
              <w:rPr>
                <w:rFonts w:ascii="Arial MT"/>
                <w:sz w:val="20"/>
              </w:rPr>
              <w:t>7,174,339</w:t>
            </w:r>
          </w:p>
        </w:tc>
        <w:tc>
          <w:tcPr>
            <w:tcW w:w="1530" w:type="dxa"/>
          </w:tcPr>
          <w:p>
            <w:pPr>
              <w:pStyle w:val="TableParagraph"/>
              <w:spacing w:line="228" w:lineRule="exact"/>
              <w:ind w:right="183"/>
              <w:jc w:val="right"/>
              <w:rPr>
                <w:rFonts w:ascii="Arial MT"/>
                <w:sz w:val="20"/>
              </w:rPr>
            </w:pPr>
            <w:r>
              <w:rPr>
                <w:rFonts w:ascii="Arial MT"/>
                <w:sz w:val="20"/>
              </w:rPr>
              <w:t>6,035</w:t>
            </w:r>
          </w:p>
        </w:tc>
        <w:tc>
          <w:tcPr>
            <w:tcW w:w="1676" w:type="dxa"/>
          </w:tcPr>
          <w:p>
            <w:pPr>
              <w:pStyle w:val="TableParagraph"/>
              <w:spacing w:line="228" w:lineRule="exact"/>
              <w:ind w:left="843"/>
              <w:rPr>
                <w:rFonts w:ascii="Arial MT"/>
                <w:sz w:val="20"/>
              </w:rPr>
            </w:pPr>
            <w:r>
              <w:rPr>
                <w:rFonts w:ascii="Arial MT"/>
                <w:sz w:val="20"/>
              </w:rPr>
              <w:t>6,633</w:t>
            </w:r>
          </w:p>
        </w:tc>
        <w:tc>
          <w:tcPr>
            <w:tcW w:w="1403" w:type="dxa"/>
          </w:tcPr>
          <w:p>
            <w:pPr>
              <w:pStyle w:val="TableParagraph"/>
              <w:spacing w:line="228" w:lineRule="exact"/>
              <w:ind w:left="307"/>
              <w:rPr>
                <w:rFonts w:ascii="Arial MT"/>
                <w:sz w:val="20"/>
              </w:rPr>
            </w:pPr>
            <w:r>
              <w:rPr>
                <w:rFonts w:ascii="Arial MT"/>
                <w:sz w:val="20"/>
              </w:rPr>
              <w:t>7,187,007</w:t>
            </w:r>
          </w:p>
        </w:tc>
      </w:tr>
      <w:tr>
        <w:trPr>
          <w:trHeight w:val="282" w:hRule="atLeast"/>
        </w:trPr>
        <w:tc>
          <w:tcPr>
            <w:tcW w:w="1703" w:type="dxa"/>
          </w:tcPr>
          <w:p>
            <w:pPr>
              <w:pStyle w:val="TableParagraph"/>
              <w:spacing w:line="255" w:lineRule="exact"/>
              <w:ind w:left="200"/>
              <w:rPr>
                <w:sz w:val="20"/>
              </w:rPr>
            </w:pPr>
            <w:r>
              <w:rPr>
                <w:w w:val="95"/>
                <w:sz w:val="20"/>
              </w:rPr>
              <w:t>应收账款</w:t>
            </w:r>
          </w:p>
        </w:tc>
        <w:tc>
          <w:tcPr>
            <w:tcW w:w="1980" w:type="dxa"/>
          </w:tcPr>
          <w:p>
            <w:pPr>
              <w:pStyle w:val="TableParagraph"/>
              <w:spacing w:before="23"/>
              <w:ind w:right="187"/>
              <w:jc w:val="right"/>
              <w:rPr>
                <w:rFonts w:ascii="Arial MT"/>
                <w:sz w:val="20"/>
              </w:rPr>
            </w:pPr>
            <w:r>
              <w:rPr>
                <w:rFonts w:ascii="Arial MT"/>
                <w:sz w:val="20"/>
              </w:rPr>
              <w:t>948,069</w:t>
            </w:r>
          </w:p>
        </w:tc>
        <w:tc>
          <w:tcPr>
            <w:tcW w:w="1530" w:type="dxa"/>
          </w:tcPr>
          <w:p>
            <w:pPr>
              <w:pStyle w:val="TableParagraph"/>
              <w:spacing w:before="23"/>
              <w:ind w:right="184"/>
              <w:jc w:val="right"/>
              <w:rPr>
                <w:rFonts w:ascii="Arial MT"/>
                <w:sz w:val="20"/>
              </w:rPr>
            </w:pPr>
            <w:r>
              <w:rPr>
                <w:rFonts w:ascii="Arial MT"/>
                <w:w w:val="99"/>
                <w:sz w:val="20"/>
              </w:rPr>
              <w:t>-</w:t>
            </w:r>
          </w:p>
        </w:tc>
        <w:tc>
          <w:tcPr>
            <w:tcW w:w="1676" w:type="dxa"/>
          </w:tcPr>
          <w:p>
            <w:pPr>
              <w:pStyle w:val="TableParagraph"/>
              <w:spacing w:before="23"/>
              <w:ind w:left="843"/>
              <w:rPr>
                <w:rFonts w:ascii="Arial MT"/>
                <w:sz w:val="20"/>
              </w:rPr>
            </w:pPr>
            <w:r>
              <w:rPr>
                <w:rFonts w:ascii="Arial MT"/>
                <w:sz w:val="20"/>
              </w:rPr>
              <w:t>2,258</w:t>
            </w:r>
          </w:p>
        </w:tc>
        <w:tc>
          <w:tcPr>
            <w:tcW w:w="1403" w:type="dxa"/>
          </w:tcPr>
          <w:p>
            <w:pPr>
              <w:pStyle w:val="TableParagraph"/>
              <w:spacing w:before="23"/>
              <w:ind w:left="476"/>
              <w:rPr>
                <w:rFonts w:ascii="Arial MT"/>
                <w:sz w:val="20"/>
              </w:rPr>
            </w:pPr>
            <w:r>
              <w:rPr>
                <w:rFonts w:ascii="Arial MT"/>
                <w:sz w:val="20"/>
              </w:rPr>
              <w:t>950,327</w:t>
            </w:r>
          </w:p>
        </w:tc>
      </w:tr>
      <w:tr>
        <w:trPr>
          <w:trHeight w:val="295" w:hRule="atLeast"/>
        </w:trPr>
        <w:tc>
          <w:tcPr>
            <w:tcW w:w="1703" w:type="dxa"/>
          </w:tcPr>
          <w:p>
            <w:pPr>
              <w:pStyle w:val="TableParagraph"/>
              <w:ind w:left="200"/>
              <w:rPr>
                <w:sz w:val="20"/>
              </w:rPr>
            </w:pPr>
            <w:r>
              <w:rPr>
                <w:w w:val="95"/>
                <w:sz w:val="20"/>
              </w:rPr>
              <w:t>其他应收款</w:t>
            </w:r>
          </w:p>
        </w:tc>
        <w:tc>
          <w:tcPr>
            <w:tcW w:w="1980" w:type="dxa"/>
          </w:tcPr>
          <w:p>
            <w:pPr>
              <w:pStyle w:val="TableParagraph"/>
              <w:tabs>
                <w:tab w:pos="1065" w:val="left" w:leader="none"/>
              </w:tabs>
              <w:spacing w:before="24"/>
              <w:ind w:right="55"/>
              <w:jc w:val="right"/>
              <w:rPr>
                <w:rFonts w:ascii="Arial MT"/>
                <w:sz w:val="20"/>
              </w:rPr>
            </w:pPr>
            <w:r>
              <w:rPr>
                <w:rFonts w:ascii="Arial MT"/>
                <w:w w:val="99"/>
                <w:sz w:val="20"/>
                <w:u w:val="single"/>
              </w:rPr>
              <w:t> </w:t>
            </w:r>
            <w:r>
              <w:rPr>
                <w:rFonts w:ascii="Arial MT"/>
                <w:sz w:val="20"/>
                <w:u w:val="single"/>
              </w:rPr>
              <w:tab/>
            </w:r>
            <w:r>
              <w:rPr>
                <w:rFonts w:ascii="Arial MT"/>
                <w:sz w:val="20"/>
                <w:u w:val="single"/>
              </w:rPr>
              <w:t>73 </w:t>
            </w:r>
            <w:r>
              <w:rPr>
                <w:rFonts w:ascii="Arial MT"/>
                <w:spacing w:val="20"/>
                <w:sz w:val="20"/>
                <w:u w:val="single"/>
              </w:rPr>
              <w:t> </w:t>
            </w:r>
          </w:p>
        </w:tc>
        <w:tc>
          <w:tcPr>
            <w:tcW w:w="1530" w:type="dxa"/>
          </w:tcPr>
          <w:p>
            <w:pPr>
              <w:pStyle w:val="TableParagraph"/>
              <w:tabs>
                <w:tab w:pos="1221" w:val="left" w:leader="none"/>
              </w:tabs>
              <w:spacing w:before="24"/>
              <w:ind w:right="56"/>
              <w:jc w:val="right"/>
              <w:rPr>
                <w:rFonts w:ascii="Arial MT"/>
                <w:sz w:val="20"/>
              </w:rPr>
            </w:pPr>
            <w:r>
              <w:rPr>
                <w:rFonts w:ascii="Arial MT"/>
                <w:w w:val="99"/>
                <w:sz w:val="20"/>
                <w:u w:val="single"/>
              </w:rPr>
              <w:t> </w:t>
            </w:r>
            <w:r>
              <w:rPr>
                <w:rFonts w:ascii="Arial MT"/>
                <w:sz w:val="20"/>
                <w:u w:val="single"/>
              </w:rPr>
              <w:tab/>
            </w:r>
            <w:r>
              <w:rPr>
                <w:rFonts w:ascii="Arial MT"/>
                <w:sz w:val="20"/>
                <w:u w:val="single"/>
              </w:rPr>
              <w:t>- </w:t>
            </w:r>
            <w:r>
              <w:rPr>
                <w:rFonts w:ascii="Arial MT"/>
                <w:spacing w:val="17"/>
                <w:sz w:val="20"/>
                <w:u w:val="single"/>
              </w:rPr>
              <w:t> </w:t>
            </w:r>
          </w:p>
        </w:tc>
        <w:tc>
          <w:tcPr>
            <w:tcW w:w="1676" w:type="dxa"/>
          </w:tcPr>
          <w:p>
            <w:pPr>
              <w:pStyle w:val="TableParagraph"/>
              <w:tabs>
                <w:tab w:pos="1275" w:val="left" w:leader="none"/>
                <w:tab w:pos="2651" w:val="left" w:leader="none"/>
              </w:tabs>
              <w:spacing w:before="24"/>
              <w:ind w:left="54" w:right="-980"/>
              <w:rPr>
                <w:rFonts w:ascii="Arial MT"/>
                <w:sz w:val="20"/>
              </w:rPr>
            </w:pPr>
            <w:r>
              <w:rPr>
                <w:rFonts w:ascii="Arial MT"/>
                <w:w w:val="99"/>
                <w:sz w:val="20"/>
                <w:u w:val="single"/>
              </w:rPr>
              <w:t> </w:t>
            </w:r>
            <w:r>
              <w:rPr>
                <w:rFonts w:ascii="Arial MT"/>
                <w:sz w:val="20"/>
                <w:u w:val="single"/>
              </w:rPr>
              <w:tab/>
            </w:r>
            <w:r>
              <w:rPr>
                <w:rFonts w:ascii="Arial MT"/>
                <w:sz w:val="20"/>
                <w:u w:val="single"/>
              </w:rPr>
              <w:t>- </w:t>
            </w:r>
            <w:r>
              <w:rPr>
                <w:rFonts w:ascii="Arial MT"/>
                <w:spacing w:val="19"/>
                <w:sz w:val="20"/>
                <w:u w:val="single"/>
              </w:rPr>
              <w:t> </w:t>
            </w:r>
            <w:r>
              <w:rPr>
                <w:rFonts w:ascii="Arial MT"/>
                <w:sz w:val="20"/>
              </w:rPr>
              <w:t> </w:t>
            </w:r>
            <w:r>
              <w:rPr>
                <w:rFonts w:ascii="Arial MT"/>
                <w:spacing w:val="1"/>
                <w:sz w:val="20"/>
              </w:rPr>
              <w:t> </w:t>
            </w:r>
            <w:r>
              <w:rPr>
                <w:rFonts w:ascii="Arial MT"/>
                <w:w w:val="99"/>
                <w:sz w:val="20"/>
                <w:u w:val="single"/>
              </w:rPr>
              <w:t> </w:t>
            </w:r>
            <w:r>
              <w:rPr>
                <w:rFonts w:ascii="Arial MT"/>
                <w:sz w:val="20"/>
                <w:u w:val="single"/>
              </w:rPr>
              <w:tab/>
            </w:r>
          </w:p>
        </w:tc>
        <w:tc>
          <w:tcPr>
            <w:tcW w:w="1403" w:type="dxa"/>
          </w:tcPr>
          <w:p>
            <w:pPr>
              <w:pStyle w:val="TableParagraph"/>
              <w:spacing w:before="24"/>
              <w:ind w:right="72"/>
              <w:jc w:val="right"/>
              <w:rPr>
                <w:rFonts w:ascii="Arial MT"/>
                <w:sz w:val="20"/>
              </w:rPr>
            </w:pPr>
            <w:r>
              <w:rPr>
                <w:rFonts w:ascii="Arial MT"/>
                <w:sz w:val="20"/>
                <w:u w:val="single"/>
              </w:rPr>
              <w:t>73 </w:t>
            </w:r>
            <w:r>
              <w:rPr>
                <w:rFonts w:ascii="Arial MT"/>
                <w:spacing w:val="20"/>
                <w:sz w:val="20"/>
                <w:u w:val="single"/>
              </w:rPr>
              <w:t> </w:t>
            </w:r>
          </w:p>
        </w:tc>
      </w:tr>
      <w:tr>
        <w:trPr>
          <w:trHeight w:val="448" w:hRule="atLeast"/>
        </w:trPr>
        <w:tc>
          <w:tcPr>
            <w:tcW w:w="1703" w:type="dxa"/>
          </w:tcPr>
          <w:p>
            <w:pPr>
              <w:pStyle w:val="TableParagraph"/>
              <w:rPr>
                <w:rFonts w:ascii="Times New Roman"/>
                <w:sz w:val="20"/>
              </w:rPr>
            </w:pPr>
          </w:p>
        </w:tc>
        <w:tc>
          <w:tcPr>
            <w:tcW w:w="1980" w:type="dxa"/>
          </w:tcPr>
          <w:p>
            <w:pPr>
              <w:pStyle w:val="TableParagraph"/>
              <w:tabs>
                <w:tab w:pos="398" w:val="left" w:leader="none"/>
              </w:tabs>
              <w:spacing w:before="21"/>
              <w:ind w:right="55"/>
              <w:jc w:val="right"/>
              <w:rPr>
                <w:rFonts w:ascii="Arial MT"/>
                <w:sz w:val="20"/>
              </w:rPr>
            </w:pPr>
            <w:r>
              <w:rPr>
                <w:rFonts w:ascii="Arial MT"/>
                <w:w w:val="99"/>
                <w:sz w:val="20"/>
                <w:u w:val="thick"/>
              </w:rPr>
              <w:t> </w:t>
            </w:r>
            <w:r>
              <w:rPr>
                <w:rFonts w:ascii="Arial MT"/>
                <w:sz w:val="20"/>
                <w:u w:val="thick"/>
              </w:rPr>
              <w:tab/>
            </w:r>
            <w:r>
              <w:rPr>
                <w:rFonts w:ascii="Arial MT"/>
                <w:sz w:val="20"/>
                <w:u w:val="thick"/>
              </w:rPr>
              <w:t>8,122,481 </w:t>
            </w:r>
            <w:r>
              <w:rPr>
                <w:rFonts w:ascii="Arial MT"/>
                <w:spacing w:val="20"/>
                <w:sz w:val="20"/>
                <w:u w:val="thick"/>
              </w:rPr>
              <w:t> </w:t>
            </w:r>
          </w:p>
        </w:tc>
        <w:tc>
          <w:tcPr>
            <w:tcW w:w="1530" w:type="dxa"/>
          </w:tcPr>
          <w:p>
            <w:pPr>
              <w:pStyle w:val="TableParagraph"/>
              <w:tabs>
                <w:tab w:pos="789" w:val="left" w:leader="none"/>
              </w:tabs>
              <w:spacing w:before="21"/>
              <w:ind w:right="56"/>
              <w:jc w:val="right"/>
              <w:rPr>
                <w:rFonts w:ascii="Arial MT"/>
                <w:sz w:val="20"/>
              </w:rPr>
            </w:pPr>
            <w:r>
              <w:rPr>
                <w:rFonts w:ascii="Arial MT"/>
                <w:w w:val="99"/>
                <w:sz w:val="20"/>
                <w:u w:val="thick"/>
              </w:rPr>
              <w:t> </w:t>
            </w:r>
            <w:r>
              <w:rPr>
                <w:rFonts w:ascii="Arial MT"/>
                <w:sz w:val="20"/>
                <w:u w:val="thick"/>
              </w:rPr>
              <w:tab/>
            </w:r>
            <w:r>
              <w:rPr>
                <w:rFonts w:ascii="Arial MT"/>
                <w:sz w:val="20"/>
                <w:u w:val="thick"/>
              </w:rPr>
              <w:t>6,035 </w:t>
            </w:r>
            <w:r>
              <w:rPr>
                <w:rFonts w:ascii="Arial MT"/>
                <w:spacing w:val="16"/>
                <w:sz w:val="20"/>
                <w:u w:val="thick"/>
              </w:rPr>
              <w:t> </w:t>
            </w:r>
          </w:p>
        </w:tc>
        <w:tc>
          <w:tcPr>
            <w:tcW w:w="1676" w:type="dxa"/>
          </w:tcPr>
          <w:p>
            <w:pPr>
              <w:pStyle w:val="TableParagraph"/>
              <w:tabs>
                <w:tab w:pos="843" w:val="left" w:leader="none"/>
                <w:tab w:pos="1983" w:val="left" w:leader="none"/>
              </w:tabs>
              <w:spacing w:before="21"/>
              <w:ind w:left="54" w:right="-317"/>
              <w:rPr>
                <w:rFonts w:ascii="Arial MT"/>
                <w:sz w:val="20"/>
              </w:rPr>
            </w:pPr>
            <w:r>
              <w:rPr>
                <w:rFonts w:ascii="Arial MT"/>
                <w:w w:val="99"/>
                <w:sz w:val="20"/>
                <w:u w:val="thick"/>
              </w:rPr>
              <w:t> </w:t>
            </w:r>
            <w:r>
              <w:rPr>
                <w:rFonts w:ascii="Arial MT"/>
                <w:sz w:val="20"/>
                <w:u w:val="thick"/>
              </w:rPr>
              <w:tab/>
            </w:r>
            <w:r>
              <w:rPr>
                <w:rFonts w:ascii="Arial MT"/>
                <w:sz w:val="20"/>
                <w:u w:val="thick"/>
              </w:rPr>
              <w:t>8,891 </w:t>
            </w:r>
            <w:r>
              <w:rPr>
                <w:rFonts w:ascii="Arial MT"/>
                <w:spacing w:val="18"/>
                <w:sz w:val="20"/>
                <w:u w:val="thick"/>
              </w:rPr>
              <w:t> </w:t>
            </w:r>
            <w:r>
              <w:rPr>
                <w:rFonts w:ascii="Arial MT"/>
                <w:sz w:val="20"/>
              </w:rPr>
              <w:t> </w:t>
            </w:r>
            <w:r>
              <w:rPr>
                <w:rFonts w:ascii="Arial MT"/>
                <w:spacing w:val="1"/>
                <w:sz w:val="20"/>
              </w:rPr>
              <w:t> </w:t>
            </w:r>
            <w:r>
              <w:rPr>
                <w:rFonts w:ascii="Arial MT"/>
                <w:w w:val="99"/>
                <w:sz w:val="20"/>
                <w:u w:val="thick"/>
              </w:rPr>
              <w:t> </w:t>
            </w:r>
            <w:r>
              <w:rPr>
                <w:rFonts w:ascii="Arial MT"/>
                <w:sz w:val="20"/>
                <w:u w:val="thick"/>
              </w:rPr>
              <w:tab/>
            </w:r>
          </w:p>
        </w:tc>
        <w:tc>
          <w:tcPr>
            <w:tcW w:w="1403" w:type="dxa"/>
          </w:tcPr>
          <w:p>
            <w:pPr>
              <w:pStyle w:val="TableParagraph"/>
              <w:spacing w:before="21"/>
              <w:ind w:right="72"/>
              <w:jc w:val="right"/>
              <w:rPr>
                <w:rFonts w:ascii="Arial MT"/>
                <w:sz w:val="20"/>
              </w:rPr>
            </w:pPr>
            <w:r>
              <w:rPr>
                <w:rFonts w:ascii="Arial MT"/>
                <w:sz w:val="20"/>
                <w:u w:val="thick"/>
              </w:rPr>
              <w:t>8,137,407 </w:t>
            </w:r>
            <w:r>
              <w:rPr>
                <w:rFonts w:ascii="Arial MT"/>
                <w:spacing w:val="20"/>
                <w:sz w:val="20"/>
                <w:u w:val="thick"/>
              </w:rPr>
              <w:t> </w:t>
            </w:r>
          </w:p>
        </w:tc>
      </w:tr>
      <w:tr>
        <w:trPr>
          <w:trHeight w:val="421" w:hRule="atLeast"/>
        </w:trPr>
        <w:tc>
          <w:tcPr>
            <w:tcW w:w="8292" w:type="dxa"/>
            <w:gridSpan w:val="5"/>
          </w:tcPr>
          <w:p>
            <w:pPr>
              <w:pStyle w:val="TableParagraph"/>
              <w:spacing w:line="256" w:lineRule="exact" w:before="145"/>
              <w:ind w:left="200"/>
              <w:rPr>
                <w:rFonts w:ascii="Arial MT" w:hAnsi="Arial MT" w:eastAsia="Arial MT"/>
                <w:sz w:val="20"/>
              </w:rPr>
            </w:pPr>
            <w:r>
              <w:rPr>
                <w:spacing w:val="5"/>
                <w:w w:val="95"/>
                <w:sz w:val="20"/>
              </w:rPr>
              <w:t>非本位币金融负债 </w:t>
            </w:r>
            <w:r>
              <w:rPr>
                <w:rFonts w:ascii="Arial MT" w:hAnsi="Arial MT" w:eastAsia="Arial MT"/>
                <w:w w:val="95"/>
                <w:sz w:val="20"/>
              </w:rPr>
              <w:t>—</w:t>
            </w:r>
          </w:p>
        </w:tc>
      </w:tr>
      <w:tr>
        <w:trPr>
          <w:trHeight w:val="289" w:hRule="atLeast"/>
        </w:trPr>
        <w:tc>
          <w:tcPr>
            <w:tcW w:w="1703" w:type="dxa"/>
          </w:tcPr>
          <w:p>
            <w:pPr>
              <w:pStyle w:val="TableParagraph"/>
              <w:spacing w:before="5"/>
              <w:ind w:left="200"/>
              <w:rPr>
                <w:sz w:val="20"/>
              </w:rPr>
            </w:pPr>
            <w:r>
              <w:rPr>
                <w:w w:val="95"/>
                <w:sz w:val="20"/>
              </w:rPr>
              <w:t>短期借款</w:t>
            </w:r>
          </w:p>
        </w:tc>
        <w:tc>
          <w:tcPr>
            <w:tcW w:w="1980" w:type="dxa"/>
          </w:tcPr>
          <w:p>
            <w:pPr>
              <w:pStyle w:val="TableParagraph"/>
              <w:spacing w:before="31"/>
              <w:ind w:right="187"/>
              <w:jc w:val="right"/>
              <w:rPr>
                <w:rFonts w:ascii="Arial MT"/>
                <w:sz w:val="20"/>
              </w:rPr>
            </w:pPr>
            <w:r>
              <w:rPr>
                <w:rFonts w:ascii="Arial MT"/>
                <w:sz w:val="20"/>
              </w:rPr>
              <w:t>19,781,569</w:t>
            </w:r>
          </w:p>
        </w:tc>
        <w:tc>
          <w:tcPr>
            <w:tcW w:w="1530" w:type="dxa"/>
          </w:tcPr>
          <w:p>
            <w:pPr>
              <w:pStyle w:val="TableParagraph"/>
              <w:spacing w:before="31"/>
              <w:ind w:right="184"/>
              <w:jc w:val="right"/>
              <w:rPr>
                <w:rFonts w:ascii="Arial MT"/>
                <w:sz w:val="20"/>
              </w:rPr>
            </w:pPr>
            <w:r>
              <w:rPr>
                <w:rFonts w:ascii="Arial MT"/>
                <w:w w:val="99"/>
                <w:sz w:val="20"/>
              </w:rPr>
              <w:t>-</w:t>
            </w:r>
          </w:p>
        </w:tc>
        <w:tc>
          <w:tcPr>
            <w:tcW w:w="1676" w:type="dxa"/>
          </w:tcPr>
          <w:p>
            <w:pPr>
              <w:pStyle w:val="TableParagraph"/>
              <w:spacing w:before="31"/>
              <w:ind w:right="331"/>
              <w:jc w:val="right"/>
              <w:rPr>
                <w:rFonts w:ascii="Arial MT"/>
                <w:sz w:val="20"/>
              </w:rPr>
            </w:pPr>
            <w:r>
              <w:rPr>
                <w:rFonts w:ascii="Arial MT"/>
                <w:w w:val="99"/>
                <w:sz w:val="20"/>
              </w:rPr>
              <w:t>-</w:t>
            </w:r>
          </w:p>
        </w:tc>
        <w:tc>
          <w:tcPr>
            <w:tcW w:w="1403" w:type="dxa"/>
          </w:tcPr>
          <w:p>
            <w:pPr>
              <w:pStyle w:val="TableParagraph"/>
              <w:spacing w:before="31"/>
              <w:ind w:left="197"/>
              <w:rPr>
                <w:rFonts w:ascii="Arial MT"/>
                <w:sz w:val="20"/>
              </w:rPr>
            </w:pPr>
            <w:r>
              <w:rPr>
                <w:rFonts w:ascii="Arial MT"/>
                <w:sz w:val="20"/>
              </w:rPr>
              <w:t>19,781,569</w:t>
            </w:r>
          </w:p>
        </w:tc>
      </w:tr>
      <w:tr>
        <w:trPr>
          <w:trHeight w:val="283" w:hRule="atLeast"/>
        </w:trPr>
        <w:tc>
          <w:tcPr>
            <w:tcW w:w="1703" w:type="dxa"/>
          </w:tcPr>
          <w:p>
            <w:pPr>
              <w:pStyle w:val="TableParagraph"/>
              <w:spacing w:line="255" w:lineRule="exact"/>
              <w:ind w:left="200"/>
              <w:rPr>
                <w:sz w:val="20"/>
              </w:rPr>
            </w:pPr>
            <w:r>
              <w:rPr>
                <w:w w:val="95"/>
                <w:sz w:val="20"/>
              </w:rPr>
              <w:t>应付账款</w:t>
            </w:r>
          </w:p>
        </w:tc>
        <w:tc>
          <w:tcPr>
            <w:tcW w:w="1980" w:type="dxa"/>
          </w:tcPr>
          <w:p>
            <w:pPr>
              <w:pStyle w:val="TableParagraph"/>
              <w:spacing w:before="25"/>
              <w:ind w:right="187"/>
              <w:jc w:val="right"/>
              <w:rPr>
                <w:rFonts w:ascii="Arial MT"/>
                <w:sz w:val="20"/>
              </w:rPr>
            </w:pPr>
            <w:r>
              <w:rPr>
                <w:rFonts w:ascii="Arial MT"/>
                <w:sz w:val="20"/>
              </w:rPr>
              <w:t>10,125,135</w:t>
            </w:r>
          </w:p>
        </w:tc>
        <w:tc>
          <w:tcPr>
            <w:tcW w:w="1530" w:type="dxa"/>
          </w:tcPr>
          <w:p>
            <w:pPr>
              <w:pStyle w:val="TableParagraph"/>
              <w:spacing w:before="25"/>
              <w:ind w:right="183"/>
              <w:jc w:val="right"/>
              <w:rPr>
                <w:rFonts w:ascii="Arial MT"/>
                <w:sz w:val="20"/>
              </w:rPr>
            </w:pPr>
            <w:r>
              <w:rPr>
                <w:rFonts w:ascii="Arial MT"/>
                <w:sz w:val="20"/>
              </w:rPr>
              <w:t>7,350</w:t>
            </w:r>
          </w:p>
        </w:tc>
        <w:tc>
          <w:tcPr>
            <w:tcW w:w="1676" w:type="dxa"/>
          </w:tcPr>
          <w:p>
            <w:pPr>
              <w:pStyle w:val="TableParagraph"/>
              <w:spacing w:before="25"/>
              <w:ind w:left="843"/>
              <w:rPr>
                <w:rFonts w:ascii="Arial MT"/>
                <w:sz w:val="20"/>
              </w:rPr>
            </w:pPr>
            <w:r>
              <w:rPr>
                <w:rFonts w:ascii="Arial MT"/>
                <w:sz w:val="20"/>
              </w:rPr>
              <w:t>7,285</w:t>
            </w:r>
          </w:p>
        </w:tc>
        <w:tc>
          <w:tcPr>
            <w:tcW w:w="1403" w:type="dxa"/>
          </w:tcPr>
          <w:p>
            <w:pPr>
              <w:pStyle w:val="TableParagraph"/>
              <w:spacing w:before="25"/>
              <w:ind w:left="197"/>
              <w:rPr>
                <w:rFonts w:ascii="Arial MT"/>
                <w:sz w:val="20"/>
              </w:rPr>
            </w:pPr>
            <w:r>
              <w:rPr>
                <w:rFonts w:ascii="Arial MT"/>
                <w:sz w:val="20"/>
              </w:rPr>
              <w:t>10,139,770</w:t>
            </w:r>
          </w:p>
        </w:tc>
      </w:tr>
      <w:tr>
        <w:trPr>
          <w:trHeight w:val="295" w:hRule="atLeast"/>
        </w:trPr>
        <w:tc>
          <w:tcPr>
            <w:tcW w:w="1703" w:type="dxa"/>
          </w:tcPr>
          <w:p>
            <w:pPr>
              <w:pStyle w:val="TableParagraph"/>
              <w:spacing w:line="255" w:lineRule="exact"/>
              <w:ind w:left="200"/>
              <w:rPr>
                <w:sz w:val="20"/>
              </w:rPr>
            </w:pPr>
            <w:r>
              <w:rPr>
                <w:w w:val="95"/>
                <w:sz w:val="20"/>
              </w:rPr>
              <w:t>其他应付款</w:t>
            </w:r>
          </w:p>
        </w:tc>
        <w:tc>
          <w:tcPr>
            <w:tcW w:w="1980" w:type="dxa"/>
          </w:tcPr>
          <w:p>
            <w:pPr>
              <w:pStyle w:val="TableParagraph"/>
              <w:tabs>
                <w:tab w:pos="566" w:val="left" w:leader="none"/>
              </w:tabs>
              <w:spacing w:before="25"/>
              <w:ind w:right="55"/>
              <w:jc w:val="right"/>
              <w:rPr>
                <w:rFonts w:ascii="Arial MT"/>
                <w:sz w:val="20"/>
              </w:rPr>
            </w:pPr>
            <w:r>
              <w:rPr>
                <w:rFonts w:ascii="Arial MT"/>
                <w:w w:val="99"/>
                <w:sz w:val="20"/>
                <w:u w:val="single"/>
              </w:rPr>
              <w:t> </w:t>
            </w:r>
            <w:r>
              <w:rPr>
                <w:rFonts w:ascii="Arial MT"/>
                <w:sz w:val="20"/>
                <w:u w:val="single"/>
              </w:rPr>
              <w:tab/>
            </w:r>
            <w:r>
              <w:rPr>
                <w:rFonts w:ascii="Arial MT"/>
                <w:sz w:val="20"/>
                <w:u w:val="single"/>
              </w:rPr>
              <w:t>522,005 </w:t>
            </w:r>
            <w:r>
              <w:rPr>
                <w:rFonts w:ascii="Arial MT"/>
                <w:spacing w:val="20"/>
                <w:sz w:val="20"/>
                <w:u w:val="single"/>
              </w:rPr>
              <w:t> </w:t>
            </w:r>
          </w:p>
        </w:tc>
        <w:tc>
          <w:tcPr>
            <w:tcW w:w="1530" w:type="dxa"/>
          </w:tcPr>
          <w:p>
            <w:pPr>
              <w:pStyle w:val="TableParagraph"/>
              <w:tabs>
                <w:tab w:pos="676" w:val="left" w:leader="none"/>
              </w:tabs>
              <w:spacing w:before="25"/>
              <w:ind w:right="56"/>
              <w:jc w:val="right"/>
              <w:rPr>
                <w:rFonts w:ascii="Arial MT"/>
                <w:sz w:val="20"/>
              </w:rPr>
            </w:pPr>
            <w:r>
              <w:rPr>
                <w:rFonts w:ascii="Arial MT"/>
                <w:w w:val="99"/>
                <w:sz w:val="20"/>
                <w:u w:val="single"/>
              </w:rPr>
              <w:t> </w:t>
            </w:r>
            <w:r>
              <w:rPr>
                <w:rFonts w:ascii="Arial MT"/>
                <w:sz w:val="20"/>
                <w:u w:val="single"/>
              </w:rPr>
              <w:tab/>
            </w:r>
            <w:r>
              <w:rPr>
                <w:rFonts w:ascii="Arial MT"/>
                <w:sz w:val="20"/>
                <w:u w:val="single"/>
              </w:rPr>
              <w:t>11,254 </w:t>
            </w:r>
            <w:r>
              <w:rPr>
                <w:rFonts w:ascii="Arial MT"/>
                <w:spacing w:val="18"/>
                <w:sz w:val="20"/>
                <w:u w:val="single"/>
              </w:rPr>
              <w:t> </w:t>
            </w:r>
          </w:p>
        </w:tc>
        <w:tc>
          <w:tcPr>
            <w:tcW w:w="1676" w:type="dxa"/>
          </w:tcPr>
          <w:p>
            <w:pPr>
              <w:pStyle w:val="TableParagraph"/>
              <w:tabs>
                <w:tab w:pos="1119" w:val="left" w:leader="none"/>
                <w:tab w:pos="2152" w:val="left" w:leader="none"/>
              </w:tabs>
              <w:spacing w:before="25"/>
              <w:ind w:left="54" w:right="-490"/>
              <w:rPr>
                <w:rFonts w:ascii="Arial MT"/>
                <w:sz w:val="20"/>
              </w:rPr>
            </w:pPr>
            <w:r>
              <w:rPr>
                <w:rFonts w:ascii="Arial MT"/>
                <w:w w:val="99"/>
                <w:sz w:val="20"/>
                <w:u w:val="single"/>
              </w:rPr>
              <w:t> </w:t>
            </w:r>
            <w:r>
              <w:rPr>
                <w:rFonts w:ascii="Arial MT"/>
                <w:sz w:val="20"/>
                <w:u w:val="single"/>
              </w:rPr>
              <w:tab/>
            </w:r>
            <w:r>
              <w:rPr>
                <w:rFonts w:ascii="Arial MT"/>
                <w:sz w:val="20"/>
                <w:u w:val="single"/>
              </w:rPr>
              <w:t>74 </w:t>
            </w:r>
            <w:r>
              <w:rPr>
                <w:rFonts w:ascii="Arial MT"/>
                <w:spacing w:val="20"/>
                <w:sz w:val="20"/>
                <w:u w:val="single"/>
              </w:rPr>
              <w:t> </w:t>
            </w:r>
            <w:r>
              <w:rPr>
                <w:rFonts w:ascii="Arial MT"/>
                <w:sz w:val="20"/>
              </w:rPr>
              <w:t> </w:t>
            </w:r>
            <w:r>
              <w:rPr>
                <w:rFonts w:ascii="Arial MT"/>
                <w:spacing w:val="1"/>
                <w:sz w:val="20"/>
              </w:rPr>
              <w:t> </w:t>
            </w:r>
            <w:r>
              <w:rPr>
                <w:rFonts w:ascii="Arial MT"/>
                <w:w w:val="99"/>
                <w:sz w:val="20"/>
                <w:u w:val="single"/>
              </w:rPr>
              <w:t> </w:t>
            </w:r>
            <w:r>
              <w:rPr>
                <w:rFonts w:ascii="Arial MT"/>
                <w:sz w:val="20"/>
                <w:u w:val="single"/>
              </w:rPr>
              <w:tab/>
            </w:r>
          </w:p>
        </w:tc>
        <w:tc>
          <w:tcPr>
            <w:tcW w:w="1403" w:type="dxa"/>
          </w:tcPr>
          <w:p>
            <w:pPr>
              <w:pStyle w:val="TableParagraph"/>
              <w:spacing w:before="25"/>
              <w:ind w:right="72"/>
              <w:jc w:val="right"/>
              <w:rPr>
                <w:rFonts w:ascii="Arial MT"/>
                <w:sz w:val="20"/>
              </w:rPr>
            </w:pPr>
            <w:r>
              <w:rPr>
                <w:rFonts w:ascii="Arial MT"/>
                <w:sz w:val="20"/>
                <w:u w:val="single"/>
              </w:rPr>
              <w:t>533,333 </w:t>
            </w:r>
            <w:r>
              <w:rPr>
                <w:rFonts w:ascii="Arial MT"/>
                <w:spacing w:val="20"/>
                <w:sz w:val="20"/>
                <w:u w:val="single"/>
              </w:rPr>
              <w:t> </w:t>
            </w:r>
          </w:p>
        </w:tc>
      </w:tr>
      <w:tr>
        <w:trPr>
          <w:trHeight w:val="252" w:hRule="atLeast"/>
        </w:trPr>
        <w:tc>
          <w:tcPr>
            <w:tcW w:w="1703" w:type="dxa"/>
          </w:tcPr>
          <w:p>
            <w:pPr>
              <w:pStyle w:val="TableParagraph"/>
              <w:rPr>
                <w:rFonts w:ascii="Times New Roman"/>
                <w:sz w:val="18"/>
              </w:rPr>
            </w:pPr>
          </w:p>
        </w:tc>
        <w:tc>
          <w:tcPr>
            <w:tcW w:w="1980" w:type="dxa"/>
          </w:tcPr>
          <w:p>
            <w:pPr>
              <w:pStyle w:val="TableParagraph"/>
              <w:tabs>
                <w:tab w:pos="287" w:val="left" w:leader="none"/>
              </w:tabs>
              <w:spacing w:line="210" w:lineRule="exact" w:before="22"/>
              <w:ind w:right="55"/>
              <w:jc w:val="right"/>
              <w:rPr>
                <w:rFonts w:ascii="Arial MT"/>
                <w:sz w:val="20"/>
              </w:rPr>
            </w:pPr>
            <w:r>
              <w:rPr>
                <w:rFonts w:ascii="Arial MT"/>
                <w:w w:val="99"/>
                <w:sz w:val="20"/>
                <w:u w:val="thick"/>
              </w:rPr>
              <w:t> </w:t>
            </w:r>
            <w:r>
              <w:rPr>
                <w:rFonts w:ascii="Arial MT"/>
                <w:sz w:val="20"/>
                <w:u w:val="thick"/>
              </w:rPr>
              <w:tab/>
            </w:r>
            <w:r>
              <w:rPr>
                <w:rFonts w:ascii="Arial MT"/>
                <w:sz w:val="20"/>
                <w:u w:val="thick"/>
              </w:rPr>
              <w:t>30,428,709 </w:t>
            </w:r>
            <w:r>
              <w:rPr>
                <w:rFonts w:ascii="Arial MT"/>
                <w:spacing w:val="20"/>
                <w:sz w:val="20"/>
                <w:u w:val="thick"/>
              </w:rPr>
              <w:t> </w:t>
            </w:r>
          </w:p>
        </w:tc>
        <w:tc>
          <w:tcPr>
            <w:tcW w:w="1530" w:type="dxa"/>
          </w:tcPr>
          <w:p>
            <w:pPr>
              <w:pStyle w:val="TableParagraph"/>
              <w:tabs>
                <w:tab w:pos="676" w:val="left" w:leader="none"/>
              </w:tabs>
              <w:spacing w:line="210" w:lineRule="exact" w:before="22"/>
              <w:ind w:right="56"/>
              <w:jc w:val="right"/>
              <w:rPr>
                <w:rFonts w:ascii="Arial MT"/>
                <w:sz w:val="20"/>
              </w:rPr>
            </w:pPr>
            <w:r>
              <w:rPr>
                <w:rFonts w:ascii="Arial MT"/>
                <w:w w:val="99"/>
                <w:sz w:val="20"/>
                <w:u w:val="thick"/>
              </w:rPr>
              <w:t> </w:t>
            </w:r>
            <w:r>
              <w:rPr>
                <w:rFonts w:ascii="Arial MT"/>
                <w:sz w:val="20"/>
                <w:u w:val="thick"/>
              </w:rPr>
              <w:tab/>
            </w:r>
            <w:r>
              <w:rPr>
                <w:rFonts w:ascii="Arial MT"/>
                <w:sz w:val="20"/>
                <w:u w:val="thick"/>
              </w:rPr>
              <w:t>18,604 </w:t>
            </w:r>
            <w:r>
              <w:rPr>
                <w:rFonts w:ascii="Arial MT"/>
                <w:spacing w:val="18"/>
                <w:sz w:val="20"/>
                <w:u w:val="thick"/>
              </w:rPr>
              <w:t> </w:t>
            </w:r>
          </w:p>
        </w:tc>
        <w:tc>
          <w:tcPr>
            <w:tcW w:w="1676" w:type="dxa"/>
          </w:tcPr>
          <w:p>
            <w:pPr>
              <w:pStyle w:val="TableParagraph"/>
              <w:tabs>
                <w:tab w:pos="843" w:val="left" w:leader="none"/>
                <w:tab w:pos="1873" w:val="left" w:leader="none"/>
              </w:tabs>
              <w:spacing w:line="210" w:lineRule="exact" w:before="22"/>
              <w:ind w:left="54" w:right="-202"/>
              <w:rPr>
                <w:rFonts w:ascii="Arial MT"/>
                <w:sz w:val="20"/>
              </w:rPr>
            </w:pPr>
            <w:r>
              <w:rPr>
                <w:rFonts w:ascii="Arial MT"/>
                <w:w w:val="99"/>
                <w:sz w:val="20"/>
                <w:u w:val="thick"/>
              </w:rPr>
              <w:t> </w:t>
            </w:r>
            <w:r>
              <w:rPr>
                <w:rFonts w:ascii="Arial MT"/>
                <w:sz w:val="20"/>
                <w:u w:val="thick"/>
              </w:rPr>
              <w:tab/>
            </w:r>
            <w:r>
              <w:rPr>
                <w:rFonts w:ascii="Arial MT"/>
                <w:sz w:val="20"/>
                <w:u w:val="thick"/>
              </w:rPr>
              <w:t>7,359 </w:t>
            </w:r>
            <w:r>
              <w:rPr>
                <w:rFonts w:ascii="Arial MT"/>
                <w:spacing w:val="18"/>
                <w:sz w:val="20"/>
                <w:u w:val="thick"/>
              </w:rPr>
              <w:t> </w:t>
            </w:r>
            <w:r>
              <w:rPr>
                <w:rFonts w:ascii="Arial MT"/>
                <w:sz w:val="20"/>
              </w:rPr>
              <w:t> </w:t>
            </w:r>
            <w:r>
              <w:rPr>
                <w:rFonts w:ascii="Arial MT"/>
                <w:spacing w:val="1"/>
                <w:sz w:val="20"/>
              </w:rPr>
              <w:t> </w:t>
            </w:r>
            <w:r>
              <w:rPr>
                <w:rFonts w:ascii="Arial MT"/>
                <w:w w:val="99"/>
                <w:sz w:val="20"/>
                <w:u w:val="thick"/>
              </w:rPr>
              <w:t> </w:t>
            </w:r>
            <w:r>
              <w:rPr>
                <w:rFonts w:ascii="Arial MT"/>
                <w:sz w:val="20"/>
                <w:u w:val="thick"/>
              </w:rPr>
              <w:tab/>
            </w:r>
          </w:p>
        </w:tc>
        <w:tc>
          <w:tcPr>
            <w:tcW w:w="1403" w:type="dxa"/>
          </w:tcPr>
          <w:p>
            <w:pPr>
              <w:pStyle w:val="TableParagraph"/>
              <w:spacing w:line="210" w:lineRule="exact" w:before="22"/>
              <w:ind w:right="72"/>
              <w:jc w:val="right"/>
              <w:rPr>
                <w:rFonts w:ascii="Arial MT"/>
                <w:sz w:val="20"/>
              </w:rPr>
            </w:pPr>
            <w:r>
              <w:rPr>
                <w:rFonts w:ascii="Arial MT"/>
                <w:sz w:val="20"/>
                <w:u w:val="thick"/>
              </w:rPr>
              <w:t>30,454,672 </w:t>
            </w:r>
            <w:r>
              <w:rPr>
                <w:rFonts w:ascii="Arial MT"/>
                <w:spacing w:val="21"/>
                <w:sz w:val="20"/>
                <w:u w:val="thick"/>
              </w:rPr>
              <w:t> </w:t>
            </w:r>
          </w:p>
        </w:tc>
      </w:tr>
    </w:tbl>
    <w:p>
      <w:pPr>
        <w:pStyle w:val="BodyText"/>
        <w:spacing w:before="5"/>
        <w:ind w:left="0"/>
        <w:rPr>
          <w:sz w:val="20"/>
        </w:rPr>
      </w:pPr>
    </w:p>
    <w:p>
      <w:pPr>
        <w:pStyle w:val="BodyText"/>
        <w:spacing w:line="242" w:lineRule="auto" w:before="72"/>
        <w:ind w:right="1279"/>
      </w:pPr>
      <w:r>
        <w:rPr>
          <w:spacing w:val="-27"/>
        </w:rPr>
        <w:t>于 </w:t>
      </w:r>
      <w:r>
        <w:rPr/>
        <w:t>2022</w:t>
      </w:r>
      <w:r>
        <w:rPr>
          <w:spacing w:val="-37"/>
        </w:rPr>
        <w:t> 年 </w:t>
      </w:r>
      <w:r>
        <w:rPr/>
        <w:t>12</w:t>
      </w:r>
      <w:r>
        <w:rPr>
          <w:spacing w:val="-37"/>
        </w:rPr>
        <w:t> 月 </w:t>
      </w:r>
      <w:r>
        <w:rPr/>
        <w:t>31</w:t>
      </w:r>
      <w:r>
        <w:rPr>
          <w:spacing w:val="-8"/>
        </w:rPr>
        <w:t> 日，对于记账本位币为人民币的公司持有的美元金融资产和美元金融负债，</w:t>
      </w:r>
      <w:r>
        <w:rPr>
          <w:spacing w:val="1"/>
        </w:rPr>
        <w:t> </w:t>
      </w:r>
      <w:r>
        <w:rPr>
          <w:spacing w:val="-5"/>
        </w:rPr>
        <w:t>如果人民币对美元升值或贬值 </w:t>
      </w:r>
      <w:r>
        <w:rPr/>
        <w:t>4%，其他因素保持不变，则本集团将增加或减少净利润人民币约</w:t>
      </w:r>
      <w:r>
        <w:rPr>
          <w:spacing w:val="-1"/>
        </w:rPr>
        <w:t>565,778</w:t>
      </w:r>
      <w:r>
        <w:rPr>
          <w:spacing w:val="-10"/>
        </w:rPr>
        <w:t> 千元；对于各类港币金融资产和港币金融负债，如果人民币对港币升值或贬值 </w:t>
      </w:r>
      <w:r>
        <w:rPr/>
        <w:t>4%，其他</w:t>
      </w:r>
    </w:p>
    <w:p>
      <w:pPr>
        <w:pStyle w:val="BodyText"/>
        <w:spacing w:before="1"/>
      </w:pPr>
      <w:r>
        <w:rPr>
          <w:spacing w:val="-4"/>
        </w:rPr>
        <w:t>因素保持不变，则本集团将增加或减少净利润约 </w:t>
      </w:r>
      <w:r>
        <w:rPr/>
        <w:t>394</w:t>
      </w:r>
      <w:r>
        <w:rPr>
          <w:spacing w:val="-14"/>
        </w:rPr>
        <w:t> 千元。</w:t>
      </w:r>
      <w:r>
        <w:rPr/>
        <w:t> </w:t>
      </w:r>
    </w:p>
    <w:p>
      <w:pPr>
        <w:pStyle w:val="BodyText"/>
        <w:spacing w:before="5"/>
      </w:pPr>
      <w:r>
        <w:rPr>
          <w:w w:val="100"/>
        </w:rPr>
        <w:t> </w:t>
      </w:r>
    </w:p>
    <w:p>
      <w:pPr>
        <w:pStyle w:val="BodyText"/>
        <w:spacing w:line="242" w:lineRule="auto" w:before="2"/>
        <w:ind w:right="1279"/>
      </w:pPr>
      <w:r>
        <w:rPr>
          <w:spacing w:val="-27"/>
        </w:rPr>
        <w:t>于 </w:t>
      </w:r>
      <w:r>
        <w:rPr/>
        <w:t>2021</w:t>
      </w:r>
      <w:r>
        <w:rPr>
          <w:spacing w:val="-37"/>
        </w:rPr>
        <w:t> 年 </w:t>
      </w:r>
      <w:r>
        <w:rPr/>
        <w:t>12</w:t>
      </w:r>
      <w:r>
        <w:rPr>
          <w:spacing w:val="-37"/>
        </w:rPr>
        <w:t> 月 </w:t>
      </w:r>
      <w:r>
        <w:rPr/>
        <w:t>31</w:t>
      </w:r>
      <w:r>
        <w:rPr>
          <w:spacing w:val="-8"/>
        </w:rPr>
        <w:t> 日，对于记账本位币为人民币的公司持有的美元金融资产和美元金融负债，</w:t>
      </w:r>
      <w:r>
        <w:rPr>
          <w:spacing w:val="1"/>
        </w:rPr>
        <w:t> </w:t>
      </w:r>
      <w:r>
        <w:rPr>
          <w:spacing w:val="-5"/>
        </w:rPr>
        <w:t>如果人民币对美元升值或贬值 </w:t>
      </w:r>
      <w:r>
        <w:rPr/>
        <w:t>4%，其他因素保持不变，则本集团将增加或减少净利润人民币约</w:t>
      </w:r>
      <w:r>
        <w:rPr>
          <w:spacing w:val="-1"/>
        </w:rPr>
        <w:t>716,306</w:t>
      </w:r>
      <w:r>
        <w:rPr>
          <w:spacing w:val="-10"/>
        </w:rPr>
        <w:t> 千元；对于各类港币金融资产和港币金融负债，如果人民币对港币升值或贬值 </w:t>
      </w:r>
      <w:r>
        <w:rPr/>
        <w:t>4%，其他</w:t>
      </w:r>
    </w:p>
    <w:p>
      <w:pPr>
        <w:pStyle w:val="BodyText"/>
        <w:spacing w:before="3"/>
      </w:pPr>
      <w:r>
        <w:rPr>
          <w:spacing w:val="-4"/>
        </w:rPr>
        <w:t>因素保持不变，则本集团将增加或减少净利润约 </w:t>
      </w:r>
      <w:r>
        <w:rPr/>
        <w:t>388</w:t>
      </w:r>
      <w:r>
        <w:rPr>
          <w:spacing w:val="-14"/>
        </w:rPr>
        <w:t> 千元。</w:t>
      </w:r>
      <w:r>
        <w:rPr/>
        <w:t> </w:t>
      </w:r>
    </w:p>
    <w:p>
      <w:pPr>
        <w:pStyle w:val="BodyText"/>
        <w:spacing w:before="2"/>
      </w:pPr>
      <w:r>
        <w:rPr>
          <w:w w:val="100"/>
        </w:rPr>
        <w:t> </w:t>
      </w:r>
    </w:p>
    <w:p>
      <w:pPr>
        <w:pStyle w:val="ListParagraph"/>
        <w:numPr>
          <w:ilvl w:val="1"/>
          <w:numId w:val="85"/>
        </w:numPr>
        <w:tabs>
          <w:tab w:pos="636" w:val="left" w:leader="none"/>
        </w:tabs>
        <w:spacing w:line="240" w:lineRule="auto" w:before="5" w:after="0"/>
        <w:ind w:left="635" w:right="0" w:hanging="318"/>
        <w:jc w:val="left"/>
        <w:rPr>
          <w:sz w:val="21"/>
        </w:rPr>
      </w:pPr>
      <w:r>
        <w:rPr>
          <w:spacing w:val="-1"/>
          <w:sz w:val="21"/>
        </w:rPr>
        <w:t>利率风险</w:t>
      </w:r>
      <w:r>
        <w:rPr>
          <w:sz w:val="21"/>
        </w:rPr>
        <w:t> </w:t>
      </w:r>
    </w:p>
    <w:p>
      <w:pPr>
        <w:pStyle w:val="BodyText"/>
        <w:tabs>
          <w:tab w:pos="737" w:val="left" w:leader="none"/>
        </w:tabs>
        <w:spacing w:before="2"/>
      </w:pPr>
      <w:r>
        <w:rPr>
          <w:w w:val="100"/>
        </w:rPr>
        <w:t> </w:t>
      </w:r>
      <w:r>
        <w:rPr/>
        <w:tab/>
      </w:r>
      <w:r>
        <w:rPr>
          <w:w w:val="100"/>
        </w:rPr>
        <w:t> </w:t>
      </w:r>
    </w:p>
    <w:p>
      <w:pPr>
        <w:pStyle w:val="BodyText"/>
        <w:tabs>
          <w:tab w:pos="737" w:val="left" w:leader="none"/>
        </w:tabs>
        <w:spacing w:line="242" w:lineRule="auto" w:before="4"/>
        <w:ind w:right="1277"/>
      </w:pPr>
      <w:r>
        <w:rPr>
          <w:w w:val="100"/>
        </w:rPr>
        <w:t> </w:t>
      </w:r>
      <w:r>
        <w:rPr/>
        <w:tab/>
      </w:r>
      <w:r>
        <w:rPr/>
        <w:t>本集团的利率风险主要产生于长期银行借款等长期带息债务。浮动利率的金融负债使本集团面临现金流量利率风险，固定利率的金融负债使本集团面临公允价值利率风险。本集团根据当时</w:t>
      </w:r>
      <w:r>
        <w:rPr>
          <w:spacing w:val="-3"/>
        </w:rPr>
        <w:t>的市场环境来决定固定利率及浮动利率合同的相对比例。于 </w:t>
      </w:r>
      <w:r>
        <w:rPr/>
        <w:t>2022</w:t>
      </w:r>
      <w:r>
        <w:rPr>
          <w:spacing w:val="-37"/>
        </w:rPr>
        <w:t> 年 </w:t>
      </w:r>
      <w:r>
        <w:rPr/>
        <w:t>12</w:t>
      </w:r>
      <w:r>
        <w:rPr>
          <w:spacing w:val="-37"/>
        </w:rPr>
        <w:t> 月 </w:t>
      </w:r>
      <w:r>
        <w:rPr/>
        <w:t>31</w:t>
      </w:r>
      <w:r>
        <w:rPr>
          <w:spacing w:val="-8"/>
        </w:rPr>
        <w:t> 日，本集团长期带</w:t>
      </w:r>
      <w:r>
        <w:rPr>
          <w:spacing w:val="-5"/>
        </w:rPr>
        <w:t>息债务主要为美元计价挂钩 </w:t>
      </w:r>
      <w:r>
        <w:rPr/>
        <w:t>SOFR</w:t>
      </w:r>
      <w:r>
        <w:rPr>
          <w:spacing w:val="-11"/>
        </w:rPr>
        <w:t> 的浮动利率合同，金额为美元 </w:t>
      </w:r>
      <w:r>
        <w:rPr/>
        <w:t>1,100,000</w:t>
      </w:r>
      <w:r>
        <w:rPr>
          <w:spacing w:val="-8"/>
        </w:rPr>
        <w:t> 千元(折合人民币</w:t>
      </w:r>
      <w:r>
        <w:rPr>
          <w:spacing w:val="-1"/>
        </w:rPr>
        <w:t>7,665,667</w:t>
      </w:r>
      <w:r>
        <w:rPr>
          <w:spacing w:val="-19"/>
        </w:rPr>
        <w:t> 千元</w:t>
      </w:r>
      <w:r>
        <w:rPr/>
        <w:t>)(2021</w:t>
      </w:r>
      <w:r>
        <w:rPr>
          <w:spacing w:val="-37"/>
        </w:rPr>
        <w:t> 年 </w:t>
      </w:r>
      <w:r>
        <w:rPr/>
        <w:t>12</w:t>
      </w:r>
      <w:r>
        <w:rPr>
          <w:spacing w:val="-36"/>
        </w:rPr>
        <w:t> 月 </w:t>
      </w:r>
      <w:r>
        <w:rPr/>
        <w:t>31</w:t>
      </w:r>
      <w:r>
        <w:rPr>
          <w:spacing w:val="-19"/>
        </w:rPr>
        <w:t> 日：美元 </w:t>
      </w:r>
      <w:r>
        <w:rPr/>
        <w:t>600,000</w:t>
      </w:r>
      <w:r>
        <w:rPr>
          <w:spacing w:val="-13"/>
        </w:rPr>
        <w:t> 千元(折合人民币 </w:t>
      </w:r>
      <w:r>
        <w:rPr/>
        <w:t>3,814,347</w:t>
      </w:r>
      <w:r>
        <w:rPr>
          <w:spacing w:val="-8"/>
        </w:rPr>
        <w:t> 千元))(附注五</w:t>
      </w:r>
    </w:p>
    <w:p>
      <w:pPr>
        <w:pStyle w:val="BodyText"/>
        <w:spacing w:before="3"/>
      </w:pPr>
      <w:r>
        <w:rPr>
          <w:spacing w:val="-1"/>
        </w:rPr>
        <w:t>(26)</w:t>
      </w:r>
      <w:r>
        <w:rPr>
          <w:spacing w:val="-15"/>
        </w:rPr>
        <w:t>)，于 </w:t>
      </w:r>
      <w:r>
        <w:rPr/>
        <w:t>2022</w:t>
      </w:r>
      <w:r>
        <w:rPr>
          <w:spacing w:val="-36"/>
        </w:rPr>
        <w:t> 年 </w:t>
      </w:r>
      <w:r>
        <w:rPr/>
        <w:t>11</w:t>
      </w:r>
      <w:r>
        <w:rPr>
          <w:spacing w:val="-36"/>
        </w:rPr>
        <w:t> 月 </w:t>
      </w:r>
      <w:r>
        <w:rPr/>
        <w:t>25</w:t>
      </w:r>
      <w:r>
        <w:rPr>
          <w:spacing w:val="-12"/>
        </w:rPr>
        <w:t> 日，参考基准利率由 </w:t>
      </w:r>
      <w:r>
        <w:rPr/>
        <w:t>3</w:t>
      </w:r>
      <w:r>
        <w:rPr>
          <w:spacing w:val="-28"/>
        </w:rPr>
        <w:t> 个月 </w:t>
      </w:r>
      <w:r>
        <w:rPr/>
        <w:t>LIBOR</w:t>
      </w:r>
      <w:r>
        <w:rPr>
          <w:spacing w:val="-23"/>
        </w:rPr>
        <w:t> 替换为 </w:t>
      </w:r>
      <w:r>
        <w:rPr/>
        <w:t>SOFR。 </w:t>
      </w:r>
    </w:p>
    <w:p>
      <w:pPr>
        <w:pStyle w:val="BodyText"/>
        <w:tabs>
          <w:tab w:pos="737" w:val="left" w:leader="none"/>
        </w:tabs>
        <w:spacing w:before="2"/>
      </w:pPr>
      <w:r>
        <w:rPr>
          <w:w w:val="100"/>
        </w:rPr>
        <w:t> </w:t>
      </w:r>
      <w:r>
        <w:rPr/>
        <w:tab/>
      </w:r>
      <w:r>
        <w:rPr>
          <w:w w:val="100"/>
        </w:rPr>
        <w:t> </w:t>
      </w:r>
    </w:p>
    <w:p>
      <w:pPr>
        <w:pStyle w:val="BodyText"/>
        <w:spacing w:line="242" w:lineRule="auto" w:before="4"/>
        <w:ind w:right="1277"/>
        <w:jc w:val="both"/>
      </w:pPr>
      <w:r>
        <w:rPr>
          <w:w w:val="100"/>
        </w:rPr>
        <w:t> </w:t>
      </w:r>
      <w:r>
        <w:rPr/>
        <w:t>  </w:t>
      </w:r>
      <w:r>
        <w:rPr>
          <w:spacing w:val="-1"/>
        </w:rPr>
        <w:t> </w:t>
      </w:r>
      <w:r>
        <w:rPr/>
        <w:t>本集团总部财务部门持续监控集团利率水平。利率上升会增加新增带息债务的成本以及本集团尚未付清的以浮动利率计息的带息债务的利息支出，并对本集团的财务业绩产生重大的不利影响，管理层会依据最新的市场状况及时做出调整，这些调整可能是进行利率互换的安排来降低利率风险。于本报告期内本集团并无利率互换安排。 </w:t>
      </w:r>
    </w:p>
    <w:p>
      <w:pPr>
        <w:pStyle w:val="BodyText"/>
        <w:spacing w:before="3"/>
        <w:jc w:val="both"/>
      </w:pPr>
      <w:r>
        <w:rPr>
          <w:w w:val="100"/>
        </w:rPr>
        <w:t> </w:t>
      </w:r>
      <w:r>
        <w:rPr/>
        <w:t>  </w:t>
      </w:r>
      <w:r>
        <w:rPr>
          <w:spacing w:val="-1"/>
        </w:rPr>
        <w:t> </w:t>
      </w:r>
      <w:r>
        <w:rPr>
          <w:w w:val="100"/>
        </w:rPr>
        <w:t> </w:t>
      </w:r>
    </w:p>
    <w:p>
      <w:pPr>
        <w:pStyle w:val="BodyText"/>
        <w:spacing w:line="242" w:lineRule="auto" w:before="2"/>
        <w:ind w:right="1385"/>
        <w:jc w:val="both"/>
      </w:pPr>
      <w:r>
        <w:rPr>
          <w:w w:val="100"/>
        </w:rPr>
        <w:t> </w:t>
      </w:r>
      <w:r>
        <w:rPr/>
        <w:t>  </w:t>
      </w:r>
      <w:r>
        <w:rPr>
          <w:spacing w:val="-1"/>
        </w:rPr>
        <w:t> </w:t>
      </w:r>
      <w:r>
        <w:rPr>
          <w:spacing w:val="-27"/>
        </w:rPr>
        <w:t>于 </w:t>
      </w:r>
      <w:r>
        <w:rPr/>
        <w:t>2022</w:t>
      </w:r>
      <w:r>
        <w:rPr>
          <w:spacing w:val="-37"/>
        </w:rPr>
        <w:t> 年 </w:t>
      </w:r>
      <w:r>
        <w:rPr/>
        <w:t>12</w:t>
      </w:r>
      <w:r>
        <w:rPr>
          <w:spacing w:val="-36"/>
        </w:rPr>
        <w:t> 月 </w:t>
      </w:r>
      <w:r>
        <w:rPr/>
        <w:t>31</w:t>
      </w:r>
      <w:r>
        <w:rPr>
          <w:spacing w:val="-2"/>
        </w:rPr>
        <w:t> 日，如果以浮动利率</w:t>
      </w:r>
      <w:r>
        <w:rPr/>
        <w:t>SOFR</w:t>
      </w:r>
      <w:r>
        <w:rPr>
          <w:spacing w:val="-12"/>
        </w:rPr>
        <w:t> 计算的借款利率上升或下降 </w:t>
      </w:r>
      <w:r>
        <w:rPr/>
        <w:t>50</w:t>
      </w:r>
      <w:r>
        <w:rPr>
          <w:spacing w:val="-9"/>
        </w:rPr>
        <w:t> 个基点，其他</w:t>
      </w:r>
      <w:r>
        <w:rPr>
          <w:spacing w:val="-4"/>
        </w:rPr>
        <w:t>因素保持不变，则本集团的净利润会减少或增加约 </w:t>
      </w:r>
      <w:r>
        <w:rPr/>
        <w:t>25,787,224</w:t>
      </w:r>
      <w:r>
        <w:rPr>
          <w:spacing w:val="-1"/>
        </w:rPr>
        <w:t> 元(</w:t>
      </w:r>
      <w:r>
        <w:rPr/>
        <w:t>2021</w:t>
      </w:r>
      <w:r>
        <w:rPr>
          <w:spacing w:val="-36"/>
        </w:rPr>
        <w:t> 年 </w:t>
      </w:r>
      <w:r>
        <w:rPr/>
        <w:t>12</w:t>
      </w:r>
      <w:r>
        <w:rPr>
          <w:spacing w:val="-35"/>
        </w:rPr>
        <w:t> 月 </w:t>
      </w:r>
      <w:r>
        <w:rPr/>
        <w:t>31</w:t>
      </w:r>
      <w:r>
        <w:rPr>
          <w:spacing w:val="-10"/>
        </w:rPr>
        <w:t> 日：净利润</w:t>
      </w:r>
      <w:r>
        <w:rPr>
          <w:spacing w:val="-8"/>
        </w:rPr>
        <w:t>会减少或增加 </w:t>
      </w:r>
      <w:r>
        <w:rPr/>
        <w:t>17,014,236</w:t>
      </w:r>
      <w:r>
        <w:rPr>
          <w:spacing w:val="-15"/>
        </w:rPr>
        <w:t> 元)。</w:t>
      </w:r>
      <w:r>
        <w:rPr/>
        <w:t> </w:t>
      </w:r>
    </w:p>
    <w:p>
      <w:pPr>
        <w:pStyle w:val="BodyText"/>
        <w:spacing w:before="3"/>
      </w:pPr>
      <w:r>
        <w:rPr>
          <w:w w:val="100"/>
        </w:rPr>
        <w:t> </w:t>
      </w:r>
    </w:p>
    <w:p>
      <w:pPr>
        <w:pStyle w:val="ListParagraph"/>
        <w:numPr>
          <w:ilvl w:val="0"/>
          <w:numId w:val="85"/>
        </w:numPr>
        <w:tabs>
          <w:tab w:pos="636" w:val="left" w:leader="none"/>
        </w:tabs>
        <w:spacing w:line="240" w:lineRule="auto" w:before="3" w:after="0"/>
        <w:ind w:left="635" w:right="0" w:hanging="318"/>
        <w:jc w:val="left"/>
        <w:rPr>
          <w:sz w:val="21"/>
        </w:rPr>
      </w:pPr>
      <w:r>
        <w:rPr>
          <w:spacing w:val="-1"/>
          <w:sz w:val="21"/>
        </w:rPr>
        <w:t>信用风险</w:t>
      </w:r>
      <w:r>
        <w:rPr>
          <w:sz w:val="21"/>
        </w:rPr>
        <w:t> </w:t>
      </w:r>
    </w:p>
    <w:p>
      <w:pPr>
        <w:pStyle w:val="BodyText"/>
        <w:tabs>
          <w:tab w:pos="737" w:val="left" w:leader="none"/>
        </w:tabs>
        <w:spacing w:before="5"/>
      </w:pPr>
      <w:r>
        <w:rPr>
          <w:w w:val="100"/>
        </w:rPr>
        <w:t> </w:t>
      </w:r>
      <w:r>
        <w:rPr/>
        <w:tab/>
      </w:r>
      <w:r>
        <w:rPr>
          <w:w w:val="100"/>
        </w:rPr>
        <w:t> </w:t>
      </w:r>
    </w:p>
    <w:p>
      <w:pPr>
        <w:pStyle w:val="BodyText"/>
        <w:tabs>
          <w:tab w:pos="737" w:val="left" w:leader="none"/>
        </w:tabs>
        <w:spacing w:line="244" w:lineRule="auto" w:before="2"/>
        <w:ind w:right="1277"/>
      </w:pPr>
      <w:r>
        <w:rPr>
          <w:w w:val="100"/>
        </w:rPr>
        <w:t> </w:t>
      </w:r>
      <w:r>
        <w:rPr/>
        <w:tab/>
      </w:r>
      <w:r>
        <w:rPr/>
        <w:t>本集团对信用风险按组合分类进行管理。信用风险主要产生于银行存款、应收票据、应收账款、其他应收款等。 </w:t>
      </w:r>
    </w:p>
    <w:p>
      <w:pPr>
        <w:pStyle w:val="BodyText"/>
        <w:tabs>
          <w:tab w:pos="737" w:val="left" w:leader="none"/>
        </w:tabs>
        <w:spacing w:line="265" w:lineRule="exact"/>
      </w:pPr>
      <w:r>
        <w:rPr>
          <w:w w:val="100"/>
        </w:rPr>
        <w:t> </w:t>
      </w:r>
      <w:r>
        <w:rPr/>
        <w:tab/>
      </w:r>
      <w:r>
        <w:rPr>
          <w:w w:val="100"/>
        </w:rPr>
        <w:t> </w:t>
      </w:r>
    </w:p>
    <w:p>
      <w:pPr>
        <w:pStyle w:val="BodyText"/>
        <w:tabs>
          <w:tab w:pos="737" w:val="left" w:leader="none"/>
        </w:tabs>
        <w:spacing w:line="242" w:lineRule="auto" w:before="4"/>
        <w:ind w:right="1277"/>
      </w:pPr>
      <w:r>
        <w:rPr>
          <w:w w:val="100"/>
        </w:rPr>
        <w:t> </w:t>
      </w:r>
      <w:r>
        <w:rPr/>
        <w:tab/>
      </w:r>
      <w:r>
        <w:rPr/>
        <w:t>本集团银行存款主要存放于国有控股银行和其他大中型上市银行，本集团认为其不存在重大的信用风险，几乎不会产生因银行违约而导致的重大损失。 </w:t>
      </w:r>
    </w:p>
    <w:p>
      <w:pPr>
        <w:pStyle w:val="BodyText"/>
        <w:spacing w:before="2"/>
      </w:pPr>
      <w:r>
        <w:rPr>
          <w:w w:val="100"/>
        </w:rPr>
        <w:t> </w:t>
      </w:r>
    </w:p>
    <w:p>
      <w:pPr>
        <w:pStyle w:val="BodyText"/>
        <w:spacing w:line="242" w:lineRule="auto" w:before="2"/>
        <w:ind w:right="1277"/>
        <w:jc w:val="both"/>
      </w:pPr>
      <w:r>
        <w:rPr>
          <w:w w:val="100"/>
        </w:rPr>
        <w:t> </w:t>
      </w:r>
      <w:r>
        <w:rPr/>
        <w:t>  </w:t>
      </w:r>
      <w:r>
        <w:rPr>
          <w:spacing w:val="-1"/>
        </w:rPr>
        <w:t> </w:t>
      </w:r>
      <w:r>
        <w:rPr/>
        <w:t>此外，对于应收票据、应收账款和其他应收款，本集团设定相关政策以控制信用风险敞口。本集团基于对客户的财务状况、从第三方获取担保的可能性、信用记录及其他因素诸如目前市场状况等评估客户的信用资质并设置相应信用期。本集团会定期对客户信用记录进行监控，对于信</w:t>
      </w:r>
    </w:p>
    <w:p>
      <w:pPr>
        <w:spacing w:after="0" w:line="242" w:lineRule="auto"/>
        <w:jc w:val="both"/>
        <w:sectPr>
          <w:pgSz w:w="11910" w:h="16840"/>
          <w:pgMar w:header="882" w:footer="1184" w:top="1120" w:bottom="1380" w:left="1480" w:right="0"/>
        </w:sectPr>
      </w:pPr>
    </w:p>
    <w:p>
      <w:pPr>
        <w:pStyle w:val="BodyText"/>
        <w:spacing w:before="7"/>
        <w:ind w:left="0"/>
        <w:rPr>
          <w:sz w:val="25"/>
        </w:rPr>
      </w:pPr>
    </w:p>
    <w:p>
      <w:pPr>
        <w:pStyle w:val="BodyText"/>
        <w:spacing w:line="244" w:lineRule="auto" w:before="72"/>
        <w:ind w:right="1277"/>
      </w:pPr>
      <w:r>
        <w:rPr/>
        <w:t>用记录不良的客户，本集团会采用书面催款、缩短信用期或取消信用期等方式，以确保本集团的整体信用风险在可控的范围内。 </w:t>
      </w:r>
    </w:p>
    <w:p>
      <w:pPr>
        <w:pStyle w:val="BodyText"/>
        <w:tabs>
          <w:tab w:pos="737" w:val="left" w:leader="none"/>
        </w:tabs>
        <w:spacing w:line="265" w:lineRule="exact"/>
      </w:pPr>
      <w:r>
        <w:rPr>
          <w:w w:val="100"/>
        </w:rPr>
        <w:t> </w:t>
      </w:r>
      <w:r>
        <w:rPr/>
        <w:tab/>
      </w:r>
      <w:r>
        <w:rPr>
          <w:w w:val="100"/>
        </w:rPr>
        <w:t> </w:t>
      </w:r>
    </w:p>
    <w:p>
      <w:pPr>
        <w:pStyle w:val="BodyText"/>
        <w:tabs>
          <w:tab w:pos="737" w:val="left" w:leader="none"/>
        </w:tabs>
        <w:spacing w:before="5"/>
      </w:pPr>
      <w:r>
        <w:rPr>
          <w:w w:val="100"/>
        </w:rPr>
        <w:t> </w:t>
      </w:r>
      <w:r>
        <w:rPr/>
        <w:tab/>
      </w:r>
      <w:r>
        <w:rPr>
          <w:spacing w:val="-27"/>
        </w:rPr>
        <w:t>于 </w:t>
      </w:r>
      <w:r>
        <w:rPr/>
        <w:t>2022</w:t>
      </w:r>
      <w:r>
        <w:rPr>
          <w:spacing w:val="-37"/>
        </w:rPr>
        <w:t> 年 </w:t>
      </w:r>
      <w:r>
        <w:rPr/>
        <w:t>12</w:t>
      </w:r>
      <w:r>
        <w:rPr>
          <w:spacing w:val="-37"/>
        </w:rPr>
        <w:t> 月 </w:t>
      </w:r>
      <w:r>
        <w:rPr/>
        <w:t>31</w:t>
      </w:r>
      <w:r>
        <w:rPr>
          <w:spacing w:val="-8"/>
        </w:rPr>
        <w:t> 日，本集团无重大的因债务人抵押而持有的担保物或其他信用增级(</w:t>
      </w:r>
      <w:r>
        <w:rPr/>
        <w:t>2021</w:t>
      </w:r>
    </w:p>
    <w:p>
      <w:pPr>
        <w:pStyle w:val="BodyText"/>
        <w:spacing w:before="2"/>
      </w:pPr>
      <w:r>
        <w:rPr>
          <w:spacing w:val="-27"/>
        </w:rPr>
        <w:t>年 </w:t>
      </w:r>
      <w:r>
        <w:rPr/>
        <w:t>12</w:t>
      </w:r>
      <w:r>
        <w:rPr>
          <w:spacing w:val="-37"/>
        </w:rPr>
        <w:t> 月 </w:t>
      </w:r>
      <w:r>
        <w:rPr/>
        <w:t>31</w:t>
      </w:r>
      <w:r>
        <w:rPr>
          <w:spacing w:val="-10"/>
        </w:rPr>
        <w:t> 日：无)。</w:t>
      </w:r>
      <w:r>
        <w:rPr/>
        <w:t> </w:t>
      </w:r>
    </w:p>
    <w:p>
      <w:pPr>
        <w:pStyle w:val="BodyText"/>
        <w:spacing w:before="4"/>
      </w:pPr>
      <w:r>
        <w:rPr>
          <w:w w:val="100"/>
        </w:rPr>
        <w:t> </w:t>
      </w:r>
    </w:p>
    <w:p>
      <w:pPr>
        <w:pStyle w:val="ListParagraph"/>
        <w:numPr>
          <w:ilvl w:val="0"/>
          <w:numId w:val="85"/>
        </w:numPr>
        <w:tabs>
          <w:tab w:pos="636" w:val="left" w:leader="none"/>
        </w:tabs>
        <w:spacing w:line="240" w:lineRule="auto" w:before="2" w:after="0"/>
        <w:ind w:left="635" w:right="0" w:hanging="318"/>
        <w:jc w:val="left"/>
        <w:rPr>
          <w:sz w:val="21"/>
        </w:rPr>
      </w:pPr>
      <w:r>
        <w:rPr>
          <w:sz w:val="21"/>
        </w:rPr>
        <w:t>流动性风险 </w:t>
      </w:r>
    </w:p>
    <w:p>
      <w:pPr>
        <w:pStyle w:val="BodyText"/>
        <w:tabs>
          <w:tab w:pos="737" w:val="left" w:leader="none"/>
        </w:tabs>
        <w:spacing w:before="5"/>
      </w:pPr>
      <w:r>
        <w:rPr>
          <w:w w:val="100"/>
        </w:rPr>
        <w:t> </w:t>
      </w:r>
      <w:r>
        <w:rPr/>
        <w:tab/>
      </w:r>
      <w:r>
        <w:rPr>
          <w:w w:val="100"/>
        </w:rPr>
        <w:t> </w:t>
      </w:r>
    </w:p>
    <w:p>
      <w:pPr>
        <w:pStyle w:val="BodyText"/>
        <w:spacing w:line="242" w:lineRule="auto" w:before="2"/>
        <w:ind w:right="1277"/>
        <w:jc w:val="both"/>
      </w:pPr>
      <w:r>
        <w:rPr>
          <w:w w:val="100"/>
        </w:rPr>
        <w:t> </w:t>
      </w:r>
      <w:r>
        <w:rPr/>
        <w:t>  </w:t>
      </w:r>
      <w:r>
        <w:rPr>
          <w:spacing w:val="-1"/>
        </w:rPr>
        <w:t> </w:t>
      </w:r>
      <w:r>
        <w:rPr/>
        <w:t>本集团内各子公司负责其自身的现金流量预测。总部财务部门在汇总各子公司现金流量预测的基础上，在集团层面持续监控短期和长期的资金需求，以确保维持充裕的现金储备和可供随时变现的有价证券；同时持续监控是否符合借款协议的规定，从主要金融机构获得提供足够备用资金的承诺，以满足短期和长期的资金需求。 </w:t>
      </w:r>
    </w:p>
    <w:p>
      <w:pPr>
        <w:pStyle w:val="BodyText"/>
        <w:spacing w:before="3"/>
        <w:jc w:val="both"/>
      </w:pPr>
      <w:r>
        <w:rPr>
          <w:w w:val="100"/>
        </w:rPr>
        <w:t> </w:t>
      </w:r>
      <w:r>
        <w:rPr/>
        <w:t>  </w:t>
      </w:r>
      <w:r>
        <w:rPr>
          <w:spacing w:val="-1"/>
        </w:rPr>
        <w:t> </w:t>
      </w:r>
      <w:r>
        <w:rPr>
          <w:w w:val="100"/>
        </w:rPr>
        <w:t> </w:t>
      </w:r>
    </w:p>
    <w:p>
      <w:pPr>
        <w:pStyle w:val="BodyText"/>
        <w:spacing w:before="4" w:after="11"/>
        <w:jc w:val="both"/>
      </w:pPr>
      <w:r>
        <w:rPr>
          <w:w w:val="100"/>
        </w:rPr>
        <w:t> </w:t>
      </w:r>
      <w:r>
        <w:rPr/>
        <w:t>  </w:t>
      </w:r>
      <w:r>
        <w:rPr>
          <w:spacing w:val="-1"/>
        </w:rPr>
        <w:t> </w:t>
      </w:r>
      <w:r>
        <w:rPr/>
        <w:t>于资产负债表日，本集团各项金融负债以未折现的合同现金流量按到期日列示如下： </w:t>
      </w:r>
    </w:p>
    <w:tbl>
      <w:tblPr>
        <w:tblW w:w="0" w:type="auto"/>
        <w:jc w:val="left"/>
        <w:tblInd w:w="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61"/>
        <w:gridCol w:w="1254"/>
        <w:gridCol w:w="1258"/>
        <w:gridCol w:w="1294"/>
        <w:gridCol w:w="1290"/>
        <w:gridCol w:w="1264"/>
      </w:tblGrid>
      <w:tr>
        <w:trPr>
          <w:trHeight w:val="237" w:hRule="atLeast"/>
        </w:trPr>
        <w:tc>
          <w:tcPr>
            <w:tcW w:w="8221" w:type="dxa"/>
            <w:gridSpan w:val="6"/>
          </w:tcPr>
          <w:p>
            <w:pPr>
              <w:pStyle w:val="TableParagraph"/>
              <w:spacing w:line="218" w:lineRule="exact"/>
              <w:ind w:left="4177"/>
              <w:rPr>
                <w:sz w:val="20"/>
              </w:rPr>
            </w:pPr>
            <w:r>
              <w:rPr>
                <w:rFonts w:ascii="Arial MT" w:eastAsia="Arial MT"/>
                <w:w w:val="95"/>
                <w:sz w:val="20"/>
              </w:rPr>
              <w:t>2022</w:t>
            </w:r>
            <w:r>
              <w:rPr>
                <w:rFonts w:ascii="Arial MT" w:eastAsia="Arial MT"/>
                <w:spacing w:val="-1"/>
                <w:w w:val="95"/>
                <w:sz w:val="20"/>
              </w:rPr>
              <w:t> </w:t>
            </w:r>
            <w:r>
              <w:rPr>
                <w:spacing w:val="-17"/>
                <w:w w:val="95"/>
                <w:sz w:val="20"/>
              </w:rPr>
              <w:t>年 </w:t>
            </w:r>
            <w:r>
              <w:rPr>
                <w:rFonts w:ascii="Arial MT" w:eastAsia="Arial MT"/>
                <w:w w:val="95"/>
                <w:sz w:val="20"/>
              </w:rPr>
              <w:t>12</w:t>
            </w:r>
            <w:r>
              <w:rPr>
                <w:rFonts w:ascii="Arial MT" w:eastAsia="Arial MT"/>
                <w:spacing w:val="-1"/>
                <w:w w:val="95"/>
                <w:sz w:val="20"/>
              </w:rPr>
              <w:t> </w:t>
            </w:r>
            <w:r>
              <w:rPr>
                <w:spacing w:val="-15"/>
                <w:w w:val="95"/>
                <w:sz w:val="20"/>
              </w:rPr>
              <w:t>月 </w:t>
            </w:r>
            <w:r>
              <w:rPr>
                <w:rFonts w:ascii="Arial MT" w:eastAsia="Arial MT"/>
                <w:w w:val="95"/>
                <w:sz w:val="20"/>
              </w:rPr>
              <w:t>31</w:t>
            </w:r>
            <w:r>
              <w:rPr>
                <w:rFonts w:ascii="Arial MT" w:eastAsia="Arial MT"/>
                <w:spacing w:val="2"/>
                <w:w w:val="95"/>
                <w:sz w:val="20"/>
              </w:rPr>
              <w:t> </w:t>
            </w:r>
            <w:r>
              <w:rPr>
                <w:w w:val="95"/>
                <w:sz w:val="20"/>
              </w:rPr>
              <w:t>日</w:t>
            </w:r>
          </w:p>
        </w:tc>
      </w:tr>
      <w:tr>
        <w:trPr>
          <w:trHeight w:val="355" w:hRule="atLeast"/>
        </w:trPr>
        <w:tc>
          <w:tcPr>
            <w:tcW w:w="1861" w:type="dxa"/>
          </w:tcPr>
          <w:p>
            <w:pPr>
              <w:pStyle w:val="TableParagraph"/>
              <w:rPr>
                <w:rFonts w:ascii="Times New Roman"/>
                <w:sz w:val="20"/>
              </w:rPr>
            </w:pPr>
          </w:p>
        </w:tc>
        <w:tc>
          <w:tcPr>
            <w:tcW w:w="1254" w:type="dxa"/>
            <w:tcBorders>
              <w:top w:val="single" w:sz="4" w:space="0" w:color="000000"/>
            </w:tcBorders>
          </w:tcPr>
          <w:p>
            <w:pPr>
              <w:pStyle w:val="TableParagraph"/>
              <w:spacing w:line="246" w:lineRule="exact"/>
              <w:ind w:left="348"/>
              <w:rPr>
                <w:sz w:val="20"/>
              </w:rPr>
            </w:pPr>
            <w:r>
              <w:rPr>
                <w:w w:val="95"/>
                <w:sz w:val="20"/>
              </w:rPr>
              <w:t>一年以内</w:t>
            </w:r>
          </w:p>
        </w:tc>
        <w:tc>
          <w:tcPr>
            <w:tcW w:w="1258" w:type="dxa"/>
            <w:tcBorders>
              <w:top w:val="single" w:sz="4" w:space="0" w:color="000000"/>
            </w:tcBorders>
          </w:tcPr>
          <w:p>
            <w:pPr>
              <w:pStyle w:val="TableParagraph"/>
              <w:spacing w:line="246" w:lineRule="exact"/>
              <w:ind w:right="104"/>
              <w:jc w:val="right"/>
              <w:rPr>
                <w:sz w:val="20"/>
              </w:rPr>
            </w:pPr>
            <w:r>
              <w:rPr>
                <w:w w:val="95"/>
                <w:sz w:val="20"/>
              </w:rPr>
              <w:t>一到二年</w:t>
            </w:r>
          </w:p>
        </w:tc>
        <w:tc>
          <w:tcPr>
            <w:tcW w:w="1294" w:type="dxa"/>
            <w:tcBorders>
              <w:top w:val="single" w:sz="4" w:space="0" w:color="000000"/>
            </w:tcBorders>
          </w:tcPr>
          <w:p>
            <w:pPr>
              <w:pStyle w:val="TableParagraph"/>
              <w:spacing w:line="246" w:lineRule="exact"/>
              <w:ind w:left="380"/>
              <w:rPr>
                <w:sz w:val="20"/>
              </w:rPr>
            </w:pPr>
            <w:r>
              <w:rPr>
                <w:w w:val="95"/>
                <w:sz w:val="20"/>
              </w:rPr>
              <w:t>二到五年</w:t>
            </w:r>
          </w:p>
        </w:tc>
        <w:tc>
          <w:tcPr>
            <w:tcW w:w="1290" w:type="dxa"/>
            <w:tcBorders>
              <w:top w:val="single" w:sz="4" w:space="0" w:color="000000"/>
            </w:tcBorders>
          </w:tcPr>
          <w:p>
            <w:pPr>
              <w:pStyle w:val="TableParagraph"/>
              <w:spacing w:line="246" w:lineRule="exact"/>
              <w:ind w:left="390"/>
              <w:rPr>
                <w:sz w:val="20"/>
              </w:rPr>
            </w:pPr>
            <w:r>
              <w:rPr>
                <w:w w:val="95"/>
                <w:sz w:val="20"/>
              </w:rPr>
              <w:t>五年以上</w:t>
            </w:r>
          </w:p>
        </w:tc>
        <w:tc>
          <w:tcPr>
            <w:tcW w:w="1264" w:type="dxa"/>
            <w:tcBorders>
              <w:top w:val="single" w:sz="4" w:space="0" w:color="000000"/>
            </w:tcBorders>
          </w:tcPr>
          <w:p>
            <w:pPr>
              <w:pStyle w:val="TableParagraph"/>
              <w:spacing w:line="246" w:lineRule="exact"/>
              <w:ind w:left="804"/>
              <w:rPr>
                <w:sz w:val="20"/>
              </w:rPr>
            </w:pPr>
            <w:r>
              <w:rPr>
                <w:w w:val="95"/>
                <w:sz w:val="20"/>
              </w:rPr>
              <w:t>合计</w:t>
            </w:r>
          </w:p>
        </w:tc>
      </w:tr>
      <w:tr>
        <w:trPr>
          <w:trHeight w:val="376" w:hRule="atLeast"/>
        </w:trPr>
        <w:tc>
          <w:tcPr>
            <w:tcW w:w="1861" w:type="dxa"/>
          </w:tcPr>
          <w:p>
            <w:pPr>
              <w:pStyle w:val="TableParagraph"/>
              <w:spacing w:line="248" w:lineRule="exact" w:before="109"/>
              <w:ind w:left="200"/>
              <w:rPr>
                <w:sz w:val="20"/>
              </w:rPr>
            </w:pPr>
            <w:r>
              <w:rPr>
                <w:w w:val="95"/>
                <w:sz w:val="20"/>
              </w:rPr>
              <w:t>短期借款</w:t>
            </w:r>
          </w:p>
        </w:tc>
        <w:tc>
          <w:tcPr>
            <w:tcW w:w="1254" w:type="dxa"/>
          </w:tcPr>
          <w:p>
            <w:pPr>
              <w:pStyle w:val="TableParagraph"/>
              <w:spacing w:line="218" w:lineRule="exact" w:before="138"/>
              <w:ind w:left="127"/>
              <w:rPr>
                <w:rFonts w:ascii="Arial MT"/>
                <w:sz w:val="20"/>
              </w:rPr>
            </w:pPr>
            <w:r>
              <w:rPr>
                <w:rFonts w:ascii="Arial MT"/>
                <w:sz w:val="20"/>
              </w:rPr>
              <w:t>50,741,867</w:t>
            </w:r>
          </w:p>
        </w:tc>
        <w:tc>
          <w:tcPr>
            <w:tcW w:w="1258" w:type="dxa"/>
          </w:tcPr>
          <w:p>
            <w:pPr>
              <w:pStyle w:val="TableParagraph"/>
              <w:spacing w:line="218" w:lineRule="exact" w:before="138"/>
              <w:ind w:right="100"/>
              <w:jc w:val="right"/>
              <w:rPr>
                <w:rFonts w:ascii="Arial MT"/>
                <w:sz w:val="20"/>
              </w:rPr>
            </w:pPr>
            <w:r>
              <w:rPr>
                <w:rFonts w:ascii="Arial MT"/>
                <w:w w:val="99"/>
                <w:sz w:val="20"/>
              </w:rPr>
              <w:t>-</w:t>
            </w:r>
          </w:p>
        </w:tc>
        <w:tc>
          <w:tcPr>
            <w:tcW w:w="1294" w:type="dxa"/>
          </w:tcPr>
          <w:p>
            <w:pPr>
              <w:pStyle w:val="TableParagraph"/>
              <w:spacing w:line="218" w:lineRule="exact" w:before="138"/>
              <w:ind w:right="148"/>
              <w:jc w:val="right"/>
              <w:rPr>
                <w:rFonts w:ascii="Arial MT"/>
                <w:sz w:val="20"/>
              </w:rPr>
            </w:pPr>
            <w:r>
              <w:rPr>
                <w:rFonts w:ascii="Arial MT"/>
                <w:w w:val="99"/>
                <w:sz w:val="20"/>
              </w:rPr>
              <w:t>-</w:t>
            </w:r>
          </w:p>
        </w:tc>
        <w:tc>
          <w:tcPr>
            <w:tcW w:w="1290" w:type="dxa"/>
          </w:tcPr>
          <w:p>
            <w:pPr>
              <w:pStyle w:val="TableParagraph"/>
              <w:spacing w:line="218" w:lineRule="exact" w:before="138"/>
              <w:ind w:right="125"/>
              <w:jc w:val="right"/>
              <w:rPr>
                <w:rFonts w:ascii="Arial MT"/>
                <w:sz w:val="20"/>
              </w:rPr>
            </w:pPr>
            <w:r>
              <w:rPr>
                <w:rFonts w:ascii="Arial MT"/>
                <w:w w:val="99"/>
                <w:sz w:val="20"/>
              </w:rPr>
              <w:t>-</w:t>
            </w:r>
          </w:p>
        </w:tc>
        <w:tc>
          <w:tcPr>
            <w:tcW w:w="1264" w:type="dxa"/>
          </w:tcPr>
          <w:p>
            <w:pPr>
              <w:pStyle w:val="TableParagraph"/>
              <w:spacing w:line="218" w:lineRule="exact" w:before="138"/>
              <w:ind w:left="166"/>
              <w:rPr>
                <w:rFonts w:ascii="Arial MT"/>
                <w:sz w:val="20"/>
              </w:rPr>
            </w:pPr>
            <w:r>
              <w:rPr>
                <w:rFonts w:ascii="Arial MT"/>
                <w:sz w:val="20"/>
              </w:rPr>
              <w:t>50,741,867</w:t>
            </w:r>
          </w:p>
        </w:tc>
      </w:tr>
      <w:tr>
        <w:trPr>
          <w:trHeight w:val="246" w:hRule="atLeast"/>
        </w:trPr>
        <w:tc>
          <w:tcPr>
            <w:tcW w:w="1861" w:type="dxa"/>
          </w:tcPr>
          <w:p>
            <w:pPr>
              <w:pStyle w:val="TableParagraph"/>
              <w:spacing w:line="226" w:lineRule="exact"/>
              <w:ind w:left="200"/>
              <w:rPr>
                <w:sz w:val="20"/>
              </w:rPr>
            </w:pPr>
            <w:r>
              <w:rPr>
                <w:w w:val="95"/>
                <w:sz w:val="20"/>
              </w:rPr>
              <w:t>衍生金融负债</w:t>
            </w:r>
          </w:p>
        </w:tc>
        <w:tc>
          <w:tcPr>
            <w:tcW w:w="1254" w:type="dxa"/>
          </w:tcPr>
          <w:p>
            <w:pPr>
              <w:pStyle w:val="TableParagraph"/>
              <w:spacing w:line="220" w:lineRule="exact" w:before="6"/>
              <w:ind w:left="406"/>
              <w:rPr>
                <w:rFonts w:ascii="Arial MT"/>
                <w:sz w:val="20"/>
              </w:rPr>
            </w:pPr>
            <w:r>
              <w:rPr>
                <w:rFonts w:ascii="Arial MT"/>
                <w:sz w:val="20"/>
              </w:rPr>
              <w:t>102,072</w:t>
            </w:r>
          </w:p>
        </w:tc>
        <w:tc>
          <w:tcPr>
            <w:tcW w:w="1258" w:type="dxa"/>
          </w:tcPr>
          <w:p>
            <w:pPr>
              <w:pStyle w:val="TableParagraph"/>
              <w:spacing w:line="220" w:lineRule="exact" w:before="6"/>
              <w:ind w:right="100"/>
              <w:jc w:val="right"/>
              <w:rPr>
                <w:rFonts w:ascii="Arial MT"/>
                <w:sz w:val="20"/>
              </w:rPr>
            </w:pPr>
            <w:r>
              <w:rPr>
                <w:rFonts w:ascii="Arial MT"/>
                <w:w w:val="99"/>
                <w:sz w:val="20"/>
              </w:rPr>
              <w:t>-</w:t>
            </w:r>
          </w:p>
        </w:tc>
        <w:tc>
          <w:tcPr>
            <w:tcW w:w="1294" w:type="dxa"/>
          </w:tcPr>
          <w:p>
            <w:pPr>
              <w:pStyle w:val="TableParagraph"/>
              <w:spacing w:line="220" w:lineRule="exact" w:before="6"/>
              <w:ind w:right="148"/>
              <w:jc w:val="right"/>
              <w:rPr>
                <w:rFonts w:ascii="Arial MT"/>
                <w:sz w:val="20"/>
              </w:rPr>
            </w:pPr>
            <w:r>
              <w:rPr>
                <w:rFonts w:ascii="Arial MT"/>
                <w:w w:val="99"/>
                <w:sz w:val="20"/>
              </w:rPr>
              <w:t>-</w:t>
            </w:r>
          </w:p>
        </w:tc>
        <w:tc>
          <w:tcPr>
            <w:tcW w:w="1290" w:type="dxa"/>
          </w:tcPr>
          <w:p>
            <w:pPr>
              <w:pStyle w:val="TableParagraph"/>
              <w:spacing w:line="220" w:lineRule="exact" w:before="6"/>
              <w:ind w:right="125"/>
              <w:jc w:val="right"/>
              <w:rPr>
                <w:rFonts w:ascii="Arial MT"/>
                <w:sz w:val="20"/>
              </w:rPr>
            </w:pPr>
            <w:r>
              <w:rPr>
                <w:rFonts w:ascii="Arial MT"/>
                <w:w w:val="99"/>
                <w:sz w:val="20"/>
              </w:rPr>
              <w:t>-</w:t>
            </w:r>
          </w:p>
        </w:tc>
        <w:tc>
          <w:tcPr>
            <w:tcW w:w="1264" w:type="dxa"/>
          </w:tcPr>
          <w:p>
            <w:pPr>
              <w:pStyle w:val="TableParagraph"/>
              <w:spacing w:line="220" w:lineRule="exact" w:before="6"/>
              <w:ind w:left="444"/>
              <w:rPr>
                <w:rFonts w:ascii="Arial MT"/>
                <w:sz w:val="20"/>
              </w:rPr>
            </w:pPr>
            <w:r>
              <w:rPr>
                <w:rFonts w:ascii="Arial MT"/>
                <w:sz w:val="20"/>
              </w:rPr>
              <w:t>102,072</w:t>
            </w:r>
          </w:p>
        </w:tc>
      </w:tr>
      <w:tr>
        <w:trPr>
          <w:trHeight w:val="245" w:hRule="atLeast"/>
        </w:trPr>
        <w:tc>
          <w:tcPr>
            <w:tcW w:w="1861" w:type="dxa"/>
          </w:tcPr>
          <w:p>
            <w:pPr>
              <w:pStyle w:val="TableParagraph"/>
              <w:spacing w:line="226" w:lineRule="exact"/>
              <w:ind w:left="200"/>
              <w:rPr>
                <w:sz w:val="20"/>
              </w:rPr>
            </w:pPr>
            <w:r>
              <w:rPr>
                <w:w w:val="95"/>
                <w:sz w:val="20"/>
              </w:rPr>
              <w:t>应付账款</w:t>
            </w:r>
          </w:p>
        </w:tc>
        <w:tc>
          <w:tcPr>
            <w:tcW w:w="1254" w:type="dxa"/>
          </w:tcPr>
          <w:p>
            <w:pPr>
              <w:pStyle w:val="TableParagraph"/>
              <w:spacing w:line="218" w:lineRule="exact" w:before="7"/>
              <w:ind w:left="127"/>
              <w:rPr>
                <w:rFonts w:ascii="Arial MT"/>
                <w:sz w:val="20"/>
              </w:rPr>
            </w:pPr>
            <w:r>
              <w:rPr>
                <w:rFonts w:ascii="Arial MT"/>
                <w:sz w:val="20"/>
              </w:rPr>
              <w:t>69,278,939</w:t>
            </w:r>
          </w:p>
        </w:tc>
        <w:tc>
          <w:tcPr>
            <w:tcW w:w="1258" w:type="dxa"/>
          </w:tcPr>
          <w:p>
            <w:pPr>
              <w:pStyle w:val="TableParagraph"/>
              <w:spacing w:line="218" w:lineRule="exact" w:before="7"/>
              <w:ind w:right="100"/>
              <w:jc w:val="right"/>
              <w:rPr>
                <w:rFonts w:ascii="Arial MT"/>
                <w:sz w:val="20"/>
              </w:rPr>
            </w:pPr>
            <w:r>
              <w:rPr>
                <w:rFonts w:ascii="Arial MT"/>
                <w:w w:val="99"/>
                <w:sz w:val="20"/>
              </w:rPr>
              <w:t>-</w:t>
            </w:r>
          </w:p>
        </w:tc>
        <w:tc>
          <w:tcPr>
            <w:tcW w:w="1294" w:type="dxa"/>
          </w:tcPr>
          <w:p>
            <w:pPr>
              <w:pStyle w:val="TableParagraph"/>
              <w:spacing w:line="218" w:lineRule="exact" w:before="7"/>
              <w:ind w:right="148"/>
              <w:jc w:val="right"/>
              <w:rPr>
                <w:rFonts w:ascii="Arial MT"/>
                <w:sz w:val="20"/>
              </w:rPr>
            </w:pPr>
            <w:r>
              <w:rPr>
                <w:rFonts w:ascii="Arial MT"/>
                <w:w w:val="99"/>
                <w:sz w:val="20"/>
              </w:rPr>
              <w:t>-</w:t>
            </w:r>
          </w:p>
        </w:tc>
        <w:tc>
          <w:tcPr>
            <w:tcW w:w="1290" w:type="dxa"/>
          </w:tcPr>
          <w:p>
            <w:pPr>
              <w:pStyle w:val="TableParagraph"/>
              <w:spacing w:line="218" w:lineRule="exact" w:before="7"/>
              <w:ind w:right="125"/>
              <w:jc w:val="right"/>
              <w:rPr>
                <w:rFonts w:ascii="Arial MT"/>
                <w:sz w:val="20"/>
              </w:rPr>
            </w:pPr>
            <w:r>
              <w:rPr>
                <w:rFonts w:ascii="Arial MT"/>
                <w:w w:val="99"/>
                <w:sz w:val="20"/>
              </w:rPr>
              <w:t>-</w:t>
            </w:r>
          </w:p>
        </w:tc>
        <w:tc>
          <w:tcPr>
            <w:tcW w:w="1264" w:type="dxa"/>
          </w:tcPr>
          <w:p>
            <w:pPr>
              <w:pStyle w:val="TableParagraph"/>
              <w:spacing w:line="218" w:lineRule="exact" w:before="7"/>
              <w:ind w:left="166"/>
              <w:rPr>
                <w:rFonts w:ascii="Arial MT"/>
                <w:sz w:val="20"/>
              </w:rPr>
            </w:pPr>
            <w:r>
              <w:rPr>
                <w:rFonts w:ascii="Arial MT"/>
                <w:sz w:val="20"/>
              </w:rPr>
              <w:t>69,278,939</w:t>
            </w:r>
          </w:p>
        </w:tc>
      </w:tr>
      <w:tr>
        <w:trPr>
          <w:trHeight w:val="247" w:hRule="atLeast"/>
        </w:trPr>
        <w:tc>
          <w:tcPr>
            <w:tcW w:w="1861" w:type="dxa"/>
          </w:tcPr>
          <w:p>
            <w:pPr>
              <w:pStyle w:val="TableParagraph"/>
              <w:spacing w:line="227" w:lineRule="exact"/>
              <w:ind w:left="200"/>
              <w:rPr>
                <w:sz w:val="20"/>
              </w:rPr>
            </w:pPr>
            <w:r>
              <w:rPr>
                <w:w w:val="95"/>
                <w:sz w:val="20"/>
              </w:rPr>
              <w:t>其他应付款</w:t>
            </w:r>
          </w:p>
        </w:tc>
        <w:tc>
          <w:tcPr>
            <w:tcW w:w="1254" w:type="dxa"/>
          </w:tcPr>
          <w:p>
            <w:pPr>
              <w:pStyle w:val="TableParagraph"/>
              <w:spacing w:line="218" w:lineRule="exact" w:before="9"/>
              <w:ind w:left="127"/>
              <w:rPr>
                <w:rFonts w:ascii="Arial MT"/>
                <w:sz w:val="20"/>
              </w:rPr>
            </w:pPr>
            <w:r>
              <w:rPr>
                <w:rFonts w:ascii="Arial MT"/>
                <w:sz w:val="20"/>
              </w:rPr>
              <w:t>16,901,025</w:t>
            </w:r>
          </w:p>
        </w:tc>
        <w:tc>
          <w:tcPr>
            <w:tcW w:w="1258" w:type="dxa"/>
          </w:tcPr>
          <w:p>
            <w:pPr>
              <w:pStyle w:val="TableParagraph"/>
              <w:spacing w:line="218" w:lineRule="exact" w:before="9"/>
              <w:ind w:right="100"/>
              <w:jc w:val="right"/>
              <w:rPr>
                <w:rFonts w:ascii="Arial MT"/>
                <w:sz w:val="20"/>
              </w:rPr>
            </w:pPr>
            <w:r>
              <w:rPr>
                <w:rFonts w:ascii="Arial MT"/>
                <w:w w:val="99"/>
                <w:sz w:val="20"/>
              </w:rPr>
              <w:t>-</w:t>
            </w:r>
          </w:p>
        </w:tc>
        <w:tc>
          <w:tcPr>
            <w:tcW w:w="1294" w:type="dxa"/>
          </w:tcPr>
          <w:p>
            <w:pPr>
              <w:pStyle w:val="TableParagraph"/>
              <w:spacing w:line="218" w:lineRule="exact" w:before="9"/>
              <w:ind w:right="148"/>
              <w:jc w:val="right"/>
              <w:rPr>
                <w:rFonts w:ascii="Arial MT"/>
                <w:sz w:val="20"/>
              </w:rPr>
            </w:pPr>
            <w:r>
              <w:rPr>
                <w:rFonts w:ascii="Arial MT"/>
                <w:w w:val="99"/>
                <w:sz w:val="20"/>
              </w:rPr>
              <w:t>-</w:t>
            </w:r>
          </w:p>
        </w:tc>
        <w:tc>
          <w:tcPr>
            <w:tcW w:w="1290" w:type="dxa"/>
          </w:tcPr>
          <w:p>
            <w:pPr>
              <w:pStyle w:val="TableParagraph"/>
              <w:spacing w:line="218" w:lineRule="exact" w:before="9"/>
              <w:ind w:right="125"/>
              <w:jc w:val="right"/>
              <w:rPr>
                <w:rFonts w:ascii="Arial MT"/>
                <w:sz w:val="20"/>
              </w:rPr>
            </w:pPr>
            <w:r>
              <w:rPr>
                <w:rFonts w:ascii="Arial MT"/>
                <w:w w:val="99"/>
                <w:sz w:val="20"/>
              </w:rPr>
              <w:t>-</w:t>
            </w:r>
          </w:p>
        </w:tc>
        <w:tc>
          <w:tcPr>
            <w:tcW w:w="1264" w:type="dxa"/>
          </w:tcPr>
          <w:p>
            <w:pPr>
              <w:pStyle w:val="TableParagraph"/>
              <w:spacing w:line="218" w:lineRule="exact" w:before="9"/>
              <w:ind w:left="166"/>
              <w:rPr>
                <w:rFonts w:ascii="Arial MT"/>
                <w:sz w:val="20"/>
              </w:rPr>
            </w:pPr>
            <w:r>
              <w:rPr>
                <w:rFonts w:ascii="Arial MT"/>
                <w:sz w:val="20"/>
              </w:rPr>
              <w:t>16,901,025</w:t>
            </w:r>
          </w:p>
        </w:tc>
      </w:tr>
      <w:tr>
        <w:trPr>
          <w:trHeight w:val="246" w:hRule="atLeast"/>
        </w:trPr>
        <w:tc>
          <w:tcPr>
            <w:tcW w:w="1861" w:type="dxa"/>
          </w:tcPr>
          <w:p>
            <w:pPr>
              <w:pStyle w:val="TableParagraph"/>
              <w:spacing w:line="226" w:lineRule="exact"/>
              <w:ind w:left="200"/>
              <w:rPr>
                <w:sz w:val="20"/>
              </w:rPr>
            </w:pPr>
            <w:r>
              <w:rPr>
                <w:w w:val="95"/>
                <w:sz w:val="20"/>
              </w:rPr>
              <w:t>其他流动负债</w:t>
            </w:r>
          </w:p>
        </w:tc>
        <w:tc>
          <w:tcPr>
            <w:tcW w:w="1254" w:type="dxa"/>
          </w:tcPr>
          <w:p>
            <w:pPr>
              <w:pStyle w:val="TableParagraph"/>
              <w:spacing w:line="220" w:lineRule="exact" w:before="6"/>
              <w:ind w:left="406"/>
              <w:rPr>
                <w:rFonts w:ascii="Arial MT"/>
                <w:sz w:val="20"/>
              </w:rPr>
            </w:pPr>
            <w:r>
              <w:rPr>
                <w:rFonts w:ascii="Arial MT"/>
                <w:sz w:val="20"/>
              </w:rPr>
              <w:t>521,871</w:t>
            </w:r>
          </w:p>
        </w:tc>
        <w:tc>
          <w:tcPr>
            <w:tcW w:w="1258" w:type="dxa"/>
          </w:tcPr>
          <w:p>
            <w:pPr>
              <w:pStyle w:val="TableParagraph"/>
              <w:spacing w:line="220" w:lineRule="exact" w:before="6"/>
              <w:ind w:right="100"/>
              <w:jc w:val="right"/>
              <w:rPr>
                <w:rFonts w:ascii="Arial MT"/>
                <w:sz w:val="20"/>
              </w:rPr>
            </w:pPr>
            <w:r>
              <w:rPr>
                <w:rFonts w:ascii="Arial MT"/>
                <w:w w:val="99"/>
                <w:sz w:val="20"/>
              </w:rPr>
              <w:t>-</w:t>
            </w:r>
          </w:p>
        </w:tc>
        <w:tc>
          <w:tcPr>
            <w:tcW w:w="1294" w:type="dxa"/>
          </w:tcPr>
          <w:p>
            <w:pPr>
              <w:pStyle w:val="TableParagraph"/>
              <w:spacing w:line="220" w:lineRule="exact" w:before="6"/>
              <w:ind w:right="148"/>
              <w:jc w:val="right"/>
              <w:rPr>
                <w:rFonts w:ascii="Arial MT"/>
                <w:sz w:val="20"/>
              </w:rPr>
            </w:pPr>
            <w:r>
              <w:rPr>
                <w:rFonts w:ascii="Arial MT"/>
                <w:w w:val="99"/>
                <w:sz w:val="20"/>
              </w:rPr>
              <w:t>-</w:t>
            </w:r>
          </w:p>
        </w:tc>
        <w:tc>
          <w:tcPr>
            <w:tcW w:w="1290" w:type="dxa"/>
          </w:tcPr>
          <w:p>
            <w:pPr>
              <w:pStyle w:val="TableParagraph"/>
              <w:spacing w:line="220" w:lineRule="exact" w:before="6"/>
              <w:ind w:right="125"/>
              <w:jc w:val="right"/>
              <w:rPr>
                <w:rFonts w:ascii="Arial MT"/>
                <w:sz w:val="20"/>
              </w:rPr>
            </w:pPr>
            <w:r>
              <w:rPr>
                <w:rFonts w:ascii="Arial MT"/>
                <w:w w:val="99"/>
                <w:sz w:val="20"/>
              </w:rPr>
              <w:t>-</w:t>
            </w:r>
          </w:p>
        </w:tc>
        <w:tc>
          <w:tcPr>
            <w:tcW w:w="1264" w:type="dxa"/>
          </w:tcPr>
          <w:p>
            <w:pPr>
              <w:pStyle w:val="TableParagraph"/>
              <w:spacing w:line="220" w:lineRule="exact" w:before="6"/>
              <w:ind w:left="444"/>
              <w:rPr>
                <w:rFonts w:ascii="Arial MT"/>
                <w:sz w:val="20"/>
              </w:rPr>
            </w:pPr>
            <w:r>
              <w:rPr>
                <w:rFonts w:ascii="Arial MT"/>
                <w:sz w:val="20"/>
              </w:rPr>
              <w:t>521,871</w:t>
            </w:r>
          </w:p>
        </w:tc>
      </w:tr>
      <w:tr>
        <w:trPr>
          <w:trHeight w:val="246" w:hRule="atLeast"/>
        </w:trPr>
        <w:tc>
          <w:tcPr>
            <w:tcW w:w="1861" w:type="dxa"/>
          </w:tcPr>
          <w:p>
            <w:pPr>
              <w:pStyle w:val="TableParagraph"/>
              <w:spacing w:line="226" w:lineRule="exact"/>
              <w:ind w:left="200"/>
              <w:rPr>
                <w:sz w:val="20"/>
              </w:rPr>
            </w:pPr>
            <w:r>
              <w:rPr>
                <w:w w:val="95"/>
                <w:sz w:val="20"/>
              </w:rPr>
              <w:t>租赁负债</w:t>
            </w:r>
          </w:p>
        </w:tc>
        <w:tc>
          <w:tcPr>
            <w:tcW w:w="1254" w:type="dxa"/>
          </w:tcPr>
          <w:p>
            <w:pPr>
              <w:pStyle w:val="TableParagraph"/>
              <w:spacing w:line="218" w:lineRule="exact" w:before="7"/>
              <w:ind w:left="240"/>
              <w:rPr>
                <w:rFonts w:ascii="Arial MT"/>
                <w:sz w:val="20"/>
              </w:rPr>
            </w:pPr>
            <w:r>
              <w:rPr>
                <w:rFonts w:ascii="Arial MT"/>
                <w:sz w:val="20"/>
              </w:rPr>
              <w:t>1,134,471</w:t>
            </w:r>
          </w:p>
        </w:tc>
        <w:tc>
          <w:tcPr>
            <w:tcW w:w="1258" w:type="dxa"/>
          </w:tcPr>
          <w:p>
            <w:pPr>
              <w:pStyle w:val="TableParagraph"/>
              <w:spacing w:line="218" w:lineRule="exact" w:before="7"/>
              <w:ind w:right="80"/>
              <w:jc w:val="right"/>
              <w:rPr>
                <w:rFonts w:ascii="Arial MT"/>
                <w:sz w:val="20"/>
              </w:rPr>
            </w:pPr>
            <w:r>
              <w:rPr>
                <w:rFonts w:ascii="Arial MT"/>
                <w:sz w:val="20"/>
              </w:rPr>
              <w:t>439,690</w:t>
            </w:r>
          </w:p>
        </w:tc>
        <w:tc>
          <w:tcPr>
            <w:tcW w:w="1294" w:type="dxa"/>
          </w:tcPr>
          <w:p>
            <w:pPr>
              <w:pStyle w:val="TableParagraph"/>
              <w:spacing w:line="218" w:lineRule="exact" w:before="7"/>
              <w:ind w:left="452"/>
              <w:rPr>
                <w:rFonts w:ascii="Arial MT"/>
                <w:sz w:val="20"/>
              </w:rPr>
            </w:pPr>
            <w:r>
              <w:rPr>
                <w:rFonts w:ascii="Arial MT"/>
                <w:sz w:val="20"/>
              </w:rPr>
              <w:t>479,230</w:t>
            </w:r>
          </w:p>
        </w:tc>
        <w:tc>
          <w:tcPr>
            <w:tcW w:w="1290" w:type="dxa"/>
          </w:tcPr>
          <w:p>
            <w:pPr>
              <w:pStyle w:val="TableParagraph"/>
              <w:spacing w:line="218" w:lineRule="exact" w:before="7"/>
              <w:ind w:left="462"/>
              <w:rPr>
                <w:rFonts w:ascii="Arial MT"/>
                <w:sz w:val="20"/>
              </w:rPr>
            </w:pPr>
            <w:r>
              <w:rPr>
                <w:rFonts w:ascii="Arial MT"/>
                <w:sz w:val="20"/>
              </w:rPr>
              <w:t>225,414</w:t>
            </w:r>
          </w:p>
        </w:tc>
        <w:tc>
          <w:tcPr>
            <w:tcW w:w="1264" w:type="dxa"/>
          </w:tcPr>
          <w:p>
            <w:pPr>
              <w:pStyle w:val="TableParagraph"/>
              <w:spacing w:line="218" w:lineRule="exact" w:before="7"/>
              <w:ind w:left="279"/>
              <w:rPr>
                <w:rFonts w:ascii="Arial MT"/>
                <w:sz w:val="20"/>
              </w:rPr>
            </w:pPr>
            <w:r>
              <w:rPr>
                <w:rFonts w:ascii="Arial MT"/>
                <w:sz w:val="20"/>
              </w:rPr>
              <w:t>2,278,805</w:t>
            </w:r>
          </w:p>
        </w:tc>
      </w:tr>
      <w:tr>
        <w:trPr>
          <w:trHeight w:val="251" w:hRule="atLeast"/>
        </w:trPr>
        <w:tc>
          <w:tcPr>
            <w:tcW w:w="1861" w:type="dxa"/>
          </w:tcPr>
          <w:p>
            <w:pPr>
              <w:pStyle w:val="TableParagraph"/>
              <w:spacing w:line="232" w:lineRule="exact"/>
              <w:ind w:left="200"/>
              <w:rPr>
                <w:sz w:val="20"/>
              </w:rPr>
            </w:pPr>
            <w:r>
              <w:rPr>
                <w:w w:val="95"/>
                <w:sz w:val="20"/>
              </w:rPr>
              <w:t>长期借款</w:t>
            </w:r>
          </w:p>
        </w:tc>
        <w:tc>
          <w:tcPr>
            <w:tcW w:w="1254" w:type="dxa"/>
          </w:tcPr>
          <w:p>
            <w:pPr>
              <w:pStyle w:val="TableParagraph"/>
              <w:spacing w:line="223" w:lineRule="exact" w:before="9"/>
              <w:rPr>
                <w:rFonts w:ascii="Arial MT"/>
                <w:sz w:val="20"/>
              </w:rPr>
            </w:pPr>
            <w:r>
              <w:rPr>
                <w:rFonts w:ascii="Arial MT"/>
                <w:w w:val="99"/>
                <w:sz w:val="20"/>
                <w:u w:val="single"/>
              </w:rPr>
              <w:t> </w:t>
            </w:r>
            <w:r>
              <w:rPr>
                <w:rFonts w:ascii="Arial MT"/>
                <w:sz w:val="20"/>
                <w:u w:val="single"/>
              </w:rPr>
              <w:t>  </w:t>
            </w:r>
            <w:r>
              <w:rPr>
                <w:rFonts w:ascii="Arial MT"/>
                <w:spacing w:val="17"/>
                <w:sz w:val="20"/>
                <w:u w:val="single"/>
              </w:rPr>
              <w:t> </w:t>
            </w:r>
            <w:r>
              <w:rPr>
                <w:rFonts w:ascii="Arial MT"/>
                <w:sz w:val="20"/>
                <w:u w:val="single"/>
              </w:rPr>
              <w:t>4,594,921</w:t>
            </w:r>
            <w:r>
              <w:rPr>
                <w:rFonts w:ascii="Arial MT"/>
                <w:spacing w:val="21"/>
                <w:sz w:val="20"/>
                <w:u w:val="single"/>
              </w:rPr>
              <w:t> </w:t>
            </w:r>
          </w:p>
        </w:tc>
        <w:tc>
          <w:tcPr>
            <w:tcW w:w="1258" w:type="dxa"/>
          </w:tcPr>
          <w:p>
            <w:pPr>
              <w:pStyle w:val="TableParagraph"/>
              <w:tabs>
                <w:tab w:pos="405" w:val="left" w:leader="none"/>
              </w:tabs>
              <w:spacing w:line="223" w:lineRule="exact" w:before="9"/>
              <w:ind w:right="80"/>
              <w:jc w:val="right"/>
              <w:rPr>
                <w:rFonts w:ascii="Arial MT"/>
                <w:sz w:val="20"/>
              </w:rPr>
            </w:pPr>
            <w:r>
              <w:rPr>
                <w:rFonts w:ascii="Arial MT"/>
                <w:w w:val="99"/>
                <w:sz w:val="20"/>
                <w:u w:val="single"/>
              </w:rPr>
              <w:t> </w:t>
            </w:r>
            <w:r>
              <w:rPr>
                <w:rFonts w:ascii="Arial MT"/>
                <w:sz w:val="20"/>
                <w:u w:val="single"/>
              </w:rPr>
              <w:tab/>
            </w:r>
            <w:r>
              <w:rPr>
                <w:rFonts w:ascii="Arial MT"/>
                <w:sz w:val="20"/>
                <w:u w:val="single"/>
              </w:rPr>
              <w:t>193,379</w:t>
            </w:r>
          </w:p>
        </w:tc>
        <w:tc>
          <w:tcPr>
            <w:tcW w:w="1294" w:type="dxa"/>
          </w:tcPr>
          <w:p>
            <w:pPr>
              <w:pStyle w:val="TableParagraph"/>
              <w:spacing w:line="223" w:lineRule="exact" w:before="9"/>
              <w:ind w:right="54"/>
              <w:jc w:val="right"/>
              <w:rPr>
                <w:rFonts w:ascii="Arial MT"/>
                <w:sz w:val="20"/>
              </w:rPr>
            </w:pPr>
            <w:r>
              <w:rPr>
                <w:rFonts w:ascii="Arial MT"/>
                <w:w w:val="99"/>
                <w:sz w:val="20"/>
                <w:u w:val="single"/>
              </w:rPr>
              <w:t> </w:t>
            </w:r>
            <w:r>
              <w:rPr>
                <w:rFonts w:ascii="Arial MT"/>
                <w:sz w:val="20"/>
                <w:u w:val="single"/>
              </w:rPr>
              <w:t>  </w:t>
            </w:r>
            <w:r>
              <w:rPr>
                <w:rFonts w:ascii="Arial MT"/>
                <w:spacing w:val="17"/>
                <w:sz w:val="20"/>
                <w:u w:val="single"/>
              </w:rPr>
              <w:t> </w:t>
            </w:r>
            <w:r>
              <w:rPr>
                <w:rFonts w:ascii="Arial MT"/>
                <w:sz w:val="20"/>
                <w:u w:val="single"/>
              </w:rPr>
              <w:t>3,524,587</w:t>
            </w:r>
            <w:r>
              <w:rPr>
                <w:rFonts w:ascii="Arial MT"/>
                <w:spacing w:val="6"/>
                <w:sz w:val="20"/>
                <w:u w:val="single"/>
              </w:rPr>
              <w:t> </w:t>
            </w:r>
          </w:p>
        </w:tc>
        <w:tc>
          <w:tcPr>
            <w:tcW w:w="1290" w:type="dxa"/>
          </w:tcPr>
          <w:p>
            <w:pPr>
              <w:pStyle w:val="TableParagraph"/>
              <w:tabs>
                <w:tab w:pos="1096" w:val="left" w:leader="none"/>
              </w:tabs>
              <w:spacing w:line="223" w:lineRule="exact" w:before="9"/>
              <w:ind w:left="56"/>
              <w:rPr>
                <w:rFonts w:ascii="Arial MT"/>
                <w:sz w:val="20"/>
              </w:rPr>
            </w:pPr>
            <w:r>
              <w:rPr>
                <w:rFonts w:ascii="Arial MT"/>
                <w:w w:val="99"/>
                <w:sz w:val="20"/>
                <w:u w:val="single"/>
              </w:rPr>
              <w:t> </w:t>
            </w:r>
            <w:r>
              <w:rPr>
                <w:rFonts w:ascii="Arial MT"/>
                <w:sz w:val="20"/>
                <w:u w:val="single"/>
              </w:rPr>
              <w:tab/>
            </w:r>
            <w:r>
              <w:rPr>
                <w:rFonts w:ascii="Arial MT"/>
                <w:sz w:val="20"/>
                <w:u w:val="single"/>
              </w:rPr>
              <w:t>- </w:t>
            </w:r>
            <w:r>
              <w:rPr>
                <w:rFonts w:ascii="Arial MT"/>
                <w:spacing w:val="-24"/>
                <w:sz w:val="20"/>
                <w:u w:val="single"/>
              </w:rPr>
              <w:t> </w:t>
            </w:r>
          </w:p>
        </w:tc>
        <w:tc>
          <w:tcPr>
            <w:tcW w:w="1264" w:type="dxa"/>
          </w:tcPr>
          <w:p>
            <w:pPr>
              <w:pStyle w:val="TableParagraph"/>
              <w:spacing w:line="223" w:lineRule="exact" w:before="9"/>
              <w:ind w:left="39"/>
              <w:rPr>
                <w:rFonts w:ascii="Arial MT"/>
                <w:sz w:val="20"/>
              </w:rPr>
            </w:pPr>
            <w:r>
              <w:rPr>
                <w:rFonts w:ascii="Arial MT"/>
                <w:w w:val="99"/>
                <w:sz w:val="20"/>
                <w:u w:val="single"/>
              </w:rPr>
              <w:t> </w:t>
            </w:r>
            <w:r>
              <w:rPr>
                <w:rFonts w:ascii="Arial MT"/>
                <w:sz w:val="20"/>
                <w:u w:val="single"/>
              </w:rPr>
              <w:t>  </w:t>
            </w:r>
            <w:r>
              <w:rPr>
                <w:rFonts w:ascii="Arial MT"/>
                <w:spacing w:val="17"/>
                <w:sz w:val="20"/>
                <w:u w:val="single"/>
              </w:rPr>
              <w:t> </w:t>
            </w:r>
            <w:r>
              <w:rPr>
                <w:rFonts w:ascii="Arial MT"/>
                <w:sz w:val="20"/>
                <w:u w:val="single"/>
              </w:rPr>
              <w:t>8,312,887 </w:t>
            </w:r>
            <w:r>
              <w:rPr>
                <w:rFonts w:ascii="Arial MT"/>
                <w:spacing w:val="-16"/>
                <w:sz w:val="20"/>
                <w:u w:val="single"/>
              </w:rPr>
              <w:t> </w:t>
            </w:r>
          </w:p>
        </w:tc>
      </w:tr>
      <w:tr>
        <w:trPr>
          <w:trHeight w:val="227" w:hRule="atLeast"/>
        </w:trPr>
        <w:tc>
          <w:tcPr>
            <w:tcW w:w="1861" w:type="dxa"/>
          </w:tcPr>
          <w:p>
            <w:pPr>
              <w:pStyle w:val="TableParagraph"/>
              <w:rPr>
                <w:rFonts w:ascii="Times New Roman"/>
                <w:sz w:val="16"/>
              </w:rPr>
            </w:pPr>
          </w:p>
        </w:tc>
        <w:tc>
          <w:tcPr>
            <w:tcW w:w="1254" w:type="dxa"/>
          </w:tcPr>
          <w:p>
            <w:pPr>
              <w:pStyle w:val="TableParagraph"/>
              <w:spacing w:line="207" w:lineRule="exact"/>
              <w:ind w:left="-14"/>
              <w:rPr>
                <w:rFonts w:ascii="Arial MT"/>
                <w:sz w:val="20"/>
              </w:rPr>
            </w:pPr>
            <w:r>
              <w:rPr>
                <w:rFonts w:ascii="Arial MT"/>
                <w:spacing w:val="-25"/>
                <w:w w:val="99"/>
                <w:sz w:val="20"/>
                <w:u w:val="thick"/>
              </w:rPr>
              <w:t> </w:t>
            </w:r>
            <w:r>
              <w:rPr>
                <w:rFonts w:ascii="Arial MT"/>
                <w:sz w:val="20"/>
                <w:u w:val="thick"/>
              </w:rPr>
              <w:t>143,275,166</w:t>
            </w:r>
            <w:r>
              <w:rPr>
                <w:rFonts w:ascii="Arial MT"/>
                <w:spacing w:val="23"/>
                <w:sz w:val="20"/>
                <w:u w:val="thick"/>
              </w:rPr>
              <w:t> </w:t>
            </w:r>
          </w:p>
        </w:tc>
        <w:tc>
          <w:tcPr>
            <w:tcW w:w="1258" w:type="dxa"/>
          </w:tcPr>
          <w:p>
            <w:pPr>
              <w:pStyle w:val="TableParagraph"/>
              <w:tabs>
                <w:tab w:pos="419" w:val="left" w:leader="none"/>
              </w:tabs>
              <w:spacing w:line="207" w:lineRule="exact"/>
              <w:ind w:right="80"/>
              <w:jc w:val="right"/>
              <w:rPr>
                <w:rFonts w:ascii="Arial MT"/>
                <w:sz w:val="20"/>
              </w:rPr>
            </w:pPr>
            <w:r>
              <w:rPr>
                <w:rFonts w:ascii="Arial MT"/>
                <w:w w:val="99"/>
                <w:sz w:val="20"/>
                <w:u w:val="thick"/>
              </w:rPr>
              <w:t> </w:t>
            </w:r>
            <w:r>
              <w:rPr>
                <w:rFonts w:ascii="Arial MT"/>
                <w:sz w:val="20"/>
                <w:u w:val="thick"/>
              </w:rPr>
              <w:tab/>
            </w:r>
            <w:r>
              <w:rPr>
                <w:rFonts w:ascii="Arial MT"/>
                <w:sz w:val="20"/>
                <w:u w:val="thick"/>
              </w:rPr>
              <w:t>633,069</w:t>
            </w:r>
          </w:p>
        </w:tc>
        <w:tc>
          <w:tcPr>
            <w:tcW w:w="1294" w:type="dxa"/>
          </w:tcPr>
          <w:p>
            <w:pPr>
              <w:pStyle w:val="TableParagraph"/>
              <w:spacing w:line="207" w:lineRule="exact"/>
              <w:ind w:right="54"/>
              <w:jc w:val="right"/>
              <w:rPr>
                <w:rFonts w:ascii="Arial MT"/>
                <w:sz w:val="20"/>
              </w:rPr>
            </w:pPr>
            <w:r>
              <w:rPr>
                <w:rFonts w:ascii="Arial MT"/>
                <w:w w:val="99"/>
                <w:sz w:val="20"/>
                <w:u w:val="thick"/>
              </w:rPr>
              <w:t> </w:t>
            </w:r>
            <w:r>
              <w:rPr>
                <w:rFonts w:ascii="Arial MT"/>
                <w:sz w:val="20"/>
                <w:u w:val="thick"/>
              </w:rPr>
              <w:t>   </w:t>
            </w:r>
            <w:r>
              <w:rPr>
                <w:rFonts w:ascii="Arial MT"/>
                <w:spacing w:val="-24"/>
                <w:sz w:val="20"/>
                <w:u w:val="thick"/>
              </w:rPr>
              <w:t> </w:t>
            </w:r>
            <w:r>
              <w:rPr>
                <w:rFonts w:ascii="Arial MT"/>
                <w:sz w:val="20"/>
                <w:u w:val="thick"/>
              </w:rPr>
              <w:t>4,003,817</w:t>
            </w:r>
            <w:r>
              <w:rPr>
                <w:rFonts w:ascii="Arial MT"/>
                <w:spacing w:val="6"/>
                <w:sz w:val="20"/>
                <w:u w:val="thick"/>
              </w:rPr>
              <w:t> </w:t>
            </w:r>
          </w:p>
        </w:tc>
        <w:tc>
          <w:tcPr>
            <w:tcW w:w="1290" w:type="dxa"/>
          </w:tcPr>
          <w:p>
            <w:pPr>
              <w:pStyle w:val="TableParagraph"/>
              <w:tabs>
                <w:tab w:pos="461" w:val="left" w:leader="none"/>
              </w:tabs>
              <w:spacing w:line="207" w:lineRule="exact"/>
              <w:ind w:left="42" w:right="-58"/>
              <w:rPr>
                <w:rFonts w:ascii="Arial MT"/>
                <w:sz w:val="20"/>
              </w:rPr>
            </w:pPr>
            <w:r>
              <w:rPr>
                <w:rFonts w:ascii="Arial MT"/>
                <w:w w:val="99"/>
                <w:sz w:val="20"/>
                <w:u w:val="thick"/>
              </w:rPr>
              <w:t> </w:t>
            </w:r>
            <w:r>
              <w:rPr>
                <w:rFonts w:ascii="Arial MT"/>
                <w:sz w:val="20"/>
                <w:u w:val="thick"/>
              </w:rPr>
              <w:tab/>
            </w:r>
            <w:r>
              <w:rPr>
                <w:rFonts w:ascii="Arial MT"/>
                <w:sz w:val="20"/>
                <w:u w:val="thick"/>
              </w:rPr>
              <w:t>225,414</w:t>
            </w:r>
            <w:r>
              <w:rPr>
                <w:rFonts w:ascii="Arial MT"/>
                <w:spacing w:val="-3"/>
                <w:sz w:val="20"/>
                <w:u w:val="thick"/>
              </w:rPr>
              <w:t> </w:t>
            </w:r>
          </w:p>
        </w:tc>
        <w:tc>
          <w:tcPr>
            <w:tcW w:w="1264" w:type="dxa"/>
          </w:tcPr>
          <w:p>
            <w:pPr>
              <w:pStyle w:val="TableParagraph"/>
              <w:spacing w:line="207" w:lineRule="exact"/>
              <w:ind w:left="55"/>
              <w:rPr>
                <w:rFonts w:ascii="Arial MT"/>
                <w:sz w:val="20"/>
              </w:rPr>
            </w:pPr>
            <w:r>
              <w:rPr>
                <w:rFonts w:ascii="Arial MT"/>
                <w:sz w:val="20"/>
                <w:u w:val="thick"/>
              </w:rPr>
              <w:t>148,137,466 </w:t>
            </w:r>
            <w:r>
              <w:rPr>
                <w:rFonts w:ascii="Arial MT"/>
                <w:spacing w:val="-14"/>
                <w:sz w:val="20"/>
                <w:u w:val="thick"/>
              </w:rPr>
              <w:t> </w:t>
            </w:r>
          </w:p>
        </w:tc>
      </w:tr>
    </w:tbl>
    <w:p>
      <w:pPr>
        <w:pStyle w:val="BodyText"/>
        <w:spacing w:before="2"/>
        <w:ind w:left="0"/>
        <w:rPr>
          <w:sz w:val="24"/>
        </w:rPr>
      </w:pPr>
    </w:p>
    <w:tbl>
      <w:tblPr>
        <w:tblW w:w="0" w:type="auto"/>
        <w:jc w:val="left"/>
        <w:tblInd w:w="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61"/>
        <w:gridCol w:w="1254"/>
        <w:gridCol w:w="1258"/>
        <w:gridCol w:w="1294"/>
        <w:gridCol w:w="1290"/>
        <w:gridCol w:w="1264"/>
      </w:tblGrid>
      <w:tr>
        <w:trPr>
          <w:trHeight w:val="235" w:hRule="atLeast"/>
        </w:trPr>
        <w:tc>
          <w:tcPr>
            <w:tcW w:w="8221" w:type="dxa"/>
            <w:gridSpan w:val="6"/>
          </w:tcPr>
          <w:p>
            <w:pPr>
              <w:pStyle w:val="TableParagraph"/>
              <w:spacing w:line="215" w:lineRule="exact"/>
              <w:ind w:left="4177"/>
              <w:rPr>
                <w:sz w:val="20"/>
              </w:rPr>
            </w:pPr>
            <w:r>
              <w:rPr>
                <w:rFonts w:ascii="Arial MT" w:eastAsia="Arial MT"/>
                <w:w w:val="95"/>
                <w:sz w:val="20"/>
              </w:rPr>
              <w:t>2021</w:t>
            </w:r>
            <w:r>
              <w:rPr>
                <w:rFonts w:ascii="Arial MT" w:eastAsia="Arial MT"/>
                <w:spacing w:val="-1"/>
                <w:w w:val="95"/>
                <w:sz w:val="20"/>
              </w:rPr>
              <w:t> </w:t>
            </w:r>
            <w:r>
              <w:rPr>
                <w:spacing w:val="-17"/>
                <w:w w:val="95"/>
                <w:sz w:val="20"/>
              </w:rPr>
              <w:t>年 </w:t>
            </w:r>
            <w:r>
              <w:rPr>
                <w:rFonts w:ascii="Arial MT" w:eastAsia="Arial MT"/>
                <w:w w:val="95"/>
                <w:sz w:val="20"/>
              </w:rPr>
              <w:t>12</w:t>
            </w:r>
            <w:r>
              <w:rPr>
                <w:rFonts w:ascii="Arial MT" w:eastAsia="Arial MT"/>
                <w:spacing w:val="-1"/>
                <w:w w:val="95"/>
                <w:sz w:val="20"/>
              </w:rPr>
              <w:t> </w:t>
            </w:r>
            <w:r>
              <w:rPr>
                <w:spacing w:val="-15"/>
                <w:w w:val="95"/>
                <w:sz w:val="20"/>
              </w:rPr>
              <w:t>月 </w:t>
            </w:r>
            <w:r>
              <w:rPr>
                <w:rFonts w:ascii="Arial MT" w:eastAsia="Arial MT"/>
                <w:w w:val="95"/>
                <w:sz w:val="20"/>
              </w:rPr>
              <w:t>31</w:t>
            </w:r>
            <w:r>
              <w:rPr>
                <w:rFonts w:ascii="Arial MT" w:eastAsia="Arial MT"/>
                <w:spacing w:val="2"/>
                <w:w w:val="95"/>
                <w:sz w:val="20"/>
              </w:rPr>
              <w:t> </w:t>
            </w:r>
            <w:r>
              <w:rPr>
                <w:w w:val="95"/>
                <w:sz w:val="20"/>
              </w:rPr>
              <w:t>日</w:t>
            </w:r>
          </w:p>
        </w:tc>
      </w:tr>
      <w:tr>
        <w:trPr>
          <w:trHeight w:val="356" w:hRule="atLeast"/>
        </w:trPr>
        <w:tc>
          <w:tcPr>
            <w:tcW w:w="1861" w:type="dxa"/>
          </w:tcPr>
          <w:p>
            <w:pPr>
              <w:pStyle w:val="TableParagraph"/>
              <w:rPr>
                <w:rFonts w:ascii="Times New Roman"/>
                <w:sz w:val="20"/>
              </w:rPr>
            </w:pPr>
          </w:p>
        </w:tc>
        <w:tc>
          <w:tcPr>
            <w:tcW w:w="1254" w:type="dxa"/>
            <w:tcBorders>
              <w:top w:val="single" w:sz="4" w:space="0" w:color="000000"/>
            </w:tcBorders>
          </w:tcPr>
          <w:p>
            <w:pPr>
              <w:pStyle w:val="TableParagraph"/>
              <w:spacing w:line="246" w:lineRule="exact"/>
              <w:ind w:left="348"/>
              <w:rPr>
                <w:sz w:val="20"/>
              </w:rPr>
            </w:pPr>
            <w:r>
              <w:rPr>
                <w:w w:val="95"/>
                <w:sz w:val="20"/>
              </w:rPr>
              <w:t>一年以内</w:t>
            </w:r>
          </w:p>
        </w:tc>
        <w:tc>
          <w:tcPr>
            <w:tcW w:w="1258" w:type="dxa"/>
            <w:tcBorders>
              <w:top w:val="single" w:sz="4" w:space="0" w:color="000000"/>
            </w:tcBorders>
          </w:tcPr>
          <w:p>
            <w:pPr>
              <w:pStyle w:val="TableParagraph"/>
              <w:spacing w:line="246" w:lineRule="exact"/>
              <w:ind w:right="104"/>
              <w:jc w:val="right"/>
              <w:rPr>
                <w:sz w:val="20"/>
              </w:rPr>
            </w:pPr>
            <w:r>
              <w:rPr>
                <w:w w:val="95"/>
                <w:sz w:val="20"/>
              </w:rPr>
              <w:t>一到二年</w:t>
            </w:r>
          </w:p>
        </w:tc>
        <w:tc>
          <w:tcPr>
            <w:tcW w:w="1294" w:type="dxa"/>
            <w:tcBorders>
              <w:top w:val="single" w:sz="4" w:space="0" w:color="000000"/>
            </w:tcBorders>
          </w:tcPr>
          <w:p>
            <w:pPr>
              <w:pStyle w:val="TableParagraph"/>
              <w:spacing w:line="246" w:lineRule="exact"/>
              <w:ind w:left="380"/>
              <w:rPr>
                <w:sz w:val="20"/>
              </w:rPr>
            </w:pPr>
            <w:r>
              <w:rPr>
                <w:w w:val="95"/>
                <w:sz w:val="20"/>
              </w:rPr>
              <w:t>二到五年</w:t>
            </w:r>
          </w:p>
        </w:tc>
        <w:tc>
          <w:tcPr>
            <w:tcW w:w="1290" w:type="dxa"/>
            <w:tcBorders>
              <w:top w:val="single" w:sz="4" w:space="0" w:color="000000"/>
            </w:tcBorders>
          </w:tcPr>
          <w:p>
            <w:pPr>
              <w:pStyle w:val="TableParagraph"/>
              <w:spacing w:line="246" w:lineRule="exact"/>
              <w:ind w:left="390"/>
              <w:rPr>
                <w:sz w:val="20"/>
              </w:rPr>
            </w:pPr>
            <w:r>
              <w:rPr>
                <w:w w:val="95"/>
                <w:sz w:val="20"/>
              </w:rPr>
              <w:t>五年以上</w:t>
            </w:r>
          </w:p>
        </w:tc>
        <w:tc>
          <w:tcPr>
            <w:tcW w:w="1264" w:type="dxa"/>
            <w:tcBorders>
              <w:top w:val="single" w:sz="4" w:space="0" w:color="000000"/>
            </w:tcBorders>
          </w:tcPr>
          <w:p>
            <w:pPr>
              <w:pStyle w:val="TableParagraph"/>
              <w:spacing w:line="246" w:lineRule="exact"/>
              <w:ind w:left="804"/>
              <w:rPr>
                <w:sz w:val="20"/>
              </w:rPr>
            </w:pPr>
            <w:r>
              <w:rPr>
                <w:w w:val="95"/>
                <w:sz w:val="20"/>
              </w:rPr>
              <w:t>合计</w:t>
            </w:r>
          </w:p>
        </w:tc>
      </w:tr>
      <w:tr>
        <w:trPr>
          <w:trHeight w:val="375" w:hRule="atLeast"/>
        </w:trPr>
        <w:tc>
          <w:tcPr>
            <w:tcW w:w="1861" w:type="dxa"/>
          </w:tcPr>
          <w:p>
            <w:pPr>
              <w:pStyle w:val="TableParagraph"/>
              <w:spacing w:line="245" w:lineRule="exact" w:before="110"/>
              <w:ind w:left="200"/>
              <w:rPr>
                <w:sz w:val="20"/>
              </w:rPr>
            </w:pPr>
            <w:r>
              <w:rPr>
                <w:w w:val="95"/>
                <w:sz w:val="20"/>
              </w:rPr>
              <w:t>短期借款</w:t>
            </w:r>
          </w:p>
        </w:tc>
        <w:tc>
          <w:tcPr>
            <w:tcW w:w="1254" w:type="dxa"/>
          </w:tcPr>
          <w:p>
            <w:pPr>
              <w:pStyle w:val="TableParagraph"/>
              <w:spacing w:line="218" w:lineRule="exact" w:before="137"/>
              <w:ind w:left="127"/>
              <w:rPr>
                <w:rFonts w:ascii="Arial MT"/>
                <w:sz w:val="20"/>
              </w:rPr>
            </w:pPr>
            <w:r>
              <w:rPr>
                <w:rFonts w:ascii="Arial MT"/>
                <w:sz w:val="20"/>
              </w:rPr>
              <w:t>52,201,770</w:t>
            </w:r>
          </w:p>
        </w:tc>
        <w:tc>
          <w:tcPr>
            <w:tcW w:w="1258" w:type="dxa"/>
          </w:tcPr>
          <w:p>
            <w:pPr>
              <w:pStyle w:val="TableParagraph"/>
              <w:spacing w:line="218" w:lineRule="exact" w:before="137"/>
              <w:ind w:right="69"/>
              <w:jc w:val="right"/>
              <w:rPr>
                <w:rFonts w:ascii="Arial MT"/>
                <w:sz w:val="20"/>
              </w:rPr>
            </w:pPr>
            <w:r>
              <w:rPr>
                <w:rFonts w:ascii="Arial MT"/>
                <w:w w:val="99"/>
                <w:sz w:val="20"/>
              </w:rPr>
              <w:t>-</w:t>
            </w:r>
          </w:p>
        </w:tc>
        <w:tc>
          <w:tcPr>
            <w:tcW w:w="1294" w:type="dxa"/>
          </w:tcPr>
          <w:p>
            <w:pPr>
              <w:pStyle w:val="TableParagraph"/>
              <w:spacing w:line="218" w:lineRule="exact" w:before="137"/>
              <w:ind w:right="115"/>
              <w:jc w:val="right"/>
              <w:rPr>
                <w:rFonts w:ascii="Arial MT"/>
                <w:sz w:val="20"/>
              </w:rPr>
            </w:pPr>
            <w:r>
              <w:rPr>
                <w:rFonts w:ascii="Arial MT"/>
                <w:w w:val="99"/>
                <w:sz w:val="20"/>
              </w:rPr>
              <w:t>-</w:t>
            </w:r>
          </w:p>
        </w:tc>
        <w:tc>
          <w:tcPr>
            <w:tcW w:w="1290" w:type="dxa"/>
          </w:tcPr>
          <w:p>
            <w:pPr>
              <w:pStyle w:val="TableParagraph"/>
              <w:spacing w:line="218" w:lineRule="exact" w:before="137"/>
              <w:ind w:right="101"/>
              <w:jc w:val="right"/>
              <w:rPr>
                <w:rFonts w:ascii="Arial MT"/>
                <w:sz w:val="20"/>
              </w:rPr>
            </w:pPr>
            <w:r>
              <w:rPr>
                <w:rFonts w:ascii="Arial MT"/>
                <w:w w:val="99"/>
                <w:sz w:val="20"/>
              </w:rPr>
              <w:t>-</w:t>
            </w:r>
          </w:p>
        </w:tc>
        <w:tc>
          <w:tcPr>
            <w:tcW w:w="1264" w:type="dxa"/>
          </w:tcPr>
          <w:p>
            <w:pPr>
              <w:pStyle w:val="TableParagraph"/>
              <w:spacing w:line="218" w:lineRule="exact" w:before="137"/>
              <w:ind w:left="166"/>
              <w:rPr>
                <w:rFonts w:ascii="Arial MT"/>
                <w:sz w:val="20"/>
              </w:rPr>
            </w:pPr>
            <w:r>
              <w:rPr>
                <w:rFonts w:ascii="Arial MT"/>
                <w:sz w:val="20"/>
              </w:rPr>
              <w:t>52,201,770</w:t>
            </w:r>
          </w:p>
        </w:tc>
      </w:tr>
      <w:tr>
        <w:trPr>
          <w:trHeight w:val="247" w:hRule="atLeast"/>
        </w:trPr>
        <w:tc>
          <w:tcPr>
            <w:tcW w:w="1861" w:type="dxa"/>
          </w:tcPr>
          <w:p>
            <w:pPr>
              <w:pStyle w:val="TableParagraph"/>
              <w:spacing w:line="227" w:lineRule="exact"/>
              <w:ind w:left="200"/>
              <w:rPr>
                <w:sz w:val="20"/>
              </w:rPr>
            </w:pPr>
            <w:r>
              <w:rPr>
                <w:w w:val="95"/>
                <w:sz w:val="20"/>
              </w:rPr>
              <w:t>衍生金融负债</w:t>
            </w:r>
          </w:p>
        </w:tc>
        <w:tc>
          <w:tcPr>
            <w:tcW w:w="1254" w:type="dxa"/>
          </w:tcPr>
          <w:p>
            <w:pPr>
              <w:pStyle w:val="TableParagraph"/>
              <w:spacing w:line="218" w:lineRule="exact" w:before="9"/>
              <w:ind w:right="123"/>
              <w:jc w:val="right"/>
              <w:rPr>
                <w:rFonts w:ascii="Arial MT"/>
                <w:sz w:val="20"/>
              </w:rPr>
            </w:pPr>
            <w:r>
              <w:rPr>
                <w:rFonts w:ascii="Arial MT"/>
                <w:sz w:val="20"/>
              </w:rPr>
              <w:t>13,889</w:t>
            </w:r>
          </w:p>
        </w:tc>
        <w:tc>
          <w:tcPr>
            <w:tcW w:w="1258" w:type="dxa"/>
          </w:tcPr>
          <w:p>
            <w:pPr>
              <w:pStyle w:val="TableParagraph"/>
              <w:spacing w:line="218" w:lineRule="exact" w:before="9"/>
              <w:ind w:right="69"/>
              <w:jc w:val="right"/>
              <w:rPr>
                <w:rFonts w:ascii="Arial MT"/>
                <w:sz w:val="20"/>
              </w:rPr>
            </w:pPr>
            <w:r>
              <w:rPr>
                <w:rFonts w:ascii="Arial MT"/>
                <w:w w:val="99"/>
                <w:sz w:val="20"/>
              </w:rPr>
              <w:t>-</w:t>
            </w:r>
          </w:p>
        </w:tc>
        <w:tc>
          <w:tcPr>
            <w:tcW w:w="1294" w:type="dxa"/>
          </w:tcPr>
          <w:p>
            <w:pPr>
              <w:pStyle w:val="TableParagraph"/>
              <w:spacing w:line="218" w:lineRule="exact" w:before="9"/>
              <w:ind w:right="115"/>
              <w:jc w:val="right"/>
              <w:rPr>
                <w:rFonts w:ascii="Arial MT"/>
                <w:sz w:val="20"/>
              </w:rPr>
            </w:pPr>
            <w:r>
              <w:rPr>
                <w:rFonts w:ascii="Arial MT"/>
                <w:w w:val="99"/>
                <w:sz w:val="20"/>
              </w:rPr>
              <w:t>-</w:t>
            </w:r>
          </w:p>
        </w:tc>
        <w:tc>
          <w:tcPr>
            <w:tcW w:w="1290" w:type="dxa"/>
          </w:tcPr>
          <w:p>
            <w:pPr>
              <w:pStyle w:val="TableParagraph"/>
              <w:spacing w:line="218" w:lineRule="exact" w:before="9"/>
              <w:ind w:right="101"/>
              <w:jc w:val="right"/>
              <w:rPr>
                <w:rFonts w:ascii="Arial MT"/>
                <w:sz w:val="20"/>
              </w:rPr>
            </w:pPr>
            <w:r>
              <w:rPr>
                <w:rFonts w:ascii="Arial MT"/>
                <w:w w:val="99"/>
                <w:sz w:val="20"/>
              </w:rPr>
              <w:t>-</w:t>
            </w:r>
          </w:p>
        </w:tc>
        <w:tc>
          <w:tcPr>
            <w:tcW w:w="1264" w:type="dxa"/>
          </w:tcPr>
          <w:p>
            <w:pPr>
              <w:pStyle w:val="TableParagraph"/>
              <w:spacing w:line="218" w:lineRule="exact" w:before="9"/>
              <w:ind w:left="557"/>
              <w:rPr>
                <w:rFonts w:ascii="Arial MT"/>
                <w:sz w:val="20"/>
              </w:rPr>
            </w:pPr>
            <w:r>
              <w:rPr>
                <w:rFonts w:ascii="Arial MT"/>
                <w:sz w:val="20"/>
              </w:rPr>
              <w:t>13,889</w:t>
            </w:r>
          </w:p>
        </w:tc>
      </w:tr>
      <w:tr>
        <w:trPr>
          <w:trHeight w:val="247" w:hRule="atLeast"/>
        </w:trPr>
        <w:tc>
          <w:tcPr>
            <w:tcW w:w="1861" w:type="dxa"/>
          </w:tcPr>
          <w:p>
            <w:pPr>
              <w:pStyle w:val="TableParagraph"/>
              <w:spacing w:line="227" w:lineRule="exact"/>
              <w:ind w:left="200"/>
              <w:rPr>
                <w:sz w:val="20"/>
              </w:rPr>
            </w:pPr>
            <w:r>
              <w:rPr>
                <w:w w:val="95"/>
                <w:sz w:val="20"/>
              </w:rPr>
              <w:t>应付票据</w:t>
            </w:r>
          </w:p>
        </w:tc>
        <w:tc>
          <w:tcPr>
            <w:tcW w:w="1254" w:type="dxa"/>
          </w:tcPr>
          <w:p>
            <w:pPr>
              <w:pStyle w:val="TableParagraph"/>
              <w:spacing w:line="218" w:lineRule="exact" w:before="9"/>
              <w:ind w:left="406"/>
              <w:rPr>
                <w:rFonts w:ascii="Arial MT"/>
                <w:sz w:val="20"/>
              </w:rPr>
            </w:pPr>
            <w:r>
              <w:rPr>
                <w:rFonts w:ascii="Arial MT"/>
                <w:sz w:val="20"/>
              </w:rPr>
              <w:t>250,000</w:t>
            </w:r>
          </w:p>
        </w:tc>
        <w:tc>
          <w:tcPr>
            <w:tcW w:w="1258" w:type="dxa"/>
          </w:tcPr>
          <w:p>
            <w:pPr>
              <w:pStyle w:val="TableParagraph"/>
              <w:spacing w:line="218" w:lineRule="exact" w:before="9"/>
              <w:ind w:right="76"/>
              <w:jc w:val="right"/>
              <w:rPr>
                <w:rFonts w:ascii="Arial MT"/>
                <w:sz w:val="20"/>
              </w:rPr>
            </w:pPr>
            <w:r>
              <w:rPr>
                <w:rFonts w:ascii="Arial MT"/>
                <w:w w:val="99"/>
                <w:sz w:val="20"/>
              </w:rPr>
              <w:t>-</w:t>
            </w:r>
          </w:p>
        </w:tc>
        <w:tc>
          <w:tcPr>
            <w:tcW w:w="1294" w:type="dxa"/>
          </w:tcPr>
          <w:p>
            <w:pPr>
              <w:pStyle w:val="TableParagraph"/>
              <w:spacing w:line="218" w:lineRule="exact" w:before="9"/>
              <w:ind w:right="115"/>
              <w:jc w:val="right"/>
              <w:rPr>
                <w:rFonts w:ascii="Arial MT"/>
                <w:sz w:val="20"/>
              </w:rPr>
            </w:pPr>
            <w:r>
              <w:rPr>
                <w:rFonts w:ascii="Arial MT"/>
                <w:w w:val="99"/>
                <w:sz w:val="20"/>
              </w:rPr>
              <w:t>-</w:t>
            </w:r>
          </w:p>
        </w:tc>
        <w:tc>
          <w:tcPr>
            <w:tcW w:w="1290" w:type="dxa"/>
          </w:tcPr>
          <w:p>
            <w:pPr>
              <w:pStyle w:val="TableParagraph"/>
              <w:spacing w:line="218" w:lineRule="exact" w:before="9"/>
              <w:ind w:right="101"/>
              <w:jc w:val="right"/>
              <w:rPr>
                <w:rFonts w:ascii="Arial MT"/>
                <w:sz w:val="20"/>
              </w:rPr>
            </w:pPr>
            <w:r>
              <w:rPr>
                <w:rFonts w:ascii="Arial MT"/>
                <w:w w:val="99"/>
                <w:sz w:val="20"/>
              </w:rPr>
              <w:t>-</w:t>
            </w:r>
          </w:p>
        </w:tc>
        <w:tc>
          <w:tcPr>
            <w:tcW w:w="1264" w:type="dxa"/>
          </w:tcPr>
          <w:p>
            <w:pPr>
              <w:pStyle w:val="TableParagraph"/>
              <w:spacing w:line="218" w:lineRule="exact" w:before="9"/>
              <w:ind w:left="444"/>
              <w:rPr>
                <w:rFonts w:ascii="Arial MT"/>
                <w:sz w:val="20"/>
              </w:rPr>
            </w:pPr>
            <w:r>
              <w:rPr>
                <w:rFonts w:ascii="Arial MT"/>
                <w:sz w:val="20"/>
              </w:rPr>
              <w:t>250,000</w:t>
            </w:r>
          </w:p>
        </w:tc>
      </w:tr>
      <w:tr>
        <w:trPr>
          <w:trHeight w:val="244" w:hRule="atLeast"/>
        </w:trPr>
        <w:tc>
          <w:tcPr>
            <w:tcW w:w="1861" w:type="dxa"/>
          </w:tcPr>
          <w:p>
            <w:pPr>
              <w:pStyle w:val="TableParagraph"/>
              <w:spacing w:line="225" w:lineRule="exact"/>
              <w:ind w:left="200"/>
              <w:rPr>
                <w:sz w:val="20"/>
              </w:rPr>
            </w:pPr>
            <w:r>
              <w:rPr>
                <w:w w:val="95"/>
                <w:sz w:val="20"/>
              </w:rPr>
              <w:t>应付账款</w:t>
            </w:r>
          </w:p>
        </w:tc>
        <w:tc>
          <w:tcPr>
            <w:tcW w:w="1254" w:type="dxa"/>
          </w:tcPr>
          <w:p>
            <w:pPr>
              <w:pStyle w:val="TableParagraph"/>
              <w:spacing w:line="218" w:lineRule="exact" w:before="6"/>
              <w:ind w:left="127"/>
              <w:rPr>
                <w:rFonts w:ascii="Arial MT"/>
                <w:sz w:val="20"/>
              </w:rPr>
            </w:pPr>
            <w:r>
              <w:rPr>
                <w:rFonts w:ascii="Arial MT"/>
                <w:sz w:val="20"/>
              </w:rPr>
              <w:t>71,736,730</w:t>
            </w:r>
          </w:p>
        </w:tc>
        <w:tc>
          <w:tcPr>
            <w:tcW w:w="1258" w:type="dxa"/>
          </w:tcPr>
          <w:p>
            <w:pPr>
              <w:pStyle w:val="TableParagraph"/>
              <w:spacing w:line="218" w:lineRule="exact" w:before="6"/>
              <w:ind w:right="76"/>
              <w:jc w:val="right"/>
              <w:rPr>
                <w:rFonts w:ascii="Arial MT"/>
                <w:sz w:val="20"/>
              </w:rPr>
            </w:pPr>
            <w:r>
              <w:rPr>
                <w:rFonts w:ascii="Arial MT"/>
                <w:w w:val="99"/>
                <w:sz w:val="20"/>
              </w:rPr>
              <w:t>-</w:t>
            </w:r>
          </w:p>
        </w:tc>
        <w:tc>
          <w:tcPr>
            <w:tcW w:w="1294" w:type="dxa"/>
          </w:tcPr>
          <w:p>
            <w:pPr>
              <w:pStyle w:val="TableParagraph"/>
              <w:spacing w:line="218" w:lineRule="exact" w:before="6"/>
              <w:ind w:right="115"/>
              <w:jc w:val="right"/>
              <w:rPr>
                <w:rFonts w:ascii="Arial MT"/>
                <w:sz w:val="20"/>
              </w:rPr>
            </w:pPr>
            <w:r>
              <w:rPr>
                <w:rFonts w:ascii="Arial MT"/>
                <w:w w:val="99"/>
                <w:sz w:val="20"/>
              </w:rPr>
              <w:t>-</w:t>
            </w:r>
          </w:p>
        </w:tc>
        <w:tc>
          <w:tcPr>
            <w:tcW w:w="1290" w:type="dxa"/>
          </w:tcPr>
          <w:p>
            <w:pPr>
              <w:pStyle w:val="TableParagraph"/>
              <w:spacing w:line="218" w:lineRule="exact" w:before="6"/>
              <w:ind w:right="101"/>
              <w:jc w:val="right"/>
              <w:rPr>
                <w:rFonts w:ascii="Arial MT"/>
                <w:sz w:val="20"/>
              </w:rPr>
            </w:pPr>
            <w:r>
              <w:rPr>
                <w:rFonts w:ascii="Arial MT"/>
                <w:w w:val="99"/>
                <w:sz w:val="20"/>
              </w:rPr>
              <w:t>-</w:t>
            </w:r>
          </w:p>
        </w:tc>
        <w:tc>
          <w:tcPr>
            <w:tcW w:w="1264" w:type="dxa"/>
          </w:tcPr>
          <w:p>
            <w:pPr>
              <w:pStyle w:val="TableParagraph"/>
              <w:spacing w:line="218" w:lineRule="exact" w:before="6"/>
              <w:ind w:left="166"/>
              <w:rPr>
                <w:rFonts w:ascii="Arial MT"/>
                <w:sz w:val="20"/>
              </w:rPr>
            </w:pPr>
            <w:r>
              <w:rPr>
                <w:rFonts w:ascii="Arial MT"/>
                <w:sz w:val="20"/>
              </w:rPr>
              <w:t>71,736,730</w:t>
            </w:r>
          </w:p>
        </w:tc>
      </w:tr>
      <w:tr>
        <w:trPr>
          <w:trHeight w:val="247" w:hRule="atLeast"/>
        </w:trPr>
        <w:tc>
          <w:tcPr>
            <w:tcW w:w="1861" w:type="dxa"/>
          </w:tcPr>
          <w:p>
            <w:pPr>
              <w:pStyle w:val="TableParagraph"/>
              <w:spacing w:line="227" w:lineRule="exact"/>
              <w:ind w:left="200"/>
              <w:rPr>
                <w:sz w:val="20"/>
              </w:rPr>
            </w:pPr>
            <w:r>
              <w:rPr>
                <w:w w:val="95"/>
                <w:sz w:val="20"/>
              </w:rPr>
              <w:t>其他应付款</w:t>
            </w:r>
          </w:p>
        </w:tc>
        <w:tc>
          <w:tcPr>
            <w:tcW w:w="1254" w:type="dxa"/>
          </w:tcPr>
          <w:p>
            <w:pPr>
              <w:pStyle w:val="TableParagraph"/>
              <w:spacing w:line="218" w:lineRule="exact" w:before="9"/>
              <w:ind w:left="240"/>
              <w:rPr>
                <w:rFonts w:ascii="Arial MT"/>
                <w:sz w:val="20"/>
              </w:rPr>
            </w:pPr>
            <w:r>
              <w:rPr>
                <w:rFonts w:ascii="Arial MT"/>
                <w:sz w:val="20"/>
              </w:rPr>
              <w:t>8,808,538</w:t>
            </w:r>
          </w:p>
        </w:tc>
        <w:tc>
          <w:tcPr>
            <w:tcW w:w="1258" w:type="dxa"/>
          </w:tcPr>
          <w:p>
            <w:pPr>
              <w:pStyle w:val="TableParagraph"/>
              <w:spacing w:line="218" w:lineRule="exact" w:before="9"/>
              <w:ind w:right="76"/>
              <w:jc w:val="right"/>
              <w:rPr>
                <w:rFonts w:ascii="Arial MT"/>
                <w:sz w:val="20"/>
              </w:rPr>
            </w:pPr>
            <w:r>
              <w:rPr>
                <w:rFonts w:ascii="Arial MT"/>
                <w:w w:val="99"/>
                <w:sz w:val="20"/>
              </w:rPr>
              <w:t>-</w:t>
            </w:r>
          </w:p>
        </w:tc>
        <w:tc>
          <w:tcPr>
            <w:tcW w:w="1294" w:type="dxa"/>
          </w:tcPr>
          <w:p>
            <w:pPr>
              <w:pStyle w:val="TableParagraph"/>
              <w:spacing w:line="218" w:lineRule="exact" w:before="9"/>
              <w:ind w:right="115"/>
              <w:jc w:val="right"/>
              <w:rPr>
                <w:rFonts w:ascii="Arial MT"/>
                <w:sz w:val="20"/>
              </w:rPr>
            </w:pPr>
            <w:r>
              <w:rPr>
                <w:rFonts w:ascii="Arial MT"/>
                <w:w w:val="99"/>
                <w:sz w:val="20"/>
              </w:rPr>
              <w:t>-</w:t>
            </w:r>
          </w:p>
        </w:tc>
        <w:tc>
          <w:tcPr>
            <w:tcW w:w="1290" w:type="dxa"/>
          </w:tcPr>
          <w:p>
            <w:pPr>
              <w:pStyle w:val="TableParagraph"/>
              <w:spacing w:line="218" w:lineRule="exact" w:before="9"/>
              <w:ind w:right="101"/>
              <w:jc w:val="right"/>
              <w:rPr>
                <w:rFonts w:ascii="Arial MT"/>
                <w:sz w:val="20"/>
              </w:rPr>
            </w:pPr>
            <w:r>
              <w:rPr>
                <w:rFonts w:ascii="Arial MT"/>
                <w:w w:val="99"/>
                <w:sz w:val="20"/>
              </w:rPr>
              <w:t>-</w:t>
            </w:r>
          </w:p>
        </w:tc>
        <w:tc>
          <w:tcPr>
            <w:tcW w:w="1264" w:type="dxa"/>
          </w:tcPr>
          <w:p>
            <w:pPr>
              <w:pStyle w:val="TableParagraph"/>
              <w:spacing w:line="218" w:lineRule="exact" w:before="9"/>
              <w:ind w:left="279"/>
              <w:rPr>
                <w:rFonts w:ascii="Arial MT"/>
                <w:sz w:val="20"/>
              </w:rPr>
            </w:pPr>
            <w:r>
              <w:rPr>
                <w:rFonts w:ascii="Arial MT"/>
                <w:sz w:val="20"/>
              </w:rPr>
              <w:t>8,808,538</w:t>
            </w:r>
          </w:p>
        </w:tc>
      </w:tr>
      <w:tr>
        <w:trPr>
          <w:trHeight w:val="247" w:hRule="atLeast"/>
        </w:trPr>
        <w:tc>
          <w:tcPr>
            <w:tcW w:w="1861" w:type="dxa"/>
          </w:tcPr>
          <w:p>
            <w:pPr>
              <w:pStyle w:val="TableParagraph"/>
              <w:spacing w:line="227" w:lineRule="exact"/>
              <w:ind w:left="200"/>
              <w:rPr>
                <w:sz w:val="20"/>
              </w:rPr>
            </w:pPr>
            <w:r>
              <w:rPr>
                <w:w w:val="95"/>
                <w:sz w:val="20"/>
              </w:rPr>
              <w:t>其他流动负债</w:t>
            </w:r>
          </w:p>
        </w:tc>
        <w:tc>
          <w:tcPr>
            <w:tcW w:w="1254" w:type="dxa"/>
          </w:tcPr>
          <w:p>
            <w:pPr>
              <w:pStyle w:val="TableParagraph"/>
              <w:spacing w:line="218" w:lineRule="exact" w:before="9"/>
              <w:ind w:left="406"/>
              <w:rPr>
                <w:rFonts w:ascii="Arial MT"/>
                <w:sz w:val="20"/>
              </w:rPr>
            </w:pPr>
            <w:r>
              <w:rPr>
                <w:rFonts w:ascii="Arial MT"/>
                <w:sz w:val="20"/>
              </w:rPr>
              <w:t>377,685</w:t>
            </w:r>
          </w:p>
        </w:tc>
        <w:tc>
          <w:tcPr>
            <w:tcW w:w="1258" w:type="dxa"/>
          </w:tcPr>
          <w:p>
            <w:pPr>
              <w:pStyle w:val="TableParagraph"/>
              <w:spacing w:line="218" w:lineRule="exact" w:before="9"/>
              <w:ind w:right="76"/>
              <w:jc w:val="right"/>
              <w:rPr>
                <w:rFonts w:ascii="Arial MT"/>
                <w:sz w:val="20"/>
              </w:rPr>
            </w:pPr>
            <w:r>
              <w:rPr>
                <w:rFonts w:ascii="Arial MT"/>
                <w:w w:val="99"/>
                <w:sz w:val="20"/>
              </w:rPr>
              <w:t>-</w:t>
            </w:r>
          </w:p>
        </w:tc>
        <w:tc>
          <w:tcPr>
            <w:tcW w:w="1294" w:type="dxa"/>
          </w:tcPr>
          <w:p>
            <w:pPr>
              <w:pStyle w:val="TableParagraph"/>
              <w:spacing w:line="218" w:lineRule="exact" w:before="9"/>
              <w:ind w:right="115"/>
              <w:jc w:val="right"/>
              <w:rPr>
                <w:rFonts w:ascii="Arial MT"/>
                <w:sz w:val="20"/>
              </w:rPr>
            </w:pPr>
            <w:r>
              <w:rPr>
                <w:rFonts w:ascii="Arial MT"/>
                <w:w w:val="99"/>
                <w:sz w:val="20"/>
              </w:rPr>
              <w:t>-</w:t>
            </w:r>
          </w:p>
        </w:tc>
        <w:tc>
          <w:tcPr>
            <w:tcW w:w="1290" w:type="dxa"/>
          </w:tcPr>
          <w:p>
            <w:pPr>
              <w:pStyle w:val="TableParagraph"/>
              <w:spacing w:line="218" w:lineRule="exact" w:before="9"/>
              <w:ind w:right="101"/>
              <w:jc w:val="right"/>
              <w:rPr>
                <w:rFonts w:ascii="Arial MT"/>
                <w:sz w:val="20"/>
              </w:rPr>
            </w:pPr>
            <w:r>
              <w:rPr>
                <w:rFonts w:ascii="Arial MT"/>
                <w:w w:val="99"/>
                <w:sz w:val="20"/>
              </w:rPr>
              <w:t>-</w:t>
            </w:r>
          </w:p>
        </w:tc>
        <w:tc>
          <w:tcPr>
            <w:tcW w:w="1264" w:type="dxa"/>
          </w:tcPr>
          <w:p>
            <w:pPr>
              <w:pStyle w:val="TableParagraph"/>
              <w:spacing w:line="218" w:lineRule="exact" w:before="9"/>
              <w:ind w:left="444"/>
              <w:rPr>
                <w:rFonts w:ascii="Arial MT"/>
                <w:sz w:val="20"/>
              </w:rPr>
            </w:pPr>
            <w:r>
              <w:rPr>
                <w:rFonts w:ascii="Arial MT"/>
                <w:sz w:val="20"/>
              </w:rPr>
              <w:t>377,685</w:t>
            </w:r>
          </w:p>
        </w:tc>
      </w:tr>
      <w:tr>
        <w:trPr>
          <w:trHeight w:val="244" w:hRule="atLeast"/>
        </w:trPr>
        <w:tc>
          <w:tcPr>
            <w:tcW w:w="1861" w:type="dxa"/>
          </w:tcPr>
          <w:p>
            <w:pPr>
              <w:pStyle w:val="TableParagraph"/>
              <w:spacing w:line="225" w:lineRule="exact"/>
              <w:ind w:left="200"/>
              <w:rPr>
                <w:sz w:val="20"/>
              </w:rPr>
            </w:pPr>
            <w:r>
              <w:rPr>
                <w:w w:val="95"/>
                <w:sz w:val="20"/>
              </w:rPr>
              <w:t>租赁负债</w:t>
            </w:r>
          </w:p>
        </w:tc>
        <w:tc>
          <w:tcPr>
            <w:tcW w:w="1254" w:type="dxa"/>
          </w:tcPr>
          <w:p>
            <w:pPr>
              <w:pStyle w:val="TableParagraph"/>
              <w:spacing w:line="218" w:lineRule="exact" w:before="6"/>
              <w:ind w:left="240"/>
              <w:rPr>
                <w:rFonts w:ascii="Arial MT"/>
                <w:sz w:val="20"/>
              </w:rPr>
            </w:pPr>
            <w:r>
              <w:rPr>
                <w:rFonts w:ascii="Arial MT"/>
                <w:sz w:val="20"/>
              </w:rPr>
              <w:t>1,102,507</w:t>
            </w:r>
          </w:p>
        </w:tc>
        <w:tc>
          <w:tcPr>
            <w:tcW w:w="1258" w:type="dxa"/>
          </w:tcPr>
          <w:p>
            <w:pPr>
              <w:pStyle w:val="TableParagraph"/>
              <w:spacing w:line="218" w:lineRule="exact" w:before="6"/>
              <w:ind w:right="80"/>
              <w:jc w:val="right"/>
              <w:rPr>
                <w:rFonts w:ascii="Arial MT"/>
                <w:sz w:val="20"/>
              </w:rPr>
            </w:pPr>
            <w:r>
              <w:rPr>
                <w:rFonts w:ascii="Arial MT"/>
                <w:sz w:val="20"/>
              </w:rPr>
              <w:t>596,611</w:t>
            </w:r>
          </w:p>
        </w:tc>
        <w:tc>
          <w:tcPr>
            <w:tcW w:w="1294" w:type="dxa"/>
          </w:tcPr>
          <w:p>
            <w:pPr>
              <w:pStyle w:val="TableParagraph"/>
              <w:spacing w:line="218" w:lineRule="exact" w:before="6"/>
              <w:ind w:left="452"/>
              <w:rPr>
                <w:rFonts w:ascii="Arial MT"/>
                <w:sz w:val="20"/>
              </w:rPr>
            </w:pPr>
            <w:r>
              <w:rPr>
                <w:rFonts w:ascii="Arial MT"/>
                <w:sz w:val="20"/>
              </w:rPr>
              <w:t>477,574</w:t>
            </w:r>
          </w:p>
        </w:tc>
        <w:tc>
          <w:tcPr>
            <w:tcW w:w="1290" w:type="dxa"/>
          </w:tcPr>
          <w:p>
            <w:pPr>
              <w:pStyle w:val="TableParagraph"/>
              <w:spacing w:line="218" w:lineRule="exact" w:before="6"/>
              <w:ind w:left="462"/>
              <w:rPr>
                <w:rFonts w:ascii="Arial MT"/>
                <w:sz w:val="20"/>
              </w:rPr>
            </w:pPr>
            <w:r>
              <w:rPr>
                <w:rFonts w:ascii="Arial MT"/>
                <w:sz w:val="20"/>
              </w:rPr>
              <w:t>189,602</w:t>
            </w:r>
          </w:p>
        </w:tc>
        <w:tc>
          <w:tcPr>
            <w:tcW w:w="1264" w:type="dxa"/>
          </w:tcPr>
          <w:p>
            <w:pPr>
              <w:pStyle w:val="TableParagraph"/>
              <w:spacing w:line="218" w:lineRule="exact" w:before="6"/>
              <w:ind w:left="279"/>
              <w:rPr>
                <w:rFonts w:ascii="Arial MT"/>
                <w:sz w:val="20"/>
              </w:rPr>
            </w:pPr>
            <w:r>
              <w:rPr>
                <w:rFonts w:ascii="Arial MT"/>
                <w:sz w:val="20"/>
              </w:rPr>
              <w:t>2,366,294</w:t>
            </w:r>
          </w:p>
        </w:tc>
      </w:tr>
      <w:tr>
        <w:trPr>
          <w:trHeight w:val="251" w:hRule="atLeast"/>
        </w:trPr>
        <w:tc>
          <w:tcPr>
            <w:tcW w:w="1861" w:type="dxa"/>
          </w:tcPr>
          <w:p>
            <w:pPr>
              <w:pStyle w:val="TableParagraph"/>
              <w:spacing w:line="232" w:lineRule="exact"/>
              <w:ind w:left="200"/>
              <w:rPr>
                <w:sz w:val="20"/>
              </w:rPr>
            </w:pPr>
            <w:r>
              <w:rPr>
                <w:w w:val="95"/>
                <w:sz w:val="20"/>
              </w:rPr>
              <w:t>长期借款</w:t>
            </w:r>
          </w:p>
        </w:tc>
        <w:tc>
          <w:tcPr>
            <w:tcW w:w="1254" w:type="dxa"/>
          </w:tcPr>
          <w:p>
            <w:pPr>
              <w:pStyle w:val="TableParagraph"/>
              <w:tabs>
                <w:tab w:pos="518" w:val="left" w:leader="none"/>
              </w:tabs>
              <w:spacing w:line="223" w:lineRule="exact" w:before="9"/>
              <w:ind w:right="46"/>
              <w:jc w:val="right"/>
              <w:rPr>
                <w:rFonts w:ascii="Arial MT"/>
                <w:sz w:val="20"/>
              </w:rPr>
            </w:pPr>
            <w:r>
              <w:rPr>
                <w:rFonts w:ascii="Arial MT"/>
                <w:w w:val="99"/>
                <w:sz w:val="20"/>
                <w:u w:val="single"/>
              </w:rPr>
              <w:t> </w:t>
            </w:r>
            <w:r>
              <w:rPr>
                <w:rFonts w:ascii="Arial MT"/>
                <w:sz w:val="20"/>
                <w:u w:val="single"/>
              </w:rPr>
              <w:tab/>
            </w:r>
            <w:r>
              <w:rPr>
                <w:rFonts w:ascii="Arial MT"/>
                <w:sz w:val="20"/>
                <w:u w:val="single"/>
              </w:rPr>
              <w:t>52,138</w:t>
            </w:r>
            <w:r>
              <w:rPr>
                <w:rFonts w:ascii="Arial MT"/>
                <w:spacing w:val="20"/>
                <w:sz w:val="20"/>
                <w:u w:val="single"/>
              </w:rPr>
              <w:t> </w:t>
            </w:r>
          </w:p>
        </w:tc>
        <w:tc>
          <w:tcPr>
            <w:tcW w:w="1258" w:type="dxa"/>
          </w:tcPr>
          <w:p>
            <w:pPr>
              <w:pStyle w:val="TableParagraph"/>
              <w:spacing w:line="223" w:lineRule="exact" w:before="9"/>
              <w:ind w:right="78"/>
              <w:jc w:val="right"/>
              <w:rPr>
                <w:rFonts w:ascii="Arial MT"/>
                <w:sz w:val="20"/>
              </w:rPr>
            </w:pPr>
            <w:r>
              <w:rPr>
                <w:rFonts w:ascii="Arial MT"/>
                <w:w w:val="99"/>
                <w:sz w:val="20"/>
                <w:u w:val="single"/>
              </w:rPr>
              <w:t> </w:t>
            </w:r>
            <w:r>
              <w:rPr>
                <w:rFonts w:ascii="Arial MT"/>
                <w:sz w:val="20"/>
                <w:u w:val="single"/>
              </w:rPr>
              <w:t>  </w:t>
            </w:r>
            <w:r>
              <w:rPr>
                <w:rFonts w:ascii="Arial MT"/>
                <w:spacing w:val="17"/>
                <w:sz w:val="20"/>
                <w:u w:val="single"/>
              </w:rPr>
              <w:t> </w:t>
            </w:r>
            <w:r>
              <w:rPr>
                <w:rFonts w:ascii="Arial MT"/>
                <w:sz w:val="20"/>
                <w:u w:val="single"/>
              </w:rPr>
              <w:t>3,861,975</w:t>
            </w:r>
          </w:p>
        </w:tc>
        <w:tc>
          <w:tcPr>
            <w:tcW w:w="1294" w:type="dxa"/>
          </w:tcPr>
          <w:p>
            <w:pPr>
              <w:pStyle w:val="TableParagraph"/>
              <w:tabs>
                <w:tab w:pos="1063" w:val="left" w:leader="none"/>
              </w:tabs>
              <w:spacing w:line="223" w:lineRule="exact" w:before="9"/>
              <w:ind w:right="54"/>
              <w:jc w:val="right"/>
              <w:rPr>
                <w:rFonts w:ascii="Arial MT"/>
                <w:sz w:val="20"/>
              </w:rPr>
            </w:pPr>
            <w:r>
              <w:rPr>
                <w:rFonts w:ascii="Arial MT"/>
                <w:w w:val="99"/>
                <w:sz w:val="20"/>
                <w:u w:val="single"/>
              </w:rPr>
              <w:t> </w:t>
            </w:r>
            <w:r>
              <w:rPr>
                <w:rFonts w:ascii="Arial MT"/>
                <w:sz w:val="20"/>
                <w:u w:val="single"/>
              </w:rPr>
              <w:tab/>
            </w:r>
            <w:r>
              <w:rPr>
                <w:rFonts w:ascii="Arial MT"/>
                <w:sz w:val="20"/>
                <w:u w:val="single"/>
              </w:rPr>
              <w:t>-</w:t>
            </w:r>
            <w:r>
              <w:rPr>
                <w:rFonts w:ascii="Arial MT"/>
                <w:spacing w:val="5"/>
                <w:sz w:val="20"/>
                <w:u w:val="single"/>
              </w:rPr>
              <w:t> </w:t>
            </w:r>
          </w:p>
        </w:tc>
        <w:tc>
          <w:tcPr>
            <w:tcW w:w="1290" w:type="dxa"/>
          </w:tcPr>
          <w:p>
            <w:pPr>
              <w:pStyle w:val="TableParagraph"/>
              <w:tabs>
                <w:tab w:pos="1120" w:val="left" w:leader="none"/>
              </w:tabs>
              <w:spacing w:line="223" w:lineRule="exact" w:before="9"/>
              <w:ind w:left="56"/>
              <w:rPr>
                <w:rFonts w:ascii="Arial MT"/>
                <w:sz w:val="20"/>
              </w:rPr>
            </w:pPr>
            <w:r>
              <w:rPr>
                <w:rFonts w:ascii="Arial MT"/>
                <w:w w:val="99"/>
                <w:sz w:val="20"/>
                <w:u w:val="single"/>
              </w:rPr>
              <w:t> </w:t>
            </w:r>
            <w:r>
              <w:rPr>
                <w:rFonts w:ascii="Arial MT"/>
                <w:sz w:val="20"/>
                <w:u w:val="single"/>
              </w:rPr>
              <w:tab/>
            </w:r>
            <w:r>
              <w:rPr>
                <w:rFonts w:ascii="Arial MT"/>
                <w:sz w:val="20"/>
                <w:u w:val="single"/>
              </w:rPr>
              <w:t>-</w:t>
            </w:r>
            <w:r>
              <w:rPr>
                <w:rFonts w:ascii="Arial MT"/>
                <w:spacing w:val="7"/>
                <w:sz w:val="20"/>
                <w:u w:val="single"/>
              </w:rPr>
              <w:t> </w:t>
            </w:r>
          </w:p>
        </w:tc>
        <w:tc>
          <w:tcPr>
            <w:tcW w:w="1264" w:type="dxa"/>
          </w:tcPr>
          <w:p>
            <w:pPr>
              <w:pStyle w:val="TableParagraph"/>
              <w:spacing w:line="223" w:lineRule="exact" w:before="9"/>
              <w:ind w:left="39"/>
              <w:rPr>
                <w:rFonts w:ascii="Arial MT"/>
                <w:sz w:val="20"/>
              </w:rPr>
            </w:pPr>
            <w:r>
              <w:rPr>
                <w:rFonts w:ascii="Arial MT"/>
                <w:w w:val="99"/>
                <w:sz w:val="20"/>
                <w:u w:val="single"/>
              </w:rPr>
              <w:t> </w:t>
            </w:r>
            <w:r>
              <w:rPr>
                <w:rFonts w:ascii="Arial MT"/>
                <w:sz w:val="20"/>
                <w:u w:val="single"/>
              </w:rPr>
              <w:t>  </w:t>
            </w:r>
            <w:r>
              <w:rPr>
                <w:rFonts w:ascii="Arial MT"/>
                <w:spacing w:val="17"/>
                <w:sz w:val="20"/>
                <w:u w:val="single"/>
              </w:rPr>
              <w:t> </w:t>
            </w:r>
            <w:r>
              <w:rPr>
                <w:rFonts w:ascii="Arial MT"/>
                <w:sz w:val="20"/>
                <w:u w:val="single"/>
              </w:rPr>
              <w:t>3,914,113 </w:t>
            </w:r>
            <w:r>
              <w:rPr>
                <w:rFonts w:ascii="Arial MT"/>
                <w:spacing w:val="-16"/>
                <w:sz w:val="20"/>
                <w:u w:val="single"/>
              </w:rPr>
              <w:t> </w:t>
            </w:r>
          </w:p>
        </w:tc>
      </w:tr>
      <w:tr>
        <w:trPr>
          <w:trHeight w:val="227" w:hRule="atLeast"/>
        </w:trPr>
        <w:tc>
          <w:tcPr>
            <w:tcW w:w="1861" w:type="dxa"/>
          </w:tcPr>
          <w:p>
            <w:pPr>
              <w:pStyle w:val="TableParagraph"/>
              <w:rPr>
                <w:rFonts w:ascii="Times New Roman"/>
                <w:sz w:val="16"/>
              </w:rPr>
            </w:pPr>
          </w:p>
        </w:tc>
        <w:tc>
          <w:tcPr>
            <w:tcW w:w="1254" w:type="dxa"/>
          </w:tcPr>
          <w:p>
            <w:pPr>
              <w:pStyle w:val="TableParagraph"/>
              <w:spacing w:line="207" w:lineRule="exact"/>
              <w:ind w:right="46"/>
              <w:jc w:val="right"/>
              <w:rPr>
                <w:rFonts w:ascii="Arial MT"/>
                <w:sz w:val="20"/>
              </w:rPr>
            </w:pPr>
            <w:r>
              <w:rPr>
                <w:rFonts w:ascii="Arial MT"/>
                <w:spacing w:val="-25"/>
                <w:w w:val="99"/>
                <w:sz w:val="20"/>
                <w:u w:val="thick"/>
              </w:rPr>
              <w:t> </w:t>
            </w:r>
            <w:r>
              <w:rPr>
                <w:rFonts w:ascii="Arial MT"/>
                <w:sz w:val="20"/>
                <w:u w:val="thick"/>
              </w:rPr>
              <w:t>134,543,257</w:t>
            </w:r>
            <w:r>
              <w:rPr>
                <w:rFonts w:ascii="Arial MT"/>
                <w:spacing w:val="23"/>
                <w:sz w:val="20"/>
                <w:u w:val="thick"/>
              </w:rPr>
              <w:t> </w:t>
            </w:r>
          </w:p>
        </w:tc>
        <w:tc>
          <w:tcPr>
            <w:tcW w:w="1258" w:type="dxa"/>
          </w:tcPr>
          <w:p>
            <w:pPr>
              <w:pStyle w:val="TableParagraph"/>
              <w:spacing w:line="207" w:lineRule="exact"/>
              <w:ind w:right="78"/>
              <w:jc w:val="right"/>
              <w:rPr>
                <w:rFonts w:ascii="Arial MT"/>
                <w:sz w:val="20"/>
              </w:rPr>
            </w:pPr>
            <w:r>
              <w:rPr>
                <w:rFonts w:ascii="Arial MT"/>
                <w:w w:val="99"/>
                <w:sz w:val="20"/>
                <w:u w:val="thick"/>
              </w:rPr>
              <w:t> </w:t>
            </w:r>
            <w:r>
              <w:rPr>
                <w:rFonts w:ascii="Arial MT"/>
                <w:sz w:val="20"/>
                <w:u w:val="thick"/>
              </w:rPr>
              <w:t>   </w:t>
            </w:r>
            <w:r>
              <w:rPr>
                <w:rFonts w:ascii="Arial MT"/>
                <w:spacing w:val="-24"/>
                <w:sz w:val="20"/>
                <w:u w:val="thick"/>
              </w:rPr>
              <w:t> </w:t>
            </w:r>
            <w:r>
              <w:rPr>
                <w:rFonts w:ascii="Arial MT"/>
                <w:sz w:val="20"/>
                <w:u w:val="thick"/>
              </w:rPr>
              <w:t>4,458,586</w:t>
            </w:r>
          </w:p>
        </w:tc>
        <w:tc>
          <w:tcPr>
            <w:tcW w:w="1294" w:type="dxa"/>
          </w:tcPr>
          <w:p>
            <w:pPr>
              <w:pStyle w:val="TableParagraph"/>
              <w:tabs>
                <w:tab w:pos="419" w:val="left" w:leader="none"/>
              </w:tabs>
              <w:spacing w:line="207" w:lineRule="exact"/>
              <w:ind w:right="54"/>
              <w:jc w:val="right"/>
              <w:rPr>
                <w:rFonts w:ascii="Arial MT"/>
                <w:sz w:val="20"/>
              </w:rPr>
            </w:pPr>
            <w:r>
              <w:rPr>
                <w:rFonts w:ascii="Arial MT"/>
                <w:w w:val="99"/>
                <w:sz w:val="20"/>
                <w:u w:val="thick"/>
              </w:rPr>
              <w:t> </w:t>
            </w:r>
            <w:r>
              <w:rPr>
                <w:rFonts w:ascii="Arial MT"/>
                <w:sz w:val="20"/>
                <w:u w:val="thick"/>
              </w:rPr>
              <w:tab/>
            </w:r>
            <w:r>
              <w:rPr>
                <w:rFonts w:ascii="Arial MT"/>
                <w:sz w:val="20"/>
                <w:u w:val="thick"/>
              </w:rPr>
              <w:t>477,574</w:t>
            </w:r>
            <w:r>
              <w:rPr>
                <w:rFonts w:ascii="Arial MT"/>
                <w:spacing w:val="9"/>
                <w:sz w:val="20"/>
                <w:u w:val="thick"/>
              </w:rPr>
              <w:t> </w:t>
            </w:r>
          </w:p>
        </w:tc>
        <w:tc>
          <w:tcPr>
            <w:tcW w:w="1290" w:type="dxa"/>
          </w:tcPr>
          <w:p>
            <w:pPr>
              <w:pStyle w:val="TableParagraph"/>
              <w:tabs>
                <w:tab w:pos="461" w:val="left" w:leader="none"/>
              </w:tabs>
              <w:spacing w:line="207" w:lineRule="exact"/>
              <w:ind w:left="42" w:right="-58"/>
              <w:rPr>
                <w:rFonts w:ascii="Arial MT"/>
                <w:sz w:val="20"/>
              </w:rPr>
            </w:pPr>
            <w:r>
              <w:rPr>
                <w:rFonts w:ascii="Arial MT"/>
                <w:w w:val="99"/>
                <w:sz w:val="20"/>
                <w:u w:val="thick"/>
              </w:rPr>
              <w:t> </w:t>
            </w:r>
            <w:r>
              <w:rPr>
                <w:rFonts w:ascii="Arial MT"/>
                <w:sz w:val="20"/>
                <w:u w:val="thick"/>
              </w:rPr>
              <w:tab/>
            </w:r>
            <w:r>
              <w:rPr>
                <w:rFonts w:ascii="Arial MT"/>
                <w:sz w:val="20"/>
                <w:u w:val="thick"/>
              </w:rPr>
              <w:t>189,602</w:t>
            </w:r>
            <w:r>
              <w:rPr>
                <w:rFonts w:ascii="Arial MT"/>
                <w:spacing w:val="-3"/>
                <w:sz w:val="20"/>
                <w:u w:val="thick"/>
              </w:rPr>
              <w:t> </w:t>
            </w:r>
          </w:p>
        </w:tc>
        <w:tc>
          <w:tcPr>
            <w:tcW w:w="1264" w:type="dxa"/>
          </w:tcPr>
          <w:p>
            <w:pPr>
              <w:pStyle w:val="TableParagraph"/>
              <w:spacing w:line="207" w:lineRule="exact"/>
              <w:ind w:left="55"/>
              <w:rPr>
                <w:rFonts w:ascii="Arial MT"/>
                <w:sz w:val="20"/>
              </w:rPr>
            </w:pPr>
            <w:r>
              <w:rPr>
                <w:rFonts w:ascii="Arial MT"/>
                <w:sz w:val="20"/>
                <w:u w:val="thick"/>
              </w:rPr>
              <w:t>139,669,019 </w:t>
            </w:r>
            <w:r>
              <w:rPr>
                <w:rFonts w:ascii="Arial MT"/>
                <w:spacing w:val="-14"/>
                <w:sz w:val="20"/>
                <w:u w:val="thick"/>
              </w:rPr>
              <w:t> </w:t>
            </w:r>
          </w:p>
        </w:tc>
      </w:tr>
    </w:tbl>
    <w:p>
      <w:pPr>
        <w:pStyle w:val="BodyText"/>
        <w:spacing w:before="28"/>
      </w:pPr>
      <w:r>
        <w:rPr>
          <w:w w:val="100"/>
        </w:rPr>
        <w:t> </w:t>
      </w:r>
    </w:p>
    <w:p>
      <w:pPr>
        <w:pStyle w:val="BodyText"/>
        <w:spacing w:before="5"/>
      </w:pPr>
      <w:r>
        <w:rPr>
          <w:color w:val="808080"/>
          <w:w w:val="100"/>
        </w:rPr>
        <w:t> </w:t>
      </w:r>
    </w:p>
    <w:p>
      <w:pPr>
        <w:pStyle w:val="BodyText"/>
        <w:spacing w:before="62"/>
      </w:pPr>
      <w:r>
        <w:rPr>
          <w:spacing w:val="8"/>
        </w:rPr>
        <w:t>十一、 公允价值的披露</w:t>
      </w:r>
      <w:r>
        <w:rPr/>
        <w:t> </w:t>
      </w:r>
    </w:p>
    <w:p>
      <w:pPr>
        <w:pStyle w:val="BodyText"/>
        <w:spacing w:before="64"/>
      </w:pPr>
      <w:r>
        <w:rPr/>
        <w:t>1、 以公允价值计量的资产和负债的期末公允价值</w:t>
      </w:r>
    </w:p>
    <w:p>
      <w:pPr>
        <w:pStyle w:val="BodyText"/>
        <w:spacing w:before="63"/>
      </w:pPr>
      <w:r>
        <w:rPr>
          <w:spacing w:val="-1"/>
        </w:rPr>
        <w:t>√适用 □不适用</w:t>
      </w:r>
      <w:r>
        <w:rPr>
          <w:spacing w:val="-3"/>
        </w:rPr>
        <w:t> </w:t>
      </w:r>
      <w:r>
        <w:rPr/>
        <w:t> </w:t>
      </w:r>
    </w:p>
    <w:p>
      <w:pPr>
        <w:pStyle w:val="BodyText"/>
        <w:spacing w:before="5"/>
        <w:ind w:left="6839"/>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65"/>
        <w:gridCol w:w="1666"/>
        <w:gridCol w:w="1628"/>
        <w:gridCol w:w="1693"/>
        <w:gridCol w:w="1474"/>
      </w:tblGrid>
      <w:tr>
        <w:trPr>
          <w:trHeight w:val="273" w:hRule="atLeast"/>
        </w:trPr>
        <w:tc>
          <w:tcPr>
            <w:tcW w:w="2365" w:type="dxa"/>
            <w:vMerge w:val="restart"/>
          </w:tcPr>
          <w:p>
            <w:pPr>
              <w:pStyle w:val="TableParagraph"/>
              <w:spacing w:before="10"/>
              <w:rPr>
                <w:sz w:val="21"/>
              </w:rPr>
            </w:pPr>
          </w:p>
          <w:p>
            <w:pPr>
              <w:pStyle w:val="TableParagraph"/>
              <w:ind w:left="1004" w:right="890"/>
              <w:jc w:val="center"/>
              <w:rPr>
                <w:sz w:val="21"/>
              </w:rPr>
            </w:pPr>
            <w:r>
              <w:rPr>
                <w:sz w:val="21"/>
              </w:rPr>
              <w:t>项目 </w:t>
            </w:r>
          </w:p>
        </w:tc>
        <w:tc>
          <w:tcPr>
            <w:tcW w:w="6461" w:type="dxa"/>
            <w:gridSpan w:val="4"/>
          </w:tcPr>
          <w:p>
            <w:pPr>
              <w:pStyle w:val="TableParagraph"/>
              <w:spacing w:line="252" w:lineRule="exact" w:before="1"/>
              <w:ind w:left="2632" w:right="2525"/>
              <w:jc w:val="center"/>
              <w:rPr>
                <w:sz w:val="21"/>
              </w:rPr>
            </w:pPr>
            <w:r>
              <w:rPr>
                <w:spacing w:val="-1"/>
                <w:sz w:val="21"/>
              </w:rPr>
              <w:t>期末公允价值</w:t>
            </w:r>
            <w:r>
              <w:rPr>
                <w:sz w:val="21"/>
              </w:rPr>
              <w:t> </w:t>
            </w:r>
          </w:p>
        </w:tc>
      </w:tr>
      <w:tr>
        <w:trPr>
          <w:trHeight w:val="544" w:hRule="atLeast"/>
        </w:trPr>
        <w:tc>
          <w:tcPr>
            <w:tcW w:w="2365" w:type="dxa"/>
            <w:vMerge/>
            <w:tcBorders>
              <w:top w:val="nil"/>
            </w:tcBorders>
          </w:tcPr>
          <w:p>
            <w:pPr>
              <w:rPr>
                <w:sz w:val="2"/>
                <w:szCs w:val="2"/>
              </w:rPr>
            </w:pPr>
          </w:p>
        </w:tc>
        <w:tc>
          <w:tcPr>
            <w:tcW w:w="1666" w:type="dxa"/>
          </w:tcPr>
          <w:p>
            <w:pPr>
              <w:pStyle w:val="TableParagraph"/>
              <w:spacing w:before="1"/>
              <w:ind w:left="198"/>
              <w:rPr>
                <w:sz w:val="21"/>
              </w:rPr>
            </w:pPr>
            <w:r>
              <w:rPr>
                <w:sz w:val="21"/>
              </w:rPr>
              <w:t>第一层次公允</w:t>
            </w:r>
          </w:p>
          <w:p>
            <w:pPr>
              <w:pStyle w:val="TableParagraph"/>
              <w:spacing w:line="252" w:lineRule="exact" w:before="2"/>
              <w:ind w:left="409"/>
              <w:rPr>
                <w:sz w:val="21"/>
              </w:rPr>
            </w:pPr>
            <w:r>
              <w:rPr>
                <w:spacing w:val="-1"/>
                <w:sz w:val="21"/>
              </w:rPr>
              <w:t>价值计量</w:t>
            </w:r>
            <w:r>
              <w:rPr>
                <w:sz w:val="21"/>
              </w:rPr>
              <w:t> </w:t>
            </w:r>
          </w:p>
        </w:tc>
        <w:tc>
          <w:tcPr>
            <w:tcW w:w="1628" w:type="dxa"/>
          </w:tcPr>
          <w:p>
            <w:pPr>
              <w:pStyle w:val="TableParagraph"/>
              <w:spacing w:before="1"/>
              <w:ind w:left="181"/>
              <w:rPr>
                <w:sz w:val="21"/>
              </w:rPr>
            </w:pPr>
            <w:r>
              <w:rPr>
                <w:sz w:val="21"/>
              </w:rPr>
              <w:t>第二层次公允</w:t>
            </w:r>
          </w:p>
          <w:p>
            <w:pPr>
              <w:pStyle w:val="TableParagraph"/>
              <w:spacing w:line="252" w:lineRule="exact" w:before="2"/>
              <w:ind w:left="392"/>
              <w:rPr>
                <w:sz w:val="21"/>
              </w:rPr>
            </w:pPr>
            <w:r>
              <w:rPr>
                <w:spacing w:val="-1"/>
                <w:sz w:val="21"/>
              </w:rPr>
              <w:t>价值计量</w:t>
            </w:r>
            <w:r>
              <w:rPr>
                <w:sz w:val="21"/>
              </w:rPr>
              <w:t> </w:t>
            </w:r>
          </w:p>
        </w:tc>
        <w:tc>
          <w:tcPr>
            <w:tcW w:w="1693" w:type="dxa"/>
          </w:tcPr>
          <w:p>
            <w:pPr>
              <w:pStyle w:val="TableParagraph"/>
              <w:spacing w:before="1"/>
              <w:ind w:left="108"/>
              <w:rPr>
                <w:sz w:val="21"/>
              </w:rPr>
            </w:pPr>
            <w:r>
              <w:rPr>
                <w:sz w:val="21"/>
              </w:rPr>
              <w:t>第三层次公允价</w:t>
            </w:r>
          </w:p>
          <w:p>
            <w:pPr>
              <w:pStyle w:val="TableParagraph"/>
              <w:spacing w:line="252" w:lineRule="exact" w:before="2"/>
              <w:ind w:left="528"/>
              <w:rPr>
                <w:sz w:val="21"/>
              </w:rPr>
            </w:pPr>
            <w:r>
              <w:rPr>
                <w:sz w:val="21"/>
              </w:rPr>
              <w:t>值计量 </w:t>
            </w:r>
          </w:p>
        </w:tc>
        <w:tc>
          <w:tcPr>
            <w:tcW w:w="1474" w:type="dxa"/>
          </w:tcPr>
          <w:p>
            <w:pPr>
              <w:pStyle w:val="TableParagraph"/>
              <w:spacing w:before="137"/>
              <w:ind w:left="523"/>
              <w:rPr>
                <w:sz w:val="21"/>
              </w:rPr>
            </w:pPr>
            <w:r>
              <w:rPr>
                <w:sz w:val="21"/>
              </w:rPr>
              <w:t>合计 </w:t>
            </w:r>
          </w:p>
        </w:tc>
      </w:tr>
      <w:tr>
        <w:trPr>
          <w:trHeight w:val="544" w:hRule="atLeast"/>
        </w:trPr>
        <w:tc>
          <w:tcPr>
            <w:tcW w:w="2365" w:type="dxa"/>
          </w:tcPr>
          <w:p>
            <w:pPr>
              <w:pStyle w:val="TableParagraph"/>
              <w:spacing w:before="1"/>
              <w:ind w:left="107"/>
              <w:rPr>
                <w:sz w:val="21"/>
              </w:rPr>
            </w:pPr>
            <w:r>
              <w:rPr>
                <w:sz w:val="21"/>
              </w:rPr>
              <w:t>一、持续的公允价值计</w:t>
            </w:r>
          </w:p>
          <w:p>
            <w:pPr>
              <w:pStyle w:val="TableParagraph"/>
              <w:spacing w:line="250" w:lineRule="exact" w:before="4"/>
              <w:ind w:left="107"/>
              <w:rPr>
                <w:sz w:val="21"/>
              </w:rPr>
            </w:pPr>
            <w:r>
              <w:rPr>
                <w:sz w:val="21"/>
              </w:rPr>
              <w:t>量 </w:t>
            </w:r>
          </w:p>
        </w:tc>
        <w:tc>
          <w:tcPr>
            <w:tcW w:w="1666" w:type="dxa"/>
          </w:tcPr>
          <w:p>
            <w:pPr>
              <w:pStyle w:val="TableParagraph"/>
              <w:spacing w:before="1"/>
              <w:ind w:right="-15"/>
              <w:jc w:val="right"/>
              <w:rPr>
                <w:sz w:val="21"/>
              </w:rPr>
            </w:pPr>
            <w:r>
              <w:rPr>
                <w:w w:val="100"/>
                <w:sz w:val="21"/>
              </w:rPr>
              <w:t> </w:t>
            </w:r>
          </w:p>
        </w:tc>
        <w:tc>
          <w:tcPr>
            <w:tcW w:w="1628" w:type="dxa"/>
          </w:tcPr>
          <w:p>
            <w:pPr>
              <w:pStyle w:val="TableParagraph"/>
              <w:spacing w:before="1"/>
              <w:ind w:right="-15"/>
              <w:jc w:val="right"/>
              <w:rPr>
                <w:sz w:val="21"/>
              </w:rPr>
            </w:pPr>
            <w:r>
              <w:rPr>
                <w:w w:val="100"/>
                <w:sz w:val="21"/>
              </w:rPr>
              <w:t> </w:t>
            </w:r>
          </w:p>
        </w:tc>
        <w:tc>
          <w:tcPr>
            <w:tcW w:w="1693" w:type="dxa"/>
          </w:tcPr>
          <w:p>
            <w:pPr>
              <w:pStyle w:val="TableParagraph"/>
              <w:spacing w:before="1"/>
              <w:ind w:right="-15"/>
              <w:jc w:val="right"/>
              <w:rPr>
                <w:sz w:val="21"/>
              </w:rPr>
            </w:pPr>
            <w:r>
              <w:rPr>
                <w:w w:val="100"/>
                <w:sz w:val="21"/>
              </w:rPr>
              <w:t> </w:t>
            </w:r>
          </w:p>
        </w:tc>
        <w:tc>
          <w:tcPr>
            <w:tcW w:w="1474" w:type="dxa"/>
          </w:tcPr>
          <w:p>
            <w:pPr>
              <w:pStyle w:val="TableParagraph"/>
              <w:spacing w:before="1"/>
              <w:ind w:right="-15"/>
              <w:jc w:val="right"/>
              <w:rPr>
                <w:sz w:val="21"/>
              </w:rPr>
            </w:pPr>
            <w:r>
              <w:rPr>
                <w:w w:val="100"/>
                <w:sz w:val="21"/>
              </w:rPr>
              <w:t> </w:t>
            </w:r>
          </w:p>
        </w:tc>
      </w:tr>
      <w:tr>
        <w:trPr>
          <w:trHeight w:val="273" w:hRule="atLeast"/>
        </w:trPr>
        <w:tc>
          <w:tcPr>
            <w:tcW w:w="2365" w:type="dxa"/>
          </w:tcPr>
          <w:p>
            <w:pPr>
              <w:pStyle w:val="TableParagraph"/>
              <w:spacing w:line="252" w:lineRule="exact" w:before="1"/>
              <w:ind w:left="107"/>
              <w:rPr>
                <w:sz w:val="21"/>
              </w:rPr>
            </w:pPr>
            <w:r>
              <w:rPr>
                <w:sz w:val="21"/>
              </w:rPr>
              <w:t>（一）交易性金融资产 </w:t>
            </w:r>
          </w:p>
        </w:tc>
        <w:tc>
          <w:tcPr>
            <w:tcW w:w="1666" w:type="dxa"/>
          </w:tcPr>
          <w:p>
            <w:pPr>
              <w:pStyle w:val="TableParagraph"/>
              <w:spacing w:line="252" w:lineRule="exact" w:before="1"/>
              <w:ind w:right="-15"/>
              <w:jc w:val="right"/>
              <w:rPr>
                <w:sz w:val="21"/>
              </w:rPr>
            </w:pPr>
            <w:r>
              <w:rPr>
                <w:w w:val="100"/>
                <w:sz w:val="21"/>
              </w:rPr>
              <w:t> </w:t>
            </w:r>
          </w:p>
        </w:tc>
        <w:tc>
          <w:tcPr>
            <w:tcW w:w="1628" w:type="dxa"/>
          </w:tcPr>
          <w:p>
            <w:pPr>
              <w:pStyle w:val="TableParagraph"/>
              <w:spacing w:before="10"/>
              <w:ind w:right="95"/>
              <w:jc w:val="right"/>
              <w:rPr>
                <w:rFonts w:ascii="Times New Roman"/>
                <w:sz w:val="21"/>
              </w:rPr>
            </w:pPr>
            <w:r>
              <w:rPr>
                <w:rFonts w:ascii="Times New Roman"/>
                <w:sz w:val="21"/>
              </w:rPr>
              <w:t>15,621</w:t>
            </w:r>
          </w:p>
        </w:tc>
        <w:tc>
          <w:tcPr>
            <w:tcW w:w="1693" w:type="dxa"/>
          </w:tcPr>
          <w:p>
            <w:pPr>
              <w:pStyle w:val="TableParagraph"/>
              <w:rPr>
                <w:rFonts w:ascii="Times New Roman"/>
                <w:sz w:val="20"/>
              </w:rPr>
            </w:pPr>
          </w:p>
        </w:tc>
        <w:tc>
          <w:tcPr>
            <w:tcW w:w="1474" w:type="dxa"/>
          </w:tcPr>
          <w:p>
            <w:pPr>
              <w:pStyle w:val="TableParagraph"/>
              <w:spacing w:before="10"/>
              <w:ind w:right="95"/>
              <w:jc w:val="right"/>
              <w:rPr>
                <w:rFonts w:ascii="Times New Roman"/>
                <w:sz w:val="21"/>
              </w:rPr>
            </w:pPr>
            <w:r>
              <w:rPr>
                <w:rFonts w:ascii="Times New Roman"/>
                <w:sz w:val="21"/>
              </w:rPr>
              <w:t>15,621</w:t>
            </w:r>
          </w:p>
        </w:tc>
      </w:tr>
    </w:tbl>
    <w:p>
      <w:pPr>
        <w:spacing w:after="0"/>
        <w:jc w:val="right"/>
        <w:rPr>
          <w:rFonts w:ascii="Times New Roman"/>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65"/>
        <w:gridCol w:w="1666"/>
        <w:gridCol w:w="1628"/>
        <w:gridCol w:w="1693"/>
        <w:gridCol w:w="1474"/>
      </w:tblGrid>
      <w:tr>
        <w:trPr>
          <w:trHeight w:val="818" w:hRule="atLeast"/>
        </w:trPr>
        <w:tc>
          <w:tcPr>
            <w:tcW w:w="2365" w:type="dxa"/>
          </w:tcPr>
          <w:p>
            <w:pPr>
              <w:pStyle w:val="TableParagraph"/>
              <w:spacing w:line="242" w:lineRule="auto" w:before="3"/>
              <w:ind w:left="107" w:right="142"/>
              <w:rPr>
                <w:sz w:val="21"/>
              </w:rPr>
            </w:pPr>
            <w:r>
              <w:rPr>
                <w:spacing w:val="-1"/>
                <w:sz w:val="21"/>
              </w:rPr>
              <w:t>1.以公允价值计量且变动计入当期损益的金融</w:t>
            </w:r>
          </w:p>
          <w:p>
            <w:pPr>
              <w:pStyle w:val="TableParagraph"/>
              <w:spacing w:line="250" w:lineRule="exact" w:before="2"/>
              <w:ind w:left="107"/>
              <w:rPr>
                <w:sz w:val="21"/>
              </w:rPr>
            </w:pPr>
            <w:r>
              <w:rPr>
                <w:sz w:val="21"/>
              </w:rPr>
              <w:t>资产 </w:t>
            </w:r>
          </w:p>
        </w:tc>
        <w:tc>
          <w:tcPr>
            <w:tcW w:w="1666" w:type="dxa"/>
          </w:tcPr>
          <w:p>
            <w:pPr>
              <w:pStyle w:val="TableParagraph"/>
              <w:spacing w:before="3"/>
              <w:ind w:right="-15"/>
              <w:jc w:val="right"/>
              <w:rPr>
                <w:sz w:val="21"/>
              </w:rPr>
            </w:pPr>
            <w:r>
              <w:rPr>
                <w:w w:val="100"/>
                <w:sz w:val="21"/>
              </w:rPr>
              <w:t> </w:t>
            </w:r>
          </w:p>
        </w:tc>
        <w:tc>
          <w:tcPr>
            <w:tcW w:w="1628" w:type="dxa"/>
          </w:tcPr>
          <w:p>
            <w:pPr>
              <w:pStyle w:val="TableParagraph"/>
              <w:spacing w:before="12"/>
              <w:rPr>
                <w:sz w:val="21"/>
              </w:rPr>
            </w:pPr>
          </w:p>
          <w:p>
            <w:pPr>
              <w:pStyle w:val="TableParagraph"/>
              <w:ind w:right="95"/>
              <w:jc w:val="right"/>
              <w:rPr>
                <w:rFonts w:ascii="Times New Roman"/>
                <w:sz w:val="21"/>
              </w:rPr>
            </w:pPr>
            <w:r>
              <w:rPr>
                <w:rFonts w:ascii="Times New Roman"/>
                <w:sz w:val="21"/>
              </w:rPr>
              <w:t>15,621</w:t>
            </w:r>
          </w:p>
        </w:tc>
        <w:tc>
          <w:tcPr>
            <w:tcW w:w="1693" w:type="dxa"/>
          </w:tcPr>
          <w:p>
            <w:pPr>
              <w:pStyle w:val="TableParagraph"/>
              <w:rPr>
                <w:rFonts w:ascii="Times New Roman"/>
                <w:sz w:val="20"/>
              </w:rPr>
            </w:pPr>
          </w:p>
        </w:tc>
        <w:tc>
          <w:tcPr>
            <w:tcW w:w="1474" w:type="dxa"/>
          </w:tcPr>
          <w:p>
            <w:pPr>
              <w:pStyle w:val="TableParagraph"/>
              <w:spacing w:before="12"/>
              <w:rPr>
                <w:sz w:val="21"/>
              </w:rPr>
            </w:pPr>
          </w:p>
          <w:p>
            <w:pPr>
              <w:pStyle w:val="TableParagraph"/>
              <w:ind w:right="95"/>
              <w:jc w:val="right"/>
              <w:rPr>
                <w:rFonts w:ascii="Times New Roman"/>
                <w:sz w:val="21"/>
              </w:rPr>
            </w:pPr>
            <w:r>
              <w:rPr>
                <w:rFonts w:ascii="Times New Roman"/>
                <w:sz w:val="21"/>
              </w:rPr>
              <w:t>15,621</w:t>
            </w:r>
          </w:p>
        </w:tc>
      </w:tr>
      <w:tr>
        <w:trPr>
          <w:trHeight w:val="273" w:hRule="atLeast"/>
        </w:trPr>
        <w:tc>
          <w:tcPr>
            <w:tcW w:w="2365" w:type="dxa"/>
          </w:tcPr>
          <w:p>
            <w:pPr>
              <w:pStyle w:val="TableParagraph"/>
              <w:spacing w:line="252" w:lineRule="exact" w:before="1"/>
              <w:ind w:left="107"/>
              <w:rPr>
                <w:sz w:val="21"/>
              </w:rPr>
            </w:pPr>
            <w:r>
              <w:rPr>
                <w:sz w:val="21"/>
              </w:rPr>
              <w:t>（1）债务工具投资 </w:t>
            </w:r>
          </w:p>
        </w:tc>
        <w:tc>
          <w:tcPr>
            <w:tcW w:w="1666" w:type="dxa"/>
          </w:tcPr>
          <w:p>
            <w:pPr>
              <w:pStyle w:val="TableParagraph"/>
              <w:spacing w:line="252" w:lineRule="exact" w:before="1"/>
              <w:ind w:right="-15"/>
              <w:jc w:val="right"/>
              <w:rPr>
                <w:sz w:val="21"/>
              </w:rPr>
            </w:pPr>
            <w:r>
              <w:rPr>
                <w:w w:val="100"/>
                <w:sz w:val="21"/>
              </w:rPr>
              <w:t> </w:t>
            </w:r>
          </w:p>
        </w:tc>
        <w:tc>
          <w:tcPr>
            <w:tcW w:w="1628" w:type="dxa"/>
          </w:tcPr>
          <w:p>
            <w:pPr>
              <w:pStyle w:val="TableParagraph"/>
              <w:spacing w:line="252" w:lineRule="exact" w:before="1"/>
              <w:ind w:right="-15"/>
              <w:jc w:val="right"/>
              <w:rPr>
                <w:sz w:val="21"/>
              </w:rPr>
            </w:pPr>
            <w:r>
              <w:rPr>
                <w:w w:val="100"/>
                <w:sz w:val="21"/>
              </w:rPr>
              <w:t> </w:t>
            </w:r>
          </w:p>
        </w:tc>
        <w:tc>
          <w:tcPr>
            <w:tcW w:w="1693" w:type="dxa"/>
          </w:tcPr>
          <w:p>
            <w:pPr>
              <w:pStyle w:val="TableParagraph"/>
              <w:spacing w:line="252" w:lineRule="exact" w:before="1"/>
              <w:ind w:right="-15"/>
              <w:jc w:val="right"/>
              <w:rPr>
                <w:sz w:val="21"/>
              </w:rPr>
            </w:pPr>
            <w:r>
              <w:rPr>
                <w:w w:val="100"/>
                <w:sz w:val="21"/>
              </w:rPr>
              <w:t> </w:t>
            </w:r>
          </w:p>
        </w:tc>
        <w:tc>
          <w:tcPr>
            <w:tcW w:w="1474" w:type="dxa"/>
          </w:tcPr>
          <w:p>
            <w:pPr>
              <w:pStyle w:val="TableParagraph"/>
              <w:spacing w:line="252" w:lineRule="exact" w:before="1"/>
              <w:ind w:right="-15"/>
              <w:jc w:val="right"/>
              <w:rPr>
                <w:sz w:val="21"/>
              </w:rPr>
            </w:pPr>
            <w:r>
              <w:rPr>
                <w:w w:val="100"/>
                <w:sz w:val="21"/>
              </w:rPr>
              <w:t> </w:t>
            </w:r>
          </w:p>
        </w:tc>
      </w:tr>
      <w:tr>
        <w:trPr>
          <w:trHeight w:val="270" w:hRule="atLeast"/>
        </w:trPr>
        <w:tc>
          <w:tcPr>
            <w:tcW w:w="2365" w:type="dxa"/>
          </w:tcPr>
          <w:p>
            <w:pPr>
              <w:pStyle w:val="TableParagraph"/>
              <w:spacing w:line="250" w:lineRule="exact" w:before="1"/>
              <w:ind w:left="107"/>
              <w:rPr>
                <w:sz w:val="21"/>
              </w:rPr>
            </w:pPr>
            <w:r>
              <w:rPr>
                <w:sz w:val="21"/>
              </w:rPr>
              <w:t>（2）权益工具投资 </w:t>
            </w:r>
          </w:p>
        </w:tc>
        <w:tc>
          <w:tcPr>
            <w:tcW w:w="1666" w:type="dxa"/>
          </w:tcPr>
          <w:p>
            <w:pPr>
              <w:pStyle w:val="TableParagraph"/>
              <w:spacing w:line="250" w:lineRule="exact" w:before="1"/>
              <w:ind w:right="-15"/>
              <w:jc w:val="right"/>
              <w:rPr>
                <w:sz w:val="21"/>
              </w:rPr>
            </w:pPr>
            <w:r>
              <w:rPr>
                <w:w w:val="100"/>
                <w:sz w:val="21"/>
              </w:rPr>
              <w:t> </w:t>
            </w:r>
          </w:p>
        </w:tc>
        <w:tc>
          <w:tcPr>
            <w:tcW w:w="1628" w:type="dxa"/>
          </w:tcPr>
          <w:p>
            <w:pPr>
              <w:pStyle w:val="TableParagraph"/>
              <w:spacing w:line="250" w:lineRule="exact" w:before="1"/>
              <w:ind w:right="-15"/>
              <w:jc w:val="right"/>
              <w:rPr>
                <w:sz w:val="21"/>
              </w:rPr>
            </w:pPr>
            <w:r>
              <w:rPr>
                <w:w w:val="100"/>
                <w:sz w:val="21"/>
              </w:rPr>
              <w:t> </w:t>
            </w:r>
          </w:p>
        </w:tc>
        <w:tc>
          <w:tcPr>
            <w:tcW w:w="1693" w:type="dxa"/>
          </w:tcPr>
          <w:p>
            <w:pPr>
              <w:pStyle w:val="TableParagraph"/>
              <w:spacing w:line="250" w:lineRule="exact" w:before="1"/>
              <w:ind w:right="-15"/>
              <w:jc w:val="right"/>
              <w:rPr>
                <w:sz w:val="21"/>
              </w:rPr>
            </w:pPr>
            <w:r>
              <w:rPr>
                <w:w w:val="100"/>
                <w:sz w:val="21"/>
              </w:rPr>
              <w:t> </w:t>
            </w:r>
          </w:p>
        </w:tc>
        <w:tc>
          <w:tcPr>
            <w:tcW w:w="1474" w:type="dxa"/>
          </w:tcPr>
          <w:p>
            <w:pPr>
              <w:pStyle w:val="TableParagraph"/>
              <w:spacing w:line="250" w:lineRule="exact" w:before="1"/>
              <w:ind w:right="-15"/>
              <w:jc w:val="right"/>
              <w:rPr>
                <w:sz w:val="21"/>
              </w:rPr>
            </w:pPr>
            <w:r>
              <w:rPr>
                <w:w w:val="100"/>
                <w:sz w:val="21"/>
              </w:rPr>
              <w:t> </w:t>
            </w:r>
          </w:p>
        </w:tc>
      </w:tr>
      <w:tr>
        <w:trPr>
          <w:trHeight w:val="273" w:hRule="atLeast"/>
        </w:trPr>
        <w:tc>
          <w:tcPr>
            <w:tcW w:w="2365" w:type="dxa"/>
          </w:tcPr>
          <w:p>
            <w:pPr>
              <w:pStyle w:val="TableParagraph"/>
              <w:spacing w:line="252" w:lineRule="exact" w:before="1"/>
              <w:ind w:left="107"/>
              <w:rPr>
                <w:sz w:val="21"/>
              </w:rPr>
            </w:pPr>
            <w:r>
              <w:rPr>
                <w:sz w:val="21"/>
              </w:rPr>
              <w:t>（3）衍生金融资产 </w:t>
            </w:r>
          </w:p>
        </w:tc>
        <w:tc>
          <w:tcPr>
            <w:tcW w:w="1666" w:type="dxa"/>
          </w:tcPr>
          <w:p>
            <w:pPr>
              <w:pStyle w:val="TableParagraph"/>
              <w:spacing w:line="252" w:lineRule="exact" w:before="1"/>
              <w:ind w:right="-15"/>
              <w:jc w:val="right"/>
              <w:rPr>
                <w:sz w:val="21"/>
              </w:rPr>
            </w:pPr>
            <w:r>
              <w:rPr>
                <w:w w:val="100"/>
                <w:sz w:val="21"/>
              </w:rPr>
              <w:t> </w:t>
            </w:r>
          </w:p>
        </w:tc>
        <w:tc>
          <w:tcPr>
            <w:tcW w:w="1628" w:type="dxa"/>
          </w:tcPr>
          <w:p>
            <w:pPr>
              <w:pStyle w:val="TableParagraph"/>
              <w:spacing w:line="252" w:lineRule="exact" w:before="1"/>
              <w:ind w:right="-15"/>
              <w:jc w:val="right"/>
              <w:rPr>
                <w:sz w:val="21"/>
              </w:rPr>
            </w:pPr>
            <w:r>
              <w:rPr>
                <w:sz w:val="21"/>
              </w:rPr>
              <w:t>15,621 </w:t>
            </w:r>
          </w:p>
        </w:tc>
        <w:tc>
          <w:tcPr>
            <w:tcW w:w="1693" w:type="dxa"/>
          </w:tcPr>
          <w:p>
            <w:pPr>
              <w:pStyle w:val="TableParagraph"/>
              <w:spacing w:line="252" w:lineRule="exact" w:before="1"/>
              <w:ind w:right="-15"/>
              <w:jc w:val="right"/>
              <w:rPr>
                <w:sz w:val="21"/>
              </w:rPr>
            </w:pPr>
            <w:r>
              <w:rPr>
                <w:w w:val="100"/>
                <w:sz w:val="21"/>
              </w:rPr>
              <w:t> </w:t>
            </w:r>
          </w:p>
        </w:tc>
        <w:tc>
          <w:tcPr>
            <w:tcW w:w="1474" w:type="dxa"/>
          </w:tcPr>
          <w:p>
            <w:pPr>
              <w:pStyle w:val="TableParagraph"/>
              <w:spacing w:line="252" w:lineRule="exact" w:before="1"/>
              <w:ind w:right="-15"/>
              <w:jc w:val="right"/>
              <w:rPr>
                <w:sz w:val="21"/>
              </w:rPr>
            </w:pPr>
            <w:r>
              <w:rPr>
                <w:sz w:val="21"/>
              </w:rPr>
              <w:t>15,621 </w:t>
            </w:r>
          </w:p>
        </w:tc>
      </w:tr>
      <w:tr>
        <w:trPr>
          <w:trHeight w:val="818" w:hRule="atLeast"/>
        </w:trPr>
        <w:tc>
          <w:tcPr>
            <w:tcW w:w="2365" w:type="dxa"/>
          </w:tcPr>
          <w:p>
            <w:pPr>
              <w:pStyle w:val="TableParagraph"/>
              <w:spacing w:before="1"/>
              <w:ind w:left="107"/>
              <w:rPr>
                <w:sz w:val="21"/>
              </w:rPr>
            </w:pPr>
            <w:r>
              <w:rPr>
                <w:sz w:val="21"/>
              </w:rPr>
              <w:t>2.</w:t>
            </w:r>
            <w:r>
              <w:rPr>
                <w:spacing w:val="-1"/>
                <w:sz w:val="21"/>
              </w:rPr>
              <w:t> 指定以公允价值计</w:t>
            </w:r>
          </w:p>
          <w:p>
            <w:pPr>
              <w:pStyle w:val="TableParagraph"/>
              <w:spacing w:line="270" w:lineRule="atLeast"/>
              <w:ind w:left="107" w:right="142"/>
              <w:rPr>
                <w:sz w:val="21"/>
              </w:rPr>
            </w:pPr>
            <w:r>
              <w:rPr>
                <w:spacing w:val="-1"/>
                <w:sz w:val="21"/>
              </w:rPr>
              <w:t>量且其变动计入当期损</w:t>
            </w:r>
            <w:r>
              <w:rPr>
                <w:sz w:val="21"/>
              </w:rPr>
              <w:t>益的金融资产 </w:t>
            </w:r>
          </w:p>
        </w:tc>
        <w:tc>
          <w:tcPr>
            <w:tcW w:w="1666" w:type="dxa"/>
          </w:tcPr>
          <w:p>
            <w:pPr>
              <w:pStyle w:val="TableParagraph"/>
              <w:spacing w:before="1"/>
              <w:ind w:right="-15"/>
              <w:jc w:val="right"/>
              <w:rPr>
                <w:sz w:val="21"/>
              </w:rPr>
            </w:pPr>
            <w:r>
              <w:rPr>
                <w:w w:val="100"/>
                <w:sz w:val="21"/>
              </w:rPr>
              <w:t> </w:t>
            </w:r>
          </w:p>
        </w:tc>
        <w:tc>
          <w:tcPr>
            <w:tcW w:w="1628" w:type="dxa"/>
          </w:tcPr>
          <w:p>
            <w:pPr>
              <w:pStyle w:val="TableParagraph"/>
              <w:rPr>
                <w:rFonts w:ascii="Times New Roman"/>
                <w:sz w:val="20"/>
              </w:rPr>
            </w:pPr>
          </w:p>
        </w:tc>
        <w:tc>
          <w:tcPr>
            <w:tcW w:w="1693" w:type="dxa"/>
          </w:tcPr>
          <w:p>
            <w:pPr>
              <w:pStyle w:val="TableParagraph"/>
              <w:spacing w:before="8"/>
              <w:rPr>
                <w:sz w:val="19"/>
              </w:rPr>
            </w:pPr>
          </w:p>
          <w:p>
            <w:pPr>
              <w:pStyle w:val="TableParagraph"/>
              <w:ind w:left="106"/>
              <w:rPr>
                <w:sz w:val="24"/>
              </w:rPr>
            </w:pPr>
            <w:r>
              <w:rPr>
                <w:sz w:val="24"/>
              </w:rPr>
              <w:t> </w:t>
            </w:r>
          </w:p>
        </w:tc>
        <w:tc>
          <w:tcPr>
            <w:tcW w:w="1474" w:type="dxa"/>
          </w:tcPr>
          <w:p>
            <w:pPr>
              <w:pStyle w:val="TableParagraph"/>
              <w:spacing w:before="5"/>
              <w:rPr>
                <w:sz w:val="21"/>
              </w:rPr>
            </w:pPr>
          </w:p>
          <w:p>
            <w:pPr>
              <w:pStyle w:val="TableParagraph"/>
              <w:ind w:left="103"/>
              <w:rPr>
                <w:sz w:val="21"/>
              </w:rPr>
            </w:pPr>
            <w:r>
              <w:rPr>
                <w:w w:val="100"/>
                <w:sz w:val="21"/>
              </w:rPr>
              <w:t> </w:t>
            </w:r>
          </w:p>
        </w:tc>
      </w:tr>
      <w:tr>
        <w:trPr>
          <w:trHeight w:val="270" w:hRule="atLeast"/>
        </w:trPr>
        <w:tc>
          <w:tcPr>
            <w:tcW w:w="2365" w:type="dxa"/>
          </w:tcPr>
          <w:p>
            <w:pPr>
              <w:pStyle w:val="TableParagraph"/>
              <w:spacing w:line="250" w:lineRule="exact" w:before="1"/>
              <w:ind w:left="107"/>
              <w:rPr>
                <w:sz w:val="21"/>
              </w:rPr>
            </w:pPr>
            <w:r>
              <w:rPr>
                <w:sz w:val="21"/>
              </w:rPr>
              <w:t>（1）债务工具投资 </w:t>
            </w:r>
          </w:p>
        </w:tc>
        <w:tc>
          <w:tcPr>
            <w:tcW w:w="1666" w:type="dxa"/>
          </w:tcPr>
          <w:p>
            <w:pPr>
              <w:pStyle w:val="TableParagraph"/>
              <w:spacing w:line="250" w:lineRule="exact" w:before="1"/>
              <w:ind w:right="-15"/>
              <w:jc w:val="right"/>
              <w:rPr>
                <w:sz w:val="21"/>
              </w:rPr>
            </w:pPr>
            <w:r>
              <w:rPr>
                <w:w w:val="100"/>
                <w:sz w:val="21"/>
              </w:rPr>
              <w:t> </w:t>
            </w:r>
          </w:p>
        </w:tc>
        <w:tc>
          <w:tcPr>
            <w:tcW w:w="1628" w:type="dxa"/>
          </w:tcPr>
          <w:p>
            <w:pPr>
              <w:pStyle w:val="TableParagraph"/>
              <w:spacing w:line="250" w:lineRule="exact" w:before="1"/>
              <w:ind w:right="-15"/>
              <w:jc w:val="right"/>
              <w:rPr>
                <w:sz w:val="21"/>
              </w:rPr>
            </w:pPr>
            <w:r>
              <w:rPr>
                <w:w w:val="100"/>
                <w:sz w:val="21"/>
              </w:rPr>
              <w:t> </w:t>
            </w:r>
          </w:p>
        </w:tc>
        <w:tc>
          <w:tcPr>
            <w:tcW w:w="1693" w:type="dxa"/>
          </w:tcPr>
          <w:p>
            <w:pPr>
              <w:pStyle w:val="TableParagraph"/>
              <w:spacing w:line="250" w:lineRule="exact" w:before="1"/>
              <w:ind w:right="-15"/>
              <w:jc w:val="right"/>
              <w:rPr>
                <w:sz w:val="21"/>
              </w:rPr>
            </w:pPr>
            <w:r>
              <w:rPr>
                <w:w w:val="100"/>
                <w:sz w:val="21"/>
              </w:rPr>
              <w:t> </w:t>
            </w:r>
          </w:p>
        </w:tc>
        <w:tc>
          <w:tcPr>
            <w:tcW w:w="1474" w:type="dxa"/>
          </w:tcPr>
          <w:p>
            <w:pPr>
              <w:pStyle w:val="TableParagraph"/>
              <w:spacing w:line="250" w:lineRule="exact" w:before="1"/>
              <w:ind w:right="-15"/>
              <w:jc w:val="right"/>
              <w:rPr>
                <w:sz w:val="21"/>
              </w:rPr>
            </w:pPr>
            <w:r>
              <w:rPr>
                <w:w w:val="100"/>
                <w:sz w:val="21"/>
              </w:rPr>
              <w:t> </w:t>
            </w:r>
          </w:p>
        </w:tc>
      </w:tr>
      <w:tr>
        <w:trPr>
          <w:trHeight w:val="273" w:hRule="atLeast"/>
        </w:trPr>
        <w:tc>
          <w:tcPr>
            <w:tcW w:w="2365" w:type="dxa"/>
          </w:tcPr>
          <w:p>
            <w:pPr>
              <w:pStyle w:val="TableParagraph"/>
              <w:spacing w:line="252" w:lineRule="exact" w:before="1"/>
              <w:ind w:left="107"/>
              <w:rPr>
                <w:sz w:val="21"/>
              </w:rPr>
            </w:pPr>
            <w:r>
              <w:rPr>
                <w:sz w:val="21"/>
              </w:rPr>
              <w:t>（2）权益工具投资 </w:t>
            </w:r>
          </w:p>
        </w:tc>
        <w:tc>
          <w:tcPr>
            <w:tcW w:w="1666" w:type="dxa"/>
          </w:tcPr>
          <w:p>
            <w:pPr>
              <w:pStyle w:val="TableParagraph"/>
              <w:spacing w:line="252" w:lineRule="exact" w:before="1"/>
              <w:ind w:right="-15"/>
              <w:jc w:val="right"/>
              <w:rPr>
                <w:sz w:val="21"/>
              </w:rPr>
            </w:pPr>
            <w:r>
              <w:rPr>
                <w:w w:val="100"/>
                <w:sz w:val="21"/>
              </w:rPr>
              <w:t> </w:t>
            </w:r>
          </w:p>
        </w:tc>
        <w:tc>
          <w:tcPr>
            <w:tcW w:w="1628" w:type="dxa"/>
          </w:tcPr>
          <w:p>
            <w:pPr>
              <w:pStyle w:val="TableParagraph"/>
              <w:spacing w:line="252" w:lineRule="exact" w:before="1"/>
              <w:ind w:right="-15"/>
              <w:jc w:val="right"/>
              <w:rPr>
                <w:sz w:val="21"/>
              </w:rPr>
            </w:pPr>
            <w:r>
              <w:rPr>
                <w:w w:val="100"/>
                <w:sz w:val="21"/>
              </w:rPr>
              <w:t> </w:t>
            </w:r>
          </w:p>
        </w:tc>
        <w:tc>
          <w:tcPr>
            <w:tcW w:w="1693" w:type="dxa"/>
          </w:tcPr>
          <w:p>
            <w:pPr>
              <w:pStyle w:val="TableParagraph"/>
              <w:spacing w:line="252" w:lineRule="exact" w:before="1"/>
              <w:ind w:right="-15"/>
              <w:jc w:val="right"/>
              <w:rPr>
                <w:sz w:val="21"/>
              </w:rPr>
            </w:pPr>
            <w:r>
              <w:rPr>
                <w:w w:val="100"/>
                <w:sz w:val="21"/>
              </w:rPr>
              <w:t> </w:t>
            </w:r>
          </w:p>
        </w:tc>
        <w:tc>
          <w:tcPr>
            <w:tcW w:w="1474" w:type="dxa"/>
          </w:tcPr>
          <w:p>
            <w:pPr>
              <w:pStyle w:val="TableParagraph"/>
              <w:spacing w:line="252" w:lineRule="exact" w:before="1"/>
              <w:ind w:right="-15"/>
              <w:jc w:val="right"/>
              <w:rPr>
                <w:sz w:val="21"/>
              </w:rPr>
            </w:pPr>
            <w:r>
              <w:rPr>
                <w:w w:val="100"/>
                <w:sz w:val="21"/>
              </w:rPr>
              <w:t> </w:t>
            </w:r>
          </w:p>
        </w:tc>
      </w:tr>
      <w:tr>
        <w:trPr>
          <w:trHeight w:val="270" w:hRule="atLeast"/>
        </w:trPr>
        <w:tc>
          <w:tcPr>
            <w:tcW w:w="2365" w:type="dxa"/>
          </w:tcPr>
          <w:p>
            <w:pPr>
              <w:pStyle w:val="TableParagraph"/>
              <w:spacing w:line="250" w:lineRule="exact" w:before="1"/>
              <w:ind w:left="107"/>
              <w:rPr>
                <w:sz w:val="21"/>
              </w:rPr>
            </w:pPr>
            <w:r>
              <w:rPr>
                <w:sz w:val="21"/>
              </w:rPr>
              <w:t>（二）其他债权投资 </w:t>
            </w:r>
          </w:p>
        </w:tc>
        <w:tc>
          <w:tcPr>
            <w:tcW w:w="1666" w:type="dxa"/>
          </w:tcPr>
          <w:p>
            <w:pPr>
              <w:pStyle w:val="TableParagraph"/>
              <w:spacing w:line="250" w:lineRule="exact" w:before="1"/>
              <w:ind w:right="-15"/>
              <w:jc w:val="right"/>
              <w:rPr>
                <w:sz w:val="21"/>
              </w:rPr>
            </w:pPr>
            <w:r>
              <w:rPr>
                <w:w w:val="100"/>
                <w:sz w:val="21"/>
              </w:rPr>
              <w:t> </w:t>
            </w:r>
          </w:p>
        </w:tc>
        <w:tc>
          <w:tcPr>
            <w:tcW w:w="1628" w:type="dxa"/>
          </w:tcPr>
          <w:p>
            <w:pPr>
              <w:pStyle w:val="TableParagraph"/>
              <w:spacing w:line="250" w:lineRule="exact" w:before="1"/>
              <w:ind w:right="-15"/>
              <w:jc w:val="right"/>
              <w:rPr>
                <w:sz w:val="21"/>
              </w:rPr>
            </w:pPr>
            <w:r>
              <w:rPr>
                <w:w w:val="100"/>
                <w:sz w:val="21"/>
              </w:rPr>
              <w:t> </w:t>
            </w:r>
          </w:p>
        </w:tc>
        <w:tc>
          <w:tcPr>
            <w:tcW w:w="1693" w:type="dxa"/>
          </w:tcPr>
          <w:p>
            <w:pPr>
              <w:pStyle w:val="TableParagraph"/>
              <w:spacing w:line="250" w:lineRule="exact" w:before="1"/>
              <w:ind w:right="-15"/>
              <w:jc w:val="right"/>
              <w:rPr>
                <w:sz w:val="21"/>
              </w:rPr>
            </w:pPr>
            <w:r>
              <w:rPr>
                <w:w w:val="100"/>
                <w:sz w:val="21"/>
              </w:rPr>
              <w:t> </w:t>
            </w:r>
          </w:p>
        </w:tc>
        <w:tc>
          <w:tcPr>
            <w:tcW w:w="1474" w:type="dxa"/>
          </w:tcPr>
          <w:p>
            <w:pPr>
              <w:pStyle w:val="TableParagraph"/>
              <w:spacing w:line="250" w:lineRule="exact" w:before="1"/>
              <w:ind w:right="-15"/>
              <w:jc w:val="right"/>
              <w:rPr>
                <w:sz w:val="21"/>
              </w:rPr>
            </w:pPr>
            <w:r>
              <w:rPr>
                <w:w w:val="100"/>
                <w:sz w:val="21"/>
              </w:rPr>
              <w:t> </w:t>
            </w:r>
          </w:p>
        </w:tc>
      </w:tr>
      <w:tr>
        <w:trPr>
          <w:trHeight w:val="547" w:hRule="atLeast"/>
        </w:trPr>
        <w:tc>
          <w:tcPr>
            <w:tcW w:w="2365" w:type="dxa"/>
          </w:tcPr>
          <w:p>
            <w:pPr>
              <w:pStyle w:val="TableParagraph"/>
              <w:spacing w:line="270" w:lineRule="atLeast"/>
              <w:ind w:left="107" w:right="142"/>
              <w:rPr>
                <w:sz w:val="21"/>
              </w:rPr>
            </w:pPr>
            <w:r>
              <w:rPr>
                <w:spacing w:val="-1"/>
                <w:sz w:val="21"/>
              </w:rPr>
              <w:t>（</w:t>
            </w:r>
            <w:r>
              <w:rPr>
                <w:sz w:val="21"/>
              </w:rPr>
              <w:t>三）其他权益工具投资 </w:t>
            </w:r>
          </w:p>
        </w:tc>
        <w:tc>
          <w:tcPr>
            <w:tcW w:w="1666" w:type="dxa"/>
          </w:tcPr>
          <w:p>
            <w:pPr>
              <w:pStyle w:val="TableParagraph"/>
              <w:spacing w:before="3"/>
              <w:ind w:right="-15"/>
              <w:jc w:val="right"/>
              <w:rPr>
                <w:sz w:val="21"/>
              </w:rPr>
            </w:pPr>
            <w:r>
              <w:rPr>
                <w:w w:val="100"/>
                <w:sz w:val="21"/>
              </w:rPr>
              <w:t> </w:t>
            </w:r>
          </w:p>
        </w:tc>
        <w:tc>
          <w:tcPr>
            <w:tcW w:w="1628" w:type="dxa"/>
          </w:tcPr>
          <w:p>
            <w:pPr>
              <w:pStyle w:val="TableParagraph"/>
              <w:spacing w:before="3"/>
              <w:ind w:right="-15"/>
              <w:jc w:val="right"/>
              <w:rPr>
                <w:sz w:val="21"/>
              </w:rPr>
            </w:pPr>
            <w:r>
              <w:rPr>
                <w:w w:val="100"/>
                <w:sz w:val="21"/>
              </w:rPr>
              <w:t> </w:t>
            </w:r>
          </w:p>
        </w:tc>
        <w:tc>
          <w:tcPr>
            <w:tcW w:w="1693" w:type="dxa"/>
          </w:tcPr>
          <w:p>
            <w:pPr>
              <w:pStyle w:val="TableParagraph"/>
              <w:spacing w:before="3"/>
              <w:ind w:right="-15"/>
              <w:jc w:val="right"/>
              <w:rPr>
                <w:sz w:val="21"/>
              </w:rPr>
            </w:pPr>
            <w:r>
              <w:rPr>
                <w:sz w:val="21"/>
              </w:rPr>
              <w:t>388,257 </w:t>
            </w:r>
          </w:p>
        </w:tc>
        <w:tc>
          <w:tcPr>
            <w:tcW w:w="1474" w:type="dxa"/>
          </w:tcPr>
          <w:p>
            <w:pPr>
              <w:pStyle w:val="TableParagraph"/>
              <w:spacing w:before="3"/>
              <w:ind w:right="-15"/>
              <w:jc w:val="right"/>
              <w:rPr>
                <w:sz w:val="21"/>
              </w:rPr>
            </w:pPr>
            <w:r>
              <w:rPr>
                <w:sz w:val="21"/>
              </w:rPr>
              <w:t>388,257 </w:t>
            </w:r>
          </w:p>
        </w:tc>
      </w:tr>
      <w:tr>
        <w:trPr>
          <w:trHeight w:val="270" w:hRule="atLeast"/>
        </w:trPr>
        <w:tc>
          <w:tcPr>
            <w:tcW w:w="2365" w:type="dxa"/>
          </w:tcPr>
          <w:p>
            <w:pPr>
              <w:pStyle w:val="TableParagraph"/>
              <w:spacing w:line="250" w:lineRule="exact" w:before="1"/>
              <w:ind w:left="107"/>
              <w:rPr>
                <w:sz w:val="21"/>
              </w:rPr>
            </w:pPr>
            <w:r>
              <w:rPr>
                <w:sz w:val="21"/>
              </w:rPr>
              <w:t>（四）投资性房地产 </w:t>
            </w:r>
          </w:p>
        </w:tc>
        <w:tc>
          <w:tcPr>
            <w:tcW w:w="1666" w:type="dxa"/>
          </w:tcPr>
          <w:p>
            <w:pPr>
              <w:pStyle w:val="TableParagraph"/>
              <w:spacing w:line="250" w:lineRule="exact" w:before="1"/>
              <w:ind w:right="-15"/>
              <w:jc w:val="right"/>
              <w:rPr>
                <w:sz w:val="21"/>
              </w:rPr>
            </w:pPr>
            <w:r>
              <w:rPr>
                <w:w w:val="100"/>
                <w:sz w:val="21"/>
              </w:rPr>
              <w:t> </w:t>
            </w:r>
          </w:p>
        </w:tc>
        <w:tc>
          <w:tcPr>
            <w:tcW w:w="1628" w:type="dxa"/>
          </w:tcPr>
          <w:p>
            <w:pPr>
              <w:pStyle w:val="TableParagraph"/>
              <w:spacing w:line="250" w:lineRule="exact" w:before="1"/>
              <w:ind w:right="-15"/>
              <w:jc w:val="right"/>
              <w:rPr>
                <w:sz w:val="21"/>
              </w:rPr>
            </w:pPr>
            <w:r>
              <w:rPr>
                <w:w w:val="100"/>
                <w:sz w:val="21"/>
              </w:rPr>
              <w:t> </w:t>
            </w:r>
          </w:p>
        </w:tc>
        <w:tc>
          <w:tcPr>
            <w:tcW w:w="1693" w:type="dxa"/>
          </w:tcPr>
          <w:p>
            <w:pPr>
              <w:pStyle w:val="TableParagraph"/>
              <w:spacing w:line="250" w:lineRule="exact" w:before="1"/>
              <w:ind w:right="-15"/>
              <w:jc w:val="right"/>
              <w:rPr>
                <w:sz w:val="21"/>
              </w:rPr>
            </w:pPr>
            <w:r>
              <w:rPr>
                <w:w w:val="100"/>
                <w:sz w:val="21"/>
              </w:rPr>
              <w:t> </w:t>
            </w:r>
          </w:p>
        </w:tc>
        <w:tc>
          <w:tcPr>
            <w:tcW w:w="1474" w:type="dxa"/>
          </w:tcPr>
          <w:p>
            <w:pPr>
              <w:pStyle w:val="TableParagraph"/>
              <w:spacing w:line="250" w:lineRule="exact" w:before="1"/>
              <w:ind w:right="-15"/>
              <w:jc w:val="right"/>
              <w:rPr>
                <w:sz w:val="21"/>
              </w:rPr>
            </w:pPr>
            <w:r>
              <w:rPr>
                <w:w w:val="100"/>
                <w:sz w:val="21"/>
              </w:rPr>
              <w:t> </w:t>
            </w:r>
          </w:p>
        </w:tc>
      </w:tr>
      <w:tr>
        <w:trPr>
          <w:trHeight w:val="273" w:hRule="atLeast"/>
        </w:trPr>
        <w:tc>
          <w:tcPr>
            <w:tcW w:w="2365" w:type="dxa"/>
          </w:tcPr>
          <w:p>
            <w:pPr>
              <w:pStyle w:val="TableParagraph"/>
              <w:spacing w:line="252" w:lineRule="exact" w:before="1"/>
              <w:ind w:left="107"/>
              <w:rPr>
                <w:sz w:val="21"/>
              </w:rPr>
            </w:pPr>
            <w:r>
              <w:rPr>
                <w:sz w:val="21"/>
              </w:rPr>
              <w:t>1.出租用的土地使用权 </w:t>
            </w:r>
          </w:p>
        </w:tc>
        <w:tc>
          <w:tcPr>
            <w:tcW w:w="1666" w:type="dxa"/>
          </w:tcPr>
          <w:p>
            <w:pPr>
              <w:pStyle w:val="TableParagraph"/>
              <w:spacing w:line="252" w:lineRule="exact" w:before="1"/>
              <w:ind w:right="-15"/>
              <w:jc w:val="right"/>
              <w:rPr>
                <w:sz w:val="21"/>
              </w:rPr>
            </w:pPr>
            <w:r>
              <w:rPr>
                <w:w w:val="100"/>
                <w:sz w:val="21"/>
              </w:rPr>
              <w:t> </w:t>
            </w:r>
          </w:p>
        </w:tc>
        <w:tc>
          <w:tcPr>
            <w:tcW w:w="1628" w:type="dxa"/>
          </w:tcPr>
          <w:p>
            <w:pPr>
              <w:pStyle w:val="TableParagraph"/>
              <w:spacing w:line="252" w:lineRule="exact" w:before="1"/>
              <w:ind w:right="-15"/>
              <w:jc w:val="right"/>
              <w:rPr>
                <w:sz w:val="21"/>
              </w:rPr>
            </w:pPr>
            <w:r>
              <w:rPr>
                <w:w w:val="100"/>
                <w:sz w:val="21"/>
              </w:rPr>
              <w:t> </w:t>
            </w:r>
          </w:p>
        </w:tc>
        <w:tc>
          <w:tcPr>
            <w:tcW w:w="1693" w:type="dxa"/>
          </w:tcPr>
          <w:p>
            <w:pPr>
              <w:pStyle w:val="TableParagraph"/>
              <w:spacing w:line="252" w:lineRule="exact" w:before="1"/>
              <w:ind w:right="-15"/>
              <w:jc w:val="right"/>
              <w:rPr>
                <w:sz w:val="21"/>
              </w:rPr>
            </w:pPr>
            <w:r>
              <w:rPr>
                <w:w w:val="100"/>
                <w:sz w:val="21"/>
              </w:rPr>
              <w:t> </w:t>
            </w:r>
          </w:p>
        </w:tc>
        <w:tc>
          <w:tcPr>
            <w:tcW w:w="1474" w:type="dxa"/>
          </w:tcPr>
          <w:p>
            <w:pPr>
              <w:pStyle w:val="TableParagraph"/>
              <w:spacing w:line="252" w:lineRule="exact" w:before="1"/>
              <w:ind w:right="-15"/>
              <w:jc w:val="right"/>
              <w:rPr>
                <w:sz w:val="21"/>
              </w:rPr>
            </w:pPr>
            <w:r>
              <w:rPr>
                <w:w w:val="100"/>
                <w:sz w:val="21"/>
              </w:rPr>
              <w:t> </w:t>
            </w:r>
          </w:p>
        </w:tc>
      </w:tr>
      <w:tr>
        <w:trPr>
          <w:trHeight w:val="273" w:hRule="atLeast"/>
        </w:trPr>
        <w:tc>
          <w:tcPr>
            <w:tcW w:w="2365" w:type="dxa"/>
          </w:tcPr>
          <w:p>
            <w:pPr>
              <w:pStyle w:val="TableParagraph"/>
              <w:spacing w:line="252" w:lineRule="exact" w:before="1"/>
              <w:ind w:left="107"/>
              <w:rPr>
                <w:sz w:val="21"/>
              </w:rPr>
            </w:pPr>
            <w:r>
              <w:rPr>
                <w:sz w:val="21"/>
              </w:rPr>
              <w:t>2.出租的建筑物 </w:t>
            </w:r>
          </w:p>
        </w:tc>
        <w:tc>
          <w:tcPr>
            <w:tcW w:w="1666" w:type="dxa"/>
          </w:tcPr>
          <w:p>
            <w:pPr>
              <w:pStyle w:val="TableParagraph"/>
              <w:spacing w:line="252" w:lineRule="exact" w:before="1"/>
              <w:ind w:right="-15"/>
              <w:jc w:val="right"/>
              <w:rPr>
                <w:sz w:val="21"/>
              </w:rPr>
            </w:pPr>
            <w:r>
              <w:rPr>
                <w:w w:val="100"/>
                <w:sz w:val="21"/>
              </w:rPr>
              <w:t> </w:t>
            </w:r>
          </w:p>
        </w:tc>
        <w:tc>
          <w:tcPr>
            <w:tcW w:w="1628" w:type="dxa"/>
          </w:tcPr>
          <w:p>
            <w:pPr>
              <w:pStyle w:val="TableParagraph"/>
              <w:spacing w:line="252" w:lineRule="exact" w:before="1"/>
              <w:ind w:right="-15"/>
              <w:jc w:val="right"/>
              <w:rPr>
                <w:sz w:val="21"/>
              </w:rPr>
            </w:pPr>
            <w:r>
              <w:rPr>
                <w:w w:val="100"/>
                <w:sz w:val="21"/>
              </w:rPr>
              <w:t> </w:t>
            </w:r>
          </w:p>
        </w:tc>
        <w:tc>
          <w:tcPr>
            <w:tcW w:w="1693" w:type="dxa"/>
          </w:tcPr>
          <w:p>
            <w:pPr>
              <w:pStyle w:val="TableParagraph"/>
              <w:spacing w:line="252" w:lineRule="exact" w:before="1"/>
              <w:ind w:right="-15"/>
              <w:jc w:val="right"/>
              <w:rPr>
                <w:sz w:val="21"/>
              </w:rPr>
            </w:pPr>
            <w:r>
              <w:rPr>
                <w:w w:val="100"/>
                <w:sz w:val="21"/>
              </w:rPr>
              <w:t> </w:t>
            </w:r>
          </w:p>
        </w:tc>
        <w:tc>
          <w:tcPr>
            <w:tcW w:w="1474" w:type="dxa"/>
          </w:tcPr>
          <w:p>
            <w:pPr>
              <w:pStyle w:val="TableParagraph"/>
              <w:spacing w:line="252" w:lineRule="exact" w:before="1"/>
              <w:ind w:right="-15"/>
              <w:jc w:val="right"/>
              <w:rPr>
                <w:sz w:val="21"/>
              </w:rPr>
            </w:pPr>
            <w:r>
              <w:rPr>
                <w:w w:val="100"/>
                <w:sz w:val="21"/>
              </w:rPr>
              <w:t> </w:t>
            </w:r>
          </w:p>
        </w:tc>
      </w:tr>
      <w:tr>
        <w:trPr>
          <w:trHeight w:val="544" w:hRule="atLeast"/>
        </w:trPr>
        <w:tc>
          <w:tcPr>
            <w:tcW w:w="2365" w:type="dxa"/>
          </w:tcPr>
          <w:p>
            <w:pPr>
              <w:pStyle w:val="TableParagraph"/>
              <w:spacing w:before="1"/>
              <w:ind w:left="107"/>
              <w:rPr>
                <w:sz w:val="21"/>
              </w:rPr>
            </w:pPr>
            <w:r>
              <w:rPr>
                <w:sz w:val="21"/>
              </w:rPr>
              <w:t>3.持有并准备增值后转</w:t>
            </w:r>
          </w:p>
          <w:p>
            <w:pPr>
              <w:pStyle w:val="TableParagraph"/>
              <w:spacing w:line="252" w:lineRule="exact" w:before="2"/>
              <w:ind w:left="107"/>
              <w:rPr>
                <w:sz w:val="21"/>
              </w:rPr>
            </w:pPr>
            <w:r>
              <w:rPr>
                <w:spacing w:val="-1"/>
                <w:sz w:val="21"/>
              </w:rPr>
              <w:t>让的土地使用权</w:t>
            </w:r>
            <w:r>
              <w:rPr>
                <w:sz w:val="21"/>
              </w:rPr>
              <w:t> </w:t>
            </w:r>
          </w:p>
        </w:tc>
        <w:tc>
          <w:tcPr>
            <w:tcW w:w="1666" w:type="dxa"/>
          </w:tcPr>
          <w:p>
            <w:pPr>
              <w:pStyle w:val="TableParagraph"/>
              <w:spacing w:before="1"/>
              <w:ind w:right="-15"/>
              <w:jc w:val="right"/>
              <w:rPr>
                <w:sz w:val="21"/>
              </w:rPr>
            </w:pPr>
            <w:r>
              <w:rPr>
                <w:w w:val="100"/>
                <w:sz w:val="21"/>
              </w:rPr>
              <w:t> </w:t>
            </w:r>
          </w:p>
        </w:tc>
        <w:tc>
          <w:tcPr>
            <w:tcW w:w="1628" w:type="dxa"/>
          </w:tcPr>
          <w:p>
            <w:pPr>
              <w:pStyle w:val="TableParagraph"/>
              <w:spacing w:before="1"/>
              <w:ind w:right="-15"/>
              <w:jc w:val="right"/>
              <w:rPr>
                <w:sz w:val="21"/>
              </w:rPr>
            </w:pPr>
            <w:r>
              <w:rPr>
                <w:w w:val="100"/>
                <w:sz w:val="21"/>
              </w:rPr>
              <w:t> </w:t>
            </w:r>
          </w:p>
        </w:tc>
        <w:tc>
          <w:tcPr>
            <w:tcW w:w="1693" w:type="dxa"/>
          </w:tcPr>
          <w:p>
            <w:pPr>
              <w:pStyle w:val="TableParagraph"/>
              <w:spacing w:before="1"/>
              <w:ind w:right="-15"/>
              <w:jc w:val="right"/>
              <w:rPr>
                <w:sz w:val="21"/>
              </w:rPr>
            </w:pPr>
            <w:r>
              <w:rPr>
                <w:w w:val="100"/>
                <w:sz w:val="21"/>
              </w:rPr>
              <w:t> </w:t>
            </w:r>
          </w:p>
        </w:tc>
        <w:tc>
          <w:tcPr>
            <w:tcW w:w="1474" w:type="dxa"/>
          </w:tcPr>
          <w:p>
            <w:pPr>
              <w:pStyle w:val="TableParagraph"/>
              <w:spacing w:before="1"/>
              <w:ind w:right="-15"/>
              <w:jc w:val="right"/>
              <w:rPr>
                <w:sz w:val="21"/>
              </w:rPr>
            </w:pPr>
            <w:r>
              <w:rPr>
                <w:w w:val="100"/>
                <w:sz w:val="21"/>
              </w:rPr>
              <w:t> </w:t>
            </w:r>
          </w:p>
        </w:tc>
      </w:tr>
      <w:tr>
        <w:trPr>
          <w:trHeight w:val="270" w:hRule="atLeast"/>
        </w:trPr>
        <w:tc>
          <w:tcPr>
            <w:tcW w:w="2365" w:type="dxa"/>
          </w:tcPr>
          <w:p>
            <w:pPr>
              <w:pStyle w:val="TableParagraph"/>
              <w:spacing w:line="250" w:lineRule="exact" w:before="1"/>
              <w:ind w:left="107"/>
              <w:rPr>
                <w:sz w:val="21"/>
              </w:rPr>
            </w:pPr>
            <w:r>
              <w:rPr>
                <w:sz w:val="21"/>
              </w:rPr>
              <w:t>（五）生物资产 </w:t>
            </w:r>
          </w:p>
        </w:tc>
        <w:tc>
          <w:tcPr>
            <w:tcW w:w="1666" w:type="dxa"/>
          </w:tcPr>
          <w:p>
            <w:pPr>
              <w:pStyle w:val="TableParagraph"/>
              <w:spacing w:line="250" w:lineRule="exact" w:before="1"/>
              <w:ind w:right="-15"/>
              <w:jc w:val="right"/>
              <w:rPr>
                <w:sz w:val="21"/>
              </w:rPr>
            </w:pPr>
            <w:r>
              <w:rPr>
                <w:w w:val="100"/>
                <w:sz w:val="21"/>
              </w:rPr>
              <w:t> </w:t>
            </w:r>
          </w:p>
        </w:tc>
        <w:tc>
          <w:tcPr>
            <w:tcW w:w="1628" w:type="dxa"/>
          </w:tcPr>
          <w:p>
            <w:pPr>
              <w:pStyle w:val="TableParagraph"/>
              <w:spacing w:line="250" w:lineRule="exact" w:before="1"/>
              <w:ind w:right="-15"/>
              <w:jc w:val="right"/>
              <w:rPr>
                <w:sz w:val="21"/>
              </w:rPr>
            </w:pPr>
            <w:r>
              <w:rPr>
                <w:w w:val="100"/>
                <w:sz w:val="21"/>
              </w:rPr>
              <w:t> </w:t>
            </w:r>
          </w:p>
        </w:tc>
        <w:tc>
          <w:tcPr>
            <w:tcW w:w="1693" w:type="dxa"/>
          </w:tcPr>
          <w:p>
            <w:pPr>
              <w:pStyle w:val="TableParagraph"/>
              <w:spacing w:line="250" w:lineRule="exact" w:before="1"/>
              <w:ind w:right="-15"/>
              <w:jc w:val="right"/>
              <w:rPr>
                <w:sz w:val="21"/>
              </w:rPr>
            </w:pPr>
            <w:r>
              <w:rPr>
                <w:w w:val="100"/>
                <w:sz w:val="21"/>
              </w:rPr>
              <w:t> </w:t>
            </w:r>
          </w:p>
        </w:tc>
        <w:tc>
          <w:tcPr>
            <w:tcW w:w="1474" w:type="dxa"/>
          </w:tcPr>
          <w:p>
            <w:pPr>
              <w:pStyle w:val="TableParagraph"/>
              <w:spacing w:line="250" w:lineRule="exact" w:before="1"/>
              <w:ind w:right="-15"/>
              <w:jc w:val="right"/>
              <w:rPr>
                <w:sz w:val="21"/>
              </w:rPr>
            </w:pPr>
            <w:r>
              <w:rPr>
                <w:w w:val="100"/>
                <w:sz w:val="21"/>
              </w:rPr>
              <w:t> </w:t>
            </w:r>
          </w:p>
        </w:tc>
      </w:tr>
      <w:tr>
        <w:trPr>
          <w:trHeight w:val="273" w:hRule="atLeast"/>
        </w:trPr>
        <w:tc>
          <w:tcPr>
            <w:tcW w:w="2365" w:type="dxa"/>
          </w:tcPr>
          <w:p>
            <w:pPr>
              <w:pStyle w:val="TableParagraph"/>
              <w:spacing w:line="252" w:lineRule="exact" w:before="1"/>
              <w:ind w:left="107"/>
              <w:rPr>
                <w:sz w:val="21"/>
              </w:rPr>
            </w:pPr>
            <w:r>
              <w:rPr>
                <w:sz w:val="21"/>
              </w:rPr>
              <w:t>1.消耗性生物资产 </w:t>
            </w:r>
          </w:p>
        </w:tc>
        <w:tc>
          <w:tcPr>
            <w:tcW w:w="1666" w:type="dxa"/>
          </w:tcPr>
          <w:p>
            <w:pPr>
              <w:pStyle w:val="TableParagraph"/>
              <w:spacing w:line="252" w:lineRule="exact" w:before="1"/>
              <w:ind w:right="-15"/>
              <w:jc w:val="right"/>
              <w:rPr>
                <w:sz w:val="21"/>
              </w:rPr>
            </w:pPr>
            <w:r>
              <w:rPr>
                <w:w w:val="100"/>
                <w:sz w:val="21"/>
              </w:rPr>
              <w:t> </w:t>
            </w:r>
          </w:p>
        </w:tc>
        <w:tc>
          <w:tcPr>
            <w:tcW w:w="1628" w:type="dxa"/>
          </w:tcPr>
          <w:p>
            <w:pPr>
              <w:pStyle w:val="TableParagraph"/>
              <w:spacing w:line="252" w:lineRule="exact" w:before="1"/>
              <w:ind w:right="-15"/>
              <w:jc w:val="right"/>
              <w:rPr>
                <w:sz w:val="21"/>
              </w:rPr>
            </w:pPr>
            <w:r>
              <w:rPr>
                <w:w w:val="100"/>
                <w:sz w:val="21"/>
              </w:rPr>
              <w:t> </w:t>
            </w:r>
          </w:p>
        </w:tc>
        <w:tc>
          <w:tcPr>
            <w:tcW w:w="1693" w:type="dxa"/>
          </w:tcPr>
          <w:p>
            <w:pPr>
              <w:pStyle w:val="TableParagraph"/>
              <w:spacing w:line="252" w:lineRule="exact" w:before="1"/>
              <w:ind w:right="-15"/>
              <w:jc w:val="right"/>
              <w:rPr>
                <w:sz w:val="21"/>
              </w:rPr>
            </w:pPr>
            <w:r>
              <w:rPr>
                <w:w w:val="100"/>
                <w:sz w:val="21"/>
              </w:rPr>
              <w:t> </w:t>
            </w:r>
          </w:p>
        </w:tc>
        <w:tc>
          <w:tcPr>
            <w:tcW w:w="1474" w:type="dxa"/>
          </w:tcPr>
          <w:p>
            <w:pPr>
              <w:pStyle w:val="TableParagraph"/>
              <w:spacing w:line="252" w:lineRule="exact" w:before="1"/>
              <w:ind w:right="-15"/>
              <w:jc w:val="right"/>
              <w:rPr>
                <w:sz w:val="21"/>
              </w:rPr>
            </w:pPr>
            <w:r>
              <w:rPr>
                <w:w w:val="100"/>
                <w:sz w:val="21"/>
              </w:rPr>
              <w:t> </w:t>
            </w:r>
          </w:p>
        </w:tc>
      </w:tr>
      <w:tr>
        <w:trPr>
          <w:trHeight w:val="273" w:hRule="atLeast"/>
        </w:trPr>
        <w:tc>
          <w:tcPr>
            <w:tcW w:w="2365" w:type="dxa"/>
          </w:tcPr>
          <w:p>
            <w:pPr>
              <w:pStyle w:val="TableParagraph"/>
              <w:spacing w:line="252" w:lineRule="exact" w:before="1"/>
              <w:ind w:left="107"/>
              <w:rPr>
                <w:sz w:val="21"/>
              </w:rPr>
            </w:pPr>
            <w:r>
              <w:rPr>
                <w:sz w:val="21"/>
              </w:rPr>
              <w:t>2.生产性生物资产 </w:t>
            </w:r>
          </w:p>
        </w:tc>
        <w:tc>
          <w:tcPr>
            <w:tcW w:w="1666" w:type="dxa"/>
          </w:tcPr>
          <w:p>
            <w:pPr>
              <w:pStyle w:val="TableParagraph"/>
              <w:spacing w:line="252" w:lineRule="exact" w:before="1"/>
              <w:ind w:right="-15"/>
              <w:jc w:val="right"/>
              <w:rPr>
                <w:sz w:val="21"/>
              </w:rPr>
            </w:pPr>
            <w:r>
              <w:rPr>
                <w:w w:val="100"/>
                <w:sz w:val="21"/>
              </w:rPr>
              <w:t> </w:t>
            </w:r>
          </w:p>
        </w:tc>
        <w:tc>
          <w:tcPr>
            <w:tcW w:w="1628" w:type="dxa"/>
          </w:tcPr>
          <w:p>
            <w:pPr>
              <w:pStyle w:val="TableParagraph"/>
              <w:spacing w:line="252" w:lineRule="exact" w:before="1"/>
              <w:ind w:right="-15"/>
              <w:jc w:val="right"/>
              <w:rPr>
                <w:sz w:val="21"/>
              </w:rPr>
            </w:pPr>
            <w:r>
              <w:rPr>
                <w:w w:val="100"/>
                <w:sz w:val="21"/>
              </w:rPr>
              <w:t> </w:t>
            </w:r>
          </w:p>
        </w:tc>
        <w:tc>
          <w:tcPr>
            <w:tcW w:w="1693" w:type="dxa"/>
          </w:tcPr>
          <w:p>
            <w:pPr>
              <w:pStyle w:val="TableParagraph"/>
              <w:spacing w:line="252" w:lineRule="exact" w:before="1"/>
              <w:ind w:right="-15"/>
              <w:jc w:val="right"/>
              <w:rPr>
                <w:sz w:val="21"/>
              </w:rPr>
            </w:pPr>
            <w:r>
              <w:rPr>
                <w:w w:val="100"/>
                <w:sz w:val="21"/>
              </w:rPr>
              <w:t> </w:t>
            </w:r>
          </w:p>
        </w:tc>
        <w:tc>
          <w:tcPr>
            <w:tcW w:w="1474" w:type="dxa"/>
          </w:tcPr>
          <w:p>
            <w:pPr>
              <w:pStyle w:val="TableParagraph"/>
              <w:spacing w:line="252" w:lineRule="exact" w:before="1"/>
              <w:ind w:right="-15"/>
              <w:jc w:val="right"/>
              <w:rPr>
                <w:sz w:val="21"/>
              </w:rPr>
            </w:pPr>
            <w:r>
              <w:rPr>
                <w:w w:val="100"/>
                <w:sz w:val="21"/>
              </w:rPr>
              <w:t> </w:t>
            </w:r>
          </w:p>
        </w:tc>
      </w:tr>
      <w:tr>
        <w:trPr>
          <w:trHeight w:val="544" w:hRule="atLeast"/>
        </w:trPr>
        <w:tc>
          <w:tcPr>
            <w:tcW w:w="2365" w:type="dxa"/>
          </w:tcPr>
          <w:p>
            <w:pPr>
              <w:pStyle w:val="TableParagraph"/>
              <w:spacing w:before="1"/>
              <w:ind w:left="107"/>
              <w:rPr>
                <w:sz w:val="21"/>
              </w:rPr>
            </w:pPr>
            <w:r>
              <w:rPr>
                <w:sz w:val="21"/>
              </w:rPr>
              <w:t>（六）一年内到期的非</w:t>
            </w:r>
          </w:p>
          <w:p>
            <w:pPr>
              <w:pStyle w:val="TableParagraph"/>
              <w:spacing w:line="252" w:lineRule="exact" w:before="2"/>
              <w:ind w:left="107"/>
              <w:rPr>
                <w:sz w:val="21"/>
              </w:rPr>
            </w:pPr>
            <w:r>
              <w:rPr>
                <w:spacing w:val="-1"/>
                <w:sz w:val="21"/>
              </w:rPr>
              <w:t>流动资产</w:t>
            </w:r>
            <w:r>
              <w:rPr>
                <w:sz w:val="21"/>
              </w:rPr>
              <w:t> </w:t>
            </w:r>
          </w:p>
        </w:tc>
        <w:tc>
          <w:tcPr>
            <w:tcW w:w="1666" w:type="dxa"/>
          </w:tcPr>
          <w:p>
            <w:pPr>
              <w:pStyle w:val="TableParagraph"/>
              <w:spacing w:before="1"/>
              <w:ind w:right="-15"/>
              <w:jc w:val="right"/>
              <w:rPr>
                <w:sz w:val="21"/>
              </w:rPr>
            </w:pPr>
            <w:r>
              <w:rPr>
                <w:w w:val="100"/>
                <w:sz w:val="21"/>
              </w:rPr>
              <w:t> </w:t>
            </w:r>
          </w:p>
        </w:tc>
        <w:tc>
          <w:tcPr>
            <w:tcW w:w="1628" w:type="dxa"/>
          </w:tcPr>
          <w:p>
            <w:pPr>
              <w:pStyle w:val="TableParagraph"/>
              <w:spacing w:before="1"/>
              <w:ind w:right="-15"/>
              <w:jc w:val="right"/>
              <w:rPr>
                <w:sz w:val="21"/>
              </w:rPr>
            </w:pPr>
            <w:r>
              <w:rPr>
                <w:w w:val="100"/>
                <w:sz w:val="21"/>
              </w:rPr>
              <w:t> </w:t>
            </w:r>
          </w:p>
        </w:tc>
        <w:tc>
          <w:tcPr>
            <w:tcW w:w="1693" w:type="dxa"/>
          </w:tcPr>
          <w:p>
            <w:pPr>
              <w:pStyle w:val="TableParagraph"/>
              <w:spacing w:before="1"/>
              <w:ind w:right="-15"/>
              <w:jc w:val="right"/>
              <w:rPr>
                <w:sz w:val="21"/>
              </w:rPr>
            </w:pPr>
            <w:r>
              <w:rPr>
                <w:sz w:val="21"/>
              </w:rPr>
              <w:t>10,000 </w:t>
            </w:r>
          </w:p>
        </w:tc>
        <w:tc>
          <w:tcPr>
            <w:tcW w:w="1474" w:type="dxa"/>
          </w:tcPr>
          <w:p>
            <w:pPr>
              <w:pStyle w:val="TableParagraph"/>
              <w:spacing w:before="1"/>
              <w:ind w:right="-15"/>
              <w:jc w:val="right"/>
              <w:rPr>
                <w:sz w:val="21"/>
              </w:rPr>
            </w:pPr>
            <w:r>
              <w:rPr>
                <w:sz w:val="21"/>
              </w:rPr>
              <w:t>10,000 </w:t>
            </w:r>
          </w:p>
        </w:tc>
      </w:tr>
      <w:tr>
        <w:trPr>
          <w:trHeight w:val="270" w:hRule="atLeast"/>
        </w:trPr>
        <w:tc>
          <w:tcPr>
            <w:tcW w:w="2365" w:type="dxa"/>
          </w:tcPr>
          <w:p>
            <w:pPr>
              <w:pStyle w:val="TableParagraph"/>
              <w:spacing w:line="250" w:lineRule="exact" w:before="1"/>
              <w:ind w:left="107"/>
              <w:rPr>
                <w:sz w:val="21"/>
              </w:rPr>
            </w:pPr>
            <w:r>
              <w:rPr>
                <w:w w:val="100"/>
                <w:sz w:val="21"/>
              </w:rPr>
              <w:t> </w:t>
            </w:r>
          </w:p>
        </w:tc>
        <w:tc>
          <w:tcPr>
            <w:tcW w:w="1666" w:type="dxa"/>
          </w:tcPr>
          <w:p>
            <w:pPr>
              <w:pStyle w:val="TableParagraph"/>
              <w:spacing w:line="250" w:lineRule="exact" w:before="1"/>
              <w:ind w:right="-15"/>
              <w:jc w:val="right"/>
              <w:rPr>
                <w:sz w:val="21"/>
              </w:rPr>
            </w:pPr>
            <w:r>
              <w:rPr>
                <w:w w:val="100"/>
                <w:sz w:val="21"/>
              </w:rPr>
              <w:t> </w:t>
            </w:r>
          </w:p>
        </w:tc>
        <w:tc>
          <w:tcPr>
            <w:tcW w:w="1628" w:type="dxa"/>
          </w:tcPr>
          <w:p>
            <w:pPr>
              <w:pStyle w:val="TableParagraph"/>
              <w:spacing w:line="250" w:lineRule="exact" w:before="1"/>
              <w:ind w:right="-15"/>
              <w:jc w:val="right"/>
              <w:rPr>
                <w:sz w:val="21"/>
              </w:rPr>
            </w:pPr>
            <w:r>
              <w:rPr>
                <w:w w:val="100"/>
                <w:sz w:val="21"/>
              </w:rPr>
              <w:t> </w:t>
            </w:r>
          </w:p>
        </w:tc>
        <w:tc>
          <w:tcPr>
            <w:tcW w:w="1693" w:type="dxa"/>
          </w:tcPr>
          <w:p>
            <w:pPr>
              <w:pStyle w:val="TableParagraph"/>
              <w:spacing w:line="250" w:lineRule="exact" w:before="1"/>
              <w:ind w:right="-15"/>
              <w:jc w:val="right"/>
              <w:rPr>
                <w:sz w:val="21"/>
              </w:rPr>
            </w:pPr>
            <w:r>
              <w:rPr>
                <w:w w:val="100"/>
                <w:sz w:val="21"/>
              </w:rPr>
              <w:t> </w:t>
            </w:r>
          </w:p>
        </w:tc>
        <w:tc>
          <w:tcPr>
            <w:tcW w:w="1474" w:type="dxa"/>
          </w:tcPr>
          <w:p>
            <w:pPr>
              <w:pStyle w:val="TableParagraph"/>
              <w:spacing w:line="250" w:lineRule="exact" w:before="1"/>
              <w:ind w:right="-15"/>
              <w:jc w:val="right"/>
              <w:rPr>
                <w:sz w:val="21"/>
              </w:rPr>
            </w:pPr>
            <w:r>
              <w:rPr>
                <w:w w:val="100"/>
                <w:sz w:val="21"/>
              </w:rPr>
              <w:t> </w:t>
            </w:r>
          </w:p>
        </w:tc>
      </w:tr>
      <w:tr>
        <w:trPr>
          <w:trHeight w:val="544" w:hRule="atLeast"/>
        </w:trPr>
        <w:tc>
          <w:tcPr>
            <w:tcW w:w="2365" w:type="dxa"/>
          </w:tcPr>
          <w:p>
            <w:pPr>
              <w:pStyle w:val="TableParagraph"/>
              <w:spacing w:before="1"/>
              <w:ind w:left="107"/>
              <w:rPr>
                <w:sz w:val="21"/>
              </w:rPr>
            </w:pPr>
            <w:r>
              <w:rPr>
                <w:sz w:val="21"/>
              </w:rPr>
              <w:t>持续以公允价值计量的</w:t>
            </w:r>
          </w:p>
          <w:p>
            <w:pPr>
              <w:pStyle w:val="TableParagraph"/>
              <w:spacing w:line="250" w:lineRule="exact" w:before="5"/>
              <w:ind w:left="107"/>
              <w:rPr>
                <w:sz w:val="21"/>
              </w:rPr>
            </w:pPr>
            <w:r>
              <w:rPr>
                <w:sz w:val="21"/>
              </w:rPr>
              <w:t>资产总额 </w:t>
            </w:r>
          </w:p>
        </w:tc>
        <w:tc>
          <w:tcPr>
            <w:tcW w:w="1666" w:type="dxa"/>
          </w:tcPr>
          <w:p>
            <w:pPr>
              <w:pStyle w:val="TableParagraph"/>
              <w:spacing w:before="1"/>
              <w:ind w:right="-15"/>
              <w:jc w:val="right"/>
              <w:rPr>
                <w:sz w:val="21"/>
              </w:rPr>
            </w:pPr>
            <w:r>
              <w:rPr>
                <w:w w:val="100"/>
                <w:sz w:val="21"/>
              </w:rPr>
              <w:t> </w:t>
            </w:r>
          </w:p>
        </w:tc>
        <w:tc>
          <w:tcPr>
            <w:tcW w:w="1628" w:type="dxa"/>
          </w:tcPr>
          <w:p>
            <w:pPr>
              <w:pStyle w:val="TableParagraph"/>
              <w:spacing w:before="137"/>
              <w:ind w:right="-15"/>
              <w:jc w:val="right"/>
              <w:rPr>
                <w:sz w:val="21"/>
              </w:rPr>
            </w:pPr>
            <w:r>
              <w:rPr>
                <w:sz w:val="21"/>
              </w:rPr>
              <w:t>15,621 </w:t>
            </w:r>
          </w:p>
        </w:tc>
        <w:tc>
          <w:tcPr>
            <w:tcW w:w="1693" w:type="dxa"/>
          </w:tcPr>
          <w:p>
            <w:pPr>
              <w:pStyle w:val="TableParagraph"/>
              <w:spacing w:before="137"/>
              <w:ind w:right="-15"/>
              <w:jc w:val="right"/>
              <w:rPr>
                <w:sz w:val="21"/>
              </w:rPr>
            </w:pPr>
            <w:r>
              <w:rPr>
                <w:sz w:val="21"/>
              </w:rPr>
              <w:t>398,257 </w:t>
            </w:r>
          </w:p>
        </w:tc>
        <w:tc>
          <w:tcPr>
            <w:tcW w:w="1474" w:type="dxa"/>
          </w:tcPr>
          <w:p>
            <w:pPr>
              <w:pStyle w:val="TableParagraph"/>
              <w:spacing w:before="137"/>
              <w:ind w:right="-15"/>
              <w:jc w:val="right"/>
              <w:rPr>
                <w:sz w:val="21"/>
              </w:rPr>
            </w:pPr>
            <w:r>
              <w:rPr>
                <w:sz w:val="21"/>
              </w:rPr>
              <w:t>413,878 </w:t>
            </w:r>
          </w:p>
        </w:tc>
      </w:tr>
      <w:tr>
        <w:trPr>
          <w:trHeight w:val="297" w:hRule="atLeast"/>
        </w:trPr>
        <w:tc>
          <w:tcPr>
            <w:tcW w:w="2365" w:type="dxa"/>
          </w:tcPr>
          <w:p>
            <w:pPr>
              <w:pStyle w:val="TableParagraph"/>
              <w:spacing w:before="3"/>
              <w:ind w:left="107"/>
              <w:rPr>
                <w:sz w:val="21"/>
              </w:rPr>
            </w:pPr>
            <w:r>
              <w:rPr>
                <w:sz w:val="21"/>
              </w:rPr>
              <w:t>（六）交易性金融负债 </w:t>
            </w:r>
          </w:p>
        </w:tc>
        <w:tc>
          <w:tcPr>
            <w:tcW w:w="1666" w:type="dxa"/>
          </w:tcPr>
          <w:p>
            <w:pPr>
              <w:pStyle w:val="TableParagraph"/>
              <w:spacing w:before="3"/>
              <w:ind w:right="-15"/>
              <w:jc w:val="right"/>
              <w:rPr>
                <w:sz w:val="21"/>
              </w:rPr>
            </w:pPr>
            <w:r>
              <w:rPr>
                <w:w w:val="100"/>
                <w:sz w:val="21"/>
              </w:rPr>
              <w:t> </w:t>
            </w:r>
          </w:p>
        </w:tc>
        <w:tc>
          <w:tcPr>
            <w:tcW w:w="1628" w:type="dxa"/>
          </w:tcPr>
          <w:p>
            <w:pPr>
              <w:pStyle w:val="TableParagraph"/>
              <w:spacing w:before="3"/>
              <w:ind w:right="-15"/>
              <w:jc w:val="right"/>
              <w:rPr>
                <w:sz w:val="21"/>
              </w:rPr>
            </w:pPr>
            <w:r>
              <w:rPr>
                <w:w w:val="100"/>
                <w:sz w:val="21"/>
              </w:rPr>
              <w:t> </w:t>
            </w:r>
          </w:p>
        </w:tc>
        <w:tc>
          <w:tcPr>
            <w:tcW w:w="1693" w:type="dxa"/>
          </w:tcPr>
          <w:p>
            <w:pPr>
              <w:pStyle w:val="TableParagraph"/>
              <w:spacing w:before="3"/>
              <w:ind w:right="-15"/>
              <w:jc w:val="right"/>
              <w:rPr>
                <w:sz w:val="21"/>
              </w:rPr>
            </w:pPr>
            <w:r>
              <w:rPr>
                <w:w w:val="100"/>
                <w:sz w:val="21"/>
              </w:rPr>
              <w:t> </w:t>
            </w:r>
          </w:p>
        </w:tc>
        <w:tc>
          <w:tcPr>
            <w:tcW w:w="1474" w:type="dxa"/>
          </w:tcPr>
          <w:p>
            <w:pPr>
              <w:pStyle w:val="TableParagraph"/>
              <w:spacing w:before="3"/>
              <w:ind w:right="-15"/>
              <w:jc w:val="right"/>
              <w:rPr>
                <w:sz w:val="21"/>
              </w:rPr>
            </w:pPr>
            <w:r>
              <w:rPr>
                <w:w w:val="100"/>
                <w:sz w:val="21"/>
              </w:rPr>
              <w:t> </w:t>
            </w:r>
          </w:p>
        </w:tc>
      </w:tr>
      <w:tr>
        <w:trPr>
          <w:trHeight w:val="818" w:hRule="atLeast"/>
        </w:trPr>
        <w:tc>
          <w:tcPr>
            <w:tcW w:w="2365" w:type="dxa"/>
          </w:tcPr>
          <w:p>
            <w:pPr>
              <w:pStyle w:val="TableParagraph"/>
              <w:spacing w:before="1"/>
              <w:ind w:left="107"/>
              <w:rPr>
                <w:sz w:val="21"/>
              </w:rPr>
            </w:pPr>
            <w:r>
              <w:rPr>
                <w:sz w:val="21"/>
              </w:rPr>
              <w:t>1.以公允价值计量且变</w:t>
            </w:r>
          </w:p>
          <w:p>
            <w:pPr>
              <w:pStyle w:val="TableParagraph"/>
              <w:spacing w:line="270" w:lineRule="atLeast"/>
              <w:ind w:left="107" w:right="142"/>
              <w:rPr>
                <w:sz w:val="21"/>
              </w:rPr>
            </w:pPr>
            <w:r>
              <w:rPr>
                <w:spacing w:val="-1"/>
                <w:sz w:val="21"/>
              </w:rPr>
              <w:t>动计入当期损益的金融</w:t>
            </w:r>
            <w:r>
              <w:rPr>
                <w:sz w:val="21"/>
              </w:rPr>
              <w:t>负债 </w:t>
            </w:r>
          </w:p>
        </w:tc>
        <w:tc>
          <w:tcPr>
            <w:tcW w:w="1666" w:type="dxa"/>
          </w:tcPr>
          <w:p>
            <w:pPr>
              <w:pStyle w:val="TableParagraph"/>
              <w:spacing w:before="1"/>
              <w:ind w:right="-15"/>
              <w:jc w:val="right"/>
              <w:rPr>
                <w:sz w:val="21"/>
              </w:rPr>
            </w:pPr>
            <w:r>
              <w:rPr>
                <w:w w:val="100"/>
                <w:sz w:val="21"/>
              </w:rPr>
              <w:t> </w:t>
            </w:r>
          </w:p>
        </w:tc>
        <w:tc>
          <w:tcPr>
            <w:tcW w:w="1628" w:type="dxa"/>
          </w:tcPr>
          <w:p>
            <w:pPr>
              <w:pStyle w:val="TableParagraph"/>
              <w:spacing w:before="1"/>
              <w:ind w:right="-15"/>
              <w:jc w:val="right"/>
              <w:rPr>
                <w:sz w:val="21"/>
              </w:rPr>
            </w:pPr>
            <w:r>
              <w:rPr>
                <w:w w:val="100"/>
                <w:sz w:val="21"/>
              </w:rPr>
              <w:t> </w:t>
            </w:r>
          </w:p>
        </w:tc>
        <w:tc>
          <w:tcPr>
            <w:tcW w:w="1693" w:type="dxa"/>
          </w:tcPr>
          <w:p>
            <w:pPr>
              <w:pStyle w:val="TableParagraph"/>
              <w:spacing w:before="1"/>
              <w:ind w:right="-15"/>
              <w:jc w:val="right"/>
              <w:rPr>
                <w:sz w:val="21"/>
              </w:rPr>
            </w:pPr>
            <w:r>
              <w:rPr>
                <w:w w:val="100"/>
                <w:sz w:val="21"/>
              </w:rPr>
              <w:t> </w:t>
            </w:r>
          </w:p>
        </w:tc>
        <w:tc>
          <w:tcPr>
            <w:tcW w:w="1474" w:type="dxa"/>
          </w:tcPr>
          <w:p>
            <w:pPr>
              <w:pStyle w:val="TableParagraph"/>
              <w:spacing w:before="1"/>
              <w:ind w:right="-15"/>
              <w:jc w:val="right"/>
              <w:rPr>
                <w:sz w:val="21"/>
              </w:rPr>
            </w:pPr>
            <w:r>
              <w:rPr>
                <w:w w:val="100"/>
                <w:sz w:val="21"/>
              </w:rPr>
              <w:t> </w:t>
            </w:r>
          </w:p>
        </w:tc>
      </w:tr>
      <w:tr>
        <w:trPr>
          <w:trHeight w:val="544" w:hRule="atLeast"/>
        </w:trPr>
        <w:tc>
          <w:tcPr>
            <w:tcW w:w="2365" w:type="dxa"/>
          </w:tcPr>
          <w:p>
            <w:pPr>
              <w:pStyle w:val="TableParagraph"/>
              <w:spacing w:before="1"/>
              <w:ind w:left="107"/>
              <w:rPr>
                <w:sz w:val="21"/>
              </w:rPr>
            </w:pPr>
            <w:r>
              <w:rPr>
                <w:sz w:val="21"/>
              </w:rPr>
              <w:t>其中：发行的交易性债</w:t>
            </w:r>
          </w:p>
          <w:p>
            <w:pPr>
              <w:pStyle w:val="TableParagraph"/>
              <w:spacing w:line="252" w:lineRule="exact" w:before="2"/>
              <w:ind w:left="107"/>
              <w:rPr>
                <w:sz w:val="21"/>
              </w:rPr>
            </w:pPr>
            <w:r>
              <w:rPr>
                <w:sz w:val="21"/>
              </w:rPr>
              <w:t>券 </w:t>
            </w:r>
          </w:p>
        </w:tc>
        <w:tc>
          <w:tcPr>
            <w:tcW w:w="1666" w:type="dxa"/>
          </w:tcPr>
          <w:p>
            <w:pPr>
              <w:pStyle w:val="TableParagraph"/>
              <w:spacing w:before="1"/>
              <w:ind w:right="-15"/>
              <w:jc w:val="right"/>
              <w:rPr>
                <w:sz w:val="21"/>
              </w:rPr>
            </w:pPr>
            <w:r>
              <w:rPr>
                <w:w w:val="100"/>
                <w:sz w:val="21"/>
              </w:rPr>
              <w:t> </w:t>
            </w:r>
          </w:p>
        </w:tc>
        <w:tc>
          <w:tcPr>
            <w:tcW w:w="1628" w:type="dxa"/>
          </w:tcPr>
          <w:p>
            <w:pPr>
              <w:pStyle w:val="TableParagraph"/>
              <w:spacing w:before="1"/>
              <w:ind w:right="-15"/>
              <w:jc w:val="right"/>
              <w:rPr>
                <w:sz w:val="21"/>
              </w:rPr>
            </w:pPr>
            <w:r>
              <w:rPr>
                <w:w w:val="100"/>
                <w:sz w:val="21"/>
              </w:rPr>
              <w:t> </w:t>
            </w:r>
          </w:p>
        </w:tc>
        <w:tc>
          <w:tcPr>
            <w:tcW w:w="1693" w:type="dxa"/>
          </w:tcPr>
          <w:p>
            <w:pPr>
              <w:pStyle w:val="TableParagraph"/>
              <w:spacing w:before="1"/>
              <w:ind w:right="-15"/>
              <w:jc w:val="right"/>
              <w:rPr>
                <w:sz w:val="21"/>
              </w:rPr>
            </w:pPr>
            <w:r>
              <w:rPr>
                <w:w w:val="100"/>
                <w:sz w:val="21"/>
              </w:rPr>
              <w:t> </w:t>
            </w:r>
          </w:p>
        </w:tc>
        <w:tc>
          <w:tcPr>
            <w:tcW w:w="1474" w:type="dxa"/>
          </w:tcPr>
          <w:p>
            <w:pPr>
              <w:pStyle w:val="TableParagraph"/>
              <w:spacing w:before="1"/>
              <w:ind w:right="-15"/>
              <w:jc w:val="right"/>
              <w:rPr>
                <w:sz w:val="21"/>
              </w:rPr>
            </w:pPr>
            <w:r>
              <w:rPr>
                <w:w w:val="100"/>
                <w:sz w:val="21"/>
              </w:rPr>
              <w:t> </w:t>
            </w:r>
          </w:p>
        </w:tc>
      </w:tr>
      <w:tr>
        <w:trPr>
          <w:trHeight w:val="285" w:hRule="atLeast"/>
        </w:trPr>
        <w:tc>
          <w:tcPr>
            <w:tcW w:w="2365" w:type="dxa"/>
          </w:tcPr>
          <w:p>
            <w:pPr>
              <w:pStyle w:val="TableParagraph"/>
              <w:spacing w:line="264" w:lineRule="exact" w:before="1"/>
              <w:ind w:left="738"/>
              <w:rPr>
                <w:sz w:val="21"/>
              </w:rPr>
            </w:pPr>
            <w:r>
              <w:rPr>
                <w:spacing w:val="-1"/>
                <w:sz w:val="21"/>
              </w:rPr>
              <w:t>衍生金融负债</w:t>
            </w:r>
            <w:r>
              <w:rPr>
                <w:sz w:val="21"/>
              </w:rPr>
              <w:t> </w:t>
            </w:r>
          </w:p>
        </w:tc>
        <w:tc>
          <w:tcPr>
            <w:tcW w:w="1666" w:type="dxa"/>
          </w:tcPr>
          <w:p>
            <w:pPr>
              <w:pStyle w:val="TableParagraph"/>
              <w:spacing w:line="264" w:lineRule="exact" w:before="1"/>
              <w:ind w:right="-15"/>
              <w:jc w:val="right"/>
              <w:rPr>
                <w:sz w:val="21"/>
              </w:rPr>
            </w:pPr>
            <w:r>
              <w:rPr>
                <w:w w:val="100"/>
                <w:sz w:val="21"/>
              </w:rPr>
              <w:t> </w:t>
            </w:r>
          </w:p>
        </w:tc>
        <w:tc>
          <w:tcPr>
            <w:tcW w:w="1628" w:type="dxa"/>
          </w:tcPr>
          <w:p>
            <w:pPr>
              <w:pStyle w:val="TableParagraph"/>
              <w:spacing w:line="264" w:lineRule="exact" w:before="1"/>
              <w:ind w:right="-15"/>
              <w:jc w:val="right"/>
              <w:rPr>
                <w:sz w:val="21"/>
              </w:rPr>
            </w:pPr>
            <w:r>
              <w:rPr>
                <w:w w:val="100"/>
                <w:sz w:val="21"/>
              </w:rPr>
              <w:t> </w:t>
            </w:r>
          </w:p>
        </w:tc>
        <w:tc>
          <w:tcPr>
            <w:tcW w:w="1693" w:type="dxa"/>
          </w:tcPr>
          <w:p>
            <w:pPr>
              <w:pStyle w:val="TableParagraph"/>
              <w:spacing w:line="264" w:lineRule="exact" w:before="1"/>
              <w:ind w:right="-15"/>
              <w:jc w:val="right"/>
              <w:rPr>
                <w:sz w:val="21"/>
              </w:rPr>
            </w:pPr>
            <w:r>
              <w:rPr>
                <w:w w:val="100"/>
                <w:sz w:val="21"/>
              </w:rPr>
              <w:t> </w:t>
            </w:r>
          </w:p>
        </w:tc>
        <w:tc>
          <w:tcPr>
            <w:tcW w:w="1474" w:type="dxa"/>
          </w:tcPr>
          <w:p>
            <w:pPr>
              <w:pStyle w:val="TableParagraph"/>
              <w:spacing w:line="264" w:lineRule="exact" w:before="1"/>
              <w:ind w:right="-15"/>
              <w:jc w:val="right"/>
              <w:rPr>
                <w:sz w:val="21"/>
              </w:rPr>
            </w:pPr>
            <w:r>
              <w:rPr>
                <w:w w:val="100"/>
                <w:sz w:val="21"/>
              </w:rPr>
              <w:t> </w:t>
            </w:r>
          </w:p>
        </w:tc>
      </w:tr>
      <w:tr>
        <w:trPr>
          <w:trHeight w:val="285" w:hRule="atLeast"/>
        </w:trPr>
        <w:tc>
          <w:tcPr>
            <w:tcW w:w="2365" w:type="dxa"/>
          </w:tcPr>
          <w:p>
            <w:pPr>
              <w:pStyle w:val="TableParagraph"/>
              <w:spacing w:line="264" w:lineRule="exact" w:before="1"/>
              <w:ind w:left="738"/>
              <w:rPr>
                <w:sz w:val="21"/>
              </w:rPr>
            </w:pPr>
            <w:r>
              <w:rPr>
                <w:sz w:val="21"/>
              </w:rPr>
              <w:t>其他 </w:t>
            </w:r>
          </w:p>
        </w:tc>
        <w:tc>
          <w:tcPr>
            <w:tcW w:w="1666" w:type="dxa"/>
          </w:tcPr>
          <w:p>
            <w:pPr>
              <w:pStyle w:val="TableParagraph"/>
              <w:spacing w:line="264" w:lineRule="exact" w:before="1"/>
              <w:ind w:right="-15"/>
              <w:jc w:val="right"/>
              <w:rPr>
                <w:sz w:val="21"/>
              </w:rPr>
            </w:pPr>
            <w:r>
              <w:rPr>
                <w:w w:val="100"/>
                <w:sz w:val="21"/>
              </w:rPr>
              <w:t> </w:t>
            </w:r>
          </w:p>
        </w:tc>
        <w:tc>
          <w:tcPr>
            <w:tcW w:w="1628" w:type="dxa"/>
          </w:tcPr>
          <w:p>
            <w:pPr>
              <w:pStyle w:val="TableParagraph"/>
              <w:spacing w:line="264" w:lineRule="exact" w:before="1"/>
              <w:ind w:right="-15"/>
              <w:jc w:val="right"/>
              <w:rPr>
                <w:sz w:val="21"/>
              </w:rPr>
            </w:pPr>
            <w:r>
              <w:rPr>
                <w:w w:val="100"/>
                <w:sz w:val="21"/>
              </w:rPr>
              <w:t> </w:t>
            </w:r>
          </w:p>
        </w:tc>
        <w:tc>
          <w:tcPr>
            <w:tcW w:w="1693" w:type="dxa"/>
          </w:tcPr>
          <w:p>
            <w:pPr>
              <w:pStyle w:val="TableParagraph"/>
              <w:spacing w:line="264" w:lineRule="exact" w:before="1"/>
              <w:ind w:right="-15"/>
              <w:jc w:val="right"/>
              <w:rPr>
                <w:sz w:val="21"/>
              </w:rPr>
            </w:pPr>
            <w:r>
              <w:rPr>
                <w:w w:val="100"/>
                <w:sz w:val="21"/>
              </w:rPr>
              <w:t> </w:t>
            </w:r>
          </w:p>
        </w:tc>
        <w:tc>
          <w:tcPr>
            <w:tcW w:w="1474" w:type="dxa"/>
          </w:tcPr>
          <w:p>
            <w:pPr>
              <w:pStyle w:val="TableParagraph"/>
              <w:spacing w:line="264" w:lineRule="exact" w:before="1"/>
              <w:ind w:right="-15"/>
              <w:jc w:val="right"/>
              <w:rPr>
                <w:sz w:val="21"/>
              </w:rPr>
            </w:pPr>
            <w:r>
              <w:rPr>
                <w:w w:val="100"/>
                <w:sz w:val="21"/>
              </w:rPr>
              <w:t> </w:t>
            </w:r>
          </w:p>
        </w:tc>
      </w:tr>
      <w:tr>
        <w:trPr>
          <w:trHeight w:val="815" w:hRule="atLeast"/>
        </w:trPr>
        <w:tc>
          <w:tcPr>
            <w:tcW w:w="2365" w:type="dxa"/>
          </w:tcPr>
          <w:p>
            <w:pPr>
              <w:pStyle w:val="TableParagraph"/>
              <w:spacing w:line="242" w:lineRule="auto" w:before="1"/>
              <w:ind w:left="107" w:right="142"/>
              <w:rPr>
                <w:sz w:val="21"/>
              </w:rPr>
            </w:pPr>
            <w:r>
              <w:rPr>
                <w:spacing w:val="-1"/>
                <w:sz w:val="21"/>
              </w:rPr>
              <w:t>2.指定为以公允价值计量且变动计入当期损益</w:t>
            </w:r>
          </w:p>
          <w:p>
            <w:pPr>
              <w:pStyle w:val="TableParagraph"/>
              <w:spacing w:line="250" w:lineRule="exact" w:before="1"/>
              <w:ind w:left="107"/>
              <w:rPr>
                <w:sz w:val="21"/>
              </w:rPr>
            </w:pPr>
            <w:r>
              <w:rPr>
                <w:sz w:val="21"/>
              </w:rPr>
              <w:t>的金融负债 </w:t>
            </w:r>
          </w:p>
        </w:tc>
        <w:tc>
          <w:tcPr>
            <w:tcW w:w="1666" w:type="dxa"/>
          </w:tcPr>
          <w:p>
            <w:pPr>
              <w:pStyle w:val="TableParagraph"/>
              <w:spacing w:before="1"/>
              <w:ind w:right="-15"/>
              <w:jc w:val="right"/>
              <w:rPr>
                <w:sz w:val="21"/>
              </w:rPr>
            </w:pPr>
            <w:r>
              <w:rPr>
                <w:w w:val="100"/>
                <w:sz w:val="21"/>
              </w:rPr>
              <w:t> </w:t>
            </w:r>
          </w:p>
        </w:tc>
        <w:tc>
          <w:tcPr>
            <w:tcW w:w="1628" w:type="dxa"/>
          </w:tcPr>
          <w:p>
            <w:pPr>
              <w:pStyle w:val="TableParagraph"/>
              <w:spacing w:before="1"/>
              <w:ind w:right="-15"/>
              <w:jc w:val="right"/>
              <w:rPr>
                <w:sz w:val="21"/>
              </w:rPr>
            </w:pPr>
            <w:r>
              <w:rPr>
                <w:w w:val="100"/>
                <w:sz w:val="21"/>
              </w:rPr>
              <w:t> </w:t>
            </w:r>
          </w:p>
        </w:tc>
        <w:tc>
          <w:tcPr>
            <w:tcW w:w="1693" w:type="dxa"/>
          </w:tcPr>
          <w:p>
            <w:pPr>
              <w:pStyle w:val="TableParagraph"/>
              <w:spacing w:before="1"/>
              <w:ind w:right="-15"/>
              <w:jc w:val="right"/>
              <w:rPr>
                <w:sz w:val="21"/>
              </w:rPr>
            </w:pPr>
            <w:r>
              <w:rPr>
                <w:w w:val="100"/>
                <w:sz w:val="21"/>
              </w:rPr>
              <w:t> </w:t>
            </w:r>
          </w:p>
        </w:tc>
        <w:tc>
          <w:tcPr>
            <w:tcW w:w="1474" w:type="dxa"/>
          </w:tcPr>
          <w:p>
            <w:pPr>
              <w:pStyle w:val="TableParagraph"/>
              <w:spacing w:before="1"/>
              <w:ind w:right="-15"/>
              <w:jc w:val="right"/>
              <w:rPr>
                <w:sz w:val="21"/>
              </w:rPr>
            </w:pPr>
            <w:r>
              <w:rPr>
                <w:w w:val="100"/>
                <w:sz w:val="21"/>
              </w:rPr>
              <w:t> </w:t>
            </w:r>
          </w:p>
        </w:tc>
      </w:tr>
      <w:tr>
        <w:trPr>
          <w:trHeight w:val="273" w:hRule="atLeast"/>
        </w:trPr>
        <w:tc>
          <w:tcPr>
            <w:tcW w:w="2365" w:type="dxa"/>
          </w:tcPr>
          <w:p>
            <w:pPr>
              <w:pStyle w:val="TableParagraph"/>
              <w:spacing w:line="252" w:lineRule="exact" w:before="1"/>
              <w:ind w:left="107"/>
              <w:rPr>
                <w:sz w:val="21"/>
              </w:rPr>
            </w:pPr>
            <w:r>
              <w:rPr>
                <w:w w:val="100"/>
                <w:sz w:val="21"/>
              </w:rPr>
              <w:t> </w:t>
            </w:r>
          </w:p>
        </w:tc>
        <w:tc>
          <w:tcPr>
            <w:tcW w:w="1666" w:type="dxa"/>
          </w:tcPr>
          <w:p>
            <w:pPr>
              <w:pStyle w:val="TableParagraph"/>
              <w:spacing w:line="252" w:lineRule="exact" w:before="1"/>
              <w:ind w:right="-15"/>
              <w:jc w:val="right"/>
              <w:rPr>
                <w:sz w:val="21"/>
              </w:rPr>
            </w:pPr>
            <w:r>
              <w:rPr>
                <w:w w:val="100"/>
                <w:sz w:val="21"/>
              </w:rPr>
              <w:t> </w:t>
            </w:r>
          </w:p>
        </w:tc>
        <w:tc>
          <w:tcPr>
            <w:tcW w:w="1628" w:type="dxa"/>
          </w:tcPr>
          <w:p>
            <w:pPr>
              <w:pStyle w:val="TableParagraph"/>
              <w:spacing w:line="252" w:lineRule="exact" w:before="1"/>
              <w:ind w:right="-15"/>
              <w:jc w:val="right"/>
              <w:rPr>
                <w:sz w:val="21"/>
              </w:rPr>
            </w:pPr>
            <w:r>
              <w:rPr>
                <w:w w:val="100"/>
                <w:sz w:val="21"/>
              </w:rPr>
              <w:t> </w:t>
            </w:r>
          </w:p>
        </w:tc>
        <w:tc>
          <w:tcPr>
            <w:tcW w:w="1693" w:type="dxa"/>
          </w:tcPr>
          <w:p>
            <w:pPr>
              <w:pStyle w:val="TableParagraph"/>
              <w:spacing w:line="252" w:lineRule="exact" w:before="1"/>
              <w:ind w:right="-15"/>
              <w:jc w:val="right"/>
              <w:rPr>
                <w:sz w:val="21"/>
              </w:rPr>
            </w:pPr>
            <w:r>
              <w:rPr>
                <w:w w:val="100"/>
                <w:sz w:val="21"/>
              </w:rPr>
              <w:t> </w:t>
            </w:r>
          </w:p>
        </w:tc>
        <w:tc>
          <w:tcPr>
            <w:tcW w:w="1474" w:type="dxa"/>
          </w:tcPr>
          <w:p>
            <w:pPr>
              <w:pStyle w:val="TableParagraph"/>
              <w:spacing w:line="252" w:lineRule="exact" w:before="1"/>
              <w:ind w:right="-15"/>
              <w:jc w:val="right"/>
              <w:rPr>
                <w:sz w:val="21"/>
              </w:rPr>
            </w:pPr>
            <w:r>
              <w:rPr>
                <w:w w:val="100"/>
                <w:sz w:val="21"/>
              </w:rPr>
              <w:t> </w:t>
            </w:r>
          </w:p>
        </w:tc>
      </w:tr>
      <w:tr>
        <w:trPr>
          <w:trHeight w:val="271" w:hRule="atLeast"/>
        </w:trPr>
        <w:tc>
          <w:tcPr>
            <w:tcW w:w="2365" w:type="dxa"/>
          </w:tcPr>
          <w:p>
            <w:pPr>
              <w:pStyle w:val="TableParagraph"/>
              <w:spacing w:line="250" w:lineRule="exact" w:before="1"/>
              <w:ind w:left="107"/>
              <w:rPr>
                <w:sz w:val="21"/>
              </w:rPr>
            </w:pPr>
            <w:r>
              <w:rPr>
                <w:w w:val="100"/>
                <w:sz w:val="21"/>
              </w:rPr>
              <w:t> </w:t>
            </w:r>
          </w:p>
        </w:tc>
        <w:tc>
          <w:tcPr>
            <w:tcW w:w="1666" w:type="dxa"/>
          </w:tcPr>
          <w:p>
            <w:pPr>
              <w:pStyle w:val="TableParagraph"/>
              <w:spacing w:line="250" w:lineRule="exact" w:before="1"/>
              <w:ind w:right="-15"/>
              <w:jc w:val="right"/>
              <w:rPr>
                <w:sz w:val="21"/>
              </w:rPr>
            </w:pPr>
            <w:r>
              <w:rPr>
                <w:w w:val="100"/>
                <w:sz w:val="21"/>
              </w:rPr>
              <w:t> </w:t>
            </w:r>
          </w:p>
        </w:tc>
        <w:tc>
          <w:tcPr>
            <w:tcW w:w="1628" w:type="dxa"/>
          </w:tcPr>
          <w:p>
            <w:pPr>
              <w:pStyle w:val="TableParagraph"/>
              <w:spacing w:line="250" w:lineRule="exact" w:before="1"/>
              <w:ind w:right="-15"/>
              <w:jc w:val="right"/>
              <w:rPr>
                <w:sz w:val="21"/>
              </w:rPr>
            </w:pPr>
            <w:r>
              <w:rPr>
                <w:w w:val="100"/>
                <w:sz w:val="21"/>
              </w:rPr>
              <w:t> </w:t>
            </w:r>
          </w:p>
        </w:tc>
        <w:tc>
          <w:tcPr>
            <w:tcW w:w="1693" w:type="dxa"/>
          </w:tcPr>
          <w:p>
            <w:pPr>
              <w:pStyle w:val="TableParagraph"/>
              <w:spacing w:line="250" w:lineRule="exact" w:before="1"/>
              <w:ind w:right="-15"/>
              <w:jc w:val="right"/>
              <w:rPr>
                <w:sz w:val="21"/>
              </w:rPr>
            </w:pPr>
            <w:r>
              <w:rPr>
                <w:w w:val="100"/>
                <w:sz w:val="21"/>
              </w:rPr>
              <w:t> </w:t>
            </w:r>
          </w:p>
        </w:tc>
        <w:tc>
          <w:tcPr>
            <w:tcW w:w="1474" w:type="dxa"/>
          </w:tcPr>
          <w:p>
            <w:pPr>
              <w:pStyle w:val="TableParagraph"/>
              <w:spacing w:line="250" w:lineRule="exact" w:before="1"/>
              <w:ind w:right="-15"/>
              <w:jc w:val="right"/>
              <w:rPr>
                <w:sz w:val="21"/>
              </w:rPr>
            </w:pPr>
            <w:r>
              <w:rPr>
                <w:w w:val="100"/>
                <w:sz w:val="21"/>
              </w:rPr>
              <w:t> </w:t>
            </w:r>
          </w:p>
        </w:tc>
      </w:tr>
      <w:tr>
        <w:trPr>
          <w:trHeight w:val="546" w:hRule="atLeast"/>
        </w:trPr>
        <w:tc>
          <w:tcPr>
            <w:tcW w:w="2365" w:type="dxa"/>
          </w:tcPr>
          <w:p>
            <w:pPr>
              <w:pStyle w:val="TableParagraph"/>
              <w:spacing w:line="270" w:lineRule="atLeast"/>
              <w:ind w:left="107" w:right="135"/>
              <w:rPr>
                <w:sz w:val="21"/>
              </w:rPr>
            </w:pPr>
            <w:r>
              <w:rPr>
                <w:sz w:val="21"/>
              </w:rPr>
              <w:t>持续以公允价值计量的负债总额 </w:t>
            </w:r>
          </w:p>
        </w:tc>
        <w:tc>
          <w:tcPr>
            <w:tcW w:w="1666" w:type="dxa"/>
          </w:tcPr>
          <w:p>
            <w:pPr>
              <w:pStyle w:val="TableParagraph"/>
              <w:spacing w:before="3"/>
              <w:ind w:right="-15"/>
              <w:jc w:val="right"/>
              <w:rPr>
                <w:sz w:val="21"/>
              </w:rPr>
            </w:pPr>
            <w:r>
              <w:rPr>
                <w:w w:val="100"/>
                <w:sz w:val="21"/>
              </w:rPr>
              <w:t> </w:t>
            </w:r>
          </w:p>
        </w:tc>
        <w:tc>
          <w:tcPr>
            <w:tcW w:w="1628" w:type="dxa"/>
          </w:tcPr>
          <w:p>
            <w:pPr>
              <w:pStyle w:val="TableParagraph"/>
              <w:spacing w:before="3"/>
              <w:ind w:right="-15"/>
              <w:jc w:val="right"/>
              <w:rPr>
                <w:sz w:val="21"/>
              </w:rPr>
            </w:pPr>
            <w:r>
              <w:rPr>
                <w:w w:val="100"/>
                <w:sz w:val="21"/>
              </w:rPr>
              <w:t> </w:t>
            </w:r>
          </w:p>
        </w:tc>
        <w:tc>
          <w:tcPr>
            <w:tcW w:w="1693" w:type="dxa"/>
          </w:tcPr>
          <w:p>
            <w:pPr>
              <w:pStyle w:val="TableParagraph"/>
              <w:spacing w:before="3"/>
              <w:ind w:right="-15"/>
              <w:jc w:val="right"/>
              <w:rPr>
                <w:sz w:val="21"/>
              </w:rPr>
            </w:pPr>
            <w:r>
              <w:rPr>
                <w:w w:val="100"/>
                <w:sz w:val="21"/>
              </w:rPr>
              <w:t> </w:t>
            </w:r>
          </w:p>
        </w:tc>
        <w:tc>
          <w:tcPr>
            <w:tcW w:w="1474" w:type="dxa"/>
          </w:tcPr>
          <w:p>
            <w:pPr>
              <w:pStyle w:val="TableParagraph"/>
              <w:spacing w:before="3"/>
              <w:ind w:right="-15"/>
              <w:jc w:val="right"/>
              <w:rPr>
                <w:sz w:val="21"/>
              </w:rPr>
            </w:pPr>
            <w:r>
              <w:rPr>
                <w:w w:val="100"/>
                <w:sz w:val="21"/>
              </w:rPr>
              <w:t> </w:t>
            </w:r>
          </w:p>
        </w:tc>
      </w:tr>
      <w:tr>
        <w:trPr>
          <w:trHeight w:val="544" w:hRule="atLeast"/>
        </w:trPr>
        <w:tc>
          <w:tcPr>
            <w:tcW w:w="2365" w:type="dxa"/>
          </w:tcPr>
          <w:p>
            <w:pPr>
              <w:pStyle w:val="TableParagraph"/>
              <w:spacing w:before="1"/>
              <w:ind w:left="107"/>
              <w:rPr>
                <w:sz w:val="21"/>
              </w:rPr>
            </w:pPr>
            <w:r>
              <w:rPr>
                <w:sz w:val="21"/>
              </w:rPr>
              <w:t>二、非持续的公允价值</w:t>
            </w:r>
          </w:p>
          <w:p>
            <w:pPr>
              <w:pStyle w:val="TableParagraph"/>
              <w:spacing w:line="252" w:lineRule="exact" w:before="2"/>
              <w:ind w:left="107"/>
              <w:rPr>
                <w:sz w:val="21"/>
              </w:rPr>
            </w:pPr>
            <w:r>
              <w:rPr>
                <w:sz w:val="21"/>
              </w:rPr>
              <w:t>计量 </w:t>
            </w:r>
          </w:p>
        </w:tc>
        <w:tc>
          <w:tcPr>
            <w:tcW w:w="1666" w:type="dxa"/>
          </w:tcPr>
          <w:p>
            <w:pPr>
              <w:pStyle w:val="TableParagraph"/>
              <w:spacing w:before="1"/>
              <w:ind w:right="-15"/>
              <w:jc w:val="right"/>
              <w:rPr>
                <w:sz w:val="21"/>
              </w:rPr>
            </w:pPr>
            <w:r>
              <w:rPr>
                <w:w w:val="100"/>
                <w:sz w:val="21"/>
              </w:rPr>
              <w:t> </w:t>
            </w:r>
          </w:p>
        </w:tc>
        <w:tc>
          <w:tcPr>
            <w:tcW w:w="1628" w:type="dxa"/>
          </w:tcPr>
          <w:p>
            <w:pPr>
              <w:pStyle w:val="TableParagraph"/>
              <w:spacing w:before="1"/>
              <w:ind w:right="-15"/>
              <w:jc w:val="right"/>
              <w:rPr>
                <w:sz w:val="21"/>
              </w:rPr>
            </w:pPr>
            <w:r>
              <w:rPr>
                <w:w w:val="100"/>
                <w:sz w:val="21"/>
              </w:rPr>
              <w:t> </w:t>
            </w:r>
          </w:p>
        </w:tc>
        <w:tc>
          <w:tcPr>
            <w:tcW w:w="1693" w:type="dxa"/>
          </w:tcPr>
          <w:p>
            <w:pPr>
              <w:pStyle w:val="TableParagraph"/>
              <w:spacing w:before="1"/>
              <w:ind w:right="-15"/>
              <w:jc w:val="right"/>
              <w:rPr>
                <w:sz w:val="21"/>
              </w:rPr>
            </w:pPr>
            <w:r>
              <w:rPr>
                <w:w w:val="100"/>
                <w:sz w:val="21"/>
              </w:rPr>
              <w:t> </w:t>
            </w:r>
          </w:p>
        </w:tc>
        <w:tc>
          <w:tcPr>
            <w:tcW w:w="1474" w:type="dxa"/>
          </w:tcPr>
          <w:p>
            <w:pPr>
              <w:pStyle w:val="TableParagraph"/>
              <w:spacing w:before="1"/>
              <w:ind w:right="-15"/>
              <w:jc w:val="right"/>
              <w:rPr>
                <w:sz w:val="21"/>
              </w:rPr>
            </w:pPr>
            <w:r>
              <w:rPr>
                <w:w w:val="100"/>
                <w:sz w:val="21"/>
              </w:rPr>
              <w:t> </w:t>
            </w:r>
          </w:p>
        </w:tc>
      </w:tr>
      <w:tr>
        <w:trPr>
          <w:trHeight w:val="270" w:hRule="atLeast"/>
        </w:trPr>
        <w:tc>
          <w:tcPr>
            <w:tcW w:w="2365" w:type="dxa"/>
          </w:tcPr>
          <w:p>
            <w:pPr>
              <w:pStyle w:val="TableParagraph"/>
              <w:spacing w:line="250" w:lineRule="exact" w:before="1"/>
              <w:ind w:left="107"/>
              <w:rPr>
                <w:sz w:val="21"/>
              </w:rPr>
            </w:pPr>
            <w:r>
              <w:rPr>
                <w:sz w:val="21"/>
              </w:rPr>
              <w:t>（一）持有待售资产 </w:t>
            </w:r>
          </w:p>
        </w:tc>
        <w:tc>
          <w:tcPr>
            <w:tcW w:w="1666" w:type="dxa"/>
          </w:tcPr>
          <w:p>
            <w:pPr>
              <w:pStyle w:val="TableParagraph"/>
              <w:spacing w:line="250" w:lineRule="exact" w:before="1"/>
              <w:ind w:right="-15"/>
              <w:jc w:val="right"/>
              <w:rPr>
                <w:sz w:val="21"/>
              </w:rPr>
            </w:pPr>
            <w:r>
              <w:rPr>
                <w:w w:val="100"/>
                <w:sz w:val="21"/>
              </w:rPr>
              <w:t> </w:t>
            </w:r>
          </w:p>
        </w:tc>
        <w:tc>
          <w:tcPr>
            <w:tcW w:w="1628" w:type="dxa"/>
          </w:tcPr>
          <w:p>
            <w:pPr>
              <w:pStyle w:val="TableParagraph"/>
              <w:spacing w:line="250" w:lineRule="exact" w:before="1"/>
              <w:ind w:right="-15"/>
              <w:jc w:val="right"/>
              <w:rPr>
                <w:sz w:val="21"/>
              </w:rPr>
            </w:pPr>
            <w:r>
              <w:rPr>
                <w:w w:val="100"/>
                <w:sz w:val="21"/>
              </w:rPr>
              <w:t> </w:t>
            </w:r>
          </w:p>
        </w:tc>
        <w:tc>
          <w:tcPr>
            <w:tcW w:w="1693" w:type="dxa"/>
          </w:tcPr>
          <w:p>
            <w:pPr>
              <w:pStyle w:val="TableParagraph"/>
              <w:spacing w:line="250" w:lineRule="exact" w:before="1"/>
              <w:ind w:right="-15"/>
              <w:jc w:val="right"/>
              <w:rPr>
                <w:sz w:val="21"/>
              </w:rPr>
            </w:pPr>
            <w:r>
              <w:rPr>
                <w:w w:val="100"/>
                <w:sz w:val="21"/>
              </w:rPr>
              <w:t> </w:t>
            </w:r>
          </w:p>
        </w:tc>
        <w:tc>
          <w:tcPr>
            <w:tcW w:w="1474" w:type="dxa"/>
          </w:tcPr>
          <w:p>
            <w:pPr>
              <w:pStyle w:val="TableParagraph"/>
              <w:spacing w:line="250" w:lineRule="exact" w:before="1"/>
              <w:ind w:right="-15"/>
              <w:jc w:val="right"/>
              <w:rPr>
                <w:sz w:val="21"/>
              </w:rPr>
            </w:pPr>
            <w:r>
              <w:rPr>
                <w:w w:val="100"/>
                <w:sz w:val="21"/>
              </w:rPr>
              <w:t> </w:t>
            </w:r>
          </w:p>
        </w:tc>
      </w:tr>
      <w:tr>
        <w:trPr>
          <w:trHeight w:val="273" w:hRule="atLeast"/>
        </w:trPr>
        <w:tc>
          <w:tcPr>
            <w:tcW w:w="2365" w:type="dxa"/>
          </w:tcPr>
          <w:p>
            <w:pPr>
              <w:pStyle w:val="TableParagraph"/>
              <w:spacing w:line="252" w:lineRule="exact" w:before="1"/>
              <w:ind w:left="107"/>
              <w:rPr>
                <w:sz w:val="21"/>
              </w:rPr>
            </w:pPr>
            <w:r>
              <w:rPr>
                <w:w w:val="100"/>
                <w:sz w:val="21"/>
              </w:rPr>
              <w:t> </w:t>
            </w:r>
          </w:p>
        </w:tc>
        <w:tc>
          <w:tcPr>
            <w:tcW w:w="1666" w:type="dxa"/>
          </w:tcPr>
          <w:p>
            <w:pPr>
              <w:pStyle w:val="TableParagraph"/>
              <w:spacing w:line="252" w:lineRule="exact" w:before="1"/>
              <w:ind w:right="-15"/>
              <w:jc w:val="right"/>
              <w:rPr>
                <w:sz w:val="21"/>
              </w:rPr>
            </w:pPr>
            <w:r>
              <w:rPr>
                <w:w w:val="100"/>
                <w:sz w:val="21"/>
              </w:rPr>
              <w:t> </w:t>
            </w:r>
          </w:p>
        </w:tc>
        <w:tc>
          <w:tcPr>
            <w:tcW w:w="1628" w:type="dxa"/>
          </w:tcPr>
          <w:p>
            <w:pPr>
              <w:pStyle w:val="TableParagraph"/>
              <w:spacing w:line="252" w:lineRule="exact" w:before="1"/>
              <w:ind w:right="-15"/>
              <w:jc w:val="right"/>
              <w:rPr>
                <w:sz w:val="21"/>
              </w:rPr>
            </w:pPr>
            <w:r>
              <w:rPr>
                <w:w w:val="100"/>
                <w:sz w:val="21"/>
              </w:rPr>
              <w:t> </w:t>
            </w:r>
          </w:p>
        </w:tc>
        <w:tc>
          <w:tcPr>
            <w:tcW w:w="1693" w:type="dxa"/>
          </w:tcPr>
          <w:p>
            <w:pPr>
              <w:pStyle w:val="TableParagraph"/>
              <w:spacing w:line="252" w:lineRule="exact" w:before="1"/>
              <w:ind w:right="-15"/>
              <w:jc w:val="right"/>
              <w:rPr>
                <w:sz w:val="21"/>
              </w:rPr>
            </w:pPr>
            <w:r>
              <w:rPr>
                <w:w w:val="100"/>
                <w:sz w:val="21"/>
              </w:rPr>
              <w:t> </w:t>
            </w:r>
          </w:p>
        </w:tc>
        <w:tc>
          <w:tcPr>
            <w:tcW w:w="1474" w:type="dxa"/>
          </w:tcPr>
          <w:p>
            <w:pPr>
              <w:pStyle w:val="TableParagraph"/>
              <w:spacing w:line="252" w:lineRule="exact" w:before="1"/>
              <w:ind w:right="-15"/>
              <w:jc w:val="right"/>
              <w:rPr>
                <w:sz w:val="21"/>
              </w:rPr>
            </w:pPr>
            <w:r>
              <w:rPr>
                <w:w w:val="100"/>
                <w:sz w:val="21"/>
              </w:rPr>
              <w:t> </w:t>
            </w:r>
          </w:p>
        </w:tc>
      </w:tr>
      <w:tr>
        <w:trPr>
          <w:trHeight w:val="273" w:hRule="atLeast"/>
        </w:trPr>
        <w:tc>
          <w:tcPr>
            <w:tcW w:w="2365" w:type="dxa"/>
          </w:tcPr>
          <w:p>
            <w:pPr>
              <w:pStyle w:val="TableParagraph"/>
              <w:spacing w:line="252" w:lineRule="exact" w:before="1"/>
              <w:ind w:left="107"/>
              <w:rPr>
                <w:sz w:val="21"/>
              </w:rPr>
            </w:pPr>
            <w:r>
              <w:rPr>
                <w:w w:val="100"/>
                <w:sz w:val="21"/>
              </w:rPr>
              <w:t> </w:t>
            </w:r>
          </w:p>
        </w:tc>
        <w:tc>
          <w:tcPr>
            <w:tcW w:w="1666" w:type="dxa"/>
          </w:tcPr>
          <w:p>
            <w:pPr>
              <w:pStyle w:val="TableParagraph"/>
              <w:spacing w:line="252" w:lineRule="exact" w:before="1"/>
              <w:ind w:right="-15"/>
              <w:jc w:val="right"/>
              <w:rPr>
                <w:sz w:val="21"/>
              </w:rPr>
            </w:pPr>
            <w:r>
              <w:rPr>
                <w:w w:val="100"/>
                <w:sz w:val="21"/>
              </w:rPr>
              <w:t> </w:t>
            </w:r>
          </w:p>
        </w:tc>
        <w:tc>
          <w:tcPr>
            <w:tcW w:w="1628" w:type="dxa"/>
          </w:tcPr>
          <w:p>
            <w:pPr>
              <w:pStyle w:val="TableParagraph"/>
              <w:spacing w:line="252" w:lineRule="exact" w:before="1"/>
              <w:ind w:right="-15"/>
              <w:jc w:val="right"/>
              <w:rPr>
                <w:sz w:val="21"/>
              </w:rPr>
            </w:pPr>
            <w:r>
              <w:rPr>
                <w:w w:val="100"/>
                <w:sz w:val="21"/>
              </w:rPr>
              <w:t> </w:t>
            </w:r>
          </w:p>
        </w:tc>
        <w:tc>
          <w:tcPr>
            <w:tcW w:w="1693" w:type="dxa"/>
          </w:tcPr>
          <w:p>
            <w:pPr>
              <w:pStyle w:val="TableParagraph"/>
              <w:spacing w:line="252" w:lineRule="exact" w:before="1"/>
              <w:ind w:right="-15"/>
              <w:jc w:val="right"/>
              <w:rPr>
                <w:sz w:val="21"/>
              </w:rPr>
            </w:pPr>
            <w:r>
              <w:rPr>
                <w:w w:val="100"/>
                <w:sz w:val="21"/>
              </w:rPr>
              <w:t> </w:t>
            </w:r>
          </w:p>
        </w:tc>
        <w:tc>
          <w:tcPr>
            <w:tcW w:w="1474" w:type="dxa"/>
          </w:tcPr>
          <w:p>
            <w:pPr>
              <w:pStyle w:val="TableParagraph"/>
              <w:spacing w:line="252" w:lineRule="exact" w:before="1"/>
              <w:ind w:right="-15"/>
              <w:jc w:val="right"/>
              <w:rPr>
                <w:sz w:val="21"/>
              </w:rPr>
            </w:pPr>
            <w:r>
              <w:rPr>
                <w:w w:val="100"/>
                <w:sz w:val="21"/>
              </w:rPr>
              <w:t> </w:t>
            </w:r>
          </w:p>
        </w:tc>
      </w:tr>
      <w:tr>
        <w:trPr>
          <w:trHeight w:val="544" w:hRule="atLeast"/>
        </w:trPr>
        <w:tc>
          <w:tcPr>
            <w:tcW w:w="2365" w:type="dxa"/>
          </w:tcPr>
          <w:p>
            <w:pPr>
              <w:pStyle w:val="TableParagraph"/>
              <w:spacing w:before="1"/>
              <w:ind w:left="107"/>
              <w:rPr>
                <w:sz w:val="21"/>
              </w:rPr>
            </w:pPr>
            <w:r>
              <w:rPr>
                <w:sz w:val="21"/>
              </w:rPr>
              <w:t>非持续以公允价值计量</w:t>
            </w:r>
          </w:p>
          <w:p>
            <w:pPr>
              <w:pStyle w:val="TableParagraph"/>
              <w:spacing w:line="252" w:lineRule="exact" w:before="2"/>
              <w:ind w:left="107"/>
              <w:rPr>
                <w:sz w:val="21"/>
              </w:rPr>
            </w:pPr>
            <w:r>
              <w:rPr>
                <w:sz w:val="21"/>
              </w:rPr>
              <w:t>的资产总额 </w:t>
            </w:r>
          </w:p>
        </w:tc>
        <w:tc>
          <w:tcPr>
            <w:tcW w:w="1666" w:type="dxa"/>
          </w:tcPr>
          <w:p>
            <w:pPr>
              <w:pStyle w:val="TableParagraph"/>
              <w:spacing w:before="1"/>
              <w:ind w:right="-15"/>
              <w:jc w:val="right"/>
              <w:rPr>
                <w:sz w:val="21"/>
              </w:rPr>
            </w:pPr>
            <w:r>
              <w:rPr>
                <w:w w:val="100"/>
                <w:sz w:val="21"/>
              </w:rPr>
              <w:t> </w:t>
            </w:r>
          </w:p>
        </w:tc>
        <w:tc>
          <w:tcPr>
            <w:tcW w:w="1628" w:type="dxa"/>
          </w:tcPr>
          <w:p>
            <w:pPr>
              <w:pStyle w:val="TableParagraph"/>
              <w:spacing w:before="1"/>
              <w:ind w:right="-15"/>
              <w:jc w:val="right"/>
              <w:rPr>
                <w:sz w:val="21"/>
              </w:rPr>
            </w:pPr>
            <w:r>
              <w:rPr>
                <w:w w:val="100"/>
                <w:sz w:val="21"/>
              </w:rPr>
              <w:t> </w:t>
            </w:r>
          </w:p>
        </w:tc>
        <w:tc>
          <w:tcPr>
            <w:tcW w:w="1693" w:type="dxa"/>
          </w:tcPr>
          <w:p>
            <w:pPr>
              <w:pStyle w:val="TableParagraph"/>
              <w:spacing w:before="1"/>
              <w:ind w:left="1583" w:right="-15"/>
              <w:jc w:val="center"/>
              <w:rPr>
                <w:sz w:val="21"/>
              </w:rPr>
            </w:pPr>
            <w:r>
              <w:rPr>
                <w:w w:val="100"/>
                <w:sz w:val="21"/>
              </w:rPr>
              <w:t> </w:t>
            </w:r>
          </w:p>
          <w:p>
            <w:pPr>
              <w:pStyle w:val="TableParagraph"/>
              <w:spacing w:line="252" w:lineRule="exact" w:before="2"/>
              <w:ind w:left="109"/>
              <w:jc w:val="center"/>
              <w:rPr>
                <w:sz w:val="21"/>
              </w:rPr>
            </w:pPr>
            <w:r>
              <w:rPr>
                <w:w w:val="100"/>
                <w:sz w:val="21"/>
              </w:rPr>
              <w:t> </w:t>
            </w:r>
          </w:p>
        </w:tc>
        <w:tc>
          <w:tcPr>
            <w:tcW w:w="1474" w:type="dxa"/>
          </w:tcPr>
          <w:p>
            <w:pPr>
              <w:pStyle w:val="TableParagraph"/>
              <w:spacing w:before="1"/>
              <w:ind w:right="-15"/>
              <w:jc w:val="right"/>
              <w:rPr>
                <w:sz w:val="21"/>
              </w:rPr>
            </w:pPr>
            <w:r>
              <w:rPr>
                <w:w w:val="100"/>
                <w:sz w:val="21"/>
              </w:rPr>
              <w:t> </w:t>
            </w:r>
          </w:p>
        </w:tc>
      </w:tr>
    </w:tbl>
    <w:p>
      <w:pPr>
        <w:spacing w:after="0"/>
        <w:jc w:val="right"/>
        <w:rPr>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65"/>
        <w:gridCol w:w="1666"/>
        <w:gridCol w:w="1628"/>
        <w:gridCol w:w="1693"/>
        <w:gridCol w:w="1474"/>
      </w:tblGrid>
      <w:tr>
        <w:trPr>
          <w:trHeight w:val="273" w:hRule="atLeast"/>
        </w:trPr>
        <w:tc>
          <w:tcPr>
            <w:tcW w:w="2365" w:type="dxa"/>
          </w:tcPr>
          <w:p>
            <w:pPr>
              <w:pStyle w:val="TableParagraph"/>
              <w:spacing w:line="250" w:lineRule="exact" w:before="3"/>
              <w:ind w:left="107"/>
              <w:rPr>
                <w:sz w:val="21"/>
              </w:rPr>
            </w:pPr>
            <w:r>
              <w:rPr>
                <w:w w:val="100"/>
                <w:sz w:val="21"/>
              </w:rPr>
              <w:t> </w:t>
            </w:r>
          </w:p>
        </w:tc>
        <w:tc>
          <w:tcPr>
            <w:tcW w:w="1666" w:type="dxa"/>
          </w:tcPr>
          <w:p>
            <w:pPr>
              <w:pStyle w:val="TableParagraph"/>
              <w:spacing w:line="250" w:lineRule="exact" w:before="3"/>
              <w:ind w:right="-15"/>
              <w:jc w:val="right"/>
              <w:rPr>
                <w:sz w:val="21"/>
              </w:rPr>
            </w:pPr>
            <w:r>
              <w:rPr>
                <w:w w:val="100"/>
                <w:sz w:val="21"/>
              </w:rPr>
              <w:t> </w:t>
            </w:r>
          </w:p>
        </w:tc>
        <w:tc>
          <w:tcPr>
            <w:tcW w:w="1628" w:type="dxa"/>
          </w:tcPr>
          <w:p>
            <w:pPr>
              <w:pStyle w:val="TableParagraph"/>
              <w:spacing w:line="250" w:lineRule="exact" w:before="3"/>
              <w:ind w:right="-15"/>
              <w:jc w:val="right"/>
              <w:rPr>
                <w:sz w:val="21"/>
              </w:rPr>
            </w:pPr>
            <w:r>
              <w:rPr>
                <w:w w:val="100"/>
                <w:sz w:val="21"/>
              </w:rPr>
              <w:t> </w:t>
            </w:r>
          </w:p>
        </w:tc>
        <w:tc>
          <w:tcPr>
            <w:tcW w:w="1693" w:type="dxa"/>
          </w:tcPr>
          <w:p>
            <w:pPr>
              <w:pStyle w:val="TableParagraph"/>
              <w:spacing w:line="250" w:lineRule="exact" w:before="3"/>
              <w:ind w:right="-15"/>
              <w:jc w:val="right"/>
              <w:rPr>
                <w:sz w:val="21"/>
              </w:rPr>
            </w:pPr>
            <w:r>
              <w:rPr>
                <w:w w:val="100"/>
                <w:sz w:val="21"/>
              </w:rPr>
              <w:t> </w:t>
            </w:r>
          </w:p>
        </w:tc>
        <w:tc>
          <w:tcPr>
            <w:tcW w:w="1474" w:type="dxa"/>
          </w:tcPr>
          <w:p>
            <w:pPr>
              <w:pStyle w:val="TableParagraph"/>
              <w:spacing w:line="250" w:lineRule="exact" w:before="3"/>
              <w:ind w:right="-15"/>
              <w:jc w:val="right"/>
              <w:rPr>
                <w:sz w:val="21"/>
              </w:rPr>
            </w:pPr>
            <w:r>
              <w:rPr>
                <w:w w:val="100"/>
                <w:sz w:val="21"/>
              </w:rPr>
              <w:t> </w:t>
            </w:r>
          </w:p>
        </w:tc>
      </w:tr>
      <w:tr>
        <w:trPr>
          <w:trHeight w:val="273" w:hRule="atLeast"/>
        </w:trPr>
        <w:tc>
          <w:tcPr>
            <w:tcW w:w="2365" w:type="dxa"/>
          </w:tcPr>
          <w:p>
            <w:pPr>
              <w:pStyle w:val="TableParagraph"/>
              <w:spacing w:line="252" w:lineRule="exact" w:before="1"/>
              <w:ind w:left="107"/>
              <w:rPr>
                <w:sz w:val="21"/>
              </w:rPr>
            </w:pPr>
            <w:r>
              <w:rPr>
                <w:w w:val="100"/>
                <w:sz w:val="21"/>
              </w:rPr>
              <w:t> </w:t>
            </w:r>
          </w:p>
        </w:tc>
        <w:tc>
          <w:tcPr>
            <w:tcW w:w="1666" w:type="dxa"/>
          </w:tcPr>
          <w:p>
            <w:pPr>
              <w:pStyle w:val="TableParagraph"/>
              <w:spacing w:line="252" w:lineRule="exact" w:before="1"/>
              <w:ind w:right="-15"/>
              <w:jc w:val="right"/>
              <w:rPr>
                <w:sz w:val="21"/>
              </w:rPr>
            </w:pPr>
            <w:r>
              <w:rPr>
                <w:w w:val="100"/>
                <w:sz w:val="21"/>
              </w:rPr>
              <w:t> </w:t>
            </w:r>
          </w:p>
        </w:tc>
        <w:tc>
          <w:tcPr>
            <w:tcW w:w="1628" w:type="dxa"/>
          </w:tcPr>
          <w:p>
            <w:pPr>
              <w:pStyle w:val="TableParagraph"/>
              <w:spacing w:line="252" w:lineRule="exact" w:before="1"/>
              <w:ind w:right="-15"/>
              <w:jc w:val="right"/>
              <w:rPr>
                <w:sz w:val="21"/>
              </w:rPr>
            </w:pPr>
            <w:r>
              <w:rPr>
                <w:w w:val="100"/>
                <w:sz w:val="21"/>
              </w:rPr>
              <w:t> </w:t>
            </w:r>
          </w:p>
        </w:tc>
        <w:tc>
          <w:tcPr>
            <w:tcW w:w="1693" w:type="dxa"/>
          </w:tcPr>
          <w:p>
            <w:pPr>
              <w:pStyle w:val="TableParagraph"/>
              <w:spacing w:line="252" w:lineRule="exact" w:before="1"/>
              <w:ind w:right="-15"/>
              <w:jc w:val="right"/>
              <w:rPr>
                <w:sz w:val="21"/>
              </w:rPr>
            </w:pPr>
            <w:r>
              <w:rPr>
                <w:w w:val="100"/>
                <w:sz w:val="21"/>
              </w:rPr>
              <w:t> </w:t>
            </w:r>
          </w:p>
        </w:tc>
        <w:tc>
          <w:tcPr>
            <w:tcW w:w="1474" w:type="dxa"/>
          </w:tcPr>
          <w:p>
            <w:pPr>
              <w:pStyle w:val="TableParagraph"/>
              <w:spacing w:line="252" w:lineRule="exact" w:before="1"/>
              <w:ind w:right="-15"/>
              <w:jc w:val="right"/>
              <w:rPr>
                <w:sz w:val="21"/>
              </w:rPr>
            </w:pPr>
            <w:r>
              <w:rPr>
                <w:w w:val="100"/>
                <w:sz w:val="21"/>
              </w:rPr>
              <w:t> </w:t>
            </w:r>
          </w:p>
        </w:tc>
      </w:tr>
      <w:tr>
        <w:trPr>
          <w:trHeight w:val="544" w:hRule="atLeast"/>
        </w:trPr>
        <w:tc>
          <w:tcPr>
            <w:tcW w:w="2365" w:type="dxa"/>
          </w:tcPr>
          <w:p>
            <w:pPr>
              <w:pStyle w:val="TableParagraph"/>
              <w:spacing w:before="1"/>
              <w:ind w:left="107"/>
              <w:rPr>
                <w:sz w:val="21"/>
              </w:rPr>
            </w:pPr>
            <w:r>
              <w:rPr>
                <w:sz w:val="21"/>
              </w:rPr>
              <w:t>非持续以公允价值计量</w:t>
            </w:r>
          </w:p>
          <w:p>
            <w:pPr>
              <w:pStyle w:val="TableParagraph"/>
              <w:spacing w:line="252" w:lineRule="exact" w:before="2"/>
              <w:ind w:left="107"/>
              <w:rPr>
                <w:sz w:val="21"/>
              </w:rPr>
            </w:pPr>
            <w:r>
              <w:rPr>
                <w:sz w:val="21"/>
              </w:rPr>
              <w:t>的负债总额 </w:t>
            </w:r>
          </w:p>
        </w:tc>
        <w:tc>
          <w:tcPr>
            <w:tcW w:w="1666" w:type="dxa"/>
          </w:tcPr>
          <w:p>
            <w:pPr>
              <w:pStyle w:val="TableParagraph"/>
              <w:spacing w:before="1"/>
              <w:ind w:right="-15"/>
              <w:jc w:val="right"/>
              <w:rPr>
                <w:sz w:val="21"/>
              </w:rPr>
            </w:pPr>
            <w:r>
              <w:rPr>
                <w:w w:val="100"/>
                <w:sz w:val="21"/>
              </w:rPr>
              <w:t> </w:t>
            </w:r>
          </w:p>
        </w:tc>
        <w:tc>
          <w:tcPr>
            <w:tcW w:w="1628" w:type="dxa"/>
          </w:tcPr>
          <w:p>
            <w:pPr>
              <w:pStyle w:val="TableParagraph"/>
              <w:spacing w:before="1"/>
              <w:ind w:right="-15"/>
              <w:jc w:val="right"/>
              <w:rPr>
                <w:sz w:val="21"/>
              </w:rPr>
            </w:pPr>
            <w:r>
              <w:rPr>
                <w:w w:val="100"/>
                <w:sz w:val="21"/>
              </w:rPr>
              <w:t> </w:t>
            </w:r>
          </w:p>
        </w:tc>
        <w:tc>
          <w:tcPr>
            <w:tcW w:w="1693" w:type="dxa"/>
          </w:tcPr>
          <w:p>
            <w:pPr>
              <w:pStyle w:val="TableParagraph"/>
              <w:spacing w:before="1"/>
              <w:ind w:right="-15"/>
              <w:jc w:val="right"/>
              <w:rPr>
                <w:sz w:val="21"/>
              </w:rPr>
            </w:pPr>
            <w:r>
              <w:rPr>
                <w:w w:val="100"/>
                <w:sz w:val="21"/>
              </w:rPr>
              <w:t> </w:t>
            </w:r>
          </w:p>
        </w:tc>
        <w:tc>
          <w:tcPr>
            <w:tcW w:w="1474" w:type="dxa"/>
          </w:tcPr>
          <w:p>
            <w:pPr>
              <w:pStyle w:val="TableParagraph"/>
              <w:spacing w:before="1"/>
              <w:ind w:right="-15"/>
              <w:jc w:val="right"/>
              <w:rPr>
                <w:sz w:val="21"/>
              </w:rPr>
            </w:pPr>
            <w:r>
              <w:rPr>
                <w:w w:val="100"/>
                <w:sz w:val="21"/>
              </w:rPr>
              <w:t> </w:t>
            </w:r>
          </w:p>
        </w:tc>
      </w:tr>
    </w:tbl>
    <w:p>
      <w:pPr>
        <w:pStyle w:val="BodyText"/>
        <w:ind w:left="0"/>
        <w:rPr>
          <w:sz w:val="20"/>
        </w:rPr>
      </w:pPr>
    </w:p>
    <w:p>
      <w:pPr>
        <w:pStyle w:val="BodyText"/>
        <w:spacing w:before="1"/>
        <w:ind w:left="0"/>
        <w:rPr>
          <w:sz w:val="25"/>
        </w:rPr>
      </w:pPr>
    </w:p>
    <w:p>
      <w:pPr>
        <w:pStyle w:val="BodyText"/>
        <w:spacing w:before="71"/>
      </w:pPr>
      <w:r>
        <w:rPr/>
        <w:t>2、 持续和非持续第一层次公允价值计量项目市价的确定依据 </w:t>
      </w:r>
    </w:p>
    <w:p>
      <w:pPr>
        <w:pStyle w:val="BodyText"/>
        <w:spacing w:before="65"/>
      </w:pPr>
      <w:r>
        <w:rPr>
          <w:spacing w:val="11"/>
        </w:rPr>
        <w:t>□适用 √不适用</w:t>
      </w:r>
      <w:r>
        <w:rPr>
          <w:spacing w:val="-3"/>
        </w:rPr>
        <w:t> </w:t>
      </w:r>
      <w:r>
        <w:rPr/>
        <w:t> </w:t>
      </w:r>
    </w:p>
    <w:p>
      <w:pPr>
        <w:pStyle w:val="BodyText"/>
        <w:spacing w:before="2"/>
      </w:pPr>
      <w:r>
        <w:rPr>
          <w:w w:val="100"/>
        </w:rPr>
        <w:t> </w:t>
      </w:r>
    </w:p>
    <w:p>
      <w:pPr>
        <w:pStyle w:val="BodyText"/>
        <w:spacing w:before="65"/>
      </w:pPr>
      <w:r>
        <w:rPr/>
        <w:t>3、 持续和非持续第二层次公允价值计量项目，采用的估值技术和重要参数的定性及定量信息</w:t>
      </w:r>
    </w:p>
    <w:p>
      <w:pPr>
        <w:pStyle w:val="BodyText"/>
        <w:spacing w:before="62"/>
      </w:pPr>
      <w:r>
        <w:rPr>
          <w:spacing w:val="11"/>
        </w:rPr>
        <w:t>√适用 □不适用</w:t>
      </w:r>
      <w:r>
        <w:rPr>
          <w:spacing w:val="-3"/>
        </w:rPr>
        <w:t> </w:t>
      </w:r>
      <w:r>
        <w:rPr/>
        <w:t> </w:t>
      </w:r>
    </w:p>
    <w:p>
      <w:pPr>
        <w:pStyle w:val="BodyText"/>
        <w:spacing w:line="242" w:lineRule="auto" w:before="4"/>
        <w:ind w:right="1277"/>
        <w:jc w:val="both"/>
      </w:pPr>
      <w:r>
        <w:rPr>
          <w:w w:val="100"/>
        </w:rPr>
        <w:t> </w:t>
      </w:r>
      <w:r>
        <w:rPr>
          <w:spacing w:val="-1"/>
          <w:w w:val="100"/>
        </w:rPr>
        <w:t> </w:t>
      </w:r>
      <w:r>
        <w:rPr/>
        <w:t>对于在活跃市场上交易的金融工具，本集团以其活跃市场报价确定其公允价值；对于不在活跃市场上交易的金融工具，本集团采用估值技术确定其公允价值。所使用的估值模型主要为现金流量捳模型和市场可比公司模型等。估值技术的输入值主要包括无风险利率、基准利率、汇率、信</w:t>
      </w:r>
      <w:r>
        <w:rPr>
          <w:spacing w:val="-1"/>
        </w:rPr>
        <w:t>用点差、流动性溢价、</w:t>
      </w:r>
      <w:r>
        <w:rPr/>
        <w:t>EBITDA</w:t>
      </w:r>
      <w:r>
        <w:rPr>
          <w:spacing w:val="-8"/>
        </w:rPr>
        <w:t> 乘数、缺乏流动性折价等。</w:t>
      </w:r>
      <w:r>
        <w:rPr/>
        <w:t> </w:t>
      </w:r>
    </w:p>
    <w:p>
      <w:pPr>
        <w:pStyle w:val="BodyText"/>
        <w:spacing w:before="3"/>
      </w:pPr>
      <w:r>
        <w:rPr>
          <w:w w:val="100"/>
        </w:rPr>
        <w:t> </w:t>
      </w:r>
    </w:p>
    <w:p>
      <w:pPr>
        <w:pStyle w:val="BodyText"/>
        <w:spacing w:before="63"/>
      </w:pPr>
      <w:r>
        <w:rPr/>
        <w:t>4、 持续和非持续第三层次公允价值计量项目，采用的估值技术和重要参数的定性及定量信息</w:t>
      </w:r>
    </w:p>
    <w:p>
      <w:pPr>
        <w:pStyle w:val="BodyText"/>
        <w:spacing w:before="64"/>
      </w:pPr>
      <w:r>
        <w:rPr>
          <w:spacing w:val="11"/>
        </w:rPr>
        <w:t>√适用 □不适用</w:t>
      </w:r>
      <w:r>
        <w:rPr>
          <w:spacing w:val="-3"/>
        </w:rPr>
        <w:t> </w:t>
      </w:r>
      <w:r>
        <w:rPr/>
        <w:t> </w:t>
      </w:r>
    </w:p>
    <w:p>
      <w:pPr>
        <w:pStyle w:val="BodyText"/>
        <w:spacing w:line="242" w:lineRule="auto" w:before="2"/>
        <w:ind w:right="1277"/>
        <w:jc w:val="both"/>
      </w:pPr>
      <w:r>
        <w:rPr/>
        <w:t>对于在活跃市场上交易的金融工具，本集团以其活跃市场报价确定其公允价值；对于不在活跃市场上交易的金融工具，本集团采用估值技术确定其公允价值。所使用的估值模型主要为现金流量捳模型和市场可比公司模型等。估值技术的输入值主要包括无风险利率、基准利率、汇率、信用</w:t>
      </w:r>
      <w:r>
        <w:rPr>
          <w:spacing w:val="-1"/>
        </w:rPr>
        <w:t>点差、流动性溢价、</w:t>
      </w:r>
      <w:r>
        <w:rPr/>
        <w:t>EBITDA</w:t>
      </w:r>
      <w:r>
        <w:rPr>
          <w:spacing w:val="-8"/>
        </w:rPr>
        <w:t> 乘数、缺乏流动性折价等。</w:t>
      </w:r>
      <w:r>
        <w:rPr/>
        <w:t> </w:t>
      </w:r>
    </w:p>
    <w:p>
      <w:pPr>
        <w:pStyle w:val="BodyText"/>
        <w:spacing w:before="3"/>
      </w:pPr>
      <w:r>
        <w:rPr>
          <w:w w:val="100"/>
        </w:rPr>
        <w:t> </w:t>
      </w:r>
    </w:p>
    <w:p>
      <w:pPr>
        <w:pStyle w:val="BodyText"/>
        <w:spacing w:line="244" w:lineRule="auto" w:before="62"/>
        <w:ind w:left="742" w:right="1264" w:hanging="425"/>
      </w:pPr>
      <w:r>
        <w:rPr/>
        <w:t>5、 持续的第三层次公允价值计量项目，期初与期末账面价值间的调节信息及不可观察参数敏感性分析</w:t>
      </w:r>
    </w:p>
    <w:p>
      <w:pPr>
        <w:pStyle w:val="BodyText"/>
        <w:spacing w:before="56"/>
      </w:pPr>
      <w:r>
        <w:rPr>
          <w:spacing w:val="11"/>
        </w:rPr>
        <w:t>□适用 √不适用</w:t>
      </w:r>
      <w:r>
        <w:rPr>
          <w:spacing w:val="-3"/>
        </w:rPr>
        <w:t> </w:t>
      </w:r>
      <w:r>
        <w:rPr/>
        <w:t> </w:t>
      </w:r>
    </w:p>
    <w:p>
      <w:pPr>
        <w:pStyle w:val="BodyText"/>
        <w:spacing w:before="5"/>
      </w:pPr>
      <w:r>
        <w:rPr>
          <w:w w:val="100"/>
        </w:rPr>
        <w:t> </w:t>
      </w:r>
    </w:p>
    <w:p>
      <w:pPr>
        <w:pStyle w:val="BodyText"/>
        <w:spacing w:line="244" w:lineRule="auto" w:before="62"/>
        <w:ind w:left="742" w:right="1264" w:hanging="425"/>
      </w:pPr>
      <w:r>
        <w:rPr/>
        <w:t>6、 持续的公允价值计量项目，本期内发生各层级之间转换的，转换的原因及确定转换时点的政策</w:t>
      </w:r>
    </w:p>
    <w:p>
      <w:pPr>
        <w:pStyle w:val="BodyText"/>
        <w:spacing w:before="56"/>
      </w:pPr>
      <w:r>
        <w:rPr>
          <w:spacing w:val="11"/>
        </w:rPr>
        <w:t>□适用 √不适用</w:t>
      </w:r>
      <w:r>
        <w:rPr>
          <w:spacing w:val="-3"/>
        </w:rPr>
        <w:t> </w:t>
      </w:r>
      <w:r>
        <w:rPr/>
        <w:t> </w:t>
      </w:r>
    </w:p>
    <w:p>
      <w:pPr>
        <w:pStyle w:val="BodyText"/>
        <w:spacing w:before="4"/>
      </w:pPr>
      <w:r>
        <w:rPr>
          <w:w w:val="100"/>
        </w:rPr>
        <w:t> </w:t>
      </w:r>
    </w:p>
    <w:p>
      <w:pPr>
        <w:pStyle w:val="BodyText"/>
        <w:spacing w:before="63"/>
      </w:pPr>
      <w:r>
        <w:rPr/>
        <w:t>7、 本期内发生的估值技术变更及变更原因</w:t>
      </w:r>
    </w:p>
    <w:p>
      <w:pPr>
        <w:pStyle w:val="BodyText"/>
        <w:spacing w:before="64"/>
      </w:pPr>
      <w:r>
        <w:rPr>
          <w:spacing w:val="11"/>
        </w:rPr>
        <w:t>□适用 √不适用</w:t>
      </w:r>
      <w:r>
        <w:rPr>
          <w:spacing w:val="-3"/>
        </w:rPr>
        <w:t> </w:t>
      </w:r>
      <w:r>
        <w:rPr/>
        <w:t> </w:t>
      </w:r>
    </w:p>
    <w:p>
      <w:pPr>
        <w:pStyle w:val="BodyText"/>
        <w:spacing w:before="2"/>
      </w:pPr>
      <w:r>
        <w:rPr>
          <w:w w:val="100"/>
        </w:rPr>
        <w:t> </w:t>
      </w:r>
    </w:p>
    <w:p>
      <w:pPr>
        <w:pStyle w:val="BodyText"/>
        <w:spacing w:before="65"/>
      </w:pPr>
      <w:r>
        <w:rPr/>
        <w:t>8、 不以公允价值计量的金融资产和金融负债的公允价值情况</w:t>
      </w:r>
    </w:p>
    <w:p>
      <w:pPr>
        <w:pStyle w:val="BodyText"/>
        <w:spacing w:before="62"/>
      </w:pPr>
      <w:r>
        <w:rPr>
          <w:spacing w:val="11"/>
        </w:rPr>
        <w:t>√适用 □不适用</w:t>
      </w:r>
      <w:r>
        <w:rPr>
          <w:spacing w:val="-3"/>
        </w:rPr>
        <w:t> </w:t>
      </w:r>
      <w:r>
        <w:rPr/>
        <w:t> </w:t>
      </w:r>
    </w:p>
    <w:p>
      <w:pPr>
        <w:pStyle w:val="BodyText"/>
        <w:spacing w:line="242" w:lineRule="auto" w:before="4"/>
        <w:ind w:right="1277"/>
        <w:jc w:val="both"/>
      </w:pPr>
      <w:r>
        <w:rPr>
          <w:w w:val="100"/>
        </w:rPr>
        <w:t> </w:t>
      </w:r>
      <w:r>
        <w:rPr/>
        <w:t>  </w:t>
      </w:r>
      <w:r>
        <w:rPr>
          <w:spacing w:val="-1"/>
        </w:rPr>
        <w:t> </w:t>
      </w:r>
      <w:r>
        <w:rPr/>
        <w:t>本集团以摊余成本计量的金融资产和负债主要包括：货币资金、应收款项、短期借款、应付款项、一年内到期的非流动负债、租赁负债和长期借款，均不以公允价值计量。不以公允价值计量的金融资产和负债的账面价值与公允价值相差很小。 </w:t>
      </w:r>
    </w:p>
    <w:p>
      <w:pPr>
        <w:pStyle w:val="BodyText"/>
        <w:spacing w:before="2"/>
      </w:pPr>
      <w:r>
        <w:rPr>
          <w:w w:val="100"/>
        </w:rPr>
        <w:t> </w:t>
      </w:r>
    </w:p>
    <w:p>
      <w:pPr>
        <w:pStyle w:val="BodyText"/>
        <w:spacing w:before="2"/>
      </w:pPr>
      <w:r>
        <w:rPr>
          <w:w w:val="100"/>
        </w:rPr>
        <w:t> </w:t>
      </w:r>
    </w:p>
    <w:p>
      <w:pPr>
        <w:pStyle w:val="BodyText"/>
        <w:spacing w:before="64"/>
      </w:pPr>
      <w:r>
        <w:rPr/>
        <w:t>9、 其他</w:t>
      </w:r>
    </w:p>
    <w:p>
      <w:pPr>
        <w:pStyle w:val="BodyText"/>
        <w:spacing w:before="63"/>
      </w:pPr>
      <w:r>
        <w:rPr>
          <w:spacing w:val="11"/>
        </w:rPr>
        <w:t>□适用 √不适用</w:t>
      </w:r>
      <w:r>
        <w:rPr>
          <w:spacing w:val="-3"/>
        </w:rPr>
        <w:t> </w:t>
      </w:r>
      <w:r>
        <w:rPr/>
        <w:t> </w:t>
      </w:r>
    </w:p>
    <w:p>
      <w:pPr>
        <w:pStyle w:val="BodyText"/>
        <w:spacing w:line="295" w:lineRule="auto" w:before="64"/>
        <w:ind w:right="7473"/>
      </w:pPr>
      <w:r>
        <w:rPr>
          <w:spacing w:val="8"/>
        </w:rPr>
        <w:t>十二、 关联方及关联交易</w:t>
      </w:r>
      <w:r>
        <w:rPr/>
        <w:t>1、 本企业的母公司情况</w:t>
      </w:r>
    </w:p>
    <w:p>
      <w:pPr>
        <w:pStyle w:val="BodyText"/>
        <w:spacing w:before="3"/>
      </w:pPr>
      <w:r>
        <w:rPr>
          <w:spacing w:val="11"/>
        </w:rPr>
        <w:t>√适用 □不适用</w:t>
      </w:r>
      <w:r>
        <w:rPr>
          <w:spacing w:val="-3"/>
        </w:rPr>
        <w:t> </w:t>
      </w:r>
      <w:r>
        <w:rPr/>
        <w:t> </w:t>
      </w:r>
    </w:p>
    <w:p>
      <w:pPr>
        <w:spacing w:after="0"/>
        <w:sectPr>
          <w:pgSz w:w="11910" w:h="16840"/>
          <w:pgMar w:header="882" w:footer="1184" w:top="1120" w:bottom="1380" w:left="1480" w:right="0"/>
        </w:sectPr>
      </w:pPr>
    </w:p>
    <w:p>
      <w:pPr>
        <w:pStyle w:val="BodyText"/>
        <w:spacing w:before="7"/>
        <w:ind w:left="0"/>
        <w:rPr>
          <w:sz w:val="25"/>
        </w:rPr>
      </w:pPr>
    </w:p>
    <w:p>
      <w:pPr>
        <w:pStyle w:val="BodyText"/>
        <w:spacing w:before="7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1203"/>
        <w:gridCol w:w="1428"/>
        <w:gridCol w:w="1428"/>
        <w:gridCol w:w="1642"/>
        <w:gridCol w:w="1771"/>
      </w:tblGrid>
      <w:tr>
        <w:trPr>
          <w:trHeight w:val="841" w:hRule="atLeast"/>
        </w:trPr>
        <w:tc>
          <w:tcPr>
            <w:tcW w:w="1351" w:type="dxa"/>
          </w:tcPr>
          <w:p>
            <w:pPr>
              <w:pStyle w:val="TableParagraph"/>
              <w:spacing w:before="4"/>
              <w:rPr>
                <w:sz w:val="22"/>
              </w:rPr>
            </w:pPr>
          </w:p>
          <w:p>
            <w:pPr>
              <w:pStyle w:val="TableParagraph"/>
              <w:ind w:left="148"/>
              <w:rPr>
                <w:sz w:val="21"/>
              </w:rPr>
            </w:pPr>
            <w:r>
              <w:rPr>
                <w:sz w:val="21"/>
              </w:rPr>
              <w:t>母公司名称 </w:t>
            </w:r>
          </w:p>
        </w:tc>
        <w:tc>
          <w:tcPr>
            <w:tcW w:w="1203" w:type="dxa"/>
          </w:tcPr>
          <w:p>
            <w:pPr>
              <w:pStyle w:val="TableParagraph"/>
              <w:spacing w:before="4"/>
              <w:rPr>
                <w:sz w:val="22"/>
              </w:rPr>
            </w:pPr>
          </w:p>
          <w:p>
            <w:pPr>
              <w:pStyle w:val="TableParagraph"/>
              <w:ind w:left="285"/>
              <w:rPr>
                <w:sz w:val="21"/>
              </w:rPr>
            </w:pPr>
            <w:r>
              <w:rPr>
                <w:sz w:val="21"/>
              </w:rPr>
              <w:t>注册地 </w:t>
            </w:r>
          </w:p>
        </w:tc>
        <w:tc>
          <w:tcPr>
            <w:tcW w:w="1428" w:type="dxa"/>
          </w:tcPr>
          <w:p>
            <w:pPr>
              <w:pStyle w:val="TableParagraph"/>
              <w:spacing w:before="4"/>
              <w:rPr>
                <w:sz w:val="22"/>
              </w:rPr>
            </w:pPr>
          </w:p>
          <w:p>
            <w:pPr>
              <w:pStyle w:val="TableParagraph"/>
              <w:ind w:left="292"/>
              <w:rPr>
                <w:sz w:val="21"/>
              </w:rPr>
            </w:pPr>
            <w:r>
              <w:rPr>
                <w:spacing w:val="-1"/>
                <w:sz w:val="21"/>
              </w:rPr>
              <w:t>业务性质</w:t>
            </w:r>
            <w:r>
              <w:rPr>
                <w:sz w:val="21"/>
              </w:rPr>
              <w:t> </w:t>
            </w:r>
          </w:p>
        </w:tc>
        <w:tc>
          <w:tcPr>
            <w:tcW w:w="1428" w:type="dxa"/>
          </w:tcPr>
          <w:p>
            <w:pPr>
              <w:pStyle w:val="TableParagraph"/>
              <w:spacing w:before="4"/>
              <w:rPr>
                <w:sz w:val="22"/>
              </w:rPr>
            </w:pPr>
          </w:p>
          <w:p>
            <w:pPr>
              <w:pStyle w:val="TableParagraph"/>
              <w:ind w:left="292"/>
              <w:rPr>
                <w:sz w:val="21"/>
              </w:rPr>
            </w:pPr>
            <w:r>
              <w:rPr>
                <w:spacing w:val="-1"/>
                <w:sz w:val="21"/>
              </w:rPr>
              <w:t>注册资本</w:t>
            </w:r>
            <w:r>
              <w:rPr>
                <w:sz w:val="21"/>
              </w:rPr>
              <w:t> </w:t>
            </w:r>
          </w:p>
        </w:tc>
        <w:tc>
          <w:tcPr>
            <w:tcW w:w="1642" w:type="dxa"/>
          </w:tcPr>
          <w:p>
            <w:pPr>
              <w:pStyle w:val="TableParagraph"/>
              <w:spacing w:before="13"/>
              <w:ind w:left="187" w:firstLine="2"/>
              <w:rPr>
                <w:sz w:val="21"/>
              </w:rPr>
            </w:pPr>
            <w:r>
              <w:rPr>
                <w:sz w:val="21"/>
              </w:rPr>
              <w:t>母公司对本企</w:t>
            </w:r>
          </w:p>
          <w:p>
            <w:pPr>
              <w:pStyle w:val="TableParagraph"/>
              <w:spacing w:line="270" w:lineRule="atLeast"/>
              <w:ind w:left="662" w:right="175" w:hanging="476"/>
              <w:rPr>
                <w:sz w:val="21"/>
              </w:rPr>
            </w:pPr>
            <w:r>
              <w:rPr>
                <w:sz w:val="21"/>
              </w:rPr>
              <w:t>业的持股比例(%) </w:t>
            </w:r>
          </w:p>
        </w:tc>
        <w:tc>
          <w:tcPr>
            <w:tcW w:w="1771" w:type="dxa"/>
          </w:tcPr>
          <w:p>
            <w:pPr>
              <w:pStyle w:val="TableParagraph"/>
              <w:spacing w:before="13"/>
              <w:ind w:left="254" w:hanging="106"/>
              <w:rPr>
                <w:sz w:val="21"/>
              </w:rPr>
            </w:pPr>
            <w:r>
              <w:rPr>
                <w:sz w:val="21"/>
              </w:rPr>
              <w:t>母公司对本企业</w:t>
            </w:r>
          </w:p>
          <w:p>
            <w:pPr>
              <w:pStyle w:val="TableParagraph"/>
              <w:spacing w:line="270" w:lineRule="atLeast"/>
              <w:ind w:left="727" w:right="244" w:hanging="473"/>
              <w:rPr>
                <w:sz w:val="21"/>
              </w:rPr>
            </w:pPr>
            <w:r>
              <w:rPr>
                <w:spacing w:val="-1"/>
                <w:sz w:val="21"/>
              </w:rPr>
              <w:t>的表决权比例</w:t>
            </w:r>
            <w:r>
              <w:rPr>
                <w:sz w:val="21"/>
              </w:rPr>
              <w:t>(%) </w:t>
            </w:r>
          </w:p>
        </w:tc>
      </w:tr>
      <w:tr>
        <w:trPr>
          <w:trHeight w:val="544" w:hRule="atLeast"/>
        </w:trPr>
        <w:tc>
          <w:tcPr>
            <w:tcW w:w="1351" w:type="dxa"/>
          </w:tcPr>
          <w:p>
            <w:pPr>
              <w:pStyle w:val="TableParagraph"/>
              <w:spacing w:before="138"/>
              <w:ind w:left="107"/>
              <w:rPr>
                <w:sz w:val="21"/>
              </w:rPr>
            </w:pPr>
            <w:r>
              <w:rPr>
                <w:spacing w:val="-1"/>
                <w:sz w:val="21"/>
              </w:rPr>
              <w:t>中坚公司</w:t>
            </w:r>
            <w:r>
              <w:rPr>
                <w:sz w:val="21"/>
              </w:rPr>
              <w:t> </w:t>
            </w:r>
          </w:p>
        </w:tc>
        <w:tc>
          <w:tcPr>
            <w:tcW w:w="1203" w:type="dxa"/>
          </w:tcPr>
          <w:p>
            <w:pPr>
              <w:pStyle w:val="TableParagraph"/>
              <w:spacing w:before="1"/>
              <w:ind w:left="107"/>
              <w:rPr>
                <w:sz w:val="21"/>
              </w:rPr>
            </w:pPr>
            <w:r>
              <w:rPr>
                <w:sz w:val="21"/>
              </w:rPr>
              <w:t>中国，香</w:t>
            </w:r>
          </w:p>
          <w:p>
            <w:pPr>
              <w:pStyle w:val="TableParagraph"/>
              <w:spacing w:line="250" w:lineRule="exact" w:before="4"/>
              <w:ind w:left="107"/>
              <w:rPr>
                <w:sz w:val="21"/>
              </w:rPr>
            </w:pPr>
            <w:r>
              <w:rPr>
                <w:sz w:val="21"/>
              </w:rPr>
              <w:t>港 </w:t>
            </w:r>
          </w:p>
        </w:tc>
        <w:tc>
          <w:tcPr>
            <w:tcW w:w="1428" w:type="dxa"/>
          </w:tcPr>
          <w:p>
            <w:pPr>
              <w:pStyle w:val="TableParagraph"/>
              <w:spacing w:before="1"/>
              <w:ind w:left="107"/>
              <w:rPr>
                <w:sz w:val="21"/>
              </w:rPr>
            </w:pPr>
            <w:r>
              <w:rPr>
                <w:spacing w:val="-1"/>
                <w:sz w:val="21"/>
              </w:rPr>
              <w:t>投资控股</w:t>
            </w:r>
            <w:r>
              <w:rPr>
                <w:sz w:val="21"/>
              </w:rPr>
              <w:t> </w:t>
            </w:r>
          </w:p>
        </w:tc>
        <w:tc>
          <w:tcPr>
            <w:tcW w:w="1428" w:type="dxa"/>
          </w:tcPr>
          <w:p>
            <w:pPr>
              <w:pStyle w:val="TableParagraph"/>
              <w:spacing w:before="1"/>
              <w:ind w:right="-15"/>
              <w:jc w:val="right"/>
              <w:rPr>
                <w:sz w:val="21"/>
              </w:rPr>
            </w:pPr>
            <w:r>
              <w:rPr>
                <w:sz w:val="21"/>
              </w:rPr>
              <w:t>32,263,250 </w:t>
            </w:r>
          </w:p>
        </w:tc>
        <w:tc>
          <w:tcPr>
            <w:tcW w:w="1642" w:type="dxa"/>
          </w:tcPr>
          <w:p>
            <w:pPr>
              <w:pStyle w:val="TableParagraph"/>
              <w:spacing w:before="1"/>
              <w:ind w:right="-15"/>
              <w:jc w:val="right"/>
              <w:rPr>
                <w:sz w:val="21"/>
              </w:rPr>
            </w:pPr>
            <w:r>
              <w:rPr>
                <w:sz w:val="21"/>
              </w:rPr>
              <w:t>84.10% </w:t>
            </w:r>
          </w:p>
        </w:tc>
        <w:tc>
          <w:tcPr>
            <w:tcW w:w="1771" w:type="dxa"/>
          </w:tcPr>
          <w:p>
            <w:pPr>
              <w:pStyle w:val="TableParagraph"/>
              <w:spacing w:before="1"/>
              <w:ind w:right="-15"/>
              <w:jc w:val="right"/>
              <w:rPr>
                <w:sz w:val="21"/>
              </w:rPr>
            </w:pPr>
            <w:r>
              <w:rPr>
                <w:sz w:val="21"/>
              </w:rPr>
              <w:t>84.64% </w:t>
            </w:r>
          </w:p>
        </w:tc>
      </w:tr>
      <w:tr>
        <w:trPr>
          <w:trHeight w:val="273" w:hRule="atLeast"/>
        </w:trPr>
        <w:tc>
          <w:tcPr>
            <w:tcW w:w="1351" w:type="dxa"/>
          </w:tcPr>
          <w:p>
            <w:pPr>
              <w:pStyle w:val="TableParagraph"/>
              <w:spacing w:line="252" w:lineRule="exact" w:before="1"/>
              <w:ind w:left="107"/>
              <w:rPr>
                <w:sz w:val="21"/>
              </w:rPr>
            </w:pPr>
            <w:r>
              <w:rPr>
                <w:w w:val="100"/>
                <w:sz w:val="21"/>
              </w:rPr>
              <w:t> </w:t>
            </w:r>
          </w:p>
        </w:tc>
        <w:tc>
          <w:tcPr>
            <w:tcW w:w="1203" w:type="dxa"/>
          </w:tcPr>
          <w:p>
            <w:pPr>
              <w:pStyle w:val="TableParagraph"/>
              <w:spacing w:line="252" w:lineRule="exact" w:before="1"/>
              <w:ind w:left="107"/>
              <w:rPr>
                <w:sz w:val="21"/>
              </w:rPr>
            </w:pPr>
            <w:r>
              <w:rPr>
                <w:w w:val="100"/>
                <w:sz w:val="21"/>
              </w:rPr>
              <w:t> </w:t>
            </w:r>
          </w:p>
        </w:tc>
        <w:tc>
          <w:tcPr>
            <w:tcW w:w="1428" w:type="dxa"/>
          </w:tcPr>
          <w:p>
            <w:pPr>
              <w:pStyle w:val="TableParagraph"/>
              <w:spacing w:line="252" w:lineRule="exact" w:before="1"/>
              <w:ind w:left="107"/>
              <w:rPr>
                <w:sz w:val="21"/>
              </w:rPr>
            </w:pPr>
            <w:r>
              <w:rPr>
                <w:w w:val="100"/>
                <w:sz w:val="21"/>
              </w:rPr>
              <w:t> </w:t>
            </w:r>
          </w:p>
        </w:tc>
        <w:tc>
          <w:tcPr>
            <w:tcW w:w="1428" w:type="dxa"/>
          </w:tcPr>
          <w:p>
            <w:pPr>
              <w:pStyle w:val="TableParagraph"/>
              <w:spacing w:line="252" w:lineRule="exact" w:before="1"/>
              <w:ind w:right="-15"/>
              <w:jc w:val="right"/>
              <w:rPr>
                <w:sz w:val="21"/>
              </w:rPr>
            </w:pPr>
            <w:r>
              <w:rPr>
                <w:w w:val="100"/>
                <w:sz w:val="21"/>
              </w:rPr>
              <w:t> </w:t>
            </w:r>
          </w:p>
        </w:tc>
        <w:tc>
          <w:tcPr>
            <w:tcW w:w="1642" w:type="dxa"/>
          </w:tcPr>
          <w:p>
            <w:pPr>
              <w:pStyle w:val="TableParagraph"/>
              <w:spacing w:line="252" w:lineRule="exact" w:before="1"/>
              <w:ind w:right="-15"/>
              <w:jc w:val="right"/>
              <w:rPr>
                <w:sz w:val="21"/>
              </w:rPr>
            </w:pPr>
            <w:r>
              <w:rPr>
                <w:w w:val="100"/>
                <w:sz w:val="21"/>
              </w:rPr>
              <w:t> </w:t>
            </w:r>
          </w:p>
        </w:tc>
        <w:tc>
          <w:tcPr>
            <w:tcW w:w="1771" w:type="dxa"/>
          </w:tcPr>
          <w:p>
            <w:pPr>
              <w:pStyle w:val="TableParagraph"/>
              <w:spacing w:line="252" w:lineRule="exact" w:before="1"/>
              <w:ind w:right="-15"/>
              <w:jc w:val="right"/>
              <w:rPr>
                <w:sz w:val="21"/>
              </w:rPr>
            </w:pPr>
            <w:r>
              <w:rPr>
                <w:w w:val="100"/>
                <w:sz w:val="21"/>
              </w:rPr>
              <w:t> </w:t>
            </w:r>
          </w:p>
        </w:tc>
      </w:tr>
    </w:tbl>
    <w:p>
      <w:pPr>
        <w:pStyle w:val="BodyText"/>
        <w:spacing w:line="242" w:lineRule="auto" w:before="1"/>
        <w:ind w:right="7477"/>
      </w:pPr>
      <w:r>
        <w:rPr/>
        <w:t>本企业的母公司情况的说明无 </w:t>
      </w:r>
    </w:p>
    <w:p>
      <w:pPr>
        <w:pStyle w:val="BodyText"/>
        <w:spacing w:line="242" w:lineRule="auto" w:before="1"/>
        <w:ind w:right="7269"/>
      </w:pPr>
      <w:r>
        <w:rPr/>
        <w:t>本企业最终控制方是鸿海精密其他说明： </w:t>
      </w:r>
    </w:p>
    <w:p>
      <w:pPr>
        <w:pStyle w:val="BodyText"/>
        <w:spacing w:before="1"/>
      </w:pPr>
      <w:r>
        <w:rPr/>
        <w:t>无 </w:t>
      </w:r>
    </w:p>
    <w:p>
      <w:pPr>
        <w:pStyle w:val="BodyText"/>
        <w:spacing w:before="63"/>
      </w:pPr>
      <w:r>
        <w:rPr/>
        <w:t>2、 本企业的子公司情况 </w:t>
      </w:r>
    </w:p>
    <w:p>
      <w:pPr>
        <w:pStyle w:val="BodyText"/>
        <w:spacing w:before="65"/>
      </w:pPr>
      <w:r>
        <w:rPr>
          <w:spacing w:val="11"/>
        </w:rPr>
        <w:t>√适用 □不适用</w:t>
      </w:r>
      <w:r>
        <w:rPr>
          <w:spacing w:val="-3"/>
        </w:rPr>
        <w:t> </w:t>
      </w:r>
      <w:r>
        <w:rPr/>
        <w:t> </w:t>
      </w:r>
    </w:p>
    <w:p>
      <w:pPr>
        <w:pStyle w:val="BodyText"/>
        <w:spacing w:line="297" w:lineRule="auto" w:before="2"/>
        <w:ind w:right="6217"/>
      </w:pPr>
      <w:r>
        <w:rPr/>
        <w:t>本企业子公司的情况详见第十节、附注九</w:t>
      </w:r>
      <w:r>
        <w:rPr>
          <w:spacing w:val="1"/>
        </w:rPr>
        <w:t> </w:t>
      </w:r>
      <w:r>
        <w:rPr/>
        <w:t>3、 本企业合营和联营企业情况</w:t>
      </w:r>
    </w:p>
    <w:p>
      <w:pPr>
        <w:pStyle w:val="BodyText"/>
        <w:spacing w:line="267" w:lineRule="exact"/>
      </w:pPr>
      <w:r>
        <w:rPr>
          <w:spacing w:val="-1"/>
        </w:rPr>
        <w:t>√适用 □不适用</w:t>
      </w:r>
      <w:r>
        <w:rPr>
          <w:spacing w:val="-3"/>
        </w:rPr>
        <w:t> </w:t>
      </w:r>
      <w:r>
        <w:rPr/>
        <w:t> </w:t>
      </w:r>
    </w:p>
    <w:p>
      <w:pPr>
        <w:pStyle w:val="BodyText"/>
        <w:spacing w:before="4"/>
      </w:pPr>
      <w:r>
        <w:rPr>
          <w:spacing w:val="-1"/>
        </w:rPr>
        <w:t>本企业重要的合营或联营企业详见第十节、附注九</w:t>
      </w:r>
      <w:r>
        <w:rPr/>
        <w:t> </w:t>
      </w:r>
    </w:p>
    <w:p>
      <w:pPr>
        <w:pStyle w:val="BodyText"/>
        <w:spacing w:line="244" w:lineRule="auto" w:before="3"/>
        <w:ind w:right="1277" w:firstLine="419"/>
      </w:pPr>
      <w:r>
        <w:rPr/>
        <w:t>本期与本公司发生关联方交易，或前期与本公司发生关联方交易形成余额的其他合营或联营企业情况如下 </w:t>
      </w:r>
    </w:p>
    <w:p>
      <w:pPr>
        <w:pStyle w:val="BodyText"/>
        <w:spacing w:line="242" w:lineRule="auto"/>
        <w:ind w:right="8320"/>
      </w:pPr>
      <w:r>
        <w:rPr/>
        <w:t>□适用 √不适用其他说明 </w:t>
      </w:r>
    </w:p>
    <w:p>
      <w:pPr>
        <w:pStyle w:val="BodyText"/>
      </w:pPr>
      <w:r>
        <w:rPr>
          <w:spacing w:val="-1"/>
        </w:rPr>
        <w:t>□适用 √不适用</w:t>
      </w:r>
      <w:r>
        <w:rPr>
          <w:spacing w:val="-3"/>
        </w:rPr>
        <w:t> </w:t>
      </w:r>
      <w:r>
        <w:rPr/>
        <w:t> </w:t>
      </w:r>
    </w:p>
    <w:p>
      <w:pPr>
        <w:pStyle w:val="BodyText"/>
      </w:pPr>
      <w:r>
        <w:rPr>
          <w:w w:val="100"/>
        </w:rPr>
        <w:t> </w:t>
      </w:r>
    </w:p>
    <w:p>
      <w:pPr>
        <w:pStyle w:val="BodyText"/>
        <w:spacing w:before="63"/>
      </w:pPr>
      <w:r>
        <w:rPr/>
        <w:t>4、 其他关联方情况</w:t>
      </w:r>
    </w:p>
    <w:p>
      <w:pPr>
        <w:pStyle w:val="BodyText"/>
        <w:spacing w:before="63" w:after="4"/>
      </w:pPr>
      <w:r>
        <w:rPr>
          <w:spacing w:val="-1"/>
        </w:rPr>
        <w:t>√适用 □不适用</w:t>
      </w:r>
      <w:r>
        <w:rPr>
          <w:spacing w:val="-3"/>
        </w:rPr>
        <w:t> </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79"/>
        <w:gridCol w:w="4945"/>
      </w:tblGrid>
      <w:tr>
        <w:trPr>
          <w:trHeight w:val="273" w:hRule="atLeast"/>
        </w:trPr>
        <w:tc>
          <w:tcPr>
            <w:tcW w:w="3879" w:type="dxa"/>
          </w:tcPr>
          <w:p>
            <w:pPr>
              <w:pStyle w:val="TableParagraph"/>
              <w:spacing w:line="252" w:lineRule="exact" w:before="1"/>
              <w:ind w:left="1202"/>
              <w:rPr>
                <w:sz w:val="21"/>
              </w:rPr>
            </w:pPr>
            <w:r>
              <w:rPr>
                <w:sz w:val="21"/>
              </w:rPr>
              <w:t>其他关联方名称 </w:t>
            </w:r>
          </w:p>
        </w:tc>
        <w:tc>
          <w:tcPr>
            <w:tcW w:w="4945" w:type="dxa"/>
          </w:tcPr>
          <w:p>
            <w:pPr>
              <w:pStyle w:val="TableParagraph"/>
              <w:spacing w:line="252" w:lineRule="exact" w:before="1"/>
              <w:ind w:left="1315"/>
              <w:rPr>
                <w:sz w:val="21"/>
              </w:rPr>
            </w:pPr>
            <w:r>
              <w:rPr>
                <w:spacing w:val="-1"/>
                <w:sz w:val="21"/>
              </w:rPr>
              <w:t>其他关联方与本企业关系</w:t>
            </w:r>
            <w:r>
              <w:rPr>
                <w:sz w:val="21"/>
              </w:rPr>
              <w:t> </w:t>
            </w:r>
          </w:p>
        </w:tc>
      </w:tr>
      <w:tr>
        <w:trPr>
          <w:trHeight w:val="270" w:hRule="atLeast"/>
        </w:trPr>
        <w:tc>
          <w:tcPr>
            <w:tcW w:w="3879" w:type="dxa"/>
          </w:tcPr>
          <w:p>
            <w:pPr>
              <w:pStyle w:val="TableParagraph"/>
              <w:spacing w:line="250" w:lineRule="exact" w:before="1"/>
              <w:ind w:left="107"/>
              <w:rPr>
                <w:sz w:val="21"/>
              </w:rPr>
            </w:pPr>
            <w:r>
              <w:rPr>
                <w:spacing w:val="-1"/>
                <w:sz w:val="21"/>
              </w:rPr>
              <w:t>中坚公司之子公司</w:t>
            </w:r>
            <w:r>
              <w:rPr>
                <w:sz w:val="21"/>
              </w:rPr>
              <w:t> </w:t>
            </w:r>
          </w:p>
        </w:tc>
        <w:tc>
          <w:tcPr>
            <w:tcW w:w="4945" w:type="dxa"/>
          </w:tcPr>
          <w:p>
            <w:pPr>
              <w:pStyle w:val="TableParagraph"/>
              <w:spacing w:line="250" w:lineRule="exact" w:before="1"/>
              <w:ind w:left="107"/>
              <w:rPr>
                <w:sz w:val="21"/>
              </w:rPr>
            </w:pPr>
            <w:r>
              <w:rPr>
                <w:spacing w:val="-1"/>
                <w:sz w:val="21"/>
              </w:rPr>
              <w:t>母公司的控股子公司</w:t>
            </w:r>
            <w:r>
              <w:rPr>
                <w:sz w:val="21"/>
              </w:rPr>
              <w:t> </w:t>
            </w:r>
          </w:p>
        </w:tc>
      </w:tr>
      <w:tr>
        <w:trPr>
          <w:trHeight w:val="273" w:hRule="atLeast"/>
        </w:trPr>
        <w:tc>
          <w:tcPr>
            <w:tcW w:w="3879" w:type="dxa"/>
          </w:tcPr>
          <w:p>
            <w:pPr>
              <w:pStyle w:val="TableParagraph"/>
              <w:spacing w:line="252" w:lineRule="exact" w:before="1"/>
              <w:ind w:left="107"/>
              <w:rPr>
                <w:sz w:val="21"/>
              </w:rPr>
            </w:pPr>
            <w:r>
              <w:rPr>
                <w:spacing w:val="-1"/>
                <w:sz w:val="21"/>
              </w:rPr>
              <w:t>中坚公司之合</w:t>
            </w:r>
            <w:r>
              <w:rPr>
                <w:sz w:val="21"/>
              </w:rPr>
              <w:t>（联）营企业 </w:t>
            </w:r>
          </w:p>
        </w:tc>
        <w:tc>
          <w:tcPr>
            <w:tcW w:w="4945" w:type="dxa"/>
          </w:tcPr>
          <w:p>
            <w:pPr>
              <w:pStyle w:val="TableParagraph"/>
              <w:spacing w:line="252" w:lineRule="exact" w:before="1"/>
              <w:ind w:left="107"/>
              <w:rPr>
                <w:sz w:val="21"/>
              </w:rPr>
            </w:pPr>
            <w:r>
              <w:rPr>
                <w:sz w:val="21"/>
              </w:rPr>
              <w:t>其他 </w:t>
            </w:r>
          </w:p>
        </w:tc>
      </w:tr>
      <w:tr>
        <w:trPr>
          <w:trHeight w:val="270" w:hRule="atLeast"/>
        </w:trPr>
        <w:tc>
          <w:tcPr>
            <w:tcW w:w="3879" w:type="dxa"/>
          </w:tcPr>
          <w:p>
            <w:pPr>
              <w:pStyle w:val="TableParagraph"/>
              <w:spacing w:line="250" w:lineRule="exact" w:before="1"/>
              <w:ind w:left="107"/>
              <w:rPr>
                <w:sz w:val="21"/>
              </w:rPr>
            </w:pPr>
            <w:r>
              <w:rPr>
                <w:spacing w:val="-10"/>
                <w:sz w:val="21"/>
              </w:rPr>
              <w:t>持有本公司 </w:t>
            </w:r>
            <w:r>
              <w:rPr>
                <w:spacing w:val="-1"/>
                <w:sz w:val="21"/>
              </w:rPr>
              <w:t>5%以上股份的股东</w:t>
            </w:r>
            <w:r>
              <w:rPr>
                <w:sz w:val="21"/>
              </w:rPr>
              <w:t> </w:t>
            </w:r>
          </w:p>
        </w:tc>
        <w:tc>
          <w:tcPr>
            <w:tcW w:w="4945" w:type="dxa"/>
          </w:tcPr>
          <w:p>
            <w:pPr>
              <w:pStyle w:val="TableParagraph"/>
              <w:spacing w:line="250" w:lineRule="exact" w:before="1"/>
              <w:ind w:left="107"/>
              <w:rPr>
                <w:sz w:val="21"/>
              </w:rPr>
            </w:pPr>
            <w:r>
              <w:rPr>
                <w:spacing w:val="-1"/>
                <w:sz w:val="21"/>
              </w:rPr>
              <w:t>参股股东</w:t>
            </w:r>
            <w:r>
              <w:rPr>
                <w:sz w:val="21"/>
              </w:rPr>
              <w:t> </w:t>
            </w:r>
          </w:p>
        </w:tc>
      </w:tr>
      <w:tr>
        <w:trPr>
          <w:trHeight w:val="273" w:hRule="atLeast"/>
        </w:trPr>
        <w:tc>
          <w:tcPr>
            <w:tcW w:w="3879" w:type="dxa"/>
          </w:tcPr>
          <w:p>
            <w:pPr>
              <w:pStyle w:val="TableParagraph"/>
              <w:spacing w:line="250" w:lineRule="exact" w:before="3"/>
              <w:ind w:left="107"/>
              <w:rPr>
                <w:sz w:val="21"/>
              </w:rPr>
            </w:pPr>
            <w:r>
              <w:rPr>
                <w:spacing w:val="-1"/>
                <w:sz w:val="21"/>
              </w:rPr>
              <w:t>本集团之合(联)营企业</w:t>
            </w:r>
            <w:r>
              <w:rPr>
                <w:sz w:val="21"/>
              </w:rPr>
              <w:t> </w:t>
            </w:r>
          </w:p>
        </w:tc>
        <w:tc>
          <w:tcPr>
            <w:tcW w:w="4945" w:type="dxa"/>
          </w:tcPr>
          <w:p>
            <w:pPr>
              <w:pStyle w:val="TableParagraph"/>
              <w:spacing w:line="250" w:lineRule="exact" w:before="3"/>
              <w:ind w:left="107"/>
              <w:rPr>
                <w:sz w:val="21"/>
              </w:rPr>
            </w:pPr>
            <w:r>
              <w:rPr>
                <w:sz w:val="21"/>
              </w:rPr>
              <w:t>其他 </w:t>
            </w:r>
          </w:p>
        </w:tc>
      </w:tr>
      <w:tr>
        <w:trPr>
          <w:trHeight w:val="273" w:hRule="atLeast"/>
        </w:trPr>
        <w:tc>
          <w:tcPr>
            <w:tcW w:w="3879" w:type="dxa"/>
          </w:tcPr>
          <w:p>
            <w:pPr>
              <w:pStyle w:val="TableParagraph"/>
              <w:spacing w:line="252" w:lineRule="exact" w:before="1"/>
              <w:ind w:left="107"/>
              <w:rPr>
                <w:sz w:val="21"/>
              </w:rPr>
            </w:pPr>
            <w:r>
              <w:rPr>
                <w:spacing w:val="-1"/>
                <w:sz w:val="21"/>
              </w:rPr>
              <w:t>鸿海精密之子公司</w:t>
            </w:r>
            <w:r>
              <w:rPr>
                <w:sz w:val="21"/>
              </w:rPr>
              <w:t> </w:t>
            </w:r>
          </w:p>
        </w:tc>
        <w:tc>
          <w:tcPr>
            <w:tcW w:w="4945" w:type="dxa"/>
          </w:tcPr>
          <w:p>
            <w:pPr>
              <w:pStyle w:val="TableParagraph"/>
              <w:spacing w:line="252" w:lineRule="exact" w:before="1"/>
              <w:ind w:left="107"/>
              <w:rPr>
                <w:sz w:val="21"/>
              </w:rPr>
            </w:pPr>
            <w:r>
              <w:rPr>
                <w:sz w:val="21"/>
              </w:rPr>
              <w:t>其他 </w:t>
            </w:r>
          </w:p>
        </w:tc>
      </w:tr>
      <w:tr>
        <w:trPr>
          <w:trHeight w:val="270" w:hRule="atLeast"/>
        </w:trPr>
        <w:tc>
          <w:tcPr>
            <w:tcW w:w="3879" w:type="dxa"/>
          </w:tcPr>
          <w:p>
            <w:pPr>
              <w:pStyle w:val="TableParagraph"/>
              <w:spacing w:line="250" w:lineRule="exact" w:before="1"/>
              <w:ind w:left="107"/>
              <w:rPr>
                <w:sz w:val="21"/>
              </w:rPr>
            </w:pPr>
            <w:r>
              <w:rPr>
                <w:spacing w:val="-1"/>
                <w:sz w:val="21"/>
              </w:rPr>
              <w:t>鸿海精密之合(联)营企业</w:t>
            </w:r>
            <w:r>
              <w:rPr>
                <w:sz w:val="21"/>
              </w:rPr>
              <w:t> </w:t>
            </w:r>
          </w:p>
        </w:tc>
        <w:tc>
          <w:tcPr>
            <w:tcW w:w="4945" w:type="dxa"/>
          </w:tcPr>
          <w:p>
            <w:pPr>
              <w:pStyle w:val="TableParagraph"/>
              <w:spacing w:line="250" w:lineRule="exact" w:before="1"/>
              <w:ind w:left="107"/>
              <w:rPr>
                <w:sz w:val="21"/>
              </w:rPr>
            </w:pPr>
            <w:r>
              <w:rPr>
                <w:sz w:val="21"/>
              </w:rPr>
              <w:t>其他 </w:t>
            </w:r>
          </w:p>
        </w:tc>
      </w:tr>
      <w:tr>
        <w:trPr>
          <w:trHeight w:val="273" w:hRule="atLeast"/>
        </w:trPr>
        <w:tc>
          <w:tcPr>
            <w:tcW w:w="3879" w:type="dxa"/>
          </w:tcPr>
          <w:p>
            <w:pPr>
              <w:pStyle w:val="TableParagraph"/>
              <w:spacing w:line="250" w:lineRule="exact" w:before="3"/>
              <w:ind w:left="107"/>
              <w:rPr>
                <w:sz w:val="21"/>
              </w:rPr>
            </w:pPr>
            <w:r>
              <w:rPr>
                <w:sz w:val="21"/>
              </w:rPr>
              <w:t>其他关联方 </w:t>
            </w:r>
          </w:p>
        </w:tc>
        <w:tc>
          <w:tcPr>
            <w:tcW w:w="4945" w:type="dxa"/>
          </w:tcPr>
          <w:p>
            <w:pPr>
              <w:pStyle w:val="TableParagraph"/>
              <w:spacing w:line="250" w:lineRule="exact" w:before="3"/>
              <w:ind w:left="107"/>
              <w:rPr>
                <w:sz w:val="21"/>
              </w:rPr>
            </w:pPr>
            <w:r>
              <w:rPr>
                <w:sz w:val="21"/>
              </w:rPr>
              <w:t>其他 </w:t>
            </w:r>
          </w:p>
        </w:tc>
      </w:tr>
    </w:tbl>
    <w:p>
      <w:pPr>
        <w:pStyle w:val="BodyText"/>
        <w:spacing w:before="1"/>
      </w:pPr>
      <w:r>
        <w:rPr>
          <w:w w:val="100"/>
        </w:rPr>
        <w:t> </w:t>
      </w:r>
    </w:p>
    <w:p>
      <w:pPr>
        <w:pStyle w:val="BodyText"/>
        <w:spacing w:before="4"/>
      </w:pPr>
      <w:r>
        <w:rPr>
          <w:spacing w:val="-1"/>
        </w:rPr>
        <w:t>其他说明</w:t>
      </w:r>
      <w:r>
        <w:rPr/>
        <w:t> </w:t>
      </w:r>
    </w:p>
    <w:p>
      <w:pPr>
        <w:pStyle w:val="BodyText"/>
        <w:spacing w:line="242" w:lineRule="auto" w:before="3"/>
        <w:ind w:right="1277" w:firstLine="419"/>
      </w:pPr>
      <w:r>
        <w:rPr/>
        <w:t>在报告期内，存在关联交易但不存在控制关系的关联方包含以下类别：中坚公司之子公司、</w:t>
      </w:r>
      <w:r>
        <w:rPr>
          <w:spacing w:val="-4"/>
        </w:rPr>
        <w:t>中坚公司之合(联)营企业、持有本公司 </w:t>
      </w:r>
      <w:r>
        <w:rPr/>
        <w:t>5%以上股份的股东、本集团之联营企业、鸿海精密之子公司、鸿海精密之合(联)营企业，和其他关联方。 </w:t>
      </w:r>
    </w:p>
    <w:p>
      <w:pPr>
        <w:pStyle w:val="BodyText"/>
        <w:spacing w:before="3"/>
        <w:ind w:left="738"/>
      </w:pPr>
      <w:r>
        <w:rPr>
          <w:w w:val="100"/>
        </w:rPr>
        <w:t> </w:t>
      </w:r>
    </w:p>
    <w:p>
      <w:pPr>
        <w:pStyle w:val="BodyText"/>
        <w:spacing w:line="242" w:lineRule="auto" w:before="2"/>
        <w:ind w:right="1277" w:firstLine="419"/>
      </w:pPr>
      <w:r>
        <w:rPr/>
        <w:t>其他关联方包括：由关联自然人直接或者间接控制的，或者由其担任董事、高级管理人员的</w:t>
      </w:r>
      <w:r>
        <w:rPr>
          <w:spacing w:val="-4"/>
        </w:rPr>
        <w:t>法人或其他组织。关联自然人包括间接持有本公司 </w:t>
      </w:r>
      <w:r>
        <w:rPr/>
        <w:t>5%以上股份的自然人及其关系密切的家庭成员、本公司董事、监事和高级管理人员、本公司控股股东的董事、监事和高级管理人员，以及鸿海精密之董事、监事和高级管理人员。 </w:t>
      </w:r>
    </w:p>
    <w:p>
      <w:pPr>
        <w:pStyle w:val="BodyText"/>
        <w:spacing w:before="3"/>
      </w:pPr>
      <w:r>
        <w:rPr>
          <w:w w:val="100"/>
        </w:rPr>
        <w:t> </w:t>
      </w:r>
    </w:p>
    <w:p>
      <w:pPr>
        <w:pStyle w:val="BodyText"/>
        <w:spacing w:before="62"/>
      </w:pPr>
      <w:r>
        <w:rPr/>
        <w:t>5、 关联交易情况</w:t>
      </w:r>
    </w:p>
    <w:p>
      <w:pPr>
        <w:pStyle w:val="ListParagraph"/>
        <w:numPr>
          <w:ilvl w:val="0"/>
          <w:numId w:val="86"/>
        </w:numPr>
        <w:tabs>
          <w:tab w:pos="743" w:val="left" w:leader="none"/>
        </w:tabs>
        <w:spacing w:line="295" w:lineRule="auto" w:before="65" w:after="0"/>
        <w:ind w:left="318" w:right="5992" w:firstLine="0"/>
        <w:jc w:val="left"/>
        <w:rPr>
          <w:sz w:val="21"/>
        </w:rPr>
      </w:pPr>
      <w:r>
        <w:rPr>
          <w:sz w:val="21"/>
        </w:rPr>
        <w:t>购销商品、提供和接受劳务的关联交易采购商品/接受劳务情况表 </w:t>
      </w:r>
    </w:p>
    <w:p>
      <w:pPr>
        <w:spacing w:after="0" w:line="295" w:lineRule="auto"/>
        <w:jc w:val="left"/>
        <w:rPr>
          <w:sz w:val="21"/>
        </w:rPr>
        <w:sectPr>
          <w:pgSz w:w="11910" w:h="16840"/>
          <w:pgMar w:header="882" w:footer="1184" w:top="1120" w:bottom="1380" w:left="1480" w:right="0"/>
        </w:sectPr>
      </w:pPr>
    </w:p>
    <w:p>
      <w:pPr>
        <w:pStyle w:val="BodyText"/>
        <w:spacing w:before="7"/>
        <w:ind w:left="0"/>
        <w:rPr>
          <w:sz w:val="25"/>
        </w:rPr>
      </w:pPr>
    </w:p>
    <w:p>
      <w:pPr>
        <w:pStyle w:val="BodyText"/>
        <w:spacing w:before="72"/>
      </w:pPr>
      <w:r>
        <w:rPr>
          <w:spacing w:val="-1"/>
        </w:rPr>
        <w:t>√适用 □不适用</w:t>
      </w:r>
      <w:r>
        <w:rPr>
          <w:spacing w:val="-3"/>
        </w:rPr>
        <w:t> </w:t>
      </w:r>
      <w:r>
        <w:rPr/>
        <w:t> </w:t>
      </w:r>
    </w:p>
    <w:p>
      <w:pPr>
        <w:pStyle w:val="BodyText"/>
        <w:spacing w:before="5"/>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85"/>
        <w:gridCol w:w="2359"/>
        <w:gridCol w:w="2131"/>
        <w:gridCol w:w="2048"/>
      </w:tblGrid>
      <w:tr>
        <w:trPr>
          <w:trHeight w:val="294" w:hRule="atLeast"/>
        </w:trPr>
        <w:tc>
          <w:tcPr>
            <w:tcW w:w="2285" w:type="dxa"/>
          </w:tcPr>
          <w:p>
            <w:pPr>
              <w:pStyle w:val="TableParagraph"/>
              <w:spacing w:line="262" w:lineRule="exact" w:before="13"/>
              <w:ind w:left="825"/>
              <w:rPr>
                <w:sz w:val="21"/>
              </w:rPr>
            </w:pPr>
            <w:r>
              <w:rPr>
                <w:sz w:val="21"/>
              </w:rPr>
              <w:t>关联方 </w:t>
            </w:r>
          </w:p>
        </w:tc>
        <w:tc>
          <w:tcPr>
            <w:tcW w:w="2359" w:type="dxa"/>
          </w:tcPr>
          <w:p>
            <w:pPr>
              <w:pStyle w:val="TableParagraph"/>
              <w:spacing w:line="262" w:lineRule="exact" w:before="13"/>
              <w:ind w:left="547"/>
              <w:rPr>
                <w:sz w:val="21"/>
              </w:rPr>
            </w:pPr>
            <w:r>
              <w:rPr>
                <w:spacing w:val="-1"/>
                <w:sz w:val="21"/>
              </w:rPr>
              <w:t>关联交易内容</w:t>
            </w:r>
            <w:r>
              <w:rPr>
                <w:sz w:val="21"/>
              </w:rPr>
              <w:t> </w:t>
            </w:r>
          </w:p>
        </w:tc>
        <w:tc>
          <w:tcPr>
            <w:tcW w:w="2131" w:type="dxa"/>
          </w:tcPr>
          <w:p>
            <w:pPr>
              <w:pStyle w:val="TableParagraph"/>
              <w:spacing w:line="262" w:lineRule="exact" w:before="13"/>
              <w:ind w:left="538"/>
              <w:rPr>
                <w:sz w:val="21"/>
              </w:rPr>
            </w:pPr>
            <w:r>
              <w:rPr>
                <w:sz w:val="21"/>
              </w:rPr>
              <w:t>本期发生额 </w:t>
            </w:r>
          </w:p>
        </w:tc>
        <w:tc>
          <w:tcPr>
            <w:tcW w:w="2048" w:type="dxa"/>
          </w:tcPr>
          <w:p>
            <w:pPr>
              <w:pStyle w:val="TableParagraph"/>
              <w:spacing w:line="262" w:lineRule="exact" w:before="13"/>
              <w:ind w:left="498"/>
              <w:rPr>
                <w:sz w:val="21"/>
              </w:rPr>
            </w:pPr>
            <w:r>
              <w:rPr>
                <w:sz w:val="21"/>
              </w:rPr>
              <w:t>上期发生额 </w:t>
            </w:r>
          </w:p>
        </w:tc>
      </w:tr>
      <w:tr>
        <w:trPr>
          <w:trHeight w:val="273" w:hRule="atLeast"/>
        </w:trPr>
        <w:tc>
          <w:tcPr>
            <w:tcW w:w="2285" w:type="dxa"/>
          </w:tcPr>
          <w:p>
            <w:pPr>
              <w:pStyle w:val="TableParagraph"/>
              <w:spacing w:line="250" w:lineRule="exact" w:before="3"/>
              <w:ind w:left="107"/>
              <w:rPr>
                <w:sz w:val="21"/>
              </w:rPr>
            </w:pPr>
            <w:r>
              <w:rPr>
                <w:spacing w:val="-1"/>
                <w:sz w:val="21"/>
              </w:rPr>
              <w:t>鸿海精密及其子公司</w:t>
            </w:r>
            <w:r>
              <w:rPr>
                <w:sz w:val="21"/>
              </w:rPr>
              <w:t> </w:t>
            </w:r>
          </w:p>
        </w:tc>
        <w:tc>
          <w:tcPr>
            <w:tcW w:w="2359" w:type="dxa"/>
          </w:tcPr>
          <w:p>
            <w:pPr>
              <w:pStyle w:val="TableParagraph"/>
              <w:spacing w:line="250" w:lineRule="exact" w:before="3"/>
              <w:ind w:left="105"/>
              <w:rPr>
                <w:sz w:val="21"/>
              </w:rPr>
            </w:pPr>
            <w:r>
              <w:rPr>
                <w:spacing w:val="-1"/>
                <w:sz w:val="21"/>
              </w:rPr>
              <w:t>采购货物</w:t>
            </w:r>
            <w:r>
              <w:rPr>
                <w:sz w:val="21"/>
              </w:rPr>
              <w:t> </w:t>
            </w:r>
          </w:p>
        </w:tc>
        <w:tc>
          <w:tcPr>
            <w:tcW w:w="2131" w:type="dxa"/>
          </w:tcPr>
          <w:p>
            <w:pPr>
              <w:pStyle w:val="TableParagraph"/>
              <w:spacing w:line="250" w:lineRule="exact" w:before="3"/>
              <w:ind w:right="-29"/>
              <w:jc w:val="right"/>
              <w:rPr>
                <w:sz w:val="24"/>
              </w:rPr>
            </w:pPr>
            <w:r>
              <w:rPr>
                <w:sz w:val="21"/>
              </w:rPr>
              <w:t>10,094,804</w:t>
            </w:r>
            <w:r>
              <w:rPr>
                <w:sz w:val="24"/>
              </w:rPr>
              <w:t> </w:t>
            </w:r>
          </w:p>
        </w:tc>
        <w:tc>
          <w:tcPr>
            <w:tcW w:w="2048" w:type="dxa"/>
          </w:tcPr>
          <w:p>
            <w:pPr>
              <w:pStyle w:val="TableParagraph"/>
              <w:spacing w:line="250" w:lineRule="exact" w:before="3"/>
              <w:ind w:right="-15"/>
              <w:jc w:val="right"/>
              <w:rPr>
                <w:sz w:val="21"/>
              </w:rPr>
            </w:pPr>
            <w:r>
              <w:rPr>
                <w:sz w:val="21"/>
              </w:rPr>
              <w:t>9,085,343 </w:t>
            </w:r>
          </w:p>
        </w:tc>
      </w:tr>
      <w:tr>
        <w:trPr>
          <w:trHeight w:val="273" w:hRule="atLeast"/>
        </w:trPr>
        <w:tc>
          <w:tcPr>
            <w:tcW w:w="2285" w:type="dxa"/>
          </w:tcPr>
          <w:p>
            <w:pPr>
              <w:pStyle w:val="TableParagraph"/>
              <w:spacing w:line="252" w:lineRule="exact" w:before="1"/>
              <w:ind w:left="107"/>
              <w:rPr>
                <w:sz w:val="21"/>
              </w:rPr>
            </w:pPr>
            <w:r>
              <w:rPr>
                <w:spacing w:val="-1"/>
                <w:sz w:val="21"/>
              </w:rPr>
              <w:t>鸿海精密及其子公司</w:t>
            </w:r>
            <w:r>
              <w:rPr>
                <w:sz w:val="21"/>
              </w:rPr>
              <w:t> </w:t>
            </w:r>
          </w:p>
        </w:tc>
        <w:tc>
          <w:tcPr>
            <w:tcW w:w="2359" w:type="dxa"/>
          </w:tcPr>
          <w:p>
            <w:pPr>
              <w:pStyle w:val="TableParagraph"/>
              <w:spacing w:line="252" w:lineRule="exact" w:before="1"/>
              <w:ind w:left="105"/>
              <w:rPr>
                <w:sz w:val="21"/>
              </w:rPr>
            </w:pPr>
            <w:r>
              <w:rPr>
                <w:spacing w:val="-1"/>
                <w:sz w:val="21"/>
              </w:rPr>
              <w:t>接受劳务及服务</w:t>
            </w:r>
            <w:r>
              <w:rPr>
                <w:sz w:val="21"/>
              </w:rPr>
              <w:t> </w:t>
            </w:r>
          </w:p>
        </w:tc>
        <w:tc>
          <w:tcPr>
            <w:tcW w:w="2131" w:type="dxa"/>
          </w:tcPr>
          <w:p>
            <w:pPr>
              <w:pStyle w:val="TableParagraph"/>
              <w:spacing w:line="252" w:lineRule="exact" w:before="1"/>
              <w:ind w:right="-15"/>
              <w:jc w:val="right"/>
              <w:rPr>
                <w:sz w:val="21"/>
              </w:rPr>
            </w:pPr>
            <w:r>
              <w:rPr>
                <w:sz w:val="21"/>
              </w:rPr>
              <w:t>6,122,787 </w:t>
            </w:r>
          </w:p>
        </w:tc>
        <w:tc>
          <w:tcPr>
            <w:tcW w:w="2048" w:type="dxa"/>
          </w:tcPr>
          <w:p>
            <w:pPr>
              <w:pStyle w:val="TableParagraph"/>
              <w:spacing w:line="252" w:lineRule="exact" w:before="1"/>
              <w:ind w:right="-15"/>
              <w:jc w:val="right"/>
              <w:rPr>
                <w:sz w:val="21"/>
              </w:rPr>
            </w:pPr>
            <w:r>
              <w:rPr>
                <w:sz w:val="21"/>
              </w:rPr>
              <w:t>5,015,447 </w:t>
            </w:r>
          </w:p>
        </w:tc>
      </w:tr>
      <w:tr>
        <w:trPr>
          <w:trHeight w:val="544" w:hRule="atLeast"/>
        </w:trPr>
        <w:tc>
          <w:tcPr>
            <w:tcW w:w="2285" w:type="dxa"/>
          </w:tcPr>
          <w:p>
            <w:pPr>
              <w:pStyle w:val="TableParagraph"/>
              <w:spacing w:before="1"/>
              <w:ind w:left="107"/>
              <w:rPr>
                <w:sz w:val="21"/>
              </w:rPr>
            </w:pPr>
            <w:r>
              <w:rPr>
                <w:sz w:val="21"/>
              </w:rPr>
              <w:t>鸿海精密之合(联)营</w:t>
            </w:r>
          </w:p>
          <w:p>
            <w:pPr>
              <w:pStyle w:val="TableParagraph"/>
              <w:spacing w:line="252" w:lineRule="exact" w:before="2"/>
              <w:ind w:left="107"/>
              <w:rPr>
                <w:sz w:val="21"/>
              </w:rPr>
            </w:pPr>
            <w:r>
              <w:rPr>
                <w:sz w:val="21"/>
              </w:rPr>
              <w:t>企业 </w:t>
            </w:r>
          </w:p>
        </w:tc>
        <w:tc>
          <w:tcPr>
            <w:tcW w:w="2359" w:type="dxa"/>
          </w:tcPr>
          <w:p>
            <w:pPr>
              <w:pStyle w:val="TableParagraph"/>
              <w:spacing w:before="1"/>
              <w:ind w:left="105"/>
              <w:rPr>
                <w:sz w:val="21"/>
              </w:rPr>
            </w:pPr>
            <w:r>
              <w:rPr>
                <w:spacing w:val="-1"/>
                <w:sz w:val="21"/>
              </w:rPr>
              <w:t>采购货物</w:t>
            </w:r>
            <w:r>
              <w:rPr>
                <w:sz w:val="21"/>
              </w:rPr>
              <w:t> </w:t>
            </w:r>
          </w:p>
        </w:tc>
        <w:tc>
          <w:tcPr>
            <w:tcW w:w="2131" w:type="dxa"/>
          </w:tcPr>
          <w:p>
            <w:pPr>
              <w:pStyle w:val="TableParagraph"/>
              <w:spacing w:before="137"/>
              <w:ind w:right="-15"/>
              <w:jc w:val="right"/>
              <w:rPr>
                <w:sz w:val="21"/>
              </w:rPr>
            </w:pPr>
            <w:r>
              <w:rPr>
                <w:sz w:val="21"/>
              </w:rPr>
              <w:t>1,981,419 </w:t>
            </w:r>
          </w:p>
        </w:tc>
        <w:tc>
          <w:tcPr>
            <w:tcW w:w="2048" w:type="dxa"/>
          </w:tcPr>
          <w:p>
            <w:pPr>
              <w:pStyle w:val="TableParagraph"/>
              <w:spacing w:before="1"/>
              <w:ind w:right="-15"/>
              <w:jc w:val="right"/>
              <w:rPr>
                <w:sz w:val="21"/>
              </w:rPr>
            </w:pPr>
            <w:r>
              <w:rPr>
                <w:sz w:val="21"/>
              </w:rPr>
              <w:t>2,964,166 </w:t>
            </w:r>
          </w:p>
        </w:tc>
      </w:tr>
      <w:tr>
        <w:trPr>
          <w:trHeight w:val="273" w:hRule="atLeast"/>
        </w:trPr>
        <w:tc>
          <w:tcPr>
            <w:tcW w:w="2285" w:type="dxa"/>
          </w:tcPr>
          <w:p>
            <w:pPr>
              <w:pStyle w:val="TableParagraph"/>
              <w:spacing w:line="252" w:lineRule="exact" w:before="1"/>
              <w:ind w:left="107"/>
              <w:rPr>
                <w:sz w:val="21"/>
              </w:rPr>
            </w:pPr>
            <w:r>
              <w:rPr>
                <w:spacing w:val="-1"/>
                <w:sz w:val="21"/>
              </w:rPr>
              <w:t>中坚公司之子公司</w:t>
            </w:r>
            <w:r>
              <w:rPr>
                <w:sz w:val="21"/>
              </w:rPr>
              <w:t> </w:t>
            </w:r>
          </w:p>
        </w:tc>
        <w:tc>
          <w:tcPr>
            <w:tcW w:w="2359" w:type="dxa"/>
          </w:tcPr>
          <w:p>
            <w:pPr>
              <w:pStyle w:val="TableParagraph"/>
              <w:spacing w:line="252" w:lineRule="exact" w:before="1"/>
              <w:ind w:left="105"/>
              <w:rPr>
                <w:sz w:val="21"/>
              </w:rPr>
            </w:pPr>
            <w:r>
              <w:rPr>
                <w:spacing w:val="-1"/>
                <w:sz w:val="21"/>
              </w:rPr>
              <w:t>采购货物</w:t>
            </w:r>
            <w:r>
              <w:rPr>
                <w:sz w:val="21"/>
              </w:rPr>
              <w:t> </w:t>
            </w:r>
          </w:p>
        </w:tc>
        <w:tc>
          <w:tcPr>
            <w:tcW w:w="2131" w:type="dxa"/>
          </w:tcPr>
          <w:p>
            <w:pPr>
              <w:pStyle w:val="TableParagraph"/>
              <w:spacing w:line="252" w:lineRule="exact" w:before="1"/>
              <w:ind w:right="-15"/>
              <w:jc w:val="right"/>
              <w:rPr>
                <w:sz w:val="21"/>
              </w:rPr>
            </w:pPr>
            <w:r>
              <w:rPr>
                <w:sz w:val="21"/>
              </w:rPr>
              <w:t>363,370 </w:t>
            </w:r>
          </w:p>
        </w:tc>
        <w:tc>
          <w:tcPr>
            <w:tcW w:w="2048" w:type="dxa"/>
          </w:tcPr>
          <w:p>
            <w:pPr>
              <w:pStyle w:val="TableParagraph"/>
              <w:spacing w:line="252" w:lineRule="exact" w:before="1"/>
              <w:ind w:right="-15"/>
              <w:jc w:val="right"/>
              <w:rPr>
                <w:sz w:val="21"/>
              </w:rPr>
            </w:pPr>
            <w:r>
              <w:rPr>
                <w:sz w:val="21"/>
              </w:rPr>
              <w:t>769,399 </w:t>
            </w:r>
          </w:p>
        </w:tc>
      </w:tr>
      <w:tr>
        <w:trPr>
          <w:trHeight w:val="270" w:hRule="atLeast"/>
        </w:trPr>
        <w:tc>
          <w:tcPr>
            <w:tcW w:w="2285" w:type="dxa"/>
          </w:tcPr>
          <w:p>
            <w:pPr>
              <w:pStyle w:val="TableParagraph"/>
              <w:spacing w:line="250" w:lineRule="exact" w:before="1"/>
              <w:ind w:left="107"/>
              <w:rPr>
                <w:sz w:val="21"/>
              </w:rPr>
            </w:pPr>
            <w:r>
              <w:rPr>
                <w:spacing w:val="-1"/>
                <w:sz w:val="21"/>
              </w:rPr>
              <w:t>中坚公司之子公司</w:t>
            </w:r>
            <w:r>
              <w:rPr>
                <w:sz w:val="21"/>
              </w:rPr>
              <w:t> </w:t>
            </w:r>
          </w:p>
        </w:tc>
        <w:tc>
          <w:tcPr>
            <w:tcW w:w="2359" w:type="dxa"/>
          </w:tcPr>
          <w:p>
            <w:pPr>
              <w:pStyle w:val="TableParagraph"/>
              <w:spacing w:line="250" w:lineRule="exact" w:before="1"/>
              <w:ind w:left="105"/>
              <w:rPr>
                <w:sz w:val="21"/>
              </w:rPr>
            </w:pPr>
            <w:r>
              <w:rPr>
                <w:spacing w:val="-1"/>
                <w:sz w:val="21"/>
              </w:rPr>
              <w:t>接受劳务及服务</w:t>
            </w:r>
            <w:r>
              <w:rPr>
                <w:sz w:val="21"/>
              </w:rPr>
              <w:t> </w:t>
            </w:r>
          </w:p>
        </w:tc>
        <w:tc>
          <w:tcPr>
            <w:tcW w:w="2131" w:type="dxa"/>
          </w:tcPr>
          <w:p>
            <w:pPr>
              <w:pStyle w:val="TableParagraph"/>
              <w:spacing w:line="250" w:lineRule="exact" w:before="1"/>
              <w:ind w:right="-15"/>
              <w:jc w:val="right"/>
              <w:rPr>
                <w:sz w:val="21"/>
              </w:rPr>
            </w:pPr>
            <w:r>
              <w:rPr>
                <w:sz w:val="21"/>
              </w:rPr>
              <w:t>213,740 </w:t>
            </w:r>
          </w:p>
        </w:tc>
        <w:tc>
          <w:tcPr>
            <w:tcW w:w="2048" w:type="dxa"/>
          </w:tcPr>
          <w:p>
            <w:pPr>
              <w:pStyle w:val="TableParagraph"/>
              <w:spacing w:line="250" w:lineRule="exact" w:before="1"/>
              <w:ind w:right="-15"/>
              <w:jc w:val="right"/>
              <w:rPr>
                <w:sz w:val="21"/>
              </w:rPr>
            </w:pPr>
            <w:r>
              <w:rPr>
                <w:sz w:val="21"/>
              </w:rPr>
              <w:t>461,595 </w:t>
            </w:r>
          </w:p>
        </w:tc>
      </w:tr>
      <w:tr>
        <w:trPr>
          <w:trHeight w:val="273" w:hRule="atLeast"/>
        </w:trPr>
        <w:tc>
          <w:tcPr>
            <w:tcW w:w="2285" w:type="dxa"/>
          </w:tcPr>
          <w:p>
            <w:pPr>
              <w:pStyle w:val="TableParagraph"/>
              <w:spacing w:line="252" w:lineRule="exact" w:before="1"/>
              <w:ind w:left="107"/>
              <w:rPr>
                <w:sz w:val="21"/>
              </w:rPr>
            </w:pPr>
            <w:r>
              <w:rPr>
                <w:sz w:val="21"/>
              </w:rPr>
              <w:t>其他关联方 </w:t>
            </w:r>
          </w:p>
        </w:tc>
        <w:tc>
          <w:tcPr>
            <w:tcW w:w="2359" w:type="dxa"/>
          </w:tcPr>
          <w:p>
            <w:pPr>
              <w:pStyle w:val="TableParagraph"/>
              <w:spacing w:line="252" w:lineRule="exact" w:before="1"/>
              <w:ind w:left="105"/>
              <w:rPr>
                <w:sz w:val="21"/>
              </w:rPr>
            </w:pPr>
            <w:r>
              <w:rPr>
                <w:spacing w:val="-1"/>
                <w:sz w:val="21"/>
              </w:rPr>
              <w:t>采购货物</w:t>
            </w:r>
            <w:r>
              <w:rPr>
                <w:sz w:val="21"/>
              </w:rPr>
              <w:t> </w:t>
            </w:r>
          </w:p>
        </w:tc>
        <w:tc>
          <w:tcPr>
            <w:tcW w:w="2131" w:type="dxa"/>
          </w:tcPr>
          <w:p>
            <w:pPr>
              <w:pStyle w:val="TableParagraph"/>
              <w:spacing w:line="252" w:lineRule="exact" w:before="1"/>
              <w:ind w:right="-15"/>
              <w:jc w:val="right"/>
              <w:rPr>
                <w:sz w:val="21"/>
              </w:rPr>
            </w:pPr>
            <w:r>
              <w:rPr>
                <w:sz w:val="21"/>
              </w:rPr>
              <w:t>120,300 </w:t>
            </w:r>
          </w:p>
        </w:tc>
        <w:tc>
          <w:tcPr>
            <w:tcW w:w="2048" w:type="dxa"/>
          </w:tcPr>
          <w:p>
            <w:pPr>
              <w:pStyle w:val="TableParagraph"/>
              <w:spacing w:line="252" w:lineRule="exact" w:before="1"/>
              <w:ind w:right="-15"/>
              <w:jc w:val="right"/>
              <w:rPr>
                <w:sz w:val="21"/>
              </w:rPr>
            </w:pPr>
            <w:r>
              <w:rPr>
                <w:sz w:val="21"/>
              </w:rPr>
              <w:t>134,370 </w:t>
            </w:r>
          </w:p>
        </w:tc>
      </w:tr>
      <w:tr>
        <w:trPr>
          <w:trHeight w:val="544" w:hRule="atLeast"/>
        </w:trPr>
        <w:tc>
          <w:tcPr>
            <w:tcW w:w="2285" w:type="dxa"/>
          </w:tcPr>
          <w:p>
            <w:pPr>
              <w:pStyle w:val="TableParagraph"/>
              <w:spacing w:before="1"/>
              <w:ind w:left="107"/>
              <w:rPr>
                <w:sz w:val="21"/>
              </w:rPr>
            </w:pPr>
            <w:r>
              <w:rPr>
                <w:spacing w:val="-10"/>
                <w:sz w:val="21"/>
              </w:rPr>
              <w:t>持有本公司 </w:t>
            </w:r>
            <w:r>
              <w:rPr>
                <w:sz w:val="21"/>
              </w:rPr>
              <w:t>5%以上股</w:t>
            </w:r>
          </w:p>
          <w:p>
            <w:pPr>
              <w:pStyle w:val="TableParagraph"/>
              <w:spacing w:line="252" w:lineRule="exact" w:before="2"/>
              <w:ind w:left="107"/>
              <w:rPr>
                <w:sz w:val="21"/>
              </w:rPr>
            </w:pPr>
            <w:r>
              <w:rPr>
                <w:spacing w:val="-1"/>
                <w:sz w:val="21"/>
              </w:rPr>
              <w:t>份的股东</w:t>
            </w:r>
            <w:r>
              <w:rPr>
                <w:sz w:val="21"/>
              </w:rPr>
              <w:t> </w:t>
            </w:r>
          </w:p>
        </w:tc>
        <w:tc>
          <w:tcPr>
            <w:tcW w:w="2359" w:type="dxa"/>
          </w:tcPr>
          <w:p>
            <w:pPr>
              <w:pStyle w:val="TableParagraph"/>
              <w:spacing w:before="1"/>
              <w:ind w:left="105"/>
              <w:rPr>
                <w:sz w:val="21"/>
              </w:rPr>
            </w:pPr>
            <w:r>
              <w:rPr>
                <w:spacing w:val="-1"/>
                <w:sz w:val="21"/>
              </w:rPr>
              <w:t>接受劳务及服务</w:t>
            </w:r>
            <w:r>
              <w:rPr>
                <w:sz w:val="21"/>
              </w:rPr>
              <w:t> </w:t>
            </w:r>
          </w:p>
        </w:tc>
        <w:tc>
          <w:tcPr>
            <w:tcW w:w="2131" w:type="dxa"/>
          </w:tcPr>
          <w:p>
            <w:pPr>
              <w:pStyle w:val="TableParagraph"/>
              <w:spacing w:before="137"/>
              <w:ind w:right="-15"/>
              <w:jc w:val="right"/>
              <w:rPr>
                <w:sz w:val="21"/>
              </w:rPr>
            </w:pPr>
            <w:r>
              <w:rPr>
                <w:sz w:val="21"/>
              </w:rPr>
              <w:t>86,629 </w:t>
            </w:r>
          </w:p>
        </w:tc>
        <w:tc>
          <w:tcPr>
            <w:tcW w:w="2048" w:type="dxa"/>
          </w:tcPr>
          <w:p>
            <w:pPr>
              <w:pStyle w:val="TableParagraph"/>
              <w:spacing w:before="1"/>
              <w:ind w:right="-15"/>
              <w:jc w:val="right"/>
              <w:rPr>
                <w:sz w:val="21"/>
              </w:rPr>
            </w:pPr>
            <w:r>
              <w:rPr>
                <w:sz w:val="21"/>
              </w:rPr>
              <w:t>54,835 </w:t>
            </w:r>
          </w:p>
        </w:tc>
      </w:tr>
      <w:tr>
        <w:trPr>
          <w:trHeight w:val="544" w:hRule="atLeast"/>
        </w:trPr>
        <w:tc>
          <w:tcPr>
            <w:tcW w:w="2285" w:type="dxa"/>
          </w:tcPr>
          <w:p>
            <w:pPr>
              <w:pStyle w:val="TableParagraph"/>
              <w:spacing w:before="1"/>
              <w:ind w:left="107"/>
              <w:rPr>
                <w:sz w:val="21"/>
              </w:rPr>
            </w:pPr>
            <w:r>
              <w:rPr>
                <w:spacing w:val="-10"/>
                <w:sz w:val="21"/>
              </w:rPr>
              <w:t>持有本公司 </w:t>
            </w:r>
            <w:r>
              <w:rPr>
                <w:sz w:val="21"/>
              </w:rPr>
              <w:t>5%以上股</w:t>
            </w:r>
          </w:p>
          <w:p>
            <w:pPr>
              <w:pStyle w:val="TableParagraph"/>
              <w:spacing w:line="250" w:lineRule="exact" w:before="5"/>
              <w:ind w:left="107"/>
              <w:rPr>
                <w:sz w:val="21"/>
              </w:rPr>
            </w:pPr>
            <w:r>
              <w:rPr>
                <w:spacing w:val="-1"/>
                <w:sz w:val="21"/>
              </w:rPr>
              <w:t>份的股东</w:t>
            </w:r>
            <w:r>
              <w:rPr>
                <w:sz w:val="21"/>
              </w:rPr>
              <w:t> </w:t>
            </w:r>
          </w:p>
        </w:tc>
        <w:tc>
          <w:tcPr>
            <w:tcW w:w="2359" w:type="dxa"/>
          </w:tcPr>
          <w:p>
            <w:pPr>
              <w:pStyle w:val="TableParagraph"/>
              <w:spacing w:before="1"/>
              <w:ind w:left="105"/>
              <w:rPr>
                <w:sz w:val="21"/>
              </w:rPr>
            </w:pPr>
            <w:r>
              <w:rPr>
                <w:spacing w:val="-1"/>
                <w:sz w:val="21"/>
              </w:rPr>
              <w:t>采购货物</w:t>
            </w:r>
            <w:r>
              <w:rPr>
                <w:sz w:val="21"/>
              </w:rPr>
              <w:t> </w:t>
            </w:r>
          </w:p>
        </w:tc>
        <w:tc>
          <w:tcPr>
            <w:tcW w:w="2131" w:type="dxa"/>
          </w:tcPr>
          <w:p>
            <w:pPr>
              <w:pStyle w:val="TableParagraph"/>
              <w:spacing w:before="138"/>
              <w:ind w:right="-15"/>
              <w:jc w:val="right"/>
              <w:rPr>
                <w:sz w:val="21"/>
              </w:rPr>
            </w:pPr>
            <w:r>
              <w:rPr>
                <w:sz w:val="21"/>
              </w:rPr>
              <w:t>61,517 </w:t>
            </w:r>
          </w:p>
        </w:tc>
        <w:tc>
          <w:tcPr>
            <w:tcW w:w="2048" w:type="dxa"/>
          </w:tcPr>
          <w:p>
            <w:pPr>
              <w:pStyle w:val="TableParagraph"/>
              <w:spacing w:before="1"/>
              <w:ind w:right="-15"/>
              <w:jc w:val="right"/>
              <w:rPr>
                <w:sz w:val="21"/>
              </w:rPr>
            </w:pPr>
            <w:r>
              <w:rPr>
                <w:sz w:val="21"/>
              </w:rPr>
              <w:t>187,174 </w:t>
            </w:r>
          </w:p>
        </w:tc>
      </w:tr>
      <w:tr>
        <w:trPr>
          <w:trHeight w:val="544" w:hRule="atLeast"/>
        </w:trPr>
        <w:tc>
          <w:tcPr>
            <w:tcW w:w="2285" w:type="dxa"/>
          </w:tcPr>
          <w:p>
            <w:pPr>
              <w:pStyle w:val="TableParagraph"/>
              <w:spacing w:before="1"/>
              <w:ind w:left="107"/>
              <w:rPr>
                <w:sz w:val="21"/>
              </w:rPr>
            </w:pPr>
            <w:r>
              <w:rPr>
                <w:sz w:val="21"/>
              </w:rPr>
              <w:t>鸿海精密之合(联)营</w:t>
            </w:r>
          </w:p>
          <w:p>
            <w:pPr>
              <w:pStyle w:val="TableParagraph"/>
              <w:spacing w:line="250" w:lineRule="exact" w:before="4"/>
              <w:ind w:left="107"/>
              <w:rPr>
                <w:sz w:val="21"/>
              </w:rPr>
            </w:pPr>
            <w:r>
              <w:rPr>
                <w:sz w:val="21"/>
              </w:rPr>
              <w:t>企业 </w:t>
            </w:r>
          </w:p>
        </w:tc>
        <w:tc>
          <w:tcPr>
            <w:tcW w:w="2359" w:type="dxa"/>
          </w:tcPr>
          <w:p>
            <w:pPr>
              <w:pStyle w:val="TableParagraph"/>
              <w:spacing w:before="1"/>
              <w:ind w:left="105"/>
              <w:rPr>
                <w:sz w:val="21"/>
              </w:rPr>
            </w:pPr>
            <w:r>
              <w:rPr>
                <w:spacing w:val="-1"/>
                <w:sz w:val="21"/>
              </w:rPr>
              <w:t>接受劳务及服务</w:t>
            </w:r>
            <w:r>
              <w:rPr>
                <w:sz w:val="21"/>
              </w:rPr>
              <w:t> </w:t>
            </w:r>
          </w:p>
        </w:tc>
        <w:tc>
          <w:tcPr>
            <w:tcW w:w="2131" w:type="dxa"/>
          </w:tcPr>
          <w:p>
            <w:pPr>
              <w:pStyle w:val="TableParagraph"/>
              <w:spacing w:before="138"/>
              <w:ind w:right="-15"/>
              <w:jc w:val="right"/>
              <w:rPr>
                <w:sz w:val="21"/>
              </w:rPr>
            </w:pPr>
            <w:r>
              <w:rPr>
                <w:sz w:val="21"/>
              </w:rPr>
              <w:t>56,421 </w:t>
            </w:r>
          </w:p>
        </w:tc>
        <w:tc>
          <w:tcPr>
            <w:tcW w:w="2048" w:type="dxa"/>
          </w:tcPr>
          <w:p>
            <w:pPr>
              <w:pStyle w:val="TableParagraph"/>
              <w:spacing w:before="1"/>
              <w:ind w:right="-15"/>
              <w:jc w:val="right"/>
              <w:rPr>
                <w:sz w:val="21"/>
              </w:rPr>
            </w:pPr>
            <w:r>
              <w:rPr>
                <w:sz w:val="21"/>
              </w:rPr>
              <w:t>6,626 </w:t>
            </w:r>
          </w:p>
        </w:tc>
      </w:tr>
      <w:tr>
        <w:trPr>
          <w:trHeight w:val="273" w:hRule="atLeast"/>
        </w:trPr>
        <w:tc>
          <w:tcPr>
            <w:tcW w:w="2285" w:type="dxa"/>
          </w:tcPr>
          <w:p>
            <w:pPr>
              <w:pStyle w:val="TableParagraph"/>
              <w:spacing w:line="252" w:lineRule="exact" w:before="1"/>
              <w:ind w:left="107"/>
              <w:rPr>
                <w:sz w:val="21"/>
              </w:rPr>
            </w:pPr>
            <w:r>
              <w:rPr>
                <w:spacing w:val="-1"/>
                <w:sz w:val="21"/>
              </w:rPr>
              <w:t>鸿海精密及其子公司</w:t>
            </w:r>
            <w:r>
              <w:rPr>
                <w:sz w:val="21"/>
              </w:rPr>
              <w:t> </w:t>
            </w:r>
          </w:p>
        </w:tc>
        <w:tc>
          <w:tcPr>
            <w:tcW w:w="2359" w:type="dxa"/>
          </w:tcPr>
          <w:p>
            <w:pPr>
              <w:pStyle w:val="TableParagraph"/>
              <w:spacing w:line="252" w:lineRule="exact" w:before="1"/>
              <w:ind w:left="105"/>
              <w:rPr>
                <w:sz w:val="21"/>
              </w:rPr>
            </w:pPr>
            <w:r>
              <w:rPr>
                <w:spacing w:val="-1"/>
                <w:sz w:val="21"/>
              </w:rPr>
              <w:t>采购设备</w:t>
            </w:r>
            <w:r>
              <w:rPr>
                <w:sz w:val="21"/>
              </w:rPr>
              <w:t> </w:t>
            </w:r>
          </w:p>
        </w:tc>
        <w:tc>
          <w:tcPr>
            <w:tcW w:w="2131" w:type="dxa"/>
          </w:tcPr>
          <w:p>
            <w:pPr>
              <w:pStyle w:val="TableParagraph"/>
              <w:spacing w:line="252" w:lineRule="exact" w:before="1"/>
              <w:ind w:right="-15"/>
              <w:jc w:val="right"/>
              <w:rPr>
                <w:sz w:val="21"/>
              </w:rPr>
            </w:pPr>
            <w:r>
              <w:rPr>
                <w:sz w:val="21"/>
              </w:rPr>
              <w:t>38,516 </w:t>
            </w:r>
          </w:p>
        </w:tc>
        <w:tc>
          <w:tcPr>
            <w:tcW w:w="2048" w:type="dxa"/>
          </w:tcPr>
          <w:p>
            <w:pPr>
              <w:pStyle w:val="TableParagraph"/>
              <w:spacing w:line="252" w:lineRule="exact" w:before="1"/>
              <w:ind w:right="-15"/>
              <w:jc w:val="right"/>
              <w:rPr>
                <w:sz w:val="21"/>
              </w:rPr>
            </w:pPr>
            <w:r>
              <w:rPr>
                <w:sz w:val="21"/>
              </w:rPr>
              <w:t>32,264 </w:t>
            </w:r>
          </w:p>
        </w:tc>
      </w:tr>
      <w:tr>
        <w:trPr>
          <w:trHeight w:val="270" w:hRule="atLeast"/>
        </w:trPr>
        <w:tc>
          <w:tcPr>
            <w:tcW w:w="2285" w:type="dxa"/>
          </w:tcPr>
          <w:p>
            <w:pPr>
              <w:pStyle w:val="TableParagraph"/>
              <w:spacing w:line="250" w:lineRule="exact" w:before="1"/>
              <w:ind w:left="107"/>
              <w:rPr>
                <w:sz w:val="21"/>
              </w:rPr>
            </w:pPr>
            <w:r>
              <w:rPr>
                <w:spacing w:val="-1"/>
                <w:sz w:val="21"/>
              </w:rPr>
              <w:t>本集团之联营企业</w:t>
            </w:r>
            <w:r>
              <w:rPr>
                <w:sz w:val="21"/>
              </w:rPr>
              <w:t> </w:t>
            </w:r>
          </w:p>
        </w:tc>
        <w:tc>
          <w:tcPr>
            <w:tcW w:w="2359" w:type="dxa"/>
          </w:tcPr>
          <w:p>
            <w:pPr>
              <w:pStyle w:val="TableParagraph"/>
              <w:spacing w:line="250" w:lineRule="exact" w:before="1"/>
              <w:ind w:left="105"/>
              <w:rPr>
                <w:sz w:val="21"/>
              </w:rPr>
            </w:pPr>
            <w:r>
              <w:rPr>
                <w:spacing w:val="-1"/>
                <w:sz w:val="21"/>
              </w:rPr>
              <w:t>采购货物</w:t>
            </w:r>
            <w:r>
              <w:rPr>
                <w:sz w:val="21"/>
              </w:rPr>
              <w:t> </w:t>
            </w:r>
          </w:p>
        </w:tc>
        <w:tc>
          <w:tcPr>
            <w:tcW w:w="2131" w:type="dxa"/>
          </w:tcPr>
          <w:p>
            <w:pPr>
              <w:pStyle w:val="TableParagraph"/>
              <w:spacing w:line="250" w:lineRule="exact" w:before="1"/>
              <w:ind w:right="-15"/>
              <w:jc w:val="right"/>
              <w:rPr>
                <w:sz w:val="21"/>
              </w:rPr>
            </w:pPr>
            <w:r>
              <w:rPr>
                <w:sz w:val="21"/>
              </w:rPr>
              <w:t>17,853 </w:t>
            </w:r>
          </w:p>
        </w:tc>
        <w:tc>
          <w:tcPr>
            <w:tcW w:w="2048" w:type="dxa"/>
          </w:tcPr>
          <w:p>
            <w:pPr>
              <w:pStyle w:val="TableParagraph"/>
              <w:spacing w:line="250" w:lineRule="exact" w:before="1"/>
              <w:ind w:right="-15"/>
              <w:jc w:val="right"/>
              <w:rPr>
                <w:sz w:val="21"/>
              </w:rPr>
            </w:pPr>
            <w:r>
              <w:rPr>
                <w:sz w:val="21"/>
              </w:rPr>
              <w:t>22,079 </w:t>
            </w:r>
          </w:p>
        </w:tc>
      </w:tr>
      <w:tr>
        <w:trPr>
          <w:trHeight w:val="546" w:hRule="atLeast"/>
        </w:trPr>
        <w:tc>
          <w:tcPr>
            <w:tcW w:w="2285" w:type="dxa"/>
          </w:tcPr>
          <w:p>
            <w:pPr>
              <w:pStyle w:val="TableParagraph"/>
              <w:spacing w:line="270" w:lineRule="atLeast"/>
              <w:ind w:left="107" w:right="271"/>
              <w:rPr>
                <w:sz w:val="21"/>
              </w:rPr>
            </w:pPr>
            <w:r>
              <w:rPr>
                <w:sz w:val="21"/>
              </w:rPr>
              <w:t>中坚公司之合(联)营企业 </w:t>
            </w:r>
          </w:p>
        </w:tc>
        <w:tc>
          <w:tcPr>
            <w:tcW w:w="2359" w:type="dxa"/>
          </w:tcPr>
          <w:p>
            <w:pPr>
              <w:pStyle w:val="TableParagraph"/>
              <w:spacing w:before="3"/>
              <w:ind w:left="105"/>
              <w:rPr>
                <w:sz w:val="21"/>
              </w:rPr>
            </w:pPr>
            <w:r>
              <w:rPr>
                <w:spacing w:val="-1"/>
                <w:sz w:val="21"/>
              </w:rPr>
              <w:t>接受劳务及服务</w:t>
            </w:r>
            <w:r>
              <w:rPr>
                <w:sz w:val="21"/>
              </w:rPr>
              <w:t> </w:t>
            </w:r>
          </w:p>
        </w:tc>
        <w:tc>
          <w:tcPr>
            <w:tcW w:w="2131" w:type="dxa"/>
          </w:tcPr>
          <w:p>
            <w:pPr>
              <w:pStyle w:val="TableParagraph"/>
              <w:spacing w:before="138"/>
              <w:ind w:right="-15"/>
              <w:jc w:val="right"/>
              <w:rPr>
                <w:sz w:val="21"/>
              </w:rPr>
            </w:pPr>
            <w:r>
              <w:rPr>
                <w:sz w:val="21"/>
              </w:rPr>
              <w:t>12,525 </w:t>
            </w:r>
          </w:p>
        </w:tc>
        <w:tc>
          <w:tcPr>
            <w:tcW w:w="2048" w:type="dxa"/>
          </w:tcPr>
          <w:p>
            <w:pPr>
              <w:pStyle w:val="TableParagraph"/>
              <w:spacing w:before="3"/>
              <w:ind w:right="-15"/>
              <w:jc w:val="right"/>
              <w:rPr>
                <w:sz w:val="21"/>
              </w:rPr>
            </w:pPr>
            <w:r>
              <w:rPr>
                <w:sz w:val="21"/>
              </w:rPr>
              <w:t>25,889 </w:t>
            </w:r>
          </w:p>
        </w:tc>
      </w:tr>
      <w:tr>
        <w:trPr>
          <w:trHeight w:val="544" w:hRule="atLeast"/>
        </w:trPr>
        <w:tc>
          <w:tcPr>
            <w:tcW w:w="2285" w:type="dxa"/>
          </w:tcPr>
          <w:p>
            <w:pPr>
              <w:pStyle w:val="TableParagraph"/>
              <w:spacing w:before="1"/>
              <w:ind w:left="107"/>
              <w:rPr>
                <w:sz w:val="21"/>
              </w:rPr>
            </w:pPr>
            <w:r>
              <w:rPr>
                <w:sz w:val="21"/>
              </w:rPr>
              <w:t>中坚公司之合(联)营</w:t>
            </w:r>
          </w:p>
          <w:p>
            <w:pPr>
              <w:pStyle w:val="TableParagraph"/>
              <w:spacing w:line="252" w:lineRule="exact" w:before="2"/>
              <w:ind w:left="107"/>
              <w:rPr>
                <w:sz w:val="21"/>
              </w:rPr>
            </w:pPr>
            <w:r>
              <w:rPr>
                <w:sz w:val="21"/>
              </w:rPr>
              <w:t>企业 </w:t>
            </w:r>
          </w:p>
        </w:tc>
        <w:tc>
          <w:tcPr>
            <w:tcW w:w="2359" w:type="dxa"/>
          </w:tcPr>
          <w:p>
            <w:pPr>
              <w:pStyle w:val="TableParagraph"/>
              <w:spacing w:before="1"/>
              <w:ind w:left="105"/>
              <w:rPr>
                <w:sz w:val="21"/>
              </w:rPr>
            </w:pPr>
            <w:r>
              <w:rPr>
                <w:spacing w:val="-1"/>
                <w:sz w:val="21"/>
              </w:rPr>
              <w:t>采购货物</w:t>
            </w:r>
            <w:r>
              <w:rPr>
                <w:sz w:val="21"/>
              </w:rPr>
              <w:t> </w:t>
            </w:r>
          </w:p>
        </w:tc>
        <w:tc>
          <w:tcPr>
            <w:tcW w:w="2131" w:type="dxa"/>
          </w:tcPr>
          <w:p>
            <w:pPr>
              <w:pStyle w:val="TableParagraph"/>
              <w:spacing w:before="135"/>
              <w:ind w:right="-15"/>
              <w:jc w:val="right"/>
              <w:rPr>
                <w:sz w:val="21"/>
              </w:rPr>
            </w:pPr>
            <w:r>
              <w:rPr>
                <w:sz w:val="21"/>
              </w:rPr>
              <w:t>10,578 </w:t>
            </w:r>
          </w:p>
        </w:tc>
        <w:tc>
          <w:tcPr>
            <w:tcW w:w="2048" w:type="dxa"/>
          </w:tcPr>
          <w:p>
            <w:pPr>
              <w:pStyle w:val="TableParagraph"/>
              <w:spacing w:before="1"/>
              <w:ind w:right="-15"/>
              <w:jc w:val="right"/>
              <w:rPr>
                <w:sz w:val="21"/>
              </w:rPr>
            </w:pPr>
            <w:r>
              <w:rPr>
                <w:sz w:val="21"/>
              </w:rPr>
              <w:t>87,613 </w:t>
            </w:r>
          </w:p>
        </w:tc>
      </w:tr>
      <w:tr>
        <w:trPr>
          <w:trHeight w:val="544" w:hRule="atLeast"/>
        </w:trPr>
        <w:tc>
          <w:tcPr>
            <w:tcW w:w="2285" w:type="dxa"/>
          </w:tcPr>
          <w:p>
            <w:pPr>
              <w:pStyle w:val="TableParagraph"/>
              <w:spacing w:before="1"/>
              <w:ind w:left="107"/>
              <w:rPr>
                <w:sz w:val="21"/>
              </w:rPr>
            </w:pPr>
            <w:r>
              <w:rPr>
                <w:sz w:val="21"/>
              </w:rPr>
              <w:t>鸿海精密之合(联)营</w:t>
            </w:r>
          </w:p>
          <w:p>
            <w:pPr>
              <w:pStyle w:val="TableParagraph"/>
              <w:spacing w:line="252" w:lineRule="exact" w:before="2"/>
              <w:ind w:left="107"/>
              <w:rPr>
                <w:sz w:val="21"/>
              </w:rPr>
            </w:pPr>
            <w:r>
              <w:rPr>
                <w:sz w:val="21"/>
              </w:rPr>
              <w:t>企业 </w:t>
            </w:r>
          </w:p>
        </w:tc>
        <w:tc>
          <w:tcPr>
            <w:tcW w:w="2359" w:type="dxa"/>
          </w:tcPr>
          <w:p>
            <w:pPr>
              <w:pStyle w:val="TableParagraph"/>
              <w:spacing w:before="1"/>
              <w:ind w:left="105"/>
              <w:rPr>
                <w:sz w:val="21"/>
              </w:rPr>
            </w:pPr>
            <w:r>
              <w:rPr>
                <w:spacing w:val="-1"/>
                <w:sz w:val="21"/>
              </w:rPr>
              <w:t>采购设备</w:t>
            </w:r>
            <w:r>
              <w:rPr>
                <w:sz w:val="21"/>
              </w:rPr>
              <w:t> </w:t>
            </w:r>
          </w:p>
        </w:tc>
        <w:tc>
          <w:tcPr>
            <w:tcW w:w="2131" w:type="dxa"/>
          </w:tcPr>
          <w:p>
            <w:pPr>
              <w:pStyle w:val="TableParagraph"/>
              <w:spacing w:before="138"/>
              <w:ind w:right="-15"/>
              <w:jc w:val="right"/>
              <w:rPr>
                <w:sz w:val="21"/>
              </w:rPr>
            </w:pPr>
            <w:r>
              <w:rPr>
                <w:sz w:val="21"/>
              </w:rPr>
              <w:t>6,960 </w:t>
            </w:r>
          </w:p>
        </w:tc>
        <w:tc>
          <w:tcPr>
            <w:tcW w:w="2048" w:type="dxa"/>
          </w:tcPr>
          <w:p>
            <w:pPr>
              <w:pStyle w:val="TableParagraph"/>
              <w:spacing w:before="1"/>
              <w:ind w:right="-15"/>
              <w:jc w:val="right"/>
              <w:rPr>
                <w:sz w:val="21"/>
              </w:rPr>
            </w:pPr>
            <w:r>
              <w:rPr>
                <w:sz w:val="21"/>
              </w:rPr>
              <w:t>3,115 </w:t>
            </w:r>
          </w:p>
        </w:tc>
      </w:tr>
      <w:tr>
        <w:trPr>
          <w:trHeight w:val="270" w:hRule="atLeast"/>
        </w:trPr>
        <w:tc>
          <w:tcPr>
            <w:tcW w:w="2285" w:type="dxa"/>
          </w:tcPr>
          <w:p>
            <w:pPr>
              <w:pStyle w:val="TableParagraph"/>
              <w:spacing w:line="250" w:lineRule="exact" w:before="1"/>
              <w:ind w:left="107"/>
              <w:rPr>
                <w:sz w:val="21"/>
              </w:rPr>
            </w:pPr>
            <w:r>
              <w:rPr>
                <w:spacing w:val="-1"/>
                <w:sz w:val="21"/>
              </w:rPr>
              <w:t>中坚公司之子公司</w:t>
            </w:r>
            <w:r>
              <w:rPr>
                <w:sz w:val="21"/>
              </w:rPr>
              <w:t> </w:t>
            </w:r>
          </w:p>
        </w:tc>
        <w:tc>
          <w:tcPr>
            <w:tcW w:w="2359" w:type="dxa"/>
          </w:tcPr>
          <w:p>
            <w:pPr>
              <w:pStyle w:val="TableParagraph"/>
              <w:spacing w:line="250" w:lineRule="exact" w:before="1"/>
              <w:ind w:left="105"/>
              <w:rPr>
                <w:sz w:val="21"/>
              </w:rPr>
            </w:pPr>
            <w:r>
              <w:rPr>
                <w:spacing w:val="-1"/>
                <w:sz w:val="21"/>
              </w:rPr>
              <w:t>采购设备</w:t>
            </w:r>
            <w:r>
              <w:rPr>
                <w:sz w:val="21"/>
              </w:rPr>
              <w:t> </w:t>
            </w:r>
          </w:p>
        </w:tc>
        <w:tc>
          <w:tcPr>
            <w:tcW w:w="2131" w:type="dxa"/>
          </w:tcPr>
          <w:p>
            <w:pPr>
              <w:pStyle w:val="TableParagraph"/>
              <w:spacing w:line="250" w:lineRule="exact" w:before="1"/>
              <w:ind w:right="-15"/>
              <w:jc w:val="right"/>
              <w:rPr>
                <w:sz w:val="21"/>
              </w:rPr>
            </w:pPr>
            <w:r>
              <w:rPr>
                <w:sz w:val="21"/>
              </w:rPr>
              <w:t>2,661 </w:t>
            </w:r>
          </w:p>
        </w:tc>
        <w:tc>
          <w:tcPr>
            <w:tcW w:w="2048" w:type="dxa"/>
          </w:tcPr>
          <w:p>
            <w:pPr>
              <w:pStyle w:val="TableParagraph"/>
              <w:spacing w:line="250" w:lineRule="exact" w:before="1"/>
              <w:ind w:right="-15"/>
              <w:jc w:val="right"/>
              <w:rPr>
                <w:sz w:val="21"/>
              </w:rPr>
            </w:pPr>
            <w:r>
              <w:rPr>
                <w:sz w:val="21"/>
              </w:rPr>
              <w:t>18,483 </w:t>
            </w:r>
          </w:p>
        </w:tc>
      </w:tr>
      <w:tr>
        <w:trPr>
          <w:trHeight w:val="547" w:hRule="atLeast"/>
        </w:trPr>
        <w:tc>
          <w:tcPr>
            <w:tcW w:w="2285" w:type="dxa"/>
          </w:tcPr>
          <w:p>
            <w:pPr>
              <w:pStyle w:val="TableParagraph"/>
              <w:spacing w:line="270" w:lineRule="atLeast"/>
              <w:ind w:left="107" w:right="271"/>
              <w:rPr>
                <w:sz w:val="21"/>
              </w:rPr>
            </w:pPr>
            <w:r>
              <w:rPr>
                <w:sz w:val="21"/>
              </w:rPr>
              <w:t>中坚公司之合(联)营企业 </w:t>
            </w:r>
          </w:p>
        </w:tc>
        <w:tc>
          <w:tcPr>
            <w:tcW w:w="2359" w:type="dxa"/>
          </w:tcPr>
          <w:p>
            <w:pPr>
              <w:pStyle w:val="TableParagraph"/>
              <w:spacing w:before="3"/>
              <w:ind w:left="105"/>
              <w:rPr>
                <w:sz w:val="21"/>
              </w:rPr>
            </w:pPr>
            <w:r>
              <w:rPr>
                <w:spacing w:val="-1"/>
                <w:sz w:val="21"/>
              </w:rPr>
              <w:t>采购设备</w:t>
            </w:r>
            <w:r>
              <w:rPr>
                <w:sz w:val="21"/>
              </w:rPr>
              <w:t> </w:t>
            </w:r>
          </w:p>
        </w:tc>
        <w:tc>
          <w:tcPr>
            <w:tcW w:w="2131" w:type="dxa"/>
          </w:tcPr>
          <w:p>
            <w:pPr>
              <w:pStyle w:val="TableParagraph"/>
              <w:spacing w:before="137"/>
              <w:ind w:right="-15"/>
              <w:jc w:val="right"/>
              <w:rPr>
                <w:sz w:val="21"/>
              </w:rPr>
            </w:pPr>
            <w:r>
              <w:rPr>
                <w:sz w:val="21"/>
              </w:rPr>
              <w:t>- </w:t>
            </w:r>
          </w:p>
        </w:tc>
        <w:tc>
          <w:tcPr>
            <w:tcW w:w="2048" w:type="dxa"/>
          </w:tcPr>
          <w:p>
            <w:pPr>
              <w:pStyle w:val="TableParagraph"/>
              <w:spacing w:before="3"/>
              <w:ind w:right="-15"/>
              <w:jc w:val="right"/>
              <w:rPr>
                <w:sz w:val="21"/>
              </w:rPr>
            </w:pPr>
            <w:r>
              <w:rPr>
                <w:sz w:val="21"/>
              </w:rPr>
              <w:t>379 </w:t>
            </w:r>
          </w:p>
        </w:tc>
      </w:tr>
      <w:tr>
        <w:trPr>
          <w:trHeight w:val="544" w:hRule="atLeast"/>
        </w:trPr>
        <w:tc>
          <w:tcPr>
            <w:tcW w:w="2285" w:type="dxa"/>
          </w:tcPr>
          <w:p>
            <w:pPr>
              <w:pStyle w:val="TableParagraph"/>
              <w:spacing w:before="1"/>
              <w:ind w:left="107"/>
              <w:rPr>
                <w:sz w:val="21"/>
              </w:rPr>
            </w:pPr>
            <w:r>
              <w:rPr>
                <w:spacing w:val="-10"/>
                <w:sz w:val="21"/>
              </w:rPr>
              <w:t>持有本公司 </w:t>
            </w:r>
            <w:r>
              <w:rPr>
                <w:sz w:val="21"/>
              </w:rPr>
              <w:t>5%以上股</w:t>
            </w:r>
          </w:p>
          <w:p>
            <w:pPr>
              <w:pStyle w:val="TableParagraph"/>
              <w:spacing w:line="252" w:lineRule="exact" w:before="2"/>
              <w:ind w:left="107"/>
              <w:rPr>
                <w:sz w:val="21"/>
              </w:rPr>
            </w:pPr>
            <w:r>
              <w:rPr>
                <w:spacing w:val="-1"/>
                <w:sz w:val="21"/>
              </w:rPr>
              <w:t>份的股东</w:t>
            </w:r>
            <w:r>
              <w:rPr>
                <w:sz w:val="21"/>
              </w:rPr>
              <w:t> </w:t>
            </w:r>
          </w:p>
        </w:tc>
        <w:tc>
          <w:tcPr>
            <w:tcW w:w="2359" w:type="dxa"/>
          </w:tcPr>
          <w:p>
            <w:pPr>
              <w:pStyle w:val="TableParagraph"/>
              <w:spacing w:before="1"/>
              <w:ind w:left="105"/>
              <w:rPr>
                <w:sz w:val="21"/>
              </w:rPr>
            </w:pPr>
            <w:r>
              <w:rPr>
                <w:spacing w:val="-1"/>
                <w:sz w:val="21"/>
              </w:rPr>
              <w:t>采购设备</w:t>
            </w:r>
            <w:r>
              <w:rPr>
                <w:sz w:val="21"/>
              </w:rPr>
              <w:t> </w:t>
            </w:r>
          </w:p>
        </w:tc>
        <w:tc>
          <w:tcPr>
            <w:tcW w:w="2131" w:type="dxa"/>
          </w:tcPr>
          <w:p>
            <w:pPr>
              <w:pStyle w:val="TableParagraph"/>
              <w:spacing w:before="135"/>
              <w:ind w:right="-15"/>
              <w:jc w:val="right"/>
              <w:rPr>
                <w:sz w:val="21"/>
              </w:rPr>
            </w:pPr>
            <w:r>
              <w:rPr>
                <w:sz w:val="21"/>
              </w:rPr>
              <w:t>- </w:t>
            </w:r>
          </w:p>
        </w:tc>
        <w:tc>
          <w:tcPr>
            <w:tcW w:w="2048" w:type="dxa"/>
          </w:tcPr>
          <w:p>
            <w:pPr>
              <w:pStyle w:val="TableParagraph"/>
              <w:spacing w:before="1"/>
              <w:ind w:right="-15"/>
              <w:jc w:val="right"/>
              <w:rPr>
                <w:sz w:val="21"/>
              </w:rPr>
            </w:pPr>
            <w:r>
              <w:rPr>
                <w:sz w:val="21"/>
              </w:rPr>
              <w:t>313 </w:t>
            </w:r>
          </w:p>
        </w:tc>
      </w:tr>
      <w:tr>
        <w:trPr>
          <w:trHeight w:val="270" w:hRule="atLeast"/>
        </w:trPr>
        <w:tc>
          <w:tcPr>
            <w:tcW w:w="2285" w:type="dxa"/>
          </w:tcPr>
          <w:p>
            <w:pPr>
              <w:pStyle w:val="TableParagraph"/>
              <w:spacing w:line="250" w:lineRule="exact" w:before="1"/>
              <w:ind w:left="107"/>
              <w:rPr>
                <w:sz w:val="21"/>
              </w:rPr>
            </w:pPr>
            <w:r>
              <w:rPr>
                <w:w w:val="100"/>
                <w:sz w:val="21"/>
              </w:rPr>
              <w:t> </w:t>
            </w:r>
          </w:p>
        </w:tc>
        <w:tc>
          <w:tcPr>
            <w:tcW w:w="2359" w:type="dxa"/>
          </w:tcPr>
          <w:p>
            <w:pPr>
              <w:pStyle w:val="TableParagraph"/>
              <w:spacing w:line="250" w:lineRule="exact" w:before="1"/>
              <w:ind w:left="105"/>
              <w:rPr>
                <w:sz w:val="21"/>
              </w:rPr>
            </w:pPr>
            <w:r>
              <w:rPr>
                <w:w w:val="100"/>
                <w:sz w:val="21"/>
              </w:rPr>
              <w:t> </w:t>
            </w:r>
          </w:p>
        </w:tc>
        <w:tc>
          <w:tcPr>
            <w:tcW w:w="2131" w:type="dxa"/>
          </w:tcPr>
          <w:p>
            <w:pPr>
              <w:pStyle w:val="TableParagraph"/>
              <w:spacing w:line="250" w:lineRule="exact" w:before="1"/>
              <w:ind w:right="-15"/>
              <w:jc w:val="right"/>
              <w:rPr>
                <w:sz w:val="21"/>
              </w:rPr>
            </w:pPr>
            <w:r>
              <w:rPr>
                <w:sz w:val="21"/>
              </w:rPr>
              <w:t>19,190,080 </w:t>
            </w:r>
          </w:p>
        </w:tc>
        <w:tc>
          <w:tcPr>
            <w:tcW w:w="2048" w:type="dxa"/>
          </w:tcPr>
          <w:p>
            <w:pPr>
              <w:pStyle w:val="TableParagraph"/>
              <w:spacing w:line="250" w:lineRule="exact" w:before="1"/>
              <w:ind w:right="-15"/>
              <w:jc w:val="right"/>
              <w:rPr>
                <w:sz w:val="21"/>
              </w:rPr>
            </w:pPr>
            <w:r>
              <w:rPr>
                <w:sz w:val="21"/>
              </w:rPr>
              <w:t>18,869,090 </w:t>
            </w:r>
          </w:p>
        </w:tc>
      </w:tr>
    </w:tbl>
    <w:p>
      <w:pPr>
        <w:pStyle w:val="BodyText"/>
        <w:spacing w:before="1"/>
      </w:pPr>
      <w:r>
        <w:rPr>
          <w:w w:val="100"/>
        </w:rPr>
        <w:t> </w:t>
      </w:r>
    </w:p>
    <w:p>
      <w:pPr>
        <w:pStyle w:val="BodyText"/>
        <w:spacing w:before="4"/>
      </w:pPr>
      <w:r>
        <w:rPr>
          <w:w w:val="100"/>
        </w:rPr>
        <w:t> </w:t>
      </w:r>
    </w:p>
    <w:p>
      <w:pPr>
        <w:pStyle w:val="BodyText"/>
        <w:spacing w:before="3"/>
      </w:pPr>
      <w:r>
        <w:rPr>
          <w:spacing w:val="-1"/>
        </w:rPr>
        <w:t>出售商品/提供劳务情况表</w:t>
      </w:r>
      <w:r>
        <w:rPr/>
        <w:t> </w:t>
      </w:r>
    </w:p>
    <w:p>
      <w:pPr>
        <w:pStyle w:val="BodyText"/>
        <w:spacing w:before="4"/>
      </w:pPr>
      <w:r>
        <w:rPr>
          <w:spacing w:val="-1"/>
        </w:rPr>
        <w:t>√适用 □不适用</w:t>
      </w:r>
      <w:r>
        <w:rPr>
          <w:spacing w:val="-3"/>
        </w:rPr>
        <w:t> </w:t>
      </w:r>
      <w:r>
        <w:rPr/>
        <w:t> </w:t>
      </w:r>
    </w:p>
    <w:p>
      <w:pPr>
        <w:pStyle w:val="BodyText"/>
        <w:spacing w:before="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6"/>
        <w:gridCol w:w="2139"/>
        <w:gridCol w:w="2175"/>
        <w:gridCol w:w="2175"/>
      </w:tblGrid>
      <w:tr>
        <w:trPr>
          <w:trHeight w:val="273" w:hRule="atLeast"/>
        </w:trPr>
        <w:tc>
          <w:tcPr>
            <w:tcW w:w="2336" w:type="dxa"/>
          </w:tcPr>
          <w:p>
            <w:pPr>
              <w:pStyle w:val="TableParagraph"/>
              <w:spacing w:line="252" w:lineRule="exact" w:before="1"/>
              <w:ind w:left="849"/>
              <w:rPr>
                <w:sz w:val="21"/>
              </w:rPr>
            </w:pPr>
            <w:r>
              <w:rPr>
                <w:sz w:val="21"/>
              </w:rPr>
              <w:t>关联方 </w:t>
            </w:r>
          </w:p>
        </w:tc>
        <w:tc>
          <w:tcPr>
            <w:tcW w:w="2139" w:type="dxa"/>
          </w:tcPr>
          <w:p>
            <w:pPr>
              <w:pStyle w:val="TableParagraph"/>
              <w:spacing w:line="252" w:lineRule="exact" w:before="1"/>
              <w:ind w:left="436"/>
              <w:rPr>
                <w:sz w:val="21"/>
              </w:rPr>
            </w:pPr>
            <w:r>
              <w:rPr>
                <w:spacing w:val="-1"/>
                <w:sz w:val="21"/>
              </w:rPr>
              <w:t>关联交易内容</w:t>
            </w:r>
            <w:r>
              <w:rPr>
                <w:sz w:val="21"/>
              </w:rPr>
              <w:t> </w:t>
            </w:r>
          </w:p>
        </w:tc>
        <w:tc>
          <w:tcPr>
            <w:tcW w:w="2175" w:type="dxa"/>
          </w:tcPr>
          <w:p>
            <w:pPr>
              <w:pStyle w:val="TableParagraph"/>
              <w:spacing w:line="252" w:lineRule="exact" w:before="1"/>
              <w:ind w:left="560"/>
              <w:rPr>
                <w:sz w:val="21"/>
              </w:rPr>
            </w:pPr>
            <w:r>
              <w:rPr>
                <w:sz w:val="21"/>
              </w:rPr>
              <w:t>本期发生额 </w:t>
            </w:r>
          </w:p>
        </w:tc>
        <w:tc>
          <w:tcPr>
            <w:tcW w:w="2175" w:type="dxa"/>
          </w:tcPr>
          <w:p>
            <w:pPr>
              <w:pStyle w:val="TableParagraph"/>
              <w:spacing w:line="252" w:lineRule="exact" w:before="1"/>
              <w:ind w:left="558"/>
              <w:rPr>
                <w:sz w:val="21"/>
              </w:rPr>
            </w:pPr>
            <w:r>
              <w:rPr>
                <w:sz w:val="21"/>
              </w:rPr>
              <w:t>上期发生额 </w:t>
            </w:r>
          </w:p>
        </w:tc>
      </w:tr>
      <w:tr>
        <w:trPr>
          <w:trHeight w:val="270" w:hRule="atLeast"/>
        </w:trPr>
        <w:tc>
          <w:tcPr>
            <w:tcW w:w="2336" w:type="dxa"/>
          </w:tcPr>
          <w:p>
            <w:pPr>
              <w:pStyle w:val="TableParagraph"/>
              <w:spacing w:line="250" w:lineRule="exact" w:before="1"/>
              <w:ind w:left="107"/>
              <w:rPr>
                <w:sz w:val="21"/>
              </w:rPr>
            </w:pPr>
            <w:r>
              <w:rPr>
                <w:spacing w:val="-1"/>
                <w:sz w:val="21"/>
              </w:rPr>
              <w:t>鸿海精密及其子公司</w:t>
            </w:r>
            <w:r>
              <w:rPr>
                <w:sz w:val="21"/>
              </w:rPr>
              <w:t> </w:t>
            </w:r>
          </w:p>
        </w:tc>
        <w:tc>
          <w:tcPr>
            <w:tcW w:w="2139" w:type="dxa"/>
          </w:tcPr>
          <w:p>
            <w:pPr>
              <w:pStyle w:val="TableParagraph"/>
              <w:spacing w:line="250" w:lineRule="exact" w:before="1"/>
              <w:ind w:left="105"/>
              <w:rPr>
                <w:sz w:val="21"/>
              </w:rPr>
            </w:pPr>
            <w:r>
              <w:rPr>
                <w:spacing w:val="-1"/>
                <w:sz w:val="21"/>
              </w:rPr>
              <w:t>销售货物</w:t>
            </w:r>
            <w:r>
              <w:rPr>
                <w:sz w:val="21"/>
              </w:rPr>
              <w:t> </w:t>
            </w:r>
          </w:p>
        </w:tc>
        <w:tc>
          <w:tcPr>
            <w:tcW w:w="2175" w:type="dxa"/>
          </w:tcPr>
          <w:p>
            <w:pPr>
              <w:pStyle w:val="TableParagraph"/>
              <w:spacing w:line="250" w:lineRule="exact" w:before="1"/>
              <w:ind w:right="-15"/>
              <w:jc w:val="right"/>
              <w:rPr>
                <w:sz w:val="21"/>
              </w:rPr>
            </w:pPr>
            <w:r>
              <w:rPr>
                <w:sz w:val="21"/>
              </w:rPr>
              <w:t>2,747,120 </w:t>
            </w:r>
          </w:p>
        </w:tc>
        <w:tc>
          <w:tcPr>
            <w:tcW w:w="2175" w:type="dxa"/>
          </w:tcPr>
          <w:p>
            <w:pPr>
              <w:pStyle w:val="TableParagraph"/>
              <w:spacing w:line="250" w:lineRule="exact" w:before="1"/>
              <w:ind w:right="-15"/>
              <w:jc w:val="right"/>
              <w:rPr>
                <w:sz w:val="21"/>
              </w:rPr>
            </w:pPr>
            <w:r>
              <w:rPr>
                <w:sz w:val="21"/>
              </w:rPr>
              <w:t>2,164,837 </w:t>
            </w:r>
          </w:p>
        </w:tc>
      </w:tr>
      <w:tr>
        <w:trPr>
          <w:trHeight w:val="546" w:hRule="atLeast"/>
        </w:trPr>
        <w:tc>
          <w:tcPr>
            <w:tcW w:w="2336" w:type="dxa"/>
          </w:tcPr>
          <w:p>
            <w:pPr>
              <w:pStyle w:val="TableParagraph"/>
              <w:spacing w:line="270" w:lineRule="atLeast"/>
              <w:ind w:left="107" w:right="116"/>
              <w:rPr>
                <w:sz w:val="21"/>
              </w:rPr>
            </w:pPr>
            <w:r>
              <w:rPr>
                <w:spacing w:val="-1"/>
                <w:sz w:val="21"/>
              </w:rPr>
              <w:t>鸿海精密之合(联)营企</w:t>
            </w:r>
            <w:r>
              <w:rPr>
                <w:sz w:val="21"/>
              </w:rPr>
              <w:t>业 </w:t>
            </w:r>
          </w:p>
        </w:tc>
        <w:tc>
          <w:tcPr>
            <w:tcW w:w="2139" w:type="dxa"/>
          </w:tcPr>
          <w:p>
            <w:pPr>
              <w:pStyle w:val="TableParagraph"/>
              <w:spacing w:before="3"/>
              <w:ind w:left="105"/>
              <w:rPr>
                <w:sz w:val="21"/>
              </w:rPr>
            </w:pPr>
            <w:r>
              <w:rPr>
                <w:spacing w:val="-1"/>
                <w:sz w:val="21"/>
              </w:rPr>
              <w:t>销售货物</w:t>
            </w:r>
            <w:r>
              <w:rPr>
                <w:sz w:val="21"/>
              </w:rPr>
              <w:t> </w:t>
            </w:r>
          </w:p>
        </w:tc>
        <w:tc>
          <w:tcPr>
            <w:tcW w:w="2175" w:type="dxa"/>
          </w:tcPr>
          <w:p>
            <w:pPr>
              <w:pStyle w:val="TableParagraph"/>
              <w:spacing w:before="3"/>
              <w:ind w:right="-15"/>
              <w:jc w:val="right"/>
              <w:rPr>
                <w:sz w:val="21"/>
              </w:rPr>
            </w:pPr>
            <w:r>
              <w:rPr>
                <w:sz w:val="21"/>
              </w:rPr>
              <w:t>419,990 </w:t>
            </w:r>
          </w:p>
        </w:tc>
        <w:tc>
          <w:tcPr>
            <w:tcW w:w="2175" w:type="dxa"/>
          </w:tcPr>
          <w:p>
            <w:pPr>
              <w:pStyle w:val="TableParagraph"/>
              <w:spacing w:before="3"/>
              <w:ind w:right="-15"/>
              <w:jc w:val="right"/>
              <w:rPr>
                <w:sz w:val="21"/>
              </w:rPr>
            </w:pPr>
            <w:r>
              <w:rPr>
                <w:sz w:val="21"/>
              </w:rPr>
              <w:t>485,405 </w:t>
            </w:r>
          </w:p>
        </w:tc>
      </w:tr>
      <w:tr>
        <w:trPr>
          <w:trHeight w:val="271" w:hRule="atLeast"/>
        </w:trPr>
        <w:tc>
          <w:tcPr>
            <w:tcW w:w="2336" w:type="dxa"/>
          </w:tcPr>
          <w:p>
            <w:pPr>
              <w:pStyle w:val="TableParagraph"/>
              <w:spacing w:line="250" w:lineRule="exact" w:before="1"/>
              <w:ind w:left="107"/>
              <w:rPr>
                <w:sz w:val="21"/>
              </w:rPr>
            </w:pPr>
            <w:r>
              <w:rPr>
                <w:spacing w:val="-1"/>
                <w:sz w:val="21"/>
              </w:rPr>
              <w:t>中坚公司之子公司</w:t>
            </w:r>
            <w:r>
              <w:rPr>
                <w:sz w:val="21"/>
              </w:rPr>
              <w:t> </w:t>
            </w:r>
          </w:p>
        </w:tc>
        <w:tc>
          <w:tcPr>
            <w:tcW w:w="2139" w:type="dxa"/>
          </w:tcPr>
          <w:p>
            <w:pPr>
              <w:pStyle w:val="TableParagraph"/>
              <w:spacing w:line="250" w:lineRule="exact" w:before="1"/>
              <w:ind w:left="105"/>
              <w:rPr>
                <w:sz w:val="21"/>
              </w:rPr>
            </w:pPr>
            <w:r>
              <w:rPr>
                <w:spacing w:val="-1"/>
                <w:sz w:val="21"/>
              </w:rPr>
              <w:t>销售货物</w:t>
            </w:r>
            <w:r>
              <w:rPr>
                <w:sz w:val="21"/>
              </w:rPr>
              <w:t> </w:t>
            </w:r>
          </w:p>
        </w:tc>
        <w:tc>
          <w:tcPr>
            <w:tcW w:w="2175" w:type="dxa"/>
          </w:tcPr>
          <w:p>
            <w:pPr>
              <w:pStyle w:val="TableParagraph"/>
              <w:spacing w:line="250" w:lineRule="exact" w:before="1"/>
              <w:ind w:right="-15"/>
              <w:jc w:val="right"/>
              <w:rPr>
                <w:sz w:val="21"/>
              </w:rPr>
            </w:pPr>
            <w:r>
              <w:rPr>
                <w:sz w:val="21"/>
              </w:rPr>
              <w:t>149,375 </w:t>
            </w:r>
          </w:p>
        </w:tc>
        <w:tc>
          <w:tcPr>
            <w:tcW w:w="2175" w:type="dxa"/>
          </w:tcPr>
          <w:p>
            <w:pPr>
              <w:pStyle w:val="TableParagraph"/>
              <w:spacing w:line="250" w:lineRule="exact" w:before="1"/>
              <w:ind w:right="-15"/>
              <w:jc w:val="right"/>
              <w:rPr>
                <w:sz w:val="21"/>
              </w:rPr>
            </w:pPr>
            <w:r>
              <w:rPr>
                <w:sz w:val="21"/>
              </w:rPr>
              <w:t>241,939 </w:t>
            </w:r>
          </w:p>
        </w:tc>
      </w:tr>
      <w:tr>
        <w:trPr>
          <w:trHeight w:val="544" w:hRule="atLeast"/>
        </w:trPr>
        <w:tc>
          <w:tcPr>
            <w:tcW w:w="2336" w:type="dxa"/>
          </w:tcPr>
          <w:p>
            <w:pPr>
              <w:pStyle w:val="TableParagraph"/>
              <w:spacing w:before="1"/>
              <w:ind w:left="107"/>
              <w:rPr>
                <w:sz w:val="21"/>
              </w:rPr>
            </w:pPr>
            <w:r>
              <w:rPr>
                <w:spacing w:val="-10"/>
                <w:sz w:val="21"/>
              </w:rPr>
              <w:t>持有本公司 </w:t>
            </w:r>
            <w:r>
              <w:rPr>
                <w:sz w:val="21"/>
              </w:rPr>
              <w:t>5%以上股</w:t>
            </w:r>
          </w:p>
          <w:p>
            <w:pPr>
              <w:pStyle w:val="TableParagraph"/>
              <w:spacing w:line="250" w:lineRule="exact" w:before="4"/>
              <w:ind w:left="107"/>
              <w:rPr>
                <w:sz w:val="21"/>
              </w:rPr>
            </w:pPr>
            <w:r>
              <w:rPr>
                <w:spacing w:val="-1"/>
                <w:sz w:val="21"/>
              </w:rPr>
              <w:t>份的股东</w:t>
            </w:r>
            <w:r>
              <w:rPr>
                <w:sz w:val="21"/>
              </w:rPr>
              <w:t> </w:t>
            </w:r>
          </w:p>
        </w:tc>
        <w:tc>
          <w:tcPr>
            <w:tcW w:w="2139" w:type="dxa"/>
          </w:tcPr>
          <w:p>
            <w:pPr>
              <w:pStyle w:val="TableParagraph"/>
              <w:spacing w:before="1"/>
              <w:ind w:left="105"/>
              <w:rPr>
                <w:sz w:val="21"/>
              </w:rPr>
            </w:pPr>
            <w:r>
              <w:rPr>
                <w:spacing w:val="-1"/>
                <w:sz w:val="21"/>
              </w:rPr>
              <w:t>销售货物</w:t>
            </w:r>
            <w:r>
              <w:rPr>
                <w:sz w:val="21"/>
              </w:rPr>
              <w:t> </w:t>
            </w:r>
          </w:p>
        </w:tc>
        <w:tc>
          <w:tcPr>
            <w:tcW w:w="2175" w:type="dxa"/>
          </w:tcPr>
          <w:p>
            <w:pPr>
              <w:pStyle w:val="TableParagraph"/>
              <w:spacing w:before="1"/>
              <w:ind w:right="-15"/>
              <w:jc w:val="right"/>
              <w:rPr>
                <w:sz w:val="21"/>
              </w:rPr>
            </w:pPr>
            <w:r>
              <w:rPr>
                <w:sz w:val="21"/>
              </w:rPr>
              <w:t>130,572 </w:t>
            </w:r>
          </w:p>
        </w:tc>
        <w:tc>
          <w:tcPr>
            <w:tcW w:w="2175" w:type="dxa"/>
          </w:tcPr>
          <w:p>
            <w:pPr>
              <w:pStyle w:val="TableParagraph"/>
              <w:spacing w:before="1"/>
              <w:ind w:right="-15"/>
              <w:jc w:val="right"/>
              <w:rPr>
                <w:sz w:val="21"/>
              </w:rPr>
            </w:pPr>
            <w:r>
              <w:rPr>
                <w:sz w:val="21"/>
              </w:rPr>
              <w:t>128,995 </w:t>
            </w:r>
          </w:p>
        </w:tc>
      </w:tr>
      <w:tr>
        <w:trPr>
          <w:trHeight w:val="273" w:hRule="atLeast"/>
        </w:trPr>
        <w:tc>
          <w:tcPr>
            <w:tcW w:w="2336" w:type="dxa"/>
          </w:tcPr>
          <w:p>
            <w:pPr>
              <w:pStyle w:val="TableParagraph"/>
              <w:spacing w:line="252" w:lineRule="exact" w:before="1"/>
              <w:ind w:left="107"/>
              <w:rPr>
                <w:sz w:val="21"/>
              </w:rPr>
            </w:pPr>
            <w:r>
              <w:rPr>
                <w:spacing w:val="-1"/>
                <w:sz w:val="21"/>
              </w:rPr>
              <w:t>鸿海精密及其子公司</w:t>
            </w:r>
            <w:r>
              <w:rPr>
                <w:sz w:val="21"/>
              </w:rPr>
              <w:t> </w:t>
            </w:r>
          </w:p>
        </w:tc>
        <w:tc>
          <w:tcPr>
            <w:tcW w:w="2139" w:type="dxa"/>
          </w:tcPr>
          <w:p>
            <w:pPr>
              <w:pStyle w:val="TableParagraph"/>
              <w:spacing w:line="252" w:lineRule="exact" w:before="1"/>
              <w:ind w:left="105"/>
              <w:rPr>
                <w:sz w:val="21"/>
              </w:rPr>
            </w:pPr>
            <w:r>
              <w:rPr>
                <w:spacing w:val="-1"/>
                <w:sz w:val="21"/>
              </w:rPr>
              <w:t>提供劳务及服务</w:t>
            </w:r>
            <w:r>
              <w:rPr>
                <w:sz w:val="21"/>
              </w:rPr>
              <w:t> </w:t>
            </w:r>
          </w:p>
        </w:tc>
        <w:tc>
          <w:tcPr>
            <w:tcW w:w="2175" w:type="dxa"/>
          </w:tcPr>
          <w:p>
            <w:pPr>
              <w:pStyle w:val="TableParagraph"/>
              <w:spacing w:line="252" w:lineRule="exact" w:before="1"/>
              <w:ind w:right="-15"/>
              <w:jc w:val="right"/>
              <w:rPr>
                <w:sz w:val="21"/>
              </w:rPr>
            </w:pPr>
            <w:r>
              <w:rPr>
                <w:sz w:val="21"/>
              </w:rPr>
              <w:t>58,114 </w:t>
            </w:r>
          </w:p>
        </w:tc>
        <w:tc>
          <w:tcPr>
            <w:tcW w:w="2175" w:type="dxa"/>
          </w:tcPr>
          <w:p>
            <w:pPr>
              <w:pStyle w:val="TableParagraph"/>
              <w:spacing w:line="252" w:lineRule="exact" w:before="1"/>
              <w:ind w:right="-15"/>
              <w:jc w:val="right"/>
              <w:rPr>
                <w:sz w:val="21"/>
              </w:rPr>
            </w:pPr>
            <w:r>
              <w:rPr>
                <w:sz w:val="21"/>
              </w:rPr>
              <w:t>130,510 </w:t>
            </w:r>
          </w:p>
        </w:tc>
      </w:tr>
      <w:tr>
        <w:trPr>
          <w:trHeight w:val="273" w:hRule="atLeast"/>
        </w:trPr>
        <w:tc>
          <w:tcPr>
            <w:tcW w:w="2336" w:type="dxa"/>
          </w:tcPr>
          <w:p>
            <w:pPr>
              <w:pStyle w:val="TableParagraph"/>
              <w:spacing w:line="252" w:lineRule="exact" w:before="1"/>
              <w:ind w:left="107"/>
              <w:rPr>
                <w:sz w:val="21"/>
              </w:rPr>
            </w:pPr>
            <w:r>
              <w:rPr>
                <w:spacing w:val="-1"/>
                <w:sz w:val="21"/>
              </w:rPr>
              <w:t>中坚公司之子公司</w:t>
            </w:r>
            <w:r>
              <w:rPr>
                <w:sz w:val="21"/>
              </w:rPr>
              <w:t> </w:t>
            </w:r>
          </w:p>
        </w:tc>
        <w:tc>
          <w:tcPr>
            <w:tcW w:w="2139" w:type="dxa"/>
          </w:tcPr>
          <w:p>
            <w:pPr>
              <w:pStyle w:val="TableParagraph"/>
              <w:spacing w:line="252" w:lineRule="exact" w:before="1"/>
              <w:ind w:left="105"/>
              <w:rPr>
                <w:sz w:val="21"/>
              </w:rPr>
            </w:pPr>
            <w:r>
              <w:rPr>
                <w:spacing w:val="-1"/>
                <w:sz w:val="21"/>
              </w:rPr>
              <w:t>提供劳务及服务</w:t>
            </w:r>
            <w:r>
              <w:rPr>
                <w:sz w:val="21"/>
              </w:rPr>
              <w:t> </w:t>
            </w:r>
          </w:p>
        </w:tc>
        <w:tc>
          <w:tcPr>
            <w:tcW w:w="2175" w:type="dxa"/>
          </w:tcPr>
          <w:p>
            <w:pPr>
              <w:pStyle w:val="TableParagraph"/>
              <w:spacing w:line="252" w:lineRule="exact" w:before="1"/>
              <w:ind w:right="-15"/>
              <w:jc w:val="right"/>
              <w:rPr>
                <w:sz w:val="21"/>
              </w:rPr>
            </w:pPr>
            <w:r>
              <w:rPr>
                <w:sz w:val="21"/>
              </w:rPr>
              <w:t>30,179 </w:t>
            </w:r>
          </w:p>
        </w:tc>
        <w:tc>
          <w:tcPr>
            <w:tcW w:w="2175" w:type="dxa"/>
          </w:tcPr>
          <w:p>
            <w:pPr>
              <w:pStyle w:val="TableParagraph"/>
              <w:spacing w:line="252" w:lineRule="exact" w:before="1"/>
              <w:ind w:right="-15"/>
              <w:jc w:val="right"/>
              <w:rPr>
                <w:sz w:val="21"/>
              </w:rPr>
            </w:pPr>
            <w:r>
              <w:rPr>
                <w:sz w:val="21"/>
              </w:rPr>
              <w:t>105,984 </w:t>
            </w:r>
          </w:p>
        </w:tc>
      </w:tr>
      <w:tr>
        <w:trPr>
          <w:trHeight w:val="544" w:hRule="atLeast"/>
        </w:trPr>
        <w:tc>
          <w:tcPr>
            <w:tcW w:w="2336" w:type="dxa"/>
          </w:tcPr>
          <w:p>
            <w:pPr>
              <w:pStyle w:val="TableParagraph"/>
              <w:spacing w:before="1"/>
              <w:ind w:left="107"/>
              <w:rPr>
                <w:sz w:val="21"/>
              </w:rPr>
            </w:pPr>
            <w:r>
              <w:rPr>
                <w:spacing w:val="-1"/>
                <w:sz w:val="21"/>
              </w:rPr>
              <w:t>鸿海精密之合(联)营企</w:t>
            </w:r>
          </w:p>
          <w:p>
            <w:pPr>
              <w:pStyle w:val="TableParagraph"/>
              <w:spacing w:line="252" w:lineRule="exact" w:before="2"/>
              <w:ind w:left="107"/>
              <w:rPr>
                <w:sz w:val="21"/>
              </w:rPr>
            </w:pPr>
            <w:r>
              <w:rPr>
                <w:sz w:val="21"/>
              </w:rPr>
              <w:t>业 </w:t>
            </w:r>
          </w:p>
        </w:tc>
        <w:tc>
          <w:tcPr>
            <w:tcW w:w="2139" w:type="dxa"/>
          </w:tcPr>
          <w:p>
            <w:pPr>
              <w:pStyle w:val="TableParagraph"/>
              <w:spacing w:before="1"/>
              <w:ind w:left="105"/>
              <w:rPr>
                <w:sz w:val="21"/>
              </w:rPr>
            </w:pPr>
            <w:r>
              <w:rPr>
                <w:spacing w:val="-1"/>
                <w:sz w:val="21"/>
              </w:rPr>
              <w:t>提供劳务及服务</w:t>
            </w:r>
            <w:r>
              <w:rPr>
                <w:sz w:val="21"/>
              </w:rPr>
              <w:t> </w:t>
            </w:r>
          </w:p>
        </w:tc>
        <w:tc>
          <w:tcPr>
            <w:tcW w:w="2175" w:type="dxa"/>
          </w:tcPr>
          <w:p>
            <w:pPr>
              <w:pStyle w:val="TableParagraph"/>
              <w:spacing w:before="1"/>
              <w:ind w:right="-15"/>
              <w:jc w:val="right"/>
              <w:rPr>
                <w:sz w:val="21"/>
              </w:rPr>
            </w:pPr>
            <w:r>
              <w:rPr>
                <w:sz w:val="21"/>
              </w:rPr>
              <w:t>26,662 </w:t>
            </w:r>
          </w:p>
        </w:tc>
        <w:tc>
          <w:tcPr>
            <w:tcW w:w="2175" w:type="dxa"/>
          </w:tcPr>
          <w:p>
            <w:pPr>
              <w:pStyle w:val="TableParagraph"/>
              <w:spacing w:before="1"/>
              <w:ind w:right="-15"/>
              <w:jc w:val="right"/>
              <w:rPr>
                <w:sz w:val="21"/>
              </w:rPr>
            </w:pPr>
            <w:r>
              <w:rPr>
                <w:sz w:val="21"/>
              </w:rPr>
              <w:t>18,094 </w:t>
            </w:r>
          </w:p>
        </w:tc>
      </w:tr>
      <w:tr>
        <w:trPr>
          <w:trHeight w:val="544" w:hRule="atLeast"/>
        </w:trPr>
        <w:tc>
          <w:tcPr>
            <w:tcW w:w="2336" w:type="dxa"/>
          </w:tcPr>
          <w:p>
            <w:pPr>
              <w:pStyle w:val="TableParagraph"/>
              <w:spacing w:before="1"/>
              <w:ind w:left="107"/>
              <w:rPr>
                <w:sz w:val="21"/>
              </w:rPr>
            </w:pPr>
            <w:r>
              <w:rPr>
                <w:spacing w:val="-1"/>
                <w:sz w:val="21"/>
              </w:rPr>
              <w:t>中坚公司之合(联)营企</w:t>
            </w:r>
          </w:p>
          <w:p>
            <w:pPr>
              <w:pStyle w:val="TableParagraph"/>
              <w:spacing w:line="252" w:lineRule="exact" w:before="2"/>
              <w:ind w:left="107"/>
              <w:rPr>
                <w:sz w:val="21"/>
              </w:rPr>
            </w:pPr>
            <w:r>
              <w:rPr>
                <w:sz w:val="21"/>
              </w:rPr>
              <w:t>业 </w:t>
            </w:r>
          </w:p>
        </w:tc>
        <w:tc>
          <w:tcPr>
            <w:tcW w:w="2139" w:type="dxa"/>
          </w:tcPr>
          <w:p>
            <w:pPr>
              <w:pStyle w:val="TableParagraph"/>
              <w:spacing w:before="1"/>
              <w:ind w:left="105"/>
              <w:rPr>
                <w:sz w:val="21"/>
              </w:rPr>
            </w:pPr>
            <w:r>
              <w:rPr>
                <w:spacing w:val="-1"/>
                <w:sz w:val="21"/>
              </w:rPr>
              <w:t>提供劳务及服务</w:t>
            </w:r>
            <w:r>
              <w:rPr>
                <w:sz w:val="21"/>
              </w:rPr>
              <w:t> </w:t>
            </w:r>
          </w:p>
        </w:tc>
        <w:tc>
          <w:tcPr>
            <w:tcW w:w="2175" w:type="dxa"/>
          </w:tcPr>
          <w:p>
            <w:pPr>
              <w:pStyle w:val="TableParagraph"/>
              <w:spacing w:before="1"/>
              <w:ind w:right="-15"/>
              <w:jc w:val="right"/>
              <w:rPr>
                <w:sz w:val="21"/>
              </w:rPr>
            </w:pPr>
            <w:r>
              <w:rPr>
                <w:sz w:val="21"/>
              </w:rPr>
              <w:t>3,593 </w:t>
            </w:r>
          </w:p>
        </w:tc>
        <w:tc>
          <w:tcPr>
            <w:tcW w:w="2175" w:type="dxa"/>
          </w:tcPr>
          <w:p>
            <w:pPr>
              <w:pStyle w:val="TableParagraph"/>
              <w:spacing w:before="1"/>
              <w:ind w:right="-15"/>
              <w:jc w:val="right"/>
              <w:rPr>
                <w:sz w:val="21"/>
              </w:rPr>
            </w:pPr>
            <w:r>
              <w:rPr>
                <w:sz w:val="21"/>
              </w:rPr>
              <w:t>48,235 </w:t>
            </w:r>
          </w:p>
        </w:tc>
      </w:tr>
    </w:tbl>
    <w:p>
      <w:pPr>
        <w:spacing w:after="0"/>
        <w:jc w:val="right"/>
        <w:rPr>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6"/>
        <w:gridCol w:w="2139"/>
        <w:gridCol w:w="2175"/>
        <w:gridCol w:w="2175"/>
      </w:tblGrid>
      <w:tr>
        <w:trPr>
          <w:trHeight w:val="547" w:hRule="atLeast"/>
        </w:trPr>
        <w:tc>
          <w:tcPr>
            <w:tcW w:w="2336" w:type="dxa"/>
          </w:tcPr>
          <w:p>
            <w:pPr>
              <w:pStyle w:val="TableParagraph"/>
              <w:spacing w:line="270" w:lineRule="atLeast"/>
              <w:ind w:left="107" w:right="272"/>
              <w:rPr>
                <w:sz w:val="21"/>
              </w:rPr>
            </w:pPr>
            <w:r>
              <w:rPr>
                <w:spacing w:val="-11"/>
                <w:sz w:val="21"/>
              </w:rPr>
              <w:t>持有本公司 </w:t>
            </w:r>
            <w:r>
              <w:rPr>
                <w:spacing w:val="-2"/>
                <w:sz w:val="21"/>
              </w:rPr>
              <w:t>5%以上股</w:t>
            </w:r>
            <w:r>
              <w:rPr>
                <w:sz w:val="21"/>
              </w:rPr>
              <w:t>份的股东 </w:t>
            </w:r>
          </w:p>
        </w:tc>
        <w:tc>
          <w:tcPr>
            <w:tcW w:w="2139" w:type="dxa"/>
          </w:tcPr>
          <w:p>
            <w:pPr>
              <w:pStyle w:val="TableParagraph"/>
              <w:spacing w:before="3"/>
              <w:ind w:left="105"/>
              <w:rPr>
                <w:sz w:val="21"/>
              </w:rPr>
            </w:pPr>
            <w:r>
              <w:rPr>
                <w:spacing w:val="-1"/>
                <w:sz w:val="21"/>
              </w:rPr>
              <w:t>提供劳务及服务</w:t>
            </w:r>
            <w:r>
              <w:rPr>
                <w:sz w:val="21"/>
              </w:rPr>
              <w:t> </w:t>
            </w:r>
          </w:p>
        </w:tc>
        <w:tc>
          <w:tcPr>
            <w:tcW w:w="2175" w:type="dxa"/>
          </w:tcPr>
          <w:p>
            <w:pPr>
              <w:pStyle w:val="TableParagraph"/>
              <w:spacing w:before="3"/>
              <w:ind w:right="-15"/>
              <w:jc w:val="right"/>
              <w:rPr>
                <w:sz w:val="21"/>
              </w:rPr>
            </w:pPr>
            <w:r>
              <w:rPr>
                <w:sz w:val="21"/>
              </w:rPr>
              <w:t>2,941 </w:t>
            </w:r>
          </w:p>
        </w:tc>
        <w:tc>
          <w:tcPr>
            <w:tcW w:w="2175" w:type="dxa"/>
          </w:tcPr>
          <w:p>
            <w:pPr>
              <w:pStyle w:val="TableParagraph"/>
              <w:spacing w:before="3"/>
              <w:ind w:right="-15"/>
              <w:jc w:val="right"/>
              <w:rPr>
                <w:sz w:val="21"/>
              </w:rPr>
            </w:pPr>
            <w:r>
              <w:rPr>
                <w:sz w:val="21"/>
              </w:rPr>
              <w:t>10,668 </w:t>
            </w:r>
          </w:p>
        </w:tc>
      </w:tr>
      <w:tr>
        <w:trPr>
          <w:trHeight w:val="270" w:hRule="atLeast"/>
        </w:trPr>
        <w:tc>
          <w:tcPr>
            <w:tcW w:w="2336" w:type="dxa"/>
          </w:tcPr>
          <w:p>
            <w:pPr>
              <w:pStyle w:val="TableParagraph"/>
              <w:spacing w:line="250" w:lineRule="exact" w:before="1"/>
              <w:ind w:left="107"/>
              <w:rPr>
                <w:sz w:val="21"/>
              </w:rPr>
            </w:pPr>
            <w:r>
              <w:rPr>
                <w:sz w:val="21"/>
              </w:rPr>
              <w:t>其他关联方 </w:t>
            </w:r>
          </w:p>
        </w:tc>
        <w:tc>
          <w:tcPr>
            <w:tcW w:w="2139" w:type="dxa"/>
          </w:tcPr>
          <w:p>
            <w:pPr>
              <w:pStyle w:val="TableParagraph"/>
              <w:spacing w:line="250" w:lineRule="exact" w:before="1"/>
              <w:ind w:left="105"/>
              <w:rPr>
                <w:sz w:val="21"/>
              </w:rPr>
            </w:pPr>
            <w:r>
              <w:rPr>
                <w:spacing w:val="-1"/>
                <w:sz w:val="21"/>
              </w:rPr>
              <w:t>销售货物</w:t>
            </w:r>
            <w:r>
              <w:rPr>
                <w:sz w:val="21"/>
              </w:rPr>
              <w:t> </w:t>
            </w:r>
          </w:p>
        </w:tc>
        <w:tc>
          <w:tcPr>
            <w:tcW w:w="2175" w:type="dxa"/>
          </w:tcPr>
          <w:p>
            <w:pPr>
              <w:pStyle w:val="TableParagraph"/>
              <w:spacing w:line="250" w:lineRule="exact" w:before="1"/>
              <w:ind w:right="-15"/>
              <w:jc w:val="right"/>
              <w:rPr>
                <w:sz w:val="21"/>
              </w:rPr>
            </w:pPr>
            <w:r>
              <w:rPr>
                <w:sz w:val="21"/>
              </w:rPr>
              <w:t>1,765 </w:t>
            </w:r>
          </w:p>
        </w:tc>
        <w:tc>
          <w:tcPr>
            <w:tcW w:w="2175" w:type="dxa"/>
          </w:tcPr>
          <w:p>
            <w:pPr>
              <w:pStyle w:val="TableParagraph"/>
              <w:spacing w:line="250" w:lineRule="exact" w:before="1"/>
              <w:ind w:right="-15"/>
              <w:jc w:val="right"/>
              <w:rPr>
                <w:sz w:val="21"/>
              </w:rPr>
            </w:pPr>
            <w:r>
              <w:rPr>
                <w:sz w:val="21"/>
              </w:rPr>
              <w:t>1,131 </w:t>
            </w:r>
          </w:p>
        </w:tc>
      </w:tr>
      <w:tr>
        <w:trPr>
          <w:trHeight w:val="544" w:hRule="atLeast"/>
        </w:trPr>
        <w:tc>
          <w:tcPr>
            <w:tcW w:w="2336" w:type="dxa"/>
          </w:tcPr>
          <w:p>
            <w:pPr>
              <w:pStyle w:val="TableParagraph"/>
              <w:spacing w:before="1"/>
              <w:ind w:left="107"/>
              <w:rPr>
                <w:sz w:val="21"/>
              </w:rPr>
            </w:pPr>
            <w:r>
              <w:rPr>
                <w:spacing w:val="-1"/>
                <w:sz w:val="21"/>
              </w:rPr>
              <w:t>中坚公司之合(联)营企</w:t>
            </w:r>
          </w:p>
          <w:p>
            <w:pPr>
              <w:pStyle w:val="TableParagraph"/>
              <w:spacing w:line="250" w:lineRule="exact" w:before="4"/>
              <w:ind w:left="107"/>
              <w:rPr>
                <w:sz w:val="21"/>
              </w:rPr>
            </w:pPr>
            <w:r>
              <w:rPr>
                <w:sz w:val="21"/>
              </w:rPr>
              <w:t>业 </w:t>
            </w:r>
          </w:p>
        </w:tc>
        <w:tc>
          <w:tcPr>
            <w:tcW w:w="2139" w:type="dxa"/>
          </w:tcPr>
          <w:p>
            <w:pPr>
              <w:pStyle w:val="TableParagraph"/>
              <w:spacing w:before="1"/>
              <w:ind w:left="105"/>
              <w:rPr>
                <w:sz w:val="21"/>
              </w:rPr>
            </w:pPr>
            <w:r>
              <w:rPr>
                <w:spacing w:val="-1"/>
                <w:sz w:val="21"/>
              </w:rPr>
              <w:t>销售货物</w:t>
            </w:r>
            <w:r>
              <w:rPr>
                <w:sz w:val="21"/>
              </w:rPr>
              <w:t> </w:t>
            </w:r>
          </w:p>
        </w:tc>
        <w:tc>
          <w:tcPr>
            <w:tcW w:w="2175" w:type="dxa"/>
          </w:tcPr>
          <w:p>
            <w:pPr>
              <w:pStyle w:val="TableParagraph"/>
              <w:spacing w:before="1"/>
              <w:ind w:right="-15"/>
              <w:jc w:val="right"/>
              <w:rPr>
                <w:sz w:val="21"/>
              </w:rPr>
            </w:pPr>
            <w:r>
              <w:rPr>
                <w:sz w:val="21"/>
              </w:rPr>
              <w:t>1,046 </w:t>
            </w:r>
          </w:p>
        </w:tc>
        <w:tc>
          <w:tcPr>
            <w:tcW w:w="2175" w:type="dxa"/>
          </w:tcPr>
          <w:p>
            <w:pPr>
              <w:pStyle w:val="TableParagraph"/>
              <w:spacing w:before="1"/>
              <w:ind w:right="-15"/>
              <w:jc w:val="right"/>
              <w:rPr>
                <w:sz w:val="21"/>
              </w:rPr>
            </w:pPr>
            <w:r>
              <w:rPr>
                <w:sz w:val="21"/>
              </w:rPr>
              <w:t>4,465 </w:t>
            </w:r>
          </w:p>
        </w:tc>
      </w:tr>
      <w:tr>
        <w:trPr>
          <w:trHeight w:val="273" w:hRule="atLeast"/>
        </w:trPr>
        <w:tc>
          <w:tcPr>
            <w:tcW w:w="2336" w:type="dxa"/>
          </w:tcPr>
          <w:p>
            <w:pPr>
              <w:pStyle w:val="TableParagraph"/>
              <w:spacing w:line="252" w:lineRule="exact" w:before="1"/>
              <w:ind w:left="107"/>
              <w:rPr>
                <w:sz w:val="21"/>
              </w:rPr>
            </w:pPr>
            <w:r>
              <w:rPr>
                <w:sz w:val="21"/>
              </w:rPr>
              <w:t>其他关联方 </w:t>
            </w:r>
          </w:p>
        </w:tc>
        <w:tc>
          <w:tcPr>
            <w:tcW w:w="2139" w:type="dxa"/>
          </w:tcPr>
          <w:p>
            <w:pPr>
              <w:pStyle w:val="TableParagraph"/>
              <w:spacing w:line="252" w:lineRule="exact" w:before="1"/>
              <w:ind w:left="105"/>
              <w:rPr>
                <w:sz w:val="21"/>
              </w:rPr>
            </w:pPr>
            <w:r>
              <w:rPr>
                <w:spacing w:val="-1"/>
                <w:sz w:val="21"/>
              </w:rPr>
              <w:t>提供劳务及服务</w:t>
            </w:r>
            <w:r>
              <w:rPr>
                <w:sz w:val="21"/>
              </w:rPr>
              <w:t> </w:t>
            </w:r>
          </w:p>
        </w:tc>
        <w:tc>
          <w:tcPr>
            <w:tcW w:w="2175" w:type="dxa"/>
          </w:tcPr>
          <w:p>
            <w:pPr>
              <w:pStyle w:val="TableParagraph"/>
              <w:spacing w:line="252" w:lineRule="exact" w:before="1"/>
              <w:ind w:right="-15"/>
              <w:jc w:val="right"/>
              <w:rPr>
                <w:sz w:val="21"/>
              </w:rPr>
            </w:pPr>
            <w:r>
              <w:rPr>
                <w:sz w:val="21"/>
              </w:rPr>
              <w:t>38 </w:t>
            </w:r>
          </w:p>
        </w:tc>
        <w:tc>
          <w:tcPr>
            <w:tcW w:w="2175" w:type="dxa"/>
          </w:tcPr>
          <w:p>
            <w:pPr>
              <w:pStyle w:val="TableParagraph"/>
              <w:spacing w:line="252" w:lineRule="exact" w:before="1"/>
              <w:ind w:right="-15"/>
              <w:jc w:val="right"/>
              <w:rPr>
                <w:sz w:val="21"/>
              </w:rPr>
            </w:pPr>
            <w:r>
              <w:rPr>
                <w:sz w:val="21"/>
              </w:rPr>
              <w:t>- </w:t>
            </w:r>
          </w:p>
        </w:tc>
      </w:tr>
      <w:tr>
        <w:trPr>
          <w:trHeight w:val="273" w:hRule="atLeast"/>
        </w:trPr>
        <w:tc>
          <w:tcPr>
            <w:tcW w:w="2336" w:type="dxa"/>
          </w:tcPr>
          <w:p>
            <w:pPr>
              <w:pStyle w:val="TableParagraph"/>
              <w:spacing w:line="252" w:lineRule="exact" w:before="1"/>
              <w:ind w:left="107"/>
              <w:rPr>
                <w:sz w:val="21"/>
              </w:rPr>
            </w:pPr>
            <w:r>
              <w:rPr>
                <w:spacing w:val="-1"/>
                <w:sz w:val="21"/>
              </w:rPr>
              <w:t>本集团之联营企业</w:t>
            </w:r>
            <w:r>
              <w:rPr>
                <w:sz w:val="21"/>
              </w:rPr>
              <w:t> </w:t>
            </w:r>
          </w:p>
        </w:tc>
        <w:tc>
          <w:tcPr>
            <w:tcW w:w="2139" w:type="dxa"/>
          </w:tcPr>
          <w:p>
            <w:pPr>
              <w:pStyle w:val="TableParagraph"/>
              <w:spacing w:line="252" w:lineRule="exact" w:before="1"/>
              <w:ind w:left="105"/>
              <w:rPr>
                <w:sz w:val="21"/>
              </w:rPr>
            </w:pPr>
            <w:r>
              <w:rPr>
                <w:spacing w:val="-1"/>
                <w:sz w:val="21"/>
              </w:rPr>
              <w:t>销售货物</w:t>
            </w:r>
            <w:r>
              <w:rPr>
                <w:sz w:val="21"/>
              </w:rPr>
              <w:t> </w:t>
            </w:r>
          </w:p>
        </w:tc>
        <w:tc>
          <w:tcPr>
            <w:tcW w:w="2175" w:type="dxa"/>
          </w:tcPr>
          <w:p>
            <w:pPr>
              <w:pStyle w:val="TableParagraph"/>
              <w:spacing w:line="252" w:lineRule="exact" w:before="1"/>
              <w:ind w:right="-15"/>
              <w:jc w:val="right"/>
              <w:rPr>
                <w:sz w:val="21"/>
              </w:rPr>
            </w:pPr>
            <w:r>
              <w:rPr>
                <w:sz w:val="21"/>
              </w:rPr>
              <w:t>- </w:t>
            </w:r>
          </w:p>
        </w:tc>
        <w:tc>
          <w:tcPr>
            <w:tcW w:w="2175" w:type="dxa"/>
          </w:tcPr>
          <w:p>
            <w:pPr>
              <w:pStyle w:val="TableParagraph"/>
              <w:spacing w:line="252" w:lineRule="exact" w:before="1"/>
              <w:ind w:right="-15"/>
              <w:jc w:val="right"/>
              <w:rPr>
                <w:sz w:val="21"/>
              </w:rPr>
            </w:pPr>
            <w:r>
              <w:rPr>
                <w:sz w:val="21"/>
              </w:rPr>
              <w:t>1,453 </w:t>
            </w:r>
          </w:p>
        </w:tc>
      </w:tr>
      <w:tr>
        <w:trPr>
          <w:trHeight w:val="270" w:hRule="atLeast"/>
        </w:trPr>
        <w:tc>
          <w:tcPr>
            <w:tcW w:w="2336" w:type="dxa"/>
          </w:tcPr>
          <w:p>
            <w:pPr>
              <w:pStyle w:val="TableParagraph"/>
              <w:spacing w:line="250" w:lineRule="exact" w:before="1"/>
              <w:ind w:left="107"/>
              <w:rPr>
                <w:sz w:val="21"/>
              </w:rPr>
            </w:pPr>
            <w:r>
              <w:rPr>
                <w:w w:val="100"/>
                <w:sz w:val="21"/>
              </w:rPr>
              <w:t> </w:t>
            </w:r>
          </w:p>
        </w:tc>
        <w:tc>
          <w:tcPr>
            <w:tcW w:w="2139" w:type="dxa"/>
          </w:tcPr>
          <w:p>
            <w:pPr>
              <w:pStyle w:val="TableParagraph"/>
              <w:spacing w:line="250" w:lineRule="exact" w:before="1"/>
              <w:ind w:left="105"/>
              <w:rPr>
                <w:sz w:val="21"/>
              </w:rPr>
            </w:pPr>
            <w:r>
              <w:rPr>
                <w:w w:val="100"/>
                <w:sz w:val="21"/>
              </w:rPr>
              <w:t> </w:t>
            </w:r>
          </w:p>
        </w:tc>
        <w:tc>
          <w:tcPr>
            <w:tcW w:w="2175" w:type="dxa"/>
          </w:tcPr>
          <w:p>
            <w:pPr>
              <w:pStyle w:val="TableParagraph"/>
              <w:spacing w:line="250" w:lineRule="exact" w:before="1"/>
              <w:ind w:right="-15"/>
              <w:jc w:val="right"/>
              <w:rPr>
                <w:sz w:val="21"/>
              </w:rPr>
            </w:pPr>
            <w:r>
              <w:rPr>
                <w:sz w:val="21"/>
              </w:rPr>
              <w:t>3,571,395 </w:t>
            </w:r>
          </w:p>
        </w:tc>
        <w:tc>
          <w:tcPr>
            <w:tcW w:w="2175" w:type="dxa"/>
          </w:tcPr>
          <w:p>
            <w:pPr>
              <w:pStyle w:val="TableParagraph"/>
              <w:spacing w:line="250" w:lineRule="exact" w:before="1"/>
              <w:ind w:right="-15"/>
              <w:jc w:val="right"/>
              <w:rPr>
                <w:sz w:val="21"/>
              </w:rPr>
            </w:pPr>
            <w:r>
              <w:rPr>
                <w:sz w:val="21"/>
              </w:rPr>
              <w:t>3,341,716 </w:t>
            </w:r>
          </w:p>
        </w:tc>
      </w:tr>
    </w:tbl>
    <w:p>
      <w:pPr>
        <w:pStyle w:val="BodyText"/>
        <w:spacing w:before="1"/>
      </w:pPr>
      <w:r>
        <w:rPr>
          <w:w w:val="100"/>
        </w:rPr>
        <w:t> </w:t>
      </w:r>
    </w:p>
    <w:p>
      <w:pPr>
        <w:pStyle w:val="BodyText"/>
        <w:spacing w:before="4"/>
      </w:pPr>
      <w:r>
        <w:rPr>
          <w:spacing w:val="-1"/>
        </w:rPr>
        <w:t>购销商品、提供和接受劳务的关联交易说明</w:t>
      </w:r>
      <w:r>
        <w:rPr/>
        <w:t> </w:t>
      </w:r>
    </w:p>
    <w:p>
      <w:pPr>
        <w:pStyle w:val="BodyText"/>
        <w:spacing w:before="3"/>
      </w:pPr>
      <w:r>
        <w:rPr>
          <w:spacing w:val="-1"/>
        </w:rPr>
        <w:t>□适用 √不适用</w:t>
      </w:r>
      <w:r>
        <w:rPr>
          <w:spacing w:val="-3"/>
        </w:rPr>
        <w:t> </w:t>
      </w:r>
      <w:r>
        <w:rPr/>
        <w:t> </w:t>
      </w:r>
    </w:p>
    <w:p>
      <w:pPr>
        <w:pStyle w:val="BodyText"/>
        <w:spacing w:before="4"/>
      </w:pPr>
      <w:r>
        <w:rPr>
          <w:w w:val="100"/>
        </w:rPr>
        <w:t> </w:t>
      </w:r>
    </w:p>
    <w:p>
      <w:pPr>
        <w:pStyle w:val="ListParagraph"/>
        <w:numPr>
          <w:ilvl w:val="0"/>
          <w:numId w:val="86"/>
        </w:numPr>
        <w:tabs>
          <w:tab w:pos="743" w:val="left" w:leader="none"/>
        </w:tabs>
        <w:spacing w:line="297" w:lineRule="auto" w:before="62" w:after="0"/>
        <w:ind w:left="318" w:right="5781" w:firstLine="0"/>
        <w:jc w:val="left"/>
        <w:rPr>
          <w:sz w:val="21"/>
        </w:rPr>
      </w:pPr>
      <w:r>
        <w:rPr>
          <w:sz w:val="21"/>
        </w:rPr>
        <w:t>关联受托管理/承包及委托管理/出包情况本公司受托管理/承包情况表： </w:t>
      </w:r>
    </w:p>
    <w:p>
      <w:pPr>
        <w:pStyle w:val="BodyText"/>
        <w:spacing w:line="207" w:lineRule="exact"/>
      </w:pPr>
      <w:r>
        <w:rPr>
          <w:spacing w:val="-1"/>
        </w:rPr>
        <w:t>□适用 √不适用</w:t>
      </w:r>
      <w:r>
        <w:rPr>
          <w:spacing w:val="-3"/>
        </w:rPr>
        <w:t> </w:t>
      </w:r>
      <w:r>
        <w:rPr/>
        <w:t> </w:t>
      </w:r>
    </w:p>
    <w:p>
      <w:pPr>
        <w:pStyle w:val="BodyText"/>
        <w:spacing w:before="5"/>
      </w:pPr>
      <w:r>
        <w:rPr>
          <w:spacing w:val="-1"/>
        </w:rPr>
        <w:t>关联托管/承包情况说明</w:t>
      </w:r>
      <w:r>
        <w:rPr/>
        <w:t> </w:t>
      </w:r>
    </w:p>
    <w:p>
      <w:pPr>
        <w:pStyle w:val="BodyText"/>
        <w:spacing w:before="2"/>
      </w:pPr>
      <w:r>
        <w:rPr>
          <w:spacing w:val="-1"/>
        </w:rPr>
        <w:t>□适用 √不适用</w:t>
      </w:r>
      <w:r>
        <w:rPr>
          <w:spacing w:val="-3"/>
        </w:rPr>
        <w:t> </w:t>
      </w:r>
      <w:r>
        <w:rPr/>
        <w:t> </w:t>
      </w:r>
    </w:p>
    <w:p>
      <w:pPr>
        <w:pStyle w:val="BodyText"/>
        <w:spacing w:before="4"/>
      </w:pPr>
      <w:r>
        <w:rPr>
          <w:w w:val="100"/>
        </w:rPr>
        <w:t> </w:t>
      </w:r>
    </w:p>
    <w:p>
      <w:pPr>
        <w:pStyle w:val="BodyText"/>
        <w:spacing w:before="3"/>
      </w:pPr>
      <w:r>
        <w:rPr>
          <w:spacing w:val="-1"/>
        </w:rPr>
        <w:t>本公司委托管理/出包情况表 </w:t>
      </w:r>
    </w:p>
    <w:p>
      <w:pPr>
        <w:pStyle w:val="BodyText"/>
        <w:spacing w:before="4"/>
      </w:pPr>
      <w:r>
        <w:rPr>
          <w:spacing w:val="-1"/>
        </w:rPr>
        <w:t>□适用 √不适用</w:t>
      </w:r>
      <w:r>
        <w:rPr>
          <w:spacing w:val="-3"/>
        </w:rPr>
        <w:t> </w:t>
      </w:r>
      <w:r>
        <w:rPr/>
        <w:t> </w:t>
      </w:r>
    </w:p>
    <w:p>
      <w:pPr>
        <w:pStyle w:val="BodyText"/>
        <w:spacing w:before="2"/>
      </w:pPr>
      <w:r>
        <w:rPr>
          <w:spacing w:val="-1"/>
        </w:rPr>
        <w:t>关联管理/出包情况说明</w:t>
      </w:r>
      <w:r>
        <w:rPr/>
        <w:t> </w:t>
      </w:r>
    </w:p>
    <w:p>
      <w:pPr>
        <w:pStyle w:val="BodyText"/>
        <w:spacing w:before="5"/>
      </w:pPr>
      <w:r>
        <w:rPr>
          <w:spacing w:val="-1"/>
        </w:rPr>
        <w:t>□适用 √不适用</w:t>
      </w:r>
      <w:r>
        <w:rPr>
          <w:spacing w:val="-3"/>
        </w:rPr>
        <w:t> </w:t>
      </w:r>
      <w:r>
        <w:rPr/>
        <w:t> </w:t>
      </w:r>
    </w:p>
    <w:p>
      <w:pPr>
        <w:pStyle w:val="BodyText"/>
        <w:spacing w:before="2"/>
      </w:pPr>
      <w:r>
        <w:rPr>
          <w:w w:val="100"/>
        </w:rPr>
        <w:t> </w:t>
      </w:r>
    </w:p>
    <w:p>
      <w:pPr>
        <w:pStyle w:val="ListParagraph"/>
        <w:numPr>
          <w:ilvl w:val="0"/>
          <w:numId w:val="86"/>
        </w:numPr>
        <w:tabs>
          <w:tab w:pos="743" w:val="left" w:leader="none"/>
        </w:tabs>
        <w:spacing w:line="295" w:lineRule="auto" w:before="64" w:after="0"/>
        <w:ind w:left="318" w:right="8109" w:firstLine="0"/>
        <w:jc w:val="left"/>
        <w:rPr>
          <w:sz w:val="21"/>
        </w:rPr>
      </w:pPr>
      <w:r>
        <w:rPr>
          <w:sz w:val="21"/>
        </w:rPr>
        <w:t>关联租赁情况</w:t>
      </w:r>
      <w:r>
        <w:rPr>
          <w:spacing w:val="5"/>
          <w:sz w:val="21"/>
        </w:rPr>
        <w:t> </w:t>
      </w:r>
      <w:r>
        <w:rPr>
          <w:sz w:val="21"/>
        </w:rPr>
        <w:t>本公司作为出租方： </w:t>
      </w:r>
    </w:p>
    <w:p>
      <w:pPr>
        <w:pStyle w:val="BodyText"/>
        <w:spacing w:line="210" w:lineRule="exact"/>
      </w:pPr>
      <w:r>
        <w:rPr>
          <w:spacing w:val="-1"/>
        </w:rPr>
        <w:t>√适用 □不适用</w:t>
      </w:r>
      <w:r>
        <w:rPr>
          <w:spacing w:val="-3"/>
        </w:rPr>
        <w:t> </w:t>
      </w:r>
      <w:r>
        <w:rPr/>
        <w:t> </w:t>
      </w:r>
    </w:p>
    <w:p>
      <w:pPr>
        <w:pStyle w:val="BodyText"/>
        <w:spacing w:before="5"/>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2"/>
        <w:gridCol w:w="1969"/>
        <w:gridCol w:w="2442"/>
        <w:gridCol w:w="2653"/>
      </w:tblGrid>
      <w:tr>
        <w:trPr>
          <w:trHeight w:val="337" w:hRule="atLeast"/>
        </w:trPr>
        <w:tc>
          <w:tcPr>
            <w:tcW w:w="1762" w:type="dxa"/>
          </w:tcPr>
          <w:p>
            <w:pPr>
              <w:pStyle w:val="TableParagraph"/>
              <w:spacing w:before="34"/>
              <w:ind w:left="354"/>
              <w:rPr>
                <w:sz w:val="21"/>
              </w:rPr>
            </w:pPr>
            <w:r>
              <w:rPr>
                <w:sz w:val="21"/>
              </w:rPr>
              <w:t>承租方名称 </w:t>
            </w:r>
          </w:p>
        </w:tc>
        <w:tc>
          <w:tcPr>
            <w:tcW w:w="1969" w:type="dxa"/>
          </w:tcPr>
          <w:p>
            <w:pPr>
              <w:pStyle w:val="TableParagraph"/>
              <w:spacing w:before="34"/>
              <w:ind w:left="352"/>
              <w:rPr>
                <w:sz w:val="21"/>
              </w:rPr>
            </w:pPr>
            <w:r>
              <w:rPr>
                <w:spacing w:val="-1"/>
                <w:sz w:val="21"/>
              </w:rPr>
              <w:t>租赁资产种类</w:t>
            </w:r>
            <w:r>
              <w:rPr>
                <w:sz w:val="21"/>
              </w:rPr>
              <w:t> </w:t>
            </w:r>
          </w:p>
        </w:tc>
        <w:tc>
          <w:tcPr>
            <w:tcW w:w="2442" w:type="dxa"/>
          </w:tcPr>
          <w:p>
            <w:pPr>
              <w:pStyle w:val="TableParagraph"/>
              <w:spacing w:before="34"/>
              <w:ind w:left="274"/>
              <w:rPr>
                <w:sz w:val="21"/>
              </w:rPr>
            </w:pPr>
            <w:r>
              <w:rPr>
                <w:spacing w:val="-1"/>
                <w:sz w:val="21"/>
              </w:rPr>
              <w:t>本期确认的租赁收入</w:t>
            </w:r>
            <w:r>
              <w:rPr>
                <w:sz w:val="21"/>
              </w:rPr>
              <w:t> </w:t>
            </w:r>
          </w:p>
        </w:tc>
        <w:tc>
          <w:tcPr>
            <w:tcW w:w="2653" w:type="dxa"/>
          </w:tcPr>
          <w:p>
            <w:pPr>
              <w:pStyle w:val="TableParagraph"/>
              <w:spacing w:before="34"/>
              <w:ind w:left="377"/>
              <w:rPr>
                <w:sz w:val="21"/>
              </w:rPr>
            </w:pPr>
            <w:r>
              <w:rPr>
                <w:spacing w:val="-1"/>
                <w:sz w:val="21"/>
              </w:rPr>
              <w:t>上期确认的租赁收入</w:t>
            </w:r>
            <w:r>
              <w:rPr>
                <w:sz w:val="21"/>
              </w:rPr>
              <w:t> </w:t>
            </w:r>
          </w:p>
        </w:tc>
      </w:tr>
      <w:tr>
        <w:trPr>
          <w:trHeight w:val="546" w:hRule="atLeast"/>
        </w:trPr>
        <w:tc>
          <w:tcPr>
            <w:tcW w:w="1762" w:type="dxa"/>
          </w:tcPr>
          <w:p>
            <w:pPr>
              <w:pStyle w:val="TableParagraph"/>
              <w:spacing w:line="270" w:lineRule="atLeast"/>
              <w:ind w:left="107" w:right="379"/>
              <w:rPr>
                <w:sz w:val="21"/>
              </w:rPr>
            </w:pPr>
            <w:r>
              <w:rPr>
                <w:spacing w:val="-1"/>
                <w:sz w:val="21"/>
              </w:rPr>
              <w:t>鸿海精密之合</w:t>
            </w:r>
            <w:r>
              <w:rPr>
                <w:sz w:val="21"/>
              </w:rPr>
              <w:t>(联)营企业 </w:t>
            </w:r>
          </w:p>
        </w:tc>
        <w:tc>
          <w:tcPr>
            <w:tcW w:w="1969" w:type="dxa"/>
          </w:tcPr>
          <w:p>
            <w:pPr>
              <w:pStyle w:val="TableParagraph"/>
              <w:spacing w:before="3"/>
              <w:ind w:left="107"/>
              <w:rPr>
                <w:sz w:val="21"/>
              </w:rPr>
            </w:pPr>
            <w:r>
              <w:rPr>
                <w:sz w:val="21"/>
              </w:rPr>
              <w:t>设备 </w:t>
            </w:r>
          </w:p>
        </w:tc>
        <w:tc>
          <w:tcPr>
            <w:tcW w:w="2442" w:type="dxa"/>
          </w:tcPr>
          <w:p>
            <w:pPr>
              <w:pStyle w:val="TableParagraph"/>
              <w:spacing w:before="3"/>
              <w:ind w:right="-15"/>
              <w:jc w:val="right"/>
              <w:rPr>
                <w:sz w:val="21"/>
              </w:rPr>
            </w:pPr>
            <w:r>
              <w:rPr>
                <w:sz w:val="21"/>
              </w:rPr>
              <w:t>36,185 </w:t>
            </w:r>
          </w:p>
        </w:tc>
        <w:tc>
          <w:tcPr>
            <w:tcW w:w="2653" w:type="dxa"/>
          </w:tcPr>
          <w:p>
            <w:pPr>
              <w:pStyle w:val="TableParagraph"/>
              <w:spacing w:before="3"/>
              <w:ind w:right="-15"/>
              <w:jc w:val="right"/>
              <w:rPr>
                <w:sz w:val="21"/>
              </w:rPr>
            </w:pPr>
            <w:r>
              <w:rPr>
                <w:sz w:val="21"/>
              </w:rPr>
              <w:t>12,405 </w:t>
            </w:r>
          </w:p>
        </w:tc>
      </w:tr>
      <w:tr>
        <w:trPr>
          <w:trHeight w:val="544" w:hRule="atLeast"/>
        </w:trPr>
        <w:tc>
          <w:tcPr>
            <w:tcW w:w="1762" w:type="dxa"/>
          </w:tcPr>
          <w:p>
            <w:pPr>
              <w:pStyle w:val="TableParagraph"/>
              <w:spacing w:before="1"/>
              <w:ind w:left="107"/>
              <w:rPr>
                <w:sz w:val="21"/>
              </w:rPr>
            </w:pPr>
            <w:r>
              <w:rPr>
                <w:sz w:val="21"/>
              </w:rPr>
              <w:t>中坚公司之子公</w:t>
            </w:r>
          </w:p>
          <w:p>
            <w:pPr>
              <w:pStyle w:val="TableParagraph"/>
              <w:spacing w:line="252" w:lineRule="exact" w:before="2"/>
              <w:ind w:left="107"/>
              <w:rPr>
                <w:sz w:val="21"/>
              </w:rPr>
            </w:pPr>
            <w:r>
              <w:rPr>
                <w:sz w:val="21"/>
              </w:rPr>
              <w:t>司 </w:t>
            </w:r>
          </w:p>
        </w:tc>
        <w:tc>
          <w:tcPr>
            <w:tcW w:w="1969" w:type="dxa"/>
          </w:tcPr>
          <w:p>
            <w:pPr>
              <w:pStyle w:val="TableParagraph"/>
              <w:spacing w:before="1"/>
              <w:ind w:left="107"/>
              <w:rPr>
                <w:sz w:val="21"/>
              </w:rPr>
            </w:pPr>
            <w:r>
              <w:rPr>
                <w:sz w:val="21"/>
              </w:rPr>
              <w:t>房屋 </w:t>
            </w:r>
          </w:p>
        </w:tc>
        <w:tc>
          <w:tcPr>
            <w:tcW w:w="2442" w:type="dxa"/>
          </w:tcPr>
          <w:p>
            <w:pPr>
              <w:pStyle w:val="TableParagraph"/>
              <w:spacing w:before="1"/>
              <w:ind w:right="-15"/>
              <w:jc w:val="right"/>
              <w:rPr>
                <w:sz w:val="21"/>
              </w:rPr>
            </w:pPr>
            <w:r>
              <w:rPr>
                <w:sz w:val="21"/>
              </w:rPr>
              <w:t>17,822 </w:t>
            </w:r>
          </w:p>
        </w:tc>
        <w:tc>
          <w:tcPr>
            <w:tcW w:w="2653" w:type="dxa"/>
          </w:tcPr>
          <w:p>
            <w:pPr>
              <w:pStyle w:val="TableParagraph"/>
              <w:spacing w:before="1"/>
              <w:ind w:right="-15"/>
              <w:jc w:val="right"/>
              <w:rPr>
                <w:sz w:val="21"/>
              </w:rPr>
            </w:pPr>
            <w:r>
              <w:rPr>
                <w:sz w:val="21"/>
              </w:rPr>
              <w:t>24,485 </w:t>
            </w:r>
          </w:p>
        </w:tc>
      </w:tr>
      <w:tr>
        <w:trPr>
          <w:trHeight w:val="544" w:hRule="atLeast"/>
        </w:trPr>
        <w:tc>
          <w:tcPr>
            <w:tcW w:w="1762" w:type="dxa"/>
          </w:tcPr>
          <w:p>
            <w:pPr>
              <w:pStyle w:val="TableParagraph"/>
              <w:spacing w:before="1"/>
              <w:ind w:left="107"/>
              <w:rPr>
                <w:sz w:val="21"/>
              </w:rPr>
            </w:pPr>
            <w:r>
              <w:rPr>
                <w:sz w:val="21"/>
              </w:rPr>
              <w:t>鸿海精密及其子</w:t>
            </w:r>
          </w:p>
          <w:p>
            <w:pPr>
              <w:pStyle w:val="TableParagraph"/>
              <w:spacing w:line="252" w:lineRule="exact" w:before="2"/>
              <w:ind w:left="107"/>
              <w:rPr>
                <w:sz w:val="21"/>
              </w:rPr>
            </w:pPr>
            <w:r>
              <w:rPr>
                <w:sz w:val="21"/>
              </w:rPr>
              <w:t>公司 </w:t>
            </w:r>
          </w:p>
        </w:tc>
        <w:tc>
          <w:tcPr>
            <w:tcW w:w="1969" w:type="dxa"/>
          </w:tcPr>
          <w:p>
            <w:pPr>
              <w:pStyle w:val="TableParagraph"/>
              <w:spacing w:before="1"/>
              <w:ind w:left="107"/>
              <w:rPr>
                <w:sz w:val="21"/>
              </w:rPr>
            </w:pPr>
            <w:r>
              <w:rPr>
                <w:sz w:val="21"/>
              </w:rPr>
              <w:t>房屋 </w:t>
            </w:r>
          </w:p>
        </w:tc>
        <w:tc>
          <w:tcPr>
            <w:tcW w:w="2442" w:type="dxa"/>
          </w:tcPr>
          <w:p>
            <w:pPr>
              <w:pStyle w:val="TableParagraph"/>
              <w:spacing w:before="1"/>
              <w:ind w:right="-15"/>
              <w:jc w:val="right"/>
              <w:rPr>
                <w:sz w:val="21"/>
              </w:rPr>
            </w:pPr>
            <w:r>
              <w:rPr>
                <w:sz w:val="21"/>
              </w:rPr>
              <w:t>5,421 </w:t>
            </w:r>
          </w:p>
        </w:tc>
        <w:tc>
          <w:tcPr>
            <w:tcW w:w="2653" w:type="dxa"/>
          </w:tcPr>
          <w:p>
            <w:pPr>
              <w:pStyle w:val="TableParagraph"/>
              <w:spacing w:before="1"/>
              <w:ind w:right="-15"/>
              <w:jc w:val="right"/>
              <w:rPr>
                <w:sz w:val="21"/>
              </w:rPr>
            </w:pPr>
            <w:r>
              <w:rPr>
                <w:sz w:val="21"/>
              </w:rPr>
              <w:t>4,416 </w:t>
            </w:r>
          </w:p>
        </w:tc>
      </w:tr>
      <w:tr>
        <w:trPr>
          <w:trHeight w:val="544" w:hRule="atLeast"/>
        </w:trPr>
        <w:tc>
          <w:tcPr>
            <w:tcW w:w="1762" w:type="dxa"/>
          </w:tcPr>
          <w:p>
            <w:pPr>
              <w:pStyle w:val="TableParagraph"/>
              <w:spacing w:before="1"/>
              <w:ind w:left="107"/>
              <w:rPr>
                <w:sz w:val="21"/>
              </w:rPr>
            </w:pPr>
            <w:r>
              <w:rPr>
                <w:sz w:val="21"/>
              </w:rPr>
              <w:t>鸿海精密及其子</w:t>
            </w:r>
          </w:p>
          <w:p>
            <w:pPr>
              <w:pStyle w:val="TableParagraph"/>
              <w:spacing w:line="252" w:lineRule="exact" w:before="2"/>
              <w:ind w:left="107"/>
              <w:rPr>
                <w:sz w:val="21"/>
              </w:rPr>
            </w:pPr>
            <w:r>
              <w:rPr>
                <w:sz w:val="21"/>
              </w:rPr>
              <w:t>公司 </w:t>
            </w:r>
          </w:p>
        </w:tc>
        <w:tc>
          <w:tcPr>
            <w:tcW w:w="1969" w:type="dxa"/>
          </w:tcPr>
          <w:p>
            <w:pPr>
              <w:pStyle w:val="TableParagraph"/>
              <w:spacing w:before="1"/>
              <w:ind w:left="107"/>
              <w:rPr>
                <w:sz w:val="21"/>
              </w:rPr>
            </w:pPr>
            <w:r>
              <w:rPr>
                <w:sz w:val="21"/>
              </w:rPr>
              <w:t>设备 </w:t>
            </w:r>
          </w:p>
        </w:tc>
        <w:tc>
          <w:tcPr>
            <w:tcW w:w="2442" w:type="dxa"/>
          </w:tcPr>
          <w:p>
            <w:pPr>
              <w:pStyle w:val="TableParagraph"/>
              <w:spacing w:before="1"/>
              <w:ind w:right="-15"/>
              <w:jc w:val="right"/>
              <w:rPr>
                <w:sz w:val="21"/>
              </w:rPr>
            </w:pPr>
            <w:r>
              <w:rPr>
                <w:sz w:val="21"/>
              </w:rPr>
              <w:t>2,149 </w:t>
            </w:r>
          </w:p>
        </w:tc>
        <w:tc>
          <w:tcPr>
            <w:tcW w:w="2653" w:type="dxa"/>
          </w:tcPr>
          <w:p>
            <w:pPr>
              <w:pStyle w:val="TableParagraph"/>
              <w:spacing w:before="1"/>
              <w:ind w:right="-15"/>
              <w:jc w:val="right"/>
              <w:rPr>
                <w:sz w:val="21"/>
              </w:rPr>
            </w:pPr>
            <w:r>
              <w:rPr>
                <w:sz w:val="21"/>
              </w:rPr>
              <w:t>4,753 </w:t>
            </w:r>
          </w:p>
        </w:tc>
      </w:tr>
      <w:tr>
        <w:trPr>
          <w:trHeight w:val="544" w:hRule="atLeast"/>
        </w:trPr>
        <w:tc>
          <w:tcPr>
            <w:tcW w:w="1762" w:type="dxa"/>
          </w:tcPr>
          <w:p>
            <w:pPr>
              <w:pStyle w:val="TableParagraph"/>
              <w:spacing w:before="1"/>
              <w:ind w:left="107"/>
              <w:rPr>
                <w:sz w:val="21"/>
              </w:rPr>
            </w:pPr>
            <w:r>
              <w:rPr>
                <w:sz w:val="21"/>
              </w:rPr>
              <w:t>中坚公司之子公</w:t>
            </w:r>
          </w:p>
          <w:p>
            <w:pPr>
              <w:pStyle w:val="TableParagraph"/>
              <w:spacing w:line="250" w:lineRule="exact" w:before="4"/>
              <w:ind w:left="107"/>
              <w:rPr>
                <w:sz w:val="21"/>
              </w:rPr>
            </w:pPr>
            <w:r>
              <w:rPr>
                <w:sz w:val="21"/>
              </w:rPr>
              <w:t>司 </w:t>
            </w:r>
          </w:p>
        </w:tc>
        <w:tc>
          <w:tcPr>
            <w:tcW w:w="1969" w:type="dxa"/>
          </w:tcPr>
          <w:p>
            <w:pPr>
              <w:pStyle w:val="TableParagraph"/>
              <w:spacing w:before="1"/>
              <w:ind w:left="107"/>
              <w:rPr>
                <w:sz w:val="21"/>
              </w:rPr>
            </w:pPr>
            <w:r>
              <w:rPr>
                <w:sz w:val="21"/>
              </w:rPr>
              <w:t>设备 </w:t>
            </w:r>
          </w:p>
        </w:tc>
        <w:tc>
          <w:tcPr>
            <w:tcW w:w="2442" w:type="dxa"/>
          </w:tcPr>
          <w:p>
            <w:pPr>
              <w:pStyle w:val="TableParagraph"/>
              <w:spacing w:before="1"/>
              <w:ind w:right="-15"/>
              <w:jc w:val="right"/>
              <w:rPr>
                <w:sz w:val="21"/>
              </w:rPr>
            </w:pPr>
            <w:r>
              <w:rPr>
                <w:sz w:val="21"/>
              </w:rPr>
              <w:t>178 </w:t>
            </w:r>
          </w:p>
        </w:tc>
        <w:tc>
          <w:tcPr>
            <w:tcW w:w="2653" w:type="dxa"/>
          </w:tcPr>
          <w:p>
            <w:pPr>
              <w:pStyle w:val="TableParagraph"/>
              <w:spacing w:before="1"/>
              <w:ind w:right="-15"/>
              <w:jc w:val="right"/>
              <w:rPr>
                <w:sz w:val="21"/>
              </w:rPr>
            </w:pPr>
            <w:r>
              <w:rPr>
                <w:sz w:val="21"/>
              </w:rPr>
              <w:t>26 </w:t>
            </w:r>
          </w:p>
        </w:tc>
      </w:tr>
      <w:tr>
        <w:trPr>
          <w:trHeight w:val="273" w:hRule="atLeast"/>
        </w:trPr>
        <w:tc>
          <w:tcPr>
            <w:tcW w:w="1762" w:type="dxa"/>
          </w:tcPr>
          <w:p>
            <w:pPr>
              <w:pStyle w:val="TableParagraph"/>
              <w:spacing w:line="252" w:lineRule="exact" w:before="1"/>
              <w:ind w:left="107"/>
              <w:rPr>
                <w:sz w:val="21"/>
              </w:rPr>
            </w:pPr>
            <w:r>
              <w:rPr>
                <w:w w:val="100"/>
                <w:sz w:val="21"/>
              </w:rPr>
              <w:t> </w:t>
            </w:r>
          </w:p>
        </w:tc>
        <w:tc>
          <w:tcPr>
            <w:tcW w:w="1969" w:type="dxa"/>
          </w:tcPr>
          <w:p>
            <w:pPr>
              <w:pStyle w:val="TableParagraph"/>
              <w:spacing w:line="252" w:lineRule="exact" w:before="1"/>
              <w:ind w:left="107"/>
              <w:rPr>
                <w:sz w:val="21"/>
              </w:rPr>
            </w:pPr>
            <w:r>
              <w:rPr>
                <w:w w:val="100"/>
                <w:sz w:val="21"/>
              </w:rPr>
              <w:t> </w:t>
            </w:r>
          </w:p>
        </w:tc>
        <w:tc>
          <w:tcPr>
            <w:tcW w:w="2442" w:type="dxa"/>
          </w:tcPr>
          <w:p>
            <w:pPr>
              <w:pStyle w:val="TableParagraph"/>
              <w:spacing w:line="252" w:lineRule="exact" w:before="1"/>
              <w:ind w:right="-15"/>
              <w:jc w:val="right"/>
              <w:rPr>
                <w:sz w:val="21"/>
              </w:rPr>
            </w:pPr>
            <w:r>
              <w:rPr>
                <w:sz w:val="21"/>
              </w:rPr>
              <w:t>61,755 </w:t>
            </w:r>
          </w:p>
        </w:tc>
        <w:tc>
          <w:tcPr>
            <w:tcW w:w="2653" w:type="dxa"/>
          </w:tcPr>
          <w:p>
            <w:pPr>
              <w:pStyle w:val="TableParagraph"/>
              <w:spacing w:line="252" w:lineRule="exact" w:before="1"/>
              <w:ind w:right="-15"/>
              <w:jc w:val="right"/>
              <w:rPr>
                <w:sz w:val="21"/>
              </w:rPr>
            </w:pPr>
            <w:r>
              <w:rPr>
                <w:sz w:val="21"/>
              </w:rPr>
              <w:t>46,085 </w:t>
            </w:r>
          </w:p>
        </w:tc>
      </w:tr>
    </w:tbl>
    <w:p>
      <w:pPr>
        <w:spacing w:after="0" w:line="252" w:lineRule="exact"/>
        <w:jc w:val="right"/>
        <w:rPr>
          <w:sz w:val="21"/>
        </w:rPr>
        <w:sectPr>
          <w:pgSz w:w="11910" w:h="16840"/>
          <w:pgMar w:header="882" w:footer="1184" w:top="1120" w:bottom="1380" w:left="1480" w:right="0"/>
        </w:sectPr>
      </w:pPr>
    </w:p>
    <w:p>
      <w:pPr>
        <w:pStyle w:val="BodyText"/>
        <w:spacing w:before="7"/>
        <w:ind w:left="0"/>
        <w:rPr>
          <w:sz w:val="25"/>
        </w:rPr>
      </w:pPr>
    </w:p>
    <w:p>
      <w:pPr>
        <w:pStyle w:val="BodyText"/>
        <w:spacing w:before="72"/>
      </w:pPr>
      <w:r>
        <w:rPr>
          <w:w w:val="100"/>
        </w:rPr>
        <w:t> </w:t>
      </w:r>
    </w:p>
    <w:p>
      <w:pPr>
        <w:pStyle w:val="BodyText"/>
        <w:spacing w:before="5"/>
      </w:pPr>
      <w:r>
        <w:rPr>
          <w:spacing w:val="-1"/>
        </w:rPr>
        <w:t>本公司作为承租方：</w:t>
      </w:r>
      <w:r>
        <w:rPr/>
        <w:t> </w:t>
      </w:r>
    </w:p>
    <w:p>
      <w:pPr>
        <w:pStyle w:val="BodyText"/>
        <w:spacing w:before="2"/>
      </w:pPr>
      <w:r>
        <w:rPr>
          <w:spacing w:val="-1"/>
        </w:rPr>
        <w:t>√适用 □不适用</w:t>
      </w:r>
      <w:r>
        <w:rPr>
          <w:spacing w:val="-3"/>
        </w:rPr>
        <w:t> </w:t>
      </w:r>
      <w:r>
        <w:rPr/>
        <w:t> </w:t>
      </w:r>
    </w:p>
    <w:p>
      <w:pPr>
        <w:pStyle w:val="BodyText"/>
        <w:spacing w:before="5"/>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1"/>
        <w:gridCol w:w="425"/>
        <w:gridCol w:w="735"/>
        <w:gridCol w:w="736"/>
        <w:gridCol w:w="426"/>
        <w:gridCol w:w="426"/>
        <w:gridCol w:w="942"/>
        <w:gridCol w:w="945"/>
        <w:gridCol w:w="841"/>
        <w:gridCol w:w="841"/>
        <w:gridCol w:w="942"/>
        <w:gridCol w:w="944"/>
      </w:tblGrid>
      <w:tr>
        <w:trPr>
          <w:trHeight w:val="2178" w:hRule="atLeast"/>
        </w:trPr>
        <w:tc>
          <w:tcPr>
            <w:tcW w:w="631" w:type="dxa"/>
            <w:vMerge w:val="restart"/>
          </w:tcPr>
          <w:p>
            <w:pPr>
              <w:pStyle w:val="TableParagraph"/>
              <w:rPr>
                <w:sz w:val="20"/>
              </w:rPr>
            </w:pPr>
          </w:p>
          <w:p>
            <w:pPr>
              <w:pStyle w:val="TableParagraph"/>
              <w:rPr>
                <w:sz w:val="20"/>
              </w:rPr>
            </w:pPr>
          </w:p>
          <w:p>
            <w:pPr>
              <w:pStyle w:val="TableParagraph"/>
              <w:rPr>
                <w:sz w:val="20"/>
              </w:rPr>
            </w:pPr>
          </w:p>
          <w:p>
            <w:pPr>
              <w:pStyle w:val="TableParagraph"/>
              <w:spacing w:before="6"/>
              <w:rPr>
                <w:sz w:val="25"/>
              </w:rPr>
            </w:pPr>
          </w:p>
          <w:p>
            <w:pPr>
              <w:pStyle w:val="TableParagraph"/>
              <w:spacing w:line="242" w:lineRule="auto"/>
              <w:ind w:left="208" w:right="93"/>
              <w:jc w:val="both"/>
              <w:rPr>
                <w:sz w:val="21"/>
              </w:rPr>
            </w:pPr>
            <w:r>
              <w:rPr>
                <w:sz w:val="21"/>
              </w:rPr>
              <w:t>出租方名称 </w:t>
            </w:r>
          </w:p>
        </w:tc>
        <w:tc>
          <w:tcPr>
            <w:tcW w:w="425" w:type="dxa"/>
            <w:vMerge w:val="restart"/>
          </w:tcPr>
          <w:p>
            <w:pPr>
              <w:pStyle w:val="TableParagraph"/>
              <w:rPr>
                <w:sz w:val="20"/>
              </w:rPr>
            </w:pPr>
          </w:p>
          <w:p>
            <w:pPr>
              <w:pStyle w:val="TableParagraph"/>
              <w:rPr>
                <w:sz w:val="20"/>
              </w:rPr>
            </w:pPr>
          </w:p>
          <w:p>
            <w:pPr>
              <w:pStyle w:val="TableParagraph"/>
              <w:rPr>
                <w:sz w:val="20"/>
              </w:rPr>
            </w:pPr>
          </w:p>
          <w:p>
            <w:pPr>
              <w:pStyle w:val="TableParagraph"/>
              <w:rPr>
                <w:sz w:val="15"/>
              </w:rPr>
            </w:pPr>
          </w:p>
          <w:p>
            <w:pPr>
              <w:pStyle w:val="TableParagraph"/>
              <w:spacing w:line="242" w:lineRule="auto"/>
              <w:ind w:left="107" w:right="-15"/>
              <w:jc w:val="both"/>
              <w:rPr>
                <w:sz w:val="21"/>
              </w:rPr>
            </w:pPr>
            <w:r>
              <w:rPr>
                <w:sz w:val="21"/>
              </w:rPr>
              <w:t>租赁资产种类 </w:t>
            </w:r>
          </w:p>
        </w:tc>
        <w:tc>
          <w:tcPr>
            <w:tcW w:w="1471" w:type="dxa"/>
            <w:gridSpan w:val="2"/>
          </w:tcPr>
          <w:p>
            <w:pPr>
              <w:pStyle w:val="TableParagraph"/>
              <w:spacing w:before="5"/>
              <w:rPr>
                <w:sz w:val="21"/>
              </w:rPr>
            </w:pPr>
          </w:p>
          <w:p>
            <w:pPr>
              <w:pStyle w:val="TableParagraph"/>
              <w:spacing w:line="242" w:lineRule="auto"/>
              <w:ind w:left="206" w:right="199"/>
              <w:jc w:val="center"/>
              <w:rPr>
                <w:sz w:val="21"/>
              </w:rPr>
            </w:pPr>
            <w:r>
              <w:rPr>
                <w:spacing w:val="-1"/>
                <w:sz w:val="21"/>
              </w:rPr>
              <w:t>简化处理的短期租赁和低价值资产租赁的租金费用</w:t>
            </w:r>
            <w:r>
              <w:rPr>
                <w:sz w:val="21"/>
              </w:rPr>
              <w:t>（如适用） </w:t>
            </w:r>
          </w:p>
        </w:tc>
        <w:tc>
          <w:tcPr>
            <w:tcW w:w="852" w:type="dxa"/>
            <w:gridSpan w:val="2"/>
          </w:tcPr>
          <w:p>
            <w:pPr>
              <w:pStyle w:val="TableParagraph"/>
              <w:spacing w:line="242" w:lineRule="auto" w:before="1"/>
              <w:ind w:left="106" w:right="100"/>
              <w:jc w:val="both"/>
              <w:rPr>
                <w:sz w:val="21"/>
              </w:rPr>
            </w:pPr>
            <w:r>
              <w:rPr>
                <w:spacing w:val="-1"/>
                <w:sz w:val="21"/>
              </w:rPr>
              <w:t>未纳入租赁负债计量的可变租赁付</w:t>
            </w:r>
            <w:r>
              <w:rPr>
                <w:sz w:val="21"/>
              </w:rPr>
              <w:t>款额</w:t>
            </w:r>
          </w:p>
          <w:p>
            <w:pPr>
              <w:pStyle w:val="TableParagraph"/>
              <w:spacing w:before="4"/>
              <w:ind w:left="106"/>
              <w:rPr>
                <w:sz w:val="21"/>
              </w:rPr>
            </w:pPr>
            <w:r>
              <w:rPr>
                <w:sz w:val="21"/>
              </w:rPr>
              <w:t>（如适</w:t>
            </w:r>
          </w:p>
          <w:p>
            <w:pPr>
              <w:pStyle w:val="TableParagraph"/>
              <w:spacing w:line="250" w:lineRule="exact" w:before="4"/>
              <w:ind w:left="211"/>
              <w:rPr>
                <w:sz w:val="21"/>
              </w:rPr>
            </w:pPr>
            <w:r>
              <w:rPr>
                <w:sz w:val="21"/>
              </w:rPr>
              <w:t>用） </w:t>
            </w:r>
          </w:p>
        </w:tc>
        <w:tc>
          <w:tcPr>
            <w:tcW w:w="1887" w:type="dxa"/>
            <w:gridSpan w:val="2"/>
          </w:tcPr>
          <w:p>
            <w:pPr>
              <w:pStyle w:val="TableParagraph"/>
              <w:rPr>
                <w:sz w:val="20"/>
              </w:rPr>
            </w:pPr>
          </w:p>
          <w:p>
            <w:pPr>
              <w:pStyle w:val="TableParagraph"/>
              <w:rPr>
                <w:sz w:val="20"/>
              </w:rPr>
            </w:pPr>
          </w:p>
          <w:p>
            <w:pPr>
              <w:pStyle w:val="TableParagraph"/>
              <w:rPr>
                <w:sz w:val="20"/>
              </w:rPr>
            </w:pPr>
          </w:p>
          <w:p>
            <w:pPr>
              <w:pStyle w:val="TableParagraph"/>
              <w:spacing w:before="8"/>
              <w:rPr>
                <w:sz w:val="14"/>
              </w:rPr>
            </w:pPr>
          </w:p>
          <w:p>
            <w:pPr>
              <w:pStyle w:val="TableParagraph"/>
              <w:ind w:left="410"/>
              <w:rPr>
                <w:sz w:val="21"/>
              </w:rPr>
            </w:pPr>
            <w:r>
              <w:rPr>
                <w:sz w:val="21"/>
              </w:rPr>
              <w:t>支付的租金 </w:t>
            </w:r>
          </w:p>
        </w:tc>
        <w:tc>
          <w:tcPr>
            <w:tcW w:w="1682" w:type="dxa"/>
            <w:gridSpan w:val="2"/>
          </w:tcPr>
          <w:p>
            <w:pPr>
              <w:pStyle w:val="TableParagraph"/>
              <w:rPr>
                <w:sz w:val="20"/>
              </w:rPr>
            </w:pPr>
          </w:p>
          <w:p>
            <w:pPr>
              <w:pStyle w:val="TableParagraph"/>
              <w:rPr>
                <w:sz w:val="20"/>
              </w:rPr>
            </w:pPr>
          </w:p>
          <w:p>
            <w:pPr>
              <w:pStyle w:val="TableParagraph"/>
              <w:spacing w:before="12"/>
              <w:rPr>
                <w:sz w:val="23"/>
              </w:rPr>
            </w:pPr>
          </w:p>
          <w:p>
            <w:pPr>
              <w:pStyle w:val="TableParagraph"/>
              <w:spacing w:line="242" w:lineRule="auto"/>
              <w:ind w:left="305" w:right="205" w:hanging="104"/>
              <w:rPr>
                <w:sz w:val="21"/>
              </w:rPr>
            </w:pPr>
            <w:r>
              <w:rPr>
                <w:spacing w:val="-1"/>
                <w:sz w:val="21"/>
              </w:rPr>
              <w:t>承担的租赁负</w:t>
            </w:r>
            <w:r>
              <w:rPr>
                <w:sz w:val="21"/>
              </w:rPr>
              <w:t>债利息支出 </w:t>
            </w:r>
          </w:p>
        </w:tc>
        <w:tc>
          <w:tcPr>
            <w:tcW w:w="1886" w:type="dxa"/>
            <w:gridSpan w:val="2"/>
          </w:tcPr>
          <w:p>
            <w:pPr>
              <w:pStyle w:val="TableParagraph"/>
              <w:rPr>
                <w:sz w:val="20"/>
              </w:rPr>
            </w:pPr>
          </w:p>
          <w:p>
            <w:pPr>
              <w:pStyle w:val="TableParagraph"/>
              <w:rPr>
                <w:sz w:val="20"/>
              </w:rPr>
            </w:pPr>
          </w:p>
          <w:p>
            <w:pPr>
              <w:pStyle w:val="TableParagraph"/>
              <w:spacing w:before="12"/>
              <w:rPr>
                <w:sz w:val="23"/>
              </w:rPr>
            </w:pPr>
          </w:p>
          <w:p>
            <w:pPr>
              <w:pStyle w:val="TableParagraph"/>
              <w:spacing w:line="242" w:lineRule="auto"/>
              <w:ind w:left="826" w:right="204" w:hanging="632"/>
              <w:rPr>
                <w:sz w:val="21"/>
              </w:rPr>
            </w:pPr>
            <w:r>
              <w:rPr>
                <w:sz w:val="21"/>
              </w:rPr>
              <w:t>增加的使用权资产 </w:t>
            </w:r>
          </w:p>
        </w:tc>
      </w:tr>
      <w:tr>
        <w:trPr>
          <w:trHeight w:val="1363" w:hRule="atLeast"/>
        </w:trPr>
        <w:tc>
          <w:tcPr>
            <w:tcW w:w="631" w:type="dxa"/>
            <w:vMerge/>
            <w:tcBorders>
              <w:top w:val="nil"/>
            </w:tcBorders>
          </w:tcPr>
          <w:p>
            <w:pPr>
              <w:rPr>
                <w:sz w:val="2"/>
                <w:szCs w:val="2"/>
              </w:rPr>
            </w:pPr>
          </w:p>
        </w:tc>
        <w:tc>
          <w:tcPr>
            <w:tcW w:w="425" w:type="dxa"/>
            <w:vMerge/>
            <w:tcBorders>
              <w:top w:val="nil"/>
            </w:tcBorders>
          </w:tcPr>
          <w:p>
            <w:pPr>
              <w:rPr>
                <w:sz w:val="2"/>
                <w:szCs w:val="2"/>
              </w:rPr>
            </w:pPr>
          </w:p>
        </w:tc>
        <w:tc>
          <w:tcPr>
            <w:tcW w:w="735" w:type="dxa"/>
          </w:tcPr>
          <w:p>
            <w:pPr>
              <w:pStyle w:val="TableParagraph"/>
              <w:spacing w:before="5"/>
              <w:rPr>
                <w:sz w:val="21"/>
              </w:rPr>
            </w:pPr>
          </w:p>
          <w:p>
            <w:pPr>
              <w:pStyle w:val="TableParagraph"/>
              <w:spacing w:line="242" w:lineRule="auto"/>
              <w:ind w:left="153" w:right="147"/>
              <w:jc w:val="both"/>
              <w:rPr>
                <w:sz w:val="21"/>
              </w:rPr>
            </w:pPr>
            <w:r>
              <w:rPr>
                <w:spacing w:val="-1"/>
                <w:sz w:val="21"/>
              </w:rPr>
              <w:t>本期发生</w:t>
            </w:r>
            <w:r>
              <w:rPr>
                <w:sz w:val="21"/>
              </w:rPr>
              <w:t>额 </w:t>
            </w:r>
          </w:p>
        </w:tc>
        <w:tc>
          <w:tcPr>
            <w:tcW w:w="736" w:type="dxa"/>
          </w:tcPr>
          <w:p>
            <w:pPr>
              <w:pStyle w:val="TableParagraph"/>
              <w:spacing w:before="5"/>
              <w:rPr>
                <w:sz w:val="21"/>
              </w:rPr>
            </w:pPr>
          </w:p>
          <w:p>
            <w:pPr>
              <w:pStyle w:val="TableParagraph"/>
              <w:spacing w:line="242" w:lineRule="auto"/>
              <w:ind w:left="155" w:right="145"/>
              <w:jc w:val="both"/>
              <w:rPr>
                <w:sz w:val="21"/>
              </w:rPr>
            </w:pPr>
            <w:r>
              <w:rPr>
                <w:spacing w:val="-1"/>
                <w:sz w:val="21"/>
              </w:rPr>
              <w:t>上期发生</w:t>
            </w:r>
            <w:r>
              <w:rPr>
                <w:sz w:val="21"/>
              </w:rPr>
              <w:t>额 </w:t>
            </w:r>
          </w:p>
        </w:tc>
        <w:tc>
          <w:tcPr>
            <w:tcW w:w="426" w:type="dxa"/>
          </w:tcPr>
          <w:p>
            <w:pPr>
              <w:pStyle w:val="TableParagraph"/>
              <w:spacing w:line="242" w:lineRule="auto" w:before="1"/>
              <w:ind w:left="106" w:right="96"/>
              <w:jc w:val="both"/>
              <w:rPr>
                <w:sz w:val="21"/>
              </w:rPr>
            </w:pPr>
            <w:r>
              <w:rPr>
                <w:sz w:val="21"/>
              </w:rPr>
              <w:t>本期发</w:t>
            </w:r>
          </w:p>
          <w:p>
            <w:pPr>
              <w:pStyle w:val="TableParagraph"/>
              <w:spacing w:line="270" w:lineRule="atLeast"/>
              <w:ind w:left="106" w:right="-15"/>
              <w:rPr>
                <w:sz w:val="21"/>
              </w:rPr>
            </w:pPr>
            <w:r>
              <w:rPr>
                <w:sz w:val="21"/>
              </w:rPr>
              <w:t>生额 </w:t>
            </w:r>
          </w:p>
        </w:tc>
        <w:tc>
          <w:tcPr>
            <w:tcW w:w="426" w:type="dxa"/>
          </w:tcPr>
          <w:p>
            <w:pPr>
              <w:pStyle w:val="TableParagraph"/>
              <w:spacing w:line="242" w:lineRule="auto" w:before="1"/>
              <w:ind w:left="104" w:right="97"/>
              <w:jc w:val="both"/>
              <w:rPr>
                <w:sz w:val="21"/>
              </w:rPr>
            </w:pPr>
            <w:r>
              <w:rPr>
                <w:sz w:val="21"/>
              </w:rPr>
              <w:t>上期发</w:t>
            </w:r>
          </w:p>
          <w:p>
            <w:pPr>
              <w:pStyle w:val="TableParagraph"/>
              <w:spacing w:line="270" w:lineRule="atLeast"/>
              <w:ind w:left="104" w:right="-15"/>
              <w:rPr>
                <w:sz w:val="21"/>
              </w:rPr>
            </w:pPr>
            <w:r>
              <w:rPr>
                <w:sz w:val="21"/>
              </w:rPr>
              <w:t>生额 </w:t>
            </w:r>
          </w:p>
        </w:tc>
        <w:tc>
          <w:tcPr>
            <w:tcW w:w="942" w:type="dxa"/>
          </w:tcPr>
          <w:p>
            <w:pPr>
              <w:pStyle w:val="TableParagraph"/>
              <w:rPr>
                <w:sz w:val="20"/>
              </w:rPr>
            </w:pPr>
          </w:p>
          <w:p>
            <w:pPr>
              <w:pStyle w:val="TableParagraph"/>
              <w:spacing w:line="242" w:lineRule="auto" w:before="155"/>
              <w:ind w:left="254" w:right="147" w:hanging="106"/>
              <w:rPr>
                <w:sz w:val="21"/>
              </w:rPr>
            </w:pPr>
            <w:r>
              <w:rPr>
                <w:sz w:val="21"/>
              </w:rPr>
              <w:t>本期发生额 </w:t>
            </w:r>
          </w:p>
        </w:tc>
        <w:tc>
          <w:tcPr>
            <w:tcW w:w="945" w:type="dxa"/>
          </w:tcPr>
          <w:p>
            <w:pPr>
              <w:pStyle w:val="TableParagraph"/>
              <w:rPr>
                <w:sz w:val="20"/>
              </w:rPr>
            </w:pPr>
          </w:p>
          <w:p>
            <w:pPr>
              <w:pStyle w:val="TableParagraph"/>
              <w:spacing w:line="242" w:lineRule="auto" w:before="155"/>
              <w:ind w:left="256" w:right="148" w:hanging="106"/>
              <w:rPr>
                <w:sz w:val="21"/>
              </w:rPr>
            </w:pPr>
            <w:r>
              <w:rPr>
                <w:sz w:val="21"/>
              </w:rPr>
              <w:t>上期发生额 </w:t>
            </w:r>
          </w:p>
        </w:tc>
        <w:tc>
          <w:tcPr>
            <w:tcW w:w="841" w:type="dxa"/>
          </w:tcPr>
          <w:p>
            <w:pPr>
              <w:pStyle w:val="TableParagraph"/>
              <w:spacing w:before="5"/>
              <w:rPr>
                <w:sz w:val="21"/>
              </w:rPr>
            </w:pPr>
          </w:p>
          <w:p>
            <w:pPr>
              <w:pStyle w:val="TableParagraph"/>
              <w:spacing w:line="242" w:lineRule="auto"/>
              <w:ind w:left="201" w:right="204"/>
              <w:jc w:val="both"/>
              <w:rPr>
                <w:sz w:val="21"/>
              </w:rPr>
            </w:pPr>
            <w:r>
              <w:rPr>
                <w:spacing w:val="-1"/>
                <w:sz w:val="21"/>
              </w:rPr>
              <w:t>本期发生</w:t>
            </w:r>
            <w:r>
              <w:rPr>
                <w:sz w:val="21"/>
              </w:rPr>
              <w:t>额 </w:t>
            </w:r>
          </w:p>
        </w:tc>
        <w:tc>
          <w:tcPr>
            <w:tcW w:w="841" w:type="dxa"/>
          </w:tcPr>
          <w:p>
            <w:pPr>
              <w:pStyle w:val="TableParagraph"/>
              <w:spacing w:before="5"/>
              <w:rPr>
                <w:sz w:val="21"/>
              </w:rPr>
            </w:pPr>
          </w:p>
          <w:p>
            <w:pPr>
              <w:pStyle w:val="TableParagraph"/>
              <w:spacing w:line="242" w:lineRule="auto"/>
              <w:ind w:left="200" w:right="205"/>
              <w:jc w:val="both"/>
              <w:rPr>
                <w:sz w:val="21"/>
              </w:rPr>
            </w:pPr>
            <w:r>
              <w:rPr>
                <w:spacing w:val="-1"/>
                <w:sz w:val="21"/>
              </w:rPr>
              <w:t>上期发生</w:t>
            </w:r>
            <w:r>
              <w:rPr>
                <w:sz w:val="21"/>
              </w:rPr>
              <w:t>额 </w:t>
            </w:r>
          </w:p>
        </w:tc>
        <w:tc>
          <w:tcPr>
            <w:tcW w:w="942" w:type="dxa"/>
          </w:tcPr>
          <w:p>
            <w:pPr>
              <w:pStyle w:val="TableParagraph"/>
              <w:rPr>
                <w:sz w:val="20"/>
              </w:rPr>
            </w:pPr>
          </w:p>
          <w:p>
            <w:pPr>
              <w:pStyle w:val="TableParagraph"/>
              <w:spacing w:line="242" w:lineRule="auto" w:before="155"/>
              <w:ind w:left="250" w:right="151" w:hanging="106"/>
              <w:rPr>
                <w:sz w:val="21"/>
              </w:rPr>
            </w:pPr>
            <w:r>
              <w:rPr>
                <w:sz w:val="21"/>
              </w:rPr>
              <w:t>本期发生额 </w:t>
            </w:r>
          </w:p>
        </w:tc>
        <w:tc>
          <w:tcPr>
            <w:tcW w:w="944" w:type="dxa"/>
          </w:tcPr>
          <w:p>
            <w:pPr>
              <w:pStyle w:val="TableParagraph"/>
              <w:rPr>
                <w:sz w:val="20"/>
              </w:rPr>
            </w:pPr>
          </w:p>
          <w:p>
            <w:pPr>
              <w:pStyle w:val="TableParagraph"/>
              <w:spacing w:line="242" w:lineRule="auto" w:before="155"/>
              <w:ind w:left="252" w:right="151" w:hanging="106"/>
              <w:rPr>
                <w:sz w:val="21"/>
              </w:rPr>
            </w:pPr>
            <w:r>
              <w:rPr>
                <w:sz w:val="21"/>
              </w:rPr>
              <w:t>上期发生额 </w:t>
            </w:r>
          </w:p>
        </w:tc>
      </w:tr>
      <w:tr>
        <w:trPr>
          <w:trHeight w:val="2178" w:hRule="atLeast"/>
        </w:trPr>
        <w:tc>
          <w:tcPr>
            <w:tcW w:w="631" w:type="dxa"/>
          </w:tcPr>
          <w:p>
            <w:pPr>
              <w:pStyle w:val="TableParagraph"/>
              <w:spacing w:line="242" w:lineRule="auto" w:before="1"/>
              <w:ind w:left="107" w:right="301"/>
              <w:jc w:val="both"/>
              <w:rPr>
                <w:sz w:val="21"/>
              </w:rPr>
            </w:pPr>
            <w:r>
              <w:rPr>
                <w:sz w:val="21"/>
              </w:rPr>
              <w:t>中坚公司之子公</w:t>
            </w:r>
          </w:p>
          <w:p>
            <w:pPr>
              <w:pStyle w:val="TableParagraph"/>
              <w:spacing w:line="252" w:lineRule="exact" w:before="3"/>
              <w:ind w:left="107"/>
              <w:rPr>
                <w:sz w:val="21"/>
              </w:rPr>
            </w:pPr>
            <w:r>
              <w:rPr>
                <w:sz w:val="21"/>
              </w:rPr>
              <w:t>司 </w:t>
            </w:r>
          </w:p>
        </w:tc>
        <w:tc>
          <w:tcPr>
            <w:tcW w:w="425" w:type="dxa"/>
          </w:tcPr>
          <w:p>
            <w:pPr>
              <w:pStyle w:val="TableParagraph"/>
              <w:rPr>
                <w:sz w:val="20"/>
              </w:rPr>
            </w:pPr>
          </w:p>
          <w:p>
            <w:pPr>
              <w:pStyle w:val="TableParagraph"/>
              <w:rPr>
                <w:sz w:val="20"/>
              </w:rPr>
            </w:pPr>
          </w:p>
          <w:p>
            <w:pPr>
              <w:pStyle w:val="TableParagraph"/>
              <w:spacing w:before="9"/>
              <w:rPr>
                <w:sz w:val="23"/>
              </w:rPr>
            </w:pPr>
          </w:p>
          <w:p>
            <w:pPr>
              <w:pStyle w:val="TableParagraph"/>
              <w:spacing w:line="244" w:lineRule="auto" w:before="1"/>
              <w:ind w:left="107" w:right="-15"/>
              <w:rPr>
                <w:sz w:val="21"/>
              </w:rPr>
            </w:pPr>
            <w:r>
              <w:rPr>
                <w:sz w:val="21"/>
              </w:rPr>
              <w:t>房屋 </w:t>
            </w:r>
          </w:p>
        </w:tc>
        <w:tc>
          <w:tcPr>
            <w:tcW w:w="735" w:type="dxa"/>
          </w:tcPr>
          <w:p>
            <w:pPr>
              <w:pStyle w:val="TableParagraph"/>
              <w:rPr>
                <w:sz w:val="20"/>
              </w:rPr>
            </w:pPr>
          </w:p>
          <w:p>
            <w:pPr>
              <w:pStyle w:val="TableParagraph"/>
              <w:rPr>
                <w:sz w:val="20"/>
              </w:rPr>
            </w:pPr>
          </w:p>
          <w:p>
            <w:pPr>
              <w:pStyle w:val="TableParagraph"/>
              <w:rPr>
                <w:sz w:val="20"/>
              </w:rPr>
            </w:pPr>
          </w:p>
          <w:p>
            <w:pPr>
              <w:pStyle w:val="TableParagraph"/>
              <w:spacing w:before="5"/>
              <w:rPr>
                <w:sz w:val="14"/>
              </w:rPr>
            </w:pPr>
          </w:p>
          <w:p>
            <w:pPr>
              <w:pStyle w:val="TableParagraph"/>
              <w:ind w:right="-15"/>
              <w:jc w:val="right"/>
              <w:rPr>
                <w:sz w:val="21"/>
              </w:rPr>
            </w:pPr>
            <w:r>
              <w:rPr>
                <w:w w:val="100"/>
                <w:sz w:val="21"/>
              </w:rPr>
              <w:t> </w:t>
            </w:r>
          </w:p>
        </w:tc>
        <w:tc>
          <w:tcPr>
            <w:tcW w:w="736" w:type="dxa"/>
          </w:tcPr>
          <w:p>
            <w:pPr>
              <w:pStyle w:val="TableParagraph"/>
              <w:rPr>
                <w:sz w:val="20"/>
              </w:rPr>
            </w:pPr>
          </w:p>
          <w:p>
            <w:pPr>
              <w:pStyle w:val="TableParagraph"/>
              <w:rPr>
                <w:sz w:val="20"/>
              </w:rPr>
            </w:pPr>
          </w:p>
          <w:p>
            <w:pPr>
              <w:pStyle w:val="TableParagraph"/>
              <w:rPr>
                <w:sz w:val="20"/>
              </w:rPr>
            </w:pPr>
          </w:p>
          <w:p>
            <w:pPr>
              <w:pStyle w:val="TableParagraph"/>
              <w:spacing w:before="5"/>
              <w:rPr>
                <w:sz w:val="14"/>
              </w:rPr>
            </w:pPr>
          </w:p>
          <w:p>
            <w:pPr>
              <w:pStyle w:val="TableParagraph"/>
              <w:ind w:right="-15"/>
              <w:jc w:val="right"/>
              <w:rPr>
                <w:sz w:val="21"/>
              </w:rPr>
            </w:pPr>
            <w:r>
              <w:rPr>
                <w:w w:val="100"/>
                <w:sz w:val="21"/>
              </w:rPr>
              <w:t> </w:t>
            </w:r>
          </w:p>
        </w:tc>
        <w:tc>
          <w:tcPr>
            <w:tcW w:w="426" w:type="dxa"/>
          </w:tcPr>
          <w:p>
            <w:pPr>
              <w:pStyle w:val="TableParagraph"/>
              <w:rPr>
                <w:sz w:val="20"/>
              </w:rPr>
            </w:pPr>
          </w:p>
          <w:p>
            <w:pPr>
              <w:pStyle w:val="TableParagraph"/>
              <w:rPr>
                <w:sz w:val="20"/>
              </w:rPr>
            </w:pPr>
          </w:p>
          <w:p>
            <w:pPr>
              <w:pStyle w:val="TableParagraph"/>
              <w:rPr>
                <w:sz w:val="20"/>
              </w:rPr>
            </w:pPr>
          </w:p>
          <w:p>
            <w:pPr>
              <w:pStyle w:val="TableParagraph"/>
              <w:spacing w:before="5"/>
              <w:rPr>
                <w:sz w:val="14"/>
              </w:rPr>
            </w:pPr>
          </w:p>
          <w:p>
            <w:pPr>
              <w:pStyle w:val="TableParagraph"/>
              <w:ind w:right="-15"/>
              <w:jc w:val="right"/>
              <w:rPr>
                <w:sz w:val="21"/>
              </w:rPr>
            </w:pPr>
            <w:r>
              <w:rPr>
                <w:w w:val="100"/>
                <w:sz w:val="21"/>
              </w:rPr>
              <w:t> </w:t>
            </w:r>
          </w:p>
        </w:tc>
        <w:tc>
          <w:tcPr>
            <w:tcW w:w="426" w:type="dxa"/>
          </w:tcPr>
          <w:p>
            <w:pPr>
              <w:pStyle w:val="TableParagraph"/>
              <w:rPr>
                <w:sz w:val="20"/>
              </w:rPr>
            </w:pPr>
          </w:p>
          <w:p>
            <w:pPr>
              <w:pStyle w:val="TableParagraph"/>
              <w:rPr>
                <w:sz w:val="20"/>
              </w:rPr>
            </w:pPr>
          </w:p>
          <w:p>
            <w:pPr>
              <w:pStyle w:val="TableParagraph"/>
              <w:rPr>
                <w:sz w:val="20"/>
              </w:rPr>
            </w:pPr>
          </w:p>
          <w:p>
            <w:pPr>
              <w:pStyle w:val="TableParagraph"/>
              <w:spacing w:before="5"/>
              <w:rPr>
                <w:sz w:val="14"/>
              </w:rPr>
            </w:pPr>
          </w:p>
          <w:p>
            <w:pPr>
              <w:pStyle w:val="TableParagraph"/>
              <w:ind w:right="-15"/>
              <w:jc w:val="right"/>
              <w:rPr>
                <w:sz w:val="21"/>
              </w:rPr>
            </w:pPr>
            <w:r>
              <w:rPr>
                <w:w w:val="100"/>
                <w:sz w:val="21"/>
              </w:rPr>
              <w:t> </w:t>
            </w:r>
          </w:p>
        </w:tc>
        <w:tc>
          <w:tcPr>
            <w:tcW w:w="942" w:type="dxa"/>
          </w:tcPr>
          <w:p>
            <w:pPr>
              <w:pStyle w:val="TableParagraph"/>
              <w:rPr>
                <w:sz w:val="20"/>
              </w:rPr>
            </w:pPr>
          </w:p>
          <w:p>
            <w:pPr>
              <w:pStyle w:val="TableParagraph"/>
              <w:rPr>
                <w:sz w:val="20"/>
              </w:rPr>
            </w:pPr>
          </w:p>
          <w:p>
            <w:pPr>
              <w:pStyle w:val="TableParagraph"/>
              <w:spacing w:before="9"/>
              <w:rPr>
                <w:sz w:val="23"/>
              </w:rPr>
            </w:pPr>
          </w:p>
          <w:p>
            <w:pPr>
              <w:pStyle w:val="TableParagraph"/>
              <w:spacing w:before="1"/>
              <w:ind w:left="197"/>
              <w:rPr>
                <w:sz w:val="21"/>
              </w:rPr>
            </w:pPr>
            <w:r>
              <w:rPr>
                <w:sz w:val="21"/>
              </w:rPr>
              <w:t>181,27</w:t>
            </w:r>
          </w:p>
          <w:p>
            <w:pPr>
              <w:pStyle w:val="TableParagraph"/>
              <w:spacing w:before="4"/>
              <w:ind w:left="722" w:right="-15"/>
              <w:rPr>
                <w:sz w:val="21"/>
              </w:rPr>
            </w:pPr>
            <w:r>
              <w:rPr>
                <w:sz w:val="21"/>
              </w:rPr>
              <w:t>7 </w:t>
            </w:r>
          </w:p>
        </w:tc>
        <w:tc>
          <w:tcPr>
            <w:tcW w:w="945" w:type="dxa"/>
          </w:tcPr>
          <w:p>
            <w:pPr>
              <w:pStyle w:val="TableParagraph"/>
              <w:rPr>
                <w:sz w:val="20"/>
              </w:rPr>
            </w:pPr>
          </w:p>
          <w:p>
            <w:pPr>
              <w:pStyle w:val="TableParagraph"/>
              <w:rPr>
                <w:sz w:val="20"/>
              </w:rPr>
            </w:pPr>
          </w:p>
          <w:p>
            <w:pPr>
              <w:pStyle w:val="TableParagraph"/>
              <w:spacing w:before="9"/>
              <w:rPr>
                <w:sz w:val="23"/>
              </w:rPr>
            </w:pPr>
          </w:p>
          <w:p>
            <w:pPr>
              <w:pStyle w:val="TableParagraph"/>
              <w:spacing w:before="1"/>
              <w:ind w:left="198"/>
              <w:rPr>
                <w:sz w:val="21"/>
              </w:rPr>
            </w:pPr>
            <w:r>
              <w:rPr>
                <w:sz w:val="21"/>
              </w:rPr>
              <w:t>178,44</w:t>
            </w:r>
          </w:p>
          <w:p>
            <w:pPr>
              <w:pStyle w:val="TableParagraph"/>
              <w:spacing w:before="4"/>
              <w:ind w:left="724" w:right="-15"/>
              <w:rPr>
                <w:sz w:val="21"/>
              </w:rPr>
            </w:pPr>
            <w:r>
              <w:rPr>
                <w:sz w:val="21"/>
              </w:rPr>
              <w:t>7 </w:t>
            </w:r>
          </w:p>
        </w:tc>
        <w:tc>
          <w:tcPr>
            <w:tcW w:w="841" w:type="dxa"/>
          </w:tcPr>
          <w:p>
            <w:pPr>
              <w:pStyle w:val="TableParagraph"/>
              <w:rPr>
                <w:sz w:val="20"/>
              </w:rPr>
            </w:pPr>
          </w:p>
          <w:p>
            <w:pPr>
              <w:pStyle w:val="TableParagraph"/>
              <w:rPr>
                <w:sz w:val="20"/>
              </w:rPr>
            </w:pPr>
          </w:p>
          <w:p>
            <w:pPr>
              <w:pStyle w:val="TableParagraph"/>
              <w:rPr>
                <w:sz w:val="20"/>
              </w:rPr>
            </w:pPr>
          </w:p>
          <w:p>
            <w:pPr>
              <w:pStyle w:val="TableParagraph"/>
              <w:spacing w:before="5"/>
              <w:rPr>
                <w:sz w:val="14"/>
              </w:rPr>
            </w:pPr>
          </w:p>
          <w:p>
            <w:pPr>
              <w:pStyle w:val="TableParagraph"/>
              <w:jc w:val="right"/>
              <w:rPr>
                <w:sz w:val="21"/>
              </w:rPr>
            </w:pPr>
            <w:r>
              <w:rPr>
                <w:sz w:val="21"/>
              </w:rPr>
              <w:t>6,184 </w:t>
            </w:r>
          </w:p>
        </w:tc>
        <w:tc>
          <w:tcPr>
            <w:tcW w:w="841" w:type="dxa"/>
          </w:tcPr>
          <w:p>
            <w:pPr>
              <w:pStyle w:val="TableParagraph"/>
              <w:rPr>
                <w:sz w:val="20"/>
              </w:rPr>
            </w:pPr>
          </w:p>
          <w:p>
            <w:pPr>
              <w:pStyle w:val="TableParagraph"/>
              <w:rPr>
                <w:sz w:val="20"/>
              </w:rPr>
            </w:pPr>
          </w:p>
          <w:p>
            <w:pPr>
              <w:pStyle w:val="TableParagraph"/>
              <w:rPr>
                <w:sz w:val="20"/>
              </w:rPr>
            </w:pPr>
          </w:p>
          <w:p>
            <w:pPr>
              <w:pStyle w:val="TableParagraph"/>
              <w:spacing w:before="5"/>
              <w:rPr>
                <w:sz w:val="14"/>
              </w:rPr>
            </w:pPr>
          </w:p>
          <w:p>
            <w:pPr>
              <w:pStyle w:val="TableParagraph"/>
              <w:ind w:right="1"/>
              <w:jc w:val="right"/>
              <w:rPr>
                <w:sz w:val="21"/>
              </w:rPr>
            </w:pPr>
            <w:r>
              <w:rPr>
                <w:sz w:val="21"/>
              </w:rPr>
              <w:t>3,936 </w:t>
            </w:r>
          </w:p>
        </w:tc>
        <w:tc>
          <w:tcPr>
            <w:tcW w:w="942" w:type="dxa"/>
          </w:tcPr>
          <w:p>
            <w:pPr>
              <w:pStyle w:val="TableParagraph"/>
              <w:rPr>
                <w:sz w:val="20"/>
              </w:rPr>
            </w:pPr>
          </w:p>
          <w:p>
            <w:pPr>
              <w:pStyle w:val="TableParagraph"/>
              <w:rPr>
                <w:sz w:val="20"/>
              </w:rPr>
            </w:pPr>
          </w:p>
          <w:p>
            <w:pPr>
              <w:pStyle w:val="TableParagraph"/>
              <w:spacing w:before="9"/>
              <w:rPr>
                <w:sz w:val="23"/>
              </w:rPr>
            </w:pPr>
          </w:p>
          <w:p>
            <w:pPr>
              <w:pStyle w:val="TableParagraph"/>
              <w:spacing w:before="1"/>
              <w:ind w:left="193"/>
              <w:rPr>
                <w:sz w:val="21"/>
              </w:rPr>
            </w:pPr>
            <w:r>
              <w:rPr>
                <w:sz w:val="21"/>
              </w:rPr>
              <w:t>265,62</w:t>
            </w:r>
          </w:p>
          <w:p>
            <w:pPr>
              <w:pStyle w:val="TableParagraph"/>
              <w:spacing w:before="4"/>
              <w:ind w:left="718"/>
              <w:rPr>
                <w:sz w:val="21"/>
              </w:rPr>
            </w:pPr>
            <w:r>
              <w:rPr>
                <w:sz w:val="21"/>
              </w:rPr>
              <w:t>5 </w:t>
            </w:r>
          </w:p>
        </w:tc>
        <w:tc>
          <w:tcPr>
            <w:tcW w:w="944" w:type="dxa"/>
          </w:tcPr>
          <w:p>
            <w:pPr>
              <w:pStyle w:val="TableParagraph"/>
              <w:rPr>
                <w:sz w:val="20"/>
              </w:rPr>
            </w:pPr>
          </w:p>
          <w:p>
            <w:pPr>
              <w:pStyle w:val="TableParagraph"/>
              <w:rPr>
                <w:sz w:val="20"/>
              </w:rPr>
            </w:pPr>
          </w:p>
          <w:p>
            <w:pPr>
              <w:pStyle w:val="TableParagraph"/>
              <w:spacing w:before="9"/>
              <w:rPr>
                <w:sz w:val="23"/>
              </w:rPr>
            </w:pPr>
          </w:p>
          <w:p>
            <w:pPr>
              <w:pStyle w:val="TableParagraph"/>
              <w:spacing w:before="1"/>
              <w:ind w:left="194"/>
              <w:rPr>
                <w:sz w:val="21"/>
              </w:rPr>
            </w:pPr>
            <w:r>
              <w:rPr>
                <w:sz w:val="21"/>
              </w:rPr>
              <w:t>179,24</w:t>
            </w:r>
          </w:p>
          <w:p>
            <w:pPr>
              <w:pStyle w:val="TableParagraph"/>
              <w:spacing w:before="4"/>
              <w:ind w:left="720"/>
              <w:rPr>
                <w:sz w:val="21"/>
              </w:rPr>
            </w:pPr>
            <w:r>
              <w:rPr>
                <w:sz w:val="21"/>
              </w:rPr>
              <w:t>8 </w:t>
            </w:r>
          </w:p>
        </w:tc>
      </w:tr>
      <w:tr>
        <w:trPr>
          <w:trHeight w:val="3539" w:hRule="atLeast"/>
        </w:trPr>
        <w:tc>
          <w:tcPr>
            <w:tcW w:w="631" w:type="dxa"/>
          </w:tcPr>
          <w:p>
            <w:pPr>
              <w:pStyle w:val="TableParagraph"/>
              <w:spacing w:line="242" w:lineRule="auto" w:before="1"/>
              <w:ind w:left="107" w:right="301"/>
              <w:jc w:val="both"/>
              <w:rPr>
                <w:sz w:val="21"/>
              </w:rPr>
            </w:pPr>
            <w:r>
              <w:rPr>
                <w:sz w:val="21"/>
              </w:rPr>
              <w:t>持有本公司5%</w:t>
            </w:r>
          </w:p>
          <w:p>
            <w:pPr>
              <w:pStyle w:val="TableParagraph"/>
              <w:spacing w:line="242" w:lineRule="auto" w:before="4"/>
              <w:ind w:left="107" w:right="301"/>
              <w:jc w:val="both"/>
              <w:rPr>
                <w:sz w:val="21"/>
              </w:rPr>
            </w:pPr>
            <w:r>
              <w:rPr>
                <w:sz w:val="21"/>
              </w:rPr>
              <w:t>以上股份的股</w:t>
            </w:r>
          </w:p>
          <w:p>
            <w:pPr>
              <w:pStyle w:val="TableParagraph"/>
              <w:spacing w:line="250" w:lineRule="exact" w:before="4"/>
              <w:ind w:left="107"/>
              <w:rPr>
                <w:sz w:val="21"/>
              </w:rPr>
            </w:pPr>
            <w:r>
              <w:rPr>
                <w:w w:val="100"/>
                <w:sz w:val="21"/>
              </w:rPr>
              <w:t>东</w:t>
            </w:r>
          </w:p>
        </w:tc>
        <w:tc>
          <w:tcPr>
            <w:tcW w:w="425"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2"/>
              <w:rPr>
                <w:sz w:val="16"/>
              </w:rPr>
            </w:pPr>
          </w:p>
          <w:p>
            <w:pPr>
              <w:pStyle w:val="TableParagraph"/>
              <w:spacing w:line="244" w:lineRule="auto"/>
              <w:ind w:left="107" w:right="-15"/>
              <w:rPr>
                <w:sz w:val="21"/>
              </w:rPr>
            </w:pPr>
            <w:r>
              <w:rPr>
                <w:sz w:val="21"/>
              </w:rPr>
              <w:t>房屋 </w:t>
            </w:r>
          </w:p>
        </w:tc>
        <w:tc>
          <w:tcPr>
            <w:tcW w:w="735"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8"/>
              <w:rPr>
                <w:sz w:val="27"/>
              </w:rPr>
            </w:pPr>
          </w:p>
          <w:p>
            <w:pPr>
              <w:pStyle w:val="TableParagraph"/>
              <w:ind w:right="-15"/>
              <w:jc w:val="right"/>
              <w:rPr>
                <w:sz w:val="21"/>
              </w:rPr>
            </w:pPr>
            <w:r>
              <w:rPr>
                <w:w w:val="100"/>
                <w:sz w:val="21"/>
              </w:rPr>
              <w:t> </w:t>
            </w:r>
          </w:p>
        </w:tc>
        <w:tc>
          <w:tcPr>
            <w:tcW w:w="736"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8"/>
              <w:rPr>
                <w:sz w:val="27"/>
              </w:rPr>
            </w:pPr>
          </w:p>
          <w:p>
            <w:pPr>
              <w:pStyle w:val="TableParagraph"/>
              <w:ind w:right="-15"/>
              <w:jc w:val="right"/>
              <w:rPr>
                <w:sz w:val="21"/>
              </w:rPr>
            </w:pPr>
            <w:r>
              <w:rPr>
                <w:w w:val="100"/>
                <w:sz w:val="21"/>
              </w:rPr>
              <w:t> </w:t>
            </w:r>
          </w:p>
        </w:tc>
        <w:tc>
          <w:tcPr>
            <w:tcW w:w="426"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8"/>
              <w:rPr>
                <w:sz w:val="27"/>
              </w:rPr>
            </w:pPr>
          </w:p>
          <w:p>
            <w:pPr>
              <w:pStyle w:val="TableParagraph"/>
              <w:ind w:right="-15"/>
              <w:jc w:val="right"/>
              <w:rPr>
                <w:sz w:val="21"/>
              </w:rPr>
            </w:pPr>
            <w:r>
              <w:rPr>
                <w:w w:val="100"/>
                <w:sz w:val="21"/>
              </w:rPr>
              <w:t> </w:t>
            </w:r>
          </w:p>
        </w:tc>
        <w:tc>
          <w:tcPr>
            <w:tcW w:w="426"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8"/>
              <w:rPr>
                <w:sz w:val="27"/>
              </w:rPr>
            </w:pPr>
          </w:p>
          <w:p>
            <w:pPr>
              <w:pStyle w:val="TableParagraph"/>
              <w:ind w:right="-15"/>
              <w:jc w:val="right"/>
              <w:rPr>
                <w:sz w:val="21"/>
              </w:rPr>
            </w:pPr>
            <w:r>
              <w:rPr>
                <w:w w:val="100"/>
                <w:sz w:val="21"/>
              </w:rPr>
              <w:t> </w:t>
            </w:r>
          </w:p>
        </w:tc>
        <w:tc>
          <w:tcPr>
            <w:tcW w:w="942"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2"/>
              <w:rPr>
                <w:sz w:val="16"/>
              </w:rPr>
            </w:pPr>
          </w:p>
          <w:p>
            <w:pPr>
              <w:pStyle w:val="TableParagraph"/>
              <w:ind w:left="197"/>
              <w:rPr>
                <w:sz w:val="21"/>
              </w:rPr>
            </w:pPr>
            <w:r>
              <w:rPr>
                <w:sz w:val="21"/>
              </w:rPr>
              <w:t>183,65</w:t>
            </w:r>
          </w:p>
          <w:p>
            <w:pPr>
              <w:pStyle w:val="TableParagraph"/>
              <w:spacing w:before="5"/>
              <w:ind w:left="722" w:right="-15"/>
              <w:rPr>
                <w:sz w:val="21"/>
              </w:rPr>
            </w:pPr>
            <w:r>
              <w:rPr>
                <w:sz w:val="21"/>
              </w:rPr>
              <w:t>5 </w:t>
            </w:r>
          </w:p>
        </w:tc>
        <w:tc>
          <w:tcPr>
            <w:tcW w:w="945"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2"/>
              <w:rPr>
                <w:sz w:val="16"/>
              </w:rPr>
            </w:pPr>
          </w:p>
          <w:p>
            <w:pPr>
              <w:pStyle w:val="TableParagraph"/>
              <w:ind w:left="198"/>
              <w:rPr>
                <w:sz w:val="21"/>
              </w:rPr>
            </w:pPr>
            <w:r>
              <w:rPr>
                <w:sz w:val="21"/>
              </w:rPr>
              <w:t>168,47</w:t>
            </w:r>
          </w:p>
          <w:p>
            <w:pPr>
              <w:pStyle w:val="TableParagraph"/>
              <w:spacing w:before="5"/>
              <w:ind w:left="724" w:right="-15"/>
              <w:rPr>
                <w:sz w:val="21"/>
              </w:rPr>
            </w:pPr>
            <w:r>
              <w:rPr>
                <w:sz w:val="21"/>
              </w:rPr>
              <w:t>7 </w:t>
            </w:r>
          </w:p>
        </w:tc>
        <w:tc>
          <w:tcPr>
            <w:tcW w:w="841"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8"/>
              <w:rPr>
                <w:sz w:val="27"/>
              </w:rPr>
            </w:pPr>
          </w:p>
          <w:p>
            <w:pPr>
              <w:pStyle w:val="TableParagraph"/>
              <w:jc w:val="right"/>
              <w:rPr>
                <w:sz w:val="21"/>
              </w:rPr>
            </w:pPr>
            <w:r>
              <w:rPr>
                <w:sz w:val="21"/>
              </w:rPr>
              <w:t>3,733 </w:t>
            </w:r>
          </w:p>
        </w:tc>
        <w:tc>
          <w:tcPr>
            <w:tcW w:w="841"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8"/>
              <w:rPr>
                <w:sz w:val="27"/>
              </w:rPr>
            </w:pPr>
          </w:p>
          <w:p>
            <w:pPr>
              <w:pStyle w:val="TableParagraph"/>
              <w:ind w:right="1"/>
              <w:jc w:val="right"/>
              <w:rPr>
                <w:sz w:val="21"/>
              </w:rPr>
            </w:pPr>
            <w:r>
              <w:rPr>
                <w:sz w:val="21"/>
              </w:rPr>
              <w:t>6,031 </w:t>
            </w:r>
          </w:p>
        </w:tc>
        <w:tc>
          <w:tcPr>
            <w:tcW w:w="942"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2"/>
              <w:rPr>
                <w:sz w:val="16"/>
              </w:rPr>
            </w:pPr>
          </w:p>
          <w:p>
            <w:pPr>
              <w:pStyle w:val="TableParagraph"/>
              <w:ind w:left="193"/>
              <w:rPr>
                <w:sz w:val="21"/>
              </w:rPr>
            </w:pPr>
            <w:r>
              <w:rPr>
                <w:sz w:val="21"/>
              </w:rPr>
              <w:t>157,19</w:t>
            </w:r>
          </w:p>
          <w:p>
            <w:pPr>
              <w:pStyle w:val="TableParagraph"/>
              <w:spacing w:before="5"/>
              <w:ind w:left="718"/>
              <w:rPr>
                <w:sz w:val="21"/>
              </w:rPr>
            </w:pPr>
            <w:r>
              <w:rPr>
                <w:sz w:val="21"/>
              </w:rPr>
              <w:t>1 </w:t>
            </w:r>
          </w:p>
        </w:tc>
        <w:tc>
          <w:tcPr>
            <w:tcW w:w="944"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2"/>
              <w:rPr>
                <w:sz w:val="16"/>
              </w:rPr>
            </w:pPr>
          </w:p>
          <w:p>
            <w:pPr>
              <w:pStyle w:val="TableParagraph"/>
              <w:ind w:right="103"/>
              <w:jc w:val="right"/>
              <w:rPr>
                <w:sz w:val="21"/>
              </w:rPr>
            </w:pPr>
            <w:r>
              <w:rPr>
                <w:sz w:val="21"/>
              </w:rPr>
              <w:t>178,46</w:t>
            </w:r>
          </w:p>
          <w:p>
            <w:pPr>
              <w:pStyle w:val="TableParagraph"/>
              <w:spacing w:before="5"/>
              <w:ind w:right="106"/>
              <w:jc w:val="right"/>
              <w:rPr>
                <w:sz w:val="21"/>
              </w:rPr>
            </w:pPr>
            <w:r>
              <w:rPr>
                <w:w w:val="100"/>
                <w:sz w:val="21"/>
              </w:rPr>
              <w:t>5</w:t>
            </w:r>
          </w:p>
        </w:tc>
      </w:tr>
      <w:tr>
        <w:trPr>
          <w:trHeight w:val="2453" w:hRule="atLeast"/>
        </w:trPr>
        <w:tc>
          <w:tcPr>
            <w:tcW w:w="631" w:type="dxa"/>
          </w:tcPr>
          <w:p>
            <w:pPr>
              <w:pStyle w:val="TableParagraph"/>
              <w:spacing w:line="242" w:lineRule="auto" w:before="1"/>
              <w:ind w:left="107" w:right="301"/>
              <w:jc w:val="both"/>
              <w:rPr>
                <w:sz w:val="21"/>
              </w:rPr>
            </w:pPr>
            <w:r>
              <w:rPr>
                <w:sz w:val="21"/>
              </w:rPr>
              <w:t>鸿海精密及其子</w:t>
            </w:r>
          </w:p>
          <w:p>
            <w:pPr>
              <w:pStyle w:val="TableParagraph"/>
              <w:spacing w:line="270" w:lineRule="atLeast"/>
              <w:ind w:left="107" w:right="301"/>
              <w:rPr>
                <w:sz w:val="21"/>
              </w:rPr>
            </w:pPr>
            <w:r>
              <w:rPr>
                <w:sz w:val="21"/>
              </w:rPr>
              <w:t>公司</w:t>
            </w:r>
          </w:p>
        </w:tc>
        <w:tc>
          <w:tcPr>
            <w:tcW w:w="425" w:type="dxa"/>
          </w:tcPr>
          <w:p>
            <w:pPr>
              <w:pStyle w:val="TableParagraph"/>
              <w:rPr>
                <w:sz w:val="20"/>
              </w:rPr>
            </w:pPr>
          </w:p>
          <w:p>
            <w:pPr>
              <w:pStyle w:val="TableParagraph"/>
              <w:rPr>
                <w:sz w:val="20"/>
              </w:rPr>
            </w:pPr>
          </w:p>
          <w:p>
            <w:pPr>
              <w:pStyle w:val="TableParagraph"/>
              <w:rPr>
                <w:sz w:val="20"/>
              </w:rPr>
            </w:pPr>
          </w:p>
          <w:p>
            <w:pPr>
              <w:pStyle w:val="TableParagraph"/>
              <w:spacing w:before="8"/>
              <w:rPr>
                <w:sz w:val="14"/>
              </w:rPr>
            </w:pPr>
          </w:p>
          <w:p>
            <w:pPr>
              <w:pStyle w:val="TableParagraph"/>
              <w:spacing w:line="242" w:lineRule="auto"/>
              <w:ind w:left="107" w:right="-15"/>
              <w:rPr>
                <w:sz w:val="21"/>
              </w:rPr>
            </w:pPr>
            <w:r>
              <w:rPr>
                <w:sz w:val="21"/>
              </w:rPr>
              <w:t>房屋 </w:t>
            </w:r>
          </w:p>
        </w:tc>
        <w:tc>
          <w:tcPr>
            <w:tcW w:w="735" w:type="dxa"/>
          </w:tcPr>
          <w:p>
            <w:pPr>
              <w:pStyle w:val="TableParagraph"/>
              <w:rPr>
                <w:sz w:val="20"/>
              </w:rPr>
            </w:pPr>
          </w:p>
          <w:p>
            <w:pPr>
              <w:pStyle w:val="TableParagraph"/>
              <w:rPr>
                <w:sz w:val="20"/>
              </w:rPr>
            </w:pPr>
          </w:p>
          <w:p>
            <w:pPr>
              <w:pStyle w:val="TableParagraph"/>
              <w:rPr>
                <w:sz w:val="20"/>
              </w:rPr>
            </w:pPr>
          </w:p>
          <w:p>
            <w:pPr>
              <w:pStyle w:val="TableParagraph"/>
              <w:spacing w:before="8"/>
              <w:rPr>
                <w:sz w:val="14"/>
              </w:rPr>
            </w:pPr>
          </w:p>
          <w:p>
            <w:pPr>
              <w:pStyle w:val="TableParagraph"/>
              <w:ind w:left="203"/>
              <w:rPr>
                <w:sz w:val="21"/>
              </w:rPr>
            </w:pPr>
            <w:r>
              <w:rPr>
                <w:sz w:val="21"/>
              </w:rPr>
              <w:t>5,56</w:t>
            </w:r>
          </w:p>
          <w:p>
            <w:pPr>
              <w:pStyle w:val="TableParagraph"/>
              <w:spacing w:before="3"/>
              <w:ind w:left="518" w:right="-15"/>
              <w:rPr>
                <w:sz w:val="21"/>
              </w:rPr>
            </w:pPr>
            <w:r>
              <w:rPr>
                <w:sz w:val="21"/>
              </w:rPr>
              <w:t>3 </w:t>
            </w:r>
          </w:p>
        </w:tc>
        <w:tc>
          <w:tcPr>
            <w:tcW w:w="736" w:type="dxa"/>
          </w:tcPr>
          <w:p>
            <w:pPr>
              <w:pStyle w:val="TableParagraph"/>
              <w:rPr>
                <w:sz w:val="20"/>
              </w:rPr>
            </w:pPr>
          </w:p>
          <w:p>
            <w:pPr>
              <w:pStyle w:val="TableParagraph"/>
              <w:rPr>
                <w:sz w:val="20"/>
              </w:rPr>
            </w:pPr>
          </w:p>
          <w:p>
            <w:pPr>
              <w:pStyle w:val="TableParagraph"/>
              <w:rPr>
                <w:sz w:val="20"/>
              </w:rPr>
            </w:pPr>
          </w:p>
          <w:p>
            <w:pPr>
              <w:pStyle w:val="TableParagraph"/>
              <w:spacing w:before="8"/>
              <w:rPr>
                <w:sz w:val="14"/>
              </w:rPr>
            </w:pPr>
          </w:p>
          <w:p>
            <w:pPr>
              <w:pStyle w:val="TableParagraph"/>
              <w:ind w:left="206"/>
              <w:rPr>
                <w:sz w:val="21"/>
              </w:rPr>
            </w:pPr>
            <w:r>
              <w:rPr>
                <w:sz w:val="21"/>
              </w:rPr>
              <w:t>1,21</w:t>
            </w:r>
          </w:p>
          <w:p>
            <w:pPr>
              <w:pStyle w:val="TableParagraph"/>
              <w:spacing w:before="3"/>
              <w:ind w:left="520" w:right="-15"/>
              <w:rPr>
                <w:sz w:val="21"/>
              </w:rPr>
            </w:pPr>
            <w:r>
              <w:rPr>
                <w:sz w:val="21"/>
              </w:rPr>
              <w:t>5 </w:t>
            </w:r>
          </w:p>
        </w:tc>
        <w:tc>
          <w:tcPr>
            <w:tcW w:w="426" w:type="dxa"/>
          </w:tcPr>
          <w:p>
            <w:pPr>
              <w:pStyle w:val="TableParagraph"/>
              <w:rPr>
                <w:sz w:val="20"/>
              </w:rPr>
            </w:pPr>
          </w:p>
          <w:p>
            <w:pPr>
              <w:pStyle w:val="TableParagraph"/>
              <w:rPr>
                <w:sz w:val="20"/>
              </w:rPr>
            </w:pPr>
          </w:p>
          <w:p>
            <w:pPr>
              <w:pStyle w:val="TableParagraph"/>
              <w:spacing w:before="12"/>
              <w:rPr>
                <w:sz w:val="23"/>
              </w:rPr>
            </w:pPr>
          </w:p>
          <w:p>
            <w:pPr>
              <w:pStyle w:val="TableParagraph"/>
              <w:spacing w:line="242" w:lineRule="auto" w:before="1"/>
              <w:ind w:left="106" w:right="-15"/>
              <w:jc w:val="both"/>
              <w:rPr>
                <w:sz w:val="21"/>
              </w:rPr>
            </w:pPr>
            <w:r>
              <w:rPr>
                <w:sz w:val="21"/>
              </w:rPr>
              <w:t>不适用 </w:t>
            </w:r>
          </w:p>
        </w:tc>
        <w:tc>
          <w:tcPr>
            <w:tcW w:w="426" w:type="dxa"/>
          </w:tcPr>
          <w:p>
            <w:pPr>
              <w:pStyle w:val="TableParagraph"/>
              <w:rPr>
                <w:sz w:val="20"/>
              </w:rPr>
            </w:pPr>
          </w:p>
          <w:p>
            <w:pPr>
              <w:pStyle w:val="TableParagraph"/>
              <w:rPr>
                <w:sz w:val="20"/>
              </w:rPr>
            </w:pPr>
          </w:p>
          <w:p>
            <w:pPr>
              <w:pStyle w:val="TableParagraph"/>
              <w:spacing w:before="12"/>
              <w:rPr>
                <w:sz w:val="23"/>
              </w:rPr>
            </w:pPr>
          </w:p>
          <w:p>
            <w:pPr>
              <w:pStyle w:val="TableParagraph"/>
              <w:spacing w:line="242" w:lineRule="auto" w:before="1"/>
              <w:ind w:left="104" w:right="-15"/>
              <w:jc w:val="both"/>
              <w:rPr>
                <w:sz w:val="21"/>
              </w:rPr>
            </w:pPr>
            <w:r>
              <w:rPr>
                <w:sz w:val="21"/>
              </w:rPr>
              <w:t>不适用 </w:t>
            </w:r>
          </w:p>
        </w:tc>
        <w:tc>
          <w:tcPr>
            <w:tcW w:w="942" w:type="dxa"/>
          </w:tcPr>
          <w:p>
            <w:pPr>
              <w:pStyle w:val="TableParagraph"/>
              <w:rPr>
                <w:sz w:val="20"/>
              </w:rPr>
            </w:pPr>
          </w:p>
          <w:p>
            <w:pPr>
              <w:pStyle w:val="TableParagraph"/>
              <w:rPr>
                <w:sz w:val="20"/>
              </w:rPr>
            </w:pPr>
          </w:p>
          <w:p>
            <w:pPr>
              <w:pStyle w:val="TableParagraph"/>
              <w:rPr>
                <w:sz w:val="20"/>
              </w:rPr>
            </w:pPr>
          </w:p>
          <w:p>
            <w:pPr>
              <w:pStyle w:val="TableParagraph"/>
              <w:spacing w:before="8"/>
              <w:rPr>
                <w:sz w:val="14"/>
              </w:rPr>
            </w:pPr>
          </w:p>
          <w:p>
            <w:pPr>
              <w:pStyle w:val="TableParagraph"/>
              <w:ind w:left="197"/>
              <w:rPr>
                <w:sz w:val="21"/>
              </w:rPr>
            </w:pPr>
            <w:r>
              <w:rPr>
                <w:sz w:val="21"/>
              </w:rPr>
              <w:t>214,04</w:t>
            </w:r>
          </w:p>
          <w:p>
            <w:pPr>
              <w:pStyle w:val="TableParagraph"/>
              <w:spacing w:before="3"/>
              <w:ind w:left="722" w:right="-15"/>
              <w:rPr>
                <w:sz w:val="21"/>
              </w:rPr>
            </w:pPr>
            <w:r>
              <w:rPr>
                <w:sz w:val="21"/>
              </w:rPr>
              <w:t>1 </w:t>
            </w:r>
          </w:p>
        </w:tc>
        <w:tc>
          <w:tcPr>
            <w:tcW w:w="945" w:type="dxa"/>
          </w:tcPr>
          <w:p>
            <w:pPr>
              <w:pStyle w:val="TableParagraph"/>
              <w:rPr>
                <w:sz w:val="20"/>
              </w:rPr>
            </w:pPr>
          </w:p>
          <w:p>
            <w:pPr>
              <w:pStyle w:val="TableParagraph"/>
              <w:rPr>
                <w:sz w:val="20"/>
              </w:rPr>
            </w:pPr>
          </w:p>
          <w:p>
            <w:pPr>
              <w:pStyle w:val="TableParagraph"/>
              <w:rPr>
                <w:sz w:val="20"/>
              </w:rPr>
            </w:pPr>
          </w:p>
          <w:p>
            <w:pPr>
              <w:pStyle w:val="TableParagraph"/>
              <w:spacing w:before="8"/>
              <w:rPr>
                <w:sz w:val="14"/>
              </w:rPr>
            </w:pPr>
          </w:p>
          <w:p>
            <w:pPr>
              <w:pStyle w:val="TableParagraph"/>
              <w:ind w:left="198"/>
              <w:rPr>
                <w:sz w:val="21"/>
              </w:rPr>
            </w:pPr>
            <w:r>
              <w:rPr>
                <w:sz w:val="21"/>
              </w:rPr>
              <w:t>166,17</w:t>
            </w:r>
          </w:p>
          <w:p>
            <w:pPr>
              <w:pStyle w:val="TableParagraph"/>
              <w:spacing w:before="3"/>
              <w:ind w:left="724" w:right="-15"/>
              <w:rPr>
                <w:sz w:val="21"/>
              </w:rPr>
            </w:pPr>
            <w:r>
              <w:rPr>
                <w:sz w:val="21"/>
              </w:rPr>
              <w:t>4 </w:t>
            </w:r>
          </w:p>
        </w:tc>
        <w:tc>
          <w:tcPr>
            <w:tcW w:w="841" w:type="dxa"/>
          </w:tcPr>
          <w:p>
            <w:pPr>
              <w:pStyle w:val="TableParagraph"/>
              <w:rPr>
                <w:sz w:val="20"/>
              </w:rPr>
            </w:pPr>
          </w:p>
          <w:p>
            <w:pPr>
              <w:pStyle w:val="TableParagraph"/>
              <w:rPr>
                <w:sz w:val="20"/>
              </w:rPr>
            </w:pPr>
          </w:p>
          <w:p>
            <w:pPr>
              <w:pStyle w:val="TableParagraph"/>
              <w:rPr>
                <w:sz w:val="20"/>
              </w:rPr>
            </w:pPr>
          </w:p>
          <w:p>
            <w:pPr>
              <w:pStyle w:val="TableParagraph"/>
              <w:spacing w:before="8"/>
              <w:rPr>
                <w:sz w:val="14"/>
              </w:rPr>
            </w:pPr>
          </w:p>
          <w:p>
            <w:pPr>
              <w:pStyle w:val="TableParagraph"/>
              <w:ind w:left="199"/>
              <w:rPr>
                <w:sz w:val="21"/>
              </w:rPr>
            </w:pPr>
            <w:r>
              <w:rPr>
                <w:sz w:val="21"/>
              </w:rPr>
              <w:t>12,47</w:t>
            </w:r>
          </w:p>
          <w:p>
            <w:pPr>
              <w:pStyle w:val="TableParagraph"/>
              <w:spacing w:before="3"/>
              <w:ind w:left="619"/>
              <w:rPr>
                <w:sz w:val="21"/>
              </w:rPr>
            </w:pPr>
            <w:r>
              <w:rPr>
                <w:sz w:val="21"/>
              </w:rPr>
              <w:t>9 </w:t>
            </w:r>
          </w:p>
        </w:tc>
        <w:tc>
          <w:tcPr>
            <w:tcW w:w="841" w:type="dxa"/>
          </w:tcPr>
          <w:p>
            <w:pPr>
              <w:pStyle w:val="TableParagraph"/>
              <w:rPr>
                <w:sz w:val="20"/>
              </w:rPr>
            </w:pPr>
          </w:p>
          <w:p>
            <w:pPr>
              <w:pStyle w:val="TableParagraph"/>
              <w:rPr>
                <w:sz w:val="20"/>
              </w:rPr>
            </w:pPr>
          </w:p>
          <w:p>
            <w:pPr>
              <w:pStyle w:val="TableParagraph"/>
              <w:rPr>
                <w:sz w:val="20"/>
              </w:rPr>
            </w:pPr>
          </w:p>
          <w:p>
            <w:pPr>
              <w:pStyle w:val="TableParagraph"/>
              <w:spacing w:before="8"/>
              <w:rPr>
                <w:sz w:val="14"/>
              </w:rPr>
            </w:pPr>
          </w:p>
          <w:p>
            <w:pPr>
              <w:pStyle w:val="TableParagraph"/>
              <w:ind w:left="198"/>
              <w:rPr>
                <w:sz w:val="21"/>
              </w:rPr>
            </w:pPr>
            <w:r>
              <w:rPr>
                <w:sz w:val="21"/>
              </w:rPr>
              <w:t>14,38</w:t>
            </w:r>
          </w:p>
          <w:p>
            <w:pPr>
              <w:pStyle w:val="TableParagraph"/>
              <w:spacing w:before="3"/>
              <w:ind w:left="618"/>
              <w:rPr>
                <w:sz w:val="21"/>
              </w:rPr>
            </w:pPr>
            <w:r>
              <w:rPr>
                <w:sz w:val="21"/>
              </w:rPr>
              <w:t>4 </w:t>
            </w:r>
          </w:p>
        </w:tc>
        <w:tc>
          <w:tcPr>
            <w:tcW w:w="942" w:type="dxa"/>
          </w:tcPr>
          <w:p>
            <w:pPr>
              <w:pStyle w:val="TableParagraph"/>
              <w:rPr>
                <w:sz w:val="20"/>
              </w:rPr>
            </w:pPr>
          </w:p>
          <w:p>
            <w:pPr>
              <w:pStyle w:val="TableParagraph"/>
              <w:rPr>
                <w:sz w:val="20"/>
              </w:rPr>
            </w:pPr>
          </w:p>
          <w:p>
            <w:pPr>
              <w:pStyle w:val="TableParagraph"/>
              <w:rPr>
                <w:sz w:val="20"/>
              </w:rPr>
            </w:pPr>
          </w:p>
          <w:p>
            <w:pPr>
              <w:pStyle w:val="TableParagraph"/>
              <w:spacing w:before="2"/>
              <w:rPr>
                <w:sz w:val="25"/>
              </w:rPr>
            </w:pPr>
          </w:p>
          <w:p>
            <w:pPr>
              <w:pStyle w:val="TableParagraph"/>
              <w:ind w:right="1"/>
              <w:jc w:val="right"/>
              <w:rPr>
                <w:sz w:val="21"/>
              </w:rPr>
            </w:pPr>
            <w:r>
              <w:rPr>
                <w:sz w:val="21"/>
              </w:rPr>
              <w:t>88,114 </w:t>
            </w:r>
          </w:p>
        </w:tc>
        <w:tc>
          <w:tcPr>
            <w:tcW w:w="944" w:type="dxa"/>
          </w:tcPr>
          <w:p>
            <w:pPr>
              <w:pStyle w:val="TableParagraph"/>
              <w:rPr>
                <w:sz w:val="20"/>
              </w:rPr>
            </w:pPr>
          </w:p>
          <w:p>
            <w:pPr>
              <w:pStyle w:val="TableParagraph"/>
              <w:rPr>
                <w:sz w:val="20"/>
              </w:rPr>
            </w:pPr>
          </w:p>
          <w:p>
            <w:pPr>
              <w:pStyle w:val="TableParagraph"/>
              <w:rPr>
                <w:sz w:val="20"/>
              </w:rPr>
            </w:pPr>
          </w:p>
          <w:p>
            <w:pPr>
              <w:pStyle w:val="TableParagraph"/>
              <w:spacing w:before="8"/>
              <w:rPr>
                <w:sz w:val="14"/>
              </w:rPr>
            </w:pPr>
          </w:p>
          <w:p>
            <w:pPr>
              <w:pStyle w:val="TableParagraph"/>
              <w:ind w:right="103"/>
              <w:jc w:val="right"/>
              <w:rPr>
                <w:sz w:val="21"/>
              </w:rPr>
            </w:pPr>
            <w:r>
              <w:rPr>
                <w:sz w:val="21"/>
              </w:rPr>
              <w:t>159,18</w:t>
            </w:r>
          </w:p>
          <w:p>
            <w:pPr>
              <w:pStyle w:val="TableParagraph"/>
              <w:spacing w:before="3"/>
              <w:ind w:right="106"/>
              <w:jc w:val="right"/>
              <w:rPr>
                <w:sz w:val="21"/>
              </w:rPr>
            </w:pPr>
            <w:r>
              <w:rPr>
                <w:w w:val="100"/>
                <w:sz w:val="21"/>
              </w:rPr>
              <w:t>7</w:t>
            </w:r>
          </w:p>
        </w:tc>
      </w:tr>
      <w:tr>
        <w:trPr>
          <w:trHeight w:val="815" w:hRule="atLeast"/>
        </w:trPr>
        <w:tc>
          <w:tcPr>
            <w:tcW w:w="631" w:type="dxa"/>
          </w:tcPr>
          <w:p>
            <w:pPr>
              <w:pStyle w:val="TableParagraph"/>
              <w:spacing w:line="242" w:lineRule="auto" w:before="1"/>
              <w:ind w:left="107" w:right="301"/>
              <w:rPr>
                <w:sz w:val="21"/>
              </w:rPr>
            </w:pPr>
            <w:r>
              <w:rPr>
                <w:sz w:val="21"/>
              </w:rPr>
              <w:t>鸿海</w:t>
            </w:r>
          </w:p>
          <w:p>
            <w:pPr>
              <w:pStyle w:val="TableParagraph"/>
              <w:spacing w:line="250" w:lineRule="exact" w:before="1"/>
              <w:ind w:left="107"/>
              <w:rPr>
                <w:sz w:val="21"/>
              </w:rPr>
            </w:pPr>
            <w:r>
              <w:rPr>
                <w:w w:val="100"/>
                <w:sz w:val="21"/>
              </w:rPr>
              <w:t>精</w:t>
            </w:r>
          </w:p>
        </w:tc>
        <w:tc>
          <w:tcPr>
            <w:tcW w:w="425" w:type="dxa"/>
          </w:tcPr>
          <w:p>
            <w:pPr>
              <w:pStyle w:val="TableParagraph"/>
              <w:spacing w:line="242" w:lineRule="auto" w:before="137"/>
              <w:ind w:left="107" w:right="-15"/>
              <w:rPr>
                <w:sz w:val="21"/>
              </w:rPr>
            </w:pPr>
            <w:r>
              <w:rPr>
                <w:sz w:val="21"/>
              </w:rPr>
              <w:t>设备 </w:t>
            </w:r>
          </w:p>
        </w:tc>
        <w:tc>
          <w:tcPr>
            <w:tcW w:w="735" w:type="dxa"/>
          </w:tcPr>
          <w:p>
            <w:pPr>
              <w:pStyle w:val="TableParagraph"/>
              <w:spacing w:before="3"/>
              <w:rPr>
                <w:sz w:val="21"/>
              </w:rPr>
            </w:pPr>
          </w:p>
          <w:p>
            <w:pPr>
              <w:pStyle w:val="TableParagraph"/>
              <w:ind w:right="-15"/>
              <w:jc w:val="right"/>
              <w:rPr>
                <w:sz w:val="21"/>
              </w:rPr>
            </w:pPr>
            <w:r>
              <w:rPr>
                <w:w w:val="100"/>
                <w:sz w:val="21"/>
              </w:rPr>
              <w:t> </w:t>
            </w:r>
          </w:p>
        </w:tc>
        <w:tc>
          <w:tcPr>
            <w:tcW w:w="736" w:type="dxa"/>
          </w:tcPr>
          <w:p>
            <w:pPr>
              <w:pStyle w:val="TableParagraph"/>
              <w:spacing w:before="3"/>
              <w:rPr>
                <w:sz w:val="21"/>
              </w:rPr>
            </w:pPr>
          </w:p>
          <w:p>
            <w:pPr>
              <w:pStyle w:val="TableParagraph"/>
              <w:ind w:right="-15"/>
              <w:jc w:val="right"/>
              <w:rPr>
                <w:sz w:val="21"/>
              </w:rPr>
            </w:pPr>
            <w:r>
              <w:rPr>
                <w:w w:val="100"/>
                <w:sz w:val="21"/>
              </w:rPr>
              <w:t> </w:t>
            </w:r>
          </w:p>
        </w:tc>
        <w:tc>
          <w:tcPr>
            <w:tcW w:w="426" w:type="dxa"/>
          </w:tcPr>
          <w:p>
            <w:pPr>
              <w:pStyle w:val="TableParagraph"/>
              <w:spacing w:before="3"/>
              <w:rPr>
                <w:sz w:val="21"/>
              </w:rPr>
            </w:pPr>
          </w:p>
          <w:p>
            <w:pPr>
              <w:pStyle w:val="TableParagraph"/>
              <w:ind w:right="-15"/>
              <w:jc w:val="right"/>
              <w:rPr>
                <w:sz w:val="21"/>
              </w:rPr>
            </w:pPr>
            <w:r>
              <w:rPr>
                <w:w w:val="100"/>
                <w:sz w:val="21"/>
              </w:rPr>
              <w:t> </w:t>
            </w:r>
          </w:p>
        </w:tc>
        <w:tc>
          <w:tcPr>
            <w:tcW w:w="426" w:type="dxa"/>
          </w:tcPr>
          <w:p>
            <w:pPr>
              <w:pStyle w:val="TableParagraph"/>
              <w:spacing w:before="3"/>
              <w:rPr>
                <w:sz w:val="21"/>
              </w:rPr>
            </w:pPr>
          </w:p>
          <w:p>
            <w:pPr>
              <w:pStyle w:val="TableParagraph"/>
              <w:ind w:right="-15"/>
              <w:jc w:val="right"/>
              <w:rPr>
                <w:sz w:val="21"/>
              </w:rPr>
            </w:pPr>
            <w:r>
              <w:rPr>
                <w:w w:val="100"/>
                <w:sz w:val="21"/>
              </w:rPr>
              <w:t> </w:t>
            </w:r>
          </w:p>
        </w:tc>
        <w:tc>
          <w:tcPr>
            <w:tcW w:w="942" w:type="dxa"/>
          </w:tcPr>
          <w:p>
            <w:pPr>
              <w:pStyle w:val="TableParagraph"/>
              <w:spacing w:before="3"/>
              <w:rPr>
                <w:sz w:val="21"/>
              </w:rPr>
            </w:pPr>
          </w:p>
          <w:p>
            <w:pPr>
              <w:pStyle w:val="TableParagraph"/>
              <w:ind w:left="197" w:right="-15"/>
              <w:rPr>
                <w:sz w:val="21"/>
              </w:rPr>
            </w:pPr>
            <w:r>
              <w:rPr>
                <w:sz w:val="21"/>
              </w:rPr>
              <w:t>30,546 </w:t>
            </w:r>
          </w:p>
        </w:tc>
        <w:tc>
          <w:tcPr>
            <w:tcW w:w="945" w:type="dxa"/>
          </w:tcPr>
          <w:p>
            <w:pPr>
              <w:pStyle w:val="TableParagraph"/>
              <w:spacing w:before="3"/>
              <w:rPr>
                <w:sz w:val="21"/>
              </w:rPr>
            </w:pPr>
          </w:p>
          <w:p>
            <w:pPr>
              <w:pStyle w:val="TableParagraph"/>
              <w:ind w:left="198" w:right="-15"/>
              <w:rPr>
                <w:sz w:val="21"/>
              </w:rPr>
            </w:pPr>
            <w:r>
              <w:rPr>
                <w:sz w:val="21"/>
              </w:rPr>
              <w:t>25,534 </w:t>
            </w:r>
          </w:p>
        </w:tc>
        <w:tc>
          <w:tcPr>
            <w:tcW w:w="841" w:type="dxa"/>
          </w:tcPr>
          <w:p>
            <w:pPr>
              <w:pStyle w:val="TableParagraph"/>
              <w:spacing w:before="3"/>
              <w:rPr>
                <w:sz w:val="21"/>
              </w:rPr>
            </w:pPr>
          </w:p>
          <w:p>
            <w:pPr>
              <w:pStyle w:val="TableParagraph"/>
              <w:jc w:val="right"/>
              <w:rPr>
                <w:sz w:val="21"/>
              </w:rPr>
            </w:pPr>
            <w:r>
              <w:rPr>
                <w:sz w:val="21"/>
              </w:rPr>
              <w:t>132 </w:t>
            </w:r>
          </w:p>
        </w:tc>
        <w:tc>
          <w:tcPr>
            <w:tcW w:w="841" w:type="dxa"/>
          </w:tcPr>
          <w:p>
            <w:pPr>
              <w:pStyle w:val="TableParagraph"/>
              <w:spacing w:before="3"/>
              <w:rPr>
                <w:sz w:val="21"/>
              </w:rPr>
            </w:pPr>
          </w:p>
          <w:p>
            <w:pPr>
              <w:pStyle w:val="TableParagraph"/>
              <w:ind w:right="1"/>
              <w:jc w:val="right"/>
              <w:rPr>
                <w:sz w:val="21"/>
              </w:rPr>
            </w:pPr>
            <w:r>
              <w:rPr>
                <w:sz w:val="21"/>
              </w:rPr>
              <w:t>58 </w:t>
            </w:r>
          </w:p>
        </w:tc>
        <w:tc>
          <w:tcPr>
            <w:tcW w:w="942" w:type="dxa"/>
          </w:tcPr>
          <w:p>
            <w:pPr>
              <w:pStyle w:val="TableParagraph"/>
              <w:spacing w:before="3"/>
              <w:rPr>
                <w:sz w:val="21"/>
              </w:rPr>
            </w:pPr>
          </w:p>
          <w:p>
            <w:pPr>
              <w:pStyle w:val="TableParagraph"/>
              <w:ind w:right="1"/>
              <w:jc w:val="right"/>
              <w:rPr>
                <w:sz w:val="21"/>
              </w:rPr>
            </w:pPr>
            <w:r>
              <w:rPr>
                <w:sz w:val="21"/>
              </w:rPr>
              <w:t>17,069 </w:t>
            </w:r>
          </w:p>
        </w:tc>
        <w:tc>
          <w:tcPr>
            <w:tcW w:w="944" w:type="dxa"/>
          </w:tcPr>
          <w:p>
            <w:pPr>
              <w:pStyle w:val="TableParagraph"/>
              <w:spacing w:before="3"/>
              <w:rPr>
                <w:sz w:val="21"/>
              </w:rPr>
            </w:pPr>
          </w:p>
          <w:p>
            <w:pPr>
              <w:pStyle w:val="TableParagraph"/>
              <w:ind w:left="194"/>
              <w:rPr>
                <w:sz w:val="21"/>
              </w:rPr>
            </w:pPr>
            <w:r>
              <w:rPr>
                <w:sz w:val="21"/>
              </w:rPr>
              <w:t>31,296</w:t>
            </w:r>
          </w:p>
        </w:tc>
      </w:tr>
    </w:tbl>
    <w:p>
      <w:pPr>
        <w:spacing w:after="0"/>
        <w:rPr>
          <w:sz w:val="21"/>
        </w:rPr>
        <w:sectPr>
          <w:pgSz w:w="11910" w:h="16840"/>
          <w:pgMar w:header="882" w:footer="1184" w:top="112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1"/>
        <w:gridCol w:w="425"/>
        <w:gridCol w:w="735"/>
        <w:gridCol w:w="736"/>
        <w:gridCol w:w="426"/>
        <w:gridCol w:w="426"/>
        <w:gridCol w:w="942"/>
        <w:gridCol w:w="945"/>
        <w:gridCol w:w="841"/>
        <w:gridCol w:w="841"/>
        <w:gridCol w:w="942"/>
        <w:gridCol w:w="944"/>
      </w:tblGrid>
      <w:tr>
        <w:trPr>
          <w:trHeight w:val="1634" w:hRule="atLeast"/>
        </w:trPr>
        <w:tc>
          <w:tcPr>
            <w:tcW w:w="631" w:type="dxa"/>
          </w:tcPr>
          <w:p>
            <w:pPr>
              <w:pStyle w:val="TableParagraph"/>
              <w:spacing w:line="242" w:lineRule="auto" w:before="3"/>
              <w:ind w:left="107" w:right="301"/>
              <w:jc w:val="both"/>
              <w:rPr>
                <w:sz w:val="21"/>
              </w:rPr>
            </w:pPr>
            <w:r>
              <w:rPr>
                <w:sz w:val="21"/>
              </w:rPr>
              <w:t>密及其子公</w:t>
            </w:r>
          </w:p>
          <w:p>
            <w:pPr>
              <w:pStyle w:val="TableParagraph"/>
              <w:spacing w:line="250" w:lineRule="exact" w:before="3"/>
              <w:ind w:left="107"/>
              <w:rPr>
                <w:sz w:val="21"/>
              </w:rPr>
            </w:pPr>
            <w:r>
              <w:rPr>
                <w:w w:val="100"/>
                <w:sz w:val="21"/>
              </w:rPr>
              <w:t>司</w:t>
            </w:r>
          </w:p>
        </w:tc>
        <w:tc>
          <w:tcPr>
            <w:tcW w:w="425" w:type="dxa"/>
          </w:tcPr>
          <w:p>
            <w:pPr>
              <w:pStyle w:val="TableParagraph"/>
              <w:rPr>
                <w:rFonts w:ascii="Times New Roman"/>
                <w:sz w:val="20"/>
              </w:rPr>
            </w:pPr>
          </w:p>
        </w:tc>
        <w:tc>
          <w:tcPr>
            <w:tcW w:w="735" w:type="dxa"/>
          </w:tcPr>
          <w:p>
            <w:pPr>
              <w:pStyle w:val="TableParagraph"/>
              <w:rPr>
                <w:rFonts w:ascii="Times New Roman"/>
                <w:sz w:val="20"/>
              </w:rPr>
            </w:pPr>
          </w:p>
        </w:tc>
        <w:tc>
          <w:tcPr>
            <w:tcW w:w="736" w:type="dxa"/>
          </w:tcPr>
          <w:p>
            <w:pPr>
              <w:pStyle w:val="TableParagraph"/>
              <w:rPr>
                <w:rFonts w:ascii="Times New Roman"/>
                <w:sz w:val="20"/>
              </w:rPr>
            </w:pPr>
          </w:p>
        </w:tc>
        <w:tc>
          <w:tcPr>
            <w:tcW w:w="426" w:type="dxa"/>
          </w:tcPr>
          <w:p>
            <w:pPr>
              <w:pStyle w:val="TableParagraph"/>
              <w:rPr>
                <w:rFonts w:ascii="Times New Roman"/>
                <w:sz w:val="20"/>
              </w:rPr>
            </w:pPr>
          </w:p>
        </w:tc>
        <w:tc>
          <w:tcPr>
            <w:tcW w:w="426" w:type="dxa"/>
          </w:tcPr>
          <w:p>
            <w:pPr>
              <w:pStyle w:val="TableParagraph"/>
              <w:rPr>
                <w:rFonts w:ascii="Times New Roman"/>
                <w:sz w:val="20"/>
              </w:rPr>
            </w:pPr>
          </w:p>
        </w:tc>
        <w:tc>
          <w:tcPr>
            <w:tcW w:w="942" w:type="dxa"/>
          </w:tcPr>
          <w:p>
            <w:pPr>
              <w:pStyle w:val="TableParagraph"/>
              <w:rPr>
                <w:rFonts w:ascii="Times New Roman"/>
                <w:sz w:val="20"/>
              </w:rPr>
            </w:pPr>
          </w:p>
        </w:tc>
        <w:tc>
          <w:tcPr>
            <w:tcW w:w="945" w:type="dxa"/>
          </w:tcPr>
          <w:p>
            <w:pPr>
              <w:pStyle w:val="TableParagraph"/>
              <w:rPr>
                <w:rFonts w:ascii="Times New Roman"/>
                <w:sz w:val="20"/>
              </w:rPr>
            </w:pPr>
          </w:p>
        </w:tc>
        <w:tc>
          <w:tcPr>
            <w:tcW w:w="841" w:type="dxa"/>
          </w:tcPr>
          <w:p>
            <w:pPr>
              <w:pStyle w:val="TableParagraph"/>
              <w:rPr>
                <w:rFonts w:ascii="Times New Roman"/>
                <w:sz w:val="20"/>
              </w:rPr>
            </w:pPr>
          </w:p>
        </w:tc>
        <w:tc>
          <w:tcPr>
            <w:tcW w:w="841" w:type="dxa"/>
          </w:tcPr>
          <w:p>
            <w:pPr>
              <w:pStyle w:val="TableParagraph"/>
              <w:rPr>
                <w:rFonts w:ascii="Times New Roman"/>
                <w:sz w:val="20"/>
              </w:rPr>
            </w:pPr>
          </w:p>
        </w:tc>
        <w:tc>
          <w:tcPr>
            <w:tcW w:w="942" w:type="dxa"/>
          </w:tcPr>
          <w:p>
            <w:pPr>
              <w:pStyle w:val="TableParagraph"/>
              <w:rPr>
                <w:rFonts w:ascii="Times New Roman"/>
                <w:sz w:val="20"/>
              </w:rPr>
            </w:pPr>
          </w:p>
        </w:tc>
        <w:tc>
          <w:tcPr>
            <w:tcW w:w="944" w:type="dxa"/>
          </w:tcPr>
          <w:p>
            <w:pPr>
              <w:pStyle w:val="TableParagraph"/>
              <w:rPr>
                <w:rFonts w:ascii="Times New Roman"/>
                <w:sz w:val="20"/>
              </w:rPr>
            </w:pPr>
          </w:p>
        </w:tc>
      </w:tr>
      <w:tr>
        <w:trPr>
          <w:trHeight w:val="2724" w:hRule="atLeast"/>
        </w:trPr>
        <w:tc>
          <w:tcPr>
            <w:tcW w:w="631" w:type="dxa"/>
          </w:tcPr>
          <w:p>
            <w:pPr>
              <w:pStyle w:val="TableParagraph"/>
              <w:spacing w:line="242" w:lineRule="auto" w:before="3"/>
              <w:ind w:left="107" w:right="194"/>
              <w:jc w:val="both"/>
              <w:rPr>
                <w:sz w:val="21"/>
              </w:rPr>
            </w:pPr>
            <w:r>
              <w:rPr>
                <w:sz w:val="21"/>
              </w:rPr>
              <w:t>中坚公司之合</w:t>
            </w:r>
            <w:r>
              <w:rPr>
                <w:spacing w:val="1"/>
                <w:sz w:val="21"/>
              </w:rPr>
              <w:t> </w:t>
            </w:r>
            <w:r>
              <w:rPr>
                <w:spacing w:val="-8"/>
                <w:sz w:val="21"/>
              </w:rPr>
              <w:t>(联</w:t>
            </w:r>
          </w:p>
          <w:p>
            <w:pPr>
              <w:pStyle w:val="TableParagraph"/>
              <w:spacing w:line="242" w:lineRule="auto" w:before="3"/>
              <w:ind w:left="107" w:right="194"/>
              <w:rPr>
                <w:sz w:val="21"/>
              </w:rPr>
            </w:pPr>
            <w:r>
              <w:rPr>
                <w:spacing w:val="-1"/>
                <w:sz w:val="21"/>
              </w:rPr>
              <w:t>)营</w:t>
            </w:r>
            <w:r>
              <w:rPr>
                <w:sz w:val="21"/>
              </w:rPr>
              <w:t>企</w:t>
            </w:r>
          </w:p>
          <w:p>
            <w:pPr>
              <w:pStyle w:val="TableParagraph"/>
              <w:spacing w:line="250" w:lineRule="exact" w:before="2"/>
              <w:ind w:left="107"/>
              <w:rPr>
                <w:sz w:val="21"/>
              </w:rPr>
            </w:pPr>
            <w:r>
              <w:rPr>
                <w:w w:val="100"/>
                <w:sz w:val="21"/>
              </w:rPr>
              <w:t>业</w:t>
            </w:r>
          </w:p>
        </w:tc>
        <w:tc>
          <w:tcPr>
            <w:tcW w:w="425" w:type="dxa"/>
          </w:tcPr>
          <w:p>
            <w:pPr>
              <w:pStyle w:val="TableParagraph"/>
              <w:rPr>
                <w:sz w:val="20"/>
              </w:rPr>
            </w:pPr>
          </w:p>
          <w:p>
            <w:pPr>
              <w:pStyle w:val="TableParagraph"/>
              <w:rPr>
                <w:sz w:val="20"/>
              </w:rPr>
            </w:pPr>
          </w:p>
          <w:p>
            <w:pPr>
              <w:pStyle w:val="TableParagraph"/>
              <w:rPr>
                <w:sz w:val="20"/>
              </w:rPr>
            </w:pPr>
          </w:p>
          <w:p>
            <w:pPr>
              <w:pStyle w:val="TableParagraph"/>
              <w:spacing w:before="3"/>
              <w:rPr>
                <w:sz w:val="25"/>
              </w:rPr>
            </w:pPr>
          </w:p>
          <w:p>
            <w:pPr>
              <w:pStyle w:val="TableParagraph"/>
              <w:spacing w:line="242" w:lineRule="auto" w:before="1"/>
              <w:ind w:left="107" w:right="-15"/>
              <w:rPr>
                <w:sz w:val="21"/>
              </w:rPr>
            </w:pPr>
            <w:r>
              <w:rPr>
                <w:sz w:val="21"/>
              </w:rPr>
              <w:t>房屋 </w:t>
            </w:r>
          </w:p>
        </w:tc>
        <w:tc>
          <w:tcPr>
            <w:tcW w:w="735"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ind w:right="-15"/>
              <w:jc w:val="right"/>
              <w:rPr>
                <w:sz w:val="21"/>
              </w:rPr>
            </w:pPr>
            <w:r>
              <w:rPr>
                <w:w w:val="100"/>
                <w:sz w:val="21"/>
              </w:rPr>
              <w:t> </w:t>
            </w:r>
          </w:p>
        </w:tc>
        <w:tc>
          <w:tcPr>
            <w:tcW w:w="736"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ind w:right="-15"/>
              <w:jc w:val="right"/>
              <w:rPr>
                <w:sz w:val="21"/>
              </w:rPr>
            </w:pPr>
            <w:r>
              <w:rPr>
                <w:w w:val="100"/>
                <w:sz w:val="21"/>
              </w:rPr>
              <w:t> </w:t>
            </w:r>
          </w:p>
        </w:tc>
        <w:tc>
          <w:tcPr>
            <w:tcW w:w="426"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ind w:right="-15"/>
              <w:jc w:val="right"/>
              <w:rPr>
                <w:sz w:val="21"/>
              </w:rPr>
            </w:pPr>
            <w:r>
              <w:rPr>
                <w:w w:val="100"/>
                <w:sz w:val="21"/>
              </w:rPr>
              <w:t> </w:t>
            </w:r>
          </w:p>
        </w:tc>
        <w:tc>
          <w:tcPr>
            <w:tcW w:w="426"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ind w:right="-15"/>
              <w:jc w:val="right"/>
              <w:rPr>
                <w:sz w:val="21"/>
              </w:rPr>
            </w:pPr>
            <w:r>
              <w:rPr>
                <w:w w:val="100"/>
                <w:sz w:val="21"/>
              </w:rPr>
              <w:t> </w:t>
            </w:r>
          </w:p>
        </w:tc>
        <w:tc>
          <w:tcPr>
            <w:tcW w:w="942" w:type="dxa"/>
          </w:tcPr>
          <w:p>
            <w:pPr>
              <w:pStyle w:val="TableParagraph"/>
              <w:rPr>
                <w:sz w:val="20"/>
              </w:rPr>
            </w:pPr>
          </w:p>
          <w:p>
            <w:pPr>
              <w:pStyle w:val="TableParagraph"/>
              <w:rPr>
                <w:sz w:val="20"/>
              </w:rPr>
            </w:pPr>
          </w:p>
          <w:p>
            <w:pPr>
              <w:pStyle w:val="TableParagraph"/>
              <w:rPr>
                <w:sz w:val="20"/>
              </w:rPr>
            </w:pPr>
          </w:p>
          <w:p>
            <w:pPr>
              <w:pStyle w:val="TableParagraph"/>
              <w:spacing w:before="3"/>
              <w:rPr>
                <w:sz w:val="25"/>
              </w:rPr>
            </w:pPr>
          </w:p>
          <w:p>
            <w:pPr>
              <w:pStyle w:val="TableParagraph"/>
              <w:spacing w:before="1"/>
              <w:ind w:left="197"/>
              <w:rPr>
                <w:sz w:val="21"/>
              </w:rPr>
            </w:pPr>
            <w:r>
              <w:rPr>
                <w:sz w:val="21"/>
              </w:rPr>
              <w:t>143,77</w:t>
            </w:r>
          </w:p>
          <w:p>
            <w:pPr>
              <w:pStyle w:val="TableParagraph"/>
              <w:spacing w:before="2"/>
              <w:ind w:left="722" w:right="-15"/>
              <w:rPr>
                <w:sz w:val="21"/>
              </w:rPr>
            </w:pPr>
            <w:r>
              <w:rPr>
                <w:sz w:val="21"/>
              </w:rPr>
              <w:t>8 </w:t>
            </w:r>
          </w:p>
        </w:tc>
        <w:tc>
          <w:tcPr>
            <w:tcW w:w="945" w:type="dxa"/>
          </w:tcPr>
          <w:p>
            <w:pPr>
              <w:pStyle w:val="TableParagraph"/>
              <w:rPr>
                <w:sz w:val="20"/>
              </w:rPr>
            </w:pPr>
          </w:p>
          <w:p>
            <w:pPr>
              <w:pStyle w:val="TableParagraph"/>
              <w:rPr>
                <w:sz w:val="20"/>
              </w:rPr>
            </w:pPr>
          </w:p>
          <w:p>
            <w:pPr>
              <w:pStyle w:val="TableParagraph"/>
              <w:rPr>
                <w:sz w:val="20"/>
              </w:rPr>
            </w:pPr>
          </w:p>
          <w:p>
            <w:pPr>
              <w:pStyle w:val="TableParagraph"/>
              <w:spacing w:before="3"/>
              <w:rPr>
                <w:sz w:val="25"/>
              </w:rPr>
            </w:pPr>
          </w:p>
          <w:p>
            <w:pPr>
              <w:pStyle w:val="TableParagraph"/>
              <w:spacing w:before="1"/>
              <w:ind w:left="198"/>
              <w:rPr>
                <w:sz w:val="21"/>
              </w:rPr>
            </w:pPr>
            <w:r>
              <w:rPr>
                <w:sz w:val="21"/>
              </w:rPr>
              <w:t>139,60</w:t>
            </w:r>
          </w:p>
          <w:p>
            <w:pPr>
              <w:pStyle w:val="TableParagraph"/>
              <w:spacing w:before="2"/>
              <w:ind w:left="724" w:right="-15"/>
              <w:rPr>
                <w:sz w:val="21"/>
              </w:rPr>
            </w:pPr>
            <w:r>
              <w:rPr>
                <w:sz w:val="21"/>
              </w:rPr>
              <w:t>1 </w:t>
            </w:r>
          </w:p>
        </w:tc>
        <w:tc>
          <w:tcPr>
            <w:tcW w:w="841"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jc w:val="right"/>
              <w:rPr>
                <w:sz w:val="21"/>
              </w:rPr>
            </w:pPr>
            <w:r>
              <w:rPr>
                <w:sz w:val="21"/>
              </w:rPr>
              <w:t>8,792 </w:t>
            </w:r>
          </w:p>
        </w:tc>
        <w:tc>
          <w:tcPr>
            <w:tcW w:w="841" w:type="dxa"/>
          </w:tcPr>
          <w:p>
            <w:pPr>
              <w:pStyle w:val="TableParagraph"/>
              <w:rPr>
                <w:sz w:val="20"/>
              </w:rPr>
            </w:pPr>
          </w:p>
          <w:p>
            <w:pPr>
              <w:pStyle w:val="TableParagraph"/>
              <w:rPr>
                <w:sz w:val="20"/>
              </w:rPr>
            </w:pPr>
          </w:p>
          <w:p>
            <w:pPr>
              <w:pStyle w:val="TableParagraph"/>
              <w:rPr>
                <w:sz w:val="20"/>
              </w:rPr>
            </w:pPr>
          </w:p>
          <w:p>
            <w:pPr>
              <w:pStyle w:val="TableParagraph"/>
              <w:spacing w:before="3"/>
              <w:rPr>
                <w:sz w:val="25"/>
              </w:rPr>
            </w:pPr>
          </w:p>
          <w:p>
            <w:pPr>
              <w:pStyle w:val="TableParagraph"/>
              <w:spacing w:before="1"/>
              <w:ind w:left="198"/>
              <w:rPr>
                <w:sz w:val="21"/>
              </w:rPr>
            </w:pPr>
            <w:r>
              <w:rPr>
                <w:sz w:val="21"/>
              </w:rPr>
              <w:t>12,85</w:t>
            </w:r>
          </w:p>
          <w:p>
            <w:pPr>
              <w:pStyle w:val="TableParagraph"/>
              <w:spacing w:before="2"/>
              <w:ind w:left="618"/>
              <w:rPr>
                <w:sz w:val="21"/>
              </w:rPr>
            </w:pPr>
            <w:r>
              <w:rPr>
                <w:sz w:val="21"/>
              </w:rPr>
              <w:t>1 </w:t>
            </w:r>
          </w:p>
        </w:tc>
        <w:tc>
          <w:tcPr>
            <w:tcW w:w="942"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ind w:right="1"/>
              <w:jc w:val="right"/>
              <w:rPr>
                <w:sz w:val="21"/>
              </w:rPr>
            </w:pPr>
            <w:r>
              <w:rPr>
                <w:sz w:val="21"/>
              </w:rPr>
              <w:t>13,973 </w:t>
            </w:r>
          </w:p>
        </w:tc>
        <w:tc>
          <w:tcPr>
            <w:tcW w:w="944"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ind w:left="194"/>
              <w:rPr>
                <w:sz w:val="21"/>
              </w:rPr>
            </w:pPr>
            <w:r>
              <w:rPr>
                <w:sz w:val="21"/>
              </w:rPr>
              <w:t>81,295</w:t>
            </w:r>
          </w:p>
        </w:tc>
      </w:tr>
      <w:tr>
        <w:trPr>
          <w:trHeight w:val="2723" w:hRule="atLeast"/>
        </w:trPr>
        <w:tc>
          <w:tcPr>
            <w:tcW w:w="631" w:type="dxa"/>
          </w:tcPr>
          <w:p>
            <w:pPr>
              <w:pStyle w:val="TableParagraph"/>
              <w:spacing w:line="242" w:lineRule="auto" w:before="3"/>
              <w:ind w:left="107" w:right="194"/>
              <w:jc w:val="both"/>
              <w:rPr>
                <w:sz w:val="21"/>
              </w:rPr>
            </w:pPr>
            <w:r>
              <w:rPr>
                <w:sz w:val="21"/>
              </w:rPr>
              <w:t>鸿海精密之合</w:t>
            </w:r>
            <w:r>
              <w:rPr>
                <w:spacing w:val="1"/>
                <w:sz w:val="21"/>
              </w:rPr>
              <w:t> </w:t>
            </w:r>
            <w:r>
              <w:rPr>
                <w:spacing w:val="-8"/>
                <w:sz w:val="21"/>
              </w:rPr>
              <w:t>(联</w:t>
            </w:r>
          </w:p>
          <w:p>
            <w:pPr>
              <w:pStyle w:val="TableParagraph"/>
              <w:spacing w:line="242" w:lineRule="auto" w:before="3"/>
              <w:ind w:left="107" w:right="194"/>
              <w:rPr>
                <w:sz w:val="21"/>
              </w:rPr>
            </w:pPr>
            <w:r>
              <w:rPr>
                <w:spacing w:val="-1"/>
                <w:sz w:val="21"/>
              </w:rPr>
              <w:t>)营</w:t>
            </w:r>
            <w:r>
              <w:rPr>
                <w:sz w:val="21"/>
              </w:rPr>
              <w:t>企</w:t>
            </w:r>
          </w:p>
          <w:p>
            <w:pPr>
              <w:pStyle w:val="TableParagraph"/>
              <w:spacing w:line="250" w:lineRule="exact" w:before="2"/>
              <w:ind w:left="107"/>
              <w:rPr>
                <w:sz w:val="21"/>
              </w:rPr>
            </w:pPr>
            <w:r>
              <w:rPr>
                <w:sz w:val="21"/>
              </w:rPr>
              <w:t>业 </w:t>
            </w:r>
          </w:p>
        </w:tc>
        <w:tc>
          <w:tcPr>
            <w:tcW w:w="425" w:type="dxa"/>
          </w:tcPr>
          <w:p>
            <w:pPr>
              <w:pStyle w:val="TableParagraph"/>
              <w:rPr>
                <w:sz w:val="20"/>
              </w:rPr>
            </w:pPr>
          </w:p>
          <w:p>
            <w:pPr>
              <w:pStyle w:val="TableParagraph"/>
              <w:rPr>
                <w:sz w:val="20"/>
              </w:rPr>
            </w:pPr>
          </w:p>
          <w:p>
            <w:pPr>
              <w:pStyle w:val="TableParagraph"/>
              <w:rPr>
                <w:sz w:val="20"/>
              </w:rPr>
            </w:pPr>
          </w:p>
          <w:p>
            <w:pPr>
              <w:pStyle w:val="TableParagraph"/>
              <w:spacing w:before="1"/>
              <w:rPr>
                <w:sz w:val="25"/>
              </w:rPr>
            </w:pPr>
          </w:p>
          <w:p>
            <w:pPr>
              <w:pStyle w:val="TableParagraph"/>
              <w:spacing w:line="244" w:lineRule="auto"/>
              <w:ind w:left="107" w:right="-15"/>
              <w:rPr>
                <w:sz w:val="21"/>
              </w:rPr>
            </w:pPr>
            <w:r>
              <w:rPr>
                <w:sz w:val="21"/>
              </w:rPr>
              <w:t>房屋 </w:t>
            </w:r>
          </w:p>
        </w:tc>
        <w:tc>
          <w:tcPr>
            <w:tcW w:w="735"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ind w:right="-15"/>
              <w:jc w:val="right"/>
              <w:rPr>
                <w:sz w:val="21"/>
              </w:rPr>
            </w:pPr>
            <w:r>
              <w:rPr>
                <w:w w:val="100"/>
                <w:sz w:val="21"/>
              </w:rPr>
              <w:t> </w:t>
            </w:r>
          </w:p>
        </w:tc>
        <w:tc>
          <w:tcPr>
            <w:tcW w:w="736"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ind w:right="-15"/>
              <w:jc w:val="right"/>
              <w:rPr>
                <w:sz w:val="21"/>
              </w:rPr>
            </w:pPr>
            <w:r>
              <w:rPr>
                <w:w w:val="100"/>
                <w:sz w:val="21"/>
              </w:rPr>
              <w:t> </w:t>
            </w:r>
          </w:p>
        </w:tc>
        <w:tc>
          <w:tcPr>
            <w:tcW w:w="426"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ind w:right="-15"/>
              <w:jc w:val="right"/>
              <w:rPr>
                <w:sz w:val="21"/>
              </w:rPr>
            </w:pPr>
            <w:r>
              <w:rPr>
                <w:w w:val="100"/>
                <w:sz w:val="21"/>
              </w:rPr>
              <w:t> </w:t>
            </w:r>
          </w:p>
        </w:tc>
        <w:tc>
          <w:tcPr>
            <w:tcW w:w="426"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ind w:right="-15"/>
              <w:jc w:val="right"/>
              <w:rPr>
                <w:sz w:val="21"/>
              </w:rPr>
            </w:pPr>
            <w:r>
              <w:rPr>
                <w:w w:val="100"/>
                <w:sz w:val="21"/>
              </w:rPr>
              <w:t> </w:t>
            </w:r>
          </w:p>
        </w:tc>
        <w:tc>
          <w:tcPr>
            <w:tcW w:w="942"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ind w:left="302" w:right="-15"/>
              <w:rPr>
                <w:sz w:val="21"/>
              </w:rPr>
            </w:pPr>
            <w:r>
              <w:rPr>
                <w:sz w:val="21"/>
              </w:rPr>
              <w:t>4,468 </w:t>
            </w:r>
          </w:p>
        </w:tc>
        <w:tc>
          <w:tcPr>
            <w:tcW w:w="945"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ind w:left="304" w:right="-15"/>
              <w:rPr>
                <w:sz w:val="21"/>
              </w:rPr>
            </w:pPr>
            <w:r>
              <w:rPr>
                <w:sz w:val="21"/>
              </w:rPr>
              <w:t>2,285 </w:t>
            </w:r>
          </w:p>
        </w:tc>
        <w:tc>
          <w:tcPr>
            <w:tcW w:w="841"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jc w:val="right"/>
              <w:rPr>
                <w:sz w:val="21"/>
              </w:rPr>
            </w:pPr>
            <w:r>
              <w:rPr>
                <w:sz w:val="21"/>
              </w:rPr>
              <w:t>432 </w:t>
            </w:r>
          </w:p>
        </w:tc>
        <w:tc>
          <w:tcPr>
            <w:tcW w:w="841"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ind w:left="409"/>
              <w:rPr>
                <w:sz w:val="21"/>
              </w:rPr>
            </w:pPr>
            <w:r>
              <w:rPr>
                <w:sz w:val="21"/>
              </w:rPr>
              <w:t>225 </w:t>
            </w:r>
          </w:p>
        </w:tc>
        <w:tc>
          <w:tcPr>
            <w:tcW w:w="942"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ind w:right="1"/>
              <w:jc w:val="right"/>
              <w:rPr>
                <w:sz w:val="21"/>
              </w:rPr>
            </w:pPr>
            <w:r>
              <w:rPr>
                <w:sz w:val="21"/>
              </w:rPr>
              <w:t>1,684 </w:t>
            </w:r>
          </w:p>
        </w:tc>
        <w:tc>
          <w:tcPr>
            <w:tcW w:w="944"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0"/>
              <w:rPr>
                <w:sz w:val="15"/>
              </w:rPr>
            </w:pPr>
          </w:p>
          <w:p>
            <w:pPr>
              <w:pStyle w:val="TableParagraph"/>
              <w:ind w:left="194"/>
              <w:rPr>
                <w:sz w:val="21"/>
              </w:rPr>
            </w:pPr>
            <w:r>
              <w:rPr>
                <w:sz w:val="21"/>
              </w:rPr>
              <w:t>14,838 </w:t>
            </w:r>
          </w:p>
        </w:tc>
      </w:tr>
    </w:tbl>
    <w:p>
      <w:pPr>
        <w:pStyle w:val="BodyText"/>
        <w:spacing w:before="1"/>
      </w:pPr>
      <w:r>
        <w:rPr>
          <w:w w:val="100"/>
        </w:rPr>
        <w:t> </w:t>
      </w:r>
    </w:p>
    <w:p>
      <w:pPr>
        <w:pStyle w:val="BodyText"/>
        <w:spacing w:before="5"/>
      </w:pPr>
      <w:r>
        <w:rPr>
          <w:spacing w:val="-1"/>
        </w:rPr>
        <w:t>关联租赁情况说明</w:t>
      </w:r>
      <w:r>
        <w:rPr/>
        <w:t> </w:t>
      </w:r>
    </w:p>
    <w:p>
      <w:pPr>
        <w:pStyle w:val="BodyText"/>
        <w:spacing w:line="244" w:lineRule="auto" w:before="2"/>
        <w:ind w:right="8320"/>
      </w:pPr>
      <w:r>
        <w:rPr/>
        <w:t>√适用 □不适用无 </w:t>
      </w:r>
    </w:p>
    <w:p>
      <w:pPr>
        <w:spacing w:after="0" w:line="244" w:lineRule="auto"/>
        <w:sectPr>
          <w:pgSz w:w="11910" w:h="16840"/>
          <w:pgMar w:header="882" w:footer="1184" w:top="1120" w:bottom="1380" w:left="1480" w:right="0"/>
        </w:sectPr>
      </w:pPr>
    </w:p>
    <w:p>
      <w:pPr>
        <w:pStyle w:val="BodyText"/>
        <w:spacing w:before="7"/>
        <w:ind w:left="0"/>
        <w:rPr>
          <w:sz w:val="25"/>
        </w:rPr>
      </w:pPr>
    </w:p>
    <w:p>
      <w:pPr>
        <w:pStyle w:val="BodyText"/>
        <w:spacing w:line="297" w:lineRule="auto" w:before="72"/>
        <w:ind w:right="9669"/>
      </w:pPr>
      <w:r>
        <w:rPr>
          <w:w w:val="100"/>
        </w:rPr>
        <w:t> (4).</w:t>
      </w:r>
    </w:p>
    <w:p>
      <w:pPr>
        <w:spacing w:after="0" w:line="297" w:lineRule="auto"/>
        <w:sectPr>
          <w:pgSz w:w="11910" w:h="16840"/>
          <w:pgMar w:header="882" w:footer="1184" w:top="1120" w:bottom="1380" w:left="1480" w:right="0"/>
        </w:sectPr>
      </w:pPr>
    </w:p>
    <w:p>
      <w:pPr>
        <w:pStyle w:val="BodyText"/>
        <w:spacing w:before="7"/>
        <w:ind w:left="0"/>
        <w:rPr>
          <w:sz w:val="25"/>
        </w:rPr>
      </w:pPr>
    </w:p>
    <w:p>
      <w:pPr>
        <w:pStyle w:val="ListParagraph"/>
        <w:numPr>
          <w:ilvl w:val="0"/>
          <w:numId w:val="87"/>
        </w:numPr>
        <w:tabs>
          <w:tab w:pos="746" w:val="left" w:leader="none"/>
        </w:tabs>
        <w:spacing w:line="297" w:lineRule="auto" w:before="72" w:after="0"/>
        <w:ind w:left="318" w:right="8308" w:firstLine="0"/>
        <w:jc w:val="left"/>
        <w:rPr>
          <w:sz w:val="21"/>
        </w:rPr>
      </w:pPr>
      <w:r>
        <w:rPr>
          <w:sz w:val="21"/>
        </w:rPr>
        <w:t>关联担保情况本公司作为担保方 </w:t>
      </w:r>
    </w:p>
    <w:p>
      <w:pPr>
        <w:pStyle w:val="BodyText"/>
        <w:spacing w:line="207" w:lineRule="exact"/>
      </w:pPr>
      <w:r>
        <w:rPr>
          <w:spacing w:val="-1"/>
        </w:rPr>
        <w:t>□适用 √不适用</w:t>
      </w:r>
      <w:r>
        <w:rPr>
          <w:spacing w:val="-3"/>
        </w:rPr>
        <w:t> </w:t>
      </w:r>
      <w:r>
        <w:rPr/>
        <w:t> </w:t>
      </w:r>
    </w:p>
    <w:p>
      <w:pPr>
        <w:pStyle w:val="BodyText"/>
        <w:spacing w:before="5"/>
      </w:pPr>
      <w:r>
        <w:rPr/>
        <w:t>本公司作为被担保方</w:t>
      </w:r>
    </w:p>
    <w:p>
      <w:pPr>
        <w:pStyle w:val="BodyText"/>
        <w:spacing w:line="244" w:lineRule="auto" w:before="2"/>
        <w:ind w:right="8320"/>
      </w:pPr>
      <w:r>
        <w:rPr/>
        <w:t>□适用 √不适用关联担保情况说明</w:t>
      </w:r>
    </w:p>
    <w:p>
      <w:pPr>
        <w:pStyle w:val="BodyText"/>
        <w:spacing w:line="265" w:lineRule="exact"/>
      </w:pPr>
      <w:r>
        <w:rPr>
          <w:spacing w:val="-1"/>
        </w:rPr>
        <w:t>□适用 √不适用</w:t>
      </w:r>
      <w:r>
        <w:rPr/>
        <w:t> </w:t>
      </w:r>
    </w:p>
    <w:p>
      <w:pPr>
        <w:pStyle w:val="BodyText"/>
        <w:spacing w:before="7"/>
        <w:ind w:left="0"/>
        <w:rPr>
          <w:sz w:val="17"/>
        </w:rPr>
      </w:pPr>
    </w:p>
    <w:p>
      <w:pPr>
        <w:spacing w:after="0"/>
        <w:rPr>
          <w:sz w:val="17"/>
        </w:rPr>
        <w:sectPr>
          <w:pgSz w:w="11910" w:h="16840"/>
          <w:pgMar w:header="882" w:footer="1184" w:top="1120" w:bottom="1380" w:left="1480" w:right="0"/>
        </w:sectPr>
      </w:pPr>
    </w:p>
    <w:p>
      <w:pPr>
        <w:pStyle w:val="ListParagraph"/>
        <w:numPr>
          <w:ilvl w:val="0"/>
          <w:numId w:val="87"/>
        </w:numPr>
        <w:tabs>
          <w:tab w:pos="743" w:val="left" w:leader="none"/>
        </w:tabs>
        <w:spacing w:line="240" w:lineRule="auto" w:before="72" w:after="0"/>
        <w:ind w:left="742" w:right="0" w:hanging="425"/>
        <w:jc w:val="left"/>
        <w:rPr>
          <w:sz w:val="21"/>
        </w:rPr>
      </w:pPr>
      <w:r>
        <w:rPr>
          <w:sz w:val="21"/>
        </w:rPr>
        <w:t>关联方资金拆借 </w:t>
      </w:r>
    </w:p>
    <w:p>
      <w:pPr>
        <w:pStyle w:val="BodyText"/>
        <w:spacing w:before="65"/>
      </w:pPr>
      <w:r>
        <w:rPr>
          <w:spacing w:val="-1"/>
        </w:rPr>
        <w:t>□适用 √不适用</w:t>
      </w:r>
      <w:r>
        <w:rPr>
          <w:spacing w:val="-3"/>
        </w:rPr>
        <w:t> </w:t>
      </w:r>
      <w:r>
        <w:rPr/>
        <w:t> </w:t>
      </w:r>
    </w:p>
    <w:p>
      <w:pPr>
        <w:pStyle w:val="BodyText"/>
        <w:spacing w:before="62"/>
      </w:pPr>
      <w:r>
        <w:rPr>
          <w:w w:val="100"/>
        </w:rPr>
        <w:t> </w:t>
      </w:r>
    </w:p>
    <w:p>
      <w:pPr>
        <w:pStyle w:val="ListParagraph"/>
        <w:numPr>
          <w:ilvl w:val="0"/>
          <w:numId w:val="87"/>
        </w:numPr>
        <w:tabs>
          <w:tab w:pos="743" w:val="left" w:leader="none"/>
        </w:tabs>
        <w:spacing w:line="240" w:lineRule="auto" w:before="64" w:after="0"/>
        <w:ind w:left="742" w:right="0" w:hanging="425"/>
        <w:jc w:val="left"/>
        <w:rPr>
          <w:sz w:val="21"/>
        </w:rPr>
      </w:pPr>
      <w:r>
        <w:rPr>
          <w:sz w:val="21"/>
        </w:rPr>
        <w:t>关联方资产转让、债务重组情况 </w:t>
      </w:r>
    </w:p>
    <w:p>
      <w:pPr>
        <w:pStyle w:val="BodyText"/>
        <w:spacing w:before="6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38"/>
      </w:pPr>
      <w:r>
        <w:rPr>
          <w:spacing w:val="7"/>
        </w:rPr>
        <w:t>单位：千元 币种：人民币</w:t>
      </w:r>
      <w:r>
        <w:rPr/>
        <w:t> </w:t>
      </w:r>
    </w:p>
    <w:p>
      <w:pPr>
        <w:spacing w:after="0"/>
        <w:sectPr>
          <w:type w:val="continuous"/>
          <w:pgSz w:w="11910" w:h="16840"/>
          <w:pgMar w:top="780" w:bottom="280" w:left="1480" w:right="0"/>
          <w:cols w:num="2" w:equalWidth="0">
            <w:col w:w="3842" w:space="2469"/>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70"/>
        <w:gridCol w:w="2203"/>
        <w:gridCol w:w="2227"/>
        <w:gridCol w:w="2222"/>
      </w:tblGrid>
      <w:tr>
        <w:trPr>
          <w:trHeight w:val="323" w:hRule="atLeast"/>
        </w:trPr>
        <w:tc>
          <w:tcPr>
            <w:tcW w:w="2170" w:type="dxa"/>
          </w:tcPr>
          <w:p>
            <w:pPr>
              <w:pStyle w:val="TableParagraph"/>
              <w:spacing w:before="27"/>
              <w:ind w:left="767"/>
              <w:rPr>
                <w:sz w:val="21"/>
              </w:rPr>
            </w:pPr>
            <w:r>
              <w:rPr>
                <w:sz w:val="21"/>
              </w:rPr>
              <w:t>关联方 </w:t>
            </w:r>
          </w:p>
        </w:tc>
        <w:tc>
          <w:tcPr>
            <w:tcW w:w="2203" w:type="dxa"/>
          </w:tcPr>
          <w:p>
            <w:pPr>
              <w:pStyle w:val="TableParagraph"/>
              <w:spacing w:before="27"/>
              <w:ind w:left="470"/>
              <w:rPr>
                <w:sz w:val="21"/>
              </w:rPr>
            </w:pPr>
            <w:r>
              <w:rPr>
                <w:spacing w:val="-1"/>
                <w:sz w:val="21"/>
              </w:rPr>
              <w:t>关联交易内容</w:t>
            </w:r>
            <w:r>
              <w:rPr>
                <w:sz w:val="21"/>
              </w:rPr>
              <w:t> </w:t>
            </w:r>
          </w:p>
        </w:tc>
        <w:tc>
          <w:tcPr>
            <w:tcW w:w="2227" w:type="dxa"/>
          </w:tcPr>
          <w:p>
            <w:pPr>
              <w:pStyle w:val="TableParagraph"/>
              <w:spacing w:before="27"/>
              <w:ind w:left="588"/>
              <w:rPr>
                <w:sz w:val="21"/>
              </w:rPr>
            </w:pPr>
            <w:r>
              <w:rPr>
                <w:sz w:val="21"/>
              </w:rPr>
              <w:t>本期发生额 </w:t>
            </w:r>
          </w:p>
        </w:tc>
        <w:tc>
          <w:tcPr>
            <w:tcW w:w="2222" w:type="dxa"/>
          </w:tcPr>
          <w:p>
            <w:pPr>
              <w:pStyle w:val="TableParagraph"/>
              <w:spacing w:before="27"/>
              <w:ind w:left="586"/>
              <w:rPr>
                <w:sz w:val="21"/>
              </w:rPr>
            </w:pPr>
            <w:r>
              <w:rPr>
                <w:sz w:val="21"/>
              </w:rPr>
              <w:t>上期发生额 </w:t>
            </w:r>
          </w:p>
        </w:tc>
      </w:tr>
      <w:tr>
        <w:trPr>
          <w:trHeight w:val="273" w:hRule="atLeast"/>
        </w:trPr>
        <w:tc>
          <w:tcPr>
            <w:tcW w:w="2170" w:type="dxa"/>
          </w:tcPr>
          <w:p>
            <w:pPr>
              <w:pStyle w:val="TableParagraph"/>
              <w:spacing w:line="250" w:lineRule="exact" w:before="3"/>
              <w:ind w:left="107"/>
              <w:rPr>
                <w:sz w:val="21"/>
              </w:rPr>
            </w:pPr>
            <w:r>
              <w:rPr>
                <w:spacing w:val="-1"/>
                <w:sz w:val="21"/>
              </w:rPr>
              <w:t>中坚公司之子公司</w:t>
            </w:r>
            <w:r>
              <w:rPr>
                <w:sz w:val="21"/>
              </w:rPr>
              <w:t> </w:t>
            </w:r>
          </w:p>
        </w:tc>
        <w:tc>
          <w:tcPr>
            <w:tcW w:w="2203" w:type="dxa"/>
          </w:tcPr>
          <w:p>
            <w:pPr>
              <w:pStyle w:val="TableParagraph"/>
              <w:spacing w:line="250" w:lineRule="exact" w:before="3"/>
              <w:ind w:left="107"/>
              <w:rPr>
                <w:sz w:val="21"/>
              </w:rPr>
            </w:pPr>
            <w:r>
              <w:rPr>
                <w:spacing w:val="-1"/>
                <w:sz w:val="21"/>
              </w:rPr>
              <w:t>采购固定资产</w:t>
            </w:r>
            <w:r>
              <w:rPr>
                <w:sz w:val="21"/>
              </w:rPr>
              <w:t> </w:t>
            </w:r>
          </w:p>
        </w:tc>
        <w:tc>
          <w:tcPr>
            <w:tcW w:w="2227" w:type="dxa"/>
          </w:tcPr>
          <w:p>
            <w:pPr>
              <w:pStyle w:val="TableParagraph"/>
              <w:spacing w:line="250" w:lineRule="exact" w:before="3"/>
              <w:ind w:right="-15"/>
              <w:jc w:val="right"/>
              <w:rPr>
                <w:sz w:val="21"/>
              </w:rPr>
            </w:pPr>
            <w:r>
              <w:rPr>
                <w:sz w:val="21"/>
              </w:rPr>
              <w:t>265,523 </w:t>
            </w:r>
          </w:p>
        </w:tc>
        <w:tc>
          <w:tcPr>
            <w:tcW w:w="2222" w:type="dxa"/>
          </w:tcPr>
          <w:p>
            <w:pPr>
              <w:pStyle w:val="TableParagraph"/>
              <w:spacing w:line="250" w:lineRule="exact" w:before="3"/>
              <w:ind w:right="-15"/>
              <w:jc w:val="right"/>
              <w:rPr>
                <w:sz w:val="21"/>
              </w:rPr>
            </w:pPr>
            <w:r>
              <w:rPr>
                <w:sz w:val="21"/>
              </w:rPr>
              <w:t>23,788 </w:t>
            </w:r>
          </w:p>
        </w:tc>
      </w:tr>
      <w:tr>
        <w:trPr>
          <w:trHeight w:val="544" w:hRule="atLeast"/>
        </w:trPr>
        <w:tc>
          <w:tcPr>
            <w:tcW w:w="2170" w:type="dxa"/>
          </w:tcPr>
          <w:p>
            <w:pPr>
              <w:pStyle w:val="TableParagraph"/>
              <w:spacing w:before="1"/>
              <w:ind w:left="107"/>
              <w:rPr>
                <w:sz w:val="21"/>
              </w:rPr>
            </w:pPr>
            <w:r>
              <w:rPr>
                <w:sz w:val="21"/>
              </w:rPr>
              <w:t>鸿海精密之合(联)营</w:t>
            </w:r>
          </w:p>
          <w:p>
            <w:pPr>
              <w:pStyle w:val="TableParagraph"/>
              <w:spacing w:line="250" w:lineRule="exact" w:before="4"/>
              <w:ind w:left="107"/>
              <w:rPr>
                <w:sz w:val="21"/>
              </w:rPr>
            </w:pPr>
            <w:r>
              <w:rPr>
                <w:sz w:val="21"/>
              </w:rPr>
              <w:t>企业 </w:t>
            </w:r>
          </w:p>
        </w:tc>
        <w:tc>
          <w:tcPr>
            <w:tcW w:w="2203" w:type="dxa"/>
          </w:tcPr>
          <w:p>
            <w:pPr>
              <w:pStyle w:val="TableParagraph"/>
              <w:spacing w:before="1"/>
              <w:ind w:left="107"/>
              <w:rPr>
                <w:sz w:val="21"/>
              </w:rPr>
            </w:pPr>
            <w:r>
              <w:rPr>
                <w:spacing w:val="-1"/>
                <w:sz w:val="21"/>
              </w:rPr>
              <w:t>采购固定资产</w:t>
            </w:r>
            <w:r>
              <w:rPr>
                <w:sz w:val="21"/>
              </w:rPr>
              <w:t> </w:t>
            </w:r>
          </w:p>
        </w:tc>
        <w:tc>
          <w:tcPr>
            <w:tcW w:w="2227" w:type="dxa"/>
          </w:tcPr>
          <w:p>
            <w:pPr>
              <w:pStyle w:val="TableParagraph"/>
              <w:spacing w:before="1"/>
              <w:ind w:right="-15"/>
              <w:jc w:val="right"/>
              <w:rPr>
                <w:sz w:val="21"/>
              </w:rPr>
            </w:pPr>
            <w:r>
              <w:rPr>
                <w:sz w:val="21"/>
              </w:rPr>
              <w:t>58,462 </w:t>
            </w:r>
          </w:p>
        </w:tc>
        <w:tc>
          <w:tcPr>
            <w:tcW w:w="2222" w:type="dxa"/>
          </w:tcPr>
          <w:p>
            <w:pPr>
              <w:pStyle w:val="TableParagraph"/>
              <w:spacing w:before="1"/>
              <w:ind w:right="-15"/>
              <w:jc w:val="right"/>
              <w:rPr>
                <w:sz w:val="21"/>
              </w:rPr>
            </w:pPr>
            <w:r>
              <w:rPr>
                <w:sz w:val="21"/>
              </w:rPr>
              <w:t>92,534 </w:t>
            </w:r>
          </w:p>
        </w:tc>
      </w:tr>
      <w:tr>
        <w:trPr>
          <w:trHeight w:val="273" w:hRule="atLeast"/>
        </w:trPr>
        <w:tc>
          <w:tcPr>
            <w:tcW w:w="2170" w:type="dxa"/>
          </w:tcPr>
          <w:p>
            <w:pPr>
              <w:pStyle w:val="TableParagraph"/>
              <w:spacing w:line="252" w:lineRule="exact" w:before="1"/>
              <w:ind w:left="107"/>
              <w:rPr>
                <w:sz w:val="21"/>
              </w:rPr>
            </w:pPr>
            <w:r>
              <w:rPr>
                <w:spacing w:val="-1"/>
                <w:sz w:val="21"/>
              </w:rPr>
              <w:t>鸿海精密及其子公司</w:t>
            </w:r>
            <w:r>
              <w:rPr>
                <w:sz w:val="21"/>
              </w:rPr>
              <w:t> </w:t>
            </w:r>
          </w:p>
        </w:tc>
        <w:tc>
          <w:tcPr>
            <w:tcW w:w="2203" w:type="dxa"/>
          </w:tcPr>
          <w:p>
            <w:pPr>
              <w:pStyle w:val="TableParagraph"/>
              <w:spacing w:line="252" w:lineRule="exact" w:before="1"/>
              <w:ind w:left="107"/>
              <w:rPr>
                <w:sz w:val="21"/>
              </w:rPr>
            </w:pPr>
            <w:r>
              <w:rPr>
                <w:spacing w:val="-1"/>
                <w:sz w:val="21"/>
              </w:rPr>
              <w:t>采购固定资产</w:t>
            </w:r>
            <w:r>
              <w:rPr>
                <w:sz w:val="21"/>
              </w:rPr>
              <w:t> </w:t>
            </w:r>
          </w:p>
        </w:tc>
        <w:tc>
          <w:tcPr>
            <w:tcW w:w="2227" w:type="dxa"/>
          </w:tcPr>
          <w:p>
            <w:pPr>
              <w:pStyle w:val="TableParagraph"/>
              <w:spacing w:line="252" w:lineRule="exact" w:before="1"/>
              <w:ind w:right="-15"/>
              <w:jc w:val="right"/>
              <w:rPr>
                <w:sz w:val="21"/>
              </w:rPr>
            </w:pPr>
            <w:r>
              <w:rPr>
                <w:sz w:val="21"/>
              </w:rPr>
              <w:t>22,444 </w:t>
            </w:r>
          </w:p>
        </w:tc>
        <w:tc>
          <w:tcPr>
            <w:tcW w:w="2222" w:type="dxa"/>
          </w:tcPr>
          <w:p>
            <w:pPr>
              <w:pStyle w:val="TableParagraph"/>
              <w:spacing w:line="252" w:lineRule="exact" w:before="1"/>
              <w:ind w:right="-15"/>
              <w:jc w:val="right"/>
              <w:rPr>
                <w:sz w:val="21"/>
              </w:rPr>
            </w:pPr>
            <w:r>
              <w:rPr>
                <w:sz w:val="21"/>
              </w:rPr>
              <w:t>611,302 </w:t>
            </w:r>
          </w:p>
        </w:tc>
      </w:tr>
      <w:tr>
        <w:trPr>
          <w:trHeight w:val="544" w:hRule="atLeast"/>
        </w:trPr>
        <w:tc>
          <w:tcPr>
            <w:tcW w:w="2170" w:type="dxa"/>
          </w:tcPr>
          <w:p>
            <w:pPr>
              <w:pStyle w:val="TableParagraph"/>
              <w:spacing w:before="1"/>
              <w:ind w:left="107"/>
              <w:rPr>
                <w:sz w:val="21"/>
              </w:rPr>
            </w:pPr>
            <w:r>
              <w:rPr>
                <w:spacing w:val="-10"/>
                <w:sz w:val="21"/>
              </w:rPr>
              <w:t>持有本公司 </w:t>
            </w:r>
            <w:r>
              <w:rPr>
                <w:sz w:val="21"/>
              </w:rPr>
              <w:t>5%以上股</w:t>
            </w:r>
          </w:p>
          <w:p>
            <w:pPr>
              <w:pStyle w:val="TableParagraph"/>
              <w:spacing w:line="250" w:lineRule="exact" w:before="4"/>
              <w:ind w:left="107"/>
              <w:rPr>
                <w:sz w:val="21"/>
              </w:rPr>
            </w:pPr>
            <w:r>
              <w:rPr>
                <w:spacing w:val="-1"/>
                <w:sz w:val="21"/>
              </w:rPr>
              <w:t>份的股东</w:t>
            </w:r>
            <w:r>
              <w:rPr>
                <w:sz w:val="21"/>
              </w:rPr>
              <w:t> </w:t>
            </w:r>
          </w:p>
        </w:tc>
        <w:tc>
          <w:tcPr>
            <w:tcW w:w="2203" w:type="dxa"/>
          </w:tcPr>
          <w:p>
            <w:pPr>
              <w:pStyle w:val="TableParagraph"/>
              <w:spacing w:before="1"/>
              <w:ind w:left="107"/>
              <w:rPr>
                <w:sz w:val="21"/>
              </w:rPr>
            </w:pPr>
            <w:r>
              <w:rPr>
                <w:spacing w:val="-1"/>
                <w:sz w:val="21"/>
              </w:rPr>
              <w:t>采购固定资产</w:t>
            </w:r>
            <w:r>
              <w:rPr>
                <w:sz w:val="21"/>
              </w:rPr>
              <w:t> </w:t>
            </w:r>
          </w:p>
        </w:tc>
        <w:tc>
          <w:tcPr>
            <w:tcW w:w="2227" w:type="dxa"/>
          </w:tcPr>
          <w:p>
            <w:pPr>
              <w:pStyle w:val="TableParagraph"/>
              <w:spacing w:before="1"/>
              <w:ind w:right="-15"/>
              <w:jc w:val="right"/>
              <w:rPr>
                <w:sz w:val="21"/>
              </w:rPr>
            </w:pPr>
            <w:r>
              <w:rPr>
                <w:sz w:val="21"/>
              </w:rPr>
              <w:t>211 </w:t>
            </w:r>
          </w:p>
        </w:tc>
        <w:tc>
          <w:tcPr>
            <w:tcW w:w="2222" w:type="dxa"/>
          </w:tcPr>
          <w:p>
            <w:pPr>
              <w:pStyle w:val="TableParagraph"/>
              <w:spacing w:before="1"/>
              <w:ind w:right="-15"/>
              <w:jc w:val="right"/>
              <w:rPr>
                <w:sz w:val="21"/>
              </w:rPr>
            </w:pPr>
            <w:r>
              <w:rPr>
                <w:sz w:val="21"/>
              </w:rPr>
              <w:t>12,934 </w:t>
            </w:r>
          </w:p>
        </w:tc>
      </w:tr>
      <w:tr>
        <w:trPr>
          <w:trHeight w:val="544" w:hRule="atLeast"/>
        </w:trPr>
        <w:tc>
          <w:tcPr>
            <w:tcW w:w="2170" w:type="dxa"/>
          </w:tcPr>
          <w:p>
            <w:pPr>
              <w:pStyle w:val="TableParagraph"/>
              <w:spacing w:before="1"/>
              <w:ind w:left="107"/>
              <w:rPr>
                <w:sz w:val="21"/>
              </w:rPr>
            </w:pPr>
            <w:r>
              <w:rPr>
                <w:sz w:val="21"/>
              </w:rPr>
              <w:t>中坚公司之合(联)营</w:t>
            </w:r>
          </w:p>
          <w:p>
            <w:pPr>
              <w:pStyle w:val="TableParagraph"/>
              <w:spacing w:line="250" w:lineRule="exact" w:before="4"/>
              <w:ind w:left="107"/>
              <w:rPr>
                <w:sz w:val="21"/>
              </w:rPr>
            </w:pPr>
            <w:r>
              <w:rPr>
                <w:sz w:val="21"/>
              </w:rPr>
              <w:t>企业 </w:t>
            </w:r>
          </w:p>
        </w:tc>
        <w:tc>
          <w:tcPr>
            <w:tcW w:w="2203" w:type="dxa"/>
          </w:tcPr>
          <w:p>
            <w:pPr>
              <w:pStyle w:val="TableParagraph"/>
              <w:spacing w:before="1"/>
              <w:ind w:left="107"/>
              <w:rPr>
                <w:sz w:val="21"/>
              </w:rPr>
            </w:pPr>
            <w:r>
              <w:rPr>
                <w:spacing w:val="-1"/>
                <w:sz w:val="21"/>
              </w:rPr>
              <w:t>采购固定资产</w:t>
            </w:r>
            <w:r>
              <w:rPr>
                <w:sz w:val="21"/>
              </w:rPr>
              <w:t> </w:t>
            </w:r>
          </w:p>
        </w:tc>
        <w:tc>
          <w:tcPr>
            <w:tcW w:w="2227" w:type="dxa"/>
          </w:tcPr>
          <w:p>
            <w:pPr>
              <w:pStyle w:val="TableParagraph"/>
              <w:spacing w:before="1"/>
              <w:ind w:right="-15"/>
              <w:jc w:val="right"/>
              <w:rPr>
                <w:sz w:val="21"/>
              </w:rPr>
            </w:pPr>
            <w:r>
              <w:rPr>
                <w:sz w:val="21"/>
              </w:rPr>
              <w:t>187 </w:t>
            </w:r>
          </w:p>
        </w:tc>
        <w:tc>
          <w:tcPr>
            <w:tcW w:w="2222" w:type="dxa"/>
          </w:tcPr>
          <w:p>
            <w:pPr>
              <w:pStyle w:val="TableParagraph"/>
              <w:spacing w:before="1"/>
              <w:ind w:right="-15"/>
              <w:jc w:val="right"/>
              <w:rPr>
                <w:sz w:val="21"/>
              </w:rPr>
            </w:pPr>
            <w:r>
              <w:rPr>
                <w:sz w:val="21"/>
              </w:rPr>
              <w:t>51,466 </w:t>
            </w:r>
          </w:p>
        </w:tc>
      </w:tr>
      <w:tr>
        <w:trPr>
          <w:trHeight w:val="273" w:hRule="atLeast"/>
        </w:trPr>
        <w:tc>
          <w:tcPr>
            <w:tcW w:w="2170" w:type="dxa"/>
          </w:tcPr>
          <w:p>
            <w:pPr>
              <w:pStyle w:val="TableParagraph"/>
              <w:spacing w:line="252" w:lineRule="exact" w:before="1"/>
              <w:ind w:left="107"/>
              <w:rPr>
                <w:sz w:val="21"/>
              </w:rPr>
            </w:pPr>
            <w:r>
              <w:rPr>
                <w:spacing w:val="-1"/>
                <w:sz w:val="21"/>
              </w:rPr>
              <w:t>鸿海精密及其子公司</w:t>
            </w:r>
            <w:r>
              <w:rPr>
                <w:sz w:val="21"/>
              </w:rPr>
              <w:t> </w:t>
            </w:r>
          </w:p>
        </w:tc>
        <w:tc>
          <w:tcPr>
            <w:tcW w:w="2203" w:type="dxa"/>
          </w:tcPr>
          <w:p>
            <w:pPr>
              <w:pStyle w:val="TableParagraph"/>
              <w:spacing w:line="252" w:lineRule="exact" w:before="1"/>
              <w:ind w:left="107"/>
              <w:rPr>
                <w:sz w:val="21"/>
              </w:rPr>
            </w:pPr>
            <w:r>
              <w:rPr>
                <w:spacing w:val="-1"/>
                <w:sz w:val="21"/>
              </w:rPr>
              <w:t>处置固定资产</w:t>
            </w:r>
            <w:r>
              <w:rPr>
                <w:sz w:val="21"/>
              </w:rPr>
              <w:t> </w:t>
            </w:r>
          </w:p>
        </w:tc>
        <w:tc>
          <w:tcPr>
            <w:tcW w:w="2227" w:type="dxa"/>
          </w:tcPr>
          <w:p>
            <w:pPr>
              <w:pStyle w:val="TableParagraph"/>
              <w:spacing w:line="252" w:lineRule="exact" w:before="1"/>
              <w:ind w:right="-15"/>
              <w:jc w:val="right"/>
              <w:rPr>
                <w:sz w:val="21"/>
              </w:rPr>
            </w:pPr>
            <w:r>
              <w:rPr>
                <w:sz w:val="21"/>
              </w:rPr>
              <w:t>25,117 </w:t>
            </w:r>
          </w:p>
        </w:tc>
        <w:tc>
          <w:tcPr>
            <w:tcW w:w="2222" w:type="dxa"/>
          </w:tcPr>
          <w:p>
            <w:pPr>
              <w:pStyle w:val="TableParagraph"/>
              <w:spacing w:line="252" w:lineRule="exact" w:before="1"/>
              <w:ind w:right="-15"/>
              <w:jc w:val="right"/>
              <w:rPr>
                <w:sz w:val="21"/>
              </w:rPr>
            </w:pPr>
            <w:r>
              <w:rPr>
                <w:sz w:val="21"/>
              </w:rPr>
              <w:t>4,024 </w:t>
            </w:r>
          </w:p>
        </w:tc>
      </w:tr>
      <w:tr>
        <w:trPr>
          <w:trHeight w:val="270" w:hRule="atLeast"/>
        </w:trPr>
        <w:tc>
          <w:tcPr>
            <w:tcW w:w="2170" w:type="dxa"/>
          </w:tcPr>
          <w:p>
            <w:pPr>
              <w:pStyle w:val="TableParagraph"/>
              <w:spacing w:line="250" w:lineRule="exact" w:before="1"/>
              <w:ind w:left="107"/>
              <w:rPr>
                <w:sz w:val="21"/>
              </w:rPr>
            </w:pPr>
            <w:r>
              <w:rPr>
                <w:spacing w:val="-1"/>
                <w:sz w:val="21"/>
              </w:rPr>
              <w:t>中坚公司之子公司</w:t>
            </w:r>
            <w:r>
              <w:rPr>
                <w:sz w:val="21"/>
              </w:rPr>
              <w:t> </w:t>
            </w:r>
          </w:p>
        </w:tc>
        <w:tc>
          <w:tcPr>
            <w:tcW w:w="2203" w:type="dxa"/>
          </w:tcPr>
          <w:p>
            <w:pPr>
              <w:pStyle w:val="TableParagraph"/>
              <w:spacing w:line="250" w:lineRule="exact" w:before="1"/>
              <w:ind w:left="107"/>
              <w:rPr>
                <w:sz w:val="21"/>
              </w:rPr>
            </w:pPr>
            <w:r>
              <w:rPr>
                <w:spacing w:val="-1"/>
                <w:sz w:val="21"/>
              </w:rPr>
              <w:t>处置固定资产</w:t>
            </w:r>
            <w:r>
              <w:rPr>
                <w:sz w:val="21"/>
              </w:rPr>
              <w:t> </w:t>
            </w:r>
          </w:p>
        </w:tc>
        <w:tc>
          <w:tcPr>
            <w:tcW w:w="2227" w:type="dxa"/>
          </w:tcPr>
          <w:p>
            <w:pPr>
              <w:pStyle w:val="TableParagraph"/>
              <w:spacing w:line="250" w:lineRule="exact" w:before="1"/>
              <w:ind w:right="-15"/>
              <w:jc w:val="right"/>
              <w:rPr>
                <w:sz w:val="21"/>
              </w:rPr>
            </w:pPr>
            <w:r>
              <w:rPr>
                <w:sz w:val="21"/>
              </w:rPr>
              <w:t>184 </w:t>
            </w:r>
          </w:p>
        </w:tc>
        <w:tc>
          <w:tcPr>
            <w:tcW w:w="2222" w:type="dxa"/>
          </w:tcPr>
          <w:p>
            <w:pPr>
              <w:pStyle w:val="TableParagraph"/>
              <w:spacing w:line="250" w:lineRule="exact" w:before="1"/>
              <w:ind w:right="-15"/>
              <w:jc w:val="right"/>
              <w:rPr>
                <w:sz w:val="21"/>
              </w:rPr>
            </w:pPr>
            <w:r>
              <w:rPr>
                <w:sz w:val="21"/>
              </w:rPr>
              <w:t>242 </w:t>
            </w:r>
          </w:p>
        </w:tc>
      </w:tr>
      <w:tr>
        <w:trPr>
          <w:trHeight w:val="547" w:hRule="atLeast"/>
        </w:trPr>
        <w:tc>
          <w:tcPr>
            <w:tcW w:w="2170" w:type="dxa"/>
          </w:tcPr>
          <w:p>
            <w:pPr>
              <w:pStyle w:val="TableParagraph"/>
              <w:spacing w:line="270" w:lineRule="atLeast"/>
              <w:ind w:left="107" w:right="156"/>
              <w:rPr>
                <w:sz w:val="21"/>
              </w:rPr>
            </w:pPr>
            <w:r>
              <w:rPr>
                <w:sz w:val="21"/>
              </w:rPr>
              <w:t>鸿海精密之合(联)营企业 </w:t>
            </w:r>
          </w:p>
        </w:tc>
        <w:tc>
          <w:tcPr>
            <w:tcW w:w="2203" w:type="dxa"/>
          </w:tcPr>
          <w:p>
            <w:pPr>
              <w:pStyle w:val="TableParagraph"/>
              <w:spacing w:before="3"/>
              <w:ind w:left="107"/>
              <w:rPr>
                <w:sz w:val="21"/>
              </w:rPr>
            </w:pPr>
            <w:r>
              <w:rPr>
                <w:spacing w:val="-1"/>
                <w:sz w:val="21"/>
              </w:rPr>
              <w:t>处置固定资产</w:t>
            </w:r>
            <w:r>
              <w:rPr>
                <w:sz w:val="21"/>
              </w:rPr>
              <w:t> </w:t>
            </w:r>
          </w:p>
        </w:tc>
        <w:tc>
          <w:tcPr>
            <w:tcW w:w="2227" w:type="dxa"/>
          </w:tcPr>
          <w:p>
            <w:pPr>
              <w:pStyle w:val="TableParagraph"/>
              <w:spacing w:before="3"/>
              <w:ind w:right="-15"/>
              <w:jc w:val="right"/>
              <w:rPr>
                <w:sz w:val="21"/>
              </w:rPr>
            </w:pPr>
            <w:r>
              <w:rPr>
                <w:sz w:val="21"/>
              </w:rPr>
              <w:t>146 </w:t>
            </w:r>
          </w:p>
        </w:tc>
        <w:tc>
          <w:tcPr>
            <w:tcW w:w="2222" w:type="dxa"/>
          </w:tcPr>
          <w:p>
            <w:pPr>
              <w:pStyle w:val="TableParagraph"/>
              <w:spacing w:before="3"/>
              <w:ind w:right="-15"/>
              <w:jc w:val="right"/>
              <w:rPr>
                <w:sz w:val="21"/>
              </w:rPr>
            </w:pPr>
            <w:r>
              <w:rPr>
                <w:sz w:val="21"/>
              </w:rPr>
              <w:t>96 </w:t>
            </w:r>
          </w:p>
        </w:tc>
      </w:tr>
      <w:tr>
        <w:trPr>
          <w:trHeight w:val="544" w:hRule="atLeast"/>
        </w:trPr>
        <w:tc>
          <w:tcPr>
            <w:tcW w:w="2170" w:type="dxa"/>
          </w:tcPr>
          <w:p>
            <w:pPr>
              <w:pStyle w:val="TableParagraph"/>
              <w:spacing w:before="1"/>
              <w:ind w:left="107"/>
              <w:rPr>
                <w:sz w:val="21"/>
              </w:rPr>
            </w:pPr>
            <w:r>
              <w:rPr>
                <w:sz w:val="21"/>
              </w:rPr>
              <w:t>中坚公司之合(联)营</w:t>
            </w:r>
          </w:p>
          <w:p>
            <w:pPr>
              <w:pStyle w:val="TableParagraph"/>
              <w:spacing w:line="252" w:lineRule="exact" w:before="2"/>
              <w:ind w:left="107"/>
              <w:rPr>
                <w:sz w:val="21"/>
              </w:rPr>
            </w:pPr>
            <w:r>
              <w:rPr>
                <w:sz w:val="21"/>
              </w:rPr>
              <w:t>企业 </w:t>
            </w:r>
          </w:p>
        </w:tc>
        <w:tc>
          <w:tcPr>
            <w:tcW w:w="2203" w:type="dxa"/>
          </w:tcPr>
          <w:p>
            <w:pPr>
              <w:pStyle w:val="TableParagraph"/>
              <w:spacing w:before="1"/>
              <w:ind w:left="107"/>
              <w:rPr>
                <w:sz w:val="21"/>
              </w:rPr>
            </w:pPr>
            <w:r>
              <w:rPr>
                <w:spacing w:val="-1"/>
                <w:sz w:val="21"/>
              </w:rPr>
              <w:t>处置固定资产</w:t>
            </w:r>
            <w:r>
              <w:rPr>
                <w:sz w:val="21"/>
              </w:rPr>
              <w:t> </w:t>
            </w:r>
          </w:p>
        </w:tc>
        <w:tc>
          <w:tcPr>
            <w:tcW w:w="2227" w:type="dxa"/>
          </w:tcPr>
          <w:p>
            <w:pPr>
              <w:pStyle w:val="TableParagraph"/>
              <w:spacing w:before="1"/>
              <w:ind w:right="-15"/>
              <w:jc w:val="right"/>
              <w:rPr>
                <w:sz w:val="21"/>
              </w:rPr>
            </w:pPr>
            <w:r>
              <w:rPr>
                <w:sz w:val="21"/>
              </w:rPr>
              <w:t>31 </w:t>
            </w:r>
          </w:p>
        </w:tc>
        <w:tc>
          <w:tcPr>
            <w:tcW w:w="2222" w:type="dxa"/>
          </w:tcPr>
          <w:p>
            <w:pPr>
              <w:pStyle w:val="TableParagraph"/>
              <w:spacing w:before="1"/>
              <w:ind w:right="-15"/>
              <w:jc w:val="right"/>
              <w:rPr>
                <w:sz w:val="21"/>
              </w:rPr>
            </w:pPr>
            <w:r>
              <w:rPr>
                <w:sz w:val="21"/>
              </w:rPr>
              <w:t>782 </w:t>
            </w:r>
          </w:p>
        </w:tc>
      </w:tr>
      <w:tr>
        <w:trPr>
          <w:trHeight w:val="544" w:hRule="atLeast"/>
        </w:trPr>
        <w:tc>
          <w:tcPr>
            <w:tcW w:w="2170" w:type="dxa"/>
          </w:tcPr>
          <w:p>
            <w:pPr>
              <w:pStyle w:val="TableParagraph"/>
              <w:spacing w:before="1"/>
              <w:ind w:left="107"/>
              <w:rPr>
                <w:sz w:val="21"/>
              </w:rPr>
            </w:pPr>
            <w:r>
              <w:rPr>
                <w:spacing w:val="-10"/>
                <w:sz w:val="21"/>
              </w:rPr>
              <w:t>持有本公司 </w:t>
            </w:r>
            <w:r>
              <w:rPr>
                <w:sz w:val="21"/>
              </w:rPr>
              <w:t>5%以上股</w:t>
            </w:r>
          </w:p>
          <w:p>
            <w:pPr>
              <w:pStyle w:val="TableParagraph"/>
              <w:spacing w:line="252" w:lineRule="exact" w:before="2"/>
              <w:ind w:left="107"/>
              <w:rPr>
                <w:sz w:val="21"/>
              </w:rPr>
            </w:pPr>
            <w:r>
              <w:rPr>
                <w:spacing w:val="-1"/>
                <w:sz w:val="21"/>
              </w:rPr>
              <w:t>份的股东</w:t>
            </w:r>
            <w:r>
              <w:rPr>
                <w:sz w:val="21"/>
              </w:rPr>
              <w:t> </w:t>
            </w:r>
          </w:p>
        </w:tc>
        <w:tc>
          <w:tcPr>
            <w:tcW w:w="2203" w:type="dxa"/>
          </w:tcPr>
          <w:p>
            <w:pPr>
              <w:pStyle w:val="TableParagraph"/>
              <w:spacing w:before="1"/>
              <w:ind w:left="107"/>
              <w:rPr>
                <w:sz w:val="21"/>
              </w:rPr>
            </w:pPr>
            <w:r>
              <w:rPr>
                <w:spacing w:val="-1"/>
                <w:sz w:val="21"/>
              </w:rPr>
              <w:t>处置固定资产</w:t>
            </w:r>
            <w:r>
              <w:rPr>
                <w:sz w:val="21"/>
              </w:rPr>
              <w:t> </w:t>
            </w:r>
          </w:p>
        </w:tc>
        <w:tc>
          <w:tcPr>
            <w:tcW w:w="2227" w:type="dxa"/>
          </w:tcPr>
          <w:p>
            <w:pPr>
              <w:pStyle w:val="TableParagraph"/>
              <w:spacing w:before="1"/>
              <w:ind w:right="-15"/>
              <w:jc w:val="right"/>
              <w:rPr>
                <w:sz w:val="21"/>
              </w:rPr>
            </w:pPr>
            <w:r>
              <w:rPr>
                <w:sz w:val="21"/>
              </w:rPr>
              <w:t>29 </w:t>
            </w:r>
          </w:p>
        </w:tc>
        <w:tc>
          <w:tcPr>
            <w:tcW w:w="2222" w:type="dxa"/>
          </w:tcPr>
          <w:p>
            <w:pPr>
              <w:pStyle w:val="TableParagraph"/>
              <w:spacing w:before="1"/>
              <w:ind w:right="-15"/>
              <w:jc w:val="right"/>
              <w:rPr>
                <w:sz w:val="21"/>
              </w:rPr>
            </w:pPr>
            <w:r>
              <w:rPr>
                <w:sz w:val="21"/>
              </w:rPr>
              <w:t>59 </w:t>
            </w:r>
          </w:p>
        </w:tc>
      </w:tr>
    </w:tbl>
    <w:p>
      <w:pPr>
        <w:spacing w:after="0"/>
        <w:jc w:val="right"/>
        <w:rPr>
          <w:sz w:val="21"/>
        </w:rPr>
        <w:sectPr>
          <w:type w:val="continuous"/>
          <w:pgSz w:w="11910" w:h="16840"/>
          <w:pgMar w:top="780" w:bottom="280" w:left="1480" w:right="0"/>
        </w:sectPr>
      </w:pPr>
    </w:p>
    <w:p>
      <w:pPr>
        <w:pStyle w:val="BodyText"/>
        <w:spacing w:before="1"/>
      </w:pPr>
      <w:r>
        <w:rPr>
          <w:w w:val="100"/>
        </w:rPr>
        <w:t> </w:t>
      </w:r>
    </w:p>
    <w:p>
      <w:pPr>
        <w:pStyle w:val="BodyText"/>
        <w:spacing w:before="2"/>
      </w:pPr>
      <w:r>
        <w:rPr>
          <w:w w:val="100"/>
        </w:rPr>
        <w:t> </w:t>
      </w:r>
    </w:p>
    <w:p>
      <w:pPr>
        <w:pStyle w:val="ListParagraph"/>
        <w:numPr>
          <w:ilvl w:val="0"/>
          <w:numId w:val="87"/>
        </w:numPr>
        <w:tabs>
          <w:tab w:pos="743" w:val="left" w:leader="none"/>
        </w:tabs>
        <w:spacing w:line="240" w:lineRule="auto" w:before="65" w:after="0"/>
        <w:ind w:left="742" w:right="0" w:hanging="425"/>
        <w:jc w:val="left"/>
        <w:rPr>
          <w:sz w:val="21"/>
        </w:rPr>
      </w:pPr>
      <w:r>
        <w:rPr>
          <w:sz w:val="21"/>
        </w:rPr>
        <w:t>关键管理人员报酬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spacing w:before="6"/>
        <w:ind w:left="0"/>
        <w:rPr>
          <w:sz w:val="14"/>
        </w:rPr>
      </w:pPr>
    </w:p>
    <w:p>
      <w:pPr>
        <w:pStyle w:val="BodyText"/>
      </w:pPr>
      <w:r>
        <w:rPr>
          <w:spacing w:val="-2"/>
        </w:rPr>
        <w:t>单位：千元 币种：人民币</w:t>
      </w:r>
    </w:p>
    <w:p>
      <w:pPr>
        <w:spacing w:after="0"/>
        <w:sectPr>
          <w:type w:val="continuous"/>
          <w:pgSz w:w="11910" w:h="16840"/>
          <w:pgMar w:top="780" w:bottom="280" w:left="1480" w:right="0"/>
          <w:cols w:num="2" w:equalWidth="0">
            <w:col w:w="2577" w:space="3854"/>
            <w:col w:w="399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93"/>
        <w:gridCol w:w="3193"/>
        <w:gridCol w:w="2440"/>
      </w:tblGrid>
      <w:tr>
        <w:trPr>
          <w:trHeight w:val="273" w:hRule="atLeast"/>
        </w:trPr>
        <w:tc>
          <w:tcPr>
            <w:tcW w:w="3193" w:type="dxa"/>
          </w:tcPr>
          <w:p>
            <w:pPr>
              <w:pStyle w:val="TableParagraph"/>
              <w:spacing w:line="252" w:lineRule="exact" w:before="1"/>
              <w:ind w:right="1270"/>
              <w:jc w:val="right"/>
              <w:rPr>
                <w:sz w:val="21"/>
              </w:rPr>
            </w:pPr>
            <w:r>
              <w:rPr>
                <w:sz w:val="21"/>
              </w:rPr>
              <w:t>项目 </w:t>
            </w:r>
          </w:p>
        </w:tc>
        <w:tc>
          <w:tcPr>
            <w:tcW w:w="3193" w:type="dxa"/>
          </w:tcPr>
          <w:p>
            <w:pPr>
              <w:pStyle w:val="TableParagraph"/>
              <w:spacing w:line="252" w:lineRule="exact" w:before="1"/>
              <w:ind w:left="1069"/>
              <w:rPr>
                <w:sz w:val="21"/>
              </w:rPr>
            </w:pPr>
            <w:r>
              <w:rPr>
                <w:sz w:val="21"/>
              </w:rPr>
              <w:t>本期发生额 </w:t>
            </w:r>
          </w:p>
        </w:tc>
        <w:tc>
          <w:tcPr>
            <w:tcW w:w="2440" w:type="dxa"/>
          </w:tcPr>
          <w:p>
            <w:pPr>
              <w:pStyle w:val="TableParagraph"/>
              <w:spacing w:line="252" w:lineRule="exact" w:before="1"/>
              <w:ind w:left="692"/>
              <w:rPr>
                <w:sz w:val="21"/>
              </w:rPr>
            </w:pPr>
            <w:r>
              <w:rPr>
                <w:sz w:val="21"/>
              </w:rPr>
              <w:t>上期发生额 </w:t>
            </w:r>
          </w:p>
        </w:tc>
      </w:tr>
      <w:tr>
        <w:trPr>
          <w:trHeight w:val="273" w:hRule="atLeast"/>
        </w:trPr>
        <w:tc>
          <w:tcPr>
            <w:tcW w:w="3193" w:type="dxa"/>
          </w:tcPr>
          <w:p>
            <w:pPr>
              <w:pStyle w:val="TableParagraph"/>
              <w:spacing w:line="253" w:lineRule="exact" w:before="1"/>
              <w:ind w:right="1287"/>
              <w:jc w:val="right"/>
              <w:rPr>
                <w:sz w:val="21"/>
              </w:rPr>
            </w:pPr>
            <w:r>
              <w:rPr>
                <w:spacing w:val="-1"/>
                <w:sz w:val="21"/>
              </w:rPr>
              <w:t>关键管理人员报酬</w:t>
            </w:r>
            <w:r>
              <w:rPr>
                <w:sz w:val="21"/>
              </w:rPr>
              <w:t> </w:t>
            </w:r>
          </w:p>
        </w:tc>
        <w:tc>
          <w:tcPr>
            <w:tcW w:w="3193" w:type="dxa"/>
          </w:tcPr>
          <w:p>
            <w:pPr>
              <w:pStyle w:val="TableParagraph"/>
              <w:spacing w:line="253" w:lineRule="exact" w:before="1"/>
              <w:ind w:right="-15"/>
              <w:jc w:val="right"/>
              <w:rPr>
                <w:sz w:val="21"/>
              </w:rPr>
            </w:pPr>
            <w:r>
              <w:rPr>
                <w:sz w:val="21"/>
              </w:rPr>
              <w:t>59,210 </w:t>
            </w:r>
          </w:p>
        </w:tc>
        <w:tc>
          <w:tcPr>
            <w:tcW w:w="2440" w:type="dxa"/>
          </w:tcPr>
          <w:p>
            <w:pPr>
              <w:pStyle w:val="TableParagraph"/>
              <w:spacing w:line="253" w:lineRule="exact" w:before="1"/>
              <w:ind w:right="-15"/>
              <w:jc w:val="right"/>
              <w:rPr>
                <w:sz w:val="21"/>
              </w:rPr>
            </w:pPr>
            <w:r>
              <w:rPr>
                <w:sz w:val="21"/>
              </w:rPr>
              <w:t>70,880 </w:t>
            </w:r>
          </w:p>
        </w:tc>
      </w:tr>
    </w:tbl>
    <w:p>
      <w:pPr>
        <w:pStyle w:val="BodyText"/>
        <w:spacing w:before="1"/>
      </w:pPr>
      <w:r>
        <w:rPr>
          <w:w w:val="100"/>
        </w:rPr>
        <w:t> </w:t>
      </w:r>
    </w:p>
    <w:p>
      <w:pPr>
        <w:pStyle w:val="ListParagraph"/>
        <w:numPr>
          <w:ilvl w:val="0"/>
          <w:numId w:val="87"/>
        </w:numPr>
        <w:tabs>
          <w:tab w:pos="743" w:val="left" w:leader="none"/>
        </w:tabs>
        <w:spacing w:line="240" w:lineRule="auto" w:before="62" w:after="0"/>
        <w:ind w:left="742" w:right="0" w:hanging="425"/>
        <w:jc w:val="left"/>
        <w:rPr>
          <w:sz w:val="21"/>
        </w:rPr>
      </w:pPr>
      <w:r>
        <w:rPr>
          <w:sz w:val="21"/>
        </w:rPr>
        <w:t>其他关联交易 </w:t>
      </w:r>
    </w:p>
    <w:p>
      <w:pPr>
        <w:pStyle w:val="BodyText"/>
        <w:spacing w:before="65" w:after="24"/>
      </w:pPr>
      <w:r>
        <w:rPr>
          <w:spacing w:val="11"/>
        </w:rPr>
        <w:t>√适用 □不适用</w:t>
      </w:r>
      <w:r>
        <w:rPr>
          <w:spacing w:val="-3"/>
        </w:rPr>
        <w:t> </w:t>
      </w:r>
      <w:r>
        <w:rPr/>
        <w:t> </w:t>
      </w: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7"/>
        <w:gridCol w:w="3294"/>
      </w:tblGrid>
      <w:tr>
        <w:trPr>
          <w:trHeight w:val="268" w:hRule="atLeast"/>
        </w:trPr>
        <w:tc>
          <w:tcPr>
            <w:tcW w:w="707" w:type="dxa"/>
          </w:tcPr>
          <w:p>
            <w:pPr>
              <w:pStyle w:val="TableParagraph"/>
              <w:spacing w:line="248" w:lineRule="exact"/>
              <w:ind w:left="200"/>
              <w:rPr>
                <w:rFonts w:ascii="Arial MT"/>
                <w:sz w:val="24"/>
              </w:rPr>
            </w:pPr>
            <w:r>
              <w:rPr>
                <w:rFonts w:ascii="Arial MT"/>
                <w:sz w:val="24"/>
              </w:rPr>
              <w:t>(a)</w:t>
            </w:r>
          </w:p>
        </w:tc>
        <w:tc>
          <w:tcPr>
            <w:tcW w:w="3294" w:type="dxa"/>
          </w:tcPr>
          <w:p>
            <w:pPr>
              <w:pStyle w:val="TableParagraph"/>
              <w:spacing w:line="248" w:lineRule="exact"/>
              <w:ind w:left="212"/>
              <w:rPr>
                <w:sz w:val="24"/>
              </w:rPr>
            </w:pPr>
            <w:r>
              <w:rPr>
                <w:sz w:val="24"/>
              </w:rPr>
              <w:t>关联方代本集团支付的款项</w:t>
            </w:r>
          </w:p>
        </w:tc>
      </w:tr>
    </w:tbl>
    <w:p>
      <w:pPr>
        <w:pStyle w:val="Heading3"/>
        <w:spacing w:before="9" w:after="27"/>
        <w:ind w:left="318"/>
        <w:jc w:val="left"/>
      </w:pPr>
      <w:r>
        <w:rPr/>
        <w:t> </w:t>
      </w: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47"/>
        <w:gridCol w:w="2500"/>
        <w:gridCol w:w="1858"/>
      </w:tblGrid>
      <w:tr>
        <w:trPr>
          <w:trHeight w:val="433" w:hRule="atLeast"/>
        </w:trPr>
        <w:tc>
          <w:tcPr>
            <w:tcW w:w="3947" w:type="dxa"/>
          </w:tcPr>
          <w:p>
            <w:pPr>
              <w:pStyle w:val="TableParagraph"/>
              <w:rPr>
                <w:rFonts w:ascii="Times New Roman"/>
                <w:sz w:val="20"/>
              </w:rPr>
            </w:pPr>
          </w:p>
        </w:tc>
        <w:tc>
          <w:tcPr>
            <w:tcW w:w="2500" w:type="dxa"/>
          </w:tcPr>
          <w:p>
            <w:pPr>
              <w:pStyle w:val="TableParagraph"/>
              <w:spacing w:line="285" w:lineRule="exact"/>
              <w:ind w:left="859"/>
              <w:rPr>
                <w:sz w:val="24"/>
              </w:rPr>
            </w:pPr>
            <w:r>
              <w:rPr>
                <w:rFonts w:ascii="Arial MT" w:eastAsia="Arial MT"/>
                <w:sz w:val="24"/>
              </w:rPr>
              <w:t>2022</w:t>
            </w:r>
            <w:r>
              <w:rPr>
                <w:rFonts w:ascii="Arial MT" w:eastAsia="Arial MT"/>
                <w:spacing w:val="-14"/>
                <w:sz w:val="24"/>
              </w:rPr>
              <w:t> </w:t>
            </w:r>
            <w:r>
              <w:rPr>
                <w:sz w:val="24"/>
              </w:rPr>
              <w:t>年度</w:t>
            </w:r>
          </w:p>
        </w:tc>
        <w:tc>
          <w:tcPr>
            <w:tcW w:w="1858" w:type="dxa"/>
          </w:tcPr>
          <w:p>
            <w:pPr>
              <w:pStyle w:val="TableParagraph"/>
              <w:spacing w:line="285" w:lineRule="exact"/>
              <w:ind w:left="570"/>
              <w:rPr>
                <w:sz w:val="24"/>
              </w:rPr>
            </w:pPr>
            <w:r>
              <w:rPr>
                <w:rFonts w:ascii="Arial MT" w:eastAsia="Arial MT"/>
                <w:sz w:val="24"/>
              </w:rPr>
              <w:t>2021</w:t>
            </w:r>
            <w:r>
              <w:rPr>
                <w:rFonts w:ascii="Arial MT" w:eastAsia="Arial MT"/>
                <w:spacing w:val="-14"/>
                <w:sz w:val="24"/>
              </w:rPr>
              <w:t> </w:t>
            </w:r>
            <w:r>
              <w:rPr>
                <w:sz w:val="24"/>
              </w:rPr>
              <w:t>年度</w:t>
            </w:r>
          </w:p>
        </w:tc>
      </w:tr>
      <w:tr>
        <w:trPr>
          <w:trHeight w:val="450" w:hRule="atLeast"/>
        </w:trPr>
        <w:tc>
          <w:tcPr>
            <w:tcW w:w="3947" w:type="dxa"/>
          </w:tcPr>
          <w:p>
            <w:pPr>
              <w:pStyle w:val="TableParagraph"/>
              <w:spacing w:line="299" w:lineRule="exact" w:before="131"/>
              <w:ind w:left="200"/>
              <w:rPr>
                <w:sz w:val="24"/>
              </w:rPr>
            </w:pPr>
            <w:r>
              <w:rPr>
                <w:sz w:val="24"/>
              </w:rPr>
              <w:t>鸿海精密及其子公司</w:t>
            </w:r>
          </w:p>
        </w:tc>
        <w:tc>
          <w:tcPr>
            <w:tcW w:w="2500" w:type="dxa"/>
          </w:tcPr>
          <w:p>
            <w:pPr>
              <w:pStyle w:val="TableParagraph"/>
              <w:spacing w:line="270" w:lineRule="exact" w:before="161"/>
              <w:ind w:left="1186"/>
              <w:rPr>
                <w:rFonts w:ascii="Arial MT"/>
                <w:sz w:val="24"/>
              </w:rPr>
            </w:pPr>
            <w:r>
              <w:rPr>
                <w:rFonts w:ascii="Arial MT"/>
                <w:sz w:val="24"/>
              </w:rPr>
              <w:t>42,662</w:t>
            </w:r>
          </w:p>
        </w:tc>
        <w:tc>
          <w:tcPr>
            <w:tcW w:w="1858" w:type="dxa"/>
          </w:tcPr>
          <w:p>
            <w:pPr>
              <w:pStyle w:val="TableParagraph"/>
              <w:spacing w:line="270" w:lineRule="exact" w:before="161"/>
              <w:ind w:left="897"/>
              <w:rPr>
                <w:rFonts w:ascii="Arial MT"/>
                <w:sz w:val="24"/>
              </w:rPr>
            </w:pPr>
            <w:r>
              <w:rPr>
                <w:rFonts w:ascii="Arial MT"/>
                <w:sz w:val="24"/>
              </w:rPr>
              <w:t>39,803</w:t>
            </w:r>
          </w:p>
        </w:tc>
      </w:tr>
      <w:tr>
        <w:trPr>
          <w:trHeight w:val="298" w:hRule="atLeast"/>
        </w:trPr>
        <w:tc>
          <w:tcPr>
            <w:tcW w:w="3947" w:type="dxa"/>
          </w:tcPr>
          <w:p>
            <w:pPr>
              <w:pStyle w:val="TableParagraph"/>
              <w:spacing w:line="278" w:lineRule="exact"/>
              <w:ind w:left="200"/>
              <w:rPr>
                <w:sz w:val="24"/>
              </w:rPr>
            </w:pPr>
            <w:r>
              <w:rPr>
                <w:sz w:val="24"/>
              </w:rPr>
              <w:t>鸿海精密之合</w:t>
            </w:r>
            <w:r>
              <w:rPr>
                <w:rFonts w:ascii="Arial MT" w:eastAsia="Arial MT"/>
                <w:sz w:val="24"/>
              </w:rPr>
              <w:t>(</w:t>
            </w:r>
            <w:r>
              <w:rPr>
                <w:sz w:val="24"/>
              </w:rPr>
              <w:t>联</w:t>
            </w:r>
            <w:r>
              <w:rPr>
                <w:rFonts w:ascii="Arial MT" w:eastAsia="Arial MT"/>
                <w:sz w:val="24"/>
              </w:rPr>
              <w:t>)</w:t>
            </w:r>
            <w:r>
              <w:rPr>
                <w:sz w:val="24"/>
              </w:rPr>
              <w:t>营企业</w:t>
            </w:r>
          </w:p>
        </w:tc>
        <w:tc>
          <w:tcPr>
            <w:tcW w:w="2500" w:type="dxa"/>
          </w:tcPr>
          <w:p>
            <w:pPr>
              <w:pStyle w:val="TableParagraph"/>
              <w:tabs>
                <w:tab w:pos="1519" w:val="left" w:leader="none"/>
                <w:tab w:pos="2270" w:val="left" w:leader="none"/>
                <w:tab w:pos="4078" w:val="left" w:leader="none"/>
              </w:tabs>
              <w:spacing w:line="256" w:lineRule="exact" w:before="22"/>
              <w:ind w:left="60" w:right="-1584"/>
              <w:rPr>
                <w:rFonts w:ascii="Arial MT"/>
                <w:sz w:val="24"/>
              </w:rPr>
            </w:pPr>
            <w:r>
              <w:rPr>
                <w:rFonts w:ascii="Arial MT"/>
                <w:w w:val="100"/>
                <w:sz w:val="24"/>
                <w:u w:val="single"/>
              </w:rPr>
              <w:t> </w:t>
            </w:r>
            <w:r>
              <w:rPr>
                <w:rFonts w:ascii="Arial MT"/>
                <w:sz w:val="24"/>
                <w:u w:val="single"/>
              </w:rPr>
              <w:tab/>
            </w:r>
            <w:r>
              <w:rPr>
                <w:rFonts w:ascii="Arial MT"/>
                <w:sz w:val="24"/>
                <w:u w:val="single"/>
              </w:rPr>
              <w:t>123 </w:t>
            </w:r>
            <w:r>
              <w:rPr>
                <w:rFonts w:ascii="Arial MT"/>
                <w:spacing w:val="4"/>
                <w:sz w:val="24"/>
                <w:u w:val="single"/>
              </w:rPr>
              <w:t> </w:t>
            </w:r>
            <w:r>
              <w:rPr>
                <w:rFonts w:ascii="Arial MT"/>
                <w:sz w:val="24"/>
              </w:rPr>
              <w:tab/>
            </w:r>
            <w:r>
              <w:rPr>
                <w:rFonts w:ascii="Arial MT"/>
                <w:w w:val="100"/>
                <w:sz w:val="24"/>
                <w:u w:val="single"/>
              </w:rPr>
              <w:t> </w:t>
            </w:r>
            <w:r>
              <w:rPr>
                <w:rFonts w:ascii="Arial MT"/>
                <w:sz w:val="24"/>
                <w:u w:val="single"/>
              </w:rPr>
              <w:tab/>
            </w:r>
          </w:p>
        </w:tc>
        <w:tc>
          <w:tcPr>
            <w:tcW w:w="1858" w:type="dxa"/>
          </w:tcPr>
          <w:p>
            <w:pPr>
              <w:pStyle w:val="TableParagraph"/>
              <w:spacing w:line="256" w:lineRule="exact" w:before="22"/>
              <w:ind w:right="85"/>
              <w:jc w:val="right"/>
              <w:rPr>
                <w:rFonts w:ascii="Arial MT"/>
                <w:sz w:val="24"/>
              </w:rPr>
            </w:pPr>
            <w:r>
              <w:rPr>
                <w:rFonts w:ascii="Arial MT"/>
                <w:sz w:val="24"/>
                <w:u w:val="single"/>
              </w:rPr>
              <w:t>- </w:t>
            </w:r>
            <w:r>
              <w:rPr>
                <w:rFonts w:ascii="Arial MT"/>
                <w:spacing w:val="-22"/>
                <w:sz w:val="24"/>
                <w:u w:val="single"/>
              </w:rPr>
              <w:t> </w:t>
            </w:r>
          </w:p>
        </w:tc>
      </w:tr>
    </w:tbl>
    <w:p>
      <w:pPr>
        <w:spacing w:after="0" w:line="256" w:lineRule="exact"/>
        <w:jc w:val="right"/>
        <w:rPr>
          <w:rFonts w:ascii="Arial MT"/>
          <w:sz w:val="24"/>
        </w:rPr>
        <w:sectPr>
          <w:type w:val="continuous"/>
          <w:pgSz w:w="11910" w:h="16840"/>
          <w:pgMar w:top="780" w:bottom="280" w:left="1480" w:right="0"/>
        </w:sectPr>
      </w:pPr>
    </w:p>
    <w:tbl>
      <w:tblPr>
        <w:tblW w:w="0" w:type="auto"/>
        <w:jc w:val="left"/>
        <w:tblInd w:w="4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5"/>
        <w:gridCol w:w="226"/>
        <w:gridCol w:w="1986"/>
        <w:gridCol w:w="106"/>
      </w:tblGrid>
      <w:tr>
        <w:trPr>
          <w:trHeight w:val="405" w:hRule="atLeast"/>
        </w:trPr>
        <w:tc>
          <w:tcPr>
            <w:tcW w:w="1985" w:type="dxa"/>
            <w:tcBorders>
              <w:bottom w:val="single" w:sz="4" w:space="0" w:color="000000"/>
            </w:tcBorders>
          </w:tcPr>
          <w:p>
            <w:pPr>
              <w:pStyle w:val="TableParagraph"/>
              <w:rPr>
                <w:rFonts w:ascii="Times New Roman"/>
                <w:sz w:val="20"/>
              </w:rPr>
            </w:pPr>
          </w:p>
        </w:tc>
        <w:tc>
          <w:tcPr>
            <w:tcW w:w="226" w:type="dxa"/>
          </w:tcPr>
          <w:p>
            <w:pPr>
              <w:pStyle w:val="TableParagraph"/>
              <w:rPr>
                <w:rFonts w:ascii="Times New Roman"/>
                <w:sz w:val="20"/>
              </w:rPr>
            </w:pPr>
          </w:p>
        </w:tc>
        <w:tc>
          <w:tcPr>
            <w:tcW w:w="1986" w:type="dxa"/>
            <w:tcBorders>
              <w:bottom w:val="single" w:sz="4" w:space="0" w:color="000000"/>
            </w:tcBorders>
          </w:tcPr>
          <w:p>
            <w:pPr>
              <w:pStyle w:val="TableParagraph"/>
              <w:rPr>
                <w:rFonts w:ascii="Times New Roman"/>
                <w:sz w:val="20"/>
              </w:rPr>
            </w:pPr>
          </w:p>
        </w:tc>
        <w:tc>
          <w:tcPr>
            <w:tcW w:w="106" w:type="dxa"/>
          </w:tcPr>
          <w:p>
            <w:pPr>
              <w:pStyle w:val="TableParagraph"/>
              <w:rPr>
                <w:rFonts w:ascii="Times New Roman"/>
                <w:sz w:val="20"/>
              </w:rPr>
            </w:pPr>
          </w:p>
        </w:tc>
      </w:tr>
      <w:tr>
        <w:trPr>
          <w:trHeight w:val="273" w:hRule="atLeast"/>
        </w:trPr>
        <w:tc>
          <w:tcPr>
            <w:tcW w:w="1985" w:type="dxa"/>
            <w:tcBorders>
              <w:top w:val="single" w:sz="4" w:space="0" w:color="000000"/>
            </w:tcBorders>
          </w:tcPr>
          <w:p>
            <w:pPr>
              <w:pStyle w:val="TableParagraph"/>
              <w:tabs>
                <w:tab w:pos="1111" w:val="left" w:leader="none"/>
              </w:tabs>
              <w:spacing w:line="254" w:lineRule="exact"/>
              <w:ind w:left="-15"/>
              <w:rPr>
                <w:rFonts w:ascii="Arial MT"/>
                <w:sz w:val="24"/>
              </w:rPr>
            </w:pPr>
            <w:r>
              <w:rPr>
                <w:rFonts w:ascii="Arial MT"/>
                <w:w w:val="100"/>
                <w:sz w:val="24"/>
                <w:u w:val="thick"/>
              </w:rPr>
              <w:t> </w:t>
            </w:r>
            <w:r>
              <w:rPr>
                <w:rFonts w:ascii="Arial MT"/>
                <w:sz w:val="24"/>
                <w:u w:val="thick"/>
              </w:rPr>
              <w:tab/>
            </w:r>
            <w:r>
              <w:rPr>
                <w:rFonts w:ascii="Arial MT"/>
                <w:sz w:val="24"/>
                <w:u w:val="thick"/>
              </w:rPr>
              <w:t>42,785 </w:t>
            </w:r>
            <w:r>
              <w:rPr>
                <w:rFonts w:ascii="Arial MT"/>
                <w:spacing w:val="5"/>
                <w:sz w:val="24"/>
                <w:u w:val="thick"/>
              </w:rPr>
              <w:t> </w:t>
            </w:r>
          </w:p>
        </w:tc>
        <w:tc>
          <w:tcPr>
            <w:tcW w:w="226" w:type="dxa"/>
          </w:tcPr>
          <w:p>
            <w:pPr>
              <w:pStyle w:val="TableParagraph"/>
              <w:rPr>
                <w:rFonts w:ascii="Times New Roman"/>
                <w:sz w:val="20"/>
              </w:rPr>
            </w:pPr>
          </w:p>
        </w:tc>
        <w:tc>
          <w:tcPr>
            <w:tcW w:w="1986" w:type="dxa"/>
            <w:tcBorders>
              <w:top w:val="single" w:sz="4" w:space="0" w:color="000000"/>
            </w:tcBorders>
          </w:tcPr>
          <w:p>
            <w:pPr>
              <w:pStyle w:val="TableParagraph"/>
              <w:tabs>
                <w:tab w:pos="1111" w:val="left" w:leader="none"/>
              </w:tabs>
              <w:spacing w:line="254" w:lineRule="exact"/>
              <w:ind w:left="-15"/>
              <w:rPr>
                <w:rFonts w:ascii="Arial MT"/>
                <w:sz w:val="24"/>
              </w:rPr>
            </w:pPr>
            <w:r>
              <w:rPr>
                <w:rFonts w:ascii="Arial MT"/>
                <w:w w:val="100"/>
                <w:sz w:val="24"/>
                <w:u w:val="thick"/>
              </w:rPr>
              <w:t> </w:t>
            </w:r>
            <w:r>
              <w:rPr>
                <w:rFonts w:ascii="Arial MT"/>
                <w:sz w:val="24"/>
                <w:u w:val="thick"/>
              </w:rPr>
              <w:tab/>
            </w:r>
            <w:r>
              <w:rPr>
                <w:rFonts w:ascii="Arial MT"/>
                <w:sz w:val="24"/>
                <w:u w:val="thick"/>
              </w:rPr>
              <w:t>39,803 </w:t>
            </w:r>
            <w:r>
              <w:rPr>
                <w:rFonts w:ascii="Arial MT"/>
                <w:spacing w:val="5"/>
                <w:sz w:val="24"/>
                <w:u w:val="thick"/>
              </w:rPr>
              <w:t> </w:t>
            </w:r>
          </w:p>
        </w:tc>
        <w:tc>
          <w:tcPr>
            <w:tcW w:w="106" w:type="dxa"/>
          </w:tcPr>
          <w:p>
            <w:pPr>
              <w:pStyle w:val="TableParagraph"/>
              <w:rPr>
                <w:rFonts w:ascii="Times New Roman"/>
                <w:sz w:val="20"/>
              </w:rPr>
            </w:pPr>
          </w:p>
        </w:tc>
      </w:tr>
    </w:tbl>
    <w:p>
      <w:pPr>
        <w:pStyle w:val="BodyText"/>
        <w:spacing w:before="9"/>
        <w:ind w:left="0"/>
        <w:rPr>
          <w:sz w:val="28"/>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7"/>
        <w:gridCol w:w="1854"/>
      </w:tblGrid>
      <w:tr>
        <w:trPr>
          <w:trHeight w:val="268" w:hRule="atLeast"/>
        </w:trPr>
        <w:tc>
          <w:tcPr>
            <w:tcW w:w="707" w:type="dxa"/>
          </w:tcPr>
          <w:p>
            <w:pPr>
              <w:pStyle w:val="TableParagraph"/>
              <w:spacing w:line="248" w:lineRule="exact"/>
              <w:ind w:left="200"/>
              <w:rPr>
                <w:rFonts w:ascii="Arial MT"/>
                <w:sz w:val="24"/>
              </w:rPr>
            </w:pPr>
            <w:r>
              <w:rPr>
                <w:rFonts w:ascii="Arial MT"/>
                <w:sz w:val="24"/>
              </w:rPr>
              <w:t>(b)</w:t>
            </w:r>
          </w:p>
        </w:tc>
        <w:tc>
          <w:tcPr>
            <w:tcW w:w="1854" w:type="dxa"/>
          </w:tcPr>
          <w:p>
            <w:pPr>
              <w:pStyle w:val="TableParagraph"/>
              <w:spacing w:line="248" w:lineRule="exact"/>
              <w:ind w:left="212"/>
              <w:rPr>
                <w:sz w:val="24"/>
              </w:rPr>
            </w:pPr>
            <w:r>
              <w:rPr>
                <w:sz w:val="24"/>
              </w:rPr>
              <w:t>商标使用权费</w:t>
            </w:r>
          </w:p>
        </w:tc>
      </w:tr>
    </w:tbl>
    <w:p>
      <w:pPr>
        <w:pStyle w:val="BodyText"/>
        <w:spacing w:before="8"/>
        <w:ind w:left="0"/>
        <w:rPr>
          <w:sz w:val="26"/>
        </w:rPr>
      </w:pP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14"/>
        <w:gridCol w:w="2634"/>
        <w:gridCol w:w="1841"/>
      </w:tblGrid>
      <w:tr>
        <w:trPr>
          <w:trHeight w:val="433" w:hRule="atLeast"/>
        </w:trPr>
        <w:tc>
          <w:tcPr>
            <w:tcW w:w="3814" w:type="dxa"/>
          </w:tcPr>
          <w:p>
            <w:pPr>
              <w:pStyle w:val="TableParagraph"/>
              <w:rPr>
                <w:rFonts w:ascii="Times New Roman"/>
                <w:sz w:val="20"/>
              </w:rPr>
            </w:pPr>
          </w:p>
        </w:tc>
        <w:tc>
          <w:tcPr>
            <w:tcW w:w="2634" w:type="dxa"/>
          </w:tcPr>
          <w:p>
            <w:pPr>
              <w:pStyle w:val="TableParagraph"/>
              <w:spacing w:line="285" w:lineRule="exact"/>
              <w:ind w:left="992"/>
              <w:rPr>
                <w:sz w:val="24"/>
              </w:rPr>
            </w:pPr>
            <w:r>
              <w:rPr>
                <w:rFonts w:ascii="Arial MT" w:eastAsia="Arial MT"/>
                <w:sz w:val="24"/>
              </w:rPr>
              <w:t>2022</w:t>
            </w:r>
            <w:r>
              <w:rPr>
                <w:rFonts w:ascii="Arial MT" w:eastAsia="Arial MT"/>
                <w:spacing w:val="-14"/>
                <w:sz w:val="24"/>
              </w:rPr>
              <w:t> </w:t>
            </w:r>
            <w:r>
              <w:rPr>
                <w:sz w:val="24"/>
              </w:rPr>
              <w:t>年度</w:t>
            </w:r>
          </w:p>
        </w:tc>
        <w:tc>
          <w:tcPr>
            <w:tcW w:w="1841" w:type="dxa"/>
          </w:tcPr>
          <w:p>
            <w:pPr>
              <w:pStyle w:val="TableParagraph"/>
              <w:spacing w:line="285" w:lineRule="exact"/>
              <w:ind w:left="569"/>
              <w:rPr>
                <w:sz w:val="24"/>
              </w:rPr>
            </w:pPr>
            <w:r>
              <w:rPr>
                <w:rFonts w:ascii="Arial MT" w:eastAsia="Arial MT"/>
                <w:sz w:val="24"/>
              </w:rPr>
              <w:t>2021</w:t>
            </w:r>
            <w:r>
              <w:rPr>
                <w:rFonts w:ascii="Arial MT" w:eastAsia="Arial MT"/>
                <w:spacing w:val="-14"/>
                <w:sz w:val="24"/>
              </w:rPr>
              <w:t> </w:t>
            </w:r>
            <w:r>
              <w:rPr>
                <w:sz w:val="24"/>
              </w:rPr>
              <w:t>年度</w:t>
            </w:r>
          </w:p>
        </w:tc>
      </w:tr>
      <w:tr>
        <w:trPr>
          <w:trHeight w:val="439" w:hRule="atLeast"/>
        </w:trPr>
        <w:tc>
          <w:tcPr>
            <w:tcW w:w="3814" w:type="dxa"/>
          </w:tcPr>
          <w:p>
            <w:pPr>
              <w:pStyle w:val="TableParagraph"/>
              <w:spacing w:line="288" w:lineRule="exact" w:before="131"/>
              <w:ind w:left="200"/>
              <w:rPr>
                <w:sz w:val="24"/>
              </w:rPr>
            </w:pPr>
            <w:r>
              <w:rPr>
                <w:sz w:val="24"/>
              </w:rPr>
              <w:t>鸿海精密及其子公司</w:t>
            </w:r>
          </w:p>
        </w:tc>
        <w:tc>
          <w:tcPr>
            <w:tcW w:w="2634" w:type="dxa"/>
          </w:tcPr>
          <w:p>
            <w:pPr>
              <w:pStyle w:val="TableParagraph"/>
              <w:tabs>
                <w:tab w:pos="1453" w:val="left" w:leader="none"/>
                <w:tab w:pos="2403" w:val="left" w:leader="none"/>
                <w:tab w:pos="3664" w:val="left" w:leader="none"/>
              </w:tabs>
              <w:spacing w:line="256" w:lineRule="exact" w:before="163"/>
              <w:ind w:left="193" w:right="-1037"/>
              <w:rPr>
                <w:rFonts w:ascii="Arial MT"/>
                <w:sz w:val="24"/>
              </w:rPr>
            </w:pPr>
            <w:r>
              <w:rPr>
                <w:rFonts w:ascii="Arial MT"/>
                <w:w w:val="100"/>
                <w:sz w:val="24"/>
                <w:u w:val="thick"/>
              </w:rPr>
              <w:t> </w:t>
            </w:r>
            <w:r>
              <w:rPr>
                <w:rFonts w:ascii="Arial MT"/>
                <w:sz w:val="24"/>
                <w:u w:val="thick"/>
              </w:rPr>
              <w:tab/>
            </w:r>
            <w:r>
              <w:rPr>
                <w:rFonts w:ascii="Arial MT"/>
                <w:sz w:val="24"/>
                <w:u w:val="thick"/>
              </w:rPr>
              <w:t>2,500 </w:t>
            </w:r>
            <w:r>
              <w:rPr>
                <w:rFonts w:ascii="Arial MT"/>
                <w:spacing w:val="4"/>
                <w:sz w:val="24"/>
                <w:u w:val="thick"/>
              </w:rPr>
              <w:t> </w:t>
            </w:r>
            <w:r>
              <w:rPr>
                <w:rFonts w:ascii="Arial MT"/>
                <w:sz w:val="24"/>
              </w:rPr>
              <w:tab/>
            </w:r>
            <w:r>
              <w:rPr>
                <w:rFonts w:ascii="Arial MT"/>
                <w:w w:val="100"/>
                <w:sz w:val="24"/>
                <w:u w:val="thick"/>
              </w:rPr>
              <w:t> </w:t>
            </w:r>
            <w:r>
              <w:rPr>
                <w:rFonts w:ascii="Arial MT"/>
                <w:sz w:val="24"/>
                <w:u w:val="thick"/>
              </w:rPr>
              <w:tab/>
            </w:r>
          </w:p>
        </w:tc>
        <w:tc>
          <w:tcPr>
            <w:tcW w:w="1841" w:type="dxa"/>
          </w:tcPr>
          <w:p>
            <w:pPr>
              <w:pStyle w:val="TableParagraph"/>
              <w:spacing w:line="256" w:lineRule="exact" w:before="163"/>
              <w:ind w:left="1030"/>
              <w:rPr>
                <w:rFonts w:ascii="Arial MT"/>
                <w:sz w:val="24"/>
              </w:rPr>
            </w:pPr>
            <w:r>
              <w:rPr>
                <w:rFonts w:ascii="Arial MT"/>
                <w:sz w:val="24"/>
                <w:u w:val="thick"/>
              </w:rPr>
              <w:t>2,500 </w:t>
            </w:r>
            <w:r>
              <w:rPr>
                <w:rFonts w:ascii="Arial MT"/>
                <w:spacing w:val="4"/>
                <w:sz w:val="24"/>
                <w:u w:val="thick"/>
              </w:rPr>
              <w:t> </w:t>
            </w:r>
          </w:p>
        </w:tc>
      </w:tr>
    </w:tbl>
    <w:p>
      <w:pPr>
        <w:pStyle w:val="BodyText"/>
        <w:spacing w:before="34"/>
      </w:pPr>
      <w:r>
        <w:rPr>
          <w:w w:val="100"/>
        </w:rPr>
        <w:t> </w:t>
      </w:r>
    </w:p>
    <w:p>
      <w:pPr>
        <w:pStyle w:val="BodyText"/>
        <w:spacing w:before="5"/>
      </w:pPr>
      <w:r>
        <w:rPr>
          <w:w w:val="100"/>
        </w:rPr>
        <w:t> </w:t>
      </w:r>
    </w:p>
    <w:p>
      <w:pPr>
        <w:pStyle w:val="BodyText"/>
        <w:spacing w:before="2"/>
      </w:pPr>
      <w:r>
        <w:rPr>
          <w:w w:val="100"/>
        </w:rPr>
        <w:t> </w:t>
      </w:r>
    </w:p>
    <w:p>
      <w:pPr>
        <w:pStyle w:val="BodyText"/>
        <w:spacing w:line="295" w:lineRule="auto" w:before="64"/>
        <w:ind w:right="7677"/>
      </w:pPr>
      <w:r>
        <w:rPr/>
        <w:t>6、 关联方应收应付款项(1).应收项目 </w:t>
      </w:r>
    </w:p>
    <w:p>
      <w:pPr>
        <w:pStyle w:val="BodyText"/>
        <w:spacing w:before="4"/>
      </w:pPr>
      <w:r>
        <w:rPr>
          <w:spacing w:val="11"/>
        </w:rPr>
        <w:t>√适用 □不适用</w:t>
      </w:r>
      <w:r>
        <w:rPr>
          <w:spacing w:val="-3"/>
        </w:rPr>
        <w:t> </w:t>
      </w:r>
      <w:r>
        <w:rPr/>
        <w:t> </w:t>
      </w:r>
    </w:p>
    <w:p>
      <w:pPr>
        <w:pStyle w:val="BodyText"/>
        <w:spacing w:before="2" w:after="4"/>
        <w:ind w:left="6839"/>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5"/>
        <w:gridCol w:w="1352"/>
        <w:gridCol w:w="1356"/>
        <w:gridCol w:w="1354"/>
        <w:gridCol w:w="1478"/>
        <w:gridCol w:w="1848"/>
      </w:tblGrid>
      <w:tr>
        <w:trPr>
          <w:trHeight w:val="270" w:hRule="atLeast"/>
        </w:trPr>
        <w:tc>
          <w:tcPr>
            <w:tcW w:w="1435" w:type="dxa"/>
            <w:vMerge w:val="restart"/>
          </w:tcPr>
          <w:p>
            <w:pPr>
              <w:pStyle w:val="TableParagraph"/>
              <w:spacing w:before="142"/>
              <w:ind w:left="294"/>
              <w:rPr>
                <w:sz w:val="21"/>
              </w:rPr>
            </w:pPr>
            <w:r>
              <w:rPr>
                <w:spacing w:val="-1"/>
                <w:sz w:val="21"/>
              </w:rPr>
              <w:t>项目名称</w:t>
            </w:r>
            <w:r>
              <w:rPr>
                <w:sz w:val="21"/>
              </w:rPr>
              <w:t> </w:t>
            </w:r>
          </w:p>
        </w:tc>
        <w:tc>
          <w:tcPr>
            <w:tcW w:w="1352" w:type="dxa"/>
            <w:vMerge w:val="restart"/>
          </w:tcPr>
          <w:p>
            <w:pPr>
              <w:pStyle w:val="TableParagraph"/>
              <w:spacing w:before="142"/>
              <w:ind w:left="357"/>
              <w:rPr>
                <w:sz w:val="21"/>
              </w:rPr>
            </w:pPr>
            <w:r>
              <w:rPr>
                <w:sz w:val="21"/>
              </w:rPr>
              <w:t>关联方 </w:t>
            </w:r>
          </w:p>
        </w:tc>
        <w:tc>
          <w:tcPr>
            <w:tcW w:w="2710" w:type="dxa"/>
            <w:gridSpan w:val="2"/>
          </w:tcPr>
          <w:p>
            <w:pPr>
              <w:pStyle w:val="TableParagraph"/>
              <w:spacing w:line="250" w:lineRule="exact" w:before="1"/>
              <w:ind w:left="933"/>
              <w:rPr>
                <w:sz w:val="21"/>
              </w:rPr>
            </w:pPr>
            <w:r>
              <w:rPr>
                <w:spacing w:val="-1"/>
                <w:sz w:val="21"/>
              </w:rPr>
              <w:t>期末余额</w:t>
            </w:r>
            <w:r>
              <w:rPr>
                <w:sz w:val="21"/>
              </w:rPr>
              <w:t> </w:t>
            </w:r>
          </w:p>
        </w:tc>
        <w:tc>
          <w:tcPr>
            <w:tcW w:w="3326" w:type="dxa"/>
            <w:gridSpan w:val="2"/>
          </w:tcPr>
          <w:p>
            <w:pPr>
              <w:pStyle w:val="TableParagraph"/>
              <w:spacing w:line="250" w:lineRule="exact" w:before="1"/>
              <w:ind w:left="1275" w:right="1164"/>
              <w:jc w:val="center"/>
              <w:rPr>
                <w:sz w:val="21"/>
              </w:rPr>
            </w:pPr>
            <w:r>
              <w:rPr>
                <w:spacing w:val="-1"/>
                <w:sz w:val="21"/>
              </w:rPr>
              <w:t>期初余额</w:t>
            </w:r>
            <w:r>
              <w:rPr>
                <w:sz w:val="21"/>
              </w:rPr>
              <w:t> </w:t>
            </w:r>
          </w:p>
        </w:tc>
      </w:tr>
      <w:tr>
        <w:trPr>
          <w:trHeight w:val="273" w:hRule="atLeast"/>
        </w:trPr>
        <w:tc>
          <w:tcPr>
            <w:tcW w:w="1435" w:type="dxa"/>
            <w:vMerge/>
            <w:tcBorders>
              <w:top w:val="nil"/>
            </w:tcBorders>
          </w:tcPr>
          <w:p>
            <w:pPr>
              <w:rPr>
                <w:sz w:val="2"/>
                <w:szCs w:val="2"/>
              </w:rPr>
            </w:pPr>
          </w:p>
        </w:tc>
        <w:tc>
          <w:tcPr>
            <w:tcW w:w="1352" w:type="dxa"/>
            <w:vMerge/>
            <w:tcBorders>
              <w:top w:val="nil"/>
            </w:tcBorders>
          </w:tcPr>
          <w:p>
            <w:pPr>
              <w:rPr>
                <w:sz w:val="2"/>
                <w:szCs w:val="2"/>
              </w:rPr>
            </w:pPr>
          </w:p>
        </w:tc>
        <w:tc>
          <w:tcPr>
            <w:tcW w:w="1356" w:type="dxa"/>
          </w:tcPr>
          <w:p>
            <w:pPr>
              <w:pStyle w:val="TableParagraph"/>
              <w:spacing w:line="252" w:lineRule="exact" w:before="1"/>
              <w:ind w:left="256"/>
              <w:rPr>
                <w:sz w:val="21"/>
              </w:rPr>
            </w:pPr>
            <w:r>
              <w:rPr>
                <w:spacing w:val="-1"/>
                <w:sz w:val="21"/>
              </w:rPr>
              <w:t>账面余额</w:t>
            </w:r>
            <w:r>
              <w:rPr>
                <w:sz w:val="21"/>
              </w:rPr>
              <w:t> </w:t>
            </w:r>
          </w:p>
        </w:tc>
        <w:tc>
          <w:tcPr>
            <w:tcW w:w="1354" w:type="dxa"/>
          </w:tcPr>
          <w:p>
            <w:pPr>
              <w:pStyle w:val="TableParagraph"/>
              <w:spacing w:line="252" w:lineRule="exact" w:before="1"/>
              <w:ind w:left="256"/>
              <w:rPr>
                <w:sz w:val="21"/>
              </w:rPr>
            </w:pPr>
            <w:r>
              <w:rPr>
                <w:spacing w:val="-1"/>
                <w:sz w:val="21"/>
              </w:rPr>
              <w:t>坏账准备</w:t>
            </w:r>
            <w:r>
              <w:rPr>
                <w:sz w:val="21"/>
              </w:rPr>
              <w:t> </w:t>
            </w:r>
          </w:p>
        </w:tc>
        <w:tc>
          <w:tcPr>
            <w:tcW w:w="1478" w:type="dxa"/>
          </w:tcPr>
          <w:p>
            <w:pPr>
              <w:pStyle w:val="TableParagraph"/>
              <w:spacing w:line="252" w:lineRule="exact" w:before="1"/>
              <w:ind w:left="316"/>
              <w:rPr>
                <w:sz w:val="21"/>
              </w:rPr>
            </w:pPr>
            <w:r>
              <w:rPr>
                <w:spacing w:val="-1"/>
                <w:sz w:val="21"/>
              </w:rPr>
              <w:t>账面余额</w:t>
            </w:r>
            <w:r>
              <w:rPr>
                <w:sz w:val="21"/>
              </w:rPr>
              <w:t> </w:t>
            </w:r>
          </w:p>
        </w:tc>
        <w:tc>
          <w:tcPr>
            <w:tcW w:w="1848" w:type="dxa"/>
          </w:tcPr>
          <w:p>
            <w:pPr>
              <w:pStyle w:val="TableParagraph"/>
              <w:spacing w:line="252" w:lineRule="exact" w:before="1"/>
              <w:ind w:left="504"/>
              <w:rPr>
                <w:sz w:val="21"/>
              </w:rPr>
            </w:pPr>
            <w:r>
              <w:rPr>
                <w:spacing w:val="-1"/>
                <w:sz w:val="21"/>
              </w:rPr>
              <w:t>坏账准备</w:t>
            </w:r>
            <w:r>
              <w:rPr>
                <w:sz w:val="21"/>
              </w:rPr>
              <w:t> </w:t>
            </w:r>
          </w:p>
        </w:tc>
      </w:tr>
      <w:tr>
        <w:trPr>
          <w:trHeight w:val="544" w:hRule="atLeast"/>
        </w:trPr>
        <w:tc>
          <w:tcPr>
            <w:tcW w:w="1435" w:type="dxa"/>
          </w:tcPr>
          <w:p>
            <w:pPr>
              <w:pStyle w:val="TableParagraph"/>
              <w:spacing w:before="138"/>
              <w:ind w:left="107"/>
              <w:rPr>
                <w:sz w:val="21"/>
              </w:rPr>
            </w:pPr>
            <w:r>
              <w:rPr>
                <w:spacing w:val="-1"/>
                <w:sz w:val="21"/>
              </w:rPr>
              <w:t>应收账款</w:t>
            </w:r>
            <w:r>
              <w:rPr>
                <w:sz w:val="21"/>
              </w:rPr>
              <w:t> </w:t>
            </w:r>
          </w:p>
        </w:tc>
        <w:tc>
          <w:tcPr>
            <w:tcW w:w="1352" w:type="dxa"/>
          </w:tcPr>
          <w:p>
            <w:pPr>
              <w:pStyle w:val="TableParagraph"/>
              <w:spacing w:before="1"/>
              <w:ind w:left="105"/>
              <w:rPr>
                <w:sz w:val="21"/>
              </w:rPr>
            </w:pPr>
            <w:r>
              <w:rPr>
                <w:sz w:val="21"/>
              </w:rPr>
              <w:t>鸿海精密及</w:t>
            </w:r>
          </w:p>
          <w:p>
            <w:pPr>
              <w:pStyle w:val="TableParagraph"/>
              <w:spacing w:line="250" w:lineRule="exact" w:before="4"/>
              <w:ind w:left="105"/>
              <w:rPr>
                <w:sz w:val="21"/>
              </w:rPr>
            </w:pPr>
            <w:r>
              <w:rPr>
                <w:spacing w:val="-1"/>
                <w:sz w:val="21"/>
              </w:rPr>
              <w:t>其子公司</w:t>
            </w:r>
            <w:r>
              <w:rPr>
                <w:sz w:val="21"/>
              </w:rPr>
              <w:t> </w:t>
            </w:r>
          </w:p>
        </w:tc>
        <w:tc>
          <w:tcPr>
            <w:tcW w:w="1356" w:type="dxa"/>
          </w:tcPr>
          <w:p>
            <w:pPr>
              <w:pStyle w:val="TableParagraph"/>
              <w:spacing w:before="1"/>
              <w:ind w:right="-15"/>
              <w:jc w:val="right"/>
              <w:rPr>
                <w:sz w:val="21"/>
              </w:rPr>
            </w:pPr>
            <w:r>
              <w:rPr>
                <w:sz w:val="21"/>
              </w:rPr>
              <w:t>745,405 </w:t>
            </w:r>
          </w:p>
        </w:tc>
        <w:tc>
          <w:tcPr>
            <w:tcW w:w="1354" w:type="dxa"/>
          </w:tcPr>
          <w:p>
            <w:pPr>
              <w:pStyle w:val="TableParagraph"/>
              <w:spacing w:before="1"/>
              <w:ind w:right="-15"/>
              <w:jc w:val="right"/>
              <w:rPr>
                <w:sz w:val="21"/>
              </w:rPr>
            </w:pPr>
            <w:r>
              <w:rPr>
                <w:sz w:val="21"/>
              </w:rPr>
              <w:t>-8,423 </w:t>
            </w:r>
          </w:p>
        </w:tc>
        <w:tc>
          <w:tcPr>
            <w:tcW w:w="1478" w:type="dxa"/>
          </w:tcPr>
          <w:p>
            <w:pPr>
              <w:pStyle w:val="TableParagraph"/>
              <w:spacing w:before="1"/>
              <w:ind w:right="-15"/>
              <w:jc w:val="right"/>
              <w:rPr>
                <w:sz w:val="21"/>
              </w:rPr>
            </w:pPr>
            <w:r>
              <w:rPr>
                <w:sz w:val="21"/>
              </w:rPr>
              <w:t>917,441 </w:t>
            </w:r>
          </w:p>
        </w:tc>
        <w:tc>
          <w:tcPr>
            <w:tcW w:w="1848" w:type="dxa"/>
          </w:tcPr>
          <w:p>
            <w:pPr>
              <w:pStyle w:val="TableParagraph"/>
              <w:spacing w:before="1"/>
              <w:ind w:right="-15"/>
              <w:jc w:val="right"/>
              <w:rPr>
                <w:sz w:val="21"/>
              </w:rPr>
            </w:pPr>
            <w:r>
              <w:rPr>
                <w:sz w:val="21"/>
              </w:rPr>
              <w:t>-10,367 </w:t>
            </w:r>
          </w:p>
        </w:tc>
      </w:tr>
      <w:tr>
        <w:trPr>
          <w:trHeight w:val="817" w:hRule="atLeast"/>
        </w:trPr>
        <w:tc>
          <w:tcPr>
            <w:tcW w:w="1435" w:type="dxa"/>
          </w:tcPr>
          <w:p>
            <w:pPr>
              <w:pStyle w:val="TableParagraph"/>
              <w:spacing w:before="5"/>
              <w:rPr>
                <w:sz w:val="21"/>
              </w:rPr>
            </w:pPr>
          </w:p>
          <w:p>
            <w:pPr>
              <w:pStyle w:val="TableParagraph"/>
              <w:ind w:left="107"/>
              <w:rPr>
                <w:sz w:val="21"/>
              </w:rPr>
            </w:pPr>
            <w:r>
              <w:rPr>
                <w:spacing w:val="-1"/>
                <w:sz w:val="21"/>
              </w:rPr>
              <w:t>应收账款</w:t>
            </w:r>
            <w:r>
              <w:rPr>
                <w:sz w:val="21"/>
              </w:rPr>
              <w:t> </w:t>
            </w:r>
          </w:p>
        </w:tc>
        <w:tc>
          <w:tcPr>
            <w:tcW w:w="1352" w:type="dxa"/>
          </w:tcPr>
          <w:p>
            <w:pPr>
              <w:pStyle w:val="TableParagraph"/>
              <w:spacing w:before="1"/>
              <w:ind w:left="105"/>
              <w:rPr>
                <w:sz w:val="21"/>
              </w:rPr>
            </w:pPr>
            <w:r>
              <w:rPr>
                <w:sz w:val="21"/>
              </w:rPr>
              <w:t>鸿海精密之</w:t>
            </w:r>
          </w:p>
          <w:p>
            <w:pPr>
              <w:pStyle w:val="TableParagraph"/>
              <w:spacing w:line="270" w:lineRule="atLeast"/>
              <w:ind w:left="105" w:right="180"/>
              <w:rPr>
                <w:sz w:val="21"/>
              </w:rPr>
            </w:pPr>
            <w:r>
              <w:rPr>
                <w:sz w:val="21"/>
              </w:rPr>
              <w:t>合(联)营企业 </w:t>
            </w:r>
          </w:p>
        </w:tc>
        <w:tc>
          <w:tcPr>
            <w:tcW w:w="1356" w:type="dxa"/>
          </w:tcPr>
          <w:p>
            <w:pPr>
              <w:pStyle w:val="TableParagraph"/>
              <w:spacing w:before="1"/>
              <w:ind w:right="-15"/>
              <w:jc w:val="right"/>
              <w:rPr>
                <w:sz w:val="21"/>
              </w:rPr>
            </w:pPr>
            <w:r>
              <w:rPr>
                <w:sz w:val="21"/>
              </w:rPr>
              <w:t>517,229 </w:t>
            </w:r>
          </w:p>
        </w:tc>
        <w:tc>
          <w:tcPr>
            <w:tcW w:w="1354" w:type="dxa"/>
          </w:tcPr>
          <w:p>
            <w:pPr>
              <w:pStyle w:val="TableParagraph"/>
              <w:spacing w:before="1"/>
              <w:ind w:right="-15"/>
              <w:jc w:val="right"/>
              <w:rPr>
                <w:sz w:val="21"/>
              </w:rPr>
            </w:pPr>
            <w:r>
              <w:rPr>
                <w:sz w:val="21"/>
              </w:rPr>
              <w:t>-5,845 </w:t>
            </w:r>
          </w:p>
        </w:tc>
        <w:tc>
          <w:tcPr>
            <w:tcW w:w="1478" w:type="dxa"/>
          </w:tcPr>
          <w:p>
            <w:pPr>
              <w:pStyle w:val="TableParagraph"/>
              <w:spacing w:before="1"/>
              <w:ind w:right="-15"/>
              <w:jc w:val="right"/>
              <w:rPr>
                <w:sz w:val="21"/>
              </w:rPr>
            </w:pPr>
            <w:r>
              <w:rPr>
                <w:sz w:val="21"/>
              </w:rPr>
              <w:t>242,219 </w:t>
            </w:r>
          </w:p>
        </w:tc>
        <w:tc>
          <w:tcPr>
            <w:tcW w:w="1848" w:type="dxa"/>
          </w:tcPr>
          <w:p>
            <w:pPr>
              <w:pStyle w:val="TableParagraph"/>
              <w:spacing w:before="1"/>
              <w:ind w:right="-15"/>
              <w:jc w:val="right"/>
              <w:rPr>
                <w:sz w:val="21"/>
              </w:rPr>
            </w:pPr>
            <w:r>
              <w:rPr>
                <w:sz w:val="21"/>
              </w:rPr>
              <w:t>-2,737 </w:t>
            </w:r>
          </w:p>
        </w:tc>
      </w:tr>
      <w:tr>
        <w:trPr>
          <w:trHeight w:val="544" w:hRule="atLeast"/>
        </w:trPr>
        <w:tc>
          <w:tcPr>
            <w:tcW w:w="1435" w:type="dxa"/>
          </w:tcPr>
          <w:p>
            <w:pPr>
              <w:pStyle w:val="TableParagraph"/>
              <w:spacing w:before="138"/>
              <w:ind w:left="107"/>
              <w:rPr>
                <w:sz w:val="21"/>
              </w:rPr>
            </w:pPr>
            <w:r>
              <w:rPr>
                <w:spacing w:val="-1"/>
                <w:sz w:val="21"/>
              </w:rPr>
              <w:t>应收账款</w:t>
            </w:r>
            <w:r>
              <w:rPr>
                <w:sz w:val="21"/>
              </w:rPr>
              <w:t> </w:t>
            </w:r>
          </w:p>
        </w:tc>
        <w:tc>
          <w:tcPr>
            <w:tcW w:w="1352" w:type="dxa"/>
          </w:tcPr>
          <w:p>
            <w:pPr>
              <w:pStyle w:val="TableParagraph"/>
              <w:spacing w:before="1"/>
              <w:ind w:left="105"/>
              <w:rPr>
                <w:sz w:val="21"/>
              </w:rPr>
            </w:pPr>
            <w:r>
              <w:rPr>
                <w:sz w:val="21"/>
              </w:rPr>
              <w:t>中坚公司之</w:t>
            </w:r>
          </w:p>
          <w:p>
            <w:pPr>
              <w:pStyle w:val="TableParagraph"/>
              <w:spacing w:line="252" w:lineRule="exact" w:before="2"/>
              <w:ind w:left="105"/>
              <w:rPr>
                <w:sz w:val="21"/>
              </w:rPr>
            </w:pPr>
            <w:r>
              <w:rPr>
                <w:sz w:val="21"/>
              </w:rPr>
              <w:t>子公司 </w:t>
            </w:r>
          </w:p>
        </w:tc>
        <w:tc>
          <w:tcPr>
            <w:tcW w:w="1356" w:type="dxa"/>
          </w:tcPr>
          <w:p>
            <w:pPr>
              <w:pStyle w:val="TableParagraph"/>
              <w:spacing w:before="1"/>
              <w:ind w:right="-15"/>
              <w:jc w:val="right"/>
              <w:rPr>
                <w:sz w:val="21"/>
              </w:rPr>
            </w:pPr>
            <w:r>
              <w:rPr>
                <w:sz w:val="21"/>
              </w:rPr>
              <w:t>93,275 </w:t>
            </w:r>
          </w:p>
        </w:tc>
        <w:tc>
          <w:tcPr>
            <w:tcW w:w="1354" w:type="dxa"/>
          </w:tcPr>
          <w:p>
            <w:pPr>
              <w:pStyle w:val="TableParagraph"/>
              <w:spacing w:before="1"/>
              <w:ind w:right="-15"/>
              <w:jc w:val="right"/>
              <w:rPr>
                <w:sz w:val="21"/>
              </w:rPr>
            </w:pPr>
            <w:r>
              <w:rPr>
                <w:sz w:val="21"/>
              </w:rPr>
              <w:t>-1,054 </w:t>
            </w:r>
          </w:p>
        </w:tc>
        <w:tc>
          <w:tcPr>
            <w:tcW w:w="1478" w:type="dxa"/>
          </w:tcPr>
          <w:p>
            <w:pPr>
              <w:pStyle w:val="TableParagraph"/>
              <w:spacing w:before="1"/>
              <w:ind w:right="-15"/>
              <w:jc w:val="right"/>
              <w:rPr>
                <w:sz w:val="21"/>
              </w:rPr>
            </w:pPr>
            <w:r>
              <w:rPr>
                <w:sz w:val="21"/>
              </w:rPr>
              <w:t>103,066 </w:t>
            </w:r>
          </w:p>
        </w:tc>
        <w:tc>
          <w:tcPr>
            <w:tcW w:w="1848" w:type="dxa"/>
          </w:tcPr>
          <w:p>
            <w:pPr>
              <w:pStyle w:val="TableParagraph"/>
              <w:spacing w:before="1"/>
              <w:ind w:right="-15"/>
              <w:jc w:val="right"/>
              <w:rPr>
                <w:sz w:val="21"/>
              </w:rPr>
            </w:pPr>
            <w:r>
              <w:rPr>
                <w:sz w:val="21"/>
              </w:rPr>
              <w:t>-1,165 </w:t>
            </w:r>
          </w:p>
        </w:tc>
      </w:tr>
      <w:tr>
        <w:trPr>
          <w:trHeight w:val="816" w:hRule="atLeast"/>
        </w:trPr>
        <w:tc>
          <w:tcPr>
            <w:tcW w:w="1435" w:type="dxa"/>
          </w:tcPr>
          <w:p>
            <w:pPr>
              <w:pStyle w:val="TableParagraph"/>
              <w:spacing w:before="3"/>
              <w:rPr>
                <w:sz w:val="21"/>
              </w:rPr>
            </w:pPr>
          </w:p>
          <w:p>
            <w:pPr>
              <w:pStyle w:val="TableParagraph"/>
              <w:ind w:left="107"/>
              <w:rPr>
                <w:sz w:val="21"/>
              </w:rPr>
            </w:pPr>
            <w:r>
              <w:rPr>
                <w:spacing w:val="-1"/>
                <w:sz w:val="21"/>
              </w:rPr>
              <w:t>应收账款</w:t>
            </w:r>
            <w:r>
              <w:rPr>
                <w:sz w:val="21"/>
              </w:rPr>
              <w:t> </w:t>
            </w:r>
          </w:p>
        </w:tc>
        <w:tc>
          <w:tcPr>
            <w:tcW w:w="1352" w:type="dxa"/>
          </w:tcPr>
          <w:p>
            <w:pPr>
              <w:pStyle w:val="TableParagraph"/>
              <w:spacing w:line="242" w:lineRule="auto" w:before="1"/>
              <w:ind w:left="105" w:right="180"/>
              <w:rPr>
                <w:sz w:val="21"/>
              </w:rPr>
            </w:pPr>
            <w:r>
              <w:rPr>
                <w:sz w:val="21"/>
              </w:rPr>
              <w:t>持有本公司5%以上股份</w:t>
            </w:r>
          </w:p>
          <w:p>
            <w:pPr>
              <w:pStyle w:val="TableParagraph"/>
              <w:spacing w:line="250" w:lineRule="exact" w:before="1"/>
              <w:ind w:left="105"/>
              <w:rPr>
                <w:sz w:val="21"/>
              </w:rPr>
            </w:pPr>
            <w:r>
              <w:rPr>
                <w:sz w:val="21"/>
              </w:rPr>
              <w:t>的股东 </w:t>
            </w:r>
          </w:p>
        </w:tc>
        <w:tc>
          <w:tcPr>
            <w:tcW w:w="1356" w:type="dxa"/>
          </w:tcPr>
          <w:p>
            <w:pPr>
              <w:pStyle w:val="TableParagraph"/>
              <w:spacing w:before="1"/>
              <w:ind w:right="-15"/>
              <w:jc w:val="right"/>
              <w:rPr>
                <w:sz w:val="21"/>
              </w:rPr>
            </w:pPr>
            <w:r>
              <w:rPr>
                <w:sz w:val="21"/>
              </w:rPr>
              <w:t>31,986 </w:t>
            </w:r>
          </w:p>
        </w:tc>
        <w:tc>
          <w:tcPr>
            <w:tcW w:w="1354" w:type="dxa"/>
          </w:tcPr>
          <w:p>
            <w:pPr>
              <w:pStyle w:val="TableParagraph"/>
              <w:spacing w:before="1"/>
              <w:ind w:right="-15"/>
              <w:jc w:val="right"/>
              <w:rPr>
                <w:sz w:val="21"/>
              </w:rPr>
            </w:pPr>
            <w:r>
              <w:rPr>
                <w:sz w:val="21"/>
              </w:rPr>
              <w:t>-361 </w:t>
            </w:r>
          </w:p>
        </w:tc>
        <w:tc>
          <w:tcPr>
            <w:tcW w:w="1478" w:type="dxa"/>
          </w:tcPr>
          <w:p>
            <w:pPr>
              <w:pStyle w:val="TableParagraph"/>
              <w:spacing w:before="1"/>
              <w:ind w:right="-15"/>
              <w:jc w:val="right"/>
              <w:rPr>
                <w:sz w:val="21"/>
              </w:rPr>
            </w:pPr>
            <w:r>
              <w:rPr>
                <w:sz w:val="21"/>
              </w:rPr>
              <w:t>35,675 </w:t>
            </w:r>
          </w:p>
        </w:tc>
        <w:tc>
          <w:tcPr>
            <w:tcW w:w="1848" w:type="dxa"/>
          </w:tcPr>
          <w:p>
            <w:pPr>
              <w:pStyle w:val="TableParagraph"/>
              <w:spacing w:before="1"/>
              <w:ind w:right="-15"/>
              <w:jc w:val="right"/>
              <w:rPr>
                <w:sz w:val="21"/>
              </w:rPr>
            </w:pPr>
            <w:r>
              <w:rPr>
                <w:sz w:val="21"/>
              </w:rPr>
              <w:t>-403 </w:t>
            </w:r>
          </w:p>
        </w:tc>
      </w:tr>
      <w:tr>
        <w:trPr>
          <w:trHeight w:val="273" w:hRule="atLeast"/>
        </w:trPr>
        <w:tc>
          <w:tcPr>
            <w:tcW w:w="1435" w:type="dxa"/>
          </w:tcPr>
          <w:p>
            <w:pPr>
              <w:pStyle w:val="TableParagraph"/>
              <w:spacing w:line="250" w:lineRule="exact" w:before="3"/>
              <w:ind w:left="107"/>
              <w:rPr>
                <w:sz w:val="21"/>
              </w:rPr>
            </w:pPr>
            <w:r>
              <w:rPr>
                <w:spacing w:val="-1"/>
                <w:sz w:val="21"/>
              </w:rPr>
              <w:t>应收账款</w:t>
            </w:r>
            <w:r>
              <w:rPr>
                <w:sz w:val="21"/>
              </w:rPr>
              <w:t> </w:t>
            </w:r>
          </w:p>
        </w:tc>
        <w:tc>
          <w:tcPr>
            <w:tcW w:w="1352" w:type="dxa"/>
          </w:tcPr>
          <w:p>
            <w:pPr>
              <w:pStyle w:val="TableParagraph"/>
              <w:spacing w:line="250" w:lineRule="exact" w:before="3"/>
              <w:ind w:left="105"/>
              <w:rPr>
                <w:sz w:val="21"/>
              </w:rPr>
            </w:pPr>
            <w:r>
              <w:rPr>
                <w:sz w:val="21"/>
              </w:rPr>
              <w:t>其他关联方 </w:t>
            </w:r>
          </w:p>
        </w:tc>
        <w:tc>
          <w:tcPr>
            <w:tcW w:w="1356" w:type="dxa"/>
          </w:tcPr>
          <w:p>
            <w:pPr>
              <w:pStyle w:val="TableParagraph"/>
              <w:spacing w:line="250" w:lineRule="exact" w:before="3"/>
              <w:ind w:right="-15"/>
              <w:jc w:val="right"/>
              <w:rPr>
                <w:sz w:val="21"/>
              </w:rPr>
            </w:pPr>
            <w:r>
              <w:rPr>
                <w:sz w:val="21"/>
              </w:rPr>
              <w:t>1,622 </w:t>
            </w:r>
          </w:p>
        </w:tc>
        <w:tc>
          <w:tcPr>
            <w:tcW w:w="1354" w:type="dxa"/>
          </w:tcPr>
          <w:p>
            <w:pPr>
              <w:pStyle w:val="TableParagraph"/>
              <w:spacing w:line="250" w:lineRule="exact" w:before="3"/>
              <w:ind w:right="-15"/>
              <w:jc w:val="right"/>
              <w:rPr>
                <w:sz w:val="21"/>
              </w:rPr>
            </w:pPr>
            <w:r>
              <w:rPr>
                <w:sz w:val="21"/>
              </w:rPr>
              <w:t>-18 </w:t>
            </w:r>
          </w:p>
        </w:tc>
        <w:tc>
          <w:tcPr>
            <w:tcW w:w="1478" w:type="dxa"/>
          </w:tcPr>
          <w:p>
            <w:pPr>
              <w:pStyle w:val="TableParagraph"/>
              <w:spacing w:line="250" w:lineRule="exact" w:before="3"/>
              <w:ind w:right="-15"/>
              <w:jc w:val="right"/>
              <w:rPr>
                <w:sz w:val="21"/>
              </w:rPr>
            </w:pPr>
            <w:r>
              <w:rPr>
                <w:sz w:val="21"/>
              </w:rPr>
              <w:t>791 </w:t>
            </w:r>
          </w:p>
        </w:tc>
        <w:tc>
          <w:tcPr>
            <w:tcW w:w="1848" w:type="dxa"/>
          </w:tcPr>
          <w:p>
            <w:pPr>
              <w:pStyle w:val="TableParagraph"/>
              <w:spacing w:line="250" w:lineRule="exact" w:before="3"/>
              <w:ind w:right="-15"/>
              <w:jc w:val="right"/>
              <w:rPr>
                <w:sz w:val="21"/>
              </w:rPr>
            </w:pPr>
            <w:r>
              <w:rPr>
                <w:sz w:val="21"/>
              </w:rPr>
              <w:t>-9 </w:t>
            </w:r>
          </w:p>
        </w:tc>
      </w:tr>
      <w:tr>
        <w:trPr>
          <w:trHeight w:val="818" w:hRule="atLeast"/>
        </w:trPr>
        <w:tc>
          <w:tcPr>
            <w:tcW w:w="1435" w:type="dxa"/>
          </w:tcPr>
          <w:p>
            <w:pPr>
              <w:pStyle w:val="TableParagraph"/>
              <w:spacing w:before="5"/>
              <w:rPr>
                <w:sz w:val="21"/>
              </w:rPr>
            </w:pPr>
          </w:p>
          <w:p>
            <w:pPr>
              <w:pStyle w:val="TableParagraph"/>
              <w:ind w:left="107"/>
              <w:rPr>
                <w:sz w:val="21"/>
              </w:rPr>
            </w:pPr>
            <w:r>
              <w:rPr>
                <w:spacing w:val="-1"/>
                <w:sz w:val="21"/>
              </w:rPr>
              <w:t>应收账款</w:t>
            </w:r>
            <w:r>
              <w:rPr>
                <w:sz w:val="21"/>
              </w:rPr>
              <w:t> </w:t>
            </w:r>
          </w:p>
        </w:tc>
        <w:tc>
          <w:tcPr>
            <w:tcW w:w="1352" w:type="dxa"/>
          </w:tcPr>
          <w:p>
            <w:pPr>
              <w:pStyle w:val="TableParagraph"/>
              <w:spacing w:before="1"/>
              <w:ind w:left="105"/>
              <w:rPr>
                <w:sz w:val="21"/>
              </w:rPr>
            </w:pPr>
            <w:r>
              <w:rPr>
                <w:sz w:val="21"/>
              </w:rPr>
              <w:t>中坚公司之</w:t>
            </w:r>
          </w:p>
          <w:p>
            <w:pPr>
              <w:pStyle w:val="TableParagraph"/>
              <w:spacing w:line="270" w:lineRule="atLeast"/>
              <w:ind w:left="105" w:right="180"/>
              <w:rPr>
                <w:sz w:val="21"/>
              </w:rPr>
            </w:pPr>
            <w:r>
              <w:rPr>
                <w:sz w:val="21"/>
              </w:rPr>
              <w:t>合(联)营企业 </w:t>
            </w:r>
          </w:p>
        </w:tc>
        <w:tc>
          <w:tcPr>
            <w:tcW w:w="1356" w:type="dxa"/>
          </w:tcPr>
          <w:p>
            <w:pPr>
              <w:pStyle w:val="TableParagraph"/>
              <w:spacing w:before="1"/>
              <w:ind w:right="-15"/>
              <w:jc w:val="right"/>
              <w:rPr>
                <w:sz w:val="21"/>
              </w:rPr>
            </w:pPr>
            <w:r>
              <w:rPr>
                <w:sz w:val="21"/>
              </w:rPr>
              <w:t>1,149 </w:t>
            </w:r>
          </w:p>
        </w:tc>
        <w:tc>
          <w:tcPr>
            <w:tcW w:w="1354" w:type="dxa"/>
          </w:tcPr>
          <w:p>
            <w:pPr>
              <w:pStyle w:val="TableParagraph"/>
              <w:spacing w:before="1"/>
              <w:ind w:right="-15"/>
              <w:jc w:val="right"/>
              <w:rPr>
                <w:sz w:val="21"/>
              </w:rPr>
            </w:pPr>
            <w:r>
              <w:rPr>
                <w:sz w:val="21"/>
              </w:rPr>
              <w:t>-13 </w:t>
            </w:r>
          </w:p>
        </w:tc>
        <w:tc>
          <w:tcPr>
            <w:tcW w:w="1478" w:type="dxa"/>
          </w:tcPr>
          <w:p>
            <w:pPr>
              <w:pStyle w:val="TableParagraph"/>
              <w:spacing w:before="1"/>
              <w:ind w:right="-15"/>
              <w:jc w:val="right"/>
              <w:rPr>
                <w:sz w:val="21"/>
              </w:rPr>
            </w:pPr>
            <w:r>
              <w:rPr>
                <w:sz w:val="21"/>
              </w:rPr>
              <w:t>1,212 </w:t>
            </w:r>
          </w:p>
        </w:tc>
        <w:tc>
          <w:tcPr>
            <w:tcW w:w="1848" w:type="dxa"/>
          </w:tcPr>
          <w:p>
            <w:pPr>
              <w:pStyle w:val="TableParagraph"/>
              <w:spacing w:before="1"/>
              <w:ind w:right="-15"/>
              <w:jc w:val="right"/>
              <w:rPr>
                <w:sz w:val="21"/>
              </w:rPr>
            </w:pPr>
            <w:r>
              <w:rPr>
                <w:sz w:val="21"/>
              </w:rPr>
              <w:t>-14 </w:t>
            </w:r>
          </w:p>
        </w:tc>
      </w:tr>
      <w:tr>
        <w:trPr>
          <w:trHeight w:val="544" w:hRule="atLeast"/>
        </w:trPr>
        <w:tc>
          <w:tcPr>
            <w:tcW w:w="1435" w:type="dxa"/>
          </w:tcPr>
          <w:p>
            <w:pPr>
              <w:pStyle w:val="TableParagraph"/>
              <w:spacing w:before="137"/>
              <w:ind w:left="107"/>
              <w:rPr>
                <w:sz w:val="21"/>
              </w:rPr>
            </w:pPr>
            <w:r>
              <w:rPr>
                <w:spacing w:val="-1"/>
                <w:sz w:val="21"/>
              </w:rPr>
              <w:t>应收账款</w:t>
            </w:r>
            <w:r>
              <w:rPr>
                <w:sz w:val="21"/>
              </w:rPr>
              <w:t> </w:t>
            </w:r>
          </w:p>
        </w:tc>
        <w:tc>
          <w:tcPr>
            <w:tcW w:w="1352" w:type="dxa"/>
          </w:tcPr>
          <w:p>
            <w:pPr>
              <w:pStyle w:val="TableParagraph"/>
              <w:spacing w:before="1"/>
              <w:ind w:left="105"/>
              <w:rPr>
                <w:sz w:val="21"/>
              </w:rPr>
            </w:pPr>
            <w:r>
              <w:rPr>
                <w:sz w:val="21"/>
              </w:rPr>
              <w:t>本集团之联</w:t>
            </w:r>
          </w:p>
          <w:p>
            <w:pPr>
              <w:pStyle w:val="TableParagraph"/>
              <w:spacing w:line="252" w:lineRule="exact" w:before="2"/>
              <w:ind w:left="105"/>
              <w:rPr>
                <w:sz w:val="21"/>
              </w:rPr>
            </w:pPr>
            <w:r>
              <w:rPr>
                <w:sz w:val="21"/>
              </w:rPr>
              <w:t>营企业 </w:t>
            </w:r>
          </w:p>
        </w:tc>
        <w:tc>
          <w:tcPr>
            <w:tcW w:w="1356" w:type="dxa"/>
          </w:tcPr>
          <w:p>
            <w:pPr>
              <w:pStyle w:val="TableParagraph"/>
              <w:spacing w:before="1"/>
              <w:ind w:right="-15"/>
              <w:jc w:val="right"/>
              <w:rPr>
                <w:sz w:val="21"/>
              </w:rPr>
            </w:pPr>
            <w:r>
              <w:rPr>
                <w:sz w:val="21"/>
              </w:rPr>
              <w:t>- </w:t>
            </w:r>
          </w:p>
        </w:tc>
        <w:tc>
          <w:tcPr>
            <w:tcW w:w="1354" w:type="dxa"/>
          </w:tcPr>
          <w:p>
            <w:pPr>
              <w:pStyle w:val="TableParagraph"/>
              <w:spacing w:before="1"/>
              <w:ind w:right="-15"/>
              <w:jc w:val="right"/>
              <w:rPr>
                <w:sz w:val="21"/>
              </w:rPr>
            </w:pPr>
            <w:r>
              <w:rPr>
                <w:sz w:val="21"/>
              </w:rPr>
              <w:t>- </w:t>
            </w:r>
          </w:p>
        </w:tc>
        <w:tc>
          <w:tcPr>
            <w:tcW w:w="1478" w:type="dxa"/>
          </w:tcPr>
          <w:p>
            <w:pPr>
              <w:pStyle w:val="TableParagraph"/>
              <w:spacing w:before="1"/>
              <w:ind w:right="-15"/>
              <w:jc w:val="right"/>
              <w:rPr>
                <w:sz w:val="21"/>
              </w:rPr>
            </w:pPr>
            <w:r>
              <w:rPr>
                <w:sz w:val="21"/>
              </w:rPr>
              <w:t>117 </w:t>
            </w:r>
          </w:p>
        </w:tc>
        <w:tc>
          <w:tcPr>
            <w:tcW w:w="1848" w:type="dxa"/>
          </w:tcPr>
          <w:p>
            <w:pPr>
              <w:pStyle w:val="TableParagraph"/>
              <w:spacing w:before="1"/>
              <w:ind w:right="-15"/>
              <w:jc w:val="right"/>
              <w:rPr>
                <w:sz w:val="21"/>
              </w:rPr>
            </w:pPr>
            <w:r>
              <w:rPr>
                <w:sz w:val="21"/>
              </w:rPr>
              <w:t>-1 </w:t>
            </w:r>
          </w:p>
        </w:tc>
      </w:tr>
      <w:tr>
        <w:trPr>
          <w:trHeight w:val="544" w:hRule="atLeast"/>
        </w:trPr>
        <w:tc>
          <w:tcPr>
            <w:tcW w:w="1435" w:type="dxa"/>
          </w:tcPr>
          <w:p>
            <w:pPr>
              <w:pStyle w:val="TableParagraph"/>
              <w:spacing w:before="137"/>
              <w:ind w:left="107"/>
              <w:rPr>
                <w:sz w:val="21"/>
              </w:rPr>
            </w:pPr>
            <w:r>
              <w:rPr>
                <w:sz w:val="21"/>
              </w:rPr>
              <w:t>其他应收款 </w:t>
            </w:r>
          </w:p>
        </w:tc>
        <w:tc>
          <w:tcPr>
            <w:tcW w:w="1352" w:type="dxa"/>
          </w:tcPr>
          <w:p>
            <w:pPr>
              <w:pStyle w:val="TableParagraph"/>
              <w:spacing w:before="1"/>
              <w:ind w:left="105"/>
              <w:rPr>
                <w:sz w:val="21"/>
              </w:rPr>
            </w:pPr>
            <w:r>
              <w:rPr>
                <w:sz w:val="21"/>
              </w:rPr>
              <w:t>鸿海精密及</w:t>
            </w:r>
          </w:p>
          <w:p>
            <w:pPr>
              <w:pStyle w:val="TableParagraph"/>
              <w:spacing w:line="252" w:lineRule="exact" w:before="2"/>
              <w:ind w:left="105"/>
              <w:rPr>
                <w:sz w:val="21"/>
              </w:rPr>
            </w:pPr>
            <w:r>
              <w:rPr>
                <w:spacing w:val="-1"/>
                <w:sz w:val="21"/>
              </w:rPr>
              <w:t>其子公司</w:t>
            </w:r>
            <w:r>
              <w:rPr>
                <w:sz w:val="21"/>
              </w:rPr>
              <w:t> </w:t>
            </w:r>
          </w:p>
        </w:tc>
        <w:tc>
          <w:tcPr>
            <w:tcW w:w="1356" w:type="dxa"/>
          </w:tcPr>
          <w:p>
            <w:pPr>
              <w:pStyle w:val="TableParagraph"/>
              <w:spacing w:before="1"/>
              <w:ind w:right="-15"/>
              <w:jc w:val="right"/>
              <w:rPr>
                <w:sz w:val="21"/>
              </w:rPr>
            </w:pPr>
            <w:r>
              <w:rPr>
                <w:sz w:val="21"/>
              </w:rPr>
              <w:t>38,294 </w:t>
            </w:r>
          </w:p>
        </w:tc>
        <w:tc>
          <w:tcPr>
            <w:tcW w:w="1354" w:type="dxa"/>
          </w:tcPr>
          <w:p>
            <w:pPr>
              <w:pStyle w:val="TableParagraph"/>
              <w:spacing w:before="1"/>
              <w:ind w:right="-15"/>
              <w:jc w:val="right"/>
              <w:rPr>
                <w:sz w:val="21"/>
              </w:rPr>
            </w:pPr>
            <w:r>
              <w:rPr>
                <w:sz w:val="21"/>
              </w:rPr>
              <w:t>-383 </w:t>
            </w:r>
          </w:p>
        </w:tc>
        <w:tc>
          <w:tcPr>
            <w:tcW w:w="1478" w:type="dxa"/>
          </w:tcPr>
          <w:p>
            <w:pPr>
              <w:pStyle w:val="TableParagraph"/>
              <w:spacing w:before="1"/>
              <w:ind w:right="-15"/>
              <w:jc w:val="right"/>
              <w:rPr>
                <w:sz w:val="21"/>
              </w:rPr>
            </w:pPr>
            <w:r>
              <w:rPr>
                <w:sz w:val="21"/>
              </w:rPr>
              <w:t>86,057 </w:t>
            </w:r>
          </w:p>
        </w:tc>
        <w:tc>
          <w:tcPr>
            <w:tcW w:w="1848" w:type="dxa"/>
          </w:tcPr>
          <w:p>
            <w:pPr>
              <w:pStyle w:val="TableParagraph"/>
              <w:spacing w:before="1"/>
              <w:ind w:right="-15"/>
              <w:jc w:val="right"/>
              <w:rPr>
                <w:sz w:val="21"/>
              </w:rPr>
            </w:pPr>
            <w:r>
              <w:rPr>
                <w:sz w:val="21"/>
              </w:rPr>
              <w:t>-861 </w:t>
            </w:r>
          </w:p>
        </w:tc>
      </w:tr>
      <w:tr>
        <w:trPr>
          <w:trHeight w:val="815" w:hRule="atLeast"/>
        </w:trPr>
        <w:tc>
          <w:tcPr>
            <w:tcW w:w="1435" w:type="dxa"/>
          </w:tcPr>
          <w:p>
            <w:pPr>
              <w:pStyle w:val="TableParagraph"/>
              <w:spacing w:before="3"/>
              <w:rPr>
                <w:sz w:val="21"/>
              </w:rPr>
            </w:pPr>
          </w:p>
          <w:p>
            <w:pPr>
              <w:pStyle w:val="TableParagraph"/>
              <w:ind w:left="107"/>
              <w:rPr>
                <w:sz w:val="21"/>
              </w:rPr>
            </w:pPr>
            <w:r>
              <w:rPr>
                <w:sz w:val="21"/>
              </w:rPr>
              <w:t>其他应收款 </w:t>
            </w:r>
          </w:p>
        </w:tc>
        <w:tc>
          <w:tcPr>
            <w:tcW w:w="1352" w:type="dxa"/>
          </w:tcPr>
          <w:p>
            <w:pPr>
              <w:pStyle w:val="TableParagraph"/>
              <w:spacing w:line="242" w:lineRule="auto" w:before="1"/>
              <w:ind w:left="105" w:right="180"/>
              <w:rPr>
                <w:sz w:val="21"/>
              </w:rPr>
            </w:pPr>
            <w:r>
              <w:rPr>
                <w:sz w:val="21"/>
              </w:rPr>
              <w:t>鸿海精密之合(联)营企</w:t>
            </w:r>
          </w:p>
          <w:p>
            <w:pPr>
              <w:pStyle w:val="TableParagraph"/>
              <w:spacing w:line="250" w:lineRule="exact" w:before="1"/>
              <w:ind w:left="105"/>
              <w:rPr>
                <w:sz w:val="21"/>
              </w:rPr>
            </w:pPr>
            <w:r>
              <w:rPr>
                <w:sz w:val="21"/>
              </w:rPr>
              <w:t>业 </w:t>
            </w:r>
          </w:p>
        </w:tc>
        <w:tc>
          <w:tcPr>
            <w:tcW w:w="1356" w:type="dxa"/>
          </w:tcPr>
          <w:p>
            <w:pPr>
              <w:pStyle w:val="TableParagraph"/>
              <w:spacing w:before="1"/>
              <w:ind w:right="-15"/>
              <w:jc w:val="right"/>
              <w:rPr>
                <w:sz w:val="21"/>
              </w:rPr>
            </w:pPr>
            <w:r>
              <w:rPr>
                <w:sz w:val="21"/>
              </w:rPr>
              <w:t>10,390 </w:t>
            </w:r>
          </w:p>
        </w:tc>
        <w:tc>
          <w:tcPr>
            <w:tcW w:w="1354" w:type="dxa"/>
          </w:tcPr>
          <w:p>
            <w:pPr>
              <w:pStyle w:val="TableParagraph"/>
              <w:spacing w:before="1"/>
              <w:ind w:right="-15"/>
              <w:jc w:val="right"/>
              <w:rPr>
                <w:sz w:val="21"/>
              </w:rPr>
            </w:pPr>
            <w:r>
              <w:rPr>
                <w:sz w:val="21"/>
              </w:rPr>
              <w:t>-104 </w:t>
            </w:r>
          </w:p>
        </w:tc>
        <w:tc>
          <w:tcPr>
            <w:tcW w:w="1478" w:type="dxa"/>
          </w:tcPr>
          <w:p>
            <w:pPr>
              <w:pStyle w:val="TableParagraph"/>
              <w:spacing w:before="1"/>
              <w:ind w:right="-15"/>
              <w:jc w:val="right"/>
              <w:rPr>
                <w:sz w:val="21"/>
              </w:rPr>
            </w:pPr>
            <w:r>
              <w:rPr>
                <w:sz w:val="21"/>
              </w:rPr>
              <w:t>106 </w:t>
            </w:r>
          </w:p>
        </w:tc>
        <w:tc>
          <w:tcPr>
            <w:tcW w:w="1848" w:type="dxa"/>
          </w:tcPr>
          <w:p>
            <w:pPr>
              <w:pStyle w:val="TableParagraph"/>
              <w:spacing w:before="1"/>
              <w:ind w:right="-15"/>
              <w:jc w:val="right"/>
              <w:rPr>
                <w:sz w:val="21"/>
              </w:rPr>
            </w:pPr>
            <w:r>
              <w:rPr>
                <w:sz w:val="21"/>
              </w:rPr>
              <w:t>-1 </w:t>
            </w:r>
          </w:p>
        </w:tc>
      </w:tr>
      <w:tr>
        <w:trPr>
          <w:trHeight w:val="818" w:hRule="atLeast"/>
        </w:trPr>
        <w:tc>
          <w:tcPr>
            <w:tcW w:w="1435" w:type="dxa"/>
          </w:tcPr>
          <w:p>
            <w:pPr>
              <w:pStyle w:val="TableParagraph"/>
              <w:spacing w:before="6"/>
              <w:rPr>
                <w:sz w:val="21"/>
              </w:rPr>
            </w:pPr>
          </w:p>
          <w:p>
            <w:pPr>
              <w:pStyle w:val="TableParagraph"/>
              <w:ind w:left="107"/>
              <w:rPr>
                <w:sz w:val="21"/>
              </w:rPr>
            </w:pPr>
            <w:r>
              <w:rPr>
                <w:sz w:val="21"/>
              </w:rPr>
              <w:t>其他应收款 </w:t>
            </w:r>
          </w:p>
        </w:tc>
        <w:tc>
          <w:tcPr>
            <w:tcW w:w="1352" w:type="dxa"/>
          </w:tcPr>
          <w:p>
            <w:pPr>
              <w:pStyle w:val="TableParagraph"/>
              <w:spacing w:line="242" w:lineRule="auto" w:before="3"/>
              <w:ind w:left="105" w:right="180"/>
              <w:rPr>
                <w:sz w:val="21"/>
              </w:rPr>
            </w:pPr>
            <w:r>
              <w:rPr>
                <w:sz w:val="21"/>
              </w:rPr>
              <w:t>中坚公司之合(联)营企</w:t>
            </w:r>
          </w:p>
          <w:p>
            <w:pPr>
              <w:pStyle w:val="TableParagraph"/>
              <w:spacing w:line="250" w:lineRule="exact" w:before="2"/>
              <w:ind w:left="105"/>
              <w:rPr>
                <w:sz w:val="21"/>
              </w:rPr>
            </w:pPr>
            <w:r>
              <w:rPr>
                <w:sz w:val="21"/>
              </w:rPr>
              <w:t>业 </w:t>
            </w:r>
          </w:p>
        </w:tc>
        <w:tc>
          <w:tcPr>
            <w:tcW w:w="1356" w:type="dxa"/>
          </w:tcPr>
          <w:p>
            <w:pPr>
              <w:pStyle w:val="TableParagraph"/>
              <w:spacing w:before="3"/>
              <w:ind w:right="-15"/>
              <w:jc w:val="right"/>
              <w:rPr>
                <w:sz w:val="21"/>
              </w:rPr>
            </w:pPr>
            <w:r>
              <w:rPr>
                <w:sz w:val="21"/>
              </w:rPr>
              <w:t>215 </w:t>
            </w:r>
          </w:p>
        </w:tc>
        <w:tc>
          <w:tcPr>
            <w:tcW w:w="1354" w:type="dxa"/>
          </w:tcPr>
          <w:p>
            <w:pPr>
              <w:pStyle w:val="TableParagraph"/>
              <w:spacing w:before="3"/>
              <w:ind w:right="-15"/>
              <w:jc w:val="right"/>
              <w:rPr>
                <w:sz w:val="21"/>
              </w:rPr>
            </w:pPr>
            <w:r>
              <w:rPr>
                <w:sz w:val="21"/>
              </w:rPr>
              <w:t>-2 </w:t>
            </w:r>
          </w:p>
        </w:tc>
        <w:tc>
          <w:tcPr>
            <w:tcW w:w="1478" w:type="dxa"/>
          </w:tcPr>
          <w:p>
            <w:pPr>
              <w:pStyle w:val="TableParagraph"/>
              <w:spacing w:before="3"/>
              <w:ind w:right="-15"/>
              <w:jc w:val="right"/>
              <w:rPr>
                <w:sz w:val="21"/>
              </w:rPr>
            </w:pPr>
            <w:r>
              <w:rPr>
                <w:sz w:val="21"/>
              </w:rPr>
              <w:t>131 </w:t>
            </w:r>
          </w:p>
        </w:tc>
        <w:tc>
          <w:tcPr>
            <w:tcW w:w="1848" w:type="dxa"/>
          </w:tcPr>
          <w:p>
            <w:pPr>
              <w:pStyle w:val="TableParagraph"/>
              <w:spacing w:before="3"/>
              <w:ind w:right="-15"/>
              <w:jc w:val="right"/>
              <w:rPr>
                <w:sz w:val="21"/>
              </w:rPr>
            </w:pPr>
            <w:r>
              <w:rPr>
                <w:sz w:val="21"/>
              </w:rPr>
              <w:t>-1 </w:t>
            </w:r>
          </w:p>
        </w:tc>
      </w:tr>
      <w:tr>
        <w:trPr>
          <w:trHeight w:val="544" w:hRule="atLeast"/>
        </w:trPr>
        <w:tc>
          <w:tcPr>
            <w:tcW w:w="1435" w:type="dxa"/>
          </w:tcPr>
          <w:p>
            <w:pPr>
              <w:pStyle w:val="TableParagraph"/>
              <w:spacing w:before="137"/>
              <w:ind w:left="107"/>
              <w:rPr>
                <w:sz w:val="21"/>
              </w:rPr>
            </w:pPr>
            <w:r>
              <w:rPr>
                <w:sz w:val="21"/>
              </w:rPr>
              <w:t>其他应收款 </w:t>
            </w:r>
          </w:p>
        </w:tc>
        <w:tc>
          <w:tcPr>
            <w:tcW w:w="1352" w:type="dxa"/>
          </w:tcPr>
          <w:p>
            <w:pPr>
              <w:pStyle w:val="TableParagraph"/>
              <w:spacing w:before="1"/>
              <w:ind w:left="105"/>
              <w:rPr>
                <w:sz w:val="21"/>
              </w:rPr>
            </w:pPr>
            <w:r>
              <w:rPr>
                <w:sz w:val="21"/>
              </w:rPr>
              <w:t>中坚公司之</w:t>
            </w:r>
          </w:p>
          <w:p>
            <w:pPr>
              <w:pStyle w:val="TableParagraph"/>
              <w:spacing w:line="250" w:lineRule="exact" w:before="4"/>
              <w:ind w:left="105"/>
              <w:rPr>
                <w:sz w:val="21"/>
              </w:rPr>
            </w:pPr>
            <w:r>
              <w:rPr>
                <w:sz w:val="21"/>
              </w:rPr>
              <w:t>子公司 </w:t>
            </w:r>
          </w:p>
        </w:tc>
        <w:tc>
          <w:tcPr>
            <w:tcW w:w="1356" w:type="dxa"/>
          </w:tcPr>
          <w:p>
            <w:pPr>
              <w:pStyle w:val="TableParagraph"/>
              <w:spacing w:before="1"/>
              <w:ind w:right="-15"/>
              <w:jc w:val="right"/>
              <w:rPr>
                <w:sz w:val="21"/>
              </w:rPr>
            </w:pPr>
            <w:r>
              <w:rPr>
                <w:sz w:val="21"/>
              </w:rPr>
              <w:t>6 </w:t>
            </w:r>
          </w:p>
        </w:tc>
        <w:tc>
          <w:tcPr>
            <w:tcW w:w="1354" w:type="dxa"/>
          </w:tcPr>
          <w:p>
            <w:pPr>
              <w:pStyle w:val="TableParagraph"/>
              <w:spacing w:before="1"/>
              <w:ind w:right="-15"/>
              <w:jc w:val="right"/>
              <w:rPr>
                <w:sz w:val="21"/>
              </w:rPr>
            </w:pPr>
            <w:r>
              <w:rPr>
                <w:sz w:val="21"/>
              </w:rPr>
              <w:t>- </w:t>
            </w:r>
          </w:p>
        </w:tc>
        <w:tc>
          <w:tcPr>
            <w:tcW w:w="1478" w:type="dxa"/>
          </w:tcPr>
          <w:p>
            <w:pPr>
              <w:pStyle w:val="TableParagraph"/>
              <w:spacing w:before="1"/>
              <w:ind w:right="-15"/>
              <w:jc w:val="right"/>
              <w:rPr>
                <w:sz w:val="21"/>
              </w:rPr>
            </w:pPr>
            <w:r>
              <w:rPr>
                <w:sz w:val="21"/>
              </w:rPr>
              <w:t>71,284 </w:t>
            </w:r>
          </w:p>
        </w:tc>
        <w:tc>
          <w:tcPr>
            <w:tcW w:w="1848" w:type="dxa"/>
          </w:tcPr>
          <w:p>
            <w:pPr>
              <w:pStyle w:val="TableParagraph"/>
              <w:spacing w:before="1"/>
              <w:ind w:right="-15"/>
              <w:jc w:val="right"/>
              <w:rPr>
                <w:sz w:val="21"/>
              </w:rPr>
            </w:pPr>
            <w:r>
              <w:rPr>
                <w:sz w:val="21"/>
              </w:rPr>
              <w:t>-713 </w:t>
            </w:r>
          </w:p>
        </w:tc>
      </w:tr>
      <w:tr>
        <w:trPr>
          <w:trHeight w:val="544" w:hRule="atLeast"/>
        </w:trPr>
        <w:tc>
          <w:tcPr>
            <w:tcW w:w="1435" w:type="dxa"/>
          </w:tcPr>
          <w:p>
            <w:pPr>
              <w:pStyle w:val="TableParagraph"/>
              <w:spacing w:before="137"/>
              <w:ind w:left="107"/>
              <w:rPr>
                <w:sz w:val="21"/>
              </w:rPr>
            </w:pPr>
            <w:r>
              <w:rPr>
                <w:spacing w:val="-1"/>
                <w:sz w:val="21"/>
              </w:rPr>
              <w:t>预付款项</w:t>
            </w:r>
            <w:r>
              <w:rPr>
                <w:sz w:val="21"/>
              </w:rPr>
              <w:t> </w:t>
            </w:r>
          </w:p>
        </w:tc>
        <w:tc>
          <w:tcPr>
            <w:tcW w:w="1352" w:type="dxa"/>
          </w:tcPr>
          <w:p>
            <w:pPr>
              <w:pStyle w:val="TableParagraph"/>
              <w:spacing w:before="1"/>
              <w:ind w:left="105"/>
              <w:rPr>
                <w:sz w:val="21"/>
              </w:rPr>
            </w:pPr>
            <w:r>
              <w:rPr>
                <w:sz w:val="21"/>
              </w:rPr>
              <w:t>鸿海精密及</w:t>
            </w:r>
          </w:p>
          <w:p>
            <w:pPr>
              <w:pStyle w:val="TableParagraph"/>
              <w:spacing w:line="250" w:lineRule="exact" w:before="4"/>
              <w:ind w:left="105"/>
              <w:rPr>
                <w:sz w:val="21"/>
              </w:rPr>
            </w:pPr>
            <w:r>
              <w:rPr>
                <w:spacing w:val="-1"/>
                <w:sz w:val="21"/>
              </w:rPr>
              <w:t>其子公司</w:t>
            </w:r>
            <w:r>
              <w:rPr>
                <w:sz w:val="21"/>
              </w:rPr>
              <w:t> </w:t>
            </w:r>
          </w:p>
        </w:tc>
        <w:tc>
          <w:tcPr>
            <w:tcW w:w="1356" w:type="dxa"/>
          </w:tcPr>
          <w:p>
            <w:pPr>
              <w:pStyle w:val="TableParagraph"/>
              <w:spacing w:before="1"/>
              <w:ind w:right="-15"/>
              <w:jc w:val="right"/>
              <w:rPr>
                <w:sz w:val="21"/>
              </w:rPr>
            </w:pPr>
            <w:r>
              <w:rPr>
                <w:sz w:val="21"/>
              </w:rPr>
              <w:t>31,077 </w:t>
            </w:r>
          </w:p>
        </w:tc>
        <w:tc>
          <w:tcPr>
            <w:tcW w:w="1354" w:type="dxa"/>
          </w:tcPr>
          <w:p>
            <w:pPr>
              <w:pStyle w:val="TableParagraph"/>
              <w:spacing w:before="1"/>
              <w:ind w:right="-15"/>
              <w:jc w:val="right"/>
              <w:rPr>
                <w:sz w:val="21"/>
              </w:rPr>
            </w:pPr>
            <w:r>
              <w:rPr>
                <w:w w:val="100"/>
                <w:sz w:val="21"/>
              </w:rPr>
              <w:t> </w:t>
            </w:r>
          </w:p>
        </w:tc>
        <w:tc>
          <w:tcPr>
            <w:tcW w:w="1478" w:type="dxa"/>
          </w:tcPr>
          <w:p>
            <w:pPr>
              <w:pStyle w:val="TableParagraph"/>
              <w:spacing w:before="1"/>
              <w:ind w:right="-15"/>
              <w:jc w:val="right"/>
              <w:rPr>
                <w:sz w:val="21"/>
              </w:rPr>
            </w:pPr>
            <w:r>
              <w:rPr>
                <w:sz w:val="21"/>
              </w:rPr>
              <w:t>28,009 </w:t>
            </w:r>
          </w:p>
        </w:tc>
        <w:tc>
          <w:tcPr>
            <w:tcW w:w="1848" w:type="dxa"/>
          </w:tcPr>
          <w:p>
            <w:pPr>
              <w:pStyle w:val="TableParagraph"/>
              <w:spacing w:before="1"/>
              <w:ind w:right="-15"/>
              <w:jc w:val="right"/>
              <w:rPr>
                <w:sz w:val="21"/>
              </w:rPr>
            </w:pPr>
            <w:r>
              <w:rPr>
                <w:sz w:val="21"/>
              </w:rPr>
              <w:t>- </w:t>
            </w:r>
          </w:p>
        </w:tc>
      </w:tr>
      <w:tr>
        <w:trPr>
          <w:trHeight w:val="544" w:hRule="atLeast"/>
        </w:trPr>
        <w:tc>
          <w:tcPr>
            <w:tcW w:w="1435" w:type="dxa"/>
          </w:tcPr>
          <w:p>
            <w:pPr>
              <w:pStyle w:val="TableParagraph"/>
              <w:spacing w:before="137"/>
              <w:ind w:left="107"/>
              <w:rPr>
                <w:sz w:val="21"/>
              </w:rPr>
            </w:pPr>
            <w:r>
              <w:rPr>
                <w:spacing w:val="-1"/>
                <w:sz w:val="21"/>
              </w:rPr>
              <w:t>预付款项</w:t>
            </w:r>
            <w:r>
              <w:rPr>
                <w:sz w:val="21"/>
              </w:rPr>
              <w:t> </w:t>
            </w:r>
          </w:p>
        </w:tc>
        <w:tc>
          <w:tcPr>
            <w:tcW w:w="1352" w:type="dxa"/>
          </w:tcPr>
          <w:p>
            <w:pPr>
              <w:pStyle w:val="TableParagraph"/>
              <w:spacing w:before="1"/>
              <w:ind w:left="105"/>
              <w:rPr>
                <w:sz w:val="21"/>
              </w:rPr>
            </w:pPr>
            <w:r>
              <w:rPr>
                <w:sz w:val="21"/>
              </w:rPr>
              <w:t>中坚公司之</w:t>
            </w:r>
          </w:p>
          <w:p>
            <w:pPr>
              <w:pStyle w:val="TableParagraph"/>
              <w:spacing w:line="250" w:lineRule="exact" w:before="4"/>
              <w:ind w:left="105"/>
              <w:rPr>
                <w:sz w:val="21"/>
              </w:rPr>
            </w:pPr>
            <w:r>
              <w:rPr>
                <w:sz w:val="21"/>
              </w:rPr>
              <w:t>子公司 </w:t>
            </w:r>
          </w:p>
        </w:tc>
        <w:tc>
          <w:tcPr>
            <w:tcW w:w="1356" w:type="dxa"/>
          </w:tcPr>
          <w:p>
            <w:pPr>
              <w:pStyle w:val="TableParagraph"/>
              <w:spacing w:before="1"/>
              <w:ind w:right="-15"/>
              <w:jc w:val="right"/>
              <w:rPr>
                <w:sz w:val="21"/>
              </w:rPr>
            </w:pPr>
            <w:r>
              <w:rPr>
                <w:sz w:val="21"/>
              </w:rPr>
              <w:t>88 </w:t>
            </w:r>
          </w:p>
        </w:tc>
        <w:tc>
          <w:tcPr>
            <w:tcW w:w="1354" w:type="dxa"/>
          </w:tcPr>
          <w:p>
            <w:pPr>
              <w:pStyle w:val="TableParagraph"/>
              <w:spacing w:before="1"/>
              <w:ind w:right="-15"/>
              <w:jc w:val="right"/>
              <w:rPr>
                <w:sz w:val="21"/>
              </w:rPr>
            </w:pPr>
            <w:r>
              <w:rPr>
                <w:w w:val="100"/>
                <w:sz w:val="21"/>
              </w:rPr>
              <w:t> </w:t>
            </w:r>
          </w:p>
        </w:tc>
        <w:tc>
          <w:tcPr>
            <w:tcW w:w="1478" w:type="dxa"/>
          </w:tcPr>
          <w:p>
            <w:pPr>
              <w:pStyle w:val="TableParagraph"/>
              <w:spacing w:before="1"/>
              <w:ind w:right="-15"/>
              <w:jc w:val="right"/>
              <w:rPr>
                <w:sz w:val="21"/>
              </w:rPr>
            </w:pPr>
            <w:r>
              <w:rPr>
                <w:sz w:val="21"/>
              </w:rPr>
              <w:t>443 </w:t>
            </w:r>
          </w:p>
        </w:tc>
        <w:tc>
          <w:tcPr>
            <w:tcW w:w="1848" w:type="dxa"/>
          </w:tcPr>
          <w:p>
            <w:pPr>
              <w:pStyle w:val="TableParagraph"/>
              <w:spacing w:before="1"/>
              <w:ind w:right="-15"/>
              <w:jc w:val="right"/>
              <w:rPr>
                <w:sz w:val="21"/>
              </w:rPr>
            </w:pPr>
            <w:r>
              <w:rPr>
                <w:w w:val="100"/>
                <w:sz w:val="21"/>
              </w:rPr>
              <w:t> </w:t>
            </w:r>
          </w:p>
        </w:tc>
      </w:tr>
      <w:tr>
        <w:trPr>
          <w:trHeight w:val="546" w:hRule="atLeast"/>
        </w:trPr>
        <w:tc>
          <w:tcPr>
            <w:tcW w:w="1435" w:type="dxa"/>
          </w:tcPr>
          <w:p>
            <w:pPr>
              <w:pStyle w:val="TableParagraph"/>
              <w:spacing w:before="137"/>
              <w:ind w:left="107"/>
              <w:rPr>
                <w:sz w:val="21"/>
              </w:rPr>
            </w:pPr>
            <w:r>
              <w:rPr>
                <w:spacing w:val="-1"/>
                <w:sz w:val="21"/>
              </w:rPr>
              <w:t>预付款项</w:t>
            </w:r>
            <w:r>
              <w:rPr>
                <w:sz w:val="21"/>
              </w:rPr>
              <w:t> </w:t>
            </w:r>
          </w:p>
        </w:tc>
        <w:tc>
          <w:tcPr>
            <w:tcW w:w="1352" w:type="dxa"/>
          </w:tcPr>
          <w:p>
            <w:pPr>
              <w:pStyle w:val="TableParagraph"/>
              <w:spacing w:line="270" w:lineRule="atLeast"/>
              <w:ind w:left="105" w:right="180"/>
              <w:rPr>
                <w:sz w:val="21"/>
              </w:rPr>
            </w:pPr>
            <w:r>
              <w:rPr>
                <w:sz w:val="21"/>
              </w:rPr>
              <w:t>本集团之联营企业 </w:t>
            </w:r>
          </w:p>
        </w:tc>
        <w:tc>
          <w:tcPr>
            <w:tcW w:w="1356" w:type="dxa"/>
          </w:tcPr>
          <w:p>
            <w:pPr>
              <w:pStyle w:val="TableParagraph"/>
              <w:spacing w:before="3"/>
              <w:ind w:right="-15"/>
              <w:jc w:val="right"/>
              <w:rPr>
                <w:sz w:val="21"/>
              </w:rPr>
            </w:pPr>
            <w:r>
              <w:rPr>
                <w:sz w:val="21"/>
              </w:rPr>
              <w:t>50 </w:t>
            </w:r>
          </w:p>
        </w:tc>
        <w:tc>
          <w:tcPr>
            <w:tcW w:w="1354" w:type="dxa"/>
          </w:tcPr>
          <w:p>
            <w:pPr>
              <w:pStyle w:val="TableParagraph"/>
              <w:spacing w:before="3"/>
              <w:ind w:right="-15"/>
              <w:jc w:val="right"/>
              <w:rPr>
                <w:sz w:val="21"/>
              </w:rPr>
            </w:pPr>
            <w:r>
              <w:rPr>
                <w:w w:val="100"/>
                <w:sz w:val="21"/>
              </w:rPr>
              <w:t> </w:t>
            </w:r>
          </w:p>
        </w:tc>
        <w:tc>
          <w:tcPr>
            <w:tcW w:w="1478" w:type="dxa"/>
          </w:tcPr>
          <w:p>
            <w:pPr>
              <w:pStyle w:val="TableParagraph"/>
              <w:spacing w:before="3"/>
              <w:ind w:right="-15"/>
              <w:jc w:val="right"/>
              <w:rPr>
                <w:sz w:val="21"/>
              </w:rPr>
            </w:pPr>
            <w:r>
              <w:rPr>
                <w:sz w:val="21"/>
              </w:rPr>
              <w:t>- </w:t>
            </w:r>
          </w:p>
        </w:tc>
        <w:tc>
          <w:tcPr>
            <w:tcW w:w="1848" w:type="dxa"/>
          </w:tcPr>
          <w:p>
            <w:pPr>
              <w:pStyle w:val="TableParagraph"/>
              <w:spacing w:before="3"/>
              <w:ind w:right="-15"/>
              <w:jc w:val="right"/>
              <w:rPr>
                <w:sz w:val="21"/>
              </w:rPr>
            </w:pPr>
            <w:r>
              <w:rPr>
                <w:w w:val="100"/>
                <w:sz w:val="21"/>
              </w:rPr>
              <w:t> </w:t>
            </w:r>
          </w:p>
        </w:tc>
      </w:tr>
    </w:tbl>
    <w:p>
      <w:pPr>
        <w:spacing w:after="0"/>
        <w:jc w:val="right"/>
        <w:rPr>
          <w:sz w:val="21"/>
        </w:rPr>
        <w:sectPr>
          <w:pgSz w:w="11910" w:h="16840"/>
          <w:pgMar w:header="882" w:footer="1184" w:top="1100" w:bottom="13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5"/>
        <w:gridCol w:w="1352"/>
        <w:gridCol w:w="1356"/>
        <w:gridCol w:w="1354"/>
        <w:gridCol w:w="1478"/>
        <w:gridCol w:w="1848"/>
      </w:tblGrid>
      <w:tr>
        <w:trPr>
          <w:trHeight w:val="818" w:hRule="atLeast"/>
        </w:trPr>
        <w:tc>
          <w:tcPr>
            <w:tcW w:w="1435" w:type="dxa"/>
          </w:tcPr>
          <w:p>
            <w:pPr>
              <w:pStyle w:val="TableParagraph"/>
              <w:spacing w:before="5"/>
              <w:rPr>
                <w:sz w:val="21"/>
              </w:rPr>
            </w:pPr>
          </w:p>
          <w:p>
            <w:pPr>
              <w:pStyle w:val="TableParagraph"/>
              <w:spacing w:before="1"/>
              <w:ind w:left="107"/>
              <w:rPr>
                <w:sz w:val="21"/>
              </w:rPr>
            </w:pPr>
            <w:r>
              <w:rPr>
                <w:spacing w:val="-1"/>
                <w:sz w:val="21"/>
              </w:rPr>
              <w:t>预付款项</w:t>
            </w:r>
            <w:r>
              <w:rPr>
                <w:sz w:val="21"/>
              </w:rPr>
              <w:t> </w:t>
            </w:r>
          </w:p>
        </w:tc>
        <w:tc>
          <w:tcPr>
            <w:tcW w:w="1352" w:type="dxa"/>
          </w:tcPr>
          <w:p>
            <w:pPr>
              <w:pStyle w:val="TableParagraph"/>
              <w:spacing w:line="242" w:lineRule="auto" w:before="3"/>
              <w:ind w:left="105" w:right="180"/>
              <w:rPr>
                <w:sz w:val="21"/>
              </w:rPr>
            </w:pPr>
            <w:r>
              <w:rPr>
                <w:sz w:val="21"/>
              </w:rPr>
              <w:t>鸿海精密之合(联)营企</w:t>
            </w:r>
          </w:p>
          <w:p>
            <w:pPr>
              <w:pStyle w:val="TableParagraph"/>
              <w:spacing w:line="250" w:lineRule="exact" w:before="2"/>
              <w:ind w:left="105"/>
              <w:rPr>
                <w:sz w:val="21"/>
              </w:rPr>
            </w:pPr>
            <w:r>
              <w:rPr>
                <w:sz w:val="21"/>
              </w:rPr>
              <w:t>业 </w:t>
            </w:r>
          </w:p>
        </w:tc>
        <w:tc>
          <w:tcPr>
            <w:tcW w:w="1356" w:type="dxa"/>
          </w:tcPr>
          <w:p>
            <w:pPr>
              <w:pStyle w:val="TableParagraph"/>
              <w:spacing w:before="3"/>
              <w:ind w:right="-15"/>
              <w:jc w:val="right"/>
              <w:rPr>
                <w:sz w:val="21"/>
              </w:rPr>
            </w:pPr>
            <w:r>
              <w:rPr>
                <w:sz w:val="21"/>
              </w:rPr>
              <w:t>- </w:t>
            </w:r>
          </w:p>
        </w:tc>
        <w:tc>
          <w:tcPr>
            <w:tcW w:w="1354" w:type="dxa"/>
          </w:tcPr>
          <w:p>
            <w:pPr>
              <w:pStyle w:val="TableParagraph"/>
              <w:spacing w:before="3"/>
              <w:ind w:right="-15"/>
              <w:jc w:val="right"/>
              <w:rPr>
                <w:sz w:val="21"/>
              </w:rPr>
            </w:pPr>
            <w:r>
              <w:rPr>
                <w:w w:val="100"/>
                <w:sz w:val="21"/>
              </w:rPr>
              <w:t> </w:t>
            </w:r>
          </w:p>
        </w:tc>
        <w:tc>
          <w:tcPr>
            <w:tcW w:w="1478" w:type="dxa"/>
          </w:tcPr>
          <w:p>
            <w:pPr>
              <w:pStyle w:val="TableParagraph"/>
              <w:spacing w:before="3"/>
              <w:ind w:right="-15"/>
              <w:jc w:val="right"/>
              <w:rPr>
                <w:sz w:val="21"/>
              </w:rPr>
            </w:pPr>
            <w:r>
              <w:rPr>
                <w:sz w:val="21"/>
              </w:rPr>
              <w:t>41 </w:t>
            </w:r>
          </w:p>
        </w:tc>
        <w:tc>
          <w:tcPr>
            <w:tcW w:w="1848" w:type="dxa"/>
          </w:tcPr>
          <w:p>
            <w:pPr>
              <w:pStyle w:val="TableParagraph"/>
              <w:spacing w:before="3"/>
              <w:ind w:right="-15"/>
              <w:jc w:val="right"/>
              <w:rPr>
                <w:sz w:val="21"/>
              </w:rPr>
            </w:pPr>
            <w:r>
              <w:rPr>
                <w:w w:val="100"/>
                <w:sz w:val="21"/>
              </w:rPr>
              <w:t> </w:t>
            </w:r>
          </w:p>
        </w:tc>
      </w:tr>
    </w:tbl>
    <w:p>
      <w:pPr>
        <w:pStyle w:val="BodyText"/>
        <w:ind w:left="0"/>
        <w:rPr>
          <w:sz w:val="20"/>
        </w:rPr>
      </w:pPr>
    </w:p>
    <w:p>
      <w:pPr>
        <w:pStyle w:val="BodyText"/>
        <w:spacing w:before="9"/>
        <w:ind w:left="0"/>
      </w:pPr>
    </w:p>
    <w:p>
      <w:pPr>
        <w:pStyle w:val="BodyText"/>
        <w:spacing w:before="71"/>
      </w:pPr>
      <w:r>
        <w:rPr/>
        <w:t>(2).应付项目 </w:t>
      </w:r>
    </w:p>
    <w:p>
      <w:pPr>
        <w:pStyle w:val="BodyText"/>
        <w:spacing w:before="65"/>
      </w:pPr>
      <w:r>
        <w:rPr>
          <w:spacing w:val="11"/>
        </w:rPr>
        <w:t>√适用 □不适用</w:t>
      </w:r>
      <w:r>
        <w:rPr>
          <w:spacing w:val="-3"/>
        </w:rPr>
        <w:t> </w:t>
      </w:r>
      <w:r>
        <w:rPr/>
        <w:t> </w:t>
      </w:r>
    </w:p>
    <w:p>
      <w:pPr>
        <w:pStyle w:val="BodyText"/>
        <w:spacing w:before="2" w:after="4"/>
        <w:ind w:left="6839"/>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0"/>
        <w:gridCol w:w="2033"/>
        <w:gridCol w:w="2033"/>
        <w:gridCol w:w="2648"/>
      </w:tblGrid>
      <w:tr>
        <w:trPr>
          <w:trHeight w:val="270" w:hRule="atLeast"/>
        </w:trPr>
        <w:tc>
          <w:tcPr>
            <w:tcW w:w="2110" w:type="dxa"/>
          </w:tcPr>
          <w:p>
            <w:pPr>
              <w:pStyle w:val="TableParagraph"/>
              <w:spacing w:line="250" w:lineRule="exact" w:before="1"/>
              <w:ind w:left="633"/>
              <w:rPr>
                <w:sz w:val="21"/>
              </w:rPr>
            </w:pPr>
            <w:r>
              <w:rPr>
                <w:spacing w:val="-1"/>
                <w:sz w:val="21"/>
              </w:rPr>
              <w:t>项目名称</w:t>
            </w:r>
            <w:r>
              <w:rPr>
                <w:sz w:val="21"/>
              </w:rPr>
              <w:t> </w:t>
            </w:r>
          </w:p>
        </w:tc>
        <w:tc>
          <w:tcPr>
            <w:tcW w:w="2033" w:type="dxa"/>
          </w:tcPr>
          <w:p>
            <w:pPr>
              <w:pStyle w:val="TableParagraph"/>
              <w:spacing w:line="250" w:lineRule="exact" w:before="1"/>
              <w:ind w:left="698"/>
              <w:rPr>
                <w:sz w:val="21"/>
              </w:rPr>
            </w:pPr>
            <w:r>
              <w:rPr>
                <w:sz w:val="21"/>
              </w:rPr>
              <w:t>关联方 </w:t>
            </w:r>
          </w:p>
        </w:tc>
        <w:tc>
          <w:tcPr>
            <w:tcW w:w="2033" w:type="dxa"/>
          </w:tcPr>
          <w:p>
            <w:pPr>
              <w:pStyle w:val="TableParagraph"/>
              <w:spacing w:line="250" w:lineRule="exact" w:before="1"/>
              <w:ind w:left="384"/>
              <w:rPr>
                <w:sz w:val="21"/>
              </w:rPr>
            </w:pPr>
            <w:r>
              <w:rPr>
                <w:spacing w:val="-1"/>
                <w:sz w:val="21"/>
              </w:rPr>
              <w:t>期末账面余额</w:t>
            </w:r>
            <w:r>
              <w:rPr>
                <w:sz w:val="21"/>
              </w:rPr>
              <w:t> </w:t>
            </w:r>
          </w:p>
        </w:tc>
        <w:tc>
          <w:tcPr>
            <w:tcW w:w="2648" w:type="dxa"/>
          </w:tcPr>
          <w:p>
            <w:pPr>
              <w:pStyle w:val="TableParagraph"/>
              <w:spacing w:line="250" w:lineRule="exact" w:before="1"/>
              <w:ind w:left="691"/>
              <w:rPr>
                <w:sz w:val="21"/>
              </w:rPr>
            </w:pPr>
            <w:r>
              <w:rPr>
                <w:spacing w:val="-1"/>
                <w:sz w:val="21"/>
              </w:rPr>
              <w:t>期初账面余额</w:t>
            </w:r>
            <w:r>
              <w:rPr>
                <w:sz w:val="21"/>
              </w:rPr>
              <w:t> </w:t>
            </w:r>
          </w:p>
        </w:tc>
      </w:tr>
      <w:tr>
        <w:trPr>
          <w:trHeight w:val="544" w:hRule="atLeast"/>
        </w:trPr>
        <w:tc>
          <w:tcPr>
            <w:tcW w:w="2110" w:type="dxa"/>
          </w:tcPr>
          <w:p>
            <w:pPr>
              <w:pStyle w:val="TableParagraph"/>
              <w:spacing w:before="138"/>
              <w:ind w:left="107"/>
              <w:rPr>
                <w:sz w:val="21"/>
              </w:rPr>
            </w:pPr>
            <w:r>
              <w:rPr>
                <w:spacing w:val="-1"/>
                <w:sz w:val="21"/>
              </w:rPr>
              <w:t>应付账款</w:t>
            </w:r>
            <w:r>
              <w:rPr>
                <w:sz w:val="21"/>
              </w:rPr>
              <w:t> </w:t>
            </w:r>
          </w:p>
        </w:tc>
        <w:tc>
          <w:tcPr>
            <w:tcW w:w="2033" w:type="dxa"/>
          </w:tcPr>
          <w:p>
            <w:pPr>
              <w:pStyle w:val="TableParagraph"/>
              <w:spacing w:before="1"/>
              <w:ind w:left="107"/>
              <w:rPr>
                <w:sz w:val="21"/>
              </w:rPr>
            </w:pPr>
            <w:r>
              <w:rPr>
                <w:sz w:val="21"/>
              </w:rPr>
              <w:t>鸿海精密及其子公</w:t>
            </w:r>
          </w:p>
          <w:p>
            <w:pPr>
              <w:pStyle w:val="TableParagraph"/>
              <w:spacing w:line="250" w:lineRule="exact" w:before="4"/>
              <w:ind w:left="107"/>
              <w:rPr>
                <w:sz w:val="21"/>
              </w:rPr>
            </w:pPr>
            <w:r>
              <w:rPr>
                <w:sz w:val="21"/>
              </w:rPr>
              <w:t>司 </w:t>
            </w:r>
          </w:p>
        </w:tc>
        <w:tc>
          <w:tcPr>
            <w:tcW w:w="2033" w:type="dxa"/>
          </w:tcPr>
          <w:p>
            <w:pPr>
              <w:pStyle w:val="TableParagraph"/>
              <w:spacing w:before="1"/>
              <w:ind w:right="-15"/>
              <w:jc w:val="right"/>
              <w:rPr>
                <w:sz w:val="21"/>
              </w:rPr>
            </w:pPr>
            <w:r>
              <w:rPr>
                <w:sz w:val="21"/>
              </w:rPr>
              <w:t>3,252,511 </w:t>
            </w:r>
          </w:p>
        </w:tc>
        <w:tc>
          <w:tcPr>
            <w:tcW w:w="2648" w:type="dxa"/>
          </w:tcPr>
          <w:p>
            <w:pPr>
              <w:pStyle w:val="TableParagraph"/>
              <w:spacing w:before="1"/>
              <w:ind w:right="-15"/>
              <w:jc w:val="right"/>
              <w:rPr>
                <w:sz w:val="21"/>
              </w:rPr>
            </w:pPr>
            <w:r>
              <w:rPr>
                <w:sz w:val="21"/>
              </w:rPr>
              <w:t>2,873,642 </w:t>
            </w:r>
          </w:p>
        </w:tc>
      </w:tr>
      <w:tr>
        <w:trPr>
          <w:trHeight w:val="544" w:hRule="atLeast"/>
        </w:trPr>
        <w:tc>
          <w:tcPr>
            <w:tcW w:w="2110" w:type="dxa"/>
          </w:tcPr>
          <w:p>
            <w:pPr>
              <w:pStyle w:val="TableParagraph"/>
              <w:spacing w:before="137"/>
              <w:ind w:left="107"/>
              <w:rPr>
                <w:sz w:val="21"/>
              </w:rPr>
            </w:pPr>
            <w:r>
              <w:rPr>
                <w:spacing w:val="-1"/>
                <w:sz w:val="21"/>
              </w:rPr>
              <w:t>应付账款</w:t>
            </w:r>
            <w:r>
              <w:rPr>
                <w:sz w:val="21"/>
              </w:rPr>
              <w:t> </w:t>
            </w:r>
          </w:p>
        </w:tc>
        <w:tc>
          <w:tcPr>
            <w:tcW w:w="2033" w:type="dxa"/>
          </w:tcPr>
          <w:p>
            <w:pPr>
              <w:pStyle w:val="TableParagraph"/>
              <w:spacing w:before="1"/>
              <w:ind w:left="107"/>
              <w:rPr>
                <w:sz w:val="21"/>
              </w:rPr>
            </w:pPr>
            <w:r>
              <w:rPr>
                <w:spacing w:val="-1"/>
                <w:sz w:val="21"/>
              </w:rPr>
              <w:t>鸿海精密之合(联)</w:t>
            </w:r>
          </w:p>
          <w:p>
            <w:pPr>
              <w:pStyle w:val="TableParagraph"/>
              <w:spacing w:line="250" w:lineRule="exact" w:before="4"/>
              <w:ind w:left="107"/>
              <w:rPr>
                <w:sz w:val="21"/>
              </w:rPr>
            </w:pPr>
            <w:r>
              <w:rPr>
                <w:sz w:val="21"/>
              </w:rPr>
              <w:t>营企业 </w:t>
            </w:r>
          </w:p>
        </w:tc>
        <w:tc>
          <w:tcPr>
            <w:tcW w:w="2033" w:type="dxa"/>
          </w:tcPr>
          <w:p>
            <w:pPr>
              <w:pStyle w:val="TableParagraph"/>
              <w:spacing w:before="1"/>
              <w:ind w:right="-15"/>
              <w:jc w:val="right"/>
              <w:rPr>
                <w:sz w:val="21"/>
              </w:rPr>
            </w:pPr>
            <w:r>
              <w:rPr>
                <w:sz w:val="21"/>
              </w:rPr>
              <w:t>1,191,217 </w:t>
            </w:r>
          </w:p>
        </w:tc>
        <w:tc>
          <w:tcPr>
            <w:tcW w:w="2648" w:type="dxa"/>
          </w:tcPr>
          <w:p>
            <w:pPr>
              <w:pStyle w:val="TableParagraph"/>
              <w:spacing w:before="1"/>
              <w:ind w:right="-15"/>
              <w:jc w:val="right"/>
              <w:rPr>
                <w:sz w:val="21"/>
              </w:rPr>
            </w:pPr>
            <w:r>
              <w:rPr>
                <w:sz w:val="21"/>
              </w:rPr>
              <w:t>1,248,917 </w:t>
            </w:r>
          </w:p>
        </w:tc>
      </w:tr>
      <w:tr>
        <w:trPr>
          <w:trHeight w:val="273" w:hRule="atLeast"/>
        </w:trPr>
        <w:tc>
          <w:tcPr>
            <w:tcW w:w="2110" w:type="dxa"/>
          </w:tcPr>
          <w:p>
            <w:pPr>
              <w:pStyle w:val="TableParagraph"/>
              <w:spacing w:line="250" w:lineRule="exact" w:before="4"/>
              <w:ind w:left="107"/>
              <w:rPr>
                <w:sz w:val="21"/>
              </w:rPr>
            </w:pPr>
            <w:r>
              <w:rPr>
                <w:spacing w:val="-1"/>
                <w:sz w:val="21"/>
              </w:rPr>
              <w:t>应付账款</w:t>
            </w:r>
            <w:r>
              <w:rPr>
                <w:sz w:val="21"/>
              </w:rPr>
              <w:t> </w:t>
            </w:r>
          </w:p>
        </w:tc>
        <w:tc>
          <w:tcPr>
            <w:tcW w:w="2033" w:type="dxa"/>
          </w:tcPr>
          <w:p>
            <w:pPr>
              <w:pStyle w:val="TableParagraph"/>
              <w:spacing w:line="250" w:lineRule="exact" w:before="4"/>
              <w:ind w:left="107"/>
              <w:rPr>
                <w:sz w:val="21"/>
              </w:rPr>
            </w:pPr>
            <w:r>
              <w:rPr>
                <w:spacing w:val="-1"/>
                <w:sz w:val="21"/>
              </w:rPr>
              <w:t>中坚公司之子公司</w:t>
            </w:r>
            <w:r>
              <w:rPr>
                <w:sz w:val="21"/>
              </w:rPr>
              <w:t> </w:t>
            </w:r>
          </w:p>
        </w:tc>
        <w:tc>
          <w:tcPr>
            <w:tcW w:w="2033" w:type="dxa"/>
          </w:tcPr>
          <w:p>
            <w:pPr>
              <w:pStyle w:val="TableParagraph"/>
              <w:spacing w:line="250" w:lineRule="exact" w:before="4"/>
              <w:ind w:right="-15"/>
              <w:jc w:val="right"/>
              <w:rPr>
                <w:sz w:val="21"/>
              </w:rPr>
            </w:pPr>
            <w:r>
              <w:rPr>
                <w:sz w:val="21"/>
              </w:rPr>
              <w:t>97,951 </w:t>
            </w:r>
          </w:p>
        </w:tc>
        <w:tc>
          <w:tcPr>
            <w:tcW w:w="2648" w:type="dxa"/>
          </w:tcPr>
          <w:p>
            <w:pPr>
              <w:pStyle w:val="TableParagraph"/>
              <w:spacing w:line="250" w:lineRule="exact" w:before="4"/>
              <w:ind w:right="-15"/>
              <w:jc w:val="right"/>
              <w:rPr>
                <w:sz w:val="21"/>
              </w:rPr>
            </w:pPr>
            <w:r>
              <w:rPr>
                <w:sz w:val="21"/>
              </w:rPr>
              <w:t>202,201 </w:t>
            </w:r>
          </w:p>
        </w:tc>
      </w:tr>
      <w:tr>
        <w:trPr>
          <w:trHeight w:val="273" w:hRule="atLeast"/>
        </w:trPr>
        <w:tc>
          <w:tcPr>
            <w:tcW w:w="2110" w:type="dxa"/>
          </w:tcPr>
          <w:p>
            <w:pPr>
              <w:pStyle w:val="TableParagraph"/>
              <w:spacing w:line="252" w:lineRule="exact" w:before="1"/>
              <w:ind w:left="107"/>
              <w:rPr>
                <w:sz w:val="21"/>
              </w:rPr>
            </w:pPr>
            <w:r>
              <w:rPr>
                <w:spacing w:val="-1"/>
                <w:sz w:val="21"/>
              </w:rPr>
              <w:t>应付账款</w:t>
            </w:r>
            <w:r>
              <w:rPr>
                <w:sz w:val="21"/>
              </w:rPr>
              <w:t> </w:t>
            </w:r>
          </w:p>
        </w:tc>
        <w:tc>
          <w:tcPr>
            <w:tcW w:w="2033" w:type="dxa"/>
          </w:tcPr>
          <w:p>
            <w:pPr>
              <w:pStyle w:val="TableParagraph"/>
              <w:spacing w:line="252" w:lineRule="exact" w:before="1"/>
              <w:ind w:left="107"/>
              <w:rPr>
                <w:sz w:val="21"/>
              </w:rPr>
            </w:pPr>
            <w:r>
              <w:rPr>
                <w:sz w:val="21"/>
              </w:rPr>
              <w:t>其他关联方 </w:t>
            </w:r>
          </w:p>
        </w:tc>
        <w:tc>
          <w:tcPr>
            <w:tcW w:w="2033" w:type="dxa"/>
          </w:tcPr>
          <w:p>
            <w:pPr>
              <w:pStyle w:val="TableParagraph"/>
              <w:spacing w:line="252" w:lineRule="exact" w:before="1"/>
              <w:ind w:right="-15"/>
              <w:jc w:val="right"/>
              <w:rPr>
                <w:sz w:val="21"/>
              </w:rPr>
            </w:pPr>
            <w:r>
              <w:rPr>
                <w:sz w:val="21"/>
              </w:rPr>
              <w:t>18,906 </w:t>
            </w:r>
          </w:p>
        </w:tc>
        <w:tc>
          <w:tcPr>
            <w:tcW w:w="2648" w:type="dxa"/>
          </w:tcPr>
          <w:p>
            <w:pPr>
              <w:pStyle w:val="TableParagraph"/>
              <w:spacing w:line="252" w:lineRule="exact" w:before="1"/>
              <w:ind w:right="-15"/>
              <w:jc w:val="right"/>
              <w:rPr>
                <w:sz w:val="21"/>
              </w:rPr>
            </w:pPr>
            <w:r>
              <w:rPr>
                <w:sz w:val="21"/>
              </w:rPr>
              <w:t>57,924 </w:t>
            </w:r>
          </w:p>
        </w:tc>
      </w:tr>
      <w:tr>
        <w:trPr>
          <w:trHeight w:val="544" w:hRule="atLeast"/>
        </w:trPr>
        <w:tc>
          <w:tcPr>
            <w:tcW w:w="2110" w:type="dxa"/>
          </w:tcPr>
          <w:p>
            <w:pPr>
              <w:pStyle w:val="TableParagraph"/>
              <w:spacing w:before="137"/>
              <w:ind w:left="107"/>
              <w:rPr>
                <w:sz w:val="21"/>
              </w:rPr>
            </w:pPr>
            <w:r>
              <w:rPr>
                <w:spacing w:val="-1"/>
                <w:sz w:val="21"/>
              </w:rPr>
              <w:t>应付账款</w:t>
            </w:r>
            <w:r>
              <w:rPr>
                <w:sz w:val="21"/>
              </w:rPr>
              <w:t> </w:t>
            </w:r>
          </w:p>
        </w:tc>
        <w:tc>
          <w:tcPr>
            <w:tcW w:w="2033" w:type="dxa"/>
          </w:tcPr>
          <w:p>
            <w:pPr>
              <w:pStyle w:val="TableParagraph"/>
              <w:spacing w:before="1"/>
              <w:ind w:left="107"/>
              <w:rPr>
                <w:sz w:val="21"/>
              </w:rPr>
            </w:pPr>
            <w:r>
              <w:rPr>
                <w:spacing w:val="-1"/>
                <w:sz w:val="21"/>
              </w:rPr>
              <w:t>持有本公司</w:t>
            </w:r>
            <w:r>
              <w:rPr>
                <w:sz w:val="21"/>
              </w:rPr>
              <w:t>5%以上</w:t>
            </w:r>
          </w:p>
          <w:p>
            <w:pPr>
              <w:pStyle w:val="TableParagraph"/>
              <w:spacing w:line="252" w:lineRule="exact" w:before="2"/>
              <w:ind w:left="107"/>
              <w:rPr>
                <w:sz w:val="21"/>
              </w:rPr>
            </w:pPr>
            <w:r>
              <w:rPr>
                <w:sz w:val="21"/>
              </w:rPr>
              <w:t>股份的股东 </w:t>
            </w:r>
          </w:p>
        </w:tc>
        <w:tc>
          <w:tcPr>
            <w:tcW w:w="2033" w:type="dxa"/>
          </w:tcPr>
          <w:p>
            <w:pPr>
              <w:pStyle w:val="TableParagraph"/>
              <w:spacing w:before="1"/>
              <w:ind w:right="-15"/>
              <w:jc w:val="right"/>
              <w:rPr>
                <w:sz w:val="21"/>
              </w:rPr>
            </w:pPr>
            <w:r>
              <w:rPr>
                <w:sz w:val="21"/>
              </w:rPr>
              <w:t>18,849 </w:t>
            </w:r>
          </w:p>
        </w:tc>
        <w:tc>
          <w:tcPr>
            <w:tcW w:w="2648" w:type="dxa"/>
          </w:tcPr>
          <w:p>
            <w:pPr>
              <w:pStyle w:val="TableParagraph"/>
              <w:spacing w:before="1"/>
              <w:ind w:right="-15"/>
              <w:jc w:val="right"/>
              <w:rPr>
                <w:sz w:val="21"/>
              </w:rPr>
            </w:pPr>
            <w:r>
              <w:rPr>
                <w:sz w:val="21"/>
              </w:rPr>
              <w:t>53,483 </w:t>
            </w:r>
          </w:p>
        </w:tc>
      </w:tr>
      <w:tr>
        <w:trPr>
          <w:trHeight w:val="270" w:hRule="atLeast"/>
        </w:trPr>
        <w:tc>
          <w:tcPr>
            <w:tcW w:w="2110" w:type="dxa"/>
          </w:tcPr>
          <w:p>
            <w:pPr>
              <w:pStyle w:val="TableParagraph"/>
              <w:spacing w:line="250" w:lineRule="exact" w:before="1"/>
              <w:ind w:left="107"/>
              <w:rPr>
                <w:sz w:val="21"/>
              </w:rPr>
            </w:pPr>
            <w:r>
              <w:rPr>
                <w:spacing w:val="-1"/>
                <w:sz w:val="21"/>
              </w:rPr>
              <w:t>应付账款</w:t>
            </w:r>
            <w:r>
              <w:rPr>
                <w:sz w:val="21"/>
              </w:rPr>
              <w:t> </w:t>
            </w:r>
          </w:p>
        </w:tc>
        <w:tc>
          <w:tcPr>
            <w:tcW w:w="2033" w:type="dxa"/>
          </w:tcPr>
          <w:p>
            <w:pPr>
              <w:pStyle w:val="TableParagraph"/>
              <w:spacing w:line="250" w:lineRule="exact" w:before="1"/>
              <w:ind w:left="107"/>
              <w:rPr>
                <w:sz w:val="21"/>
              </w:rPr>
            </w:pPr>
            <w:r>
              <w:rPr>
                <w:spacing w:val="-1"/>
                <w:sz w:val="21"/>
              </w:rPr>
              <w:t>本集团之联营企业</w:t>
            </w:r>
            <w:r>
              <w:rPr>
                <w:sz w:val="21"/>
              </w:rPr>
              <w:t> </w:t>
            </w:r>
          </w:p>
        </w:tc>
        <w:tc>
          <w:tcPr>
            <w:tcW w:w="2033" w:type="dxa"/>
          </w:tcPr>
          <w:p>
            <w:pPr>
              <w:pStyle w:val="TableParagraph"/>
              <w:spacing w:line="250" w:lineRule="exact" w:before="1"/>
              <w:ind w:right="-15"/>
              <w:jc w:val="right"/>
              <w:rPr>
                <w:sz w:val="21"/>
              </w:rPr>
            </w:pPr>
            <w:r>
              <w:rPr>
                <w:sz w:val="21"/>
              </w:rPr>
              <w:t>16,264 </w:t>
            </w:r>
          </w:p>
        </w:tc>
        <w:tc>
          <w:tcPr>
            <w:tcW w:w="2648" w:type="dxa"/>
          </w:tcPr>
          <w:p>
            <w:pPr>
              <w:pStyle w:val="TableParagraph"/>
              <w:spacing w:line="250" w:lineRule="exact" w:before="1"/>
              <w:ind w:right="-15"/>
              <w:jc w:val="right"/>
              <w:rPr>
                <w:sz w:val="21"/>
              </w:rPr>
            </w:pPr>
            <w:r>
              <w:rPr>
                <w:sz w:val="21"/>
              </w:rPr>
              <w:t>11,345 </w:t>
            </w:r>
          </w:p>
        </w:tc>
      </w:tr>
      <w:tr>
        <w:trPr>
          <w:trHeight w:val="546" w:hRule="atLeast"/>
        </w:trPr>
        <w:tc>
          <w:tcPr>
            <w:tcW w:w="2110" w:type="dxa"/>
          </w:tcPr>
          <w:p>
            <w:pPr>
              <w:pStyle w:val="TableParagraph"/>
              <w:spacing w:before="138"/>
              <w:ind w:left="107"/>
              <w:rPr>
                <w:sz w:val="21"/>
              </w:rPr>
            </w:pPr>
            <w:r>
              <w:rPr>
                <w:spacing w:val="-1"/>
                <w:sz w:val="21"/>
              </w:rPr>
              <w:t>应付账款</w:t>
            </w:r>
            <w:r>
              <w:rPr>
                <w:sz w:val="21"/>
              </w:rPr>
              <w:t> </w:t>
            </w:r>
          </w:p>
        </w:tc>
        <w:tc>
          <w:tcPr>
            <w:tcW w:w="2033" w:type="dxa"/>
          </w:tcPr>
          <w:p>
            <w:pPr>
              <w:pStyle w:val="TableParagraph"/>
              <w:spacing w:line="270" w:lineRule="atLeast"/>
              <w:ind w:left="107" w:right="230"/>
              <w:rPr>
                <w:sz w:val="21"/>
              </w:rPr>
            </w:pPr>
            <w:r>
              <w:rPr>
                <w:spacing w:val="-1"/>
                <w:sz w:val="21"/>
              </w:rPr>
              <w:t>中坚公司之合(联)</w:t>
            </w:r>
            <w:r>
              <w:rPr>
                <w:spacing w:val="-102"/>
                <w:sz w:val="21"/>
              </w:rPr>
              <w:t> </w:t>
            </w:r>
            <w:r>
              <w:rPr>
                <w:sz w:val="21"/>
              </w:rPr>
              <w:t>营企业 </w:t>
            </w:r>
          </w:p>
        </w:tc>
        <w:tc>
          <w:tcPr>
            <w:tcW w:w="2033" w:type="dxa"/>
          </w:tcPr>
          <w:p>
            <w:pPr>
              <w:pStyle w:val="TableParagraph"/>
              <w:spacing w:before="3"/>
              <w:ind w:right="-15"/>
              <w:jc w:val="right"/>
              <w:rPr>
                <w:sz w:val="21"/>
              </w:rPr>
            </w:pPr>
            <w:r>
              <w:rPr>
                <w:sz w:val="21"/>
              </w:rPr>
              <w:t>2,457 </w:t>
            </w:r>
          </w:p>
        </w:tc>
        <w:tc>
          <w:tcPr>
            <w:tcW w:w="2648" w:type="dxa"/>
          </w:tcPr>
          <w:p>
            <w:pPr>
              <w:pStyle w:val="TableParagraph"/>
              <w:spacing w:before="3"/>
              <w:ind w:right="-15"/>
              <w:jc w:val="right"/>
              <w:rPr>
                <w:sz w:val="21"/>
              </w:rPr>
            </w:pPr>
            <w:r>
              <w:rPr>
                <w:sz w:val="21"/>
              </w:rPr>
              <w:t>1,683 </w:t>
            </w:r>
          </w:p>
        </w:tc>
      </w:tr>
      <w:tr>
        <w:trPr>
          <w:trHeight w:val="544" w:hRule="atLeast"/>
        </w:trPr>
        <w:tc>
          <w:tcPr>
            <w:tcW w:w="2110" w:type="dxa"/>
          </w:tcPr>
          <w:p>
            <w:pPr>
              <w:pStyle w:val="TableParagraph"/>
              <w:spacing w:before="137"/>
              <w:ind w:left="107"/>
              <w:rPr>
                <w:sz w:val="21"/>
              </w:rPr>
            </w:pPr>
            <w:r>
              <w:rPr>
                <w:spacing w:val="-1"/>
                <w:sz w:val="21"/>
              </w:rPr>
              <w:t>合同负债</w:t>
            </w:r>
            <w:r>
              <w:rPr>
                <w:sz w:val="21"/>
              </w:rPr>
              <w:t> </w:t>
            </w:r>
          </w:p>
        </w:tc>
        <w:tc>
          <w:tcPr>
            <w:tcW w:w="2033" w:type="dxa"/>
          </w:tcPr>
          <w:p>
            <w:pPr>
              <w:pStyle w:val="TableParagraph"/>
              <w:spacing w:before="1"/>
              <w:ind w:left="107"/>
              <w:rPr>
                <w:sz w:val="21"/>
              </w:rPr>
            </w:pPr>
            <w:r>
              <w:rPr>
                <w:sz w:val="21"/>
              </w:rPr>
              <w:t>鸿海精密及其子公</w:t>
            </w:r>
          </w:p>
          <w:p>
            <w:pPr>
              <w:pStyle w:val="TableParagraph"/>
              <w:spacing w:line="252" w:lineRule="exact" w:before="2"/>
              <w:ind w:left="107"/>
              <w:rPr>
                <w:sz w:val="21"/>
              </w:rPr>
            </w:pPr>
            <w:r>
              <w:rPr>
                <w:sz w:val="21"/>
              </w:rPr>
              <w:t>司 </w:t>
            </w:r>
          </w:p>
        </w:tc>
        <w:tc>
          <w:tcPr>
            <w:tcW w:w="2033" w:type="dxa"/>
          </w:tcPr>
          <w:p>
            <w:pPr>
              <w:pStyle w:val="TableParagraph"/>
              <w:spacing w:before="1"/>
              <w:ind w:right="-15"/>
              <w:jc w:val="right"/>
              <w:rPr>
                <w:sz w:val="21"/>
              </w:rPr>
            </w:pPr>
            <w:r>
              <w:rPr>
                <w:sz w:val="21"/>
              </w:rPr>
              <w:t>1,020 </w:t>
            </w:r>
          </w:p>
        </w:tc>
        <w:tc>
          <w:tcPr>
            <w:tcW w:w="2648" w:type="dxa"/>
          </w:tcPr>
          <w:p>
            <w:pPr>
              <w:pStyle w:val="TableParagraph"/>
              <w:spacing w:before="1"/>
              <w:ind w:right="-15"/>
              <w:jc w:val="right"/>
              <w:rPr>
                <w:sz w:val="21"/>
              </w:rPr>
            </w:pPr>
            <w:r>
              <w:rPr>
                <w:sz w:val="21"/>
              </w:rPr>
              <w:t>1,020 </w:t>
            </w:r>
          </w:p>
        </w:tc>
      </w:tr>
      <w:tr>
        <w:trPr>
          <w:trHeight w:val="544" w:hRule="atLeast"/>
        </w:trPr>
        <w:tc>
          <w:tcPr>
            <w:tcW w:w="2110" w:type="dxa"/>
          </w:tcPr>
          <w:p>
            <w:pPr>
              <w:pStyle w:val="TableParagraph"/>
              <w:spacing w:before="138"/>
              <w:ind w:left="107"/>
              <w:rPr>
                <w:sz w:val="21"/>
              </w:rPr>
            </w:pPr>
            <w:r>
              <w:rPr>
                <w:sz w:val="21"/>
              </w:rPr>
              <w:t>其他应付款 </w:t>
            </w:r>
          </w:p>
        </w:tc>
        <w:tc>
          <w:tcPr>
            <w:tcW w:w="2033" w:type="dxa"/>
          </w:tcPr>
          <w:p>
            <w:pPr>
              <w:pStyle w:val="TableParagraph"/>
              <w:spacing w:before="1"/>
              <w:ind w:left="107"/>
              <w:rPr>
                <w:sz w:val="21"/>
              </w:rPr>
            </w:pPr>
            <w:r>
              <w:rPr>
                <w:sz w:val="21"/>
              </w:rPr>
              <w:t>鸿海精密及其子公</w:t>
            </w:r>
          </w:p>
          <w:p>
            <w:pPr>
              <w:pStyle w:val="TableParagraph"/>
              <w:spacing w:line="252" w:lineRule="exact" w:before="2"/>
              <w:ind w:left="107"/>
              <w:rPr>
                <w:sz w:val="21"/>
              </w:rPr>
            </w:pPr>
            <w:r>
              <w:rPr>
                <w:sz w:val="21"/>
              </w:rPr>
              <w:t>司 </w:t>
            </w:r>
          </w:p>
        </w:tc>
        <w:tc>
          <w:tcPr>
            <w:tcW w:w="2033" w:type="dxa"/>
          </w:tcPr>
          <w:p>
            <w:pPr>
              <w:pStyle w:val="TableParagraph"/>
              <w:spacing w:before="1"/>
              <w:ind w:right="-15"/>
              <w:jc w:val="right"/>
              <w:rPr>
                <w:sz w:val="21"/>
              </w:rPr>
            </w:pPr>
            <w:r>
              <w:rPr>
                <w:sz w:val="21"/>
              </w:rPr>
              <w:t>776,341 </w:t>
            </w:r>
          </w:p>
        </w:tc>
        <w:tc>
          <w:tcPr>
            <w:tcW w:w="2648" w:type="dxa"/>
          </w:tcPr>
          <w:p>
            <w:pPr>
              <w:pStyle w:val="TableParagraph"/>
              <w:spacing w:before="1"/>
              <w:ind w:right="-15"/>
              <w:jc w:val="right"/>
              <w:rPr>
                <w:sz w:val="21"/>
              </w:rPr>
            </w:pPr>
            <w:r>
              <w:rPr>
                <w:sz w:val="21"/>
              </w:rPr>
              <w:t>922,394 </w:t>
            </w:r>
          </w:p>
        </w:tc>
      </w:tr>
      <w:tr>
        <w:trPr>
          <w:trHeight w:val="270" w:hRule="atLeast"/>
        </w:trPr>
        <w:tc>
          <w:tcPr>
            <w:tcW w:w="2110" w:type="dxa"/>
          </w:tcPr>
          <w:p>
            <w:pPr>
              <w:pStyle w:val="TableParagraph"/>
              <w:spacing w:line="250" w:lineRule="exact" w:before="1"/>
              <w:ind w:left="107"/>
              <w:rPr>
                <w:sz w:val="21"/>
              </w:rPr>
            </w:pPr>
            <w:r>
              <w:rPr>
                <w:sz w:val="21"/>
              </w:rPr>
              <w:t>其他应付款 </w:t>
            </w:r>
          </w:p>
        </w:tc>
        <w:tc>
          <w:tcPr>
            <w:tcW w:w="2033" w:type="dxa"/>
          </w:tcPr>
          <w:p>
            <w:pPr>
              <w:pStyle w:val="TableParagraph"/>
              <w:spacing w:line="250" w:lineRule="exact" w:before="1"/>
              <w:ind w:left="107"/>
              <w:rPr>
                <w:sz w:val="21"/>
              </w:rPr>
            </w:pPr>
            <w:r>
              <w:rPr>
                <w:spacing w:val="-1"/>
                <w:sz w:val="21"/>
              </w:rPr>
              <w:t>中坚公司之子公司</w:t>
            </w:r>
            <w:r>
              <w:rPr>
                <w:sz w:val="21"/>
              </w:rPr>
              <w:t> </w:t>
            </w:r>
          </w:p>
        </w:tc>
        <w:tc>
          <w:tcPr>
            <w:tcW w:w="2033" w:type="dxa"/>
          </w:tcPr>
          <w:p>
            <w:pPr>
              <w:pStyle w:val="TableParagraph"/>
              <w:spacing w:line="250" w:lineRule="exact" w:before="1"/>
              <w:ind w:right="-15"/>
              <w:jc w:val="right"/>
              <w:rPr>
                <w:sz w:val="21"/>
              </w:rPr>
            </w:pPr>
            <w:r>
              <w:rPr>
                <w:sz w:val="21"/>
              </w:rPr>
              <w:t>210,200 </w:t>
            </w:r>
          </w:p>
        </w:tc>
        <w:tc>
          <w:tcPr>
            <w:tcW w:w="2648" w:type="dxa"/>
          </w:tcPr>
          <w:p>
            <w:pPr>
              <w:pStyle w:val="TableParagraph"/>
              <w:spacing w:line="250" w:lineRule="exact" w:before="1"/>
              <w:ind w:right="-15"/>
              <w:jc w:val="right"/>
              <w:rPr>
                <w:sz w:val="21"/>
              </w:rPr>
            </w:pPr>
            <w:r>
              <w:rPr>
                <w:sz w:val="21"/>
              </w:rPr>
              <w:t>322,113 </w:t>
            </w:r>
          </w:p>
        </w:tc>
      </w:tr>
      <w:tr>
        <w:trPr>
          <w:trHeight w:val="547" w:hRule="atLeast"/>
        </w:trPr>
        <w:tc>
          <w:tcPr>
            <w:tcW w:w="2110" w:type="dxa"/>
          </w:tcPr>
          <w:p>
            <w:pPr>
              <w:pStyle w:val="TableParagraph"/>
              <w:spacing w:before="138"/>
              <w:ind w:left="107"/>
              <w:rPr>
                <w:sz w:val="21"/>
              </w:rPr>
            </w:pPr>
            <w:r>
              <w:rPr>
                <w:sz w:val="21"/>
              </w:rPr>
              <w:t>其他应付款 </w:t>
            </w:r>
          </w:p>
        </w:tc>
        <w:tc>
          <w:tcPr>
            <w:tcW w:w="2033" w:type="dxa"/>
          </w:tcPr>
          <w:p>
            <w:pPr>
              <w:pStyle w:val="TableParagraph"/>
              <w:spacing w:line="270" w:lineRule="atLeast"/>
              <w:ind w:left="107" w:right="230"/>
              <w:rPr>
                <w:sz w:val="21"/>
              </w:rPr>
            </w:pPr>
            <w:r>
              <w:rPr>
                <w:spacing w:val="-1"/>
                <w:sz w:val="21"/>
              </w:rPr>
              <w:t>鸿海精密之合(联)</w:t>
            </w:r>
            <w:r>
              <w:rPr>
                <w:spacing w:val="-102"/>
                <w:sz w:val="21"/>
              </w:rPr>
              <w:t> </w:t>
            </w:r>
            <w:r>
              <w:rPr>
                <w:sz w:val="21"/>
              </w:rPr>
              <w:t>营企业 </w:t>
            </w:r>
          </w:p>
        </w:tc>
        <w:tc>
          <w:tcPr>
            <w:tcW w:w="2033" w:type="dxa"/>
          </w:tcPr>
          <w:p>
            <w:pPr>
              <w:pStyle w:val="TableParagraph"/>
              <w:spacing w:before="3"/>
              <w:ind w:right="-15"/>
              <w:jc w:val="right"/>
              <w:rPr>
                <w:sz w:val="21"/>
              </w:rPr>
            </w:pPr>
            <w:r>
              <w:rPr>
                <w:sz w:val="21"/>
              </w:rPr>
              <w:t>129,756 </w:t>
            </w:r>
          </w:p>
        </w:tc>
        <w:tc>
          <w:tcPr>
            <w:tcW w:w="2648" w:type="dxa"/>
          </w:tcPr>
          <w:p>
            <w:pPr>
              <w:pStyle w:val="TableParagraph"/>
              <w:spacing w:before="3"/>
              <w:ind w:right="-15"/>
              <w:jc w:val="right"/>
              <w:rPr>
                <w:sz w:val="21"/>
              </w:rPr>
            </w:pPr>
            <w:r>
              <w:rPr>
                <w:sz w:val="21"/>
              </w:rPr>
              <w:t>137,213 </w:t>
            </w:r>
          </w:p>
        </w:tc>
      </w:tr>
      <w:tr>
        <w:trPr>
          <w:trHeight w:val="544" w:hRule="atLeast"/>
        </w:trPr>
        <w:tc>
          <w:tcPr>
            <w:tcW w:w="2110" w:type="dxa"/>
          </w:tcPr>
          <w:p>
            <w:pPr>
              <w:pStyle w:val="TableParagraph"/>
              <w:spacing w:before="137"/>
              <w:ind w:left="107"/>
              <w:rPr>
                <w:sz w:val="21"/>
              </w:rPr>
            </w:pPr>
            <w:r>
              <w:rPr>
                <w:sz w:val="21"/>
              </w:rPr>
              <w:t>其他应付款 </w:t>
            </w:r>
          </w:p>
        </w:tc>
        <w:tc>
          <w:tcPr>
            <w:tcW w:w="2033" w:type="dxa"/>
          </w:tcPr>
          <w:p>
            <w:pPr>
              <w:pStyle w:val="TableParagraph"/>
              <w:spacing w:before="1"/>
              <w:ind w:left="107"/>
              <w:rPr>
                <w:sz w:val="21"/>
              </w:rPr>
            </w:pPr>
            <w:r>
              <w:rPr>
                <w:spacing w:val="-1"/>
                <w:sz w:val="21"/>
              </w:rPr>
              <w:t>持有本公司</w:t>
            </w:r>
            <w:r>
              <w:rPr>
                <w:sz w:val="21"/>
              </w:rPr>
              <w:t>5%以上</w:t>
            </w:r>
          </w:p>
          <w:p>
            <w:pPr>
              <w:pStyle w:val="TableParagraph"/>
              <w:spacing w:line="252" w:lineRule="exact" w:before="2"/>
              <w:ind w:left="107"/>
              <w:rPr>
                <w:sz w:val="21"/>
              </w:rPr>
            </w:pPr>
            <w:r>
              <w:rPr>
                <w:sz w:val="21"/>
              </w:rPr>
              <w:t>股份的股东 </w:t>
            </w:r>
          </w:p>
        </w:tc>
        <w:tc>
          <w:tcPr>
            <w:tcW w:w="2033" w:type="dxa"/>
          </w:tcPr>
          <w:p>
            <w:pPr>
              <w:pStyle w:val="TableParagraph"/>
              <w:spacing w:before="1"/>
              <w:ind w:right="-15"/>
              <w:jc w:val="right"/>
              <w:rPr>
                <w:sz w:val="21"/>
              </w:rPr>
            </w:pPr>
            <w:r>
              <w:rPr>
                <w:sz w:val="21"/>
              </w:rPr>
              <w:t>88,780 </w:t>
            </w:r>
          </w:p>
        </w:tc>
        <w:tc>
          <w:tcPr>
            <w:tcW w:w="2648" w:type="dxa"/>
          </w:tcPr>
          <w:p>
            <w:pPr>
              <w:pStyle w:val="TableParagraph"/>
              <w:spacing w:before="1"/>
              <w:ind w:right="-15"/>
              <w:jc w:val="right"/>
              <w:rPr>
                <w:sz w:val="21"/>
              </w:rPr>
            </w:pPr>
            <w:r>
              <w:rPr>
                <w:sz w:val="21"/>
              </w:rPr>
              <w:t>127,328 </w:t>
            </w:r>
          </w:p>
        </w:tc>
      </w:tr>
      <w:tr>
        <w:trPr>
          <w:trHeight w:val="544" w:hRule="atLeast"/>
        </w:trPr>
        <w:tc>
          <w:tcPr>
            <w:tcW w:w="2110" w:type="dxa"/>
          </w:tcPr>
          <w:p>
            <w:pPr>
              <w:pStyle w:val="TableParagraph"/>
              <w:spacing w:before="137"/>
              <w:ind w:left="107"/>
              <w:rPr>
                <w:sz w:val="21"/>
              </w:rPr>
            </w:pPr>
            <w:r>
              <w:rPr>
                <w:sz w:val="21"/>
              </w:rPr>
              <w:t>其他应付款 </w:t>
            </w:r>
          </w:p>
        </w:tc>
        <w:tc>
          <w:tcPr>
            <w:tcW w:w="2033" w:type="dxa"/>
          </w:tcPr>
          <w:p>
            <w:pPr>
              <w:pStyle w:val="TableParagraph"/>
              <w:spacing w:before="1"/>
              <w:ind w:left="107"/>
              <w:rPr>
                <w:sz w:val="21"/>
              </w:rPr>
            </w:pPr>
            <w:r>
              <w:rPr>
                <w:spacing w:val="-1"/>
                <w:sz w:val="21"/>
              </w:rPr>
              <w:t>中坚公司之合(联)</w:t>
            </w:r>
          </w:p>
          <w:p>
            <w:pPr>
              <w:pStyle w:val="TableParagraph"/>
              <w:spacing w:line="252" w:lineRule="exact" w:before="2"/>
              <w:ind w:left="107"/>
              <w:rPr>
                <w:sz w:val="21"/>
              </w:rPr>
            </w:pPr>
            <w:r>
              <w:rPr>
                <w:sz w:val="21"/>
              </w:rPr>
              <w:t>营企业 </w:t>
            </w:r>
          </w:p>
        </w:tc>
        <w:tc>
          <w:tcPr>
            <w:tcW w:w="2033" w:type="dxa"/>
          </w:tcPr>
          <w:p>
            <w:pPr>
              <w:pStyle w:val="TableParagraph"/>
              <w:spacing w:before="1"/>
              <w:ind w:right="-15"/>
              <w:jc w:val="right"/>
              <w:rPr>
                <w:sz w:val="21"/>
              </w:rPr>
            </w:pPr>
            <w:r>
              <w:rPr>
                <w:sz w:val="21"/>
              </w:rPr>
              <w:t>66,681 </w:t>
            </w:r>
          </w:p>
        </w:tc>
        <w:tc>
          <w:tcPr>
            <w:tcW w:w="2648" w:type="dxa"/>
          </w:tcPr>
          <w:p>
            <w:pPr>
              <w:pStyle w:val="TableParagraph"/>
              <w:spacing w:before="1"/>
              <w:ind w:right="-15"/>
              <w:jc w:val="right"/>
              <w:rPr>
                <w:sz w:val="21"/>
              </w:rPr>
            </w:pPr>
            <w:r>
              <w:rPr>
                <w:sz w:val="21"/>
              </w:rPr>
              <w:t>8,925 </w:t>
            </w:r>
          </w:p>
        </w:tc>
      </w:tr>
      <w:tr>
        <w:trPr>
          <w:trHeight w:val="273" w:hRule="atLeast"/>
        </w:trPr>
        <w:tc>
          <w:tcPr>
            <w:tcW w:w="2110" w:type="dxa"/>
          </w:tcPr>
          <w:p>
            <w:pPr>
              <w:pStyle w:val="TableParagraph"/>
              <w:spacing w:line="252" w:lineRule="exact" w:before="1"/>
              <w:ind w:left="107"/>
              <w:rPr>
                <w:sz w:val="21"/>
              </w:rPr>
            </w:pPr>
            <w:r>
              <w:rPr>
                <w:sz w:val="21"/>
              </w:rPr>
              <w:t>其他应付款 </w:t>
            </w:r>
          </w:p>
        </w:tc>
        <w:tc>
          <w:tcPr>
            <w:tcW w:w="2033" w:type="dxa"/>
          </w:tcPr>
          <w:p>
            <w:pPr>
              <w:pStyle w:val="TableParagraph"/>
              <w:spacing w:line="252" w:lineRule="exact" w:before="1"/>
              <w:ind w:left="107"/>
              <w:rPr>
                <w:sz w:val="21"/>
              </w:rPr>
            </w:pPr>
            <w:r>
              <w:rPr>
                <w:sz w:val="21"/>
              </w:rPr>
              <w:t>其他关联方 </w:t>
            </w:r>
          </w:p>
        </w:tc>
        <w:tc>
          <w:tcPr>
            <w:tcW w:w="2033" w:type="dxa"/>
          </w:tcPr>
          <w:p>
            <w:pPr>
              <w:pStyle w:val="TableParagraph"/>
              <w:spacing w:line="252" w:lineRule="exact" w:before="1"/>
              <w:ind w:right="-15"/>
              <w:jc w:val="right"/>
              <w:rPr>
                <w:sz w:val="21"/>
              </w:rPr>
            </w:pPr>
            <w:r>
              <w:rPr>
                <w:sz w:val="21"/>
              </w:rPr>
              <w:t>1,373 </w:t>
            </w:r>
          </w:p>
        </w:tc>
        <w:tc>
          <w:tcPr>
            <w:tcW w:w="2648" w:type="dxa"/>
          </w:tcPr>
          <w:p>
            <w:pPr>
              <w:pStyle w:val="TableParagraph"/>
              <w:spacing w:line="252" w:lineRule="exact" w:before="1"/>
              <w:ind w:right="-15"/>
              <w:jc w:val="right"/>
              <w:rPr>
                <w:sz w:val="21"/>
              </w:rPr>
            </w:pPr>
            <w:r>
              <w:rPr>
                <w:sz w:val="21"/>
              </w:rPr>
              <w:t>2,579 </w:t>
            </w:r>
          </w:p>
        </w:tc>
      </w:tr>
      <w:tr>
        <w:trPr>
          <w:trHeight w:val="544" w:hRule="atLeast"/>
        </w:trPr>
        <w:tc>
          <w:tcPr>
            <w:tcW w:w="2110" w:type="dxa"/>
          </w:tcPr>
          <w:p>
            <w:pPr>
              <w:pStyle w:val="TableParagraph"/>
              <w:spacing w:before="135"/>
              <w:ind w:left="107"/>
              <w:rPr>
                <w:sz w:val="21"/>
              </w:rPr>
            </w:pPr>
            <w:r>
              <w:rPr>
                <w:spacing w:val="-1"/>
                <w:sz w:val="21"/>
              </w:rPr>
              <w:t>租赁负债</w:t>
            </w:r>
            <w:r>
              <w:rPr>
                <w:sz w:val="21"/>
              </w:rPr>
              <w:t> </w:t>
            </w:r>
          </w:p>
        </w:tc>
        <w:tc>
          <w:tcPr>
            <w:tcW w:w="2033" w:type="dxa"/>
          </w:tcPr>
          <w:p>
            <w:pPr>
              <w:pStyle w:val="TableParagraph"/>
              <w:spacing w:before="1"/>
              <w:ind w:left="107"/>
              <w:rPr>
                <w:sz w:val="21"/>
              </w:rPr>
            </w:pPr>
            <w:r>
              <w:rPr>
                <w:sz w:val="21"/>
              </w:rPr>
              <w:t>鸿海精密及其子公</w:t>
            </w:r>
          </w:p>
          <w:p>
            <w:pPr>
              <w:pStyle w:val="TableParagraph"/>
              <w:spacing w:line="252" w:lineRule="exact" w:before="2"/>
              <w:ind w:left="107"/>
              <w:rPr>
                <w:sz w:val="21"/>
              </w:rPr>
            </w:pPr>
            <w:r>
              <w:rPr>
                <w:sz w:val="21"/>
              </w:rPr>
              <w:t>司 </w:t>
            </w:r>
          </w:p>
        </w:tc>
        <w:tc>
          <w:tcPr>
            <w:tcW w:w="2033" w:type="dxa"/>
          </w:tcPr>
          <w:p>
            <w:pPr>
              <w:pStyle w:val="TableParagraph"/>
              <w:spacing w:before="1"/>
              <w:ind w:right="-15"/>
              <w:jc w:val="right"/>
              <w:rPr>
                <w:sz w:val="21"/>
              </w:rPr>
            </w:pPr>
            <w:r>
              <w:rPr>
                <w:sz w:val="21"/>
              </w:rPr>
              <w:t>318,082 </w:t>
            </w:r>
          </w:p>
        </w:tc>
        <w:tc>
          <w:tcPr>
            <w:tcW w:w="2648" w:type="dxa"/>
          </w:tcPr>
          <w:p>
            <w:pPr>
              <w:pStyle w:val="TableParagraph"/>
              <w:spacing w:before="1"/>
              <w:ind w:right="-15"/>
              <w:jc w:val="right"/>
              <w:rPr>
                <w:sz w:val="21"/>
              </w:rPr>
            </w:pPr>
            <w:r>
              <w:rPr>
                <w:sz w:val="21"/>
              </w:rPr>
              <w:t>355,493 </w:t>
            </w:r>
          </w:p>
        </w:tc>
      </w:tr>
      <w:tr>
        <w:trPr>
          <w:trHeight w:val="544" w:hRule="atLeast"/>
        </w:trPr>
        <w:tc>
          <w:tcPr>
            <w:tcW w:w="2110" w:type="dxa"/>
          </w:tcPr>
          <w:p>
            <w:pPr>
              <w:pStyle w:val="TableParagraph"/>
              <w:spacing w:before="138"/>
              <w:ind w:left="107"/>
              <w:rPr>
                <w:sz w:val="21"/>
              </w:rPr>
            </w:pPr>
            <w:r>
              <w:rPr>
                <w:spacing w:val="-1"/>
                <w:sz w:val="21"/>
              </w:rPr>
              <w:t>租赁负债</w:t>
            </w:r>
            <w:r>
              <w:rPr>
                <w:sz w:val="21"/>
              </w:rPr>
              <w:t> </w:t>
            </w:r>
          </w:p>
        </w:tc>
        <w:tc>
          <w:tcPr>
            <w:tcW w:w="2033" w:type="dxa"/>
          </w:tcPr>
          <w:p>
            <w:pPr>
              <w:pStyle w:val="TableParagraph"/>
              <w:spacing w:before="1"/>
              <w:ind w:left="107"/>
              <w:rPr>
                <w:sz w:val="21"/>
              </w:rPr>
            </w:pPr>
            <w:r>
              <w:rPr>
                <w:spacing w:val="-1"/>
                <w:sz w:val="21"/>
              </w:rPr>
              <w:t>中坚公司之合(联)</w:t>
            </w:r>
          </w:p>
          <w:p>
            <w:pPr>
              <w:pStyle w:val="TableParagraph"/>
              <w:spacing w:line="252" w:lineRule="exact" w:before="2"/>
              <w:ind w:left="107"/>
              <w:rPr>
                <w:sz w:val="21"/>
              </w:rPr>
            </w:pPr>
            <w:r>
              <w:rPr>
                <w:sz w:val="21"/>
              </w:rPr>
              <w:t>营企业 </w:t>
            </w:r>
          </w:p>
        </w:tc>
        <w:tc>
          <w:tcPr>
            <w:tcW w:w="2033" w:type="dxa"/>
          </w:tcPr>
          <w:p>
            <w:pPr>
              <w:pStyle w:val="TableParagraph"/>
              <w:spacing w:before="1"/>
              <w:ind w:right="-15"/>
              <w:jc w:val="right"/>
              <w:rPr>
                <w:sz w:val="21"/>
              </w:rPr>
            </w:pPr>
            <w:r>
              <w:rPr>
                <w:sz w:val="21"/>
              </w:rPr>
              <w:t>170,918 </w:t>
            </w:r>
          </w:p>
        </w:tc>
        <w:tc>
          <w:tcPr>
            <w:tcW w:w="2648" w:type="dxa"/>
          </w:tcPr>
          <w:p>
            <w:pPr>
              <w:pStyle w:val="TableParagraph"/>
              <w:spacing w:before="1"/>
              <w:ind w:right="-15"/>
              <w:jc w:val="right"/>
              <w:rPr>
                <w:sz w:val="21"/>
              </w:rPr>
            </w:pPr>
            <w:r>
              <w:rPr>
                <w:sz w:val="21"/>
              </w:rPr>
              <w:t>289,883 </w:t>
            </w:r>
          </w:p>
        </w:tc>
      </w:tr>
      <w:tr>
        <w:trPr>
          <w:trHeight w:val="270" w:hRule="atLeast"/>
        </w:trPr>
        <w:tc>
          <w:tcPr>
            <w:tcW w:w="2110" w:type="dxa"/>
          </w:tcPr>
          <w:p>
            <w:pPr>
              <w:pStyle w:val="TableParagraph"/>
              <w:spacing w:line="250" w:lineRule="exact" w:before="1"/>
              <w:ind w:left="107"/>
              <w:rPr>
                <w:sz w:val="21"/>
              </w:rPr>
            </w:pPr>
            <w:r>
              <w:rPr>
                <w:spacing w:val="-1"/>
                <w:sz w:val="21"/>
              </w:rPr>
              <w:t>租赁负债</w:t>
            </w:r>
            <w:r>
              <w:rPr>
                <w:sz w:val="21"/>
              </w:rPr>
              <w:t> </w:t>
            </w:r>
          </w:p>
        </w:tc>
        <w:tc>
          <w:tcPr>
            <w:tcW w:w="2033" w:type="dxa"/>
          </w:tcPr>
          <w:p>
            <w:pPr>
              <w:pStyle w:val="TableParagraph"/>
              <w:spacing w:line="250" w:lineRule="exact" w:before="1"/>
              <w:ind w:left="107"/>
              <w:rPr>
                <w:sz w:val="21"/>
              </w:rPr>
            </w:pPr>
            <w:r>
              <w:rPr>
                <w:spacing w:val="-1"/>
                <w:sz w:val="21"/>
              </w:rPr>
              <w:t>中坚公司之子公司</w:t>
            </w:r>
            <w:r>
              <w:rPr>
                <w:sz w:val="21"/>
              </w:rPr>
              <w:t> </w:t>
            </w:r>
          </w:p>
        </w:tc>
        <w:tc>
          <w:tcPr>
            <w:tcW w:w="2033" w:type="dxa"/>
          </w:tcPr>
          <w:p>
            <w:pPr>
              <w:pStyle w:val="TableParagraph"/>
              <w:spacing w:line="250" w:lineRule="exact" w:before="1"/>
              <w:ind w:right="-15"/>
              <w:jc w:val="right"/>
              <w:rPr>
                <w:sz w:val="21"/>
              </w:rPr>
            </w:pPr>
            <w:r>
              <w:rPr>
                <w:sz w:val="21"/>
              </w:rPr>
              <w:t>108,315 </w:t>
            </w:r>
          </w:p>
        </w:tc>
        <w:tc>
          <w:tcPr>
            <w:tcW w:w="2648" w:type="dxa"/>
          </w:tcPr>
          <w:p>
            <w:pPr>
              <w:pStyle w:val="TableParagraph"/>
              <w:spacing w:line="250" w:lineRule="exact" w:before="1"/>
              <w:ind w:right="-15"/>
              <w:jc w:val="right"/>
              <w:rPr>
                <w:sz w:val="21"/>
              </w:rPr>
            </w:pPr>
            <w:r>
              <w:rPr>
                <w:sz w:val="21"/>
              </w:rPr>
              <w:t>31,692 </w:t>
            </w:r>
          </w:p>
        </w:tc>
      </w:tr>
      <w:tr>
        <w:trPr>
          <w:trHeight w:val="547" w:hRule="atLeast"/>
        </w:trPr>
        <w:tc>
          <w:tcPr>
            <w:tcW w:w="2110" w:type="dxa"/>
          </w:tcPr>
          <w:p>
            <w:pPr>
              <w:pStyle w:val="TableParagraph"/>
              <w:spacing w:before="137"/>
              <w:ind w:left="107"/>
              <w:rPr>
                <w:sz w:val="21"/>
              </w:rPr>
            </w:pPr>
            <w:r>
              <w:rPr>
                <w:spacing w:val="-1"/>
                <w:sz w:val="21"/>
              </w:rPr>
              <w:t>租赁负债</w:t>
            </w:r>
            <w:r>
              <w:rPr>
                <w:sz w:val="21"/>
              </w:rPr>
              <w:t> </w:t>
            </w:r>
          </w:p>
        </w:tc>
        <w:tc>
          <w:tcPr>
            <w:tcW w:w="2033" w:type="dxa"/>
          </w:tcPr>
          <w:p>
            <w:pPr>
              <w:pStyle w:val="TableParagraph"/>
              <w:spacing w:line="270" w:lineRule="atLeast"/>
              <w:ind w:left="107" w:right="233"/>
              <w:rPr>
                <w:sz w:val="21"/>
              </w:rPr>
            </w:pPr>
            <w:r>
              <w:rPr>
                <w:spacing w:val="-1"/>
                <w:sz w:val="21"/>
              </w:rPr>
              <w:t>持有本公司</w:t>
            </w:r>
            <w:r>
              <w:rPr>
                <w:sz w:val="21"/>
              </w:rPr>
              <w:t>5%以上股份的股东 </w:t>
            </w:r>
          </w:p>
        </w:tc>
        <w:tc>
          <w:tcPr>
            <w:tcW w:w="2033" w:type="dxa"/>
          </w:tcPr>
          <w:p>
            <w:pPr>
              <w:pStyle w:val="TableParagraph"/>
              <w:spacing w:before="3"/>
              <w:ind w:right="-15"/>
              <w:jc w:val="right"/>
              <w:rPr>
                <w:sz w:val="21"/>
              </w:rPr>
            </w:pPr>
            <w:r>
              <w:rPr>
                <w:sz w:val="21"/>
              </w:rPr>
              <w:t>86,307 </w:t>
            </w:r>
          </w:p>
        </w:tc>
        <w:tc>
          <w:tcPr>
            <w:tcW w:w="2648" w:type="dxa"/>
          </w:tcPr>
          <w:p>
            <w:pPr>
              <w:pStyle w:val="TableParagraph"/>
              <w:spacing w:before="3"/>
              <w:ind w:right="-15"/>
              <w:jc w:val="right"/>
              <w:rPr>
                <w:sz w:val="21"/>
              </w:rPr>
            </w:pPr>
            <w:r>
              <w:rPr>
                <w:sz w:val="21"/>
              </w:rPr>
              <w:t>109,053 </w:t>
            </w:r>
          </w:p>
        </w:tc>
      </w:tr>
      <w:tr>
        <w:trPr>
          <w:trHeight w:val="544" w:hRule="atLeast"/>
        </w:trPr>
        <w:tc>
          <w:tcPr>
            <w:tcW w:w="2110" w:type="dxa"/>
          </w:tcPr>
          <w:p>
            <w:pPr>
              <w:pStyle w:val="TableParagraph"/>
              <w:spacing w:before="135"/>
              <w:ind w:left="107"/>
              <w:rPr>
                <w:sz w:val="21"/>
              </w:rPr>
            </w:pPr>
            <w:r>
              <w:rPr>
                <w:spacing w:val="-1"/>
                <w:sz w:val="21"/>
              </w:rPr>
              <w:t>租赁负债</w:t>
            </w:r>
            <w:r>
              <w:rPr>
                <w:sz w:val="21"/>
              </w:rPr>
              <w:t> </w:t>
            </w:r>
          </w:p>
        </w:tc>
        <w:tc>
          <w:tcPr>
            <w:tcW w:w="2033" w:type="dxa"/>
          </w:tcPr>
          <w:p>
            <w:pPr>
              <w:pStyle w:val="TableParagraph"/>
              <w:spacing w:before="1"/>
              <w:ind w:left="107"/>
              <w:rPr>
                <w:sz w:val="21"/>
              </w:rPr>
            </w:pPr>
            <w:r>
              <w:rPr>
                <w:spacing w:val="-1"/>
                <w:sz w:val="21"/>
              </w:rPr>
              <w:t>鸿海精密之合(联)</w:t>
            </w:r>
          </w:p>
          <w:p>
            <w:pPr>
              <w:pStyle w:val="TableParagraph"/>
              <w:spacing w:line="252" w:lineRule="exact" w:before="2"/>
              <w:ind w:left="107"/>
              <w:rPr>
                <w:sz w:val="21"/>
              </w:rPr>
            </w:pPr>
            <w:r>
              <w:rPr>
                <w:sz w:val="21"/>
              </w:rPr>
              <w:t>营企业 </w:t>
            </w:r>
          </w:p>
        </w:tc>
        <w:tc>
          <w:tcPr>
            <w:tcW w:w="2033" w:type="dxa"/>
          </w:tcPr>
          <w:p>
            <w:pPr>
              <w:pStyle w:val="TableParagraph"/>
              <w:spacing w:before="1"/>
              <w:ind w:right="-15"/>
              <w:jc w:val="right"/>
              <w:rPr>
                <w:sz w:val="21"/>
              </w:rPr>
            </w:pPr>
            <w:r>
              <w:rPr>
                <w:sz w:val="21"/>
              </w:rPr>
              <w:t>10,592 </w:t>
            </w:r>
          </w:p>
        </w:tc>
        <w:tc>
          <w:tcPr>
            <w:tcW w:w="2648" w:type="dxa"/>
          </w:tcPr>
          <w:p>
            <w:pPr>
              <w:pStyle w:val="TableParagraph"/>
              <w:spacing w:before="1"/>
              <w:ind w:right="-15"/>
              <w:jc w:val="right"/>
              <w:rPr>
                <w:sz w:val="21"/>
              </w:rPr>
            </w:pPr>
            <w:r>
              <w:rPr>
                <w:sz w:val="21"/>
              </w:rPr>
              <w:t>12,778 </w:t>
            </w:r>
          </w:p>
        </w:tc>
      </w:tr>
    </w:tbl>
    <w:p>
      <w:pPr>
        <w:pStyle w:val="BodyText"/>
        <w:ind w:left="0"/>
        <w:rPr>
          <w:sz w:val="20"/>
        </w:rPr>
      </w:pPr>
    </w:p>
    <w:p>
      <w:pPr>
        <w:pStyle w:val="BodyText"/>
        <w:spacing w:before="9"/>
        <w:ind w:left="0"/>
      </w:pPr>
    </w:p>
    <w:p>
      <w:pPr>
        <w:pStyle w:val="BodyText"/>
        <w:spacing w:before="71"/>
      </w:pPr>
      <w:r>
        <w:rPr/>
        <w:t>7、 关联方承诺</w:t>
      </w:r>
    </w:p>
    <w:p>
      <w:pPr>
        <w:pStyle w:val="BodyText"/>
        <w:spacing w:before="63"/>
      </w:pPr>
      <w:r>
        <w:rPr>
          <w:spacing w:val="11"/>
        </w:rPr>
        <w:t>√适用 □不适用</w:t>
      </w:r>
      <w:r>
        <w:rPr>
          <w:spacing w:val="-3"/>
        </w:rPr>
        <w:t> </w:t>
      </w:r>
      <w:r>
        <w:rPr/>
        <w:t> </w:t>
      </w:r>
    </w:p>
    <w:p>
      <w:pPr>
        <w:pStyle w:val="BodyText"/>
        <w:spacing w:before="4" w:after="5"/>
      </w:pPr>
      <w:r>
        <w:rPr>
          <w:w w:val="100"/>
        </w:rPr>
        <w:t> </w:t>
      </w: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6"/>
        <w:gridCol w:w="1054"/>
      </w:tblGrid>
      <w:tr>
        <w:trPr>
          <w:trHeight w:val="270" w:hRule="atLeast"/>
        </w:trPr>
        <w:tc>
          <w:tcPr>
            <w:tcW w:w="666" w:type="dxa"/>
          </w:tcPr>
          <w:p>
            <w:pPr>
              <w:pStyle w:val="TableParagraph"/>
              <w:spacing w:line="250" w:lineRule="exact"/>
              <w:ind w:left="200"/>
              <w:rPr>
                <w:rFonts w:ascii="Arial MT"/>
                <w:sz w:val="24"/>
              </w:rPr>
            </w:pPr>
            <w:r>
              <w:rPr>
                <w:rFonts w:ascii="Arial MT"/>
                <w:sz w:val="24"/>
              </w:rPr>
              <w:t>(i)</w:t>
            </w:r>
          </w:p>
        </w:tc>
        <w:tc>
          <w:tcPr>
            <w:tcW w:w="1054" w:type="dxa"/>
          </w:tcPr>
          <w:p>
            <w:pPr>
              <w:pStyle w:val="TableParagraph"/>
              <w:spacing w:line="250" w:lineRule="exact"/>
              <w:ind w:left="253"/>
              <w:rPr>
                <w:sz w:val="24"/>
              </w:rPr>
            </w:pPr>
            <w:r>
              <w:rPr>
                <w:sz w:val="24"/>
              </w:rPr>
              <w:t>租赁 </w:t>
            </w:r>
          </w:p>
        </w:tc>
      </w:tr>
    </w:tbl>
    <w:p>
      <w:pPr>
        <w:pStyle w:val="BodyText"/>
        <w:spacing w:before="39"/>
      </w:pPr>
      <w:r>
        <w:rPr>
          <w:w w:val="100"/>
        </w:rPr>
        <w:t> </w:t>
      </w:r>
    </w:p>
    <w:p>
      <w:pPr>
        <w:spacing w:after="0"/>
        <w:sectPr>
          <w:pgSz w:w="11910" w:h="16840"/>
          <w:pgMar w:header="882" w:footer="1184" w:top="1120" w:bottom="1380" w:left="1480" w:right="0"/>
        </w:sectPr>
      </w:pPr>
    </w:p>
    <w:p>
      <w:pPr>
        <w:pStyle w:val="BodyText"/>
        <w:ind w:left="0"/>
        <w:rPr>
          <w:sz w:val="20"/>
        </w:rPr>
      </w:pPr>
      <w:r>
        <w:rPr/>
        <w:pict>
          <v:shape style="position:absolute;margin-left:115.900002pt;margin-top:55.919983pt;width:416.2pt;height:85.85pt;mso-position-horizontal-relative:page;mso-position-vertical-relative:page;z-index:157378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44"/>
                    <w:gridCol w:w="2097"/>
                    <w:gridCol w:w="2170"/>
                    <w:gridCol w:w="1812"/>
                  </w:tblGrid>
                  <w:tr>
                    <w:trPr>
                      <w:trHeight w:val="1048" w:hRule="atLeast"/>
                    </w:trPr>
                    <w:tc>
                      <w:tcPr>
                        <w:tcW w:w="2244" w:type="dxa"/>
                      </w:tcPr>
                      <w:p>
                        <w:pPr>
                          <w:pStyle w:val="TableParagraph"/>
                          <w:rPr>
                            <w:sz w:val="20"/>
                          </w:rPr>
                        </w:pPr>
                      </w:p>
                      <w:p>
                        <w:pPr>
                          <w:pStyle w:val="TableParagraph"/>
                          <w:rPr>
                            <w:sz w:val="20"/>
                          </w:rPr>
                        </w:pPr>
                      </w:p>
                      <w:p>
                        <w:pPr>
                          <w:pStyle w:val="TableParagraph"/>
                          <w:spacing w:before="154"/>
                          <w:ind w:left="200"/>
                          <w:rPr>
                            <w:sz w:val="20"/>
                          </w:rPr>
                        </w:pPr>
                        <w:r>
                          <w:rPr>
                            <w:w w:val="95"/>
                            <w:sz w:val="20"/>
                          </w:rPr>
                          <w:t>出租方</w:t>
                        </w:r>
                      </w:p>
                    </w:tc>
                    <w:tc>
                      <w:tcPr>
                        <w:tcW w:w="2097" w:type="dxa"/>
                      </w:tcPr>
                      <w:p>
                        <w:pPr>
                          <w:pStyle w:val="TableParagraph"/>
                          <w:rPr>
                            <w:rFonts w:ascii="Times New Roman"/>
                            <w:sz w:val="20"/>
                          </w:rPr>
                        </w:pPr>
                      </w:p>
                    </w:tc>
                    <w:tc>
                      <w:tcPr>
                        <w:tcW w:w="2170" w:type="dxa"/>
                      </w:tcPr>
                      <w:p>
                        <w:pPr>
                          <w:pStyle w:val="TableParagraph"/>
                          <w:spacing w:before="10"/>
                          <w:rPr>
                            <w:sz w:val="31"/>
                          </w:rPr>
                        </w:pPr>
                      </w:p>
                      <w:p>
                        <w:pPr>
                          <w:pStyle w:val="TableParagraph"/>
                          <w:ind w:right="612"/>
                          <w:jc w:val="right"/>
                          <w:rPr>
                            <w:sz w:val="20"/>
                          </w:rPr>
                        </w:pPr>
                        <w:r>
                          <w:rPr>
                            <w:rFonts w:ascii="Arial MT" w:eastAsia="Arial MT"/>
                            <w:w w:val="95"/>
                            <w:sz w:val="20"/>
                          </w:rPr>
                          <w:t>2022</w:t>
                        </w:r>
                        <w:r>
                          <w:rPr>
                            <w:rFonts w:ascii="Arial MT" w:eastAsia="Arial MT"/>
                            <w:spacing w:val="19"/>
                            <w:w w:val="95"/>
                            <w:sz w:val="20"/>
                          </w:rPr>
                          <w:t> </w:t>
                        </w:r>
                        <w:r>
                          <w:rPr>
                            <w:w w:val="95"/>
                            <w:sz w:val="20"/>
                          </w:rPr>
                          <w:t>年</w:t>
                        </w:r>
                      </w:p>
                      <w:p>
                        <w:pPr>
                          <w:pStyle w:val="TableParagraph"/>
                          <w:spacing w:before="3"/>
                          <w:ind w:right="612"/>
                          <w:jc w:val="right"/>
                          <w:rPr>
                            <w:sz w:val="20"/>
                          </w:rPr>
                        </w:pPr>
                        <w:r>
                          <w:rPr>
                            <w:rFonts w:ascii="Arial MT" w:eastAsia="Arial MT"/>
                            <w:w w:val="95"/>
                            <w:sz w:val="20"/>
                          </w:rPr>
                          <w:t>12</w:t>
                        </w:r>
                        <w:r>
                          <w:rPr>
                            <w:rFonts w:ascii="Arial MT" w:eastAsia="Arial MT"/>
                            <w:spacing w:val="1"/>
                            <w:w w:val="95"/>
                            <w:sz w:val="20"/>
                          </w:rPr>
                          <w:t> </w:t>
                        </w:r>
                        <w:r>
                          <w:rPr>
                            <w:spacing w:val="-15"/>
                            <w:w w:val="95"/>
                            <w:sz w:val="20"/>
                          </w:rPr>
                          <w:t>月 </w:t>
                        </w:r>
                        <w:r>
                          <w:rPr>
                            <w:rFonts w:ascii="Arial MT" w:eastAsia="Arial MT"/>
                            <w:w w:val="95"/>
                            <w:sz w:val="20"/>
                          </w:rPr>
                          <w:t>31</w:t>
                        </w:r>
                        <w:r>
                          <w:rPr>
                            <w:rFonts w:ascii="Arial MT" w:eastAsia="Arial MT"/>
                            <w:spacing w:val="4"/>
                            <w:w w:val="95"/>
                            <w:sz w:val="20"/>
                          </w:rPr>
                          <w:t> </w:t>
                        </w:r>
                        <w:r>
                          <w:rPr>
                            <w:w w:val="95"/>
                            <w:sz w:val="20"/>
                          </w:rPr>
                          <w:t>日</w:t>
                        </w:r>
                      </w:p>
                    </w:tc>
                    <w:tc>
                      <w:tcPr>
                        <w:tcW w:w="1812" w:type="dxa"/>
                      </w:tcPr>
                      <w:p>
                        <w:pPr>
                          <w:pStyle w:val="TableParagraph"/>
                          <w:spacing w:before="10"/>
                          <w:rPr>
                            <w:sz w:val="31"/>
                          </w:rPr>
                        </w:pPr>
                      </w:p>
                      <w:p>
                        <w:pPr>
                          <w:pStyle w:val="TableParagraph"/>
                          <w:ind w:right="213"/>
                          <w:jc w:val="right"/>
                          <w:rPr>
                            <w:sz w:val="20"/>
                          </w:rPr>
                        </w:pPr>
                        <w:r>
                          <w:rPr>
                            <w:rFonts w:ascii="Arial MT" w:eastAsia="Arial MT"/>
                            <w:w w:val="95"/>
                            <w:sz w:val="20"/>
                          </w:rPr>
                          <w:t>2021</w:t>
                        </w:r>
                        <w:r>
                          <w:rPr>
                            <w:rFonts w:ascii="Arial MT" w:eastAsia="Arial MT"/>
                            <w:spacing w:val="19"/>
                            <w:w w:val="95"/>
                            <w:sz w:val="20"/>
                          </w:rPr>
                          <w:t> </w:t>
                        </w:r>
                        <w:r>
                          <w:rPr>
                            <w:w w:val="95"/>
                            <w:sz w:val="20"/>
                          </w:rPr>
                          <w:t>年</w:t>
                        </w:r>
                      </w:p>
                      <w:p>
                        <w:pPr>
                          <w:pStyle w:val="TableParagraph"/>
                          <w:spacing w:before="3"/>
                          <w:ind w:right="213"/>
                          <w:jc w:val="right"/>
                          <w:rPr>
                            <w:sz w:val="20"/>
                          </w:rPr>
                        </w:pPr>
                        <w:r>
                          <w:rPr>
                            <w:rFonts w:ascii="Arial MT" w:eastAsia="Arial MT"/>
                            <w:w w:val="95"/>
                            <w:sz w:val="20"/>
                          </w:rPr>
                          <w:t>12</w:t>
                        </w:r>
                        <w:r>
                          <w:rPr>
                            <w:rFonts w:ascii="Arial MT" w:eastAsia="Arial MT"/>
                            <w:spacing w:val="1"/>
                            <w:w w:val="95"/>
                            <w:sz w:val="20"/>
                          </w:rPr>
                          <w:t> </w:t>
                        </w:r>
                        <w:r>
                          <w:rPr>
                            <w:spacing w:val="-15"/>
                            <w:w w:val="95"/>
                            <w:sz w:val="20"/>
                          </w:rPr>
                          <w:t>月 </w:t>
                        </w:r>
                        <w:r>
                          <w:rPr>
                            <w:rFonts w:ascii="Arial MT" w:eastAsia="Arial MT"/>
                            <w:w w:val="95"/>
                            <w:sz w:val="20"/>
                          </w:rPr>
                          <w:t>31</w:t>
                        </w:r>
                        <w:r>
                          <w:rPr>
                            <w:rFonts w:ascii="Arial MT" w:eastAsia="Arial MT"/>
                            <w:spacing w:val="4"/>
                            <w:w w:val="95"/>
                            <w:sz w:val="20"/>
                          </w:rPr>
                          <w:t> </w:t>
                        </w:r>
                        <w:r>
                          <w:rPr>
                            <w:w w:val="95"/>
                            <w:sz w:val="20"/>
                          </w:rPr>
                          <w:t>日</w:t>
                        </w:r>
                      </w:p>
                    </w:tc>
                  </w:tr>
                  <w:tr>
                    <w:trPr>
                      <w:trHeight w:val="384" w:hRule="atLeast"/>
                    </w:trPr>
                    <w:tc>
                      <w:tcPr>
                        <w:tcW w:w="2244" w:type="dxa"/>
                      </w:tcPr>
                      <w:p>
                        <w:pPr>
                          <w:pStyle w:val="TableParagraph"/>
                          <w:spacing w:line="245" w:lineRule="exact" w:before="120"/>
                          <w:ind w:left="200"/>
                          <w:rPr>
                            <w:sz w:val="20"/>
                          </w:rPr>
                        </w:pPr>
                        <w:r>
                          <w:rPr>
                            <w:w w:val="95"/>
                            <w:sz w:val="20"/>
                          </w:rPr>
                          <w:t>鸿海精密及其子公司</w:t>
                        </w:r>
                      </w:p>
                    </w:tc>
                    <w:tc>
                      <w:tcPr>
                        <w:tcW w:w="2097" w:type="dxa"/>
                      </w:tcPr>
                      <w:p>
                        <w:pPr>
                          <w:pStyle w:val="TableParagraph"/>
                          <w:spacing w:line="245" w:lineRule="exact" w:before="120"/>
                          <w:ind w:left="246"/>
                          <w:rPr>
                            <w:sz w:val="20"/>
                          </w:rPr>
                        </w:pPr>
                        <w:r>
                          <w:rPr>
                            <w:w w:val="95"/>
                            <w:sz w:val="20"/>
                          </w:rPr>
                          <w:t>租赁</w:t>
                        </w:r>
                        <w:r>
                          <w:rPr>
                            <w:rFonts w:ascii="Arial MT" w:eastAsia="Arial MT"/>
                            <w:w w:val="95"/>
                            <w:sz w:val="20"/>
                          </w:rPr>
                          <w:t>-</w:t>
                        </w:r>
                        <w:r>
                          <w:rPr>
                            <w:w w:val="95"/>
                            <w:sz w:val="20"/>
                          </w:rPr>
                          <w:t>租入</w:t>
                        </w:r>
                      </w:p>
                    </w:tc>
                    <w:tc>
                      <w:tcPr>
                        <w:tcW w:w="2170" w:type="dxa"/>
                      </w:tcPr>
                      <w:p>
                        <w:pPr>
                          <w:pStyle w:val="TableParagraph"/>
                          <w:rPr>
                            <w:rFonts w:ascii="Times New Roman"/>
                            <w:sz w:val="20"/>
                          </w:rPr>
                        </w:pPr>
                      </w:p>
                    </w:tc>
                    <w:tc>
                      <w:tcPr>
                        <w:tcW w:w="1812" w:type="dxa"/>
                      </w:tcPr>
                      <w:p>
                        <w:pPr>
                          <w:pStyle w:val="TableParagraph"/>
                          <w:rPr>
                            <w:rFonts w:ascii="Times New Roman"/>
                            <w:sz w:val="20"/>
                          </w:rPr>
                        </w:pPr>
                      </w:p>
                    </w:tc>
                  </w:tr>
                  <w:tr>
                    <w:trPr>
                      <w:trHeight w:val="282" w:hRule="atLeast"/>
                    </w:trPr>
                    <w:tc>
                      <w:tcPr>
                        <w:tcW w:w="2244" w:type="dxa"/>
                      </w:tcPr>
                      <w:p>
                        <w:pPr>
                          <w:pStyle w:val="TableParagraph"/>
                          <w:rPr>
                            <w:rFonts w:ascii="Times New Roman"/>
                            <w:sz w:val="20"/>
                          </w:rPr>
                        </w:pPr>
                      </w:p>
                    </w:tc>
                    <w:tc>
                      <w:tcPr>
                        <w:tcW w:w="2097" w:type="dxa"/>
                      </w:tcPr>
                      <w:p>
                        <w:pPr>
                          <w:pStyle w:val="TableParagraph"/>
                          <w:spacing w:line="250" w:lineRule="exact"/>
                          <w:ind w:left="246"/>
                          <w:rPr>
                            <w:sz w:val="20"/>
                          </w:rPr>
                        </w:pPr>
                        <w:r>
                          <w:rPr>
                            <w:w w:val="95"/>
                            <w:sz w:val="20"/>
                          </w:rPr>
                          <w:t>一年以内</w:t>
                        </w:r>
                      </w:p>
                    </w:tc>
                    <w:tc>
                      <w:tcPr>
                        <w:tcW w:w="2170" w:type="dxa"/>
                      </w:tcPr>
                      <w:p>
                        <w:pPr>
                          <w:pStyle w:val="TableParagraph"/>
                          <w:spacing w:before="18"/>
                          <w:ind w:left="1053"/>
                          <w:rPr>
                            <w:rFonts w:ascii="Arial MT"/>
                            <w:sz w:val="20"/>
                          </w:rPr>
                        </w:pPr>
                        <w:r>
                          <w:rPr>
                            <w:rFonts w:ascii="Arial MT"/>
                            <w:sz w:val="20"/>
                          </w:rPr>
                          <w:t>5,563</w:t>
                        </w:r>
                      </w:p>
                    </w:tc>
                    <w:tc>
                      <w:tcPr>
                        <w:tcW w:w="1812" w:type="dxa"/>
                      </w:tcPr>
                      <w:p>
                        <w:pPr>
                          <w:pStyle w:val="TableParagraph"/>
                          <w:spacing w:before="18"/>
                          <w:ind w:left="1094"/>
                          <w:rPr>
                            <w:rFonts w:ascii="Arial MT"/>
                            <w:sz w:val="20"/>
                          </w:rPr>
                        </w:pPr>
                        <w:r>
                          <w:rPr>
                            <w:rFonts w:ascii="Arial MT"/>
                            <w:sz w:val="20"/>
                          </w:rPr>
                          <w:t>1,215</w:t>
                        </w:r>
                      </w:p>
                    </w:tc>
                  </w:tr>
                </w:tbl>
                <w:p>
                  <w:pPr>
                    <w:pStyle w:val="BodyText"/>
                    <w:ind w:left="0"/>
                  </w:pPr>
                </w:p>
              </w:txbxContent>
            </v:textbox>
            <w10:wrap type="none"/>
          </v:shape>
        </w:pic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0"/>
        <w:ind w:left="0"/>
        <w:rPr>
          <w:sz w:val="12"/>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3"/>
        <w:gridCol w:w="2439"/>
        <w:gridCol w:w="1597"/>
        <w:gridCol w:w="2000"/>
        <w:gridCol w:w="212"/>
        <w:gridCol w:w="2000"/>
      </w:tblGrid>
      <w:tr>
        <w:trPr>
          <w:trHeight w:val="532" w:hRule="atLeast"/>
        </w:trPr>
        <w:tc>
          <w:tcPr>
            <w:tcW w:w="543" w:type="dxa"/>
          </w:tcPr>
          <w:p>
            <w:pPr>
              <w:pStyle w:val="TableParagraph"/>
              <w:ind w:left="50"/>
              <w:rPr>
                <w:sz w:val="21"/>
              </w:rPr>
            </w:pPr>
            <w:r>
              <w:rPr>
                <w:w w:val="100"/>
                <w:sz w:val="21"/>
              </w:rPr>
              <w:t> </w:t>
            </w:r>
          </w:p>
        </w:tc>
        <w:tc>
          <w:tcPr>
            <w:tcW w:w="2439" w:type="dxa"/>
          </w:tcPr>
          <w:p>
            <w:pPr>
              <w:pStyle w:val="TableParagraph"/>
              <w:rPr>
                <w:rFonts w:ascii="Times New Roman"/>
                <w:sz w:val="20"/>
              </w:rPr>
            </w:pPr>
          </w:p>
        </w:tc>
        <w:tc>
          <w:tcPr>
            <w:tcW w:w="1597" w:type="dxa"/>
          </w:tcPr>
          <w:p>
            <w:pPr>
              <w:pStyle w:val="TableParagraph"/>
              <w:rPr>
                <w:rFonts w:ascii="Times New Roman"/>
                <w:sz w:val="20"/>
              </w:rPr>
            </w:pPr>
          </w:p>
        </w:tc>
        <w:tc>
          <w:tcPr>
            <w:tcW w:w="2000" w:type="dxa"/>
            <w:tcBorders>
              <w:top w:val="single" w:sz="12" w:space="0" w:color="000000"/>
            </w:tcBorders>
          </w:tcPr>
          <w:p>
            <w:pPr>
              <w:pStyle w:val="TableParagraph"/>
              <w:spacing w:before="3"/>
              <w:rPr>
                <w:sz w:val="21"/>
              </w:rPr>
            </w:pPr>
          </w:p>
          <w:p>
            <w:pPr>
              <w:pStyle w:val="TableParagraph"/>
              <w:spacing w:line="241" w:lineRule="exact"/>
              <w:ind w:right="110"/>
              <w:jc w:val="right"/>
              <w:rPr>
                <w:sz w:val="20"/>
              </w:rPr>
            </w:pPr>
            <w:r>
              <w:rPr>
                <w:rFonts w:ascii="Arial MT" w:eastAsia="Arial MT"/>
                <w:w w:val="95"/>
                <w:sz w:val="20"/>
              </w:rPr>
              <w:t>2022</w:t>
            </w:r>
            <w:r>
              <w:rPr>
                <w:rFonts w:ascii="Arial MT" w:eastAsia="Arial MT"/>
                <w:spacing w:val="1"/>
                <w:w w:val="95"/>
                <w:sz w:val="20"/>
              </w:rPr>
              <w:t> </w:t>
            </w:r>
            <w:r>
              <w:rPr>
                <w:w w:val="95"/>
                <w:sz w:val="20"/>
              </w:rPr>
              <w:t>年</w:t>
            </w:r>
          </w:p>
        </w:tc>
        <w:tc>
          <w:tcPr>
            <w:tcW w:w="212" w:type="dxa"/>
          </w:tcPr>
          <w:p>
            <w:pPr>
              <w:pStyle w:val="TableParagraph"/>
              <w:rPr>
                <w:rFonts w:ascii="Times New Roman"/>
                <w:sz w:val="20"/>
              </w:rPr>
            </w:pPr>
          </w:p>
        </w:tc>
        <w:tc>
          <w:tcPr>
            <w:tcW w:w="2000" w:type="dxa"/>
            <w:tcBorders>
              <w:top w:val="single" w:sz="12" w:space="0" w:color="000000"/>
            </w:tcBorders>
          </w:tcPr>
          <w:p>
            <w:pPr>
              <w:pStyle w:val="TableParagraph"/>
              <w:spacing w:before="3"/>
              <w:rPr>
                <w:sz w:val="21"/>
              </w:rPr>
            </w:pPr>
          </w:p>
          <w:p>
            <w:pPr>
              <w:pStyle w:val="TableParagraph"/>
              <w:spacing w:line="241" w:lineRule="exact"/>
              <w:ind w:left="1199"/>
              <w:rPr>
                <w:sz w:val="20"/>
              </w:rPr>
            </w:pPr>
            <w:r>
              <w:rPr>
                <w:rFonts w:ascii="Arial MT" w:eastAsia="Arial MT"/>
                <w:w w:val="95"/>
                <w:sz w:val="20"/>
              </w:rPr>
              <w:t>2021</w:t>
            </w:r>
            <w:r>
              <w:rPr>
                <w:rFonts w:ascii="Arial MT" w:eastAsia="Arial MT"/>
                <w:spacing w:val="1"/>
                <w:w w:val="95"/>
                <w:sz w:val="20"/>
              </w:rPr>
              <w:t> </w:t>
            </w:r>
            <w:r>
              <w:rPr>
                <w:w w:val="95"/>
                <w:sz w:val="20"/>
              </w:rPr>
              <w:t>年</w:t>
            </w:r>
          </w:p>
        </w:tc>
      </w:tr>
      <w:tr>
        <w:trPr>
          <w:trHeight w:val="387" w:hRule="atLeast"/>
        </w:trPr>
        <w:tc>
          <w:tcPr>
            <w:tcW w:w="543" w:type="dxa"/>
          </w:tcPr>
          <w:p>
            <w:pPr>
              <w:pStyle w:val="TableParagraph"/>
              <w:rPr>
                <w:rFonts w:ascii="Times New Roman"/>
                <w:sz w:val="20"/>
              </w:rPr>
            </w:pPr>
          </w:p>
        </w:tc>
        <w:tc>
          <w:tcPr>
            <w:tcW w:w="2439" w:type="dxa"/>
          </w:tcPr>
          <w:p>
            <w:pPr>
              <w:pStyle w:val="TableParagraph"/>
              <w:spacing w:line="255" w:lineRule="exact"/>
              <w:ind w:left="226"/>
              <w:rPr>
                <w:sz w:val="20"/>
              </w:rPr>
            </w:pPr>
            <w:r>
              <w:rPr>
                <w:w w:val="95"/>
                <w:sz w:val="20"/>
              </w:rPr>
              <w:t>承租方</w:t>
            </w:r>
          </w:p>
        </w:tc>
        <w:tc>
          <w:tcPr>
            <w:tcW w:w="1597" w:type="dxa"/>
          </w:tcPr>
          <w:p>
            <w:pPr>
              <w:pStyle w:val="TableParagraph"/>
              <w:rPr>
                <w:rFonts w:ascii="Times New Roman"/>
                <w:sz w:val="20"/>
              </w:rPr>
            </w:pPr>
          </w:p>
        </w:tc>
        <w:tc>
          <w:tcPr>
            <w:tcW w:w="2000" w:type="dxa"/>
          </w:tcPr>
          <w:p>
            <w:pPr>
              <w:pStyle w:val="TableParagraph"/>
              <w:spacing w:line="255" w:lineRule="exact"/>
              <w:ind w:right="110"/>
              <w:jc w:val="right"/>
              <w:rPr>
                <w:sz w:val="20"/>
              </w:rPr>
            </w:pPr>
            <w:r>
              <w:rPr>
                <w:rFonts w:ascii="Arial MT" w:eastAsia="Arial MT"/>
                <w:w w:val="95"/>
                <w:sz w:val="20"/>
              </w:rPr>
              <w:t>12</w:t>
            </w:r>
            <w:r>
              <w:rPr>
                <w:rFonts w:ascii="Arial MT" w:eastAsia="Arial MT"/>
                <w:spacing w:val="-3"/>
                <w:w w:val="95"/>
                <w:sz w:val="20"/>
              </w:rPr>
              <w:t> </w:t>
            </w:r>
            <w:r>
              <w:rPr>
                <w:spacing w:val="-17"/>
                <w:w w:val="95"/>
                <w:sz w:val="20"/>
              </w:rPr>
              <w:t>月 </w:t>
            </w:r>
            <w:r>
              <w:rPr>
                <w:rFonts w:ascii="Arial MT" w:eastAsia="Arial MT"/>
                <w:w w:val="95"/>
                <w:sz w:val="20"/>
              </w:rPr>
              <w:t>31 </w:t>
            </w:r>
            <w:r>
              <w:rPr>
                <w:w w:val="95"/>
                <w:sz w:val="20"/>
              </w:rPr>
              <w:t>日</w:t>
            </w:r>
          </w:p>
        </w:tc>
        <w:tc>
          <w:tcPr>
            <w:tcW w:w="212" w:type="dxa"/>
          </w:tcPr>
          <w:p>
            <w:pPr>
              <w:pStyle w:val="TableParagraph"/>
              <w:rPr>
                <w:rFonts w:ascii="Times New Roman"/>
                <w:sz w:val="20"/>
              </w:rPr>
            </w:pPr>
          </w:p>
        </w:tc>
        <w:tc>
          <w:tcPr>
            <w:tcW w:w="2000" w:type="dxa"/>
          </w:tcPr>
          <w:p>
            <w:pPr>
              <w:pStyle w:val="TableParagraph"/>
              <w:spacing w:line="255" w:lineRule="exact"/>
              <w:ind w:left="904"/>
              <w:rPr>
                <w:sz w:val="20"/>
              </w:rPr>
            </w:pPr>
            <w:r>
              <w:rPr>
                <w:rFonts w:ascii="Arial MT" w:eastAsia="Arial MT"/>
                <w:w w:val="95"/>
                <w:sz w:val="20"/>
              </w:rPr>
              <w:t>12</w:t>
            </w:r>
            <w:r>
              <w:rPr>
                <w:rFonts w:ascii="Arial MT" w:eastAsia="Arial MT"/>
                <w:spacing w:val="-3"/>
                <w:w w:val="95"/>
                <w:sz w:val="20"/>
              </w:rPr>
              <w:t> </w:t>
            </w:r>
            <w:r>
              <w:rPr>
                <w:spacing w:val="-17"/>
                <w:w w:val="95"/>
                <w:sz w:val="20"/>
              </w:rPr>
              <w:t>月 </w:t>
            </w:r>
            <w:r>
              <w:rPr>
                <w:rFonts w:ascii="Arial MT" w:eastAsia="Arial MT"/>
                <w:w w:val="95"/>
                <w:sz w:val="20"/>
              </w:rPr>
              <w:t>31 </w:t>
            </w:r>
            <w:r>
              <w:rPr>
                <w:w w:val="95"/>
                <w:sz w:val="20"/>
              </w:rPr>
              <w:t>日</w:t>
            </w:r>
          </w:p>
        </w:tc>
      </w:tr>
      <w:tr>
        <w:trPr>
          <w:trHeight w:val="392" w:hRule="atLeast"/>
        </w:trPr>
        <w:tc>
          <w:tcPr>
            <w:tcW w:w="543" w:type="dxa"/>
          </w:tcPr>
          <w:p>
            <w:pPr>
              <w:pStyle w:val="TableParagraph"/>
              <w:rPr>
                <w:rFonts w:ascii="Times New Roman"/>
                <w:sz w:val="20"/>
              </w:rPr>
            </w:pPr>
          </w:p>
        </w:tc>
        <w:tc>
          <w:tcPr>
            <w:tcW w:w="2439" w:type="dxa"/>
          </w:tcPr>
          <w:p>
            <w:pPr>
              <w:pStyle w:val="TableParagraph"/>
              <w:spacing w:line="245" w:lineRule="exact" w:before="127"/>
              <w:ind w:left="226"/>
              <w:rPr>
                <w:sz w:val="20"/>
              </w:rPr>
            </w:pPr>
            <w:r>
              <w:rPr>
                <w:w w:val="95"/>
                <w:sz w:val="20"/>
              </w:rPr>
              <w:t>中坚公司之子公司</w:t>
            </w:r>
          </w:p>
        </w:tc>
        <w:tc>
          <w:tcPr>
            <w:tcW w:w="1597" w:type="dxa"/>
          </w:tcPr>
          <w:p>
            <w:pPr>
              <w:pStyle w:val="TableParagraph"/>
              <w:spacing w:line="245" w:lineRule="exact" w:before="127"/>
              <w:ind w:left="78"/>
              <w:rPr>
                <w:sz w:val="20"/>
              </w:rPr>
            </w:pPr>
            <w:r>
              <w:rPr>
                <w:w w:val="95"/>
                <w:sz w:val="20"/>
              </w:rPr>
              <w:t>租赁</w:t>
            </w:r>
            <w:r>
              <w:rPr>
                <w:rFonts w:ascii="Arial MT" w:eastAsia="Arial MT"/>
                <w:w w:val="95"/>
                <w:sz w:val="20"/>
              </w:rPr>
              <w:t>-</w:t>
            </w:r>
            <w:r>
              <w:rPr>
                <w:w w:val="95"/>
                <w:sz w:val="20"/>
              </w:rPr>
              <w:t>租出</w:t>
            </w:r>
          </w:p>
        </w:tc>
        <w:tc>
          <w:tcPr>
            <w:tcW w:w="2000" w:type="dxa"/>
          </w:tcPr>
          <w:p>
            <w:pPr>
              <w:pStyle w:val="TableParagraph"/>
              <w:rPr>
                <w:rFonts w:ascii="Times New Roman"/>
                <w:sz w:val="20"/>
              </w:rPr>
            </w:pPr>
          </w:p>
        </w:tc>
        <w:tc>
          <w:tcPr>
            <w:tcW w:w="212" w:type="dxa"/>
          </w:tcPr>
          <w:p>
            <w:pPr>
              <w:pStyle w:val="TableParagraph"/>
              <w:rPr>
                <w:rFonts w:ascii="Times New Roman"/>
                <w:sz w:val="20"/>
              </w:rPr>
            </w:pPr>
          </w:p>
        </w:tc>
        <w:tc>
          <w:tcPr>
            <w:tcW w:w="2000" w:type="dxa"/>
          </w:tcPr>
          <w:p>
            <w:pPr>
              <w:pStyle w:val="TableParagraph"/>
              <w:rPr>
                <w:rFonts w:ascii="Times New Roman"/>
                <w:sz w:val="20"/>
              </w:rPr>
            </w:pPr>
          </w:p>
        </w:tc>
      </w:tr>
      <w:tr>
        <w:trPr>
          <w:trHeight w:val="265" w:hRule="atLeast"/>
        </w:trPr>
        <w:tc>
          <w:tcPr>
            <w:tcW w:w="543" w:type="dxa"/>
          </w:tcPr>
          <w:p>
            <w:pPr>
              <w:pStyle w:val="TableParagraph"/>
              <w:rPr>
                <w:rFonts w:ascii="Times New Roman"/>
                <w:sz w:val="18"/>
              </w:rPr>
            </w:pPr>
          </w:p>
        </w:tc>
        <w:tc>
          <w:tcPr>
            <w:tcW w:w="2439" w:type="dxa"/>
          </w:tcPr>
          <w:p>
            <w:pPr>
              <w:pStyle w:val="TableParagraph"/>
              <w:rPr>
                <w:rFonts w:ascii="Times New Roman"/>
                <w:sz w:val="18"/>
              </w:rPr>
            </w:pPr>
          </w:p>
        </w:tc>
        <w:tc>
          <w:tcPr>
            <w:tcW w:w="1597" w:type="dxa"/>
          </w:tcPr>
          <w:p>
            <w:pPr>
              <w:pStyle w:val="TableParagraph"/>
              <w:spacing w:line="245" w:lineRule="exact"/>
              <w:ind w:left="78"/>
              <w:rPr>
                <w:sz w:val="20"/>
              </w:rPr>
            </w:pPr>
            <w:r>
              <w:rPr>
                <w:w w:val="95"/>
                <w:sz w:val="20"/>
              </w:rPr>
              <w:t>一年以内</w:t>
            </w:r>
          </w:p>
        </w:tc>
        <w:tc>
          <w:tcPr>
            <w:tcW w:w="2000" w:type="dxa"/>
          </w:tcPr>
          <w:p>
            <w:pPr>
              <w:pStyle w:val="TableParagraph"/>
              <w:spacing w:line="227" w:lineRule="exact" w:before="18"/>
              <w:ind w:right="113"/>
              <w:jc w:val="right"/>
              <w:rPr>
                <w:rFonts w:ascii="Arial MT"/>
                <w:sz w:val="20"/>
              </w:rPr>
            </w:pPr>
            <w:r>
              <w:rPr>
                <w:rFonts w:ascii="Arial MT"/>
                <w:sz w:val="20"/>
              </w:rPr>
              <w:t>5,097</w:t>
            </w:r>
          </w:p>
        </w:tc>
        <w:tc>
          <w:tcPr>
            <w:tcW w:w="212" w:type="dxa"/>
          </w:tcPr>
          <w:p>
            <w:pPr>
              <w:pStyle w:val="TableParagraph"/>
              <w:rPr>
                <w:rFonts w:ascii="Times New Roman"/>
                <w:sz w:val="18"/>
              </w:rPr>
            </w:pPr>
          </w:p>
        </w:tc>
        <w:tc>
          <w:tcPr>
            <w:tcW w:w="2000" w:type="dxa"/>
          </w:tcPr>
          <w:p>
            <w:pPr>
              <w:pStyle w:val="TableParagraph"/>
              <w:spacing w:line="227" w:lineRule="exact" w:before="18"/>
              <w:ind w:right="114"/>
              <w:jc w:val="right"/>
              <w:rPr>
                <w:rFonts w:ascii="Arial MT"/>
                <w:sz w:val="20"/>
              </w:rPr>
            </w:pPr>
            <w:r>
              <w:rPr>
                <w:rFonts w:ascii="Arial MT"/>
                <w:sz w:val="20"/>
              </w:rPr>
              <w:t>5,567</w:t>
            </w:r>
          </w:p>
        </w:tc>
      </w:tr>
      <w:tr>
        <w:trPr>
          <w:trHeight w:val="259" w:hRule="atLeast"/>
        </w:trPr>
        <w:tc>
          <w:tcPr>
            <w:tcW w:w="543" w:type="dxa"/>
          </w:tcPr>
          <w:p>
            <w:pPr>
              <w:pStyle w:val="TableParagraph"/>
              <w:rPr>
                <w:rFonts w:ascii="Times New Roman"/>
                <w:sz w:val="18"/>
              </w:rPr>
            </w:pPr>
          </w:p>
        </w:tc>
        <w:tc>
          <w:tcPr>
            <w:tcW w:w="2439" w:type="dxa"/>
          </w:tcPr>
          <w:p>
            <w:pPr>
              <w:pStyle w:val="TableParagraph"/>
              <w:rPr>
                <w:rFonts w:ascii="Times New Roman"/>
                <w:sz w:val="18"/>
              </w:rPr>
            </w:pPr>
          </w:p>
        </w:tc>
        <w:tc>
          <w:tcPr>
            <w:tcW w:w="1597" w:type="dxa"/>
          </w:tcPr>
          <w:p>
            <w:pPr>
              <w:pStyle w:val="TableParagraph"/>
              <w:spacing w:line="239" w:lineRule="exact"/>
              <w:ind w:left="78"/>
              <w:rPr>
                <w:sz w:val="20"/>
              </w:rPr>
            </w:pPr>
            <w:r>
              <w:rPr>
                <w:w w:val="95"/>
                <w:sz w:val="20"/>
              </w:rPr>
              <w:t>一到二年</w:t>
            </w:r>
          </w:p>
        </w:tc>
        <w:tc>
          <w:tcPr>
            <w:tcW w:w="2000" w:type="dxa"/>
          </w:tcPr>
          <w:p>
            <w:pPr>
              <w:pStyle w:val="TableParagraph"/>
              <w:spacing w:line="227" w:lineRule="exact" w:before="12"/>
              <w:ind w:right="113"/>
              <w:jc w:val="right"/>
              <w:rPr>
                <w:rFonts w:ascii="Arial MT"/>
                <w:sz w:val="20"/>
              </w:rPr>
            </w:pPr>
            <w:r>
              <w:rPr>
                <w:rFonts w:ascii="Arial MT"/>
                <w:sz w:val="20"/>
              </w:rPr>
              <w:t>38</w:t>
            </w:r>
          </w:p>
        </w:tc>
        <w:tc>
          <w:tcPr>
            <w:tcW w:w="212" w:type="dxa"/>
          </w:tcPr>
          <w:p>
            <w:pPr>
              <w:pStyle w:val="TableParagraph"/>
              <w:rPr>
                <w:rFonts w:ascii="Times New Roman"/>
                <w:sz w:val="18"/>
              </w:rPr>
            </w:pPr>
          </w:p>
        </w:tc>
        <w:tc>
          <w:tcPr>
            <w:tcW w:w="2000" w:type="dxa"/>
          </w:tcPr>
          <w:p>
            <w:pPr>
              <w:pStyle w:val="TableParagraph"/>
              <w:spacing w:line="227" w:lineRule="exact" w:before="12"/>
              <w:ind w:right="114"/>
              <w:jc w:val="right"/>
              <w:rPr>
                <w:rFonts w:ascii="Arial MT"/>
                <w:sz w:val="20"/>
              </w:rPr>
            </w:pPr>
            <w:r>
              <w:rPr>
                <w:rFonts w:ascii="Arial MT"/>
                <w:sz w:val="20"/>
              </w:rPr>
              <w:t>38</w:t>
            </w:r>
          </w:p>
        </w:tc>
      </w:tr>
      <w:tr>
        <w:trPr>
          <w:trHeight w:val="259" w:hRule="atLeast"/>
        </w:trPr>
        <w:tc>
          <w:tcPr>
            <w:tcW w:w="543" w:type="dxa"/>
          </w:tcPr>
          <w:p>
            <w:pPr>
              <w:pStyle w:val="TableParagraph"/>
              <w:rPr>
                <w:rFonts w:ascii="Times New Roman"/>
                <w:sz w:val="18"/>
              </w:rPr>
            </w:pPr>
          </w:p>
        </w:tc>
        <w:tc>
          <w:tcPr>
            <w:tcW w:w="2439" w:type="dxa"/>
          </w:tcPr>
          <w:p>
            <w:pPr>
              <w:pStyle w:val="TableParagraph"/>
              <w:rPr>
                <w:rFonts w:ascii="Times New Roman"/>
                <w:sz w:val="18"/>
              </w:rPr>
            </w:pPr>
          </w:p>
        </w:tc>
        <w:tc>
          <w:tcPr>
            <w:tcW w:w="1597" w:type="dxa"/>
          </w:tcPr>
          <w:p>
            <w:pPr>
              <w:pStyle w:val="TableParagraph"/>
              <w:spacing w:line="239" w:lineRule="exact"/>
              <w:ind w:left="78"/>
              <w:rPr>
                <w:sz w:val="20"/>
              </w:rPr>
            </w:pPr>
            <w:r>
              <w:rPr>
                <w:w w:val="95"/>
                <w:sz w:val="20"/>
              </w:rPr>
              <w:t>二到三年</w:t>
            </w:r>
          </w:p>
        </w:tc>
        <w:tc>
          <w:tcPr>
            <w:tcW w:w="2000" w:type="dxa"/>
          </w:tcPr>
          <w:p>
            <w:pPr>
              <w:pStyle w:val="TableParagraph"/>
              <w:spacing w:line="227" w:lineRule="exact" w:before="12"/>
              <w:ind w:right="113"/>
              <w:jc w:val="right"/>
              <w:rPr>
                <w:rFonts w:ascii="Arial MT"/>
                <w:sz w:val="20"/>
              </w:rPr>
            </w:pPr>
            <w:r>
              <w:rPr>
                <w:rFonts w:ascii="Arial MT"/>
                <w:sz w:val="20"/>
              </w:rPr>
              <w:t>28</w:t>
            </w:r>
          </w:p>
        </w:tc>
        <w:tc>
          <w:tcPr>
            <w:tcW w:w="212" w:type="dxa"/>
          </w:tcPr>
          <w:p>
            <w:pPr>
              <w:pStyle w:val="TableParagraph"/>
              <w:rPr>
                <w:rFonts w:ascii="Times New Roman"/>
                <w:sz w:val="18"/>
              </w:rPr>
            </w:pPr>
          </w:p>
        </w:tc>
        <w:tc>
          <w:tcPr>
            <w:tcW w:w="2000" w:type="dxa"/>
          </w:tcPr>
          <w:p>
            <w:pPr>
              <w:pStyle w:val="TableParagraph"/>
              <w:spacing w:line="227" w:lineRule="exact" w:before="12"/>
              <w:ind w:right="114"/>
              <w:jc w:val="right"/>
              <w:rPr>
                <w:rFonts w:ascii="Arial MT"/>
                <w:sz w:val="20"/>
              </w:rPr>
            </w:pPr>
            <w:r>
              <w:rPr>
                <w:rFonts w:ascii="Arial MT"/>
                <w:sz w:val="20"/>
              </w:rPr>
              <w:t>38</w:t>
            </w:r>
          </w:p>
        </w:tc>
      </w:tr>
      <w:tr>
        <w:trPr>
          <w:trHeight w:val="264" w:hRule="atLeast"/>
        </w:trPr>
        <w:tc>
          <w:tcPr>
            <w:tcW w:w="543" w:type="dxa"/>
          </w:tcPr>
          <w:p>
            <w:pPr>
              <w:pStyle w:val="TableParagraph"/>
              <w:rPr>
                <w:rFonts w:ascii="Times New Roman"/>
                <w:sz w:val="18"/>
              </w:rPr>
            </w:pPr>
          </w:p>
        </w:tc>
        <w:tc>
          <w:tcPr>
            <w:tcW w:w="2439" w:type="dxa"/>
          </w:tcPr>
          <w:p>
            <w:pPr>
              <w:pStyle w:val="TableParagraph"/>
              <w:rPr>
                <w:rFonts w:ascii="Times New Roman"/>
                <w:sz w:val="18"/>
              </w:rPr>
            </w:pPr>
          </w:p>
        </w:tc>
        <w:tc>
          <w:tcPr>
            <w:tcW w:w="1597" w:type="dxa"/>
          </w:tcPr>
          <w:p>
            <w:pPr>
              <w:pStyle w:val="TableParagraph"/>
              <w:spacing w:line="244" w:lineRule="exact"/>
              <w:ind w:left="78"/>
              <w:rPr>
                <w:sz w:val="20"/>
              </w:rPr>
            </w:pPr>
            <w:r>
              <w:rPr>
                <w:w w:val="95"/>
                <w:sz w:val="20"/>
              </w:rPr>
              <w:t>三年以上</w:t>
            </w:r>
          </w:p>
        </w:tc>
        <w:tc>
          <w:tcPr>
            <w:tcW w:w="2000" w:type="dxa"/>
          </w:tcPr>
          <w:p>
            <w:pPr>
              <w:pStyle w:val="TableParagraph"/>
              <w:tabs>
                <w:tab w:pos="1807" w:val="left" w:leader="none"/>
              </w:tabs>
              <w:spacing w:before="12"/>
              <w:jc w:val="right"/>
              <w:rPr>
                <w:rFonts w:ascii="Arial MT"/>
                <w:sz w:val="20"/>
              </w:rPr>
            </w:pPr>
            <w:r>
              <w:rPr>
                <w:rFonts w:ascii="Arial MT"/>
                <w:w w:val="99"/>
                <w:sz w:val="20"/>
                <w:u w:val="single"/>
              </w:rPr>
              <w:t> </w:t>
            </w:r>
            <w:r>
              <w:rPr>
                <w:rFonts w:ascii="Arial MT"/>
                <w:sz w:val="20"/>
                <w:u w:val="single"/>
              </w:rPr>
              <w:tab/>
            </w:r>
            <w:r>
              <w:rPr>
                <w:rFonts w:ascii="Arial MT"/>
                <w:sz w:val="20"/>
                <w:u w:val="single"/>
              </w:rPr>
              <w:t>-  </w:t>
            </w:r>
          </w:p>
        </w:tc>
        <w:tc>
          <w:tcPr>
            <w:tcW w:w="212" w:type="dxa"/>
          </w:tcPr>
          <w:p>
            <w:pPr>
              <w:pStyle w:val="TableParagraph"/>
              <w:rPr>
                <w:rFonts w:ascii="Times New Roman"/>
                <w:sz w:val="18"/>
              </w:rPr>
            </w:pPr>
          </w:p>
        </w:tc>
        <w:tc>
          <w:tcPr>
            <w:tcW w:w="2000" w:type="dxa"/>
          </w:tcPr>
          <w:p>
            <w:pPr>
              <w:pStyle w:val="TableParagraph"/>
              <w:tabs>
                <w:tab w:pos="1662" w:val="left" w:leader="none"/>
              </w:tabs>
              <w:spacing w:before="12"/>
              <w:ind w:left="11"/>
              <w:rPr>
                <w:rFonts w:ascii="Arial MT"/>
                <w:sz w:val="20"/>
              </w:rPr>
            </w:pPr>
            <w:r>
              <w:rPr>
                <w:rFonts w:ascii="Arial MT"/>
                <w:w w:val="99"/>
                <w:sz w:val="20"/>
                <w:u w:val="single"/>
              </w:rPr>
              <w:t> </w:t>
            </w:r>
            <w:r>
              <w:rPr>
                <w:rFonts w:ascii="Arial MT"/>
                <w:sz w:val="20"/>
                <w:u w:val="single"/>
              </w:rPr>
              <w:tab/>
            </w:r>
            <w:r>
              <w:rPr>
                <w:rFonts w:ascii="Arial MT"/>
                <w:sz w:val="20"/>
                <w:u w:val="single"/>
              </w:rPr>
              <w:t>28 </w:t>
            </w:r>
            <w:r>
              <w:rPr>
                <w:rFonts w:ascii="Arial MT"/>
                <w:spacing w:val="1"/>
                <w:sz w:val="20"/>
                <w:u w:val="single"/>
              </w:rPr>
              <w:t> </w:t>
            </w:r>
          </w:p>
        </w:tc>
      </w:tr>
      <w:tr>
        <w:trPr>
          <w:trHeight w:val="409" w:hRule="atLeast"/>
        </w:trPr>
        <w:tc>
          <w:tcPr>
            <w:tcW w:w="543" w:type="dxa"/>
          </w:tcPr>
          <w:p>
            <w:pPr>
              <w:pStyle w:val="TableParagraph"/>
              <w:rPr>
                <w:rFonts w:ascii="Times New Roman"/>
                <w:sz w:val="20"/>
              </w:rPr>
            </w:pPr>
          </w:p>
        </w:tc>
        <w:tc>
          <w:tcPr>
            <w:tcW w:w="2439" w:type="dxa"/>
          </w:tcPr>
          <w:p>
            <w:pPr>
              <w:pStyle w:val="TableParagraph"/>
              <w:rPr>
                <w:rFonts w:ascii="Times New Roman"/>
                <w:sz w:val="20"/>
              </w:rPr>
            </w:pPr>
          </w:p>
        </w:tc>
        <w:tc>
          <w:tcPr>
            <w:tcW w:w="1597" w:type="dxa"/>
          </w:tcPr>
          <w:p>
            <w:pPr>
              <w:pStyle w:val="TableParagraph"/>
              <w:rPr>
                <w:rFonts w:ascii="Times New Roman"/>
                <w:sz w:val="20"/>
              </w:rPr>
            </w:pPr>
          </w:p>
        </w:tc>
        <w:tc>
          <w:tcPr>
            <w:tcW w:w="2000" w:type="dxa"/>
          </w:tcPr>
          <w:p>
            <w:pPr>
              <w:pStyle w:val="TableParagraph"/>
              <w:tabs>
                <w:tab w:pos="1372" w:val="left" w:leader="none"/>
              </w:tabs>
              <w:spacing w:before="15"/>
              <w:jc w:val="right"/>
              <w:rPr>
                <w:rFonts w:ascii="Arial MT"/>
                <w:sz w:val="20"/>
              </w:rPr>
            </w:pPr>
            <w:r>
              <w:rPr>
                <w:rFonts w:ascii="Arial MT"/>
                <w:w w:val="99"/>
                <w:sz w:val="20"/>
                <w:u w:val="thick"/>
              </w:rPr>
              <w:t> </w:t>
            </w:r>
            <w:r>
              <w:rPr>
                <w:rFonts w:ascii="Arial MT"/>
                <w:sz w:val="20"/>
                <w:u w:val="thick"/>
              </w:rPr>
              <w:tab/>
            </w:r>
            <w:r>
              <w:rPr>
                <w:rFonts w:ascii="Arial MT"/>
                <w:sz w:val="20"/>
                <w:u w:val="thick"/>
              </w:rPr>
              <w:t>5,163 </w:t>
            </w:r>
            <w:r>
              <w:rPr>
                <w:rFonts w:ascii="Arial MT"/>
                <w:spacing w:val="1"/>
                <w:sz w:val="20"/>
                <w:u w:val="thick"/>
              </w:rPr>
              <w:t> </w:t>
            </w:r>
          </w:p>
        </w:tc>
        <w:tc>
          <w:tcPr>
            <w:tcW w:w="212" w:type="dxa"/>
          </w:tcPr>
          <w:p>
            <w:pPr>
              <w:pStyle w:val="TableParagraph"/>
              <w:rPr>
                <w:rFonts w:ascii="Times New Roman"/>
                <w:sz w:val="20"/>
              </w:rPr>
            </w:pPr>
          </w:p>
        </w:tc>
        <w:tc>
          <w:tcPr>
            <w:tcW w:w="2000" w:type="dxa"/>
          </w:tcPr>
          <w:p>
            <w:pPr>
              <w:pStyle w:val="TableParagraph"/>
              <w:tabs>
                <w:tab w:pos="1384" w:val="left" w:leader="none"/>
              </w:tabs>
              <w:spacing w:before="15"/>
              <w:ind w:left="11"/>
              <w:rPr>
                <w:rFonts w:ascii="Arial MT"/>
                <w:sz w:val="20"/>
              </w:rPr>
            </w:pPr>
            <w:r>
              <w:rPr>
                <w:rFonts w:ascii="Arial MT"/>
                <w:w w:val="99"/>
                <w:sz w:val="20"/>
                <w:u w:val="thick"/>
              </w:rPr>
              <w:t> </w:t>
            </w:r>
            <w:r>
              <w:rPr>
                <w:rFonts w:ascii="Arial MT"/>
                <w:sz w:val="20"/>
                <w:u w:val="thick"/>
              </w:rPr>
              <w:tab/>
            </w:r>
            <w:r>
              <w:rPr>
                <w:rFonts w:ascii="Arial MT"/>
                <w:sz w:val="20"/>
                <w:u w:val="thick"/>
              </w:rPr>
              <w:t>5,671 </w:t>
            </w:r>
            <w:r>
              <w:rPr>
                <w:rFonts w:ascii="Arial MT"/>
                <w:spacing w:val="1"/>
                <w:sz w:val="20"/>
                <w:u w:val="thick"/>
              </w:rPr>
              <w:t> </w:t>
            </w:r>
          </w:p>
        </w:tc>
      </w:tr>
      <w:tr>
        <w:trPr>
          <w:trHeight w:val="405" w:hRule="atLeast"/>
        </w:trPr>
        <w:tc>
          <w:tcPr>
            <w:tcW w:w="543" w:type="dxa"/>
          </w:tcPr>
          <w:p>
            <w:pPr>
              <w:pStyle w:val="TableParagraph"/>
              <w:rPr>
                <w:rFonts w:ascii="Times New Roman"/>
                <w:sz w:val="20"/>
              </w:rPr>
            </w:pPr>
          </w:p>
        </w:tc>
        <w:tc>
          <w:tcPr>
            <w:tcW w:w="2439" w:type="dxa"/>
          </w:tcPr>
          <w:p>
            <w:pPr>
              <w:pStyle w:val="TableParagraph"/>
              <w:rPr>
                <w:rFonts w:ascii="Times New Roman"/>
                <w:sz w:val="20"/>
              </w:rPr>
            </w:pPr>
          </w:p>
        </w:tc>
        <w:tc>
          <w:tcPr>
            <w:tcW w:w="1597" w:type="dxa"/>
          </w:tcPr>
          <w:p>
            <w:pPr>
              <w:pStyle w:val="TableParagraph"/>
              <w:rPr>
                <w:rFonts w:ascii="Times New Roman"/>
                <w:sz w:val="20"/>
              </w:rPr>
            </w:pPr>
          </w:p>
        </w:tc>
        <w:tc>
          <w:tcPr>
            <w:tcW w:w="2000" w:type="dxa"/>
          </w:tcPr>
          <w:p>
            <w:pPr>
              <w:pStyle w:val="TableParagraph"/>
              <w:spacing w:line="241" w:lineRule="exact" w:before="145"/>
              <w:ind w:right="110"/>
              <w:jc w:val="right"/>
              <w:rPr>
                <w:sz w:val="20"/>
              </w:rPr>
            </w:pPr>
            <w:r>
              <w:rPr>
                <w:rFonts w:ascii="Arial MT" w:eastAsia="Arial MT"/>
                <w:w w:val="95"/>
                <w:sz w:val="20"/>
              </w:rPr>
              <w:t>2022</w:t>
            </w:r>
            <w:r>
              <w:rPr>
                <w:rFonts w:ascii="Arial MT" w:eastAsia="Arial MT"/>
                <w:spacing w:val="1"/>
                <w:w w:val="95"/>
                <w:sz w:val="20"/>
              </w:rPr>
              <w:t> </w:t>
            </w:r>
            <w:r>
              <w:rPr>
                <w:w w:val="95"/>
                <w:sz w:val="20"/>
              </w:rPr>
              <w:t>年</w:t>
            </w:r>
          </w:p>
        </w:tc>
        <w:tc>
          <w:tcPr>
            <w:tcW w:w="212" w:type="dxa"/>
          </w:tcPr>
          <w:p>
            <w:pPr>
              <w:pStyle w:val="TableParagraph"/>
              <w:rPr>
                <w:rFonts w:ascii="Times New Roman"/>
                <w:sz w:val="20"/>
              </w:rPr>
            </w:pPr>
          </w:p>
        </w:tc>
        <w:tc>
          <w:tcPr>
            <w:tcW w:w="2000" w:type="dxa"/>
          </w:tcPr>
          <w:p>
            <w:pPr>
              <w:pStyle w:val="TableParagraph"/>
              <w:spacing w:line="241" w:lineRule="exact" w:before="145"/>
              <w:ind w:left="1199"/>
              <w:rPr>
                <w:sz w:val="20"/>
              </w:rPr>
            </w:pPr>
            <w:r>
              <w:rPr>
                <w:rFonts w:ascii="Arial MT" w:eastAsia="Arial MT"/>
                <w:w w:val="95"/>
                <w:sz w:val="20"/>
              </w:rPr>
              <w:t>2021</w:t>
            </w:r>
            <w:r>
              <w:rPr>
                <w:rFonts w:ascii="Arial MT" w:eastAsia="Arial MT"/>
                <w:spacing w:val="1"/>
                <w:w w:val="95"/>
                <w:sz w:val="20"/>
              </w:rPr>
              <w:t> </w:t>
            </w:r>
            <w:r>
              <w:rPr>
                <w:w w:val="95"/>
                <w:sz w:val="20"/>
              </w:rPr>
              <w:t>年</w:t>
            </w:r>
          </w:p>
        </w:tc>
      </w:tr>
      <w:tr>
        <w:trPr>
          <w:trHeight w:val="386" w:hRule="atLeast"/>
        </w:trPr>
        <w:tc>
          <w:tcPr>
            <w:tcW w:w="543" w:type="dxa"/>
          </w:tcPr>
          <w:p>
            <w:pPr>
              <w:pStyle w:val="TableParagraph"/>
              <w:rPr>
                <w:rFonts w:ascii="Times New Roman"/>
                <w:sz w:val="20"/>
              </w:rPr>
            </w:pPr>
          </w:p>
        </w:tc>
        <w:tc>
          <w:tcPr>
            <w:tcW w:w="2439" w:type="dxa"/>
          </w:tcPr>
          <w:p>
            <w:pPr>
              <w:pStyle w:val="TableParagraph"/>
              <w:spacing w:line="255" w:lineRule="exact"/>
              <w:ind w:left="226"/>
              <w:rPr>
                <w:sz w:val="20"/>
              </w:rPr>
            </w:pPr>
            <w:r>
              <w:rPr>
                <w:w w:val="95"/>
                <w:sz w:val="20"/>
              </w:rPr>
              <w:t>承租方</w:t>
            </w:r>
          </w:p>
        </w:tc>
        <w:tc>
          <w:tcPr>
            <w:tcW w:w="1597" w:type="dxa"/>
          </w:tcPr>
          <w:p>
            <w:pPr>
              <w:pStyle w:val="TableParagraph"/>
              <w:rPr>
                <w:rFonts w:ascii="Times New Roman"/>
                <w:sz w:val="20"/>
              </w:rPr>
            </w:pPr>
          </w:p>
        </w:tc>
        <w:tc>
          <w:tcPr>
            <w:tcW w:w="2000" w:type="dxa"/>
          </w:tcPr>
          <w:p>
            <w:pPr>
              <w:pStyle w:val="TableParagraph"/>
              <w:spacing w:line="255" w:lineRule="exact"/>
              <w:ind w:right="110"/>
              <w:jc w:val="right"/>
              <w:rPr>
                <w:sz w:val="20"/>
              </w:rPr>
            </w:pPr>
            <w:r>
              <w:rPr>
                <w:rFonts w:ascii="Arial MT" w:eastAsia="Arial MT"/>
                <w:w w:val="95"/>
                <w:sz w:val="20"/>
              </w:rPr>
              <w:t>12</w:t>
            </w:r>
            <w:r>
              <w:rPr>
                <w:rFonts w:ascii="Arial MT" w:eastAsia="Arial MT"/>
                <w:spacing w:val="-3"/>
                <w:w w:val="95"/>
                <w:sz w:val="20"/>
              </w:rPr>
              <w:t> </w:t>
            </w:r>
            <w:r>
              <w:rPr>
                <w:spacing w:val="-17"/>
                <w:w w:val="95"/>
                <w:sz w:val="20"/>
              </w:rPr>
              <w:t>月 </w:t>
            </w:r>
            <w:r>
              <w:rPr>
                <w:rFonts w:ascii="Arial MT" w:eastAsia="Arial MT"/>
                <w:w w:val="95"/>
                <w:sz w:val="20"/>
              </w:rPr>
              <w:t>31 </w:t>
            </w:r>
            <w:r>
              <w:rPr>
                <w:w w:val="95"/>
                <w:sz w:val="20"/>
              </w:rPr>
              <w:t>日</w:t>
            </w:r>
          </w:p>
        </w:tc>
        <w:tc>
          <w:tcPr>
            <w:tcW w:w="212" w:type="dxa"/>
          </w:tcPr>
          <w:p>
            <w:pPr>
              <w:pStyle w:val="TableParagraph"/>
              <w:rPr>
                <w:rFonts w:ascii="Times New Roman"/>
                <w:sz w:val="20"/>
              </w:rPr>
            </w:pPr>
          </w:p>
        </w:tc>
        <w:tc>
          <w:tcPr>
            <w:tcW w:w="2000" w:type="dxa"/>
          </w:tcPr>
          <w:p>
            <w:pPr>
              <w:pStyle w:val="TableParagraph"/>
              <w:spacing w:line="255" w:lineRule="exact"/>
              <w:ind w:left="904"/>
              <w:rPr>
                <w:sz w:val="20"/>
              </w:rPr>
            </w:pPr>
            <w:r>
              <w:rPr>
                <w:rFonts w:ascii="Arial MT" w:eastAsia="Arial MT"/>
                <w:w w:val="95"/>
                <w:sz w:val="20"/>
              </w:rPr>
              <w:t>12</w:t>
            </w:r>
            <w:r>
              <w:rPr>
                <w:rFonts w:ascii="Arial MT" w:eastAsia="Arial MT"/>
                <w:spacing w:val="-3"/>
                <w:w w:val="95"/>
                <w:sz w:val="20"/>
              </w:rPr>
              <w:t> </w:t>
            </w:r>
            <w:r>
              <w:rPr>
                <w:spacing w:val="-17"/>
                <w:w w:val="95"/>
                <w:sz w:val="20"/>
              </w:rPr>
              <w:t>月 </w:t>
            </w:r>
            <w:r>
              <w:rPr>
                <w:rFonts w:ascii="Arial MT" w:eastAsia="Arial MT"/>
                <w:w w:val="95"/>
                <w:sz w:val="20"/>
              </w:rPr>
              <w:t>31 </w:t>
            </w:r>
            <w:r>
              <w:rPr>
                <w:w w:val="95"/>
                <w:sz w:val="20"/>
              </w:rPr>
              <w:t>日</w:t>
            </w:r>
          </w:p>
        </w:tc>
      </w:tr>
      <w:tr>
        <w:trPr>
          <w:trHeight w:val="390" w:hRule="atLeast"/>
        </w:trPr>
        <w:tc>
          <w:tcPr>
            <w:tcW w:w="543" w:type="dxa"/>
          </w:tcPr>
          <w:p>
            <w:pPr>
              <w:pStyle w:val="TableParagraph"/>
              <w:rPr>
                <w:rFonts w:ascii="Times New Roman"/>
                <w:sz w:val="20"/>
              </w:rPr>
            </w:pPr>
          </w:p>
        </w:tc>
        <w:tc>
          <w:tcPr>
            <w:tcW w:w="2439" w:type="dxa"/>
          </w:tcPr>
          <w:p>
            <w:pPr>
              <w:pStyle w:val="TableParagraph"/>
              <w:spacing w:line="245" w:lineRule="exact" w:before="126"/>
              <w:ind w:left="226"/>
              <w:rPr>
                <w:sz w:val="20"/>
              </w:rPr>
            </w:pPr>
            <w:r>
              <w:rPr>
                <w:w w:val="95"/>
                <w:sz w:val="20"/>
              </w:rPr>
              <w:t>鸿海精密及其子公司</w:t>
            </w:r>
          </w:p>
        </w:tc>
        <w:tc>
          <w:tcPr>
            <w:tcW w:w="1597" w:type="dxa"/>
          </w:tcPr>
          <w:p>
            <w:pPr>
              <w:pStyle w:val="TableParagraph"/>
              <w:spacing w:line="245" w:lineRule="exact" w:before="126"/>
              <w:ind w:left="78"/>
              <w:rPr>
                <w:sz w:val="20"/>
              </w:rPr>
            </w:pPr>
            <w:r>
              <w:rPr>
                <w:w w:val="95"/>
                <w:sz w:val="20"/>
              </w:rPr>
              <w:t>租赁</w:t>
            </w:r>
            <w:r>
              <w:rPr>
                <w:rFonts w:ascii="Arial MT" w:eastAsia="Arial MT"/>
                <w:w w:val="95"/>
                <w:sz w:val="20"/>
              </w:rPr>
              <w:t>-</w:t>
            </w:r>
            <w:r>
              <w:rPr>
                <w:w w:val="95"/>
                <w:sz w:val="20"/>
              </w:rPr>
              <w:t>租出</w:t>
            </w:r>
          </w:p>
        </w:tc>
        <w:tc>
          <w:tcPr>
            <w:tcW w:w="2000" w:type="dxa"/>
          </w:tcPr>
          <w:p>
            <w:pPr>
              <w:pStyle w:val="TableParagraph"/>
              <w:rPr>
                <w:rFonts w:ascii="Times New Roman"/>
                <w:sz w:val="20"/>
              </w:rPr>
            </w:pPr>
          </w:p>
        </w:tc>
        <w:tc>
          <w:tcPr>
            <w:tcW w:w="212" w:type="dxa"/>
          </w:tcPr>
          <w:p>
            <w:pPr>
              <w:pStyle w:val="TableParagraph"/>
              <w:rPr>
                <w:rFonts w:ascii="Times New Roman"/>
                <w:sz w:val="20"/>
              </w:rPr>
            </w:pPr>
          </w:p>
        </w:tc>
        <w:tc>
          <w:tcPr>
            <w:tcW w:w="2000" w:type="dxa"/>
          </w:tcPr>
          <w:p>
            <w:pPr>
              <w:pStyle w:val="TableParagraph"/>
              <w:rPr>
                <w:rFonts w:ascii="Times New Roman"/>
                <w:sz w:val="20"/>
              </w:rPr>
            </w:pPr>
          </w:p>
        </w:tc>
      </w:tr>
      <w:tr>
        <w:trPr>
          <w:trHeight w:val="267" w:hRule="atLeast"/>
        </w:trPr>
        <w:tc>
          <w:tcPr>
            <w:tcW w:w="543" w:type="dxa"/>
          </w:tcPr>
          <w:p>
            <w:pPr>
              <w:pStyle w:val="TableParagraph"/>
              <w:rPr>
                <w:rFonts w:ascii="Times New Roman"/>
                <w:sz w:val="18"/>
              </w:rPr>
            </w:pPr>
          </w:p>
        </w:tc>
        <w:tc>
          <w:tcPr>
            <w:tcW w:w="2439" w:type="dxa"/>
          </w:tcPr>
          <w:p>
            <w:pPr>
              <w:pStyle w:val="TableParagraph"/>
              <w:rPr>
                <w:rFonts w:ascii="Times New Roman"/>
                <w:sz w:val="18"/>
              </w:rPr>
            </w:pPr>
          </w:p>
        </w:tc>
        <w:tc>
          <w:tcPr>
            <w:tcW w:w="1597" w:type="dxa"/>
          </w:tcPr>
          <w:p>
            <w:pPr>
              <w:pStyle w:val="TableParagraph"/>
              <w:spacing w:line="248" w:lineRule="exact"/>
              <w:ind w:left="78"/>
              <w:rPr>
                <w:sz w:val="20"/>
              </w:rPr>
            </w:pPr>
            <w:r>
              <w:rPr>
                <w:w w:val="95"/>
                <w:sz w:val="20"/>
              </w:rPr>
              <w:t>一年以内</w:t>
            </w:r>
          </w:p>
        </w:tc>
        <w:tc>
          <w:tcPr>
            <w:tcW w:w="2000" w:type="dxa"/>
          </w:tcPr>
          <w:p>
            <w:pPr>
              <w:pStyle w:val="TableParagraph"/>
              <w:spacing w:line="227" w:lineRule="exact" w:before="21"/>
              <w:ind w:right="113"/>
              <w:jc w:val="right"/>
              <w:rPr>
                <w:rFonts w:ascii="Arial MT"/>
                <w:sz w:val="20"/>
              </w:rPr>
            </w:pPr>
            <w:r>
              <w:rPr>
                <w:rFonts w:ascii="Arial MT"/>
                <w:sz w:val="20"/>
              </w:rPr>
              <w:t>24</w:t>
            </w:r>
          </w:p>
        </w:tc>
        <w:tc>
          <w:tcPr>
            <w:tcW w:w="212" w:type="dxa"/>
          </w:tcPr>
          <w:p>
            <w:pPr>
              <w:pStyle w:val="TableParagraph"/>
              <w:rPr>
                <w:rFonts w:ascii="Times New Roman"/>
                <w:sz w:val="18"/>
              </w:rPr>
            </w:pPr>
          </w:p>
        </w:tc>
        <w:tc>
          <w:tcPr>
            <w:tcW w:w="2000" w:type="dxa"/>
          </w:tcPr>
          <w:p>
            <w:pPr>
              <w:pStyle w:val="TableParagraph"/>
              <w:spacing w:line="227" w:lineRule="exact" w:before="21"/>
              <w:ind w:right="114"/>
              <w:jc w:val="right"/>
              <w:rPr>
                <w:rFonts w:ascii="Arial MT"/>
                <w:sz w:val="20"/>
              </w:rPr>
            </w:pPr>
            <w:r>
              <w:rPr>
                <w:rFonts w:ascii="Arial MT"/>
                <w:sz w:val="20"/>
              </w:rPr>
              <w:t>79</w:t>
            </w:r>
          </w:p>
        </w:tc>
      </w:tr>
      <w:tr>
        <w:trPr>
          <w:trHeight w:val="259" w:hRule="atLeast"/>
        </w:trPr>
        <w:tc>
          <w:tcPr>
            <w:tcW w:w="543" w:type="dxa"/>
          </w:tcPr>
          <w:p>
            <w:pPr>
              <w:pStyle w:val="TableParagraph"/>
              <w:rPr>
                <w:rFonts w:ascii="Times New Roman"/>
                <w:sz w:val="18"/>
              </w:rPr>
            </w:pPr>
          </w:p>
        </w:tc>
        <w:tc>
          <w:tcPr>
            <w:tcW w:w="2439" w:type="dxa"/>
          </w:tcPr>
          <w:p>
            <w:pPr>
              <w:pStyle w:val="TableParagraph"/>
              <w:rPr>
                <w:rFonts w:ascii="Times New Roman"/>
                <w:sz w:val="18"/>
              </w:rPr>
            </w:pPr>
          </w:p>
        </w:tc>
        <w:tc>
          <w:tcPr>
            <w:tcW w:w="1597" w:type="dxa"/>
          </w:tcPr>
          <w:p>
            <w:pPr>
              <w:pStyle w:val="TableParagraph"/>
              <w:spacing w:line="239" w:lineRule="exact"/>
              <w:ind w:left="78"/>
              <w:rPr>
                <w:sz w:val="20"/>
              </w:rPr>
            </w:pPr>
            <w:r>
              <w:rPr>
                <w:w w:val="95"/>
                <w:sz w:val="20"/>
              </w:rPr>
              <w:t>一到二年</w:t>
            </w:r>
          </w:p>
        </w:tc>
        <w:tc>
          <w:tcPr>
            <w:tcW w:w="2000" w:type="dxa"/>
          </w:tcPr>
          <w:p>
            <w:pPr>
              <w:pStyle w:val="TableParagraph"/>
              <w:spacing w:line="227" w:lineRule="exact" w:before="12"/>
              <w:ind w:right="113"/>
              <w:jc w:val="right"/>
              <w:rPr>
                <w:rFonts w:ascii="Arial MT"/>
                <w:sz w:val="20"/>
              </w:rPr>
            </w:pPr>
            <w:r>
              <w:rPr>
                <w:rFonts w:ascii="Arial MT"/>
                <w:sz w:val="20"/>
              </w:rPr>
              <w:t>24</w:t>
            </w:r>
          </w:p>
        </w:tc>
        <w:tc>
          <w:tcPr>
            <w:tcW w:w="212" w:type="dxa"/>
          </w:tcPr>
          <w:p>
            <w:pPr>
              <w:pStyle w:val="TableParagraph"/>
              <w:rPr>
                <w:rFonts w:ascii="Times New Roman"/>
                <w:sz w:val="18"/>
              </w:rPr>
            </w:pPr>
          </w:p>
        </w:tc>
        <w:tc>
          <w:tcPr>
            <w:tcW w:w="2000" w:type="dxa"/>
          </w:tcPr>
          <w:p>
            <w:pPr>
              <w:pStyle w:val="TableParagraph"/>
              <w:spacing w:line="227" w:lineRule="exact" w:before="12"/>
              <w:ind w:right="114"/>
              <w:jc w:val="right"/>
              <w:rPr>
                <w:rFonts w:ascii="Arial MT"/>
                <w:sz w:val="20"/>
              </w:rPr>
            </w:pPr>
            <w:r>
              <w:rPr>
                <w:rFonts w:ascii="Arial MT"/>
                <w:sz w:val="20"/>
              </w:rPr>
              <w:t>24</w:t>
            </w:r>
          </w:p>
        </w:tc>
      </w:tr>
      <w:tr>
        <w:trPr>
          <w:trHeight w:val="259" w:hRule="atLeast"/>
        </w:trPr>
        <w:tc>
          <w:tcPr>
            <w:tcW w:w="543" w:type="dxa"/>
          </w:tcPr>
          <w:p>
            <w:pPr>
              <w:pStyle w:val="TableParagraph"/>
              <w:rPr>
                <w:rFonts w:ascii="Times New Roman"/>
                <w:sz w:val="18"/>
              </w:rPr>
            </w:pPr>
          </w:p>
        </w:tc>
        <w:tc>
          <w:tcPr>
            <w:tcW w:w="2439" w:type="dxa"/>
          </w:tcPr>
          <w:p>
            <w:pPr>
              <w:pStyle w:val="TableParagraph"/>
              <w:rPr>
                <w:rFonts w:ascii="Times New Roman"/>
                <w:sz w:val="18"/>
              </w:rPr>
            </w:pPr>
          </w:p>
        </w:tc>
        <w:tc>
          <w:tcPr>
            <w:tcW w:w="1597" w:type="dxa"/>
          </w:tcPr>
          <w:p>
            <w:pPr>
              <w:pStyle w:val="TableParagraph"/>
              <w:spacing w:line="239" w:lineRule="exact"/>
              <w:ind w:left="78"/>
              <w:rPr>
                <w:sz w:val="20"/>
              </w:rPr>
            </w:pPr>
            <w:r>
              <w:rPr>
                <w:w w:val="95"/>
                <w:sz w:val="20"/>
              </w:rPr>
              <w:t>二到三年</w:t>
            </w:r>
          </w:p>
        </w:tc>
        <w:tc>
          <w:tcPr>
            <w:tcW w:w="2000" w:type="dxa"/>
          </w:tcPr>
          <w:p>
            <w:pPr>
              <w:pStyle w:val="TableParagraph"/>
              <w:spacing w:line="227" w:lineRule="exact" w:before="12"/>
              <w:ind w:right="113"/>
              <w:jc w:val="right"/>
              <w:rPr>
                <w:rFonts w:ascii="Arial MT"/>
                <w:sz w:val="20"/>
              </w:rPr>
            </w:pPr>
            <w:r>
              <w:rPr>
                <w:rFonts w:ascii="Arial MT"/>
                <w:sz w:val="20"/>
              </w:rPr>
              <w:t>24</w:t>
            </w:r>
          </w:p>
        </w:tc>
        <w:tc>
          <w:tcPr>
            <w:tcW w:w="212" w:type="dxa"/>
          </w:tcPr>
          <w:p>
            <w:pPr>
              <w:pStyle w:val="TableParagraph"/>
              <w:rPr>
                <w:rFonts w:ascii="Times New Roman"/>
                <w:sz w:val="18"/>
              </w:rPr>
            </w:pPr>
          </w:p>
        </w:tc>
        <w:tc>
          <w:tcPr>
            <w:tcW w:w="2000" w:type="dxa"/>
          </w:tcPr>
          <w:p>
            <w:pPr>
              <w:pStyle w:val="TableParagraph"/>
              <w:spacing w:line="227" w:lineRule="exact" w:before="12"/>
              <w:ind w:right="114"/>
              <w:jc w:val="right"/>
              <w:rPr>
                <w:rFonts w:ascii="Arial MT"/>
                <w:sz w:val="20"/>
              </w:rPr>
            </w:pPr>
            <w:r>
              <w:rPr>
                <w:rFonts w:ascii="Arial MT"/>
                <w:sz w:val="20"/>
              </w:rPr>
              <w:t>24</w:t>
            </w:r>
          </w:p>
        </w:tc>
      </w:tr>
      <w:tr>
        <w:trPr>
          <w:trHeight w:val="263" w:hRule="atLeast"/>
        </w:trPr>
        <w:tc>
          <w:tcPr>
            <w:tcW w:w="543" w:type="dxa"/>
          </w:tcPr>
          <w:p>
            <w:pPr>
              <w:pStyle w:val="TableParagraph"/>
              <w:rPr>
                <w:rFonts w:ascii="Times New Roman"/>
                <w:sz w:val="18"/>
              </w:rPr>
            </w:pPr>
          </w:p>
        </w:tc>
        <w:tc>
          <w:tcPr>
            <w:tcW w:w="2439" w:type="dxa"/>
          </w:tcPr>
          <w:p>
            <w:pPr>
              <w:pStyle w:val="TableParagraph"/>
              <w:rPr>
                <w:rFonts w:ascii="Times New Roman"/>
                <w:sz w:val="18"/>
              </w:rPr>
            </w:pPr>
          </w:p>
        </w:tc>
        <w:tc>
          <w:tcPr>
            <w:tcW w:w="1597" w:type="dxa"/>
          </w:tcPr>
          <w:p>
            <w:pPr>
              <w:pStyle w:val="TableParagraph"/>
              <w:spacing w:line="243" w:lineRule="exact"/>
              <w:ind w:left="78"/>
              <w:rPr>
                <w:sz w:val="20"/>
              </w:rPr>
            </w:pPr>
            <w:r>
              <w:rPr>
                <w:w w:val="95"/>
                <w:sz w:val="20"/>
              </w:rPr>
              <w:t>三年以上</w:t>
            </w:r>
          </w:p>
        </w:tc>
        <w:tc>
          <w:tcPr>
            <w:tcW w:w="2000" w:type="dxa"/>
          </w:tcPr>
          <w:p>
            <w:pPr>
              <w:pStyle w:val="TableParagraph"/>
              <w:tabs>
                <w:tab w:pos="1651" w:val="left" w:leader="none"/>
              </w:tabs>
              <w:spacing w:before="12"/>
              <w:jc w:val="right"/>
              <w:rPr>
                <w:rFonts w:ascii="Arial MT"/>
                <w:sz w:val="20"/>
              </w:rPr>
            </w:pPr>
            <w:r>
              <w:rPr>
                <w:rFonts w:ascii="Arial MT"/>
                <w:w w:val="99"/>
                <w:sz w:val="20"/>
                <w:u w:val="single"/>
              </w:rPr>
              <w:t> </w:t>
            </w:r>
            <w:r>
              <w:rPr>
                <w:rFonts w:ascii="Arial MT"/>
                <w:sz w:val="20"/>
                <w:u w:val="single"/>
              </w:rPr>
              <w:tab/>
            </w:r>
            <w:r>
              <w:rPr>
                <w:rFonts w:ascii="Arial MT"/>
                <w:sz w:val="20"/>
                <w:u w:val="single"/>
              </w:rPr>
              <w:t>24 </w:t>
            </w:r>
            <w:r>
              <w:rPr>
                <w:rFonts w:ascii="Arial MT"/>
                <w:spacing w:val="1"/>
                <w:sz w:val="20"/>
                <w:u w:val="single"/>
              </w:rPr>
              <w:t> </w:t>
            </w:r>
          </w:p>
        </w:tc>
        <w:tc>
          <w:tcPr>
            <w:tcW w:w="212" w:type="dxa"/>
          </w:tcPr>
          <w:p>
            <w:pPr>
              <w:pStyle w:val="TableParagraph"/>
              <w:rPr>
                <w:rFonts w:ascii="Times New Roman"/>
                <w:sz w:val="18"/>
              </w:rPr>
            </w:pPr>
          </w:p>
        </w:tc>
        <w:tc>
          <w:tcPr>
            <w:tcW w:w="2000" w:type="dxa"/>
          </w:tcPr>
          <w:p>
            <w:pPr>
              <w:pStyle w:val="TableParagraph"/>
              <w:tabs>
                <w:tab w:pos="1662" w:val="left" w:leader="none"/>
              </w:tabs>
              <w:spacing w:before="12"/>
              <w:ind w:left="11"/>
              <w:rPr>
                <w:rFonts w:ascii="Arial MT"/>
                <w:sz w:val="20"/>
              </w:rPr>
            </w:pPr>
            <w:r>
              <w:rPr>
                <w:rFonts w:ascii="Arial MT"/>
                <w:w w:val="99"/>
                <w:sz w:val="20"/>
                <w:u w:val="single"/>
              </w:rPr>
              <w:t> </w:t>
            </w:r>
            <w:r>
              <w:rPr>
                <w:rFonts w:ascii="Arial MT"/>
                <w:sz w:val="20"/>
                <w:u w:val="single"/>
              </w:rPr>
              <w:tab/>
            </w:r>
            <w:r>
              <w:rPr>
                <w:rFonts w:ascii="Arial MT"/>
                <w:sz w:val="20"/>
                <w:u w:val="single"/>
              </w:rPr>
              <w:t>24 </w:t>
            </w:r>
            <w:r>
              <w:rPr>
                <w:rFonts w:ascii="Arial MT"/>
                <w:spacing w:val="1"/>
                <w:sz w:val="20"/>
                <w:u w:val="single"/>
              </w:rPr>
              <w:t> </w:t>
            </w:r>
          </w:p>
        </w:tc>
      </w:tr>
      <w:tr>
        <w:trPr>
          <w:trHeight w:val="409" w:hRule="atLeast"/>
        </w:trPr>
        <w:tc>
          <w:tcPr>
            <w:tcW w:w="543" w:type="dxa"/>
          </w:tcPr>
          <w:p>
            <w:pPr>
              <w:pStyle w:val="TableParagraph"/>
              <w:rPr>
                <w:rFonts w:ascii="Times New Roman"/>
                <w:sz w:val="20"/>
              </w:rPr>
            </w:pPr>
          </w:p>
        </w:tc>
        <w:tc>
          <w:tcPr>
            <w:tcW w:w="2439" w:type="dxa"/>
          </w:tcPr>
          <w:p>
            <w:pPr>
              <w:pStyle w:val="TableParagraph"/>
              <w:rPr>
                <w:rFonts w:ascii="Times New Roman"/>
                <w:sz w:val="20"/>
              </w:rPr>
            </w:pPr>
          </w:p>
        </w:tc>
        <w:tc>
          <w:tcPr>
            <w:tcW w:w="1597" w:type="dxa"/>
          </w:tcPr>
          <w:p>
            <w:pPr>
              <w:pStyle w:val="TableParagraph"/>
              <w:rPr>
                <w:rFonts w:ascii="Times New Roman"/>
                <w:sz w:val="20"/>
              </w:rPr>
            </w:pPr>
          </w:p>
        </w:tc>
        <w:tc>
          <w:tcPr>
            <w:tcW w:w="2000" w:type="dxa"/>
          </w:tcPr>
          <w:p>
            <w:pPr>
              <w:pStyle w:val="TableParagraph"/>
              <w:tabs>
                <w:tab w:pos="1651" w:val="left" w:leader="none"/>
              </w:tabs>
              <w:spacing w:before="13"/>
              <w:jc w:val="right"/>
              <w:rPr>
                <w:rFonts w:ascii="Arial MT"/>
                <w:sz w:val="20"/>
              </w:rPr>
            </w:pPr>
            <w:r>
              <w:rPr>
                <w:rFonts w:ascii="Arial MT"/>
                <w:w w:val="99"/>
                <w:sz w:val="20"/>
                <w:u w:val="thick"/>
              </w:rPr>
              <w:t> </w:t>
            </w:r>
            <w:r>
              <w:rPr>
                <w:rFonts w:ascii="Arial MT"/>
                <w:sz w:val="20"/>
                <w:u w:val="thick"/>
              </w:rPr>
              <w:tab/>
            </w:r>
            <w:r>
              <w:rPr>
                <w:rFonts w:ascii="Arial MT"/>
                <w:sz w:val="20"/>
                <w:u w:val="thick"/>
              </w:rPr>
              <w:t>96 </w:t>
            </w:r>
            <w:r>
              <w:rPr>
                <w:rFonts w:ascii="Arial MT"/>
                <w:spacing w:val="1"/>
                <w:sz w:val="20"/>
                <w:u w:val="thick"/>
              </w:rPr>
              <w:t> </w:t>
            </w:r>
          </w:p>
        </w:tc>
        <w:tc>
          <w:tcPr>
            <w:tcW w:w="212" w:type="dxa"/>
          </w:tcPr>
          <w:p>
            <w:pPr>
              <w:pStyle w:val="TableParagraph"/>
              <w:rPr>
                <w:rFonts w:ascii="Times New Roman"/>
                <w:sz w:val="20"/>
              </w:rPr>
            </w:pPr>
          </w:p>
        </w:tc>
        <w:tc>
          <w:tcPr>
            <w:tcW w:w="2000" w:type="dxa"/>
          </w:tcPr>
          <w:p>
            <w:pPr>
              <w:pStyle w:val="TableParagraph"/>
              <w:tabs>
                <w:tab w:pos="1550" w:val="left" w:leader="none"/>
              </w:tabs>
              <w:spacing w:before="13"/>
              <w:ind w:left="11"/>
              <w:rPr>
                <w:rFonts w:ascii="Arial MT"/>
                <w:sz w:val="20"/>
              </w:rPr>
            </w:pPr>
            <w:r>
              <w:rPr>
                <w:rFonts w:ascii="Arial MT"/>
                <w:w w:val="99"/>
                <w:sz w:val="20"/>
                <w:u w:val="thick"/>
              </w:rPr>
              <w:t> </w:t>
            </w:r>
            <w:r>
              <w:rPr>
                <w:rFonts w:ascii="Arial MT"/>
                <w:sz w:val="20"/>
                <w:u w:val="thick"/>
              </w:rPr>
              <w:tab/>
            </w:r>
            <w:r>
              <w:rPr>
                <w:rFonts w:ascii="Arial MT"/>
                <w:sz w:val="20"/>
                <w:u w:val="thick"/>
              </w:rPr>
              <w:t>151 </w:t>
            </w:r>
            <w:r>
              <w:rPr>
                <w:rFonts w:ascii="Arial MT"/>
                <w:spacing w:val="3"/>
                <w:sz w:val="20"/>
                <w:u w:val="thick"/>
              </w:rPr>
              <w:t> </w:t>
            </w:r>
          </w:p>
        </w:tc>
      </w:tr>
      <w:tr>
        <w:trPr>
          <w:trHeight w:val="406" w:hRule="atLeast"/>
        </w:trPr>
        <w:tc>
          <w:tcPr>
            <w:tcW w:w="543" w:type="dxa"/>
          </w:tcPr>
          <w:p>
            <w:pPr>
              <w:pStyle w:val="TableParagraph"/>
              <w:rPr>
                <w:rFonts w:ascii="Times New Roman"/>
                <w:sz w:val="20"/>
              </w:rPr>
            </w:pPr>
          </w:p>
        </w:tc>
        <w:tc>
          <w:tcPr>
            <w:tcW w:w="2439" w:type="dxa"/>
          </w:tcPr>
          <w:p>
            <w:pPr>
              <w:pStyle w:val="TableParagraph"/>
              <w:rPr>
                <w:rFonts w:ascii="Times New Roman"/>
                <w:sz w:val="20"/>
              </w:rPr>
            </w:pPr>
          </w:p>
        </w:tc>
        <w:tc>
          <w:tcPr>
            <w:tcW w:w="1597" w:type="dxa"/>
          </w:tcPr>
          <w:p>
            <w:pPr>
              <w:pStyle w:val="TableParagraph"/>
              <w:rPr>
                <w:rFonts w:ascii="Times New Roman"/>
                <w:sz w:val="20"/>
              </w:rPr>
            </w:pPr>
          </w:p>
        </w:tc>
        <w:tc>
          <w:tcPr>
            <w:tcW w:w="2000" w:type="dxa"/>
          </w:tcPr>
          <w:p>
            <w:pPr>
              <w:pStyle w:val="TableParagraph"/>
              <w:spacing w:line="241" w:lineRule="exact" w:before="146"/>
              <w:ind w:right="110"/>
              <w:jc w:val="right"/>
              <w:rPr>
                <w:sz w:val="20"/>
              </w:rPr>
            </w:pPr>
            <w:r>
              <w:rPr>
                <w:rFonts w:ascii="Arial MT" w:eastAsia="Arial MT"/>
                <w:w w:val="95"/>
                <w:sz w:val="20"/>
              </w:rPr>
              <w:t>2022</w:t>
            </w:r>
            <w:r>
              <w:rPr>
                <w:rFonts w:ascii="Arial MT" w:eastAsia="Arial MT"/>
                <w:spacing w:val="1"/>
                <w:w w:val="95"/>
                <w:sz w:val="20"/>
              </w:rPr>
              <w:t> </w:t>
            </w:r>
            <w:r>
              <w:rPr>
                <w:w w:val="95"/>
                <w:sz w:val="20"/>
              </w:rPr>
              <w:t>年</w:t>
            </w:r>
          </w:p>
        </w:tc>
        <w:tc>
          <w:tcPr>
            <w:tcW w:w="212" w:type="dxa"/>
          </w:tcPr>
          <w:p>
            <w:pPr>
              <w:pStyle w:val="TableParagraph"/>
              <w:rPr>
                <w:rFonts w:ascii="Times New Roman"/>
                <w:sz w:val="20"/>
              </w:rPr>
            </w:pPr>
          </w:p>
        </w:tc>
        <w:tc>
          <w:tcPr>
            <w:tcW w:w="2000" w:type="dxa"/>
          </w:tcPr>
          <w:p>
            <w:pPr>
              <w:pStyle w:val="TableParagraph"/>
              <w:spacing w:line="241" w:lineRule="exact" w:before="146"/>
              <w:ind w:left="1199"/>
              <w:rPr>
                <w:sz w:val="20"/>
              </w:rPr>
            </w:pPr>
            <w:r>
              <w:rPr>
                <w:rFonts w:ascii="Arial MT" w:eastAsia="Arial MT"/>
                <w:w w:val="95"/>
                <w:sz w:val="20"/>
              </w:rPr>
              <w:t>2021</w:t>
            </w:r>
            <w:r>
              <w:rPr>
                <w:rFonts w:ascii="Arial MT" w:eastAsia="Arial MT"/>
                <w:spacing w:val="1"/>
                <w:w w:val="95"/>
                <w:sz w:val="20"/>
              </w:rPr>
              <w:t> </w:t>
            </w:r>
            <w:r>
              <w:rPr>
                <w:w w:val="95"/>
                <w:sz w:val="20"/>
              </w:rPr>
              <w:t>年</w:t>
            </w:r>
          </w:p>
        </w:tc>
      </w:tr>
      <w:tr>
        <w:trPr>
          <w:trHeight w:val="386" w:hRule="atLeast"/>
        </w:trPr>
        <w:tc>
          <w:tcPr>
            <w:tcW w:w="543" w:type="dxa"/>
          </w:tcPr>
          <w:p>
            <w:pPr>
              <w:pStyle w:val="TableParagraph"/>
              <w:rPr>
                <w:rFonts w:ascii="Times New Roman"/>
                <w:sz w:val="20"/>
              </w:rPr>
            </w:pPr>
          </w:p>
        </w:tc>
        <w:tc>
          <w:tcPr>
            <w:tcW w:w="2439" w:type="dxa"/>
          </w:tcPr>
          <w:p>
            <w:pPr>
              <w:pStyle w:val="TableParagraph"/>
              <w:spacing w:line="255" w:lineRule="exact"/>
              <w:ind w:left="226"/>
              <w:rPr>
                <w:sz w:val="20"/>
              </w:rPr>
            </w:pPr>
            <w:r>
              <w:rPr>
                <w:w w:val="95"/>
                <w:sz w:val="20"/>
              </w:rPr>
              <w:t>承租方</w:t>
            </w:r>
          </w:p>
        </w:tc>
        <w:tc>
          <w:tcPr>
            <w:tcW w:w="1597" w:type="dxa"/>
          </w:tcPr>
          <w:p>
            <w:pPr>
              <w:pStyle w:val="TableParagraph"/>
              <w:rPr>
                <w:rFonts w:ascii="Times New Roman"/>
                <w:sz w:val="20"/>
              </w:rPr>
            </w:pPr>
          </w:p>
        </w:tc>
        <w:tc>
          <w:tcPr>
            <w:tcW w:w="2000" w:type="dxa"/>
          </w:tcPr>
          <w:p>
            <w:pPr>
              <w:pStyle w:val="TableParagraph"/>
              <w:spacing w:line="255" w:lineRule="exact"/>
              <w:ind w:right="110"/>
              <w:jc w:val="right"/>
              <w:rPr>
                <w:sz w:val="20"/>
              </w:rPr>
            </w:pPr>
            <w:r>
              <w:rPr>
                <w:rFonts w:ascii="Arial MT" w:eastAsia="Arial MT"/>
                <w:w w:val="95"/>
                <w:sz w:val="20"/>
              </w:rPr>
              <w:t>12</w:t>
            </w:r>
            <w:r>
              <w:rPr>
                <w:rFonts w:ascii="Arial MT" w:eastAsia="Arial MT"/>
                <w:spacing w:val="-3"/>
                <w:w w:val="95"/>
                <w:sz w:val="20"/>
              </w:rPr>
              <w:t> </w:t>
            </w:r>
            <w:r>
              <w:rPr>
                <w:spacing w:val="-17"/>
                <w:w w:val="95"/>
                <w:sz w:val="20"/>
              </w:rPr>
              <w:t>月 </w:t>
            </w:r>
            <w:r>
              <w:rPr>
                <w:rFonts w:ascii="Arial MT" w:eastAsia="Arial MT"/>
                <w:w w:val="95"/>
                <w:sz w:val="20"/>
              </w:rPr>
              <w:t>31 </w:t>
            </w:r>
            <w:r>
              <w:rPr>
                <w:w w:val="95"/>
                <w:sz w:val="20"/>
              </w:rPr>
              <w:t>日</w:t>
            </w:r>
          </w:p>
        </w:tc>
        <w:tc>
          <w:tcPr>
            <w:tcW w:w="212" w:type="dxa"/>
          </w:tcPr>
          <w:p>
            <w:pPr>
              <w:pStyle w:val="TableParagraph"/>
              <w:rPr>
                <w:rFonts w:ascii="Times New Roman"/>
                <w:sz w:val="20"/>
              </w:rPr>
            </w:pPr>
          </w:p>
        </w:tc>
        <w:tc>
          <w:tcPr>
            <w:tcW w:w="2000" w:type="dxa"/>
          </w:tcPr>
          <w:p>
            <w:pPr>
              <w:pStyle w:val="TableParagraph"/>
              <w:spacing w:line="255" w:lineRule="exact"/>
              <w:ind w:left="904"/>
              <w:rPr>
                <w:sz w:val="20"/>
              </w:rPr>
            </w:pPr>
            <w:r>
              <w:rPr>
                <w:rFonts w:ascii="Arial MT" w:eastAsia="Arial MT"/>
                <w:w w:val="95"/>
                <w:sz w:val="20"/>
              </w:rPr>
              <w:t>12</w:t>
            </w:r>
            <w:r>
              <w:rPr>
                <w:rFonts w:ascii="Arial MT" w:eastAsia="Arial MT"/>
                <w:spacing w:val="-3"/>
                <w:w w:val="95"/>
                <w:sz w:val="20"/>
              </w:rPr>
              <w:t> </w:t>
            </w:r>
            <w:r>
              <w:rPr>
                <w:spacing w:val="-17"/>
                <w:w w:val="95"/>
                <w:sz w:val="20"/>
              </w:rPr>
              <w:t>月 </w:t>
            </w:r>
            <w:r>
              <w:rPr>
                <w:rFonts w:ascii="Arial MT" w:eastAsia="Arial MT"/>
                <w:w w:val="95"/>
                <w:sz w:val="20"/>
              </w:rPr>
              <w:t>31 </w:t>
            </w:r>
            <w:r>
              <w:rPr>
                <w:w w:val="95"/>
                <w:sz w:val="20"/>
              </w:rPr>
              <w:t>日</w:t>
            </w:r>
          </w:p>
        </w:tc>
      </w:tr>
      <w:tr>
        <w:trPr>
          <w:trHeight w:val="391" w:hRule="atLeast"/>
        </w:trPr>
        <w:tc>
          <w:tcPr>
            <w:tcW w:w="543" w:type="dxa"/>
          </w:tcPr>
          <w:p>
            <w:pPr>
              <w:pStyle w:val="TableParagraph"/>
              <w:rPr>
                <w:rFonts w:ascii="Times New Roman"/>
                <w:sz w:val="20"/>
              </w:rPr>
            </w:pPr>
          </w:p>
        </w:tc>
        <w:tc>
          <w:tcPr>
            <w:tcW w:w="2439" w:type="dxa"/>
          </w:tcPr>
          <w:p>
            <w:pPr>
              <w:pStyle w:val="TableParagraph"/>
              <w:spacing w:line="245" w:lineRule="exact" w:before="126"/>
              <w:ind w:left="226"/>
              <w:rPr>
                <w:sz w:val="20"/>
              </w:rPr>
            </w:pPr>
            <w:r>
              <w:rPr>
                <w:w w:val="95"/>
                <w:sz w:val="20"/>
              </w:rPr>
              <w:t>鸿海精密之合</w:t>
            </w:r>
            <w:r>
              <w:rPr>
                <w:rFonts w:ascii="Arial MT" w:eastAsia="Arial MT"/>
                <w:w w:val="95"/>
                <w:sz w:val="20"/>
              </w:rPr>
              <w:t>(</w:t>
            </w:r>
            <w:r>
              <w:rPr>
                <w:w w:val="95"/>
                <w:sz w:val="20"/>
              </w:rPr>
              <w:t>联</w:t>
            </w:r>
            <w:r>
              <w:rPr>
                <w:rFonts w:ascii="Arial MT" w:eastAsia="Arial MT"/>
                <w:w w:val="95"/>
                <w:sz w:val="20"/>
              </w:rPr>
              <w:t>)</w:t>
            </w:r>
            <w:r>
              <w:rPr>
                <w:w w:val="95"/>
                <w:sz w:val="20"/>
              </w:rPr>
              <w:t>营企业</w:t>
            </w:r>
          </w:p>
        </w:tc>
        <w:tc>
          <w:tcPr>
            <w:tcW w:w="1597" w:type="dxa"/>
          </w:tcPr>
          <w:p>
            <w:pPr>
              <w:pStyle w:val="TableParagraph"/>
              <w:spacing w:line="245" w:lineRule="exact" w:before="126"/>
              <w:ind w:left="78"/>
              <w:rPr>
                <w:sz w:val="20"/>
              </w:rPr>
            </w:pPr>
            <w:r>
              <w:rPr>
                <w:w w:val="95"/>
                <w:sz w:val="20"/>
              </w:rPr>
              <w:t>租赁</w:t>
            </w:r>
            <w:r>
              <w:rPr>
                <w:rFonts w:ascii="Arial MT" w:eastAsia="Arial MT"/>
                <w:w w:val="95"/>
                <w:sz w:val="20"/>
              </w:rPr>
              <w:t>-</w:t>
            </w:r>
            <w:r>
              <w:rPr>
                <w:w w:val="95"/>
                <w:sz w:val="20"/>
              </w:rPr>
              <w:t>租出</w:t>
            </w:r>
          </w:p>
        </w:tc>
        <w:tc>
          <w:tcPr>
            <w:tcW w:w="2000" w:type="dxa"/>
          </w:tcPr>
          <w:p>
            <w:pPr>
              <w:pStyle w:val="TableParagraph"/>
              <w:rPr>
                <w:rFonts w:ascii="Times New Roman"/>
                <w:sz w:val="20"/>
              </w:rPr>
            </w:pPr>
          </w:p>
        </w:tc>
        <w:tc>
          <w:tcPr>
            <w:tcW w:w="212" w:type="dxa"/>
          </w:tcPr>
          <w:p>
            <w:pPr>
              <w:pStyle w:val="TableParagraph"/>
              <w:rPr>
                <w:rFonts w:ascii="Times New Roman"/>
                <w:sz w:val="20"/>
              </w:rPr>
            </w:pPr>
          </w:p>
        </w:tc>
        <w:tc>
          <w:tcPr>
            <w:tcW w:w="2000" w:type="dxa"/>
          </w:tcPr>
          <w:p>
            <w:pPr>
              <w:pStyle w:val="TableParagraph"/>
              <w:rPr>
                <w:rFonts w:ascii="Times New Roman"/>
                <w:sz w:val="20"/>
              </w:rPr>
            </w:pPr>
          </w:p>
        </w:tc>
      </w:tr>
      <w:tr>
        <w:trPr>
          <w:trHeight w:val="267" w:hRule="atLeast"/>
        </w:trPr>
        <w:tc>
          <w:tcPr>
            <w:tcW w:w="543" w:type="dxa"/>
          </w:tcPr>
          <w:p>
            <w:pPr>
              <w:pStyle w:val="TableParagraph"/>
              <w:rPr>
                <w:rFonts w:ascii="Times New Roman"/>
                <w:sz w:val="18"/>
              </w:rPr>
            </w:pPr>
          </w:p>
        </w:tc>
        <w:tc>
          <w:tcPr>
            <w:tcW w:w="2439" w:type="dxa"/>
          </w:tcPr>
          <w:p>
            <w:pPr>
              <w:pStyle w:val="TableParagraph"/>
              <w:rPr>
                <w:rFonts w:ascii="Times New Roman"/>
                <w:sz w:val="18"/>
              </w:rPr>
            </w:pPr>
          </w:p>
        </w:tc>
        <w:tc>
          <w:tcPr>
            <w:tcW w:w="1597" w:type="dxa"/>
          </w:tcPr>
          <w:p>
            <w:pPr>
              <w:pStyle w:val="TableParagraph"/>
              <w:spacing w:line="247" w:lineRule="exact"/>
              <w:ind w:left="78"/>
              <w:rPr>
                <w:sz w:val="20"/>
              </w:rPr>
            </w:pPr>
            <w:r>
              <w:rPr>
                <w:w w:val="95"/>
                <w:sz w:val="20"/>
              </w:rPr>
              <w:t>一年以内</w:t>
            </w:r>
          </w:p>
        </w:tc>
        <w:tc>
          <w:tcPr>
            <w:tcW w:w="2000" w:type="dxa"/>
          </w:tcPr>
          <w:p>
            <w:pPr>
              <w:pStyle w:val="TableParagraph"/>
              <w:tabs>
                <w:tab w:pos="1262" w:val="left" w:leader="none"/>
              </w:tabs>
              <w:spacing w:line="229" w:lineRule="exact" w:before="18"/>
              <w:jc w:val="right"/>
              <w:rPr>
                <w:rFonts w:ascii="Arial MT"/>
                <w:sz w:val="20"/>
              </w:rPr>
            </w:pPr>
            <w:r>
              <w:rPr>
                <w:rFonts w:ascii="Arial MT"/>
                <w:w w:val="99"/>
                <w:sz w:val="20"/>
                <w:u w:val="thick"/>
              </w:rPr>
              <w:t> </w:t>
            </w:r>
            <w:r>
              <w:rPr>
                <w:rFonts w:ascii="Arial MT"/>
                <w:sz w:val="20"/>
                <w:u w:val="thick"/>
              </w:rPr>
              <w:tab/>
            </w:r>
            <w:r>
              <w:rPr>
                <w:rFonts w:ascii="Arial MT"/>
                <w:sz w:val="20"/>
                <w:u w:val="thick"/>
              </w:rPr>
              <w:t>26,298 </w:t>
            </w:r>
            <w:r>
              <w:rPr>
                <w:rFonts w:ascii="Arial MT"/>
                <w:spacing w:val="1"/>
                <w:sz w:val="20"/>
                <w:u w:val="thick"/>
              </w:rPr>
              <w:t> </w:t>
            </w:r>
          </w:p>
        </w:tc>
        <w:tc>
          <w:tcPr>
            <w:tcW w:w="212" w:type="dxa"/>
          </w:tcPr>
          <w:p>
            <w:pPr>
              <w:pStyle w:val="TableParagraph"/>
              <w:rPr>
                <w:rFonts w:ascii="Times New Roman"/>
                <w:sz w:val="18"/>
              </w:rPr>
            </w:pPr>
          </w:p>
        </w:tc>
        <w:tc>
          <w:tcPr>
            <w:tcW w:w="2000" w:type="dxa"/>
          </w:tcPr>
          <w:p>
            <w:pPr>
              <w:pStyle w:val="TableParagraph"/>
              <w:tabs>
                <w:tab w:pos="1818" w:val="left" w:leader="none"/>
              </w:tabs>
              <w:spacing w:line="229" w:lineRule="exact" w:before="18"/>
              <w:ind w:left="11"/>
              <w:rPr>
                <w:rFonts w:ascii="Arial MT"/>
                <w:sz w:val="20"/>
              </w:rPr>
            </w:pPr>
            <w:r>
              <w:rPr>
                <w:rFonts w:ascii="Arial MT"/>
                <w:w w:val="99"/>
                <w:sz w:val="20"/>
                <w:u w:val="thick"/>
              </w:rPr>
              <w:t> </w:t>
            </w:r>
            <w:r>
              <w:rPr>
                <w:rFonts w:ascii="Arial MT"/>
                <w:sz w:val="20"/>
                <w:u w:val="thick"/>
              </w:rPr>
              <w:tab/>
            </w:r>
            <w:r>
              <w:rPr>
                <w:rFonts w:ascii="Arial MT"/>
                <w:sz w:val="20"/>
                <w:u w:val="thick"/>
              </w:rPr>
              <w:t>-  </w:t>
            </w:r>
          </w:p>
        </w:tc>
      </w:tr>
      <w:tr>
        <w:trPr>
          <w:trHeight w:val="324" w:hRule="atLeast"/>
        </w:trPr>
        <w:tc>
          <w:tcPr>
            <w:tcW w:w="543" w:type="dxa"/>
          </w:tcPr>
          <w:p>
            <w:pPr>
              <w:pStyle w:val="TableParagraph"/>
              <w:spacing w:before="11"/>
              <w:ind w:left="50"/>
              <w:rPr>
                <w:rFonts w:ascii="Arial MT"/>
                <w:sz w:val="24"/>
              </w:rPr>
            </w:pPr>
            <w:r>
              <w:rPr>
                <w:rFonts w:ascii="Arial MT"/>
                <w:sz w:val="24"/>
              </w:rPr>
              <w:t>(ii)</w:t>
            </w:r>
          </w:p>
        </w:tc>
        <w:tc>
          <w:tcPr>
            <w:tcW w:w="2439" w:type="dxa"/>
          </w:tcPr>
          <w:p>
            <w:pPr>
              <w:pStyle w:val="TableParagraph"/>
              <w:spacing w:line="289" w:lineRule="exact" w:before="15"/>
              <w:ind w:left="226"/>
              <w:rPr>
                <w:sz w:val="24"/>
              </w:rPr>
            </w:pPr>
            <w:r>
              <w:rPr>
                <w:sz w:val="24"/>
              </w:rPr>
              <w:t>商标使用权</w:t>
            </w:r>
          </w:p>
        </w:tc>
        <w:tc>
          <w:tcPr>
            <w:tcW w:w="1597" w:type="dxa"/>
          </w:tcPr>
          <w:p>
            <w:pPr>
              <w:pStyle w:val="TableParagraph"/>
              <w:rPr>
                <w:rFonts w:ascii="Times New Roman"/>
                <w:sz w:val="20"/>
              </w:rPr>
            </w:pPr>
          </w:p>
        </w:tc>
        <w:tc>
          <w:tcPr>
            <w:tcW w:w="2000" w:type="dxa"/>
          </w:tcPr>
          <w:p>
            <w:pPr>
              <w:pStyle w:val="TableParagraph"/>
              <w:rPr>
                <w:rFonts w:ascii="Times New Roman"/>
                <w:sz w:val="20"/>
              </w:rPr>
            </w:pPr>
          </w:p>
        </w:tc>
        <w:tc>
          <w:tcPr>
            <w:tcW w:w="212" w:type="dxa"/>
          </w:tcPr>
          <w:p>
            <w:pPr>
              <w:pStyle w:val="TableParagraph"/>
              <w:rPr>
                <w:rFonts w:ascii="Times New Roman"/>
                <w:sz w:val="20"/>
              </w:rPr>
            </w:pPr>
          </w:p>
        </w:tc>
        <w:tc>
          <w:tcPr>
            <w:tcW w:w="2000" w:type="dxa"/>
          </w:tcPr>
          <w:p>
            <w:pPr>
              <w:pStyle w:val="TableParagraph"/>
              <w:rPr>
                <w:rFonts w:ascii="Times New Roman"/>
                <w:sz w:val="20"/>
              </w:rPr>
            </w:pPr>
          </w:p>
        </w:tc>
      </w:tr>
      <w:tr>
        <w:trPr>
          <w:trHeight w:val="274" w:hRule="atLeast"/>
        </w:trPr>
        <w:tc>
          <w:tcPr>
            <w:tcW w:w="543" w:type="dxa"/>
          </w:tcPr>
          <w:p>
            <w:pPr>
              <w:pStyle w:val="TableParagraph"/>
              <w:spacing w:line="254" w:lineRule="exact" w:before="1"/>
              <w:ind w:left="50"/>
              <w:rPr>
                <w:sz w:val="24"/>
              </w:rPr>
            </w:pPr>
            <w:r>
              <w:rPr>
                <w:sz w:val="24"/>
              </w:rPr>
              <w:t> </w:t>
            </w:r>
          </w:p>
        </w:tc>
        <w:tc>
          <w:tcPr>
            <w:tcW w:w="2439" w:type="dxa"/>
          </w:tcPr>
          <w:p>
            <w:pPr>
              <w:pStyle w:val="TableParagraph"/>
              <w:rPr>
                <w:rFonts w:ascii="Times New Roman"/>
                <w:sz w:val="20"/>
              </w:rPr>
            </w:pPr>
          </w:p>
        </w:tc>
        <w:tc>
          <w:tcPr>
            <w:tcW w:w="1597" w:type="dxa"/>
          </w:tcPr>
          <w:p>
            <w:pPr>
              <w:pStyle w:val="TableParagraph"/>
              <w:rPr>
                <w:rFonts w:ascii="Times New Roman"/>
                <w:sz w:val="20"/>
              </w:rPr>
            </w:pPr>
          </w:p>
        </w:tc>
        <w:tc>
          <w:tcPr>
            <w:tcW w:w="2000" w:type="dxa"/>
          </w:tcPr>
          <w:p>
            <w:pPr>
              <w:pStyle w:val="TableParagraph"/>
              <w:rPr>
                <w:rFonts w:ascii="Times New Roman"/>
                <w:sz w:val="20"/>
              </w:rPr>
            </w:pPr>
          </w:p>
        </w:tc>
        <w:tc>
          <w:tcPr>
            <w:tcW w:w="212" w:type="dxa"/>
          </w:tcPr>
          <w:p>
            <w:pPr>
              <w:pStyle w:val="TableParagraph"/>
              <w:rPr>
                <w:rFonts w:ascii="Times New Roman"/>
                <w:sz w:val="20"/>
              </w:rPr>
            </w:pPr>
          </w:p>
        </w:tc>
        <w:tc>
          <w:tcPr>
            <w:tcW w:w="2000" w:type="dxa"/>
          </w:tcPr>
          <w:p>
            <w:pPr>
              <w:pStyle w:val="TableParagraph"/>
              <w:rPr>
                <w:rFonts w:ascii="Times New Roman"/>
                <w:sz w:val="20"/>
              </w:rPr>
            </w:pPr>
          </w:p>
        </w:tc>
      </w:tr>
    </w:tbl>
    <w:p>
      <w:pPr>
        <w:pStyle w:val="BodyText"/>
        <w:spacing w:before="8"/>
        <w:ind w:left="0"/>
        <w:rPr>
          <w:sz w:val="4"/>
        </w:rPr>
      </w:pPr>
    </w:p>
    <w:p>
      <w:pPr>
        <w:pStyle w:val="BodyText"/>
        <w:spacing w:before="4"/>
        <w:ind w:left="0"/>
        <w:rPr>
          <w:sz w:val="2"/>
        </w:rPr>
      </w:pP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44"/>
        <w:gridCol w:w="1411"/>
        <w:gridCol w:w="2465"/>
        <w:gridCol w:w="2298"/>
      </w:tblGrid>
      <w:tr>
        <w:trPr>
          <w:trHeight w:val="631" w:hRule="atLeast"/>
        </w:trPr>
        <w:tc>
          <w:tcPr>
            <w:tcW w:w="2244" w:type="dxa"/>
          </w:tcPr>
          <w:p>
            <w:pPr>
              <w:pStyle w:val="TableParagraph"/>
              <w:rPr>
                <w:rFonts w:ascii="Times New Roman"/>
                <w:sz w:val="20"/>
              </w:rPr>
            </w:pPr>
          </w:p>
        </w:tc>
        <w:tc>
          <w:tcPr>
            <w:tcW w:w="1411" w:type="dxa"/>
          </w:tcPr>
          <w:p>
            <w:pPr>
              <w:pStyle w:val="TableParagraph"/>
              <w:rPr>
                <w:rFonts w:ascii="Times New Roman"/>
                <w:sz w:val="20"/>
              </w:rPr>
            </w:pPr>
          </w:p>
        </w:tc>
        <w:tc>
          <w:tcPr>
            <w:tcW w:w="2465" w:type="dxa"/>
          </w:tcPr>
          <w:p>
            <w:pPr>
              <w:pStyle w:val="TableParagraph"/>
              <w:spacing w:line="237" w:lineRule="exact"/>
              <w:ind w:right="221"/>
              <w:jc w:val="right"/>
              <w:rPr>
                <w:sz w:val="20"/>
              </w:rPr>
            </w:pPr>
            <w:r>
              <w:rPr>
                <w:rFonts w:ascii="Arial MT" w:eastAsia="Arial MT"/>
                <w:w w:val="95"/>
                <w:sz w:val="20"/>
              </w:rPr>
              <w:t>2022</w:t>
            </w:r>
            <w:r>
              <w:rPr>
                <w:rFonts w:ascii="Arial MT" w:eastAsia="Arial MT"/>
                <w:spacing w:val="19"/>
                <w:w w:val="95"/>
                <w:sz w:val="20"/>
              </w:rPr>
              <w:t> </w:t>
            </w:r>
            <w:r>
              <w:rPr>
                <w:w w:val="95"/>
                <w:sz w:val="20"/>
              </w:rPr>
              <w:t>年</w:t>
            </w:r>
          </w:p>
          <w:p>
            <w:pPr>
              <w:pStyle w:val="TableParagraph"/>
              <w:spacing w:before="3"/>
              <w:ind w:right="221"/>
              <w:jc w:val="right"/>
              <w:rPr>
                <w:sz w:val="20"/>
              </w:rPr>
            </w:pPr>
            <w:r>
              <w:rPr>
                <w:rFonts w:ascii="Arial MT" w:eastAsia="Arial MT"/>
                <w:w w:val="95"/>
                <w:sz w:val="20"/>
              </w:rPr>
              <w:t>12</w:t>
            </w:r>
            <w:r>
              <w:rPr>
                <w:rFonts w:ascii="Arial MT" w:eastAsia="Arial MT"/>
                <w:spacing w:val="1"/>
                <w:w w:val="95"/>
                <w:sz w:val="20"/>
              </w:rPr>
              <w:t> </w:t>
            </w:r>
            <w:r>
              <w:rPr>
                <w:spacing w:val="-15"/>
                <w:w w:val="95"/>
                <w:sz w:val="20"/>
              </w:rPr>
              <w:t>月 </w:t>
            </w:r>
            <w:r>
              <w:rPr>
                <w:rFonts w:ascii="Arial MT" w:eastAsia="Arial MT"/>
                <w:w w:val="95"/>
                <w:sz w:val="20"/>
              </w:rPr>
              <w:t>31</w:t>
            </w:r>
            <w:r>
              <w:rPr>
                <w:rFonts w:ascii="Arial MT" w:eastAsia="Arial MT"/>
                <w:spacing w:val="4"/>
                <w:w w:val="95"/>
                <w:sz w:val="20"/>
              </w:rPr>
              <w:t> </w:t>
            </w:r>
            <w:r>
              <w:rPr>
                <w:w w:val="95"/>
                <w:sz w:val="20"/>
              </w:rPr>
              <w:t>日</w:t>
            </w:r>
          </w:p>
        </w:tc>
        <w:tc>
          <w:tcPr>
            <w:tcW w:w="2298" w:type="dxa"/>
          </w:tcPr>
          <w:p>
            <w:pPr>
              <w:pStyle w:val="TableParagraph"/>
              <w:spacing w:line="237" w:lineRule="exact"/>
              <w:ind w:right="308"/>
              <w:jc w:val="right"/>
              <w:rPr>
                <w:sz w:val="20"/>
              </w:rPr>
            </w:pPr>
            <w:r>
              <w:rPr>
                <w:rFonts w:ascii="Arial MT" w:eastAsia="Arial MT"/>
                <w:w w:val="95"/>
                <w:sz w:val="20"/>
              </w:rPr>
              <w:t>2021</w:t>
            </w:r>
            <w:r>
              <w:rPr>
                <w:rFonts w:ascii="Arial MT" w:eastAsia="Arial MT"/>
                <w:spacing w:val="19"/>
                <w:w w:val="95"/>
                <w:sz w:val="20"/>
              </w:rPr>
              <w:t> </w:t>
            </w:r>
            <w:r>
              <w:rPr>
                <w:w w:val="95"/>
                <w:sz w:val="20"/>
              </w:rPr>
              <w:t>年</w:t>
            </w:r>
          </w:p>
          <w:p>
            <w:pPr>
              <w:pStyle w:val="TableParagraph"/>
              <w:spacing w:before="3"/>
              <w:ind w:right="308"/>
              <w:jc w:val="right"/>
              <w:rPr>
                <w:sz w:val="20"/>
              </w:rPr>
            </w:pPr>
            <w:r>
              <w:rPr>
                <w:rFonts w:ascii="Arial MT" w:eastAsia="Arial MT"/>
                <w:w w:val="95"/>
                <w:sz w:val="20"/>
              </w:rPr>
              <w:t>12</w:t>
            </w:r>
            <w:r>
              <w:rPr>
                <w:rFonts w:ascii="Arial MT" w:eastAsia="Arial MT"/>
                <w:spacing w:val="1"/>
                <w:w w:val="95"/>
                <w:sz w:val="20"/>
              </w:rPr>
              <w:t> </w:t>
            </w:r>
            <w:r>
              <w:rPr>
                <w:spacing w:val="-15"/>
                <w:w w:val="95"/>
                <w:sz w:val="20"/>
              </w:rPr>
              <w:t>月 </w:t>
            </w:r>
            <w:r>
              <w:rPr>
                <w:rFonts w:ascii="Arial MT" w:eastAsia="Arial MT"/>
                <w:w w:val="95"/>
                <w:sz w:val="20"/>
              </w:rPr>
              <w:t>31</w:t>
            </w:r>
            <w:r>
              <w:rPr>
                <w:rFonts w:ascii="Arial MT" w:eastAsia="Arial MT"/>
                <w:spacing w:val="4"/>
                <w:w w:val="95"/>
                <w:sz w:val="20"/>
              </w:rPr>
              <w:t> </w:t>
            </w:r>
            <w:r>
              <w:rPr>
                <w:w w:val="95"/>
                <w:sz w:val="20"/>
              </w:rPr>
              <w:t>日</w:t>
            </w:r>
          </w:p>
        </w:tc>
      </w:tr>
      <w:tr>
        <w:trPr>
          <w:trHeight w:val="394" w:hRule="atLeast"/>
        </w:trPr>
        <w:tc>
          <w:tcPr>
            <w:tcW w:w="2244" w:type="dxa"/>
          </w:tcPr>
          <w:p>
            <w:pPr>
              <w:pStyle w:val="TableParagraph"/>
              <w:spacing w:line="254" w:lineRule="exact" w:before="121"/>
              <w:ind w:left="200"/>
              <w:rPr>
                <w:sz w:val="20"/>
              </w:rPr>
            </w:pPr>
            <w:r>
              <w:rPr>
                <w:w w:val="95"/>
                <w:sz w:val="20"/>
              </w:rPr>
              <w:t>鸿海精密及其子公司</w:t>
            </w:r>
          </w:p>
        </w:tc>
        <w:tc>
          <w:tcPr>
            <w:tcW w:w="1411" w:type="dxa"/>
          </w:tcPr>
          <w:p>
            <w:pPr>
              <w:pStyle w:val="TableParagraph"/>
              <w:spacing w:line="254" w:lineRule="exact" w:before="121"/>
              <w:ind w:left="246"/>
              <w:rPr>
                <w:sz w:val="20"/>
              </w:rPr>
            </w:pPr>
            <w:r>
              <w:rPr>
                <w:w w:val="95"/>
                <w:sz w:val="20"/>
              </w:rPr>
              <w:t>一年以内</w:t>
            </w:r>
          </w:p>
        </w:tc>
        <w:tc>
          <w:tcPr>
            <w:tcW w:w="2465" w:type="dxa"/>
          </w:tcPr>
          <w:p>
            <w:pPr>
              <w:pStyle w:val="TableParagraph"/>
              <w:spacing w:line="227" w:lineRule="exact" w:before="148"/>
              <w:ind w:right="224"/>
              <w:jc w:val="right"/>
              <w:rPr>
                <w:rFonts w:ascii="Arial MT"/>
                <w:sz w:val="20"/>
              </w:rPr>
            </w:pPr>
            <w:r>
              <w:rPr>
                <w:rFonts w:ascii="Arial MT"/>
                <w:sz w:val="20"/>
              </w:rPr>
              <w:t>2,500</w:t>
            </w:r>
          </w:p>
        </w:tc>
        <w:tc>
          <w:tcPr>
            <w:tcW w:w="2298" w:type="dxa"/>
          </w:tcPr>
          <w:p>
            <w:pPr>
              <w:pStyle w:val="TableParagraph"/>
              <w:spacing w:line="227" w:lineRule="exact" w:before="148"/>
              <w:ind w:left="1485"/>
              <w:rPr>
                <w:rFonts w:ascii="Arial MT"/>
                <w:sz w:val="20"/>
              </w:rPr>
            </w:pPr>
            <w:r>
              <w:rPr>
                <w:rFonts w:ascii="Arial MT"/>
                <w:sz w:val="20"/>
              </w:rPr>
              <w:t>2,500</w:t>
            </w:r>
          </w:p>
        </w:tc>
      </w:tr>
      <w:tr>
        <w:trPr>
          <w:trHeight w:val="259" w:hRule="atLeast"/>
        </w:trPr>
        <w:tc>
          <w:tcPr>
            <w:tcW w:w="2244" w:type="dxa"/>
          </w:tcPr>
          <w:p>
            <w:pPr>
              <w:pStyle w:val="TableParagraph"/>
              <w:rPr>
                <w:rFonts w:ascii="Times New Roman"/>
                <w:sz w:val="18"/>
              </w:rPr>
            </w:pPr>
          </w:p>
        </w:tc>
        <w:tc>
          <w:tcPr>
            <w:tcW w:w="1411" w:type="dxa"/>
          </w:tcPr>
          <w:p>
            <w:pPr>
              <w:pStyle w:val="TableParagraph"/>
              <w:spacing w:line="239" w:lineRule="exact"/>
              <w:ind w:left="246"/>
              <w:rPr>
                <w:sz w:val="20"/>
              </w:rPr>
            </w:pPr>
            <w:r>
              <w:rPr>
                <w:w w:val="95"/>
                <w:sz w:val="20"/>
              </w:rPr>
              <w:t>一到二年</w:t>
            </w:r>
          </w:p>
        </w:tc>
        <w:tc>
          <w:tcPr>
            <w:tcW w:w="2465" w:type="dxa"/>
          </w:tcPr>
          <w:p>
            <w:pPr>
              <w:pStyle w:val="TableParagraph"/>
              <w:spacing w:line="227" w:lineRule="exact" w:before="12"/>
              <w:ind w:right="224"/>
              <w:jc w:val="right"/>
              <w:rPr>
                <w:rFonts w:ascii="Arial MT"/>
                <w:sz w:val="20"/>
              </w:rPr>
            </w:pPr>
            <w:r>
              <w:rPr>
                <w:rFonts w:ascii="Arial MT"/>
                <w:sz w:val="20"/>
              </w:rPr>
              <w:t>2,500</w:t>
            </w:r>
          </w:p>
        </w:tc>
        <w:tc>
          <w:tcPr>
            <w:tcW w:w="2298" w:type="dxa"/>
          </w:tcPr>
          <w:p>
            <w:pPr>
              <w:pStyle w:val="TableParagraph"/>
              <w:spacing w:line="227" w:lineRule="exact" w:before="12"/>
              <w:ind w:left="1485"/>
              <w:rPr>
                <w:rFonts w:ascii="Arial MT"/>
                <w:sz w:val="20"/>
              </w:rPr>
            </w:pPr>
            <w:r>
              <w:rPr>
                <w:rFonts w:ascii="Arial MT"/>
                <w:sz w:val="20"/>
              </w:rPr>
              <w:t>2,500</w:t>
            </w:r>
          </w:p>
        </w:tc>
      </w:tr>
      <w:tr>
        <w:trPr>
          <w:trHeight w:val="259" w:hRule="atLeast"/>
        </w:trPr>
        <w:tc>
          <w:tcPr>
            <w:tcW w:w="2244" w:type="dxa"/>
          </w:tcPr>
          <w:p>
            <w:pPr>
              <w:pStyle w:val="TableParagraph"/>
              <w:rPr>
                <w:rFonts w:ascii="Times New Roman"/>
                <w:sz w:val="18"/>
              </w:rPr>
            </w:pPr>
          </w:p>
        </w:tc>
        <w:tc>
          <w:tcPr>
            <w:tcW w:w="1411" w:type="dxa"/>
          </w:tcPr>
          <w:p>
            <w:pPr>
              <w:pStyle w:val="TableParagraph"/>
              <w:spacing w:line="239" w:lineRule="exact"/>
              <w:ind w:left="246"/>
              <w:rPr>
                <w:sz w:val="20"/>
              </w:rPr>
            </w:pPr>
            <w:r>
              <w:rPr>
                <w:w w:val="95"/>
                <w:sz w:val="20"/>
              </w:rPr>
              <w:t>二到三年</w:t>
            </w:r>
          </w:p>
        </w:tc>
        <w:tc>
          <w:tcPr>
            <w:tcW w:w="2465" w:type="dxa"/>
          </w:tcPr>
          <w:p>
            <w:pPr>
              <w:pStyle w:val="TableParagraph"/>
              <w:spacing w:line="227" w:lineRule="exact" w:before="12"/>
              <w:ind w:right="224"/>
              <w:jc w:val="right"/>
              <w:rPr>
                <w:rFonts w:ascii="Arial MT"/>
                <w:sz w:val="20"/>
              </w:rPr>
            </w:pPr>
            <w:r>
              <w:rPr>
                <w:rFonts w:ascii="Arial MT"/>
                <w:sz w:val="20"/>
              </w:rPr>
              <w:t>2,500</w:t>
            </w:r>
          </w:p>
        </w:tc>
        <w:tc>
          <w:tcPr>
            <w:tcW w:w="2298" w:type="dxa"/>
          </w:tcPr>
          <w:p>
            <w:pPr>
              <w:pStyle w:val="TableParagraph"/>
              <w:spacing w:line="227" w:lineRule="exact" w:before="12"/>
              <w:ind w:left="1485"/>
              <w:rPr>
                <w:rFonts w:ascii="Arial MT"/>
                <w:sz w:val="20"/>
              </w:rPr>
            </w:pPr>
            <w:r>
              <w:rPr>
                <w:rFonts w:ascii="Arial MT"/>
                <w:sz w:val="20"/>
              </w:rPr>
              <w:t>2,500</w:t>
            </w:r>
          </w:p>
        </w:tc>
      </w:tr>
      <w:tr>
        <w:trPr>
          <w:trHeight w:val="269" w:hRule="atLeast"/>
        </w:trPr>
        <w:tc>
          <w:tcPr>
            <w:tcW w:w="2244" w:type="dxa"/>
          </w:tcPr>
          <w:p>
            <w:pPr>
              <w:pStyle w:val="TableParagraph"/>
              <w:rPr>
                <w:rFonts w:ascii="Times New Roman"/>
                <w:sz w:val="18"/>
              </w:rPr>
            </w:pPr>
          </w:p>
        </w:tc>
        <w:tc>
          <w:tcPr>
            <w:tcW w:w="1411" w:type="dxa"/>
          </w:tcPr>
          <w:p>
            <w:pPr>
              <w:pStyle w:val="TableParagraph"/>
              <w:spacing w:line="244" w:lineRule="exact"/>
              <w:ind w:left="246"/>
              <w:rPr>
                <w:sz w:val="20"/>
              </w:rPr>
            </w:pPr>
            <w:r>
              <w:rPr>
                <w:w w:val="95"/>
                <w:sz w:val="20"/>
              </w:rPr>
              <w:t>三年以上</w:t>
            </w:r>
          </w:p>
        </w:tc>
        <w:tc>
          <w:tcPr>
            <w:tcW w:w="2465" w:type="dxa"/>
          </w:tcPr>
          <w:p>
            <w:pPr>
              <w:pStyle w:val="TableParagraph"/>
              <w:tabs>
                <w:tab w:pos="1372" w:val="left" w:leader="none"/>
              </w:tabs>
              <w:spacing w:before="12"/>
              <w:ind w:right="111"/>
              <w:jc w:val="right"/>
              <w:rPr>
                <w:rFonts w:ascii="Arial MT"/>
                <w:sz w:val="20"/>
              </w:rPr>
            </w:pPr>
            <w:r>
              <w:rPr>
                <w:rFonts w:ascii="Arial MT"/>
                <w:w w:val="99"/>
                <w:sz w:val="20"/>
                <w:u w:val="single"/>
              </w:rPr>
              <w:t> </w:t>
            </w:r>
            <w:r>
              <w:rPr>
                <w:rFonts w:ascii="Arial MT"/>
                <w:sz w:val="20"/>
                <w:u w:val="single"/>
              </w:rPr>
              <w:tab/>
            </w:r>
            <w:r>
              <w:rPr>
                <w:rFonts w:ascii="Arial MT"/>
                <w:sz w:val="20"/>
                <w:u w:val="single"/>
              </w:rPr>
              <w:t>5,000 </w:t>
            </w:r>
            <w:r>
              <w:rPr>
                <w:rFonts w:ascii="Arial MT"/>
                <w:spacing w:val="1"/>
                <w:sz w:val="20"/>
                <w:u w:val="single"/>
              </w:rPr>
              <w:t> </w:t>
            </w:r>
          </w:p>
        </w:tc>
        <w:tc>
          <w:tcPr>
            <w:tcW w:w="2298" w:type="dxa"/>
          </w:tcPr>
          <w:p>
            <w:pPr>
              <w:pStyle w:val="TableParagraph"/>
              <w:tabs>
                <w:tab w:pos="1485" w:val="left" w:leader="none"/>
              </w:tabs>
              <w:spacing w:before="12"/>
              <w:ind w:left="112"/>
              <w:rPr>
                <w:rFonts w:ascii="Arial MT"/>
                <w:sz w:val="20"/>
              </w:rPr>
            </w:pPr>
            <w:r>
              <w:rPr>
                <w:rFonts w:ascii="Arial MT"/>
                <w:w w:val="99"/>
                <w:sz w:val="20"/>
                <w:u w:val="single"/>
              </w:rPr>
              <w:t> </w:t>
            </w:r>
            <w:r>
              <w:rPr>
                <w:rFonts w:ascii="Arial MT"/>
                <w:sz w:val="20"/>
                <w:u w:val="single"/>
              </w:rPr>
              <w:tab/>
            </w:r>
            <w:r>
              <w:rPr>
                <w:rFonts w:ascii="Arial MT"/>
                <w:sz w:val="20"/>
                <w:u w:val="single"/>
              </w:rPr>
              <w:t>7,500 </w:t>
            </w:r>
            <w:r>
              <w:rPr>
                <w:rFonts w:ascii="Arial MT"/>
                <w:spacing w:val="1"/>
                <w:sz w:val="20"/>
                <w:u w:val="single"/>
              </w:rPr>
              <w:t> </w:t>
            </w:r>
          </w:p>
        </w:tc>
      </w:tr>
      <w:tr>
        <w:trPr>
          <w:trHeight w:val="271" w:hRule="atLeast"/>
        </w:trPr>
        <w:tc>
          <w:tcPr>
            <w:tcW w:w="2244" w:type="dxa"/>
          </w:tcPr>
          <w:p>
            <w:pPr>
              <w:pStyle w:val="TableParagraph"/>
              <w:rPr>
                <w:rFonts w:ascii="Times New Roman"/>
                <w:sz w:val="20"/>
              </w:rPr>
            </w:pPr>
          </w:p>
        </w:tc>
        <w:tc>
          <w:tcPr>
            <w:tcW w:w="1411" w:type="dxa"/>
          </w:tcPr>
          <w:p>
            <w:pPr>
              <w:pStyle w:val="TableParagraph"/>
              <w:rPr>
                <w:rFonts w:ascii="Times New Roman"/>
                <w:sz w:val="20"/>
              </w:rPr>
            </w:pPr>
          </w:p>
        </w:tc>
        <w:tc>
          <w:tcPr>
            <w:tcW w:w="2465" w:type="dxa"/>
          </w:tcPr>
          <w:p>
            <w:pPr>
              <w:pStyle w:val="TableParagraph"/>
              <w:spacing w:before="7"/>
              <w:ind w:right="223"/>
              <w:jc w:val="right"/>
              <w:rPr>
                <w:rFonts w:ascii="Arial MT"/>
                <w:sz w:val="20"/>
              </w:rPr>
            </w:pPr>
            <w:r>
              <w:rPr>
                <w:rFonts w:ascii="Arial MT"/>
                <w:sz w:val="20"/>
              </w:rPr>
              <w:t>12,500</w:t>
            </w:r>
          </w:p>
        </w:tc>
        <w:tc>
          <w:tcPr>
            <w:tcW w:w="2298" w:type="dxa"/>
          </w:tcPr>
          <w:p>
            <w:pPr>
              <w:pStyle w:val="TableParagraph"/>
              <w:spacing w:before="7"/>
              <w:ind w:left="1375"/>
              <w:rPr>
                <w:rFonts w:ascii="Arial MT"/>
                <w:sz w:val="20"/>
              </w:rPr>
            </w:pPr>
            <w:r>
              <w:rPr>
                <w:rFonts w:ascii="Arial MT"/>
                <w:sz w:val="20"/>
              </w:rPr>
              <w:t>15,000</w:t>
            </w:r>
          </w:p>
        </w:tc>
      </w:tr>
    </w:tbl>
    <w:p>
      <w:pPr>
        <w:pStyle w:val="BodyText"/>
        <w:spacing w:before="6"/>
        <w:ind w:left="0"/>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9"/>
        <w:gridCol w:w="1601"/>
      </w:tblGrid>
      <w:tr>
        <w:trPr>
          <w:trHeight w:val="270" w:hRule="atLeast"/>
        </w:trPr>
        <w:tc>
          <w:tcPr>
            <w:tcW w:w="719" w:type="dxa"/>
          </w:tcPr>
          <w:p>
            <w:pPr>
              <w:pStyle w:val="TableParagraph"/>
              <w:spacing w:line="250" w:lineRule="exact"/>
              <w:ind w:left="200"/>
              <w:rPr>
                <w:rFonts w:ascii="Arial MT"/>
                <w:sz w:val="24"/>
              </w:rPr>
            </w:pPr>
            <w:r>
              <w:rPr>
                <w:rFonts w:ascii="Arial MT"/>
                <w:sz w:val="24"/>
              </w:rPr>
              <w:t>(iii)</w:t>
            </w:r>
          </w:p>
        </w:tc>
        <w:tc>
          <w:tcPr>
            <w:tcW w:w="1601" w:type="dxa"/>
          </w:tcPr>
          <w:p>
            <w:pPr>
              <w:pStyle w:val="TableParagraph"/>
              <w:spacing w:line="250" w:lineRule="exact"/>
              <w:ind w:left="200"/>
              <w:rPr>
                <w:sz w:val="24"/>
              </w:rPr>
            </w:pPr>
            <w:r>
              <w:rPr>
                <w:sz w:val="24"/>
              </w:rPr>
              <w:t>资本性承诺</w:t>
            </w:r>
          </w:p>
        </w:tc>
      </w:tr>
    </w:tbl>
    <w:p>
      <w:pPr>
        <w:pStyle w:val="BodyText"/>
        <w:spacing w:before="39" w:after="23"/>
      </w:pPr>
      <w:r>
        <w:rPr/>
        <w:pict>
          <v:rect style="position:absolute;margin-left:316.269989pt;margin-top:-28.739996pt;width:99.96pt;height:1.44pt;mso-position-horizontal-relative:page;mso-position-vertical-relative:paragraph;z-index:15736832" filled="true" fillcolor="#000000" stroked="false">
            <v:fill type="solid"/>
            <w10:wrap type="none"/>
          </v:rect>
        </w:pict>
      </w:r>
      <w:r>
        <w:rPr/>
        <w:pict>
          <v:rect style="position:absolute;margin-left:426.790009pt;margin-top:-28.739996pt;width:99.984pt;height:1.44pt;mso-position-horizontal-relative:page;mso-position-vertical-relative:paragraph;z-index:15737344" filled="true" fillcolor="#000000" stroked="false">
            <v:fill type="solid"/>
            <w10:wrap type="none"/>
          </v:rect>
        </w:pict>
      </w:r>
      <w:r>
        <w:rPr>
          <w:w w:val="100"/>
        </w:rPr>
        <w:t> </w:t>
      </w: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77"/>
        <w:gridCol w:w="3390"/>
        <w:gridCol w:w="1742"/>
      </w:tblGrid>
      <w:tr>
        <w:trPr>
          <w:trHeight w:val="638" w:hRule="atLeast"/>
        </w:trPr>
        <w:tc>
          <w:tcPr>
            <w:tcW w:w="3177" w:type="dxa"/>
          </w:tcPr>
          <w:p>
            <w:pPr>
              <w:pStyle w:val="TableParagraph"/>
              <w:rPr>
                <w:rFonts w:ascii="Times New Roman"/>
                <w:sz w:val="20"/>
              </w:rPr>
            </w:pPr>
          </w:p>
        </w:tc>
        <w:tc>
          <w:tcPr>
            <w:tcW w:w="3390" w:type="dxa"/>
          </w:tcPr>
          <w:p>
            <w:pPr>
              <w:pStyle w:val="TableParagraph"/>
              <w:spacing w:line="237" w:lineRule="exact"/>
              <w:ind w:right="668"/>
              <w:jc w:val="right"/>
              <w:rPr>
                <w:sz w:val="20"/>
              </w:rPr>
            </w:pPr>
            <w:r>
              <w:rPr>
                <w:rFonts w:ascii="Arial MT" w:eastAsia="Arial MT"/>
                <w:w w:val="95"/>
                <w:sz w:val="20"/>
              </w:rPr>
              <w:t>2022</w:t>
            </w:r>
            <w:r>
              <w:rPr>
                <w:rFonts w:ascii="Arial MT" w:eastAsia="Arial MT"/>
                <w:spacing w:val="19"/>
                <w:w w:val="95"/>
                <w:sz w:val="20"/>
              </w:rPr>
              <w:t> </w:t>
            </w:r>
            <w:r>
              <w:rPr>
                <w:w w:val="95"/>
                <w:sz w:val="20"/>
              </w:rPr>
              <w:t>年</w:t>
            </w:r>
          </w:p>
          <w:p>
            <w:pPr>
              <w:pStyle w:val="TableParagraph"/>
              <w:spacing w:before="3"/>
              <w:ind w:right="668"/>
              <w:jc w:val="right"/>
              <w:rPr>
                <w:sz w:val="20"/>
              </w:rPr>
            </w:pPr>
            <w:r>
              <w:rPr>
                <w:rFonts w:ascii="Arial MT" w:eastAsia="Arial MT"/>
                <w:w w:val="95"/>
                <w:sz w:val="20"/>
              </w:rPr>
              <w:t>12</w:t>
            </w:r>
            <w:r>
              <w:rPr>
                <w:rFonts w:ascii="Arial MT" w:eastAsia="Arial MT"/>
                <w:spacing w:val="1"/>
                <w:w w:val="95"/>
                <w:sz w:val="20"/>
              </w:rPr>
              <w:t> </w:t>
            </w:r>
            <w:r>
              <w:rPr>
                <w:spacing w:val="-15"/>
                <w:w w:val="95"/>
                <w:sz w:val="20"/>
              </w:rPr>
              <w:t>月 </w:t>
            </w:r>
            <w:r>
              <w:rPr>
                <w:rFonts w:ascii="Arial MT" w:eastAsia="Arial MT"/>
                <w:w w:val="95"/>
                <w:sz w:val="20"/>
              </w:rPr>
              <w:t>31</w:t>
            </w:r>
            <w:r>
              <w:rPr>
                <w:rFonts w:ascii="Arial MT" w:eastAsia="Arial MT"/>
                <w:spacing w:val="4"/>
                <w:w w:val="95"/>
                <w:sz w:val="20"/>
              </w:rPr>
              <w:t> </w:t>
            </w:r>
            <w:r>
              <w:rPr>
                <w:w w:val="95"/>
                <w:sz w:val="20"/>
              </w:rPr>
              <w:t>日</w:t>
            </w:r>
          </w:p>
        </w:tc>
        <w:tc>
          <w:tcPr>
            <w:tcW w:w="1742" w:type="dxa"/>
          </w:tcPr>
          <w:p>
            <w:pPr>
              <w:pStyle w:val="TableParagraph"/>
              <w:spacing w:line="237" w:lineRule="exact"/>
              <w:ind w:right="199"/>
              <w:jc w:val="right"/>
              <w:rPr>
                <w:sz w:val="20"/>
              </w:rPr>
            </w:pPr>
            <w:r>
              <w:rPr>
                <w:rFonts w:ascii="Arial MT" w:eastAsia="Arial MT"/>
                <w:w w:val="95"/>
                <w:sz w:val="20"/>
              </w:rPr>
              <w:t>2021</w:t>
            </w:r>
            <w:r>
              <w:rPr>
                <w:rFonts w:ascii="Arial MT" w:eastAsia="Arial MT"/>
                <w:spacing w:val="19"/>
                <w:w w:val="95"/>
                <w:sz w:val="20"/>
              </w:rPr>
              <w:t> </w:t>
            </w:r>
            <w:r>
              <w:rPr>
                <w:w w:val="95"/>
                <w:sz w:val="20"/>
              </w:rPr>
              <w:t>年</w:t>
            </w:r>
          </w:p>
          <w:p>
            <w:pPr>
              <w:pStyle w:val="TableParagraph"/>
              <w:spacing w:before="3"/>
              <w:ind w:right="199"/>
              <w:jc w:val="right"/>
              <w:rPr>
                <w:sz w:val="20"/>
              </w:rPr>
            </w:pPr>
            <w:r>
              <w:rPr>
                <w:rFonts w:ascii="Arial MT" w:eastAsia="Arial MT"/>
                <w:w w:val="95"/>
                <w:sz w:val="20"/>
              </w:rPr>
              <w:t>12</w:t>
            </w:r>
            <w:r>
              <w:rPr>
                <w:rFonts w:ascii="Arial MT" w:eastAsia="Arial MT"/>
                <w:spacing w:val="1"/>
                <w:w w:val="95"/>
                <w:sz w:val="20"/>
              </w:rPr>
              <w:t> </w:t>
            </w:r>
            <w:r>
              <w:rPr>
                <w:spacing w:val="-15"/>
                <w:w w:val="95"/>
                <w:sz w:val="20"/>
              </w:rPr>
              <w:t>月 </w:t>
            </w:r>
            <w:r>
              <w:rPr>
                <w:rFonts w:ascii="Arial MT" w:eastAsia="Arial MT"/>
                <w:w w:val="95"/>
                <w:sz w:val="20"/>
              </w:rPr>
              <w:t>31</w:t>
            </w:r>
            <w:r>
              <w:rPr>
                <w:rFonts w:ascii="Arial MT" w:eastAsia="Arial MT"/>
                <w:spacing w:val="4"/>
                <w:w w:val="95"/>
                <w:sz w:val="20"/>
              </w:rPr>
              <w:t> </w:t>
            </w:r>
            <w:r>
              <w:rPr>
                <w:w w:val="95"/>
                <w:sz w:val="20"/>
              </w:rPr>
              <w:t>日</w:t>
            </w:r>
          </w:p>
        </w:tc>
      </w:tr>
      <w:tr>
        <w:trPr>
          <w:trHeight w:val="410" w:hRule="atLeast"/>
        </w:trPr>
        <w:tc>
          <w:tcPr>
            <w:tcW w:w="3177" w:type="dxa"/>
          </w:tcPr>
          <w:p>
            <w:pPr>
              <w:pStyle w:val="TableParagraph"/>
              <w:spacing w:line="254" w:lineRule="exact" w:before="136"/>
              <w:ind w:left="200"/>
              <w:rPr>
                <w:sz w:val="20"/>
              </w:rPr>
            </w:pPr>
            <w:r>
              <w:rPr>
                <w:w w:val="95"/>
                <w:sz w:val="20"/>
              </w:rPr>
              <w:t>鸿海精密之合</w:t>
            </w:r>
            <w:r>
              <w:rPr>
                <w:rFonts w:ascii="Arial MT" w:eastAsia="Arial MT"/>
                <w:w w:val="95"/>
                <w:sz w:val="20"/>
              </w:rPr>
              <w:t>(</w:t>
            </w:r>
            <w:r>
              <w:rPr>
                <w:w w:val="95"/>
                <w:sz w:val="20"/>
              </w:rPr>
              <w:t>联</w:t>
            </w:r>
            <w:r>
              <w:rPr>
                <w:rFonts w:ascii="Arial MT" w:eastAsia="Arial MT"/>
                <w:w w:val="95"/>
                <w:sz w:val="20"/>
              </w:rPr>
              <w:t>)</w:t>
            </w:r>
            <w:r>
              <w:rPr>
                <w:w w:val="95"/>
                <w:sz w:val="20"/>
              </w:rPr>
              <w:t>营企业</w:t>
            </w:r>
          </w:p>
        </w:tc>
        <w:tc>
          <w:tcPr>
            <w:tcW w:w="3390" w:type="dxa"/>
          </w:tcPr>
          <w:p>
            <w:pPr>
              <w:pStyle w:val="TableParagraph"/>
              <w:spacing w:line="227" w:lineRule="exact" w:before="163"/>
              <w:ind w:left="2217"/>
              <w:rPr>
                <w:rFonts w:ascii="Arial MT"/>
                <w:sz w:val="20"/>
              </w:rPr>
            </w:pPr>
            <w:r>
              <w:rPr>
                <w:rFonts w:ascii="Arial MT"/>
                <w:sz w:val="20"/>
              </w:rPr>
              <w:t>1,037</w:t>
            </w:r>
          </w:p>
        </w:tc>
        <w:tc>
          <w:tcPr>
            <w:tcW w:w="1742" w:type="dxa"/>
          </w:tcPr>
          <w:p>
            <w:pPr>
              <w:pStyle w:val="TableParagraph"/>
              <w:spacing w:line="227" w:lineRule="exact" w:before="163"/>
              <w:ind w:right="200"/>
              <w:jc w:val="right"/>
              <w:rPr>
                <w:rFonts w:ascii="Arial MT"/>
                <w:sz w:val="20"/>
              </w:rPr>
            </w:pPr>
            <w:r>
              <w:rPr>
                <w:rFonts w:ascii="Arial MT"/>
                <w:w w:val="99"/>
                <w:sz w:val="20"/>
              </w:rPr>
              <w:t>-</w:t>
            </w:r>
          </w:p>
        </w:tc>
      </w:tr>
      <w:tr>
        <w:trPr>
          <w:trHeight w:val="259" w:hRule="atLeast"/>
        </w:trPr>
        <w:tc>
          <w:tcPr>
            <w:tcW w:w="3177" w:type="dxa"/>
          </w:tcPr>
          <w:p>
            <w:pPr>
              <w:pStyle w:val="TableParagraph"/>
              <w:spacing w:line="239" w:lineRule="exact"/>
              <w:ind w:left="200"/>
              <w:rPr>
                <w:sz w:val="20"/>
              </w:rPr>
            </w:pPr>
            <w:r>
              <w:rPr>
                <w:w w:val="95"/>
                <w:sz w:val="20"/>
              </w:rPr>
              <w:t>中坚公司之子公司</w:t>
            </w:r>
          </w:p>
        </w:tc>
        <w:tc>
          <w:tcPr>
            <w:tcW w:w="3390" w:type="dxa"/>
          </w:tcPr>
          <w:p>
            <w:pPr>
              <w:pStyle w:val="TableParagraph"/>
              <w:spacing w:line="227" w:lineRule="exact" w:before="12"/>
              <w:ind w:right="673"/>
              <w:jc w:val="right"/>
              <w:rPr>
                <w:rFonts w:ascii="Arial MT"/>
                <w:sz w:val="20"/>
              </w:rPr>
            </w:pPr>
            <w:r>
              <w:rPr>
                <w:rFonts w:ascii="Arial MT"/>
                <w:sz w:val="20"/>
              </w:rPr>
              <w:t>607</w:t>
            </w:r>
          </w:p>
        </w:tc>
        <w:tc>
          <w:tcPr>
            <w:tcW w:w="1742" w:type="dxa"/>
          </w:tcPr>
          <w:p>
            <w:pPr>
              <w:pStyle w:val="TableParagraph"/>
              <w:spacing w:line="227" w:lineRule="exact" w:before="12"/>
              <w:ind w:right="201"/>
              <w:jc w:val="right"/>
              <w:rPr>
                <w:rFonts w:ascii="Arial MT"/>
                <w:sz w:val="20"/>
              </w:rPr>
            </w:pPr>
            <w:r>
              <w:rPr>
                <w:rFonts w:ascii="Arial MT"/>
                <w:w w:val="99"/>
                <w:sz w:val="20"/>
              </w:rPr>
              <w:t>5</w:t>
            </w:r>
          </w:p>
        </w:tc>
      </w:tr>
      <w:tr>
        <w:trPr>
          <w:trHeight w:val="257" w:hRule="atLeast"/>
        </w:trPr>
        <w:tc>
          <w:tcPr>
            <w:tcW w:w="3177" w:type="dxa"/>
          </w:tcPr>
          <w:p>
            <w:pPr>
              <w:pStyle w:val="TableParagraph"/>
              <w:spacing w:line="237" w:lineRule="exact"/>
              <w:ind w:left="200"/>
              <w:rPr>
                <w:sz w:val="20"/>
              </w:rPr>
            </w:pPr>
            <w:r>
              <w:rPr>
                <w:w w:val="95"/>
                <w:sz w:val="20"/>
              </w:rPr>
              <w:t>鸿海精密及其子公司</w:t>
            </w:r>
          </w:p>
        </w:tc>
        <w:tc>
          <w:tcPr>
            <w:tcW w:w="3390" w:type="dxa"/>
          </w:tcPr>
          <w:p>
            <w:pPr>
              <w:pStyle w:val="TableParagraph"/>
              <w:tabs>
                <w:tab w:pos="1538" w:val="left" w:leader="none"/>
                <w:tab w:pos="2210" w:val="left" w:leader="none"/>
                <w:tab w:pos="3749" w:val="left" w:leader="none"/>
              </w:tabs>
              <w:spacing w:line="225" w:lineRule="exact" w:before="12"/>
              <w:ind w:right="-1210"/>
              <w:jc w:val="right"/>
              <w:rPr>
                <w:rFonts w:ascii="Arial MT"/>
                <w:sz w:val="20"/>
              </w:rPr>
            </w:pPr>
            <w:r>
              <w:rPr>
                <w:rFonts w:ascii="Arial MT"/>
                <w:w w:val="99"/>
                <w:sz w:val="20"/>
                <w:u w:val="single"/>
              </w:rPr>
              <w:t> </w:t>
            </w:r>
            <w:r>
              <w:rPr>
                <w:rFonts w:ascii="Arial MT"/>
                <w:sz w:val="20"/>
                <w:u w:val="single"/>
              </w:rPr>
              <w:tab/>
            </w:r>
            <w:r>
              <w:rPr>
                <w:rFonts w:ascii="Arial MT"/>
                <w:sz w:val="20"/>
                <w:u w:val="single"/>
              </w:rPr>
              <w:t>548 </w:t>
            </w:r>
            <w:r>
              <w:rPr>
                <w:rFonts w:ascii="Arial MT"/>
                <w:spacing w:val="3"/>
                <w:sz w:val="20"/>
                <w:u w:val="single"/>
              </w:rPr>
              <w:t> </w:t>
            </w:r>
            <w:r>
              <w:rPr>
                <w:rFonts w:ascii="Arial MT"/>
                <w:sz w:val="20"/>
              </w:rPr>
              <w:tab/>
            </w:r>
            <w:r>
              <w:rPr>
                <w:rFonts w:ascii="Arial MT"/>
                <w:w w:val="99"/>
                <w:sz w:val="20"/>
                <w:u w:val="single"/>
              </w:rPr>
              <w:t> </w:t>
            </w:r>
            <w:r>
              <w:rPr>
                <w:rFonts w:ascii="Arial MT"/>
                <w:sz w:val="20"/>
                <w:u w:val="single"/>
              </w:rPr>
              <w:tab/>
            </w:r>
          </w:p>
        </w:tc>
        <w:tc>
          <w:tcPr>
            <w:tcW w:w="1742" w:type="dxa"/>
          </w:tcPr>
          <w:p>
            <w:pPr>
              <w:pStyle w:val="TableParagraph"/>
              <w:spacing w:line="225" w:lineRule="exact" w:before="12"/>
              <w:ind w:right="89"/>
              <w:jc w:val="right"/>
              <w:rPr>
                <w:rFonts w:ascii="Arial MT"/>
                <w:sz w:val="20"/>
              </w:rPr>
            </w:pPr>
            <w:r>
              <w:rPr>
                <w:rFonts w:ascii="Arial MT"/>
                <w:sz w:val="20"/>
                <w:u w:val="single"/>
              </w:rPr>
              <w:t>390 </w:t>
            </w:r>
            <w:r>
              <w:rPr>
                <w:rFonts w:ascii="Arial MT"/>
                <w:spacing w:val="3"/>
                <w:sz w:val="20"/>
                <w:u w:val="single"/>
              </w:rPr>
              <w:t> </w:t>
            </w:r>
          </w:p>
        </w:tc>
      </w:tr>
      <w:tr>
        <w:trPr>
          <w:trHeight w:val="224" w:hRule="atLeast"/>
        </w:trPr>
        <w:tc>
          <w:tcPr>
            <w:tcW w:w="3177" w:type="dxa"/>
          </w:tcPr>
          <w:p>
            <w:pPr>
              <w:pStyle w:val="TableParagraph"/>
              <w:rPr>
                <w:rFonts w:ascii="Times New Roman"/>
                <w:sz w:val="16"/>
              </w:rPr>
            </w:pPr>
          </w:p>
        </w:tc>
        <w:tc>
          <w:tcPr>
            <w:tcW w:w="3390" w:type="dxa"/>
          </w:tcPr>
          <w:p>
            <w:pPr>
              <w:pStyle w:val="TableParagraph"/>
              <w:tabs>
                <w:tab w:pos="1387" w:val="left" w:leader="none"/>
                <w:tab w:pos="2210" w:val="left" w:leader="none"/>
                <w:tab w:pos="3763" w:val="left" w:leader="none"/>
              </w:tabs>
              <w:spacing w:line="205" w:lineRule="exact"/>
              <w:ind w:right="-1210"/>
              <w:jc w:val="right"/>
              <w:rPr>
                <w:rFonts w:ascii="Arial MT"/>
                <w:sz w:val="20"/>
              </w:rPr>
            </w:pPr>
            <w:r>
              <w:rPr>
                <w:rFonts w:ascii="Arial MT"/>
                <w:w w:val="99"/>
                <w:sz w:val="20"/>
                <w:u w:val="thick"/>
              </w:rPr>
              <w:t> </w:t>
            </w:r>
            <w:r>
              <w:rPr>
                <w:rFonts w:ascii="Arial MT"/>
                <w:sz w:val="20"/>
                <w:u w:val="thick"/>
              </w:rPr>
              <w:tab/>
            </w:r>
            <w:r>
              <w:rPr>
                <w:rFonts w:ascii="Arial MT"/>
                <w:sz w:val="20"/>
                <w:u w:val="thick"/>
              </w:rPr>
              <w:t>2,192 </w:t>
            </w:r>
            <w:r>
              <w:rPr>
                <w:rFonts w:ascii="Arial MT"/>
                <w:spacing w:val="1"/>
                <w:sz w:val="20"/>
                <w:u w:val="thick"/>
              </w:rPr>
              <w:t> </w:t>
            </w:r>
            <w:r>
              <w:rPr>
                <w:rFonts w:ascii="Arial MT"/>
                <w:sz w:val="20"/>
              </w:rPr>
              <w:tab/>
            </w:r>
            <w:r>
              <w:rPr>
                <w:rFonts w:ascii="Arial MT"/>
                <w:w w:val="99"/>
                <w:sz w:val="20"/>
                <w:u w:val="thick"/>
              </w:rPr>
              <w:t> </w:t>
            </w:r>
            <w:r>
              <w:rPr>
                <w:rFonts w:ascii="Arial MT"/>
                <w:sz w:val="20"/>
                <w:u w:val="thick"/>
              </w:rPr>
              <w:tab/>
            </w:r>
          </w:p>
        </w:tc>
        <w:tc>
          <w:tcPr>
            <w:tcW w:w="1742" w:type="dxa"/>
          </w:tcPr>
          <w:p>
            <w:pPr>
              <w:pStyle w:val="TableParagraph"/>
              <w:spacing w:line="205" w:lineRule="exact"/>
              <w:ind w:right="89"/>
              <w:jc w:val="right"/>
              <w:rPr>
                <w:rFonts w:ascii="Arial MT"/>
                <w:sz w:val="20"/>
              </w:rPr>
            </w:pPr>
            <w:r>
              <w:rPr>
                <w:rFonts w:ascii="Arial MT"/>
                <w:sz w:val="20"/>
                <w:u w:val="thick"/>
              </w:rPr>
              <w:t>395 </w:t>
            </w:r>
            <w:r>
              <w:rPr>
                <w:rFonts w:ascii="Arial MT"/>
                <w:spacing w:val="3"/>
                <w:sz w:val="20"/>
                <w:u w:val="thick"/>
              </w:rPr>
              <w:t> </w:t>
            </w:r>
          </w:p>
        </w:tc>
      </w:tr>
    </w:tbl>
    <w:p>
      <w:pPr>
        <w:spacing w:after="0" w:line="205" w:lineRule="exact"/>
        <w:jc w:val="right"/>
        <w:rPr>
          <w:rFonts w:ascii="Arial MT"/>
          <w:sz w:val="20"/>
        </w:rPr>
        <w:sectPr>
          <w:pgSz w:w="11910" w:h="16840"/>
          <w:pgMar w:header="882" w:footer="1184" w:top="1100" w:bottom="1380" w:left="1480" w:right="0"/>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spacing w:after="0"/>
        <w:rPr>
          <w:sz w:val="20"/>
        </w:rPr>
        <w:sectPr>
          <w:pgSz w:w="11910" w:h="16840"/>
          <w:pgMar w:header="882" w:footer="1184" w:top="1120" w:bottom="1380" w:left="1480" w:right="0"/>
        </w:sectPr>
      </w:pPr>
    </w:p>
    <w:p>
      <w:pPr>
        <w:pStyle w:val="BodyText"/>
        <w:spacing w:before="10"/>
        <w:ind w:left="0"/>
        <w:rPr>
          <w:sz w:val="15"/>
        </w:rPr>
      </w:pPr>
    </w:p>
    <w:p>
      <w:pPr>
        <w:spacing w:before="1"/>
        <w:ind w:left="318" w:right="0" w:firstLine="0"/>
        <w:jc w:val="left"/>
        <w:rPr>
          <w:sz w:val="21"/>
        </w:rPr>
      </w:pPr>
      <w:r>
        <w:rPr>
          <w:sz w:val="20"/>
        </w:rPr>
        <w:t>8</w:t>
      </w:r>
      <w:r>
        <w:rPr>
          <w:spacing w:val="12"/>
          <w:sz w:val="20"/>
        </w:rPr>
        <w:t>、 </w:t>
      </w:r>
      <w:r>
        <w:rPr>
          <w:sz w:val="21"/>
        </w:rPr>
        <w:t>其他</w:t>
      </w:r>
    </w:p>
    <w:p>
      <w:pPr>
        <w:pStyle w:val="BodyText"/>
        <w:spacing w:before="62"/>
      </w:pPr>
      <w:r>
        <w:rPr>
          <w:spacing w:val="11"/>
        </w:rPr>
        <w:t>□适用 √不适用</w:t>
      </w:r>
      <w:r>
        <w:rPr/>
        <w:t> </w:t>
      </w:r>
    </w:p>
    <w:p>
      <w:pPr>
        <w:pStyle w:val="BodyText"/>
        <w:spacing w:before="4"/>
      </w:pPr>
      <w:r>
        <w:rPr>
          <w:w w:val="100"/>
        </w:rPr>
        <w:t> </w:t>
      </w:r>
    </w:p>
    <w:p>
      <w:pPr>
        <w:pStyle w:val="BodyText"/>
        <w:spacing w:before="62"/>
      </w:pPr>
      <w:r>
        <w:rPr>
          <w:spacing w:val="11"/>
        </w:rPr>
        <w:t>十三、 股份支付</w:t>
      </w:r>
    </w:p>
    <w:p>
      <w:pPr>
        <w:pStyle w:val="BodyText"/>
        <w:spacing w:before="65"/>
      </w:pPr>
      <w:r>
        <w:rPr/>
        <w:t>1、 股份支付总体情况</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
        <w:ind w:left="0"/>
        <w:rPr>
          <w:sz w:val="22"/>
        </w:rPr>
      </w:pPr>
    </w:p>
    <w:p>
      <w:pPr>
        <w:pStyle w:val="BodyText"/>
      </w:pPr>
      <w:r>
        <w:rPr>
          <w:spacing w:val="7"/>
        </w:rPr>
        <w:t>单位：股 币种：人民币</w:t>
      </w:r>
      <w:r>
        <w:rPr/>
        <w:t> </w:t>
      </w:r>
    </w:p>
    <w:p>
      <w:pPr>
        <w:spacing w:after="0"/>
        <w:sectPr>
          <w:type w:val="continuous"/>
          <w:pgSz w:w="11910" w:h="16840"/>
          <w:pgMar w:top="780" w:bottom="280" w:left="1480" w:right="0"/>
          <w:cols w:num="2" w:equalWidth="0">
            <w:col w:w="2473" w:space="4049"/>
            <w:col w:w="3908"/>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0"/>
        <w:gridCol w:w="4294"/>
      </w:tblGrid>
      <w:tr>
        <w:trPr>
          <w:trHeight w:val="273" w:hRule="atLeast"/>
        </w:trPr>
        <w:tc>
          <w:tcPr>
            <w:tcW w:w="4530" w:type="dxa"/>
          </w:tcPr>
          <w:p>
            <w:pPr>
              <w:pStyle w:val="TableParagraph"/>
              <w:spacing w:line="252" w:lineRule="exact" w:before="1"/>
              <w:ind w:left="107"/>
              <w:rPr>
                <w:sz w:val="21"/>
              </w:rPr>
            </w:pPr>
            <w:r>
              <w:rPr>
                <w:sz w:val="21"/>
              </w:rPr>
              <w:t>公司本期授予的各项权益工具总额</w:t>
            </w:r>
          </w:p>
        </w:tc>
        <w:tc>
          <w:tcPr>
            <w:tcW w:w="4294" w:type="dxa"/>
          </w:tcPr>
          <w:p>
            <w:pPr>
              <w:pStyle w:val="TableParagraph"/>
              <w:spacing w:line="235" w:lineRule="exact"/>
              <w:ind w:right="95"/>
              <w:jc w:val="right"/>
              <w:rPr>
                <w:rFonts w:ascii="Times New Roman"/>
                <w:sz w:val="21"/>
              </w:rPr>
            </w:pPr>
            <w:r>
              <w:rPr>
                <w:rFonts w:ascii="Times New Roman"/>
                <w:w w:val="100"/>
                <w:sz w:val="21"/>
              </w:rPr>
              <w:t>-</w:t>
            </w:r>
          </w:p>
        </w:tc>
      </w:tr>
      <w:tr>
        <w:trPr>
          <w:trHeight w:val="270" w:hRule="atLeast"/>
        </w:trPr>
        <w:tc>
          <w:tcPr>
            <w:tcW w:w="4530" w:type="dxa"/>
          </w:tcPr>
          <w:p>
            <w:pPr>
              <w:pStyle w:val="TableParagraph"/>
              <w:spacing w:line="250" w:lineRule="exact" w:before="1"/>
              <w:ind w:left="107"/>
              <w:rPr>
                <w:sz w:val="21"/>
              </w:rPr>
            </w:pPr>
            <w:r>
              <w:rPr>
                <w:sz w:val="21"/>
              </w:rPr>
              <w:t>公司本期行权的各项权益工具总额</w:t>
            </w:r>
          </w:p>
        </w:tc>
        <w:tc>
          <w:tcPr>
            <w:tcW w:w="4294" w:type="dxa"/>
          </w:tcPr>
          <w:p>
            <w:pPr>
              <w:pStyle w:val="TableParagraph"/>
              <w:spacing w:line="235" w:lineRule="exact"/>
              <w:ind w:right="93"/>
              <w:jc w:val="right"/>
              <w:rPr>
                <w:rFonts w:ascii="Times New Roman"/>
                <w:sz w:val="21"/>
              </w:rPr>
            </w:pPr>
            <w:r>
              <w:rPr>
                <w:rFonts w:ascii="Times New Roman"/>
                <w:sz w:val="21"/>
              </w:rPr>
              <w:t>112,150,808</w:t>
            </w:r>
          </w:p>
        </w:tc>
      </w:tr>
      <w:tr>
        <w:trPr>
          <w:trHeight w:val="271" w:hRule="atLeast"/>
        </w:trPr>
        <w:tc>
          <w:tcPr>
            <w:tcW w:w="4530" w:type="dxa"/>
            <w:tcBorders>
              <w:bottom w:val="single" w:sz="6" w:space="0" w:color="000000"/>
            </w:tcBorders>
          </w:tcPr>
          <w:p>
            <w:pPr>
              <w:pStyle w:val="TableParagraph"/>
              <w:spacing w:line="250" w:lineRule="exact" w:before="1"/>
              <w:ind w:left="107"/>
              <w:rPr>
                <w:sz w:val="21"/>
              </w:rPr>
            </w:pPr>
            <w:r>
              <w:rPr>
                <w:sz w:val="21"/>
              </w:rPr>
              <w:t>公司本期失效的各项权益工具总额</w:t>
            </w:r>
          </w:p>
        </w:tc>
        <w:tc>
          <w:tcPr>
            <w:tcW w:w="4294" w:type="dxa"/>
            <w:tcBorders>
              <w:bottom w:val="single" w:sz="6" w:space="0" w:color="000000"/>
            </w:tcBorders>
          </w:tcPr>
          <w:p>
            <w:pPr>
              <w:pStyle w:val="TableParagraph"/>
              <w:spacing w:line="235" w:lineRule="exact"/>
              <w:ind w:right="93"/>
              <w:jc w:val="right"/>
              <w:rPr>
                <w:rFonts w:ascii="Times New Roman"/>
                <w:sz w:val="21"/>
              </w:rPr>
            </w:pPr>
            <w:r>
              <w:rPr>
                <w:rFonts w:ascii="Times New Roman"/>
                <w:sz w:val="21"/>
              </w:rPr>
              <w:t>6,677,786</w:t>
            </w:r>
          </w:p>
        </w:tc>
      </w:tr>
      <w:tr>
        <w:trPr>
          <w:trHeight w:val="542" w:hRule="atLeast"/>
        </w:trPr>
        <w:tc>
          <w:tcPr>
            <w:tcW w:w="4530" w:type="dxa"/>
            <w:tcBorders>
              <w:top w:val="single" w:sz="6" w:space="0" w:color="000000"/>
            </w:tcBorders>
          </w:tcPr>
          <w:p>
            <w:pPr>
              <w:pStyle w:val="TableParagraph"/>
              <w:spacing w:line="268" w:lineRule="exact"/>
              <w:ind w:left="107"/>
              <w:rPr>
                <w:sz w:val="21"/>
              </w:rPr>
            </w:pPr>
            <w:r>
              <w:rPr>
                <w:sz w:val="21"/>
              </w:rPr>
              <w:t>公司期末发行在外的股票期权行权价格的范围</w:t>
            </w:r>
          </w:p>
          <w:p>
            <w:pPr>
              <w:pStyle w:val="TableParagraph"/>
              <w:spacing w:line="250" w:lineRule="exact" w:before="4"/>
              <w:ind w:left="107"/>
              <w:rPr>
                <w:sz w:val="21"/>
              </w:rPr>
            </w:pPr>
            <w:r>
              <w:rPr>
                <w:sz w:val="21"/>
              </w:rPr>
              <w:t>和合同剩余期限</w:t>
            </w:r>
          </w:p>
        </w:tc>
        <w:tc>
          <w:tcPr>
            <w:tcW w:w="4294" w:type="dxa"/>
            <w:tcBorders>
              <w:top w:val="single" w:sz="6" w:space="0" w:color="000000"/>
            </w:tcBorders>
          </w:tcPr>
          <w:p>
            <w:pPr>
              <w:pStyle w:val="TableParagraph"/>
              <w:spacing w:line="268" w:lineRule="exact"/>
              <w:ind w:left="105"/>
              <w:rPr>
                <w:sz w:val="21"/>
              </w:rPr>
            </w:pPr>
            <w:r>
              <w:rPr>
                <w:sz w:val="21"/>
              </w:rPr>
              <w:t>详见其他说明</w:t>
            </w:r>
          </w:p>
        </w:tc>
      </w:tr>
      <w:tr>
        <w:trPr>
          <w:trHeight w:val="544" w:hRule="atLeast"/>
        </w:trPr>
        <w:tc>
          <w:tcPr>
            <w:tcW w:w="4530" w:type="dxa"/>
          </w:tcPr>
          <w:p>
            <w:pPr>
              <w:pStyle w:val="TableParagraph"/>
              <w:spacing w:before="1"/>
              <w:ind w:left="107"/>
              <w:rPr>
                <w:sz w:val="21"/>
              </w:rPr>
            </w:pPr>
            <w:r>
              <w:rPr>
                <w:sz w:val="21"/>
              </w:rPr>
              <w:t>公司期末发行在外的其他权益工具行权价格的</w:t>
            </w:r>
          </w:p>
          <w:p>
            <w:pPr>
              <w:pStyle w:val="TableParagraph"/>
              <w:spacing w:line="250" w:lineRule="exact" w:before="4"/>
              <w:ind w:left="107"/>
              <w:rPr>
                <w:sz w:val="21"/>
              </w:rPr>
            </w:pPr>
            <w:r>
              <w:rPr>
                <w:sz w:val="21"/>
              </w:rPr>
              <w:t>范围和合同剩余期限</w:t>
            </w:r>
          </w:p>
        </w:tc>
        <w:tc>
          <w:tcPr>
            <w:tcW w:w="4294" w:type="dxa"/>
          </w:tcPr>
          <w:p>
            <w:pPr>
              <w:pStyle w:val="TableParagraph"/>
              <w:spacing w:before="1"/>
              <w:ind w:left="105"/>
              <w:rPr>
                <w:sz w:val="21"/>
              </w:rPr>
            </w:pPr>
            <w:r>
              <w:rPr>
                <w:sz w:val="21"/>
              </w:rPr>
              <w:t>详见其他说明</w:t>
            </w:r>
          </w:p>
        </w:tc>
      </w:tr>
    </w:tbl>
    <w:p>
      <w:pPr>
        <w:spacing w:after="0"/>
        <w:rPr>
          <w:sz w:val="21"/>
        </w:rPr>
        <w:sectPr>
          <w:type w:val="continuous"/>
          <w:pgSz w:w="11910" w:h="16840"/>
          <w:pgMar w:top="780" w:bottom="280" w:left="1480" w:right="0"/>
        </w:sectPr>
      </w:pPr>
    </w:p>
    <w:p>
      <w:pPr>
        <w:pStyle w:val="BodyText"/>
        <w:spacing w:before="1"/>
      </w:pPr>
      <w:r>
        <w:rPr/>
        <w:t>其他说明</w:t>
      </w:r>
    </w:p>
    <w:p>
      <w:pPr>
        <w:pStyle w:val="BodyText"/>
        <w:spacing w:line="295" w:lineRule="auto" w:before="4"/>
        <w:ind w:right="38"/>
      </w:pPr>
      <w:r>
        <w:rPr>
          <w:spacing w:val="-1"/>
        </w:rPr>
        <w:t>详情参见：</w:t>
      </w:r>
      <w:r>
        <w:rPr/>
        <w:t>2、以权益结算的股份支付情况2、 以权益结算的股份支付情况</w:t>
      </w:r>
    </w:p>
    <w:p>
      <w:pPr>
        <w:pStyle w:val="BodyText"/>
        <w:spacing w:before="3"/>
      </w:pPr>
      <w:r>
        <w:rPr>
          <w:rFonts w:ascii="Times New Roman" w:hAnsi="Times New Roman" w:eastAsia="Times New Roman"/>
        </w:rPr>
        <w:t>√</w:t>
      </w:r>
      <w:r>
        <w:rPr>
          <w:spacing w:val="-18"/>
        </w:rPr>
        <w:t>适用 </w:t>
      </w:r>
      <w:r>
        <w:rPr>
          <w:rFonts w:ascii="Times New Roman" w:hAnsi="Times New Roman" w:eastAsia="Times New Roman"/>
        </w:rPr>
        <w:t>□</w:t>
      </w:r>
      <w:r>
        <w:rPr/>
        <w:t>不适用</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spacing w:before="6"/>
        <w:ind w:left="0"/>
        <w:rPr>
          <w:sz w:val="14"/>
        </w:rPr>
      </w:pPr>
    </w:p>
    <w:p>
      <w:pPr>
        <w:pStyle w:val="BodyText"/>
      </w:pPr>
      <w:r>
        <w:rPr/>
        <w:t>单位：千元 币种：人民币</w:t>
      </w:r>
    </w:p>
    <w:p>
      <w:pPr>
        <w:spacing w:after="0"/>
        <w:sectPr>
          <w:type w:val="continuous"/>
          <w:pgSz w:w="11910" w:h="16840"/>
          <w:pgMar w:top="780" w:bottom="280" w:left="1480" w:right="0"/>
          <w:cols w:num="2" w:equalWidth="0">
            <w:col w:w="4247" w:space="2172"/>
            <w:col w:w="4011"/>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0"/>
        <w:gridCol w:w="4294"/>
      </w:tblGrid>
      <w:tr>
        <w:trPr>
          <w:trHeight w:val="1905" w:hRule="atLeast"/>
        </w:trPr>
        <w:tc>
          <w:tcPr>
            <w:tcW w:w="4530" w:type="dxa"/>
          </w:tcPr>
          <w:p>
            <w:pPr>
              <w:pStyle w:val="TableParagraph"/>
              <w:spacing w:before="1"/>
              <w:ind w:left="107"/>
              <w:rPr>
                <w:sz w:val="21"/>
              </w:rPr>
            </w:pPr>
            <w:r>
              <w:rPr>
                <w:sz w:val="21"/>
              </w:rPr>
              <w:t>授予日权益工具公允价值的确定方法</w:t>
            </w:r>
          </w:p>
        </w:tc>
        <w:tc>
          <w:tcPr>
            <w:tcW w:w="4294" w:type="dxa"/>
          </w:tcPr>
          <w:p>
            <w:pPr>
              <w:pStyle w:val="TableParagraph"/>
              <w:spacing w:line="242" w:lineRule="auto" w:before="1"/>
              <w:ind w:left="105" w:right="137"/>
              <w:rPr>
                <w:sz w:val="21"/>
              </w:rPr>
            </w:pPr>
            <w:r>
              <w:rPr>
                <w:sz w:val="21"/>
              </w:rPr>
              <w:t>本次授予的限制性股票于授予日的公允价</w:t>
            </w:r>
            <w:r>
              <w:rPr>
                <w:spacing w:val="1"/>
                <w:sz w:val="21"/>
              </w:rPr>
              <w:t> </w:t>
            </w:r>
            <w:r>
              <w:rPr>
                <w:spacing w:val="-5"/>
                <w:sz w:val="21"/>
              </w:rPr>
              <w:t>值，根据《企业会计准则第 </w:t>
            </w:r>
            <w:r>
              <w:rPr>
                <w:rFonts w:ascii="Times New Roman" w:hAnsi="Times New Roman" w:eastAsia="Times New Roman"/>
                <w:sz w:val="21"/>
              </w:rPr>
              <w:t>11</w:t>
            </w:r>
            <w:r>
              <w:rPr>
                <w:rFonts w:ascii="Times New Roman" w:hAnsi="Times New Roman" w:eastAsia="Times New Roman"/>
                <w:spacing w:val="-10"/>
                <w:sz w:val="21"/>
              </w:rPr>
              <w:t> </w:t>
            </w:r>
            <w:r>
              <w:rPr>
                <w:sz w:val="21"/>
              </w:rPr>
              <w:t>号</w:t>
            </w:r>
            <w:r>
              <w:rPr>
                <w:rFonts w:ascii="Times New Roman" w:hAnsi="Times New Roman" w:eastAsia="Times New Roman"/>
                <w:sz w:val="21"/>
              </w:rPr>
              <w:t>——</w:t>
            </w:r>
            <w:r>
              <w:rPr>
                <w:sz w:val="21"/>
              </w:rPr>
              <w:t>股份支付》等规定，公司以授予日公司股票收盘价为基础，对授予的限制性股票的公允价值进行测算。授予的股票期权于授予日的公允</w:t>
            </w:r>
            <w:r>
              <w:rPr>
                <w:spacing w:val="-10"/>
                <w:sz w:val="21"/>
              </w:rPr>
              <w:t>价值，采用 </w:t>
            </w:r>
            <w:r>
              <w:rPr>
                <w:rFonts w:ascii="Times New Roman" w:hAnsi="Times New Roman" w:eastAsia="Times New Roman"/>
                <w:sz w:val="21"/>
              </w:rPr>
              <w:t>Black-Scholes</w:t>
            </w:r>
            <w:r>
              <w:rPr>
                <w:rFonts w:ascii="Times New Roman" w:hAnsi="Times New Roman" w:eastAsia="Times New Roman"/>
                <w:spacing w:val="-13"/>
                <w:sz w:val="21"/>
              </w:rPr>
              <w:t> </w:t>
            </w:r>
            <w:r>
              <w:rPr>
                <w:sz w:val="21"/>
              </w:rPr>
              <w:t>期权定价模型，结</w:t>
            </w:r>
          </w:p>
          <w:p>
            <w:pPr>
              <w:pStyle w:val="TableParagraph"/>
              <w:spacing w:line="250" w:lineRule="exact" w:before="4"/>
              <w:ind w:left="105"/>
              <w:rPr>
                <w:sz w:val="21"/>
              </w:rPr>
            </w:pPr>
            <w:r>
              <w:rPr>
                <w:spacing w:val="-1"/>
                <w:sz w:val="21"/>
              </w:rPr>
              <w:t>合股票期权的条款和条件，作出估计。</w:t>
            </w:r>
          </w:p>
        </w:tc>
      </w:tr>
      <w:tr>
        <w:trPr>
          <w:trHeight w:val="818" w:hRule="atLeast"/>
        </w:trPr>
        <w:tc>
          <w:tcPr>
            <w:tcW w:w="4530" w:type="dxa"/>
          </w:tcPr>
          <w:p>
            <w:pPr>
              <w:pStyle w:val="TableParagraph"/>
              <w:spacing w:before="1"/>
              <w:ind w:left="107"/>
              <w:rPr>
                <w:sz w:val="21"/>
              </w:rPr>
            </w:pPr>
            <w:r>
              <w:rPr>
                <w:sz w:val="21"/>
              </w:rPr>
              <w:t>可行权权益工具数量的确定依据</w:t>
            </w:r>
          </w:p>
        </w:tc>
        <w:tc>
          <w:tcPr>
            <w:tcW w:w="4294" w:type="dxa"/>
          </w:tcPr>
          <w:p>
            <w:pPr>
              <w:pStyle w:val="TableParagraph"/>
              <w:spacing w:before="1"/>
              <w:ind w:left="105"/>
              <w:rPr>
                <w:sz w:val="21"/>
              </w:rPr>
            </w:pPr>
            <w:r>
              <w:rPr>
                <w:sz w:val="21"/>
              </w:rPr>
              <w:t>本集团根据最新取得的可行权职工人数变</w:t>
            </w:r>
          </w:p>
          <w:p>
            <w:pPr>
              <w:pStyle w:val="TableParagraph"/>
              <w:spacing w:line="270" w:lineRule="atLeast"/>
              <w:ind w:left="105" w:right="182"/>
              <w:rPr>
                <w:sz w:val="21"/>
              </w:rPr>
            </w:pPr>
            <w:r>
              <w:rPr>
                <w:sz w:val="21"/>
              </w:rPr>
              <w:t>动、是否达到规定业绩条件等后续信息对可行权权益工具数量作出最佳估计</w:t>
            </w:r>
          </w:p>
        </w:tc>
      </w:tr>
      <w:tr>
        <w:trPr>
          <w:trHeight w:val="270" w:hRule="atLeast"/>
        </w:trPr>
        <w:tc>
          <w:tcPr>
            <w:tcW w:w="4530" w:type="dxa"/>
          </w:tcPr>
          <w:p>
            <w:pPr>
              <w:pStyle w:val="TableParagraph"/>
              <w:spacing w:line="250" w:lineRule="exact" w:before="1"/>
              <w:ind w:left="107"/>
              <w:rPr>
                <w:sz w:val="21"/>
              </w:rPr>
            </w:pPr>
            <w:r>
              <w:rPr>
                <w:spacing w:val="-1"/>
                <w:sz w:val="21"/>
              </w:rPr>
              <w:t>本期估计与上期估计有重大差异的原因</w:t>
            </w:r>
          </w:p>
        </w:tc>
        <w:tc>
          <w:tcPr>
            <w:tcW w:w="4294" w:type="dxa"/>
          </w:tcPr>
          <w:p>
            <w:pPr>
              <w:pStyle w:val="TableParagraph"/>
              <w:spacing w:line="250" w:lineRule="exact" w:before="1"/>
              <w:ind w:left="105"/>
              <w:rPr>
                <w:sz w:val="21"/>
              </w:rPr>
            </w:pPr>
            <w:r>
              <w:rPr>
                <w:sz w:val="21"/>
              </w:rPr>
              <w:t>不适用</w:t>
            </w:r>
          </w:p>
        </w:tc>
      </w:tr>
      <w:tr>
        <w:trPr>
          <w:trHeight w:val="546" w:hRule="atLeast"/>
        </w:trPr>
        <w:tc>
          <w:tcPr>
            <w:tcW w:w="4530" w:type="dxa"/>
          </w:tcPr>
          <w:p>
            <w:pPr>
              <w:pStyle w:val="TableParagraph"/>
              <w:spacing w:line="270" w:lineRule="atLeast"/>
              <w:ind w:left="107" w:right="204"/>
              <w:rPr>
                <w:sz w:val="21"/>
              </w:rPr>
            </w:pPr>
            <w:r>
              <w:rPr>
                <w:sz w:val="21"/>
              </w:rPr>
              <w:t>以权益结算的股份支付计入资本公积的累计金额</w:t>
            </w:r>
          </w:p>
        </w:tc>
        <w:tc>
          <w:tcPr>
            <w:tcW w:w="4294" w:type="dxa"/>
          </w:tcPr>
          <w:p>
            <w:pPr>
              <w:pStyle w:val="TableParagraph"/>
              <w:spacing w:line="237" w:lineRule="exact"/>
              <w:ind w:right="93"/>
              <w:jc w:val="right"/>
              <w:rPr>
                <w:rFonts w:ascii="Times New Roman"/>
                <w:sz w:val="21"/>
              </w:rPr>
            </w:pPr>
            <w:r>
              <w:rPr>
                <w:rFonts w:ascii="Times New Roman"/>
                <w:sz w:val="21"/>
              </w:rPr>
              <w:t>2,850,359</w:t>
            </w:r>
          </w:p>
        </w:tc>
      </w:tr>
      <w:tr>
        <w:trPr>
          <w:trHeight w:val="270" w:hRule="atLeast"/>
        </w:trPr>
        <w:tc>
          <w:tcPr>
            <w:tcW w:w="4530" w:type="dxa"/>
          </w:tcPr>
          <w:p>
            <w:pPr>
              <w:pStyle w:val="TableParagraph"/>
              <w:spacing w:line="250" w:lineRule="exact" w:before="1"/>
              <w:ind w:left="107"/>
              <w:rPr>
                <w:sz w:val="21"/>
              </w:rPr>
            </w:pPr>
            <w:r>
              <w:rPr>
                <w:spacing w:val="-1"/>
                <w:sz w:val="21"/>
              </w:rPr>
              <w:t>本期以权益结算的股份支付确认的费用总额</w:t>
            </w:r>
          </w:p>
        </w:tc>
        <w:tc>
          <w:tcPr>
            <w:tcW w:w="4294" w:type="dxa"/>
          </w:tcPr>
          <w:p>
            <w:pPr>
              <w:pStyle w:val="TableParagraph"/>
              <w:spacing w:line="235" w:lineRule="exact"/>
              <w:ind w:right="93"/>
              <w:jc w:val="right"/>
              <w:rPr>
                <w:rFonts w:ascii="Times New Roman"/>
                <w:sz w:val="21"/>
              </w:rPr>
            </w:pPr>
            <w:r>
              <w:rPr>
                <w:rFonts w:ascii="Times New Roman"/>
                <w:sz w:val="21"/>
              </w:rPr>
              <w:t>220,014</w:t>
            </w:r>
          </w:p>
        </w:tc>
      </w:tr>
    </w:tbl>
    <w:p>
      <w:pPr>
        <w:pStyle w:val="BodyText"/>
        <w:spacing w:before="5"/>
      </w:pPr>
      <w:r>
        <w:rPr>
          <w:spacing w:val="-1"/>
        </w:rPr>
        <w:t>其他说明</w:t>
      </w:r>
      <w:r>
        <w:rPr/>
        <w:t> </w:t>
      </w:r>
    </w:p>
    <w:p>
      <w:pPr>
        <w:pStyle w:val="ListParagraph"/>
        <w:numPr>
          <w:ilvl w:val="0"/>
          <w:numId w:val="88"/>
        </w:numPr>
        <w:tabs>
          <w:tab w:pos="636" w:val="left" w:leader="none"/>
        </w:tabs>
        <w:spacing w:line="240" w:lineRule="auto" w:before="4" w:after="0"/>
        <w:ind w:left="635" w:right="0" w:hanging="318"/>
        <w:jc w:val="left"/>
        <w:rPr>
          <w:sz w:val="21"/>
        </w:rPr>
      </w:pPr>
      <w:r>
        <w:rPr>
          <w:spacing w:val="-27"/>
          <w:sz w:val="21"/>
        </w:rPr>
        <w:t>经 </w:t>
      </w:r>
      <w:r>
        <w:rPr>
          <w:spacing w:val="-1"/>
          <w:sz w:val="21"/>
        </w:rPr>
        <w:t>2017</w:t>
      </w:r>
      <w:r>
        <w:rPr>
          <w:spacing w:val="-36"/>
          <w:sz w:val="21"/>
        </w:rPr>
        <w:t> 年 </w:t>
      </w:r>
      <w:r>
        <w:rPr>
          <w:sz w:val="21"/>
        </w:rPr>
        <w:t>12</w:t>
      </w:r>
      <w:r>
        <w:rPr>
          <w:spacing w:val="-36"/>
          <w:sz w:val="21"/>
        </w:rPr>
        <w:t> 月 </w:t>
      </w:r>
      <w:r>
        <w:rPr>
          <w:sz w:val="21"/>
        </w:rPr>
        <w:t>6</w:t>
      </w:r>
      <w:r>
        <w:rPr>
          <w:spacing w:val="-11"/>
          <w:sz w:val="21"/>
        </w:rPr>
        <w:t> 日第一届董事会第二次会议决议及 </w:t>
      </w:r>
      <w:r>
        <w:rPr>
          <w:sz w:val="21"/>
        </w:rPr>
        <w:t>2017</w:t>
      </w:r>
      <w:r>
        <w:rPr>
          <w:spacing w:val="-8"/>
          <w:sz w:val="21"/>
        </w:rPr>
        <w:t> 年第二次临时股东大会决议批</w:t>
      </w:r>
    </w:p>
    <w:p>
      <w:pPr>
        <w:pStyle w:val="BodyText"/>
        <w:spacing w:line="242" w:lineRule="auto" w:before="3"/>
        <w:ind w:right="1332"/>
      </w:pPr>
      <w:r>
        <w:rPr>
          <w:spacing w:val="-1"/>
        </w:rPr>
        <w:t>准，本集团部分员工于重组完成日(</w:t>
      </w:r>
      <w:r>
        <w:rPr/>
        <w:t>2017</w:t>
      </w:r>
      <w:r>
        <w:rPr>
          <w:spacing w:val="-37"/>
        </w:rPr>
        <w:t> 年 </w:t>
      </w:r>
      <w:r>
        <w:rPr/>
        <w:t>12</w:t>
      </w:r>
      <w:r>
        <w:rPr>
          <w:spacing w:val="-36"/>
        </w:rPr>
        <w:t> 月 </w:t>
      </w:r>
      <w:r>
        <w:rPr/>
        <w:t>31</w:t>
      </w:r>
      <w:r>
        <w:rPr>
          <w:spacing w:val="-8"/>
        </w:rPr>
        <w:t> 日)，透过若干有限合伙企业，合计间接持</w:t>
      </w:r>
      <w:r>
        <w:rPr>
          <w:spacing w:val="-12"/>
        </w:rPr>
        <w:t>有本公司 </w:t>
      </w:r>
      <w:r>
        <w:rPr>
          <w:spacing w:val="-1"/>
        </w:rPr>
        <w:t>1.4625</w:t>
      </w:r>
      <w:r>
        <w:rPr>
          <w:spacing w:val="-5"/>
        </w:rPr>
        <w:t>%的发行在外的人民币普通股 </w:t>
      </w:r>
      <w:r>
        <w:rPr/>
        <w:t>259,240,433</w:t>
      </w:r>
      <w:r>
        <w:rPr>
          <w:spacing w:val="-8"/>
        </w:rPr>
        <w:t> 股。该等人民币普通股存在限制性条</w:t>
      </w:r>
      <w:r>
        <w:rPr/>
        <w:t>件(“附条件权益工具”)，员工在上述有限合伙协议中约定的服务期满后方可解锁。 </w:t>
      </w:r>
    </w:p>
    <w:p>
      <w:pPr>
        <w:pStyle w:val="BodyText"/>
        <w:tabs>
          <w:tab w:pos="737" w:val="left" w:leader="none"/>
        </w:tabs>
        <w:spacing w:before="3"/>
      </w:pPr>
      <w:r>
        <w:rPr>
          <w:w w:val="100"/>
        </w:rPr>
        <w:t> </w:t>
      </w:r>
      <w:r>
        <w:rPr/>
        <w:tab/>
      </w:r>
      <w:r>
        <w:rPr>
          <w:w w:val="100"/>
        </w:rPr>
        <w:t> </w:t>
      </w:r>
    </w:p>
    <w:p>
      <w:pPr>
        <w:pStyle w:val="BodyText"/>
        <w:spacing w:line="242" w:lineRule="auto" w:before="2"/>
        <w:ind w:right="1277"/>
        <w:jc w:val="both"/>
      </w:pPr>
      <w:r>
        <w:rPr>
          <w:w w:val="100"/>
        </w:rPr>
        <w:t> </w:t>
      </w:r>
      <w:r>
        <w:rPr/>
        <w:t>  </w:t>
      </w:r>
      <w:r>
        <w:rPr>
          <w:spacing w:val="-1"/>
        </w:rPr>
        <w:t> </w:t>
      </w:r>
      <w:r>
        <w:rPr>
          <w:spacing w:val="-4"/>
        </w:rPr>
        <w:t>于授予日，上述附条件权益工具的公允价值为 </w:t>
      </w:r>
      <w:r>
        <w:rPr/>
        <w:t>2,143,141</w:t>
      </w:r>
      <w:r>
        <w:rPr>
          <w:spacing w:val="-8"/>
        </w:rPr>
        <w:t> 千元。该公允价值由具有相应资质</w:t>
      </w:r>
      <w:r>
        <w:rPr/>
        <w:t>的专业机构采用估值技术评估得出。附条件权益工具公允价值和员工取得权益工具所支付对价之</w:t>
      </w:r>
      <w:r>
        <w:rPr>
          <w:spacing w:val="-5"/>
        </w:rPr>
        <w:t>间的差异，将在自授予日起约 </w:t>
      </w:r>
      <w:r>
        <w:rPr/>
        <w:t>3-5</w:t>
      </w:r>
      <w:r>
        <w:rPr>
          <w:spacing w:val="-8"/>
        </w:rPr>
        <w:t> 年不等的服务期内摊销。</w:t>
      </w:r>
      <w:r>
        <w:rPr/>
        <w:t> </w:t>
      </w:r>
    </w:p>
    <w:p>
      <w:pPr>
        <w:pStyle w:val="BodyText"/>
        <w:spacing w:before="3"/>
        <w:jc w:val="both"/>
      </w:pPr>
      <w:r>
        <w:rPr>
          <w:w w:val="100"/>
        </w:rPr>
        <w:t> </w:t>
      </w:r>
      <w:r>
        <w:rPr/>
        <w:t>  </w:t>
      </w:r>
      <w:r>
        <w:rPr>
          <w:spacing w:val="-1"/>
        </w:rPr>
        <w:t> </w:t>
      </w:r>
      <w:r>
        <w:rPr>
          <w:w w:val="100"/>
        </w:rPr>
        <w:t> </w:t>
      </w:r>
    </w:p>
    <w:p>
      <w:pPr>
        <w:pStyle w:val="BodyText"/>
        <w:spacing w:line="244" w:lineRule="auto" w:before="2"/>
        <w:ind w:right="2278"/>
        <w:jc w:val="both"/>
      </w:pPr>
      <w:r>
        <w:rPr>
          <w:w w:val="100"/>
        </w:rPr>
        <w:t> </w:t>
      </w:r>
      <w:r>
        <w:rPr/>
        <w:t>  </w:t>
      </w:r>
      <w:r>
        <w:rPr>
          <w:spacing w:val="-1"/>
        </w:rPr>
        <w:t> </w:t>
      </w:r>
      <w:r>
        <w:rPr>
          <w:spacing w:val="-1"/>
        </w:rPr>
        <w:t>结合员工离职及绩效考核情况，</w:t>
      </w:r>
      <w:r>
        <w:rPr/>
        <w:t>2022</w:t>
      </w:r>
      <w:r>
        <w:rPr>
          <w:spacing w:val="-8"/>
        </w:rPr>
        <w:t> 年度，本集团解除上述附条权权益工具限售</w:t>
      </w:r>
      <w:r>
        <w:rPr/>
        <w:t>81,300,761</w:t>
      </w:r>
      <w:r>
        <w:rPr>
          <w:spacing w:val="-18"/>
        </w:rPr>
        <w:t> 股。</w:t>
      </w:r>
      <w:r>
        <w:rPr/>
        <w:t> </w:t>
      </w:r>
    </w:p>
    <w:p>
      <w:pPr>
        <w:pStyle w:val="BodyText"/>
        <w:spacing w:line="265" w:lineRule="exact"/>
        <w:jc w:val="both"/>
      </w:pPr>
      <w:r>
        <w:rPr>
          <w:w w:val="100"/>
        </w:rPr>
        <w:t> </w:t>
      </w:r>
      <w:r>
        <w:rPr/>
        <w:t>  </w:t>
      </w:r>
      <w:r>
        <w:rPr>
          <w:spacing w:val="-1"/>
        </w:rPr>
        <w:t> </w:t>
      </w:r>
      <w:r>
        <w:rPr>
          <w:w w:val="100"/>
        </w:rPr>
        <w:t> </w:t>
      </w:r>
    </w:p>
    <w:p>
      <w:pPr>
        <w:spacing w:after="0" w:line="265" w:lineRule="exact"/>
        <w:jc w:val="both"/>
        <w:sectPr>
          <w:type w:val="continuous"/>
          <w:pgSz w:w="11910" w:h="16840"/>
          <w:pgMar w:top="780" w:bottom="280" w:left="1480" w:right="0"/>
        </w:sectPr>
      </w:pPr>
    </w:p>
    <w:p>
      <w:pPr>
        <w:pStyle w:val="BodyText"/>
        <w:spacing w:before="7"/>
        <w:ind w:left="0"/>
        <w:rPr>
          <w:sz w:val="25"/>
        </w:rPr>
      </w:pPr>
    </w:p>
    <w:p>
      <w:pPr>
        <w:pStyle w:val="BodyText"/>
        <w:tabs>
          <w:tab w:pos="737" w:val="left" w:leader="none"/>
        </w:tabs>
        <w:spacing w:line="244" w:lineRule="auto" w:before="72"/>
        <w:ind w:right="1337"/>
      </w:pPr>
      <w:r>
        <w:rPr>
          <w:w w:val="100"/>
        </w:rPr>
        <w:t> </w:t>
      </w:r>
      <w:r>
        <w:rPr/>
        <w:tab/>
      </w:r>
      <w:r>
        <w:rPr>
          <w:spacing w:val="-1"/>
        </w:rPr>
        <w:t>2022</w:t>
      </w:r>
      <w:r>
        <w:rPr>
          <w:spacing w:val="-11"/>
        </w:rPr>
        <w:t> 年度，因上述股份支付而确认的费用金额为 </w:t>
      </w:r>
      <w:r>
        <w:rPr/>
        <w:t>34,418</w:t>
      </w:r>
      <w:r>
        <w:rPr>
          <w:spacing w:val="-14"/>
        </w:rPr>
        <w:t> 千元(</w:t>
      </w:r>
      <w:r>
        <w:rPr/>
        <w:t>2021</w:t>
      </w:r>
      <w:r>
        <w:rPr>
          <w:spacing w:val="-12"/>
        </w:rPr>
        <w:t> 年度: </w:t>
      </w:r>
      <w:r>
        <w:rPr/>
        <w:t>213,209</w:t>
      </w:r>
      <w:r>
        <w:rPr>
          <w:spacing w:val="-12"/>
        </w:rPr>
        <w:t> 千元)，</w:t>
      </w:r>
      <w:r>
        <w:rPr>
          <w:spacing w:val="-102"/>
        </w:rPr>
        <w:t> </w:t>
      </w:r>
      <w:r>
        <w:rPr>
          <w:spacing w:val="-6"/>
        </w:rPr>
        <w:t>计入资本公积的金额为 </w:t>
      </w:r>
      <w:r>
        <w:rPr/>
        <w:t>34,418</w:t>
      </w:r>
      <w:r>
        <w:rPr>
          <w:spacing w:val="-15"/>
        </w:rPr>
        <w:t> 千元(</w:t>
      </w:r>
      <w:r>
        <w:rPr/>
        <w:t>2021</w:t>
      </w:r>
      <w:r>
        <w:rPr>
          <w:spacing w:val="-12"/>
        </w:rPr>
        <w:t> 年度: </w:t>
      </w:r>
      <w:r>
        <w:rPr/>
        <w:t>213,209</w:t>
      </w:r>
      <w:r>
        <w:rPr>
          <w:spacing w:val="-12"/>
        </w:rPr>
        <w:t> 千元)。</w:t>
      </w:r>
      <w:r>
        <w:rPr/>
        <w:t> </w:t>
      </w:r>
    </w:p>
    <w:p>
      <w:pPr>
        <w:pStyle w:val="BodyText"/>
        <w:tabs>
          <w:tab w:pos="737" w:val="left" w:leader="none"/>
        </w:tabs>
        <w:spacing w:line="265" w:lineRule="exact"/>
      </w:pPr>
      <w:r>
        <w:rPr>
          <w:w w:val="100"/>
        </w:rPr>
        <w:t> </w:t>
      </w:r>
      <w:r>
        <w:rPr/>
        <w:tab/>
      </w:r>
      <w:r>
        <w:rPr>
          <w:w w:val="100"/>
        </w:rPr>
        <w:t> </w:t>
      </w:r>
    </w:p>
    <w:p>
      <w:pPr>
        <w:pStyle w:val="ListParagraph"/>
        <w:numPr>
          <w:ilvl w:val="0"/>
          <w:numId w:val="88"/>
        </w:numPr>
        <w:tabs>
          <w:tab w:pos="742" w:val="left" w:leader="none"/>
          <w:tab w:pos="1157" w:val="left" w:leader="none"/>
        </w:tabs>
        <w:spacing w:line="242" w:lineRule="auto" w:before="5" w:after="0"/>
        <w:ind w:left="318" w:right="1388" w:firstLine="0"/>
        <w:jc w:val="left"/>
        <w:rPr>
          <w:sz w:val="21"/>
        </w:rPr>
      </w:pPr>
      <w:r>
        <w:rPr>
          <w:spacing w:val="-3"/>
          <w:sz w:val="21"/>
        </w:rPr>
        <w:t>本公司根据《激励计划(草案修订稿)》的相关规定和本公司 </w:t>
      </w:r>
      <w:r>
        <w:rPr>
          <w:sz w:val="21"/>
        </w:rPr>
        <w:t>2019</w:t>
      </w:r>
      <w:r>
        <w:rPr>
          <w:spacing w:val="-8"/>
          <w:sz w:val="21"/>
        </w:rPr>
        <w:t> 年第一次临时股东大会授</w:t>
      </w:r>
      <w:r>
        <w:rPr>
          <w:spacing w:val="-14"/>
          <w:sz w:val="21"/>
        </w:rPr>
        <w:t>权，于 </w:t>
      </w:r>
      <w:r>
        <w:rPr>
          <w:spacing w:val="-1"/>
          <w:sz w:val="21"/>
        </w:rPr>
        <w:t>2019</w:t>
      </w:r>
      <w:r>
        <w:rPr>
          <w:spacing w:val="-37"/>
          <w:sz w:val="21"/>
        </w:rPr>
        <w:t> 年 </w:t>
      </w:r>
      <w:r>
        <w:rPr>
          <w:sz w:val="21"/>
        </w:rPr>
        <w:t>4</w:t>
      </w:r>
      <w:r>
        <w:rPr>
          <w:spacing w:val="-36"/>
          <w:sz w:val="21"/>
        </w:rPr>
        <w:t> 月 </w:t>
      </w:r>
      <w:r>
        <w:rPr>
          <w:sz w:val="21"/>
        </w:rPr>
        <w:t>30</w:t>
      </w:r>
      <w:r>
        <w:rPr>
          <w:spacing w:val="-8"/>
          <w:sz w:val="21"/>
        </w:rPr>
        <w:t> 日召开董事会审议通过首次授予计划，向 </w:t>
      </w:r>
      <w:r>
        <w:rPr>
          <w:sz w:val="21"/>
        </w:rPr>
        <w:t>3,893</w:t>
      </w:r>
      <w:r>
        <w:rPr>
          <w:spacing w:val="-8"/>
          <w:sz w:val="21"/>
        </w:rPr>
        <w:t> 名拟激励对象授予</w:t>
      </w:r>
    </w:p>
    <w:p>
      <w:pPr>
        <w:pStyle w:val="BodyText"/>
        <w:spacing w:before="1"/>
      </w:pPr>
      <w:r>
        <w:rPr>
          <w:spacing w:val="-1"/>
        </w:rPr>
        <w:t>149,183,352</w:t>
      </w:r>
      <w:r>
        <w:rPr>
          <w:spacing w:val="-10"/>
        </w:rPr>
        <w:t> 股限制性人民币普通股，授予价格为每股人民币 </w:t>
      </w:r>
      <w:r>
        <w:rPr/>
        <w:t>6.03</w:t>
      </w:r>
      <w:r>
        <w:rPr>
          <w:spacing w:val="-8"/>
        </w:rPr>
        <w:t> 元，收到出资款合计为人民</w:t>
      </w:r>
    </w:p>
    <w:p>
      <w:pPr>
        <w:pStyle w:val="BodyText"/>
        <w:spacing w:line="244" w:lineRule="auto" w:before="2"/>
        <w:ind w:right="1279"/>
      </w:pPr>
      <w:r>
        <w:rPr>
          <w:spacing w:val="-27"/>
        </w:rPr>
        <w:t>币 </w:t>
      </w:r>
      <w:r>
        <w:rPr>
          <w:spacing w:val="-1"/>
        </w:rPr>
        <w:t>899,576</w:t>
      </w:r>
      <w:r>
        <w:rPr>
          <w:spacing w:val="-10"/>
        </w:rPr>
        <w:t> 千元，本公司同时就限制性股票的回购义务确认负债人民币 </w:t>
      </w:r>
      <w:r>
        <w:rPr/>
        <w:t>899,576</w:t>
      </w:r>
      <w:r>
        <w:rPr>
          <w:spacing w:val="-8"/>
        </w:rPr>
        <w:t> 千元，做收购库</w:t>
      </w:r>
      <w:r>
        <w:rPr/>
        <w:t>存股处理。员工入股价低于授予日本公司限制性股票的公允价值的部分构成股份支付。 </w:t>
      </w:r>
    </w:p>
    <w:p>
      <w:pPr>
        <w:pStyle w:val="BodyText"/>
        <w:spacing w:line="265" w:lineRule="exact"/>
      </w:pPr>
      <w:r>
        <w:rPr>
          <w:w w:val="100"/>
        </w:rPr>
        <w:t> </w:t>
      </w:r>
    </w:p>
    <w:p>
      <w:pPr>
        <w:pStyle w:val="Heading3"/>
        <w:spacing w:before="3"/>
        <w:ind w:left="1040"/>
        <w:jc w:val="left"/>
      </w:pPr>
      <w:r>
        <w:rPr/>
        <w:t>本次授予的限制性股票于授予日的公允价值，根据《企业会计准则第</w:t>
      </w:r>
      <w:r>
        <w:rPr>
          <w:rFonts w:ascii="Arial MT" w:hAnsi="Arial MT" w:eastAsia="Arial MT"/>
        </w:rPr>
        <w:t>11</w:t>
      </w:r>
      <w:r>
        <w:rPr/>
        <w:t>号—</w:t>
      </w:r>
    </w:p>
    <w:p>
      <w:pPr>
        <w:pStyle w:val="Heading3"/>
        <w:spacing w:line="242" w:lineRule="auto" w:before="2"/>
        <w:ind w:left="1040" w:right="1375"/>
      </w:pPr>
      <w:r>
        <w:rPr/>
        <w:t>—股份支付》等规定，公司以授予日公司股票收盘价为基础，对授予的限制性股票的公允价值进行了测算，测算得出每股限制性股票的股份支付公允价值为</w:t>
      </w:r>
      <w:r>
        <w:rPr>
          <w:rFonts w:ascii="Arial MT" w:hAnsi="Arial MT" w:eastAsia="Arial MT"/>
        </w:rPr>
        <w:t>9.39</w:t>
      </w:r>
      <w:r>
        <w:rPr/>
        <w:t>元。</w:t>
      </w:r>
    </w:p>
    <w:p>
      <w:pPr>
        <w:pStyle w:val="BodyText"/>
        <w:spacing w:before="3"/>
        <w:ind w:left="0"/>
        <w:rPr>
          <w:sz w:val="24"/>
        </w:rPr>
      </w:pP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7"/>
        <w:gridCol w:w="5357"/>
        <w:gridCol w:w="1370"/>
      </w:tblGrid>
      <w:tr>
        <w:trPr>
          <w:trHeight w:val="724" w:hRule="atLeast"/>
        </w:trPr>
        <w:tc>
          <w:tcPr>
            <w:tcW w:w="8424" w:type="dxa"/>
            <w:gridSpan w:val="3"/>
          </w:tcPr>
          <w:p>
            <w:pPr>
              <w:pStyle w:val="TableParagraph"/>
              <w:spacing w:line="274" w:lineRule="exact"/>
              <w:ind w:left="200"/>
              <w:rPr>
                <w:sz w:val="24"/>
              </w:rPr>
            </w:pPr>
            <w:r>
              <w:rPr>
                <w:sz w:val="24"/>
              </w:rPr>
              <w:t>根据限制性股票激励计划的规定，持股员工受严格的服务期限制，限制性股</w:t>
            </w:r>
          </w:p>
          <w:p>
            <w:pPr>
              <w:pStyle w:val="TableParagraph"/>
              <w:spacing w:before="4"/>
              <w:ind w:left="200"/>
              <w:rPr>
                <w:sz w:val="24"/>
              </w:rPr>
            </w:pPr>
            <w:r>
              <w:rPr>
                <w:sz w:val="24"/>
              </w:rPr>
              <w:t>票的解除限售期及各期解除限售时间安排如下表所示：</w:t>
            </w:r>
          </w:p>
        </w:tc>
      </w:tr>
      <w:tr>
        <w:trPr>
          <w:trHeight w:val="893" w:hRule="atLeast"/>
        </w:trPr>
        <w:tc>
          <w:tcPr>
            <w:tcW w:w="1697" w:type="dxa"/>
          </w:tcPr>
          <w:p>
            <w:pPr>
              <w:pStyle w:val="TableParagraph"/>
              <w:spacing w:line="242" w:lineRule="auto" w:before="139"/>
              <w:ind w:left="735" w:right="239" w:hanging="240"/>
              <w:rPr>
                <w:sz w:val="24"/>
              </w:rPr>
            </w:pPr>
            <w:r>
              <w:rPr>
                <w:spacing w:val="-1"/>
                <w:sz w:val="24"/>
              </w:rPr>
              <w:t>解除限售</w:t>
            </w:r>
            <w:r>
              <w:rPr>
                <w:sz w:val="24"/>
              </w:rPr>
              <w:t>安排</w:t>
            </w:r>
          </w:p>
        </w:tc>
        <w:tc>
          <w:tcPr>
            <w:tcW w:w="5357" w:type="dxa"/>
          </w:tcPr>
          <w:p>
            <w:pPr>
              <w:pStyle w:val="TableParagraph"/>
              <w:spacing w:before="2"/>
              <w:rPr>
                <w:sz w:val="35"/>
              </w:rPr>
            </w:pPr>
          </w:p>
          <w:p>
            <w:pPr>
              <w:pStyle w:val="TableParagraph"/>
              <w:ind w:left="187" w:right="104"/>
              <w:jc w:val="center"/>
              <w:rPr>
                <w:sz w:val="24"/>
              </w:rPr>
            </w:pPr>
            <w:r>
              <w:rPr>
                <w:sz w:val="24"/>
              </w:rPr>
              <w:t>解除限售时间</w:t>
            </w:r>
          </w:p>
        </w:tc>
        <w:tc>
          <w:tcPr>
            <w:tcW w:w="1370" w:type="dxa"/>
          </w:tcPr>
          <w:p>
            <w:pPr>
              <w:pStyle w:val="TableParagraph"/>
              <w:spacing w:before="139"/>
              <w:ind w:right="288"/>
              <w:jc w:val="right"/>
              <w:rPr>
                <w:sz w:val="24"/>
              </w:rPr>
            </w:pPr>
            <w:r>
              <w:rPr>
                <w:sz w:val="24"/>
              </w:rPr>
              <w:t>解除限售</w:t>
            </w:r>
          </w:p>
          <w:p>
            <w:pPr>
              <w:pStyle w:val="TableParagraph"/>
              <w:spacing w:before="4"/>
              <w:ind w:right="288"/>
              <w:jc w:val="right"/>
              <w:rPr>
                <w:sz w:val="24"/>
              </w:rPr>
            </w:pPr>
            <w:r>
              <w:rPr>
                <w:sz w:val="24"/>
              </w:rPr>
              <w:t>比例</w:t>
            </w:r>
          </w:p>
        </w:tc>
      </w:tr>
      <w:tr>
        <w:trPr>
          <w:trHeight w:val="776" w:hRule="atLeast"/>
        </w:trPr>
        <w:tc>
          <w:tcPr>
            <w:tcW w:w="1697" w:type="dxa"/>
          </w:tcPr>
          <w:p>
            <w:pPr>
              <w:pStyle w:val="TableParagraph"/>
              <w:spacing w:line="310" w:lineRule="atLeast" w:before="136"/>
              <w:ind w:left="454" w:right="56" w:hanging="255"/>
              <w:rPr>
                <w:sz w:val="24"/>
              </w:rPr>
            </w:pPr>
            <w:r>
              <w:rPr>
                <w:spacing w:val="-1"/>
                <w:sz w:val="24"/>
              </w:rPr>
              <w:t>第一个解除限</w:t>
            </w:r>
            <w:r>
              <w:rPr>
                <w:sz w:val="24"/>
              </w:rPr>
              <w:t>售期</w:t>
            </w:r>
          </w:p>
        </w:tc>
        <w:tc>
          <w:tcPr>
            <w:tcW w:w="5357" w:type="dxa"/>
          </w:tcPr>
          <w:p>
            <w:pPr>
              <w:pStyle w:val="TableParagraph"/>
              <w:spacing w:before="145"/>
              <w:ind w:left="40" w:right="104"/>
              <w:jc w:val="center"/>
              <w:rPr>
                <w:sz w:val="24"/>
              </w:rPr>
            </w:pPr>
            <w:r>
              <w:rPr>
                <w:spacing w:val="9"/>
                <w:w w:val="95"/>
                <w:sz w:val="24"/>
              </w:rPr>
              <w:t>自首次授予日起 </w:t>
            </w:r>
            <w:r>
              <w:rPr>
                <w:rFonts w:ascii="Arial MT" w:eastAsia="Arial MT"/>
                <w:w w:val="95"/>
                <w:sz w:val="24"/>
              </w:rPr>
              <w:t>12</w:t>
            </w:r>
            <w:r>
              <w:rPr>
                <w:rFonts w:ascii="Arial MT" w:eastAsia="Arial MT"/>
                <w:spacing w:val="106"/>
                <w:sz w:val="24"/>
              </w:rPr>
              <w:t> </w:t>
            </w:r>
            <w:r>
              <w:rPr>
                <w:w w:val="95"/>
                <w:sz w:val="24"/>
              </w:rPr>
              <w:t>个月后的首个交易日起至首次</w:t>
            </w:r>
          </w:p>
          <w:p>
            <w:pPr>
              <w:pStyle w:val="TableParagraph"/>
              <w:spacing w:line="301" w:lineRule="exact" w:before="3"/>
              <w:ind w:left="40" w:right="104"/>
              <w:jc w:val="center"/>
              <w:rPr>
                <w:sz w:val="24"/>
              </w:rPr>
            </w:pPr>
            <w:r>
              <w:rPr>
                <w:spacing w:val="13"/>
                <w:w w:val="95"/>
                <w:sz w:val="24"/>
              </w:rPr>
              <w:t>授予日起 </w:t>
            </w:r>
            <w:r>
              <w:rPr>
                <w:rFonts w:ascii="Arial MT" w:eastAsia="Arial MT"/>
                <w:w w:val="95"/>
                <w:sz w:val="24"/>
              </w:rPr>
              <w:t>24</w:t>
            </w:r>
            <w:r>
              <w:rPr>
                <w:rFonts w:ascii="Arial MT" w:eastAsia="Arial MT"/>
                <w:spacing w:val="93"/>
                <w:sz w:val="24"/>
              </w:rPr>
              <w:t> </w:t>
            </w:r>
            <w:r>
              <w:rPr>
                <w:w w:val="95"/>
                <w:sz w:val="24"/>
              </w:rPr>
              <w:t>个月内的最后一个交易日当日止</w:t>
            </w:r>
          </w:p>
        </w:tc>
        <w:tc>
          <w:tcPr>
            <w:tcW w:w="1370" w:type="dxa"/>
          </w:tcPr>
          <w:p>
            <w:pPr>
              <w:pStyle w:val="TableParagraph"/>
              <w:rPr>
                <w:sz w:val="38"/>
              </w:rPr>
            </w:pPr>
          </w:p>
          <w:p>
            <w:pPr>
              <w:pStyle w:val="TableParagraph"/>
              <w:spacing w:line="270" w:lineRule="exact"/>
              <w:ind w:right="285"/>
              <w:jc w:val="right"/>
              <w:rPr>
                <w:rFonts w:ascii="Arial MT"/>
                <w:sz w:val="24"/>
              </w:rPr>
            </w:pPr>
            <w:r>
              <w:rPr>
                <w:rFonts w:ascii="Arial MT"/>
                <w:sz w:val="24"/>
              </w:rPr>
              <w:t>20%</w:t>
            </w:r>
          </w:p>
        </w:tc>
      </w:tr>
      <w:tr>
        <w:trPr>
          <w:trHeight w:val="621" w:hRule="atLeast"/>
        </w:trPr>
        <w:tc>
          <w:tcPr>
            <w:tcW w:w="1697" w:type="dxa"/>
          </w:tcPr>
          <w:p>
            <w:pPr>
              <w:pStyle w:val="TableParagraph"/>
              <w:spacing w:line="298" w:lineRule="exact"/>
              <w:ind w:left="200"/>
              <w:rPr>
                <w:sz w:val="24"/>
              </w:rPr>
            </w:pPr>
            <w:r>
              <w:rPr>
                <w:sz w:val="24"/>
              </w:rPr>
              <w:t>第二个解除限</w:t>
            </w:r>
          </w:p>
          <w:p>
            <w:pPr>
              <w:pStyle w:val="TableParagraph"/>
              <w:spacing w:line="299" w:lineRule="exact" w:before="4"/>
              <w:ind w:left="454"/>
              <w:rPr>
                <w:sz w:val="24"/>
              </w:rPr>
            </w:pPr>
            <w:r>
              <w:rPr>
                <w:sz w:val="24"/>
              </w:rPr>
              <w:t>售期</w:t>
            </w:r>
          </w:p>
        </w:tc>
        <w:tc>
          <w:tcPr>
            <w:tcW w:w="5357" w:type="dxa"/>
          </w:tcPr>
          <w:p>
            <w:pPr>
              <w:pStyle w:val="TableParagraph"/>
              <w:spacing w:line="298" w:lineRule="exact"/>
              <w:ind w:left="40" w:right="104"/>
              <w:jc w:val="center"/>
              <w:rPr>
                <w:sz w:val="24"/>
              </w:rPr>
            </w:pPr>
            <w:r>
              <w:rPr>
                <w:spacing w:val="9"/>
                <w:w w:val="95"/>
                <w:sz w:val="24"/>
              </w:rPr>
              <w:t>自首次授予日起 </w:t>
            </w:r>
            <w:r>
              <w:rPr>
                <w:rFonts w:ascii="Arial MT" w:eastAsia="Arial MT"/>
                <w:w w:val="95"/>
                <w:sz w:val="24"/>
              </w:rPr>
              <w:t>24</w:t>
            </w:r>
            <w:r>
              <w:rPr>
                <w:rFonts w:ascii="Arial MT" w:eastAsia="Arial MT"/>
                <w:spacing w:val="106"/>
                <w:sz w:val="24"/>
              </w:rPr>
              <w:t> </w:t>
            </w:r>
            <w:r>
              <w:rPr>
                <w:w w:val="95"/>
                <w:sz w:val="24"/>
              </w:rPr>
              <w:t>个月后的首个交易日起至首次</w:t>
            </w:r>
          </w:p>
          <w:p>
            <w:pPr>
              <w:pStyle w:val="TableParagraph"/>
              <w:spacing w:line="299" w:lineRule="exact" w:before="4"/>
              <w:ind w:left="40" w:right="104"/>
              <w:jc w:val="center"/>
              <w:rPr>
                <w:sz w:val="24"/>
              </w:rPr>
            </w:pPr>
            <w:r>
              <w:rPr>
                <w:spacing w:val="13"/>
                <w:w w:val="95"/>
                <w:sz w:val="24"/>
              </w:rPr>
              <w:t>授予日起 </w:t>
            </w:r>
            <w:r>
              <w:rPr>
                <w:rFonts w:ascii="Arial MT" w:eastAsia="Arial MT"/>
                <w:w w:val="95"/>
                <w:sz w:val="24"/>
              </w:rPr>
              <w:t>36</w:t>
            </w:r>
            <w:r>
              <w:rPr>
                <w:rFonts w:ascii="Arial MT" w:eastAsia="Arial MT"/>
                <w:spacing w:val="93"/>
                <w:sz w:val="24"/>
              </w:rPr>
              <w:t> </w:t>
            </w:r>
            <w:r>
              <w:rPr>
                <w:w w:val="95"/>
                <w:sz w:val="24"/>
              </w:rPr>
              <w:t>个月内的最后一个交易日当日止</w:t>
            </w:r>
          </w:p>
        </w:tc>
        <w:tc>
          <w:tcPr>
            <w:tcW w:w="1370" w:type="dxa"/>
          </w:tcPr>
          <w:p>
            <w:pPr>
              <w:pStyle w:val="TableParagraph"/>
              <w:spacing w:before="11"/>
              <w:rPr>
                <w:sz w:val="25"/>
              </w:rPr>
            </w:pPr>
          </w:p>
          <w:p>
            <w:pPr>
              <w:pStyle w:val="TableParagraph"/>
              <w:spacing w:line="270" w:lineRule="exact"/>
              <w:ind w:right="285"/>
              <w:jc w:val="right"/>
              <w:rPr>
                <w:rFonts w:ascii="Arial MT"/>
                <w:sz w:val="24"/>
              </w:rPr>
            </w:pPr>
            <w:r>
              <w:rPr>
                <w:rFonts w:ascii="Arial MT"/>
                <w:sz w:val="24"/>
              </w:rPr>
              <w:t>20%</w:t>
            </w:r>
          </w:p>
        </w:tc>
      </w:tr>
      <w:tr>
        <w:trPr>
          <w:trHeight w:val="624" w:hRule="atLeast"/>
        </w:trPr>
        <w:tc>
          <w:tcPr>
            <w:tcW w:w="1697" w:type="dxa"/>
          </w:tcPr>
          <w:p>
            <w:pPr>
              <w:pStyle w:val="TableParagraph"/>
              <w:spacing w:line="298" w:lineRule="exact"/>
              <w:ind w:left="200"/>
              <w:rPr>
                <w:sz w:val="24"/>
              </w:rPr>
            </w:pPr>
            <w:r>
              <w:rPr>
                <w:sz w:val="24"/>
              </w:rPr>
              <w:t>第三个解除限</w:t>
            </w:r>
          </w:p>
          <w:p>
            <w:pPr>
              <w:pStyle w:val="TableParagraph"/>
              <w:spacing w:line="301" w:lineRule="exact" w:before="5"/>
              <w:ind w:left="454"/>
              <w:rPr>
                <w:sz w:val="24"/>
              </w:rPr>
            </w:pPr>
            <w:r>
              <w:rPr>
                <w:sz w:val="24"/>
              </w:rPr>
              <w:t>售期</w:t>
            </w:r>
          </w:p>
        </w:tc>
        <w:tc>
          <w:tcPr>
            <w:tcW w:w="5357" w:type="dxa"/>
          </w:tcPr>
          <w:p>
            <w:pPr>
              <w:pStyle w:val="TableParagraph"/>
              <w:spacing w:line="298" w:lineRule="exact"/>
              <w:ind w:left="40" w:right="104"/>
              <w:jc w:val="center"/>
              <w:rPr>
                <w:sz w:val="24"/>
              </w:rPr>
            </w:pPr>
            <w:r>
              <w:rPr>
                <w:spacing w:val="9"/>
                <w:w w:val="95"/>
                <w:sz w:val="24"/>
              </w:rPr>
              <w:t>自首次授予日起 </w:t>
            </w:r>
            <w:r>
              <w:rPr>
                <w:rFonts w:ascii="Arial MT" w:eastAsia="Arial MT"/>
                <w:w w:val="95"/>
                <w:sz w:val="24"/>
              </w:rPr>
              <w:t>36</w:t>
            </w:r>
            <w:r>
              <w:rPr>
                <w:rFonts w:ascii="Arial MT" w:eastAsia="Arial MT"/>
                <w:spacing w:val="106"/>
                <w:sz w:val="24"/>
              </w:rPr>
              <w:t> </w:t>
            </w:r>
            <w:r>
              <w:rPr>
                <w:w w:val="95"/>
                <w:sz w:val="24"/>
              </w:rPr>
              <w:t>个月后的首个交易日起至首次</w:t>
            </w:r>
          </w:p>
          <w:p>
            <w:pPr>
              <w:pStyle w:val="TableParagraph"/>
              <w:spacing w:line="301" w:lineRule="exact" w:before="5"/>
              <w:ind w:left="40" w:right="104"/>
              <w:jc w:val="center"/>
              <w:rPr>
                <w:sz w:val="24"/>
              </w:rPr>
            </w:pPr>
            <w:r>
              <w:rPr>
                <w:spacing w:val="13"/>
                <w:w w:val="95"/>
                <w:sz w:val="24"/>
              </w:rPr>
              <w:t>授予日起 </w:t>
            </w:r>
            <w:r>
              <w:rPr>
                <w:rFonts w:ascii="Arial MT" w:eastAsia="Arial MT"/>
                <w:w w:val="95"/>
                <w:sz w:val="24"/>
              </w:rPr>
              <w:t>48</w:t>
            </w:r>
            <w:r>
              <w:rPr>
                <w:rFonts w:ascii="Arial MT" w:eastAsia="Arial MT"/>
                <w:spacing w:val="93"/>
                <w:sz w:val="24"/>
              </w:rPr>
              <w:t> </w:t>
            </w:r>
            <w:r>
              <w:rPr>
                <w:w w:val="95"/>
                <w:sz w:val="24"/>
              </w:rPr>
              <w:t>个月内的最后一个交易日当日止</w:t>
            </w:r>
          </w:p>
        </w:tc>
        <w:tc>
          <w:tcPr>
            <w:tcW w:w="1370" w:type="dxa"/>
          </w:tcPr>
          <w:p>
            <w:pPr>
              <w:pStyle w:val="TableParagraph"/>
              <w:spacing w:before="1"/>
              <w:rPr>
                <w:sz w:val="26"/>
              </w:rPr>
            </w:pPr>
          </w:p>
          <w:p>
            <w:pPr>
              <w:pStyle w:val="TableParagraph"/>
              <w:spacing w:line="270" w:lineRule="exact"/>
              <w:ind w:right="285"/>
              <w:jc w:val="right"/>
              <w:rPr>
                <w:rFonts w:ascii="Arial MT"/>
                <w:sz w:val="24"/>
              </w:rPr>
            </w:pPr>
            <w:r>
              <w:rPr>
                <w:rFonts w:ascii="Arial MT"/>
                <w:sz w:val="24"/>
              </w:rPr>
              <w:t>20%</w:t>
            </w:r>
          </w:p>
        </w:tc>
      </w:tr>
      <w:tr>
        <w:trPr>
          <w:trHeight w:val="621" w:hRule="atLeast"/>
        </w:trPr>
        <w:tc>
          <w:tcPr>
            <w:tcW w:w="1697" w:type="dxa"/>
          </w:tcPr>
          <w:p>
            <w:pPr>
              <w:pStyle w:val="TableParagraph"/>
              <w:spacing w:line="298" w:lineRule="exact"/>
              <w:ind w:left="200"/>
              <w:rPr>
                <w:sz w:val="24"/>
              </w:rPr>
            </w:pPr>
            <w:r>
              <w:rPr>
                <w:sz w:val="24"/>
              </w:rPr>
              <w:t>第四个解除限</w:t>
            </w:r>
          </w:p>
          <w:p>
            <w:pPr>
              <w:pStyle w:val="TableParagraph"/>
              <w:spacing w:line="301" w:lineRule="exact" w:before="2"/>
              <w:ind w:left="454"/>
              <w:rPr>
                <w:sz w:val="24"/>
              </w:rPr>
            </w:pPr>
            <w:r>
              <w:rPr>
                <w:sz w:val="24"/>
              </w:rPr>
              <w:t>售期</w:t>
            </w:r>
          </w:p>
        </w:tc>
        <w:tc>
          <w:tcPr>
            <w:tcW w:w="5357" w:type="dxa"/>
          </w:tcPr>
          <w:p>
            <w:pPr>
              <w:pStyle w:val="TableParagraph"/>
              <w:spacing w:line="298" w:lineRule="exact"/>
              <w:ind w:left="40" w:right="104"/>
              <w:jc w:val="center"/>
              <w:rPr>
                <w:sz w:val="24"/>
              </w:rPr>
            </w:pPr>
            <w:r>
              <w:rPr>
                <w:spacing w:val="9"/>
                <w:w w:val="95"/>
                <w:sz w:val="24"/>
              </w:rPr>
              <w:t>自首次授予日起 </w:t>
            </w:r>
            <w:r>
              <w:rPr>
                <w:rFonts w:ascii="Arial MT" w:eastAsia="Arial MT"/>
                <w:w w:val="95"/>
                <w:sz w:val="24"/>
              </w:rPr>
              <w:t>48</w:t>
            </w:r>
            <w:r>
              <w:rPr>
                <w:rFonts w:ascii="Arial MT" w:eastAsia="Arial MT"/>
                <w:spacing w:val="106"/>
                <w:sz w:val="24"/>
              </w:rPr>
              <w:t> </w:t>
            </w:r>
            <w:r>
              <w:rPr>
                <w:w w:val="95"/>
                <w:sz w:val="24"/>
              </w:rPr>
              <w:t>个月后的首个交易日起至首次</w:t>
            </w:r>
          </w:p>
          <w:p>
            <w:pPr>
              <w:pStyle w:val="TableParagraph"/>
              <w:spacing w:line="301" w:lineRule="exact" w:before="2"/>
              <w:ind w:left="40" w:right="104"/>
              <w:jc w:val="center"/>
              <w:rPr>
                <w:sz w:val="24"/>
              </w:rPr>
            </w:pPr>
            <w:r>
              <w:rPr>
                <w:spacing w:val="13"/>
                <w:w w:val="95"/>
                <w:sz w:val="24"/>
              </w:rPr>
              <w:t>授予日起 </w:t>
            </w:r>
            <w:r>
              <w:rPr>
                <w:rFonts w:ascii="Arial MT" w:eastAsia="Arial MT"/>
                <w:w w:val="95"/>
                <w:sz w:val="24"/>
              </w:rPr>
              <w:t>60</w:t>
            </w:r>
            <w:r>
              <w:rPr>
                <w:rFonts w:ascii="Arial MT" w:eastAsia="Arial MT"/>
                <w:spacing w:val="93"/>
                <w:sz w:val="24"/>
              </w:rPr>
              <w:t> </w:t>
            </w:r>
            <w:r>
              <w:rPr>
                <w:w w:val="95"/>
                <w:sz w:val="24"/>
              </w:rPr>
              <w:t>个月内的最后一个交易日当日止</w:t>
            </w:r>
          </w:p>
        </w:tc>
        <w:tc>
          <w:tcPr>
            <w:tcW w:w="1370" w:type="dxa"/>
          </w:tcPr>
          <w:p>
            <w:pPr>
              <w:pStyle w:val="TableParagraph"/>
              <w:spacing w:before="11"/>
              <w:rPr>
                <w:sz w:val="25"/>
              </w:rPr>
            </w:pPr>
          </w:p>
          <w:p>
            <w:pPr>
              <w:pStyle w:val="TableParagraph"/>
              <w:spacing w:line="270" w:lineRule="exact"/>
              <w:ind w:right="285"/>
              <w:jc w:val="right"/>
              <w:rPr>
                <w:rFonts w:ascii="Arial MT"/>
                <w:sz w:val="24"/>
              </w:rPr>
            </w:pPr>
            <w:r>
              <w:rPr>
                <w:rFonts w:ascii="Arial MT"/>
                <w:sz w:val="24"/>
              </w:rPr>
              <w:t>20%</w:t>
            </w:r>
          </w:p>
        </w:tc>
      </w:tr>
      <w:tr>
        <w:trPr>
          <w:trHeight w:val="762" w:hRule="atLeast"/>
        </w:trPr>
        <w:tc>
          <w:tcPr>
            <w:tcW w:w="1697" w:type="dxa"/>
          </w:tcPr>
          <w:p>
            <w:pPr>
              <w:pStyle w:val="TableParagraph"/>
              <w:spacing w:line="242" w:lineRule="auto"/>
              <w:ind w:left="454" w:right="56" w:hanging="255"/>
              <w:rPr>
                <w:sz w:val="24"/>
              </w:rPr>
            </w:pPr>
            <w:r>
              <w:rPr>
                <w:spacing w:val="-1"/>
                <w:sz w:val="24"/>
              </w:rPr>
              <w:t>第五个解除限</w:t>
            </w:r>
            <w:r>
              <w:rPr>
                <w:sz w:val="24"/>
              </w:rPr>
              <w:t>售期</w:t>
            </w:r>
          </w:p>
        </w:tc>
        <w:tc>
          <w:tcPr>
            <w:tcW w:w="5357" w:type="dxa"/>
          </w:tcPr>
          <w:p>
            <w:pPr>
              <w:pStyle w:val="TableParagraph"/>
              <w:spacing w:line="298" w:lineRule="exact"/>
              <w:ind w:left="40" w:right="104"/>
              <w:jc w:val="center"/>
              <w:rPr>
                <w:sz w:val="24"/>
              </w:rPr>
            </w:pPr>
            <w:r>
              <w:rPr>
                <w:spacing w:val="9"/>
                <w:w w:val="95"/>
                <w:sz w:val="24"/>
              </w:rPr>
              <w:t>自首次授予日起 </w:t>
            </w:r>
            <w:r>
              <w:rPr>
                <w:rFonts w:ascii="Arial MT" w:eastAsia="Arial MT"/>
                <w:w w:val="95"/>
                <w:sz w:val="24"/>
              </w:rPr>
              <w:t>60</w:t>
            </w:r>
            <w:r>
              <w:rPr>
                <w:rFonts w:ascii="Arial MT" w:eastAsia="Arial MT"/>
                <w:spacing w:val="106"/>
                <w:sz w:val="24"/>
              </w:rPr>
              <w:t> </w:t>
            </w:r>
            <w:r>
              <w:rPr>
                <w:w w:val="95"/>
                <w:sz w:val="24"/>
              </w:rPr>
              <w:t>个月后的首个交易日起至首次</w:t>
            </w:r>
          </w:p>
          <w:p>
            <w:pPr>
              <w:pStyle w:val="TableParagraph"/>
              <w:spacing w:before="4"/>
              <w:ind w:left="40" w:right="104"/>
              <w:jc w:val="center"/>
              <w:rPr>
                <w:sz w:val="24"/>
              </w:rPr>
            </w:pPr>
            <w:r>
              <w:rPr>
                <w:spacing w:val="13"/>
                <w:w w:val="95"/>
                <w:sz w:val="24"/>
              </w:rPr>
              <w:t>授予日起 </w:t>
            </w:r>
            <w:r>
              <w:rPr>
                <w:rFonts w:ascii="Arial MT" w:eastAsia="Arial MT"/>
                <w:w w:val="95"/>
                <w:sz w:val="24"/>
              </w:rPr>
              <w:t>72</w:t>
            </w:r>
            <w:r>
              <w:rPr>
                <w:rFonts w:ascii="Arial MT" w:eastAsia="Arial MT"/>
                <w:spacing w:val="93"/>
                <w:sz w:val="24"/>
              </w:rPr>
              <w:t> </w:t>
            </w:r>
            <w:r>
              <w:rPr>
                <w:w w:val="95"/>
                <w:sz w:val="24"/>
              </w:rPr>
              <w:t>个月内的最后一个交易日当日止</w:t>
            </w:r>
          </w:p>
        </w:tc>
        <w:tc>
          <w:tcPr>
            <w:tcW w:w="1370" w:type="dxa"/>
          </w:tcPr>
          <w:p>
            <w:pPr>
              <w:pStyle w:val="TableParagraph"/>
              <w:spacing w:before="1"/>
              <w:rPr>
                <w:sz w:val="26"/>
              </w:rPr>
            </w:pPr>
          </w:p>
          <w:p>
            <w:pPr>
              <w:pStyle w:val="TableParagraph"/>
              <w:ind w:right="285"/>
              <w:jc w:val="right"/>
              <w:rPr>
                <w:rFonts w:ascii="Arial MT"/>
                <w:sz w:val="24"/>
              </w:rPr>
            </w:pPr>
            <w:r>
              <w:rPr>
                <w:rFonts w:ascii="Arial MT"/>
                <w:sz w:val="24"/>
              </w:rPr>
              <w:t>20%</w:t>
            </w:r>
          </w:p>
        </w:tc>
      </w:tr>
      <w:tr>
        <w:trPr>
          <w:trHeight w:val="1988" w:hRule="atLeast"/>
        </w:trPr>
        <w:tc>
          <w:tcPr>
            <w:tcW w:w="8424" w:type="dxa"/>
            <w:gridSpan w:val="3"/>
          </w:tcPr>
          <w:p>
            <w:pPr>
              <w:pStyle w:val="TableParagraph"/>
              <w:spacing w:line="242" w:lineRule="auto" w:before="129"/>
              <w:ind w:left="200" w:right="206"/>
              <w:jc w:val="both"/>
              <w:rPr>
                <w:sz w:val="24"/>
              </w:rPr>
            </w:pPr>
            <w:r>
              <w:rPr>
                <w:spacing w:val="-4"/>
                <w:sz w:val="24"/>
              </w:rPr>
              <w:t>据此，本集团确定相应的 </w:t>
            </w:r>
            <w:r>
              <w:rPr>
                <w:rFonts w:ascii="Arial MT" w:eastAsia="Arial MT"/>
                <w:sz w:val="24"/>
              </w:rPr>
              <w:t>20%</w:t>
            </w:r>
            <w:r>
              <w:rPr>
                <w:sz w:val="24"/>
              </w:rPr>
              <w:t>、</w:t>
            </w:r>
            <w:r>
              <w:rPr>
                <w:rFonts w:ascii="Arial MT" w:eastAsia="Arial MT"/>
                <w:sz w:val="24"/>
              </w:rPr>
              <w:t>20%</w:t>
            </w:r>
            <w:r>
              <w:rPr>
                <w:sz w:val="24"/>
              </w:rPr>
              <w:t>、</w:t>
            </w:r>
            <w:r>
              <w:rPr>
                <w:rFonts w:ascii="Arial MT" w:eastAsia="Arial MT"/>
                <w:sz w:val="24"/>
              </w:rPr>
              <w:t>20%</w:t>
            </w:r>
            <w:r>
              <w:rPr>
                <w:sz w:val="24"/>
              </w:rPr>
              <w:t>、</w:t>
            </w:r>
            <w:r>
              <w:rPr>
                <w:rFonts w:ascii="Arial MT" w:eastAsia="Arial MT"/>
                <w:sz w:val="24"/>
              </w:rPr>
              <w:t>20%</w:t>
            </w:r>
            <w:r>
              <w:rPr>
                <w:sz w:val="24"/>
              </w:rPr>
              <w:t>、</w:t>
            </w:r>
            <w:r>
              <w:rPr>
                <w:rFonts w:ascii="Arial MT" w:eastAsia="Arial MT"/>
                <w:sz w:val="24"/>
              </w:rPr>
              <w:t>20%</w:t>
            </w:r>
            <w:r>
              <w:rPr>
                <w:sz w:val="24"/>
              </w:rPr>
              <w:t>持股份额的股份支</w:t>
            </w:r>
            <w:r>
              <w:rPr>
                <w:spacing w:val="-7"/>
                <w:sz w:val="24"/>
              </w:rPr>
              <w:t>付费用摊销期限分别为 </w:t>
            </w:r>
            <w:r>
              <w:rPr>
                <w:rFonts w:ascii="Arial MT" w:eastAsia="Arial MT"/>
                <w:spacing w:val="-1"/>
                <w:sz w:val="24"/>
              </w:rPr>
              <w:t>1</w:t>
            </w:r>
            <w:r>
              <w:rPr>
                <w:rFonts w:ascii="Arial MT" w:eastAsia="Arial MT"/>
                <w:spacing w:val="-13"/>
                <w:sz w:val="24"/>
              </w:rPr>
              <w:t> </w:t>
            </w:r>
            <w:r>
              <w:rPr>
                <w:spacing w:val="-1"/>
                <w:sz w:val="24"/>
              </w:rPr>
              <w:t>年、</w:t>
            </w:r>
            <w:r>
              <w:rPr>
                <w:rFonts w:ascii="Arial MT" w:eastAsia="Arial MT"/>
                <w:spacing w:val="-1"/>
                <w:sz w:val="24"/>
              </w:rPr>
              <w:t>2</w:t>
            </w:r>
            <w:r>
              <w:rPr>
                <w:rFonts w:ascii="Arial MT" w:eastAsia="Arial MT"/>
                <w:spacing w:val="-13"/>
                <w:sz w:val="24"/>
              </w:rPr>
              <w:t> </w:t>
            </w:r>
            <w:r>
              <w:rPr>
                <w:spacing w:val="-1"/>
                <w:sz w:val="24"/>
              </w:rPr>
              <w:t>年、</w:t>
            </w:r>
            <w:r>
              <w:rPr>
                <w:rFonts w:ascii="Arial MT" w:eastAsia="Arial MT"/>
                <w:spacing w:val="-1"/>
                <w:sz w:val="24"/>
              </w:rPr>
              <w:t>3</w:t>
            </w:r>
            <w:r>
              <w:rPr>
                <w:rFonts w:ascii="Arial MT" w:eastAsia="Arial MT"/>
                <w:spacing w:val="-13"/>
                <w:sz w:val="24"/>
              </w:rPr>
              <w:t> </w:t>
            </w:r>
            <w:r>
              <w:rPr>
                <w:spacing w:val="-1"/>
                <w:sz w:val="24"/>
              </w:rPr>
              <w:t>年、</w:t>
            </w:r>
            <w:r>
              <w:rPr>
                <w:rFonts w:ascii="Arial MT" w:eastAsia="Arial MT"/>
                <w:sz w:val="24"/>
              </w:rPr>
              <w:t>4</w:t>
            </w:r>
            <w:r>
              <w:rPr>
                <w:rFonts w:ascii="Arial MT" w:eastAsia="Arial MT"/>
                <w:spacing w:val="-13"/>
                <w:sz w:val="24"/>
              </w:rPr>
              <w:t> </w:t>
            </w:r>
            <w:r>
              <w:rPr>
                <w:spacing w:val="-20"/>
                <w:sz w:val="24"/>
              </w:rPr>
              <w:t>年和 </w:t>
            </w:r>
            <w:r>
              <w:rPr>
                <w:rFonts w:ascii="Arial MT" w:eastAsia="Arial MT"/>
                <w:sz w:val="24"/>
              </w:rPr>
              <w:t>5</w:t>
            </w:r>
            <w:r>
              <w:rPr>
                <w:rFonts w:ascii="Arial MT" w:eastAsia="Arial MT"/>
                <w:spacing w:val="-13"/>
                <w:sz w:val="24"/>
              </w:rPr>
              <w:t> </w:t>
            </w:r>
            <w:r>
              <w:rPr>
                <w:sz w:val="24"/>
              </w:rPr>
              <w:t>年。本集团在自授予日开</w:t>
            </w:r>
            <w:r>
              <w:rPr>
                <w:spacing w:val="-5"/>
                <w:sz w:val="24"/>
              </w:rPr>
              <w:t>始的最长 </w:t>
            </w:r>
            <w:r>
              <w:rPr>
                <w:rFonts w:ascii="Arial MT" w:eastAsia="Arial MT"/>
                <w:sz w:val="24"/>
              </w:rPr>
              <w:t>5</w:t>
            </w:r>
            <w:r>
              <w:rPr>
                <w:rFonts w:ascii="Arial MT" w:eastAsia="Arial MT"/>
                <w:spacing w:val="21"/>
                <w:sz w:val="24"/>
              </w:rPr>
              <w:t> </w:t>
            </w:r>
            <w:r>
              <w:rPr>
                <w:sz w:val="24"/>
              </w:rPr>
              <w:t>年服务期内的每个资产负债表日，根据最新取得的职工离职率、业绩指标完成情况等后续信息对预计可解除限售的股份数量作出最佳估计，</w:t>
            </w:r>
            <w:r>
              <w:rPr>
                <w:spacing w:val="-118"/>
                <w:sz w:val="24"/>
              </w:rPr>
              <w:t> </w:t>
            </w:r>
            <w:r>
              <w:rPr>
                <w:sz w:val="24"/>
              </w:rPr>
              <w:t>修正预计可解除限售的权益工具数量，并将当期取得的相应员工服务按照授</w:t>
            </w:r>
          </w:p>
          <w:p>
            <w:pPr>
              <w:pStyle w:val="TableParagraph"/>
              <w:spacing w:line="284" w:lineRule="exact" w:before="2"/>
              <w:ind w:left="200"/>
              <w:rPr>
                <w:sz w:val="24"/>
              </w:rPr>
            </w:pPr>
            <w:r>
              <w:rPr>
                <w:sz w:val="24"/>
              </w:rPr>
              <w:t>予日的的公允价值计入相关成本或费用并相应调整资本公积。</w:t>
            </w:r>
          </w:p>
        </w:tc>
      </w:tr>
      <w:tr>
        <w:trPr>
          <w:trHeight w:val="2751" w:hRule="atLeast"/>
        </w:trPr>
        <w:tc>
          <w:tcPr>
            <w:tcW w:w="8424" w:type="dxa"/>
            <w:gridSpan w:val="3"/>
          </w:tcPr>
          <w:p>
            <w:pPr>
              <w:pStyle w:val="TableParagraph"/>
              <w:spacing w:line="242" w:lineRule="auto" w:before="7"/>
              <w:ind w:left="200" w:right="204"/>
              <w:jc w:val="both"/>
              <w:rPr>
                <w:sz w:val="24"/>
              </w:rPr>
            </w:pPr>
            <w:r>
              <w:rPr>
                <w:spacing w:val="-12"/>
                <w:sz w:val="24"/>
              </w:rPr>
              <w:t>基于 </w:t>
            </w:r>
            <w:r>
              <w:rPr>
                <w:rFonts w:ascii="Arial MT" w:eastAsia="Arial MT"/>
                <w:spacing w:val="-1"/>
                <w:sz w:val="24"/>
              </w:rPr>
              <w:t>2019</w:t>
            </w:r>
            <w:r>
              <w:rPr>
                <w:rFonts w:ascii="Arial MT" w:eastAsia="Arial MT"/>
                <w:spacing w:val="13"/>
                <w:sz w:val="24"/>
              </w:rPr>
              <w:t> </w:t>
            </w:r>
            <w:r>
              <w:rPr>
                <w:spacing w:val="-1"/>
                <w:sz w:val="24"/>
              </w:rPr>
              <w:t>年、</w:t>
            </w:r>
            <w:r>
              <w:rPr>
                <w:rFonts w:ascii="Arial MT" w:eastAsia="Arial MT"/>
                <w:sz w:val="24"/>
              </w:rPr>
              <w:t>2020</w:t>
            </w:r>
            <w:r>
              <w:rPr>
                <w:rFonts w:ascii="Arial MT" w:eastAsia="Arial MT"/>
                <w:spacing w:val="11"/>
                <w:sz w:val="24"/>
              </w:rPr>
              <w:t> </w:t>
            </w:r>
            <w:r>
              <w:rPr>
                <w:spacing w:val="-11"/>
                <w:sz w:val="24"/>
              </w:rPr>
              <w:t>年及 </w:t>
            </w:r>
            <w:r>
              <w:rPr>
                <w:rFonts w:ascii="Arial MT" w:eastAsia="Arial MT"/>
                <w:sz w:val="24"/>
              </w:rPr>
              <w:t>2021</w:t>
            </w:r>
            <w:r>
              <w:rPr>
                <w:rFonts w:ascii="Arial MT" w:eastAsia="Arial MT"/>
                <w:spacing w:val="13"/>
                <w:sz w:val="24"/>
              </w:rPr>
              <w:t> </w:t>
            </w:r>
            <w:r>
              <w:rPr>
                <w:sz w:val="24"/>
              </w:rPr>
              <w:t>年的业绩情况，本集团已满足第一个、第二个、第三个解除限售期的业绩条件。因此，结合限制性股票激励对象的离职</w:t>
            </w:r>
            <w:r>
              <w:rPr>
                <w:spacing w:val="16"/>
                <w:sz w:val="24"/>
              </w:rPr>
              <w:t>情况和个人绩效考核情况，于 </w:t>
            </w:r>
            <w:r>
              <w:rPr>
                <w:rFonts w:ascii="Arial MT" w:eastAsia="Arial MT"/>
                <w:sz w:val="24"/>
              </w:rPr>
              <w:t>2022</w:t>
            </w:r>
            <w:r>
              <w:rPr>
                <w:rFonts w:ascii="Arial MT" w:eastAsia="Arial MT"/>
                <w:spacing w:val="56"/>
                <w:sz w:val="24"/>
              </w:rPr>
              <w:t> </w:t>
            </w:r>
            <w:r>
              <w:rPr>
                <w:spacing w:val="15"/>
                <w:sz w:val="24"/>
              </w:rPr>
              <w:t>年度，本集团解除限制性股票限售</w:t>
            </w:r>
          </w:p>
          <w:p>
            <w:pPr>
              <w:pStyle w:val="TableParagraph"/>
              <w:spacing w:before="2"/>
              <w:ind w:left="200"/>
              <w:jc w:val="both"/>
              <w:rPr>
                <w:sz w:val="24"/>
              </w:rPr>
            </w:pPr>
            <w:r>
              <w:rPr>
                <w:rFonts w:ascii="Arial MT" w:eastAsia="Arial MT"/>
                <w:sz w:val="24"/>
              </w:rPr>
              <w:t>26,287,452</w:t>
            </w:r>
            <w:r>
              <w:rPr>
                <w:rFonts w:ascii="Arial MT" w:eastAsia="Arial MT"/>
                <w:spacing w:val="33"/>
                <w:sz w:val="24"/>
              </w:rPr>
              <w:t> </w:t>
            </w:r>
            <w:r>
              <w:rPr>
                <w:spacing w:val="-3"/>
                <w:sz w:val="24"/>
              </w:rPr>
              <w:t>股，回购限制性股票 </w:t>
            </w:r>
            <w:r>
              <w:rPr>
                <w:rFonts w:ascii="Arial MT" w:eastAsia="Arial MT"/>
                <w:sz w:val="24"/>
              </w:rPr>
              <w:t>2,831,151</w:t>
            </w:r>
            <w:r>
              <w:rPr>
                <w:rFonts w:ascii="Arial MT" w:eastAsia="Arial MT"/>
                <w:spacing w:val="33"/>
                <w:sz w:val="24"/>
              </w:rPr>
              <w:t> </w:t>
            </w:r>
            <w:r>
              <w:rPr>
                <w:spacing w:val="-7"/>
                <w:sz w:val="24"/>
              </w:rPr>
              <w:t>股。于 </w:t>
            </w:r>
            <w:r>
              <w:rPr>
                <w:rFonts w:ascii="Arial MT" w:eastAsia="Arial MT"/>
                <w:sz w:val="24"/>
              </w:rPr>
              <w:t>2022</w:t>
            </w:r>
            <w:r>
              <w:rPr>
                <w:rFonts w:ascii="Arial MT" w:eastAsia="Arial MT"/>
                <w:spacing w:val="17"/>
                <w:sz w:val="24"/>
              </w:rPr>
              <w:t> </w:t>
            </w:r>
            <w:r>
              <w:rPr>
                <w:spacing w:val="-14"/>
                <w:sz w:val="24"/>
              </w:rPr>
              <w:t>年 </w:t>
            </w:r>
            <w:r>
              <w:rPr>
                <w:rFonts w:ascii="Arial MT" w:eastAsia="Arial MT"/>
                <w:sz w:val="24"/>
              </w:rPr>
              <w:t>12</w:t>
            </w:r>
            <w:r>
              <w:rPr>
                <w:rFonts w:ascii="Arial MT" w:eastAsia="Arial MT"/>
                <w:spacing w:val="17"/>
                <w:sz w:val="24"/>
              </w:rPr>
              <w:t> </w:t>
            </w:r>
            <w:r>
              <w:rPr>
                <w:spacing w:val="-13"/>
                <w:sz w:val="24"/>
              </w:rPr>
              <w:t>月 </w:t>
            </w:r>
            <w:r>
              <w:rPr>
                <w:rFonts w:ascii="Arial MT" w:eastAsia="Arial MT"/>
                <w:sz w:val="24"/>
              </w:rPr>
              <w:t>31</w:t>
            </w:r>
            <w:r>
              <w:rPr>
                <w:rFonts w:ascii="Arial MT" w:eastAsia="Arial MT"/>
                <w:spacing w:val="17"/>
                <w:sz w:val="24"/>
              </w:rPr>
              <w:t> </w:t>
            </w:r>
            <w:r>
              <w:rPr>
                <w:sz w:val="24"/>
              </w:rPr>
              <w:t>日，</w:t>
            </w:r>
          </w:p>
          <w:p>
            <w:pPr>
              <w:pStyle w:val="TableParagraph"/>
              <w:spacing w:before="2"/>
              <w:ind w:left="200"/>
              <w:jc w:val="both"/>
              <w:rPr>
                <w:sz w:val="24"/>
              </w:rPr>
            </w:pPr>
            <w:r>
              <w:rPr>
                <w:rFonts w:ascii="Arial MT" w:eastAsia="Arial MT"/>
                <w:sz w:val="24"/>
              </w:rPr>
              <w:t>372,060</w:t>
            </w:r>
            <w:r>
              <w:rPr>
                <w:rFonts w:ascii="Arial MT" w:eastAsia="Arial MT"/>
                <w:spacing w:val="-3"/>
                <w:sz w:val="24"/>
              </w:rPr>
              <w:t> </w:t>
            </w:r>
            <w:r>
              <w:rPr>
                <w:sz w:val="24"/>
              </w:rPr>
              <w:t>股尚未完成回购登记手续。</w:t>
            </w:r>
          </w:p>
          <w:p>
            <w:pPr>
              <w:pStyle w:val="TableParagraph"/>
              <w:spacing w:before="12"/>
              <w:rPr>
                <w:sz w:val="21"/>
              </w:rPr>
            </w:pPr>
          </w:p>
          <w:p>
            <w:pPr>
              <w:pStyle w:val="TableParagraph"/>
              <w:ind w:left="200"/>
              <w:jc w:val="both"/>
              <w:rPr>
                <w:sz w:val="24"/>
              </w:rPr>
            </w:pPr>
            <w:r>
              <w:rPr>
                <w:spacing w:val="6"/>
                <w:w w:val="95"/>
                <w:sz w:val="24"/>
              </w:rPr>
              <w:t>基于本集团的 </w:t>
            </w:r>
            <w:r>
              <w:rPr>
                <w:rFonts w:ascii="Arial MT" w:eastAsia="Arial MT"/>
                <w:w w:val="95"/>
                <w:sz w:val="24"/>
              </w:rPr>
              <w:t>2022</w:t>
            </w:r>
            <w:r>
              <w:rPr>
                <w:rFonts w:ascii="Arial MT" w:eastAsia="Arial MT"/>
                <w:spacing w:val="77"/>
                <w:sz w:val="24"/>
              </w:rPr>
              <w:t> </w:t>
            </w:r>
            <w:r>
              <w:rPr>
                <w:spacing w:val="5"/>
                <w:w w:val="95"/>
                <w:sz w:val="24"/>
              </w:rPr>
              <w:t>年的业绩情况和 </w:t>
            </w:r>
            <w:r>
              <w:rPr>
                <w:rFonts w:ascii="Arial MT" w:eastAsia="Arial MT"/>
                <w:w w:val="95"/>
                <w:sz w:val="24"/>
              </w:rPr>
              <w:t>2023</w:t>
            </w:r>
            <w:r>
              <w:rPr>
                <w:rFonts w:ascii="Arial MT" w:eastAsia="Arial MT"/>
                <w:spacing w:val="77"/>
                <w:sz w:val="24"/>
              </w:rPr>
              <w:t> </w:t>
            </w:r>
            <w:r>
              <w:rPr>
                <w:w w:val="95"/>
                <w:sz w:val="24"/>
              </w:rPr>
              <w:t>年的盈利预测，本集团预计能够满</w:t>
            </w:r>
          </w:p>
          <w:p>
            <w:pPr>
              <w:pStyle w:val="TableParagraph"/>
              <w:spacing w:line="310" w:lineRule="atLeast"/>
              <w:ind w:left="200" w:right="199"/>
              <w:jc w:val="both"/>
              <w:rPr>
                <w:sz w:val="24"/>
              </w:rPr>
            </w:pPr>
            <w:r>
              <w:rPr>
                <w:spacing w:val="-3"/>
                <w:sz w:val="24"/>
              </w:rPr>
              <w:t>足第四个及第五个解除限售期的业绩条件。因此，于 </w:t>
            </w:r>
            <w:r>
              <w:rPr>
                <w:rFonts w:ascii="Arial MT" w:eastAsia="Arial MT"/>
                <w:sz w:val="24"/>
              </w:rPr>
              <w:t>2022</w:t>
            </w:r>
            <w:r>
              <w:rPr>
                <w:rFonts w:ascii="Arial MT" w:eastAsia="Arial MT"/>
                <w:spacing w:val="6"/>
                <w:sz w:val="24"/>
              </w:rPr>
              <w:t> </w:t>
            </w:r>
            <w:r>
              <w:rPr>
                <w:spacing w:val="-18"/>
                <w:sz w:val="24"/>
              </w:rPr>
              <w:t>年 </w:t>
            </w:r>
            <w:r>
              <w:rPr>
                <w:rFonts w:ascii="Arial MT" w:eastAsia="Arial MT"/>
                <w:sz w:val="24"/>
              </w:rPr>
              <w:t>12</w:t>
            </w:r>
            <w:r>
              <w:rPr>
                <w:rFonts w:ascii="Arial MT" w:eastAsia="Arial MT"/>
                <w:spacing w:val="8"/>
                <w:sz w:val="24"/>
              </w:rPr>
              <w:t> </w:t>
            </w:r>
            <w:r>
              <w:rPr>
                <w:spacing w:val="-20"/>
                <w:sz w:val="24"/>
              </w:rPr>
              <w:t>月 </w:t>
            </w:r>
            <w:r>
              <w:rPr>
                <w:rFonts w:ascii="Arial MT" w:eastAsia="Arial MT"/>
                <w:sz w:val="24"/>
              </w:rPr>
              <w:t>31</w:t>
            </w:r>
            <w:r>
              <w:rPr>
                <w:rFonts w:ascii="Arial MT" w:eastAsia="Arial MT"/>
                <w:spacing w:val="8"/>
                <w:sz w:val="24"/>
              </w:rPr>
              <w:t> </w:t>
            </w:r>
            <w:r>
              <w:rPr>
                <w:sz w:val="24"/>
              </w:rPr>
              <w:t>日，</w:t>
            </w:r>
            <w:r>
              <w:rPr>
                <w:spacing w:val="-118"/>
                <w:sz w:val="24"/>
              </w:rPr>
              <w:t> </w:t>
            </w:r>
            <w:r>
              <w:rPr>
                <w:spacing w:val="-2"/>
                <w:sz w:val="24"/>
              </w:rPr>
              <w:t>本集团预计剩余最终可解除限售的股份数量为 </w:t>
            </w:r>
            <w:r>
              <w:rPr>
                <w:rFonts w:ascii="Arial MT" w:eastAsia="Arial MT"/>
                <w:sz w:val="24"/>
              </w:rPr>
              <w:t>49,079,288</w:t>
            </w:r>
            <w:r>
              <w:rPr>
                <w:rFonts w:ascii="Arial MT" w:eastAsia="Arial MT"/>
                <w:spacing w:val="29"/>
                <w:sz w:val="24"/>
              </w:rPr>
              <w:t> </w:t>
            </w:r>
            <w:r>
              <w:rPr>
                <w:sz w:val="24"/>
              </w:rPr>
              <w:t>股。</w:t>
            </w:r>
            <w:r>
              <w:rPr>
                <w:rFonts w:ascii="Arial MT" w:eastAsia="Arial MT"/>
                <w:sz w:val="24"/>
              </w:rPr>
              <w:t>2022</w:t>
            </w:r>
            <w:r>
              <w:rPr>
                <w:rFonts w:ascii="Arial MT" w:eastAsia="Arial MT"/>
                <w:spacing w:val="16"/>
                <w:sz w:val="24"/>
              </w:rPr>
              <w:t> </w:t>
            </w:r>
            <w:r>
              <w:rPr>
                <w:sz w:val="24"/>
              </w:rPr>
              <w:t>年度，</w:t>
            </w:r>
          </w:p>
        </w:tc>
      </w:tr>
    </w:tbl>
    <w:p>
      <w:pPr>
        <w:spacing w:after="0" w:line="310" w:lineRule="atLeast"/>
        <w:jc w:val="both"/>
        <w:rPr>
          <w:sz w:val="24"/>
        </w:rPr>
        <w:sectPr>
          <w:pgSz w:w="11910" w:h="16840"/>
          <w:pgMar w:header="882" w:footer="1184" w:top="1120" w:bottom="1380" w:left="1480" w:right="0"/>
        </w:sectPr>
      </w:pPr>
    </w:p>
    <w:p>
      <w:pPr>
        <w:pStyle w:val="BodyText"/>
        <w:spacing w:before="3"/>
        <w:ind w:left="0"/>
        <w:rPr>
          <w:sz w:val="2"/>
        </w:rPr>
      </w:pPr>
    </w:p>
    <w:tbl>
      <w:tblPr>
        <w:tblW w:w="0" w:type="auto"/>
        <w:jc w:val="left"/>
        <w:tblInd w:w="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8"/>
        <w:gridCol w:w="1698"/>
        <w:gridCol w:w="5358"/>
        <w:gridCol w:w="1269"/>
      </w:tblGrid>
      <w:tr>
        <w:trPr>
          <w:trHeight w:val="1151" w:hRule="atLeast"/>
        </w:trPr>
        <w:tc>
          <w:tcPr>
            <w:tcW w:w="8873" w:type="dxa"/>
            <w:gridSpan w:val="4"/>
            <w:tcBorders>
              <w:top w:val="single" w:sz="6" w:space="0" w:color="000000"/>
            </w:tcBorders>
          </w:tcPr>
          <w:p>
            <w:pPr>
              <w:pStyle w:val="TableParagraph"/>
              <w:rPr>
                <w:sz w:val="31"/>
              </w:rPr>
            </w:pPr>
          </w:p>
          <w:p>
            <w:pPr>
              <w:pStyle w:val="TableParagraph"/>
              <w:spacing w:line="244" w:lineRule="auto" w:before="1"/>
              <w:ind w:left="748" w:right="99"/>
              <w:rPr>
                <w:sz w:val="24"/>
              </w:rPr>
            </w:pPr>
            <w:r>
              <w:rPr>
                <w:spacing w:val="-2"/>
                <w:sz w:val="24"/>
              </w:rPr>
              <w:t>因上述股份支付而确认的费用金额为 </w:t>
            </w:r>
            <w:r>
              <w:rPr>
                <w:rFonts w:ascii="Arial MT" w:eastAsia="Arial MT"/>
                <w:sz w:val="24"/>
              </w:rPr>
              <w:t>132,082</w:t>
            </w:r>
            <w:r>
              <w:rPr>
                <w:rFonts w:ascii="Arial MT" w:eastAsia="Arial MT"/>
                <w:spacing w:val="32"/>
                <w:sz w:val="24"/>
              </w:rPr>
              <w:t> </w:t>
            </w:r>
            <w:r>
              <w:rPr>
                <w:sz w:val="24"/>
              </w:rPr>
              <w:t>千元</w:t>
            </w:r>
            <w:r>
              <w:rPr>
                <w:rFonts w:ascii="Arial MT" w:eastAsia="Arial MT"/>
                <w:sz w:val="24"/>
              </w:rPr>
              <w:t>(2021</w:t>
            </w:r>
            <w:r>
              <w:rPr>
                <w:rFonts w:ascii="Arial MT" w:eastAsia="Arial MT"/>
                <w:spacing w:val="24"/>
                <w:sz w:val="24"/>
              </w:rPr>
              <w:t> </w:t>
            </w:r>
            <w:r>
              <w:rPr>
                <w:sz w:val="24"/>
              </w:rPr>
              <w:t>年度：</w:t>
            </w:r>
            <w:r>
              <w:rPr>
                <w:rFonts w:ascii="Arial MT" w:eastAsia="Arial MT"/>
                <w:sz w:val="24"/>
              </w:rPr>
              <w:t>227,059</w:t>
            </w:r>
            <w:r>
              <w:rPr>
                <w:rFonts w:ascii="Arial MT" w:eastAsia="Arial MT"/>
                <w:spacing w:val="24"/>
                <w:sz w:val="24"/>
              </w:rPr>
              <w:t> </w:t>
            </w:r>
            <w:r>
              <w:rPr>
                <w:sz w:val="24"/>
              </w:rPr>
              <w:t>千</w:t>
            </w:r>
            <w:r>
              <w:rPr>
                <w:spacing w:val="-1"/>
                <w:sz w:val="24"/>
              </w:rPr>
              <w:t>元</w:t>
            </w:r>
            <w:r>
              <w:rPr>
                <w:rFonts w:ascii="Arial MT" w:eastAsia="Arial MT"/>
                <w:spacing w:val="-1"/>
                <w:sz w:val="24"/>
              </w:rPr>
              <w:t>)</w:t>
            </w:r>
            <w:r>
              <w:rPr>
                <w:spacing w:val="-6"/>
                <w:sz w:val="24"/>
              </w:rPr>
              <w:t>，计入资本公积的金额为 </w:t>
            </w:r>
            <w:r>
              <w:rPr>
                <w:rFonts w:ascii="Arial MT" w:eastAsia="Arial MT"/>
                <w:spacing w:val="-1"/>
                <w:sz w:val="24"/>
              </w:rPr>
              <w:t>132,082 </w:t>
            </w:r>
            <w:r>
              <w:rPr>
                <w:sz w:val="24"/>
              </w:rPr>
              <w:t>千元</w:t>
            </w:r>
            <w:r>
              <w:rPr>
                <w:rFonts w:ascii="Arial MT" w:eastAsia="Arial MT"/>
                <w:sz w:val="24"/>
              </w:rPr>
              <w:t>(2021</w:t>
            </w:r>
            <w:r>
              <w:rPr>
                <w:rFonts w:ascii="Arial MT" w:eastAsia="Arial MT"/>
                <w:spacing w:val="-12"/>
                <w:sz w:val="24"/>
              </w:rPr>
              <w:t> </w:t>
            </w:r>
            <w:r>
              <w:rPr>
                <w:sz w:val="24"/>
              </w:rPr>
              <w:t>年度：</w:t>
            </w:r>
            <w:r>
              <w:rPr>
                <w:rFonts w:ascii="Arial MT" w:eastAsia="Arial MT"/>
                <w:sz w:val="24"/>
              </w:rPr>
              <w:t>227,059</w:t>
            </w:r>
            <w:r>
              <w:rPr>
                <w:rFonts w:ascii="Arial MT" w:eastAsia="Arial MT"/>
                <w:spacing w:val="-12"/>
                <w:sz w:val="24"/>
              </w:rPr>
              <w:t> </w:t>
            </w:r>
            <w:r>
              <w:rPr>
                <w:sz w:val="24"/>
              </w:rPr>
              <w:t>千元</w:t>
            </w:r>
            <w:r>
              <w:rPr>
                <w:rFonts w:ascii="Arial MT" w:eastAsia="Arial MT"/>
                <w:sz w:val="24"/>
              </w:rPr>
              <w:t>)</w:t>
            </w:r>
            <w:r>
              <w:rPr>
                <w:sz w:val="24"/>
              </w:rPr>
              <w:t>。</w:t>
            </w:r>
          </w:p>
        </w:tc>
      </w:tr>
      <w:tr>
        <w:trPr>
          <w:trHeight w:val="3078" w:hRule="atLeast"/>
        </w:trPr>
        <w:tc>
          <w:tcPr>
            <w:tcW w:w="548" w:type="dxa"/>
          </w:tcPr>
          <w:p>
            <w:pPr>
              <w:pStyle w:val="TableParagraph"/>
              <w:spacing w:before="142"/>
              <w:ind w:left="28"/>
              <w:rPr>
                <w:rFonts w:ascii="Arial MT"/>
                <w:sz w:val="24"/>
              </w:rPr>
            </w:pPr>
            <w:r>
              <w:rPr>
                <w:rFonts w:ascii="Arial MT"/>
                <w:sz w:val="24"/>
              </w:rPr>
              <w:t>(iii)</w:t>
            </w:r>
          </w:p>
        </w:tc>
        <w:tc>
          <w:tcPr>
            <w:tcW w:w="8325" w:type="dxa"/>
            <w:gridSpan w:val="3"/>
          </w:tcPr>
          <w:p>
            <w:pPr>
              <w:pStyle w:val="TableParagraph"/>
              <w:spacing w:before="147"/>
              <w:ind w:left="200"/>
              <w:jc w:val="both"/>
              <w:rPr>
                <w:sz w:val="24"/>
              </w:rPr>
            </w:pPr>
            <w:r>
              <w:rPr>
                <w:w w:val="95"/>
                <w:sz w:val="24"/>
              </w:rPr>
              <w:t>本公司根据《激励计划</w:t>
            </w:r>
            <w:r>
              <w:rPr>
                <w:rFonts w:ascii="Arial MT" w:eastAsia="Arial MT"/>
                <w:w w:val="95"/>
                <w:sz w:val="24"/>
              </w:rPr>
              <w:t>(</w:t>
            </w:r>
            <w:r>
              <w:rPr>
                <w:w w:val="95"/>
                <w:sz w:val="24"/>
              </w:rPr>
              <w:t>草案修订稿</w:t>
            </w:r>
            <w:r>
              <w:rPr>
                <w:rFonts w:ascii="Arial MT" w:eastAsia="Arial MT"/>
                <w:w w:val="95"/>
                <w:sz w:val="24"/>
              </w:rPr>
              <w:t>)</w:t>
            </w:r>
            <w:r>
              <w:rPr>
                <w:w w:val="95"/>
                <w:sz w:val="24"/>
              </w:rPr>
              <w:t>》的相关规定和本公司</w:t>
            </w:r>
            <w:r>
              <w:rPr>
                <w:spacing w:val="150"/>
                <w:sz w:val="24"/>
              </w:rPr>
              <w:t> </w:t>
            </w:r>
            <w:r>
              <w:rPr>
                <w:rFonts w:ascii="Arial MT" w:eastAsia="Arial MT"/>
                <w:w w:val="95"/>
                <w:sz w:val="24"/>
              </w:rPr>
              <w:t>2019</w:t>
            </w:r>
            <w:r>
              <w:rPr>
                <w:rFonts w:ascii="Arial MT" w:eastAsia="Arial MT"/>
                <w:spacing w:val="178"/>
                <w:sz w:val="24"/>
              </w:rPr>
              <w:t> </w:t>
            </w:r>
            <w:r>
              <w:rPr>
                <w:w w:val="95"/>
                <w:sz w:val="24"/>
              </w:rPr>
              <w:t>年第一次临</w:t>
            </w:r>
          </w:p>
          <w:p>
            <w:pPr>
              <w:pStyle w:val="TableParagraph"/>
              <w:spacing w:before="2"/>
              <w:ind w:left="200"/>
              <w:jc w:val="both"/>
              <w:rPr>
                <w:sz w:val="24"/>
              </w:rPr>
            </w:pPr>
            <w:r>
              <w:rPr>
                <w:spacing w:val="-2"/>
                <w:sz w:val="24"/>
              </w:rPr>
              <w:t>时股东大会授权，于 </w:t>
            </w:r>
            <w:r>
              <w:rPr>
                <w:rFonts w:ascii="Arial MT" w:eastAsia="Arial MT"/>
                <w:sz w:val="24"/>
              </w:rPr>
              <w:t>2019</w:t>
            </w:r>
            <w:r>
              <w:rPr>
                <w:rFonts w:ascii="Arial MT" w:eastAsia="Arial MT"/>
                <w:spacing w:val="26"/>
                <w:sz w:val="24"/>
              </w:rPr>
              <w:t> </w:t>
            </w:r>
            <w:r>
              <w:rPr>
                <w:spacing w:val="-8"/>
                <w:sz w:val="24"/>
              </w:rPr>
              <w:t>年 </w:t>
            </w:r>
            <w:r>
              <w:rPr>
                <w:rFonts w:ascii="Arial MT" w:eastAsia="Arial MT"/>
                <w:sz w:val="24"/>
              </w:rPr>
              <w:t>9</w:t>
            </w:r>
            <w:r>
              <w:rPr>
                <w:rFonts w:ascii="Arial MT" w:eastAsia="Arial MT"/>
                <w:spacing w:val="26"/>
                <w:sz w:val="24"/>
              </w:rPr>
              <w:t> </w:t>
            </w:r>
            <w:r>
              <w:rPr>
                <w:spacing w:val="-7"/>
                <w:sz w:val="24"/>
              </w:rPr>
              <w:t>月 </w:t>
            </w:r>
            <w:r>
              <w:rPr>
                <w:rFonts w:ascii="Arial MT" w:eastAsia="Arial MT"/>
                <w:sz w:val="24"/>
              </w:rPr>
              <w:t>11</w:t>
            </w:r>
            <w:r>
              <w:rPr>
                <w:rFonts w:ascii="Arial MT" w:eastAsia="Arial MT"/>
                <w:spacing w:val="26"/>
                <w:sz w:val="24"/>
              </w:rPr>
              <w:t> </w:t>
            </w:r>
            <w:r>
              <w:rPr>
                <w:sz w:val="24"/>
              </w:rPr>
              <w:t>日召开董事会审议通过《关于向公司</w:t>
            </w:r>
          </w:p>
          <w:p>
            <w:pPr>
              <w:pStyle w:val="TableParagraph"/>
              <w:spacing w:before="4"/>
              <w:ind w:left="200"/>
              <w:jc w:val="both"/>
              <w:rPr>
                <w:sz w:val="24"/>
              </w:rPr>
            </w:pPr>
            <w:r>
              <w:rPr>
                <w:rFonts w:ascii="Arial MT" w:eastAsia="Arial MT"/>
                <w:sz w:val="24"/>
              </w:rPr>
              <w:t>2019</w:t>
            </w:r>
            <w:r>
              <w:rPr>
                <w:rFonts w:ascii="Arial MT" w:eastAsia="Arial MT"/>
                <w:spacing w:val="49"/>
                <w:sz w:val="24"/>
              </w:rPr>
              <w:t> </w:t>
            </w:r>
            <w:r>
              <w:rPr>
                <w:spacing w:val="12"/>
                <w:sz w:val="24"/>
              </w:rPr>
              <w:t>年股票期权与限制性股票激励计划激励对象授予部分预留权益的议</w:t>
            </w:r>
          </w:p>
          <w:p>
            <w:pPr>
              <w:pStyle w:val="TableParagraph"/>
              <w:spacing w:before="5"/>
              <w:ind w:left="200"/>
              <w:jc w:val="both"/>
              <w:rPr>
                <w:sz w:val="24"/>
              </w:rPr>
            </w:pPr>
            <w:r>
              <w:rPr>
                <w:spacing w:val="-14"/>
                <w:sz w:val="24"/>
              </w:rPr>
              <w:t>案》，拟向 </w:t>
            </w:r>
            <w:r>
              <w:rPr>
                <w:rFonts w:ascii="Arial MT" w:eastAsia="Arial MT"/>
                <w:spacing w:val="-1"/>
                <w:sz w:val="24"/>
              </w:rPr>
              <w:t>396</w:t>
            </w:r>
            <w:r>
              <w:rPr>
                <w:rFonts w:ascii="Arial MT" w:eastAsia="Arial MT"/>
                <w:spacing w:val="-25"/>
                <w:sz w:val="24"/>
              </w:rPr>
              <w:t> </w:t>
            </w:r>
            <w:r>
              <w:rPr>
                <w:spacing w:val="-9"/>
                <w:sz w:val="24"/>
              </w:rPr>
              <w:t>名拟激励对象授予 </w:t>
            </w:r>
            <w:r>
              <w:rPr>
                <w:rFonts w:ascii="Arial MT" w:eastAsia="Arial MT"/>
                <w:sz w:val="24"/>
              </w:rPr>
              <w:t>11,255,180</w:t>
            </w:r>
            <w:r>
              <w:rPr>
                <w:rFonts w:ascii="Arial MT" w:eastAsia="Arial MT"/>
                <w:spacing w:val="-24"/>
                <w:sz w:val="24"/>
              </w:rPr>
              <w:t> </w:t>
            </w:r>
            <w:r>
              <w:rPr>
                <w:sz w:val="24"/>
              </w:rPr>
              <w:t>股限制性人民币普通股，授予</w:t>
            </w:r>
          </w:p>
          <w:p>
            <w:pPr>
              <w:pStyle w:val="TableParagraph"/>
              <w:spacing w:before="4"/>
              <w:ind w:left="200"/>
              <w:jc w:val="both"/>
              <w:rPr>
                <w:sz w:val="24"/>
              </w:rPr>
            </w:pPr>
            <w:r>
              <w:rPr>
                <w:spacing w:val="-3"/>
                <w:sz w:val="24"/>
              </w:rPr>
              <w:t>价格为每股人民币 </w:t>
            </w:r>
            <w:r>
              <w:rPr>
                <w:rFonts w:ascii="Arial MT" w:eastAsia="Arial MT"/>
                <w:sz w:val="24"/>
              </w:rPr>
              <w:t>5.901</w:t>
            </w:r>
            <w:r>
              <w:rPr>
                <w:rFonts w:ascii="Arial MT" w:eastAsia="Arial MT"/>
                <w:spacing w:val="17"/>
                <w:sz w:val="24"/>
              </w:rPr>
              <w:t> </w:t>
            </w:r>
            <w:r>
              <w:rPr>
                <w:spacing w:val="-5"/>
                <w:sz w:val="24"/>
              </w:rPr>
              <w:t>元。截至 </w:t>
            </w:r>
            <w:r>
              <w:rPr>
                <w:rFonts w:ascii="Arial MT" w:eastAsia="Arial MT"/>
                <w:sz w:val="24"/>
              </w:rPr>
              <w:t>2019</w:t>
            </w:r>
            <w:r>
              <w:rPr>
                <w:rFonts w:ascii="Arial MT" w:eastAsia="Arial MT"/>
                <w:spacing w:val="18"/>
                <w:sz w:val="24"/>
              </w:rPr>
              <w:t> </w:t>
            </w:r>
            <w:r>
              <w:rPr>
                <w:spacing w:val="-14"/>
                <w:sz w:val="24"/>
              </w:rPr>
              <w:t>年 </w:t>
            </w:r>
            <w:r>
              <w:rPr>
                <w:rFonts w:ascii="Arial MT" w:eastAsia="Arial MT"/>
                <w:sz w:val="24"/>
              </w:rPr>
              <w:t>9</w:t>
            </w:r>
            <w:r>
              <w:rPr>
                <w:rFonts w:ascii="Arial MT" w:eastAsia="Arial MT"/>
                <w:spacing w:val="18"/>
                <w:sz w:val="24"/>
              </w:rPr>
              <w:t> </w:t>
            </w:r>
            <w:r>
              <w:rPr>
                <w:spacing w:val="-13"/>
                <w:sz w:val="24"/>
              </w:rPr>
              <w:t>月 </w:t>
            </w:r>
            <w:r>
              <w:rPr>
                <w:rFonts w:ascii="Arial MT" w:eastAsia="Arial MT"/>
                <w:sz w:val="24"/>
              </w:rPr>
              <w:t>25</w:t>
            </w:r>
            <w:r>
              <w:rPr>
                <w:rFonts w:ascii="Arial MT" w:eastAsia="Arial MT"/>
                <w:spacing w:val="17"/>
                <w:sz w:val="24"/>
              </w:rPr>
              <w:t> </w:t>
            </w:r>
            <w:r>
              <w:rPr>
                <w:sz w:val="24"/>
              </w:rPr>
              <w:t>日止，实际认购人数为</w:t>
            </w:r>
          </w:p>
          <w:p>
            <w:pPr>
              <w:pStyle w:val="TableParagraph"/>
              <w:spacing w:before="2"/>
              <w:ind w:left="200"/>
              <w:jc w:val="both"/>
              <w:rPr>
                <w:sz w:val="24"/>
              </w:rPr>
            </w:pPr>
            <w:r>
              <w:rPr>
                <w:rFonts w:ascii="Arial MT" w:eastAsia="Arial MT"/>
                <w:spacing w:val="-1"/>
                <w:sz w:val="24"/>
              </w:rPr>
              <w:t>364</w:t>
            </w:r>
            <w:r>
              <w:rPr>
                <w:rFonts w:ascii="Arial MT" w:eastAsia="Arial MT"/>
                <w:spacing w:val="12"/>
                <w:sz w:val="24"/>
              </w:rPr>
              <w:t> </w:t>
            </w:r>
            <w:r>
              <w:rPr>
                <w:spacing w:val="-6"/>
                <w:sz w:val="24"/>
              </w:rPr>
              <w:t>名，共计认购 </w:t>
            </w:r>
            <w:r>
              <w:rPr>
                <w:rFonts w:ascii="Arial MT" w:eastAsia="Arial MT"/>
                <w:spacing w:val="-1"/>
                <w:sz w:val="24"/>
              </w:rPr>
              <w:t>10,348,325</w:t>
            </w:r>
            <w:r>
              <w:rPr>
                <w:rFonts w:ascii="Arial MT" w:eastAsia="Arial MT"/>
                <w:spacing w:val="13"/>
                <w:sz w:val="24"/>
              </w:rPr>
              <w:t> </w:t>
            </w:r>
            <w:r>
              <w:rPr>
                <w:spacing w:val="-3"/>
                <w:sz w:val="24"/>
              </w:rPr>
              <w:t>股，收到出资款合计为人民币 </w:t>
            </w:r>
            <w:r>
              <w:rPr>
                <w:rFonts w:ascii="Arial MT" w:eastAsia="Arial MT"/>
                <w:sz w:val="24"/>
              </w:rPr>
              <w:t>61,065</w:t>
            </w:r>
            <w:r>
              <w:rPr>
                <w:rFonts w:ascii="Arial MT" w:eastAsia="Arial MT"/>
                <w:spacing w:val="12"/>
                <w:sz w:val="24"/>
              </w:rPr>
              <w:t> </w:t>
            </w:r>
            <w:r>
              <w:rPr>
                <w:sz w:val="24"/>
              </w:rPr>
              <w:t>千元，</w:t>
            </w:r>
          </w:p>
          <w:p>
            <w:pPr>
              <w:pStyle w:val="TableParagraph"/>
              <w:spacing w:line="242" w:lineRule="auto" w:before="5"/>
              <w:ind w:left="200" w:right="104"/>
              <w:jc w:val="both"/>
              <w:rPr>
                <w:sz w:val="24"/>
              </w:rPr>
            </w:pPr>
            <w:r>
              <w:rPr>
                <w:sz w:val="24"/>
              </w:rPr>
              <w:t>本公司同时就限制性股票的回购义务确认负债人民币</w:t>
            </w:r>
            <w:r>
              <w:rPr>
                <w:rFonts w:ascii="Arial MT" w:eastAsia="Arial MT"/>
                <w:sz w:val="24"/>
              </w:rPr>
              <w:t>61,065</w:t>
            </w:r>
            <w:r>
              <w:rPr>
                <w:rFonts w:ascii="Arial MT" w:eastAsia="Arial MT"/>
                <w:spacing w:val="-17"/>
                <w:sz w:val="24"/>
              </w:rPr>
              <w:t> </w:t>
            </w:r>
            <w:r>
              <w:rPr>
                <w:sz w:val="24"/>
              </w:rPr>
              <w:t>千元，做收购库存股处理。员工入股价低于授予日本公司限制性股票的公允价值的部分构成股份支付。</w:t>
            </w:r>
          </w:p>
        </w:tc>
      </w:tr>
      <w:tr>
        <w:trPr>
          <w:trHeight w:val="1535" w:hRule="atLeast"/>
        </w:trPr>
        <w:tc>
          <w:tcPr>
            <w:tcW w:w="548" w:type="dxa"/>
          </w:tcPr>
          <w:p>
            <w:pPr>
              <w:pStyle w:val="TableParagraph"/>
              <w:rPr>
                <w:rFonts w:ascii="Times New Roman"/>
                <w:sz w:val="22"/>
              </w:rPr>
            </w:pPr>
          </w:p>
        </w:tc>
        <w:tc>
          <w:tcPr>
            <w:tcW w:w="8325" w:type="dxa"/>
            <w:gridSpan w:val="3"/>
          </w:tcPr>
          <w:p>
            <w:pPr>
              <w:pStyle w:val="TableParagraph"/>
              <w:spacing w:before="146"/>
              <w:ind w:left="200"/>
              <w:jc w:val="both"/>
              <w:rPr>
                <w:rFonts w:ascii="Arial MT" w:hAnsi="Arial MT" w:eastAsia="Arial MT"/>
                <w:sz w:val="24"/>
              </w:rPr>
            </w:pPr>
            <w:r>
              <w:rPr>
                <w:spacing w:val="1"/>
                <w:w w:val="95"/>
                <w:sz w:val="24"/>
              </w:rPr>
              <w:t>本次授予的限制性股票于授予日的公允价值，根据《企业会计准则第</w:t>
            </w:r>
            <w:r>
              <w:rPr>
                <w:rFonts w:ascii="Arial MT" w:hAnsi="Arial MT" w:eastAsia="Arial MT"/>
                <w:w w:val="95"/>
                <w:sz w:val="24"/>
              </w:rPr>
              <w:t>11</w:t>
            </w:r>
            <w:r>
              <w:rPr>
                <w:rFonts w:ascii="Arial MT" w:hAnsi="Arial MT" w:eastAsia="Arial MT"/>
                <w:spacing w:val="76"/>
                <w:sz w:val="24"/>
              </w:rPr>
              <w:t>   </w:t>
            </w:r>
            <w:r>
              <w:rPr>
                <w:w w:val="95"/>
                <w:sz w:val="24"/>
              </w:rPr>
              <w:t>号</w:t>
            </w:r>
            <w:r>
              <w:rPr>
                <w:rFonts w:ascii="Arial MT" w:hAnsi="Arial MT" w:eastAsia="Arial MT"/>
                <w:w w:val="95"/>
                <w:sz w:val="24"/>
              </w:rPr>
              <w:t>—</w:t>
            </w:r>
          </w:p>
          <w:p>
            <w:pPr>
              <w:pStyle w:val="TableParagraph"/>
              <w:spacing w:line="242" w:lineRule="auto" w:before="4"/>
              <w:ind w:left="200" w:right="113"/>
              <w:jc w:val="both"/>
              <w:rPr>
                <w:sz w:val="24"/>
              </w:rPr>
            </w:pPr>
            <w:r>
              <w:rPr>
                <w:rFonts w:ascii="Arial MT" w:hAnsi="Arial MT" w:eastAsia="Arial MT"/>
                <w:sz w:val="24"/>
              </w:rPr>
              <w:t>—</w:t>
            </w:r>
            <w:r>
              <w:rPr>
                <w:sz w:val="24"/>
              </w:rPr>
              <w:t>股份支付》等规定，公司以授予日公司股票收盘价为基础，对授予的限制性股票的公允价值进行了测算，测算得出每股限制性股票的股份支付公允价</w:t>
            </w:r>
            <w:r>
              <w:rPr>
                <w:spacing w:val="-20"/>
                <w:sz w:val="24"/>
              </w:rPr>
              <w:t>值为 </w:t>
            </w:r>
            <w:r>
              <w:rPr>
                <w:rFonts w:ascii="Arial MT" w:hAnsi="Arial MT" w:eastAsia="Arial MT"/>
                <w:sz w:val="24"/>
              </w:rPr>
              <w:t>9.31</w:t>
            </w:r>
            <w:r>
              <w:rPr>
                <w:rFonts w:ascii="Arial MT" w:hAnsi="Arial MT" w:eastAsia="Arial MT"/>
                <w:spacing w:val="-13"/>
                <w:sz w:val="24"/>
              </w:rPr>
              <w:t> </w:t>
            </w:r>
            <w:r>
              <w:rPr>
                <w:sz w:val="24"/>
              </w:rPr>
              <w:t>元。</w:t>
            </w:r>
          </w:p>
        </w:tc>
      </w:tr>
      <w:tr>
        <w:trPr>
          <w:trHeight w:val="751" w:hRule="atLeast"/>
        </w:trPr>
        <w:tc>
          <w:tcPr>
            <w:tcW w:w="548" w:type="dxa"/>
          </w:tcPr>
          <w:p>
            <w:pPr>
              <w:pStyle w:val="TableParagraph"/>
              <w:rPr>
                <w:rFonts w:ascii="Times New Roman"/>
                <w:sz w:val="22"/>
              </w:rPr>
            </w:pPr>
          </w:p>
        </w:tc>
        <w:tc>
          <w:tcPr>
            <w:tcW w:w="8325" w:type="dxa"/>
            <w:gridSpan w:val="3"/>
          </w:tcPr>
          <w:p>
            <w:pPr>
              <w:pStyle w:val="TableParagraph"/>
              <w:spacing w:line="310" w:lineRule="atLeast" w:before="111"/>
              <w:ind w:left="200" w:right="113"/>
              <w:rPr>
                <w:sz w:val="24"/>
              </w:rPr>
            </w:pPr>
            <w:r>
              <w:rPr>
                <w:sz w:val="24"/>
              </w:rPr>
              <w:t>根据限制性股票激励计划的规定，持股员工受严格的服务期限制，限制性股票的解除限售期及各期解除限售时间安排如下表所示：</w:t>
            </w:r>
          </w:p>
        </w:tc>
      </w:tr>
      <w:tr>
        <w:trPr>
          <w:trHeight w:val="755" w:hRule="atLeast"/>
        </w:trPr>
        <w:tc>
          <w:tcPr>
            <w:tcW w:w="548" w:type="dxa"/>
          </w:tcPr>
          <w:p>
            <w:pPr>
              <w:pStyle w:val="TableParagraph"/>
              <w:rPr>
                <w:rFonts w:ascii="Times New Roman"/>
                <w:sz w:val="22"/>
              </w:rPr>
            </w:pPr>
          </w:p>
        </w:tc>
        <w:tc>
          <w:tcPr>
            <w:tcW w:w="1698" w:type="dxa"/>
          </w:tcPr>
          <w:p>
            <w:pPr>
              <w:pStyle w:val="TableParagraph"/>
              <w:spacing w:line="242" w:lineRule="auto" w:before="2"/>
              <w:ind w:left="735" w:right="240" w:hanging="240"/>
              <w:rPr>
                <w:sz w:val="24"/>
              </w:rPr>
            </w:pPr>
            <w:r>
              <w:rPr>
                <w:spacing w:val="-1"/>
                <w:sz w:val="24"/>
              </w:rPr>
              <w:t>解除限售</w:t>
            </w:r>
            <w:r>
              <w:rPr>
                <w:sz w:val="24"/>
              </w:rPr>
              <w:t>安排</w:t>
            </w:r>
          </w:p>
        </w:tc>
        <w:tc>
          <w:tcPr>
            <w:tcW w:w="5358" w:type="dxa"/>
          </w:tcPr>
          <w:p>
            <w:pPr>
              <w:pStyle w:val="TableParagraph"/>
              <w:spacing w:before="6"/>
              <w:rPr>
                <w:sz w:val="24"/>
              </w:rPr>
            </w:pPr>
          </w:p>
          <w:p>
            <w:pPr>
              <w:pStyle w:val="TableParagraph"/>
              <w:ind w:left="1980" w:right="1898"/>
              <w:jc w:val="center"/>
              <w:rPr>
                <w:sz w:val="24"/>
              </w:rPr>
            </w:pPr>
            <w:r>
              <w:rPr>
                <w:sz w:val="24"/>
              </w:rPr>
              <w:t>解除限售时间</w:t>
            </w:r>
          </w:p>
        </w:tc>
        <w:tc>
          <w:tcPr>
            <w:tcW w:w="1269" w:type="dxa"/>
          </w:tcPr>
          <w:p>
            <w:pPr>
              <w:pStyle w:val="TableParagraph"/>
              <w:spacing w:before="2"/>
              <w:ind w:right="188"/>
              <w:jc w:val="right"/>
              <w:rPr>
                <w:sz w:val="24"/>
              </w:rPr>
            </w:pPr>
            <w:r>
              <w:rPr>
                <w:sz w:val="24"/>
              </w:rPr>
              <w:t>解除限售</w:t>
            </w:r>
          </w:p>
          <w:p>
            <w:pPr>
              <w:pStyle w:val="TableParagraph"/>
              <w:spacing w:before="4"/>
              <w:ind w:right="188"/>
              <w:jc w:val="right"/>
              <w:rPr>
                <w:sz w:val="24"/>
              </w:rPr>
            </w:pPr>
            <w:r>
              <w:rPr>
                <w:sz w:val="24"/>
              </w:rPr>
              <w:t>比例</w:t>
            </w:r>
          </w:p>
        </w:tc>
      </w:tr>
      <w:tr>
        <w:trPr>
          <w:trHeight w:val="1090" w:hRule="atLeast"/>
        </w:trPr>
        <w:tc>
          <w:tcPr>
            <w:tcW w:w="548" w:type="dxa"/>
          </w:tcPr>
          <w:p>
            <w:pPr>
              <w:pStyle w:val="TableParagraph"/>
              <w:rPr>
                <w:rFonts w:ascii="Times New Roman"/>
                <w:sz w:val="22"/>
              </w:rPr>
            </w:pPr>
          </w:p>
        </w:tc>
        <w:tc>
          <w:tcPr>
            <w:tcW w:w="1698" w:type="dxa"/>
          </w:tcPr>
          <w:p>
            <w:pPr>
              <w:pStyle w:val="TableParagraph"/>
              <w:spacing w:before="1"/>
              <w:rPr>
                <w:sz w:val="35"/>
              </w:rPr>
            </w:pPr>
          </w:p>
          <w:p>
            <w:pPr>
              <w:pStyle w:val="TableParagraph"/>
              <w:spacing w:line="310" w:lineRule="atLeast"/>
              <w:ind w:left="455" w:right="55" w:hanging="255"/>
              <w:rPr>
                <w:sz w:val="24"/>
              </w:rPr>
            </w:pPr>
            <w:r>
              <w:rPr>
                <w:spacing w:val="-1"/>
                <w:sz w:val="24"/>
              </w:rPr>
              <w:t>第一个解除限</w:t>
            </w:r>
            <w:r>
              <w:rPr>
                <w:sz w:val="24"/>
              </w:rPr>
              <w:t>售期</w:t>
            </w:r>
          </w:p>
        </w:tc>
        <w:tc>
          <w:tcPr>
            <w:tcW w:w="5358" w:type="dxa"/>
          </w:tcPr>
          <w:p>
            <w:pPr>
              <w:pStyle w:val="TableParagraph"/>
              <w:spacing w:before="144"/>
              <w:ind w:left="56"/>
              <w:rPr>
                <w:sz w:val="24"/>
              </w:rPr>
            </w:pPr>
            <w:r>
              <w:rPr>
                <w:spacing w:val="7"/>
                <w:w w:val="95"/>
                <w:sz w:val="24"/>
              </w:rPr>
              <w:t>自预留部分授予日起 </w:t>
            </w:r>
            <w:r>
              <w:rPr>
                <w:rFonts w:ascii="Arial MT" w:eastAsia="Arial MT"/>
                <w:w w:val="95"/>
                <w:sz w:val="24"/>
              </w:rPr>
              <w:t>12</w:t>
            </w:r>
            <w:r>
              <w:rPr>
                <w:rFonts w:ascii="Arial MT" w:eastAsia="Arial MT"/>
                <w:spacing w:val="107"/>
                <w:sz w:val="24"/>
              </w:rPr>
              <w:t> </w:t>
            </w:r>
            <w:r>
              <w:rPr>
                <w:w w:val="95"/>
                <w:sz w:val="24"/>
              </w:rPr>
              <w:t>个月后的首个交易日起至</w:t>
            </w:r>
          </w:p>
          <w:p>
            <w:pPr>
              <w:pStyle w:val="TableParagraph"/>
              <w:spacing w:line="310" w:lineRule="atLeast"/>
              <w:ind w:left="296" w:right="120"/>
              <w:rPr>
                <w:sz w:val="24"/>
              </w:rPr>
            </w:pPr>
            <w:r>
              <w:rPr>
                <w:spacing w:val="-8"/>
                <w:sz w:val="24"/>
              </w:rPr>
              <w:t>预留部分授予日起 </w:t>
            </w:r>
            <w:r>
              <w:rPr>
                <w:rFonts w:ascii="Arial MT" w:eastAsia="Arial MT"/>
                <w:spacing w:val="-1"/>
                <w:sz w:val="24"/>
              </w:rPr>
              <w:t>24</w:t>
            </w:r>
            <w:r>
              <w:rPr>
                <w:rFonts w:ascii="Arial MT" w:eastAsia="Arial MT"/>
                <w:spacing w:val="-15"/>
                <w:sz w:val="24"/>
              </w:rPr>
              <w:t> </w:t>
            </w:r>
            <w:r>
              <w:rPr>
                <w:spacing w:val="-1"/>
                <w:sz w:val="24"/>
              </w:rPr>
              <w:t>个月内的最后一个交易日</w:t>
            </w:r>
            <w:r>
              <w:rPr>
                <w:sz w:val="24"/>
              </w:rPr>
              <w:t>当日止</w:t>
            </w:r>
          </w:p>
        </w:tc>
        <w:tc>
          <w:tcPr>
            <w:tcW w:w="1269" w:type="dxa"/>
          </w:tcPr>
          <w:p>
            <w:pPr>
              <w:pStyle w:val="TableParagraph"/>
              <w:rPr>
                <w:sz w:val="26"/>
              </w:rPr>
            </w:pPr>
          </w:p>
          <w:p>
            <w:pPr>
              <w:pStyle w:val="TableParagraph"/>
              <w:spacing w:before="6"/>
              <w:rPr>
                <w:sz w:val="36"/>
              </w:rPr>
            </w:pPr>
          </w:p>
          <w:p>
            <w:pPr>
              <w:pStyle w:val="TableParagraph"/>
              <w:spacing w:line="270" w:lineRule="exact"/>
              <w:ind w:right="185"/>
              <w:jc w:val="right"/>
              <w:rPr>
                <w:rFonts w:ascii="Arial MT"/>
                <w:sz w:val="24"/>
              </w:rPr>
            </w:pPr>
            <w:r>
              <w:rPr>
                <w:rFonts w:ascii="Arial MT"/>
                <w:sz w:val="24"/>
              </w:rPr>
              <w:t>20%</w:t>
            </w:r>
          </w:p>
        </w:tc>
      </w:tr>
      <w:tr>
        <w:trPr>
          <w:trHeight w:val="933" w:hRule="atLeast"/>
        </w:trPr>
        <w:tc>
          <w:tcPr>
            <w:tcW w:w="548" w:type="dxa"/>
          </w:tcPr>
          <w:p>
            <w:pPr>
              <w:pStyle w:val="TableParagraph"/>
              <w:rPr>
                <w:rFonts w:ascii="Times New Roman"/>
                <w:sz w:val="22"/>
              </w:rPr>
            </w:pPr>
          </w:p>
        </w:tc>
        <w:tc>
          <w:tcPr>
            <w:tcW w:w="1698" w:type="dxa"/>
          </w:tcPr>
          <w:p>
            <w:pPr>
              <w:pStyle w:val="TableParagraph"/>
              <w:spacing w:before="11"/>
              <w:rPr>
                <w:sz w:val="22"/>
              </w:rPr>
            </w:pPr>
          </w:p>
          <w:p>
            <w:pPr>
              <w:pStyle w:val="TableParagraph"/>
              <w:spacing w:line="310" w:lineRule="atLeast"/>
              <w:ind w:left="455" w:right="55" w:hanging="255"/>
              <w:rPr>
                <w:sz w:val="24"/>
              </w:rPr>
            </w:pPr>
            <w:r>
              <w:rPr>
                <w:spacing w:val="-1"/>
                <w:sz w:val="24"/>
              </w:rPr>
              <w:t>第二个解除限</w:t>
            </w:r>
            <w:r>
              <w:rPr>
                <w:sz w:val="24"/>
              </w:rPr>
              <w:t>售期</w:t>
            </w:r>
          </w:p>
        </w:tc>
        <w:tc>
          <w:tcPr>
            <w:tcW w:w="5358" w:type="dxa"/>
          </w:tcPr>
          <w:p>
            <w:pPr>
              <w:pStyle w:val="TableParagraph"/>
              <w:spacing w:line="298" w:lineRule="exact"/>
              <w:ind w:left="56"/>
              <w:rPr>
                <w:sz w:val="24"/>
              </w:rPr>
            </w:pPr>
            <w:r>
              <w:rPr>
                <w:spacing w:val="7"/>
                <w:w w:val="95"/>
                <w:sz w:val="24"/>
              </w:rPr>
              <w:t>自预留部分授予日起 </w:t>
            </w:r>
            <w:r>
              <w:rPr>
                <w:rFonts w:ascii="Arial MT" w:eastAsia="Arial MT"/>
                <w:w w:val="95"/>
                <w:sz w:val="24"/>
              </w:rPr>
              <w:t>24</w:t>
            </w:r>
            <w:r>
              <w:rPr>
                <w:rFonts w:ascii="Arial MT" w:eastAsia="Arial MT"/>
                <w:spacing w:val="107"/>
                <w:sz w:val="24"/>
              </w:rPr>
              <w:t> </w:t>
            </w:r>
            <w:r>
              <w:rPr>
                <w:w w:val="95"/>
                <w:sz w:val="24"/>
              </w:rPr>
              <w:t>个月后的首个交易日起至</w:t>
            </w:r>
          </w:p>
          <w:p>
            <w:pPr>
              <w:pStyle w:val="TableParagraph"/>
              <w:spacing w:before="2"/>
              <w:ind w:left="296"/>
              <w:rPr>
                <w:sz w:val="24"/>
              </w:rPr>
            </w:pPr>
            <w:r>
              <w:rPr>
                <w:spacing w:val="8"/>
                <w:w w:val="95"/>
                <w:sz w:val="24"/>
              </w:rPr>
              <w:t>预留部分授予日起 </w:t>
            </w:r>
            <w:r>
              <w:rPr>
                <w:rFonts w:ascii="Arial MT" w:eastAsia="Arial MT"/>
                <w:w w:val="95"/>
                <w:sz w:val="24"/>
              </w:rPr>
              <w:t>36</w:t>
            </w:r>
            <w:r>
              <w:rPr>
                <w:rFonts w:ascii="Arial MT" w:eastAsia="Arial MT"/>
                <w:spacing w:val="97"/>
                <w:sz w:val="24"/>
              </w:rPr>
              <w:t> </w:t>
            </w:r>
            <w:r>
              <w:rPr>
                <w:w w:val="95"/>
                <w:sz w:val="24"/>
              </w:rPr>
              <w:t>个月内的最后一个交易日</w:t>
            </w:r>
          </w:p>
          <w:p>
            <w:pPr>
              <w:pStyle w:val="TableParagraph"/>
              <w:spacing w:line="301" w:lineRule="exact" w:before="4"/>
              <w:ind w:left="296"/>
              <w:rPr>
                <w:sz w:val="24"/>
              </w:rPr>
            </w:pPr>
            <w:r>
              <w:rPr>
                <w:sz w:val="24"/>
              </w:rPr>
              <w:t>当日止</w:t>
            </w:r>
          </w:p>
        </w:tc>
        <w:tc>
          <w:tcPr>
            <w:tcW w:w="1269" w:type="dxa"/>
          </w:tcPr>
          <w:p>
            <w:pPr>
              <w:pStyle w:val="TableParagraph"/>
              <w:rPr>
                <w:sz w:val="26"/>
              </w:rPr>
            </w:pPr>
          </w:p>
          <w:p>
            <w:pPr>
              <w:pStyle w:val="TableParagraph"/>
              <w:spacing w:before="3"/>
              <w:rPr>
                <w:sz w:val="24"/>
              </w:rPr>
            </w:pPr>
          </w:p>
          <w:p>
            <w:pPr>
              <w:pStyle w:val="TableParagraph"/>
              <w:spacing w:line="270" w:lineRule="exact"/>
              <w:ind w:right="185"/>
              <w:jc w:val="right"/>
              <w:rPr>
                <w:rFonts w:ascii="Arial MT"/>
                <w:sz w:val="24"/>
              </w:rPr>
            </w:pPr>
            <w:r>
              <w:rPr>
                <w:rFonts w:ascii="Arial MT"/>
                <w:sz w:val="24"/>
              </w:rPr>
              <w:t>20%</w:t>
            </w:r>
          </w:p>
        </w:tc>
      </w:tr>
      <w:tr>
        <w:trPr>
          <w:trHeight w:val="933" w:hRule="atLeast"/>
        </w:trPr>
        <w:tc>
          <w:tcPr>
            <w:tcW w:w="548" w:type="dxa"/>
          </w:tcPr>
          <w:p>
            <w:pPr>
              <w:pStyle w:val="TableParagraph"/>
              <w:rPr>
                <w:rFonts w:ascii="Times New Roman"/>
                <w:sz w:val="22"/>
              </w:rPr>
            </w:pPr>
          </w:p>
        </w:tc>
        <w:tc>
          <w:tcPr>
            <w:tcW w:w="1698" w:type="dxa"/>
          </w:tcPr>
          <w:p>
            <w:pPr>
              <w:pStyle w:val="TableParagraph"/>
              <w:spacing w:before="11"/>
              <w:rPr>
                <w:sz w:val="22"/>
              </w:rPr>
            </w:pPr>
          </w:p>
          <w:p>
            <w:pPr>
              <w:pStyle w:val="TableParagraph"/>
              <w:spacing w:line="310" w:lineRule="atLeast"/>
              <w:ind w:left="455" w:right="55" w:hanging="255"/>
              <w:rPr>
                <w:sz w:val="24"/>
              </w:rPr>
            </w:pPr>
            <w:r>
              <w:rPr>
                <w:spacing w:val="-1"/>
                <w:sz w:val="24"/>
              </w:rPr>
              <w:t>第三个解除限</w:t>
            </w:r>
            <w:r>
              <w:rPr>
                <w:sz w:val="24"/>
              </w:rPr>
              <w:t>售期</w:t>
            </w:r>
          </w:p>
        </w:tc>
        <w:tc>
          <w:tcPr>
            <w:tcW w:w="5358" w:type="dxa"/>
          </w:tcPr>
          <w:p>
            <w:pPr>
              <w:pStyle w:val="TableParagraph"/>
              <w:spacing w:line="298" w:lineRule="exact"/>
              <w:ind w:left="56"/>
              <w:rPr>
                <w:sz w:val="24"/>
              </w:rPr>
            </w:pPr>
            <w:r>
              <w:rPr>
                <w:spacing w:val="7"/>
                <w:w w:val="95"/>
                <w:sz w:val="24"/>
              </w:rPr>
              <w:t>自预留部分授予日起 </w:t>
            </w:r>
            <w:r>
              <w:rPr>
                <w:rFonts w:ascii="Arial MT" w:eastAsia="Arial MT"/>
                <w:w w:val="95"/>
                <w:sz w:val="24"/>
              </w:rPr>
              <w:t>36</w:t>
            </w:r>
            <w:r>
              <w:rPr>
                <w:rFonts w:ascii="Arial MT" w:eastAsia="Arial MT"/>
                <w:spacing w:val="107"/>
                <w:sz w:val="24"/>
              </w:rPr>
              <w:t> </w:t>
            </w:r>
            <w:r>
              <w:rPr>
                <w:w w:val="95"/>
                <w:sz w:val="24"/>
              </w:rPr>
              <w:t>个月后的首个交易日起至</w:t>
            </w:r>
          </w:p>
          <w:p>
            <w:pPr>
              <w:pStyle w:val="TableParagraph"/>
              <w:spacing w:before="2"/>
              <w:ind w:left="296"/>
              <w:rPr>
                <w:sz w:val="24"/>
              </w:rPr>
            </w:pPr>
            <w:r>
              <w:rPr>
                <w:spacing w:val="8"/>
                <w:w w:val="95"/>
                <w:sz w:val="24"/>
              </w:rPr>
              <w:t>预留部分授予日起 </w:t>
            </w:r>
            <w:r>
              <w:rPr>
                <w:rFonts w:ascii="Arial MT" w:eastAsia="Arial MT"/>
                <w:w w:val="95"/>
                <w:sz w:val="24"/>
              </w:rPr>
              <w:t>48</w:t>
            </w:r>
            <w:r>
              <w:rPr>
                <w:rFonts w:ascii="Arial MT" w:eastAsia="Arial MT"/>
                <w:spacing w:val="97"/>
                <w:sz w:val="24"/>
              </w:rPr>
              <w:t> </w:t>
            </w:r>
            <w:r>
              <w:rPr>
                <w:w w:val="95"/>
                <w:sz w:val="24"/>
              </w:rPr>
              <w:t>个月内的最后一个交易日</w:t>
            </w:r>
          </w:p>
          <w:p>
            <w:pPr>
              <w:pStyle w:val="TableParagraph"/>
              <w:spacing w:line="301" w:lineRule="exact" w:before="4"/>
              <w:ind w:left="296"/>
              <w:rPr>
                <w:sz w:val="24"/>
              </w:rPr>
            </w:pPr>
            <w:r>
              <w:rPr>
                <w:sz w:val="24"/>
              </w:rPr>
              <w:t>当日止</w:t>
            </w:r>
          </w:p>
        </w:tc>
        <w:tc>
          <w:tcPr>
            <w:tcW w:w="1269" w:type="dxa"/>
          </w:tcPr>
          <w:p>
            <w:pPr>
              <w:pStyle w:val="TableParagraph"/>
              <w:rPr>
                <w:sz w:val="26"/>
              </w:rPr>
            </w:pPr>
          </w:p>
          <w:p>
            <w:pPr>
              <w:pStyle w:val="TableParagraph"/>
              <w:spacing w:before="3"/>
              <w:rPr>
                <w:sz w:val="24"/>
              </w:rPr>
            </w:pPr>
          </w:p>
          <w:p>
            <w:pPr>
              <w:pStyle w:val="TableParagraph"/>
              <w:spacing w:line="270" w:lineRule="exact"/>
              <w:ind w:right="185"/>
              <w:jc w:val="right"/>
              <w:rPr>
                <w:rFonts w:ascii="Arial MT"/>
                <w:sz w:val="24"/>
              </w:rPr>
            </w:pPr>
            <w:r>
              <w:rPr>
                <w:rFonts w:ascii="Arial MT"/>
                <w:sz w:val="24"/>
              </w:rPr>
              <w:t>20%</w:t>
            </w:r>
          </w:p>
        </w:tc>
      </w:tr>
      <w:tr>
        <w:trPr>
          <w:trHeight w:val="933" w:hRule="atLeast"/>
        </w:trPr>
        <w:tc>
          <w:tcPr>
            <w:tcW w:w="548" w:type="dxa"/>
          </w:tcPr>
          <w:p>
            <w:pPr>
              <w:pStyle w:val="TableParagraph"/>
              <w:rPr>
                <w:rFonts w:ascii="Times New Roman"/>
                <w:sz w:val="22"/>
              </w:rPr>
            </w:pPr>
          </w:p>
        </w:tc>
        <w:tc>
          <w:tcPr>
            <w:tcW w:w="1698" w:type="dxa"/>
          </w:tcPr>
          <w:p>
            <w:pPr>
              <w:pStyle w:val="TableParagraph"/>
              <w:spacing w:before="12"/>
              <w:rPr>
                <w:sz w:val="22"/>
              </w:rPr>
            </w:pPr>
          </w:p>
          <w:p>
            <w:pPr>
              <w:pStyle w:val="TableParagraph"/>
              <w:spacing w:line="310" w:lineRule="atLeast"/>
              <w:ind w:left="455" w:right="55" w:hanging="255"/>
              <w:rPr>
                <w:sz w:val="24"/>
              </w:rPr>
            </w:pPr>
            <w:r>
              <w:rPr>
                <w:spacing w:val="-1"/>
                <w:sz w:val="24"/>
              </w:rPr>
              <w:t>第四个解除限</w:t>
            </w:r>
            <w:r>
              <w:rPr>
                <w:sz w:val="24"/>
              </w:rPr>
              <w:t>售期</w:t>
            </w:r>
          </w:p>
        </w:tc>
        <w:tc>
          <w:tcPr>
            <w:tcW w:w="5358" w:type="dxa"/>
          </w:tcPr>
          <w:p>
            <w:pPr>
              <w:pStyle w:val="TableParagraph"/>
              <w:spacing w:line="298" w:lineRule="exact"/>
              <w:ind w:left="56"/>
              <w:rPr>
                <w:sz w:val="24"/>
              </w:rPr>
            </w:pPr>
            <w:r>
              <w:rPr>
                <w:spacing w:val="7"/>
                <w:w w:val="95"/>
                <w:sz w:val="24"/>
              </w:rPr>
              <w:t>自预留部分授予日起 </w:t>
            </w:r>
            <w:r>
              <w:rPr>
                <w:rFonts w:ascii="Arial MT" w:eastAsia="Arial MT"/>
                <w:w w:val="95"/>
                <w:sz w:val="24"/>
              </w:rPr>
              <w:t>48</w:t>
            </w:r>
            <w:r>
              <w:rPr>
                <w:rFonts w:ascii="Arial MT" w:eastAsia="Arial MT"/>
                <w:spacing w:val="107"/>
                <w:sz w:val="24"/>
              </w:rPr>
              <w:t> </w:t>
            </w:r>
            <w:r>
              <w:rPr>
                <w:w w:val="95"/>
                <w:sz w:val="24"/>
              </w:rPr>
              <w:t>个月后的首个交易日起至</w:t>
            </w:r>
          </w:p>
          <w:p>
            <w:pPr>
              <w:pStyle w:val="TableParagraph"/>
              <w:spacing w:before="2"/>
              <w:ind w:left="296"/>
              <w:rPr>
                <w:sz w:val="24"/>
              </w:rPr>
            </w:pPr>
            <w:r>
              <w:rPr>
                <w:spacing w:val="8"/>
                <w:w w:val="95"/>
                <w:sz w:val="24"/>
              </w:rPr>
              <w:t>预留部分授予日起 </w:t>
            </w:r>
            <w:r>
              <w:rPr>
                <w:rFonts w:ascii="Arial MT" w:eastAsia="Arial MT"/>
                <w:w w:val="95"/>
                <w:sz w:val="24"/>
              </w:rPr>
              <w:t>60</w:t>
            </w:r>
            <w:r>
              <w:rPr>
                <w:rFonts w:ascii="Arial MT" w:eastAsia="Arial MT"/>
                <w:spacing w:val="97"/>
                <w:sz w:val="24"/>
              </w:rPr>
              <w:t> </w:t>
            </w:r>
            <w:r>
              <w:rPr>
                <w:w w:val="95"/>
                <w:sz w:val="24"/>
              </w:rPr>
              <w:t>个月内的最后一个交易日</w:t>
            </w:r>
          </w:p>
          <w:p>
            <w:pPr>
              <w:pStyle w:val="TableParagraph"/>
              <w:spacing w:line="301" w:lineRule="exact" w:before="4"/>
              <w:ind w:left="296"/>
              <w:rPr>
                <w:sz w:val="24"/>
              </w:rPr>
            </w:pPr>
            <w:r>
              <w:rPr>
                <w:sz w:val="24"/>
              </w:rPr>
              <w:t>当日止</w:t>
            </w:r>
          </w:p>
        </w:tc>
        <w:tc>
          <w:tcPr>
            <w:tcW w:w="1269" w:type="dxa"/>
          </w:tcPr>
          <w:p>
            <w:pPr>
              <w:pStyle w:val="TableParagraph"/>
              <w:rPr>
                <w:sz w:val="26"/>
              </w:rPr>
            </w:pPr>
          </w:p>
          <w:p>
            <w:pPr>
              <w:pStyle w:val="TableParagraph"/>
              <w:spacing w:before="3"/>
              <w:rPr>
                <w:sz w:val="24"/>
              </w:rPr>
            </w:pPr>
          </w:p>
          <w:p>
            <w:pPr>
              <w:pStyle w:val="TableParagraph"/>
              <w:spacing w:line="270" w:lineRule="exact"/>
              <w:ind w:right="185"/>
              <w:jc w:val="right"/>
              <w:rPr>
                <w:rFonts w:ascii="Arial MT"/>
                <w:sz w:val="24"/>
              </w:rPr>
            </w:pPr>
            <w:r>
              <w:rPr>
                <w:rFonts w:ascii="Arial MT"/>
                <w:sz w:val="24"/>
              </w:rPr>
              <w:t>20%</w:t>
            </w:r>
          </w:p>
        </w:tc>
      </w:tr>
      <w:tr>
        <w:trPr>
          <w:trHeight w:val="1071" w:hRule="atLeast"/>
        </w:trPr>
        <w:tc>
          <w:tcPr>
            <w:tcW w:w="548" w:type="dxa"/>
          </w:tcPr>
          <w:p>
            <w:pPr>
              <w:pStyle w:val="TableParagraph"/>
              <w:rPr>
                <w:rFonts w:ascii="Times New Roman"/>
                <w:sz w:val="22"/>
              </w:rPr>
            </w:pPr>
          </w:p>
        </w:tc>
        <w:tc>
          <w:tcPr>
            <w:tcW w:w="1698" w:type="dxa"/>
          </w:tcPr>
          <w:p>
            <w:pPr>
              <w:pStyle w:val="TableParagraph"/>
              <w:spacing w:before="6"/>
              <w:rPr>
                <w:sz w:val="23"/>
              </w:rPr>
            </w:pPr>
          </w:p>
          <w:p>
            <w:pPr>
              <w:pStyle w:val="TableParagraph"/>
              <w:spacing w:line="242" w:lineRule="auto"/>
              <w:ind w:left="455" w:right="55" w:hanging="255"/>
              <w:rPr>
                <w:sz w:val="24"/>
              </w:rPr>
            </w:pPr>
            <w:r>
              <w:rPr>
                <w:spacing w:val="-1"/>
                <w:sz w:val="24"/>
              </w:rPr>
              <w:t>第五个解除限</w:t>
            </w:r>
            <w:r>
              <w:rPr>
                <w:sz w:val="24"/>
              </w:rPr>
              <w:t>售期</w:t>
            </w:r>
          </w:p>
        </w:tc>
        <w:tc>
          <w:tcPr>
            <w:tcW w:w="5358" w:type="dxa"/>
          </w:tcPr>
          <w:p>
            <w:pPr>
              <w:pStyle w:val="TableParagraph"/>
              <w:spacing w:line="299" w:lineRule="exact"/>
              <w:ind w:left="56"/>
              <w:rPr>
                <w:sz w:val="24"/>
              </w:rPr>
            </w:pPr>
            <w:r>
              <w:rPr>
                <w:spacing w:val="7"/>
                <w:w w:val="95"/>
                <w:sz w:val="24"/>
              </w:rPr>
              <w:t>自预留部分授予日起 </w:t>
            </w:r>
            <w:r>
              <w:rPr>
                <w:rFonts w:ascii="Arial MT" w:eastAsia="Arial MT"/>
                <w:w w:val="95"/>
                <w:sz w:val="24"/>
              </w:rPr>
              <w:t>60</w:t>
            </w:r>
            <w:r>
              <w:rPr>
                <w:rFonts w:ascii="Arial MT" w:eastAsia="Arial MT"/>
                <w:spacing w:val="107"/>
                <w:sz w:val="24"/>
              </w:rPr>
              <w:t> </w:t>
            </w:r>
            <w:r>
              <w:rPr>
                <w:w w:val="95"/>
                <w:sz w:val="24"/>
              </w:rPr>
              <w:t>个月后的首个交易日起至</w:t>
            </w:r>
          </w:p>
          <w:p>
            <w:pPr>
              <w:pStyle w:val="TableParagraph"/>
              <w:spacing w:line="242" w:lineRule="auto" w:before="2"/>
              <w:ind w:left="296" w:right="120"/>
              <w:rPr>
                <w:sz w:val="24"/>
              </w:rPr>
            </w:pPr>
            <w:r>
              <w:rPr>
                <w:spacing w:val="-8"/>
                <w:sz w:val="24"/>
              </w:rPr>
              <w:t>预留部分授予日起 </w:t>
            </w:r>
            <w:r>
              <w:rPr>
                <w:rFonts w:ascii="Arial MT" w:eastAsia="Arial MT"/>
                <w:spacing w:val="-1"/>
                <w:sz w:val="24"/>
              </w:rPr>
              <w:t>72</w:t>
            </w:r>
            <w:r>
              <w:rPr>
                <w:rFonts w:ascii="Arial MT" w:eastAsia="Arial MT"/>
                <w:spacing w:val="-15"/>
                <w:sz w:val="24"/>
              </w:rPr>
              <w:t> </w:t>
            </w:r>
            <w:r>
              <w:rPr>
                <w:spacing w:val="-1"/>
                <w:sz w:val="24"/>
              </w:rPr>
              <w:t>个月内的最后一个交易日</w:t>
            </w:r>
            <w:r>
              <w:rPr>
                <w:sz w:val="24"/>
              </w:rPr>
              <w:t>当日止</w:t>
            </w:r>
          </w:p>
        </w:tc>
        <w:tc>
          <w:tcPr>
            <w:tcW w:w="1269" w:type="dxa"/>
          </w:tcPr>
          <w:p>
            <w:pPr>
              <w:pStyle w:val="TableParagraph"/>
              <w:rPr>
                <w:sz w:val="26"/>
              </w:rPr>
            </w:pPr>
          </w:p>
          <w:p>
            <w:pPr>
              <w:pStyle w:val="TableParagraph"/>
              <w:spacing w:before="3"/>
              <w:rPr>
                <w:sz w:val="24"/>
              </w:rPr>
            </w:pPr>
          </w:p>
          <w:p>
            <w:pPr>
              <w:pStyle w:val="TableParagraph"/>
              <w:ind w:right="185"/>
              <w:jc w:val="right"/>
              <w:rPr>
                <w:rFonts w:ascii="Arial MT"/>
                <w:sz w:val="24"/>
              </w:rPr>
            </w:pPr>
            <w:r>
              <w:rPr>
                <w:rFonts w:ascii="Arial MT"/>
                <w:sz w:val="24"/>
              </w:rPr>
              <w:t>20%</w:t>
            </w:r>
          </w:p>
        </w:tc>
      </w:tr>
      <w:tr>
        <w:trPr>
          <w:trHeight w:val="1957" w:hRule="atLeast"/>
        </w:trPr>
        <w:tc>
          <w:tcPr>
            <w:tcW w:w="548" w:type="dxa"/>
          </w:tcPr>
          <w:p>
            <w:pPr>
              <w:pStyle w:val="TableParagraph"/>
              <w:rPr>
                <w:rFonts w:ascii="Times New Roman"/>
                <w:sz w:val="22"/>
              </w:rPr>
            </w:pPr>
          </w:p>
        </w:tc>
        <w:tc>
          <w:tcPr>
            <w:tcW w:w="8325" w:type="dxa"/>
            <w:gridSpan w:val="3"/>
          </w:tcPr>
          <w:p>
            <w:pPr>
              <w:pStyle w:val="TableParagraph"/>
              <w:spacing w:line="242" w:lineRule="auto" w:before="129"/>
              <w:ind w:left="200" w:right="105"/>
              <w:jc w:val="both"/>
              <w:rPr>
                <w:sz w:val="24"/>
              </w:rPr>
            </w:pPr>
            <w:r>
              <w:rPr>
                <w:spacing w:val="-4"/>
                <w:sz w:val="24"/>
              </w:rPr>
              <w:t>据此，本集团确定相应的 </w:t>
            </w:r>
            <w:r>
              <w:rPr>
                <w:rFonts w:ascii="Arial MT" w:eastAsia="Arial MT"/>
                <w:sz w:val="24"/>
              </w:rPr>
              <w:t>20%</w:t>
            </w:r>
            <w:r>
              <w:rPr>
                <w:sz w:val="24"/>
              </w:rPr>
              <w:t>、</w:t>
            </w:r>
            <w:r>
              <w:rPr>
                <w:rFonts w:ascii="Arial MT" w:eastAsia="Arial MT"/>
                <w:sz w:val="24"/>
              </w:rPr>
              <w:t>20%</w:t>
            </w:r>
            <w:r>
              <w:rPr>
                <w:sz w:val="24"/>
              </w:rPr>
              <w:t>、</w:t>
            </w:r>
            <w:r>
              <w:rPr>
                <w:rFonts w:ascii="Arial MT" w:eastAsia="Arial MT"/>
                <w:sz w:val="24"/>
              </w:rPr>
              <w:t>20%</w:t>
            </w:r>
            <w:r>
              <w:rPr>
                <w:sz w:val="24"/>
              </w:rPr>
              <w:t>、</w:t>
            </w:r>
            <w:r>
              <w:rPr>
                <w:rFonts w:ascii="Arial MT" w:eastAsia="Arial MT"/>
                <w:sz w:val="24"/>
              </w:rPr>
              <w:t>20%</w:t>
            </w:r>
            <w:r>
              <w:rPr>
                <w:sz w:val="24"/>
              </w:rPr>
              <w:t>、</w:t>
            </w:r>
            <w:r>
              <w:rPr>
                <w:rFonts w:ascii="Arial MT" w:eastAsia="Arial MT"/>
                <w:sz w:val="24"/>
              </w:rPr>
              <w:t>20%</w:t>
            </w:r>
            <w:r>
              <w:rPr>
                <w:sz w:val="24"/>
              </w:rPr>
              <w:t>持股份额的股份支</w:t>
            </w:r>
            <w:r>
              <w:rPr>
                <w:spacing w:val="-7"/>
                <w:sz w:val="24"/>
              </w:rPr>
              <w:t>付费用摊销期限分别为 </w:t>
            </w:r>
            <w:r>
              <w:rPr>
                <w:rFonts w:ascii="Arial MT" w:eastAsia="Arial MT"/>
                <w:spacing w:val="-1"/>
                <w:sz w:val="24"/>
              </w:rPr>
              <w:t>1</w:t>
            </w:r>
            <w:r>
              <w:rPr>
                <w:rFonts w:ascii="Arial MT" w:eastAsia="Arial MT"/>
                <w:spacing w:val="-13"/>
                <w:sz w:val="24"/>
              </w:rPr>
              <w:t> </w:t>
            </w:r>
            <w:r>
              <w:rPr>
                <w:spacing w:val="-1"/>
                <w:sz w:val="24"/>
              </w:rPr>
              <w:t>年、</w:t>
            </w:r>
            <w:r>
              <w:rPr>
                <w:rFonts w:ascii="Arial MT" w:eastAsia="Arial MT"/>
                <w:spacing w:val="-1"/>
                <w:sz w:val="24"/>
              </w:rPr>
              <w:t>2</w:t>
            </w:r>
            <w:r>
              <w:rPr>
                <w:rFonts w:ascii="Arial MT" w:eastAsia="Arial MT"/>
                <w:spacing w:val="-13"/>
                <w:sz w:val="24"/>
              </w:rPr>
              <w:t> </w:t>
            </w:r>
            <w:r>
              <w:rPr>
                <w:spacing w:val="-1"/>
                <w:sz w:val="24"/>
              </w:rPr>
              <w:t>年、</w:t>
            </w:r>
            <w:r>
              <w:rPr>
                <w:rFonts w:ascii="Arial MT" w:eastAsia="Arial MT"/>
                <w:sz w:val="24"/>
              </w:rPr>
              <w:t>3</w:t>
            </w:r>
            <w:r>
              <w:rPr>
                <w:rFonts w:ascii="Arial MT" w:eastAsia="Arial MT"/>
                <w:spacing w:val="-13"/>
                <w:sz w:val="24"/>
              </w:rPr>
              <w:t> </w:t>
            </w:r>
            <w:r>
              <w:rPr>
                <w:sz w:val="24"/>
              </w:rPr>
              <w:t>年、</w:t>
            </w:r>
            <w:r>
              <w:rPr>
                <w:rFonts w:ascii="Arial MT" w:eastAsia="Arial MT"/>
                <w:sz w:val="24"/>
              </w:rPr>
              <w:t>4</w:t>
            </w:r>
            <w:r>
              <w:rPr>
                <w:rFonts w:ascii="Arial MT" w:eastAsia="Arial MT"/>
                <w:spacing w:val="-13"/>
                <w:sz w:val="24"/>
              </w:rPr>
              <w:t> </w:t>
            </w:r>
            <w:r>
              <w:rPr>
                <w:spacing w:val="-20"/>
                <w:sz w:val="24"/>
              </w:rPr>
              <w:t>年和 </w:t>
            </w:r>
            <w:r>
              <w:rPr>
                <w:rFonts w:ascii="Arial MT" w:eastAsia="Arial MT"/>
                <w:sz w:val="24"/>
              </w:rPr>
              <w:t>5</w:t>
            </w:r>
            <w:r>
              <w:rPr>
                <w:rFonts w:ascii="Arial MT" w:eastAsia="Arial MT"/>
                <w:spacing w:val="-13"/>
                <w:sz w:val="24"/>
              </w:rPr>
              <w:t> </w:t>
            </w:r>
            <w:r>
              <w:rPr>
                <w:sz w:val="24"/>
              </w:rPr>
              <w:t>年。本集团在自授予日开</w:t>
            </w:r>
            <w:r>
              <w:rPr>
                <w:spacing w:val="-5"/>
                <w:sz w:val="24"/>
              </w:rPr>
              <w:t>始的最长 </w:t>
            </w:r>
            <w:r>
              <w:rPr>
                <w:rFonts w:ascii="Arial MT" w:eastAsia="Arial MT"/>
                <w:sz w:val="24"/>
              </w:rPr>
              <w:t>5</w:t>
            </w:r>
            <w:r>
              <w:rPr>
                <w:rFonts w:ascii="Arial MT" w:eastAsia="Arial MT"/>
                <w:spacing w:val="22"/>
                <w:sz w:val="24"/>
              </w:rPr>
              <w:t> </w:t>
            </w:r>
            <w:r>
              <w:rPr>
                <w:sz w:val="24"/>
              </w:rPr>
              <w:t>年服务期内的每个资产负债表日，根据最新取得的职工离职率、业绩指标完成情况等后续信息对预计可解除限售的股份数量作出最佳估计，</w:t>
            </w:r>
            <w:r>
              <w:rPr>
                <w:spacing w:val="-118"/>
                <w:sz w:val="24"/>
              </w:rPr>
              <w:t> </w:t>
            </w:r>
            <w:r>
              <w:rPr>
                <w:sz w:val="24"/>
              </w:rPr>
              <w:t>修正预计可解除限售的权益工具数量，并将当期取得的相应员工服务按照授</w:t>
            </w:r>
          </w:p>
          <w:p>
            <w:pPr>
              <w:pStyle w:val="TableParagraph"/>
              <w:spacing w:line="254" w:lineRule="exact" w:before="2"/>
              <w:ind w:left="200"/>
              <w:rPr>
                <w:sz w:val="24"/>
              </w:rPr>
            </w:pPr>
            <w:r>
              <w:rPr>
                <w:sz w:val="24"/>
              </w:rPr>
              <w:t>予日的的公允价值计入相关成本或费用并相应调整资本公积。</w:t>
            </w:r>
          </w:p>
        </w:tc>
      </w:tr>
    </w:tbl>
    <w:p>
      <w:pPr>
        <w:spacing w:after="0" w:line="254" w:lineRule="exact"/>
        <w:rPr>
          <w:sz w:val="24"/>
        </w:rPr>
        <w:sectPr>
          <w:headerReference w:type="default" r:id="rId64"/>
          <w:footerReference w:type="default" r:id="rId65"/>
          <w:pgSz w:w="11910" w:h="16840"/>
          <w:pgMar w:header="882" w:footer="1195" w:top="1080" w:bottom="1380" w:left="1480" w:right="0"/>
        </w:sectPr>
      </w:pPr>
    </w:p>
    <w:p>
      <w:pPr>
        <w:pStyle w:val="BodyText"/>
        <w:spacing w:before="8"/>
        <w:ind w:left="0"/>
        <w:rPr>
          <w:sz w:val="25"/>
        </w:rPr>
      </w:pPr>
    </w:p>
    <w:p>
      <w:pPr>
        <w:pStyle w:val="Heading3"/>
        <w:spacing w:line="244" w:lineRule="auto" w:before="77"/>
        <w:ind w:left="1038" w:right="1350"/>
      </w:pPr>
      <w:r>
        <w:rPr>
          <w:spacing w:val="-12"/>
        </w:rPr>
        <w:t>基于 </w:t>
      </w:r>
      <w:r>
        <w:rPr>
          <w:rFonts w:ascii="Arial MT" w:eastAsia="Arial MT"/>
          <w:spacing w:val="-1"/>
        </w:rPr>
        <w:t>2019</w:t>
      </w:r>
      <w:r>
        <w:rPr>
          <w:rFonts w:ascii="Arial MT" w:eastAsia="Arial MT"/>
          <w:spacing w:val="13"/>
        </w:rPr>
        <w:t> </w:t>
      </w:r>
      <w:r>
        <w:rPr>
          <w:spacing w:val="-1"/>
        </w:rPr>
        <w:t>年、</w:t>
      </w:r>
      <w:r>
        <w:rPr>
          <w:rFonts w:ascii="Arial MT" w:eastAsia="Arial MT"/>
        </w:rPr>
        <w:t>2020</w:t>
      </w:r>
      <w:r>
        <w:rPr>
          <w:rFonts w:ascii="Arial MT" w:eastAsia="Arial MT"/>
          <w:spacing w:val="11"/>
        </w:rPr>
        <w:t> </w:t>
      </w:r>
      <w:r>
        <w:rPr>
          <w:spacing w:val="-11"/>
        </w:rPr>
        <w:t>年及 </w:t>
      </w:r>
      <w:r>
        <w:rPr>
          <w:rFonts w:ascii="Arial MT" w:eastAsia="Arial MT"/>
        </w:rPr>
        <w:t>2021</w:t>
      </w:r>
      <w:r>
        <w:rPr>
          <w:rFonts w:ascii="Arial MT" w:eastAsia="Arial MT"/>
          <w:spacing w:val="13"/>
        </w:rPr>
        <w:t> </w:t>
      </w:r>
      <w:r>
        <w:rPr/>
        <w:t>年的业绩情况，本集团已满足第一个、第二个、第三个解除限售期的业绩条件。因此，结合限制性股票激励对象的离职</w:t>
      </w:r>
      <w:r>
        <w:rPr>
          <w:spacing w:val="16"/>
        </w:rPr>
        <w:t>情况和个人绩效考核情况，于 </w:t>
      </w:r>
      <w:r>
        <w:rPr>
          <w:rFonts w:ascii="Arial MT" w:eastAsia="Arial MT"/>
        </w:rPr>
        <w:t>2022</w:t>
      </w:r>
      <w:r>
        <w:rPr>
          <w:rFonts w:ascii="Arial MT" w:eastAsia="Arial MT"/>
          <w:spacing w:val="56"/>
        </w:rPr>
        <w:t> </w:t>
      </w:r>
      <w:r>
        <w:rPr>
          <w:spacing w:val="17"/>
        </w:rPr>
        <w:t>年度，本集团解除限制性股票限售</w:t>
      </w:r>
    </w:p>
    <w:p>
      <w:pPr>
        <w:pStyle w:val="Heading3"/>
        <w:spacing w:line="242" w:lineRule="auto"/>
        <w:ind w:left="1038" w:right="1365"/>
      </w:pPr>
      <w:r>
        <w:rPr>
          <w:rFonts w:ascii="Arial MT" w:eastAsia="Arial MT"/>
          <w:spacing w:val="-1"/>
        </w:rPr>
        <w:t>1,605,165</w:t>
      </w:r>
      <w:r>
        <w:rPr>
          <w:rFonts w:ascii="Arial MT" w:eastAsia="Arial MT"/>
          <w:spacing w:val="-20"/>
        </w:rPr>
        <w:t> </w:t>
      </w:r>
      <w:r>
        <w:rPr>
          <w:spacing w:val="-8"/>
        </w:rPr>
        <w:t>股，回购限制性股票 </w:t>
      </w:r>
      <w:r>
        <w:rPr>
          <w:rFonts w:ascii="Arial MT" w:eastAsia="Arial MT"/>
        </w:rPr>
        <w:t>381,660</w:t>
      </w:r>
      <w:r>
        <w:rPr>
          <w:rFonts w:ascii="Arial MT" w:eastAsia="Arial MT"/>
          <w:spacing w:val="-19"/>
        </w:rPr>
        <w:t> </w:t>
      </w:r>
      <w:r>
        <w:rPr>
          <w:spacing w:val="-17"/>
        </w:rPr>
        <w:t>股。于 </w:t>
      </w:r>
      <w:r>
        <w:rPr>
          <w:rFonts w:ascii="Arial MT" w:eastAsia="Arial MT"/>
        </w:rPr>
        <w:t>2022</w:t>
      </w:r>
      <w:r>
        <w:rPr>
          <w:rFonts w:ascii="Arial MT" w:eastAsia="Arial MT"/>
          <w:spacing w:val="-23"/>
        </w:rPr>
        <w:t> </w:t>
      </w:r>
      <w:r>
        <w:rPr>
          <w:spacing w:val="-34"/>
        </w:rPr>
        <w:t>年 </w:t>
      </w:r>
      <w:r>
        <w:rPr>
          <w:rFonts w:ascii="Arial MT" w:eastAsia="Arial MT"/>
        </w:rPr>
        <w:t>12</w:t>
      </w:r>
      <w:r>
        <w:rPr>
          <w:rFonts w:ascii="Arial MT" w:eastAsia="Arial MT"/>
          <w:spacing w:val="-21"/>
        </w:rPr>
        <w:t> </w:t>
      </w:r>
      <w:r>
        <w:rPr>
          <w:spacing w:val="-35"/>
        </w:rPr>
        <w:t>月 </w:t>
      </w:r>
      <w:r>
        <w:rPr>
          <w:rFonts w:ascii="Arial MT" w:eastAsia="Arial MT"/>
        </w:rPr>
        <w:t>31</w:t>
      </w:r>
      <w:r>
        <w:rPr>
          <w:rFonts w:ascii="Arial MT" w:eastAsia="Arial MT"/>
          <w:spacing w:val="-21"/>
        </w:rPr>
        <w:t> </w:t>
      </w:r>
      <w:r>
        <w:rPr/>
        <w:t>日，</w:t>
      </w:r>
      <w:r>
        <w:rPr>
          <w:rFonts w:ascii="Arial MT" w:eastAsia="Arial MT"/>
        </w:rPr>
        <w:t>28,540</w:t>
      </w:r>
      <w:r>
        <w:rPr>
          <w:rFonts w:ascii="Arial MT" w:eastAsia="Arial MT"/>
          <w:spacing w:val="-65"/>
        </w:rPr>
        <w:t> </w:t>
      </w:r>
      <w:r>
        <w:rPr/>
        <w:t>股尚未完成回购登记手续。</w:t>
      </w:r>
    </w:p>
    <w:p>
      <w:pPr>
        <w:pStyle w:val="BodyText"/>
        <w:spacing w:before="3"/>
        <w:ind w:left="0"/>
      </w:pPr>
    </w:p>
    <w:p>
      <w:pPr>
        <w:pStyle w:val="Heading3"/>
        <w:ind w:left="1038"/>
      </w:pPr>
      <w:r>
        <w:rPr>
          <w:spacing w:val="6"/>
          <w:w w:val="95"/>
        </w:rPr>
        <w:t>基于本集团的 </w:t>
      </w:r>
      <w:r>
        <w:rPr>
          <w:rFonts w:ascii="Arial MT" w:eastAsia="Arial MT"/>
          <w:w w:val="95"/>
        </w:rPr>
        <w:t>2022</w:t>
      </w:r>
      <w:r>
        <w:rPr>
          <w:rFonts w:ascii="Arial MT" w:eastAsia="Arial MT"/>
          <w:spacing w:val="77"/>
        </w:rPr>
        <w:t> </w:t>
      </w:r>
      <w:r>
        <w:rPr>
          <w:spacing w:val="5"/>
          <w:w w:val="95"/>
        </w:rPr>
        <w:t>年的业绩情况和 </w:t>
      </w:r>
      <w:r>
        <w:rPr>
          <w:rFonts w:ascii="Arial MT" w:eastAsia="Arial MT"/>
          <w:w w:val="95"/>
        </w:rPr>
        <w:t>2023</w:t>
      </w:r>
      <w:r>
        <w:rPr>
          <w:rFonts w:ascii="Arial MT" w:eastAsia="Arial MT"/>
          <w:spacing w:val="77"/>
        </w:rPr>
        <w:t> </w:t>
      </w:r>
      <w:r>
        <w:rPr>
          <w:w w:val="95"/>
        </w:rPr>
        <w:t>年的盈利预测，本集团预计能够满</w:t>
      </w:r>
    </w:p>
    <w:p>
      <w:pPr>
        <w:pStyle w:val="Heading3"/>
        <w:spacing w:line="242" w:lineRule="auto" w:before="4"/>
        <w:ind w:left="1038" w:right="1364"/>
      </w:pPr>
      <w:r>
        <w:rPr>
          <w:spacing w:val="-3"/>
        </w:rPr>
        <w:t>足第四个及第五个解除限售期的业绩条件。因此，于 </w:t>
      </w:r>
      <w:r>
        <w:rPr>
          <w:rFonts w:ascii="Arial MT" w:eastAsia="Arial MT"/>
        </w:rPr>
        <w:t>2022</w:t>
      </w:r>
      <w:r>
        <w:rPr>
          <w:rFonts w:ascii="Arial MT" w:eastAsia="Arial MT"/>
          <w:spacing w:val="6"/>
        </w:rPr>
        <w:t> </w:t>
      </w:r>
      <w:r>
        <w:rPr>
          <w:spacing w:val="-18"/>
        </w:rPr>
        <w:t>年 </w:t>
      </w:r>
      <w:r>
        <w:rPr>
          <w:rFonts w:ascii="Arial MT" w:eastAsia="Arial MT"/>
        </w:rPr>
        <w:t>12</w:t>
      </w:r>
      <w:r>
        <w:rPr>
          <w:rFonts w:ascii="Arial MT" w:eastAsia="Arial MT"/>
          <w:spacing w:val="8"/>
        </w:rPr>
        <w:t> </w:t>
      </w:r>
      <w:r>
        <w:rPr>
          <w:spacing w:val="-20"/>
        </w:rPr>
        <w:t>月 </w:t>
      </w:r>
      <w:r>
        <w:rPr>
          <w:rFonts w:ascii="Arial MT" w:eastAsia="Arial MT"/>
        </w:rPr>
        <w:t>31</w:t>
      </w:r>
      <w:r>
        <w:rPr>
          <w:rFonts w:ascii="Arial MT" w:eastAsia="Arial MT"/>
          <w:spacing w:val="8"/>
        </w:rPr>
        <w:t> </w:t>
      </w:r>
      <w:r>
        <w:rPr/>
        <w:t>日，</w:t>
      </w:r>
      <w:r>
        <w:rPr>
          <w:spacing w:val="-118"/>
        </w:rPr>
        <w:t> </w:t>
      </w:r>
      <w:r>
        <w:rPr>
          <w:spacing w:val="-4"/>
        </w:rPr>
        <w:t>本集团预计剩余最终可解除限售的股份数量为 </w:t>
      </w:r>
      <w:r>
        <w:rPr>
          <w:rFonts w:ascii="Arial MT" w:eastAsia="Arial MT"/>
        </w:rPr>
        <w:t>2,909,267</w:t>
      </w:r>
      <w:r>
        <w:rPr>
          <w:rFonts w:ascii="Arial MT" w:eastAsia="Arial MT"/>
          <w:spacing w:val="-10"/>
        </w:rPr>
        <w:t> </w:t>
      </w:r>
      <w:r>
        <w:rPr/>
        <w:t>股。</w:t>
      </w:r>
      <w:r>
        <w:rPr>
          <w:rFonts w:ascii="Arial MT" w:eastAsia="Arial MT"/>
        </w:rPr>
        <w:t>2022</w:t>
      </w:r>
      <w:r>
        <w:rPr>
          <w:rFonts w:ascii="Arial MT" w:eastAsia="Arial MT"/>
          <w:spacing w:val="-11"/>
        </w:rPr>
        <w:t> </w:t>
      </w:r>
      <w:r>
        <w:rPr/>
        <w:t>年度，因</w:t>
      </w:r>
      <w:r>
        <w:rPr>
          <w:spacing w:val="-5"/>
        </w:rPr>
        <w:t>上述股份支付而确认的费用金额为 </w:t>
      </w:r>
      <w:r>
        <w:rPr>
          <w:rFonts w:ascii="Arial MT" w:eastAsia="Arial MT"/>
        </w:rPr>
        <w:t>9,086</w:t>
      </w:r>
      <w:r>
        <w:rPr>
          <w:rFonts w:ascii="Arial MT" w:eastAsia="Arial MT"/>
          <w:spacing w:val="-10"/>
        </w:rPr>
        <w:t> </w:t>
      </w:r>
      <w:r>
        <w:rPr/>
        <w:t>千元</w:t>
      </w:r>
      <w:r>
        <w:rPr>
          <w:rFonts w:ascii="Arial MT" w:eastAsia="Arial MT"/>
        </w:rPr>
        <w:t>(2021</w:t>
      </w:r>
      <w:r>
        <w:rPr>
          <w:rFonts w:ascii="Arial MT" w:eastAsia="Arial MT"/>
          <w:spacing w:val="-11"/>
        </w:rPr>
        <w:t> </w:t>
      </w:r>
      <w:r>
        <w:rPr/>
        <w:t>年度：</w:t>
      </w:r>
      <w:r>
        <w:rPr>
          <w:rFonts w:ascii="Arial MT" w:eastAsia="Arial MT"/>
        </w:rPr>
        <w:t>16,230</w:t>
      </w:r>
      <w:r>
        <w:rPr>
          <w:rFonts w:ascii="Arial MT" w:eastAsia="Arial MT"/>
          <w:spacing w:val="-9"/>
        </w:rPr>
        <w:t> </w:t>
      </w:r>
      <w:r>
        <w:rPr/>
        <w:t>千元</w:t>
      </w:r>
      <w:r>
        <w:rPr>
          <w:rFonts w:ascii="Arial MT" w:eastAsia="Arial MT"/>
        </w:rPr>
        <w:t>)</w:t>
      </w:r>
      <w:r>
        <w:rPr/>
        <w:t>，计</w:t>
      </w:r>
      <w:r>
        <w:rPr>
          <w:spacing w:val="-7"/>
        </w:rPr>
        <w:t>入资本公积的金额为 </w:t>
      </w:r>
      <w:r>
        <w:rPr>
          <w:rFonts w:ascii="Arial MT" w:eastAsia="Arial MT"/>
          <w:spacing w:val="-1"/>
        </w:rPr>
        <w:t>9,086</w:t>
      </w:r>
      <w:r>
        <w:rPr>
          <w:rFonts w:ascii="Arial MT" w:eastAsia="Arial MT"/>
          <w:spacing w:val="-13"/>
        </w:rPr>
        <w:t> </w:t>
      </w:r>
      <w:r>
        <w:rPr/>
        <w:t>千元</w:t>
      </w:r>
      <w:r>
        <w:rPr>
          <w:rFonts w:ascii="Arial MT" w:eastAsia="Arial MT"/>
        </w:rPr>
        <w:t>(2021</w:t>
      </w:r>
      <w:r>
        <w:rPr>
          <w:rFonts w:ascii="Arial MT" w:eastAsia="Arial MT"/>
          <w:spacing w:val="-13"/>
        </w:rPr>
        <w:t> </w:t>
      </w:r>
      <w:r>
        <w:rPr/>
        <w:t>年度：</w:t>
      </w:r>
      <w:r>
        <w:rPr>
          <w:rFonts w:ascii="Arial MT" w:eastAsia="Arial MT"/>
        </w:rPr>
        <w:t>16,230</w:t>
      </w:r>
      <w:r>
        <w:rPr>
          <w:rFonts w:ascii="Arial MT" w:eastAsia="Arial MT"/>
          <w:spacing w:val="-13"/>
        </w:rPr>
        <w:t> </w:t>
      </w:r>
      <w:r>
        <w:rPr/>
        <w:t>千元</w:t>
      </w:r>
      <w:r>
        <w:rPr>
          <w:rFonts w:ascii="Arial MT" w:eastAsia="Arial MT"/>
        </w:rPr>
        <w:t>)</w:t>
      </w:r>
      <w:r>
        <w:rPr/>
        <w:t>。</w:t>
      </w:r>
    </w:p>
    <w:p>
      <w:pPr>
        <w:pStyle w:val="BodyText"/>
        <w:spacing w:before="10"/>
        <w:ind w:left="0"/>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6"/>
        <w:gridCol w:w="1691"/>
        <w:gridCol w:w="5357"/>
        <w:gridCol w:w="1367"/>
      </w:tblGrid>
      <w:tr>
        <w:trPr>
          <w:trHeight w:val="2832" w:hRule="atLeast"/>
        </w:trPr>
        <w:tc>
          <w:tcPr>
            <w:tcW w:w="726" w:type="dxa"/>
          </w:tcPr>
          <w:p>
            <w:pPr>
              <w:pStyle w:val="TableParagraph"/>
              <w:spacing w:line="268" w:lineRule="exact"/>
              <w:ind w:left="200"/>
              <w:rPr>
                <w:rFonts w:ascii="Arial MT"/>
                <w:sz w:val="24"/>
              </w:rPr>
            </w:pPr>
            <w:r>
              <w:rPr>
                <w:rFonts w:ascii="Arial MT"/>
                <w:sz w:val="24"/>
              </w:rPr>
              <w:t>(iv)</w:t>
            </w:r>
          </w:p>
        </w:tc>
        <w:tc>
          <w:tcPr>
            <w:tcW w:w="8415" w:type="dxa"/>
            <w:gridSpan w:val="3"/>
          </w:tcPr>
          <w:p>
            <w:pPr>
              <w:pStyle w:val="TableParagraph"/>
              <w:spacing w:line="300" w:lineRule="exact"/>
              <w:ind w:left="193"/>
              <w:jc w:val="both"/>
              <w:rPr>
                <w:sz w:val="24"/>
              </w:rPr>
            </w:pPr>
            <w:r>
              <w:rPr>
                <w:spacing w:val="-1"/>
                <w:sz w:val="24"/>
              </w:rPr>
              <w:t>本公司根据《激励计划</w:t>
            </w:r>
            <w:r>
              <w:rPr>
                <w:rFonts w:ascii="Arial MT" w:eastAsia="Arial MT"/>
                <w:sz w:val="24"/>
              </w:rPr>
              <w:t>(</w:t>
            </w:r>
            <w:r>
              <w:rPr>
                <w:sz w:val="24"/>
              </w:rPr>
              <w:t>草案修订稿</w:t>
            </w:r>
            <w:r>
              <w:rPr>
                <w:rFonts w:ascii="Arial MT" w:eastAsia="Arial MT"/>
                <w:sz w:val="24"/>
              </w:rPr>
              <w:t>)</w:t>
            </w:r>
            <w:r>
              <w:rPr>
                <w:spacing w:val="-5"/>
                <w:sz w:val="24"/>
              </w:rPr>
              <w:t>》的相关规定和本公司 </w:t>
            </w:r>
            <w:r>
              <w:rPr>
                <w:rFonts w:ascii="Arial MT" w:eastAsia="Arial MT"/>
                <w:sz w:val="24"/>
              </w:rPr>
              <w:t>2019</w:t>
            </w:r>
            <w:r>
              <w:rPr>
                <w:rFonts w:ascii="Arial MT" w:eastAsia="Arial MT"/>
                <w:spacing w:val="-8"/>
                <w:sz w:val="24"/>
              </w:rPr>
              <w:t> </w:t>
            </w:r>
            <w:r>
              <w:rPr>
                <w:sz w:val="24"/>
              </w:rPr>
              <w:t>年第一次临</w:t>
            </w:r>
          </w:p>
          <w:p>
            <w:pPr>
              <w:pStyle w:val="TableParagraph"/>
              <w:spacing w:line="300" w:lineRule="exact"/>
              <w:ind w:left="193"/>
              <w:jc w:val="both"/>
              <w:rPr>
                <w:sz w:val="24"/>
              </w:rPr>
            </w:pPr>
            <w:r>
              <w:rPr>
                <w:spacing w:val="-5"/>
                <w:sz w:val="24"/>
              </w:rPr>
              <w:t>时股东大会授权，于 </w:t>
            </w:r>
            <w:r>
              <w:rPr>
                <w:rFonts w:ascii="Arial MT" w:eastAsia="Arial MT"/>
                <w:sz w:val="24"/>
              </w:rPr>
              <w:t>2019</w:t>
            </w:r>
            <w:r>
              <w:rPr>
                <w:rFonts w:ascii="Arial MT" w:eastAsia="Arial MT"/>
                <w:spacing w:val="6"/>
                <w:sz w:val="24"/>
              </w:rPr>
              <w:t> </w:t>
            </w:r>
            <w:r>
              <w:rPr>
                <w:spacing w:val="-18"/>
                <w:sz w:val="24"/>
              </w:rPr>
              <w:t>年 </w:t>
            </w:r>
            <w:r>
              <w:rPr>
                <w:rFonts w:ascii="Arial MT" w:eastAsia="Arial MT"/>
                <w:sz w:val="24"/>
              </w:rPr>
              <w:t>12</w:t>
            </w:r>
            <w:r>
              <w:rPr>
                <w:rFonts w:ascii="Arial MT" w:eastAsia="Arial MT"/>
                <w:spacing w:val="3"/>
                <w:sz w:val="24"/>
              </w:rPr>
              <w:t> </w:t>
            </w:r>
            <w:r>
              <w:rPr>
                <w:spacing w:val="-18"/>
                <w:sz w:val="24"/>
              </w:rPr>
              <w:t>月 </w:t>
            </w:r>
            <w:r>
              <w:rPr>
                <w:rFonts w:ascii="Arial MT" w:eastAsia="Arial MT"/>
                <w:sz w:val="24"/>
              </w:rPr>
              <w:t>31</w:t>
            </w:r>
            <w:r>
              <w:rPr>
                <w:rFonts w:ascii="Arial MT" w:eastAsia="Arial MT"/>
                <w:spacing w:val="6"/>
                <w:sz w:val="24"/>
              </w:rPr>
              <w:t> </w:t>
            </w:r>
            <w:r>
              <w:rPr>
                <w:sz w:val="24"/>
              </w:rPr>
              <w:t>日召开董事会审议并通过《关于向公</w:t>
            </w:r>
          </w:p>
          <w:p>
            <w:pPr>
              <w:pStyle w:val="TableParagraph"/>
              <w:spacing w:line="300" w:lineRule="exact"/>
              <w:ind w:left="193"/>
              <w:jc w:val="both"/>
              <w:rPr>
                <w:sz w:val="24"/>
              </w:rPr>
            </w:pPr>
            <w:r>
              <w:rPr>
                <w:spacing w:val="12"/>
                <w:sz w:val="24"/>
              </w:rPr>
              <w:t>司 </w:t>
            </w:r>
            <w:r>
              <w:rPr>
                <w:rFonts w:ascii="Arial MT" w:eastAsia="Arial MT"/>
                <w:sz w:val="24"/>
              </w:rPr>
              <w:t>2019</w:t>
            </w:r>
            <w:r>
              <w:rPr>
                <w:rFonts w:ascii="Arial MT" w:eastAsia="Arial MT"/>
                <w:spacing w:val="58"/>
                <w:sz w:val="24"/>
              </w:rPr>
              <w:t> </w:t>
            </w:r>
            <w:r>
              <w:rPr>
                <w:sz w:val="24"/>
              </w:rPr>
              <w:t>年股票期权与限制性股票激励计划激励对象授予剩余部分预留权益</w:t>
            </w:r>
          </w:p>
          <w:p>
            <w:pPr>
              <w:pStyle w:val="TableParagraph"/>
              <w:spacing w:line="300" w:lineRule="exact"/>
              <w:ind w:left="193"/>
              <w:jc w:val="both"/>
              <w:rPr>
                <w:sz w:val="24"/>
              </w:rPr>
            </w:pPr>
            <w:r>
              <w:rPr>
                <w:spacing w:val="-11"/>
                <w:sz w:val="24"/>
              </w:rPr>
              <w:t>的议案》，拟向 </w:t>
            </w:r>
            <w:r>
              <w:rPr>
                <w:rFonts w:ascii="Arial MT" w:eastAsia="Arial MT"/>
                <w:spacing w:val="-1"/>
                <w:sz w:val="24"/>
              </w:rPr>
              <w:t>474</w:t>
            </w:r>
            <w:r>
              <w:rPr>
                <w:rFonts w:ascii="Arial MT" w:eastAsia="Arial MT"/>
                <w:spacing w:val="-25"/>
                <w:sz w:val="24"/>
              </w:rPr>
              <w:t> </w:t>
            </w:r>
            <w:r>
              <w:rPr>
                <w:spacing w:val="-6"/>
                <w:sz w:val="24"/>
              </w:rPr>
              <w:t>名限制性股票激励对象授予 </w:t>
            </w:r>
            <w:r>
              <w:rPr>
                <w:rFonts w:ascii="Arial MT" w:eastAsia="Arial MT"/>
                <w:sz w:val="24"/>
              </w:rPr>
              <w:t>18,881,226</w:t>
            </w:r>
            <w:r>
              <w:rPr>
                <w:rFonts w:ascii="Arial MT" w:eastAsia="Arial MT"/>
                <w:spacing w:val="-24"/>
                <w:sz w:val="24"/>
              </w:rPr>
              <w:t> </w:t>
            </w:r>
            <w:r>
              <w:rPr>
                <w:sz w:val="24"/>
              </w:rPr>
              <w:t>股限制性股票，</w:t>
            </w:r>
          </w:p>
          <w:p>
            <w:pPr>
              <w:pStyle w:val="TableParagraph"/>
              <w:spacing w:line="300" w:lineRule="exact"/>
              <w:ind w:left="193"/>
              <w:jc w:val="both"/>
              <w:rPr>
                <w:sz w:val="24"/>
              </w:rPr>
            </w:pPr>
            <w:r>
              <w:rPr>
                <w:spacing w:val="-6"/>
                <w:sz w:val="24"/>
              </w:rPr>
              <w:t>授予价格为每股人民币 </w:t>
            </w:r>
            <w:r>
              <w:rPr>
                <w:rFonts w:ascii="Arial MT" w:eastAsia="Arial MT"/>
                <w:spacing w:val="-1"/>
                <w:sz w:val="24"/>
              </w:rPr>
              <w:t>5.901</w:t>
            </w:r>
            <w:r>
              <w:rPr>
                <w:rFonts w:ascii="Arial MT" w:eastAsia="Arial MT"/>
                <w:spacing w:val="-10"/>
                <w:sz w:val="24"/>
              </w:rPr>
              <w:t> </w:t>
            </w:r>
            <w:r>
              <w:rPr>
                <w:spacing w:val="-11"/>
                <w:sz w:val="24"/>
              </w:rPr>
              <w:t>元。截至 </w:t>
            </w:r>
            <w:r>
              <w:rPr>
                <w:rFonts w:ascii="Arial MT" w:eastAsia="Arial MT"/>
                <w:sz w:val="24"/>
              </w:rPr>
              <w:t>2020</w:t>
            </w:r>
            <w:r>
              <w:rPr>
                <w:rFonts w:ascii="Arial MT" w:eastAsia="Arial MT"/>
                <w:spacing w:val="-10"/>
                <w:sz w:val="24"/>
              </w:rPr>
              <w:t> </w:t>
            </w:r>
            <w:r>
              <w:rPr>
                <w:spacing w:val="-28"/>
                <w:sz w:val="24"/>
              </w:rPr>
              <w:t>年 </w:t>
            </w:r>
            <w:r>
              <w:rPr>
                <w:rFonts w:ascii="Arial MT" w:eastAsia="Arial MT"/>
                <w:sz w:val="24"/>
              </w:rPr>
              <w:t>4</w:t>
            </w:r>
            <w:r>
              <w:rPr>
                <w:rFonts w:ascii="Arial MT" w:eastAsia="Arial MT"/>
                <w:spacing w:val="-10"/>
                <w:sz w:val="24"/>
              </w:rPr>
              <w:t> </w:t>
            </w:r>
            <w:r>
              <w:rPr>
                <w:spacing w:val="-28"/>
                <w:sz w:val="24"/>
              </w:rPr>
              <w:t>月 </w:t>
            </w:r>
            <w:r>
              <w:rPr>
                <w:rFonts w:ascii="Arial MT" w:eastAsia="Arial MT"/>
                <w:sz w:val="24"/>
              </w:rPr>
              <w:t>14</w:t>
            </w:r>
            <w:r>
              <w:rPr>
                <w:rFonts w:ascii="Arial MT" w:eastAsia="Arial MT"/>
                <w:spacing w:val="-9"/>
                <w:sz w:val="24"/>
              </w:rPr>
              <w:t> </w:t>
            </w:r>
            <w:r>
              <w:rPr>
                <w:sz w:val="24"/>
              </w:rPr>
              <w:t>日止，实际认购人数</w:t>
            </w:r>
          </w:p>
          <w:p>
            <w:pPr>
              <w:pStyle w:val="TableParagraph"/>
              <w:spacing w:line="300" w:lineRule="exact"/>
              <w:ind w:left="193"/>
              <w:jc w:val="both"/>
              <w:rPr>
                <w:sz w:val="24"/>
              </w:rPr>
            </w:pPr>
            <w:r>
              <w:rPr>
                <w:spacing w:val="-38"/>
                <w:sz w:val="24"/>
              </w:rPr>
              <w:t>为 </w:t>
            </w:r>
            <w:r>
              <w:rPr>
                <w:rFonts w:ascii="Arial MT" w:eastAsia="Arial MT"/>
                <w:spacing w:val="-1"/>
                <w:sz w:val="24"/>
              </w:rPr>
              <w:t>428</w:t>
            </w:r>
            <w:r>
              <w:rPr>
                <w:rFonts w:ascii="Arial MT" w:eastAsia="Arial MT"/>
                <w:spacing w:val="-24"/>
                <w:sz w:val="24"/>
              </w:rPr>
              <w:t> </w:t>
            </w:r>
            <w:r>
              <w:rPr>
                <w:spacing w:val="-12"/>
                <w:sz w:val="24"/>
              </w:rPr>
              <w:t>名，共计认购 </w:t>
            </w:r>
            <w:r>
              <w:rPr>
                <w:rFonts w:ascii="Arial MT" w:eastAsia="Arial MT"/>
                <w:spacing w:val="-1"/>
                <w:sz w:val="24"/>
              </w:rPr>
              <w:t>17,111,096</w:t>
            </w:r>
            <w:r>
              <w:rPr>
                <w:rFonts w:ascii="Arial MT" w:eastAsia="Arial MT"/>
                <w:spacing w:val="-14"/>
                <w:sz w:val="24"/>
              </w:rPr>
              <w:t> </w:t>
            </w:r>
            <w:r>
              <w:rPr>
                <w:spacing w:val="-6"/>
                <w:sz w:val="24"/>
              </w:rPr>
              <w:t>股，收到出资款合计人民币 </w:t>
            </w:r>
            <w:r>
              <w:rPr>
                <w:rFonts w:ascii="Arial MT" w:eastAsia="Arial MT"/>
                <w:sz w:val="24"/>
              </w:rPr>
              <w:t>100,973</w:t>
            </w:r>
            <w:r>
              <w:rPr>
                <w:rFonts w:ascii="Arial MT" w:eastAsia="Arial MT"/>
                <w:spacing w:val="-23"/>
                <w:sz w:val="24"/>
              </w:rPr>
              <w:t> </w:t>
            </w:r>
            <w:r>
              <w:rPr>
                <w:sz w:val="24"/>
              </w:rPr>
              <w:t>千元。</w:t>
            </w:r>
          </w:p>
          <w:p>
            <w:pPr>
              <w:pStyle w:val="TableParagraph"/>
              <w:spacing w:line="235" w:lineRule="auto" w:before="1"/>
              <w:ind w:left="193" w:right="201"/>
              <w:jc w:val="both"/>
              <w:rPr>
                <w:sz w:val="24"/>
              </w:rPr>
            </w:pPr>
            <w:r>
              <w:rPr>
                <w:spacing w:val="-2"/>
                <w:sz w:val="24"/>
              </w:rPr>
              <w:t>本公司同时就限制性股票的回购义务确认负债人民币 </w:t>
            </w:r>
            <w:r>
              <w:rPr>
                <w:rFonts w:ascii="Arial MT" w:eastAsia="Arial MT"/>
                <w:sz w:val="24"/>
              </w:rPr>
              <w:t>100,973</w:t>
            </w:r>
            <w:r>
              <w:rPr>
                <w:rFonts w:ascii="Arial MT" w:eastAsia="Arial MT"/>
                <w:spacing w:val="16"/>
                <w:sz w:val="24"/>
              </w:rPr>
              <w:t> </w:t>
            </w:r>
            <w:r>
              <w:rPr>
                <w:sz w:val="24"/>
              </w:rPr>
              <w:t>千元，做收购库存股处理。员工入股价低于授予日本公司限制性股票的公允价值的部分构成股份支付。</w:t>
            </w:r>
          </w:p>
        </w:tc>
      </w:tr>
      <w:tr>
        <w:trPr>
          <w:trHeight w:val="1528" w:hRule="atLeast"/>
        </w:trPr>
        <w:tc>
          <w:tcPr>
            <w:tcW w:w="726" w:type="dxa"/>
          </w:tcPr>
          <w:p>
            <w:pPr>
              <w:pStyle w:val="TableParagraph"/>
              <w:rPr>
                <w:rFonts w:ascii="Times New Roman"/>
                <w:sz w:val="22"/>
              </w:rPr>
            </w:pPr>
          </w:p>
        </w:tc>
        <w:tc>
          <w:tcPr>
            <w:tcW w:w="8415" w:type="dxa"/>
            <w:gridSpan w:val="3"/>
          </w:tcPr>
          <w:p>
            <w:pPr>
              <w:pStyle w:val="TableParagraph"/>
              <w:spacing w:before="139"/>
              <w:ind w:left="193"/>
              <w:jc w:val="both"/>
              <w:rPr>
                <w:rFonts w:ascii="Arial MT" w:hAnsi="Arial MT" w:eastAsia="Arial MT"/>
                <w:sz w:val="24"/>
              </w:rPr>
            </w:pPr>
            <w:r>
              <w:rPr>
                <w:spacing w:val="1"/>
                <w:w w:val="95"/>
                <w:sz w:val="24"/>
              </w:rPr>
              <w:t>本次授予的限制性股票于授予日的公允价值，根据《企业会计准则第</w:t>
            </w:r>
            <w:r>
              <w:rPr>
                <w:rFonts w:ascii="Arial MT" w:hAnsi="Arial MT" w:eastAsia="Arial MT"/>
                <w:w w:val="95"/>
                <w:sz w:val="24"/>
              </w:rPr>
              <w:t>11</w:t>
            </w:r>
            <w:r>
              <w:rPr>
                <w:rFonts w:ascii="Arial MT" w:hAnsi="Arial MT" w:eastAsia="Arial MT"/>
                <w:spacing w:val="147"/>
                <w:sz w:val="24"/>
              </w:rPr>
              <w:t>  </w:t>
            </w:r>
            <w:r>
              <w:rPr>
                <w:w w:val="95"/>
                <w:sz w:val="24"/>
              </w:rPr>
              <w:t>号</w:t>
            </w:r>
            <w:r>
              <w:rPr>
                <w:rFonts w:ascii="Arial MT" w:hAnsi="Arial MT" w:eastAsia="Arial MT"/>
                <w:w w:val="95"/>
                <w:sz w:val="24"/>
              </w:rPr>
              <w:t>—</w:t>
            </w:r>
          </w:p>
          <w:p>
            <w:pPr>
              <w:pStyle w:val="TableParagraph"/>
              <w:spacing w:line="244" w:lineRule="auto" w:before="3"/>
              <w:ind w:left="193" w:right="210"/>
              <w:jc w:val="both"/>
              <w:rPr>
                <w:sz w:val="24"/>
              </w:rPr>
            </w:pPr>
            <w:r>
              <w:rPr>
                <w:rFonts w:ascii="Arial MT" w:hAnsi="Arial MT" w:eastAsia="Arial MT"/>
                <w:sz w:val="24"/>
              </w:rPr>
              <w:t>—</w:t>
            </w:r>
            <w:r>
              <w:rPr>
                <w:sz w:val="24"/>
              </w:rPr>
              <w:t>股份支付》等规定，公司以授予日公司股票收盘价为基础，对授予的限制性股票的公允价值进行了测算，测算得出每股限制性股票的股份支付公允价</w:t>
            </w:r>
            <w:r>
              <w:rPr>
                <w:spacing w:val="-21"/>
                <w:sz w:val="24"/>
              </w:rPr>
              <w:t>值为 </w:t>
            </w:r>
            <w:r>
              <w:rPr>
                <w:rFonts w:ascii="Arial MT" w:hAnsi="Arial MT" w:eastAsia="Arial MT"/>
                <w:sz w:val="24"/>
              </w:rPr>
              <w:t>12.37</w:t>
            </w:r>
            <w:r>
              <w:rPr>
                <w:rFonts w:ascii="Arial MT" w:hAnsi="Arial MT" w:eastAsia="Arial MT"/>
                <w:spacing w:val="-13"/>
                <w:sz w:val="24"/>
              </w:rPr>
              <w:t> </w:t>
            </w:r>
            <w:r>
              <w:rPr>
                <w:sz w:val="24"/>
              </w:rPr>
              <w:t>元。</w:t>
            </w:r>
          </w:p>
        </w:tc>
      </w:tr>
      <w:tr>
        <w:trPr>
          <w:trHeight w:val="752" w:hRule="atLeast"/>
        </w:trPr>
        <w:tc>
          <w:tcPr>
            <w:tcW w:w="726" w:type="dxa"/>
          </w:tcPr>
          <w:p>
            <w:pPr>
              <w:pStyle w:val="TableParagraph"/>
              <w:rPr>
                <w:rFonts w:ascii="Times New Roman"/>
                <w:sz w:val="22"/>
              </w:rPr>
            </w:pPr>
          </w:p>
        </w:tc>
        <w:tc>
          <w:tcPr>
            <w:tcW w:w="8415" w:type="dxa"/>
            <w:gridSpan w:val="3"/>
          </w:tcPr>
          <w:p>
            <w:pPr>
              <w:pStyle w:val="TableParagraph"/>
              <w:spacing w:line="310" w:lineRule="atLeast" w:before="112"/>
              <w:ind w:left="193" w:right="210"/>
              <w:rPr>
                <w:sz w:val="24"/>
              </w:rPr>
            </w:pPr>
            <w:r>
              <w:rPr>
                <w:sz w:val="24"/>
              </w:rPr>
              <w:t>根据限制性股票激励计划的规定，持股员工受严格的服务期限制，限制性股票的解除限售期及各期解除限售时间安排如下表所示：</w:t>
            </w:r>
          </w:p>
        </w:tc>
      </w:tr>
      <w:tr>
        <w:trPr>
          <w:trHeight w:val="755" w:hRule="atLeast"/>
        </w:trPr>
        <w:tc>
          <w:tcPr>
            <w:tcW w:w="726" w:type="dxa"/>
          </w:tcPr>
          <w:p>
            <w:pPr>
              <w:pStyle w:val="TableParagraph"/>
              <w:rPr>
                <w:rFonts w:ascii="Times New Roman"/>
                <w:sz w:val="22"/>
              </w:rPr>
            </w:pPr>
          </w:p>
        </w:tc>
        <w:tc>
          <w:tcPr>
            <w:tcW w:w="1691" w:type="dxa"/>
          </w:tcPr>
          <w:p>
            <w:pPr>
              <w:pStyle w:val="TableParagraph"/>
              <w:spacing w:line="242" w:lineRule="auto" w:before="2"/>
              <w:ind w:left="729" w:right="239" w:hanging="240"/>
              <w:rPr>
                <w:sz w:val="24"/>
              </w:rPr>
            </w:pPr>
            <w:r>
              <w:rPr>
                <w:spacing w:val="-1"/>
                <w:sz w:val="24"/>
              </w:rPr>
              <w:t>解除限售</w:t>
            </w:r>
            <w:r>
              <w:rPr>
                <w:sz w:val="24"/>
              </w:rPr>
              <w:t>安排</w:t>
            </w:r>
          </w:p>
        </w:tc>
        <w:tc>
          <w:tcPr>
            <w:tcW w:w="5357" w:type="dxa"/>
          </w:tcPr>
          <w:p>
            <w:pPr>
              <w:pStyle w:val="TableParagraph"/>
              <w:spacing w:before="6"/>
              <w:rPr>
                <w:sz w:val="24"/>
              </w:rPr>
            </w:pPr>
          </w:p>
          <w:p>
            <w:pPr>
              <w:pStyle w:val="TableParagraph"/>
              <w:ind w:left="187" w:right="104"/>
              <w:jc w:val="center"/>
              <w:rPr>
                <w:sz w:val="24"/>
              </w:rPr>
            </w:pPr>
            <w:r>
              <w:rPr>
                <w:sz w:val="24"/>
              </w:rPr>
              <w:t>解除限售时间</w:t>
            </w:r>
          </w:p>
        </w:tc>
        <w:tc>
          <w:tcPr>
            <w:tcW w:w="1367" w:type="dxa"/>
          </w:tcPr>
          <w:p>
            <w:pPr>
              <w:pStyle w:val="TableParagraph"/>
              <w:spacing w:before="2"/>
              <w:ind w:right="287"/>
              <w:jc w:val="right"/>
              <w:rPr>
                <w:sz w:val="24"/>
              </w:rPr>
            </w:pPr>
            <w:r>
              <w:rPr>
                <w:sz w:val="24"/>
              </w:rPr>
              <w:t>解除限售</w:t>
            </w:r>
          </w:p>
          <w:p>
            <w:pPr>
              <w:pStyle w:val="TableParagraph"/>
              <w:spacing w:before="4"/>
              <w:ind w:right="287"/>
              <w:jc w:val="right"/>
              <w:rPr>
                <w:sz w:val="24"/>
              </w:rPr>
            </w:pPr>
            <w:r>
              <w:rPr>
                <w:sz w:val="24"/>
              </w:rPr>
              <w:t>比例</w:t>
            </w:r>
          </w:p>
        </w:tc>
      </w:tr>
      <w:tr>
        <w:trPr>
          <w:trHeight w:val="1087" w:hRule="atLeast"/>
        </w:trPr>
        <w:tc>
          <w:tcPr>
            <w:tcW w:w="726" w:type="dxa"/>
          </w:tcPr>
          <w:p>
            <w:pPr>
              <w:pStyle w:val="TableParagraph"/>
              <w:rPr>
                <w:rFonts w:ascii="Times New Roman"/>
                <w:sz w:val="22"/>
              </w:rPr>
            </w:pPr>
          </w:p>
        </w:tc>
        <w:tc>
          <w:tcPr>
            <w:tcW w:w="1691" w:type="dxa"/>
          </w:tcPr>
          <w:p>
            <w:pPr>
              <w:pStyle w:val="TableParagraph"/>
              <w:spacing w:before="11"/>
              <w:rPr>
                <w:sz w:val="34"/>
              </w:rPr>
            </w:pPr>
          </w:p>
          <w:p>
            <w:pPr>
              <w:pStyle w:val="TableParagraph"/>
              <w:spacing w:line="310" w:lineRule="atLeast"/>
              <w:ind w:left="448" w:right="55" w:hanging="255"/>
              <w:rPr>
                <w:sz w:val="24"/>
              </w:rPr>
            </w:pPr>
            <w:r>
              <w:rPr>
                <w:spacing w:val="-1"/>
                <w:sz w:val="24"/>
              </w:rPr>
              <w:t>第一个解除限</w:t>
            </w:r>
            <w:r>
              <w:rPr>
                <w:sz w:val="24"/>
              </w:rPr>
              <w:t>售期</w:t>
            </w:r>
          </w:p>
        </w:tc>
        <w:tc>
          <w:tcPr>
            <w:tcW w:w="5357" w:type="dxa"/>
          </w:tcPr>
          <w:p>
            <w:pPr>
              <w:pStyle w:val="TableParagraph"/>
              <w:spacing w:before="144"/>
              <w:ind w:left="56"/>
              <w:rPr>
                <w:sz w:val="24"/>
              </w:rPr>
            </w:pPr>
            <w:r>
              <w:rPr>
                <w:spacing w:val="7"/>
                <w:w w:val="95"/>
                <w:sz w:val="24"/>
              </w:rPr>
              <w:t>自预留部分授予日起 </w:t>
            </w:r>
            <w:r>
              <w:rPr>
                <w:rFonts w:ascii="Arial MT" w:eastAsia="Arial MT"/>
                <w:w w:val="95"/>
                <w:sz w:val="24"/>
              </w:rPr>
              <w:t>12</w:t>
            </w:r>
            <w:r>
              <w:rPr>
                <w:rFonts w:ascii="Arial MT" w:eastAsia="Arial MT"/>
                <w:spacing w:val="107"/>
                <w:sz w:val="24"/>
              </w:rPr>
              <w:t> </w:t>
            </w:r>
            <w:r>
              <w:rPr>
                <w:w w:val="95"/>
                <w:sz w:val="24"/>
              </w:rPr>
              <w:t>个月后的首个交易日起至</w:t>
            </w:r>
          </w:p>
          <w:p>
            <w:pPr>
              <w:pStyle w:val="TableParagraph"/>
              <w:spacing w:line="310" w:lineRule="atLeast"/>
              <w:ind w:left="296" w:right="119"/>
              <w:rPr>
                <w:sz w:val="24"/>
              </w:rPr>
            </w:pPr>
            <w:r>
              <w:rPr>
                <w:spacing w:val="-8"/>
                <w:sz w:val="24"/>
              </w:rPr>
              <w:t>预留部分授予日起 </w:t>
            </w:r>
            <w:r>
              <w:rPr>
                <w:rFonts w:ascii="Arial MT" w:eastAsia="Arial MT"/>
                <w:spacing w:val="-1"/>
                <w:sz w:val="24"/>
              </w:rPr>
              <w:t>24</w:t>
            </w:r>
            <w:r>
              <w:rPr>
                <w:rFonts w:ascii="Arial MT" w:eastAsia="Arial MT"/>
                <w:spacing w:val="-15"/>
                <w:sz w:val="24"/>
              </w:rPr>
              <w:t> </w:t>
            </w:r>
            <w:r>
              <w:rPr>
                <w:spacing w:val="-1"/>
                <w:sz w:val="24"/>
              </w:rPr>
              <w:t>个月内的最后一个交易日</w:t>
            </w:r>
            <w:r>
              <w:rPr>
                <w:sz w:val="24"/>
              </w:rPr>
              <w:t>当日止</w:t>
            </w:r>
          </w:p>
        </w:tc>
        <w:tc>
          <w:tcPr>
            <w:tcW w:w="1367" w:type="dxa"/>
          </w:tcPr>
          <w:p>
            <w:pPr>
              <w:pStyle w:val="TableParagraph"/>
              <w:rPr>
                <w:sz w:val="26"/>
              </w:rPr>
            </w:pPr>
          </w:p>
          <w:p>
            <w:pPr>
              <w:pStyle w:val="TableParagraph"/>
              <w:spacing w:before="3"/>
              <w:rPr>
                <w:sz w:val="36"/>
              </w:rPr>
            </w:pPr>
          </w:p>
          <w:p>
            <w:pPr>
              <w:pStyle w:val="TableParagraph"/>
              <w:spacing w:line="270" w:lineRule="exact"/>
              <w:ind w:right="284"/>
              <w:jc w:val="right"/>
              <w:rPr>
                <w:rFonts w:ascii="Arial MT"/>
                <w:sz w:val="24"/>
              </w:rPr>
            </w:pPr>
            <w:r>
              <w:rPr>
                <w:rFonts w:ascii="Arial MT"/>
                <w:sz w:val="24"/>
              </w:rPr>
              <w:t>20%</w:t>
            </w:r>
          </w:p>
        </w:tc>
      </w:tr>
      <w:tr>
        <w:trPr>
          <w:trHeight w:val="934" w:hRule="atLeast"/>
        </w:trPr>
        <w:tc>
          <w:tcPr>
            <w:tcW w:w="726" w:type="dxa"/>
          </w:tcPr>
          <w:p>
            <w:pPr>
              <w:pStyle w:val="TableParagraph"/>
              <w:rPr>
                <w:rFonts w:ascii="Times New Roman"/>
                <w:sz w:val="22"/>
              </w:rPr>
            </w:pPr>
          </w:p>
        </w:tc>
        <w:tc>
          <w:tcPr>
            <w:tcW w:w="1691" w:type="dxa"/>
          </w:tcPr>
          <w:p>
            <w:pPr>
              <w:pStyle w:val="TableParagraph"/>
              <w:spacing w:before="12"/>
              <w:rPr>
                <w:sz w:val="22"/>
              </w:rPr>
            </w:pPr>
          </w:p>
          <w:p>
            <w:pPr>
              <w:pStyle w:val="TableParagraph"/>
              <w:spacing w:line="310" w:lineRule="atLeast"/>
              <w:ind w:left="448" w:right="55" w:hanging="255"/>
              <w:rPr>
                <w:sz w:val="24"/>
              </w:rPr>
            </w:pPr>
            <w:r>
              <w:rPr>
                <w:spacing w:val="-1"/>
                <w:sz w:val="24"/>
              </w:rPr>
              <w:t>第二个解除限</w:t>
            </w:r>
            <w:r>
              <w:rPr>
                <w:sz w:val="24"/>
              </w:rPr>
              <w:t>售期</w:t>
            </w:r>
          </w:p>
        </w:tc>
        <w:tc>
          <w:tcPr>
            <w:tcW w:w="5357" w:type="dxa"/>
          </w:tcPr>
          <w:p>
            <w:pPr>
              <w:pStyle w:val="TableParagraph"/>
              <w:spacing w:line="298" w:lineRule="exact"/>
              <w:ind w:left="56"/>
              <w:rPr>
                <w:sz w:val="24"/>
              </w:rPr>
            </w:pPr>
            <w:r>
              <w:rPr>
                <w:spacing w:val="7"/>
                <w:w w:val="95"/>
                <w:sz w:val="24"/>
              </w:rPr>
              <w:t>自预留部分授予日起 </w:t>
            </w:r>
            <w:r>
              <w:rPr>
                <w:rFonts w:ascii="Arial MT" w:eastAsia="Arial MT"/>
                <w:w w:val="95"/>
                <w:sz w:val="24"/>
              </w:rPr>
              <w:t>24</w:t>
            </w:r>
            <w:r>
              <w:rPr>
                <w:rFonts w:ascii="Arial MT" w:eastAsia="Arial MT"/>
                <w:spacing w:val="107"/>
                <w:sz w:val="24"/>
              </w:rPr>
              <w:t> </w:t>
            </w:r>
            <w:r>
              <w:rPr>
                <w:w w:val="95"/>
                <w:sz w:val="24"/>
              </w:rPr>
              <w:t>个月后的首个交易日起至</w:t>
            </w:r>
          </w:p>
          <w:p>
            <w:pPr>
              <w:pStyle w:val="TableParagraph"/>
              <w:spacing w:line="310" w:lineRule="atLeast"/>
              <w:ind w:left="296" w:right="119"/>
              <w:rPr>
                <w:sz w:val="24"/>
              </w:rPr>
            </w:pPr>
            <w:r>
              <w:rPr>
                <w:spacing w:val="-8"/>
                <w:sz w:val="24"/>
              </w:rPr>
              <w:t>预留部分授予日起 </w:t>
            </w:r>
            <w:r>
              <w:rPr>
                <w:rFonts w:ascii="Arial MT" w:eastAsia="Arial MT"/>
                <w:spacing w:val="-1"/>
                <w:sz w:val="24"/>
              </w:rPr>
              <w:t>36</w:t>
            </w:r>
            <w:r>
              <w:rPr>
                <w:rFonts w:ascii="Arial MT" w:eastAsia="Arial MT"/>
                <w:spacing w:val="-15"/>
                <w:sz w:val="24"/>
              </w:rPr>
              <w:t> </w:t>
            </w:r>
            <w:r>
              <w:rPr>
                <w:spacing w:val="-1"/>
                <w:sz w:val="24"/>
              </w:rPr>
              <w:t>个月内的最后一个交易日</w:t>
            </w:r>
            <w:r>
              <w:rPr>
                <w:sz w:val="24"/>
              </w:rPr>
              <w:t>当日止</w:t>
            </w:r>
          </w:p>
        </w:tc>
        <w:tc>
          <w:tcPr>
            <w:tcW w:w="1367" w:type="dxa"/>
          </w:tcPr>
          <w:p>
            <w:pPr>
              <w:pStyle w:val="TableParagraph"/>
              <w:rPr>
                <w:sz w:val="26"/>
              </w:rPr>
            </w:pPr>
          </w:p>
          <w:p>
            <w:pPr>
              <w:pStyle w:val="TableParagraph"/>
              <w:spacing w:before="4"/>
              <w:rPr>
                <w:sz w:val="24"/>
              </w:rPr>
            </w:pPr>
          </w:p>
          <w:p>
            <w:pPr>
              <w:pStyle w:val="TableParagraph"/>
              <w:spacing w:line="270" w:lineRule="exact"/>
              <w:ind w:right="284"/>
              <w:jc w:val="right"/>
              <w:rPr>
                <w:rFonts w:ascii="Arial MT"/>
                <w:sz w:val="24"/>
              </w:rPr>
            </w:pPr>
            <w:r>
              <w:rPr>
                <w:rFonts w:ascii="Arial MT"/>
                <w:sz w:val="24"/>
              </w:rPr>
              <w:t>20%</w:t>
            </w:r>
          </w:p>
        </w:tc>
      </w:tr>
      <w:tr>
        <w:trPr>
          <w:trHeight w:val="933" w:hRule="atLeast"/>
        </w:trPr>
        <w:tc>
          <w:tcPr>
            <w:tcW w:w="726" w:type="dxa"/>
          </w:tcPr>
          <w:p>
            <w:pPr>
              <w:pStyle w:val="TableParagraph"/>
              <w:rPr>
                <w:rFonts w:ascii="Times New Roman"/>
                <w:sz w:val="22"/>
              </w:rPr>
            </w:pPr>
          </w:p>
        </w:tc>
        <w:tc>
          <w:tcPr>
            <w:tcW w:w="1691" w:type="dxa"/>
          </w:tcPr>
          <w:p>
            <w:pPr>
              <w:pStyle w:val="TableParagraph"/>
              <w:spacing w:before="11"/>
              <w:rPr>
                <w:sz w:val="22"/>
              </w:rPr>
            </w:pPr>
          </w:p>
          <w:p>
            <w:pPr>
              <w:pStyle w:val="TableParagraph"/>
              <w:spacing w:line="310" w:lineRule="atLeast"/>
              <w:ind w:left="448" w:right="55" w:hanging="255"/>
              <w:rPr>
                <w:sz w:val="24"/>
              </w:rPr>
            </w:pPr>
            <w:r>
              <w:rPr>
                <w:spacing w:val="-1"/>
                <w:sz w:val="24"/>
              </w:rPr>
              <w:t>第三个解除限</w:t>
            </w:r>
            <w:r>
              <w:rPr>
                <w:sz w:val="24"/>
              </w:rPr>
              <w:t>售期</w:t>
            </w:r>
          </w:p>
        </w:tc>
        <w:tc>
          <w:tcPr>
            <w:tcW w:w="5357" w:type="dxa"/>
          </w:tcPr>
          <w:p>
            <w:pPr>
              <w:pStyle w:val="TableParagraph"/>
              <w:spacing w:line="298" w:lineRule="exact"/>
              <w:ind w:left="56"/>
              <w:rPr>
                <w:sz w:val="24"/>
              </w:rPr>
            </w:pPr>
            <w:r>
              <w:rPr>
                <w:spacing w:val="7"/>
                <w:w w:val="95"/>
                <w:sz w:val="24"/>
              </w:rPr>
              <w:t>自预留部分授予日起 </w:t>
            </w:r>
            <w:r>
              <w:rPr>
                <w:rFonts w:ascii="Arial MT" w:eastAsia="Arial MT"/>
                <w:w w:val="95"/>
                <w:sz w:val="24"/>
              </w:rPr>
              <w:t>36</w:t>
            </w:r>
            <w:r>
              <w:rPr>
                <w:rFonts w:ascii="Arial MT" w:eastAsia="Arial MT"/>
                <w:spacing w:val="107"/>
                <w:sz w:val="24"/>
              </w:rPr>
              <w:t> </w:t>
            </w:r>
            <w:r>
              <w:rPr>
                <w:w w:val="95"/>
                <w:sz w:val="24"/>
              </w:rPr>
              <w:t>个月后的首个交易日起至</w:t>
            </w:r>
          </w:p>
          <w:p>
            <w:pPr>
              <w:pStyle w:val="TableParagraph"/>
              <w:spacing w:line="310" w:lineRule="atLeast"/>
              <w:ind w:left="296" w:right="119"/>
              <w:rPr>
                <w:sz w:val="24"/>
              </w:rPr>
            </w:pPr>
            <w:r>
              <w:rPr>
                <w:spacing w:val="-8"/>
                <w:sz w:val="24"/>
              </w:rPr>
              <w:t>预留部分授予日起 </w:t>
            </w:r>
            <w:r>
              <w:rPr>
                <w:rFonts w:ascii="Arial MT" w:eastAsia="Arial MT"/>
                <w:spacing w:val="-1"/>
                <w:sz w:val="24"/>
              </w:rPr>
              <w:t>48</w:t>
            </w:r>
            <w:r>
              <w:rPr>
                <w:rFonts w:ascii="Arial MT" w:eastAsia="Arial MT"/>
                <w:spacing w:val="-15"/>
                <w:sz w:val="24"/>
              </w:rPr>
              <w:t> </w:t>
            </w:r>
            <w:r>
              <w:rPr>
                <w:spacing w:val="-1"/>
                <w:sz w:val="24"/>
              </w:rPr>
              <w:t>个月内的最后一个交易日</w:t>
            </w:r>
            <w:r>
              <w:rPr>
                <w:sz w:val="24"/>
              </w:rPr>
              <w:t>当日止</w:t>
            </w:r>
          </w:p>
        </w:tc>
        <w:tc>
          <w:tcPr>
            <w:tcW w:w="1367" w:type="dxa"/>
          </w:tcPr>
          <w:p>
            <w:pPr>
              <w:pStyle w:val="TableParagraph"/>
              <w:rPr>
                <w:sz w:val="26"/>
              </w:rPr>
            </w:pPr>
          </w:p>
          <w:p>
            <w:pPr>
              <w:pStyle w:val="TableParagraph"/>
              <w:spacing w:before="3"/>
              <w:rPr>
                <w:sz w:val="24"/>
              </w:rPr>
            </w:pPr>
          </w:p>
          <w:p>
            <w:pPr>
              <w:pStyle w:val="TableParagraph"/>
              <w:spacing w:line="270" w:lineRule="exact"/>
              <w:ind w:right="284"/>
              <w:jc w:val="right"/>
              <w:rPr>
                <w:rFonts w:ascii="Arial MT"/>
                <w:sz w:val="24"/>
              </w:rPr>
            </w:pPr>
            <w:r>
              <w:rPr>
                <w:rFonts w:ascii="Arial MT"/>
                <w:sz w:val="24"/>
              </w:rPr>
              <w:t>20%</w:t>
            </w:r>
          </w:p>
        </w:tc>
      </w:tr>
      <w:tr>
        <w:trPr>
          <w:trHeight w:val="919" w:hRule="atLeast"/>
        </w:trPr>
        <w:tc>
          <w:tcPr>
            <w:tcW w:w="726" w:type="dxa"/>
          </w:tcPr>
          <w:p>
            <w:pPr>
              <w:pStyle w:val="TableParagraph"/>
              <w:rPr>
                <w:rFonts w:ascii="Times New Roman"/>
                <w:sz w:val="22"/>
              </w:rPr>
            </w:pPr>
          </w:p>
        </w:tc>
        <w:tc>
          <w:tcPr>
            <w:tcW w:w="1691" w:type="dxa"/>
          </w:tcPr>
          <w:p>
            <w:pPr>
              <w:pStyle w:val="TableParagraph"/>
              <w:spacing w:before="11"/>
              <w:rPr>
                <w:sz w:val="21"/>
              </w:rPr>
            </w:pPr>
          </w:p>
          <w:p>
            <w:pPr>
              <w:pStyle w:val="TableParagraph"/>
              <w:spacing w:line="310" w:lineRule="atLeast"/>
              <w:ind w:left="448" w:right="55" w:hanging="255"/>
              <w:rPr>
                <w:sz w:val="24"/>
              </w:rPr>
            </w:pPr>
            <w:r>
              <w:rPr>
                <w:spacing w:val="-1"/>
                <w:sz w:val="24"/>
              </w:rPr>
              <w:t>第四个解除限</w:t>
            </w:r>
            <w:r>
              <w:rPr>
                <w:sz w:val="24"/>
              </w:rPr>
              <w:t>售期</w:t>
            </w:r>
          </w:p>
        </w:tc>
        <w:tc>
          <w:tcPr>
            <w:tcW w:w="5357" w:type="dxa"/>
          </w:tcPr>
          <w:p>
            <w:pPr>
              <w:pStyle w:val="TableParagraph"/>
              <w:spacing w:line="298" w:lineRule="exact"/>
              <w:ind w:left="56"/>
              <w:rPr>
                <w:sz w:val="24"/>
              </w:rPr>
            </w:pPr>
            <w:r>
              <w:rPr>
                <w:spacing w:val="7"/>
                <w:w w:val="95"/>
                <w:sz w:val="24"/>
              </w:rPr>
              <w:t>自预留部分授予日起 </w:t>
            </w:r>
            <w:r>
              <w:rPr>
                <w:rFonts w:ascii="Arial MT" w:eastAsia="Arial MT"/>
                <w:w w:val="95"/>
                <w:sz w:val="24"/>
              </w:rPr>
              <w:t>48</w:t>
            </w:r>
            <w:r>
              <w:rPr>
                <w:rFonts w:ascii="Arial MT" w:eastAsia="Arial MT"/>
                <w:spacing w:val="107"/>
                <w:sz w:val="24"/>
              </w:rPr>
              <w:t> </w:t>
            </w:r>
            <w:r>
              <w:rPr>
                <w:w w:val="95"/>
                <w:sz w:val="24"/>
              </w:rPr>
              <w:t>个月后的首个交易日起至</w:t>
            </w:r>
          </w:p>
          <w:p>
            <w:pPr>
              <w:pStyle w:val="TableParagraph"/>
              <w:spacing w:line="310" w:lineRule="atLeast"/>
              <w:ind w:left="296" w:right="119"/>
              <w:rPr>
                <w:sz w:val="24"/>
              </w:rPr>
            </w:pPr>
            <w:r>
              <w:rPr>
                <w:spacing w:val="-8"/>
                <w:sz w:val="24"/>
              </w:rPr>
              <w:t>预留部分授予日起 </w:t>
            </w:r>
            <w:r>
              <w:rPr>
                <w:rFonts w:ascii="Arial MT" w:eastAsia="Arial MT"/>
                <w:spacing w:val="-1"/>
                <w:sz w:val="24"/>
              </w:rPr>
              <w:t>60</w:t>
            </w:r>
            <w:r>
              <w:rPr>
                <w:rFonts w:ascii="Arial MT" w:eastAsia="Arial MT"/>
                <w:spacing w:val="-15"/>
                <w:sz w:val="24"/>
              </w:rPr>
              <w:t> </w:t>
            </w:r>
            <w:r>
              <w:rPr>
                <w:spacing w:val="-1"/>
                <w:sz w:val="24"/>
              </w:rPr>
              <w:t>个月内的最后一个交易日</w:t>
            </w:r>
            <w:r>
              <w:rPr>
                <w:sz w:val="24"/>
              </w:rPr>
              <w:t>当日止</w:t>
            </w:r>
          </w:p>
        </w:tc>
        <w:tc>
          <w:tcPr>
            <w:tcW w:w="1367" w:type="dxa"/>
          </w:tcPr>
          <w:p>
            <w:pPr>
              <w:pStyle w:val="TableParagraph"/>
              <w:rPr>
                <w:sz w:val="26"/>
              </w:rPr>
            </w:pPr>
          </w:p>
          <w:p>
            <w:pPr>
              <w:pStyle w:val="TableParagraph"/>
              <w:spacing w:before="3"/>
              <w:rPr>
                <w:sz w:val="24"/>
              </w:rPr>
            </w:pPr>
          </w:p>
          <w:p>
            <w:pPr>
              <w:pStyle w:val="TableParagraph"/>
              <w:spacing w:line="256" w:lineRule="exact"/>
              <w:ind w:right="284"/>
              <w:jc w:val="right"/>
              <w:rPr>
                <w:rFonts w:ascii="Arial MT"/>
                <w:sz w:val="24"/>
              </w:rPr>
            </w:pPr>
            <w:r>
              <w:rPr>
                <w:rFonts w:ascii="Arial MT"/>
                <w:sz w:val="24"/>
              </w:rPr>
              <w:t>20%</w:t>
            </w:r>
          </w:p>
        </w:tc>
      </w:tr>
    </w:tbl>
    <w:p>
      <w:pPr>
        <w:spacing w:after="0" w:line="256" w:lineRule="exact"/>
        <w:jc w:val="right"/>
        <w:rPr>
          <w:rFonts w:ascii="Arial MT"/>
          <w:sz w:val="24"/>
        </w:rPr>
        <w:sectPr>
          <w:headerReference w:type="default" r:id="rId66"/>
          <w:footerReference w:type="default" r:id="rId67"/>
          <w:pgSz w:w="11910" w:h="16840"/>
          <w:pgMar w:header="882" w:footer="1195" w:top="1100" w:bottom="1380" w:left="1480" w:right="0"/>
        </w:sectPr>
      </w:pP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7"/>
        <w:gridCol w:w="5597"/>
        <w:gridCol w:w="1030"/>
      </w:tblGrid>
      <w:tr>
        <w:trPr>
          <w:trHeight w:val="1335" w:hRule="atLeast"/>
        </w:trPr>
        <w:tc>
          <w:tcPr>
            <w:tcW w:w="1697" w:type="dxa"/>
          </w:tcPr>
          <w:p>
            <w:pPr>
              <w:pStyle w:val="TableParagraph"/>
              <w:rPr>
                <w:sz w:val="24"/>
              </w:rPr>
            </w:pPr>
          </w:p>
          <w:p>
            <w:pPr>
              <w:pStyle w:val="TableParagraph"/>
              <w:spacing w:before="3"/>
              <w:rPr>
                <w:sz w:val="30"/>
              </w:rPr>
            </w:pPr>
          </w:p>
          <w:p>
            <w:pPr>
              <w:pStyle w:val="TableParagraph"/>
              <w:spacing w:line="310" w:lineRule="atLeast"/>
              <w:ind w:left="454" w:right="56" w:hanging="255"/>
              <w:rPr>
                <w:sz w:val="24"/>
              </w:rPr>
            </w:pPr>
            <w:r>
              <w:rPr>
                <w:spacing w:val="-1"/>
                <w:sz w:val="24"/>
              </w:rPr>
              <w:t>第五个解除限</w:t>
            </w:r>
            <w:r>
              <w:rPr>
                <w:sz w:val="24"/>
              </w:rPr>
              <w:t>售期</w:t>
            </w:r>
          </w:p>
        </w:tc>
        <w:tc>
          <w:tcPr>
            <w:tcW w:w="5597" w:type="dxa"/>
          </w:tcPr>
          <w:p>
            <w:pPr>
              <w:pStyle w:val="TableParagraph"/>
              <w:spacing w:before="8"/>
              <w:rPr>
                <w:sz w:val="31"/>
              </w:rPr>
            </w:pPr>
          </w:p>
          <w:p>
            <w:pPr>
              <w:pStyle w:val="TableParagraph"/>
              <w:ind w:left="56"/>
              <w:rPr>
                <w:sz w:val="24"/>
              </w:rPr>
            </w:pPr>
            <w:r>
              <w:rPr>
                <w:spacing w:val="7"/>
                <w:w w:val="95"/>
                <w:sz w:val="24"/>
              </w:rPr>
              <w:t>自预留部分授予日起 </w:t>
            </w:r>
            <w:r>
              <w:rPr>
                <w:rFonts w:ascii="Arial MT" w:eastAsia="Arial MT"/>
                <w:w w:val="95"/>
                <w:sz w:val="24"/>
              </w:rPr>
              <w:t>60</w:t>
            </w:r>
            <w:r>
              <w:rPr>
                <w:rFonts w:ascii="Arial MT" w:eastAsia="Arial MT"/>
                <w:spacing w:val="107"/>
                <w:sz w:val="24"/>
              </w:rPr>
              <w:t> </w:t>
            </w:r>
            <w:r>
              <w:rPr>
                <w:w w:val="95"/>
                <w:sz w:val="24"/>
              </w:rPr>
              <w:t>个月后的首个交易日起至</w:t>
            </w:r>
          </w:p>
          <w:p>
            <w:pPr>
              <w:pStyle w:val="TableParagraph"/>
              <w:spacing w:line="310" w:lineRule="atLeast"/>
              <w:ind w:left="296" w:right="360"/>
              <w:rPr>
                <w:sz w:val="24"/>
              </w:rPr>
            </w:pPr>
            <w:r>
              <w:rPr>
                <w:spacing w:val="-8"/>
                <w:sz w:val="24"/>
              </w:rPr>
              <w:t>预留部分授予日起 </w:t>
            </w:r>
            <w:r>
              <w:rPr>
                <w:rFonts w:ascii="Arial MT" w:eastAsia="Arial MT"/>
                <w:spacing w:val="-1"/>
                <w:sz w:val="24"/>
              </w:rPr>
              <w:t>72</w:t>
            </w:r>
            <w:r>
              <w:rPr>
                <w:rFonts w:ascii="Arial MT" w:eastAsia="Arial MT"/>
                <w:spacing w:val="-15"/>
                <w:sz w:val="24"/>
              </w:rPr>
              <w:t> </w:t>
            </w:r>
            <w:r>
              <w:rPr>
                <w:spacing w:val="-1"/>
                <w:sz w:val="24"/>
              </w:rPr>
              <w:t>个月内的最后一个交易日</w:t>
            </w:r>
            <w:r>
              <w:rPr>
                <w:sz w:val="24"/>
              </w:rPr>
              <w:t>当日止</w:t>
            </w:r>
          </w:p>
        </w:tc>
        <w:tc>
          <w:tcPr>
            <w:tcW w:w="1030" w:type="dxa"/>
          </w:tcPr>
          <w:p>
            <w:pPr>
              <w:pStyle w:val="TableParagraph"/>
              <w:rPr>
                <w:sz w:val="26"/>
              </w:rPr>
            </w:pPr>
          </w:p>
          <w:p>
            <w:pPr>
              <w:pStyle w:val="TableParagraph"/>
              <w:rPr>
                <w:sz w:val="26"/>
              </w:rPr>
            </w:pPr>
          </w:p>
          <w:p>
            <w:pPr>
              <w:pStyle w:val="TableParagraph"/>
              <w:spacing w:before="8"/>
              <w:rPr>
                <w:sz w:val="30"/>
              </w:rPr>
            </w:pPr>
          </w:p>
          <w:p>
            <w:pPr>
              <w:pStyle w:val="TableParagraph"/>
              <w:spacing w:line="256" w:lineRule="exact"/>
              <w:ind w:left="357"/>
              <w:rPr>
                <w:rFonts w:ascii="Arial MT"/>
                <w:sz w:val="24"/>
              </w:rPr>
            </w:pPr>
            <w:r>
              <w:rPr>
                <w:rFonts w:ascii="Arial MT"/>
                <w:sz w:val="24"/>
              </w:rPr>
              <w:t>20%</w:t>
            </w:r>
          </w:p>
        </w:tc>
      </w:tr>
    </w:tbl>
    <w:p>
      <w:pPr>
        <w:pStyle w:val="BodyText"/>
        <w:spacing w:before="5" w:after="27"/>
      </w:pPr>
      <w:r>
        <w:rPr>
          <w:w w:val="100"/>
        </w:rPr>
        <w:t> </w:t>
      </w: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7"/>
        <w:gridCol w:w="4031"/>
        <w:gridCol w:w="2043"/>
        <w:gridCol w:w="368"/>
        <w:gridCol w:w="1986"/>
      </w:tblGrid>
      <w:tr>
        <w:trPr>
          <w:trHeight w:val="1974" w:hRule="atLeast"/>
        </w:trPr>
        <w:tc>
          <w:tcPr>
            <w:tcW w:w="9135" w:type="dxa"/>
            <w:gridSpan w:val="5"/>
          </w:tcPr>
          <w:p>
            <w:pPr>
              <w:pStyle w:val="TableParagraph"/>
              <w:spacing w:line="285" w:lineRule="exact"/>
              <w:ind w:left="919"/>
              <w:jc w:val="both"/>
              <w:rPr>
                <w:sz w:val="24"/>
              </w:rPr>
            </w:pPr>
            <w:r>
              <w:rPr>
                <w:spacing w:val="-4"/>
                <w:sz w:val="24"/>
              </w:rPr>
              <w:t>据此，本集团确定相应的 </w:t>
            </w:r>
            <w:r>
              <w:rPr>
                <w:rFonts w:ascii="Arial MT" w:eastAsia="Arial MT"/>
                <w:sz w:val="24"/>
              </w:rPr>
              <w:t>20%</w:t>
            </w:r>
            <w:r>
              <w:rPr>
                <w:sz w:val="24"/>
              </w:rPr>
              <w:t>、</w:t>
            </w:r>
            <w:r>
              <w:rPr>
                <w:rFonts w:ascii="Arial MT" w:eastAsia="Arial MT"/>
                <w:sz w:val="24"/>
              </w:rPr>
              <w:t>20%</w:t>
            </w:r>
            <w:r>
              <w:rPr>
                <w:sz w:val="24"/>
              </w:rPr>
              <w:t>、</w:t>
            </w:r>
            <w:r>
              <w:rPr>
                <w:rFonts w:ascii="Arial MT" w:eastAsia="Arial MT"/>
                <w:sz w:val="24"/>
              </w:rPr>
              <w:t>20%</w:t>
            </w:r>
            <w:r>
              <w:rPr>
                <w:sz w:val="24"/>
              </w:rPr>
              <w:t>、</w:t>
            </w:r>
            <w:r>
              <w:rPr>
                <w:rFonts w:ascii="Arial MT" w:eastAsia="Arial MT"/>
                <w:sz w:val="24"/>
              </w:rPr>
              <w:t>20%</w:t>
            </w:r>
            <w:r>
              <w:rPr>
                <w:sz w:val="24"/>
              </w:rPr>
              <w:t>、</w:t>
            </w:r>
            <w:r>
              <w:rPr>
                <w:rFonts w:ascii="Arial MT" w:eastAsia="Arial MT"/>
                <w:sz w:val="24"/>
              </w:rPr>
              <w:t>20%</w:t>
            </w:r>
            <w:r>
              <w:rPr>
                <w:sz w:val="24"/>
              </w:rPr>
              <w:t>持股份额的股份支</w:t>
            </w:r>
          </w:p>
          <w:p>
            <w:pPr>
              <w:pStyle w:val="TableParagraph"/>
              <w:spacing w:line="242" w:lineRule="auto" w:before="4"/>
              <w:ind w:left="919" w:right="196"/>
              <w:jc w:val="both"/>
              <w:rPr>
                <w:sz w:val="24"/>
              </w:rPr>
            </w:pPr>
            <w:r>
              <w:rPr>
                <w:spacing w:val="-7"/>
                <w:sz w:val="24"/>
              </w:rPr>
              <w:t>付费用摊销期限分别为 </w:t>
            </w:r>
            <w:r>
              <w:rPr>
                <w:rFonts w:ascii="Arial MT" w:eastAsia="Arial MT"/>
                <w:spacing w:val="-1"/>
                <w:sz w:val="24"/>
              </w:rPr>
              <w:t>1</w:t>
            </w:r>
            <w:r>
              <w:rPr>
                <w:rFonts w:ascii="Arial MT" w:eastAsia="Arial MT"/>
                <w:spacing w:val="-13"/>
                <w:sz w:val="24"/>
              </w:rPr>
              <w:t> </w:t>
            </w:r>
            <w:r>
              <w:rPr>
                <w:spacing w:val="-1"/>
                <w:sz w:val="24"/>
              </w:rPr>
              <w:t>年、</w:t>
            </w:r>
            <w:r>
              <w:rPr>
                <w:rFonts w:ascii="Arial MT" w:eastAsia="Arial MT"/>
                <w:spacing w:val="-1"/>
                <w:sz w:val="24"/>
              </w:rPr>
              <w:t>2</w:t>
            </w:r>
            <w:r>
              <w:rPr>
                <w:rFonts w:ascii="Arial MT" w:eastAsia="Arial MT"/>
                <w:spacing w:val="-13"/>
                <w:sz w:val="24"/>
              </w:rPr>
              <w:t> </w:t>
            </w:r>
            <w:r>
              <w:rPr>
                <w:spacing w:val="-1"/>
                <w:sz w:val="24"/>
              </w:rPr>
              <w:t>年、</w:t>
            </w:r>
            <w:r>
              <w:rPr>
                <w:rFonts w:ascii="Arial MT" w:eastAsia="Arial MT"/>
                <w:sz w:val="24"/>
              </w:rPr>
              <w:t>3</w:t>
            </w:r>
            <w:r>
              <w:rPr>
                <w:rFonts w:ascii="Arial MT" w:eastAsia="Arial MT"/>
                <w:spacing w:val="-13"/>
                <w:sz w:val="24"/>
              </w:rPr>
              <w:t> </w:t>
            </w:r>
            <w:r>
              <w:rPr>
                <w:sz w:val="24"/>
              </w:rPr>
              <w:t>年、</w:t>
            </w:r>
            <w:r>
              <w:rPr>
                <w:rFonts w:ascii="Arial MT" w:eastAsia="Arial MT"/>
                <w:sz w:val="24"/>
              </w:rPr>
              <w:t>4</w:t>
            </w:r>
            <w:r>
              <w:rPr>
                <w:rFonts w:ascii="Arial MT" w:eastAsia="Arial MT"/>
                <w:spacing w:val="-13"/>
                <w:sz w:val="24"/>
              </w:rPr>
              <w:t> </w:t>
            </w:r>
            <w:r>
              <w:rPr>
                <w:spacing w:val="-20"/>
                <w:sz w:val="24"/>
              </w:rPr>
              <w:t>年和 </w:t>
            </w:r>
            <w:r>
              <w:rPr>
                <w:rFonts w:ascii="Arial MT" w:eastAsia="Arial MT"/>
                <w:sz w:val="24"/>
              </w:rPr>
              <w:t>5</w:t>
            </w:r>
            <w:r>
              <w:rPr>
                <w:rFonts w:ascii="Arial MT" w:eastAsia="Arial MT"/>
                <w:spacing w:val="-13"/>
                <w:sz w:val="24"/>
              </w:rPr>
              <w:t> </w:t>
            </w:r>
            <w:r>
              <w:rPr>
                <w:sz w:val="24"/>
              </w:rPr>
              <w:t>年。本集团在自授予日开</w:t>
            </w:r>
            <w:r>
              <w:rPr>
                <w:spacing w:val="-4"/>
                <w:sz w:val="24"/>
              </w:rPr>
              <w:t>始的最长 </w:t>
            </w:r>
            <w:r>
              <w:rPr>
                <w:rFonts w:ascii="Arial MT" w:eastAsia="Arial MT"/>
                <w:sz w:val="24"/>
              </w:rPr>
              <w:t>5</w:t>
            </w:r>
            <w:r>
              <w:rPr>
                <w:rFonts w:ascii="Arial MT" w:eastAsia="Arial MT"/>
                <w:spacing w:val="21"/>
                <w:sz w:val="24"/>
              </w:rPr>
              <w:t> </w:t>
            </w:r>
            <w:r>
              <w:rPr>
                <w:sz w:val="24"/>
              </w:rPr>
              <w:t>年服务期内的每个资产负债表日，根据最新取得的职工离职率、业绩指标完成情况等后续信息对预计可解除限售的股份数量作出最佳估计，</w:t>
            </w:r>
            <w:r>
              <w:rPr>
                <w:spacing w:val="-118"/>
                <w:sz w:val="24"/>
              </w:rPr>
              <w:t> </w:t>
            </w:r>
            <w:r>
              <w:rPr>
                <w:sz w:val="24"/>
              </w:rPr>
              <w:t>修正预计可解除限售的权益工具数量，并将当期取得的相应员工服务按照授予日的的公允价值计入相关成本或费用并相应调整资本公积。</w:t>
            </w:r>
          </w:p>
        </w:tc>
      </w:tr>
      <w:tr>
        <w:trPr>
          <w:trHeight w:val="1832" w:hRule="atLeast"/>
        </w:trPr>
        <w:tc>
          <w:tcPr>
            <w:tcW w:w="9135" w:type="dxa"/>
            <w:gridSpan w:val="5"/>
          </w:tcPr>
          <w:p>
            <w:pPr>
              <w:pStyle w:val="TableParagraph"/>
              <w:spacing w:line="242" w:lineRule="auto" w:before="145"/>
              <w:ind w:left="919" w:right="177"/>
              <w:jc w:val="both"/>
              <w:rPr>
                <w:sz w:val="24"/>
              </w:rPr>
            </w:pPr>
            <w:r>
              <w:rPr>
                <w:spacing w:val="-12"/>
                <w:sz w:val="24"/>
              </w:rPr>
              <w:t>基于 </w:t>
            </w:r>
            <w:r>
              <w:rPr>
                <w:rFonts w:ascii="Arial MT" w:eastAsia="Arial MT"/>
                <w:spacing w:val="-1"/>
                <w:sz w:val="24"/>
              </w:rPr>
              <w:t>2019</w:t>
            </w:r>
            <w:r>
              <w:rPr>
                <w:rFonts w:ascii="Arial MT" w:eastAsia="Arial MT"/>
                <w:spacing w:val="13"/>
                <w:sz w:val="24"/>
              </w:rPr>
              <w:t> </w:t>
            </w:r>
            <w:r>
              <w:rPr>
                <w:spacing w:val="-1"/>
                <w:sz w:val="24"/>
              </w:rPr>
              <w:t>年、</w:t>
            </w:r>
            <w:r>
              <w:rPr>
                <w:rFonts w:ascii="Arial MT" w:eastAsia="Arial MT"/>
                <w:spacing w:val="-1"/>
                <w:sz w:val="24"/>
              </w:rPr>
              <w:t>2020</w:t>
            </w:r>
            <w:r>
              <w:rPr>
                <w:rFonts w:ascii="Arial MT" w:eastAsia="Arial MT"/>
                <w:spacing w:val="11"/>
                <w:sz w:val="24"/>
              </w:rPr>
              <w:t> </w:t>
            </w:r>
            <w:r>
              <w:rPr>
                <w:spacing w:val="-11"/>
                <w:sz w:val="24"/>
              </w:rPr>
              <w:t>年及 </w:t>
            </w:r>
            <w:r>
              <w:rPr>
                <w:rFonts w:ascii="Arial MT" w:eastAsia="Arial MT"/>
                <w:sz w:val="24"/>
              </w:rPr>
              <w:t>2021</w:t>
            </w:r>
            <w:r>
              <w:rPr>
                <w:rFonts w:ascii="Arial MT" w:eastAsia="Arial MT"/>
                <w:spacing w:val="13"/>
                <w:sz w:val="24"/>
              </w:rPr>
              <w:t> </w:t>
            </w:r>
            <w:r>
              <w:rPr>
                <w:sz w:val="24"/>
              </w:rPr>
              <w:t>年的业绩情况，本集团已满足第一个、第二个、第三个解除限售期的业绩条件。因此，结合限制性股票激励对象的离职</w:t>
            </w:r>
            <w:r>
              <w:rPr>
                <w:spacing w:val="16"/>
                <w:sz w:val="24"/>
              </w:rPr>
              <w:t>情况和个人绩效考核情况，于 </w:t>
            </w:r>
            <w:r>
              <w:rPr>
                <w:rFonts w:ascii="Arial MT" w:eastAsia="Arial MT"/>
                <w:sz w:val="24"/>
              </w:rPr>
              <w:t>2022</w:t>
            </w:r>
            <w:r>
              <w:rPr>
                <w:rFonts w:ascii="Arial MT" w:eastAsia="Arial MT"/>
                <w:spacing w:val="56"/>
                <w:sz w:val="24"/>
              </w:rPr>
              <w:t> </w:t>
            </w:r>
            <w:r>
              <w:rPr>
                <w:spacing w:val="17"/>
                <w:sz w:val="24"/>
              </w:rPr>
              <w:t>年度，本集团解除限制性股票限售</w:t>
            </w:r>
            <w:r>
              <w:rPr>
                <w:rFonts w:ascii="Arial MT" w:eastAsia="Arial MT"/>
                <w:sz w:val="24"/>
              </w:rPr>
              <w:t>2,923,859</w:t>
            </w:r>
            <w:r>
              <w:rPr>
                <w:rFonts w:ascii="Arial MT" w:eastAsia="Arial MT"/>
                <w:spacing w:val="-34"/>
                <w:sz w:val="24"/>
              </w:rPr>
              <w:t> </w:t>
            </w:r>
            <w:r>
              <w:rPr>
                <w:spacing w:val="3"/>
                <w:sz w:val="24"/>
              </w:rPr>
              <w:t>股，回购限制性股票</w:t>
            </w:r>
            <w:r>
              <w:rPr>
                <w:rFonts w:ascii="Arial MT" w:eastAsia="Arial MT"/>
                <w:sz w:val="24"/>
              </w:rPr>
              <w:t>917,920</w:t>
            </w:r>
            <w:r>
              <w:rPr>
                <w:rFonts w:ascii="Arial MT" w:eastAsia="Arial MT"/>
                <w:spacing w:val="-33"/>
                <w:sz w:val="24"/>
              </w:rPr>
              <w:t> </w:t>
            </w:r>
            <w:r>
              <w:rPr>
                <w:spacing w:val="10"/>
                <w:sz w:val="24"/>
              </w:rPr>
              <w:t>股。于</w:t>
            </w:r>
            <w:r>
              <w:rPr>
                <w:rFonts w:ascii="Arial MT" w:eastAsia="Arial MT"/>
                <w:sz w:val="24"/>
              </w:rPr>
              <w:t>2022</w:t>
            </w:r>
            <w:r>
              <w:rPr>
                <w:rFonts w:ascii="Arial MT" w:eastAsia="Arial MT"/>
                <w:spacing w:val="-35"/>
                <w:sz w:val="24"/>
              </w:rPr>
              <w:t> </w:t>
            </w:r>
            <w:r>
              <w:rPr>
                <w:spacing w:val="32"/>
                <w:sz w:val="24"/>
              </w:rPr>
              <w:t>年</w:t>
            </w:r>
            <w:r>
              <w:rPr>
                <w:rFonts w:ascii="Arial MT" w:eastAsia="Arial MT"/>
                <w:sz w:val="24"/>
              </w:rPr>
              <w:t>12</w:t>
            </w:r>
            <w:r>
              <w:rPr>
                <w:rFonts w:ascii="Arial MT" w:eastAsia="Arial MT"/>
                <w:spacing w:val="-35"/>
                <w:sz w:val="24"/>
              </w:rPr>
              <w:t> </w:t>
            </w:r>
            <w:r>
              <w:rPr>
                <w:spacing w:val="32"/>
                <w:sz w:val="24"/>
              </w:rPr>
              <w:t>月</w:t>
            </w:r>
            <w:r>
              <w:rPr>
                <w:rFonts w:ascii="Arial MT" w:eastAsia="Arial MT"/>
                <w:sz w:val="24"/>
              </w:rPr>
              <w:t>31</w:t>
            </w:r>
            <w:r>
              <w:rPr>
                <w:rFonts w:ascii="Arial MT" w:eastAsia="Arial MT"/>
                <w:spacing w:val="-35"/>
                <w:sz w:val="24"/>
              </w:rPr>
              <w:t> </w:t>
            </w:r>
            <w:r>
              <w:rPr>
                <w:sz w:val="24"/>
              </w:rPr>
              <w:t>日，</w:t>
            </w:r>
            <w:r>
              <w:rPr>
                <w:rFonts w:ascii="Arial MT" w:eastAsia="Arial MT"/>
                <w:sz w:val="24"/>
              </w:rPr>
              <w:t>328,000</w:t>
            </w:r>
            <w:r>
              <w:rPr>
                <w:rFonts w:ascii="Arial MT" w:eastAsia="Arial MT"/>
                <w:spacing w:val="-65"/>
                <w:sz w:val="24"/>
              </w:rPr>
              <w:t> </w:t>
            </w:r>
            <w:r>
              <w:rPr>
                <w:sz w:val="24"/>
              </w:rPr>
              <w:t>股尚未完成回购登记手续。</w:t>
            </w:r>
          </w:p>
        </w:tc>
      </w:tr>
      <w:tr>
        <w:trPr>
          <w:trHeight w:val="1831" w:hRule="atLeast"/>
        </w:trPr>
        <w:tc>
          <w:tcPr>
            <w:tcW w:w="9135" w:type="dxa"/>
            <w:gridSpan w:val="5"/>
          </w:tcPr>
          <w:p>
            <w:pPr>
              <w:pStyle w:val="TableParagraph"/>
              <w:spacing w:before="144"/>
              <w:ind w:left="919"/>
              <w:jc w:val="both"/>
              <w:rPr>
                <w:sz w:val="24"/>
              </w:rPr>
            </w:pPr>
            <w:r>
              <w:rPr>
                <w:spacing w:val="6"/>
                <w:w w:val="95"/>
                <w:sz w:val="24"/>
              </w:rPr>
              <w:t>基于本集团的 </w:t>
            </w:r>
            <w:r>
              <w:rPr>
                <w:rFonts w:ascii="Arial MT" w:eastAsia="Arial MT"/>
                <w:w w:val="95"/>
                <w:sz w:val="24"/>
              </w:rPr>
              <w:t>2022</w:t>
            </w:r>
            <w:r>
              <w:rPr>
                <w:rFonts w:ascii="Arial MT" w:eastAsia="Arial MT"/>
                <w:spacing w:val="77"/>
                <w:sz w:val="24"/>
              </w:rPr>
              <w:t> </w:t>
            </w:r>
            <w:r>
              <w:rPr>
                <w:spacing w:val="5"/>
                <w:w w:val="95"/>
                <w:sz w:val="24"/>
              </w:rPr>
              <w:t>年的业绩情况和 </w:t>
            </w:r>
            <w:r>
              <w:rPr>
                <w:rFonts w:ascii="Arial MT" w:eastAsia="Arial MT"/>
                <w:w w:val="95"/>
                <w:sz w:val="24"/>
              </w:rPr>
              <w:t>2023</w:t>
            </w:r>
            <w:r>
              <w:rPr>
                <w:rFonts w:ascii="Arial MT" w:eastAsia="Arial MT"/>
                <w:spacing w:val="77"/>
                <w:sz w:val="24"/>
              </w:rPr>
              <w:t> </w:t>
            </w:r>
            <w:r>
              <w:rPr>
                <w:w w:val="95"/>
                <w:sz w:val="24"/>
              </w:rPr>
              <w:t>年的盈利预测，本集团预计能够满</w:t>
            </w:r>
          </w:p>
          <w:p>
            <w:pPr>
              <w:pStyle w:val="TableParagraph"/>
              <w:spacing w:line="242" w:lineRule="auto" w:before="5"/>
              <w:ind w:left="919" w:right="195"/>
              <w:jc w:val="both"/>
              <w:rPr>
                <w:sz w:val="24"/>
              </w:rPr>
            </w:pPr>
            <w:r>
              <w:rPr>
                <w:spacing w:val="1"/>
                <w:w w:val="95"/>
                <w:sz w:val="24"/>
              </w:rPr>
              <w:t>足第四个及第五个解除限售期的业绩条件。因此，于 </w:t>
            </w:r>
            <w:r>
              <w:rPr>
                <w:rFonts w:ascii="Arial MT" w:eastAsia="Arial MT"/>
                <w:w w:val="95"/>
                <w:sz w:val="24"/>
              </w:rPr>
              <w:t>2022</w:t>
            </w:r>
            <w:r>
              <w:rPr>
                <w:rFonts w:ascii="Arial MT" w:eastAsia="Arial MT"/>
                <w:spacing w:val="5"/>
                <w:w w:val="95"/>
                <w:sz w:val="24"/>
              </w:rPr>
              <w:t> </w:t>
            </w:r>
            <w:r>
              <w:rPr>
                <w:spacing w:val="16"/>
                <w:w w:val="95"/>
                <w:sz w:val="24"/>
              </w:rPr>
              <w:t>年 </w:t>
            </w:r>
            <w:r>
              <w:rPr>
                <w:rFonts w:ascii="Arial MT" w:eastAsia="Arial MT"/>
                <w:w w:val="95"/>
                <w:sz w:val="24"/>
              </w:rPr>
              <w:t>12</w:t>
            </w:r>
            <w:r>
              <w:rPr>
                <w:rFonts w:ascii="Arial MT" w:eastAsia="Arial MT"/>
                <w:spacing w:val="4"/>
                <w:w w:val="95"/>
                <w:sz w:val="24"/>
              </w:rPr>
              <w:t> </w:t>
            </w:r>
            <w:r>
              <w:rPr>
                <w:spacing w:val="16"/>
                <w:w w:val="95"/>
                <w:sz w:val="24"/>
              </w:rPr>
              <w:t>月 </w:t>
            </w:r>
            <w:r>
              <w:rPr>
                <w:rFonts w:ascii="Arial MT" w:eastAsia="Arial MT"/>
                <w:w w:val="95"/>
                <w:sz w:val="24"/>
              </w:rPr>
              <w:t>31</w:t>
            </w:r>
            <w:r>
              <w:rPr>
                <w:rFonts w:ascii="Arial MT" w:eastAsia="Arial MT"/>
                <w:spacing w:val="4"/>
                <w:w w:val="95"/>
                <w:sz w:val="24"/>
              </w:rPr>
              <w:t> </w:t>
            </w:r>
            <w:r>
              <w:rPr>
                <w:w w:val="95"/>
                <w:sz w:val="24"/>
              </w:rPr>
              <w:t>日，</w:t>
            </w:r>
            <w:r>
              <w:rPr>
                <w:spacing w:val="-112"/>
                <w:w w:val="95"/>
                <w:sz w:val="24"/>
              </w:rPr>
              <w:t> </w:t>
            </w:r>
            <w:r>
              <w:rPr>
                <w:spacing w:val="-4"/>
                <w:sz w:val="24"/>
              </w:rPr>
              <w:t>本集团预计最终可解除限售的股份数量为 </w:t>
            </w:r>
            <w:r>
              <w:rPr>
                <w:rFonts w:ascii="Arial MT" w:eastAsia="Arial MT"/>
                <w:sz w:val="24"/>
              </w:rPr>
              <w:t>5,436,255</w:t>
            </w:r>
            <w:r>
              <w:rPr>
                <w:rFonts w:ascii="Arial MT" w:eastAsia="Arial MT"/>
                <w:spacing w:val="-10"/>
                <w:sz w:val="24"/>
              </w:rPr>
              <w:t> </w:t>
            </w:r>
            <w:r>
              <w:rPr>
                <w:sz w:val="24"/>
              </w:rPr>
              <w:t>股。</w:t>
            </w:r>
            <w:r>
              <w:rPr>
                <w:rFonts w:ascii="Arial MT" w:eastAsia="Arial MT"/>
                <w:sz w:val="24"/>
              </w:rPr>
              <w:t>2022</w:t>
            </w:r>
            <w:r>
              <w:rPr>
                <w:rFonts w:ascii="Arial MT" w:eastAsia="Arial MT"/>
                <w:spacing w:val="-10"/>
                <w:sz w:val="24"/>
              </w:rPr>
              <w:t> </w:t>
            </w:r>
            <w:r>
              <w:rPr>
                <w:sz w:val="24"/>
              </w:rPr>
              <w:t>年度，因上述</w:t>
            </w:r>
            <w:r>
              <w:rPr>
                <w:spacing w:val="-6"/>
                <w:sz w:val="24"/>
              </w:rPr>
              <w:t>股份支付而确认的费用金额为 </w:t>
            </w:r>
            <w:r>
              <w:rPr>
                <w:rFonts w:ascii="Arial MT" w:eastAsia="Arial MT"/>
                <w:sz w:val="24"/>
              </w:rPr>
              <w:t>23,067</w:t>
            </w:r>
            <w:r>
              <w:rPr>
                <w:rFonts w:ascii="Arial MT" w:eastAsia="Arial MT"/>
                <w:spacing w:val="-12"/>
                <w:sz w:val="24"/>
              </w:rPr>
              <w:t> </w:t>
            </w:r>
            <w:r>
              <w:rPr>
                <w:sz w:val="24"/>
              </w:rPr>
              <w:t>千元</w:t>
            </w:r>
            <w:r>
              <w:rPr>
                <w:rFonts w:ascii="Arial MT" w:eastAsia="Arial MT"/>
                <w:sz w:val="24"/>
              </w:rPr>
              <w:t>(2021</w:t>
            </w:r>
            <w:r>
              <w:rPr>
                <w:rFonts w:ascii="Arial MT" w:eastAsia="Arial MT"/>
                <w:spacing w:val="-13"/>
                <w:sz w:val="24"/>
              </w:rPr>
              <w:t> </w:t>
            </w:r>
            <w:r>
              <w:rPr>
                <w:sz w:val="24"/>
              </w:rPr>
              <w:t>年度</w:t>
            </w:r>
            <w:r>
              <w:rPr>
                <w:rFonts w:ascii="Arial MT" w:eastAsia="Arial MT"/>
                <w:spacing w:val="-10"/>
                <w:sz w:val="24"/>
              </w:rPr>
              <w:t>: </w:t>
            </w:r>
            <w:r>
              <w:rPr>
                <w:rFonts w:ascii="Arial MT" w:eastAsia="Arial MT"/>
                <w:sz w:val="24"/>
              </w:rPr>
              <w:t>48,181</w:t>
            </w:r>
            <w:r>
              <w:rPr>
                <w:rFonts w:ascii="Arial MT" w:eastAsia="Arial MT"/>
                <w:spacing w:val="-12"/>
                <w:sz w:val="24"/>
              </w:rPr>
              <w:t> </w:t>
            </w:r>
            <w:r>
              <w:rPr>
                <w:sz w:val="24"/>
              </w:rPr>
              <w:t>千元</w:t>
            </w:r>
            <w:r>
              <w:rPr>
                <w:rFonts w:ascii="Arial MT" w:eastAsia="Arial MT"/>
                <w:sz w:val="24"/>
              </w:rPr>
              <w:t>)</w:t>
            </w:r>
            <w:r>
              <w:rPr>
                <w:sz w:val="24"/>
              </w:rPr>
              <w:t>，计入资</w:t>
            </w:r>
          </w:p>
          <w:p>
            <w:pPr>
              <w:pStyle w:val="TableParagraph"/>
              <w:spacing w:before="2"/>
              <w:ind w:left="919"/>
              <w:jc w:val="both"/>
              <w:rPr>
                <w:sz w:val="24"/>
              </w:rPr>
            </w:pPr>
            <w:r>
              <w:rPr>
                <w:spacing w:val="-9"/>
                <w:sz w:val="24"/>
              </w:rPr>
              <w:t>本公积的金额为 </w:t>
            </w:r>
            <w:r>
              <w:rPr>
                <w:rFonts w:ascii="Arial MT" w:eastAsia="Arial MT"/>
                <w:spacing w:val="-1"/>
                <w:sz w:val="24"/>
              </w:rPr>
              <w:t>23,067</w:t>
            </w:r>
            <w:r>
              <w:rPr>
                <w:rFonts w:ascii="Arial MT" w:eastAsia="Arial MT"/>
                <w:spacing w:val="2"/>
                <w:sz w:val="24"/>
              </w:rPr>
              <w:t> </w:t>
            </w:r>
            <w:r>
              <w:rPr>
                <w:sz w:val="24"/>
              </w:rPr>
              <w:t>千元</w:t>
            </w:r>
            <w:r>
              <w:rPr>
                <w:rFonts w:ascii="Arial MT" w:eastAsia="Arial MT"/>
                <w:sz w:val="24"/>
              </w:rPr>
              <w:t>(2021</w:t>
            </w:r>
            <w:r>
              <w:rPr>
                <w:rFonts w:ascii="Arial MT" w:eastAsia="Arial MT"/>
                <w:spacing w:val="-12"/>
                <w:sz w:val="24"/>
              </w:rPr>
              <w:t> </w:t>
            </w:r>
            <w:r>
              <w:rPr>
                <w:sz w:val="24"/>
              </w:rPr>
              <w:t>年度</w:t>
            </w:r>
            <w:r>
              <w:rPr>
                <w:rFonts w:ascii="Arial MT" w:eastAsia="Arial MT"/>
                <w:spacing w:val="-1"/>
                <w:sz w:val="24"/>
              </w:rPr>
              <w:t>: </w:t>
            </w:r>
            <w:r>
              <w:rPr>
                <w:rFonts w:ascii="Arial MT" w:eastAsia="Arial MT"/>
                <w:sz w:val="24"/>
              </w:rPr>
              <w:t>48,181</w:t>
            </w:r>
            <w:r>
              <w:rPr>
                <w:rFonts w:ascii="Arial MT" w:eastAsia="Arial MT"/>
                <w:spacing w:val="-12"/>
                <w:sz w:val="24"/>
              </w:rPr>
              <w:t> </w:t>
            </w:r>
            <w:r>
              <w:rPr>
                <w:sz w:val="24"/>
              </w:rPr>
              <w:t>千元</w:t>
            </w:r>
            <w:r>
              <w:rPr>
                <w:rFonts w:ascii="Arial MT" w:eastAsia="Arial MT"/>
                <w:sz w:val="24"/>
              </w:rPr>
              <w:t>)</w:t>
            </w:r>
            <w:r>
              <w:rPr>
                <w:sz w:val="24"/>
              </w:rPr>
              <w:t>。</w:t>
            </w:r>
          </w:p>
        </w:tc>
      </w:tr>
      <w:tr>
        <w:trPr>
          <w:trHeight w:val="3042" w:hRule="atLeast"/>
        </w:trPr>
        <w:tc>
          <w:tcPr>
            <w:tcW w:w="707" w:type="dxa"/>
          </w:tcPr>
          <w:p>
            <w:pPr>
              <w:pStyle w:val="TableParagraph"/>
              <w:spacing w:before="142"/>
              <w:ind w:left="200"/>
              <w:rPr>
                <w:rFonts w:ascii="Arial MT"/>
                <w:sz w:val="24"/>
              </w:rPr>
            </w:pPr>
            <w:r>
              <w:rPr>
                <w:rFonts w:ascii="Arial MT"/>
                <w:sz w:val="24"/>
              </w:rPr>
              <w:t>(v)</w:t>
            </w:r>
          </w:p>
        </w:tc>
        <w:tc>
          <w:tcPr>
            <w:tcW w:w="8428" w:type="dxa"/>
            <w:gridSpan w:val="4"/>
          </w:tcPr>
          <w:p>
            <w:pPr>
              <w:pStyle w:val="TableParagraph"/>
              <w:spacing w:line="242" w:lineRule="auto" w:before="147"/>
              <w:ind w:left="212" w:right="193"/>
              <w:jc w:val="both"/>
              <w:rPr>
                <w:sz w:val="24"/>
              </w:rPr>
            </w:pPr>
            <w:r>
              <w:rPr>
                <w:spacing w:val="-1"/>
                <w:sz w:val="24"/>
              </w:rPr>
              <w:t>根据本公司《</w:t>
            </w:r>
            <w:r>
              <w:rPr>
                <w:rFonts w:ascii="Arial MT" w:eastAsia="Arial MT"/>
                <w:sz w:val="24"/>
              </w:rPr>
              <w:t>2022</w:t>
            </w:r>
            <w:r>
              <w:rPr>
                <w:rFonts w:ascii="Arial MT" w:eastAsia="Arial MT"/>
                <w:spacing w:val="-25"/>
                <w:sz w:val="24"/>
              </w:rPr>
              <w:t> </w:t>
            </w:r>
            <w:r>
              <w:rPr>
                <w:spacing w:val="-4"/>
                <w:sz w:val="24"/>
              </w:rPr>
              <w:t>年员工持股计划》的相关规定和本公司 </w:t>
            </w:r>
            <w:r>
              <w:rPr>
                <w:rFonts w:ascii="Arial MT" w:eastAsia="Arial MT"/>
                <w:sz w:val="24"/>
              </w:rPr>
              <w:t>2021</w:t>
            </w:r>
            <w:r>
              <w:rPr>
                <w:rFonts w:ascii="Arial MT" w:eastAsia="Arial MT"/>
                <w:spacing w:val="-25"/>
                <w:sz w:val="24"/>
              </w:rPr>
              <w:t> </w:t>
            </w:r>
            <w:r>
              <w:rPr>
                <w:spacing w:val="-38"/>
                <w:sz w:val="24"/>
              </w:rPr>
              <w:t>年 </w:t>
            </w:r>
            <w:r>
              <w:rPr>
                <w:rFonts w:ascii="Arial MT" w:eastAsia="Arial MT"/>
                <w:sz w:val="24"/>
              </w:rPr>
              <w:t>9</w:t>
            </w:r>
            <w:r>
              <w:rPr>
                <w:rFonts w:ascii="Arial MT" w:eastAsia="Arial MT"/>
                <w:spacing w:val="-25"/>
                <w:sz w:val="24"/>
              </w:rPr>
              <w:t> </w:t>
            </w:r>
            <w:r>
              <w:rPr>
                <w:spacing w:val="-36"/>
                <w:sz w:val="24"/>
              </w:rPr>
              <w:t>月 </w:t>
            </w:r>
            <w:r>
              <w:rPr>
                <w:rFonts w:ascii="Arial MT" w:eastAsia="Arial MT"/>
                <w:sz w:val="24"/>
              </w:rPr>
              <w:t>22</w:t>
            </w:r>
            <w:r>
              <w:rPr>
                <w:rFonts w:ascii="Arial MT" w:eastAsia="Arial MT"/>
                <w:spacing w:val="-25"/>
                <w:sz w:val="24"/>
              </w:rPr>
              <w:t> </w:t>
            </w:r>
            <w:r>
              <w:rPr>
                <w:sz w:val="24"/>
              </w:rPr>
              <w:t>日的董事会决议，本公司计划通过回购专用证券账户回购以及通过二级市场购</w:t>
            </w:r>
            <w:r>
              <w:rPr>
                <w:spacing w:val="-2"/>
                <w:sz w:val="24"/>
              </w:rPr>
              <w:t>买等法律法规许可的方式回购本公司 </w:t>
            </w:r>
            <w:r>
              <w:rPr>
                <w:rFonts w:ascii="Arial MT" w:eastAsia="Arial MT"/>
                <w:sz w:val="24"/>
              </w:rPr>
              <w:t>A</w:t>
            </w:r>
            <w:r>
              <w:rPr>
                <w:rFonts w:ascii="Arial MT" w:eastAsia="Arial MT"/>
                <w:spacing w:val="15"/>
                <w:sz w:val="24"/>
              </w:rPr>
              <w:t> </w:t>
            </w:r>
            <w:r>
              <w:rPr>
                <w:spacing w:val="-3"/>
                <w:sz w:val="24"/>
              </w:rPr>
              <w:t>股普通股股票用于本公司 </w:t>
            </w:r>
            <w:r>
              <w:rPr>
                <w:rFonts w:ascii="Arial MT" w:eastAsia="Arial MT"/>
                <w:sz w:val="24"/>
              </w:rPr>
              <w:t>2022</w:t>
            </w:r>
            <w:r>
              <w:rPr>
                <w:rFonts w:ascii="Arial MT" w:eastAsia="Arial MT"/>
                <w:spacing w:val="15"/>
                <w:sz w:val="24"/>
              </w:rPr>
              <w:t> </w:t>
            </w:r>
            <w:r>
              <w:rPr>
                <w:sz w:val="24"/>
              </w:rPr>
              <w:t>年员工持股计划。</w:t>
            </w:r>
          </w:p>
          <w:p>
            <w:pPr>
              <w:pStyle w:val="TableParagraph"/>
              <w:spacing w:before="10"/>
              <w:rPr>
                <w:sz w:val="21"/>
              </w:rPr>
            </w:pPr>
          </w:p>
          <w:p>
            <w:pPr>
              <w:pStyle w:val="TableParagraph"/>
              <w:ind w:left="212"/>
              <w:rPr>
                <w:sz w:val="24"/>
              </w:rPr>
            </w:pPr>
            <w:r>
              <w:rPr>
                <w:rFonts w:ascii="Arial MT" w:eastAsia="Arial MT"/>
                <w:spacing w:val="-1"/>
                <w:sz w:val="24"/>
              </w:rPr>
              <w:t>2022</w:t>
            </w:r>
            <w:r>
              <w:rPr>
                <w:rFonts w:ascii="Arial MT" w:eastAsia="Arial MT"/>
                <w:spacing w:val="-21"/>
                <w:sz w:val="24"/>
              </w:rPr>
              <w:t> </w:t>
            </w:r>
            <w:r>
              <w:rPr>
                <w:spacing w:val="-5"/>
                <w:sz w:val="24"/>
              </w:rPr>
              <w:t>年度，本集团在中国境内已实际回购 </w:t>
            </w:r>
            <w:r>
              <w:rPr>
                <w:rFonts w:ascii="Arial MT" w:eastAsia="Arial MT"/>
                <w:sz w:val="24"/>
              </w:rPr>
              <w:t>125,977,669</w:t>
            </w:r>
            <w:r>
              <w:rPr>
                <w:rFonts w:ascii="Arial MT" w:eastAsia="Arial MT"/>
                <w:spacing w:val="-19"/>
                <w:sz w:val="24"/>
              </w:rPr>
              <w:t> </w:t>
            </w:r>
            <w:r>
              <w:rPr>
                <w:sz w:val="24"/>
              </w:rPr>
              <w:t>股，使用资金总额为</w:t>
            </w:r>
          </w:p>
          <w:p>
            <w:pPr>
              <w:pStyle w:val="TableParagraph"/>
              <w:spacing w:before="2"/>
              <w:ind w:left="212"/>
              <w:rPr>
                <w:sz w:val="24"/>
              </w:rPr>
            </w:pPr>
            <w:r>
              <w:rPr>
                <w:rFonts w:ascii="Arial MT" w:eastAsia="Arial MT"/>
                <w:spacing w:val="-1"/>
                <w:sz w:val="24"/>
              </w:rPr>
              <w:t>1,439,354</w:t>
            </w:r>
            <w:r>
              <w:rPr>
                <w:rFonts w:ascii="Arial MT" w:eastAsia="Arial MT"/>
                <w:spacing w:val="7"/>
                <w:sz w:val="24"/>
              </w:rPr>
              <w:t> </w:t>
            </w:r>
            <w:r>
              <w:rPr>
                <w:spacing w:val="-3"/>
                <w:sz w:val="24"/>
              </w:rPr>
              <w:t>千元；本集团在境外通过信托机构已实际回购 </w:t>
            </w:r>
            <w:r>
              <w:rPr>
                <w:rFonts w:ascii="Arial MT" w:eastAsia="Arial MT"/>
                <w:sz w:val="24"/>
              </w:rPr>
              <w:t>53,249,686</w:t>
            </w:r>
            <w:r>
              <w:rPr>
                <w:rFonts w:ascii="Arial MT" w:eastAsia="Arial MT"/>
                <w:spacing w:val="7"/>
                <w:sz w:val="24"/>
              </w:rPr>
              <w:t> </w:t>
            </w:r>
            <w:r>
              <w:rPr>
                <w:sz w:val="24"/>
              </w:rPr>
              <w:t>股，使</w:t>
            </w:r>
          </w:p>
          <w:p>
            <w:pPr>
              <w:pStyle w:val="TableParagraph"/>
              <w:spacing w:before="5"/>
              <w:ind w:left="212"/>
              <w:rPr>
                <w:sz w:val="24"/>
              </w:rPr>
            </w:pPr>
            <w:r>
              <w:rPr>
                <w:spacing w:val="-8"/>
                <w:sz w:val="24"/>
              </w:rPr>
              <w:t>用资金总额为 </w:t>
            </w:r>
            <w:r>
              <w:rPr>
                <w:rFonts w:ascii="Arial MT" w:eastAsia="Arial MT"/>
                <w:sz w:val="24"/>
              </w:rPr>
              <w:t>499,193</w:t>
            </w:r>
            <w:r>
              <w:rPr>
                <w:rFonts w:ascii="Arial MT" w:eastAsia="Arial MT"/>
                <w:spacing w:val="-3"/>
                <w:sz w:val="24"/>
              </w:rPr>
              <w:t> </w:t>
            </w:r>
            <w:r>
              <w:rPr>
                <w:spacing w:val="-8"/>
                <w:sz w:val="24"/>
              </w:rPr>
              <w:t>千元。截止 </w:t>
            </w:r>
            <w:r>
              <w:rPr>
                <w:rFonts w:ascii="Arial MT" w:eastAsia="Arial MT"/>
                <w:sz w:val="24"/>
              </w:rPr>
              <w:t>2022</w:t>
            </w:r>
            <w:r>
              <w:rPr>
                <w:rFonts w:ascii="Arial MT" w:eastAsia="Arial MT"/>
                <w:spacing w:val="-1"/>
                <w:sz w:val="24"/>
              </w:rPr>
              <w:t> </w:t>
            </w:r>
            <w:r>
              <w:rPr>
                <w:spacing w:val="-24"/>
                <w:sz w:val="24"/>
              </w:rPr>
              <w:t>年 </w:t>
            </w:r>
            <w:r>
              <w:rPr>
                <w:rFonts w:ascii="Arial MT" w:eastAsia="Arial MT"/>
                <w:sz w:val="24"/>
              </w:rPr>
              <w:t>12</w:t>
            </w:r>
            <w:r>
              <w:rPr>
                <w:rFonts w:ascii="Arial MT" w:eastAsia="Arial MT"/>
                <w:spacing w:val="-1"/>
                <w:sz w:val="24"/>
              </w:rPr>
              <w:t> </w:t>
            </w:r>
            <w:r>
              <w:rPr>
                <w:spacing w:val="-23"/>
                <w:sz w:val="24"/>
              </w:rPr>
              <w:t>月 </w:t>
            </w:r>
            <w:r>
              <w:rPr>
                <w:rFonts w:ascii="Arial MT" w:eastAsia="Arial MT"/>
                <w:sz w:val="24"/>
              </w:rPr>
              <w:t>31</w:t>
            </w:r>
            <w:r>
              <w:rPr>
                <w:rFonts w:ascii="Arial MT" w:eastAsia="Arial MT"/>
                <w:spacing w:val="-1"/>
                <w:sz w:val="24"/>
              </w:rPr>
              <w:t> </w:t>
            </w:r>
            <w:r>
              <w:rPr>
                <w:sz w:val="24"/>
              </w:rPr>
              <w:t>日，回购已完成，产生</w:t>
            </w:r>
          </w:p>
          <w:p>
            <w:pPr>
              <w:pStyle w:val="TableParagraph"/>
              <w:spacing w:before="4"/>
              <w:ind w:left="212"/>
              <w:rPr>
                <w:sz w:val="24"/>
              </w:rPr>
            </w:pPr>
            <w:r>
              <w:rPr>
                <w:spacing w:val="-15"/>
                <w:sz w:val="24"/>
              </w:rPr>
              <w:t>库存股 </w:t>
            </w:r>
            <w:r>
              <w:rPr>
                <w:rFonts w:ascii="Arial MT" w:eastAsia="Arial MT"/>
                <w:spacing w:val="-1"/>
                <w:sz w:val="24"/>
              </w:rPr>
              <w:t>1,938,547</w:t>
            </w:r>
            <w:r>
              <w:rPr>
                <w:rFonts w:ascii="Arial MT" w:eastAsia="Arial MT"/>
                <w:spacing w:val="-9"/>
                <w:sz w:val="24"/>
              </w:rPr>
              <w:t> </w:t>
            </w:r>
            <w:r>
              <w:rPr>
                <w:sz w:val="24"/>
              </w:rPr>
              <w:t>千元。于本财务报告报出日，本公司尚未完成实际授予。</w:t>
            </w:r>
          </w:p>
        </w:tc>
      </w:tr>
      <w:tr>
        <w:trPr>
          <w:trHeight w:val="578" w:hRule="atLeast"/>
        </w:trPr>
        <w:tc>
          <w:tcPr>
            <w:tcW w:w="707" w:type="dxa"/>
          </w:tcPr>
          <w:p>
            <w:pPr>
              <w:pStyle w:val="TableParagraph"/>
              <w:spacing w:before="141"/>
              <w:ind w:left="200"/>
              <w:rPr>
                <w:rFonts w:ascii="Arial MT"/>
                <w:sz w:val="24"/>
              </w:rPr>
            </w:pPr>
            <w:r>
              <w:rPr>
                <w:rFonts w:ascii="Arial MT"/>
                <w:sz w:val="24"/>
              </w:rPr>
              <w:t>(b)</w:t>
            </w:r>
          </w:p>
        </w:tc>
        <w:tc>
          <w:tcPr>
            <w:tcW w:w="4031" w:type="dxa"/>
          </w:tcPr>
          <w:p>
            <w:pPr>
              <w:pStyle w:val="TableParagraph"/>
              <w:spacing w:before="145"/>
              <w:ind w:left="212"/>
              <w:rPr>
                <w:sz w:val="24"/>
              </w:rPr>
            </w:pPr>
            <w:r>
              <w:rPr>
                <w:sz w:val="24"/>
              </w:rPr>
              <w:t>股票期权计划概况</w:t>
            </w:r>
          </w:p>
        </w:tc>
        <w:tc>
          <w:tcPr>
            <w:tcW w:w="2043" w:type="dxa"/>
          </w:tcPr>
          <w:p>
            <w:pPr>
              <w:pStyle w:val="TableParagraph"/>
              <w:rPr>
                <w:rFonts w:ascii="Times New Roman"/>
                <w:sz w:val="22"/>
              </w:rPr>
            </w:pPr>
          </w:p>
        </w:tc>
        <w:tc>
          <w:tcPr>
            <w:tcW w:w="368" w:type="dxa"/>
          </w:tcPr>
          <w:p>
            <w:pPr>
              <w:pStyle w:val="TableParagraph"/>
              <w:rPr>
                <w:rFonts w:ascii="Times New Roman"/>
                <w:sz w:val="22"/>
              </w:rPr>
            </w:pPr>
          </w:p>
        </w:tc>
        <w:tc>
          <w:tcPr>
            <w:tcW w:w="1986" w:type="dxa"/>
          </w:tcPr>
          <w:p>
            <w:pPr>
              <w:pStyle w:val="TableParagraph"/>
              <w:rPr>
                <w:rFonts w:ascii="Times New Roman"/>
                <w:sz w:val="22"/>
              </w:rPr>
            </w:pPr>
          </w:p>
        </w:tc>
      </w:tr>
      <w:tr>
        <w:trPr>
          <w:trHeight w:val="606" w:hRule="atLeast"/>
        </w:trPr>
        <w:tc>
          <w:tcPr>
            <w:tcW w:w="707" w:type="dxa"/>
          </w:tcPr>
          <w:p>
            <w:pPr>
              <w:pStyle w:val="TableParagraph"/>
              <w:spacing w:before="151"/>
              <w:ind w:left="200"/>
              <w:rPr>
                <w:rFonts w:ascii="Arial MT"/>
                <w:sz w:val="24"/>
              </w:rPr>
            </w:pPr>
            <w:r>
              <w:rPr>
                <w:rFonts w:ascii="Arial MT"/>
                <w:sz w:val="24"/>
              </w:rPr>
              <w:t>(i)</w:t>
            </w:r>
          </w:p>
        </w:tc>
        <w:tc>
          <w:tcPr>
            <w:tcW w:w="6074" w:type="dxa"/>
            <w:gridSpan w:val="2"/>
          </w:tcPr>
          <w:p>
            <w:pPr>
              <w:pStyle w:val="TableParagraph"/>
              <w:spacing w:before="155"/>
              <w:ind w:left="212"/>
              <w:rPr>
                <w:sz w:val="24"/>
              </w:rPr>
            </w:pPr>
            <w:r>
              <w:rPr>
                <w:rFonts w:ascii="Arial MT" w:eastAsia="Arial MT"/>
                <w:sz w:val="24"/>
              </w:rPr>
              <w:t>2022</w:t>
            </w:r>
            <w:r>
              <w:rPr>
                <w:rFonts w:ascii="Arial MT" w:eastAsia="Arial MT"/>
                <w:spacing w:val="-15"/>
                <w:sz w:val="24"/>
              </w:rPr>
              <w:t> </w:t>
            </w:r>
            <w:r>
              <w:rPr>
                <w:sz w:val="24"/>
              </w:rPr>
              <w:t>年度内发行在外的股票期权变动情况表</w:t>
            </w:r>
          </w:p>
        </w:tc>
        <w:tc>
          <w:tcPr>
            <w:tcW w:w="368" w:type="dxa"/>
          </w:tcPr>
          <w:p>
            <w:pPr>
              <w:pStyle w:val="TableParagraph"/>
              <w:rPr>
                <w:rFonts w:ascii="Times New Roman"/>
                <w:sz w:val="22"/>
              </w:rPr>
            </w:pPr>
          </w:p>
        </w:tc>
        <w:tc>
          <w:tcPr>
            <w:tcW w:w="1986" w:type="dxa"/>
          </w:tcPr>
          <w:p>
            <w:pPr>
              <w:pStyle w:val="TableParagraph"/>
              <w:rPr>
                <w:rFonts w:ascii="Times New Roman"/>
                <w:sz w:val="22"/>
              </w:rPr>
            </w:pPr>
          </w:p>
        </w:tc>
      </w:tr>
      <w:tr>
        <w:trPr>
          <w:trHeight w:val="446" w:hRule="atLeast"/>
        </w:trPr>
        <w:tc>
          <w:tcPr>
            <w:tcW w:w="707" w:type="dxa"/>
          </w:tcPr>
          <w:p>
            <w:pPr>
              <w:pStyle w:val="TableParagraph"/>
              <w:rPr>
                <w:rFonts w:ascii="Times New Roman"/>
                <w:sz w:val="22"/>
              </w:rPr>
            </w:pPr>
          </w:p>
        </w:tc>
        <w:tc>
          <w:tcPr>
            <w:tcW w:w="4031" w:type="dxa"/>
          </w:tcPr>
          <w:p>
            <w:pPr>
              <w:pStyle w:val="TableParagraph"/>
              <w:rPr>
                <w:rFonts w:ascii="Times New Roman"/>
                <w:sz w:val="22"/>
              </w:rPr>
            </w:pPr>
          </w:p>
        </w:tc>
        <w:tc>
          <w:tcPr>
            <w:tcW w:w="2043" w:type="dxa"/>
            <w:tcBorders>
              <w:bottom w:val="single" w:sz="12" w:space="0" w:color="000000"/>
            </w:tcBorders>
          </w:tcPr>
          <w:p>
            <w:pPr>
              <w:pStyle w:val="TableParagraph"/>
              <w:spacing w:line="289" w:lineRule="exact" w:before="137"/>
              <w:ind w:left="838"/>
              <w:rPr>
                <w:sz w:val="24"/>
              </w:rPr>
            </w:pPr>
            <w:r>
              <w:rPr>
                <w:rFonts w:ascii="Arial MT" w:eastAsia="Arial MT"/>
                <w:sz w:val="24"/>
              </w:rPr>
              <w:t>2022</w:t>
            </w:r>
            <w:r>
              <w:rPr>
                <w:rFonts w:ascii="Arial MT" w:eastAsia="Arial MT"/>
                <w:spacing w:val="-14"/>
                <w:sz w:val="24"/>
              </w:rPr>
              <w:t> </w:t>
            </w:r>
            <w:r>
              <w:rPr>
                <w:sz w:val="24"/>
              </w:rPr>
              <w:t>年度</w:t>
            </w:r>
          </w:p>
        </w:tc>
        <w:tc>
          <w:tcPr>
            <w:tcW w:w="368" w:type="dxa"/>
          </w:tcPr>
          <w:p>
            <w:pPr>
              <w:pStyle w:val="TableParagraph"/>
              <w:rPr>
                <w:rFonts w:ascii="Times New Roman"/>
                <w:sz w:val="22"/>
              </w:rPr>
            </w:pPr>
          </w:p>
        </w:tc>
        <w:tc>
          <w:tcPr>
            <w:tcW w:w="1986" w:type="dxa"/>
            <w:tcBorders>
              <w:bottom w:val="single" w:sz="12" w:space="0" w:color="000000"/>
            </w:tcBorders>
          </w:tcPr>
          <w:p>
            <w:pPr>
              <w:pStyle w:val="TableParagraph"/>
              <w:spacing w:line="289" w:lineRule="exact" w:before="137"/>
              <w:ind w:left="768"/>
              <w:rPr>
                <w:sz w:val="24"/>
              </w:rPr>
            </w:pPr>
            <w:r>
              <w:rPr>
                <w:rFonts w:ascii="Arial MT" w:eastAsia="Arial MT"/>
                <w:sz w:val="24"/>
              </w:rPr>
              <w:t>2021</w:t>
            </w:r>
            <w:r>
              <w:rPr>
                <w:rFonts w:ascii="Arial MT" w:eastAsia="Arial MT"/>
                <w:spacing w:val="-14"/>
                <w:sz w:val="24"/>
              </w:rPr>
              <w:t> </w:t>
            </w:r>
            <w:r>
              <w:rPr>
                <w:sz w:val="24"/>
              </w:rPr>
              <w:t>年度</w:t>
            </w:r>
          </w:p>
        </w:tc>
      </w:tr>
      <w:tr>
        <w:trPr>
          <w:trHeight w:val="604" w:hRule="atLeast"/>
        </w:trPr>
        <w:tc>
          <w:tcPr>
            <w:tcW w:w="707" w:type="dxa"/>
          </w:tcPr>
          <w:p>
            <w:pPr>
              <w:pStyle w:val="TableParagraph"/>
              <w:rPr>
                <w:rFonts w:ascii="Times New Roman"/>
                <w:sz w:val="22"/>
              </w:rPr>
            </w:pPr>
          </w:p>
        </w:tc>
        <w:tc>
          <w:tcPr>
            <w:tcW w:w="4031" w:type="dxa"/>
          </w:tcPr>
          <w:p>
            <w:pPr>
              <w:pStyle w:val="TableParagraph"/>
              <w:spacing w:before="8"/>
              <w:rPr>
                <w:sz w:val="21"/>
              </w:rPr>
            </w:pPr>
          </w:p>
          <w:p>
            <w:pPr>
              <w:pStyle w:val="TableParagraph"/>
              <w:spacing w:line="307" w:lineRule="exact"/>
              <w:ind w:left="212"/>
              <w:rPr>
                <w:sz w:val="24"/>
              </w:rPr>
            </w:pPr>
            <w:r>
              <w:rPr>
                <w:sz w:val="24"/>
              </w:rPr>
              <w:t>年初发行在外的股票期权份数</w:t>
            </w:r>
          </w:p>
        </w:tc>
        <w:tc>
          <w:tcPr>
            <w:tcW w:w="2043" w:type="dxa"/>
            <w:tcBorders>
              <w:top w:val="single" w:sz="12" w:space="0" w:color="000000"/>
            </w:tcBorders>
          </w:tcPr>
          <w:p>
            <w:pPr>
              <w:pStyle w:val="TableParagraph"/>
              <w:spacing w:before="1"/>
              <w:rPr>
                <w:sz w:val="24"/>
              </w:rPr>
            </w:pPr>
          </w:p>
          <w:p>
            <w:pPr>
              <w:pStyle w:val="TableParagraph"/>
              <w:spacing w:line="275" w:lineRule="exact" w:before="1"/>
              <w:ind w:left="726"/>
              <w:rPr>
                <w:rFonts w:ascii="Arial MT"/>
                <w:sz w:val="24"/>
              </w:rPr>
            </w:pPr>
            <w:r>
              <w:rPr>
                <w:rFonts w:ascii="Arial MT"/>
                <w:sz w:val="24"/>
              </w:rPr>
              <w:t>20,222,393</w:t>
            </w:r>
          </w:p>
        </w:tc>
        <w:tc>
          <w:tcPr>
            <w:tcW w:w="368" w:type="dxa"/>
          </w:tcPr>
          <w:p>
            <w:pPr>
              <w:pStyle w:val="TableParagraph"/>
              <w:rPr>
                <w:rFonts w:ascii="Times New Roman"/>
                <w:sz w:val="22"/>
              </w:rPr>
            </w:pPr>
          </w:p>
        </w:tc>
        <w:tc>
          <w:tcPr>
            <w:tcW w:w="1986" w:type="dxa"/>
            <w:tcBorders>
              <w:top w:val="single" w:sz="12" w:space="0" w:color="000000"/>
            </w:tcBorders>
          </w:tcPr>
          <w:p>
            <w:pPr>
              <w:pStyle w:val="TableParagraph"/>
              <w:spacing w:before="1"/>
              <w:rPr>
                <w:sz w:val="24"/>
              </w:rPr>
            </w:pPr>
          </w:p>
          <w:p>
            <w:pPr>
              <w:pStyle w:val="TableParagraph"/>
              <w:spacing w:line="275" w:lineRule="exact" w:before="1"/>
              <w:ind w:left="638"/>
              <w:rPr>
                <w:rFonts w:ascii="Arial MT"/>
                <w:sz w:val="24"/>
              </w:rPr>
            </w:pPr>
            <w:r>
              <w:rPr>
                <w:rFonts w:ascii="Arial MT"/>
                <w:sz w:val="24"/>
              </w:rPr>
              <w:t>27,788,881</w:t>
            </w:r>
          </w:p>
        </w:tc>
      </w:tr>
      <w:tr>
        <w:trPr>
          <w:trHeight w:val="309" w:hRule="atLeast"/>
        </w:trPr>
        <w:tc>
          <w:tcPr>
            <w:tcW w:w="707" w:type="dxa"/>
          </w:tcPr>
          <w:p>
            <w:pPr>
              <w:pStyle w:val="TableParagraph"/>
              <w:rPr>
                <w:rFonts w:ascii="Times New Roman"/>
                <w:sz w:val="22"/>
              </w:rPr>
            </w:pPr>
          </w:p>
        </w:tc>
        <w:tc>
          <w:tcPr>
            <w:tcW w:w="4031" w:type="dxa"/>
          </w:tcPr>
          <w:p>
            <w:pPr>
              <w:pStyle w:val="TableParagraph"/>
              <w:spacing w:line="290" w:lineRule="exact"/>
              <w:ind w:left="212"/>
              <w:rPr>
                <w:sz w:val="24"/>
              </w:rPr>
            </w:pPr>
            <w:r>
              <w:rPr>
                <w:sz w:val="24"/>
              </w:rPr>
              <w:t>本年授予的股票期权份数</w:t>
            </w:r>
          </w:p>
        </w:tc>
        <w:tc>
          <w:tcPr>
            <w:tcW w:w="2043" w:type="dxa"/>
          </w:tcPr>
          <w:p>
            <w:pPr>
              <w:pStyle w:val="TableParagraph"/>
              <w:spacing w:line="275" w:lineRule="exact" w:before="14"/>
              <w:ind w:right="111"/>
              <w:jc w:val="right"/>
              <w:rPr>
                <w:rFonts w:ascii="Arial MT"/>
                <w:sz w:val="24"/>
              </w:rPr>
            </w:pPr>
            <w:r>
              <w:rPr>
                <w:rFonts w:ascii="Arial MT"/>
                <w:w w:val="99"/>
                <w:sz w:val="24"/>
              </w:rPr>
              <w:t>-</w:t>
            </w:r>
          </w:p>
        </w:tc>
        <w:tc>
          <w:tcPr>
            <w:tcW w:w="368" w:type="dxa"/>
          </w:tcPr>
          <w:p>
            <w:pPr>
              <w:pStyle w:val="TableParagraph"/>
              <w:rPr>
                <w:rFonts w:ascii="Times New Roman"/>
                <w:sz w:val="22"/>
              </w:rPr>
            </w:pPr>
          </w:p>
        </w:tc>
        <w:tc>
          <w:tcPr>
            <w:tcW w:w="1986" w:type="dxa"/>
          </w:tcPr>
          <w:p>
            <w:pPr>
              <w:pStyle w:val="TableParagraph"/>
              <w:spacing w:line="275" w:lineRule="exact" w:before="14"/>
              <w:ind w:right="144"/>
              <w:jc w:val="right"/>
              <w:rPr>
                <w:rFonts w:ascii="Arial MT"/>
                <w:sz w:val="24"/>
              </w:rPr>
            </w:pPr>
            <w:r>
              <w:rPr>
                <w:rFonts w:ascii="Arial MT"/>
                <w:w w:val="99"/>
                <w:sz w:val="24"/>
              </w:rPr>
              <w:t>-</w:t>
            </w:r>
          </w:p>
        </w:tc>
      </w:tr>
      <w:tr>
        <w:trPr>
          <w:trHeight w:val="312" w:hRule="atLeast"/>
        </w:trPr>
        <w:tc>
          <w:tcPr>
            <w:tcW w:w="707" w:type="dxa"/>
          </w:tcPr>
          <w:p>
            <w:pPr>
              <w:pStyle w:val="TableParagraph"/>
              <w:rPr>
                <w:rFonts w:ascii="Times New Roman"/>
                <w:sz w:val="22"/>
              </w:rPr>
            </w:pPr>
          </w:p>
        </w:tc>
        <w:tc>
          <w:tcPr>
            <w:tcW w:w="4031" w:type="dxa"/>
          </w:tcPr>
          <w:p>
            <w:pPr>
              <w:pStyle w:val="TableParagraph"/>
              <w:spacing w:line="292" w:lineRule="exact"/>
              <w:ind w:left="212"/>
              <w:rPr>
                <w:sz w:val="24"/>
              </w:rPr>
            </w:pPr>
            <w:r>
              <w:rPr>
                <w:sz w:val="24"/>
              </w:rPr>
              <w:t>本年行权的股票期权份数</w:t>
            </w:r>
          </w:p>
        </w:tc>
        <w:tc>
          <w:tcPr>
            <w:tcW w:w="2043" w:type="dxa"/>
          </w:tcPr>
          <w:p>
            <w:pPr>
              <w:pStyle w:val="TableParagraph"/>
              <w:spacing w:line="275" w:lineRule="exact" w:before="17"/>
              <w:ind w:left="-2" w:right="1"/>
              <w:jc w:val="right"/>
              <w:rPr>
                <w:rFonts w:ascii="Arial MT"/>
                <w:sz w:val="24"/>
              </w:rPr>
            </w:pPr>
            <w:r>
              <w:rPr>
                <w:rFonts w:ascii="Arial MT"/>
                <w:sz w:val="24"/>
              </w:rPr>
              <w:t>(33,571)</w:t>
            </w:r>
          </w:p>
        </w:tc>
        <w:tc>
          <w:tcPr>
            <w:tcW w:w="368" w:type="dxa"/>
          </w:tcPr>
          <w:p>
            <w:pPr>
              <w:pStyle w:val="TableParagraph"/>
              <w:rPr>
                <w:rFonts w:ascii="Times New Roman"/>
                <w:sz w:val="22"/>
              </w:rPr>
            </w:pPr>
          </w:p>
        </w:tc>
        <w:tc>
          <w:tcPr>
            <w:tcW w:w="1986" w:type="dxa"/>
          </w:tcPr>
          <w:p>
            <w:pPr>
              <w:pStyle w:val="TableParagraph"/>
              <w:spacing w:line="275" w:lineRule="exact" w:before="17"/>
              <w:ind w:left="691"/>
              <w:rPr>
                <w:rFonts w:ascii="Arial MT"/>
                <w:sz w:val="24"/>
              </w:rPr>
            </w:pPr>
            <w:r>
              <w:rPr>
                <w:rFonts w:ascii="Arial MT"/>
                <w:sz w:val="24"/>
              </w:rPr>
              <w:t>(4,703,542)</w:t>
            </w:r>
          </w:p>
        </w:tc>
      </w:tr>
      <w:tr>
        <w:trPr>
          <w:trHeight w:val="323" w:hRule="atLeast"/>
        </w:trPr>
        <w:tc>
          <w:tcPr>
            <w:tcW w:w="707" w:type="dxa"/>
          </w:tcPr>
          <w:p>
            <w:pPr>
              <w:pStyle w:val="TableParagraph"/>
              <w:rPr>
                <w:rFonts w:ascii="Times New Roman"/>
                <w:sz w:val="22"/>
              </w:rPr>
            </w:pPr>
          </w:p>
        </w:tc>
        <w:tc>
          <w:tcPr>
            <w:tcW w:w="4031" w:type="dxa"/>
          </w:tcPr>
          <w:p>
            <w:pPr>
              <w:pStyle w:val="TableParagraph"/>
              <w:spacing w:line="293" w:lineRule="exact"/>
              <w:ind w:left="212"/>
              <w:rPr>
                <w:sz w:val="24"/>
              </w:rPr>
            </w:pPr>
            <w:r>
              <w:rPr>
                <w:sz w:val="24"/>
              </w:rPr>
              <w:t>本年失效的股票期权份数</w:t>
            </w:r>
          </w:p>
        </w:tc>
        <w:tc>
          <w:tcPr>
            <w:tcW w:w="2043" w:type="dxa"/>
          </w:tcPr>
          <w:p>
            <w:pPr>
              <w:pStyle w:val="TableParagraph"/>
              <w:tabs>
                <w:tab w:pos="1011" w:val="left" w:leader="none"/>
              </w:tabs>
              <w:spacing w:before="17"/>
              <w:ind w:left="-2" w:right="1"/>
              <w:jc w:val="right"/>
              <w:rPr>
                <w:rFonts w:ascii="Arial MT"/>
                <w:sz w:val="24"/>
              </w:rPr>
            </w:pPr>
            <w:r>
              <w:rPr>
                <w:rFonts w:ascii="Arial MT"/>
                <w:w w:val="100"/>
                <w:sz w:val="24"/>
                <w:u w:val="single"/>
              </w:rPr>
              <w:t> </w:t>
            </w:r>
            <w:r>
              <w:rPr>
                <w:rFonts w:ascii="Arial MT"/>
                <w:sz w:val="24"/>
                <w:u w:val="single"/>
              </w:rPr>
              <w:tab/>
            </w:r>
            <w:r>
              <w:rPr>
                <w:rFonts w:ascii="Arial MT"/>
                <w:spacing w:val="-1"/>
                <w:sz w:val="24"/>
                <w:u w:val="single"/>
              </w:rPr>
              <w:t>(803,123)</w:t>
            </w:r>
          </w:p>
        </w:tc>
        <w:tc>
          <w:tcPr>
            <w:tcW w:w="368" w:type="dxa"/>
          </w:tcPr>
          <w:p>
            <w:pPr>
              <w:pStyle w:val="TableParagraph"/>
              <w:rPr>
                <w:rFonts w:ascii="Times New Roman"/>
                <w:sz w:val="22"/>
              </w:rPr>
            </w:pPr>
          </w:p>
        </w:tc>
        <w:tc>
          <w:tcPr>
            <w:tcW w:w="1986" w:type="dxa"/>
          </w:tcPr>
          <w:p>
            <w:pPr>
              <w:pStyle w:val="TableParagraph"/>
              <w:tabs>
                <w:tab w:pos="691" w:val="left" w:leader="none"/>
              </w:tabs>
              <w:spacing w:before="17"/>
              <w:ind w:left="-3"/>
              <w:rPr>
                <w:rFonts w:ascii="Arial MT"/>
                <w:sz w:val="24"/>
              </w:rPr>
            </w:pPr>
            <w:r>
              <w:rPr>
                <w:rFonts w:ascii="Arial MT"/>
                <w:w w:val="100"/>
                <w:sz w:val="24"/>
                <w:u w:val="single"/>
              </w:rPr>
              <w:t> </w:t>
            </w:r>
            <w:r>
              <w:rPr>
                <w:rFonts w:ascii="Arial MT"/>
                <w:sz w:val="24"/>
                <w:u w:val="single"/>
              </w:rPr>
              <w:tab/>
            </w:r>
            <w:r>
              <w:rPr>
                <w:rFonts w:ascii="Arial MT"/>
                <w:sz w:val="24"/>
                <w:u w:val="single"/>
              </w:rPr>
              <w:t>(2,862,946)</w:t>
            </w:r>
          </w:p>
        </w:tc>
      </w:tr>
      <w:tr>
        <w:trPr>
          <w:trHeight w:val="290" w:hRule="atLeast"/>
        </w:trPr>
        <w:tc>
          <w:tcPr>
            <w:tcW w:w="707" w:type="dxa"/>
          </w:tcPr>
          <w:p>
            <w:pPr>
              <w:pStyle w:val="TableParagraph"/>
              <w:rPr>
                <w:rFonts w:ascii="Times New Roman"/>
                <w:sz w:val="20"/>
              </w:rPr>
            </w:pPr>
          </w:p>
        </w:tc>
        <w:tc>
          <w:tcPr>
            <w:tcW w:w="4031" w:type="dxa"/>
          </w:tcPr>
          <w:p>
            <w:pPr>
              <w:pStyle w:val="TableParagraph"/>
              <w:spacing w:line="271" w:lineRule="exact"/>
              <w:ind w:left="212"/>
              <w:rPr>
                <w:sz w:val="24"/>
              </w:rPr>
            </w:pPr>
            <w:r>
              <w:rPr>
                <w:sz w:val="24"/>
              </w:rPr>
              <w:t>年末发行在外的股票期权份数</w:t>
            </w:r>
          </w:p>
        </w:tc>
        <w:tc>
          <w:tcPr>
            <w:tcW w:w="2043" w:type="dxa"/>
          </w:tcPr>
          <w:p>
            <w:pPr>
              <w:pStyle w:val="TableParagraph"/>
              <w:tabs>
                <w:tab w:pos="766" w:val="left" w:leader="none"/>
              </w:tabs>
              <w:spacing w:line="256" w:lineRule="exact" w:before="14"/>
              <w:ind w:left="-2" w:right="1"/>
              <w:jc w:val="right"/>
              <w:rPr>
                <w:rFonts w:ascii="Arial MT"/>
                <w:sz w:val="24"/>
              </w:rPr>
            </w:pPr>
            <w:r>
              <w:rPr>
                <w:rFonts w:ascii="Arial MT"/>
                <w:w w:val="100"/>
                <w:sz w:val="24"/>
                <w:u w:val="thick"/>
              </w:rPr>
              <w:t> </w:t>
            </w:r>
            <w:r>
              <w:rPr>
                <w:rFonts w:ascii="Arial MT"/>
                <w:sz w:val="24"/>
                <w:u w:val="thick"/>
              </w:rPr>
              <w:tab/>
            </w:r>
            <w:r>
              <w:rPr>
                <w:rFonts w:ascii="Arial MT"/>
                <w:sz w:val="24"/>
                <w:u w:val="thick"/>
              </w:rPr>
              <w:t>19,385,699</w:t>
            </w:r>
            <w:r>
              <w:rPr>
                <w:rFonts w:ascii="Arial MT"/>
                <w:spacing w:val="5"/>
                <w:sz w:val="24"/>
                <w:u w:val="thick"/>
              </w:rPr>
              <w:t> </w:t>
            </w:r>
          </w:p>
        </w:tc>
        <w:tc>
          <w:tcPr>
            <w:tcW w:w="368" w:type="dxa"/>
          </w:tcPr>
          <w:p>
            <w:pPr>
              <w:pStyle w:val="TableParagraph"/>
              <w:rPr>
                <w:rFonts w:ascii="Times New Roman"/>
                <w:sz w:val="20"/>
              </w:rPr>
            </w:pPr>
          </w:p>
        </w:tc>
        <w:tc>
          <w:tcPr>
            <w:tcW w:w="1986" w:type="dxa"/>
          </w:tcPr>
          <w:p>
            <w:pPr>
              <w:pStyle w:val="TableParagraph"/>
              <w:tabs>
                <w:tab w:pos="638" w:val="left" w:leader="none"/>
              </w:tabs>
              <w:spacing w:line="256" w:lineRule="exact" w:before="14"/>
              <w:ind w:left="-3"/>
              <w:rPr>
                <w:rFonts w:ascii="Arial MT"/>
                <w:sz w:val="24"/>
              </w:rPr>
            </w:pPr>
            <w:r>
              <w:rPr>
                <w:rFonts w:ascii="Arial MT"/>
                <w:w w:val="100"/>
                <w:sz w:val="24"/>
                <w:u w:val="thick"/>
              </w:rPr>
              <w:t> </w:t>
            </w:r>
            <w:r>
              <w:rPr>
                <w:rFonts w:ascii="Arial MT"/>
                <w:sz w:val="24"/>
                <w:u w:val="thick"/>
              </w:rPr>
              <w:tab/>
            </w:r>
            <w:r>
              <w:rPr>
                <w:rFonts w:ascii="Arial MT"/>
                <w:sz w:val="24"/>
                <w:u w:val="thick"/>
              </w:rPr>
              <w:t>20,222,393 </w:t>
            </w:r>
            <w:r>
              <w:rPr>
                <w:rFonts w:ascii="Arial MT"/>
                <w:spacing w:val="8"/>
                <w:sz w:val="24"/>
                <w:u w:val="thick"/>
              </w:rPr>
              <w:t> </w:t>
            </w:r>
          </w:p>
        </w:tc>
      </w:tr>
    </w:tbl>
    <w:p>
      <w:pPr>
        <w:spacing w:after="0" w:line="256" w:lineRule="exact"/>
        <w:rPr>
          <w:rFonts w:ascii="Arial MT"/>
          <w:sz w:val="24"/>
        </w:rPr>
        <w:sectPr>
          <w:pgSz w:w="11910" w:h="16840"/>
          <w:pgMar w:header="882" w:footer="1195" w:top="1100" w:bottom="1380" w:left="1480" w:right="0"/>
        </w:sectPr>
      </w:pPr>
    </w:p>
    <w:p>
      <w:pPr>
        <w:pStyle w:val="BodyText"/>
        <w:ind w:left="0"/>
        <w:rPr>
          <w:sz w:val="20"/>
        </w:rPr>
      </w:pPr>
    </w:p>
    <w:p>
      <w:pPr>
        <w:pStyle w:val="BodyText"/>
        <w:spacing w:before="9"/>
        <w:ind w:left="0"/>
        <w:rPr>
          <w:sz w:val="13"/>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3"/>
        <w:gridCol w:w="3647"/>
        <w:gridCol w:w="3076"/>
        <w:gridCol w:w="1777"/>
      </w:tblGrid>
      <w:tr>
        <w:trPr>
          <w:trHeight w:val="293" w:hRule="atLeast"/>
        </w:trPr>
        <w:tc>
          <w:tcPr>
            <w:tcW w:w="693" w:type="dxa"/>
          </w:tcPr>
          <w:p>
            <w:pPr>
              <w:pStyle w:val="TableParagraph"/>
              <w:rPr>
                <w:rFonts w:ascii="Times New Roman"/>
                <w:sz w:val="22"/>
              </w:rPr>
            </w:pPr>
          </w:p>
        </w:tc>
        <w:tc>
          <w:tcPr>
            <w:tcW w:w="3647" w:type="dxa"/>
          </w:tcPr>
          <w:p>
            <w:pPr>
              <w:pStyle w:val="TableParagraph"/>
              <w:spacing w:line="273" w:lineRule="exact"/>
              <w:ind w:left="226"/>
              <w:rPr>
                <w:sz w:val="24"/>
              </w:rPr>
            </w:pPr>
            <w:r>
              <w:rPr>
                <w:sz w:val="24"/>
              </w:rPr>
              <w:t>本年股份支付费用</w:t>
            </w:r>
          </w:p>
        </w:tc>
        <w:tc>
          <w:tcPr>
            <w:tcW w:w="3076" w:type="dxa"/>
          </w:tcPr>
          <w:p>
            <w:pPr>
              <w:pStyle w:val="TableParagraph"/>
              <w:spacing w:line="273" w:lineRule="exact"/>
              <w:ind w:right="708"/>
              <w:jc w:val="right"/>
              <w:rPr>
                <w:rFonts w:ascii="Arial MT"/>
                <w:sz w:val="24"/>
              </w:rPr>
            </w:pPr>
            <w:r>
              <w:rPr>
                <w:rFonts w:ascii="Arial MT"/>
                <w:sz w:val="24"/>
              </w:rPr>
              <w:t>21,361</w:t>
            </w:r>
          </w:p>
        </w:tc>
        <w:tc>
          <w:tcPr>
            <w:tcW w:w="1777" w:type="dxa"/>
          </w:tcPr>
          <w:p>
            <w:pPr>
              <w:pStyle w:val="TableParagraph"/>
              <w:spacing w:line="273" w:lineRule="exact"/>
              <w:ind w:right="202"/>
              <w:jc w:val="right"/>
              <w:rPr>
                <w:rFonts w:ascii="Arial MT"/>
                <w:sz w:val="24"/>
              </w:rPr>
            </w:pPr>
            <w:r>
              <w:rPr>
                <w:rFonts w:ascii="Arial MT"/>
                <w:sz w:val="24"/>
              </w:rPr>
              <w:t>28,871</w:t>
            </w:r>
          </w:p>
        </w:tc>
      </w:tr>
      <w:tr>
        <w:trPr>
          <w:trHeight w:val="444" w:hRule="atLeast"/>
        </w:trPr>
        <w:tc>
          <w:tcPr>
            <w:tcW w:w="693" w:type="dxa"/>
          </w:tcPr>
          <w:p>
            <w:pPr>
              <w:pStyle w:val="TableParagraph"/>
              <w:rPr>
                <w:rFonts w:ascii="Times New Roman"/>
                <w:sz w:val="22"/>
              </w:rPr>
            </w:pPr>
          </w:p>
        </w:tc>
        <w:tc>
          <w:tcPr>
            <w:tcW w:w="3647" w:type="dxa"/>
          </w:tcPr>
          <w:p>
            <w:pPr>
              <w:pStyle w:val="TableParagraph"/>
              <w:spacing w:line="293" w:lineRule="exact"/>
              <w:ind w:left="226"/>
              <w:rPr>
                <w:sz w:val="24"/>
              </w:rPr>
            </w:pPr>
            <w:r>
              <w:rPr>
                <w:sz w:val="24"/>
              </w:rPr>
              <w:t>累计股份支付费用</w:t>
            </w:r>
          </w:p>
        </w:tc>
        <w:tc>
          <w:tcPr>
            <w:tcW w:w="3076" w:type="dxa"/>
          </w:tcPr>
          <w:p>
            <w:pPr>
              <w:pStyle w:val="TableParagraph"/>
              <w:spacing w:before="17"/>
              <w:ind w:right="706"/>
              <w:jc w:val="right"/>
              <w:rPr>
                <w:rFonts w:ascii="Arial MT"/>
                <w:sz w:val="24"/>
              </w:rPr>
            </w:pPr>
            <w:r>
              <w:rPr>
                <w:rFonts w:ascii="Arial MT"/>
                <w:sz w:val="24"/>
              </w:rPr>
              <w:t>155,743</w:t>
            </w:r>
          </w:p>
        </w:tc>
        <w:tc>
          <w:tcPr>
            <w:tcW w:w="1777" w:type="dxa"/>
          </w:tcPr>
          <w:p>
            <w:pPr>
              <w:pStyle w:val="TableParagraph"/>
              <w:spacing w:before="17"/>
              <w:ind w:right="200"/>
              <w:jc w:val="right"/>
              <w:rPr>
                <w:rFonts w:ascii="Arial MT"/>
                <w:sz w:val="24"/>
              </w:rPr>
            </w:pPr>
            <w:r>
              <w:rPr>
                <w:rFonts w:ascii="Arial MT"/>
                <w:sz w:val="24"/>
              </w:rPr>
              <w:t>134,382</w:t>
            </w:r>
          </w:p>
        </w:tc>
      </w:tr>
      <w:tr>
        <w:trPr>
          <w:trHeight w:val="430" w:hRule="atLeast"/>
        </w:trPr>
        <w:tc>
          <w:tcPr>
            <w:tcW w:w="9193" w:type="dxa"/>
            <w:gridSpan w:val="4"/>
          </w:tcPr>
          <w:p>
            <w:pPr>
              <w:pStyle w:val="TableParagraph"/>
              <w:spacing w:line="282" w:lineRule="exact" w:before="129"/>
              <w:ind w:left="919"/>
              <w:rPr>
                <w:sz w:val="24"/>
              </w:rPr>
            </w:pPr>
            <w:r>
              <w:rPr>
                <w:spacing w:val="-4"/>
                <w:sz w:val="24"/>
              </w:rPr>
              <w:t>当年行权的股票期权以行权日价格计算的加权平均价格为 </w:t>
            </w:r>
            <w:r>
              <w:rPr>
                <w:rFonts w:ascii="Arial MT" w:eastAsia="Arial MT"/>
                <w:sz w:val="24"/>
              </w:rPr>
              <w:t>11.71</w:t>
            </w:r>
            <w:r>
              <w:rPr>
                <w:rFonts w:ascii="Arial MT" w:eastAsia="Arial MT"/>
                <w:spacing w:val="-12"/>
                <w:sz w:val="24"/>
              </w:rPr>
              <w:t> </w:t>
            </w:r>
            <w:r>
              <w:rPr>
                <w:sz w:val="24"/>
              </w:rPr>
              <w:t>元。</w:t>
            </w:r>
          </w:p>
        </w:tc>
      </w:tr>
      <w:tr>
        <w:trPr>
          <w:trHeight w:val="1695" w:hRule="atLeast"/>
        </w:trPr>
        <w:tc>
          <w:tcPr>
            <w:tcW w:w="693" w:type="dxa"/>
          </w:tcPr>
          <w:p>
            <w:pPr>
              <w:pStyle w:val="TableParagraph"/>
              <w:spacing w:before="3"/>
              <w:ind w:left="200"/>
              <w:rPr>
                <w:rFonts w:ascii="Arial MT"/>
                <w:sz w:val="24"/>
              </w:rPr>
            </w:pPr>
            <w:r>
              <w:rPr>
                <w:rFonts w:ascii="Arial MT"/>
                <w:sz w:val="24"/>
              </w:rPr>
              <w:t>(ii)</w:t>
            </w:r>
          </w:p>
        </w:tc>
        <w:tc>
          <w:tcPr>
            <w:tcW w:w="8500" w:type="dxa"/>
            <w:gridSpan w:val="3"/>
          </w:tcPr>
          <w:p>
            <w:pPr>
              <w:pStyle w:val="TableParagraph"/>
              <w:spacing w:line="242" w:lineRule="auto" w:before="7"/>
              <w:ind w:left="226" w:right="243"/>
              <w:jc w:val="both"/>
              <w:rPr>
                <w:sz w:val="24"/>
              </w:rPr>
            </w:pPr>
            <w:r>
              <w:rPr>
                <w:sz w:val="24"/>
              </w:rPr>
              <w:t>本公司根据《激励计划</w:t>
            </w:r>
            <w:r>
              <w:rPr>
                <w:rFonts w:ascii="Arial MT" w:eastAsia="Arial MT"/>
                <w:sz w:val="24"/>
              </w:rPr>
              <w:t>(</w:t>
            </w:r>
            <w:r>
              <w:rPr>
                <w:sz w:val="24"/>
              </w:rPr>
              <w:t>草案修订稿</w:t>
            </w:r>
            <w:r>
              <w:rPr>
                <w:rFonts w:ascii="Arial MT" w:eastAsia="Arial MT"/>
                <w:sz w:val="24"/>
              </w:rPr>
              <w:t>)</w:t>
            </w:r>
            <w:r>
              <w:rPr>
                <w:sz w:val="24"/>
              </w:rPr>
              <w:t>》的相关规定和本公司</w:t>
            </w:r>
            <w:r>
              <w:rPr>
                <w:rFonts w:ascii="Arial MT" w:eastAsia="Arial MT"/>
                <w:sz w:val="24"/>
              </w:rPr>
              <w:t>2019</w:t>
            </w:r>
            <w:r>
              <w:rPr>
                <w:sz w:val="24"/>
              </w:rPr>
              <w:t>年第一次临时股东大会授权，于</w:t>
            </w:r>
            <w:r>
              <w:rPr>
                <w:rFonts w:ascii="Arial MT" w:eastAsia="Arial MT"/>
                <w:sz w:val="24"/>
              </w:rPr>
              <w:t>2019</w:t>
            </w:r>
            <w:r>
              <w:rPr>
                <w:sz w:val="24"/>
              </w:rPr>
              <w:t>年</w:t>
            </w:r>
            <w:r>
              <w:rPr>
                <w:rFonts w:ascii="Arial MT" w:eastAsia="Arial MT"/>
                <w:sz w:val="24"/>
              </w:rPr>
              <w:t>4</w:t>
            </w:r>
            <w:r>
              <w:rPr>
                <w:sz w:val="24"/>
              </w:rPr>
              <w:t>月</w:t>
            </w:r>
            <w:r>
              <w:rPr>
                <w:rFonts w:ascii="Arial MT" w:eastAsia="Arial MT"/>
                <w:sz w:val="24"/>
              </w:rPr>
              <w:t>30</w:t>
            </w:r>
            <w:r>
              <w:rPr>
                <w:sz w:val="24"/>
              </w:rPr>
              <w:t>日召开董事会审议通过首次授予计划，以</w:t>
            </w:r>
            <w:r>
              <w:rPr>
                <w:rFonts w:ascii="Arial MT" w:eastAsia="Arial MT"/>
                <w:sz w:val="24"/>
              </w:rPr>
              <w:t>2019</w:t>
            </w:r>
            <w:r>
              <w:rPr>
                <w:sz w:val="24"/>
              </w:rPr>
              <w:t>年</w:t>
            </w:r>
            <w:r>
              <w:rPr>
                <w:rFonts w:ascii="Arial MT" w:eastAsia="Arial MT"/>
                <w:sz w:val="24"/>
              </w:rPr>
              <w:t>4</w:t>
            </w:r>
            <w:r>
              <w:rPr>
                <w:sz w:val="24"/>
              </w:rPr>
              <w:t>月</w:t>
            </w:r>
            <w:r>
              <w:rPr>
                <w:rFonts w:ascii="Arial MT" w:eastAsia="Arial MT"/>
                <w:sz w:val="24"/>
              </w:rPr>
              <w:t>30</w:t>
            </w:r>
            <w:r>
              <w:rPr>
                <w:sz w:val="24"/>
              </w:rPr>
              <w:t>日为授予日，向</w:t>
            </w:r>
            <w:r>
              <w:rPr>
                <w:rFonts w:ascii="Arial MT" w:eastAsia="Arial MT"/>
                <w:sz w:val="24"/>
              </w:rPr>
              <w:t>892</w:t>
            </w:r>
            <w:r>
              <w:rPr>
                <w:sz w:val="24"/>
              </w:rPr>
              <w:t>名股票期权激励对象授予</w:t>
            </w:r>
            <w:r>
              <w:rPr>
                <w:rFonts w:ascii="Arial MT" w:eastAsia="Arial MT"/>
                <w:sz w:val="24"/>
              </w:rPr>
              <w:t>25,947,021</w:t>
            </w:r>
            <w:r>
              <w:rPr>
                <w:sz w:val="24"/>
              </w:rPr>
              <w:t>份股票期权，授予日的行权价格为每股</w:t>
            </w:r>
            <w:r>
              <w:rPr>
                <w:rFonts w:ascii="Arial MT" w:eastAsia="Arial MT"/>
                <w:sz w:val="24"/>
              </w:rPr>
              <w:t>12.05</w:t>
            </w:r>
            <w:r>
              <w:rPr>
                <w:sz w:val="24"/>
              </w:rPr>
              <w:t>元。股票期权在行权前并不赋予持有人享有股息或于股东大会上投票的权利。</w:t>
            </w:r>
          </w:p>
        </w:tc>
      </w:tr>
      <w:tr>
        <w:trPr>
          <w:trHeight w:val="436" w:hRule="atLeast"/>
        </w:trPr>
        <w:tc>
          <w:tcPr>
            <w:tcW w:w="693" w:type="dxa"/>
          </w:tcPr>
          <w:p>
            <w:pPr>
              <w:pStyle w:val="TableParagraph"/>
              <w:rPr>
                <w:rFonts w:ascii="Times New Roman"/>
                <w:sz w:val="22"/>
              </w:rPr>
            </w:pPr>
          </w:p>
        </w:tc>
        <w:tc>
          <w:tcPr>
            <w:tcW w:w="6723" w:type="dxa"/>
            <w:gridSpan w:val="2"/>
          </w:tcPr>
          <w:p>
            <w:pPr>
              <w:pStyle w:val="TableParagraph"/>
              <w:spacing w:line="271" w:lineRule="exact" w:before="145"/>
              <w:ind w:left="226"/>
              <w:rPr>
                <w:sz w:val="24"/>
              </w:rPr>
            </w:pPr>
            <w:r>
              <w:rPr>
                <w:sz w:val="24"/>
              </w:rPr>
              <w:t>该次发行在外的股票期权计划的服务期分为</w:t>
            </w:r>
            <w:r>
              <w:rPr>
                <w:rFonts w:ascii="Arial MT" w:eastAsia="Arial MT"/>
                <w:sz w:val="24"/>
              </w:rPr>
              <w:t>5</w:t>
            </w:r>
            <w:r>
              <w:rPr>
                <w:sz w:val="24"/>
              </w:rPr>
              <w:t>个阶段：</w:t>
            </w:r>
          </w:p>
        </w:tc>
        <w:tc>
          <w:tcPr>
            <w:tcW w:w="1777" w:type="dxa"/>
          </w:tcPr>
          <w:p>
            <w:pPr>
              <w:pStyle w:val="TableParagraph"/>
              <w:rPr>
                <w:rFonts w:ascii="Times New Roman"/>
                <w:sz w:val="22"/>
              </w:rPr>
            </w:pPr>
          </w:p>
        </w:tc>
      </w:tr>
    </w:tbl>
    <w:p>
      <w:pPr>
        <w:pStyle w:val="BodyText"/>
        <w:spacing w:before="6"/>
        <w:ind w:left="0"/>
        <w:rPr>
          <w:sz w:val="25"/>
        </w:rPr>
      </w:pP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7"/>
        <w:gridCol w:w="5356"/>
        <w:gridCol w:w="1283"/>
      </w:tblGrid>
      <w:tr>
        <w:trPr>
          <w:trHeight w:val="408" w:hRule="atLeast"/>
        </w:trPr>
        <w:tc>
          <w:tcPr>
            <w:tcW w:w="1697" w:type="dxa"/>
          </w:tcPr>
          <w:p>
            <w:pPr>
              <w:pStyle w:val="TableParagraph"/>
              <w:spacing w:line="274" w:lineRule="exact"/>
              <w:ind w:left="495"/>
              <w:rPr>
                <w:sz w:val="24"/>
              </w:rPr>
            </w:pPr>
            <w:r>
              <w:rPr>
                <w:sz w:val="24"/>
              </w:rPr>
              <w:t>行权安排</w:t>
            </w:r>
          </w:p>
        </w:tc>
        <w:tc>
          <w:tcPr>
            <w:tcW w:w="5356" w:type="dxa"/>
          </w:tcPr>
          <w:p>
            <w:pPr>
              <w:pStyle w:val="TableParagraph"/>
              <w:spacing w:line="274" w:lineRule="exact"/>
              <w:ind w:left="187" w:right="103"/>
              <w:jc w:val="center"/>
              <w:rPr>
                <w:sz w:val="24"/>
              </w:rPr>
            </w:pPr>
            <w:r>
              <w:rPr>
                <w:sz w:val="24"/>
              </w:rPr>
              <w:t>行权时间</w:t>
            </w:r>
          </w:p>
        </w:tc>
        <w:tc>
          <w:tcPr>
            <w:tcW w:w="1283" w:type="dxa"/>
          </w:tcPr>
          <w:p>
            <w:pPr>
              <w:pStyle w:val="TableParagraph"/>
              <w:spacing w:line="274" w:lineRule="exact"/>
              <w:ind w:right="202"/>
              <w:jc w:val="right"/>
              <w:rPr>
                <w:sz w:val="24"/>
              </w:rPr>
            </w:pPr>
            <w:r>
              <w:rPr>
                <w:sz w:val="24"/>
              </w:rPr>
              <w:t>行权比例</w:t>
            </w:r>
          </w:p>
        </w:tc>
      </w:tr>
      <w:tr>
        <w:trPr>
          <w:trHeight w:val="776" w:hRule="atLeast"/>
        </w:trPr>
        <w:tc>
          <w:tcPr>
            <w:tcW w:w="1697" w:type="dxa"/>
          </w:tcPr>
          <w:p>
            <w:pPr>
              <w:pStyle w:val="TableParagraph"/>
              <w:spacing w:before="6"/>
              <w:rPr>
                <w:sz w:val="35"/>
              </w:rPr>
            </w:pPr>
          </w:p>
          <w:p>
            <w:pPr>
              <w:pStyle w:val="TableParagraph"/>
              <w:spacing w:line="301" w:lineRule="exact" w:before="1"/>
              <w:ind w:right="56"/>
              <w:jc w:val="right"/>
              <w:rPr>
                <w:sz w:val="24"/>
              </w:rPr>
            </w:pPr>
            <w:r>
              <w:rPr>
                <w:sz w:val="24"/>
              </w:rPr>
              <w:t>第一个行权期</w:t>
            </w:r>
          </w:p>
        </w:tc>
        <w:tc>
          <w:tcPr>
            <w:tcW w:w="5356" w:type="dxa"/>
          </w:tcPr>
          <w:p>
            <w:pPr>
              <w:pStyle w:val="TableParagraph"/>
              <w:spacing w:before="145"/>
              <w:ind w:left="40" w:right="103"/>
              <w:jc w:val="center"/>
              <w:rPr>
                <w:sz w:val="24"/>
              </w:rPr>
            </w:pPr>
            <w:r>
              <w:rPr>
                <w:spacing w:val="9"/>
                <w:w w:val="95"/>
                <w:sz w:val="24"/>
              </w:rPr>
              <w:t>自首次授权日起 </w:t>
            </w:r>
            <w:r>
              <w:rPr>
                <w:rFonts w:ascii="Arial MT" w:eastAsia="Arial MT"/>
                <w:w w:val="95"/>
                <w:sz w:val="24"/>
              </w:rPr>
              <w:t>12</w:t>
            </w:r>
            <w:r>
              <w:rPr>
                <w:rFonts w:ascii="Arial MT" w:eastAsia="Arial MT"/>
                <w:spacing w:val="106"/>
                <w:sz w:val="24"/>
              </w:rPr>
              <w:t> </w:t>
            </w:r>
            <w:r>
              <w:rPr>
                <w:w w:val="95"/>
                <w:sz w:val="24"/>
              </w:rPr>
              <w:t>个月后的首个交易日起至首次</w:t>
            </w:r>
          </w:p>
          <w:p>
            <w:pPr>
              <w:pStyle w:val="TableParagraph"/>
              <w:spacing w:line="301" w:lineRule="exact" w:before="3"/>
              <w:ind w:left="40" w:right="103"/>
              <w:jc w:val="center"/>
              <w:rPr>
                <w:sz w:val="24"/>
              </w:rPr>
            </w:pPr>
            <w:r>
              <w:rPr>
                <w:spacing w:val="13"/>
                <w:w w:val="95"/>
                <w:sz w:val="24"/>
              </w:rPr>
              <w:t>授权日起 </w:t>
            </w:r>
            <w:r>
              <w:rPr>
                <w:rFonts w:ascii="Arial MT" w:eastAsia="Arial MT"/>
                <w:w w:val="95"/>
                <w:sz w:val="24"/>
              </w:rPr>
              <w:t>24</w:t>
            </w:r>
            <w:r>
              <w:rPr>
                <w:rFonts w:ascii="Arial MT" w:eastAsia="Arial MT"/>
                <w:spacing w:val="93"/>
                <w:sz w:val="24"/>
              </w:rPr>
              <w:t> </w:t>
            </w:r>
            <w:r>
              <w:rPr>
                <w:w w:val="95"/>
                <w:sz w:val="24"/>
              </w:rPr>
              <w:t>个月内的最后一个交易日当日止</w:t>
            </w:r>
          </w:p>
        </w:tc>
        <w:tc>
          <w:tcPr>
            <w:tcW w:w="1283" w:type="dxa"/>
          </w:tcPr>
          <w:p>
            <w:pPr>
              <w:pStyle w:val="TableParagraph"/>
              <w:rPr>
                <w:sz w:val="38"/>
              </w:rPr>
            </w:pPr>
          </w:p>
          <w:p>
            <w:pPr>
              <w:pStyle w:val="TableParagraph"/>
              <w:spacing w:line="270" w:lineRule="exact"/>
              <w:ind w:right="199"/>
              <w:jc w:val="right"/>
              <w:rPr>
                <w:rFonts w:ascii="Arial MT"/>
                <w:sz w:val="24"/>
              </w:rPr>
            </w:pPr>
            <w:r>
              <w:rPr>
                <w:rFonts w:ascii="Arial MT"/>
                <w:sz w:val="24"/>
              </w:rPr>
              <w:t>20%</w:t>
            </w:r>
          </w:p>
        </w:tc>
      </w:tr>
      <w:tr>
        <w:trPr>
          <w:trHeight w:val="621" w:hRule="atLeast"/>
        </w:trPr>
        <w:tc>
          <w:tcPr>
            <w:tcW w:w="1697" w:type="dxa"/>
          </w:tcPr>
          <w:p>
            <w:pPr>
              <w:pStyle w:val="TableParagraph"/>
              <w:spacing w:before="8"/>
              <w:rPr>
                <w:sz w:val="23"/>
              </w:rPr>
            </w:pPr>
          </w:p>
          <w:p>
            <w:pPr>
              <w:pStyle w:val="TableParagraph"/>
              <w:spacing w:line="299" w:lineRule="exact"/>
              <w:ind w:right="56"/>
              <w:jc w:val="right"/>
              <w:rPr>
                <w:sz w:val="24"/>
              </w:rPr>
            </w:pPr>
            <w:r>
              <w:rPr>
                <w:sz w:val="24"/>
              </w:rPr>
              <w:t>第二个行权期</w:t>
            </w:r>
          </w:p>
        </w:tc>
        <w:tc>
          <w:tcPr>
            <w:tcW w:w="5356" w:type="dxa"/>
          </w:tcPr>
          <w:p>
            <w:pPr>
              <w:pStyle w:val="TableParagraph"/>
              <w:spacing w:line="298" w:lineRule="exact"/>
              <w:ind w:left="40" w:right="103"/>
              <w:jc w:val="center"/>
              <w:rPr>
                <w:sz w:val="24"/>
              </w:rPr>
            </w:pPr>
            <w:r>
              <w:rPr>
                <w:spacing w:val="9"/>
                <w:w w:val="95"/>
                <w:sz w:val="24"/>
              </w:rPr>
              <w:t>自首次授权日起 </w:t>
            </w:r>
            <w:r>
              <w:rPr>
                <w:rFonts w:ascii="Arial MT" w:eastAsia="Arial MT"/>
                <w:w w:val="95"/>
                <w:sz w:val="24"/>
              </w:rPr>
              <w:t>24</w:t>
            </w:r>
            <w:r>
              <w:rPr>
                <w:rFonts w:ascii="Arial MT" w:eastAsia="Arial MT"/>
                <w:spacing w:val="106"/>
                <w:sz w:val="24"/>
              </w:rPr>
              <w:t> </w:t>
            </w:r>
            <w:r>
              <w:rPr>
                <w:w w:val="95"/>
                <w:sz w:val="24"/>
              </w:rPr>
              <w:t>个月后的首个交易日起至首次</w:t>
            </w:r>
          </w:p>
          <w:p>
            <w:pPr>
              <w:pStyle w:val="TableParagraph"/>
              <w:spacing w:line="299" w:lineRule="exact" w:before="4"/>
              <w:ind w:left="40" w:right="103"/>
              <w:jc w:val="center"/>
              <w:rPr>
                <w:sz w:val="24"/>
              </w:rPr>
            </w:pPr>
            <w:r>
              <w:rPr>
                <w:spacing w:val="13"/>
                <w:w w:val="95"/>
                <w:sz w:val="24"/>
              </w:rPr>
              <w:t>授权日起 </w:t>
            </w:r>
            <w:r>
              <w:rPr>
                <w:rFonts w:ascii="Arial MT" w:eastAsia="Arial MT"/>
                <w:w w:val="95"/>
                <w:sz w:val="24"/>
              </w:rPr>
              <w:t>36</w:t>
            </w:r>
            <w:r>
              <w:rPr>
                <w:rFonts w:ascii="Arial MT" w:eastAsia="Arial MT"/>
                <w:spacing w:val="93"/>
                <w:sz w:val="24"/>
              </w:rPr>
              <w:t> </w:t>
            </w:r>
            <w:r>
              <w:rPr>
                <w:w w:val="95"/>
                <w:sz w:val="24"/>
              </w:rPr>
              <w:t>个月内的最后一个交易日当日止</w:t>
            </w:r>
          </w:p>
        </w:tc>
        <w:tc>
          <w:tcPr>
            <w:tcW w:w="1283" w:type="dxa"/>
          </w:tcPr>
          <w:p>
            <w:pPr>
              <w:pStyle w:val="TableParagraph"/>
              <w:spacing w:before="11"/>
              <w:rPr>
                <w:sz w:val="25"/>
              </w:rPr>
            </w:pPr>
          </w:p>
          <w:p>
            <w:pPr>
              <w:pStyle w:val="TableParagraph"/>
              <w:spacing w:line="270" w:lineRule="exact"/>
              <w:ind w:right="199"/>
              <w:jc w:val="right"/>
              <w:rPr>
                <w:rFonts w:ascii="Arial MT"/>
                <w:sz w:val="24"/>
              </w:rPr>
            </w:pPr>
            <w:r>
              <w:rPr>
                <w:rFonts w:ascii="Arial MT"/>
                <w:sz w:val="24"/>
              </w:rPr>
              <w:t>20%</w:t>
            </w:r>
          </w:p>
        </w:tc>
      </w:tr>
      <w:tr>
        <w:trPr>
          <w:trHeight w:val="623" w:hRule="atLeast"/>
        </w:trPr>
        <w:tc>
          <w:tcPr>
            <w:tcW w:w="1697" w:type="dxa"/>
          </w:tcPr>
          <w:p>
            <w:pPr>
              <w:pStyle w:val="TableParagraph"/>
              <w:spacing w:before="8"/>
              <w:rPr>
                <w:sz w:val="23"/>
              </w:rPr>
            </w:pPr>
          </w:p>
          <w:p>
            <w:pPr>
              <w:pStyle w:val="TableParagraph"/>
              <w:spacing w:line="301" w:lineRule="exact"/>
              <w:ind w:right="56"/>
              <w:jc w:val="right"/>
              <w:rPr>
                <w:sz w:val="24"/>
              </w:rPr>
            </w:pPr>
            <w:r>
              <w:rPr>
                <w:sz w:val="24"/>
              </w:rPr>
              <w:t>第三个行权期</w:t>
            </w:r>
          </w:p>
        </w:tc>
        <w:tc>
          <w:tcPr>
            <w:tcW w:w="5356" w:type="dxa"/>
          </w:tcPr>
          <w:p>
            <w:pPr>
              <w:pStyle w:val="TableParagraph"/>
              <w:spacing w:line="298" w:lineRule="exact"/>
              <w:ind w:left="40" w:right="103"/>
              <w:jc w:val="center"/>
              <w:rPr>
                <w:sz w:val="24"/>
              </w:rPr>
            </w:pPr>
            <w:r>
              <w:rPr>
                <w:spacing w:val="9"/>
                <w:w w:val="95"/>
                <w:sz w:val="24"/>
              </w:rPr>
              <w:t>自首次授权日起 </w:t>
            </w:r>
            <w:r>
              <w:rPr>
                <w:rFonts w:ascii="Arial MT" w:eastAsia="Arial MT"/>
                <w:w w:val="95"/>
                <w:sz w:val="24"/>
              </w:rPr>
              <w:t>36</w:t>
            </w:r>
            <w:r>
              <w:rPr>
                <w:rFonts w:ascii="Arial MT" w:eastAsia="Arial MT"/>
                <w:spacing w:val="106"/>
                <w:sz w:val="24"/>
              </w:rPr>
              <w:t> </w:t>
            </w:r>
            <w:r>
              <w:rPr>
                <w:w w:val="95"/>
                <w:sz w:val="24"/>
              </w:rPr>
              <w:t>个月后的首个交易日起至首次</w:t>
            </w:r>
          </w:p>
          <w:p>
            <w:pPr>
              <w:pStyle w:val="TableParagraph"/>
              <w:spacing w:line="301" w:lineRule="exact" w:before="4"/>
              <w:ind w:left="40" w:right="103"/>
              <w:jc w:val="center"/>
              <w:rPr>
                <w:sz w:val="24"/>
              </w:rPr>
            </w:pPr>
            <w:r>
              <w:rPr>
                <w:spacing w:val="13"/>
                <w:w w:val="95"/>
                <w:sz w:val="24"/>
              </w:rPr>
              <w:t>授权日起 </w:t>
            </w:r>
            <w:r>
              <w:rPr>
                <w:rFonts w:ascii="Arial MT" w:eastAsia="Arial MT"/>
                <w:w w:val="95"/>
                <w:sz w:val="24"/>
              </w:rPr>
              <w:t>48</w:t>
            </w:r>
            <w:r>
              <w:rPr>
                <w:rFonts w:ascii="Arial MT" w:eastAsia="Arial MT"/>
                <w:spacing w:val="93"/>
                <w:sz w:val="24"/>
              </w:rPr>
              <w:t> </w:t>
            </w:r>
            <w:r>
              <w:rPr>
                <w:w w:val="95"/>
                <w:sz w:val="24"/>
              </w:rPr>
              <w:t>个月内的最后一个交易日当日止</w:t>
            </w:r>
          </w:p>
        </w:tc>
        <w:tc>
          <w:tcPr>
            <w:tcW w:w="1283" w:type="dxa"/>
          </w:tcPr>
          <w:p>
            <w:pPr>
              <w:pStyle w:val="TableParagraph"/>
              <w:spacing w:before="1"/>
              <w:rPr>
                <w:sz w:val="26"/>
              </w:rPr>
            </w:pPr>
          </w:p>
          <w:p>
            <w:pPr>
              <w:pStyle w:val="TableParagraph"/>
              <w:spacing w:line="270" w:lineRule="exact"/>
              <w:ind w:right="199"/>
              <w:jc w:val="right"/>
              <w:rPr>
                <w:rFonts w:ascii="Arial MT"/>
                <w:sz w:val="24"/>
              </w:rPr>
            </w:pPr>
            <w:r>
              <w:rPr>
                <w:rFonts w:ascii="Arial MT"/>
                <w:sz w:val="24"/>
              </w:rPr>
              <w:t>20%</w:t>
            </w:r>
          </w:p>
        </w:tc>
      </w:tr>
      <w:tr>
        <w:trPr>
          <w:trHeight w:val="621" w:hRule="atLeast"/>
        </w:trPr>
        <w:tc>
          <w:tcPr>
            <w:tcW w:w="1697" w:type="dxa"/>
          </w:tcPr>
          <w:p>
            <w:pPr>
              <w:pStyle w:val="TableParagraph"/>
              <w:spacing w:before="8"/>
              <w:rPr>
                <w:sz w:val="23"/>
              </w:rPr>
            </w:pPr>
          </w:p>
          <w:p>
            <w:pPr>
              <w:pStyle w:val="TableParagraph"/>
              <w:spacing w:line="299" w:lineRule="exact"/>
              <w:ind w:right="56"/>
              <w:jc w:val="right"/>
              <w:rPr>
                <w:sz w:val="24"/>
              </w:rPr>
            </w:pPr>
            <w:r>
              <w:rPr>
                <w:sz w:val="24"/>
              </w:rPr>
              <w:t>第四个行权期</w:t>
            </w:r>
          </w:p>
        </w:tc>
        <w:tc>
          <w:tcPr>
            <w:tcW w:w="5356" w:type="dxa"/>
          </w:tcPr>
          <w:p>
            <w:pPr>
              <w:pStyle w:val="TableParagraph"/>
              <w:spacing w:line="298" w:lineRule="exact"/>
              <w:ind w:left="40" w:right="103"/>
              <w:jc w:val="center"/>
              <w:rPr>
                <w:sz w:val="24"/>
              </w:rPr>
            </w:pPr>
            <w:r>
              <w:rPr>
                <w:spacing w:val="9"/>
                <w:w w:val="95"/>
                <w:sz w:val="24"/>
              </w:rPr>
              <w:t>自首次授权日起 </w:t>
            </w:r>
            <w:r>
              <w:rPr>
                <w:rFonts w:ascii="Arial MT" w:eastAsia="Arial MT"/>
                <w:w w:val="95"/>
                <w:sz w:val="24"/>
              </w:rPr>
              <w:t>48</w:t>
            </w:r>
            <w:r>
              <w:rPr>
                <w:rFonts w:ascii="Arial MT" w:eastAsia="Arial MT"/>
                <w:spacing w:val="106"/>
                <w:sz w:val="24"/>
              </w:rPr>
              <w:t> </w:t>
            </w:r>
            <w:r>
              <w:rPr>
                <w:w w:val="95"/>
                <w:sz w:val="24"/>
              </w:rPr>
              <w:t>个月后的首个交易日起至首次</w:t>
            </w:r>
          </w:p>
          <w:p>
            <w:pPr>
              <w:pStyle w:val="TableParagraph"/>
              <w:spacing w:line="299" w:lineRule="exact" w:before="4"/>
              <w:ind w:left="40" w:right="103"/>
              <w:jc w:val="center"/>
              <w:rPr>
                <w:sz w:val="24"/>
              </w:rPr>
            </w:pPr>
            <w:r>
              <w:rPr>
                <w:spacing w:val="13"/>
                <w:w w:val="95"/>
                <w:sz w:val="24"/>
              </w:rPr>
              <w:t>授权日起 </w:t>
            </w:r>
            <w:r>
              <w:rPr>
                <w:rFonts w:ascii="Arial MT" w:eastAsia="Arial MT"/>
                <w:w w:val="95"/>
                <w:sz w:val="24"/>
              </w:rPr>
              <w:t>60</w:t>
            </w:r>
            <w:r>
              <w:rPr>
                <w:rFonts w:ascii="Arial MT" w:eastAsia="Arial MT"/>
                <w:spacing w:val="93"/>
                <w:sz w:val="24"/>
              </w:rPr>
              <w:t> </w:t>
            </w:r>
            <w:r>
              <w:rPr>
                <w:w w:val="95"/>
                <w:sz w:val="24"/>
              </w:rPr>
              <w:t>个月内的最后一个交易日当日止</w:t>
            </w:r>
          </w:p>
        </w:tc>
        <w:tc>
          <w:tcPr>
            <w:tcW w:w="1283" w:type="dxa"/>
          </w:tcPr>
          <w:p>
            <w:pPr>
              <w:pStyle w:val="TableParagraph"/>
              <w:spacing w:before="11"/>
              <w:rPr>
                <w:sz w:val="25"/>
              </w:rPr>
            </w:pPr>
          </w:p>
          <w:p>
            <w:pPr>
              <w:pStyle w:val="TableParagraph"/>
              <w:spacing w:line="270" w:lineRule="exact"/>
              <w:ind w:right="199"/>
              <w:jc w:val="right"/>
              <w:rPr>
                <w:rFonts w:ascii="Arial MT"/>
                <w:sz w:val="24"/>
              </w:rPr>
            </w:pPr>
            <w:r>
              <w:rPr>
                <w:rFonts w:ascii="Arial MT"/>
                <w:sz w:val="24"/>
              </w:rPr>
              <w:t>20%</w:t>
            </w:r>
          </w:p>
        </w:tc>
      </w:tr>
      <w:tr>
        <w:trPr>
          <w:trHeight w:val="610" w:hRule="atLeast"/>
        </w:trPr>
        <w:tc>
          <w:tcPr>
            <w:tcW w:w="1697" w:type="dxa"/>
          </w:tcPr>
          <w:p>
            <w:pPr>
              <w:pStyle w:val="TableParagraph"/>
              <w:spacing w:before="8"/>
              <w:rPr>
                <w:sz w:val="23"/>
              </w:rPr>
            </w:pPr>
          </w:p>
          <w:p>
            <w:pPr>
              <w:pStyle w:val="TableParagraph"/>
              <w:spacing w:line="288" w:lineRule="exact"/>
              <w:ind w:right="56"/>
              <w:jc w:val="right"/>
              <w:rPr>
                <w:sz w:val="24"/>
              </w:rPr>
            </w:pPr>
            <w:r>
              <w:rPr>
                <w:sz w:val="24"/>
              </w:rPr>
              <w:t>第五个行权期</w:t>
            </w:r>
          </w:p>
        </w:tc>
        <w:tc>
          <w:tcPr>
            <w:tcW w:w="5356" w:type="dxa"/>
          </w:tcPr>
          <w:p>
            <w:pPr>
              <w:pStyle w:val="TableParagraph"/>
              <w:spacing w:line="298" w:lineRule="exact"/>
              <w:ind w:left="40" w:right="103"/>
              <w:jc w:val="center"/>
              <w:rPr>
                <w:sz w:val="24"/>
              </w:rPr>
            </w:pPr>
            <w:r>
              <w:rPr>
                <w:spacing w:val="9"/>
                <w:w w:val="95"/>
                <w:sz w:val="24"/>
              </w:rPr>
              <w:t>自首次授权日起 </w:t>
            </w:r>
            <w:r>
              <w:rPr>
                <w:rFonts w:ascii="Arial MT" w:eastAsia="Arial MT"/>
                <w:w w:val="95"/>
                <w:sz w:val="24"/>
              </w:rPr>
              <w:t>60</w:t>
            </w:r>
            <w:r>
              <w:rPr>
                <w:rFonts w:ascii="Arial MT" w:eastAsia="Arial MT"/>
                <w:spacing w:val="106"/>
                <w:sz w:val="24"/>
              </w:rPr>
              <w:t> </w:t>
            </w:r>
            <w:r>
              <w:rPr>
                <w:w w:val="95"/>
                <w:sz w:val="24"/>
              </w:rPr>
              <w:t>个月后的首个交易日起至首次</w:t>
            </w:r>
          </w:p>
          <w:p>
            <w:pPr>
              <w:pStyle w:val="TableParagraph"/>
              <w:spacing w:line="288" w:lineRule="exact" w:before="4"/>
              <w:ind w:left="40" w:right="103"/>
              <w:jc w:val="center"/>
              <w:rPr>
                <w:sz w:val="24"/>
              </w:rPr>
            </w:pPr>
            <w:r>
              <w:rPr>
                <w:spacing w:val="13"/>
                <w:w w:val="95"/>
                <w:sz w:val="24"/>
              </w:rPr>
              <w:t>授权日起 </w:t>
            </w:r>
            <w:r>
              <w:rPr>
                <w:rFonts w:ascii="Arial MT" w:eastAsia="Arial MT"/>
                <w:w w:val="95"/>
                <w:sz w:val="24"/>
              </w:rPr>
              <w:t>72</w:t>
            </w:r>
            <w:r>
              <w:rPr>
                <w:rFonts w:ascii="Arial MT" w:eastAsia="Arial MT"/>
                <w:spacing w:val="93"/>
                <w:sz w:val="24"/>
              </w:rPr>
              <w:t> </w:t>
            </w:r>
            <w:r>
              <w:rPr>
                <w:w w:val="95"/>
                <w:sz w:val="24"/>
              </w:rPr>
              <w:t>个月内的最后一个交易日当日止</w:t>
            </w:r>
          </w:p>
        </w:tc>
        <w:tc>
          <w:tcPr>
            <w:tcW w:w="1283" w:type="dxa"/>
          </w:tcPr>
          <w:p>
            <w:pPr>
              <w:pStyle w:val="TableParagraph"/>
              <w:spacing w:before="1"/>
              <w:rPr>
                <w:sz w:val="26"/>
              </w:rPr>
            </w:pPr>
          </w:p>
          <w:p>
            <w:pPr>
              <w:pStyle w:val="TableParagraph"/>
              <w:spacing w:line="256" w:lineRule="exact"/>
              <w:ind w:right="199"/>
              <w:jc w:val="right"/>
              <w:rPr>
                <w:rFonts w:ascii="Arial MT"/>
                <w:sz w:val="24"/>
              </w:rPr>
            </w:pPr>
            <w:r>
              <w:rPr>
                <w:rFonts w:ascii="Arial MT"/>
                <w:sz w:val="24"/>
              </w:rPr>
              <w:t>20%</w:t>
            </w:r>
          </w:p>
        </w:tc>
      </w:tr>
    </w:tbl>
    <w:p>
      <w:pPr>
        <w:pStyle w:val="BodyText"/>
        <w:spacing w:before="6" w:after="24"/>
      </w:pPr>
      <w:r>
        <w:rPr>
          <w:w w:val="100"/>
        </w:rPr>
        <w:t> </w:t>
      </w: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51"/>
        <w:gridCol w:w="4291"/>
      </w:tblGrid>
      <w:tr>
        <w:trPr>
          <w:trHeight w:val="1989" w:hRule="atLeast"/>
        </w:trPr>
        <w:tc>
          <w:tcPr>
            <w:tcW w:w="8442" w:type="dxa"/>
            <w:gridSpan w:val="2"/>
          </w:tcPr>
          <w:p>
            <w:pPr>
              <w:pStyle w:val="TableParagraph"/>
              <w:spacing w:line="285" w:lineRule="exact"/>
              <w:ind w:left="200"/>
              <w:rPr>
                <w:sz w:val="24"/>
              </w:rPr>
            </w:pPr>
            <w:r>
              <w:rPr>
                <w:w w:val="95"/>
                <w:sz w:val="24"/>
              </w:rPr>
              <w:t>基于</w:t>
            </w:r>
            <w:r>
              <w:rPr>
                <w:rFonts w:ascii="Arial MT" w:eastAsia="Arial MT"/>
                <w:w w:val="95"/>
                <w:sz w:val="24"/>
              </w:rPr>
              <w:t>2019</w:t>
            </w:r>
            <w:r>
              <w:rPr>
                <w:w w:val="95"/>
                <w:sz w:val="24"/>
              </w:rPr>
              <w:t>年、</w:t>
            </w:r>
            <w:r>
              <w:rPr>
                <w:rFonts w:ascii="Arial MT" w:eastAsia="Arial MT"/>
                <w:w w:val="95"/>
                <w:sz w:val="24"/>
              </w:rPr>
              <w:t>2020</w:t>
            </w:r>
            <w:r>
              <w:rPr>
                <w:w w:val="95"/>
                <w:sz w:val="24"/>
              </w:rPr>
              <w:t>年、</w:t>
            </w:r>
            <w:r>
              <w:rPr>
                <w:rFonts w:ascii="Arial MT" w:eastAsia="Arial MT"/>
                <w:w w:val="95"/>
                <w:sz w:val="24"/>
              </w:rPr>
              <w:t>2021</w:t>
            </w:r>
            <w:r>
              <w:rPr>
                <w:w w:val="95"/>
                <w:sz w:val="24"/>
              </w:rPr>
              <w:t>年业绩情况，本集团已满足第一个、第二个、</w:t>
            </w:r>
          </w:p>
          <w:p>
            <w:pPr>
              <w:pStyle w:val="TableParagraph"/>
              <w:spacing w:before="4"/>
              <w:ind w:left="200"/>
              <w:rPr>
                <w:sz w:val="24"/>
              </w:rPr>
            </w:pPr>
            <w:r>
              <w:rPr>
                <w:spacing w:val="16"/>
                <w:sz w:val="24"/>
              </w:rPr>
              <w:t>第三个行权期的业绩条件。自</w:t>
            </w:r>
            <w:r>
              <w:rPr>
                <w:rFonts w:ascii="Arial MT" w:eastAsia="Arial MT"/>
                <w:sz w:val="24"/>
              </w:rPr>
              <w:t>2021</w:t>
            </w:r>
            <w:r>
              <w:rPr>
                <w:spacing w:val="19"/>
                <w:sz w:val="24"/>
              </w:rPr>
              <w:t>年</w:t>
            </w:r>
            <w:r>
              <w:rPr>
                <w:rFonts w:ascii="Arial MT" w:eastAsia="Arial MT"/>
                <w:spacing w:val="17"/>
                <w:sz w:val="24"/>
              </w:rPr>
              <w:t>6</w:t>
            </w:r>
            <w:r>
              <w:rPr>
                <w:spacing w:val="19"/>
                <w:sz w:val="24"/>
              </w:rPr>
              <w:t>月</w:t>
            </w:r>
            <w:r>
              <w:rPr>
                <w:rFonts w:ascii="Arial MT" w:eastAsia="Arial MT"/>
                <w:spacing w:val="15"/>
                <w:sz w:val="24"/>
              </w:rPr>
              <w:t>7</w:t>
            </w:r>
            <w:r>
              <w:rPr>
                <w:spacing w:val="18"/>
                <w:sz w:val="24"/>
              </w:rPr>
              <w:t>日起至</w:t>
            </w:r>
            <w:r>
              <w:rPr>
                <w:rFonts w:ascii="Arial MT" w:eastAsia="Arial MT"/>
                <w:sz w:val="24"/>
              </w:rPr>
              <w:t>2022</w:t>
            </w:r>
            <w:r>
              <w:rPr>
                <w:spacing w:val="19"/>
                <w:sz w:val="24"/>
              </w:rPr>
              <w:t>年</w:t>
            </w:r>
            <w:r>
              <w:rPr>
                <w:rFonts w:ascii="Arial MT" w:eastAsia="Arial MT"/>
                <w:spacing w:val="15"/>
                <w:sz w:val="24"/>
              </w:rPr>
              <w:t>4</w:t>
            </w:r>
            <w:r>
              <w:rPr>
                <w:spacing w:val="19"/>
                <w:sz w:val="24"/>
              </w:rPr>
              <w:t>月</w:t>
            </w:r>
            <w:r>
              <w:rPr>
                <w:rFonts w:ascii="Arial MT" w:eastAsia="Arial MT"/>
                <w:sz w:val="24"/>
              </w:rPr>
              <w:t>30</w:t>
            </w:r>
            <w:r>
              <w:rPr>
                <w:spacing w:val="19"/>
                <w:sz w:val="24"/>
              </w:rPr>
              <w:t>日止和自</w:t>
            </w:r>
          </w:p>
          <w:p>
            <w:pPr>
              <w:pStyle w:val="TableParagraph"/>
              <w:spacing w:before="2"/>
              <w:ind w:left="200"/>
              <w:rPr>
                <w:sz w:val="24"/>
              </w:rPr>
            </w:pPr>
            <w:r>
              <w:rPr>
                <w:rFonts w:ascii="Arial MT" w:eastAsia="Arial MT"/>
                <w:sz w:val="24"/>
              </w:rPr>
              <w:t>2022</w:t>
            </w:r>
            <w:r>
              <w:rPr>
                <w:rFonts w:ascii="Arial MT" w:eastAsia="Arial MT"/>
                <w:spacing w:val="-35"/>
                <w:sz w:val="24"/>
              </w:rPr>
              <w:t> </w:t>
            </w:r>
            <w:r>
              <w:rPr>
                <w:spacing w:val="28"/>
                <w:sz w:val="24"/>
              </w:rPr>
              <w:t>年</w:t>
            </w:r>
            <w:r>
              <w:rPr>
                <w:rFonts w:ascii="Arial MT" w:eastAsia="Arial MT"/>
                <w:sz w:val="24"/>
              </w:rPr>
              <w:t>6</w:t>
            </w:r>
            <w:r>
              <w:rPr>
                <w:rFonts w:ascii="Arial MT" w:eastAsia="Arial MT"/>
                <w:spacing w:val="-35"/>
                <w:sz w:val="24"/>
              </w:rPr>
              <w:t> </w:t>
            </w:r>
            <w:r>
              <w:rPr>
                <w:spacing w:val="30"/>
                <w:sz w:val="24"/>
              </w:rPr>
              <w:t>月</w:t>
            </w:r>
            <w:r>
              <w:rPr>
                <w:rFonts w:ascii="Arial MT" w:eastAsia="Arial MT"/>
                <w:sz w:val="24"/>
              </w:rPr>
              <w:t>16</w:t>
            </w:r>
            <w:r>
              <w:rPr>
                <w:rFonts w:ascii="Arial MT" w:eastAsia="Arial MT"/>
                <w:spacing w:val="-35"/>
                <w:sz w:val="24"/>
              </w:rPr>
              <w:t> </w:t>
            </w:r>
            <w:r>
              <w:rPr>
                <w:spacing w:val="30"/>
                <w:sz w:val="24"/>
              </w:rPr>
              <w:t>日起至</w:t>
            </w:r>
            <w:r>
              <w:rPr>
                <w:rFonts w:ascii="Arial MT" w:eastAsia="Arial MT"/>
                <w:sz w:val="24"/>
              </w:rPr>
              <w:t>2023</w:t>
            </w:r>
            <w:r>
              <w:rPr>
                <w:rFonts w:ascii="Arial MT" w:eastAsia="Arial MT"/>
                <w:spacing w:val="-35"/>
                <w:sz w:val="24"/>
              </w:rPr>
              <w:t> </w:t>
            </w:r>
            <w:r>
              <w:rPr>
                <w:spacing w:val="28"/>
                <w:sz w:val="24"/>
              </w:rPr>
              <w:t>年</w:t>
            </w:r>
            <w:r>
              <w:rPr>
                <w:rFonts w:ascii="Arial MT" w:eastAsia="Arial MT"/>
                <w:sz w:val="24"/>
              </w:rPr>
              <w:t>4</w:t>
            </w:r>
            <w:r>
              <w:rPr>
                <w:rFonts w:ascii="Arial MT" w:eastAsia="Arial MT"/>
                <w:spacing w:val="-35"/>
                <w:sz w:val="24"/>
              </w:rPr>
              <w:t> </w:t>
            </w:r>
            <w:r>
              <w:rPr>
                <w:spacing w:val="31"/>
                <w:sz w:val="24"/>
              </w:rPr>
              <w:t>月</w:t>
            </w:r>
            <w:r>
              <w:rPr>
                <w:rFonts w:ascii="Arial MT" w:eastAsia="Arial MT"/>
                <w:sz w:val="24"/>
              </w:rPr>
              <w:t>30</w:t>
            </w:r>
            <w:r>
              <w:rPr>
                <w:rFonts w:ascii="Arial MT" w:eastAsia="Arial MT"/>
                <w:spacing w:val="-35"/>
                <w:sz w:val="24"/>
              </w:rPr>
              <w:t> </w:t>
            </w:r>
            <w:r>
              <w:rPr>
                <w:spacing w:val="31"/>
                <w:sz w:val="24"/>
              </w:rPr>
              <w:t>日止，本集团分别有</w:t>
            </w:r>
            <w:r>
              <w:rPr>
                <w:rFonts w:ascii="Arial MT" w:eastAsia="Arial MT"/>
                <w:sz w:val="24"/>
              </w:rPr>
              <w:t>4,630,813</w:t>
            </w:r>
            <w:r>
              <w:rPr>
                <w:rFonts w:ascii="Arial MT" w:eastAsia="Arial MT"/>
                <w:spacing w:val="-35"/>
                <w:sz w:val="24"/>
              </w:rPr>
              <w:t> </w:t>
            </w:r>
            <w:r>
              <w:rPr>
                <w:spacing w:val="15"/>
                <w:sz w:val="24"/>
              </w:rPr>
              <w:t>股和</w:t>
            </w:r>
          </w:p>
          <w:p>
            <w:pPr>
              <w:pStyle w:val="TableParagraph"/>
              <w:spacing w:line="242" w:lineRule="auto" w:before="5"/>
              <w:ind w:left="200" w:right="212"/>
              <w:jc w:val="both"/>
              <w:rPr>
                <w:sz w:val="24"/>
              </w:rPr>
            </w:pPr>
            <w:r>
              <w:rPr>
                <w:rFonts w:ascii="Arial MT" w:eastAsia="Arial MT"/>
                <w:sz w:val="24"/>
              </w:rPr>
              <w:t>3,987,638</w:t>
            </w:r>
            <w:r>
              <w:rPr>
                <w:sz w:val="24"/>
              </w:rPr>
              <w:t>股股票期权进入可行权期。于</w:t>
            </w:r>
            <w:r>
              <w:rPr>
                <w:rFonts w:ascii="Arial MT" w:eastAsia="Arial MT"/>
                <w:sz w:val="24"/>
              </w:rPr>
              <w:t>2022</w:t>
            </w:r>
            <w:r>
              <w:rPr>
                <w:sz w:val="24"/>
              </w:rPr>
              <w:t>年度，实际已有</w:t>
            </w:r>
            <w:r>
              <w:rPr>
                <w:rFonts w:ascii="Arial MT" w:eastAsia="Arial MT"/>
                <w:sz w:val="24"/>
              </w:rPr>
              <w:t>20,771</w:t>
            </w:r>
            <w:r>
              <w:rPr>
                <w:sz w:val="24"/>
              </w:rPr>
              <w:t>股股票期权完成行权和股份过户登记手续。于</w:t>
            </w:r>
            <w:r>
              <w:rPr>
                <w:rFonts w:ascii="Arial MT" w:eastAsia="Arial MT"/>
                <w:sz w:val="24"/>
              </w:rPr>
              <w:t>2022</w:t>
            </w:r>
            <w:r>
              <w:rPr>
                <w:sz w:val="24"/>
              </w:rPr>
              <w:t>年度，本集团实际收到相关激励对象支付的股权款</w:t>
            </w:r>
            <w:r>
              <w:rPr>
                <w:rFonts w:ascii="Arial MT" w:eastAsia="Arial MT"/>
                <w:sz w:val="24"/>
              </w:rPr>
              <w:t>239</w:t>
            </w:r>
            <w:r>
              <w:rPr>
                <w:sz w:val="24"/>
              </w:rPr>
              <w:t>千元，增加股本</w:t>
            </w:r>
            <w:r>
              <w:rPr>
                <w:rFonts w:ascii="Arial MT" w:eastAsia="Arial MT"/>
                <w:sz w:val="24"/>
              </w:rPr>
              <w:t>21</w:t>
            </w:r>
            <w:r>
              <w:rPr>
                <w:sz w:val="24"/>
              </w:rPr>
              <w:t>千元，增加资本公积</w:t>
            </w:r>
            <w:r>
              <w:rPr>
                <w:rFonts w:ascii="Arial MT" w:eastAsia="Arial MT"/>
                <w:sz w:val="24"/>
              </w:rPr>
              <w:t>218</w:t>
            </w:r>
            <w:r>
              <w:rPr>
                <w:sz w:val="24"/>
              </w:rPr>
              <w:t>千元。</w:t>
            </w:r>
          </w:p>
        </w:tc>
      </w:tr>
      <w:tr>
        <w:trPr>
          <w:trHeight w:val="572" w:hRule="atLeast"/>
        </w:trPr>
        <w:tc>
          <w:tcPr>
            <w:tcW w:w="4151" w:type="dxa"/>
          </w:tcPr>
          <w:p>
            <w:pPr>
              <w:pStyle w:val="TableParagraph"/>
              <w:spacing w:before="130"/>
              <w:ind w:left="200"/>
              <w:rPr>
                <w:sz w:val="24"/>
              </w:rPr>
            </w:pPr>
            <w:r>
              <w:rPr>
                <w:sz w:val="24"/>
              </w:rPr>
              <w:t>授予日股票期权公允价值的确定方法</w:t>
            </w:r>
          </w:p>
        </w:tc>
        <w:tc>
          <w:tcPr>
            <w:tcW w:w="4291" w:type="dxa"/>
          </w:tcPr>
          <w:p>
            <w:pPr>
              <w:pStyle w:val="TableParagraph"/>
              <w:rPr>
                <w:rFonts w:ascii="Times New Roman"/>
                <w:sz w:val="22"/>
              </w:rPr>
            </w:pPr>
          </w:p>
        </w:tc>
      </w:tr>
      <w:tr>
        <w:trPr>
          <w:trHeight w:val="2005" w:hRule="atLeast"/>
        </w:trPr>
        <w:tc>
          <w:tcPr>
            <w:tcW w:w="8442" w:type="dxa"/>
            <w:gridSpan w:val="2"/>
          </w:tcPr>
          <w:p>
            <w:pPr>
              <w:pStyle w:val="TableParagraph"/>
              <w:spacing w:before="145"/>
              <w:ind w:left="200"/>
              <w:jc w:val="both"/>
              <w:rPr>
                <w:sz w:val="24"/>
              </w:rPr>
            </w:pPr>
            <w:r>
              <w:rPr>
                <w:rFonts w:ascii="Arial MT" w:eastAsia="Arial MT"/>
                <w:sz w:val="24"/>
              </w:rPr>
              <w:t>2022</w:t>
            </w:r>
            <w:r>
              <w:rPr>
                <w:rFonts w:ascii="Arial MT" w:eastAsia="Arial MT"/>
                <w:spacing w:val="16"/>
                <w:sz w:val="24"/>
              </w:rPr>
              <w:t> </w:t>
            </w:r>
            <w:r>
              <w:rPr>
                <w:spacing w:val="-2"/>
                <w:sz w:val="24"/>
              </w:rPr>
              <w:t>年度，本集团确认了股份支付费用 </w:t>
            </w:r>
            <w:r>
              <w:rPr>
                <w:rFonts w:ascii="Arial MT" w:eastAsia="Arial MT"/>
                <w:sz w:val="24"/>
              </w:rPr>
              <w:t>14,211</w:t>
            </w:r>
            <w:r>
              <w:rPr>
                <w:rFonts w:ascii="Arial MT" w:eastAsia="Arial MT"/>
                <w:spacing w:val="17"/>
                <w:sz w:val="24"/>
              </w:rPr>
              <w:t> </w:t>
            </w:r>
            <w:r>
              <w:rPr>
                <w:sz w:val="24"/>
              </w:rPr>
              <w:t>千元</w:t>
            </w:r>
            <w:r>
              <w:rPr>
                <w:rFonts w:ascii="Arial MT" w:eastAsia="Arial MT"/>
                <w:sz w:val="24"/>
              </w:rPr>
              <w:t>(2021</w:t>
            </w:r>
            <w:r>
              <w:rPr>
                <w:rFonts w:ascii="Arial MT" w:eastAsia="Arial MT"/>
                <w:spacing w:val="17"/>
                <w:sz w:val="24"/>
              </w:rPr>
              <w:t> </w:t>
            </w:r>
            <w:r>
              <w:rPr>
                <w:sz w:val="24"/>
              </w:rPr>
              <w:t>年度</w:t>
            </w:r>
            <w:r>
              <w:rPr>
                <w:rFonts w:ascii="Arial MT" w:eastAsia="Arial MT"/>
                <w:spacing w:val="15"/>
                <w:sz w:val="24"/>
              </w:rPr>
              <w:t>: </w:t>
            </w:r>
            <w:r>
              <w:rPr>
                <w:rFonts w:ascii="Arial MT" w:eastAsia="Arial MT"/>
                <w:sz w:val="24"/>
              </w:rPr>
              <w:t>20,572</w:t>
            </w:r>
            <w:r>
              <w:rPr>
                <w:rFonts w:ascii="Arial MT" w:eastAsia="Arial MT"/>
                <w:spacing w:val="16"/>
                <w:sz w:val="24"/>
              </w:rPr>
              <w:t> </w:t>
            </w:r>
            <w:r>
              <w:rPr>
                <w:sz w:val="24"/>
              </w:rPr>
              <w:t>千</w:t>
            </w:r>
          </w:p>
          <w:p>
            <w:pPr>
              <w:pStyle w:val="TableParagraph"/>
              <w:spacing w:line="242" w:lineRule="auto" w:before="5"/>
              <w:ind w:left="200" w:right="223"/>
              <w:jc w:val="both"/>
              <w:rPr>
                <w:sz w:val="24"/>
              </w:rPr>
            </w:pPr>
            <w:r>
              <w:rPr>
                <w:spacing w:val="-1"/>
                <w:sz w:val="24"/>
              </w:rPr>
              <w:t>元</w:t>
            </w:r>
            <w:r>
              <w:rPr>
                <w:rFonts w:ascii="Arial MT" w:eastAsia="Arial MT"/>
                <w:spacing w:val="-1"/>
                <w:sz w:val="24"/>
              </w:rPr>
              <w:t>)</w:t>
            </w:r>
            <w:r>
              <w:rPr>
                <w:spacing w:val="-5"/>
                <w:sz w:val="24"/>
              </w:rPr>
              <w:t>，本集团在自授予日开始最长 </w:t>
            </w:r>
            <w:r>
              <w:rPr>
                <w:rFonts w:ascii="Arial MT" w:eastAsia="Arial MT"/>
                <w:spacing w:val="-1"/>
                <w:sz w:val="24"/>
              </w:rPr>
              <w:t>5</w:t>
            </w:r>
            <w:r>
              <w:rPr>
                <w:rFonts w:ascii="Arial MT" w:eastAsia="Arial MT"/>
                <w:spacing w:val="-9"/>
                <w:sz w:val="24"/>
              </w:rPr>
              <w:t> </w:t>
            </w:r>
            <w:r>
              <w:rPr>
                <w:spacing w:val="-1"/>
                <w:sz w:val="24"/>
              </w:rPr>
              <w:t>年服务期内的每个资产负债表日，根据最</w:t>
            </w:r>
            <w:r>
              <w:rPr>
                <w:sz w:val="24"/>
              </w:rPr>
              <w:t>新取得的员工离职率、业绩指标完成情况等后续信息对预计可行权的购股权数量作出最佳估计，修正预计可行权的权益工具数量，并将当期取得的相应</w:t>
            </w:r>
          </w:p>
          <w:p>
            <w:pPr>
              <w:pStyle w:val="TableParagraph"/>
              <w:spacing w:line="310" w:lineRule="atLeast"/>
              <w:ind w:left="200" w:right="226"/>
              <w:rPr>
                <w:sz w:val="24"/>
              </w:rPr>
            </w:pPr>
            <w:r>
              <w:rPr>
                <w:sz w:val="24"/>
              </w:rPr>
              <w:t>员工服务按照授予日的的公允价值计入相关成本或费用并相应调整资本公积。</w:t>
            </w:r>
          </w:p>
        </w:tc>
      </w:tr>
      <w:tr>
        <w:trPr>
          <w:trHeight w:val="757" w:hRule="atLeast"/>
        </w:trPr>
        <w:tc>
          <w:tcPr>
            <w:tcW w:w="8442" w:type="dxa"/>
            <w:gridSpan w:val="2"/>
          </w:tcPr>
          <w:p>
            <w:pPr>
              <w:pStyle w:val="TableParagraph"/>
              <w:spacing w:line="242" w:lineRule="auto" w:before="4"/>
              <w:ind w:left="211" w:right="308" w:firstLine="45"/>
              <w:rPr>
                <w:sz w:val="24"/>
              </w:rPr>
            </w:pPr>
            <w:r>
              <w:rPr>
                <w:spacing w:val="-4"/>
                <w:sz w:val="24"/>
              </w:rPr>
              <w:t>授予的股票期权于授予日的公允价值，采用 </w:t>
            </w:r>
            <w:r>
              <w:rPr>
                <w:rFonts w:ascii="Arial MT" w:eastAsia="Arial MT"/>
                <w:sz w:val="24"/>
              </w:rPr>
              <w:t>Black-Scholes</w:t>
            </w:r>
            <w:r>
              <w:rPr>
                <w:rFonts w:ascii="Arial MT" w:eastAsia="Arial MT"/>
                <w:spacing w:val="-13"/>
                <w:sz w:val="24"/>
              </w:rPr>
              <w:t> </w:t>
            </w:r>
            <w:r>
              <w:rPr>
                <w:sz w:val="24"/>
              </w:rPr>
              <w:t>期权定价模型，</w:t>
            </w:r>
            <w:r>
              <w:rPr>
                <w:spacing w:val="-117"/>
                <w:sz w:val="24"/>
              </w:rPr>
              <w:t> </w:t>
            </w:r>
            <w:r>
              <w:rPr>
                <w:spacing w:val="-1"/>
                <w:sz w:val="24"/>
              </w:rPr>
              <w:t>结合股票期权的条款和条件，作出估计。下表列示了所用模型的输入变量：</w:t>
            </w:r>
          </w:p>
        </w:tc>
      </w:tr>
      <w:tr>
        <w:trPr>
          <w:trHeight w:val="471" w:hRule="atLeast"/>
        </w:trPr>
        <w:tc>
          <w:tcPr>
            <w:tcW w:w="4151" w:type="dxa"/>
          </w:tcPr>
          <w:p>
            <w:pPr>
              <w:pStyle w:val="TableParagraph"/>
              <w:spacing w:line="307" w:lineRule="exact" w:before="144"/>
              <w:ind w:left="200"/>
              <w:rPr>
                <w:rFonts w:ascii="Arial MT" w:eastAsia="Arial MT"/>
                <w:sz w:val="24"/>
              </w:rPr>
            </w:pPr>
            <w:r>
              <w:rPr>
                <w:spacing w:val="-1"/>
                <w:sz w:val="24"/>
              </w:rPr>
              <w:t>预计股息率</w:t>
            </w:r>
            <w:r>
              <w:rPr>
                <w:rFonts w:ascii="Arial MT" w:eastAsia="Arial MT"/>
                <w:sz w:val="24"/>
              </w:rPr>
              <w:t>(i)</w:t>
            </w:r>
          </w:p>
        </w:tc>
        <w:tc>
          <w:tcPr>
            <w:tcW w:w="4291" w:type="dxa"/>
          </w:tcPr>
          <w:p>
            <w:pPr>
              <w:pStyle w:val="TableParagraph"/>
              <w:spacing w:line="275" w:lineRule="exact" w:before="176"/>
              <w:ind w:right="307"/>
              <w:jc w:val="right"/>
              <w:rPr>
                <w:rFonts w:ascii="Arial MT"/>
                <w:sz w:val="24"/>
              </w:rPr>
            </w:pPr>
            <w:r>
              <w:rPr>
                <w:rFonts w:ascii="Arial MT"/>
                <w:sz w:val="24"/>
              </w:rPr>
              <w:t>0.00%</w:t>
            </w:r>
          </w:p>
        </w:tc>
      </w:tr>
      <w:tr>
        <w:trPr>
          <w:trHeight w:val="292" w:hRule="atLeast"/>
        </w:trPr>
        <w:tc>
          <w:tcPr>
            <w:tcW w:w="4151" w:type="dxa"/>
          </w:tcPr>
          <w:p>
            <w:pPr>
              <w:pStyle w:val="TableParagraph"/>
              <w:spacing w:line="273" w:lineRule="exact"/>
              <w:ind w:left="200"/>
              <w:rPr>
                <w:sz w:val="24"/>
              </w:rPr>
            </w:pPr>
            <w:r>
              <w:rPr>
                <w:sz w:val="24"/>
              </w:rPr>
              <w:t>股价预计波动率</w:t>
            </w:r>
          </w:p>
        </w:tc>
        <w:tc>
          <w:tcPr>
            <w:tcW w:w="4291" w:type="dxa"/>
          </w:tcPr>
          <w:p>
            <w:pPr>
              <w:pStyle w:val="TableParagraph"/>
              <w:spacing w:line="256" w:lineRule="exact" w:before="17"/>
              <w:ind w:right="307"/>
              <w:jc w:val="right"/>
              <w:rPr>
                <w:rFonts w:ascii="Arial MT"/>
                <w:sz w:val="24"/>
              </w:rPr>
            </w:pPr>
            <w:r>
              <w:rPr>
                <w:rFonts w:ascii="Arial MT"/>
                <w:sz w:val="24"/>
              </w:rPr>
              <w:t>35.00%-39.57%</w:t>
            </w:r>
          </w:p>
        </w:tc>
      </w:tr>
    </w:tbl>
    <w:p>
      <w:pPr>
        <w:spacing w:after="0" w:line="256" w:lineRule="exact"/>
        <w:jc w:val="right"/>
        <w:rPr>
          <w:rFonts w:ascii="Arial MT"/>
          <w:sz w:val="24"/>
        </w:rPr>
        <w:sectPr>
          <w:pgSz w:w="11910" w:h="16840"/>
          <w:pgMar w:header="882" w:footer="1195" w:top="1120" w:bottom="1380" w:left="1480" w:right="0"/>
        </w:sectPr>
      </w:pPr>
    </w:p>
    <w:p>
      <w:pPr>
        <w:pStyle w:val="BodyText"/>
        <w:ind w:left="0"/>
        <w:rPr>
          <w:sz w:val="20"/>
        </w:rPr>
      </w:pPr>
    </w:p>
    <w:p>
      <w:pPr>
        <w:pStyle w:val="BodyText"/>
        <w:spacing w:before="9"/>
        <w:ind w:left="0"/>
        <w:rPr>
          <w:sz w:val="13"/>
        </w:rPr>
      </w:pP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99"/>
        <w:gridCol w:w="3431"/>
      </w:tblGrid>
      <w:tr>
        <w:trPr>
          <w:trHeight w:val="287" w:hRule="atLeast"/>
        </w:trPr>
        <w:tc>
          <w:tcPr>
            <w:tcW w:w="4999" w:type="dxa"/>
          </w:tcPr>
          <w:p>
            <w:pPr>
              <w:pStyle w:val="TableParagraph"/>
              <w:spacing w:line="268" w:lineRule="exact"/>
              <w:ind w:left="200"/>
              <w:rPr>
                <w:sz w:val="24"/>
              </w:rPr>
            </w:pPr>
            <w:r>
              <w:rPr>
                <w:sz w:val="24"/>
              </w:rPr>
              <w:t>期权有效期内的无风险利率</w:t>
            </w:r>
          </w:p>
        </w:tc>
        <w:tc>
          <w:tcPr>
            <w:tcW w:w="3431" w:type="dxa"/>
          </w:tcPr>
          <w:p>
            <w:pPr>
              <w:pStyle w:val="TableParagraph"/>
              <w:spacing w:line="268" w:lineRule="exact"/>
              <w:ind w:right="295"/>
              <w:jc w:val="right"/>
              <w:rPr>
                <w:rFonts w:ascii="Arial MT"/>
                <w:sz w:val="24"/>
              </w:rPr>
            </w:pPr>
            <w:r>
              <w:rPr>
                <w:rFonts w:ascii="Arial MT"/>
                <w:sz w:val="24"/>
              </w:rPr>
              <w:t>2.72%-3.22%</w:t>
            </w:r>
          </w:p>
        </w:tc>
      </w:tr>
      <w:tr>
        <w:trPr>
          <w:trHeight w:val="441" w:hRule="atLeast"/>
        </w:trPr>
        <w:tc>
          <w:tcPr>
            <w:tcW w:w="4999" w:type="dxa"/>
          </w:tcPr>
          <w:p>
            <w:pPr>
              <w:pStyle w:val="TableParagraph"/>
              <w:spacing w:line="299" w:lineRule="exact"/>
              <w:ind w:left="200"/>
              <w:rPr>
                <w:rFonts w:ascii="Arial MT" w:eastAsia="Arial MT"/>
                <w:sz w:val="24"/>
              </w:rPr>
            </w:pPr>
            <w:r>
              <w:rPr>
                <w:spacing w:val="-1"/>
                <w:sz w:val="24"/>
              </w:rPr>
              <w:t>授予日的行权价格</w:t>
            </w:r>
            <w:r>
              <w:rPr>
                <w:rFonts w:ascii="Arial MT" w:eastAsia="Arial MT"/>
                <w:sz w:val="24"/>
              </w:rPr>
              <w:t>(</w:t>
            </w:r>
            <w:r>
              <w:rPr>
                <w:sz w:val="24"/>
              </w:rPr>
              <w:t>人民币</w:t>
            </w:r>
            <w:r>
              <w:rPr>
                <w:rFonts w:ascii="Arial MT" w:eastAsia="Arial MT"/>
                <w:sz w:val="24"/>
              </w:rPr>
              <w:t>/</w:t>
            </w:r>
            <w:r>
              <w:rPr>
                <w:sz w:val="24"/>
              </w:rPr>
              <w:t>股</w:t>
            </w:r>
            <w:r>
              <w:rPr>
                <w:rFonts w:ascii="Arial MT" w:eastAsia="Arial MT"/>
                <w:sz w:val="24"/>
              </w:rPr>
              <w:t>)</w:t>
            </w:r>
          </w:p>
        </w:tc>
        <w:tc>
          <w:tcPr>
            <w:tcW w:w="3431" w:type="dxa"/>
          </w:tcPr>
          <w:p>
            <w:pPr>
              <w:pStyle w:val="TableParagraph"/>
              <w:spacing w:line="299" w:lineRule="exact"/>
              <w:ind w:right="294"/>
              <w:jc w:val="right"/>
              <w:rPr>
                <w:sz w:val="24"/>
              </w:rPr>
            </w:pPr>
            <w:r>
              <w:rPr>
                <w:rFonts w:ascii="Arial MT" w:eastAsia="Arial MT"/>
                <w:sz w:val="24"/>
              </w:rPr>
              <w:t>12.05</w:t>
            </w:r>
            <w:r>
              <w:rPr>
                <w:rFonts w:ascii="Arial MT" w:eastAsia="Arial MT"/>
                <w:spacing w:val="-14"/>
                <w:sz w:val="24"/>
              </w:rPr>
              <w:t> </w:t>
            </w:r>
            <w:r>
              <w:rPr>
                <w:sz w:val="24"/>
              </w:rPr>
              <w:t>元</w:t>
            </w:r>
          </w:p>
        </w:tc>
      </w:tr>
      <w:tr>
        <w:trPr>
          <w:trHeight w:val="1032" w:hRule="atLeast"/>
        </w:trPr>
        <w:tc>
          <w:tcPr>
            <w:tcW w:w="8430" w:type="dxa"/>
            <w:gridSpan w:val="2"/>
          </w:tcPr>
          <w:p>
            <w:pPr>
              <w:pStyle w:val="TableParagraph"/>
              <w:spacing w:line="242" w:lineRule="auto" w:before="137"/>
              <w:ind w:left="200" w:right="197"/>
              <w:rPr>
                <w:sz w:val="24"/>
              </w:rPr>
            </w:pPr>
            <w:r>
              <w:rPr>
                <w:rFonts w:ascii="Arial MT" w:eastAsia="Arial MT"/>
                <w:sz w:val="24"/>
              </w:rPr>
              <w:t>(i)</w:t>
            </w:r>
            <w:r>
              <w:rPr>
                <w:spacing w:val="9"/>
                <w:sz w:val="24"/>
              </w:rPr>
              <w:t>若在激励计划公告当日至激励对象完成股票期权行权期间，本公司有派</w:t>
            </w:r>
            <w:r>
              <w:rPr>
                <w:sz w:val="24"/>
              </w:rPr>
              <w:t>息、配股等事项，应对股票期权行权价格进行相应的调减。因此，本公司在</w:t>
            </w:r>
          </w:p>
          <w:p>
            <w:pPr>
              <w:pStyle w:val="TableParagraph"/>
              <w:spacing w:line="254" w:lineRule="exact"/>
              <w:ind w:left="200"/>
              <w:rPr>
                <w:sz w:val="24"/>
              </w:rPr>
            </w:pPr>
            <w:r>
              <w:rPr>
                <w:sz w:val="24"/>
              </w:rPr>
              <w:t>计算授予日股票期权公允价值时输入的预计股息率为零。</w:t>
            </w:r>
          </w:p>
        </w:tc>
      </w:tr>
    </w:tbl>
    <w:p>
      <w:pPr>
        <w:pStyle w:val="BodyText"/>
        <w:spacing w:before="7" w:after="1"/>
        <w:ind w:left="0"/>
        <w:rPr>
          <w:sz w:val="24"/>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9"/>
        <w:gridCol w:w="8421"/>
      </w:tblGrid>
      <w:tr>
        <w:trPr>
          <w:trHeight w:val="1855" w:hRule="atLeast"/>
        </w:trPr>
        <w:tc>
          <w:tcPr>
            <w:tcW w:w="719" w:type="dxa"/>
          </w:tcPr>
          <w:p>
            <w:pPr>
              <w:pStyle w:val="TableParagraph"/>
              <w:spacing w:line="268" w:lineRule="exact"/>
              <w:ind w:left="200"/>
              <w:rPr>
                <w:rFonts w:ascii="Arial MT"/>
                <w:sz w:val="24"/>
              </w:rPr>
            </w:pPr>
            <w:r>
              <w:rPr>
                <w:rFonts w:ascii="Arial MT"/>
                <w:sz w:val="24"/>
              </w:rPr>
              <w:t>(iii)</w:t>
            </w:r>
          </w:p>
        </w:tc>
        <w:tc>
          <w:tcPr>
            <w:tcW w:w="8421" w:type="dxa"/>
          </w:tcPr>
          <w:p>
            <w:pPr>
              <w:pStyle w:val="TableParagraph"/>
              <w:spacing w:line="302" w:lineRule="exact"/>
              <w:ind w:left="200"/>
              <w:rPr>
                <w:sz w:val="24"/>
              </w:rPr>
            </w:pPr>
            <w:r>
              <w:rPr>
                <w:spacing w:val="-1"/>
                <w:sz w:val="24"/>
              </w:rPr>
              <w:t>本公司根据《激励计划</w:t>
            </w:r>
            <w:r>
              <w:rPr>
                <w:rFonts w:ascii="Arial MT" w:eastAsia="Arial MT"/>
                <w:sz w:val="24"/>
              </w:rPr>
              <w:t>(</w:t>
            </w:r>
            <w:r>
              <w:rPr>
                <w:sz w:val="24"/>
              </w:rPr>
              <w:t>草案修订稿</w:t>
            </w:r>
            <w:r>
              <w:rPr>
                <w:rFonts w:ascii="Arial MT" w:eastAsia="Arial MT"/>
                <w:sz w:val="24"/>
              </w:rPr>
              <w:t>)</w:t>
            </w:r>
            <w:r>
              <w:rPr>
                <w:spacing w:val="-5"/>
                <w:sz w:val="24"/>
              </w:rPr>
              <w:t>》的相关规定和本公司 </w:t>
            </w:r>
            <w:r>
              <w:rPr>
                <w:rFonts w:ascii="Arial MT" w:eastAsia="Arial MT"/>
                <w:sz w:val="24"/>
              </w:rPr>
              <w:t>2019</w:t>
            </w:r>
            <w:r>
              <w:rPr>
                <w:rFonts w:ascii="Arial MT" w:eastAsia="Arial MT"/>
                <w:spacing w:val="-8"/>
                <w:sz w:val="24"/>
              </w:rPr>
              <w:t> </w:t>
            </w:r>
            <w:r>
              <w:rPr>
                <w:sz w:val="24"/>
              </w:rPr>
              <w:t>年第一次临</w:t>
            </w:r>
          </w:p>
          <w:p>
            <w:pPr>
              <w:pStyle w:val="TableParagraph"/>
              <w:spacing w:before="4"/>
              <w:ind w:left="200"/>
              <w:rPr>
                <w:sz w:val="24"/>
              </w:rPr>
            </w:pPr>
            <w:r>
              <w:rPr>
                <w:spacing w:val="-2"/>
                <w:sz w:val="24"/>
              </w:rPr>
              <w:t>时股东大会授权，于 </w:t>
            </w:r>
            <w:r>
              <w:rPr>
                <w:rFonts w:ascii="Arial MT" w:eastAsia="Arial MT"/>
                <w:sz w:val="24"/>
              </w:rPr>
              <w:t>2019</w:t>
            </w:r>
            <w:r>
              <w:rPr>
                <w:rFonts w:ascii="Arial MT" w:eastAsia="Arial MT"/>
                <w:spacing w:val="26"/>
                <w:sz w:val="24"/>
              </w:rPr>
              <w:t> </w:t>
            </w:r>
            <w:r>
              <w:rPr>
                <w:spacing w:val="-8"/>
                <w:sz w:val="24"/>
              </w:rPr>
              <w:t>年 </w:t>
            </w:r>
            <w:r>
              <w:rPr>
                <w:rFonts w:ascii="Arial MT" w:eastAsia="Arial MT"/>
                <w:sz w:val="24"/>
              </w:rPr>
              <w:t>9</w:t>
            </w:r>
            <w:r>
              <w:rPr>
                <w:rFonts w:ascii="Arial MT" w:eastAsia="Arial MT"/>
                <w:spacing w:val="26"/>
                <w:sz w:val="24"/>
              </w:rPr>
              <w:t> </w:t>
            </w:r>
            <w:r>
              <w:rPr>
                <w:spacing w:val="-7"/>
                <w:sz w:val="24"/>
              </w:rPr>
              <w:t>月 </w:t>
            </w:r>
            <w:r>
              <w:rPr>
                <w:rFonts w:ascii="Arial MT" w:eastAsia="Arial MT"/>
                <w:sz w:val="24"/>
              </w:rPr>
              <w:t>13</w:t>
            </w:r>
            <w:r>
              <w:rPr>
                <w:rFonts w:ascii="Arial MT" w:eastAsia="Arial MT"/>
                <w:spacing w:val="26"/>
                <w:sz w:val="24"/>
              </w:rPr>
              <w:t> </w:t>
            </w:r>
            <w:r>
              <w:rPr>
                <w:sz w:val="24"/>
              </w:rPr>
              <w:t>日召开董事会审议通过《关于向公司</w:t>
            </w:r>
          </w:p>
          <w:p>
            <w:pPr>
              <w:pStyle w:val="TableParagraph"/>
              <w:spacing w:before="5"/>
              <w:ind w:left="200"/>
              <w:rPr>
                <w:sz w:val="24"/>
              </w:rPr>
            </w:pPr>
            <w:r>
              <w:rPr>
                <w:rFonts w:ascii="Arial MT" w:eastAsia="Arial MT"/>
                <w:sz w:val="24"/>
              </w:rPr>
              <w:t>2019</w:t>
            </w:r>
            <w:r>
              <w:rPr>
                <w:rFonts w:ascii="Arial MT" w:eastAsia="Arial MT"/>
                <w:spacing w:val="49"/>
                <w:sz w:val="24"/>
              </w:rPr>
              <w:t> </w:t>
            </w:r>
            <w:r>
              <w:rPr>
                <w:spacing w:val="12"/>
                <w:sz w:val="24"/>
              </w:rPr>
              <w:t>年股票期权与限制性股票激励计划激励对象授予部分预留权益的议</w:t>
            </w:r>
          </w:p>
          <w:p>
            <w:pPr>
              <w:pStyle w:val="TableParagraph"/>
              <w:spacing w:before="2"/>
              <w:ind w:left="200"/>
              <w:rPr>
                <w:sz w:val="24"/>
              </w:rPr>
            </w:pPr>
            <w:r>
              <w:rPr>
                <w:spacing w:val="3"/>
                <w:sz w:val="24"/>
              </w:rPr>
              <w:t>案》，以 </w:t>
            </w:r>
            <w:r>
              <w:rPr>
                <w:rFonts w:ascii="Arial MT" w:eastAsia="Arial MT"/>
                <w:sz w:val="24"/>
              </w:rPr>
              <w:t>2019</w:t>
            </w:r>
            <w:r>
              <w:rPr>
                <w:rFonts w:ascii="Arial MT" w:eastAsia="Arial MT"/>
                <w:spacing w:val="56"/>
                <w:sz w:val="24"/>
              </w:rPr>
              <w:t> </w:t>
            </w:r>
            <w:r>
              <w:rPr>
                <w:spacing w:val="8"/>
                <w:sz w:val="24"/>
              </w:rPr>
              <w:t>年 </w:t>
            </w:r>
            <w:r>
              <w:rPr>
                <w:rFonts w:ascii="Arial MT" w:eastAsia="Arial MT"/>
                <w:sz w:val="24"/>
              </w:rPr>
              <w:t>9</w:t>
            </w:r>
            <w:r>
              <w:rPr>
                <w:rFonts w:ascii="Arial MT" w:eastAsia="Arial MT"/>
                <w:spacing w:val="55"/>
                <w:sz w:val="24"/>
              </w:rPr>
              <w:t> </w:t>
            </w:r>
            <w:r>
              <w:rPr>
                <w:spacing w:val="8"/>
                <w:sz w:val="24"/>
              </w:rPr>
              <w:t>月 </w:t>
            </w:r>
            <w:r>
              <w:rPr>
                <w:rFonts w:ascii="Arial MT" w:eastAsia="Arial MT"/>
                <w:sz w:val="24"/>
              </w:rPr>
              <w:t>11</w:t>
            </w:r>
            <w:r>
              <w:rPr>
                <w:rFonts w:ascii="Arial MT" w:eastAsia="Arial MT"/>
                <w:spacing w:val="54"/>
                <w:sz w:val="24"/>
              </w:rPr>
              <w:t> </w:t>
            </w:r>
            <w:r>
              <w:rPr>
                <w:spacing w:val="2"/>
                <w:sz w:val="24"/>
              </w:rPr>
              <w:t>日为授予日，向 </w:t>
            </w:r>
            <w:r>
              <w:rPr>
                <w:rFonts w:ascii="Arial MT" w:eastAsia="Arial MT"/>
                <w:sz w:val="24"/>
              </w:rPr>
              <w:t>74</w:t>
            </w:r>
            <w:r>
              <w:rPr>
                <w:rFonts w:ascii="Arial MT" w:eastAsia="Arial MT"/>
                <w:spacing w:val="55"/>
                <w:sz w:val="24"/>
              </w:rPr>
              <w:t> </w:t>
            </w:r>
            <w:r>
              <w:rPr>
                <w:sz w:val="24"/>
              </w:rPr>
              <w:t>名股票期权激励对象授予</w:t>
            </w:r>
          </w:p>
          <w:p>
            <w:pPr>
              <w:pStyle w:val="TableParagraph"/>
              <w:spacing w:before="4"/>
              <w:ind w:left="200"/>
              <w:rPr>
                <w:sz w:val="24"/>
              </w:rPr>
            </w:pPr>
            <w:r>
              <w:rPr>
                <w:rFonts w:ascii="Arial MT" w:eastAsia="Arial MT"/>
                <w:spacing w:val="-1"/>
                <w:sz w:val="24"/>
              </w:rPr>
              <w:t>473,000</w:t>
            </w:r>
            <w:r>
              <w:rPr>
                <w:rFonts w:ascii="Arial MT" w:eastAsia="Arial MT"/>
                <w:spacing w:val="-10"/>
                <w:sz w:val="24"/>
              </w:rPr>
              <w:t> </w:t>
            </w:r>
            <w:r>
              <w:rPr>
                <w:spacing w:val="-5"/>
                <w:sz w:val="24"/>
              </w:rPr>
              <w:t>份股票期权，授予日的行权价格为每股 </w:t>
            </w:r>
            <w:r>
              <w:rPr>
                <w:rFonts w:ascii="Arial MT" w:eastAsia="Arial MT"/>
                <w:sz w:val="24"/>
              </w:rPr>
              <w:t>11.921</w:t>
            </w:r>
            <w:r>
              <w:rPr>
                <w:rFonts w:ascii="Arial MT" w:eastAsia="Arial MT"/>
                <w:spacing w:val="-10"/>
                <w:sz w:val="24"/>
              </w:rPr>
              <w:t> </w:t>
            </w:r>
            <w:r>
              <w:rPr>
                <w:sz w:val="24"/>
              </w:rPr>
              <w:t>元。股票期权在行权</w:t>
            </w:r>
          </w:p>
          <w:p>
            <w:pPr>
              <w:pStyle w:val="TableParagraph"/>
              <w:spacing w:line="283" w:lineRule="exact" w:before="5"/>
              <w:ind w:left="200"/>
              <w:rPr>
                <w:sz w:val="24"/>
              </w:rPr>
            </w:pPr>
            <w:r>
              <w:rPr>
                <w:sz w:val="24"/>
              </w:rPr>
              <w:t>前并不赋予持有人享有股息或于股东大会上投票的权利。</w:t>
            </w:r>
          </w:p>
        </w:tc>
      </w:tr>
      <w:tr>
        <w:trPr>
          <w:trHeight w:val="297" w:hRule="atLeast"/>
        </w:trPr>
        <w:tc>
          <w:tcPr>
            <w:tcW w:w="719" w:type="dxa"/>
          </w:tcPr>
          <w:p>
            <w:pPr>
              <w:pStyle w:val="TableParagraph"/>
              <w:rPr>
                <w:rFonts w:ascii="Times New Roman"/>
                <w:sz w:val="22"/>
              </w:rPr>
            </w:pPr>
          </w:p>
        </w:tc>
        <w:tc>
          <w:tcPr>
            <w:tcW w:w="8421" w:type="dxa"/>
          </w:tcPr>
          <w:p>
            <w:pPr>
              <w:pStyle w:val="TableParagraph"/>
              <w:spacing w:line="271" w:lineRule="exact" w:before="6"/>
              <w:ind w:left="200"/>
              <w:rPr>
                <w:sz w:val="24"/>
              </w:rPr>
            </w:pPr>
            <w:r>
              <w:rPr>
                <w:sz w:val="24"/>
              </w:rPr>
              <w:t>该次发行在外的股票期权计划的服务期分为</w:t>
            </w:r>
            <w:r>
              <w:rPr>
                <w:rFonts w:ascii="Arial MT" w:eastAsia="Arial MT"/>
                <w:sz w:val="24"/>
              </w:rPr>
              <w:t>5</w:t>
            </w:r>
            <w:r>
              <w:rPr>
                <w:sz w:val="24"/>
              </w:rPr>
              <w:t>个阶段：</w:t>
            </w:r>
          </w:p>
        </w:tc>
      </w:tr>
    </w:tbl>
    <w:p>
      <w:pPr>
        <w:pStyle w:val="BodyText"/>
        <w:spacing w:before="8"/>
        <w:ind w:left="0"/>
        <w:rPr>
          <w:sz w:val="25"/>
        </w:rPr>
      </w:pP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7"/>
        <w:gridCol w:w="5357"/>
        <w:gridCol w:w="1281"/>
      </w:tblGrid>
      <w:tr>
        <w:trPr>
          <w:trHeight w:val="407" w:hRule="atLeast"/>
        </w:trPr>
        <w:tc>
          <w:tcPr>
            <w:tcW w:w="1697" w:type="dxa"/>
          </w:tcPr>
          <w:p>
            <w:pPr>
              <w:pStyle w:val="TableParagraph"/>
              <w:spacing w:line="274" w:lineRule="exact"/>
              <w:ind w:left="495"/>
              <w:rPr>
                <w:sz w:val="24"/>
              </w:rPr>
            </w:pPr>
            <w:r>
              <w:rPr>
                <w:sz w:val="24"/>
              </w:rPr>
              <w:t>行权安排</w:t>
            </w:r>
          </w:p>
        </w:tc>
        <w:tc>
          <w:tcPr>
            <w:tcW w:w="5357" w:type="dxa"/>
          </w:tcPr>
          <w:p>
            <w:pPr>
              <w:pStyle w:val="TableParagraph"/>
              <w:spacing w:line="274" w:lineRule="exact"/>
              <w:ind w:left="187" w:right="104"/>
              <w:jc w:val="center"/>
              <w:rPr>
                <w:sz w:val="24"/>
              </w:rPr>
            </w:pPr>
            <w:r>
              <w:rPr>
                <w:sz w:val="24"/>
              </w:rPr>
              <w:t>行权时间</w:t>
            </w:r>
          </w:p>
        </w:tc>
        <w:tc>
          <w:tcPr>
            <w:tcW w:w="1281" w:type="dxa"/>
          </w:tcPr>
          <w:p>
            <w:pPr>
              <w:pStyle w:val="TableParagraph"/>
              <w:spacing w:line="274" w:lineRule="exact"/>
              <w:ind w:right="201"/>
              <w:jc w:val="right"/>
              <w:rPr>
                <w:sz w:val="24"/>
              </w:rPr>
            </w:pPr>
            <w:r>
              <w:rPr>
                <w:sz w:val="24"/>
              </w:rPr>
              <w:t>行权比例</w:t>
            </w:r>
          </w:p>
        </w:tc>
      </w:tr>
      <w:tr>
        <w:trPr>
          <w:trHeight w:val="1087" w:hRule="atLeast"/>
        </w:trPr>
        <w:tc>
          <w:tcPr>
            <w:tcW w:w="1697" w:type="dxa"/>
          </w:tcPr>
          <w:p>
            <w:pPr>
              <w:pStyle w:val="TableParagraph"/>
              <w:rPr>
                <w:sz w:val="24"/>
              </w:rPr>
            </w:pPr>
          </w:p>
          <w:p>
            <w:pPr>
              <w:pStyle w:val="TableParagraph"/>
              <w:spacing w:before="12"/>
              <w:rPr>
                <w:sz w:val="35"/>
              </w:rPr>
            </w:pPr>
          </w:p>
          <w:p>
            <w:pPr>
              <w:pStyle w:val="TableParagraph"/>
              <w:spacing w:line="299" w:lineRule="exact"/>
              <w:ind w:right="56"/>
              <w:jc w:val="right"/>
              <w:rPr>
                <w:sz w:val="24"/>
              </w:rPr>
            </w:pPr>
            <w:r>
              <w:rPr>
                <w:sz w:val="24"/>
              </w:rPr>
              <w:t>第一个行权期</w:t>
            </w:r>
          </w:p>
        </w:tc>
        <w:tc>
          <w:tcPr>
            <w:tcW w:w="5357" w:type="dxa"/>
          </w:tcPr>
          <w:p>
            <w:pPr>
              <w:pStyle w:val="TableParagraph"/>
              <w:spacing w:before="144"/>
              <w:ind w:left="56"/>
              <w:rPr>
                <w:sz w:val="24"/>
              </w:rPr>
            </w:pPr>
            <w:r>
              <w:rPr>
                <w:spacing w:val="7"/>
                <w:w w:val="95"/>
                <w:sz w:val="24"/>
              </w:rPr>
              <w:t>自预留部分授予日起 </w:t>
            </w:r>
            <w:r>
              <w:rPr>
                <w:rFonts w:ascii="Arial MT" w:eastAsia="Arial MT"/>
                <w:w w:val="95"/>
                <w:sz w:val="24"/>
              </w:rPr>
              <w:t>12</w:t>
            </w:r>
            <w:r>
              <w:rPr>
                <w:rFonts w:ascii="Arial MT" w:eastAsia="Arial MT"/>
                <w:spacing w:val="107"/>
                <w:sz w:val="24"/>
              </w:rPr>
              <w:t> </w:t>
            </w:r>
            <w:r>
              <w:rPr>
                <w:w w:val="95"/>
                <w:sz w:val="24"/>
              </w:rPr>
              <w:t>个月后的首个交易日起至</w:t>
            </w:r>
          </w:p>
          <w:p>
            <w:pPr>
              <w:pStyle w:val="TableParagraph"/>
              <w:spacing w:line="310" w:lineRule="atLeast"/>
              <w:ind w:left="296" w:right="120"/>
              <w:rPr>
                <w:sz w:val="24"/>
              </w:rPr>
            </w:pPr>
            <w:r>
              <w:rPr>
                <w:spacing w:val="-8"/>
                <w:sz w:val="24"/>
              </w:rPr>
              <w:t>预留部分授予日起 </w:t>
            </w:r>
            <w:r>
              <w:rPr>
                <w:rFonts w:ascii="Arial MT" w:eastAsia="Arial MT"/>
                <w:spacing w:val="-1"/>
                <w:sz w:val="24"/>
              </w:rPr>
              <w:t>24</w:t>
            </w:r>
            <w:r>
              <w:rPr>
                <w:rFonts w:ascii="Arial MT" w:eastAsia="Arial MT"/>
                <w:spacing w:val="-15"/>
                <w:sz w:val="24"/>
              </w:rPr>
              <w:t> </w:t>
            </w:r>
            <w:r>
              <w:rPr>
                <w:spacing w:val="-1"/>
                <w:sz w:val="24"/>
              </w:rPr>
              <w:t>个月内的最后一个交易日</w:t>
            </w:r>
            <w:r>
              <w:rPr>
                <w:sz w:val="24"/>
              </w:rPr>
              <w:t>当日止</w:t>
            </w:r>
          </w:p>
        </w:tc>
        <w:tc>
          <w:tcPr>
            <w:tcW w:w="1281" w:type="dxa"/>
          </w:tcPr>
          <w:p>
            <w:pPr>
              <w:pStyle w:val="TableParagraph"/>
              <w:rPr>
                <w:sz w:val="26"/>
              </w:rPr>
            </w:pPr>
          </w:p>
          <w:p>
            <w:pPr>
              <w:pStyle w:val="TableParagraph"/>
              <w:spacing w:before="3"/>
              <w:rPr>
                <w:sz w:val="36"/>
              </w:rPr>
            </w:pPr>
          </w:p>
          <w:p>
            <w:pPr>
              <w:pStyle w:val="TableParagraph"/>
              <w:spacing w:line="270" w:lineRule="exact"/>
              <w:ind w:right="198"/>
              <w:jc w:val="right"/>
              <w:rPr>
                <w:rFonts w:ascii="Arial MT"/>
                <w:sz w:val="24"/>
              </w:rPr>
            </w:pPr>
            <w:r>
              <w:rPr>
                <w:rFonts w:ascii="Arial MT"/>
                <w:sz w:val="24"/>
              </w:rPr>
              <w:t>20%</w:t>
            </w:r>
          </w:p>
        </w:tc>
      </w:tr>
      <w:tr>
        <w:trPr>
          <w:trHeight w:val="933" w:hRule="atLeast"/>
        </w:trPr>
        <w:tc>
          <w:tcPr>
            <w:tcW w:w="1697" w:type="dxa"/>
          </w:tcPr>
          <w:p>
            <w:pPr>
              <w:pStyle w:val="TableParagraph"/>
              <w:rPr>
                <w:sz w:val="24"/>
              </w:rPr>
            </w:pPr>
          </w:p>
          <w:p>
            <w:pPr>
              <w:pStyle w:val="TableParagraph"/>
              <w:spacing w:before="12"/>
              <w:rPr>
                <w:sz w:val="23"/>
              </w:rPr>
            </w:pPr>
          </w:p>
          <w:p>
            <w:pPr>
              <w:pStyle w:val="TableParagraph"/>
              <w:spacing w:line="299" w:lineRule="exact"/>
              <w:ind w:right="56"/>
              <w:jc w:val="right"/>
              <w:rPr>
                <w:sz w:val="24"/>
              </w:rPr>
            </w:pPr>
            <w:r>
              <w:rPr>
                <w:sz w:val="24"/>
              </w:rPr>
              <w:t>第二个行权期</w:t>
            </w:r>
          </w:p>
        </w:tc>
        <w:tc>
          <w:tcPr>
            <w:tcW w:w="5357" w:type="dxa"/>
          </w:tcPr>
          <w:p>
            <w:pPr>
              <w:pStyle w:val="TableParagraph"/>
              <w:spacing w:line="298" w:lineRule="exact"/>
              <w:ind w:left="56"/>
              <w:rPr>
                <w:sz w:val="24"/>
              </w:rPr>
            </w:pPr>
            <w:r>
              <w:rPr>
                <w:spacing w:val="7"/>
                <w:w w:val="95"/>
                <w:sz w:val="24"/>
              </w:rPr>
              <w:t>自预留部分授权日起 </w:t>
            </w:r>
            <w:r>
              <w:rPr>
                <w:rFonts w:ascii="Arial MT" w:eastAsia="Arial MT"/>
                <w:w w:val="95"/>
                <w:sz w:val="24"/>
              </w:rPr>
              <w:t>24</w:t>
            </w:r>
            <w:r>
              <w:rPr>
                <w:rFonts w:ascii="Arial MT" w:eastAsia="Arial MT"/>
                <w:spacing w:val="107"/>
                <w:sz w:val="24"/>
              </w:rPr>
              <w:t> </w:t>
            </w:r>
            <w:r>
              <w:rPr>
                <w:w w:val="95"/>
                <w:sz w:val="24"/>
              </w:rPr>
              <w:t>个月后的首个交易日起至</w:t>
            </w:r>
          </w:p>
          <w:p>
            <w:pPr>
              <w:pStyle w:val="TableParagraph"/>
              <w:spacing w:line="310" w:lineRule="atLeast"/>
              <w:ind w:left="296" w:right="120"/>
              <w:rPr>
                <w:sz w:val="24"/>
              </w:rPr>
            </w:pPr>
            <w:r>
              <w:rPr>
                <w:spacing w:val="-8"/>
                <w:sz w:val="24"/>
              </w:rPr>
              <w:t>预留部分授予日起 </w:t>
            </w:r>
            <w:r>
              <w:rPr>
                <w:rFonts w:ascii="Arial MT" w:eastAsia="Arial MT"/>
                <w:spacing w:val="-1"/>
                <w:sz w:val="24"/>
              </w:rPr>
              <w:t>36</w:t>
            </w:r>
            <w:r>
              <w:rPr>
                <w:rFonts w:ascii="Arial MT" w:eastAsia="Arial MT"/>
                <w:spacing w:val="-15"/>
                <w:sz w:val="24"/>
              </w:rPr>
              <w:t> </w:t>
            </w:r>
            <w:r>
              <w:rPr>
                <w:spacing w:val="-1"/>
                <w:sz w:val="24"/>
              </w:rPr>
              <w:t>个月内的最后一个交易日</w:t>
            </w:r>
            <w:r>
              <w:rPr>
                <w:sz w:val="24"/>
              </w:rPr>
              <w:t>当日止</w:t>
            </w:r>
          </w:p>
        </w:tc>
        <w:tc>
          <w:tcPr>
            <w:tcW w:w="1281" w:type="dxa"/>
          </w:tcPr>
          <w:p>
            <w:pPr>
              <w:pStyle w:val="TableParagraph"/>
              <w:rPr>
                <w:sz w:val="26"/>
              </w:rPr>
            </w:pPr>
          </w:p>
          <w:p>
            <w:pPr>
              <w:pStyle w:val="TableParagraph"/>
              <w:spacing w:before="3"/>
              <w:rPr>
                <w:sz w:val="24"/>
              </w:rPr>
            </w:pPr>
          </w:p>
          <w:p>
            <w:pPr>
              <w:pStyle w:val="TableParagraph"/>
              <w:spacing w:line="270" w:lineRule="exact"/>
              <w:ind w:right="198"/>
              <w:jc w:val="right"/>
              <w:rPr>
                <w:rFonts w:ascii="Arial MT"/>
                <w:sz w:val="24"/>
              </w:rPr>
            </w:pPr>
            <w:r>
              <w:rPr>
                <w:rFonts w:ascii="Arial MT"/>
                <w:sz w:val="24"/>
              </w:rPr>
              <w:t>20%</w:t>
            </w:r>
          </w:p>
        </w:tc>
      </w:tr>
      <w:tr>
        <w:trPr>
          <w:trHeight w:val="933" w:hRule="atLeast"/>
        </w:trPr>
        <w:tc>
          <w:tcPr>
            <w:tcW w:w="1697" w:type="dxa"/>
          </w:tcPr>
          <w:p>
            <w:pPr>
              <w:pStyle w:val="TableParagraph"/>
              <w:rPr>
                <w:sz w:val="24"/>
              </w:rPr>
            </w:pPr>
          </w:p>
          <w:p>
            <w:pPr>
              <w:pStyle w:val="TableParagraph"/>
              <w:rPr>
                <w:sz w:val="24"/>
              </w:rPr>
            </w:pPr>
          </w:p>
          <w:p>
            <w:pPr>
              <w:pStyle w:val="TableParagraph"/>
              <w:spacing w:line="299" w:lineRule="exact"/>
              <w:ind w:right="56"/>
              <w:jc w:val="right"/>
              <w:rPr>
                <w:sz w:val="24"/>
              </w:rPr>
            </w:pPr>
            <w:r>
              <w:rPr>
                <w:sz w:val="24"/>
              </w:rPr>
              <w:t>第三个行权期</w:t>
            </w:r>
          </w:p>
        </w:tc>
        <w:tc>
          <w:tcPr>
            <w:tcW w:w="5357" w:type="dxa"/>
          </w:tcPr>
          <w:p>
            <w:pPr>
              <w:pStyle w:val="TableParagraph"/>
              <w:spacing w:line="298" w:lineRule="exact"/>
              <w:ind w:left="56"/>
              <w:rPr>
                <w:sz w:val="24"/>
              </w:rPr>
            </w:pPr>
            <w:r>
              <w:rPr>
                <w:spacing w:val="7"/>
                <w:w w:val="95"/>
                <w:sz w:val="24"/>
              </w:rPr>
              <w:t>自预留部分授权日起 </w:t>
            </w:r>
            <w:r>
              <w:rPr>
                <w:rFonts w:ascii="Arial MT" w:eastAsia="Arial MT"/>
                <w:w w:val="95"/>
                <w:sz w:val="24"/>
              </w:rPr>
              <w:t>36</w:t>
            </w:r>
            <w:r>
              <w:rPr>
                <w:rFonts w:ascii="Arial MT" w:eastAsia="Arial MT"/>
                <w:spacing w:val="107"/>
                <w:sz w:val="24"/>
              </w:rPr>
              <w:t> </w:t>
            </w:r>
            <w:r>
              <w:rPr>
                <w:w w:val="95"/>
                <w:sz w:val="24"/>
              </w:rPr>
              <w:t>个月后的首个交易日起至</w:t>
            </w:r>
          </w:p>
          <w:p>
            <w:pPr>
              <w:pStyle w:val="TableParagraph"/>
              <w:spacing w:line="310" w:lineRule="atLeast"/>
              <w:ind w:left="296" w:right="120"/>
              <w:rPr>
                <w:sz w:val="24"/>
              </w:rPr>
            </w:pPr>
            <w:r>
              <w:rPr>
                <w:spacing w:val="-8"/>
                <w:sz w:val="24"/>
              </w:rPr>
              <w:t>预留部分授予日起 </w:t>
            </w:r>
            <w:r>
              <w:rPr>
                <w:rFonts w:ascii="Arial MT" w:eastAsia="Arial MT"/>
                <w:spacing w:val="-1"/>
                <w:sz w:val="24"/>
              </w:rPr>
              <w:t>48</w:t>
            </w:r>
            <w:r>
              <w:rPr>
                <w:rFonts w:ascii="Arial MT" w:eastAsia="Arial MT"/>
                <w:spacing w:val="-15"/>
                <w:sz w:val="24"/>
              </w:rPr>
              <w:t> </w:t>
            </w:r>
            <w:r>
              <w:rPr>
                <w:spacing w:val="-1"/>
                <w:sz w:val="24"/>
              </w:rPr>
              <w:t>个月内的最后一个交易日</w:t>
            </w:r>
            <w:r>
              <w:rPr>
                <w:sz w:val="24"/>
              </w:rPr>
              <w:t>当日止</w:t>
            </w:r>
          </w:p>
        </w:tc>
        <w:tc>
          <w:tcPr>
            <w:tcW w:w="1281" w:type="dxa"/>
          </w:tcPr>
          <w:p>
            <w:pPr>
              <w:pStyle w:val="TableParagraph"/>
              <w:rPr>
                <w:sz w:val="26"/>
              </w:rPr>
            </w:pPr>
          </w:p>
          <w:p>
            <w:pPr>
              <w:pStyle w:val="TableParagraph"/>
              <w:spacing w:before="3"/>
              <w:rPr>
                <w:sz w:val="24"/>
              </w:rPr>
            </w:pPr>
          </w:p>
          <w:p>
            <w:pPr>
              <w:pStyle w:val="TableParagraph"/>
              <w:spacing w:line="270" w:lineRule="exact" w:before="1"/>
              <w:ind w:right="198"/>
              <w:jc w:val="right"/>
              <w:rPr>
                <w:rFonts w:ascii="Arial MT"/>
                <w:sz w:val="24"/>
              </w:rPr>
            </w:pPr>
            <w:r>
              <w:rPr>
                <w:rFonts w:ascii="Arial MT"/>
                <w:sz w:val="24"/>
              </w:rPr>
              <w:t>20%</w:t>
            </w:r>
          </w:p>
        </w:tc>
      </w:tr>
      <w:tr>
        <w:trPr>
          <w:trHeight w:val="936" w:hRule="atLeast"/>
        </w:trPr>
        <w:tc>
          <w:tcPr>
            <w:tcW w:w="1697" w:type="dxa"/>
          </w:tcPr>
          <w:p>
            <w:pPr>
              <w:pStyle w:val="TableParagraph"/>
              <w:rPr>
                <w:sz w:val="24"/>
              </w:rPr>
            </w:pPr>
          </w:p>
          <w:p>
            <w:pPr>
              <w:pStyle w:val="TableParagraph"/>
              <w:spacing w:before="12"/>
              <w:rPr>
                <w:sz w:val="23"/>
              </w:rPr>
            </w:pPr>
          </w:p>
          <w:p>
            <w:pPr>
              <w:pStyle w:val="TableParagraph"/>
              <w:spacing w:line="301" w:lineRule="exact"/>
              <w:ind w:right="56"/>
              <w:jc w:val="right"/>
              <w:rPr>
                <w:sz w:val="24"/>
              </w:rPr>
            </w:pPr>
            <w:r>
              <w:rPr>
                <w:sz w:val="24"/>
              </w:rPr>
              <w:t>第四个行权期</w:t>
            </w:r>
          </w:p>
        </w:tc>
        <w:tc>
          <w:tcPr>
            <w:tcW w:w="5357" w:type="dxa"/>
          </w:tcPr>
          <w:p>
            <w:pPr>
              <w:pStyle w:val="TableParagraph"/>
              <w:spacing w:line="298" w:lineRule="exact"/>
              <w:ind w:left="56"/>
              <w:rPr>
                <w:sz w:val="24"/>
              </w:rPr>
            </w:pPr>
            <w:r>
              <w:rPr>
                <w:spacing w:val="7"/>
                <w:w w:val="95"/>
                <w:sz w:val="24"/>
              </w:rPr>
              <w:t>自预留部分授权日起 </w:t>
            </w:r>
            <w:r>
              <w:rPr>
                <w:rFonts w:ascii="Arial MT" w:eastAsia="Arial MT"/>
                <w:w w:val="95"/>
                <w:sz w:val="24"/>
              </w:rPr>
              <w:t>48</w:t>
            </w:r>
            <w:r>
              <w:rPr>
                <w:rFonts w:ascii="Arial MT" w:eastAsia="Arial MT"/>
                <w:spacing w:val="107"/>
                <w:sz w:val="24"/>
              </w:rPr>
              <w:t> </w:t>
            </w:r>
            <w:r>
              <w:rPr>
                <w:w w:val="95"/>
                <w:sz w:val="24"/>
              </w:rPr>
              <w:t>个月后的首个交易日起至</w:t>
            </w:r>
          </w:p>
          <w:p>
            <w:pPr>
              <w:pStyle w:val="TableParagraph"/>
              <w:spacing w:line="310" w:lineRule="atLeast"/>
              <w:ind w:left="296" w:right="120"/>
              <w:rPr>
                <w:sz w:val="24"/>
              </w:rPr>
            </w:pPr>
            <w:r>
              <w:rPr>
                <w:spacing w:val="-8"/>
                <w:sz w:val="24"/>
              </w:rPr>
              <w:t>预留部分授予日起 </w:t>
            </w:r>
            <w:r>
              <w:rPr>
                <w:rFonts w:ascii="Arial MT" w:eastAsia="Arial MT"/>
                <w:spacing w:val="-1"/>
                <w:sz w:val="24"/>
              </w:rPr>
              <w:t>60</w:t>
            </w:r>
            <w:r>
              <w:rPr>
                <w:rFonts w:ascii="Arial MT" w:eastAsia="Arial MT"/>
                <w:spacing w:val="-15"/>
                <w:sz w:val="24"/>
              </w:rPr>
              <w:t> </w:t>
            </w:r>
            <w:r>
              <w:rPr>
                <w:spacing w:val="-1"/>
                <w:sz w:val="24"/>
              </w:rPr>
              <w:t>个月内的最后一个交易日</w:t>
            </w:r>
            <w:r>
              <w:rPr>
                <w:sz w:val="24"/>
              </w:rPr>
              <w:t>当日止</w:t>
            </w:r>
          </w:p>
        </w:tc>
        <w:tc>
          <w:tcPr>
            <w:tcW w:w="1281" w:type="dxa"/>
          </w:tcPr>
          <w:p>
            <w:pPr>
              <w:pStyle w:val="TableParagraph"/>
              <w:rPr>
                <w:sz w:val="26"/>
              </w:rPr>
            </w:pPr>
          </w:p>
          <w:p>
            <w:pPr>
              <w:pStyle w:val="TableParagraph"/>
              <w:spacing w:before="5"/>
              <w:rPr>
                <w:sz w:val="24"/>
              </w:rPr>
            </w:pPr>
          </w:p>
          <w:p>
            <w:pPr>
              <w:pStyle w:val="TableParagraph"/>
              <w:spacing w:line="270" w:lineRule="exact" w:before="1"/>
              <w:ind w:right="198"/>
              <w:jc w:val="right"/>
              <w:rPr>
                <w:rFonts w:ascii="Arial MT"/>
                <w:sz w:val="24"/>
              </w:rPr>
            </w:pPr>
            <w:r>
              <w:rPr>
                <w:rFonts w:ascii="Arial MT"/>
                <w:sz w:val="24"/>
              </w:rPr>
              <w:t>20%</w:t>
            </w:r>
          </w:p>
        </w:tc>
      </w:tr>
      <w:tr>
        <w:trPr>
          <w:trHeight w:val="920" w:hRule="atLeast"/>
        </w:trPr>
        <w:tc>
          <w:tcPr>
            <w:tcW w:w="1697" w:type="dxa"/>
          </w:tcPr>
          <w:p>
            <w:pPr>
              <w:pStyle w:val="TableParagraph"/>
              <w:rPr>
                <w:sz w:val="24"/>
              </w:rPr>
            </w:pPr>
          </w:p>
          <w:p>
            <w:pPr>
              <w:pStyle w:val="TableParagraph"/>
              <w:spacing w:before="10"/>
              <w:rPr>
                <w:sz w:val="23"/>
              </w:rPr>
            </w:pPr>
          </w:p>
          <w:p>
            <w:pPr>
              <w:pStyle w:val="TableParagraph"/>
              <w:spacing w:line="288" w:lineRule="exact"/>
              <w:ind w:right="56"/>
              <w:jc w:val="right"/>
              <w:rPr>
                <w:sz w:val="24"/>
              </w:rPr>
            </w:pPr>
            <w:r>
              <w:rPr>
                <w:sz w:val="24"/>
              </w:rPr>
              <w:t>第五个行权期</w:t>
            </w:r>
          </w:p>
        </w:tc>
        <w:tc>
          <w:tcPr>
            <w:tcW w:w="5357" w:type="dxa"/>
          </w:tcPr>
          <w:p>
            <w:pPr>
              <w:pStyle w:val="TableParagraph"/>
              <w:spacing w:line="298" w:lineRule="exact"/>
              <w:ind w:left="56"/>
              <w:rPr>
                <w:sz w:val="24"/>
              </w:rPr>
            </w:pPr>
            <w:r>
              <w:rPr>
                <w:spacing w:val="7"/>
                <w:w w:val="95"/>
                <w:sz w:val="24"/>
              </w:rPr>
              <w:t>自预留部分授权日起 </w:t>
            </w:r>
            <w:r>
              <w:rPr>
                <w:rFonts w:ascii="Arial MT" w:eastAsia="Arial MT"/>
                <w:w w:val="95"/>
                <w:sz w:val="24"/>
              </w:rPr>
              <w:t>60</w:t>
            </w:r>
            <w:r>
              <w:rPr>
                <w:rFonts w:ascii="Arial MT" w:eastAsia="Arial MT"/>
                <w:spacing w:val="107"/>
                <w:sz w:val="24"/>
              </w:rPr>
              <w:t> </w:t>
            </w:r>
            <w:r>
              <w:rPr>
                <w:w w:val="95"/>
                <w:sz w:val="24"/>
              </w:rPr>
              <w:t>个月后的首个交易日起至</w:t>
            </w:r>
          </w:p>
          <w:p>
            <w:pPr>
              <w:pStyle w:val="TableParagraph"/>
              <w:spacing w:before="2"/>
              <w:ind w:left="296"/>
              <w:rPr>
                <w:sz w:val="24"/>
              </w:rPr>
            </w:pPr>
            <w:r>
              <w:rPr>
                <w:spacing w:val="8"/>
                <w:w w:val="95"/>
                <w:sz w:val="24"/>
              </w:rPr>
              <w:t>预留部分授予日起 </w:t>
            </w:r>
            <w:r>
              <w:rPr>
                <w:rFonts w:ascii="Arial MT" w:eastAsia="Arial MT"/>
                <w:w w:val="95"/>
                <w:sz w:val="24"/>
              </w:rPr>
              <w:t>72</w:t>
            </w:r>
            <w:r>
              <w:rPr>
                <w:rFonts w:ascii="Arial MT" w:eastAsia="Arial MT"/>
                <w:spacing w:val="97"/>
                <w:sz w:val="24"/>
              </w:rPr>
              <w:t> </w:t>
            </w:r>
            <w:r>
              <w:rPr>
                <w:w w:val="95"/>
                <w:sz w:val="24"/>
              </w:rPr>
              <w:t>个月内的最后一个交易日</w:t>
            </w:r>
          </w:p>
          <w:p>
            <w:pPr>
              <w:pStyle w:val="TableParagraph"/>
              <w:spacing w:line="288" w:lineRule="exact" w:before="4"/>
              <w:ind w:left="296"/>
              <w:rPr>
                <w:sz w:val="24"/>
              </w:rPr>
            </w:pPr>
            <w:r>
              <w:rPr>
                <w:sz w:val="24"/>
              </w:rPr>
              <w:t>当日止</w:t>
            </w:r>
          </w:p>
        </w:tc>
        <w:tc>
          <w:tcPr>
            <w:tcW w:w="1281" w:type="dxa"/>
          </w:tcPr>
          <w:p>
            <w:pPr>
              <w:pStyle w:val="TableParagraph"/>
              <w:rPr>
                <w:sz w:val="26"/>
              </w:rPr>
            </w:pPr>
          </w:p>
          <w:p>
            <w:pPr>
              <w:pStyle w:val="TableParagraph"/>
              <w:spacing w:before="3"/>
              <w:rPr>
                <w:sz w:val="24"/>
              </w:rPr>
            </w:pPr>
          </w:p>
          <w:p>
            <w:pPr>
              <w:pStyle w:val="TableParagraph"/>
              <w:spacing w:line="256" w:lineRule="exact"/>
              <w:ind w:right="198"/>
              <w:jc w:val="right"/>
              <w:rPr>
                <w:rFonts w:ascii="Arial MT"/>
                <w:sz w:val="24"/>
              </w:rPr>
            </w:pPr>
            <w:r>
              <w:rPr>
                <w:rFonts w:ascii="Arial MT"/>
                <w:sz w:val="24"/>
              </w:rPr>
              <w:t>20%</w:t>
            </w:r>
          </w:p>
        </w:tc>
      </w:tr>
    </w:tbl>
    <w:p>
      <w:pPr>
        <w:pStyle w:val="BodyText"/>
        <w:spacing w:before="5" w:after="24"/>
      </w:pPr>
      <w:r>
        <w:rPr>
          <w:w w:val="100"/>
        </w:rPr>
        <w:t> </w:t>
      </w: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34"/>
      </w:tblGrid>
      <w:tr>
        <w:trPr>
          <w:trHeight w:val="1990" w:hRule="atLeast"/>
        </w:trPr>
        <w:tc>
          <w:tcPr>
            <w:tcW w:w="8434" w:type="dxa"/>
          </w:tcPr>
          <w:p>
            <w:pPr>
              <w:pStyle w:val="TableParagraph"/>
              <w:spacing w:line="285" w:lineRule="exact"/>
              <w:ind w:left="200"/>
              <w:rPr>
                <w:sz w:val="24"/>
              </w:rPr>
            </w:pPr>
            <w:r>
              <w:rPr>
                <w:w w:val="95"/>
                <w:sz w:val="24"/>
              </w:rPr>
              <w:t>基于</w:t>
            </w:r>
            <w:r>
              <w:rPr>
                <w:rFonts w:ascii="Arial MT" w:eastAsia="Arial MT"/>
                <w:w w:val="95"/>
                <w:sz w:val="24"/>
              </w:rPr>
              <w:t>2019</w:t>
            </w:r>
            <w:r>
              <w:rPr>
                <w:w w:val="95"/>
                <w:sz w:val="24"/>
              </w:rPr>
              <w:t>年、</w:t>
            </w:r>
            <w:r>
              <w:rPr>
                <w:rFonts w:ascii="Arial MT" w:eastAsia="Arial MT"/>
                <w:w w:val="95"/>
                <w:sz w:val="24"/>
              </w:rPr>
              <w:t>2020</w:t>
            </w:r>
            <w:r>
              <w:rPr>
                <w:w w:val="95"/>
                <w:sz w:val="24"/>
              </w:rPr>
              <w:t>年、</w:t>
            </w:r>
            <w:r>
              <w:rPr>
                <w:rFonts w:ascii="Arial MT" w:eastAsia="Arial MT"/>
                <w:w w:val="95"/>
                <w:sz w:val="24"/>
              </w:rPr>
              <w:t>2021</w:t>
            </w:r>
            <w:r>
              <w:rPr>
                <w:w w:val="95"/>
                <w:sz w:val="24"/>
              </w:rPr>
              <w:t>年业绩情况，本集团已满足第一个、第二个、</w:t>
            </w:r>
          </w:p>
          <w:p>
            <w:pPr>
              <w:pStyle w:val="TableParagraph"/>
              <w:spacing w:line="242" w:lineRule="auto" w:before="4"/>
              <w:ind w:left="200" w:right="197"/>
              <w:jc w:val="both"/>
              <w:rPr>
                <w:sz w:val="24"/>
              </w:rPr>
            </w:pPr>
            <w:r>
              <w:rPr>
                <w:spacing w:val="11"/>
                <w:sz w:val="24"/>
              </w:rPr>
              <w:t>第三个行权期的业绩条件。自</w:t>
            </w:r>
            <w:r>
              <w:rPr>
                <w:rFonts w:ascii="Arial MT" w:eastAsia="Arial MT"/>
                <w:sz w:val="24"/>
              </w:rPr>
              <w:t>2021</w:t>
            </w:r>
            <w:r>
              <w:rPr>
                <w:spacing w:val="14"/>
                <w:sz w:val="24"/>
              </w:rPr>
              <w:t>年</w:t>
            </w:r>
            <w:r>
              <w:rPr>
                <w:rFonts w:ascii="Arial MT" w:eastAsia="Arial MT"/>
                <w:sz w:val="24"/>
              </w:rPr>
              <w:t>11</w:t>
            </w:r>
            <w:r>
              <w:rPr>
                <w:spacing w:val="12"/>
                <w:sz w:val="24"/>
              </w:rPr>
              <w:t>月</w:t>
            </w:r>
            <w:r>
              <w:rPr>
                <w:rFonts w:ascii="Arial MT" w:eastAsia="Arial MT"/>
                <w:spacing w:val="12"/>
                <w:sz w:val="24"/>
              </w:rPr>
              <w:t>1</w:t>
            </w:r>
            <w:r>
              <w:rPr>
                <w:spacing w:val="13"/>
                <w:sz w:val="24"/>
              </w:rPr>
              <w:t>日起至</w:t>
            </w:r>
            <w:r>
              <w:rPr>
                <w:rFonts w:ascii="Arial MT" w:eastAsia="Arial MT"/>
                <w:sz w:val="24"/>
              </w:rPr>
              <w:t>2022</w:t>
            </w:r>
            <w:r>
              <w:rPr>
                <w:spacing w:val="15"/>
                <w:sz w:val="24"/>
              </w:rPr>
              <w:t>年</w:t>
            </w:r>
            <w:r>
              <w:rPr>
                <w:rFonts w:ascii="Arial MT" w:eastAsia="Arial MT"/>
                <w:spacing w:val="12"/>
                <w:sz w:val="24"/>
              </w:rPr>
              <w:t>9</w:t>
            </w:r>
            <w:r>
              <w:rPr>
                <w:spacing w:val="14"/>
                <w:sz w:val="24"/>
              </w:rPr>
              <w:t>月</w:t>
            </w:r>
            <w:r>
              <w:rPr>
                <w:rFonts w:ascii="Arial MT" w:eastAsia="Arial MT"/>
                <w:sz w:val="24"/>
              </w:rPr>
              <w:t>11</w:t>
            </w:r>
            <w:r>
              <w:rPr>
                <w:spacing w:val="14"/>
                <w:sz w:val="24"/>
              </w:rPr>
              <w:t>日止和自</w:t>
            </w:r>
            <w:r>
              <w:rPr>
                <w:rFonts w:ascii="Arial MT" w:eastAsia="Arial MT"/>
                <w:sz w:val="24"/>
              </w:rPr>
              <w:t>2022</w:t>
            </w:r>
            <w:r>
              <w:rPr>
                <w:sz w:val="24"/>
              </w:rPr>
              <w:t>年</w:t>
            </w:r>
            <w:r>
              <w:rPr>
                <w:rFonts w:ascii="Arial MT" w:eastAsia="Arial MT"/>
                <w:sz w:val="24"/>
              </w:rPr>
              <w:t>11</w:t>
            </w:r>
            <w:r>
              <w:rPr>
                <w:sz w:val="24"/>
              </w:rPr>
              <w:t>月</w:t>
            </w:r>
            <w:r>
              <w:rPr>
                <w:rFonts w:ascii="Arial MT" w:eastAsia="Arial MT"/>
                <w:sz w:val="24"/>
              </w:rPr>
              <w:t>21</w:t>
            </w:r>
            <w:r>
              <w:rPr>
                <w:sz w:val="24"/>
              </w:rPr>
              <w:t>日起至</w:t>
            </w:r>
            <w:r>
              <w:rPr>
                <w:rFonts w:ascii="Arial MT" w:eastAsia="Arial MT"/>
                <w:sz w:val="24"/>
              </w:rPr>
              <w:t>2023</w:t>
            </w:r>
            <w:r>
              <w:rPr>
                <w:sz w:val="24"/>
              </w:rPr>
              <w:t>年</w:t>
            </w:r>
            <w:r>
              <w:rPr>
                <w:rFonts w:ascii="Arial MT" w:eastAsia="Arial MT"/>
                <w:spacing w:val="10"/>
                <w:sz w:val="24"/>
              </w:rPr>
              <w:t>9</w:t>
            </w:r>
            <w:r>
              <w:rPr>
                <w:sz w:val="24"/>
              </w:rPr>
              <w:t>月</w:t>
            </w:r>
            <w:r>
              <w:rPr>
                <w:rFonts w:ascii="Arial MT" w:eastAsia="Arial MT"/>
                <w:sz w:val="24"/>
              </w:rPr>
              <w:t>11</w:t>
            </w:r>
            <w:r>
              <w:rPr>
                <w:spacing w:val="1"/>
                <w:sz w:val="24"/>
              </w:rPr>
              <w:t>日止，本集团分别有</w:t>
            </w:r>
            <w:r>
              <w:rPr>
                <w:rFonts w:ascii="Arial MT" w:eastAsia="Arial MT"/>
                <w:sz w:val="24"/>
              </w:rPr>
              <w:t>63,820</w:t>
            </w:r>
            <w:r>
              <w:rPr>
                <w:sz w:val="24"/>
              </w:rPr>
              <w:t>股和</w:t>
            </w:r>
            <w:r>
              <w:rPr>
                <w:rFonts w:ascii="Arial MT" w:eastAsia="Arial MT"/>
                <w:sz w:val="24"/>
              </w:rPr>
              <w:t>50,940</w:t>
            </w:r>
            <w:r>
              <w:rPr>
                <w:rFonts w:ascii="Arial MT" w:eastAsia="Arial MT"/>
                <w:spacing w:val="1"/>
                <w:sz w:val="24"/>
              </w:rPr>
              <w:t> </w:t>
            </w:r>
            <w:r>
              <w:rPr>
                <w:sz w:val="24"/>
              </w:rPr>
              <w:t>股股票期权进入可行权期。于</w:t>
            </w:r>
            <w:r>
              <w:rPr>
                <w:rFonts w:ascii="Arial MT" w:eastAsia="Arial MT"/>
                <w:sz w:val="24"/>
              </w:rPr>
              <w:t>2022</w:t>
            </w:r>
            <w:r>
              <w:rPr>
                <w:sz w:val="24"/>
              </w:rPr>
              <w:t>年度，实际已有</w:t>
            </w:r>
            <w:r>
              <w:rPr>
                <w:rFonts w:ascii="Arial MT" w:eastAsia="Arial MT"/>
                <w:sz w:val="24"/>
              </w:rPr>
              <w:t>800</w:t>
            </w:r>
            <w:r>
              <w:rPr>
                <w:sz w:val="24"/>
              </w:rPr>
              <w:t>股股票期权完成行权和股份过户登记手续。于</w:t>
            </w:r>
            <w:r>
              <w:rPr>
                <w:rFonts w:ascii="Arial MT" w:eastAsia="Arial MT"/>
                <w:sz w:val="24"/>
              </w:rPr>
              <w:t>2022</w:t>
            </w:r>
            <w:r>
              <w:rPr>
                <w:sz w:val="24"/>
              </w:rPr>
              <w:t>年度，本集团收到相关激励对象支付的股权款</w:t>
            </w:r>
            <w:r>
              <w:rPr>
                <w:rFonts w:ascii="Arial MT" w:eastAsia="Arial MT"/>
                <w:sz w:val="24"/>
              </w:rPr>
              <w:t>9</w:t>
            </w:r>
            <w:r>
              <w:rPr>
                <w:sz w:val="24"/>
              </w:rPr>
              <w:t>千元，增加股本</w:t>
            </w:r>
            <w:r>
              <w:rPr>
                <w:rFonts w:ascii="Arial MT" w:eastAsia="Arial MT"/>
                <w:sz w:val="24"/>
              </w:rPr>
              <w:t>1</w:t>
            </w:r>
            <w:r>
              <w:rPr>
                <w:sz w:val="24"/>
              </w:rPr>
              <w:t>千元，增加资本公积</w:t>
            </w:r>
            <w:r>
              <w:rPr>
                <w:rFonts w:ascii="Arial MT" w:eastAsia="Arial MT"/>
                <w:sz w:val="24"/>
              </w:rPr>
              <w:t>8</w:t>
            </w:r>
            <w:r>
              <w:rPr>
                <w:sz w:val="24"/>
              </w:rPr>
              <w:t>千元。</w:t>
            </w:r>
          </w:p>
        </w:tc>
      </w:tr>
      <w:tr>
        <w:trPr>
          <w:trHeight w:val="572" w:hRule="atLeast"/>
        </w:trPr>
        <w:tc>
          <w:tcPr>
            <w:tcW w:w="8434" w:type="dxa"/>
          </w:tcPr>
          <w:p>
            <w:pPr>
              <w:pStyle w:val="TableParagraph"/>
              <w:spacing w:before="130"/>
              <w:ind w:left="200"/>
              <w:rPr>
                <w:sz w:val="24"/>
              </w:rPr>
            </w:pPr>
            <w:r>
              <w:rPr>
                <w:sz w:val="24"/>
              </w:rPr>
              <w:t>授予日股票期权公允价值的确定方法</w:t>
            </w:r>
          </w:p>
        </w:tc>
      </w:tr>
      <w:tr>
        <w:trPr>
          <w:trHeight w:val="1041" w:hRule="atLeast"/>
        </w:trPr>
        <w:tc>
          <w:tcPr>
            <w:tcW w:w="8434" w:type="dxa"/>
          </w:tcPr>
          <w:p>
            <w:pPr>
              <w:pStyle w:val="TableParagraph"/>
              <w:spacing w:before="145"/>
              <w:ind w:left="200"/>
              <w:rPr>
                <w:sz w:val="24"/>
              </w:rPr>
            </w:pPr>
            <w:r>
              <w:rPr>
                <w:rFonts w:ascii="Arial MT" w:eastAsia="Arial MT"/>
                <w:spacing w:val="-1"/>
                <w:sz w:val="24"/>
              </w:rPr>
              <w:t>2022</w:t>
            </w:r>
            <w:r>
              <w:rPr>
                <w:rFonts w:ascii="Arial MT" w:eastAsia="Arial MT"/>
                <w:spacing w:val="-9"/>
                <w:sz w:val="24"/>
              </w:rPr>
              <w:t> </w:t>
            </w:r>
            <w:r>
              <w:rPr>
                <w:spacing w:val="-5"/>
                <w:sz w:val="24"/>
              </w:rPr>
              <w:t>年度，本集团确认了股份支付费用 </w:t>
            </w:r>
            <w:r>
              <w:rPr>
                <w:rFonts w:ascii="Arial MT" w:eastAsia="Arial MT"/>
                <w:sz w:val="24"/>
              </w:rPr>
              <w:t>173</w:t>
            </w:r>
            <w:r>
              <w:rPr>
                <w:rFonts w:ascii="Arial MT" w:eastAsia="Arial MT"/>
                <w:spacing w:val="-11"/>
                <w:sz w:val="24"/>
              </w:rPr>
              <w:t> </w:t>
            </w:r>
            <w:r>
              <w:rPr>
                <w:sz w:val="24"/>
              </w:rPr>
              <w:t>千元</w:t>
            </w:r>
            <w:r>
              <w:rPr>
                <w:rFonts w:ascii="Arial MT" w:eastAsia="Arial MT"/>
                <w:sz w:val="24"/>
              </w:rPr>
              <w:t>(2021</w:t>
            </w:r>
            <w:r>
              <w:rPr>
                <w:rFonts w:ascii="Arial MT" w:eastAsia="Arial MT"/>
                <w:spacing w:val="-9"/>
                <w:sz w:val="24"/>
              </w:rPr>
              <w:t> </w:t>
            </w:r>
            <w:r>
              <w:rPr>
                <w:sz w:val="24"/>
              </w:rPr>
              <w:t>年度</w:t>
            </w:r>
            <w:r>
              <w:rPr>
                <w:rFonts w:ascii="Arial MT" w:eastAsia="Arial MT"/>
                <w:spacing w:val="16"/>
                <w:sz w:val="24"/>
              </w:rPr>
              <w:t>: </w:t>
            </w:r>
            <w:r>
              <w:rPr>
                <w:rFonts w:ascii="Arial MT" w:eastAsia="Arial MT"/>
                <w:sz w:val="24"/>
              </w:rPr>
              <w:t>357</w:t>
            </w:r>
            <w:r>
              <w:rPr>
                <w:rFonts w:ascii="Arial MT" w:eastAsia="Arial MT"/>
                <w:spacing w:val="-11"/>
                <w:sz w:val="24"/>
              </w:rPr>
              <w:t> </w:t>
            </w:r>
            <w:r>
              <w:rPr>
                <w:sz w:val="24"/>
              </w:rPr>
              <w:t>千元</w:t>
            </w:r>
            <w:r>
              <w:rPr>
                <w:rFonts w:ascii="Arial MT" w:eastAsia="Arial MT"/>
                <w:sz w:val="24"/>
              </w:rPr>
              <w:t>)</w:t>
            </w:r>
            <w:r>
              <w:rPr>
                <w:sz w:val="24"/>
              </w:rPr>
              <w:t>，本</w:t>
            </w:r>
          </w:p>
          <w:p>
            <w:pPr>
              <w:pStyle w:val="TableParagraph"/>
              <w:spacing w:line="310" w:lineRule="atLeast"/>
              <w:ind w:left="200" w:right="215"/>
              <w:rPr>
                <w:sz w:val="24"/>
              </w:rPr>
            </w:pPr>
            <w:r>
              <w:rPr>
                <w:spacing w:val="-2"/>
                <w:sz w:val="24"/>
              </w:rPr>
              <w:t>集团在自授予日开始最长 </w:t>
            </w:r>
            <w:r>
              <w:rPr>
                <w:rFonts w:ascii="Arial MT" w:eastAsia="Arial MT"/>
                <w:sz w:val="24"/>
              </w:rPr>
              <w:t>5</w:t>
            </w:r>
            <w:r>
              <w:rPr>
                <w:rFonts w:ascii="Arial MT" w:eastAsia="Arial MT"/>
                <w:spacing w:val="22"/>
                <w:sz w:val="24"/>
              </w:rPr>
              <w:t> </w:t>
            </w:r>
            <w:r>
              <w:rPr>
                <w:sz w:val="24"/>
              </w:rPr>
              <w:t>年服务期内的每个资产负债表日，根据最新取得的员工离职率、业绩指标完成情况等后续信息对预计可行权的购股权数量作</w:t>
            </w:r>
          </w:p>
        </w:tc>
      </w:tr>
    </w:tbl>
    <w:p>
      <w:pPr>
        <w:spacing w:after="0" w:line="310" w:lineRule="atLeast"/>
        <w:rPr>
          <w:sz w:val="24"/>
        </w:rPr>
        <w:sectPr>
          <w:pgSz w:w="11910" w:h="16840"/>
          <w:pgMar w:header="882" w:footer="1195" w:top="1120" w:bottom="1380" w:left="1480" w:right="0"/>
        </w:sectPr>
      </w:pPr>
    </w:p>
    <w:p>
      <w:pPr>
        <w:pStyle w:val="BodyText"/>
        <w:ind w:left="0"/>
        <w:rPr>
          <w:sz w:val="20"/>
        </w:rPr>
      </w:pPr>
    </w:p>
    <w:p>
      <w:pPr>
        <w:pStyle w:val="BodyText"/>
        <w:spacing w:before="9"/>
        <w:ind w:left="0"/>
        <w:rPr>
          <w:sz w:val="13"/>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6"/>
        <w:gridCol w:w="4859"/>
        <w:gridCol w:w="3567"/>
      </w:tblGrid>
      <w:tr>
        <w:trPr>
          <w:trHeight w:val="582" w:hRule="atLeast"/>
        </w:trPr>
        <w:tc>
          <w:tcPr>
            <w:tcW w:w="9152" w:type="dxa"/>
            <w:gridSpan w:val="3"/>
          </w:tcPr>
          <w:p>
            <w:pPr>
              <w:pStyle w:val="TableParagraph"/>
              <w:spacing w:line="274" w:lineRule="exact"/>
              <w:ind w:left="919"/>
              <w:rPr>
                <w:sz w:val="24"/>
              </w:rPr>
            </w:pPr>
            <w:r>
              <w:rPr>
                <w:sz w:val="24"/>
              </w:rPr>
              <w:t>出最佳估计，修正预计可行权的权益工具数量，并将当期取得的相应员工服</w:t>
            </w:r>
          </w:p>
          <w:p>
            <w:pPr>
              <w:pStyle w:val="TableParagraph"/>
              <w:spacing w:line="284" w:lineRule="exact" w:before="5"/>
              <w:ind w:left="919"/>
              <w:rPr>
                <w:sz w:val="24"/>
              </w:rPr>
            </w:pPr>
            <w:r>
              <w:rPr>
                <w:sz w:val="24"/>
              </w:rPr>
              <w:t>务按照授予日的的公允价值计入相关成本或费用并相应调整资本公积。</w:t>
            </w:r>
          </w:p>
        </w:tc>
      </w:tr>
      <w:tr>
        <w:trPr>
          <w:trHeight w:val="759" w:hRule="atLeast"/>
        </w:trPr>
        <w:tc>
          <w:tcPr>
            <w:tcW w:w="9152" w:type="dxa"/>
            <w:gridSpan w:val="3"/>
          </w:tcPr>
          <w:p>
            <w:pPr>
              <w:pStyle w:val="TableParagraph"/>
              <w:spacing w:line="242" w:lineRule="auto" w:before="7"/>
              <w:ind w:left="919" w:right="210"/>
              <w:rPr>
                <w:sz w:val="24"/>
              </w:rPr>
            </w:pPr>
            <w:r>
              <w:rPr>
                <w:sz w:val="24"/>
              </w:rPr>
              <w:t>授予的股票期权于授予日的公允价值，采用 </w:t>
            </w:r>
            <w:r>
              <w:rPr>
                <w:rFonts w:ascii="Arial MT" w:eastAsia="Arial MT"/>
                <w:sz w:val="24"/>
              </w:rPr>
              <w:t>Black-Scholes</w:t>
            </w:r>
            <w:r>
              <w:rPr>
                <w:rFonts w:ascii="Arial MT" w:eastAsia="Arial MT"/>
                <w:spacing w:val="46"/>
                <w:sz w:val="24"/>
              </w:rPr>
              <w:t> </w:t>
            </w:r>
            <w:r>
              <w:rPr>
                <w:sz w:val="24"/>
              </w:rPr>
              <w:t>期权定价模型，</w:t>
            </w:r>
            <w:r>
              <w:rPr>
                <w:spacing w:val="-117"/>
                <w:sz w:val="24"/>
              </w:rPr>
              <w:t> </w:t>
            </w:r>
            <w:r>
              <w:rPr>
                <w:sz w:val="24"/>
              </w:rPr>
              <w:t>结合股票期权的条款和条件，作出估计。下表列示了所用模型的输入变量：</w:t>
            </w:r>
          </w:p>
        </w:tc>
      </w:tr>
      <w:tr>
        <w:trPr>
          <w:trHeight w:val="472" w:hRule="atLeast"/>
        </w:trPr>
        <w:tc>
          <w:tcPr>
            <w:tcW w:w="726" w:type="dxa"/>
          </w:tcPr>
          <w:p>
            <w:pPr>
              <w:pStyle w:val="TableParagraph"/>
              <w:rPr>
                <w:rFonts w:ascii="Times New Roman"/>
                <w:sz w:val="22"/>
              </w:rPr>
            </w:pPr>
          </w:p>
        </w:tc>
        <w:tc>
          <w:tcPr>
            <w:tcW w:w="4859" w:type="dxa"/>
          </w:tcPr>
          <w:p>
            <w:pPr>
              <w:pStyle w:val="TableParagraph"/>
              <w:spacing w:line="307" w:lineRule="exact" w:before="145"/>
              <w:ind w:left="193"/>
              <w:rPr>
                <w:rFonts w:ascii="Arial MT" w:eastAsia="Arial MT"/>
                <w:sz w:val="24"/>
              </w:rPr>
            </w:pPr>
            <w:r>
              <w:rPr>
                <w:spacing w:val="-1"/>
                <w:sz w:val="24"/>
              </w:rPr>
              <w:t>预计股息率</w:t>
            </w:r>
            <w:r>
              <w:rPr>
                <w:rFonts w:ascii="Arial MT" w:eastAsia="Arial MT"/>
                <w:sz w:val="24"/>
              </w:rPr>
              <w:t>(i)</w:t>
            </w:r>
          </w:p>
        </w:tc>
        <w:tc>
          <w:tcPr>
            <w:tcW w:w="3567" w:type="dxa"/>
          </w:tcPr>
          <w:p>
            <w:pPr>
              <w:pStyle w:val="TableParagraph"/>
              <w:spacing w:line="275" w:lineRule="exact" w:before="177"/>
              <w:ind w:right="297"/>
              <w:jc w:val="right"/>
              <w:rPr>
                <w:rFonts w:ascii="Arial MT"/>
                <w:sz w:val="24"/>
              </w:rPr>
            </w:pPr>
            <w:r>
              <w:rPr>
                <w:rFonts w:ascii="Arial MT"/>
                <w:sz w:val="24"/>
              </w:rPr>
              <w:t>0.00%</w:t>
            </w:r>
          </w:p>
        </w:tc>
      </w:tr>
      <w:tr>
        <w:trPr>
          <w:trHeight w:val="312" w:hRule="atLeast"/>
        </w:trPr>
        <w:tc>
          <w:tcPr>
            <w:tcW w:w="726" w:type="dxa"/>
          </w:tcPr>
          <w:p>
            <w:pPr>
              <w:pStyle w:val="TableParagraph"/>
              <w:rPr>
                <w:rFonts w:ascii="Times New Roman"/>
                <w:sz w:val="22"/>
              </w:rPr>
            </w:pPr>
          </w:p>
        </w:tc>
        <w:tc>
          <w:tcPr>
            <w:tcW w:w="4859" w:type="dxa"/>
          </w:tcPr>
          <w:p>
            <w:pPr>
              <w:pStyle w:val="TableParagraph"/>
              <w:spacing w:line="292" w:lineRule="exact"/>
              <w:ind w:left="193"/>
              <w:rPr>
                <w:sz w:val="24"/>
              </w:rPr>
            </w:pPr>
            <w:r>
              <w:rPr>
                <w:sz w:val="24"/>
              </w:rPr>
              <w:t>股价预计波动率</w:t>
            </w:r>
          </w:p>
        </w:tc>
        <w:tc>
          <w:tcPr>
            <w:tcW w:w="3567" w:type="dxa"/>
          </w:tcPr>
          <w:p>
            <w:pPr>
              <w:pStyle w:val="TableParagraph"/>
              <w:spacing w:line="275" w:lineRule="exact" w:before="17"/>
              <w:ind w:right="297"/>
              <w:jc w:val="right"/>
              <w:rPr>
                <w:rFonts w:ascii="Arial MT"/>
                <w:sz w:val="24"/>
              </w:rPr>
            </w:pPr>
            <w:r>
              <w:rPr>
                <w:rFonts w:ascii="Arial MT"/>
                <w:sz w:val="24"/>
              </w:rPr>
              <w:t>35.67%-39.73%</w:t>
            </w:r>
          </w:p>
        </w:tc>
      </w:tr>
      <w:tr>
        <w:trPr>
          <w:trHeight w:val="304" w:hRule="atLeast"/>
        </w:trPr>
        <w:tc>
          <w:tcPr>
            <w:tcW w:w="726" w:type="dxa"/>
          </w:tcPr>
          <w:p>
            <w:pPr>
              <w:pStyle w:val="TableParagraph"/>
              <w:rPr>
                <w:rFonts w:ascii="Times New Roman"/>
                <w:sz w:val="22"/>
              </w:rPr>
            </w:pPr>
          </w:p>
        </w:tc>
        <w:tc>
          <w:tcPr>
            <w:tcW w:w="4859" w:type="dxa"/>
          </w:tcPr>
          <w:p>
            <w:pPr>
              <w:pStyle w:val="TableParagraph"/>
              <w:spacing w:line="284" w:lineRule="exact"/>
              <w:ind w:left="193"/>
              <w:rPr>
                <w:sz w:val="24"/>
              </w:rPr>
            </w:pPr>
            <w:r>
              <w:rPr>
                <w:sz w:val="24"/>
              </w:rPr>
              <w:t>期权有效期内的无风险利率</w:t>
            </w:r>
          </w:p>
        </w:tc>
        <w:tc>
          <w:tcPr>
            <w:tcW w:w="3567" w:type="dxa"/>
          </w:tcPr>
          <w:p>
            <w:pPr>
              <w:pStyle w:val="TableParagraph"/>
              <w:spacing w:line="270" w:lineRule="exact" w:before="14"/>
              <w:ind w:right="297"/>
              <w:jc w:val="right"/>
              <w:rPr>
                <w:rFonts w:ascii="Arial MT"/>
                <w:sz w:val="24"/>
              </w:rPr>
            </w:pPr>
            <w:r>
              <w:rPr>
                <w:rFonts w:ascii="Arial MT"/>
                <w:sz w:val="24"/>
              </w:rPr>
              <w:t>2.62%-3.03%</w:t>
            </w:r>
          </w:p>
        </w:tc>
      </w:tr>
      <w:tr>
        <w:trPr>
          <w:trHeight w:val="441" w:hRule="atLeast"/>
        </w:trPr>
        <w:tc>
          <w:tcPr>
            <w:tcW w:w="726" w:type="dxa"/>
          </w:tcPr>
          <w:p>
            <w:pPr>
              <w:pStyle w:val="TableParagraph"/>
              <w:rPr>
                <w:rFonts w:ascii="Times New Roman"/>
                <w:sz w:val="22"/>
              </w:rPr>
            </w:pPr>
          </w:p>
        </w:tc>
        <w:tc>
          <w:tcPr>
            <w:tcW w:w="4859" w:type="dxa"/>
          </w:tcPr>
          <w:p>
            <w:pPr>
              <w:pStyle w:val="TableParagraph"/>
              <w:spacing w:line="298" w:lineRule="exact"/>
              <w:ind w:left="193"/>
              <w:rPr>
                <w:rFonts w:ascii="Arial MT" w:eastAsia="Arial MT"/>
                <w:sz w:val="24"/>
              </w:rPr>
            </w:pPr>
            <w:r>
              <w:rPr>
                <w:spacing w:val="-1"/>
                <w:sz w:val="24"/>
              </w:rPr>
              <w:t>授予日的行权价格</w:t>
            </w:r>
            <w:r>
              <w:rPr>
                <w:rFonts w:ascii="Arial MT" w:eastAsia="Arial MT"/>
                <w:sz w:val="24"/>
              </w:rPr>
              <w:t>(</w:t>
            </w:r>
            <w:r>
              <w:rPr>
                <w:sz w:val="24"/>
              </w:rPr>
              <w:t>人民币</w:t>
            </w:r>
            <w:r>
              <w:rPr>
                <w:rFonts w:ascii="Arial MT" w:eastAsia="Arial MT"/>
                <w:sz w:val="24"/>
              </w:rPr>
              <w:t>/</w:t>
            </w:r>
            <w:r>
              <w:rPr>
                <w:sz w:val="24"/>
              </w:rPr>
              <w:t>股</w:t>
            </w:r>
            <w:r>
              <w:rPr>
                <w:rFonts w:ascii="Arial MT" w:eastAsia="Arial MT"/>
                <w:sz w:val="24"/>
              </w:rPr>
              <w:t>)</w:t>
            </w:r>
          </w:p>
        </w:tc>
        <w:tc>
          <w:tcPr>
            <w:tcW w:w="3567" w:type="dxa"/>
          </w:tcPr>
          <w:p>
            <w:pPr>
              <w:pStyle w:val="TableParagraph"/>
              <w:spacing w:line="298" w:lineRule="exact"/>
              <w:ind w:right="296"/>
              <w:jc w:val="right"/>
              <w:rPr>
                <w:sz w:val="24"/>
              </w:rPr>
            </w:pPr>
            <w:r>
              <w:rPr>
                <w:rFonts w:ascii="Arial MT" w:eastAsia="Arial MT"/>
                <w:sz w:val="24"/>
              </w:rPr>
              <w:t>11.921</w:t>
            </w:r>
            <w:r>
              <w:rPr>
                <w:rFonts w:ascii="Arial MT" w:eastAsia="Arial MT"/>
                <w:spacing w:val="-14"/>
                <w:sz w:val="24"/>
              </w:rPr>
              <w:t> </w:t>
            </w:r>
            <w:r>
              <w:rPr>
                <w:sz w:val="24"/>
              </w:rPr>
              <w:t>元</w:t>
            </w:r>
          </w:p>
        </w:tc>
      </w:tr>
      <w:tr>
        <w:trPr>
          <w:trHeight w:val="1192" w:hRule="atLeast"/>
        </w:trPr>
        <w:tc>
          <w:tcPr>
            <w:tcW w:w="9152" w:type="dxa"/>
            <w:gridSpan w:val="3"/>
          </w:tcPr>
          <w:p>
            <w:pPr>
              <w:pStyle w:val="TableParagraph"/>
              <w:spacing w:line="242" w:lineRule="auto" w:before="137"/>
              <w:ind w:left="919" w:right="199"/>
              <w:jc w:val="both"/>
              <w:rPr>
                <w:sz w:val="24"/>
              </w:rPr>
            </w:pPr>
            <w:r>
              <w:rPr>
                <w:rFonts w:ascii="Arial MT" w:eastAsia="Arial MT"/>
                <w:sz w:val="24"/>
              </w:rPr>
              <w:t>(i)</w:t>
            </w:r>
            <w:r>
              <w:rPr>
                <w:spacing w:val="9"/>
                <w:sz w:val="24"/>
              </w:rPr>
              <w:t>若在激励计划公告当日至激励对象完成股票期权行权期间，本公司有派</w:t>
            </w:r>
            <w:r>
              <w:rPr>
                <w:sz w:val="24"/>
              </w:rPr>
              <w:t>息、配股等事项，应对股票期权行权价格进行相应的调减。因此，本公司在计算授予日股票期权公允价值时输入的预计股息率为零。</w:t>
            </w:r>
          </w:p>
        </w:tc>
      </w:tr>
      <w:tr>
        <w:trPr>
          <w:trHeight w:val="2011" w:hRule="atLeast"/>
        </w:trPr>
        <w:tc>
          <w:tcPr>
            <w:tcW w:w="726" w:type="dxa"/>
          </w:tcPr>
          <w:p>
            <w:pPr>
              <w:pStyle w:val="TableParagraph"/>
              <w:spacing w:before="151"/>
              <w:ind w:left="200"/>
              <w:rPr>
                <w:rFonts w:ascii="Arial MT"/>
                <w:sz w:val="24"/>
              </w:rPr>
            </w:pPr>
            <w:r>
              <w:rPr>
                <w:rFonts w:ascii="Arial MT"/>
                <w:sz w:val="24"/>
              </w:rPr>
              <w:t>(iv)</w:t>
            </w:r>
          </w:p>
        </w:tc>
        <w:tc>
          <w:tcPr>
            <w:tcW w:w="8426" w:type="dxa"/>
            <w:gridSpan w:val="2"/>
          </w:tcPr>
          <w:p>
            <w:pPr>
              <w:pStyle w:val="TableParagraph"/>
              <w:spacing w:before="155"/>
              <w:ind w:left="193"/>
              <w:rPr>
                <w:sz w:val="24"/>
              </w:rPr>
            </w:pPr>
            <w:r>
              <w:rPr>
                <w:spacing w:val="-1"/>
                <w:sz w:val="24"/>
              </w:rPr>
              <w:t>本公司根据《激励计划</w:t>
            </w:r>
            <w:r>
              <w:rPr>
                <w:rFonts w:ascii="Arial MT" w:eastAsia="Arial MT"/>
                <w:sz w:val="24"/>
              </w:rPr>
              <w:t>(</w:t>
            </w:r>
            <w:r>
              <w:rPr>
                <w:sz w:val="24"/>
              </w:rPr>
              <w:t>草案修订稿</w:t>
            </w:r>
            <w:r>
              <w:rPr>
                <w:rFonts w:ascii="Arial MT" w:eastAsia="Arial MT"/>
                <w:sz w:val="24"/>
              </w:rPr>
              <w:t>)</w:t>
            </w:r>
            <w:r>
              <w:rPr>
                <w:spacing w:val="-5"/>
                <w:sz w:val="24"/>
              </w:rPr>
              <w:t>》的相关规定和本公司 </w:t>
            </w:r>
            <w:r>
              <w:rPr>
                <w:rFonts w:ascii="Arial MT" w:eastAsia="Arial MT"/>
                <w:sz w:val="24"/>
              </w:rPr>
              <w:t>2019</w:t>
            </w:r>
            <w:r>
              <w:rPr>
                <w:rFonts w:ascii="Arial MT" w:eastAsia="Arial MT"/>
                <w:spacing w:val="-8"/>
                <w:sz w:val="24"/>
              </w:rPr>
              <w:t> </w:t>
            </w:r>
            <w:r>
              <w:rPr>
                <w:sz w:val="24"/>
              </w:rPr>
              <w:t>年第一次临</w:t>
            </w:r>
          </w:p>
          <w:p>
            <w:pPr>
              <w:pStyle w:val="TableParagraph"/>
              <w:spacing w:before="5"/>
              <w:ind w:left="193"/>
              <w:rPr>
                <w:sz w:val="24"/>
              </w:rPr>
            </w:pPr>
            <w:r>
              <w:rPr>
                <w:spacing w:val="-5"/>
                <w:sz w:val="24"/>
              </w:rPr>
              <w:t>时股东大会授权，于 </w:t>
            </w:r>
            <w:r>
              <w:rPr>
                <w:rFonts w:ascii="Arial MT" w:eastAsia="Arial MT"/>
                <w:sz w:val="24"/>
              </w:rPr>
              <w:t>2019</w:t>
            </w:r>
            <w:r>
              <w:rPr>
                <w:rFonts w:ascii="Arial MT" w:eastAsia="Arial MT"/>
                <w:spacing w:val="6"/>
                <w:sz w:val="24"/>
              </w:rPr>
              <w:t> </w:t>
            </w:r>
            <w:r>
              <w:rPr>
                <w:spacing w:val="-18"/>
                <w:sz w:val="24"/>
              </w:rPr>
              <w:t>年 </w:t>
            </w:r>
            <w:r>
              <w:rPr>
                <w:rFonts w:ascii="Arial MT" w:eastAsia="Arial MT"/>
                <w:sz w:val="24"/>
              </w:rPr>
              <w:t>12</w:t>
            </w:r>
            <w:r>
              <w:rPr>
                <w:rFonts w:ascii="Arial MT" w:eastAsia="Arial MT"/>
                <w:spacing w:val="3"/>
                <w:sz w:val="24"/>
              </w:rPr>
              <w:t> </w:t>
            </w:r>
            <w:r>
              <w:rPr>
                <w:spacing w:val="-18"/>
                <w:sz w:val="24"/>
              </w:rPr>
              <w:t>月 </w:t>
            </w:r>
            <w:r>
              <w:rPr>
                <w:rFonts w:ascii="Arial MT" w:eastAsia="Arial MT"/>
                <w:sz w:val="24"/>
              </w:rPr>
              <w:t>31</w:t>
            </w:r>
            <w:r>
              <w:rPr>
                <w:rFonts w:ascii="Arial MT" w:eastAsia="Arial MT"/>
                <w:spacing w:val="6"/>
                <w:sz w:val="24"/>
              </w:rPr>
              <w:t> </w:t>
            </w:r>
            <w:r>
              <w:rPr>
                <w:sz w:val="24"/>
              </w:rPr>
              <w:t>日召开董事会审议通过《关于向公司</w:t>
            </w:r>
          </w:p>
          <w:p>
            <w:pPr>
              <w:pStyle w:val="TableParagraph"/>
              <w:spacing w:before="2"/>
              <w:ind w:left="193"/>
              <w:rPr>
                <w:sz w:val="24"/>
              </w:rPr>
            </w:pPr>
            <w:r>
              <w:rPr>
                <w:rFonts w:ascii="Arial MT" w:eastAsia="Arial MT"/>
                <w:sz w:val="24"/>
              </w:rPr>
              <w:t>2019</w:t>
            </w:r>
            <w:r>
              <w:rPr>
                <w:rFonts w:ascii="Arial MT" w:eastAsia="Arial MT"/>
                <w:spacing w:val="49"/>
                <w:sz w:val="24"/>
              </w:rPr>
              <w:t> </w:t>
            </w:r>
            <w:r>
              <w:rPr>
                <w:spacing w:val="12"/>
                <w:sz w:val="24"/>
              </w:rPr>
              <w:t>年股票期权与限制性股票激励计划激励对象授予部分预留权益的议</w:t>
            </w:r>
          </w:p>
          <w:p>
            <w:pPr>
              <w:pStyle w:val="TableParagraph"/>
              <w:spacing w:before="4"/>
              <w:ind w:left="193"/>
              <w:rPr>
                <w:sz w:val="24"/>
              </w:rPr>
            </w:pPr>
            <w:r>
              <w:rPr>
                <w:spacing w:val="-15"/>
                <w:sz w:val="24"/>
              </w:rPr>
              <w:t>案》，向 </w:t>
            </w:r>
            <w:r>
              <w:rPr>
                <w:rFonts w:ascii="Arial MT" w:eastAsia="Arial MT"/>
                <w:spacing w:val="-1"/>
                <w:sz w:val="24"/>
              </w:rPr>
              <w:t>20</w:t>
            </w:r>
            <w:r>
              <w:rPr>
                <w:rFonts w:ascii="Arial MT" w:eastAsia="Arial MT"/>
                <w:spacing w:val="-18"/>
                <w:sz w:val="24"/>
              </w:rPr>
              <w:t> </w:t>
            </w:r>
            <w:r>
              <w:rPr>
                <w:spacing w:val="-7"/>
                <w:sz w:val="24"/>
              </w:rPr>
              <w:t>名股票期权激励对象授予 </w:t>
            </w:r>
            <w:r>
              <w:rPr>
                <w:rFonts w:ascii="Arial MT" w:eastAsia="Arial MT"/>
                <w:sz w:val="24"/>
              </w:rPr>
              <w:t>6,013,755</w:t>
            </w:r>
            <w:r>
              <w:rPr>
                <w:rFonts w:ascii="Arial MT" w:eastAsia="Arial MT"/>
                <w:spacing w:val="-17"/>
                <w:sz w:val="24"/>
              </w:rPr>
              <w:t> </w:t>
            </w:r>
            <w:r>
              <w:rPr>
                <w:sz w:val="24"/>
              </w:rPr>
              <w:t>份股票期权，授予日的行权</w:t>
            </w:r>
          </w:p>
          <w:p>
            <w:pPr>
              <w:pStyle w:val="TableParagraph"/>
              <w:spacing w:line="310" w:lineRule="atLeast"/>
              <w:ind w:left="193" w:right="213"/>
              <w:rPr>
                <w:sz w:val="24"/>
              </w:rPr>
            </w:pPr>
            <w:r>
              <w:rPr>
                <w:spacing w:val="-14"/>
                <w:sz w:val="24"/>
              </w:rPr>
              <w:t>价格为每股 </w:t>
            </w:r>
            <w:r>
              <w:rPr>
                <w:rFonts w:ascii="Arial MT" w:eastAsia="Arial MT"/>
                <w:spacing w:val="-1"/>
                <w:sz w:val="24"/>
              </w:rPr>
              <w:t>11.921</w:t>
            </w:r>
            <w:r>
              <w:rPr>
                <w:rFonts w:ascii="Arial MT" w:eastAsia="Arial MT"/>
                <w:spacing w:val="-26"/>
                <w:sz w:val="24"/>
              </w:rPr>
              <w:t> </w:t>
            </w:r>
            <w:r>
              <w:rPr>
                <w:spacing w:val="-1"/>
                <w:sz w:val="24"/>
              </w:rPr>
              <w:t>元。股票期权在行权前并不赋予持有人享有股息或于股东</w:t>
            </w:r>
            <w:r>
              <w:rPr>
                <w:sz w:val="24"/>
              </w:rPr>
              <w:t>大会上投票的权利。</w:t>
            </w:r>
          </w:p>
        </w:tc>
      </w:tr>
      <w:tr>
        <w:trPr>
          <w:trHeight w:val="290" w:hRule="atLeast"/>
        </w:trPr>
        <w:tc>
          <w:tcPr>
            <w:tcW w:w="726" w:type="dxa"/>
          </w:tcPr>
          <w:p>
            <w:pPr>
              <w:pStyle w:val="TableParagraph"/>
              <w:rPr>
                <w:rFonts w:ascii="Times New Roman"/>
                <w:sz w:val="20"/>
              </w:rPr>
            </w:pPr>
          </w:p>
        </w:tc>
        <w:tc>
          <w:tcPr>
            <w:tcW w:w="8426" w:type="dxa"/>
            <w:gridSpan w:val="2"/>
          </w:tcPr>
          <w:p>
            <w:pPr>
              <w:pStyle w:val="TableParagraph"/>
              <w:spacing w:line="270" w:lineRule="exact"/>
              <w:ind w:left="193"/>
              <w:rPr>
                <w:sz w:val="24"/>
              </w:rPr>
            </w:pPr>
            <w:r>
              <w:rPr>
                <w:spacing w:val="4"/>
                <w:w w:val="95"/>
                <w:sz w:val="24"/>
              </w:rPr>
              <w:t>该次发行在外的股票期权计划的服务期分为 </w:t>
            </w:r>
            <w:r>
              <w:rPr>
                <w:rFonts w:ascii="Arial MT" w:eastAsia="Arial MT"/>
                <w:w w:val="95"/>
                <w:sz w:val="24"/>
              </w:rPr>
              <w:t>5</w:t>
            </w:r>
            <w:r>
              <w:rPr>
                <w:rFonts w:ascii="Arial MT" w:eastAsia="Arial MT"/>
                <w:spacing w:val="119"/>
                <w:sz w:val="24"/>
              </w:rPr>
              <w:t> </w:t>
            </w:r>
            <w:r>
              <w:rPr>
                <w:w w:val="95"/>
                <w:sz w:val="24"/>
              </w:rPr>
              <w:t>个阶段：</w:t>
            </w:r>
          </w:p>
        </w:tc>
      </w:tr>
    </w:tbl>
    <w:p>
      <w:pPr>
        <w:pStyle w:val="BodyText"/>
        <w:spacing w:before="32" w:after="25"/>
      </w:pPr>
      <w:r>
        <w:rPr>
          <w:w w:val="100"/>
        </w:rPr>
        <w:t> </w:t>
      </w:r>
    </w:p>
    <w:tbl>
      <w:tblPr>
        <w:tblW w:w="0" w:type="auto"/>
        <w:jc w:val="left"/>
        <w:tblInd w:w="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10"/>
        <w:gridCol w:w="5064"/>
        <w:gridCol w:w="1242"/>
      </w:tblGrid>
      <w:tr>
        <w:trPr>
          <w:trHeight w:val="407" w:hRule="atLeast"/>
        </w:trPr>
        <w:tc>
          <w:tcPr>
            <w:tcW w:w="2010" w:type="dxa"/>
          </w:tcPr>
          <w:p>
            <w:pPr>
              <w:pStyle w:val="TableParagraph"/>
              <w:spacing w:line="274" w:lineRule="exact"/>
              <w:ind w:left="766"/>
              <w:rPr>
                <w:sz w:val="24"/>
              </w:rPr>
            </w:pPr>
            <w:r>
              <w:rPr>
                <w:sz w:val="24"/>
              </w:rPr>
              <w:t>行权安排</w:t>
            </w:r>
          </w:p>
        </w:tc>
        <w:tc>
          <w:tcPr>
            <w:tcW w:w="5064" w:type="dxa"/>
          </w:tcPr>
          <w:p>
            <w:pPr>
              <w:pStyle w:val="TableParagraph"/>
              <w:spacing w:line="274" w:lineRule="exact"/>
              <w:ind w:left="2227" w:right="1837"/>
              <w:jc w:val="center"/>
              <w:rPr>
                <w:sz w:val="24"/>
              </w:rPr>
            </w:pPr>
            <w:r>
              <w:rPr>
                <w:sz w:val="24"/>
              </w:rPr>
              <w:t>行权时间</w:t>
            </w:r>
          </w:p>
        </w:tc>
        <w:tc>
          <w:tcPr>
            <w:tcW w:w="1242" w:type="dxa"/>
          </w:tcPr>
          <w:p>
            <w:pPr>
              <w:pStyle w:val="TableParagraph"/>
              <w:spacing w:line="274" w:lineRule="exact"/>
              <w:ind w:right="203"/>
              <w:jc w:val="right"/>
              <w:rPr>
                <w:sz w:val="24"/>
              </w:rPr>
            </w:pPr>
            <w:r>
              <w:rPr>
                <w:sz w:val="24"/>
              </w:rPr>
              <w:t>行权比例</w:t>
            </w:r>
          </w:p>
        </w:tc>
      </w:tr>
      <w:tr>
        <w:trPr>
          <w:trHeight w:val="1031" w:hRule="atLeast"/>
        </w:trPr>
        <w:tc>
          <w:tcPr>
            <w:tcW w:w="2010" w:type="dxa"/>
          </w:tcPr>
          <w:p>
            <w:pPr>
              <w:pStyle w:val="TableParagraph"/>
              <w:rPr>
                <w:sz w:val="24"/>
              </w:rPr>
            </w:pPr>
          </w:p>
          <w:p>
            <w:pPr>
              <w:pStyle w:val="TableParagraph"/>
              <w:spacing w:before="10"/>
              <w:rPr>
                <w:sz w:val="32"/>
              </w:rPr>
            </w:pPr>
          </w:p>
          <w:p>
            <w:pPr>
              <w:pStyle w:val="TableParagraph"/>
              <w:spacing w:line="283" w:lineRule="exact"/>
              <w:ind w:left="200"/>
              <w:rPr>
                <w:sz w:val="24"/>
              </w:rPr>
            </w:pPr>
            <w:r>
              <w:rPr>
                <w:sz w:val="24"/>
              </w:rPr>
              <w:t>第一个行权期</w:t>
            </w:r>
          </w:p>
        </w:tc>
        <w:tc>
          <w:tcPr>
            <w:tcW w:w="5064" w:type="dxa"/>
          </w:tcPr>
          <w:p>
            <w:pPr>
              <w:pStyle w:val="TableParagraph"/>
              <w:spacing w:line="299" w:lineRule="exact" w:before="144"/>
              <w:ind w:right="76"/>
              <w:jc w:val="right"/>
              <w:rPr>
                <w:sz w:val="24"/>
              </w:rPr>
            </w:pPr>
            <w:r>
              <w:rPr>
                <w:spacing w:val="6"/>
                <w:w w:val="95"/>
                <w:sz w:val="24"/>
              </w:rPr>
              <w:t>自预留部分授予日起 </w:t>
            </w:r>
            <w:r>
              <w:rPr>
                <w:rFonts w:ascii="Arial MT" w:eastAsia="Arial MT"/>
                <w:w w:val="95"/>
                <w:sz w:val="24"/>
              </w:rPr>
              <w:t>12</w:t>
            </w:r>
            <w:r>
              <w:rPr>
                <w:rFonts w:ascii="Arial MT" w:eastAsia="Arial MT"/>
                <w:spacing w:val="96"/>
                <w:sz w:val="24"/>
              </w:rPr>
              <w:t> </w:t>
            </w:r>
            <w:r>
              <w:rPr>
                <w:w w:val="95"/>
                <w:sz w:val="24"/>
              </w:rPr>
              <w:t>个月后的首个交易日</w:t>
            </w:r>
          </w:p>
          <w:p>
            <w:pPr>
              <w:pStyle w:val="TableParagraph"/>
              <w:spacing w:line="292" w:lineRule="exact"/>
              <w:ind w:right="76"/>
              <w:jc w:val="right"/>
              <w:rPr>
                <w:sz w:val="24"/>
              </w:rPr>
            </w:pPr>
            <w:r>
              <w:rPr>
                <w:spacing w:val="5"/>
                <w:w w:val="95"/>
                <w:sz w:val="24"/>
              </w:rPr>
              <w:t>起至预留部分授予日起 </w:t>
            </w:r>
            <w:r>
              <w:rPr>
                <w:rFonts w:ascii="Arial MT" w:eastAsia="Arial MT"/>
                <w:w w:val="95"/>
                <w:sz w:val="24"/>
              </w:rPr>
              <w:t>24</w:t>
            </w:r>
            <w:r>
              <w:rPr>
                <w:rFonts w:ascii="Arial MT" w:eastAsia="Arial MT"/>
                <w:spacing w:val="89"/>
                <w:sz w:val="24"/>
              </w:rPr>
              <w:t> </w:t>
            </w:r>
            <w:r>
              <w:rPr>
                <w:w w:val="95"/>
                <w:sz w:val="24"/>
              </w:rPr>
              <w:t>个月内的最后一</w:t>
            </w:r>
          </w:p>
          <w:p>
            <w:pPr>
              <w:pStyle w:val="TableParagraph"/>
              <w:spacing w:line="276" w:lineRule="exact"/>
              <w:ind w:left="523"/>
              <w:rPr>
                <w:sz w:val="24"/>
              </w:rPr>
            </w:pPr>
            <w:r>
              <w:rPr>
                <w:sz w:val="24"/>
              </w:rPr>
              <w:t>个交易日当日止</w:t>
            </w:r>
          </w:p>
        </w:tc>
        <w:tc>
          <w:tcPr>
            <w:tcW w:w="1242" w:type="dxa"/>
          </w:tcPr>
          <w:p>
            <w:pPr>
              <w:pStyle w:val="TableParagraph"/>
              <w:rPr>
                <w:sz w:val="26"/>
              </w:rPr>
            </w:pPr>
          </w:p>
          <w:p>
            <w:pPr>
              <w:pStyle w:val="TableParagraph"/>
              <w:spacing w:before="12"/>
              <w:rPr>
                <w:sz w:val="31"/>
              </w:rPr>
            </w:pPr>
          </w:p>
          <w:p>
            <w:pPr>
              <w:pStyle w:val="TableParagraph"/>
              <w:spacing w:line="268" w:lineRule="exact"/>
              <w:ind w:right="198"/>
              <w:jc w:val="right"/>
              <w:rPr>
                <w:rFonts w:ascii="Arial MT"/>
                <w:sz w:val="24"/>
              </w:rPr>
            </w:pPr>
            <w:r>
              <w:rPr>
                <w:rFonts w:ascii="Arial MT"/>
                <w:sz w:val="24"/>
              </w:rPr>
              <w:t>20%</w:t>
            </w:r>
          </w:p>
        </w:tc>
      </w:tr>
      <w:tr>
        <w:trPr>
          <w:trHeight w:val="876" w:hRule="atLeast"/>
        </w:trPr>
        <w:tc>
          <w:tcPr>
            <w:tcW w:w="2010" w:type="dxa"/>
          </w:tcPr>
          <w:p>
            <w:pPr>
              <w:pStyle w:val="TableParagraph"/>
              <w:rPr>
                <w:sz w:val="24"/>
              </w:rPr>
            </w:pPr>
          </w:p>
          <w:p>
            <w:pPr>
              <w:pStyle w:val="TableParagraph"/>
              <w:spacing w:before="9"/>
              <w:rPr>
                <w:sz w:val="20"/>
              </w:rPr>
            </w:pPr>
          </w:p>
          <w:p>
            <w:pPr>
              <w:pStyle w:val="TableParagraph"/>
              <w:spacing w:line="283" w:lineRule="exact"/>
              <w:ind w:left="200"/>
              <w:rPr>
                <w:sz w:val="24"/>
              </w:rPr>
            </w:pPr>
            <w:r>
              <w:rPr>
                <w:sz w:val="24"/>
              </w:rPr>
              <w:t>第二个行权期</w:t>
            </w:r>
          </w:p>
        </w:tc>
        <w:tc>
          <w:tcPr>
            <w:tcW w:w="5064" w:type="dxa"/>
          </w:tcPr>
          <w:p>
            <w:pPr>
              <w:pStyle w:val="TableParagraph"/>
              <w:spacing w:line="289" w:lineRule="exact"/>
              <w:ind w:right="76"/>
              <w:jc w:val="right"/>
              <w:rPr>
                <w:sz w:val="24"/>
              </w:rPr>
            </w:pPr>
            <w:r>
              <w:rPr>
                <w:spacing w:val="6"/>
                <w:w w:val="95"/>
                <w:sz w:val="24"/>
              </w:rPr>
              <w:t>自预留部分授权日起 </w:t>
            </w:r>
            <w:r>
              <w:rPr>
                <w:rFonts w:ascii="Arial MT" w:eastAsia="Arial MT"/>
                <w:w w:val="95"/>
                <w:sz w:val="24"/>
              </w:rPr>
              <w:t>24</w:t>
            </w:r>
            <w:r>
              <w:rPr>
                <w:rFonts w:ascii="Arial MT" w:eastAsia="Arial MT"/>
                <w:spacing w:val="96"/>
                <w:sz w:val="24"/>
              </w:rPr>
              <w:t> </w:t>
            </w:r>
            <w:r>
              <w:rPr>
                <w:w w:val="95"/>
                <w:sz w:val="24"/>
              </w:rPr>
              <w:t>个月后的首个交易日</w:t>
            </w:r>
          </w:p>
          <w:p>
            <w:pPr>
              <w:pStyle w:val="TableParagraph"/>
              <w:spacing w:line="292" w:lineRule="exact"/>
              <w:ind w:right="76"/>
              <w:jc w:val="right"/>
              <w:rPr>
                <w:sz w:val="24"/>
              </w:rPr>
            </w:pPr>
            <w:r>
              <w:rPr>
                <w:spacing w:val="5"/>
                <w:w w:val="95"/>
                <w:sz w:val="24"/>
              </w:rPr>
              <w:t>起至预留部分授予日起 </w:t>
            </w:r>
            <w:r>
              <w:rPr>
                <w:rFonts w:ascii="Arial MT" w:eastAsia="Arial MT"/>
                <w:w w:val="95"/>
                <w:sz w:val="24"/>
              </w:rPr>
              <w:t>36</w:t>
            </w:r>
            <w:r>
              <w:rPr>
                <w:rFonts w:ascii="Arial MT" w:eastAsia="Arial MT"/>
                <w:spacing w:val="89"/>
                <w:sz w:val="24"/>
              </w:rPr>
              <w:t> </w:t>
            </w:r>
            <w:r>
              <w:rPr>
                <w:w w:val="95"/>
                <w:sz w:val="24"/>
              </w:rPr>
              <w:t>个月内的最后一</w:t>
            </w:r>
          </w:p>
          <w:p>
            <w:pPr>
              <w:pStyle w:val="TableParagraph"/>
              <w:spacing w:line="276" w:lineRule="exact"/>
              <w:ind w:left="523"/>
              <w:rPr>
                <w:sz w:val="24"/>
              </w:rPr>
            </w:pPr>
            <w:r>
              <w:rPr>
                <w:sz w:val="24"/>
              </w:rPr>
              <w:t>个交易日当日止</w:t>
            </w:r>
          </w:p>
        </w:tc>
        <w:tc>
          <w:tcPr>
            <w:tcW w:w="1242" w:type="dxa"/>
          </w:tcPr>
          <w:p>
            <w:pPr>
              <w:pStyle w:val="TableParagraph"/>
              <w:rPr>
                <w:sz w:val="26"/>
              </w:rPr>
            </w:pPr>
          </w:p>
          <w:p>
            <w:pPr>
              <w:pStyle w:val="TableParagraph"/>
              <w:spacing w:before="11"/>
              <w:rPr>
                <w:sz w:val="19"/>
              </w:rPr>
            </w:pPr>
          </w:p>
          <w:p>
            <w:pPr>
              <w:pStyle w:val="TableParagraph"/>
              <w:spacing w:line="268" w:lineRule="exact"/>
              <w:ind w:right="198"/>
              <w:jc w:val="right"/>
              <w:rPr>
                <w:rFonts w:ascii="Arial MT"/>
                <w:sz w:val="24"/>
              </w:rPr>
            </w:pPr>
            <w:r>
              <w:rPr>
                <w:rFonts w:ascii="Arial MT"/>
                <w:sz w:val="24"/>
              </w:rPr>
              <w:t>20%</w:t>
            </w:r>
          </w:p>
        </w:tc>
      </w:tr>
      <w:tr>
        <w:trPr>
          <w:trHeight w:val="876" w:hRule="atLeast"/>
        </w:trPr>
        <w:tc>
          <w:tcPr>
            <w:tcW w:w="2010" w:type="dxa"/>
          </w:tcPr>
          <w:p>
            <w:pPr>
              <w:pStyle w:val="TableParagraph"/>
              <w:rPr>
                <w:sz w:val="24"/>
              </w:rPr>
            </w:pPr>
          </w:p>
          <w:p>
            <w:pPr>
              <w:pStyle w:val="TableParagraph"/>
              <w:spacing w:before="9"/>
              <w:rPr>
                <w:sz w:val="20"/>
              </w:rPr>
            </w:pPr>
          </w:p>
          <w:p>
            <w:pPr>
              <w:pStyle w:val="TableParagraph"/>
              <w:spacing w:line="283" w:lineRule="exact"/>
              <w:ind w:left="200"/>
              <w:rPr>
                <w:sz w:val="24"/>
              </w:rPr>
            </w:pPr>
            <w:r>
              <w:rPr>
                <w:sz w:val="24"/>
              </w:rPr>
              <w:t>第三个行权期</w:t>
            </w:r>
          </w:p>
        </w:tc>
        <w:tc>
          <w:tcPr>
            <w:tcW w:w="5064" w:type="dxa"/>
          </w:tcPr>
          <w:p>
            <w:pPr>
              <w:pStyle w:val="TableParagraph"/>
              <w:spacing w:line="289" w:lineRule="exact"/>
              <w:ind w:right="76"/>
              <w:jc w:val="right"/>
              <w:rPr>
                <w:sz w:val="24"/>
              </w:rPr>
            </w:pPr>
            <w:r>
              <w:rPr>
                <w:spacing w:val="6"/>
                <w:w w:val="95"/>
                <w:sz w:val="24"/>
              </w:rPr>
              <w:t>自预留部分授权日起 </w:t>
            </w:r>
            <w:r>
              <w:rPr>
                <w:rFonts w:ascii="Arial MT" w:eastAsia="Arial MT"/>
                <w:w w:val="95"/>
                <w:sz w:val="24"/>
              </w:rPr>
              <w:t>36</w:t>
            </w:r>
            <w:r>
              <w:rPr>
                <w:rFonts w:ascii="Arial MT" w:eastAsia="Arial MT"/>
                <w:spacing w:val="96"/>
                <w:sz w:val="24"/>
              </w:rPr>
              <w:t> </w:t>
            </w:r>
            <w:r>
              <w:rPr>
                <w:w w:val="95"/>
                <w:sz w:val="24"/>
              </w:rPr>
              <w:t>个月后的首个交易日</w:t>
            </w:r>
          </w:p>
          <w:p>
            <w:pPr>
              <w:pStyle w:val="TableParagraph"/>
              <w:spacing w:line="292" w:lineRule="exact"/>
              <w:ind w:right="76"/>
              <w:jc w:val="right"/>
              <w:rPr>
                <w:sz w:val="24"/>
              </w:rPr>
            </w:pPr>
            <w:r>
              <w:rPr>
                <w:spacing w:val="5"/>
                <w:w w:val="95"/>
                <w:sz w:val="24"/>
              </w:rPr>
              <w:t>起至预留部分授予日起 </w:t>
            </w:r>
            <w:r>
              <w:rPr>
                <w:rFonts w:ascii="Arial MT" w:eastAsia="Arial MT"/>
                <w:w w:val="95"/>
                <w:sz w:val="24"/>
              </w:rPr>
              <w:t>48</w:t>
            </w:r>
            <w:r>
              <w:rPr>
                <w:rFonts w:ascii="Arial MT" w:eastAsia="Arial MT"/>
                <w:spacing w:val="89"/>
                <w:sz w:val="24"/>
              </w:rPr>
              <w:t> </w:t>
            </w:r>
            <w:r>
              <w:rPr>
                <w:w w:val="95"/>
                <w:sz w:val="24"/>
              </w:rPr>
              <w:t>个月内的最后一</w:t>
            </w:r>
          </w:p>
          <w:p>
            <w:pPr>
              <w:pStyle w:val="TableParagraph"/>
              <w:spacing w:line="276" w:lineRule="exact"/>
              <w:ind w:left="523"/>
              <w:rPr>
                <w:sz w:val="24"/>
              </w:rPr>
            </w:pPr>
            <w:r>
              <w:rPr>
                <w:sz w:val="24"/>
              </w:rPr>
              <w:t>个交易日当日止</w:t>
            </w:r>
          </w:p>
        </w:tc>
        <w:tc>
          <w:tcPr>
            <w:tcW w:w="1242" w:type="dxa"/>
          </w:tcPr>
          <w:p>
            <w:pPr>
              <w:pStyle w:val="TableParagraph"/>
              <w:rPr>
                <w:sz w:val="26"/>
              </w:rPr>
            </w:pPr>
          </w:p>
          <w:p>
            <w:pPr>
              <w:pStyle w:val="TableParagraph"/>
              <w:spacing w:before="11"/>
              <w:rPr>
                <w:sz w:val="19"/>
              </w:rPr>
            </w:pPr>
          </w:p>
          <w:p>
            <w:pPr>
              <w:pStyle w:val="TableParagraph"/>
              <w:spacing w:line="268" w:lineRule="exact"/>
              <w:ind w:right="198"/>
              <w:jc w:val="right"/>
              <w:rPr>
                <w:rFonts w:ascii="Arial MT"/>
                <w:sz w:val="24"/>
              </w:rPr>
            </w:pPr>
            <w:r>
              <w:rPr>
                <w:rFonts w:ascii="Arial MT"/>
                <w:sz w:val="24"/>
              </w:rPr>
              <w:t>20%</w:t>
            </w:r>
          </w:p>
        </w:tc>
      </w:tr>
      <w:tr>
        <w:trPr>
          <w:trHeight w:val="876" w:hRule="atLeast"/>
        </w:trPr>
        <w:tc>
          <w:tcPr>
            <w:tcW w:w="2010" w:type="dxa"/>
          </w:tcPr>
          <w:p>
            <w:pPr>
              <w:pStyle w:val="TableParagraph"/>
              <w:rPr>
                <w:sz w:val="24"/>
              </w:rPr>
            </w:pPr>
          </w:p>
          <w:p>
            <w:pPr>
              <w:pStyle w:val="TableParagraph"/>
              <w:spacing w:before="9"/>
              <w:rPr>
                <w:sz w:val="20"/>
              </w:rPr>
            </w:pPr>
          </w:p>
          <w:p>
            <w:pPr>
              <w:pStyle w:val="TableParagraph"/>
              <w:spacing w:line="283" w:lineRule="exact"/>
              <w:ind w:left="200"/>
              <w:rPr>
                <w:sz w:val="24"/>
              </w:rPr>
            </w:pPr>
            <w:r>
              <w:rPr>
                <w:sz w:val="24"/>
              </w:rPr>
              <w:t>第四个行权期</w:t>
            </w:r>
          </w:p>
        </w:tc>
        <w:tc>
          <w:tcPr>
            <w:tcW w:w="5064" w:type="dxa"/>
          </w:tcPr>
          <w:p>
            <w:pPr>
              <w:pStyle w:val="TableParagraph"/>
              <w:spacing w:line="289" w:lineRule="exact"/>
              <w:ind w:right="76"/>
              <w:jc w:val="right"/>
              <w:rPr>
                <w:sz w:val="24"/>
              </w:rPr>
            </w:pPr>
            <w:r>
              <w:rPr>
                <w:spacing w:val="6"/>
                <w:w w:val="95"/>
                <w:sz w:val="24"/>
              </w:rPr>
              <w:t>自预留部分授权日起 </w:t>
            </w:r>
            <w:r>
              <w:rPr>
                <w:rFonts w:ascii="Arial MT" w:eastAsia="Arial MT"/>
                <w:w w:val="95"/>
                <w:sz w:val="24"/>
              </w:rPr>
              <w:t>48</w:t>
            </w:r>
            <w:r>
              <w:rPr>
                <w:rFonts w:ascii="Arial MT" w:eastAsia="Arial MT"/>
                <w:spacing w:val="96"/>
                <w:sz w:val="24"/>
              </w:rPr>
              <w:t> </w:t>
            </w:r>
            <w:r>
              <w:rPr>
                <w:w w:val="95"/>
                <w:sz w:val="24"/>
              </w:rPr>
              <w:t>个月后的首个交易日</w:t>
            </w:r>
          </w:p>
          <w:p>
            <w:pPr>
              <w:pStyle w:val="TableParagraph"/>
              <w:spacing w:line="292" w:lineRule="exact"/>
              <w:ind w:right="76"/>
              <w:jc w:val="right"/>
              <w:rPr>
                <w:sz w:val="24"/>
              </w:rPr>
            </w:pPr>
            <w:r>
              <w:rPr>
                <w:spacing w:val="5"/>
                <w:w w:val="95"/>
                <w:sz w:val="24"/>
              </w:rPr>
              <w:t>起至预留部分授予日起 </w:t>
            </w:r>
            <w:r>
              <w:rPr>
                <w:rFonts w:ascii="Arial MT" w:eastAsia="Arial MT"/>
                <w:w w:val="95"/>
                <w:sz w:val="24"/>
              </w:rPr>
              <w:t>60</w:t>
            </w:r>
            <w:r>
              <w:rPr>
                <w:rFonts w:ascii="Arial MT" w:eastAsia="Arial MT"/>
                <w:spacing w:val="89"/>
                <w:sz w:val="24"/>
              </w:rPr>
              <w:t> </w:t>
            </w:r>
            <w:r>
              <w:rPr>
                <w:w w:val="95"/>
                <w:sz w:val="24"/>
              </w:rPr>
              <w:t>个月内的最后一</w:t>
            </w:r>
          </w:p>
          <w:p>
            <w:pPr>
              <w:pStyle w:val="TableParagraph"/>
              <w:spacing w:line="276" w:lineRule="exact"/>
              <w:ind w:left="523"/>
              <w:rPr>
                <w:sz w:val="24"/>
              </w:rPr>
            </w:pPr>
            <w:r>
              <w:rPr>
                <w:sz w:val="24"/>
              </w:rPr>
              <w:t>个交易日当日止</w:t>
            </w:r>
          </w:p>
        </w:tc>
        <w:tc>
          <w:tcPr>
            <w:tcW w:w="1242" w:type="dxa"/>
          </w:tcPr>
          <w:p>
            <w:pPr>
              <w:pStyle w:val="TableParagraph"/>
              <w:rPr>
                <w:sz w:val="26"/>
              </w:rPr>
            </w:pPr>
          </w:p>
          <w:p>
            <w:pPr>
              <w:pStyle w:val="TableParagraph"/>
              <w:spacing w:before="11"/>
              <w:rPr>
                <w:sz w:val="19"/>
              </w:rPr>
            </w:pPr>
          </w:p>
          <w:p>
            <w:pPr>
              <w:pStyle w:val="TableParagraph"/>
              <w:spacing w:line="269" w:lineRule="exact"/>
              <w:ind w:right="198"/>
              <w:jc w:val="right"/>
              <w:rPr>
                <w:rFonts w:ascii="Arial MT"/>
                <w:sz w:val="24"/>
              </w:rPr>
            </w:pPr>
            <w:r>
              <w:rPr>
                <w:rFonts w:ascii="Arial MT"/>
                <w:sz w:val="24"/>
              </w:rPr>
              <w:t>20%</w:t>
            </w:r>
          </w:p>
        </w:tc>
      </w:tr>
      <w:tr>
        <w:trPr>
          <w:trHeight w:val="863" w:hRule="atLeast"/>
        </w:trPr>
        <w:tc>
          <w:tcPr>
            <w:tcW w:w="2010" w:type="dxa"/>
          </w:tcPr>
          <w:p>
            <w:pPr>
              <w:pStyle w:val="TableParagraph"/>
              <w:rPr>
                <w:sz w:val="24"/>
              </w:rPr>
            </w:pPr>
          </w:p>
          <w:p>
            <w:pPr>
              <w:pStyle w:val="TableParagraph"/>
              <w:spacing w:before="9"/>
              <w:rPr>
                <w:sz w:val="20"/>
              </w:rPr>
            </w:pPr>
          </w:p>
          <w:p>
            <w:pPr>
              <w:pStyle w:val="TableParagraph"/>
              <w:spacing w:line="271" w:lineRule="exact"/>
              <w:ind w:left="200"/>
              <w:rPr>
                <w:sz w:val="24"/>
              </w:rPr>
            </w:pPr>
            <w:r>
              <w:rPr>
                <w:sz w:val="24"/>
              </w:rPr>
              <w:t>第五个行权期</w:t>
            </w:r>
          </w:p>
        </w:tc>
        <w:tc>
          <w:tcPr>
            <w:tcW w:w="5064" w:type="dxa"/>
          </w:tcPr>
          <w:p>
            <w:pPr>
              <w:pStyle w:val="TableParagraph"/>
              <w:spacing w:line="289" w:lineRule="exact"/>
              <w:ind w:right="76"/>
              <w:jc w:val="right"/>
              <w:rPr>
                <w:sz w:val="24"/>
              </w:rPr>
            </w:pPr>
            <w:r>
              <w:rPr>
                <w:spacing w:val="6"/>
                <w:w w:val="95"/>
                <w:sz w:val="24"/>
              </w:rPr>
              <w:t>自预留部分授权日起 </w:t>
            </w:r>
            <w:r>
              <w:rPr>
                <w:rFonts w:ascii="Arial MT" w:eastAsia="Arial MT"/>
                <w:w w:val="95"/>
                <w:sz w:val="24"/>
              </w:rPr>
              <w:t>60</w:t>
            </w:r>
            <w:r>
              <w:rPr>
                <w:rFonts w:ascii="Arial MT" w:eastAsia="Arial MT"/>
                <w:spacing w:val="96"/>
                <w:sz w:val="24"/>
              </w:rPr>
              <w:t> </w:t>
            </w:r>
            <w:r>
              <w:rPr>
                <w:w w:val="95"/>
                <w:sz w:val="24"/>
              </w:rPr>
              <w:t>个月后的首个交易日</w:t>
            </w:r>
          </w:p>
          <w:p>
            <w:pPr>
              <w:pStyle w:val="TableParagraph"/>
              <w:spacing w:line="292" w:lineRule="exact"/>
              <w:ind w:right="76"/>
              <w:jc w:val="right"/>
              <w:rPr>
                <w:sz w:val="24"/>
              </w:rPr>
            </w:pPr>
            <w:r>
              <w:rPr>
                <w:spacing w:val="5"/>
                <w:w w:val="95"/>
                <w:sz w:val="24"/>
              </w:rPr>
              <w:t>起至预留部分授予日起 </w:t>
            </w:r>
            <w:r>
              <w:rPr>
                <w:rFonts w:ascii="Arial MT" w:eastAsia="Arial MT"/>
                <w:w w:val="95"/>
                <w:sz w:val="24"/>
              </w:rPr>
              <w:t>72</w:t>
            </w:r>
            <w:r>
              <w:rPr>
                <w:rFonts w:ascii="Arial MT" w:eastAsia="Arial MT"/>
                <w:spacing w:val="89"/>
                <w:sz w:val="24"/>
              </w:rPr>
              <w:t> </w:t>
            </w:r>
            <w:r>
              <w:rPr>
                <w:w w:val="95"/>
                <w:sz w:val="24"/>
              </w:rPr>
              <w:t>个月内的最后一</w:t>
            </w:r>
          </w:p>
          <w:p>
            <w:pPr>
              <w:pStyle w:val="TableParagraph"/>
              <w:spacing w:line="264" w:lineRule="exact"/>
              <w:ind w:left="523"/>
              <w:rPr>
                <w:sz w:val="24"/>
              </w:rPr>
            </w:pPr>
            <w:r>
              <w:rPr>
                <w:sz w:val="24"/>
              </w:rPr>
              <w:t>个交易日当日止</w:t>
            </w:r>
          </w:p>
        </w:tc>
        <w:tc>
          <w:tcPr>
            <w:tcW w:w="1242" w:type="dxa"/>
          </w:tcPr>
          <w:p>
            <w:pPr>
              <w:pStyle w:val="TableParagraph"/>
              <w:rPr>
                <w:sz w:val="26"/>
              </w:rPr>
            </w:pPr>
          </w:p>
          <w:p>
            <w:pPr>
              <w:pStyle w:val="TableParagraph"/>
              <w:spacing w:before="11"/>
              <w:rPr>
                <w:sz w:val="19"/>
              </w:rPr>
            </w:pPr>
          </w:p>
          <w:p>
            <w:pPr>
              <w:pStyle w:val="TableParagraph"/>
              <w:spacing w:line="256" w:lineRule="exact"/>
              <w:ind w:right="198"/>
              <w:jc w:val="right"/>
              <w:rPr>
                <w:rFonts w:ascii="Arial MT"/>
                <w:sz w:val="24"/>
              </w:rPr>
            </w:pPr>
            <w:r>
              <w:rPr>
                <w:rFonts w:ascii="Arial MT"/>
                <w:sz w:val="24"/>
              </w:rPr>
              <w:t>20%</w:t>
            </w:r>
          </w:p>
        </w:tc>
      </w:tr>
    </w:tbl>
    <w:p>
      <w:pPr>
        <w:spacing w:after="0" w:line="256" w:lineRule="exact"/>
        <w:jc w:val="right"/>
        <w:rPr>
          <w:rFonts w:ascii="Arial MT"/>
          <w:sz w:val="24"/>
        </w:rPr>
        <w:sectPr>
          <w:pgSz w:w="11910" w:h="16840"/>
          <w:pgMar w:header="882" w:footer="1195" w:top="1120" w:bottom="1380" w:left="1480" w:right="0"/>
        </w:sectPr>
      </w:pP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64"/>
        <w:gridCol w:w="3458"/>
      </w:tblGrid>
      <w:tr>
        <w:trPr>
          <w:trHeight w:val="2314" w:hRule="atLeast"/>
        </w:trPr>
        <w:tc>
          <w:tcPr>
            <w:tcW w:w="8322" w:type="dxa"/>
            <w:gridSpan w:val="2"/>
          </w:tcPr>
          <w:p>
            <w:pPr>
              <w:pStyle w:val="TableParagraph"/>
              <w:rPr>
                <w:sz w:val="32"/>
              </w:rPr>
            </w:pPr>
          </w:p>
          <w:p>
            <w:pPr>
              <w:pStyle w:val="TableParagraph"/>
              <w:spacing w:line="228" w:lineRule="auto"/>
              <w:ind w:left="221" w:right="101"/>
              <w:rPr>
                <w:sz w:val="24"/>
              </w:rPr>
            </w:pPr>
            <w:r>
              <w:rPr>
                <w:spacing w:val="16"/>
                <w:sz w:val="24"/>
              </w:rPr>
              <w:t>基于</w:t>
            </w:r>
            <w:r>
              <w:rPr>
                <w:rFonts w:ascii="Arial MT" w:eastAsia="Arial MT"/>
                <w:sz w:val="24"/>
              </w:rPr>
              <w:t>2019</w:t>
            </w:r>
            <w:r>
              <w:rPr>
                <w:rFonts w:ascii="Arial MT" w:eastAsia="Arial MT"/>
                <w:spacing w:val="-30"/>
                <w:sz w:val="24"/>
              </w:rPr>
              <w:t> </w:t>
            </w:r>
            <w:r>
              <w:rPr>
                <w:sz w:val="24"/>
              </w:rPr>
              <w:t>年、</w:t>
            </w:r>
            <w:r>
              <w:rPr>
                <w:rFonts w:ascii="Arial MT" w:eastAsia="Arial MT"/>
                <w:sz w:val="24"/>
              </w:rPr>
              <w:t>2020</w:t>
            </w:r>
            <w:r>
              <w:rPr>
                <w:rFonts w:ascii="Arial MT" w:eastAsia="Arial MT"/>
                <w:spacing w:val="-30"/>
                <w:sz w:val="24"/>
              </w:rPr>
              <w:t> </w:t>
            </w:r>
            <w:r>
              <w:rPr>
                <w:sz w:val="24"/>
              </w:rPr>
              <w:t>年、</w:t>
            </w:r>
            <w:r>
              <w:rPr>
                <w:rFonts w:ascii="Arial MT" w:eastAsia="Arial MT"/>
                <w:sz w:val="24"/>
              </w:rPr>
              <w:t>2021</w:t>
            </w:r>
            <w:r>
              <w:rPr>
                <w:rFonts w:ascii="Arial MT" w:eastAsia="Arial MT"/>
                <w:spacing w:val="-30"/>
                <w:sz w:val="24"/>
              </w:rPr>
              <w:t> </w:t>
            </w:r>
            <w:r>
              <w:rPr>
                <w:sz w:val="24"/>
              </w:rPr>
              <w:t>年业绩情况，本集团已满足第一个、第二个、</w:t>
            </w:r>
            <w:r>
              <w:rPr>
                <w:spacing w:val="-6"/>
                <w:sz w:val="24"/>
              </w:rPr>
              <w:t>第三个行权期的业绩条件。自 </w:t>
            </w:r>
            <w:r>
              <w:rPr>
                <w:rFonts w:ascii="Arial MT" w:eastAsia="Arial MT"/>
                <w:sz w:val="24"/>
              </w:rPr>
              <w:t>2022</w:t>
            </w:r>
            <w:r>
              <w:rPr>
                <w:rFonts w:ascii="Arial MT" w:eastAsia="Arial MT"/>
                <w:spacing w:val="-18"/>
                <w:sz w:val="24"/>
              </w:rPr>
              <w:t> </w:t>
            </w:r>
            <w:r>
              <w:rPr>
                <w:spacing w:val="-34"/>
                <w:sz w:val="24"/>
              </w:rPr>
              <w:t>年 </w:t>
            </w:r>
            <w:r>
              <w:rPr>
                <w:rFonts w:ascii="Arial MT" w:eastAsia="Arial MT"/>
                <w:sz w:val="24"/>
              </w:rPr>
              <w:t>2</w:t>
            </w:r>
            <w:r>
              <w:rPr>
                <w:rFonts w:ascii="Arial MT" w:eastAsia="Arial MT"/>
                <w:spacing w:val="-18"/>
                <w:sz w:val="24"/>
              </w:rPr>
              <w:t> </w:t>
            </w:r>
            <w:r>
              <w:rPr>
                <w:spacing w:val="-34"/>
                <w:sz w:val="24"/>
              </w:rPr>
              <w:t>月 </w:t>
            </w:r>
            <w:r>
              <w:rPr>
                <w:rFonts w:ascii="Arial MT" w:eastAsia="Arial MT"/>
                <w:sz w:val="24"/>
              </w:rPr>
              <w:t>9</w:t>
            </w:r>
            <w:r>
              <w:rPr>
                <w:rFonts w:ascii="Arial MT" w:eastAsia="Arial MT"/>
                <w:spacing w:val="-21"/>
                <w:sz w:val="24"/>
              </w:rPr>
              <w:t> </w:t>
            </w:r>
            <w:r>
              <w:rPr>
                <w:spacing w:val="-18"/>
                <w:sz w:val="24"/>
              </w:rPr>
              <w:t>日起至 </w:t>
            </w:r>
            <w:r>
              <w:rPr>
                <w:rFonts w:ascii="Arial MT" w:eastAsia="Arial MT"/>
                <w:sz w:val="24"/>
              </w:rPr>
              <w:t>2022</w:t>
            </w:r>
            <w:r>
              <w:rPr>
                <w:rFonts w:ascii="Arial MT" w:eastAsia="Arial MT"/>
                <w:spacing w:val="-18"/>
                <w:sz w:val="24"/>
              </w:rPr>
              <w:t> </w:t>
            </w:r>
            <w:r>
              <w:rPr>
                <w:spacing w:val="-34"/>
                <w:sz w:val="24"/>
              </w:rPr>
              <w:t>年 </w:t>
            </w:r>
            <w:r>
              <w:rPr>
                <w:rFonts w:ascii="Arial MT" w:eastAsia="Arial MT"/>
                <w:sz w:val="24"/>
              </w:rPr>
              <w:t>12</w:t>
            </w:r>
            <w:r>
              <w:rPr>
                <w:rFonts w:ascii="Arial MT" w:eastAsia="Arial MT"/>
                <w:spacing w:val="-18"/>
                <w:sz w:val="24"/>
              </w:rPr>
              <w:t> </w:t>
            </w:r>
            <w:r>
              <w:rPr>
                <w:spacing w:val="-34"/>
                <w:sz w:val="24"/>
              </w:rPr>
              <w:t>月 </w:t>
            </w:r>
            <w:r>
              <w:rPr>
                <w:rFonts w:ascii="Arial MT" w:eastAsia="Arial MT"/>
                <w:sz w:val="24"/>
              </w:rPr>
              <w:t>31</w:t>
            </w:r>
            <w:r>
              <w:rPr>
                <w:rFonts w:ascii="Arial MT" w:eastAsia="Arial MT"/>
                <w:spacing w:val="-18"/>
                <w:sz w:val="24"/>
              </w:rPr>
              <w:t> </w:t>
            </w:r>
            <w:r>
              <w:rPr>
                <w:sz w:val="24"/>
              </w:rPr>
              <w:t>日止，</w:t>
            </w:r>
          </w:p>
          <w:p>
            <w:pPr>
              <w:pStyle w:val="TableParagraph"/>
              <w:spacing w:line="289" w:lineRule="exact"/>
              <w:ind w:left="221"/>
              <w:rPr>
                <w:sz w:val="24"/>
              </w:rPr>
            </w:pPr>
            <w:r>
              <w:rPr>
                <w:spacing w:val="11"/>
                <w:sz w:val="24"/>
              </w:rPr>
              <w:t>本集团有 </w:t>
            </w:r>
            <w:r>
              <w:rPr>
                <w:rFonts w:ascii="Arial MT" w:eastAsia="Arial MT"/>
                <w:sz w:val="24"/>
              </w:rPr>
              <w:t>981,752</w:t>
            </w:r>
            <w:r>
              <w:rPr>
                <w:rFonts w:ascii="Arial MT" w:eastAsia="Arial MT"/>
                <w:spacing w:val="48"/>
                <w:sz w:val="24"/>
              </w:rPr>
              <w:t> </w:t>
            </w:r>
            <w:r>
              <w:rPr>
                <w:spacing w:val="11"/>
                <w:sz w:val="24"/>
              </w:rPr>
              <w:t>股股票期权进入可行权期。于 </w:t>
            </w:r>
            <w:r>
              <w:rPr>
                <w:rFonts w:ascii="Arial MT" w:eastAsia="Arial MT"/>
                <w:sz w:val="24"/>
              </w:rPr>
              <w:t>2022</w:t>
            </w:r>
            <w:r>
              <w:rPr>
                <w:rFonts w:ascii="Arial MT" w:eastAsia="Arial MT"/>
                <w:spacing w:val="51"/>
                <w:sz w:val="24"/>
              </w:rPr>
              <w:t> </w:t>
            </w:r>
            <w:r>
              <w:rPr>
                <w:spacing w:val="12"/>
                <w:sz w:val="24"/>
              </w:rPr>
              <w:t>年度，实际已有</w:t>
            </w:r>
          </w:p>
          <w:p>
            <w:pPr>
              <w:pStyle w:val="TableParagraph"/>
              <w:spacing w:line="292" w:lineRule="exact"/>
              <w:ind w:left="221"/>
              <w:rPr>
                <w:sz w:val="24"/>
              </w:rPr>
            </w:pPr>
            <w:r>
              <w:rPr>
                <w:rFonts w:ascii="Arial MT" w:eastAsia="Arial MT"/>
                <w:spacing w:val="-1"/>
                <w:sz w:val="24"/>
              </w:rPr>
              <w:t>12,000</w:t>
            </w:r>
            <w:r>
              <w:rPr>
                <w:rFonts w:ascii="Arial MT" w:eastAsia="Arial MT"/>
                <w:spacing w:val="14"/>
                <w:sz w:val="24"/>
              </w:rPr>
              <w:t> </w:t>
            </w:r>
            <w:r>
              <w:rPr>
                <w:spacing w:val="-3"/>
                <w:sz w:val="24"/>
              </w:rPr>
              <w:t>股股票期权完成行权和股份过户登记手续。于 </w:t>
            </w:r>
            <w:r>
              <w:rPr>
                <w:rFonts w:ascii="Arial MT" w:eastAsia="Arial MT"/>
                <w:sz w:val="24"/>
              </w:rPr>
              <w:t>2022</w:t>
            </w:r>
            <w:r>
              <w:rPr>
                <w:rFonts w:ascii="Arial MT" w:eastAsia="Arial MT"/>
                <w:spacing w:val="14"/>
                <w:sz w:val="24"/>
              </w:rPr>
              <w:t> </w:t>
            </w:r>
            <w:r>
              <w:rPr>
                <w:sz w:val="24"/>
              </w:rPr>
              <w:t>年度，本集团收</w:t>
            </w:r>
          </w:p>
          <w:p>
            <w:pPr>
              <w:pStyle w:val="TableParagraph"/>
              <w:spacing w:line="293" w:lineRule="exact"/>
              <w:ind w:left="221"/>
              <w:rPr>
                <w:sz w:val="24"/>
              </w:rPr>
            </w:pPr>
            <w:r>
              <w:rPr>
                <w:spacing w:val="-2"/>
                <w:sz w:val="24"/>
              </w:rPr>
              <w:t>到相关激励对象支付的股权款 </w:t>
            </w:r>
            <w:r>
              <w:rPr>
                <w:rFonts w:ascii="Arial MT" w:eastAsia="Arial MT"/>
                <w:sz w:val="24"/>
              </w:rPr>
              <w:t>138</w:t>
            </w:r>
            <w:r>
              <w:rPr>
                <w:rFonts w:ascii="Arial MT" w:eastAsia="Arial MT"/>
                <w:spacing w:val="18"/>
                <w:sz w:val="24"/>
              </w:rPr>
              <w:t> </w:t>
            </w:r>
            <w:r>
              <w:rPr>
                <w:spacing w:val="-3"/>
                <w:sz w:val="24"/>
              </w:rPr>
              <w:t>千元，增加股本 </w:t>
            </w:r>
            <w:r>
              <w:rPr>
                <w:rFonts w:ascii="Arial MT" w:eastAsia="Arial MT"/>
                <w:sz w:val="24"/>
              </w:rPr>
              <w:t>12</w:t>
            </w:r>
            <w:r>
              <w:rPr>
                <w:rFonts w:ascii="Arial MT" w:eastAsia="Arial MT"/>
                <w:spacing w:val="18"/>
                <w:sz w:val="24"/>
              </w:rPr>
              <w:t> </w:t>
            </w:r>
            <w:r>
              <w:rPr>
                <w:sz w:val="24"/>
              </w:rPr>
              <w:t>千元，增加资本公积</w:t>
            </w:r>
          </w:p>
          <w:p>
            <w:pPr>
              <w:pStyle w:val="TableParagraph"/>
              <w:spacing w:line="300" w:lineRule="exact"/>
              <w:ind w:left="221"/>
              <w:rPr>
                <w:sz w:val="24"/>
              </w:rPr>
            </w:pPr>
            <w:r>
              <w:rPr>
                <w:rFonts w:ascii="Arial MT" w:eastAsia="Arial MT"/>
                <w:sz w:val="24"/>
              </w:rPr>
              <w:t>126</w:t>
            </w:r>
            <w:r>
              <w:rPr>
                <w:rFonts w:ascii="Arial MT" w:eastAsia="Arial MT"/>
                <w:spacing w:val="-14"/>
                <w:sz w:val="24"/>
              </w:rPr>
              <w:t> </w:t>
            </w:r>
            <w:r>
              <w:rPr>
                <w:sz w:val="24"/>
              </w:rPr>
              <w:t>千元。</w:t>
            </w:r>
          </w:p>
        </w:tc>
      </w:tr>
      <w:tr>
        <w:trPr>
          <w:trHeight w:val="569" w:hRule="atLeast"/>
        </w:trPr>
        <w:tc>
          <w:tcPr>
            <w:tcW w:w="4864" w:type="dxa"/>
          </w:tcPr>
          <w:p>
            <w:pPr>
              <w:pStyle w:val="TableParagraph"/>
              <w:spacing w:before="129"/>
              <w:ind w:left="221"/>
              <w:rPr>
                <w:sz w:val="24"/>
              </w:rPr>
            </w:pPr>
            <w:r>
              <w:rPr>
                <w:sz w:val="24"/>
              </w:rPr>
              <w:t>授予日股票期权公允价值的确定方法</w:t>
            </w:r>
          </w:p>
        </w:tc>
        <w:tc>
          <w:tcPr>
            <w:tcW w:w="3458" w:type="dxa"/>
          </w:tcPr>
          <w:p>
            <w:pPr>
              <w:pStyle w:val="TableParagraph"/>
              <w:rPr>
                <w:rFonts w:ascii="Times New Roman"/>
                <w:sz w:val="22"/>
              </w:rPr>
            </w:pPr>
          </w:p>
        </w:tc>
      </w:tr>
      <w:tr>
        <w:trPr>
          <w:trHeight w:val="1883" w:hRule="atLeast"/>
        </w:trPr>
        <w:tc>
          <w:tcPr>
            <w:tcW w:w="8322" w:type="dxa"/>
            <w:gridSpan w:val="2"/>
          </w:tcPr>
          <w:p>
            <w:pPr>
              <w:pStyle w:val="TableParagraph"/>
              <w:spacing w:line="300" w:lineRule="exact" w:before="143"/>
              <w:ind w:left="221"/>
              <w:jc w:val="both"/>
              <w:rPr>
                <w:sz w:val="24"/>
              </w:rPr>
            </w:pPr>
            <w:r>
              <w:rPr>
                <w:rFonts w:ascii="Arial MT" w:eastAsia="Arial MT"/>
                <w:sz w:val="24"/>
              </w:rPr>
              <w:t>2022</w:t>
            </w:r>
            <w:r>
              <w:rPr>
                <w:rFonts w:ascii="Arial MT" w:eastAsia="Arial MT"/>
                <w:spacing w:val="-32"/>
                <w:sz w:val="24"/>
              </w:rPr>
              <w:t> </w:t>
            </w:r>
            <w:r>
              <w:rPr>
                <w:spacing w:val="1"/>
                <w:sz w:val="24"/>
              </w:rPr>
              <w:t>年度，本集团确认了股份支付费用</w:t>
            </w:r>
            <w:r>
              <w:rPr>
                <w:rFonts w:ascii="Arial MT" w:eastAsia="Arial MT"/>
                <w:sz w:val="24"/>
              </w:rPr>
              <w:t>6,977</w:t>
            </w:r>
            <w:r>
              <w:rPr>
                <w:rFonts w:ascii="Arial MT" w:eastAsia="Arial MT"/>
                <w:spacing w:val="-32"/>
                <w:sz w:val="24"/>
              </w:rPr>
              <w:t> </w:t>
            </w:r>
            <w:r>
              <w:rPr>
                <w:sz w:val="24"/>
              </w:rPr>
              <w:t>千元</w:t>
            </w:r>
            <w:r>
              <w:rPr>
                <w:rFonts w:ascii="Arial MT" w:eastAsia="Arial MT"/>
                <w:sz w:val="24"/>
              </w:rPr>
              <w:t>(2021</w:t>
            </w:r>
            <w:r>
              <w:rPr>
                <w:rFonts w:ascii="Arial MT" w:eastAsia="Arial MT"/>
                <w:spacing w:val="-32"/>
                <w:sz w:val="24"/>
              </w:rPr>
              <w:t> </w:t>
            </w:r>
            <w:r>
              <w:rPr>
                <w:sz w:val="24"/>
              </w:rPr>
              <w:t>年度</w:t>
            </w:r>
            <w:r>
              <w:rPr>
                <w:rFonts w:ascii="Arial MT" w:eastAsia="Arial MT"/>
                <w:spacing w:val="-10"/>
                <w:sz w:val="24"/>
              </w:rPr>
              <w:t>: </w:t>
            </w:r>
            <w:r>
              <w:rPr>
                <w:rFonts w:ascii="Arial MT" w:eastAsia="Arial MT"/>
                <w:sz w:val="24"/>
              </w:rPr>
              <w:t>7,942</w:t>
            </w:r>
            <w:r>
              <w:rPr>
                <w:rFonts w:ascii="Arial MT" w:eastAsia="Arial MT"/>
                <w:spacing w:val="-32"/>
                <w:sz w:val="24"/>
              </w:rPr>
              <w:t> </w:t>
            </w:r>
            <w:r>
              <w:rPr>
                <w:sz w:val="24"/>
              </w:rPr>
              <w:t>千元</w:t>
            </w:r>
            <w:r>
              <w:rPr>
                <w:rFonts w:ascii="Arial MT" w:eastAsia="Arial MT"/>
                <w:sz w:val="24"/>
              </w:rPr>
              <w:t>)</w:t>
            </w:r>
            <w:r>
              <w:rPr>
                <w:sz w:val="24"/>
              </w:rPr>
              <w:t>，</w:t>
            </w:r>
          </w:p>
          <w:p>
            <w:pPr>
              <w:pStyle w:val="TableParagraph"/>
              <w:spacing w:line="228" w:lineRule="auto" w:before="5"/>
              <w:ind w:left="221" w:right="98"/>
              <w:jc w:val="both"/>
              <w:rPr>
                <w:sz w:val="24"/>
              </w:rPr>
            </w:pPr>
            <w:r>
              <w:rPr>
                <w:spacing w:val="-3"/>
                <w:sz w:val="24"/>
              </w:rPr>
              <w:t>本集团在自授予日开始最长 </w:t>
            </w:r>
            <w:r>
              <w:rPr>
                <w:rFonts w:ascii="Arial MT" w:eastAsia="Arial MT"/>
                <w:sz w:val="24"/>
              </w:rPr>
              <w:t>5</w:t>
            </w:r>
            <w:r>
              <w:rPr>
                <w:rFonts w:ascii="Arial MT" w:eastAsia="Arial MT"/>
                <w:spacing w:val="13"/>
                <w:sz w:val="24"/>
              </w:rPr>
              <w:t> </w:t>
            </w:r>
            <w:r>
              <w:rPr>
                <w:sz w:val="24"/>
              </w:rPr>
              <w:t>年服务期内的每个资产负债表日，根据最新取得的员工离职率、业绩指标完成情况等后续信息对预计可行权的购股权数量作出最佳估计，修正预计可行权的权益工具数量，并将当期取得的相应员工服务按照授予日的的公允价值计入相关成本或费用并相应调整资本公积。</w:t>
            </w:r>
          </w:p>
        </w:tc>
      </w:tr>
      <w:tr>
        <w:trPr>
          <w:trHeight w:val="1005" w:hRule="atLeast"/>
        </w:trPr>
        <w:tc>
          <w:tcPr>
            <w:tcW w:w="8322" w:type="dxa"/>
            <w:gridSpan w:val="2"/>
          </w:tcPr>
          <w:p>
            <w:pPr>
              <w:pStyle w:val="TableParagraph"/>
              <w:spacing w:before="6"/>
              <w:rPr>
                <w:sz w:val="22"/>
              </w:rPr>
            </w:pPr>
          </w:p>
          <w:p>
            <w:pPr>
              <w:pStyle w:val="TableParagraph"/>
              <w:spacing w:line="225" w:lineRule="auto"/>
              <w:ind w:left="200" w:right="105"/>
              <w:rPr>
                <w:sz w:val="24"/>
              </w:rPr>
            </w:pPr>
            <w:r>
              <w:rPr>
                <w:sz w:val="24"/>
              </w:rPr>
              <w:t>授予的股票期权于授予日的公允价值，采用</w:t>
            </w:r>
            <w:r>
              <w:rPr>
                <w:rFonts w:ascii="Arial MT" w:eastAsia="Arial MT"/>
                <w:sz w:val="24"/>
              </w:rPr>
              <w:t>Black-Scholes</w:t>
            </w:r>
            <w:r>
              <w:rPr>
                <w:sz w:val="24"/>
              </w:rPr>
              <w:t>期权定价模型，结合股票期权的条款和条件，作出估计。下表列示了所用模型的输入变量：</w:t>
            </w:r>
          </w:p>
        </w:tc>
      </w:tr>
      <w:tr>
        <w:trPr>
          <w:trHeight w:val="446" w:hRule="atLeast"/>
        </w:trPr>
        <w:tc>
          <w:tcPr>
            <w:tcW w:w="4864" w:type="dxa"/>
          </w:tcPr>
          <w:p>
            <w:pPr>
              <w:pStyle w:val="TableParagraph"/>
              <w:spacing w:line="282" w:lineRule="exact" w:before="144"/>
              <w:ind w:left="200"/>
              <w:rPr>
                <w:rFonts w:ascii="Arial MT" w:eastAsia="Arial MT"/>
                <w:sz w:val="24"/>
              </w:rPr>
            </w:pPr>
            <w:r>
              <w:rPr>
                <w:spacing w:val="-1"/>
                <w:sz w:val="24"/>
              </w:rPr>
              <w:t>预计股息率</w:t>
            </w:r>
            <w:r>
              <w:rPr>
                <w:rFonts w:ascii="Arial MT" w:eastAsia="Arial MT"/>
                <w:sz w:val="24"/>
              </w:rPr>
              <w:t>(i)</w:t>
            </w:r>
          </w:p>
        </w:tc>
        <w:tc>
          <w:tcPr>
            <w:tcW w:w="3458" w:type="dxa"/>
          </w:tcPr>
          <w:p>
            <w:pPr>
              <w:pStyle w:val="TableParagraph"/>
              <w:spacing w:line="267" w:lineRule="exact" w:before="159"/>
              <w:ind w:right="187"/>
              <w:jc w:val="right"/>
              <w:rPr>
                <w:rFonts w:ascii="Arial MT"/>
                <w:sz w:val="24"/>
              </w:rPr>
            </w:pPr>
            <w:r>
              <w:rPr>
                <w:rFonts w:ascii="Arial MT"/>
                <w:sz w:val="24"/>
              </w:rPr>
              <w:t>0.00%</w:t>
            </w:r>
          </w:p>
        </w:tc>
      </w:tr>
      <w:tr>
        <w:trPr>
          <w:trHeight w:val="291" w:hRule="atLeast"/>
        </w:trPr>
        <w:tc>
          <w:tcPr>
            <w:tcW w:w="4864" w:type="dxa"/>
          </w:tcPr>
          <w:p>
            <w:pPr>
              <w:pStyle w:val="TableParagraph"/>
              <w:spacing w:line="272" w:lineRule="exact"/>
              <w:ind w:left="200"/>
              <w:rPr>
                <w:sz w:val="24"/>
              </w:rPr>
            </w:pPr>
            <w:r>
              <w:rPr>
                <w:sz w:val="24"/>
              </w:rPr>
              <w:t>股价预计波动率</w:t>
            </w:r>
          </w:p>
        </w:tc>
        <w:tc>
          <w:tcPr>
            <w:tcW w:w="3458" w:type="dxa"/>
          </w:tcPr>
          <w:p>
            <w:pPr>
              <w:pStyle w:val="TableParagraph"/>
              <w:spacing w:line="268" w:lineRule="exact" w:before="3"/>
              <w:ind w:right="187"/>
              <w:jc w:val="right"/>
              <w:rPr>
                <w:rFonts w:ascii="Arial MT"/>
                <w:sz w:val="24"/>
              </w:rPr>
            </w:pPr>
            <w:r>
              <w:rPr>
                <w:rFonts w:ascii="Arial MT"/>
                <w:sz w:val="24"/>
              </w:rPr>
              <w:t>35.64%-39.31%</w:t>
            </w:r>
          </w:p>
        </w:tc>
      </w:tr>
      <w:tr>
        <w:trPr>
          <w:trHeight w:val="292" w:hRule="atLeast"/>
        </w:trPr>
        <w:tc>
          <w:tcPr>
            <w:tcW w:w="4864" w:type="dxa"/>
          </w:tcPr>
          <w:p>
            <w:pPr>
              <w:pStyle w:val="TableParagraph"/>
              <w:spacing w:line="273" w:lineRule="exact"/>
              <w:ind w:left="200"/>
              <w:rPr>
                <w:sz w:val="24"/>
              </w:rPr>
            </w:pPr>
            <w:r>
              <w:rPr>
                <w:sz w:val="24"/>
              </w:rPr>
              <w:t>期权有效期内的无风险利率</w:t>
            </w:r>
          </w:p>
        </w:tc>
        <w:tc>
          <w:tcPr>
            <w:tcW w:w="3458" w:type="dxa"/>
          </w:tcPr>
          <w:p>
            <w:pPr>
              <w:pStyle w:val="TableParagraph"/>
              <w:spacing w:line="268" w:lineRule="exact" w:before="4"/>
              <w:ind w:right="187"/>
              <w:jc w:val="right"/>
              <w:rPr>
                <w:rFonts w:ascii="Arial MT"/>
                <w:sz w:val="24"/>
              </w:rPr>
            </w:pPr>
            <w:r>
              <w:rPr>
                <w:rFonts w:ascii="Arial MT"/>
                <w:sz w:val="24"/>
              </w:rPr>
              <w:t>2.42%-2.93%</w:t>
            </w:r>
          </w:p>
        </w:tc>
      </w:tr>
      <w:tr>
        <w:trPr>
          <w:trHeight w:val="280" w:hRule="atLeast"/>
        </w:trPr>
        <w:tc>
          <w:tcPr>
            <w:tcW w:w="4864" w:type="dxa"/>
          </w:tcPr>
          <w:p>
            <w:pPr>
              <w:pStyle w:val="TableParagraph"/>
              <w:spacing w:line="260" w:lineRule="exact"/>
              <w:ind w:left="200"/>
              <w:rPr>
                <w:rFonts w:ascii="Arial MT" w:eastAsia="Arial MT"/>
                <w:sz w:val="24"/>
              </w:rPr>
            </w:pPr>
            <w:r>
              <w:rPr>
                <w:spacing w:val="-1"/>
                <w:sz w:val="24"/>
              </w:rPr>
              <w:t>授予日的行权价格</w:t>
            </w:r>
            <w:r>
              <w:rPr>
                <w:rFonts w:ascii="Arial MT" w:eastAsia="Arial MT"/>
                <w:sz w:val="24"/>
              </w:rPr>
              <w:t>(</w:t>
            </w:r>
            <w:r>
              <w:rPr>
                <w:sz w:val="24"/>
              </w:rPr>
              <w:t>人民币</w:t>
            </w:r>
            <w:r>
              <w:rPr>
                <w:rFonts w:ascii="Arial MT" w:eastAsia="Arial MT"/>
                <w:sz w:val="24"/>
              </w:rPr>
              <w:t>/</w:t>
            </w:r>
            <w:r>
              <w:rPr>
                <w:sz w:val="24"/>
              </w:rPr>
              <w:t>股</w:t>
            </w:r>
            <w:r>
              <w:rPr>
                <w:rFonts w:ascii="Arial MT" w:eastAsia="Arial MT"/>
                <w:sz w:val="24"/>
              </w:rPr>
              <w:t>)</w:t>
            </w:r>
          </w:p>
        </w:tc>
        <w:tc>
          <w:tcPr>
            <w:tcW w:w="3458" w:type="dxa"/>
          </w:tcPr>
          <w:p>
            <w:pPr>
              <w:pStyle w:val="TableParagraph"/>
              <w:spacing w:line="260" w:lineRule="exact"/>
              <w:ind w:right="186"/>
              <w:jc w:val="right"/>
              <w:rPr>
                <w:sz w:val="24"/>
              </w:rPr>
            </w:pPr>
            <w:r>
              <w:rPr>
                <w:rFonts w:ascii="Arial MT" w:eastAsia="Arial MT"/>
                <w:sz w:val="24"/>
              </w:rPr>
              <w:t>11.921</w:t>
            </w:r>
            <w:r>
              <w:rPr>
                <w:rFonts w:ascii="Arial MT" w:eastAsia="Arial MT"/>
                <w:spacing w:val="-14"/>
                <w:sz w:val="24"/>
              </w:rPr>
              <w:t> </w:t>
            </w:r>
            <w:r>
              <w:rPr>
                <w:sz w:val="24"/>
              </w:rPr>
              <w:t>元</w:t>
            </w:r>
          </w:p>
        </w:tc>
      </w:tr>
    </w:tbl>
    <w:p>
      <w:pPr>
        <w:pStyle w:val="BodyText"/>
        <w:spacing w:before="10"/>
        <w:ind w:left="0"/>
        <w:rPr>
          <w:sz w:val="15"/>
        </w:rPr>
      </w:pPr>
    </w:p>
    <w:p>
      <w:pPr>
        <w:pStyle w:val="Heading3"/>
        <w:numPr>
          <w:ilvl w:val="1"/>
          <w:numId w:val="88"/>
        </w:numPr>
        <w:tabs>
          <w:tab w:pos="1262" w:val="left" w:leader="none"/>
        </w:tabs>
        <w:spacing w:line="242" w:lineRule="auto" w:before="78" w:after="0"/>
        <w:ind w:left="1038" w:right="1357" w:firstLine="0"/>
        <w:jc w:val="both"/>
      </w:pPr>
      <w:r>
        <w:rPr>
          <w:spacing w:val="9"/>
        </w:rPr>
        <w:t>若在激励计划公告当日至激励对象完成股票期权行权期间，本公司有派</w:t>
      </w:r>
      <w:r>
        <w:rPr/>
        <w:t>息、配股等事项，应对股票期权行权价格进行相应的调减。因此，本公司在计算授予日股票期权公允价值时输入的预计股息率为零。</w:t>
      </w:r>
    </w:p>
    <w:p>
      <w:pPr>
        <w:pStyle w:val="BodyText"/>
        <w:ind w:left="0"/>
        <w:rPr>
          <w:sz w:val="20"/>
        </w:rPr>
      </w:pPr>
    </w:p>
    <w:p>
      <w:pPr>
        <w:pStyle w:val="BodyText"/>
        <w:spacing w:before="11"/>
        <w:ind w:left="0"/>
      </w:pPr>
    </w:p>
    <w:p>
      <w:pPr>
        <w:pStyle w:val="BodyText"/>
        <w:spacing w:before="72"/>
      </w:pPr>
      <w:r>
        <w:rPr/>
        <w:t>3、 以现金结算的股份支付情况</w:t>
      </w:r>
    </w:p>
    <w:p>
      <w:pPr>
        <w:pStyle w:val="BodyText"/>
        <w:spacing w:before="62"/>
      </w:pPr>
      <w:r>
        <w:rPr>
          <w:spacing w:val="-1"/>
        </w:rPr>
        <w:t>□适用 √不适用</w:t>
      </w:r>
      <w:r>
        <w:rPr>
          <w:spacing w:val="-3"/>
        </w:rPr>
        <w:t> </w:t>
      </w:r>
      <w:r>
        <w:rPr/>
        <w:t> </w:t>
      </w:r>
    </w:p>
    <w:p>
      <w:pPr>
        <w:pStyle w:val="BodyText"/>
        <w:spacing w:before="4"/>
      </w:pPr>
      <w:r>
        <w:rPr>
          <w:w w:val="100"/>
        </w:rPr>
        <w:t> </w:t>
      </w:r>
    </w:p>
    <w:p>
      <w:pPr>
        <w:pStyle w:val="BodyText"/>
        <w:spacing w:before="3"/>
      </w:pPr>
      <w:r>
        <w:rPr>
          <w:w w:val="100"/>
        </w:rPr>
        <w:t> </w:t>
      </w:r>
    </w:p>
    <w:p>
      <w:pPr>
        <w:pStyle w:val="BodyText"/>
        <w:spacing w:before="64"/>
      </w:pPr>
      <w:r>
        <w:rPr/>
        <w:t>4、 股份支付的修改、终止情况</w:t>
      </w:r>
    </w:p>
    <w:p>
      <w:pPr>
        <w:pStyle w:val="BodyText"/>
        <w:spacing w:before="62"/>
      </w:pPr>
      <w:r>
        <w:rPr>
          <w:spacing w:val="11"/>
        </w:rPr>
        <w:t>□适用 √不适用</w:t>
      </w:r>
      <w:r>
        <w:rPr/>
        <w:t> </w:t>
      </w:r>
    </w:p>
    <w:p>
      <w:pPr>
        <w:pStyle w:val="BodyText"/>
        <w:spacing w:before="5"/>
        <w:ind w:left="529"/>
      </w:pPr>
      <w:r>
        <w:rPr>
          <w:w w:val="100"/>
        </w:rPr>
        <w:t> </w:t>
      </w:r>
    </w:p>
    <w:p>
      <w:pPr>
        <w:pStyle w:val="BodyText"/>
        <w:spacing w:before="62"/>
      </w:pPr>
      <w:r>
        <w:rPr/>
        <w:t>5、 其他</w:t>
      </w:r>
    </w:p>
    <w:p>
      <w:pPr>
        <w:pStyle w:val="BodyText"/>
        <w:spacing w:before="65"/>
      </w:pPr>
      <w:r>
        <w:rPr>
          <w:spacing w:val="11"/>
        </w:rPr>
        <w:t>□适用 √不适用</w:t>
      </w:r>
      <w:r>
        <w:rPr>
          <w:spacing w:val="-3"/>
        </w:rPr>
        <w:t> </w:t>
      </w:r>
      <w:r>
        <w:rPr/>
        <w:t> </w:t>
      </w:r>
    </w:p>
    <w:p>
      <w:pPr>
        <w:pStyle w:val="BodyText"/>
        <w:spacing w:before="2"/>
      </w:pPr>
      <w:r>
        <w:rPr>
          <w:w w:val="100"/>
        </w:rPr>
        <w:t> </w:t>
      </w:r>
    </w:p>
    <w:p>
      <w:pPr>
        <w:pStyle w:val="BodyText"/>
        <w:spacing w:line="295" w:lineRule="auto" w:before="65"/>
        <w:ind w:right="7788"/>
      </w:pPr>
      <w:r>
        <w:rPr>
          <w:spacing w:val="6"/>
        </w:rPr>
        <w:t>十四、 承诺及或有事项</w:t>
      </w:r>
      <w:r>
        <w:rPr/>
        <w:t>1、 重要承诺事项 </w:t>
      </w:r>
    </w:p>
    <w:p>
      <w:pPr>
        <w:pStyle w:val="BodyText"/>
        <w:spacing w:before="3"/>
      </w:pPr>
      <w:r>
        <w:rPr>
          <w:spacing w:val="-1"/>
        </w:rPr>
        <w:t>√适用 □不适用</w:t>
      </w:r>
      <w:r>
        <w:rPr>
          <w:spacing w:val="-3"/>
        </w:rPr>
        <w:t> </w:t>
      </w:r>
      <w:r>
        <w:rPr/>
        <w:t> </w:t>
      </w:r>
    </w:p>
    <w:p>
      <w:pPr>
        <w:pStyle w:val="BodyText"/>
        <w:spacing w:before="2" w:after="26"/>
      </w:pPr>
      <w:r>
        <w:rPr>
          <w:spacing w:val="-1"/>
        </w:rPr>
        <w:t>资产负债表日存在的对外重要承诺、性质、金额</w:t>
      </w:r>
      <w:r>
        <w:rPr/>
        <w:t> </w:t>
      </w: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7"/>
        <w:gridCol w:w="2574"/>
      </w:tblGrid>
      <w:tr>
        <w:trPr>
          <w:trHeight w:val="268" w:hRule="atLeast"/>
        </w:trPr>
        <w:tc>
          <w:tcPr>
            <w:tcW w:w="707" w:type="dxa"/>
          </w:tcPr>
          <w:p>
            <w:pPr>
              <w:pStyle w:val="TableParagraph"/>
              <w:spacing w:line="248" w:lineRule="exact"/>
              <w:ind w:left="200"/>
              <w:rPr>
                <w:rFonts w:ascii="Arial MT"/>
                <w:sz w:val="24"/>
              </w:rPr>
            </w:pPr>
            <w:r>
              <w:rPr>
                <w:rFonts w:ascii="Arial MT"/>
                <w:sz w:val="24"/>
              </w:rPr>
              <w:t>(1)</w:t>
            </w:r>
          </w:p>
        </w:tc>
        <w:tc>
          <w:tcPr>
            <w:tcW w:w="2574" w:type="dxa"/>
          </w:tcPr>
          <w:p>
            <w:pPr>
              <w:pStyle w:val="TableParagraph"/>
              <w:spacing w:line="248" w:lineRule="exact"/>
              <w:ind w:left="212"/>
              <w:rPr>
                <w:sz w:val="24"/>
              </w:rPr>
            </w:pPr>
            <w:r>
              <w:rPr>
                <w:sz w:val="24"/>
              </w:rPr>
              <w:t>资本性支出承诺事项</w:t>
            </w:r>
          </w:p>
        </w:tc>
      </w:tr>
    </w:tbl>
    <w:p>
      <w:pPr>
        <w:pStyle w:val="BodyText"/>
        <w:spacing w:before="10"/>
      </w:pPr>
      <w:r>
        <w:rPr>
          <w:w w:val="100"/>
        </w:rPr>
        <w:t> </w:t>
      </w:r>
    </w:p>
    <w:p>
      <w:pPr>
        <w:spacing w:after="0"/>
        <w:sectPr>
          <w:pgSz w:w="11910" w:h="16840"/>
          <w:pgMar w:header="882" w:footer="1195" w:top="1100" w:bottom="1380" w:left="1480" w:right="0"/>
        </w:sectPr>
      </w:pPr>
    </w:p>
    <w:p>
      <w:pPr>
        <w:pStyle w:val="BodyText"/>
        <w:spacing w:before="11"/>
        <w:ind w:left="0"/>
        <w:rPr>
          <w:sz w:val="25"/>
        </w:rPr>
      </w:pPr>
    </w:p>
    <w:p>
      <w:pPr>
        <w:pStyle w:val="Heading3"/>
        <w:spacing w:line="235" w:lineRule="auto" w:before="72"/>
        <w:ind w:left="1038" w:right="1349"/>
        <w:jc w:val="left"/>
      </w:pPr>
      <w:r>
        <w:rPr/>
        <w:t>以下为本集团于资产负债表日，已签约而尚不必在资产负债表上列示的资本性支出承诺：</w:t>
      </w:r>
    </w:p>
    <w:p>
      <w:pPr>
        <w:pStyle w:val="BodyText"/>
        <w:spacing w:before="7"/>
        <w:ind w:left="0"/>
        <w:rPr>
          <w:sz w:val="22"/>
        </w:rPr>
      </w:pP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31"/>
        <w:gridCol w:w="3022"/>
        <w:gridCol w:w="1830"/>
      </w:tblGrid>
      <w:tr>
        <w:trPr>
          <w:trHeight w:val="744" w:hRule="atLeast"/>
        </w:trPr>
        <w:tc>
          <w:tcPr>
            <w:tcW w:w="3431" w:type="dxa"/>
          </w:tcPr>
          <w:p>
            <w:pPr>
              <w:pStyle w:val="TableParagraph"/>
              <w:rPr>
                <w:rFonts w:ascii="Times New Roman"/>
                <w:sz w:val="20"/>
              </w:rPr>
            </w:pPr>
          </w:p>
        </w:tc>
        <w:tc>
          <w:tcPr>
            <w:tcW w:w="3022" w:type="dxa"/>
          </w:tcPr>
          <w:p>
            <w:pPr>
              <w:pStyle w:val="TableParagraph"/>
              <w:spacing w:line="285" w:lineRule="exact"/>
              <w:ind w:right="578"/>
              <w:jc w:val="right"/>
              <w:rPr>
                <w:sz w:val="24"/>
              </w:rPr>
            </w:pPr>
            <w:r>
              <w:rPr>
                <w:rFonts w:ascii="Arial MT" w:eastAsia="Arial MT"/>
                <w:sz w:val="24"/>
              </w:rPr>
              <w:t>2022</w:t>
            </w:r>
            <w:r>
              <w:rPr>
                <w:rFonts w:ascii="Arial MT" w:eastAsia="Arial MT"/>
                <w:spacing w:val="-14"/>
                <w:sz w:val="24"/>
              </w:rPr>
              <w:t> </w:t>
            </w:r>
            <w:r>
              <w:rPr>
                <w:sz w:val="24"/>
              </w:rPr>
              <w:t>年</w:t>
            </w:r>
          </w:p>
          <w:p>
            <w:pPr>
              <w:pStyle w:val="TableParagraph"/>
              <w:spacing w:before="4"/>
              <w:ind w:right="578"/>
              <w:jc w:val="right"/>
              <w:rPr>
                <w:sz w:val="24"/>
              </w:rPr>
            </w:pPr>
            <w:r>
              <w:rPr>
                <w:rFonts w:ascii="Arial MT" w:eastAsia="Arial MT"/>
                <w:w w:val="95"/>
                <w:sz w:val="24"/>
              </w:rPr>
              <w:t>12</w:t>
            </w:r>
            <w:r>
              <w:rPr>
                <w:rFonts w:ascii="Arial MT" w:eastAsia="Arial MT"/>
                <w:spacing w:val="6"/>
                <w:w w:val="95"/>
                <w:sz w:val="24"/>
              </w:rPr>
              <w:t> </w:t>
            </w:r>
            <w:r>
              <w:rPr>
                <w:spacing w:val="-18"/>
                <w:w w:val="95"/>
                <w:sz w:val="24"/>
              </w:rPr>
              <w:t>月 </w:t>
            </w:r>
            <w:r>
              <w:rPr>
                <w:rFonts w:ascii="Arial MT" w:eastAsia="Arial MT"/>
                <w:w w:val="95"/>
                <w:sz w:val="24"/>
              </w:rPr>
              <w:t>31</w:t>
            </w:r>
            <w:r>
              <w:rPr>
                <w:rFonts w:ascii="Arial MT" w:eastAsia="Arial MT"/>
                <w:spacing w:val="7"/>
                <w:w w:val="95"/>
                <w:sz w:val="24"/>
              </w:rPr>
              <w:t> </w:t>
            </w:r>
            <w:r>
              <w:rPr>
                <w:w w:val="95"/>
                <w:sz w:val="24"/>
              </w:rPr>
              <w:t>日</w:t>
            </w:r>
          </w:p>
        </w:tc>
        <w:tc>
          <w:tcPr>
            <w:tcW w:w="1830" w:type="dxa"/>
          </w:tcPr>
          <w:p>
            <w:pPr>
              <w:pStyle w:val="TableParagraph"/>
              <w:spacing w:line="285" w:lineRule="exact"/>
              <w:ind w:right="197"/>
              <w:jc w:val="right"/>
              <w:rPr>
                <w:sz w:val="24"/>
              </w:rPr>
            </w:pPr>
            <w:r>
              <w:rPr>
                <w:rFonts w:ascii="Arial MT" w:eastAsia="Arial MT"/>
                <w:sz w:val="24"/>
              </w:rPr>
              <w:t>2021</w:t>
            </w:r>
            <w:r>
              <w:rPr>
                <w:rFonts w:ascii="Arial MT" w:eastAsia="Arial MT"/>
                <w:spacing w:val="-14"/>
                <w:sz w:val="24"/>
              </w:rPr>
              <w:t> </w:t>
            </w:r>
            <w:r>
              <w:rPr>
                <w:sz w:val="24"/>
              </w:rPr>
              <w:t>年</w:t>
            </w:r>
          </w:p>
          <w:p>
            <w:pPr>
              <w:pStyle w:val="TableParagraph"/>
              <w:spacing w:before="4"/>
              <w:ind w:right="197"/>
              <w:jc w:val="right"/>
              <w:rPr>
                <w:sz w:val="24"/>
              </w:rPr>
            </w:pPr>
            <w:r>
              <w:rPr>
                <w:rFonts w:ascii="Arial MT" w:eastAsia="Arial MT"/>
                <w:w w:val="95"/>
                <w:sz w:val="24"/>
              </w:rPr>
              <w:t>12</w:t>
            </w:r>
            <w:r>
              <w:rPr>
                <w:rFonts w:ascii="Arial MT" w:eastAsia="Arial MT"/>
                <w:spacing w:val="6"/>
                <w:w w:val="95"/>
                <w:sz w:val="24"/>
              </w:rPr>
              <w:t> </w:t>
            </w:r>
            <w:r>
              <w:rPr>
                <w:spacing w:val="-18"/>
                <w:w w:val="95"/>
                <w:sz w:val="24"/>
              </w:rPr>
              <w:t>月 </w:t>
            </w:r>
            <w:r>
              <w:rPr>
                <w:rFonts w:ascii="Arial MT" w:eastAsia="Arial MT"/>
                <w:w w:val="95"/>
                <w:sz w:val="24"/>
              </w:rPr>
              <w:t>31</w:t>
            </w:r>
            <w:r>
              <w:rPr>
                <w:rFonts w:ascii="Arial MT" w:eastAsia="Arial MT"/>
                <w:spacing w:val="7"/>
                <w:w w:val="95"/>
                <w:sz w:val="24"/>
              </w:rPr>
              <w:t> </w:t>
            </w:r>
            <w:r>
              <w:rPr>
                <w:w w:val="95"/>
                <w:sz w:val="24"/>
              </w:rPr>
              <w:t>日</w:t>
            </w:r>
          </w:p>
        </w:tc>
      </w:tr>
      <w:tr>
        <w:trPr>
          <w:trHeight w:val="457" w:hRule="atLeast"/>
        </w:trPr>
        <w:tc>
          <w:tcPr>
            <w:tcW w:w="3431" w:type="dxa"/>
          </w:tcPr>
          <w:p>
            <w:pPr>
              <w:pStyle w:val="TableParagraph"/>
              <w:spacing w:line="307" w:lineRule="exact" w:before="130"/>
              <w:ind w:left="200"/>
              <w:rPr>
                <w:sz w:val="24"/>
              </w:rPr>
            </w:pPr>
            <w:r>
              <w:rPr>
                <w:sz w:val="24"/>
              </w:rPr>
              <w:t>无形资产</w:t>
            </w:r>
          </w:p>
        </w:tc>
        <w:tc>
          <w:tcPr>
            <w:tcW w:w="3022" w:type="dxa"/>
          </w:tcPr>
          <w:p>
            <w:pPr>
              <w:pStyle w:val="TableParagraph"/>
              <w:spacing w:line="275" w:lineRule="exact" w:before="162"/>
              <w:ind w:left="1567"/>
              <w:rPr>
                <w:rFonts w:ascii="Arial MT"/>
                <w:sz w:val="24"/>
              </w:rPr>
            </w:pPr>
            <w:r>
              <w:rPr>
                <w:rFonts w:ascii="Arial MT"/>
                <w:sz w:val="24"/>
              </w:rPr>
              <w:t>482,680</w:t>
            </w:r>
          </w:p>
        </w:tc>
        <w:tc>
          <w:tcPr>
            <w:tcW w:w="1830" w:type="dxa"/>
          </w:tcPr>
          <w:p>
            <w:pPr>
              <w:pStyle w:val="TableParagraph"/>
              <w:spacing w:line="275" w:lineRule="exact" w:before="162"/>
              <w:ind w:left="802" w:right="115"/>
              <w:jc w:val="center"/>
              <w:rPr>
                <w:rFonts w:ascii="Arial MT"/>
                <w:sz w:val="24"/>
              </w:rPr>
            </w:pPr>
            <w:r>
              <w:rPr>
                <w:rFonts w:ascii="Arial MT"/>
                <w:sz w:val="24"/>
              </w:rPr>
              <w:t>11,411</w:t>
            </w:r>
          </w:p>
        </w:tc>
      </w:tr>
      <w:tr>
        <w:trPr>
          <w:trHeight w:val="308" w:hRule="atLeast"/>
        </w:trPr>
        <w:tc>
          <w:tcPr>
            <w:tcW w:w="3431" w:type="dxa"/>
          </w:tcPr>
          <w:p>
            <w:pPr>
              <w:pStyle w:val="TableParagraph"/>
              <w:spacing w:line="289" w:lineRule="exact"/>
              <w:ind w:left="200"/>
              <w:rPr>
                <w:sz w:val="24"/>
              </w:rPr>
            </w:pPr>
            <w:r>
              <w:rPr>
                <w:sz w:val="24"/>
              </w:rPr>
              <w:t>房屋、建筑物及机器设备</w:t>
            </w:r>
          </w:p>
        </w:tc>
        <w:tc>
          <w:tcPr>
            <w:tcW w:w="3022" w:type="dxa"/>
          </w:tcPr>
          <w:p>
            <w:pPr>
              <w:pStyle w:val="TableParagraph"/>
              <w:tabs>
                <w:tab w:pos="976" w:val="left" w:leader="none"/>
                <w:tab w:pos="2210" w:val="left" w:leader="none"/>
                <w:tab w:pos="3187" w:val="left" w:leader="none"/>
              </w:tabs>
              <w:spacing w:line="272" w:lineRule="exact" w:before="17"/>
              <w:ind w:right="-764"/>
              <w:jc w:val="right"/>
              <w:rPr>
                <w:rFonts w:ascii="Arial MT"/>
                <w:sz w:val="24"/>
              </w:rPr>
            </w:pPr>
            <w:r>
              <w:rPr>
                <w:rFonts w:ascii="Arial MT"/>
                <w:w w:val="100"/>
                <w:sz w:val="24"/>
                <w:u w:val="single"/>
              </w:rPr>
              <w:t> </w:t>
            </w:r>
            <w:r>
              <w:rPr>
                <w:rFonts w:ascii="Arial MT"/>
                <w:sz w:val="24"/>
                <w:u w:val="single"/>
              </w:rPr>
              <w:tab/>
            </w:r>
            <w:r>
              <w:rPr>
                <w:rFonts w:ascii="Arial MT"/>
                <w:sz w:val="24"/>
                <w:u w:val="single"/>
              </w:rPr>
              <w:t>237,859 </w:t>
            </w:r>
            <w:r>
              <w:rPr>
                <w:rFonts w:ascii="Arial MT"/>
                <w:spacing w:val="5"/>
                <w:sz w:val="24"/>
                <w:u w:val="single"/>
              </w:rPr>
              <w:t> </w:t>
            </w:r>
            <w:r>
              <w:rPr>
                <w:rFonts w:ascii="Arial MT"/>
                <w:sz w:val="24"/>
              </w:rPr>
              <w:tab/>
            </w:r>
            <w:r>
              <w:rPr>
                <w:rFonts w:ascii="Arial MT"/>
                <w:w w:val="100"/>
                <w:sz w:val="24"/>
                <w:u w:val="single"/>
              </w:rPr>
              <w:t> </w:t>
            </w:r>
            <w:r>
              <w:rPr>
                <w:rFonts w:ascii="Arial MT"/>
                <w:sz w:val="24"/>
                <w:u w:val="single"/>
              </w:rPr>
              <w:tab/>
            </w:r>
          </w:p>
        </w:tc>
        <w:tc>
          <w:tcPr>
            <w:tcW w:w="1830" w:type="dxa"/>
          </w:tcPr>
          <w:p>
            <w:pPr>
              <w:pStyle w:val="TableParagraph"/>
              <w:spacing w:line="272" w:lineRule="exact" w:before="17"/>
              <w:ind w:left="806" w:right="115"/>
              <w:jc w:val="center"/>
              <w:rPr>
                <w:rFonts w:ascii="Arial MT"/>
                <w:sz w:val="24"/>
              </w:rPr>
            </w:pPr>
            <w:r>
              <w:rPr>
                <w:rFonts w:ascii="Arial MT"/>
                <w:sz w:val="24"/>
                <w:u w:val="single"/>
              </w:rPr>
              <w:t>187,107 </w:t>
            </w:r>
            <w:r>
              <w:rPr>
                <w:rFonts w:ascii="Arial MT"/>
                <w:spacing w:val="5"/>
                <w:sz w:val="24"/>
                <w:u w:val="single"/>
              </w:rPr>
              <w:t> </w:t>
            </w:r>
          </w:p>
        </w:tc>
      </w:tr>
      <w:tr>
        <w:trPr>
          <w:trHeight w:val="269" w:hRule="atLeast"/>
        </w:trPr>
        <w:tc>
          <w:tcPr>
            <w:tcW w:w="3431" w:type="dxa"/>
          </w:tcPr>
          <w:p>
            <w:pPr>
              <w:pStyle w:val="TableParagraph"/>
              <w:rPr>
                <w:rFonts w:ascii="Times New Roman"/>
                <w:sz w:val="20"/>
              </w:rPr>
            </w:pPr>
          </w:p>
        </w:tc>
        <w:tc>
          <w:tcPr>
            <w:tcW w:w="3022" w:type="dxa"/>
          </w:tcPr>
          <w:p>
            <w:pPr>
              <w:pStyle w:val="TableParagraph"/>
              <w:tabs>
                <w:tab w:pos="991" w:val="left" w:leader="none"/>
                <w:tab w:pos="2210" w:val="left" w:leader="none"/>
                <w:tab w:pos="3202" w:val="left" w:leader="none"/>
              </w:tabs>
              <w:spacing w:line="250" w:lineRule="exact"/>
              <w:ind w:right="-764"/>
              <w:jc w:val="right"/>
              <w:rPr>
                <w:rFonts w:ascii="Arial MT"/>
                <w:sz w:val="24"/>
              </w:rPr>
            </w:pPr>
            <w:r>
              <w:rPr>
                <w:rFonts w:ascii="Arial MT"/>
                <w:w w:val="100"/>
                <w:sz w:val="24"/>
                <w:u w:val="thick"/>
              </w:rPr>
              <w:t> </w:t>
            </w:r>
            <w:r>
              <w:rPr>
                <w:rFonts w:ascii="Arial MT"/>
                <w:sz w:val="24"/>
                <w:u w:val="thick"/>
              </w:rPr>
              <w:tab/>
            </w:r>
            <w:r>
              <w:rPr>
                <w:rFonts w:ascii="Arial MT"/>
                <w:sz w:val="24"/>
                <w:u w:val="thick"/>
              </w:rPr>
              <w:t>720,539 </w:t>
            </w:r>
            <w:r>
              <w:rPr>
                <w:rFonts w:ascii="Arial MT"/>
                <w:spacing w:val="5"/>
                <w:sz w:val="24"/>
                <w:u w:val="thick"/>
              </w:rPr>
              <w:t> </w:t>
            </w:r>
            <w:r>
              <w:rPr>
                <w:rFonts w:ascii="Arial MT"/>
                <w:sz w:val="24"/>
              </w:rPr>
              <w:tab/>
            </w:r>
            <w:r>
              <w:rPr>
                <w:rFonts w:ascii="Arial MT"/>
                <w:w w:val="100"/>
                <w:sz w:val="24"/>
                <w:u w:val="thick"/>
              </w:rPr>
              <w:t> </w:t>
            </w:r>
            <w:r>
              <w:rPr>
                <w:rFonts w:ascii="Arial MT"/>
                <w:sz w:val="24"/>
                <w:u w:val="thick"/>
              </w:rPr>
              <w:tab/>
            </w:r>
          </w:p>
        </w:tc>
        <w:tc>
          <w:tcPr>
            <w:tcW w:w="1830" w:type="dxa"/>
          </w:tcPr>
          <w:p>
            <w:pPr>
              <w:pStyle w:val="TableParagraph"/>
              <w:spacing w:line="250" w:lineRule="exact"/>
              <w:ind w:left="806" w:right="115"/>
              <w:jc w:val="center"/>
              <w:rPr>
                <w:rFonts w:ascii="Arial MT"/>
                <w:sz w:val="24"/>
              </w:rPr>
            </w:pPr>
            <w:r>
              <w:rPr>
                <w:rFonts w:ascii="Arial MT"/>
                <w:sz w:val="24"/>
                <w:u w:val="thick"/>
              </w:rPr>
              <w:t>198,518 </w:t>
            </w:r>
            <w:r>
              <w:rPr>
                <w:rFonts w:ascii="Arial MT"/>
                <w:spacing w:val="5"/>
                <w:sz w:val="24"/>
                <w:u w:val="thick"/>
              </w:rPr>
              <w:t> </w:t>
            </w:r>
          </w:p>
        </w:tc>
      </w:tr>
    </w:tbl>
    <w:p>
      <w:pPr>
        <w:pStyle w:val="BodyText"/>
        <w:spacing w:before="34"/>
      </w:pPr>
      <w:r>
        <w:rPr>
          <w:w w:val="100"/>
        </w:rPr>
        <w:t> </w:t>
      </w:r>
    </w:p>
    <w:p>
      <w:pPr>
        <w:pStyle w:val="BodyText"/>
        <w:spacing w:before="5"/>
      </w:pPr>
      <w:r>
        <w:rPr>
          <w:w w:val="100"/>
        </w:rPr>
        <w:t> </w:t>
      </w:r>
    </w:p>
    <w:p>
      <w:pPr>
        <w:pStyle w:val="BodyText"/>
        <w:spacing w:before="62"/>
      </w:pPr>
      <w:r>
        <w:rPr/>
        <w:t>2、 或有事项</w:t>
      </w:r>
    </w:p>
    <w:p>
      <w:pPr>
        <w:pStyle w:val="ListParagraph"/>
        <w:numPr>
          <w:ilvl w:val="0"/>
          <w:numId w:val="89"/>
        </w:numPr>
        <w:tabs>
          <w:tab w:pos="743" w:val="left" w:leader="none"/>
        </w:tabs>
        <w:spacing w:line="240" w:lineRule="auto" w:before="65" w:after="0"/>
        <w:ind w:left="742" w:right="0" w:hanging="425"/>
        <w:jc w:val="left"/>
        <w:rPr>
          <w:sz w:val="21"/>
        </w:rPr>
      </w:pPr>
      <w:r>
        <w:rPr>
          <w:sz w:val="21"/>
        </w:rPr>
        <w:t>资产负债表日存在的重要或有事项 </w:t>
      </w:r>
    </w:p>
    <w:p>
      <w:pPr>
        <w:pStyle w:val="BodyText"/>
        <w:spacing w:before="62"/>
      </w:pPr>
      <w:r>
        <w:rPr>
          <w:spacing w:val="11"/>
        </w:rPr>
        <w:t>□适用 √不适用</w:t>
      </w:r>
      <w:r>
        <w:rPr>
          <w:spacing w:val="-3"/>
        </w:rPr>
        <w:t> </w:t>
      </w:r>
      <w:r>
        <w:rPr/>
        <w:t> </w:t>
      </w:r>
    </w:p>
    <w:p>
      <w:pPr>
        <w:pStyle w:val="BodyText"/>
        <w:spacing w:before="5"/>
      </w:pPr>
      <w:r>
        <w:rPr>
          <w:w w:val="100"/>
        </w:rPr>
        <w:t> </w:t>
      </w:r>
    </w:p>
    <w:p>
      <w:pPr>
        <w:pStyle w:val="ListParagraph"/>
        <w:numPr>
          <w:ilvl w:val="0"/>
          <w:numId w:val="89"/>
        </w:numPr>
        <w:tabs>
          <w:tab w:pos="743" w:val="left" w:leader="none"/>
        </w:tabs>
        <w:spacing w:line="240" w:lineRule="auto" w:before="62" w:after="0"/>
        <w:ind w:left="742" w:right="0" w:hanging="425"/>
        <w:jc w:val="left"/>
        <w:rPr>
          <w:sz w:val="21"/>
        </w:rPr>
      </w:pPr>
      <w:r>
        <w:rPr>
          <w:sz w:val="21"/>
        </w:rPr>
        <w:t>公司没有需要披露的重要或有事项，也应予以说明： </w:t>
      </w:r>
    </w:p>
    <w:p>
      <w:pPr>
        <w:pStyle w:val="BodyText"/>
        <w:spacing w:before="64"/>
      </w:pPr>
      <w:r>
        <w:rPr>
          <w:spacing w:val="11"/>
        </w:rPr>
        <w:t>√适用 □不适用</w:t>
      </w:r>
      <w:r>
        <w:rPr>
          <w:spacing w:val="-3"/>
        </w:rPr>
        <w:t> </w:t>
      </w:r>
      <w:r>
        <w:rPr/>
        <w:t> </w:t>
      </w:r>
    </w:p>
    <w:p>
      <w:pPr>
        <w:pStyle w:val="ListParagraph"/>
        <w:numPr>
          <w:ilvl w:val="0"/>
          <w:numId w:val="90"/>
        </w:numPr>
        <w:tabs>
          <w:tab w:pos="636" w:val="left" w:leader="none"/>
        </w:tabs>
        <w:spacing w:line="240" w:lineRule="auto" w:before="2" w:after="0"/>
        <w:ind w:left="635" w:right="0" w:hanging="318"/>
        <w:jc w:val="left"/>
        <w:rPr>
          <w:sz w:val="21"/>
        </w:rPr>
      </w:pPr>
      <w:r>
        <w:rPr>
          <w:spacing w:val="-1"/>
          <w:sz w:val="21"/>
        </w:rPr>
        <w:t>重大未决诉讼或仲裁形成的或有负债及其财务影响</w:t>
      </w:r>
      <w:r>
        <w:rPr>
          <w:sz w:val="21"/>
        </w:rPr>
        <w:t> </w:t>
      </w:r>
    </w:p>
    <w:p>
      <w:pPr>
        <w:pStyle w:val="BodyText"/>
        <w:tabs>
          <w:tab w:pos="737" w:val="left" w:leader="none"/>
        </w:tabs>
        <w:spacing w:before="5"/>
      </w:pPr>
      <w:r>
        <w:rPr>
          <w:w w:val="100"/>
        </w:rPr>
        <w:t> </w:t>
      </w:r>
      <w:r>
        <w:rPr/>
        <w:tab/>
      </w:r>
      <w:r>
        <w:rPr>
          <w:w w:val="100"/>
        </w:rPr>
        <w:t> </w:t>
      </w:r>
    </w:p>
    <w:p>
      <w:pPr>
        <w:pStyle w:val="BodyText"/>
        <w:tabs>
          <w:tab w:pos="737" w:val="left" w:leader="none"/>
        </w:tabs>
        <w:spacing w:before="2"/>
      </w:pPr>
      <w:r>
        <w:rPr>
          <w:w w:val="100"/>
        </w:rPr>
        <w:t> </w:t>
      </w:r>
      <w:r>
        <w:rPr/>
        <w:tab/>
      </w:r>
      <w:r>
        <w:rPr/>
        <w:t>本集团无需要披露的重大未决诉讼或仲裁形成的或有负债。 </w:t>
      </w:r>
    </w:p>
    <w:p>
      <w:pPr>
        <w:pStyle w:val="BodyText"/>
        <w:tabs>
          <w:tab w:pos="737" w:val="left" w:leader="none"/>
        </w:tabs>
        <w:spacing w:before="5"/>
      </w:pPr>
      <w:r>
        <w:rPr>
          <w:w w:val="100"/>
        </w:rPr>
        <w:t> </w:t>
      </w:r>
      <w:r>
        <w:rPr/>
        <w:tab/>
      </w:r>
      <w:r>
        <w:rPr>
          <w:w w:val="100"/>
        </w:rPr>
        <w:t> </w:t>
      </w:r>
    </w:p>
    <w:p>
      <w:pPr>
        <w:pStyle w:val="ListParagraph"/>
        <w:numPr>
          <w:ilvl w:val="0"/>
          <w:numId w:val="90"/>
        </w:numPr>
        <w:tabs>
          <w:tab w:pos="636" w:val="left" w:leader="none"/>
        </w:tabs>
        <w:spacing w:line="240" w:lineRule="auto" w:before="2" w:after="0"/>
        <w:ind w:left="635" w:right="0" w:hanging="318"/>
        <w:jc w:val="left"/>
        <w:rPr>
          <w:sz w:val="21"/>
        </w:rPr>
      </w:pPr>
      <w:r>
        <w:rPr>
          <w:spacing w:val="-1"/>
          <w:sz w:val="21"/>
        </w:rPr>
        <w:t>为其他单位提供的债务担保形成的或有负债及其财务影响</w:t>
      </w:r>
      <w:r>
        <w:rPr>
          <w:sz w:val="21"/>
        </w:rPr>
        <w:t> </w:t>
      </w:r>
    </w:p>
    <w:p>
      <w:pPr>
        <w:pStyle w:val="BodyText"/>
        <w:tabs>
          <w:tab w:pos="737" w:val="left" w:leader="none"/>
        </w:tabs>
        <w:spacing w:before="2"/>
      </w:pPr>
      <w:r>
        <w:rPr>
          <w:w w:val="100"/>
        </w:rPr>
        <w:t> </w:t>
      </w:r>
      <w:r>
        <w:rPr/>
        <w:tab/>
      </w:r>
      <w:r>
        <w:rPr>
          <w:w w:val="100"/>
        </w:rPr>
        <w:t> </w:t>
      </w:r>
    </w:p>
    <w:p>
      <w:pPr>
        <w:pStyle w:val="BodyText"/>
        <w:tabs>
          <w:tab w:pos="737" w:val="left" w:leader="none"/>
        </w:tabs>
        <w:spacing w:before="4"/>
      </w:pPr>
      <w:r>
        <w:rPr>
          <w:w w:val="100"/>
        </w:rPr>
        <w:t> </w:t>
      </w:r>
      <w:r>
        <w:rPr/>
        <w:tab/>
      </w:r>
      <w:r>
        <w:rPr/>
        <w:t>本集团无需要披露的为其他单位提供债务担保形成的或有负债。 </w:t>
      </w:r>
    </w:p>
    <w:p>
      <w:pPr>
        <w:pStyle w:val="BodyText"/>
        <w:ind w:left="0"/>
        <w:rPr>
          <w:sz w:val="20"/>
        </w:rPr>
      </w:pPr>
    </w:p>
    <w:p>
      <w:pPr>
        <w:pStyle w:val="BodyText"/>
        <w:spacing w:before="5"/>
        <w:ind w:left="0"/>
        <w:rPr>
          <w:sz w:val="19"/>
        </w:rPr>
      </w:pPr>
    </w:p>
    <w:p>
      <w:pPr>
        <w:pStyle w:val="BodyText"/>
        <w:spacing w:before="72"/>
      </w:pPr>
      <w:r>
        <w:rPr/>
        <w:t>3、 其他</w:t>
      </w:r>
    </w:p>
    <w:p>
      <w:pPr>
        <w:pStyle w:val="BodyText"/>
        <w:spacing w:before="64"/>
      </w:pPr>
      <w:r>
        <w:rPr>
          <w:spacing w:val="11"/>
        </w:rPr>
        <w:t>□适用 √不适用</w:t>
      </w:r>
      <w:r>
        <w:rPr>
          <w:spacing w:val="-3"/>
        </w:rPr>
        <w:t> </w:t>
      </w:r>
      <w:r>
        <w:rPr/>
        <w:t> </w:t>
      </w:r>
    </w:p>
    <w:p>
      <w:pPr>
        <w:pStyle w:val="BodyText"/>
        <w:spacing w:before="2"/>
      </w:pPr>
      <w:r>
        <w:rPr>
          <w:w w:val="100"/>
        </w:rPr>
        <w:t> </w:t>
      </w:r>
    </w:p>
    <w:p>
      <w:pPr>
        <w:pStyle w:val="BodyText"/>
        <w:spacing w:before="63"/>
      </w:pPr>
      <w:r>
        <w:rPr>
          <w:spacing w:val="6"/>
        </w:rPr>
        <w:t>十五、 资产负债表日后事项</w:t>
      </w:r>
    </w:p>
    <w:p>
      <w:pPr>
        <w:pStyle w:val="BodyText"/>
        <w:spacing w:before="64"/>
      </w:pPr>
      <w:r>
        <w:rPr>
          <w:rFonts w:ascii="Calibri" w:eastAsia="Calibri"/>
          <w:b/>
        </w:rPr>
        <w:t>1</w:t>
      </w:r>
      <w:r>
        <w:rPr/>
        <w:t>、 重要的非调整事项</w:t>
      </w:r>
    </w:p>
    <w:p>
      <w:pPr>
        <w:pStyle w:val="BodyText"/>
        <w:spacing w:before="62"/>
      </w:pPr>
      <w:r>
        <w:rPr>
          <w:spacing w:val="-1"/>
        </w:rPr>
        <w:t>□适用 √不适用</w:t>
      </w:r>
      <w:r>
        <w:rPr>
          <w:spacing w:val="-3"/>
        </w:rPr>
        <w:t> </w:t>
      </w:r>
      <w:r>
        <w:rPr/>
        <w:t> </w:t>
      </w:r>
    </w:p>
    <w:p>
      <w:pPr>
        <w:pStyle w:val="BodyText"/>
        <w:spacing w:before="65"/>
      </w:pPr>
      <w:r>
        <w:rPr>
          <w:rFonts w:ascii="Calibri" w:eastAsia="Calibri"/>
          <w:b/>
        </w:rPr>
        <w:t>2</w:t>
      </w:r>
      <w:r>
        <w:rPr/>
        <w:t>、 利润分配情况</w:t>
      </w:r>
    </w:p>
    <w:p>
      <w:pPr>
        <w:pStyle w:val="BodyText"/>
        <w:spacing w:before="62"/>
      </w:pPr>
      <w:r>
        <w:rPr>
          <w:spacing w:val="-1"/>
        </w:rPr>
        <w:t>√适用 □不适用</w:t>
      </w:r>
      <w:r>
        <w:rPr>
          <w:spacing w:val="-3"/>
        </w:rPr>
        <w:t> </w:t>
      </w:r>
      <w:r>
        <w:rPr/>
        <w:t> </w:t>
      </w:r>
    </w:p>
    <w:p>
      <w:pPr>
        <w:pStyle w:val="BodyText"/>
        <w:spacing w:before="5"/>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32"/>
        <w:gridCol w:w="5192"/>
      </w:tblGrid>
      <w:tr>
        <w:trPr>
          <w:trHeight w:val="273" w:hRule="atLeast"/>
        </w:trPr>
        <w:tc>
          <w:tcPr>
            <w:tcW w:w="3632" w:type="dxa"/>
          </w:tcPr>
          <w:p>
            <w:pPr>
              <w:pStyle w:val="TableParagraph"/>
              <w:spacing w:line="250" w:lineRule="exact" w:before="3"/>
              <w:ind w:left="107"/>
              <w:rPr>
                <w:sz w:val="21"/>
              </w:rPr>
            </w:pPr>
            <w:r>
              <w:rPr>
                <w:spacing w:val="-1"/>
                <w:sz w:val="21"/>
              </w:rPr>
              <w:t>拟分配的利润或股利</w:t>
            </w:r>
            <w:r>
              <w:rPr>
                <w:sz w:val="21"/>
              </w:rPr>
              <w:t> </w:t>
            </w:r>
          </w:p>
        </w:tc>
        <w:tc>
          <w:tcPr>
            <w:tcW w:w="5192" w:type="dxa"/>
          </w:tcPr>
          <w:p>
            <w:pPr>
              <w:pStyle w:val="TableParagraph"/>
              <w:spacing w:line="250" w:lineRule="exact" w:before="3"/>
              <w:ind w:right="-15"/>
              <w:jc w:val="right"/>
              <w:rPr>
                <w:sz w:val="21"/>
              </w:rPr>
            </w:pPr>
            <w:r>
              <w:rPr>
                <w:sz w:val="21"/>
              </w:rPr>
              <w:t>10,922,375 </w:t>
            </w:r>
          </w:p>
        </w:tc>
      </w:tr>
      <w:tr>
        <w:trPr>
          <w:trHeight w:val="273" w:hRule="atLeast"/>
        </w:trPr>
        <w:tc>
          <w:tcPr>
            <w:tcW w:w="3632" w:type="dxa"/>
          </w:tcPr>
          <w:p>
            <w:pPr>
              <w:pStyle w:val="TableParagraph"/>
              <w:spacing w:line="252" w:lineRule="exact" w:before="1"/>
              <w:ind w:left="107"/>
              <w:rPr>
                <w:sz w:val="21"/>
              </w:rPr>
            </w:pPr>
            <w:r>
              <w:rPr>
                <w:spacing w:val="-1"/>
                <w:sz w:val="21"/>
              </w:rPr>
              <w:t>经审议批准宣告发放的利润或股利</w:t>
            </w:r>
            <w:r>
              <w:rPr>
                <w:sz w:val="21"/>
              </w:rPr>
              <w:t> </w:t>
            </w:r>
          </w:p>
        </w:tc>
        <w:tc>
          <w:tcPr>
            <w:tcW w:w="5192" w:type="dxa"/>
          </w:tcPr>
          <w:p>
            <w:pPr>
              <w:pStyle w:val="TableParagraph"/>
              <w:spacing w:line="252" w:lineRule="exact" w:before="1"/>
              <w:ind w:right="-15"/>
              <w:jc w:val="right"/>
              <w:rPr>
                <w:sz w:val="21"/>
              </w:rPr>
            </w:pPr>
            <w:r>
              <w:rPr>
                <w:sz w:val="21"/>
              </w:rPr>
              <w:t>10,922,375 </w:t>
            </w:r>
          </w:p>
        </w:tc>
      </w:tr>
    </w:tbl>
    <w:p>
      <w:pPr>
        <w:pStyle w:val="BodyText"/>
        <w:spacing w:before="1"/>
      </w:pPr>
      <w:r>
        <w:rPr>
          <w:w w:val="100"/>
        </w:rPr>
        <w:t> </w:t>
      </w:r>
    </w:p>
    <w:p>
      <w:pPr>
        <w:pStyle w:val="BodyText"/>
        <w:spacing w:before="62"/>
      </w:pPr>
      <w:r>
        <w:rPr>
          <w:rFonts w:ascii="Calibri" w:eastAsia="Calibri"/>
          <w:b/>
        </w:rPr>
        <w:t>3</w:t>
      </w:r>
      <w:r>
        <w:rPr/>
        <w:t>、 销售退回</w:t>
      </w:r>
    </w:p>
    <w:p>
      <w:pPr>
        <w:pStyle w:val="BodyText"/>
        <w:spacing w:before="65"/>
      </w:pPr>
      <w:r>
        <w:rPr>
          <w:spacing w:val="-1"/>
        </w:rPr>
        <w:t>□适用 √不适用</w:t>
      </w:r>
      <w:r>
        <w:rPr>
          <w:spacing w:val="-3"/>
        </w:rPr>
        <w:t> </w:t>
      </w:r>
      <w:r>
        <w:rPr/>
        <w:t> </w:t>
      </w:r>
    </w:p>
    <w:p>
      <w:pPr>
        <w:pStyle w:val="BodyText"/>
        <w:spacing w:before="2"/>
      </w:pPr>
      <w:r>
        <w:rPr>
          <w:w w:val="100"/>
        </w:rPr>
        <w:t> </w:t>
      </w:r>
    </w:p>
    <w:p>
      <w:pPr>
        <w:pStyle w:val="BodyText"/>
        <w:spacing w:before="64"/>
      </w:pPr>
      <w:r>
        <w:rPr>
          <w:rFonts w:ascii="Calibri" w:eastAsia="Calibri"/>
          <w:b/>
        </w:rPr>
        <w:t>4</w:t>
      </w:r>
      <w:r>
        <w:rPr/>
        <w:t>、 其他资产负债表日后事项说明</w:t>
      </w:r>
    </w:p>
    <w:p>
      <w:pPr>
        <w:pStyle w:val="BodyText"/>
        <w:spacing w:before="62"/>
      </w:pPr>
      <w:r>
        <w:rPr>
          <w:spacing w:val="11"/>
        </w:rPr>
        <w:t>√适用 □不适用</w:t>
      </w:r>
      <w:r>
        <w:rPr>
          <w:spacing w:val="-3"/>
        </w:rPr>
        <w:t> </w:t>
      </w:r>
      <w:r>
        <w:rPr/>
        <w:t> </w:t>
      </w:r>
    </w:p>
    <w:p>
      <w:pPr>
        <w:pStyle w:val="BodyText"/>
        <w:spacing w:before="5"/>
      </w:pPr>
      <w:r>
        <w:rPr>
          <w:w w:val="100"/>
        </w:rPr>
        <w:t> </w:t>
      </w:r>
    </w:p>
    <w:p>
      <w:pPr>
        <w:pStyle w:val="Heading3"/>
        <w:spacing w:before="1"/>
        <w:ind w:left="421"/>
        <w:jc w:val="left"/>
      </w:pPr>
      <w:r>
        <w:rPr/>
        <w:t>本集团作为出租人，资产负债表日后应收的租赁收款额的未折现金额汇总如下：</w:t>
      </w:r>
    </w:p>
    <w:p>
      <w:pPr>
        <w:spacing w:after="0"/>
        <w:jc w:val="left"/>
        <w:sectPr>
          <w:pgSz w:w="11910" w:h="16840"/>
          <w:pgMar w:header="882" w:footer="1195" w:top="1120" w:bottom="1380" w:left="1480" w:right="0"/>
        </w:sectPr>
      </w:pPr>
    </w:p>
    <w:p>
      <w:pPr>
        <w:pStyle w:val="BodyText"/>
        <w:ind w:left="0"/>
        <w:rPr>
          <w:sz w:val="20"/>
        </w:rPr>
      </w:pPr>
    </w:p>
    <w:p>
      <w:pPr>
        <w:pStyle w:val="BodyText"/>
        <w:spacing w:before="1" w:after="1"/>
        <w:ind w:left="0"/>
        <w:rPr>
          <w:sz w:val="15"/>
        </w:rPr>
      </w:pPr>
    </w:p>
    <w:tbl>
      <w:tblPr>
        <w:tblW w:w="0" w:type="auto"/>
        <w:jc w:val="left"/>
        <w:tblInd w:w="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98"/>
        <w:gridCol w:w="4438"/>
      </w:tblGrid>
      <w:tr>
        <w:trPr>
          <w:trHeight w:val="433" w:hRule="atLeast"/>
        </w:trPr>
        <w:tc>
          <w:tcPr>
            <w:tcW w:w="4498" w:type="dxa"/>
          </w:tcPr>
          <w:p>
            <w:pPr>
              <w:pStyle w:val="TableParagraph"/>
              <w:rPr>
                <w:rFonts w:ascii="Times New Roman"/>
                <w:sz w:val="20"/>
              </w:rPr>
            </w:pPr>
          </w:p>
        </w:tc>
        <w:tc>
          <w:tcPr>
            <w:tcW w:w="4438" w:type="dxa"/>
          </w:tcPr>
          <w:p>
            <w:pPr>
              <w:pStyle w:val="TableParagraph"/>
              <w:spacing w:line="285" w:lineRule="exact"/>
              <w:ind w:left="2168"/>
              <w:rPr>
                <w:sz w:val="24"/>
              </w:rPr>
            </w:pPr>
            <w:r>
              <w:rPr>
                <w:rFonts w:ascii="Arial MT" w:eastAsia="Arial MT"/>
                <w:spacing w:val="-1"/>
                <w:sz w:val="24"/>
              </w:rPr>
              <w:t>2022</w:t>
            </w:r>
            <w:r>
              <w:rPr>
                <w:rFonts w:ascii="Arial MT" w:eastAsia="Arial MT"/>
                <w:spacing w:val="-13"/>
                <w:sz w:val="24"/>
              </w:rPr>
              <w:t> </w:t>
            </w:r>
            <w:r>
              <w:rPr>
                <w:spacing w:val="-32"/>
                <w:sz w:val="24"/>
              </w:rPr>
              <w:t>年 </w:t>
            </w:r>
            <w:r>
              <w:rPr>
                <w:rFonts w:ascii="Arial MT" w:eastAsia="Arial MT"/>
                <w:sz w:val="24"/>
              </w:rPr>
              <w:t>12</w:t>
            </w:r>
            <w:r>
              <w:rPr>
                <w:rFonts w:ascii="Arial MT" w:eastAsia="Arial MT"/>
                <w:spacing w:val="-12"/>
                <w:sz w:val="24"/>
              </w:rPr>
              <w:t> </w:t>
            </w:r>
            <w:r>
              <w:rPr>
                <w:spacing w:val="-30"/>
                <w:sz w:val="24"/>
              </w:rPr>
              <w:t>月 </w:t>
            </w:r>
            <w:r>
              <w:rPr>
                <w:rFonts w:ascii="Arial MT" w:eastAsia="Arial MT"/>
                <w:sz w:val="24"/>
              </w:rPr>
              <w:t>31</w:t>
            </w:r>
            <w:r>
              <w:rPr>
                <w:rFonts w:ascii="Arial MT" w:eastAsia="Arial MT"/>
                <w:spacing w:val="-12"/>
                <w:sz w:val="24"/>
              </w:rPr>
              <w:t> </w:t>
            </w:r>
            <w:r>
              <w:rPr>
                <w:sz w:val="24"/>
              </w:rPr>
              <w:t>日</w:t>
            </w:r>
          </w:p>
        </w:tc>
      </w:tr>
      <w:tr>
        <w:trPr>
          <w:trHeight w:val="458" w:hRule="atLeast"/>
        </w:trPr>
        <w:tc>
          <w:tcPr>
            <w:tcW w:w="4498" w:type="dxa"/>
          </w:tcPr>
          <w:p>
            <w:pPr>
              <w:pStyle w:val="TableParagraph"/>
              <w:spacing w:line="307" w:lineRule="exact" w:before="131"/>
              <w:ind w:left="200"/>
              <w:rPr>
                <w:sz w:val="24"/>
              </w:rPr>
            </w:pPr>
            <w:r>
              <w:rPr>
                <w:sz w:val="24"/>
              </w:rPr>
              <w:t>一年以内</w:t>
            </w:r>
          </w:p>
        </w:tc>
        <w:tc>
          <w:tcPr>
            <w:tcW w:w="4438" w:type="dxa"/>
          </w:tcPr>
          <w:p>
            <w:pPr>
              <w:pStyle w:val="TableParagraph"/>
              <w:spacing w:line="275" w:lineRule="exact" w:before="163"/>
              <w:ind w:right="228"/>
              <w:jc w:val="right"/>
              <w:rPr>
                <w:rFonts w:ascii="Arial MT"/>
                <w:sz w:val="24"/>
              </w:rPr>
            </w:pPr>
            <w:r>
              <w:rPr>
                <w:rFonts w:ascii="Arial MT"/>
                <w:sz w:val="24"/>
              </w:rPr>
              <w:t>127,484</w:t>
            </w:r>
          </w:p>
        </w:tc>
      </w:tr>
      <w:tr>
        <w:trPr>
          <w:trHeight w:val="309" w:hRule="atLeast"/>
        </w:trPr>
        <w:tc>
          <w:tcPr>
            <w:tcW w:w="4498" w:type="dxa"/>
          </w:tcPr>
          <w:p>
            <w:pPr>
              <w:pStyle w:val="TableParagraph"/>
              <w:spacing w:line="290" w:lineRule="exact"/>
              <w:ind w:left="200"/>
              <w:rPr>
                <w:sz w:val="24"/>
              </w:rPr>
            </w:pPr>
            <w:r>
              <w:rPr>
                <w:sz w:val="24"/>
              </w:rPr>
              <w:t>一到二年</w:t>
            </w:r>
          </w:p>
        </w:tc>
        <w:tc>
          <w:tcPr>
            <w:tcW w:w="4438" w:type="dxa"/>
          </w:tcPr>
          <w:p>
            <w:pPr>
              <w:pStyle w:val="TableParagraph"/>
              <w:spacing w:line="275" w:lineRule="exact" w:before="14"/>
              <w:ind w:right="226"/>
              <w:jc w:val="right"/>
              <w:rPr>
                <w:rFonts w:ascii="Arial MT"/>
                <w:sz w:val="24"/>
              </w:rPr>
            </w:pPr>
            <w:r>
              <w:rPr>
                <w:rFonts w:ascii="Arial MT"/>
                <w:sz w:val="24"/>
              </w:rPr>
              <w:t>38</w:t>
            </w:r>
          </w:p>
        </w:tc>
      </w:tr>
      <w:tr>
        <w:trPr>
          <w:trHeight w:val="312" w:hRule="atLeast"/>
        </w:trPr>
        <w:tc>
          <w:tcPr>
            <w:tcW w:w="4498" w:type="dxa"/>
          </w:tcPr>
          <w:p>
            <w:pPr>
              <w:pStyle w:val="TableParagraph"/>
              <w:spacing w:line="292" w:lineRule="exact"/>
              <w:ind w:left="200"/>
              <w:rPr>
                <w:sz w:val="24"/>
              </w:rPr>
            </w:pPr>
            <w:r>
              <w:rPr>
                <w:sz w:val="24"/>
              </w:rPr>
              <w:t>二到三年</w:t>
            </w:r>
          </w:p>
        </w:tc>
        <w:tc>
          <w:tcPr>
            <w:tcW w:w="4438" w:type="dxa"/>
          </w:tcPr>
          <w:p>
            <w:pPr>
              <w:pStyle w:val="TableParagraph"/>
              <w:spacing w:line="275" w:lineRule="exact" w:before="17"/>
              <w:ind w:right="226"/>
              <w:jc w:val="right"/>
              <w:rPr>
                <w:rFonts w:ascii="Arial MT"/>
                <w:sz w:val="24"/>
              </w:rPr>
            </w:pPr>
            <w:r>
              <w:rPr>
                <w:rFonts w:ascii="Arial MT"/>
                <w:sz w:val="24"/>
              </w:rPr>
              <w:t>28</w:t>
            </w:r>
          </w:p>
        </w:tc>
      </w:tr>
      <w:tr>
        <w:trPr>
          <w:trHeight w:val="301" w:hRule="atLeast"/>
        </w:trPr>
        <w:tc>
          <w:tcPr>
            <w:tcW w:w="4498" w:type="dxa"/>
          </w:tcPr>
          <w:p>
            <w:pPr>
              <w:pStyle w:val="TableParagraph"/>
              <w:spacing w:line="282" w:lineRule="exact"/>
              <w:ind w:left="200"/>
              <w:rPr>
                <w:sz w:val="24"/>
              </w:rPr>
            </w:pPr>
            <w:r>
              <w:rPr>
                <w:sz w:val="24"/>
              </w:rPr>
              <w:t>三到四年</w:t>
            </w:r>
          </w:p>
        </w:tc>
        <w:tc>
          <w:tcPr>
            <w:tcW w:w="4438" w:type="dxa"/>
          </w:tcPr>
          <w:p>
            <w:pPr>
              <w:pStyle w:val="TableParagraph"/>
              <w:tabs>
                <w:tab w:pos="2441" w:val="left" w:leader="none"/>
              </w:tabs>
              <w:spacing w:line="265" w:lineRule="exact" w:before="17"/>
              <w:ind w:right="121"/>
              <w:jc w:val="right"/>
              <w:rPr>
                <w:rFonts w:ascii="Arial MT"/>
                <w:sz w:val="24"/>
              </w:rPr>
            </w:pPr>
            <w:r>
              <w:rPr>
                <w:rFonts w:ascii="Arial MT"/>
                <w:w w:val="100"/>
                <w:sz w:val="24"/>
                <w:u w:val="single"/>
              </w:rPr>
              <w:t> </w:t>
            </w:r>
            <w:r>
              <w:rPr>
                <w:rFonts w:ascii="Arial MT"/>
                <w:sz w:val="24"/>
                <w:u w:val="single"/>
              </w:rPr>
              <w:tab/>
            </w:r>
            <w:r>
              <w:rPr>
                <w:rFonts w:ascii="Arial MT"/>
                <w:sz w:val="24"/>
                <w:u w:val="single"/>
              </w:rPr>
              <w:t>- </w:t>
            </w:r>
            <w:r>
              <w:rPr>
                <w:rFonts w:ascii="Arial MT"/>
                <w:spacing w:val="-27"/>
                <w:sz w:val="24"/>
                <w:u w:val="single"/>
              </w:rPr>
              <w:t> </w:t>
            </w:r>
          </w:p>
        </w:tc>
      </w:tr>
      <w:tr>
        <w:trPr>
          <w:trHeight w:val="276" w:hRule="atLeast"/>
        </w:trPr>
        <w:tc>
          <w:tcPr>
            <w:tcW w:w="4498" w:type="dxa"/>
          </w:tcPr>
          <w:p>
            <w:pPr>
              <w:pStyle w:val="TableParagraph"/>
              <w:rPr>
                <w:rFonts w:ascii="Times New Roman"/>
                <w:sz w:val="20"/>
              </w:rPr>
            </w:pPr>
          </w:p>
        </w:tc>
        <w:tc>
          <w:tcPr>
            <w:tcW w:w="4438" w:type="dxa"/>
          </w:tcPr>
          <w:p>
            <w:pPr>
              <w:pStyle w:val="TableParagraph"/>
              <w:tabs>
                <w:tab w:pos="1666" w:val="left" w:leader="none"/>
              </w:tabs>
              <w:spacing w:line="256" w:lineRule="exact" w:before="1"/>
              <w:ind w:right="121"/>
              <w:jc w:val="right"/>
              <w:rPr>
                <w:rFonts w:ascii="Arial MT"/>
                <w:sz w:val="24"/>
              </w:rPr>
            </w:pPr>
            <w:r>
              <w:rPr>
                <w:rFonts w:ascii="Arial MT"/>
                <w:w w:val="100"/>
                <w:sz w:val="24"/>
                <w:u w:val="thick"/>
              </w:rPr>
              <w:t> </w:t>
            </w:r>
            <w:r>
              <w:rPr>
                <w:rFonts w:ascii="Arial MT"/>
                <w:sz w:val="24"/>
                <w:u w:val="thick"/>
              </w:rPr>
              <w:tab/>
            </w:r>
            <w:r>
              <w:rPr>
                <w:rFonts w:ascii="Arial MT"/>
                <w:sz w:val="24"/>
                <w:u w:val="thick"/>
              </w:rPr>
              <w:t>127,550 </w:t>
            </w:r>
            <w:r>
              <w:rPr>
                <w:rFonts w:ascii="Arial MT"/>
                <w:spacing w:val="-26"/>
                <w:sz w:val="24"/>
                <w:u w:val="thick"/>
              </w:rPr>
              <w:t> </w:t>
            </w:r>
          </w:p>
        </w:tc>
      </w:tr>
    </w:tbl>
    <w:p>
      <w:pPr>
        <w:pStyle w:val="BodyText"/>
        <w:spacing w:before="34"/>
      </w:pPr>
      <w:r>
        <w:rPr>
          <w:w w:val="100"/>
        </w:rPr>
        <w:t> </w:t>
      </w:r>
    </w:p>
    <w:p>
      <w:pPr>
        <w:pStyle w:val="BodyText"/>
        <w:spacing w:before="5"/>
      </w:pPr>
      <w:r>
        <w:rPr>
          <w:w w:val="100"/>
        </w:rPr>
        <w:t> </w:t>
      </w:r>
    </w:p>
    <w:p>
      <w:pPr>
        <w:pStyle w:val="BodyText"/>
        <w:spacing w:line="297" w:lineRule="auto" w:before="62"/>
        <w:ind w:right="7992"/>
        <w:jc w:val="both"/>
      </w:pPr>
      <w:r>
        <w:rPr>
          <w:spacing w:val="9"/>
        </w:rPr>
        <w:t>十六、 其他重要事项</w:t>
      </w:r>
      <w:r>
        <w:rPr/>
        <w:t>1</w:t>
      </w:r>
      <w:r>
        <w:rPr>
          <w:spacing w:val="-2"/>
        </w:rPr>
        <w:t>、 前期会计差错更正</w:t>
      </w:r>
      <w:r>
        <w:rPr/>
        <w:t>(1).追溯重述法 </w:t>
      </w:r>
    </w:p>
    <w:p>
      <w:pPr>
        <w:pStyle w:val="BodyText"/>
        <w:spacing w:line="295" w:lineRule="auto"/>
        <w:ind w:right="8320"/>
      </w:pPr>
      <w:r>
        <w:rPr>
          <w:spacing w:val="-1"/>
        </w:rPr>
        <w:t>□适用 √不适用</w:t>
      </w:r>
      <w:r>
        <w:rPr/>
        <w:t>(2).未来适用法 </w:t>
      </w:r>
    </w:p>
    <w:p>
      <w:pPr>
        <w:pStyle w:val="BodyText"/>
        <w:spacing w:line="295" w:lineRule="auto" w:before="1"/>
        <w:ind w:right="8320"/>
      </w:pPr>
      <w:r>
        <w:rPr>
          <w:spacing w:val="13"/>
        </w:rPr>
        <w:t>□适用 √不适用</w:t>
      </w:r>
      <w:r>
        <w:rPr/>
        <w:t>2、 债务重组</w:t>
      </w:r>
    </w:p>
    <w:p>
      <w:pPr>
        <w:pStyle w:val="BodyText"/>
        <w:spacing w:before="3"/>
      </w:pPr>
      <w:r>
        <w:rPr>
          <w:spacing w:val="-1"/>
        </w:rPr>
        <w:t>□适用 √不适用</w:t>
      </w:r>
      <w:r>
        <w:rPr>
          <w:spacing w:val="-3"/>
        </w:rPr>
        <w:t> </w:t>
      </w:r>
      <w:r>
        <w:rPr/>
        <w:t> </w:t>
      </w:r>
    </w:p>
    <w:p>
      <w:pPr>
        <w:pStyle w:val="BodyText"/>
        <w:spacing w:before="2"/>
      </w:pPr>
      <w:r>
        <w:rPr>
          <w:w w:val="100"/>
        </w:rPr>
        <w:t> </w:t>
      </w:r>
    </w:p>
    <w:p>
      <w:pPr>
        <w:pStyle w:val="BodyText"/>
        <w:spacing w:before="64"/>
      </w:pPr>
      <w:r>
        <w:rPr/>
        <w:t>3、 资产置换</w:t>
      </w:r>
    </w:p>
    <w:p>
      <w:pPr>
        <w:pStyle w:val="ListParagraph"/>
        <w:numPr>
          <w:ilvl w:val="0"/>
          <w:numId w:val="91"/>
        </w:numPr>
        <w:tabs>
          <w:tab w:pos="743" w:val="left" w:leader="none"/>
        </w:tabs>
        <w:spacing w:line="240" w:lineRule="auto" w:before="62" w:after="0"/>
        <w:ind w:left="742" w:right="0" w:hanging="425"/>
        <w:jc w:val="left"/>
        <w:rPr>
          <w:sz w:val="21"/>
        </w:rPr>
      </w:pPr>
      <w:r>
        <w:rPr>
          <w:sz w:val="21"/>
        </w:rPr>
        <w:t>非货币性资产交换 </w:t>
      </w:r>
    </w:p>
    <w:p>
      <w:pPr>
        <w:pStyle w:val="BodyText"/>
        <w:spacing w:before="142"/>
      </w:pPr>
      <w:r>
        <w:rPr>
          <w:spacing w:val="11"/>
        </w:rPr>
        <w:t>□适用 √不适用</w:t>
      </w:r>
      <w:r>
        <w:rPr>
          <w:spacing w:val="-3"/>
        </w:rPr>
        <w:t> </w:t>
      </w:r>
      <w:r>
        <w:rPr/>
        <w:t> </w:t>
      </w:r>
    </w:p>
    <w:p>
      <w:pPr>
        <w:pStyle w:val="BodyText"/>
        <w:spacing w:before="14"/>
      </w:pPr>
      <w:r>
        <w:rPr>
          <w:w w:val="100"/>
        </w:rPr>
        <w:t> </w:t>
      </w:r>
    </w:p>
    <w:p>
      <w:pPr>
        <w:pStyle w:val="ListParagraph"/>
        <w:numPr>
          <w:ilvl w:val="0"/>
          <w:numId w:val="91"/>
        </w:numPr>
        <w:tabs>
          <w:tab w:pos="743" w:val="left" w:leader="none"/>
        </w:tabs>
        <w:spacing w:line="240" w:lineRule="auto" w:before="62" w:after="0"/>
        <w:ind w:left="742" w:right="0" w:hanging="425"/>
        <w:jc w:val="left"/>
        <w:rPr>
          <w:sz w:val="21"/>
        </w:rPr>
      </w:pPr>
      <w:r>
        <w:rPr>
          <w:sz w:val="21"/>
        </w:rPr>
        <w:t>其他资产置换 </w:t>
      </w:r>
    </w:p>
    <w:p>
      <w:pPr>
        <w:pStyle w:val="BodyText"/>
        <w:spacing w:before="65"/>
      </w:pPr>
      <w:r>
        <w:rPr>
          <w:spacing w:val="11"/>
        </w:rPr>
        <w:t>□适用 √不适用</w:t>
      </w:r>
      <w:r>
        <w:rPr>
          <w:spacing w:val="-3"/>
        </w:rPr>
        <w:t> </w:t>
      </w:r>
      <w:r>
        <w:rPr/>
        <w:t> </w:t>
      </w:r>
    </w:p>
    <w:p>
      <w:pPr>
        <w:pStyle w:val="BodyText"/>
        <w:spacing w:before="2"/>
      </w:pPr>
      <w:r>
        <w:rPr>
          <w:w w:val="100"/>
        </w:rPr>
        <w:t> </w:t>
      </w:r>
    </w:p>
    <w:p>
      <w:pPr>
        <w:pStyle w:val="BodyText"/>
        <w:spacing w:before="65"/>
      </w:pPr>
      <w:r>
        <w:rPr/>
        <w:t>4、 年金计划</w:t>
      </w:r>
    </w:p>
    <w:p>
      <w:pPr>
        <w:pStyle w:val="BodyText"/>
        <w:spacing w:before="62"/>
      </w:pPr>
      <w:r>
        <w:rPr>
          <w:spacing w:val="-1"/>
        </w:rPr>
        <w:t>□适用 √不适用</w:t>
      </w:r>
      <w:r>
        <w:rPr/>
        <w:t> </w:t>
      </w:r>
    </w:p>
    <w:p>
      <w:pPr>
        <w:pStyle w:val="BodyText"/>
        <w:spacing w:before="4"/>
      </w:pPr>
      <w:r>
        <w:rPr>
          <w:w w:val="100"/>
        </w:rPr>
        <w:t> </w:t>
      </w:r>
    </w:p>
    <w:p>
      <w:pPr>
        <w:pStyle w:val="BodyText"/>
        <w:spacing w:before="62"/>
      </w:pPr>
      <w:r>
        <w:rPr/>
        <w:t>5、 终止经营 </w:t>
      </w:r>
    </w:p>
    <w:p>
      <w:pPr>
        <w:pStyle w:val="BodyText"/>
        <w:spacing w:before="63"/>
      </w:pPr>
      <w:r>
        <w:rPr>
          <w:spacing w:val="-1"/>
        </w:rPr>
        <w:t>□适用 √不适用</w:t>
      </w:r>
      <w:r>
        <w:rPr>
          <w:spacing w:val="-3"/>
        </w:rPr>
        <w:t> </w:t>
      </w:r>
      <w:r>
        <w:rPr/>
        <w:t> </w:t>
      </w:r>
    </w:p>
    <w:p>
      <w:pPr>
        <w:pStyle w:val="BodyText"/>
        <w:spacing w:before="4"/>
      </w:pPr>
      <w:r>
        <w:rPr>
          <w:w w:val="100"/>
        </w:rPr>
        <w:t> </w:t>
      </w:r>
    </w:p>
    <w:p>
      <w:pPr>
        <w:pStyle w:val="BodyText"/>
        <w:spacing w:before="2"/>
      </w:pPr>
      <w:r>
        <w:rPr>
          <w:w w:val="100"/>
        </w:rPr>
        <w:t> </w:t>
      </w:r>
    </w:p>
    <w:p>
      <w:pPr>
        <w:pStyle w:val="BodyText"/>
        <w:spacing w:before="65"/>
      </w:pPr>
      <w:r>
        <w:rPr/>
        <w:t>6、 分部信息 </w:t>
      </w:r>
    </w:p>
    <w:p>
      <w:pPr>
        <w:pStyle w:val="ListParagraph"/>
        <w:numPr>
          <w:ilvl w:val="0"/>
          <w:numId w:val="92"/>
        </w:numPr>
        <w:tabs>
          <w:tab w:pos="743" w:val="left" w:leader="none"/>
        </w:tabs>
        <w:spacing w:line="240" w:lineRule="auto" w:before="62" w:after="0"/>
        <w:ind w:left="742" w:right="0" w:hanging="425"/>
        <w:jc w:val="left"/>
        <w:rPr>
          <w:sz w:val="21"/>
        </w:rPr>
      </w:pPr>
      <w:r>
        <w:rPr>
          <w:sz w:val="21"/>
        </w:rPr>
        <w:t>报告分部的确定依据与会计政策 </w:t>
      </w:r>
    </w:p>
    <w:p>
      <w:pPr>
        <w:pStyle w:val="BodyText"/>
        <w:spacing w:before="65"/>
      </w:pPr>
      <w:r>
        <w:rPr>
          <w:spacing w:val="1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ListParagraph"/>
        <w:numPr>
          <w:ilvl w:val="0"/>
          <w:numId w:val="92"/>
        </w:numPr>
        <w:tabs>
          <w:tab w:pos="743" w:val="left" w:leader="none"/>
        </w:tabs>
        <w:spacing w:line="240" w:lineRule="auto" w:before="62" w:after="0"/>
        <w:ind w:left="742" w:right="0" w:hanging="425"/>
        <w:jc w:val="left"/>
        <w:rPr>
          <w:sz w:val="21"/>
        </w:rPr>
      </w:pPr>
      <w:r>
        <w:rPr>
          <w:sz w:val="21"/>
        </w:rPr>
        <w:t>报告分部的财务信息 </w:t>
      </w:r>
    </w:p>
    <w:p>
      <w:pPr>
        <w:pStyle w:val="BodyText"/>
        <w:spacing w:before="64"/>
      </w:pPr>
      <w:r>
        <w:rPr>
          <w:spacing w:val="11"/>
        </w:rPr>
        <w:t>□适用 √不适用</w:t>
      </w:r>
      <w:r>
        <w:rPr/>
        <w:t> </w:t>
      </w:r>
    </w:p>
    <w:p>
      <w:pPr>
        <w:pStyle w:val="ListParagraph"/>
        <w:numPr>
          <w:ilvl w:val="0"/>
          <w:numId w:val="92"/>
        </w:numPr>
        <w:tabs>
          <w:tab w:pos="743" w:val="left" w:leader="none"/>
        </w:tabs>
        <w:spacing w:line="240" w:lineRule="auto" w:before="63" w:after="0"/>
        <w:ind w:left="742" w:right="0" w:hanging="425"/>
        <w:jc w:val="left"/>
        <w:rPr>
          <w:sz w:val="21"/>
        </w:rPr>
      </w:pPr>
      <w:r>
        <w:rPr>
          <w:sz w:val="21"/>
        </w:rPr>
        <w:t>公司无报告分部的，或者不能披露各报告分部的资产总额和负债总额的，应说明原因 </w:t>
      </w:r>
    </w:p>
    <w:p>
      <w:pPr>
        <w:pStyle w:val="BodyText"/>
        <w:spacing w:before="64"/>
      </w:pPr>
      <w:r>
        <w:rPr>
          <w:spacing w:val="11"/>
        </w:rPr>
        <w:t>√适用 □不适用</w:t>
      </w:r>
      <w:r>
        <w:rPr>
          <w:spacing w:val="-3"/>
        </w:rPr>
        <w:t> </w:t>
      </w:r>
      <w:r>
        <w:rPr/>
        <w:t> </w:t>
      </w:r>
    </w:p>
    <w:p>
      <w:pPr>
        <w:pStyle w:val="BodyText"/>
        <w:ind w:left="0"/>
        <w:rPr>
          <w:sz w:val="22"/>
        </w:rPr>
      </w:pPr>
    </w:p>
    <w:p>
      <w:pPr>
        <w:pStyle w:val="Heading3"/>
        <w:spacing w:line="235" w:lineRule="auto"/>
        <w:ind w:left="313" w:right="1346" w:firstLine="479"/>
        <w:jc w:val="left"/>
      </w:pPr>
      <w:r>
        <w:rPr/>
        <w:t>本集团根据内部组织结构、管理要求及内部报告制度为依据确定经营分部，以经营分部为基础确定报告分部并披露分部信息。</w:t>
      </w:r>
    </w:p>
    <w:p>
      <w:pPr>
        <w:spacing w:after="0" w:line="235" w:lineRule="auto"/>
        <w:jc w:val="left"/>
        <w:sectPr>
          <w:pgSz w:w="11910" w:h="16840"/>
          <w:pgMar w:header="882" w:footer="1195" w:top="1120" w:bottom="1380" w:left="1480" w:right="0"/>
        </w:sectPr>
      </w:pPr>
    </w:p>
    <w:p>
      <w:pPr>
        <w:pStyle w:val="BodyText"/>
        <w:ind w:left="0"/>
        <w:rPr>
          <w:sz w:val="20"/>
        </w:rPr>
      </w:pPr>
    </w:p>
    <w:p>
      <w:pPr>
        <w:pStyle w:val="BodyText"/>
        <w:spacing w:before="6"/>
        <w:ind w:left="0"/>
        <w:rPr>
          <w:sz w:val="28"/>
        </w:rPr>
      </w:pPr>
    </w:p>
    <w:p>
      <w:pPr>
        <w:pStyle w:val="Heading3"/>
        <w:spacing w:line="235" w:lineRule="auto" w:before="82"/>
        <w:ind w:left="313" w:right="1335" w:firstLine="479"/>
      </w:pPr>
      <w:r>
        <w:rPr/>
        <w:t>经营分部是指本集团内同时满足下列条件的组成部分：</w:t>
      </w:r>
      <w:r>
        <w:rPr>
          <w:rFonts w:ascii="Arial MT" w:eastAsia="Arial MT"/>
        </w:rPr>
        <w:t>(1)</w:t>
      </w:r>
      <w:r>
        <w:rPr/>
        <w:t>该组成部分能够在日常活动中产生收入、发生费用；</w:t>
      </w:r>
      <w:r>
        <w:rPr>
          <w:rFonts w:ascii="Arial MT" w:eastAsia="Arial MT"/>
        </w:rPr>
        <w:t>(2)</w:t>
      </w:r>
      <w:r>
        <w:rPr/>
        <w:t>本集团管理层能够定期评价该组成部分的经营成果，以决定向其配置资源、评价其业绩；</w:t>
      </w:r>
      <w:r>
        <w:rPr>
          <w:rFonts w:ascii="Arial MT" w:eastAsia="Arial MT"/>
        </w:rPr>
        <w:t>(3)</w:t>
      </w:r>
      <w:r>
        <w:rPr/>
        <w:t>本集团能够取得该组成部分的财务状</w:t>
      </w:r>
      <w:r>
        <w:rPr>
          <w:spacing w:val="1"/>
        </w:rPr>
        <w:t> </w:t>
      </w:r>
      <w:r>
        <w:rPr/>
        <w:t>况、经营成果和现金流量等有关会计信息。如果两个或多个经营分部具有相似的经济特征，并且满足一定条件的，则合并为一个经营分部。</w:t>
      </w:r>
    </w:p>
    <w:p>
      <w:pPr>
        <w:pStyle w:val="Heading3"/>
        <w:spacing w:line="296" w:lineRule="exact"/>
        <w:ind w:left="798"/>
        <w:rPr>
          <w:sz w:val="21"/>
        </w:rPr>
      </w:pPr>
      <w:r>
        <w:rPr>
          <w:w w:val="95"/>
        </w:rPr>
        <w:t>由于本集团收入及业绩超过</w:t>
      </w:r>
      <w:r>
        <w:rPr>
          <w:spacing w:val="112"/>
        </w:rPr>
        <w:t>  </w:t>
      </w:r>
      <w:r>
        <w:rPr>
          <w:rFonts w:ascii="Arial MT" w:eastAsia="Arial MT"/>
          <w:w w:val="95"/>
        </w:rPr>
        <w:t>90%</w:t>
      </w:r>
      <w:r>
        <w:rPr>
          <w:w w:val="95"/>
        </w:rPr>
        <w:t>源自电子产品业务，因此并未呈列分部信息。</w:t>
      </w:r>
      <w:r>
        <w:rPr>
          <w:w w:val="100"/>
          <w:sz w:val="21"/>
        </w:rPr>
        <w:t> </w:t>
      </w:r>
    </w:p>
    <w:p>
      <w:pPr>
        <w:spacing w:after="0" w:line="296" w:lineRule="exact"/>
        <w:rPr>
          <w:sz w:val="21"/>
        </w:rPr>
        <w:sectPr>
          <w:pgSz w:w="11910" w:h="16840"/>
          <w:pgMar w:header="882" w:footer="1195" w:top="1120" w:bottom="1380" w:left="1480" w:right="0"/>
        </w:sectPr>
      </w:pPr>
    </w:p>
    <w:p>
      <w:pPr>
        <w:pStyle w:val="BodyText"/>
        <w:spacing w:before="6"/>
      </w:pPr>
      <w:r>
        <w:rPr>
          <w:w w:val="100"/>
        </w:rPr>
        <w:t> </w:t>
      </w:r>
    </w:p>
    <w:p>
      <w:pPr>
        <w:pStyle w:val="ListParagraph"/>
        <w:numPr>
          <w:ilvl w:val="0"/>
          <w:numId w:val="92"/>
        </w:numPr>
        <w:tabs>
          <w:tab w:pos="743" w:val="left" w:leader="none"/>
        </w:tabs>
        <w:spacing w:line="240" w:lineRule="auto" w:before="65" w:after="0"/>
        <w:ind w:left="742" w:right="0" w:hanging="425"/>
        <w:jc w:val="left"/>
        <w:rPr>
          <w:sz w:val="21"/>
        </w:rPr>
      </w:pPr>
      <w:r>
        <w:rPr>
          <w:sz w:val="21"/>
        </w:rPr>
        <w:t>其他说明 </w:t>
      </w:r>
    </w:p>
    <w:p>
      <w:pPr>
        <w:pStyle w:val="BodyText"/>
        <w:spacing w:before="62"/>
      </w:pPr>
      <w:r>
        <w:rPr>
          <w:spacing w:val="11"/>
        </w:rPr>
        <w:t>□适用 √不适用</w:t>
      </w:r>
      <w:r>
        <w:rPr>
          <w:spacing w:val="-3"/>
        </w:rPr>
        <w:t> </w:t>
      </w:r>
      <w:r>
        <w:rPr/>
        <w:t> </w:t>
      </w:r>
    </w:p>
    <w:p>
      <w:pPr>
        <w:pStyle w:val="BodyText"/>
        <w:spacing w:before="4"/>
      </w:pPr>
      <w:r>
        <w:rPr>
          <w:w w:val="100"/>
        </w:rPr>
        <w:t> </w:t>
      </w:r>
    </w:p>
    <w:p>
      <w:pPr>
        <w:pStyle w:val="BodyText"/>
        <w:spacing w:before="62"/>
      </w:pPr>
      <w:r>
        <w:rPr/>
        <w:t>7、 其他对投资者决策有影响的重要交易和事项</w:t>
      </w:r>
    </w:p>
    <w:p>
      <w:pPr>
        <w:pStyle w:val="BodyText"/>
        <w:spacing w:before="140"/>
      </w:pPr>
      <w:r>
        <w:rPr>
          <w:spacing w:val="11"/>
        </w:rPr>
        <w:t>□适用 √不适用</w:t>
      </w:r>
      <w:r>
        <w:rPr>
          <w:spacing w:val="-3"/>
        </w:rPr>
        <w:t> </w:t>
      </w:r>
      <w:r>
        <w:rPr/>
        <w:t> </w:t>
      </w:r>
    </w:p>
    <w:p>
      <w:pPr>
        <w:pStyle w:val="BodyText"/>
        <w:spacing w:before="14"/>
      </w:pPr>
      <w:r>
        <w:rPr>
          <w:w w:val="100"/>
        </w:rPr>
        <w:t> </w:t>
      </w:r>
    </w:p>
    <w:p>
      <w:pPr>
        <w:pStyle w:val="BodyText"/>
        <w:spacing w:before="65"/>
      </w:pPr>
      <w:r>
        <w:rPr/>
        <w:t>8、 其他</w:t>
      </w:r>
    </w:p>
    <w:p>
      <w:pPr>
        <w:pStyle w:val="BodyText"/>
        <w:spacing w:before="62"/>
      </w:pPr>
      <w:r>
        <w:rPr>
          <w:spacing w:val="11"/>
        </w:rPr>
        <w:t>□适用 √不适用</w:t>
      </w:r>
      <w:r>
        <w:rPr>
          <w:spacing w:val="-3"/>
        </w:rPr>
        <w:t> </w:t>
      </w:r>
      <w:r>
        <w:rPr/>
        <w:t> </w:t>
      </w:r>
    </w:p>
    <w:p>
      <w:pPr>
        <w:pStyle w:val="BodyText"/>
        <w:spacing w:line="295" w:lineRule="auto" w:before="64"/>
        <w:ind w:right="783"/>
      </w:pPr>
      <w:r>
        <w:rPr>
          <w:spacing w:val="3"/>
        </w:rPr>
        <w:t>十七、 母公司财务报表主要项目注释</w:t>
      </w:r>
      <w:r>
        <w:rPr/>
        <w:t>1、 应收账款</w:t>
      </w:r>
    </w:p>
    <w:p>
      <w:pPr>
        <w:pStyle w:val="ListParagraph"/>
        <w:numPr>
          <w:ilvl w:val="0"/>
          <w:numId w:val="93"/>
        </w:numPr>
        <w:tabs>
          <w:tab w:pos="743" w:val="left" w:leader="none"/>
        </w:tabs>
        <w:spacing w:line="240" w:lineRule="auto" w:before="3" w:after="0"/>
        <w:ind w:left="742" w:right="0" w:hanging="425"/>
        <w:jc w:val="left"/>
        <w:rPr>
          <w:sz w:val="21"/>
        </w:rPr>
      </w:pPr>
      <w:r>
        <w:rPr>
          <w:sz w:val="21"/>
        </w:rPr>
        <w:t>按账龄披露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35"/>
      </w:pPr>
      <w:r>
        <w:rPr>
          <w:spacing w:val="7"/>
        </w:rPr>
        <w:t>单位：千元 币种：人民币</w:t>
      </w:r>
      <w:r>
        <w:rPr/>
        <w:t> </w:t>
      </w:r>
    </w:p>
    <w:p>
      <w:pPr>
        <w:spacing w:after="0"/>
        <w:sectPr>
          <w:type w:val="continuous"/>
          <w:pgSz w:w="11910" w:h="16840"/>
          <w:pgMar w:top="780" w:bottom="280" w:left="1480" w:right="0"/>
          <w:cols w:num="2" w:equalWidth="0">
            <w:col w:w="4791" w:space="1519"/>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35"/>
        <w:gridCol w:w="4489"/>
      </w:tblGrid>
      <w:tr>
        <w:trPr>
          <w:trHeight w:val="273" w:hRule="atLeast"/>
        </w:trPr>
        <w:tc>
          <w:tcPr>
            <w:tcW w:w="4335" w:type="dxa"/>
          </w:tcPr>
          <w:p>
            <w:pPr>
              <w:pStyle w:val="TableParagraph"/>
              <w:spacing w:line="252" w:lineRule="exact" w:before="1"/>
              <w:ind w:right="1841"/>
              <w:jc w:val="right"/>
              <w:rPr>
                <w:sz w:val="21"/>
              </w:rPr>
            </w:pPr>
            <w:r>
              <w:rPr>
                <w:sz w:val="21"/>
              </w:rPr>
              <w:t>账龄 </w:t>
            </w:r>
          </w:p>
        </w:tc>
        <w:tc>
          <w:tcPr>
            <w:tcW w:w="4489" w:type="dxa"/>
          </w:tcPr>
          <w:p>
            <w:pPr>
              <w:pStyle w:val="TableParagraph"/>
              <w:spacing w:line="252" w:lineRule="exact" w:before="1"/>
              <w:ind w:left="1649" w:right="1536"/>
              <w:jc w:val="center"/>
              <w:rPr>
                <w:sz w:val="21"/>
              </w:rPr>
            </w:pPr>
            <w:r>
              <w:rPr>
                <w:spacing w:val="-1"/>
                <w:sz w:val="21"/>
              </w:rPr>
              <w:t>期末账面余额</w:t>
            </w:r>
            <w:r>
              <w:rPr>
                <w:sz w:val="21"/>
              </w:rPr>
              <w:t> </w:t>
            </w:r>
          </w:p>
        </w:tc>
      </w:tr>
      <w:tr>
        <w:trPr>
          <w:trHeight w:val="273" w:hRule="atLeast"/>
        </w:trPr>
        <w:tc>
          <w:tcPr>
            <w:tcW w:w="8824" w:type="dxa"/>
            <w:gridSpan w:val="2"/>
          </w:tcPr>
          <w:p>
            <w:pPr>
              <w:pStyle w:val="TableParagraph"/>
              <w:spacing w:line="252" w:lineRule="exact" w:before="1"/>
              <w:ind w:left="112"/>
              <w:rPr>
                <w:sz w:val="21"/>
              </w:rPr>
            </w:pPr>
            <w:r>
              <w:rPr>
                <w:spacing w:val="-1"/>
                <w:sz w:val="21"/>
              </w:rPr>
              <w:t>1</w:t>
            </w:r>
            <w:r>
              <w:rPr>
                <w:spacing w:val="-14"/>
                <w:sz w:val="21"/>
              </w:rPr>
              <w:t> 年以内</w:t>
            </w:r>
            <w:r>
              <w:rPr>
                <w:color w:val="FF0000"/>
                <w:sz w:val="21"/>
              </w:rPr>
              <w:t> </w:t>
            </w:r>
          </w:p>
        </w:tc>
      </w:tr>
      <w:tr>
        <w:trPr>
          <w:trHeight w:val="271" w:hRule="atLeast"/>
        </w:trPr>
        <w:tc>
          <w:tcPr>
            <w:tcW w:w="8824" w:type="dxa"/>
            <w:gridSpan w:val="2"/>
          </w:tcPr>
          <w:p>
            <w:pPr>
              <w:pStyle w:val="TableParagraph"/>
              <w:spacing w:line="250" w:lineRule="exact" w:before="1"/>
              <w:ind w:left="112"/>
              <w:rPr>
                <w:sz w:val="21"/>
              </w:rPr>
            </w:pPr>
            <w:r>
              <w:rPr>
                <w:spacing w:val="-1"/>
                <w:sz w:val="21"/>
              </w:rPr>
              <w:t>其中：</w:t>
            </w:r>
            <w:r>
              <w:rPr>
                <w:sz w:val="21"/>
              </w:rPr>
              <w:t>1</w:t>
            </w:r>
            <w:r>
              <w:rPr>
                <w:spacing w:val="-10"/>
                <w:sz w:val="21"/>
              </w:rPr>
              <w:t> 年以内分项</w:t>
            </w:r>
            <w:r>
              <w:rPr>
                <w:sz w:val="21"/>
              </w:rPr>
              <w:t> </w:t>
            </w:r>
          </w:p>
        </w:tc>
      </w:tr>
      <w:tr>
        <w:trPr>
          <w:trHeight w:val="273" w:hRule="atLeast"/>
        </w:trPr>
        <w:tc>
          <w:tcPr>
            <w:tcW w:w="4335" w:type="dxa"/>
          </w:tcPr>
          <w:p>
            <w:pPr>
              <w:pStyle w:val="TableParagraph"/>
              <w:spacing w:line="252" w:lineRule="exact" w:before="1"/>
              <w:ind w:left="112"/>
              <w:rPr>
                <w:sz w:val="21"/>
              </w:rPr>
            </w:pPr>
            <w:r>
              <w:rPr>
                <w:spacing w:val="-1"/>
                <w:sz w:val="21"/>
              </w:rPr>
              <w:t>1</w:t>
            </w:r>
            <w:r>
              <w:rPr>
                <w:spacing w:val="-14"/>
                <w:sz w:val="21"/>
              </w:rPr>
              <w:t> 年以内</w:t>
            </w:r>
            <w:r>
              <w:rPr>
                <w:sz w:val="21"/>
              </w:rPr>
              <w:t> </w:t>
            </w:r>
          </w:p>
        </w:tc>
        <w:tc>
          <w:tcPr>
            <w:tcW w:w="4489" w:type="dxa"/>
          </w:tcPr>
          <w:p>
            <w:pPr>
              <w:pStyle w:val="TableParagraph"/>
              <w:spacing w:line="252" w:lineRule="exact" w:before="1"/>
              <w:ind w:right="-15"/>
              <w:jc w:val="right"/>
              <w:rPr>
                <w:sz w:val="21"/>
              </w:rPr>
            </w:pPr>
            <w:r>
              <w:rPr>
                <w:sz w:val="21"/>
              </w:rPr>
              <w:t>69,810 </w:t>
            </w:r>
          </w:p>
        </w:tc>
      </w:tr>
      <w:tr>
        <w:trPr>
          <w:trHeight w:val="273" w:hRule="atLeast"/>
        </w:trPr>
        <w:tc>
          <w:tcPr>
            <w:tcW w:w="4335" w:type="dxa"/>
          </w:tcPr>
          <w:p>
            <w:pPr>
              <w:pStyle w:val="TableParagraph"/>
              <w:spacing w:line="252" w:lineRule="exact" w:before="1"/>
              <w:ind w:left="112"/>
              <w:rPr>
                <w:sz w:val="21"/>
              </w:rPr>
            </w:pPr>
            <w:r>
              <w:rPr>
                <w:w w:val="100"/>
                <w:sz w:val="21"/>
              </w:rPr>
              <w:t> </w:t>
            </w:r>
          </w:p>
        </w:tc>
        <w:tc>
          <w:tcPr>
            <w:tcW w:w="4489" w:type="dxa"/>
          </w:tcPr>
          <w:p>
            <w:pPr>
              <w:pStyle w:val="TableParagraph"/>
              <w:spacing w:line="252" w:lineRule="exact" w:before="1"/>
              <w:ind w:right="-15"/>
              <w:jc w:val="right"/>
              <w:rPr>
                <w:sz w:val="21"/>
              </w:rPr>
            </w:pPr>
            <w:r>
              <w:rPr>
                <w:w w:val="100"/>
                <w:sz w:val="21"/>
              </w:rPr>
              <w:t> </w:t>
            </w:r>
          </w:p>
        </w:tc>
      </w:tr>
      <w:tr>
        <w:trPr>
          <w:trHeight w:val="270" w:hRule="atLeast"/>
        </w:trPr>
        <w:tc>
          <w:tcPr>
            <w:tcW w:w="4335" w:type="dxa"/>
          </w:tcPr>
          <w:p>
            <w:pPr>
              <w:pStyle w:val="TableParagraph"/>
              <w:spacing w:line="250" w:lineRule="exact" w:before="1"/>
              <w:ind w:left="112"/>
              <w:rPr>
                <w:sz w:val="21"/>
              </w:rPr>
            </w:pPr>
            <w:r>
              <w:rPr>
                <w:spacing w:val="-1"/>
                <w:sz w:val="21"/>
              </w:rPr>
              <w:t>1</w:t>
            </w:r>
            <w:r>
              <w:rPr>
                <w:spacing w:val="-10"/>
                <w:sz w:val="21"/>
              </w:rPr>
              <w:t> 年以内小计</w:t>
            </w:r>
            <w:r>
              <w:rPr>
                <w:sz w:val="21"/>
              </w:rPr>
              <w:t> </w:t>
            </w:r>
          </w:p>
        </w:tc>
        <w:tc>
          <w:tcPr>
            <w:tcW w:w="4489" w:type="dxa"/>
          </w:tcPr>
          <w:p>
            <w:pPr>
              <w:pStyle w:val="TableParagraph"/>
              <w:spacing w:line="250" w:lineRule="exact" w:before="1"/>
              <w:ind w:right="-15"/>
              <w:jc w:val="right"/>
              <w:rPr>
                <w:sz w:val="21"/>
              </w:rPr>
            </w:pPr>
            <w:r>
              <w:rPr>
                <w:sz w:val="21"/>
              </w:rPr>
              <w:t>69,810 </w:t>
            </w:r>
          </w:p>
        </w:tc>
      </w:tr>
      <w:tr>
        <w:trPr>
          <w:trHeight w:val="273" w:hRule="atLeast"/>
        </w:trPr>
        <w:tc>
          <w:tcPr>
            <w:tcW w:w="4335" w:type="dxa"/>
          </w:tcPr>
          <w:p>
            <w:pPr>
              <w:pStyle w:val="TableParagraph"/>
              <w:spacing w:line="252" w:lineRule="exact" w:before="1"/>
              <w:ind w:left="112"/>
              <w:rPr>
                <w:sz w:val="21"/>
              </w:rPr>
            </w:pPr>
            <w:r>
              <w:rPr>
                <w:sz w:val="21"/>
              </w:rPr>
              <w:t>1</w:t>
            </w:r>
            <w:r>
              <w:rPr>
                <w:spacing w:val="-36"/>
                <w:sz w:val="21"/>
              </w:rPr>
              <w:t> 至 </w:t>
            </w:r>
            <w:r>
              <w:rPr>
                <w:sz w:val="21"/>
              </w:rPr>
              <w:t>2</w:t>
            </w:r>
            <w:r>
              <w:rPr>
                <w:spacing w:val="-28"/>
                <w:sz w:val="21"/>
              </w:rPr>
              <w:t> 年</w:t>
            </w:r>
            <w:r>
              <w:rPr>
                <w:sz w:val="21"/>
              </w:rPr>
              <w:t> </w:t>
            </w:r>
          </w:p>
        </w:tc>
        <w:tc>
          <w:tcPr>
            <w:tcW w:w="4489" w:type="dxa"/>
          </w:tcPr>
          <w:p>
            <w:pPr>
              <w:pStyle w:val="TableParagraph"/>
              <w:spacing w:line="252" w:lineRule="exact" w:before="1"/>
              <w:ind w:right="-15"/>
              <w:jc w:val="right"/>
              <w:rPr>
                <w:sz w:val="21"/>
              </w:rPr>
            </w:pPr>
            <w:r>
              <w:rPr>
                <w:w w:val="100"/>
                <w:sz w:val="21"/>
              </w:rPr>
              <w:t> </w:t>
            </w:r>
          </w:p>
        </w:tc>
      </w:tr>
      <w:tr>
        <w:trPr>
          <w:trHeight w:val="270" w:hRule="atLeast"/>
        </w:trPr>
        <w:tc>
          <w:tcPr>
            <w:tcW w:w="4335" w:type="dxa"/>
          </w:tcPr>
          <w:p>
            <w:pPr>
              <w:pStyle w:val="TableParagraph"/>
              <w:spacing w:line="250" w:lineRule="exact" w:before="1"/>
              <w:ind w:left="112"/>
              <w:rPr>
                <w:sz w:val="21"/>
              </w:rPr>
            </w:pPr>
            <w:r>
              <w:rPr>
                <w:sz w:val="21"/>
              </w:rPr>
              <w:t>2</w:t>
            </w:r>
            <w:r>
              <w:rPr>
                <w:spacing w:val="-36"/>
                <w:sz w:val="21"/>
              </w:rPr>
              <w:t> 至 </w:t>
            </w:r>
            <w:r>
              <w:rPr>
                <w:sz w:val="21"/>
              </w:rPr>
              <w:t>3</w:t>
            </w:r>
            <w:r>
              <w:rPr>
                <w:spacing w:val="-28"/>
                <w:sz w:val="21"/>
              </w:rPr>
              <w:t> 年</w:t>
            </w:r>
            <w:r>
              <w:rPr>
                <w:sz w:val="21"/>
              </w:rPr>
              <w:t> </w:t>
            </w:r>
          </w:p>
        </w:tc>
        <w:tc>
          <w:tcPr>
            <w:tcW w:w="4489" w:type="dxa"/>
          </w:tcPr>
          <w:p>
            <w:pPr>
              <w:pStyle w:val="TableParagraph"/>
              <w:spacing w:line="250" w:lineRule="exact" w:before="1"/>
              <w:ind w:right="-15"/>
              <w:jc w:val="right"/>
              <w:rPr>
                <w:sz w:val="21"/>
              </w:rPr>
            </w:pPr>
            <w:r>
              <w:rPr>
                <w:w w:val="100"/>
                <w:sz w:val="21"/>
              </w:rPr>
              <w:t> </w:t>
            </w:r>
          </w:p>
        </w:tc>
      </w:tr>
      <w:tr>
        <w:trPr>
          <w:trHeight w:val="273" w:hRule="atLeast"/>
        </w:trPr>
        <w:tc>
          <w:tcPr>
            <w:tcW w:w="4335" w:type="dxa"/>
          </w:tcPr>
          <w:p>
            <w:pPr>
              <w:pStyle w:val="TableParagraph"/>
              <w:spacing w:line="250" w:lineRule="exact" w:before="3"/>
              <w:ind w:left="112"/>
              <w:rPr>
                <w:sz w:val="21"/>
              </w:rPr>
            </w:pPr>
            <w:r>
              <w:rPr>
                <w:spacing w:val="-1"/>
                <w:sz w:val="21"/>
              </w:rPr>
              <w:t>3</w:t>
            </w:r>
            <w:r>
              <w:rPr>
                <w:spacing w:val="-14"/>
                <w:sz w:val="21"/>
              </w:rPr>
              <w:t> 年以上</w:t>
            </w:r>
            <w:r>
              <w:rPr>
                <w:sz w:val="21"/>
              </w:rPr>
              <w:t> </w:t>
            </w:r>
          </w:p>
        </w:tc>
        <w:tc>
          <w:tcPr>
            <w:tcW w:w="4489" w:type="dxa"/>
          </w:tcPr>
          <w:p>
            <w:pPr>
              <w:pStyle w:val="TableParagraph"/>
              <w:spacing w:line="250" w:lineRule="exact" w:before="3"/>
              <w:ind w:right="-15"/>
              <w:jc w:val="right"/>
              <w:rPr>
                <w:sz w:val="21"/>
              </w:rPr>
            </w:pPr>
            <w:r>
              <w:rPr>
                <w:w w:val="100"/>
                <w:sz w:val="21"/>
              </w:rPr>
              <w:t> </w:t>
            </w:r>
          </w:p>
        </w:tc>
      </w:tr>
      <w:tr>
        <w:trPr>
          <w:trHeight w:val="273" w:hRule="atLeast"/>
        </w:trPr>
        <w:tc>
          <w:tcPr>
            <w:tcW w:w="4335" w:type="dxa"/>
          </w:tcPr>
          <w:p>
            <w:pPr>
              <w:pStyle w:val="TableParagraph"/>
              <w:spacing w:line="252" w:lineRule="exact" w:before="1"/>
              <w:ind w:left="112"/>
              <w:rPr>
                <w:sz w:val="21"/>
              </w:rPr>
            </w:pPr>
            <w:r>
              <w:rPr>
                <w:sz w:val="21"/>
              </w:rPr>
              <w:t>3</w:t>
            </w:r>
            <w:r>
              <w:rPr>
                <w:spacing w:val="-36"/>
                <w:sz w:val="21"/>
              </w:rPr>
              <w:t> 至 </w:t>
            </w:r>
            <w:r>
              <w:rPr>
                <w:sz w:val="21"/>
              </w:rPr>
              <w:t>4</w:t>
            </w:r>
            <w:r>
              <w:rPr>
                <w:spacing w:val="-28"/>
                <w:sz w:val="21"/>
              </w:rPr>
              <w:t> 年</w:t>
            </w:r>
            <w:r>
              <w:rPr>
                <w:sz w:val="21"/>
              </w:rPr>
              <w:t> </w:t>
            </w:r>
          </w:p>
        </w:tc>
        <w:tc>
          <w:tcPr>
            <w:tcW w:w="4489" w:type="dxa"/>
          </w:tcPr>
          <w:p>
            <w:pPr>
              <w:pStyle w:val="TableParagraph"/>
              <w:spacing w:line="252" w:lineRule="exact" w:before="1"/>
              <w:ind w:right="-15"/>
              <w:jc w:val="right"/>
              <w:rPr>
                <w:sz w:val="21"/>
              </w:rPr>
            </w:pPr>
            <w:r>
              <w:rPr>
                <w:w w:val="100"/>
                <w:sz w:val="21"/>
              </w:rPr>
              <w:t> </w:t>
            </w:r>
          </w:p>
        </w:tc>
      </w:tr>
      <w:tr>
        <w:trPr>
          <w:trHeight w:val="270" w:hRule="atLeast"/>
        </w:trPr>
        <w:tc>
          <w:tcPr>
            <w:tcW w:w="4335" w:type="dxa"/>
          </w:tcPr>
          <w:p>
            <w:pPr>
              <w:pStyle w:val="TableParagraph"/>
              <w:spacing w:line="250" w:lineRule="exact" w:before="1"/>
              <w:ind w:left="112"/>
              <w:rPr>
                <w:sz w:val="21"/>
              </w:rPr>
            </w:pPr>
            <w:r>
              <w:rPr>
                <w:sz w:val="21"/>
              </w:rPr>
              <w:t>4</w:t>
            </w:r>
            <w:r>
              <w:rPr>
                <w:spacing w:val="-36"/>
                <w:sz w:val="21"/>
              </w:rPr>
              <w:t> 至 </w:t>
            </w:r>
            <w:r>
              <w:rPr>
                <w:sz w:val="21"/>
              </w:rPr>
              <w:t>5</w:t>
            </w:r>
            <w:r>
              <w:rPr>
                <w:spacing w:val="-28"/>
                <w:sz w:val="21"/>
              </w:rPr>
              <w:t> 年</w:t>
            </w:r>
            <w:r>
              <w:rPr>
                <w:sz w:val="21"/>
              </w:rPr>
              <w:t> </w:t>
            </w:r>
          </w:p>
        </w:tc>
        <w:tc>
          <w:tcPr>
            <w:tcW w:w="4489" w:type="dxa"/>
          </w:tcPr>
          <w:p>
            <w:pPr>
              <w:pStyle w:val="TableParagraph"/>
              <w:spacing w:line="250" w:lineRule="exact" w:before="1"/>
              <w:ind w:right="-15"/>
              <w:jc w:val="right"/>
              <w:rPr>
                <w:sz w:val="21"/>
              </w:rPr>
            </w:pPr>
            <w:r>
              <w:rPr>
                <w:w w:val="100"/>
                <w:sz w:val="21"/>
              </w:rPr>
              <w:t> </w:t>
            </w:r>
          </w:p>
        </w:tc>
      </w:tr>
      <w:tr>
        <w:trPr>
          <w:trHeight w:val="273" w:hRule="atLeast"/>
        </w:trPr>
        <w:tc>
          <w:tcPr>
            <w:tcW w:w="4335" w:type="dxa"/>
          </w:tcPr>
          <w:p>
            <w:pPr>
              <w:pStyle w:val="TableParagraph"/>
              <w:spacing w:line="250" w:lineRule="exact" w:before="3"/>
              <w:ind w:left="112"/>
              <w:rPr>
                <w:sz w:val="21"/>
              </w:rPr>
            </w:pPr>
            <w:r>
              <w:rPr>
                <w:spacing w:val="-1"/>
                <w:sz w:val="21"/>
              </w:rPr>
              <w:t>5</w:t>
            </w:r>
            <w:r>
              <w:rPr>
                <w:spacing w:val="-14"/>
                <w:sz w:val="21"/>
              </w:rPr>
              <w:t> 年以上</w:t>
            </w:r>
            <w:r>
              <w:rPr>
                <w:sz w:val="21"/>
              </w:rPr>
              <w:t> </w:t>
            </w:r>
          </w:p>
        </w:tc>
        <w:tc>
          <w:tcPr>
            <w:tcW w:w="4489" w:type="dxa"/>
          </w:tcPr>
          <w:p>
            <w:pPr>
              <w:pStyle w:val="TableParagraph"/>
              <w:spacing w:line="250" w:lineRule="exact" w:before="3"/>
              <w:ind w:right="-15"/>
              <w:jc w:val="right"/>
              <w:rPr>
                <w:sz w:val="21"/>
              </w:rPr>
            </w:pPr>
            <w:r>
              <w:rPr>
                <w:w w:val="100"/>
                <w:sz w:val="21"/>
              </w:rPr>
              <w:t> </w:t>
            </w:r>
          </w:p>
        </w:tc>
      </w:tr>
      <w:tr>
        <w:trPr>
          <w:trHeight w:val="273" w:hRule="atLeast"/>
        </w:trPr>
        <w:tc>
          <w:tcPr>
            <w:tcW w:w="4335" w:type="dxa"/>
          </w:tcPr>
          <w:p>
            <w:pPr>
              <w:pStyle w:val="TableParagraph"/>
              <w:spacing w:line="252" w:lineRule="exact" w:before="1"/>
              <w:ind w:left="112"/>
              <w:rPr>
                <w:sz w:val="21"/>
              </w:rPr>
            </w:pPr>
            <w:r>
              <w:rPr>
                <w:w w:val="100"/>
                <w:sz w:val="21"/>
              </w:rPr>
              <w:t> </w:t>
            </w:r>
          </w:p>
        </w:tc>
        <w:tc>
          <w:tcPr>
            <w:tcW w:w="4489" w:type="dxa"/>
          </w:tcPr>
          <w:p>
            <w:pPr>
              <w:pStyle w:val="TableParagraph"/>
              <w:spacing w:line="252" w:lineRule="exact" w:before="1"/>
              <w:ind w:right="-15"/>
              <w:jc w:val="right"/>
              <w:rPr>
                <w:sz w:val="21"/>
              </w:rPr>
            </w:pPr>
            <w:r>
              <w:rPr>
                <w:w w:val="100"/>
                <w:sz w:val="21"/>
              </w:rPr>
              <w:t> </w:t>
            </w:r>
          </w:p>
        </w:tc>
      </w:tr>
      <w:tr>
        <w:trPr>
          <w:trHeight w:val="270" w:hRule="atLeast"/>
        </w:trPr>
        <w:tc>
          <w:tcPr>
            <w:tcW w:w="4335" w:type="dxa"/>
          </w:tcPr>
          <w:p>
            <w:pPr>
              <w:pStyle w:val="TableParagraph"/>
              <w:spacing w:line="250" w:lineRule="exact" w:before="1"/>
              <w:ind w:left="112"/>
              <w:rPr>
                <w:sz w:val="21"/>
              </w:rPr>
            </w:pPr>
            <w:r>
              <w:rPr>
                <w:w w:val="100"/>
                <w:sz w:val="21"/>
              </w:rPr>
              <w:t> </w:t>
            </w:r>
          </w:p>
        </w:tc>
        <w:tc>
          <w:tcPr>
            <w:tcW w:w="4489" w:type="dxa"/>
          </w:tcPr>
          <w:p>
            <w:pPr>
              <w:pStyle w:val="TableParagraph"/>
              <w:spacing w:line="250" w:lineRule="exact" w:before="1"/>
              <w:ind w:right="-15"/>
              <w:jc w:val="right"/>
              <w:rPr>
                <w:sz w:val="21"/>
              </w:rPr>
            </w:pPr>
            <w:r>
              <w:rPr>
                <w:w w:val="100"/>
                <w:sz w:val="21"/>
              </w:rPr>
              <w:t> </w:t>
            </w:r>
          </w:p>
        </w:tc>
      </w:tr>
      <w:tr>
        <w:trPr>
          <w:trHeight w:val="273" w:hRule="atLeast"/>
        </w:trPr>
        <w:tc>
          <w:tcPr>
            <w:tcW w:w="4335" w:type="dxa"/>
          </w:tcPr>
          <w:p>
            <w:pPr>
              <w:pStyle w:val="TableParagraph"/>
              <w:spacing w:line="252" w:lineRule="exact" w:before="1"/>
              <w:ind w:right="1841"/>
              <w:jc w:val="right"/>
              <w:rPr>
                <w:sz w:val="21"/>
              </w:rPr>
            </w:pPr>
            <w:r>
              <w:rPr>
                <w:sz w:val="21"/>
              </w:rPr>
              <w:t>合计 </w:t>
            </w:r>
          </w:p>
        </w:tc>
        <w:tc>
          <w:tcPr>
            <w:tcW w:w="4489" w:type="dxa"/>
          </w:tcPr>
          <w:p>
            <w:pPr>
              <w:pStyle w:val="TableParagraph"/>
              <w:spacing w:line="252" w:lineRule="exact" w:before="1"/>
              <w:ind w:right="-15"/>
              <w:jc w:val="right"/>
              <w:rPr>
                <w:sz w:val="21"/>
              </w:rPr>
            </w:pPr>
            <w:r>
              <w:rPr>
                <w:sz w:val="21"/>
              </w:rPr>
              <w:t>69,810 </w:t>
            </w:r>
          </w:p>
        </w:tc>
      </w:tr>
    </w:tbl>
    <w:p>
      <w:pPr>
        <w:spacing w:after="0" w:line="252" w:lineRule="exact"/>
        <w:jc w:val="right"/>
        <w:rPr>
          <w:sz w:val="21"/>
        </w:rPr>
        <w:sectPr>
          <w:type w:val="continuous"/>
          <w:pgSz w:w="11910" w:h="16840"/>
          <w:pgMar w:top="780" w:bottom="280" w:left="1480" w:right="0"/>
        </w:sectPr>
      </w:pPr>
    </w:p>
    <w:p>
      <w:pPr>
        <w:pStyle w:val="BodyText"/>
        <w:spacing w:before="2"/>
      </w:pPr>
      <w:r>
        <w:rPr>
          <w:w w:val="100"/>
        </w:rPr>
        <w:t> </w:t>
      </w:r>
    </w:p>
    <w:p>
      <w:pPr>
        <w:pStyle w:val="BodyText"/>
        <w:spacing w:before="4"/>
      </w:pPr>
      <w:r>
        <w:rPr>
          <w:w w:val="100"/>
        </w:rPr>
        <w:t> </w:t>
      </w:r>
    </w:p>
    <w:p>
      <w:pPr>
        <w:pStyle w:val="ListParagraph"/>
        <w:numPr>
          <w:ilvl w:val="0"/>
          <w:numId w:val="93"/>
        </w:numPr>
        <w:tabs>
          <w:tab w:pos="743" w:val="left" w:leader="none"/>
        </w:tabs>
        <w:spacing w:line="240" w:lineRule="auto" w:before="62" w:after="0"/>
        <w:ind w:left="742" w:right="0" w:hanging="425"/>
        <w:jc w:val="left"/>
        <w:rPr>
          <w:sz w:val="21"/>
        </w:rPr>
      </w:pPr>
      <w:r>
        <w:rPr>
          <w:sz w:val="21"/>
        </w:rPr>
        <w:t>按坏账计提方法分类披露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spacing w:before="7"/>
        <w:ind w:left="0"/>
        <w:rPr>
          <w:sz w:val="14"/>
        </w:rPr>
      </w:pPr>
    </w:p>
    <w:p>
      <w:pPr>
        <w:pStyle w:val="BodyText"/>
      </w:pPr>
      <w:r>
        <w:rPr>
          <w:spacing w:val="-2"/>
        </w:rPr>
        <w:t>单位：千元 币种：人民币</w:t>
      </w:r>
    </w:p>
    <w:p>
      <w:pPr>
        <w:spacing w:after="0"/>
        <w:sectPr>
          <w:type w:val="continuous"/>
          <w:pgSz w:w="11910" w:h="16840"/>
          <w:pgMar w:top="780" w:bottom="280" w:left="1480" w:right="0"/>
          <w:cols w:num="2" w:equalWidth="0">
            <w:col w:w="3208" w:space="3117"/>
            <w:col w:w="4105"/>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8"/>
        <w:gridCol w:w="867"/>
        <w:gridCol w:w="660"/>
        <w:gridCol w:w="658"/>
        <w:gridCol w:w="677"/>
        <w:gridCol w:w="869"/>
        <w:gridCol w:w="866"/>
        <w:gridCol w:w="679"/>
        <w:gridCol w:w="692"/>
        <w:gridCol w:w="694"/>
        <w:gridCol w:w="864"/>
      </w:tblGrid>
      <w:tr>
        <w:trPr>
          <w:trHeight w:val="273" w:hRule="atLeast"/>
        </w:trPr>
        <w:tc>
          <w:tcPr>
            <w:tcW w:w="1298" w:type="dxa"/>
            <w:vMerge w:val="restart"/>
          </w:tcPr>
          <w:p>
            <w:pPr>
              <w:pStyle w:val="TableParagraph"/>
              <w:rPr>
                <w:sz w:val="20"/>
              </w:rPr>
            </w:pPr>
          </w:p>
          <w:p>
            <w:pPr>
              <w:pStyle w:val="TableParagraph"/>
              <w:spacing w:before="6"/>
              <w:rPr>
                <w:sz w:val="23"/>
              </w:rPr>
            </w:pPr>
          </w:p>
          <w:p>
            <w:pPr>
              <w:pStyle w:val="TableParagraph"/>
              <w:spacing w:before="1"/>
              <w:ind w:left="438"/>
              <w:rPr>
                <w:sz w:val="21"/>
              </w:rPr>
            </w:pPr>
            <w:r>
              <w:rPr>
                <w:sz w:val="21"/>
              </w:rPr>
              <w:t>类别 </w:t>
            </w:r>
          </w:p>
        </w:tc>
        <w:tc>
          <w:tcPr>
            <w:tcW w:w="3731" w:type="dxa"/>
            <w:gridSpan w:val="5"/>
          </w:tcPr>
          <w:p>
            <w:pPr>
              <w:pStyle w:val="TableParagraph"/>
              <w:spacing w:line="250" w:lineRule="exact" w:before="3"/>
              <w:ind w:left="1480" w:right="1365"/>
              <w:jc w:val="center"/>
              <w:rPr>
                <w:sz w:val="21"/>
              </w:rPr>
            </w:pPr>
            <w:r>
              <w:rPr>
                <w:spacing w:val="-1"/>
                <w:sz w:val="21"/>
              </w:rPr>
              <w:t>期末余额</w:t>
            </w:r>
            <w:r>
              <w:rPr>
                <w:sz w:val="21"/>
              </w:rPr>
              <w:t> </w:t>
            </w:r>
          </w:p>
        </w:tc>
        <w:tc>
          <w:tcPr>
            <w:tcW w:w="3795" w:type="dxa"/>
            <w:gridSpan w:val="5"/>
          </w:tcPr>
          <w:p>
            <w:pPr>
              <w:pStyle w:val="TableParagraph"/>
              <w:spacing w:line="250" w:lineRule="exact" w:before="3"/>
              <w:ind w:left="1510" w:right="1398"/>
              <w:jc w:val="center"/>
              <w:rPr>
                <w:sz w:val="21"/>
              </w:rPr>
            </w:pPr>
            <w:r>
              <w:rPr>
                <w:spacing w:val="-1"/>
                <w:sz w:val="21"/>
              </w:rPr>
              <w:t>期初余额</w:t>
            </w:r>
            <w:r>
              <w:rPr>
                <w:sz w:val="21"/>
              </w:rPr>
              <w:t> </w:t>
            </w:r>
          </w:p>
        </w:tc>
      </w:tr>
      <w:tr>
        <w:trPr>
          <w:trHeight w:val="273" w:hRule="atLeast"/>
        </w:trPr>
        <w:tc>
          <w:tcPr>
            <w:tcW w:w="1298" w:type="dxa"/>
            <w:vMerge/>
            <w:tcBorders>
              <w:top w:val="nil"/>
            </w:tcBorders>
          </w:tcPr>
          <w:p>
            <w:pPr>
              <w:rPr>
                <w:sz w:val="2"/>
                <w:szCs w:val="2"/>
              </w:rPr>
            </w:pPr>
          </w:p>
        </w:tc>
        <w:tc>
          <w:tcPr>
            <w:tcW w:w="1527" w:type="dxa"/>
            <w:gridSpan w:val="2"/>
          </w:tcPr>
          <w:p>
            <w:pPr>
              <w:pStyle w:val="TableParagraph"/>
              <w:spacing w:line="252" w:lineRule="exact" w:before="1"/>
              <w:ind w:left="343"/>
              <w:rPr>
                <w:sz w:val="21"/>
              </w:rPr>
            </w:pPr>
            <w:r>
              <w:rPr>
                <w:spacing w:val="-1"/>
                <w:sz w:val="21"/>
              </w:rPr>
              <w:t>账面余额</w:t>
            </w:r>
            <w:r>
              <w:rPr>
                <w:sz w:val="21"/>
              </w:rPr>
              <w:t> </w:t>
            </w:r>
          </w:p>
        </w:tc>
        <w:tc>
          <w:tcPr>
            <w:tcW w:w="1335" w:type="dxa"/>
            <w:gridSpan w:val="2"/>
          </w:tcPr>
          <w:p>
            <w:pPr>
              <w:pStyle w:val="TableParagraph"/>
              <w:spacing w:line="252" w:lineRule="exact" w:before="1"/>
              <w:ind w:left="247"/>
              <w:rPr>
                <w:sz w:val="21"/>
              </w:rPr>
            </w:pPr>
            <w:r>
              <w:rPr>
                <w:spacing w:val="-1"/>
                <w:sz w:val="21"/>
              </w:rPr>
              <w:t>坏账准备</w:t>
            </w:r>
            <w:r>
              <w:rPr>
                <w:sz w:val="21"/>
              </w:rPr>
              <w:t> </w:t>
            </w:r>
          </w:p>
        </w:tc>
        <w:tc>
          <w:tcPr>
            <w:tcW w:w="869" w:type="dxa"/>
            <w:vMerge w:val="restart"/>
          </w:tcPr>
          <w:p>
            <w:pPr>
              <w:pStyle w:val="TableParagraph"/>
              <w:spacing w:before="10"/>
              <w:rPr>
                <w:sz w:val="21"/>
              </w:rPr>
            </w:pPr>
          </w:p>
          <w:p>
            <w:pPr>
              <w:pStyle w:val="TableParagraph"/>
              <w:spacing w:line="242" w:lineRule="auto"/>
              <w:ind w:left="222" w:right="108"/>
              <w:rPr>
                <w:sz w:val="21"/>
              </w:rPr>
            </w:pPr>
            <w:r>
              <w:rPr>
                <w:sz w:val="21"/>
              </w:rPr>
              <w:t>账面价值 </w:t>
            </w:r>
          </w:p>
        </w:tc>
        <w:tc>
          <w:tcPr>
            <w:tcW w:w="1545" w:type="dxa"/>
            <w:gridSpan w:val="2"/>
          </w:tcPr>
          <w:p>
            <w:pPr>
              <w:pStyle w:val="TableParagraph"/>
              <w:spacing w:line="252" w:lineRule="exact" w:before="1"/>
              <w:ind w:left="352"/>
              <w:rPr>
                <w:sz w:val="21"/>
              </w:rPr>
            </w:pPr>
            <w:r>
              <w:rPr>
                <w:spacing w:val="-1"/>
                <w:sz w:val="21"/>
              </w:rPr>
              <w:t>账面余额</w:t>
            </w:r>
            <w:r>
              <w:rPr>
                <w:sz w:val="21"/>
              </w:rPr>
              <w:t> </w:t>
            </w:r>
          </w:p>
        </w:tc>
        <w:tc>
          <w:tcPr>
            <w:tcW w:w="1386" w:type="dxa"/>
            <w:gridSpan w:val="2"/>
          </w:tcPr>
          <w:p>
            <w:pPr>
              <w:pStyle w:val="TableParagraph"/>
              <w:spacing w:line="252" w:lineRule="exact" w:before="1"/>
              <w:ind w:left="271"/>
              <w:rPr>
                <w:sz w:val="21"/>
              </w:rPr>
            </w:pPr>
            <w:r>
              <w:rPr>
                <w:spacing w:val="-1"/>
                <w:sz w:val="21"/>
              </w:rPr>
              <w:t>坏账准备</w:t>
            </w:r>
            <w:r>
              <w:rPr>
                <w:sz w:val="21"/>
              </w:rPr>
              <w:t> </w:t>
            </w:r>
          </w:p>
        </w:tc>
        <w:tc>
          <w:tcPr>
            <w:tcW w:w="864" w:type="dxa"/>
            <w:vMerge w:val="restart"/>
          </w:tcPr>
          <w:p>
            <w:pPr>
              <w:pStyle w:val="TableParagraph"/>
              <w:spacing w:before="10"/>
              <w:rPr>
                <w:sz w:val="21"/>
              </w:rPr>
            </w:pPr>
          </w:p>
          <w:p>
            <w:pPr>
              <w:pStyle w:val="TableParagraph"/>
              <w:spacing w:line="242" w:lineRule="auto"/>
              <w:ind w:left="220" w:right="105"/>
              <w:rPr>
                <w:sz w:val="21"/>
              </w:rPr>
            </w:pPr>
            <w:r>
              <w:rPr>
                <w:sz w:val="21"/>
              </w:rPr>
              <w:t>账面价值 </w:t>
            </w:r>
          </w:p>
        </w:tc>
      </w:tr>
      <w:tr>
        <w:trPr>
          <w:trHeight w:val="817" w:hRule="atLeast"/>
        </w:trPr>
        <w:tc>
          <w:tcPr>
            <w:tcW w:w="1298" w:type="dxa"/>
            <w:vMerge/>
            <w:tcBorders>
              <w:top w:val="nil"/>
            </w:tcBorders>
          </w:tcPr>
          <w:p>
            <w:pPr>
              <w:rPr>
                <w:sz w:val="2"/>
                <w:szCs w:val="2"/>
              </w:rPr>
            </w:pPr>
          </w:p>
        </w:tc>
        <w:tc>
          <w:tcPr>
            <w:tcW w:w="867" w:type="dxa"/>
          </w:tcPr>
          <w:p>
            <w:pPr>
              <w:pStyle w:val="TableParagraph"/>
              <w:spacing w:before="3"/>
              <w:rPr>
                <w:sz w:val="21"/>
              </w:rPr>
            </w:pPr>
          </w:p>
          <w:p>
            <w:pPr>
              <w:pStyle w:val="TableParagraph"/>
              <w:ind w:left="223"/>
              <w:rPr>
                <w:sz w:val="21"/>
              </w:rPr>
            </w:pPr>
            <w:r>
              <w:rPr>
                <w:sz w:val="21"/>
              </w:rPr>
              <w:t>金额 </w:t>
            </w:r>
          </w:p>
        </w:tc>
        <w:tc>
          <w:tcPr>
            <w:tcW w:w="660" w:type="dxa"/>
          </w:tcPr>
          <w:p>
            <w:pPr>
              <w:pStyle w:val="TableParagraph"/>
              <w:spacing w:line="242" w:lineRule="auto" w:before="137"/>
              <w:ind w:left="172" w:right="55" w:hanging="53"/>
              <w:rPr>
                <w:sz w:val="21"/>
              </w:rPr>
            </w:pPr>
            <w:r>
              <w:rPr>
                <w:sz w:val="21"/>
              </w:rPr>
              <w:t>比例(%) </w:t>
            </w:r>
          </w:p>
        </w:tc>
        <w:tc>
          <w:tcPr>
            <w:tcW w:w="658" w:type="dxa"/>
          </w:tcPr>
          <w:p>
            <w:pPr>
              <w:pStyle w:val="TableParagraph"/>
              <w:spacing w:before="3"/>
              <w:rPr>
                <w:sz w:val="21"/>
              </w:rPr>
            </w:pPr>
          </w:p>
          <w:p>
            <w:pPr>
              <w:pStyle w:val="TableParagraph"/>
              <w:ind w:left="117"/>
              <w:rPr>
                <w:sz w:val="21"/>
              </w:rPr>
            </w:pPr>
            <w:r>
              <w:rPr>
                <w:sz w:val="21"/>
              </w:rPr>
              <w:t>金额 </w:t>
            </w:r>
          </w:p>
        </w:tc>
        <w:tc>
          <w:tcPr>
            <w:tcW w:w="677" w:type="dxa"/>
          </w:tcPr>
          <w:p>
            <w:pPr>
              <w:pStyle w:val="TableParagraph"/>
              <w:spacing w:line="242" w:lineRule="auto" w:before="1"/>
              <w:ind w:left="126" w:right="115"/>
              <w:rPr>
                <w:sz w:val="21"/>
              </w:rPr>
            </w:pPr>
            <w:r>
              <w:rPr>
                <w:spacing w:val="-1"/>
                <w:sz w:val="21"/>
              </w:rPr>
              <w:t>计提</w:t>
            </w:r>
            <w:r>
              <w:rPr>
                <w:spacing w:val="-7"/>
                <w:sz w:val="21"/>
              </w:rPr>
              <w:t>比例</w:t>
            </w:r>
          </w:p>
          <w:p>
            <w:pPr>
              <w:pStyle w:val="TableParagraph"/>
              <w:spacing w:line="252" w:lineRule="exact" w:before="1"/>
              <w:ind w:left="179"/>
              <w:rPr>
                <w:sz w:val="21"/>
              </w:rPr>
            </w:pPr>
            <w:r>
              <w:rPr>
                <w:sz w:val="21"/>
              </w:rPr>
              <w:t>(%) </w:t>
            </w:r>
          </w:p>
        </w:tc>
        <w:tc>
          <w:tcPr>
            <w:tcW w:w="869" w:type="dxa"/>
            <w:vMerge/>
            <w:tcBorders>
              <w:top w:val="nil"/>
            </w:tcBorders>
          </w:tcPr>
          <w:p>
            <w:pPr>
              <w:rPr>
                <w:sz w:val="2"/>
                <w:szCs w:val="2"/>
              </w:rPr>
            </w:pPr>
          </w:p>
        </w:tc>
        <w:tc>
          <w:tcPr>
            <w:tcW w:w="866" w:type="dxa"/>
          </w:tcPr>
          <w:p>
            <w:pPr>
              <w:pStyle w:val="TableParagraph"/>
              <w:spacing w:before="3"/>
              <w:rPr>
                <w:sz w:val="21"/>
              </w:rPr>
            </w:pPr>
          </w:p>
          <w:p>
            <w:pPr>
              <w:pStyle w:val="TableParagraph"/>
              <w:ind w:left="222"/>
              <w:rPr>
                <w:sz w:val="21"/>
              </w:rPr>
            </w:pPr>
            <w:r>
              <w:rPr>
                <w:sz w:val="21"/>
              </w:rPr>
              <w:t>金额 </w:t>
            </w:r>
          </w:p>
        </w:tc>
        <w:tc>
          <w:tcPr>
            <w:tcW w:w="679" w:type="dxa"/>
          </w:tcPr>
          <w:p>
            <w:pPr>
              <w:pStyle w:val="TableParagraph"/>
              <w:spacing w:line="242" w:lineRule="auto" w:before="137"/>
              <w:ind w:left="182" w:right="64" w:hanging="53"/>
              <w:rPr>
                <w:sz w:val="21"/>
              </w:rPr>
            </w:pPr>
            <w:r>
              <w:rPr>
                <w:sz w:val="21"/>
              </w:rPr>
              <w:t>比例(%) </w:t>
            </w:r>
          </w:p>
        </w:tc>
        <w:tc>
          <w:tcPr>
            <w:tcW w:w="692" w:type="dxa"/>
          </w:tcPr>
          <w:p>
            <w:pPr>
              <w:pStyle w:val="TableParagraph"/>
              <w:spacing w:before="3"/>
              <w:rPr>
                <w:sz w:val="21"/>
              </w:rPr>
            </w:pPr>
          </w:p>
          <w:p>
            <w:pPr>
              <w:pStyle w:val="TableParagraph"/>
              <w:ind w:left="134"/>
              <w:rPr>
                <w:sz w:val="21"/>
              </w:rPr>
            </w:pPr>
            <w:r>
              <w:rPr>
                <w:sz w:val="21"/>
              </w:rPr>
              <w:t>金额 </w:t>
            </w:r>
          </w:p>
        </w:tc>
        <w:tc>
          <w:tcPr>
            <w:tcW w:w="694" w:type="dxa"/>
          </w:tcPr>
          <w:p>
            <w:pPr>
              <w:pStyle w:val="TableParagraph"/>
              <w:spacing w:line="242" w:lineRule="auto" w:before="1"/>
              <w:ind w:left="134" w:right="125"/>
              <w:rPr>
                <w:sz w:val="21"/>
              </w:rPr>
            </w:pPr>
            <w:r>
              <w:rPr>
                <w:spacing w:val="-1"/>
                <w:sz w:val="21"/>
              </w:rPr>
              <w:t>计提</w:t>
            </w:r>
            <w:r>
              <w:rPr>
                <w:spacing w:val="-8"/>
                <w:sz w:val="21"/>
              </w:rPr>
              <w:t>比例</w:t>
            </w:r>
          </w:p>
          <w:p>
            <w:pPr>
              <w:pStyle w:val="TableParagraph"/>
              <w:spacing w:line="252" w:lineRule="exact" w:before="1"/>
              <w:ind w:left="187"/>
              <w:rPr>
                <w:sz w:val="21"/>
              </w:rPr>
            </w:pPr>
            <w:r>
              <w:rPr>
                <w:sz w:val="21"/>
              </w:rPr>
              <w:t>(%) </w:t>
            </w:r>
          </w:p>
        </w:tc>
        <w:tc>
          <w:tcPr>
            <w:tcW w:w="864" w:type="dxa"/>
            <w:vMerge/>
            <w:tcBorders>
              <w:top w:val="nil"/>
            </w:tcBorders>
          </w:tcPr>
          <w:p>
            <w:pPr>
              <w:rPr>
                <w:sz w:val="2"/>
                <w:szCs w:val="2"/>
              </w:rPr>
            </w:pPr>
          </w:p>
        </w:tc>
      </w:tr>
    </w:tbl>
    <w:p>
      <w:pPr>
        <w:spacing w:after="0"/>
        <w:rPr>
          <w:sz w:val="2"/>
          <w:szCs w:val="2"/>
        </w:rPr>
        <w:sectPr>
          <w:type w:val="continuous"/>
          <w:pgSz w:w="11910" w:h="16840"/>
          <w:pgMar w:top="780" w:bottom="2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8"/>
        <w:gridCol w:w="867"/>
        <w:gridCol w:w="660"/>
        <w:gridCol w:w="658"/>
        <w:gridCol w:w="677"/>
        <w:gridCol w:w="869"/>
        <w:gridCol w:w="866"/>
        <w:gridCol w:w="679"/>
        <w:gridCol w:w="692"/>
        <w:gridCol w:w="694"/>
        <w:gridCol w:w="864"/>
      </w:tblGrid>
      <w:tr>
        <w:trPr>
          <w:trHeight w:val="547" w:hRule="atLeast"/>
        </w:trPr>
        <w:tc>
          <w:tcPr>
            <w:tcW w:w="1298" w:type="dxa"/>
          </w:tcPr>
          <w:p>
            <w:pPr>
              <w:pStyle w:val="TableParagraph"/>
              <w:spacing w:line="270" w:lineRule="atLeast"/>
              <w:ind w:left="107" w:right="124"/>
              <w:rPr>
                <w:sz w:val="21"/>
              </w:rPr>
            </w:pPr>
            <w:r>
              <w:rPr>
                <w:sz w:val="21"/>
              </w:rPr>
              <w:t>按单项计提坏账准备 </w:t>
            </w:r>
          </w:p>
        </w:tc>
        <w:tc>
          <w:tcPr>
            <w:tcW w:w="867" w:type="dxa"/>
          </w:tcPr>
          <w:p>
            <w:pPr>
              <w:pStyle w:val="TableParagraph"/>
              <w:spacing w:before="3"/>
              <w:ind w:right="-15"/>
              <w:jc w:val="right"/>
              <w:rPr>
                <w:sz w:val="21"/>
              </w:rPr>
            </w:pPr>
            <w:r>
              <w:rPr>
                <w:w w:val="100"/>
                <w:sz w:val="21"/>
              </w:rPr>
              <w:t> </w:t>
            </w:r>
          </w:p>
        </w:tc>
        <w:tc>
          <w:tcPr>
            <w:tcW w:w="660" w:type="dxa"/>
          </w:tcPr>
          <w:p>
            <w:pPr>
              <w:pStyle w:val="TableParagraph"/>
              <w:spacing w:before="3"/>
              <w:ind w:right="-15"/>
              <w:jc w:val="right"/>
              <w:rPr>
                <w:sz w:val="21"/>
              </w:rPr>
            </w:pPr>
            <w:r>
              <w:rPr>
                <w:w w:val="100"/>
                <w:sz w:val="21"/>
              </w:rPr>
              <w:t> </w:t>
            </w:r>
          </w:p>
        </w:tc>
        <w:tc>
          <w:tcPr>
            <w:tcW w:w="658" w:type="dxa"/>
          </w:tcPr>
          <w:p>
            <w:pPr>
              <w:pStyle w:val="TableParagraph"/>
              <w:spacing w:before="3"/>
              <w:ind w:right="-15"/>
              <w:jc w:val="right"/>
              <w:rPr>
                <w:sz w:val="21"/>
              </w:rPr>
            </w:pPr>
            <w:r>
              <w:rPr>
                <w:w w:val="100"/>
                <w:sz w:val="21"/>
              </w:rPr>
              <w:t> </w:t>
            </w:r>
          </w:p>
        </w:tc>
        <w:tc>
          <w:tcPr>
            <w:tcW w:w="677" w:type="dxa"/>
          </w:tcPr>
          <w:p>
            <w:pPr>
              <w:pStyle w:val="TableParagraph"/>
              <w:spacing w:before="3"/>
              <w:ind w:right="-15"/>
              <w:jc w:val="right"/>
              <w:rPr>
                <w:sz w:val="21"/>
              </w:rPr>
            </w:pPr>
            <w:r>
              <w:rPr>
                <w:w w:val="100"/>
                <w:sz w:val="21"/>
              </w:rPr>
              <w:t> </w:t>
            </w:r>
          </w:p>
        </w:tc>
        <w:tc>
          <w:tcPr>
            <w:tcW w:w="869" w:type="dxa"/>
          </w:tcPr>
          <w:p>
            <w:pPr>
              <w:pStyle w:val="TableParagraph"/>
              <w:spacing w:before="3"/>
              <w:ind w:right="-15"/>
              <w:jc w:val="right"/>
              <w:rPr>
                <w:sz w:val="21"/>
              </w:rPr>
            </w:pPr>
            <w:r>
              <w:rPr>
                <w:w w:val="100"/>
                <w:sz w:val="21"/>
              </w:rPr>
              <w:t> </w:t>
            </w:r>
          </w:p>
        </w:tc>
        <w:tc>
          <w:tcPr>
            <w:tcW w:w="866" w:type="dxa"/>
          </w:tcPr>
          <w:p>
            <w:pPr>
              <w:pStyle w:val="TableParagraph"/>
              <w:spacing w:before="3"/>
              <w:ind w:right="-15"/>
              <w:jc w:val="right"/>
              <w:rPr>
                <w:sz w:val="21"/>
              </w:rPr>
            </w:pPr>
            <w:r>
              <w:rPr>
                <w:w w:val="100"/>
                <w:sz w:val="21"/>
              </w:rPr>
              <w:t> </w:t>
            </w:r>
          </w:p>
        </w:tc>
        <w:tc>
          <w:tcPr>
            <w:tcW w:w="679" w:type="dxa"/>
          </w:tcPr>
          <w:p>
            <w:pPr>
              <w:pStyle w:val="TableParagraph"/>
              <w:spacing w:before="3"/>
              <w:ind w:right="-15"/>
              <w:jc w:val="right"/>
              <w:rPr>
                <w:sz w:val="21"/>
              </w:rPr>
            </w:pPr>
            <w:r>
              <w:rPr>
                <w:w w:val="100"/>
                <w:sz w:val="21"/>
              </w:rPr>
              <w:t> </w:t>
            </w:r>
          </w:p>
        </w:tc>
        <w:tc>
          <w:tcPr>
            <w:tcW w:w="692" w:type="dxa"/>
          </w:tcPr>
          <w:p>
            <w:pPr>
              <w:pStyle w:val="TableParagraph"/>
              <w:spacing w:before="3"/>
              <w:ind w:right="-15"/>
              <w:jc w:val="right"/>
              <w:rPr>
                <w:sz w:val="21"/>
              </w:rPr>
            </w:pPr>
            <w:r>
              <w:rPr>
                <w:w w:val="100"/>
                <w:sz w:val="21"/>
              </w:rPr>
              <w:t> </w:t>
            </w:r>
          </w:p>
        </w:tc>
        <w:tc>
          <w:tcPr>
            <w:tcW w:w="694" w:type="dxa"/>
          </w:tcPr>
          <w:p>
            <w:pPr>
              <w:pStyle w:val="TableParagraph"/>
              <w:spacing w:before="3"/>
              <w:ind w:right="-15"/>
              <w:jc w:val="right"/>
              <w:rPr>
                <w:sz w:val="21"/>
              </w:rPr>
            </w:pPr>
            <w:r>
              <w:rPr>
                <w:w w:val="100"/>
                <w:sz w:val="21"/>
              </w:rPr>
              <w:t> </w:t>
            </w:r>
          </w:p>
        </w:tc>
        <w:tc>
          <w:tcPr>
            <w:tcW w:w="864" w:type="dxa"/>
          </w:tcPr>
          <w:p>
            <w:pPr>
              <w:pStyle w:val="TableParagraph"/>
              <w:spacing w:before="3"/>
              <w:ind w:right="-15"/>
              <w:jc w:val="right"/>
              <w:rPr>
                <w:sz w:val="21"/>
              </w:rPr>
            </w:pPr>
            <w:r>
              <w:rPr>
                <w:w w:val="100"/>
                <w:sz w:val="21"/>
              </w:rPr>
              <w:t> </w:t>
            </w:r>
          </w:p>
        </w:tc>
      </w:tr>
      <w:tr>
        <w:trPr>
          <w:trHeight w:val="270" w:hRule="atLeast"/>
        </w:trPr>
        <w:tc>
          <w:tcPr>
            <w:tcW w:w="8824" w:type="dxa"/>
            <w:gridSpan w:val="11"/>
          </w:tcPr>
          <w:p>
            <w:pPr>
              <w:pStyle w:val="TableParagraph"/>
              <w:spacing w:line="250" w:lineRule="exact" w:before="1"/>
              <w:ind w:left="107"/>
              <w:rPr>
                <w:sz w:val="21"/>
              </w:rPr>
            </w:pPr>
            <w:r>
              <w:rPr>
                <w:sz w:val="21"/>
              </w:rPr>
              <w:t>其中： </w:t>
            </w:r>
          </w:p>
        </w:tc>
      </w:tr>
      <w:tr>
        <w:trPr>
          <w:trHeight w:val="273" w:hRule="atLeast"/>
        </w:trPr>
        <w:tc>
          <w:tcPr>
            <w:tcW w:w="1298" w:type="dxa"/>
          </w:tcPr>
          <w:p>
            <w:pPr>
              <w:pStyle w:val="TableParagraph"/>
              <w:spacing w:line="252" w:lineRule="exact" w:before="1"/>
              <w:ind w:left="107"/>
              <w:rPr>
                <w:sz w:val="21"/>
              </w:rPr>
            </w:pPr>
            <w:r>
              <w:rPr>
                <w:w w:val="100"/>
                <w:sz w:val="21"/>
              </w:rPr>
              <w:t> </w:t>
            </w:r>
            <w:r>
              <w:rPr>
                <w:sz w:val="21"/>
              </w:rPr>
              <w:t> </w:t>
            </w:r>
            <w:r>
              <w:rPr>
                <w:color w:val="808080"/>
                <w:w w:val="100"/>
                <w:sz w:val="21"/>
              </w:rPr>
              <w:t> </w:t>
            </w:r>
          </w:p>
        </w:tc>
        <w:tc>
          <w:tcPr>
            <w:tcW w:w="867" w:type="dxa"/>
          </w:tcPr>
          <w:p>
            <w:pPr>
              <w:pStyle w:val="TableParagraph"/>
              <w:spacing w:line="252" w:lineRule="exact" w:before="1"/>
              <w:ind w:right="-15"/>
              <w:jc w:val="right"/>
              <w:rPr>
                <w:sz w:val="21"/>
              </w:rPr>
            </w:pPr>
            <w:r>
              <w:rPr>
                <w:w w:val="100"/>
                <w:sz w:val="21"/>
              </w:rPr>
              <w:t> </w:t>
            </w:r>
          </w:p>
        </w:tc>
        <w:tc>
          <w:tcPr>
            <w:tcW w:w="660" w:type="dxa"/>
          </w:tcPr>
          <w:p>
            <w:pPr>
              <w:pStyle w:val="TableParagraph"/>
              <w:spacing w:line="252" w:lineRule="exact" w:before="1"/>
              <w:ind w:right="-15"/>
              <w:jc w:val="right"/>
              <w:rPr>
                <w:sz w:val="21"/>
              </w:rPr>
            </w:pPr>
            <w:r>
              <w:rPr>
                <w:w w:val="100"/>
                <w:sz w:val="21"/>
              </w:rPr>
              <w:t> </w:t>
            </w:r>
          </w:p>
        </w:tc>
        <w:tc>
          <w:tcPr>
            <w:tcW w:w="658" w:type="dxa"/>
          </w:tcPr>
          <w:p>
            <w:pPr>
              <w:pStyle w:val="TableParagraph"/>
              <w:spacing w:line="252" w:lineRule="exact" w:before="1"/>
              <w:ind w:right="-15"/>
              <w:jc w:val="right"/>
              <w:rPr>
                <w:sz w:val="21"/>
              </w:rPr>
            </w:pPr>
            <w:r>
              <w:rPr>
                <w:w w:val="100"/>
                <w:sz w:val="21"/>
              </w:rPr>
              <w:t> </w:t>
            </w:r>
          </w:p>
        </w:tc>
        <w:tc>
          <w:tcPr>
            <w:tcW w:w="677" w:type="dxa"/>
          </w:tcPr>
          <w:p>
            <w:pPr>
              <w:pStyle w:val="TableParagraph"/>
              <w:spacing w:line="252" w:lineRule="exact" w:before="1"/>
              <w:ind w:right="-15"/>
              <w:jc w:val="right"/>
              <w:rPr>
                <w:sz w:val="21"/>
              </w:rPr>
            </w:pPr>
            <w:r>
              <w:rPr>
                <w:w w:val="100"/>
                <w:sz w:val="21"/>
              </w:rPr>
              <w:t> </w:t>
            </w:r>
          </w:p>
        </w:tc>
        <w:tc>
          <w:tcPr>
            <w:tcW w:w="869" w:type="dxa"/>
          </w:tcPr>
          <w:p>
            <w:pPr>
              <w:pStyle w:val="TableParagraph"/>
              <w:spacing w:line="252" w:lineRule="exact" w:before="1"/>
              <w:ind w:right="-15"/>
              <w:jc w:val="right"/>
              <w:rPr>
                <w:sz w:val="21"/>
              </w:rPr>
            </w:pPr>
            <w:r>
              <w:rPr>
                <w:w w:val="100"/>
                <w:sz w:val="21"/>
              </w:rPr>
              <w:t> </w:t>
            </w:r>
          </w:p>
        </w:tc>
        <w:tc>
          <w:tcPr>
            <w:tcW w:w="866" w:type="dxa"/>
          </w:tcPr>
          <w:p>
            <w:pPr>
              <w:pStyle w:val="TableParagraph"/>
              <w:spacing w:line="252" w:lineRule="exact" w:before="1"/>
              <w:ind w:right="-15"/>
              <w:jc w:val="right"/>
              <w:rPr>
                <w:sz w:val="21"/>
              </w:rPr>
            </w:pPr>
            <w:r>
              <w:rPr>
                <w:w w:val="100"/>
                <w:sz w:val="21"/>
              </w:rPr>
              <w:t> </w:t>
            </w:r>
          </w:p>
        </w:tc>
        <w:tc>
          <w:tcPr>
            <w:tcW w:w="679" w:type="dxa"/>
          </w:tcPr>
          <w:p>
            <w:pPr>
              <w:pStyle w:val="TableParagraph"/>
              <w:spacing w:line="252" w:lineRule="exact" w:before="1"/>
              <w:ind w:right="-15"/>
              <w:jc w:val="right"/>
              <w:rPr>
                <w:sz w:val="21"/>
              </w:rPr>
            </w:pPr>
            <w:r>
              <w:rPr>
                <w:w w:val="100"/>
                <w:sz w:val="21"/>
              </w:rPr>
              <w:t> </w:t>
            </w:r>
          </w:p>
        </w:tc>
        <w:tc>
          <w:tcPr>
            <w:tcW w:w="692" w:type="dxa"/>
          </w:tcPr>
          <w:p>
            <w:pPr>
              <w:pStyle w:val="TableParagraph"/>
              <w:spacing w:line="252" w:lineRule="exact" w:before="1"/>
              <w:ind w:right="-15"/>
              <w:jc w:val="right"/>
              <w:rPr>
                <w:sz w:val="21"/>
              </w:rPr>
            </w:pPr>
            <w:r>
              <w:rPr>
                <w:w w:val="100"/>
                <w:sz w:val="21"/>
              </w:rPr>
              <w:t> </w:t>
            </w:r>
          </w:p>
        </w:tc>
        <w:tc>
          <w:tcPr>
            <w:tcW w:w="694" w:type="dxa"/>
          </w:tcPr>
          <w:p>
            <w:pPr>
              <w:pStyle w:val="TableParagraph"/>
              <w:spacing w:line="252" w:lineRule="exact" w:before="1"/>
              <w:ind w:right="-15"/>
              <w:jc w:val="right"/>
              <w:rPr>
                <w:sz w:val="21"/>
              </w:rPr>
            </w:pPr>
            <w:r>
              <w:rPr>
                <w:w w:val="100"/>
                <w:sz w:val="21"/>
              </w:rPr>
              <w:t> </w:t>
            </w:r>
          </w:p>
        </w:tc>
        <w:tc>
          <w:tcPr>
            <w:tcW w:w="864" w:type="dxa"/>
          </w:tcPr>
          <w:p>
            <w:pPr>
              <w:pStyle w:val="TableParagraph"/>
              <w:spacing w:line="252" w:lineRule="exact" w:before="1"/>
              <w:ind w:right="-15"/>
              <w:jc w:val="right"/>
              <w:rPr>
                <w:sz w:val="21"/>
              </w:rPr>
            </w:pPr>
            <w:r>
              <w:rPr>
                <w:w w:val="100"/>
                <w:sz w:val="21"/>
              </w:rPr>
              <w:t> </w:t>
            </w:r>
          </w:p>
        </w:tc>
      </w:tr>
      <w:tr>
        <w:trPr>
          <w:trHeight w:val="270" w:hRule="atLeast"/>
        </w:trPr>
        <w:tc>
          <w:tcPr>
            <w:tcW w:w="1298" w:type="dxa"/>
          </w:tcPr>
          <w:p>
            <w:pPr>
              <w:pStyle w:val="TableParagraph"/>
              <w:spacing w:line="250" w:lineRule="exact" w:before="1"/>
              <w:ind w:left="107"/>
              <w:rPr>
                <w:sz w:val="21"/>
              </w:rPr>
            </w:pPr>
            <w:r>
              <w:rPr>
                <w:w w:val="100"/>
                <w:sz w:val="21"/>
              </w:rPr>
              <w:t> </w:t>
            </w:r>
            <w:r>
              <w:rPr>
                <w:sz w:val="21"/>
              </w:rPr>
              <w:t> </w:t>
            </w:r>
            <w:r>
              <w:rPr>
                <w:color w:val="808080"/>
                <w:w w:val="100"/>
                <w:sz w:val="21"/>
              </w:rPr>
              <w:t> </w:t>
            </w:r>
          </w:p>
        </w:tc>
        <w:tc>
          <w:tcPr>
            <w:tcW w:w="867" w:type="dxa"/>
          </w:tcPr>
          <w:p>
            <w:pPr>
              <w:pStyle w:val="TableParagraph"/>
              <w:spacing w:line="250" w:lineRule="exact" w:before="1"/>
              <w:ind w:right="-15"/>
              <w:jc w:val="right"/>
              <w:rPr>
                <w:sz w:val="21"/>
              </w:rPr>
            </w:pPr>
            <w:r>
              <w:rPr>
                <w:w w:val="100"/>
                <w:sz w:val="21"/>
              </w:rPr>
              <w:t> </w:t>
            </w:r>
          </w:p>
        </w:tc>
        <w:tc>
          <w:tcPr>
            <w:tcW w:w="660" w:type="dxa"/>
          </w:tcPr>
          <w:p>
            <w:pPr>
              <w:pStyle w:val="TableParagraph"/>
              <w:spacing w:line="250" w:lineRule="exact" w:before="1"/>
              <w:ind w:right="-15"/>
              <w:jc w:val="right"/>
              <w:rPr>
                <w:sz w:val="21"/>
              </w:rPr>
            </w:pPr>
            <w:r>
              <w:rPr>
                <w:w w:val="100"/>
                <w:sz w:val="21"/>
              </w:rPr>
              <w:t> </w:t>
            </w:r>
          </w:p>
        </w:tc>
        <w:tc>
          <w:tcPr>
            <w:tcW w:w="658" w:type="dxa"/>
          </w:tcPr>
          <w:p>
            <w:pPr>
              <w:pStyle w:val="TableParagraph"/>
              <w:spacing w:line="250" w:lineRule="exact" w:before="1"/>
              <w:ind w:right="-15"/>
              <w:jc w:val="right"/>
              <w:rPr>
                <w:sz w:val="21"/>
              </w:rPr>
            </w:pPr>
            <w:r>
              <w:rPr>
                <w:w w:val="100"/>
                <w:sz w:val="21"/>
              </w:rPr>
              <w:t> </w:t>
            </w:r>
          </w:p>
        </w:tc>
        <w:tc>
          <w:tcPr>
            <w:tcW w:w="677" w:type="dxa"/>
          </w:tcPr>
          <w:p>
            <w:pPr>
              <w:pStyle w:val="TableParagraph"/>
              <w:spacing w:line="250" w:lineRule="exact" w:before="1"/>
              <w:ind w:right="-15"/>
              <w:jc w:val="right"/>
              <w:rPr>
                <w:sz w:val="21"/>
              </w:rPr>
            </w:pPr>
            <w:r>
              <w:rPr>
                <w:w w:val="100"/>
                <w:sz w:val="21"/>
              </w:rPr>
              <w:t> </w:t>
            </w:r>
          </w:p>
        </w:tc>
        <w:tc>
          <w:tcPr>
            <w:tcW w:w="869" w:type="dxa"/>
          </w:tcPr>
          <w:p>
            <w:pPr>
              <w:pStyle w:val="TableParagraph"/>
              <w:spacing w:line="250" w:lineRule="exact" w:before="1"/>
              <w:ind w:right="-15"/>
              <w:jc w:val="right"/>
              <w:rPr>
                <w:sz w:val="21"/>
              </w:rPr>
            </w:pPr>
            <w:r>
              <w:rPr>
                <w:w w:val="100"/>
                <w:sz w:val="21"/>
              </w:rPr>
              <w:t> </w:t>
            </w:r>
          </w:p>
        </w:tc>
        <w:tc>
          <w:tcPr>
            <w:tcW w:w="866" w:type="dxa"/>
          </w:tcPr>
          <w:p>
            <w:pPr>
              <w:pStyle w:val="TableParagraph"/>
              <w:spacing w:line="250" w:lineRule="exact" w:before="1"/>
              <w:ind w:right="-15"/>
              <w:jc w:val="right"/>
              <w:rPr>
                <w:sz w:val="21"/>
              </w:rPr>
            </w:pPr>
            <w:r>
              <w:rPr>
                <w:w w:val="100"/>
                <w:sz w:val="21"/>
              </w:rPr>
              <w:t> </w:t>
            </w:r>
          </w:p>
        </w:tc>
        <w:tc>
          <w:tcPr>
            <w:tcW w:w="679" w:type="dxa"/>
          </w:tcPr>
          <w:p>
            <w:pPr>
              <w:pStyle w:val="TableParagraph"/>
              <w:spacing w:line="250" w:lineRule="exact" w:before="1"/>
              <w:ind w:right="-15"/>
              <w:jc w:val="right"/>
              <w:rPr>
                <w:sz w:val="21"/>
              </w:rPr>
            </w:pPr>
            <w:r>
              <w:rPr>
                <w:w w:val="100"/>
                <w:sz w:val="21"/>
              </w:rPr>
              <w:t> </w:t>
            </w:r>
          </w:p>
        </w:tc>
        <w:tc>
          <w:tcPr>
            <w:tcW w:w="692" w:type="dxa"/>
          </w:tcPr>
          <w:p>
            <w:pPr>
              <w:pStyle w:val="TableParagraph"/>
              <w:spacing w:line="250" w:lineRule="exact" w:before="1"/>
              <w:ind w:right="-15"/>
              <w:jc w:val="right"/>
              <w:rPr>
                <w:sz w:val="21"/>
              </w:rPr>
            </w:pPr>
            <w:r>
              <w:rPr>
                <w:w w:val="100"/>
                <w:sz w:val="21"/>
              </w:rPr>
              <w:t> </w:t>
            </w:r>
          </w:p>
        </w:tc>
        <w:tc>
          <w:tcPr>
            <w:tcW w:w="694" w:type="dxa"/>
          </w:tcPr>
          <w:p>
            <w:pPr>
              <w:pStyle w:val="TableParagraph"/>
              <w:spacing w:line="250" w:lineRule="exact" w:before="1"/>
              <w:ind w:right="-15"/>
              <w:jc w:val="right"/>
              <w:rPr>
                <w:sz w:val="21"/>
              </w:rPr>
            </w:pPr>
            <w:r>
              <w:rPr>
                <w:w w:val="100"/>
                <w:sz w:val="21"/>
              </w:rPr>
              <w:t> </w:t>
            </w:r>
          </w:p>
        </w:tc>
        <w:tc>
          <w:tcPr>
            <w:tcW w:w="864" w:type="dxa"/>
          </w:tcPr>
          <w:p>
            <w:pPr>
              <w:pStyle w:val="TableParagraph"/>
              <w:spacing w:line="250" w:lineRule="exact" w:before="1"/>
              <w:ind w:right="-15"/>
              <w:jc w:val="right"/>
              <w:rPr>
                <w:sz w:val="21"/>
              </w:rPr>
            </w:pPr>
            <w:r>
              <w:rPr>
                <w:w w:val="100"/>
                <w:sz w:val="21"/>
              </w:rPr>
              <w:t> </w:t>
            </w:r>
          </w:p>
        </w:tc>
      </w:tr>
      <w:tr>
        <w:trPr>
          <w:trHeight w:val="546" w:hRule="atLeast"/>
        </w:trPr>
        <w:tc>
          <w:tcPr>
            <w:tcW w:w="1298" w:type="dxa"/>
          </w:tcPr>
          <w:p>
            <w:pPr>
              <w:pStyle w:val="TableParagraph"/>
              <w:spacing w:line="270" w:lineRule="atLeast"/>
              <w:ind w:left="107" w:right="124"/>
              <w:rPr>
                <w:sz w:val="21"/>
              </w:rPr>
            </w:pPr>
            <w:r>
              <w:rPr>
                <w:sz w:val="21"/>
              </w:rPr>
              <w:t>按组合计提坏账准备 </w:t>
            </w:r>
          </w:p>
        </w:tc>
        <w:tc>
          <w:tcPr>
            <w:tcW w:w="867" w:type="dxa"/>
          </w:tcPr>
          <w:p>
            <w:pPr>
              <w:pStyle w:val="TableParagraph"/>
              <w:spacing w:before="3"/>
              <w:ind w:right="-15"/>
              <w:jc w:val="right"/>
              <w:rPr>
                <w:sz w:val="21"/>
              </w:rPr>
            </w:pPr>
            <w:r>
              <w:rPr>
                <w:sz w:val="21"/>
              </w:rPr>
              <w:t>69,810 </w:t>
            </w:r>
          </w:p>
        </w:tc>
        <w:tc>
          <w:tcPr>
            <w:tcW w:w="660" w:type="dxa"/>
          </w:tcPr>
          <w:p>
            <w:pPr>
              <w:pStyle w:val="TableParagraph"/>
              <w:spacing w:before="3"/>
              <w:ind w:right="-15"/>
              <w:jc w:val="right"/>
              <w:rPr>
                <w:sz w:val="21"/>
              </w:rPr>
            </w:pPr>
            <w:r>
              <w:rPr>
                <w:sz w:val="21"/>
              </w:rPr>
              <w:t>100% </w:t>
            </w:r>
          </w:p>
        </w:tc>
        <w:tc>
          <w:tcPr>
            <w:tcW w:w="658" w:type="dxa"/>
          </w:tcPr>
          <w:p>
            <w:pPr>
              <w:pStyle w:val="TableParagraph"/>
              <w:spacing w:before="3"/>
              <w:ind w:right="-15"/>
              <w:jc w:val="right"/>
              <w:rPr>
                <w:sz w:val="21"/>
              </w:rPr>
            </w:pPr>
            <w:r>
              <w:rPr>
                <w:sz w:val="21"/>
              </w:rPr>
              <w:t>-698 </w:t>
            </w:r>
          </w:p>
        </w:tc>
        <w:tc>
          <w:tcPr>
            <w:tcW w:w="677" w:type="dxa"/>
          </w:tcPr>
          <w:p>
            <w:pPr>
              <w:pStyle w:val="TableParagraph"/>
              <w:spacing w:before="3"/>
              <w:ind w:right="-15"/>
              <w:jc w:val="right"/>
              <w:rPr>
                <w:sz w:val="21"/>
              </w:rPr>
            </w:pPr>
            <w:r>
              <w:rPr>
                <w:sz w:val="21"/>
              </w:rPr>
              <w:t>1% </w:t>
            </w:r>
          </w:p>
        </w:tc>
        <w:tc>
          <w:tcPr>
            <w:tcW w:w="869" w:type="dxa"/>
          </w:tcPr>
          <w:p>
            <w:pPr>
              <w:pStyle w:val="TableParagraph"/>
              <w:spacing w:before="3"/>
              <w:ind w:right="-15"/>
              <w:jc w:val="right"/>
              <w:rPr>
                <w:sz w:val="21"/>
              </w:rPr>
            </w:pPr>
            <w:r>
              <w:rPr>
                <w:sz w:val="21"/>
              </w:rPr>
              <w:t>69,112 </w:t>
            </w:r>
          </w:p>
        </w:tc>
        <w:tc>
          <w:tcPr>
            <w:tcW w:w="866" w:type="dxa"/>
          </w:tcPr>
          <w:p>
            <w:pPr>
              <w:pStyle w:val="TableParagraph"/>
              <w:spacing w:before="3"/>
              <w:ind w:right="-15"/>
              <w:jc w:val="right"/>
              <w:rPr>
                <w:sz w:val="21"/>
              </w:rPr>
            </w:pPr>
            <w:r>
              <w:rPr>
                <w:sz w:val="21"/>
              </w:rPr>
              <w:t>67,063 </w:t>
            </w:r>
          </w:p>
        </w:tc>
        <w:tc>
          <w:tcPr>
            <w:tcW w:w="679" w:type="dxa"/>
          </w:tcPr>
          <w:p>
            <w:pPr>
              <w:pStyle w:val="TableParagraph"/>
              <w:spacing w:before="3"/>
              <w:ind w:right="-15"/>
              <w:jc w:val="right"/>
              <w:rPr>
                <w:sz w:val="21"/>
              </w:rPr>
            </w:pPr>
            <w:r>
              <w:rPr>
                <w:sz w:val="21"/>
              </w:rPr>
              <w:t>100% </w:t>
            </w:r>
          </w:p>
        </w:tc>
        <w:tc>
          <w:tcPr>
            <w:tcW w:w="692" w:type="dxa"/>
          </w:tcPr>
          <w:p>
            <w:pPr>
              <w:pStyle w:val="TableParagraph"/>
              <w:spacing w:before="3"/>
              <w:ind w:right="-15"/>
              <w:jc w:val="right"/>
              <w:rPr>
                <w:sz w:val="21"/>
              </w:rPr>
            </w:pPr>
            <w:r>
              <w:rPr>
                <w:sz w:val="21"/>
              </w:rPr>
              <w:t>-671 </w:t>
            </w:r>
          </w:p>
        </w:tc>
        <w:tc>
          <w:tcPr>
            <w:tcW w:w="694" w:type="dxa"/>
          </w:tcPr>
          <w:p>
            <w:pPr>
              <w:pStyle w:val="TableParagraph"/>
              <w:spacing w:before="3"/>
              <w:ind w:right="-15"/>
              <w:jc w:val="right"/>
              <w:rPr>
                <w:sz w:val="21"/>
              </w:rPr>
            </w:pPr>
            <w:r>
              <w:rPr>
                <w:sz w:val="21"/>
              </w:rPr>
              <w:t>1% </w:t>
            </w:r>
          </w:p>
        </w:tc>
        <w:tc>
          <w:tcPr>
            <w:tcW w:w="864" w:type="dxa"/>
          </w:tcPr>
          <w:p>
            <w:pPr>
              <w:pStyle w:val="TableParagraph"/>
              <w:spacing w:before="3"/>
              <w:ind w:right="-15"/>
              <w:jc w:val="right"/>
              <w:rPr>
                <w:sz w:val="21"/>
              </w:rPr>
            </w:pPr>
            <w:r>
              <w:rPr>
                <w:sz w:val="21"/>
              </w:rPr>
              <w:t>66,392 </w:t>
            </w:r>
          </w:p>
        </w:tc>
      </w:tr>
      <w:tr>
        <w:trPr>
          <w:trHeight w:val="270" w:hRule="atLeast"/>
        </w:trPr>
        <w:tc>
          <w:tcPr>
            <w:tcW w:w="8824" w:type="dxa"/>
            <w:gridSpan w:val="11"/>
          </w:tcPr>
          <w:p>
            <w:pPr>
              <w:pStyle w:val="TableParagraph"/>
              <w:spacing w:line="250" w:lineRule="exact" w:before="1"/>
              <w:ind w:left="107"/>
              <w:rPr>
                <w:sz w:val="21"/>
              </w:rPr>
            </w:pPr>
            <w:r>
              <w:rPr>
                <w:sz w:val="21"/>
              </w:rPr>
              <w:t>其中： </w:t>
            </w:r>
          </w:p>
        </w:tc>
      </w:tr>
      <w:tr>
        <w:trPr>
          <w:trHeight w:val="273" w:hRule="atLeast"/>
        </w:trPr>
        <w:tc>
          <w:tcPr>
            <w:tcW w:w="1298" w:type="dxa"/>
          </w:tcPr>
          <w:p>
            <w:pPr>
              <w:pStyle w:val="TableParagraph"/>
              <w:spacing w:line="252" w:lineRule="exact" w:before="1"/>
              <w:ind w:left="107"/>
              <w:rPr>
                <w:sz w:val="21"/>
              </w:rPr>
            </w:pPr>
            <w:r>
              <w:rPr>
                <w:w w:val="100"/>
                <w:sz w:val="21"/>
              </w:rPr>
              <w:t> </w:t>
            </w:r>
            <w:r>
              <w:rPr>
                <w:sz w:val="21"/>
              </w:rPr>
              <w:t> </w:t>
            </w:r>
            <w:r>
              <w:rPr>
                <w:color w:val="808080"/>
                <w:w w:val="100"/>
                <w:sz w:val="21"/>
              </w:rPr>
              <w:t> </w:t>
            </w:r>
          </w:p>
        </w:tc>
        <w:tc>
          <w:tcPr>
            <w:tcW w:w="867" w:type="dxa"/>
          </w:tcPr>
          <w:p>
            <w:pPr>
              <w:pStyle w:val="TableParagraph"/>
              <w:spacing w:line="252" w:lineRule="exact" w:before="1"/>
              <w:ind w:right="-15"/>
              <w:jc w:val="right"/>
              <w:rPr>
                <w:sz w:val="21"/>
              </w:rPr>
            </w:pPr>
            <w:r>
              <w:rPr>
                <w:w w:val="100"/>
                <w:sz w:val="21"/>
              </w:rPr>
              <w:t> </w:t>
            </w:r>
          </w:p>
        </w:tc>
        <w:tc>
          <w:tcPr>
            <w:tcW w:w="660" w:type="dxa"/>
          </w:tcPr>
          <w:p>
            <w:pPr>
              <w:pStyle w:val="TableParagraph"/>
              <w:spacing w:line="252" w:lineRule="exact" w:before="1"/>
              <w:ind w:right="-15"/>
              <w:jc w:val="right"/>
              <w:rPr>
                <w:sz w:val="21"/>
              </w:rPr>
            </w:pPr>
            <w:r>
              <w:rPr>
                <w:w w:val="100"/>
                <w:sz w:val="21"/>
              </w:rPr>
              <w:t> </w:t>
            </w:r>
          </w:p>
        </w:tc>
        <w:tc>
          <w:tcPr>
            <w:tcW w:w="658" w:type="dxa"/>
          </w:tcPr>
          <w:p>
            <w:pPr>
              <w:pStyle w:val="TableParagraph"/>
              <w:spacing w:line="252" w:lineRule="exact" w:before="1"/>
              <w:ind w:right="-15"/>
              <w:jc w:val="right"/>
              <w:rPr>
                <w:sz w:val="21"/>
              </w:rPr>
            </w:pPr>
            <w:r>
              <w:rPr>
                <w:w w:val="100"/>
                <w:sz w:val="21"/>
              </w:rPr>
              <w:t> </w:t>
            </w:r>
          </w:p>
        </w:tc>
        <w:tc>
          <w:tcPr>
            <w:tcW w:w="677" w:type="dxa"/>
          </w:tcPr>
          <w:p>
            <w:pPr>
              <w:pStyle w:val="TableParagraph"/>
              <w:spacing w:line="252" w:lineRule="exact" w:before="1"/>
              <w:ind w:right="-15"/>
              <w:jc w:val="right"/>
              <w:rPr>
                <w:sz w:val="21"/>
              </w:rPr>
            </w:pPr>
            <w:r>
              <w:rPr>
                <w:w w:val="100"/>
                <w:sz w:val="21"/>
              </w:rPr>
              <w:t> </w:t>
            </w:r>
          </w:p>
        </w:tc>
        <w:tc>
          <w:tcPr>
            <w:tcW w:w="869" w:type="dxa"/>
          </w:tcPr>
          <w:p>
            <w:pPr>
              <w:pStyle w:val="TableParagraph"/>
              <w:spacing w:line="252" w:lineRule="exact" w:before="1"/>
              <w:ind w:right="-15"/>
              <w:jc w:val="right"/>
              <w:rPr>
                <w:sz w:val="21"/>
              </w:rPr>
            </w:pPr>
            <w:r>
              <w:rPr>
                <w:w w:val="100"/>
                <w:sz w:val="21"/>
              </w:rPr>
              <w:t> </w:t>
            </w:r>
          </w:p>
        </w:tc>
        <w:tc>
          <w:tcPr>
            <w:tcW w:w="866" w:type="dxa"/>
          </w:tcPr>
          <w:p>
            <w:pPr>
              <w:pStyle w:val="TableParagraph"/>
              <w:spacing w:line="252" w:lineRule="exact" w:before="1"/>
              <w:ind w:right="-15"/>
              <w:jc w:val="right"/>
              <w:rPr>
                <w:sz w:val="21"/>
              </w:rPr>
            </w:pPr>
            <w:r>
              <w:rPr>
                <w:w w:val="100"/>
                <w:sz w:val="21"/>
              </w:rPr>
              <w:t> </w:t>
            </w:r>
          </w:p>
        </w:tc>
        <w:tc>
          <w:tcPr>
            <w:tcW w:w="679" w:type="dxa"/>
          </w:tcPr>
          <w:p>
            <w:pPr>
              <w:pStyle w:val="TableParagraph"/>
              <w:spacing w:line="252" w:lineRule="exact" w:before="1"/>
              <w:ind w:right="-15"/>
              <w:jc w:val="right"/>
              <w:rPr>
                <w:sz w:val="21"/>
              </w:rPr>
            </w:pPr>
            <w:r>
              <w:rPr>
                <w:w w:val="100"/>
                <w:sz w:val="21"/>
              </w:rPr>
              <w:t> </w:t>
            </w:r>
          </w:p>
        </w:tc>
        <w:tc>
          <w:tcPr>
            <w:tcW w:w="692" w:type="dxa"/>
          </w:tcPr>
          <w:p>
            <w:pPr>
              <w:pStyle w:val="TableParagraph"/>
              <w:spacing w:line="252" w:lineRule="exact" w:before="1"/>
              <w:ind w:right="-15"/>
              <w:jc w:val="right"/>
              <w:rPr>
                <w:sz w:val="21"/>
              </w:rPr>
            </w:pPr>
            <w:r>
              <w:rPr>
                <w:w w:val="100"/>
                <w:sz w:val="21"/>
              </w:rPr>
              <w:t> </w:t>
            </w:r>
          </w:p>
        </w:tc>
        <w:tc>
          <w:tcPr>
            <w:tcW w:w="694" w:type="dxa"/>
          </w:tcPr>
          <w:p>
            <w:pPr>
              <w:pStyle w:val="TableParagraph"/>
              <w:spacing w:line="252" w:lineRule="exact" w:before="1"/>
              <w:ind w:right="-15"/>
              <w:jc w:val="right"/>
              <w:rPr>
                <w:sz w:val="21"/>
              </w:rPr>
            </w:pPr>
            <w:r>
              <w:rPr>
                <w:w w:val="100"/>
                <w:sz w:val="21"/>
              </w:rPr>
              <w:t> </w:t>
            </w:r>
          </w:p>
        </w:tc>
        <w:tc>
          <w:tcPr>
            <w:tcW w:w="864" w:type="dxa"/>
          </w:tcPr>
          <w:p>
            <w:pPr>
              <w:pStyle w:val="TableParagraph"/>
              <w:spacing w:line="252" w:lineRule="exact" w:before="1"/>
              <w:ind w:right="-15"/>
              <w:jc w:val="right"/>
              <w:rPr>
                <w:sz w:val="21"/>
              </w:rPr>
            </w:pPr>
            <w:r>
              <w:rPr>
                <w:w w:val="100"/>
                <w:sz w:val="21"/>
              </w:rPr>
              <w:t> </w:t>
            </w:r>
          </w:p>
        </w:tc>
      </w:tr>
      <w:tr>
        <w:trPr>
          <w:trHeight w:val="273" w:hRule="atLeast"/>
        </w:trPr>
        <w:tc>
          <w:tcPr>
            <w:tcW w:w="1298" w:type="dxa"/>
          </w:tcPr>
          <w:p>
            <w:pPr>
              <w:pStyle w:val="TableParagraph"/>
              <w:spacing w:line="252" w:lineRule="exact" w:before="1"/>
              <w:ind w:left="107"/>
              <w:rPr>
                <w:sz w:val="21"/>
              </w:rPr>
            </w:pPr>
            <w:r>
              <w:rPr>
                <w:w w:val="100"/>
                <w:sz w:val="21"/>
              </w:rPr>
              <w:t> </w:t>
            </w:r>
            <w:r>
              <w:rPr>
                <w:sz w:val="21"/>
              </w:rPr>
              <w:t> </w:t>
            </w:r>
            <w:r>
              <w:rPr>
                <w:color w:val="808080"/>
                <w:w w:val="100"/>
                <w:sz w:val="21"/>
              </w:rPr>
              <w:t> </w:t>
            </w:r>
          </w:p>
        </w:tc>
        <w:tc>
          <w:tcPr>
            <w:tcW w:w="867" w:type="dxa"/>
          </w:tcPr>
          <w:p>
            <w:pPr>
              <w:pStyle w:val="TableParagraph"/>
              <w:spacing w:line="252" w:lineRule="exact" w:before="1"/>
              <w:ind w:right="-15"/>
              <w:jc w:val="right"/>
              <w:rPr>
                <w:sz w:val="21"/>
              </w:rPr>
            </w:pPr>
            <w:r>
              <w:rPr>
                <w:w w:val="100"/>
                <w:sz w:val="21"/>
              </w:rPr>
              <w:t> </w:t>
            </w:r>
          </w:p>
        </w:tc>
        <w:tc>
          <w:tcPr>
            <w:tcW w:w="660" w:type="dxa"/>
          </w:tcPr>
          <w:p>
            <w:pPr>
              <w:pStyle w:val="TableParagraph"/>
              <w:spacing w:line="252" w:lineRule="exact" w:before="1"/>
              <w:ind w:right="-15"/>
              <w:jc w:val="right"/>
              <w:rPr>
                <w:sz w:val="21"/>
              </w:rPr>
            </w:pPr>
            <w:r>
              <w:rPr>
                <w:w w:val="100"/>
                <w:sz w:val="21"/>
              </w:rPr>
              <w:t> </w:t>
            </w:r>
          </w:p>
        </w:tc>
        <w:tc>
          <w:tcPr>
            <w:tcW w:w="658" w:type="dxa"/>
          </w:tcPr>
          <w:p>
            <w:pPr>
              <w:pStyle w:val="TableParagraph"/>
              <w:spacing w:line="252" w:lineRule="exact" w:before="1"/>
              <w:ind w:right="-15"/>
              <w:jc w:val="right"/>
              <w:rPr>
                <w:sz w:val="21"/>
              </w:rPr>
            </w:pPr>
            <w:r>
              <w:rPr>
                <w:w w:val="100"/>
                <w:sz w:val="21"/>
              </w:rPr>
              <w:t> </w:t>
            </w:r>
          </w:p>
        </w:tc>
        <w:tc>
          <w:tcPr>
            <w:tcW w:w="677" w:type="dxa"/>
          </w:tcPr>
          <w:p>
            <w:pPr>
              <w:pStyle w:val="TableParagraph"/>
              <w:spacing w:line="252" w:lineRule="exact" w:before="1"/>
              <w:ind w:right="-15"/>
              <w:jc w:val="right"/>
              <w:rPr>
                <w:sz w:val="21"/>
              </w:rPr>
            </w:pPr>
            <w:r>
              <w:rPr>
                <w:w w:val="100"/>
                <w:sz w:val="21"/>
              </w:rPr>
              <w:t> </w:t>
            </w:r>
          </w:p>
        </w:tc>
        <w:tc>
          <w:tcPr>
            <w:tcW w:w="869" w:type="dxa"/>
          </w:tcPr>
          <w:p>
            <w:pPr>
              <w:pStyle w:val="TableParagraph"/>
              <w:spacing w:line="252" w:lineRule="exact" w:before="1"/>
              <w:ind w:right="-15"/>
              <w:jc w:val="right"/>
              <w:rPr>
                <w:sz w:val="21"/>
              </w:rPr>
            </w:pPr>
            <w:r>
              <w:rPr>
                <w:w w:val="100"/>
                <w:sz w:val="21"/>
              </w:rPr>
              <w:t> </w:t>
            </w:r>
          </w:p>
        </w:tc>
        <w:tc>
          <w:tcPr>
            <w:tcW w:w="866" w:type="dxa"/>
          </w:tcPr>
          <w:p>
            <w:pPr>
              <w:pStyle w:val="TableParagraph"/>
              <w:spacing w:line="252" w:lineRule="exact" w:before="1"/>
              <w:ind w:right="-15"/>
              <w:jc w:val="right"/>
              <w:rPr>
                <w:sz w:val="21"/>
              </w:rPr>
            </w:pPr>
            <w:r>
              <w:rPr>
                <w:w w:val="100"/>
                <w:sz w:val="21"/>
              </w:rPr>
              <w:t> </w:t>
            </w:r>
          </w:p>
        </w:tc>
        <w:tc>
          <w:tcPr>
            <w:tcW w:w="679" w:type="dxa"/>
          </w:tcPr>
          <w:p>
            <w:pPr>
              <w:pStyle w:val="TableParagraph"/>
              <w:spacing w:line="252" w:lineRule="exact" w:before="1"/>
              <w:ind w:right="-15"/>
              <w:jc w:val="right"/>
              <w:rPr>
                <w:sz w:val="21"/>
              </w:rPr>
            </w:pPr>
            <w:r>
              <w:rPr>
                <w:w w:val="100"/>
                <w:sz w:val="21"/>
              </w:rPr>
              <w:t> </w:t>
            </w:r>
          </w:p>
        </w:tc>
        <w:tc>
          <w:tcPr>
            <w:tcW w:w="692" w:type="dxa"/>
          </w:tcPr>
          <w:p>
            <w:pPr>
              <w:pStyle w:val="TableParagraph"/>
              <w:spacing w:line="252" w:lineRule="exact" w:before="1"/>
              <w:ind w:right="-15"/>
              <w:jc w:val="right"/>
              <w:rPr>
                <w:sz w:val="21"/>
              </w:rPr>
            </w:pPr>
            <w:r>
              <w:rPr>
                <w:w w:val="100"/>
                <w:sz w:val="21"/>
              </w:rPr>
              <w:t> </w:t>
            </w:r>
          </w:p>
        </w:tc>
        <w:tc>
          <w:tcPr>
            <w:tcW w:w="694" w:type="dxa"/>
          </w:tcPr>
          <w:p>
            <w:pPr>
              <w:pStyle w:val="TableParagraph"/>
              <w:spacing w:line="252" w:lineRule="exact" w:before="1"/>
              <w:ind w:right="-15"/>
              <w:jc w:val="right"/>
              <w:rPr>
                <w:sz w:val="21"/>
              </w:rPr>
            </w:pPr>
            <w:r>
              <w:rPr>
                <w:w w:val="100"/>
                <w:sz w:val="21"/>
              </w:rPr>
              <w:t> </w:t>
            </w:r>
          </w:p>
        </w:tc>
        <w:tc>
          <w:tcPr>
            <w:tcW w:w="864" w:type="dxa"/>
          </w:tcPr>
          <w:p>
            <w:pPr>
              <w:pStyle w:val="TableParagraph"/>
              <w:spacing w:line="252" w:lineRule="exact" w:before="1"/>
              <w:ind w:right="-15"/>
              <w:jc w:val="right"/>
              <w:rPr>
                <w:sz w:val="21"/>
              </w:rPr>
            </w:pPr>
            <w:r>
              <w:rPr>
                <w:w w:val="100"/>
                <w:sz w:val="21"/>
              </w:rPr>
              <w:t> </w:t>
            </w:r>
          </w:p>
        </w:tc>
      </w:tr>
      <w:tr>
        <w:trPr>
          <w:trHeight w:val="270" w:hRule="atLeast"/>
        </w:trPr>
        <w:tc>
          <w:tcPr>
            <w:tcW w:w="1298" w:type="dxa"/>
          </w:tcPr>
          <w:p>
            <w:pPr>
              <w:pStyle w:val="TableParagraph"/>
              <w:spacing w:line="250" w:lineRule="exact" w:before="1"/>
              <w:ind w:left="438"/>
              <w:rPr>
                <w:sz w:val="21"/>
              </w:rPr>
            </w:pPr>
            <w:r>
              <w:rPr>
                <w:sz w:val="21"/>
              </w:rPr>
              <w:t>合计 </w:t>
            </w:r>
          </w:p>
        </w:tc>
        <w:tc>
          <w:tcPr>
            <w:tcW w:w="867" w:type="dxa"/>
          </w:tcPr>
          <w:p>
            <w:pPr>
              <w:pStyle w:val="TableParagraph"/>
              <w:spacing w:line="250" w:lineRule="exact" w:before="1"/>
              <w:ind w:right="-15"/>
              <w:jc w:val="right"/>
              <w:rPr>
                <w:sz w:val="21"/>
              </w:rPr>
            </w:pPr>
            <w:r>
              <w:rPr>
                <w:sz w:val="21"/>
              </w:rPr>
              <w:t>69,810 </w:t>
            </w:r>
          </w:p>
        </w:tc>
        <w:tc>
          <w:tcPr>
            <w:tcW w:w="660" w:type="dxa"/>
          </w:tcPr>
          <w:p>
            <w:pPr>
              <w:pStyle w:val="TableParagraph"/>
              <w:spacing w:line="250" w:lineRule="exact" w:before="1"/>
              <w:ind w:left="276"/>
              <w:rPr>
                <w:sz w:val="21"/>
              </w:rPr>
            </w:pPr>
            <w:r>
              <w:rPr>
                <w:sz w:val="21"/>
              </w:rPr>
              <w:t>/ </w:t>
            </w:r>
          </w:p>
        </w:tc>
        <w:tc>
          <w:tcPr>
            <w:tcW w:w="658" w:type="dxa"/>
          </w:tcPr>
          <w:p>
            <w:pPr>
              <w:pStyle w:val="TableParagraph"/>
              <w:spacing w:line="250" w:lineRule="exact" w:before="1"/>
              <w:ind w:right="-15"/>
              <w:jc w:val="right"/>
              <w:rPr>
                <w:sz w:val="21"/>
              </w:rPr>
            </w:pPr>
            <w:r>
              <w:rPr>
                <w:sz w:val="21"/>
              </w:rPr>
              <w:t>-698 </w:t>
            </w:r>
          </w:p>
        </w:tc>
        <w:tc>
          <w:tcPr>
            <w:tcW w:w="677" w:type="dxa"/>
          </w:tcPr>
          <w:p>
            <w:pPr>
              <w:pStyle w:val="TableParagraph"/>
              <w:spacing w:line="250" w:lineRule="exact" w:before="1"/>
              <w:ind w:left="282"/>
              <w:rPr>
                <w:sz w:val="21"/>
              </w:rPr>
            </w:pPr>
            <w:r>
              <w:rPr>
                <w:sz w:val="21"/>
              </w:rPr>
              <w:t>/ </w:t>
            </w:r>
          </w:p>
        </w:tc>
        <w:tc>
          <w:tcPr>
            <w:tcW w:w="869" w:type="dxa"/>
          </w:tcPr>
          <w:p>
            <w:pPr>
              <w:pStyle w:val="TableParagraph"/>
              <w:spacing w:line="250" w:lineRule="exact" w:before="1"/>
              <w:ind w:right="-15"/>
              <w:jc w:val="right"/>
              <w:rPr>
                <w:sz w:val="21"/>
              </w:rPr>
            </w:pPr>
            <w:r>
              <w:rPr>
                <w:sz w:val="21"/>
              </w:rPr>
              <w:t>69,112 </w:t>
            </w:r>
          </w:p>
        </w:tc>
        <w:tc>
          <w:tcPr>
            <w:tcW w:w="866" w:type="dxa"/>
          </w:tcPr>
          <w:p>
            <w:pPr>
              <w:pStyle w:val="TableParagraph"/>
              <w:spacing w:line="250" w:lineRule="exact" w:before="1"/>
              <w:ind w:right="-15"/>
              <w:jc w:val="right"/>
              <w:rPr>
                <w:sz w:val="21"/>
              </w:rPr>
            </w:pPr>
            <w:r>
              <w:rPr>
                <w:sz w:val="21"/>
              </w:rPr>
              <w:t>67,063 </w:t>
            </w:r>
          </w:p>
        </w:tc>
        <w:tc>
          <w:tcPr>
            <w:tcW w:w="679" w:type="dxa"/>
          </w:tcPr>
          <w:p>
            <w:pPr>
              <w:pStyle w:val="TableParagraph"/>
              <w:spacing w:line="250" w:lineRule="exact" w:before="1"/>
              <w:ind w:left="285"/>
              <w:rPr>
                <w:sz w:val="21"/>
              </w:rPr>
            </w:pPr>
            <w:r>
              <w:rPr>
                <w:sz w:val="21"/>
              </w:rPr>
              <w:t>/ </w:t>
            </w:r>
          </w:p>
        </w:tc>
        <w:tc>
          <w:tcPr>
            <w:tcW w:w="692" w:type="dxa"/>
          </w:tcPr>
          <w:p>
            <w:pPr>
              <w:pStyle w:val="TableParagraph"/>
              <w:spacing w:line="250" w:lineRule="exact" w:before="1"/>
              <w:ind w:right="-15"/>
              <w:jc w:val="right"/>
              <w:rPr>
                <w:sz w:val="21"/>
              </w:rPr>
            </w:pPr>
            <w:r>
              <w:rPr>
                <w:sz w:val="21"/>
              </w:rPr>
              <w:t>-671 </w:t>
            </w:r>
          </w:p>
        </w:tc>
        <w:tc>
          <w:tcPr>
            <w:tcW w:w="694" w:type="dxa"/>
          </w:tcPr>
          <w:p>
            <w:pPr>
              <w:pStyle w:val="TableParagraph"/>
              <w:spacing w:line="250" w:lineRule="exact" w:before="1"/>
              <w:ind w:left="292"/>
              <w:rPr>
                <w:sz w:val="21"/>
              </w:rPr>
            </w:pPr>
            <w:r>
              <w:rPr>
                <w:sz w:val="21"/>
              </w:rPr>
              <w:t>/ </w:t>
            </w:r>
          </w:p>
        </w:tc>
        <w:tc>
          <w:tcPr>
            <w:tcW w:w="864" w:type="dxa"/>
          </w:tcPr>
          <w:p>
            <w:pPr>
              <w:pStyle w:val="TableParagraph"/>
              <w:spacing w:line="250" w:lineRule="exact" w:before="1"/>
              <w:ind w:right="-15"/>
              <w:jc w:val="right"/>
              <w:rPr>
                <w:sz w:val="21"/>
              </w:rPr>
            </w:pPr>
            <w:r>
              <w:rPr>
                <w:sz w:val="21"/>
              </w:rPr>
              <w:t>66,392 </w:t>
            </w:r>
          </w:p>
        </w:tc>
      </w:tr>
    </w:tbl>
    <w:p>
      <w:pPr>
        <w:pStyle w:val="BodyText"/>
        <w:spacing w:before="1"/>
      </w:pPr>
      <w:r>
        <w:rPr>
          <w:w w:val="100"/>
        </w:rPr>
        <w:t> </w:t>
      </w:r>
    </w:p>
    <w:p>
      <w:pPr>
        <w:pStyle w:val="BodyText"/>
        <w:spacing w:before="4"/>
      </w:pPr>
      <w:r>
        <w:rPr>
          <w:spacing w:val="-1"/>
        </w:rPr>
        <w:t>按单项计提坏账准备：</w:t>
      </w:r>
      <w:r>
        <w:rPr/>
        <w:t> </w:t>
      </w:r>
    </w:p>
    <w:p>
      <w:pPr>
        <w:pStyle w:val="BodyText"/>
        <w:spacing w:before="3"/>
      </w:pPr>
      <w:r>
        <w:rPr>
          <w:spacing w:val="-1"/>
        </w:rPr>
        <w:t>□适用 √不适用</w:t>
      </w:r>
      <w:r>
        <w:rPr>
          <w:spacing w:val="-3"/>
        </w:rPr>
        <w:t> </w:t>
      </w:r>
      <w:r>
        <w:rPr/>
        <w:t> </w:t>
      </w:r>
    </w:p>
    <w:p>
      <w:pPr>
        <w:pStyle w:val="BodyText"/>
        <w:spacing w:before="5"/>
      </w:pPr>
      <w:r>
        <w:rPr>
          <w:spacing w:val="-1"/>
        </w:rPr>
        <w:t>按组合计提坏账准备：</w:t>
      </w:r>
      <w:r>
        <w:rPr/>
        <w:t> </w:t>
      </w:r>
    </w:p>
    <w:p>
      <w:pPr>
        <w:pStyle w:val="BodyText"/>
        <w:spacing w:before="2"/>
      </w:pPr>
      <w:r>
        <w:rPr>
          <w:spacing w:val="-1"/>
        </w:rPr>
        <w:t>√适用 □不适用</w:t>
      </w:r>
      <w:r>
        <w:rPr>
          <w:spacing w:val="-3"/>
        </w:rPr>
        <w:t> </w:t>
      </w:r>
      <w:r>
        <w:rPr/>
        <w:t> </w:t>
      </w:r>
    </w:p>
    <w:p>
      <w:pPr>
        <w:pStyle w:val="BodyText"/>
        <w:spacing w:before="4"/>
      </w:pPr>
      <w:r>
        <w:rPr>
          <w:spacing w:val="-1"/>
        </w:rPr>
        <w:t>组合计提项目：按信用等级分类的客户组合</w:t>
      </w:r>
      <w:r>
        <w:rPr/>
        <w:t> </w:t>
      </w:r>
    </w:p>
    <w:p>
      <w:pPr>
        <w:pStyle w:val="BodyText"/>
        <w:spacing w:before="3" w:after="3"/>
        <w:ind w:left="6525"/>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3"/>
        <w:gridCol w:w="2254"/>
        <w:gridCol w:w="2293"/>
        <w:gridCol w:w="2236"/>
      </w:tblGrid>
      <w:tr>
        <w:trPr>
          <w:trHeight w:val="270" w:hRule="atLeast"/>
        </w:trPr>
        <w:tc>
          <w:tcPr>
            <w:tcW w:w="2043" w:type="dxa"/>
            <w:vMerge w:val="restart"/>
          </w:tcPr>
          <w:p>
            <w:pPr>
              <w:pStyle w:val="TableParagraph"/>
              <w:spacing w:before="142"/>
              <w:ind w:left="843" w:right="729"/>
              <w:jc w:val="center"/>
              <w:rPr>
                <w:sz w:val="21"/>
              </w:rPr>
            </w:pPr>
            <w:r>
              <w:rPr>
                <w:sz w:val="21"/>
              </w:rPr>
              <w:t>名称 </w:t>
            </w:r>
          </w:p>
        </w:tc>
        <w:tc>
          <w:tcPr>
            <w:tcW w:w="6783" w:type="dxa"/>
            <w:gridSpan w:val="3"/>
          </w:tcPr>
          <w:p>
            <w:pPr>
              <w:pStyle w:val="TableParagraph"/>
              <w:spacing w:line="250" w:lineRule="exact" w:before="1"/>
              <w:ind w:left="3003" w:right="2893"/>
              <w:jc w:val="center"/>
              <w:rPr>
                <w:sz w:val="21"/>
              </w:rPr>
            </w:pPr>
            <w:r>
              <w:rPr>
                <w:spacing w:val="-1"/>
                <w:sz w:val="21"/>
              </w:rPr>
              <w:t>期末余额</w:t>
            </w:r>
            <w:r>
              <w:rPr>
                <w:sz w:val="21"/>
              </w:rPr>
              <w:t> </w:t>
            </w:r>
          </w:p>
        </w:tc>
      </w:tr>
      <w:tr>
        <w:trPr>
          <w:trHeight w:val="273" w:hRule="atLeast"/>
        </w:trPr>
        <w:tc>
          <w:tcPr>
            <w:tcW w:w="2043" w:type="dxa"/>
            <w:vMerge/>
            <w:tcBorders>
              <w:top w:val="nil"/>
            </w:tcBorders>
          </w:tcPr>
          <w:p>
            <w:pPr>
              <w:rPr>
                <w:sz w:val="2"/>
                <w:szCs w:val="2"/>
              </w:rPr>
            </w:pPr>
          </w:p>
        </w:tc>
        <w:tc>
          <w:tcPr>
            <w:tcW w:w="2254" w:type="dxa"/>
          </w:tcPr>
          <w:p>
            <w:pPr>
              <w:pStyle w:val="TableParagraph"/>
              <w:spacing w:line="252" w:lineRule="exact" w:before="1"/>
              <w:ind w:left="705"/>
              <w:rPr>
                <w:sz w:val="21"/>
              </w:rPr>
            </w:pPr>
            <w:r>
              <w:rPr>
                <w:spacing w:val="-1"/>
                <w:sz w:val="21"/>
              </w:rPr>
              <w:t>应收账款</w:t>
            </w:r>
            <w:r>
              <w:rPr>
                <w:sz w:val="21"/>
              </w:rPr>
              <w:t> </w:t>
            </w:r>
          </w:p>
        </w:tc>
        <w:tc>
          <w:tcPr>
            <w:tcW w:w="2293" w:type="dxa"/>
          </w:tcPr>
          <w:p>
            <w:pPr>
              <w:pStyle w:val="TableParagraph"/>
              <w:spacing w:line="252" w:lineRule="exact" w:before="1"/>
              <w:ind w:left="722"/>
              <w:rPr>
                <w:sz w:val="21"/>
              </w:rPr>
            </w:pPr>
            <w:r>
              <w:rPr>
                <w:spacing w:val="-1"/>
                <w:sz w:val="21"/>
              </w:rPr>
              <w:t>坏账准备</w:t>
            </w:r>
            <w:r>
              <w:rPr>
                <w:sz w:val="21"/>
              </w:rPr>
              <w:t> </w:t>
            </w:r>
          </w:p>
        </w:tc>
        <w:tc>
          <w:tcPr>
            <w:tcW w:w="2236" w:type="dxa"/>
          </w:tcPr>
          <w:p>
            <w:pPr>
              <w:pStyle w:val="TableParagraph"/>
              <w:spacing w:line="252" w:lineRule="exact" w:before="1"/>
              <w:ind w:left="431"/>
              <w:rPr>
                <w:sz w:val="21"/>
              </w:rPr>
            </w:pPr>
            <w:r>
              <w:rPr>
                <w:spacing w:val="-1"/>
                <w:sz w:val="21"/>
              </w:rPr>
              <w:t>计提比例</w:t>
            </w:r>
            <w:r>
              <w:rPr>
                <w:sz w:val="21"/>
              </w:rPr>
              <w:t>（%） </w:t>
            </w:r>
          </w:p>
        </w:tc>
      </w:tr>
      <w:tr>
        <w:trPr>
          <w:trHeight w:val="273" w:hRule="atLeast"/>
        </w:trPr>
        <w:tc>
          <w:tcPr>
            <w:tcW w:w="2043" w:type="dxa"/>
          </w:tcPr>
          <w:p>
            <w:pPr>
              <w:pStyle w:val="TableParagraph"/>
              <w:spacing w:line="252" w:lineRule="exact" w:before="1"/>
              <w:ind w:left="107"/>
              <w:rPr>
                <w:sz w:val="21"/>
              </w:rPr>
            </w:pPr>
            <w:r>
              <w:rPr>
                <w:spacing w:val="-1"/>
                <w:sz w:val="21"/>
              </w:rPr>
              <w:t>应收账款组合</w:t>
            </w:r>
            <w:r>
              <w:rPr>
                <w:sz w:val="21"/>
              </w:rPr>
              <w:t> </w:t>
            </w:r>
          </w:p>
        </w:tc>
        <w:tc>
          <w:tcPr>
            <w:tcW w:w="2254" w:type="dxa"/>
          </w:tcPr>
          <w:p>
            <w:pPr>
              <w:pStyle w:val="TableParagraph"/>
              <w:spacing w:line="252" w:lineRule="exact" w:before="1"/>
              <w:ind w:right="-15"/>
              <w:jc w:val="right"/>
              <w:rPr>
                <w:sz w:val="21"/>
              </w:rPr>
            </w:pPr>
            <w:r>
              <w:rPr>
                <w:sz w:val="21"/>
              </w:rPr>
              <w:t>69,810 </w:t>
            </w:r>
          </w:p>
        </w:tc>
        <w:tc>
          <w:tcPr>
            <w:tcW w:w="2293" w:type="dxa"/>
          </w:tcPr>
          <w:p>
            <w:pPr>
              <w:pStyle w:val="TableParagraph"/>
              <w:spacing w:line="252" w:lineRule="exact" w:before="1"/>
              <w:ind w:right="-15"/>
              <w:jc w:val="right"/>
              <w:rPr>
                <w:sz w:val="21"/>
              </w:rPr>
            </w:pPr>
            <w:r>
              <w:rPr>
                <w:sz w:val="21"/>
              </w:rPr>
              <w:t>-698 </w:t>
            </w:r>
          </w:p>
        </w:tc>
        <w:tc>
          <w:tcPr>
            <w:tcW w:w="2236" w:type="dxa"/>
          </w:tcPr>
          <w:p>
            <w:pPr>
              <w:pStyle w:val="TableParagraph"/>
              <w:spacing w:line="252" w:lineRule="exact" w:before="1"/>
              <w:ind w:right="-15"/>
              <w:jc w:val="right"/>
              <w:rPr>
                <w:sz w:val="21"/>
              </w:rPr>
            </w:pPr>
            <w:r>
              <w:rPr>
                <w:sz w:val="21"/>
              </w:rPr>
              <w:t>1 </w:t>
            </w:r>
          </w:p>
        </w:tc>
      </w:tr>
      <w:tr>
        <w:trPr>
          <w:trHeight w:val="270" w:hRule="atLeast"/>
        </w:trPr>
        <w:tc>
          <w:tcPr>
            <w:tcW w:w="2043" w:type="dxa"/>
          </w:tcPr>
          <w:p>
            <w:pPr>
              <w:pStyle w:val="TableParagraph"/>
              <w:spacing w:line="250" w:lineRule="exact" w:before="1"/>
              <w:ind w:left="107"/>
              <w:rPr>
                <w:sz w:val="21"/>
              </w:rPr>
            </w:pPr>
            <w:r>
              <w:rPr>
                <w:w w:val="100"/>
                <w:sz w:val="21"/>
              </w:rPr>
              <w:t> </w:t>
            </w:r>
          </w:p>
        </w:tc>
        <w:tc>
          <w:tcPr>
            <w:tcW w:w="2254" w:type="dxa"/>
          </w:tcPr>
          <w:p>
            <w:pPr>
              <w:pStyle w:val="TableParagraph"/>
              <w:spacing w:line="250" w:lineRule="exact" w:before="1"/>
              <w:ind w:right="-15"/>
              <w:jc w:val="right"/>
              <w:rPr>
                <w:sz w:val="21"/>
              </w:rPr>
            </w:pPr>
            <w:r>
              <w:rPr>
                <w:w w:val="100"/>
                <w:sz w:val="21"/>
              </w:rPr>
              <w:t> </w:t>
            </w:r>
          </w:p>
        </w:tc>
        <w:tc>
          <w:tcPr>
            <w:tcW w:w="2293" w:type="dxa"/>
          </w:tcPr>
          <w:p>
            <w:pPr>
              <w:pStyle w:val="TableParagraph"/>
              <w:spacing w:line="250" w:lineRule="exact" w:before="1"/>
              <w:ind w:right="-15"/>
              <w:jc w:val="right"/>
              <w:rPr>
                <w:sz w:val="21"/>
              </w:rPr>
            </w:pPr>
            <w:r>
              <w:rPr>
                <w:w w:val="100"/>
                <w:sz w:val="21"/>
              </w:rPr>
              <w:t> </w:t>
            </w:r>
          </w:p>
        </w:tc>
        <w:tc>
          <w:tcPr>
            <w:tcW w:w="2236" w:type="dxa"/>
          </w:tcPr>
          <w:p>
            <w:pPr>
              <w:pStyle w:val="TableParagraph"/>
              <w:spacing w:line="250" w:lineRule="exact" w:before="1"/>
              <w:ind w:right="-15"/>
              <w:jc w:val="right"/>
              <w:rPr>
                <w:sz w:val="21"/>
              </w:rPr>
            </w:pPr>
            <w:r>
              <w:rPr>
                <w:w w:val="100"/>
                <w:sz w:val="21"/>
              </w:rPr>
              <w:t> </w:t>
            </w:r>
          </w:p>
        </w:tc>
      </w:tr>
      <w:tr>
        <w:trPr>
          <w:trHeight w:val="273" w:hRule="atLeast"/>
        </w:trPr>
        <w:tc>
          <w:tcPr>
            <w:tcW w:w="2043" w:type="dxa"/>
          </w:tcPr>
          <w:p>
            <w:pPr>
              <w:pStyle w:val="TableParagraph"/>
              <w:spacing w:line="252" w:lineRule="exact" w:before="1"/>
              <w:ind w:left="843" w:right="729"/>
              <w:jc w:val="center"/>
              <w:rPr>
                <w:sz w:val="21"/>
              </w:rPr>
            </w:pPr>
            <w:r>
              <w:rPr>
                <w:sz w:val="21"/>
              </w:rPr>
              <w:t>合计 </w:t>
            </w:r>
          </w:p>
        </w:tc>
        <w:tc>
          <w:tcPr>
            <w:tcW w:w="2254" w:type="dxa"/>
          </w:tcPr>
          <w:p>
            <w:pPr>
              <w:pStyle w:val="TableParagraph"/>
              <w:spacing w:line="252" w:lineRule="exact" w:before="1"/>
              <w:ind w:right="-29"/>
              <w:jc w:val="right"/>
              <w:rPr>
                <w:sz w:val="24"/>
              </w:rPr>
            </w:pPr>
            <w:r>
              <w:rPr>
                <w:sz w:val="21"/>
              </w:rPr>
              <w:t>69,810</w:t>
            </w:r>
            <w:r>
              <w:rPr>
                <w:sz w:val="24"/>
              </w:rPr>
              <w:t> </w:t>
            </w:r>
          </w:p>
        </w:tc>
        <w:tc>
          <w:tcPr>
            <w:tcW w:w="2293" w:type="dxa"/>
          </w:tcPr>
          <w:p>
            <w:pPr>
              <w:pStyle w:val="TableParagraph"/>
              <w:spacing w:line="252" w:lineRule="exact" w:before="1"/>
              <w:ind w:right="-15"/>
              <w:jc w:val="right"/>
              <w:rPr>
                <w:sz w:val="21"/>
              </w:rPr>
            </w:pPr>
            <w:r>
              <w:rPr>
                <w:sz w:val="21"/>
              </w:rPr>
              <w:t>-698 </w:t>
            </w:r>
          </w:p>
        </w:tc>
        <w:tc>
          <w:tcPr>
            <w:tcW w:w="2236" w:type="dxa"/>
          </w:tcPr>
          <w:p>
            <w:pPr>
              <w:pStyle w:val="TableParagraph"/>
              <w:spacing w:line="252" w:lineRule="exact" w:before="1"/>
              <w:ind w:right="-15"/>
              <w:jc w:val="right"/>
              <w:rPr>
                <w:sz w:val="21"/>
              </w:rPr>
            </w:pPr>
            <w:r>
              <w:rPr>
                <w:sz w:val="21"/>
              </w:rPr>
              <w:t>1 </w:t>
            </w:r>
          </w:p>
        </w:tc>
      </w:tr>
    </w:tbl>
    <w:p>
      <w:pPr>
        <w:pStyle w:val="BodyText"/>
        <w:spacing w:before="1"/>
      </w:pPr>
      <w:r>
        <w:rPr>
          <w:spacing w:val="-1"/>
        </w:rPr>
        <w:t>按组合计提坏账的确认标准及说明：</w:t>
      </w:r>
      <w:r>
        <w:rPr/>
        <w:t> </w:t>
      </w:r>
    </w:p>
    <w:p>
      <w:pPr>
        <w:pStyle w:val="BodyText"/>
        <w:spacing w:before="4"/>
      </w:pPr>
      <w:r>
        <w:rPr>
          <w:spacing w:val="-1"/>
        </w:rPr>
        <w:t>√适用 □不适用</w:t>
      </w:r>
      <w:r>
        <w:rPr>
          <w:spacing w:val="-3"/>
        </w:rPr>
        <w:t> </w:t>
      </w:r>
      <w:r>
        <w:rPr/>
        <w:t> </w:t>
      </w:r>
    </w:p>
    <w:p>
      <w:pPr>
        <w:pStyle w:val="BodyText"/>
        <w:spacing w:line="242" w:lineRule="auto" w:before="3"/>
        <w:ind w:right="1277"/>
      </w:pPr>
      <w:r>
        <w:rPr/>
        <w:t>本公司对于应收账款，无论是否存在重大融资成分，均按照整个存续期的预期信用损失计量损失准备。 </w:t>
      </w:r>
    </w:p>
    <w:p>
      <w:pPr>
        <w:pStyle w:val="BodyText"/>
        <w:spacing w:before="1"/>
      </w:pPr>
      <w:r>
        <w:rPr>
          <w:w w:val="100"/>
        </w:rPr>
        <w:t> </w:t>
      </w:r>
    </w:p>
    <w:p>
      <w:pPr>
        <w:pStyle w:val="BodyText"/>
        <w:spacing w:before="2"/>
      </w:pPr>
      <w:r>
        <w:rPr>
          <w:spacing w:val="-1"/>
        </w:rPr>
        <w:t>如按预期信用损失一般模型计提坏账准备，请参照其他应收款披露：</w:t>
      </w:r>
      <w:r>
        <w:rPr/>
        <w:t> </w:t>
      </w:r>
    </w:p>
    <w:p>
      <w:pPr>
        <w:pStyle w:val="BodyText"/>
        <w:spacing w:before="5"/>
      </w:pPr>
      <w:r>
        <w:rPr>
          <w:spacing w:val="-1"/>
        </w:rPr>
        <w:t>□适用 √不适用</w:t>
      </w:r>
      <w:r>
        <w:rPr>
          <w:spacing w:val="-3"/>
        </w:rPr>
        <w:t> </w:t>
      </w:r>
      <w:r>
        <w:rPr/>
        <w:t> </w:t>
      </w:r>
    </w:p>
    <w:p>
      <w:pPr>
        <w:pStyle w:val="BodyText"/>
        <w:spacing w:before="2"/>
      </w:pPr>
      <w:r>
        <w:rPr>
          <w:w w:val="100"/>
        </w:rPr>
        <w:t> </w:t>
      </w:r>
    </w:p>
    <w:p>
      <w:pPr>
        <w:pStyle w:val="ListParagraph"/>
        <w:numPr>
          <w:ilvl w:val="0"/>
          <w:numId w:val="93"/>
        </w:numPr>
        <w:tabs>
          <w:tab w:pos="743" w:val="left" w:leader="none"/>
        </w:tabs>
        <w:spacing w:line="240" w:lineRule="auto" w:before="65" w:after="0"/>
        <w:ind w:left="742" w:right="0" w:hanging="425"/>
        <w:jc w:val="left"/>
        <w:rPr>
          <w:sz w:val="21"/>
        </w:rPr>
      </w:pPr>
      <w:r>
        <w:rPr>
          <w:sz w:val="21"/>
        </w:rPr>
        <w:t>坏账准备的情况 </w:t>
      </w:r>
    </w:p>
    <w:p>
      <w:pPr>
        <w:pStyle w:val="BodyText"/>
        <w:spacing w:before="62"/>
      </w:pPr>
      <w:r>
        <w:rPr>
          <w:spacing w:val="-1"/>
        </w:rPr>
        <w:t>√适用 □不适用</w:t>
      </w:r>
      <w:r>
        <w:rPr>
          <w:spacing w:val="-3"/>
        </w:rPr>
        <w:t> </w:t>
      </w:r>
      <w:r>
        <w:rPr/>
        <w:t> </w:t>
      </w:r>
    </w:p>
    <w:p>
      <w:pPr>
        <w:pStyle w:val="BodyText"/>
        <w:spacing w:before="4"/>
        <w:ind w:left="6746"/>
      </w:pPr>
      <w:r>
        <w:rPr>
          <w:spacing w:val="-2"/>
        </w:rPr>
        <w:t>单位：千元 币种：人民币</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5"/>
        <w:gridCol w:w="1215"/>
        <w:gridCol w:w="1315"/>
        <w:gridCol w:w="1212"/>
        <w:gridCol w:w="1216"/>
        <w:gridCol w:w="1212"/>
        <w:gridCol w:w="1207"/>
      </w:tblGrid>
      <w:tr>
        <w:trPr>
          <w:trHeight w:val="273" w:hRule="atLeast"/>
        </w:trPr>
        <w:tc>
          <w:tcPr>
            <w:tcW w:w="1445" w:type="dxa"/>
            <w:vMerge w:val="restart"/>
          </w:tcPr>
          <w:p>
            <w:pPr>
              <w:pStyle w:val="TableParagraph"/>
              <w:spacing w:before="10"/>
              <w:rPr>
                <w:sz w:val="21"/>
              </w:rPr>
            </w:pPr>
          </w:p>
          <w:p>
            <w:pPr>
              <w:pStyle w:val="TableParagraph"/>
              <w:ind w:left="510"/>
              <w:rPr>
                <w:sz w:val="21"/>
              </w:rPr>
            </w:pPr>
            <w:r>
              <w:rPr>
                <w:sz w:val="21"/>
              </w:rPr>
              <w:t>类别 </w:t>
            </w:r>
          </w:p>
        </w:tc>
        <w:tc>
          <w:tcPr>
            <w:tcW w:w="1215" w:type="dxa"/>
            <w:vMerge w:val="restart"/>
          </w:tcPr>
          <w:p>
            <w:pPr>
              <w:pStyle w:val="TableParagraph"/>
              <w:spacing w:before="10"/>
              <w:rPr>
                <w:sz w:val="21"/>
              </w:rPr>
            </w:pPr>
          </w:p>
          <w:p>
            <w:pPr>
              <w:pStyle w:val="TableParagraph"/>
              <w:ind w:left="186"/>
              <w:rPr>
                <w:sz w:val="21"/>
              </w:rPr>
            </w:pPr>
            <w:r>
              <w:rPr>
                <w:spacing w:val="-1"/>
                <w:sz w:val="21"/>
              </w:rPr>
              <w:t>期初余额</w:t>
            </w:r>
            <w:r>
              <w:rPr>
                <w:sz w:val="21"/>
              </w:rPr>
              <w:t> </w:t>
            </w:r>
          </w:p>
        </w:tc>
        <w:tc>
          <w:tcPr>
            <w:tcW w:w="4955" w:type="dxa"/>
            <w:gridSpan w:val="4"/>
          </w:tcPr>
          <w:p>
            <w:pPr>
              <w:pStyle w:val="TableParagraph"/>
              <w:spacing w:line="252" w:lineRule="exact" w:before="1"/>
              <w:ind w:left="1881" w:right="1770"/>
              <w:jc w:val="center"/>
              <w:rPr>
                <w:sz w:val="21"/>
              </w:rPr>
            </w:pPr>
            <w:r>
              <w:rPr>
                <w:spacing w:val="-1"/>
                <w:sz w:val="21"/>
              </w:rPr>
              <w:t>本期变动金额</w:t>
            </w:r>
            <w:r>
              <w:rPr>
                <w:sz w:val="21"/>
              </w:rPr>
              <w:t> </w:t>
            </w:r>
          </w:p>
        </w:tc>
        <w:tc>
          <w:tcPr>
            <w:tcW w:w="1207" w:type="dxa"/>
            <w:vMerge w:val="restart"/>
          </w:tcPr>
          <w:p>
            <w:pPr>
              <w:pStyle w:val="TableParagraph"/>
              <w:spacing w:before="10"/>
              <w:rPr>
                <w:sz w:val="21"/>
              </w:rPr>
            </w:pPr>
          </w:p>
          <w:p>
            <w:pPr>
              <w:pStyle w:val="TableParagraph"/>
              <w:ind w:left="183"/>
              <w:rPr>
                <w:sz w:val="21"/>
              </w:rPr>
            </w:pPr>
            <w:r>
              <w:rPr>
                <w:spacing w:val="-1"/>
                <w:sz w:val="21"/>
              </w:rPr>
              <w:t>期末余额</w:t>
            </w:r>
            <w:r>
              <w:rPr>
                <w:sz w:val="21"/>
              </w:rPr>
              <w:t> </w:t>
            </w:r>
          </w:p>
        </w:tc>
      </w:tr>
      <w:tr>
        <w:trPr>
          <w:trHeight w:val="544" w:hRule="atLeast"/>
        </w:trPr>
        <w:tc>
          <w:tcPr>
            <w:tcW w:w="1445" w:type="dxa"/>
            <w:vMerge/>
            <w:tcBorders>
              <w:top w:val="nil"/>
            </w:tcBorders>
          </w:tcPr>
          <w:p>
            <w:pPr>
              <w:rPr>
                <w:sz w:val="2"/>
                <w:szCs w:val="2"/>
              </w:rPr>
            </w:pPr>
          </w:p>
        </w:tc>
        <w:tc>
          <w:tcPr>
            <w:tcW w:w="1215" w:type="dxa"/>
            <w:vMerge/>
            <w:tcBorders>
              <w:top w:val="nil"/>
            </w:tcBorders>
          </w:tcPr>
          <w:p>
            <w:pPr>
              <w:rPr>
                <w:sz w:val="2"/>
                <w:szCs w:val="2"/>
              </w:rPr>
            </w:pPr>
          </w:p>
        </w:tc>
        <w:tc>
          <w:tcPr>
            <w:tcW w:w="1315" w:type="dxa"/>
          </w:tcPr>
          <w:p>
            <w:pPr>
              <w:pStyle w:val="TableParagraph"/>
              <w:spacing w:before="138"/>
              <w:ind w:left="443"/>
              <w:rPr>
                <w:sz w:val="21"/>
              </w:rPr>
            </w:pPr>
            <w:r>
              <w:rPr>
                <w:sz w:val="21"/>
              </w:rPr>
              <w:t>计提 </w:t>
            </w:r>
          </w:p>
        </w:tc>
        <w:tc>
          <w:tcPr>
            <w:tcW w:w="1212" w:type="dxa"/>
          </w:tcPr>
          <w:p>
            <w:pPr>
              <w:pStyle w:val="TableParagraph"/>
              <w:spacing w:before="1"/>
              <w:ind w:left="184"/>
              <w:rPr>
                <w:sz w:val="21"/>
              </w:rPr>
            </w:pPr>
            <w:r>
              <w:rPr>
                <w:sz w:val="21"/>
              </w:rPr>
              <w:t>收回或转</w:t>
            </w:r>
          </w:p>
          <w:p>
            <w:pPr>
              <w:pStyle w:val="TableParagraph"/>
              <w:spacing w:line="250" w:lineRule="exact" w:before="4"/>
              <w:ind w:left="498"/>
              <w:rPr>
                <w:sz w:val="21"/>
              </w:rPr>
            </w:pPr>
            <w:r>
              <w:rPr>
                <w:sz w:val="21"/>
              </w:rPr>
              <w:t>回 </w:t>
            </w:r>
          </w:p>
        </w:tc>
        <w:tc>
          <w:tcPr>
            <w:tcW w:w="1216" w:type="dxa"/>
          </w:tcPr>
          <w:p>
            <w:pPr>
              <w:pStyle w:val="TableParagraph"/>
              <w:spacing w:before="1"/>
              <w:ind w:left="187"/>
              <w:rPr>
                <w:sz w:val="21"/>
              </w:rPr>
            </w:pPr>
            <w:r>
              <w:rPr>
                <w:sz w:val="21"/>
              </w:rPr>
              <w:t>转销或核</w:t>
            </w:r>
          </w:p>
          <w:p>
            <w:pPr>
              <w:pStyle w:val="TableParagraph"/>
              <w:spacing w:line="250" w:lineRule="exact" w:before="4"/>
              <w:ind w:left="501"/>
              <w:rPr>
                <w:sz w:val="21"/>
              </w:rPr>
            </w:pPr>
            <w:r>
              <w:rPr>
                <w:sz w:val="21"/>
              </w:rPr>
              <w:t>销 </w:t>
            </w:r>
          </w:p>
        </w:tc>
        <w:tc>
          <w:tcPr>
            <w:tcW w:w="1212" w:type="dxa"/>
          </w:tcPr>
          <w:p>
            <w:pPr>
              <w:pStyle w:val="TableParagraph"/>
              <w:spacing w:before="138"/>
              <w:ind w:right="-15"/>
              <w:jc w:val="right"/>
              <w:rPr>
                <w:sz w:val="21"/>
              </w:rPr>
            </w:pPr>
            <w:r>
              <w:rPr>
                <w:spacing w:val="-1"/>
                <w:sz w:val="21"/>
              </w:rPr>
              <w:t>其他变动</w:t>
            </w:r>
            <w:r>
              <w:rPr>
                <w:sz w:val="21"/>
              </w:rPr>
              <w:t> </w:t>
            </w:r>
          </w:p>
        </w:tc>
        <w:tc>
          <w:tcPr>
            <w:tcW w:w="1207" w:type="dxa"/>
            <w:vMerge/>
            <w:tcBorders>
              <w:top w:val="nil"/>
            </w:tcBorders>
          </w:tcPr>
          <w:p>
            <w:pPr>
              <w:rPr>
                <w:sz w:val="2"/>
                <w:szCs w:val="2"/>
              </w:rPr>
            </w:pPr>
          </w:p>
        </w:tc>
      </w:tr>
      <w:tr>
        <w:trPr>
          <w:trHeight w:val="273" w:hRule="atLeast"/>
        </w:trPr>
        <w:tc>
          <w:tcPr>
            <w:tcW w:w="1445" w:type="dxa"/>
          </w:tcPr>
          <w:p>
            <w:pPr>
              <w:pStyle w:val="TableParagraph"/>
              <w:spacing w:line="252" w:lineRule="exact" w:before="1"/>
              <w:ind w:left="112"/>
              <w:rPr>
                <w:sz w:val="21"/>
              </w:rPr>
            </w:pPr>
            <w:r>
              <w:rPr>
                <w:sz w:val="21"/>
              </w:rPr>
              <w:t>按组合计提 </w:t>
            </w:r>
          </w:p>
        </w:tc>
        <w:tc>
          <w:tcPr>
            <w:tcW w:w="1215" w:type="dxa"/>
          </w:tcPr>
          <w:p>
            <w:pPr>
              <w:pStyle w:val="TableParagraph"/>
              <w:spacing w:line="252" w:lineRule="exact" w:before="1"/>
              <w:ind w:right="-15"/>
              <w:jc w:val="right"/>
              <w:rPr>
                <w:sz w:val="21"/>
              </w:rPr>
            </w:pPr>
            <w:r>
              <w:rPr>
                <w:sz w:val="21"/>
              </w:rPr>
              <w:t>-671 </w:t>
            </w:r>
          </w:p>
        </w:tc>
        <w:tc>
          <w:tcPr>
            <w:tcW w:w="1315" w:type="dxa"/>
          </w:tcPr>
          <w:p>
            <w:pPr>
              <w:pStyle w:val="TableParagraph"/>
              <w:spacing w:line="252" w:lineRule="exact" w:before="1"/>
              <w:ind w:right="-15"/>
              <w:jc w:val="right"/>
              <w:rPr>
                <w:sz w:val="21"/>
              </w:rPr>
            </w:pPr>
            <w:r>
              <w:rPr>
                <w:sz w:val="21"/>
              </w:rPr>
              <w:t>-27 </w:t>
            </w:r>
          </w:p>
        </w:tc>
        <w:tc>
          <w:tcPr>
            <w:tcW w:w="1212" w:type="dxa"/>
          </w:tcPr>
          <w:p>
            <w:pPr>
              <w:pStyle w:val="TableParagraph"/>
              <w:spacing w:line="252" w:lineRule="exact" w:before="1"/>
              <w:ind w:right="-15"/>
              <w:jc w:val="right"/>
              <w:rPr>
                <w:sz w:val="21"/>
              </w:rPr>
            </w:pPr>
            <w:r>
              <w:rPr>
                <w:w w:val="100"/>
                <w:sz w:val="21"/>
              </w:rPr>
              <w:t> </w:t>
            </w:r>
          </w:p>
        </w:tc>
        <w:tc>
          <w:tcPr>
            <w:tcW w:w="1216" w:type="dxa"/>
          </w:tcPr>
          <w:p>
            <w:pPr>
              <w:pStyle w:val="TableParagraph"/>
              <w:spacing w:line="252" w:lineRule="exact" w:before="1"/>
              <w:ind w:right="-15"/>
              <w:jc w:val="right"/>
              <w:rPr>
                <w:sz w:val="21"/>
              </w:rPr>
            </w:pPr>
            <w:r>
              <w:rPr>
                <w:w w:val="100"/>
                <w:sz w:val="21"/>
              </w:rPr>
              <w:t> </w:t>
            </w:r>
          </w:p>
        </w:tc>
        <w:tc>
          <w:tcPr>
            <w:tcW w:w="1212" w:type="dxa"/>
          </w:tcPr>
          <w:p>
            <w:pPr>
              <w:pStyle w:val="TableParagraph"/>
              <w:spacing w:line="252" w:lineRule="exact" w:before="1"/>
              <w:ind w:right="-15"/>
              <w:jc w:val="right"/>
              <w:rPr>
                <w:sz w:val="21"/>
              </w:rPr>
            </w:pPr>
            <w:r>
              <w:rPr>
                <w:w w:val="100"/>
                <w:sz w:val="21"/>
              </w:rPr>
              <w:t> </w:t>
            </w:r>
          </w:p>
        </w:tc>
        <w:tc>
          <w:tcPr>
            <w:tcW w:w="1207" w:type="dxa"/>
          </w:tcPr>
          <w:p>
            <w:pPr>
              <w:pStyle w:val="TableParagraph"/>
              <w:spacing w:line="252" w:lineRule="exact" w:before="1"/>
              <w:ind w:right="-15"/>
              <w:jc w:val="right"/>
              <w:rPr>
                <w:sz w:val="21"/>
              </w:rPr>
            </w:pPr>
            <w:r>
              <w:rPr>
                <w:sz w:val="21"/>
              </w:rPr>
              <w:t>-698 </w:t>
            </w:r>
          </w:p>
        </w:tc>
      </w:tr>
      <w:tr>
        <w:trPr>
          <w:trHeight w:val="268" w:hRule="atLeast"/>
        </w:trPr>
        <w:tc>
          <w:tcPr>
            <w:tcW w:w="1445" w:type="dxa"/>
            <w:tcBorders>
              <w:bottom w:val="single" w:sz="6" w:space="0" w:color="000000"/>
            </w:tcBorders>
          </w:tcPr>
          <w:p>
            <w:pPr>
              <w:pStyle w:val="TableParagraph"/>
              <w:spacing w:line="248" w:lineRule="exact" w:before="1"/>
              <w:ind w:left="112"/>
              <w:rPr>
                <w:sz w:val="21"/>
              </w:rPr>
            </w:pPr>
            <w:r>
              <w:rPr>
                <w:w w:val="100"/>
                <w:sz w:val="21"/>
              </w:rPr>
              <w:t> </w:t>
            </w:r>
          </w:p>
        </w:tc>
        <w:tc>
          <w:tcPr>
            <w:tcW w:w="1215" w:type="dxa"/>
            <w:tcBorders>
              <w:bottom w:val="single" w:sz="6" w:space="0" w:color="000000"/>
            </w:tcBorders>
          </w:tcPr>
          <w:p>
            <w:pPr>
              <w:pStyle w:val="TableParagraph"/>
              <w:spacing w:line="248" w:lineRule="exact" w:before="1"/>
              <w:ind w:right="-15"/>
              <w:jc w:val="right"/>
              <w:rPr>
                <w:sz w:val="21"/>
              </w:rPr>
            </w:pPr>
            <w:r>
              <w:rPr>
                <w:w w:val="100"/>
                <w:sz w:val="21"/>
              </w:rPr>
              <w:t> </w:t>
            </w:r>
          </w:p>
        </w:tc>
        <w:tc>
          <w:tcPr>
            <w:tcW w:w="1315" w:type="dxa"/>
            <w:tcBorders>
              <w:bottom w:val="single" w:sz="6" w:space="0" w:color="000000"/>
            </w:tcBorders>
          </w:tcPr>
          <w:p>
            <w:pPr>
              <w:pStyle w:val="TableParagraph"/>
              <w:spacing w:line="248" w:lineRule="exact" w:before="1"/>
              <w:ind w:right="-15"/>
              <w:jc w:val="right"/>
              <w:rPr>
                <w:sz w:val="21"/>
              </w:rPr>
            </w:pPr>
            <w:r>
              <w:rPr>
                <w:w w:val="100"/>
                <w:sz w:val="21"/>
              </w:rPr>
              <w:t> </w:t>
            </w:r>
          </w:p>
        </w:tc>
        <w:tc>
          <w:tcPr>
            <w:tcW w:w="1212" w:type="dxa"/>
            <w:tcBorders>
              <w:bottom w:val="single" w:sz="6" w:space="0" w:color="000000"/>
            </w:tcBorders>
          </w:tcPr>
          <w:p>
            <w:pPr>
              <w:pStyle w:val="TableParagraph"/>
              <w:spacing w:line="248" w:lineRule="exact" w:before="1"/>
              <w:ind w:right="-15"/>
              <w:jc w:val="right"/>
              <w:rPr>
                <w:sz w:val="21"/>
              </w:rPr>
            </w:pPr>
            <w:r>
              <w:rPr>
                <w:w w:val="100"/>
                <w:sz w:val="21"/>
              </w:rPr>
              <w:t> </w:t>
            </w:r>
          </w:p>
        </w:tc>
        <w:tc>
          <w:tcPr>
            <w:tcW w:w="1216" w:type="dxa"/>
            <w:tcBorders>
              <w:bottom w:val="single" w:sz="6" w:space="0" w:color="000000"/>
            </w:tcBorders>
          </w:tcPr>
          <w:p>
            <w:pPr>
              <w:pStyle w:val="TableParagraph"/>
              <w:spacing w:line="248" w:lineRule="exact" w:before="1"/>
              <w:ind w:right="-15"/>
              <w:jc w:val="right"/>
              <w:rPr>
                <w:sz w:val="21"/>
              </w:rPr>
            </w:pPr>
            <w:r>
              <w:rPr>
                <w:w w:val="100"/>
                <w:sz w:val="21"/>
              </w:rPr>
              <w:t> </w:t>
            </w:r>
          </w:p>
        </w:tc>
        <w:tc>
          <w:tcPr>
            <w:tcW w:w="1212" w:type="dxa"/>
            <w:tcBorders>
              <w:bottom w:val="single" w:sz="6" w:space="0" w:color="000000"/>
            </w:tcBorders>
          </w:tcPr>
          <w:p>
            <w:pPr>
              <w:pStyle w:val="TableParagraph"/>
              <w:spacing w:line="248" w:lineRule="exact" w:before="1"/>
              <w:ind w:right="-15"/>
              <w:jc w:val="right"/>
              <w:rPr>
                <w:sz w:val="21"/>
              </w:rPr>
            </w:pPr>
            <w:r>
              <w:rPr>
                <w:w w:val="100"/>
                <w:sz w:val="21"/>
              </w:rPr>
              <w:t> </w:t>
            </w:r>
          </w:p>
        </w:tc>
        <w:tc>
          <w:tcPr>
            <w:tcW w:w="1207" w:type="dxa"/>
            <w:tcBorders>
              <w:bottom w:val="single" w:sz="6" w:space="0" w:color="000000"/>
            </w:tcBorders>
          </w:tcPr>
          <w:p>
            <w:pPr>
              <w:pStyle w:val="TableParagraph"/>
              <w:spacing w:line="248" w:lineRule="exact" w:before="1"/>
              <w:ind w:right="-15"/>
              <w:jc w:val="right"/>
              <w:rPr>
                <w:sz w:val="21"/>
              </w:rPr>
            </w:pPr>
            <w:r>
              <w:rPr>
                <w:w w:val="100"/>
                <w:sz w:val="21"/>
              </w:rPr>
              <w:t> </w:t>
            </w:r>
          </w:p>
        </w:tc>
      </w:tr>
      <w:tr>
        <w:trPr>
          <w:trHeight w:val="270" w:hRule="atLeast"/>
        </w:trPr>
        <w:tc>
          <w:tcPr>
            <w:tcW w:w="1445" w:type="dxa"/>
            <w:tcBorders>
              <w:top w:val="single" w:sz="6" w:space="0" w:color="000000"/>
            </w:tcBorders>
          </w:tcPr>
          <w:p>
            <w:pPr>
              <w:pStyle w:val="TableParagraph"/>
              <w:spacing w:line="250" w:lineRule="exact" w:before="1"/>
              <w:ind w:left="510"/>
              <w:rPr>
                <w:sz w:val="21"/>
              </w:rPr>
            </w:pPr>
            <w:r>
              <w:rPr>
                <w:sz w:val="21"/>
              </w:rPr>
              <w:t>合计 </w:t>
            </w:r>
          </w:p>
        </w:tc>
        <w:tc>
          <w:tcPr>
            <w:tcW w:w="1215" w:type="dxa"/>
            <w:tcBorders>
              <w:top w:val="single" w:sz="6" w:space="0" w:color="000000"/>
            </w:tcBorders>
          </w:tcPr>
          <w:p>
            <w:pPr>
              <w:pStyle w:val="TableParagraph"/>
              <w:spacing w:line="250" w:lineRule="exact" w:before="1"/>
              <w:ind w:left="112"/>
              <w:rPr>
                <w:sz w:val="24"/>
              </w:rPr>
            </w:pPr>
            <w:r>
              <w:rPr>
                <w:sz w:val="21"/>
              </w:rPr>
              <w:t>-671</w:t>
            </w:r>
            <w:r>
              <w:rPr>
                <w:sz w:val="24"/>
              </w:rPr>
              <w:t> </w:t>
            </w:r>
          </w:p>
        </w:tc>
        <w:tc>
          <w:tcPr>
            <w:tcW w:w="1315" w:type="dxa"/>
            <w:tcBorders>
              <w:top w:val="single" w:sz="6" w:space="0" w:color="000000"/>
            </w:tcBorders>
          </w:tcPr>
          <w:p>
            <w:pPr>
              <w:pStyle w:val="TableParagraph"/>
              <w:spacing w:line="250" w:lineRule="exact" w:before="1"/>
              <w:ind w:left="109"/>
              <w:rPr>
                <w:sz w:val="21"/>
              </w:rPr>
            </w:pPr>
            <w:r>
              <w:rPr>
                <w:sz w:val="21"/>
              </w:rPr>
              <w:t>-27 </w:t>
            </w:r>
          </w:p>
        </w:tc>
        <w:tc>
          <w:tcPr>
            <w:tcW w:w="1212" w:type="dxa"/>
            <w:tcBorders>
              <w:top w:val="single" w:sz="6" w:space="0" w:color="000000"/>
            </w:tcBorders>
          </w:tcPr>
          <w:p>
            <w:pPr>
              <w:pStyle w:val="TableParagraph"/>
              <w:spacing w:line="250" w:lineRule="exact" w:before="1"/>
              <w:ind w:left="112"/>
              <w:rPr>
                <w:sz w:val="21"/>
              </w:rPr>
            </w:pPr>
            <w:r>
              <w:rPr>
                <w:w w:val="100"/>
                <w:sz w:val="21"/>
              </w:rPr>
              <w:t> </w:t>
            </w:r>
          </w:p>
        </w:tc>
        <w:tc>
          <w:tcPr>
            <w:tcW w:w="1216" w:type="dxa"/>
            <w:tcBorders>
              <w:top w:val="single" w:sz="6" w:space="0" w:color="000000"/>
            </w:tcBorders>
          </w:tcPr>
          <w:p>
            <w:pPr>
              <w:pStyle w:val="TableParagraph"/>
              <w:rPr>
                <w:rFonts w:ascii="Times New Roman"/>
                <w:sz w:val="20"/>
              </w:rPr>
            </w:pPr>
          </w:p>
        </w:tc>
        <w:tc>
          <w:tcPr>
            <w:tcW w:w="1212" w:type="dxa"/>
            <w:tcBorders>
              <w:top w:val="single" w:sz="6" w:space="0" w:color="000000"/>
            </w:tcBorders>
          </w:tcPr>
          <w:p>
            <w:pPr>
              <w:pStyle w:val="TableParagraph"/>
              <w:rPr>
                <w:rFonts w:ascii="Times New Roman"/>
                <w:sz w:val="20"/>
              </w:rPr>
            </w:pPr>
          </w:p>
        </w:tc>
        <w:tc>
          <w:tcPr>
            <w:tcW w:w="1207" w:type="dxa"/>
            <w:tcBorders>
              <w:top w:val="single" w:sz="6" w:space="0" w:color="000000"/>
            </w:tcBorders>
          </w:tcPr>
          <w:p>
            <w:pPr>
              <w:pStyle w:val="TableParagraph"/>
              <w:spacing w:line="250" w:lineRule="exact" w:before="1"/>
              <w:ind w:left="111"/>
              <w:rPr>
                <w:sz w:val="24"/>
              </w:rPr>
            </w:pPr>
            <w:r>
              <w:rPr>
                <w:sz w:val="21"/>
              </w:rPr>
              <w:t>-698</w:t>
            </w:r>
            <w:r>
              <w:rPr>
                <w:sz w:val="24"/>
              </w:rPr>
              <w:t> </w:t>
            </w:r>
          </w:p>
        </w:tc>
      </w:tr>
    </w:tbl>
    <w:p>
      <w:pPr>
        <w:pStyle w:val="BodyText"/>
        <w:spacing w:before="7"/>
        <w:ind w:left="0"/>
        <w:rPr>
          <w:sz w:val="14"/>
        </w:rPr>
      </w:pPr>
    </w:p>
    <w:p>
      <w:pPr>
        <w:pStyle w:val="BodyText"/>
        <w:spacing w:before="71"/>
      </w:pPr>
      <w:r>
        <w:rPr>
          <w:spacing w:val="-1"/>
        </w:rPr>
        <w:t>其中本期坏账准备收回或转回金额重要的：</w:t>
      </w:r>
      <w:r>
        <w:rPr/>
        <w:t> </w:t>
      </w:r>
    </w:p>
    <w:p>
      <w:pPr>
        <w:pStyle w:val="BodyText"/>
        <w:spacing w:before="2"/>
      </w:pPr>
      <w:r>
        <w:rPr>
          <w:spacing w:val="-1"/>
        </w:rPr>
        <w:t>□适用 √不适用</w:t>
      </w:r>
      <w:r>
        <w:rPr>
          <w:spacing w:val="-3"/>
        </w:rPr>
        <w:t> </w:t>
      </w:r>
      <w:r>
        <w:rPr/>
        <w:t> </w:t>
      </w:r>
    </w:p>
    <w:p>
      <w:pPr>
        <w:pStyle w:val="BodyText"/>
        <w:spacing w:before="5"/>
      </w:pPr>
      <w:r>
        <w:rPr>
          <w:w w:val="100"/>
        </w:rPr>
        <w:t> </w:t>
      </w:r>
    </w:p>
    <w:p>
      <w:pPr>
        <w:pStyle w:val="BodyText"/>
        <w:spacing w:before="2"/>
      </w:pPr>
      <w:r>
        <w:rPr>
          <w:w w:val="100"/>
        </w:rPr>
        <w:t> </w:t>
      </w:r>
    </w:p>
    <w:p>
      <w:pPr>
        <w:pStyle w:val="ListParagraph"/>
        <w:numPr>
          <w:ilvl w:val="0"/>
          <w:numId w:val="93"/>
        </w:numPr>
        <w:tabs>
          <w:tab w:pos="743" w:val="left" w:leader="none"/>
        </w:tabs>
        <w:spacing w:line="240" w:lineRule="auto" w:before="65" w:after="0"/>
        <w:ind w:left="742" w:right="0" w:hanging="425"/>
        <w:jc w:val="left"/>
        <w:rPr>
          <w:sz w:val="21"/>
        </w:rPr>
      </w:pPr>
      <w:r>
        <w:rPr>
          <w:sz w:val="21"/>
        </w:rPr>
        <w:t>本期实际核销的应收账款情况 </w:t>
      </w:r>
    </w:p>
    <w:p>
      <w:pPr>
        <w:pStyle w:val="BodyText"/>
        <w:spacing w:before="62"/>
      </w:pPr>
      <w:r>
        <w:rPr>
          <w:spacing w:val="-1"/>
        </w:rPr>
        <w:t>□适用 √不适用</w:t>
      </w:r>
      <w:r>
        <w:rPr>
          <w:spacing w:val="-3"/>
        </w:rPr>
        <w:t> </w:t>
      </w:r>
      <w:r>
        <w:rPr/>
        <w:t> </w:t>
      </w:r>
    </w:p>
    <w:p>
      <w:pPr>
        <w:pStyle w:val="BodyText"/>
        <w:spacing w:before="4"/>
      </w:pPr>
      <w:r>
        <w:rPr>
          <w:spacing w:val="-1"/>
        </w:rPr>
        <w:t>其中重要的应收账款核销情况</w:t>
      </w:r>
      <w:r>
        <w:rPr/>
        <w:t> </w:t>
      </w:r>
    </w:p>
    <w:p>
      <w:pPr>
        <w:spacing w:after="0"/>
        <w:sectPr>
          <w:headerReference w:type="default" r:id="rId68"/>
          <w:footerReference w:type="default" r:id="rId69"/>
          <w:pgSz w:w="11910" w:h="16840"/>
          <w:pgMar w:header="882" w:footer="1546" w:top="1120" w:bottom="1740" w:left="1480" w:right="0"/>
        </w:sectPr>
      </w:pPr>
    </w:p>
    <w:p>
      <w:pPr>
        <w:pStyle w:val="BodyText"/>
        <w:spacing w:before="7"/>
        <w:ind w:left="0"/>
        <w:rPr>
          <w:sz w:val="25"/>
        </w:rPr>
      </w:pPr>
    </w:p>
    <w:p>
      <w:pPr>
        <w:pStyle w:val="BodyText"/>
        <w:spacing w:before="72"/>
      </w:pPr>
      <w:r>
        <w:rPr>
          <w:w w:val="100"/>
        </w:rPr>
        <w:t> </w:t>
      </w:r>
    </w:p>
    <w:p>
      <w:pPr>
        <w:pStyle w:val="BodyText"/>
        <w:spacing w:before="5"/>
      </w:pPr>
      <w:r>
        <w:rPr>
          <w:w w:val="100"/>
        </w:rPr>
        <w:t> </w:t>
      </w:r>
    </w:p>
    <w:p>
      <w:pPr>
        <w:pStyle w:val="ListParagraph"/>
        <w:numPr>
          <w:ilvl w:val="0"/>
          <w:numId w:val="93"/>
        </w:numPr>
        <w:tabs>
          <w:tab w:pos="743" w:val="left" w:leader="none"/>
        </w:tabs>
        <w:spacing w:line="240" w:lineRule="auto" w:before="62" w:after="0"/>
        <w:ind w:left="742" w:right="0" w:hanging="425"/>
        <w:jc w:val="left"/>
        <w:rPr>
          <w:sz w:val="21"/>
        </w:rPr>
      </w:pPr>
      <w:r>
        <w:rPr>
          <w:sz w:val="21"/>
        </w:rPr>
        <w:t>按欠款方归集的期末余额前五名的应收账款情况 </w:t>
      </w:r>
    </w:p>
    <w:p>
      <w:pPr>
        <w:pStyle w:val="BodyText"/>
        <w:spacing w:before="65"/>
      </w:pPr>
      <w:r>
        <w:rPr>
          <w:spacing w:val="11"/>
        </w:rPr>
        <w:t>√适用 □不适用</w:t>
      </w:r>
      <w:r>
        <w:rPr>
          <w:spacing w:val="-3"/>
        </w:rPr>
        <w:t> </w:t>
      </w:r>
      <w:r>
        <w:rPr/>
        <w:t> </w:t>
      </w:r>
    </w:p>
    <w:p>
      <w:pPr>
        <w:pStyle w:val="BodyText"/>
        <w:spacing w:before="2" w:after="3"/>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4"/>
        <w:gridCol w:w="2203"/>
        <w:gridCol w:w="2203"/>
        <w:gridCol w:w="2203"/>
      </w:tblGrid>
      <w:tr>
        <w:trPr>
          <w:trHeight w:val="544" w:hRule="atLeast"/>
        </w:trPr>
        <w:tc>
          <w:tcPr>
            <w:tcW w:w="2204" w:type="dxa"/>
          </w:tcPr>
          <w:p>
            <w:pPr>
              <w:pStyle w:val="TableParagraph"/>
              <w:spacing w:before="138"/>
              <w:ind w:left="628"/>
              <w:rPr>
                <w:sz w:val="21"/>
              </w:rPr>
            </w:pPr>
            <w:r>
              <w:rPr>
                <w:spacing w:val="-1"/>
                <w:sz w:val="21"/>
              </w:rPr>
              <w:t>单位名称</w:t>
            </w:r>
            <w:r>
              <w:rPr>
                <w:sz w:val="21"/>
              </w:rPr>
              <w:t> </w:t>
            </w:r>
          </w:p>
        </w:tc>
        <w:tc>
          <w:tcPr>
            <w:tcW w:w="2203" w:type="dxa"/>
          </w:tcPr>
          <w:p>
            <w:pPr>
              <w:pStyle w:val="TableParagraph"/>
              <w:spacing w:before="138"/>
              <w:ind w:left="645"/>
              <w:rPr>
                <w:sz w:val="21"/>
              </w:rPr>
            </w:pPr>
            <w:r>
              <w:rPr>
                <w:spacing w:val="-1"/>
                <w:sz w:val="21"/>
              </w:rPr>
              <w:t>期末余额</w:t>
            </w:r>
            <w:r>
              <w:rPr>
                <w:sz w:val="21"/>
              </w:rPr>
              <w:t> </w:t>
            </w:r>
          </w:p>
        </w:tc>
        <w:tc>
          <w:tcPr>
            <w:tcW w:w="2203" w:type="dxa"/>
          </w:tcPr>
          <w:p>
            <w:pPr>
              <w:pStyle w:val="TableParagraph"/>
              <w:spacing w:before="1"/>
              <w:ind w:right="141"/>
              <w:jc w:val="right"/>
              <w:rPr>
                <w:sz w:val="21"/>
              </w:rPr>
            </w:pPr>
            <w:r>
              <w:rPr>
                <w:sz w:val="21"/>
              </w:rPr>
              <w:t>占应收账款期末余额</w:t>
            </w:r>
          </w:p>
          <w:p>
            <w:pPr>
              <w:pStyle w:val="TableParagraph"/>
              <w:spacing w:line="252" w:lineRule="exact" w:before="2"/>
              <w:ind w:right="196"/>
              <w:jc w:val="right"/>
              <w:rPr>
                <w:sz w:val="21"/>
              </w:rPr>
            </w:pPr>
            <w:r>
              <w:rPr>
                <w:spacing w:val="-1"/>
                <w:sz w:val="21"/>
              </w:rPr>
              <w:t>合计数的比例(%)</w:t>
            </w:r>
            <w:r>
              <w:rPr>
                <w:sz w:val="21"/>
              </w:rPr>
              <w:t> </w:t>
            </w:r>
          </w:p>
        </w:tc>
        <w:tc>
          <w:tcPr>
            <w:tcW w:w="2203" w:type="dxa"/>
          </w:tcPr>
          <w:p>
            <w:pPr>
              <w:pStyle w:val="TableParagraph"/>
              <w:spacing w:before="138"/>
              <w:ind w:left="261"/>
              <w:rPr>
                <w:sz w:val="21"/>
              </w:rPr>
            </w:pPr>
            <w:r>
              <w:rPr>
                <w:spacing w:val="-1"/>
                <w:sz w:val="21"/>
              </w:rPr>
              <w:t>坏账准备期末余额</w:t>
            </w:r>
            <w:r>
              <w:rPr>
                <w:sz w:val="21"/>
              </w:rPr>
              <w:t> </w:t>
            </w:r>
          </w:p>
        </w:tc>
      </w:tr>
      <w:tr>
        <w:trPr>
          <w:trHeight w:val="544" w:hRule="atLeast"/>
        </w:trPr>
        <w:tc>
          <w:tcPr>
            <w:tcW w:w="2204" w:type="dxa"/>
          </w:tcPr>
          <w:p>
            <w:pPr>
              <w:pStyle w:val="TableParagraph"/>
              <w:spacing w:before="1"/>
              <w:ind w:left="107"/>
              <w:rPr>
                <w:sz w:val="21"/>
              </w:rPr>
            </w:pPr>
            <w:r>
              <w:rPr>
                <w:sz w:val="21"/>
              </w:rPr>
              <w:t>余额前五名的应收</w:t>
            </w:r>
          </w:p>
          <w:p>
            <w:pPr>
              <w:pStyle w:val="TableParagraph"/>
              <w:spacing w:line="250" w:lineRule="exact" w:before="4"/>
              <w:ind w:left="107"/>
              <w:rPr>
                <w:sz w:val="21"/>
              </w:rPr>
            </w:pPr>
            <w:r>
              <w:rPr>
                <w:spacing w:val="-1"/>
                <w:sz w:val="21"/>
              </w:rPr>
              <w:t>账款总项</w:t>
            </w:r>
            <w:r>
              <w:rPr>
                <w:sz w:val="21"/>
              </w:rPr>
              <w:t> </w:t>
            </w:r>
          </w:p>
        </w:tc>
        <w:tc>
          <w:tcPr>
            <w:tcW w:w="2203" w:type="dxa"/>
          </w:tcPr>
          <w:p>
            <w:pPr>
              <w:pStyle w:val="TableParagraph"/>
              <w:spacing w:before="1"/>
              <w:ind w:right="62"/>
              <w:jc w:val="right"/>
              <w:rPr>
                <w:sz w:val="21"/>
              </w:rPr>
            </w:pPr>
            <w:r>
              <w:rPr>
                <w:sz w:val="21"/>
              </w:rPr>
              <w:t>49,715 </w:t>
            </w:r>
          </w:p>
        </w:tc>
        <w:tc>
          <w:tcPr>
            <w:tcW w:w="2203" w:type="dxa"/>
          </w:tcPr>
          <w:p>
            <w:pPr>
              <w:pStyle w:val="TableParagraph"/>
              <w:spacing w:before="1"/>
              <w:ind w:right="-15"/>
              <w:jc w:val="right"/>
              <w:rPr>
                <w:sz w:val="21"/>
              </w:rPr>
            </w:pPr>
            <w:r>
              <w:rPr>
                <w:sz w:val="21"/>
              </w:rPr>
              <w:t>71% </w:t>
            </w:r>
          </w:p>
        </w:tc>
        <w:tc>
          <w:tcPr>
            <w:tcW w:w="2203" w:type="dxa"/>
          </w:tcPr>
          <w:p>
            <w:pPr>
              <w:pStyle w:val="TableParagraph"/>
              <w:spacing w:before="1"/>
              <w:ind w:right="-15"/>
              <w:jc w:val="right"/>
              <w:rPr>
                <w:sz w:val="21"/>
              </w:rPr>
            </w:pPr>
            <w:r>
              <w:rPr>
                <w:sz w:val="21"/>
              </w:rPr>
              <w:t>-497 </w:t>
            </w:r>
          </w:p>
        </w:tc>
      </w:tr>
      <w:tr>
        <w:trPr>
          <w:trHeight w:val="273" w:hRule="atLeast"/>
        </w:trPr>
        <w:tc>
          <w:tcPr>
            <w:tcW w:w="2204" w:type="dxa"/>
          </w:tcPr>
          <w:p>
            <w:pPr>
              <w:pStyle w:val="TableParagraph"/>
              <w:spacing w:line="252" w:lineRule="exact" w:before="1"/>
              <w:ind w:left="107"/>
              <w:rPr>
                <w:sz w:val="21"/>
              </w:rPr>
            </w:pPr>
            <w:r>
              <w:rPr>
                <w:w w:val="100"/>
                <w:sz w:val="21"/>
              </w:rPr>
              <w:t> </w:t>
            </w:r>
          </w:p>
        </w:tc>
        <w:tc>
          <w:tcPr>
            <w:tcW w:w="2203" w:type="dxa"/>
          </w:tcPr>
          <w:p>
            <w:pPr>
              <w:pStyle w:val="TableParagraph"/>
              <w:spacing w:line="252" w:lineRule="exact" w:before="1"/>
              <w:ind w:right="62"/>
              <w:jc w:val="right"/>
              <w:rPr>
                <w:sz w:val="21"/>
              </w:rPr>
            </w:pPr>
            <w:r>
              <w:rPr>
                <w:w w:val="100"/>
                <w:sz w:val="21"/>
              </w:rPr>
              <w:t> </w:t>
            </w:r>
          </w:p>
        </w:tc>
        <w:tc>
          <w:tcPr>
            <w:tcW w:w="2203" w:type="dxa"/>
          </w:tcPr>
          <w:p>
            <w:pPr>
              <w:pStyle w:val="TableParagraph"/>
              <w:spacing w:line="252" w:lineRule="exact" w:before="1"/>
              <w:ind w:right="-15"/>
              <w:jc w:val="right"/>
              <w:rPr>
                <w:sz w:val="21"/>
              </w:rPr>
            </w:pPr>
            <w:r>
              <w:rPr>
                <w:w w:val="100"/>
                <w:sz w:val="21"/>
              </w:rPr>
              <w:t> </w:t>
            </w:r>
          </w:p>
        </w:tc>
        <w:tc>
          <w:tcPr>
            <w:tcW w:w="2203" w:type="dxa"/>
          </w:tcPr>
          <w:p>
            <w:pPr>
              <w:pStyle w:val="TableParagraph"/>
              <w:spacing w:line="252" w:lineRule="exact" w:before="1"/>
              <w:ind w:right="-15"/>
              <w:jc w:val="right"/>
              <w:rPr>
                <w:sz w:val="21"/>
              </w:rPr>
            </w:pPr>
            <w:r>
              <w:rPr>
                <w:w w:val="100"/>
                <w:sz w:val="21"/>
              </w:rPr>
              <w:t> </w:t>
            </w:r>
          </w:p>
        </w:tc>
      </w:tr>
      <w:tr>
        <w:trPr>
          <w:trHeight w:val="270" w:hRule="atLeast"/>
        </w:trPr>
        <w:tc>
          <w:tcPr>
            <w:tcW w:w="2204" w:type="dxa"/>
          </w:tcPr>
          <w:p>
            <w:pPr>
              <w:pStyle w:val="TableParagraph"/>
              <w:spacing w:line="250" w:lineRule="exact" w:before="1"/>
              <w:ind w:left="107"/>
              <w:rPr>
                <w:sz w:val="21"/>
              </w:rPr>
            </w:pPr>
            <w:r>
              <w:rPr>
                <w:w w:val="100"/>
                <w:sz w:val="21"/>
              </w:rPr>
              <w:t> </w:t>
            </w:r>
          </w:p>
        </w:tc>
        <w:tc>
          <w:tcPr>
            <w:tcW w:w="2203" w:type="dxa"/>
          </w:tcPr>
          <w:p>
            <w:pPr>
              <w:pStyle w:val="TableParagraph"/>
              <w:spacing w:line="250" w:lineRule="exact" w:before="1"/>
              <w:ind w:right="62"/>
              <w:jc w:val="right"/>
              <w:rPr>
                <w:sz w:val="21"/>
              </w:rPr>
            </w:pPr>
            <w:r>
              <w:rPr>
                <w:w w:val="100"/>
                <w:sz w:val="21"/>
              </w:rPr>
              <w:t> </w:t>
            </w:r>
          </w:p>
        </w:tc>
        <w:tc>
          <w:tcPr>
            <w:tcW w:w="2203" w:type="dxa"/>
          </w:tcPr>
          <w:p>
            <w:pPr>
              <w:pStyle w:val="TableParagraph"/>
              <w:spacing w:line="250" w:lineRule="exact" w:before="1"/>
              <w:ind w:right="-15"/>
              <w:jc w:val="right"/>
              <w:rPr>
                <w:sz w:val="21"/>
              </w:rPr>
            </w:pPr>
            <w:r>
              <w:rPr>
                <w:w w:val="100"/>
                <w:sz w:val="21"/>
              </w:rPr>
              <w:t> </w:t>
            </w:r>
          </w:p>
        </w:tc>
        <w:tc>
          <w:tcPr>
            <w:tcW w:w="2203" w:type="dxa"/>
          </w:tcPr>
          <w:p>
            <w:pPr>
              <w:pStyle w:val="TableParagraph"/>
              <w:spacing w:line="250" w:lineRule="exact" w:before="1"/>
              <w:ind w:right="-15"/>
              <w:jc w:val="right"/>
              <w:rPr>
                <w:sz w:val="21"/>
              </w:rPr>
            </w:pPr>
            <w:r>
              <w:rPr>
                <w:w w:val="100"/>
                <w:sz w:val="21"/>
              </w:rPr>
              <w:t> </w:t>
            </w:r>
          </w:p>
        </w:tc>
      </w:tr>
      <w:tr>
        <w:trPr>
          <w:trHeight w:val="273" w:hRule="atLeast"/>
        </w:trPr>
        <w:tc>
          <w:tcPr>
            <w:tcW w:w="2204" w:type="dxa"/>
          </w:tcPr>
          <w:p>
            <w:pPr>
              <w:pStyle w:val="TableParagraph"/>
              <w:spacing w:line="252" w:lineRule="exact" w:before="1"/>
              <w:ind w:left="107"/>
              <w:rPr>
                <w:sz w:val="21"/>
              </w:rPr>
            </w:pPr>
            <w:r>
              <w:rPr>
                <w:w w:val="100"/>
                <w:sz w:val="21"/>
              </w:rPr>
              <w:t> </w:t>
            </w:r>
          </w:p>
        </w:tc>
        <w:tc>
          <w:tcPr>
            <w:tcW w:w="2203" w:type="dxa"/>
          </w:tcPr>
          <w:p>
            <w:pPr>
              <w:pStyle w:val="TableParagraph"/>
              <w:spacing w:line="252" w:lineRule="exact" w:before="1"/>
              <w:ind w:right="62"/>
              <w:jc w:val="right"/>
              <w:rPr>
                <w:sz w:val="21"/>
              </w:rPr>
            </w:pPr>
            <w:r>
              <w:rPr>
                <w:w w:val="100"/>
                <w:sz w:val="21"/>
              </w:rPr>
              <w:t> </w:t>
            </w:r>
          </w:p>
        </w:tc>
        <w:tc>
          <w:tcPr>
            <w:tcW w:w="2203" w:type="dxa"/>
          </w:tcPr>
          <w:p>
            <w:pPr>
              <w:pStyle w:val="TableParagraph"/>
              <w:spacing w:line="252" w:lineRule="exact" w:before="1"/>
              <w:ind w:right="-15"/>
              <w:jc w:val="right"/>
              <w:rPr>
                <w:sz w:val="21"/>
              </w:rPr>
            </w:pPr>
            <w:r>
              <w:rPr>
                <w:w w:val="100"/>
                <w:sz w:val="21"/>
              </w:rPr>
              <w:t> </w:t>
            </w:r>
          </w:p>
        </w:tc>
        <w:tc>
          <w:tcPr>
            <w:tcW w:w="2203" w:type="dxa"/>
          </w:tcPr>
          <w:p>
            <w:pPr>
              <w:pStyle w:val="TableParagraph"/>
              <w:spacing w:line="252" w:lineRule="exact" w:before="1"/>
              <w:ind w:right="-15"/>
              <w:jc w:val="right"/>
              <w:rPr>
                <w:sz w:val="21"/>
              </w:rPr>
            </w:pPr>
            <w:r>
              <w:rPr>
                <w:w w:val="100"/>
                <w:sz w:val="21"/>
              </w:rPr>
              <w:t> </w:t>
            </w:r>
          </w:p>
        </w:tc>
      </w:tr>
      <w:tr>
        <w:trPr>
          <w:trHeight w:val="273" w:hRule="atLeast"/>
        </w:trPr>
        <w:tc>
          <w:tcPr>
            <w:tcW w:w="2204" w:type="dxa"/>
          </w:tcPr>
          <w:p>
            <w:pPr>
              <w:pStyle w:val="TableParagraph"/>
              <w:spacing w:line="252" w:lineRule="exact" w:before="1"/>
              <w:ind w:left="107"/>
              <w:rPr>
                <w:sz w:val="21"/>
              </w:rPr>
            </w:pPr>
            <w:r>
              <w:rPr>
                <w:w w:val="100"/>
                <w:sz w:val="21"/>
              </w:rPr>
              <w:t> </w:t>
            </w:r>
          </w:p>
        </w:tc>
        <w:tc>
          <w:tcPr>
            <w:tcW w:w="2203" w:type="dxa"/>
          </w:tcPr>
          <w:p>
            <w:pPr>
              <w:pStyle w:val="TableParagraph"/>
              <w:spacing w:line="252" w:lineRule="exact" w:before="1"/>
              <w:ind w:right="62"/>
              <w:jc w:val="right"/>
              <w:rPr>
                <w:sz w:val="21"/>
              </w:rPr>
            </w:pPr>
            <w:r>
              <w:rPr>
                <w:w w:val="100"/>
                <w:sz w:val="21"/>
              </w:rPr>
              <w:t> </w:t>
            </w:r>
          </w:p>
        </w:tc>
        <w:tc>
          <w:tcPr>
            <w:tcW w:w="2203" w:type="dxa"/>
          </w:tcPr>
          <w:p>
            <w:pPr>
              <w:pStyle w:val="TableParagraph"/>
              <w:spacing w:line="252" w:lineRule="exact" w:before="1"/>
              <w:ind w:right="-15"/>
              <w:jc w:val="right"/>
              <w:rPr>
                <w:sz w:val="21"/>
              </w:rPr>
            </w:pPr>
            <w:r>
              <w:rPr>
                <w:w w:val="100"/>
                <w:sz w:val="21"/>
              </w:rPr>
              <w:t> </w:t>
            </w:r>
          </w:p>
        </w:tc>
        <w:tc>
          <w:tcPr>
            <w:tcW w:w="2203" w:type="dxa"/>
          </w:tcPr>
          <w:p>
            <w:pPr>
              <w:pStyle w:val="TableParagraph"/>
              <w:spacing w:line="252" w:lineRule="exact" w:before="1"/>
              <w:ind w:right="-15"/>
              <w:jc w:val="right"/>
              <w:rPr>
                <w:sz w:val="21"/>
              </w:rPr>
            </w:pPr>
            <w:r>
              <w:rPr>
                <w:w w:val="100"/>
                <w:sz w:val="21"/>
              </w:rPr>
              <w:t> </w:t>
            </w:r>
          </w:p>
        </w:tc>
      </w:tr>
      <w:tr>
        <w:trPr>
          <w:trHeight w:val="271" w:hRule="atLeast"/>
        </w:trPr>
        <w:tc>
          <w:tcPr>
            <w:tcW w:w="2204" w:type="dxa"/>
          </w:tcPr>
          <w:p>
            <w:pPr>
              <w:pStyle w:val="TableParagraph"/>
              <w:spacing w:line="250" w:lineRule="exact" w:before="1"/>
              <w:ind w:left="870" w:right="864"/>
              <w:jc w:val="center"/>
              <w:rPr>
                <w:sz w:val="21"/>
              </w:rPr>
            </w:pPr>
            <w:r>
              <w:rPr>
                <w:sz w:val="21"/>
              </w:rPr>
              <w:t>合计 </w:t>
            </w:r>
          </w:p>
        </w:tc>
        <w:tc>
          <w:tcPr>
            <w:tcW w:w="2203" w:type="dxa"/>
          </w:tcPr>
          <w:p>
            <w:pPr>
              <w:pStyle w:val="TableParagraph"/>
              <w:spacing w:line="250" w:lineRule="exact" w:before="1"/>
              <w:ind w:right="62"/>
              <w:jc w:val="right"/>
              <w:rPr>
                <w:sz w:val="21"/>
              </w:rPr>
            </w:pPr>
            <w:r>
              <w:rPr>
                <w:sz w:val="21"/>
              </w:rPr>
              <w:t>49,715 </w:t>
            </w:r>
          </w:p>
        </w:tc>
        <w:tc>
          <w:tcPr>
            <w:tcW w:w="2203" w:type="dxa"/>
          </w:tcPr>
          <w:p>
            <w:pPr>
              <w:pStyle w:val="TableParagraph"/>
              <w:spacing w:line="250" w:lineRule="exact" w:before="1"/>
              <w:ind w:right="-15"/>
              <w:jc w:val="right"/>
              <w:rPr>
                <w:sz w:val="21"/>
              </w:rPr>
            </w:pPr>
            <w:r>
              <w:rPr>
                <w:sz w:val="21"/>
              </w:rPr>
              <w:t>71% </w:t>
            </w:r>
          </w:p>
        </w:tc>
        <w:tc>
          <w:tcPr>
            <w:tcW w:w="2203" w:type="dxa"/>
          </w:tcPr>
          <w:p>
            <w:pPr>
              <w:pStyle w:val="TableParagraph"/>
              <w:spacing w:line="250" w:lineRule="exact" w:before="1"/>
              <w:ind w:right="-15"/>
              <w:jc w:val="right"/>
              <w:rPr>
                <w:sz w:val="21"/>
              </w:rPr>
            </w:pPr>
            <w:r>
              <w:rPr>
                <w:sz w:val="21"/>
              </w:rPr>
              <w:t>-497 </w:t>
            </w:r>
          </w:p>
        </w:tc>
      </w:tr>
    </w:tbl>
    <w:p>
      <w:pPr>
        <w:pStyle w:val="BodyText"/>
        <w:spacing w:before="1"/>
      </w:pPr>
      <w:r>
        <w:rPr>
          <w:w w:val="100"/>
        </w:rPr>
        <w:t> </w:t>
      </w:r>
    </w:p>
    <w:p>
      <w:pPr>
        <w:pStyle w:val="BodyText"/>
        <w:spacing w:line="242" w:lineRule="auto" w:before="4"/>
        <w:ind w:right="9160"/>
      </w:pPr>
      <w:r>
        <w:rPr/>
        <w:t>其他说明无 </w:t>
      </w:r>
    </w:p>
    <w:p>
      <w:pPr>
        <w:pStyle w:val="BodyText"/>
        <w:spacing w:before="7"/>
        <w:ind w:left="0"/>
        <w:rPr>
          <w:sz w:val="23"/>
        </w:rPr>
      </w:pPr>
    </w:p>
    <w:p>
      <w:pPr>
        <w:pStyle w:val="ListParagraph"/>
        <w:numPr>
          <w:ilvl w:val="0"/>
          <w:numId w:val="93"/>
        </w:numPr>
        <w:tabs>
          <w:tab w:pos="743" w:val="left" w:leader="none"/>
        </w:tabs>
        <w:spacing w:line="240" w:lineRule="auto" w:before="0" w:after="0"/>
        <w:ind w:left="742" w:right="0" w:hanging="425"/>
        <w:jc w:val="left"/>
        <w:rPr>
          <w:sz w:val="21"/>
        </w:rPr>
      </w:pPr>
      <w:r>
        <w:rPr>
          <w:sz w:val="21"/>
        </w:rPr>
        <w:t>因金融资产转移而终止确认的应收账款 </w:t>
      </w:r>
    </w:p>
    <w:p>
      <w:pPr>
        <w:pStyle w:val="BodyText"/>
        <w:spacing w:before="65"/>
      </w:pPr>
      <w:r>
        <w:rPr>
          <w:spacing w:val="11"/>
        </w:rPr>
        <w:t>□适用 √不适用</w:t>
      </w:r>
      <w:r>
        <w:rPr>
          <w:spacing w:val="-3"/>
        </w:rPr>
        <w:t> </w:t>
      </w:r>
      <w:r>
        <w:rPr/>
        <w:t> </w:t>
      </w:r>
    </w:p>
    <w:p>
      <w:pPr>
        <w:pStyle w:val="BodyText"/>
        <w:spacing w:before="9"/>
        <w:ind w:left="0"/>
        <w:rPr>
          <w:sz w:val="23"/>
        </w:rPr>
      </w:pPr>
    </w:p>
    <w:p>
      <w:pPr>
        <w:pStyle w:val="ListParagraph"/>
        <w:numPr>
          <w:ilvl w:val="0"/>
          <w:numId w:val="93"/>
        </w:numPr>
        <w:tabs>
          <w:tab w:pos="743" w:val="left" w:leader="none"/>
        </w:tabs>
        <w:spacing w:line="240" w:lineRule="auto" w:before="0" w:after="0"/>
        <w:ind w:left="742" w:right="0" w:hanging="425"/>
        <w:jc w:val="left"/>
        <w:rPr>
          <w:sz w:val="21"/>
        </w:rPr>
      </w:pPr>
      <w:r>
        <w:rPr>
          <w:sz w:val="21"/>
        </w:rPr>
        <w:t>转移应收账款且继续涉入形成的资产、负债金额 </w:t>
      </w:r>
    </w:p>
    <w:p>
      <w:pPr>
        <w:pStyle w:val="BodyText"/>
        <w:spacing w:before="65"/>
      </w:pPr>
      <w:r>
        <w:rPr>
          <w:spacing w:val="11"/>
        </w:rPr>
        <w:t>□适用 √不适用</w:t>
      </w:r>
      <w:r>
        <w:rPr/>
        <w:t> </w:t>
      </w:r>
    </w:p>
    <w:p>
      <w:pPr>
        <w:pStyle w:val="BodyText"/>
        <w:spacing w:before="6"/>
        <w:ind w:left="0"/>
        <w:rPr>
          <w:sz w:val="13"/>
        </w:rPr>
      </w:pPr>
    </w:p>
    <w:p>
      <w:pPr>
        <w:pStyle w:val="BodyText"/>
        <w:spacing w:before="72"/>
      </w:pPr>
      <w:r>
        <w:rPr/>
        <w:t>其他说明： </w:t>
      </w:r>
    </w:p>
    <w:p>
      <w:pPr>
        <w:pStyle w:val="BodyText"/>
        <w:spacing w:before="2"/>
      </w:pPr>
      <w:r>
        <w:rPr>
          <w:spacing w:val="-1"/>
        </w:rPr>
        <w:t>□适用 √不适用</w:t>
      </w:r>
      <w:r>
        <w:rPr>
          <w:spacing w:val="-3"/>
        </w:rPr>
        <w:t> </w:t>
      </w:r>
      <w:r>
        <w:rPr/>
        <w:t> </w:t>
      </w:r>
    </w:p>
    <w:p>
      <w:pPr>
        <w:pStyle w:val="BodyText"/>
        <w:spacing w:before="5"/>
      </w:pPr>
      <w:r>
        <w:rPr>
          <w:w w:val="100"/>
        </w:rPr>
        <w:t> </w:t>
      </w:r>
    </w:p>
    <w:p>
      <w:pPr>
        <w:pStyle w:val="BodyText"/>
        <w:spacing w:line="297" w:lineRule="auto" w:before="62"/>
        <w:ind w:right="8522"/>
      </w:pPr>
      <w:r>
        <w:rPr/>
        <w:t>2、 其他应收款项目列示 </w:t>
      </w:r>
    </w:p>
    <w:p>
      <w:pPr>
        <w:pStyle w:val="BodyText"/>
        <w:spacing w:line="267" w:lineRule="exact"/>
      </w:pPr>
      <w:r>
        <w:rPr>
          <w:spacing w:val="-1"/>
        </w:rPr>
        <w:t>√适用 □不适用</w:t>
      </w:r>
      <w:r>
        <w:rPr>
          <w:spacing w:val="-3"/>
        </w:rPr>
        <w:t> </w:t>
      </w:r>
      <w:r>
        <w:rPr/>
        <w:t> </w:t>
      </w:r>
    </w:p>
    <w:p>
      <w:pPr>
        <w:pStyle w:val="BodyText"/>
        <w:spacing w:before="2" w:after="4"/>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3"/>
        <w:gridCol w:w="2863"/>
        <w:gridCol w:w="2846"/>
      </w:tblGrid>
      <w:tr>
        <w:trPr>
          <w:trHeight w:val="273" w:hRule="atLeast"/>
        </w:trPr>
        <w:tc>
          <w:tcPr>
            <w:tcW w:w="3113" w:type="dxa"/>
          </w:tcPr>
          <w:p>
            <w:pPr>
              <w:pStyle w:val="TableParagraph"/>
              <w:spacing w:line="252" w:lineRule="exact" w:before="1"/>
              <w:ind w:left="1378" w:right="1264"/>
              <w:jc w:val="center"/>
              <w:rPr>
                <w:sz w:val="21"/>
              </w:rPr>
            </w:pPr>
            <w:r>
              <w:rPr>
                <w:sz w:val="21"/>
              </w:rPr>
              <w:t>项目 </w:t>
            </w:r>
          </w:p>
        </w:tc>
        <w:tc>
          <w:tcPr>
            <w:tcW w:w="2863" w:type="dxa"/>
          </w:tcPr>
          <w:p>
            <w:pPr>
              <w:pStyle w:val="TableParagraph"/>
              <w:spacing w:line="252" w:lineRule="exact" w:before="1"/>
              <w:ind w:left="1010"/>
              <w:rPr>
                <w:sz w:val="21"/>
              </w:rPr>
            </w:pPr>
            <w:r>
              <w:rPr>
                <w:spacing w:val="-1"/>
                <w:sz w:val="21"/>
              </w:rPr>
              <w:t>期末余额</w:t>
            </w:r>
            <w:r>
              <w:rPr>
                <w:sz w:val="21"/>
              </w:rPr>
              <w:t> </w:t>
            </w:r>
          </w:p>
        </w:tc>
        <w:tc>
          <w:tcPr>
            <w:tcW w:w="2846" w:type="dxa"/>
          </w:tcPr>
          <w:p>
            <w:pPr>
              <w:pStyle w:val="TableParagraph"/>
              <w:spacing w:line="252" w:lineRule="exact" w:before="1"/>
              <w:ind w:left="1001"/>
              <w:rPr>
                <w:sz w:val="21"/>
              </w:rPr>
            </w:pPr>
            <w:r>
              <w:rPr>
                <w:spacing w:val="-1"/>
                <w:sz w:val="21"/>
              </w:rPr>
              <w:t>期初余额</w:t>
            </w:r>
            <w:r>
              <w:rPr>
                <w:sz w:val="21"/>
              </w:rPr>
              <w:t> </w:t>
            </w:r>
          </w:p>
        </w:tc>
      </w:tr>
      <w:tr>
        <w:trPr>
          <w:trHeight w:val="270" w:hRule="atLeast"/>
        </w:trPr>
        <w:tc>
          <w:tcPr>
            <w:tcW w:w="3113" w:type="dxa"/>
          </w:tcPr>
          <w:p>
            <w:pPr>
              <w:pStyle w:val="TableParagraph"/>
              <w:spacing w:line="250" w:lineRule="exact" w:before="1"/>
              <w:ind w:left="107"/>
              <w:rPr>
                <w:sz w:val="21"/>
              </w:rPr>
            </w:pPr>
            <w:r>
              <w:rPr>
                <w:spacing w:val="-1"/>
                <w:sz w:val="21"/>
              </w:rPr>
              <w:t>应收利息</w:t>
            </w:r>
            <w:r>
              <w:rPr>
                <w:sz w:val="21"/>
              </w:rPr>
              <w:t> </w:t>
            </w:r>
          </w:p>
        </w:tc>
        <w:tc>
          <w:tcPr>
            <w:tcW w:w="2863" w:type="dxa"/>
          </w:tcPr>
          <w:p>
            <w:pPr>
              <w:pStyle w:val="TableParagraph"/>
              <w:spacing w:line="250" w:lineRule="exact" w:before="1"/>
              <w:ind w:right="-15"/>
              <w:jc w:val="right"/>
              <w:rPr>
                <w:sz w:val="21"/>
              </w:rPr>
            </w:pPr>
            <w:r>
              <w:rPr>
                <w:w w:val="100"/>
                <w:sz w:val="21"/>
              </w:rPr>
              <w:t> </w:t>
            </w:r>
          </w:p>
        </w:tc>
        <w:tc>
          <w:tcPr>
            <w:tcW w:w="2846" w:type="dxa"/>
          </w:tcPr>
          <w:p>
            <w:pPr>
              <w:pStyle w:val="TableParagraph"/>
              <w:spacing w:line="250" w:lineRule="exact" w:before="1"/>
              <w:ind w:right="-15"/>
              <w:jc w:val="right"/>
              <w:rPr>
                <w:sz w:val="21"/>
              </w:rPr>
            </w:pPr>
            <w:r>
              <w:rPr>
                <w:w w:val="100"/>
                <w:sz w:val="21"/>
              </w:rPr>
              <w:t> </w:t>
            </w:r>
          </w:p>
        </w:tc>
      </w:tr>
      <w:tr>
        <w:trPr>
          <w:trHeight w:val="273" w:hRule="atLeast"/>
        </w:trPr>
        <w:tc>
          <w:tcPr>
            <w:tcW w:w="3113" w:type="dxa"/>
          </w:tcPr>
          <w:p>
            <w:pPr>
              <w:pStyle w:val="TableParagraph"/>
              <w:spacing w:line="252" w:lineRule="exact" w:before="1"/>
              <w:ind w:left="107"/>
              <w:rPr>
                <w:sz w:val="21"/>
              </w:rPr>
            </w:pPr>
            <w:r>
              <w:rPr>
                <w:spacing w:val="-1"/>
                <w:sz w:val="21"/>
              </w:rPr>
              <w:t>应收股利</w:t>
            </w:r>
            <w:r>
              <w:rPr>
                <w:sz w:val="21"/>
              </w:rPr>
              <w:t> </w:t>
            </w:r>
          </w:p>
        </w:tc>
        <w:tc>
          <w:tcPr>
            <w:tcW w:w="2863" w:type="dxa"/>
          </w:tcPr>
          <w:p>
            <w:pPr>
              <w:pStyle w:val="TableParagraph"/>
              <w:spacing w:line="252" w:lineRule="exact" w:before="1"/>
              <w:ind w:right="-15"/>
              <w:jc w:val="right"/>
              <w:rPr>
                <w:sz w:val="21"/>
              </w:rPr>
            </w:pPr>
            <w:r>
              <w:rPr>
                <w:sz w:val="21"/>
              </w:rPr>
              <w:t>4,016 </w:t>
            </w:r>
          </w:p>
        </w:tc>
        <w:tc>
          <w:tcPr>
            <w:tcW w:w="2846" w:type="dxa"/>
          </w:tcPr>
          <w:p>
            <w:pPr>
              <w:pStyle w:val="TableParagraph"/>
              <w:spacing w:line="252" w:lineRule="exact" w:before="1"/>
              <w:ind w:right="-15"/>
              <w:jc w:val="right"/>
              <w:rPr>
                <w:sz w:val="21"/>
              </w:rPr>
            </w:pPr>
            <w:r>
              <w:rPr>
                <w:sz w:val="21"/>
              </w:rPr>
              <w:t>7,100,000 </w:t>
            </w:r>
          </w:p>
        </w:tc>
      </w:tr>
      <w:tr>
        <w:trPr>
          <w:trHeight w:val="273" w:hRule="atLeast"/>
        </w:trPr>
        <w:tc>
          <w:tcPr>
            <w:tcW w:w="3113" w:type="dxa"/>
          </w:tcPr>
          <w:p>
            <w:pPr>
              <w:pStyle w:val="TableParagraph"/>
              <w:spacing w:line="252" w:lineRule="exact" w:before="1"/>
              <w:ind w:left="107"/>
              <w:rPr>
                <w:sz w:val="21"/>
              </w:rPr>
            </w:pPr>
            <w:r>
              <w:rPr>
                <w:sz w:val="21"/>
              </w:rPr>
              <w:t>其他应收款 </w:t>
            </w:r>
          </w:p>
        </w:tc>
        <w:tc>
          <w:tcPr>
            <w:tcW w:w="2863" w:type="dxa"/>
          </w:tcPr>
          <w:p>
            <w:pPr>
              <w:pStyle w:val="TableParagraph"/>
              <w:spacing w:line="252" w:lineRule="exact" w:before="1"/>
              <w:ind w:right="-15"/>
              <w:jc w:val="right"/>
              <w:rPr>
                <w:sz w:val="21"/>
              </w:rPr>
            </w:pPr>
            <w:r>
              <w:rPr>
                <w:sz w:val="21"/>
              </w:rPr>
              <w:t>4,436 </w:t>
            </w:r>
          </w:p>
        </w:tc>
        <w:tc>
          <w:tcPr>
            <w:tcW w:w="2846" w:type="dxa"/>
          </w:tcPr>
          <w:p>
            <w:pPr>
              <w:pStyle w:val="TableParagraph"/>
              <w:spacing w:line="252" w:lineRule="exact" w:before="1"/>
              <w:ind w:right="-15"/>
              <w:jc w:val="right"/>
              <w:rPr>
                <w:sz w:val="21"/>
              </w:rPr>
            </w:pPr>
            <w:r>
              <w:rPr>
                <w:sz w:val="21"/>
              </w:rPr>
              <w:t>4,492 </w:t>
            </w:r>
          </w:p>
        </w:tc>
      </w:tr>
      <w:tr>
        <w:trPr>
          <w:trHeight w:val="270" w:hRule="atLeast"/>
        </w:trPr>
        <w:tc>
          <w:tcPr>
            <w:tcW w:w="3113" w:type="dxa"/>
          </w:tcPr>
          <w:p>
            <w:pPr>
              <w:pStyle w:val="TableParagraph"/>
              <w:spacing w:line="250" w:lineRule="exact" w:before="1"/>
              <w:ind w:left="107"/>
              <w:rPr>
                <w:sz w:val="21"/>
              </w:rPr>
            </w:pPr>
            <w:r>
              <w:rPr>
                <w:sz w:val="21"/>
              </w:rPr>
              <w:t>保证金 </w:t>
            </w:r>
          </w:p>
        </w:tc>
        <w:tc>
          <w:tcPr>
            <w:tcW w:w="2863" w:type="dxa"/>
          </w:tcPr>
          <w:p>
            <w:pPr>
              <w:pStyle w:val="TableParagraph"/>
              <w:spacing w:line="250" w:lineRule="exact" w:before="1"/>
              <w:ind w:right="-15"/>
              <w:jc w:val="right"/>
              <w:rPr>
                <w:sz w:val="21"/>
              </w:rPr>
            </w:pPr>
            <w:r>
              <w:rPr>
                <w:sz w:val="21"/>
              </w:rPr>
              <w:t>159,800 </w:t>
            </w:r>
          </w:p>
        </w:tc>
        <w:tc>
          <w:tcPr>
            <w:tcW w:w="2846" w:type="dxa"/>
          </w:tcPr>
          <w:p>
            <w:pPr>
              <w:pStyle w:val="TableParagraph"/>
              <w:spacing w:line="250" w:lineRule="exact" w:before="1"/>
              <w:ind w:right="-15"/>
              <w:jc w:val="right"/>
              <w:rPr>
                <w:sz w:val="21"/>
              </w:rPr>
            </w:pPr>
            <w:r>
              <w:rPr>
                <w:sz w:val="21"/>
              </w:rPr>
              <w:t>1,930,000 </w:t>
            </w:r>
          </w:p>
        </w:tc>
      </w:tr>
      <w:tr>
        <w:trPr>
          <w:trHeight w:val="273" w:hRule="atLeast"/>
        </w:trPr>
        <w:tc>
          <w:tcPr>
            <w:tcW w:w="3113" w:type="dxa"/>
          </w:tcPr>
          <w:p>
            <w:pPr>
              <w:pStyle w:val="TableParagraph"/>
              <w:spacing w:line="252" w:lineRule="exact" w:before="1"/>
              <w:ind w:left="107"/>
              <w:rPr>
                <w:sz w:val="21"/>
              </w:rPr>
            </w:pPr>
            <w:r>
              <w:rPr>
                <w:spacing w:val="-1"/>
                <w:sz w:val="21"/>
              </w:rPr>
              <w:t>应收子公司股权激励款</w:t>
            </w:r>
            <w:r>
              <w:rPr>
                <w:sz w:val="21"/>
              </w:rPr>
              <w:t> </w:t>
            </w:r>
          </w:p>
        </w:tc>
        <w:tc>
          <w:tcPr>
            <w:tcW w:w="2863" w:type="dxa"/>
          </w:tcPr>
          <w:p>
            <w:pPr>
              <w:pStyle w:val="TableParagraph"/>
              <w:spacing w:line="252" w:lineRule="exact" w:before="1"/>
              <w:ind w:right="-15"/>
              <w:jc w:val="right"/>
              <w:rPr>
                <w:sz w:val="21"/>
              </w:rPr>
            </w:pPr>
            <w:r>
              <w:rPr>
                <w:sz w:val="21"/>
              </w:rPr>
              <w:t>143,841 </w:t>
            </w:r>
          </w:p>
        </w:tc>
        <w:tc>
          <w:tcPr>
            <w:tcW w:w="2846" w:type="dxa"/>
          </w:tcPr>
          <w:p>
            <w:pPr>
              <w:pStyle w:val="TableParagraph"/>
              <w:spacing w:line="252" w:lineRule="exact" w:before="1"/>
              <w:ind w:right="-15"/>
              <w:jc w:val="right"/>
              <w:rPr>
                <w:sz w:val="21"/>
              </w:rPr>
            </w:pPr>
            <w:r>
              <w:rPr>
                <w:sz w:val="21"/>
              </w:rPr>
              <w:t>245,424 </w:t>
            </w:r>
          </w:p>
        </w:tc>
      </w:tr>
      <w:tr>
        <w:trPr>
          <w:trHeight w:val="268" w:hRule="atLeast"/>
        </w:trPr>
        <w:tc>
          <w:tcPr>
            <w:tcW w:w="3113" w:type="dxa"/>
            <w:tcBorders>
              <w:bottom w:val="single" w:sz="6" w:space="0" w:color="000000"/>
            </w:tcBorders>
          </w:tcPr>
          <w:p>
            <w:pPr>
              <w:pStyle w:val="TableParagraph"/>
              <w:spacing w:line="248" w:lineRule="exact" w:before="1"/>
              <w:ind w:left="107"/>
              <w:rPr>
                <w:sz w:val="21"/>
              </w:rPr>
            </w:pPr>
            <w:r>
              <w:rPr>
                <w:spacing w:val="-1"/>
                <w:sz w:val="21"/>
              </w:rPr>
              <w:t>减：坏账准备</w:t>
            </w:r>
            <w:r>
              <w:rPr>
                <w:sz w:val="21"/>
              </w:rPr>
              <w:t> </w:t>
            </w:r>
          </w:p>
        </w:tc>
        <w:tc>
          <w:tcPr>
            <w:tcW w:w="2863" w:type="dxa"/>
            <w:tcBorders>
              <w:bottom w:val="single" w:sz="6" w:space="0" w:color="000000"/>
            </w:tcBorders>
          </w:tcPr>
          <w:p>
            <w:pPr>
              <w:pStyle w:val="TableParagraph"/>
              <w:spacing w:line="248" w:lineRule="exact" w:before="1"/>
              <w:ind w:right="-15"/>
              <w:jc w:val="right"/>
              <w:rPr>
                <w:sz w:val="21"/>
              </w:rPr>
            </w:pPr>
            <w:r>
              <w:rPr>
                <w:sz w:val="21"/>
              </w:rPr>
              <w:t>-1,438 </w:t>
            </w:r>
          </w:p>
        </w:tc>
        <w:tc>
          <w:tcPr>
            <w:tcW w:w="2846" w:type="dxa"/>
            <w:tcBorders>
              <w:bottom w:val="single" w:sz="6" w:space="0" w:color="000000"/>
            </w:tcBorders>
          </w:tcPr>
          <w:p>
            <w:pPr>
              <w:pStyle w:val="TableParagraph"/>
              <w:spacing w:line="248" w:lineRule="exact" w:before="1"/>
              <w:ind w:right="-15"/>
              <w:jc w:val="right"/>
              <w:rPr>
                <w:sz w:val="21"/>
              </w:rPr>
            </w:pPr>
            <w:r>
              <w:rPr>
                <w:sz w:val="21"/>
              </w:rPr>
              <w:t>-2,453 </w:t>
            </w:r>
          </w:p>
        </w:tc>
      </w:tr>
      <w:tr>
        <w:trPr>
          <w:trHeight w:val="270" w:hRule="atLeast"/>
        </w:trPr>
        <w:tc>
          <w:tcPr>
            <w:tcW w:w="3113" w:type="dxa"/>
            <w:tcBorders>
              <w:top w:val="single" w:sz="6" w:space="0" w:color="000000"/>
            </w:tcBorders>
          </w:tcPr>
          <w:p>
            <w:pPr>
              <w:pStyle w:val="TableParagraph"/>
              <w:spacing w:line="250" w:lineRule="exact" w:before="1"/>
              <w:ind w:left="1378" w:right="1264"/>
              <w:jc w:val="center"/>
              <w:rPr>
                <w:sz w:val="21"/>
              </w:rPr>
            </w:pPr>
            <w:r>
              <w:rPr>
                <w:sz w:val="21"/>
              </w:rPr>
              <w:t>合计 </w:t>
            </w:r>
          </w:p>
        </w:tc>
        <w:tc>
          <w:tcPr>
            <w:tcW w:w="2863" w:type="dxa"/>
            <w:tcBorders>
              <w:top w:val="single" w:sz="6" w:space="0" w:color="000000"/>
            </w:tcBorders>
          </w:tcPr>
          <w:p>
            <w:pPr>
              <w:pStyle w:val="TableParagraph"/>
              <w:spacing w:line="250" w:lineRule="exact" w:before="1"/>
              <w:ind w:right="-15"/>
              <w:jc w:val="right"/>
              <w:rPr>
                <w:sz w:val="21"/>
              </w:rPr>
            </w:pPr>
            <w:r>
              <w:rPr>
                <w:sz w:val="21"/>
              </w:rPr>
              <w:t>310,655 </w:t>
            </w:r>
          </w:p>
        </w:tc>
        <w:tc>
          <w:tcPr>
            <w:tcW w:w="2846" w:type="dxa"/>
            <w:tcBorders>
              <w:top w:val="single" w:sz="6" w:space="0" w:color="000000"/>
            </w:tcBorders>
          </w:tcPr>
          <w:p>
            <w:pPr>
              <w:pStyle w:val="TableParagraph"/>
              <w:spacing w:line="250" w:lineRule="exact" w:before="1"/>
              <w:ind w:right="-15"/>
              <w:jc w:val="right"/>
              <w:rPr>
                <w:sz w:val="21"/>
              </w:rPr>
            </w:pPr>
            <w:r>
              <w:rPr>
                <w:sz w:val="21"/>
              </w:rPr>
              <w:t>9,277,463 </w:t>
            </w:r>
          </w:p>
        </w:tc>
      </w:tr>
    </w:tbl>
    <w:p>
      <w:pPr>
        <w:pStyle w:val="BodyText"/>
        <w:spacing w:before="1"/>
      </w:pPr>
      <w:r>
        <w:rPr>
          <w:w w:val="100"/>
        </w:rPr>
        <w:t> </w:t>
      </w:r>
    </w:p>
    <w:p>
      <w:pPr>
        <w:pStyle w:val="BodyText"/>
        <w:spacing w:before="4"/>
      </w:pPr>
      <w:r>
        <w:rPr>
          <w:w w:val="100"/>
        </w:rPr>
        <w:t> </w:t>
      </w:r>
    </w:p>
    <w:p>
      <w:pPr>
        <w:pStyle w:val="BodyText"/>
        <w:spacing w:before="3"/>
      </w:pPr>
      <w:r>
        <w:rPr/>
        <w:t>其他说明： </w:t>
      </w:r>
    </w:p>
    <w:p>
      <w:pPr>
        <w:pStyle w:val="BodyText"/>
        <w:spacing w:before="4"/>
      </w:pPr>
      <w:r>
        <w:rPr>
          <w:spacing w:val="-1"/>
        </w:rPr>
        <w:t>□适用 √不适用</w:t>
      </w:r>
      <w:r>
        <w:rPr>
          <w:spacing w:val="-3"/>
        </w:rPr>
        <w:t> </w:t>
      </w:r>
      <w:r>
        <w:rPr/>
        <w:t> </w:t>
      </w:r>
    </w:p>
    <w:p>
      <w:pPr>
        <w:pStyle w:val="BodyText"/>
        <w:spacing w:before="2"/>
      </w:pPr>
      <w:r>
        <w:rPr>
          <w:w w:val="100"/>
        </w:rPr>
        <w:t> </w:t>
      </w:r>
    </w:p>
    <w:p>
      <w:pPr>
        <w:pStyle w:val="BodyText"/>
        <w:spacing w:before="65"/>
      </w:pPr>
      <w:r>
        <w:rPr/>
        <w:t>应收利息 </w:t>
      </w:r>
    </w:p>
    <w:p>
      <w:pPr>
        <w:pStyle w:val="ListParagraph"/>
        <w:numPr>
          <w:ilvl w:val="0"/>
          <w:numId w:val="94"/>
        </w:numPr>
        <w:tabs>
          <w:tab w:pos="746" w:val="left" w:leader="none"/>
        </w:tabs>
        <w:spacing w:line="240" w:lineRule="auto" w:before="62" w:after="0"/>
        <w:ind w:left="745" w:right="0" w:hanging="428"/>
        <w:jc w:val="left"/>
        <w:rPr>
          <w:sz w:val="21"/>
        </w:rPr>
      </w:pPr>
      <w:r>
        <w:rPr>
          <w:sz w:val="21"/>
        </w:rPr>
        <w:t>应收利息分类 </w:t>
      </w:r>
    </w:p>
    <w:p>
      <w:pPr>
        <w:spacing w:after="0" w:line="240" w:lineRule="auto"/>
        <w:jc w:val="left"/>
        <w:rPr>
          <w:sz w:val="21"/>
        </w:rPr>
        <w:sectPr>
          <w:pgSz w:w="11910" w:h="16840"/>
          <w:pgMar w:header="882" w:footer="1546" w:top="1120" w:bottom="1940" w:left="1480" w:right="0"/>
        </w:sectPr>
      </w:pPr>
    </w:p>
    <w:p>
      <w:pPr>
        <w:pStyle w:val="BodyText"/>
        <w:spacing w:before="7"/>
        <w:ind w:left="0"/>
        <w:rPr>
          <w:sz w:val="25"/>
        </w:rPr>
      </w:pPr>
    </w:p>
    <w:p>
      <w:pPr>
        <w:spacing w:after="0"/>
        <w:rPr>
          <w:sz w:val="25"/>
        </w:rPr>
        <w:sectPr>
          <w:headerReference w:type="default" r:id="rId70"/>
          <w:footerReference w:type="default" r:id="rId71"/>
          <w:pgSz w:w="11910" w:h="16840"/>
          <w:pgMar w:header="882" w:footer="1195" w:top="1120" w:bottom="1380" w:left="1480" w:right="0"/>
        </w:sectPr>
      </w:pPr>
    </w:p>
    <w:p>
      <w:pPr>
        <w:pStyle w:val="ListParagraph"/>
        <w:numPr>
          <w:ilvl w:val="0"/>
          <w:numId w:val="94"/>
        </w:numPr>
        <w:tabs>
          <w:tab w:pos="746" w:val="left" w:leader="none"/>
        </w:tabs>
        <w:spacing w:line="240" w:lineRule="auto" w:before="72" w:after="0"/>
        <w:ind w:left="745" w:right="0" w:hanging="428"/>
        <w:jc w:val="left"/>
        <w:rPr>
          <w:sz w:val="21"/>
        </w:rPr>
      </w:pPr>
      <w:r>
        <w:rPr>
          <w:sz w:val="21"/>
        </w:rPr>
        <w:t>重要逾期利息 </w:t>
      </w:r>
    </w:p>
    <w:p>
      <w:pPr>
        <w:pStyle w:val="BodyText"/>
        <w:spacing w:line="295" w:lineRule="auto" w:before="65"/>
        <w:ind w:right="38"/>
      </w:pPr>
      <w:r>
        <w:rPr/>
        <w:t>□适用   √不适用(3).坏账准备计提情况 </w:t>
      </w:r>
    </w:p>
    <w:p>
      <w:pPr>
        <w:pStyle w:val="BodyText"/>
        <w:spacing w:before="3"/>
      </w:pPr>
      <w:r>
        <w:rPr>
          <w:spacing w:val="-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BodyText"/>
        <w:spacing w:before="2"/>
      </w:pPr>
      <w:r>
        <w:rPr/>
        <w:t>其他说明： </w:t>
      </w:r>
    </w:p>
    <w:p>
      <w:pPr>
        <w:pStyle w:val="BodyText"/>
        <w:spacing w:before="4"/>
      </w:pPr>
      <w:r>
        <w:rPr>
          <w:spacing w:val="-1"/>
        </w:rPr>
        <w:t>□适用 √不适用</w:t>
      </w:r>
      <w:r>
        <w:rPr>
          <w:spacing w:val="-3"/>
        </w:rPr>
        <w:t> </w:t>
      </w:r>
      <w:r>
        <w:rPr/>
        <w:t> </w:t>
      </w:r>
    </w:p>
    <w:p>
      <w:pPr>
        <w:pStyle w:val="BodyText"/>
        <w:spacing w:before="2"/>
      </w:pPr>
      <w:r>
        <w:rPr>
          <w:w w:val="100"/>
        </w:rPr>
        <w:t> </w:t>
      </w:r>
    </w:p>
    <w:p>
      <w:pPr>
        <w:pStyle w:val="ListParagraph"/>
        <w:numPr>
          <w:ilvl w:val="0"/>
          <w:numId w:val="95"/>
        </w:numPr>
        <w:tabs>
          <w:tab w:pos="746" w:val="left" w:leader="none"/>
        </w:tabs>
        <w:spacing w:line="240" w:lineRule="auto" w:before="65" w:after="0"/>
        <w:ind w:left="745" w:right="0" w:hanging="428"/>
        <w:jc w:val="left"/>
        <w:rPr>
          <w:sz w:val="21"/>
        </w:rPr>
      </w:pPr>
      <w:r>
        <w:rPr>
          <w:sz w:val="21"/>
        </w:rPr>
        <w:t>应收股利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3"/>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2579" w:space="3731"/>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9"/>
        <w:gridCol w:w="2738"/>
        <w:gridCol w:w="2755"/>
      </w:tblGrid>
      <w:tr>
        <w:trPr>
          <w:trHeight w:val="273" w:hRule="atLeast"/>
        </w:trPr>
        <w:tc>
          <w:tcPr>
            <w:tcW w:w="3329" w:type="dxa"/>
          </w:tcPr>
          <w:p>
            <w:pPr>
              <w:pStyle w:val="TableParagraph"/>
              <w:spacing w:line="253" w:lineRule="exact" w:before="1"/>
              <w:ind w:left="717"/>
              <w:rPr>
                <w:sz w:val="21"/>
              </w:rPr>
            </w:pPr>
            <w:r>
              <w:rPr>
                <w:spacing w:val="-1"/>
                <w:sz w:val="21"/>
              </w:rPr>
              <w:t>项目(或被投资单位)</w:t>
            </w:r>
            <w:r>
              <w:rPr>
                <w:sz w:val="21"/>
              </w:rPr>
              <w:t> </w:t>
            </w:r>
          </w:p>
        </w:tc>
        <w:tc>
          <w:tcPr>
            <w:tcW w:w="2738" w:type="dxa"/>
          </w:tcPr>
          <w:p>
            <w:pPr>
              <w:pStyle w:val="TableParagraph"/>
              <w:spacing w:line="253" w:lineRule="exact" w:before="1"/>
              <w:ind w:left="948"/>
              <w:rPr>
                <w:sz w:val="21"/>
              </w:rPr>
            </w:pPr>
            <w:r>
              <w:rPr>
                <w:spacing w:val="-1"/>
                <w:sz w:val="21"/>
              </w:rPr>
              <w:t>期末余额</w:t>
            </w:r>
            <w:r>
              <w:rPr>
                <w:sz w:val="21"/>
              </w:rPr>
              <w:t> </w:t>
            </w:r>
          </w:p>
        </w:tc>
        <w:tc>
          <w:tcPr>
            <w:tcW w:w="2755" w:type="dxa"/>
          </w:tcPr>
          <w:p>
            <w:pPr>
              <w:pStyle w:val="TableParagraph"/>
              <w:spacing w:line="253" w:lineRule="exact" w:before="1"/>
              <w:ind w:left="959"/>
              <w:rPr>
                <w:sz w:val="21"/>
              </w:rPr>
            </w:pPr>
            <w:r>
              <w:rPr>
                <w:spacing w:val="-1"/>
                <w:sz w:val="21"/>
              </w:rPr>
              <w:t>期初余额</w:t>
            </w:r>
            <w:r>
              <w:rPr>
                <w:sz w:val="21"/>
              </w:rPr>
              <w:t> </w:t>
            </w:r>
          </w:p>
        </w:tc>
      </w:tr>
      <w:tr>
        <w:trPr>
          <w:trHeight w:val="270" w:hRule="atLeast"/>
        </w:trPr>
        <w:tc>
          <w:tcPr>
            <w:tcW w:w="3329" w:type="dxa"/>
          </w:tcPr>
          <w:p>
            <w:pPr>
              <w:pStyle w:val="TableParagraph"/>
              <w:spacing w:line="250" w:lineRule="exact" w:before="1"/>
              <w:ind w:left="107"/>
              <w:rPr>
                <w:sz w:val="21"/>
              </w:rPr>
            </w:pPr>
            <w:r>
              <w:rPr>
                <w:spacing w:val="-1"/>
                <w:sz w:val="21"/>
              </w:rPr>
              <w:t>富联科技</w:t>
            </w:r>
            <w:r>
              <w:rPr>
                <w:sz w:val="21"/>
              </w:rPr>
              <w:t>（济源）有限公司 </w:t>
            </w:r>
          </w:p>
        </w:tc>
        <w:tc>
          <w:tcPr>
            <w:tcW w:w="2738" w:type="dxa"/>
          </w:tcPr>
          <w:p>
            <w:pPr>
              <w:pStyle w:val="TableParagraph"/>
              <w:spacing w:line="235" w:lineRule="exact"/>
              <w:ind w:right="94"/>
              <w:jc w:val="right"/>
              <w:rPr>
                <w:rFonts w:ascii="Times New Roman"/>
                <w:sz w:val="21"/>
              </w:rPr>
            </w:pPr>
            <w:r>
              <w:rPr>
                <w:rFonts w:ascii="Times New Roman"/>
                <w:w w:val="100"/>
                <w:sz w:val="21"/>
              </w:rPr>
              <w:t>-</w:t>
            </w:r>
          </w:p>
        </w:tc>
        <w:tc>
          <w:tcPr>
            <w:tcW w:w="2755" w:type="dxa"/>
          </w:tcPr>
          <w:p>
            <w:pPr>
              <w:pStyle w:val="TableParagraph"/>
              <w:spacing w:line="235" w:lineRule="exact"/>
              <w:ind w:right="93"/>
              <w:jc w:val="right"/>
              <w:rPr>
                <w:rFonts w:ascii="Times New Roman"/>
                <w:sz w:val="21"/>
              </w:rPr>
            </w:pPr>
            <w:r>
              <w:rPr>
                <w:rFonts w:ascii="Times New Roman"/>
                <w:w w:val="100"/>
                <w:sz w:val="21"/>
              </w:rPr>
              <w:t>-</w:t>
            </w:r>
          </w:p>
        </w:tc>
      </w:tr>
      <w:tr>
        <w:trPr>
          <w:trHeight w:val="546" w:hRule="atLeast"/>
        </w:trPr>
        <w:tc>
          <w:tcPr>
            <w:tcW w:w="3329" w:type="dxa"/>
          </w:tcPr>
          <w:p>
            <w:pPr>
              <w:pStyle w:val="TableParagraph"/>
              <w:spacing w:line="270" w:lineRule="atLeast"/>
              <w:ind w:left="107" w:right="264"/>
              <w:rPr>
                <w:sz w:val="21"/>
              </w:rPr>
            </w:pPr>
            <w:r>
              <w:rPr>
                <w:sz w:val="21"/>
              </w:rPr>
              <w:t>富泰华精密电子（郑州）有限公司 </w:t>
            </w:r>
          </w:p>
        </w:tc>
        <w:tc>
          <w:tcPr>
            <w:tcW w:w="2738" w:type="dxa"/>
          </w:tcPr>
          <w:p>
            <w:pPr>
              <w:pStyle w:val="TableParagraph"/>
              <w:spacing w:line="237" w:lineRule="exact"/>
              <w:ind w:right="94"/>
              <w:jc w:val="right"/>
              <w:rPr>
                <w:rFonts w:ascii="Times New Roman"/>
                <w:sz w:val="21"/>
              </w:rPr>
            </w:pPr>
            <w:r>
              <w:rPr>
                <w:rFonts w:ascii="Times New Roman"/>
                <w:w w:val="100"/>
                <w:sz w:val="21"/>
              </w:rPr>
              <w:t>-</w:t>
            </w:r>
          </w:p>
        </w:tc>
        <w:tc>
          <w:tcPr>
            <w:tcW w:w="2755" w:type="dxa"/>
          </w:tcPr>
          <w:p>
            <w:pPr>
              <w:pStyle w:val="TableParagraph"/>
              <w:spacing w:line="237" w:lineRule="exact"/>
              <w:ind w:right="91"/>
              <w:jc w:val="right"/>
              <w:rPr>
                <w:rFonts w:ascii="Times New Roman"/>
                <w:sz w:val="21"/>
              </w:rPr>
            </w:pPr>
            <w:r>
              <w:rPr>
                <w:rFonts w:ascii="Times New Roman"/>
                <w:sz w:val="21"/>
              </w:rPr>
              <w:t>3,110,500</w:t>
            </w:r>
          </w:p>
        </w:tc>
      </w:tr>
      <w:tr>
        <w:trPr>
          <w:trHeight w:val="270" w:hRule="atLeast"/>
        </w:trPr>
        <w:tc>
          <w:tcPr>
            <w:tcW w:w="3329" w:type="dxa"/>
          </w:tcPr>
          <w:p>
            <w:pPr>
              <w:pStyle w:val="TableParagraph"/>
              <w:spacing w:line="250" w:lineRule="exact" w:before="1"/>
              <w:ind w:left="107"/>
              <w:rPr>
                <w:sz w:val="21"/>
              </w:rPr>
            </w:pPr>
            <w:r>
              <w:rPr>
                <w:spacing w:val="-1"/>
                <w:sz w:val="21"/>
              </w:rPr>
              <w:t>晋城富泰华精密电子有限公司</w:t>
            </w:r>
            <w:r>
              <w:rPr>
                <w:sz w:val="21"/>
              </w:rPr>
              <w:t> </w:t>
            </w:r>
          </w:p>
        </w:tc>
        <w:tc>
          <w:tcPr>
            <w:tcW w:w="2738" w:type="dxa"/>
          </w:tcPr>
          <w:p>
            <w:pPr>
              <w:pStyle w:val="TableParagraph"/>
              <w:spacing w:line="235" w:lineRule="exact"/>
              <w:ind w:right="94"/>
              <w:jc w:val="right"/>
              <w:rPr>
                <w:rFonts w:ascii="Times New Roman"/>
                <w:sz w:val="21"/>
              </w:rPr>
            </w:pPr>
            <w:r>
              <w:rPr>
                <w:rFonts w:ascii="Times New Roman"/>
                <w:w w:val="100"/>
                <w:sz w:val="21"/>
              </w:rPr>
              <w:t>-</w:t>
            </w:r>
          </w:p>
        </w:tc>
        <w:tc>
          <w:tcPr>
            <w:tcW w:w="2755" w:type="dxa"/>
          </w:tcPr>
          <w:p>
            <w:pPr>
              <w:pStyle w:val="TableParagraph"/>
              <w:spacing w:line="235" w:lineRule="exact"/>
              <w:ind w:right="93"/>
              <w:jc w:val="right"/>
              <w:rPr>
                <w:rFonts w:ascii="Times New Roman"/>
                <w:sz w:val="21"/>
              </w:rPr>
            </w:pPr>
            <w:r>
              <w:rPr>
                <w:rFonts w:ascii="Times New Roman"/>
                <w:w w:val="100"/>
                <w:sz w:val="21"/>
              </w:rPr>
              <w:t>-</w:t>
            </w:r>
          </w:p>
        </w:tc>
      </w:tr>
      <w:tr>
        <w:trPr>
          <w:trHeight w:val="273" w:hRule="atLeast"/>
        </w:trPr>
        <w:tc>
          <w:tcPr>
            <w:tcW w:w="3329" w:type="dxa"/>
          </w:tcPr>
          <w:p>
            <w:pPr>
              <w:pStyle w:val="TableParagraph"/>
              <w:spacing w:line="252" w:lineRule="exact" w:before="1"/>
              <w:ind w:left="107"/>
              <w:rPr>
                <w:sz w:val="21"/>
              </w:rPr>
            </w:pPr>
            <w:r>
              <w:rPr>
                <w:spacing w:val="-1"/>
                <w:sz w:val="21"/>
              </w:rPr>
              <w:t>河南裕展精密科技有限公司 </w:t>
            </w:r>
          </w:p>
        </w:tc>
        <w:tc>
          <w:tcPr>
            <w:tcW w:w="2738" w:type="dxa"/>
          </w:tcPr>
          <w:p>
            <w:pPr>
              <w:pStyle w:val="TableParagraph"/>
              <w:spacing w:line="235" w:lineRule="exact"/>
              <w:ind w:right="94"/>
              <w:jc w:val="right"/>
              <w:rPr>
                <w:rFonts w:ascii="Times New Roman"/>
                <w:sz w:val="21"/>
              </w:rPr>
            </w:pPr>
            <w:r>
              <w:rPr>
                <w:rFonts w:ascii="Times New Roman"/>
                <w:w w:val="100"/>
                <w:sz w:val="21"/>
              </w:rPr>
              <w:t>-</w:t>
            </w:r>
          </w:p>
        </w:tc>
        <w:tc>
          <w:tcPr>
            <w:tcW w:w="2755" w:type="dxa"/>
          </w:tcPr>
          <w:p>
            <w:pPr>
              <w:pStyle w:val="TableParagraph"/>
              <w:spacing w:line="235" w:lineRule="exact"/>
              <w:ind w:right="91"/>
              <w:jc w:val="right"/>
              <w:rPr>
                <w:rFonts w:ascii="Times New Roman"/>
                <w:sz w:val="21"/>
              </w:rPr>
            </w:pPr>
            <w:r>
              <w:rPr>
                <w:rFonts w:ascii="Times New Roman"/>
                <w:sz w:val="21"/>
              </w:rPr>
              <w:t>3,500,000</w:t>
            </w:r>
          </w:p>
        </w:tc>
      </w:tr>
      <w:tr>
        <w:trPr>
          <w:trHeight w:val="270" w:hRule="atLeast"/>
        </w:trPr>
        <w:tc>
          <w:tcPr>
            <w:tcW w:w="3329" w:type="dxa"/>
          </w:tcPr>
          <w:p>
            <w:pPr>
              <w:pStyle w:val="TableParagraph"/>
              <w:spacing w:line="250" w:lineRule="exact" w:before="1"/>
              <w:ind w:left="107"/>
              <w:rPr>
                <w:sz w:val="21"/>
              </w:rPr>
            </w:pPr>
            <w:r>
              <w:rPr>
                <w:spacing w:val="-1"/>
                <w:sz w:val="21"/>
              </w:rPr>
              <w:t>深圳市裕展精密科技有限公司</w:t>
            </w:r>
            <w:r>
              <w:rPr>
                <w:sz w:val="21"/>
              </w:rPr>
              <w:t> </w:t>
            </w:r>
          </w:p>
        </w:tc>
        <w:tc>
          <w:tcPr>
            <w:tcW w:w="2738" w:type="dxa"/>
          </w:tcPr>
          <w:p>
            <w:pPr>
              <w:pStyle w:val="TableParagraph"/>
              <w:spacing w:line="235" w:lineRule="exact"/>
              <w:ind w:right="94"/>
              <w:jc w:val="right"/>
              <w:rPr>
                <w:rFonts w:ascii="Times New Roman"/>
                <w:sz w:val="21"/>
              </w:rPr>
            </w:pPr>
            <w:r>
              <w:rPr>
                <w:rFonts w:ascii="Times New Roman"/>
                <w:w w:val="100"/>
                <w:sz w:val="21"/>
              </w:rPr>
              <w:t>-</w:t>
            </w:r>
          </w:p>
        </w:tc>
        <w:tc>
          <w:tcPr>
            <w:tcW w:w="2755" w:type="dxa"/>
          </w:tcPr>
          <w:p>
            <w:pPr>
              <w:pStyle w:val="TableParagraph"/>
              <w:spacing w:line="235" w:lineRule="exact"/>
              <w:ind w:right="93"/>
              <w:jc w:val="right"/>
              <w:rPr>
                <w:rFonts w:ascii="Times New Roman"/>
                <w:sz w:val="21"/>
              </w:rPr>
            </w:pPr>
            <w:r>
              <w:rPr>
                <w:rFonts w:ascii="Times New Roman"/>
                <w:w w:val="100"/>
                <w:sz w:val="21"/>
              </w:rPr>
              <w:t>-</w:t>
            </w:r>
          </w:p>
        </w:tc>
      </w:tr>
      <w:tr>
        <w:trPr>
          <w:trHeight w:val="273" w:hRule="atLeast"/>
        </w:trPr>
        <w:tc>
          <w:tcPr>
            <w:tcW w:w="3329" w:type="dxa"/>
          </w:tcPr>
          <w:p>
            <w:pPr>
              <w:pStyle w:val="TableParagraph"/>
              <w:spacing w:line="250" w:lineRule="exact" w:before="3"/>
              <w:ind w:left="107"/>
              <w:rPr>
                <w:sz w:val="21"/>
              </w:rPr>
            </w:pPr>
            <w:r>
              <w:rPr>
                <w:spacing w:val="-1"/>
                <w:sz w:val="21"/>
              </w:rPr>
              <w:t>富联科技</w:t>
            </w:r>
            <w:r>
              <w:rPr>
                <w:sz w:val="21"/>
              </w:rPr>
              <w:t>（山西）有限公司 </w:t>
            </w:r>
          </w:p>
        </w:tc>
        <w:tc>
          <w:tcPr>
            <w:tcW w:w="2738" w:type="dxa"/>
          </w:tcPr>
          <w:p>
            <w:pPr>
              <w:pStyle w:val="TableParagraph"/>
              <w:spacing w:line="237" w:lineRule="exact"/>
              <w:ind w:right="94"/>
              <w:jc w:val="right"/>
              <w:rPr>
                <w:rFonts w:ascii="Times New Roman"/>
                <w:sz w:val="21"/>
              </w:rPr>
            </w:pPr>
            <w:r>
              <w:rPr>
                <w:rFonts w:ascii="Times New Roman"/>
                <w:w w:val="100"/>
                <w:sz w:val="21"/>
              </w:rPr>
              <w:t>-</w:t>
            </w:r>
          </w:p>
        </w:tc>
        <w:tc>
          <w:tcPr>
            <w:tcW w:w="2755" w:type="dxa"/>
          </w:tcPr>
          <w:p>
            <w:pPr>
              <w:pStyle w:val="TableParagraph"/>
              <w:spacing w:line="237" w:lineRule="exact"/>
              <w:ind w:right="91"/>
              <w:jc w:val="right"/>
              <w:rPr>
                <w:rFonts w:ascii="Times New Roman"/>
                <w:sz w:val="21"/>
              </w:rPr>
            </w:pPr>
            <w:r>
              <w:rPr>
                <w:rFonts w:ascii="Times New Roman"/>
                <w:sz w:val="21"/>
              </w:rPr>
              <w:t>489,500</w:t>
            </w:r>
          </w:p>
        </w:tc>
      </w:tr>
      <w:tr>
        <w:trPr>
          <w:trHeight w:val="273" w:hRule="atLeast"/>
        </w:trPr>
        <w:tc>
          <w:tcPr>
            <w:tcW w:w="3329" w:type="dxa"/>
          </w:tcPr>
          <w:p>
            <w:pPr>
              <w:pStyle w:val="TableParagraph"/>
              <w:spacing w:line="252" w:lineRule="exact" w:before="1"/>
              <w:ind w:left="107"/>
              <w:rPr>
                <w:sz w:val="21"/>
              </w:rPr>
            </w:pPr>
            <w:r>
              <w:rPr>
                <w:spacing w:val="-1"/>
                <w:sz w:val="21"/>
              </w:rPr>
              <w:t>国基电子</w:t>
            </w:r>
            <w:r>
              <w:rPr>
                <w:sz w:val="21"/>
              </w:rPr>
              <w:t>（上海）有限公司 </w:t>
            </w:r>
          </w:p>
        </w:tc>
        <w:tc>
          <w:tcPr>
            <w:tcW w:w="2738" w:type="dxa"/>
          </w:tcPr>
          <w:p>
            <w:pPr>
              <w:pStyle w:val="TableParagraph"/>
              <w:spacing w:line="235" w:lineRule="exact"/>
              <w:ind w:right="94"/>
              <w:jc w:val="right"/>
              <w:rPr>
                <w:rFonts w:ascii="Times New Roman"/>
                <w:sz w:val="21"/>
              </w:rPr>
            </w:pPr>
            <w:r>
              <w:rPr>
                <w:rFonts w:ascii="Times New Roman"/>
                <w:w w:val="100"/>
                <w:sz w:val="21"/>
              </w:rPr>
              <w:t>-</w:t>
            </w:r>
          </w:p>
        </w:tc>
        <w:tc>
          <w:tcPr>
            <w:tcW w:w="2755" w:type="dxa"/>
          </w:tcPr>
          <w:p>
            <w:pPr>
              <w:pStyle w:val="TableParagraph"/>
              <w:spacing w:line="235" w:lineRule="exact"/>
              <w:ind w:right="93"/>
              <w:jc w:val="right"/>
              <w:rPr>
                <w:rFonts w:ascii="Times New Roman"/>
                <w:sz w:val="21"/>
              </w:rPr>
            </w:pPr>
            <w:r>
              <w:rPr>
                <w:rFonts w:ascii="Times New Roman"/>
                <w:w w:val="100"/>
                <w:sz w:val="21"/>
              </w:rPr>
              <w:t>-</w:t>
            </w:r>
          </w:p>
        </w:tc>
      </w:tr>
      <w:tr>
        <w:trPr>
          <w:trHeight w:val="270" w:hRule="atLeast"/>
        </w:trPr>
        <w:tc>
          <w:tcPr>
            <w:tcW w:w="3329" w:type="dxa"/>
          </w:tcPr>
          <w:p>
            <w:pPr>
              <w:pStyle w:val="TableParagraph"/>
              <w:spacing w:line="250" w:lineRule="exact" w:before="1"/>
              <w:ind w:left="107"/>
              <w:rPr>
                <w:sz w:val="21"/>
              </w:rPr>
            </w:pPr>
            <w:r>
              <w:rPr>
                <w:spacing w:val="-1"/>
                <w:sz w:val="21"/>
              </w:rPr>
              <w:t>鼎捷软件股份有限公司</w:t>
            </w:r>
            <w:r>
              <w:rPr>
                <w:sz w:val="21"/>
              </w:rPr>
              <w:t> </w:t>
            </w:r>
          </w:p>
        </w:tc>
        <w:tc>
          <w:tcPr>
            <w:tcW w:w="2738" w:type="dxa"/>
          </w:tcPr>
          <w:p>
            <w:pPr>
              <w:pStyle w:val="TableParagraph"/>
              <w:spacing w:line="235" w:lineRule="exact"/>
              <w:ind w:right="92"/>
              <w:jc w:val="right"/>
              <w:rPr>
                <w:rFonts w:ascii="Times New Roman"/>
                <w:sz w:val="21"/>
              </w:rPr>
            </w:pPr>
            <w:r>
              <w:rPr>
                <w:rFonts w:ascii="Times New Roman"/>
                <w:sz w:val="21"/>
              </w:rPr>
              <w:t>4,016</w:t>
            </w:r>
          </w:p>
        </w:tc>
        <w:tc>
          <w:tcPr>
            <w:tcW w:w="2755" w:type="dxa"/>
          </w:tcPr>
          <w:p>
            <w:pPr>
              <w:pStyle w:val="TableParagraph"/>
              <w:rPr>
                <w:rFonts w:ascii="Times New Roman"/>
                <w:sz w:val="20"/>
              </w:rPr>
            </w:pPr>
          </w:p>
        </w:tc>
      </w:tr>
      <w:tr>
        <w:trPr>
          <w:trHeight w:val="273" w:hRule="atLeast"/>
        </w:trPr>
        <w:tc>
          <w:tcPr>
            <w:tcW w:w="3329" w:type="dxa"/>
          </w:tcPr>
          <w:p>
            <w:pPr>
              <w:pStyle w:val="TableParagraph"/>
              <w:spacing w:line="250" w:lineRule="exact" w:before="3"/>
              <w:ind w:left="1486" w:right="1372"/>
              <w:jc w:val="center"/>
              <w:rPr>
                <w:sz w:val="21"/>
              </w:rPr>
            </w:pPr>
            <w:r>
              <w:rPr>
                <w:sz w:val="21"/>
              </w:rPr>
              <w:t>合计 </w:t>
            </w:r>
          </w:p>
        </w:tc>
        <w:tc>
          <w:tcPr>
            <w:tcW w:w="2738" w:type="dxa"/>
          </w:tcPr>
          <w:p>
            <w:pPr>
              <w:pStyle w:val="TableParagraph"/>
              <w:spacing w:line="237" w:lineRule="exact"/>
              <w:ind w:right="92"/>
              <w:jc w:val="right"/>
              <w:rPr>
                <w:rFonts w:ascii="Times New Roman"/>
                <w:sz w:val="21"/>
              </w:rPr>
            </w:pPr>
            <w:r>
              <w:rPr>
                <w:rFonts w:ascii="Times New Roman"/>
                <w:sz w:val="21"/>
              </w:rPr>
              <w:t>4,016</w:t>
            </w:r>
          </w:p>
        </w:tc>
        <w:tc>
          <w:tcPr>
            <w:tcW w:w="2755" w:type="dxa"/>
          </w:tcPr>
          <w:p>
            <w:pPr>
              <w:pStyle w:val="TableParagraph"/>
              <w:spacing w:line="237" w:lineRule="exact"/>
              <w:ind w:right="91"/>
              <w:jc w:val="right"/>
              <w:rPr>
                <w:rFonts w:ascii="Times New Roman"/>
                <w:sz w:val="21"/>
              </w:rPr>
            </w:pPr>
            <w:r>
              <w:rPr>
                <w:rFonts w:ascii="Times New Roman"/>
                <w:sz w:val="21"/>
              </w:rPr>
              <w:t>7,100,000</w:t>
            </w:r>
          </w:p>
        </w:tc>
      </w:tr>
    </w:tbl>
    <w:p>
      <w:pPr>
        <w:spacing w:after="0" w:line="237" w:lineRule="exact"/>
        <w:jc w:val="right"/>
        <w:rPr>
          <w:rFonts w:ascii="Times New Roman"/>
          <w:sz w:val="21"/>
        </w:rPr>
        <w:sectPr>
          <w:type w:val="continuous"/>
          <w:pgSz w:w="11910" w:h="16840"/>
          <w:pgMar w:top="780" w:bottom="280" w:left="1480" w:right="0"/>
        </w:sectPr>
      </w:pPr>
    </w:p>
    <w:p>
      <w:pPr>
        <w:pStyle w:val="BodyText"/>
        <w:spacing w:before="1"/>
      </w:pPr>
      <w:r>
        <w:rPr>
          <w:w w:val="100"/>
        </w:rPr>
        <w:t> </w:t>
      </w:r>
    </w:p>
    <w:p>
      <w:pPr>
        <w:pStyle w:val="ListParagraph"/>
        <w:numPr>
          <w:ilvl w:val="0"/>
          <w:numId w:val="95"/>
        </w:numPr>
        <w:tabs>
          <w:tab w:pos="746" w:val="left" w:leader="none"/>
        </w:tabs>
        <w:spacing w:line="240" w:lineRule="auto" w:before="64" w:after="0"/>
        <w:ind w:left="745" w:right="0" w:hanging="428"/>
        <w:jc w:val="left"/>
        <w:rPr>
          <w:sz w:val="21"/>
        </w:rPr>
      </w:pPr>
      <w:r>
        <w:rPr>
          <w:spacing w:val="-6"/>
          <w:sz w:val="21"/>
        </w:rPr>
        <w:t>重要的账龄超过 </w:t>
      </w:r>
      <w:r>
        <w:rPr>
          <w:sz w:val="21"/>
        </w:rPr>
        <w:t>1</w:t>
      </w:r>
      <w:r>
        <w:rPr>
          <w:spacing w:val="-8"/>
          <w:sz w:val="21"/>
        </w:rPr>
        <w:t> 年的应收股利</w:t>
      </w:r>
      <w:r>
        <w:rPr>
          <w:sz w:val="21"/>
        </w:rPr>
        <w:t> </w:t>
      </w:r>
    </w:p>
    <w:p>
      <w:pPr>
        <w:pStyle w:val="BodyText"/>
        <w:spacing w:line="297" w:lineRule="auto" w:before="63"/>
        <w:ind w:right="1305"/>
      </w:pPr>
      <w:r>
        <w:rPr/>
        <w:t>□适用   √不适用(6).坏账准备计提情况 </w:t>
      </w:r>
    </w:p>
    <w:p>
      <w:pPr>
        <w:pStyle w:val="BodyText"/>
        <w:spacing w:line="267" w:lineRule="exact"/>
      </w:pPr>
      <w:r>
        <w:rPr>
          <w:spacing w:val="-1"/>
        </w:rPr>
        <w:t>□适用 √不适用</w:t>
      </w:r>
      <w:r>
        <w:rPr>
          <w:spacing w:val="-3"/>
        </w:rPr>
        <w:t> </w:t>
      </w:r>
      <w:r>
        <w:rPr/>
        <w:t> </w:t>
      </w:r>
    </w:p>
    <w:p>
      <w:pPr>
        <w:pStyle w:val="BodyText"/>
        <w:spacing w:before="5"/>
      </w:pPr>
      <w:r>
        <w:rPr>
          <w:w w:val="100"/>
        </w:rPr>
        <w:t> </w:t>
      </w:r>
    </w:p>
    <w:p>
      <w:pPr>
        <w:pStyle w:val="BodyText"/>
        <w:spacing w:before="2"/>
      </w:pPr>
      <w:r>
        <w:rPr>
          <w:w w:val="100"/>
        </w:rPr>
        <w:t> </w:t>
      </w:r>
    </w:p>
    <w:p>
      <w:pPr>
        <w:pStyle w:val="BodyText"/>
        <w:spacing w:before="4"/>
      </w:pPr>
      <w:r>
        <w:rPr/>
        <w:t>其他说明： </w:t>
      </w:r>
    </w:p>
    <w:p>
      <w:pPr>
        <w:pStyle w:val="BodyText"/>
        <w:spacing w:before="2"/>
      </w:pPr>
      <w:r>
        <w:rPr>
          <w:spacing w:val="-1"/>
        </w:rPr>
        <w:t>□适用 √不适用</w:t>
      </w:r>
      <w:r>
        <w:rPr>
          <w:spacing w:val="-3"/>
        </w:rPr>
        <w:t> </w:t>
      </w:r>
      <w:r>
        <w:rPr/>
        <w:t> </w:t>
      </w:r>
    </w:p>
    <w:p>
      <w:pPr>
        <w:pStyle w:val="BodyText"/>
        <w:spacing w:before="5"/>
      </w:pPr>
      <w:r>
        <w:rPr>
          <w:w w:val="100"/>
        </w:rPr>
        <w:t> </w:t>
      </w:r>
    </w:p>
    <w:p>
      <w:pPr>
        <w:pStyle w:val="BodyText"/>
        <w:spacing w:before="62"/>
      </w:pPr>
      <w:r>
        <w:rPr/>
        <w:t>其他应收款 </w:t>
      </w:r>
    </w:p>
    <w:p>
      <w:pPr>
        <w:pStyle w:val="ListParagraph"/>
        <w:numPr>
          <w:ilvl w:val="0"/>
          <w:numId w:val="96"/>
        </w:numPr>
        <w:tabs>
          <w:tab w:pos="742" w:val="left" w:leader="none"/>
        </w:tabs>
        <w:spacing w:line="240" w:lineRule="auto" w:before="62" w:after="0"/>
        <w:ind w:left="741" w:right="0" w:hanging="424"/>
        <w:jc w:val="left"/>
        <w:rPr>
          <w:sz w:val="21"/>
        </w:rPr>
      </w:pPr>
      <w:r>
        <w:rPr>
          <w:sz w:val="21"/>
        </w:rPr>
        <w:t>按账龄披露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
        <w:ind w:left="0"/>
        <w:rPr>
          <w:sz w:val="29"/>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3846" w:space="2464"/>
            <w:col w:w="4120"/>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55"/>
        <w:gridCol w:w="4369"/>
      </w:tblGrid>
      <w:tr>
        <w:trPr>
          <w:trHeight w:val="273" w:hRule="atLeast"/>
        </w:trPr>
        <w:tc>
          <w:tcPr>
            <w:tcW w:w="4455" w:type="dxa"/>
          </w:tcPr>
          <w:p>
            <w:pPr>
              <w:pStyle w:val="TableParagraph"/>
              <w:spacing w:line="252" w:lineRule="exact" w:before="1"/>
              <w:ind w:left="2049" w:right="1936"/>
              <w:jc w:val="center"/>
              <w:rPr>
                <w:sz w:val="21"/>
              </w:rPr>
            </w:pPr>
            <w:r>
              <w:rPr>
                <w:sz w:val="21"/>
              </w:rPr>
              <w:t>账龄 </w:t>
            </w:r>
          </w:p>
        </w:tc>
        <w:tc>
          <w:tcPr>
            <w:tcW w:w="4369" w:type="dxa"/>
          </w:tcPr>
          <w:p>
            <w:pPr>
              <w:pStyle w:val="TableParagraph"/>
              <w:spacing w:line="252" w:lineRule="exact" w:before="1"/>
              <w:ind w:left="1552"/>
              <w:rPr>
                <w:sz w:val="21"/>
              </w:rPr>
            </w:pPr>
            <w:r>
              <w:rPr>
                <w:spacing w:val="-1"/>
                <w:sz w:val="21"/>
              </w:rPr>
              <w:t>期末账面余额</w:t>
            </w:r>
            <w:r>
              <w:rPr>
                <w:sz w:val="21"/>
              </w:rPr>
              <w:t> </w:t>
            </w:r>
          </w:p>
        </w:tc>
      </w:tr>
      <w:tr>
        <w:trPr>
          <w:trHeight w:val="270" w:hRule="atLeast"/>
        </w:trPr>
        <w:tc>
          <w:tcPr>
            <w:tcW w:w="8824" w:type="dxa"/>
            <w:gridSpan w:val="2"/>
          </w:tcPr>
          <w:p>
            <w:pPr>
              <w:pStyle w:val="TableParagraph"/>
              <w:spacing w:line="250" w:lineRule="exact" w:before="1"/>
              <w:ind w:left="107"/>
              <w:rPr>
                <w:sz w:val="21"/>
              </w:rPr>
            </w:pPr>
            <w:r>
              <w:rPr>
                <w:spacing w:val="-1"/>
                <w:sz w:val="21"/>
              </w:rPr>
              <w:t>1</w:t>
            </w:r>
            <w:r>
              <w:rPr>
                <w:spacing w:val="-14"/>
                <w:sz w:val="21"/>
              </w:rPr>
              <w:t> 年以内</w:t>
            </w:r>
            <w:r>
              <w:rPr>
                <w:color w:val="FF0000"/>
                <w:sz w:val="21"/>
              </w:rPr>
              <w:t> </w:t>
            </w:r>
          </w:p>
        </w:tc>
      </w:tr>
      <w:tr>
        <w:trPr>
          <w:trHeight w:val="273" w:hRule="atLeast"/>
        </w:trPr>
        <w:tc>
          <w:tcPr>
            <w:tcW w:w="8824" w:type="dxa"/>
            <w:gridSpan w:val="2"/>
          </w:tcPr>
          <w:p>
            <w:pPr>
              <w:pStyle w:val="TableParagraph"/>
              <w:spacing w:line="252" w:lineRule="exact" w:before="1"/>
              <w:ind w:left="107"/>
              <w:rPr>
                <w:sz w:val="21"/>
              </w:rPr>
            </w:pPr>
            <w:r>
              <w:rPr>
                <w:spacing w:val="-1"/>
                <w:sz w:val="21"/>
              </w:rPr>
              <w:t>其中：</w:t>
            </w:r>
            <w:r>
              <w:rPr>
                <w:sz w:val="21"/>
              </w:rPr>
              <w:t>1</w:t>
            </w:r>
            <w:r>
              <w:rPr>
                <w:spacing w:val="-10"/>
                <w:sz w:val="21"/>
              </w:rPr>
              <w:t> 年以内分项</w:t>
            </w:r>
            <w:r>
              <w:rPr>
                <w:sz w:val="21"/>
              </w:rPr>
              <w:t> </w:t>
            </w:r>
          </w:p>
        </w:tc>
      </w:tr>
      <w:tr>
        <w:trPr>
          <w:trHeight w:val="270" w:hRule="atLeast"/>
        </w:trPr>
        <w:tc>
          <w:tcPr>
            <w:tcW w:w="4455" w:type="dxa"/>
          </w:tcPr>
          <w:p>
            <w:pPr>
              <w:pStyle w:val="TableParagraph"/>
              <w:spacing w:line="250" w:lineRule="exact" w:before="1"/>
              <w:ind w:left="107"/>
              <w:rPr>
                <w:sz w:val="21"/>
              </w:rPr>
            </w:pPr>
            <w:r>
              <w:rPr>
                <w:spacing w:val="-1"/>
                <w:sz w:val="21"/>
              </w:rPr>
              <w:t>1</w:t>
            </w:r>
            <w:r>
              <w:rPr>
                <w:spacing w:val="-14"/>
                <w:sz w:val="21"/>
              </w:rPr>
              <w:t> 年以内</w:t>
            </w:r>
            <w:r>
              <w:rPr>
                <w:sz w:val="21"/>
              </w:rPr>
              <w:t> </w:t>
            </w:r>
          </w:p>
        </w:tc>
        <w:tc>
          <w:tcPr>
            <w:tcW w:w="4369" w:type="dxa"/>
          </w:tcPr>
          <w:p>
            <w:pPr>
              <w:pStyle w:val="TableParagraph"/>
              <w:spacing w:line="250" w:lineRule="exact" w:before="1"/>
              <w:ind w:right="-15"/>
              <w:jc w:val="right"/>
              <w:rPr>
                <w:sz w:val="21"/>
              </w:rPr>
            </w:pPr>
            <w:r>
              <w:rPr>
                <w:sz w:val="21"/>
              </w:rPr>
              <w:t>152,293 </w:t>
            </w:r>
          </w:p>
        </w:tc>
      </w:tr>
      <w:tr>
        <w:trPr>
          <w:trHeight w:val="273" w:hRule="atLeast"/>
        </w:trPr>
        <w:tc>
          <w:tcPr>
            <w:tcW w:w="4455" w:type="dxa"/>
          </w:tcPr>
          <w:p>
            <w:pPr>
              <w:pStyle w:val="TableParagraph"/>
              <w:spacing w:line="250" w:lineRule="exact" w:before="3"/>
              <w:ind w:left="107"/>
              <w:rPr>
                <w:sz w:val="21"/>
              </w:rPr>
            </w:pPr>
            <w:r>
              <w:rPr>
                <w:w w:val="100"/>
                <w:sz w:val="21"/>
              </w:rPr>
              <w:t> </w:t>
            </w:r>
          </w:p>
        </w:tc>
        <w:tc>
          <w:tcPr>
            <w:tcW w:w="4369" w:type="dxa"/>
          </w:tcPr>
          <w:p>
            <w:pPr>
              <w:pStyle w:val="TableParagraph"/>
              <w:spacing w:line="250" w:lineRule="exact" w:before="3"/>
              <w:ind w:right="-15"/>
              <w:jc w:val="right"/>
              <w:rPr>
                <w:sz w:val="21"/>
              </w:rPr>
            </w:pPr>
            <w:r>
              <w:rPr>
                <w:w w:val="100"/>
                <w:sz w:val="21"/>
              </w:rPr>
              <w:t> </w:t>
            </w:r>
          </w:p>
        </w:tc>
      </w:tr>
      <w:tr>
        <w:trPr>
          <w:trHeight w:val="273" w:hRule="atLeast"/>
        </w:trPr>
        <w:tc>
          <w:tcPr>
            <w:tcW w:w="4455" w:type="dxa"/>
          </w:tcPr>
          <w:p>
            <w:pPr>
              <w:pStyle w:val="TableParagraph"/>
              <w:spacing w:line="252" w:lineRule="exact" w:before="1"/>
              <w:ind w:left="107"/>
              <w:rPr>
                <w:sz w:val="21"/>
              </w:rPr>
            </w:pPr>
            <w:r>
              <w:rPr>
                <w:spacing w:val="-1"/>
                <w:sz w:val="21"/>
              </w:rPr>
              <w:t>1</w:t>
            </w:r>
            <w:r>
              <w:rPr>
                <w:spacing w:val="-10"/>
                <w:sz w:val="21"/>
              </w:rPr>
              <w:t> 年以内小计</w:t>
            </w:r>
            <w:r>
              <w:rPr>
                <w:sz w:val="21"/>
              </w:rPr>
              <w:t> </w:t>
            </w:r>
          </w:p>
        </w:tc>
        <w:tc>
          <w:tcPr>
            <w:tcW w:w="4369" w:type="dxa"/>
          </w:tcPr>
          <w:p>
            <w:pPr>
              <w:pStyle w:val="TableParagraph"/>
              <w:spacing w:line="252" w:lineRule="exact" w:before="1"/>
              <w:ind w:right="-15"/>
              <w:jc w:val="right"/>
              <w:rPr>
                <w:sz w:val="21"/>
              </w:rPr>
            </w:pPr>
            <w:r>
              <w:rPr>
                <w:sz w:val="21"/>
              </w:rPr>
              <w:t>152,293 </w:t>
            </w:r>
          </w:p>
        </w:tc>
      </w:tr>
      <w:tr>
        <w:trPr>
          <w:trHeight w:val="270" w:hRule="atLeast"/>
        </w:trPr>
        <w:tc>
          <w:tcPr>
            <w:tcW w:w="4455" w:type="dxa"/>
          </w:tcPr>
          <w:p>
            <w:pPr>
              <w:pStyle w:val="TableParagraph"/>
              <w:spacing w:line="250" w:lineRule="exact" w:before="1"/>
              <w:ind w:left="107"/>
              <w:rPr>
                <w:sz w:val="21"/>
              </w:rPr>
            </w:pPr>
            <w:r>
              <w:rPr>
                <w:sz w:val="21"/>
              </w:rPr>
              <w:t>1</w:t>
            </w:r>
            <w:r>
              <w:rPr>
                <w:spacing w:val="-36"/>
                <w:sz w:val="21"/>
              </w:rPr>
              <w:t> 至 </w:t>
            </w:r>
            <w:r>
              <w:rPr>
                <w:sz w:val="21"/>
              </w:rPr>
              <w:t>2</w:t>
            </w:r>
            <w:r>
              <w:rPr>
                <w:spacing w:val="-28"/>
                <w:sz w:val="21"/>
              </w:rPr>
              <w:t> 年</w:t>
            </w:r>
            <w:r>
              <w:rPr>
                <w:sz w:val="21"/>
              </w:rPr>
              <w:t> </w:t>
            </w:r>
          </w:p>
        </w:tc>
        <w:tc>
          <w:tcPr>
            <w:tcW w:w="4369" w:type="dxa"/>
          </w:tcPr>
          <w:p>
            <w:pPr>
              <w:pStyle w:val="TableParagraph"/>
              <w:spacing w:line="250" w:lineRule="exact" w:before="1"/>
              <w:ind w:right="-15"/>
              <w:jc w:val="right"/>
              <w:rPr>
                <w:sz w:val="21"/>
              </w:rPr>
            </w:pPr>
            <w:r>
              <w:rPr>
                <w:sz w:val="21"/>
              </w:rPr>
              <w:t>159,800 </w:t>
            </w:r>
          </w:p>
        </w:tc>
      </w:tr>
      <w:tr>
        <w:trPr>
          <w:trHeight w:val="273" w:hRule="atLeast"/>
        </w:trPr>
        <w:tc>
          <w:tcPr>
            <w:tcW w:w="4455" w:type="dxa"/>
          </w:tcPr>
          <w:p>
            <w:pPr>
              <w:pStyle w:val="TableParagraph"/>
              <w:spacing w:line="250" w:lineRule="exact" w:before="3"/>
              <w:ind w:left="107"/>
              <w:rPr>
                <w:sz w:val="21"/>
              </w:rPr>
            </w:pPr>
            <w:r>
              <w:rPr>
                <w:sz w:val="21"/>
              </w:rPr>
              <w:t>2</w:t>
            </w:r>
            <w:r>
              <w:rPr>
                <w:spacing w:val="-36"/>
                <w:sz w:val="21"/>
              </w:rPr>
              <w:t> 至 </w:t>
            </w:r>
            <w:r>
              <w:rPr>
                <w:sz w:val="21"/>
              </w:rPr>
              <w:t>3</w:t>
            </w:r>
            <w:r>
              <w:rPr>
                <w:spacing w:val="-28"/>
                <w:sz w:val="21"/>
              </w:rPr>
              <w:t> 年</w:t>
            </w:r>
            <w:r>
              <w:rPr>
                <w:sz w:val="21"/>
              </w:rPr>
              <w:t> </w:t>
            </w:r>
          </w:p>
        </w:tc>
        <w:tc>
          <w:tcPr>
            <w:tcW w:w="4369" w:type="dxa"/>
          </w:tcPr>
          <w:p>
            <w:pPr>
              <w:pStyle w:val="TableParagraph"/>
              <w:spacing w:line="250" w:lineRule="exact" w:before="3"/>
              <w:ind w:right="-15"/>
              <w:jc w:val="right"/>
              <w:rPr>
                <w:sz w:val="21"/>
              </w:rPr>
            </w:pPr>
            <w:r>
              <w:rPr>
                <w:w w:val="100"/>
                <w:sz w:val="21"/>
              </w:rPr>
              <w:t> </w:t>
            </w:r>
          </w:p>
        </w:tc>
      </w:tr>
      <w:tr>
        <w:trPr>
          <w:trHeight w:val="273" w:hRule="atLeast"/>
        </w:trPr>
        <w:tc>
          <w:tcPr>
            <w:tcW w:w="4455" w:type="dxa"/>
          </w:tcPr>
          <w:p>
            <w:pPr>
              <w:pStyle w:val="TableParagraph"/>
              <w:spacing w:line="252" w:lineRule="exact" w:before="1"/>
              <w:ind w:left="107"/>
              <w:rPr>
                <w:sz w:val="21"/>
              </w:rPr>
            </w:pPr>
            <w:r>
              <w:rPr>
                <w:spacing w:val="-1"/>
                <w:sz w:val="21"/>
              </w:rPr>
              <w:t>3</w:t>
            </w:r>
            <w:r>
              <w:rPr>
                <w:spacing w:val="-14"/>
                <w:sz w:val="21"/>
              </w:rPr>
              <w:t> 年以上</w:t>
            </w:r>
            <w:r>
              <w:rPr>
                <w:sz w:val="21"/>
              </w:rPr>
              <w:t> </w:t>
            </w:r>
          </w:p>
        </w:tc>
        <w:tc>
          <w:tcPr>
            <w:tcW w:w="4369" w:type="dxa"/>
          </w:tcPr>
          <w:p>
            <w:pPr>
              <w:pStyle w:val="TableParagraph"/>
              <w:spacing w:line="252" w:lineRule="exact" w:before="1"/>
              <w:ind w:right="-15"/>
              <w:jc w:val="right"/>
              <w:rPr>
                <w:sz w:val="21"/>
              </w:rPr>
            </w:pPr>
            <w:r>
              <w:rPr>
                <w:w w:val="100"/>
                <w:sz w:val="21"/>
              </w:rPr>
              <w:t> </w:t>
            </w:r>
          </w:p>
        </w:tc>
      </w:tr>
      <w:tr>
        <w:trPr>
          <w:trHeight w:val="270" w:hRule="atLeast"/>
        </w:trPr>
        <w:tc>
          <w:tcPr>
            <w:tcW w:w="4455" w:type="dxa"/>
          </w:tcPr>
          <w:p>
            <w:pPr>
              <w:pStyle w:val="TableParagraph"/>
              <w:spacing w:line="250" w:lineRule="exact" w:before="1"/>
              <w:ind w:left="107"/>
              <w:rPr>
                <w:sz w:val="21"/>
              </w:rPr>
            </w:pPr>
            <w:r>
              <w:rPr>
                <w:sz w:val="21"/>
              </w:rPr>
              <w:t>3</w:t>
            </w:r>
            <w:r>
              <w:rPr>
                <w:spacing w:val="-36"/>
                <w:sz w:val="21"/>
              </w:rPr>
              <w:t> 至 </w:t>
            </w:r>
            <w:r>
              <w:rPr>
                <w:sz w:val="21"/>
              </w:rPr>
              <w:t>4</w:t>
            </w:r>
            <w:r>
              <w:rPr>
                <w:spacing w:val="-28"/>
                <w:sz w:val="21"/>
              </w:rPr>
              <w:t> 年</w:t>
            </w:r>
            <w:r>
              <w:rPr>
                <w:sz w:val="21"/>
              </w:rPr>
              <w:t> </w:t>
            </w:r>
          </w:p>
        </w:tc>
        <w:tc>
          <w:tcPr>
            <w:tcW w:w="4369" w:type="dxa"/>
          </w:tcPr>
          <w:p>
            <w:pPr>
              <w:pStyle w:val="TableParagraph"/>
              <w:spacing w:line="250" w:lineRule="exact" w:before="1"/>
              <w:ind w:right="-15"/>
              <w:jc w:val="right"/>
              <w:rPr>
                <w:sz w:val="21"/>
              </w:rPr>
            </w:pPr>
            <w:r>
              <w:rPr>
                <w:w w:val="100"/>
                <w:sz w:val="21"/>
              </w:rPr>
              <w:t> </w:t>
            </w:r>
          </w:p>
        </w:tc>
      </w:tr>
    </w:tbl>
    <w:p>
      <w:pPr>
        <w:spacing w:after="0" w:line="250" w:lineRule="exact"/>
        <w:jc w:val="right"/>
        <w:rPr>
          <w:sz w:val="21"/>
        </w:rPr>
        <w:sectPr>
          <w:type w:val="continuous"/>
          <w:pgSz w:w="11910" w:h="16840"/>
          <w:pgMar w:top="780" w:bottom="2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55"/>
        <w:gridCol w:w="4369"/>
      </w:tblGrid>
      <w:tr>
        <w:trPr>
          <w:trHeight w:val="273" w:hRule="atLeast"/>
        </w:trPr>
        <w:tc>
          <w:tcPr>
            <w:tcW w:w="4455" w:type="dxa"/>
          </w:tcPr>
          <w:p>
            <w:pPr>
              <w:pStyle w:val="TableParagraph"/>
              <w:spacing w:line="250" w:lineRule="exact" w:before="3"/>
              <w:ind w:left="107"/>
              <w:rPr>
                <w:sz w:val="21"/>
              </w:rPr>
            </w:pPr>
            <w:r>
              <w:rPr>
                <w:sz w:val="21"/>
              </w:rPr>
              <w:t>4</w:t>
            </w:r>
            <w:r>
              <w:rPr>
                <w:spacing w:val="-36"/>
                <w:sz w:val="21"/>
              </w:rPr>
              <w:t> 至 </w:t>
            </w:r>
            <w:r>
              <w:rPr>
                <w:sz w:val="21"/>
              </w:rPr>
              <w:t>5</w:t>
            </w:r>
            <w:r>
              <w:rPr>
                <w:spacing w:val="-28"/>
                <w:sz w:val="21"/>
              </w:rPr>
              <w:t> 年</w:t>
            </w:r>
            <w:r>
              <w:rPr>
                <w:sz w:val="21"/>
              </w:rPr>
              <w:t> </w:t>
            </w:r>
          </w:p>
        </w:tc>
        <w:tc>
          <w:tcPr>
            <w:tcW w:w="4369" w:type="dxa"/>
          </w:tcPr>
          <w:p>
            <w:pPr>
              <w:pStyle w:val="TableParagraph"/>
              <w:spacing w:line="250" w:lineRule="exact" w:before="3"/>
              <w:ind w:right="-15"/>
              <w:jc w:val="right"/>
              <w:rPr>
                <w:sz w:val="21"/>
              </w:rPr>
            </w:pPr>
            <w:r>
              <w:rPr>
                <w:w w:val="100"/>
                <w:sz w:val="21"/>
              </w:rPr>
              <w:t> </w:t>
            </w:r>
          </w:p>
        </w:tc>
      </w:tr>
      <w:tr>
        <w:trPr>
          <w:trHeight w:val="273" w:hRule="atLeast"/>
        </w:trPr>
        <w:tc>
          <w:tcPr>
            <w:tcW w:w="4455" w:type="dxa"/>
          </w:tcPr>
          <w:p>
            <w:pPr>
              <w:pStyle w:val="TableParagraph"/>
              <w:spacing w:line="252" w:lineRule="exact" w:before="1"/>
              <w:ind w:left="107"/>
              <w:rPr>
                <w:sz w:val="21"/>
              </w:rPr>
            </w:pPr>
            <w:r>
              <w:rPr>
                <w:spacing w:val="-1"/>
                <w:sz w:val="21"/>
              </w:rPr>
              <w:t>5</w:t>
            </w:r>
            <w:r>
              <w:rPr>
                <w:spacing w:val="-14"/>
                <w:sz w:val="21"/>
              </w:rPr>
              <w:t> 年以上</w:t>
            </w:r>
            <w:r>
              <w:rPr>
                <w:sz w:val="21"/>
              </w:rPr>
              <w:t> </w:t>
            </w:r>
          </w:p>
        </w:tc>
        <w:tc>
          <w:tcPr>
            <w:tcW w:w="4369" w:type="dxa"/>
          </w:tcPr>
          <w:p>
            <w:pPr>
              <w:pStyle w:val="TableParagraph"/>
              <w:spacing w:line="252" w:lineRule="exact" w:before="1"/>
              <w:ind w:right="-15"/>
              <w:jc w:val="right"/>
              <w:rPr>
                <w:sz w:val="21"/>
              </w:rPr>
            </w:pPr>
            <w:r>
              <w:rPr>
                <w:w w:val="100"/>
                <w:sz w:val="21"/>
              </w:rPr>
              <w:t> </w:t>
            </w:r>
          </w:p>
        </w:tc>
      </w:tr>
      <w:tr>
        <w:trPr>
          <w:trHeight w:val="270" w:hRule="atLeast"/>
        </w:trPr>
        <w:tc>
          <w:tcPr>
            <w:tcW w:w="4455" w:type="dxa"/>
          </w:tcPr>
          <w:p>
            <w:pPr>
              <w:pStyle w:val="TableParagraph"/>
              <w:spacing w:line="250" w:lineRule="exact" w:before="1"/>
              <w:ind w:left="107"/>
              <w:rPr>
                <w:sz w:val="21"/>
              </w:rPr>
            </w:pPr>
            <w:r>
              <w:rPr>
                <w:w w:val="100"/>
                <w:sz w:val="21"/>
              </w:rPr>
              <w:t> </w:t>
            </w:r>
          </w:p>
        </w:tc>
        <w:tc>
          <w:tcPr>
            <w:tcW w:w="4369" w:type="dxa"/>
          </w:tcPr>
          <w:p>
            <w:pPr>
              <w:pStyle w:val="TableParagraph"/>
              <w:spacing w:line="250" w:lineRule="exact" w:before="1"/>
              <w:ind w:right="-15"/>
              <w:jc w:val="right"/>
              <w:rPr>
                <w:sz w:val="21"/>
              </w:rPr>
            </w:pPr>
            <w:r>
              <w:rPr>
                <w:w w:val="100"/>
                <w:sz w:val="21"/>
              </w:rPr>
              <w:t> </w:t>
            </w:r>
          </w:p>
        </w:tc>
      </w:tr>
      <w:tr>
        <w:trPr>
          <w:trHeight w:val="273" w:hRule="atLeast"/>
        </w:trPr>
        <w:tc>
          <w:tcPr>
            <w:tcW w:w="4455" w:type="dxa"/>
          </w:tcPr>
          <w:p>
            <w:pPr>
              <w:pStyle w:val="TableParagraph"/>
              <w:spacing w:line="250" w:lineRule="exact" w:before="3"/>
              <w:ind w:left="107"/>
              <w:rPr>
                <w:sz w:val="21"/>
              </w:rPr>
            </w:pPr>
            <w:r>
              <w:rPr>
                <w:w w:val="100"/>
                <w:sz w:val="21"/>
              </w:rPr>
              <w:t> </w:t>
            </w:r>
          </w:p>
        </w:tc>
        <w:tc>
          <w:tcPr>
            <w:tcW w:w="4369" w:type="dxa"/>
          </w:tcPr>
          <w:p>
            <w:pPr>
              <w:pStyle w:val="TableParagraph"/>
              <w:spacing w:line="250" w:lineRule="exact" w:before="3"/>
              <w:ind w:right="-15"/>
              <w:jc w:val="right"/>
              <w:rPr>
                <w:sz w:val="21"/>
              </w:rPr>
            </w:pPr>
            <w:r>
              <w:rPr>
                <w:w w:val="100"/>
                <w:sz w:val="21"/>
              </w:rPr>
              <w:t> </w:t>
            </w:r>
          </w:p>
        </w:tc>
      </w:tr>
      <w:tr>
        <w:trPr>
          <w:trHeight w:val="273" w:hRule="atLeast"/>
        </w:trPr>
        <w:tc>
          <w:tcPr>
            <w:tcW w:w="4455" w:type="dxa"/>
          </w:tcPr>
          <w:p>
            <w:pPr>
              <w:pStyle w:val="TableParagraph"/>
              <w:spacing w:line="252" w:lineRule="exact" w:before="1"/>
              <w:ind w:left="2049" w:right="1936"/>
              <w:jc w:val="center"/>
              <w:rPr>
                <w:sz w:val="21"/>
              </w:rPr>
            </w:pPr>
            <w:r>
              <w:rPr>
                <w:sz w:val="21"/>
              </w:rPr>
              <w:t>合计 </w:t>
            </w:r>
          </w:p>
        </w:tc>
        <w:tc>
          <w:tcPr>
            <w:tcW w:w="4369" w:type="dxa"/>
          </w:tcPr>
          <w:p>
            <w:pPr>
              <w:pStyle w:val="TableParagraph"/>
              <w:spacing w:line="252" w:lineRule="exact" w:before="1"/>
              <w:ind w:right="-15"/>
              <w:jc w:val="right"/>
              <w:rPr>
                <w:sz w:val="21"/>
              </w:rPr>
            </w:pPr>
            <w:r>
              <w:rPr>
                <w:sz w:val="21"/>
              </w:rPr>
              <w:t>312,093 </w:t>
            </w:r>
          </w:p>
        </w:tc>
      </w:tr>
    </w:tbl>
    <w:p>
      <w:pPr>
        <w:pStyle w:val="BodyText"/>
        <w:spacing w:before="1"/>
      </w:pPr>
      <w:r>
        <w:rPr>
          <w:w w:val="100"/>
        </w:rPr>
        <w:t> </w:t>
      </w:r>
    </w:p>
    <w:p>
      <w:pPr>
        <w:pStyle w:val="BodyText"/>
        <w:spacing w:before="2"/>
      </w:pPr>
      <w:r>
        <w:rPr>
          <w:w w:val="100"/>
        </w:rPr>
        <w:t> </w:t>
      </w:r>
    </w:p>
    <w:p>
      <w:pPr>
        <w:pStyle w:val="ListParagraph"/>
        <w:numPr>
          <w:ilvl w:val="0"/>
          <w:numId w:val="96"/>
        </w:numPr>
        <w:tabs>
          <w:tab w:pos="742" w:val="left" w:leader="none"/>
        </w:tabs>
        <w:spacing w:line="240" w:lineRule="auto" w:before="65" w:after="0"/>
        <w:ind w:left="741" w:right="0" w:hanging="424"/>
        <w:jc w:val="left"/>
        <w:rPr>
          <w:sz w:val="21"/>
        </w:rPr>
      </w:pPr>
      <w:r>
        <w:rPr>
          <w:sz w:val="21"/>
        </w:rPr>
        <w:t>按款项性质分类情况 </w:t>
      </w:r>
    </w:p>
    <w:p>
      <w:pPr>
        <w:pStyle w:val="BodyText"/>
        <w:spacing w:before="62"/>
      </w:pPr>
      <w:r>
        <w:rPr>
          <w:spacing w:val="-1"/>
        </w:rPr>
        <w:t>□适用 √不适用</w:t>
      </w:r>
      <w:r>
        <w:rPr>
          <w:spacing w:val="-3"/>
        </w:rPr>
        <w:t> </w:t>
      </w:r>
      <w:r>
        <w:rPr/>
        <w:t> </w:t>
      </w:r>
    </w:p>
    <w:p>
      <w:pPr>
        <w:pStyle w:val="ListParagraph"/>
        <w:numPr>
          <w:ilvl w:val="0"/>
          <w:numId w:val="96"/>
        </w:numPr>
        <w:tabs>
          <w:tab w:pos="742" w:val="left" w:leader="none"/>
        </w:tabs>
        <w:spacing w:line="240" w:lineRule="auto" w:before="64" w:after="0"/>
        <w:ind w:left="741" w:right="0" w:hanging="424"/>
        <w:jc w:val="left"/>
        <w:rPr>
          <w:sz w:val="21"/>
        </w:rPr>
      </w:pPr>
      <w:r>
        <w:rPr>
          <w:sz w:val="21"/>
        </w:rPr>
        <w:t>坏账准备计提情况 </w:t>
      </w:r>
    </w:p>
    <w:p>
      <w:pPr>
        <w:pStyle w:val="BodyText"/>
        <w:spacing w:before="62"/>
      </w:pPr>
      <w:r>
        <w:rPr>
          <w:spacing w:val="-1"/>
        </w:rPr>
        <w:t>□适用 √不适用</w:t>
      </w:r>
      <w:r>
        <w:rPr>
          <w:spacing w:val="-3"/>
        </w:rPr>
        <w:t> </w:t>
      </w:r>
      <w:r>
        <w:rPr/>
        <w:t> </w:t>
      </w:r>
    </w:p>
    <w:p>
      <w:pPr>
        <w:pStyle w:val="BodyText"/>
        <w:spacing w:before="5"/>
      </w:pPr>
      <w:r>
        <w:rPr>
          <w:w w:val="100"/>
        </w:rPr>
        <w:t> </w:t>
      </w:r>
    </w:p>
    <w:p>
      <w:pPr>
        <w:pStyle w:val="BodyText"/>
        <w:spacing w:before="2"/>
      </w:pPr>
      <w:r>
        <w:rPr>
          <w:w w:val="100"/>
        </w:rPr>
        <w:t> </w:t>
      </w:r>
    </w:p>
    <w:p>
      <w:pPr>
        <w:pStyle w:val="BodyText"/>
        <w:spacing w:before="5"/>
      </w:pPr>
      <w:r>
        <w:rPr>
          <w:spacing w:val="-1"/>
        </w:rPr>
        <w:t>本期坏账准备计提金额以及评估金融工具的信用风险是否显著增加的采用依据：</w:t>
      </w:r>
      <w:r>
        <w:rPr/>
        <w:t> </w:t>
      </w:r>
    </w:p>
    <w:p>
      <w:pPr>
        <w:pStyle w:val="BodyText"/>
        <w:spacing w:before="2"/>
      </w:pPr>
      <w:r>
        <w:rPr>
          <w:spacing w:val="-1"/>
        </w:rPr>
        <w:t>□适用 √不适用</w:t>
      </w:r>
      <w:r>
        <w:rPr>
          <w:spacing w:val="-3"/>
        </w:rPr>
        <w:t> </w:t>
      </w:r>
      <w:r>
        <w:rPr/>
        <w:t> </w:t>
      </w:r>
    </w:p>
    <w:p>
      <w:pPr>
        <w:pStyle w:val="BodyText"/>
        <w:spacing w:before="5"/>
      </w:pPr>
      <w:r>
        <w:rPr>
          <w:w w:val="100"/>
        </w:rPr>
        <w:t> </w:t>
      </w:r>
    </w:p>
    <w:p>
      <w:pPr>
        <w:pStyle w:val="ListParagraph"/>
        <w:numPr>
          <w:ilvl w:val="0"/>
          <w:numId w:val="96"/>
        </w:numPr>
        <w:tabs>
          <w:tab w:pos="742" w:val="left" w:leader="none"/>
        </w:tabs>
        <w:spacing w:line="240" w:lineRule="auto" w:before="62" w:after="0"/>
        <w:ind w:left="741" w:right="0" w:hanging="424"/>
        <w:jc w:val="left"/>
        <w:rPr>
          <w:sz w:val="21"/>
        </w:rPr>
      </w:pPr>
      <w:r>
        <w:rPr>
          <w:sz w:val="21"/>
        </w:rPr>
        <w:t>坏账准备的情况 </w:t>
      </w:r>
    </w:p>
    <w:p>
      <w:pPr>
        <w:pStyle w:val="BodyText"/>
        <w:spacing w:before="65"/>
      </w:pPr>
      <w:r>
        <w:rPr>
          <w:spacing w:val="-1"/>
        </w:rPr>
        <w:t>□适用 √不适用</w:t>
      </w:r>
      <w:r>
        <w:rPr>
          <w:spacing w:val="-3"/>
        </w:rPr>
        <w:t> </w:t>
      </w:r>
      <w:r>
        <w:rPr/>
        <w:t> </w:t>
      </w:r>
    </w:p>
    <w:p>
      <w:pPr>
        <w:pStyle w:val="ListParagraph"/>
        <w:numPr>
          <w:ilvl w:val="0"/>
          <w:numId w:val="96"/>
        </w:numPr>
        <w:tabs>
          <w:tab w:pos="742" w:val="left" w:leader="none"/>
        </w:tabs>
        <w:spacing w:line="240" w:lineRule="auto" w:before="62" w:after="0"/>
        <w:ind w:left="741" w:right="0" w:hanging="424"/>
        <w:jc w:val="left"/>
        <w:rPr>
          <w:sz w:val="21"/>
        </w:rPr>
      </w:pPr>
      <w:r>
        <w:rPr>
          <w:sz w:val="21"/>
        </w:rPr>
        <w:t>本期实际核销的其他应收款情况 </w:t>
      </w:r>
    </w:p>
    <w:p>
      <w:pPr>
        <w:pStyle w:val="BodyText"/>
        <w:spacing w:before="62"/>
      </w:pPr>
      <w:r>
        <w:rPr>
          <w:spacing w:val="-1"/>
        </w:rPr>
        <w:t>□适用 √不适用</w:t>
      </w:r>
      <w:r>
        <w:rPr>
          <w:spacing w:val="-3"/>
        </w:rPr>
        <w:t> </w:t>
      </w:r>
      <w:r>
        <w:rPr/>
        <w:t> </w:t>
      </w:r>
    </w:p>
    <w:p>
      <w:pPr>
        <w:pStyle w:val="BodyText"/>
        <w:spacing w:before="4"/>
      </w:pPr>
      <w:r>
        <w:rPr>
          <w:w w:val="100"/>
        </w:rPr>
        <w:t> </w:t>
      </w:r>
    </w:p>
    <w:p>
      <w:pPr>
        <w:pStyle w:val="BodyText"/>
        <w:spacing w:before="3"/>
      </w:pPr>
      <w:r>
        <w:rPr>
          <w:w w:val="100"/>
        </w:rPr>
        <w:t> </w:t>
      </w:r>
    </w:p>
    <w:p>
      <w:pPr>
        <w:pStyle w:val="ListParagraph"/>
        <w:numPr>
          <w:ilvl w:val="0"/>
          <w:numId w:val="96"/>
        </w:numPr>
        <w:tabs>
          <w:tab w:pos="742" w:val="left" w:leader="none"/>
        </w:tabs>
        <w:spacing w:line="240" w:lineRule="auto" w:before="64" w:after="0"/>
        <w:ind w:left="741" w:right="0" w:hanging="424"/>
        <w:jc w:val="left"/>
        <w:rPr>
          <w:sz w:val="21"/>
        </w:rPr>
      </w:pPr>
      <w:r>
        <w:rPr>
          <w:sz w:val="21"/>
        </w:rPr>
        <w:t>按欠款方归集的期末余额前五名的其他应收款情况 </w:t>
      </w:r>
    </w:p>
    <w:p>
      <w:pPr>
        <w:pStyle w:val="BodyText"/>
        <w:spacing w:before="62"/>
      </w:pPr>
      <w:r>
        <w:rPr>
          <w:spacing w:val="-1"/>
        </w:rPr>
        <w:t>√适用 □不适用</w:t>
      </w:r>
      <w:r>
        <w:rPr>
          <w:spacing w:val="-3"/>
        </w:rPr>
        <w:t> </w:t>
      </w:r>
      <w:r>
        <w:rPr/>
        <w:t> </w:t>
      </w:r>
    </w:p>
    <w:p>
      <w:pPr>
        <w:pStyle w:val="BodyText"/>
        <w:spacing w:before="5"/>
        <w:ind w:left="6628"/>
      </w:pPr>
      <w:r>
        <w:rPr>
          <w:spacing w:val="7"/>
        </w:rPr>
        <w:t>单位：千元 币种：人民币</w:t>
      </w:r>
      <w:r>
        <w:rPr/>
        <w:t> </w:t>
      </w: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6"/>
        <w:gridCol w:w="1344"/>
        <w:gridCol w:w="1219"/>
        <w:gridCol w:w="1320"/>
        <w:gridCol w:w="1750"/>
        <w:gridCol w:w="1663"/>
      </w:tblGrid>
      <w:tr>
        <w:trPr>
          <w:trHeight w:val="818" w:hRule="atLeast"/>
        </w:trPr>
        <w:tc>
          <w:tcPr>
            <w:tcW w:w="1526" w:type="dxa"/>
          </w:tcPr>
          <w:p>
            <w:pPr>
              <w:pStyle w:val="TableParagraph"/>
              <w:spacing w:before="5"/>
              <w:rPr>
                <w:sz w:val="21"/>
              </w:rPr>
            </w:pPr>
          </w:p>
          <w:p>
            <w:pPr>
              <w:pStyle w:val="TableParagraph"/>
              <w:ind w:left="324" w:right="315"/>
              <w:jc w:val="center"/>
              <w:rPr>
                <w:sz w:val="21"/>
              </w:rPr>
            </w:pPr>
            <w:r>
              <w:rPr>
                <w:spacing w:val="-1"/>
                <w:sz w:val="21"/>
              </w:rPr>
              <w:t>单位名称</w:t>
            </w:r>
            <w:r>
              <w:rPr>
                <w:sz w:val="21"/>
              </w:rPr>
              <w:t> </w:t>
            </w:r>
          </w:p>
        </w:tc>
        <w:tc>
          <w:tcPr>
            <w:tcW w:w="1344" w:type="dxa"/>
          </w:tcPr>
          <w:p>
            <w:pPr>
              <w:pStyle w:val="TableParagraph"/>
              <w:spacing w:before="5"/>
              <w:rPr>
                <w:sz w:val="21"/>
              </w:rPr>
            </w:pPr>
          </w:p>
          <w:p>
            <w:pPr>
              <w:pStyle w:val="TableParagraph"/>
              <w:ind w:left="110"/>
              <w:rPr>
                <w:sz w:val="21"/>
              </w:rPr>
            </w:pPr>
            <w:r>
              <w:rPr>
                <w:sz w:val="21"/>
              </w:rPr>
              <w:t>款项的性质 </w:t>
            </w:r>
          </w:p>
        </w:tc>
        <w:tc>
          <w:tcPr>
            <w:tcW w:w="1219" w:type="dxa"/>
          </w:tcPr>
          <w:p>
            <w:pPr>
              <w:pStyle w:val="TableParagraph"/>
              <w:spacing w:before="5"/>
              <w:rPr>
                <w:sz w:val="21"/>
              </w:rPr>
            </w:pPr>
          </w:p>
          <w:p>
            <w:pPr>
              <w:pStyle w:val="TableParagraph"/>
              <w:ind w:left="151"/>
              <w:rPr>
                <w:sz w:val="21"/>
              </w:rPr>
            </w:pPr>
            <w:r>
              <w:rPr>
                <w:spacing w:val="-1"/>
                <w:sz w:val="21"/>
              </w:rPr>
              <w:t>期末余额</w:t>
            </w:r>
            <w:r>
              <w:rPr>
                <w:sz w:val="21"/>
              </w:rPr>
              <w:t> </w:t>
            </w:r>
          </w:p>
        </w:tc>
        <w:tc>
          <w:tcPr>
            <w:tcW w:w="1320" w:type="dxa"/>
          </w:tcPr>
          <w:p>
            <w:pPr>
              <w:pStyle w:val="TableParagraph"/>
              <w:spacing w:before="5"/>
              <w:rPr>
                <w:sz w:val="21"/>
              </w:rPr>
            </w:pPr>
          </w:p>
          <w:p>
            <w:pPr>
              <w:pStyle w:val="TableParagraph"/>
              <w:ind w:left="414"/>
              <w:rPr>
                <w:sz w:val="21"/>
              </w:rPr>
            </w:pPr>
            <w:r>
              <w:rPr>
                <w:sz w:val="21"/>
              </w:rPr>
              <w:t>账龄 </w:t>
            </w:r>
          </w:p>
        </w:tc>
        <w:tc>
          <w:tcPr>
            <w:tcW w:w="1750" w:type="dxa"/>
          </w:tcPr>
          <w:p>
            <w:pPr>
              <w:pStyle w:val="TableParagraph"/>
              <w:spacing w:before="1"/>
              <w:ind w:left="140"/>
              <w:rPr>
                <w:sz w:val="21"/>
              </w:rPr>
            </w:pPr>
            <w:r>
              <w:rPr>
                <w:sz w:val="21"/>
              </w:rPr>
              <w:t>占其他应收款期</w:t>
            </w:r>
          </w:p>
          <w:p>
            <w:pPr>
              <w:pStyle w:val="TableParagraph"/>
              <w:spacing w:line="270" w:lineRule="atLeast"/>
              <w:ind w:left="507" w:right="123" w:hanging="368"/>
              <w:rPr>
                <w:sz w:val="21"/>
              </w:rPr>
            </w:pPr>
            <w:r>
              <w:rPr>
                <w:sz w:val="21"/>
              </w:rPr>
              <w:t>末余额合计数的比例(%) </w:t>
            </w:r>
          </w:p>
        </w:tc>
        <w:tc>
          <w:tcPr>
            <w:tcW w:w="1663" w:type="dxa"/>
          </w:tcPr>
          <w:p>
            <w:pPr>
              <w:pStyle w:val="TableParagraph"/>
              <w:spacing w:line="244" w:lineRule="auto" w:before="138"/>
              <w:ind w:left="411" w:right="293"/>
              <w:rPr>
                <w:sz w:val="21"/>
              </w:rPr>
            </w:pPr>
            <w:r>
              <w:rPr>
                <w:sz w:val="21"/>
              </w:rPr>
              <w:t>坏账准备期末余额 </w:t>
            </w:r>
          </w:p>
        </w:tc>
      </w:tr>
      <w:tr>
        <w:trPr>
          <w:trHeight w:val="544" w:hRule="atLeast"/>
        </w:trPr>
        <w:tc>
          <w:tcPr>
            <w:tcW w:w="1526" w:type="dxa"/>
          </w:tcPr>
          <w:p>
            <w:pPr>
              <w:pStyle w:val="TableParagraph"/>
              <w:spacing w:before="1"/>
              <w:ind w:left="107"/>
              <w:rPr>
                <w:sz w:val="21"/>
              </w:rPr>
            </w:pPr>
            <w:r>
              <w:rPr>
                <w:sz w:val="21"/>
              </w:rPr>
              <w:t>其他应收款</w:t>
            </w:r>
          </w:p>
          <w:p>
            <w:pPr>
              <w:pStyle w:val="TableParagraph"/>
              <w:spacing w:line="250" w:lineRule="exact" w:before="4"/>
              <w:ind w:left="107"/>
              <w:rPr>
                <w:sz w:val="21"/>
              </w:rPr>
            </w:pPr>
            <w:r>
              <w:rPr>
                <w:sz w:val="21"/>
              </w:rPr>
              <w:t>1 </w:t>
            </w:r>
          </w:p>
        </w:tc>
        <w:tc>
          <w:tcPr>
            <w:tcW w:w="1344" w:type="dxa"/>
          </w:tcPr>
          <w:p>
            <w:pPr>
              <w:pStyle w:val="TableParagraph"/>
              <w:spacing w:before="138"/>
              <w:ind w:left="108"/>
              <w:rPr>
                <w:sz w:val="24"/>
              </w:rPr>
            </w:pPr>
            <w:r>
              <w:rPr>
                <w:sz w:val="21"/>
              </w:rPr>
              <w:t>保证金</w:t>
            </w:r>
            <w:r>
              <w:rPr>
                <w:sz w:val="24"/>
              </w:rPr>
              <w:t> </w:t>
            </w:r>
          </w:p>
        </w:tc>
        <w:tc>
          <w:tcPr>
            <w:tcW w:w="1219" w:type="dxa"/>
          </w:tcPr>
          <w:p>
            <w:pPr>
              <w:pStyle w:val="TableParagraph"/>
              <w:spacing w:before="138"/>
              <w:ind w:right="-29"/>
              <w:jc w:val="right"/>
              <w:rPr>
                <w:sz w:val="24"/>
              </w:rPr>
            </w:pPr>
            <w:r>
              <w:rPr>
                <w:sz w:val="21"/>
              </w:rPr>
              <w:t>159,800</w:t>
            </w:r>
            <w:r>
              <w:rPr>
                <w:sz w:val="24"/>
              </w:rPr>
              <w:t> </w:t>
            </w:r>
          </w:p>
        </w:tc>
        <w:tc>
          <w:tcPr>
            <w:tcW w:w="1320" w:type="dxa"/>
          </w:tcPr>
          <w:p>
            <w:pPr>
              <w:pStyle w:val="TableParagraph"/>
              <w:spacing w:before="138"/>
              <w:ind w:right="-29"/>
              <w:jc w:val="right"/>
              <w:rPr>
                <w:sz w:val="24"/>
              </w:rPr>
            </w:pPr>
            <w:r>
              <w:rPr>
                <w:spacing w:val="-1"/>
                <w:sz w:val="21"/>
              </w:rPr>
              <w:t>一到二年</w:t>
            </w:r>
            <w:r>
              <w:rPr>
                <w:sz w:val="24"/>
              </w:rPr>
              <w:t> </w:t>
            </w:r>
          </w:p>
        </w:tc>
        <w:tc>
          <w:tcPr>
            <w:tcW w:w="1750" w:type="dxa"/>
          </w:tcPr>
          <w:p>
            <w:pPr>
              <w:pStyle w:val="TableParagraph"/>
              <w:spacing w:before="138"/>
              <w:ind w:right="-29"/>
              <w:jc w:val="right"/>
              <w:rPr>
                <w:sz w:val="24"/>
              </w:rPr>
            </w:pPr>
            <w:r>
              <w:rPr>
                <w:sz w:val="21"/>
              </w:rPr>
              <w:t>51%</w:t>
            </w:r>
            <w:r>
              <w:rPr>
                <w:sz w:val="24"/>
              </w:rPr>
              <w:t> </w:t>
            </w:r>
          </w:p>
        </w:tc>
        <w:tc>
          <w:tcPr>
            <w:tcW w:w="1663" w:type="dxa"/>
          </w:tcPr>
          <w:p>
            <w:pPr>
              <w:pStyle w:val="TableParagraph"/>
              <w:spacing w:before="1"/>
              <w:ind w:right="-15"/>
              <w:jc w:val="right"/>
              <w:rPr>
                <w:sz w:val="21"/>
              </w:rPr>
            </w:pPr>
            <w:r>
              <w:rPr>
                <w:sz w:val="21"/>
              </w:rPr>
              <w:t>- </w:t>
            </w:r>
          </w:p>
        </w:tc>
      </w:tr>
      <w:tr>
        <w:trPr>
          <w:trHeight w:val="544" w:hRule="atLeast"/>
        </w:trPr>
        <w:tc>
          <w:tcPr>
            <w:tcW w:w="1526" w:type="dxa"/>
          </w:tcPr>
          <w:p>
            <w:pPr>
              <w:pStyle w:val="TableParagraph"/>
              <w:spacing w:before="1"/>
              <w:ind w:left="107"/>
              <w:rPr>
                <w:sz w:val="21"/>
              </w:rPr>
            </w:pPr>
            <w:r>
              <w:rPr>
                <w:sz w:val="21"/>
              </w:rPr>
              <w:t>其他应收款</w:t>
            </w:r>
          </w:p>
          <w:p>
            <w:pPr>
              <w:pStyle w:val="TableParagraph"/>
              <w:spacing w:line="250" w:lineRule="exact" w:before="4"/>
              <w:ind w:left="107"/>
              <w:rPr>
                <w:sz w:val="21"/>
              </w:rPr>
            </w:pPr>
            <w:r>
              <w:rPr>
                <w:sz w:val="21"/>
              </w:rPr>
              <w:t>2 </w:t>
            </w:r>
          </w:p>
        </w:tc>
        <w:tc>
          <w:tcPr>
            <w:tcW w:w="1344" w:type="dxa"/>
          </w:tcPr>
          <w:p>
            <w:pPr>
              <w:pStyle w:val="TableParagraph"/>
              <w:spacing w:before="1"/>
              <w:ind w:left="108"/>
              <w:rPr>
                <w:sz w:val="21"/>
              </w:rPr>
            </w:pPr>
            <w:r>
              <w:rPr>
                <w:sz w:val="21"/>
              </w:rPr>
              <w:t>应收子公司</w:t>
            </w:r>
          </w:p>
          <w:p>
            <w:pPr>
              <w:pStyle w:val="TableParagraph"/>
              <w:spacing w:line="250" w:lineRule="exact" w:before="4"/>
              <w:ind w:left="108"/>
              <w:rPr>
                <w:sz w:val="21"/>
              </w:rPr>
            </w:pPr>
            <w:r>
              <w:rPr>
                <w:sz w:val="21"/>
              </w:rPr>
              <w:t>股份支付款 </w:t>
            </w:r>
          </w:p>
        </w:tc>
        <w:tc>
          <w:tcPr>
            <w:tcW w:w="1219" w:type="dxa"/>
          </w:tcPr>
          <w:p>
            <w:pPr>
              <w:pStyle w:val="TableParagraph"/>
              <w:spacing w:before="137"/>
              <w:ind w:right="-15"/>
              <w:jc w:val="right"/>
              <w:rPr>
                <w:sz w:val="21"/>
              </w:rPr>
            </w:pPr>
            <w:r>
              <w:rPr>
                <w:sz w:val="21"/>
              </w:rPr>
              <w:t>48,165 </w:t>
            </w:r>
          </w:p>
        </w:tc>
        <w:tc>
          <w:tcPr>
            <w:tcW w:w="1320" w:type="dxa"/>
          </w:tcPr>
          <w:p>
            <w:pPr>
              <w:pStyle w:val="TableParagraph"/>
              <w:spacing w:before="137"/>
              <w:ind w:right="-15"/>
              <w:jc w:val="right"/>
              <w:rPr>
                <w:sz w:val="21"/>
              </w:rPr>
            </w:pPr>
            <w:r>
              <w:rPr>
                <w:spacing w:val="-1"/>
                <w:sz w:val="21"/>
              </w:rPr>
              <w:t>一年以内</w:t>
            </w:r>
            <w:r>
              <w:rPr>
                <w:sz w:val="21"/>
              </w:rPr>
              <w:t> </w:t>
            </w:r>
          </w:p>
        </w:tc>
        <w:tc>
          <w:tcPr>
            <w:tcW w:w="1750" w:type="dxa"/>
          </w:tcPr>
          <w:p>
            <w:pPr>
              <w:pStyle w:val="TableParagraph"/>
              <w:spacing w:before="137"/>
              <w:ind w:right="-15"/>
              <w:jc w:val="right"/>
              <w:rPr>
                <w:sz w:val="21"/>
              </w:rPr>
            </w:pPr>
            <w:r>
              <w:rPr>
                <w:sz w:val="21"/>
              </w:rPr>
              <w:t>15% </w:t>
            </w:r>
          </w:p>
        </w:tc>
        <w:tc>
          <w:tcPr>
            <w:tcW w:w="1663" w:type="dxa"/>
          </w:tcPr>
          <w:p>
            <w:pPr>
              <w:pStyle w:val="TableParagraph"/>
              <w:spacing w:before="1"/>
              <w:ind w:right="-15"/>
              <w:jc w:val="right"/>
              <w:rPr>
                <w:sz w:val="21"/>
              </w:rPr>
            </w:pPr>
            <w:r>
              <w:rPr>
                <w:sz w:val="21"/>
              </w:rPr>
              <w:t>-482 </w:t>
            </w:r>
          </w:p>
        </w:tc>
      </w:tr>
      <w:tr>
        <w:trPr>
          <w:trHeight w:val="544" w:hRule="atLeast"/>
        </w:trPr>
        <w:tc>
          <w:tcPr>
            <w:tcW w:w="1526" w:type="dxa"/>
          </w:tcPr>
          <w:p>
            <w:pPr>
              <w:pStyle w:val="TableParagraph"/>
              <w:spacing w:before="1"/>
              <w:ind w:left="107"/>
              <w:rPr>
                <w:sz w:val="21"/>
              </w:rPr>
            </w:pPr>
            <w:r>
              <w:rPr>
                <w:sz w:val="21"/>
              </w:rPr>
              <w:t>其他应收款</w:t>
            </w:r>
          </w:p>
          <w:p>
            <w:pPr>
              <w:pStyle w:val="TableParagraph"/>
              <w:spacing w:line="250" w:lineRule="exact" w:before="4"/>
              <w:ind w:left="107"/>
              <w:rPr>
                <w:sz w:val="21"/>
              </w:rPr>
            </w:pPr>
            <w:r>
              <w:rPr>
                <w:sz w:val="21"/>
              </w:rPr>
              <w:t>3 </w:t>
            </w:r>
          </w:p>
        </w:tc>
        <w:tc>
          <w:tcPr>
            <w:tcW w:w="1344" w:type="dxa"/>
          </w:tcPr>
          <w:p>
            <w:pPr>
              <w:pStyle w:val="TableParagraph"/>
              <w:spacing w:before="1"/>
              <w:ind w:left="108"/>
              <w:rPr>
                <w:sz w:val="21"/>
              </w:rPr>
            </w:pPr>
            <w:r>
              <w:rPr>
                <w:sz w:val="21"/>
              </w:rPr>
              <w:t>应收子公司</w:t>
            </w:r>
          </w:p>
          <w:p>
            <w:pPr>
              <w:pStyle w:val="TableParagraph"/>
              <w:spacing w:line="250" w:lineRule="exact" w:before="4"/>
              <w:ind w:left="108"/>
              <w:rPr>
                <w:sz w:val="21"/>
              </w:rPr>
            </w:pPr>
            <w:r>
              <w:rPr>
                <w:sz w:val="21"/>
              </w:rPr>
              <w:t>股份支付款 </w:t>
            </w:r>
          </w:p>
        </w:tc>
        <w:tc>
          <w:tcPr>
            <w:tcW w:w="1219" w:type="dxa"/>
          </w:tcPr>
          <w:p>
            <w:pPr>
              <w:pStyle w:val="TableParagraph"/>
              <w:spacing w:before="137"/>
              <w:ind w:right="-15"/>
              <w:jc w:val="right"/>
              <w:rPr>
                <w:sz w:val="21"/>
              </w:rPr>
            </w:pPr>
            <w:r>
              <w:rPr>
                <w:sz w:val="21"/>
              </w:rPr>
              <w:t>20,062 </w:t>
            </w:r>
          </w:p>
        </w:tc>
        <w:tc>
          <w:tcPr>
            <w:tcW w:w="1320" w:type="dxa"/>
          </w:tcPr>
          <w:p>
            <w:pPr>
              <w:pStyle w:val="TableParagraph"/>
              <w:spacing w:before="137"/>
              <w:ind w:right="-15"/>
              <w:jc w:val="right"/>
              <w:rPr>
                <w:sz w:val="21"/>
              </w:rPr>
            </w:pPr>
            <w:r>
              <w:rPr>
                <w:spacing w:val="-1"/>
                <w:sz w:val="21"/>
              </w:rPr>
              <w:t>一年以内</w:t>
            </w:r>
            <w:r>
              <w:rPr>
                <w:sz w:val="21"/>
              </w:rPr>
              <w:t> </w:t>
            </w:r>
          </w:p>
        </w:tc>
        <w:tc>
          <w:tcPr>
            <w:tcW w:w="1750" w:type="dxa"/>
          </w:tcPr>
          <w:p>
            <w:pPr>
              <w:pStyle w:val="TableParagraph"/>
              <w:spacing w:before="137"/>
              <w:ind w:right="-15"/>
              <w:jc w:val="right"/>
              <w:rPr>
                <w:sz w:val="21"/>
              </w:rPr>
            </w:pPr>
            <w:r>
              <w:rPr>
                <w:sz w:val="21"/>
              </w:rPr>
              <w:t>6% </w:t>
            </w:r>
          </w:p>
        </w:tc>
        <w:tc>
          <w:tcPr>
            <w:tcW w:w="1663" w:type="dxa"/>
          </w:tcPr>
          <w:p>
            <w:pPr>
              <w:pStyle w:val="TableParagraph"/>
              <w:spacing w:before="1"/>
              <w:ind w:right="-15"/>
              <w:jc w:val="right"/>
              <w:rPr>
                <w:sz w:val="21"/>
              </w:rPr>
            </w:pPr>
            <w:r>
              <w:rPr>
                <w:sz w:val="21"/>
              </w:rPr>
              <w:t>-201 </w:t>
            </w:r>
          </w:p>
        </w:tc>
      </w:tr>
      <w:tr>
        <w:trPr>
          <w:trHeight w:val="544" w:hRule="atLeast"/>
        </w:trPr>
        <w:tc>
          <w:tcPr>
            <w:tcW w:w="1526" w:type="dxa"/>
          </w:tcPr>
          <w:p>
            <w:pPr>
              <w:pStyle w:val="TableParagraph"/>
              <w:spacing w:before="1"/>
              <w:ind w:left="107"/>
              <w:rPr>
                <w:sz w:val="21"/>
              </w:rPr>
            </w:pPr>
            <w:r>
              <w:rPr>
                <w:sz w:val="21"/>
              </w:rPr>
              <w:t>其他应收款</w:t>
            </w:r>
          </w:p>
          <w:p>
            <w:pPr>
              <w:pStyle w:val="TableParagraph"/>
              <w:spacing w:line="250" w:lineRule="exact" w:before="4"/>
              <w:ind w:left="107"/>
              <w:rPr>
                <w:sz w:val="21"/>
              </w:rPr>
            </w:pPr>
            <w:r>
              <w:rPr>
                <w:sz w:val="21"/>
              </w:rPr>
              <w:t>4 </w:t>
            </w:r>
          </w:p>
        </w:tc>
        <w:tc>
          <w:tcPr>
            <w:tcW w:w="1344" w:type="dxa"/>
          </w:tcPr>
          <w:p>
            <w:pPr>
              <w:pStyle w:val="TableParagraph"/>
              <w:spacing w:before="1"/>
              <w:ind w:left="108"/>
              <w:rPr>
                <w:sz w:val="21"/>
              </w:rPr>
            </w:pPr>
            <w:r>
              <w:rPr>
                <w:sz w:val="21"/>
              </w:rPr>
              <w:t>应收子公司</w:t>
            </w:r>
          </w:p>
          <w:p>
            <w:pPr>
              <w:pStyle w:val="TableParagraph"/>
              <w:spacing w:line="250" w:lineRule="exact" w:before="4"/>
              <w:ind w:left="108"/>
              <w:rPr>
                <w:sz w:val="21"/>
              </w:rPr>
            </w:pPr>
            <w:r>
              <w:rPr>
                <w:sz w:val="21"/>
              </w:rPr>
              <w:t>股份支付款 </w:t>
            </w:r>
          </w:p>
        </w:tc>
        <w:tc>
          <w:tcPr>
            <w:tcW w:w="1219" w:type="dxa"/>
          </w:tcPr>
          <w:p>
            <w:pPr>
              <w:pStyle w:val="TableParagraph"/>
              <w:spacing w:before="137"/>
              <w:ind w:right="-15"/>
              <w:jc w:val="right"/>
              <w:rPr>
                <w:sz w:val="21"/>
              </w:rPr>
            </w:pPr>
            <w:r>
              <w:rPr>
                <w:sz w:val="21"/>
              </w:rPr>
              <w:t>15,684 </w:t>
            </w:r>
          </w:p>
        </w:tc>
        <w:tc>
          <w:tcPr>
            <w:tcW w:w="1320" w:type="dxa"/>
          </w:tcPr>
          <w:p>
            <w:pPr>
              <w:pStyle w:val="TableParagraph"/>
              <w:spacing w:before="137"/>
              <w:ind w:right="-15"/>
              <w:jc w:val="right"/>
              <w:rPr>
                <w:sz w:val="21"/>
              </w:rPr>
            </w:pPr>
            <w:r>
              <w:rPr>
                <w:spacing w:val="-1"/>
                <w:sz w:val="21"/>
              </w:rPr>
              <w:t>一年以内</w:t>
            </w:r>
            <w:r>
              <w:rPr>
                <w:sz w:val="21"/>
              </w:rPr>
              <w:t> </w:t>
            </w:r>
          </w:p>
        </w:tc>
        <w:tc>
          <w:tcPr>
            <w:tcW w:w="1750" w:type="dxa"/>
          </w:tcPr>
          <w:p>
            <w:pPr>
              <w:pStyle w:val="TableParagraph"/>
              <w:spacing w:before="137"/>
              <w:ind w:right="-15"/>
              <w:jc w:val="right"/>
              <w:rPr>
                <w:sz w:val="21"/>
              </w:rPr>
            </w:pPr>
            <w:r>
              <w:rPr>
                <w:sz w:val="21"/>
              </w:rPr>
              <w:t>5% </w:t>
            </w:r>
          </w:p>
        </w:tc>
        <w:tc>
          <w:tcPr>
            <w:tcW w:w="1663" w:type="dxa"/>
          </w:tcPr>
          <w:p>
            <w:pPr>
              <w:pStyle w:val="TableParagraph"/>
              <w:spacing w:before="1"/>
              <w:ind w:right="-15"/>
              <w:jc w:val="right"/>
              <w:rPr>
                <w:sz w:val="21"/>
              </w:rPr>
            </w:pPr>
            <w:r>
              <w:rPr>
                <w:sz w:val="21"/>
              </w:rPr>
              <w:t>-157 </w:t>
            </w:r>
          </w:p>
        </w:tc>
      </w:tr>
      <w:tr>
        <w:trPr>
          <w:trHeight w:val="547" w:hRule="atLeast"/>
        </w:trPr>
        <w:tc>
          <w:tcPr>
            <w:tcW w:w="1526" w:type="dxa"/>
          </w:tcPr>
          <w:p>
            <w:pPr>
              <w:pStyle w:val="TableParagraph"/>
              <w:spacing w:line="270" w:lineRule="atLeast"/>
              <w:ind w:left="107" w:right="352"/>
              <w:rPr>
                <w:sz w:val="21"/>
              </w:rPr>
            </w:pPr>
            <w:r>
              <w:rPr>
                <w:sz w:val="21"/>
              </w:rPr>
              <w:t>其他应收款5 </w:t>
            </w:r>
          </w:p>
        </w:tc>
        <w:tc>
          <w:tcPr>
            <w:tcW w:w="1344" w:type="dxa"/>
          </w:tcPr>
          <w:p>
            <w:pPr>
              <w:pStyle w:val="TableParagraph"/>
              <w:spacing w:line="270" w:lineRule="atLeast"/>
              <w:ind w:left="108" w:right="66"/>
              <w:rPr>
                <w:sz w:val="21"/>
              </w:rPr>
            </w:pPr>
            <w:r>
              <w:rPr>
                <w:sz w:val="21"/>
              </w:rPr>
              <w:t>应收子公司股份支付款 </w:t>
            </w:r>
          </w:p>
        </w:tc>
        <w:tc>
          <w:tcPr>
            <w:tcW w:w="1219" w:type="dxa"/>
          </w:tcPr>
          <w:p>
            <w:pPr>
              <w:pStyle w:val="TableParagraph"/>
              <w:spacing w:before="137"/>
              <w:ind w:right="-15"/>
              <w:jc w:val="right"/>
              <w:rPr>
                <w:sz w:val="21"/>
              </w:rPr>
            </w:pPr>
            <w:r>
              <w:rPr>
                <w:sz w:val="21"/>
              </w:rPr>
              <w:t>13,690 </w:t>
            </w:r>
          </w:p>
        </w:tc>
        <w:tc>
          <w:tcPr>
            <w:tcW w:w="1320" w:type="dxa"/>
          </w:tcPr>
          <w:p>
            <w:pPr>
              <w:pStyle w:val="TableParagraph"/>
              <w:spacing w:before="137"/>
              <w:ind w:right="-15"/>
              <w:jc w:val="right"/>
              <w:rPr>
                <w:sz w:val="21"/>
              </w:rPr>
            </w:pPr>
            <w:r>
              <w:rPr>
                <w:spacing w:val="-1"/>
                <w:sz w:val="21"/>
              </w:rPr>
              <w:t>一年以内</w:t>
            </w:r>
            <w:r>
              <w:rPr>
                <w:sz w:val="21"/>
              </w:rPr>
              <w:t> </w:t>
            </w:r>
          </w:p>
        </w:tc>
        <w:tc>
          <w:tcPr>
            <w:tcW w:w="1750" w:type="dxa"/>
          </w:tcPr>
          <w:p>
            <w:pPr>
              <w:pStyle w:val="TableParagraph"/>
              <w:spacing w:before="137"/>
              <w:ind w:right="-15"/>
              <w:jc w:val="right"/>
              <w:rPr>
                <w:sz w:val="21"/>
              </w:rPr>
            </w:pPr>
            <w:r>
              <w:rPr>
                <w:sz w:val="21"/>
              </w:rPr>
              <w:t>4% </w:t>
            </w:r>
          </w:p>
        </w:tc>
        <w:tc>
          <w:tcPr>
            <w:tcW w:w="1663" w:type="dxa"/>
          </w:tcPr>
          <w:p>
            <w:pPr>
              <w:pStyle w:val="TableParagraph"/>
              <w:spacing w:before="3"/>
              <w:ind w:right="-15"/>
              <w:jc w:val="right"/>
              <w:rPr>
                <w:sz w:val="21"/>
              </w:rPr>
            </w:pPr>
            <w:r>
              <w:rPr>
                <w:sz w:val="21"/>
              </w:rPr>
              <w:t>-137 </w:t>
            </w:r>
          </w:p>
        </w:tc>
      </w:tr>
      <w:tr>
        <w:trPr>
          <w:trHeight w:val="270" w:hRule="atLeast"/>
        </w:trPr>
        <w:tc>
          <w:tcPr>
            <w:tcW w:w="1526" w:type="dxa"/>
          </w:tcPr>
          <w:p>
            <w:pPr>
              <w:pStyle w:val="TableParagraph"/>
              <w:spacing w:line="250" w:lineRule="exact" w:before="1"/>
              <w:ind w:left="322" w:right="315"/>
              <w:jc w:val="center"/>
              <w:rPr>
                <w:sz w:val="21"/>
              </w:rPr>
            </w:pPr>
            <w:r>
              <w:rPr>
                <w:sz w:val="21"/>
              </w:rPr>
              <w:t>合计 </w:t>
            </w:r>
          </w:p>
        </w:tc>
        <w:tc>
          <w:tcPr>
            <w:tcW w:w="1344" w:type="dxa"/>
          </w:tcPr>
          <w:p>
            <w:pPr>
              <w:pStyle w:val="TableParagraph"/>
              <w:spacing w:line="250" w:lineRule="exact" w:before="1"/>
              <w:ind w:left="617" w:right="572"/>
              <w:jc w:val="center"/>
              <w:rPr>
                <w:sz w:val="21"/>
              </w:rPr>
            </w:pPr>
            <w:r>
              <w:rPr>
                <w:sz w:val="21"/>
              </w:rPr>
              <w:t>/ </w:t>
            </w:r>
          </w:p>
        </w:tc>
        <w:tc>
          <w:tcPr>
            <w:tcW w:w="1219" w:type="dxa"/>
          </w:tcPr>
          <w:p>
            <w:pPr>
              <w:pStyle w:val="TableParagraph"/>
              <w:spacing w:line="250" w:lineRule="exact" w:before="1"/>
              <w:ind w:right="-15"/>
              <w:jc w:val="right"/>
              <w:rPr>
                <w:sz w:val="21"/>
              </w:rPr>
            </w:pPr>
            <w:r>
              <w:rPr>
                <w:sz w:val="21"/>
              </w:rPr>
              <w:t>257,401 </w:t>
            </w:r>
          </w:p>
        </w:tc>
        <w:tc>
          <w:tcPr>
            <w:tcW w:w="1320" w:type="dxa"/>
          </w:tcPr>
          <w:p>
            <w:pPr>
              <w:pStyle w:val="TableParagraph"/>
              <w:spacing w:line="250" w:lineRule="exact" w:before="1"/>
              <w:ind w:right="61"/>
              <w:jc w:val="right"/>
              <w:rPr>
                <w:sz w:val="21"/>
              </w:rPr>
            </w:pPr>
            <w:r>
              <w:rPr>
                <w:sz w:val="21"/>
              </w:rPr>
              <w:t>/ </w:t>
            </w:r>
          </w:p>
        </w:tc>
        <w:tc>
          <w:tcPr>
            <w:tcW w:w="1750" w:type="dxa"/>
          </w:tcPr>
          <w:p>
            <w:pPr>
              <w:pStyle w:val="TableParagraph"/>
              <w:spacing w:line="250" w:lineRule="exact" w:before="1"/>
              <w:ind w:right="-15"/>
              <w:jc w:val="right"/>
              <w:rPr>
                <w:sz w:val="21"/>
              </w:rPr>
            </w:pPr>
            <w:r>
              <w:rPr>
                <w:sz w:val="21"/>
              </w:rPr>
              <w:t>81% </w:t>
            </w:r>
          </w:p>
        </w:tc>
        <w:tc>
          <w:tcPr>
            <w:tcW w:w="1663" w:type="dxa"/>
          </w:tcPr>
          <w:p>
            <w:pPr>
              <w:pStyle w:val="TableParagraph"/>
              <w:spacing w:line="250" w:lineRule="exact" w:before="1"/>
              <w:ind w:right="-15"/>
              <w:jc w:val="right"/>
              <w:rPr>
                <w:sz w:val="21"/>
              </w:rPr>
            </w:pPr>
            <w:r>
              <w:rPr>
                <w:sz w:val="21"/>
              </w:rPr>
              <w:t>-977 </w:t>
            </w:r>
          </w:p>
        </w:tc>
      </w:tr>
    </w:tbl>
    <w:p>
      <w:pPr>
        <w:pStyle w:val="BodyText"/>
        <w:spacing w:before="1"/>
      </w:pPr>
      <w:r>
        <w:rPr>
          <w:w w:val="100"/>
        </w:rPr>
        <w:t> </w:t>
      </w:r>
    </w:p>
    <w:p>
      <w:pPr>
        <w:pStyle w:val="BodyText"/>
        <w:spacing w:before="4"/>
      </w:pPr>
      <w:r>
        <w:rPr>
          <w:w w:val="100"/>
        </w:rPr>
        <w:t> </w:t>
      </w:r>
    </w:p>
    <w:p>
      <w:pPr>
        <w:pStyle w:val="ListParagraph"/>
        <w:numPr>
          <w:ilvl w:val="0"/>
          <w:numId w:val="96"/>
        </w:numPr>
        <w:tabs>
          <w:tab w:pos="742" w:val="left" w:leader="none"/>
        </w:tabs>
        <w:spacing w:line="240" w:lineRule="auto" w:before="63" w:after="0"/>
        <w:ind w:left="741" w:right="0" w:hanging="424"/>
        <w:jc w:val="left"/>
        <w:rPr>
          <w:sz w:val="21"/>
        </w:rPr>
      </w:pPr>
      <w:r>
        <w:rPr>
          <w:sz w:val="21"/>
        </w:rPr>
        <w:t>涉及政府补助的应收款项 </w:t>
      </w:r>
    </w:p>
    <w:p>
      <w:pPr>
        <w:pStyle w:val="BodyText"/>
        <w:spacing w:before="64"/>
      </w:pPr>
      <w:r>
        <w:rPr>
          <w:spacing w:val="-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ListParagraph"/>
        <w:numPr>
          <w:ilvl w:val="0"/>
          <w:numId w:val="96"/>
        </w:numPr>
        <w:tabs>
          <w:tab w:pos="742" w:val="left" w:leader="none"/>
        </w:tabs>
        <w:spacing w:line="240" w:lineRule="auto" w:before="62" w:after="0"/>
        <w:ind w:left="741" w:right="0" w:hanging="424"/>
        <w:jc w:val="left"/>
        <w:rPr>
          <w:sz w:val="21"/>
        </w:rPr>
      </w:pPr>
      <w:r>
        <w:rPr>
          <w:sz w:val="21"/>
        </w:rPr>
        <w:t>因金融资产转移而终止确认的其他应收款 </w:t>
      </w:r>
    </w:p>
    <w:p>
      <w:pPr>
        <w:pStyle w:val="BodyText"/>
        <w:spacing w:before="64"/>
      </w:pPr>
      <w:r>
        <w:rPr>
          <w:spacing w:val="11"/>
        </w:rPr>
        <w:t>□适用 √不适用</w:t>
      </w:r>
      <w:r>
        <w:rPr>
          <w:spacing w:val="-3"/>
        </w:rPr>
        <w:t> </w:t>
      </w:r>
      <w:r>
        <w:rPr/>
        <w:t> </w:t>
      </w:r>
    </w:p>
    <w:p>
      <w:pPr>
        <w:spacing w:after="0"/>
        <w:sectPr>
          <w:pgSz w:w="11910" w:h="16840"/>
          <w:pgMar w:header="882" w:footer="1195" w:top="1120" w:bottom="1380" w:left="1480" w:right="0"/>
        </w:sectPr>
      </w:pPr>
    </w:p>
    <w:p>
      <w:pPr>
        <w:pStyle w:val="BodyText"/>
        <w:spacing w:before="7"/>
        <w:ind w:left="0"/>
        <w:rPr>
          <w:sz w:val="25"/>
        </w:rPr>
      </w:pPr>
    </w:p>
    <w:p>
      <w:pPr>
        <w:spacing w:after="0"/>
        <w:rPr>
          <w:sz w:val="25"/>
        </w:rPr>
        <w:sectPr>
          <w:pgSz w:w="11910" w:h="16840"/>
          <w:pgMar w:header="882" w:footer="1195" w:top="1120" w:bottom="1380" w:left="1480" w:right="0"/>
        </w:sectPr>
      </w:pPr>
    </w:p>
    <w:p>
      <w:pPr>
        <w:pStyle w:val="BodyText"/>
        <w:spacing w:before="72"/>
      </w:pPr>
      <w:r>
        <w:rPr>
          <w:w w:val="100"/>
        </w:rPr>
        <w:t> </w:t>
      </w:r>
    </w:p>
    <w:p>
      <w:pPr>
        <w:pStyle w:val="ListParagraph"/>
        <w:numPr>
          <w:ilvl w:val="0"/>
          <w:numId w:val="96"/>
        </w:numPr>
        <w:tabs>
          <w:tab w:pos="742" w:val="left" w:leader="none"/>
        </w:tabs>
        <w:spacing w:line="240" w:lineRule="auto" w:before="65" w:after="0"/>
        <w:ind w:left="741" w:right="0" w:hanging="424"/>
        <w:jc w:val="left"/>
        <w:rPr>
          <w:sz w:val="21"/>
        </w:rPr>
      </w:pPr>
      <w:r>
        <w:rPr>
          <w:sz w:val="21"/>
        </w:rPr>
        <w:t>转移其他应收款且继续涉入形成的资产、负债金额 </w:t>
      </w:r>
    </w:p>
    <w:p>
      <w:pPr>
        <w:pStyle w:val="BodyText"/>
        <w:spacing w:before="62"/>
      </w:pPr>
      <w:r>
        <w:rPr>
          <w:spacing w:val="11"/>
        </w:rPr>
        <w:t>□适用 √不适用</w:t>
      </w:r>
      <w:r>
        <w:rPr>
          <w:spacing w:val="-3"/>
        </w:rPr>
        <w:t> </w:t>
      </w:r>
      <w:r>
        <w:rPr/>
        <w:t> </w:t>
      </w:r>
    </w:p>
    <w:p>
      <w:pPr>
        <w:pStyle w:val="BodyText"/>
        <w:spacing w:before="5"/>
      </w:pPr>
      <w:r>
        <w:rPr>
          <w:w w:val="100"/>
        </w:rPr>
        <w:t> </w:t>
      </w:r>
    </w:p>
    <w:p>
      <w:pPr>
        <w:pStyle w:val="BodyText"/>
        <w:spacing w:before="2"/>
      </w:pPr>
      <w:r>
        <w:rPr/>
        <w:t>其他说明： </w:t>
      </w:r>
    </w:p>
    <w:p>
      <w:pPr>
        <w:pStyle w:val="BodyText"/>
        <w:spacing w:before="4"/>
      </w:pPr>
      <w:r>
        <w:rPr>
          <w:spacing w:val="11"/>
        </w:rPr>
        <w:t>□适用 √不适用</w:t>
      </w:r>
      <w:r>
        <w:rPr>
          <w:spacing w:val="-3"/>
        </w:rPr>
        <w:t> </w:t>
      </w:r>
      <w:r>
        <w:rPr/>
        <w:t> </w:t>
      </w:r>
    </w:p>
    <w:p>
      <w:pPr>
        <w:pStyle w:val="BodyText"/>
        <w:spacing w:before="2"/>
      </w:pPr>
      <w:r>
        <w:rPr>
          <w:w w:val="100"/>
        </w:rPr>
        <w:t> </w:t>
      </w:r>
    </w:p>
    <w:p>
      <w:pPr>
        <w:pStyle w:val="BodyText"/>
        <w:spacing w:before="65"/>
      </w:pPr>
      <w:r>
        <w:rPr/>
        <w:t>3、 长期股权投资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0"/>
        <w:ind w:left="0"/>
        <w:rPr>
          <w:sz w:val="15"/>
        </w:rPr>
      </w:pPr>
    </w:p>
    <w:p>
      <w:pPr>
        <w:pStyle w:val="BodyText"/>
      </w:pPr>
      <w:r>
        <w:rPr>
          <w:spacing w:val="7"/>
        </w:rPr>
        <w:t>单位：千元 币种：人民币</w:t>
      </w:r>
      <w:r>
        <w:rPr/>
        <w:t> </w:t>
      </w:r>
    </w:p>
    <w:p>
      <w:pPr>
        <w:spacing w:after="0"/>
        <w:sectPr>
          <w:type w:val="continuous"/>
          <w:pgSz w:w="11910" w:h="16840"/>
          <w:pgMar w:top="780" w:bottom="280" w:left="1480" w:right="0"/>
          <w:cols w:num="2" w:equalWidth="0">
            <w:col w:w="5630" w:space="681"/>
            <w:col w:w="4119"/>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5"/>
        <w:gridCol w:w="1265"/>
        <w:gridCol w:w="857"/>
        <w:gridCol w:w="1268"/>
        <w:gridCol w:w="1265"/>
        <w:gridCol w:w="850"/>
        <w:gridCol w:w="1265"/>
      </w:tblGrid>
      <w:tr>
        <w:trPr>
          <w:trHeight w:val="273" w:hRule="atLeast"/>
        </w:trPr>
        <w:tc>
          <w:tcPr>
            <w:tcW w:w="2055" w:type="dxa"/>
            <w:vMerge w:val="restart"/>
          </w:tcPr>
          <w:p>
            <w:pPr>
              <w:pStyle w:val="TableParagraph"/>
              <w:spacing w:before="10"/>
              <w:rPr>
                <w:sz w:val="21"/>
              </w:rPr>
            </w:pPr>
          </w:p>
          <w:p>
            <w:pPr>
              <w:pStyle w:val="TableParagraph"/>
              <w:ind w:left="848" w:right="736"/>
              <w:jc w:val="center"/>
              <w:rPr>
                <w:sz w:val="21"/>
              </w:rPr>
            </w:pPr>
            <w:r>
              <w:rPr>
                <w:sz w:val="21"/>
              </w:rPr>
              <w:t>项目 </w:t>
            </w:r>
          </w:p>
        </w:tc>
        <w:tc>
          <w:tcPr>
            <w:tcW w:w="3390" w:type="dxa"/>
            <w:gridSpan w:val="3"/>
          </w:tcPr>
          <w:p>
            <w:pPr>
              <w:pStyle w:val="TableParagraph"/>
              <w:spacing w:line="252" w:lineRule="exact" w:before="1"/>
              <w:ind w:left="1308" w:right="1195"/>
              <w:jc w:val="center"/>
              <w:rPr>
                <w:sz w:val="21"/>
              </w:rPr>
            </w:pPr>
            <w:r>
              <w:rPr>
                <w:spacing w:val="-1"/>
                <w:sz w:val="21"/>
              </w:rPr>
              <w:t>期末余额</w:t>
            </w:r>
            <w:r>
              <w:rPr>
                <w:sz w:val="21"/>
              </w:rPr>
              <w:t> </w:t>
            </w:r>
          </w:p>
        </w:tc>
        <w:tc>
          <w:tcPr>
            <w:tcW w:w="3380" w:type="dxa"/>
            <w:gridSpan w:val="3"/>
          </w:tcPr>
          <w:p>
            <w:pPr>
              <w:pStyle w:val="TableParagraph"/>
              <w:spacing w:line="252" w:lineRule="exact" w:before="1"/>
              <w:ind w:left="1301" w:right="1193"/>
              <w:jc w:val="center"/>
              <w:rPr>
                <w:sz w:val="21"/>
              </w:rPr>
            </w:pPr>
            <w:r>
              <w:rPr>
                <w:spacing w:val="-1"/>
                <w:sz w:val="21"/>
              </w:rPr>
              <w:t>期初余额</w:t>
            </w:r>
            <w:r>
              <w:rPr>
                <w:sz w:val="21"/>
              </w:rPr>
              <w:t> </w:t>
            </w:r>
          </w:p>
        </w:tc>
      </w:tr>
      <w:tr>
        <w:trPr>
          <w:trHeight w:val="544" w:hRule="atLeast"/>
        </w:trPr>
        <w:tc>
          <w:tcPr>
            <w:tcW w:w="2055" w:type="dxa"/>
            <w:vMerge/>
            <w:tcBorders>
              <w:top w:val="nil"/>
            </w:tcBorders>
          </w:tcPr>
          <w:p>
            <w:pPr>
              <w:rPr>
                <w:sz w:val="2"/>
                <w:szCs w:val="2"/>
              </w:rPr>
            </w:pPr>
          </w:p>
        </w:tc>
        <w:tc>
          <w:tcPr>
            <w:tcW w:w="1265" w:type="dxa"/>
          </w:tcPr>
          <w:p>
            <w:pPr>
              <w:pStyle w:val="TableParagraph"/>
              <w:spacing w:before="137"/>
              <w:ind w:left="138" w:right="21"/>
              <w:jc w:val="center"/>
              <w:rPr>
                <w:sz w:val="21"/>
              </w:rPr>
            </w:pPr>
            <w:r>
              <w:rPr>
                <w:spacing w:val="-1"/>
                <w:sz w:val="21"/>
              </w:rPr>
              <w:t>账面余额</w:t>
            </w:r>
            <w:r>
              <w:rPr>
                <w:sz w:val="21"/>
              </w:rPr>
              <w:t> </w:t>
            </w:r>
          </w:p>
        </w:tc>
        <w:tc>
          <w:tcPr>
            <w:tcW w:w="857" w:type="dxa"/>
          </w:tcPr>
          <w:p>
            <w:pPr>
              <w:pStyle w:val="TableParagraph"/>
              <w:spacing w:before="1"/>
              <w:ind w:left="112"/>
              <w:rPr>
                <w:sz w:val="21"/>
              </w:rPr>
            </w:pPr>
            <w:r>
              <w:rPr>
                <w:sz w:val="21"/>
              </w:rPr>
              <w:t>减值准</w:t>
            </w:r>
          </w:p>
          <w:p>
            <w:pPr>
              <w:pStyle w:val="TableParagraph"/>
              <w:spacing w:line="252" w:lineRule="exact" w:before="2"/>
              <w:ind w:left="321"/>
              <w:rPr>
                <w:sz w:val="21"/>
              </w:rPr>
            </w:pPr>
            <w:r>
              <w:rPr>
                <w:sz w:val="21"/>
              </w:rPr>
              <w:t>备 </w:t>
            </w:r>
          </w:p>
        </w:tc>
        <w:tc>
          <w:tcPr>
            <w:tcW w:w="1268" w:type="dxa"/>
          </w:tcPr>
          <w:p>
            <w:pPr>
              <w:pStyle w:val="TableParagraph"/>
              <w:spacing w:before="137"/>
              <w:ind w:left="136" w:right="23"/>
              <w:jc w:val="center"/>
              <w:rPr>
                <w:sz w:val="21"/>
              </w:rPr>
            </w:pPr>
            <w:r>
              <w:rPr>
                <w:spacing w:val="-1"/>
                <w:sz w:val="21"/>
              </w:rPr>
              <w:t>账面价值</w:t>
            </w:r>
            <w:r>
              <w:rPr>
                <w:sz w:val="21"/>
              </w:rPr>
              <w:t> </w:t>
            </w:r>
          </w:p>
        </w:tc>
        <w:tc>
          <w:tcPr>
            <w:tcW w:w="1265" w:type="dxa"/>
          </w:tcPr>
          <w:p>
            <w:pPr>
              <w:pStyle w:val="TableParagraph"/>
              <w:spacing w:before="137"/>
              <w:ind w:left="210"/>
              <w:rPr>
                <w:sz w:val="21"/>
              </w:rPr>
            </w:pPr>
            <w:r>
              <w:rPr>
                <w:spacing w:val="-1"/>
                <w:sz w:val="21"/>
              </w:rPr>
              <w:t>账面余额</w:t>
            </w:r>
            <w:r>
              <w:rPr>
                <w:sz w:val="21"/>
              </w:rPr>
              <w:t> </w:t>
            </w:r>
          </w:p>
        </w:tc>
        <w:tc>
          <w:tcPr>
            <w:tcW w:w="850" w:type="dxa"/>
          </w:tcPr>
          <w:p>
            <w:pPr>
              <w:pStyle w:val="TableParagraph"/>
              <w:spacing w:before="1"/>
              <w:ind w:left="106"/>
              <w:rPr>
                <w:sz w:val="21"/>
              </w:rPr>
            </w:pPr>
            <w:r>
              <w:rPr>
                <w:sz w:val="21"/>
              </w:rPr>
              <w:t>减值准</w:t>
            </w:r>
          </w:p>
          <w:p>
            <w:pPr>
              <w:pStyle w:val="TableParagraph"/>
              <w:spacing w:line="252" w:lineRule="exact" w:before="2"/>
              <w:ind w:left="318"/>
              <w:rPr>
                <w:sz w:val="21"/>
              </w:rPr>
            </w:pPr>
            <w:r>
              <w:rPr>
                <w:sz w:val="21"/>
              </w:rPr>
              <w:t>备 </w:t>
            </w:r>
          </w:p>
        </w:tc>
        <w:tc>
          <w:tcPr>
            <w:tcW w:w="1265" w:type="dxa"/>
          </w:tcPr>
          <w:p>
            <w:pPr>
              <w:pStyle w:val="TableParagraph"/>
              <w:spacing w:before="137"/>
              <w:ind w:left="212"/>
              <w:rPr>
                <w:sz w:val="21"/>
              </w:rPr>
            </w:pPr>
            <w:r>
              <w:rPr>
                <w:spacing w:val="-1"/>
                <w:sz w:val="21"/>
              </w:rPr>
              <w:t>账面价值</w:t>
            </w:r>
            <w:r>
              <w:rPr>
                <w:sz w:val="21"/>
              </w:rPr>
              <w:t> </w:t>
            </w:r>
          </w:p>
        </w:tc>
      </w:tr>
      <w:tr>
        <w:trPr>
          <w:trHeight w:val="273" w:hRule="atLeast"/>
        </w:trPr>
        <w:tc>
          <w:tcPr>
            <w:tcW w:w="2055" w:type="dxa"/>
          </w:tcPr>
          <w:p>
            <w:pPr>
              <w:pStyle w:val="TableParagraph"/>
              <w:spacing w:line="252" w:lineRule="exact" w:before="1"/>
              <w:ind w:left="107"/>
              <w:rPr>
                <w:sz w:val="21"/>
              </w:rPr>
            </w:pPr>
            <w:r>
              <w:rPr>
                <w:spacing w:val="-1"/>
                <w:sz w:val="21"/>
              </w:rPr>
              <w:t>对子公司投资</w:t>
            </w:r>
            <w:r>
              <w:rPr>
                <w:sz w:val="21"/>
              </w:rPr>
              <w:t> </w:t>
            </w:r>
          </w:p>
        </w:tc>
        <w:tc>
          <w:tcPr>
            <w:tcW w:w="1265" w:type="dxa"/>
          </w:tcPr>
          <w:p>
            <w:pPr>
              <w:pStyle w:val="TableParagraph"/>
              <w:spacing w:line="252" w:lineRule="exact" w:before="1"/>
              <w:ind w:left="143" w:right="21"/>
              <w:jc w:val="center"/>
              <w:rPr>
                <w:sz w:val="21"/>
              </w:rPr>
            </w:pPr>
            <w:r>
              <w:rPr>
                <w:sz w:val="21"/>
              </w:rPr>
              <w:t>52,278,905 </w:t>
            </w:r>
          </w:p>
        </w:tc>
        <w:tc>
          <w:tcPr>
            <w:tcW w:w="857" w:type="dxa"/>
          </w:tcPr>
          <w:p>
            <w:pPr>
              <w:pStyle w:val="TableParagraph"/>
              <w:spacing w:line="252" w:lineRule="exact" w:before="1"/>
              <w:ind w:right="-15"/>
              <w:jc w:val="right"/>
              <w:rPr>
                <w:sz w:val="21"/>
              </w:rPr>
            </w:pPr>
            <w:r>
              <w:rPr>
                <w:sz w:val="21"/>
              </w:rPr>
              <w:t>- </w:t>
            </w:r>
          </w:p>
        </w:tc>
        <w:tc>
          <w:tcPr>
            <w:tcW w:w="1268" w:type="dxa"/>
          </w:tcPr>
          <w:p>
            <w:pPr>
              <w:pStyle w:val="TableParagraph"/>
              <w:spacing w:line="252" w:lineRule="exact" w:before="1"/>
              <w:ind w:left="152" w:right="16"/>
              <w:jc w:val="center"/>
              <w:rPr>
                <w:sz w:val="24"/>
              </w:rPr>
            </w:pPr>
            <w:r>
              <w:rPr>
                <w:sz w:val="21"/>
              </w:rPr>
              <w:t>52,278,905</w:t>
            </w:r>
            <w:r>
              <w:rPr>
                <w:sz w:val="24"/>
              </w:rPr>
              <w:t> </w:t>
            </w:r>
          </w:p>
        </w:tc>
        <w:tc>
          <w:tcPr>
            <w:tcW w:w="1265" w:type="dxa"/>
          </w:tcPr>
          <w:p>
            <w:pPr>
              <w:pStyle w:val="TableParagraph"/>
              <w:spacing w:line="252" w:lineRule="exact" w:before="1"/>
              <w:ind w:right="-15"/>
              <w:jc w:val="right"/>
              <w:rPr>
                <w:sz w:val="21"/>
              </w:rPr>
            </w:pPr>
            <w:r>
              <w:rPr>
                <w:sz w:val="21"/>
              </w:rPr>
              <w:t>46,145,768 </w:t>
            </w:r>
          </w:p>
        </w:tc>
        <w:tc>
          <w:tcPr>
            <w:tcW w:w="850" w:type="dxa"/>
          </w:tcPr>
          <w:p>
            <w:pPr>
              <w:pStyle w:val="TableParagraph"/>
              <w:spacing w:line="252" w:lineRule="exact" w:before="1"/>
              <w:ind w:right="-15"/>
              <w:jc w:val="right"/>
              <w:rPr>
                <w:sz w:val="21"/>
              </w:rPr>
            </w:pPr>
            <w:r>
              <w:rPr>
                <w:sz w:val="21"/>
              </w:rPr>
              <w:t>- </w:t>
            </w:r>
          </w:p>
        </w:tc>
        <w:tc>
          <w:tcPr>
            <w:tcW w:w="1265" w:type="dxa"/>
          </w:tcPr>
          <w:p>
            <w:pPr>
              <w:pStyle w:val="TableParagraph"/>
              <w:spacing w:line="252" w:lineRule="exact" w:before="1"/>
              <w:ind w:right="-29"/>
              <w:jc w:val="right"/>
              <w:rPr>
                <w:sz w:val="24"/>
              </w:rPr>
            </w:pPr>
            <w:r>
              <w:rPr>
                <w:sz w:val="21"/>
              </w:rPr>
              <w:t>46,145,768</w:t>
            </w:r>
            <w:r>
              <w:rPr>
                <w:sz w:val="24"/>
              </w:rPr>
              <w:t> </w:t>
            </w:r>
          </w:p>
        </w:tc>
      </w:tr>
      <w:tr>
        <w:trPr>
          <w:trHeight w:val="544" w:hRule="atLeast"/>
        </w:trPr>
        <w:tc>
          <w:tcPr>
            <w:tcW w:w="2055" w:type="dxa"/>
          </w:tcPr>
          <w:p>
            <w:pPr>
              <w:pStyle w:val="TableParagraph"/>
              <w:spacing w:before="1"/>
              <w:ind w:left="107"/>
              <w:rPr>
                <w:sz w:val="21"/>
              </w:rPr>
            </w:pPr>
            <w:r>
              <w:rPr>
                <w:sz w:val="21"/>
              </w:rPr>
              <w:t>对联营、合营企业</w:t>
            </w:r>
          </w:p>
          <w:p>
            <w:pPr>
              <w:pStyle w:val="TableParagraph"/>
              <w:spacing w:line="252" w:lineRule="exact" w:before="2"/>
              <w:ind w:left="107"/>
              <w:rPr>
                <w:sz w:val="21"/>
              </w:rPr>
            </w:pPr>
            <w:r>
              <w:rPr>
                <w:sz w:val="21"/>
              </w:rPr>
              <w:t>投资 </w:t>
            </w:r>
          </w:p>
        </w:tc>
        <w:tc>
          <w:tcPr>
            <w:tcW w:w="1265" w:type="dxa"/>
          </w:tcPr>
          <w:p>
            <w:pPr>
              <w:pStyle w:val="TableParagraph"/>
              <w:spacing w:before="1"/>
              <w:ind w:left="143" w:right="21"/>
              <w:jc w:val="center"/>
              <w:rPr>
                <w:sz w:val="21"/>
              </w:rPr>
            </w:pPr>
            <w:r>
              <w:rPr>
                <w:sz w:val="21"/>
              </w:rPr>
              <w:t>11,339,805 </w:t>
            </w:r>
          </w:p>
        </w:tc>
        <w:tc>
          <w:tcPr>
            <w:tcW w:w="857" w:type="dxa"/>
          </w:tcPr>
          <w:p>
            <w:pPr>
              <w:pStyle w:val="TableParagraph"/>
              <w:spacing w:before="1"/>
              <w:ind w:right="-15"/>
              <w:jc w:val="right"/>
              <w:rPr>
                <w:sz w:val="21"/>
              </w:rPr>
            </w:pPr>
            <w:r>
              <w:rPr>
                <w:sz w:val="21"/>
              </w:rPr>
              <w:t>- </w:t>
            </w:r>
          </w:p>
        </w:tc>
        <w:tc>
          <w:tcPr>
            <w:tcW w:w="1268" w:type="dxa"/>
          </w:tcPr>
          <w:p>
            <w:pPr>
              <w:pStyle w:val="TableParagraph"/>
              <w:spacing w:before="135"/>
              <w:ind w:left="145" w:right="23"/>
              <w:jc w:val="center"/>
              <w:rPr>
                <w:sz w:val="21"/>
              </w:rPr>
            </w:pPr>
            <w:r>
              <w:rPr>
                <w:sz w:val="21"/>
              </w:rPr>
              <w:t>11,339,805 </w:t>
            </w:r>
          </w:p>
        </w:tc>
        <w:tc>
          <w:tcPr>
            <w:tcW w:w="1265" w:type="dxa"/>
          </w:tcPr>
          <w:p>
            <w:pPr>
              <w:pStyle w:val="TableParagraph"/>
              <w:spacing w:before="1"/>
              <w:ind w:right="-15"/>
              <w:jc w:val="right"/>
              <w:rPr>
                <w:sz w:val="21"/>
              </w:rPr>
            </w:pPr>
            <w:r>
              <w:rPr>
                <w:sz w:val="21"/>
              </w:rPr>
              <w:t>2,286,491 </w:t>
            </w:r>
          </w:p>
        </w:tc>
        <w:tc>
          <w:tcPr>
            <w:tcW w:w="850" w:type="dxa"/>
          </w:tcPr>
          <w:p>
            <w:pPr>
              <w:pStyle w:val="TableParagraph"/>
              <w:spacing w:before="1"/>
              <w:ind w:right="-15"/>
              <w:jc w:val="right"/>
              <w:rPr>
                <w:sz w:val="21"/>
              </w:rPr>
            </w:pPr>
            <w:r>
              <w:rPr>
                <w:sz w:val="21"/>
              </w:rPr>
              <w:t>- </w:t>
            </w:r>
          </w:p>
        </w:tc>
        <w:tc>
          <w:tcPr>
            <w:tcW w:w="1265" w:type="dxa"/>
          </w:tcPr>
          <w:p>
            <w:pPr>
              <w:pStyle w:val="TableParagraph"/>
              <w:spacing w:before="135"/>
              <w:ind w:right="-15"/>
              <w:jc w:val="right"/>
              <w:rPr>
                <w:sz w:val="21"/>
              </w:rPr>
            </w:pPr>
            <w:r>
              <w:rPr>
                <w:sz w:val="21"/>
              </w:rPr>
              <w:t>2,286,491 </w:t>
            </w:r>
          </w:p>
        </w:tc>
      </w:tr>
      <w:tr>
        <w:trPr>
          <w:trHeight w:val="273" w:hRule="atLeast"/>
        </w:trPr>
        <w:tc>
          <w:tcPr>
            <w:tcW w:w="2055" w:type="dxa"/>
          </w:tcPr>
          <w:p>
            <w:pPr>
              <w:pStyle w:val="TableParagraph"/>
              <w:spacing w:line="252" w:lineRule="exact" w:before="1"/>
              <w:ind w:left="848" w:right="736"/>
              <w:jc w:val="center"/>
              <w:rPr>
                <w:sz w:val="21"/>
              </w:rPr>
            </w:pPr>
            <w:r>
              <w:rPr>
                <w:sz w:val="21"/>
              </w:rPr>
              <w:t>合计 </w:t>
            </w:r>
          </w:p>
        </w:tc>
        <w:tc>
          <w:tcPr>
            <w:tcW w:w="1265" w:type="dxa"/>
          </w:tcPr>
          <w:p>
            <w:pPr>
              <w:pStyle w:val="TableParagraph"/>
              <w:spacing w:line="252" w:lineRule="exact" w:before="1"/>
              <w:ind w:left="143" w:right="21"/>
              <w:jc w:val="center"/>
              <w:rPr>
                <w:sz w:val="21"/>
              </w:rPr>
            </w:pPr>
            <w:r>
              <w:rPr>
                <w:sz w:val="21"/>
              </w:rPr>
              <w:t>63,618,710 </w:t>
            </w:r>
          </w:p>
        </w:tc>
        <w:tc>
          <w:tcPr>
            <w:tcW w:w="857" w:type="dxa"/>
          </w:tcPr>
          <w:p>
            <w:pPr>
              <w:pStyle w:val="TableParagraph"/>
              <w:spacing w:line="252" w:lineRule="exact" w:before="1"/>
              <w:ind w:right="-15"/>
              <w:jc w:val="right"/>
              <w:rPr>
                <w:sz w:val="21"/>
              </w:rPr>
            </w:pPr>
            <w:r>
              <w:rPr>
                <w:sz w:val="21"/>
              </w:rPr>
              <w:t>- </w:t>
            </w:r>
          </w:p>
        </w:tc>
        <w:tc>
          <w:tcPr>
            <w:tcW w:w="1268" w:type="dxa"/>
          </w:tcPr>
          <w:p>
            <w:pPr>
              <w:pStyle w:val="TableParagraph"/>
              <w:spacing w:line="252" w:lineRule="exact" w:before="1"/>
              <w:ind w:left="145" w:right="23"/>
              <w:jc w:val="center"/>
              <w:rPr>
                <w:sz w:val="21"/>
              </w:rPr>
            </w:pPr>
            <w:r>
              <w:rPr>
                <w:sz w:val="21"/>
              </w:rPr>
              <w:t>63,618,710 </w:t>
            </w:r>
          </w:p>
        </w:tc>
        <w:tc>
          <w:tcPr>
            <w:tcW w:w="1265" w:type="dxa"/>
          </w:tcPr>
          <w:p>
            <w:pPr>
              <w:pStyle w:val="TableParagraph"/>
              <w:spacing w:line="252" w:lineRule="exact" w:before="1"/>
              <w:ind w:right="-15"/>
              <w:jc w:val="right"/>
              <w:rPr>
                <w:sz w:val="21"/>
              </w:rPr>
            </w:pPr>
            <w:r>
              <w:rPr>
                <w:sz w:val="21"/>
              </w:rPr>
              <w:t>48,432,259 </w:t>
            </w:r>
          </w:p>
        </w:tc>
        <w:tc>
          <w:tcPr>
            <w:tcW w:w="850" w:type="dxa"/>
          </w:tcPr>
          <w:p>
            <w:pPr>
              <w:pStyle w:val="TableParagraph"/>
              <w:spacing w:line="252" w:lineRule="exact" w:before="1"/>
              <w:ind w:right="-15"/>
              <w:jc w:val="right"/>
              <w:rPr>
                <w:sz w:val="21"/>
              </w:rPr>
            </w:pPr>
            <w:r>
              <w:rPr>
                <w:sz w:val="21"/>
              </w:rPr>
              <w:t>- </w:t>
            </w:r>
          </w:p>
        </w:tc>
        <w:tc>
          <w:tcPr>
            <w:tcW w:w="1265" w:type="dxa"/>
          </w:tcPr>
          <w:p>
            <w:pPr>
              <w:pStyle w:val="TableParagraph"/>
              <w:spacing w:line="252" w:lineRule="exact" w:before="1"/>
              <w:ind w:right="-15"/>
              <w:jc w:val="right"/>
              <w:rPr>
                <w:sz w:val="21"/>
              </w:rPr>
            </w:pPr>
            <w:r>
              <w:rPr>
                <w:sz w:val="21"/>
              </w:rPr>
              <w:t>48,432,259 </w:t>
            </w:r>
          </w:p>
        </w:tc>
      </w:tr>
    </w:tbl>
    <w:p>
      <w:pPr>
        <w:spacing w:after="0" w:line="252" w:lineRule="exact"/>
        <w:jc w:val="right"/>
        <w:rPr>
          <w:sz w:val="21"/>
        </w:rPr>
        <w:sectPr>
          <w:type w:val="continuous"/>
          <w:pgSz w:w="11910" w:h="16840"/>
          <w:pgMar w:top="780" w:bottom="280" w:left="1480" w:right="0"/>
        </w:sectPr>
      </w:pPr>
    </w:p>
    <w:p>
      <w:pPr>
        <w:pStyle w:val="BodyText"/>
        <w:spacing w:before="1"/>
      </w:pPr>
      <w:r>
        <w:rPr>
          <w:w w:val="100"/>
        </w:rPr>
        <w:t> </w:t>
      </w:r>
    </w:p>
    <w:p>
      <w:pPr>
        <w:pStyle w:val="BodyText"/>
        <w:spacing w:before="62"/>
      </w:pPr>
      <w:r>
        <w:rPr/>
        <w:t>(1). 对子公司投资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68"/>
      </w:pPr>
      <w:r>
        <w:rPr>
          <w:spacing w:val="7"/>
        </w:rPr>
        <w:t>单位：元 币种：人民币</w:t>
      </w:r>
      <w:r>
        <w:rPr/>
        <w:t> </w:t>
      </w:r>
    </w:p>
    <w:p>
      <w:pPr>
        <w:spacing w:after="0"/>
        <w:sectPr>
          <w:type w:val="continuous"/>
          <w:pgSz w:w="11910" w:h="16840"/>
          <w:pgMar w:top="780" w:bottom="280" w:left="1480" w:right="0"/>
          <w:cols w:num="2" w:equalWidth="0">
            <w:col w:w="2257" w:space="4265"/>
            <w:col w:w="3908"/>
          </w:cols>
        </w:sect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1299"/>
        <w:gridCol w:w="1190"/>
        <w:gridCol w:w="1111"/>
        <w:gridCol w:w="1298"/>
        <w:gridCol w:w="1111"/>
        <w:gridCol w:w="1110"/>
      </w:tblGrid>
      <w:tr>
        <w:trPr>
          <w:trHeight w:val="546" w:hRule="atLeast"/>
        </w:trPr>
        <w:tc>
          <w:tcPr>
            <w:tcW w:w="1702" w:type="dxa"/>
          </w:tcPr>
          <w:p>
            <w:pPr>
              <w:pStyle w:val="TableParagraph"/>
              <w:spacing w:before="138"/>
              <w:ind w:left="323"/>
              <w:rPr>
                <w:sz w:val="21"/>
              </w:rPr>
            </w:pPr>
            <w:r>
              <w:rPr>
                <w:sz w:val="21"/>
              </w:rPr>
              <w:t>被投资单位 </w:t>
            </w:r>
          </w:p>
        </w:tc>
        <w:tc>
          <w:tcPr>
            <w:tcW w:w="1299" w:type="dxa"/>
          </w:tcPr>
          <w:p>
            <w:pPr>
              <w:pStyle w:val="TableParagraph"/>
              <w:spacing w:before="138"/>
              <w:ind w:right="113"/>
              <w:jc w:val="right"/>
              <w:rPr>
                <w:sz w:val="21"/>
              </w:rPr>
            </w:pPr>
            <w:r>
              <w:rPr>
                <w:spacing w:val="-1"/>
                <w:sz w:val="21"/>
              </w:rPr>
              <w:t>期初余额</w:t>
            </w:r>
            <w:r>
              <w:rPr>
                <w:sz w:val="21"/>
              </w:rPr>
              <w:t> </w:t>
            </w:r>
          </w:p>
        </w:tc>
        <w:tc>
          <w:tcPr>
            <w:tcW w:w="1190" w:type="dxa"/>
          </w:tcPr>
          <w:p>
            <w:pPr>
              <w:pStyle w:val="TableParagraph"/>
              <w:spacing w:before="138"/>
              <w:ind w:right="57"/>
              <w:jc w:val="right"/>
              <w:rPr>
                <w:sz w:val="21"/>
              </w:rPr>
            </w:pPr>
            <w:r>
              <w:rPr>
                <w:spacing w:val="-1"/>
                <w:sz w:val="21"/>
              </w:rPr>
              <w:t>本期增加</w:t>
            </w:r>
            <w:r>
              <w:rPr>
                <w:sz w:val="21"/>
              </w:rPr>
              <w:t> </w:t>
            </w:r>
          </w:p>
        </w:tc>
        <w:tc>
          <w:tcPr>
            <w:tcW w:w="1111" w:type="dxa"/>
          </w:tcPr>
          <w:p>
            <w:pPr>
              <w:pStyle w:val="TableParagraph"/>
              <w:spacing w:before="138"/>
              <w:ind w:right="18"/>
              <w:jc w:val="right"/>
              <w:rPr>
                <w:sz w:val="21"/>
              </w:rPr>
            </w:pPr>
            <w:r>
              <w:rPr>
                <w:spacing w:val="-1"/>
                <w:sz w:val="21"/>
              </w:rPr>
              <w:t>本期减少</w:t>
            </w:r>
            <w:r>
              <w:rPr>
                <w:sz w:val="21"/>
              </w:rPr>
              <w:t> </w:t>
            </w:r>
          </w:p>
        </w:tc>
        <w:tc>
          <w:tcPr>
            <w:tcW w:w="1298" w:type="dxa"/>
          </w:tcPr>
          <w:p>
            <w:pPr>
              <w:pStyle w:val="TableParagraph"/>
              <w:spacing w:before="138"/>
              <w:ind w:right="112"/>
              <w:jc w:val="right"/>
              <w:rPr>
                <w:sz w:val="21"/>
              </w:rPr>
            </w:pPr>
            <w:r>
              <w:rPr>
                <w:spacing w:val="-1"/>
                <w:sz w:val="21"/>
              </w:rPr>
              <w:t>期末余额</w:t>
            </w:r>
            <w:r>
              <w:rPr>
                <w:sz w:val="21"/>
              </w:rPr>
              <w:t> </w:t>
            </w:r>
          </w:p>
        </w:tc>
        <w:tc>
          <w:tcPr>
            <w:tcW w:w="1111" w:type="dxa"/>
          </w:tcPr>
          <w:p>
            <w:pPr>
              <w:pStyle w:val="TableParagraph"/>
              <w:spacing w:line="270" w:lineRule="atLeast"/>
              <w:ind w:left="132" w:right="20"/>
              <w:rPr>
                <w:sz w:val="21"/>
              </w:rPr>
            </w:pPr>
            <w:r>
              <w:rPr>
                <w:sz w:val="21"/>
              </w:rPr>
              <w:t>本期计提减值准备 </w:t>
            </w:r>
          </w:p>
        </w:tc>
        <w:tc>
          <w:tcPr>
            <w:tcW w:w="1110" w:type="dxa"/>
          </w:tcPr>
          <w:p>
            <w:pPr>
              <w:pStyle w:val="TableParagraph"/>
              <w:spacing w:line="270" w:lineRule="atLeast"/>
              <w:ind w:left="135" w:right="16"/>
              <w:rPr>
                <w:sz w:val="21"/>
              </w:rPr>
            </w:pPr>
            <w:r>
              <w:rPr>
                <w:sz w:val="21"/>
              </w:rPr>
              <w:t>减值准备期末余额 </w:t>
            </w:r>
          </w:p>
        </w:tc>
      </w:tr>
      <w:tr>
        <w:trPr>
          <w:trHeight w:val="544" w:hRule="atLeast"/>
        </w:trPr>
        <w:tc>
          <w:tcPr>
            <w:tcW w:w="1702" w:type="dxa"/>
          </w:tcPr>
          <w:p>
            <w:pPr>
              <w:pStyle w:val="TableParagraph"/>
              <w:spacing w:before="1"/>
              <w:ind w:left="107"/>
              <w:rPr>
                <w:sz w:val="21"/>
              </w:rPr>
            </w:pPr>
            <w:r>
              <w:rPr>
                <w:sz w:val="21"/>
              </w:rPr>
              <w:t>富联精密电子</w:t>
            </w:r>
          </w:p>
          <w:p>
            <w:pPr>
              <w:pStyle w:val="TableParagraph"/>
              <w:spacing w:line="252" w:lineRule="exact" w:before="2"/>
              <w:ind w:left="107"/>
              <w:rPr>
                <w:sz w:val="21"/>
              </w:rPr>
            </w:pPr>
            <w:r>
              <w:rPr>
                <w:sz w:val="21"/>
              </w:rPr>
              <w:t>(郑州)有限公司 </w:t>
            </w:r>
          </w:p>
        </w:tc>
        <w:tc>
          <w:tcPr>
            <w:tcW w:w="1299" w:type="dxa"/>
          </w:tcPr>
          <w:p>
            <w:pPr>
              <w:pStyle w:val="TableParagraph"/>
              <w:spacing w:line="235" w:lineRule="exact"/>
              <w:ind w:right="94"/>
              <w:jc w:val="right"/>
              <w:rPr>
                <w:rFonts w:ascii="Times New Roman"/>
                <w:sz w:val="21"/>
              </w:rPr>
            </w:pPr>
            <w:r>
              <w:rPr>
                <w:rFonts w:ascii="Times New Roman"/>
                <w:sz w:val="21"/>
              </w:rPr>
              <w:t>11,162,954</w:t>
            </w:r>
          </w:p>
        </w:tc>
        <w:tc>
          <w:tcPr>
            <w:tcW w:w="1190" w:type="dxa"/>
          </w:tcPr>
          <w:p>
            <w:pPr>
              <w:pStyle w:val="TableParagraph"/>
              <w:spacing w:before="144"/>
              <w:ind w:right="95"/>
              <w:jc w:val="right"/>
              <w:rPr>
                <w:rFonts w:ascii="Times New Roman"/>
                <w:sz w:val="21"/>
              </w:rPr>
            </w:pPr>
            <w:r>
              <w:rPr>
                <w:rFonts w:ascii="Times New Roman"/>
                <w:w w:val="100"/>
                <w:sz w:val="21"/>
              </w:rPr>
              <w:t>-</w:t>
            </w:r>
          </w:p>
        </w:tc>
        <w:tc>
          <w:tcPr>
            <w:tcW w:w="1111" w:type="dxa"/>
          </w:tcPr>
          <w:p>
            <w:pPr>
              <w:pStyle w:val="TableParagraph"/>
              <w:spacing w:before="144"/>
              <w:ind w:right="95"/>
              <w:jc w:val="right"/>
              <w:rPr>
                <w:rFonts w:ascii="Times New Roman"/>
                <w:sz w:val="21"/>
              </w:rPr>
            </w:pPr>
            <w:r>
              <w:rPr>
                <w:rFonts w:ascii="Times New Roman"/>
                <w:sz w:val="21"/>
              </w:rPr>
              <w:t>-1,734</w:t>
            </w:r>
          </w:p>
        </w:tc>
        <w:tc>
          <w:tcPr>
            <w:tcW w:w="1298" w:type="dxa"/>
          </w:tcPr>
          <w:p>
            <w:pPr>
              <w:pStyle w:val="TableParagraph"/>
              <w:spacing w:before="144"/>
              <w:ind w:right="95"/>
              <w:jc w:val="right"/>
              <w:rPr>
                <w:rFonts w:ascii="Times New Roman"/>
                <w:sz w:val="21"/>
              </w:rPr>
            </w:pPr>
            <w:r>
              <w:rPr>
                <w:rFonts w:ascii="Times New Roman"/>
                <w:sz w:val="21"/>
              </w:rPr>
              <w:t>11,161,220</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544" w:hRule="atLeast"/>
        </w:trPr>
        <w:tc>
          <w:tcPr>
            <w:tcW w:w="1702" w:type="dxa"/>
          </w:tcPr>
          <w:p>
            <w:pPr>
              <w:pStyle w:val="TableParagraph"/>
              <w:spacing w:before="1"/>
              <w:ind w:left="107"/>
              <w:rPr>
                <w:sz w:val="21"/>
              </w:rPr>
            </w:pPr>
            <w:r>
              <w:rPr>
                <w:sz w:val="21"/>
              </w:rPr>
              <w:t>富联科技(济源)</w:t>
            </w:r>
          </w:p>
          <w:p>
            <w:pPr>
              <w:pStyle w:val="TableParagraph"/>
              <w:spacing w:line="252" w:lineRule="exact" w:before="2"/>
              <w:ind w:left="107"/>
              <w:rPr>
                <w:sz w:val="21"/>
              </w:rPr>
            </w:pPr>
            <w:r>
              <w:rPr>
                <w:spacing w:val="-1"/>
                <w:sz w:val="21"/>
              </w:rPr>
              <w:t>有限公司</w:t>
            </w:r>
            <w:r>
              <w:rPr>
                <w:sz w:val="21"/>
              </w:rPr>
              <w:t> </w:t>
            </w:r>
          </w:p>
        </w:tc>
        <w:tc>
          <w:tcPr>
            <w:tcW w:w="1299" w:type="dxa"/>
          </w:tcPr>
          <w:p>
            <w:pPr>
              <w:pStyle w:val="TableParagraph"/>
              <w:spacing w:line="235" w:lineRule="exact"/>
              <w:ind w:right="94"/>
              <w:jc w:val="right"/>
              <w:rPr>
                <w:rFonts w:ascii="Times New Roman"/>
                <w:sz w:val="21"/>
              </w:rPr>
            </w:pPr>
            <w:r>
              <w:rPr>
                <w:rFonts w:ascii="Times New Roman"/>
                <w:sz w:val="21"/>
              </w:rPr>
              <w:t>9,099,644</w:t>
            </w:r>
          </w:p>
        </w:tc>
        <w:tc>
          <w:tcPr>
            <w:tcW w:w="1190" w:type="dxa"/>
          </w:tcPr>
          <w:p>
            <w:pPr>
              <w:pStyle w:val="TableParagraph"/>
              <w:spacing w:before="145"/>
              <w:ind w:right="96"/>
              <w:jc w:val="right"/>
              <w:rPr>
                <w:rFonts w:ascii="Times New Roman"/>
                <w:sz w:val="21"/>
              </w:rPr>
            </w:pPr>
            <w:r>
              <w:rPr>
                <w:rFonts w:ascii="Times New Roman"/>
                <w:sz w:val="21"/>
              </w:rPr>
              <w:t>41</w:t>
            </w:r>
          </w:p>
        </w:tc>
        <w:tc>
          <w:tcPr>
            <w:tcW w:w="1111" w:type="dxa"/>
          </w:tcPr>
          <w:p>
            <w:pPr>
              <w:pStyle w:val="TableParagraph"/>
              <w:spacing w:before="145"/>
              <w:ind w:right="94"/>
              <w:jc w:val="right"/>
              <w:rPr>
                <w:rFonts w:ascii="Times New Roman"/>
                <w:sz w:val="21"/>
              </w:rPr>
            </w:pPr>
            <w:r>
              <w:rPr>
                <w:rFonts w:ascii="Times New Roman"/>
                <w:w w:val="100"/>
                <w:sz w:val="21"/>
              </w:rPr>
              <w:t>-</w:t>
            </w:r>
          </w:p>
        </w:tc>
        <w:tc>
          <w:tcPr>
            <w:tcW w:w="1298" w:type="dxa"/>
          </w:tcPr>
          <w:p>
            <w:pPr>
              <w:pStyle w:val="TableParagraph"/>
              <w:spacing w:before="145"/>
              <w:ind w:right="95"/>
              <w:jc w:val="right"/>
              <w:rPr>
                <w:rFonts w:ascii="Times New Roman"/>
                <w:sz w:val="21"/>
              </w:rPr>
            </w:pPr>
            <w:r>
              <w:rPr>
                <w:rFonts w:ascii="Times New Roman"/>
                <w:sz w:val="21"/>
              </w:rPr>
              <w:t>9,099,685</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544" w:hRule="atLeast"/>
        </w:trPr>
        <w:tc>
          <w:tcPr>
            <w:tcW w:w="1702" w:type="dxa"/>
          </w:tcPr>
          <w:p>
            <w:pPr>
              <w:pStyle w:val="TableParagraph"/>
              <w:spacing w:before="1"/>
              <w:ind w:left="107"/>
              <w:rPr>
                <w:sz w:val="21"/>
              </w:rPr>
            </w:pPr>
            <w:r>
              <w:rPr>
                <w:sz w:val="21"/>
              </w:rPr>
              <w:t>南宁富联富桂精</w:t>
            </w:r>
          </w:p>
          <w:p>
            <w:pPr>
              <w:pStyle w:val="TableParagraph"/>
              <w:spacing w:line="252" w:lineRule="exact" w:before="2"/>
              <w:ind w:left="107"/>
              <w:rPr>
                <w:sz w:val="21"/>
              </w:rPr>
            </w:pPr>
            <w:r>
              <w:rPr>
                <w:spacing w:val="-1"/>
                <w:sz w:val="21"/>
              </w:rPr>
              <w:t>密工业有限公司</w:t>
            </w:r>
            <w:r>
              <w:rPr>
                <w:sz w:val="21"/>
              </w:rPr>
              <w:t> </w:t>
            </w:r>
          </w:p>
        </w:tc>
        <w:tc>
          <w:tcPr>
            <w:tcW w:w="1299" w:type="dxa"/>
          </w:tcPr>
          <w:p>
            <w:pPr>
              <w:pStyle w:val="TableParagraph"/>
              <w:spacing w:line="235" w:lineRule="exact"/>
              <w:ind w:right="94"/>
              <w:jc w:val="right"/>
              <w:rPr>
                <w:rFonts w:ascii="Times New Roman"/>
                <w:sz w:val="21"/>
              </w:rPr>
            </w:pPr>
            <w:r>
              <w:rPr>
                <w:rFonts w:ascii="Times New Roman"/>
                <w:sz w:val="21"/>
              </w:rPr>
              <w:t>3,678,347</w:t>
            </w:r>
          </w:p>
        </w:tc>
        <w:tc>
          <w:tcPr>
            <w:tcW w:w="1190" w:type="dxa"/>
          </w:tcPr>
          <w:p>
            <w:pPr>
              <w:pStyle w:val="TableParagraph"/>
              <w:spacing w:before="144"/>
              <w:ind w:right="93"/>
              <w:jc w:val="right"/>
              <w:rPr>
                <w:rFonts w:ascii="Times New Roman"/>
                <w:sz w:val="21"/>
              </w:rPr>
            </w:pPr>
            <w:r>
              <w:rPr>
                <w:rFonts w:ascii="Times New Roman"/>
                <w:sz w:val="21"/>
              </w:rPr>
              <w:t>350,000</w:t>
            </w:r>
          </w:p>
        </w:tc>
        <w:tc>
          <w:tcPr>
            <w:tcW w:w="1111" w:type="dxa"/>
          </w:tcPr>
          <w:p>
            <w:pPr>
              <w:pStyle w:val="TableParagraph"/>
              <w:spacing w:before="144"/>
              <w:ind w:right="94"/>
              <w:jc w:val="right"/>
              <w:rPr>
                <w:rFonts w:ascii="Times New Roman"/>
                <w:sz w:val="21"/>
              </w:rPr>
            </w:pPr>
            <w:r>
              <w:rPr>
                <w:rFonts w:ascii="Times New Roman"/>
                <w:w w:val="100"/>
                <w:sz w:val="21"/>
              </w:rPr>
              <w:t>-</w:t>
            </w:r>
          </w:p>
        </w:tc>
        <w:tc>
          <w:tcPr>
            <w:tcW w:w="1298" w:type="dxa"/>
          </w:tcPr>
          <w:p>
            <w:pPr>
              <w:pStyle w:val="TableParagraph"/>
              <w:spacing w:before="144"/>
              <w:ind w:right="95"/>
              <w:jc w:val="right"/>
              <w:rPr>
                <w:rFonts w:ascii="Times New Roman"/>
                <w:sz w:val="21"/>
              </w:rPr>
            </w:pPr>
            <w:r>
              <w:rPr>
                <w:rFonts w:ascii="Times New Roman"/>
                <w:sz w:val="21"/>
              </w:rPr>
              <w:t>4,028,347</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544" w:hRule="atLeast"/>
        </w:trPr>
        <w:tc>
          <w:tcPr>
            <w:tcW w:w="1702" w:type="dxa"/>
          </w:tcPr>
          <w:p>
            <w:pPr>
              <w:pStyle w:val="TableParagraph"/>
              <w:spacing w:before="1"/>
              <w:ind w:left="107"/>
              <w:rPr>
                <w:sz w:val="21"/>
              </w:rPr>
            </w:pPr>
            <w:r>
              <w:rPr>
                <w:sz w:val="21"/>
              </w:rPr>
              <w:t>国基电子(上海)</w:t>
            </w:r>
          </w:p>
          <w:p>
            <w:pPr>
              <w:pStyle w:val="TableParagraph"/>
              <w:spacing w:line="250" w:lineRule="exact" w:before="4"/>
              <w:ind w:left="107"/>
              <w:rPr>
                <w:sz w:val="21"/>
              </w:rPr>
            </w:pPr>
            <w:r>
              <w:rPr>
                <w:spacing w:val="-1"/>
                <w:sz w:val="21"/>
              </w:rPr>
              <w:t>有限公司</w:t>
            </w:r>
            <w:r>
              <w:rPr>
                <w:sz w:val="21"/>
              </w:rPr>
              <w:t> </w:t>
            </w:r>
          </w:p>
        </w:tc>
        <w:tc>
          <w:tcPr>
            <w:tcW w:w="1299" w:type="dxa"/>
          </w:tcPr>
          <w:p>
            <w:pPr>
              <w:pStyle w:val="TableParagraph"/>
              <w:spacing w:line="235" w:lineRule="exact"/>
              <w:ind w:right="94"/>
              <w:jc w:val="right"/>
              <w:rPr>
                <w:rFonts w:ascii="Times New Roman"/>
                <w:sz w:val="21"/>
              </w:rPr>
            </w:pPr>
            <w:r>
              <w:rPr>
                <w:rFonts w:ascii="Times New Roman"/>
                <w:sz w:val="21"/>
              </w:rPr>
              <w:t>2,352,023</w:t>
            </w:r>
          </w:p>
        </w:tc>
        <w:tc>
          <w:tcPr>
            <w:tcW w:w="1190" w:type="dxa"/>
          </w:tcPr>
          <w:p>
            <w:pPr>
              <w:pStyle w:val="TableParagraph"/>
              <w:spacing w:before="144"/>
              <w:ind w:right="95"/>
              <w:jc w:val="right"/>
              <w:rPr>
                <w:rFonts w:ascii="Times New Roman"/>
                <w:sz w:val="21"/>
              </w:rPr>
            </w:pPr>
            <w:r>
              <w:rPr>
                <w:rFonts w:ascii="Times New Roman"/>
                <w:w w:val="100"/>
                <w:sz w:val="21"/>
              </w:rPr>
              <w:t>-</w:t>
            </w:r>
          </w:p>
        </w:tc>
        <w:tc>
          <w:tcPr>
            <w:tcW w:w="1111" w:type="dxa"/>
          </w:tcPr>
          <w:p>
            <w:pPr>
              <w:pStyle w:val="TableParagraph"/>
              <w:spacing w:before="144"/>
              <w:ind w:right="94"/>
              <w:jc w:val="right"/>
              <w:rPr>
                <w:rFonts w:ascii="Times New Roman"/>
                <w:sz w:val="21"/>
              </w:rPr>
            </w:pPr>
            <w:r>
              <w:rPr>
                <w:rFonts w:ascii="Times New Roman"/>
                <w:w w:val="100"/>
                <w:sz w:val="21"/>
              </w:rPr>
              <w:t>-</w:t>
            </w:r>
          </w:p>
        </w:tc>
        <w:tc>
          <w:tcPr>
            <w:tcW w:w="1298" w:type="dxa"/>
          </w:tcPr>
          <w:p>
            <w:pPr>
              <w:pStyle w:val="TableParagraph"/>
              <w:spacing w:before="144"/>
              <w:ind w:right="95"/>
              <w:jc w:val="right"/>
              <w:rPr>
                <w:rFonts w:ascii="Times New Roman"/>
                <w:sz w:val="21"/>
              </w:rPr>
            </w:pPr>
            <w:r>
              <w:rPr>
                <w:rFonts w:ascii="Times New Roman"/>
                <w:sz w:val="21"/>
              </w:rPr>
              <w:t>2,352,023</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544" w:hRule="atLeast"/>
        </w:trPr>
        <w:tc>
          <w:tcPr>
            <w:tcW w:w="1702" w:type="dxa"/>
          </w:tcPr>
          <w:p>
            <w:pPr>
              <w:pStyle w:val="TableParagraph"/>
              <w:spacing w:before="1"/>
              <w:ind w:left="107"/>
              <w:rPr>
                <w:sz w:val="21"/>
              </w:rPr>
            </w:pPr>
            <w:r>
              <w:rPr>
                <w:sz w:val="21"/>
              </w:rPr>
              <w:t>基准精密工业</w:t>
            </w:r>
          </w:p>
          <w:p>
            <w:pPr>
              <w:pStyle w:val="TableParagraph"/>
              <w:spacing w:line="250" w:lineRule="exact" w:before="4"/>
              <w:ind w:left="107"/>
              <w:rPr>
                <w:sz w:val="21"/>
              </w:rPr>
            </w:pPr>
            <w:r>
              <w:rPr>
                <w:sz w:val="21"/>
              </w:rPr>
              <w:t>(惠州)有限公司 </w:t>
            </w:r>
          </w:p>
        </w:tc>
        <w:tc>
          <w:tcPr>
            <w:tcW w:w="1299" w:type="dxa"/>
          </w:tcPr>
          <w:p>
            <w:pPr>
              <w:pStyle w:val="TableParagraph"/>
              <w:spacing w:line="235" w:lineRule="exact"/>
              <w:ind w:right="94"/>
              <w:jc w:val="right"/>
              <w:rPr>
                <w:rFonts w:ascii="Times New Roman"/>
                <w:sz w:val="21"/>
              </w:rPr>
            </w:pPr>
            <w:r>
              <w:rPr>
                <w:rFonts w:ascii="Times New Roman"/>
                <w:sz w:val="21"/>
              </w:rPr>
              <w:t>1,938,023</w:t>
            </w:r>
          </w:p>
        </w:tc>
        <w:tc>
          <w:tcPr>
            <w:tcW w:w="1190" w:type="dxa"/>
          </w:tcPr>
          <w:p>
            <w:pPr>
              <w:pStyle w:val="TableParagraph"/>
              <w:spacing w:before="144"/>
              <w:ind w:right="93"/>
              <w:jc w:val="right"/>
              <w:rPr>
                <w:rFonts w:ascii="Times New Roman"/>
                <w:sz w:val="21"/>
              </w:rPr>
            </w:pPr>
            <w:r>
              <w:rPr>
                <w:rFonts w:ascii="Times New Roman"/>
                <w:sz w:val="21"/>
              </w:rPr>
              <w:t>11,879</w:t>
            </w:r>
          </w:p>
        </w:tc>
        <w:tc>
          <w:tcPr>
            <w:tcW w:w="1111" w:type="dxa"/>
          </w:tcPr>
          <w:p>
            <w:pPr>
              <w:pStyle w:val="TableParagraph"/>
              <w:spacing w:before="144"/>
              <w:ind w:right="94"/>
              <w:jc w:val="right"/>
              <w:rPr>
                <w:rFonts w:ascii="Times New Roman"/>
                <w:sz w:val="21"/>
              </w:rPr>
            </w:pPr>
            <w:r>
              <w:rPr>
                <w:rFonts w:ascii="Times New Roman"/>
                <w:w w:val="100"/>
                <w:sz w:val="21"/>
              </w:rPr>
              <w:t>-</w:t>
            </w:r>
          </w:p>
        </w:tc>
        <w:tc>
          <w:tcPr>
            <w:tcW w:w="1298" w:type="dxa"/>
          </w:tcPr>
          <w:p>
            <w:pPr>
              <w:pStyle w:val="TableParagraph"/>
              <w:spacing w:before="144"/>
              <w:ind w:right="95"/>
              <w:jc w:val="right"/>
              <w:rPr>
                <w:rFonts w:ascii="Times New Roman"/>
                <w:sz w:val="21"/>
              </w:rPr>
            </w:pPr>
            <w:r>
              <w:rPr>
                <w:rFonts w:ascii="Times New Roman"/>
                <w:sz w:val="21"/>
              </w:rPr>
              <w:t>1,949,902</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544" w:hRule="atLeast"/>
        </w:trPr>
        <w:tc>
          <w:tcPr>
            <w:tcW w:w="1702" w:type="dxa"/>
          </w:tcPr>
          <w:p>
            <w:pPr>
              <w:pStyle w:val="TableParagraph"/>
              <w:spacing w:before="1"/>
              <w:ind w:left="107"/>
              <w:rPr>
                <w:sz w:val="21"/>
              </w:rPr>
            </w:pPr>
            <w:r>
              <w:rPr>
                <w:sz w:val="21"/>
              </w:rPr>
              <w:t>富联精密电子</w:t>
            </w:r>
          </w:p>
          <w:p>
            <w:pPr>
              <w:pStyle w:val="TableParagraph"/>
              <w:spacing w:line="250" w:lineRule="exact" w:before="4"/>
              <w:ind w:left="107"/>
              <w:rPr>
                <w:sz w:val="21"/>
              </w:rPr>
            </w:pPr>
            <w:r>
              <w:rPr>
                <w:sz w:val="21"/>
              </w:rPr>
              <w:t>(天津)有限公司 </w:t>
            </w:r>
          </w:p>
        </w:tc>
        <w:tc>
          <w:tcPr>
            <w:tcW w:w="1299" w:type="dxa"/>
          </w:tcPr>
          <w:p>
            <w:pPr>
              <w:pStyle w:val="TableParagraph"/>
              <w:spacing w:line="235" w:lineRule="exact"/>
              <w:ind w:right="94"/>
              <w:jc w:val="right"/>
              <w:rPr>
                <w:rFonts w:ascii="Times New Roman"/>
                <w:sz w:val="21"/>
              </w:rPr>
            </w:pPr>
            <w:r>
              <w:rPr>
                <w:rFonts w:ascii="Times New Roman"/>
                <w:sz w:val="21"/>
              </w:rPr>
              <w:t>2,696,939</w:t>
            </w:r>
          </w:p>
        </w:tc>
        <w:tc>
          <w:tcPr>
            <w:tcW w:w="1190" w:type="dxa"/>
          </w:tcPr>
          <w:p>
            <w:pPr>
              <w:pStyle w:val="TableParagraph"/>
              <w:spacing w:before="144"/>
              <w:ind w:right="93"/>
              <w:jc w:val="right"/>
              <w:rPr>
                <w:rFonts w:ascii="Times New Roman"/>
                <w:sz w:val="21"/>
              </w:rPr>
            </w:pPr>
            <w:r>
              <w:rPr>
                <w:rFonts w:ascii="Times New Roman"/>
                <w:sz w:val="21"/>
              </w:rPr>
              <w:t>700,211</w:t>
            </w:r>
          </w:p>
        </w:tc>
        <w:tc>
          <w:tcPr>
            <w:tcW w:w="1111" w:type="dxa"/>
          </w:tcPr>
          <w:p>
            <w:pPr>
              <w:pStyle w:val="TableParagraph"/>
              <w:spacing w:before="144"/>
              <w:ind w:right="94"/>
              <w:jc w:val="right"/>
              <w:rPr>
                <w:rFonts w:ascii="Times New Roman"/>
                <w:sz w:val="21"/>
              </w:rPr>
            </w:pPr>
            <w:r>
              <w:rPr>
                <w:rFonts w:ascii="Times New Roman"/>
                <w:w w:val="100"/>
                <w:sz w:val="21"/>
              </w:rPr>
              <w:t>-</w:t>
            </w:r>
          </w:p>
        </w:tc>
        <w:tc>
          <w:tcPr>
            <w:tcW w:w="1298" w:type="dxa"/>
          </w:tcPr>
          <w:p>
            <w:pPr>
              <w:pStyle w:val="TableParagraph"/>
              <w:spacing w:before="144"/>
              <w:ind w:right="95"/>
              <w:jc w:val="right"/>
              <w:rPr>
                <w:rFonts w:ascii="Times New Roman"/>
                <w:sz w:val="21"/>
              </w:rPr>
            </w:pPr>
            <w:r>
              <w:rPr>
                <w:rFonts w:ascii="Times New Roman"/>
                <w:sz w:val="21"/>
              </w:rPr>
              <w:t>3,397,150</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544" w:hRule="atLeast"/>
        </w:trPr>
        <w:tc>
          <w:tcPr>
            <w:tcW w:w="1702" w:type="dxa"/>
          </w:tcPr>
          <w:p>
            <w:pPr>
              <w:pStyle w:val="TableParagraph"/>
              <w:spacing w:before="1"/>
              <w:ind w:left="107"/>
              <w:rPr>
                <w:sz w:val="21"/>
              </w:rPr>
            </w:pPr>
            <w:r>
              <w:rPr>
                <w:sz w:val="21"/>
              </w:rPr>
              <w:t>富联裕展科技</w:t>
            </w:r>
          </w:p>
          <w:p>
            <w:pPr>
              <w:pStyle w:val="TableParagraph"/>
              <w:spacing w:line="250" w:lineRule="exact" w:before="4"/>
              <w:ind w:left="107"/>
              <w:rPr>
                <w:sz w:val="21"/>
              </w:rPr>
            </w:pPr>
            <w:r>
              <w:rPr>
                <w:sz w:val="21"/>
              </w:rPr>
              <w:t>(河南)有限公司 </w:t>
            </w:r>
          </w:p>
        </w:tc>
        <w:tc>
          <w:tcPr>
            <w:tcW w:w="1299" w:type="dxa"/>
          </w:tcPr>
          <w:p>
            <w:pPr>
              <w:pStyle w:val="TableParagraph"/>
              <w:spacing w:line="235" w:lineRule="exact"/>
              <w:ind w:right="94"/>
              <w:jc w:val="right"/>
              <w:rPr>
                <w:rFonts w:ascii="Times New Roman"/>
                <w:sz w:val="21"/>
              </w:rPr>
            </w:pPr>
            <w:r>
              <w:rPr>
                <w:rFonts w:ascii="Times New Roman"/>
                <w:sz w:val="21"/>
              </w:rPr>
              <w:t>8,002,106</w:t>
            </w:r>
          </w:p>
        </w:tc>
        <w:tc>
          <w:tcPr>
            <w:tcW w:w="1190" w:type="dxa"/>
          </w:tcPr>
          <w:p>
            <w:pPr>
              <w:pStyle w:val="TableParagraph"/>
              <w:spacing w:before="147"/>
              <w:ind w:right="93"/>
              <w:jc w:val="right"/>
              <w:rPr>
                <w:rFonts w:ascii="Times New Roman"/>
                <w:sz w:val="21"/>
              </w:rPr>
            </w:pPr>
            <w:r>
              <w:rPr>
                <w:rFonts w:ascii="Times New Roman"/>
                <w:sz w:val="21"/>
              </w:rPr>
              <w:t>3,915,119</w:t>
            </w:r>
          </w:p>
        </w:tc>
        <w:tc>
          <w:tcPr>
            <w:tcW w:w="1111" w:type="dxa"/>
          </w:tcPr>
          <w:p>
            <w:pPr>
              <w:pStyle w:val="TableParagraph"/>
              <w:spacing w:before="147"/>
              <w:ind w:right="94"/>
              <w:jc w:val="right"/>
              <w:rPr>
                <w:rFonts w:ascii="Times New Roman"/>
                <w:sz w:val="21"/>
              </w:rPr>
            </w:pPr>
            <w:r>
              <w:rPr>
                <w:rFonts w:ascii="Times New Roman"/>
                <w:w w:val="100"/>
                <w:sz w:val="21"/>
              </w:rPr>
              <w:t>-</w:t>
            </w:r>
          </w:p>
        </w:tc>
        <w:tc>
          <w:tcPr>
            <w:tcW w:w="1298" w:type="dxa"/>
          </w:tcPr>
          <w:p>
            <w:pPr>
              <w:pStyle w:val="TableParagraph"/>
              <w:spacing w:before="147"/>
              <w:ind w:right="95"/>
              <w:jc w:val="right"/>
              <w:rPr>
                <w:rFonts w:ascii="Times New Roman"/>
                <w:sz w:val="21"/>
              </w:rPr>
            </w:pPr>
            <w:r>
              <w:rPr>
                <w:rFonts w:ascii="Times New Roman"/>
                <w:sz w:val="21"/>
              </w:rPr>
              <w:t>11,917,225</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547" w:hRule="atLeast"/>
        </w:trPr>
        <w:tc>
          <w:tcPr>
            <w:tcW w:w="1702" w:type="dxa"/>
          </w:tcPr>
          <w:p>
            <w:pPr>
              <w:pStyle w:val="TableParagraph"/>
              <w:spacing w:line="270" w:lineRule="atLeast"/>
              <w:ind w:left="107" w:right="108"/>
              <w:rPr>
                <w:sz w:val="21"/>
              </w:rPr>
            </w:pPr>
            <w:r>
              <w:rPr>
                <w:sz w:val="21"/>
              </w:rPr>
              <w:t>富联科技(晋城)</w:t>
            </w:r>
            <w:r>
              <w:rPr>
                <w:spacing w:val="-102"/>
                <w:sz w:val="21"/>
              </w:rPr>
              <w:t> </w:t>
            </w:r>
            <w:r>
              <w:rPr>
                <w:sz w:val="21"/>
              </w:rPr>
              <w:t>有限公司 </w:t>
            </w:r>
          </w:p>
        </w:tc>
        <w:tc>
          <w:tcPr>
            <w:tcW w:w="1299" w:type="dxa"/>
          </w:tcPr>
          <w:p>
            <w:pPr>
              <w:pStyle w:val="TableParagraph"/>
              <w:spacing w:line="237" w:lineRule="exact"/>
              <w:ind w:right="94"/>
              <w:jc w:val="right"/>
              <w:rPr>
                <w:rFonts w:ascii="Times New Roman"/>
                <w:sz w:val="21"/>
              </w:rPr>
            </w:pPr>
            <w:r>
              <w:rPr>
                <w:rFonts w:ascii="Times New Roman"/>
                <w:sz w:val="21"/>
              </w:rPr>
              <w:t>1,965,617</w:t>
            </w:r>
          </w:p>
        </w:tc>
        <w:tc>
          <w:tcPr>
            <w:tcW w:w="1190" w:type="dxa"/>
          </w:tcPr>
          <w:p>
            <w:pPr>
              <w:pStyle w:val="TableParagraph"/>
              <w:spacing w:before="147"/>
              <w:ind w:right="95"/>
              <w:jc w:val="right"/>
              <w:rPr>
                <w:rFonts w:ascii="Times New Roman"/>
                <w:sz w:val="21"/>
              </w:rPr>
            </w:pPr>
            <w:r>
              <w:rPr>
                <w:rFonts w:ascii="Times New Roman"/>
                <w:w w:val="100"/>
                <w:sz w:val="21"/>
              </w:rPr>
              <w:t>-</w:t>
            </w:r>
          </w:p>
        </w:tc>
        <w:tc>
          <w:tcPr>
            <w:tcW w:w="1111" w:type="dxa"/>
          </w:tcPr>
          <w:p>
            <w:pPr>
              <w:pStyle w:val="TableParagraph"/>
              <w:spacing w:before="147"/>
              <w:ind w:right="95"/>
              <w:jc w:val="right"/>
              <w:rPr>
                <w:rFonts w:ascii="Times New Roman"/>
                <w:sz w:val="21"/>
              </w:rPr>
            </w:pPr>
            <w:r>
              <w:rPr>
                <w:rFonts w:ascii="Times New Roman"/>
                <w:sz w:val="21"/>
              </w:rPr>
              <w:t>-128</w:t>
            </w:r>
          </w:p>
        </w:tc>
        <w:tc>
          <w:tcPr>
            <w:tcW w:w="1298" w:type="dxa"/>
          </w:tcPr>
          <w:p>
            <w:pPr>
              <w:pStyle w:val="TableParagraph"/>
              <w:spacing w:before="147"/>
              <w:ind w:right="95"/>
              <w:jc w:val="right"/>
              <w:rPr>
                <w:rFonts w:ascii="Times New Roman"/>
                <w:sz w:val="21"/>
              </w:rPr>
            </w:pPr>
            <w:r>
              <w:rPr>
                <w:rFonts w:ascii="Times New Roman"/>
                <w:sz w:val="21"/>
              </w:rPr>
              <w:t>1,965,489</w:t>
            </w:r>
          </w:p>
        </w:tc>
        <w:tc>
          <w:tcPr>
            <w:tcW w:w="1111" w:type="dxa"/>
          </w:tcPr>
          <w:p>
            <w:pPr>
              <w:pStyle w:val="TableParagraph"/>
              <w:spacing w:line="237" w:lineRule="exact"/>
              <w:ind w:right="96"/>
              <w:jc w:val="right"/>
              <w:rPr>
                <w:rFonts w:ascii="Times New Roman"/>
                <w:sz w:val="21"/>
              </w:rPr>
            </w:pPr>
            <w:r>
              <w:rPr>
                <w:rFonts w:ascii="Times New Roman"/>
                <w:w w:val="100"/>
                <w:sz w:val="21"/>
              </w:rPr>
              <w:t>-</w:t>
            </w:r>
          </w:p>
        </w:tc>
        <w:tc>
          <w:tcPr>
            <w:tcW w:w="1110" w:type="dxa"/>
          </w:tcPr>
          <w:p>
            <w:pPr>
              <w:pStyle w:val="TableParagraph"/>
              <w:spacing w:line="237" w:lineRule="exact"/>
              <w:ind w:right="92"/>
              <w:jc w:val="right"/>
              <w:rPr>
                <w:rFonts w:ascii="Times New Roman"/>
                <w:sz w:val="21"/>
              </w:rPr>
            </w:pPr>
            <w:r>
              <w:rPr>
                <w:rFonts w:ascii="Times New Roman"/>
                <w:w w:val="100"/>
                <w:sz w:val="21"/>
              </w:rPr>
              <w:t>-</w:t>
            </w:r>
          </w:p>
        </w:tc>
      </w:tr>
      <w:tr>
        <w:trPr>
          <w:trHeight w:val="544" w:hRule="atLeast"/>
        </w:trPr>
        <w:tc>
          <w:tcPr>
            <w:tcW w:w="1702" w:type="dxa"/>
          </w:tcPr>
          <w:p>
            <w:pPr>
              <w:pStyle w:val="TableParagraph"/>
              <w:spacing w:before="1"/>
              <w:ind w:left="107"/>
              <w:rPr>
                <w:sz w:val="21"/>
              </w:rPr>
            </w:pPr>
            <w:r>
              <w:rPr>
                <w:sz w:val="21"/>
              </w:rPr>
              <w:t>富联科技(山西)</w:t>
            </w:r>
          </w:p>
          <w:p>
            <w:pPr>
              <w:pStyle w:val="TableParagraph"/>
              <w:spacing w:line="252" w:lineRule="exact" w:before="2"/>
              <w:ind w:left="107"/>
              <w:rPr>
                <w:sz w:val="21"/>
              </w:rPr>
            </w:pPr>
            <w:r>
              <w:rPr>
                <w:spacing w:val="-1"/>
                <w:sz w:val="21"/>
              </w:rPr>
              <w:t>有限公司</w:t>
            </w:r>
            <w:r>
              <w:rPr>
                <w:sz w:val="21"/>
              </w:rPr>
              <w:t> </w:t>
            </w:r>
          </w:p>
        </w:tc>
        <w:tc>
          <w:tcPr>
            <w:tcW w:w="1299" w:type="dxa"/>
          </w:tcPr>
          <w:p>
            <w:pPr>
              <w:pStyle w:val="TableParagraph"/>
              <w:spacing w:line="235" w:lineRule="exact"/>
              <w:ind w:right="94"/>
              <w:jc w:val="right"/>
              <w:rPr>
                <w:rFonts w:ascii="Times New Roman"/>
                <w:sz w:val="21"/>
              </w:rPr>
            </w:pPr>
            <w:r>
              <w:rPr>
                <w:rFonts w:ascii="Times New Roman"/>
                <w:sz w:val="21"/>
              </w:rPr>
              <w:t>1,390,322</w:t>
            </w:r>
          </w:p>
        </w:tc>
        <w:tc>
          <w:tcPr>
            <w:tcW w:w="1190" w:type="dxa"/>
          </w:tcPr>
          <w:p>
            <w:pPr>
              <w:pStyle w:val="TableParagraph"/>
              <w:spacing w:before="144"/>
              <w:ind w:right="95"/>
              <w:jc w:val="right"/>
              <w:rPr>
                <w:rFonts w:ascii="Times New Roman"/>
                <w:sz w:val="21"/>
              </w:rPr>
            </w:pPr>
            <w:r>
              <w:rPr>
                <w:rFonts w:ascii="Times New Roman"/>
                <w:w w:val="100"/>
                <w:sz w:val="21"/>
              </w:rPr>
              <w:t>-</w:t>
            </w:r>
          </w:p>
        </w:tc>
        <w:tc>
          <w:tcPr>
            <w:tcW w:w="1111" w:type="dxa"/>
          </w:tcPr>
          <w:p>
            <w:pPr>
              <w:pStyle w:val="TableParagraph"/>
              <w:spacing w:before="144"/>
              <w:ind w:right="94"/>
              <w:jc w:val="right"/>
              <w:rPr>
                <w:rFonts w:ascii="Times New Roman"/>
                <w:sz w:val="21"/>
              </w:rPr>
            </w:pPr>
            <w:r>
              <w:rPr>
                <w:rFonts w:ascii="Times New Roman"/>
                <w:w w:val="100"/>
                <w:sz w:val="21"/>
              </w:rPr>
              <w:t>-</w:t>
            </w:r>
          </w:p>
        </w:tc>
        <w:tc>
          <w:tcPr>
            <w:tcW w:w="1298" w:type="dxa"/>
          </w:tcPr>
          <w:p>
            <w:pPr>
              <w:pStyle w:val="TableParagraph"/>
              <w:spacing w:before="144"/>
              <w:ind w:right="95"/>
              <w:jc w:val="right"/>
              <w:rPr>
                <w:rFonts w:ascii="Times New Roman"/>
                <w:sz w:val="21"/>
              </w:rPr>
            </w:pPr>
            <w:r>
              <w:rPr>
                <w:rFonts w:ascii="Times New Roman"/>
                <w:sz w:val="21"/>
              </w:rPr>
              <w:t>1,390,322</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544" w:hRule="atLeast"/>
        </w:trPr>
        <w:tc>
          <w:tcPr>
            <w:tcW w:w="1702" w:type="dxa"/>
          </w:tcPr>
          <w:p>
            <w:pPr>
              <w:pStyle w:val="TableParagraph"/>
              <w:spacing w:before="1"/>
              <w:ind w:left="107"/>
              <w:rPr>
                <w:sz w:val="21"/>
              </w:rPr>
            </w:pPr>
            <w:r>
              <w:rPr>
                <w:sz w:val="21"/>
              </w:rPr>
              <w:t>富联统合电子</w:t>
            </w:r>
          </w:p>
          <w:p>
            <w:pPr>
              <w:pStyle w:val="TableParagraph"/>
              <w:spacing w:line="252" w:lineRule="exact" w:before="2"/>
              <w:ind w:left="107"/>
              <w:rPr>
                <w:sz w:val="21"/>
              </w:rPr>
            </w:pPr>
            <w:r>
              <w:rPr>
                <w:sz w:val="21"/>
              </w:rPr>
              <w:t>(杭州)有限公司 </w:t>
            </w:r>
          </w:p>
        </w:tc>
        <w:tc>
          <w:tcPr>
            <w:tcW w:w="1299" w:type="dxa"/>
          </w:tcPr>
          <w:p>
            <w:pPr>
              <w:pStyle w:val="TableParagraph"/>
              <w:spacing w:line="235" w:lineRule="exact"/>
              <w:ind w:right="94"/>
              <w:jc w:val="right"/>
              <w:rPr>
                <w:rFonts w:ascii="Times New Roman"/>
                <w:sz w:val="21"/>
              </w:rPr>
            </w:pPr>
            <w:r>
              <w:rPr>
                <w:rFonts w:ascii="Times New Roman"/>
                <w:sz w:val="21"/>
              </w:rPr>
              <w:t>467,343</w:t>
            </w:r>
          </w:p>
        </w:tc>
        <w:tc>
          <w:tcPr>
            <w:tcW w:w="1190" w:type="dxa"/>
          </w:tcPr>
          <w:p>
            <w:pPr>
              <w:pStyle w:val="TableParagraph"/>
              <w:spacing w:before="144"/>
              <w:ind w:right="95"/>
              <w:jc w:val="right"/>
              <w:rPr>
                <w:rFonts w:ascii="Times New Roman"/>
                <w:sz w:val="21"/>
              </w:rPr>
            </w:pPr>
            <w:r>
              <w:rPr>
                <w:rFonts w:ascii="Times New Roman"/>
                <w:w w:val="100"/>
                <w:sz w:val="21"/>
              </w:rPr>
              <w:t>-</w:t>
            </w:r>
          </w:p>
        </w:tc>
        <w:tc>
          <w:tcPr>
            <w:tcW w:w="1111" w:type="dxa"/>
          </w:tcPr>
          <w:p>
            <w:pPr>
              <w:pStyle w:val="TableParagraph"/>
              <w:spacing w:before="144"/>
              <w:ind w:right="94"/>
              <w:jc w:val="right"/>
              <w:rPr>
                <w:rFonts w:ascii="Times New Roman"/>
                <w:sz w:val="21"/>
              </w:rPr>
            </w:pPr>
            <w:r>
              <w:rPr>
                <w:rFonts w:ascii="Times New Roman"/>
                <w:w w:val="100"/>
                <w:sz w:val="21"/>
              </w:rPr>
              <w:t>-</w:t>
            </w:r>
          </w:p>
        </w:tc>
        <w:tc>
          <w:tcPr>
            <w:tcW w:w="1298" w:type="dxa"/>
          </w:tcPr>
          <w:p>
            <w:pPr>
              <w:pStyle w:val="TableParagraph"/>
              <w:spacing w:before="144"/>
              <w:ind w:right="95"/>
              <w:jc w:val="right"/>
              <w:rPr>
                <w:rFonts w:ascii="Times New Roman"/>
                <w:sz w:val="21"/>
              </w:rPr>
            </w:pPr>
            <w:r>
              <w:rPr>
                <w:rFonts w:ascii="Times New Roman"/>
                <w:sz w:val="21"/>
              </w:rPr>
              <w:t>467,343</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544" w:hRule="atLeast"/>
        </w:trPr>
        <w:tc>
          <w:tcPr>
            <w:tcW w:w="1702" w:type="dxa"/>
          </w:tcPr>
          <w:p>
            <w:pPr>
              <w:pStyle w:val="TableParagraph"/>
              <w:spacing w:before="1"/>
              <w:ind w:left="107"/>
              <w:rPr>
                <w:sz w:val="21"/>
              </w:rPr>
            </w:pPr>
            <w:r>
              <w:rPr>
                <w:sz w:val="21"/>
              </w:rPr>
              <w:t>国宙电子(上海)</w:t>
            </w:r>
          </w:p>
          <w:p>
            <w:pPr>
              <w:pStyle w:val="TableParagraph"/>
              <w:spacing w:line="252" w:lineRule="exact" w:before="2"/>
              <w:ind w:left="107"/>
              <w:rPr>
                <w:sz w:val="21"/>
              </w:rPr>
            </w:pPr>
            <w:r>
              <w:rPr>
                <w:spacing w:val="-1"/>
                <w:sz w:val="21"/>
              </w:rPr>
              <w:t>有限公司</w:t>
            </w:r>
            <w:r>
              <w:rPr>
                <w:sz w:val="21"/>
              </w:rPr>
              <w:t> </w:t>
            </w:r>
          </w:p>
        </w:tc>
        <w:tc>
          <w:tcPr>
            <w:tcW w:w="1299" w:type="dxa"/>
          </w:tcPr>
          <w:p>
            <w:pPr>
              <w:pStyle w:val="TableParagraph"/>
              <w:spacing w:line="235" w:lineRule="exact"/>
              <w:ind w:right="94"/>
              <w:jc w:val="right"/>
              <w:rPr>
                <w:rFonts w:ascii="Times New Roman"/>
                <w:sz w:val="21"/>
              </w:rPr>
            </w:pPr>
            <w:r>
              <w:rPr>
                <w:rFonts w:ascii="Times New Roman"/>
                <w:sz w:val="21"/>
              </w:rPr>
              <w:t>155,256</w:t>
            </w:r>
          </w:p>
        </w:tc>
        <w:tc>
          <w:tcPr>
            <w:tcW w:w="1190" w:type="dxa"/>
          </w:tcPr>
          <w:p>
            <w:pPr>
              <w:pStyle w:val="TableParagraph"/>
              <w:spacing w:before="144"/>
              <w:ind w:right="95"/>
              <w:jc w:val="right"/>
              <w:rPr>
                <w:rFonts w:ascii="Times New Roman"/>
                <w:sz w:val="21"/>
              </w:rPr>
            </w:pPr>
            <w:r>
              <w:rPr>
                <w:rFonts w:ascii="Times New Roman"/>
                <w:w w:val="100"/>
                <w:sz w:val="21"/>
              </w:rPr>
              <w:t>-</w:t>
            </w:r>
          </w:p>
        </w:tc>
        <w:tc>
          <w:tcPr>
            <w:tcW w:w="1111" w:type="dxa"/>
          </w:tcPr>
          <w:p>
            <w:pPr>
              <w:pStyle w:val="TableParagraph"/>
              <w:spacing w:before="144"/>
              <w:ind w:right="98"/>
              <w:jc w:val="right"/>
              <w:rPr>
                <w:rFonts w:ascii="Times New Roman"/>
                <w:sz w:val="21"/>
              </w:rPr>
            </w:pPr>
            <w:r>
              <w:rPr>
                <w:rFonts w:ascii="Times New Roman"/>
                <w:sz w:val="21"/>
              </w:rPr>
              <w:t>-35</w:t>
            </w:r>
          </w:p>
        </w:tc>
        <w:tc>
          <w:tcPr>
            <w:tcW w:w="1298" w:type="dxa"/>
          </w:tcPr>
          <w:p>
            <w:pPr>
              <w:pStyle w:val="TableParagraph"/>
              <w:spacing w:before="144"/>
              <w:ind w:right="95"/>
              <w:jc w:val="right"/>
              <w:rPr>
                <w:rFonts w:ascii="Times New Roman"/>
                <w:sz w:val="21"/>
              </w:rPr>
            </w:pPr>
            <w:r>
              <w:rPr>
                <w:rFonts w:ascii="Times New Roman"/>
                <w:sz w:val="21"/>
              </w:rPr>
              <w:t>155,221</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817" w:hRule="atLeast"/>
        </w:trPr>
        <w:tc>
          <w:tcPr>
            <w:tcW w:w="1702" w:type="dxa"/>
          </w:tcPr>
          <w:p>
            <w:pPr>
              <w:pStyle w:val="TableParagraph"/>
              <w:spacing w:before="1"/>
              <w:ind w:left="107"/>
              <w:rPr>
                <w:sz w:val="21"/>
              </w:rPr>
            </w:pPr>
            <w:r>
              <w:rPr>
                <w:sz w:val="21"/>
              </w:rPr>
              <w:t>富联百佳泰(北</w:t>
            </w:r>
          </w:p>
          <w:p>
            <w:pPr>
              <w:pStyle w:val="TableParagraph"/>
              <w:spacing w:line="270" w:lineRule="atLeast"/>
              <w:ind w:left="107" w:right="214"/>
              <w:rPr>
                <w:sz w:val="21"/>
              </w:rPr>
            </w:pPr>
            <w:r>
              <w:rPr>
                <w:spacing w:val="-1"/>
                <w:sz w:val="21"/>
              </w:rPr>
              <w:t>京)贸易有限公</w:t>
            </w:r>
            <w:r>
              <w:rPr>
                <w:sz w:val="21"/>
              </w:rPr>
              <w:t>司 </w:t>
            </w:r>
          </w:p>
        </w:tc>
        <w:tc>
          <w:tcPr>
            <w:tcW w:w="1299" w:type="dxa"/>
          </w:tcPr>
          <w:p>
            <w:pPr>
              <w:pStyle w:val="TableParagraph"/>
              <w:spacing w:line="235" w:lineRule="exact"/>
              <w:ind w:right="94"/>
              <w:jc w:val="right"/>
              <w:rPr>
                <w:rFonts w:ascii="Times New Roman"/>
                <w:sz w:val="21"/>
              </w:rPr>
            </w:pPr>
            <w:r>
              <w:rPr>
                <w:rFonts w:ascii="Times New Roman"/>
                <w:sz w:val="21"/>
              </w:rPr>
              <w:t>27,072</w:t>
            </w:r>
          </w:p>
        </w:tc>
        <w:tc>
          <w:tcPr>
            <w:tcW w:w="1190" w:type="dxa"/>
          </w:tcPr>
          <w:p>
            <w:pPr>
              <w:pStyle w:val="TableParagraph"/>
              <w:spacing w:before="12"/>
              <w:rPr>
                <w:sz w:val="21"/>
              </w:rPr>
            </w:pPr>
          </w:p>
          <w:p>
            <w:pPr>
              <w:pStyle w:val="TableParagraph"/>
              <w:ind w:right="95"/>
              <w:jc w:val="right"/>
              <w:rPr>
                <w:rFonts w:ascii="Times New Roman"/>
                <w:sz w:val="21"/>
              </w:rPr>
            </w:pPr>
            <w:r>
              <w:rPr>
                <w:rFonts w:ascii="Times New Roman"/>
                <w:w w:val="100"/>
                <w:sz w:val="21"/>
              </w:rPr>
              <w:t>-</w:t>
            </w:r>
          </w:p>
        </w:tc>
        <w:tc>
          <w:tcPr>
            <w:tcW w:w="1111" w:type="dxa"/>
          </w:tcPr>
          <w:p>
            <w:pPr>
              <w:pStyle w:val="TableParagraph"/>
              <w:spacing w:before="12"/>
              <w:rPr>
                <w:sz w:val="21"/>
              </w:rPr>
            </w:pPr>
          </w:p>
          <w:p>
            <w:pPr>
              <w:pStyle w:val="TableParagraph"/>
              <w:ind w:right="94"/>
              <w:jc w:val="right"/>
              <w:rPr>
                <w:rFonts w:ascii="Times New Roman"/>
                <w:sz w:val="21"/>
              </w:rPr>
            </w:pPr>
            <w:r>
              <w:rPr>
                <w:rFonts w:ascii="Times New Roman"/>
                <w:w w:val="100"/>
                <w:sz w:val="21"/>
              </w:rPr>
              <w:t>-</w:t>
            </w:r>
          </w:p>
        </w:tc>
        <w:tc>
          <w:tcPr>
            <w:tcW w:w="1298" w:type="dxa"/>
          </w:tcPr>
          <w:p>
            <w:pPr>
              <w:pStyle w:val="TableParagraph"/>
              <w:spacing w:before="12"/>
              <w:rPr>
                <w:sz w:val="21"/>
              </w:rPr>
            </w:pPr>
          </w:p>
          <w:p>
            <w:pPr>
              <w:pStyle w:val="TableParagraph"/>
              <w:ind w:right="95"/>
              <w:jc w:val="right"/>
              <w:rPr>
                <w:rFonts w:ascii="Times New Roman"/>
                <w:sz w:val="21"/>
              </w:rPr>
            </w:pPr>
            <w:r>
              <w:rPr>
                <w:rFonts w:ascii="Times New Roman"/>
                <w:sz w:val="21"/>
              </w:rPr>
              <w:t>27,072</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bl>
    <w:p>
      <w:pPr>
        <w:spacing w:after="0" w:line="235" w:lineRule="exact"/>
        <w:jc w:val="right"/>
        <w:rPr>
          <w:rFonts w:ascii="Times New Roman"/>
          <w:sz w:val="21"/>
        </w:rPr>
        <w:sectPr>
          <w:type w:val="continuous"/>
          <w:pgSz w:w="11910" w:h="16840"/>
          <w:pgMar w:top="780" w:bottom="280" w:left="1480" w:right="0"/>
        </w:sectPr>
      </w:pPr>
    </w:p>
    <w:p>
      <w:pPr>
        <w:pStyle w:val="BodyText"/>
        <w:ind w:left="0"/>
        <w:rPr>
          <w:sz w:val="20"/>
        </w:rPr>
      </w:pPr>
    </w:p>
    <w:p>
      <w:pPr>
        <w:pStyle w:val="BodyText"/>
        <w:spacing w:before="1"/>
        <w:ind w:left="0"/>
        <w:rPr>
          <w:sz w:val="11"/>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1299"/>
        <w:gridCol w:w="1190"/>
        <w:gridCol w:w="1111"/>
        <w:gridCol w:w="1298"/>
        <w:gridCol w:w="1111"/>
        <w:gridCol w:w="1110"/>
      </w:tblGrid>
      <w:tr>
        <w:trPr>
          <w:trHeight w:val="818" w:hRule="atLeast"/>
        </w:trPr>
        <w:tc>
          <w:tcPr>
            <w:tcW w:w="1702" w:type="dxa"/>
          </w:tcPr>
          <w:p>
            <w:pPr>
              <w:pStyle w:val="TableParagraph"/>
              <w:spacing w:line="242" w:lineRule="auto" w:before="3"/>
              <w:ind w:left="107"/>
              <w:rPr>
                <w:sz w:val="21"/>
              </w:rPr>
            </w:pPr>
            <w:r>
              <w:rPr>
                <w:sz w:val="21"/>
              </w:rPr>
              <w:t>Focus PC</w:t>
            </w:r>
            <w:r>
              <w:rPr>
                <w:spacing w:val="1"/>
                <w:sz w:val="21"/>
              </w:rPr>
              <w:t> </w:t>
            </w:r>
            <w:r>
              <w:rPr>
                <w:sz w:val="21"/>
              </w:rPr>
              <w:t>Enterprises   </w:t>
            </w:r>
          </w:p>
          <w:p>
            <w:pPr>
              <w:pStyle w:val="TableParagraph"/>
              <w:spacing w:line="250" w:lineRule="exact" w:before="2"/>
              <w:ind w:left="107"/>
              <w:rPr>
                <w:sz w:val="21"/>
              </w:rPr>
            </w:pPr>
            <w:r>
              <w:rPr>
                <w:sz w:val="21"/>
              </w:rPr>
              <w:t>Limited </w:t>
            </w:r>
          </w:p>
        </w:tc>
        <w:tc>
          <w:tcPr>
            <w:tcW w:w="1299" w:type="dxa"/>
          </w:tcPr>
          <w:p>
            <w:pPr>
              <w:pStyle w:val="TableParagraph"/>
              <w:spacing w:line="237" w:lineRule="exact"/>
              <w:ind w:right="94"/>
              <w:jc w:val="right"/>
              <w:rPr>
                <w:rFonts w:ascii="Times New Roman"/>
                <w:sz w:val="21"/>
              </w:rPr>
            </w:pPr>
            <w:r>
              <w:rPr>
                <w:rFonts w:ascii="Times New Roman"/>
                <w:sz w:val="21"/>
              </w:rPr>
              <w:t>897,359</w:t>
            </w:r>
          </w:p>
        </w:tc>
        <w:tc>
          <w:tcPr>
            <w:tcW w:w="1190" w:type="dxa"/>
          </w:tcPr>
          <w:p>
            <w:pPr>
              <w:pStyle w:val="TableParagraph"/>
              <w:spacing w:before="12"/>
              <w:rPr>
                <w:sz w:val="21"/>
              </w:rPr>
            </w:pPr>
          </w:p>
          <w:p>
            <w:pPr>
              <w:pStyle w:val="TableParagraph"/>
              <w:ind w:right="93"/>
              <w:jc w:val="right"/>
              <w:rPr>
                <w:rFonts w:ascii="Times New Roman"/>
                <w:sz w:val="21"/>
              </w:rPr>
            </w:pPr>
            <w:r>
              <w:rPr>
                <w:rFonts w:ascii="Times New Roman"/>
                <w:sz w:val="21"/>
              </w:rPr>
              <w:t>48,105</w:t>
            </w:r>
          </w:p>
        </w:tc>
        <w:tc>
          <w:tcPr>
            <w:tcW w:w="1111" w:type="dxa"/>
          </w:tcPr>
          <w:p>
            <w:pPr>
              <w:pStyle w:val="TableParagraph"/>
              <w:spacing w:before="12"/>
              <w:rPr>
                <w:sz w:val="21"/>
              </w:rPr>
            </w:pPr>
          </w:p>
          <w:p>
            <w:pPr>
              <w:pStyle w:val="TableParagraph"/>
              <w:ind w:right="94"/>
              <w:jc w:val="right"/>
              <w:rPr>
                <w:rFonts w:ascii="Times New Roman"/>
                <w:sz w:val="21"/>
              </w:rPr>
            </w:pPr>
            <w:r>
              <w:rPr>
                <w:rFonts w:ascii="Times New Roman"/>
                <w:w w:val="100"/>
                <w:sz w:val="21"/>
              </w:rPr>
              <w:t>-</w:t>
            </w:r>
          </w:p>
        </w:tc>
        <w:tc>
          <w:tcPr>
            <w:tcW w:w="1298" w:type="dxa"/>
          </w:tcPr>
          <w:p>
            <w:pPr>
              <w:pStyle w:val="TableParagraph"/>
              <w:spacing w:before="12"/>
              <w:rPr>
                <w:sz w:val="21"/>
              </w:rPr>
            </w:pPr>
          </w:p>
          <w:p>
            <w:pPr>
              <w:pStyle w:val="TableParagraph"/>
              <w:ind w:right="95"/>
              <w:jc w:val="right"/>
              <w:rPr>
                <w:rFonts w:ascii="Times New Roman"/>
                <w:sz w:val="21"/>
              </w:rPr>
            </w:pPr>
            <w:r>
              <w:rPr>
                <w:rFonts w:ascii="Times New Roman"/>
                <w:sz w:val="21"/>
              </w:rPr>
              <w:t>945,464</w:t>
            </w:r>
          </w:p>
        </w:tc>
        <w:tc>
          <w:tcPr>
            <w:tcW w:w="1111" w:type="dxa"/>
          </w:tcPr>
          <w:p>
            <w:pPr>
              <w:pStyle w:val="TableParagraph"/>
              <w:spacing w:line="237" w:lineRule="exact"/>
              <w:ind w:right="96"/>
              <w:jc w:val="right"/>
              <w:rPr>
                <w:rFonts w:ascii="Times New Roman"/>
                <w:sz w:val="21"/>
              </w:rPr>
            </w:pPr>
            <w:r>
              <w:rPr>
                <w:rFonts w:ascii="Times New Roman"/>
                <w:w w:val="100"/>
                <w:sz w:val="21"/>
              </w:rPr>
              <w:t>-</w:t>
            </w:r>
          </w:p>
        </w:tc>
        <w:tc>
          <w:tcPr>
            <w:tcW w:w="1110" w:type="dxa"/>
          </w:tcPr>
          <w:p>
            <w:pPr>
              <w:pStyle w:val="TableParagraph"/>
              <w:spacing w:line="237" w:lineRule="exact"/>
              <w:ind w:right="92"/>
              <w:jc w:val="right"/>
              <w:rPr>
                <w:rFonts w:ascii="Times New Roman"/>
                <w:sz w:val="21"/>
              </w:rPr>
            </w:pPr>
            <w:r>
              <w:rPr>
                <w:rFonts w:ascii="Times New Roman"/>
                <w:w w:val="100"/>
                <w:sz w:val="21"/>
              </w:rPr>
              <w:t>-</w:t>
            </w:r>
          </w:p>
        </w:tc>
      </w:tr>
      <w:tr>
        <w:trPr>
          <w:trHeight w:val="544" w:hRule="atLeast"/>
        </w:trPr>
        <w:tc>
          <w:tcPr>
            <w:tcW w:w="1702" w:type="dxa"/>
          </w:tcPr>
          <w:p>
            <w:pPr>
              <w:pStyle w:val="TableParagraph"/>
              <w:spacing w:before="1"/>
              <w:ind w:left="107"/>
              <w:rPr>
                <w:sz w:val="21"/>
              </w:rPr>
            </w:pPr>
            <w:r>
              <w:rPr>
                <w:sz w:val="21"/>
              </w:rPr>
              <w:t>深圳富联富桂精</w:t>
            </w:r>
          </w:p>
          <w:p>
            <w:pPr>
              <w:pStyle w:val="TableParagraph"/>
              <w:spacing w:line="250" w:lineRule="exact" w:before="4"/>
              <w:ind w:left="107"/>
              <w:rPr>
                <w:sz w:val="21"/>
              </w:rPr>
            </w:pPr>
            <w:r>
              <w:rPr>
                <w:spacing w:val="-1"/>
                <w:sz w:val="21"/>
              </w:rPr>
              <w:t>密工业有限公司</w:t>
            </w:r>
            <w:r>
              <w:rPr>
                <w:sz w:val="21"/>
              </w:rPr>
              <w:t> </w:t>
            </w:r>
          </w:p>
        </w:tc>
        <w:tc>
          <w:tcPr>
            <w:tcW w:w="1299" w:type="dxa"/>
          </w:tcPr>
          <w:p>
            <w:pPr>
              <w:pStyle w:val="TableParagraph"/>
              <w:spacing w:line="235" w:lineRule="exact"/>
              <w:ind w:right="94"/>
              <w:jc w:val="right"/>
              <w:rPr>
                <w:rFonts w:ascii="Times New Roman"/>
                <w:sz w:val="21"/>
              </w:rPr>
            </w:pPr>
            <w:r>
              <w:rPr>
                <w:rFonts w:ascii="Times New Roman"/>
                <w:sz w:val="21"/>
              </w:rPr>
              <w:t>2,043,695</w:t>
            </w:r>
          </w:p>
        </w:tc>
        <w:tc>
          <w:tcPr>
            <w:tcW w:w="1190" w:type="dxa"/>
          </w:tcPr>
          <w:p>
            <w:pPr>
              <w:pStyle w:val="TableParagraph"/>
              <w:spacing w:before="144"/>
              <w:ind w:right="93"/>
              <w:jc w:val="right"/>
              <w:rPr>
                <w:rFonts w:ascii="Times New Roman"/>
                <w:sz w:val="21"/>
              </w:rPr>
            </w:pPr>
            <w:r>
              <w:rPr>
                <w:rFonts w:ascii="Times New Roman"/>
                <w:sz w:val="21"/>
              </w:rPr>
              <w:t>1,100,123</w:t>
            </w:r>
          </w:p>
        </w:tc>
        <w:tc>
          <w:tcPr>
            <w:tcW w:w="1111" w:type="dxa"/>
          </w:tcPr>
          <w:p>
            <w:pPr>
              <w:pStyle w:val="TableParagraph"/>
              <w:spacing w:before="144"/>
              <w:ind w:right="94"/>
              <w:jc w:val="right"/>
              <w:rPr>
                <w:rFonts w:ascii="Times New Roman"/>
                <w:sz w:val="21"/>
              </w:rPr>
            </w:pPr>
            <w:r>
              <w:rPr>
                <w:rFonts w:ascii="Times New Roman"/>
                <w:w w:val="100"/>
                <w:sz w:val="21"/>
              </w:rPr>
              <w:t>-</w:t>
            </w:r>
          </w:p>
        </w:tc>
        <w:tc>
          <w:tcPr>
            <w:tcW w:w="1298" w:type="dxa"/>
          </w:tcPr>
          <w:p>
            <w:pPr>
              <w:pStyle w:val="TableParagraph"/>
              <w:spacing w:before="144"/>
              <w:ind w:right="95"/>
              <w:jc w:val="right"/>
              <w:rPr>
                <w:rFonts w:ascii="Times New Roman"/>
                <w:sz w:val="21"/>
              </w:rPr>
            </w:pPr>
            <w:r>
              <w:rPr>
                <w:rFonts w:ascii="Times New Roman"/>
                <w:sz w:val="21"/>
              </w:rPr>
              <w:t>3,143,818</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818" w:hRule="atLeast"/>
        </w:trPr>
        <w:tc>
          <w:tcPr>
            <w:tcW w:w="1702" w:type="dxa"/>
          </w:tcPr>
          <w:p>
            <w:pPr>
              <w:pStyle w:val="TableParagraph"/>
              <w:spacing w:before="1"/>
              <w:ind w:left="107"/>
              <w:rPr>
                <w:sz w:val="21"/>
              </w:rPr>
            </w:pPr>
            <w:r>
              <w:rPr>
                <w:sz w:val="21"/>
              </w:rPr>
              <w:t>富联富翼精密工</w:t>
            </w:r>
          </w:p>
          <w:p>
            <w:pPr>
              <w:pStyle w:val="TableParagraph"/>
              <w:spacing w:line="270" w:lineRule="atLeast"/>
              <w:ind w:left="107" w:right="108"/>
              <w:rPr>
                <w:sz w:val="21"/>
              </w:rPr>
            </w:pPr>
            <w:r>
              <w:rPr>
                <w:sz w:val="21"/>
              </w:rPr>
              <w:t>业(东莞)有限公司 </w:t>
            </w:r>
          </w:p>
        </w:tc>
        <w:tc>
          <w:tcPr>
            <w:tcW w:w="1299" w:type="dxa"/>
          </w:tcPr>
          <w:p>
            <w:pPr>
              <w:pStyle w:val="TableParagraph"/>
              <w:spacing w:line="235" w:lineRule="exact"/>
              <w:ind w:right="94"/>
              <w:jc w:val="right"/>
              <w:rPr>
                <w:rFonts w:ascii="Times New Roman"/>
                <w:sz w:val="21"/>
              </w:rPr>
            </w:pPr>
            <w:r>
              <w:rPr>
                <w:rFonts w:ascii="Times New Roman"/>
                <w:sz w:val="21"/>
              </w:rPr>
              <w:t>10,087</w:t>
            </w:r>
          </w:p>
        </w:tc>
        <w:tc>
          <w:tcPr>
            <w:tcW w:w="1190" w:type="dxa"/>
          </w:tcPr>
          <w:p>
            <w:pPr>
              <w:pStyle w:val="TableParagraph"/>
              <w:spacing w:before="12"/>
              <w:rPr>
                <w:sz w:val="21"/>
              </w:rPr>
            </w:pPr>
          </w:p>
          <w:p>
            <w:pPr>
              <w:pStyle w:val="TableParagraph"/>
              <w:ind w:right="95"/>
              <w:jc w:val="right"/>
              <w:rPr>
                <w:rFonts w:ascii="Times New Roman"/>
                <w:sz w:val="21"/>
              </w:rPr>
            </w:pPr>
            <w:r>
              <w:rPr>
                <w:rFonts w:ascii="Times New Roman"/>
                <w:w w:val="100"/>
                <w:sz w:val="21"/>
              </w:rPr>
              <w:t>-</w:t>
            </w:r>
          </w:p>
        </w:tc>
        <w:tc>
          <w:tcPr>
            <w:tcW w:w="1111" w:type="dxa"/>
          </w:tcPr>
          <w:p>
            <w:pPr>
              <w:pStyle w:val="TableParagraph"/>
              <w:spacing w:before="12"/>
              <w:rPr>
                <w:sz w:val="21"/>
              </w:rPr>
            </w:pPr>
          </w:p>
          <w:p>
            <w:pPr>
              <w:pStyle w:val="TableParagraph"/>
              <w:ind w:right="94"/>
              <w:jc w:val="right"/>
              <w:rPr>
                <w:rFonts w:ascii="Times New Roman"/>
                <w:sz w:val="21"/>
              </w:rPr>
            </w:pPr>
            <w:r>
              <w:rPr>
                <w:rFonts w:ascii="Times New Roman"/>
                <w:w w:val="100"/>
                <w:sz w:val="21"/>
              </w:rPr>
              <w:t>-</w:t>
            </w:r>
          </w:p>
        </w:tc>
        <w:tc>
          <w:tcPr>
            <w:tcW w:w="1298" w:type="dxa"/>
          </w:tcPr>
          <w:p>
            <w:pPr>
              <w:pStyle w:val="TableParagraph"/>
              <w:spacing w:before="12"/>
              <w:rPr>
                <w:sz w:val="21"/>
              </w:rPr>
            </w:pPr>
          </w:p>
          <w:p>
            <w:pPr>
              <w:pStyle w:val="TableParagraph"/>
              <w:ind w:right="95"/>
              <w:jc w:val="right"/>
              <w:rPr>
                <w:rFonts w:ascii="Times New Roman"/>
                <w:sz w:val="21"/>
              </w:rPr>
            </w:pPr>
            <w:r>
              <w:rPr>
                <w:rFonts w:ascii="Times New Roman"/>
                <w:sz w:val="21"/>
              </w:rPr>
              <w:t>10,087</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815" w:hRule="atLeast"/>
        </w:trPr>
        <w:tc>
          <w:tcPr>
            <w:tcW w:w="1702" w:type="dxa"/>
          </w:tcPr>
          <w:p>
            <w:pPr>
              <w:pStyle w:val="TableParagraph"/>
              <w:spacing w:line="242" w:lineRule="auto" w:before="1"/>
              <w:ind w:left="107" w:right="108"/>
              <w:rPr>
                <w:sz w:val="21"/>
              </w:rPr>
            </w:pPr>
            <w:r>
              <w:rPr>
                <w:sz w:val="21"/>
              </w:rPr>
              <w:t>富联富甲智创</w:t>
            </w:r>
            <w:r>
              <w:rPr>
                <w:spacing w:val="8"/>
                <w:sz w:val="21"/>
              </w:rPr>
              <w:t> </w:t>
            </w:r>
            <w:r>
              <w:rPr>
                <w:sz w:val="21"/>
              </w:rPr>
              <w:t>(深圳)科技有限</w:t>
            </w:r>
          </w:p>
          <w:p>
            <w:pPr>
              <w:pStyle w:val="TableParagraph"/>
              <w:spacing w:line="250" w:lineRule="exact" w:before="1"/>
              <w:ind w:left="107"/>
              <w:rPr>
                <w:sz w:val="21"/>
              </w:rPr>
            </w:pPr>
            <w:r>
              <w:rPr>
                <w:sz w:val="21"/>
              </w:rPr>
              <w:t>公司 </w:t>
            </w:r>
          </w:p>
        </w:tc>
        <w:tc>
          <w:tcPr>
            <w:tcW w:w="1299" w:type="dxa"/>
          </w:tcPr>
          <w:p>
            <w:pPr>
              <w:pStyle w:val="TableParagraph"/>
              <w:spacing w:line="235" w:lineRule="exact"/>
              <w:ind w:right="94"/>
              <w:jc w:val="right"/>
              <w:rPr>
                <w:rFonts w:ascii="Times New Roman"/>
                <w:sz w:val="21"/>
              </w:rPr>
            </w:pPr>
            <w:r>
              <w:rPr>
                <w:rFonts w:ascii="Times New Roman"/>
                <w:sz w:val="21"/>
              </w:rPr>
              <w:t>1,180</w:t>
            </w:r>
          </w:p>
        </w:tc>
        <w:tc>
          <w:tcPr>
            <w:tcW w:w="1190" w:type="dxa"/>
          </w:tcPr>
          <w:p>
            <w:pPr>
              <w:pStyle w:val="TableParagraph"/>
              <w:spacing w:before="12"/>
              <w:rPr>
                <w:sz w:val="21"/>
              </w:rPr>
            </w:pPr>
          </w:p>
          <w:p>
            <w:pPr>
              <w:pStyle w:val="TableParagraph"/>
              <w:ind w:right="95"/>
              <w:jc w:val="right"/>
              <w:rPr>
                <w:rFonts w:ascii="Times New Roman"/>
                <w:sz w:val="21"/>
              </w:rPr>
            </w:pPr>
            <w:r>
              <w:rPr>
                <w:rFonts w:ascii="Times New Roman"/>
                <w:w w:val="100"/>
                <w:sz w:val="21"/>
              </w:rPr>
              <w:t>-</w:t>
            </w:r>
          </w:p>
        </w:tc>
        <w:tc>
          <w:tcPr>
            <w:tcW w:w="1111" w:type="dxa"/>
          </w:tcPr>
          <w:p>
            <w:pPr>
              <w:pStyle w:val="TableParagraph"/>
              <w:spacing w:before="12"/>
              <w:rPr>
                <w:sz w:val="21"/>
              </w:rPr>
            </w:pPr>
          </w:p>
          <w:p>
            <w:pPr>
              <w:pStyle w:val="TableParagraph"/>
              <w:ind w:right="94"/>
              <w:jc w:val="right"/>
              <w:rPr>
                <w:rFonts w:ascii="Times New Roman"/>
                <w:sz w:val="21"/>
              </w:rPr>
            </w:pPr>
            <w:r>
              <w:rPr>
                <w:rFonts w:ascii="Times New Roman"/>
                <w:w w:val="100"/>
                <w:sz w:val="21"/>
              </w:rPr>
              <w:t>-</w:t>
            </w:r>
          </w:p>
        </w:tc>
        <w:tc>
          <w:tcPr>
            <w:tcW w:w="1298" w:type="dxa"/>
          </w:tcPr>
          <w:p>
            <w:pPr>
              <w:pStyle w:val="TableParagraph"/>
              <w:spacing w:before="12"/>
              <w:rPr>
                <w:sz w:val="21"/>
              </w:rPr>
            </w:pPr>
          </w:p>
          <w:p>
            <w:pPr>
              <w:pStyle w:val="TableParagraph"/>
              <w:ind w:right="95"/>
              <w:jc w:val="right"/>
              <w:rPr>
                <w:rFonts w:ascii="Times New Roman"/>
                <w:sz w:val="21"/>
              </w:rPr>
            </w:pPr>
            <w:r>
              <w:rPr>
                <w:rFonts w:ascii="Times New Roman"/>
                <w:sz w:val="21"/>
              </w:rPr>
              <w:t>1,180</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818" w:hRule="atLeast"/>
        </w:trPr>
        <w:tc>
          <w:tcPr>
            <w:tcW w:w="1702" w:type="dxa"/>
          </w:tcPr>
          <w:p>
            <w:pPr>
              <w:pStyle w:val="TableParagraph"/>
              <w:spacing w:before="1"/>
              <w:ind w:left="107"/>
              <w:rPr>
                <w:sz w:val="21"/>
              </w:rPr>
            </w:pPr>
            <w:r>
              <w:rPr>
                <w:sz w:val="21"/>
              </w:rPr>
              <w:t>深圳智造谷工业</w:t>
            </w:r>
          </w:p>
          <w:p>
            <w:pPr>
              <w:pStyle w:val="TableParagraph"/>
              <w:spacing w:line="270" w:lineRule="atLeast"/>
              <w:ind w:left="107" w:right="108"/>
              <w:rPr>
                <w:sz w:val="21"/>
              </w:rPr>
            </w:pPr>
            <w:r>
              <w:rPr>
                <w:sz w:val="21"/>
              </w:rPr>
              <w:t>互联网创新中心有限公司 </w:t>
            </w:r>
          </w:p>
        </w:tc>
        <w:tc>
          <w:tcPr>
            <w:tcW w:w="1299" w:type="dxa"/>
          </w:tcPr>
          <w:p>
            <w:pPr>
              <w:pStyle w:val="TableParagraph"/>
              <w:spacing w:line="235" w:lineRule="exact"/>
              <w:ind w:right="94"/>
              <w:jc w:val="right"/>
              <w:rPr>
                <w:rFonts w:ascii="Times New Roman"/>
                <w:sz w:val="21"/>
              </w:rPr>
            </w:pPr>
            <w:r>
              <w:rPr>
                <w:rFonts w:ascii="Times New Roman"/>
                <w:sz w:val="21"/>
              </w:rPr>
              <w:t>50,286</w:t>
            </w:r>
          </w:p>
        </w:tc>
        <w:tc>
          <w:tcPr>
            <w:tcW w:w="1190" w:type="dxa"/>
          </w:tcPr>
          <w:p>
            <w:pPr>
              <w:pStyle w:val="TableParagraph"/>
              <w:spacing w:before="12"/>
              <w:rPr>
                <w:sz w:val="21"/>
              </w:rPr>
            </w:pPr>
          </w:p>
          <w:p>
            <w:pPr>
              <w:pStyle w:val="TableParagraph"/>
              <w:ind w:right="93"/>
              <w:jc w:val="right"/>
              <w:rPr>
                <w:rFonts w:ascii="Times New Roman"/>
                <w:sz w:val="21"/>
              </w:rPr>
            </w:pPr>
            <w:r>
              <w:rPr>
                <w:rFonts w:ascii="Times New Roman"/>
                <w:sz w:val="21"/>
              </w:rPr>
              <w:t>136</w:t>
            </w:r>
          </w:p>
        </w:tc>
        <w:tc>
          <w:tcPr>
            <w:tcW w:w="1111" w:type="dxa"/>
          </w:tcPr>
          <w:p>
            <w:pPr>
              <w:pStyle w:val="TableParagraph"/>
              <w:spacing w:before="12"/>
              <w:rPr>
                <w:sz w:val="21"/>
              </w:rPr>
            </w:pPr>
          </w:p>
          <w:p>
            <w:pPr>
              <w:pStyle w:val="TableParagraph"/>
              <w:ind w:right="94"/>
              <w:jc w:val="right"/>
              <w:rPr>
                <w:rFonts w:ascii="Times New Roman"/>
                <w:sz w:val="21"/>
              </w:rPr>
            </w:pPr>
            <w:r>
              <w:rPr>
                <w:rFonts w:ascii="Times New Roman"/>
                <w:w w:val="100"/>
                <w:sz w:val="21"/>
              </w:rPr>
              <w:t>-</w:t>
            </w:r>
          </w:p>
        </w:tc>
        <w:tc>
          <w:tcPr>
            <w:tcW w:w="1298" w:type="dxa"/>
          </w:tcPr>
          <w:p>
            <w:pPr>
              <w:pStyle w:val="TableParagraph"/>
              <w:spacing w:before="12"/>
              <w:rPr>
                <w:sz w:val="21"/>
              </w:rPr>
            </w:pPr>
          </w:p>
          <w:p>
            <w:pPr>
              <w:pStyle w:val="TableParagraph"/>
              <w:ind w:right="95"/>
              <w:jc w:val="right"/>
              <w:rPr>
                <w:rFonts w:ascii="Times New Roman"/>
                <w:sz w:val="21"/>
              </w:rPr>
            </w:pPr>
            <w:r>
              <w:rPr>
                <w:rFonts w:ascii="Times New Roman"/>
                <w:sz w:val="21"/>
              </w:rPr>
              <w:t>50,422</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817" w:hRule="atLeast"/>
        </w:trPr>
        <w:tc>
          <w:tcPr>
            <w:tcW w:w="1702" w:type="dxa"/>
          </w:tcPr>
          <w:p>
            <w:pPr>
              <w:pStyle w:val="TableParagraph"/>
              <w:spacing w:before="1"/>
              <w:ind w:left="107"/>
              <w:rPr>
                <w:sz w:val="21"/>
              </w:rPr>
            </w:pPr>
            <w:r>
              <w:rPr>
                <w:sz w:val="21"/>
              </w:rPr>
              <w:t>深圳富联智能制</w:t>
            </w:r>
          </w:p>
          <w:p>
            <w:pPr>
              <w:pStyle w:val="TableParagraph"/>
              <w:spacing w:line="270" w:lineRule="atLeast"/>
              <w:ind w:left="107" w:right="108"/>
              <w:rPr>
                <w:sz w:val="21"/>
              </w:rPr>
            </w:pPr>
            <w:r>
              <w:rPr>
                <w:sz w:val="21"/>
              </w:rPr>
              <w:t>造产业创新中心有限公司 </w:t>
            </w:r>
          </w:p>
        </w:tc>
        <w:tc>
          <w:tcPr>
            <w:tcW w:w="1299" w:type="dxa"/>
          </w:tcPr>
          <w:p>
            <w:pPr>
              <w:pStyle w:val="TableParagraph"/>
              <w:spacing w:line="235" w:lineRule="exact"/>
              <w:ind w:right="94"/>
              <w:jc w:val="right"/>
              <w:rPr>
                <w:rFonts w:ascii="Times New Roman"/>
                <w:sz w:val="21"/>
              </w:rPr>
            </w:pPr>
            <w:r>
              <w:rPr>
                <w:rFonts w:ascii="Times New Roman"/>
                <w:sz w:val="21"/>
              </w:rPr>
              <w:t>60,738</w:t>
            </w:r>
          </w:p>
        </w:tc>
        <w:tc>
          <w:tcPr>
            <w:tcW w:w="1190" w:type="dxa"/>
          </w:tcPr>
          <w:p>
            <w:pPr>
              <w:pStyle w:val="TableParagraph"/>
              <w:spacing w:before="12"/>
              <w:rPr>
                <w:sz w:val="21"/>
              </w:rPr>
            </w:pPr>
          </w:p>
          <w:p>
            <w:pPr>
              <w:pStyle w:val="TableParagraph"/>
              <w:ind w:right="95"/>
              <w:jc w:val="right"/>
              <w:rPr>
                <w:rFonts w:ascii="Times New Roman"/>
                <w:sz w:val="21"/>
              </w:rPr>
            </w:pPr>
            <w:r>
              <w:rPr>
                <w:rFonts w:ascii="Times New Roman"/>
                <w:w w:val="100"/>
                <w:sz w:val="21"/>
              </w:rPr>
              <w:t>-</w:t>
            </w:r>
          </w:p>
        </w:tc>
        <w:tc>
          <w:tcPr>
            <w:tcW w:w="1111" w:type="dxa"/>
          </w:tcPr>
          <w:p>
            <w:pPr>
              <w:pStyle w:val="TableParagraph"/>
              <w:spacing w:before="12"/>
              <w:rPr>
                <w:sz w:val="21"/>
              </w:rPr>
            </w:pPr>
          </w:p>
          <w:p>
            <w:pPr>
              <w:pStyle w:val="TableParagraph"/>
              <w:ind w:right="95"/>
              <w:jc w:val="right"/>
              <w:rPr>
                <w:rFonts w:ascii="Times New Roman"/>
                <w:sz w:val="21"/>
              </w:rPr>
            </w:pPr>
            <w:r>
              <w:rPr>
                <w:rFonts w:ascii="Times New Roman"/>
                <w:sz w:val="21"/>
              </w:rPr>
              <w:t>-364</w:t>
            </w:r>
          </w:p>
        </w:tc>
        <w:tc>
          <w:tcPr>
            <w:tcW w:w="1298" w:type="dxa"/>
          </w:tcPr>
          <w:p>
            <w:pPr>
              <w:pStyle w:val="TableParagraph"/>
              <w:spacing w:before="12"/>
              <w:rPr>
                <w:sz w:val="21"/>
              </w:rPr>
            </w:pPr>
          </w:p>
          <w:p>
            <w:pPr>
              <w:pStyle w:val="TableParagraph"/>
              <w:ind w:right="95"/>
              <w:jc w:val="right"/>
              <w:rPr>
                <w:rFonts w:ascii="Times New Roman"/>
                <w:sz w:val="21"/>
              </w:rPr>
            </w:pPr>
            <w:r>
              <w:rPr>
                <w:rFonts w:ascii="Times New Roman"/>
                <w:sz w:val="21"/>
              </w:rPr>
              <w:t>60,374</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815" w:hRule="atLeast"/>
        </w:trPr>
        <w:tc>
          <w:tcPr>
            <w:tcW w:w="1702" w:type="dxa"/>
          </w:tcPr>
          <w:p>
            <w:pPr>
              <w:pStyle w:val="TableParagraph"/>
              <w:spacing w:line="242" w:lineRule="auto" w:before="1"/>
              <w:ind w:left="107" w:right="108"/>
              <w:rPr>
                <w:sz w:val="21"/>
              </w:rPr>
            </w:pPr>
            <w:r>
              <w:rPr>
                <w:sz w:val="21"/>
              </w:rPr>
              <w:t>工业富联(杭州)</w:t>
            </w:r>
            <w:r>
              <w:rPr>
                <w:spacing w:val="-102"/>
                <w:sz w:val="21"/>
              </w:rPr>
              <w:t> </w:t>
            </w:r>
            <w:r>
              <w:rPr>
                <w:sz w:val="21"/>
              </w:rPr>
              <w:t>数据科技有限公</w:t>
            </w:r>
          </w:p>
          <w:p>
            <w:pPr>
              <w:pStyle w:val="TableParagraph"/>
              <w:spacing w:line="250" w:lineRule="exact" w:before="1"/>
              <w:ind w:left="107"/>
              <w:rPr>
                <w:sz w:val="21"/>
              </w:rPr>
            </w:pPr>
            <w:r>
              <w:rPr>
                <w:sz w:val="21"/>
              </w:rPr>
              <w:t>司 </w:t>
            </w:r>
          </w:p>
        </w:tc>
        <w:tc>
          <w:tcPr>
            <w:tcW w:w="1299" w:type="dxa"/>
          </w:tcPr>
          <w:p>
            <w:pPr>
              <w:pStyle w:val="TableParagraph"/>
              <w:spacing w:line="235" w:lineRule="exact"/>
              <w:ind w:right="94"/>
              <w:jc w:val="right"/>
              <w:rPr>
                <w:rFonts w:ascii="Times New Roman"/>
                <w:sz w:val="21"/>
              </w:rPr>
            </w:pPr>
            <w:r>
              <w:rPr>
                <w:rFonts w:ascii="Times New Roman"/>
                <w:sz w:val="21"/>
              </w:rPr>
              <w:t>5,377</w:t>
            </w:r>
          </w:p>
        </w:tc>
        <w:tc>
          <w:tcPr>
            <w:tcW w:w="1190" w:type="dxa"/>
          </w:tcPr>
          <w:p>
            <w:pPr>
              <w:pStyle w:val="TableParagraph"/>
              <w:spacing w:before="12"/>
              <w:rPr>
                <w:sz w:val="21"/>
              </w:rPr>
            </w:pPr>
          </w:p>
          <w:p>
            <w:pPr>
              <w:pStyle w:val="TableParagraph"/>
              <w:ind w:right="93"/>
              <w:jc w:val="right"/>
              <w:rPr>
                <w:rFonts w:ascii="Times New Roman"/>
                <w:sz w:val="21"/>
              </w:rPr>
            </w:pPr>
            <w:r>
              <w:rPr>
                <w:rFonts w:ascii="Times New Roman"/>
                <w:sz w:val="21"/>
              </w:rPr>
              <w:t>10,000</w:t>
            </w:r>
          </w:p>
        </w:tc>
        <w:tc>
          <w:tcPr>
            <w:tcW w:w="1111" w:type="dxa"/>
          </w:tcPr>
          <w:p>
            <w:pPr>
              <w:pStyle w:val="TableParagraph"/>
              <w:spacing w:before="12"/>
              <w:rPr>
                <w:sz w:val="21"/>
              </w:rPr>
            </w:pPr>
          </w:p>
          <w:p>
            <w:pPr>
              <w:pStyle w:val="TableParagraph"/>
              <w:ind w:right="94"/>
              <w:jc w:val="right"/>
              <w:rPr>
                <w:rFonts w:ascii="Times New Roman"/>
                <w:sz w:val="21"/>
              </w:rPr>
            </w:pPr>
            <w:r>
              <w:rPr>
                <w:rFonts w:ascii="Times New Roman"/>
                <w:w w:val="100"/>
                <w:sz w:val="21"/>
              </w:rPr>
              <w:t>-</w:t>
            </w:r>
          </w:p>
        </w:tc>
        <w:tc>
          <w:tcPr>
            <w:tcW w:w="1298" w:type="dxa"/>
          </w:tcPr>
          <w:p>
            <w:pPr>
              <w:pStyle w:val="TableParagraph"/>
              <w:spacing w:before="12"/>
              <w:rPr>
                <w:sz w:val="21"/>
              </w:rPr>
            </w:pPr>
          </w:p>
          <w:p>
            <w:pPr>
              <w:pStyle w:val="TableParagraph"/>
              <w:ind w:right="95"/>
              <w:jc w:val="right"/>
              <w:rPr>
                <w:rFonts w:ascii="Times New Roman"/>
                <w:sz w:val="21"/>
              </w:rPr>
            </w:pPr>
            <w:r>
              <w:rPr>
                <w:rFonts w:ascii="Times New Roman"/>
                <w:sz w:val="21"/>
              </w:rPr>
              <w:t>15,377</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544" w:hRule="atLeast"/>
        </w:trPr>
        <w:tc>
          <w:tcPr>
            <w:tcW w:w="1702" w:type="dxa"/>
          </w:tcPr>
          <w:p>
            <w:pPr>
              <w:pStyle w:val="TableParagraph"/>
              <w:spacing w:before="1"/>
              <w:ind w:left="107"/>
              <w:rPr>
                <w:sz w:val="21"/>
              </w:rPr>
            </w:pPr>
            <w:r>
              <w:rPr>
                <w:sz w:val="21"/>
              </w:rPr>
              <w:t>富智造(福建)数</w:t>
            </w:r>
          </w:p>
          <w:p>
            <w:pPr>
              <w:pStyle w:val="TableParagraph"/>
              <w:spacing w:line="250" w:lineRule="exact" w:before="4"/>
              <w:ind w:left="107"/>
              <w:rPr>
                <w:sz w:val="21"/>
              </w:rPr>
            </w:pPr>
            <w:r>
              <w:rPr>
                <w:spacing w:val="-1"/>
                <w:sz w:val="21"/>
              </w:rPr>
              <w:t>字科技有限公司</w:t>
            </w:r>
            <w:r>
              <w:rPr>
                <w:sz w:val="21"/>
              </w:rPr>
              <w:t> </w:t>
            </w:r>
          </w:p>
        </w:tc>
        <w:tc>
          <w:tcPr>
            <w:tcW w:w="1299" w:type="dxa"/>
          </w:tcPr>
          <w:p>
            <w:pPr>
              <w:pStyle w:val="TableParagraph"/>
              <w:spacing w:line="235" w:lineRule="exact"/>
              <w:ind w:right="94"/>
              <w:jc w:val="right"/>
              <w:rPr>
                <w:rFonts w:ascii="Times New Roman"/>
                <w:sz w:val="21"/>
              </w:rPr>
            </w:pPr>
            <w:r>
              <w:rPr>
                <w:rFonts w:ascii="Times New Roman"/>
                <w:sz w:val="21"/>
              </w:rPr>
              <w:t>10,000</w:t>
            </w:r>
          </w:p>
        </w:tc>
        <w:tc>
          <w:tcPr>
            <w:tcW w:w="1190" w:type="dxa"/>
          </w:tcPr>
          <w:p>
            <w:pPr>
              <w:pStyle w:val="TableParagraph"/>
              <w:spacing w:before="144"/>
              <w:ind w:right="95"/>
              <w:jc w:val="right"/>
              <w:rPr>
                <w:rFonts w:ascii="Times New Roman"/>
                <w:sz w:val="21"/>
              </w:rPr>
            </w:pPr>
            <w:r>
              <w:rPr>
                <w:rFonts w:ascii="Times New Roman"/>
                <w:w w:val="100"/>
                <w:sz w:val="21"/>
              </w:rPr>
              <w:t>-</w:t>
            </w:r>
          </w:p>
        </w:tc>
        <w:tc>
          <w:tcPr>
            <w:tcW w:w="1111" w:type="dxa"/>
          </w:tcPr>
          <w:p>
            <w:pPr>
              <w:pStyle w:val="TableParagraph"/>
              <w:spacing w:before="144"/>
              <w:ind w:right="94"/>
              <w:jc w:val="right"/>
              <w:rPr>
                <w:rFonts w:ascii="Times New Roman"/>
                <w:sz w:val="21"/>
              </w:rPr>
            </w:pPr>
            <w:r>
              <w:rPr>
                <w:rFonts w:ascii="Times New Roman"/>
                <w:w w:val="100"/>
                <w:sz w:val="21"/>
              </w:rPr>
              <w:t>-</w:t>
            </w:r>
          </w:p>
        </w:tc>
        <w:tc>
          <w:tcPr>
            <w:tcW w:w="1298" w:type="dxa"/>
          </w:tcPr>
          <w:p>
            <w:pPr>
              <w:pStyle w:val="TableParagraph"/>
              <w:spacing w:before="144"/>
              <w:ind w:right="95"/>
              <w:jc w:val="right"/>
              <w:rPr>
                <w:rFonts w:ascii="Times New Roman"/>
                <w:sz w:val="21"/>
              </w:rPr>
            </w:pPr>
            <w:r>
              <w:rPr>
                <w:rFonts w:ascii="Times New Roman"/>
                <w:sz w:val="21"/>
              </w:rPr>
              <w:t>10,000</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544" w:hRule="atLeast"/>
        </w:trPr>
        <w:tc>
          <w:tcPr>
            <w:tcW w:w="1702" w:type="dxa"/>
          </w:tcPr>
          <w:p>
            <w:pPr>
              <w:pStyle w:val="TableParagraph"/>
              <w:spacing w:before="1"/>
              <w:ind w:left="107"/>
              <w:rPr>
                <w:sz w:val="21"/>
              </w:rPr>
            </w:pPr>
            <w:r>
              <w:rPr>
                <w:sz w:val="21"/>
              </w:rPr>
              <w:t>工业富联衡阳智</w:t>
            </w:r>
          </w:p>
          <w:p>
            <w:pPr>
              <w:pStyle w:val="TableParagraph"/>
              <w:spacing w:line="250" w:lineRule="exact" w:before="4"/>
              <w:ind w:left="107"/>
              <w:rPr>
                <w:sz w:val="21"/>
              </w:rPr>
            </w:pPr>
            <w:r>
              <w:rPr>
                <w:spacing w:val="-1"/>
                <w:sz w:val="21"/>
              </w:rPr>
              <w:t>造谷有限公司</w:t>
            </w:r>
            <w:r>
              <w:rPr>
                <w:sz w:val="21"/>
              </w:rPr>
              <w:t> </w:t>
            </w:r>
          </w:p>
        </w:tc>
        <w:tc>
          <w:tcPr>
            <w:tcW w:w="1299" w:type="dxa"/>
          </w:tcPr>
          <w:p>
            <w:pPr>
              <w:pStyle w:val="TableParagraph"/>
              <w:spacing w:line="235" w:lineRule="exact"/>
              <w:ind w:right="94"/>
              <w:jc w:val="right"/>
              <w:rPr>
                <w:rFonts w:ascii="Times New Roman"/>
                <w:sz w:val="21"/>
              </w:rPr>
            </w:pPr>
            <w:r>
              <w:rPr>
                <w:rFonts w:ascii="Times New Roman"/>
                <w:sz w:val="21"/>
              </w:rPr>
              <w:t>20,400</w:t>
            </w:r>
          </w:p>
        </w:tc>
        <w:tc>
          <w:tcPr>
            <w:tcW w:w="1190" w:type="dxa"/>
          </w:tcPr>
          <w:p>
            <w:pPr>
              <w:pStyle w:val="TableParagraph"/>
              <w:spacing w:before="147"/>
              <w:ind w:right="95"/>
              <w:jc w:val="right"/>
              <w:rPr>
                <w:rFonts w:ascii="Times New Roman"/>
                <w:sz w:val="21"/>
              </w:rPr>
            </w:pPr>
            <w:r>
              <w:rPr>
                <w:rFonts w:ascii="Times New Roman"/>
                <w:w w:val="100"/>
                <w:sz w:val="21"/>
              </w:rPr>
              <w:t>-</w:t>
            </w:r>
          </w:p>
        </w:tc>
        <w:tc>
          <w:tcPr>
            <w:tcW w:w="1111" w:type="dxa"/>
          </w:tcPr>
          <w:p>
            <w:pPr>
              <w:pStyle w:val="TableParagraph"/>
              <w:spacing w:before="147"/>
              <w:ind w:right="94"/>
              <w:jc w:val="right"/>
              <w:rPr>
                <w:rFonts w:ascii="Times New Roman"/>
                <w:sz w:val="21"/>
              </w:rPr>
            </w:pPr>
            <w:r>
              <w:rPr>
                <w:rFonts w:ascii="Times New Roman"/>
                <w:w w:val="100"/>
                <w:sz w:val="21"/>
              </w:rPr>
              <w:t>-</w:t>
            </w:r>
          </w:p>
        </w:tc>
        <w:tc>
          <w:tcPr>
            <w:tcW w:w="1298" w:type="dxa"/>
          </w:tcPr>
          <w:p>
            <w:pPr>
              <w:pStyle w:val="TableParagraph"/>
              <w:spacing w:before="147"/>
              <w:ind w:right="95"/>
              <w:jc w:val="right"/>
              <w:rPr>
                <w:rFonts w:ascii="Times New Roman"/>
                <w:sz w:val="21"/>
              </w:rPr>
            </w:pPr>
            <w:r>
              <w:rPr>
                <w:rFonts w:ascii="Times New Roman"/>
                <w:sz w:val="21"/>
              </w:rPr>
              <w:t>20,400</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r>
        <w:trPr>
          <w:trHeight w:val="544" w:hRule="atLeast"/>
        </w:trPr>
        <w:tc>
          <w:tcPr>
            <w:tcW w:w="1702" w:type="dxa"/>
          </w:tcPr>
          <w:p>
            <w:pPr>
              <w:pStyle w:val="TableParagraph"/>
              <w:spacing w:line="270" w:lineRule="atLeast"/>
              <w:ind w:left="107" w:right="108"/>
              <w:rPr>
                <w:sz w:val="21"/>
              </w:rPr>
            </w:pPr>
            <w:r>
              <w:rPr>
                <w:sz w:val="21"/>
              </w:rPr>
              <w:t>工业富联佛山智造谷有限公司 </w:t>
            </w:r>
          </w:p>
        </w:tc>
        <w:tc>
          <w:tcPr>
            <w:tcW w:w="1299" w:type="dxa"/>
          </w:tcPr>
          <w:p>
            <w:pPr>
              <w:pStyle w:val="TableParagraph"/>
              <w:spacing w:line="237" w:lineRule="exact"/>
              <w:ind w:right="94"/>
              <w:jc w:val="right"/>
              <w:rPr>
                <w:rFonts w:ascii="Times New Roman"/>
                <w:sz w:val="21"/>
              </w:rPr>
            </w:pPr>
            <w:r>
              <w:rPr>
                <w:rFonts w:ascii="Times New Roman"/>
                <w:sz w:val="21"/>
              </w:rPr>
              <w:t>51,000</w:t>
            </w:r>
          </w:p>
        </w:tc>
        <w:tc>
          <w:tcPr>
            <w:tcW w:w="1190" w:type="dxa"/>
          </w:tcPr>
          <w:p>
            <w:pPr>
              <w:pStyle w:val="TableParagraph"/>
              <w:spacing w:before="147"/>
              <w:ind w:right="95"/>
              <w:jc w:val="right"/>
              <w:rPr>
                <w:rFonts w:ascii="Times New Roman"/>
                <w:sz w:val="21"/>
              </w:rPr>
            </w:pPr>
            <w:r>
              <w:rPr>
                <w:rFonts w:ascii="Times New Roman"/>
                <w:w w:val="100"/>
                <w:sz w:val="21"/>
              </w:rPr>
              <w:t>-</w:t>
            </w:r>
          </w:p>
        </w:tc>
        <w:tc>
          <w:tcPr>
            <w:tcW w:w="1111" w:type="dxa"/>
          </w:tcPr>
          <w:p>
            <w:pPr>
              <w:pStyle w:val="TableParagraph"/>
              <w:spacing w:before="147"/>
              <w:ind w:right="95"/>
              <w:jc w:val="right"/>
              <w:rPr>
                <w:rFonts w:ascii="Times New Roman"/>
                <w:sz w:val="21"/>
              </w:rPr>
            </w:pPr>
            <w:r>
              <w:rPr>
                <w:rFonts w:ascii="Times New Roman"/>
                <w:sz w:val="21"/>
              </w:rPr>
              <w:t>-216</w:t>
            </w:r>
          </w:p>
        </w:tc>
        <w:tc>
          <w:tcPr>
            <w:tcW w:w="1298" w:type="dxa"/>
          </w:tcPr>
          <w:p>
            <w:pPr>
              <w:pStyle w:val="TableParagraph"/>
              <w:spacing w:before="147"/>
              <w:ind w:right="95"/>
              <w:jc w:val="right"/>
              <w:rPr>
                <w:rFonts w:ascii="Times New Roman"/>
                <w:sz w:val="21"/>
              </w:rPr>
            </w:pPr>
            <w:r>
              <w:rPr>
                <w:rFonts w:ascii="Times New Roman"/>
                <w:sz w:val="21"/>
              </w:rPr>
              <w:t>50,784</w:t>
            </w:r>
          </w:p>
        </w:tc>
        <w:tc>
          <w:tcPr>
            <w:tcW w:w="1111" w:type="dxa"/>
          </w:tcPr>
          <w:p>
            <w:pPr>
              <w:pStyle w:val="TableParagraph"/>
              <w:spacing w:line="237" w:lineRule="exact"/>
              <w:ind w:right="96"/>
              <w:jc w:val="right"/>
              <w:rPr>
                <w:rFonts w:ascii="Times New Roman"/>
                <w:sz w:val="21"/>
              </w:rPr>
            </w:pPr>
            <w:r>
              <w:rPr>
                <w:rFonts w:ascii="Times New Roman"/>
                <w:w w:val="100"/>
                <w:sz w:val="21"/>
              </w:rPr>
              <w:t>-</w:t>
            </w:r>
          </w:p>
        </w:tc>
        <w:tc>
          <w:tcPr>
            <w:tcW w:w="1110" w:type="dxa"/>
          </w:tcPr>
          <w:p>
            <w:pPr>
              <w:pStyle w:val="TableParagraph"/>
              <w:spacing w:line="237" w:lineRule="exact"/>
              <w:ind w:right="92"/>
              <w:jc w:val="right"/>
              <w:rPr>
                <w:rFonts w:ascii="Times New Roman"/>
                <w:sz w:val="21"/>
              </w:rPr>
            </w:pPr>
            <w:r>
              <w:rPr>
                <w:rFonts w:ascii="Times New Roman"/>
                <w:w w:val="100"/>
                <w:sz w:val="21"/>
              </w:rPr>
              <w:t>-</w:t>
            </w:r>
          </w:p>
        </w:tc>
      </w:tr>
      <w:tr>
        <w:trPr>
          <w:trHeight w:val="547" w:hRule="atLeast"/>
        </w:trPr>
        <w:tc>
          <w:tcPr>
            <w:tcW w:w="1702" w:type="dxa"/>
          </w:tcPr>
          <w:p>
            <w:pPr>
              <w:pStyle w:val="TableParagraph"/>
              <w:spacing w:line="270" w:lineRule="atLeast"/>
              <w:ind w:left="107" w:right="108"/>
              <w:rPr>
                <w:sz w:val="21"/>
              </w:rPr>
            </w:pPr>
            <w:r>
              <w:rPr>
                <w:sz w:val="21"/>
              </w:rPr>
              <w:t>富甲智创(深圳)</w:t>
            </w:r>
            <w:r>
              <w:rPr>
                <w:spacing w:val="-102"/>
                <w:sz w:val="21"/>
              </w:rPr>
              <w:t> </w:t>
            </w:r>
            <w:r>
              <w:rPr>
                <w:sz w:val="21"/>
              </w:rPr>
              <w:t>科技有限公司 </w:t>
            </w:r>
          </w:p>
        </w:tc>
        <w:tc>
          <w:tcPr>
            <w:tcW w:w="1299" w:type="dxa"/>
          </w:tcPr>
          <w:p>
            <w:pPr>
              <w:pStyle w:val="TableParagraph"/>
              <w:spacing w:line="237" w:lineRule="exact"/>
              <w:ind w:right="94"/>
              <w:jc w:val="right"/>
              <w:rPr>
                <w:rFonts w:ascii="Times New Roman"/>
                <w:sz w:val="21"/>
              </w:rPr>
            </w:pPr>
            <w:r>
              <w:rPr>
                <w:rFonts w:ascii="Times New Roman"/>
                <w:sz w:val="21"/>
              </w:rPr>
              <w:t>60,000</w:t>
            </w:r>
          </w:p>
        </w:tc>
        <w:tc>
          <w:tcPr>
            <w:tcW w:w="1190" w:type="dxa"/>
          </w:tcPr>
          <w:p>
            <w:pPr>
              <w:pStyle w:val="TableParagraph"/>
              <w:spacing w:before="147"/>
              <w:ind w:right="95"/>
              <w:jc w:val="right"/>
              <w:rPr>
                <w:rFonts w:ascii="Times New Roman"/>
                <w:sz w:val="21"/>
              </w:rPr>
            </w:pPr>
            <w:r>
              <w:rPr>
                <w:rFonts w:ascii="Times New Roman"/>
                <w:w w:val="100"/>
                <w:sz w:val="21"/>
              </w:rPr>
              <w:t>-</w:t>
            </w:r>
          </w:p>
        </w:tc>
        <w:tc>
          <w:tcPr>
            <w:tcW w:w="1111" w:type="dxa"/>
          </w:tcPr>
          <w:p>
            <w:pPr>
              <w:pStyle w:val="TableParagraph"/>
              <w:spacing w:before="147"/>
              <w:ind w:right="94"/>
              <w:jc w:val="right"/>
              <w:rPr>
                <w:rFonts w:ascii="Times New Roman"/>
                <w:sz w:val="21"/>
              </w:rPr>
            </w:pPr>
            <w:r>
              <w:rPr>
                <w:rFonts w:ascii="Times New Roman"/>
                <w:w w:val="100"/>
                <w:sz w:val="21"/>
              </w:rPr>
              <w:t>-</w:t>
            </w:r>
          </w:p>
        </w:tc>
        <w:tc>
          <w:tcPr>
            <w:tcW w:w="1298" w:type="dxa"/>
          </w:tcPr>
          <w:p>
            <w:pPr>
              <w:pStyle w:val="TableParagraph"/>
              <w:spacing w:before="147"/>
              <w:ind w:right="95"/>
              <w:jc w:val="right"/>
              <w:rPr>
                <w:rFonts w:ascii="Times New Roman"/>
                <w:sz w:val="21"/>
              </w:rPr>
            </w:pPr>
            <w:r>
              <w:rPr>
                <w:rFonts w:ascii="Times New Roman"/>
                <w:sz w:val="21"/>
              </w:rPr>
              <w:t>60,000</w:t>
            </w:r>
          </w:p>
        </w:tc>
        <w:tc>
          <w:tcPr>
            <w:tcW w:w="1111" w:type="dxa"/>
          </w:tcPr>
          <w:p>
            <w:pPr>
              <w:pStyle w:val="TableParagraph"/>
              <w:spacing w:line="237" w:lineRule="exact"/>
              <w:ind w:right="96"/>
              <w:jc w:val="right"/>
              <w:rPr>
                <w:rFonts w:ascii="Times New Roman"/>
                <w:sz w:val="21"/>
              </w:rPr>
            </w:pPr>
            <w:r>
              <w:rPr>
                <w:rFonts w:ascii="Times New Roman"/>
                <w:w w:val="100"/>
                <w:sz w:val="21"/>
              </w:rPr>
              <w:t>-</w:t>
            </w:r>
          </w:p>
        </w:tc>
        <w:tc>
          <w:tcPr>
            <w:tcW w:w="1110" w:type="dxa"/>
          </w:tcPr>
          <w:p>
            <w:pPr>
              <w:pStyle w:val="TableParagraph"/>
              <w:spacing w:line="237" w:lineRule="exact"/>
              <w:ind w:right="92"/>
              <w:jc w:val="right"/>
              <w:rPr>
                <w:rFonts w:ascii="Times New Roman"/>
                <w:sz w:val="21"/>
              </w:rPr>
            </w:pPr>
            <w:r>
              <w:rPr>
                <w:rFonts w:ascii="Times New Roman"/>
                <w:w w:val="100"/>
                <w:sz w:val="21"/>
              </w:rPr>
              <w:t>-</w:t>
            </w:r>
          </w:p>
        </w:tc>
      </w:tr>
      <w:tr>
        <w:trPr>
          <w:trHeight w:val="270" w:hRule="atLeast"/>
        </w:trPr>
        <w:tc>
          <w:tcPr>
            <w:tcW w:w="1702" w:type="dxa"/>
          </w:tcPr>
          <w:p>
            <w:pPr>
              <w:pStyle w:val="TableParagraph"/>
              <w:spacing w:line="250" w:lineRule="exact" w:before="1"/>
              <w:ind w:left="640"/>
              <w:rPr>
                <w:sz w:val="21"/>
              </w:rPr>
            </w:pPr>
            <w:r>
              <w:rPr>
                <w:sz w:val="21"/>
              </w:rPr>
              <w:t>合计 </w:t>
            </w:r>
          </w:p>
        </w:tc>
        <w:tc>
          <w:tcPr>
            <w:tcW w:w="1299" w:type="dxa"/>
          </w:tcPr>
          <w:p>
            <w:pPr>
              <w:pStyle w:val="TableParagraph"/>
              <w:spacing w:line="235" w:lineRule="exact"/>
              <w:ind w:right="94"/>
              <w:jc w:val="right"/>
              <w:rPr>
                <w:rFonts w:ascii="Times New Roman"/>
                <w:sz w:val="21"/>
              </w:rPr>
            </w:pPr>
            <w:r>
              <w:rPr>
                <w:rFonts w:ascii="Times New Roman"/>
                <w:sz w:val="21"/>
              </w:rPr>
              <w:t>46,145,768</w:t>
            </w:r>
          </w:p>
        </w:tc>
        <w:tc>
          <w:tcPr>
            <w:tcW w:w="1190" w:type="dxa"/>
          </w:tcPr>
          <w:p>
            <w:pPr>
              <w:pStyle w:val="TableParagraph"/>
              <w:spacing w:before="7"/>
              <w:ind w:right="93"/>
              <w:jc w:val="right"/>
              <w:rPr>
                <w:rFonts w:ascii="Times New Roman"/>
                <w:sz w:val="21"/>
              </w:rPr>
            </w:pPr>
            <w:r>
              <w:rPr>
                <w:rFonts w:ascii="Times New Roman"/>
                <w:sz w:val="21"/>
              </w:rPr>
              <w:t>6,135,614</w:t>
            </w:r>
          </w:p>
        </w:tc>
        <w:tc>
          <w:tcPr>
            <w:tcW w:w="1111" w:type="dxa"/>
          </w:tcPr>
          <w:p>
            <w:pPr>
              <w:pStyle w:val="TableParagraph"/>
              <w:spacing w:before="7"/>
              <w:ind w:right="95"/>
              <w:jc w:val="right"/>
              <w:rPr>
                <w:rFonts w:ascii="Times New Roman"/>
                <w:sz w:val="21"/>
              </w:rPr>
            </w:pPr>
            <w:r>
              <w:rPr>
                <w:rFonts w:ascii="Times New Roman"/>
                <w:sz w:val="21"/>
              </w:rPr>
              <w:t>-2,477</w:t>
            </w:r>
          </w:p>
        </w:tc>
        <w:tc>
          <w:tcPr>
            <w:tcW w:w="1298" w:type="dxa"/>
          </w:tcPr>
          <w:p>
            <w:pPr>
              <w:pStyle w:val="TableParagraph"/>
              <w:spacing w:before="7"/>
              <w:ind w:right="95"/>
              <w:jc w:val="right"/>
              <w:rPr>
                <w:rFonts w:ascii="Times New Roman"/>
                <w:sz w:val="21"/>
              </w:rPr>
            </w:pPr>
            <w:r>
              <w:rPr>
                <w:rFonts w:ascii="Times New Roman"/>
                <w:sz w:val="21"/>
              </w:rPr>
              <w:t>52,278,905</w:t>
            </w:r>
          </w:p>
        </w:tc>
        <w:tc>
          <w:tcPr>
            <w:tcW w:w="1111" w:type="dxa"/>
          </w:tcPr>
          <w:p>
            <w:pPr>
              <w:pStyle w:val="TableParagraph"/>
              <w:spacing w:line="235" w:lineRule="exact"/>
              <w:ind w:right="96"/>
              <w:jc w:val="right"/>
              <w:rPr>
                <w:rFonts w:ascii="Times New Roman"/>
                <w:sz w:val="21"/>
              </w:rPr>
            </w:pPr>
            <w:r>
              <w:rPr>
                <w:rFonts w:ascii="Times New Roman"/>
                <w:w w:val="100"/>
                <w:sz w:val="21"/>
              </w:rPr>
              <w:t>-</w:t>
            </w:r>
          </w:p>
        </w:tc>
        <w:tc>
          <w:tcPr>
            <w:tcW w:w="1110" w:type="dxa"/>
          </w:tcPr>
          <w:p>
            <w:pPr>
              <w:pStyle w:val="TableParagraph"/>
              <w:spacing w:line="235" w:lineRule="exact"/>
              <w:ind w:right="92"/>
              <w:jc w:val="right"/>
              <w:rPr>
                <w:rFonts w:ascii="Times New Roman"/>
                <w:sz w:val="21"/>
              </w:rPr>
            </w:pPr>
            <w:r>
              <w:rPr>
                <w:rFonts w:ascii="Times New Roman"/>
                <w:w w:val="100"/>
                <w:sz w:val="21"/>
              </w:rPr>
              <w:t>-</w:t>
            </w:r>
          </w:p>
        </w:tc>
      </w:tr>
    </w:tbl>
    <w:p>
      <w:pPr>
        <w:pStyle w:val="BodyText"/>
        <w:spacing w:before="1"/>
      </w:pPr>
      <w:r>
        <w:rPr>
          <w:w w:val="100"/>
        </w:rPr>
        <w:t> </w:t>
      </w:r>
    </w:p>
    <w:p>
      <w:pPr>
        <w:spacing w:after="0"/>
        <w:sectPr>
          <w:pgSz w:w="11910" w:h="16840"/>
          <w:pgMar w:header="882" w:footer="1195" w:top="1120" w:bottom="1380" w:left="1480" w:right="0"/>
        </w:sectPr>
      </w:pPr>
    </w:p>
    <w:p>
      <w:pPr>
        <w:pStyle w:val="BodyText"/>
        <w:ind w:left="0"/>
        <w:rPr>
          <w:sz w:val="20"/>
        </w:rPr>
      </w:pPr>
    </w:p>
    <w:p>
      <w:pPr>
        <w:pStyle w:val="BodyText"/>
        <w:spacing w:before="8"/>
        <w:ind w:left="0"/>
        <w:rPr>
          <w:sz w:val="22"/>
        </w:rPr>
      </w:pPr>
    </w:p>
    <w:p>
      <w:pPr>
        <w:pStyle w:val="BodyText"/>
        <w:spacing w:before="72"/>
        <w:ind w:left="100"/>
      </w:pPr>
      <w:r>
        <w:rPr>
          <w:w w:val="100"/>
        </w:rPr>
        <w:t> </w:t>
      </w:r>
    </w:p>
    <w:p>
      <w:pPr>
        <w:pStyle w:val="BodyText"/>
        <w:spacing w:before="62"/>
        <w:ind w:left="100"/>
      </w:pPr>
      <w:r>
        <w:rPr/>
        <w:t>(2). 联营、合营企业投资 </w:t>
      </w:r>
    </w:p>
    <w:p>
      <w:pPr>
        <w:pStyle w:val="BodyText"/>
        <w:spacing w:before="65"/>
        <w:ind w:left="100"/>
      </w:pPr>
      <w:r>
        <w:rPr/>
        <w:t>√适用 □不适用</w:t>
      </w:r>
      <w:r>
        <w:rPr>
          <w:spacing w:val="-3"/>
        </w:rPr>
        <w:t> </w:t>
      </w:r>
      <w:r>
        <w:rPr/>
        <w:t> </w:t>
      </w:r>
    </w:p>
    <w:p>
      <w:pPr>
        <w:pStyle w:val="BodyText"/>
        <w:spacing w:before="2" w:after="4"/>
        <w:ind w:left="11451"/>
      </w:pPr>
      <w:r>
        <w:rPr>
          <w:spacing w:val="7"/>
        </w:rPr>
        <w:t>单位：千元 币种：人民币</w:t>
      </w:r>
      <w:r>
        <w:rPr/>
        <w:t> </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1286"/>
        <w:gridCol w:w="1276"/>
        <w:gridCol w:w="787"/>
        <w:gridCol w:w="1204"/>
        <w:gridCol w:w="1082"/>
        <w:gridCol w:w="1090"/>
        <w:gridCol w:w="1200"/>
        <w:gridCol w:w="1188"/>
        <w:gridCol w:w="961"/>
        <w:gridCol w:w="1416"/>
        <w:gridCol w:w="1094"/>
      </w:tblGrid>
      <w:tr>
        <w:trPr>
          <w:trHeight w:val="270" w:hRule="atLeast"/>
        </w:trPr>
        <w:tc>
          <w:tcPr>
            <w:tcW w:w="1260" w:type="dxa"/>
            <w:vMerge w:val="restart"/>
          </w:tcPr>
          <w:p>
            <w:pPr>
              <w:pStyle w:val="TableParagraph"/>
              <w:spacing w:before="7"/>
              <w:rPr>
                <w:sz w:val="21"/>
              </w:rPr>
            </w:pPr>
          </w:p>
          <w:p>
            <w:pPr>
              <w:pStyle w:val="TableParagraph"/>
              <w:spacing w:line="244" w:lineRule="auto" w:before="1"/>
              <w:ind w:left="420" w:right="302"/>
              <w:rPr>
                <w:sz w:val="21"/>
              </w:rPr>
            </w:pPr>
            <w:r>
              <w:rPr>
                <w:sz w:val="21"/>
              </w:rPr>
              <w:t>投资单位 </w:t>
            </w:r>
          </w:p>
        </w:tc>
        <w:tc>
          <w:tcPr>
            <w:tcW w:w="1286" w:type="dxa"/>
            <w:vMerge w:val="restart"/>
          </w:tcPr>
          <w:p>
            <w:pPr>
              <w:pStyle w:val="TableParagraph"/>
              <w:spacing w:before="7"/>
              <w:rPr>
                <w:sz w:val="21"/>
              </w:rPr>
            </w:pPr>
          </w:p>
          <w:p>
            <w:pPr>
              <w:pStyle w:val="TableParagraph"/>
              <w:spacing w:line="244" w:lineRule="auto" w:before="1"/>
              <w:ind w:left="434" w:right="313"/>
              <w:rPr>
                <w:sz w:val="21"/>
              </w:rPr>
            </w:pPr>
            <w:r>
              <w:rPr>
                <w:sz w:val="21"/>
              </w:rPr>
              <w:t>期初余额 </w:t>
            </w:r>
          </w:p>
        </w:tc>
        <w:tc>
          <w:tcPr>
            <w:tcW w:w="8788" w:type="dxa"/>
            <w:gridSpan w:val="8"/>
          </w:tcPr>
          <w:p>
            <w:pPr>
              <w:pStyle w:val="TableParagraph"/>
              <w:spacing w:line="250" w:lineRule="exact" w:before="1"/>
              <w:ind w:left="3800" w:right="3684"/>
              <w:jc w:val="center"/>
              <w:rPr>
                <w:sz w:val="21"/>
              </w:rPr>
            </w:pPr>
            <w:r>
              <w:rPr>
                <w:spacing w:val="-1"/>
                <w:sz w:val="21"/>
              </w:rPr>
              <w:t>本期增减变动</w:t>
            </w:r>
            <w:r>
              <w:rPr>
                <w:sz w:val="21"/>
              </w:rPr>
              <w:t> </w:t>
            </w:r>
          </w:p>
        </w:tc>
        <w:tc>
          <w:tcPr>
            <w:tcW w:w="1416" w:type="dxa"/>
            <w:vMerge w:val="restart"/>
          </w:tcPr>
          <w:p>
            <w:pPr>
              <w:pStyle w:val="TableParagraph"/>
              <w:spacing w:before="7"/>
              <w:rPr>
                <w:sz w:val="21"/>
              </w:rPr>
            </w:pPr>
          </w:p>
          <w:p>
            <w:pPr>
              <w:pStyle w:val="TableParagraph"/>
              <w:spacing w:line="244" w:lineRule="auto" w:before="1"/>
              <w:ind w:left="502" w:right="376"/>
              <w:rPr>
                <w:sz w:val="21"/>
              </w:rPr>
            </w:pPr>
            <w:r>
              <w:rPr>
                <w:sz w:val="21"/>
              </w:rPr>
              <w:t>期末余额 </w:t>
            </w:r>
          </w:p>
        </w:tc>
        <w:tc>
          <w:tcPr>
            <w:tcW w:w="1094" w:type="dxa"/>
            <w:vMerge w:val="restart"/>
          </w:tcPr>
          <w:p>
            <w:pPr>
              <w:pStyle w:val="TableParagraph"/>
              <w:spacing w:before="7"/>
              <w:rPr>
                <w:sz w:val="21"/>
              </w:rPr>
            </w:pPr>
          </w:p>
          <w:p>
            <w:pPr>
              <w:pStyle w:val="TableParagraph"/>
              <w:spacing w:line="244" w:lineRule="auto" w:before="1"/>
              <w:ind w:left="130" w:right="6"/>
              <w:rPr>
                <w:sz w:val="21"/>
              </w:rPr>
            </w:pPr>
            <w:r>
              <w:rPr>
                <w:sz w:val="21"/>
              </w:rPr>
              <w:t>减值准备期末余额 </w:t>
            </w:r>
          </w:p>
        </w:tc>
      </w:tr>
      <w:tr>
        <w:trPr>
          <w:trHeight w:val="818" w:hRule="atLeast"/>
        </w:trPr>
        <w:tc>
          <w:tcPr>
            <w:tcW w:w="1260" w:type="dxa"/>
            <w:vMerge/>
            <w:tcBorders>
              <w:top w:val="nil"/>
            </w:tcBorders>
          </w:tcPr>
          <w:p>
            <w:pPr>
              <w:rPr>
                <w:sz w:val="2"/>
                <w:szCs w:val="2"/>
              </w:rPr>
            </w:pPr>
          </w:p>
        </w:tc>
        <w:tc>
          <w:tcPr>
            <w:tcW w:w="1286" w:type="dxa"/>
            <w:vMerge/>
            <w:tcBorders>
              <w:top w:val="nil"/>
            </w:tcBorders>
          </w:tcPr>
          <w:p>
            <w:pPr>
              <w:rPr>
                <w:sz w:val="2"/>
                <w:szCs w:val="2"/>
              </w:rPr>
            </w:pPr>
          </w:p>
        </w:tc>
        <w:tc>
          <w:tcPr>
            <w:tcW w:w="1276" w:type="dxa"/>
          </w:tcPr>
          <w:p>
            <w:pPr>
              <w:pStyle w:val="TableParagraph"/>
              <w:spacing w:before="6"/>
              <w:rPr>
                <w:sz w:val="21"/>
              </w:rPr>
            </w:pPr>
          </w:p>
          <w:p>
            <w:pPr>
              <w:pStyle w:val="TableParagraph"/>
              <w:ind w:left="218"/>
              <w:rPr>
                <w:sz w:val="21"/>
              </w:rPr>
            </w:pPr>
            <w:r>
              <w:rPr>
                <w:spacing w:val="-1"/>
                <w:sz w:val="21"/>
              </w:rPr>
              <w:t>追加投资</w:t>
            </w:r>
            <w:r>
              <w:rPr>
                <w:sz w:val="21"/>
              </w:rPr>
              <w:t> </w:t>
            </w:r>
          </w:p>
        </w:tc>
        <w:tc>
          <w:tcPr>
            <w:tcW w:w="787" w:type="dxa"/>
          </w:tcPr>
          <w:p>
            <w:pPr>
              <w:pStyle w:val="TableParagraph"/>
              <w:spacing w:line="244" w:lineRule="auto" w:before="138"/>
              <w:ind w:left="184" w:right="66"/>
              <w:rPr>
                <w:sz w:val="21"/>
              </w:rPr>
            </w:pPr>
            <w:r>
              <w:rPr>
                <w:sz w:val="21"/>
              </w:rPr>
              <w:t>减少投资 </w:t>
            </w:r>
          </w:p>
        </w:tc>
        <w:tc>
          <w:tcPr>
            <w:tcW w:w="1204" w:type="dxa"/>
          </w:tcPr>
          <w:p>
            <w:pPr>
              <w:pStyle w:val="TableParagraph"/>
              <w:spacing w:before="1"/>
              <w:ind w:left="184"/>
              <w:rPr>
                <w:sz w:val="21"/>
              </w:rPr>
            </w:pPr>
            <w:r>
              <w:rPr>
                <w:sz w:val="21"/>
              </w:rPr>
              <w:t>权益法下</w:t>
            </w:r>
          </w:p>
          <w:p>
            <w:pPr>
              <w:pStyle w:val="TableParagraph"/>
              <w:spacing w:line="270" w:lineRule="atLeast"/>
              <w:ind w:left="287" w:right="164" w:hanging="104"/>
              <w:rPr>
                <w:sz w:val="21"/>
              </w:rPr>
            </w:pPr>
            <w:r>
              <w:rPr>
                <w:sz w:val="21"/>
              </w:rPr>
              <w:t>确认的投资损益 </w:t>
            </w:r>
          </w:p>
        </w:tc>
        <w:tc>
          <w:tcPr>
            <w:tcW w:w="1082" w:type="dxa"/>
          </w:tcPr>
          <w:p>
            <w:pPr>
              <w:pStyle w:val="TableParagraph"/>
              <w:spacing w:line="244" w:lineRule="auto" w:before="138"/>
              <w:ind w:left="122" w:right="1"/>
              <w:rPr>
                <w:sz w:val="21"/>
              </w:rPr>
            </w:pPr>
            <w:r>
              <w:rPr>
                <w:sz w:val="21"/>
              </w:rPr>
              <w:t>其他综合收益调整 </w:t>
            </w:r>
          </w:p>
        </w:tc>
        <w:tc>
          <w:tcPr>
            <w:tcW w:w="1090" w:type="dxa"/>
          </w:tcPr>
          <w:p>
            <w:pPr>
              <w:pStyle w:val="TableParagraph"/>
              <w:spacing w:line="244" w:lineRule="auto" w:before="138"/>
              <w:ind w:left="336" w:right="109" w:hanging="212"/>
              <w:rPr>
                <w:sz w:val="21"/>
              </w:rPr>
            </w:pPr>
            <w:r>
              <w:rPr>
                <w:sz w:val="21"/>
              </w:rPr>
              <w:t>其他权益变动 </w:t>
            </w:r>
          </w:p>
        </w:tc>
        <w:tc>
          <w:tcPr>
            <w:tcW w:w="1200" w:type="dxa"/>
          </w:tcPr>
          <w:p>
            <w:pPr>
              <w:pStyle w:val="TableParagraph"/>
              <w:spacing w:before="1"/>
              <w:ind w:left="183"/>
              <w:rPr>
                <w:sz w:val="21"/>
              </w:rPr>
            </w:pPr>
            <w:r>
              <w:rPr>
                <w:sz w:val="21"/>
              </w:rPr>
              <w:t>宣告发放</w:t>
            </w:r>
          </w:p>
          <w:p>
            <w:pPr>
              <w:pStyle w:val="TableParagraph"/>
              <w:spacing w:line="270" w:lineRule="atLeast"/>
              <w:ind w:left="288" w:right="162" w:hanging="106"/>
              <w:rPr>
                <w:sz w:val="21"/>
              </w:rPr>
            </w:pPr>
            <w:r>
              <w:rPr>
                <w:spacing w:val="-1"/>
                <w:sz w:val="21"/>
              </w:rPr>
              <w:t>现金股利</w:t>
            </w:r>
            <w:r>
              <w:rPr>
                <w:sz w:val="21"/>
              </w:rPr>
              <w:t>或利润 </w:t>
            </w:r>
          </w:p>
        </w:tc>
        <w:tc>
          <w:tcPr>
            <w:tcW w:w="1188" w:type="dxa"/>
          </w:tcPr>
          <w:p>
            <w:pPr>
              <w:pStyle w:val="TableParagraph"/>
              <w:spacing w:line="244" w:lineRule="auto" w:before="138"/>
              <w:ind w:left="387" w:right="157" w:hanging="212"/>
              <w:rPr>
                <w:sz w:val="21"/>
              </w:rPr>
            </w:pPr>
            <w:r>
              <w:rPr>
                <w:spacing w:val="-1"/>
                <w:sz w:val="21"/>
              </w:rPr>
              <w:t>计提减值</w:t>
            </w:r>
            <w:r>
              <w:rPr>
                <w:sz w:val="21"/>
              </w:rPr>
              <w:t>准备 </w:t>
            </w:r>
          </w:p>
        </w:tc>
        <w:tc>
          <w:tcPr>
            <w:tcW w:w="961" w:type="dxa"/>
          </w:tcPr>
          <w:p>
            <w:pPr>
              <w:pStyle w:val="TableParagraph"/>
              <w:spacing w:before="6"/>
              <w:rPr>
                <w:sz w:val="21"/>
              </w:rPr>
            </w:pPr>
          </w:p>
          <w:p>
            <w:pPr>
              <w:pStyle w:val="TableParagraph"/>
              <w:ind w:left="272"/>
              <w:rPr>
                <w:sz w:val="21"/>
              </w:rPr>
            </w:pPr>
            <w:r>
              <w:rPr>
                <w:sz w:val="21"/>
              </w:rPr>
              <w:t>其他 </w:t>
            </w:r>
          </w:p>
        </w:tc>
        <w:tc>
          <w:tcPr>
            <w:tcW w:w="1416" w:type="dxa"/>
            <w:vMerge/>
            <w:tcBorders>
              <w:top w:val="nil"/>
            </w:tcBorders>
          </w:tcPr>
          <w:p>
            <w:pPr>
              <w:rPr>
                <w:sz w:val="2"/>
                <w:szCs w:val="2"/>
              </w:rPr>
            </w:pPr>
          </w:p>
        </w:tc>
        <w:tc>
          <w:tcPr>
            <w:tcW w:w="1094" w:type="dxa"/>
            <w:vMerge/>
            <w:tcBorders>
              <w:top w:val="nil"/>
            </w:tcBorders>
          </w:tcPr>
          <w:p>
            <w:pPr>
              <w:rPr>
                <w:sz w:val="2"/>
                <w:szCs w:val="2"/>
              </w:rPr>
            </w:pPr>
          </w:p>
        </w:tc>
      </w:tr>
      <w:tr>
        <w:trPr>
          <w:trHeight w:val="273" w:hRule="atLeast"/>
        </w:trPr>
        <w:tc>
          <w:tcPr>
            <w:tcW w:w="13844" w:type="dxa"/>
            <w:gridSpan w:val="12"/>
          </w:tcPr>
          <w:p>
            <w:pPr>
              <w:pStyle w:val="TableParagraph"/>
              <w:spacing w:line="252" w:lineRule="exact" w:before="1"/>
              <w:ind w:left="107"/>
              <w:rPr>
                <w:sz w:val="21"/>
              </w:rPr>
            </w:pPr>
            <w:r>
              <w:rPr>
                <w:spacing w:val="-1"/>
                <w:sz w:val="21"/>
              </w:rPr>
              <w:t>一、合营企业</w:t>
            </w:r>
            <w:r>
              <w:rPr>
                <w:sz w:val="21"/>
              </w:rPr>
              <w:t> </w:t>
            </w:r>
          </w:p>
        </w:tc>
      </w:tr>
      <w:tr>
        <w:trPr>
          <w:trHeight w:val="270" w:hRule="atLeast"/>
        </w:trPr>
        <w:tc>
          <w:tcPr>
            <w:tcW w:w="1260" w:type="dxa"/>
          </w:tcPr>
          <w:p>
            <w:pPr>
              <w:pStyle w:val="TableParagraph"/>
              <w:spacing w:line="250" w:lineRule="exact" w:before="1"/>
              <w:ind w:left="107"/>
              <w:rPr>
                <w:sz w:val="21"/>
              </w:rPr>
            </w:pPr>
            <w:r>
              <w:rPr>
                <w:w w:val="100"/>
                <w:sz w:val="21"/>
              </w:rPr>
              <w:t> </w:t>
            </w:r>
          </w:p>
        </w:tc>
        <w:tc>
          <w:tcPr>
            <w:tcW w:w="1286" w:type="dxa"/>
          </w:tcPr>
          <w:p>
            <w:pPr>
              <w:pStyle w:val="TableParagraph"/>
              <w:spacing w:line="250" w:lineRule="exact" w:before="1"/>
              <w:ind w:right="-15"/>
              <w:jc w:val="right"/>
              <w:rPr>
                <w:sz w:val="21"/>
              </w:rPr>
            </w:pPr>
            <w:r>
              <w:rPr>
                <w:w w:val="100"/>
                <w:sz w:val="21"/>
              </w:rPr>
              <w:t> </w:t>
            </w:r>
          </w:p>
        </w:tc>
        <w:tc>
          <w:tcPr>
            <w:tcW w:w="1276" w:type="dxa"/>
          </w:tcPr>
          <w:p>
            <w:pPr>
              <w:pStyle w:val="TableParagraph"/>
              <w:spacing w:line="250" w:lineRule="exact" w:before="1"/>
              <w:ind w:right="-15"/>
              <w:jc w:val="right"/>
              <w:rPr>
                <w:sz w:val="21"/>
              </w:rPr>
            </w:pPr>
            <w:r>
              <w:rPr>
                <w:w w:val="100"/>
                <w:sz w:val="21"/>
              </w:rPr>
              <w:t> </w:t>
            </w:r>
          </w:p>
        </w:tc>
        <w:tc>
          <w:tcPr>
            <w:tcW w:w="787" w:type="dxa"/>
          </w:tcPr>
          <w:p>
            <w:pPr>
              <w:pStyle w:val="TableParagraph"/>
              <w:spacing w:line="250" w:lineRule="exact" w:before="1"/>
              <w:ind w:right="-15"/>
              <w:jc w:val="right"/>
              <w:rPr>
                <w:sz w:val="21"/>
              </w:rPr>
            </w:pPr>
            <w:r>
              <w:rPr>
                <w:w w:val="100"/>
                <w:sz w:val="21"/>
              </w:rPr>
              <w:t> </w:t>
            </w:r>
          </w:p>
        </w:tc>
        <w:tc>
          <w:tcPr>
            <w:tcW w:w="1204" w:type="dxa"/>
          </w:tcPr>
          <w:p>
            <w:pPr>
              <w:pStyle w:val="TableParagraph"/>
              <w:spacing w:line="250" w:lineRule="exact" w:before="1"/>
              <w:ind w:right="-15"/>
              <w:jc w:val="right"/>
              <w:rPr>
                <w:sz w:val="21"/>
              </w:rPr>
            </w:pPr>
            <w:r>
              <w:rPr>
                <w:w w:val="100"/>
                <w:sz w:val="21"/>
              </w:rPr>
              <w:t> </w:t>
            </w:r>
          </w:p>
        </w:tc>
        <w:tc>
          <w:tcPr>
            <w:tcW w:w="1082" w:type="dxa"/>
          </w:tcPr>
          <w:p>
            <w:pPr>
              <w:pStyle w:val="TableParagraph"/>
              <w:spacing w:line="250" w:lineRule="exact" w:before="1"/>
              <w:ind w:right="-15"/>
              <w:jc w:val="right"/>
              <w:rPr>
                <w:sz w:val="21"/>
              </w:rPr>
            </w:pPr>
            <w:r>
              <w:rPr>
                <w:w w:val="100"/>
                <w:sz w:val="21"/>
              </w:rPr>
              <w:t> </w:t>
            </w:r>
          </w:p>
        </w:tc>
        <w:tc>
          <w:tcPr>
            <w:tcW w:w="1090" w:type="dxa"/>
          </w:tcPr>
          <w:p>
            <w:pPr>
              <w:pStyle w:val="TableParagraph"/>
              <w:spacing w:line="250" w:lineRule="exact" w:before="1"/>
              <w:ind w:right="-15"/>
              <w:jc w:val="right"/>
              <w:rPr>
                <w:sz w:val="21"/>
              </w:rPr>
            </w:pPr>
            <w:r>
              <w:rPr>
                <w:w w:val="100"/>
                <w:sz w:val="21"/>
              </w:rPr>
              <w:t> </w:t>
            </w:r>
          </w:p>
        </w:tc>
        <w:tc>
          <w:tcPr>
            <w:tcW w:w="1200" w:type="dxa"/>
          </w:tcPr>
          <w:p>
            <w:pPr>
              <w:pStyle w:val="TableParagraph"/>
              <w:spacing w:line="250" w:lineRule="exact" w:before="1"/>
              <w:ind w:right="-15"/>
              <w:jc w:val="right"/>
              <w:rPr>
                <w:sz w:val="21"/>
              </w:rPr>
            </w:pPr>
            <w:r>
              <w:rPr>
                <w:w w:val="100"/>
                <w:sz w:val="21"/>
              </w:rPr>
              <w:t> </w:t>
            </w:r>
          </w:p>
        </w:tc>
        <w:tc>
          <w:tcPr>
            <w:tcW w:w="1188" w:type="dxa"/>
          </w:tcPr>
          <w:p>
            <w:pPr>
              <w:pStyle w:val="TableParagraph"/>
              <w:spacing w:line="250" w:lineRule="exact" w:before="1"/>
              <w:ind w:right="-15"/>
              <w:jc w:val="right"/>
              <w:rPr>
                <w:sz w:val="21"/>
              </w:rPr>
            </w:pPr>
            <w:r>
              <w:rPr>
                <w:w w:val="100"/>
                <w:sz w:val="21"/>
              </w:rPr>
              <w:t> </w:t>
            </w:r>
          </w:p>
        </w:tc>
        <w:tc>
          <w:tcPr>
            <w:tcW w:w="961" w:type="dxa"/>
          </w:tcPr>
          <w:p>
            <w:pPr>
              <w:pStyle w:val="TableParagraph"/>
              <w:spacing w:line="250" w:lineRule="exact" w:before="1"/>
              <w:ind w:right="-15"/>
              <w:jc w:val="right"/>
              <w:rPr>
                <w:sz w:val="21"/>
              </w:rPr>
            </w:pPr>
            <w:r>
              <w:rPr>
                <w:w w:val="100"/>
                <w:sz w:val="21"/>
              </w:rPr>
              <w:t> </w:t>
            </w:r>
          </w:p>
        </w:tc>
        <w:tc>
          <w:tcPr>
            <w:tcW w:w="1416" w:type="dxa"/>
          </w:tcPr>
          <w:p>
            <w:pPr>
              <w:pStyle w:val="TableParagraph"/>
              <w:spacing w:line="250" w:lineRule="exact" w:before="1"/>
              <w:ind w:right="-15"/>
              <w:jc w:val="right"/>
              <w:rPr>
                <w:sz w:val="21"/>
              </w:rPr>
            </w:pPr>
            <w:r>
              <w:rPr>
                <w:w w:val="100"/>
                <w:sz w:val="21"/>
              </w:rPr>
              <w:t> </w:t>
            </w:r>
          </w:p>
        </w:tc>
        <w:tc>
          <w:tcPr>
            <w:tcW w:w="1094" w:type="dxa"/>
          </w:tcPr>
          <w:p>
            <w:pPr>
              <w:pStyle w:val="TableParagraph"/>
              <w:spacing w:line="250" w:lineRule="exact" w:before="1"/>
              <w:ind w:right="-15"/>
              <w:jc w:val="right"/>
              <w:rPr>
                <w:sz w:val="21"/>
              </w:rPr>
            </w:pPr>
            <w:r>
              <w:rPr>
                <w:w w:val="100"/>
                <w:sz w:val="21"/>
              </w:rPr>
              <w:t> </w:t>
            </w:r>
          </w:p>
        </w:tc>
      </w:tr>
      <w:tr>
        <w:trPr>
          <w:trHeight w:val="273" w:hRule="atLeast"/>
        </w:trPr>
        <w:tc>
          <w:tcPr>
            <w:tcW w:w="1260" w:type="dxa"/>
          </w:tcPr>
          <w:p>
            <w:pPr>
              <w:pStyle w:val="TableParagraph"/>
              <w:spacing w:line="252" w:lineRule="exact" w:before="1"/>
              <w:ind w:left="107"/>
              <w:rPr>
                <w:sz w:val="21"/>
              </w:rPr>
            </w:pPr>
            <w:r>
              <w:rPr>
                <w:w w:val="100"/>
                <w:sz w:val="21"/>
              </w:rPr>
              <w:t> </w:t>
            </w:r>
          </w:p>
        </w:tc>
        <w:tc>
          <w:tcPr>
            <w:tcW w:w="1286" w:type="dxa"/>
          </w:tcPr>
          <w:p>
            <w:pPr>
              <w:pStyle w:val="TableParagraph"/>
              <w:spacing w:line="252" w:lineRule="exact" w:before="1"/>
              <w:ind w:right="-15"/>
              <w:jc w:val="right"/>
              <w:rPr>
                <w:sz w:val="21"/>
              </w:rPr>
            </w:pPr>
            <w:r>
              <w:rPr>
                <w:w w:val="100"/>
                <w:sz w:val="21"/>
              </w:rPr>
              <w:t> </w:t>
            </w:r>
          </w:p>
        </w:tc>
        <w:tc>
          <w:tcPr>
            <w:tcW w:w="1276" w:type="dxa"/>
          </w:tcPr>
          <w:p>
            <w:pPr>
              <w:pStyle w:val="TableParagraph"/>
              <w:spacing w:line="252" w:lineRule="exact" w:before="1"/>
              <w:ind w:right="-15"/>
              <w:jc w:val="right"/>
              <w:rPr>
                <w:sz w:val="21"/>
              </w:rPr>
            </w:pPr>
            <w:r>
              <w:rPr>
                <w:w w:val="100"/>
                <w:sz w:val="21"/>
              </w:rPr>
              <w:t> </w:t>
            </w:r>
          </w:p>
        </w:tc>
        <w:tc>
          <w:tcPr>
            <w:tcW w:w="787" w:type="dxa"/>
          </w:tcPr>
          <w:p>
            <w:pPr>
              <w:pStyle w:val="TableParagraph"/>
              <w:spacing w:line="252" w:lineRule="exact" w:before="1"/>
              <w:ind w:right="-15"/>
              <w:jc w:val="right"/>
              <w:rPr>
                <w:sz w:val="21"/>
              </w:rPr>
            </w:pPr>
            <w:r>
              <w:rPr>
                <w:w w:val="100"/>
                <w:sz w:val="21"/>
              </w:rPr>
              <w:t> </w:t>
            </w:r>
          </w:p>
        </w:tc>
        <w:tc>
          <w:tcPr>
            <w:tcW w:w="1204" w:type="dxa"/>
          </w:tcPr>
          <w:p>
            <w:pPr>
              <w:pStyle w:val="TableParagraph"/>
              <w:spacing w:line="252" w:lineRule="exact" w:before="1"/>
              <w:ind w:right="-15"/>
              <w:jc w:val="right"/>
              <w:rPr>
                <w:sz w:val="21"/>
              </w:rPr>
            </w:pPr>
            <w:r>
              <w:rPr>
                <w:w w:val="100"/>
                <w:sz w:val="21"/>
              </w:rPr>
              <w:t> </w:t>
            </w:r>
          </w:p>
        </w:tc>
        <w:tc>
          <w:tcPr>
            <w:tcW w:w="1082" w:type="dxa"/>
          </w:tcPr>
          <w:p>
            <w:pPr>
              <w:pStyle w:val="TableParagraph"/>
              <w:spacing w:line="252" w:lineRule="exact" w:before="1"/>
              <w:ind w:right="-15"/>
              <w:jc w:val="right"/>
              <w:rPr>
                <w:sz w:val="21"/>
              </w:rPr>
            </w:pPr>
            <w:r>
              <w:rPr>
                <w:w w:val="100"/>
                <w:sz w:val="21"/>
              </w:rPr>
              <w:t> </w:t>
            </w:r>
          </w:p>
        </w:tc>
        <w:tc>
          <w:tcPr>
            <w:tcW w:w="1090" w:type="dxa"/>
          </w:tcPr>
          <w:p>
            <w:pPr>
              <w:pStyle w:val="TableParagraph"/>
              <w:spacing w:line="252" w:lineRule="exact" w:before="1"/>
              <w:ind w:right="-15"/>
              <w:jc w:val="right"/>
              <w:rPr>
                <w:sz w:val="21"/>
              </w:rPr>
            </w:pPr>
            <w:r>
              <w:rPr>
                <w:w w:val="100"/>
                <w:sz w:val="21"/>
              </w:rPr>
              <w:t> </w:t>
            </w:r>
          </w:p>
        </w:tc>
        <w:tc>
          <w:tcPr>
            <w:tcW w:w="1200" w:type="dxa"/>
          </w:tcPr>
          <w:p>
            <w:pPr>
              <w:pStyle w:val="TableParagraph"/>
              <w:spacing w:line="252" w:lineRule="exact" w:before="1"/>
              <w:ind w:right="-15"/>
              <w:jc w:val="right"/>
              <w:rPr>
                <w:sz w:val="21"/>
              </w:rPr>
            </w:pPr>
            <w:r>
              <w:rPr>
                <w:w w:val="100"/>
                <w:sz w:val="21"/>
              </w:rPr>
              <w:t> </w:t>
            </w:r>
          </w:p>
        </w:tc>
        <w:tc>
          <w:tcPr>
            <w:tcW w:w="1188" w:type="dxa"/>
          </w:tcPr>
          <w:p>
            <w:pPr>
              <w:pStyle w:val="TableParagraph"/>
              <w:spacing w:line="252" w:lineRule="exact" w:before="1"/>
              <w:ind w:right="-15"/>
              <w:jc w:val="right"/>
              <w:rPr>
                <w:sz w:val="21"/>
              </w:rPr>
            </w:pPr>
            <w:r>
              <w:rPr>
                <w:w w:val="100"/>
                <w:sz w:val="21"/>
              </w:rPr>
              <w:t> </w:t>
            </w:r>
          </w:p>
        </w:tc>
        <w:tc>
          <w:tcPr>
            <w:tcW w:w="961" w:type="dxa"/>
          </w:tcPr>
          <w:p>
            <w:pPr>
              <w:pStyle w:val="TableParagraph"/>
              <w:spacing w:line="252" w:lineRule="exact" w:before="1"/>
              <w:ind w:right="-15"/>
              <w:jc w:val="right"/>
              <w:rPr>
                <w:sz w:val="21"/>
              </w:rPr>
            </w:pPr>
            <w:r>
              <w:rPr>
                <w:w w:val="100"/>
                <w:sz w:val="21"/>
              </w:rPr>
              <w:t> </w:t>
            </w:r>
          </w:p>
        </w:tc>
        <w:tc>
          <w:tcPr>
            <w:tcW w:w="1416" w:type="dxa"/>
          </w:tcPr>
          <w:p>
            <w:pPr>
              <w:pStyle w:val="TableParagraph"/>
              <w:spacing w:line="252" w:lineRule="exact" w:before="1"/>
              <w:ind w:right="-15"/>
              <w:jc w:val="right"/>
              <w:rPr>
                <w:sz w:val="21"/>
              </w:rPr>
            </w:pPr>
            <w:r>
              <w:rPr>
                <w:w w:val="100"/>
                <w:sz w:val="21"/>
              </w:rPr>
              <w:t> </w:t>
            </w:r>
          </w:p>
        </w:tc>
        <w:tc>
          <w:tcPr>
            <w:tcW w:w="1094" w:type="dxa"/>
          </w:tcPr>
          <w:p>
            <w:pPr>
              <w:pStyle w:val="TableParagraph"/>
              <w:spacing w:line="252" w:lineRule="exact" w:before="1"/>
              <w:ind w:right="-15"/>
              <w:jc w:val="right"/>
              <w:rPr>
                <w:sz w:val="21"/>
              </w:rPr>
            </w:pPr>
            <w:r>
              <w:rPr>
                <w:w w:val="100"/>
                <w:sz w:val="21"/>
              </w:rPr>
              <w:t> </w:t>
            </w:r>
          </w:p>
        </w:tc>
      </w:tr>
      <w:tr>
        <w:trPr>
          <w:trHeight w:val="270" w:hRule="atLeast"/>
        </w:trPr>
        <w:tc>
          <w:tcPr>
            <w:tcW w:w="1260" w:type="dxa"/>
          </w:tcPr>
          <w:p>
            <w:pPr>
              <w:pStyle w:val="TableParagraph"/>
              <w:spacing w:line="250" w:lineRule="exact" w:before="1"/>
              <w:ind w:left="107"/>
              <w:rPr>
                <w:sz w:val="21"/>
              </w:rPr>
            </w:pPr>
            <w:r>
              <w:rPr>
                <w:sz w:val="21"/>
              </w:rPr>
              <w:t>小计 </w:t>
            </w:r>
          </w:p>
        </w:tc>
        <w:tc>
          <w:tcPr>
            <w:tcW w:w="1286" w:type="dxa"/>
          </w:tcPr>
          <w:p>
            <w:pPr>
              <w:pStyle w:val="TableParagraph"/>
              <w:spacing w:line="250" w:lineRule="exact" w:before="1"/>
              <w:ind w:right="-15"/>
              <w:jc w:val="right"/>
              <w:rPr>
                <w:sz w:val="21"/>
              </w:rPr>
            </w:pPr>
            <w:r>
              <w:rPr>
                <w:w w:val="100"/>
                <w:sz w:val="21"/>
              </w:rPr>
              <w:t> </w:t>
            </w:r>
          </w:p>
        </w:tc>
        <w:tc>
          <w:tcPr>
            <w:tcW w:w="1276" w:type="dxa"/>
          </w:tcPr>
          <w:p>
            <w:pPr>
              <w:pStyle w:val="TableParagraph"/>
              <w:spacing w:line="250" w:lineRule="exact" w:before="1"/>
              <w:ind w:right="-15"/>
              <w:jc w:val="right"/>
              <w:rPr>
                <w:sz w:val="21"/>
              </w:rPr>
            </w:pPr>
            <w:r>
              <w:rPr>
                <w:w w:val="100"/>
                <w:sz w:val="21"/>
              </w:rPr>
              <w:t> </w:t>
            </w:r>
          </w:p>
        </w:tc>
        <w:tc>
          <w:tcPr>
            <w:tcW w:w="787" w:type="dxa"/>
          </w:tcPr>
          <w:p>
            <w:pPr>
              <w:pStyle w:val="TableParagraph"/>
              <w:spacing w:line="250" w:lineRule="exact" w:before="1"/>
              <w:ind w:right="-15"/>
              <w:jc w:val="right"/>
              <w:rPr>
                <w:sz w:val="21"/>
              </w:rPr>
            </w:pPr>
            <w:r>
              <w:rPr>
                <w:w w:val="100"/>
                <w:sz w:val="21"/>
              </w:rPr>
              <w:t> </w:t>
            </w:r>
          </w:p>
        </w:tc>
        <w:tc>
          <w:tcPr>
            <w:tcW w:w="1204" w:type="dxa"/>
          </w:tcPr>
          <w:p>
            <w:pPr>
              <w:pStyle w:val="TableParagraph"/>
              <w:spacing w:line="250" w:lineRule="exact" w:before="1"/>
              <w:ind w:right="-15"/>
              <w:jc w:val="right"/>
              <w:rPr>
                <w:sz w:val="21"/>
              </w:rPr>
            </w:pPr>
            <w:r>
              <w:rPr>
                <w:w w:val="100"/>
                <w:sz w:val="21"/>
              </w:rPr>
              <w:t> </w:t>
            </w:r>
          </w:p>
        </w:tc>
        <w:tc>
          <w:tcPr>
            <w:tcW w:w="1082" w:type="dxa"/>
          </w:tcPr>
          <w:p>
            <w:pPr>
              <w:pStyle w:val="TableParagraph"/>
              <w:spacing w:line="250" w:lineRule="exact" w:before="1"/>
              <w:ind w:right="-15"/>
              <w:jc w:val="right"/>
              <w:rPr>
                <w:sz w:val="21"/>
              </w:rPr>
            </w:pPr>
            <w:r>
              <w:rPr>
                <w:w w:val="100"/>
                <w:sz w:val="21"/>
              </w:rPr>
              <w:t> </w:t>
            </w:r>
          </w:p>
        </w:tc>
        <w:tc>
          <w:tcPr>
            <w:tcW w:w="1090" w:type="dxa"/>
          </w:tcPr>
          <w:p>
            <w:pPr>
              <w:pStyle w:val="TableParagraph"/>
              <w:spacing w:line="250" w:lineRule="exact" w:before="1"/>
              <w:ind w:right="-15"/>
              <w:jc w:val="right"/>
              <w:rPr>
                <w:sz w:val="21"/>
              </w:rPr>
            </w:pPr>
            <w:r>
              <w:rPr>
                <w:w w:val="100"/>
                <w:sz w:val="21"/>
              </w:rPr>
              <w:t> </w:t>
            </w:r>
          </w:p>
        </w:tc>
        <w:tc>
          <w:tcPr>
            <w:tcW w:w="1200" w:type="dxa"/>
          </w:tcPr>
          <w:p>
            <w:pPr>
              <w:pStyle w:val="TableParagraph"/>
              <w:spacing w:line="250" w:lineRule="exact" w:before="1"/>
              <w:ind w:right="-15"/>
              <w:jc w:val="right"/>
              <w:rPr>
                <w:sz w:val="21"/>
              </w:rPr>
            </w:pPr>
            <w:r>
              <w:rPr>
                <w:w w:val="100"/>
                <w:sz w:val="21"/>
              </w:rPr>
              <w:t> </w:t>
            </w:r>
          </w:p>
        </w:tc>
        <w:tc>
          <w:tcPr>
            <w:tcW w:w="1188" w:type="dxa"/>
          </w:tcPr>
          <w:p>
            <w:pPr>
              <w:pStyle w:val="TableParagraph"/>
              <w:spacing w:line="250" w:lineRule="exact" w:before="1"/>
              <w:ind w:right="-15"/>
              <w:jc w:val="right"/>
              <w:rPr>
                <w:sz w:val="21"/>
              </w:rPr>
            </w:pPr>
            <w:r>
              <w:rPr>
                <w:w w:val="100"/>
                <w:sz w:val="21"/>
              </w:rPr>
              <w:t> </w:t>
            </w:r>
          </w:p>
        </w:tc>
        <w:tc>
          <w:tcPr>
            <w:tcW w:w="961" w:type="dxa"/>
          </w:tcPr>
          <w:p>
            <w:pPr>
              <w:pStyle w:val="TableParagraph"/>
              <w:spacing w:line="250" w:lineRule="exact" w:before="1"/>
              <w:ind w:right="-15"/>
              <w:jc w:val="right"/>
              <w:rPr>
                <w:sz w:val="21"/>
              </w:rPr>
            </w:pPr>
            <w:r>
              <w:rPr>
                <w:w w:val="100"/>
                <w:sz w:val="21"/>
              </w:rPr>
              <w:t> </w:t>
            </w:r>
          </w:p>
        </w:tc>
        <w:tc>
          <w:tcPr>
            <w:tcW w:w="1416" w:type="dxa"/>
          </w:tcPr>
          <w:p>
            <w:pPr>
              <w:pStyle w:val="TableParagraph"/>
              <w:spacing w:line="250" w:lineRule="exact" w:before="1"/>
              <w:ind w:right="-15"/>
              <w:jc w:val="right"/>
              <w:rPr>
                <w:sz w:val="21"/>
              </w:rPr>
            </w:pPr>
            <w:r>
              <w:rPr>
                <w:w w:val="100"/>
                <w:sz w:val="21"/>
              </w:rPr>
              <w:t> </w:t>
            </w:r>
          </w:p>
        </w:tc>
        <w:tc>
          <w:tcPr>
            <w:tcW w:w="1094" w:type="dxa"/>
          </w:tcPr>
          <w:p>
            <w:pPr>
              <w:pStyle w:val="TableParagraph"/>
              <w:spacing w:line="250" w:lineRule="exact" w:before="1"/>
              <w:ind w:right="-15"/>
              <w:jc w:val="right"/>
              <w:rPr>
                <w:sz w:val="21"/>
              </w:rPr>
            </w:pPr>
            <w:r>
              <w:rPr>
                <w:w w:val="100"/>
                <w:sz w:val="21"/>
              </w:rPr>
              <w:t> </w:t>
            </w:r>
          </w:p>
        </w:tc>
      </w:tr>
      <w:tr>
        <w:trPr>
          <w:trHeight w:val="273" w:hRule="atLeast"/>
        </w:trPr>
        <w:tc>
          <w:tcPr>
            <w:tcW w:w="13844" w:type="dxa"/>
            <w:gridSpan w:val="12"/>
          </w:tcPr>
          <w:p>
            <w:pPr>
              <w:pStyle w:val="TableParagraph"/>
              <w:spacing w:line="250" w:lineRule="exact" w:before="3"/>
              <w:ind w:left="107"/>
              <w:rPr>
                <w:sz w:val="21"/>
              </w:rPr>
            </w:pPr>
            <w:r>
              <w:rPr>
                <w:spacing w:val="-1"/>
                <w:sz w:val="21"/>
              </w:rPr>
              <w:t>二、联营企业</w:t>
            </w:r>
            <w:r>
              <w:rPr>
                <w:sz w:val="21"/>
              </w:rPr>
              <w:t> </w:t>
            </w:r>
          </w:p>
        </w:tc>
      </w:tr>
      <w:tr>
        <w:trPr>
          <w:trHeight w:val="1363" w:hRule="atLeast"/>
        </w:trPr>
        <w:tc>
          <w:tcPr>
            <w:tcW w:w="1260" w:type="dxa"/>
          </w:tcPr>
          <w:p>
            <w:pPr>
              <w:pStyle w:val="TableParagraph"/>
              <w:spacing w:line="242" w:lineRule="auto" w:before="1"/>
              <w:ind w:left="107" w:right="191"/>
              <w:rPr>
                <w:sz w:val="21"/>
              </w:rPr>
            </w:pPr>
            <w:r>
              <w:rPr>
                <w:sz w:val="21"/>
              </w:rPr>
              <w:t>晟丰(广</w:t>
            </w:r>
            <w:r>
              <w:rPr>
                <w:spacing w:val="1"/>
                <w:sz w:val="21"/>
              </w:rPr>
              <w:t> </w:t>
            </w:r>
            <w:r>
              <w:rPr>
                <w:sz w:val="21"/>
              </w:rPr>
              <w:t>州)产业投资合伙企</w:t>
            </w:r>
          </w:p>
          <w:p>
            <w:pPr>
              <w:pStyle w:val="TableParagraph"/>
              <w:spacing w:line="270" w:lineRule="atLeast"/>
              <w:ind w:left="107" w:right="299"/>
              <w:rPr>
                <w:sz w:val="21"/>
              </w:rPr>
            </w:pPr>
            <w:r>
              <w:rPr>
                <w:spacing w:val="-4"/>
                <w:sz w:val="21"/>
              </w:rPr>
              <w:t>业 (有限</w:t>
            </w:r>
            <w:r>
              <w:rPr>
                <w:sz w:val="21"/>
              </w:rPr>
              <w:t>合伙) </w:t>
            </w:r>
          </w:p>
        </w:tc>
        <w:tc>
          <w:tcPr>
            <w:tcW w:w="1286" w:type="dxa"/>
          </w:tcPr>
          <w:p>
            <w:pPr>
              <w:pStyle w:val="TableParagraph"/>
              <w:spacing w:before="1"/>
              <w:ind w:right="-15"/>
              <w:jc w:val="right"/>
              <w:rPr>
                <w:sz w:val="21"/>
              </w:rPr>
            </w:pPr>
            <w:r>
              <w:rPr>
                <w:sz w:val="21"/>
              </w:rPr>
              <w:t>1,720,000 </w:t>
            </w:r>
          </w:p>
        </w:tc>
        <w:tc>
          <w:tcPr>
            <w:tcW w:w="1276" w:type="dxa"/>
          </w:tcPr>
          <w:p>
            <w:pPr>
              <w:pStyle w:val="TableParagraph"/>
              <w:spacing w:before="1"/>
              <w:ind w:right="-15"/>
              <w:jc w:val="right"/>
              <w:rPr>
                <w:sz w:val="21"/>
              </w:rPr>
            </w:pPr>
            <w:r>
              <w:rPr>
                <w:sz w:val="21"/>
              </w:rPr>
              <w:t>8,000 </w:t>
            </w:r>
          </w:p>
        </w:tc>
        <w:tc>
          <w:tcPr>
            <w:tcW w:w="787" w:type="dxa"/>
          </w:tcPr>
          <w:p>
            <w:pPr>
              <w:pStyle w:val="TableParagraph"/>
              <w:spacing w:before="1"/>
              <w:ind w:left="155"/>
              <w:rPr>
                <w:sz w:val="21"/>
              </w:rPr>
            </w:pPr>
            <w:r>
              <w:rPr>
                <w:w w:val="100"/>
                <w:sz w:val="21"/>
              </w:rPr>
              <w:t> </w:t>
            </w:r>
            <w:r>
              <w:rPr>
                <w:sz w:val="21"/>
              </w:rPr>
              <w:t> </w:t>
            </w:r>
            <w:r>
              <w:rPr>
                <w:sz w:val="21"/>
              </w:rPr>
              <w:t>- </w:t>
            </w:r>
          </w:p>
          <w:p>
            <w:pPr>
              <w:pStyle w:val="TableParagraph"/>
              <w:spacing w:before="4"/>
              <w:ind w:left="261" w:right="-15"/>
              <w:rPr>
                <w:sz w:val="21"/>
              </w:rPr>
            </w:pPr>
            <w:r>
              <w:rPr>
                <w:w w:val="100"/>
                <w:sz w:val="21"/>
              </w:rPr>
              <w:t> </w:t>
            </w:r>
            <w:r>
              <w:rPr>
                <w:sz w:val="21"/>
              </w:rPr>
              <w:t> </w:t>
            </w:r>
            <w:r>
              <w:rPr>
                <w:w w:val="100"/>
                <w:sz w:val="21"/>
              </w:rPr>
              <w:t> </w:t>
            </w:r>
            <w:r>
              <w:rPr>
                <w:spacing w:val="-2"/>
                <w:sz w:val="21"/>
              </w:rPr>
              <w:t> </w:t>
            </w:r>
            <w:r>
              <w:rPr>
                <w:w w:val="100"/>
                <w:sz w:val="21"/>
              </w:rPr>
              <w:t> </w:t>
            </w:r>
          </w:p>
        </w:tc>
        <w:tc>
          <w:tcPr>
            <w:tcW w:w="1204" w:type="dxa"/>
          </w:tcPr>
          <w:p>
            <w:pPr>
              <w:pStyle w:val="TableParagraph"/>
              <w:spacing w:before="1"/>
              <w:ind w:right="-15"/>
              <w:jc w:val="right"/>
              <w:rPr>
                <w:sz w:val="21"/>
              </w:rPr>
            </w:pPr>
            <w:r>
              <w:rPr>
                <w:sz w:val="21"/>
              </w:rPr>
              <w:t>16,029 </w:t>
            </w:r>
          </w:p>
        </w:tc>
        <w:tc>
          <w:tcPr>
            <w:tcW w:w="1082" w:type="dxa"/>
          </w:tcPr>
          <w:p>
            <w:pPr>
              <w:pStyle w:val="TableParagraph"/>
              <w:spacing w:before="1"/>
              <w:ind w:left="242"/>
              <w:rPr>
                <w:sz w:val="21"/>
              </w:rPr>
            </w:pPr>
            <w:r>
              <w:rPr>
                <w:w w:val="100"/>
                <w:sz w:val="21"/>
              </w:rPr>
              <w:t> </w:t>
            </w:r>
            <w:r>
              <w:rPr>
                <w:sz w:val="21"/>
              </w:rPr>
              <w:t> </w:t>
            </w:r>
            <w:r>
              <w:rPr>
                <w:sz w:val="21"/>
              </w:rPr>
              <w:t>- </w:t>
            </w:r>
            <w:r>
              <w:rPr>
                <w:spacing w:val="-2"/>
                <w:sz w:val="21"/>
              </w:rPr>
              <w:t> </w:t>
            </w:r>
            <w:r>
              <w:rPr>
                <w:w w:val="100"/>
                <w:sz w:val="21"/>
              </w:rPr>
              <w:t> </w:t>
            </w:r>
          </w:p>
          <w:p>
            <w:pPr>
              <w:pStyle w:val="TableParagraph"/>
              <w:spacing w:before="4"/>
              <w:ind w:left="766" w:right="-15"/>
              <w:rPr>
                <w:sz w:val="21"/>
              </w:rPr>
            </w:pPr>
            <w:r>
              <w:rPr>
                <w:w w:val="100"/>
                <w:sz w:val="21"/>
              </w:rPr>
              <w:t> </w:t>
            </w:r>
            <w:r>
              <w:rPr>
                <w:sz w:val="21"/>
              </w:rPr>
              <w:t> </w:t>
            </w:r>
            <w:r>
              <w:rPr>
                <w:w w:val="100"/>
                <w:sz w:val="21"/>
              </w:rPr>
              <w:t> </w:t>
            </w:r>
          </w:p>
        </w:tc>
        <w:tc>
          <w:tcPr>
            <w:tcW w:w="1090" w:type="dxa"/>
          </w:tcPr>
          <w:p>
            <w:pPr>
              <w:pStyle w:val="TableParagraph"/>
              <w:spacing w:before="1"/>
              <w:ind w:right="-15"/>
              <w:jc w:val="right"/>
              <w:rPr>
                <w:sz w:val="21"/>
              </w:rPr>
            </w:pPr>
            <w:r>
              <w:rPr>
                <w:w w:val="100"/>
                <w:sz w:val="21"/>
              </w:rPr>
              <w:t> </w:t>
            </w:r>
          </w:p>
        </w:tc>
        <w:tc>
          <w:tcPr>
            <w:tcW w:w="1200" w:type="dxa"/>
          </w:tcPr>
          <w:p>
            <w:pPr>
              <w:pStyle w:val="TableParagraph"/>
              <w:spacing w:before="1"/>
              <w:ind w:right="-15"/>
              <w:jc w:val="right"/>
              <w:rPr>
                <w:sz w:val="21"/>
              </w:rPr>
            </w:pPr>
            <w:r>
              <w:rPr>
                <w:w w:val="100"/>
                <w:sz w:val="21"/>
              </w:rPr>
              <w:t> </w:t>
            </w:r>
            <w:r>
              <w:rPr>
                <w:sz w:val="21"/>
              </w:rPr>
              <w:t> </w:t>
            </w:r>
            <w:r>
              <w:rPr>
                <w:sz w:val="21"/>
              </w:rPr>
              <w:t>- </w:t>
            </w:r>
            <w:r>
              <w:rPr>
                <w:spacing w:val="-2"/>
                <w:sz w:val="21"/>
              </w:rPr>
              <w:t> </w:t>
            </w:r>
            <w:r>
              <w:rPr>
                <w:w w:val="100"/>
                <w:sz w:val="21"/>
              </w:rPr>
              <w:t> </w:t>
            </w:r>
            <w:r>
              <w:rPr>
                <w:sz w:val="21"/>
              </w:rPr>
              <w:t> </w:t>
            </w:r>
            <w:r>
              <w:rPr>
                <w:w w:val="100"/>
                <w:sz w:val="21"/>
              </w:rPr>
              <w:t> </w:t>
            </w:r>
            <w:r>
              <w:rPr>
                <w:spacing w:val="-2"/>
                <w:sz w:val="21"/>
              </w:rPr>
              <w:t> </w:t>
            </w:r>
            <w:r>
              <w:rPr>
                <w:w w:val="100"/>
                <w:sz w:val="21"/>
              </w:rPr>
              <w:t> </w:t>
            </w:r>
          </w:p>
        </w:tc>
        <w:tc>
          <w:tcPr>
            <w:tcW w:w="1188" w:type="dxa"/>
          </w:tcPr>
          <w:p>
            <w:pPr>
              <w:pStyle w:val="TableParagraph"/>
              <w:spacing w:before="1"/>
              <w:ind w:right="-15"/>
              <w:jc w:val="right"/>
              <w:rPr>
                <w:sz w:val="21"/>
              </w:rPr>
            </w:pPr>
            <w:r>
              <w:rPr>
                <w:w w:val="100"/>
                <w:sz w:val="21"/>
              </w:rPr>
              <w:t> </w:t>
            </w:r>
            <w:r>
              <w:rPr>
                <w:sz w:val="21"/>
              </w:rPr>
              <w:t> </w:t>
            </w:r>
            <w:r>
              <w:rPr>
                <w:sz w:val="21"/>
              </w:rPr>
              <w:t>- </w:t>
            </w:r>
            <w:r>
              <w:rPr>
                <w:spacing w:val="-2"/>
                <w:sz w:val="21"/>
              </w:rPr>
              <w:t> </w:t>
            </w:r>
            <w:r>
              <w:rPr>
                <w:w w:val="100"/>
                <w:sz w:val="21"/>
              </w:rPr>
              <w:t> </w:t>
            </w:r>
            <w:r>
              <w:rPr>
                <w:sz w:val="21"/>
              </w:rPr>
              <w:t> </w:t>
            </w:r>
            <w:r>
              <w:rPr>
                <w:w w:val="100"/>
                <w:sz w:val="21"/>
              </w:rPr>
              <w:t> </w:t>
            </w:r>
            <w:r>
              <w:rPr>
                <w:spacing w:val="-2"/>
                <w:sz w:val="21"/>
              </w:rPr>
              <w:t> </w:t>
            </w:r>
            <w:r>
              <w:rPr>
                <w:w w:val="100"/>
                <w:sz w:val="21"/>
              </w:rPr>
              <w:t> </w:t>
            </w:r>
          </w:p>
        </w:tc>
        <w:tc>
          <w:tcPr>
            <w:tcW w:w="961" w:type="dxa"/>
          </w:tcPr>
          <w:p>
            <w:pPr>
              <w:pStyle w:val="TableParagraph"/>
              <w:spacing w:before="1"/>
              <w:ind w:left="118"/>
              <w:rPr>
                <w:sz w:val="21"/>
              </w:rPr>
            </w:pPr>
            <w:r>
              <w:rPr>
                <w:w w:val="100"/>
                <w:sz w:val="21"/>
              </w:rPr>
              <w:t> </w:t>
            </w:r>
            <w:r>
              <w:rPr>
                <w:sz w:val="21"/>
              </w:rPr>
              <w:t> </w:t>
            </w:r>
            <w:r>
              <w:rPr>
                <w:sz w:val="21"/>
              </w:rPr>
              <w:t>- </w:t>
            </w:r>
            <w:r>
              <w:rPr>
                <w:spacing w:val="-2"/>
                <w:sz w:val="21"/>
              </w:rPr>
              <w:t> </w:t>
            </w:r>
            <w:r>
              <w:rPr>
                <w:w w:val="100"/>
                <w:sz w:val="21"/>
              </w:rPr>
              <w:t> </w:t>
            </w:r>
          </w:p>
          <w:p>
            <w:pPr>
              <w:pStyle w:val="TableParagraph"/>
              <w:spacing w:before="4"/>
              <w:ind w:left="641" w:right="-15"/>
              <w:rPr>
                <w:sz w:val="21"/>
              </w:rPr>
            </w:pPr>
            <w:r>
              <w:rPr>
                <w:w w:val="100"/>
                <w:sz w:val="21"/>
              </w:rPr>
              <w:t> </w:t>
            </w:r>
            <w:r>
              <w:rPr>
                <w:spacing w:val="1"/>
                <w:sz w:val="21"/>
              </w:rPr>
              <w:t> </w:t>
            </w:r>
            <w:r>
              <w:rPr>
                <w:w w:val="100"/>
                <w:sz w:val="21"/>
              </w:rPr>
              <w:t> </w:t>
            </w:r>
          </w:p>
        </w:tc>
        <w:tc>
          <w:tcPr>
            <w:tcW w:w="1416" w:type="dxa"/>
          </w:tcPr>
          <w:p>
            <w:pPr>
              <w:pStyle w:val="TableParagraph"/>
              <w:spacing w:before="1"/>
              <w:ind w:right="-15"/>
              <w:jc w:val="right"/>
              <w:rPr>
                <w:sz w:val="21"/>
              </w:rPr>
            </w:pPr>
            <w:r>
              <w:rPr>
                <w:sz w:val="21"/>
              </w:rPr>
              <w:t>1,744,029 </w:t>
            </w:r>
          </w:p>
        </w:tc>
        <w:tc>
          <w:tcPr>
            <w:tcW w:w="1094" w:type="dxa"/>
          </w:tcPr>
          <w:p>
            <w:pPr>
              <w:pStyle w:val="TableParagraph"/>
              <w:spacing w:before="1"/>
              <w:ind w:left="255"/>
              <w:rPr>
                <w:sz w:val="21"/>
              </w:rPr>
            </w:pPr>
            <w:r>
              <w:rPr>
                <w:w w:val="100"/>
                <w:sz w:val="21"/>
              </w:rPr>
              <w:t> </w:t>
            </w:r>
            <w:r>
              <w:rPr>
                <w:sz w:val="21"/>
              </w:rPr>
              <w:t> </w:t>
            </w:r>
            <w:r>
              <w:rPr>
                <w:sz w:val="21"/>
              </w:rPr>
              <w:t>- </w:t>
            </w:r>
            <w:r>
              <w:rPr>
                <w:spacing w:val="-2"/>
                <w:sz w:val="21"/>
              </w:rPr>
              <w:t> </w:t>
            </w:r>
            <w:r>
              <w:rPr>
                <w:w w:val="100"/>
                <w:sz w:val="21"/>
              </w:rPr>
              <w:t> </w:t>
            </w:r>
          </w:p>
          <w:p>
            <w:pPr>
              <w:pStyle w:val="TableParagraph"/>
              <w:spacing w:before="4"/>
              <w:ind w:left="778" w:right="-15"/>
              <w:rPr>
                <w:sz w:val="21"/>
              </w:rPr>
            </w:pPr>
            <w:r>
              <w:rPr>
                <w:w w:val="100"/>
                <w:sz w:val="21"/>
              </w:rPr>
              <w:t> </w:t>
            </w:r>
            <w:r>
              <w:rPr>
                <w:sz w:val="21"/>
              </w:rPr>
              <w:t> </w:t>
            </w:r>
            <w:r>
              <w:rPr>
                <w:w w:val="100"/>
                <w:sz w:val="21"/>
              </w:rPr>
              <w:t> </w:t>
            </w:r>
          </w:p>
        </w:tc>
      </w:tr>
      <w:tr>
        <w:trPr>
          <w:trHeight w:val="1360" w:hRule="atLeast"/>
        </w:trPr>
        <w:tc>
          <w:tcPr>
            <w:tcW w:w="1260" w:type="dxa"/>
          </w:tcPr>
          <w:p>
            <w:pPr>
              <w:pStyle w:val="TableParagraph"/>
              <w:spacing w:line="242" w:lineRule="auto" w:before="1"/>
              <w:ind w:left="107" w:right="191"/>
              <w:rPr>
                <w:sz w:val="21"/>
              </w:rPr>
            </w:pPr>
            <w:r>
              <w:rPr>
                <w:sz w:val="21"/>
              </w:rPr>
              <w:t>兴微(广</w:t>
            </w:r>
            <w:r>
              <w:rPr>
                <w:spacing w:val="1"/>
                <w:sz w:val="21"/>
              </w:rPr>
              <w:t> </w:t>
            </w:r>
            <w:r>
              <w:rPr>
                <w:sz w:val="21"/>
              </w:rPr>
              <w:t>州)产业投资合伙企业(有限合</w:t>
            </w:r>
          </w:p>
          <w:p>
            <w:pPr>
              <w:pStyle w:val="TableParagraph"/>
              <w:spacing w:line="250" w:lineRule="exact" w:before="2"/>
              <w:ind w:left="107"/>
              <w:rPr>
                <w:sz w:val="21"/>
              </w:rPr>
            </w:pPr>
            <w:r>
              <w:rPr>
                <w:sz w:val="21"/>
              </w:rPr>
              <w:t>伙) </w:t>
            </w:r>
          </w:p>
        </w:tc>
        <w:tc>
          <w:tcPr>
            <w:tcW w:w="1286" w:type="dxa"/>
          </w:tcPr>
          <w:p>
            <w:pPr>
              <w:pStyle w:val="TableParagraph"/>
              <w:spacing w:before="1"/>
              <w:ind w:right="-15"/>
              <w:jc w:val="right"/>
              <w:rPr>
                <w:sz w:val="21"/>
              </w:rPr>
            </w:pPr>
            <w:r>
              <w:rPr>
                <w:sz w:val="21"/>
              </w:rPr>
              <w:t>- </w:t>
            </w:r>
          </w:p>
        </w:tc>
        <w:tc>
          <w:tcPr>
            <w:tcW w:w="1276" w:type="dxa"/>
          </w:tcPr>
          <w:p>
            <w:pPr>
              <w:pStyle w:val="TableParagraph"/>
              <w:spacing w:before="1"/>
              <w:ind w:right="-15"/>
              <w:jc w:val="right"/>
              <w:rPr>
                <w:sz w:val="21"/>
              </w:rPr>
            </w:pPr>
            <w:r>
              <w:rPr>
                <w:sz w:val="21"/>
              </w:rPr>
              <w:t>9,020,701 </w:t>
            </w:r>
          </w:p>
        </w:tc>
        <w:tc>
          <w:tcPr>
            <w:tcW w:w="787" w:type="dxa"/>
          </w:tcPr>
          <w:p>
            <w:pPr>
              <w:pStyle w:val="TableParagraph"/>
              <w:spacing w:before="1"/>
              <w:ind w:left="155"/>
              <w:rPr>
                <w:sz w:val="21"/>
              </w:rPr>
            </w:pPr>
            <w:r>
              <w:rPr>
                <w:w w:val="100"/>
                <w:sz w:val="21"/>
              </w:rPr>
              <w:t> </w:t>
            </w:r>
            <w:r>
              <w:rPr>
                <w:sz w:val="21"/>
              </w:rPr>
              <w:t> </w:t>
            </w:r>
            <w:r>
              <w:rPr>
                <w:sz w:val="21"/>
              </w:rPr>
              <w:t>- </w:t>
            </w:r>
          </w:p>
          <w:p>
            <w:pPr>
              <w:pStyle w:val="TableParagraph"/>
              <w:spacing w:before="2"/>
              <w:ind w:left="261" w:right="-15"/>
              <w:rPr>
                <w:sz w:val="21"/>
              </w:rPr>
            </w:pPr>
            <w:r>
              <w:rPr>
                <w:w w:val="100"/>
                <w:sz w:val="21"/>
              </w:rPr>
              <w:t> </w:t>
            </w:r>
            <w:r>
              <w:rPr>
                <w:sz w:val="21"/>
              </w:rPr>
              <w:t> </w:t>
            </w:r>
            <w:r>
              <w:rPr>
                <w:w w:val="100"/>
                <w:sz w:val="21"/>
              </w:rPr>
              <w:t> </w:t>
            </w:r>
            <w:r>
              <w:rPr>
                <w:spacing w:val="-2"/>
                <w:sz w:val="21"/>
              </w:rPr>
              <w:t> </w:t>
            </w:r>
            <w:r>
              <w:rPr>
                <w:w w:val="100"/>
                <w:sz w:val="21"/>
              </w:rPr>
              <w:t> </w:t>
            </w:r>
          </w:p>
        </w:tc>
        <w:tc>
          <w:tcPr>
            <w:tcW w:w="1204" w:type="dxa"/>
          </w:tcPr>
          <w:p>
            <w:pPr>
              <w:pStyle w:val="TableParagraph"/>
              <w:spacing w:before="1"/>
              <w:ind w:right="-15"/>
              <w:jc w:val="right"/>
              <w:rPr>
                <w:sz w:val="21"/>
              </w:rPr>
            </w:pPr>
            <w:r>
              <w:rPr>
                <w:sz w:val="21"/>
              </w:rPr>
              <w:t>- </w:t>
            </w:r>
          </w:p>
        </w:tc>
        <w:tc>
          <w:tcPr>
            <w:tcW w:w="1082" w:type="dxa"/>
          </w:tcPr>
          <w:p>
            <w:pPr>
              <w:pStyle w:val="TableParagraph"/>
              <w:spacing w:before="1"/>
              <w:ind w:left="242"/>
              <w:rPr>
                <w:sz w:val="21"/>
              </w:rPr>
            </w:pPr>
            <w:r>
              <w:rPr>
                <w:w w:val="100"/>
                <w:sz w:val="21"/>
              </w:rPr>
              <w:t> </w:t>
            </w:r>
            <w:r>
              <w:rPr>
                <w:sz w:val="21"/>
              </w:rPr>
              <w:t> </w:t>
            </w:r>
            <w:r>
              <w:rPr>
                <w:sz w:val="21"/>
              </w:rPr>
              <w:t>- </w:t>
            </w:r>
            <w:r>
              <w:rPr>
                <w:spacing w:val="-2"/>
                <w:sz w:val="21"/>
              </w:rPr>
              <w:t> </w:t>
            </w:r>
            <w:r>
              <w:rPr>
                <w:w w:val="100"/>
                <w:sz w:val="21"/>
              </w:rPr>
              <w:t> </w:t>
            </w:r>
          </w:p>
          <w:p>
            <w:pPr>
              <w:pStyle w:val="TableParagraph"/>
              <w:spacing w:before="2"/>
              <w:ind w:left="766" w:right="-15"/>
              <w:rPr>
                <w:sz w:val="21"/>
              </w:rPr>
            </w:pPr>
            <w:r>
              <w:rPr>
                <w:w w:val="100"/>
                <w:sz w:val="21"/>
              </w:rPr>
              <w:t> </w:t>
            </w:r>
            <w:r>
              <w:rPr>
                <w:sz w:val="21"/>
              </w:rPr>
              <w:t> </w:t>
            </w:r>
            <w:r>
              <w:rPr>
                <w:w w:val="100"/>
                <w:sz w:val="21"/>
              </w:rPr>
              <w:t> </w:t>
            </w:r>
          </w:p>
        </w:tc>
        <w:tc>
          <w:tcPr>
            <w:tcW w:w="1090" w:type="dxa"/>
          </w:tcPr>
          <w:p>
            <w:pPr>
              <w:pStyle w:val="TableParagraph"/>
              <w:spacing w:before="1"/>
              <w:ind w:right="-15"/>
              <w:jc w:val="right"/>
              <w:rPr>
                <w:sz w:val="21"/>
              </w:rPr>
            </w:pPr>
            <w:r>
              <w:rPr>
                <w:w w:val="100"/>
                <w:sz w:val="21"/>
              </w:rPr>
              <w:t> </w:t>
            </w:r>
          </w:p>
        </w:tc>
        <w:tc>
          <w:tcPr>
            <w:tcW w:w="1200" w:type="dxa"/>
          </w:tcPr>
          <w:p>
            <w:pPr>
              <w:pStyle w:val="TableParagraph"/>
              <w:spacing w:before="1"/>
              <w:ind w:right="-15"/>
              <w:jc w:val="right"/>
              <w:rPr>
                <w:sz w:val="21"/>
              </w:rPr>
            </w:pPr>
            <w:r>
              <w:rPr>
                <w:w w:val="100"/>
                <w:sz w:val="21"/>
              </w:rPr>
              <w:t> </w:t>
            </w:r>
            <w:r>
              <w:rPr>
                <w:sz w:val="21"/>
              </w:rPr>
              <w:t> </w:t>
            </w:r>
            <w:r>
              <w:rPr>
                <w:sz w:val="21"/>
              </w:rPr>
              <w:t>- </w:t>
            </w:r>
            <w:r>
              <w:rPr>
                <w:spacing w:val="-2"/>
                <w:sz w:val="21"/>
              </w:rPr>
              <w:t> </w:t>
            </w:r>
            <w:r>
              <w:rPr>
                <w:w w:val="100"/>
                <w:sz w:val="21"/>
              </w:rPr>
              <w:t> </w:t>
            </w:r>
            <w:r>
              <w:rPr>
                <w:sz w:val="21"/>
              </w:rPr>
              <w:t> </w:t>
            </w:r>
            <w:r>
              <w:rPr>
                <w:w w:val="100"/>
                <w:sz w:val="21"/>
              </w:rPr>
              <w:t> </w:t>
            </w:r>
            <w:r>
              <w:rPr>
                <w:spacing w:val="-2"/>
                <w:sz w:val="21"/>
              </w:rPr>
              <w:t> </w:t>
            </w:r>
            <w:r>
              <w:rPr>
                <w:w w:val="100"/>
                <w:sz w:val="21"/>
              </w:rPr>
              <w:t> </w:t>
            </w:r>
          </w:p>
        </w:tc>
        <w:tc>
          <w:tcPr>
            <w:tcW w:w="1188" w:type="dxa"/>
          </w:tcPr>
          <w:p>
            <w:pPr>
              <w:pStyle w:val="TableParagraph"/>
              <w:spacing w:before="1"/>
              <w:ind w:right="-15"/>
              <w:jc w:val="right"/>
              <w:rPr>
                <w:sz w:val="21"/>
              </w:rPr>
            </w:pPr>
            <w:r>
              <w:rPr>
                <w:w w:val="100"/>
                <w:sz w:val="21"/>
              </w:rPr>
              <w:t> </w:t>
            </w:r>
            <w:r>
              <w:rPr>
                <w:sz w:val="21"/>
              </w:rPr>
              <w:t> </w:t>
            </w:r>
            <w:r>
              <w:rPr>
                <w:sz w:val="21"/>
              </w:rPr>
              <w:t>- </w:t>
            </w:r>
            <w:r>
              <w:rPr>
                <w:spacing w:val="-2"/>
                <w:sz w:val="21"/>
              </w:rPr>
              <w:t> </w:t>
            </w:r>
            <w:r>
              <w:rPr>
                <w:w w:val="100"/>
                <w:sz w:val="21"/>
              </w:rPr>
              <w:t> </w:t>
            </w:r>
            <w:r>
              <w:rPr>
                <w:sz w:val="21"/>
              </w:rPr>
              <w:t> </w:t>
            </w:r>
            <w:r>
              <w:rPr>
                <w:w w:val="100"/>
                <w:sz w:val="21"/>
              </w:rPr>
              <w:t> </w:t>
            </w:r>
            <w:r>
              <w:rPr>
                <w:spacing w:val="-2"/>
                <w:sz w:val="21"/>
              </w:rPr>
              <w:t> </w:t>
            </w:r>
            <w:r>
              <w:rPr>
                <w:w w:val="100"/>
                <w:sz w:val="21"/>
              </w:rPr>
              <w:t> </w:t>
            </w:r>
          </w:p>
        </w:tc>
        <w:tc>
          <w:tcPr>
            <w:tcW w:w="961" w:type="dxa"/>
          </w:tcPr>
          <w:p>
            <w:pPr>
              <w:pStyle w:val="TableParagraph"/>
              <w:spacing w:before="1"/>
              <w:ind w:left="118"/>
              <w:rPr>
                <w:sz w:val="21"/>
              </w:rPr>
            </w:pPr>
            <w:r>
              <w:rPr>
                <w:w w:val="100"/>
                <w:sz w:val="21"/>
              </w:rPr>
              <w:t> </w:t>
            </w:r>
            <w:r>
              <w:rPr>
                <w:sz w:val="21"/>
              </w:rPr>
              <w:t> </w:t>
            </w:r>
            <w:r>
              <w:rPr>
                <w:sz w:val="21"/>
              </w:rPr>
              <w:t>- </w:t>
            </w:r>
            <w:r>
              <w:rPr>
                <w:spacing w:val="-2"/>
                <w:sz w:val="21"/>
              </w:rPr>
              <w:t> </w:t>
            </w:r>
            <w:r>
              <w:rPr>
                <w:w w:val="100"/>
                <w:sz w:val="21"/>
              </w:rPr>
              <w:t> </w:t>
            </w:r>
          </w:p>
          <w:p>
            <w:pPr>
              <w:pStyle w:val="TableParagraph"/>
              <w:spacing w:before="2"/>
              <w:ind w:left="641" w:right="-15"/>
              <w:rPr>
                <w:sz w:val="21"/>
              </w:rPr>
            </w:pPr>
            <w:r>
              <w:rPr>
                <w:w w:val="100"/>
                <w:sz w:val="21"/>
              </w:rPr>
              <w:t> </w:t>
            </w:r>
            <w:r>
              <w:rPr>
                <w:spacing w:val="1"/>
                <w:sz w:val="21"/>
              </w:rPr>
              <w:t> </w:t>
            </w:r>
            <w:r>
              <w:rPr>
                <w:w w:val="100"/>
                <w:sz w:val="21"/>
              </w:rPr>
              <w:t> </w:t>
            </w:r>
          </w:p>
        </w:tc>
        <w:tc>
          <w:tcPr>
            <w:tcW w:w="1416" w:type="dxa"/>
          </w:tcPr>
          <w:p>
            <w:pPr>
              <w:pStyle w:val="TableParagraph"/>
              <w:spacing w:before="1"/>
              <w:ind w:right="-15"/>
              <w:jc w:val="right"/>
              <w:rPr>
                <w:sz w:val="21"/>
              </w:rPr>
            </w:pPr>
            <w:r>
              <w:rPr>
                <w:sz w:val="21"/>
              </w:rPr>
              <w:t>9,020,701 </w:t>
            </w:r>
          </w:p>
        </w:tc>
        <w:tc>
          <w:tcPr>
            <w:tcW w:w="1094" w:type="dxa"/>
          </w:tcPr>
          <w:p>
            <w:pPr>
              <w:pStyle w:val="TableParagraph"/>
              <w:spacing w:before="1"/>
              <w:ind w:right="-15"/>
              <w:jc w:val="right"/>
              <w:rPr>
                <w:sz w:val="21"/>
              </w:rPr>
            </w:pPr>
            <w:r>
              <w:rPr>
                <w:w w:val="100"/>
                <w:sz w:val="21"/>
              </w:rPr>
              <w:t> </w:t>
            </w:r>
          </w:p>
        </w:tc>
      </w:tr>
      <w:tr>
        <w:trPr>
          <w:trHeight w:val="1089" w:hRule="atLeast"/>
        </w:trPr>
        <w:tc>
          <w:tcPr>
            <w:tcW w:w="1260" w:type="dxa"/>
          </w:tcPr>
          <w:p>
            <w:pPr>
              <w:pStyle w:val="TableParagraph"/>
              <w:spacing w:line="242" w:lineRule="auto" w:before="1"/>
              <w:ind w:left="107" w:right="191"/>
              <w:rPr>
                <w:sz w:val="21"/>
              </w:rPr>
            </w:pPr>
            <w:r>
              <w:rPr>
                <w:sz w:val="21"/>
              </w:rPr>
              <w:t>弘懿创业投资(天</w:t>
            </w:r>
            <w:r>
              <w:rPr>
                <w:spacing w:val="1"/>
                <w:sz w:val="21"/>
              </w:rPr>
              <w:t> </w:t>
            </w:r>
            <w:r>
              <w:rPr>
                <w:sz w:val="21"/>
              </w:rPr>
              <w:t>津)有限责</w:t>
            </w:r>
          </w:p>
          <w:p>
            <w:pPr>
              <w:pStyle w:val="TableParagraph"/>
              <w:spacing w:line="250" w:lineRule="exact" w:before="3"/>
              <w:ind w:left="107"/>
              <w:rPr>
                <w:sz w:val="21"/>
              </w:rPr>
            </w:pPr>
            <w:r>
              <w:rPr>
                <w:sz w:val="21"/>
              </w:rPr>
              <w:t>任公司 </w:t>
            </w:r>
          </w:p>
        </w:tc>
        <w:tc>
          <w:tcPr>
            <w:tcW w:w="1286" w:type="dxa"/>
          </w:tcPr>
          <w:p>
            <w:pPr>
              <w:pStyle w:val="TableParagraph"/>
              <w:spacing w:before="1"/>
              <w:ind w:right="-15"/>
              <w:jc w:val="right"/>
              <w:rPr>
                <w:sz w:val="21"/>
              </w:rPr>
            </w:pPr>
            <w:r>
              <w:rPr>
                <w:sz w:val="21"/>
              </w:rPr>
              <w:t>- </w:t>
            </w:r>
          </w:p>
        </w:tc>
        <w:tc>
          <w:tcPr>
            <w:tcW w:w="1276" w:type="dxa"/>
          </w:tcPr>
          <w:p>
            <w:pPr>
              <w:pStyle w:val="TableParagraph"/>
              <w:spacing w:before="1"/>
              <w:ind w:right="-15"/>
              <w:jc w:val="right"/>
              <w:rPr>
                <w:sz w:val="21"/>
              </w:rPr>
            </w:pPr>
            <w:r>
              <w:rPr>
                <w:sz w:val="21"/>
              </w:rPr>
              <w:t>4,900 </w:t>
            </w:r>
          </w:p>
        </w:tc>
        <w:tc>
          <w:tcPr>
            <w:tcW w:w="787" w:type="dxa"/>
          </w:tcPr>
          <w:p>
            <w:pPr>
              <w:pStyle w:val="TableParagraph"/>
              <w:spacing w:before="1"/>
              <w:ind w:left="155"/>
              <w:rPr>
                <w:sz w:val="21"/>
              </w:rPr>
            </w:pPr>
            <w:r>
              <w:rPr>
                <w:w w:val="100"/>
                <w:sz w:val="21"/>
              </w:rPr>
              <w:t> </w:t>
            </w:r>
            <w:r>
              <w:rPr>
                <w:sz w:val="21"/>
              </w:rPr>
              <w:t> </w:t>
            </w:r>
            <w:r>
              <w:rPr>
                <w:sz w:val="21"/>
              </w:rPr>
              <w:t>- </w:t>
            </w:r>
          </w:p>
          <w:p>
            <w:pPr>
              <w:pStyle w:val="TableParagraph"/>
              <w:spacing w:before="4"/>
              <w:ind w:left="261" w:right="-15"/>
              <w:rPr>
                <w:sz w:val="21"/>
              </w:rPr>
            </w:pPr>
            <w:r>
              <w:rPr>
                <w:w w:val="100"/>
                <w:sz w:val="21"/>
              </w:rPr>
              <w:t> </w:t>
            </w:r>
            <w:r>
              <w:rPr>
                <w:sz w:val="21"/>
              </w:rPr>
              <w:t> </w:t>
            </w:r>
            <w:r>
              <w:rPr>
                <w:w w:val="100"/>
                <w:sz w:val="21"/>
              </w:rPr>
              <w:t> </w:t>
            </w:r>
            <w:r>
              <w:rPr>
                <w:spacing w:val="-2"/>
                <w:sz w:val="21"/>
              </w:rPr>
              <w:t> </w:t>
            </w:r>
            <w:r>
              <w:rPr>
                <w:w w:val="100"/>
                <w:sz w:val="21"/>
              </w:rPr>
              <w:t> </w:t>
            </w:r>
          </w:p>
        </w:tc>
        <w:tc>
          <w:tcPr>
            <w:tcW w:w="1204" w:type="dxa"/>
          </w:tcPr>
          <w:p>
            <w:pPr>
              <w:pStyle w:val="TableParagraph"/>
              <w:spacing w:before="1"/>
              <w:ind w:right="-15"/>
              <w:jc w:val="right"/>
              <w:rPr>
                <w:sz w:val="21"/>
              </w:rPr>
            </w:pPr>
            <w:r>
              <w:rPr>
                <w:w w:val="100"/>
                <w:sz w:val="21"/>
              </w:rPr>
              <w:t> </w:t>
            </w:r>
            <w:r>
              <w:rPr>
                <w:sz w:val="21"/>
              </w:rPr>
              <w:t> </w:t>
            </w:r>
            <w:r>
              <w:rPr>
                <w:sz w:val="21"/>
              </w:rPr>
              <w:t>- </w:t>
            </w:r>
            <w:r>
              <w:rPr>
                <w:spacing w:val="-2"/>
                <w:sz w:val="21"/>
              </w:rPr>
              <w:t> </w:t>
            </w:r>
            <w:r>
              <w:rPr>
                <w:w w:val="100"/>
                <w:sz w:val="21"/>
              </w:rPr>
              <w:t> </w:t>
            </w:r>
            <w:r>
              <w:rPr>
                <w:sz w:val="21"/>
              </w:rPr>
              <w:t> </w:t>
            </w:r>
            <w:r>
              <w:rPr>
                <w:w w:val="100"/>
                <w:sz w:val="21"/>
              </w:rPr>
              <w:t> </w:t>
            </w:r>
            <w:r>
              <w:rPr>
                <w:spacing w:val="-2"/>
                <w:sz w:val="21"/>
              </w:rPr>
              <w:t> </w:t>
            </w:r>
            <w:r>
              <w:rPr>
                <w:w w:val="100"/>
                <w:sz w:val="21"/>
              </w:rPr>
              <w:t> </w:t>
            </w:r>
          </w:p>
        </w:tc>
        <w:tc>
          <w:tcPr>
            <w:tcW w:w="1082" w:type="dxa"/>
          </w:tcPr>
          <w:p>
            <w:pPr>
              <w:pStyle w:val="TableParagraph"/>
              <w:spacing w:before="1"/>
              <w:ind w:left="242"/>
              <w:rPr>
                <w:sz w:val="21"/>
              </w:rPr>
            </w:pPr>
            <w:r>
              <w:rPr>
                <w:w w:val="100"/>
                <w:sz w:val="21"/>
              </w:rPr>
              <w:t> </w:t>
            </w:r>
            <w:r>
              <w:rPr>
                <w:sz w:val="21"/>
              </w:rPr>
              <w:t> </w:t>
            </w:r>
            <w:r>
              <w:rPr>
                <w:sz w:val="21"/>
              </w:rPr>
              <w:t>- </w:t>
            </w:r>
            <w:r>
              <w:rPr>
                <w:spacing w:val="-2"/>
                <w:sz w:val="21"/>
              </w:rPr>
              <w:t> </w:t>
            </w:r>
            <w:r>
              <w:rPr>
                <w:w w:val="100"/>
                <w:sz w:val="21"/>
              </w:rPr>
              <w:t> </w:t>
            </w:r>
          </w:p>
          <w:p>
            <w:pPr>
              <w:pStyle w:val="TableParagraph"/>
              <w:spacing w:before="4"/>
              <w:ind w:left="766" w:right="-15"/>
              <w:rPr>
                <w:sz w:val="21"/>
              </w:rPr>
            </w:pPr>
            <w:r>
              <w:rPr>
                <w:w w:val="100"/>
                <w:sz w:val="21"/>
              </w:rPr>
              <w:t> </w:t>
            </w:r>
            <w:r>
              <w:rPr>
                <w:sz w:val="21"/>
              </w:rPr>
              <w:t> </w:t>
            </w:r>
            <w:r>
              <w:rPr>
                <w:w w:val="100"/>
                <w:sz w:val="21"/>
              </w:rPr>
              <w:t> </w:t>
            </w:r>
          </w:p>
        </w:tc>
        <w:tc>
          <w:tcPr>
            <w:tcW w:w="1090" w:type="dxa"/>
          </w:tcPr>
          <w:p>
            <w:pPr>
              <w:pStyle w:val="TableParagraph"/>
              <w:spacing w:before="1"/>
              <w:ind w:right="-15"/>
              <w:jc w:val="right"/>
              <w:rPr>
                <w:sz w:val="21"/>
              </w:rPr>
            </w:pPr>
            <w:r>
              <w:rPr>
                <w:w w:val="100"/>
                <w:sz w:val="21"/>
              </w:rPr>
              <w:t> </w:t>
            </w:r>
          </w:p>
        </w:tc>
        <w:tc>
          <w:tcPr>
            <w:tcW w:w="1200" w:type="dxa"/>
          </w:tcPr>
          <w:p>
            <w:pPr>
              <w:pStyle w:val="TableParagraph"/>
              <w:spacing w:before="1"/>
              <w:ind w:right="-15"/>
              <w:jc w:val="right"/>
              <w:rPr>
                <w:sz w:val="21"/>
              </w:rPr>
            </w:pPr>
            <w:r>
              <w:rPr>
                <w:w w:val="100"/>
                <w:sz w:val="21"/>
              </w:rPr>
              <w:t> </w:t>
            </w:r>
            <w:r>
              <w:rPr>
                <w:sz w:val="21"/>
              </w:rPr>
              <w:t> </w:t>
            </w:r>
            <w:r>
              <w:rPr>
                <w:sz w:val="21"/>
              </w:rPr>
              <w:t>- </w:t>
            </w:r>
            <w:r>
              <w:rPr>
                <w:spacing w:val="-2"/>
                <w:sz w:val="21"/>
              </w:rPr>
              <w:t> </w:t>
            </w:r>
            <w:r>
              <w:rPr>
                <w:w w:val="100"/>
                <w:sz w:val="21"/>
              </w:rPr>
              <w:t> </w:t>
            </w:r>
            <w:r>
              <w:rPr>
                <w:sz w:val="21"/>
              </w:rPr>
              <w:t> </w:t>
            </w:r>
            <w:r>
              <w:rPr>
                <w:w w:val="100"/>
                <w:sz w:val="21"/>
              </w:rPr>
              <w:t> </w:t>
            </w:r>
            <w:r>
              <w:rPr>
                <w:spacing w:val="-2"/>
                <w:sz w:val="21"/>
              </w:rPr>
              <w:t> </w:t>
            </w:r>
            <w:r>
              <w:rPr>
                <w:w w:val="100"/>
                <w:sz w:val="21"/>
              </w:rPr>
              <w:t> </w:t>
            </w:r>
          </w:p>
        </w:tc>
        <w:tc>
          <w:tcPr>
            <w:tcW w:w="1188" w:type="dxa"/>
          </w:tcPr>
          <w:p>
            <w:pPr>
              <w:pStyle w:val="TableParagraph"/>
              <w:spacing w:before="1"/>
              <w:ind w:right="-15"/>
              <w:jc w:val="right"/>
              <w:rPr>
                <w:sz w:val="21"/>
              </w:rPr>
            </w:pPr>
            <w:r>
              <w:rPr>
                <w:w w:val="100"/>
                <w:sz w:val="21"/>
              </w:rPr>
              <w:t> </w:t>
            </w:r>
            <w:r>
              <w:rPr>
                <w:sz w:val="21"/>
              </w:rPr>
              <w:t> </w:t>
            </w:r>
            <w:r>
              <w:rPr>
                <w:sz w:val="21"/>
              </w:rPr>
              <w:t>- </w:t>
            </w:r>
            <w:r>
              <w:rPr>
                <w:spacing w:val="-2"/>
                <w:sz w:val="21"/>
              </w:rPr>
              <w:t> </w:t>
            </w:r>
            <w:r>
              <w:rPr>
                <w:w w:val="100"/>
                <w:sz w:val="21"/>
              </w:rPr>
              <w:t> </w:t>
            </w:r>
            <w:r>
              <w:rPr>
                <w:sz w:val="21"/>
              </w:rPr>
              <w:t> </w:t>
            </w:r>
            <w:r>
              <w:rPr>
                <w:w w:val="100"/>
                <w:sz w:val="21"/>
              </w:rPr>
              <w:t> </w:t>
            </w:r>
            <w:r>
              <w:rPr>
                <w:spacing w:val="-2"/>
                <w:sz w:val="21"/>
              </w:rPr>
              <w:t> </w:t>
            </w:r>
            <w:r>
              <w:rPr>
                <w:w w:val="100"/>
                <w:sz w:val="21"/>
              </w:rPr>
              <w:t> </w:t>
            </w:r>
          </w:p>
        </w:tc>
        <w:tc>
          <w:tcPr>
            <w:tcW w:w="961" w:type="dxa"/>
          </w:tcPr>
          <w:p>
            <w:pPr>
              <w:pStyle w:val="TableParagraph"/>
              <w:spacing w:before="1"/>
              <w:ind w:left="118"/>
              <w:rPr>
                <w:sz w:val="21"/>
              </w:rPr>
            </w:pPr>
            <w:r>
              <w:rPr>
                <w:w w:val="100"/>
                <w:sz w:val="21"/>
              </w:rPr>
              <w:t> </w:t>
            </w:r>
            <w:r>
              <w:rPr>
                <w:sz w:val="21"/>
              </w:rPr>
              <w:t> </w:t>
            </w:r>
            <w:r>
              <w:rPr>
                <w:sz w:val="21"/>
              </w:rPr>
              <w:t>- </w:t>
            </w:r>
            <w:r>
              <w:rPr>
                <w:spacing w:val="-2"/>
                <w:sz w:val="21"/>
              </w:rPr>
              <w:t> </w:t>
            </w:r>
            <w:r>
              <w:rPr>
                <w:w w:val="100"/>
                <w:sz w:val="21"/>
              </w:rPr>
              <w:t> </w:t>
            </w:r>
          </w:p>
          <w:p>
            <w:pPr>
              <w:pStyle w:val="TableParagraph"/>
              <w:spacing w:before="4"/>
              <w:ind w:left="641" w:right="-15"/>
              <w:rPr>
                <w:sz w:val="21"/>
              </w:rPr>
            </w:pPr>
            <w:r>
              <w:rPr>
                <w:w w:val="100"/>
                <w:sz w:val="21"/>
              </w:rPr>
              <w:t> </w:t>
            </w:r>
            <w:r>
              <w:rPr>
                <w:spacing w:val="1"/>
                <w:sz w:val="21"/>
              </w:rPr>
              <w:t> </w:t>
            </w:r>
            <w:r>
              <w:rPr>
                <w:w w:val="100"/>
                <w:sz w:val="21"/>
              </w:rPr>
              <w:t> </w:t>
            </w:r>
          </w:p>
        </w:tc>
        <w:tc>
          <w:tcPr>
            <w:tcW w:w="1416" w:type="dxa"/>
          </w:tcPr>
          <w:p>
            <w:pPr>
              <w:pStyle w:val="TableParagraph"/>
              <w:spacing w:before="1"/>
              <w:ind w:right="-15"/>
              <w:jc w:val="right"/>
              <w:rPr>
                <w:sz w:val="21"/>
              </w:rPr>
            </w:pPr>
            <w:r>
              <w:rPr>
                <w:sz w:val="21"/>
              </w:rPr>
              <w:t>4,900 </w:t>
            </w:r>
          </w:p>
        </w:tc>
        <w:tc>
          <w:tcPr>
            <w:tcW w:w="1094" w:type="dxa"/>
          </w:tcPr>
          <w:p>
            <w:pPr>
              <w:pStyle w:val="TableParagraph"/>
              <w:spacing w:before="1"/>
              <w:ind w:left="255"/>
              <w:rPr>
                <w:sz w:val="21"/>
              </w:rPr>
            </w:pPr>
            <w:r>
              <w:rPr>
                <w:w w:val="100"/>
                <w:sz w:val="21"/>
              </w:rPr>
              <w:t> </w:t>
            </w:r>
            <w:r>
              <w:rPr>
                <w:sz w:val="21"/>
              </w:rPr>
              <w:t> </w:t>
            </w:r>
            <w:r>
              <w:rPr>
                <w:sz w:val="21"/>
              </w:rPr>
              <w:t>- </w:t>
            </w:r>
            <w:r>
              <w:rPr>
                <w:spacing w:val="-2"/>
                <w:sz w:val="21"/>
              </w:rPr>
              <w:t> </w:t>
            </w:r>
            <w:r>
              <w:rPr>
                <w:w w:val="100"/>
                <w:sz w:val="21"/>
              </w:rPr>
              <w:t> </w:t>
            </w:r>
          </w:p>
          <w:p>
            <w:pPr>
              <w:pStyle w:val="TableParagraph"/>
              <w:spacing w:before="4"/>
              <w:ind w:left="778" w:right="-15"/>
              <w:rPr>
                <w:sz w:val="21"/>
              </w:rPr>
            </w:pPr>
            <w:r>
              <w:rPr>
                <w:w w:val="100"/>
                <w:sz w:val="21"/>
              </w:rPr>
              <w:t> </w:t>
            </w:r>
            <w:r>
              <w:rPr>
                <w:sz w:val="21"/>
              </w:rPr>
              <w:t> </w:t>
            </w:r>
            <w:r>
              <w:rPr>
                <w:w w:val="100"/>
                <w:sz w:val="21"/>
              </w:rPr>
              <w:t> </w:t>
            </w:r>
          </w:p>
        </w:tc>
      </w:tr>
      <w:tr>
        <w:trPr>
          <w:trHeight w:val="273" w:hRule="atLeast"/>
        </w:trPr>
        <w:tc>
          <w:tcPr>
            <w:tcW w:w="1260" w:type="dxa"/>
          </w:tcPr>
          <w:p>
            <w:pPr>
              <w:pStyle w:val="TableParagraph"/>
              <w:spacing w:line="252" w:lineRule="exact" w:before="1"/>
              <w:ind w:left="107"/>
              <w:rPr>
                <w:sz w:val="21"/>
              </w:rPr>
            </w:pPr>
            <w:r>
              <w:rPr>
                <w:sz w:val="21"/>
              </w:rPr>
              <w:t>小计 </w:t>
            </w:r>
          </w:p>
        </w:tc>
        <w:tc>
          <w:tcPr>
            <w:tcW w:w="1286" w:type="dxa"/>
          </w:tcPr>
          <w:p>
            <w:pPr>
              <w:pStyle w:val="TableParagraph"/>
              <w:spacing w:line="252" w:lineRule="exact" w:before="1"/>
              <w:ind w:right="-29"/>
              <w:jc w:val="right"/>
              <w:rPr>
                <w:sz w:val="24"/>
              </w:rPr>
            </w:pPr>
            <w:r>
              <w:rPr>
                <w:sz w:val="21"/>
              </w:rPr>
              <w:t>1,720,000</w:t>
            </w:r>
            <w:r>
              <w:rPr>
                <w:sz w:val="24"/>
              </w:rPr>
              <w:t> </w:t>
            </w:r>
          </w:p>
        </w:tc>
        <w:tc>
          <w:tcPr>
            <w:tcW w:w="1276" w:type="dxa"/>
          </w:tcPr>
          <w:p>
            <w:pPr>
              <w:pStyle w:val="TableParagraph"/>
              <w:spacing w:line="252" w:lineRule="exact" w:before="1"/>
              <w:ind w:right="-15"/>
              <w:jc w:val="right"/>
              <w:rPr>
                <w:sz w:val="21"/>
              </w:rPr>
            </w:pPr>
            <w:r>
              <w:rPr>
                <w:sz w:val="21"/>
              </w:rPr>
              <w:t>9,033,601 </w:t>
            </w:r>
          </w:p>
        </w:tc>
        <w:tc>
          <w:tcPr>
            <w:tcW w:w="787" w:type="dxa"/>
          </w:tcPr>
          <w:p>
            <w:pPr>
              <w:pStyle w:val="TableParagraph"/>
              <w:spacing w:line="252" w:lineRule="exact" w:before="1"/>
              <w:ind w:right="-15"/>
              <w:jc w:val="right"/>
              <w:rPr>
                <w:sz w:val="21"/>
              </w:rPr>
            </w:pPr>
            <w:r>
              <w:rPr>
                <w:sz w:val="21"/>
              </w:rPr>
              <w:t>0 </w:t>
            </w:r>
          </w:p>
        </w:tc>
        <w:tc>
          <w:tcPr>
            <w:tcW w:w="1204" w:type="dxa"/>
          </w:tcPr>
          <w:p>
            <w:pPr>
              <w:pStyle w:val="TableParagraph"/>
              <w:spacing w:line="252" w:lineRule="exact" w:before="1"/>
              <w:ind w:right="-15"/>
              <w:jc w:val="right"/>
              <w:rPr>
                <w:sz w:val="21"/>
              </w:rPr>
            </w:pPr>
            <w:r>
              <w:rPr>
                <w:sz w:val="21"/>
              </w:rPr>
              <w:t>16,029 </w:t>
            </w:r>
          </w:p>
        </w:tc>
        <w:tc>
          <w:tcPr>
            <w:tcW w:w="1082" w:type="dxa"/>
          </w:tcPr>
          <w:p>
            <w:pPr>
              <w:pStyle w:val="TableParagraph"/>
              <w:spacing w:line="252" w:lineRule="exact" w:before="1"/>
              <w:ind w:right="-15"/>
              <w:jc w:val="right"/>
              <w:rPr>
                <w:sz w:val="21"/>
              </w:rPr>
            </w:pPr>
            <w:r>
              <w:rPr>
                <w:sz w:val="21"/>
              </w:rPr>
              <w:t>0 </w:t>
            </w:r>
          </w:p>
        </w:tc>
        <w:tc>
          <w:tcPr>
            <w:tcW w:w="1090" w:type="dxa"/>
          </w:tcPr>
          <w:p>
            <w:pPr>
              <w:pStyle w:val="TableParagraph"/>
              <w:spacing w:line="252" w:lineRule="exact" w:before="1"/>
              <w:ind w:right="-15"/>
              <w:jc w:val="right"/>
              <w:rPr>
                <w:sz w:val="21"/>
              </w:rPr>
            </w:pPr>
            <w:r>
              <w:rPr>
                <w:sz w:val="21"/>
              </w:rPr>
              <w:t>0 </w:t>
            </w:r>
          </w:p>
        </w:tc>
        <w:tc>
          <w:tcPr>
            <w:tcW w:w="1200" w:type="dxa"/>
          </w:tcPr>
          <w:p>
            <w:pPr>
              <w:pStyle w:val="TableParagraph"/>
              <w:spacing w:line="252" w:lineRule="exact" w:before="1"/>
              <w:ind w:right="-15"/>
              <w:jc w:val="right"/>
              <w:rPr>
                <w:sz w:val="21"/>
              </w:rPr>
            </w:pPr>
            <w:r>
              <w:rPr>
                <w:sz w:val="21"/>
              </w:rPr>
              <w:t>0 </w:t>
            </w:r>
          </w:p>
        </w:tc>
        <w:tc>
          <w:tcPr>
            <w:tcW w:w="1188" w:type="dxa"/>
          </w:tcPr>
          <w:p>
            <w:pPr>
              <w:pStyle w:val="TableParagraph"/>
              <w:spacing w:line="252" w:lineRule="exact" w:before="1"/>
              <w:ind w:right="-15"/>
              <w:jc w:val="right"/>
              <w:rPr>
                <w:sz w:val="21"/>
              </w:rPr>
            </w:pPr>
            <w:r>
              <w:rPr>
                <w:sz w:val="21"/>
              </w:rPr>
              <w:t>0 </w:t>
            </w:r>
          </w:p>
        </w:tc>
        <w:tc>
          <w:tcPr>
            <w:tcW w:w="961" w:type="dxa"/>
          </w:tcPr>
          <w:p>
            <w:pPr>
              <w:pStyle w:val="TableParagraph"/>
              <w:spacing w:line="252" w:lineRule="exact" w:before="1"/>
              <w:ind w:right="-15"/>
              <w:jc w:val="right"/>
              <w:rPr>
                <w:sz w:val="21"/>
              </w:rPr>
            </w:pPr>
            <w:r>
              <w:rPr>
                <w:sz w:val="21"/>
              </w:rPr>
              <w:t>0 </w:t>
            </w:r>
          </w:p>
        </w:tc>
        <w:tc>
          <w:tcPr>
            <w:tcW w:w="1416" w:type="dxa"/>
          </w:tcPr>
          <w:p>
            <w:pPr>
              <w:pStyle w:val="TableParagraph"/>
              <w:spacing w:line="252" w:lineRule="exact" w:before="1"/>
              <w:ind w:right="-15"/>
              <w:jc w:val="right"/>
              <w:rPr>
                <w:sz w:val="21"/>
              </w:rPr>
            </w:pPr>
            <w:r>
              <w:rPr>
                <w:sz w:val="21"/>
              </w:rPr>
              <w:t>10,769,630 </w:t>
            </w:r>
          </w:p>
        </w:tc>
        <w:tc>
          <w:tcPr>
            <w:tcW w:w="1094" w:type="dxa"/>
          </w:tcPr>
          <w:p>
            <w:pPr>
              <w:pStyle w:val="TableParagraph"/>
              <w:spacing w:line="252" w:lineRule="exact" w:before="1"/>
              <w:ind w:right="-15"/>
              <w:jc w:val="right"/>
              <w:rPr>
                <w:sz w:val="21"/>
              </w:rPr>
            </w:pPr>
            <w:r>
              <w:rPr>
                <w:sz w:val="21"/>
              </w:rPr>
              <w:t>- </w:t>
            </w:r>
          </w:p>
        </w:tc>
      </w:tr>
      <w:tr>
        <w:trPr>
          <w:trHeight w:val="273" w:hRule="atLeast"/>
        </w:trPr>
        <w:tc>
          <w:tcPr>
            <w:tcW w:w="1260" w:type="dxa"/>
          </w:tcPr>
          <w:p>
            <w:pPr>
              <w:pStyle w:val="TableParagraph"/>
              <w:spacing w:line="252" w:lineRule="exact" w:before="1"/>
              <w:ind w:left="420"/>
              <w:rPr>
                <w:sz w:val="21"/>
              </w:rPr>
            </w:pPr>
            <w:r>
              <w:rPr>
                <w:sz w:val="21"/>
              </w:rPr>
              <w:t>合计 </w:t>
            </w:r>
          </w:p>
        </w:tc>
        <w:tc>
          <w:tcPr>
            <w:tcW w:w="1286" w:type="dxa"/>
          </w:tcPr>
          <w:p>
            <w:pPr>
              <w:pStyle w:val="TableParagraph"/>
              <w:spacing w:line="252" w:lineRule="exact" w:before="1"/>
              <w:ind w:right="-29"/>
              <w:jc w:val="right"/>
              <w:rPr>
                <w:sz w:val="24"/>
              </w:rPr>
            </w:pPr>
            <w:r>
              <w:rPr>
                <w:sz w:val="21"/>
              </w:rPr>
              <w:t>1,720,000</w:t>
            </w:r>
            <w:r>
              <w:rPr>
                <w:sz w:val="24"/>
              </w:rPr>
              <w:t> </w:t>
            </w:r>
          </w:p>
        </w:tc>
        <w:tc>
          <w:tcPr>
            <w:tcW w:w="1276" w:type="dxa"/>
          </w:tcPr>
          <w:p>
            <w:pPr>
              <w:pStyle w:val="TableParagraph"/>
              <w:spacing w:line="252" w:lineRule="exact" w:before="1"/>
              <w:ind w:right="-15"/>
              <w:jc w:val="right"/>
              <w:rPr>
                <w:sz w:val="21"/>
              </w:rPr>
            </w:pPr>
            <w:r>
              <w:rPr>
                <w:sz w:val="21"/>
              </w:rPr>
              <w:t>9,033,601 </w:t>
            </w:r>
          </w:p>
        </w:tc>
        <w:tc>
          <w:tcPr>
            <w:tcW w:w="787" w:type="dxa"/>
          </w:tcPr>
          <w:p>
            <w:pPr>
              <w:pStyle w:val="TableParagraph"/>
              <w:spacing w:line="252" w:lineRule="exact" w:before="1"/>
              <w:ind w:right="-15"/>
              <w:jc w:val="right"/>
              <w:rPr>
                <w:sz w:val="21"/>
              </w:rPr>
            </w:pPr>
            <w:r>
              <w:rPr>
                <w:sz w:val="21"/>
              </w:rPr>
              <w:t>0 </w:t>
            </w:r>
          </w:p>
        </w:tc>
        <w:tc>
          <w:tcPr>
            <w:tcW w:w="1204" w:type="dxa"/>
          </w:tcPr>
          <w:p>
            <w:pPr>
              <w:pStyle w:val="TableParagraph"/>
              <w:spacing w:line="252" w:lineRule="exact" w:before="1"/>
              <w:ind w:right="-15"/>
              <w:jc w:val="right"/>
              <w:rPr>
                <w:sz w:val="21"/>
              </w:rPr>
            </w:pPr>
            <w:r>
              <w:rPr>
                <w:sz w:val="21"/>
              </w:rPr>
              <w:t>16,029 </w:t>
            </w:r>
          </w:p>
        </w:tc>
        <w:tc>
          <w:tcPr>
            <w:tcW w:w="1082" w:type="dxa"/>
          </w:tcPr>
          <w:p>
            <w:pPr>
              <w:pStyle w:val="TableParagraph"/>
              <w:spacing w:line="252" w:lineRule="exact" w:before="1"/>
              <w:ind w:right="-15"/>
              <w:jc w:val="right"/>
              <w:rPr>
                <w:sz w:val="21"/>
              </w:rPr>
            </w:pPr>
            <w:r>
              <w:rPr>
                <w:sz w:val="21"/>
              </w:rPr>
              <w:t>0 </w:t>
            </w:r>
          </w:p>
        </w:tc>
        <w:tc>
          <w:tcPr>
            <w:tcW w:w="1090" w:type="dxa"/>
          </w:tcPr>
          <w:p>
            <w:pPr>
              <w:pStyle w:val="TableParagraph"/>
              <w:spacing w:line="252" w:lineRule="exact" w:before="1"/>
              <w:ind w:right="-15"/>
              <w:jc w:val="right"/>
              <w:rPr>
                <w:sz w:val="21"/>
              </w:rPr>
            </w:pPr>
            <w:r>
              <w:rPr>
                <w:sz w:val="21"/>
              </w:rPr>
              <w:t>0 </w:t>
            </w:r>
          </w:p>
        </w:tc>
        <w:tc>
          <w:tcPr>
            <w:tcW w:w="1200" w:type="dxa"/>
          </w:tcPr>
          <w:p>
            <w:pPr>
              <w:pStyle w:val="TableParagraph"/>
              <w:spacing w:line="252" w:lineRule="exact" w:before="1"/>
              <w:ind w:right="-15"/>
              <w:jc w:val="right"/>
              <w:rPr>
                <w:sz w:val="21"/>
              </w:rPr>
            </w:pPr>
            <w:r>
              <w:rPr>
                <w:sz w:val="21"/>
              </w:rPr>
              <w:t>0 </w:t>
            </w:r>
          </w:p>
        </w:tc>
        <w:tc>
          <w:tcPr>
            <w:tcW w:w="1188" w:type="dxa"/>
          </w:tcPr>
          <w:p>
            <w:pPr>
              <w:pStyle w:val="TableParagraph"/>
              <w:spacing w:line="252" w:lineRule="exact" w:before="1"/>
              <w:ind w:right="-15"/>
              <w:jc w:val="right"/>
              <w:rPr>
                <w:sz w:val="21"/>
              </w:rPr>
            </w:pPr>
            <w:r>
              <w:rPr>
                <w:sz w:val="21"/>
              </w:rPr>
              <w:t>0 </w:t>
            </w:r>
          </w:p>
        </w:tc>
        <w:tc>
          <w:tcPr>
            <w:tcW w:w="961" w:type="dxa"/>
          </w:tcPr>
          <w:p>
            <w:pPr>
              <w:pStyle w:val="TableParagraph"/>
              <w:spacing w:line="252" w:lineRule="exact" w:before="1"/>
              <w:ind w:right="-15"/>
              <w:jc w:val="right"/>
              <w:rPr>
                <w:sz w:val="21"/>
              </w:rPr>
            </w:pPr>
            <w:r>
              <w:rPr>
                <w:sz w:val="21"/>
              </w:rPr>
              <w:t>0 </w:t>
            </w:r>
          </w:p>
        </w:tc>
        <w:tc>
          <w:tcPr>
            <w:tcW w:w="1416" w:type="dxa"/>
          </w:tcPr>
          <w:p>
            <w:pPr>
              <w:pStyle w:val="TableParagraph"/>
              <w:spacing w:line="252" w:lineRule="exact" w:before="1"/>
              <w:ind w:right="-15"/>
              <w:jc w:val="right"/>
              <w:rPr>
                <w:sz w:val="21"/>
              </w:rPr>
            </w:pPr>
            <w:r>
              <w:rPr>
                <w:sz w:val="21"/>
              </w:rPr>
              <w:t>10,769,630 </w:t>
            </w:r>
          </w:p>
        </w:tc>
        <w:tc>
          <w:tcPr>
            <w:tcW w:w="1094" w:type="dxa"/>
          </w:tcPr>
          <w:p>
            <w:pPr>
              <w:pStyle w:val="TableParagraph"/>
              <w:spacing w:line="252" w:lineRule="exact" w:before="1"/>
              <w:ind w:right="-15"/>
              <w:jc w:val="right"/>
              <w:rPr>
                <w:sz w:val="21"/>
              </w:rPr>
            </w:pPr>
            <w:r>
              <w:rPr>
                <w:sz w:val="21"/>
              </w:rPr>
              <w:t>- </w:t>
            </w:r>
          </w:p>
        </w:tc>
      </w:tr>
    </w:tbl>
    <w:p>
      <w:pPr>
        <w:pStyle w:val="BodyText"/>
        <w:spacing w:before="1"/>
        <w:ind w:left="100"/>
      </w:pPr>
      <w:r>
        <w:rPr>
          <w:w w:val="100"/>
        </w:rPr>
        <w:t> </w:t>
      </w:r>
    </w:p>
    <w:p>
      <w:pPr>
        <w:spacing w:after="0"/>
        <w:sectPr>
          <w:headerReference w:type="default" r:id="rId72"/>
          <w:footerReference w:type="default" r:id="rId73"/>
          <w:pgSz w:w="16840" w:h="11910" w:orient="landscape"/>
          <w:pgMar w:header="882" w:footer="1195" w:top="1180" w:bottom="1380" w:left="1340" w:right="1300"/>
        </w:sectPr>
      </w:pPr>
    </w:p>
    <w:p>
      <w:pPr>
        <w:pStyle w:val="BodyText"/>
        <w:ind w:left="0"/>
        <w:rPr>
          <w:sz w:val="20"/>
        </w:rPr>
      </w:pPr>
    </w:p>
    <w:p>
      <w:pPr>
        <w:pStyle w:val="BodyText"/>
        <w:spacing w:before="8"/>
        <w:ind w:left="0"/>
        <w:rPr>
          <w:sz w:val="22"/>
        </w:rPr>
      </w:pPr>
    </w:p>
    <w:p>
      <w:pPr>
        <w:pStyle w:val="BodyText"/>
        <w:spacing w:line="242" w:lineRule="auto" w:before="72"/>
        <w:ind w:left="100" w:right="12939"/>
      </w:pPr>
      <w:r>
        <w:rPr/>
        <w:t>其他说明：</w:t>
      </w:r>
      <w:r>
        <w:rPr>
          <w:spacing w:val="1"/>
        </w:rPr>
        <w:t> </w:t>
      </w:r>
      <w:r>
        <w:rPr/>
        <w:t>无 </w:t>
      </w:r>
    </w:p>
    <w:p>
      <w:pPr>
        <w:spacing w:after="0" w:line="242" w:lineRule="auto"/>
        <w:sectPr>
          <w:pgSz w:w="16840" w:h="11910" w:orient="landscape"/>
          <w:pgMar w:header="882" w:footer="1195" w:top="1180" w:bottom="1380" w:left="1340" w:right="1300"/>
        </w:sectPr>
      </w:pPr>
    </w:p>
    <w:p>
      <w:pPr>
        <w:pStyle w:val="BodyText"/>
        <w:spacing w:before="61"/>
        <w:ind w:left="118"/>
      </w:pPr>
      <w:r>
        <w:rPr>
          <w:w w:val="100"/>
        </w:rPr>
        <w:t> </w:t>
      </w:r>
    </w:p>
    <w:p>
      <w:pPr>
        <w:pStyle w:val="BodyText"/>
        <w:spacing w:before="65"/>
        <w:ind w:left="118"/>
      </w:pPr>
      <w:r>
        <w:rPr/>
        <w:t>4、 营业收入和营业成本</w:t>
      </w:r>
    </w:p>
    <w:p>
      <w:pPr>
        <w:pStyle w:val="ListParagraph"/>
        <w:numPr>
          <w:ilvl w:val="0"/>
          <w:numId w:val="97"/>
        </w:numPr>
        <w:tabs>
          <w:tab w:pos="542" w:val="left" w:leader="none"/>
        </w:tabs>
        <w:spacing w:line="240" w:lineRule="auto" w:before="62" w:after="0"/>
        <w:ind w:left="541" w:right="0" w:hanging="424"/>
        <w:jc w:val="left"/>
        <w:rPr>
          <w:sz w:val="21"/>
        </w:rPr>
      </w:pPr>
      <w:r>
        <w:rPr>
          <w:sz w:val="21"/>
        </w:rPr>
        <w:t>营业收入和营业成本情况 </w:t>
      </w:r>
    </w:p>
    <w:p>
      <w:pPr>
        <w:pStyle w:val="BodyText"/>
        <w:spacing w:before="65"/>
        <w:ind w:left="118"/>
      </w:pPr>
      <w:r>
        <w:rPr>
          <w:spacing w:val="11"/>
        </w:rPr>
        <w:t>√适用 □不适用</w:t>
      </w:r>
      <w:r>
        <w:rPr>
          <w:spacing w:val="-3"/>
        </w:rPr>
        <w:t> </w:t>
      </w:r>
      <w:r>
        <w:rPr/>
        <w:t> </w:t>
      </w:r>
    </w:p>
    <w:p>
      <w:pPr>
        <w:pStyle w:val="BodyText"/>
        <w:spacing w:before="2" w:after="4"/>
        <w:ind w:left="6428"/>
      </w:pPr>
      <w:r>
        <w:rPr>
          <w:spacing w:val="7"/>
        </w:rPr>
        <w:t>单位：千元 币种：人民币</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73"/>
        <w:gridCol w:w="1623"/>
        <w:gridCol w:w="1623"/>
        <w:gridCol w:w="1479"/>
        <w:gridCol w:w="1327"/>
      </w:tblGrid>
      <w:tr>
        <w:trPr>
          <w:trHeight w:val="270" w:hRule="atLeast"/>
        </w:trPr>
        <w:tc>
          <w:tcPr>
            <w:tcW w:w="2773" w:type="dxa"/>
            <w:vMerge w:val="restart"/>
          </w:tcPr>
          <w:p>
            <w:pPr>
              <w:pStyle w:val="TableParagraph"/>
              <w:spacing w:before="142"/>
              <w:ind w:left="1208" w:right="1094"/>
              <w:jc w:val="center"/>
              <w:rPr>
                <w:sz w:val="21"/>
              </w:rPr>
            </w:pPr>
            <w:r>
              <w:rPr>
                <w:sz w:val="21"/>
              </w:rPr>
              <w:t>项目 </w:t>
            </w:r>
          </w:p>
        </w:tc>
        <w:tc>
          <w:tcPr>
            <w:tcW w:w="3246" w:type="dxa"/>
            <w:gridSpan w:val="2"/>
          </w:tcPr>
          <w:p>
            <w:pPr>
              <w:pStyle w:val="TableParagraph"/>
              <w:spacing w:line="250" w:lineRule="exact" w:before="1"/>
              <w:ind w:left="1093"/>
              <w:rPr>
                <w:sz w:val="21"/>
              </w:rPr>
            </w:pPr>
            <w:r>
              <w:rPr>
                <w:sz w:val="21"/>
              </w:rPr>
              <w:t>本期发生额 </w:t>
            </w:r>
          </w:p>
        </w:tc>
        <w:tc>
          <w:tcPr>
            <w:tcW w:w="2806" w:type="dxa"/>
            <w:gridSpan w:val="2"/>
          </w:tcPr>
          <w:p>
            <w:pPr>
              <w:pStyle w:val="TableParagraph"/>
              <w:spacing w:line="250" w:lineRule="exact" w:before="1"/>
              <w:ind w:left="874"/>
              <w:rPr>
                <w:sz w:val="21"/>
              </w:rPr>
            </w:pPr>
            <w:r>
              <w:rPr>
                <w:sz w:val="21"/>
              </w:rPr>
              <w:t>上期发生额 </w:t>
            </w:r>
          </w:p>
        </w:tc>
      </w:tr>
      <w:tr>
        <w:trPr>
          <w:trHeight w:val="273" w:hRule="atLeast"/>
        </w:trPr>
        <w:tc>
          <w:tcPr>
            <w:tcW w:w="2773" w:type="dxa"/>
            <w:vMerge/>
            <w:tcBorders>
              <w:top w:val="nil"/>
            </w:tcBorders>
          </w:tcPr>
          <w:p>
            <w:pPr>
              <w:rPr>
                <w:sz w:val="2"/>
                <w:szCs w:val="2"/>
              </w:rPr>
            </w:pPr>
          </w:p>
        </w:tc>
        <w:tc>
          <w:tcPr>
            <w:tcW w:w="1623" w:type="dxa"/>
          </w:tcPr>
          <w:p>
            <w:pPr>
              <w:pStyle w:val="TableParagraph"/>
              <w:spacing w:line="250" w:lineRule="exact" w:before="3"/>
              <w:ind w:left="596"/>
              <w:rPr>
                <w:sz w:val="21"/>
              </w:rPr>
            </w:pPr>
            <w:r>
              <w:rPr>
                <w:sz w:val="21"/>
              </w:rPr>
              <w:t>收入 </w:t>
            </w:r>
          </w:p>
        </w:tc>
        <w:tc>
          <w:tcPr>
            <w:tcW w:w="1623" w:type="dxa"/>
          </w:tcPr>
          <w:p>
            <w:pPr>
              <w:pStyle w:val="TableParagraph"/>
              <w:spacing w:line="250" w:lineRule="exact" w:before="3"/>
              <w:ind w:left="599"/>
              <w:rPr>
                <w:sz w:val="21"/>
              </w:rPr>
            </w:pPr>
            <w:r>
              <w:rPr>
                <w:sz w:val="21"/>
              </w:rPr>
              <w:t>成本 </w:t>
            </w:r>
          </w:p>
        </w:tc>
        <w:tc>
          <w:tcPr>
            <w:tcW w:w="1479" w:type="dxa"/>
          </w:tcPr>
          <w:p>
            <w:pPr>
              <w:pStyle w:val="TableParagraph"/>
              <w:spacing w:line="250" w:lineRule="exact" w:before="3"/>
              <w:ind w:left="526"/>
              <w:rPr>
                <w:sz w:val="21"/>
              </w:rPr>
            </w:pPr>
            <w:r>
              <w:rPr>
                <w:sz w:val="21"/>
              </w:rPr>
              <w:t>收入 </w:t>
            </w:r>
          </w:p>
        </w:tc>
        <w:tc>
          <w:tcPr>
            <w:tcW w:w="1327" w:type="dxa"/>
          </w:tcPr>
          <w:p>
            <w:pPr>
              <w:pStyle w:val="TableParagraph"/>
              <w:spacing w:line="250" w:lineRule="exact" w:before="3"/>
              <w:ind w:left="449"/>
              <w:rPr>
                <w:sz w:val="21"/>
              </w:rPr>
            </w:pPr>
            <w:r>
              <w:rPr>
                <w:sz w:val="21"/>
              </w:rPr>
              <w:t>成本 </w:t>
            </w:r>
          </w:p>
        </w:tc>
      </w:tr>
      <w:tr>
        <w:trPr>
          <w:trHeight w:val="273" w:hRule="atLeast"/>
        </w:trPr>
        <w:tc>
          <w:tcPr>
            <w:tcW w:w="2773" w:type="dxa"/>
          </w:tcPr>
          <w:p>
            <w:pPr>
              <w:pStyle w:val="TableParagraph"/>
              <w:spacing w:line="252" w:lineRule="exact" w:before="1"/>
              <w:ind w:left="107"/>
              <w:rPr>
                <w:sz w:val="21"/>
              </w:rPr>
            </w:pPr>
            <w:r>
              <w:rPr>
                <w:spacing w:val="-1"/>
                <w:sz w:val="21"/>
              </w:rPr>
              <w:t>主营业务</w:t>
            </w:r>
            <w:r>
              <w:rPr>
                <w:sz w:val="21"/>
              </w:rPr>
              <w:t> </w:t>
            </w:r>
          </w:p>
        </w:tc>
        <w:tc>
          <w:tcPr>
            <w:tcW w:w="1623" w:type="dxa"/>
          </w:tcPr>
          <w:p>
            <w:pPr>
              <w:pStyle w:val="TableParagraph"/>
              <w:spacing w:line="235" w:lineRule="exact"/>
              <w:ind w:right="97"/>
              <w:jc w:val="right"/>
              <w:rPr>
                <w:rFonts w:ascii="Times New Roman"/>
                <w:sz w:val="21"/>
              </w:rPr>
            </w:pPr>
            <w:r>
              <w:rPr>
                <w:rFonts w:ascii="Times New Roman"/>
                <w:sz w:val="21"/>
              </w:rPr>
              <w:t>169,430</w:t>
            </w:r>
          </w:p>
        </w:tc>
        <w:tc>
          <w:tcPr>
            <w:tcW w:w="1623" w:type="dxa"/>
          </w:tcPr>
          <w:p>
            <w:pPr>
              <w:pStyle w:val="TableParagraph"/>
              <w:spacing w:line="235" w:lineRule="exact"/>
              <w:ind w:right="95"/>
              <w:jc w:val="right"/>
              <w:rPr>
                <w:rFonts w:ascii="Times New Roman"/>
                <w:sz w:val="21"/>
              </w:rPr>
            </w:pPr>
            <w:r>
              <w:rPr>
                <w:rFonts w:ascii="Times New Roman"/>
                <w:sz w:val="21"/>
              </w:rPr>
              <w:t>132,930</w:t>
            </w:r>
          </w:p>
        </w:tc>
        <w:tc>
          <w:tcPr>
            <w:tcW w:w="1479" w:type="dxa"/>
          </w:tcPr>
          <w:p>
            <w:pPr>
              <w:pStyle w:val="TableParagraph"/>
              <w:spacing w:line="235" w:lineRule="exact"/>
              <w:ind w:right="98"/>
              <w:jc w:val="right"/>
              <w:rPr>
                <w:rFonts w:ascii="Times New Roman"/>
                <w:sz w:val="21"/>
              </w:rPr>
            </w:pPr>
            <w:r>
              <w:rPr>
                <w:rFonts w:ascii="Times New Roman"/>
                <w:sz w:val="21"/>
              </w:rPr>
              <w:t>126,955</w:t>
            </w:r>
          </w:p>
        </w:tc>
        <w:tc>
          <w:tcPr>
            <w:tcW w:w="1327" w:type="dxa"/>
          </w:tcPr>
          <w:p>
            <w:pPr>
              <w:pStyle w:val="TableParagraph"/>
              <w:spacing w:line="235" w:lineRule="exact"/>
              <w:ind w:right="94"/>
              <w:jc w:val="right"/>
              <w:rPr>
                <w:rFonts w:ascii="Times New Roman"/>
                <w:sz w:val="21"/>
              </w:rPr>
            </w:pPr>
            <w:r>
              <w:rPr>
                <w:rFonts w:ascii="Times New Roman"/>
                <w:sz w:val="21"/>
              </w:rPr>
              <w:t>102,763</w:t>
            </w:r>
          </w:p>
        </w:tc>
      </w:tr>
      <w:tr>
        <w:trPr>
          <w:trHeight w:val="270" w:hRule="atLeast"/>
        </w:trPr>
        <w:tc>
          <w:tcPr>
            <w:tcW w:w="2773" w:type="dxa"/>
          </w:tcPr>
          <w:p>
            <w:pPr>
              <w:pStyle w:val="TableParagraph"/>
              <w:spacing w:line="250" w:lineRule="exact" w:before="1"/>
              <w:ind w:left="107"/>
              <w:rPr>
                <w:sz w:val="21"/>
              </w:rPr>
            </w:pPr>
            <w:r>
              <w:rPr>
                <w:spacing w:val="-1"/>
                <w:sz w:val="21"/>
              </w:rPr>
              <w:t>其他业务</w:t>
            </w:r>
            <w:r>
              <w:rPr>
                <w:sz w:val="21"/>
              </w:rPr>
              <w:t> </w:t>
            </w:r>
          </w:p>
        </w:tc>
        <w:tc>
          <w:tcPr>
            <w:tcW w:w="1623" w:type="dxa"/>
          </w:tcPr>
          <w:p>
            <w:pPr>
              <w:pStyle w:val="TableParagraph"/>
              <w:rPr>
                <w:rFonts w:ascii="Times New Roman"/>
                <w:sz w:val="20"/>
              </w:rPr>
            </w:pPr>
          </w:p>
        </w:tc>
        <w:tc>
          <w:tcPr>
            <w:tcW w:w="1623" w:type="dxa"/>
          </w:tcPr>
          <w:p>
            <w:pPr>
              <w:pStyle w:val="TableParagraph"/>
              <w:rPr>
                <w:rFonts w:ascii="Times New Roman"/>
                <w:sz w:val="20"/>
              </w:rPr>
            </w:pPr>
          </w:p>
        </w:tc>
        <w:tc>
          <w:tcPr>
            <w:tcW w:w="1479" w:type="dxa"/>
          </w:tcPr>
          <w:p>
            <w:pPr>
              <w:pStyle w:val="TableParagraph"/>
              <w:rPr>
                <w:rFonts w:ascii="Times New Roman"/>
                <w:sz w:val="20"/>
              </w:rPr>
            </w:pPr>
          </w:p>
        </w:tc>
        <w:tc>
          <w:tcPr>
            <w:tcW w:w="1327" w:type="dxa"/>
          </w:tcPr>
          <w:p>
            <w:pPr>
              <w:pStyle w:val="TableParagraph"/>
              <w:rPr>
                <w:rFonts w:ascii="Times New Roman"/>
                <w:sz w:val="20"/>
              </w:rPr>
            </w:pPr>
          </w:p>
        </w:tc>
      </w:tr>
      <w:tr>
        <w:trPr>
          <w:trHeight w:val="273" w:hRule="atLeast"/>
        </w:trPr>
        <w:tc>
          <w:tcPr>
            <w:tcW w:w="2773" w:type="dxa"/>
          </w:tcPr>
          <w:p>
            <w:pPr>
              <w:pStyle w:val="TableParagraph"/>
              <w:spacing w:line="250" w:lineRule="exact" w:before="3"/>
              <w:ind w:left="1208" w:right="1094"/>
              <w:jc w:val="center"/>
              <w:rPr>
                <w:sz w:val="21"/>
              </w:rPr>
            </w:pPr>
            <w:r>
              <w:rPr>
                <w:sz w:val="21"/>
              </w:rPr>
              <w:t>合计 </w:t>
            </w:r>
          </w:p>
        </w:tc>
        <w:tc>
          <w:tcPr>
            <w:tcW w:w="1623" w:type="dxa"/>
          </w:tcPr>
          <w:p>
            <w:pPr>
              <w:pStyle w:val="TableParagraph"/>
              <w:spacing w:before="10"/>
              <w:ind w:right="97"/>
              <w:jc w:val="right"/>
              <w:rPr>
                <w:rFonts w:ascii="Times New Roman"/>
                <w:sz w:val="21"/>
              </w:rPr>
            </w:pPr>
            <w:r>
              <w:rPr>
                <w:rFonts w:ascii="Times New Roman"/>
                <w:sz w:val="21"/>
              </w:rPr>
              <w:t>169,430</w:t>
            </w:r>
          </w:p>
        </w:tc>
        <w:tc>
          <w:tcPr>
            <w:tcW w:w="1623" w:type="dxa"/>
          </w:tcPr>
          <w:p>
            <w:pPr>
              <w:pStyle w:val="TableParagraph"/>
              <w:spacing w:before="10"/>
              <w:ind w:right="95"/>
              <w:jc w:val="right"/>
              <w:rPr>
                <w:rFonts w:ascii="Times New Roman"/>
                <w:sz w:val="21"/>
              </w:rPr>
            </w:pPr>
            <w:r>
              <w:rPr>
                <w:rFonts w:ascii="Times New Roman"/>
                <w:sz w:val="21"/>
              </w:rPr>
              <w:t>132,930</w:t>
            </w:r>
          </w:p>
        </w:tc>
        <w:tc>
          <w:tcPr>
            <w:tcW w:w="1479" w:type="dxa"/>
          </w:tcPr>
          <w:p>
            <w:pPr>
              <w:pStyle w:val="TableParagraph"/>
              <w:spacing w:before="10"/>
              <w:ind w:right="98"/>
              <w:jc w:val="right"/>
              <w:rPr>
                <w:rFonts w:ascii="Times New Roman"/>
                <w:sz w:val="21"/>
              </w:rPr>
            </w:pPr>
            <w:r>
              <w:rPr>
                <w:rFonts w:ascii="Times New Roman"/>
                <w:sz w:val="21"/>
              </w:rPr>
              <w:t>126,955</w:t>
            </w:r>
          </w:p>
        </w:tc>
        <w:tc>
          <w:tcPr>
            <w:tcW w:w="1327" w:type="dxa"/>
          </w:tcPr>
          <w:p>
            <w:pPr>
              <w:pStyle w:val="TableParagraph"/>
              <w:spacing w:before="10"/>
              <w:ind w:right="94"/>
              <w:jc w:val="right"/>
              <w:rPr>
                <w:rFonts w:ascii="Times New Roman"/>
                <w:sz w:val="21"/>
              </w:rPr>
            </w:pPr>
            <w:r>
              <w:rPr>
                <w:rFonts w:ascii="Times New Roman"/>
                <w:sz w:val="21"/>
              </w:rPr>
              <w:t>102,763</w:t>
            </w:r>
          </w:p>
        </w:tc>
      </w:tr>
    </w:tbl>
    <w:p>
      <w:pPr>
        <w:pStyle w:val="BodyText"/>
        <w:spacing w:before="1"/>
        <w:ind w:left="118"/>
      </w:pPr>
      <w:r>
        <w:rPr>
          <w:w w:val="100"/>
        </w:rPr>
        <w:t> </w:t>
      </w:r>
    </w:p>
    <w:p>
      <w:pPr>
        <w:pStyle w:val="ListParagraph"/>
        <w:numPr>
          <w:ilvl w:val="0"/>
          <w:numId w:val="97"/>
        </w:numPr>
        <w:tabs>
          <w:tab w:pos="542" w:val="left" w:leader="none"/>
        </w:tabs>
        <w:spacing w:line="240" w:lineRule="auto" w:before="64" w:after="0"/>
        <w:ind w:left="541" w:right="0" w:hanging="424"/>
        <w:jc w:val="left"/>
        <w:rPr>
          <w:sz w:val="21"/>
        </w:rPr>
      </w:pPr>
      <w:r>
        <w:rPr>
          <w:sz w:val="21"/>
        </w:rPr>
        <w:t>合同产生的收入的情况 </w:t>
      </w:r>
    </w:p>
    <w:p>
      <w:pPr>
        <w:pStyle w:val="BodyText"/>
        <w:spacing w:before="63"/>
        <w:ind w:left="118"/>
      </w:pPr>
      <w:r>
        <w:rPr>
          <w:spacing w:val="-1"/>
        </w:rPr>
        <w:t>□适用 √不适用</w:t>
      </w:r>
      <w:r>
        <w:rPr/>
        <w:t> </w:t>
      </w:r>
    </w:p>
    <w:p>
      <w:pPr>
        <w:pStyle w:val="BodyText"/>
        <w:spacing w:before="5"/>
        <w:ind w:left="118"/>
      </w:pPr>
      <w:r>
        <w:rPr>
          <w:w w:val="100"/>
        </w:rPr>
        <w:t> </w:t>
      </w:r>
    </w:p>
    <w:p>
      <w:pPr>
        <w:pStyle w:val="BodyText"/>
        <w:spacing w:before="2"/>
        <w:ind w:left="118"/>
      </w:pPr>
      <w:r>
        <w:rPr>
          <w:w w:val="100"/>
        </w:rPr>
        <w:t> </w:t>
      </w:r>
    </w:p>
    <w:p>
      <w:pPr>
        <w:pStyle w:val="ListParagraph"/>
        <w:numPr>
          <w:ilvl w:val="0"/>
          <w:numId w:val="97"/>
        </w:numPr>
        <w:tabs>
          <w:tab w:pos="542" w:val="left" w:leader="none"/>
        </w:tabs>
        <w:spacing w:line="240" w:lineRule="auto" w:before="64" w:after="0"/>
        <w:ind w:left="541" w:right="0" w:hanging="424"/>
        <w:jc w:val="left"/>
        <w:rPr>
          <w:sz w:val="21"/>
        </w:rPr>
      </w:pPr>
      <w:r>
        <w:rPr>
          <w:sz w:val="21"/>
        </w:rPr>
        <w:t>履约义务的说明 </w:t>
      </w:r>
    </w:p>
    <w:p>
      <w:pPr>
        <w:pStyle w:val="BodyText"/>
        <w:spacing w:before="63"/>
        <w:ind w:left="118"/>
      </w:pPr>
      <w:r>
        <w:rPr>
          <w:spacing w:val="-1"/>
        </w:rPr>
        <w:t>□适用 √不适用</w:t>
      </w:r>
      <w:r>
        <w:rPr>
          <w:spacing w:val="-3"/>
        </w:rPr>
        <w:t> </w:t>
      </w:r>
      <w:r>
        <w:rPr/>
        <w:t> </w:t>
      </w:r>
    </w:p>
    <w:p>
      <w:pPr>
        <w:pStyle w:val="BodyText"/>
        <w:spacing w:before="4"/>
        <w:ind w:left="118"/>
      </w:pPr>
      <w:r>
        <w:rPr>
          <w:w w:val="100"/>
        </w:rPr>
        <w:t> </w:t>
      </w:r>
    </w:p>
    <w:p>
      <w:pPr>
        <w:pStyle w:val="ListParagraph"/>
        <w:numPr>
          <w:ilvl w:val="0"/>
          <w:numId w:val="97"/>
        </w:numPr>
        <w:tabs>
          <w:tab w:pos="542" w:val="left" w:leader="none"/>
        </w:tabs>
        <w:spacing w:line="240" w:lineRule="auto" w:before="62" w:after="0"/>
        <w:ind w:left="541" w:right="0" w:hanging="424"/>
        <w:jc w:val="left"/>
        <w:rPr>
          <w:sz w:val="21"/>
        </w:rPr>
      </w:pPr>
      <w:r>
        <w:rPr>
          <w:sz w:val="21"/>
        </w:rPr>
        <w:t>分摊至剩余履约义务的说明 </w:t>
      </w:r>
    </w:p>
    <w:p>
      <w:pPr>
        <w:pStyle w:val="BodyText"/>
        <w:spacing w:before="62"/>
        <w:ind w:left="118"/>
      </w:pPr>
      <w:r>
        <w:rPr>
          <w:spacing w:val="-1"/>
        </w:rPr>
        <w:t>□适用 √不适用</w:t>
      </w:r>
      <w:r>
        <w:rPr>
          <w:spacing w:val="-3"/>
        </w:rPr>
        <w:t> </w:t>
      </w:r>
      <w:r>
        <w:rPr/>
        <w:t> </w:t>
      </w:r>
    </w:p>
    <w:p>
      <w:pPr>
        <w:pStyle w:val="BodyText"/>
        <w:spacing w:before="5"/>
        <w:ind w:left="118"/>
      </w:pPr>
      <w:r>
        <w:rPr>
          <w:w w:val="100"/>
        </w:rPr>
        <w:t> </w:t>
      </w:r>
    </w:p>
    <w:p>
      <w:pPr>
        <w:pStyle w:val="BodyText"/>
        <w:spacing w:before="2"/>
        <w:ind w:left="0"/>
        <w:rPr>
          <w:sz w:val="18"/>
        </w:rPr>
      </w:pPr>
    </w:p>
    <w:p>
      <w:pPr>
        <w:pStyle w:val="BodyText"/>
        <w:spacing w:line="297" w:lineRule="auto" w:before="72"/>
        <w:ind w:left="118" w:right="7989"/>
      </w:pPr>
      <w:r>
        <w:rPr/>
        <w:t>其他说明：</w:t>
      </w:r>
      <w:r>
        <w:rPr>
          <w:spacing w:val="1"/>
        </w:rPr>
        <w:t> </w:t>
      </w:r>
      <w:r>
        <w:rPr/>
        <w:t>无 </w:t>
      </w:r>
    </w:p>
    <w:p>
      <w:pPr>
        <w:pStyle w:val="BodyText"/>
        <w:spacing w:line="207" w:lineRule="exact"/>
        <w:ind w:left="118"/>
      </w:pPr>
      <w:r>
        <w:rPr>
          <w:w w:val="100"/>
        </w:rPr>
        <w:t> </w:t>
      </w:r>
    </w:p>
    <w:p>
      <w:pPr>
        <w:pStyle w:val="BodyText"/>
        <w:spacing w:before="62"/>
        <w:ind w:left="118"/>
      </w:pPr>
      <w:r>
        <w:rPr/>
        <w:t>5、 投资收益 </w:t>
      </w:r>
    </w:p>
    <w:p>
      <w:pPr>
        <w:pStyle w:val="BodyText"/>
        <w:spacing w:before="64"/>
        <w:ind w:left="118"/>
      </w:pPr>
      <w:r>
        <w:rPr>
          <w:spacing w:val="-1"/>
        </w:rPr>
        <w:t>√适用 □不适用</w:t>
      </w:r>
      <w:r>
        <w:rPr>
          <w:spacing w:val="-3"/>
        </w:rPr>
        <w:t> </w:t>
      </w:r>
      <w:r>
        <w:rPr/>
        <w:t> </w:t>
      </w:r>
    </w:p>
    <w:p>
      <w:pPr>
        <w:pStyle w:val="BodyText"/>
        <w:spacing w:before="3" w:after="3"/>
        <w:ind w:left="6428"/>
      </w:pPr>
      <w:r>
        <w:rPr>
          <w:spacing w:val="7"/>
        </w:rPr>
        <w:t>单位：千元 币种：人民币</w:t>
      </w:r>
      <w:r>
        <w:rPr>
          <w:color w:val="FF0000"/>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2"/>
        <w:gridCol w:w="2626"/>
        <w:gridCol w:w="2636"/>
      </w:tblGrid>
      <w:tr>
        <w:trPr>
          <w:trHeight w:val="273" w:hRule="atLeast"/>
        </w:trPr>
        <w:tc>
          <w:tcPr>
            <w:tcW w:w="3562" w:type="dxa"/>
          </w:tcPr>
          <w:p>
            <w:pPr>
              <w:pStyle w:val="TableParagraph"/>
              <w:spacing w:line="252" w:lineRule="exact" w:before="1"/>
              <w:ind w:left="1602" w:right="1490"/>
              <w:jc w:val="center"/>
              <w:rPr>
                <w:sz w:val="21"/>
              </w:rPr>
            </w:pPr>
            <w:r>
              <w:rPr>
                <w:sz w:val="21"/>
              </w:rPr>
              <w:t>项目 </w:t>
            </w:r>
          </w:p>
        </w:tc>
        <w:tc>
          <w:tcPr>
            <w:tcW w:w="2626" w:type="dxa"/>
          </w:tcPr>
          <w:p>
            <w:pPr>
              <w:pStyle w:val="TableParagraph"/>
              <w:spacing w:line="252" w:lineRule="exact" w:before="1"/>
              <w:ind w:left="787"/>
              <w:rPr>
                <w:sz w:val="21"/>
              </w:rPr>
            </w:pPr>
            <w:r>
              <w:rPr>
                <w:sz w:val="21"/>
              </w:rPr>
              <w:t>本期发生额 </w:t>
            </w:r>
          </w:p>
        </w:tc>
        <w:tc>
          <w:tcPr>
            <w:tcW w:w="2636" w:type="dxa"/>
          </w:tcPr>
          <w:p>
            <w:pPr>
              <w:pStyle w:val="TableParagraph"/>
              <w:spacing w:line="252" w:lineRule="exact" w:before="1"/>
              <w:ind w:left="791"/>
              <w:rPr>
                <w:sz w:val="21"/>
              </w:rPr>
            </w:pPr>
            <w:r>
              <w:rPr>
                <w:sz w:val="21"/>
              </w:rPr>
              <w:t>上期发生额 </w:t>
            </w:r>
          </w:p>
        </w:tc>
      </w:tr>
      <w:tr>
        <w:trPr>
          <w:trHeight w:val="270" w:hRule="atLeast"/>
        </w:trPr>
        <w:tc>
          <w:tcPr>
            <w:tcW w:w="3562" w:type="dxa"/>
          </w:tcPr>
          <w:p>
            <w:pPr>
              <w:pStyle w:val="TableParagraph"/>
              <w:spacing w:line="250" w:lineRule="exact" w:before="1"/>
              <w:ind w:left="107"/>
              <w:rPr>
                <w:sz w:val="21"/>
              </w:rPr>
            </w:pPr>
            <w:r>
              <w:rPr>
                <w:spacing w:val="-1"/>
                <w:sz w:val="21"/>
              </w:rPr>
              <w:t>成本法核算的长期股权投资收益</w:t>
            </w:r>
            <w:r>
              <w:rPr>
                <w:sz w:val="21"/>
              </w:rPr>
              <w:t> </w:t>
            </w:r>
          </w:p>
        </w:tc>
        <w:tc>
          <w:tcPr>
            <w:tcW w:w="2626" w:type="dxa"/>
          </w:tcPr>
          <w:p>
            <w:pPr>
              <w:pStyle w:val="TableParagraph"/>
              <w:spacing w:line="250" w:lineRule="exact" w:before="1"/>
              <w:ind w:left="107"/>
              <w:rPr>
                <w:sz w:val="24"/>
              </w:rPr>
            </w:pPr>
            <w:r>
              <w:rPr>
                <w:sz w:val="21"/>
              </w:rPr>
              <w:t>10,000,000</w:t>
            </w:r>
            <w:r>
              <w:rPr>
                <w:sz w:val="24"/>
              </w:rPr>
              <w:t> </w:t>
            </w:r>
          </w:p>
        </w:tc>
        <w:tc>
          <w:tcPr>
            <w:tcW w:w="2636" w:type="dxa"/>
          </w:tcPr>
          <w:p>
            <w:pPr>
              <w:pStyle w:val="TableParagraph"/>
              <w:spacing w:line="250" w:lineRule="exact" w:before="1"/>
              <w:ind w:left="107"/>
              <w:rPr>
                <w:sz w:val="21"/>
              </w:rPr>
            </w:pPr>
            <w:r>
              <w:rPr>
                <w:sz w:val="21"/>
              </w:rPr>
              <w:t>13,000,000 </w:t>
            </w:r>
          </w:p>
        </w:tc>
      </w:tr>
      <w:tr>
        <w:trPr>
          <w:trHeight w:val="273" w:hRule="atLeast"/>
        </w:trPr>
        <w:tc>
          <w:tcPr>
            <w:tcW w:w="3562" w:type="dxa"/>
          </w:tcPr>
          <w:p>
            <w:pPr>
              <w:pStyle w:val="TableParagraph"/>
              <w:spacing w:line="252" w:lineRule="exact" w:before="1"/>
              <w:ind w:left="107"/>
              <w:rPr>
                <w:sz w:val="21"/>
              </w:rPr>
            </w:pPr>
            <w:r>
              <w:rPr>
                <w:spacing w:val="-1"/>
                <w:sz w:val="21"/>
              </w:rPr>
              <w:t>权益法核算的长期股权投资收益</w:t>
            </w:r>
            <w:r>
              <w:rPr>
                <w:sz w:val="21"/>
              </w:rPr>
              <w:t> </w:t>
            </w:r>
          </w:p>
        </w:tc>
        <w:tc>
          <w:tcPr>
            <w:tcW w:w="2626" w:type="dxa"/>
          </w:tcPr>
          <w:p>
            <w:pPr>
              <w:pStyle w:val="TableParagraph"/>
              <w:spacing w:line="252" w:lineRule="exact" w:before="1"/>
              <w:ind w:left="107"/>
              <w:rPr>
                <w:sz w:val="24"/>
              </w:rPr>
            </w:pPr>
            <w:r>
              <w:rPr>
                <w:sz w:val="21"/>
              </w:rPr>
              <w:t>23,710</w:t>
            </w:r>
            <w:r>
              <w:rPr>
                <w:sz w:val="24"/>
              </w:rPr>
              <w:t> </w:t>
            </w:r>
          </w:p>
        </w:tc>
        <w:tc>
          <w:tcPr>
            <w:tcW w:w="2636" w:type="dxa"/>
          </w:tcPr>
          <w:p>
            <w:pPr>
              <w:pStyle w:val="TableParagraph"/>
              <w:spacing w:line="252" w:lineRule="exact" w:before="1"/>
              <w:ind w:left="107"/>
              <w:rPr>
                <w:sz w:val="21"/>
              </w:rPr>
            </w:pPr>
            <w:r>
              <w:rPr>
                <w:sz w:val="21"/>
              </w:rPr>
              <w:t>10,890 </w:t>
            </w:r>
          </w:p>
        </w:tc>
      </w:tr>
      <w:tr>
        <w:trPr>
          <w:trHeight w:val="311" w:hRule="atLeast"/>
        </w:trPr>
        <w:tc>
          <w:tcPr>
            <w:tcW w:w="3562" w:type="dxa"/>
          </w:tcPr>
          <w:p>
            <w:pPr>
              <w:pStyle w:val="TableParagraph"/>
              <w:spacing w:before="1"/>
              <w:ind w:left="107"/>
              <w:rPr>
                <w:sz w:val="21"/>
              </w:rPr>
            </w:pPr>
            <w:r>
              <w:rPr>
                <w:spacing w:val="-1"/>
                <w:sz w:val="21"/>
              </w:rPr>
              <w:t>处置长期股权投资产生的投资收益</w:t>
            </w:r>
            <w:r>
              <w:rPr>
                <w:sz w:val="21"/>
              </w:rPr>
              <w:t> </w:t>
            </w:r>
          </w:p>
        </w:tc>
        <w:tc>
          <w:tcPr>
            <w:tcW w:w="2626" w:type="dxa"/>
          </w:tcPr>
          <w:p>
            <w:pPr>
              <w:pStyle w:val="TableParagraph"/>
              <w:spacing w:line="292" w:lineRule="exact"/>
              <w:ind w:left="107"/>
              <w:rPr>
                <w:sz w:val="24"/>
              </w:rPr>
            </w:pPr>
            <w:r>
              <w:rPr>
                <w:sz w:val="24"/>
              </w:rPr>
              <w:t> </w:t>
            </w:r>
          </w:p>
        </w:tc>
        <w:tc>
          <w:tcPr>
            <w:tcW w:w="2636" w:type="dxa"/>
          </w:tcPr>
          <w:p>
            <w:pPr>
              <w:pStyle w:val="TableParagraph"/>
              <w:spacing w:before="20"/>
              <w:ind w:left="107"/>
              <w:rPr>
                <w:sz w:val="21"/>
              </w:rPr>
            </w:pPr>
            <w:r>
              <w:rPr>
                <w:w w:val="100"/>
                <w:sz w:val="21"/>
              </w:rPr>
              <w:t> </w:t>
            </w:r>
          </w:p>
        </w:tc>
      </w:tr>
      <w:tr>
        <w:trPr>
          <w:trHeight w:val="544" w:hRule="atLeast"/>
        </w:trPr>
        <w:tc>
          <w:tcPr>
            <w:tcW w:w="3562" w:type="dxa"/>
          </w:tcPr>
          <w:p>
            <w:pPr>
              <w:pStyle w:val="TableParagraph"/>
              <w:spacing w:before="1"/>
              <w:ind w:left="107"/>
              <w:rPr>
                <w:sz w:val="21"/>
              </w:rPr>
            </w:pPr>
            <w:r>
              <w:rPr>
                <w:sz w:val="21"/>
              </w:rPr>
              <w:t>交易性金融资产在持有期间的投资</w:t>
            </w:r>
          </w:p>
          <w:p>
            <w:pPr>
              <w:pStyle w:val="TableParagraph"/>
              <w:spacing w:line="252" w:lineRule="exact" w:before="2"/>
              <w:ind w:left="107"/>
              <w:rPr>
                <w:sz w:val="21"/>
              </w:rPr>
            </w:pPr>
            <w:r>
              <w:rPr>
                <w:sz w:val="21"/>
              </w:rPr>
              <w:t>收益 </w:t>
            </w:r>
          </w:p>
        </w:tc>
        <w:tc>
          <w:tcPr>
            <w:tcW w:w="2626" w:type="dxa"/>
          </w:tcPr>
          <w:p>
            <w:pPr>
              <w:pStyle w:val="TableParagraph"/>
              <w:spacing w:before="1"/>
              <w:ind w:right="-15"/>
              <w:jc w:val="right"/>
              <w:rPr>
                <w:sz w:val="21"/>
              </w:rPr>
            </w:pPr>
            <w:r>
              <w:rPr>
                <w:w w:val="100"/>
                <w:sz w:val="21"/>
              </w:rPr>
              <w:t> </w:t>
            </w:r>
          </w:p>
        </w:tc>
        <w:tc>
          <w:tcPr>
            <w:tcW w:w="2636" w:type="dxa"/>
          </w:tcPr>
          <w:p>
            <w:pPr>
              <w:pStyle w:val="TableParagraph"/>
              <w:spacing w:before="1"/>
              <w:ind w:right="-15"/>
              <w:jc w:val="right"/>
              <w:rPr>
                <w:sz w:val="21"/>
              </w:rPr>
            </w:pPr>
            <w:r>
              <w:rPr>
                <w:w w:val="100"/>
                <w:sz w:val="21"/>
              </w:rPr>
              <w:t> </w:t>
            </w:r>
          </w:p>
        </w:tc>
      </w:tr>
      <w:tr>
        <w:trPr>
          <w:trHeight w:val="544" w:hRule="atLeast"/>
        </w:trPr>
        <w:tc>
          <w:tcPr>
            <w:tcW w:w="3562" w:type="dxa"/>
          </w:tcPr>
          <w:p>
            <w:pPr>
              <w:pStyle w:val="TableParagraph"/>
              <w:spacing w:before="1"/>
              <w:ind w:left="107"/>
              <w:rPr>
                <w:sz w:val="21"/>
              </w:rPr>
            </w:pPr>
            <w:r>
              <w:rPr>
                <w:sz w:val="21"/>
              </w:rPr>
              <w:t>其他权益工具投资在持有期间取得</w:t>
            </w:r>
          </w:p>
          <w:p>
            <w:pPr>
              <w:pStyle w:val="TableParagraph"/>
              <w:spacing w:line="252" w:lineRule="exact" w:before="2"/>
              <w:ind w:left="107"/>
              <w:rPr>
                <w:sz w:val="21"/>
              </w:rPr>
            </w:pPr>
            <w:r>
              <w:rPr>
                <w:sz w:val="21"/>
              </w:rPr>
              <w:t>的股利收入 </w:t>
            </w:r>
          </w:p>
        </w:tc>
        <w:tc>
          <w:tcPr>
            <w:tcW w:w="2626" w:type="dxa"/>
          </w:tcPr>
          <w:p>
            <w:pPr>
              <w:pStyle w:val="TableParagraph"/>
              <w:spacing w:before="1"/>
              <w:ind w:right="-15"/>
              <w:jc w:val="right"/>
              <w:rPr>
                <w:sz w:val="21"/>
              </w:rPr>
            </w:pPr>
            <w:r>
              <w:rPr>
                <w:w w:val="100"/>
                <w:sz w:val="21"/>
              </w:rPr>
              <w:t> </w:t>
            </w:r>
          </w:p>
        </w:tc>
        <w:tc>
          <w:tcPr>
            <w:tcW w:w="2636" w:type="dxa"/>
          </w:tcPr>
          <w:p>
            <w:pPr>
              <w:pStyle w:val="TableParagraph"/>
              <w:spacing w:before="1"/>
              <w:ind w:right="-15"/>
              <w:jc w:val="right"/>
              <w:rPr>
                <w:sz w:val="21"/>
              </w:rPr>
            </w:pPr>
            <w:r>
              <w:rPr>
                <w:w w:val="100"/>
                <w:sz w:val="21"/>
              </w:rPr>
              <w:t> </w:t>
            </w:r>
          </w:p>
        </w:tc>
      </w:tr>
      <w:tr>
        <w:trPr>
          <w:trHeight w:val="544" w:hRule="atLeast"/>
        </w:trPr>
        <w:tc>
          <w:tcPr>
            <w:tcW w:w="3562" w:type="dxa"/>
          </w:tcPr>
          <w:p>
            <w:pPr>
              <w:pStyle w:val="TableParagraph"/>
              <w:spacing w:before="1"/>
              <w:ind w:left="107"/>
              <w:rPr>
                <w:sz w:val="21"/>
              </w:rPr>
            </w:pPr>
            <w:r>
              <w:rPr>
                <w:sz w:val="21"/>
              </w:rPr>
              <w:t>债权投资在持有期间取得的利息收</w:t>
            </w:r>
          </w:p>
          <w:p>
            <w:pPr>
              <w:pStyle w:val="TableParagraph"/>
              <w:spacing w:line="250" w:lineRule="exact" w:before="5"/>
              <w:ind w:left="107"/>
              <w:rPr>
                <w:sz w:val="21"/>
              </w:rPr>
            </w:pPr>
            <w:r>
              <w:rPr>
                <w:sz w:val="21"/>
              </w:rPr>
              <w:t>入 </w:t>
            </w:r>
          </w:p>
        </w:tc>
        <w:tc>
          <w:tcPr>
            <w:tcW w:w="2626" w:type="dxa"/>
          </w:tcPr>
          <w:p>
            <w:pPr>
              <w:pStyle w:val="TableParagraph"/>
              <w:spacing w:before="1"/>
              <w:ind w:right="-15"/>
              <w:jc w:val="right"/>
              <w:rPr>
                <w:sz w:val="21"/>
              </w:rPr>
            </w:pPr>
            <w:r>
              <w:rPr>
                <w:w w:val="100"/>
                <w:sz w:val="21"/>
              </w:rPr>
              <w:t> </w:t>
            </w:r>
          </w:p>
        </w:tc>
        <w:tc>
          <w:tcPr>
            <w:tcW w:w="2636" w:type="dxa"/>
          </w:tcPr>
          <w:p>
            <w:pPr>
              <w:pStyle w:val="TableParagraph"/>
              <w:spacing w:before="1"/>
              <w:ind w:right="-15"/>
              <w:jc w:val="right"/>
              <w:rPr>
                <w:sz w:val="21"/>
              </w:rPr>
            </w:pPr>
            <w:r>
              <w:rPr>
                <w:w w:val="100"/>
                <w:sz w:val="21"/>
              </w:rPr>
              <w:t> </w:t>
            </w:r>
          </w:p>
        </w:tc>
      </w:tr>
      <w:tr>
        <w:trPr>
          <w:trHeight w:val="544" w:hRule="atLeast"/>
        </w:trPr>
        <w:tc>
          <w:tcPr>
            <w:tcW w:w="3562" w:type="dxa"/>
          </w:tcPr>
          <w:p>
            <w:pPr>
              <w:pStyle w:val="TableParagraph"/>
              <w:spacing w:before="1"/>
              <w:ind w:left="107"/>
              <w:rPr>
                <w:sz w:val="21"/>
              </w:rPr>
            </w:pPr>
            <w:r>
              <w:rPr>
                <w:sz w:val="21"/>
              </w:rPr>
              <w:t>其他债权投资在持有期间取得的利</w:t>
            </w:r>
          </w:p>
          <w:p>
            <w:pPr>
              <w:pStyle w:val="TableParagraph"/>
              <w:spacing w:line="250" w:lineRule="exact" w:before="4"/>
              <w:ind w:left="107"/>
              <w:rPr>
                <w:sz w:val="21"/>
              </w:rPr>
            </w:pPr>
            <w:r>
              <w:rPr>
                <w:sz w:val="21"/>
              </w:rPr>
              <w:t>息收入 </w:t>
            </w:r>
          </w:p>
        </w:tc>
        <w:tc>
          <w:tcPr>
            <w:tcW w:w="2626" w:type="dxa"/>
          </w:tcPr>
          <w:p>
            <w:pPr>
              <w:pStyle w:val="TableParagraph"/>
              <w:spacing w:before="1"/>
              <w:ind w:right="-15"/>
              <w:jc w:val="right"/>
              <w:rPr>
                <w:sz w:val="21"/>
              </w:rPr>
            </w:pPr>
            <w:r>
              <w:rPr>
                <w:w w:val="100"/>
                <w:sz w:val="21"/>
              </w:rPr>
              <w:t> </w:t>
            </w:r>
          </w:p>
        </w:tc>
        <w:tc>
          <w:tcPr>
            <w:tcW w:w="2636" w:type="dxa"/>
          </w:tcPr>
          <w:p>
            <w:pPr>
              <w:pStyle w:val="TableParagraph"/>
              <w:spacing w:before="1"/>
              <w:ind w:right="-15"/>
              <w:jc w:val="right"/>
              <w:rPr>
                <w:sz w:val="21"/>
              </w:rPr>
            </w:pPr>
            <w:r>
              <w:rPr>
                <w:w w:val="100"/>
                <w:sz w:val="21"/>
              </w:rPr>
              <w:t> </w:t>
            </w:r>
          </w:p>
        </w:tc>
      </w:tr>
      <w:tr>
        <w:trPr>
          <w:trHeight w:val="544" w:hRule="atLeast"/>
        </w:trPr>
        <w:tc>
          <w:tcPr>
            <w:tcW w:w="3562" w:type="dxa"/>
          </w:tcPr>
          <w:p>
            <w:pPr>
              <w:pStyle w:val="TableParagraph"/>
              <w:spacing w:before="1"/>
              <w:ind w:left="107"/>
              <w:rPr>
                <w:sz w:val="21"/>
              </w:rPr>
            </w:pPr>
            <w:r>
              <w:rPr>
                <w:sz w:val="21"/>
              </w:rPr>
              <w:t>处置交易性金融资产取得的投资收</w:t>
            </w:r>
          </w:p>
          <w:p>
            <w:pPr>
              <w:pStyle w:val="TableParagraph"/>
              <w:spacing w:line="250" w:lineRule="exact" w:before="4"/>
              <w:ind w:left="107"/>
              <w:rPr>
                <w:sz w:val="21"/>
              </w:rPr>
            </w:pPr>
            <w:r>
              <w:rPr>
                <w:sz w:val="21"/>
              </w:rPr>
              <w:t>益 </w:t>
            </w:r>
          </w:p>
        </w:tc>
        <w:tc>
          <w:tcPr>
            <w:tcW w:w="2626" w:type="dxa"/>
          </w:tcPr>
          <w:p>
            <w:pPr>
              <w:pStyle w:val="TableParagraph"/>
              <w:spacing w:before="1"/>
              <w:ind w:right="-15"/>
              <w:jc w:val="right"/>
              <w:rPr>
                <w:sz w:val="21"/>
              </w:rPr>
            </w:pPr>
            <w:r>
              <w:rPr>
                <w:w w:val="100"/>
                <w:sz w:val="21"/>
              </w:rPr>
              <w:t> </w:t>
            </w:r>
          </w:p>
        </w:tc>
        <w:tc>
          <w:tcPr>
            <w:tcW w:w="2636" w:type="dxa"/>
          </w:tcPr>
          <w:p>
            <w:pPr>
              <w:pStyle w:val="TableParagraph"/>
              <w:spacing w:before="1"/>
              <w:ind w:right="-15"/>
              <w:jc w:val="right"/>
              <w:rPr>
                <w:sz w:val="21"/>
              </w:rPr>
            </w:pPr>
            <w:r>
              <w:rPr>
                <w:w w:val="100"/>
                <w:sz w:val="21"/>
              </w:rPr>
              <w:t> </w:t>
            </w:r>
          </w:p>
        </w:tc>
      </w:tr>
      <w:tr>
        <w:trPr>
          <w:trHeight w:val="544" w:hRule="atLeast"/>
        </w:trPr>
        <w:tc>
          <w:tcPr>
            <w:tcW w:w="3562" w:type="dxa"/>
          </w:tcPr>
          <w:p>
            <w:pPr>
              <w:pStyle w:val="TableParagraph"/>
              <w:spacing w:before="1"/>
              <w:ind w:left="107"/>
              <w:rPr>
                <w:sz w:val="21"/>
              </w:rPr>
            </w:pPr>
            <w:r>
              <w:rPr>
                <w:sz w:val="21"/>
              </w:rPr>
              <w:t>处置其他权益工具投资取得的投资</w:t>
            </w:r>
          </w:p>
          <w:p>
            <w:pPr>
              <w:pStyle w:val="TableParagraph"/>
              <w:spacing w:line="250" w:lineRule="exact" w:before="4"/>
              <w:ind w:left="107"/>
              <w:rPr>
                <w:sz w:val="21"/>
              </w:rPr>
            </w:pPr>
            <w:r>
              <w:rPr>
                <w:sz w:val="21"/>
              </w:rPr>
              <w:t>收益 </w:t>
            </w:r>
          </w:p>
        </w:tc>
        <w:tc>
          <w:tcPr>
            <w:tcW w:w="2626" w:type="dxa"/>
          </w:tcPr>
          <w:p>
            <w:pPr>
              <w:pStyle w:val="TableParagraph"/>
              <w:spacing w:before="1"/>
              <w:ind w:right="-15"/>
              <w:jc w:val="right"/>
              <w:rPr>
                <w:sz w:val="21"/>
              </w:rPr>
            </w:pPr>
            <w:r>
              <w:rPr>
                <w:w w:val="100"/>
                <w:sz w:val="21"/>
              </w:rPr>
              <w:t> </w:t>
            </w:r>
          </w:p>
        </w:tc>
        <w:tc>
          <w:tcPr>
            <w:tcW w:w="2636" w:type="dxa"/>
          </w:tcPr>
          <w:p>
            <w:pPr>
              <w:pStyle w:val="TableParagraph"/>
              <w:spacing w:before="1"/>
              <w:ind w:right="-15"/>
              <w:jc w:val="right"/>
              <w:rPr>
                <w:sz w:val="21"/>
              </w:rPr>
            </w:pPr>
            <w:r>
              <w:rPr>
                <w:w w:val="100"/>
                <w:sz w:val="21"/>
              </w:rPr>
              <w:t> </w:t>
            </w:r>
          </w:p>
        </w:tc>
      </w:tr>
      <w:tr>
        <w:trPr>
          <w:trHeight w:val="273" w:hRule="atLeast"/>
        </w:trPr>
        <w:tc>
          <w:tcPr>
            <w:tcW w:w="3562" w:type="dxa"/>
          </w:tcPr>
          <w:p>
            <w:pPr>
              <w:pStyle w:val="TableParagraph"/>
              <w:spacing w:line="250" w:lineRule="exact" w:before="3"/>
              <w:ind w:left="107"/>
              <w:rPr>
                <w:sz w:val="21"/>
              </w:rPr>
            </w:pPr>
            <w:r>
              <w:rPr>
                <w:spacing w:val="-1"/>
                <w:sz w:val="21"/>
              </w:rPr>
              <w:t>处置债权投资取得的投资收益</w:t>
            </w:r>
            <w:r>
              <w:rPr>
                <w:sz w:val="21"/>
              </w:rPr>
              <w:t> </w:t>
            </w:r>
          </w:p>
        </w:tc>
        <w:tc>
          <w:tcPr>
            <w:tcW w:w="2626" w:type="dxa"/>
          </w:tcPr>
          <w:p>
            <w:pPr>
              <w:pStyle w:val="TableParagraph"/>
              <w:spacing w:line="250" w:lineRule="exact" w:before="3"/>
              <w:ind w:right="-15"/>
              <w:jc w:val="right"/>
              <w:rPr>
                <w:sz w:val="21"/>
              </w:rPr>
            </w:pPr>
            <w:r>
              <w:rPr>
                <w:w w:val="100"/>
                <w:sz w:val="21"/>
              </w:rPr>
              <w:t> </w:t>
            </w:r>
          </w:p>
        </w:tc>
        <w:tc>
          <w:tcPr>
            <w:tcW w:w="2636" w:type="dxa"/>
          </w:tcPr>
          <w:p>
            <w:pPr>
              <w:pStyle w:val="TableParagraph"/>
              <w:spacing w:line="250" w:lineRule="exact" w:before="3"/>
              <w:ind w:right="-15"/>
              <w:jc w:val="right"/>
              <w:rPr>
                <w:sz w:val="21"/>
              </w:rPr>
            </w:pPr>
            <w:r>
              <w:rPr>
                <w:w w:val="100"/>
                <w:sz w:val="21"/>
              </w:rPr>
              <w:t> </w:t>
            </w:r>
          </w:p>
        </w:tc>
      </w:tr>
      <w:tr>
        <w:trPr>
          <w:trHeight w:val="273" w:hRule="atLeast"/>
        </w:trPr>
        <w:tc>
          <w:tcPr>
            <w:tcW w:w="3562" w:type="dxa"/>
          </w:tcPr>
          <w:p>
            <w:pPr>
              <w:pStyle w:val="TableParagraph"/>
              <w:spacing w:line="252" w:lineRule="exact" w:before="1"/>
              <w:ind w:left="107"/>
              <w:rPr>
                <w:sz w:val="21"/>
              </w:rPr>
            </w:pPr>
            <w:r>
              <w:rPr>
                <w:spacing w:val="-1"/>
                <w:sz w:val="21"/>
              </w:rPr>
              <w:t>处置其他债权投资取得的投资收益</w:t>
            </w:r>
            <w:r>
              <w:rPr>
                <w:sz w:val="21"/>
              </w:rPr>
              <w:t> </w:t>
            </w:r>
          </w:p>
        </w:tc>
        <w:tc>
          <w:tcPr>
            <w:tcW w:w="2626" w:type="dxa"/>
          </w:tcPr>
          <w:p>
            <w:pPr>
              <w:pStyle w:val="TableParagraph"/>
              <w:spacing w:line="252" w:lineRule="exact" w:before="1"/>
              <w:ind w:right="-15"/>
              <w:jc w:val="right"/>
              <w:rPr>
                <w:sz w:val="21"/>
              </w:rPr>
            </w:pPr>
            <w:r>
              <w:rPr>
                <w:w w:val="100"/>
                <w:sz w:val="21"/>
              </w:rPr>
              <w:t> </w:t>
            </w:r>
          </w:p>
        </w:tc>
        <w:tc>
          <w:tcPr>
            <w:tcW w:w="2636" w:type="dxa"/>
          </w:tcPr>
          <w:p>
            <w:pPr>
              <w:pStyle w:val="TableParagraph"/>
              <w:spacing w:line="252" w:lineRule="exact" w:before="1"/>
              <w:ind w:right="-15"/>
              <w:jc w:val="right"/>
              <w:rPr>
                <w:sz w:val="21"/>
              </w:rPr>
            </w:pPr>
            <w:r>
              <w:rPr>
                <w:w w:val="100"/>
                <w:sz w:val="21"/>
              </w:rPr>
              <w:t> </w:t>
            </w:r>
          </w:p>
        </w:tc>
      </w:tr>
      <w:tr>
        <w:trPr>
          <w:trHeight w:val="270" w:hRule="atLeast"/>
        </w:trPr>
        <w:tc>
          <w:tcPr>
            <w:tcW w:w="3562" w:type="dxa"/>
          </w:tcPr>
          <w:p>
            <w:pPr>
              <w:pStyle w:val="TableParagraph"/>
              <w:spacing w:line="250" w:lineRule="exact" w:before="1"/>
              <w:ind w:left="107"/>
              <w:rPr>
                <w:sz w:val="21"/>
              </w:rPr>
            </w:pPr>
            <w:r>
              <w:rPr>
                <w:spacing w:val="-1"/>
                <w:sz w:val="21"/>
              </w:rPr>
              <w:t>债务重组收益</w:t>
            </w:r>
            <w:r>
              <w:rPr>
                <w:sz w:val="21"/>
              </w:rPr>
              <w:t> </w:t>
            </w:r>
          </w:p>
        </w:tc>
        <w:tc>
          <w:tcPr>
            <w:tcW w:w="2626" w:type="dxa"/>
          </w:tcPr>
          <w:p>
            <w:pPr>
              <w:pStyle w:val="TableParagraph"/>
              <w:spacing w:line="250" w:lineRule="exact" w:before="1"/>
              <w:ind w:right="-15"/>
              <w:jc w:val="right"/>
              <w:rPr>
                <w:sz w:val="21"/>
              </w:rPr>
            </w:pPr>
            <w:r>
              <w:rPr>
                <w:w w:val="100"/>
                <w:sz w:val="21"/>
              </w:rPr>
              <w:t> </w:t>
            </w:r>
          </w:p>
        </w:tc>
        <w:tc>
          <w:tcPr>
            <w:tcW w:w="2636" w:type="dxa"/>
          </w:tcPr>
          <w:p>
            <w:pPr>
              <w:pStyle w:val="TableParagraph"/>
              <w:spacing w:line="250" w:lineRule="exact" w:before="1"/>
              <w:ind w:right="-15"/>
              <w:jc w:val="right"/>
              <w:rPr>
                <w:sz w:val="21"/>
              </w:rPr>
            </w:pPr>
            <w:r>
              <w:rPr>
                <w:w w:val="100"/>
                <w:sz w:val="21"/>
              </w:rPr>
              <w:t> </w:t>
            </w:r>
          </w:p>
        </w:tc>
      </w:tr>
    </w:tbl>
    <w:p>
      <w:pPr>
        <w:spacing w:after="0" w:line="250" w:lineRule="exact"/>
        <w:jc w:val="right"/>
        <w:rPr>
          <w:sz w:val="21"/>
        </w:rPr>
        <w:sectPr>
          <w:headerReference w:type="default" r:id="rId74"/>
          <w:footerReference w:type="default" r:id="rId75"/>
          <w:pgSz w:w="11910" w:h="16840"/>
          <w:pgMar w:header="882" w:footer="1195" w:top="1460" w:bottom="1380" w:left="1680" w:right="960"/>
        </w:sectPr>
      </w:pPr>
    </w:p>
    <w:p>
      <w:pPr>
        <w:pStyle w:val="BodyText"/>
        <w:spacing w:before="9"/>
        <w:ind w:left="0"/>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2"/>
        <w:gridCol w:w="2626"/>
        <w:gridCol w:w="2636"/>
      </w:tblGrid>
      <w:tr>
        <w:trPr>
          <w:trHeight w:val="273" w:hRule="atLeast"/>
        </w:trPr>
        <w:tc>
          <w:tcPr>
            <w:tcW w:w="3562" w:type="dxa"/>
          </w:tcPr>
          <w:p>
            <w:pPr>
              <w:pStyle w:val="TableParagraph"/>
              <w:spacing w:line="250" w:lineRule="exact" w:before="3"/>
              <w:ind w:left="107"/>
              <w:rPr>
                <w:sz w:val="21"/>
              </w:rPr>
            </w:pPr>
            <w:r>
              <w:rPr>
                <w:w w:val="100"/>
                <w:sz w:val="21"/>
              </w:rPr>
              <w:t> </w:t>
            </w:r>
          </w:p>
        </w:tc>
        <w:tc>
          <w:tcPr>
            <w:tcW w:w="2626" w:type="dxa"/>
          </w:tcPr>
          <w:p>
            <w:pPr>
              <w:pStyle w:val="TableParagraph"/>
              <w:spacing w:line="250" w:lineRule="exact" w:before="3"/>
              <w:ind w:right="-15"/>
              <w:jc w:val="right"/>
              <w:rPr>
                <w:sz w:val="21"/>
              </w:rPr>
            </w:pPr>
            <w:r>
              <w:rPr>
                <w:w w:val="100"/>
                <w:sz w:val="21"/>
              </w:rPr>
              <w:t> </w:t>
            </w:r>
          </w:p>
        </w:tc>
        <w:tc>
          <w:tcPr>
            <w:tcW w:w="2636" w:type="dxa"/>
          </w:tcPr>
          <w:p>
            <w:pPr>
              <w:pStyle w:val="TableParagraph"/>
              <w:spacing w:line="250" w:lineRule="exact" w:before="3"/>
              <w:ind w:right="-15"/>
              <w:jc w:val="right"/>
              <w:rPr>
                <w:sz w:val="21"/>
              </w:rPr>
            </w:pPr>
            <w:r>
              <w:rPr>
                <w:w w:val="100"/>
                <w:sz w:val="21"/>
              </w:rPr>
              <w:t> </w:t>
            </w:r>
          </w:p>
        </w:tc>
      </w:tr>
      <w:tr>
        <w:trPr>
          <w:trHeight w:val="273" w:hRule="atLeast"/>
        </w:trPr>
        <w:tc>
          <w:tcPr>
            <w:tcW w:w="3562" w:type="dxa"/>
          </w:tcPr>
          <w:p>
            <w:pPr>
              <w:pStyle w:val="TableParagraph"/>
              <w:spacing w:line="252" w:lineRule="exact" w:before="1"/>
              <w:ind w:left="107"/>
              <w:rPr>
                <w:sz w:val="21"/>
              </w:rPr>
            </w:pPr>
            <w:r>
              <w:rPr>
                <w:w w:val="100"/>
                <w:sz w:val="21"/>
              </w:rPr>
              <w:t> </w:t>
            </w:r>
          </w:p>
        </w:tc>
        <w:tc>
          <w:tcPr>
            <w:tcW w:w="2626" w:type="dxa"/>
          </w:tcPr>
          <w:p>
            <w:pPr>
              <w:pStyle w:val="TableParagraph"/>
              <w:spacing w:line="252" w:lineRule="exact" w:before="1"/>
              <w:ind w:right="-15"/>
              <w:jc w:val="right"/>
              <w:rPr>
                <w:sz w:val="21"/>
              </w:rPr>
            </w:pPr>
            <w:r>
              <w:rPr>
                <w:w w:val="100"/>
                <w:sz w:val="21"/>
              </w:rPr>
              <w:t> </w:t>
            </w:r>
          </w:p>
        </w:tc>
        <w:tc>
          <w:tcPr>
            <w:tcW w:w="2636" w:type="dxa"/>
          </w:tcPr>
          <w:p>
            <w:pPr>
              <w:pStyle w:val="TableParagraph"/>
              <w:spacing w:line="252" w:lineRule="exact" w:before="1"/>
              <w:ind w:right="-15"/>
              <w:jc w:val="right"/>
              <w:rPr>
                <w:sz w:val="21"/>
              </w:rPr>
            </w:pPr>
            <w:r>
              <w:rPr>
                <w:w w:val="100"/>
                <w:sz w:val="21"/>
              </w:rPr>
              <w:t> </w:t>
            </w:r>
          </w:p>
        </w:tc>
      </w:tr>
      <w:tr>
        <w:trPr>
          <w:trHeight w:val="273" w:hRule="atLeast"/>
        </w:trPr>
        <w:tc>
          <w:tcPr>
            <w:tcW w:w="3562" w:type="dxa"/>
          </w:tcPr>
          <w:p>
            <w:pPr>
              <w:pStyle w:val="TableParagraph"/>
              <w:spacing w:line="252" w:lineRule="exact" w:before="1"/>
              <w:ind w:left="1602" w:right="1490"/>
              <w:jc w:val="center"/>
              <w:rPr>
                <w:sz w:val="21"/>
              </w:rPr>
            </w:pPr>
            <w:r>
              <w:rPr>
                <w:sz w:val="21"/>
              </w:rPr>
              <w:t>合计 </w:t>
            </w:r>
          </w:p>
        </w:tc>
        <w:tc>
          <w:tcPr>
            <w:tcW w:w="2626" w:type="dxa"/>
          </w:tcPr>
          <w:p>
            <w:pPr>
              <w:pStyle w:val="TableParagraph"/>
              <w:spacing w:line="252" w:lineRule="exact" w:before="1"/>
              <w:ind w:right="-29"/>
              <w:jc w:val="right"/>
              <w:rPr>
                <w:sz w:val="24"/>
              </w:rPr>
            </w:pPr>
            <w:r>
              <w:rPr>
                <w:sz w:val="21"/>
              </w:rPr>
              <w:t>10,023,710</w:t>
            </w:r>
            <w:r>
              <w:rPr>
                <w:sz w:val="24"/>
              </w:rPr>
              <w:t> </w:t>
            </w:r>
          </w:p>
        </w:tc>
        <w:tc>
          <w:tcPr>
            <w:tcW w:w="2636" w:type="dxa"/>
          </w:tcPr>
          <w:p>
            <w:pPr>
              <w:pStyle w:val="TableParagraph"/>
              <w:spacing w:line="252" w:lineRule="exact" w:before="1"/>
              <w:ind w:right="-15"/>
              <w:jc w:val="right"/>
              <w:rPr>
                <w:sz w:val="21"/>
              </w:rPr>
            </w:pPr>
            <w:r>
              <w:rPr>
                <w:sz w:val="21"/>
              </w:rPr>
              <w:t>13,010,890 </w:t>
            </w:r>
          </w:p>
        </w:tc>
      </w:tr>
    </w:tbl>
    <w:p>
      <w:pPr>
        <w:pStyle w:val="BodyText"/>
        <w:spacing w:line="252" w:lineRule="auto" w:before="78"/>
        <w:ind w:left="118" w:right="7989"/>
      </w:pPr>
      <w:r>
        <w:rPr/>
        <w:t>其他说明：</w:t>
      </w:r>
      <w:r>
        <w:rPr>
          <w:spacing w:val="1"/>
        </w:rPr>
        <w:t> </w:t>
      </w:r>
      <w:r>
        <w:rPr/>
        <w:t>无 </w:t>
      </w:r>
    </w:p>
    <w:p>
      <w:pPr>
        <w:pStyle w:val="BodyText"/>
        <w:spacing w:line="258" w:lineRule="exact"/>
        <w:ind w:left="118"/>
      </w:pPr>
      <w:r>
        <w:rPr>
          <w:w w:val="100"/>
        </w:rPr>
        <w:t> </w:t>
      </w:r>
    </w:p>
    <w:p>
      <w:pPr>
        <w:pStyle w:val="BodyText"/>
        <w:spacing w:before="2"/>
        <w:ind w:left="118"/>
      </w:pPr>
      <w:r>
        <w:rPr>
          <w:w w:val="100"/>
        </w:rPr>
        <w:t> </w:t>
      </w:r>
    </w:p>
    <w:p>
      <w:pPr>
        <w:pStyle w:val="BodyText"/>
        <w:spacing w:before="64"/>
        <w:ind w:left="118"/>
      </w:pPr>
      <w:r>
        <w:rPr/>
        <w:t>6、 其他</w:t>
      </w:r>
    </w:p>
    <w:p>
      <w:pPr>
        <w:pStyle w:val="BodyText"/>
        <w:spacing w:before="63"/>
        <w:ind w:left="118"/>
      </w:pPr>
      <w:r>
        <w:rPr>
          <w:spacing w:val="11"/>
        </w:rPr>
        <w:t>□适用 √不适用</w:t>
      </w:r>
      <w:r>
        <w:rPr>
          <w:spacing w:val="-3"/>
        </w:rPr>
        <w:t> </w:t>
      </w:r>
      <w:r>
        <w:rPr/>
        <w:t> </w:t>
      </w:r>
    </w:p>
    <w:p>
      <w:pPr>
        <w:pStyle w:val="BodyText"/>
        <w:spacing w:before="4"/>
        <w:ind w:left="118"/>
      </w:pPr>
      <w:r>
        <w:rPr>
          <w:w w:val="100"/>
        </w:rPr>
        <w:t> </w:t>
      </w:r>
    </w:p>
    <w:p>
      <w:pPr>
        <w:pStyle w:val="BodyText"/>
        <w:spacing w:before="62"/>
        <w:ind w:left="118"/>
      </w:pPr>
      <w:r>
        <w:rPr>
          <w:spacing w:val="11"/>
        </w:rPr>
        <w:t>十八、 补充资料</w:t>
      </w:r>
      <w:r>
        <w:rPr/>
        <w:t> </w:t>
      </w:r>
    </w:p>
    <w:p>
      <w:pPr>
        <w:pStyle w:val="BodyText"/>
        <w:spacing w:before="65"/>
        <w:ind w:left="118"/>
      </w:pPr>
      <w:r>
        <w:rPr/>
        <w:t>1、 当期非经常性损益明细表 </w:t>
      </w:r>
    </w:p>
    <w:p>
      <w:pPr>
        <w:pStyle w:val="BodyText"/>
        <w:spacing w:before="63"/>
        <w:ind w:left="118"/>
      </w:pPr>
      <w:r>
        <w:rPr>
          <w:spacing w:val="11"/>
        </w:rPr>
        <w:t>√适用 □不适用</w:t>
      </w:r>
      <w:r>
        <w:rPr>
          <w:spacing w:val="-3"/>
        </w:rPr>
        <w:t> </w:t>
      </w:r>
      <w:r>
        <w:rPr/>
        <w:t> </w:t>
      </w:r>
    </w:p>
    <w:p>
      <w:pPr>
        <w:pStyle w:val="BodyText"/>
        <w:spacing w:before="4"/>
        <w:ind w:left="6428"/>
      </w:pPr>
      <w:r>
        <w:rPr>
          <w:spacing w:val="7"/>
        </w:rPr>
        <w:t>单位：千元 币种：人民币</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56"/>
        <w:gridCol w:w="2429"/>
        <w:gridCol w:w="2439"/>
      </w:tblGrid>
      <w:tr>
        <w:trPr>
          <w:trHeight w:val="273" w:hRule="atLeast"/>
        </w:trPr>
        <w:tc>
          <w:tcPr>
            <w:tcW w:w="3956" w:type="dxa"/>
          </w:tcPr>
          <w:p>
            <w:pPr>
              <w:pStyle w:val="TableParagraph"/>
              <w:spacing w:line="252" w:lineRule="exact" w:before="1"/>
              <w:ind w:left="1799" w:right="1687"/>
              <w:jc w:val="center"/>
              <w:rPr>
                <w:sz w:val="21"/>
              </w:rPr>
            </w:pPr>
            <w:r>
              <w:rPr>
                <w:sz w:val="21"/>
              </w:rPr>
              <w:t>项目 </w:t>
            </w:r>
          </w:p>
        </w:tc>
        <w:tc>
          <w:tcPr>
            <w:tcW w:w="2429" w:type="dxa"/>
          </w:tcPr>
          <w:p>
            <w:pPr>
              <w:pStyle w:val="TableParagraph"/>
              <w:spacing w:line="252" w:lineRule="exact" w:before="1"/>
              <w:ind w:left="1035" w:right="923"/>
              <w:jc w:val="center"/>
              <w:rPr>
                <w:sz w:val="21"/>
              </w:rPr>
            </w:pPr>
            <w:r>
              <w:rPr>
                <w:sz w:val="21"/>
              </w:rPr>
              <w:t>金额 </w:t>
            </w:r>
          </w:p>
        </w:tc>
        <w:tc>
          <w:tcPr>
            <w:tcW w:w="2439" w:type="dxa"/>
          </w:tcPr>
          <w:p>
            <w:pPr>
              <w:pStyle w:val="TableParagraph"/>
              <w:spacing w:line="252" w:lineRule="exact" w:before="1"/>
              <w:ind w:left="1041" w:right="928"/>
              <w:jc w:val="center"/>
              <w:rPr>
                <w:sz w:val="21"/>
              </w:rPr>
            </w:pPr>
            <w:r>
              <w:rPr>
                <w:sz w:val="21"/>
              </w:rPr>
              <w:t>说明 </w:t>
            </w:r>
          </w:p>
        </w:tc>
      </w:tr>
      <w:tr>
        <w:trPr>
          <w:trHeight w:val="273" w:hRule="atLeast"/>
        </w:trPr>
        <w:tc>
          <w:tcPr>
            <w:tcW w:w="3956" w:type="dxa"/>
          </w:tcPr>
          <w:p>
            <w:pPr>
              <w:pStyle w:val="TableParagraph"/>
              <w:spacing w:line="252" w:lineRule="exact" w:before="1"/>
              <w:ind w:left="107"/>
              <w:rPr>
                <w:sz w:val="21"/>
              </w:rPr>
            </w:pPr>
            <w:r>
              <w:rPr>
                <w:spacing w:val="-1"/>
                <w:sz w:val="21"/>
              </w:rPr>
              <w:t>非流动资产处置损益</w:t>
            </w:r>
            <w:r>
              <w:rPr>
                <w:sz w:val="21"/>
              </w:rPr>
              <w:t> </w:t>
            </w:r>
          </w:p>
        </w:tc>
        <w:tc>
          <w:tcPr>
            <w:tcW w:w="2429" w:type="dxa"/>
          </w:tcPr>
          <w:p>
            <w:pPr>
              <w:pStyle w:val="TableParagraph"/>
              <w:spacing w:before="10"/>
              <w:ind w:right="93"/>
              <w:jc w:val="right"/>
              <w:rPr>
                <w:rFonts w:ascii="Times New Roman"/>
                <w:sz w:val="21"/>
              </w:rPr>
            </w:pPr>
            <w:r>
              <w:rPr>
                <w:rFonts w:ascii="Times New Roman"/>
                <w:sz w:val="21"/>
              </w:rPr>
              <w:t>8,825</w:t>
            </w:r>
          </w:p>
        </w:tc>
        <w:tc>
          <w:tcPr>
            <w:tcW w:w="2439" w:type="dxa"/>
          </w:tcPr>
          <w:p>
            <w:pPr>
              <w:pStyle w:val="TableParagraph"/>
              <w:rPr>
                <w:rFonts w:ascii="Times New Roman"/>
                <w:sz w:val="20"/>
              </w:rPr>
            </w:pPr>
          </w:p>
        </w:tc>
      </w:tr>
      <w:tr>
        <w:trPr>
          <w:trHeight w:val="544" w:hRule="atLeast"/>
        </w:trPr>
        <w:tc>
          <w:tcPr>
            <w:tcW w:w="3956" w:type="dxa"/>
          </w:tcPr>
          <w:p>
            <w:pPr>
              <w:pStyle w:val="TableParagraph"/>
              <w:spacing w:before="1"/>
              <w:ind w:left="107"/>
              <w:rPr>
                <w:sz w:val="21"/>
              </w:rPr>
            </w:pPr>
            <w:r>
              <w:rPr>
                <w:sz w:val="21"/>
              </w:rPr>
              <w:t>越权审批或无正式批准文件的税收返</w:t>
            </w:r>
          </w:p>
          <w:p>
            <w:pPr>
              <w:pStyle w:val="TableParagraph"/>
              <w:spacing w:line="252" w:lineRule="exact" w:before="2"/>
              <w:ind w:left="107"/>
              <w:rPr>
                <w:sz w:val="21"/>
              </w:rPr>
            </w:pPr>
            <w:r>
              <w:rPr>
                <w:spacing w:val="-1"/>
                <w:sz w:val="21"/>
              </w:rPr>
              <w:t>还、减免</w:t>
            </w:r>
            <w:r>
              <w:rPr>
                <w:sz w:val="21"/>
              </w:rPr>
              <w:t> </w:t>
            </w:r>
          </w:p>
        </w:tc>
        <w:tc>
          <w:tcPr>
            <w:tcW w:w="2429" w:type="dxa"/>
          </w:tcPr>
          <w:p>
            <w:pPr>
              <w:pStyle w:val="TableParagraph"/>
              <w:spacing w:before="130"/>
              <w:ind w:right="-15"/>
              <w:jc w:val="right"/>
              <w:rPr>
                <w:sz w:val="21"/>
              </w:rPr>
            </w:pPr>
            <w:r>
              <w:rPr>
                <w:color w:val="0000FF"/>
                <w:w w:val="100"/>
                <w:sz w:val="21"/>
              </w:rPr>
              <w:t> </w:t>
            </w:r>
          </w:p>
        </w:tc>
        <w:tc>
          <w:tcPr>
            <w:tcW w:w="2439" w:type="dxa"/>
          </w:tcPr>
          <w:p>
            <w:pPr>
              <w:pStyle w:val="TableParagraph"/>
              <w:rPr>
                <w:rFonts w:ascii="Times New Roman"/>
                <w:sz w:val="20"/>
              </w:rPr>
            </w:pPr>
          </w:p>
        </w:tc>
      </w:tr>
      <w:tr>
        <w:trPr>
          <w:trHeight w:val="815" w:hRule="atLeast"/>
        </w:trPr>
        <w:tc>
          <w:tcPr>
            <w:tcW w:w="3956" w:type="dxa"/>
          </w:tcPr>
          <w:p>
            <w:pPr>
              <w:pStyle w:val="TableParagraph"/>
              <w:spacing w:line="242" w:lineRule="auto" w:before="1"/>
              <w:ind w:left="107" w:right="262"/>
              <w:rPr>
                <w:sz w:val="21"/>
              </w:rPr>
            </w:pPr>
            <w:r>
              <w:rPr>
                <w:sz w:val="21"/>
              </w:rPr>
              <w:t>计入当期损益的政府补助（与企业业务密切相关，按照国家统一标准定额或定</w:t>
            </w:r>
          </w:p>
          <w:p>
            <w:pPr>
              <w:pStyle w:val="TableParagraph"/>
              <w:spacing w:line="250" w:lineRule="exact" w:before="1"/>
              <w:ind w:left="107"/>
              <w:rPr>
                <w:sz w:val="21"/>
              </w:rPr>
            </w:pPr>
            <w:r>
              <w:rPr>
                <w:spacing w:val="-1"/>
                <w:sz w:val="21"/>
              </w:rPr>
              <w:t>量享受的政府补助除外</w:t>
            </w:r>
            <w:r>
              <w:rPr>
                <w:sz w:val="21"/>
              </w:rPr>
              <w:t>） </w:t>
            </w:r>
          </w:p>
        </w:tc>
        <w:tc>
          <w:tcPr>
            <w:tcW w:w="2429" w:type="dxa"/>
          </w:tcPr>
          <w:p>
            <w:pPr>
              <w:pStyle w:val="TableParagraph"/>
              <w:spacing w:before="12"/>
              <w:rPr>
                <w:sz w:val="21"/>
              </w:rPr>
            </w:pPr>
          </w:p>
          <w:p>
            <w:pPr>
              <w:pStyle w:val="TableParagraph"/>
              <w:ind w:right="93"/>
              <w:jc w:val="right"/>
              <w:rPr>
                <w:rFonts w:ascii="Times New Roman"/>
                <w:sz w:val="21"/>
              </w:rPr>
            </w:pPr>
            <w:r>
              <w:rPr>
                <w:rFonts w:ascii="Times New Roman"/>
                <w:sz w:val="21"/>
              </w:rPr>
              <w:t>1,876,971</w:t>
            </w:r>
          </w:p>
        </w:tc>
        <w:tc>
          <w:tcPr>
            <w:tcW w:w="2439" w:type="dxa"/>
          </w:tcPr>
          <w:p>
            <w:pPr>
              <w:pStyle w:val="TableParagraph"/>
              <w:spacing w:line="242" w:lineRule="auto" w:before="1"/>
              <w:ind w:left="107" w:right="216"/>
              <w:rPr>
                <w:sz w:val="21"/>
              </w:rPr>
            </w:pPr>
            <w:r>
              <w:rPr>
                <w:sz w:val="21"/>
              </w:rPr>
              <w:t>参见第十节财务报告</w:t>
            </w:r>
            <w:r>
              <w:rPr>
                <w:spacing w:val="1"/>
                <w:sz w:val="21"/>
              </w:rPr>
              <w:t> </w:t>
            </w:r>
            <w:r>
              <w:rPr>
                <w:spacing w:val="-1"/>
                <w:sz w:val="21"/>
              </w:rPr>
              <w:t>七、合并财务报表项目</w:t>
            </w:r>
          </w:p>
          <w:p>
            <w:pPr>
              <w:pStyle w:val="TableParagraph"/>
              <w:spacing w:line="250" w:lineRule="exact" w:before="1"/>
              <w:ind w:left="107"/>
              <w:rPr>
                <w:sz w:val="21"/>
              </w:rPr>
            </w:pPr>
            <w:r>
              <w:rPr>
                <w:spacing w:val="-18"/>
                <w:sz w:val="21"/>
              </w:rPr>
              <w:t>注释 </w:t>
            </w:r>
            <w:r>
              <w:rPr>
                <w:rFonts w:ascii="Times New Roman" w:eastAsia="Times New Roman"/>
                <w:sz w:val="21"/>
              </w:rPr>
              <w:t>67</w:t>
            </w:r>
            <w:r>
              <w:rPr>
                <w:sz w:val="21"/>
              </w:rPr>
              <w:t>、其他收益</w:t>
            </w:r>
          </w:p>
        </w:tc>
      </w:tr>
      <w:tr>
        <w:trPr>
          <w:trHeight w:val="544" w:hRule="atLeast"/>
        </w:trPr>
        <w:tc>
          <w:tcPr>
            <w:tcW w:w="3956" w:type="dxa"/>
          </w:tcPr>
          <w:p>
            <w:pPr>
              <w:pStyle w:val="TableParagraph"/>
              <w:spacing w:before="1"/>
              <w:ind w:left="107"/>
              <w:rPr>
                <w:sz w:val="21"/>
              </w:rPr>
            </w:pPr>
            <w:r>
              <w:rPr>
                <w:spacing w:val="-1"/>
                <w:sz w:val="21"/>
              </w:rPr>
              <w:t>计入当期损益的对非金融企业收取的资</w:t>
            </w:r>
          </w:p>
          <w:p>
            <w:pPr>
              <w:pStyle w:val="TableParagraph"/>
              <w:spacing w:line="250" w:lineRule="exact" w:before="4"/>
              <w:ind w:left="107"/>
              <w:rPr>
                <w:sz w:val="21"/>
              </w:rPr>
            </w:pPr>
            <w:r>
              <w:rPr>
                <w:spacing w:val="-1"/>
                <w:sz w:val="21"/>
              </w:rPr>
              <w:t>金占用费</w:t>
            </w:r>
            <w:r>
              <w:rPr>
                <w:sz w:val="21"/>
              </w:rPr>
              <w:t> </w:t>
            </w:r>
          </w:p>
        </w:tc>
        <w:tc>
          <w:tcPr>
            <w:tcW w:w="2429" w:type="dxa"/>
          </w:tcPr>
          <w:p>
            <w:pPr>
              <w:pStyle w:val="TableParagraph"/>
              <w:spacing w:before="133"/>
              <w:ind w:right="-15"/>
              <w:jc w:val="right"/>
              <w:rPr>
                <w:sz w:val="21"/>
              </w:rPr>
            </w:pPr>
            <w:r>
              <w:rPr>
                <w:color w:val="0000FF"/>
                <w:w w:val="100"/>
                <w:sz w:val="21"/>
              </w:rPr>
              <w:t> </w:t>
            </w:r>
          </w:p>
        </w:tc>
        <w:tc>
          <w:tcPr>
            <w:tcW w:w="2439" w:type="dxa"/>
          </w:tcPr>
          <w:p>
            <w:pPr>
              <w:pStyle w:val="TableParagraph"/>
              <w:rPr>
                <w:rFonts w:ascii="Times New Roman"/>
                <w:sz w:val="20"/>
              </w:rPr>
            </w:pPr>
          </w:p>
        </w:tc>
      </w:tr>
      <w:tr>
        <w:trPr>
          <w:trHeight w:val="1089" w:hRule="atLeast"/>
        </w:trPr>
        <w:tc>
          <w:tcPr>
            <w:tcW w:w="3956" w:type="dxa"/>
          </w:tcPr>
          <w:p>
            <w:pPr>
              <w:pStyle w:val="TableParagraph"/>
              <w:spacing w:line="242" w:lineRule="auto" w:before="3"/>
              <w:ind w:left="107" w:right="262"/>
              <w:jc w:val="both"/>
              <w:rPr>
                <w:sz w:val="21"/>
              </w:rPr>
            </w:pPr>
            <w:r>
              <w:rPr>
                <w:sz w:val="21"/>
              </w:rPr>
              <w:t>企业取得子公司、联营企业及合营企业的投资成本小于取得投资时应享有被投资单位可辨认净资产公允价值产生的收</w:t>
            </w:r>
          </w:p>
          <w:p>
            <w:pPr>
              <w:pStyle w:val="TableParagraph"/>
              <w:spacing w:line="250" w:lineRule="exact" w:before="1"/>
              <w:ind w:left="107"/>
              <w:rPr>
                <w:sz w:val="21"/>
              </w:rPr>
            </w:pPr>
            <w:r>
              <w:rPr>
                <w:sz w:val="21"/>
              </w:rPr>
              <w:t>益 </w:t>
            </w:r>
          </w:p>
        </w:tc>
        <w:tc>
          <w:tcPr>
            <w:tcW w:w="2429" w:type="dxa"/>
          </w:tcPr>
          <w:p>
            <w:pPr>
              <w:pStyle w:val="TableParagraph"/>
              <w:rPr>
                <w:sz w:val="20"/>
              </w:rPr>
            </w:pPr>
          </w:p>
          <w:p>
            <w:pPr>
              <w:pStyle w:val="TableParagraph"/>
              <w:spacing w:before="148"/>
              <w:ind w:right="-15"/>
              <w:jc w:val="right"/>
              <w:rPr>
                <w:sz w:val="21"/>
              </w:rPr>
            </w:pPr>
            <w:r>
              <w:rPr>
                <w:color w:val="0000FF"/>
                <w:w w:val="100"/>
                <w:sz w:val="21"/>
              </w:rPr>
              <w:t> </w:t>
            </w:r>
          </w:p>
        </w:tc>
        <w:tc>
          <w:tcPr>
            <w:tcW w:w="2439" w:type="dxa"/>
          </w:tcPr>
          <w:p>
            <w:pPr>
              <w:pStyle w:val="TableParagraph"/>
              <w:rPr>
                <w:rFonts w:ascii="Times New Roman"/>
                <w:sz w:val="20"/>
              </w:rPr>
            </w:pPr>
          </w:p>
        </w:tc>
      </w:tr>
      <w:tr>
        <w:trPr>
          <w:trHeight w:val="273" w:hRule="atLeast"/>
        </w:trPr>
        <w:tc>
          <w:tcPr>
            <w:tcW w:w="3956" w:type="dxa"/>
          </w:tcPr>
          <w:p>
            <w:pPr>
              <w:pStyle w:val="TableParagraph"/>
              <w:spacing w:line="250" w:lineRule="exact" w:before="3"/>
              <w:ind w:left="107"/>
              <w:rPr>
                <w:sz w:val="21"/>
              </w:rPr>
            </w:pPr>
            <w:r>
              <w:rPr>
                <w:spacing w:val="-1"/>
                <w:sz w:val="21"/>
              </w:rPr>
              <w:t>非货币性资产交换损益</w:t>
            </w:r>
            <w:r>
              <w:rPr>
                <w:sz w:val="21"/>
              </w:rPr>
              <w:t> </w:t>
            </w:r>
          </w:p>
        </w:tc>
        <w:tc>
          <w:tcPr>
            <w:tcW w:w="2429" w:type="dxa"/>
          </w:tcPr>
          <w:p>
            <w:pPr>
              <w:pStyle w:val="TableParagraph"/>
              <w:spacing w:line="253" w:lineRule="exact"/>
              <w:ind w:right="-15"/>
              <w:jc w:val="right"/>
              <w:rPr>
                <w:sz w:val="21"/>
              </w:rPr>
            </w:pPr>
            <w:r>
              <w:rPr>
                <w:color w:val="0000FF"/>
                <w:w w:val="100"/>
                <w:sz w:val="21"/>
              </w:rPr>
              <w:t> </w:t>
            </w:r>
          </w:p>
        </w:tc>
        <w:tc>
          <w:tcPr>
            <w:tcW w:w="2439" w:type="dxa"/>
          </w:tcPr>
          <w:p>
            <w:pPr>
              <w:pStyle w:val="TableParagraph"/>
              <w:rPr>
                <w:rFonts w:ascii="Times New Roman"/>
                <w:sz w:val="20"/>
              </w:rPr>
            </w:pPr>
          </w:p>
        </w:tc>
      </w:tr>
      <w:tr>
        <w:trPr>
          <w:trHeight w:val="273" w:hRule="atLeast"/>
        </w:trPr>
        <w:tc>
          <w:tcPr>
            <w:tcW w:w="3956" w:type="dxa"/>
          </w:tcPr>
          <w:p>
            <w:pPr>
              <w:pStyle w:val="TableParagraph"/>
              <w:spacing w:line="252" w:lineRule="exact" w:before="1"/>
              <w:ind w:left="107"/>
              <w:rPr>
                <w:sz w:val="21"/>
              </w:rPr>
            </w:pPr>
            <w:r>
              <w:rPr>
                <w:spacing w:val="-1"/>
                <w:sz w:val="21"/>
              </w:rPr>
              <w:t>委托他人投资或管理资产的损益</w:t>
            </w:r>
            <w:r>
              <w:rPr>
                <w:sz w:val="21"/>
              </w:rPr>
              <w:t> </w:t>
            </w:r>
          </w:p>
        </w:tc>
        <w:tc>
          <w:tcPr>
            <w:tcW w:w="2429" w:type="dxa"/>
          </w:tcPr>
          <w:p>
            <w:pPr>
              <w:pStyle w:val="TableParagraph"/>
              <w:spacing w:line="253" w:lineRule="exact"/>
              <w:ind w:right="-15"/>
              <w:jc w:val="right"/>
              <w:rPr>
                <w:sz w:val="21"/>
              </w:rPr>
            </w:pPr>
            <w:r>
              <w:rPr>
                <w:color w:val="0000FF"/>
                <w:w w:val="100"/>
                <w:sz w:val="21"/>
              </w:rPr>
              <w:t> </w:t>
            </w:r>
          </w:p>
        </w:tc>
        <w:tc>
          <w:tcPr>
            <w:tcW w:w="2439" w:type="dxa"/>
          </w:tcPr>
          <w:p>
            <w:pPr>
              <w:pStyle w:val="TableParagraph"/>
              <w:rPr>
                <w:rFonts w:ascii="Times New Roman"/>
                <w:sz w:val="20"/>
              </w:rPr>
            </w:pPr>
          </w:p>
        </w:tc>
      </w:tr>
      <w:tr>
        <w:trPr>
          <w:trHeight w:val="544" w:hRule="atLeast"/>
        </w:trPr>
        <w:tc>
          <w:tcPr>
            <w:tcW w:w="3956" w:type="dxa"/>
          </w:tcPr>
          <w:p>
            <w:pPr>
              <w:pStyle w:val="TableParagraph"/>
              <w:spacing w:before="1"/>
              <w:ind w:left="107"/>
              <w:rPr>
                <w:sz w:val="21"/>
              </w:rPr>
            </w:pPr>
            <w:r>
              <w:rPr>
                <w:spacing w:val="-1"/>
                <w:sz w:val="21"/>
              </w:rPr>
              <w:t>因不可抗力因素，如遭受自然灾害而计</w:t>
            </w:r>
          </w:p>
          <w:p>
            <w:pPr>
              <w:pStyle w:val="TableParagraph"/>
              <w:spacing w:line="252" w:lineRule="exact" w:before="2"/>
              <w:ind w:left="107"/>
              <w:rPr>
                <w:sz w:val="21"/>
              </w:rPr>
            </w:pPr>
            <w:r>
              <w:rPr>
                <w:spacing w:val="-1"/>
                <w:sz w:val="21"/>
              </w:rPr>
              <w:t>提的各项资产减值准备</w:t>
            </w:r>
            <w:r>
              <w:rPr>
                <w:sz w:val="21"/>
              </w:rPr>
              <w:t> </w:t>
            </w:r>
          </w:p>
        </w:tc>
        <w:tc>
          <w:tcPr>
            <w:tcW w:w="2429" w:type="dxa"/>
          </w:tcPr>
          <w:p>
            <w:pPr>
              <w:pStyle w:val="TableParagraph"/>
              <w:spacing w:before="130"/>
              <w:ind w:right="-15"/>
              <w:jc w:val="right"/>
              <w:rPr>
                <w:sz w:val="21"/>
              </w:rPr>
            </w:pPr>
            <w:r>
              <w:rPr>
                <w:color w:val="0000FF"/>
                <w:w w:val="100"/>
                <w:sz w:val="21"/>
              </w:rPr>
              <w:t> </w:t>
            </w:r>
          </w:p>
        </w:tc>
        <w:tc>
          <w:tcPr>
            <w:tcW w:w="2439" w:type="dxa"/>
          </w:tcPr>
          <w:p>
            <w:pPr>
              <w:pStyle w:val="TableParagraph"/>
              <w:rPr>
                <w:rFonts w:ascii="Times New Roman"/>
                <w:sz w:val="20"/>
              </w:rPr>
            </w:pPr>
          </w:p>
        </w:tc>
      </w:tr>
      <w:tr>
        <w:trPr>
          <w:trHeight w:val="273" w:hRule="atLeast"/>
        </w:trPr>
        <w:tc>
          <w:tcPr>
            <w:tcW w:w="3956" w:type="dxa"/>
          </w:tcPr>
          <w:p>
            <w:pPr>
              <w:pStyle w:val="TableParagraph"/>
              <w:spacing w:line="252" w:lineRule="exact" w:before="1"/>
              <w:ind w:left="107"/>
              <w:rPr>
                <w:sz w:val="21"/>
              </w:rPr>
            </w:pPr>
            <w:r>
              <w:rPr>
                <w:spacing w:val="-1"/>
                <w:sz w:val="21"/>
              </w:rPr>
              <w:t>债务重组损益</w:t>
            </w:r>
            <w:r>
              <w:rPr>
                <w:sz w:val="21"/>
              </w:rPr>
              <w:t> </w:t>
            </w:r>
          </w:p>
        </w:tc>
        <w:tc>
          <w:tcPr>
            <w:tcW w:w="2429" w:type="dxa"/>
          </w:tcPr>
          <w:p>
            <w:pPr>
              <w:pStyle w:val="TableParagraph"/>
              <w:spacing w:line="253" w:lineRule="exact"/>
              <w:ind w:right="-15"/>
              <w:jc w:val="right"/>
              <w:rPr>
                <w:sz w:val="21"/>
              </w:rPr>
            </w:pPr>
            <w:r>
              <w:rPr>
                <w:color w:val="0000FF"/>
                <w:w w:val="100"/>
                <w:sz w:val="21"/>
              </w:rPr>
              <w:t> </w:t>
            </w:r>
          </w:p>
        </w:tc>
        <w:tc>
          <w:tcPr>
            <w:tcW w:w="2439" w:type="dxa"/>
          </w:tcPr>
          <w:p>
            <w:pPr>
              <w:pStyle w:val="TableParagraph"/>
              <w:rPr>
                <w:rFonts w:ascii="Times New Roman"/>
                <w:sz w:val="20"/>
              </w:rPr>
            </w:pPr>
          </w:p>
        </w:tc>
      </w:tr>
      <w:tr>
        <w:trPr>
          <w:trHeight w:val="544" w:hRule="atLeast"/>
        </w:trPr>
        <w:tc>
          <w:tcPr>
            <w:tcW w:w="3956" w:type="dxa"/>
          </w:tcPr>
          <w:p>
            <w:pPr>
              <w:pStyle w:val="TableParagraph"/>
              <w:spacing w:before="1"/>
              <w:ind w:left="107"/>
              <w:rPr>
                <w:sz w:val="21"/>
              </w:rPr>
            </w:pPr>
            <w:r>
              <w:rPr>
                <w:spacing w:val="-1"/>
                <w:sz w:val="21"/>
              </w:rPr>
              <w:t>企业重组费用，如安置职工的支出、整</w:t>
            </w:r>
          </w:p>
          <w:p>
            <w:pPr>
              <w:pStyle w:val="TableParagraph"/>
              <w:spacing w:line="252" w:lineRule="exact" w:before="2"/>
              <w:ind w:left="107"/>
              <w:rPr>
                <w:sz w:val="21"/>
              </w:rPr>
            </w:pPr>
            <w:r>
              <w:rPr>
                <w:spacing w:val="-1"/>
                <w:sz w:val="21"/>
              </w:rPr>
              <w:t>合费用等</w:t>
            </w:r>
            <w:r>
              <w:rPr>
                <w:sz w:val="21"/>
              </w:rPr>
              <w:t> </w:t>
            </w:r>
          </w:p>
        </w:tc>
        <w:tc>
          <w:tcPr>
            <w:tcW w:w="2429" w:type="dxa"/>
          </w:tcPr>
          <w:p>
            <w:pPr>
              <w:pStyle w:val="TableParagraph"/>
              <w:spacing w:before="130"/>
              <w:ind w:right="-15"/>
              <w:jc w:val="right"/>
              <w:rPr>
                <w:sz w:val="21"/>
              </w:rPr>
            </w:pPr>
            <w:r>
              <w:rPr>
                <w:color w:val="0000FF"/>
                <w:w w:val="100"/>
                <w:sz w:val="21"/>
              </w:rPr>
              <w:t> </w:t>
            </w:r>
          </w:p>
        </w:tc>
        <w:tc>
          <w:tcPr>
            <w:tcW w:w="2439" w:type="dxa"/>
          </w:tcPr>
          <w:p>
            <w:pPr>
              <w:pStyle w:val="TableParagraph"/>
              <w:rPr>
                <w:rFonts w:ascii="Times New Roman"/>
                <w:sz w:val="20"/>
              </w:rPr>
            </w:pPr>
          </w:p>
        </w:tc>
      </w:tr>
      <w:tr>
        <w:trPr>
          <w:trHeight w:val="544" w:hRule="atLeast"/>
        </w:trPr>
        <w:tc>
          <w:tcPr>
            <w:tcW w:w="3956" w:type="dxa"/>
          </w:tcPr>
          <w:p>
            <w:pPr>
              <w:pStyle w:val="TableParagraph"/>
              <w:spacing w:before="1"/>
              <w:ind w:left="107"/>
              <w:rPr>
                <w:sz w:val="21"/>
              </w:rPr>
            </w:pPr>
            <w:r>
              <w:rPr>
                <w:spacing w:val="-1"/>
                <w:sz w:val="21"/>
              </w:rPr>
              <w:t>交易价格显失公允的交易产生的超过公</w:t>
            </w:r>
          </w:p>
          <w:p>
            <w:pPr>
              <w:pStyle w:val="TableParagraph"/>
              <w:spacing w:line="252" w:lineRule="exact" w:before="2"/>
              <w:ind w:left="107"/>
              <w:rPr>
                <w:sz w:val="21"/>
              </w:rPr>
            </w:pPr>
            <w:r>
              <w:rPr>
                <w:spacing w:val="-1"/>
                <w:sz w:val="21"/>
              </w:rPr>
              <w:t>允价值部分的损益</w:t>
            </w:r>
            <w:r>
              <w:rPr>
                <w:sz w:val="21"/>
              </w:rPr>
              <w:t> </w:t>
            </w:r>
          </w:p>
        </w:tc>
        <w:tc>
          <w:tcPr>
            <w:tcW w:w="2429" w:type="dxa"/>
          </w:tcPr>
          <w:p>
            <w:pPr>
              <w:pStyle w:val="TableParagraph"/>
              <w:spacing w:before="130"/>
              <w:ind w:right="-15"/>
              <w:jc w:val="right"/>
              <w:rPr>
                <w:sz w:val="21"/>
              </w:rPr>
            </w:pPr>
            <w:r>
              <w:rPr>
                <w:color w:val="0000FF"/>
                <w:w w:val="100"/>
                <w:sz w:val="21"/>
              </w:rPr>
              <w:t> </w:t>
            </w:r>
          </w:p>
        </w:tc>
        <w:tc>
          <w:tcPr>
            <w:tcW w:w="2439" w:type="dxa"/>
          </w:tcPr>
          <w:p>
            <w:pPr>
              <w:pStyle w:val="TableParagraph"/>
              <w:rPr>
                <w:rFonts w:ascii="Times New Roman"/>
                <w:sz w:val="20"/>
              </w:rPr>
            </w:pPr>
          </w:p>
        </w:tc>
      </w:tr>
      <w:tr>
        <w:trPr>
          <w:trHeight w:val="544" w:hRule="atLeast"/>
        </w:trPr>
        <w:tc>
          <w:tcPr>
            <w:tcW w:w="3956" w:type="dxa"/>
          </w:tcPr>
          <w:p>
            <w:pPr>
              <w:pStyle w:val="TableParagraph"/>
              <w:spacing w:before="1"/>
              <w:ind w:left="107"/>
              <w:rPr>
                <w:sz w:val="21"/>
              </w:rPr>
            </w:pPr>
            <w:r>
              <w:rPr>
                <w:spacing w:val="-1"/>
                <w:sz w:val="21"/>
              </w:rPr>
              <w:t>同一控制下企业合并产生的子公司期初</w:t>
            </w:r>
          </w:p>
          <w:p>
            <w:pPr>
              <w:pStyle w:val="TableParagraph"/>
              <w:spacing w:line="252" w:lineRule="exact" w:before="2"/>
              <w:ind w:left="107"/>
              <w:rPr>
                <w:sz w:val="21"/>
              </w:rPr>
            </w:pPr>
            <w:r>
              <w:rPr>
                <w:spacing w:val="-1"/>
                <w:sz w:val="21"/>
              </w:rPr>
              <w:t>至合并日的当期净损益</w:t>
            </w:r>
            <w:r>
              <w:rPr>
                <w:sz w:val="21"/>
              </w:rPr>
              <w:t> </w:t>
            </w:r>
          </w:p>
        </w:tc>
        <w:tc>
          <w:tcPr>
            <w:tcW w:w="2429" w:type="dxa"/>
          </w:tcPr>
          <w:p>
            <w:pPr>
              <w:pStyle w:val="TableParagraph"/>
              <w:spacing w:before="130"/>
              <w:ind w:right="-15"/>
              <w:jc w:val="right"/>
              <w:rPr>
                <w:sz w:val="21"/>
              </w:rPr>
            </w:pPr>
            <w:r>
              <w:rPr>
                <w:color w:val="0000FF"/>
                <w:w w:val="100"/>
                <w:sz w:val="21"/>
              </w:rPr>
              <w:t> </w:t>
            </w:r>
          </w:p>
        </w:tc>
        <w:tc>
          <w:tcPr>
            <w:tcW w:w="2439" w:type="dxa"/>
          </w:tcPr>
          <w:p>
            <w:pPr>
              <w:pStyle w:val="TableParagraph"/>
              <w:rPr>
                <w:rFonts w:ascii="Times New Roman"/>
                <w:sz w:val="20"/>
              </w:rPr>
            </w:pPr>
          </w:p>
        </w:tc>
      </w:tr>
      <w:tr>
        <w:trPr>
          <w:trHeight w:val="545" w:hRule="atLeast"/>
        </w:trPr>
        <w:tc>
          <w:tcPr>
            <w:tcW w:w="3956" w:type="dxa"/>
          </w:tcPr>
          <w:p>
            <w:pPr>
              <w:pStyle w:val="TableParagraph"/>
              <w:spacing w:before="1"/>
              <w:ind w:left="107"/>
              <w:rPr>
                <w:sz w:val="21"/>
              </w:rPr>
            </w:pPr>
            <w:r>
              <w:rPr>
                <w:spacing w:val="-1"/>
                <w:sz w:val="21"/>
              </w:rPr>
              <w:t>与公司正常经营业务无关的或有事项产</w:t>
            </w:r>
          </w:p>
          <w:p>
            <w:pPr>
              <w:pStyle w:val="TableParagraph"/>
              <w:spacing w:line="250" w:lineRule="exact" w:before="5"/>
              <w:ind w:left="107"/>
              <w:rPr>
                <w:sz w:val="21"/>
              </w:rPr>
            </w:pPr>
            <w:r>
              <w:rPr>
                <w:spacing w:val="-1"/>
                <w:sz w:val="21"/>
              </w:rPr>
              <w:t>生的损益</w:t>
            </w:r>
            <w:r>
              <w:rPr>
                <w:sz w:val="21"/>
              </w:rPr>
              <w:t> </w:t>
            </w:r>
          </w:p>
        </w:tc>
        <w:tc>
          <w:tcPr>
            <w:tcW w:w="2429" w:type="dxa"/>
          </w:tcPr>
          <w:p>
            <w:pPr>
              <w:pStyle w:val="TableParagraph"/>
              <w:spacing w:before="131"/>
              <w:ind w:right="-15"/>
              <w:jc w:val="right"/>
              <w:rPr>
                <w:sz w:val="21"/>
              </w:rPr>
            </w:pPr>
            <w:r>
              <w:rPr>
                <w:color w:val="0000FF"/>
                <w:w w:val="100"/>
                <w:sz w:val="21"/>
              </w:rPr>
              <w:t> </w:t>
            </w:r>
          </w:p>
        </w:tc>
        <w:tc>
          <w:tcPr>
            <w:tcW w:w="2439" w:type="dxa"/>
          </w:tcPr>
          <w:p>
            <w:pPr>
              <w:pStyle w:val="TableParagraph"/>
              <w:rPr>
                <w:rFonts w:ascii="Times New Roman"/>
                <w:sz w:val="20"/>
              </w:rPr>
            </w:pPr>
          </w:p>
        </w:tc>
      </w:tr>
      <w:tr>
        <w:trPr>
          <w:trHeight w:val="1907" w:hRule="atLeast"/>
        </w:trPr>
        <w:tc>
          <w:tcPr>
            <w:tcW w:w="3956" w:type="dxa"/>
          </w:tcPr>
          <w:p>
            <w:pPr>
              <w:pStyle w:val="TableParagraph"/>
              <w:spacing w:line="242" w:lineRule="auto" w:before="1"/>
              <w:ind w:left="107" w:right="262"/>
              <w:jc w:val="both"/>
              <w:rPr>
                <w:sz w:val="21"/>
              </w:rPr>
            </w:pPr>
            <w:r>
              <w:rPr>
                <w:sz w:val="21"/>
              </w:rPr>
              <w:t>除同公司正常经营业务相关的有效套期保值业务外，持有交易性金融资产、衍生金融资产、交易性金融负债、衍生金融负债产生的公允价值变动损益，以及处置交易性金融资产、衍生金融资产、</w:t>
            </w:r>
          </w:p>
          <w:p>
            <w:pPr>
              <w:pStyle w:val="TableParagraph"/>
              <w:spacing w:line="270" w:lineRule="atLeast"/>
              <w:ind w:left="107" w:right="262"/>
              <w:rPr>
                <w:sz w:val="21"/>
              </w:rPr>
            </w:pPr>
            <w:r>
              <w:rPr>
                <w:sz w:val="21"/>
              </w:rPr>
              <w:t>交易性金融负债、衍生金融负债和其他债权投资取得的投资收益 </w:t>
            </w:r>
          </w:p>
        </w:tc>
        <w:tc>
          <w:tcPr>
            <w:tcW w:w="2429" w:type="dxa"/>
          </w:tcPr>
          <w:p>
            <w:pPr>
              <w:pStyle w:val="TableParagraph"/>
              <w:rPr>
                <w:sz w:val="22"/>
              </w:rPr>
            </w:pPr>
          </w:p>
          <w:p>
            <w:pPr>
              <w:pStyle w:val="TableParagraph"/>
              <w:rPr>
                <w:sz w:val="22"/>
              </w:rPr>
            </w:pPr>
          </w:p>
          <w:p>
            <w:pPr>
              <w:pStyle w:val="TableParagraph"/>
              <w:spacing w:before="6"/>
              <w:rPr>
                <w:sz w:val="20"/>
              </w:rPr>
            </w:pPr>
          </w:p>
          <w:p>
            <w:pPr>
              <w:pStyle w:val="TableParagraph"/>
              <w:ind w:right="96"/>
              <w:jc w:val="right"/>
              <w:rPr>
                <w:rFonts w:ascii="Times New Roman"/>
                <w:sz w:val="21"/>
              </w:rPr>
            </w:pPr>
            <w:r>
              <w:rPr>
                <w:rFonts w:ascii="Times New Roman"/>
                <w:sz w:val="21"/>
              </w:rPr>
              <w:t>-42,486</w:t>
            </w:r>
          </w:p>
        </w:tc>
        <w:tc>
          <w:tcPr>
            <w:tcW w:w="2439" w:type="dxa"/>
          </w:tcPr>
          <w:p>
            <w:pPr>
              <w:pStyle w:val="TableParagraph"/>
              <w:spacing w:line="242" w:lineRule="auto" w:before="1"/>
              <w:ind w:left="107" w:right="216"/>
              <w:rPr>
                <w:sz w:val="21"/>
              </w:rPr>
            </w:pPr>
            <w:r>
              <w:rPr>
                <w:spacing w:val="-1"/>
                <w:sz w:val="21"/>
              </w:rPr>
              <w:t>为降低与经营相关的人民币汇率风险，公司通过外汇远期合约及货币</w:t>
            </w:r>
            <w:r>
              <w:rPr>
                <w:sz w:val="21"/>
              </w:rPr>
              <w:t>互换合约进行风险管</w:t>
            </w:r>
            <w:r>
              <w:rPr>
                <w:spacing w:val="1"/>
                <w:sz w:val="21"/>
              </w:rPr>
              <w:t> </w:t>
            </w:r>
            <w:r>
              <w:rPr>
                <w:spacing w:val="-1"/>
                <w:sz w:val="21"/>
              </w:rPr>
              <w:t>理；报告期内相关合约</w:t>
            </w:r>
          </w:p>
          <w:p>
            <w:pPr>
              <w:pStyle w:val="TableParagraph"/>
              <w:spacing w:line="270" w:lineRule="atLeast"/>
              <w:ind w:left="107" w:right="216"/>
              <w:rPr>
                <w:sz w:val="21"/>
              </w:rPr>
            </w:pPr>
            <w:r>
              <w:rPr>
                <w:spacing w:val="-1"/>
                <w:sz w:val="21"/>
              </w:rPr>
              <w:t>的公允价值变动产生净</w:t>
            </w:r>
            <w:r>
              <w:rPr>
                <w:sz w:val="21"/>
              </w:rPr>
              <w:t>收益。</w:t>
            </w:r>
          </w:p>
        </w:tc>
      </w:tr>
    </w:tbl>
    <w:p>
      <w:pPr>
        <w:spacing w:after="0" w:line="270" w:lineRule="atLeast"/>
        <w:rPr>
          <w:sz w:val="21"/>
        </w:rPr>
        <w:sectPr>
          <w:pgSz w:w="11910" w:h="16840"/>
          <w:pgMar w:header="882" w:footer="1195" w:top="1460" w:bottom="1380" w:left="1680" w:right="960"/>
        </w:sectPr>
      </w:pPr>
    </w:p>
    <w:p>
      <w:pPr>
        <w:pStyle w:val="BodyText"/>
        <w:spacing w:before="9"/>
        <w:ind w:left="0"/>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56"/>
        <w:gridCol w:w="2429"/>
        <w:gridCol w:w="2439"/>
      </w:tblGrid>
      <w:tr>
        <w:trPr>
          <w:trHeight w:val="547" w:hRule="atLeast"/>
        </w:trPr>
        <w:tc>
          <w:tcPr>
            <w:tcW w:w="3956" w:type="dxa"/>
          </w:tcPr>
          <w:p>
            <w:pPr>
              <w:pStyle w:val="TableParagraph"/>
              <w:spacing w:line="270" w:lineRule="atLeast"/>
              <w:ind w:left="107" w:right="262"/>
              <w:rPr>
                <w:sz w:val="21"/>
              </w:rPr>
            </w:pPr>
            <w:r>
              <w:rPr>
                <w:sz w:val="21"/>
              </w:rPr>
              <w:t>单独进行减值测试的应收款项、合同资产减值准备转回 </w:t>
            </w:r>
          </w:p>
        </w:tc>
        <w:tc>
          <w:tcPr>
            <w:tcW w:w="2429" w:type="dxa"/>
          </w:tcPr>
          <w:p>
            <w:pPr>
              <w:pStyle w:val="TableParagraph"/>
              <w:spacing w:before="147"/>
              <w:ind w:right="93"/>
              <w:jc w:val="right"/>
              <w:rPr>
                <w:rFonts w:ascii="Times New Roman"/>
                <w:sz w:val="21"/>
              </w:rPr>
            </w:pPr>
            <w:r>
              <w:rPr>
                <w:rFonts w:ascii="Times New Roman"/>
                <w:sz w:val="21"/>
              </w:rPr>
              <w:t>57,844</w:t>
            </w:r>
          </w:p>
        </w:tc>
        <w:tc>
          <w:tcPr>
            <w:tcW w:w="2439" w:type="dxa"/>
          </w:tcPr>
          <w:p>
            <w:pPr>
              <w:pStyle w:val="TableParagraph"/>
              <w:rPr>
                <w:rFonts w:ascii="Times New Roman"/>
                <w:sz w:val="20"/>
              </w:rPr>
            </w:pPr>
          </w:p>
        </w:tc>
      </w:tr>
      <w:tr>
        <w:trPr>
          <w:trHeight w:val="270" w:hRule="atLeast"/>
        </w:trPr>
        <w:tc>
          <w:tcPr>
            <w:tcW w:w="3956" w:type="dxa"/>
          </w:tcPr>
          <w:p>
            <w:pPr>
              <w:pStyle w:val="TableParagraph"/>
              <w:spacing w:line="250" w:lineRule="exact" w:before="1"/>
              <w:ind w:left="107"/>
              <w:rPr>
                <w:sz w:val="21"/>
              </w:rPr>
            </w:pPr>
            <w:r>
              <w:rPr>
                <w:spacing w:val="-1"/>
                <w:sz w:val="21"/>
              </w:rPr>
              <w:t>对外委托贷款取得的损益</w:t>
            </w:r>
            <w:r>
              <w:rPr>
                <w:sz w:val="21"/>
              </w:rPr>
              <w:t> </w:t>
            </w:r>
          </w:p>
        </w:tc>
        <w:tc>
          <w:tcPr>
            <w:tcW w:w="2429" w:type="dxa"/>
          </w:tcPr>
          <w:p>
            <w:pPr>
              <w:pStyle w:val="TableParagraph"/>
              <w:spacing w:line="251" w:lineRule="exact"/>
              <w:ind w:right="-15"/>
              <w:jc w:val="right"/>
              <w:rPr>
                <w:sz w:val="21"/>
              </w:rPr>
            </w:pPr>
            <w:r>
              <w:rPr>
                <w:color w:val="0000FF"/>
                <w:w w:val="100"/>
                <w:sz w:val="21"/>
              </w:rPr>
              <w:t> </w:t>
            </w:r>
          </w:p>
        </w:tc>
        <w:tc>
          <w:tcPr>
            <w:tcW w:w="2439" w:type="dxa"/>
          </w:tcPr>
          <w:p>
            <w:pPr>
              <w:pStyle w:val="TableParagraph"/>
              <w:spacing w:line="251" w:lineRule="exact"/>
              <w:ind w:right="-15"/>
              <w:jc w:val="right"/>
              <w:rPr>
                <w:sz w:val="21"/>
              </w:rPr>
            </w:pPr>
            <w:r>
              <w:rPr>
                <w:color w:val="0000FF"/>
                <w:w w:val="100"/>
                <w:sz w:val="21"/>
              </w:rPr>
              <w:t> </w:t>
            </w:r>
          </w:p>
        </w:tc>
      </w:tr>
      <w:tr>
        <w:trPr>
          <w:trHeight w:val="544" w:hRule="atLeast"/>
        </w:trPr>
        <w:tc>
          <w:tcPr>
            <w:tcW w:w="3956" w:type="dxa"/>
          </w:tcPr>
          <w:p>
            <w:pPr>
              <w:pStyle w:val="TableParagraph"/>
              <w:spacing w:before="1"/>
              <w:ind w:left="107"/>
              <w:rPr>
                <w:sz w:val="21"/>
              </w:rPr>
            </w:pPr>
            <w:r>
              <w:rPr>
                <w:spacing w:val="-1"/>
                <w:sz w:val="21"/>
              </w:rPr>
              <w:t>采用公允价值模式进行后续计量的投资</w:t>
            </w:r>
          </w:p>
          <w:p>
            <w:pPr>
              <w:pStyle w:val="TableParagraph"/>
              <w:spacing w:line="250" w:lineRule="exact" w:before="4"/>
              <w:ind w:left="107"/>
              <w:rPr>
                <w:sz w:val="21"/>
              </w:rPr>
            </w:pPr>
            <w:r>
              <w:rPr>
                <w:spacing w:val="-1"/>
                <w:sz w:val="21"/>
              </w:rPr>
              <w:t>性房地产公允价值变动产生的损益</w:t>
            </w:r>
            <w:r>
              <w:rPr>
                <w:sz w:val="21"/>
              </w:rPr>
              <w:t> </w:t>
            </w:r>
          </w:p>
        </w:tc>
        <w:tc>
          <w:tcPr>
            <w:tcW w:w="2429" w:type="dxa"/>
          </w:tcPr>
          <w:p>
            <w:pPr>
              <w:pStyle w:val="TableParagraph"/>
              <w:spacing w:before="133"/>
              <w:ind w:right="-15"/>
              <w:jc w:val="right"/>
              <w:rPr>
                <w:sz w:val="21"/>
              </w:rPr>
            </w:pPr>
            <w:r>
              <w:rPr>
                <w:color w:val="0000FF"/>
                <w:w w:val="100"/>
                <w:sz w:val="21"/>
              </w:rPr>
              <w:t> </w:t>
            </w:r>
          </w:p>
        </w:tc>
        <w:tc>
          <w:tcPr>
            <w:tcW w:w="2439" w:type="dxa"/>
          </w:tcPr>
          <w:p>
            <w:pPr>
              <w:pStyle w:val="TableParagraph"/>
              <w:spacing w:before="133"/>
              <w:ind w:right="-15"/>
              <w:jc w:val="right"/>
              <w:rPr>
                <w:sz w:val="21"/>
              </w:rPr>
            </w:pPr>
            <w:r>
              <w:rPr>
                <w:color w:val="0000FF"/>
                <w:w w:val="100"/>
                <w:sz w:val="21"/>
              </w:rPr>
              <w:t> </w:t>
            </w:r>
          </w:p>
        </w:tc>
      </w:tr>
      <w:tr>
        <w:trPr>
          <w:trHeight w:val="817" w:hRule="atLeast"/>
        </w:trPr>
        <w:tc>
          <w:tcPr>
            <w:tcW w:w="3956" w:type="dxa"/>
          </w:tcPr>
          <w:p>
            <w:pPr>
              <w:pStyle w:val="TableParagraph"/>
              <w:spacing w:before="1"/>
              <w:ind w:left="107"/>
              <w:rPr>
                <w:sz w:val="21"/>
              </w:rPr>
            </w:pPr>
            <w:r>
              <w:rPr>
                <w:spacing w:val="-1"/>
                <w:sz w:val="21"/>
              </w:rPr>
              <w:t>根据税收、会计等法律、法规的要求对</w:t>
            </w:r>
          </w:p>
          <w:p>
            <w:pPr>
              <w:pStyle w:val="TableParagraph"/>
              <w:spacing w:line="270" w:lineRule="atLeast"/>
              <w:ind w:left="107" w:right="262"/>
              <w:rPr>
                <w:sz w:val="21"/>
              </w:rPr>
            </w:pPr>
            <w:r>
              <w:rPr>
                <w:sz w:val="21"/>
              </w:rPr>
              <w:t>当期损益进行一次性调整对当期损益的影响 </w:t>
            </w:r>
          </w:p>
        </w:tc>
        <w:tc>
          <w:tcPr>
            <w:tcW w:w="2429" w:type="dxa"/>
          </w:tcPr>
          <w:p>
            <w:pPr>
              <w:pStyle w:val="TableParagraph"/>
              <w:spacing w:before="11"/>
              <w:rPr>
                <w:sz w:val="20"/>
              </w:rPr>
            </w:pPr>
          </w:p>
          <w:p>
            <w:pPr>
              <w:pStyle w:val="TableParagraph"/>
              <w:ind w:right="-15"/>
              <w:jc w:val="right"/>
              <w:rPr>
                <w:sz w:val="21"/>
              </w:rPr>
            </w:pPr>
            <w:r>
              <w:rPr>
                <w:color w:val="0000FF"/>
                <w:w w:val="100"/>
                <w:sz w:val="21"/>
              </w:rPr>
              <w:t> </w:t>
            </w:r>
          </w:p>
        </w:tc>
        <w:tc>
          <w:tcPr>
            <w:tcW w:w="2439" w:type="dxa"/>
          </w:tcPr>
          <w:p>
            <w:pPr>
              <w:pStyle w:val="TableParagraph"/>
              <w:spacing w:before="11"/>
              <w:rPr>
                <w:sz w:val="20"/>
              </w:rPr>
            </w:pPr>
          </w:p>
          <w:p>
            <w:pPr>
              <w:pStyle w:val="TableParagraph"/>
              <w:ind w:right="-15"/>
              <w:jc w:val="right"/>
              <w:rPr>
                <w:sz w:val="21"/>
              </w:rPr>
            </w:pPr>
            <w:r>
              <w:rPr>
                <w:color w:val="0000FF"/>
                <w:w w:val="100"/>
                <w:sz w:val="21"/>
              </w:rPr>
              <w:t> </w:t>
            </w:r>
          </w:p>
        </w:tc>
      </w:tr>
      <w:tr>
        <w:trPr>
          <w:trHeight w:val="273" w:hRule="atLeast"/>
        </w:trPr>
        <w:tc>
          <w:tcPr>
            <w:tcW w:w="3956" w:type="dxa"/>
          </w:tcPr>
          <w:p>
            <w:pPr>
              <w:pStyle w:val="TableParagraph"/>
              <w:spacing w:line="252" w:lineRule="exact" w:before="1"/>
              <w:ind w:left="107"/>
              <w:rPr>
                <w:sz w:val="21"/>
              </w:rPr>
            </w:pPr>
            <w:r>
              <w:rPr>
                <w:spacing w:val="-1"/>
                <w:sz w:val="21"/>
              </w:rPr>
              <w:t>受托经营取得的托管费收入 </w:t>
            </w:r>
          </w:p>
        </w:tc>
        <w:tc>
          <w:tcPr>
            <w:tcW w:w="2429" w:type="dxa"/>
          </w:tcPr>
          <w:p>
            <w:pPr>
              <w:pStyle w:val="TableParagraph"/>
              <w:spacing w:line="253" w:lineRule="exact"/>
              <w:ind w:right="-15"/>
              <w:jc w:val="right"/>
              <w:rPr>
                <w:sz w:val="21"/>
              </w:rPr>
            </w:pPr>
            <w:r>
              <w:rPr>
                <w:color w:val="0000FF"/>
                <w:w w:val="100"/>
                <w:sz w:val="21"/>
              </w:rPr>
              <w:t> </w:t>
            </w:r>
          </w:p>
        </w:tc>
        <w:tc>
          <w:tcPr>
            <w:tcW w:w="2439" w:type="dxa"/>
          </w:tcPr>
          <w:p>
            <w:pPr>
              <w:pStyle w:val="TableParagraph"/>
              <w:spacing w:line="253" w:lineRule="exact"/>
              <w:ind w:right="-15"/>
              <w:jc w:val="right"/>
              <w:rPr>
                <w:sz w:val="21"/>
              </w:rPr>
            </w:pPr>
            <w:r>
              <w:rPr>
                <w:color w:val="0000FF"/>
                <w:w w:val="100"/>
                <w:sz w:val="21"/>
              </w:rPr>
              <w:t> </w:t>
            </w:r>
          </w:p>
        </w:tc>
      </w:tr>
      <w:tr>
        <w:trPr>
          <w:trHeight w:val="544" w:hRule="atLeast"/>
        </w:trPr>
        <w:tc>
          <w:tcPr>
            <w:tcW w:w="3956" w:type="dxa"/>
          </w:tcPr>
          <w:p>
            <w:pPr>
              <w:pStyle w:val="TableParagraph"/>
              <w:spacing w:before="1"/>
              <w:ind w:left="107"/>
              <w:rPr>
                <w:sz w:val="21"/>
              </w:rPr>
            </w:pPr>
            <w:r>
              <w:rPr>
                <w:spacing w:val="-1"/>
                <w:sz w:val="21"/>
              </w:rPr>
              <w:t>除上述各项之外的其他营业外收入和支</w:t>
            </w:r>
          </w:p>
          <w:p>
            <w:pPr>
              <w:pStyle w:val="TableParagraph"/>
              <w:spacing w:line="252" w:lineRule="exact" w:before="2"/>
              <w:ind w:left="107"/>
              <w:rPr>
                <w:sz w:val="21"/>
              </w:rPr>
            </w:pPr>
            <w:r>
              <w:rPr>
                <w:sz w:val="21"/>
              </w:rPr>
              <w:t>出 </w:t>
            </w:r>
          </w:p>
        </w:tc>
        <w:tc>
          <w:tcPr>
            <w:tcW w:w="2429" w:type="dxa"/>
          </w:tcPr>
          <w:p>
            <w:pPr>
              <w:pStyle w:val="TableParagraph"/>
              <w:spacing w:before="144"/>
              <w:ind w:right="93"/>
              <w:jc w:val="right"/>
              <w:rPr>
                <w:rFonts w:ascii="Times New Roman"/>
                <w:sz w:val="21"/>
              </w:rPr>
            </w:pPr>
            <w:r>
              <w:rPr>
                <w:rFonts w:ascii="Times New Roman"/>
                <w:sz w:val="21"/>
              </w:rPr>
              <w:t>90,651</w:t>
            </w:r>
          </w:p>
        </w:tc>
        <w:tc>
          <w:tcPr>
            <w:tcW w:w="2439" w:type="dxa"/>
          </w:tcPr>
          <w:p>
            <w:pPr>
              <w:pStyle w:val="TableParagraph"/>
              <w:rPr>
                <w:rFonts w:ascii="Times New Roman"/>
                <w:sz w:val="20"/>
              </w:rPr>
            </w:pPr>
          </w:p>
        </w:tc>
      </w:tr>
      <w:tr>
        <w:trPr>
          <w:trHeight w:val="270" w:hRule="atLeast"/>
        </w:trPr>
        <w:tc>
          <w:tcPr>
            <w:tcW w:w="3956" w:type="dxa"/>
          </w:tcPr>
          <w:p>
            <w:pPr>
              <w:pStyle w:val="TableParagraph"/>
              <w:spacing w:line="250" w:lineRule="exact" w:before="1"/>
              <w:ind w:left="107"/>
              <w:rPr>
                <w:sz w:val="21"/>
              </w:rPr>
            </w:pPr>
            <w:r>
              <w:rPr>
                <w:spacing w:val="-1"/>
                <w:sz w:val="21"/>
              </w:rPr>
              <w:t>其他符合非经常性损益定义的损益项目</w:t>
            </w:r>
            <w:r>
              <w:rPr>
                <w:sz w:val="21"/>
              </w:rPr>
              <w:t> </w:t>
            </w:r>
          </w:p>
        </w:tc>
        <w:tc>
          <w:tcPr>
            <w:tcW w:w="2429" w:type="dxa"/>
          </w:tcPr>
          <w:p>
            <w:pPr>
              <w:pStyle w:val="TableParagraph"/>
              <w:spacing w:before="7"/>
              <w:ind w:right="95"/>
              <w:jc w:val="right"/>
              <w:rPr>
                <w:rFonts w:ascii="Times New Roman"/>
                <w:sz w:val="21"/>
              </w:rPr>
            </w:pPr>
            <w:r>
              <w:rPr>
                <w:rFonts w:ascii="Times New Roman"/>
                <w:w w:val="100"/>
                <w:sz w:val="21"/>
              </w:rPr>
              <w:t>-</w:t>
            </w:r>
          </w:p>
        </w:tc>
        <w:tc>
          <w:tcPr>
            <w:tcW w:w="2439" w:type="dxa"/>
          </w:tcPr>
          <w:p>
            <w:pPr>
              <w:pStyle w:val="TableParagraph"/>
              <w:rPr>
                <w:rFonts w:ascii="Times New Roman"/>
                <w:sz w:val="20"/>
              </w:rPr>
            </w:pPr>
          </w:p>
        </w:tc>
      </w:tr>
      <w:tr>
        <w:trPr>
          <w:trHeight w:val="273" w:hRule="atLeast"/>
        </w:trPr>
        <w:tc>
          <w:tcPr>
            <w:tcW w:w="3956" w:type="dxa"/>
          </w:tcPr>
          <w:p>
            <w:pPr>
              <w:pStyle w:val="TableParagraph"/>
              <w:spacing w:line="252" w:lineRule="exact" w:before="1"/>
              <w:ind w:left="107"/>
              <w:rPr>
                <w:sz w:val="21"/>
              </w:rPr>
            </w:pPr>
            <w:r>
              <w:rPr>
                <w:w w:val="100"/>
                <w:sz w:val="21"/>
              </w:rPr>
              <w:t> </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273" w:hRule="atLeast"/>
        </w:trPr>
        <w:tc>
          <w:tcPr>
            <w:tcW w:w="3956" w:type="dxa"/>
          </w:tcPr>
          <w:p>
            <w:pPr>
              <w:pStyle w:val="TableParagraph"/>
              <w:spacing w:line="252" w:lineRule="exact" w:before="1"/>
              <w:ind w:left="107"/>
              <w:rPr>
                <w:sz w:val="21"/>
              </w:rPr>
            </w:pPr>
            <w:r>
              <w:rPr>
                <w:sz w:val="21"/>
              </w:rPr>
              <w:t>减：所得税影响额 </w:t>
            </w:r>
          </w:p>
        </w:tc>
        <w:tc>
          <w:tcPr>
            <w:tcW w:w="2429" w:type="dxa"/>
          </w:tcPr>
          <w:p>
            <w:pPr>
              <w:pStyle w:val="TableParagraph"/>
              <w:spacing w:before="10"/>
              <w:ind w:right="96"/>
              <w:jc w:val="right"/>
              <w:rPr>
                <w:rFonts w:ascii="Times New Roman"/>
                <w:sz w:val="21"/>
              </w:rPr>
            </w:pPr>
            <w:r>
              <w:rPr>
                <w:rFonts w:ascii="Times New Roman"/>
                <w:sz w:val="21"/>
              </w:rPr>
              <w:t>-320,148</w:t>
            </w:r>
          </w:p>
        </w:tc>
        <w:tc>
          <w:tcPr>
            <w:tcW w:w="2439" w:type="dxa"/>
          </w:tcPr>
          <w:p>
            <w:pPr>
              <w:pStyle w:val="TableParagraph"/>
              <w:rPr>
                <w:rFonts w:ascii="Times New Roman"/>
                <w:sz w:val="20"/>
              </w:rPr>
            </w:pPr>
          </w:p>
        </w:tc>
      </w:tr>
      <w:tr>
        <w:trPr>
          <w:trHeight w:val="270" w:hRule="atLeast"/>
        </w:trPr>
        <w:tc>
          <w:tcPr>
            <w:tcW w:w="3956" w:type="dxa"/>
          </w:tcPr>
          <w:p>
            <w:pPr>
              <w:pStyle w:val="TableParagraph"/>
              <w:spacing w:line="250" w:lineRule="exact" w:before="1"/>
              <w:ind w:left="107"/>
              <w:rPr>
                <w:sz w:val="21"/>
              </w:rPr>
            </w:pPr>
            <w:r>
              <w:rPr>
                <w:spacing w:val="-1"/>
                <w:sz w:val="21"/>
              </w:rPr>
              <w:t>少数股东权益影响额</w:t>
            </w:r>
            <w:r>
              <w:rPr>
                <w:sz w:val="21"/>
              </w:rPr>
              <w:t> </w:t>
            </w:r>
          </w:p>
        </w:tc>
        <w:tc>
          <w:tcPr>
            <w:tcW w:w="2429" w:type="dxa"/>
          </w:tcPr>
          <w:p>
            <w:pPr>
              <w:pStyle w:val="TableParagraph"/>
              <w:spacing w:before="7"/>
              <w:ind w:right="96"/>
              <w:jc w:val="right"/>
              <w:rPr>
                <w:rFonts w:ascii="Times New Roman"/>
                <w:sz w:val="21"/>
              </w:rPr>
            </w:pPr>
            <w:r>
              <w:rPr>
                <w:rFonts w:ascii="Times New Roman"/>
                <w:sz w:val="21"/>
              </w:rPr>
              <w:t>-8,979</w:t>
            </w:r>
          </w:p>
        </w:tc>
        <w:tc>
          <w:tcPr>
            <w:tcW w:w="2439" w:type="dxa"/>
          </w:tcPr>
          <w:p>
            <w:pPr>
              <w:pStyle w:val="TableParagraph"/>
              <w:rPr>
                <w:rFonts w:ascii="Times New Roman"/>
                <w:sz w:val="20"/>
              </w:rPr>
            </w:pPr>
          </w:p>
        </w:tc>
      </w:tr>
      <w:tr>
        <w:trPr>
          <w:trHeight w:val="273" w:hRule="atLeast"/>
        </w:trPr>
        <w:tc>
          <w:tcPr>
            <w:tcW w:w="3956" w:type="dxa"/>
          </w:tcPr>
          <w:p>
            <w:pPr>
              <w:pStyle w:val="TableParagraph"/>
              <w:spacing w:line="252" w:lineRule="exact" w:before="1"/>
              <w:ind w:left="1799" w:right="1687"/>
              <w:jc w:val="center"/>
              <w:rPr>
                <w:sz w:val="21"/>
              </w:rPr>
            </w:pPr>
            <w:r>
              <w:rPr>
                <w:sz w:val="21"/>
              </w:rPr>
              <w:t>合计 </w:t>
            </w:r>
          </w:p>
        </w:tc>
        <w:tc>
          <w:tcPr>
            <w:tcW w:w="2429" w:type="dxa"/>
          </w:tcPr>
          <w:p>
            <w:pPr>
              <w:pStyle w:val="TableParagraph"/>
              <w:spacing w:before="10"/>
              <w:ind w:right="93"/>
              <w:jc w:val="right"/>
              <w:rPr>
                <w:rFonts w:ascii="Times New Roman"/>
                <w:sz w:val="21"/>
              </w:rPr>
            </w:pPr>
            <w:r>
              <w:rPr>
                <w:rFonts w:ascii="Times New Roman"/>
                <w:sz w:val="21"/>
              </w:rPr>
              <w:t>1,662,678</w:t>
            </w:r>
          </w:p>
        </w:tc>
        <w:tc>
          <w:tcPr>
            <w:tcW w:w="2439" w:type="dxa"/>
          </w:tcPr>
          <w:p>
            <w:pPr>
              <w:pStyle w:val="TableParagraph"/>
              <w:rPr>
                <w:rFonts w:ascii="Times New Roman"/>
                <w:sz w:val="20"/>
              </w:rPr>
            </w:pPr>
          </w:p>
        </w:tc>
      </w:tr>
    </w:tbl>
    <w:p>
      <w:pPr>
        <w:pStyle w:val="BodyText"/>
        <w:spacing w:before="1"/>
        <w:ind w:left="118"/>
      </w:pPr>
      <w:r>
        <w:rPr>
          <w:w w:val="100"/>
        </w:rPr>
        <w:t> </w:t>
      </w:r>
    </w:p>
    <w:p>
      <w:pPr>
        <w:pStyle w:val="BodyText"/>
        <w:spacing w:before="4"/>
        <w:ind w:left="118"/>
      </w:pPr>
      <w:r>
        <w:rPr>
          <w:spacing w:val="-3"/>
        </w:rPr>
        <w:t>对公司根据《公开发行证券的公司信息披露解释性公告第 </w:t>
      </w:r>
      <w:r>
        <w:rPr/>
        <w:t>1</w:t>
      </w:r>
      <w:r>
        <w:rPr>
          <w:spacing w:val="-8"/>
        </w:rPr>
        <w:t> 号——非经常性损益》定义界定的非</w:t>
      </w:r>
    </w:p>
    <w:p>
      <w:pPr>
        <w:pStyle w:val="BodyText"/>
        <w:spacing w:line="242" w:lineRule="auto" w:before="3"/>
        <w:ind w:left="118" w:right="317"/>
      </w:pPr>
      <w:r>
        <w:rPr>
          <w:spacing w:val="-3"/>
        </w:rPr>
        <w:t>经常性损益项目，以及把《公开发行证券的公司信息披露解释性公告第 </w:t>
      </w:r>
      <w:r>
        <w:rPr/>
        <w:t>1</w:t>
      </w:r>
      <w:r>
        <w:rPr>
          <w:spacing w:val="-8"/>
        </w:rPr>
        <w:t> 号——非经常性损益》</w:t>
      </w:r>
      <w:r>
        <w:rPr/>
        <w:t>中列举的非经常性损益项目界定为经常性损益的项目，应说明原因。 </w:t>
      </w:r>
    </w:p>
    <w:p>
      <w:pPr>
        <w:pStyle w:val="BodyText"/>
        <w:spacing w:before="1"/>
        <w:ind w:left="118"/>
      </w:pPr>
      <w:r>
        <w:rPr>
          <w:spacing w:val="-1"/>
        </w:rPr>
        <w:t>□适用 √不适用</w:t>
      </w:r>
      <w:r>
        <w:rPr>
          <w:spacing w:val="-3"/>
        </w:rPr>
        <w:t> </w:t>
      </w:r>
      <w:r>
        <w:rPr/>
        <w:t> </w:t>
      </w:r>
    </w:p>
    <w:p>
      <w:pPr>
        <w:pStyle w:val="BodyText"/>
        <w:spacing w:before="2"/>
        <w:ind w:left="118"/>
      </w:pPr>
      <w:r>
        <w:rPr>
          <w:w w:val="100"/>
        </w:rPr>
        <w:t> </w:t>
      </w:r>
    </w:p>
    <w:p>
      <w:pPr>
        <w:pStyle w:val="BodyText"/>
        <w:spacing w:before="65"/>
        <w:ind w:left="118"/>
      </w:pPr>
      <w:r>
        <w:rPr/>
        <w:t>2、 净资产收益率及每股收益</w:t>
      </w:r>
    </w:p>
    <w:p>
      <w:pPr>
        <w:pStyle w:val="BodyText"/>
        <w:spacing w:before="62" w:after="3"/>
        <w:ind w:left="118"/>
      </w:pPr>
      <w:r>
        <w:rPr>
          <w:spacing w:val="-1"/>
        </w:rPr>
        <w:t>√适用 □不适用</w:t>
      </w:r>
      <w:r>
        <w:rPr>
          <w:spacing w:val="-3"/>
        </w:rPr>
        <w:t> </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40"/>
        <w:gridCol w:w="1796"/>
        <w:gridCol w:w="2093"/>
        <w:gridCol w:w="2096"/>
      </w:tblGrid>
      <w:tr>
        <w:trPr>
          <w:trHeight w:val="270" w:hRule="atLeast"/>
        </w:trPr>
        <w:tc>
          <w:tcPr>
            <w:tcW w:w="2840" w:type="dxa"/>
            <w:vMerge w:val="restart"/>
          </w:tcPr>
          <w:p>
            <w:pPr>
              <w:pStyle w:val="TableParagraph"/>
              <w:spacing w:before="6"/>
              <w:rPr>
                <w:sz w:val="14"/>
              </w:rPr>
            </w:pPr>
          </w:p>
          <w:p>
            <w:pPr>
              <w:pStyle w:val="TableParagraph"/>
              <w:ind w:left="892"/>
              <w:rPr>
                <w:sz w:val="21"/>
              </w:rPr>
            </w:pPr>
            <w:r>
              <w:rPr>
                <w:sz w:val="21"/>
              </w:rPr>
              <w:t>报告期利润 </w:t>
            </w:r>
          </w:p>
        </w:tc>
        <w:tc>
          <w:tcPr>
            <w:tcW w:w="1796" w:type="dxa"/>
            <w:vMerge w:val="restart"/>
          </w:tcPr>
          <w:p>
            <w:pPr>
              <w:pStyle w:val="TableParagraph"/>
              <w:spacing w:line="244" w:lineRule="auto" w:before="49"/>
              <w:ind w:left="318" w:right="149" w:hanging="159"/>
              <w:rPr>
                <w:sz w:val="21"/>
              </w:rPr>
            </w:pPr>
            <w:r>
              <w:rPr>
                <w:sz w:val="21"/>
              </w:rPr>
              <w:t>加权平均净资产收益率（%） </w:t>
            </w:r>
          </w:p>
        </w:tc>
        <w:tc>
          <w:tcPr>
            <w:tcW w:w="4189" w:type="dxa"/>
            <w:gridSpan w:val="2"/>
          </w:tcPr>
          <w:p>
            <w:pPr>
              <w:pStyle w:val="TableParagraph"/>
              <w:spacing w:line="250" w:lineRule="exact" w:before="1"/>
              <w:ind w:left="1707" w:right="1596"/>
              <w:jc w:val="center"/>
              <w:rPr>
                <w:sz w:val="21"/>
              </w:rPr>
            </w:pPr>
            <w:r>
              <w:rPr>
                <w:spacing w:val="-1"/>
                <w:sz w:val="21"/>
              </w:rPr>
              <w:t>每股收益</w:t>
            </w:r>
            <w:r>
              <w:rPr>
                <w:sz w:val="21"/>
              </w:rPr>
              <w:t> </w:t>
            </w:r>
          </w:p>
        </w:tc>
      </w:tr>
      <w:tr>
        <w:trPr>
          <w:trHeight w:val="362" w:hRule="atLeast"/>
        </w:trPr>
        <w:tc>
          <w:tcPr>
            <w:tcW w:w="2840" w:type="dxa"/>
            <w:vMerge/>
            <w:tcBorders>
              <w:top w:val="nil"/>
            </w:tcBorders>
          </w:tcPr>
          <w:p>
            <w:pPr>
              <w:rPr>
                <w:sz w:val="2"/>
                <w:szCs w:val="2"/>
              </w:rPr>
            </w:pPr>
          </w:p>
        </w:tc>
        <w:tc>
          <w:tcPr>
            <w:tcW w:w="1796" w:type="dxa"/>
            <w:vMerge/>
            <w:tcBorders>
              <w:top w:val="nil"/>
            </w:tcBorders>
          </w:tcPr>
          <w:p>
            <w:pPr>
              <w:rPr>
                <w:sz w:val="2"/>
                <w:szCs w:val="2"/>
              </w:rPr>
            </w:pPr>
          </w:p>
        </w:tc>
        <w:tc>
          <w:tcPr>
            <w:tcW w:w="2093" w:type="dxa"/>
          </w:tcPr>
          <w:p>
            <w:pPr>
              <w:pStyle w:val="TableParagraph"/>
              <w:spacing w:before="46"/>
              <w:ind w:left="450" w:right="339"/>
              <w:jc w:val="center"/>
              <w:rPr>
                <w:sz w:val="21"/>
              </w:rPr>
            </w:pPr>
            <w:r>
              <w:rPr>
                <w:spacing w:val="-1"/>
                <w:sz w:val="21"/>
              </w:rPr>
              <w:t>基本每股收益</w:t>
            </w:r>
            <w:r>
              <w:rPr>
                <w:sz w:val="21"/>
              </w:rPr>
              <w:t> </w:t>
            </w:r>
          </w:p>
        </w:tc>
        <w:tc>
          <w:tcPr>
            <w:tcW w:w="2096" w:type="dxa"/>
          </w:tcPr>
          <w:p>
            <w:pPr>
              <w:pStyle w:val="TableParagraph"/>
              <w:spacing w:before="46"/>
              <w:ind w:left="452" w:right="339"/>
              <w:jc w:val="center"/>
              <w:rPr>
                <w:sz w:val="21"/>
              </w:rPr>
            </w:pPr>
            <w:r>
              <w:rPr>
                <w:spacing w:val="-1"/>
                <w:sz w:val="21"/>
              </w:rPr>
              <w:t>稀释每股收益</w:t>
            </w:r>
            <w:r>
              <w:rPr>
                <w:sz w:val="21"/>
              </w:rPr>
              <w:t> </w:t>
            </w:r>
          </w:p>
        </w:tc>
      </w:tr>
      <w:tr>
        <w:trPr>
          <w:trHeight w:val="544" w:hRule="atLeast"/>
        </w:trPr>
        <w:tc>
          <w:tcPr>
            <w:tcW w:w="2840" w:type="dxa"/>
          </w:tcPr>
          <w:p>
            <w:pPr>
              <w:pStyle w:val="TableParagraph"/>
              <w:spacing w:before="1"/>
              <w:ind w:left="107"/>
              <w:rPr>
                <w:sz w:val="21"/>
              </w:rPr>
            </w:pPr>
            <w:r>
              <w:rPr>
                <w:spacing w:val="-1"/>
                <w:sz w:val="21"/>
              </w:rPr>
              <w:t>归属于公司普通股股东的净</w:t>
            </w:r>
          </w:p>
          <w:p>
            <w:pPr>
              <w:pStyle w:val="TableParagraph"/>
              <w:spacing w:line="252" w:lineRule="exact" w:before="2"/>
              <w:ind w:left="107"/>
              <w:rPr>
                <w:sz w:val="21"/>
              </w:rPr>
            </w:pPr>
            <w:r>
              <w:rPr>
                <w:sz w:val="21"/>
              </w:rPr>
              <w:t>利润 </w:t>
            </w:r>
          </w:p>
        </w:tc>
        <w:tc>
          <w:tcPr>
            <w:tcW w:w="1796" w:type="dxa"/>
          </w:tcPr>
          <w:p>
            <w:pPr>
              <w:pStyle w:val="TableParagraph"/>
              <w:spacing w:before="138"/>
              <w:ind w:right="466"/>
              <w:jc w:val="right"/>
              <w:rPr>
                <w:sz w:val="21"/>
              </w:rPr>
            </w:pPr>
            <w:r>
              <w:rPr>
                <w:sz w:val="21"/>
              </w:rPr>
              <w:t>16.17% </w:t>
            </w:r>
          </w:p>
        </w:tc>
        <w:tc>
          <w:tcPr>
            <w:tcW w:w="2093" w:type="dxa"/>
          </w:tcPr>
          <w:p>
            <w:pPr>
              <w:pStyle w:val="TableParagraph"/>
              <w:spacing w:before="138"/>
              <w:ind w:left="450" w:right="339"/>
              <w:jc w:val="center"/>
              <w:rPr>
                <w:sz w:val="21"/>
              </w:rPr>
            </w:pPr>
            <w:r>
              <w:rPr>
                <w:sz w:val="21"/>
              </w:rPr>
              <w:t>1.02 </w:t>
            </w:r>
          </w:p>
        </w:tc>
        <w:tc>
          <w:tcPr>
            <w:tcW w:w="2096" w:type="dxa"/>
          </w:tcPr>
          <w:p>
            <w:pPr>
              <w:pStyle w:val="TableParagraph"/>
              <w:spacing w:before="138"/>
              <w:ind w:left="452" w:right="324"/>
              <w:jc w:val="center"/>
              <w:rPr>
                <w:sz w:val="24"/>
              </w:rPr>
            </w:pPr>
            <w:r>
              <w:rPr>
                <w:sz w:val="21"/>
              </w:rPr>
              <w:t>1.02</w:t>
            </w:r>
            <w:r>
              <w:rPr>
                <w:sz w:val="24"/>
              </w:rPr>
              <w:t> </w:t>
            </w:r>
          </w:p>
        </w:tc>
      </w:tr>
      <w:tr>
        <w:trPr>
          <w:trHeight w:val="544" w:hRule="atLeast"/>
        </w:trPr>
        <w:tc>
          <w:tcPr>
            <w:tcW w:w="2840" w:type="dxa"/>
          </w:tcPr>
          <w:p>
            <w:pPr>
              <w:pStyle w:val="TableParagraph"/>
              <w:spacing w:before="1"/>
              <w:ind w:left="107"/>
              <w:rPr>
                <w:sz w:val="21"/>
              </w:rPr>
            </w:pPr>
            <w:r>
              <w:rPr>
                <w:spacing w:val="-1"/>
                <w:sz w:val="21"/>
              </w:rPr>
              <w:t>扣除非经常性损益后归属于</w:t>
            </w:r>
          </w:p>
          <w:p>
            <w:pPr>
              <w:pStyle w:val="TableParagraph"/>
              <w:spacing w:line="252" w:lineRule="exact" w:before="2"/>
              <w:ind w:left="107"/>
              <w:rPr>
                <w:sz w:val="21"/>
              </w:rPr>
            </w:pPr>
            <w:r>
              <w:rPr>
                <w:spacing w:val="-1"/>
                <w:sz w:val="21"/>
              </w:rPr>
              <w:t>公司普通股股东的净利润</w:t>
            </w:r>
            <w:r>
              <w:rPr>
                <w:sz w:val="21"/>
              </w:rPr>
              <w:t> </w:t>
            </w:r>
          </w:p>
        </w:tc>
        <w:tc>
          <w:tcPr>
            <w:tcW w:w="1796" w:type="dxa"/>
          </w:tcPr>
          <w:p>
            <w:pPr>
              <w:pStyle w:val="TableParagraph"/>
              <w:spacing w:before="138"/>
              <w:ind w:right="466"/>
              <w:jc w:val="right"/>
              <w:rPr>
                <w:sz w:val="21"/>
              </w:rPr>
            </w:pPr>
            <w:r>
              <w:rPr>
                <w:sz w:val="21"/>
              </w:rPr>
              <w:t>14.83% </w:t>
            </w:r>
          </w:p>
        </w:tc>
        <w:tc>
          <w:tcPr>
            <w:tcW w:w="2093" w:type="dxa"/>
          </w:tcPr>
          <w:p>
            <w:pPr>
              <w:pStyle w:val="TableParagraph"/>
              <w:spacing w:before="138"/>
              <w:ind w:left="450" w:right="339"/>
              <w:jc w:val="center"/>
              <w:rPr>
                <w:sz w:val="21"/>
              </w:rPr>
            </w:pPr>
            <w:r>
              <w:rPr>
                <w:sz w:val="21"/>
              </w:rPr>
              <w:t>0.93 </w:t>
            </w:r>
          </w:p>
        </w:tc>
        <w:tc>
          <w:tcPr>
            <w:tcW w:w="2096" w:type="dxa"/>
          </w:tcPr>
          <w:p>
            <w:pPr>
              <w:pStyle w:val="TableParagraph"/>
              <w:spacing w:before="138"/>
              <w:ind w:left="452" w:right="339"/>
              <w:jc w:val="center"/>
              <w:rPr>
                <w:sz w:val="21"/>
              </w:rPr>
            </w:pPr>
            <w:r>
              <w:rPr>
                <w:sz w:val="21"/>
              </w:rPr>
              <w:t>0.93 </w:t>
            </w:r>
          </w:p>
        </w:tc>
      </w:tr>
    </w:tbl>
    <w:p>
      <w:pPr>
        <w:spacing w:after="0"/>
        <w:jc w:val="center"/>
        <w:rPr>
          <w:sz w:val="21"/>
        </w:rPr>
        <w:sectPr>
          <w:pgSz w:w="11910" w:h="16840"/>
          <w:pgMar w:header="882" w:footer="1195" w:top="1460" w:bottom="1380" w:left="1680" w:right="960"/>
        </w:sectPr>
      </w:pPr>
    </w:p>
    <w:p>
      <w:pPr>
        <w:pStyle w:val="BodyText"/>
        <w:spacing w:before="1"/>
        <w:ind w:left="118"/>
      </w:pPr>
      <w:r>
        <w:rPr>
          <w:w w:val="100"/>
        </w:rPr>
        <w:t> </w:t>
      </w:r>
    </w:p>
    <w:p>
      <w:pPr>
        <w:pStyle w:val="BodyText"/>
        <w:spacing w:before="64"/>
        <w:ind w:left="118"/>
      </w:pPr>
      <w:r>
        <w:rPr/>
        <w:t>3、 境内外会计准则下会计数据差异 </w:t>
      </w:r>
    </w:p>
    <w:p>
      <w:pPr>
        <w:pStyle w:val="BodyText"/>
        <w:spacing w:before="63"/>
        <w:ind w:left="118"/>
      </w:pPr>
      <w:r>
        <w:rPr>
          <w:spacing w:val="-1"/>
        </w:rPr>
        <w:t>□适用 √不适用</w:t>
      </w:r>
      <w:r>
        <w:rPr>
          <w:spacing w:val="-3"/>
        </w:rPr>
        <w:t> </w:t>
      </w:r>
      <w:r>
        <w:rPr/>
        <w:t> </w:t>
      </w:r>
    </w:p>
    <w:p>
      <w:pPr>
        <w:pStyle w:val="BodyText"/>
        <w:spacing w:before="4"/>
        <w:ind w:left="118"/>
      </w:pPr>
      <w:r>
        <w:rPr>
          <w:w w:val="100"/>
        </w:rPr>
        <w:t> </w:t>
      </w:r>
    </w:p>
    <w:p>
      <w:pPr>
        <w:pStyle w:val="BodyText"/>
        <w:spacing w:before="2"/>
        <w:ind w:left="118"/>
      </w:pPr>
      <w:r>
        <w:rPr>
          <w:w w:val="100"/>
        </w:rPr>
        <w:t> </w:t>
      </w:r>
    </w:p>
    <w:p>
      <w:pPr>
        <w:pStyle w:val="BodyText"/>
        <w:spacing w:before="62"/>
        <w:ind w:left="118"/>
      </w:pPr>
      <w:r>
        <w:rPr/>
        <w:t>4、 其他</w:t>
      </w:r>
    </w:p>
    <w:p>
      <w:pPr>
        <w:pStyle w:val="BodyText"/>
        <w:spacing w:before="65"/>
        <w:ind w:left="118"/>
      </w:pPr>
      <w:r>
        <w:rPr>
          <w:spacing w:val="11"/>
        </w:rPr>
        <w:t>□适用 √不适用</w:t>
      </w:r>
      <w:r>
        <w:rPr>
          <w:spacing w:val="-3"/>
        </w:rPr>
        <w:t> </w:t>
      </w:r>
      <w:r>
        <w:rPr/>
        <w:t> </w:t>
      </w:r>
    </w:p>
    <w:p>
      <w:pPr>
        <w:pStyle w:val="BodyText"/>
        <w:spacing w:before="2"/>
        <w:ind w:left="118"/>
      </w:pPr>
      <w:r>
        <w:rPr>
          <w:w w:val="100"/>
        </w:rPr>
        <w:t> </w:t>
      </w:r>
    </w:p>
    <w:p>
      <w:pPr>
        <w:pStyle w:val="Heading3"/>
        <w:spacing w:before="52"/>
        <w:ind w:left="118"/>
        <w:jc w:val="left"/>
      </w:pPr>
      <w:r>
        <w:rPr/>
        <w:t> </w:t>
      </w:r>
    </w:p>
    <w:p>
      <w:pPr>
        <w:pStyle w:val="BodyText"/>
        <w:ind w:left="0"/>
        <w:rPr>
          <w:sz w:val="24"/>
        </w:rPr>
      </w:pPr>
    </w:p>
    <w:p>
      <w:pPr>
        <w:pStyle w:val="BodyText"/>
        <w:ind w:left="0"/>
        <w:rPr>
          <w:sz w:val="24"/>
        </w:rPr>
      </w:pPr>
    </w:p>
    <w:p>
      <w:pPr>
        <w:pStyle w:val="BodyText"/>
        <w:spacing w:before="187"/>
        <w:ind w:left="118"/>
      </w:pPr>
      <w:r>
        <w:rPr>
          <w:w w:val="100"/>
        </w:rPr>
        <w:t> </w:t>
      </w:r>
    </w:p>
    <w:p>
      <w:pPr>
        <w:pStyle w:val="BodyText"/>
        <w:spacing w:before="91"/>
        <w:ind w:left="118"/>
      </w:pPr>
      <w:r>
        <w:rPr>
          <w:w w:val="100"/>
        </w:rPr>
        <w:t> </w:t>
      </w:r>
    </w:p>
    <w:p>
      <w:pPr>
        <w:pStyle w:val="Heading3"/>
        <w:spacing w:before="61"/>
        <w:ind w:left="118"/>
        <w:jc w:val="left"/>
      </w:pPr>
      <w:r>
        <w:rPr/>
        <w:t>修订信息 </w:t>
      </w:r>
    </w:p>
    <w:p>
      <w:pPr>
        <w:pStyle w:val="BodyText"/>
        <w:spacing w:before="6"/>
        <w:ind w:left="118"/>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3"/>
        </w:rPr>
      </w:pPr>
    </w:p>
    <w:p>
      <w:pPr>
        <w:pStyle w:val="BodyText"/>
        <w:spacing w:line="321" w:lineRule="auto"/>
        <w:ind w:left="118" w:right="104" w:firstLine="2155"/>
      </w:pPr>
      <w:r>
        <w:rPr/>
        <w:t>董事长：李军旗</w:t>
      </w:r>
      <w:r>
        <w:rPr>
          <w:spacing w:val="7"/>
        </w:rPr>
        <w:t> </w:t>
      </w:r>
      <w:r>
        <w:rPr>
          <w:spacing w:val="-1"/>
        </w:rPr>
        <w:t>董事会批准报送日期</w:t>
      </w:r>
      <w:r>
        <w:rPr/>
        <w:t>：2023</w:t>
      </w:r>
      <w:r>
        <w:rPr>
          <w:spacing w:val="-36"/>
        </w:rPr>
        <w:t> 年 </w:t>
      </w:r>
      <w:r>
        <w:rPr/>
        <w:t>3</w:t>
      </w:r>
      <w:r>
        <w:rPr>
          <w:spacing w:val="-37"/>
        </w:rPr>
        <w:t> 月 </w:t>
      </w:r>
      <w:r>
        <w:rPr/>
        <w:t>14</w:t>
      </w:r>
      <w:r>
        <w:rPr>
          <w:spacing w:val="-27"/>
        </w:rPr>
        <w:t> 日</w:t>
      </w:r>
      <w:r>
        <w:rPr>
          <w:spacing w:val="-3"/>
        </w:rPr>
        <w:t> </w:t>
      </w:r>
      <w:r>
        <w:rPr/>
        <w:t> </w:t>
      </w:r>
    </w:p>
    <w:sectPr>
      <w:type w:val="continuous"/>
      <w:pgSz w:w="11910" w:h="16840"/>
      <w:pgMar w:top="780" w:bottom="280" w:left="1680" w:right="960"/>
      <w:cols w:num="2" w:equalWidth="0">
        <w:col w:w="3639" w:space="1464"/>
        <w:col w:w="416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PMingLiU-ExtB">
    <w:altName w:val="PMingLiU-ExtB"/>
    <w:charset w:val="1"/>
    <w:family w:val="roman"/>
    <w:pitch w:val="variable"/>
  </w:font>
  <w:font w:name="Microsoft YaHei">
    <w:altName w:val="Microsoft YaHei"/>
    <w:charset w:val="1"/>
    <w:family w:val="swiss"/>
    <w:pitch w:val="variable"/>
  </w:font>
  <w:font w:name="Calibri">
    <w:altName w:val="Calibri"/>
    <w:charset w:val="1"/>
    <w:family w:val="roman"/>
    <w:pitch w:val="variable"/>
  </w:font>
  <w:font w:name="SimSun">
    <w:altName w:val="SimSun"/>
    <w:charset w:val="1"/>
    <w:family w:val="roman"/>
    <w:pitch w:val="variable"/>
  </w:font>
  <w:font w:name="Microsoft JhengHei">
    <w:altName w:val="Microsoft JhengHei"/>
    <w:charset w:val="1"/>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68.730011pt;margin-top:771.145996pt;width:32.8pt;height:11pt;mso-position-horizontal-relative:page;mso-position-vertical-relative:page;z-index:-45176320"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2</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489990pt;margin-top:771.145996pt;width:37.4pt;height:11pt;mso-position-horizontal-relative:page;mso-position-vertical-relative:page;z-index:-45163520"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59</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00.609985pt;margin-top:524.546021pt;width:37.4pt;height:11pt;mso-position-horizontal-relative:page;mso-position-vertical-relative:page;z-index:-45161984"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73</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489990pt;margin-top:771.145996pt;width:37.4pt;height:11pt;mso-position-horizontal-relative:page;mso-position-vertical-relative:page;z-index:-45160448"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90</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02.609985pt;margin-top:524.546021pt;width:32.4pt;height:11pt;mso-position-horizontal-relative:page;mso-position-vertical-relative:page;z-index:-45159936" type="#_x0000_t202" filled="false" stroked="false">
          <v:textbox inset="0,0,0,0">
            <w:txbxContent>
              <w:p>
                <w:pPr>
                  <w:spacing w:line="203" w:lineRule="exact" w:before="0"/>
                  <w:ind w:left="20" w:right="0" w:firstLine="0"/>
                  <w:jc w:val="left"/>
                  <w:rPr>
                    <w:rFonts w:ascii="Calibri"/>
                    <w:b/>
                    <w:sz w:val="18"/>
                  </w:rPr>
                </w:pPr>
                <w:r>
                  <w:rPr>
                    <w:rFonts w:ascii="Calibri"/>
                    <w:b/>
                    <w:sz w:val="18"/>
                  </w:rPr>
                  <w:t>97</w:t>
                </w:r>
                <w:r>
                  <w:rPr>
                    <w:rFonts w:ascii="Calibri"/>
                    <w:b/>
                    <w:spacing w:val="-2"/>
                    <w:sz w:val="18"/>
                  </w:rPr>
                  <w:t> </w:t>
                </w:r>
                <w:r>
                  <w:rPr>
                    <w:rFonts w:ascii="Calibri"/>
                    <w:sz w:val="18"/>
                  </w:rPr>
                  <w:t>/</w:t>
                </w:r>
                <w:r>
                  <w:rPr>
                    <w:rFonts w:ascii="Calibri"/>
                    <w:spacing w:val="-2"/>
                    <w:sz w:val="18"/>
                  </w:rPr>
                  <w:t> </w:t>
                </w:r>
                <w:r>
                  <w:rPr>
                    <w:rFonts w:ascii="Calibri"/>
                    <w:b/>
                    <w:sz w:val="18"/>
                  </w:rPr>
                  <w:t>265</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18"/>
      </w:rPr>
    </w:pPr>
    <w:r>
      <w:rPr/>
      <w:pict>
        <v:shape style="position:absolute;margin-left:290.209991pt;margin-top:771.145996pt;width:41.95pt;height:11pt;mso-position-horizontal-relative:page;mso-position-vertical-relative:page;z-index:-45158400"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127</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88.903999pt;margin-top:752.620972pt;width:7.3pt;height:12.6pt;mso-position-horizontal-relative:page;mso-position-vertical-relative:page;z-index:-45156864" type="#_x0000_t202" filled="false" stroked="false">
          <v:textbox inset="0,0,0,0">
            <w:txbxContent>
              <w:p>
                <w:pPr>
                  <w:pStyle w:val="BodyText"/>
                  <w:spacing w:line="251" w:lineRule="exact"/>
                  <w:ind w:left="20"/>
                </w:pPr>
                <w:r>
                  <w:rPr>
                    <w:w w:val="100"/>
                  </w:rPr>
                  <w:t> </w:t>
                </w:r>
              </w:p>
            </w:txbxContent>
          </v:textbox>
          <w10:wrap type="none"/>
        </v:shape>
      </w:pict>
    </w:r>
    <w:r>
      <w:rPr/>
      <w:pict>
        <v:shape style="position:absolute;margin-left:290.209991pt;margin-top:771.145996pt;width:41.95pt;height:11pt;mso-position-horizontal-relative:page;mso-position-vertical-relative:page;z-index:-45156352"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173</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0.209991pt;margin-top:771.145996pt;width:41.95pt;height:11pt;mso-position-horizontal-relative:page;mso-position-vertical-relative:page;z-index:-45154816"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177</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88.903999pt;margin-top:744.940979pt;width:7.3pt;height:12.6pt;mso-position-horizontal-relative:page;mso-position-vertical-relative:page;z-index:-45153280" type="#_x0000_t202" filled="false" stroked="false">
          <v:textbox inset="0,0,0,0">
            <w:txbxContent>
              <w:p>
                <w:pPr>
                  <w:pStyle w:val="BodyText"/>
                  <w:spacing w:line="251" w:lineRule="exact"/>
                  <w:ind w:left="20"/>
                </w:pPr>
                <w:r>
                  <w:rPr>
                    <w:w w:val="100"/>
                  </w:rPr>
                  <w:t> </w:t>
                </w:r>
              </w:p>
            </w:txbxContent>
          </v:textbox>
          <w10:wrap type="none"/>
        </v:shape>
      </w:pict>
    </w:r>
    <w:r>
      <w:rPr/>
      <w:pict>
        <v:shape style="position:absolute;margin-left:290.209991pt;margin-top:771.145996pt;width:41.95pt;height:11pt;mso-position-horizontal-relative:page;mso-position-vertical-relative:page;z-index:-45152768"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178</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19"/>
      </w:rPr>
    </w:pPr>
    <w:r>
      <w:rPr/>
      <w:pict>
        <v:shape style="position:absolute;margin-left:290.209991pt;margin-top:771.145996pt;width:41.95pt;height:11pt;mso-position-horizontal-relative:page;mso-position-vertical-relative:page;z-index:-45151232"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202</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0.209991pt;margin-top:771.145996pt;width:41.95pt;height:11pt;mso-position-horizontal-relative:page;mso-position-vertical-relative:page;z-index:-45150208"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245</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489990pt;margin-top:771.145996pt;width:37.4pt;height:11pt;mso-position-horizontal-relative:page;mso-position-vertical-relative:page;z-index:-45174784"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10</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0.209991pt;margin-top:771.145996pt;width:41.95pt;height:11pt;mso-position-horizontal-relative:page;mso-position-vertical-relative:page;z-index:-45148672"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246</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88.903999pt;margin-top:752.620972pt;width:91.3pt;height:12.6pt;mso-position-horizontal-relative:page;mso-position-vertical-relative:page;z-index:-45147136" type="#_x0000_t202" filled="false" stroked="false">
          <v:textbox inset="0,0,0,0">
            <w:txbxContent>
              <w:p>
                <w:pPr>
                  <w:pStyle w:val="BodyText"/>
                  <w:spacing w:line="251" w:lineRule="exact"/>
                  <w:ind w:left="20"/>
                </w:pPr>
                <w:r>
                  <w:rPr>
                    <w:spacing w:val="-1"/>
                  </w:rPr>
                  <w:t>□适用 √不适用</w:t>
                </w:r>
                <w:r>
                  <w:rPr>
                    <w:spacing w:val="-3"/>
                  </w:rPr>
                  <w:t> </w:t>
                </w:r>
                <w:r>
                  <w:rPr/>
                  <w:t> </w:t>
                </w:r>
              </w:p>
            </w:txbxContent>
          </v:textbox>
          <w10:wrap type="none"/>
        </v:shape>
      </w:pict>
    </w:r>
    <w:r>
      <w:rPr/>
      <w:pict>
        <v:shape style="position:absolute;margin-left:290.209991pt;margin-top:771.145996pt;width:41.95pt;height:11pt;mso-position-horizontal-relative:page;mso-position-vertical-relative:page;z-index:-45146624"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255</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0.209991pt;margin-top:771.145996pt;width:41.95pt;height:11pt;mso-position-horizontal-relative:page;mso-position-vertical-relative:page;z-index:-45145088"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257</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398.329987pt;margin-top:524.546021pt;width:41.95pt;height:11pt;mso-position-horizontal-relative:page;mso-position-vertical-relative:page;z-index:-45143552"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261</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0.209991pt;margin-top:771.145996pt;width:41.95pt;height:11pt;mso-position-horizontal-relative:page;mso-position-vertical-relative:page;z-index:-45142016"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263</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02.609985pt;margin-top:524.546021pt;width:32.4pt;height:11pt;mso-position-horizontal-relative:page;mso-position-vertical-relative:page;z-index:-45174272" type="#_x0000_t202" filled="false" stroked="false">
          <v:textbox inset="0,0,0,0">
            <w:txbxContent>
              <w:p>
                <w:pPr>
                  <w:spacing w:line="203" w:lineRule="exact" w:before="0"/>
                  <w:ind w:left="20" w:right="0" w:firstLine="0"/>
                  <w:jc w:val="left"/>
                  <w:rPr>
                    <w:rFonts w:ascii="Calibri"/>
                    <w:b/>
                    <w:sz w:val="18"/>
                  </w:rPr>
                </w:pPr>
                <w:r>
                  <w:rPr>
                    <w:rFonts w:ascii="Calibri"/>
                    <w:b/>
                    <w:sz w:val="18"/>
                  </w:rPr>
                  <w:t>24</w:t>
                </w:r>
                <w:r>
                  <w:rPr>
                    <w:rFonts w:ascii="Calibri"/>
                    <w:b/>
                    <w:spacing w:val="-2"/>
                    <w:sz w:val="18"/>
                  </w:rPr>
                  <w:t> </w:t>
                </w:r>
                <w:r>
                  <w:rPr>
                    <w:rFonts w:ascii="Calibri"/>
                    <w:sz w:val="18"/>
                  </w:rPr>
                  <w:t>/</w:t>
                </w:r>
                <w:r>
                  <w:rPr>
                    <w:rFonts w:ascii="Calibri"/>
                    <w:spacing w:val="-2"/>
                    <w:sz w:val="18"/>
                  </w:rPr>
                  <w:t> </w:t>
                </w:r>
                <w:r>
                  <w:rPr>
                    <w:rFonts w:ascii="Calibri"/>
                    <w:b/>
                    <w:sz w:val="18"/>
                  </w:rPr>
                  <w:t>265</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489990pt;margin-top:771.145996pt;width:37.4pt;height:11pt;mso-position-horizontal-relative:page;mso-position-vertical-relative:page;z-index:-45172736"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25</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00.609985pt;margin-top:524.546021pt;width:37.4pt;height:11pt;mso-position-horizontal-relative:page;mso-position-vertical-relative:page;z-index:-45171200"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31</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18"/>
      </w:rPr>
    </w:pPr>
    <w:r>
      <w:rPr/>
      <w:pict>
        <v:shape style="position:absolute;margin-left:292.489990pt;margin-top:771.145996pt;width:37.4pt;height:11pt;mso-position-horizontal-relative:page;mso-position-vertical-relative:page;z-index:-45169664"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35</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00.609985pt;margin-top:524.546021pt;width:37.4pt;height:11pt;mso-position-horizontal-relative:page;mso-position-vertical-relative:page;z-index:-45168128"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39</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18"/>
      </w:rPr>
    </w:pPr>
    <w:r>
      <w:rPr/>
      <w:pict>
        <v:shape style="position:absolute;margin-left:292.489990pt;margin-top:771.145996pt;width:37.4pt;height:11pt;mso-position-horizontal-relative:page;mso-position-vertical-relative:page;z-index:-45166592"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49</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00.609985pt;margin-top:524.546021pt;width:37.4pt;height:11pt;mso-position-horizontal-relative:page;mso-position-vertical-relative:page;z-index:-45165056"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57</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265</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62.400002pt;margin-top:55.439983pt;width:443.62pt;height:.72pt;mso-position-horizontal-relative:page;mso-position-vertical-relative:page;z-index:-45177344"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250.330002pt;margin-top:42.985607pt;width:67.650pt;height:12pt;mso-position-horizontal-relative:page;mso-position-vertical-relative:page;z-index:-45176832"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199982pt;width:443.59pt;height:.72pt;mso-position-horizontal-relative:page;mso-position-vertical-relative:page;z-index:-45164544" filled="true" fillcolor="#000000" stroked="false">
          <v:fill type="solid"/>
          <w10:wrap type="none"/>
        </v:rect>
      </w:pict>
    </w:r>
    <w:r>
      <w:rPr/>
      <w:pict>
        <v:shape style="position:absolute;margin-left:276.369995pt;margin-top:42.865608pt;width:67.650pt;height:12pt;mso-position-horizontal-relative:page;mso-position-vertical-relative:page;z-index:-45164032"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70.559998pt;margin-top:55.440006pt;width:695.62pt;height:.72pt;mso-position-horizontal-relative:page;mso-position-vertical-relative:page;z-index:-45163008" filled="true" fillcolor="#000000" stroked="false">
          <v:fill type="solid"/>
          <w10:wrap type="none"/>
        </v:rect>
      </w:pict>
    </w:r>
    <w:r>
      <w:rPr/>
      <w:pict>
        <v:shape style="position:absolute;margin-left:384.48999pt;margin-top:42.985634pt;width:67.650pt;height:12pt;mso-position-horizontal-relative:page;mso-position-vertical-relative:page;z-index:-45162496"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439983pt;width:443.59pt;height:.72pt;mso-position-horizontal-relative:page;mso-position-vertical-relative:page;z-index:-45161472" filled="true" fillcolor="#000000" stroked="false">
          <v:fill type="solid"/>
          <w10:wrap type="none"/>
        </v:rect>
      </w:pict>
    </w:r>
    <w:r>
      <w:rPr/>
      <w:pict>
        <v:shape style="position:absolute;margin-left:276.369995pt;margin-top:42.985607pt;width:67.650pt;height:12pt;mso-position-horizontal-relative:page;mso-position-vertical-relative:page;z-index:-45160960"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559982pt;width:443.59pt;height:.72pt;mso-position-horizontal-relative:page;mso-position-vertical-relative:page;z-index:-45159424" filled="true" fillcolor="#000000" stroked="false">
          <v:fill type="solid"/>
          <w10:wrap type="none"/>
        </v:rect>
      </w:pict>
    </w:r>
    <w:r>
      <w:rPr/>
      <w:pict>
        <v:shape style="position:absolute;margin-left:276.369995pt;margin-top:43.105606pt;width:67.650pt;height:12pt;mso-position-horizontal-relative:page;mso-position-vertical-relative:page;z-index:-45158912"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559982pt;width:443.59pt;height:.72pt;mso-position-horizontal-relative:page;mso-position-vertical-relative:page;z-index:-45157888" filled="true" fillcolor="#000000" stroked="false">
          <v:fill type="solid"/>
          <w10:wrap type="none"/>
        </v:rect>
      </w:pict>
    </w:r>
    <w:r>
      <w:rPr/>
      <w:pict>
        <v:shape style="position:absolute;margin-left:276.369995pt;margin-top:43.105606pt;width:67.650pt;height:12pt;mso-position-horizontal-relative:page;mso-position-vertical-relative:page;z-index:-45157376"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559982pt;width:443.59pt;height:.72pt;mso-position-horizontal-relative:page;mso-position-vertical-relative:page;z-index:-45155840" filled="true" fillcolor="#000000" stroked="false">
          <v:fill type="solid"/>
          <w10:wrap type="none"/>
        </v:rect>
      </w:pict>
    </w:r>
    <w:r>
      <w:rPr/>
      <w:pict>
        <v:shape style="position:absolute;margin-left:276.369995pt;margin-top:43.105606pt;width:67.650pt;height:12pt;mso-position-horizontal-relative:page;mso-position-vertical-relative:page;z-index:-45155328"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559982pt;width:443.59pt;height:.72pt;mso-position-horizontal-relative:page;mso-position-vertical-relative:page;z-index:-45154304" filled="true" fillcolor="#000000" stroked="false">
          <v:fill type="solid"/>
          <w10:wrap type="none"/>
        </v:rect>
      </w:pict>
    </w:r>
    <w:r>
      <w:rPr/>
      <w:pict>
        <v:shape style="position:absolute;margin-left:276.369995pt;margin-top:43.105606pt;width:67.650pt;height:12pt;mso-position-horizontal-relative:page;mso-position-vertical-relative:page;z-index:-45153792"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559982pt;width:443.59pt;height:.72pt;mso-position-horizontal-relative:page;mso-position-vertical-relative:page;z-index:-45152256" filled="true" fillcolor="#000000" stroked="false">
          <v:fill type="solid"/>
          <w10:wrap type="none"/>
        </v:rect>
      </w:pict>
    </w:r>
    <w:r>
      <w:rPr/>
      <w:pict>
        <v:shape style="position:absolute;margin-left:276.369995pt;margin-top:43.105606pt;width:67.650pt;height:12pt;mso-position-horizontal-relative:page;mso-position-vertical-relative:page;z-index:-45151744"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76.369995pt;margin-top:43.105606pt;width:67.650pt;height:12pt;mso-position-horizontal-relative:page;mso-position-vertical-relative:page;z-index:-45150720"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439983pt;width:443.59pt;height:.72pt;mso-position-horizontal-relative:page;mso-position-vertical-relative:page;z-index:-45175808" filled="true" fillcolor="#000000" stroked="false">
          <v:fill type="solid"/>
          <w10:wrap type="none"/>
        </v:rect>
      </w:pict>
    </w:r>
    <w:r>
      <w:rPr/>
      <w:pict>
        <v:shape style="position:absolute;margin-left:276.369995pt;margin-top:42.985607pt;width:67.650pt;height:12pt;mso-position-horizontal-relative:page;mso-position-vertical-relative:page;z-index:-45175296"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559982pt;width:443.59pt;height:.72pt;mso-position-horizontal-relative:page;mso-position-vertical-relative:page;z-index:-45149696" filled="true" fillcolor="#000000" stroked="false">
          <v:fill type="solid"/>
          <w10:wrap type="none"/>
        </v:rect>
      </w:pict>
    </w:r>
    <w:r>
      <w:rPr/>
      <w:pict>
        <v:shape style="position:absolute;margin-left:276.369995pt;margin-top:43.105606pt;width:67.650pt;height:12pt;mso-position-horizontal-relative:page;mso-position-vertical-relative:page;z-index:-45149184"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559982pt;width:443.59pt;height:.72pt;mso-position-horizontal-relative:page;mso-position-vertical-relative:page;z-index:-45148160" filled="true" fillcolor="#000000" stroked="false">
          <v:fill type="solid"/>
          <w10:wrap type="none"/>
        </v:rect>
      </w:pict>
    </w:r>
    <w:r>
      <w:rPr/>
      <w:pict>
        <v:shape style="position:absolute;margin-left:276.369995pt;margin-top:43.105606pt;width:67.650pt;height:12pt;mso-position-horizontal-relative:page;mso-position-vertical-relative:page;z-index:-45147648"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559982pt;width:443.59pt;height:.72pt;mso-position-horizontal-relative:page;mso-position-vertical-relative:page;z-index:-45146112" filled="true" fillcolor="#000000" stroked="false">
          <v:fill type="solid"/>
          <w10:wrap type="none"/>
        </v:rect>
      </w:pict>
    </w:r>
    <w:r>
      <w:rPr/>
      <w:pict>
        <v:shape style="position:absolute;margin-left:276.369995pt;margin-top:43.105606pt;width:67.650pt;height:12pt;mso-position-horizontal-relative:page;mso-position-vertical-relative:page;z-index:-45145600"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70.559998pt;margin-top:55.560009pt;width:695.62pt;height:.72pt;mso-position-horizontal-relative:page;mso-position-vertical-relative:page;z-index:-45144576" filled="true" fillcolor="#000000" stroked="false">
          <v:fill type="solid"/>
          <w10:wrap type="none"/>
        </v:rect>
      </w:pict>
    </w:r>
    <w:r>
      <w:rPr/>
      <w:pict>
        <v:shape style="position:absolute;margin-left:384.48999pt;margin-top:43.105633pt;width:67.650pt;height:12pt;mso-position-horizontal-relative:page;mso-position-vertical-relative:page;z-index:-45144064"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559982pt;width:443.59pt;height:.72pt;mso-position-horizontal-relative:page;mso-position-vertical-relative:page;z-index:-45143040" filled="true" fillcolor="#000000" stroked="false">
          <v:fill type="solid"/>
          <w10:wrap type="none"/>
        </v:rect>
      </w:pict>
    </w:r>
    <w:r>
      <w:rPr/>
      <w:pict>
        <v:shape style="position:absolute;margin-left:276.369995pt;margin-top:43.105606pt;width:67.650pt;height:12pt;mso-position-horizontal-relative:page;mso-position-vertical-relative:page;z-index:-45142528"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439983pt;width:443.59pt;height:.72pt;mso-position-horizontal-relative:page;mso-position-vertical-relative:page;z-index:-45173760" filled="true" fillcolor="#000000" stroked="false">
          <v:fill type="solid"/>
          <w10:wrap type="none"/>
        </v:rect>
      </w:pict>
    </w:r>
    <w:r>
      <w:rPr/>
      <w:pict>
        <v:shape style="position:absolute;margin-left:276.369995pt;margin-top:42.985607pt;width:67.650pt;height:12pt;mso-position-horizontal-relative:page;mso-position-vertical-relative:page;z-index:-45173248"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70.559998pt;margin-top:55.560009pt;width:695.62pt;height:.72pt;mso-position-horizontal-relative:page;mso-position-vertical-relative:page;z-index:-45172224" filled="true" fillcolor="#000000" stroked="false">
          <v:fill type="solid"/>
          <w10:wrap type="none"/>
        </v:rect>
      </w:pict>
    </w:r>
    <w:r>
      <w:rPr/>
      <w:pict>
        <v:shape style="position:absolute;margin-left:384.48999pt;margin-top:43.105633pt;width:67.650pt;height:12pt;mso-position-horizontal-relative:page;mso-position-vertical-relative:page;z-index:-45171712"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199982pt;width:443.59pt;height:.72pt;mso-position-horizontal-relative:page;mso-position-vertical-relative:page;z-index:-45170688" filled="true" fillcolor="#000000" stroked="false">
          <v:fill type="solid"/>
          <w10:wrap type="none"/>
        </v:rect>
      </w:pict>
    </w:r>
    <w:r>
      <w:rPr/>
      <w:pict>
        <v:shape style="position:absolute;margin-left:276.369995pt;margin-top:42.865608pt;width:67.650pt;height:12pt;mso-position-horizontal-relative:page;mso-position-vertical-relative:page;z-index:-45170176"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70.559998pt;margin-top:55.200008pt;width:695.62pt;height:.72pt;mso-position-horizontal-relative:page;mso-position-vertical-relative:page;z-index:-45169152" filled="true" fillcolor="#000000" stroked="false">
          <v:fill type="solid"/>
          <w10:wrap type="none"/>
        </v:rect>
      </w:pict>
    </w:r>
    <w:r>
      <w:rPr/>
      <w:pict>
        <v:shape style="position:absolute;margin-left:384.48999pt;margin-top:42.865631pt;width:67.650pt;height:12pt;mso-position-horizontal-relative:page;mso-position-vertical-relative:page;z-index:-45168640"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199982pt;width:443.59pt;height:.72pt;mso-position-horizontal-relative:page;mso-position-vertical-relative:page;z-index:-45167616" filled="true" fillcolor="#000000" stroked="false">
          <v:fill type="solid"/>
          <w10:wrap type="none"/>
        </v:rect>
      </w:pict>
    </w:r>
    <w:r>
      <w:rPr/>
      <w:pict>
        <v:shape style="position:absolute;margin-left:276.369995pt;margin-top:42.865608pt;width:67.650pt;height:12pt;mso-position-horizontal-relative:page;mso-position-vertical-relative:page;z-index:-45167104"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70.559998pt;margin-top:55.200008pt;width:695.62pt;height:.72pt;mso-position-horizontal-relative:page;mso-position-vertical-relative:page;z-index:-45166080" filled="true" fillcolor="#000000" stroked="false">
          <v:fill type="solid"/>
          <w10:wrap type="none"/>
        </v:rect>
      </w:pict>
    </w:r>
    <w:r>
      <w:rPr/>
      <w:pict>
        <v:shape style="position:absolute;margin-left:384.48999pt;margin-top:42.865631pt;width:67.650pt;height:12pt;mso-position-horizontal-relative:page;mso-position-vertical-relative:page;z-index:-45165568"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4"/>
                    <w:sz w:val="18"/>
                  </w:rPr>
                  <w:t> </w:t>
                </w:r>
                <w:r>
                  <w:rPr>
                    <w:sz w:val="18"/>
                  </w:rPr>
                  <w:t>年年度报告</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6">
    <w:multiLevelType w:val="hybridMultilevel"/>
    <w:lvl w:ilvl="0">
      <w:start w:val="1"/>
      <w:numFmt w:val="decimal"/>
      <w:lvlText w:val="(%1)."/>
      <w:lvlJc w:val="left"/>
      <w:pPr>
        <w:ind w:left="541"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1412" w:hanging="424"/>
      </w:pPr>
      <w:rPr>
        <w:rFonts w:hint="default"/>
        <w:lang w:val="en-US" w:eastAsia="zh-CN" w:bidi="ar-SA"/>
      </w:rPr>
    </w:lvl>
    <w:lvl w:ilvl="2">
      <w:start w:val="0"/>
      <w:numFmt w:val="bullet"/>
      <w:lvlText w:val="•"/>
      <w:lvlJc w:val="left"/>
      <w:pPr>
        <w:ind w:left="2285" w:hanging="424"/>
      </w:pPr>
      <w:rPr>
        <w:rFonts w:hint="default"/>
        <w:lang w:val="en-US" w:eastAsia="zh-CN" w:bidi="ar-SA"/>
      </w:rPr>
    </w:lvl>
    <w:lvl w:ilvl="3">
      <w:start w:val="0"/>
      <w:numFmt w:val="bullet"/>
      <w:lvlText w:val="•"/>
      <w:lvlJc w:val="left"/>
      <w:pPr>
        <w:ind w:left="3157" w:hanging="424"/>
      </w:pPr>
      <w:rPr>
        <w:rFonts w:hint="default"/>
        <w:lang w:val="en-US" w:eastAsia="zh-CN" w:bidi="ar-SA"/>
      </w:rPr>
    </w:lvl>
    <w:lvl w:ilvl="4">
      <w:start w:val="0"/>
      <w:numFmt w:val="bullet"/>
      <w:lvlText w:val="•"/>
      <w:lvlJc w:val="left"/>
      <w:pPr>
        <w:ind w:left="4030" w:hanging="424"/>
      </w:pPr>
      <w:rPr>
        <w:rFonts w:hint="default"/>
        <w:lang w:val="en-US" w:eastAsia="zh-CN" w:bidi="ar-SA"/>
      </w:rPr>
    </w:lvl>
    <w:lvl w:ilvl="5">
      <w:start w:val="0"/>
      <w:numFmt w:val="bullet"/>
      <w:lvlText w:val="•"/>
      <w:lvlJc w:val="left"/>
      <w:pPr>
        <w:ind w:left="4903" w:hanging="424"/>
      </w:pPr>
      <w:rPr>
        <w:rFonts w:hint="default"/>
        <w:lang w:val="en-US" w:eastAsia="zh-CN" w:bidi="ar-SA"/>
      </w:rPr>
    </w:lvl>
    <w:lvl w:ilvl="6">
      <w:start w:val="0"/>
      <w:numFmt w:val="bullet"/>
      <w:lvlText w:val="•"/>
      <w:lvlJc w:val="left"/>
      <w:pPr>
        <w:ind w:left="5775" w:hanging="424"/>
      </w:pPr>
      <w:rPr>
        <w:rFonts w:hint="default"/>
        <w:lang w:val="en-US" w:eastAsia="zh-CN" w:bidi="ar-SA"/>
      </w:rPr>
    </w:lvl>
    <w:lvl w:ilvl="7">
      <w:start w:val="0"/>
      <w:numFmt w:val="bullet"/>
      <w:lvlText w:val="•"/>
      <w:lvlJc w:val="left"/>
      <w:pPr>
        <w:ind w:left="6648" w:hanging="424"/>
      </w:pPr>
      <w:rPr>
        <w:rFonts w:hint="default"/>
        <w:lang w:val="en-US" w:eastAsia="zh-CN" w:bidi="ar-SA"/>
      </w:rPr>
    </w:lvl>
    <w:lvl w:ilvl="8">
      <w:start w:val="0"/>
      <w:numFmt w:val="bullet"/>
      <w:lvlText w:val="•"/>
      <w:lvlJc w:val="left"/>
      <w:pPr>
        <w:ind w:left="7521" w:hanging="424"/>
      </w:pPr>
      <w:rPr>
        <w:rFonts w:hint="default"/>
        <w:lang w:val="en-US" w:eastAsia="zh-CN" w:bidi="ar-SA"/>
      </w:rPr>
    </w:lvl>
  </w:abstractNum>
  <w:abstractNum w:abstractNumId="95">
    <w:multiLevelType w:val="hybridMultilevel"/>
    <w:lvl w:ilvl="0">
      <w:start w:val="1"/>
      <w:numFmt w:val="decimal"/>
      <w:lvlText w:val="(%1)."/>
      <w:lvlJc w:val="left"/>
      <w:pPr>
        <w:ind w:left="741"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1050" w:hanging="424"/>
      </w:pPr>
      <w:rPr>
        <w:rFonts w:hint="default"/>
        <w:lang w:val="en-US" w:eastAsia="zh-CN" w:bidi="ar-SA"/>
      </w:rPr>
    </w:lvl>
    <w:lvl w:ilvl="2">
      <w:start w:val="0"/>
      <w:numFmt w:val="bullet"/>
      <w:lvlText w:val="•"/>
      <w:lvlJc w:val="left"/>
      <w:pPr>
        <w:ind w:left="1361" w:hanging="424"/>
      </w:pPr>
      <w:rPr>
        <w:rFonts w:hint="default"/>
        <w:lang w:val="en-US" w:eastAsia="zh-CN" w:bidi="ar-SA"/>
      </w:rPr>
    </w:lvl>
    <w:lvl w:ilvl="3">
      <w:start w:val="0"/>
      <w:numFmt w:val="bullet"/>
      <w:lvlText w:val="•"/>
      <w:lvlJc w:val="left"/>
      <w:pPr>
        <w:ind w:left="1671" w:hanging="424"/>
      </w:pPr>
      <w:rPr>
        <w:rFonts w:hint="default"/>
        <w:lang w:val="en-US" w:eastAsia="zh-CN" w:bidi="ar-SA"/>
      </w:rPr>
    </w:lvl>
    <w:lvl w:ilvl="4">
      <w:start w:val="0"/>
      <w:numFmt w:val="bullet"/>
      <w:lvlText w:val="•"/>
      <w:lvlJc w:val="left"/>
      <w:pPr>
        <w:ind w:left="1982" w:hanging="424"/>
      </w:pPr>
      <w:rPr>
        <w:rFonts w:hint="default"/>
        <w:lang w:val="en-US" w:eastAsia="zh-CN" w:bidi="ar-SA"/>
      </w:rPr>
    </w:lvl>
    <w:lvl w:ilvl="5">
      <w:start w:val="0"/>
      <w:numFmt w:val="bullet"/>
      <w:lvlText w:val="•"/>
      <w:lvlJc w:val="left"/>
      <w:pPr>
        <w:ind w:left="2292" w:hanging="424"/>
      </w:pPr>
      <w:rPr>
        <w:rFonts w:hint="default"/>
        <w:lang w:val="en-US" w:eastAsia="zh-CN" w:bidi="ar-SA"/>
      </w:rPr>
    </w:lvl>
    <w:lvl w:ilvl="6">
      <w:start w:val="0"/>
      <w:numFmt w:val="bullet"/>
      <w:lvlText w:val="•"/>
      <w:lvlJc w:val="left"/>
      <w:pPr>
        <w:ind w:left="2603" w:hanging="424"/>
      </w:pPr>
      <w:rPr>
        <w:rFonts w:hint="default"/>
        <w:lang w:val="en-US" w:eastAsia="zh-CN" w:bidi="ar-SA"/>
      </w:rPr>
    </w:lvl>
    <w:lvl w:ilvl="7">
      <w:start w:val="0"/>
      <w:numFmt w:val="bullet"/>
      <w:lvlText w:val="•"/>
      <w:lvlJc w:val="left"/>
      <w:pPr>
        <w:ind w:left="2914" w:hanging="424"/>
      </w:pPr>
      <w:rPr>
        <w:rFonts w:hint="default"/>
        <w:lang w:val="en-US" w:eastAsia="zh-CN" w:bidi="ar-SA"/>
      </w:rPr>
    </w:lvl>
    <w:lvl w:ilvl="8">
      <w:start w:val="0"/>
      <w:numFmt w:val="bullet"/>
      <w:lvlText w:val="•"/>
      <w:lvlJc w:val="left"/>
      <w:pPr>
        <w:ind w:left="3224" w:hanging="424"/>
      </w:pPr>
      <w:rPr>
        <w:rFonts w:hint="default"/>
        <w:lang w:val="en-US" w:eastAsia="zh-CN" w:bidi="ar-SA"/>
      </w:rPr>
    </w:lvl>
  </w:abstractNum>
  <w:abstractNum w:abstractNumId="94">
    <w:multiLevelType w:val="hybridMultilevel"/>
    <w:lvl w:ilvl="0">
      <w:start w:val="4"/>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923" w:hanging="428"/>
      </w:pPr>
      <w:rPr>
        <w:rFonts w:hint="default"/>
        <w:lang w:val="en-US" w:eastAsia="zh-CN" w:bidi="ar-SA"/>
      </w:rPr>
    </w:lvl>
    <w:lvl w:ilvl="2">
      <w:start w:val="0"/>
      <w:numFmt w:val="bullet"/>
      <w:lvlText w:val="•"/>
      <w:lvlJc w:val="left"/>
      <w:pPr>
        <w:ind w:left="1107" w:hanging="428"/>
      </w:pPr>
      <w:rPr>
        <w:rFonts w:hint="default"/>
        <w:lang w:val="en-US" w:eastAsia="zh-CN" w:bidi="ar-SA"/>
      </w:rPr>
    </w:lvl>
    <w:lvl w:ilvl="3">
      <w:start w:val="0"/>
      <w:numFmt w:val="bullet"/>
      <w:lvlText w:val="•"/>
      <w:lvlJc w:val="left"/>
      <w:pPr>
        <w:ind w:left="1291" w:hanging="428"/>
      </w:pPr>
      <w:rPr>
        <w:rFonts w:hint="default"/>
        <w:lang w:val="en-US" w:eastAsia="zh-CN" w:bidi="ar-SA"/>
      </w:rPr>
    </w:lvl>
    <w:lvl w:ilvl="4">
      <w:start w:val="0"/>
      <w:numFmt w:val="bullet"/>
      <w:lvlText w:val="•"/>
      <w:lvlJc w:val="left"/>
      <w:pPr>
        <w:ind w:left="1475" w:hanging="428"/>
      </w:pPr>
      <w:rPr>
        <w:rFonts w:hint="default"/>
        <w:lang w:val="en-US" w:eastAsia="zh-CN" w:bidi="ar-SA"/>
      </w:rPr>
    </w:lvl>
    <w:lvl w:ilvl="5">
      <w:start w:val="0"/>
      <w:numFmt w:val="bullet"/>
      <w:lvlText w:val="•"/>
      <w:lvlJc w:val="left"/>
      <w:pPr>
        <w:ind w:left="1659" w:hanging="428"/>
      </w:pPr>
      <w:rPr>
        <w:rFonts w:hint="default"/>
        <w:lang w:val="en-US" w:eastAsia="zh-CN" w:bidi="ar-SA"/>
      </w:rPr>
    </w:lvl>
    <w:lvl w:ilvl="6">
      <w:start w:val="0"/>
      <w:numFmt w:val="bullet"/>
      <w:lvlText w:val="•"/>
      <w:lvlJc w:val="left"/>
      <w:pPr>
        <w:ind w:left="1843" w:hanging="428"/>
      </w:pPr>
      <w:rPr>
        <w:rFonts w:hint="default"/>
        <w:lang w:val="en-US" w:eastAsia="zh-CN" w:bidi="ar-SA"/>
      </w:rPr>
    </w:lvl>
    <w:lvl w:ilvl="7">
      <w:start w:val="0"/>
      <w:numFmt w:val="bullet"/>
      <w:lvlText w:val="•"/>
      <w:lvlJc w:val="left"/>
      <w:pPr>
        <w:ind w:left="2027" w:hanging="428"/>
      </w:pPr>
      <w:rPr>
        <w:rFonts w:hint="default"/>
        <w:lang w:val="en-US" w:eastAsia="zh-CN" w:bidi="ar-SA"/>
      </w:rPr>
    </w:lvl>
    <w:lvl w:ilvl="8">
      <w:start w:val="0"/>
      <w:numFmt w:val="bullet"/>
      <w:lvlText w:val="•"/>
      <w:lvlJc w:val="left"/>
      <w:pPr>
        <w:ind w:left="2210" w:hanging="428"/>
      </w:pPr>
      <w:rPr>
        <w:rFonts w:hint="default"/>
        <w:lang w:val="en-US" w:eastAsia="zh-CN" w:bidi="ar-SA"/>
      </w:rPr>
    </w:lvl>
  </w:abstractNum>
  <w:abstractNum w:abstractNumId="93">
    <w:multiLevelType w:val="hybridMultilevel"/>
    <w:lvl w:ilvl="0">
      <w:start w:val="1"/>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8"/>
      </w:pPr>
      <w:rPr>
        <w:rFonts w:hint="default"/>
        <w:lang w:val="en-US" w:eastAsia="zh-CN" w:bidi="ar-SA"/>
      </w:rPr>
    </w:lvl>
    <w:lvl w:ilvl="2">
      <w:start w:val="0"/>
      <w:numFmt w:val="bullet"/>
      <w:lvlText w:val="•"/>
      <w:lvlJc w:val="left"/>
      <w:pPr>
        <w:ind w:left="2677" w:hanging="428"/>
      </w:pPr>
      <w:rPr>
        <w:rFonts w:hint="default"/>
        <w:lang w:val="en-US" w:eastAsia="zh-CN" w:bidi="ar-SA"/>
      </w:rPr>
    </w:lvl>
    <w:lvl w:ilvl="3">
      <w:start w:val="0"/>
      <w:numFmt w:val="bullet"/>
      <w:lvlText w:val="•"/>
      <w:lvlJc w:val="left"/>
      <w:pPr>
        <w:ind w:left="3645" w:hanging="428"/>
      </w:pPr>
      <w:rPr>
        <w:rFonts w:hint="default"/>
        <w:lang w:val="en-US" w:eastAsia="zh-CN" w:bidi="ar-SA"/>
      </w:rPr>
    </w:lvl>
    <w:lvl w:ilvl="4">
      <w:start w:val="0"/>
      <w:numFmt w:val="bullet"/>
      <w:lvlText w:val="•"/>
      <w:lvlJc w:val="left"/>
      <w:pPr>
        <w:ind w:left="4614" w:hanging="428"/>
      </w:pPr>
      <w:rPr>
        <w:rFonts w:hint="default"/>
        <w:lang w:val="en-US" w:eastAsia="zh-CN" w:bidi="ar-SA"/>
      </w:rPr>
    </w:lvl>
    <w:lvl w:ilvl="5">
      <w:start w:val="0"/>
      <w:numFmt w:val="bullet"/>
      <w:lvlText w:val="•"/>
      <w:lvlJc w:val="left"/>
      <w:pPr>
        <w:ind w:left="5583" w:hanging="428"/>
      </w:pPr>
      <w:rPr>
        <w:rFonts w:hint="default"/>
        <w:lang w:val="en-US" w:eastAsia="zh-CN" w:bidi="ar-SA"/>
      </w:rPr>
    </w:lvl>
    <w:lvl w:ilvl="6">
      <w:start w:val="0"/>
      <w:numFmt w:val="bullet"/>
      <w:lvlText w:val="•"/>
      <w:lvlJc w:val="left"/>
      <w:pPr>
        <w:ind w:left="6551" w:hanging="428"/>
      </w:pPr>
      <w:rPr>
        <w:rFonts w:hint="default"/>
        <w:lang w:val="en-US" w:eastAsia="zh-CN" w:bidi="ar-SA"/>
      </w:rPr>
    </w:lvl>
    <w:lvl w:ilvl="7">
      <w:start w:val="0"/>
      <w:numFmt w:val="bullet"/>
      <w:lvlText w:val="•"/>
      <w:lvlJc w:val="left"/>
      <w:pPr>
        <w:ind w:left="7520" w:hanging="428"/>
      </w:pPr>
      <w:rPr>
        <w:rFonts w:hint="default"/>
        <w:lang w:val="en-US" w:eastAsia="zh-CN" w:bidi="ar-SA"/>
      </w:rPr>
    </w:lvl>
    <w:lvl w:ilvl="8">
      <w:start w:val="0"/>
      <w:numFmt w:val="bullet"/>
      <w:lvlText w:val="•"/>
      <w:lvlJc w:val="left"/>
      <w:pPr>
        <w:ind w:left="8489" w:hanging="428"/>
      </w:pPr>
      <w:rPr>
        <w:rFonts w:hint="default"/>
        <w:lang w:val="en-US" w:eastAsia="zh-CN" w:bidi="ar-SA"/>
      </w:rPr>
    </w:lvl>
  </w:abstractNum>
  <w:abstractNum w:abstractNumId="92">
    <w:multiLevelType w:val="hybridMultilevel"/>
    <w:lvl w:ilvl="0">
      <w:start w:val="1"/>
      <w:numFmt w:val="decimal"/>
      <w:lvlText w:val="(%1)."/>
      <w:lvlJc w:val="left"/>
      <w:pPr>
        <w:ind w:left="74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1145" w:hanging="425"/>
      </w:pPr>
      <w:rPr>
        <w:rFonts w:hint="default"/>
        <w:lang w:val="en-US" w:eastAsia="zh-CN" w:bidi="ar-SA"/>
      </w:rPr>
    </w:lvl>
    <w:lvl w:ilvl="2">
      <w:start w:val="0"/>
      <w:numFmt w:val="bullet"/>
      <w:lvlText w:val="•"/>
      <w:lvlJc w:val="left"/>
      <w:pPr>
        <w:ind w:left="1550" w:hanging="425"/>
      </w:pPr>
      <w:rPr>
        <w:rFonts w:hint="default"/>
        <w:lang w:val="en-US" w:eastAsia="zh-CN" w:bidi="ar-SA"/>
      </w:rPr>
    </w:lvl>
    <w:lvl w:ilvl="3">
      <w:start w:val="0"/>
      <w:numFmt w:val="bullet"/>
      <w:lvlText w:val="•"/>
      <w:lvlJc w:val="left"/>
      <w:pPr>
        <w:ind w:left="1955" w:hanging="425"/>
      </w:pPr>
      <w:rPr>
        <w:rFonts w:hint="default"/>
        <w:lang w:val="en-US" w:eastAsia="zh-CN" w:bidi="ar-SA"/>
      </w:rPr>
    </w:lvl>
    <w:lvl w:ilvl="4">
      <w:start w:val="0"/>
      <w:numFmt w:val="bullet"/>
      <w:lvlText w:val="•"/>
      <w:lvlJc w:val="left"/>
      <w:pPr>
        <w:ind w:left="2360" w:hanging="425"/>
      </w:pPr>
      <w:rPr>
        <w:rFonts w:hint="default"/>
        <w:lang w:val="en-US" w:eastAsia="zh-CN" w:bidi="ar-SA"/>
      </w:rPr>
    </w:lvl>
    <w:lvl w:ilvl="5">
      <w:start w:val="0"/>
      <w:numFmt w:val="bullet"/>
      <w:lvlText w:val="•"/>
      <w:lvlJc w:val="left"/>
      <w:pPr>
        <w:ind w:left="2765" w:hanging="425"/>
      </w:pPr>
      <w:rPr>
        <w:rFonts w:hint="default"/>
        <w:lang w:val="en-US" w:eastAsia="zh-CN" w:bidi="ar-SA"/>
      </w:rPr>
    </w:lvl>
    <w:lvl w:ilvl="6">
      <w:start w:val="0"/>
      <w:numFmt w:val="bullet"/>
      <w:lvlText w:val="•"/>
      <w:lvlJc w:val="left"/>
      <w:pPr>
        <w:ind w:left="3170" w:hanging="425"/>
      </w:pPr>
      <w:rPr>
        <w:rFonts w:hint="default"/>
        <w:lang w:val="en-US" w:eastAsia="zh-CN" w:bidi="ar-SA"/>
      </w:rPr>
    </w:lvl>
    <w:lvl w:ilvl="7">
      <w:start w:val="0"/>
      <w:numFmt w:val="bullet"/>
      <w:lvlText w:val="•"/>
      <w:lvlJc w:val="left"/>
      <w:pPr>
        <w:ind w:left="3575" w:hanging="425"/>
      </w:pPr>
      <w:rPr>
        <w:rFonts w:hint="default"/>
        <w:lang w:val="en-US" w:eastAsia="zh-CN" w:bidi="ar-SA"/>
      </w:rPr>
    </w:lvl>
    <w:lvl w:ilvl="8">
      <w:start w:val="0"/>
      <w:numFmt w:val="bullet"/>
      <w:lvlText w:val="•"/>
      <w:lvlJc w:val="left"/>
      <w:pPr>
        <w:ind w:left="3980" w:hanging="425"/>
      </w:pPr>
      <w:rPr>
        <w:rFonts w:hint="default"/>
        <w:lang w:val="en-US" w:eastAsia="zh-CN" w:bidi="ar-SA"/>
      </w:rPr>
    </w:lvl>
  </w:abstractNum>
  <w:abstractNum w:abstractNumId="91">
    <w:multiLevelType w:val="hybridMultilevel"/>
    <w:lvl w:ilvl="0">
      <w:start w:val="1"/>
      <w:numFmt w:val="decimal"/>
      <w:lvlText w:val="(%1)."/>
      <w:lvlJc w:val="left"/>
      <w:pPr>
        <w:ind w:left="74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5"/>
      </w:pPr>
      <w:rPr>
        <w:rFonts w:hint="default"/>
        <w:lang w:val="en-US" w:eastAsia="zh-CN" w:bidi="ar-SA"/>
      </w:rPr>
    </w:lvl>
    <w:lvl w:ilvl="2">
      <w:start w:val="0"/>
      <w:numFmt w:val="bullet"/>
      <w:lvlText w:val="•"/>
      <w:lvlJc w:val="left"/>
      <w:pPr>
        <w:ind w:left="2677" w:hanging="425"/>
      </w:pPr>
      <w:rPr>
        <w:rFonts w:hint="default"/>
        <w:lang w:val="en-US" w:eastAsia="zh-CN" w:bidi="ar-SA"/>
      </w:rPr>
    </w:lvl>
    <w:lvl w:ilvl="3">
      <w:start w:val="0"/>
      <w:numFmt w:val="bullet"/>
      <w:lvlText w:val="•"/>
      <w:lvlJc w:val="left"/>
      <w:pPr>
        <w:ind w:left="3645" w:hanging="425"/>
      </w:pPr>
      <w:rPr>
        <w:rFonts w:hint="default"/>
        <w:lang w:val="en-US" w:eastAsia="zh-CN" w:bidi="ar-SA"/>
      </w:rPr>
    </w:lvl>
    <w:lvl w:ilvl="4">
      <w:start w:val="0"/>
      <w:numFmt w:val="bullet"/>
      <w:lvlText w:val="•"/>
      <w:lvlJc w:val="left"/>
      <w:pPr>
        <w:ind w:left="4614" w:hanging="425"/>
      </w:pPr>
      <w:rPr>
        <w:rFonts w:hint="default"/>
        <w:lang w:val="en-US" w:eastAsia="zh-CN" w:bidi="ar-SA"/>
      </w:rPr>
    </w:lvl>
    <w:lvl w:ilvl="5">
      <w:start w:val="0"/>
      <w:numFmt w:val="bullet"/>
      <w:lvlText w:val="•"/>
      <w:lvlJc w:val="left"/>
      <w:pPr>
        <w:ind w:left="5583" w:hanging="425"/>
      </w:pPr>
      <w:rPr>
        <w:rFonts w:hint="default"/>
        <w:lang w:val="en-US" w:eastAsia="zh-CN" w:bidi="ar-SA"/>
      </w:rPr>
    </w:lvl>
    <w:lvl w:ilvl="6">
      <w:start w:val="0"/>
      <w:numFmt w:val="bullet"/>
      <w:lvlText w:val="•"/>
      <w:lvlJc w:val="left"/>
      <w:pPr>
        <w:ind w:left="6551" w:hanging="425"/>
      </w:pPr>
      <w:rPr>
        <w:rFonts w:hint="default"/>
        <w:lang w:val="en-US" w:eastAsia="zh-CN" w:bidi="ar-SA"/>
      </w:rPr>
    </w:lvl>
    <w:lvl w:ilvl="7">
      <w:start w:val="0"/>
      <w:numFmt w:val="bullet"/>
      <w:lvlText w:val="•"/>
      <w:lvlJc w:val="left"/>
      <w:pPr>
        <w:ind w:left="7520" w:hanging="425"/>
      </w:pPr>
      <w:rPr>
        <w:rFonts w:hint="default"/>
        <w:lang w:val="en-US" w:eastAsia="zh-CN" w:bidi="ar-SA"/>
      </w:rPr>
    </w:lvl>
    <w:lvl w:ilvl="8">
      <w:start w:val="0"/>
      <w:numFmt w:val="bullet"/>
      <w:lvlText w:val="•"/>
      <w:lvlJc w:val="left"/>
      <w:pPr>
        <w:ind w:left="8489" w:hanging="425"/>
      </w:pPr>
      <w:rPr>
        <w:rFonts w:hint="default"/>
        <w:lang w:val="en-US" w:eastAsia="zh-CN" w:bidi="ar-SA"/>
      </w:rPr>
    </w:lvl>
  </w:abstractNum>
  <w:abstractNum w:abstractNumId="90">
    <w:multiLevelType w:val="hybridMultilevel"/>
    <w:lvl w:ilvl="0">
      <w:start w:val="1"/>
      <w:numFmt w:val="decimal"/>
      <w:lvlText w:val="(%1)."/>
      <w:lvlJc w:val="left"/>
      <w:pPr>
        <w:ind w:left="74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5"/>
      </w:pPr>
      <w:rPr>
        <w:rFonts w:hint="default"/>
        <w:lang w:val="en-US" w:eastAsia="zh-CN" w:bidi="ar-SA"/>
      </w:rPr>
    </w:lvl>
    <w:lvl w:ilvl="2">
      <w:start w:val="0"/>
      <w:numFmt w:val="bullet"/>
      <w:lvlText w:val="•"/>
      <w:lvlJc w:val="left"/>
      <w:pPr>
        <w:ind w:left="2677" w:hanging="425"/>
      </w:pPr>
      <w:rPr>
        <w:rFonts w:hint="default"/>
        <w:lang w:val="en-US" w:eastAsia="zh-CN" w:bidi="ar-SA"/>
      </w:rPr>
    </w:lvl>
    <w:lvl w:ilvl="3">
      <w:start w:val="0"/>
      <w:numFmt w:val="bullet"/>
      <w:lvlText w:val="•"/>
      <w:lvlJc w:val="left"/>
      <w:pPr>
        <w:ind w:left="3645" w:hanging="425"/>
      </w:pPr>
      <w:rPr>
        <w:rFonts w:hint="default"/>
        <w:lang w:val="en-US" w:eastAsia="zh-CN" w:bidi="ar-SA"/>
      </w:rPr>
    </w:lvl>
    <w:lvl w:ilvl="4">
      <w:start w:val="0"/>
      <w:numFmt w:val="bullet"/>
      <w:lvlText w:val="•"/>
      <w:lvlJc w:val="left"/>
      <w:pPr>
        <w:ind w:left="4614" w:hanging="425"/>
      </w:pPr>
      <w:rPr>
        <w:rFonts w:hint="default"/>
        <w:lang w:val="en-US" w:eastAsia="zh-CN" w:bidi="ar-SA"/>
      </w:rPr>
    </w:lvl>
    <w:lvl w:ilvl="5">
      <w:start w:val="0"/>
      <w:numFmt w:val="bullet"/>
      <w:lvlText w:val="•"/>
      <w:lvlJc w:val="left"/>
      <w:pPr>
        <w:ind w:left="5583" w:hanging="425"/>
      </w:pPr>
      <w:rPr>
        <w:rFonts w:hint="default"/>
        <w:lang w:val="en-US" w:eastAsia="zh-CN" w:bidi="ar-SA"/>
      </w:rPr>
    </w:lvl>
    <w:lvl w:ilvl="6">
      <w:start w:val="0"/>
      <w:numFmt w:val="bullet"/>
      <w:lvlText w:val="•"/>
      <w:lvlJc w:val="left"/>
      <w:pPr>
        <w:ind w:left="6551" w:hanging="425"/>
      </w:pPr>
      <w:rPr>
        <w:rFonts w:hint="default"/>
        <w:lang w:val="en-US" w:eastAsia="zh-CN" w:bidi="ar-SA"/>
      </w:rPr>
    </w:lvl>
    <w:lvl w:ilvl="7">
      <w:start w:val="0"/>
      <w:numFmt w:val="bullet"/>
      <w:lvlText w:val="•"/>
      <w:lvlJc w:val="left"/>
      <w:pPr>
        <w:ind w:left="7520" w:hanging="425"/>
      </w:pPr>
      <w:rPr>
        <w:rFonts w:hint="default"/>
        <w:lang w:val="en-US" w:eastAsia="zh-CN" w:bidi="ar-SA"/>
      </w:rPr>
    </w:lvl>
    <w:lvl w:ilvl="8">
      <w:start w:val="0"/>
      <w:numFmt w:val="bullet"/>
      <w:lvlText w:val="•"/>
      <w:lvlJc w:val="left"/>
      <w:pPr>
        <w:ind w:left="8489" w:hanging="425"/>
      </w:pPr>
      <w:rPr>
        <w:rFonts w:hint="default"/>
        <w:lang w:val="en-US" w:eastAsia="zh-CN" w:bidi="ar-SA"/>
      </w:rPr>
    </w:lvl>
  </w:abstractNum>
  <w:abstractNum w:abstractNumId="89">
    <w:multiLevelType w:val="hybridMultilevel"/>
    <w:lvl w:ilvl="0">
      <w:start w:val="1"/>
      <w:numFmt w:val="decimal"/>
      <w:lvlText w:val="(%1)"/>
      <w:lvlJc w:val="left"/>
      <w:pPr>
        <w:ind w:left="635"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618" w:hanging="318"/>
      </w:pPr>
      <w:rPr>
        <w:rFonts w:hint="default"/>
        <w:lang w:val="en-US" w:eastAsia="zh-CN" w:bidi="ar-SA"/>
      </w:rPr>
    </w:lvl>
    <w:lvl w:ilvl="2">
      <w:start w:val="0"/>
      <w:numFmt w:val="bullet"/>
      <w:lvlText w:val="•"/>
      <w:lvlJc w:val="left"/>
      <w:pPr>
        <w:ind w:left="2597" w:hanging="318"/>
      </w:pPr>
      <w:rPr>
        <w:rFonts w:hint="default"/>
        <w:lang w:val="en-US" w:eastAsia="zh-CN" w:bidi="ar-SA"/>
      </w:rPr>
    </w:lvl>
    <w:lvl w:ilvl="3">
      <w:start w:val="0"/>
      <w:numFmt w:val="bullet"/>
      <w:lvlText w:val="•"/>
      <w:lvlJc w:val="left"/>
      <w:pPr>
        <w:ind w:left="3575" w:hanging="318"/>
      </w:pPr>
      <w:rPr>
        <w:rFonts w:hint="default"/>
        <w:lang w:val="en-US" w:eastAsia="zh-CN" w:bidi="ar-SA"/>
      </w:rPr>
    </w:lvl>
    <w:lvl w:ilvl="4">
      <w:start w:val="0"/>
      <w:numFmt w:val="bullet"/>
      <w:lvlText w:val="•"/>
      <w:lvlJc w:val="left"/>
      <w:pPr>
        <w:ind w:left="4554" w:hanging="318"/>
      </w:pPr>
      <w:rPr>
        <w:rFonts w:hint="default"/>
        <w:lang w:val="en-US" w:eastAsia="zh-CN" w:bidi="ar-SA"/>
      </w:rPr>
    </w:lvl>
    <w:lvl w:ilvl="5">
      <w:start w:val="0"/>
      <w:numFmt w:val="bullet"/>
      <w:lvlText w:val="•"/>
      <w:lvlJc w:val="left"/>
      <w:pPr>
        <w:ind w:left="5533" w:hanging="318"/>
      </w:pPr>
      <w:rPr>
        <w:rFonts w:hint="default"/>
        <w:lang w:val="en-US" w:eastAsia="zh-CN" w:bidi="ar-SA"/>
      </w:rPr>
    </w:lvl>
    <w:lvl w:ilvl="6">
      <w:start w:val="0"/>
      <w:numFmt w:val="bullet"/>
      <w:lvlText w:val="•"/>
      <w:lvlJc w:val="left"/>
      <w:pPr>
        <w:ind w:left="6511" w:hanging="318"/>
      </w:pPr>
      <w:rPr>
        <w:rFonts w:hint="default"/>
        <w:lang w:val="en-US" w:eastAsia="zh-CN" w:bidi="ar-SA"/>
      </w:rPr>
    </w:lvl>
    <w:lvl w:ilvl="7">
      <w:start w:val="0"/>
      <w:numFmt w:val="bullet"/>
      <w:lvlText w:val="•"/>
      <w:lvlJc w:val="left"/>
      <w:pPr>
        <w:ind w:left="7490" w:hanging="318"/>
      </w:pPr>
      <w:rPr>
        <w:rFonts w:hint="default"/>
        <w:lang w:val="en-US" w:eastAsia="zh-CN" w:bidi="ar-SA"/>
      </w:rPr>
    </w:lvl>
    <w:lvl w:ilvl="8">
      <w:start w:val="0"/>
      <w:numFmt w:val="bullet"/>
      <w:lvlText w:val="•"/>
      <w:lvlJc w:val="left"/>
      <w:pPr>
        <w:ind w:left="8469" w:hanging="318"/>
      </w:pPr>
      <w:rPr>
        <w:rFonts w:hint="default"/>
        <w:lang w:val="en-US" w:eastAsia="zh-CN" w:bidi="ar-SA"/>
      </w:rPr>
    </w:lvl>
  </w:abstractNum>
  <w:abstractNum w:abstractNumId="88">
    <w:multiLevelType w:val="hybridMultilevel"/>
    <w:lvl w:ilvl="0">
      <w:start w:val="1"/>
      <w:numFmt w:val="decimal"/>
      <w:lvlText w:val="(%1)."/>
      <w:lvlJc w:val="left"/>
      <w:pPr>
        <w:ind w:left="74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5"/>
      </w:pPr>
      <w:rPr>
        <w:rFonts w:hint="default"/>
        <w:lang w:val="en-US" w:eastAsia="zh-CN" w:bidi="ar-SA"/>
      </w:rPr>
    </w:lvl>
    <w:lvl w:ilvl="2">
      <w:start w:val="0"/>
      <w:numFmt w:val="bullet"/>
      <w:lvlText w:val="•"/>
      <w:lvlJc w:val="left"/>
      <w:pPr>
        <w:ind w:left="2677" w:hanging="425"/>
      </w:pPr>
      <w:rPr>
        <w:rFonts w:hint="default"/>
        <w:lang w:val="en-US" w:eastAsia="zh-CN" w:bidi="ar-SA"/>
      </w:rPr>
    </w:lvl>
    <w:lvl w:ilvl="3">
      <w:start w:val="0"/>
      <w:numFmt w:val="bullet"/>
      <w:lvlText w:val="•"/>
      <w:lvlJc w:val="left"/>
      <w:pPr>
        <w:ind w:left="3645" w:hanging="425"/>
      </w:pPr>
      <w:rPr>
        <w:rFonts w:hint="default"/>
        <w:lang w:val="en-US" w:eastAsia="zh-CN" w:bidi="ar-SA"/>
      </w:rPr>
    </w:lvl>
    <w:lvl w:ilvl="4">
      <w:start w:val="0"/>
      <w:numFmt w:val="bullet"/>
      <w:lvlText w:val="•"/>
      <w:lvlJc w:val="left"/>
      <w:pPr>
        <w:ind w:left="4614" w:hanging="425"/>
      </w:pPr>
      <w:rPr>
        <w:rFonts w:hint="default"/>
        <w:lang w:val="en-US" w:eastAsia="zh-CN" w:bidi="ar-SA"/>
      </w:rPr>
    </w:lvl>
    <w:lvl w:ilvl="5">
      <w:start w:val="0"/>
      <w:numFmt w:val="bullet"/>
      <w:lvlText w:val="•"/>
      <w:lvlJc w:val="left"/>
      <w:pPr>
        <w:ind w:left="5583" w:hanging="425"/>
      </w:pPr>
      <w:rPr>
        <w:rFonts w:hint="default"/>
        <w:lang w:val="en-US" w:eastAsia="zh-CN" w:bidi="ar-SA"/>
      </w:rPr>
    </w:lvl>
    <w:lvl w:ilvl="6">
      <w:start w:val="0"/>
      <w:numFmt w:val="bullet"/>
      <w:lvlText w:val="•"/>
      <w:lvlJc w:val="left"/>
      <w:pPr>
        <w:ind w:left="6551" w:hanging="425"/>
      </w:pPr>
      <w:rPr>
        <w:rFonts w:hint="default"/>
        <w:lang w:val="en-US" w:eastAsia="zh-CN" w:bidi="ar-SA"/>
      </w:rPr>
    </w:lvl>
    <w:lvl w:ilvl="7">
      <w:start w:val="0"/>
      <w:numFmt w:val="bullet"/>
      <w:lvlText w:val="•"/>
      <w:lvlJc w:val="left"/>
      <w:pPr>
        <w:ind w:left="7520" w:hanging="425"/>
      </w:pPr>
      <w:rPr>
        <w:rFonts w:hint="default"/>
        <w:lang w:val="en-US" w:eastAsia="zh-CN" w:bidi="ar-SA"/>
      </w:rPr>
    </w:lvl>
    <w:lvl w:ilvl="8">
      <w:start w:val="0"/>
      <w:numFmt w:val="bullet"/>
      <w:lvlText w:val="•"/>
      <w:lvlJc w:val="left"/>
      <w:pPr>
        <w:ind w:left="8489" w:hanging="425"/>
      </w:pPr>
      <w:rPr>
        <w:rFonts w:hint="default"/>
        <w:lang w:val="en-US" w:eastAsia="zh-CN" w:bidi="ar-SA"/>
      </w:rPr>
    </w:lvl>
  </w:abstractNum>
  <w:abstractNum w:abstractNumId="87">
    <w:multiLevelType w:val="hybridMultilevel"/>
    <w:lvl w:ilvl="0">
      <w:start w:val="1"/>
      <w:numFmt w:val="lowerRoman"/>
      <w:lvlText w:val="(%1)"/>
      <w:lvlJc w:val="left"/>
      <w:pPr>
        <w:ind w:left="635" w:hanging="318"/>
        <w:jc w:val="left"/>
      </w:pPr>
      <w:rPr>
        <w:rFonts w:hint="default" w:ascii="SimSun" w:hAnsi="SimSun" w:eastAsia="SimSun" w:cs="SimSun"/>
        <w:spacing w:val="-3"/>
        <w:w w:val="100"/>
        <w:sz w:val="19"/>
        <w:szCs w:val="19"/>
        <w:lang w:val="en-US" w:eastAsia="zh-CN" w:bidi="ar-SA"/>
      </w:rPr>
    </w:lvl>
    <w:lvl w:ilvl="1">
      <w:start w:val="1"/>
      <w:numFmt w:val="lowerRoman"/>
      <w:lvlText w:val="(%2)"/>
      <w:lvlJc w:val="left"/>
      <w:pPr>
        <w:ind w:left="1038" w:hanging="224"/>
        <w:jc w:val="left"/>
      </w:pPr>
      <w:rPr>
        <w:rFonts w:hint="default" w:ascii="Arial MT" w:hAnsi="Arial MT" w:eastAsia="Arial MT" w:cs="Arial MT"/>
        <w:spacing w:val="-2"/>
        <w:w w:val="99"/>
        <w:sz w:val="22"/>
        <w:szCs w:val="22"/>
        <w:lang w:val="en-US" w:eastAsia="zh-CN" w:bidi="ar-SA"/>
      </w:rPr>
    </w:lvl>
    <w:lvl w:ilvl="2">
      <w:start w:val="0"/>
      <w:numFmt w:val="bullet"/>
      <w:lvlText w:val="•"/>
      <w:lvlJc w:val="left"/>
      <w:pPr>
        <w:ind w:left="2082" w:hanging="224"/>
      </w:pPr>
      <w:rPr>
        <w:rFonts w:hint="default"/>
        <w:lang w:val="en-US" w:eastAsia="zh-CN" w:bidi="ar-SA"/>
      </w:rPr>
    </w:lvl>
    <w:lvl w:ilvl="3">
      <w:start w:val="0"/>
      <w:numFmt w:val="bullet"/>
      <w:lvlText w:val="•"/>
      <w:lvlJc w:val="left"/>
      <w:pPr>
        <w:ind w:left="3125" w:hanging="224"/>
      </w:pPr>
      <w:rPr>
        <w:rFonts w:hint="default"/>
        <w:lang w:val="en-US" w:eastAsia="zh-CN" w:bidi="ar-SA"/>
      </w:rPr>
    </w:lvl>
    <w:lvl w:ilvl="4">
      <w:start w:val="0"/>
      <w:numFmt w:val="bullet"/>
      <w:lvlText w:val="•"/>
      <w:lvlJc w:val="left"/>
      <w:pPr>
        <w:ind w:left="4168" w:hanging="224"/>
      </w:pPr>
      <w:rPr>
        <w:rFonts w:hint="default"/>
        <w:lang w:val="en-US" w:eastAsia="zh-CN" w:bidi="ar-SA"/>
      </w:rPr>
    </w:lvl>
    <w:lvl w:ilvl="5">
      <w:start w:val="0"/>
      <w:numFmt w:val="bullet"/>
      <w:lvlText w:val="•"/>
      <w:lvlJc w:val="left"/>
      <w:pPr>
        <w:ind w:left="5211" w:hanging="224"/>
      </w:pPr>
      <w:rPr>
        <w:rFonts w:hint="default"/>
        <w:lang w:val="en-US" w:eastAsia="zh-CN" w:bidi="ar-SA"/>
      </w:rPr>
    </w:lvl>
    <w:lvl w:ilvl="6">
      <w:start w:val="0"/>
      <w:numFmt w:val="bullet"/>
      <w:lvlText w:val="•"/>
      <w:lvlJc w:val="left"/>
      <w:pPr>
        <w:ind w:left="6254" w:hanging="224"/>
      </w:pPr>
      <w:rPr>
        <w:rFonts w:hint="default"/>
        <w:lang w:val="en-US" w:eastAsia="zh-CN" w:bidi="ar-SA"/>
      </w:rPr>
    </w:lvl>
    <w:lvl w:ilvl="7">
      <w:start w:val="0"/>
      <w:numFmt w:val="bullet"/>
      <w:lvlText w:val="•"/>
      <w:lvlJc w:val="left"/>
      <w:pPr>
        <w:ind w:left="7297" w:hanging="224"/>
      </w:pPr>
      <w:rPr>
        <w:rFonts w:hint="default"/>
        <w:lang w:val="en-US" w:eastAsia="zh-CN" w:bidi="ar-SA"/>
      </w:rPr>
    </w:lvl>
    <w:lvl w:ilvl="8">
      <w:start w:val="0"/>
      <w:numFmt w:val="bullet"/>
      <w:lvlText w:val="•"/>
      <w:lvlJc w:val="left"/>
      <w:pPr>
        <w:ind w:left="8340" w:hanging="224"/>
      </w:pPr>
      <w:rPr>
        <w:rFonts w:hint="default"/>
        <w:lang w:val="en-US" w:eastAsia="zh-CN" w:bidi="ar-SA"/>
      </w:rPr>
    </w:lvl>
  </w:abstractNum>
  <w:abstractNum w:abstractNumId="86">
    <w:multiLevelType w:val="hybridMultilevel"/>
    <w:lvl w:ilvl="0">
      <w:start w:val="5"/>
      <w:numFmt w:val="decimal"/>
      <w:lvlText w:val="(%1)."/>
      <w:lvlJc w:val="left"/>
      <w:pPr>
        <w:ind w:left="318"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330" w:hanging="428"/>
      </w:pPr>
      <w:rPr>
        <w:rFonts w:hint="default"/>
        <w:lang w:val="en-US" w:eastAsia="zh-CN" w:bidi="ar-SA"/>
      </w:rPr>
    </w:lvl>
    <w:lvl w:ilvl="2">
      <w:start w:val="0"/>
      <w:numFmt w:val="bullet"/>
      <w:lvlText w:val="•"/>
      <w:lvlJc w:val="left"/>
      <w:pPr>
        <w:ind w:left="2341" w:hanging="428"/>
      </w:pPr>
      <w:rPr>
        <w:rFonts w:hint="default"/>
        <w:lang w:val="en-US" w:eastAsia="zh-CN" w:bidi="ar-SA"/>
      </w:rPr>
    </w:lvl>
    <w:lvl w:ilvl="3">
      <w:start w:val="0"/>
      <w:numFmt w:val="bullet"/>
      <w:lvlText w:val="•"/>
      <w:lvlJc w:val="left"/>
      <w:pPr>
        <w:ind w:left="3351" w:hanging="428"/>
      </w:pPr>
      <w:rPr>
        <w:rFonts w:hint="default"/>
        <w:lang w:val="en-US" w:eastAsia="zh-CN" w:bidi="ar-SA"/>
      </w:rPr>
    </w:lvl>
    <w:lvl w:ilvl="4">
      <w:start w:val="0"/>
      <w:numFmt w:val="bullet"/>
      <w:lvlText w:val="•"/>
      <w:lvlJc w:val="left"/>
      <w:pPr>
        <w:ind w:left="4362" w:hanging="428"/>
      </w:pPr>
      <w:rPr>
        <w:rFonts w:hint="default"/>
        <w:lang w:val="en-US" w:eastAsia="zh-CN" w:bidi="ar-SA"/>
      </w:rPr>
    </w:lvl>
    <w:lvl w:ilvl="5">
      <w:start w:val="0"/>
      <w:numFmt w:val="bullet"/>
      <w:lvlText w:val="•"/>
      <w:lvlJc w:val="left"/>
      <w:pPr>
        <w:ind w:left="5373" w:hanging="428"/>
      </w:pPr>
      <w:rPr>
        <w:rFonts w:hint="default"/>
        <w:lang w:val="en-US" w:eastAsia="zh-CN" w:bidi="ar-SA"/>
      </w:rPr>
    </w:lvl>
    <w:lvl w:ilvl="6">
      <w:start w:val="0"/>
      <w:numFmt w:val="bullet"/>
      <w:lvlText w:val="•"/>
      <w:lvlJc w:val="left"/>
      <w:pPr>
        <w:ind w:left="6383" w:hanging="428"/>
      </w:pPr>
      <w:rPr>
        <w:rFonts w:hint="default"/>
        <w:lang w:val="en-US" w:eastAsia="zh-CN" w:bidi="ar-SA"/>
      </w:rPr>
    </w:lvl>
    <w:lvl w:ilvl="7">
      <w:start w:val="0"/>
      <w:numFmt w:val="bullet"/>
      <w:lvlText w:val="•"/>
      <w:lvlJc w:val="left"/>
      <w:pPr>
        <w:ind w:left="7394" w:hanging="428"/>
      </w:pPr>
      <w:rPr>
        <w:rFonts w:hint="default"/>
        <w:lang w:val="en-US" w:eastAsia="zh-CN" w:bidi="ar-SA"/>
      </w:rPr>
    </w:lvl>
    <w:lvl w:ilvl="8">
      <w:start w:val="0"/>
      <w:numFmt w:val="bullet"/>
      <w:lvlText w:val="•"/>
      <w:lvlJc w:val="left"/>
      <w:pPr>
        <w:ind w:left="8405" w:hanging="428"/>
      </w:pPr>
      <w:rPr>
        <w:rFonts w:hint="default"/>
        <w:lang w:val="en-US" w:eastAsia="zh-CN" w:bidi="ar-SA"/>
      </w:rPr>
    </w:lvl>
  </w:abstractNum>
  <w:abstractNum w:abstractNumId="85">
    <w:multiLevelType w:val="hybridMultilevel"/>
    <w:lvl w:ilvl="0">
      <w:start w:val="1"/>
      <w:numFmt w:val="decimal"/>
      <w:lvlText w:val="(%1)."/>
      <w:lvlJc w:val="left"/>
      <w:pPr>
        <w:ind w:left="318"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1330" w:hanging="425"/>
      </w:pPr>
      <w:rPr>
        <w:rFonts w:hint="default"/>
        <w:lang w:val="en-US" w:eastAsia="zh-CN" w:bidi="ar-SA"/>
      </w:rPr>
    </w:lvl>
    <w:lvl w:ilvl="2">
      <w:start w:val="0"/>
      <w:numFmt w:val="bullet"/>
      <w:lvlText w:val="•"/>
      <w:lvlJc w:val="left"/>
      <w:pPr>
        <w:ind w:left="2341" w:hanging="425"/>
      </w:pPr>
      <w:rPr>
        <w:rFonts w:hint="default"/>
        <w:lang w:val="en-US" w:eastAsia="zh-CN" w:bidi="ar-SA"/>
      </w:rPr>
    </w:lvl>
    <w:lvl w:ilvl="3">
      <w:start w:val="0"/>
      <w:numFmt w:val="bullet"/>
      <w:lvlText w:val="•"/>
      <w:lvlJc w:val="left"/>
      <w:pPr>
        <w:ind w:left="3351" w:hanging="425"/>
      </w:pPr>
      <w:rPr>
        <w:rFonts w:hint="default"/>
        <w:lang w:val="en-US" w:eastAsia="zh-CN" w:bidi="ar-SA"/>
      </w:rPr>
    </w:lvl>
    <w:lvl w:ilvl="4">
      <w:start w:val="0"/>
      <w:numFmt w:val="bullet"/>
      <w:lvlText w:val="•"/>
      <w:lvlJc w:val="left"/>
      <w:pPr>
        <w:ind w:left="4362" w:hanging="425"/>
      </w:pPr>
      <w:rPr>
        <w:rFonts w:hint="default"/>
        <w:lang w:val="en-US" w:eastAsia="zh-CN" w:bidi="ar-SA"/>
      </w:rPr>
    </w:lvl>
    <w:lvl w:ilvl="5">
      <w:start w:val="0"/>
      <w:numFmt w:val="bullet"/>
      <w:lvlText w:val="•"/>
      <w:lvlJc w:val="left"/>
      <w:pPr>
        <w:ind w:left="5373" w:hanging="425"/>
      </w:pPr>
      <w:rPr>
        <w:rFonts w:hint="default"/>
        <w:lang w:val="en-US" w:eastAsia="zh-CN" w:bidi="ar-SA"/>
      </w:rPr>
    </w:lvl>
    <w:lvl w:ilvl="6">
      <w:start w:val="0"/>
      <w:numFmt w:val="bullet"/>
      <w:lvlText w:val="•"/>
      <w:lvlJc w:val="left"/>
      <w:pPr>
        <w:ind w:left="6383" w:hanging="425"/>
      </w:pPr>
      <w:rPr>
        <w:rFonts w:hint="default"/>
        <w:lang w:val="en-US" w:eastAsia="zh-CN" w:bidi="ar-SA"/>
      </w:rPr>
    </w:lvl>
    <w:lvl w:ilvl="7">
      <w:start w:val="0"/>
      <w:numFmt w:val="bullet"/>
      <w:lvlText w:val="•"/>
      <w:lvlJc w:val="left"/>
      <w:pPr>
        <w:ind w:left="7394" w:hanging="425"/>
      </w:pPr>
      <w:rPr>
        <w:rFonts w:hint="default"/>
        <w:lang w:val="en-US" w:eastAsia="zh-CN" w:bidi="ar-SA"/>
      </w:rPr>
    </w:lvl>
    <w:lvl w:ilvl="8">
      <w:start w:val="0"/>
      <w:numFmt w:val="bullet"/>
      <w:lvlText w:val="•"/>
      <w:lvlJc w:val="left"/>
      <w:pPr>
        <w:ind w:left="8405" w:hanging="425"/>
      </w:pPr>
      <w:rPr>
        <w:rFonts w:hint="default"/>
        <w:lang w:val="en-US" w:eastAsia="zh-CN" w:bidi="ar-SA"/>
      </w:rPr>
    </w:lvl>
  </w:abstractNum>
  <w:abstractNum w:abstractNumId="84">
    <w:multiLevelType w:val="hybridMultilevel"/>
    <w:lvl w:ilvl="0">
      <w:start w:val="1"/>
      <w:numFmt w:val="decimal"/>
      <w:lvlText w:val="(%1)"/>
      <w:lvlJc w:val="left"/>
      <w:pPr>
        <w:ind w:left="635" w:hanging="318"/>
        <w:jc w:val="left"/>
      </w:pPr>
      <w:rPr>
        <w:rFonts w:hint="default" w:ascii="SimSun" w:hAnsi="SimSun" w:eastAsia="SimSun" w:cs="SimSun"/>
        <w:spacing w:val="-3"/>
        <w:w w:val="100"/>
        <w:sz w:val="19"/>
        <w:szCs w:val="19"/>
        <w:lang w:val="en-US" w:eastAsia="zh-CN" w:bidi="ar-SA"/>
      </w:rPr>
    </w:lvl>
    <w:lvl w:ilvl="1">
      <w:start w:val="1"/>
      <w:numFmt w:val="lowerLetter"/>
      <w:lvlText w:val="(%2)"/>
      <w:lvlJc w:val="left"/>
      <w:pPr>
        <w:ind w:left="635" w:hanging="318"/>
        <w:jc w:val="left"/>
      </w:pPr>
      <w:rPr>
        <w:rFonts w:hint="default" w:ascii="SimSun" w:hAnsi="SimSun" w:eastAsia="SimSun" w:cs="SimSun"/>
        <w:spacing w:val="-3"/>
        <w:w w:val="100"/>
        <w:sz w:val="19"/>
        <w:szCs w:val="19"/>
        <w:lang w:val="en-US" w:eastAsia="zh-CN" w:bidi="ar-SA"/>
      </w:rPr>
    </w:lvl>
    <w:lvl w:ilvl="2">
      <w:start w:val="0"/>
      <w:numFmt w:val="bullet"/>
      <w:lvlText w:val="•"/>
      <w:lvlJc w:val="left"/>
      <w:pPr>
        <w:ind w:left="2597" w:hanging="318"/>
      </w:pPr>
      <w:rPr>
        <w:rFonts w:hint="default"/>
        <w:lang w:val="en-US" w:eastAsia="zh-CN" w:bidi="ar-SA"/>
      </w:rPr>
    </w:lvl>
    <w:lvl w:ilvl="3">
      <w:start w:val="0"/>
      <w:numFmt w:val="bullet"/>
      <w:lvlText w:val="•"/>
      <w:lvlJc w:val="left"/>
      <w:pPr>
        <w:ind w:left="3575" w:hanging="318"/>
      </w:pPr>
      <w:rPr>
        <w:rFonts w:hint="default"/>
        <w:lang w:val="en-US" w:eastAsia="zh-CN" w:bidi="ar-SA"/>
      </w:rPr>
    </w:lvl>
    <w:lvl w:ilvl="4">
      <w:start w:val="0"/>
      <w:numFmt w:val="bullet"/>
      <w:lvlText w:val="•"/>
      <w:lvlJc w:val="left"/>
      <w:pPr>
        <w:ind w:left="4554" w:hanging="318"/>
      </w:pPr>
      <w:rPr>
        <w:rFonts w:hint="default"/>
        <w:lang w:val="en-US" w:eastAsia="zh-CN" w:bidi="ar-SA"/>
      </w:rPr>
    </w:lvl>
    <w:lvl w:ilvl="5">
      <w:start w:val="0"/>
      <w:numFmt w:val="bullet"/>
      <w:lvlText w:val="•"/>
      <w:lvlJc w:val="left"/>
      <w:pPr>
        <w:ind w:left="5533" w:hanging="318"/>
      </w:pPr>
      <w:rPr>
        <w:rFonts w:hint="default"/>
        <w:lang w:val="en-US" w:eastAsia="zh-CN" w:bidi="ar-SA"/>
      </w:rPr>
    </w:lvl>
    <w:lvl w:ilvl="6">
      <w:start w:val="0"/>
      <w:numFmt w:val="bullet"/>
      <w:lvlText w:val="•"/>
      <w:lvlJc w:val="left"/>
      <w:pPr>
        <w:ind w:left="6511" w:hanging="318"/>
      </w:pPr>
      <w:rPr>
        <w:rFonts w:hint="default"/>
        <w:lang w:val="en-US" w:eastAsia="zh-CN" w:bidi="ar-SA"/>
      </w:rPr>
    </w:lvl>
    <w:lvl w:ilvl="7">
      <w:start w:val="0"/>
      <w:numFmt w:val="bullet"/>
      <w:lvlText w:val="•"/>
      <w:lvlJc w:val="left"/>
      <w:pPr>
        <w:ind w:left="7490" w:hanging="318"/>
      </w:pPr>
      <w:rPr>
        <w:rFonts w:hint="default"/>
        <w:lang w:val="en-US" w:eastAsia="zh-CN" w:bidi="ar-SA"/>
      </w:rPr>
    </w:lvl>
    <w:lvl w:ilvl="8">
      <w:start w:val="0"/>
      <w:numFmt w:val="bullet"/>
      <w:lvlText w:val="•"/>
      <w:lvlJc w:val="left"/>
      <w:pPr>
        <w:ind w:left="8469" w:hanging="318"/>
      </w:pPr>
      <w:rPr>
        <w:rFonts w:hint="default"/>
        <w:lang w:val="en-US" w:eastAsia="zh-CN" w:bidi="ar-SA"/>
      </w:rPr>
    </w:lvl>
  </w:abstractNum>
  <w:abstractNum w:abstractNumId="83">
    <w:multiLevelType w:val="hybridMultilevel"/>
    <w:lvl w:ilvl="0">
      <w:start w:val="1"/>
      <w:numFmt w:val="decimal"/>
      <w:lvlText w:val="(%1)."/>
      <w:lvlJc w:val="left"/>
      <w:pPr>
        <w:ind w:left="74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5"/>
      </w:pPr>
      <w:rPr>
        <w:rFonts w:hint="default"/>
        <w:lang w:val="en-US" w:eastAsia="zh-CN" w:bidi="ar-SA"/>
      </w:rPr>
    </w:lvl>
    <w:lvl w:ilvl="2">
      <w:start w:val="0"/>
      <w:numFmt w:val="bullet"/>
      <w:lvlText w:val="•"/>
      <w:lvlJc w:val="left"/>
      <w:pPr>
        <w:ind w:left="2677" w:hanging="425"/>
      </w:pPr>
      <w:rPr>
        <w:rFonts w:hint="default"/>
        <w:lang w:val="en-US" w:eastAsia="zh-CN" w:bidi="ar-SA"/>
      </w:rPr>
    </w:lvl>
    <w:lvl w:ilvl="3">
      <w:start w:val="0"/>
      <w:numFmt w:val="bullet"/>
      <w:lvlText w:val="•"/>
      <w:lvlJc w:val="left"/>
      <w:pPr>
        <w:ind w:left="3645" w:hanging="425"/>
      </w:pPr>
      <w:rPr>
        <w:rFonts w:hint="default"/>
        <w:lang w:val="en-US" w:eastAsia="zh-CN" w:bidi="ar-SA"/>
      </w:rPr>
    </w:lvl>
    <w:lvl w:ilvl="4">
      <w:start w:val="0"/>
      <w:numFmt w:val="bullet"/>
      <w:lvlText w:val="•"/>
      <w:lvlJc w:val="left"/>
      <w:pPr>
        <w:ind w:left="4614" w:hanging="425"/>
      </w:pPr>
      <w:rPr>
        <w:rFonts w:hint="default"/>
        <w:lang w:val="en-US" w:eastAsia="zh-CN" w:bidi="ar-SA"/>
      </w:rPr>
    </w:lvl>
    <w:lvl w:ilvl="5">
      <w:start w:val="0"/>
      <w:numFmt w:val="bullet"/>
      <w:lvlText w:val="•"/>
      <w:lvlJc w:val="left"/>
      <w:pPr>
        <w:ind w:left="5583" w:hanging="425"/>
      </w:pPr>
      <w:rPr>
        <w:rFonts w:hint="default"/>
        <w:lang w:val="en-US" w:eastAsia="zh-CN" w:bidi="ar-SA"/>
      </w:rPr>
    </w:lvl>
    <w:lvl w:ilvl="6">
      <w:start w:val="0"/>
      <w:numFmt w:val="bullet"/>
      <w:lvlText w:val="•"/>
      <w:lvlJc w:val="left"/>
      <w:pPr>
        <w:ind w:left="6551" w:hanging="425"/>
      </w:pPr>
      <w:rPr>
        <w:rFonts w:hint="default"/>
        <w:lang w:val="en-US" w:eastAsia="zh-CN" w:bidi="ar-SA"/>
      </w:rPr>
    </w:lvl>
    <w:lvl w:ilvl="7">
      <w:start w:val="0"/>
      <w:numFmt w:val="bullet"/>
      <w:lvlText w:val="•"/>
      <w:lvlJc w:val="left"/>
      <w:pPr>
        <w:ind w:left="7520" w:hanging="425"/>
      </w:pPr>
      <w:rPr>
        <w:rFonts w:hint="default"/>
        <w:lang w:val="en-US" w:eastAsia="zh-CN" w:bidi="ar-SA"/>
      </w:rPr>
    </w:lvl>
    <w:lvl w:ilvl="8">
      <w:start w:val="0"/>
      <w:numFmt w:val="bullet"/>
      <w:lvlText w:val="•"/>
      <w:lvlJc w:val="left"/>
      <w:pPr>
        <w:ind w:left="8489" w:hanging="425"/>
      </w:pPr>
      <w:rPr>
        <w:rFonts w:hint="default"/>
        <w:lang w:val="en-US" w:eastAsia="zh-CN" w:bidi="ar-SA"/>
      </w:rPr>
    </w:lvl>
  </w:abstractNum>
  <w:abstractNum w:abstractNumId="82">
    <w:multiLevelType w:val="hybridMultilevel"/>
    <w:lvl w:ilvl="0">
      <w:start w:val="2"/>
      <w:numFmt w:val="decimal"/>
      <w:lvlText w:val="(%1)."/>
      <w:lvlJc w:val="left"/>
      <w:pPr>
        <w:ind w:left="74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5"/>
      </w:pPr>
      <w:rPr>
        <w:rFonts w:hint="default"/>
        <w:lang w:val="en-US" w:eastAsia="zh-CN" w:bidi="ar-SA"/>
      </w:rPr>
    </w:lvl>
    <w:lvl w:ilvl="2">
      <w:start w:val="0"/>
      <w:numFmt w:val="bullet"/>
      <w:lvlText w:val="•"/>
      <w:lvlJc w:val="left"/>
      <w:pPr>
        <w:ind w:left="2677" w:hanging="425"/>
      </w:pPr>
      <w:rPr>
        <w:rFonts w:hint="default"/>
        <w:lang w:val="en-US" w:eastAsia="zh-CN" w:bidi="ar-SA"/>
      </w:rPr>
    </w:lvl>
    <w:lvl w:ilvl="3">
      <w:start w:val="0"/>
      <w:numFmt w:val="bullet"/>
      <w:lvlText w:val="•"/>
      <w:lvlJc w:val="left"/>
      <w:pPr>
        <w:ind w:left="3645" w:hanging="425"/>
      </w:pPr>
      <w:rPr>
        <w:rFonts w:hint="default"/>
        <w:lang w:val="en-US" w:eastAsia="zh-CN" w:bidi="ar-SA"/>
      </w:rPr>
    </w:lvl>
    <w:lvl w:ilvl="4">
      <w:start w:val="0"/>
      <w:numFmt w:val="bullet"/>
      <w:lvlText w:val="•"/>
      <w:lvlJc w:val="left"/>
      <w:pPr>
        <w:ind w:left="4614" w:hanging="425"/>
      </w:pPr>
      <w:rPr>
        <w:rFonts w:hint="default"/>
        <w:lang w:val="en-US" w:eastAsia="zh-CN" w:bidi="ar-SA"/>
      </w:rPr>
    </w:lvl>
    <w:lvl w:ilvl="5">
      <w:start w:val="0"/>
      <w:numFmt w:val="bullet"/>
      <w:lvlText w:val="•"/>
      <w:lvlJc w:val="left"/>
      <w:pPr>
        <w:ind w:left="5583" w:hanging="425"/>
      </w:pPr>
      <w:rPr>
        <w:rFonts w:hint="default"/>
        <w:lang w:val="en-US" w:eastAsia="zh-CN" w:bidi="ar-SA"/>
      </w:rPr>
    </w:lvl>
    <w:lvl w:ilvl="6">
      <w:start w:val="0"/>
      <w:numFmt w:val="bullet"/>
      <w:lvlText w:val="•"/>
      <w:lvlJc w:val="left"/>
      <w:pPr>
        <w:ind w:left="6551" w:hanging="425"/>
      </w:pPr>
      <w:rPr>
        <w:rFonts w:hint="default"/>
        <w:lang w:val="en-US" w:eastAsia="zh-CN" w:bidi="ar-SA"/>
      </w:rPr>
    </w:lvl>
    <w:lvl w:ilvl="7">
      <w:start w:val="0"/>
      <w:numFmt w:val="bullet"/>
      <w:lvlText w:val="•"/>
      <w:lvlJc w:val="left"/>
      <w:pPr>
        <w:ind w:left="7520" w:hanging="425"/>
      </w:pPr>
      <w:rPr>
        <w:rFonts w:hint="default"/>
        <w:lang w:val="en-US" w:eastAsia="zh-CN" w:bidi="ar-SA"/>
      </w:rPr>
    </w:lvl>
    <w:lvl w:ilvl="8">
      <w:start w:val="0"/>
      <w:numFmt w:val="bullet"/>
      <w:lvlText w:val="•"/>
      <w:lvlJc w:val="left"/>
      <w:pPr>
        <w:ind w:left="8489" w:hanging="425"/>
      </w:pPr>
      <w:rPr>
        <w:rFonts w:hint="default"/>
        <w:lang w:val="en-US" w:eastAsia="zh-CN" w:bidi="ar-SA"/>
      </w:rPr>
    </w:lvl>
  </w:abstractNum>
  <w:abstractNum w:abstractNumId="81">
    <w:multiLevelType w:val="hybridMultilevel"/>
    <w:lvl w:ilvl="0">
      <w:start w:val="1"/>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8"/>
      </w:pPr>
      <w:rPr>
        <w:rFonts w:hint="default"/>
        <w:lang w:val="en-US" w:eastAsia="zh-CN" w:bidi="ar-SA"/>
      </w:rPr>
    </w:lvl>
    <w:lvl w:ilvl="2">
      <w:start w:val="0"/>
      <w:numFmt w:val="bullet"/>
      <w:lvlText w:val="•"/>
      <w:lvlJc w:val="left"/>
      <w:pPr>
        <w:ind w:left="2677" w:hanging="428"/>
      </w:pPr>
      <w:rPr>
        <w:rFonts w:hint="default"/>
        <w:lang w:val="en-US" w:eastAsia="zh-CN" w:bidi="ar-SA"/>
      </w:rPr>
    </w:lvl>
    <w:lvl w:ilvl="3">
      <w:start w:val="0"/>
      <w:numFmt w:val="bullet"/>
      <w:lvlText w:val="•"/>
      <w:lvlJc w:val="left"/>
      <w:pPr>
        <w:ind w:left="3645" w:hanging="428"/>
      </w:pPr>
      <w:rPr>
        <w:rFonts w:hint="default"/>
        <w:lang w:val="en-US" w:eastAsia="zh-CN" w:bidi="ar-SA"/>
      </w:rPr>
    </w:lvl>
    <w:lvl w:ilvl="4">
      <w:start w:val="0"/>
      <w:numFmt w:val="bullet"/>
      <w:lvlText w:val="•"/>
      <w:lvlJc w:val="left"/>
      <w:pPr>
        <w:ind w:left="4614" w:hanging="428"/>
      </w:pPr>
      <w:rPr>
        <w:rFonts w:hint="default"/>
        <w:lang w:val="en-US" w:eastAsia="zh-CN" w:bidi="ar-SA"/>
      </w:rPr>
    </w:lvl>
    <w:lvl w:ilvl="5">
      <w:start w:val="0"/>
      <w:numFmt w:val="bullet"/>
      <w:lvlText w:val="•"/>
      <w:lvlJc w:val="left"/>
      <w:pPr>
        <w:ind w:left="5583" w:hanging="428"/>
      </w:pPr>
      <w:rPr>
        <w:rFonts w:hint="default"/>
        <w:lang w:val="en-US" w:eastAsia="zh-CN" w:bidi="ar-SA"/>
      </w:rPr>
    </w:lvl>
    <w:lvl w:ilvl="6">
      <w:start w:val="0"/>
      <w:numFmt w:val="bullet"/>
      <w:lvlText w:val="•"/>
      <w:lvlJc w:val="left"/>
      <w:pPr>
        <w:ind w:left="6551" w:hanging="428"/>
      </w:pPr>
      <w:rPr>
        <w:rFonts w:hint="default"/>
        <w:lang w:val="en-US" w:eastAsia="zh-CN" w:bidi="ar-SA"/>
      </w:rPr>
    </w:lvl>
    <w:lvl w:ilvl="7">
      <w:start w:val="0"/>
      <w:numFmt w:val="bullet"/>
      <w:lvlText w:val="•"/>
      <w:lvlJc w:val="left"/>
      <w:pPr>
        <w:ind w:left="7520" w:hanging="428"/>
      </w:pPr>
      <w:rPr>
        <w:rFonts w:hint="default"/>
        <w:lang w:val="en-US" w:eastAsia="zh-CN" w:bidi="ar-SA"/>
      </w:rPr>
    </w:lvl>
    <w:lvl w:ilvl="8">
      <w:start w:val="0"/>
      <w:numFmt w:val="bullet"/>
      <w:lvlText w:val="•"/>
      <w:lvlJc w:val="left"/>
      <w:pPr>
        <w:ind w:left="8489" w:hanging="428"/>
      </w:pPr>
      <w:rPr>
        <w:rFonts w:hint="default"/>
        <w:lang w:val="en-US" w:eastAsia="zh-CN" w:bidi="ar-SA"/>
      </w:rPr>
    </w:lvl>
  </w:abstractNum>
  <w:abstractNum w:abstractNumId="80">
    <w:multiLevelType w:val="hybridMultilevel"/>
    <w:lvl w:ilvl="0">
      <w:start w:val="1"/>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8"/>
      </w:pPr>
      <w:rPr>
        <w:rFonts w:hint="default"/>
        <w:lang w:val="en-US" w:eastAsia="zh-CN" w:bidi="ar-SA"/>
      </w:rPr>
    </w:lvl>
    <w:lvl w:ilvl="2">
      <w:start w:val="0"/>
      <w:numFmt w:val="bullet"/>
      <w:lvlText w:val="•"/>
      <w:lvlJc w:val="left"/>
      <w:pPr>
        <w:ind w:left="2677" w:hanging="428"/>
      </w:pPr>
      <w:rPr>
        <w:rFonts w:hint="default"/>
        <w:lang w:val="en-US" w:eastAsia="zh-CN" w:bidi="ar-SA"/>
      </w:rPr>
    </w:lvl>
    <w:lvl w:ilvl="3">
      <w:start w:val="0"/>
      <w:numFmt w:val="bullet"/>
      <w:lvlText w:val="•"/>
      <w:lvlJc w:val="left"/>
      <w:pPr>
        <w:ind w:left="3645" w:hanging="428"/>
      </w:pPr>
      <w:rPr>
        <w:rFonts w:hint="default"/>
        <w:lang w:val="en-US" w:eastAsia="zh-CN" w:bidi="ar-SA"/>
      </w:rPr>
    </w:lvl>
    <w:lvl w:ilvl="4">
      <w:start w:val="0"/>
      <w:numFmt w:val="bullet"/>
      <w:lvlText w:val="•"/>
      <w:lvlJc w:val="left"/>
      <w:pPr>
        <w:ind w:left="4614" w:hanging="428"/>
      </w:pPr>
      <w:rPr>
        <w:rFonts w:hint="default"/>
        <w:lang w:val="en-US" w:eastAsia="zh-CN" w:bidi="ar-SA"/>
      </w:rPr>
    </w:lvl>
    <w:lvl w:ilvl="5">
      <w:start w:val="0"/>
      <w:numFmt w:val="bullet"/>
      <w:lvlText w:val="•"/>
      <w:lvlJc w:val="left"/>
      <w:pPr>
        <w:ind w:left="5583" w:hanging="428"/>
      </w:pPr>
      <w:rPr>
        <w:rFonts w:hint="default"/>
        <w:lang w:val="en-US" w:eastAsia="zh-CN" w:bidi="ar-SA"/>
      </w:rPr>
    </w:lvl>
    <w:lvl w:ilvl="6">
      <w:start w:val="0"/>
      <w:numFmt w:val="bullet"/>
      <w:lvlText w:val="•"/>
      <w:lvlJc w:val="left"/>
      <w:pPr>
        <w:ind w:left="6551" w:hanging="428"/>
      </w:pPr>
      <w:rPr>
        <w:rFonts w:hint="default"/>
        <w:lang w:val="en-US" w:eastAsia="zh-CN" w:bidi="ar-SA"/>
      </w:rPr>
    </w:lvl>
    <w:lvl w:ilvl="7">
      <w:start w:val="0"/>
      <w:numFmt w:val="bullet"/>
      <w:lvlText w:val="•"/>
      <w:lvlJc w:val="left"/>
      <w:pPr>
        <w:ind w:left="7520" w:hanging="428"/>
      </w:pPr>
      <w:rPr>
        <w:rFonts w:hint="default"/>
        <w:lang w:val="en-US" w:eastAsia="zh-CN" w:bidi="ar-SA"/>
      </w:rPr>
    </w:lvl>
    <w:lvl w:ilvl="8">
      <w:start w:val="0"/>
      <w:numFmt w:val="bullet"/>
      <w:lvlText w:val="•"/>
      <w:lvlJc w:val="left"/>
      <w:pPr>
        <w:ind w:left="8489" w:hanging="428"/>
      </w:pPr>
      <w:rPr>
        <w:rFonts w:hint="default"/>
        <w:lang w:val="en-US" w:eastAsia="zh-CN" w:bidi="ar-SA"/>
      </w:rPr>
    </w:lvl>
  </w:abstractNum>
  <w:abstractNum w:abstractNumId="79">
    <w:multiLevelType w:val="hybridMultilevel"/>
    <w:lvl w:ilvl="0">
      <w:start w:val="2"/>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071" w:hanging="428"/>
      </w:pPr>
      <w:rPr>
        <w:rFonts w:hint="default"/>
        <w:lang w:val="en-US" w:eastAsia="zh-CN" w:bidi="ar-SA"/>
      </w:rPr>
    </w:lvl>
    <w:lvl w:ilvl="2">
      <w:start w:val="0"/>
      <w:numFmt w:val="bullet"/>
      <w:lvlText w:val="•"/>
      <w:lvlJc w:val="left"/>
      <w:pPr>
        <w:ind w:left="1402" w:hanging="428"/>
      </w:pPr>
      <w:rPr>
        <w:rFonts w:hint="default"/>
        <w:lang w:val="en-US" w:eastAsia="zh-CN" w:bidi="ar-SA"/>
      </w:rPr>
    </w:lvl>
    <w:lvl w:ilvl="3">
      <w:start w:val="0"/>
      <w:numFmt w:val="bullet"/>
      <w:lvlText w:val="•"/>
      <w:lvlJc w:val="left"/>
      <w:pPr>
        <w:ind w:left="1733" w:hanging="428"/>
      </w:pPr>
      <w:rPr>
        <w:rFonts w:hint="default"/>
        <w:lang w:val="en-US" w:eastAsia="zh-CN" w:bidi="ar-SA"/>
      </w:rPr>
    </w:lvl>
    <w:lvl w:ilvl="4">
      <w:start w:val="0"/>
      <w:numFmt w:val="bullet"/>
      <w:lvlText w:val="•"/>
      <w:lvlJc w:val="left"/>
      <w:pPr>
        <w:ind w:left="2064" w:hanging="428"/>
      </w:pPr>
      <w:rPr>
        <w:rFonts w:hint="default"/>
        <w:lang w:val="en-US" w:eastAsia="zh-CN" w:bidi="ar-SA"/>
      </w:rPr>
    </w:lvl>
    <w:lvl w:ilvl="5">
      <w:start w:val="0"/>
      <w:numFmt w:val="bullet"/>
      <w:lvlText w:val="•"/>
      <w:lvlJc w:val="left"/>
      <w:pPr>
        <w:ind w:left="2396" w:hanging="428"/>
      </w:pPr>
      <w:rPr>
        <w:rFonts w:hint="default"/>
        <w:lang w:val="en-US" w:eastAsia="zh-CN" w:bidi="ar-SA"/>
      </w:rPr>
    </w:lvl>
    <w:lvl w:ilvl="6">
      <w:start w:val="0"/>
      <w:numFmt w:val="bullet"/>
      <w:lvlText w:val="•"/>
      <w:lvlJc w:val="left"/>
      <w:pPr>
        <w:ind w:left="2727" w:hanging="428"/>
      </w:pPr>
      <w:rPr>
        <w:rFonts w:hint="default"/>
        <w:lang w:val="en-US" w:eastAsia="zh-CN" w:bidi="ar-SA"/>
      </w:rPr>
    </w:lvl>
    <w:lvl w:ilvl="7">
      <w:start w:val="0"/>
      <w:numFmt w:val="bullet"/>
      <w:lvlText w:val="•"/>
      <w:lvlJc w:val="left"/>
      <w:pPr>
        <w:ind w:left="3058" w:hanging="428"/>
      </w:pPr>
      <w:rPr>
        <w:rFonts w:hint="default"/>
        <w:lang w:val="en-US" w:eastAsia="zh-CN" w:bidi="ar-SA"/>
      </w:rPr>
    </w:lvl>
    <w:lvl w:ilvl="8">
      <w:start w:val="0"/>
      <w:numFmt w:val="bullet"/>
      <w:lvlText w:val="•"/>
      <w:lvlJc w:val="left"/>
      <w:pPr>
        <w:ind w:left="3389" w:hanging="428"/>
      </w:pPr>
      <w:rPr>
        <w:rFonts w:hint="default"/>
        <w:lang w:val="en-US" w:eastAsia="zh-CN" w:bidi="ar-SA"/>
      </w:rPr>
    </w:lvl>
  </w:abstractNum>
  <w:abstractNum w:abstractNumId="78">
    <w:multiLevelType w:val="hybridMultilevel"/>
    <w:lvl w:ilvl="0">
      <w:start w:val="1"/>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071" w:hanging="428"/>
      </w:pPr>
      <w:rPr>
        <w:rFonts w:hint="default"/>
        <w:lang w:val="en-US" w:eastAsia="zh-CN" w:bidi="ar-SA"/>
      </w:rPr>
    </w:lvl>
    <w:lvl w:ilvl="2">
      <w:start w:val="0"/>
      <w:numFmt w:val="bullet"/>
      <w:lvlText w:val="•"/>
      <w:lvlJc w:val="left"/>
      <w:pPr>
        <w:ind w:left="1402" w:hanging="428"/>
      </w:pPr>
      <w:rPr>
        <w:rFonts w:hint="default"/>
        <w:lang w:val="en-US" w:eastAsia="zh-CN" w:bidi="ar-SA"/>
      </w:rPr>
    </w:lvl>
    <w:lvl w:ilvl="3">
      <w:start w:val="0"/>
      <w:numFmt w:val="bullet"/>
      <w:lvlText w:val="•"/>
      <w:lvlJc w:val="left"/>
      <w:pPr>
        <w:ind w:left="1733" w:hanging="428"/>
      </w:pPr>
      <w:rPr>
        <w:rFonts w:hint="default"/>
        <w:lang w:val="en-US" w:eastAsia="zh-CN" w:bidi="ar-SA"/>
      </w:rPr>
    </w:lvl>
    <w:lvl w:ilvl="4">
      <w:start w:val="0"/>
      <w:numFmt w:val="bullet"/>
      <w:lvlText w:val="•"/>
      <w:lvlJc w:val="left"/>
      <w:pPr>
        <w:ind w:left="2064" w:hanging="428"/>
      </w:pPr>
      <w:rPr>
        <w:rFonts w:hint="default"/>
        <w:lang w:val="en-US" w:eastAsia="zh-CN" w:bidi="ar-SA"/>
      </w:rPr>
    </w:lvl>
    <w:lvl w:ilvl="5">
      <w:start w:val="0"/>
      <w:numFmt w:val="bullet"/>
      <w:lvlText w:val="•"/>
      <w:lvlJc w:val="left"/>
      <w:pPr>
        <w:ind w:left="2396" w:hanging="428"/>
      </w:pPr>
      <w:rPr>
        <w:rFonts w:hint="default"/>
        <w:lang w:val="en-US" w:eastAsia="zh-CN" w:bidi="ar-SA"/>
      </w:rPr>
    </w:lvl>
    <w:lvl w:ilvl="6">
      <w:start w:val="0"/>
      <w:numFmt w:val="bullet"/>
      <w:lvlText w:val="•"/>
      <w:lvlJc w:val="left"/>
      <w:pPr>
        <w:ind w:left="2727" w:hanging="428"/>
      </w:pPr>
      <w:rPr>
        <w:rFonts w:hint="default"/>
        <w:lang w:val="en-US" w:eastAsia="zh-CN" w:bidi="ar-SA"/>
      </w:rPr>
    </w:lvl>
    <w:lvl w:ilvl="7">
      <w:start w:val="0"/>
      <w:numFmt w:val="bullet"/>
      <w:lvlText w:val="•"/>
      <w:lvlJc w:val="left"/>
      <w:pPr>
        <w:ind w:left="3058" w:hanging="428"/>
      </w:pPr>
      <w:rPr>
        <w:rFonts w:hint="default"/>
        <w:lang w:val="en-US" w:eastAsia="zh-CN" w:bidi="ar-SA"/>
      </w:rPr>
    </w:lvl>
    <w:lvl w:ilvl="8">
      <w:start w:val="0"/>
      <w:numFmt w:val="bullet"/>
      <w:lvlText w:val="•"/>
      <w:lvlJc w:val="left"/>
      <w:pPr>
        <w:ind w:left="3389" w:hanging="428"/>
      </w:pPr>
      <w:rPr>
        <w:rFonts w:hint="default"/>
        <w:lang w:val="en-US" w:eastAsia="zh-CN" w:bidi="ar-SA"/>
      </w:rPr>
    </w:lvl>
  </w:abstractNum>
  <w:abstractNum w:abstractNumId="77">
    <w:multiLevelType w:val="hybridMultilevel"/>
    <w:lvl w:ilvl="0">
      <w:start w:val="2"/>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8"/>
      </w:pPr>
      <w:rPr>
        <w:rFonts w:hint="default"/>
        <w:lang w:val="en-US" w:eastAsia="zh-CN" w:bidi="ar-SA"/>
      </w:rPr>
    </w:lvl>
    <w:lvl w:ilvl="2">
      <w:start w:val="0"/>
      <w:numFmt w:val="bullet"/>
      <w:lvlText w:val="•"/>
      <w:lvlJc w:val="left"/>
      <w:pPr>
        <w:ind w:left="2677" w:hanging="428"/>
      </w:pPr>
      <w:rPr>
        <w:rFonts w:hint="default"/>
        <w:lang w:val="en-US" w:eastAsia="zh-CN" w:bidi="ar-SA"/>
      </w:rPr>
    </w:lvl>
    <w:lvl w:ilvl="3">
      <w:start w:val="0"/>
      <w:numFmt w:val="bullet"/>
      <w:lvlText w:val="•"/>
      <w:lvlJc w:val="left"/>
      <w:pPr>
        <w:ind w:left="3645" w:hanging="428"/>
      </w:pPr>
      <w:rPr>
        <w:rFonts w:hint="default"/>
        <w:lang w:val="en-US" w:eastAsia="zh-CN" w:bidi="ar-SA"/>
      </w:rPr>
    </w:lvl>
    <w:lvl w:ilvl="4">
      <w:start w:val="0"/>
      <w:numFmt w:val="bullet"/>
      <w:lvlText w:val="•"/>
      <w:lvlJc w:val="left"/>
      <w:pPr>
        <w:ind w:left="4614" w:hanging="428"/>
      </w:pPr>
      <w:rPr>
        <w:rFonts w:hint="default"/>
        <w:lang w:val="en-US" w:eastAsia="zh-CN" w:bidi="ar-SA"/>
      </w:rPr>
    </w:lvl>
    <w:lvl w:ilvl="5">
      <w:start w:val="0"/>
      <w:numFmt w:val="bullet"/>
      <w:lvlText w:val="•"/>
      <w:lvlJc w:val="left"/>
      <w:pPr>
        <w:ind w:left="5583" w:hanging="428"/>
      </w:pPr>
      <w:rPr>
        <w:rFonts w:hint="default"/>
        <w:lang w:val="en-US" w:eastAsia="zh-CN" w:bidi="ar-SA"/>
      </w:rPr>
    </w:lvl>
    <w:lvl w:ilvl="6">
      <w:start w:val="0"/>
      <w:numFmt w:val="bullet"/>
      <w:lvlText w:val="•"/>
      <w:lvlJc w:val="left"/>
      <w:pPr>
        <w:ind w:left="6551" w:hanging="428"/>
      </w:pPr>
      <w:rPr>
        <w:rFonts w:hint="default"/>
        <w:lang w:val="en-US" w:eastAsia="zh-CN" w:bidi="ar-SA"/>
      </w:rPr>
    </w:lvl>
    <w:lvl w:ilvl="7">
      <w:start w:val="0"/>
      <w:numFmt w:val="bullet"/>
      <w:lvlText w:val="•"/>
      <w:lvlJc w:val="left"/>
      <w:pPr>
        <w:ind w:left="7520" w:hanging="428"/>
      </w:pPr>
      <w:rPr>
        <w:rFonts w:hint="default"/>
        <w:lang w:val="en-US" w:eastAsia="zh-CN" w:bidi="ar-SA"/>
      </w:rPr>
    </w:lvl>
    <w:lvl w:ilvl="8">
      <w:start w:val="0"/>
      <w:numFmt w:val="bullet"/>
      <w:lvlText w:val="•"/>
      <w:lvlJc w:val="left"/>
      <w:pPr>
        <w:ind w:left="8489" w:hanging="428"/>
      </w:pPr>
      <w:rPr>
        <w:rFonts w:hint="default"/>
        <w:lang w:val="en-US" w:eastAsia="zh-CN" w:bidi="ar-SA"/>
      </w:rPr>
    </w:lvl>
  </w:abstractNum>
  <w:abstractNum w:abstractNumId="76">
    <w:multiLevelType w:val="hybridMultilevel"/>
    <w:lvl w:ilvl="0">
      <w:start w:val="1"/>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8"/>
      </w:pPr>
      <w:rPr>
        <w:rFonts w:hint="default"/>
        <w:lang w:val="en-US" w:eastAsia="zh-CN" w:bidi="ar-SA"/>
      </w:rPr>
    </w:lvl>
    <w:lvl w:ilvl="2">
      <w:start w:val="0"/>
      <w:numFmt w:val="bullet"/>
      <w:lvlText w:val="•"/>
      <w:lvlJc w:val="left"/>
      <w:pPr>
        <w:ind w:left="2677" w:hanging="428"/>
      </w:pPr>
      <w:rPr>
        <w:rFonts w:hint="default"/>
        <w:lang w:val="en-US" w:eastAsia="zh-CN" w:bidi="ar-SA"/>
      </w:rPr>
    </w:lvl>
    <w:lvl w:ilvl="3">
      <w:start w:val="0"/>
      <w:numFmt w:val="bullet"/>
      <w:lvlText w:val="•"/>
      <w:lvlJc w:val="left"/>
      <w:pPr>
        <w:ind w:left="3645" w:hanging="428"/>
      </w:pPr>
      <w:rPr>
        <w:rFonts w:hint="default"/>
        <w:lang w:val="en-US" w:eastAsia="zh-CN" w:bidi="ar-SA"/>
      </w:rPr>
    </w:lvl>
    <w:lvl w:ilvl="4">
      <w:start w:val="0"/>
      <w:numFmt w:val="bullet"/>
      <w:lvlText w:val="•"/>
      <w:lvlJc w:val="left"/>
      <w:pPr>
        <w:ind w:left="4614" w:hanging="428"/>
      </w:pPr>
      <w:rPr>
        <w:rFonts w:hint="default"/>
        <w:lang w:val="en-US" w:eastAsia="zh-CN" w:bidi="ar-SA"/>
      </w:rPr>
    </w:lvl>
    <w:lvl w:ilvl="5">
      <w:start w:val="0"/>
      <w:numFmt w:val="bullet"/>
      <w:lvlText w:val="•"/>
      <w:lvlJc w:val="left"/>
      <w:pPr>
        <w:ind w:left="5583" w:hanging="428"/>
      </w:pPr>
      <w:rPr>
        <w:rFonts w:hint="default"/>
        <w:lang w:val="en-US" w:eastAsia="zh-CN" w:bidi="ar-SA"/>
      </w:rPr>
    </w:lvl>
    <w:lvl w:ilvl="6">
      <w:start w:val="0"/>
      <w:numFmt w:val="bullet"/>
      <w:lvlText w:val="•"/>
      <w:lvlJc w:val="left"/>
      <w:pPr>
        <w:ind w:left="6551" w:hanging="428"/>
      </w:pPr>
      <w:rPr>
        <w:rFonts w:hint="default"/>
        <w:lang w:val="en-US" w:eastAsia="zh-CN" w:bidi="ar-SA"/>
      </w:rPr>
    </w:lvl>
    <w:lvl w:ilvl="7">
      <w:start w:val="0"/>
      <w:numFmt w:val="bullet"/>
      <w:lvlText w:val="•"/>
      <w:lvlJc w:val="left"/>
      <w:pPr>
        <w:ind w:left="7520" w:hanging="428"/>
      </w:pPr>
      <w:rPr>
        <w:rFonts w:hint="default"/>
        <w:lang w:val="en-US" w:eastAsia="zh-CN" w:bidi="ar-SA"/>
      </w:rPr>
    </w:lvl>
    <w:lvl w:ilvl="8">
      <w:start w:val="0"/>
      <w:numFmt w:val="bullet"/>
      <w:lvlText w:val="•"/>
      <w:lvlJc w:val="left"/>
      <w:pPr>
        <w:ind w:left="8489" w:hanging="428"/>
      </w:pPr>
      <w:rPr>
        <w:rFonts w:hint="default"/>
        <w:lang w:val="en-US" w:eastAsia="zh-CN" w:bidi="ar-SA"/>
      </w:rPr>
    </w:lvl>
  </w:abstractNum>
  <w:abstractNum w:abstractNumId="75">
    <w:multiLevelType w:val="hybridMultilevel"/>
    <w:lvl w:ilvl="0">
      <w:start w:val="1"/>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8"/>
      </w:pPr>
      <w:rPr>
        <w:rFonts w:hint="default"/>
        <w:lang w:val="en-US" w:eastAsia="zh-CN" w:bidi="ar-SA"/>
      </w:rPr>
    </w:lvl>
    <w:lvl w:ilvl="2">
      <w:start w:val="0"/>
      <w:numFmt w:val="bullet"/>
      <w:lvlText w:val="•"/>
      <w:lvlJc w:val="left"/>
      <w:pPr>
        <w:ind w:left="2677" w:hanging="428"/>
      </w:pPr>
      <w:rPr>
        <w:rFonts w:hint="default"/>
        <w:lang w:val="en-US" w:eastAsia="zh-CN" w:bidi="ar-SA"/>
      </w:rPr>
    </w:lvl>
    <w:lvl w:ilvl="3">
      <w:start w:val="0"/>
      <w:numFmt w:val="bullet"/>
      <w:lvlText w:val="•"/>
      <w:lvlJc w:val="left"/>
      <w:pPr>
        <w:ind w:left="3645" w:hanging="428"/>
      </w:pPr>
      <w:rPr>
        <w:rFonts w:hint="default"/>
        <w:lang w:val="en-US" w:eastAsia="zh-CN" w:bidi="ar-SA"/>
      </w:rPr>
    </w:lvl>
    <w:lvl w:ilvl="4">
      <w:start w:val="0"/>
      <w:numFmt w:val="bullet"/>
      <w:lvlText w:val="•"/>
      <w:lvlJc w:val="left"/>
      <w:pPr>
        <w:ind w:left="4614" w:hanging="428"/>
      </w:pPr>
      <w:rPr>
        <w:rFonts w:hint="default"/>
        <w:lang w:val="en-US" w:eastAsia="zh-CN" w:bidi="ar-SA"/>
      </w:rPr>
    </w:lvl>
    <w:lvl w:ilvl="5">
      <w:start w:val="0"/>
      <w:numFmt w:val="bullet"/>
      <w:lvlText w:val="•"/>
      <w:lvlJc w:val="left"/>
      <w:pPr>
        <w:ind w:left="5583" w:hanging="428"/>
      </w:pPr>
      <w:rPr>
        <w:rFonts w:hint="default"/>
        <w:lang w:val="en-US" w:eastAsia="zh-CN" w:bidi="ar-SA"/>
      </w:rPr>
    </w:lvl>
    <w:lvl w:ilvl="6">
      <w:start w:val="0"/>
      <w:numFmt w:val="bullet"/>
      <w:lvlText w:val="•"/>
      <w:lvlJc w:val="left"/>
      <w:pPr>
        <w:ind w:left="6551" w:hanging="428"/>
      </w:pPr>
      <w:rPr>
        <w:rFonts w:hint="default"/>
        <w:lang w:val="en-US" w:eastAsia="zh-CN" w:bidi="ar-SA"/>
      </w:rPr>
    </w:lvl>
    <w:lvl w:ilvl="7">
      <w:start w:val="0"/>
      <w:numFmt w:val="bullet"/>
      <w:lvlText w:val="•"/>
      <w:lvlJc w:val="left"/>
      <w:pPr>
        <w:ind w:left="7520" w:hanging="428"/>
      </w:pPr>
      <w:rPr>
        <w:rFonts w:hint="default"/>
        <w:lang w:val="en-US" w:eastAsia="zh-CN" w:bidi="ar-SA"/>
      </w:rPr>
    </w:lvl>
    <w:lvl w:ilvl="8">
      <w:start w:val="0"/>
      <w:numFmt w:val="bullet"/>
      <w:lvlText w:val="•"/>
      <w:lvlJc w:val="left"/>
      <w:pPr>
        <w:ind w:left="8489" w:hanging="428"/>
      </w:pPr>
      <w:rPr>
        <w:rFonts w:hint="default"/>
        <w:lang w:val="en-US" w:eastAsia="zh-CN" w:bidi="ar-SA"/>
      </w:rPr>
    </w:lvl>
  </w:abstractNum>
  <w:abstractNum w:abstractNumId="74">
    <w:multiLevelType w:val="hybridMultilevel"/>
    <w:lvl w:ilvl="0">
      <w:start w:val="2"/>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8"/>
      </w:pPr>
      <w:rPr>
        <w:rFonts w:hint="default"/>
        <w:lang w:val="en-US" w:eastAsia="zh-CN" w:bidi="ar-SA"/>
      </w:rPr>
    </w:lvl>
    <w:lvl w:ilvl="2">
      <w:start w:val="0"/>
      <w:numFmt w:val="bullet"/>
      <w:lvlText w:val="•"/>
      <w:lvlJc w:val="left"/>
      <w:pPr>
        <w:ind w:left="2677" w:hanging="428"/>
      </w:pPr>
      <w:rPr>
        <w:rFonts w:hint="default"/>
        <w:lang w:val="en-US" w:eastAsia="zh-CN" w:bidi="ar-SA"/>
      </w:rPr>
    </w:lvl>
    <w:lvl w:ilvl="3">
      <w:start w:val="0"/>
      <w:numFmt w:val="bullet"/>
      <w:lvlText w:val="•"/>
      <w:lvlJc w:val="left"/>
      <w:pPr>
        <w:ind w:left="3645" w:hanging="428"/>
      </w:pPr>
      <w:rPr>
        <w:rFonts w:hint="default"/>
        <w:lang w:val="en-US" w:eastAsia="zh-CN" w:bidi="ar-SA"/>
      </w:rPr>
    </w:lvl>
    <w:lvl w:ilvl="4">
      <w:start w:val="0"/>
      <w:numFmt w:val="bullet"/>
      <w:lvlText w:val="•"/>
      <w:lvlJc w:val="left"/>
      <w:pPr>
        <w:ind w:left="4614" w:hanging="428"/>
      </w:pPr>
      <w:rPr>
        <w:rFonts w:hint="default"/>
        <w:lang w:val="en-US" w:eastAsia="zh-CN" w:bidi="ar-SA"/>
      </w:rPr>
    </w:lvl>
    <w:lvl w:ilvl="5">
      <w:start w:val="0"/>
      <w:numFmt w:val="bullet"/>
      <w:lvlText w:val="•"/>
      <w:lvlJc w:val="left"/>
      <w:pPr>
        <w:ind w:left="5583" w:hanging="428"/>
      </w:pPr>
      <w:rPr>
        <w:rFonts w:hint="default"/>
        <w:lang w:val="en-US" w:eastAsia="zh-CN" w:bidi="ar-SA"/>
      </w:rPr>
    </w:lvl>
    <w:lvl w:ilvl="6">
      <w:start w:val="0"/>
      <w:numFmt w:val="bullet"/>
      <w:lvlText w:val="•"/>
      <w:lvlJc w:val="left"/>
      <w:pPr>
        <w:ind w:left="6551" w:hanging="428"/>
      </w:pPr>
      <w:rPr>
        <w:rFonts w:hint="default"/>
        <w:lang w:val="en-US" w:eastAsia="zh-CN" w:bidi="ar-SA"/>
      </w:rPr>
    </w:lvl>
    <w:lvl w:ilvl="7">
      <w:start w:val="0"/>
      <w:numFmt w:val="bullet"/>
      <w:lvlText w:val="•"/>
      <w:lvlJc w:val="left"/>
      <w:pPr>
        <w:ind w:left="7520" w:hanging="428"/>
      </w:pPr>
      <w:rPr>
        <w:rFonts w:hint="default"/>
        <w:lang w:val="en-US" w:eastAsia="zh-CN" w:bidi="ar-SA"/>
      </w:rPr>
    </w:lvl>
    <w:lvl w:ilvl="8">
      <w:start w:val="0"/>
      <w:numFmt w:val="bullet"/>
      <w:lvlText w:val="•"/>
      <w:lvlJc w:val="left"/>
      <w:pPr>
        <w:ind w:left="8489" w:hanging="428"/>
      </w:pPr>
      <w:rPr>
        <w:rFonts w:hint="default"/>
        <w:lang w:val="en-US" w:eastAsia="zh-CN" w:bidi="ar-SA"/>
      </w:rPr>
    </w:lvl>
  </w:abstractNum>
  <w:abstractNum w:abstractNumId="73">
    <w:multiLevelType w:val="hybridMultilevel"/>
    <w:lvl w:ilvl="0">
      <w:start w:val="1"/>
      <w:numFmt w:val="decimal"/>
      <w:lvlText w:val="(%1)."/>
      <w:lvlJc w:val="left"/>
      <w:pPr>
        <w:ind w:left="741"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1018" w:hanging="424"/>
      </w:pPr>
      <w:rPr>
        <w:rFonts w:hint="default"/>
        <w:lang w:val="en-US" w:eastAsia="zh-CN" w:bidi="ar-SA"/>
      </w:rPr>
    </w:lvl>
    <w:lvl w:ilvl="2">
      <w:start w:val="0"/>
      <w:numFmt w:val="bullet"/>
      <w:lvlText w:val="•"/>
      <w:lvlJc w:val="left"/>
      <w:pPr>
        <w:ind w:left="1296" w:hanging="424"/>
      </w:pPr>
      <w:rPr>
        <w:rFonts w:hint="default"/>
        <w:lang w:val="en-US" w:eastAsia="zh-CN" w:bidi="ar-SA"/>
      </w:rPr>
    </w:lvl>
    <w:lvl w:ilvl="3">
      <w:start w:val="0"/>
      <w:numFmt w:val="bullet"/>
      <w:lvlText w:val="•"/>
      <w:lvlJc w:val="left"/>
      <w:pPr>
        <w:ind w:left="1574" w:hanging="424"/>
      </w:pPr>
      <w:rPr>
        <w:rFonts w:hint="default"/>
        <w:lang w:val="en-US" w:eastAsia="zh-CN" w:bidi="ar-SA"/>
      </w:rPr>
    </w:lvl>
    <w:lvl w:ilvl="4">
      <w:start w:val="0"/>
      <w:numFmt w:val="bullet"/>
      <w:lvlText w:val="•"/>
      <w:lvlJc w:val="left"/>
      <w:pPr>
        <w:ind w:left="1852" w:hanging="424"/>
      </w:pPr>
      <w:rPr>
        <w:rFonts w:hint="default"/>
        <w:lang w:val="en-US" w:eastAsia="zh-CN" w:bidi="ar-SA"/>
      </w:rPr>
    </w:lvl>
    <w:lvl w:ilvl="5">
      <w:start w:val="0"/>
      <w:numFmt w:val="bullet"/>
      <w:lvlText w:val="•"/>
      <w:lvlJc w:val="left"/>
      <w:pPr>
        <w:ind w:left="2130" w:hanging="424"/>
      </w:pPr>
      <w:rPr>
        <w:rFonts w:hint="default"/>
        <w:lang w:val="en-US" w:eastAsia="zh-CN" w:bidi="ar-SA"/>
      </w:rPr>
    </w:lvl>
    <w:lvl w:ilvl="6">
      <w:start w:val="0"/>
      <w:numFmt w:val="bullet"/>
      <w:lvlText w:val="•"/>
      <w:lvlJc w:val="left"/>
      <w:pPr>
        <w:ind w:left="2409" w:hanging="424"/>
      </w:pPr>
      <w:rPr>
        <w:rFonts w:hint="default"/>
        <w:lang w:val="en-US" w:eastAsia="zh-CN" w:bidi="ar-SA"/>
      </w:rPr>
    </w:lvl>
    <w:lvl w:ilvl="7">
      <w:start w:val="0"/>
      <w:numFmt w:val="bullet"/>
      <w:lvlText w:val="•"/>
      <w:lvlJc w:val="left"/>
      <w:pPr>
        <w:ind w:left="2687" w:hanging="424"/>
      </w:pPr>
      <w:rPr>
        <w:rFonts w:hint="default"/>
        <w:lang w:val="en-US" w:eastAsia="zh-CN" w:bidi="ar-SA"/>
      </w:rPr>
    </w:lvl>
    <w:lvl w:ilvl="8">
      <w:start w:val="0"/>
      <w:numFmt w:val="bullet"/>
      <w:lvlText w:val="•"/>
      <w:lvlJc w:val="left"/>
      <w:pPr>
        <w:ind w:left="2965" w:hanging="424"/>
      </w:pPr>
      <w:rPr>
        <w:rFonts w:hint="default"/>
        <w:lang w:val="en-US" w:eastAsia="zh-CN" w:bidi="ar-SA"/>
      </w:rPr>
    </w:lvl>
  </w:abstractNum>
  <w:abstractNum w:abstractNumId="72">
    <w:multiLevelType w:val="hybridMultilevel"/>
    <w:lvl w:ilvl="0">
      <w:start w:val="2"/>
      <w:numFmt w:val="decimal"/>
      <w:lvlText w:val="(%1)."/>
      <w:lvlJc w:val="left"/>
      <w:pPr>
        <w:ind w:left="74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881" w:hanging="425"/>
      </w:pPr>
      <w:rPr>
        <w:rFonts w:hint="default"/>
        <w:lang w:val="en-US" w:eastAsia="zh-CN" w:bidi="ar-SA"/>
      </w:rPr>
    </w:lvl>
    <w:lvl w:ilvl="2">
      <w:start w:val="0"/>
      <w:numFmt w:val="bullet"/>
      <w:lvlText w:val="•"/>
      <w:lvlJc w:val="left"/>
      <w:pPr>
        <w:ind w:left="1022" w:hanging="425"/>
      </w:pPr>
      <w:rPr>
        <w:rFonts w:hint="default"/>
        <w:lang w:val="en-US" w:eastAsia="zh-CN" w:bidi="ar-SA"/>
      </w:rPr>
    </w:lvl>
    <w:lvl w:ilvl="3">
      <w:start w:val="0"/>
      <w:numFmt w:val="bullet"/>
      <w:lvlText w:val="•"/>
      <w:lvlJc w:val="left"/>
      <w:pPr>
        <w:ind w:left="1163" w:hanging="425"/>
      </w:pPr>
      <w:rPr>
        <w:rFonts w:hint="default"/>
        <w:lang w:val="en-US" w:eastAsia="zh-CN" w:bidi="ar-SA"/>
      </w:rPr>
    </w:lvl>
    <w:lvl w:ilvl="4">
      <w:start w:val="0"/>
      <w:numFmt w:val="bullet"/>
      <w:lvlText w:val="•"/>
      <w:lvlJc w:val="left"/>
      <w:pPr>
        <w:ind w:left="1305" w:hanging="425"/>
      </w:pPr>
      <w:rPr>
        <w:rFonts w:hint="default"/>
        <w:lang w:val="en-US" w:eastAsia="zh-CN" w:bidi="ar-SA"/>
      </w:rPr>
    </w:lvl>
    <w:lvl w:ilvl="5">
      <w:start w:val="0"/>
      <w:numFmt w:val="bullet"/>
      <w:lvlText w:val="•"/>
      <w:lvlJc w:val="left"/>
      <w:pPr>
        <w:ind w:left="1446" w:hanging="425"/>
      </w:pPr>
      <w:rPr>
        <w:rFonts w:hint="default"/>
        <w:lang w:val="en-US" w:eastAsia="zh-CN" w:bidi="ar-SA"/>
      </w:rPr>
    </w:lvl>
    <w:lvl w:ilvl="6">
      <w:start w:val="0"/>
      <w:numFmt w:val="bullet"/>
      <w:lvlText w:val="•"/>
      <w:lvlJc w:val="left"/>
      <w:pPr>
        <w:ind w:left="1587" w:hanging="425"/>
      </w:pPr>
      <w:rPr>
        <w:rFonts w:hint="default"/>
        <w:lang w:val="en-US" w:eastAsia="zh-CN" w:bidi="ar-SA"/>
      </w:rPr>
    </w:lvl>
    <w:lvl w:ilvl="7">
      <w:start w:val="0"/>
      <w:numFmt w:val="bullet"/>
      <w:lvlText w:val="•"/>
      <w:lvlJc w:val="left"/>
      <w:pPr>
        <w:ind w:left="1729" w:hanging="425"/>
      </w:pPr>
      <w:rPr>
        <w:rFonts w:hint="default"/>
        <w:lang w:val="en-US" w:eastAsia="zh-CN" w:bidi="ar-SA"/>
      </w:rPr>
    </w:lvl>
    <w:lvl w:ilvl="8">
      <w:start w:val="0"/>
      <w:numFmt w:val="bullet"/>
      <w:lvlText w:val="•"/>
      <w:lvlJc w:val="left"/>
      <w:pPr>
        <w:ind w:left="1870" w:hanging="425"/>
      </w:pPr>
      <w:rPr>
        <w:rFonts w:hint="default"/>
        <w:lang w:val="en-US" w:eastAsia="zh-CN" w:bidi="ar-SA"/>
      </w:rPr>
    </w:lvl>
  </w:abstractNum>
  <w:abstractNum w:abstractNumId="71">
    <w:multiLevelType w:val="hybridMultilevel"/>
    <w:lvl w:ilvl="0">
      <w:start w:val="1"/>
      <w:numFmt w:val="decimal"/>
      <w:lvlText w:val="(%1)."/>
      <w:lvlJc w:val="left"/>
      <w:pPr>
        <w:ind w:left="741"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4"/>
      </w:pPr>
      <w:rPr>
        <w:rFonts w:hint="default"/>
        <w:lang w:val="en-US" w:eastAsia="zh-CN" w:bidi="ar-SA"/>
      </w:rPr>
    </w:lvl>
    <w:lvl w:ilvl="2">
      <w:start w:val="0"/>
      <w:numFmt w:val="bullet"/>
      <w:lvlText w:val="•"/>
      <w:lvlJc w:val="left"/>
      <w:pPr>
        <w:ind w:left="2677" w:hanging="424"/>
      </w:pPr>
      <w:rPr>
        <w:rFonts w:hint="default"/>
        <w:lang w:val="en-US" w:eastAsia="zh-CN" w:bidi="ar-SA"/>
      </w:rPr>
    </w:lvl>
    <w:lvl w:ilvl="3">
      <w:start w:val="0"/>
      <w:numFmt w:val="bullet"/>
      <w:lvlText w:val="•"/>
      <w:lvlJc w:val="left"/>
      <w:pPr>
        <w:ind w:left="3645" w:hanging="424"/>
      </w:pPr>
      <w:rPr>
        <w:rFonts w:hint="default"/>
        <w:lang w:val="en-US" w:eastAsia="zh-CN" w:bidi="ar-SA"/>
      </w:rPr>
    </w:lvl>
    <w:lvl w:ilvl="4">
      <w:start w:val="0"/>
      <w:numFmt w:val="bullet"/>
      <w:lvlText w:val="•"/>
      <w:lvlJc w:val="left"/>
      <w:pPr>
        <w:ind w:left="4614" w:hanging="424"/>
      </w:pPr>
      <w:rPr>
        <w:rFonts w:hint="default"/>
        <w:lang w:val="en-US" w:eastAsia="zh-CN" w:bidi="ar-SA"/>
      </w:rPr>
    </w:lvl>
    <w:lvl w:ilvl="5">
      <w:start w:val="0"/>
      <w:numFmt w:val="bullet"/>
      <w:lvlText w:val="•"/>
      <w:lvlJc w:val="left"/>
      <w:pPr>
        <w:ind w:left="5583" w:hanging="424"/>
      </w:pPr>
      <w:rPr>
        <w:rFonts w:hint="default"/>
        <w:lang w:val="en-US" w:eastAsia="zh-CN" w:bidi="ar-SA"/>
      </w:rPr>
    </w:lvl>
    <w:lvl w:ilvl="6">
      <w:start w:val="0"/>
      <w:numFmt w:val="bullet"/>
      <w:lvlText w:val="•"/>
      <w:lvlJc w:val="left"/>
      <w:pPr>
        <w:ind w:left="6551" w:hanging="424"/>
      </w:pPr>
      <w:rPr>
        <w:rFonts w:hint="default"/>
        <w:lang w:val="en-US" w:eastAsia="zh-CN" w:bidi="ar-SA"/>
      </w:rPr>
    </w:lvl>
    <w:lvl w:ilvl="7">
      <w:start w:val="0"/>
      <w:numFmt w:val="bullet"/>
      <w:lvlText w:val="•"/>
      <w:lvlJc w:val="left"/>
      <w:pPr>
        <w:ind w:left="7520" w:hanging="424"/>
      </w:pPr>
      <w:rPr>
        <w:rFonts w:hint="default"/>
        <w:lang w:val="en-US" w:eastAsia="zh-CN" w:bidi="ar-SA"/>
      </w:rPr>
    </w:lvl>
    <w:lvl w:ilvl="8">
      <w:start w:val="0"/>
      <w:numFmt w:val="bullet"/>
      <w:lvlText w:val="•"/>
      <w:lvlJc w:val="left"/>
      <w:pPr>
        <w:ind w:left="8489" w:hanging="424"/>
      </w:pPr>
      <w:rPr>
        <w:rFonts w:hint="default"/>
        <w:lang w:val="en-US" w:eastAsia="zh-CN" w:bidi="ar-SA"/>
      </w:rPr>
    </w:lvl>
  </w:abstractNum>
  <w:abstractNum w:abstractNumId="70">
    <w:multiLevelType w:val="hybridMultilevel"/>
    <w:lvl w:ilvl="0">
      <w:start w:val="2"/>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008" w:hanging="428"/>
      </w:pPr>
      <w:rPr>
        <w:rFonts w:hint="default"/>
        <w:lang w:val="en-US" w:eastAsia="zh-CN" w:bidi="ar-SA"/>
      </w:rPr>
    </w:lvl>
    <w:lvl w:ilvl="2">
      <w:start w:val="0"/>
      <w:numFmt w:val="bullet"/>
      <w:lvlText w:val="•"/>
      <w:lvlJc w:val="left"/>
      <w:pPr>
        <w:ind w:left="1276" w:hanging="428"/>
      </w:pPr>
      <w:rPr>
        <w:rFonts w:hint="default"/>
        <w:lang w:val="en-US" w:eastAsia="zh-CN" w:bidi="ar-SA"/>
      </w:rPr>
    </w:lvl>
    <w:lvl w:ilvl="3">
      <w:start w:val="0"/>
      <w:numFmt w:val="bullet"/>
      <w:lvlText w:val="•"/>
      <w:lvlJc w:val="left"/>
      <w:pPr>
        <w:ind w:left="1544" w:hanging="428"/>
      </w:pPr>
      <w:rPr>
        <w:rFonts w:hint="default"/>
        <w:lang w:val="en-US" w:eastAsia="zh-CN" w:bidi="ar-SA"/>
      </w:rPr>
    </w:lvl>
    <w:lvl w:ilvl="4">
      <w:start w:val="0"/>
      <w:numFmt w:val="bullet"/>
      <w:lvlText w:val="•"/>
      <w:lvlJc w:val="left"/>
      <w:pPr>
        <w:ind w:left="1812" w:hanging="428"/>
      </w:pPr>
      <w:rPr>
        <w:rFonts w:hint="default"/>
        <w:lang w:val="en-US" w:eastAsia="zh-CN" w:bidi="ar-SA"/>
      </w:rPr>
    </w:lvl>
    <w:lvl w:ilvl="5">
      <w:start w:val="0"/>
      <w:numFmt w:val="bullet"/>
      <w:lvlText w:val="•"/>
      <w:lvlJc w:val="left"/>
      <w:pPr>
        <w:ind w:left="2080" w:hanging="428"/>
      </w:pPr>
      <w:rPr>
        <w:rFonts w:hint="default"/>
        <w:lang w:val="en-US" w:eastAsia="zh-CN" w:bidi="ar-SA"/>
      </w:rPr>
    </w:lvl>
    <w:lvl w:ilvl="6">
      <w:start w:val="0"/>
      <w:numFmt w:val="bullet"/>
      <w:lvlText w:val="•"/>
      <w:lvlJc w:val="left"/>
      <w:pPr>
        <w:ind w:left="2348" w:hanging="428"/>
      </w:pPr>
      <w:rPr>
        <w:rFonts w:hint="default"/>
        <w:lang w:val="en-US" w:eastAsia="zh-CN" w:bidi="ar-SA"/>
      </w:rPr>
    </w:lvl>
    <w:lvl w:ilvl="7">
      <w:start w:val="0"/>
      <w:numFmt w:val="bullet"/>
      <w:lvlText w:val="•"/>
      <w:lvlJc w:val="left"/>
      <w:pPr>
        <w:ind w:left="2616" w:hanging="428"/>
      </w:pPr>
      <w:rPr>
        <w:rFonts w:hint="default"/>
        <w:lang w:val="en-US" w:eastAsia="zh-CN" w:bidi="ar-SA"/>
      </w:rPr>
    </w:lvl>
    <w:lvl w:ilvl="8">
      <w:start w:val="0"/>
      <w:numFmt w:val="bullet"/>
      <w:lvlText w:val="•"/>
      <w:lvlJc w:val="left"/>
      <w:pPr>
        <w:ind w:left="2884" w:hanging="428"/>
      </w:pPr>
      <w:rPr>
        <w:rFonts w:hint="default"/>
        <w:lang w:val="en-US" w:eastAsia="zh-CN" w:bidi="ar-SA"/>
      </w:rPr>
    </w:lvl>
  </w:abstractNum>
  <w:abstractNum w:abstractNumId="69">
    <w:multiLevelType w:val="hybridMultilevel"/>
    <w:lvl w:ilvl="0">
      <w:start w:val="1"/>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8"/>
      </w:pPr>
      <w:rPr>
        <w:rFonts w:hint="default"/>
        <w:lang w:val="en-US" w:eastAsia="zh-CN" w:bidi="ar-SA"/>
      </w:rPr>
    </w:lvl>
    <w:lvl w:ilvl="2">
      <w:start w:val="0"/>
      <w:numFmt w:val="bullet"/>
      <w:lvlText w:val="•"/>
      <w:lvlJc w:val="left"/>
      <w:pPr>
        <w:ind w:left="2677" w:hanging="428"/>
      </w:pPr>
      <w:rPr>
        <w:rFonts w:hint="default"/>
        <w:lang w:val="en-US" w:eastAsia="zh-CN" w:bidi="ar-SA"/>
      </w:rPr>
    </w:lvl>
    <w:lvl w:ilvl="3">
      <w:start w:val="0"/>
      <w:numFmt w:val="bullet"/>
      <w:lvlText w:val="•"/>
      <w:lvlJc w:val="left"/>
      <w:pPr>
        <w:ind w:left="3645" w:hanging="428"/>
      </w:pPr>
      <w:rPr>
        <w:rFonts w:hint="default"/>
        <w:lang w:val="en-US" w:eastAsia="zh-CN" w:bidi="ar-SA"/>
      </w:rPr>
    </w:lvl>
    <w:lvl w:ilvl="4">
      <w:start w:val="0"/>
      <w:numFmt w:val="bullet"/>
      <w:lvlText w:val="•"/>
      <w:lvlJc w:val="left"/>
      <w:pPr>
        <w:ind w:left="4614" w:hanging="428"/>
      </w:pPr>
      <w:rPr>
        <w:rFonts w:hint="default"/>
        <w:lang w:val="en-US" w:eastAsia="zh-CN" w:bidi="ar-SA"/>
      </w:rPr>
    </w:lvl>
    <w:lvl w:ilvl="5">
      <w:start w:val="0"/>
      <w:numFmt w:val="bullet"/>
      <w:lvlText w:val="•"/>
      <w:lvlJc w:val="left"/>
      <w:pPr>
        <w:ind w:left="5583" w:hanging="428"/>
      </w:pPr>
      <w:rPr>
        <w:rFonts w:hint="default"/>
        <w:lang w:val="en-US" w:eastAsia="zh-CN" w:bidi="ar-SA"/>
      </w:rPr>
    </w:lvl>
    <w:lvl w:ilvl="6">
      <w:start w:val="0"/>
      <w:numFmt w:val="bullet"/>
      <w:lvlText w:val="•"/>
      <w:lvlJc w:val="left"/>
      <w:pPr>
        <w:ind w:left="6551" w:hanging="428"/>
      </w:pPr>
      <w:rPr>
        <w:rFonts w:hint="default"/>
        <w:lang w:val="en-US" w:eastAsia="zh-CN" w:bidi="ar-SA"/>
      </w:rPr>
    </w:lvl>
    <w:lvl w:ilvl="7">
      <w:start w:val="0"/>
      <w:numFmt w:val="bullet"/>
      <w:lvlText w:val="•"/>
      <w:lvlJc w:val="left"/>
      <w:pPr>
        <w:ind w:left="7520" w:hanging="428"/>
      </w:pPr>
      <w:rPr>
        <w:rFonts w:hint="default"/>
        <w:lang w:val="en-US" w:eastAsia="zh-CN" w:bidi="ar-SA"/>
      </w:rPr>
    </w:lvl>
    <w:lvl w:ilvl="8">
      <w:start w:val="0"/>
      <w:numFmt w:val="bullet"/>
      <w:lvlText w:val="•"/>
      <w:lvlJc w:val="left"/>
      <w:pPr>
        <w:ind w:left="8489" w:hanging="428"/>
      </w:pPr>
      <w:rPr>
        <w:rFonts w:hint="default"/>
        <w:lang w:val="en-US" w:eastAsia="zh-CN" w:bidi="ar-SA"/>
      </w:rPr>
    </w:lvl>
  </w:abstractNum>
  <w:abstractNum w:abstractNumId="68">
    <w:multiLevelType w:val="hybridMultilevel"/>
    <w:lvl w:ilvl="0">
      <w:start w:val="1"/>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8"/>
      </w:pPr>
      <w:rPr>
        <w:rFonts w:hint="default"/>
        <w:lang w:val="en-US" w:eastAsia="zh-CN" w:bidi="ar-SA"/>
      </w:rPr>
    </w:lvl>
    <w:lvl w:ilvl="2">
      <w:start w:val="0"/>
      <w:numFmt w:val="bullet"/>
      <w:lvlText w:val="•"/>
      <w:lvlJc w:val="left"/>
      <w:pPr>
        <w:ind w:left="2677" w:hanging="428"/>
      </w:pPr>
      <w:rPr>
        <w:rFonts w:hint="default"/>
        <w:lang w:val="en-US" w:eastAsia="zh-CN" w:bidi="ar-SA"/>
      </w:rPr>
    </w:lvl>
    <w:lvl w:ilvl="3">
      <w:start w:val="0"/>
      <w:numFmt w:val="bullet"/>
      <w:lvlText w:val="•"/>
      <w:lvlJc w:val="left"/>
      <w:pPr>
        <w:ind w:left="3645" w:hanging="428"/>
      </w:pPr>
      <w:rPr>
        <w:rFonts w:hint="default"/>
        <w:lang w:val="en-US" w:eastAsia="zh-CN" w:bidi="ar-SA"/>
      </w:rPr>
    </w:lvl>
    <w:lvl w:ilvl="4">
      <w:start w:val="0"/>
      <w:numFmt w:val="bullet"/>
      <w:lvlText w:val="•"/>
      <w:lvlJc w:val="left"/>
      <w:pPr>
        <w:ind w:left="4614" w:hanging="428"/>
      </w:pPr>
      <w:rPr>
        <w:rFonts w:hint="default"/>
        <w:lang w:val="en-US" w:eastAsia="zh-CN" w:bidi="ar-SA"/>
      </w:rPr>
    </w:lvl>
    <w:lvl w:ilvl="5">
      <w:start w:val="0"/>
      <w:numFmt w:val="bullet"/>
      <w:lvlText w:val="•"/>
      <w:lvlJc w:val="left"/>
      <w:pPr>
        <w:ind w:left="5583" w:hanging="428"/>
      </w:pPr>
      <w:rPr>
        <w:rFonts w:hint="default"/>
        <w:lang w:val="en-US" w:eastAsia="zh-CN" w:bidi="ar-SA"/>
      </w:rPr>
    </w:lvl>
    <w:lvl w:ilvl="6">
      <w:start w:val="0"/>
      <w:numFmt w:val="bullet"/>
      <w:lvlText w:val="•"/>
      <w:lvlJc w:val="left"/>
      <w:pPr>
        <w:ind w:left="6551" w:hanging="428"/>
      </w:pPr>
      <w:rPr>
        <w:rFonts w:hint="default"/>
        <w:lang w:val="en-US" w:eastAsia="zh-CN" w:bidi="ar-SA"/>
      </w:rPr>
    </w:lvl>
    <w:lvl w:ilvl="7">
      <w:start w:val="0"/>
      <w:numFmt w:val="bullet"/>
      <w:lvlText w:val="•"/>
      <w:lvlJc w:val="left"/>
      <w:pPr>
        <w:ind w:left="7520" w:hanging="428"/>
      </w:pPr>
      <w:rPr>
        <w:rFonts w:hint="default"/>
        <w:lang w:val="en-US" w:eastAsia="zh-CN" w:bidi="ar-SA"/>
      </w:rPr>
    </w:lvl>
    <w:lvl w:ilvl="8">
      <w:start w:val="0"/>
      <w:numFmt w:val="bullet"/>
      <w:lvlText w:val="•"/>
      <w:lvlJc w:val="left"/>
      <w:pPr>
        <w:ind w:left="8489" w:hanging="428"/>
      </w:pPr>
      <w:rPr>
        <w:rFonts w:hint="default"/>
        <w:lang w:val="en-US" w:eastAsia="zh-CN" w:bidi="ar-SA"/>
      </w:rPr>
    </w:lvl>
  </w:abstractNum>
  <w:abstractNum w:abstractNumId="67">
    <w:multiLevelType w:val="hybridMultilevel"/>
    <w:lvl w:ilvl="0">
      <w:start w:val="1"/>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881" w:hanging="428"/>
      </w:pPr>
      <w:rPr>
        <w:rFonts w:hint="default"/>
        <w:lang w:val="en-US" w:eastAsia="zh-CN" w:bidi="ar-SA"/>
      </w:rPr>
    </w:lvl>
    <w:lvl w:ilvl="2">
      <w:start w:val="0"/>
      <w:numFmt w:val="bullet"/>
      <w:lvlText w:val="•"/>
      <w:lvlJc w:val="left"/>
      <w:pPr>
        <w:ind w:left="1023" w:hanging="428"/>
      </w:pPr>
      <w:rPr>
        <w:rFonts w:hint="default"/>
        <w:lang w:val="en-US" w:eastAsia="zh-CN" w:bidi="ar-SA"/>
      </w:rPr>
    </w:lvl>
    <w:lvl w:ilvl="3">
      <w:start w:val="0"/>
      <w:numFmt w:val="bullet"/>
      <w:lvlText w:val="•"/>
      <w:lvlJc w:val="left"/>
      <w:pPr>
        <w:ind w:left="1164" w:hanging="428"/>
      </w:pPr>
      <w:rPr>
        <w:rFonts w:hint="default"/>
        <w:lang w:val="en-US" w:eastAsia="zh-CN" w:bidi="ar-SA"/>
      </w:rPr>
    </w:lvl>
    <w:lvl w:ilvl="4">
      <w:start w:val="0"/>
      <w:numFmt w:val="bullet"/>
      <w:lvlText w:val="•"/>
      <w:lvlJc w:val="left"/>
      <w:pPr>
        <w:ind w:left="1306" w:hanging="428"/>
      </w:pPr>
      <w:rPr>
        <w:rFonts w:hint="default"/>
        <w:lang w:val="en-US" w:eastAsia="zh-CN" w:bidi="ar-SA"/>
      </w:rPr>
    </w:lvl>
    <w:lvl w:ilvl="5">
      <w:start w:val="0"/>
      <w:numFmt w:val="bullet"/>
      <w:lvlText w:val="•"/>
      <w:lvlJc w:val="left"/>
      <w:pPr>
        <w:ind w:left="1447" w:hanging="428"/>
      </w:pPr>
      <w:rPr>
        <w:rFonts w:hint="default"/>
        <w:lang w:val="en-US" w:eastAsia="zh-CN" w:bidi="ar-SA"/>
      </w:rPr>
    </w:lvl>
    <w:lvl w:ilvl="6">
      <w:start w:val="0"/>
      <w:numFmt w:val="bullet"/>
      <w:lvlText w:val="•"/>
      <w:lvlJc w:val="left"/>
      <w:pPr>
        <w:ind w:left="1589" w:hanging="428"/>
      </w:pPr>
      <w:rPr>
        <w:rFonts w:hint="default"/>
        <w:lang w:val="en-US" w:eastAsia="zh-CN" w:bidi="ar-SA"/>
      </w:rPr>
    </w:lvl>
    <w:lvl w:ilvl="7">
      <w:start w:val="0"/>
      <w:numFmt w:val="bullet"/>
      <w:lvlText w:val="•"/>
      <w:lvlJc w:val="left"/>
      <w:pPr>
        <w:ind w:left="1730" w:hanging="428"/>
      </w:pPr>
      <w:rPr>
        <w:rFonts w:hint="default"/>
        <w:lang w:val="en-US" w:eastAsia="zh-CN" w:bidi="ar-SA"/>
      </w:rPr>
    </w:lvl>
    <w:lvl w:ilvl="8">
      <w:start w:val="0"/>
      <w:numFmt w:val="bullet"/>
      <w:lvlText w:val="•"/>
      <w:lvlJc w:val="left"/>
      <w:pPr>
        <w:ind w:left="1872" w:hanging="428"/>
      </w:pPr>
      <w:rPr>
        <w:rFonts w:hint="default"/>
        <w:lang w:val="en-US" w:eastAsia="zh-CN" w:bidi="ar-SA"/>
      </w:rPr>
    </w:lvl>
  </w:abstractNum>
  <w:abstractNum w:abstractNumId="66">
    <w:multiLevelType w:val="hybridMultilevel"/>
    <w:lvl w:ilvl="0">
      <w:start w:val="1"/>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881" w:hanging="428"/>
      </w:pPr>
      <w:rPr>
        <w:rFonts w:hint="default"/>
        <w:lang w:val="en-US" w:eastAsia="zh-CN" w:bidi="ar-SA"/>
      </w:rPr>
    </w:lvl>
    <w:lvl w:ilvl="2">
      <w:start w:val="0"/>
      <w:numFmt w:val="bullet"/>
      <w:lvlText w:val="•"/>
      <w:lvlJc w:val="left"/>
      <w:pPr>
        <w:ind w:left="1023" w:hanging="428"/>
      </w:pPr>
      <w:rPr>
        <w:rFonts w:hint="default"/>
        <w:lang w:val="en-US" w:eastAsia="zh-CN" w:bidi="ar-SA"/>
      </w:rPr>
    </w:lvl>
    <w:lvl w:ilvl="3">
      <w:start w:val="0"/>
      <w:numFmt w:val="bullet"/>
      <w:lvlText w:val="•"/>
      <w:lvlJc w:val="left"/>
      <w:pPr>
        <w:ind w:left="1164" w:hanging="428"/>
      </w:pPr>
      <w:rPr>
        <w:rFonts w:hint="default"/>
        <w:lang w:val="en-US" w:eastAsia="zh-CN" w:bidi="ar-SA"/>
      </w:rPr>
    </w:lvl>
    <w:lvl w:ilvl="4">
      <w:start w:val="0"/>
      <w:numFmt w:val="bullet"/>
      <w:lvlText w:val="•"/>
      <w:lvlJc w:val="left"/>
      <w:pPr>
        <w:ind w:left="1306" w:hanging="428"/>
      </w:pPr>
      <w:rPr>
        <w:rFonts w:hint="default"/>
        <w:lang w:val="en-US" w:eastAsia="zh-CN" w:bidi="ar-SA"/>
      </w:rPr>
    </w:lvl>
    <w:lvl w:ilvl="5">
      <w:start w:val="0"/>
      <w:numFmt w:val="bullet"/>
      <w:lvlText w:val="•"/>
      <w:lvlJc w:val="left"/>
      <w:pPr>
        <w:ind w:left="1447" w:hanging="428"/>
      </w:pPr>
      <w:rPr>
        <w:rFonts w:hint="default"/>
        <w:lang w:val="en-US" w:eastAsia="zh-CN" w:bidi="ar-SA"/>
      </w:rPr>
    </w:lvl>
    <w:lvl w:ilvl="6">
      <w:start w:val="0"/>
      <w:numFmt w:val="bullet"/>
      <w:lvlText w:val="•"/>
      <w:lvlJc w:val="left"/>
      <w:pPr>
        <w:ind w:left="1589" w:hanging="428"/>
      </w:pPr>
      <w:rPr>
        <w:rFonts w:hint="default"/>
        <w:lang w:val="en-US" w:eastAsia="zh-CN" w:bidi="ar-SA"/>
      </w:rPr>
    </w:lvl>
    <w:lvl w:ilvl="7">
      <w:start w:val="0"/>
      <w:numFmt w:val="bullet"/>
      <w:lvlText w:val="•"/>
      <w:lvlJc w:val="left"/>
      <w:pPr>
        <w:ind w:left="1730" w:hanging="428"/>
      </w:pPr>
      <w:rPr>
        <w:rFonts w:hint="default"/>
        <w:lang w:val="en-US" w:eastAsia="zh-CN" w:bidi="ar-SA"/>
      </w:rPr>
    </w:lvl>
    <w:lvl w:ilvl="8">
      <w:start w:val="0"/>
      <w:numFmt w:val="bullet"/>
      <w:lvlText w:val="•"/>
      <w:lvlJc w:val="left"/>
      <w:pPr>
        <w:ind w:left="1872" w:hanging="428"/>
      </w:pPr>
      <w:rPr>
        <w:rFonts w:hint="default"/>
        <w:lang w:val="en-US" w:eastAsia="zh-CN" w:bidi="ar-SA"/>
      </w:rPr>
    </w:lvl>
  </w:abstractNum>
  <w:abstractNum w:abstractNumId="65">
    <w:multiLevelType w:val="hybridMultilevel"/>
    <w:lvl w:ilvl="0">
      <w:start w:val="2"/>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8"/>
      </w:pPr>
      <w:rPr>
        <w:rFonts w:hint="default"/>
        <w:lang w:val="en-US" w:eastAsia="zh-CN" w:bidi="ar-SA"/>
      </w:rPr>
    </w:lvl>
    <w:lvl w:ilvl="2">
      <w:start w:val="0"/>
      <w:numFmt w:val="bullet"/>
      <w:lvlText w:val="•"/>
      <w:lvlJc w:val="left"/>
      <w:pPr>
        <w:ind w:left="2677" w:hanging="428"/>
      </w:pPr>
      <w:rPr>
        <w:rFonts w:hint="default"/>
        <w:lang w:val="en-US" w:eastAsia="zh-CN" w:bidi="ar-SA"/>
      </w:rPr>
    </w:lvl>
    <w:lvl w:ilvl="3">
      <w:start w:val="0"/>
      <w:numFmt w:val="bullet"/>
      <w:lvlText w:val="•"/>
      <w:lvlJc w:val="left"/>
      <w:pPr>
        <w:ind w:left="3645" w:hanging="428"/>
      </w:pPr>
      <w:rPr>
        <w:rFonts w:hint="default"/>
        <w:lang w:val="en-US" w:eastAsia="zh-CN" w:bidi="ar-SA"/>
      </w:rPr>
    </w:lvl>
    <w:lvl w:ilvl="4">
      <w:start w:val="0"/>
      <w:numFmt w:val="bullet"/>
      <w:lvlText w:val="•"/>
      <w:lvlJc w:val="left"/>
      <w:pPr>
        <w:ind w:left="4614" w:hanging="428"/>
      </w:pPr>
      <w:rPr>
        <w:rFonts w:hint="default"/>
        <w:lang w:val="en-US" w:eastAsia="zh-CN" w:bidi="ar-SA"/>
      </w:rPr>
    </w:lvl>
    <w:lvl w:ilvl="5">
      <w:start w:val="0"/>
      <w:numFmt w:val="bullet"/>
      <w:lvlText w:val="•"/>
      <w:lvlJc w:val="left"/>
      <w:pPr>
        <w:ind w:left="5583" w:hanging="428"/>
      </w:pPr>
      <w:rPr>
        <w:rFonts w:hint="default"/>
        <w:lang w:val="en-US" w:eastAsia="zh-CN" w:bidi="ar-SA"/>
      </w:rPr>
    </w:lvl>
    <w:lvl w:ilvl="6">
      <w:start w:val="0"/>
      <w:numFmt w:val="bullet"/>
      <w:lvlText w:val="•"/>
      <w:lvlJc w:val="left"/>
      <w:pPr>
        <w:ind w:left="6551" w:hanging="428"/>
      </w:pPr>
      <w:rPr>
        <w:rFonts w:hint="default"/>
        <w:lang w:val="en-US" w:eastAsia="zh-CN" w:bidi="ar-SA"/>
      </w:rPr>
    </w:lvl>
    <w:lvl w:ilvl="7">
      <w:start w:val="0"/>
      <w:numFmt w:val="bullet"/>
      <w:lvlText w:val="•"/>
      <w:lvlJc w:val="left"/>
      <w:pPr>
        <w:ind w:left="7520" w:hanging="428"/>
      </w:pPr>
      <w:rPr>
        <w:rFonts w:hint="default"/>
        <w:lang w:val="en-US" w:eastAsia="zh-CN" w:bidi="ar-SA"/>
      </w:rPr>
    </w:lvl>
    <w:lvl w:ilvl="8">
      <w:start w:val="0"/>
      <w:numFmt w:val="bullet"/>
      <w:lvlText w:val="•"/>
      <w:lvlJc w:val="left"/>
      <w:pPr>
        <w:ind w:left="8489" w:hanging="428"/>
      </w:pPr>
      <w:rPr>
        <w:rFonts w:hint="default"/>
        <w:lang w:val="en-US" w:eastAsia="zh-CN" w:bidi="ar-SA"/>
      </w:rPr>
    </w:lvl>
  </w:abstractNum>
  <w:abstractNum w:abstractNumId="64">
    <w:multiLevelType w:val="hybridMultilevel"/>
    <w:lvl w:ilvl="0">
      <w:start w:val="2"/>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8"/>
      </w:pPr>
      <w:rPr>
        <w:rFonts w:hint="default"/>
        <w:lang w:val="en-US" w:eastAsia="zh-CN" w:bidi="ar-SA"/>
      </w:rPr>
    </w:lvl>
    <w:lvl w:ilvl="2">
      <w:start w:val="0"/>
      <w:numFmt w:val="bullet"/>
      <w:lvlText w:val="•"/>
      <w:lvlJc w:val="left"/>
      <w:pPr>
        <w:ind w:left="2677" w:hanging="428"/>
      </w:pPr>
      <w:rPr>
        <w:rFonts w:hint="default"/>
        <w:lang w:val="en-US" w:eastAsia="zh-CN" w:bidi="ar-SA"/>
      </w:rPr>
    </w:lvl>
    <w:lvl w:ilvl="3">
      <w:start w:val="0"/>
      <w:numFmt w:val="bullet"/>
      <w:lvlText w:val="•"/>
      <w:lvlJc w:val="left"/>
      <w:pPr>
        <w:ind w:left="3645" w:hanging="428"/>
      </w:pPr>
      <w:rPr>
        <w:rFonts w:hint="default"/>
        <w:lang w:val="en-US" w:eastAsia="zh-CN" w:bidi="ar-SA"/>
      </w:rPr>
    </w:lvl>
    <w:lvl w:ilvl="4">
      <w:start w:val="0"/>
      <w:numFmt w:val="bullet"/>
      <w:lvlText w:val="•"/>
      <w:lvlJc w:val="left"/>
      <w:pPr>
        <w:ind w:left="4614" w:hanging="428"/>
      </w:pPr>
      <w:rPr>
        <w:rFonts w:hint="default"/>
        <w:lang w:val="en-US" w:eastAsia="zh-CN" w:bidi="ar-SA"/>
      </w:rPr>
    </w:lvl>
    <w:lvl w:ilvl="5">
      <w:start w:val="0"/>
      <w:numFmt w:val="bullet"/>
      <w:lvlText w:val="•"/>
      <w:lvlJc w:val="left"/>
      <w:pPr>
        <w:ind w:left="5583" w:hanging="428"/>
      </w:pPr>
      <w:rPr>
        <w:rFonts w:hint="default"/>
        <w:lang w:val="en-US" w:eastAsia="zh-CN" w:bidi="ar-SA"/>
      </w:rPr>
    </w:lvl>
    <w:lvl w:ilvl="6">
      <w:start w:val="0"/>
      <w:numFmt w:val="bullet"/>
      <w:lvlText w:val="•"/>
      <w:lvlJc w:val="left"/>
      <w:pPr>
        <w:ind w:left="6551" w:hanging="428"/>
      </w:pPr>
      <w:rPr>
        <w:rFonts w:hint="default"/>
        <w:lang w:val="en-US" w:eastAsia="zh-CN" w:bidi="ar-SA"/>
      </w:rPr>
    </w:lvl>
    <w:lvl w:ilvl="7">
      <w:start w:val="0"/>
      <w:numFmt w:val="bullet"/>
      <w:lvlText w:val="•"/>
      <w:lvlJc w:val="left"/>
      <w:pPr>
        <w:ind w:left="7520" w:hanging="428"/>
      </w:pPr>
      <w:rPr>
        <w:rFonts w:hint="default"/>
        <w:lang w:val="en-US" w:eastAsia="zh-CN" w:bidi="ar-SA"/>
      </w:rPr>
    </w:lvl>
    <w:lvl w:ilvl="8">
      <w:start w:val="0"/>
      <w:numFmt w:val="bullet"/>
      <w:lvlText w:val="•"/>
      <w:lvlJc w:val="left"/>
      <w:pPr>
        <w:ind w:left="8489" w:hanging="428"/>
      </w:pPr>
      <w:rPr>
        <w:rFonts w:hint="default"/>
        <w:lang w:val="en-US" w:eastAsia="zh-CN" w:bidi="ar-SA"/>
      </w:rPr>
    </w:lvl>
  </w:abstractNum>
  <w:abstractNum w:abstractNumId="63">
    <w:multiLevelType w:val="hybridMultilevel"/>
    <w:lvl w:ilvl="0">
      <w:start w:val="1"/>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281" w:hanging="428"/>
      </w:pPr>
      <w:rPr>
        <w:rFonts w:hint="default"/>
        <w:lang w:val="en-US" w:eastAsia="zh-CN" w:bidi="ar-SA"/>
      </w:rPr>
    </w:lvl>
    <w:lvl w:ilvl="2">
      <w:start w:val="0"/>
      <w:numFmt w:val="bullet"/>
      <w:lvlText w:val="•"/>
      <w:lvlJc w:val="left"/>
      <w:pPr>
        <w:ind w:left="1822" w:hanging="428"/>
      </w:pPr>
      <w:rPr>
        <w:rFonts w:hint="default"/>
        <w:lang w:val="en-US" w:eastAsia="zh-CN" w:bidi="ar-SA"/>
      </w:rPr>
    </w:lvl>
    <w:lvl w:ilvl="3">
      <w:start w:val="0"/>
      <w:numFmt w:val="bullet"/>
      <w:lvlText w:val="•"/>
      <w:lvlJc w:val="left"/>
      <w:pPr>
        <w:ind w:left="2363" w:hanging="428"/>
      </w:pPr>
      <w:rPr>
        <w:rFonts w:hint="default"/>
        <w:lang w:val="en-US" w:eastAsia="zh-CN" w:bidi="ar-SA"/>
      </w:rPr>
    </w:lvl>
    <w:lvl w:ilvl="4">
      <w:start w:val="0"/>
      <w:numFmt w:val="bullet"/>
      <w:lvlText w:val="•"/>
      <w:lvlJc w:val="left"/>
      <w:pPr>
        <w:ind w:left="2905" w:hanging="428"/>
      </w:pPr>
      <w:rPr>
        <w:rFonts w:hint="default"/>
        <w:lang w:val="en-US" w:eastAsia="zh-CN" w:bidi="ar-SA"/>
      </w:rPr>
    </w:lvl>
    <w:lvl w:ilvl="5">
      <w:start w:val="0"/>
      <w:numFmt w:val="bullet"/>
      <w:lvlText w:val="•"/>
      <w:lvlJc w:val="left"/>
      <w:pPr>
        <w:ind w:left="3446" w:hanging="428"/>
      </w:pPr>
      <w:rPr>
        <w:rFonts w:hint="default"/>
        <w:lang w:val="en-US" w:eastAsia="zh-CN" w:bidi="ar-SA"/>
      </w:rPr>
    </w:lvl>
    <w:lvl w:ilvl="6">
      <w:start w:val="0"/>
      <w:numFmt w:val="bullet"/>
      <w:lvlText w:val="•"/>
      <w:lvlJc w:val="left"/>
      <w:pPr>
        <w:ind w:left="3987" w:hanging="428"/>
      </w:pPr>
      <w:rPr>
        <w:rFonts w:hint="default"/>
        <w:lang w:val="en-US" w:eastAsia="zh-CN" w:bidi="ar-SA"/>
      </w:rPr>
    </w:lvl>
    <w:lvl w:ilvl="7">
      <w:start w:val="0"/>
      <w:numFmt w:val="bullet"/>
      <w:lvlText w:val="•"/>
      <w:lvlJc w:val="left"/>
      <w:pPr>
        <w:ind w:left="4528" w:hanging="428"/>
      </w:pPr>
      <w:rPr>
        <w:rFonts w:hint="default"/>
        <w:lang w:val="en-US" w:eastAsia="zh-CN" w:bidi="ar-SA"/>
      </w:rPr>
    </w:lvl>
    <w:lvl w:ilvl="8">
      <w:start w:val="0"/>
      <w:numFmt w:val="bullet"/>
      <w:lvlText w:val="•"/>
      <w:lvlJc w:val="left"/>
      <w:pPr>
        <w:ind w:left="5070" w:hanging="428"/>
      </w:pPr>
      <w:rPr>
        <w:rFonts w:hint="default"/>
        <w:lang w:val="en-US" w:eastAsia="zh-CN" w:bidi="ar-SA"/>
      </w:rPr>
    </w:lvl>
  </w:abstractNum>
  <w:abstractNum w:abstractNumId="62">
    <w:multiLevelType w:val="hybridMultilevel"/>
    <w:lvl w:ilvl="0">
      <w:start w:val="8"/>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944" w:hanging="428"/>
      </w:pPr>
      <w:rPr>
        <w:rFonts w:hint="default"/>
        <w:lang w:val="en-US" w:eastAsia="zh-CN" w:bidi="ar-SA"/>
      </w:rPr>
    </w:lvl>
    <w:lvl w:ilvl="2">
      <w:start w:val="0"/>
      <w:numFmt w:val="bullet"/>
      <w:lvlText w:val="•"/>
      <w:lvlJc w:val="left"/>
      <w:pPr>
        <w:ind w:left="1149" w:hanging="428"/>
      </w:pPr>
      <w:rPr>
        <w:rFonts w:hint="default"/>
        <w:lang w:val="en-US" w:eastAsia="zh-CN" w:bidi="ar-SA"/>
      </w:rPr>
    </w:lvl>
    <w:lvl w:ilvl="3">
      <w:start w:val="0"/>
      <w:numFmt w:val="bullet"/>
      <w:lvlText w:val="•"/>
      <w:lvlJc w:val="left"/>
      <w:pPr>
        <w:ind w:left="1354" w:hanging="428"/>
      </w:pPr>
      <w:rPr>
        <w:rFonts w:hint="default"/>
        <w:lang w:val="en-US" w:eastAsia="zh-CN" w:bidi="ar-SA"/>
      </w:rPr>
    </w:lvl>
    <w:lvl w:ilvl="4">
      <w:start w:val="0"/>
      <w:numFmt w:val="bullet"/>
      <w:lvlText w:val="•"/>
      <w:lvlJc w:val="left"/>
      <w:pPr>
        <w:ind w:left="1559" w:hanging="428"/>
      </w:pPr>
      <w:rPr>
        <w:rFonts w:hint="default"/>
        <w:lang w:val="en-US" w:eastAsia="zh-CN" w:bidi="ar-SA"/>
      </w:rPr>
    </w:lvl>
    <w:lvl w:ilvl="5">
      <w:start w:val="0"/>
      <w:numFmt w:val="bullet"/>
      <w:lvlText w:val="•"/>
      <w:lvlJc w:val="left"/>
      <w:pPr>
        <w:ind w:left="1764" w:hanging="428"/>
      </w:pPr>
      <w:rPr>
        <w:rFonts w:hint="default"/>
        <w:lang w:val="en-US" w:eastAsia="zh-CN" w:bidi="ar-SA"/>
      </w:rPr>
    </w:lvl>
    <w:lvl w:ilvl="6">
      <w:start w:val="0"/>
      <w:numFmt w:val="bullet"/>
      <w:lvlText w:val="•"/>
      <w:lvlJc w:val="left"/>
      <w:pPr>
        <w:ind w:left="1969" w:hanging="428"/>
      </w:pPr>
      <w:rPr>
        <w:rFonts w:hint="default"/>
        <w:lang w:val="en-US" w:eastAsia="zh-CN" w:bidi="ar-SA"/>
      </w:rPr>
    </w:lvl>
    <w:lvl w:ilvl="7">
      <w:start w:val="0"/>
      <w:numFmt w:val="bullet"/>
      <w:lvlText w:val="•"/>
      <w:lvlJc w:val="left"/>
      <w:pPr>
        <w:ind w:left="2174" w:hanging="428"/>
      </w:pPr>
      <w:rPr>
        <w:rFonts w:hint="default"/>
        <w:lang w:val="en-US" w:eastAsia="zh-CN" w:bidi="ar-SA"/>
      </w:rPr>
    </w:lvl>
    <w:lvl w:ilvl="8">
      <w:start w:val="0"/>
      <w:numFmt w:val="bullet"/>
      <w:lvlText w:val="•"/>
      <w:lvlJc w:val="left"/>
      <w:pPr>
        <w:ind w:left="2379" w:hanging="428"/>
      </w:pPr>
      <w:rPr>
        <w:rFonts w:hint="default"/>
        <w:lang w:val="en-US" w:eastAsia="zh-CN" w:bidi="ar-SA"/>
      </w:rPr>
    </w:lvl>
  </w:abstractNum>
  <w:abstractNum w:abstractNumId="61">
    <w:multiLevelType w:val="hybridMultilevel"/>
    <w:lvl w:ilvl="0">
      <w:start w:val="4"/>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050" w:hanging="428"/>
      </w:pPr>
      <w:rPr>
        <w:rFonts w:hint="default"/>
        <w:lang w:val="en-US" w:eastAsia="zh-CN" w:bidi="ar-SA"/>
      </w:rPr>
    </w:lvl>
    <w:lvl w:ilvl="2">
      <w:start w:val="0"/>
      <w:numFmt w:val="bullet"/>
      <w:lvlText w:val="•"/>
      <w:lvlJc w:val="left"/>
      <w:pPr>
        <w:ind w:left="1361" w:hanging="428"/>
      </w:pPr>
      <w:rPr>
        <w:rFonts w:hint="default"/>
        <w:lang w:val="en-US" w:eastAsia="zh-CN" w:bidi="ar-SA"/>
      </w:rPr>
    </w:lvl>
    <w:lvl w:ilvl="3">
      <w:start w:val="0"/>
      <w:numFmt w:val="bullet"/>
      <w:lvlText w:val="•"/>
      <w:lvlJc w:val="left"/>
      <w:pPr>
        <w:ind w:left="1671" w:hanging="428"/>
      </w:pPr>
      <w:rPr>
        <w:rFonts w:hint="default"/>
        <w:lang w:val="en-US" w:eastAsia="zh-CN" w:bidi="ar-SA"/>
      </w:rPr>
    </w:lvl>
    <w:lvl w:ilvl="4">
      <w:start w:val="0"/>
      <w:numFmt w:val="bullet"/>
      <w:lvlText w:val="•"/>
      <w:lvlJc w:val="left"/>
      <w:pPr>
        <w:ind w:left="1982" w:hanging="428"/>
      </w:pPr>
      <w:rPr>
        <w:rFonts w:hint="default"/>
        <w:lang w:val="en-US" w:eastAsia="zh-CN" w:bidi="ar-SA"/>
      </w:rPr>
    </w:lvl>
    <w:lvl w:ilvl="5">
      <w:start w:val="0"/>
      <w:numFmt w:val="bullet"/>
      <w:lvlText w:val="•"/>
      <w:lvlJc w:val="left"/>
      <w:pPr>
        <w:ind w:left="2292" w:hanging="428"/>
      </w:pPr>
      <w:rPr>
        <w:rFonts w:hint="default"/>
        <w:lang w:val="en-US" w:eastAsia="zh-CN" w:bidi="ar-SA"/>
      </w:rPr>
    </w:lvl>
    <w:lvl w:ilvl="6">
      <w:start w:val="0"/>
      <w:numFmt w:val="bullet"/>
      <w:lvlText w:val="•"/>
      <w:lvlJc w:val="left"/>
      <w:pPr>
        <w:ind w:left="2603" w:hanging="428"/>
      </w:pPr>
      <w:rPr>
        <w:rFonts w:hint="default"/>
        <w:lang w:val="en-US" w:eastAsia="zh-CN" w:bidi="ar-SA"/>
      </w:rPr>
    </w:lvl>
    <w:lvl w:ilvl="7">
      <w:start w:val="0"/>
      <w:numFmt w:val="bullet"/>
      <w:lvlText w:val="•"/>
      <w:lvlJc w:val="left"/>
      <w:pPr>
        <w:ind w:left="2914" w:hanging="428"/>
      </w:pPr>
      <w:rPr>
        <w:rFonts w:hint="default"/>
        <w:lang w:val="en-US" w:eastAsia="zh-CN" w:bidi="ar-SA"/>
      </w:rPr>
    </w:lvl>
    <w:lvl w:ilvl="8">
      <w:start w:val="0"/>
      <w:numFmt w:val="bullet"/>
      <w:lvlText w:val="•"/>
      <w:lvlJc w:val="left"/>
      <w:pPr>
        <w:ind w:left="3224" w:hanging="428"/>
      </w:pPr>
      <w:rPr>
        <w:rFonts w:hint="default"/>
        <w:lang w:val="en-US" w:eastAsia="zh-CN" w:bidi="ar-SA"/>
      </w:rPr>
    </w:lvl>
  </w:abstractNum>
  <w:abstractNum w:abstractNumId="60">
    <w:multiLevelType w:val="hybridMultilevel"/>
    <w:lvl w:ilvl="0">
      <w:start w:val="1"/>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8"/>
      </w:pPr>
      <w:rPr>
        <w:rFonts w:hint="default"/>
        <w:lang w:val="en-US" w:eastAsia="zh-CN" w:bidi="ar-SA"/>
      </w:rPr>
    </w:lvl>
    <w:lvl w:ilvl="2">
      <w:start w:val="0"/>
      <w:numFmt w:val="bullet"/>
      <w:lvlText w:val="•"/>
      <w:lvlJc w:val="left"/>
      <w:pPr>
        <w:ind w:left="2677" w:hanging="428"/>
      </w:pPr>
      <w:rPr>
        <w:rFonts w:hint="default"/>
        <w:lang w:val="en-US" w:eastAsia="zh-CN" w:bidi="ar-SA"/>
      </w:rPr>
    </w:lvl>
    <w:lvl w:ilvl="3">
      <w:start w:val="0"/>
      <w:numFmt w:val="bullet"/>
      <w:lvlText w:val="•"/>
      <w:lvlJc w:val="left"/>
      <w:pPr>
        <w:ind w:left="3645" w:hanging="428"/>
      </w:pPr>
      <w:rPr>
        <w:rFonts w:hint="default"/>
        <w:lang w:val="en-US" w:eastAsia="zh-CN" w:bidi="ar-SA"/>
      </w:rPr>
    </w:lvl>
    <w:lvl w:ilvl="4">
      <w:start w:val="0"/>
      <w:numFmt w:val="bullet"/>
      <w:lvlText w:val="•"/>
      <w:lvlJc w:val="left"/>
      <w:pPr>
        <w:ind w:left="4614" w:hanging="428"/>
      </w:pPr>
      <w:rPr>
        <w:rFonts w:hint="default"/>
        <w:lang w:val="en-US" w:eastAsia="zh-CN" w:bidi="ar-SA"/>
      </w:rPr>
    </w:lvl>
    <w:lvl w:ilvl="5">
      <w:start w:val="0"/>
      <w:numFmt w:val="bullet"/>
      <w:lvlText w:val="•"/>
      <w:lvlJc w:val="left"/>
      <w:pPr>
        <w:ind w:left="5583" w:hanging="428"/>
      </w:pPr>
      <w:rPr>
        <w:rFonts w:hint="default"/>
        <w:lang w:val="en-US" w:eastAsia="zh-CN" w:bidi="ar-SA"/>
      </w:rPr>
    </w:lvl>
    <w:lvl w:ilvl="6">
      <w:start w:val="0"/>
      <w:numFmt w:val="bullet"/>
      <w:lvlText w:val="•"/>
      <w:lvlJc w:val="left"/>
      <w:pPr>
        <w:ind w:left="6551" w:hanging="428"/>
      </w:pPr>
      <w:rPr>
        <w:rFonts w:hint="default"/>
        <w:lang w:val="en-US" w:eastAsia="zh-CN" w:bidi="ar-SA"/>
      </w:rPr>
    </w:lvl>
    <w:lvl w:ilvl="7">
      <w:start w:val="0"/>
      <w:numFmt w:val="bullet"/>
      <w:lvlText w:val="•"/>
      <w:lvlJc w:val="left"/>
      <w:pPr>
        <w:ind w:left="7520" w:hanging="428"/>
      </w:pPr>
      <w:rPr>
        <w:rFonts w:hint="default"/>
        <w:lang w:val="en-US" w:eastAsia="zh-CN" w:bidi="ar-SA"/>
      </w:rPr>
    </w:lvl>
    <w:lvl w:ilvl="8">
      <w:start w:val="0"/>
      <w:numFmt w:val="bullet"/>
      <w:lvlText w:val="•"/>
      <w:lvlJc w:val="left"/>
      <w:pPr>
        <w:ind w:left="8489" w:hanging="428"/>
      </w:pPr>
      <w:rPr>
        <w:rFonts w:hint="default"/>
        <w:lang w:val="en-US" w:eastAsia="zh-CN" w:bidi="ar-SA"/>
      </w:rPr>
    </w:lvl>
  </w:abstractNum>
  <w:abstractNum w:abstractNumId="59">
    <w:multiLevelType w:val="hybridMultilevel"/>
    <w:lvl w:ilvl="0">
      <w:start w:val="2"/>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986" w:hanging="428"/>
      </w:pPr>
      <w:rPr>
        <w:rFonts w:hint="default"/>
        <w:lang w:val="en-US" w:eastAsia="zh-CN" w:bidi="ar-SA"/>
      </w:rPr>
    </w:lvl>
    <w:lvl w:ilvl="2">
      <w:start w:val="0"/>
      <w:numFmt w:val="bullet"/>
      <w:lvlText w:val="•"/>
      <w:lvlJc w:val="left"/>
      <w:pPr>
        <w:ind w:left="1233" w:hanging="428"/>
      </w:pPr>
      <w:rPr>
        <w:rFonts w:hint="default"/>
        <w:lang w:val="en-US" w:eastAsia="zh-CN" w:bidi="ar-SA"/>
      </w:rPr>
    </w:lvl>
    <w:lvl w:ilvl="3">
      <w:start w:val="0"/>
      <w:numFmt w:val="bullet"/>
      <w:lvlText w:val="•"/>
      <w:lvlJc w:val="left"/>
      <w:pPr>
        <w:ind w:left="1480" w:hanging="428"/>
      </w:pPr>
      <w:rPr>
        <w:rFonts w:hint="default"/>
        <w:lang w:val="en-US" w:eastAsia="zh-CN" w:bidi="ar-SA"/>
      </w:rPr>
    </w:lvl>
    <w:lvl w:ilvl="4">
      <w:start w:val="0"/>
      <w:numFmt w:val="bullet"/>
      <w:lvlText w:val="•"/>
      <w:lvlJc w:val="left"/>
      <w:pPr>
        <w:ind w:left="1727" w:hanging="428"/>
      </w:pPr>
      <w:rPr>
        <w:rFonts w:hint="default"/>
        <w:lang w:val="en-US" w:eastAsia="zh-CN" w:bidi="ar-SA"/>
      </w:rPr>
    </w:lvl>
    <w:lvl w:ilvl="5">
      <w:start w:val="0"/>
      <w:numFmt w:val="bullet"/>
      <w:lvlText w:val="•"/>
      <w:lvlJc w:val="left"/>
      <w:pPr>
        <w:ind w:left="1974" w:hanging="428"/>
      </w:pPr>
      <w:rPr>
        <w:rFonts w:hint="default"/>
        <w:lang w:val="en-US" w:eastAsia="zh-CN" w:bidi="ar-SA"/>
      </w:rPr>
    </w:lvl>
    <w:lvl w:ilvl="6">
      <w:start w:val="0"/>
      <w:numFmt w:val="bullet"/>
      <w:lvlText w:val="•"/>
      <w:lvlJc w:val="left"/>
      <w:pPr>
        <w:ind w:left="2221" w:hanging="428"/>
      </w:pPr>
      <w:rPr>
        <w:rFonts w:hint="default"/>
        <w:lang w:val="en-US" w:eastAsia="zh-CN" w:bidi="ar-SA"/>
      </w:rPr>
    </w:lvl>
    <w:lvl w:ilvl="7">
      <w:start w:val="0"/>
      <w:numFmt w:val="bullet"/>
      <w:lvlText w:val="•"/>
      <w:lvlJc w:val="left"/>
      <w:pPr>
        <w:ind w:left="2468" w:hanging="428"/>
      </w:pPr>
      <w:rPr>
        <w:rFonts w:hint="default"/>
        <w:lang w:val="en-US" w:eastAsia="zh-CN" w:bidi="ar-SA"/>
      </w:rPr>
    </w:lvl>
    <w:lvl w:ilvl="8">
      <w:start w:val="0"/>
      <w:numFmt w:val="bullet"/>
      <w:lvlText w:val="•"/>
      <w:lvlJc w:val="left"/>
      <w:pPr>
        <w:ind w:left="2715" w:hanging="428"/>
      </w:pPr>
      <w:rPr>
        <w:rFonts w:hint="default"/>
        <w:lang w:val="en-US" w:eastAsia="zh-CN" w:bidi="ar-SA"/>
      </w:rPr>
    </w:lvl>
  </w:abstractNum>
  <w:abstractNum w:abstractNumId="58">
    <w:multiLevelType w:val="hybridMultilevel"/>
    <w:lvl w:ilvl="0">
      <w:start w:val="1"/>
      <w:numFmt w:val="decimal"/>
      <w:lvlText w:val="(%1)."/>
      <w:lvlJc w:val="left"/>
      <w:pPr>
        <w:ind w:left="741"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4"/>
      </w:pPr>
      <w:rPr>
        <w:rFonts w:hint="default"/>
        <w:lang w:val="en-US" w:eastAsia="zh-CN" w:bidi="ar-SA"/>
      </w:rPr>
    </w:lvl>
    <w:lvl w:ilvl="2">
      <w:start w:val="0"/>
      <w:numFmt w:val="bullet"/>
      <w:lvlText w:val="•"/>
      <w:lvlJc w:val="left"/>
      <w:pPr>
        <w:ind w:left="2677" w:hanging="424"/>
      </w:pPr>
      <w:rPr>
        <w:rFonts w:hint="default"/>
        <w:lang w:val="en-US" w:eastAsia="zh-CN" w:bidi="ar-SA"/>
      </w:rPr>
    </w:lvl>
    <w:lvl w:ilvl="3">
      <w:start w:val="0"/>
      <w:numFmt w:val="bullet"/>
      <w:lvlText w:val="•"/>
      <w:lvlJc w:val="left"/>
      <w:pPr>
        <w:ind w:left="3645" w:hanging="424"/>
      </w:pPr>
      <w:rPr>
        <w:rFonts w:hint="default"/>
        <w:lang w:val="en-US" w:eastAsia="zh-CN" w:bidi="ar-SA"/>
      </w:rPr>
    </w:lvl>
    <w:lvl w:ilvl="4">
      <w:start w:val="0"/>
      <w:numFmt w:val="bullet"/>
      <w:lvlText w:val="•"/>
      <w:lvlJc w:val="left"/>
      <w:pPr>
        <w:ind w:left="4614" w:hanging="424"/>
      </w:pPr>
      <w:rPr>
        <w:rFonts w:hint="default"/>
        <w:lang w:val="en-US" w:eastAsia="zh-CN" w:bidi="ar-SA"/>
      </w:rPr>
    </w:lvl>
    <w:lvl w:ilvl="5">
      <w:start w:val="0"/>
      <w:numFmt w:val="bullet"/>
      <w:lvlText w:val="•"/>
      <w:lvlJc w:val="left"/>
      <w:pPr>
        <w:ind w:left="5583" w:hanging="424"/>
      </w:pPr>
      <w:rPr>
        <w:rFonts w:hint="default"/>
        <w:lang w:val="en-US" w:eastAsia="zh-CN" w:bidi="ar-SA"/>
      </w:rPr>
    </w:lvl>
    <w:lvl w:ilvl="6">
      <w:start w:val="0"/>
      <w:numFmt w:val="bullet"/>
      <w:lvlText w:val="•"/>
      <w:lvlJc w:val="left"/>
      <w:pPr>
        <w:ind w:left="6551" w:hanging="424"/>
      </w:pPr>
      <w:rPr>
        <w:rFonts w:hint="default"/>
        <w:lang w:val="en-US" w:eastAsia="zh-CN" w:bidi="ar-SA"/>
      </w:rPr>
    </w:lvl>
    <w:lvl w:ilvl="7">
      <w:start w:val="0"/>
      <w:numFmt w:val="bullet"/>
      <w:lvlText w:val="•"/>
      <w:lvlJc w:val="left"/>
      <w:pPr>
        <w:ind w:left="7520" w:hanging="424"/>
      </w:pPr>
      <w:rPr>
        <w:rFonts w:hint="default"/>
        <w:lang w:val="en-US" w:eastAsia="zh-CN" w:bidi="ar-SA"/>
      </w:rPr>
    </w:lvl>
    <w:lvl w:ilvl="8">
      <w:start w:val="0"/>
      <w:numFmt w:val="bullet"/>
      <w:lvlText w:val="•"/>
      <w:lvlJc w:val="left"/>
      <w:pPr>
        <w:ind w:left="8489" w:hanging="424"/>
      </w:pPr>
      <w:rPr>
        <w:rFonts w:hint="default"/>
        <w:lang w:val="en-US" w:eastAsia="zh-CN" w:bidi="ar-SA"/>
      </w:rPr>
    </w:lvl>
  </w:abstractNum>
  <w:abstractNum w:abstractNumId="57">
    <w:multiLevelType w:val="hybridMultilevel"/>
    <w:lvl w:ilvl="0">
      <w:start w:val="1"/>
      <w:numFmt w:val="decimal"/>
      <w:lvlText w:val="(%1)"/>
      <w:lvlJc w:val="left"/>
      <w:pPr>
        <w:ind w:left="318"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330" w:hanging="318"/>
      </w:pPr>
      <w:rPr>
        <w:rFonts w:hint="default"/>
        <w:lang w:val="en-US" w:eastAsia="zh-CN" w:bidi="ar-SA"/>
      </w:rPr>
    </w:lvl>
    <w:lvl w:ilvl="2">
      <w:start w:val="0"/>
      <w:numFmt w:val="bullet"/>
      <w:lvlText w:val="•"/>
      <w:lvlJc w:val="left"/>
      <w:pPr>
        <w:ind w:left="2341" w:hanging="318"/>
      </w:pPr>
      <w:rPr>
        <w:rFonts w:hint="default"/>
        <w:lang w:val="en-US" w:eastAsia="zh-CN" w:bidi="ar-SA"/>
      </w:rPr>
    </w:lvl>
    <w:lvl w:ilvl="3">
      <w:start w:val="0"/>
      <w:numFmt w:val="bullet"/>
      <w:lvlText w:val="•"/>
      <w:lvlJc w:val="left"/>
      <w:pPr>
        <w:ind w:left="3351" w:hanging="318"/>
      </w:pPr>
      <w:rPr>
        <w:rFonts w:hint="default"/>
        <w:lang w:val="en-US" w:eastAsia="zh-CN" w:bidi="ar-SA"/>
      </w:rPr>
    </w:lvl>
    <w:lvl w:ilvl="4">
      <w:start w:val="0"/>
      <w:numFmt w:val="bullet"/>
      <w:lvlText w:val="•"/>
      <w:lvlJc w:val="left"/>
      <w:pPr>
        <w:ind w:left="4362" w:hanging="318"/>
      </w:pPr>
      <w:rPr>
        <w:rFonts w:hint="default"/>
        <w:lang w:val="en-US" w:eastAsia="zh-CN" w:bidi="ar-SA"/>
      </w:rPr>
    </w:lvl>
    <w:lvl w:ilvl="5">
      <w:start w:val="0"/>
      <w:numFmt w:val="bullet"/>
      <w:lvlText w:val="•"/>
      <w:lvlJc w:val="left"/>
      <w:pPr>
        <w:ind w:left="5373" w:hanging="318"/>
      </w:pPr>
      <w:rPr>
        <w:rFonts w:hint="default"/>
        <w:lang w:val="en-US" w:eastAsia="zh-CN" w:bidi="ar-SA"/>
      </w:rPr>
    </w:lvl>
    <w:lvl w:ilvl="6">
      <w:start w:val="0"/>
      <w:numFmt w:val="bullet"/>
      <w:lvlText w:val="•"/>
      <w:lvlJc w:val="left"/>
      <w:pPr>
        <w:ind w:left="6383" w:hanging="318"/>
      </w:pPr>
      <w:rPr>
        <w:rFonts w:hint="default"/>
        <w:lang w:val="en-US" w:eastAsia="zh-CN" w:bidi="ar-SA"/>
      </w:rPr>
    </w:lvl>
    <w:lvl w:ilvl="7">
      <w:start w:val="0"/>
      <w:numFmt w:val="bullet"/>
      <w:lvlText w:val="•"/>
      <w:lvlJc w:val="left"/>
      <w:pPr>
        <w:ind w:left="7394" w:hanging="318"/>
      </w:pPr>
      <w:rPr>
        <w:rFonts w:hint="default"/>
        <w:lang w:val="en-US" w:eastAsia="zh-CN" w:bidi="ar-SA"/>
      </w:rPr>
    </w:lvl>
    <w:lvl w:ilvl="8">
      <w:start w:val="0"/>
      <w:numFmt w:val="bullet"/>
      <w:lvlText w:val="•"/>
      <w:lvlJc w:val="left"/>
      <w:pPr>
        <w:ind w:left="8405" w:hanging="318"/>
      </w:pPr>
      <w:rPr>
        <w:rFonts w:hint="default"/>
        <w:lang w:val="en-US" w:eastAsia="zh-CN" w:bidi="ar-SA"/>
      </w:rPr>
    </w:lvl>
  </w:abstractNum>
  <w:abstractNum w:abstractNumId="56">
    <w:multiLevelType w:val="hybridMultilevel"/>
    <w:lvl w:ilvl="0">
      <w:start w:val="1"/>
      <w:numFmt w:val="lowerLetter"/>
      <w:lvlText w:val="(%1)"/>
      <w:lvlJc w:val="left"/>
      <w:pPr>
        <w:ind w:left="318"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330" w:hanging="318"/>
      </w:pPr>
      <w:rPr>
        <w:rFonts w:hint="default"/>
        <w:lang w:val="en-US" w:eastAsia="zh-CN" w:bidi="ar-SA"/>
      </w:rPr>
    </w:lvl>
    <w:lvl w:ilvl="2">
      <w:start w:val="0"/>
      <w:numFmt w:val="bullet"/>
      <w:lvlText w:val="•"/>
      <w:lvlJc w:val="left"/>
      <w:pPr>
        <w:ind w:left="2341" w:hanging="318"/>
      </w:pPr>
      <w:rPr>
        <w:rFonts w:hint="default"/>
        <w:lang w:val="en-US" w:eastAsia="zh-CN" w:bidi="ar-SA"/>
      </w:rPr>
    </w:lvl>
    <w:lvl w:ilvl="3">
      <w:start w:val="0"/>
      <w:numFmt w:val="bullet"/>
      <w:lvlText w:val="•"/>
      <w:lvlJc w:val="left"/>
      <w:pPr>
        <w:ind w:left="3351" w:hanging="318"/>
      </w:pPr>
      <w:rPr>
        <w:rFonts w:hint="default"/>
        <w:lang w:val="en-US" w:eastAsia="zh-CN" w:bidi="ar-SA"/>
      </w:rPr>
    </w:lvl>
    <w:lvl w:ilvl="4">
      <w:start w:val="0"/>
      <w:numFmt w:val="bullet"/>
      <w:lvlText w:val="•"/>
      <w:lvlJc w:val="left"/>
      <w:pPr>
        <w:ind w:left="4362" w:hanging="318"/>
      </w:pPr>
      <w:rPr>
        <w:rFonts w:hint="default"/>
        <w:lang w:val="en-US" w:eastAsia="zh-CN" w:bidi="ar-SA"/>
      </w:rPr>
    </w:lvl>
    <w:lvl w:ilvl="5">
      <w:start w:val="0"/>
      <w:numFmt w:val="bullet"/>
      <w:lvlText w:val="•"/>
      <w:lvlJc w:val="left"/>
      <w:pPr>
        <w:ind w:left="5373" w:hanging="318"/>
      </w:pPr>
      <w:rPr>
        <w:rFonts w:hint="default"/>
        <w:lang w:val="en-US" w:eastAsia="zh-CN" w:bidi="ar-SA"/>
      </w:rPr>
    </w:lvl>
    <w:lvl w:ilvl="6">
      <w:start w:val="0"/>
      <w:numFmt w:val="bullet"/>
      <w:lvlText w:val="•"/>
      <w:lvlJc w:val="left"/>
      <w:pPr>
        <w:ind w:left="6383" w:hanging="318"/>
      </w:pPr>
      <w:rPr>
        <w:rFonts w:hint="default"/>
        <w:lang w:val="en-US" w:eastAsia="zh-CN" w:bidi="ar-SA"/>
      </w:rPr>
    </w:lvl>
    <w:lvl w:ilvl="7">
      <w:start w:val="0"/>
      <w:numFmt w:val="bullet"/>
      <w:lvlText w:val="•"/>
      <w:lvlJc w:val="left"/>
      <w:pPr>
        <w:ind w:left="7394" w:hanging="318"/>
      </w:pPr>
      <w:rPr>
        <w:rFonts w:hint="default"/>
        <w:lang w:val="en-US" w:eastAsia="zh-CN" w:bidi="ar-SA"/>
      </w:rPr>
    </w:lvl>
    <w:lvl w:ilvl="8">
      <w:start w:val="0"/>
      <w:numFmt w:val="bullet"/>
      <w:lvlText w:val="•"/>
      <w:lvlJc w:val="left"/>
      <w:pPr>
        <w:ind w:left="8405" w:hanging="318"/>
      </w:pPr>
      <w:rPr>
        <w:rFonts w:hint="default"/>
        <w:lang w:val="en-US" w:eastAsia="zh-CN" w:bidi="ar-SA"/>
      </w:rPr>
    </w:lvl>
  </w:abstractNum>
  <w:abstractNum w:abstractNumId="55">
    <w:multiLevelType w:val="hybridMultilevel"/>
    <w:lvl w:ilvl="0">
      <w:start w:val="1"/>
      <w:numFmt w:val="decimal"/>
      <w:lvlText w:val="%1."/>
      <w:lvlJc w:val="left"/>
      <w:pPr>
        <w:ind w:left="318" w:hanging="425"/>
        <w:jc w:val="left"/>
      </w:pPr>
      <w:rPr>
        <w:rFonts w:hint="default" w:ascii="SimSun" w:hAnsi="SimSun" w:eastAsia="SimSun" w:cs="SimSun"/>
        <w:w w:val="100"/>
        <w:sz w:val="21"/>
        <w:szCs w:val="21"/>
        <w:lang w:val="en-US" w:eastAsia="zh-CN" w:bidi="ar-SA"/>
      </w:rPr>
    </w:lvl>
    <w:lvl w:ilvl="1">
      <w:start w:val="0"/>
      <w:numFmt w:val="bullet"/>
      <w:lvlText w:val="•"/>
      <w:lvlJc w:val="left"/>
      <w:pPr>
        <w:ind w:left="1330" w:hanging="425"/>
      </w:pPr>
      <w:rPr>
        <w:rFonts w:hint="default"/>
        <w:lang w:val="en-US" w:eastAsia="zh-CN" w:bidi="ar-SA"/>
      </w:rPr>
    </w:lvl>
    <w:lvl w:ilvl="2">
      <w:start w:val="0"/>
      <w:numFmt w:val="bullet"/>
      <w:lvlText w:val="•"/>
      <w:lvlJc w:val="left"/>
      <w:pPr>
        <w:ind w:left="2341" w:hanging="425"/>
      </w:pPr>
      <w:rPr>
        <w:rFonts w:hint="default"/>
        <w:lang w:val="en-US" w:eastAsia="zh-CN" w:bidi="ar-SA"/>
      </w:rPr>
    </w:lvl>
    <w:lvl w:ilvl="3">
      <w:start w:val="0"/>
      <w:numFmt w:val="bullet"/>
      <w:lvlText w:val="•"/>
      <w:lvlJc w:val="left"/>
      <w:pPr>
        <w:ind w:left="3351" w:hanging="425"/>
      </w:pPr>
      <w:rPr>
        <w:rFonts w:hint="default"/>
        <w:lang w:val="en-US" w:eastAsia="zh-CN" w:bidi="ar-SA"/>
      </w:rPr>
    </w:lvl>
    <w:lvl w:ilvl="4">
      <w:start w:val="0"/>
      <w:numFmt w:val="bullet"/>
      <w:lvlText w:val="•"/>
      <w:lvlJc w:val="left"/>
      <w:pPr>
        <w:ind w:left="4362" w:hanging="425"/>
      </w:pPr>
      <w:rPr>
        <w:rFonts w:hint="default"/>
        <w:lang w:val="en-US" w:eastAsia="zh-CN" w:bidi="ar-SA"/>
      </w:rPr>
    </w:lvl>
    <w:lvl w:ilvl="5">
      <w:start w:val="0"/>
      <w:numFmt w:val="bullet"/>
      <w:lvlText w:val="•"/>
      <w:lvlJc w:val="left"/>
      <w:pPr>
        <w:ind w:left="5373" w:hanging="425"/>
      </w:pPr>
      <w:rPr>
        <w:rFonts w:hint="default"/>
        <w:lang w:val="en-US" w:eastAsia="zh-CN" w:bidi="ar-SA"/>
      </w:rPr>
    </w:lvl>
    <w:lvl w:ilvl="6">
      <w:start w:val="0"/>
      <w:numFmt w:val="bullet"/>
      <w:lvlText w:val="•"/>
      <w:lvlJc w:val="left"/>
      <w:pPr>
        <w:ind w:left="6383" w:hanging="425"/>
      </w:pPr>
      <w:rPr>
        <w:rFonts w:hint="default"/>
        <w:lang w:val="en-US" w:eastAsia="zh-CN" w:bidi="ar-SA"/>
      </w:rPr>
    </w:lvl>
    <w:lvl w:ilvl="7">
      <w:start w:val="0"/>
      <w:numFmt w:val="bullet"/>
      <w:lvlText w:val="•"/>
      <w:lvlJc w:val="left"/>
      <w:pPr>
        <w:ind w:left="7394" w:hanging="425"/>
      </w:pPr>
      <w:rPr>
        <w:rFonts w:hint="default"/>
        <w:lang w:val="en-US" w:eastAsia="zh-CN" w:bidi="ar-SA"/>
      </w:rPr>
    </w:lvl>
    <w:lvl w:ilvl="8">
      <w:start w:val="0"/>
      <w:numFmt w:val="bullet"/>
      <w:lvlText w:val="•"/>
      <w:lvlJc w:val="left"/>
      <w:pPr>
        <w:ind w:left="8405" w:hanging="425"/>
      </w:pPr>
      <w:rPr>
        <w:rFonts w:hint="default"/>
        <w:lang w:val="en-US" w:eastAsia="zh-CN" w:bidi="ar-SA"/>
      </w:rPr>
    </w:lvl>
  </w:abstractNum>
  <w:abstractNum w:abstractNumId="54">
    <w:multiLevelType w:val="hybridMultilevel"/>
    <w:lvl w:ilvl="0">
      <w:start w:val="1"/>
      <w:numFmt w:val="lowerRoman"/>
      <w:lvlText w:val="(%1)"/>
      <w:lvlJc w:val="left"/>
      <w:pPr>
        <w:ind w:left="635"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618" w:hanging="318"/>
      </w:pPr>
      <w:rPr>
        <w:rFonts w:hint="default"/>
        <w:lang w:val="en-US" w:eastAsia="zh-CN" w:bidi="ar-SA"/>
      </w:rPr>
    </w:lvl>
    <w:lvl w:ilvl="2">
      <w:start w:val="0"/>
      <w:numFmt w:val="bullet"/>
      <w:lvlText w:val="•"/>
      <w:lvlJc w:val="left"/>
      <w:pPr>
        <w:ind w:left="2597" w:hanging="318"/>
      </w:pPr>
      <w:rPr>
        <w:rFonts w:hint="default"/>
        <w:lang w:val="en-US" w:eastAsia="zh-CN" w:bidi="ar-SA"/>
      </w:rPr>
    </w:lvl>
    <w:lvl w:ilvl="3">
      <w:start w:val="0"/>
      <w:numFmt w:val="bullet"/>
      <w:lvlText w:val="•"/>
      <w:lvlJc w:val="left"/>
      <w:pPr>
        <w:ind w:left="3575" w:hanging="318"/>
      </w:pPr>
      <w:rPr>
        <w:rFonts w:hint="default"/>
        <w:lang w:val="en-US" w:eastAsia="zh-CN" w:bidi="ar-SA"/>
      </w:rPr>
    </w:lvl>
    <w:lvl w:ilvl="4">
      <w:start w:val="0"/>
      <w:numFmt w:val="bullet"/>
      <w:lvlText w:val="•"/>
      <w:lvlJc w:val="left"/>
      <w:pPr>
        <w:ind w:left="4554" w:hanging="318"/>
      </w:pPr>
      <w:rPr>
        <w:rFonts w:hint="default"/>
        <w:lang w:val="en-US" w:eastAsia="zh-CN" w:bidi="ar-SA"/>
      </w:rPr>
    </w:lvl>
    <w:lvl w:ilvl="5">
      <w:start w:val="0"/>
      <w:numFmt w:val="bullet"/>
      <w:lvlText w:val="•"/>
      <w:lvlJc w:val="left"/>
      <w:pPr>
        <w:ind w:left="5533" w:hanging="318"/>
      </w:pPr>
      <w:rPr>
        <w:rFonts w:hint="default"/>
        <w:lang w:val="en-US" w:eastAsia="zh-CN" w:bidi="ar-SA"/>
      </w:rPr>
    </w:lvl>
    <w:lvl w:ilvl="6">
      <w:start w:val="0"/>
      <w:numFmt w:val="bullet"/>
      <w:lvlText w:val="•"/>
      <w:lvlJc w:val="left"/>
      <w:pPr>
        <w:ind w:left="6511" w:hanging="318"/>
      </w:pPr>
      <w:rPr>
        <w:rFonts w:hint="default"/>
        <w:lang w:val="en-US" w:eastAsia="zh-CN" w:bidi="ar-SA"/>
      </w:rPr>
    </w:lvl>
    <w:lvl w:ilvl="7">
      <w:start w:val="0"/>
      <w:numFmt w:val="bullet"/>
      <w:lvlText w:val="•"/>
      <w:lvlJc w:val="left"/>
      <w:pPr>
        <w:ind w:left="7490" w:hanging="318"/>
      </w:pPr>
      <w:rPr>
        <w:rFonts w:hint="default"/>
        <w:lang w:val="en-US" w:eastAsia="zh-CN" w:bidi="ar-SA"/>
      </w:rPr>
    </w:lvl>
    <w:lvl w:ilvl="8">
      <w:start w:val="0"/>
      <w:numFmt w:val="bullet"/>
      <w:lvlText w:val="•"/>
      <w:lvlJc w:val="left"/>
      <w:pPr>
        <w:ind w:left="8469" w:hanging="318"/>
      </w:pPr>
      <w:rPr>
        <w:rFonts w:hint="default"/>
        <w:lang w:val="en-US" w:eastAsia="zh-CN" w:bidi="ar-SA"/>
      </w:rPr>
    </w:lvl>
  </w:abstractNum>
  <w:abstractNum w:abstractNumId="53">
    <w:multiLevelType w:val="hybridMultilevel"/>
    <w:lvl w:ilvl="0">
      <w:start w:val="1"/>
      <w:numFmt w:val="lowerRoman"/>
      <w:lvlText w:val="(%1)"/>
      <w:lvlJc w:val="left"/>
      <w:pPr>
        <w:ind w:left="635"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618" w:hanging="318"/>
      </w:pPr>
      <w:rPr>
        <w:rFonts w:hint="default"/>
        <w:lang w:val="en-US" w:eastAsia="zh-CN" w:bidi="ar-SA"/>
      </w:rPr>
    </w:lvl>
    <w:lvl w:ilvl="2">
      <w:start w:val="0"/>
      <w:numFmt w:val="bullet"/>
      <w:lvlText w:val="•"/>
      <w:lvlJc w:val="left"/>
      <w:pPr>
        <w:ind w:left="2597" w:hanging="318"/>
      </w:pPr>
      <w:rPr>
        <w:rFonts w:hint="default"/>
        <w:lang w:val="en-US" w:eastAsia="zh-CN" w:bidi="ar-SA"/>
      </w:rPr>
    </w:lvl>
    <w:lvl w:ilvl="3">
      <w:start w:val="0"/>
      <w:numFmt w:val="bullet"/>
      <w:lvlText w:val="•"/>
      <w:lvlJc w:val="left"/>
      <w:pPr>
        <w:ind w:left="3575" w:hanging="318"/>
      </w:pPr>
      <w:rPr>
        <w:rFonts w:hint="default"/>
        <w:lang w:val="en-US" w:eastAsia="zh-CN" w:bidi="ar-SA"/>
      </w:rPr>
    </w:lvl>
    <w:lvl w:ilvl="4">
      <w:start w:val="0"/>
      <w:numFmt w:val="bullet"/>
      <w:lvlText w:val="•"/>
      <w:lvlJc w:val="left"/>
      <w:pPr>
        <w:ind w:left="4554" w:hanging="318"/>
      </w:pPr>
      <w:rPr>
        <w:rFonts w:hint="default"/>
        <w:lang w:val="en-US" w:eastAsia="zh-CN" w:bidi="ar-SA"/>
      </w:rPr>
    </w:lvl>
    <w:lvl w:ilvl="5">
      <w:start w:val="0"/>
      <w:numFmt w:val="bullet"/>
      <w:lvlText w:val="•"/>
      <w:lvlJc w:val="left"/>
      <w:pPr>
        <w:ind w:left="5533" w:hanging="318"/>
      </w:pPr>
      <w:rPr>
        <w:rFonts w:hint="default"/>
        <w:lang w:val="en-US" w:eastAsia="zh-CN" w:bidi="ar-SA"/>
      </w:rPr>
    </w:lvl>
    <w:lvl w:ilvl="6">
      <w:start w:val="0"/>
      <w:numFmt w:val="bullet"/>
      <w:lvlText w:val="•"/>
      <w:lvlJc w:val="left"/>
      <w:pPr>
        <w:ind w:left="6511" w:hanging="318"/>
      </w:pPr>
      <w:rPr>
        <w:rFonts w:hint="default"/>
        <w:lang w:val="en-US" w:eastAsia="zh-CN" w:bidi="ar-SA"/>
      </w:rPr>
    </w:lvl>
    <w:lvl w:ilvl="7">
      <w:start w:val="0"/>
      <w:numFmt w:val="bullet"/>
      <w:lvlText w:val="•"/>
      <w:lvlJc w:val="left"/>
      <w:pPr>
        <w:ind w:left="7490" w:hanging="318"/>
      </w:pPr>
      <w:rPr>
        <w:rFonts w:hint="default"/>
        <w:lang w:val="en-US" w:eastAsia="zh-CN" w:bidi="ar-SA"/>
      </w:rPr>
    </w:lvl>
    <w:lvl w:ilvl="8">
      <w:start w:val="0"/>
      <w:numFmt w:val="bullet"/>
      <w:lvlText w:val="•"/>
      <w:lvlJc w:val="left"/>
      <w:pPr>
        <w:ind w:left="8469" w:hanging="318"/>
      </w:pPr>
      <w:rPr>
        <w:rFonts w:hint="default"/>
        <w:lang w:val="en-US" w:eastAsia="zh-CN" w:bidi="ar-SA"/>
      </w:rPr>
    </w:lvl>
  </w:abstractNum>
  <w:abstractNum w:abstractNumId="52">
    <w:multiLevelType w:val="hybridMultilevel"/>
    <w:lvl w:ilvl="0">
      <w:start w:val="1"/>
      <w:numFmt w:val="lowerLetter"/>
      <w:lvlText w:val="(%1)"/>
      <w:lvlJc w:val="left"/>
      <w:pPr>
        <w:ind w:left="635"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618" w:hanging="318"/>
      </w:pPr>
      <w:rPr>
        <w:rFonts w:hint="default"/>
        <w:lang w:val="en-US" w:eastAsia="zh-CN" w:bidi="ar-SA"/>
      </w:rPr>
    </w:lvl>
    <w:lvl w:ilvl="2">
      <w:start w:val="0"/>
      <w:numFmt w:val="bullet"/>
      <w:lvlText w:val="•"/>
      <w:lvlJc w:val="left"/>
      <w:pPr>
        <w:ind w:left="2597" w:hanging="318"/>
      </w:pPr>
      <w:rPr>
        <w:rFonts w:hint="default"/>
        <w:lang w:val="en-US" w:eastAsia="zh-CN" w:bidi="ar-SA"/>
      </w:rPr>
    </w:lvl>
    <w:lvl w:ilvl="3">
      <w:start w:val="0"/>
      <w:numFmt w:val="bullet"/>
      <w:lvlText w:val="•"/>
      <w:lvlJc w:val="left"/>
      <w:pPr>
        <w:ind w:left="3575" w:hanging="318"/>
      </w:pPr>
      <w:rPr>
        <w:rFonts w:hint="default"/>
        <w:lang w:val="en-US" w:eastAsia="zh-CN" w:bidi="ar-SA"/>
      </w:rPr>
    </w:lvl>
    <w:lvl w:ilvl="4">
      <w:start w:val="0"/>
      <w:numFmt w:val="bullet"/>
      <w:lvlText w:val="•"/>
      <w:lvlJc w:val="left"/>
      <w:pPr>
        <w:ind w:left="4554" w:hanging="318"/>
      </w:pPr>
      <w:rPr>
        <w:rFonts w:hint="default"/>
        <w:lang w:val="en-US" w:eastAsia="zh-CN" w:bidi="ar-SA"/>
      </w:rPr>
    </w:lvl>
    <w:lvl w:ilvl="5">
      <w:start w:val="0"/>
      <w:numFmt w:val="bullet"/>
      <w:lvlText w:val="•"/>
      <w:lvlJc w:val="left"/>
      <w:pPr>
        <w:ind w:left="5533" w:hanging="318"/>
      </w:pPr>
      <w:rPr>
        <w:rFonts w:hint="default"/>
        <w:lang w:val="en-US" w:eastAsia="zh-CN" w:bidi="ar-SA"/>
      </w:rPr>
    </w:lvl>
    <w:lvl w:ilvl="6">
      <w:start w:val="0"/>
      <w:numFmt w:val="bullet"/>
      <w:lvlText w:val="•"/>
      <w:lvlJc w:val="left"/>
      <w:pPr>
        <w:ind w:left="6511" w:hanging="318"/>
      </w:pPr>
      <w:rPr>
        <w:rFonts w:hint="default"/>
        <w:lang w:val="en-US" w:eastAsia="zh-CN" w:bidi="ar-SA"/>
      </w:rPr>
    </w:lvl>
    <w:lvl w:ilvl="7">
      <w:start w:val="0"/>
      <w:numFmt w:val="bullet"/>
      <w:lvlText w:val="•"/>
      <w:lvlJc w:val="left"/>
      <w:pPr>
        <w:ind w:left="7490" w:hanging="318"/>
      </w:pPr>
      <w:rPr>
        <w:rFonts w:hint="default"/>
        <w:lang w:val="en-US" w:eastAsia="zh-CN" w:bidi="ar-SA"/>
      </w:rPr>
    </w:lvl>
    <w:lvl w:ilvl="8">
      <w:start w:val="0"/>
      <w:numFmt w:val="bullet"/>
      <w:lvlText w:val="•"/>
      <w:lvlJc w:val="left"/>
      <w:pPr>
        <w:ind w:left="8469" w:hanging="318"/>
      </w:pPr>
      <w:rPr>
        <w:rFonts w:hint="default"/>
        <w:lang w:val="en-US" w:eastAsia="zh-CN" w:bidi="ar-SA"/>
      </w:rPr>
    </w:lvl>
  </w:abstractNum>
  <w:abstractNum w:abstractNumId="51">
    <w:multiLevelType w:val="hybridMultilevel"/>
    <w:lvl w:ilvl="0">
      <w:start w:val="1"/>
      <w:numFmt w:val="lowerLetter"/>
      <w:lvlText w:val="(%1)"/>
      <w:lvlJc w:val="left"/>
      <w:pPr>
        <w:ind w:left="635"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618" w:hanging="318"/>
      </w:pPr>
      <w:rPr>
        <w:rFonts w:hint="default"/>
        <w:lang w:val="en-US" w:eastAsia="zh-CN" w:bidi="ar-SA"/>
      </w:rPr>
    </w:lvl>
    <w:lvl w:ilvl="2">
      <w:start w:val="0"/>
      <w:numFmt w:val="bullet"/>
      <w:lvlText w:val="•"/>
      <w:lvlJc w:val="left"/>
      <w:pPr>
        <w:ind w:left="2597" w:hanging="318"/>
      </w:pPr>
      <w:rPr>
        <w:rFonts w:hint="default"/>
        <w:lang w:val="en-US" w:eastAsia="zh-CN" w:bidi="ar-SA"/>
      </w:rPr>
    </w:lvl>
    <w:lvl w:ilvl="3">
      <w:start w:val="0"/>
      <w:numFmt w:val="bullet"/>
      <w:lvlText w:val="•"/>
      <w:lvlJc w:val="left"/>
      <w:pPr>
        <w:ind w:left="3575" w:hanging="318"/>
      </w:pPr>
      <w:rPr>
        <w:rFonts w:hint="default"/>
        <w:lang w:val="en-US" w:eastAsia="zh-CN" w:bidi="ar-SA"/>
      </w:rPr>
    </w:lvl>
    <w:lvl w:ilvl="4">
      <w:start w:val="0"/>
      <w:numFmt w:val="bullet"/>
      <w:lvlText w:val="•"/>
      <w:lvlJc w:val="left"/>
      <w:pPr>
        <w:ind w:left="4554" w:hanging="318"/>
      </w:pPr>
      <w:rPr>
        <w:rFonts w:hint="default"/>
        <w:lang w:val="en-US" w:eastAsia="zh-CN" w:bidi="ar-SA"/>
      </w:rPr>
    </w:lvl>
    <w:lvl w:ilvl="5">
      <w:start w:val="0"/>
      <w:numFmt w:val="bullet"/>
      <w:lvlText w:val="•"/>
      <w:lvlJc w:val="left"/>
      <w:pPr>
        <w:ind w:left="5533" w:hanging="318"/>
      </w:pPr>
      <w:rPr>
        <w:rFonts w:hint="default"/>
        <w:lang w:val="en-US" w:eastAsia="zh-CN" w:bidi="ar-SA"/>
      </w:rPr>
    </w:lvl>
    <w:lvl w:ilvl="6">
      <w:start w:val="0"/>
      <w:numFmt w:val="bullet"/>
      <w:lvlText w:val="•"/>
      <w:lvlJc w:val="left"/>
      <w:pPr>
        <w:ind w:left="6511" w:hanging="318"/>
      </w:pPr>
      <w:rPr>
        <w:rFonts w:hint="default"/>
        <w:lang w:val="en-US" w:eastAsia="zh-CN" w:bidi="ar-SA"/>
      </w:rPr>
    </w:lvl>
    <w:lvl w:ilvl="7">
      <w:start w:val="0"/>
      <w:numFmt w:val="bullet"/>
      <w:lvlText w:val="•"/>
      <w:lvlJc w:val="left"/>
      <w:pPr>
        <w:ind w:left="7490" w:hanging="318"/>
      </w:pPr>
      <w:rPr>
        <w:rFonts w:hint="default"/>
        <w:lang w:val="en-US" w:eastAsia="zh-CN" w:bidi="ar-SA"/>
      </w:rPr>
    </w:lvl>
    <w:lvl w:ilvl="8">
      <w:start w:val="0"/>
      <w:numFmt w:val="bullet"/>
      <w:lvlText w:val="•"/>
      <w:lvlJc w:val="left"/>
      <w:pPr>
        <w:ind w:left="8469" w:hanging="318"/>
      </w:pPr>
      <w:rPr>
        <w:rFonts w:hint="default"/>
        <w:lang w:val="en-US" w:eastAsia="zh-CN" w:bidi="ar-SA"/>
      </w:rPr>
    </w:lvl>
  </w:abstractNum>
  <w:abstractNum w:abstractNumId="50">
    <w:multiLevelType w:val="hybridMultilevel"/>
    <w:lvl w:ilvl="0">
      <w:start w:val="1"/>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8"/>
      </w:pPr>
      <w:rPr>
        <w:rFonts w:hint="default"/>
        <w:lang w:val="en-US" w:eastAsia="zh-CN" w:bidi="ar-SA"/>
      </w:rPr>
    </w:lvl>
    <w:lvl w:ilvl="2">
      <w:start w:val="0"/>
      <w:numFmt w:val="bullet"/>
      <w:lvlText w:val="•"/>
      <w:lvlJc w:val="left"/>
      <w:pPr>
        <w:ind w:left="2677" w:hanging="428"/>
      </w:pPr>
      <w:rPr>
        <w:rFonts w:hint="default"/>
        <w:lang w:val="en-US" w:eastAsia="zh-CN" w:bidi="ar-SA"/>
      </w:rPr>
    </w:lvl>
    <w:lvl w:ilvl="3">
      <w:start w:val="0"/>
      <w:numFmt w:val="bullet"/>
      <w:lvlText w:val="•"/>
      <w:lvlJc w:val="left"/>
      <w:pPr>
        <w:ind w:left="3645" w:hanging="428"/>
      </w:pPr>
      <w:rPr>
        <w:rFonts w:hint="default"/>
        <w:lang w:val="en-US" w:eastAsia="zh-CN" w:bidi="ar-SA"/>
      </w:rPr>
    </w:lvl>
    <w:lvl w:ilvl="4">
      <w:start w:val="0"/>
      <w:numFmt w:val="bullet"/>
      <w:lvlText w:val="•"/>
      <w:lvlJc w:val="left"/>
      <w:pPr>
        <w:ind w:left="4614" w:hanging="428"/>
      </w:pPr>
      <w:rPr>
        <w:rFonts w:hint="default"/>
        <w:lang w:val="en-US" w:eastAsia="zh-CN" w:bidi="ar-SA"/>
      </w:rPr>
    </w:lvl>
    <w:lvl w:ilvl="5">
      <w:start w:val="0"/>
      <w:numFmt w:val="bullet"/>
      <w:lvlText w:val="•"/>
      <w:lvlJc w:val="left"/>
      <w:pPr>
        <w:ind w:left="5583" w:hanging="428"/>
      </w:pPr>
      <w:rPr>
        <w:rFonts w:hint="default"/>
        <w:lang w:val="en-US" w:eastAsia="zh-CN" w:bidi="ar-SA"/>
      </w:rPr>
    </w:lvl>
    <w:lvl w:ilvl="6">
      <w:start w:val="0"/>
      <w:numFmt w:val="bullet"/>
      <w:lvlText w:val="•"/>
      <w:lvlJc w:val="left"/>
      <w:pPr>
        <w:ind w:left="6551" w:hanging="428"/>
      </w:pPr>
      <w:rPr>
        <w:rFonts w:hint="default"/>
        <w:lang w:val="en-US" w:eastAsia="zh-CN" w:bidi="ar-SA"/>
      </w:rPr>
    </w:lvl>
    <w:lvl w:ilvl="7">
      <w:start w:val="0"/>
      <w:numFmt w:val="bullet"/>
      <w:lvlText w:val="•"/>
      <w:lvlJc w:val="left"/>
      <w:pPr>
        <w:ind w:left="7520" w:hanging="428"/>
      </w:pPr>
      <w:rPr>
        <w:rFonts w:hint="default"/>
        <w:lang w:val="en-US" w:eastAsia="zh-CN" w:bidi="ar-SA"/>
      </w:rPr>
    </w:lvl>
    <w:lvl w:ilvl="8">
      <w:start w:val="0"/>
      <w:numFmt w:val="bullet"/>
      <w:lvlText w:val="•"/>
      <w:lvlJc w:val="left"/>
      <w:pPr>
        <w:ind w:left="8489" w:hanging="428"/>
      </w:pPr>
      <w:rPr>
        <w:rFonts w:hint="default"/>
        <w:lang w:val="en-US" w:eastAsia="zh-CN" w:bidi="ar-SA"/>
      </w:rPr>
    </w:lvl>
  </w:abstractNum>
  <w:abstractNum w:abstractNumId="49">
    <w:multiLevelType w:val="hybridMultilevel"/>
    <w:lvl w:ilvl="0">
      <w:start w:val="1"/>
      <w:numFmt w:val="lowerLetter"/>
      <w:lvlText w:val="(%1)"/>
      <w:lvlJc w:val="left"/>
      <w:pPr>
        <w:ind w:left="635"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618" w:hanging="318"/>
      </w:pPr>
      <w:rPr>
        <w:rFonts w:hint="default"/>
        <w:lang w:val="en-US" w:eastAsia="zh-CN" w:bidi="ar-SA"/>
      </w:rPr>
    </w:lvl>
    <w:lvl w:ilvl="2">
      <w:start w:val="0"/>
      <w:numFmt w:val="bullet"/>
      <w:lvlText w:val="•"/>
      <w:lvlJc w:val="left"/>
      <w:pPr>
        <w:ind w:left="2597" w:hanging="318"/>
      </w:pPr>
      <w:rPr>
        <w:rFonts w:hint="default"/>
        <w:lang w:val="en-US" w:eastAsia="zh-CN" w:bidi="ar-SA"/>
      </w:rPr>
    </w:lvl>
    <w:lvl w:ilvl="3">
      <w:start w:val="0"/>
      <w:numFmt w:val="bullet"/>
      <w:lvlText w:val="•"/>
      <w:lvlJc w:val="left"/>
      <w:pPr>
        <w:ind w:left="3575" w:hanging="318"/>
      </w:pPr>
      <w:rPr>
        <w:rFonts w:hint="default"/>
        <w:lang w:val="en-US" w:eastAsia="zh-CN" w:bidi="ar-SA"/>
      </w:rPr>
    </w:lvl>
    <w:lvl w:ilvl="4">
      <w:start w:val="0"/>
      <w:numFmt w:val="bullet"/>
      <w:lvlText w:val="•"/>
      <w:lvlJc w:val="left"/>
      <w:pPr>
        <w:ind w:left="4554" w:hanging="318"/>
      </w:pPr>
      <w:rPr>
        <w:rFonts w:hint="default"/>
        <w:lang w:val="en-US" w:eastAsia="zh-CN" w:bidi="ar-SA"/>
      </w:rPr>
    </w:lvl>
    <w:lvl w:ilvl="5">
      <w:start w:val="0"/>
      <w:numFmt w:val="bullet"/>
      <w:lvlText w:val="•"/>
      <w:lvlJc w:val="left"/>
      <w:pPr>
        <w:ind w:left="5533" w:hanging="318"/>
      </w:pPr>
      <w:rPr>
        <w:rFonts w:hint="default"/>
        <w:lang w:val="en-US" w:eastAsia="zh-CN" w:bidi="ar-SA"/>
      </w:rPr>
    </w:lvl>
    <w:lvl w:ilvl="6">
      <w:start w:val="0"/>
      <w:numFmt w:val="bullet"/>
      <w:lvlText w:val="•"/>
      <w:lvlJc w:val="left"/>
      <w:pPr>
        <w:ind w:left="6511" w:hanging="318"/>
      </w:pPr>
      <w:rPr>
        <w:rFonts w:hint="default"/>
        <w:lang w:val="en-US" w:eastAsia="zh-CN" w:bidi="ar-SA"/>
      </w:rPr>
    </w:lvl>
    <w:lvl w:ilvl="7">
      <w:start w:val="0"/>
      <w:numFmt w:val="bullet"/>
      <w:lvlText w:val="•"/>
      <w:lvlJc w:val="left"/>
      <w:pPr>
        <w:ind w:left="7490" w:hanging="318"/>
      </w:pPr>
      <w:rPr>
        <w:rFonts w:hint="default"/>
        <w:lang w:val="en-US" w:eastAsia="zh-CN" w:bidi="ar-SA"/>
      </w:rPr>
    </w:lvl>
    <w:lvl w:ilvl="8">
      <w:start w:val="0"/>
      <w:numFmt w:val="bullet"/>
      <w:lvlText w:val="•"/>
      <w:lvlJc w:val="left"/>
      <w:pPr>
        <w:ind w:left="8469" w:hanging="318"/>
      </w:pPr>
      <w:rPr>
        <w:rFonts w:hint="default"/>
        <w:lang w:val="en-US" w:eastAsia="zh-CN" w:bidi="ar-SA"/>
      </w:rPr>
    </w:lvl>
  </w:abstractNum>
  <w:abstractNum w:abstractNumId="48">
    <w:multiLevelType w:val="hybridMultilevel"/>
    <w:lvl w:ilvl="0">
      <w:start w:val="1"/>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8"/>
      </w:pPr>
      <w:rPr>
        <w:rFonts w:hint="default"/>
        <w:lang w:val="en-US" w:eastAsia="zh-CN" w:bidi="ar-SA"/>
      </w:rPr>
    </w:lvl>
    <w:lvl w:ilvl="2">
      <w:start w:val="0"/>
      <w:numFmt w:val="bullet"/>
      <w:lvlText w:val="•"/>
      <w:lvlJc w:val="left"/>
      <w:pPr>
        <w:ind w:left="2677" w:hanging="428"/>
      </w:pPr>
      <w:rPr>
        <w:rFonts w:hint="default"/>
        <w:lang w:val="en-US" w:eastAsia="zh-CN" w:bidi="ar-SA"/>
      </w:rPr>
    </w:lvl>
    <w:lvl w:ilvl="3">
      <w:start w:val="0"/>
      <w:numFmt w:val="bullet"/>
      <w:lvlText w:val="•"/>
      <w:lvlJc w:val="left"/>
      <w:pPr>
        <w:ind w:left="3645" w:hanging="428"/>
      </w:pPr>
      <w:rPr>
        <w:rFonts w:hint="default"/>
        <w:lang w:val="en-US" w:eastAsia="zh-CN" w:bidi="ar-SA"/>
      </w:rPr>
    </w:lvl>
    <w:lvl w:ilvl="4">
      <w:start w:val="0"/>
      <w:numFmt w:val="bullet"/>
      <w:lvlText w:val="•"/>
      <w:lvlJc w:val="left"/>
      <w:pPr>
        <w:ind w:left="4614" w:hanging="428"/>
      </w:pPr>
      <w:rPr>
        <w:rFonts w:hint="default"/>
        <w:lang w:val="en-US" w:eastAsia="zh-CN" w:bidi="ar-SA"/>
      </w:rPr>
    </w:lvl>
    <w:lvl w:ilvl="5">
      <w:start w:val="0"/>
      <w:numFmt w:val="bullet"/>
      <w:lvlText w:val="•"/>
      <w:lvlJc w:val="left"/>
      <w:pPr>
        <w:ind w:left="5583" w:hanging="428"/>
      </w:pPr>
      <w:rPr>
        <w:rFonts w:hint="default"/>
        <w:lang w:val="en-US" w:eastAsia="zh-CN" w:bidi="ar-SA"/>
      </w:rPr>
    </w:lvl>
    <w:lvl w:ilvl="6">
      <w:start w:val="0"/>
      <w:numFmt w:val="bullet"/>
      <w:lvlText w:val="•"/>
      <w:lvlJc w:val="left"/>
      <w:pPr>
        <w:ind w:left="6551" w:hanging="428"/>
      </w:pPr>
      <w:rPr>
        <w:rFonts w:hint="default"/>
        <w:lang w:val="en-US" w:eastAsia="zh-CN" w:bidi="ar-SA"/>
      </w:rPr>
    </w:lvl>
    <w:lvl w:ilvl="7">
      <w:start w:val="0"/>
      <w:numFmt w:val="bullet"/>
      <w:lvlText w:val="•"/>
      <w:lvlJc w:val="left"/>
      <w:pPr>
        <w:ind w:left="7520" w:hanging="428"/>
      </w:pPr>
      <w:rPr>
        <w:rFonts w:hint="default"/>
        <w:lang w:val="en-US" w:eastAsia="zh-CN" w:bidi="ar-SA"/>
      </w:rPr>
    </w:lvl>
    <w:lvl w:ilvl="8">
      <w:start w:val="0"/>
      <w:numFmt w:val="bullet"/>
      <w:lvlText w:val="•"/>
      <w:lvlJc w:val="left"/>
      <w:pPr>
        <w:ind w:left="8489" w:hanging="428"/>
      </w:pPr>
      <w:rPr>
        <w:rFonts w:hint="default"/>
        <w:lang w:val="en-US" w:eastAsia="zh-CN" w:bidi="ar-SA"/>
      </w:rPr>
    </w:lvl>
  </w:abstractNum>
  <w:abstractNum w:abstractNumId="47">
    <w:multiLevelType w:val="hybridMultilevel"/>
    <w:lvl w:ilvl="0">
      <w:start w:val="1"/>
      <w:numFmt w:val="lowerLetter"/>
      <w:lvlText w:val="(%1)"/>
      <w:lvlJc w:val="left"/>
      <w:pPr>
        <w:ind w:left="635"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618" w:hanging="318"/>
      </w:pPr>
      <w:rPr>
        <w:rFonts w:hint="default"/>
        <w:lang w:val="en-US" w:eastAsia="zh-CN" w:bidi="ar-SA"/>
      </w:rPr>
    </w:lvl>
    <w:lvl w:ilvl="2">
      <w:start w:val="0"/>
      <w:numFmt w:val="bullet"/>
      <w:lvlText w:val="•"/>
      <w:lvlJc w:val="left"/>
      <w:pPr>
        <w:ind w:left="2597" w:hanging="318"/>
      </w:pPr>
      <w:rPr>
        <w:rFonts w:hint="default"/>
        <w:lang w:val="en-US" w:eastAsia="zh-CN" w:bidi="ar-SA"/>
      </w:rPr>
    </w:lvl>
    <w:lvl w:ilvl="3">
      <w:start w:val="0"/>
      <w:numFmt w:val="bullet"/>
      <w:lvlText w:val="•"/>
      <w:lvlJc w:val="left"/>
      <w:pPr>
        <w:ind w:left="3575" w:hanging="318"/>
      </w:pPr>
      <w:rPr>
        <w:rFonts w:hint="default"/>
        <w:lang w:val="en-US" w:eastAsia="zh-CN" w:bidi="ar-SA"/>
      </w:rPr>
    </w:lvl>
    <w:lvl w:ilvl="4">
      <w:start w:val="0"/>
      <w:numFmt w:val="bullet"/>
      <w:lvlText w:val="•"/>
      <w:lvlJc w:val="left"/>
      <w:pPr>
        <w:ind w:left="4554" w:hanging="318"/>
      </w:pPr>
      <w:rPr>
        <w:rFonts w:hint="default"/>
        <w:lang w:val="en-US" w:eastAsia="zh-CN" w:bidi="ar-SA"/>
      </w:rPr>
    </w:lvl>
    <w:lvl w:ilvl="5">
      <w:start w:val="0"/>
      <w:numFmt w:val="bullet"/>
      <w:lvlText w:val="•"/>
      <w:lvlJc w:val="left"/>
      <w:pPr>
        <w:ind w:left="5533" w:hanging="318"/>
      </w:pPr>
      <w:rPr>
        <w:rFonts w:hint="default"/>
        <w:lang w:val="en-US" w:eastAsia="zh-CN" w:bidi="ar-SA"/>
      </w:rPr>
    </w:lvl>
    <w:lvl w:ilvl="6">
      <w:start w:val="0"/>
      <w:numFmt w:val="bullet"/>
      <w:lvlText w:val="•"/>
      <w:lvlJc w:val="left"/>
      <w:pPr>
        <w:ind w:left="6511" w:hanging="318"/>
      </w:pPr>
      <w:rPr>
        <w:rFonts w:hint="default"/>
        <w:lang w:val="en-US" w:eastAsia="zh-CN" w:bidi="ar-SA"/>
      </w:rPr>
    </w:lvl>
    <w:lvl w:ilvl="7">
      <w:start w:val="0"/>
      <w:numFmt w:val="bullet"/>
      <w:lvlText w:val="•"/>
      <w:lvlJc w:val="left"/>
      <w:pPr>
        <w:ind w:left="7490" w:hanging="318"/>
      </w:pPr>
      <w:rPr>
        <w:rFonts w:hint="default"/>
        <w:lang w:val="en-US" w:eastAsia="zh-CN" w:bidi="ar-SA"/>
      </w:rPr>
    </w:lvl>
    <w:lvl w:ilvl="8">
      <w:start w:val="0"/>
      <w:numFmt w:val="bullet"/>
      <w:lvlText w:val="•"/>
      <w:lvlJc w:val="left"/>
      <w:pPr>
        <w:ind w:left="8469" w:hanging="318"/>
      </w:pPr>
      <w:rPr>
        <w:rFonts w:hint="default"/>
        <w:lang w:val="en-US" w:eastAsia="zh-CN" w:bidi="ar-SA"/>
      </w:rPr>
    </w:lvl>
  </w:abstractNum>
  <w:abstractNum w:abstractNumId="46">
    <w:multiLevelType w:val="hybridMultilevel"/>
    <w:lvl w:ilvl="0">
      <w:start w:val="1"/>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8"/>
      </w:pPr>
      <w:rPr>
        <w:rFonts w:hint="default"/>
        <w:lang w:val="en-US" w:eastAsia="zh-CN" w:bidi="ar-SA"/>
      </w:rPr>
    </w:lvl>
    <w:lvl w:ilvl="2">
      <w:start w:val="0"/>
      <w:numFmt w:val="bullet"/>
      <w:lvlText w:val="•"/>
      <w:lvlJc w:val="left"/>
      <w:pPr>
        <w:ind w:left="2677" w:hanging="428"/>
      </w:pPr>
      <w:rPr>
        <w:rFonts w:hint="default"/>
        <w:lang w:val="en-US" w:eastAsia="zh-CN" w:bidi="ar-SA"/>
      </w:rPr>
    </w:lvl>
    <w:lvl w:ilvl="3">
      <w:start w:val="0"/>
      <w:numFmt w:val="bullet"/>
      <w:lvlText w:val="•"/>
      <w:lvlJc w:val="left"/>
      <w:pPr>
        <w:ind w:left="3645" w:hanging="428"/>
      </w:pPr>
      <w:rPr>
        <w:rFonts w:hint="default"/>
        <w:lang w:val="en-US" w:eastAsia="zh-CN" w:bidi="ar-SA"/>
      </w:rPr>
    </w:lvl>
    <w:lvl w:ilvl="4">
      <w:start w:val="0"/>
      <w:numFmt w:val="bullet"/>
      <w:lvlText w:val="•"/>
      <w:lvlJc w:val="left"/>
      <w:pPr>
        <w:ind w:left="4614" w:hanging="428"/>
      </w:pPr>
      <w:rPr>
        <w:rFonts w:hint="default"/>
        <w:lang w:val="en-US" w:eastAsia="zh-CN" w:bidi="ar-SA"/>
      </w:rPr>
    </w:lvl>
    <w:lvl w:ilvl="5">
      <w:start w:val="0"/>
      <w:numFmt w:val="bullet"/>
      <w:lvlText w:val="•"/>
      <w:lvlJc w:val="left"/>
      <w:pPr>
        <w:ind w:left="5583" w:hanging="428"/>
      </w:pPr>
      <w:rPr>
        <w:rFonts w:hint="default"/>
        <w:lang w:val="en-US" w:eastAsia="zh-CN" w:bidi="ar-SA"/>
      </w:rPr>
    </w:lvl>
    <w:lvl w:ilvl="6">
      <w:start w:val="0"/>
      <w:numFmt w:val="bullet"/>
      <w:lvlText w:val="•"/>
      <w:lvlJc w:val="left"/>
      <w:pPr>
        <w:ind w:left="6551" w:hanging="428"/>
      </w:pPr>
      <w:rPr>
        <w:rFonts w:hint="default"/>
        <w:lang w:val="en-US" w:eastAsia="zh-CN" w:bidi="ar-SA"/>
      </w:rPr>
    </w:lvl>
    <w:lvl w:ilvl="7">
      <w:start w:val="0"/>
      <w:numFmt w:val="bullet"/>
      <w:lvlText w:val="•"/>
      <w:lvlJc w:val="left"/>
      <w:pPr>
        <w:ind w:left="7520" w:hanging="428"/>
      </w:pPr>
      <w:rPr>
        <w:rFonts w:hint="default"/>
        <w:lang w:val="en-US" w:eastAsia="zh-CN" w:bidi="ar-SA"/>
      </w:rPr>
    </w:lvl>
    <w:lvl w:ilvl="8">
      <w:start w:val="0"/>
      <w:numFmt w:val="bullet"/>
      <w:lvlText w:val="•"/>
      <w:lvlJc w:val="left"/>
      <w:pPr>
        <w:ind w:left="8489" w:hanging="428"/>
      </w:pPr>
      <w:rPr>
        <w:rFonts w:hint="default"/>
        <w:lang w:val="en-US" w:eastAsia="zh-CN" w:bidi="ar-SA"/>
      </w:rPr>
    </w:lvl>
  </w:abstractNum>
  <w:abstractNum w:abstractNumId="45">
    <w:multiLevelType w:val="hybridMultilevel"/>
    <w:lvl w:ilvl="0">
      <w:start w:val="1"/>
      <w:numFmt w:val="lowerLetter"/>
      <w:lvlText w:val="(%1)"/>
      <w:lvlJc w:val="left"/>
      <w:pPr>
        <w:ind w:left="635"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618" w:hanging="318"/>
      </w:pPr>
      <w:rPr>
        <w:rFonts w:hint="default"/>
        <w:lang w:val="en-US" w:eastAsia="zh-CN" w:bidi="ar-SA"/>
      </w:rPr>
    </w:lvl>
    <w:lvl w:ilvl="2">
      <w:start w:val="0"/>
      <w:numFmt w:val="bullet"/>
      <w:lvlText w:val="•"/>
      <w:lvlJc w:val="left"/>
      <w:pPr>
        <w:ind w:left="2597" w:hanging="318"/>
      </w:pPr>
      <w:rPr>
        <w:rFonts w:hint="default"/>
        <w:lang w:val="en-US" w:eastAsia="zh-CN" w:bidi="ar-SA"/>
      </w:rPr>
    </w:lvl>
    <w:lvl w:ilvl="3">
      <w:start w:val="0"/>
      <w:numFmt w:val="bullet"/>
      <w:lvlText w:val="•"/>
      <w:lvlJc w:val="left"/>
      <w:pPr>
        <w:ind w:left="3575" w:hanging="318"/>
      </w:pPr>
      <w:rPr>
        <w:rFonts w:hint="default"/>
        <w:lang w:val="en-US" w:eastAsia="zh-CN" w:bidi="ar-SA"/>
      </w:rPr>
    </w:lvl>
    <w:lvl w:ilvl="4">
      <w:start w:val="0"/>
      <w:numFmt w:val="bullet"/>
      <w:lvlText w:val="•"/>
      <w:lvlJc w:val="left"/>
      <w:pPr>
        <w:ind w:left="4554" w:hanging="318"/>
      </w:pPr>
      <w:rPr>
        <w:rFonts w:hint="default"/>
        <w:lang w:val="en-US" w:eastAsia="zh-CN" w:bidi="ar-SA"/>
      </w:rPr>
    </w:lvl>
    <w:lvl w:ilvl="5">
      <w:start w:val="0"/>
      <w:numFmt w:val="bullet"/>
      <w:lvlText w:val="•"/>
      <w:lvlJc w:val="left"/>
      <w:pPr>
        <w:ind w:left="5533" w:hanging="318"/>
      </w:pPr>
      <w:rPr>
        <w:rFonts w:hint="default"/>
        <w:lang w:val="en-US" w:eastAsia="zh-CN" w:bidi="ar-SA"/>
      </w:rPr>
    </w:lvl>
    <w:lvl w:ilvl="6">
      <w:start w:val="0"/>
      <w:numFmt w:val="bullet"/>
      <w:lvlText w:val="•"/>
      <w:lvlJc w:val="left"/>
      <w:pPr>
        <w:ind w:left="6511" w:hanging="318"/>
      </w:pPr>
      <w:rPr>
        <w:rFonts w:hint="default"/>
        <w:lang w:val="en-US" w:eastAsia="zh-CN" w:bidi="ar-SA"/>
      </w:rPr>
    </w:lvl>
    <w:lvl w:ilvl="7">
      <w:start w:val="0"/>
      <w:numFmt w:val="bullet"/>
      <w:lvlText w:val="•"/>
      <w:lvlJc w:val="left"/>
      <w:pPr>
        <w:ind w:left="7490" w:hanging="318"/>
      </w:pPr>
      <w:rPr>
        <w:rFonts w:hint="default"/>
        <w:lang w:val="en-US" w:eastAsia="zh-CN" w:bidi="ar-SA"/>
      </w:rPr>
    </w:lvl>
    <w:lvl w:ilvl="8">
      <w:start w:val="0"/>
      <w:numFmt w:val="bullet"/>
      <w:lvlText w:val="•"/>
      <w:lvlJc w:val="left"/>
      <w:pPr>
        <w:ind w:left="8469" w:hanging="318"/>
      </w:pPr>
      <w:rPr>
        <w:rFonts w:hint="default"/>
        <w:lang w:val="en-US" w:eastAsia="zh-CN" w:bidi="ar-SA"/>
      </w:rPr>
    </w:lvl>
  </w:abstractNum>
  <w:abstractNum w:abstractNumId="44">
    <w:multiLevelType w:val="hybridMultilevel"/>
    <w:lvl w:ilvl="0">
      <w:start w:val="1"/>
      <w:numFmt w:val="decimal"/>
      <w:lvlText w:val="(%1)."/>
      <w:lvlJc w:val="left"/>
      <w:pPr>
        <w:ind w:left="74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8"/>
      </w:pPr>
      <w:rPr>
        <w:rFonts w:hint="default"/>
        <w:lang w:val="en-US" w:eastAsia="zh-CN" w:bidi="ar-SA"/>
      </w:rPr>
    </w:lvl>
    <w:lvl w:ilvl="2">
      <w:start w:val="0"/>
      <w:numFmt w:val="bullet"/>
      <w:lvlText w:val="•"/>
      <w:lvlJc w:val="left"/>
      <w:pPr>
        <w:ind w:left="2677" w:hanging="428"/>
      </w:pPr>
      <w:rPr>
        <w:rFonts w:hint="default"/>
        <w:lang w:val="en-US" w:eastAsia="zh-CN" w:bidi="ar-SA"/>
      </w:rPr>
    </w:lvl>
    <w:lvl w:ilvl="3">
      <w:start w:val="0"/>
      <w:numFmt w:val="bullet"/>
      <w:lvlText w:val="•"/>
      <w:lvlJc w:val="left"/>
      <w:pPr>
        <w:ind w:left="3645" w:hanging="428"/>
      </w:pPr>
      <w:rPr>
        <w:rFonts w:hint="default"/>
        <w:lang w:val="en-US" w:eastAsia="zh-CN" w:bidi="ar-SA"/>
      </w:rPr>
    </w:lvl>
    <w:lvl w:ilvl="4">
      <w:start w:val="0"/>
      <w:numFmt w:val="bullet"/>
      <w:lvlText w:val="•"/>
      <w:lvlJc w:val="left"/>
      <w:pPr>
        <w:ind w:left="4614" w:hanging="428"/>
      </w:pPr>
      <w:rPr>
        <w:rFonts w:hint="default"/>
        <w:lang w:val="en-US" w:eastAsia="zh-CN" w:bidi="ar-SA"/>
      </w:rPr>
    </w:lvl>
    <w:lvl w:ilvl="5">
      <w:start w:val="0"/>
      <w:numFmt w:val="bullet"/>
      <w:lvlText w:val="•"/>
      <w:lvlJc w:val="left"/>
      <w:pPr>
        <w:ind w:left="5583" w:hanging="428"/>
      </w:pPr>
      <w:rPr>
        <w:rFonts w:hint="default"/>
        <w:lang w:val="en-US" w:eastAsia="zh-CN" w:bidi="ar-SA"/>
      </w:rPr>
    </w:lvl>
    <w:lvl w:ilvl="6">
      <w:start w:val="0"/>
      <w:numFmt w:val="bullet"/>
      <w:lvlText w:val="•"/>
      <w:lvlJc w:val="left"/>
      <w:pPr>
        <w:ind w:left="6551" w:hanging="428"/>
      </w:pPr>
      <w:rPr>
        <w:rFonts w:hint="default"/>
        <w:lang w:val="en-US" w:eastAsia="zh-CN" w:bidi="ar-SA"/>
      </w:rPr>
    </w:lvl>
    <w:lvl w:ilvl="7">
      <w:start w:val="0"/>
      <w:numFmt w:val="bullet"/>
      <w:lvlText w:val="•"/>
      <w:lvlJc w:val="left"/>
      <w:pPr>
        <w:ind w:left="7520" w:hanging="428"/>
      </w:pPr>
      <w:rPr>
        <w:rFonts w:hint="default"/>
        <w:lang w:val="en-US" w:eastAsia="zh-CN" w:bidi="ar-SA"/>
      </w:rPr>
    </w:lvl>
    <w:lvl w:ilvl="8">
      <w:start w:val="0"/>
      <w:numFmt w:val="bullet"/>
      <w:lvlText w:val="•"/>
      <w:lvlJc w:val="left"/>
      <w:pPr>
        <w:ind w:left="8489" w:hanging="428"/>
      </w:pPr>
      <w:rPr>
        <w:rFonts w:hint="default"/>
        <w:lang w:val="en-US" w:eastAsia="zh-CN" w:bidi="ar-SA"/>
      </w:rPr>
    </w:lvl>
  </w:abstractNum>
  <w:abstractNum w:abstractNumId="43">
    <w:multiLevelType w:val="hybridMultilevel"/>
    <w:lvl w:ilvl="0">
      <w:start w:val="1"/>
      <w:numFmt w:val="lowerLetter"/>
      <w:lvlText w:val="(%1)"/>
      <w:lvlJc w:val="left"/>
      <w:pPr>
        <w:ind w:left="635"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618" w:hanging="318"/>
      </w:pPr>
      <w:rPr>
        <w:rFonts w:hint="default"/>
        <w:lang w:val="en-US" w:eastAsia="zh-CN" w:bidi="ar-SA"/>
      </w:rPr>
    </w:lvl>
    <w:lvl w:ilvl="2">
      <w:start w:val="0"/>
      <w:numFmt w:val="bullet"/>
      <w:lvlText w:val="•"/>
      <w:lvlJc w:val="left"/>
      <w:pPr>
        <w:ind w:left="2597" w:hanging="318"/>
      </w:pPr>
      <w:rPr>
        <w:rFonts w:hint="default"/>
        <w:lang w:val="en-US" w:eastAsia="zh-CN" w:bidi="ar-SA"/>
      </w:rPr>
    </w:lvl>
    <w:lvl w:ilvl="3">
      <w:start w:val="0"/>
      <w:numFmt w:val="bullet"/>
      <w:lvlText w:val="•"/>
      <w:lvlJc w:val="left"/>
      <w:pPr>
        <w:ind w:left="3575" w:hanging="318"/>
      </w:pPr>
      <w:rPr>
        <w:rFonts w:hint="default"/>
        <w:lang w:val="en-US" w:eastAsia="zh-CN" w:bidi="ar-SA"/>
      </w:rPr>
    </w:lvl>
    <w:lvl w:ilvl="4">
      <w:start w:val="0"/>
      <w:numFmt w:val="bullet"/>
      <w:lvlText w:val="•"/>
      <w:lvlJc w:val="left"/>
      <w:pPr>
        <w:ind w:left="4554" w:hanging="318"/>
      </w:pPr>
      <w:rPr>
        <w:rFonts w:hint="default"/>
        <w:lang w:val="en-US" w:eastAsia="zh-CN" w:bidi="ar-SA"/>
      </w:rPr>
    </w:lvl>
    <w:lvl w:ilvl="5">
      <w:start w:val="0"/>
      <w:numFmt w:val="bullet"/>
      <w:lvlText w:val="•"/>
      <w:lvlJc w:val="left"/>
      <w:pPr>
        <w:ind w:left="5533" w:hanging="318"/>
      </w:pPr>
      <w:rPr>
        <w:rFonts w:hint="default"/>
        <w:lang w:val="en-US" w:eastAsia="zh-CN" w:bidi="ar-SA"/>
      </w:rPr>
    </w:lvl>
    <w:lvl w:ilvl="6">
      <w:start w:val="0"/>
      <w:numFmt w:val="bullet"/>
      <w:lvlText w:val="•"/>
      <w:lvlJc w:val="left"/>
      <w:pPr>
        <w:ind w:left="6511" w:hanging="318"/>
      </w:pPr>
      <w:rPr>
        <w:rFonts w:hint="default"/>
        <w:lang w:val="en-US" w:eastAsia="zh-CN" w:bidi="ar-SA"/>
      </w:rPr>
    </w:lvl>
    <w:lvl w:ilvl="7">
      <w:start w:val="0"/>
      <w:numFmt w:val="bullet"/>
      <w:lvlText w:val="•"/>
      <w:lvlJc w:val="left"/>
      <w:pPr>
        <w:ind w:left="7490" w:hanging="318"/>
      </w:pPr>
      <w:rPr>
        <w:rFonts w:hint="default"/>
        <w:lang w:val="en-US" w:eastAsia="zh-CN" w:bidi="ar-SA"/>
      </w:rPr>
    </w:lvl>
    <w:lvl w:ilvl="8">
      <w:start w:val="0"/>
      <w:numFmt w:val="bullet"/>
      <w:lvlText w:val="•"/>
      <w:lvlJc w:val="left"/>
      <w:pPr>
        <w:ind w:left="8469" w:hanging="318"/>
      </w:pPr>
      <w:rPr>
        <w:rFonts w:hint="default"/>
        <w:lang w:val="en-US" w:eastAsia="zh-CN" w:bidi="ar-SA"/>
      </w:rPr>
    </w:lvl>
  </w:abstractNum>
  <w:abstractNum w:abstractNumId="42">
    <w:multiLevelType w:val="hybridMultilevel"/>
    <w:lvl w:ilvl="0">
      <w:start w:val="1"/>
      <w:numFmt w:val="decimal"/>
      <w:lvlText w:val="(%1)."/>
      <w:lvlJc w:val="left"/>
      <w:pPr>
        <w:ind w:left="74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5"/>
      </w:pPr>
      <w:rPr>
        <w:rFonts w:hint="default"/>
        <w:lang w:val="en-US" w:eastAsia="zh-CN" w:bidi="ar-SA"/>
      </w:rPr>
    </w:lvl>
    <w:lvl w:ilvl="2">
      <w:start w:val="0"/>
      <w:numFmt w:val="bullet"/>
      <w:lvlText w:val="•"/>
      <w:lvlJc w:val="left"/>
      <w:pPr>
        <w:ind w:left="2677" w:hanging="425"/>
      </w:pPr>
      <w:rPr>
        <w:rFonts w:hint="default"/>
        <w:lang w:val="en-US" w:eastAsia="zh-CN" w:bidi="ar-SA"/>
      </w:rPr>
    </w:lvl>
    <w:lvl w:ilvl="3">
      <w:start w:val="0"/>
      <w:numFmt w:val="bullet"/>
      <w:lvlText w:val="•"/>
      <w:lvlJc w:val="left"/>
      <w:pPr>
        <w:ind w:left="3645" w:hanging="425"/>
      </w:pPr>
      <w:rPr>
        <w:rFonts w:hint="default"/>
        <w:lang w:val="en-US" w:eastAsia="zh-CN" w:bidi="ar-SA"/>
      </w:rPr>
    </w:lvl>
    <w:lvl w:ilvl="4">
      <w:start w:val="0"/>
      <w:numFmt w:val="bullet"/>
      <w:lvlText w:val="•"/>
      <w:lvlJc w:val="left"/>
      <w:pPr>
        <w:ind w:left="4614" w:hanging="425"/>
      </w:pPr>
      <w:rPr>
        <w:rFonts w:hint="default"/>
        <w:lang w:val="en-US" w:eastAsia="zh-CN" w:bidi="ar-SA"/>
      </w:rPr>
    </w:lvl>
    <w:lvl w:ilvl="5">
      <w:start w:val="0"/>
      <w:numFmt w:val="bullet"/>
      <w:lvlText w:val="•"/>
      <w:lvlJc w:val="left"/>
      <w:pPr>
        <w:ind w:left="5583" w:hanging="425"/>
      </w:pPr>
      <w:rPr>
        <w:rFonts w:hint="default"/>
        <w:lang w:val="en-US" w:eastAsia="zh-CN" w:bidi="ar-SA"/>
      </w:rPr>
    </w:lvl>
    <w:lvl w:ilvl="6">
      <w:start w:val="0"/>
      <w:numFmt w:val="bullet"/>
      <w:lvlText w:val="•"/>
      <w:lvlJc w:val="left"/>
      <w:pPr>
        <w:ind w:left="6551" w:hanging="425"/>
      </w:pPr>
      <w:rPr>
        <w:rFonts w:hint="default"/>
        <w:lang w:val="en-US" w:eastAsia="zh-CN" w:bidi="ar-SA"/>
      </w:rPr>
    </w:lvl>
    <w:lvl w:ilvl="7">
      <w:start w:val="0"/>
      <w:numFmt w:val="bullet"/>
      <w:lvlText w:val="•"/>
      <w:lvlJc w:val="left"/>
      <w:pPr>
        <w:ind w:left="7520" w:hanging="425"/>
      </w:pPr>
      <w:rPr>
        <w:rFonts w:hint="default"/>
        <w:lang w:val="en-US" w:eastAsia="zh-CN" w:bidi="ar-SA"/>
      </w:rPr>
    </w:lvl>
    <w:lvl w:ilvl="8">
      <w:start w:val="0"/>
      <w:numFmt w:val="bullet"/>
      <w:lvlText w:val="•"/>
      <w:lvlJc w:val="left"/>
      <w:pPr>
        <w:ind w:left="8489" w:hanging="425"/>
      </w:pPr>
      <w:rPr>
        <w:rFonts w:hint="default"/>
        <w:lang w:val="en-US" w:eastAsia="zh-CN" w:bidi="ar-SA"/>
      </w:rPr>
    </w:lvl>
  </w:abstractNum>
  <w:abstractNum w:abstractNumId="41">
    <w:multiLevelType w:val="hybridMultilevel"/>
    <w:lvl w:ilvl="0">
      <w:start w:val="1"/>
      <w:numFmt w:val="decimal"/>
      <w:lvlText w:val="(%1)."/>
      <w:lvlJc w:val="left"/>
      <w:pPr>
        <w:ind w:left="74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1708" w:hanging="425"/>
      </w:pPr>
      <w:rPr>
        <w:rFonts w:hint="default"/>
        <w:lang w:val="en-US" w:eastAsia="zh-CN" w:bidi="ar-SA"/>
      </w:rPr>
    </w:lvl>
    <w:lvl w:ilvl="2">
      <w:start w:val="0"/>
      <w:numFmt w:val="bullet"/>
      <w:lvlText w:val="•"/>
      <w:lvlJc w:val="left"/>
      <w:pPr>
        <w:ind w:left="2677" w:hanging="425"/>
      </w:pPr>
      <w:rPr>
        <w:rFonts w:hint="default"/>
        <w:lang w:val="en-US" w:eastAsia="zh-CN" w:bidi="ar-SA"/>
      </w:rPr>
    </w:lvl>
    <w:lvl w:ilvl="3">
      <w:start w:val="0"/>
      <w:numFmt w:val="bullet"/>
      <w:lvlText w:val="•"/>
      <w:lvlJc w:val="left"/>
      <w:pPr>
        <w:ind w:left="3645" w:hanging="425"/>
      </w:pPr>
      <w:rPr>
        <w:rFonts w:hint="default"/>
        <w:lang w:val="en-US" w:eastAsia="zh-CN" w:bidi="ar-SA"/>
      </w:rPr>
    </w:lvl>
    <w:lvl w:ilvl="4">
      <w:start w:val="0"/>
      <w:numFmt w:val="bullet"/>
      <w:lvlText w:val="•"/>
      <w:lvlJc w:val="left"/>
      <w:pPr>
        <w:ind w:left="4614" w:hanging="425"/>
      </w:pPr>
      <w:rPr>
        <w:rFonts w:hint="default"/>
        <w:lang w:val="en-US" w:eastAsia="zh-CN" w:bidi="ar-SA"/>
      </w:rPr>
    </w:lvl>
    <w:lvl w:ilvl="5">
      <w:start w:val="0"/>
      <w:numFmt w:val="bullet"/>
      <w:lvlText w:val="•"/>
      <w:lvlJc w:val="left"/>
      <w:pPr>
        <w:ind w:left="5583" w:hanging="425"/>
      </w:pPr>
      <w:rPr>
        <w:rFonts w:hint="default"/>
        <w:lang w:val="en-US" w:eastAsia="zh-CN" w:bidi="ar-SA"/>
      </w:rPr>
    </w:lvl>
    <w:lvl w:ilvl="6">
      <w:start w:val="0"/>
      <w:numFmt w:val="bullet"/>
      <w:lvlText w:val="•"/>
      <w:lvlJc w:val="left"/>
      <w:pPr>
        <w:ind w:left="6551" w:hanging="425"/>
      </w:pPr>
      <w:rPr>
        <w:rFonts w:hint="default"/>
        <w:lang w:val="en-US" w:eastAsia="zh-CN" w:bidi="ar-SA"/>
      </w:rPr>
    </w:lvl>
    <w:lvl w:ilvl="7">
      <w:start w:val="0"/>
      <w:numFmt w:val="bullet"/>
      <w:lvlText w:val="•"/>
      <w:lvlJc w:val="left"/>
      <w:pPr>
        <w:ind w:left="7520" w:hanging="425"/>
      </w:pPr>
      <w:rPr>
        <w:rFonts w:hint="default"/>
        <w:lang w:val="en-US" w:eastAsia="zh-CN" w:bidi="ar-SA"/>
      </w:rPr>
    </w:lvl>
    <w:lvl w:ilvl="8">
      <w:start w:val="0"/>
      <w:numFmt w:val="bullet"/>
      <w:lvlText w:val="•"/>
      <w:lvlJc w:val="left"/>
      <w:pPr>
        <w:ind w:left="8489" w:hanging="425"/>
      </w:pPr>
      <w:rPr>
        <w:rFonts w:hint="default"/>
        <w:lang w:val="en-US" w:eastAsia="zh-CN" w:bidi="ar-SA"/>
      </w:rPr>
    </w:lvl>
  </w:abstractNum>
  <w:abstractNum w:abstractNumId="40">
    <w:multiLevelType w:val="hybridMultilevel"/>
    <w:lvl w:ilvl="0">
      <w:start w:val="2"/>
      <w:numFmt w:val="lowerLetter"/>
      <w:lvlText w:val="(%1)"/>
      <w:lvlJc w:val="left"/>
      <w:pPr>
        <w:ind w:left="635"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618" w:hanging="318"/>
      </w:pPr>
      <w:rPr>
        <w:rFonts w:hint="default"/>
        <w:lang w:val="en-US" w:eastAsia="zh-CN" w:bidi="ar-SA"/>
      </w:rPr>
    </w:lvl>
    <w:lvl w:ilvl="2">
      <w:start w:val="0"/>
      <w:numFmt w:val="bullet"/>
      <w:lvlText w:val="•"/>
      <w:lvlJc w:val="left"/>
      <w:pPr>
        <w:ind w:left="2597" w:hanging="318"/>
      </w:pPr>
      <w:rPr>
        <w:rFonts w:hint="default"/>
        <w:lang w:val="en-US" w:eastAsia="zh-CN" w:bidi="ar-SA"/>
      </w:rPr>
    </w:lvl>
    <w:lvl w:ilvl="3">
      <w:start w:val="0"/>
      <w:numFmt w:val="bullet"/>
      <w:lvlText w:val="•"/>
      <w:lvlJc w:val="left"/>
      <w:pPr>
        <w:ind w:left="3575" w:hanging="318"/>
      </w:pPr>
      <w:rPr>
        <w:rFonts w:hint="default"/>
        <w:lang w:val="en-US" w:eastAsia="zh-CN" w:bidi="ar-SA"/>
      </w:rPr>
    </w:lvl>
    <w:lvl w:ilvl="4">
      <w:start w:val="0"/>
      <w:numFmt w:val="bullet"/>
      <w:lvlText w:val="•"/>
      <w:lvlJc w:val="left"/>
      <w:pPr>
        <w:ind w:left="4554" w:hanging="318"/>
      </w:pPr>
      <w:rPr>
        <w:rFonts w:hint="default"/>
        <w:lang w:val="en-US" w:eastAsia="zh-CN" w:bidi="ar-SA"/>
      </w:rPr>
    </w:lvl>
    <w:lvl w:ilvl="5">
      <w:start w:val="0"/>
      <w:numFmt w:val="bullet"/>
      <w:lvlText w:val="•"/>
      <w:lvlJc w:val="left"/>
      <w:pPr>
        <w:ind w:left="5533" w:hanging="318"/>
      </w:pPr>
      <w:rPr>
        <w:rFonts w:hint="default"/>
        <w:lang w:val="en-US" w:eastAsia="zh-CN" w:bidi="ar-SA"/>
      </w:rPr>
    </w:lvl>
    <w:lvl w:ilvl="6">
      <w:start w:val="0"/>
      <w:numFmt w:val="bullet"/>
      <w:lvlText w:val="•"/>
      <w:lvlJc w:val="left"/>
      <w:pPr>
        <w:ind w:left="6511" w:hanging="318"/>
      </w:pPr>
      <w:rPr>
        <w:rFonts w:hint="default"/>
        <w:lang w:val="en-US" w:eastAsia="zh-CN" w:bidi="ar-SA"/>
      </w:rPr>
    </w:lvl>
    <w:lvl w:ilvl="7">
      <w:start w:val="0"/>
      <w:numFmt w:val="bullet"/>
      <w:lvlText w:val="•"/>
      <w:lvlJc w:val="left"/>
      <w:pPr>
        <w:ind w:left="7490" w:hanging="318"/>
      </w:pPr>
      <w:rPr>
        <w:rFonts w:hint="default"/>
        <w:lang w:val="en-US" w:eastAsia="zh-CN" w:bidi="ar-SA"/>
      </w:rPr>
    </w:lvl>
    <w:lvl w:ilvl="8">
      <w:start w:val="0"/>
      <w:numFmt w:val="bullet"/>
      <w:lvlText w:val="•"/>
      <w:lvlJc w:val="left"/>
      <w:pPr>
        <w:ind w:left="8469" w:hanging="318"/>
      </w:pPr>
      <w:rPr>
        <w:rFonts w:hint="default"/>
        <w:lang w:val="en-US" w:eastAsia="zh-CN" w:bidi="ar-SA"/>
      </w:rPr>
    </w:lvl>
  </w:abstractNum>
  <w:abstractNum w:abstractNumId="39">
    <w:multiLevelType w:val="hybridMultilevel"/>
    <w:lvl w:ilvl="0">
      <w:start w:val="0"/>
      <w:numFmt w:val="bullet"/>
      <w:lvlText w:val="•"/>
      <w:lvlJc w:val="left"/>
      <w:pPr>
        <w:ind w:left="318" w:hanging="107"/>
      </w:pPr>
      <w:rPr>
        <w:rFonts w:hint="default" w:ascii="SimSun" w:hAnsi="SimSun" w:eastAsia="SimSun" w:cs="SimSun"/>
        <w:w w:val="100"/>
        <w:sz w:val="19"/>
        <w:szCs w:val="19"/>
        <w:lang w:val="en-US" w:eastAsia="zh-CN" w:bidi="ar-SA"/>
      </w:rPr>
    </w:lvl>
    <w:lvl w:ilvl="1">
      <w:start w:val="0"/>
      <w:numFmt w:val="bullet"/>
      <w:lvlText w:val="•"/>
      <w:lvlJc w:val="left"/>
      <w:pPr>
        <w:ind w:left="318" w:hanging="107"/>
      </w:pPr>
      <w:rPr>
        <w:rFonts w:hint="default" w:ascii="SimSun" w:hAnsi="SimSun" w:eastAsia="SimSun" w:cs="SimSun"/>
        <w:w w:val="100"/>
        <w:sz w:val="19"/>
        <w:szCs w:val="19"/>
        <w:lang w:val="en-US" w:eastAsia="zh-CN" w:bidi="ar-SA"/>
      </w:rPr>
    </w:lvl>
    <w:lvl w:ilvl="2">
      <w:start w:val="0"/>
      <w:numFmt w:val="bullet"/>
      <w:lvlText w:val="•"/>
      <w:lvlJc w:val="left"/>
      <w:pPr>
        <w:ind w:left="2341" w:hanging="107"/>
      </w:pPr>
      <w:rPr>
        <w:rFonts w:hint="default"/>
        <w:lang w:val="en-US" w:eastAsia="zh-CN" w:bidi="ar-SA"/>
      </w:rPr>
    </w:lvl>
    <w:lvl w:ilvl="3">
      <w:start w:val="0"/>
      <w:numFmt w:val="bullet"/>
      <w:lvlText w:val="•"/>
      <w:lvlJc w:val="left"/>
      <w:pPr>
        <w:ind w:left="3351" w:hanging="107"/>
      </w:pPr>
      <w:rPr>
        <w:rFonts w:hint="default"/>
        <w:lang w:val="en-US" w:eastAsia="zh-CN" w:bidi="ar-SA"/>
      </w:rPr>
    </w:lvl>
    <w:lvl w:ilvl="4">
      <w:start w:val="0"/>
      <w:numFmt w:val="bullet"/>
      <w:lvlText w:val="•"/>
      <w:lvlJc w:val="left"/>
      <w:pPr>
        <w:ind w:left="4362" w:hanging="107"/>
      </w:pPr>
      <w:rPr>
        <w:rFonts w:hint="default"/>
        <w:lang w:val="en-US" w:eastAsia="zh-CN" w:bidi="ar-SA"/>
      </w:rPr>
    </w:lvl>
    <w:lvl w:ilvl="5">
      <w:start w:val="0"/>
      <w:numFmt w:val="bullet"/>
      <w:lvlText w:val="•"/>
      <w:lvlJc w:val="left"/>
      <w:pPr>
        <w:ind w:left="5373" w:hanging="107"/>
      </w:pPr>
      <w:rPr>
        <w:rFonts w:hint="default"/>
        <w:lang w:val="en-US" w:eastAsia="zh-CN" w:bidi="ar-SA"/>
      </w:rPr>
    </w:lvl>
    <w:lvl w:ilvl="6">
      <w:start w:val="0"/>
      <w:numFmt w:val="bullet"/>
      <w:lvlText w:val="•"/>
      <w:lvlJc w:val="left"/>
      <w:pPr>
        <w:ind w:left="6383" w:hanging="107"/>
      </w:pPr>
      <w:rPr>
        <w:rFonts w:hint="default"/>
        <w:lang w:val="en-US" w:eastAsia="zh-CN" w:bidi="ar-SA"/>
      </w:rPr>
    </w:lvl>
    <w:lvl w:ilvl="7">
      <w:start w:val="0"/>
      <w:numFmt w:val="bullet"/>
      <w:lvlText w:val="•"/>
      <w:lvlJc w:val="left"/>
      <w:pPr>
        <w:ind w:left="7394" w:hanging="107"/>
      </w:pPr>
      <w:rPr>
        <w:rFonts w:hint="default"/>
        <w:lang w:val="en-US" w:eastAsia="zh-CN" w:bidi="ar-SA"/>
      </w:rPr>
    </w:lvl>
    <w:lvl w:ilvl="8">
      <w:start w:val="0"/>
      <w:numFmt w:val="bullet"/>
      <w:lvlText w:val="•"/>
      <w:lvlJc w:val="left"/>
      <w:pPr>
        <w:ind w:left="8405" w:hanging="107"/>
      </w:pPr>
      <w:rPr>
        <w:rFonts w:hint="default"/>
        <w:lang w:val="en-US" w:eastAsia="zh-CN" w:bidi="ar-SA"/>
      </w:rPr>
    </w:lvl>
  </w:abstractNum>
  <w:abstractNum w:abstractNumId="38">
    <w:multiLevelType w:val="hybridMultilevel"/>
    <w:lvl w:ilvl="0">
      <w:start w:val="1"/>
      <w:numFmt w:val="lowerRoman"/>
      <w:lvlText w:val="(%1)"/>
      <w:lvlJc w:val="left"/>
      <w:pPr>
        <w:ind w:left="635"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618" w:hanging="318"/>
      </w:pPr>
      <w:rPr>
        <w:rFonts w:hint="default"/>
        <w:lang w:val="en-US" w:eastAsia="zh-CN" w:bidi="ar-SA"/>
      </w:rPr>
    </w:lvl>
    <w:lvl w:ilvl="2">
      <w:start w:val="0"/>
      <w:numFmt w:val="bullet"/>
      <w:lvlText w:val="•"/>
      <w:lvlJc w:val="left"/>
      <w:pPr>
        <w:ind w:left="2597" w:hanging="318"/>
      </w:pPr>
      <w:rPr>
        <w:rFonts w:hint="default"/>
        <w:lang w:val="en-US" w:eastAsia="zh-CN" w:bidi="ar-SA"/>
      </w:rPr>
    </w:lvl>
    <w:lvl w:ilvl="3">
      <w:start w:val="0"/>
      <w:numFmt w:val="bullet"/>
      <w:lvlText w:val="•"/>
      <w:lvlJc w:val="left"/>
      <w:pPr>
        <w:ind w:left="3575" w:hanging="318"/>
      </w:pPr>
      <w:rPr>
        <w:rFonts w:hint="default"/>
        <w:lang w:val="en-US" w:eastAsia="zh-CN" w:bidi="ar-SA"/>
      </w:rPr>
    </w:lvl>
    <w:lvl w:ilvl="4">
      <w:start w:val="0"/>
      <w:numFmt w:val="bullet"/>
      <w:lvlText w:val="•"/>
      <w:lvlJc w:val="left"/>
      <w:pPr>
        <w:ind w:left="4554" w:hanging="318"/>
      </w:pPr>
      <w:rPr>
        <w:rFonts w:hint="default"/>
        <w:lang w:val="en-US" w:eastAsia="zh-CN" w:bidi="ar-SA"/>
      </w:rPr>
    </w:lvl>
    <w:lvl w:ilvl="5">
      <w:start w:val="0"/>
      <w:numFmt w:val="bullet"/>
      <w:lvlText w:val="•"/>
      <w:lvlJc w:val="left"/>
      <w:pPr>
        <w:ind w:left="5533" w:hanging="318"/>
      </w:pPr>
      <w:rPr>
        <w:rFonts w:hint="default"/>
        <w:lang w:val="en-US" w:eastAsia="zh-CN" w:bidi="ar-SA"/>
      </w:rPr>
    </w:lvl>
    <w:lvl w:ilvl="6">
      <w:start w:val="0"/>
      <w:numFmt w:val="bullet"/>
      <w:lvlText w:val="•"/>
      <w:lvlJc w:val="left"/>
      <w:pPr>
        <w:ind w:left="6511" w:hanging="318"/>
      </w:pPr>
      <w:rPr>
        <w:rFonts w:hint="default"/>
        <w:lang w:val="en-US" w:eastAsia="zh-CN" w:bidi="ar-SA"/>
      </w:rPr>
    </w:lvl>
    <w:lvl w:ilvl="7">
      <w:start w:val="0"/>
      <w:numFmt w:val="bullet"/>
      <w:lvlText w:val="•"/>
      <w:lvlJc w:val="left"/>
      <w:pPr>
        <w:ind w:left="7490" w:hanging="318"/>
      </w:pPr>
      <w:rPr>
        <w:rFonts w:hint="default"/>
        <w:lang w:val="en-US" w:eastAsia="zh-CN" w:bidi="ar-SA"/>
      </w:rPr>
    </w:lvl>
    <w:lvl w:ilvl="8">
      <w:start w:val="0"/>
      <w:numFmt w:val="bullet"/>
      <w:lvlText w:val="•"/>
      <w:lvlJc w:val="left"/>
      <w:pPr>
        <w:ind w:left="8469" w:hanging="318"/>
      </w:pPr>
      <w:rPr>
        <w:rFonts w:hint="default"/>
        <w:lang w:val="en-US" w:eastAsia="zh-CN" w:bidi="ar-SA"/>
      </w:rPr>
    </w:lvl>
  </w:abstractNum>
  <w:abstractNum w:abstractNumId="37">
    <w:multiLevelType w:val="hybridMultilevel"/>
    <w:lvl w:ilvl="0">
      <w:start w:val="1"/>
      <w:numFmt w:val="lowerLetter"/>
      <w:lvlText w:val="(%1)"/>
      <w:lvlJc w:val="left"/>
      <w:pPr>
        <w:ind w:left="635"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618" w:hanging="318"/>
      </w:pPr>
      <w:rPr>
        <w:rFonts w:hint="default"/>
        <w:lang w:val="en-US" w:eastAsia="zh-CN" w:bidi="ar-SA"/>
      </w:rPr>
    </w:lvl>
    <w:lvl w:ilvl="2">
      <w:start w:val="0"/>
      <w:numFmt w:val="bullet"/>
      <w:lvlText w:val="•"/>
      <w:lvlJc w:val="left"/>
      <w:pPr>
        <w:ind w:left="2597" w:hanging="318"/>
      </w:pPr>
      <w:rPr>
        <w:rFonts w:hint="default"/>
        <w:lang w:val="en-US" w:eastAsia="zh-CN" w:bidi="ar-SA"/>
      </w:rPr>
    </w:lvl>
    <w:lvl w:ilvl="3">
      <w:start w:val="0"/>
      <w:numFmt w:val="bullet"/>
      <w:lvlText w:val="•"/>
      <w:lvlJc w:val="left"/>
      <w:pPr>
        <w:ind w:left="3575" w:hanging="318"/>
      </w:pPr>
      <w:rPr>
        <w:rFonts w:hint="default"/>
        <w:lang w:val="en-US" w:eastAsia="zh-CN" w:bidi="ar-SA"/>
      </w:rPr>
    </w:lvl>
    <w:lvl w:ilvl="4">
      <w:start w:val="0"/>
      <w:numFmt w:val="bullet"/>
      <w:lvlText w:val="•"/>
      <w:lvlJc w:val="left"/>
      <w:pPr>
        <w:ind w:left="4554" w:hanging="318"/>
      </w:pPr>
      <w:rPr>
        <w:rFonts w:hint="default"/>
        <w:lang w:val="en-US" w:eastAsia="zh-CN" w:bidi="ar-SA"/>
      </w:rPr>
    </w:lvl>
    <w:lvl w:ilvl="5">
      <w:start w:val="0"/>
      <w:numFmt w:val="bullet"/>
      <w:lvlText w:val="•"/>
      <w:lvlJc w:val="left"/>
      <w:pPr>
        <w:ind w:left="5533" w:hanging="318"/>
      </w:pPr>
      <w:rPr>
        <w:rFonts w:hint="default"/>
        <w:lang w:val="en-US" w:eastAsia="zh-CN" w:bidi="ar-SA"/>
      </w:rPr>
    </w:lvl>
    <w:lvl w:ilvl="6">
      <w:start w:val="0"/>
      <w:numFmt w:val="bullet"/>
      <w:lvlText w:val="•"/>
      <w:lvlJc w:val="left"/>
      <w:pPr>
        <w:ind w:left="6511" w:hanging="318"/>
      </w:pPr>
      <w:rPr>
        <w:rFonts w:hint="default"/>
        <w:lang w:val="en-US" w:eastAsia="zh-CN" w:bidi="ar-SA"/>
      </w:rPr>
    </w:lvl>
    <w:lvl w:ilvl="7">
      <w:start w:val="0"/>
      <w:numFmt w:val="bullet"/>
      <w:lvlText w:val="•"/>
      <w:lvlJc w:val="left"/>
      <w:pPr>
        <w:ind w:left="7490" w:hanging="318"/>
      </w:pPr>
      <w:rPr>
        <w:rFonts w:hint="default"/>
        <w:lang w:val="en-US" w:eastAsia="zh-CN" w:bidi="ar-SA"/>
      </w:rPr>
    </w:lvl>
    <w:lvl w:ilvl="8">
      <w:start w:val="0"/>
      <w:numFmt w:val="bullet"/>
      <w:lvlText w:val="•"/>
      <w:lvlJc w:val="left"/>
      <w:pPr>
        <w:ind w:left="8469" w:hanging="318"/>
      </w:pPr>
      <w:rPr>
        <w:rFonts w:hint="default"/>
        <w:lang w:val="en-US" w:eastAsia="zh-CN" w:bidi="ar-SA"/>
      </w:rPr>
    </w:lvl>
  </w:abstractNum>
  <w:abstractNum w:abstractNumId="36">
    <w:multiLevelType w:val="hybridMultilevel"/>
    <w:lvl w:ilvl="0">
      <w:start w:val="1"/>
      <w:numFmt w:val="lowerLetter"/>
      <w:lvlText w:val="(%1)"/>
      <w:lvlJc w:val="left"/>
      <w:pPr>
        <w:ind w:left="635"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618" w:hanging="318"/>
      </w:pPr>
      <w:rPr>
        <w:rFonts w:hint="default"/>
        <w:lang w:val="en-US" w:eastAsia="zh-CN" w:bidi="ar-SA"/>
      </w:rPr>
    </w:lvl>
    <w:lvl w:ilvl="2">
      <w:start w:val="0"/>
      <w:numFmt w:val="bullet"/>
      <w:lvlText w:val="•"/>
      <w:lvlJc w:val="left"/>
      <w:pPr>
        <w:ind w:left="2597" w:hanging="318"/>
      </w:pPr>
      <w:rPr>
        <w:rFonts w:hint="default"/>
        <w:lang w:val="en-US" w:eastAsia="zh-CN" w:bidi="ar-SA"/>
      </w:rPr>
    </w:lvl>
    <w:lvl w:ilvl="3">
      <w:start w:val="0"/>
      <w:numFmt w:val="bullet"/>
      <w:lvlText w:val="•"/>
      <w:lvlJc w:val="left"/>
      <w:pPr>
        <w:ind w:left="3575" w:hanging="318"/>
      </w:pPr>
      <w:rPr>
        <w:rFonts w:hint="default"/>
        <w:lang w:val="en-US" w:eastAsia="zh-CN" w:bidi="ar-SA"/>
      </w:rPr>
    </w:lvl>
    <w:lvl w:ilvl="4">
      <w:start w:val="0"/>
      <w:numFmt w:val="bullet"/>
      <w:lvlText w:val="•"/>
      <w:lvlJc w:val="left"/>
      <w:pPr>
        <w:ind w:left="4554" w:hanging="318"/>
      </w:pPr>
      <w:rPr>
        <w:rFonts w:hint="default"/>
        <w:lang w:val="en-US" w:eastAsia="zh-CN" w:bidi="ar-SA"/>
      </w:rPr>
    </w:lvl>
    <w:lvl w:ilvl="5">
      <w:start w:val="0"/>
      <w:numFmt w:val="bullet"/>
      <w:lvlText w:val="•"/>
      <w:lvlJc w:val="left"/>
      <w:pPr>
        <w:ind w:left="5533" w:hanging="318"/>
      </w:pPr>
      <w:rPr>
        <w:rFonts w:hint="default"/>
        <w:lang w:val="en-US" w:eastAsia="zh-CN" w:bidi="ar-SA"/>
      </w:rPr>
    </w:lvl>
    <w:lvl w:ilvl="6">
      <w:start w:val="0"/>
      <w:numFmt w:val="bullet"/>
      <w:lvlText w:val="•"/>
      <w:lvlJc w:val="left"/>
      <w:pPr>
        <w:ind w:left="6511" w:hanging="318"/>
      </w:pPr>
      <w:rPr>
        <w:rFonts w:hint="default"/>
        <w:lang w:val="en-US" w:eastAsia="zh-CN" w:bidi="ar-SA"/>
      </w:rPr>
    </w:lvl>
    <w:lvl w:ilvl="7">
      <w:start w:val="0"/>
      <w:numFmt w:val="bullet"/>
      <w:lvlText w:val="•"/>
      <w:lvlJc w:val="left"/>
      <w:pPr>
        <w:ind w:left="7490" w:hanging="318"/>
      </w:pPr>
      <w:rPr>
        <w:rFonts w:hint="default"/>
        <w:lang w:val="en-US" w:eastAsia="zh-CN" w:bidi="ar-SA"/>
      </w:rPr>
    </w:lvl>
    <w:lvl w:ilvl="8">
      <w:start w:val="0"/>
      <w:numFmt w:val="bullet"/>
      <w:lvlText w:val="•"/>
      <w:lvlJc w:val="left"/>
      <w:pPr>
        <w:ind w:left="8469" w:hanging="318"/>
      </w:pPr>
      <w:rPr>
        <w:rFonts w:hint="default"/>
        <w:lang w:val="en-US" w:eastAsia="zh-CN" w:bidi="ar-SA"/>
      </w:rPr>
    </w:lvl>
  </w:abstractNum>
  <w:abstractNum w:abstractNumId="35">
    <w:multiLevelType w:val="hybridMultilevel"/>
    <w:lvl w:ilvl="0">
      <w:start w:val="1"/>
      <w:numFmt w:val="decimal"/>
      <w:lvlText w:val="%1."/>
      <w:lvlJc w:val="left"/>
      <w:pPr>
        <w:ind w:left="742" w:hanging="425"/>
        <w:jc w:val="left"/>
      </w:pPr>
      <w:rPr>
        <w:rFonts w:hint="default" w:ascii="SimSun" w:hAnsi="SimSun" w:eastAsia="SimSun" w:cs="SimSun"/>
        <w:w w:val="100"/>
        <w:sz w:val="21"/>
        <w:szCs w:val="21"/>
        <w:lang w:val="en-US" w:eastAsia="zh-CN" w:bidi="ar-SA"/>
      </w:rPr>
    </w:lvl>
    <w:lvl w:ilvl="1">
      <w:start w:val="0"/>
      <w:numFmt w:val="bullet"/>
      <w:lvlText w:val="•"/>
      <w:lvlJc w:val="left"/>
      <w:pPr>
        <w:ind w:left="1708" w:hanging="425"/>
      </w:pPr>
      <w:rPr>
        <w:rFonts w:hint="default"/>
        <w:lang w:val="en-US" w:eastAsia="zh-CN" w:bidi="ar-SA"/>
      </w:rPr>
    </w:lvl>
    <w:lvl w:ilvl="2">
      <w:start w:val="0"/>
      <w:numFmt w:val="bullet"/>
      <w:lvlText w:val="•"/>
      <w:lvlJc w:val="left"/>
      <w:pPr>
        <w:ind w:left="2677" w:hanging="425"/>
      </w:pPr>
      <w:rPr>
        <w:rFonts w:hint="default"/>
        <w:lang w:val="en-US" w:eastAsia="zh-CN" w:bidi="ar-SA"/>
      </w:rPr>
    </w:lvl>
    <w:lvl w:ilvl="3">
      <w:start w:val="0"/>
      <w:numFmt w:val="bullet"/>
      <w:lvlText w:val="•"/>
      <w:lvlJc w:val="left"/>
      <w:pPr>
        <w:ind w:left="3645" w:hanging="425"/>
      </w:pPr>
      <w:rPr>
        <w:rFonts w:hint="default"/>
        <w:lang w:val="en-US" w:eastAsia="zh-CN" w:bidi="ar-SA"/>
      </w:rPr>
    </w:lvl>
    <w:lvl w:ilvl="4">
      <w:start w:val="0"/>
      <w:numFmt w:val="bullet"/>
      <w:lvlText w:val="•"/>
      <w:lvlJc w:val="left"/>
      <w:pPr>
        <w:ind w:left="4614" w:hanging="425"/>
      </w:pPr>
      <w:rPr>
        <w:rFonts w:hint="default"/>
        <w:lang w:val="en-US" w:eastAsia="zh-CN" w:bidi="ar-SA"/>
      </w:rPr>
    </w:lvl>
    <w:lvl w:ilvl="5">
      <w:start w:val="0"/>
      <w:numFmt w:val="bullet"/>
      <w:lvlText w:val="•"/>
      <w:lvlJc w:val="left"/>
      <w:pPr>
        <w:ind w:left="5583" w:hanging="425"/>
      </w:pPr>
      <w:rPr>
        <w:rFonts w:hint="default"/>
        <w:lang w:val="en-US" w:eastAsia="zh-CN" w:bidi="ar-SA"/>
      </w:rPr>
    </w:lvl>
    <w:lvl w:ilvl="6">
      <w:start w:val="0"/>
      <w:numFmt w:val="bullet"/>
      <w:lvlText w:val="•"/>
      <w:lvlJc w:val="left"/>
      <w:pPr>
        <w:ind w:left="6551" w:hanging="425"/>
      </w:pPr>
      <w:rPr>
        <w:rFonts w:hint="default"/>
        <w:lang w:val="en-US" w:eastAsia="zh-CN" w:bidi="ar-SA"/>
      </w:rPr>
    </w:lvl>
    <w:lvl w:ilvl="7">
      <w:start w:val="0"/>
      <w:numFmt w:val="bullet"/>
      <w:lvlText w:val="•"/>
      <w:lvlJc w:val="left"/>
      <w:pPr>
        <w:ind w:left="7520" w:hanging="425"/>
      </w:pPr>
      <w:rPr>
        <w:rFonts w:hint="default"/>
        <w:lang w:val="en-US" w:eastAsia="zh-CN" w:bidi="ar-SA"/>
      </w:rPr>
    </w:lvl>
    <w:lvl w:ilvl="8">
      <w:start w:val="0"/>
      <w:numFmt w:val="bullet"/>
      <w:lvlText w:val="•"/>
      <w:lvlJc w:val="left"/>
      <w:pPr>
        <w:ind w:left="8489" w:hanging="425"/>
      </w:pPr>
      <w:rPr>
        <w:rFonts w:hint="default"/>
        <w:lang w:val="en-US" w:eastAsia="zh-CN" w:bidi="ar-SA"/>
      </w:rPr>
    </w:lvl>
  </w:abstractNum>
  <w:abstractNum w:abstractNumId="34">
    <w:multiLevelType w:val="hybridMultilevel"/>
    <w:lvl w:ilvl="0">
      <w:start w:val="1"/>
      <w:numFmt w:val="decimal"/>
      <w:lvlText w:val="%1."/>
      <w:lvlJc w:val="left"/>
      <w:pPr>
        <w:ind w:left="742" w:hanging="425"/>
        <w:jc w:val="left"/>
      </w:pPr>
      <w:rPr>
        <w:rFonts w:hint="default" w:ascii="SimSun" w:hAnsi="SimSun" w:eastAsia="SimSun" w:cs="SimSun"/>
        <w:w w:val="100"/>
        <w:sz w:val="21"/>
        <w:szCs w:val="21"/>
        <w:lang w:val="en-US" w:eastAsia="zh-CN" w:bidi="ar-SA"/>
      </w:rPr>
    </w:lvl>
    <w:lvl w:ilvl="1">
      <w:start w:val="0"/>
      <w:numFmt w:val="bullet"/>
      <w:lvlText w:val="•"/>
      <w:lvlJc w:val="left"/>
      <w:pPr>
        <w:ind w:left="1708" w:hanging="425"/>
      </w:pPr>
      <w:rPr>
        <w:rFonts w:hint="default"/>
        <w:lang w:val="en-US" w:eastAsia="zh-CN" w:bidi="ar-SA"/>
      </w:rPr>
    </w:lvl>
    <w:lvl w:ilvl="2">
      <w:start w:val="0"/>
      <w:numFmt w:val="bullet"/>
      <w:lvlText w:val="•"/>
      <w:lvlJc w:val="left"/>
      <w:pPr>
        <w:ind w:left="2677" w:hanging="425"/>
      </w:pPr>
      <w:rPr>
        <w:rFonts w:hint="default"/>
        <w:lang w:val="en-US" w:eastAsia="zh-CN" w:bidi="ar-SA"/>
      </w:rPr>
    </w:lvl>
    <w:lvl w:ilvl="3">
      <w:start w:val="0"/>
      <w:numFmt w:val="bullet"/>
      <w:lvlText w:val="•"/>
      <w:lvlJc w:val="left"/>
      <w:pPr>
        <w:ind w:left="3645" w:hanging="425"/>
      </w:pPr>
      <w:rPr>
        <w:rFonts w:hint="default"/>
        <w:lang w:val="en-US" w:eastAsia="zh-CN" w:bidi="ar-SA"/>
      </w:rPr>
    </w:lvl>
    <w:lvl w:ilvl="4">
      <w:start w:val="0"/>
      <w:numFmt w:val="bullet"/>
      <w:lvlText w:val="•"/>
      <w:lvlJc w:val="left"/>
      <w:pPr>
        <w:ind w:left="4614" w:hanging="425"/>
      </w:pPr>
      <w:rPr>
        <w:rFonts w:hint="default"/>
        <w:lang w:val="en-US" w:eastAsia="zh-CN" w:bidi="ar-SA"/>
      </w:rPr>
    </w:lvl>
    <w:lvl w:ilvl="5">
      <w:start w:val="0"/>
      <w:numFmt w:val="bullet"/>
      <w:lvlText w:val="•"/>
      <w:lvlJc w:val="left"/>
      <w:pPr>
        <w:ind w:left="5583" w:hanging="425"/>
      </w:pPr>
      <w:rPr>
        <w:rFonts w:hint="default"/>
        <w:lang w:val="en-US" w:eastAsia="zh-CN" w:bidi="ar-SA"/>
      </w:rPr>
    </w:lvl>
    <w:lvl w:ilvl="6">
      <w:start w:val="0"/>
      <w:numFmt w:val="bullet"/>
      <w:lvlText w:val="•"/>
      <w:lvlJc w:val="left"/>
      <w:pPr>
        <w:ind w:left="6551" w:hanging="425"/>
      </w:pPr>
      <w:rPr>
        <w:rFonts w:hint="default"/>
        <w:lang w:val="en-US" w:eastAsia="zh-CN" w:bidi="ar-SA"/>
      </w:rPr>
    </w:lvl>
    <w:lvl w:ilvl="7">
      <w:start w:val="0"/>
      <w:numFmt w:val="bullet"/>
      <w:lvlText w:val="•"/>
      <w:lvlJc w:val="left"/>
      <w:pPr>
        <w:ind w:left="7520" w:hanging="425"/>
      </w:pPr>
      <w:rPr>
        <w:rFonts w:hint="default"/>
        <w:lang w:val="en-US" w:eastAsia="zh-CN" w:bidi="ar-SA"/>
      </w:rPr>
    </w:lvl>
    <w:lvl w:ilvl="8">
      <w:start w:val="0"/>
      <w:numFmt w:val="bullet"/>
      <w:lvlText w:val="•"/>
      <w:lvlJc w:val="left"/>
      <w:pPr>
        <w:ind w:left="8489" w:hanging="425"/>
      </w:pPr>
      <w:rPr>
        <w:rFonts w:hint="default"/>
        <w:lang w:val="en-US" w:eastAsia="zh-CN" w:bidi="ar-SA"/>
      </w:rPr>
    </w:lvl>
  </w:abstractNum>
  <w:abstractNum w:abstractNumId="33">
    <w:multiLevelType w:val="hybridMultilevel"/>
    <w:lvl w:ilvl="0">
      <w:start w:val="1"/>
      <w:numFmt w:val="decimal"/>
      <w:lvlText w:val="%1."/>
      <w:lvlJc w:val="left"/>
      <w:pPr>
        <w:ind w:left="738" w:hanging="420"/>
        <w:jc w:val="left"/>
      </w:pPr>
      <w:rPr>
        <w:rFonts w:hint="default" w:ascii="SimSun" w:hAnsi="SimSun" w:eastAsia="SimSun" w:cs="SimSun"/>
        <w:w w:val="100"/>
        <w:sz w:val="21"/>
        <w:szCs w:val="21"/>
        <w:lang w:val="en-US" w:eastAsia="zh-CN" w:bidi="ar-SA"/>
      </w:rPr>
    </w:lvl>
    <w:lvl w:ilvl="1">
      <w:start w:val="0"/>
      <w:numFmt w:val="bullet"/>
      <w:lvlText w:val="•"/>
      <w:lvlJc w:val="left"/>
      <w:pPr>
        <w:ind w:left="1708" w:hanging="420"/>
      </w:pPr>
      <w:rPr>
        <w:rFonts w:hint="default"/>
        <w:lang w:val="en-US" w:eastAsia="zh-CN" w:bidi="ar-SA"/>
      </w:rPr>
    </w:lvl>
    <w:lvl w:ilvl="2">
      <w:start w:val="0"/>
      <w:numFmt w:val="bullet"/>
      <w:lvlText w:val="•"/>
      <w:lvlJc w:val="left"/>
      <w:pPr>
        <w:ind w:left="2677" w:hanging="420"/>
      </w:pPr>
      <w:rPr>
        <w:rFonts w:hint="default"/>
        <w:lang w:val="en-US" w:eastAsia="zh-CN" w:bidi="ar-SA"/>
      </w:rPr>
    </w:lvl>
    <w:lvl w:ilvl="3">
      <w:start w:val="0"/>
      <w:numFmt w:val="bullet"/>
      <w:lvlText w:val="•"/>
      <w:lvlJc w:val="left"/>
      <w:pPr>
        <w:ind w:left="3645" w:hanging="420"/>
      </w:pPr>
      <w:rPr>
        <w:rFonts w:hint="default"/>
        <w:lang w:val="en-US" w:eastAsia="zh-CN" w:bidi="ar-SA"/>
      </w:rPr>
    </w:lvl>
    <w:lvl w:ilvl="4">
      <w:start w:val="0"/>
      <w:numFmt w:val="bullet"/>
      <w:lvlText w:val="•"/>
      <w:lvlJc w:val="left"/>
      <w:pPr>
        <w:ind w:left="4614" w:hanging="420"/>
      </w:pPr>
      <w:rPr>
        <w:rFonts w:hint="default"/>
        <w:lang w:val="en-US" w:eastAsia="zh-CN" w:bidi="ar-SA"/>
      </w:rPr>
    </w:lvl>
    <w:lvl w:ilvl="5">
      <w:start w:val="0"/>
      <w:numFmt w:val="bullet"/>
      <w:lvlText w:val="•"/>
      <w:lvlJc w:val="left"/>
      <w:pPr>
        <w:ind w:left="5583" w:hanging="420"/>
      </w:pPr>
      <w:rPr>
        <w:rFonts w:hint="default"/>
        <w:lang w:val="en-US" w:eastAsia="zh-CN" w:bidi="ar-SA"/>
      </w:rPr>
    </w:lvl>
    <w:lvl w:ilvl="6">
      <w:start w:val="0"/>
      <w:numFmt w:val="bullet"/>
      <w:lvlText w:val="•"/>
      <w:lvlJc w:val="left"/>
      <w:pPr>
        <w:ind w:left="6551" w:hanging="420"/>
      </w:pPr>
      <w:rPr>
        <w:rFonts w:hint="default"/>
        <w:lang w:val="en-US" w:eastAsia="zh-CN" w:bidi="ar-SA"/>
      </w:rPr>
    </w:lvl>
    <w:lvl w:ilvl="7">
      <w:start w:val="0"/>
      <w:numFmt w:val="bullet"/>
      <w:lvlText w:val="•"/>
      <w:lvlJc w:val="left"/>
      <w:pPr>
        <w:ind w:left="7520" w:hanging="420"/>
      </w:pPr>
      <w:rPr>
        <w:rFonts w:hint="default"/>
        <w:lang w:val="en-US" w:eastAsia="zh-CN" w:bidi="ar-SA"/>
      </w:rPr>
    </w:lvl>
    <w:lvl w:ilvl="8">
      <w:start w:val="0"/>
      <w:numFmt w:val="bullet"/>
      <w:lvlText w:val="•"/>
      <w:lvlJc w:val="left"/>
      <w:pPr>
        <w:ind w:left="8489" w:hanging="420"/>
      </w:pPr>
      <w:rPr>
        <w:rFonts w:hint="default"/>
        <w:lang w:val="en-US" w:eastAsia="zh-CN" w:bidi="ar-SA"/>
      </w:rPr>
    </w:lvl>
  </w:abstractNum>
  <w:abstractNum w:abstractNumId="32">
    <w:multiLevelType w:val="hybridMultilevel"/>
    <w:lvl w:ilvl="0">
      <w:start w:val="1"/>
      <w:numFmt w:val="decimal"/>
      <w:lvlText w:val="%1"/>
      <w:lvlJc w:val="left"/>
      <w:pPr>
        <w:ind w:left="742" w:hanging="425"/>
        <w:jc w:val="left"/>
      </w:pPr>
      <w:rPr>
        <w:rFonts w:hint="default" w:ascii="SimSun" w:hAnsi="SimSun" w:eastAsia="SimSun" w:cs="SimSun"/>
        <w:w w:val="100"/>
        <w:sz w:val="21"/>
        <w:szCs w:val="21"/>
        <w:lang w:val="en-US" w:eastAsia="zh-CN" w:bidi="ar-SA"/>
      </w:rPr>
    </w:lvl>
    <w:lvl w:ilvl="1">
      <w:start w:val="0"/>
      <w:numFmt w:val="bullet"/>
      <w:lvlText w:val="•"/>
      <w:lvlJc w:val="left"/>
      <w:pPr>
        <w:ind w:left="1708" w:hanging="425"/>
      </w:pPr>
      <w:rPr>
        <w:rFonts w:hint="default"/>
        <w:lang w:val="en-US" w:eastAsia="zh-CN" w:bidi="ar-SA"/>
      </w:rPr>
    </w:lvl>
    <w:lvl w:ilvl="2">
      <w:start w:val="0"/>
      <w:numFmt w:val="bullet"/>
      <w:lvlText w:val="•"/>
      <w:lvlJc w:val="left"/>
      <w:pPr>
        <w:ind w:left="2677" w:hanging="425"/>
      </w:pPr>
      <w:rPr>
        <w:rFonts w:hint="default"/>
        <w:lang w:val="en-US" w:eastAsia="zh-CN" w:bidi="ar-SA"/>
      </w:rPr>
    </w:lvl>
    <w:lvl w:ilvl="3">
      <w:start w:val="0"/>
      <w:numFmt w:val="bullet"/>
      <w:lvlText w:val="•"/>
      <w:lvlJc w:val="left"/>
      <w:pPr>
        <w:ind w:left="3645" w:hanging="425"/>
      </w:pPr>
      <w:rPr>
        <w:rFonts w:hint="default"/>
        <w:lang w:val="en-US" w:eastAsia="zh-CN" w:bidi="ar-SA"/>
      </w:rPr>
    </w:lvl>
    <w:lvl w:ilvl="4">
      <w:start w:val="0"/>
      <w:numFmt w:val="bullet"/>
      <w:lvlText w:val="•"/>
      <w:lvlJc w:val="left"/>
      <w:pPr>
        <w:ind w:left="4614" w:hanging="425"/>
      </w:pPr>
      <w:rPr>
        <w:rFonts w:hint="default"/>
        <w:lang w:val="en-US" w:eastAsia="zh-CN" w:bidi="ar-SA"/>
      </w:rPr>
    </w:lvl>
    <w:lvl w:ilvl="5">
      <w:start w:val="0"/>
      <w:numFmt w:val="bullet"/>
      <w:lvlText w:val="•"/>
      <w:lvlJc w:val="left"/>
      <w:pPr>
        <w:ind w:left="5583" w:hanging="425"/>
      </w:pPr>
      <w:rPr>
        <w:rFonts w:hint="default"/>
        <w:lang w:val="en-US" w:eastAsia="zh-CN" w:bidi="ar-SA"/>
      </w:rPr>
    </w:lvl>
    <w:lvl w:ilvl="6">
      <w:start w:val="0"/>
      <w:numFmt w:val="bullet"/>
      <w:lvlText w:val="•"/>
      <w:lvlJc w:val="left"/>
      <w:pPr>
        <w:ind w:left="6551" w:hanging="425"/>
      </w:pPr>
      <w:rPr>
        <w:rFonts w:hint="default"/>
        <w:lang w:val="en-US" w:eastAsia="zh-CN" w:bidi="ar-SA"/>
      </w:rPr>
    </w:lvl>
    <w:lvl w:ilvl="7">
      <w:start w:val="0"/>
      <w:numFmt w:val="bullet"/>
      <w:lvlText w:val="•"/>
      <w:lvlJc w:val="left"/>
      <w:pPr>
        <w:ind w:left="7520" w:hanging="425"/>
      </w:pPr>
      <w:rPr>
        <w:rFonts w:hint="default"/>
        <w:lang w:val="en-US" w:eastAsia="zh-CN" w:bidi="ar-SA"/>
      </w:rPr>
    </w:lvl>
    <w:lvl w:ilvl="8">
      <w:start w:val="0"/>
      <w:numFmt w:val="bullet"/>
      <w:lvlText w:val="•"/>
      <w:lvlJc w:val="left"/>
      <w:pPr>
        <w:ind w:left="8489" w:hanging="425"/>
      </w:pPr>
      <w:rPr>
        <w:rFonts w:hint="default"/>
        <w:lang w:val="en-US" w:eastAsia="zh-CN" w:bidi="ar-SA"/>
      </w:rPr>
    </w:lvl>
  </w:abstractNum>
  <w:abstractNum w:abstractNumId="31">
    <w:multiLevelType w:val="hybridMultilevel"/>
    <w:lvl w:ilvl="0">
      <w:start w:val="1"/>
      <w:numFmt w:val="decimal"/>
      <w:lvlText w:val="%1"/>
      <w:lvlJc w:val="left"/>
      <w:pPr>
        <w:ind w:left="738" w:hanging="420"/>
        <w:jc w:val="left"/>
      </w:pPr>
      <w:rPr>
        <w:rFonts w:hint="default" w:ascii="SimSun" w:hAnsi="SimSun" w:eastAsia="SimSun" w:cs="SimSun"/>
        <w:w w:val="100"/>
        <w:sz w:val="21"/>
        <w:szCs w:val="21"/>
        <w:lang w:val="en-US" w:eastAsia="zh-CN" w:bidi="ar-SA"/>
      </w:rPr>
    </w:lvl>
    <w:lvl w:ilvl="1">
      <w:start w:val="0"/>
      <w:numFmt w:val="bullet"/>
      <w:lvlText w:val="•"/>
      <w:lvlJc w:val="left"/>
      <w:pPr>
        <w:ind w:left="1708" w:hanging="420"/>
      </w:pPr>
      <w:rPr>
        <w:rFonts w:hint="default"/>
        <w:lang w:val="en-US" w:eastAsia="zh-CN" w:bidi="ar-SA"/>
      </w:rPr>
    </w:lvl>
    <w:lvl w:ilvl="2">
      <w:start w:val="0"/>
      <w:numFmt w:val="bullet"/>
      <w:lvlText w:val="•"/>
      <w:lvlJc w:val="left"/>
      <w:pPr>
        <w:ind w:left="2677" w:hanging="420"/>
      </w:pPr>
      <w:rPr>
        <w:rFonts w:hint="default"/>
        <w:lang w:val="en-US" w:eastAsia="zh-CN" w:bidi="ar-SA"/>
      </w:rPr>
    </w:lvl>
    <w:lvl w:ilvl="3">
      <w:start w:val="0"/>
      <w:numFmt w:val="bullet"/>
      <w:lvlText w:val="•"/>
      <w:lvlJc w:val="left"/>
      <w:pPr>
        <w:ind w:left="3645" w:hanging="420"/>
      </w:pPr>
      <w:rPr>
        <w:rFonts w:hint="default"/>
        <w:lang w:val="en-US" w:eastAsia="zh-CN" w:bidi="ar-SA"/>
      </w:rPr>
    </w:lvl>
    <w:lvl w:ilvl="4">
      <w:start w:val="0"/>
      <w:numFmt w:val="bullet"/>
      <w:lvlText w:val="•"/>
      <w:lvlJc w:val="left"/>
      <w:pPr>
        <w:ind w:left="4614" w:hanging="420"/>
      </w:pPr>
      <w:rPr>
        <w:rFonts w:hint="default"/>
        <w:lang w:val="en-US" w:eastAsia="zh-CN" w:bidi="ar-SA"/>
      </w:rPr>
    </w:lvl>
    <w:lvl w:ilvl="5">
      <w:start w:val="0"/>
      <w:numFmt w:val="bullet"/>
      <w:lvlText w:val="•"/>
      <w:lvlJc w:val="left"/>
      <w:pPr>
        <w:ind w:left="5583" w:hanging="420"/>
      </w:pPr>
      <w:rPr>
        <w:rFonts w:hint="default"/>
        <w:lang w:val="en-US" w:eastAsia="zh-CN" w:bidi="ar-SA"/>
      </w:rPr>
    </w:lvl>
    <w:lvl w:ilvl="6">
      <w:start w:val="0"/>
      <w:numFmt w:val="bullet"/>
      <w:lvlText w:val="•"/>
      <w:lvlJc w:val="left"/>
      <w:pPr>
        <w:ind w:left="6551" w:hanging="420"/>
      </w:pPr>
      <w:rPr>
        <w:rFonts w:hint="default"/>
        <w:lang w:val="en-US" w:eastAsia="zh-CN" w:bidi="ar-SA"/>
      </w:rPr>
    </w:lvl>
    <w:lvl w:ilvl="7">
      <w:start w:val="0"/>
      <w:numFmt w:val="bullet"/>
      <w:lvlText w:val="•"/>
      <w:lvlJc w:val="left"/>
      <w:pPr>
        <w:ind w:left="7520" w:hanging="420"/>
      </w:pPr>
      <w:rPr>
        <w:rFonts w:hint="default"/>
        <w:lang w:val="en-US" w:eastAsia="zh-CN" w:bidi="ar-SA"/>
      </w:rPr>
    </w:lvl>
    <w:lvl w:ilvl="8">
      <w:start w:val="0"/>
      <w:numFmt w:val="bullet"/>
      <w:lvlText w:val="•"/>
      <w:lvlJc w:val="left"/>
      <w:pPr>
        <w:ind w:left="8489" w:hanging="420"/>
      </w:pPr>
      <w:rPr>
        <w:rFonts w:hint="default"/>
        <w:lang w:val="en-US" w:eastAsia="zh-CN" w:bidi="ar-SA"/>
      </w:rPr>
    </w:lvl>
  </w:abstractNum>
  <w:abstractNum w:abstractNumId="30">
    <w:multiLevelType w:val="hybridMultilevel"/>
    <w:lvl w:ilvl="0">
      <w:start w:val="1"/>
      <w:numFmt w:val="decimal"/>
      <w:lvlText w:val="(%1)"/>
      <w:lvlJc w:val="left"/>
      <w:pPr>
        <w:ind w:left="478" w:hanging="360"/>
        <w:jc w:val="left"/>
      </w:pPr>
      <w:rPr>
        <w:rFonts w:hint="default" w:ascii="SimSun" w:hAnsi="SimSun" w:eastAsia="SimSun" w:cs="SimSun"/>
        <w:w w:val="100"/>
        <w:sz w:val="21"/>
        <w:szCs w:val="21"/>
        <w:lang w:val="en-US" w:eastAsia="zh-CN" w:bidi="ar-SA"/>
      </w:rPr>
    </w:lvl>
    <w:lvl w:ilvl="1">
      <w:start w:val="0"/>
      <w:numFmt w:val="bullet"/>
      <w:lvlText w:val="•"/>
      <w:lvlJc w:val="left"/>
      <w:pPr>
        <w:ind w:left="1348" w:hanging="360"/>
      </w:pPr>
      <w:rPr>
        <w:rFonts w:hint="default"/>
        <w:lang w:val="en-US" w:eastAsia="zh-CN" w:bidi="ar-SA"/>
      </w:rPr>
    </w:lvl>
    <w:lvl w:ilvl="2">
      <w:start w:val="0"/>
      <w:numFmt w:val="bullet"/>
      <w:lvlText w:val="•"/>
      <w:lvlJc w:val="left"/>
      <w:pPr>
        <w:ind w:left="2217" w:hanging="360"/>
      </w:pPr>
      <w:rPr>
        <w:rFonts w:hint="default"/>
        <w:lang w:val="en-US" w:eastAsia="zh-CN" w:bidi="ar-SA"/>
      </w:rPr>
    </w:lvl>
    <w:lvl w:ilvl="3">
      <w:start w:val="0"/>
      <w:numFmt w:val="bullet"/>
      <w:lvlText w:val="•"/>
      <w:lvlJc w:val="left"/>
      <w:pPr>
        <w:ind w:left="3085" w:hanging="360"/>
      </w:pPr>
      <w:rPr>
        <w:rFonts w:hint="default"/>
        <w:lang w:val="en-US" w:eastAsia="zh-CN" w:bidi="ar-SA"/>
      </w:rPr>
    </w:lvl>
    <w:lvl w:ilvl="4">
      <w:start w:val="0"/>
      <w:numFmt w:val="bullet"/>
      <w:lvlText w:val="•"/>
      <w:lvlJc w:val="left"/>
      <w:pPr>
        <w:ind w:left="3954" w:hanging="360"/>
      </w:pPr>
      <w:rPr>
        <w:rFonts w:hint="default"/>
        <w:lang w:val="en-US" w:eastAsia="zh-CN" w:bidi="ar-SA"/>
      </w:rPr>
    </w:lvl>
    <w:lvl w:ilvl="5">
      <w:start w:val="0"/>
      <w:numFmt w:val="bullet"/>
      <w:lvlText w:val="•"/>
      <w:lvlJc w:val="left"/>
      <w:pPr>
        <w:ind w:left="4823" w:hanging="360"/>
      </w:pPr>
      <w:rPr>
        <w:rFonts w:hint="default"/>
        <w:lang w:val="en-US" w:eastAsia="zh-CN" w:bidi="ar-SA"/>
      </w:rPr>
    </w:lvl>
    <w:lvl w:ilvl="6">
      <w:start w:val="0"/>
      <w:numFmt w:val="bullet"/>
      <w:lvlText w:val="•"/>
      <w:lvlJc w:val="left"/>
      <w:pPr>
        <w:ind w:left="5691" w:hanging="360"/>
      </w:pPr>
      <w:rPr>
        <w:rFonts w:hint="default"/>
        <w:lang w:val="en-US" w:eastAsia="zh-CN" w:bidi="ar-SA"/>
      </w:rPr>
    </w:lvl>
    <w:lvl w:ilvl="7">
      <w:start w:val="0"/>
      <w:numFmt w:val="bullet"/>
      <w:lvlText w:val="•"/>
      <w:lvlJc w:val="left"/>
      <w:pPr>
        <w:ind w:left="6560" w:hanging="360"/>
      </w:pPr>
      <w:rPr>
        <w:rFonts w:hint="default"/>
        <w:lang w:val="en-US" w:eastAsia="zh-CN" w:bidi="ar-SA"/>
      </w:rPr>
    </w:lvl>
    <w:lvl w:ilvl="8">
      <w:start w:val="0"/>
      <w:numFmt w:val="bullet"/>
      <w:lvlText w:val="•"/>
      <w:lvlJc w:val="left"/>
      <w:pPr>
        <w:ind w:left="7429" w:hanging="360"/>
      </w:pPr>
      <w:rPr>
        <w:rFonts w:hint="default"/>
        <w:lang w:val="en-US" w:eastAsia="zh-CN" w:bidi="ar-SA"/>
      </w:rPr>
    </w:lvl>
  </w:abstractNum>
  <w:abstractNum w:abstractNumId="29">
    <w:multiLevelType w:val="hybridMultilevel"/>
    <w:lvl w:ilvl="0">
      <w:start w:val="1"/>
      <w:numFmt w:val="decimal"/>
      <w:lvlText w:val="(%1)"/>
      <w:lvlJc w:val="left"/>
      <w:pPr>
        <w:ind w:left="478" w:hanging="360"/>
        <w:jc w:val="left"/>
      </w:pPr>
      <w:rPr>
        <w:rFonts w:hint="default" w:ascii="SimSun" w:hAnsi="SimSun" w:eastAsia="SimSun" w:cs="SimSun"/>
        <w:w w:val="100"/>
        <w:sz w:val="21"/>
        <w:szCs w:val="21"/>
        <w:lang w:val="en-US" w:eastAsia="zh-CN" w:bidi="ar-SA"/>
      </w:rPr>
    </w:lvl>
    <w:lvl w:ilvl="1">
      <w:start w:val="0"/>
      <w:numFmt w:val="bullet"/>
      <w:lvlText w:val="•"/>
      <w:lvlJc w:val="left"/>
      <w:pPr>
        <w:ind w:left="1348" w:hanging="360"/>
      </w:pPr>
      <w:rPr>
        <w:rFonts w:hint="default"/>
        <w:lang w:val="en-US" w:eastAsia="zh-CN" w:bidi="ar-SA"/>
      </w:rPr>
    </w:lvl>
    <w:lvl w:ilvl="2">
      <w:start w:val="0"/>
      <w:numFmt w:val="bullet"/>
      <w:lvlText w:val="•"/>
      <w:lvlJc w:val="left"/>
      <w:pPr>
        <w:ind w:left="2217" w:hanging="360"/>
      </w:pPr>
      <w:rPr>
        <w:rFonts w:hint="default"/>
        <w:lang w:val="en-US" w:eastAsia="zh-CN" w:bidi="ar-SA"/>
      </w:rPr>
    </w:lvl>
    <w:lvl w:ilvl="3">
      <w:start w:val="0"/>
      <w:numFmt w:val="bullet"/>
      <w:lvlText w:val="•"/>
      <w:lvlJc w:val="left"/>
      <w:pPr>
        <w:ind w:left="3085" w:hanging="360"/>
      </w:pPr>
      <w:rPr>
        <w:rFonts w:hint="default"/>
        <w:lang w:val="en-US" w:eastAsia="zh-CN" w:bidi="ar-SA"/>
      </w:rPr>
    </w:lvl>
    <w:lvl w:ilvl="4">
      <w:start w:val="0"/>
      <w:numFmt w:val="bullet"/>
      <w:lvlText w:val="•"/>
      <w:lvlJc w:val="left"/>
      <w:pPr>
        <w:ind w:left="3954" w:hanging="360"/>
      </w:pPr>
      <w:rPr>
        <w:rFonts w:hint="default"/>
        <w:lang w:val="en-US" w:eastAsia="zh-CN" w:bidi="ar-SA"/>
      </w:rPr>
    </w:lvl>
    <w:lvl w:ilvl="5">
      <w:start w:val="0"/>
      <w:numFmt w:val="bullet"/>
      <w:lvlText w:val="•"/>
      <w:lvlJc w:val="left"/>
      <w:pPr>
        <w:ind w:left="4823" w:hanging="360"/>
      </w:pPr>
      <w:rPr>
        <w:rFonts w:hint="default"/>
        <w:lang w:val="en-US" w:eastAsia="zh-CN" w:bidi="ar-SA"/>
      </w:rPr>
    </w:lvl>
    <w:lvl w:ilvl="6">
      <w:start w:val="0"/>
      <w:numFmt w:val="bullet"/>
      <w:lvlText w:val="•"/>
      <w:lvlJc w:val="left"/>
      <w:pPr>
        <w:ind w:left="5691" w:hanging="360"/>
      </w:pPr>
      <w:rPr>
        <w:rFonts w:hint="default"/>
        <w:lang w:val="en-US" w:eastAsia="zh-CN" w:bidi="ar-SA"/>
      </w:rPr>
    </w:lvl>
    <w:lvl w:ilvl="7">
      <w:start w:val="0"/>
      <w:numFmt w:val="bullet"/>
      <w:lvlText w:val="•"/>
      <w:lvlJc w:val="left"/>
      <w:pPr>
        <w:ind w:left="6560" w:hanging="360"/>
      </w:pPr>
      <w:rPr>
        <w:rFonts w:hint="default"/>
        <w:lang w:val="en-US" w:eastAsia="zh-CN" w:bidi="ar-SA"/>
      </w:rPr>
    </w:lvl>
    <w:lvl w:ilvl="8">
      <w:start w:val="0"/>
      <w:numFmt w:val="bullet"/>
      <w:lvlText w:val="•"/>
      <w:lvlJc w:val="left"/>
      <w:pPr>
        <w:ind w:left="7429" w:hanging="360"/>
      </w:pPr>
      <w:rPr>
        <w:rFonts w:hint="default"/>
        <w:lang w:val="en-US" w:eastAsia="zh-CN" w:bidi="ar-SA"/>
      </w:rPr>
    </w:lvl>
  </w:abstractNum>
  <w:abstractNum w:abstractNumId="28">
    <w:multiLevelType w:val="hybridMultilevel"/>
    <w:lvl w:ilvl="0">
      <w:start w:val="1"/>
      <w:numFmt w:val="decimal"/>
      <w:lvlText w:val="%1."/>
      <w:lvlJc w:val="left"/>
      <w:pPr>
        <w:ind w:left="542" w:hanging="425"/>
        <w:jc w:val="left"/>
      </w:pPr>
      <w:rPr>
        <w:rFonts w:hint="default" w:ascii="SimSun" w:hAnsi="SimSun" w:eastAsia="SimSun" w:cs="SimSun"/>
        <w:w w:val="100"/>
        <w:sz w:val="21"/>
        <w:szCs w:val="21"/>
        <w:lang w:val="en-US" w:eastAsia="zh-CN" w:bidi="ar-SA"/>
      </w:rPr>
    </w:lvl>
    <w:lvl w:ilvl="1">
      <w:start w:val="1"/>
      <w:numFmt w:val="decimal"/>
      <w:lvlText w:val="%2."/>
      <w:lvlJc w:val="left"/>
      <w:pPr>
        <w:ind w:left="898" w:hanging="161"/>
        <w:jc w:val="left"/>
      </w:pPr>
      <w:rPr>
        <w:rFonts w:hint="default" w:ascii="Times New Roman" w:hAnsi="Times New Roman" w:eastAsia="Times New Roman" w:cs="Times New Roman"/>
        <w:w w:val="100"/>
        <w:sz w:val="19"/>
        <w:szCs w:val="19"/>
        <w:lang w:val="en-US" w:eastAsia="zh-CN" w:bidi="ar-SA"/>
      </w:rPr>
    </w:lvl>
    <w:lvl w:ilvl="2">
      <w:start w:val="0"/>
      <w:numFmt w:val="bullet"/>
      <w:lvlText w:val="•"/>
      <w:lvlJc w:val="left"/>
      <w:pPr>
        <w:ind w:left="1818" w:hanging="161"/>
      </w:pPr>
      <w:rPr>
        <w:rFonts w:hint="default"/>
        <w:lang w:val="en-US" w:eastAsia="zh-CN" w:bidi="ar-SA"/>
      </w:rPr>
    </w:lvl>
    <w:lvl w:ilvl="3">
      <w:start w:val="0"/>
      <w:numFmt w:val="bullet"/>
      <w:lvlText w:val="•"/>
      <w:lvlJc w:val="left"/>
      <w:pPr>
        <w:ind w:left="2736" w:hanging="161"/>
      </w:pPr>
      <w:rPr>
        <w:rFonts w:hint="default"/>
        <w:lang w:val="en-US" w:eastAsia="zh-CN" w:bidi="ar-SA"/>
      </w:rPr>
    </w:lvl>
    <w:lvl w:ilvl="4">
      <w:start w:val="0"/>
      <w:numFmt w:val="bullet"/>
      <w:lvlText w:val="•"/>
      <w:lvlJc w:val="left"/>
      <w:pPr>
        <w:ind w:left="3655" w:hanging="161"/>
      </w:pPr>
      <w:rPr>
        <w:rFonts w:hint="default"/>
        <w:lang w:val="en-US" w:eastAsia="zh-CN" w:bidi="ar-SA"/>
      </w:rPr>
    </w:lvl>
    <w:lvl w:ilvl="5">
      <w:start w:val="0"/>
      <w:numFmt w:val="bullet"/>
      <w:lvlText w:val="•"/>
      <w:lvlJc w:val="left"/>
      <w:pPr>
        <w:ind w:left="4573" w:hanging="161"/>
      </w:pPr>
      <w:rPr>
        <w:rFonts w:hint="default"/>
        <w:lang w:val="en-US" w:eastAsia="zh-CN" w:bidi="ar-SA"/>
      </w:rPr>
    </w:lvl>
    <w:lvl w:ilvl="6">
      <w:start w:val="0"/>
      <w:numFmt w:val="bullet"/>
      <w:lvlText w:val="•"/>
      <w:lvlJc w:val="left"/>
      <w:pPr>
        <w:ind w:left="5492" w:hanging="161"/>
      </w:pPr>
      <w:rPr>
        <w:rFonts w:hint="default"/>
        <w:lang w:val="en-US" w:eastAsia="zh-CN" w:bidi="ar-SA"/>
      </w:rPr>
    </w:lvl>
    <w:lvl w:ilvl="7">
      <w:start w:val="0"/>
      <w:numFmt w:val="bullet"/>
      <w:lvlText w:val="•"/>
      <w:lvlJc w:val="left"/>
      <w:pPr>
        <w:ind w:left="6410" w:hanging="161"/>
      </w:pPr>
      <w:rPr>
        <w:rFonts w:hint="default"/>
        <w:lang w:val="en-US" w:eastAsia="zh-CN" w:bidi="ar-SA"/>
      </w:rPr>
    </w:lvl>
    <w:lvl w:ilvl="8">
      <w:start w:val="0"/>
      <w:numFmt w:val="bullet"/>
      <w:lvlText w:val="•"/>
      <w:lvlJc w:val="left"/>
      <w:pPr>
        <w:ind w:left="7329" w:hanging="161"/>
      </w:pPr>
      <w:rPr>
        <w:rFonts w:hint="default"/>
        <w:lang w:val="en-US" w:eastAsia="zh-CN" w:bidi="ar-SA"/>
      </w:rPr>
    </w:lvl>
  </w:abstractNum>
  <w:abstractNum w:abstractNumId="27">
    <w:multiLevelType w:val="hybridMultilevel"/>
    <w:lvl w:ilvl="0">
      <w:start w:val="1"/>
      <w:numFmt w:val="decimal"/>
      <w:lvlText w:val="（%1）"/>
      <w:lvlJc w:val="left"/>
      <w:pPr>
        <w:ind w:left="1067" w:hanging="529"/>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870" w:hanging="529"/>
      </w:pPr>
      <w:rPr>
        <w:rFonts w:hint="default"/>
        <w:lang w:val="en-US" w:eastAsia="zh-CN" w:bidi="ar-SA"/>
      </w:rPr>
    </w:lvl>
    <w:lvl w:ilvl="2">
      <w:start w:val="0"/>
      <w:numFmt w:val="bullet"/>
      <w:lvlText w:val="•"/>
      <w:lvlJc w:val="left"/>
      <w:pPr>
        <w:ind w:left="2681" w:hanging="529"/>
      </w:pPr>
      <w:rPr>
        <w:rFonts w:hint="default"/>
        <w:lang w:val="en-US" w:eastAsia="zh-CN" w:bidi="ar-SA"/>
      </w:rPr>
    </w:lvl>
    <w:lvl w:ilvl="3">
      <w:start w:val="0"/>
      <w:numFmt w:val="bullet"/>
      <w:lvlText w:val="•"/>
      <w:lvlJc w:val="left"/>
      <w:pPr>
        <w:ind w:left="3491" w:hanging="529"/>
      </w:pPr>
      <w:rPr>
        <w:rFonts w:hint="default"/>
        <w:lang w:val="en-US" w:eastAsia="zh-CN" w:bidi="ar-SA"/>
      </w:rPr>
    </w:lvl>
    <w:lvl w:ilvl="4">
      <w:start w:val="0"/>
      <w:numFmt w:val="bullet"/>
      <w:lvlText w:val="•"/>
      <w:lvlJc w:val="left"/>
      <w:pPr>
        <w:ind w:left="4302" w:hanging="529"/>
      </w:pPr>
      <w:rPr>
        <w:rFonts w:hint="default"/>
        <w:lang w:val="en-US" w:eastAsia="zh-CN" w:bidi="ar-SA"/>
      </w:rPr>
    </w:lvl>
    <w:lvl w:ilvl="5">
      <w:start w:val="0"/>
      <w:numFmt w:val="bullet"/>
      <w:lvlText w:val="•"/>
      <w:lvlJc w:val="left"/>
      <w:pPr>
        <w:ind w:left="5113" w:hanging="529"/>
      </w:pPr>
      <w:rPr>
        <w:rFonts w:hint="default"/>
        <w:lang w:val="en-US" w:eastAsia="zh-CN" w:bidi="ar-SA"/>
      </w:rPr>
    </w:lvl>
    <w:lvl w:ilvl="6">
      <w:start w:val="0"/>
      <w:numFmt w:val="bullet"/>
      <w:lvlText w:val="•"/>
      <w:lvlJc w:val="left"/>
      <w:pPr>
        <w:ind w:left="5923" w:hanging="529"/>
      </w:pPr>
      <w:rPr>
        <w:rFonts w:hint="default"/>
        <w:lang w:val="en-US" w:eastAsia="zh-CN" w:bidi="ar-SA"/>
      </w:rPr>
    </w:lvl>
    <w:lvl w:ilvl="7">
      <w:start w:val="0"/>
      <w:numFmt w:val="bullet"/>
      <w:lvlText w:val="•"/>
      <w:lvlJc w:val="left"/>
      <w:pPr>
        <w:ind w:left="6734" w:hanging="529"/>
      </w:pPr>
      <w:rPr>
        <w:rFonts w:hint="default"/>
        <w:lang w:val="en-US" w:eastAsia="zh-CN" w:bidi="ar-SA"/>
      </w:rPr>
    </w:lvl>
    <w:lvl w:ilvl="8">
      <w:start w:val="0"/>
      <w:numFmt w:val="bullet"/>
      <w:lvlText w:val="•"/>
      <w:lvlJc w:val="left"/>
      <w:pPr>
        <w:ind w:left="7545" w:hanging="529"/>
      </w:pPr>
      <w:rPr>
        <w:rFonts w:hint="default"/>
        <w:lang w:val="en-US" w:eastAsia="zh-CN" w:bidi="ar-SA"/>
      </w:rPr>
    </w:lvl>
  </w:abstractNum>
  <w:abstractNum w:abstractNumId="26">
    <w:multiLevelType w:val="hybridMultilevel"/>
    <w:lvl w:ilvl="0">
      <w:start w:val="1"/>
      <w:numFmt w:val="decimal"/>
      <w:lvlText w:val="（%1）"/>
      <w:lvlJc w:val="left"/>
      <w:pPr>
        <w:ind w:left="2107" w:hanging="529"/>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2942" w:hanging="529"/>
      </w:pPr>
      <w:rPr>
        <w:rFonts w:hint="default"/>
        <w:lang w:val="en-US" w:eastAsia="zh-CN" w:bidi="ar-SA"/>
      </w:rPr>
    </w:lvl>
    <w:lvl w:ilvl="2">
      <w:start w:val="0"/>
      <w:numFmt w:val="bullet"/>
      <w:lvlText w:val="•"/>
      <w:lvlJc w:val="left"/>
      <w:pPr>
        <w:ind w:left="3785" w:hanging="529"/>
      </w:pPr>
      <w:rPr>
        <w:rFonts w:hint="default"/>
        <w:lang w:val="en-US" w:eastAsia="zh-CN" w:bidi="ar-SA"/>
      </w:rPr>
    </w:lvl>
    <w:lvl w:ilvl="3">
      <w:start w:val="0"/>
      <w:numFmt w:val="bullet"/>
      <w:lvlText w:val="•"/>
      <w:lvlJc w:val="left"/>
      <w:pPr>
        <w:ind w:left="4627" w:hanging="529"/>
      </w:pPr>
      <w:rPr>
        <w:rFonts w:hint="default"/>
        <w:lang w:val="en-US" w:eastAsia="zh-CN" w:bidi="ar-SA"/>
      </w:rPr>
    </w:lvl>
    <w:lvl w:ilvl="4">
      <w:start w:val="0"/>
      <w:numFmt w:val="bullet"/>
      <w:lvlText w:val="•"/>
      <w:lvlJc w:val="left"/>
      <w:pPr>
        <w:ind w:left="5470" w:hanging="529"/>
      </w:pPr>
      <w:rPr>
        <w:rFonts w:hint="default"/>
        <w:lang w:val="en-US" w:eastAsia="zh-CN" w:bidi="ar-SA"/>
      </w:rPr>
    </w:lvl>
    <w:lvl w:ilvl="5">
      <w:start w:val="0"/>
      <w:numFmt w:val="bullet"/>
      <w:lvlText w:val="•"/>
      <w:lvlJc w:val="left"/>
      <w:pPr>
        <w:ind w:left="6313" w:hanging="529"/>
      </w:pPr>
      <w:rPr>
        <w:rFonts w:hint="default"/>
        <w:lang w:val="en-US" w:eastAsia="zh-CN" w:bidi="ar-SA"/>
      </w:rPr>
    </w:lvl>
    <w:lvl w:ilvl="6">
      <w:start w:val="0"/>
      <w:numFmt w:val="bullet"/>
      <w:lvlText w:val="•"/>
      <w:lvlJc w:val="left"/>
      <w:pPr>
        <w:ind w:left="7155" w:hanging="529"/>
      </w:pPr>
      <w:rPr>
        <w:rFonts w:hint="default"/>
        <w:lang w:val="en-US" w:eastAsia="zh-CN" w:bidi="ar-SA"/>
      </w:rPr>
    </w:lvl>
    <w:lvl w:ilvl="7">
      <w:start w:val="0"/>
      <w:numFmt w:val="bullet"/>
      <w:lvlText w:val="•"/>
      <w:lvlJc w:val="left"/>
      <w:pPr>
        <w:ind w:left="7998" w:hanging="529"/>
      </w:pPr>
      <w:rPr>
        <w:rFonts w:hint="default"/>
        <w:lang w:val="en-US" w:eastAsia="zh-CN" w:bidi="ar-SA"/>
      </w:rPr>
    </w:lvl>
    <w:lvl w:ilvl="8">
      <w:start w:val="0"/>
      <w:numFmt w:val="bullet"/>
      <w:lvlText w:val="•"/>
      <w:lvlJc w:val="left"/>
      <w:pPr>
        <w:ind w:left="8841" w:hanging="529"/>
      </w:pPr>
      <w:rPr>
        <w:rFonts w:hint="default"/>
        <w:lang w:val="en-US" w:eastAsia="zh-CN" w:bidi="ar-SA"/>
      </w:rPr>
    </w:lvl>
  </w:abstractNum>
  <w:abstractNum w:abstractNumId="25">
    <w:multiLevelType w:val="hybridMultilevel"/>
    <w:lvl w:ilvl="0">
      <w:start w:val="1"/>
      <w:numFmt w:val="decimal"/>
      <w:lvlText w:val="%1."/>
      <w:lvlJc w:val="left"/>
      <w:pPr>
        <w:ind w:left="525" w:hanging="426"/>
        <w:jc w:val="right"/>
      </w:pPr>
      <w:rPr>
        <w:rFonts w:hint="default" w:ascii="SimSun" w:hAnsi="SimSun" w:eastAsia="SimSun" w:cs="SimSun"/>
        <w:w w:val="100"/>
        <w:sz w:val="21"/>
        <w:szCs w:val="21"/>
        <w:lang w:val="en-US" w:eastAsia="zh-CN" w:bidi="ar-SA"/>
      </w:rPr>
    </w:lvl>
    <w:lvl w:ilvl="1">
      <w:start w:val="1"/>
      <w:numFmt w:val="decimal"/>
      <w:lvlText w:val="（%2）"/>
      <w:lvlJc w:val="left"/>
      <w:pPr>
        <w:ind w:left="1158" w:hanging="536"/>
        <w:jc w:val="left"/>
      </w:pPr>
      <w:rPr>
        <w:rFonts w:hint="default" w:ascii="SimSun" w:hAnsi="SimSun" w:eastAsia="SimSun" w:cs="SimSun"/>
        <w:spacing w:val="2"/>
        <w:w w:val="100"/>
        <w:sz w:val="19"/>
        <w:szCs w:val="19"/>
        <w:lang w:val="en-US" w:eastAsia="zh-CN" w:bidi="ar-SA"/>
      </w:rPr>
    </w:lvl>
    <w:lvl w:ilvl="2">
      <w:start w:val="0"/>
      <w:numFmt w:val="bullet"/>
      <w:lvlText w:val="•"/>
      <w:lvlJc w:val="left"/>
      <w:pPr>
        <w:ind w:left="2122" w:hanging="536"/>
      </w:pPr>
      <w:rPr>
        <w:rFonts w:hint="default"/>
        <w:lang w:val="en-US" w:eastAsia="zh-CN" w:bidi="ar-SA"/>
      </w:rPr>
    </w:lvl>
    <w:lvl w:ilvl="3">
      <w:start w:val="0"/>
      <w:numFmt w:val="bullet"/>
      <w:lvlText w:val="•"/>
      <w:lvlJc w:val="left"/>
      <w:pPr>
        <w:ind w:left="3085" w:hanging="536"/>
      </w:pPr>
      <w:rPr>
        <w:rFonts w:hint="default"/>
        <w:lang w:val="en-US" w:eastAsia="zh-CN" w:bidi="ar-SA"/>
      </w:rPr>
    </w:lvl>
    <w:lvl w:ilvl="4">
      <w:start w:val="0"/>
      <w:numFmt w:val="bullet"/>
      <w:lvlText w:val="•"/>
      <w:lvlJc w:val="left"/>
      <w:pPr>
        <w:ind w:left="4048" w:hanging="536"/>
      </w:pPr>
      <w:rPr>
        <w:rFonts w:hint="default"/>
        <w:lang w:val="en-US" w:eastAsia="zh-CN" w:bidi="ar-SA"/>
      </w:rPr>
    </w:lvl>
    <w:lvl w:ilvl="5">
      <w:start w:val="0"/>
      <w:numFmt w:val="bullet"/>
      <w:lvlText w:val="•"/>
      <w:lvlJc w:val="left"/>
      <w:pPr>
        <w:ind w:left="5011" w:hanging="536"/>
      </w:pPr>
      <w:rPr>
        <w:rFonts w:hint="default"/>
        <w:lang w:val="en-US" w:eastAsia="zh-CN" w:bidi="ar-SA"/>
      </w:rPr>
    </w:lvl>
    <w:lvl w:ilvl="6">
      <w:start w:val="0"/>
      <w:numFmt w:val="bullet"/>
      <w:lvlText w:val="•"/>
      <w:lvlJc w:val="left"/>
      <w:pPr>
        <w:ind w:left="5974" w:hanging="536"/>
      </w:pPr>
      <w:rPr>
        <w:rFonts w:hint="default"/>
        <w:lang w:val="en-US" w:eastAsia="zh-CN" w:bidi="ar-SA"/>
      </w:rPr>
    </w:lvl>
    <w:lvl w:ilvl="7">
      <w:start w:val="0"/>
      <w:numFmt w:val="bullet"/>
      <w:lvlText w:val="•"/>
      <w:lvlJc w:val="left"/>
      <w:pPr>
        <w:ind w:left="6937" w:hanging="536"/>
      </w:pPr>
      <w:rPr>
        <w:rFonts w:hint="default"/>
        <w:lang w:val="en-US" w:eastAsia="zh-CN" w:bidi="ar-SA"/>
      </w:rPr>
    </w:lvl>
    <w:lvl w:ilvl="8">
      <w:start w:val="0"/>
      <w:numFmt w:val="bullet"/>
      <w:lvlText w:val="•"/>
      <w:lvlJc w:val="left"/>
      <w:pPr>
        <w:ind w:left="7900" w:hanging="536"/>
      </w:pPr>
      <w:rPr>
        <w:rFonts w:hint="default"/>
        <w:lang w:val="en-US" w:eastAsia="zh-CN" w:bidi="ar-SA"/>
      </w:rPr>
    </w:lvl>
  </w:abstractNum>
  <w:abstractNum w:abstractNumId="24">
    <w:multiLevelType w:val="hybridMultilevel"/>
    <w:lvl w:ilvl="0">
      <w:start w:val="1"/>
      <w:numFmt w:val="decimal"/>
      <w:lvlText w:val="（%1）"/>
      <w:lvlJc w:val="left"/>
      <w:pPr>
        <w:ind w:left="118" w:hanging="535"/>
        <w:jc w:val="left"/>
      </w:pPr>
      <w:rPr>
        <w:rFonts w:hint="default" w:ascii="SimSun" w:hAnsi="SimSun" w:eastAsia="SimSun" w:cs="SimSun"/>
        <w:spacing w:val="2"/>
        <w:w w:val="100"/>
        <w:sz w:val="19"/>
        <w:szCs w:val="19"/>
        <w:lang w:val="en-US" w:eastAsia="zh-CN" w:bidi="ar-SA"/>
      </w:rPr>
    </w:lvl>
    <w:lvl w:ilvl="1">
      <w:start w:val="0"/>
      <w:numFmt w:val="bullet"/>
      <w:lvlText w:val="•"/>
      <w:lvlJc w:val="left"/>
      <w:pPr>
        <w:ind w:left="1034" w:hanging="535"/>
      </w:pPr>
      <w:rPr>
        <w:rFonts w:hint="default"/>
        <w:lang w:val="en-US" w:eastAsia="zh-CN" w:bidi="ar-SA"/>
      </w:rPr>
    </w:lvl>
    <w:lvl w:ilvl="2">
      <w:start w:val="0"/>
      <w:numFmt w:val="bullet"/>
      <w:lvlText w:val="•"/>
      <w:lvlJc w:val="left"/>
      <w:pPr>
        <w:ind w:left="1949" w:hanging="535"/>
      </w:pPr>
      <w:rPr>
        <w:rFonts w:hint="default"/>
        <w:lang w:val="en-US" w:eastAsia="zh-CN" w:bidi="ar-SA"/>
      </w:rPr>
    </w:lvl>
    <w:lvl w:ilvl="3">
      <w:start w:val="0"/>
      <w:numFmt w:val="bullet"/>
      <w:lvlText w:val="•"/>
      <w:lvlJc w:val="left"/>
      <w:pPr>
        <w:ind w:left="2863" w:hanging="535"/>
      </w:pPr>
      <w:rPr>
        <w:rFonts w:hint="default"/>
        <w:lang w:val="en-US" w:eastAsia="zh-CN" w:bidi="ar-SA"/>
      </w:rPr>
    </w:lvl>
    <w:lvl w:ilvl="4">
      <w:start w:val="0"/>
      <w:numFmt w:val="bullet"/>
      <w:lvlText w:val="•"/>
      <w:lvlJc w:val="left"/>
      <w:pPr>
        <w:ind w:left="3778" w:hanging="535"/>
      </w:pPr>
      <w:rPr>
        <w:rFonts w:hint="default"/>
        <w:lang w:val="en-US" w:eastAsia="zh-CN" w:bidi="ar-SA"/>
      </w:rPr>
    </w:lvl>
    <w:lvl w:ilvl="5">
      <w:start w:val="0"/>
      <w:numFmt w:val="bullet"/>
      <w:lvlText w:val="•"/>
      <w:lvlJc w:val="left"/>
      <w:pPr>
        <w:ind w:left="4693" w:hanging="535"/>
      </w:pPr>
      <w:rPr>
        <w:rFonts w:hint="default"/>
        <w:lang w:val="en-US" w:eastAsia="zh-CN" w:bidi="ar-SA"/>
      </w:rPr>
    </w:lvl>
    <w:lvl w:ilvl="6">
      <w:start w:val="0"/>
      <w:numFmt w:val="bullet"/>
      <w:lvlText w:val="•"/>
      <w:lvlJc w:val="left"/>
      <w:pPr>
        <w:ind w:left="5607" w:hanging="535"/>
      </w:pPr>
      <w:rPr>
        <w:rFonts w:hint="default"/>
        <w:lang w:val="en-US" w:eastAsia="zh-CN" w:bidi="ar-SA"/>
      </w:rPr>
    </w:lvl>
    <w:lvl w:ilvl="7">
      <w:start w:val="0"/>
      <w:numFmt w:val="bullet"/>
      <w:lvlText w:val="•"/>
      <w:lvlJc w:val="left"/>
      <w:pPr>
        <w:ind w:left="6522" w:hanging="535"/>
      </w:pPr>
      <w:rPr>
        <w:rFonts w:hint="default"/>
        <w:lang w:val="en-US" w:eastAsia="zh-CN" w:bidi="ar-SA"/>
      </w:rPr>
    </w:lvl>
    <w:lvl w:ilvl="8">
      <w:start w:val="0"/>
      <w:numFmt w:val="bullet"/>
      <w:lvlText w:val="•"/>
      <w:lvlJc w:val="left"/>
      <w:pPr>
        <w:ind w:left="7437" w:hanging="535"/>
      </w:pPr>
      <w:rPr>
        <w:rFonts w:hint="default"/>
        <w:lang w:val="en-US" w:eastAsia="zh-CN" w:bidi="ar-SA"/>
      </w:rPr>
    </w:lvl>
  </w:abstractNum>
  <w:abstractNum w:abstractNumId="23">
    <w:multiLevelType w:val="hybridMultilevel"/>
    <w:lvl w:ilvl="0">
      <w:start w:val="1"/>
      <w:numFmt w:val="decimal"/>
      <w:lvlText w:val="（%1）"/>
      <w:lvlJc w:val="left"/>
      <w:pPr>
        <w:ind w:left="118" w:hanging="535"/>
        <w:jc w:val="left"/>
      </w:pPr>
      <w:rPr>
        <w:rFonts w:hint="default" w:ascii="SimSun" w:hAnsi="SimSun" w:eastAsia="SimSun" w:cs="SimSun"/>
        <w:spacing w:val="2"/>
        <w:w w:val="100"/>
        <w:sz w:val="19"/>
        <w:szCs w:val="19"/>
        <w:lang w:val="en-US" w:eastAsia="zh-CN" w:bidi="ar-SA"/>
      </w:rPr>
    </w:lvl>
    <w:lvl w:ilvl="1">
      <w:start w:val="0"/>
      <w:numFmt w:val="bullet"/>
      <w:lvlText w:val="•"/>
      <w:lvlJc w:val="left"/>
      <w:pPr>
        <w:ind w:left="1034" w:hanging="535"/>
      </w:pPr>
      <w:rPr>
        <w:rFonts w:hint="default"/>
        <w:lang w:val="en-US" w:eastAsia="zh-CN" w:bidi="ar-SA"/>
      </w:rPr>
    </w:lvl>
    <w:lvl w:ilvl="2">
      <w:start w:val="0"/>
      <w:numFmt w:val="bullet"/>
      <w:lvlText w:val="•"/>
      <w:lvlJc w:val="left"/>
      <w:pPr>
        <w:ind w:left="1949" w:hanging="535"/>
      </w:pPr>
      <w:rPr>
        <w:rFonts w:hint="default"/>
        <w:lang w:val="en-US" w:eastAsia="zh-CN" w:bidi="ar-SA"/>
      </w:rPr>
    </w:lvl>
    <w:lvl w:ilvl="3">
      <w:start w:val="0"/>
      <w:numFmt w:val="bullet"/>
      <w:lvlText w:val="•"/>
      <w:lvlJc w:val="left"/>
      <w:pPr>
        <w:ind w:left="2863" w:hanging="535"/>
      </w:pPr>
      <w:rPr>
        <w:rFonts w:hint="default"/>
        <w:lang w:val="en-US" w:eastAsia="zh-CN" w:bidi="ar-SA"/>
      </w:rPr>
    </w:lvl>
    <w:lvl w:ilvl="4">
      <w:start w:val="0"/>
      <w:numFmt w:val="bullet"/>
      <w:lvlText w:val="•"/>
      <w:lvlJc w:val="left"/>
      <w:pPr>
        <w:ind w:left="3778" w:hanging="535"/>
      </w:pPr>
      <w:rPr>
        <w:rFonts w:hint="default"/>
        <w:lang w:val="en-US" w:eastAsia="zh-CN" w:bidi="ar-SA"/>
      </w:rPr>
    </w:lvl>
    <w:lvl w:ilvl="5">
      <w:start w:val="0"/>
      <w:numFmt w:val="bullet"/>
      <w:lvlText w:val="•"/>
      <w:lvlJc w:val="left"/>
      <w:pPr>
        <w:ind w:left="4693" w:hanging="535"/>
      </w:pPr>
      <w:rPr>
        <w:rFonts w:hint="default"/>
        <w:lang w:val="en-US" w:eastAsia="zh-CN" w:bidi="ar-SA"/>
      </w:rPr>
    </w:lvl>
    <w:lvl w:ilvl="6">
      <w:start w:val="0"/>
      <w:numFmt w:val="bullet"/>
      <w:lvlText w:val="•"/>
      <w:lvlJc w:val="left"/>
      <w:pPr>
        <w:ind w:left="5607" w:hanging="535"/>
      </w:pPr>
      <w:rPr>
        <w:rFonts w:hint="default"/>
        <w:lang w:val="en-US" w:eastAsia="zh-CN" w:bidi="ar-SA"/>
      </w:rPr>
    </w:lvl>
    <w:lvl w:ilvl="7">
      <w:start w:val="0"/>
      <w:numFmt w:val="bullet"/>
      <w:lvlText w:val="•"/>
      <w:lvlJc w:val="left"/>
      <w:pPr>
        <w:ind w:left="6522" w:hanging="535"/>
      </w:pPr>
      <w:rPr>
        <w:rFonts w:hint="default"/>
        <w:lang w:val="en-US" w:eastAsia="zh-CN" w:bidi="ar-SA"/>
      </w:rPr>
    </w:lvl>
    <w:lvl w:ilvl="8">
      <w:start w:val="0"/>
      <w:numFmt w:val="bullet"/>
      <w:lvlText w:val="•"/>
      <w:lvlJc w:val="left"/>
      <w:pPr>
        <w:ind w:left="7437" w:hanging="535"/>
      </w:pPr>
      <w:rPr>
        <w:rFonts w:hint="default"/>
        <w:lang w:val="en-US" w:eastAsia="zh-CN" w:bidi="ar-SA"/>
      </w:rPr>
    </w:lvl>
  </w:abstractNum>
  <w:abstractNum w:abstractNumId="22">
    <w:multiLevelType w:val="hybridMultilevel"/>
    <w:lvl w:ilvl="0">
      <w:start w:val="1"/>
      <w:numFmt w:val="decimal"/>
      <w:lvlText w:val="%1."/>
      <w:lvlJc w:val="left"/>
      <w:pPr>
        <w:ind w:left="118" w:hanging="160"/>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1034" w:hanging="160"/>
      </w:pPr>
      <w:rPr>
        <w:rFonts w:hint="default"/>
        <w:lang w:val="en-US" w:eastAsia="zh-CN" w:bidi="ar-SA"/>
      </w:rPr>
    </w:lvl>
    <w:lvl w:ilvl="2">
      <w:start w:val="0"/>
      <w:numFmt w:val="bullet"/>
      <w:lvlText w:val="•"/>
      <w:lvlJc w:val="left"/>
      <w:pPr>
        <w:ind w:left="1949" w:hanging="160"/>
      </w:pPr>
      <w:rPr>
        <w:rFonts w:hint="default"/>
        <w:lang w:val="en-US" w:eastAsia="zh-CN" w:bidi="ar-SA"/>
      </w:rPr>
    </w:lvl>
    <w:lvl w:ilvl="3">
      <w:start w:val="0"/>
      <w:numFmt w:val="bullet"/>
      <w:lvlText w:val="•"/>
      <w:lvlJc w:val="left"/>
      <w:pPr>
        <w:ind w:left="2863" w:hanging="160"/>
      </w:pPr>
      <w:rPr>
        <w:rFonts w:hint="default"/>
        <w:lang w:val="en-US" w:eastAsia="zh-CN" w:bidi="ar-SA"/>
      </w:rPr>
    </w:lvl>
    <w:lvl w:ilvl="4">
      <w:start w:val="0"/>
      <w:numFmt w:val="bullet"/>
      <w:lvlText w:val="•"/>
      <w:lvlJc w:val="left"/>
      <w:pPr>
        <w:ind w:left="3778" w:hanging="160"/>
      </w:pPr>
      <w:rPr>
        <w:rFonts w:hint="default"/>
        <w:lang w:val="en-US" w:eastAsia="zh-CN" w:bidi="ar-SA"/>
      </w:rPr>
    </w:lvl>
    <w:lvl w:ilvl="5">
      <w:start w:val="0"/>
      <w:numFmt w:val="bullet"/>
      <w:lvlText w:val="•"/>
      <w:lvlJc w:val="left"/>
      <w:pPr>
        <w:ind w:left="4693" w:hanging="160"/>
      </w:pPr>
      <w:rPr>
        <w:rFonts w:hint="default"/>
        <w:lang w:val="en-US" w:eastAsia="zh-CN" w:bidi="ar-SA"/>
      </w:rPr>
    </w:lvl>
    <w:lvl w:ilvl="6">
      <w:start w:val="0"/>
      <w:numFmt w:val="bullet"/>
      <w:lvlText w:val="•"/>
      <w:lvlJc w:val="left"/>
      <w:pPr>
        <w:ind w:left="5607" w:hanging="160"/>
      </w:pPr>
      <w:rPr>
        <w:rFonts w:hint="default"/>
        <w:lang w:val="en-US" w:eastAsia="zh-CN" w:bidi="ar-SA"/>
      </w:rPr>
    </w:lvl>
    <w:lvl w:ilvl="7">
      <w:start w:val="0"/>
      <w:numFmt w:val="bullet"/>
      <w:lvlText w:val="•"/>
      <w:lvlJc w:val="left"/>
      <w:pPr>
        <w:ind w:left="6522" w:hanging="160"/>
      </w:pPr>
      <w:rPr>
        <w:rFonts w:hint="default"/>
        <w:lang w:val="en-US" w:eastAsia="zh-CN" w:bidi="ar-SA"/>
      </w:rPr>
    </w:lvl>
    <w:lvl w:ilvl="8">
      <w:start w:val="0"/>
      <w:numFmt w:val="bullet"/>
      <w:lvlText w:val="•"/>
      <w:lvlJc w:val="left"/>
      <w:pPr>
        <w:ind w:left="7437" w:hanging="160"/>
      </w:pPr>
      <w:rPr>
        <w:rFonts w:hint="default"/>
        <w:lang w:val="en-US" w:eastAsia="zh-CN" w:bidi="ar-SA"/>
      </w:rPr>
    </w:lvl>
  </w:abstractNum>
  <w:abstractNum w:abstractNumId="21">
    <w:multiLevelType w:val="hybridMultilevel"/>
    <w:lvl w:ilvl="0">
      <w:start w:val="1"/>
      <w:numFmt w:val="decimal"/>
      <w:lvlText w:val="%1."/>
      <w:lvlJc w:val="left"/>
      <w:pPr>
        <w:ind w:left="107" w:hanging="160"/>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578" w:hanging="160"/>
      </w:pPr>
      <w:rPr>
        <w:rFonts w:hint="default"/>
        <w:lang w:val="en-US" w:eastAsia="zh-CN" w:bidi="ar-SA"/>
      </w:rPr>
    </w:lvl>
    <w:lvl w:ilvl="2">
      <w:start w:val="0"/>
      <w:numFmt w:val="bullet"/>
      <w:lvlText w:val="•"/>
      <w:lvlJc w:val="left"/>
      <w:pPr>
        <w:ind w:left="1057" w:hanging="160"/>
      </w:pPr>
      <w:rPr>
        <w:rFonts w:hint="default"/>
        <w:lang w:val="en-US" w:eastAsia="zh-CN" w:bidi="ar-SA"/>
      </w:rPr>
    </w:lvl>
    <w:lvl w:ilvl="3">
      <w:start w:val="0"/>
      <w:numFmt w:val="bullet"/>
      <w:lvlText w:val="•"/>
      <w:lvlJc w:val="left"/>
      <w:pPr>
        <w:ind w:left="1536" w:hanging="160"/>
      </w:pPr>
      <w:rPr>
        <w:rFonts w:hint="default"/>
        <w:lang w:val="en-US" w:eastAsia="zh-CN" w:bidi="ar-SA"/>
      </w:rPr>
    </w:lvl>
    <w:lvl w:ilvl="4">
      <w:start w:val="0"/>
      <w:numFmt w:val="bullet"/>
      <w:lvlText w:val="•"/>
      <w:lvlJc w:val="left"/>
      <w:pPr>
        <w:ind w:left="2015" w:hanging="160"/>
      </w:pPr>
      <w:rPr>
        <w:rFonts w:hint="default"/>
        <w:lang w:val="en-US" w:eastAsia="zh-CN" w:bidi="ar-SA"/>
      </w:rPr>
    </w:lvl>
    <w:lvl w:ilvl="5">
      <w:start w:val="0"/>
      <w:numFmt w:val="bullet"/>
      <w:lvlText w:val="•"/>
      <w:lvlJc w:val="left"/>
      <w:pPr>
        <w:ind w:left="2494" w:hanging="160"/>
      </w:pPr>
      <w:rPr>
        <w:rFonts w:hint="default"/>
        <w:lang w:val="en-US" w:eastAsia="zh-CN" w:bidi="ar-SA"/>
      </w:rPr>
    </w:lvl>
    <w:lvl w:ilvl="6">
      <w:start w:val="0"/>
      <w:numFmt w:val="bullet"/>
      <w:lvlText w:val="•"/>
      <w:lvlJc w:val="left"/>
      <w:pPr>
        <w:ind w:left="2973" w:hanging="160"/>
      </w:pPr>
      <w:rPr>
        <w:rFonts w:hint="default"/>
        <w:lang w:val="en-US" w:eastAsia="zh-CN" w:bidi="ar-SA"/>
      </w:rPr>
    </w:lvl>
    <w:lvl w:ilvl="7">
      <w:start w:val="0"/>
      <w:numFmt w:val="bullet"/>
      <w:lvlText w:val="•"/>
      <w:lvlJc w:val="left"/>
      <w:pPr>
        <w:ind w:left="3452" w:hanging="160"/>
      </w:pPr>
      <w:rPr>
        <w:rFonts w:hint="default"/>
        <w:lang w:val="en-US" w:eastAsia="zh-CN" w:bidi="ar-SA"/>
      </w:rPr>
    </w:lvl>
    <w:lvl w:ilvl="8">
      <w:start w:val="0"/>
      <w:numFmt w:val="bullet"/>
      <w:lvlText w:val="•"/>
      <w:lvlJc w:val="left"/>
      <w:pPr>
        <w:ind w:left="3931" w:hanging="160"/>
      </w:pPr>
      <w:rPr>
        <w:rFonts w:hint="default"/>
        <w:lang w:val="en-US" w:eastAsia="zh-CN" w:bidi="ar-SA"/>
      </w:rPr>
    </w:lvl>
  </w:abstractNum>
  <w:abstractNum w:abstractNumId="20">
    <w:multiLevelType w:val="hybridMultilevel"/>
    <w:lvl w:ilvl="0">
      <w:start w:val="1"/>
      <w:numFmt w:val="decimal"/>
      <w:lvlText w:val="%1."/>
      <w:lvlJc w:val="left"/>
      <w:pPr>
        <w:ind w:left="107" w:hanging="164"/>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445" w:hanging="164"/>
      </w:pPr>
      <w:rPr>
        <w:rFonts w:hint="default"/>
        <w:lang w:val="en-US" w:eastAsia="zh-CN" w:bidi="ar-SA"/>
      </w:rPr>
    </w:lvl>
    <w:lvl w:ilvl="2">
      <w:start w:val="0"/>
      <w:numFmt w:val="bullet"/>
      <w:lvlText w:val="•"/>
      <w:lvlJc w:val="left"/>
      <w:pPr>
        <w:ind w:left="791" w:hanging="164"/>
      </w:pPr>
      <w:rPr>
        <w:rFonts w:hint="default"/>
        <w:lang w:val="en-US" w:eastAsia="zh-CN" w:bidi="ar-SA"/>
      </w:rPr>
    </w:lvl>
    <w:lvl w:ilvl="3">
      <w:start w:val="0"/>
      <w:numFmt w:val="bullet"/>
      <w:lvlText w:val="•"/>
      <w:lvlJc w:val="left"/>
      <w:pPr>
        <w:ind w:left="1137" w:hanging="164"/>
      </w:pPr>
      <w:rPr>
        <w:rFonts w:hint="default"/>
        <w:lang w:val="en-US" w:eastAsia="zh-CN" w:bidi="ar-SA"/>
      </w:rPr>
    </w:lvl>
    <w:lvl w:ilvl="4">
      <w:start w:val="0"/>
      <w:numFmt w:val="bullet"/>
      <w:lvlText w:val="•"/>
      <w:lvlJc w:val="left"/>
      <w:pPr>
        <w:ind w:left="1482" w:hanging="164"/>
      </w:pPr>
      <w:rPr>
        <w:rFonts w:hint="default"/>
        <w:lang w:val="en-US" w:eastAsia="zh-CN" w:bidi="ar-SA"/>
      </w:rPr>
    </w:lvl>
    <w:lvl w:ilvl="5">
      <w:start w:val="0"/>
      <w:numFmt w:val="bullet"/>
      <w:lvlText w:val="•"/>
      <w:lvlJc w:val="left"/>
      <w:pPr>
        <w:ind w:left="1828" w:hanging="164"/>
      </w:pPr>
      <w:rPr>
        <w:rFonts w:hint="default"/>
        <w:lang w:val="en-US" w:eastAsia="zh-CN" w:bidi="ar-SA"/>
      </w:rPr>
    </w:lvl>
    <w:lvl w:ilvl="6">
      <w:start w:val="0"/>
      <w:numFmt w:val="bullet"/>
      <w:lvlText w:val="•"/>
      <w:lvlJc w:val="left"/>
      <w:pPr>
        <w:ind w:left="2174" w:hanging="164"/>
      </w:pPr>
      <w:rPr>
        <w:rFonts w:hint="default"/>
        <w:lang w:val="en-US" w:eastAsia="zh-CN" w:bidi="ar-SA"/>
      </w:rPr>
    </w:lvl>
    <w:lvl w:ilvl="7">
      <w:start w:val="0"/>
      <w:numFmt w:val="bullet"/>
      <w:lvlText w:val="•"/>
      <w:lvlJc w:val="left"/>
      <w:pPr>
        <w:ind w:left="2519" w:hanging="164"/>
      </w:pPr>
      <w:rPr>
        <w:rFonts w:hint="default"/>
        <w:lang w:val="en-US" w:eastAsia="zh-CN" w:bidi="ar-SA"/>
      </w:rPr>
    </w:lvl>
    <w:lvl w:ilvl="8">
      <w:start w:val="0"/>
      <w:numFmt w:val="bullet"/>
      <w:lvlText w:val="•"/>
      <w:lvlJc w:val="left"/>
      <w:pPr>
        <w:ind w:left="2865" w:hanging="164"/>
      </w:pPr>
      <w:rPr>
        <w:rFonts w:hint="default"/>
        <w:lang w:val="en-US" w:eastAsia="zh-CN" w:bidi="ar-SA"/>
      </w:rPr>
    </w:lvl>
  </w:abstractNum>
  <w:abstractNum w:abstractNumId="19">
    <w:multiLevelType w:val="hybridMultilevel"/>
    <w:lvl w:ilvl="0">
      <w:start w:val="1"/>
      <w:numFmt w:val="decimal"/>
      <w:lvlText w:val="%1."/>
      <w:lvlJc w:val="left"/>
      <w:pPr>
        <w:ind w:left="107" w:hanging="160"/>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578" w:hanging="160"/>
      </w:pPr>
      <w:rPr>
        <w:rFonts w:hint="default"/>
        <w:lang w:val="en-US" w:eastAsia="zh-CN" w:bidi="ar-SA"/>
      </w:rPr>
    </w:lvl>
    <w:lvl w:ilvl="2">
      <w:start w:val="0"/>
      <w:numFmt w:val="bullet"/>
      <w:lvlText w:val="•"/>
      <w:lvlJc w:val="left"/>
      <w:pPr>
        <w:ind w:left="1057" w:hanging="160"/>
      </w:pPr>
      <w:rPr>
        <w:rFonts w:hint="default"/>
        <w:lang w:val="en-US" w:eastAsia="zh-CN" w:bidi="ar-SA"/>
      </w:rPr>
    </w:lvl>
    <w:lvl w:ilvl="3">
      <w:start w:val="0"/>
      <w:numFmt w:val="bullet"/>
      <w:lvlText w:val="•"/>
      <w:lvlJc w:val="left"/>
      <w:pPr>
        <w:ind w:left="1536" w:hanging="160"/>
      </w:pPr>
      <w:rPr>
        <w:rFonts w:hint="default"/>
        <w:lang w:val="en-US" w:eastAsia="zh-CN" w:bidi="ar-SA"/>
      </w:rPr>
    </w:lvl>
    <w:lvl w:ilvl="4">
      <w:start w:val="0"/>
      <w:numFmt w:val="bullet"/>
      <w:lvlText w:val="•"/>
      <w:lvlJc w:val="left"/>
      <w:pPr>
        <w:ind w:left="2015" w:hanging="160"/>
      </w:pPr>
      <w:rPr>
        <w:rFonts w:hint="default"/>
        <w:lang w:val="en-US" w:eastAsia="zh-CN" w:bidi="ar-SA"/>
      </w:rPr>
    </w:lvl>
    <w:lvl w:ilvl="5">
      <w:start w:val="0"/>
      <w:numFmt w:val="bullet"/>
      <w:lvlText w:val="•"/>
      <w:lvlJc w:val="left"/>
      <w:pPr>
        <w:ind w:left="2494" w:hanging="160"/>
      </w:pPr>
      <w:rPr>
        <w:rFonts w:hint="default"/>
        <w:lang w:val="en-US" w:eastAsia="zh-CN" w:bidi="ar-SA"/>
      </w:rPr>
    </w:lvl>
    <w:lvl w:ilvl="6">
      <w:start w:val="0"/>
      <w:numFmt w:val="bullet"/>
      <w:lvlText w:val="•"/>
      <w:lvlJc w:val="left"/>
      <w:pPr>
        <w:ind w:left="2973" w:hanging="160"/>
      </w:pPr>
      <w:rPr>
        <w:rFonts w:hint="default"/>
        <w:lang w:val="en-US" w:eastAsia="zh-CN" w:bidi="ar-SA"/>
      </w:rPr>
    </w:lvl>
    <w:lvl w:ilvl="7">
      <w:start w:val="0"/>
      <w:numFmt w:val="bullet"/>
      <w:lvlText w:val="•"/>
      <w:lvlJc w:val="left"/>
      <w:pPr>
        <w:ind w:left="3452" w:hanging="160"/>
      </w:pPr>
      <w:rPr>
        <w:rFonts w:hint="default"/>
        <w:lang w:val="en-US" w:eastAsia="zh-CN" w:bidi="ar-SA"/>
      </w:rPr>
    </w:lvl>
    <w:lvl w:ilvl="8">
      <w:start w:val="0"/>
      <w:numFmt w:val="bullet"/>
      <w:lvlText w:val="•"/>
      <w:lvlJc w:val="left"/>
      <w:pPr>
        <w:ind w:left="3931" w:hanging="160"/>
      </w:pPr>
      <w:rPr>
        <w:rFonts w:hint="default"/>
        <w:lang w:val="en-US" w:eastAsia="zh-CN" w:bidi="ar-SA"/>
      </w:rPr>
    </w:lvl>
  </w:abstractNum>
  <w:abstractNum w:abstractNumId="18">
    <w:multiLevelType w:val="hybridMultilevel"/>
    <w:lvl w:ilvl="0">
      <w:start w:val="1"/>
      <w:numFmt w:val="decimal"/>
      <w:lvlText w:val="%1."/>
      <w:lvlJc w:val="left"/>
      <w:pPr>
        <w:ind w:left="107" w:hanging="166"/>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445" w:hanging="166"/>
      </w:pPr>
      <w:rPr>
        <w:rFonts w:hint="default"/>
        <w:lang w:val="en-US" w:eastAsia="zh-CN" w:bidi="ar-SA"/>
      </w:rPr>
    </w:lvl>
    <w:lvl w:ilvl="2">
      <w:start w:val="0"/>
      <w:numFmt w:val="bullet"/>
      <w:lvlText w:val="•"/>
      <w:lvlJc w:val="left"/>
      <w:pPr>
        <w:ind w:left="791" w:hanging="166"/>
      </w:pPr>
      <w:rPr>
        <w:rFonts w:hint="default"/>
        <w:lang w:val="en-US" w:eastAsia="zh-CN" w:bidi="ar-SA"/>
      </w:rPr>
    </w:lvl>
    <w:lvl w:ilvl="3">
      <w:start w:val="0"/>
      <w:numFmt w:val="bullet"/>
      <w:lvlText w:val="•"/>
      <w:lvlJc w:val="left"/>
      <w:pPr>
        <w:ind w:left="1137" w:hanging="166"/>
      </w:pPr>
      <w:rPr>
        <w:rFonts w:hint="default"/>
        <w:lang w:val="en-US" w:eastAsia="zh-CN" w:bidi="ar-SA"/>
      </w:rPr>
    </w:lvl>
    <w:lvl w:ilvl="4">
      <w:start w:val="0"/>
      <w:numFmt w:val="bullet"/>
      <w:lvlText w:val="•"/>
      <w:lvlJc w:val="left"/>
      <w:pPr>
        <w:ind w:left="1482" w:hanging="166"/>
      </w:pPr>
      <w:rPr>
        <w:rFonts w:hint="default"/>
        <w:lang w:val="en-US" w:eastAsia="zh-CN" w:bidi="ar-SA"/>
      </w:rPr>
    </w:lvl>
    <w:lvl w:ilvl="5">
      <w:start w:val="0"/>
      <w:numFmt w:val="bullet"/>
      <w:lvlText w:val="•"/>
      <w:lvlJc w:val="left"/>
      <w:pPr>
        <w:ind w:left="1828" w:hanging="166"/>
      </w:pPr>
      <w:rPr>
        <w:rFonts w:hint="default"/>
        <w:lang w:val="en-US" w:eastAsia="zh-CN" w:bidi="ar-SA"/>
      </w:rPr>
    </w:lvl>
    <w:lvl w:ilvl="6">
      <w:start w:val="0"/>
      <w:numFmt w:val="bullet"/>
      <w:lvlText w:val="•"/>
      <w:lvlJc w:val="left"/>
      <w:pPr>
        <w:ind w:left="2174" w:hanging="166"/>
      </w:pPr>
      <w:rPr>
        <w:rFonts w:hint="default"/>
        <w:lang w:val="en-US" w:eastAsia="zh-CN" w:bidi="ar-SA"/>
      </w:rPr>
    </w:lvl>
    <w:lvl w:ilvl="7">
      <w:start w:val="0"/>
      <w:numFmt w:val="bullet"/>
      <w:lvlText w:val="•"/>
      <w:lvlJc w:val="left"/>
      <w:pPr>
        <w:ind w:left="2519" w:hanging="166"/>
      </w:pPr>
      <w:rPr>
        <w:rFonts w:hint="default"/>
        <w:lang w:val="en-US" w:eastAsia="zh-CN" w:bidi="ar-SA"/>
      </w:rPr>
    </w:lvl>
    <w:lvl w:ilvl="8">
      <w:start w:val="0"/>
      <w:numFmt w:val="bullet"/>
      <w:lvlText w:val="•"/>
      <w:lvlJc w:val="left"/>
      <w:pPr>
        <w:ind w:left="2865" w:hanging="166"/>
      </w:pPr>
      <w:rPr>
        <w:rFonts w:hint="default"/>
        <w:lang w:val="en-US" w:eastAsia="zh-CN" w:bidi="ar-SA"/>
      </w:rPr>
    </w:lvl>
  </w:abstractNum>
  <w:abstractNum w:abstractNumId="17">
    <w:multiLevelType w:val="hybridMultilevel"/>
    <w:lvl w:ilvl="0">
      <w:start w:val="1"/>
      <w:numFmt w:val="decimal"/>
      <w:lvlText w:val="%1."/>
      <w:lvlJc w:val="left"/>
      <w:pPr>
        <w:ind w:left="107" w:hanging="164"/>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578" w:hanging="164"/>
      </w:pPr>
      <w:rPr>
        <w:rFonts w:hint="default"/>
        <w:lang w:val="en-US" w:eastAsia="zh-CN" w:bidi="ar-SA"/>
      </w:rPr>
    </w:lvl>
    <w:lvl w:ilvl="2">
      <w:start w:val="0"/>
      <w:numFmt w:val="bullet"/>
      <w:lvlText w:val="•"/>
      <w:lvlJc w:val="left"/>
      <w:pPr>
        <w:ind w:left="1057" w:hanging="164"/>
      </w:pPr>
      <w:rPr>
        <w:rFonts w:hint="default"/>
        <w:lang w:val="en-US" w:eastAsia="zh-CN" w:bidi="ar-SA"/>
      </w:rPr>
    </w:lvl>
    <w:lvl w:ilvl="3">
      <w:start w:val="0"/>
      <w:numFmt w:val="bullet"/>
      <w:lvlText w:val="•"/>
      <w:lvlJc w:val="left"/>
      <w:pPr>
        <w:ind w:left="1536" w:hanging="164"/>
      </w:pPr>
      <w:rPr>
        <w:rFonts w:hint="default"/>
        <w:lang w:val="en-US" w:eastAsia="zh-CN" w:bidi="ar-SA"/>
      </w:rPr>
    </w:lvl>
    <w:lvl w:ilvl="4">
      <w:start w:val="0"/>
      <w:numFmt w:val="bullet"/>
      <w:lvlText w:val="•"/>
      <w:lvlJc w:val="left"/>
      <w:pPr>
        <w:ind w:left="2015" w:hanging="164"/>
      </w:pPr>
      <w:rPr>
        <w:rFonts w:hint="default"/>
        <w:lang w:val="en-US" w:eastAsia="zh-CN" w:bidi="ar-SA"/>
      </w:rPr>
    </w:lvl>
    <w:lvl w:ilvl="5">
      <w:start w:val="0"/>
      <w:numFmt w:val="bullet"/>
      <w:lvlText w:val="•"/>
      <w:lvlJc w:val="left"/>
      <w:pPr>
        <w:ind w:left="2494" w:hanging="164"/>
      </w:pPr>
      <w:rPr>
        <w:rFonts w:hint="default"/>
        <w:lang w:val="en-US" w:eastAsia="zh-CN" w:bidi="ar-SA"/>
      </w:rPr>
    </w:lvl>
    <w:lvl w:ilvl="6">
      <w:start w:val="0"/>
      <w:numFmt w:val="bullet"/>
      <w:lvlText w:val="•"/>
      <w:lvlJc w:val="left"/>
      <w:pPr>
        <w:ind w:left="2973" w:hanging="164"/>
      </w:pPr>
      <w:rPr>
        <w:rFonts w:hint="default"/>
        <w:lang w:val="en-US" w:eastAsia="zh-CN" w:bidi="ar-SA"/>
      </w:rPr>
    </w:lvl>
    <w:lvl w:ilvl="7">
      <w:start w:val="0"/>
      <w:numFmt w:val="bullet"/>
      <w:lvlText w:val="•"/>
      <w:lvlJc w:val="left"/>
      <w:pPr>
        <w:ind w:left="3452" w:hanging="164"/>
      </w:pPr>
      <w:rPr>
        <w:rFonts w:hint="default"/>
        <w:lang w:val="en-US" w:eastAsia="zh-CN" w:bidi="ar-SA"/>
      </w:rPr>
    </w:lvl>
    <w:lvl w:ilvl="8">
      <w:start w:val="0"/>
      <w:numFmt w:val="bullet"/>
      <w:lvlText w:val="•"/>
      <w:lvlJc w:val="left"/>
      <w:pPr>
        <w:ind w:left="3931" w:hanging="164"/>
      </w:pPr>
      <w:rPr>
        <w:rFonts w:hint="default"/>
        <w:lang w:val="en-US" w:eastAsia="zh-CN" w:bidi="ar-SA"/>
      </w:rPr>
    </w:lvl>
  </w:abstractNum>
  <w:abstractNum w:abstractNumId="16">
    <w:multiLevelType w:val="hybridMultilevel"/>
    <w:lvl w:ilvl="0">
      <w:start w:val="1"/>
      <w:numFmt w:val="decimal"/>
      <w:lvlText w:val="%1."/>
      <w:lvlJc w:val="left"/>
      <w:pPr>
        <w:ind w:left="107" w:hanging="161"/>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445" w:hanging="161"/>
      </w:pPr>
      <w:rPr>
        <w:rFonts w:hint="default"/>
        <w:lang w:val="en-US" w:eastAsia="zh-CN" w:bidi="ar-SA"/>
      </w:rPr>
    </w:lvl>
    <w:lvl w:ilvl="2">
      <w:start w:val="0"/>
      <w:numFmt w:val="bullet"/>
      <w:lvlText w:val="•"/>
      <w:lvlJc w:val="left"/>
      <w:pPr>
        <w:ind w:left="791" w:hanging="161"/>
      </w:pPr>
      <w:rPr>
        <w:rFonts w:hint="default"/>
        <w:lang w:val="en-US" w:eastAsia="zh-CN" w:bidi="ar-SA"/>
      </w:rPr>
    </w:lvl>
    <w:lvl w:ilvl="3">
      <w:start w:val="0"/>
      <w:numFmt w:val="bullet"/>
      <w:lvlText w:val="•"/>
      <w:lvlJc w:val="left"/>
      <w:pPr>
        <w:ind w:left="1137" w:hanging="161"/>
      </w:pPr>
      <w:rPr>
        <w:rFonts w:hint="default"/>
        <w:lang w:val="en-US" w:eastAsia="zh-CN" w:bidi="ar-SA"/>
      </w:rPr>
    </w:lvl>
    <w:lvl w:ilvl="4">
      <w:start w:val="0"/>
      <w:numFmt w:val="bullet"/>
      <w:lvlText w:val="•"/>
      <w:lvlJc w:val="left"/>
      <w:pPr>
        <w:ind w:left="1482" w:hanging="161"/>
      </w:pPr>
      <w:rPr>
        <w:rFonts w:hint="default"/>
        <w:lang w:val="en-US" w:eastAsia="zh-CN" w:bidi="ar-SA"/>
      </w:rPr>
    </w:lvl>
    <w:lvl w:ilvl="5">
      <w:start w:val="0"/>
      <w:numFmt w:val="bullet"/>
      <w:lvlText w:val="•"/>
      <w:lvlJc w:val="left"/>
      <w:pPr>
        <w:ind w:left="1828" w:hanging="161"/>
      </w:pPr>
      <w:rPr>
        <w:rFonts w:hint="default"/>
        <w:lang w:val="en-US" w:eastAsia="zh-CN" w:bidi="ar-SA"/>
      </w:rPr>
    </w:lvl>
    <w:lvl w:ilvl="6">
      <w:start w:val="0"/>
      <w:numFmt w:val="bullet"/>
      <w:lvlText w:val="•"/>
      <w:lvlJc w:val="left"/>
      <w:pPr>
        <w:ind w:left="2174" w:hanging="161"/>
      </w:pPr>
      <w:rPr>
        <w:rFonts w:hint="default"/>
        <w:lang w:val="en-US" w:eastAsia="zh-CN" w:bidi="ar-SA"/>
      </w:rPr>
    </w:lvl>
    <w:lvl w:ilvl="7">
      <w:start w:val="0"/>
      <w:numFmt w:val="bullet"/>
      <w:lvlText w:val="•"/>
      <w:lvlJc w:val="left"/>
      <w:pPr>
        <w:ind w:left="2519" w:hanging="161"/>
      </w:pPr>
      <w:rPr>
        <w:rFonts w:hint="default"/>
        <w:lang w:val="en-US" w:eastAsia="zh-CN" w:bidi="ar-SA"/>
      </w:rPr>
    </w:lvl>
    <w:lvl w:ilvl="8">
      <w:start w:val="0"/>
      <w:numFmt w:val="bullet"/>
      <w:lvlText w:val="•"/>
      <w:lvlJc w:val="left"/>
      <w:pPr>
        <w:ind w:left="2865" w:hanging="161"/>
      </w:pPr>
      <w:rPr>
        <w:rFonts w:hint="default"/>
        <w:lang w:val="en-US" w:eastAsia="zh-CN" w:bidi="ar-SA"/>
      </w:rPr>
    </w:lvl>
  </w:abstractNum>
  <w:abstractNum w:abstractNumId="15">
    <w:multiLevelType w:val="hybridMultilevel"/>
    <w:lvl w:ilvl="0">
      <w:start w:val="1"/>
      <w:numFmt w:val="decimal"/>
      <w:lvlText w:val="%1."/>
      <w:lvlJc w:val="left"/>
      <w:pPr>
        <w:ind w:left="107" w:hanging="161"/>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423" w:hanging="161"/>
      </w:pPr>
      <w:rPr>
        <w:rFonts w:hint="default"/>
        <w:lang w:val="en-US" w:eastAsia="zh-CN" w:bidi="ar-SA"/>
      </w:rPr>
    </w:lvl>
    <w:lvl w:ilvl="2">
      <w:start w:val="0"/>
      <w:numFmt w:val="bullet"/>
      <w:lvlText w:val="•"/>
      <w:lvlJc w:val="left"/>
      <w:pPr>
        <w:ind w:left="746" w:hanging="161"/>
      </w:pPr>
      <w:rPr>
        <w:rFonts w:hint="default"/>
        <w:lang w:val="en-US" w:eastAsia="zh-CN" w:bidi="ar-SA"/>
      </w:rPr>
    </w:lvl>
    <w:lvl w:ilvl="3">
      <w:start w:val="0"/>
      <w:numFmt w:val="bullet"/>
      <w:lvlText w:val="•"/>
      <w:lvlJc w:val="left"/>
      <w:pPr>
        <w:ind w:left="1069" w:hanging="161"/>
      </w:pPr>
      <w:rPr>
        <w:rFonts w:hint="default"/>
        <w:lang w:val="en-US" w:eastAsia="zh-CN" w:bidi="ar-SA"/>
      </w:rPr>
    </w:lvl>
    <w:lvl w:ilvl="4">
      <w:start w:val="0"/>
      <w:numFmt w:val="bullet"/>
      <w:lvlText w:val="•"/>
      <w:lvlJc w:val="left"/>
      <w:pPr>
        <w:ind w:left="1392" w:hanging="161"/>
      </w:pPr>
      <w:rPr>
        <w:rFonts w:hint="default"/>
        <w:lang w:val="en-US" w:eastAsia="zh-CN" w:bidi="ar-SA"/>
      </w:rPr>
    </w:lvl>
    <w:lvl w:ilvl="5">
      <w:start w:val="0"/>
      <w:numFmt w:val="bullet"/>
      <w:lvlText w:val="•"/>
      <w:lvlJc w:val="left"/>
      <w:pPr>
        <w:ind w:left="1716" w:hanging="161"/>
      </w:pPr>
      <w:rPr>
        <w:rFonts w:hint="default"/>
        <w:lang w:val="en-US" w:eastAsia="zh-CN" w:bidi="ar-SA"/>
      </w:rPr>
    </w:lvl>
    <w:lvl w:ilvl="6">
      <w:start w:val="0"/>
      <w:numFmt w:val="bullet"/>
      <w:lvlText w:val="•"/>
      <w:lvlJc w:val="left"/>
      <w:pPr>
        <w:ind w:left="2039" w:hanging="161"/>
      </w:pPr>
      <w:rPr>
        <w:rFonts w:hint="default"/>
        <w:lang w:val="en-US" w:eastAsia="zh-CN" w:bidi="ar-SA"/>
      </w:rPr>
    </w:lvl>
    <w:lvl w:ilvl="7">
      <w:start w:val="0"/>
      <w:numFmt w:val="bullet"/>
      <w:lvlText w:val="•"/>
      <w:lvlJc w:val="left"/>
      <w:pPr>
        <w:ind w:left="2362" w:hanging="161"/>
      </w:pPr>
      <w:rPr>
        <w:rFonts w:hint="default"/>
        <w:lang w:val="en-US" w:eastAsia="zh-CN" w:bidi="ar-SA"/>
      </w:rPr>
    </w:lvl>
    <w:lvl w:ilvl="8">
      <w:start w:val="0"/>
      <w:numFmt w:val="bullet"/>
      <w:lvlText w:val="•"/>
      <w:lvlJc w:val="left"/>
      <w:pPr>
        <w:ind w:left="2685" w:hanging="161"/>
      </w:pPr>
      <w:rPr>
        <w:rFonts w:hint="default"/>
        <w:lang w:val="en-US" w:eastAsia="zh-CN" w:bidi="ar-SA"/>
      </w:rPr>
    </w:lvl>
  </w:abstractNum>
  <w:abstractNum w:abstractNumId="14">
    <w:multiLevelType w:val="hybridMultilevel"/>
    <w:lvl w:ilvl="0">
      <w:start w:val="1"/>
      <w:numFmt w:val="decimal"/>
      <w:lvlText w:val="%1."/>
      <w:lvlJc w:val="left"/>
      <w:pPr>
        <w:ind w:left="107" w:hanging="161"/>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423" w:hanging="161"/>
      </w:pPr>
      <w:rPr>
        <w:rFonts w:hint="default"/>
        <w:lang w:val="en-US" w:eastAsia="zh-CN" w:bidi="ar-SA"/>
      </w:rPr>
    </w:lvl>
    <w:lvl w:ilvl="2">
      <w:start w:val="0"/>
      <w:numFmt w:val="bullet"/>
      <w:lvlText w:val="•"/>
      <w:lvlJc w:val="left"/>
      <w:pPr>
        <w:ind w:left="746" w:hanging="161"/>
      </w:pPr>
      <w:rPr>
        <w:rFonts w:hint="default"/>
        <w:lang w:val="en-US" w:eastAsia="zh-CN" w:bidi="ar-SA"/>
      </w:rPr>
    </w:lvl>
    <w:lvl w:ilvl="3">
      <w:start w:val="0"/>
      <w:numFmt w:val="bullet"/>
      <w:lvlText w:val="•"/>
      <w:lvlJc w:val="left"/>
      <w:pPr>
        <w:ind w:left="1069" w:hanging="161"/>
      </w:pPr>
      <w:rPr>
        <w:rFonts w:hint="default"/>
        <w:lang w:val="en-US" w:eastAsia="zh-CN" w:bidi="ar-SA"/>
      </w:rPr>
    </w:lvl>
    <w:lvl w:ilvl="4">
      <w:start w:val="0"/>
      <w:numFmt w:val="bullet"/>
      <w:lvlText w:val="•"/>
      <w:lvlJc w:val="left"/>
      <w:pPr>
        <w:ind w:left="1392" w:hanging="161"/>
      </w:pPr>
      <w:rPr>
        <w:rFonts w:hint="default"/>
        <w:lang w:val="en-US" w:eastAsia="zh-CN" w:bidi="ar-SA"/>
      </w:rPr>
    </w:lvl>
    <w:lvl w:ilvl="5">
      <w:start w:val="0"/>
      <w:numFmt w:val="bullet"/>
      <w:lvlText w:val="•"/>
      <w:lvlJc w:val="left"/>
      <w:pPr>
        <w:ind w:left="1716" w:hanging="161"/>
      </w:pPr>
      <w:rPr>
        <w:rFonts w:hint="default"/>
        <w:lang w:val="en-US" w:eastAsia="zh-CN" w:bidi="ar-SA"/>
      </w:rPr>
    </w:lvl>
    <w:lvl w:ilvl="6">
      <w:start w:val="0"/>
      <w:numFmt w:val="bullet"/>
      <w:lvlText w:val="•"/>
      <w:lvlJc w:val="left"/>
      <w:pPr>
        <w:ind w:left="2039" w:hanging="161"/>
      </w:pPr>
      <w:rPr>
        <w:rFonts w:hint="default"/>
        <w:lang w:val="en-US" w:eastAsia="zh-CN" w:bidi="ar-SA"/>
      </w:rPr>
    </w:lvl>
    <w:lvl w:ilvl="7">
      <w:start w:val="0"/>
      <w:numFmt w:val="bullet"/>
      <w:lvlText w:val="•"/>
      <w:lvlJc w:val="left"/>
      <w:pPr>
        <w:ind w:left="2362" w:hanging="161"/>
      </w:pPr>
      <w:rPr>
        <w:rFonts w:hint="default"/>
        <w:lang w:val="en-US" w:eastAsia="zh-CN" w:bidi="ar-SA"/>
      </w:rPr>
    </w:lvl>
    <w:lvl w:ilvl="8">
      <w:start w:val="0"/>
      <w:numFmt w:val="bullet"/>
      <w:lvlText w:val="•"/>
      <w:lvlJc w:val="left"/>
      <w:pPr>
        <w:ind w:left="2685" w:hanging="161"/>
      </w:pPr>
      <w:rPr>
        <w:rFonts w:hint="default"/>
        <w:lang w:val="en-US" w:eastAsia="zh-CN" w:bidi="ar-SA"/>
      </w:rPr>
    </w:lvl>
  </w:abstractNum>
  <w:abstractNum w:abstractNumId="13">
    <w:multiLevelType w:val="hybridMultilevel"/>
    <w:lvl w:ilvl="0">
      <w:start w:val="4"/>
      <w:numFmt w:val="decimal"/>
      <w:lvlText w:val="%1."/>
      <w:lvlJc w:val="left"/>
      <w:pPr>
        <w:ind w:left="107" w:hanging="161"/>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423" w:hanging="161"/>
      </w:pPr>
      <w:rPr>
        <w:rFonts w:hint="default"/>
        <w:lang w:val="en-US" w:eastAsia="zh-CN" w:bidi="ar-SA"/>
      </w:rPr>
    </w:lvl>
    <w:lvl w:ilvl="2">
      <w:start w:val="0"/>
      <w:numFmt w:val="bullet"/>
      <w:lvlText w:val="•"/>
      <w:lvlJc w:val="left"/>
      <w:pPr>
        <w:ind w:left="746" w:hanging="161"/>
      </w:pPr>
      <w:rPr>
        <w:rFonts w:hint="default"/>
        <w:lang w:val="en-US" w:eastAsia="zh-CN" w:bidi="ar-SA"/>
      </w:rPr>
    </w:lvl>
    <w:lvl w:ilvl="3">
      <w:start w:val="0"/>
      <w:numFmt w:val="bullet"/>
      <w:lvlText w:val="•"/>
      <w:lvlJc w:val="left"/>
      <w:pPr>
        <w:ind w:left="1069" w:hanging="161"/>
      </w:pPr>
      <w:rPr>
        <w:rFonts w:hint="default"/>
        <w:lang w:val="en-US" w:eastAsia="zh-CN" w:bidi="ar-SA"/>
      </w:rPr>
    </w:lvl>
    <w:lvl w:ilvl="4">
      <w:start w:val="0"/>
      <w:numFmt w:val="bullet"/>
      <w:lvlText w:val="•"/>
      <w:lvlJc w:val="left"/>
      <w:pPr>
        <w:ind w:left="1392" w:hanging="161"/>
      </w:pPr>
      <w:rPr>
        <w:rFonts w:hint="default"/>
        <w:lang w:val="en-US" w:eastAsia="zh-CN" w:bidi="ar-SA"/>
      </w:rPr>
    </w:lvl>
    <w:lvl w:ilvl="5">
      <w:start w:val="0"/>
      <w:numFmt w:val="bullet"/>
      <w:lvlText w:val="•"/>
      <w:lvlJc w:val="left"/>
      <w:pPr>
        <w:ind w:left="1716" w:hanging="161"/>
      </w:pPr>
      <w:rPr>
        <w:rFonts w:hint="default"/>
        <w:lang w:val="en-US" w:eastAsia="zh-CN" w:bidi="ar-SA"/>
      </w:rPr>
    </w:lvl>
    <w:lvl w:ilvl="6">
      <w:start w:val="0"/>
      <w:numFmt w:val="bullet"/>
      <w:lvlText w:val="•"/>
      <w:lvlJc w:val="left"/>
      <w:pPr>
        <w:ind w:left="2039" w:hanging="161"/>
      </w:pPr>
      <w:rPr>
        <w:rFonts w:hint="default"/>
        <w:lang w:val="en-US" w:eastAsia="zh-CN" w:bidi="ar-SA"/>
      </w:rPr>
    </w:lvl>
    <w:lvl w:ilvl="7">
      <w:start w:val="0"/>
      <w:numFmt w:val="bullet"/>
      <w:lvlText w:val="•"/>
      <w:lvlJc w:val="left"/>
      <w:pPr>
        <w:ind w:left="2362" w:hanging="161"/>
      </w:pPr>
      <w:rPr>
        <w:rFonts w:hint="default"/>
        <w:lang w:val="en-US" w:eastAsia="zh-CN" w:bidi="ar-SA"/>
      </w:rPr>
    </w:lvl>
    <w:lvl w:ilvl="8">
      <w:start w:val="0"/>
      <w:numFmt w:val="bullet"/>
      <w:lvlText w:val="•"/>
      <w:lvlJc w:val="left"/>
      <w:pPr>
        <w:ind w:left="2685" w:hanging="161"/>
      </w:pPr>
      <w:rPr>
        <w:rFonts w:hint="default"/>
        <w:lang w:val="en-US" w:eastAsia="zh-CN" w:bidi="ar-SA"/>
      </w:rPr>
    </w:lvl>
  </w:abstractNum>
  <w:abstractNum w:abstractNumId="12">
    <w:multiLevelType w:val="hybridMultilevel"/>
    <w:lvl w:ilvl="0">
      <w:start w:val="5"/>
      <w:numFmt w:val="decimal"/>
      <w:lvlText w:val="%1."/>
      <w:lvlJc w:val="left"/>
      <w:pPr>
        <w:ind w:left="107" w:hanging="164"/>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623" w:hanging="164"/>
      </w:pPr>
      <w:rPr>
        <w:rFonts w:hint="default"/>
        <w:lang w:val="en-US" w:eastAsia="zh-CN" w:bidi="ar-SA"/>
      </w:rPr>
    </w:lvl>
    <w:lvl w:ilvl="2">
      <w:start w:val="0"/>
      <w:numFmt w:val="bullet"/>
      <w:lvlText w:val="•"/>
      <w:lvlJc w:val="left"/>
      <w:pPr>
        <w:ind w:left="1147" w:hanging="164"/>
      </w:pPr>
      <w:rPr>
        <w:rFonts w:hint="default"/>
        <w:lang w:val="en-US" w:eastAsia="zh-CN" w:bidi="ar-SA"/>
      </w:rPr>
    </w:lvl>
    <w:lvl w:ilvl="3">
      <w:start w:val="0"/>
      <w:numFmt w:val="bullet"/>
      <w:lvlText w:val="•"/>
      <w:lvlJc w:val="left"/>
      <w:pPr>
        <w:ind w:left="1671" w:hanging="164"/>
      </w:pPr>
      <w:rPr>
        <w:rFonts w:hint="default"/>
        <w:lang w:val="en-US" w:eastAsia="zh-CN" w:bidi="ar-SA"/>
      </w:rPr>
    </w:lvl>
    <w:lvl w:ilvl="4">
      <w:start w:val="0"/>
      <w:numFmt w:val="bullet"/>
      <w:lvlText w:val="•"/>
      <w:lvlJc w:val="left"/>
      <w:pPr>
        <w:ind w:left="2195" w:hanging="164"/>
      </w:pPr>
      <w:rPr>
        <w:rFonts w:hint="default"/>
        <w:lang w:val="en-US" w:eastAsia="zh-CN" w:bidi="ar-SA"/>
      </w:rPr>
    </w:lvl>
    <w:lvl w:ilvl="5">
      <w:start w:val="0"/>
      <w:numFmt w:val="bullet"/>
      <w:lvlText w:val="•"/>
      <w:lvlJc w:val="left"/>
      <w:pPr>
        <w:ind w:left="2719" w:hanging="164"/>
      </w:pPr>
      <w:rPr>
        <w:rFonts w:hint="default"/>
        <w:lang w:val="en-US" w:eastAsia="zh-CN" w:bidi="ar-SA"/>
      </w:rPr>
    </w:lvl>
    <w:lvl w:ilvl="6">
      <w:start w:val="0"/>
      <w:numFmt w:val="bullet"/>
      <w:lvlText w:val="•"/>
      <w:lvlJc w:val="left"/>
      <w:pPr>
        <w:ind w:left="3243" w:hanging="164"/>
      </w:pPr>
      <w:rPr>
        <w:rFonts w:hint="default"/>
        <w:lang w:val="en-US" w:eastAsia="zh-CN" w:bidi="ar-SA"/>
      </w:rPr>
    </w:lvl>
    <w:lvl w:ilvl="7">
      <w:start w:val="0"/>
      <w:numFmt w:val="bullet"/>
      <w:lvlText w:val="•"/>
      <w:lvlJc w:val="left"/>
      <w:pPr>
        <w:ind w:left="3767" w:hanging="164"/>
      </w:pPr>
      <w:rPr>
        <w:rFonts w:hint="default"/>
        <w:lang w:val="en-US" w:eastAsia="zh-CN" w:bidi="ar-SA"/>
      </w:rPr>
    </w:lvl>
    <w:lvl w:ilvl="8">
      <w:start w:val="0"/>
      <w:numFmt w:val="bullet"/>
      <w:lvlText w:val="•"/>
      <w:lvlJc w:val="left"/>
      <w:pPr>
        <w:ind w:left="4291" w:hanging="164"/>
      </w:pPr>
      <w:rPr>
        <w:rFonts w:hint="default"/>
        <w:lang w:val="en-US" w:eastAsia="zh-CN" w:bidi="ar-SA"/>
      </w:rPr>
    </w:lvl>
  </w:abstractNum>
  <w:abstractNum w:abstractNumId="11">
    <w:multiLevelType w:val="hybridMultilevel"/>
    <w:lvl w:ilvl="0">
      <w:start w:val="2"/>
      <w:numFmt w:val="decimal"/>
      <w:lvlText w:val="%1."/>
      <w:lvlJc w:val="left"/>
      <w:pPr>
        <w:ind w:left="107" w:hanging="164"/>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623" w:hanging="164"/>
      </w:pPr>
      <w:rPr>
        <w:rFonts w:hint="default"/>
        <w:lang w:val="en-US" w:eastAsia="zh-CN" w:bidi="ar-SA"/>
      </w:rPr>
    </w:lvl>
    <w:lvl w:ilvl="2">
      <w:start w:val="0"/>
      <w:numFmt w:val="bullet"/>
      <w:lvlText w:val="•"/>
      <w:lvlJc w:val="left"/>
      <w:pPr>
        <w:ind w:left="1147" w:hanging="164"/>
      </w:pPr>
      <w:rPr>
        <w:rFonts w:hint="default"/>
        <w:lang w:val="en-US" w:eastAsia="zh-CN" w:bidi="ar-SA"/>
      </w:rPr>
    </w:lvl>
    <w:lvl w:ilvl="3">
      <w:start w:val="0"/>
      <w:numFmt w:val="bullet"/>
      <w:lvlText w:val="•"/>
      <w:lvlJc w:val="left"/>
      <w:pPr>
        <w:ind w:left="1671" w:hanging="164"/>
      </w:pPr>
      <w:rPr>
        <w:rFonts w:hint="default"/>
        <w:lang w:val="en-US" w:eastAsia="zh-CN" w:bidi="ar-SA"/>
      </w:rPr>
    </w:lvl>
    <w:lvl w:ilvl="4">
      <w:start w:val="0"/>
      <w:numFmt w:val="bullet"/>
      <w:lvlText w:val="•"/>
      <w:lvlJc w:val="left"/>
      <w:pPr>
        <w:ind w:left="2195" w:hanging="164"/>
      </w:pPr>
      <w:rPr>
        <w:rFonts w:hint="default"/>
        <w:lang w:val="en-US" w:eastAsia="zh-CN" w:bidi="ar-SA"/>
      </w:rPr>
    </w:lvl>
    <w:lvl w:ilvl="5">
      <w:start w:val="0"/>
      <w:numFmt w:val="bullet"/>
      <w:lvlText w:val="•"/>
      <w:lvlJc w:val="left"/>
      <w:pPr>
        <w:ind w:left="2719" w:hanging="164"/>
      </w:pPr>
      <w:rPr>
        <w:rFonts w:hint="default"/>
        <w:lang w:val="en-US" w:eastAsia="zh-CN" w:bidi="ar-SA"/>
      </w:rPr>
    </w:lvl>
    <w:lvl w:ilvl="6">
      <w:start w:val="0"/>
      <w:numFmt w:val="bullet"/>
      <w:lvlText w:val="•"/>
      <w:lvlJc w:val="left"/>
      <w:pPr>
        <w:ind w:left="3243" w:hanging="164"/>
      </w:pPr>
      <w:rPr>
        <w:rFonts w:hint="default"/>
        <w:lang w:val="en-US" w:eastAsia="zh-CN" w:bidi="ar-SA"/>
      </w:rPr>
    </w:lvl>
    <w:lvl w:ilvl="7">
      <w:start w:val="0"/>
      <w:numFmt w:val="bullet"/>
      <w:lvlText w:val="•"/>
      <w:lvlJc w:val="left"/>
      <w:pPr>
        <w:ind w:left="3767" w:hanging="164"/>
      </w:pPr>
      <w:rPr>
        <w:rFonts w:hint="default"/>
        <w:lang w:val="en-US" w:eastAsia="zh-CN" w:bidi="ar-SA"/>
      </w:rPr>
    </w:lvl>
    <w:lvl w:ilvl="8">
      <w:start w:val="0"/>
      <w:numFmt w:val="bullet"/>
      <w:lvlText w:val="•"/>
      <w:lvlJc w:val="left"/>
      <w:pPr>
        <w:ind w:left="4291" w:hanging="164"/>
      </w:pPr>
      <w:rPr>
        <w:rFonts w:hint="default"/>
        <w:lang w:val="en-US" w:eastAsia="zh-CN" w:bidi="ar-SA"/>
      </w:rPr>
    </w:lvl>
  </w:abstractNum>
  <w:abstractNum w:abstractNumId="10">
    <w:multiLevelType w:val="hybridMultilevel"/>
    <w:lvl w:ilvl="0">
      <w:start w:val="1"/>
      <w:numFmt w:val="decimal"/>
      <w:lvlText w:val="%1."/>
      <w:lvlJc w:val="left"/>
      <w:pPr>
        <w:ind w:left="107" w:hanging="161"/>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423" w:hanging="161"/>
      </w:pPr>
      <w:rPr>
        <w:rFonts w:hint="default"/>
        <w:lang w:val="en-US" w:eastAsia="zh-CN" w:bidi="ar-SA"/>
      </w:rPr>
    </w:lvl>
    <w:lvl w:ilvl="2">
      <w:start w:val="0"/>
      <w:numFmt w:val="bullet"/>
      <w:lvlText w:val="•"/>
      <w:lvlJc w:val="left"/>
      <w:pPr>
        <w:ind w:left="746" w:hanging="161"/>
      </w:pPr>
      <w:rPr>
        <w:rFonts w:hint="default"/>
        <w:lang w:val="en-US" w:eastAsia="zh-CN" w:bidi="ar-SA"/>
      </w:rPr>
    </w:lvl>
    <w:lvl w:ilvl="3">
      <w:start w:val="0"/>
      <w:numFmt w:val="bullet"/>
      <w:lvlText w:val="•"/>
      <w:lvlJc w:val="left"/>
      <w:pPr>
        <w:ind w:left="1069" w:hanging="161"/>
      </w:pPr>
      <w:rPr>
        <w:rFonts w:hint="default"/>
        <w:lang w:val="en-US" w:eastAsia="zh-CN" w:bidi="ar-SA"/>
      </w:rPr>
    </w:lvl>
    <w:lvl w:ilvl="4">
      <w:start w:val="0"/>
      <w:numFmt w:val="bullet"/>
      <w:lvlText w:val="•"/>
      <w:lvlJc w:val="left"/>
      <w:pPr>
        <w:ind w:left="1392" w:hanging="161"/>
      </w:pPr>
      <w:rPr>
        <w:rFonts w:hint="default"/>
        <w:lang w:val="en-US" w:eastAsia="zh-CN" w:bidi="ar-SA"/>
      </w:rPr>
    </w:lvl>
    <w:lvl w:ilvl="5">
      <w:start w:val="0"/>
      <w:numFmt w:val="bullet"/>
      <w:lvlText w:val="•"/>
      <w:lvlJc w:val="left"/>
      <w:pPr>
        <w:ind w:left="1716" w:hanging="161"/>
      </w:pPr>
      <w:rPr>
        <w:rFonts w:hint="default"/>
        <w:lang w:val="en-US" w:eastAsia="zh-CN" w:bidi="ar-SA"/>
      </w:rPr>
    </w:lvl>
    <w:lvl w:ilvl="6">
      <w:start w:val="0"/>
      <w:numFmt w:val="bullet"/>
      <w:lvlText w:val="•"/>
      <w:lvlJc w:val="left"/>
      <w:pPr>
        <w:ind w:left="2039" w:hanging="161"/>
      </w:pPr>
      <w:rPr>
        <w:rFonts w:hint="default"/>
        <w:lang w:val="en-US" w:eastAsia="zh-CN" w:bidi="ar-SA"/>
      </w:rPr>
    </w:lvl>
    <w:lvl w:ilvl="7">
      <w:start w:val="0"/>
      <w:numFmt w:val="bullet"/>
      <w:lvlText w:val="•"/>
      <w:lvlJc w:val="left"/>
      <w:pPr>
        <w:ind w:left="2362" w:hanging="161"/>
      </w:pPr>
      <w:rPr>
        <w:rFonts w:hint="default"/>
        <w:lang w:val="en-US" w:eastAsia="zh-CN" w:bidi="ar-SA"/>
      </w:rPr>
    </w:lvl>
    <w:lvl w:ilvl="8">
      <w:start w:val="0"/>
      <w:numFmt w:val="bullet"/>
      <w:lvlText w:val="•"/>
      <w:lvlJc w:val="left"/>
      <w:pPr>
        <w:ind w:left="2685" w:hanging="161"/>
      </w:pPr>
      <w:rPr>
        <w:rFonts w:hint="default"/>
        <w:lang w:val="en-US" w:eastAsia="zh-CN" w:bidi="ar-SA"/>
      </w:rPr>
    </w:lvl>
  </w:abstractNum>
  <w:abstractNum w:abstractNumId="9">
    <w:multiLevelType w:val="hybridMultilevel"/>
    <w:lvl w:ilvl="0">
      <w:start w:val="1"/>
      <w:numFmt w:val="decimal"/>
      <w:lvlText w:val="(%1)."/>
      <w:lvlJc w:val="left"/>
      <w:pPr>
        <w:ind w:left="523" w:hanging="424"/>
        <w:jc w:val="left"/>
      </w:pPr>
      <w:rPr>
        <w:rFonts w:hint="default" w:ascii="SimSun" w:hAnsi="SimSun" w:eastAsia="SimSun" w:cs="SimSun"/>
        <w:w w:val="100"/>
        <w:sz w:val="19"/>
        <w:szCs w:val="19"/>
        <w:lang w:val="en-US" w:eastAsia="zh-CN" w:bidi="ar-SA"/>
      </w:rPr>
    </w:lvl>
    <w:lvl w:ilvl="1">
      <w:start w:val="1"/>
      <w:numFmt w:val="decimal"/>
      <w:lvlText w:val="%2."/>
      <w:lvlJc w:val="left"/>
      <w:pPr>
        <w:ind w:left="118" w:hanging="160"/>
        <w:jc w:val="left"/>
      </w:pPr>
      <w:rPr>
        <w:rFonts w:hint="default" w:ascii="Times New Roman" w:hAnsi="Times New Roman" w:eastAsia="Times New Roman" w:cs="Times New Roman"/>
        <w:w w:val="100"/>
        <w:sz w:val="19"/>
        <w:szCs w:val="19"/>
        <w:lang w:val="en-US" w:eastAsia="zh-CN" w:bidi="ar-SA"/>
      </w:rPr>
    </w:lvl>
    <w:lvl w:ilvl="2">
      <w:start w:val="0"/>
      <w:numFmt w:val="bullet"/>
      <w:lvlText w:val="•"/>
      <w:lvlJc w:val="left"/>
      <w:pPr>
        <w:ind w:left="1491" w:hanging="160"/>
      </w:pPr>
      <w:rPr>
        <w:rFonts w:hint="default"/>
        <w:lang w:val="en-US" w:eastAsia="zh-CN" w:bidi="ar-SA"/>
      </w:rPr>
    </w:lvl>
    <w:lvl w:ilvl="3">
      <w:start w:val="0"/>
      <w:numFmt w:val="bullet"/>
      <w:lvlText w:val="•"/>
      <w:lvlJc w:val="left"/>
      <w:pPr>
        <w:ind w:left="2463" w:hanging="160"/>
      </w:pPr>
      <w:rPr>
        <w:rFonts w:hint="default"/>
        <w:lang w:val="en-US" w:eastAsia="zh-CN" w:bidi="ar-SA"/>
      </w:rPr>
    </w:lvl>
    <w:lvl w:ilvl="4">
      <w:start w:val="0"/>
      <w:numFmt w:val="bullet"/>
      <w:lvlText w:val="•"/>
      <w:lvlJc w:val="left"/>
      <w:pPr>
        <w:ind w:left="3435" w:hanging="160"/>
      </w:pPr>
      <w:rPr>
        <w:rFonts w:hint="default"/>
        <w:lang w:val="en-US" w:eastAsia="zh-CN" w:bidi="ar-SA"/>
      </w:rPr>
    </w:lvl>
    <w:lvl w:ilvl="5">
      <w:start w:val="0"/>
      <w:numFmt w:val="bullet"/>
      <w:lvlText w:val="•"/>
      <w:lvlJc w:val="left"/>
      <w:pPr>
        <w:ind w:left="4407" w:hanging="160"/>
      </w:pPr>
      <w:rPr>
        <w:rFonts w:hint="default"/>
        <w:lang w:val="en-US" w:eastAsia="zh-CN" w:bidi="ar-SA"/>
      </w:rPr>
    </w:lvl>
    <w:lvl w:ilvl="6">
      <w:start w:val="0"/>
      <w:numFmt w:val="bullet"/>
      <w:lvlText w:val="•"/>
      <w:lvlJc w:val="left"/>
      <w:pPr>
        <w:ind w:left="5379" w:hanging="160"/>
      </w:pPr>
      <w:rPr>
        <w:rFonts w:hint="default"/>
        <w:lang w:val="en-US" w:eastAsia="zh-CN" w:bidi="ar-SA"/>
      </w:rPr>
    </w:lvl>
    <w:lvl w:ilvl="7">
      <w:start w:val="0"/>
      <w:numFmt w:val="bullet"/>
      <w:lvlText w:val="•"/>
      <w:lvlJc w:val="left"/>
      <w:pPr>
        <w:ind w:left="6350" w:hanging="160"/>
      </w:pPr>
      <w:rPr>
        <w:rFonts w:hint="default"/>
        <w:lang w:val="en-US" w:eastAsia="zh-CN" w:bidi="ar-SA"/>
      </w:rPr>
    </w:lvl>
    <w:lvl w:ilvl="8">
      <w:start w:val="0"/>
      <w:numFmt w:val="bullet"/>
      <w:lvlText w:val="•"/>
      <w:lvlJc w:val="left"/>
      <w:pPr>
        <w:ind w:left="7322" w:hanging="160"/>
      </w:pPr>
      <w:rPr>
        <w:rFonts w:hint="default"/>
        <w:lang w:val="en-US" w:eastAsia="zh-CN" w:bidi="ar-SA"/>
      </w:rPr>
    </w:lvl>
  </w:abstractNum>
  <w:abstractNum w:abstractNumId="8">
    <w:multiLevelType w:val="hybridMultilevel"/>
    <w:lvl w:ilvl="0">
      <w:start w:val="1"/>
      <w:numFmt w:val="decimal"/>
      <w:lvlText w:val="%1."/>
      <w:lvlJc w:val="left"/>
      <w:pPr>
        <w:ind w:left="538" w:hanging="420"/>
        <w:jc w:val="left"/>
      </w:pPr>
      <w:rPr>
        <w:rFonts w:hint="default" w:ascii="SimSun" w:hAnsi="SimSun" w:eastAsia="SimSun" w:cs="SimSun"/>
        <w:w w:val="100"/>
        <w:sz w:val="21"/>
        <w:szCs w:val="21"/>
        <w:lang w:val="en-US" w:eastAsia="zh-CN" w:bidi="ar-SA"/>
      </w:rPr>
    </w:lvl>
    <w:lvl w:ilvl="1">
      <w:start w:val="0"/>
      <w:numFmt w:val="bullet"/>
      <w:lvlText w:val="•"/>
      <w:lvlJc w:val="left"/>
      <w:pPr>
        <w:ind w:left="1392" w:hanging="420"/>
      </w:pPr>
      <w:rPr>
        <w:rFonts w:hint="default"/>
        <w:lang w:val="en-US" w:eastAsia="zh-CN" w:bidi="ar-SA"/>
      </w:rPr>
    </w:lvl>
    <w:lvl w:ilvl="2">
      <w:start w:val="0"/>
      <w:numFmt w:val="bullet"/>
      <w:lvlText w:val="•"/>
      <w:lvlJc w:val="left"/>
      <w:pPr>
        <w:ind w:left="2245" w:hanging="420"/>
      </w:pPr>
      <w:rPr>
        <w:rFonts w:hint="default"/>
        <w:lang w:val="en-US" w:eastAsia="zh-CN" w:bidi="ar-SA"/>
      </w:rPr>
    </w:lvl>
    <w:lvl w:ilvl="3">
      <w:start w:val="0"/>
      <w:numFmt w:val="bullet"/>
      <w:lvlText w:val="•"/>
      <w:lvlJc w:val="left"/>
      <w:pPr>
        <w:ind w:left="3097" w:hanging="420"/>
      </w:pPr>
      <w:rPr>
        <w:rFonts w:hint="default"/>
        <w:lang w:val="en-US" w:eastAsia="zh-CN" w:bidi="ar-SA"/>
      </w:rPr>
    </w:lvl>
    <w:lvl w:ilvl="4">
      <w:start w:val="0"/>
      <w:numFmt w:val="bullet"/>
      <w:lvlText w:val="•"/>
      <w:lvlJc w:val="left"/>
      <w:pPr>
        <w:ind w:left="3950" w:hanging="420"/>
      </w:pPr>
      <w:rPr>
        <w:rFonts w:hint="default"/>
        <w:lang w:val="en-US" w:eastAsia="zh-CN" w:bidi="ar-SA"/>
      </w:rPr>
    </w:lvl>
    <w:lvl w:ilvl="5">
      <w:start w:val="0"/>
      <w:numFmt w:val="bullet"/>
      <w:lvlText w:val="•"/>
      <w:lvlJc w:val="left"/>
      <w:pPr>
        <w:ind w:left="4803" w:hanging="420"/>
      </w:pPr>
      <w:rPr>
        <w:rFonts w:hint="default"/>
        <w:lang w:val="en-US" w:eastAsia="zh-CN" w:bidi="ar-SA"/>
      </w:rPr>
    </w:lvl>
    <w:lvl w:ilvl="6">
      <w:start w:val="0"/>
      <w:numFmt w:val="bullet"/>
      <w:lvlText w:val="•"/>
      <w:lvlJc w:val="left"/>
      <w:pPr>
        <w:ind w:left="5655" w:hanging="420"/>
      </w:pPr>
      <w:rPr>
        <w:rFonts w:hint="default"/>
        <w:lang w:val="en-US" w:eastAsia="zh-CN" w:bidi="ar-SA"/>
      </w:rPr>
    </w:lvl>
    <w:lvl w:ilvl="7">
      <w:start w:val="0"/>
      <w:numFmt w:val="bullet"/>
      <w:lvlText w:val="•"/>
      <w:lvlJc w:val="left"/>
      <w:pPr>
        <w:ind w:left="6508" w:hanging="420"/>
      </w:pPr>
      <w:rPr>
        <w:rFonts w:hint="default"/>
        <w:lang w:val="en-US" w:eastAsia="zh-CN" w:bidi="ar-SA"/>
      </w:rPr>
    </w:lvl>
    <w:lvl w:ilvl="8">
      <w:start w:val="0"/>
      <w:numFmt w:val="bullet"/>
      <w:lvlText w:val="•"/>
      <w:lvlJc w:val="left"/>
      <w:pPr>
        <w:ind w:left="7361" w:hanging="420"/>
      </w:pPr>
      <w:rPr>
        <w:rFonts w:hint="default"/>
        <w:lang w:val="en-US" w:eastAsia="zh-CN" w:bidi="ar-SA"/>
      </w:rPr>
    </w:lvl>
  </w:abstractNum>
  <w:abstractNum w:abstractNumId="7">
    <w:multiLevelType w:val="hybridMultilevel"/>
    <w:lvl w:ilvl="0">
      <w:start w:val="1"/>
      <w:numFmt w:val="decimal"/>
      <w:lvlText w:val="%1."/>
      <w:lvlJc w:val="left"/>
      <w:pPr>
        <w:ind w:left="1058" w:hanging="420"/>
        <w:jc w:val="right"/>
      </w:pPr>
      <w:rPr>
        <w:rFonts w:hint="default"/>
        <w:b/>
        <w:bCs/>
        <w:w w:val="100"/>
        <w:lang w:val="en-US" w:eastAsia="zh-CN" w:bidi="ar-SA"/>
      </w:rPr>
    </w:lvl>
    <w:lvl w:ilvl="1">
      <w:start w:val="0"/>
      <w:numFmt w:val="bullet"/>
      <w:lvlText w:val="•"/>
      <w:lvlJc w:val="left"/>
      <w:pPr>
        <w:ind w:left="1934" w:hanging="420"/>
      </w:pPr>
      <w:rPr>
        <w:rFonts w:hint="default"/>
        <w:lang w:val="en-US" w:eastAsia="zh-CN" w:bidi="ar-SA"/>
      </w:rPr>
    </w:lvl>
    <w:lvl w:ilvl="2">
      <w:start w:val="0"/>
      <w:numFmt w:val="bullet"/>
      <w:lvlText w:val="•"/>
      <w:lvlJc w:val="left"/>
      <w:pPr>
        <w:ind w:left="2809" w:hanging="420"/>
      </w:pPr>
      <w:rPr>
        <w:rFonts w:hint="default"/>
        <w:lang w:val="en-US" w:eastAsia="zh-CN" w:bidi="ar-SA"/>
      </w:rPr>
    </w:lvl>
    <w:lvl w:ilvl="3">
      <w:start w:val="0"/>
      <w:numFmt w:val="bullet"/>
      <w:lvlText w:val="•"/>
      <w:lvlJc w:val="left"/>
      <w:pPr>
        <w:ind w:left="3683" w:hanging="420"/>
      </w:pPr>
      <w:rPr>
        <w:rFonts w:hint="default"/>
        <w:lang w:val="en-US" w:eastAsia="zh-CN" w:bidi="ar-SA"/>
      </w:rPr>
    </w:lvl>
    <w:lvl w:ilvl="4">
      <w:start w:val="0"/>
      <w:numFmt w:val="bullet"/>
      <w:lvlText w:val="•"/>
      <w:lvlJc w:val="left"/>
      <w:pPr>
        <w:ind w:left="4558" w:hanging="420"/>
      </w:pPr>
      <w:rPr>
        <w:rFonts w:hint="default"/>
        <w:lang w:val="en-US" w:eastAsia="zh-CN" w:bidi="ar-SA"/>
      </w:rPr>
    </w:lvl>
    <w:lvl w:ilvl="5">
      <w:start w:val="0"/>
      <w:numFmt w:val="bullet"/>
      <w:lvlText w:val="•"/>
      <w:lvlJc w:val="left"/>
      <w:pPr>
        <w:ind w:left="5433" w:hanging="420"/>
      </w:pPr>
      <w:rPr>
        <w:rFonts w:hint="default"/>
        <w:lang w:val="en-US" w:eastAsia="zh-CN" w:bidi="ar-SA"/>
      </w:rPr>
    </w:lvl>
    <w:lvl w:ilvl="6">
      <w:start w:val="0"/>
      <w:numFmt w:val="bullet"/>
      <w:lvlText w:val="•"/>
      <w:lvlJc w:val="left"/>
      <w:pPr>
        <w:ind w:left="6307" w:hanging="420"/>
      </w:pPr>
      <w:rPr>
        <w:rFonts w:hint="default"/>
        <w:lang w:val="en-US" w:eastAsia="zh-CN" w:bidi="ar-SA"/>
      </w:rPr>
    </w:lvl>
    <w:lvl w:ilvl="7">
      <w:start w:val="0"/>
      <w:numFmt w:val="bullet"/>
      <w:lvlText w:val="•"/>
      <w:lvlJc w:val="left"/>
      <w:pPr>
        <w:ind w:left="7182" w:hanging="420"/>
      </w:pPr>
      <w:rPr>
        <w:rFonts w:hint="default"/>
        <w:lang w:val="en-US" w:eastAsia="zh-CN" w:bidi="ar-SA"/>
      </w:rPr>
    </w:lvl>
    <w:lvl w:ilvl="8">
      <w:start w:val="0"/>
      <w:numFmt w:val="bullet"/>
      <w:lvlText w:val="•"/>
      <w:lvlJc w:val="left"/>
      <w:pPr>
        <w:ind w:left="8057" w:hanging="420"/>
      </w:pPr>
      <w:rPr>
        <w:rFonts w:hint="default"/>
        <w:lang w:val="en-US" w:eastAsia="zh-CN" w:bidi="ar-SA"/>
      </w:rPr>
    </w:lvl>
  </w:abstractNum>
  <w:abstractNum w:abstractNumId="6">
    <w:multiLevelType w:val="hybridMultilevel"/>
    <w:lvl w:ilvl="0">
      <w:start w:val="1"/>
      <w:numFmt w:val="decimal"/>
      <w:lvlText w:val="(%1)"/>
      <w:lvlJc w:val="left"/>
      <w:pPr>
        <w:ind w:left="1089" w:hanging="452"/>
        <w:jc w:val="left"/>
      </w:pPr>
      <w:rPr>
        <w:rFonts w:hint="default" w:ascii="SimSun" w:hAnsi="SimSun" w:eastAsia="SimSun" w:cs="SimSun"/>
        <w:w w:val="100"/>
        <w:sz w:val="21"/>
        <w:szCs w:val="21"/>
        <w:lang w:val="en-US" w:eastAsia="zh-CN" w:bidi="ar-SA"/>
      </w:rPr>
    </w:lvl>
    <w:lvl w:ilvl="1">
      <w:start w:val="0"/>
      <w:numFmt w:val="bullet"/>
      <w:lvlText w:val="•"/>
      <w:lvlJc w:val="left"/>
      <w:pPr>
        <w:ind w:left="1952" w:hanging="452"/>
      </w:pPr>
      <w:rPr>
        <w:rFonts w:hint="default"/>
        <w:lang w:val="en-US" w:eastAsia="zh-CN" w:bidi="ar-SA"/>
      </w:rPr>
    </w:lvl>
    <w:lvl w:ilvl="2">
      <w:start w:val="0"/>
      <w:numFmt w:val="bullet"/>
      <w:lvlText w:val="•"/>
      <w:lvlJc w:val="left"/>
      <w:pPr>
        <w:ind w:left="2825" w:hanging="452"/>
      </w:pPr>
      <w:rPr>
        <w:rFonts w:hint="default"/>
        <w:lang w:val="en-US" w:eastAsia="zh-CN" w:bidi="ar-SA"/>
      </w:rPr>
    </w:lvl>
    <w:lvl w:ilvl="3">
      <w:start w:val="0"/>
      <w:numFmt w:val="bullet"/>
      <w:lvlText w:val="•"/>
      <w:lvlJc w:val="left"/>
      <w:pPr>
        <w:ind w:left="3697" w:hanging="452"/>
      </w:pPr>
      <w:rPr>
        <w:rFonts w:hint="default"/>
        <w:lang w:val="en-US" w:eastAsia="zh-CN" w:bidi="ar-SA"/>
      </w:rPr>
    </w:lvl>
    <w:lvl w:ilvl="4">
      <w:start w:val="0"/>
      <w:numFmt w:val="bullet"/>
      <w:lvlText w:val="•"/>
      <w:lvlJc w:val="left"/>
      <w:pPr>
        <w:ind w:left="4570" w:hanging="452"/>
      </w:pPr>
      <w:rPr>
        <w:rFonts w:hint="default"/>
        <w:lang w:val="en-US" w:eastAsia="zh-CN" w:bidi="ar-SA"/>
      </w:rPr>
    </w:lvl>
    <w:lvl w:ilvl="5">
      <w:start w:val="0"/>
      <w:numFmt w:val="bullet"/>
      <w:lvlText w:val="•"/>
      <w:lvlJc w:val="left"/>
      <w:pPr>
        <w:ind w:left="5443" w:hanging="452"/>
      </w:pPr>
      <w:rPr>
        <w:rFonts w:hint="default"/>
        <w:lang w:val="en-US" w:eastAsia="zh-CN" w:bidi="ar-SA"/>
      </w:rPr>
    </w:lvl>
    <w:lvl w:ilvl="6">
      <w:start w:val="0"/>
      <w:numFmt w:val="bullet"/>
      <w:lvlText w:val="•"/>
      <w:lvlJc w:val="left"/>
      <w:pPr>
        <w:ind w:left="6315" w:hanging="452"/>
      </w:pPr>
      <w:rPr>
        <w:rFonts w:hint="default"/>
        <w:lang w:val="en-US" w:eastAsia="zh-CN" w:bidi="ar-SA"/>
      </w:rPr>
    </w:lvl>
    <w:lvl w:ilvl="7">
      <w:start w:val="0"/>
      <w:numFmt w:val="bullet"/>
      <w:lvlText w:val="•"/>
      <w:lvlJc w:val="left"/>
      <w:pPr>
        <w:ind w:left="7188" w:hanging="452"/>
      </w:pPr>
      <w:rPr>
        <w:rFonts w:hint="default"/>
        <w:lang w:val="en-US" w:eastAsia="zh-CN" w:bidi="ar-SA"/>
      </w:rPr>
    </w:lvl>
    <w:lvl w:ilvl="8">
      <w:start w:val="0"/>
      <w:numFmt w:val="bullet"/>
      <w:lvlText w:val="•"/>
      <w:lvlJc w:val="left"/>
      <w:pPr>
        <w:ind w:left="8061" w:hanging="452"/>
      </w:pPr>
      <w:rPr>
        <w:rFonts w:hint="default"/>
        <w:lang w:val="en-US" w:eastAsia="zh-CN" w:bidi="ar-SA"/>
      </w:rPr>
    </w:lvl>
  </w:abstractNum>
  <w:abstractNum w:abstractNumId="5">
    <w:multiLevelType w:val="hybridMultilevel"/>
    <w:lvl w:ilvl="0">
      <w:start w:val="1"/>
      <w:numFmt w:val="decimal"/>
      <w:lvlText w:val="%1."/>
      <w:lvlJc w:val="left"/>
      <w:pPr>
        <w:ind w:left="1062" w:hanging="425"/>
        <w:jc w:val="left"/>
      </w:pPr>
      <w:rPr>
        <w:rFonts w:hint="default" w:ascii="SimSun" w:hAnsi="SimSun" w:eastAsia="SimSun" w:cs="SimSun"/>
        <w:w w:val="100"/>
        <w:sz w:val="21"/>
        <w:szCs w:val="21"/>
        <w:lang w:val="en-US" w:eastAsia="zh-CN" w:bidi="ar-SA"/>
      </w:rPr>
    </w:lvl>
    <w:lvl w:ilvl="1">
      <w:start w:val="0"/>
      <w:numFmt w:val="bullet"/>
      <w:lvlText w:val="•"/>
      <w:lvlJc w:val="left"/>
      <w:pPr>
        <w:ind w:left="1934" w:hanging="425"/>
      </w:pPr>
      <w:rPr>
        <w:rFonts w:hint="default"/>
        <w:lang w:val="en-US" w:eastAsia="zh-CN" w:bidi="ar-SA"/>
      </w:rPr>
    </w:lvl>
    <w:lvl w:ilvl="2">
      <w:start w:val="0"/>
      <w:numFmt w:val="bullet"/>
      <w:lvlText w:val="•"/>
      <w:lvlJc w:val="left"/>
      <w:pPr>
        <w:ind w:left="2809" w:hanging="425"/>
      </w:pPr>
      <w:rPr>
        <w:rFonts w:hint="default"/>
        <w:lang w:val="en-US" w:eastAsia="zh-CN" w:bidi="ar-SA"/>
      </w:rPr>
    </w:lvl>
    <w:lvl w:ilvl="3">
      <w:start w:val="0"/>
      <w:numFmt w:val="bullet"/>
      <w:lvlText w:val="•"/>
      <w:lvlJc w:val="left"/>
      <w:pPr>
        <w:ind w:left="3683" w:hanging="425"/>
      </w:pPr>
      <w:rPr>
        <w:rFonts w:hint="default"/>
        <w:lang w:val="en-US" w:eastAsia="zh-CN" w:bidi="ar-SA"/>
      </w:rPr>
    </w:lvl>
    <w:lvl w:ilvl="4">
      <w:start w:val="0"/>
      <w:numFmt w:val="bullet"/>
      <w:lvlText w:val="•"/>
      <w:lvlJc w:val="left"/>
      <w:pPr>
        <w:ind w:left="4558" w:hanging="425"/>
      </w:pPr>
      <w:rPr>
        <w:rFonts w:hint="default"/>
        <w:lang w:val="en-US" w:eastAsia="zh-CN" w:bidi="ar-SA"/>
      </w:rPr>
    </w:lvl>
    <w:lvl w:ilvl="5">
      <w:start w:val="0"/>
      <w:numFmt w:val="bullet"/>
      <w:lvlText w:val="•"/>
      <w:lvlJc w:val="left"/>
      <w:pPr>
        <w:ind w:left="5433" w:hanging="425"/>
      </w:pPr>
      <w:rPr>
        <w:rFonts w:hint="default"/>
        <w:lang w:val="en-US" w:eastAsia="zh-CN" w:bidi="ar-SA"/>
      </w:rPr>
    </w:lvl>
    <w:lvl w:ilvl="6">
      <w:start w:val="0"/>
      <w:numFmt w:val="bullet"/>
      <w:lvlText w:val="•"/>
      <w:lvlJc w:val="left"/>
      <w:pPr>
        <w:ind w:left="6307" w:hanging="425"/>
      </w:pPr>
      <w:rPr>
        <w:rFonts w:hint="default"/>
        <w:lang w:val="en-US" w:eastAsia="zh-CN" w:bidi="ar-SA"/>
      </w:rPr>
    </w:lvl>
    <w:lvl w:ilvl="7">
      <w:start w:val="0"/>
      <w:numFmt w:val="bullet"/>
      <w:lvlText w:val="•"/>
      <w:lvlJc w:val="left"/>
      <w:pPr>
        <w:ind w:left="7182" w:hanging="425"/>
      </w:pPr>
      <w:rPr>
        <w:rFonts w:hint="default"/>
        <w:lang w:val="en-US" w:eastAsia="zh-CN" w:bidi="ar-SA"/>
      </w:rPr>
    </w:lvl>
    <w:lvl w:ilvl="8">
      <w:start w:val="0"/>
      <w:numFmt w:val="bullet"/>
      <w:lvlText w:val="•"/>
      <w:lvlJc w:val="left"/>
      <w:pPr>
        <w:ind w:left="8057" w:hanging="425"/>
      </w:pPr>
      <w:rPr>
        <w:rFonts w:hint="default"/>
        <w:lang w:val="en-US" w:eastAsia="zh-CN" w:bidi="ar-SA"/>
      </w:rPr>
    </w:lvl>
  </w:abstractNum>
  <w:abstractNum w:abstractNumId="4">
    <w:multiLevelType w:val="hybridMultilevel"/>
    <w:lvl w:ilvl="0">
      <w:start w:val="1"/>
      <w:numFmt w:val="decimal"/>
      <w:lvlText w:val="(%1)."/>
      <w:lvlJc w:val="left"/>
      <w:pPr>
        <w:ind w:left="1061" w:hanging="424"/>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934" w:hanging="424"/>
      </w:pPr>
      <w:rPr>
        <w:rFonts w:hint="default"/>
        <w:lang w:val="en-US" w:eastAsia="zh-CN" w:bidi="ar-SA"/>
      </w:rPr>
    </w:lvl>
    <w:lvl w:ilvl="2">
      <w:start w:val="0"/>
      <w:numFmt w:val="bullet"/>
      <w:lvlText w:val="•"/>
      <w:lvlJc w:val="left"/>
      <w:pPr>
        <w:ind w:left="2809" w:hanging="424"/>
      </w:pPr>
      <w:rPr>
        <w:rFonts w:hint="default"/>
        <w:lang w:val="en-US" w:eastAsia="zh-CN" w:bidi="ar-SA"/>
      </w:rPr>
    </w:lvl>
    <w:lvl w:ilvl="3">
      <w:start w:val="0"/>
      <w:numFmt w:val="bullet"/>
      <w:lvlText w:val="•"/>
      <w:lvlJc w:val="left"/>
      <w:pPr>
        <w:ind w:left="3683" w:hanging="424"/>
      </w:pPr>
      <w:rPr>
        <w:rFonts w:hint="default"/>
        <w:lang w:val="en-US" w:eastAsia="zh-CN" w:bidi="ar-SA"/>
      </w:rPr>
    </w:lvl>
    <w:lvl w:ilvl="4">
      <w:start w:val="0"/>
      <w:numFmt w:val="bullet"/>
      <w:lvlText w:val="•"/>
      <w:lvlJc w:val="left"/>
      <w:pPr>
        <w:ind w:left="4558" w:hanging="424"/>
      </w:pPr>
      <w:rPr>
        <w:rFonts w:hint="default"/>
        <w:lang w:val="en-US" w:eastAsia="zh-CN" w:bidi="ar-SA"/>
      </w:rPr>
    </w:lvl>
    <w:lvl w:ilvl="5">
      <w:start w:val="0"/>
      <w:numFmt w:val="bullet"/>
      <w:lvlText w:val="•"/>
      <w:lvlJc w:val="left"/>
      <w:pPr>
        <w:ind w:left="5433" w:hanging="424"/>
      </w:pPr>
      <w:rPr>
        <w:rFonts w:hint="default"/>
        <w:lang w:val="en-US" w:eastAsia="zh-CN" w:bidi="ar-SA"/>
      </w:rPr>
    </w:lvl>
    <w:lvl w:ilvl="6">
      <w:start w:val="0"/>
      <w:numFmt w:val="bullet"/>
      <w:lvlText w:val="•"/>
      <w:lvlJc w:val="left"/>
      <w:pPr>
        <w:ind w:left="6307" w:hanging="424"/>
      </w:pPr>
      <w:rPr>
        <w:rFonts w:hint="default"/>
        <w:lang w:val="en-US" w:eastAsia="zh-CN" w:bidi="ar-SA"/>
      </w:rPr>
    </w:lvl>
    <w:lvl w:ilvl="7">
      <w:start w:val="0"/>
      <w:numFmt w:val="bullet"/>
      <w:lvlText w:val="•"/>
      <w:lvlJc w:val="left"/>
      <w:pPr>
        <w:ind w:left="7182" w:hanging="424"/>
      </w:pPr>
      <w:rPr>
        <w:rFonts w:hint="default"/>
        <w:lang w:val="en-US" w:eastAsia="zh-CN" w:bidi="ar-SA"/>
      </w:rPr>
    </w:lvl>
    <w:lvl w:ilvl="8">
      <w:start w:val="0"/>
      <w:numFmt w:val="bullet"/>
      <w:lvlText w:val="•"/>
      <w:lvlJc w:val="left"/>
      <w:pPr>
        <w:ind w:left="8057" w:hanging="424"/>
      </w:pPr>
      <w:rPr>
        <w:rFonts w:hint="default"/>
        <w:lang w:val="en-US" w:eastAsia="zh-CN" w:bidi="ar-SA"/>
      </w:rPr>
    </w:lvl>
  </w:abstractNum>
  <w:abstractNum w:abstractNumId="3">
    <w:multiLevelType w:val="hybridMultilevel"/>
    <w:lvl w:ilvl="0">
      <w:start w:val="1"/>
      <w:numFmt w:val="decimal"/>
      <w:lvlText w:val="(%1)."/>
      <w:lvlJc w:val="left"/>
      <w:pPr>
        <w:ind w:left="1204" w:hanging="567"/>
        <w:jc w:val="left"/>
      </w:pPr>
      <w:rPr>
        <w:rFonts w:hint="default" w:ascii="SimSun" w:hAnsi="SimSun" w:eastAsia="SimSun" w:cs="SimSun"/>
        <w:w w:val="100"/>
        <w:sz w:val="21"/>
        <w:szCs w:val="21"/>
        <w:lang w:val="en-US" w:eastAsia="zh-CN" w:bidi="ar-SA"/>
      </w:rPr>
    </w:lvl>
    <w:lvl w:ilvl="1">
      <w:start w:val="0"/>
      <w:numFmt w:val="bullet"/>
      <w:lvlText w:val="•"/>
      <w:lvlJc w:val="left"/>
      <w:pPr>
        <w:ind w:left="2060" w:hanging="567"/>
      </w:pPr>
      <w:rPr>
        <w:rFonts w:hint="default"/>
        <w:lang w:val="en-US" w:eastAsia="zh-CN" w:bidi="ar-SA"/>
      </w:rPr>
    </w:lvl>
    <w:lvl w:ilvl="2">
      <w:start w:val="0"/>
      <w:numFmt w:val="bullet"/>
      <w:lvlText w:val="•"/>
      <w:lvlJc w:val="left"/>
      <w:pPr>
        <w:ind w:left="2921" w:hanging="567"/>
      </w:pPr>
      <w:rPr>
        <w:rFonts w:hint="default"/>
        <w:lang w:val="en-US" w:eastAsia="zh-CN" w:bidi="ar-SA"/>
      </w:rPr>
    </w:lvl>
    <w:lvl w:ilvl="3">
      <w:start w:val="0"/>
      <w:numFmt w:val="bullet"/>
      <w:lvlText w:val="•"/>
      <w:lvlJc w:val="left"/>
      <w:pPr>
        <w:ind w:left="3781" w:hanging="567"/>
      </w:pPr>
      <w:rPr>
        <w:rFonts w:hint="default"/>
        <w:lang w:val="en-US" w:eastAsia="zh-CN" w:bidi="ar-SA"/>
      </w:rPr>
    </w:lvl>
    <w:lvl w:ilvl="4">
      <w:start w:val="0"/>
      <w:numFmt w:val="bullet"/>
      <w:lvlText w:val="•"/>
      <w:lvlJc w:val="left"/>
      <w:pPr>
        <w:ind w:left="4642" w:hanging="567"/>
      </w:pPr>
      <w:rPr>
        <w:rFonts w:hint="default"/>
        <w:lang w:val="en-US" w:eastAsia="zh-CN" w:bidi="ar-SA"/>
      </w:rPr>
    </w:lvl>
    <w:lvl w:ilvl="5">
      <w:start w:val="0"/>
      <w:numFmt w:val="bullet"/>
      <w:lvlText w:val="•"/>
      <w:lvlJc w:val="left"/>
      <w:pPr>
        <w:ind w:left="5503" w:hanging="567"/>
      </w:pPr>
      <w:rPr>
        <w:rFonts w:hint="default"/>
        <w:lang w:val="en-US" w:eastAsia="zh-CN" w:bidi="ar-SA"/>
      </w:rPr>
    </w:lvl>
    <w:lvl w:ilvl="6">
      <w:start w:val="0"/>
      <w:numFmt w:val="bullet"/>
      <w:lvlText w:val="•"/>
      <w:lvlJc w:val="left"/>
      <w:pPr>
        <w:ind w:left="6363" w:hanging="567"/>
      </w:pPr>
      <w:rPr>
        <w:rFonts w:hint="default"/>
        <w:lang w:val="en-US" w:eastAsia="zh-CN" w:bidi="ar-SA"/>
      </w:rPr>
    </w:lvl>
    <w:lvl w:ilvl="7">
      <w:start w:val="0"/>
      <w:numFmt w:val="bullet"/>
      <w:lvlText w:val="•"/>
      <w:lvlJc w:val="left"/>
      <w:pPr>
        <w:ind w:left="7224" w:hanging="567"/>
      </w:pPr>
      <w:rPr>
        <w:rFonts w:hint="default"/>
        <w:lang w:val="en-US" w:eastAsia="zh-CN" w:bidi="ar-SA"/>
      </w:rPr>
    </w:lvl>
    <w:lvl w:ilvl="8">
      <w:start w:val="0"/>
      <w:numFmt w:val="bullet"/>
      <w:lvlText w:val="•"/>
      <w:lvlJc w:val="left"/>
      <w:pPr>
        <w:ind w:left="8085" w:hanging="567"/>
      </w:pPr>
      <w:rPr>
        <w:rFonts w:hint="default"/>
        <w:lang w:val="en-US" w:eastAsia="zh-CN" w:bidi="ar-SA"/>
      </w:rPr>
    </w:lvl>
  </w:abstractNum>
  <w:abstractNum w:abstractNumId="2">
    <w:multiLevelType w:val="hybridMultilevel"/>
    <w:lvl w:ilvl="0">
      <w:start w:val="1"/>
      <w:numFmt w:val="decimal"/>
      <w:lvlText w:val="%1."/>
      <w:lvlJc w:val="left"/>
      <w:pPr>
        <w:ind w:left="1058" w:hanging="420"/>
        <w:jc w:val="left"/>
      </w:pPr>
      <w:rPr>
        <w:rFonts w:hint="default" w:ascii="SimSun" w:hAnsi="SimSun" w:eastAsia="SimSun" w:cs="SimSun"/>
        <w:w w:val="100"/>
        <w:sz w:val="21"/>
        <w:szCs w:val="21"/>
        <w:lang w:val="en-US" w:eastAsia="zh-CN" w:bidi="ar-SA"/>
      </w:rPr>
    </w:lvl>
    <w:lvl w:ilvl="1">
      <w:start w:val="0"/>
      <w:numFmt w:val="bullet"/>
      <w:lvlText w:val="•"/>
      <w:lvlJc w:val="left"/>
      <w:pPr>
        <w:ind w:left="1934" w:hanging="420"/>
      </w:pPr>
      <w:rPr>
        <w:rFonts w:hint="default"/>
        <w:lang w:val="en-US" w:eastAsia="zh-CN" w:bidi="ar-SA"/>
      </w:rPr>
    </w:lvl>
    <w:lvl w:ilvl="2">
      <w:start w:val="0"/>
      <w:numFmt w:val="bullet"/>
      <w:lvlText w:val="•"/>
      <w:lvlJc w:val="left"/>
      <w:pPr>
        <w:ind w:left="2809" w:hanging="420"/>
      </w:pPr>
      <w:rPr>
        <w:rFonts w:hint="default"/>
        <w:lang w:val="en-US" w:eastAsia="zh-CN" w:bidi="ar-SA"/>
      </w:rPr>
    </w:lvl>
    <w:lvl w:ilvl="3">
      <w:start w:val="0"/>
      <w:numFmt w:val="bullet"/>
      <w:lvlText w:val="•"/>
      <w:lvlJc w:val="left"/>
      <w:pPr>
        <w:ind w:left="3683" w:hanging="420"/>
      </w:pPr>
      <w:rPr>
        <w:rFonts w:hint="default"/>
        <w:lang w:val="en-US" w:eastAsia="zh-CN" w:bidi="ar-SA"/>
      </w:rPr>
    </w:lvl>
    <w:lvl w:ilvl="4">
      <w:start w:val="0"/>
      <w:numFmt w:val="bullet"/>
      <w:lvlText w:val="•"/>
      <w:lvlJc w:val="left"/>
      <w:pPr>
        <w:ind w:left="4558" w:hanging="420"/>
      </w:pPr>
      <w:rPr>
        <w:rFonts w:hint="default"/>
        <w:lang w:val="en-US" w:eastAsia="zh-CN" w:bidi="ar-SA"/>
      </w:rPr>
    </w:lvl>
    <w:lvl w:ilvl="5">
      <w:start w:val="0"/>
      <w:numFmt w:val="bullet"/>
      <w:lvlText w:val="•"/>
      <w:lvlJc w:val="left"/>
      <w:pPr>
        <w:ind w:left="5433" w:hanging="420"/>
      </w:pPr>
      <w:rPr>
        <w:rFonts w:hint="default"/>
        <w:lang w:val="en-US" w:eastAsia="zh-CN" w:bidi="ar-SA"/>
      </w:rPr>
    </w:lvl>
    <w:lvl w:ilvl="6">
      <w:start w:val="0"/>
      <w:numFmt w:val="bullet"/>
      <w:lvlText w:val="•"/>
      <w:lvlJc w:val="left"/>
      <w:pPr>
        <w:ind w:left="6307" w:hanging="420"/>
      </w:pPr>
      <w:rPr>
        <w:rFonts w:hint="default"/>
        <w:lang w:val="en-US" w:eastAsia="zh-CN" w:bidi="ar-SA"/>
      </w:rPr>
    </w:lvl>
    <w:lvl w:ilvl="7">
      <w:start w:val="0"/>
      <w:numFmt w:val="bullet"/>
      <w:lvlText w:val="•"/>
      <w:lvlJc w:val="left"/>
      <w:pPr>
        <w:ind w:left="7182" w:hanging="420"/>
      </w:pPr>
      <w:rPr>
        <w:rFonts w:hint="default"/>
        <w:lang w:val="en-US" w:eastAsia="zh-CN" w:bidi="ar-SA"/>
      </w:rPr>
    </w:lvl>
    <w:lvl w:ilvl="8">
      <w:start w:val="0"/>
      <w:numFmt w:val="bullet"/>
      <w:lvlText w:val="•"/>
      <w:lvlJc w:val="left"/>
      <w:pPr>
        <w:ind w:left="8057" w:hanging="420"/>
      </w:pPr>
      <w:rPr>
        <w:rFonts w:hint="default"/>
        <w:lang w:val="en-US" w:eastAsia="zh-CN" w:bidi="ar-SA"/>
      </w:rPr>
    </w:lvl>
  </w:abstractNum>
  <w:abstractNum w:abstractNumId="1">
    <w:multiLevelType w:val="hybridMultilevel"/>
    <w:lvl w:ilvl="0">
      <w:start w:val="1"/>
      <w:numFmt w:val="decimal"/>
      <w:lvlText w:val="%1."/>
      <w:lvlJc w:val="left"/>
      <w:pPr>
        <w:ind w:left="1058" w:hanging="420"/>
        <w:jc w:val="left"/>
      </w:pPr>
      <w:rPr>
        <w:rFonts w:hint="default" w:ascii="Times New Roman" w:hAnsi="Times New Roman" w:eastAsia="Times New Roman" w:cs="Times New Roman"/>
        <w:b/>
        <w:bCs/>
        <w:w w:val="100"/>
        <w:sz w:val="21"/>
        <w:szCs w:val="21"/>
        <w:lang w:val="en-US" w:eastAsia="zh-CN" w:bidi="ar-SA"/>
      </w:rPr>
    </w:lvl>
    <w:lvl w:ilvl="1">
      <w:start w:val="0"/>
      <w:numFmt w:val="bullet"/>
      <w:lvlText w:val="•"/>
      <w:lvlJc w:val="left"/>
      <w:pPr>
        <w:ind w:left="1934" w:hanging="420"/>
      </w:pPr>
      <w:rPr>
        <w:rFonts w:hint="default"/>
        <w:lang w:val="en-US" w:eastAsia="zh-CN" w:bidi="ar-SA"/>
      </w:rPr>
    </w:lvl>
    <w:lvl w:ilvl="2">
      <w:start w:val="0"/>
      <w:numFmt w:val="bullet"/>
      <w:lvlText w:val="•"/>
      <w:lvlJc w:val="left"/>
      <w:pPr>
        <w:ind w:left="2809" w:hanging="420"/>
      </w:pPr>
      <w:rPr>
        <w:rFonts w:hint="default"/>
        <w:lang w:val="en-US" w:eastAsia="zh-CN" w:bidi="ar-SA"/>
      </w:rPr>
    </w:lvl>
    <w:lvl w:ilvl="3">
      <w:start w:val="0"/>
      <w:numFmt w:val="bullet"/>
      <w:lvlText w:val="•"/>
      <w:lvlJc w:val="left"/>
      <w:pPr>
        <w:ind w:left="3683" w:hanging="420"/>
      </w:pPr>
      <w:rPr>
        <w:rFonts w:hint="default"/>
        <w:lang w:val="en-US" w:eastAsia="zh-CN" w:bidi="ar-SA"/>
      </w:rPr>
    </w:lvl>
    <w:lvl w:ilvl="4">
      <w:start w:val="0"/>
      <w:numFmt w:val="bullet"/>
      <w:lvlText w:val="•"/>
      <w:lvlJc w:val="left"/>
      <w:pPr>
        <w:ind w:left="4558" w:hanging="420"/>
      </w:pPr>
      <w:rPr>
        <w:rFonts w:hint="default"/>
        <w:lang w:val="en-US" w:eastAsia="zh-CN" w:bidi="ar-SA"/>
      </w:rPr>
    </w:lvl>
    <w:lvl w:ilvl="5">
      <w:start w:val="0"/>
      <w:numFmt w:val="bullet"/>
      <w:lvlText w:val="•"/>
      <w:lvlJc w:val="left"/>
      <w:pPr>
        <w:ind w:left="5433" w:hanging="420"/>
      </w:pPr>
      <w:rPr>
        <w:rFonts w:hint="default"/>
        <w:lang w:val="en-US" w:eastAsia="zh-CN" w:bidi="ar-SA"/>
      </w:rPr>
    </w:lvl>
    <w:lvl w:ilvl="6">
      <w:start w:val="0"/>
      <w:numFmt w:val="bullet"/>
      <w:lvlText w:val="•"/>
      <w:lvlJc w:val="left"/>
      <w:pPr>
        <w:ind w:left="6307" w:hanging="420"/>
      </w:pPr>
      <w:rPr>
        <w:rFonts w:hint="default"/>
        <w:lang w:val="en-US" w:eastAsia="zh-CN" w:bidi="ar-SA"/>
      </w:rPr>
    </w:lvl>
    <w:lvl w:ilvl="7">
      <w:start w:val="0"/>
      <w:numFmt w:val="bullet"/>
      <w:lvlText w:val="•"/>
      <w:lvlJc w:val="left"/>
      <w:pPr>
        <w:ind w:left="7182" w:hanging="420"/>
      </w:pPr>
      <w:rPr>
        <w:rFonts w:hint="default"/>
        <w:lang w:val="en-US" w:eastAsia="zh-CN" w:bidi="ar-SA"/>
      </w:rPr>
    </w:lvl>
    <w:lvl w:ilvl="8">
      <w:start w:val="0"/>
      <w:numFmt w:val="bullet"/>
      <w:lvlText w:val="•"/>
      <w:lvlJc w:val="left"/>
      <w:pPr>
        <w:ind w:left="8057" w:hanging="420"/>
      </w:pPr>
      <w:rPr>
        <w:rFonts w:hint="default"/>
        <w:lang w:val="en-US" w:eastAsia="zh-CN" w:bidi="ar-SA"/>
      </w:rPr>
    </w:lvl>
  </w:abstractNum>
  <w:abstractNum w:abstractNumId="0">
    <w:multiLevelType w:val="hybridMultilevel"/>
    <w:lvl w:ilvl="0">
      <w:start w:val="1"/>
      <w:numFmt w:val="decimal"/>
      <w:lvlText w:val="%1)"/>
      <w:lvlJc w:val="left"/>
      <w:pPr>
        <w:ind w:left="1478" w:hanging="418"/>
        <w:jc w:val="left"/>
      </w:pPr>
      <w:rPr>
        <w:rFonts w:hint="default" w:ascii="Times New Roman" w:hAnsi="Times New Roman" w:eastAsia="Times New Roman" w:cs="Times New Roman"/>
        <w:b/>
        <w:bCs/>
        <w:w w:val="100"/>
        <w:sz w:val="21"/>
        <w:szCs w:val="21"/>
        <w:lang w:val="en-US" w:eastAsia="zh-CN" w:bidi="ar-SA"/>
      </w:rPr>
    </w:lvl>
    <w:lvl w:ilvl="1">
      <w:start w:val="0"/>
      <w:numFmt w:val="bullet"/>
      <w:lvlText w:val="•"/>
      <w:lvlJc w:val="left"/>
      <w:pPr>
        <w:ind w:left="2312" w:hanging="418"/>
      </w:pPr>
      <w:rPr>
        <w:rFonts w:hint="default"/>
        <w:lang w:val="en-US" w:eastAsia="zh-CN" w:bidi="ar-SA"/>
      </w:rPr>
    </w:lvl>
    <w:lvl w:ilvl="2">
      <w:start w:val="0"/>
      <w:numFmt w:val="bullet"/>
      <w:lvlText w:val="•"/>
      <w:lvlJc w:val="left"/>
      <w:pPr>
        <w:ind w:left="3145" w:hanging="418"/>
      </w:pPr>
      <w:rPr>
        <w:rFonts w:hint="default"/>
        <w:lang w:val="en-US" w:eastAsia="zh-CN" w:bidi="ar-SA"/>
      </w:rPr>
    </w:lvl>
    <w:lvl w:ilvl="3">
      <w:start w:val="0"/>
      <w:numFmt w:val="bullet"/>
      <w:lvlText w:val="•"/>
      <w:lvlJc w:val="left"/>
      <w:pPr>
        <w:ind w:left="3977" w:hanging="418"/>
      </w:pPr>
      <w:rPr>
        <w:rFonts w:hint="default"/>
        <w:lang w:val="en-US" w:eastAsia="zh-CN" w:bidi="ar-SA"/>
      </w:rPr>
    </w:lvl>
    <w:lvl w:ilvl="4">
      <w:start w:val="0"/>
      <w:numFmt w:val="bullet"/>
      <w:lvlText w:val="•"/>
      <w:lvlJc w:val="left"/>
      <w:pPr>
        <w:ind w:left="4810" w:hanging="418"/>
      </w:pPr>
      <w:rPr>
        <w:rFonts w:hint="default"/>
        <w:lang w:val="en-US" w:eastAsia="zh-CN" w:bidi="ar-SA"/>
      </w:rPr>
    </w:lvl>
    <w:lvl w:ilvl="5">
      <w:start w:val="0"/>
      <w:numFmt w:val="bullet"/>
      <w:lvlText w:val="•"/>
      <w:lvlJc w:val="left"/>
      <w:pPr>
        <w:ind w:left="5643" w:hanging="418"/>
      </w:pPr>
      <w:rPr>
        <w:rFonts w:hint="default"/>
        <w:lang w:val="en-US" w:eastAsia="zh-CN" w:bidi="ar-SA"/>
      </w:rPr>
    </w:lvl>
    <w:lvl w:ilvl="6">
      <w:start w:val="0"/>
      <w:numFmt w:val="bullet"/>
      <w:lvlText w:val="•"/>
      <w:lvlJc w:val="left"/>
      <w:pPr>
        <w:ind w:left="6475" w:hanging="418"/>
      </w:pPr>
      <w:rPr>
        <w:rFonts w:hint="default"/>
        <w:lang w:val="en-US" w:eastAsia="zh-CN" w:bidi="ar-SA"/>
      </w:rPr>
    </w:lvl>
    <w:lvl w:ilvl="7">
      <w:start w:val="0"/>
      <w:numFmt w:val="bullet"/>
      <w:lvlText w:val="•"/>
      <w:lvlJc w:val="left"/>
      <w:pPr>
        <w:ind w:left="7308" w:hanging="418"/>
      </w:pPr>
      <w:rPr>
        <w:rFonts w:hint="default"/>
        <w:lang w:val="en-US" w:eastAsia="zh-CN" w:bidi="ar-SA"/>
      </w:rPr>
    </w:lvl>
    <w:lvl w:ilvl="8">
      <w:start w:val="0"/>
      <w:numFmt w:val="bullet"/>
      <w:lvlText w:val="•"/>
      <w:lvlJc w:val="left"/>
      <w:pPr>
        <w:ind w:left="8141" w:hanging="418"/>
      </w:pPr>
      <w:rPr>
        <w:rFonts w:hint="default"/>
        <w:lang w:val="en-US" w:eastAsia="zh-CN" w:bidi="ar-SA"/>
      </w:rPr>
    </w:lvl>
  </w:abstract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zh-CN" w:bidi="ar-SA"/>
    </w:rPr>
  </w:style>
  <w:style w:styleId="TOC1" w:type="paragraph">
    <w:name w:val="TOC 1"/>
    <w:basedOn w:val="Normal"/>
    <w:uiPriority w:val="1"/>
    <w:qFormat/>
    <w:pPr>
      <w:spacing w:before="139"/>
      <w:ind w:left="117"/>
    </w:pPr>
    <w:rPr>
      <w:rFonts w:ascii="SimSun" w:hAnsi="SimSun" w:eastAsia="SimSun" w:cs="SimSun"/>
      <w:sz w:val="21"/>
      <w:szCs w:val="21"/>
      <w:lang w:val="en-US" w:eastAsia="zh-CN" w:bidi="ar-SA"/>
    </w:rPr>
  </w:style>
  <w:style w:styleId="BodyText" w:type="paragraph">
    <w:name w:val="Body Text"/>
    <w:basedOn w:val="Normal"/>
    <w:uiPriority w:val="1"/>
    <w:qFormat/>
    <w:pPr>
      <w:ind w:left="318"/>
    </w:pPr>
    <w:rPr>
      <w:rFonts w:ascii="SimSun" w:hAnsi="SimSun" w:eastAsia="SimSun" w:cs="SimSun"/>
      <w:sz w:val="21"/>
      <w:szCs w:val="21"/>
      <w:lang w:val="en-US" w:eastAsia="zh-CN" w:bidi="ar-SA"/>
    </w:rPr>
  </w:style>
  <w:style w:styleId="Heading1" w:type="paragraph">
    <w:name w:val="Heading 1"/>
    <w:basedOn w:val="Normal"/>
    <w:uiPriority w:val="1"/>
    <w:qFormat/>
    <w:pPr>
      <w:spacing w:line="484" w:lineRule="exact"/>
      <w:ind w:left="2057"/>
      <w:jc w:val="center"/>
      <w:outlineLvl w:val="1"/>
    </w:pPr>
    <w:rPr>
      <w:rFonts w:ascii="Microsoft JhengHei" w:hAnsi="Microsoft JhengHei" w:eastAsia="Microsoft JhengHei" w:cs="Microsoft JhengHei"/>
      <w:b/>
      <w:bCs/>
      <w:sz w:val="28"/>
      <w:szCs w:val="28"/>
      <w:lang w:val="en-US" w:eastAsia="zh-CN" w:bidi="ar-SA"/>
    </w:rPr>
  </w:style>
  <w:style w:styleId="Heading2" w:type="paragraph">
    <w:name w:val="Heading 2"/>
    <w:basedOn w:val="Normal"/>
    <w:uiPriority w:val="1"/>
    <w:qFormat/>
    <w:pPr>
      <w:spacing w:before="61"/>
      <w:ind w:left="1969" w:right="2565"/>
      <w:jc w:val="center"/>
      <w:outlineLvl w:val="2"/>
    </w:pPr>
    <w:rPr>
      <w:rFonts w:ascii="SimSun" w:hAnsi="SimSun" w:eastAsia="SimSun" w:cs="SimSun"/>
      <w:sz w:val="28"/>
      <w:szCs w:val="28"/>
      <w:lang w:val="en-US" w:eastAsia="zh-CN" w:bidi="ar-SA"/>
    </w:rPr>
  </w:style>
  <w:style w:styleId="Heading3" w:type="paragraph">
    <w:name w:val="Heading 3"/>
    <w:basedOn w:val="Normal"/>
    <w:uiPriority w:val="1"/>
    <w:qFormat/>
    <w:pPr>
      <w:ind w:left="117"/>
      <w:jc w:val="both"/>
      <w:outlineLvl w:val="3"/>
    </w:pPr>
    <w:rPr>
      <w:rFonts w:ascii="SimSun" w:hAnsi="SimSun" w:eastAsia="SimSun" w:cs="SimSun"/>
      <w:sz w:val="24"/>
      <w:szCs w:val="24"/>
      <w:lang w:val="en-US" w:eastAsia="zh-CN" w:bidi="ar-SA"/>
    </w:rPr>
  </w:style>
  <w:style w:styleId="Heading4" w:type="paragraph">
    <w:name w:val="Heading 4"/>
    <w:basedOn w:val="Normal"/>
    <w:uiPriority w:val="1"/>
    <w:qFormat/>
    <w:pPr>
      <w:spacing w:before="134"/>
      <w:ind w:left="117"/>
      <w:outlineLvl w:val="4"/>
    </w:pPr>
    <w:rPr>
      <w:rFonts w:ascii="SimSun" w:hAnsi="SimSun" w:eastAsia="SimSun" w:cs="SimSun"/>
      <w:sz w:val="22"/>
      <w:szCs w:val="22"/>
      <w:lang w:val="en-US" w:eastAsia="zh-CN" w:bidi="ar-SA"/>
    </w:rPr>
  </w:style>
  <w:style w:styleId="Title" w:type="paragraph">
    <w:name w:val="Title"/>
    <w:basedOn w:val="Normal"/>
    <w:uiPriority w:val="1"/>
    <w:qFormat/>
    <w:pPr>
      <w:spacing w:before="35"/>
      <w:ind w:left="3451" w:right="1659" w:hanging="1489"/>
    </w:pPr>
    <w:rPr>
      <w:rFonts w:ascii="Microsoft JhengHei" w:hAnsi="Microsoft JhengHei" w:eastAsia="Microsoft JhengHei" w:cs="Microsoft JhengHei"/>
      <w:b/>
      <w:bCs/>
      <w:sz w:val="44"/>
      <w:szCs w:val="44"/>
      <w:lang w:val="en-US" w:eastAsia="zh-CN" w:bidi="ar-SA"/>
    </w:rPr>
  </w:style>
  <w:style w:styleId="ListParagraph" w:type="paragraph">
    <w:name w:val="List Paragraph"/>
    <w:basedOn w:val="Normal"/>
    <w:uiPriority w:val="1"/>
    <w:qFormat/>
    <w:pPr>
      <w:spacing w:before="62"/>
      <w:ind w:left="742" w:hanging="425"/>
    </w:pPr>
    <w:rPr>
      <w:rFonts w:ascii="SimSun" w:hAnsi="SimSun" w:eastAsia="SimSun" w:cs="SimSun"/>
      <w:lang w:val="en-US" w:eastAsia="zh-CN" w:bidi="ar-SA"/>
    </w:rPr>
  </w:style>
  <w:style w:styleId="TableParagraph" w:type="paragraph">
    <w:name w:val="Table Paragraph"/>
    <w:basedOn w:val="Normal"/>
    <w:uiPriority w:val="1"/>
    <w:qFormat/>
    <w:pPr/>
    <w:rPr>
      <w:rFonts w:ascii="SimSun" w:hAnsi="SimSun" w:eastAsia="SimSun" w:cs="SimSun"/>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yperlink" Target="mailto:ir@fii-foxconn.com" TargetMode="External"/><Relationship Id="rId10" Type="http://schemas.openxmlformats.org/officeDocument/2006/relationships/hyperlink" Target="http://www.fii-foxconn.com/" TargetMode="External"/><Relationship Id="rId11" Type="http://schemas.openxmlformats.org/officeDocument/2006/relationships/hyperlink" Target="http://www.cs.com.cn/" TargetMode="External"/><Relationship Id="rId12" Type="http://schemas.openxmlformats.org/officeDocument/2006/relationships/hyperlink" Target="http://www.cnstock.com/" TargetMode="External"/><Relationship Id="rId13" Type="http://schemas.openxmlformats.org/officeDocument/2006/relationships/hyperlink" Target="http://www.stcn.com/" TargetMode="External"/><Relationship Id="rId14" Type="http://schemas.openxmlformats.org/officeDocument/2006/relationships/hyperlink" Target="http://www.zqrb.cn/" TargetMode="External"/><Relationship Id="rId15" Type="http://schemas.openxmlformats.org/officeDocument/2006/relationships/hyperlink" Target="http://www.sse.com.cn/" TargetMode="External"/><Relationship Id="rId16" Type="http://schemas.openxmlformats.org/officeDocument/2006/relationships/image" Target="media/image1.jpeg"/><Relationship Id="rId17" Type="http://schemas.openxmlformats.org/officeDocument/2006/relationships/image" Target="media/image2.jpeg"/><Relationship Id="rId18" Type="http://schemas.openxmlformats.org/officeDocument/2006/relationships/image" Target="media/image3.jpeg"/><Relationship Id="rId19" Type="http://schemas.openxmlformats.org/officeDocument/2006/relationships/image" Target="media/image4.jpe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header" Target="header4.xml"/><Relationship Id="rId23" Type="http://schemas.openxmlformats.org/officeDocument/2006/relationships/footer" Target="footer4.xml"/><Relationship Id="rId24" Type="http://schemas.openxmlformats.org/officeDocument/2006/relationships/header" Target="header5.xml"/><Relationship Id="rId25" Type="http://schemas.openxmlformats.org/officeDocument/2006/relationships/footer" Target="footer5.xml"/><Relationship Id="rId26" Type="http://schemas.openxmlformats.org/officeDocument/2006/relationships/header" Target="header6.xml"/><Relationship Id="rId27" Type="http://schemas.openxmlformats.org/officeDocument/2006/relationships/footer" Target="footer6.xml"/><Relationship Id="rId28" Type="http://schemas.openxmlformats.org/officeDocument/2006/relationships/header" Target="header7.xml"/><Relationship Id="rId29" Type="http://schemas.openxmlformats.org/officeDocument/2006/relationships/footer" Target="footer7.xml"/><Relationship Id="rId30" Type="http://schemas.openxmlformats.org/officeDocument/2006/relationships/header" Target="header8.xml"/><Relationship Id="rId31" Type="http://schemas.openxmlformats.org/officeDocument/2006/relationships/footer" Target="footer8.xml"/><Relationship Id="rId32" Type="http://schemas.openxmlformats.org/officeDocument/2006/relationships/header" Target="header9.xml"/><Relationship Id="rId33" Type="http://schemas.openxmlformats.org/officeDocument/2006/relationships/footer" Target="footer9.xml"/><Relationship Id="rId34" Type="http://schemas.openxmlformats.org/officeDocument/2006/relationships/header" Target="header10.xml"/><Relationship Id="rId35" Type="http://schemas.openxmlformats.org/officeDocument/2006/relationships/footer" Target="footer10.xml"/><Relationship Id="rId36" Type="http://schemas.openxmlformats.org/officeDocument/2006/relationships/image" Target="media/image5.jpeg"/><Relationship Id="rId37" Type="http://schemas.openxmlformats.org/officeDocument/2006/relationships/image" Target="media/image6.jpeg"/><Relationship Id="rId38" Type="http://schemas.openxmlformats.org/officeDocument/2006/relationships/image" Target="media/image7.jpeg"/><Relationship Id="rId39" Type="http://schemas.openxmlformats.org/officeDocument/2006/relationships/image" Target="media/image8.jpeg"/><Relationship Id="rId40" Type="http://schemas.openxmlformats.org/officeDocument/2006/relationships/hyperlink" Target="http://www.fii-foxconn.com/index" TargetMode="External"/><Relationship Id="rId41" Type="http://schemas.openxmlformats.org/officeDocument/2006/relationships/image" Target="media/image9.jpeg"/><Relationship Id="rId42" Type="http://schemas.openxmlformats.org/officeDocument/2006/relationships/image" Target="media/image10.jpeg"/><Relationship Id="rId43" Type="http://schemas.openxmlformats.org/officeDocument/2006/relationships/image" Target="media/image11.jpe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jpeg"/><Relationship Id="rId47" Type="http://schemas.openxmlformats.org/officeDocument/2006/relationships/header" Target="header11.xml"/><Relationship Id="rId48" Type="http://schemas.openxmlformats.org/officeDocument/2006/relationships/footer" Target="footer11.xml"/><Relationship Id="rId49" Type="http://schemas.openxmlformats.org/officeDocument/2006/relationships/header" Target="header12.xml"/><Relationship Id="rId50" Type="http://schemas.openxmlformats.org/officeDocument/2006/relationships/footer" Target="footer12.xml"/><Relationship Id="rId51" Type="http://schemas.openxmlformats.org/officeDocument/2006/relationships/header" Target="header13.xml"/><Relationship Id="rId52" Type="http://schemas.openxmlformats.org/officeDocument/2006/relationships/footer" Target="footer13.xml"/><Relationship Id="rId53" Type="http://schemas.openxmlformats.org/officeDocument/2006/relationships/header" Target="header14.xml"/><Relationship Id="rId54" Type="http://schemas.openxmlformats.org/officeDocument/2006/relationships/footer" Target="footer14.xml"/><Relationship Id="rId55" Type="http://schemas.openxmlformats.org/officeDocument/2006/relationships/image" Target="media/image15.png"/><Relationship Id="rId56" Type="http://schemas.openxmlformats.org/officeDocument/2006/relationships/header" Target="header15.xml"/><Relationship Id="rId57" Type="http://schemas.openxmlformats.org/officeDocument/2006/relationships/footer" Target="footer15.xml"/><Relationship Id="rId58" Type="http://schemas.openxmlformats.org/officeDocument/2006/relationships/header" Target="header16.xml"/><Relationship Id="rId59" Type="http://schemas.openxmlformats.org/officeDocument/2006/relationships/footer" Target="footer16.xml"/><Relationship Id="rId60" Type="http://schemas.openxmlformats.org/officeDocument/2006/relationships/header" Target="header17.xml"/><Relationship Id="rId61" Type="http://schemas.openxmlformats.org/officeDocument/2006/relationships/footer" Target="footer17.xml"/><Relationship Id="rId62" Type="http://schemas.openxmlformats.org/officeDocument/2006/relationships/header" Target="header18.xml"/><Relationship Id="rId63" Type="http://schemas.openxmlformats.org/officeDocument/2006/relationships/footer" Target="footer18.xml"/><Relationship Id="rId64" Type="http://schemas.openxmlformats.org/officeDocument/2006/relationships/header" Target="header19.xml"/><Relationship Id="rId65" Type="http://schemas.openxmlformats.org/officeDocument/2006/relationships/footer" Target="footer19.xml"/><Relationship Id="rId66" Type="http://schemas.openxmlformats.org/officeDocument/2006/relationships/header" Target="header20.xml"/><Relationship Id="rId67" Type="http://schemas.openxmlformats.org/officeDocument/2006/relationships/footer" Target="footer20.xml"/><Relationship Id="rId68" Type="http://schemas.openxmlformats.org/officeDocument/2006/relationships/header" Target="header21.xml"/><Relationship Id="rId69" Type="http://schemas.openxmlformats.org/officeDocument/2006/relationships/footer" Target="footer21.xml"/><Relationship Id="rId70" Type="http://schemas.openxmlformats.org/officeDocument/2006/relationships/header" Target="header22.xml"/><Relationship Id="rId71" Type="http://schemas.openxmlformats.org/officeDocument/2006/relationships/footer" Target="footer22.xml"/><Relationship Id="rId72" Type="http://schemas.openxmlformats.org/officeDocument/2006/relationships/header" Target="header23.xml"/><Relationship Id="rId73" Type="http://schemas.openxmlformats.org/officeDocument/2006/relationships/footer" Target="footer23.xml"/><Relationship Id="rId74" Type="http://schemas.openxmlformats.org/officeDocument/2006/relationships/header" Target="header24.xml"/><Relationship Id="rId75" Type="http://schemas.openxmlformats.org/officeDocument/2006/relationships/footer" Target="footer24.xml"/><Relationship Id="rId7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czq</dc:creator>
  <dc:title>股份有限公司</dc:title>
  <dcterms:created xsi:type="dcterms:W3CDTF">2024-03-21T13:26:32Z</dcterms:created>
  <dcterms:modified xsi:type="dcterms:W3CDTF">2024-03-21T13:26:32Z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2023-03-14T00:00:00Z</vt:filetime>
  </property>
  <property fmtid="{D5CDD505-2E9C-101B-9397-08002B2CF9AE}" pid="3" name="Creator">
    <vt:lpwstr>Microsoft® Word 2016</vt:lpwstr>
  </property>
  <property fmtid="{D5CDD505-2E9C-101B-9397-08002B2CF9AE}" pid="4" name="LastSaved">
    <vt:filetime>2024-03-21T00:00:00Z</vt:filetime>
  </property>
</Properties>
</file>